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B90ACB6">
      <w:pPr>
        <w:jc w:val="center"/>
        <w:rPr>
          <w:rFonts w:ascii="Times New Roman" w:hAnsi="Times New Roman" w:eastAsia="宋体" w:cs="Times New Roman"/>
          <w:b/>
          <w:color w:val="auto"/>
          <w:kern w:val="44"/>
          <w:sz w:val="32"/>
          <w:szCs w:val="44"/>
        </w:rPr>
      </w:pPr>
      <w:bookmarkStart w:id="0" w:name="_Toc535149907"/>
      <w:bookmarkStart w:id="1" w:name="_Toc49929985"/>
      <w:bookmarkStart w:id="2" w:name="_Toc512320147"/>
      <w:bookmarkStart w:id="3" w:name="_Toc10405"/>
      <w:bookmarkStart w:id="4" w:name="_Toc17206430"/>
      <w:bookmarkStart w:id="5" w:name="_Toc60296935"/>
      <w:bookmarkStart w:id="6" w:name="_Toc146781113"/>
      <w:bookmarkStart w:id="7" w:name="_Toc535150306"/>
      <w:bookmarkStart w:id="8" w:name="_Toc111800879"/>
      <w:bookmarkStart w:id="9" w:name="_Toc5128297"/>
      <w:bookmarkStart w:id="10" w:name="_Toc517849891"/>
      <w:r>
        <w:rPr>
          <w:rFonts w:hint="eastAsia" w:ascii="Times New Roman" w:hAnsi="Times New Roman" w:eastAsia="宋体" w:cs="Times New Roman"/>
          <w:b/>
          <w:color w:val="auto"/>
          <w:kern w:val="44"/>
          <w:sz w:val="32"/>
          <w:szCs w:val="44"/>
        </w:rPr>
        <w:t>目   录</w:t>
      </w:r>
    </w:p>
    <w:p w14:paraId="4B9CDC09">
      <w:pPr>
        <w:pStyle w:val="28"/>
        <w:tabs>
          <w:tab w:val="right" w:leader="dot" w:pos="8306"/>
          <w:tab w:val="clear" w:pos="8296"/>
        </w:tabs>
      </w:pPr>
      <w:r>
        <w:rPr>
          <w:color w:val="FF0000"/>
          <w:sz w:val="24"/>
          <w:szCs w:val="24"/>
        </w:rPr>
        <w:fldChar w:fldCharType="begin"/>
      </w:r>
      <w:r>
        <w:rPr>
          <w:color w:val="FF0000"/>
          <w:sz w:val="24"/>
          <w:szCs w:val="24"/>
        </w:rPr>
        <w:instrText xml:space="preserve">TOC \o "1-2" \h \u </w:instrText>
      </w:r>
      <w:r>
        <w:rPr>
          <w:color w:val="FF0000"/>
          <w:sz w:val="24"/>
          <w:szCs w:val="24"/>
        </w:rPr>
        <w:fldChar w:fldCharType="separate"/>
      </w:r>
      <w:r>
        <w:rPr>
          <w:color w:val="FF0000"/>
          <w:szCs w:val="24"/>
        </w:rPr>
        <w:fldChar w:fldCharType="begin"/>
      </w:r>
      <w:r>
        <w:rPr>
          <w:szCs w:val="24"/>
        </w:rPr>
        <w:instrText xml:space="preserve"> HYPERLINK \l _Toc10157 </w:instrText>
      </w:r>
      <w:r>
        <w:rPr>
          <w:szCs w:val="24"/>
        </w:rPr>
        <w:fldChar w:fldCharType="separate"/>
      </w:r>
      <w:r>
        <w:t>1、概述</w:t>
      </w:r>
      <w:r>
        <w:tab/>
      </w:r>
      <w:r>
        <w:fldChar w:fldCharType="begin"/>
      </w:r>
      <w:r>
        <w:instrText xml:space="preserve"> PAGEREF _Toc10157 \h </w:instrText>
      </w:r>
      <w:r>
        <w:fldChar w:fldCharType="separate"/>
      </w:r>
      <w:r>
        <w:t>- 1 -</w:t>
      </w:r>
      <w:r>
        <w:fldChar w:fldCharType="end"/>
      </w:r>
      <w:r>
        <w:rPr>
          <w:color w:val="FF0000"/>
          <w:szCs w:val="24"/>
        </w:rPr>
        <w:fldChar w:fldCharType="end"/>
      </w:r>
    </w:p>
    <w:p w14:paraId="6A301910">
      <w:pPr>
        <w:pStyle w:val="34"/>
        <w:tabs>
          <w:tab w:val="right" w:leader="dot" w:pos="8306"/>
        </w:tabs>
      </w:pPr>
      <w:r>
        <w:rPr>
          <w:color w:val="FF0000"/>
          <w:szCs w:val="24"/>
        </w:rPr>
        <w:fldChar w:fldCharType="begin"/>
      </w:r>
      <w:r>
        <w:rPr>
          <w:szCs w:val="24"/>
        </w:rPr>
        <w:instrText xml:space="preserve"> HYPERLINK \l _Toc18386 </w:instrText>
      </w:r>
      <w:r>
        <w:rPr>
          <w:szCs w:val="24"/>
        </w:rPr>
        <w:fldChar w:fldCharType="separate"/>
      </w:r>
      <w:r>
        <w:t>1.1项目由来</w:t>
      </w:r>
      <w:r>
        <w:tab/>
      </w:r>
      <w:r>
        <w:fldChar w:fldCharType="begin"/>
      </w:r>
      <w:r>
        <w:instrText xml:space="preserve"> PAGEREF _Toc18386 \h </w:instrText>
      </w:r>
      <w:r>
        <w:fldChar w:fldCharType="separate"/>
      </w:r>
      <w:r>
        <w:t>- 1 -</w:t>
      </w:r>
      <w:r>
        <w:fldChar w:fldCharType="end"/>
      </w:r>
      <w:r>
        <w:rPr>
          <w:color w:val="FF0000"/>
          <w:szCs w:val="24"/>
        </w:rPr>
        <w:fldChar w:fldCharType="end"/>
      </w:r>
    </w:p>
    <w:p w14:paraId="3907CA04">
      <w:pPr>
        <w:pStyle w:val="34"/>
        <w:tabs>
          <w:tab w:val="right" w:leader="dot" w:pos="8306"/>
        </w:tabs>
      </w:pPr>
      <w:r>
        <w:rPr>
          <w:color w:val="FF0000"/>
          <w:szCs w:val="24"/>
        </w:rPr>
        <w:fldChar w:fldCharType="begin"/>
      </w:r>
      <w:r>
        <w:rPr>
          <w:szCs w:val="24"/>
        </w:rPr>
        <w:instrText xml:space="preserve"> HYPERLINK \l _Toc22645 </w:instrText>
      </w:r>
      <w:r>
        <w:rPr>
          <w:szCs w:val="24"/>
        </w:rPr>
        <w:fldChar w:fldCharType="separate"/>
      </w:r>
      <w:r>
        <w:t>1.2环境影响评价过程</w:t>
      </w:r>
      <w:r>
        <w:tab/>
      </w:r>
      <w:r>
        <w:fldChar w:fldCharType="begin"/>
      </w:r>
      <w:r>
        <w:instrText xml:space="preserve"> PAGEREF _Toc22645 \h </w:instrText>
      </w:r>
      <w:r>
        <w:fldChar w:fldCharType="separate"/>
      </w:r>
      <w:r>
        <w:t>- 3 -</w:t>
      </w:r>
      <w:r>
        <w:fldChar w:fldCharType="end"/>
      </w:r>
      <w:r>
        <w:rPr>
          <w:color w:val="FF0000"/>
          <w:szCs w:val="24"/>
        </w:rPr>
        <w:fldChar w:fldCharType="end"/>
      </w:r>
    </w:p>
    <w:p w14:paraId="02E9283A">
      <w:pPr>
        <w:pStyle w:val="34"/>
        <w:tabs>
          <w:tab w:val="right" w:leader="dot" w:pos="8306"/>
        </w:tabs>
      </w:pPr>
      <w:r>
        <w:rPr>
          <w:color w:val="FF0000"/>
          <w:szCs w:val="24"/>
        </w:rPr>
        <w:fldChar w:fldCharType="begin"/>
      </w:r>
      <w:r>
        <w:rPr>
          <w:szCs w:val="24"/>
        </w:rPr>
        <w:instrText xml:space="preserve"> HYPERLINK \l _Toc18372 </w:instrText>
      </w:r>
      <w:r>
        <w:rPr>
          <w:szCs w:val="24"/>
        </w:rPr>
        <w:fldChar w:fldCharType="separate"/>
      </w:r>
      <w:r>
        <w:t>1.3关注的主要环境问题</w:t>
      </w:r>
      <w:r>
        <w:tab/>
      </w:r>
      <w:r>
        <w:fldChar w:fldCharType="begin"/>
      </w:r>
      <w:r>
        <w:instrText xml:space="preserve"> PAGEREF _Toc18372 \h </w:instrText>
      </w:r>
      <w:r>
        <w:fldChar w:fldCharType="separate"/>
      </w:r>
      <w:r>
        <w:t>- 4 -</w:t>
      </w:r>
      <w:r>
        <w:fldChar w:fldCharType="end"/>
      </w:r>
      <w:r>
        <w:rPr>
          <w:color w:val="FF0000"/>
          <w:szCs w:val="24"/>
        </w:rPr>
        <w:fldChar w:fldCharType="end"/>
      </w:r>
    </w:p>
    <w:p w14:paraId="14D100BE">
      <w:pPr>
        <w:pStyle w:val="34"/>
        <w:tabs>
          <w:tab w:val="right" w:leader="dot" w:pos="8306"/>
        </w:tabs>
      </w:pPr>
      <w:r>
        <w:rPr>
          <w:color w:val="FF0000"/>
          <w:szCs w:val="24"/>
        </w:rPr>
        <w:fldChar w:fldCharType="begin"/>
      </w:r>
      <w:r>
        <w:rPr>
          <w:szCs w:val="24"/>
        </w:rPr>
        <w:instrText xml:space="preserve"> HYPERLINK \l _Toc30940 </w:instrText>
      </w:r>
      <w:r>
        <w:rPr>
          <w:szCs w:val="24"/>
        </w:rPr>
        <w:fldChar w:fldCharType="separate"/>
      </w:r>
      <w:r>
        <w:rPr>
          <w:rFonts w:ascii="Times New Roman" w:hAnsi="Times New Roman" w:eastAsia="宋体" w:cs="Times New Roman"/>
          <w:bCs/>
          <w:kern w:val="0"/>
          <w:szCs w:val="28"/>
        </w:rPr>
        <w:t>1.4</w:t>
      </w:r>
      <w:r>
        <w:rPr>
          <w:rFonts w:hint="eastAsia" w:ascii="Times New Roman" w:hAnsi="Times New Roman" w:eastAsia="宋体" w:cs="Times New Roman"/>
          <w:bCs/>
          <w:kern w:val="0"/>
          <w:szCs w:val="28"/>
        </w:rPr>
        <w:t>分析情况判定</w:t>
      </w:r>
      <w:r>
        <w:tab/>
      </w:r>
      <w:r>
        <w:fldChar w:fldCharType="begin"/>
      </w:r>
      <w:r>
        <w:instrText xml:space="preserve"> PAGEREF _Toc30940 \h </w:instrText>
      </w:r>
      <w:r>
        <w:fldChar w:fldCharType="separate"/>
      </w:r>
      <w:r>
        <w:t>- 5 -</w:t>
      </w:r>
      <w:r>
        <w:fldChar w:fldCharType="end"/>
      </w:r>
      <w:r>
        <w:rPr>
          <w:color w:val="FF0000"/>
          <w:szCs w:val="24"/>
        </w:rPr>
        <w:fldChar w:fldCharType="end"/>
      </w:r>
    </w:p>
    <w:p w14:paraId="6D8FD20F">
      <w:pPr>
        <w:pStyle w:val="34"/>
        <w:tabs>
          <w:tab w:val="right" w:leader="dot" w:pos="8306"/>
        </w:tabs>
      </w:pPr>
      <w:r>
        <w:rPr>
          <w:color w:val="FF0000"/>
          <w:szCs w:val="24"/>
        </w:rPr>
        <w:fldChar w:fldCharType="begin"/>
      </w:r>
      <w:r>
        <w:rPr>
          <w:szCs w:val="24"/>
        </w:rPr>
        <w:instrText xml:space="preserve"> HYPERLINK \l _Toc117 </w:instrText>
      </w:r>
      <w:r>
        <w:rPr>
          <w:szCs w:val="24"/>
        </w:rPr>
        <w:fldChar w:fldCharType="separate"/>
      </w:r>
      <w:r>
        <w:rPr>
          <w:rFonts w:ascii="Times New Roman" w:hAnsi="Times New Roman" w:eastAsia="宋体" w:cs="Times New Roman"/>
          <w:bCs/>
          <w:kern w:val="0"/>
          <w:szCs w:val="28"/>
        </w:rPr>
        <w:t>1.5</w:t>
      </w:r>
      <w:r>
        <w:rPr>
          <w:rFonts w:hint="eastAsia" w:ascii="Times New Roman" w:hAnsi="Times New Roman" w:eastAsia="宋体" w:cs="Times New Roman"/>
          <w:bCs/>
          <w:kern w:val="0"/>
          <w:szCs w:val="28"/>
        </w:rPr>
        <w:t>项目环境影响评价的主要结论</w:t>
      </w:r>
      <w:r>
        <w:tab/>
      </w:r>
      <w:r>
        <w:fldChar w:fldCharType="begin"/>
      </w:r>
      <w:r>
        <w:instrText xml:space="preserve"> PAGEREF _Toc117 \h </w:instrText>
      </w:r>
      <w:r>
        <w:fldChar w:fldCharType="separate"/>
      </w:r>
      <w:r>
        <w:t>- 23 -</w:t>
      </w:r>
      <w:r>
        <w:fldChar w:fldCharType="end"/>
      </w:r>
      <w:r>
        <w:rPr>
          <w:color w:val="FF0000"/>
          <w:szCs w:val="24"/>
        </w:rPr>
        <w:fldChar w:fldCharType="end"/>
      </w:r>
    </w:p>
    <w:p w14:paraId="5995FFFD">
      <w:pPr>
        <w:pStyle w:val="28"/>
        <w:tabs>
          <w:tab w:val="right" w:leader="dot" w:pos="8306"/>
          <w:tab w:val="clear" w:pos="8296"/>
        </w:tabs>
      </w:pPr>
      <w:r>
        <w:rPr>
          <w:color w:val="FF0000"/>
          <w:szCs w:val="24"/>
        </w:rPr>
        <w:fldChar w:fldCharType="begin"/>
      </w:r>
      <w:r>
        <w:rPr>
          <w:szCs w:val="24"/>
        </w:rPr>
        <w:instrText xml:space="preserve"> HYPERLINK \l _Toc4409 </w:instrText>
      </w:r>
      <w:r>
        <w:rPr>
          <w:szCs w:val="24"/>
        </w:rPr>
        <w:fldChar w:fldCharType="separate"/>
      </w:r>
      <w:r>
        <w:rPr>
          <w:rFonts w:ascii="Times New Roman" w:hAnsi="Times New Roman" w:eastAsia="宋体" w:cs="Times New Roman"/>
          <w:bCs/>
          <w:kern w:val="44"/>
          <w:szCs w:val="44"/>
        </w:rPr>
        <w:t>2、总则</w:t>
      </w:r>
      <w:r>
        <w:tab/>
      </w:r>
      <w:r>
        <w:fldChar w:fldCharType="begin"/>
      </w:r>
      <w:r>
        <w:instrText xml:space="preserve"> PAGEREF _Toc4409 \h </w:instrText>
      </w:r>
      <w:r>
        <w:fldChar w:fldCharType="separate"/>
      </w:r>
      <w:r>
        <w:t>- 24 -</w:t>
      </w:r>
      <w:r>
        <w:fldChar w:fldCharType="end"/>
      </w:r>
      <w:r>
        <w:rPr>
          <w:color w:val="FF0000"/>
          <w:szCs w:val="24"/>
        </w:rPr>
        <w:fldChar w:fldCharType="end"/>
      </w:r>
    </w:p>
    <w:p w14:paraId="4F623857">
      <w:pPr>
        <w:pStyle w:val="34"/>
        <w:tabs>
          <w:tab w:val="right" w:leader="dot" w:pos="8306"/>
        </w:tabs>
      </w:pPr>
      <w:r>
        <w:rPr>
          <w:color w:val="FF0000"/>
          <w:szCs w:val="24"/>
        </w:rPr>
        <w:fldChar w:fldCharType="begin"/>
      </w:r>
      <w:r>
        <w:rPr>
          <w:szCs w:val="24"/>
        </w:rPr>
        <w:instrText xml:space="preserve"> HYPERLINK \l _Toc16304 </w:instrText>
      </w:r>
      <w:r>
        <w:rPr>
          <w:szCs w:val="24"/>
        </w:rPr>
        <w:fldChar w:fldCharType="separate"/>
      </w:r>
      <w:r>
        <w:rPr>
          <w:rFonts w:ascii="Times New Roman" w:hAnsi="Times New Roman" w:eastAsia="宋体" w:cs="Times New Roman"/>
          <w:bCs/>
          <w:kern w:val="0"/>
          <w:szCs w:val="28"/>
        </w:rPr>
        <w:t>2.1编制依据</w:t>
      </w:r>
      <w:r>
        <w:tab/>
      </w:r>
      <w:r>
        <w:fldChar w:fldCharType="begin"/>
      </w:r>
      <w:r>
        <w:instrText xml:space="preserve"> PAGEREF _Toc16304 \h </w:instrText>
      </w:r>
      <w:r>
        <w:fldChar w:fldCharType="separate"/>
      </w:r>
      <w:r>
        <w:t>- 24 -</w:t>
      </w:r>
      <w:r>
        <w:fldChar w:fldCharType="end"/>
      </w:r>
      <w:r>
        <w:rPr>
          <w:color w:val="FF0000"/>
          <w:szCs w:val="24"/>
        </w:rPr>
        <w:fldChar w:fldCharType="end"/>
      </w:r>
    </w:p>
    <w:p w14:paraId="59F82E30">
      <w:pPr>
        <w:pStyle w:val="34"/>
        <w:tabs>
          <w:tab w:val="right" w:leader="dot" w:pos="8306"/>
        </w:tabs>
      </w:pPr>
      <w:r>
        <w:rPr>
          <w:color w:val="FF0000"/>
          <w:szCs w:val="24"/>
        </w:rPr>
        <w:fldChar w:fldCharType="begin"/>
      </w:r>
      <w:r>
        <w:rPr>
          <w:szCs w:val="24"/>
        </w:rPr>
        <w:instrText xml:space="preserve"> HYPERLINK \l _Toc19381 </w:instrText>
      </w:r>
      <w:r>
        <w:rPr>
          <w:szCs w:val="24"/>
        </w:rPr>
        <w:fldChar w:fldCharType="separate"/>
      </w:r>
      <w:r>
        <w:t>2.2评价目的与原则</w:t>
      </w:r>
      <w:r>
        <w:tab/>
      </w:r>
      <w:r>
        <w:fldChar w:fldCharType="begin"/>
      </w:r>
      <w:r>
        <w:instrText xml:space="preserve"> PAGEREF _Toc19381 \h </w:instrText>
      </w:r>
      <w:r>
        <w:fldChar w:fldCharType="separate"/>
      </w:r>
      <w:r>
        <w:t>- 29 -</w:t>
      </w:r>
      <w:r>
        <w:fldChar w:fldCharType="end"/>
      </w:r>
      <w:r>
        <w:rPr>
          <w:color w:val="FF0000"/>
          <w:szCs w:val="24"/>
        </w:rPr>
        <w:fldChar w:fldCharType="end"/>
      </w:r>
    </w:p>
    <w:p w14:paraId="0F4614F9">
      <w:pPr>
        <w:pStyle w:val="34"/>
        <w:tabs>
          <w:tab w:val="right" w:leader="dot" w:pos="8306"/>
        </w:tabs>
      </w:pPr>
      <w:r>
        <w:rPr>
          <w:color w:val="FF0000"/>
          <w:szCs w:val="24"/>
        </w:rPr>
        <w:fldChar w:fldCharType="begin"/>
      </w:r>
      <w:r>
        <w:rPr>
          <w:szCs w:val="24"/>
        </w:rPr>
        <w:instrText xml:space="preserve"> HYPERLINK \l _Toc29790 </w:instrText>
      </w:r>
      <w:r>
        <w:rPr>
          <w:szCs w:val="24"/>
        </w:rPr>
        <w:fldChar w:fldCharType="separate"/>
      </w:r>
      <w:r>
        <w:t>2.3评价内容与评价工作重点</w:t>
      </w:r>
      <w:r>
        <w:tab/>
      </w:r>
      <w:r>
        <w:fldChar w:fldCharType="begin"/>
      </w:r>
      <w:r>
        <w:instrText xml:space="preserve"> PAGEREF _Toc29790 \h </w:instrText>
      </w:r>
      <w:r>
        <w:fldChar w:fldCharType="separate"/>
      </w:r>
      <w:r>
        <w:t>- 29 -</w:t>
      </w:r>
      <w:r>
        <w:fldChar w:fldCharType="end"/>
      </w:r>
      <w:r>
        <w:rPr>
          <w:color w:val="FF0000"/>
          <w:szCs w:val="24"/>
        </w:rPr>
        <w:fldChar w:fldCharType="end"/>
      </w:r>
    </w:p>
    <w:p w14:paraId="0514399B">
      <w:pPr>
        <w:pStyle w:val="34"/>
        <w:tabs>
          <w:tab w:val="right" w:leader="dot" w:pos="8306"/>
        </w:tabs>
      </w:pPr>
      <w:r>
        <w:rPr>
          <w:color w:val="FF0000"/>
          <w:szCs w:val="24"/>
        </w:rPr>
        <w:fldChar w:fldCharType="begin"/>
      </w:r>
      <w:r>
        <w:rPr>
          <w:szCs w:val="24"/>
        </w:rPr>
        <w:instrText xml:space="preserve"> HYPERLINK \l _Toc7017 </w:instrText>
      </w:r>
      <w:r>
        <w:rPr>
          <w:szCs w:val="24"/>
        </w:rPr>
        <w:fldChar w:fldCharType="separate"/>
      </w:r>
      <w:r>
        <w:t>2.4评价因子与评价标准</w:t>
      </w:r>
      <w:r>
        <w:tab/>
      </w:r>
      <w:r>
        <w:fldChar w:fldCharType="begin"/>
      </w:r>
      <w:r>
        <w:instrText xml:space="preserve"> PAGEREF _Toc7017 \h </w:instrText>
      </w:r>
      <w:r>
        <w:fldChar w:fldCharType="separate"/>
      </w:r>
      <w:r>
        <w:t>- 30 -</w:t>
      </w:r>
      <w:r>
        <w:fldChar w:fldCharType="end"/>
      </w:r>
      <w:r>
        <w:rPr>
          <w:color w:val="FF0000"/>
          <w:szCs w:val="24"/>
        </w:rPr>
        <w:fldChar w:fldCharType="end"/>
      </w:r>
    </w:p>
    <w:p w14:paraId="39D0BFA6">
      <w:pPr>
        <w:pStyle w:val="34"/>
        <w:tabs>
          <w:tab w:val="right" w:leader="dot" w:pos="8306"/>
        </w:tabs>
      </w:pPr>
      <w:r>
        <w:rPr>
          <w:color w:val="FF0000"/>
          <w:szCs w:val="24"/>
        </w:rPr>
        <w:fldChar w:fldCharType="begin"/>
      </w:r>
      <w:r>
        <w:rPr>
          <w:szCs w:val="24"/>
        </w:rPr>
        <w:instrText xml:space="preserve"> HYPERLINK \l _Toc28064 </w:instrText>
      </w:r>
      <w:r>
        <w:rPr>
          <w:szCs w:val="24"/>
        </w:rPr>
        <w:fldChar w:fldCharType="separate"/>
      </w:r>
      <w:r>
        <w:rPr>
          <w:rFonts w:ascii="Times New Roman" w:hAnsi="Times New Roman" w:eastAsia="宋体" w:cs="Times New Roman"/>
          <w:bCs/>
          <w:kern w:val="0"/>
          <w:szCs w:val="28"/>
        </w:rPr>
        <w:t>2.5评价等级以及评价范围</w:t>
      </w:r>
      <w:r>
        <w:tab/>
      </w:r>
      <w:r>
        <w:fldChar w:fldCharType="begin"/>
      </w:r>
      <w:r>
        <w:instrText xml:space="preserve"> PAGEREF _Toc28064 \h </w:instrText>
      </w:r>
      <w:r>
        <w:fldChar w:fldCharType="separate"/>
      </w:r>
      <w:r>
        <w:t>- 36 -</w:t>
      </w:r>
      <w:r>
        <w:fldChar w:fldCharType="end"/>
      </w:r>
      <w:r>
        <w:rPr>
          <w:color w:val="FF0000"/>
          <w:szCs w:val="24"/>
        </w:rPr>
        <w:fldChar w:fldCharType="end"/>
      </w:r>
    </w:p>
    <w:p w14:paraId="2CE125C9">
      <w:pPr>
        <w:pStyle w:val="34"/>
        <w:tabs>
          <w:tab w:val="right" w:leader="dot" w:pos="8306"/>
        </w:tabs>
      </w:pPr>
      <w:r>
        <w:rPr>
          <w:color w:val="FF0000"/>
          <w:szCs w:val="24"/>
        </w:rPr>
        <w:fldChar w:fldCharType="begin"/>
      </w:r>
      <w:r>
        <w:rPr>
          <w:szCs w:val="24"/>
        </w:rPr>
        <w:instrText xml:space="preserve"> HYPERLINK \l _Toc24995 </w:instrText>
      </w:r>
      <w:r>
        <w:rPr>
          <w:szCs w:val="24"/>
        </w:rPr>
        <w:fldChar w:fldCharType="separate"/>
      </w:r>
      <w:r>
        <w:rPr>
          <w:rFonts w:ascii="Times New Roman" w:hAnsi="Times New Roman" w:eastAsia="宋体" w:cs="Times New Roman"/>
          <w:bCs/>
          <w:kern w:val="0"/>
          <w:szCs w:val="28"/>
        </w:rPr>
        <w:t>2.6保护目标</w:t>
      </w:r>
      <w:r>
        <w:tab/>
      </w:r>
      <w:r>
        <w:fldChar w:fldCharType="begin"/>
      </w:r>
      <w:r>
        <w:instrText xml:space="preserve"> PAGEREF _Toc24995 \h </w:instrText>
      </w:r>
      <w:r>
        <w:fldChar w:fldCharType="separate"/>
      </w:r>
      <w:r>
        <w:t>- 43 -</w:t>
      </w:r>
      <w:r>
        <w:fldChar w:fldCharType="end"/>
      </w:r>
      <w:r>
        <w:rPr>
          <w:color w:val="FF0000"/>
          <w:szCs w:val="24"/>
        </w:rPr>
        <w:fldChar w:fldCharType="end"/>
      </w:r>
    </w:p>
    <w:p w14:paraId="4A07E6A9">
      <w:pPr>
        <w:pStyle w:val="28"/>
        <w:tabs>
          <w:tab w:val="right" w:leader="dot" w:pos="8306"/>
          <w:tab w:val="clear" w:pos="8296"/>
        </w:tabs>
      </w:pPr>
      <w:r>
        <w:rPr>
          <w:color w:val="FF0000"/>
          <w:szCs w:val="24"/>
        </w:rPr>
        <w:fldChar w:fldCharType="begin"/>
      </w:r>
      <w:r>
        <w:rPr>
          <w:szCs w:val="24"/>
        </w:rPr>
        <w:instrText xml:space="preserve"> HYPERLINK \l _Toc17302 </w:instrText>
      </w:r>
      <w:r>
        <w:rPr>
          <w:szCs w:val="24"/>
        </w:rPr>
        <w:fldChar w:fldCharType="separate"/>
      </w:r>
      <w:r>
        <w:t>3、项目概况</w:t>
      </w:r>
      <w:r>
        <w:tab/>
      </w:r>
      <w:r>
        <w:fldChar w:fldCharType="begin"/>
      </w:r>
      <w:r>
        <w:instrText xml:space="preserve"> PAGEREF _Toc17302 \h </w:instrText>
      </w:r>
      <w:r>
        <w:fldChar w:fldCharType="separate"/>
      </w:r>
      <w:r>
        <w:t>- 48 -</w:t>
      </w:r>
      <w:r>
        <w:fldChar w:fldCharType="end"/>
      </w:r>
      <w:r>
        <w:rPr>
          <w:color w:val="FF0000"/>
          <w:szCs w:val="24"/>
        </w:rPr>
        <w:fldChar w:fldCharType="end"/>
      </w:r>
    </w:p>
    <w:p w14:paraId="13C859D3">
      <w:pPr>
        <w:pStyle w:val="34"/>
        <w:tabs>
          <w:tab w:val="right" w:leader="dot" w:pos="8306"/>
        </w:tabs>
      </w:pPr>
      <w:r>
        <w:rPr>
          <w:color w:val="FF0000"/>
          <w:szCs w:val="24"/>
        </w:rPr>
        <w:fldChar w:fldCharType="begin"/>
      </w:r>
      <w:r>
        <w:rPr>
          <w:szCs w:val="24"/>
        </w:rPr>
        <w:instrText xml:space="preserve"> HYPERLINK \l _Toc10745 </w:instrText>
      </w:r>
      <w:r>
        <w:rPr>
          <w:szCs w:val="24"/>
        </w:rPr>
        <w:fldChar w:fldCharType="separate"/>
      </w:r>
      <w:r>
        <w:t>3.1</w:t>
      </w:r>
      <w:r>
        <w:rPr>
          <w:rFonts w:hint="eastAsia"/>
        </w:rPr>
        <w:t>现有工程概况</w:t>
      </w:r>
      <w:r>
        <w:tab/>
      </w:r>
      <w:r>
        <w:fldChar w:fldCharType="begin"/>
      </w:r>
      <w:r>
        <w:instrText xml:space="preserve"> PAGEREF _Toc10745 \h </w:instrText>
      </w:r>
      <w:r>
        <w:fldChar w:fldCharType="separate"/>
      </w:r>
      <w:r>
        <w:t>- 48 -</w:t>
      </w:r>
      <w:r>
        <w:fldChar w:fldCharType="end"/>
      </w:r>
      <w:r>
        <w:rPr>
          <w:color w:val="FF0000"/>
          <w:szCs w:val="24"/>
        </w:rPr>
        <w:fldChar w:fldCharType="end"/>
      </w:r>
    </w:p>
    <w:p w14:paraId="4E784BBC">
      <w:pPr>
        <w:pStyle w:val="34"/>
        <w:tabs>
          <w:tab w:val="right" w:leader="dot" w:pos="8306"/>
        </w:tabs>
      </w:pPr>
      <w:r>
        <w:rPr>
          <w:color w:val="FF0000"/>
          <w:szCs w:val="24"/>
        </w:rPr>
        <w:fldChar w:fldCharType="begin"/>
      </w:r>
      <w:r>
        <w:rPr>
          <w:szCs w:val="24"/>
        </w:rPr>
        <w:instrText xml:space="preserve"> HYPERLINK \l _Toc16267 </w:instrText>
      </w:r>
      <w:r>
        <w:rPr>
          <w:szCs w:val="24"/>
        </w:rPr>
        <w:fldChar w:fldCharType="separate"/>
      </w:r>
      <w:r>
        <w:t>3.2</w:t>
      </w:r>
      <w:r>
        <w:rPr>
          <w:rFonts w:hint="eastAsia"/>
        </w:rPr>
        <w:t>拟建工程概况</w:t>
      </w:r>
      <w:r>
        <w:tab/>
      </w:r>
      <w:r>
        <w:fldChar w:fldCharType="begin"/>
      </w:r>
      <w:r>
        <w:instrText xml:space="preserve"> PAGEREF _Toc16267 \h </w:instrText>
      </w:r>
      <w:r>
        <w:fldChar w:fldCharType="separate"/>
      </w:r>
      <w:r>
        <w:t>- 93 -</w:t>
      </w:r>
      <w:r>
        <w:fldChar w:fldCharType="end"/>
      </w:r>
      <w:r>
        <w:rPr>
          <w:color w:val="FF0000"/>
          <w:szCs w:val="24"/>
        </w:rPr>
        <w:fldChar w:fldCharType="end"/>
      </w:r>
    </w:p>
    <w:p w14:paraId="445F9AEE">
      <w:pPr>
        <w:pStyle w:val="28"/>
        <w:tabs>
          <w:tab w:val="right" w:leader="dot" w:pos="8306"/>
          <w:tab w:val="clear" w:pos="8296"/>
        </w:tabs>
      </w:pPr>
      <w:r>
        <w:rPr>
          <w:color w:val="FF0000"/>
          <w:szCs w:val="24"/>
        </w:rPr>
        <w:fldChar w:fldCharType="begin"/>
      </w:r>
      <w:r>
        <w:rPr>
          <w:szCs w:val="24"/>
        </w:rPr>
        <w:instrText xml:space="preserve"> HYPERLINK \l _Toc7254 </w:instrText>
      </w:r>
      <w:r>
        <w:rPr>
          <w:szCs w:val="24"/>
        </w:rPr>
        <w:fldChar w:fldCharType="separate"/>
      </w:r>
      <w:r>
        <w:t>4、工程分析</w:t>
      </w:r>
      <w:r>
        <w:tab/>
      </w:r>
      <w:r>
        <w:fldChar w:fldCharType="begin"/>
      </w:r>
      <w:r>
        <w:instrText xml:space="preserve"> PAGEREF _Toc7254 \h </w:instrText>
      </w:r>
      <w:r>
        <w:fldChar w:fldCharType="separate"/>
      </w:r>
      <w:r>
        <w:t>- 106 -</w:t>
      </w:r>
      <w:r>
        <w:fldChar w:fldCharType="end"/>
      </w:r>
      <w:r>
        <w:rPr>
          <w:color w:val="FF0000"/>
          <w:szCs w:val="24"/>
        </w:rPr>
        <w:fldChar w:fldCharType="end"/>
      </w:r>
    </w:p>
    <w:p w14:paraId="75532B8A">
      <w:pPr>
        <w:pStyle w:val="34"/>
        <w:tabs>
          <w:tab w:val="right" w:leader="dot" w:pos="8306"/>
        </w:tabs>
      </w:pPr>
      <w:r>
        <w:rPr>
          <w:color w:val="FF0000"/>
          <w:szCs w:val="24"/>
        </w:rPr>
        <w:fldChar w:fldCharType="begin"/>
      </w:r>
      <w:r>
        <w:rPr>
          <w:szCs w:val="24"/>
        </w:rPr>
        <w:instrText xml:space="preserve"> HYPERLINK \l _Toc1632 </w:instrText>
      </w:r>
      <w:r>
        <w:rPr>
          <w:szCs w:val="24"/>
        </w:rPr>
        <w:fldChar w:fldCharType="separate"/>
      </w:r>
      <w:r>
        <w:t>4.1施工期工艺流程及产污环节</w:t>
      </w:r>
      <w:r>
        <w:tab/>
      </w:r>
      <w:r>
        <w:fldChar w:fldCharType="begin"/>
      </w:r>
      <w:r>
        <w:instrText xml:space="preserve"> PAGEREF _Toc1632 \h </w:instrText>
      </w:r>
      <w:r>
        <w:fldChar w:fldCharType="separate"/>
      </w:r>
      <w:r>
        <w:t>- 106 -</w:t>
      </w:r>
      <w:r>
        <w:fldChar w:fldCharType="end"/>
      </w:r>
      <w:r>
        <w:rPr>
          <w:color w:val="FF0000"/>
          <w:szCs w:val="24"/>
        </w:rPr>
        <w:fldChar w:fldCharType="end"/>
      </w:r>
    </w:p>
    <w:p w14:paraId="7DA36E50">
      <w:pPr>
        <w:pStyle w:val="34"/>
        <w:tabs>
          <w:tab w:val="right" w:leader="dot" w:pos="8306"/>
        </w:tabs>
      </w:pPr>
      <w:r>
        <w:rPr>
          <w:color w:val="FF0000"/>
          <w:szCs w:val="24"/>
        </w:rPr>
        <w:fldChar w:fldCharType="begin"/>
      </w:r>
      <w:r>
        <w:rPr>
          <w:szCs w:val="24"/>
        </w:rPr>
        <w:instrText xml:space="preserve"> HYPERLINK \l _Toc31791 </w:instrText>
      </w:r>
      <w:r>
        <w:rPr>
          <w:szCs w:val="24"/>
        </w:rPr>
        <w:fldChar w:fldCharType="separate"/>
      </w:r>
      <w:r>
        <w:rPr>
          <w:highlight w:val="none"/>
        </w:rPr>
        <w:t>4.2运营期生产工艺流程及产污环节</w:t>
      </w:r>
      <w:r>
        <w:tab/>
      </w:r>
      <w:r>
        <w:fldChar w:fldCharType="begin"/>
      </w:r>
      <w:r>
        <w:instrText xml:space="preserve"> PAGEREF _Toc31791 \h </w:instrText>
      </w:r>
      <w:r>
        <w:fldChar w:fldCharType="separate"/>
      </w:r>
      <w:r>
        <w:t>- 106 -</w:t>
      </w:r>
      <w:r>
        <w:fldChar w:fldCharType="end"/>
      </w:r>
      <w:r>
        <w:rPr>
          <w:color w:val="FF0000"/>
          <w:szCs w:val="24"/>
        </w:rPr>
        <w:fldChar w:fldCharType="end"/>
      </w:r>
    </w:p>
    <w:p w14:paraId="03BA0DD3">
      <w:pPr>
        <w:pStyle w:val="34"/>
        <w:tabs>
          <w:tab w:val="right" w:leader="dot" w:pos="8306"/>
        </w:tabs>
      </w:pPr>
      <w:r>
        <w:rPr>
          <w:color w:val="FF0000"/>
          <w:szCs w:val="24"/>
        </w:rPr>
        <w:fldChar w:fldCharType="begin"/>
      </w:r>
      <w:r>
        <w:rPr>
          <w:szCs w:val="24"/>
        </w:rPr>
        <w:instrText xml:space="preserve"> HYPERLINK \l _Toc8041 </w:instrText>
      </w:r>
      <w:r>
        <w:rPr>
          <w:szCs w:val="24"/>
        </w:rPr>
        <w:fldChar w:fldCharType="separate"/>
      </w:r>
      <w:r>
        <w:t>4.</w:t>
      </w:r>
      <w:r>
        <w:rPr>
          <w:rFonts w:hint="eastAsia"/>
          <w:lang w:val="en-US" w:eastAsia="zh-CN"/>
        </w:rPr>
        <w:t>3</w:t>
      </w:r>
      <w:r>
        <w:t>营运期正常工况污染源分析</w:t>
      </w:r>
      <w:r>
        <w:tab/>
      </w:r>
      <w:r>
        <w:fldChar w:fldCharType="begin"/>
      </w:r>
      <w:r>
        <w:instrText xml:space="preserve"> PAGEREF _Toc8041 \h </w:instrText>
      </w:r>
      <w:r>
        <w:fldChar w:fldCharType="separate"/>
      </w:r>
      <w:r>
        <w:t>- 113 -</w:t>
      </w:r>
      <w:r>
        <w:fldChar w:fldCharType="end"/>
      </w:r>
      <w:r>
        <w:rPr>
          <w:color w:val="FF0000"/>
          <w:szCs w:val="24"/>
        </w:rPr>
        <w:fldChar w:fldCharType="end"/>
      </w:r>
    </w:p>
    <w:p w14:paraId="65050DBF">
      <w:pPr>
        <w:pStyle w:val="34"/>
        <w:tabs>
          <w:tab w:val="right" w:leader="dot" w:pos="8306"/>
        </w:tabs>
      </w:pPr>
      <w:r>
        <w:rPr>
          <w:color w:val="FF0000"/>
          <w:szCs w:val="24"/>
        </w:rPr>
        <w:fldChar w:fldCharType="begin"/>
      </w:r>
      <w:r>
        <w:rPr>
          <w:szCs w:val="24"/>
        </w:rPr>
        <w:instrText xml:space="preserve"> HYPERLINK \l _Toc1652 </w:instrText>
      </w:r>
      <w:r>
        <w:rPr>
          <w:szCs w:val="24"/>
        </w:rPr>
        <w:fldChar w:fldCharType="separate"/>
      </w:r>
      <w:r>
        <w:rPr>
          <w:rFonts w:hint="eastAsia" w:ascii="Times New Roman" w:hAnsi="Times New Roman"/>
          <w:kern w:val="0"/>
          <w:szCs w:val="28"/>
        </w:rPr>
        <w:t>4</w:t>
      </w:r>
      <w:r>
        <w:rPr>
          <w:rFonts w:ascii="Times New Roman" w:hAnsi="Times New Roman"/>
          <w:kern w:val="0"/>
          <w:szCs w:val="28"/>
        </w:rPr>
        <w:t>.5</w:t>
      </w:r>
      <w:r>
        <w:rPr>
          <w:rFonts w:hint="eastAsia" w:ascii="Times New Roman" w:hAnsi="Times New Roman"/>
          <w:kern w:val="0"/>
          <w:szCs w:val="28"/>
        </w:rPr>
        <w:t>营运期非正常工况污染源分析</w:t>
      </w:r>
      <w:r>
        <w:tab/>
      </w:r>
      <w:r>
        <w:fldChar w:fldCharType="begin"/>
      </w:r>
      <w:r>
        <w:instrText xml:space="preserve"> PAGEREF _Toc1652 \h </w:instrText>
      </w:r>
      <w:r>
        <w:fldChar w:fldCharType="separate"/>
      </w:r>
      <w:r>
        <w:t>- 124 -</w:t>
      </w:r>
      <w:r>
        <w:fldChar w:fldCharType="end"/>
      </w:r>
      <w:r>
        <w:rPr>
          <w:color w:val="FF0000"/>
          <w:szCs w:val="24"/>
        </w:rPr>
        <w:fldChar w:fldCharType="end"/>
      </w:r>
    </w:p>
    <w:p w14:paraId="53B2FE57">
      <w:pPr>
        <w:pStyle w:val="34"/>
        <w:tabs>
          <w:tab w:val="right" w:leader="dot" w:pos="8306"/>
        </w:tabs>
      </w:pPr>
      <w:r>
        <w:rPr>
          <w:color w:val="FF0000"/>
          <w:szCs w:val="24"/>
        </w:rPr>
        <w:fldChar w:fldCharType="begin"/>
      </w:r>
      <w:r>
        <w:rPr>
          <w:szCs w:val="24"/>
        </w:rPr>
        <w:instrText xml:space="preserve"> HYPERLINK \l _Toc796 </w:instrText>
      </w:r>
      <w:r>
        <w:rPr>
          <w:szCs w:val="24"/>
        </w:rPr>
        <w:fldChar w:fldCharType="separate"/>
      </w:r>
      <w:r>
        <w:rPr>
          <w:rFonts w:hint="eastAsia" w:ascii="Times New Roman" w:hAnsi="Times New Roman"/>
          <w:kern w:val="0"/>
          <w:szCs w:val="28"/>
        </w:rPr>
        <w:t>4</w:t>
      </w:r>
      <w:r>
        <w:rPr>
          <w:rFonts w:ascii="Times New Roman" w:hAnsi="Times New Roman"/>
          <w:kern w:val="0"/>
          <w:szCs w:val="28"/>
        </w:rPr>
        <w:t>.</w:t>
      </w:r>
      <w:r>
        <w:rPr>
          <w:rFonts w:hint="eastAsia" w:ascii="Times New Roman" w:hAnsi="Times New Roman"/>
          <w:kern w:val="0"/>
          <w:szCs w:val="28"/>
        </w:rPr>
        <w:t>6建设项目污染物排放量汇总表</w:t>
      </w:r>
      <w:r>
        <w:tab/>
      </w:r>
      <w:r>
        <w:fldChar w:fldCharType="begin"/>
      </w:r>
      <w:r>
        <w:instrText xml:space="preserve"> PAGEREF _Toc796 \h </w:instrText>
      </w:r>
      <w:r>
        <w:fldChar w:fldCharType="separate"/>
      </w:r>
      <w:r>
        <w:t>- 125 -</w:t>
      </w:r>
      <w:r>
        <w:fldChar w:fldCharType="end"/>
      </w:r>
      <w:r>
        <w:rPr>
          <w:color w:val="FF0000"/>
          <w:szCs w:val="24"/>
        </w:rPr>
        <w:fldChar w:fldCharType="end"/>
      </w:r>
    </w:p>
    <w:p w14:paraId="453C938A">
      <w:pPr>
        <w:pStyle w:val="34"/>
        <w:tabs>
          <w:tab w:val="right" w:leader="dot" w:pos="8306"/>
        </w:tabs>
      </w:pPr>
      <w:r>
        <w:rPr>
          <w:color w:val="FF0000"/>
          <w:szCs w:val="24"/>
        </w:rPr>
        <w:fldChar w:fldCharType="begin"/>
      </w:r>
      <w:r>
        <w:rPr>
          <w:szCs w:val="24"/>
        </w:rPr>
        <w:instrText xml:space="preserve"> HYPERLINK \l _Toc19453 </w:instrText>
      </w:r>
      <w:r>
        <w:rPr>
          <w:szCs w:val="24"/>
        </w:rPr>
        <w:fldChar w:fldCharType="separate"/>
      </w:r>
      <w:r>
        <w:rPr>
          <w:rFonts w:hint="eastAsia" w:ascii="Times New Roman" w:hAnsi="Times New Roman"/>
          <w:kern w:val="0"/>
          <w:szCs w:val="28"/>
        </w:rPr>
        <w:t>4</w:t>
      </w:r>
      <w:r>
        <w:rPr>
          <w:rFonts w:ascii="Times New Roman" w:hAnsi="Times New Roman"/>
          <w:kern w:val="0"/>
          <w:szCs w:val="28"/>
        </w:rPr>
        <w:t>.</w:t>
      </w:r>
      <w:r>
        <w:rPr>
          <w:rFonts w:hint="eastAsia" w:ascii="Times New Roman" w:hAnsi="Times New Roman"/>
          <w:kern w:val="0"/>
          <w:szCs w:val="28"/>
        </w:rPr>
        <w:t>7总量控制</w:t>
      </w:r>
      <w:r>
        <w:tab/>
      </w:r>
      <w:r>
        <w:fldChar w:fldCharType="begin"/>
      </w:r>
      <w:r>
        <w:instrText xml:space="preserve"> PAGEREF _Toc19453 \h </w:instrText>
      </w:r>
      <w:r>
        <w:fldChar w:fldCharType="separate"/>
      </w:r>
      <w:r>
        <w:t>- 127 -</w:t>
      </w:r>
      <w:r>
        <w:fldChar w:fldCharType="end"/>
      </w:r>
      <w:r>
        <w:rPr>
          <w:color w:val="FF0000"/>
          <w:szCs w:val="24"/>
        </w:rPr>
        <w:fldChar w:fldCharType="end"/>
      </w:r>
    </w:p>
    <w:p w14:paraId="3EC78109">
      <w:pPr>
        <w:pStyle w:val="28"/>
        <w:tabs>
          <w:tab w:val="right" w:leader="dot" w:pos="8306"/>
          <w:tab w:val="clear" w:pos="8296"/>
        </w:tabs>
      </w:pPr>
      <w:r>
        <w:rPr>
          <w:color w:val="FF0000"/>
          <w:szCs w:val="24"/>
        </w:rPr>
        <w:fldChar w:fldCharType="begin"/>
      </w:r>
      <w:r>
        <w:rPr>
          <w:szCs w:val="24"/>
        </w:rPr>
        <w:instrText xml:space="preserve"> HYPERLINK \l _Toc30780 </w:instrText>
      </w:r>
      <w:r>
        <w:rPr>
          <w:szCs w:val="24"/>
        </w:rPr>
        <w:fldChar w:fldCharType="separate"/>
      </w:r>
      <w:r>
        <w:t>5、环境现状调查及评价</w:t>
      </w:r>
      <w:r>
        <w:tab/>
      </w:r>
      <w:r>
        <w:fldChar w:fldCharType="begin"/>
      </w:r>
      <w:r>
        <w:instrText xml:space="preserve"> PAGEREF _Toc30780 \h </w:instrText>
      </w:r>
      <w:r>
        <w:fldChar w:fldCharType="separate"/>
      </w:r>
      <w:r>
        <w:t>- 128 -</w:t>
      </w:r>
      <w:r>
        <w:fldChar w:fldCharType="end"/>
      </w:r>
      <w:r>
        <w:rPr>
          <w:color w:val="FF0000"/>
          <w:szCs w:val="24"/>
        </w:rPr>
        <w:fldChar w:fldCharType="end"/>
      </w:r>
    </w:p>
    <w:p w14:paraId="303711AC">
      <w:pPr>
        <w:pStyle w:val="34"/>
        <w:tabs>
          <w:tab w:val="right" w:leader="dot" w:pos="8306"/>
        </w:tabs>
      </w:pPr>
      <w:r>
        <w:rPr>
          <w:color w:val="FF0000"/>
          <w:szCs w:val="24"/>
        </w:rPr>
        <w:fldChar w:fldCharType="begin"/>
      </w:r>
      <w:r>
        <w:rPr>
          <w:szCs w:val="24"/>
        </w:rPr>
        <w:instrText xml:space="preserve"> HYPERLINK \l _Toc21643 </w:instrText>
      </w:r>
      <w:r>
        <w:rPr>
          <w:szCs w:val="24"/>
        </w:rPr>
        <w:fldChar w:fldCharType="separate"/>
      </w:r>
      <w:r>
        <w:t>5.1自然环境现状</w:t>
      </w:r>
      <w:r>
        <w:tab/>
      </w:r>
      <w:r>
        <w:fldChar w:fldCharType="begin"/>
      </w:r>
      <w:r>
        <w:instrText xml:space="preserve"> PAGEREF _Toc21643 \h </w:instrText>
      </w:r>
      <w:r>
        <w:fldChar w:fldCharType="separate"/>
      </w:r>
      <w:r>
        <w:t>- 128 -</w:t>
      </w:r>
      <w:r>
        <w:fldChar w:fldCharType="end"/>
      </w:r>
      <w:r>
        <w:rPr>
          <w:color w:val="FF0000"/>
          <w:szCs w:val="24"/>
        </w:rPr>
        <w:fldChar w:fldCharType="end"/>
      </w:r>
    </w:p>
    <w:p w14:paraId="136BAFFD">
      <w:pPr>
        <w:pStyle w:val="34"/>
        <w:tabs>
          <w:tab w:val="right" w:leader="dot" w:pos="8306"/>
        </w:tabs>
      </w:pPr>
      <w:r>
        <w:rPr>
          <w:color w:val="FF0000"/>
          <w:szCs w:val="24"/>
        </w:rPr>
        <w:fldChar w:fldCharType="begin"/>
      </w:r>
      <w:r>
        <w:rPr>
          <w:szCs w:val="24"/>
        </w:rPr>
        <w:instrText xml:space="preserve"> HYPERLINK \l _Toc31595 </w:instrText>
      </w:r>
      <w:r>
        <w:rPr>
          <w:szCs w:val="24"/>
        </w:rPr>
        <w:fldChar w:fldCharType="separate"/>
      </w:r>
      <w:r>
        <w:rPr>
          <w:rFonts w:hint="eastAsia"/>
        </w:rPr>
        <w:t>5.2</w:t>
      </w:r>
      <w:r>
        <w:t>重要环境敏感区</w:t>
      </w:r>
      <w:r>
        <w:tab/>
      </w:r>
      <w:r>
        <w:fldChar w:fldCharType="begin"/>
      </w:r>
      <w:r>
        <w:instrText xml:space="preserve"> PAGEREF _Toc31595 \h </w:instrText>
      </w:r>
      <w:r>
        <w:fldChar w:fldCharType="separate"/>
      </w:r>
      <w:r>
        <w:t>- 133 -</w:t>
      </w:r>
      <w:r>
        <w:fldChar w:fldCharType="end"/>
      </w:r>
      <w:r>
        <w:rPr>
          <w:color w:val="FF0000"/>
          <w:szCs w:val="24"/>
        </w:rPr>
        <w:fldChar w:fldCharType="end"/>
      </w:r>
    </w:p>
    <w:p w14:paraId="29FB24B9">
      <w:pPr>
        <w:pStyle w:val="34"/>
        <w:tabs>
          <w:tab w:val="right" w:leader="dot" w:pos="8306"/>
        </w:tabs>
      </w:pPr>
      <w:r>
        <w:rPr>
          <w:color w:val="FF0000"/>
          <w:szCs w:val="24"/>
        </w:rPr>
        <w:fldChar w:fldCharType="begin"/>
      </w:r>
      <w:r>
        <w:rPr>
          <w:szCs w:val="24"/>
        </w:rPr>
        <w:instrText xml:space="preserve"> HYPERLINK \l _Toc30350 </w:instrText>
      </w:r>
      <w:r>
        <w:rPr>
          <w:szCs w:val="24"/>
        </w:rPr>
        <w:fldChar w:fldCharType="separate"/>
      </w:r>
      <w:r>
        <w:rPr>
          <w:rFonts w:hint="eastAsia"/>
        </w:rPr>
        <w:t>5.3</w:t>
      </w:r>
      <w:r>
        <w:t>津市高新技术产业开发区</w:t>
      </w:r>
      <w:r>
        <w:tab/>
      </w:r>
      <w:r>
        <w:fldChar w:fldCharType="begin"/>
      </w:r>
      <w:r>
        <w:instrText xml:space="preserve"> PAGEREF _Toc30350 \h </w:instrText>
      </w:r>
      <w:r>
        <w:fldChar w:fldCharType="separate"/>
      </w:r>
      <w:r>
        <w:t>- 137 -</w:t>
      </w:r>
      <w:r>
        <w:fldChar w:fldCharType="end"/>
      </w:r>
      <w:r>
        <w:rPr>
          <w:color w:val="FF0000"/>
          <w:szCs w:val="24"/>
        </w:rPr>
        <w:fldChar w:fldCharType="end"/>
      </w:r>
    </w:p>
    <w:p w14:paraId="62AD6C0F">
      <w:pPr>
        <w:pStyle w:val="34"/>
        <w:tabs>
          <w:tab w:val="right" w:leader="dot" w:pos="8306"/>
        </w:tabs>
      </w:pPr>
      <w:r>
        <w:rPr>
          <w:color w:val="FF0000"/>
          <w:szCs w:val="24"/>
        </w:rPr>
        <w:fldChar w:fldCharType="begin"/>
      </w:r>
      <w:r>
        <w:rPr>
          <w:szCs w:val="24"/>
        </w:rPr>
        <w:instrText xml:space="preserve"> HYPERLINK \l _Toc3149 </w:instrText>
      </w:r>
      <w:r>
        <w:rPr>
          <w:szCs w:val="24"/>
        </w:rPr>
        <w:fldChar w:fldCharType="separate"/>
      </w:r>
      <w:r>
        <w:t>5.</w:t>
      </w:r>
      <w:r>
        <w:rPr>
          <w:rFonts w:hint="eastAsia"/>
        </w:rPr>
        <w:t>4环境质量现状调查与评价</w:t>
      </w:r>
      <w:r>
        <w:tab/>
      </w:r>
      <w:r>
        <w:fldChar w:fldCharType="begin"/>
      </w:r>
      <w:r>
        <w:instrText xml:space="preserve"> PAGEREF _Toc3149 \h </w:instrText>
      </w:r>
      <w:r>
        <w:fldChar w:fldCharType="separate"/>
      </w:r>
      <w:r>
        <w:t>162</w:t>
      </w:r>
      <w:r>
        <w:fldChar w:fldCharType="end"/>
      </w:r>
      <w:r>
        <w:rPr>
          <w:color w:val="FF0000"/>
          <w:szCs w:val="24"/>
        </w:rPr>
        <w:fldChar w:fldCharType="end"/>
      </w:r>
    </w:p>
    <w:p w14:paraId="4B035CB1">
      <w:pPr>
        <w:pStyle w:val="28"/>
        <w:tabs>
          <w:tab w:val="right" w:leader="dot" w:pos="8306"/>
          <w:tab w:val="clear" w:pos="8296"/>
        </w:tabs>
      </w:pPr>
      <w:r>
        <w:rPr>
          <w:color w:val="FF0000"/>
          <w:szCs w:val="24"/>
        </w:rPr>
        <w:fldChar w:fldCharType="begin"/>
      </w:r>
      <w:r>
        <w:rPr>
          <w:szCs w:val="24"/>
        </w:rPr>
        <w:instrText xml:space="preserve"> HYPERLINK \l _Toc29259 </w:instrText>
      </w:r>
      <w:r>
        <w:rPr>
          <w:szCs w:val="24"/>
        </w:rPr>
        <w:fldChar w:fldCharType="separate"/>
      </w:r>
      <w:r>
        <w:rPr>
          <w:rFonts w:ascii="Times New Roman" w:hAnsi="Times New Roman"/>
          <w:bCs w:val="0"/>
        </w:rPr>
        <w:t>6、环境影响分析</w:t>
      </w:r>
      <w:r>
        <w:tab/>
      </w:r>
      <w:r>
        <w:fldChar w:fldCharType="begin"/>
      </w:r>
      <w:r>
        <w:instrText xml:space="preserve"> PAGEREF _Toc29259 \h </w:instrText>
      </w:r>
      <w:r>
        <w:fldChar w:fldCharType="separate"/>
      </w:r>
      <w:r>
        <w:t>- 185 -</w:t>
      </w:r>
      <w:r>
        <w:fldChar w:fldCharType="end"/>
      </w:r>
      <w:r>
        <w:rPr>
          <w:color w:val="FF0000"/>
          <w:szCs w:val="24"/>
        </w:rPr>
        <w:fldChar w:fldCharType="end"/>
      </w:r>
    </w:p>
    <w:p w14:paraId="5CA9B800">
      <w:pPr>
        <w:pStyle w:val="34"/>
        <w:tabs>
          <w:tab w:val="right" w:leader="dot" w:pos="8306"/>
        </w:tabs>
      </w:pPr>
      <w:r>
        <w:rPr>
          <w:color w:val="FF0000"/>
          <w:szCs w:val="24"/>
        </w:rPr>
        <w:fldChar w:fldCharType="begin"/>
      </w:r>
      <w:r>
        <w:rPr>
          <w:szCs w:val="24"/>
        </w:rPr>
        <w:instrText xml:space="preserve"> HYPERLINK \l _Toc21652 </w:instrText>
      </w:r>
      <w:r>
        <w:rPr>
          <w:szCs w:val="24"/>
        </w:rPr>
        <w:fldChar w:fldCharType="separate"/>
      </w:r>
      <w:r>
        <w:rPr>
          <w:rFonts w:ascii="Times New Roman" w:hAnsi="Times New Roman"/>
          <w:kern w:val="0"/>
          <w:szCs w:val="28"/>
        </w:rPr>
        <w:t>6.1施工期环境影响分析</w:t>
      </w:r>
      <w:r>
        <w:tab/>
      </w:r>
      <w:r>
        <w:fldChar w:fldCharType="begin"/>
      </w:r>
      <w:r>
        <w:instrText xml:space="preserve"> PAGEREF _Toc21652 \h </w:instrText>
      </w:r>
      <w:r>
        <w:fldChar w:fldCharType="separate"/>
      </w:r>
      <w:r>
        <w:t>- 185 -</w:t>
      </w:r>
      <w:r>
        <w:fldChar w:fldCharType="end"/>
      </w:r>
      <w:r>
        <w:rPr>
          <w:color w:val="FF0000"/>
          <w:szCs w:val="24"/>
        </w:rPr>
        <w:fldChar w:fldCharType="end"/>
      </w:r>
    </w:p>
    <w:p w14:paraId="5FF3BF22">
      <w:pPr>
        <w:pStyle w:val="34"/>
        <w:tabs>
          <w:tab w:val="right" w:leader="dot" w:pos="8306"/>
        </w:tabs>
      </w:pPr>
      <w:r>
        <w:rPr>
          <w:color w:val="FF0000"/>
          <w:szCs w:val="24"/>
        </w:rPr>
        <w:fldChar w:fldCharType="begin"/>
      </w:r>
      <w:r>
        <w:rPr>
          <w:szCs w:val="24"/>
        </w:rPr>
        <w:instrText xml:space="preserve"> HYPERLINK \l _Toc4895 </w:instrText>
      </w:r>
      <w:r>
        <w:rPr>
          <w:szCs w:val="24"/>
        </w:rPr>
        <w:fldChar w:fldCharType="separate"/>
      </w:r>
      <w:r>
        <w:rPr>
          <w:rFonts w:ascii="Times New Roman" w:hAnsi="Times New Roman"/>
          <w:kern w:val="0"/>
          <w:szCs w:val="28"/>
        </w:rPr>
        <w:t>6.2营运期环境影响分析</w:t>
      </w:r>
      <w:r>
        <w:tab/>
      </w:r>
      <w:r>
        <w:fldChar w:fldCharType="begin"/>
      </w:r>
      <w:r>
        <w:instrText xml:space="preserve"> PAGEREF _Toc4895 \h </w:instrText>
      </w:r>
      <w:r>
        <w:fldChar w:fldCharType="separate"/>
      </w:r>
      <w:r>
        <w:t>- 185 -</w:t>
      </w:r>
      <w:r>
        <w:fldChar w:fldCharType="end"/>
      </w:r>
      <w:r>
        <w:rPr>
          <w:color w:val="FF0000"/>
          <w:szCs w:val="24"/>
        </w:rPr>
        <w:fldChar w:fldCharType="end"/>
      </w:r>
    </w:p>
    <w:p w14:paraId="63F780E6">
      <w:pPr>
        <w:pStyle w:val="28"/>
        <w:tabs>
          <w:tab w:val="right" w:leader="dot" w:pos="8306"/>
          <w:tab w:val="clear" w:pos="8296"/>
        </w:tabs>
      </w:pPr>
      <w:r>
        <w:rPr>
          <w:color w:val="FF0000"/>
          <w:szCs w:val="24"/>
        </w:rPr>
        <w:fldChar w:fldCharType="begin"/>
      </w:r>
      <w:r>
        <w:rPr>
          <w:szCs w:val="24"/>
        </w:rPr>
        <w:instrText xml:space="preserve"> HYPERLINK \l _Toc184 </w:instrText>
      </w:r>
      <w:r>
        <w:rPr>
          <w:szCs w:val="24"/>
        </w:rPr>
        <w:fldChar w:fldCharType="separate"/>
      </w:r>
      <w:r>
        <w:rPr>
          <w:rFonts w:ascii="Times New Roman" w:hAnsi="Times New Roman" w:eastAsia="宋体" w:cs="Times New Roman"/>
          <w:kern w:val="44"/>
          <w:szCs w:val="44"/>
        </w:rPr>
        <w:t>7、污染防治措施及</w:t>
      </w:r>
      <w:r>
        <w:rPr>
          <w:rFonts w:hint="eastAsia" w:ascii="Times New Roman" w:hAnsi="Times New Roman" w:eastAsia="宋体" w:cs="Times New Roman"/>
          <w:kern w:val="44"/>
          <w:szCs w:val="44"/>
        </w:rPr>
        <w:t>可行性分析</w:t>
      </w:r>
      <w:r>
        <w:tab/>
      </w:r>
      <w:r>
        <w:fldChar w:fldCharType="begin"/>
      </w:r>
      <w:r>
        <w:instrText xml:space="preserve"> PAGEREF _Toc184 \h </w:instrText>
      </w:r>
      <w:r>
        <w:fldChar w:fldCharType="separate"/>
      </w:r>
      <w:r>
        <w:t>202</w:t>
      </w:r>
      <w:r>
        <w:fldChar w:fldCharType="end"/>
      </w:r>
      <w:r>
        <w:rPr>
          <w:color w:val="FF0000"/>
          <w:szCs w:val="24"/>
        </w:rPr>
        <w:fldChar w:fldCharType="end"/>
      </w:r>
    </w:p>
    <w:p w14:paraId="3EA6EE68">
      <w:pPr>
        <w:pStyle w:val="34"/>
        <w:tabs>
          <w:tab w:val="right" w:leader="dot" w:pos="8306"/>
        </w:tabs>
      </w:pPr>
      <w:r>
        <w:rPr>
          <w:color w:val="FF0000"/>
          <w:szCs w:val="24"/>
        </w:rPr>
        <w:fldChar w:fldCharType="begin"/>
      </w:r>
      <w:r>
        <w:rPr>
          <w:szCs w:val="24"/>
        </w:rPr>
        <w:instrText xml:space="preserve"> HYPERLINK \l _Toc28658 </w:instrText>
      </w:r>
      <w:r>
        <w:rPr>
          <w:szCs w:val="24"/>
        </w:rPr>
        <w:fldChar w:fldCharType="separate"/>
      </w:r>
      <w:r>
        <w:rPr>
          <w:rFonts w:hint="eastAsia" w:ascii="Times New Roman" w:hAnsi="Times New Roman" w:eastAsia="宋体" w:cs="Times New Roman"/>
          <w:bCs/>
          <w:kern w:val="0"/>
          <w:szCs w:val="28"/>
        </w:rPr>
        <w:t>7.1 施工期污染防治措施及可行性分析</w:t>
      </w:r>
      <w:r>
        <w:tab/>
      </w:r>
      <w:r>
        <w:fldChar w:fldCharType="begin"/>
      </w:r>
      <w:r>
        <w:instrText xml:space="preserve"> PAGEREF _Toc28658 \h </w:instrText>
      </w:r>
      <w:r>
        <w:fldChar w:fldCharType="separate"/>
      </w:r>
      <w:r>
        <w:t>202</w:t>
      </w:r>
      <w:r>
        <w:fldChar w:fldCharType="end"/>
      </w:r>
      <w:r>
        <w:rPr>
          <w:color w:val="FF0000"/>
          <w:szCs w:val="24"/>
        </w:rPr>
        <w:fldChar w:fldCharType="end"/>
      </w:r>
    </w:p>
    <w:p w14:paraId="1787A432">
      <w:pPr>
        <w:pStyle w:val="34"/>
        <w:tabs>
          <w:tab w:val="right" w:leader="dot" w:pos="8306"/>
        </w:tabs>
      </w:pPr>
      <w:r>
        <w:rPr>
          <w:color w:val="FF0000"/>
          <w:szCs w:val="24"/>
        </w:rPr>
        <w:fldChar w:fldCharType="begin"/>
      </w:r>
      <w:r>
        <w:rPr>
          <w:szCs w:val="24"/>
        </w:rPr>
        <w:instrText xml:space="preserve"> HYPERLINK \l _Toc7975 </w:instrText>
      </w:r>
      <w:r>
        <w:rPr>
          <w:szCs w:val="24"/>
        </w:rPr>
        <w:fldChar w:fldCharType="separate"/>
      </w:r>
      <w:r>
        <w:rPr>
          <w:rFonts w:hint="eastAsia" w:ascii="Times New Roman" w:hAnsi="Times New Roman"/>
          <w:kern w:val="0"/>
          <w:szCs w:val="28"/>
        </w:rPr>
        <w:t>7.2 营运期污染防治措施及可行性分析</w:t>
      </w:r>
      <w:r>
        <w:tab/>
      </w:r>
      <w:r>
        <w:fldChar w:fldCharType="begin"/>
      </w:r>
      <w:r>
        <w:instrText xml:space="preserve"> PAGEREF _Toc7975 \h </w:instrText>
      </w:r>
      <w:r>
        <w:fldChar w:fldCharType="separate"/>
      </w:r>
      <w:r>
        <w:t>202</w:t>
      </w:r>
      <w:r>
        <w:fldChar w:fldCharType="end"/>
      </w:r>
      <w:r>
        <w:rPr>
          <w:color w:val="FF0000"/>
          <w:szCs w:val="24"/>
        </w:rPr>
        <w:fldChar w:fldCharType="end"/>
      </w:r>
    </w:p>
    <w:p w14:paraId="29C82981">
      <w:pPr>
        <w:pStyle w:val="28"/>
        <w:tabs>
          <w:tab w:val="right" w:leader="dot" w:pos="8306"/>
          <w:tab w:val="clear" w:pos="8296"/>
        </w:tabs>
      </w:pPr>
      <w:r>
        <w:rPr>
          <w:color w:val="FF0000"/>
          <w:szCs w:val="24"/>
        </w:rPr>
        <w:fldChar w:fldCharType="begin"/>
      </w:r>
      <w:r>
        <w:rPr>
          <w:szCs w:val="24"/>
        </w:rPr>
        <w:instrText xml:space="preserve"> HYPERLINK \l _Toc27664 </w:instrText>
      </w:r>
      <w:r>
        <w:rPr>
          <w:szCs w:val="24"/>
        </w:rPr>
        <w:fldChar w:fldCharType="separate"/>
      </w:r>
      <w:r>
        <w:rPr>
          <w:rFonts w:hint="eastAsia"/>
          <w:lang w:val="en-US" w:eastAsia="zh-CN"/>
        </w:rPr>
        <w:t>8、环境风险影响分析</w:t>
      </w:r>
      <w:r>
        <w:tab/>
      </w:r>
      <w:r>
        <w:fldChar w:fldCharType="begin"/>
      </w:r>
      <w:r>
        <w:instrText xml:space="preserve"> PAGEREF _Toc27664 \h </w:instrText>
      </w:r>
      <w:r>
        <w:fldChar w:fldCharType="separate"/>
      </w:r>
      <w:r>
        <w:t>- 229 -</w:t>
      </w:r>
      <w:r>
        <w:fldChar w:fldCharType="end"/>
      </w:r>
      <w:r>
        <w:rPr>
          <w:color w:val="FF0000"/>
          <w:szCs w:val="24"/>
        </w:rPr>
        <w:fldChar w:fldCharType="end"/>
      </w:r>
    </w:p>
    <w:p w14:paraId="2062033B">
      <w:pPr>
        <w:pStyle w:val="34"/>
        <w:tabs>
          <w:tab w:val="right" w:leader="dot" w:pos="8306"/>
        </w:tabs>
      </w:pPr>
      <w:r>
        <w:rPr>
          <w:color w:val="FF0000"/>
          <w:szCs w:val="24"/>
        </w:rPr>
        <w:fldChar w:fldCharType="begin"/>
      </w:r>
      <w:r>
        <w:rPr>
          <w:szCs w:val="24"/>
        </w:rPr>
        <w:instrText xml:space="preserve"> HYPERLINK \l _Toc16938 </w:instrText>
      </w:r>
      <w:r>
        <w:rPr>
          <w:szCs w:val="24"/>
        </w:rPr>
        <w:fldChar w:fldCharType="separate"/>
      </w:r>
      <w:r>
        <w:rPr>
          <w:rFonts w:hint="eastAsia" w:ascii="Times New Roman" w:hAnsi="Times New Roman"/>
          <w:kern w:val="0"/>
          <w:szCs w:val="28"/>
          <w:lang w:val="en-US" w:eastAsia="zh-CN"/>
        </w:rPr>
        <w:t>8.1环境风险评价目的</w:t>
      </w:r>
      <w:r>
        <w:tab/>
      </w:r>
      <w:r>
        <w:fldChar w:fldCharType="begin"/>
      </w:r>
      <w:r>
        <w:instrText xml:space="preserve"> PAGEREF _Toc16938 \h </w:instrText>
      </w:r>
      <w:r>
        <w:fldChar w:fldCharType="separate"/>
      </w:r>
      <w:r>
        <w:t>- 229 -</w:t>
      </w:r>
      <w:r>
        <w:fldChar w:fldCharType="end"/>
      </w:r>
      <w:r>
        <w:rPr>
          <w:color w:val="FF0000"/>
          <w:szCs w:val="24"/>
        </w:rPr>
        <w:fldChar w:fldCharType="end"/>
      </w:r>
    </w:p>
    <w:p w14:paraId="45947ABE">
      <w:pPr>
        <w:pStyle w:val="34"/>
        <w:tabs>
          <w:tab w:val="right" w:leader="dot" w:pos="8306"/>
        </w:tabs>
      </w:pPr>
      <w:r>
        <w:rPr>
          <w:color w:val="FF0000"/>
          <w:szCs w:val="24"/>
        </w:rPr>
        <w:fldChar w:fldCharType="begin"/>
      </w:r>
      <w:r>
        <w:rPr>
          <w:szCs w:val="24"/>
        </w:rPr>
        <w:instrText xml:space="preserve"> HYPERLINK \l _Toc25607 </w:instrText>
      </w:r>
      <w:r>
        <w:rPr>
          <w:szCs w:val="24"/>
        </w:rPr>
        <w:fldChar w:fldCharType="separate"/>
      </w:r>
      <w:r>
        <w:rPr>
          <w:rFonts w:ascii="Times New Roman" w:hAnsi="Times New Roman"/>
          <w:kern w:val="0"/>
          <w:szCs w:val="28"/>
        </w:rPr>
        <w:t>8.2</w:t>
      </w:r>
      <w:r>
        <w:rPr>
          <w:rFonts w:hint="eastAsia" w:ascii="Times New Roman" w:hAnsi="Times New Roman"/>
          <w:kern w:val="0"/>
          <w:szCs w:val="28"/>
          <w:lang w:val="en-US" w:eastAsia="zh-CN"/>
        </w:rPr>
        <w:t>评价依据</w:t>
      </w:r>
      <w:r>
        <w:tab/>
      </w:r>
      <w:r>
        <w:fldChar w:fldCharType="begin"/>
      </w:r>
      <w:r>
        <w:instrText xml:space="preserve"> PAGEREF _Toc25607 \h </w:instrText>
      </w:r>
      <w:r>
        <w:fldChar w:fldCharType="separate"/>
      </w:r>
      <w:r>
        <w:t>- 229 -</w:t>
      </w:r>
      <w:r>
        <w:fldChar w:fldCharType="end"/>
      </w:r>
      <w:r>
        <w:rPr>
          <w:color w:val="FF0000"/>
          <w:szCs w:val="24"/>
        </w:rPr>
        <w:fldChar w:fldCharType="end"/>
      </w:r>
    </w:p>
    <w:p w14:paraId="6B006550">
      <w:pPr>
        <w:pStyle w:val="34"/>
        <w:tabs>
          <w:tab w:val="right" w:leader="dot" w:pos="8306"/>
        </w:tabs>
      </w:pPr>
      <w:r>
        <w:rPr>
          <w:color w:val="FF0000"/>
          <w:szCs w:val="24"/>
        </w:rPr>
        <w:fldChar w:fldCharType="begin"/>
      </w:r>
      <w:r>
        <w:rPr>
          <w:szCs w:val="24"/>
        </w:rPr>
        <w:instrText xml:space="preserve"> HYPERLINK \l _Toc16864 </w:instrText>
      </w:r>
      <w:r>
        <w:rPr>
          <w:szCs w:val="24"/>
        </w:rPr>
        <w:fldChar w:fldCharType="separate"/>
      </w:r>
      <w:r>
        <w:t>8.</w:t>
      </w:r>
      <w:r>
        <w:rPr>
          <w:rFonts w:hint="eastAsia"/>
          <w:lang w:val="en-US" w:eastAsia="zh-CN"/>
        </w:rPr>
        <w:t>3</w:t>
      </w:r>
      <w:r>
        <w:rPr>
          <w:rFonts w:hint="eastAsia"/>
        </w:rPr>
        <w:t>环境敏感目标</w:t>
      </w:r>
      <w:r>
        <w:rPr>
          <w:rFonts w:hint="eastAsia"/>
          <w:lang w:val="en-US" w:eastAsia="zh-CN"/>
        </w:rPr>
        <w:t>概况</w:t>
      </w:r>
      <w:r>
        <w:tab/>
      </w:r>
      <w:r>
        <w:fldChar w:fldCharType="begin"/>
      </w:r>
      <w:r>
        <w:instrText xml:space="preserve"> PAGEREF _Toc16864 \h </w:instrText>
      </w:r>
      <w:r>
        <w:fldChar w:fldCharType="separate"/>
      </w:r>
      <w:r>
        <w:t>- 230 -</w:t>
      </w:r>
      <w:r>
        <w:fldChar w:fldCharType="end"/>
      </w:r>
      <w:r>
        <w:rPr>
          <w:color w:val="FF0000"/>
          <w:szCs w:val="24"/>
        </w:rPr>
        <w:fldChar w:fldCharType="end"/>
      </w:r>
    </w:p>
    <w:p w14:paraId="330C514F">
      <w:pPr>
        <w:pStyle w:val="34"/>
        <w:tabs>
          <w:tab w:val="right" w:leader="dot" w:pos="8306"/>
        </w:tabs>
      </w:pPr>
      <w:r>
        <w:rPr>
          <w:color w:val="FF0000"/>
          <w:szCs w:val="24"/>
        </w:rPr>
        <w:fldChar w:fldCharType="begin"/>
      </w:r>
      <w:r>
        <w:rPr>
          <w:szCs w:val="24"/>
        </w:rPr>
        <w:instrText xml:space="preserve"> HYPERLINK \l _Toc3643 </w:instrText>
      </w:r>
      <w:r>
        <w:rPr>
          <w:szCs w:val="24"/>
        </w:rPr>
        <w:fldChar w:fldCharType="separate"/>
      </w:r>
      <w:r>
        <w:rPr>
          <w:rFonts w:ascii="Times New Roman" w:hAnsi="Times New Roman"/>
          <w:kern w:val="0"/>
          <w:szCs w:val="28"/>
        </w:rPr>
        <w:t>8.4</w:t>
      </w:r>
      <w:r>
        <w:rPr>
          <w:rFonts w:hint="eastAsia" w:ascii="Times New Roman" w:hAnsi="Times New Roman"/>
          <w:kern w:val="0"/>
          <w:szCs w:val="28"/>
          <w:lang w:val="en-US" w:eastAsia="zh-CN"/>
        </w:rPr>
        <w:t>环境</w:t>
      </w:r>
      <w:r>
        <w:rPr>
          <w:rFonts w:hint="eastAsia" w:ascii="Times New Roman" w:hAnsi="Times New Roman"/>
          <w:kern w:val="0"/>
          <w:szCs w:val="28"/>
        </w:rPr>
        <w:t>风险识别</w:t>
      </w:r>
      <w:r>
        <w:tab/>
      </w:r>
      <w:r>
        <w:fldChar w:fldCharType="begin"/>
      </w:r>
      <w:r>
        <w:instrText xml:space="preserve"> PAGEREF _Toc3643 \h </w:instrText>
      </w:r>
      <w:r>
        <w:fldChar w:fldCharType="separate"/>
      </w:r>
      <w:r>
        <w:t>- 231 -</w:t>
      </w:r>
      <w:r>
        <w:fldChar w:fldCharType="end"/>
      </w:r>
      <w:r>
        <w:rPr>
          <w:color w:val="FF0000"/>
          <w:szCs w:val="24"/>
        </w:rPr>
        <w:fldChar w:fldCharType="end"/>
      </w:r>
    </w:p>
    <w:p w14:paraId="17B48402">
      <w:pPr>
        <w:pStyle w:val="34"/>
        <w:tabs>
          <w:tab w:val="right" w:leader="dot" w:pos="8306"/>
        </w:tabs>
      </w:pPr>
      <w:r>
        <w:rPr>
          <w:color w:val="FF0000"/>
          <w:szCs w:val="24"/>
        </w:rPr>
        <w:fldChar w:fldCharType="begin"/>
      </w:r>
      <w:r>
        <w:rPr>
          <w:szCs w:val="24"/>
        </w:rPr>
        <w:instrText xml:space="preserve"> HYPERLINK \l _Toc9962 </w:instrText>
      </w:r>
      <w:r>
        <w:rPr>
          <w:szCs w:val="24"/>
        </w:rPr>
        <w:fldChar w:fldCharType="separate"/>
      </w:r>
      <w:r>
        <w:rPr>
          <w:rFonts w:ascii="Times New Roman" w:hAnsi="Times New Roman"/>
          <w:kern w:val="0"/>
          <w:szCs w:val="28"/>
        </w:rPr>
        <w:t>8.5</w:t>
      </w:r>
      <w:r>
        <w:rPr>
          <w:rFonts w:hint="eastAsia" w:ascii="Times New Roman" w:hAnsi="Times New Roman"/>
          <w:kern w:val="0"/>
          <w:szCs w:val="28"/>
          <w:lang w:val="en-US" w:eastAsia="zh-CN"/>
        </w:rPr>
        <w:t>环境风险分析</w:t>
      </w:r>
      <w:r>
        <w:tab/>
      </w:r>
      <w:r>
        <w:fldChar w:fldCharType="begin"/>
      </w:r>
      <w:r>
        <w:instrText xml:space="preserve"> PAGEREF _Toc9962 \h </w:instrText>
      </w:r>
      <w:r>
        <w:fldChar w:fldCharType="separate"/>
      </w:r>
      <w:r>
        <w:t>- 233 -</w:t>
      </w:r>
      <w:r>
        <w:fldChar w:fldCharType="end"/>
      </w:r>
      <w:r>
        <w:rPr>
          <w:color w:val="FF0000"/>
          <w:szCs w:val="24"/>
        </w:rPr>
        <w:fldChar w:fldCharType="end"/>
      </w:r>
    </w:p>
    <w:p w14:paraId="6640B0ED">
      <w:pPr>
        <w:pStyle w:val="34"/>
        <w:tabs>
          <w:tab w:val="right" w:leader="dot" w:pos="8306"/>
        </w:tabs>
      </w:pPr>
      <w:r>
        <w:rPr>
          <w:color w:val="FF0000"/>
          <w:szCs w:val="24"/>
        </w:rPr>
        <w:fldChar w:fldCharType="begin"/>
      </w:r>
      <w:r>
        <w:rPr>
          <w:szCs w:val="24"/>
        </w:rPr>
        <w:instrText xml:space="preserve"> HYPERLINK \l _Toc5451 </w:instrText>
      </w:r>
      <w:r>
        <w:rPr>
          <w:szCs w:val="24"/>
        </w:rPr>
        <w:fldChar w:fldCharType="separate"/>
      </w:r>
      <w:r>
        <w:t>8.</w:t>
      </w:r>
      <w:r>
        <w:rPr>
          <w:rFonts w:hint="eastAsia"/>
          <w:lang w:val="en-US" w:eastAsia="zh-CN"/>
        </w:rPr>
        <w:t>6</w:t>
      </w:r>
      <w:r>
        <w:rPr>
          <w:rFonts w:hint="eastAsia"/>
        </w:rPr>
        <w:t>风险防范措施</w:t>
      </w:r>
      <w:r>
        <w:tab/>
      </w:r>
      <w:r>
        <w:fldChar w:fldCharType="begin"/>
      </w:r>
      <w:r>
        <w:instrText xml:space="preserve"> PAGEREF _Toc5451 \h </w:instrText>
      </w:r>
      <w:r>
        <w:fldChar w:fldCharType="separate"/>
      </w:r>
      <w:r>
        <w:t>- 236 -</w:t>
      </w:r>
      <w:r>
        <w:fldChar w:fldCharType="end"/>
      </w:r>
      <w:r>
        <w:rPr>
          <w:color w:val="FF0000"/>
          <w:szCs w:val="24"/>
        </w:rPr>
        <w:fldChar w:fldCharType="end"/>
      </w:r>
    </w:p>
    <w:p w14:paraId="47A9D0C5">
      <w:pPr>
        <w:pStyle w:val="34"/>
        <w:tabs>
          <w:tab w:val="right" w:leader="dot" w:pos="8306"/>
        </w:tabs>
      </w:pPr>
      <w:r>
        <w:rPr>
          <w:color w:val="FF0000"/>
          <w:szCs w:val="24"/>
        </w:rPr>
        <w:fldChar w:fldCharType="begin"/>
      </w:r>
      <w:r>
        <w:rPr>
          <w:szCs w:val="24"/>
        </w:rPr>
        <w:instrText xml:space="preserve"> HYPERLINK \l _Toc19405 </w:instrText>
      </w:r>
      <w:r>
        <w:rPr>
          <w:szCs w:val="24"/>
        </w:rPr>
        <w:fldChar w:fldCharType="separate"/>
      </w:r>
      <w:r>
        <w:rPr>
          <w:rFonts w:ascii="Times New Roman" w:hAnsi="Times New Roman"/>
          <w:kern w:val="0"/>
          <w:szCs w:val="28"/>
        </w:rPr>
        <w:t>8.</w:t>
      </w:r>
      <w:r>
        <w:rPr>
          <w:rFonts w:hint="eastAsia" w:ascii="Times New Roman" w:hAnsi="Times New Roman"/>
          <w:kern w:val="0"/>
          <w:szCs w:val="28"/>
          <w:lang w:val="en-US" w:eastAsia="zh-CN"/>
        </w:rPr>
        <w:t>7</w:t>
      </w:r>
      <w:r>
        <w:rPr>
          <w:rFonts w:hint="eastAsia" w:ascii="Times New Roman" w:hAnsi="Times New Roman"/>
          <w:kern w:val="0"/>
          <w:szCs w:val="28"/>
        </w:rPr>
        <w:t>事故应急预案</w:t>
      </w:r>
      <w:r>
        <w:tab/>
      </w:r>
      <w:r>
        <w:fldChar w:fldCharType="begin"/>
      </w:r>
      <w:r>
        <w:instrText xml:space="preserve"> PAGEREF _Toc19405 \h </w:instrText>
      </w:r>
      <w:r>
        <w:fldChar w:fldCharType="separate"/>
      </w:r>
      <w:r>
        <w:t>- 241 -</w:t>
      </w:r>
      <w:r>
        <w:fldChar w:fldCharType="end"/>
      </w:r>
      <w:r>
        <w:rPr>
          <w:color w:val="FF0000"/>
          <w:szCs w:val="24"/>
        </w:rPr>
        <w:fldChar w:fldCharType="end"/>
      </w:r>
    </w:p>
    <w:p w14:paraId="67C054C9">
      <w:pPr>
        <w:pStyle w:val="34"/>
        <w:tabs>
          <w:tab w:val="right" w:leader="dot" w:pos="8306"/>
        </w:tabs>
      </w:pPr>
      <w:r>
        <w:rPr>
          <w:color w:val="FF0000"/>
          <w:szCs w:val="24"/>
        </w:rPr>
        <w:fldChar w:fldCharType="begin"/>
      </w:r>
      <w:r>
        <w:rPr>
          <w:szCs w:val="24"/>
        </w:rPr>
        <w:instrText xml:space="preserve"> HYPERLINK \l _Toc25220 </w:instrText>
      </w:r>
      <w:r>
        <w:rPr>
          <w:szCs w:val="24"/>
        </w:rPr>
        <w:fldChar w:fldCharType="separate"/>
      </w:r>
      <w:r>
        <w:rPr>
          <w:rFonts w:ascii="Times New Roman" w:hAnsi="Times New Roman"/>
          <w:kern w:val="0"/>
          <w:szCs w:val="28"/>
        </w:rPr>
        <w:t>8.</w:t>
      </w:r>
      <w:r>
        <w:rPr>
          <w:rFonts w:hint="eastAsia" w:ascii="Times New Roman" w:hAnsi="Times New Roman"/>
          <w:kern w:val="0"/>
          <w:szCs w:val="28"/>
          <w:lang w:val="en-US" w:eastAsia="zh-CN"/>
        </w:rPr>
        <w:t>8</w:t>
      </w:r>
      <w:r>
        <w:rPr>
          <w:rFonts w:hint="eastAsia" w:ascii="Times New Roman" w:hAnsi="Times New Roman"/>
          <w:kern w:val="0"/>
          <w:szCs w:val="28"/>
        </w:rPr>
        <w:t>环境风险评价结论</w:t>
      </w:r>
      <w:r>
        <w:tab/>
      </w:r>
      <w:r>
        <w:fldChar w:fldCharType="begin"/>
      </w:r>
      <w:r>
        <w:instrText xml:space="preserve"> PAGEREF _Toc25220 \h </w:instrText>
      </w:r>
      <w:r>
        <w:fldChar w:fldCharType="separate"/>
      </w:r>
      <w:r>
        <w:t>- 242 -</w:t>
      </w:r>
      <w:r>
        <w:fldChar w:fldCharType="end"/>
      </w:r>
      <w:r>
        <w:rPr>
          <w:color w:val="FF0000"/>
          <w:szCs w:val="24"/>
        </w:rPr>
        <w:fldChar w:fldCharType="end"/>
      </w:r>
    </w:p>
    <w:p w14:paraId="424E540C">
      <w:pPr>
        <w:pStyle w:val="28"/>
        <w:tabs>
          <w:tab w:val="right" w:leader="dot" w:pos="8306"/>
          <w:tab w:val="clear" w:pos="8296"/>
        </w:tabs>
      </w:pPr>
      <w:r>
        <w:rPr>
          <w:color w:val="FF0000"/>
          <w:szCs w:val="24"/>
        </w:rPr>
        <w:fldChar w:fldCharType="begin"/>
      </w:r>
      <w:r>
        <w:rPr>
          <w:szCs w:val="24"/>
        </w:rPr>
        <w:instrText xml:space="preserve"> HYPERLINK \l _Toc29206 </w:instrText>
      </w:r>
      <w:r>
        <w:rPr>
          <w:szCs w:val="24"/>
        </w:rPr>
        <w:fldChar w:fldCharType="separate"/>
      </w:r>
      <w:r>
        <w:rPr>
          <w:rFonts w:hint="eastAsia" w:ascii="Times New Roman" w:hAnsi="Times New Roman" w:eastAsia="宋体" w:cs="Times New Roman"/>
          <w:kern w:val="44"/>
          <w:szCs w:val="32"/>
        </w:rPr>
        <w:t>9、</w:t>
      </w:r>
      <w:r>
        <w:rPr>
          <w:rFonts w:ascii="Times New Roman" w:hAnsi="Times New Roman" w:eastAsia="宋体" w:cs="Times New Roman"/>
          <w:kern w:val="44"/>
          <w:szCs w:val="24"/>
        </w:rPr>
        <w:t>环境经济损益分析</w:t>
      </w:r>
      <w:r>
        <w:tab/>
      </w:r>
      <w:r>
        <w:fldChar w:fldCharType="begin"/>
      </w:r>
      <w:r>
        <w:instrText xml:space="preserve"> PAGEREF _Toc29206 \h </w:instrText>
      </w:r>
      <w:r>
        <w:fldChar w:fldCharType="separate"/>
      </w:r>
      <w:r>
        <w:t>- 243 -</w:t>
      </w:r>
      <w:r>
        <w:fldChar w:fldCharType="end"/>
      </w:r>
      <w:r>
        <w:rPr>
          <w:color w:val="FF0000"/>
          <w:szCs w:val="24"/>
        </w:rPr>
        <w:fldChar w:fldCharType="end"/>
      </w:r>
    </w:p>
    <w:p w14:paraId="44015107">
      <w:pPr>
        <w:pStyle w:val="34"/>
        <w:tabs>
          <w:tab w:val="right" w:leader="dot" w:pos="8306"/>
        </w:tabs>
      </w:pPr>
      <w:r>
        <w:rPr>
          <w:color w:val="FF0000"/>
          <w:szCs w:val="24"/>
        </w:rPr>
        <w:fldChar w:fldCharType="begin"/>
      </w:r>
      <w:r>
        <w:rPr>
          <w:szCs w:val="24"/>
        </w:rPr>
        <w:instrText xml:space="preserve"> HYPERLINK \l _Toc237 </w:instrText>
      </w:r>
      <w:r>
        <w:rPr>
          <w:szCs w:val="24"/>
        </w:rPr>
        <w:fldChar w:fldCharType="separate"/>
      </w:r>
      <w:r>
        <w:rPr>
          <w:rFonts w:hint="eastAsia" w:ascii="Times New Roman" w:hAnsi="Times New Roman" w:eastAsia="宋体" w:cs="Times New Roman"/>
          <w:bCs/>
          <w:kern w:val="0"/>
          <w:szCs w:val="28"/>
        </w:rPr>
        <w:t>9.1 经济效益分析</w:t>
      </w:r>
      <w:r>
        <w:tab/>
      </w:r>
      <w:r>
        <w:fldChar w:fldCharType="begin"/>
      </w:r>
      <w:r>
        <w:instrText xml:space="preserve"> PAGEREF _Toc237 \h </w:instrText>
      </w:r>
      <w:r>
        <w:fldChar w:fldCharType="separate"/>
      </w:r>
      <w:r>
        <w:t>- 243 -</w:t>
      </w:r>
      <w:r>
        <w:fldChar w:fldCharType="end"/>
      </w:r>
      <w:r>
        <w:rPr>
          <w:color w:val="FF0000"/>
          <w:szCs w:val="24"/>
        </w:rPr>
        <w:fldChar w:fldCharType="end"/>
      </w:r>
    </w:p>
    <w:p w14:paraId="27639491">
      <w:pPr>
        <w:pStyle w:val="34"/>
        <w:tabs>
          <w:tab w:val="right" w:leader="dot" w:pos="8306"/>
        </w:tabs>
      </w:pPr>
      <w:r>
        <w:rPr>
          <w:color w:val="FF0000"/>
          <w:szCs w:val="24"/>
        </w:rPr>
        <w:fldChar w:fldCharType="begin"/>
      </w:r>
      <w:r>
        <w:rPr>
          <w:szCs w:val="24"/>
        </w:rPr>
        <w:instrText xml:space="preserve"> HYPERLINK \l _Toc12723 </w:instrText>
      </w:r>
      <w:r>
        <w:rPr>
          <w:szCs w:val="24"/>
        </w:rPr>
        <w:fldChar w:fldCharType="separate"/>
      </w:r>
      <w:r>
        <w:rPr>
          <w:rFonts w:hint="eastAsia" w:ascii="Times New Roman" w:hAnsi="Times New Roman" w:eastAsia="宋体" w:cs="Times New Roman"/>
          <w:bCs/>
          <w:kern w:val="0"/>
          <w:szCs w:val="28"/>
        </w:rPr>
        <w:t>9.2 社会效益分析</w:t>
      </w:r>
      <w:r>
        <w:tab/>
      </w:r>
      <w:r>
        <w:fldChar w:fldCharType="begin"/>
      </w:r>
      <w:r>
        <w:instrText xml:space="preserve"> PAGEREF _Toc12723 \h </w:instrText>
      </w:r>
      <w:r>
        <w:fldChar w:fldCharType="separate"/>
      </w:r>
      <w:r>
        <w:t>- 243 -</w:t>
      </w:r>
      <w:r>
        <w:fldChar w:fldCharType="end"/>
      </w:r>
      <w:r>
        <w:rPr>
          <w:color w:val="FF0000"/>
          <w:szCs w:val="24"/>
        </w:rPr>
        <w:fldChar w:fldCharType="end"/>
      </w:r>
    </w:p>
    <w:p w14:paraId="6BF7D8EC">
      <w:pPr>
        <w:pStyle w:val="34"/>
        <w:tabs>
          <w:tab w:val="right" w:leader="dot" w:pos="8306"/>
        </w:tabs>
      </w:pPr>
      <w:r>
        <w:rPr>
          <w:color w:val="FF0000"/>
          <w:szCs w:val="24"/>
        </w:rPr>
        <w:fldChar w:fldCharType="begin"/>
      </w:r>
      <w:r>
        <w:rPr>
          <w:szCs w:val="24"/>
        </w:rPr>
        <w:instrText xml:space="preserve"> HYPERLINK \l _Toc1457 </w:instrText>
      </w:r>
      <w:r>
        <w:rPr>
          <w:szCs w:val="24"/>
        </w:rPr>
        <w:fldChar w:fldCharType="separate"/>
      </w:r>
      <w:r>
        <w:rPr>
          <w:rFonts w:hint="eastAsia" w:ascii="Times New Roman" w:hAnsi="Times New Roman" w:eastAsia="宋体" w:cs="Times New Roman"/>
          <w:bCs/>
          <w:kern w:val="0"/>
          <w:szCs w:val="28"/>
        </w:rPr>
        <w:t>9.3 环境效益分析</w:t>
      </w:r>
      <w:r>
        <w:tab/>
      </w:r>
      <w:r>
        <w:fldChar w:fldCharType="begin"/>
      </w:r>
      <w:r>
        <w:instrText xml:space="preserve"> PAGEREF _Toc1457 \h </w:instrText>
      </w:r>
      <w:r>
        <w:fldChar w:fldCharType="separate"/>
      </w:r>
      <w:r>
        <w:t>- 243 -</w:t>
      </w:r>
      <w:r>
        <w:fldChar w:fldCharType="end"/>
      </w:r>
      <w:r>
        <w:rPr>
          <w:color w:val="FF0000"/>
          <w:szCs w:val="24"/>
        </w:rPr>
        <w:fldChar w:fldCharType="end"/>
      </w:r>
    </w:p>
    <w:p w14:paraId="3106A036">
      <w:pPr>
        <w:pStyle w:val="34"/>
        <w:tabs>
          <w:tab w:val="right" w:leader="dot" w:pos="8306"/>
        </w:tabs>
      </w:pPr>
      <w:r>
        <w:rPr>
          <w:color w:val="FF0000"/>
          <w:szCs w:val="24"/>
        </w:rPr>
        <w:fldChar w:fldCharType="begin"/>
      </w:r>
      <w:r>
        <w:rPr>
          <w:szCs w:val="24"/>
        </w:rPr>
        <w:instrText xml:space="preserve"> HYPERLINK \l _Toc7216 </w:instrText>
      </w:r>
      <w:r>
        <w:rPr>
          <w:szCs w:val="24"/>
        </w:rPr>
        <w:fldChar w:fldCharType="separate"/>
      </w:r>
      <w:r>
        <w:rPr>
          <w:rFonts w:hint="eastAsia" w:ascii="Times New Roman" w:hAnsi="Times New Roman" w:eastAsia="宋体" w:cs="Times New Roman"/>
          <w:bCs/>
          <w:kern w:val="0"/>
          <w:szCs w:val="28"/>
        </w:rPr>
        <w:t>9.4 环保投资估算</w:t>
      </w:r>
      <w:r>
        <w:tab/>
      </w:r>
      <w:r>
        <w:fldChar w:fldCharType="begin"/>
      </w:r>
      <w:r>
        <w:instrText xml:space="preserve"> PAGEREF _Toc7216 \h </w:instrText>
      </w:r>
      <w:r>
        <w:fldChar w:fldCharType="separate"/>
      </w:r>
      <w:r>
        <w:t>- 244 -</w:t>
      </w:r>
      <w:r>
        <w:fldChar w:fldCharType="end"/>
      </w:r>
      <w:r>
        <w:rPr>
          <w:color w:val="FF0000"/>
          <w:szCs w:val="24"/>
        </w:rPr>
        <w:fldChar w:fldCharType="end"/>
      </w:r>
    </w:p>
    <w:p w14:paraId="6F37B2C3">
      <w:pPr>
        <w:pStyle w:val="28"/>
        <w:tabs>
          <w:tab w:val="right" w:leader="dot" w:pos="8306"/>
          <w:tab w:val="clear" w:pos="8296"/>
        </w:tabs>
      </w:pPr>
      <w:r>
        <w:rPr>
          <w:color w:val="FF0000"/>
          <w:szCs w:val="24"/>
        </w:rPr>
        <w:fldChar w:fldCharType="begin"/>
      </w:r>
      <w:r>
        <w:rPr>
          <w:szCs w:val="24"/>
        </w:rPr>
        <w:instrText xml:space="preserve"> HYPERLINK \l _Toc4349 </w:instrText>
      </w:r>
      <w:r>
        <w:rPr>
          <w:szCs w:val="24"/>
        </w:rPr>
        <w:fldChar w:fldCharType="separate"/>
      </w:r>
      <w:r>
        <w:rPr>
          <w:rFonts w:hint="eastAsia" w:ascii="Times New Roman" w:hAnsi="Times New Roman" w:eastAsia="宋体" w:cs="Times New Roman"/>
          <w:kern w:val="44"/>
          <w:szCs w:val="44"/>
        </w:rPr>
        <w:t>10、环境管理、监测计划和竣工环境保护验收</w:t>
      </w:r>
      <w:r>
        <w:tab/>
      </w:r>
      <w:r>
        <w:fldChar w:fldCharType="begin"/>
      </w:r>
      <w:r>
        <w:instrText xml:space="preserve"> PAGEREF _Toc4349 \h </w:instrText>
      </w:r>
      <w:r>
        <w:fldChar w:fldCharType="separate"/>
      </w:r>
      <w:r>
        <w:t>- 245 -</w:t>
      </w:r>
      <w:r>
        <w:fldChar w:fldCharType="end"/>
      </w:r>
      <w:r>
        <w:rPr>
          <w:color w:val="FF0000"/>
          <w:szCs w:val="24"/>
        </w:rPr>
        <w:fldChar w:fldCharType="end"/>
      </w:r>
    </w:p>
    <w:p w14:paraId="7AF75712">
      <w:pPr>
        <w:pStyle w:val="34"/>
        <w:tabs>
          <w:tab w:val="right" w:leader="dot" w:pos="8306"/>
        </w:tabs>
      </w:pPr>
      <w:r>
        <w:rPr>
          <w:color w:val="FF0000"/>
          <w:szCs w:val="24"/>
        </w:rPr>
        <w:fldChar w:fldCharType="begin"/>
      </w:r>
      <w:r>
        <w:rPr>
          <w:szCs w:val="24"/>
        </w:rPr>
        <w:instrText xml:space="preserve"> HYPERLINK \l _Toc31407 </w:instrText>
      </w:r>
      <w:r>
        <w:rPr>
          <w:szCs w:val="24"/>
        </w:rPr>
        <w:fldChar w:fldCharType="separate"/>
      </w:r>
      <w:r>
        <w:rPr>
          <w:rFonts w:hint="eastAsia" w:ascii="Times New Roman" w:hAnsi="Times New Roman" w:eastAsia="宋体" w:cs="Times New Roman"/>
          <w:bCs/>
          <w:kern w:val="0"/>
          <w:szCs w:val="28"/>
        </w:rPr>
        <w:t>10.1 环境管理</w:t>
      </w:r>
      <w:r>
        <w:tab/>
      </w:r>
      <w:r>
        <w:fldChar w:fldCharType="begin"/>
      </w:r>
      <w:r>
        <w:instrText xml:space="preserve"> PAGEREF _Toc31407 \h </w:instrText>
      </w:r>
      <w:r>
        <w:fldChar w:fldCharType="separate"/>
      </w:r>
      <w:r>
        <w:t>- 245 -</w:t>
      </w:r>
      <w:r>
        <w:fldChar w:fldCharType="end"/>
      </w:r>
      <w:r>
        <w:rPr>
          <w:color w:val="FF0000"/>
          <w:szCs w:val="24"/>
        </w:rPr>
        <w:fldChar w:fldCharType="end"/>
      </w:r>
    </w:p>
    <w:p w14:paraId="33D993E4">
      <w:pPr>
        <w:pStyle w:val="34"/>
        <w:tabs>
          <w:tab w:val="right" w:leader="dot" w:pos="8306"/>
        </w:tabs>
      </w:pPr>
      <w:r>
        <w:rPr>
          <w:color w:val="FF0000"/>
          <w:szCs w:val="24"/>
        </w:rPr>
        <w:fldChar w:fldCharType="begin"/>
      </w:r>
      <w:r>
        <w:rPr>
          <w:szCs w:val="24"/>
        </w:rPr>
        <w:instrText xml:space="preserve"> HYPERLINK \l _Toc21117 </w:instrText>
      </w:r>
      <w:r>
        <w:rPr>
          <w:szCs w:val="24"/>
        </w:rPr>
        <w:fldChar w:fldCharType="separate"/>
      </w:r>
      <w:r>
        <w:rPr>
          <w:rFonts w:ascii="Times New Roman" w:hAnsi="Times New Roman" w:eastAsia="宋体" w:cs="Times New Roman"/>
          <w:bCs/>
          <w:kern w:val="0"/>
          <w:szCs w:val="28"/>
        </w:rPr>
        <w:t>10.2环境监测</w:t>
      </w:r>
      <w:r>
        <w:tab/>
      </w:r>
      <w:r>
        <w:fldChar w:fldCharType="begin"/>
      </w:r>
      <w:r>
        <w:instrText xml:space="preserve"> PAGEREF _Toc21117 \h </w:instrText>
      </w:r>
      <w:r>
        <w:fldChar w:fldCharType="separate"/>
      </w:r>
      <w:r>
        <w:t>- 256 -</w:t>
      </w:r>
      <w:r>
        <w:fldChar w:fldCharType="end"/>
      </w:r>
      <w:r>
        <w:rPr>
          <w:color w:val="FF0000"/>
          <w:szCs w:val="24"/>
        </w:rPr>
        <w:fldChar w:fldCharType="end"/>
      </w:r>
    </w:p>
    <w:p w14:paraId="682562B6">
      <w:pPr>
        <w:pStyle w:val="34"/>
        <w:tabs>
          <w:tab w:val="right" w:leader="dot" w:pos="8306"/>
        </w:tabs>
      </w:pPr>
      <w:r>
        <w:rPr>
          <w:color w:val="FF0000"/>
          <w:szCs w:val="24"/>
        </w:rPr>
        <w:fldChar w:fldCharType="begin"/>
      </w:r>
      <w:r>
        <w:rPr>
          <w:szCs w:val="24"/>
        </w:rPr>
        <w:instrText xml:space="preserve"> HYPERLINK \l _Toc1241 </w:instrText>
      </w:r>
      <w:r>
        <w:rPr>
          <w:szCs w:val="24"/>
        </w:rPr>
        <w:fldChar w:fldCharType="separate"/>
      </w:r>
      <w:r>
        <w:rPr>
          <w:rFonts w:hint="eastAsia" w:ascii="Times New Roman" w:hAnsi="Times New Roman" w:eastAsia="宋体" w:cs="Times New Roman"/>
          <w:bCs/>
          <w:kern w:val="0"/>
          <w:szCs w:val="28"/>
        </w:rPr>
        <w:t>10.3 竣工环境保护验收</w:t>
      </w:r>
      <w:r>
        <w:tab/>
      </w:r>
      <w:r>
        <w:fldChar w:fldCharType="begin"/>
      </w:r>
      <w:r>
        <w:instrText xml:space="preserve"> PAGEREF _Toc1241 \h </w:instrText>
      </w:r>
      <w:r>
        <w:fldChar w:fldCharType="separate"/>
      </w:r>
      <w:r>
        <w:t>- 257 -</w:t>
      </w:r>
      <w:r>
        <w:fldChar w:fldCharType="end"/>
      </w:r>
      <w:r>
        <w:rPr>
          <w:color w:val="FF0000"/>
          <w:szCs w:val="24"/>
        </w:rPr>
        <w:fldChar w:fldCharType="end"/>
      </w:r>
    </w:p>
    <w:p w14:paraId="249F38B4">
      <w:pPr>
        <w:pStyle w:val="28"/>
        <w:tabs>
          <w:tab w:val="right" w:leader="dot" w:pos="8306"/>
          <w:tab w:val="clear" w:pos="8296"/>
        </w:tabs>
      </w:pPr>
      <w:r>
        <w:rPr>
          <w:color w:val="FF0000"/>
          <w:szCs w:val="24"/>
        </w:rPr>
        <w:fldChar w:fldCharType="begin"/>
      </w:r>
      <w:r>
        <w:rPr>
          <w:szCs w:val="24"/>
        </w:rPr>
        <w:instrText xml:space="preserve"> HYPERLINK \l _Toc5923 </w:instrText>
      </w:r>
      <w:r>
        <w:rPr>
          <w:szCs w:val="24"/>
        </w:rPr>
        <w:fldChar w:fldCharType="separate"/>
      </w:r>
      <w:r>
        <w:rPr>
          <w:rFonts w:hint="eastAsia" w:ascii="Times New Roman" w:hAnsi="Times New Roman" w:eastAsia="宋体" w:cs="Times New Roman"/>
          <w:kern w:val="44"/>
          <w:szCs w:val="44"/>
        </w:rPr>
        <w:t>11、结论和建议</w:t>
      </w:r>
      <w:r>
        <w:tab/>
      </w:r>
      <w:r>
        <w:fldChar w:fldCharType="begin"/>
      </w:r>
      <w:r>
        <w:instrText xml:space="preserve"> PAGEREF _Toc5923 \h </w:instrText>
      </w:r>
      <w:r>
        <w:fldChar w:fldCharType="separate"/>
      </w:r>
      <w:r>
        <w:t>- 261 -</w:t>
      </w:r>
      <w:r>
        <w:fldChar w:fldCharType="end"/>
      </w:r>
      <w:r>
        <w:rPr>
          <w:color w:val="FF0000"/>
          <w:szCs w:val="24"/>
        </w:rPr>
        <w:fldChar w:fldCharType="end"/>
      </w:r>
    </w:p>
    <w:p w14:paraId="21D6B184">
      <w:pPr>
        <w:pStyle w:val="34"/>
        <w:tabs>
          <w:tab w:val="right" w:leader="dot" w:pos="8306"/>
        </w:tabs>
      </w:pPr>
      <w:r>
        <w:rPr>
          <w:color w:val="FF0000"/>
          <w:szCs w:val="24"/>
        </w:rPr>
        <w:fldChar w:fldCharType="begin"/>
      </w:r>
      <w:r>
        <w:rPr>
          <w:szCs w:val="24"/>
        </w:rPr>
        <w:instrText xml:space="preserve"> HYPERLINK \l _Toc8217 </w:instrText>
      </w:r>
      <w:r>
        <w:rPr>
          <w:szCs w:val="24"/>
        </w:rPr>
        <w:fldChar w:fldCharType="separate"/>
      </w:r>
      <w:r>
        <w:rPr>
          <w:rFonts w:hint="eastAsia" w:ascii="Times New Roman" w:hAnsi="Times New Roman" w:eastAsia="宋体" w:cs="Times New Roman"/>
          <w:bCs/>
          <w:kern w:val="0"/>
          <w:szCs w:val="28"/>
        </w:rPr>
        <w:t>11.1 结论</w:t>
      </w:r>
      <w:r>
        <w:tab/>
      </w:r>
      <w:r>
        <w:fldChar w:fldCharType="begin"/>
      </w:r>
      <w:r>
        <w:instrText xml:space="preserve"> PAGEREF _Toc8217 \h </w:instrText>
      </w:r>
      <w:r>
        <w:fldChar w:fldCharType="separate"/>
      </w:r>
      <w:r>
        <w:t>- 261 -</w:t>
      </w:r>
      <w:r>
        <w:fldChar w:fldCharType="end"/>
      </w:r>
      <w:r>
        <w:rPr>
          <w:color w:val="FF0000"/>
          <w:szCs w:val="24"/>
        </w:rPr>
        <w:fldChar w:fldCharType="end"/>
      </w:r>
    </w:p>
    <w:p w14:paraId="6C62D6D1">
      <w:pPr>
        <w:pStyle w:val="34"/>
        <w:tabs>
          <w:tab w:val="right" w:leader="dot" w:pos="8306"/>
        </w:tabs>
      </w:pPr>
      <w:r>
        <w:rPr>
          <w:color w:val="FF0000"/>
          <w:szCs w:val="24"/>
        </w:rPr>
        <w:fldChar w:fldCharType="begin"/>
      </w:r>
      <w:r>
        <w:rPr>
          <w:szCs w:val="24"/>
        </w:rPr>
        <w:instrText xml:space="preserve"> HYPERLINK \l _Toc20967 </w:instrText>
      </w:r>
      <w:r>
        <w:rPr>
          <w:szCs w:val="24"/>
        </w:rPr>
        <w:fldChar w:fldCharType="separate"/>
      </w:r>
      <w:r>
        <w:rPr>
          <w:rFonts w:hint="eastAsia" w:ascii="Times New Roman" w:hAnsi="Times New Roman" w:eastAsia="宋体" w:cs="Times New Roman"/>
          <w:bCs/>
          <w:kern w:val="0"/>
          <w:szCs w:val="28"/>
        </w:rPr>
        <w:t>11.2 建议</w:t>
      </w:r>
      <w:r>
        <w:tab/>
      </w:r>
      <w:r>
        <w:fldChar w:fldCharType="begin"/>
      </w:r>
      <w:r>
        <w:instrText xml:space="preserve"> PAGEREF _Toc20967 \h </w:instrText>
      </w:r>
      <w:r>
        <w:fldChar w:fldCharType="separate"/>
      </w:r>
      <w:r>
        <w:t>- 268 -</w:t>
      </w:r>
      <w:r>
        <w:fldChar w:fldCharType="end"/>
      </w:r>
      <w:r>
        <w:rPr>
          <w:color w:val="FF0000"/>
          <w:szCs w:val="24"/>
        </w:rPr>
        <w:fldChar w:fldCharType="end"/>
      </w:r>
    </w:p>
    <w:p w14:paraId="0176DE04">
      <w:pPr>
        <w:spacing w:line="360" w:lineRule="auto"/>
        <w:ind w:firstLine="420" w:firstLineChars="200"/>
        <w:rPr>
          <w:color w:val="FF0000"/>
          <w:sz w:val="24"/>
          <w:szCs w:val="24"/>
        </w:rPr>
      </w:pPr>
      <w:r>
        <w:rPr>
          <w:color w:val="FF0000"/>
          <w:szCs w:val="24"/>
        </w:rPr>
        <w:fldChar w:fldCharType="end"/>
      </w:r>
    </w:p>
    <w:p w14:paraId="482FE7B0">
      <w:pPr>
        <w:spacing w:line="360" w:lineRule="auto"/>
        <w:ind w:firstLine="480" w:firstLineChars="200"/>
        <w:rPr>
          <w:color w:val="FF0000"/>
          <w:sz w:val="24"/>
          <w:szCs w:val="24"/>
        </w:rPr>
      </w:pPr>
    </w:p>
    <w:p w14:paraId="4D39C649">
      <w:pPr>
        <w:spacing w:line="360" w:lineRule="auto"/>
        <w:ind w:firstLine="480" w:firstLineChars="200"/>
        <w:rPr>
          <w:color w:val="FF0000"/>
          <w:sz w:val="24"/>
          <w:szCs w:val="24"/>
        </w:rPr>
        <w:sectPr>
          <w:footerReference r:id="rId3" w:type="default"/>
          <w:pgSz w:w="11906" w:h="16838"/>
          <w:pgMar w:top="1440" w:right="1800" w:bottom="1440" w:left="1800" w:header="851" w:footer="992" w:gutter="0"/>
          <w:pgNumType w:start="1"/>
          <w:cols w:space="720" w:num="1"/>
          <w:docGrid w:type="lines" w:linePitch="312" w:charSpace="0"/>
        </w:sectPr>
      </w:pPr>
    </w:p>
    <w:p w14:paraId="3223FF9B">
      <w:pPr>
        <w:spacing w:line="360" w:lineRule="auto"/>
        <w:rPr>
          <w:b/>
          <w:bCs/>
          <w:sz w:val="24"/>
          <w:szCs w:val="24"/>
        </w:rPr>
      </w:pPr>
      <w:r>
        <w:rPr>
          <w:rFonts w:hint="eastAsia"/>
          <w:b/>
          <w:bCs/>
          <w:sz w:val="24"/>
          <w:szCs w:val="24"/>
        </w:rPr>
        <w:t>附件：</w:t>
      </w:r>
    </w:p>
    <w:p w14:paraId="2850345B">
      <w:pPr>
        <w:spacing w:line="360" w:lineRule="auto"/>
        <w:ind w:firstLine="480" w:firstLineChars="200"/>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附件：委托书；</w:t>
      </w:r>
    </w:p>
    <w:p w14:paraId="1BAB3771">
      <w:pPr>
        <w:spacing w:line="360" w:lineRule="auto"/>
        <w:ind w:firstLine="480" w:firstLineChars="200"/>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rPr>
        <w:t>附件：建设单位营业执照</w:t>
      </w:r>
      <w:r>
        <w:rPr>
          <w:rFonts w:hint="eastAsia" w:ascii="Times New Roman" w:hAnsi="Times New Roman" w:eastAsia="宋体" w:cs="Times New Roman"/>
          <w:sz w:val="24"/>
          <w:szCs w:val="24"/>
          <w:lang w:eastAsia="zh-CN"/>
        </w:rPr>
        <w:t>；</w:t>
      </w:r>
    </w:p>
    <w:p w14:paraId="3DF273EB">
      <w:pPr>
        <w:spacing w:line="360" w:lineRule="auto"/>
        <w:ind w:firstLine="480" w:firstLineChars="200"/>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rPr>
        <w:t>附件：备案文件</w:t>
      </w:r>
      <w:r>
        <w:rPr>
          <w:rFonts w:hint="eastAsia" w:ascii="Times New Roman" w:hAnsi="Times New Roman" w:eastAsia="宋体" w:cs="Times New Roman"/>
          <w:sz w:val="24"/>
          <w:szCs w:val="24"/>
          <w:lang w:eastAsia="zh-CN"/>
        </w:rPr>
        <w:t>；</w:t>
      </w:r>
    </w:p>
    <w:p w14:paraId="13475640">
      <w:pPr>
        <w:spacing w:line="360" w:lineRule="auto"/>
        <w:ind w:firstLine="480" w:firstLineChars="200"/>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附件：</w:t>
      </w:r>
      <w:r>
        <w:rPr>
          <w:rFonts w:hint="eastAsia" w:ascii="Times New Roman" w:hAnsi="Times New Roman" w:eastAsia="宋体" w:cs="Times New Roman"/>
          <w:sz w:val="24"/>
          <w:szCs w:val="24"/>
          <w:lang w:val="en-US" w:eastAsia="zh-CN"/>
        </w:rPr>
        <w:t>常德市环境保护局关于年产10万标吨系列酶制剂生产线项目环境影响报告表的批复（常环建〔2013〕158号）；</w:t>
      </w:r>
    </w:p>
    <w:p w14:paraId="0BD216EC">
      <w:pPr>
        <w:spacing w:line="360" w:lineRule="auto"/>
        <w:ind w:firstLine="480" w:firstLineChars="200"/>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附件：</w:t>
      </w:r>
      <w:r>
        <w:rPr>
          <w:rFonts w:hint="eastAsia" w:ascii="Times New Roman" w:hAnsi="Times New Roman" w:eastAsia="宋体" w:cs="Times New Roman"/>
          <w:sz w:val="24"/>
          <w:szCs w:val="24"/>
          <w:lang w:val="en-US" w:eastAsia="zh-CN"/>
        </w:rPr>
        <w:t>常德市环境保护局关于湖南龙腾生物科技有限公司年产20吨内酯环（A环降解物）生产线项目环境影响报告表的批复（常环建〔2015〕22号）；</w:t>
      </w:r>
    </w:p>
    <w:p w14:paraId="5BA35A1B">
      <w:pPr>
        <w:spacing w:line="360" w:lineRule="auto"/>
        <w:ind w:firstLine="480" w:firstLineChars="200"/>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附件：</w:t>
      </w:r>
      <w:r>
        <w:rPr>
          <w:rFonts w:hint="eastAsia" w:ascii="Times New Roman" w:hAnsi="Times New Roman" w:eastAsia="宋体" w:cs="Times New Roman"/>
          <w:sz w:val="24"/>
          <w:szCs w:val="24"/>
          <w:lang w:val="en-US" w:eastAsia="zh-CN"/>
        </w:rPr>
        <w:t>常德市环境保护局关于湖南龙腾生物科技有限公司年产50吨17a-羟基黄体酮中间体生产线项目环境影响报告书的批复（常环建〔2017〕53号）；</w:t>
      </w:r>
    </w:p>
    <w:p w14:paraId="111A73D5">
      <w:pPr>
        <w:spacing w:line="360" w:lineRule="auto"/>
        <w:ind w:firstLine="480" w:firstLineChars="20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rPr>
        <w:t>附件：</w:t>
      </w:r>
      <w:r>
        <w:rPr>
          <w:rFonts w:hint="eastAsia" w:ascii="Times New Roman" w:hAnsi="Times New Roman" w:eastAsia="宋体" w:cs="Times New Roman"/>
          <w:sz w:val="24"/>
          <w:szCs w:val="24"/>
          <w:lang w:val="en-US" w:eastAsia="zh-CN"/>
        </w:rPr>
        <w:t>津市市环境保护局关于湖南龙腾生物科技有限公司腺苷中间体发酵产品生产线建设项目环境影响报告表的批复（津环评〔2018〕3号）；</w:t>
      </w:r>
    </w:p>
    <w:p w14:paraId="7410C328">
      <w:pPr>
        <w:spacing w:line="360" w:lineRule="auto"/>
        <w:ind w:firstLine="480" w:firstLineChars="200"/>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附件：</w:t>
      </w:r>
      <w:r>
        <w:rPr>
          <w:rFonts w:hint="eastAsia" w:ascii="Times New Roman" w:hAnsi="Times New Roman" w:eastAsia="宋体" w:cs="Times New Roman"/>
          <w:sz w:val="24"/>
          <w:szCs w:val="24"/>
          <w:lang w:val="en-US" w:eastAsia="zh-CN"/>
        </w:rPr>
        <w:t>常德市生态环境局关于年产2000吨泛酸钙饲料添加剂及2000吨丙氨酸食品添加剂生产线项目环境影响报告表的批复（常环建（8）〔2020〕7号）；</w:t>
      </w:r>
    </w:p>
    <w:p w14:paraId="156E7E25">
      <w:pPr>
        <w:spacing w:line="360" w:lineRule="auto"/>
        <w:ind w:firstLine="480" w:firstLineChars="200"/>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附件：</w:t>
      </w:r>
      <w:r>
        <w:rPr>
          <w:rFonts w:hint="eastAsia" w:ascii="Times New Roman" w:hAnsi="Times New Roman" w:eastAsia="宋体" w:cs="Times New Roman"/>
          <w:sz w:val="24"/>
          <w:szCs w:val="24"/>
          <w:lang w:val="en-US" w:eastAsia="zh-CN"/>
        </w:rPr>
        <w:t>常德市生态环境局关于年产1500吨胞嘧啶中间体生产线项目环境影响报告书的批复（常环建〔2022〕15号）；</w:t>
      </w:r>
    </w:p>
    <w:p w14:paraId="7E041F70">
      <w:pPr>
        <w:spacing w:line="360" w:lineRule="auto"/>
        <w:ind w:firstLine="480" w:firstLineChars="200"/>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附件：</w:t>
      </w:r>
      <w:r>
        <w:rPr>
          <w:rFonts w:hint="eastAsia" w:ascii="Times New Roman" w:hAnsi="Times New Roman" w:eastAsia="宋体" w:cs="Times New Roman"/>
          <w:sz w:val="24"/>
          <w:szCs w:val="24"/>
          <w:lang w:val="en-US" w:eastAsia="zh-CN"/>
        </w:rPr>
        <w:t>验收批复；</w:t>
      </w:r>
    </w:p>
    <w:p w14:paraId="1B411E34">
      <w:pPr>
        <w:spacing w:line="360" w:lineRule="auto"/>
        <w:ind w:firstLine="480" w:firstLineChars="200"/>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附件：</w:t>
      </w:r>
      <w:r>
        <w:rPr>
          <w:rFonts w:hint="eastAsia" w:ascii="Times New Roman" w:hAnsi="Times New Roman" w:eastAsia="宋体" w:cs="Times New Roman"/>
          <w:sz w:val="24"/>
          <w:szCs w:val="24"/>
          <w:lang w:val="en-US" w:eastAsia="zh-CN"/>
        </w:rPr>
        <w:t>自主验收意见及专家签到；</w:t>
      </w:r>
    </w:p>
    <w:p w14:paraId="0B32A831">
      <w:pPr>
        <w:spacing w:line="360" w:lineRule="auto"/>
        <w:ind w:firstLine="480" w:firstLineChars="200"/>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附件：</w:t>
      </w:r>
      <w:r>
        <w:rPr>
          <w:rFonts w:hint="eastAsia" w:ascii="Times New Roman" w:hAnsi="Times New Roman" w:eastAsia="宋体" w:cs="Times New Roman"/>
          <w:sz w:val="24"/>
          <w:szCs w:val="24"/>
          <w:lang w:val="en-US" w:eastAsia="zh-CN"/>
        </w:rPr>
        <w:t>环保整改项目验收意见及专家签到；</w:t>
      </w:r>
    </w:p>
    <w:p w14:paraId="6B65A137">
      <w:pPr>
        <w:spacing w:line="360" w:lineRule="auto"/>
        <w:ind w:firstLine="480" w:firstLineChars="200"/>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附件：</w:t>
      </w:r>
      <w:r>
        <w:rPr>
          <w:rFonts w:hint="eastAsia" w:ascii="Times New Roman" w:hAnsi="Times New Roman" w:eastAsia="宋体" w:cs="Times New Roman"/>
          <w:sz w:val="24"/>
          <w:szCs w:val="24"/>
          <w:lang w:val="en-US" w:eastAsia="zh-CN"/>
        </w:rPr>
        <w:t>年产2000吨泛酸钙饲料添加剂及2000吨丙氨酸食品添加剂生产线项目验收监测报告；</w:t>
      </w:r>
    </w:p>
    <w:p w14:paraId="721345FB">
      <w:pPr>
        <w:spacing w:line="360" w:lineRule="auto"/>
        <w:ind w:firstLine="480" w:firstLineChars="200"/>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附件：</w:t>
      </w:r>
      <w:r>
        <w:rPr>
          <w:rFonts w:hint="eastAsia" w:ascii="Times New Roman" w:hAnsi="Times New Roman" w:eastAsia="宋体" w:cs="Times New Roman"/>
          <w:sz w:val="24"/>
          <w:szCs w:val="24"/>
          <w:lang w:val="en-US" w:eastAsia="zh-CN"/>
        </w:rPr>
        <w:t>应急预案备案表；</w:t>
      </w:r>
    </w:p>
    <w:p w14:paraId="73DD0047">
      <w:pPr>
        <w:spacing w:line="360" w:lineRule="auto"/>
        <w:ind w:firstLine="480" w:firstLineChars="200"/>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附件：</w:t>
      </w:r>
      <w:r>
        <w:rPr>
          <w:rFonts w:hint="eastAsia" w:ascii="Times New Roman" w:hAnsi="Times New Roman" w:eastAsia="宋体" w:cs="Times New Roman"/>
          <w:sz w:val="24"/>
          <w:szCs w:val="24"/>
          <w:lang w:val="en-US" w:eastAsia="zh-CN"/>
        </w:rPr>
        <w:t>现有工程自行监测报告；</w:t>
      </w:r>
    </w:p>
    <w:p w14:paraId="62FD34B2">
      <w:pPr>
        <w:spacing w:line="360" w:lineRule="auto"/>
        <w:ind w:firstLine="480" w:firstLineChars="200"/>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附件：</w:t>
      </w:r>
      <w:r>
        <w:rPr>
          <w:rFonts w:hint="eastAsia" w:ascii="Times New Roman" w:hAnsi="Times New Roman" w:eastAsia="宋体" w:cs="Times New Roman"/>
          <w:sz w:val="24"/>
          <w:szCs w:val="24"/>
          <w:lang w:val="en-US" w:eastAsia="zh-CN"/>
        </w:rPr>
        <w:t>现有工程排污许可证、排污权证；</w:t>
      </w:r>
    </w:p>
    <w:p w14:paraId="7AA113EF">
      <w:pPr>
        <w:spacing w:line="360" w:lineRule="auto"/>
        <w:ind w:firstLine="480" w:firstLineChars="200"/>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附件：</w:t>
      </w:r>
      <w:r>
        <w:rPr>
          <w:rFonts w:hint="eastAsia" w:ascii="Times New Roman" w:hAnsi="Times New Roman" w:eastAsia="宋体" w:cs="Times New Roman"/>
          <w:sz w:val="24"/>
          <w:szCs w:val="24"/>
          <w:lang w:val="en-US" w:eastAsia="zh-CN"/>
        </w:rPr>
        <w:t>现有工程危废处置协议；</w:t>
      </w:r>
    </w:p>
    <w:p w14:paraId="1C70D4AB">
      <w:pPr>
        <w:spacing w:line="360" w:lineRule="auto"/>
        <w:ind w:firstLine="480" w:firstLineChars="20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rPr>
        <w:t>附件：</w:t>
      </w:r>
      <w:r>
        <w:rPr>
          <w:rFonts w:hint="eastAsia" w:ascii="Times New Roman" w:hAnsi="Times New Roman" w:eastAsia="宋体" w:cs="Times New Roman"/>
          <w:sz w:val="24"/>
          <w:szCs w:val="24"/>
          <w:lang w:val="en-US" w:eastAsia="zh-CN"/>
        </w:rPr>
        <w:t>现有工程一般固废处置协议</w:t>
      </w:r>
    </w:p>
    <w:p w14:paraId="3B12CAE5">
      <w:pPr>
        <w:spacing w:line="360" w:lineRule="auto"/>
        <w:ind w:firstLine="480" w:firstLineChars="20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rPr>
        <w:t>附件：</w:t>
      </w:r>
      <w:r>
        <w:rPr>
          <w:rFonts w:hint="eastAsia" w:ascii="Times New Roman" w:hAnsi="Times New Roman" w:eastAsia="宋体" w:cs="Times New Roman"/>
          <w:sz w:val="24"/>
          <w:szCs w:val="24"/>
          <w:lang w:val="en-US" w:eastAsia="zh-CN"/>
        </w:rPr>
        <w:t>企业与津市污水处理厂签订污水处置协议；</w:t>
      </w:r>
    </w:p>
    <w:p w14:paraId="60083478">
      <w:pPr>
        <w:spacing w:line="360" w:lineRule="auto"/>
        <w:ind w:firstLine="480" w:firstLineChars="200"/>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附件：</w:t>
      </w:r>
      <w:r>
        <w:rPr>
          <w:rFonts w:hint="eastAsia" w:ascii="Times New Roman" w:hAnsi="Times New Roman" w:eastAsia="宋体" w:cs="Times New Roman"/>
          <w:sz w:val="24"/>
          <w:szCs w:val="24"/>
          <w:lang w:val="en-US" w:eastAsia="zh-CN"/>
        </w:rPr>
        <w:t>津市高新技术产业开发区产业布局调整规划环境影响报告书》审查意见的函（湘环评函〔2023〕23号）；</w:t>
      </w:r>
    </w:p>
    <w:p w14:paraId="57416A4D">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附件：</w:t>
      </w:r>
      <w:r>
        <w:rPr>
          <w:rFonts w:hint="eastAsia" w:ascii="Times New Roman" w:hAnsi="Times New Roman" w:eastAsia="宋体" w:cs="Times New Roman"/>
          <w:sz w:val="24"/>
          <w:szCs w:val="24"/>
          <w:lang w:val="en-US" w:eastAsia="zh-CN"/>
        </w:rPr>
        <w:t>环评期间补充监测报告。</w:t>
      </w:r>
    </w:p>
    <w:p w14:paraId="7B3D9C18">
      <w:pPr>
        <w:spacing w:line="360" w:lineRule="auto"/>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附图：</w:t>
      </w:r>
    </w:p>
    <w:p w14:paraId="059A3D22">
      <w:pPr>
        <w:spacing w:line="360" w:lineRule="auto"/>
        <w:ind w:firstLine="480" w:firstLineChars="200"/>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附图：项目地理位置示意图；</w:t>
      </w:r>
    </w:p>
    <w:p w14:paraId="3E81F127">
      <w:pPr>
        <w:spacing w:line="360" w:lineRule="auto"/>
        <w:ind w:firstLine="480" w:firstLineChars="200"/>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附图：土地利用规划图</w:t>
      </w:r>
    </w:p>
    <w:p w14:paraId="0927F0EF">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附图：项目总平面布置图；</w:t>
      </w:r>
    </w:p>
    <w:p w14:paraId="5C52C169">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附图：项目雨水排水走向示意图；</w:t>
      </w:r>
    </w:p>
    <w:p w14:paraId="6DD2C903">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附图：项目污水排水走向示意图；</w:t>
      </w:r>
    </w:p>
    <w:p w14:paraId="4A765932">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附图：项目分区防渗示意图；</w:t>
      </w:r>
    </w:p>
    <w:p w14:paraId="3948BC97">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附图：项目大气</w:t>
      </w:r>
      <w:r>
        <w:rPr>
          <w:rFonts w:hint="eastAsia" w:ascii="Times New Roman" w:hAnsi="Times New Roman" w:eastAsia="宋体" w:cs="Times New Roman"/>
          <w:sz w:val="24"/>
          <w:szCs w:val="24"/>
          <w:lang w:val="en-US" w:eastAsia="zh-CN"/>
        </w:rPr>
        <w:t>及环境保护目标</w:t>
      </w:r>
      <w:r>
        <w:rPr>
          <w:rFonts w:hint="eastAsia" w:ascii="Times New Roman" w:hAnsi="Times New Roman" w:eastAsia="宋体" w:cs="Times New Roman"/>
          <w:sz w:val="24"/>
          <w:szCs w:val="24"/>
        </w:rPr>
        <w:t>示意图；</w:t>
      </w:r>
    </w:p>
    <w:p w14:paraId="299328EB">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附图：</w:t>
      </w:r>
      <w:r>
        <w:rPr>
          <w:rFonts w:hint="eastAsia" w:ascii="Times New Roman" w:hAnsi="Times New Roman" w:eastAsia="宋体" w:cs="Times New Roman"/>
          <w:sz w:val="24"/>
          <w:szCs w:val="24"/>
          <w:lang w:val="en-US" w:eastAsia="zh-CN"/>
        </w:rPr>
        <w:t>大气、</w:t>
      </w:r>
      <w:r>
        <w:rPr>
          <w:rFonts w:hint="eastAsia" w:ascii="Times New Roman" w:hAnsi="Times New Roman" w:eastAsia="宋体" w:cs="Times New Roman"/>
          <w:sz w:val="24"/>
          <w:szCs w:val="24"/>
        </w:rPr>
        <w:t>地表水、地下水监测点位示意图；</w:t>
      </w:r>
    </w:p>
    <w:p w14:paraId="0D958ECC">
      <w:pPr>
        <w:spacing w:line="360" w:lineRule="auto"/>
        <w:ind w:firstLine="480" w:firstLineChars="200"/>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附图：噪声监测点位示意图；</w:t>
      </w:r>
    </w:p>
    <w:p w14:paraId="6F868076">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附图：废气收集、处理及排放走向示意图；</w:t>
      </w:r>
    </w:p>
    <w:p w14:paraId="07B2A167">
      <w:pPr>
        <w:spacing w:line="360" w:lineRule="auto"/>
        <w:ind w:firstLine="480" w:firstLineChars="200"/>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附图：废水收集、处理及排放走向示意图；</w:t>
      </w:r>
    </w:p>
    <w:p w14:paraId="75363CAC">
      <w:pPr>
        <w:spacing w:line="360" w:lineRule="auto"/>
        <w:ind w:firstLine="480" w:firstLineChars="20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附图：本项目与湖南嘉山国家森林公园位置关系图；</w:t>
      </w:r>
    </w:p>
    <w:p w14:paraId="69FC0100">
      <w:pPr>
        <w:spacing w:line="360" w:lineRule="auto"/>
        <w:ind w:firstLine="480" w:firstLineChars="200"/>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附图：本项目与嘉山风景区位置关系图；</w:t>
      </w:r>
    </w:p>
    <w:p w14:paraId="4F7F77F7">
      <w:pPr>
        <w:spacing w:line="360" w:lineRule="auto"/>
        <w:ind w:firstLine="480" w:firstLineChars="200"/>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附图：本项目与鱼类三场位置关系图。</w:t>
      </w:r>
    </w:p>
    <w:p w14:paraId="4FA8110F">
      <w:pPr>
        <w:spacing w:line="360" w:lineRule="auto"/>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附表：</w:t>
      </w:r>
    </w:p>
    <w:p w14:paraId="7DA3483C">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附表1：建设项目大气环境影响评价自查表；</w:t>
      </w:r>
    </w:p>
    <w:p w14:paraId="7C171330">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附表2：环境风险评价自查表；</w:t>
      </w:r>
    </w:p>
    <w:p w14:paraId="1C482023">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附表3：建设项目地表水环境影响评价自查表；</w:t>
      </w:r>
    </w:p>
    <w:p w14:paraId="16059065">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附表4：声环境影响评价自查表；</w:t>
      </w:r>
    </w:p>
    <w:p w14:paraId="6E813693">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附表5：土壤环境评价自查表。</w:t>
      </w:r>
    </w:p>
    <w:p w14:paraId="10EBE84F">
      <w:pPr>
        <w:spacing w:line="360" w:lineRule="auto"/>
        <w:rPr>
          <w:rFonts w:ascii="Times New Roman" w:hAnsi="Times New Roman" w:eastAsia="宋体" w:cs="Times New Roman"/>
          <w:color w:val="FF0000"/>
          <w:sz w:val="24"/>
          <w:szCs w:val="24"/>
        </w:rPr>
      </w:pPr>
    </w:p>
    <w:p w14:paraId="19BAD9C5">
      <w:pPr>
        <w:spacing w:line="360" w:lineRule="auto"/>
        <w:ind w:firstLine="420" w:firstLineChars="200"/>
        <w:rPr>
          <w:color w:val="FF0000"/>
        </w:rPr>
      </w:pPr>
    </w:p>
    <w:p w14:paraId="30410ECB">
      <w:pPr>
        <w:spacing w:line="360" w:lineRule="auto"/>
        <w:ind w:firstLine="420" w:firstLineChars="200"/>
        <w:rPr>
          <w:color w:val="FF0000"/>
        </w:rPr>
      </w:pPr>
    </w:p>
    <w:p w14:paraId="4AE14C60">
      <w:pPr>
        <w:spacing w:line="360" w:lineRule="auto"/>
        <w:ind w:firstLine="420" w:firstLineChars="200"/>
        <w:rPr>
          <w:color w:val="FF0000"/>
        </w:rPr>
      </w:pPr>
    </w:p>
    <w:p w14:paraId="2505F5F7">
      <w:pPr>
        <w:spacing w:line="360" w:lineRule="auto"/>
        <w:ind w:firstLine="420" w:firstLineChars="200"/>
        <w:rPr>
          <w:color w:val="FF0000"/>
        </w:rPr>
        <w:sectPr>
          <w:pgSz w:w="11906" w:h="16838"/>
          <w:pgMar w:top="1440" w:right="1800" w:bottom="1440" w:left="1800" w:header="851" w:footer="992" w:gutter="0"/>
          <w:pgNumType w:start="1"/>
          <w:cols w:space="720" w:num="1"/>
          <w:docGrid w:type="lines" w:linePitch="312" w:charSpace="0"/>
        </w:sectPr>
      </w:pPr>
    </w:p>
    <w:p w14:paraId="52773BD8">
      <w:pPr>
        <w:pStyle w:val="2"/>
        <w:bidi w:val="0"/>
      </w:pPr>
      <w:bookmarkStart w:id="11" w:name="_Toc10157"/>
      <w:bookmarkStart w:id="12" w:name="_Toc10340"/>
      <w:r>
        <w:t>1、概述</w:t>
      </w:r>
      <w:bookmarkEnd w:id="0"/>
      <w:bookmarkEnd w:id="1"/>
      <w:bookmarkEnd w:id="2"/>
      <w:bookmarkEnd w:id="3"/>
      <w:bookmarkEnd w:id="4"/>
      <w:bookmarkEnd w:id="5"/>
      <w:bookmarkEnd w:id="6"/>
      <w:bookmarkEnd w:id="7"/>
      <w:bookmarkEnd w:id="8"/>
      <w:bookmarkEnd w:id="9"/>
      <w:bookmarkEnd w:id="10"/>
      <w:bookmarkEnd w:id="11"/>
      <w:bookmarkEnd w:id="12"/>
    </w:p>
    <w:p w14:paraId="433F9C5E">
      <w:pPr>
        <w:pStyle w:val="3"/>
        <w:bidi w:val="0"/>
      </w:pPr>
      <w:bookmarkStart w:id="13" w:name="_Toc517849892"/>
      <w:bookmarkStart w:id="14" w:name="_Toc535149908"/>
      <w:bookmarkStart w:id="15" w:name="_Toc60296936"/>
      <w:bookmarkStart w:id="16" w:name="_Toc146781114"/>
      <w:bookmarkStart w:id="17" w:name="_Toc535150307"/>
      <w:bookmarkStart w:id="18" w:name="_Toc18386"/>
      <w:bookmarkStart w:id="19" w:name="_Toc11528"/>
      <w:bookmarkStart w:id="20" w:name="_Toc5128298"/>
      <w:bookmarkStart w:id="21" w:name="_Toc29045"/>
      <w:bookmarkStart w:id="22" w:name="_Toc512320148"/>
      <w:bookmarkStart w:id="23" w:name="_Toc111800880"/>
      <w:bookmarkStart w:id="24" w:name="_Toc49929986"/>
      <w:bookmarkStart w:id="25" w:name="_Toc17206431"/>
      <w:r>
        <w:t>1.1项目由来</w:t>
      </w:r>
      <w:bookmarkEnd w:id="13"/>
      <w:bookmarkEnd w:id="14"/>
      <w:bookmarkEnd w:id="15"/>
      <w:bookmarkEnd w:id="16"/>
      <w:bookmarkEnd w:id="17"/>
      <w:bookmarkEnd w:id="18"/>
      <w:bookmarkEnd w:id="19"/>
      <w:bookmarkEnd w:id="20"/>
      <w:bookmarkEnd w:id="21"/>
      <w:bookmarkEnd w:id="22"/>
      <w:bookmarkEnd w:id="23"/>
      <w:bookmarkEnd w:id="24"/>
      <w:bookmarkEnd w:id="25"/>
    </w:p>
    <w:p w14:paraId="2EB08399">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湖南新合新生物科技有限公司原为</w:t>
      </w:r>
      <w:r>
        <w:rPr>
          <w:rFonts w:hint="eastAsia" w:ascii="Times New Roman" w:hAnsi="Times New Roman" w:eastAsia="宋体" w:cs="Times New Roman"/>
          <w:color w:val="auto"/>
          <w:sz w:val="24"/>
          <w:szCs w:val="24"/>
        </w:rPr>
        <w:t>湖南龙腾生物科技有限公司</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rPr>
        <w:t>成立于2013年6月18日，</w:t>
      </w:r>
      <w:r>
        <w:rPr>
          <w:rFonts w:hint="eastAsia" w:ascii="Times New Roman" w:hAnsi="Times New Roman" w:eastAsia="宋体" w:cs="Times New Roman"/>
          <w:color w:val="auto"/>
          <w:sz w:val="24"/>
          <w:szCs w:val="24"/>
          <w:lang w:val="en-US" w:eastAsia="zh-CN"/>
        </w:rPr>
        <w:t>位于</w:t>
      </w:r>
      <w:r>
        <w:rPr>
          <w:rFonts w:hint="eastAsia" w:ascii="Times New Roman" w:hAnsi="Times New Roman" w:eastAsia="宋体" w:cs="Times New Roman"/>
          <w:color w:val="auto"/>
          <w:sz w:val="24"/>
          <w:szCs w:val="24"/>
        </w:rPr>
        <w:t>津市市高新技术开发区生物医药产业园，占地面积约47000</w:t>
      </w:r>
      <w:r>
        <w:rPr>
          <w:rFonts w:hint="eastAsia" w:ascii="Times New Roman" w:hAnsi="Times New Roman" w:eastAsia="宋体" w:cs="Times New Roman"/>
          <w:color w:val="auto"/>
          <w:sz w:val="24"/>
          <w:szCs w:val="24"/>
          <w:lang w:val="en-US" w:eastAsia="zh-CN"/>
        </w:rPr>
        <w:t>m</w:t>
      </w:r>
      <w:r>
        <w:rPr>
          <w:rFonts w:hint="eastAsia" w:ascii="Times New Roman" w:hAnsi="Times New Roman" w:eastAsia="宋体" w:cs="Times New Roman"/>
          <w:color w:val="auto"/>
          <w:sz w:val="24"/>
          <w:szCs w:val="24"/>
          <w:vertAlign w:val="superscript"/>
          <w:lang w:val="en-US" w:eastAsia="zh-CN"/>
        </w:rPr>
        <w:t>2</w:t>
      </w:r>
      <w:r>
        <w:rPr>
          <w:rFonts w:hint="eastAsia" w:ascii="Times New Roman" w:hAnsi="Times New Roman" w:eastAsia="宋体" w:cs="Times New Roman"/>
          <w:color w:val="auto"/>
          <w:sz w:val="24"/>
          <w:szCs w:val="24"/>
          <w:lang w:val="en-US" w:eastAsia="zh-CN"/>
        </w:rPr>
        <w:t>，主营酶制剂系列产品、甾醇类系列发酵转化产品等。2016年10月，湖南龙腾生物科技有限公司被广东溢多利生物科技股份有限公司之控股子公司湖南新合新生物医药有限公司收购兼并70%股权，2019年7月，湖南新合新生物医药有限公司完成全部股权收购，成为湖南新合新生物医药有限公司全资子公司。2024年6月14日更名为湖南新合新生物科技有限公司，主营甾体激素类药物中间体、生物酶制剂系列产品、腺苷中间体、D-泛酸钙等系列产品。</w:t>
      </w:r>
    </w:p>
    <w:p w14:paraId="6C182FC1">
      <w:pPr>
        <w:spacing w:line="360" w:lineRule="auto"/>
        <w:ind w:firstLine="480" w:firstLineChars="200"/>
        <w:rPr>
          <w:rFonts w:hint="eastAsia"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2013年</w:t>
      </w:r>
      <w:r>
        <w:rPr>
          <w:rFonts w:hint="eastAsia" w:ascii="Times New Roman" w:hAnsi="Times New Roman" w:eastAsia="宋体" w:cs="Times New Roman"/>
          <w:color w:val="auto"/>
          <w:sz w:val="24"/>
          <w:szCs w:val="24"/>
          <w:lang w:val="en-US" w:eastAsia="zh-CN"/>
        </w:rPr>
        <w:t>湖南新合新生物科技有限公司对</w:t>
      </w:r>
      <w:r>
        <w:rPr>
          <w:rFonts w:hint="default" w:ascii="Times New Roman" w:hAnsi="Times New Roman" w:eastAsia="宋体" w:cs="Times New Roman"/>
          <w:color w:val="auto"/>
          <w:sz w:val="24"/>
          <w:szCs w:val="24"/>
          <w:lang w:val="en-US" w:eastAsia="zh-CN"/>
        </w:rPr>
        <w:t>年</w:t>
      </w:r>
      <w:r>
        <w:rPr>
          <w:rFonts w:hint="eastAsia" w:ascii="Times New Roman" w:hAnsi="Times New Roman" w:eastAsia="宋体" w:cs="Times New Roman"/>
          <w:color w:val="auto"/>
          <w:sz w:val="24"/>
          <w:szCs w:val="24"/>
          <w:lang w:val="en-US" w:eastAsia="zh-CN"/>
        </w:rPr>
        <w:t>产</w:t>
      </w:r>
      <w:r>
        <w:rPr>
          <w:rFonts w:hint="default" w:ascii="Times New Roman" w:hAnsi="Times New Roman" w:eastAsia="宋体" w:cs="Times New Roman"/>
          <w:color w:val="auto"/>
          <w:sz w:val="24"/>
          <w:szCs w:val="24"/>
          <w:lang w:val="en-US" w:eastAsia="zh-CN"/>
        </w:rPr>
        <w:t>10万标吨系列酶制剂生产线项目（一期项目）进行环境影响评价，并于同年12月取得原常德市环境保护局批复（</w:t>
      </w:r>
      <w:r>
        <w:rPr>
          <w:rFonts w:hint="eastAsia" w:ascii="Times New Roman" w:hAnsi="Times New Roman" w:eastAsia="宋体" w:cs="Times New Roman"/>
          <w:color w:val="auto"/>
          <w:sz w:val="24"/>
          <w:szCs w:val="24"/>
          <w:lang w:val="en-US" w:eastAsia="zh-CN"/>
        </w:rPr>
        <w:t>文号：</w:t>
      </w:r>
      <w:r>
        <w:rPr>
          <w:rFonts w:hint="default" w:ascii="Times New Roman" w:hAnsi="Times New Roman" w:eastAsia="宋体" w:cs="Times New Roman"/>
          <w:color w:val="auto"/>
          <w:sz w:val="24"/>
          <w:szCs w:val="24"/>
          <w:lang w:val="en-US" w:eastAsia="zh-CN"/>
        </w:rPr>
        <w:t>常环建</w:t>
      </w:r>
      <w:r>
        <w:rPr>
          <w:rFonts w:hint="eastAsia" w:ascii="宋体" w:hAnsi="宋体" w:eastAsia="宋体" w:cs="宋体"/>
          <w:color w:val="auto"/>
          <w:sz w:val="24"/>
          <w:szCs w:val="24"/>
          <w:lang w:val="en-US" w:eastAsia="zh-CN"/>
        </w:rPr>
        <w:t>〔</w:t>
      </w:r>
      <w:r>
        <w:rPr>
          <w:rFonts w:hint="default" w:ascii="Times New Roman" w:hAnsi="Times New Roman" w:eastAsia="宋体" w:cs="Times New Roman"/>
          <w:color w:val="auto"/>
          <w:sz w:val="24"/>
          <w:szCs w:val="24"/>
          <w:lang w:val="en-US" w:eastAsia="zh-CN"/>
        </w:rPr>
        <w:t>2013</w:t>
      </w:r>
      <w:r>
        <w:rPr>
          <w:rFonts w:hint="eastAsia" w:ascii="宋体" w:hAnsi="宋体" w:eastAsia="宋体" w:cs="宋体"/>
          <w:color w:val="auto"/>
          <w:sz w:val="24"/>
          <w:szCs w:val="24"/>
          <w:lang w:val="en-US" w:eastAsia="zh-CN"/>
        </w:rPr>
        <w:t>〕</w:t>
      </w:r>
      <w:r>
        <w:rPr>
          <w:rFonts w:hint="default" w:ascii="Times New Roman" w:hAnsi="Times New Roman" w:eastAsia="宋体" w:cs="Times New Roman"/>
          <w:color w:val="auto"/>
          <w:sz w:val="24"/>
          <w:szCs w:val="24"/>
          <w:lang w:val="en-US" w:eastAsia="zh-CN"/>
        </w:rPr>
        <w:t>158 号）</w:t>
      </w:r>
      <w:r>
        <w:rPr>
          <w:rFonts w:hint="eastAsia" w:ascii="Times New Roman" w:hAnsi="Times New Roman" w:eastAsia="宋体" w:cs="Times New Roman"/>
          <w:color w:val="auto"/>
          <w:sz w:val="24"/>
          <w:szCs w:val="24"/>
          <w:lang w:val="en-US" w:eastAsia="zh-CN"/>
        </w:rPr>
        <w:t>；2014年委托常德市双赢环境咨询服务有限公司对年产20吨内酯环（A环降解物）生产线项目（二期项目）进行环境影响评价，并于2015年取得原常德市环境保护局批复（文号：常环建</w:t>
      </w:r>
      <w:r>
        <w:rPr>
          <w:rFonts w:hint="eastAsia" w:ascii="宋体" w:hAnsi="宋体" w:eastAsia="宋体" w:cs="宋体"/>
          <w:color w:val="auto"/>
          <w:sz w:val="24"/>
          <w:szCs w:val="24"/>
          <w:lang w:val="en-US" w:eastAsia="zh-CN"/>
        </w:rPr>
        <w:t>〔</w:t>
      </w:r>
      <w:r>
        <w:rPr>
          <w:rFonts w:hint="eastAsia" w:ascii="Times New Roman" w:hAnsi="Times New Roman" w:eastAsia="宋体" w:cs="Times New Roman"/>
          <w:color w:val="auto"/>
          <w:sz w:val="24"/>
          <w:szCs w:val="24"/>
          <w:lang w:val="en-US" w:eastAsia="zh-CN"/>
        </w:rPr>
        <w:t>2015</w:t>
      </w:r>
      <w:r>
        <w:rPr>
          <w:rFonts w:hint="eastAsia" w:ascii="宋体" w:hAnsi="宋体" w:eastAsia="宋体" w:cs="宋体"/>
          <w:color w:val="auto"/>
          <w:sz w:val="24"/>
          <w:szCs w:val="24"/>
          <w:lang w:val="en-US" w:eastAsia="zh-CN"/>
        </w:rPr>
        <w:t>〕</w:t>
      </w:r>
      <w:r>
        <w:rPr>
          <w:rFonts w:hint="eastAsia" w:ascii="Times New Roman" w:hAnsi="Times New Roman" w:eastAsia="宋体" w:cs="Times New Roman"/>
          <w:color w:val="auto"/>
          <w:sz w:val="24"/>
          <w:szCs w:val="24"/>
          <w:lang w:val="en-US" w:eastAsia="zh-CN"/>
        </w:rPr>
        <w:t>22 号），2016年完成</w:t>
      </w:r>
      <w:r>
        <w:rPr>
          <w:rFonts w:hint="default" w:ascii="Times New Roman" w:hAnsi="Times New Roman" w:eastAsia="宋体" w:cs="Times New Roman"/>
          <w:color w:val="auto"/>
          <w:sz w:val="24"/>
          <w:szCs w:val="24"/>
          <w:lang w:val="en-US" w:eastAsia="zh-CN"/>
        </w:rPr>
        <w:t>年</w:t>
      </w:r>
      <w:r>
        <w:rPr>
          <w:rFonts w:hint="eastAsia" w:ascii="Times New Roman" w:hAnsi="Times New Roman" w:eastAsia="宋体" w:cs="Times New Roman"/>
          <w:color w:val="auto"/>
          <w:sz w:val="24"/>
          <w:szCs w:val="24"/>
          <w:lang w:val="en-US" w:eastAsia="zh-CN"/>
        </w:rPr>
        <w:t>产</w:t>
      </w:r>
      <w:r>
        <w:rPr>
          <w:rFonts w:hint="default" w:ascii="Times New Roman" w:hAnsi="Times New Roman" w:eastAsia="宋体" w:cs="Times New Roman"/>
          <w:color w:val="auto"/>
          <w:sz w:val="24"/>
          <w:szCs w:val="24"/>
          <w:lang w:val="en-US" w:eastAsia="zh-CN"/>
        </w:rPr>
        <w:t>10万标吨系列酶制剂生产线</w:t>
      </w:r>
      <w:r>
        <w:rPr>
          <w:rFonts w:hint="eastAsia" w:ascii="Times New Roman" w:hAnsi="Times New Roman" w:eastAsia="宋体" w:cs="Times New Roman"/>
          <w:color w:val="auto"/>
          <w:sz w:val="24"/>
          <w:szCs w:val="24"/>
          <w:lang w:val="en-US" w:eastAsia="zh-CN"/>
        </w:rPr>
        <w:t>及年产20吨内酯环（A环降解物）生产线项目竣工环保验收（文号：常环建</w:t>
      </w:r>
      <w:r>
        <w:rPr>
          <w:rFonts w:hint="eastAsia" w:ascii="宋体" w:hAnsi="宋体" w:eastAsia="宋体" w:cs="宋体"/>
          <w:color w:val="auto"/>
          <w:sz w:val="24"/>
          <w:szCs w:val="24"/>
          <w:lang w:val="en-US" w:eastAsia="zh-CN"/>
        </w:rPr>
        <w:t>〔</w:t>
      </w:r>
      <w:r>
        <w:rPr>
          <w:rFonts w:hint="eastAsia" w:ascii="Times New Roman" w:hAnsi="Times New Roman" w:eastAsia="宋体" w:cs="Times New Roman"/>
          <w:color w:val="auto"/>
          <w:sz w:val="24"/>
          <w:szCs w:val="24"/>
          <w:lang w:val="en-US" w:eastAsia="zh-CN"/>
        </w:rPr>
        <w:t>2016</w:t>
      </w:r>
      <w:r>
        <w:rPr>
          <w:rFonts w:hint="eastAsia" w:ascii="宋体" w:hAnsi="宋体" w:eastAsia="宋体" w:cs="宋体"/>
          <w:color w:val="auto"/>
          <w:sz w:val="24"/>
          <w:szCs w:val="24"/>
          <w:lang w:val="en-US" w:eastAsia="zh-CN"/>
        </w:rPr>
        <w:t>〕</w:t>
      </w:r>
      <w:r>
        <w:rPr>
          <w:rFonts w:hint="eastAsia" w:ascii="Times New Roman" w:hAnsi="Times New Roman" w:eastAsia="宋体" w:cs="Times New Roman"/>
          <w:color w:val="auto"/>
          <w:sz w:val="24"/>
          <w:szCs w:val="24"/>
          <w:lang w:val="en-US" w:eastAsia="zh-CN"/>
        </w:rPr>
        <w:t>63号）。2017年3月湖南新合新生物科技有限公司委托湖南景玺环保科技有限公司对年产50吨17a-羟基黄体酮中间体生产线项目（三期项目）进行环境影响评价，并于同年7月取得原常德市环境保护局批复（文号：常环建</w:t>
      </w:r>
      <w:r>
        <w:rPr>
          <w:rFonts w:hint="eastAsia" w:ascii="宋体" w:hAnsi="宋体" w:eastAsia="宋体" w:cs="宋体"/>
          <w:color w:val="auto"/>
          <w:sz w:val="24"/>
          <w:szCs w:val="24"/>
          <w:lang w:val="en-US" w:eastAsia="zh-CN"/>
        </w:rPr>
        <w:t>〔</w:t>
      </w:r>
      <w:r>
        <w:rPr>
          <w:rFonts w:hint="eastAsia" w:ascii="Times New Roman" w:hAnsi="Times New Roman" w:eastAsia="宋体" w:cs="Times New Roman"/>
          <w:color w:val="auto"/>
          <w:sz w:val="24"/>
          <w:szCs w:val="24"/>
          <w:lang w:val="en-US" w:eastAsia="zh-CN"/>
        </w:rPr>
        <w:t>2017</w:t>
      </w:r>
      <w:r>
        <w:rPr>
          <w:rFonts w:hint="eastAsia" w:ascii="宋体" w:hAnsi="宋体" w:eastAsia="宋体" w:cs="宋体"/>
          <w:color w:val="auto"/>
          <w:sz w:val="24"/>
          <w:szCs w:val="24"/>
          <w:lang w:val="en-US" w:eastAsia="zh-CN"/>
        </w:rPr>
        <w:t>〕</w:t>
      </w:r>
      <w:r>
        <w:rPr>
          <w:rFonts w:hint="eastAsia" w:ascii="Times New Roman" w:hAnsi="Times New Roman" w:eastAsia="宋体" w:cs="Times New Roman"/>
          <w:color w:val="auto"/>
          <w:sz w:val="24"/>
          <w:szCs w:val="24"/>
          <w:lang w:val="en-US" w:eastAsia="zh-CN"/>
        </w:rPr>
        <w:t>53 号），2019年2月完成年产50吨17a-羟基黄体酮中间体生产线项目竣工环保验收（常环验</w:t>
      </w:r>
      <w:r>
        <w:rPr>
          <w:rFonts w:hint="eastAsia" w:ascii="宋体" w:hAnsi="宋体" w:eastAsia="宋体" w:cs="宋体"/>
          <w:color w:val="auto"/>
          <w:sz w:val="24"/>
          <w:szCs w:val="24"/>
          <w:lang w:val="en-US" w:eastAsia="zh-CN"/>
        </w:rPr>
        <w:t>〔</w:t>
      </w:r>
      <w:r>
        <w:rPr>
          <w:rFonts w:hint="eastAsia" w:ascii="Times New Roman" w:hAnsi="Times New Roman" w:eastAsia="宋体" w:cs="Times New Roman"/>
          <w:color w:val="auto"/>
          <w:sz w:val="24"/>
          <w:szCs w:val="24"/>
          <w:lang w:val="en-US" w:eastAsia="zh-CN"/>
        </w:rPr>
        <w:t>2019</w:t>
      </w:r>
      <w:r>
        <w:rPr>
          <w:rFonts w:hint="eastAsia" w:ascii="宋体" w:hAnsi="宋体" w:eastAsia="宋体" w:cs="宋体"/>
          <w:color w:val="auto"/>
          <w:sz w:val="24"/>
          <w:szCs w:val="24"/>
          <w:lang w:val="en-US" w:eastAsia="zh-CN"/>
        </w:rPr>
        <w:t>〕</w:t>
      </w:r>
      <w:r>
        <w:rPr>
          <w:rFonts w:hint="eastAsia" w:ascii="Times New Roman" w:hAnsi="Times New Roman" w:eastAsia="宋体" w:cs="Times New Roman"/>
          <w:color w:val="auto"/>
          <w:sz w:val="24"/>
          <w:szCs w:val="24"/>
          <w:lang w:val="en-US" w:eastAsia="zh-CN"/>
        </w:rPr>
        <w:t>6 号），环保验收通过后该生产线因市场原因一直未投运。2018年1月常德市双赢环境咨询服务有限公司对腺苷中间体发酵产品生产线项目（四期项目）进行环境影响评价，并于同年3月取得原津市市环境保护局批复（文号：津环评</w:t>
      </w:r>
      <w:r>
        <w:rPr>
          <w:rFonts w:hint="eastAsia" w:ascii="宋体" w:hAnsi="宋体" w:eastAsia="宋体" w:cs="宋体"/>
          <w:color w:val="auto"/>
          <w:sz w:val="24"/>
          <w:szCs w:val="24"/>
          <w:lang w:val="en-US" w:eastAsia="zh-CN"/>
        </w:rPr>
        <w:t>〔</w:t>
      </w:r>
      <w:r>
        <w:rPr>
          <w:rFonts w:hint="eastAsia" w:ascii="Times New Roman" w:hAnsi="Times New Roman" w:eastAsia="宋体" w:cs="Times New Roman"/>
          <w:color w:val="auto"/>
          <w:sz w:val="24"/>
          <w:szCs w:val="24"/>
          <w:lang w:val="en-US" w:eastAsia="zh-CN"/>
        </w:rPr>
        <w:t>2018</w:t>
      </w:r>
      <w:r>
        <w:rPr>
          <w:rFonts w:hint="eastAsia" w:ascii="宋体" w:hAnsi="宋体" w:eastAsia="宋体" w:cs="宋体"/>
          <w:color w:val="auto"/>
          <w:sz w:val="24"/>
          <w:szCs w:val="24"/>
          <w:lang w:val="en-US" w:eastAsia="zh-CN"/>
        </w:rPr>
        <w:t>〕</w:t>
      </w:r>
      <w:r>
        <w:rPr>
          <w:rFonts w:hint="eastAsia" w:ascii="Times New Roman" w:hAnsi="Times New Roman" w:eastAsia="宋体" w:cs="Times New Roman"/>
          <w:color w:val="auto"/>
          <w:sz w:val="24"/>
          <w:szCs w:val="24"/>
          <w:lang w:val="en-US" w:eastAsia="zh-CN"/>
        </w:rPr>
        <w:t>3 号），2019年9月建成，因市场原因未投运生产。为了更好的对接市场需求，优化企业生产线，企业2020年1月委托湖南润美环保科技有限公司对其原年产50吨17a-羟基黄体酮中间体生产线改建为年产2000吨泛酸钙饲料添加剂及2000吨丙氨酸食品添加剂生产线（五期项目）进行环境影响评价，于2020年 4月取得常德市生态环境局津市分局批复（文号：常环建（8）</w:t>
      </w:r>
      <w:r>
        <w:rPr>
          <w:rFonts w:hint="eastAsia" w:ascii="宋体" w:hAnsi="宋体" w:eastAsia="宋体" w:cs="宋体"/>
          <w:color w:val="auto"/>
          <w:sz w:val="24"/>
          <w:szCs w:val="24"/>
          <w:lang w:val="en-US" w:eastAsia="zh-CN"/>
        </w:rPr>
        <w:t>〔</w:t>
      </w:r>
      <w:r>
        <w:rPr>
          <w:rFonts w:hint="eastAsia" w:ascii="Times New Roman" w:hAnsi="Times New Roman" w:eastAsia="宋体" w:cs="Times New Roman"/>
          <w:color w:val="auto"/>
          <w:sz w:val="24"/>
          <w:szCs w:val="24"/>
          <w:lang w:val="en-US" w:eastAsia="zh-CN"/>
        </w:rPr>
        <w:t>2020</w:t>
      </w:r>
      <w:r>
        <w:rPr>
          <w:rFonts w:hint="eastAsia" w:ascii="宋体" w:hAnsi="宋体" w:eastAsia="宋体" w:cs="宋体"/>
          <w:color w:val="auto"/>
          <w:sz w:val="24"/>
          <w:szCs w:val="24"/>
          <w:lang w:val="en-US" w:eastAsia="zh-CN"/>
        </w:rPr>
        <w:t>〕</w:t>
      </w:r>
      <w:r>
        <w:rPr>
          <w:rFonts w:hint="eastAsia" w:ascii="Times New Roman" w:hAnsi="Times New Roman" w:eastAsia="宋体" w:cs="Times New Roman"/>
          <w:color w:val="auto"/>
          <w:sz w:val="24"/>
          <w:szCs w:val="24"/>
          <w:lang w:val="en-US" w:eastAsia="zh-CN"/>
        </w:rPr>
        <w:t>7 号），2023年6月10日完成年产2000吨泛酸钙饲料添加剂及2000吨丙氨酸食品添加剂生产线项目自主验收。</w:t>
      </w:r>
    </w:p>
    <w:p w14:paraId="29E8FA48">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2020年12月18日常德市生态环境局津市分局和津市高新技术产业开发管理委员会向湖南龙腾生物科技有限公司</w:t>
      </w:r>
      <w:r>
        <w:rPr>
          <w:rFonts w:hint="eastAsia" w:ascii="Times New Roman" w:hAnsi="Times New Roman" w:eastAsia="宋体" w:cs="Times New Roman"/>
          <w:color w:val="auto"/>
          <w:sz w:val="24"/>
          <w:szCs w:val="24"/>
          <w:lang w:val="en-US" w:eastAsia="zh-CN"/>
        </w:rPr>
        <w:t>（湖南新合新生物科技有限公司）</w:t>
      </w:r>
      <w:r>
        <w:rPr>
          <w:rFonts w:hint="default" w:ascii="Times New Roman" w:hAnsi="Times New Roman" w:eastAsia="宋体" w:cs="Times New Roman"/>
          <w:color w:val="auto"/>
          <w:sz w:val="24"/>
          <w:szCs w:val="24"/>
          <w:lang w:val="en-US" w:eastAsia="zh-CN"/>
        </w:rPr>
        <w:t>提出的整改意见交办函。针对交办函环保问题，</w:t>
      </w:r>
      <w:r>
        <w:rPr>
          <w:rFonts w:hint="eastAsia" w:ascii="Times New Roman" w:hAnsi="Times New Roman" w:eastAsia="宋体" w:cs="Times New Roman"/>
          <w:color w:val="auto"/>
          <w:sz w:val="24"/>
          <w:szCs w:val="24"/>
          <w:lang w:val="en-US" w:eastAsia="zh-CN"/>
        </w:rPr>
        <w:t>企业</w:t>
      </w:r>
      <w:r>
        <w:rPr>
          <w:rFonts w:hint="default" w:ascii="Times New Roman" w:hAnsi="Times New Roman" w:eastAsia="宋体" w:cs="Times New Roman"/>
          <w:color w:val="auto"/>
          <w:sz w:val="24"/>
          <w:szCs w:val="24"/>
          <w:lang w:val="en-US" w:eastAsia="zh-CN"/>
        </w:rPr>
        <w:t>委托第三方专业公司就《交办函》提出的，厂区内的涉气、涉水问题进行了全方位的整改，改造后解决了废气达标排放不稳定、雨污分流、污污分流不完全、废水达标排放不稳定等问题。湖南龙腾生物科技有限公司</w:t>
      </w:r>
      <w:r>
        <w:rPr>
          <w:rFonts w:hint="eastAsia" w:ascii="Times New Roman" w:hAnsi="Times New Roman" w:eastAsia="宋体" w:cs="Times New Roman"/>
          <w:color w:val="auto"/>
          <w:sz w:val="24"/>
          <w:szCs w:val="24"/>
          <w:lang w:val="en-US" w:eastAsia="zh-CN"/>
        </w:rPr>
        <w:t>（湖南新合新生物科技有限公司）</w:t>
      </w:r>
      <w:r>
        <w:rPr>
          <w:rFonts w:hint="default" w:ascii="Times New Roman" w:hAnsi="Times New Roman" w:eastAsia="宋体" w:cs="Times New Roman"/>
          <w:color w:val="auto"/>
          <w:sz w:val="24"/>
          <w:szCs w:val="24"/>
          <w:lang w:val="en-US" w:eastAsia="zh-CN"/>
        </w:rPr>
        <w:t xml:space="preserve">涉气、涉水环保问题整改项目已于2021年4月30日整改完成，并通过了常德市生态环境局津市分局、津市高新技术产业开发管理委员会组织的环保验收。结合环保整治的同时，龙腾公司对生产规划进行了全方位的整改，调整了部分产品的生产规模及生产计划， </w:t>
      </w:r>
      <w:r>
        <w:rPr>
          <w:rFonts w:hint="eastAsia" w:ascii="Times New Roman" w:hAnsi="Times New Roman" w:eastAsia="宋体" w:cs="Times New Roman"/>
          <w:color w:val="auto"/>
          <w:sz w:val="24"/>
          <w:szCs w:val="24"/>
          <w:lang w:val="en-US" w:eastAsia="zh-CN"/>
        </w:rPr>
        <w:t>酶制剂（一期项目）、</w:t>
      </w:r>
      <w:r>
        <w:rPr>
          <w:rFonts w:hint="default" w:ascii="Times New Roman" w:hAnsi="Times New Roman" w:eastAsia="宋体" w:cs="Times New Roman"/>
          <w:color w:val="auto"/>
          <w:sz w:val="24"/>
          <w:szCs w:val="24"/>
          <w:lang w:val="en-US" w:eastAsia="zh-CN"/>
        </w:rPr>
        <w:t>内酯环（A环降解物）（</w:t>
      </w:r>
      <w:r>
        <w:rPr>
          <w:rFonts w:hint="eastAsia" w:ascii="Times New Roman" w:hAnsi="Times New Roman" w:eastAsia="宋体" w:cs="Times New Roman"/>
          <w:color w:val="auto"/>
          <w:sz w:val="24"/>
          <w:szCs w:val="24"/>
          <w:lang w:val="en-US" w:eastAsia="zh-CN"/>
        </w:rPr>
        <w:t>二</w:t>
      </w:r>
      <w:r>
        <w:rPr>
          <w:rFonts w:hint="default" w:ascii="Times New Roman" w:hAnsi="Times New Roman" w:eastAsia="宋体" w:cs="Times New Roman"/>
          <w:color w:val="auto"/>
          <w:sz w:val="24"/>
          <w:szCs w:val="24"/>
          <w:lang w:val="en-US" w:eastAsia="zh-CN"/>
        </w:rPr>
        <w:t>期项目）</w:t>
      </w:r>
      <w:r>
        <w:rPr>
          <w:rFonts w:hint="eastAsia" w:ascii="Times New Roman" w:hAnsi="Times New Roman" w:eastAsia="宋体" w:cs="Times New Roman"/>
          <w:color w:val="auto"/>
          <w:sz w:val="24"/>
          <w:szCs w:val="24"/>
          <w:lang w:val="en-US" w:eastAsia="zh-CN"/>
        </w:rPr>
        <w:t>、丙氨酸食品添加剂（五期项目）</w:t>
      </w:r>
      <w:r>
        <w:rPr>
          <w:rFonts w:hint="default" w:ascii="Times New Roman" w:hAnsi="Times New Roman" w:eastAsia="宋体" w:cs="Times New Roman"/>
          <w:color w:val="auto"/>
          <w:sz w:val="24"/>
          <w:szCs w:val="24"/>
          <w:lang w:val="en-US" w:eastAsia="zh-CN"/>
        </w:rPr>
        <w:t>停止生产。</w:t>
      </w:r>
    </w:p>
    <w:p w14:paraId="2CD15424">
      <w:pPr>
        <w:spacing w:line="360" w:lineRule="auto"/>
        <w:ind w:firstLine="480" w:firstLineChars="200"/>
        <w:rPr>
          <w:rFonts w:hint="eastAsia"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2021年10月</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充分利用调整生产计划后公司利用已建成现有厂房</w:t>
      </w:r>
      <w:r>
        <w:rPr>
          <w:rFonts w:hint="eastAsia" w:ascii="Times New Roman" w:hAnsi="Times New Roman" w:eastAsia="宋体" w:cs="Times New Roman"/>
          <w:color w:val="auto"/>
          <w:sz w:val="24"/>
          <w:szCs w:val="24"/>
          <w:lang w:val="en-US" w:eastAsia="zh-CN"/>
        </w:rPr>
        <w:t>进行</w:t>
      </w:r>
      <w:r>
        <w:rPr>
          <w:rFonts w:hint="default" w:ascii="Times New Roman" w:hAnsi="Times New Roman" w:eastAsia="宋体" w:cs="Times New Roman"/>
          <w:color w:val="auto"/>
          <w:sz w:val="24"/>
          <w:szCs w:val="24"/>
          <w:lang w:val="en-US" w:eastAsia="zh-CN"/>
        </w:rPr>
        <w:t>胞嘧啶中间体生产</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委托长沙科思美环保科技有限公司编制年产1500吨胞嘧啶中间体生产线项目进行环境影响评价，并</w:t>
      </w:r>
      <w:r>
        <w:rPr>
          <w:rFonts w:hint="eastAsia" w:ascii="Times New Roman" w:hAnsi="Times New Roman" w:eastAsia="宋体" w:cs="Times New Roman"/>
          <w:color w:val="auto"/>
          <w:sz w:val="24"/>
          <w:szCs w:val="24"/>
          <w:lang w:val="en-US" w:eastAsia="zh-CN"/>
        </w:rPr>
        <w:t>于</w:t>
      </w:r>
      <w:r>
        <w:rPr>
          <w:rFonts w:hint="default" w:ascii="Times New Roman" w:hAnsi="Times New Roman" w:eastAsia="宋体" w:cs="Times New Roman"/>
          <w:color w:val="auto"/>
          <w:sz w:val="24"/>
          <w:szCs w:val="24"/>
          <w:lang w:val="en-US" w:eastAsia="zh-CN"/>
        </w:rPr>
        <w:t>2022年4月取得常德市生态环境局批复（</w:t>
      </w:r>
      <w:r>
        <w:rPr>
          <w:rFonts w:hint="eastAsia" w:ascii="Times New Roman" w:hAnsi="Times New Roman" w:eastAsia="宋体" w:cs="Times New Roman"/>
          <w:color w:val="auto"/>
          <w:sz w:val="24"/>
          <w:szCs w:val="24"/>
          <w:lang w:val="en-US" w:eastAsia="zh-CN"/>
        </w:rPr>
        <w:t>文号：</w:t>
      </w:r>
      <w:r>
        <w:rPr>
          <w:rFonts w:hint="default" w:ascii="Times New Roman" w:hAnsi="Times New Roman" w:eastAsia="宋体" w:cs="Times New Roman"/>
          <w:color w:val="auto"/>
          <w:sz w:val="24"/>
          <w:szCs w:val="24"/>
          <w:lang w:val="en-US" w:eastAsia="zh-CN"/>
        </w:rPr>
        <w:t>常环建</w:t>
      </w:r>
      <w:r>
        <w:rPr>
          <w:rFonts w:hint="eastAsia" w:ascii="宋体" w:hAnsi="宋体" w:eastAsia="宋体" w:cs="宋体"/>
          <w:color w:val="auto"/>
          <w:sz w:val="24"/>
          <w:szCs w:val="24"/>
          <w:lang w:val="en-US" w:eastAsia="zh-CN"/>
        </w:rPr>
        <w:t>〔</w:t>
      </w:r>
      <w:r>
        <w:rPr>
          <w:rFonts w:hint="default" w:ascii="Times New Roman" w:hAnsi="Times New Roman" w:eastAsia="宋体" w:cs="Times New Roman"/>
          <w:color w:val="auto"/>
          <w:sz w:val="24"/>
          <w:szCs w:val="24"/>
          <w:lang w:val="en-US" w:eastAsia="zh-CN"/>
        </w:rPr>
        <w:t>2022</w:t>
      </w:r>
      <w:r>
        <w:rPr>
          <w:rFonts w:hint="eastAsia" w:ascii="宋体" w:hAnsi="宋体" w:eastAsia="宋体" w:cs="宋体"/>
          <w:color w:val="auto"/>
          <w:sz w:val="24"/>
          <w:szCs w:val="24"/>
          <w:lang w:val="en-US" w:eastAsia="zh-CN"/>
        </w:rPr>
        <w:t>〕</w:t>
      </w:r>
      <w:r>
        <w:rPr>
          <w:rFonts w:hint="default" w:ascii="Times New Roman" w:hAnsi="Times New Roman" w:eastAsia="宋体" w:cs="Times New Roman"/>
          <w:color w:val="auto"/>
          <w:sz w:val="24"/>
          <w:szCs w:val="24"/>
          <w:lang w:val="en-US" w:eastAsia="zh-CN"/>
        </w:rPr>
        <w:t>15 号）</w:t>
      </w:r>
      <w:r>
        <w:rPr>
          <w:rFonts w:hint="eastAsia" w:ascii="Times New Roman" w:hAnsi="Times New Roman" w:eastAsia="宋体" w:cs="Times New Roman"/>
          <w:color w:val="auto"/>
          <w:sz w:val="24"/>
          <w:szCs w:val="24"/>
          <w:lang w:val="en-US" w:eastAsia="zh-CN"/>
        </w:rPr>
        <w:t>，因市场原因，</w:t>
      </w:r>
      <w:r>
        <w:rPr>
          <w:rFonts w:hint="default" w:ascii="Times New Roman" w:hAnsi="Times New Roman" w:eastAsia="宋体" w:cs="Times New Roman"/>
          <w:color w:val="auto"/>
          <w:sz w:val="24"/>
          <w:szCs w:val="24"/>
          <w:lang w:val="en-US" w:eastAsia="zh-CN"/>
        </w:rPr>
        <w:t>年产1500吨胞嘧啶中间体生产线</w:t>
      </w:r>
      <w:r>
        <w:rPr>
          <w:rFonts w:hint="eastAsia" w:ascii="Times New Roman" w:hAnsi="Times New Roman" w:eastAsia="宋体" w:cs="Times New Roman"/>
          <w:color w:val="auto"/>
          <w:sz w:val="24"/>
          <w:szCs w:val="24"/>
          <w:lang w:val="en-US" w:eastAsia="zh-CN"/>
        </w:rPr>
        <w:t>建成后未进行生产。</w:t>
      </w:r>
    </w:p>
    <w:p w14:paraId="0336FC06">
      <w:pPr>
        <w:spacing w:line="360" w:lineRule="auto"/>
        <w:ind w:firstLine="480" w:firstLineChars="200"/>
        <w:rPr>
          <w:rFonts w:hint="default" w:ascii="Times New Roman" w:hAnsi="Times New Roman" w:eastAsia="宋体" w:cs="Times New Roman"/>
          <w:b/>
          <w:bCs/>
          <w:color w:val="auto"/>
          <w:sz w:val="24"/>
          <w:szCs w:val="24"/>
          <w:lang w:val="en-US" w:eastAsia="zh-CN"/>
        </w:rPr>
      </w:pPr>
      <w:r>
        <w:rPr>
          <w:rFonts w:hint="eastAsia" w:ascii="Times New Roman" w:hAnsi="Times New Roman" w:eastAsia="宋体" w:cs="Times New Roman"/>
          <w:color w:val="auto"/>
          <w:sz w:val="24"/>
          <w:szCs w:val="24"/>
          <w:lang w:val="en-US" w:eastAsia="zh-CN"/>
        </w:rPr>
        <w:t>时至今日，湖南新合新生物科技有限公司厂区内仅进行泛酸钙饲料添加剂的生产。为了更好地利用新合新医药集团的技术优势，迎合市场需求，湖南新合新生物科技有限公司在现有厂区进行改扩建，酶制剂项目仅生产糖化酶，产能降为1万t/a，停止2000t丙氨酸食品添加剂的生产，依托年产</w:t>
      </w:r>
      <w:r>
        <w:rPr>
          <w:rFonts w:hint="eastAsia" w:ascii="Times New Roman" w:hAnsi="Times New Roman" w:cs="Times New Roman"/>
          <w:sz w:val="24"/>
        </w:rPr>
        <w:t>1500吨胞嘧啶生产线车间及设备</w:t>
      </w:r>
      <w:r>
        <w:rPr>
          <w:rFonts w:hint="eastAsia" w:ascii="Times New Roman" w:hAnsi="Times New Roman" w:cs="Times New Roman"/>
          <w:sz w:val="24"/>
          <w:lang w:val="en-US" w:eastAsia="zh-CN"/>
        </w:rPr>
        <w:t>和</w:t>
      </w:r>
      <w:r>
        <w:rPr>
          <w:rFonts w:hint="eastAsia" w:ascii="Times New Roman" w:hAnsi="Times New Roman" w:cs="Times New Roman"/>
          <w:sz w:val="24"/>
        </w:rPr>
        <w:t>年产2000吨丙氨酸食品添加剂生产线车间及设备</w:t>
      </w:r>
      <w:r>
        <w:rPr>
          <w:rFonts w:hint="eastAsia" w:ascii="Times New Roman" w:hAnsi="Times New Roman" w:cs="Times New Roman"/>
          <w:sz w:val="24"/>
          <w:lang w:val="en-US" w:eastAsia="zh-CN"/>
        </w:rPr>
        <w:t>改建为</w:t>
      </w:r>
      <w:r>
        <w:rPr>
          <w:rFonts w:hint="eastAsia" w:ascii="Times New Roman" w:hAnsi="Times New Roman" w:eastAsia="宋体" w:cs="Times New Roman"/>
          <w:color w:val="auto"/>
          <w:sz w:val="24"/>
          <w:szCs w:val="24"/>
          <w:lang w:val="en-US" w:eastAsia="zh-CN"/>
        </w:rPr>
        <w:t>年产1000吨肌醇饲料添加剂生产线和年产30000吨液糖生产线。</w:t>
      </w:r>
    </w:p>
    <w:p w14:paraId="7FC28246">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中华人民共和国环境影响评价法》（2018年修正）、《建设项目环境保护管理条例》（国务院第682号令，2017年6月21修订，2017年10月1日起施行）和《建设项目环境影响评价分类管理名录》（2021年1月1日起施行）中的有关规定，拟建项目属于</w:t>
      </w:r>
      <w:r>
        <w:rPr>
          <w:rFonts w:hint="eastAsia" w:ascii="Times New Roman" w:hAnsi="Times New Roman" w:eastAsia="宋体" w:cs="Times New Roman"/>
          <w:color w:val="auto"/>
          <w:sz w:val="24"/>
          <w:szCs w:val="24"/>
          <w:lang w:val="en-US" w:eastAsia="zh-CN"/>
        </w:rPr>
        <w:t>“十、农副食品加工业13-制糖业134-</w:t>
      </w:r>
      <w:r>
        <w:rPr>
          <w:rFonts w:hint="eastAsia" w:ascii="Times New Roman" w:hAnsi="Times New Roman" w:eastAsia="宋体" w:cs="Times New Roman"/>
          <w:color w:val="auto"/>
          <w:sz w:val="24"/>
          <w:szCs w:val="24"/>
          <w:lang w:val="en-US" w:eastAsia="zh-CN"/>
        </w:rPr>
        <w:tab/>
      </w:r>
      <w:r>
        <w:rPr>
          <w:rFonts w:hint="eastAsia" w:ascii="Times New Roman" w:hAnsi="Times New Roman" w:eastAsia="宋体" w:cs="Times New Roman"/>
          <w:color w:val="auto"/>
          <w:sz w:val="24"/>
          <w:szCs w:val="24"/>
          <w:lang w:val="en-US" w:eastAsia="zh-CN"/>
        </w:rPr>
        <w:t>其他”、“十一、食品制造业14-其他食品制造149-有发酵工艺的饲料添加剂制造”</w:t>
      </w:r>
      <w:r>
        <w:rPr>
          <w:rFonts w:hint="default" w:ascii="Times New Roman" w:hAnsi="Times New Roman" w:eastAsia="宋体" w:cs="Times New Roman"/>
          <w:color w:val="auto"/>
          <w:sz w:val="24"/>
          <w:szCs w:val="24"/>
          <w:lang w:val="en-US" w:eastAsia="zh-CN"/>
        </w:rPr>
        <w:t>，应编制环境影响报告书。</w:t>
      </w:r>
    </w:p>
    <w:p w14:paraId="267C489D">
      <w:pPr>
        <w:spacing w:line="360" w:lineRule="auto"/>
        <w:ind w:firstLine="480" w:firstLineChars="200"/>
        <w:rPr>
          <w:rFonts w:ascii="Times New Roman" w:hAnsi="Times New Roman" w:eastAsia="宋体" w:cs="Times New Roman"/>
          <w:color w:val="FF0000"/>
          <w:sz w:val="24"/>
          <w:szCs w:val="24"/>
        </w:rPr>
      </w:pPr>
      <w:r>
        <w:rPr>
          <w:rFonts w:hint="eastAsia" w:ascii="Times New Roman" w:hAnsi="Times New Roman" w:eastAsia="宋体" w:cs="Times New Roman"/>
          <w:color w:val="auto"/>
          <w:sz w:val="24"/>
          <w:szCs w:val="24"/>
          <w:lang w:val="en-US" w:eastAsia="zh-CN"/>
        </w:rPr>
        <w:t>湖南新合新生物科技有限公司</w:t>
      </w:r>
      <w:r>
        <w:rPr>
          <w:rFonts w:hint="eastAsia" w:ascii="Times New Roman" w:hAnsi="Times New Roman" w:eastAsia="宋体" w:cs="Times New Roman"/>
          <w:color w:val="auto"/>
          <w:sz w:val="24"/>
          <w:szCs w:val="24"/>
        </w:rPr>
        <w:t>于2024年</w:t>
      </w:r>
      <w:r>
        <w:rPr>
          <w:rFonts w:hint="eastAsia" w:ascii="Times New Roman" w:hAnsi="Times New Roman" w:eastAsia="宋体" w:cs="Times New Roman"/>
          <w:color w:val="auto"/>
          <w:sz w:val="24"/>
          <w:szCs w:val="24"/>
          <w:lang w:val="en-US" w:eastAsia="zh-CN"/>
        </w:rPr>
        <w:t>10</w:t>
      </w:r>
      <w:r>
        <w:rPr>
          <w:rFonts w:hint="eastAsia" w:ascii="Times New Roman" w:hAnsi="Times New Roman" w:eastAsia="宋体" w:cs="Times New Roman"/>
          <w:color w:val="auto"/>
          <w:sz w:val="24"/>
          <w:szCs w:val="24"/>
        </w:rPr>
        <w:t>月委托常德市双赢环境咨询服务有限公司承担该项目的环境影响评价工作（见附件1）。评价单位接受委托后，依据环评导则中的有关要求，在现场踏勘、资料收集、调查研究的基础上进行了工程分析、数据统计、预测评价、治理措施分析等工作，在以上工作基础上编制完成了</w:t>
      </w:r>
      <w:r>
        <w:rPr>
          <w:rFonts w:hint="eastAsia" w:ascii="Times New Roman" w:hAnsi="Times New Roman" w:eastAsia="宋体" w:cs="Times New Roman"/>
          <w:color w:val="auto"/>
          <w:sz w:val="24"/>
          <w:szCs w:val="24"/>
          <w:lang w:val="en-US" w:eastAsia="zh-CN"/>
        </w:rPr>
        <w:t>湖南新合新生物科技有限公司</w:t>
      </w:r>
      <w:r>
        <w:rPr>
          <w:rFonts w:hint="eastAsia" w:ascii="Times New Roman" w:hAnsi="Times New Roman" w:eastAsia="宋体" w:cs="Times New Roman"/>
          <w:color w:val="auto"/>
          <w:sz w:val="24"/>
          <w:szCs w:val="24"/>
        </w:rPr>
        <w:t>《年产1000吨肌醇饲料添加剂及30000吨液糖生产线项目环境影响报告书》</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rPr>
        <w:t>提交建设单位呈报环境保护主管部门审查。</w:t>
      </w:r>
    </w:p>
    <w:p w14:paraId="08FA807C">
      <w:pPr>
        <w:pStyle w:val="3"/>
        <w:bidi w:val="0"/>
      </w:pPr>
      <w:bookmarkStart w:id="26" w:name="_Toc512320149"/>
      <w:bookmarkStart w:id="27" w:name="_Toc535149909"/>
      <w:bookmarkStart w:id="28" w:name="_Toc49929987"/>
      <w:bookmarkStart w:id="29" w:name="_Toc30746"/>
      <w:bookmarkStart w:id="30" w:name="_Toc18714"/>
      <w:bookmarkStart w:id="31" w:name="_Toc5128299"/>
      <w:bookmarkStart w:id="32" w:name="_Toc535150308"/>
      <w:bookmarkStart w:id="33" w:name="_Toc17206432"/>
      <w:bookmarkStart w:id="34" w:name="_Toc517849893"/>
      <w:bookmarkStart w:id="35" w:name="_Toc146781115"/>
      <w:bookmarkStart w:id="36" w:name="_Toc111800881"/>
      <w:bookmarkStart w:id="37" w:name="_Toc60296937"/>
      <w:bookmarkStart w:id="38" w:name="_Toc22645"/>
      <w:r>
        <w:t>1.2环境影响评价过程</w:t>
      </w:r>
      <w:bookmarkEnd w:id="26"/>
      <w:bookmarkEnd w:id="27"/>
      <w:bookmarkEnd w:id="28"/>
      <w:bookmarkEnd w:id="29"/>
      <w:bookmarkEnd w:id="30"/>
      <w:bookmarkEnd w:id="31"/>
      <w:bookmarkEnd w:id="32"/>
      <w:bookmarkEnd w:id="33"/>
      <w:bookmarkEnd w:id="34"/>
      <w:bookmarkEnd w:id="35"/>
      <w:bookmarkEnd w:id="36"/>
      <w:bookmarkEnd w:id="37"/>
      <w:bookmarkEnd w:id="38"/>
    </w:p>
    <w:p w14:paraId="0D1FD989">
      <w:pPr>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根据《建设项目环境影响评价技术导则-总纲》（HJ2.1-2016）等相关技术规范的要求，本项目环境影响评价的工作见图1</w:t>
      </w:r>
      <w:r>
        <w:rPr>
          <w:rFonts w:hint="eastAsia" w:ascii="Times New Roman" w:hAnsi="Times New Roman" w:eastAsia="宋体" w:cs="Times New Roman"/>
          <w:color w:val="auto"/>
          <w:sz w:val="24"/>
          <w:szCs w:val="24"/>
        </w:rPr>
        <w:t>.2</w:t>
      </w:r>
      <w:r>
        <w:rPr>
          <w:rFonts w:ascii="Times New Roman" w:hAnsi="Times New Roman" w:eastAsia="宋体" w:cs="Times New Roman"/>
          <w:color w:val="auto"/>
          <w:sz w:val="24"/>
          <w:szCs w:val="24"/>
        </w:rPr>
        <w:t>-1。</w:t>
      </w:r>
    </w:p>
    <w:p w14:paraId="19E910FF">
      <w:pPr>
        <w:spacing w:line="360" w:lineRule="auto"/>
        <w:jc w:val="center"/>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drawing>
          <wp:inline distT="0" distB="0" distL="0" distR="0">
            <wp:extent cx="5177155" cy="4946650"/>
            <wp:effectExtent l="0" t="0" r="4445" b="6350"/>
            <wp:docPr id="440886889" name="图片 100" descr="表格&#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886889" name="图片 100" descr="表格&#10;&#10;中度可信度描述已自动生成"/>
                    <pic:cNvPicPr>
                      <a:picLocks noChangeAspect="1" noChangeArrowheads="1"/>
                    </pic:cNvPicPr>
                  </pic:nvPicPr>
                  <pic:blipFill>
                    <a:blip r:embed="rId16">
                      <a:extLst>
                        <a:ext uri="{28A0092B-C50C-407E-A947-70E740481C1C}">
                          <a14:useLocalDpi xmlns:a14="http://schemas.microsoft.com/office/drawing/2010/main" val="0"/>
                        </a:ext>
                      </a:extLst>
                    </a:blip>
                    <a:srcRect l="1156" t="797" r="1866" b="1810"/>
                    <a:stretch>
                      <a:fillRect/>
                    </a:stretch>
                  </pic:blipFill>
                  <pic:spPr>
                    <a:xfrm>
                      <a:off x="0" y="0"/>
                      <a:ext cx="5177155" cy="4946650"/>
                    </a:xfrm>
                    <a:prstGeom prst="rect">
                      <a:avLst/>
                    </a:prstGeom>
                    <a:noFill/>
                    <a:ln>
                      <a:noFill/>
                    </a:ln>
                    <a:effectLst/>
                  </pic:spPr>
                </pic:pic>
              </a:graphicData>
            </a:graphic>
          </wp:inline>
        </w:drawing>
      </w:r>
    </w:p>
    <w:p w14:paraId="1D3DD145">
      <w:pPr>
        <w:pStyle w:val="6"/>
        <w:bidi w:val="0"/>
        <w:spacing w:before="0" w:after="0"/>
      </w:pPr>
      <w:r>
        <w:rPr>
          <w:rFonts w:hint="eastAsia"/>
        </w:rPr>
        <w:t>图1.2-1    环境影响评价工作程序图</w:t>
      </w:r>
    </w:p>
    <w:p w14:paraId="6791F43E">
      <w:pPr>
        <w:pStyle w:val="3"/>
        <w:bidi w:val="0"/>
      </w:pPr>
      <w:bookmarkStart w:id="39" w:name="_Toc146781116"/>
      <w:bookmarkStart w:id="40" w:name="_Toc13202"/>
      <w:bookmarkStart w:id="41" w:name="_Toc535149910"/>
      <w:bookmarkStart w:id="42" w:name="_Toc517849894"/>
      <w:bookmarkStart w:id="43" w:name="_Toc535150309"/>
      <w:bookmarkStart w:id="44" w:name="_Toc2849"/>
      <w:bookmarkStart w:id="45" w:name="_Toc18372"/>
      <w:bookmarkStart w:id="46" w:name="_Toc5128300"/>
      <w:bookmarkStart w:id="47" w:name="_Toc17206433"/>
      <w:bookmarkStart w:id="48" w:name="_Toc49929988"/>
      <w:bookmarkStart w:id="49" w:name="_Toc111800882"/>
      <w:bookmarkStart w:id="50" w:name="_Toc512320150"/>
      <w:bookmarkStart w:id="51" w:name="_Toc60296938"/>
      <w:r>
        <w:t>1.3关注的主要环境问题</w:t>
      </w:r>
      <w:bookmarkEnd w:id="39"/>
      <w:bookmarkEnd w:id="40"/>
      <w:bookmarkEnd w:id="41"/>
      <w:bookmarkEnd w:id="42"/>
      <w:bookmarkEnd w:id="43"/>
      <w:bookmarkEnd w:id="44"/>
      <w:bookmarkEnd w:id="45"/>
      <w:bookmarkEnd w:id="46"/>
      <w:bookmarkEnd w:id="47"/>
      <w:bookmarkEnd w:id="48"/>
      <w:bookmarkEnd w:id="49"/>
      <w:bookmarkEnd w:id="50"/>
      <w:bookmarkEnd w:id="51"/>
    </w:p>
    <w:p w14:paraId="6553E6DB">
      <w:pPr>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1、项目特点</w:t>
      </w:r>
    </w:p>
    <w:p w14:paraId="5ECC54D2">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（1）本工程不新增用地，在现有工程区域进行建设。</w:t>
      </w:r>
    </w:p>
    <w:p w14:paraId="5FDEE064">
      <w:pPr>
        <w:spacing w:line="360" w:lineRule="auto"/>
        <w:ind w:firstLine="480" w:firstLineChars="200"/>
        <w:rPr>
          <w:rFonts w:ascii="Times New Roman" w:hAnsi="Times New Roman" w:eastAsia="宋体" w:cs="Times New Roman"/>
          <w:color w:val="FF0000"/>
          <w:sz w:val="24"/>
          <w:szCs w:val="24"/>
        </w:rPr>
      </w:pPr>
      <w:r>
        <w:rPr>
          <w:rFonts w:hint="eastAsia" w:ascii="Times New Roman" w:hAnsi="Times New Roman" w:eastAsia="宋体" w:cs="Times New Roman"/>
          <w:color w:val="auto"/>
          <w:sz w:val="24"/>
          <w:szCs w:val="24"/>
        </w:rPr>
        <w:t>（2）项目为改扩建工程，项目用电、取水、排水等均依托现有厂区已有设备，对原发酵车间内设备进行更改，并新增</w:t>
      </w:r>
      <w:r>
        <w:rPr>
          <w:rFonts w:hint="eastAsia" w:ascii="Times New Roman" w:hAnsi="Times New Roman" w:eastAsia="宋体" w:cs="Times New Roman"/>
          <w:color w:val="auto"/>
          <w:sz w:val="24"/>
          <w:szCs w:val="24"/>
          <w:lang w:val="en-US" w:eastAsia="zh-CN"/>
        </w:rPr>
        <w:t>2</w:t>
      </w:r>
      <w:r>
        <w:rPr>
          <w:rFonts w:hint="eastAsia" w:ascii="Times New Roman" w:hAnsi="Times New Roman" w:eastAsia="宋体" w:cs="Times New Roman"/>
          <w:color w:val="auto"/>
          <w:sz w:val="24"/>
          <w:szCs w:val="24"/>
        </w:rPr>
        <w:t>个产品生产线。</w:t>
      </w:r>
    </w:p>
    <w:p w14:paraId="04534FF2">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（3）本项目新增生产工艺属于《排污许可证申请与核发技术规范食品制造工业—方便食品、食品及饲料添加剂制造工业》</w:t>
      </w:r>
      <w:r>
        <w:rPr>
          <w:rFonts w:hint="eastAsia" w:ascii="Times New Roman" w:hAnsi="Times New Roman" w:eastAsia="宋体" w:cs="Times New Roman"/>
          <w:color w:val="auto"/>
          <w:sz w:val="24"/>
          <w:szCs w:val="24"/>
          <w:lang w:eastAsia="zh-CN"/>
        </w:rPr>
        <w:t>、《排污许可证申请与核发技术规范</w:t>
      </w:r>
      <w:r>
        <w:rPr>
          <w:rFonts w:hint="eastAsia" w:ascii="Times New Roman" w:hAnsi="Times New Roman" w:eastAsia="宋体" w:cs="Times New Roman"/>
          <w:color w:val="auto"/>
          <w:sz w:val="24"/>
          <w:szCs w:val="24"/>
          <w:lang w:val="en-US" w:eastAsia="zh-CN"/>
        </w:rPr>
        <w:t>农副食品加工工业</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制糖</w:t>
      </w:r>
      <w:r>
        <w:rPr>
          <w:rFonts w:hint="eastAsia" w:ascii="Times New Roman" w:hAnsi="Times New Roman" w:eastAsia="宋体" w:cs="Times New Roman"/>
          <w:color w:val="auto"/>
          <w:sz w:val="24"/>
          <w:szCs w:val="24"/>
          <w:lang w:eastAsia="zh-CN"/>
        </w:rPr>
        <w:t>工业》</w:t>
      </w:r>
      <w:r>
        <w:rPr>
          <w:rFonts w:hint="eastAsia" w:ascii="Times New Roman" w:hAnsi="Times New Roman" w:eastAsia="宋体" w:cs="Times New Roman"/>
          <w:color w:val="auto"/>
          <w:sz w:val="24"/>
          <w:szCs w:val="24"/>
        </w:rPr>
        <w:t>。</w:t>
      </w:r>
    </w:p>
    <w:p w14:paraId="0B2EB4CF">
      <w:pPr>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2、关注的主要环境问题</w:t>
      </w:r>
    </w:p>
    <w:p w14:paraId="19DB1E07">
      <w:pPr>
        <w:spacing w:line="360" w:lineRule="auto"/>
        <w:ind w:firstLine="480" w:firstLineChars="200"/>
        <w:rPr>
          <w:rFonts w:ascii="Times New Roman" w:hAnsi="Times New Roman" w:eastAsia="宋体" w:cs="Times New Roman"/>
          <w:color w:val="FF0000"/>
          <w:sz w:val="24"/>
          <w:szCs w:val="24"/>
        </w:rPr>
      </w:pPr>
      <w:r>
        <w:rPr>
          <w:rFonts w:hint="eastAsia" w:ascii="Times New Roman" w:hAnsi="Times New Roman" w:eastAsia="宋体" w:cs="Times New Roman"/>
          <w:color w:val="auto"/>
          <w:sz w:val="24"/>
          <w:szCs w:val="24"/>
        </w:rPr>
        <w:t>结合项目工程特点及项目所在地环境特点，本次环境影响评价关注的主要环境问题：</w:t>
      </w:r>
    </w:p>
    <w:p w14:paraId="061BA832">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w:t>
      </w:r>
      <w:r>
        <w:rPr>
          <w:rFonts w:ascii="Times New Roman" w:hAnsi="Times New Roman" w:eastAsia="宋体" w:cs="Times New Roman"/>
          <w:color w:val="auto"/>
          <w:sz w:val="24"/>
          <w:szCs w:val="24"/>
        </w:rPr>
        <w:t>1）项目</w:t>
      </w:r>
      <w:r>
        <w:rPr>
          <w:rFonts w:hint="eastAsia" w:ascii="Times New Roman" w:hAnsi="Times New Roman" w:eastAsia="宋体" w:cs="Times New Roman"/>
          <w:color w:val="auto"/>
          <w:sz w:val="24"/>
          <w:szCs w:val="24"/>
        </w:rPr>
        <w:t>建设</w:t>
      </w:r>
      <w:r>
        <w:rPr>
          <w:rFonts w:ascii="Times New Roman" w:hAnsi="Times New Roman" w:eastAsia="宋体" w:cs="Times New Roman"/>
          <w:color w:val="auto"/>
          <w:sz w:val="24"/>
          <w:szCs w:val="24"/>
        </w:rPr>
        <w:t>与相关产业政策、规划的相符性</w:t>
      </w:r>
      <w:r>
        <w:rPr>
          <w:rFonts w:hint="eastAsia" w:ascii="Times New Roman" w:hAnsi="Times New Roman" w:eastAsia="宋体" w:cs="Times New Roman"/>
          <w:color w:val="auto"/>
          <w:sz w:val="24"/>
          <w:szCs w:val="24"/>
        </w:rPr>
        <w:t>分析</w:t>
      </w:r>
      <w:r>
        <w:rPr>
          <w:rFonts w:ascii="Times New Roman" w:hAnsi="Times New Roman" w:eastAsia="宋体" w:cs="Times New Roman"/>
          <w:color w:val="auto"/>
          <w:sz w:val="24"/>
          <w:szCs w:val="24"/>
        </w:rPr>
        <w:t>；</w:t>
      </w:r>
    </w:p>
    <w:p w14:paraId="32FC84EE">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rPr>
        <w:t>（</w:t>
      </w:r>
      <w:r>
        <w:rPr>
          <w:rFonts w:ascii="Times New Roman" w:hAnsi="Times New Roman" w:eastAsia="宋体" w:cs="Times New Roman"/>
          <w:color w:val="auto"/>
          <w:sz w:val="24"/>
          <w:szCs w:val="24"/>
        </w:rPr>
        <w:t>2</w:t>
      </w:r>
      <w:r>
        <w:rPr>
          <w:rFonts w:hint="eastAsia" w:ascii="Times New Roman" w:hAnsi="Times New Roman" w:eastAsia="宋体" w:cs="Times New Roman"/>
          <w:color w:val="auto"/>
          <w:sz w:val="24"/>
          <w:szCs w:val="24"/>
        </w:rPr>
        <w:t>）本项目大气污染物产生节点，主要为</w:t>
      </w:r>
      <w:r>
        <w:rPr>
          <w:rFonts w:hint="eastAsia" w:ascii="Times New Roman" w:hAnsi="Times New Roman" w:eastAsia="宋体" w:cs="Times New Roman"/>
          <w:color w:val="auto"/>
          <w:sz w:val="24"/>
          <w:szCs w:val="24"/>
          <w:lang w:val="en-US" w:eastAsia="zh-CN"/>
        </w:rPr>
        <w:t>发酵</w:t>
      </w:r>
      <w:r>
        <w:rPr>
          <w:rFonts w:hint="eastAsia" w:ascii="Times New Roman" w:hAnsi="Times New Roman" w:eastAsia="宋体" w:cs="Times New Roman"/>
          <w:color w:val="auto"/>
          <w:sz w:val="24"/>
          <w:szCs w:val="24"/>
        </w:rPr>
        <w:t>过程中</w:t>
      </w:r>
      <w:r>
        <w:rPr>
          <w:rFonts w:hint="eastAsia" w:ascii="Times New Roman" w:hAnsi="Times New Roman" w:eastAsia="宋体" w:cs="Times New Roman"/>
          <w:color w:val="auto"/>
          <w:sz w:val="24"/>
          <w:szCs w:val="24"/>
          <w:lang w:val="en-US" w:eastAsia="zh-CN"/>
        </w:rPr>
        <w:t>产生的非甲烷总烃、颗粒物、氨气和干燥过程中产生的颗粒物对大气环境的影响及控制措施，本项目生产废气均通过已有废气处理设施处理后经DA001排气筒排放。</w:t>
      </w:r>
    </w:p>
    <w:p w14:paraId="7FD096A0">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（3）本项目废水污染物产生节点，主要为</w:t>
      </w:r>
      <w:r>
        <w:rPr>
          <w:rFonts w:hint="eastAsia" w:ascii="Times New Roman" w:hAnsi="Times New Roman" w:eastAsia="宋体" w:cs="Times New Roman"/>
          <w:color w:val="auto"/>
          <w:sz w:val="24"/>
          <w:szCs w:val="24"/>
          <w:lang w:val="en-US" w:eastAsia="zh-CN"/>
        </w:rPr>
        <w:t>生产过程中除杂提纯产生的废水，</w:t>
      </w:r>
      <w:r>
        <w:rPr>
          <w:rFonts w:hint="eastAsia" w:ascii="Times New Roman" w:hAnsi="Times New Roman" w:eastAsia="宋体" w:cs="Times New Roman"/>
          <w:color w:val="auto"/>
          <w:sz w:val="24"/>
          <w:szCs w:val="24"/>
        </w:rPr>
        <w:t>排入自建污水处理站（处理工艺为“物化+厌氧+A/O+气浮”组合工艺）深度处理，再经地上架空专管，排入津市市高新区污水处理厂深度处理。</w:t>
      </w:r>
    </w:p>
    <w:p w14:paraId="002F77BB">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（4）本项目固体废物主要为生产过程中产生的各类危险废物，按照危险废物类别与危险特性，分类贮存于厂区现有危险废物暂存间内，定期交由有资质单位处置。</w:t>
      </w:r>
    </w:p>
    <w:p w14:paraId="3811014C">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（5</w:t>
      </w:r>
      <w:r>
        <w:rPr>
          <w:rFonts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rPr>
        <w:t>本项目作为改扩建工程，主要分析项目现有工程依托可行性，以及拟建工程建成后全厂污染物物排放量增减情况，以及环境影响程度。</w:t>
      </w:r>
    </w:p>
    <w:p w14:paraId="7F6B9B92">
      <w:pPr>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3</w:t>
      </w:r>
      <w:r>
        <w:rPr>
          <w:rFonts w:hint="eastAsia" w:ascii="Times New Roman" w:hAnsi="Times New Roman" w:eastAsia="宋体" w:cs="Times New Roman"/>
          <w:color w:val="auto"/>
          <w:sz w:val="24"/>
          <w:szCs w:val="24"/>
        </w:rPr>
        <w:t>、</w:t>
      </w:r>
      <w:r>
        <w:rPr>
          <w:rFonts w:ascii="Times New Roman" w:hAnsi="Times New Roman" w:eastAsia="宋体" w:cs="Times New Roman"/>
          <w:color w:val="auto"/>
          <w:sz w:val="24"/>
          <w:szCs w:val="24"/>
        </w:rPr>
        <w:t>评价重点</w:t>
      </w:r>
    </w:p>
    <w:p w14:paraId="5E3C2BE5">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工程分析、污染防治措施及可行性分析、工程可行性分析。</w:t>
      </w:r>
    </w:p>
    <w:p w14:paraId="456CD3C5">
      <w:pPr>
        <w:keepNext/>
        <w:keepLines/>
        <w:spacing w:before="100" w:beforeAutospacing="1" w:after="100" w:afterAutospacing="1" w:line="360" w:lineRule="auto"/>
        <w:outlineLvl w:val="1"/>
        <w:rPr>
          <w:rFonts w:ascii="Times New Roman" w:hAnsi="Times New Roman" w:eastAsia="宋体" w:cs="Times New Roman"/>
          <w:b/>
          <w:bCs/>
          <w:color w:val="auto"/>
          <w:kern w:val="0"/>
          <w:sz w:val="28"/>
          <w:szCs w:val="28"/>
        </w:rPr>
      </w:pPr>
      <w:bookmarkStart w:id="52" w:name="_Toc29733"/>
      <w:bookmarkStart w:id="53" w:name="_Toc111800883"/>
      <w:bookmarkStart w:id="54" w:name="_Toc30940"/>
      <w:bookmarkStart w:id="55" w:name="_Toc146781117"/>
      <w:bookmarkStart w:id="56" w:name="_Toc60296939"/>
      <w:bookmarkStart w:id="57" w:name="_Toc3206"/>
      <w:r>
        <w:rPr>
          <w:rFonts w:ascii="Times New Roman" w:hAnsi="Times New Roman" w:eastAsia="宋体" w:cs="Times New Roman"/>
          <w:b/>
          <w:bCs/>
          <w:color w:val="auto"/>
          <w:kern w:val="0"/>
          <w:sz w:val="28"/>
          <w:szCs w:val="28"/>
        </w:rPr>
        <w:t>1.4</w:t>
      </w:r>
      <w:r>
        <w:rPr>
          <w:rFonts w:hint="eastAsia" w:ascii="Times New Roman" w:hAnsi="Times New Roman" w:eastAsia="宋体" w:cs="Times New Roman"/>
          <w:b/>
          <w:bCs/>
          <w:color w:val="auto"/>
          <w:kern w:val="0"/>
          <w:sz w:val="28"/>
          <w:szCs w:val="28"/>
        </w:rPr>
        <w:t>分析情况判定</w:t>
      </w:r>
      <w:bookmarkEnd w:id="52"/>
      <w:bookmarkEnd w:id="53"/>
      <w:bookmarkEnd w:id="54"/>
      <w:bookmarkEnd w:id="55"/>
      <w:bookmarkEnd w:id="56"/>
      <w:bookmarkEnd w:id="57"/>
    </w:p>
    <w:p w14:paraId="7B0515C3">
      <w:pPr>
        <w:pStyle w:val="4"/>
        <w:bidi w:val="0"/>
        <w:rPr>
          <w:color w:val="auto"/>
        </w:rPr>
      </w:pPr>
      <w:r>
        <w:rPr>
          <w:color w:val="auto"/>
        </w:rPr>
        <w:t>1.4.1</w:t>
      </w:r>
      <w:r>
        <w:rPr>
          <w:rFonts w:hint="eastAsia"/>
          <w:color w:val="auto"/>
        </w:rPr>
        <w:t>产业政策符合性分析</w:t>
      </w:r>
    </w:p>
    <w:p w14:paraId="0D20DAF2">
      <w:pPr>
        <w:numPr>
          <w:ilvl w:val="0"/>
          <w:numId w:val="0"/>
        </w:numPr>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kern w:val="2"/>
          <w:sz w:val="24"/>
          <w:szCs w:val="24"/>
          <w:lang w:val="en-US" w:eastAsia="zh-CN" w:bidi="ar-SA"/>
        </w:rPr>
        <w:t>1、</w:t>
      </w:r>
      <w:r>
        <w:rPr>
          <w:rFonts w:hint="eastAsia" w:ascii="Times New Roman" w:hAnsi="Times New Roman" w:eastAsia="宋体" w:cs="Times New Roman"/>
          <w:color w:val="auto"/>
          <w:sz w:val="24"/>
          <w:szCs w:val="24"/>
        </w:rPr>
        <w:t>产业结构调整指导目录</w:t>
      </w:r>
    </w:p>
    <w:p w14:paraId="1214592E">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rPr>
        <w:t>根据《产业结构调整指导目录》（2024年本）</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本项目所生产肌醇食品添加剂和液糖不属于环境准入行业清单中的禁止类与限制类，属于允许类，本项目符合国家产业政策。同时，本项目于2024年10月11日取得津市市发展和改革局出具的《关于年产1000吨肌醇饲料添加剂及30000吨液糖生产线项目备案证明》（津发改投</w:t>
      </w:r>
      <w:r>
        <w:rPr>
          <w:rFonts w:hint="eastAsia" w:ascii="宋体" w:hAnsi="宋体" w:eastAsia="宋体" w:cs="宋体"/>
          <w:color w:val="auto"/>
          <w:sz w:val="24"/>
          <w:szCs w:val="24"/>
          <w:lang w:val="en-US" w:eastAsia="zh-CN"/>
        </w:rPr>
        <w:t>〔</w:t>
      </w:r>
      <w:r>
        <w:rPr>
          <w:rFonts w:hint="eastAsia" w:ascii="Times New Roman" w:hAnsi="Times New Roman" w:eastAsia="宋体" w:cs="Times New Roman"/>
          <w:color w:val="auto"/>
          <w:sz w:val="24"/>
          <w:szCs w:val="24"/>
          <w:lang w:val="en-US" w:eastAsia="zh-CN"/>
        </w:rPr>
        <w:t>2024</w:t>
      </w:r>
      <w:r>
        <w:rPr>
          <w:rFonts w:hint="eastAsia" w:ascii="宋体" w:hAnsi="宋体" w:eastAsia="宋体" w:cs="宋体"/>
          <w:color w:val="auto"/>
          <w:sz w:val="24"/>
          <w:szCs w:val="24"/>
          <w:lang w:val="en-US" w:eastAsia="zh-CN"/>
        </w:rPr>
        <w:t>〕</w:t>
      </w:r>
      <w:r>
        <w:rPr>
          <w:rFonts w:hint="eastAsia" w:ascii="Times New Roman" w:hAnsi="Times New Roman" w:eastAsia="宋体" w:cs="Times New Roman"/>
          <w:color w:val="auto"/>
          <w:sz w:val="24"/>
          <w:szCs w:val="24"/>
          <w:lang w:val="en-US" w:eastAsia="zh-CN"/>
        </w:rPr>
        <w:t>183号），项目编码：2410-430781-04-02-597755，符合《产业结构调整指导目录（2024年本）》要求。</w:t>
      </w:r>
    </w:p>
    <w:p w14:paraId="653DA86C">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2、与《湖南省发展和改革委员会关于印发&lt;湖南省“两高”项目管理名录&gt;的通知》符合性分析</w:t>
      </w:r>
    </w:p>
    <w:p w14:paraId="09731712">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《关于加强高耗能、高排放项目生态环境源头防控的指导意见》（环环评</w:t>
      </w:r>
      <w:r>
        <w:rPr>
          <w:rFonts w:hint="eastAsia" w:ascii="宋体" w:hAnsi="宋体" w:eastAsia="宋体" w:cs="宋体"/>
          <w:color w:val="auto"/>
          <w:sz w:val="24"/>
          <w:szCs w:val="24"/>
        </w:rPr>
        <w:t>〔</w:t>
      </w:r>
      <w:r>
        <w:rPr>
          <w:rFonts w:hint="eastAsia" w:ascii="Times New Roman" w:hAnsi="Times New Roman" w:eastAsia="宋体" w:cs="Times New Roman"/>
          <w:color w:val="auto"/>
          <w:sz w:val="24"/>
          <w:szCs w:val="24"/>
        </w:rPr>
        <w:t>2021</w:t>
      </w:r>
      <w:r>
        <w:rPr>
          <w:rFonts w:hint="eastAsia" w:ascii="宋体" w:hAnsi="宋体" w:eastAsia="宋体" w:cs="宋体"/>
          <w:color w:val="auto"/>
          <w:sz w:val="24"/>
          <w:szCs w:val="24"/>
        </w:rPr>
        <w:t>〕</w:t>
      </w:r>
      <w:r>
        <w:rPr>
          <w:rFonts w:hint="eastAsia" w:ascii="Times New Roman" w:hAnsi="Times New Roman" w:eastAsia="宋体" w:cs="Times New Roman"/>
          <w:color w:val="auto"/>
          <w:sz w:val="24"/>
          <w:szCs w:val="24"/>
        </w:rPr>
        <w:t>45号）指出，各省、自治区、直辖市生态环境厅（局）应严把建设项目环境准入关。新建、改建、扩建“两高”项目须符合生态环境保护法律法规和相关法定规划，满足重点污染物排放总量控制、碳排放达峰目标、生态环境准入清单、相关规划环评和相应行业建设项目环境准入条件、环评文件审批原则要求。石化、现代煤化工项目应纳入国家产业规划。《指导意见》指出新建、扩建石化、化工、焦化、有色金属冶炼、平板玻璃项目应布设在依法合规设立并经规划环评的产业园区。各级生态环境部门和行政审批部门要严格把关，对于不符合相关法律法规的，依法不予审批。省级生态环境部门应加强对基层“两高”项目环评审批程序、审批结果的监督与评估，对审批能力不适应的依法调整上收。《指导意见》指出：“两高”项目暂按煤电、石化、化工、钢铁、有色金属冶炼、建材等六个行业类别，后续对“两高”范围国家、湖南省如有明确规定的，从其规定。</w:t>
      </w:r>
    </w:p>
    <w:p w14:paraId="1F48CD3B">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根据《湖南省生态环境厅关于进一步加强高能耗、搞排放建设项目生态环境源头防控工作的通知》（湘环发〔2022〕23号），“两高”行业和项目范围主要包括《湖南省“两高”项目管理目录》中明确的石化、化工、煤化工、焦化、钢铁、建材、有色、煤电等8个行业和涉煤及煤制品、石油焦、渣油、重油等高污染燃料使用工业窑炉、锅炉项目。</w:t>
      </w:r>
    </w:p>
    <w:p w14:paraId="46F6130B">
      <w:pPr>
        <w:spacing w:line="360" w:lineRule="auto"/>
        <w:ind w:firstLine="480" w:firstLineChars="200"/>
        <w:rPr>
          <w:rFonts w:ascii="Times New Roman" w:hAnsi="Times New Roman" w:eastAsia="宋体" w:cs="Times New Roman"/>
          <w:color w:val="FF0000"/>
          <w:sz w:val="24"/>
          <w:szCs w:val="24"/>
        </w:rPr>
      </w:pPr>
      <w:r>
        <w:rPr>
          <w:rFonts w:hint="eastAsia" w:ascii="Times New Roman" w:hAnsi="Times New Roman" w:eastAsia="宋体" w:cs="Times New Roman"/>
          <w:color w:val="auto"/>
          <w:sz w:val="24"/>
          <w:szCs w:val="24"/>
        </w:rPr>
        <w:t>经核对，本项目属于</w:t>
      </w:r>
      <w:r>
        <w:rPr>
          <w:rFonts w:hint="eastAsia" w:ascii="Times New Roman" w:hAnsi="Times New Roman" w:eastAsia="宋体" w:cs="Times New Roman"/>
          <w:color w:val="auto"/>
          <w:sz w:val="24"/>
          <w:szCs w:val="24"/>
          <w:lang w:val="en-US" w:eastAsia="zh-CN"/>
        </w:rPr>
        <w:t>农副食品加工业和食品制造业</w:t>
      </w:r>
      <w:r>
        <w:rPr>
          <w:rFonts w:hint="eastAsia" w:ascii="Times New Roman" w:hAnsi="Times New Roman" w:eastAsia="宋体" w:cs="Times New Roman"/>
          <w:color w:val="FF0000"/>
          <w:sz w:val="24"/>
          <w:szCs w:val="24"/>
        </w:rPr>
        <w:t>，</w:t>
      </w:r>
      <w:r>
        <w:rPr>
          <w:rFonts w:hint="eastAsia" w:ascii="Times New Roman" w:hAnsi="Times New Roman" w:eastAsia="宋体" w:cs="Times New Roman"/>
          <w:color w:val="auto"/>
          <w:sz w:val="24"/>
          <w:szCs w:val="24"/>
        </w:rPr>
        <w:t>不属于《关于加强高耗能、高排放项目生态环境源头防控的指导意见》及《湖南省“两高”项目管理目录》中规定行业及涉及相应产品及工艺，故本项目不属于“两高”项目。</w:t>
      </w:r>
    </w:p>
    <w:p w14:paraId="69457931">
      <w:pPr>
        <w:pStyle w:val="4"/>
        <w:bidi w:val="0"/>
      </w:pPr>
      <w:r>
        <w:t>1.4.2</w:t>
      </w:r>
      <w:r>
        <w:rPr>
          <w:rFonts w:hint="eastAsia"/>
        </w:rPr>
        <w:t>规划符合性分析</w:t>
      </w:r>
    </w:p>
    <w:p w14:paraId="294731BB">
      <w:pPr>
        <w:pStyle w:val="5"/>
        <w:bidi w:val="0"/>
      </w:pPr>
      <w:r>
        <w:t>1.4.2.1</w:t>
      </w:r>
      <w:r>
        <w:rPr>
          <w:rFonts w:hint="eastAsia"/>
        </w:rPr>
        <w:t>与“三线一单”符合性分析</w:t>
      </w:r>
    </w:p>
    <w:p w14:paraId="2B4BA01C">
      <w:pPr>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1、生态保护红线</w:t>
      </w:r>
    </w:p>
    <w:p w14:paraId="0F4A2F76">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本项目位于常德津市高新技术产业开发区内</w:t>
      </w:r>
      <w:r>
        <w:rPr>
          <w:rFonts w:hint="eastAsia" w:ascii="Times New Roman" w:hAnsi="Times New Roman" w:eastAsia="宋体" w:cs="Times New Roman"/>
          <w:color w:val="auto"/>
          <w:sz w:val="24"/>
          <w:szCs w:val="24"/>
          <w:lang w:val="en-US" w:eastAsia="zh-CN"/>
        </w:rPr>
        <w:t>湖南新合新生物科技有限公司</w:t>
      </w:r>
      <w:r>
        <w:rPr>
          <w:rFonts w:hint="eastAsia" w:ascii="Times New Roman" w:hAnsi="Times New Roman" w:eastAsia="宋体" w:cs="Times New Roman"/>
          <w:color w:val="auto"/>
          <w:sz w:val="24"/>
          <w:szCs w:val="24"/>
        </w:rPr>
        <w:t>现有厂界内，周边区域不涉及重点生态功能区、生态敏感区、生态脆弱区、禁止开发区以及其他未列入上述范围、但具有重要生态功能或生态环境敏感、脆弱的区域，不属于生态红线管控区，符合生态红线区域保护规划。</w:t>
      </w:r>
    </w:p>
    <w:p w14:paraId="2C0B7AD0">
      <w:pPr>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2、环境质量底线</w:t>
      </w:r>
    </w:p>
    <w:p w14:paraId="4F735933">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所在区域属于环境空气质量达标区；根据大气环境补充监测结果及其他因子的实测结果，项目周边大气（补充监测因子）、地表水等监测因子均满足相应标准要求。本项目废气达标排放，噪声厂界达标，固废能合理处置零排放。项目各污染物经治理后对周边环境影响较小，不会改变区域的环境质量，因此本项目符合环境质量底线要求。</w:t>
      </w:r>
    </w:p>
    <w:p w14:paraId="1731D8FD">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3、资源利用上线</w:t>
      </w:r>
    </w:p>
    <w:p w14:paraId="6E5E251E">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项目所用资源主要为电能、水</w:t>
      </w:r>
      <w:r>
        <w:rPr>
          <w:rFonts w:hint="eastAsia" w:ascii="Times New Roman" w:hAnsi="Times New Roman" w:eastAsia="宋体" w:cs="Times New Roman"/>
          <w:color w:val="auto"/>
          <w:sz w:val="24"/>
          <w:szCs w:val="24"/>
          <w:lang w:val="en-US" w:eastAsia="zh-CN"/>
        </w:rPr>
        <w:t>和蒸汽</w:t>
      </w:r>
      <w:r>
        <w:rPr>
          <w:rFonts w:hint="eastAsia" w:ascii="Times New Roman" w:hAnsi="Times New Roman" w:eastAsia="宋体" w:cs="Times New Roman"/>
          <w:color w:val="auto"/>
          <w:sz w:val="24"/>
          <w:szCs w:val="24"/>
        </w:rPr>
        <w:t>等，项目供水、供电</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供气</w:t>
      </w:r>
      <w:r>
        <w:rPr>
          <w:rFonts w:hint="eastAsia" w:ascii="Times New Roman" w:hAnsi="Times New Roman" w:eastAsia="宋体" w:cs="Times New Roman"/>
          <w:color w:val="auto"/>
          <w:sz w:val="24"/>
          <w:szCs w:val="24"/>
        </w:rPr>
        <w:t>均依托园区，水循环利用率能满足园区要求，未突破区域的资源利用上线。综上，本项目的建设符合资源利用上线的要求。</w:t>
      </w:r>
    </w:p>
    <w:p w14:paraId="2CC2ED7B">
      <w:pPr>
        <w:spacing w:line="360" w:lineRule="auto"/>
        <w:ind w:firstLine="480" w:firstLineChars="200"/>
        <w:rPr>
          <w:rFonts w:ascii="Times New Roman" w:hAnsi="Times New Roman" w:eastAsia="宋体" w:cs="Times New Roman"/>
          <w:color w:val="auto"/>
          <w:sz w:val="24"/>
          <w:szCs w:val="24"/>
          <w:lang w:bidi="zh-CN"/>
        </w:rPr>
      </w:pPr>
      <w:r>
        <w:rPr>
          <w:rFonts w:hint="eastAsia" w:ascii="Times New Roman" w:hAnsi="Times New Roman" w:eastAsia="宋体" w:cs="Times New Roman"/>
          <w:color w:val="auto"/>
          <w:sz w:val="24"/>
          <w:szCs w:val="24"/>
        </w:rPr>
        <w:t>4、环境准入清单</w:t>
      </w:r>
    </w:p>
    <w:p w14:paraId="4D1D4BA5">
      <w:pPr>
        <w:spacing w:line="360" w:lineRule="auto"/>
        <w:ind w:firstLine="480" w:firstLineChars="200"/>
        <w:rPr>
          <w:rFonts w:ascii="Times New Roman" w:hAnsi="Calibri" w:eastAsia="宋体" w:cs="Times New Roman"/>
          <w:color w:val="auto"/>
          <w:kern w:val="0"/>
          <w:sz w:val="24"/>
          <w:szCs w:val="24"/>
        </w:rPr>
      </w:pPr>
      <w:r>
        <w:rPr>
          <w:rFonts w:hint="eastAsia" w:ascii="Times New Roman" w:hAnsi="Times New Roman" w:eastAsia="宋体" w:cs="Times New Roman"/>
          <w:color w:val="auto"/>
          <w:kern w:val="0"/>
          <w:sz w:val="24"/>
        </w:rPr>
        <w:t>根据《湖南省生态环境分区管控总体管控要求暨省级以上产业园区生态环境准入清单》（湘环函〔2024〕26号）</w:t>
      </w:r>
      <w:r>
        <w:rPr>
          <w:rFonts w:ascii="Times New Roman" w:hAnsi="Calibri" w:eastAsia="宋体" w:cs="Times New Roman"/>
          <w:color w:val="auto"/>
          <w:kern w:val="0"/>
          <w:sz w:val="24"/>
          <w:szCs w:val="24"/>
        </w:rPr>
        <w:t>中对津市高新技术产业开发区管控要求及符合性分析具体如下：</w:t>
      </w:r>
    </w:p>
    <w:p w14:paraId="77EBC91D">
      <w:pPr>
        <w:pStyle w:val="6"/>
        <w:bidi w:val="0"/>
      </w:pPr>
      <w:r>
        <w:t>表1</w:t>
      </w:r>
      <w:r>
        <w:rPr>
          <w:rFonts w:hint="eastAsia"/>
        </w:rPr>
        <w:t>.4.2-1</w:t>
      </w:r>
      <w:r>
        <w:t xml:space="preserve"> </w:t>
      </w:r>
      <w:r>
        <w:rPr>
          <w:rFonts w:hint="eastAsia"/>
        </w:rPr>
        <w:t xml:space="preserve">   </w:t>
      </w:r>
      <w:r>
        <w:t>与《湖南省</w:t>
      </w:r>
      <w:r>
        <w:rPr>
          <w:rFonts w:hint="eastAsia"/>
        </w:rPr>
        <w:t>“三线一单”</w:t>
      </w:r>
      <w:r>
        <w:t>生态环境总体管控要求暨省级以上产业园区生态环境准入清单》符合性分析</w:t>
      </w:r>
    </w:p>
    <w:tbl>
      <w:tblPr>
        <w:tblStyle w:val="41"/>
        <w:tblW w:w="504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7"/>
        <w:gridCol w:w="5068"/>
        <w:gridCol w:w="2041"/>
        <w:gridCol w:w="783"/>
      </w:tblGrid>
      <w:tr w14:paraId="252D9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1" w:type="pct"/>
            <w:vAlign w:val="center"/>
          </w:tcPr>
          <w:p w14:paraId="2B8F4503">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管理维度</w:t>
            </w:r>
          </w:p>
        </w:tc>
        <w:tc>
          <w:tcPr>
            <w:tcW w:w="2946" w:type="pct"/>
            <w:vAlign w:val="center"/>
          </w:tcPr>
          <w:p w14:paraId="32575816">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清单中管控要求</w:t>
            </w:r>
          </w:p>
        </w:tc>
        <w:tc>
          <w:tcPr>
            <w:tcW w:w="1186" w:type="pct"/>
            <w:vAlign w:val="center"/>
          </w:tcPr>
          <w:p w14:paraId="5BDB0F38">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相符性分析</w:t>
            </w:r>
          </w:p>
        </w:tc>
        <w:tc>
          <w:tcPr>
            <w:tcW w:w="455" w:type="pct"/>
            <w:vAlign w:val="center"/>
          </w:tcPr>
          <w:p w14:paraId="7DE3BF44">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相符性</w:t>
            </w:r>
          </w:p>
        </w:tc>
      </w:tr>
      <w:tr w14:paraId="5C761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1" w:type="pct"/>
            <w:vAlign w:val="center"/>
          </w:tcPr>
          <w:p w14:paraId="6031215E">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空间布局约束</w:t>
            </w:r>
          </w:p>
        </w:tc>
        <w:tc>
          <w:tcPr>
            <w:tcW w:w="2946" w:type="pct"/>
            <w:vAlign w:val="center"/>
          </w:tcPr>
          <w:p w14:paraId="57DA0F61">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 xml:space="preserve">（1.1）高新区产业引进按照国家关于“两高”项目的相关政策要求，高新区内不得新规划集中居住用地、不得扩大安置区规模。高新区化工片区应严格边界管控，控制发展规模。 </w:t>
            </w:r>
          </w:p>
          <w:p w14:paraId="638CDC38">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（1.2）胥家湖靠近高新区一侧沿岸应建设隔离防护绿带，沿岸50米陆域范围不得布置生产性厂房及污水处理设施。新洲镇镇区邻高新区边界300米范围内不得规划新增新建居住区、学校、医院等环境敏感目标。</w:t>
            </w:r>
          </w:p>
          <w:p w14:paraId="2DE94456">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（1.3）团湖安置区常年上风向应严格限制新引进以恶臭、异味等废气排放为主的建设项目并强化对周边已有气型污染项目的治理。</w:t>
            </w:r>
          </w:p>
        </w:tc>
        <w:tc>
          <w:tcPr>
            <w:tcW w:w="1186" w:type="pct"/>
            <w:vAlign w:val="center"/>
          </w:tcPr>
          <w:p w14:paraId="769999CF">
            <w:pPr>
              <w:jc w:val="center"/>
              <w:rPr>
                <w:rFonts w:hint="eastAsia"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eastAsia="zh-CN"/>
              </w:rPr>
              <w:t>（</w:t>
            </w:r>
            <w:r>
              <w:rPr>
                <w:rFonts w:hint="eastAsia" w:ascii="Times New Roman" w:hAnsi="Times New Roman" w:eastAsia="宋体" w:cs="Times New Roman"/>
                <w:color w:val="auto"/>
                <w:sz w:val="22"/>
                <w:szCs w:val="24"/>
                <w:lang w:val="en-US" w:eastAsia="zh-CN"/>
              </w:rPr>
              <w:t>1.1</w:t>
            </w:r>
            <w:r>
              <w:rPr>
                <w:rFonts w:hint="eastAsia" w:ascii="Times New Roman" w:hAnsi="Times New Roman" w:eastAsia="宋体" w:cs="Times New Roman"/>
                <w:color w:val="auto"/>
                <w:sz w:val="22"/>
                <w:szCs w:val="24"/>
                <w:lang w:eastAsia="zh-CN"/>
              </w:rPr>
              <w:t>）</w:t>
            </w:r>
            <w:r>
              <w:rPr>
                <w:rFonts w:hint="eastAsia" w:ascii="Times New Roman" w:hAnsi="Times New Roman" w:eastAsia="宋体" w:cs="Times New Roman"/>
                <w:color w:val="auto"/>
                <w:sz w:val="22"/>
                <w:szCs w:val="24"/>
                <w:lang w:val="en-US" w:eastAsia="zh-CN"/>
              </w:rPr>
              <w:t>本项目不属于“两高”项目；</w:t>
            </w:r>
          </w:p>
          <w:p w14:paraId="5840CC6D">
            <w:pPr>
              <w:jc w:val="center"/>
              <w:rPr>
                <w:rFonts w:hint="eastAsia"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（1.2）</w:t>
            </w:r>
            <w:r>
              <w:rPr>
                <w:rFonts w:hint="eastAsia" w:ascii="Times New Roman" w:hAnsi="Times New Roman" w:eastAsia="宋体" w:cs="Times New Roman"/>
                <w:color w:val="auto"/>
                <w:sz w:val="22"/>
                <w:szCs w:val="24"/>
              </w:rPr>
              <w:t>本项目</w:t>
            </w:r>
            <w:r>
              <w:rPr>
                <w:rFonts w:hint="eastAsia" w:ascii="Times New Roman" w:hAnsi="Times New Roman" w:eastAsia="宋体" w:cs="Times New Roman"/>
                <w:color w:val="auto"/>
                <w:sz w:val="22"/>
                <w:szCs w:val="24"/>
                <w:lang w:val="en-US" w:eastAsia="zh-CN"/>
              </w:rPr>
              <w:t>距离</w:t>
            </w:r>
            <w:r>
              <w:rPr>
                <w:rFonts w:ascii="Times New Roman" w:hAnsi="Times New Roman" w:eastAsia="宋体" w:cs="Times New Roman"/>
                <w:color w:val="auto"/>
                <w:sz w:val="22"/>
                <w:szCs w:val="24"/>
              </w:rPr>
              <w:t>胥家湖</w:t>
            </w:r>
            <w:r>
              <w:rPr>
                <w:rFonts w:hint="eastAsia" w:ascii="Times New Roman" w:hAnsi="Times New Roman" w:eastAsia="宋体" w:cs="Times New Roman"/>
                <w:color w:val="auto"/>
                <w:sz w:val="22"/>
                <w:szCs w:val="24"/>
                <w:lang w:val="en-US" w:eastAsia="zh-CN"/>
              </w:rPr>
              <w:t>310m；</w:t>
            </w:r>
          </w:p>
          <w:p w14:paraId="68EF519C">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lang w:val="en-US" w:eastAsia="zh-CN"/>
              </w:rPr>
              <w:t>（1.3）本项目</w:t>
            </w:r>
            <w:r>
              <w:rPr>
                <w:rFonts w:hint="eastAsia" w:ascii="Times New Roman" w:hAnsi="Times New Roman" w:eastAsia="宋体" w:cs="Times New Roman"/>
                <w:color w:val="auto"/>
                <w:sz w:val="22"/>
                <w:szCs w:val="24"/>
              </w:rPr>
              <w:t>位于团湖安置区的东南向，不属于</w:t>
            </w:r>
            <w:r>
              <w:rPr>
                <w:rFonts w:ascii="Times New Roman" w:hAnsi="Times New Roman" w:eastAsia="宋体" w:cs="Times New Roman"/>
                <w:color w:val="auto"/>
                <w:sz w:val="22"/>
                <w:szCs w:val="24"/>
              </w:rPr>
              <w:t>团湖安置区常年上风向</w:t>
            </w:r>
            <w:r>
              <w:rPr>
                <w:rFonts w:hint="eastAsia" w:ascii="Times New Roman" w:hAnsi="Times New Roman" w:eastAsia="宋体" w:cs="Times New Roman"/>
                <w:color w:val="auto"/>
                <w:sz w:val="22"/>
                <w:szCs w:val="24"/>
              </w:rPr>
              <w:t>，且属于改扩建，不属于新引进项目。</w:t>
            </w:r>
          </w:p>
        </w:tc>
        <w:tc>
          <w:tcPr>
            <w:tcW w:w="455" w:type="pct"/>
            <w:vAlign w:val="center"/>
          </w:tcPr>
          <w:p w14:paraId="401ABA9E">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符合</w:t>
            </w:r>
          </w:p>
        </w:tc>
      </w:tr>
      <w:tr w14:paraId="2FFED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1" w:type="pct"/>
            <w:vAlign w:val="center"/>
          </w:tcPr>
          <w:p w14:paraId="3A4E43D9">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污染物排放管控</w:t>
            </w:r>
          </w:p>
        </w:tc>
        <w:tc>
          <w:tcPr>
            <w:tcW w:w="2946" w:type="pct"/>
            <w:vAlign w:val="center"/>
          </w:tcPr>
          <w:p w14:paraId="678DBCDD">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2.1）废水：落实管控措施，加强高新区排污管理。完善污水管网建设，做好雨污分流，污污分流，确保区块一（北部片区）、区块二（南部片区）生产生活废水应收尽收，集中排入污水处理厂处理。化工片区企业初期雨水经收集后送污水处理厂处理，杜绝超标废水排入团湖，加快关闭胥嘉湖沿线的雨水排口，确保雨水不得排入胥嘉湖。化工片区应按要求建设公共的事故水池、应急截流等环境风险设施，全面杜绝事故废水直接进入澧水、团湖、胥家湖等自然水体，确保澧水及内湖水质安全。</w:t>
            </w:r>
          </w:p>
          <w:p w14:paraId="43934CBE">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（2.2）废气：加强大气污染防治，加强对高新区企业 VOCs 排放的治理，重点控制 VOCs、恶臭等特征污染物的排放，督促相关化工企业按要求做好挥发性有机物泄漏检测与修复。</w:t>
            </w:r>
          </w:p>
          <w:p w14:paraId="04F3E26E">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（2.3）高新区内生物工程类、医药制造、食品、化工等行业及涉锅炉大气污染物排放应满足《湖南省生态环境厅关于执行污染物特别排放限值（第一批）的公告》中的要求。</w:t>
            </w:r>
          </w:p>
          <w:p w14:paraId="1B423B6D">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2.4）固废：建立园区固废规范化管理体系，做好工业固体废物和生活垃圾的分类收集、转运、综合利用和无害化处理。对危险废物应严格按照国家有关规定综合利用或妥善处置，对危险废物产生企业和经营单位，应强化日常环境监管</w:t>
            </w:r>
          </w:p>
        </w:tc>
        <w:tc>
          <w:tcPr>
            <w:tcW w:w="1186" w:type="pct"/>
            <w:vAlign w:val="center"/>
          </w:tcPr>
          <w:p w14:paraId="56EE978B">
            <w:pPr>
              <w:jc w:val="center"/>
              <w:rPr>
                <w:rFonts w:hint="eastAsia" w:ascii="Times New Roman" w:hAnsi="Times New Roman" w:eastAsia="宋体" w:cs="Times New Roman"/>
                <w:color w:val="auto"/>
                <w:sz w:val="22"/>
                <w:szCs w:val="24"/>
                <w:lang w:eastAsia="zh-CN"/>
              </w:rPr>
            </w:pPr>
            <w:r>
              <w:rPr>
                <w:rFonts w:hint="eastAsia" w:ascii="Times New Roman" w:hAnsi="Times New Roman" w:eastAsia="宋体" w:cs="Times New Roman"/>
                <w:color w:val="auto"/>
                <w:sz w:val="22"/>
                <w:szCs w:val="24"/>
              </w:rPr>
              <w:t>（</w:t>
            </w:r>
            <w:r>
              <w:rPr>
                <w:rFonts w:hint="eastAsia" w:ascii="Times New Roman" w:hAnsi="Times New Roman" w:eastAsia="宋体" w:cs="Times New Roman"/>
                <w:color w:val="auto"/>
                <w:sz w:val="22"/>
                <w:szCs w:val="24"/>
                <w:lang w:val="en-US" w:eastAsia="zh-CN"/>
              </w:rPr>
              <w:t>2.1</w:t>
            </w:r>
            <w:r>
              <w:rPr>
                <w:rFonts w:hint="eastAsia" w:ascii="Times New Roman" w:hAnsi="Times New Roman" w:eastAsia="宋体" w:cs="Times New Roman"/>
                <w:color w:val="auto"/>
                <w:sz w:val="22"/>
                <w:szCs w:val="24"/>
              </w:rPr>
              <w:t>）本项目实行雨污分流，项目按照“雨污分流、污污分流”的原则建设污水收集管网，企业采用“一企一管一监测”明管（专管）输送，园区企业废水预处理达标后进入园区集中污水处理厂处理达标后排入澧水</w:t>
            </w:r>
            <w:r>
              <w:rPr>
                <w:rFonts w:hint="eastAsia" w:ascii="Times New Roman" w:hAnsi="Times New Roman" w:eastAsia="宋体" w:cs="Times New Roman"/>
                <w:color w:val="auto"/>
                <w:sz w:val="22"/>
                <w:szCs w:val="24"/>
                <w:lang w:eastAsia="zh-CN"/>
              </w:rPr>
              <w:t>；</w:t>
            </w:r>
          </w:p>
          <w:p w14:paraId="1A388C43">
            <w:pPr>
              <w:jc w:val="center"/>
              <w:rPr>
                <w:rFonts w:hint="eastAsia" w:ascii="Times New Roman" w:hAnsi="Times New Roman" w:eastAsia="宋体" w:cs="Times New Roman"/>
                <w:color w:val="auto"/>
                <w:sz w:val="22"/>
                <w:szCs w:val="24"/>
                <w:lang w:eastAsia="zh-CN"/>
              </w:rPr>
            </w:pPr>
            <w:r>
              <w:rPr>
                <w:rFonts w:hint="eastAsia" w:ascii="Times New Roman" w:hAnsi="Times New Roman" w:eastAsia="宋体" w:cs="Times New Roman"/>
                <w:color w:val="auto"/>
                <w:sz w:val="22"/>
                <w:szCs w:val="24"/>
              </w:rPr>
              <w:t>（</w:t>
            </w:r>
            <w:r>
              <w:rPr>
                <w:rFonts w:hint="eastAsia" w:ascii="Times New Roman" w:hAnsi="Times New Roman" w:eastAsia="宋体" w:cs="Times New Roman"/>
                <w:color w:val="auto"/>
                <w:sz w:val="22"/>
                <w:szCs w:val="24"/>
                <w:lang w:val="en-US" w:eastAsia="zh-CN"/>
              </w:rPr>
              <w:t>2.2</w:t>
            </w:r>
            <w:r>
              <w:rPr>
                <w:rFonts w:hint="eastAsia" w:ascii="Times New Roman" w:hAnsi="Times New Roman" w:eastAsia="宋体" w:cs="Times New Roman"/>
                <w:color w:val="auto"/>
                <w:sz w:val="22"/>
                <w:szCs w:val="24"/>
              </w:rPr>
              <w:t>）项目工艺废气采取处理措施后均可达标排放</w:t>
            </w:r>
            <w:r>
              <w:rPr>
                <w:rFonts w:hint="eastAsia" w:ascii="Times New Roman" w:hAnsi="Times New Roman" w:eastAsia="宋体" w:cs="Times New Roman"/>
                <w:color w:val="auto"/>
                <w:sz w:val="22"/>
                <w:szCs w:val="24"/>
                <w:lang w:eastAsia="zh-CN"/>
              </w:rPr>
              <w:t>；</w:t>
            </w:r>
          </w:p>
          <w:p w14:paraId="066994E0">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rPr>
              <w:t>（</w:t>
            </w:r>
            <w:r>
              <w:rPr>
                <w:rFonts w:hint="eastAsia" w:ascii="Times New Roman" w:hAnsi="Times New Roman" w:eastAsia="宋体" w:cs="Times New Roman"/>
                <w:color w:val="auto"/>
                <w:sz w:val="22"/>
                <w:szCs w:val="24"/>
                <w:lang w:val="en-US" w:eastAsia="zh-CN"/>
              </w:rPr>
              <w:t>2.3</w:t>
            </w:r>
            <w:r>
              <w:rPr>
                <w:rFonts w:hint="eastAsia" w:ascii="Times New Roman" w:hAnsi="Times New Roman" w:eastAsia="宋体" w:cs="Times New Roman"/>
                <w:color w:val="auto"/>
                <w:sz w:val="22"/>
                <w:szCs w:val="24"/>
              </w:rPr>
              <w:t>）本项目不涉及锅炉</w:t>
            </w:r>
            <w:r>
              <w:rPr>
                <w:rFonts w:hint="eastAsia" w:ascii="Times New Roman" w:hAnsi="Times New Roman" w:eastAsia="宋体" w:cs="Times New Roman"/>
                <w:color w:val="auto"/>
                <w:sz w:val="22"/>
                <w:szCs w:val="24"/>
                <w:lang w:eastAsia="zh-CN"/>
              </w:rPr>
              <w:t>，</w:t>
            </w:r>
            <w:r>
              <w:rPr>
                <w:rFonts w:hint="eastAsia" w:ascii="Times New Roman" w:hAnsi="Times New Roman" w:eastAsia="宋体" w:cs="Times New Roman"/>
                <w:color w:val="auto"/>
                <w:sz w:val="22"/>
                <w:szCs w:val="24"/>
                <w:lang w:val="en-US" w:eastAsia="zh-CN"/>
              </w:rPr>
              <w:t>蒸汽由宁能热电提供；</w:t>
            </w:r>
          </w:p>
          <w:p w14:paraId="1B810123">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r>
              <w:rPr>
                <w:rFonts w:hint="eastAsia" w:ascii="Times New Roman" w:hAnsi="Times New Roman" w:eastAsia="宋体" w:cs="Times New Roman"/>
                <w:color w:val="auto"/>
                <w:sz w:val="22"/>
                <w:szCs w:val="24"/>
                <w:lang w:val="en-US" w:eastAsia="zh-CN"/>
              </w:rPr>
              <w:t>2.4</w:t>
            </w:r>
            <w:r>
              <w:rPr>
                <w:rFonts w:hint="eastAsia" w:ascii="Times New Roman" w:hAnsi="Times New Roman" w:eastAsia="宋体" w:cs="Times New Roman"/>
                <w:color w:val="auto"/>
                <w:sz w:val="22"/>
                <w:szCs w:val="24"/>
              </w:rPr>
              <w:t>）项目产生的一般工业固体废物外售综合利用，危险废物委托有资质的单位处置，生活垃圾交由环卫部门处置。</w:t>
            </w:r>
          </w:p>
        </w:tc>
        <w:tc>
          <w:tcPr>
            <w:tcW w:w="455" w:type="pct"/>
            <w:vAlign w:val="center"/>
          </w:tcPr>
          <w:p w14:paraId="3F155230">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符合</w:t>
            </w:r>
          </w:p>
        </w:tc>
      </w:tr>
      <w:tr w14:paraId="60047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1" w:type="pct"/>
            <w:vAlign w:val="center"/>
          </w:tcPr>
          <w:p w14:paraId="5E9672F9">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环境风险防控</w:t>
            </w:r>
          </w:p>
        </w:tc>
        <w:tc>
          <w:tcPr>
            <w:tcW w:w="2946" w:type="pct"/>
            <w:vAlign w:val="center"/>
          </w:tcPr>
          <w:p w14:paraId="4CC597AB">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（3.1）加强园区环境风险预警、防控和应急体系建设，区块一（北部片区）及区块二（南部片区）落实高新区突发环境事件应急预案提出的各项环境风险防范措施，严防环境风险事故发生。</w:t>
            </w:r>
          </w:p>
          <w:p w14:paraId="53585376">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3.2）园区可能发生突发环境事件的污染物排放企业，生产、储存、运输、使用危险化学品的企业，产生、收集、贮存、运输、利用、处置危险废物的企业等应当编制和实施环境应急预案；鼓励其他企业制定单独的环境应急预案，或在突发事件应急预案中制定环境应急预案专章，并备案。</w:t>
            </w:r>
          </w:p>
          <w:p w14:paraId="7E86B59F">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（3.3）有效管控建设用地土壤污染风险，从严管控化工行业等重度污染地块规划用途，推进危险化学品生产企业搬迁改造腾退地块风险管控和修复。</w:t>
            </w:r>
          </w:p>
          <w:p w14:paraId="10F29A36">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3.4）化工园区应按照有关规定建设园区事故废水防控系统，做好事故废水的收集、暂存和处理。化工园区应根据自身规模和产业结构需要，建立完善的安全生产和生态环境的监测监控和风险预警体系，相关监测监控数据应接入地方监测预警系统</w:t>
            </w:r>
          </w:p>
        </w:tc>
        <w:tc>
          <w:tcPr>
            <w:tcW w:w="1186" w:type="pct"/>
            <w:vAlign w:val="center"/>
          </w:tcPr>
          <w:p w14:paraId="4612D06D">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本</w:t>
            </w:r>
            <w:r>
              <w:rPr>
                <w:rFonts w:hint="eastAsia" w:ascii="Times New Roman" w:hAnsi="Times New Roman" w:eastAsia="宋体" w:cs="Times New Roman"/>
                <w:color w:val="auto"/>
                <w:sz w:val="22"/>
                <w:szCs w:val="24"/>
                <w:lang w:val="en-US" w:eastAsia="zh-CN"/>
              </w:rPr>
              <w:t>企业</w:t>
            </w:r>
            <w:r>
              <w:rPr>
                <w:rFonts w:hint="eastAsia" w:ascii="Times New Roman" w:hAnsi="Times New Roman" w:eastAsia="宋体" w:cs="Times New Roman"/>
                <w:color w:val="auto"/>
                <w:sz w:val="22"/>
                <w:szCs w:val="24"/>
              </w:rPr>
              <w:t>已按要求编制突发环境事件应急预案并备案，</w:t>
            </w:r>
            <w:r>
              <w:rPr>
                <w:rFonts w:ascii="Times New Roman" w:hAnsi="Times New Roman" w:eastAsia="宋体" w:cs="Times New Roman"/>
                <w:color w:val="auto"/>
                <w:sz w:val="22"/>
                <w:szCs w:val="24"/>
              </w:rPr>
              <w:t>建立健全环境风险事故防范措施和应急预案，严防环境风险事故发生</w:t>
            </w:r>
            <w:r>
              <w:rPr>
                <w:rFonts w:hint="eastAsia" w:ascii="Times New Roman" w:hAnsi="Times New Roman" w:eastAsia="宋体" w:cs="Times New Roman"/>
                <w:color w:val="auto"/>
                <w:sz w:val="22"/>
                <w:szCs w:val="24"/>
              </w:rPr>
              <w:t>。常德市生态环境保护</w:t>
            </w:r>
            <w:r>
              <w:rPr>
                <w:rFonts w:hint="eastAsia" w:ascii="Times New Roman" w:hAnsi="Times New Roman" w:eastAsia="宋体" w:cs="Times New Roman"/>
                <w:color w:val="auto"/>
                <w:sz w:val="22"/>
                <w:szCs w:val="24"/>
                <w:lang w:val="en-US" w:eastAsia="zh-CN"/>
              </w:rPr>
              <w:t>综合</w:t>
            </w:r>
            <w:r>
              <w:rPr>
                <w:rFonts w:hint="eastAsia" w:ascii="Times New Roman" w:hAnsi="Times New Roman" w:eastAsia="宋体" w:cs="Times New Roman"/>
                <w:color w:val="auto"/>
                <w:sz w:val="22"/>
                <w:szCs w:val="24"/>
              </w:rPr>
              <w:t>行政执法支队（备案号：4307</w:t>
            </w:r>
            <w:r>
              <w:rPr>
                <w:rFonts w:hint="eastAsia" w:ascii="Times New Roman" w:hAnsi="Times New Roman" w:eastAsia="宋体" w:cs="Times New Roman"/>
                <w:color w:val="auto"/>
                <w:sz w:val="22"/>
                <w:szCs w:val="24"/>
                <w:lang w:val="en-US" w:eastAsia="zh-CN"/>
              </w:rPr>
              <w:t>81-2023-012-H</w:t>
            </w:r>
            <w:r>
              <w:rPr>
                <w:rFonts w:hint="eastAsia" w:ascii="Times New Roman" w:hAnsi="Times New Roman" w:eastAsia="宋体" w:cs="Times New Roman"/>
                <w:color w:val="auto"/>
                <w:sz w:val="22"/>
                <w:szCs w:val="24"/>
              </w:rPr>
              <w:t>）</w:t>
            </w:r>
          </w:p>
        </w:tc>
        <w:tc>
          <w:tcPr>
            <w:tcW w:w="455" w:type="pct"/>
            <w:vAlign w:val="center"/>
          </w:tcPr>
          <w:p w14:paraId="5AD2B206">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符合</w:t>
            </w:r>
          </w:p>
        </w:tc>
      </w:tr>
      <w:tr w14:paraId="53D33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1" w:type="pct"/>
            <w:vAlign w:val="center"/>
          </w:tcPr>
          <w:p w14:paraId="25F68162">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资源开发效率要求</w:t>
            </w:r>
          </w:p>
        </w:tc>
        <w:tc>
          <w:tcPr>
            <w:tcW w:w="2946" w:type="pct"/>
            <w:vAlign w:val="center"/>
          </w:tcPr>
          <w:p w14:paraId="7CCE647D">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4.1）能源：优化能源结构，充分发挥园区集中供热对中小锅炉的替代作用。禁燃区内禁止销售、燃用高污染燃料，禁止新（扩）建燃用高污染燃料的锅炉、炉窑、炉灶等设施（集中供热、电厂锅炉除外）。实施热电联产，集中供热，以天然气供热为补充，逐步淘汰现有燃煤锅炉，严禁新建燃煤锅炉。2025年综合能源消费量预测为22.41万吨标煤（当量值），单位 GDP 能耗预测值0.379标煤/万元。区域“十四五”期间综合能源消费增量为2.80万吨标煤（当量值），单位GDP能耗下降15%。煤炭消费总量为27.46万吨，增量控制在13.95万吨。</w:t>
            </w:r>
          </w:p>
          <w:p w14:paraId="14F21217">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（4.2）水资源：严格按照用水定额核定取用水量，进一步加强计划用水管理，强化行业和产品用水强度控制。到2025年，园区指标应符合相应行政区域的管控要求，津市用水总量为1.4575亿</w:t>
            </w:r>
            <w:r>
              <w:rPr>
                <w:rFonts w:hint="eastAsia" w:ascii="Times New Roman" w:hAnsi="Times New Roman" w:eastAsia="宋体" w:cs="Times New Roman"/>
                <w:color w:val="auto"/>
                <w:sz w:val="22"/>
                <w:szCs w:val="24"/>
                <w:vertAlign w:val="superscript"/>
                <w:lang w:eastAsia="zh-CN"/>
              </w:rPr>
              <w:t>3</w:t>
            </w:r>
            <w:r>
              <w:rPr>
                <w:rFonts w:hint="eastAsia" w:ascii="Times New Roman" w:hAnsi="Times New Roman" w:eastAsia="宋体" w:cs="Times New Roman"/>
                <w:color w:val="auto"/>
                <w:sz w:val="22"/>
                <w:szCs w:val="24"/>
              </w:rPr>
              <w:t>，万元地区生产总量用水量比2020年下降16%、万元工业增加值用水量比2020年下降 13.82%，加强水资源管理，切实合理开发利用和节约保护水资源。</w:t>
            </w:r>
          </w:p>
          <w:p w14:paraId="25ACA771">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4.3）土地资源：促进园区土地高质量利用。在详细规划编制、用地预审与选址、用地报批、土地出让、规划许可、竣工验收等环节，全面推行工业项目建设用地引导指标和工业项目供地负面清单管理，园区工业用地固定资产投入强度达到260万元/亩，工业用地地均税收达到13万元/亩。</w:t>
            </w:r>
          </w:p>
        </w:tc>
        <w:tc>
          <w:tcPr>
            <w:tcW w:w="1186" w:type="pct"/>
            <w:vAlign w:val="center"/>
          </w:tcPr>
          <w:p w14:paraId="6BA05E88">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本项目生产所需热源采用蒸汽加热，蒸汽由宁能热电提供。</w:t>
            </w:r>
          </w:p>
          <w:p w14:paraId="0257885D">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本项目</w:t>
            </w:r>
            <w:r>
              <w:rPr>
                <w:rFonts w:hint="eastAsia" w:ascii="Times New Roman" w:hAnsi="Times New Roman" w:eastAsia="宋体" w:cs="Times New Roman"/>
                <w:color w:val="auto"/>
                <w:sz w:val="22"/>
                <w:szCs w:val="24"/>
                <w:lang w:val="en-US" w:eastAsia="zh-CN"/>
              </w:rPr>
              <w:t>为改扩建项目，在原有厂区内，无新增用地</w:t>
            </w:r>
            <w:r>
              <w:rPr>
                <w:rFonts w:hint="eastAsia" w:ascii="Times New Roman" w:hAnsi="Times New Roman" w:eastAsia="宋体" w:cs="Times New Roman"/>
                <w:color w:val="auto"/>
                <w:sz w:val="22"/>
                <w:szCs w:val="24"/>
              </w:rPr>
              <w:t>。</w:t>
            </w:r>
          </w:p>
        </w:tc>
        <w:tc>
          <w:tcPr>
            <w:tcW w:w="455" w:type="pct"/>
            <w:vAlign w:val="center"/>
          </w:tcPr>
          <w:p w14:paraId="7316FC1F">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符合</w:t>
            </w:r>
          </w:p>
        </w:tc>
      </w:tr>
    </w:tbl>
    <w:p w14:paraId="68AA64A4">
      <w:pPr>
        <w:spacing w:line="360" w:lineRule="auto"/>
        <w:ind w:firstLine="480" w:firstLineChars="200"/>
        <w:rPr>
          <w:rFonts w:ascii="Times New Roman" w:hAnsi="Times New Roman" w:eastAsia="宋体" w:cs="Times New Roman"/>
          <w:color w:val="FF0000"/>
          <w:sz w:val="24"/>
          <w:szCs w:val="24"/>
        </w:rPr>
      </w:pPr>
    </w:p>
    <w:p w14:paraId="6BE3DB1D">
      <w:pPr>
        <w:spacing w:line="360" w:lineRule="auto"/>
        <w:ind w:firstLine="480" w:firstLineChars="200"/>
        <w:rPr>
          <w:rFonts w:ascii="Times New Roman" w:hAnsi="Times New Roman" w:eastAsia="宋体" w:cs="Times New Roman"/>
          <w:color w:val="auto"/>
          <w:sz w:val="24"/>
          <w:szCs w:val="24"/>
          <w:highlight w:val="green"/>
        </w:rPr>
      </w:pPr>
      <w:r>
        <w:rPr>
          <w:rFonts w:hint="eastAsia" w:ascii="Times New Roman" w:hAnsi="Times New Roman" w:eastAsia="宋体" w:cs="Times New Roman"/>
          <w:color w:val="auto"/>
          <w:sz w:val="24"/>
          <w:szCs w:val="24"/>
        </w:rPr>
        <w:t>综上，本项目的建设符合</w:t>
      </w:r>
      <w:r>
        <w:rPr>
          <w:rFonts w:hint="eastAsia" w:ascii="Times New Roman" w:hAnsi="Times New Roman" w:eastAsia="宋体" w:cs="Times New Roman"/>
          <w:color w:val="auto"/>
          <w:kern w:val="0"/>
          <w:sz w:val="24"/>
        </w:rPr>
        <w:t>《湖南省“三线一单”生态环境管控基本要求暨环境管控单元生态环境准入清单》</w:t>
      </w:r>
      <w:r>
        <w:rPr>
          <w:rFonts w:ascii="Times New Roman" w:hAnsi="Calibri" w:eastAsia="宋体" w:cs="Times New Roman"/>
          <w:color w:val="auto"/>
          <w:kern w:val="0"/>
          <w:sz w:val="24"/>
          <w:szCs w:val="24"/>
        </w:rPr>
        <w:t>文件中对津市高新技术产业开发区管控</w:t>
      </w:r>
      <w:r>
        <w:rPr>
          <w:rFonts w:hint="eastAsia" w:ascii="Times New Roman" w:hAnsi="Times New Roman" w:eastAsia="宋体" w:cs="Times New Roman"/>
          <w:color w:val="auto"/>
          <w:sz w:val="24"/>
          <w:szCs w:val="24"/>
        </w:rPr>
        <w:t>要求。</w:t>
      </w:r>
    </w:p>
    <w:p w14:paraId="1F59EB30">
      <w:pPr>
        <w:pStyle w:val="5"/>
        <w:bidi w:val="0"/>
      </w:pPr>
      <w:r>
        <w:t>1.4.2.</w:t>
      </w:r>
      <w:bookmarkStart w:id="58" w:name="_Hlk121932647"/>
      <w:r>
        <w:rPr>
          <w:rFonts w:hint="eastAsia"/>
        </w:rPr>
        <w:t>2与《湖南省长江经济带发展负面清单实施细则（试行）》的通知（第</w:t>
      </w:r>
      <w:r>
        <w:t>32号，2019年10月31日）符合性分析</w:t>
      </w:r>
      <w:bookmarkEnd w:id="58"/>
    </w:p>
    <w:p w14:paraId="57A04975">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经对照《湖南省长江经济带发展负面清单实施细则（试行）》的通知（第</w:t>
      </w:r>
      <w:r>
        <w:rPr>
          <w:rFonts w:ascii="Times New Roman" w:hAnsi="Times New Roman" w:eastAsia="宋体" w:cs="Times New Roman"/>
          <w:color w:val="auto"/>
          <w:sz w:val="24"/>
          <w:szCs w:val="24"/>
        </w:rPr>
        <w:t>32号，2019年10月31日）要求，</w:t>
      </w:r>
      <w:r>
        <w:rPr>
          <w:rFonts w:hint="eastAsia" w:ascii="Times New Roman" w:hAnsi="Times New Roman" w:eastAsia="宋体" w:cs="Times New Roman"/>
          <w:color w:val="auto"/>
          <w:sz w:val="24"/>
          <w:szCs w:val="24"/>
        </w:rPr>
        <w:t>本项目建设情况</w:t>
      </w:r>
      <w:r>
        <w:rPr>
          <w:rFonts w:ascii="Times New Roman" w:hAnsi="Times New Roman" w:eastAsia="宋体" w:cs="Times New Roman"/>
          <w:color w:val="auto"/>
          <w:sz w:val="24"/>
          <w:szCs w:val="24"/>
        </w:rPr>
        <w:t>符合性分析</w:t>
      </w:r>
      <w:r>
        <w:rPr>
          <w:rFonts w:hint="eastAsia" w:ascii="Times New Roman" w:hAnsi="Times New Roman" w:eastAsia="宋体" w:cs="Times New Roman"/>
          <w:color w:val="auto"/>
          <w:sz w:val="24"/>
          <w:szCs w:val="24"/>
        </w:rPr>
        <w:t>如下所示：</w:t>
      </w:r>
    </w:p>
    <w:p w14:paraId="3B2EF01C">
      <w:pPr>
        <w:pStyle w:val="6"/>
        <w:bidi w:val="0"/>
      </w:pPr>
      <w:r>
        <w:rPr>
          <w:rFonts w:hint="eastAsia"/>
        </w:rPr>
        <w:t>表</w:t>
      </w:r>
      <w:r>
        <w:t>1.4</w:t>
      </w:r>
      <w:r>
        <w:rPr>
          <w:rFonts w:hint="eastAsia"/>
        </w:rPr>
        <w:t>.2</w:t>
      </w:r>
      <w:r>
        <w:t>-</w:t>
      </w:r>
      <w:r>
        <w:rPr>
          <w:rFonts w:hint="eastAsia"/>
        </w:rPr>
        <w:t>2</w:t>
      </w:r>
      <w:r>
        <w:t xml:space="preserve"> </w:t>
      </w:r>
      <w:r>
        <w:rPr>
          <w:rFonts w:hint="eastAsia"/>
        </w:rPr>
        <w:t xml:space="preserve">   </w:t>
      </w:r>
      <w:r>
        <w:t>与《湖南省长江经济带发展负面清单实施细则》相符性分析一览表</w:t>
      </w:r>
    </w:p>
    <w:tbl>
      <w:tblPr>
        <w:tblStyle w:val="4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6"/>
        <w:gridCol w:w="5180"/>
        <w:gridCol w:w="1984"/>
        <w:gridCol w:w="862"/>
      </w:tblGrid>
      <w:tr w14:paraId="46395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1" w:type="pct"/>
            <w:vAlign w:val="center"/>
          </w:tcPr>
          <w:p w14:paraId="12BE3D83">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序号</w:t>
            </w:r>
          </w:p>
        </w:tc>
        <w:tc>
          <w:tcPr>
            <w:tcW w:w="3039" w:type="pct"/>
            <w:vAlign w:val="center"/>
          </w:tcPr>
          <w:p w14:paraId="274A8E2D">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《湖南省长江经济带发展负面清单实施细则》</w:t>
            </w:r>
          </w:p>
        </w:tc>
        <w:tc>
          <w:tcPr>
            <w:tcW w:w="1164" w:type="pct"/>
            <w:vAlign w:val="center"/>
          </w:tcPr>
          <w:p w14:paraId="723D280A">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本项目情况</w:t>
            </w:r>
          </w:p>
        </w:tc>
        <w:tc>
          <w:tcPr>
            <w:tcW w:w="506" w:type="pct"/>
            <w:vAlign w:val="center"/>
          </w:tcPr>
          <w:p w14:paraId="2F3603B7">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符合性</w:t>
            </w:r>
          </w:p>
        </w:tc>
      </w:tr>
      <w:tr w14:paraId="57306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1" w:type="pct"/>
            <w:vAlign w:val="center"/>
          </w:tcPr>
          <w:p w14:paraId="2092F1EA">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1</w:t>
            </w:r>
          </w:p>
        </w:tc>
        <w:tc>
          <w:tcPr>
            <w:tcW w:w="3039" w:type="pct"/>
            <w:vAlign w:val="center"/>
          </w:tcPr>
          <w:p w14:paraId="405757A1">
            <w:pPr>
              <w:jc w:val="left"/>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禁止建设不符合全国和省级港口布局规划以及港口总体规划的码头项目。对不符合港口总体规划的新建、改建和扩建的码头工程（含舾装码头工程）及其同时建设的配套设施、防波堤、锚地、护岸等工程投资主管部门不得审批或核准。码头工程建设项目需要使用港口岸线的，项目单位应当按照国省港口岸线使用的管理规定办理港口岸线使用手续。未取得岸线使用批准文件或者岸线使用意见的，不得开工建设。禁止建设不符合《长江干线过江通道布局规划》的过长江通道项目。</w:t>
            </w:r>
          </w:p>
        </w:tc>
        <w:tc>
          <w:tcPr>
            <w:tcW w:w="1164" w:type="pct"/>
            <w:vAlign w:val="center"/>
          </w:tcPr>
          <w:p w14:paraId="71C9891C">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不涉及</w:t>
            </w:r>
          </w:p>
        </w:tc>
        <w:tc>
          <w:tcPr>
            <w:tcW w:w="506" w:type="pct"/>
            <w:vAlign w:val="center"/>
          </w:tcPr>
          <w:p w14:paraId="5B9DFE44">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r>
      <w:tr w14:paraId="38C30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1" w:type="pct"/>
            <w:vAlign w:val="center"/>
          </w:tcPr>
          <w:p w14:paraId="766E950F">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2</w:t>
            </w:r>
          </w:p>
        </w:tc>
        <w:tc>
          <w:tcPr>
            <w:tcW w:w="3039" w:type="pct"/>
            <w:vAlign w:val="center"/>
          </w:tcPr>
          <w:p w14:paraId="0B594D06">
            <w:pPr>
              <w:jc w:val="left"/>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禁止在自然保护区核心区、缓冲区的岸线和河段范围内投资建设以下项目：</w:t>
            </w:r>
          </w:p>
          <w:p w14:paraId="7BEC9A4B">
            <w:pPr>
              <w:jc w:val="left"/>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(一)高尔夫球场开发、房地产开发、索道建设、会所建设等项目；</w:t>
            </w:r>
          </w:p>
          <w:p w14:paraId="3EE83B83">
            <w:pPr>
              <w:jc w:val="left"/>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(二)光伏发电、风力发电、火力发电建设项目；</w:t>
            </w:r>
          </w:p>
          <w:p w14:paraId="6E3FEBA0">
            <w:pPr>
              <w:jc w:val="left"/>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(三)社会资金进行商业性探矿勘查，以及不属于国家紧缺矿种资源的基础地质调查和矿产远景调查等公益性工作的设施建设；</w:t>
            </w:r>
          </w:p>
          <w:p w14:paraId="253F4D91">
            <w:pPr>
              <w:jc w:val="left"/>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(四)野生动物驯养繁殖、展览基地建设项目；</w:t>
            </w:r>
          </w:p>
          <w:p w14:paraId="088F71A5">
            <w:pPr>
              <w:jc w:val="left"/>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(五)污染环境、破坏自然资源或自然景观的建设设施；</w:t>
            </w:r>
          </w:p>
          <w:p w14:paraId="020782BD">
            <w:pPr>
              <w:jc w:val="left"/>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(六)对自然保护区主要保护对象产生重大影响、改变自然生态系统完整性、原真性、破坏自然景观的设施；</w:t>
            </w:r>
          </w:p>
          <w:p w14:paraId="752F3E2F">
            <w:pPr>
              <w:jc w:val="left"/>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(七)其他不符合自然保护区主体功能定位和国家禁止的设施。</w:t>
            </w:r>
          </w:p>
        </w:tc>
        <w:tc>
          <w:tcPr>
            <w:tcW w:w="1164" w:type="pct"/>
            <w:vAlign w:val="center"/>
          </w:tcPr>
          <w:p w14:paraId="307193C1">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不涉及</w:t>
            </w:r>
          </w:p>
        </w:tc>
        <w:tc>
          <w:tcPr>
            <w:tcW w:w="506" w:type="pct"/>
            <w:vAlign w:val="center"/>
          </w:tcPr>
          <w:p w14:paraId="103E1547">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r>
      <w:tr w14:paraId="23927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1" w:type="pct"/>
            <w:vAlign w:val="center"/>
          </w:tcPr>
          <w:p w14:paraId="2CF74701">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3</w:t>
            </w:r>
          </w:p>
        </w:tc>
        <w:tc>
          <w:tcPr>
            <w:tcW w:w="3039" w:type="pct"/>
            <w:vAlign w:val="center"/>
          </w:tcPr>
          <w:p w14:paraId="256BBC4B">
            <w:pPr>
              <w:jc w:val="left"/>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机场、铁路、公路、水利、航运、围堰等公益性基础设施的选址选线应多方案优化比选，尽量避让相关自然保护区域、野生动物迁徙洄游通道；无法避让的，应当采取修建野生动物通道、过鱼设施等措施，消除或者减少对野生动物的不利影响。</w:t>
            </w:r>
          </w:p>
        </w:tc>
        <w:tc>
          <w:tcPr>
            <w:tcW w:w="1164" w:type="pct"/>
            <w:vAlign w:val="center"/>
          </w:tcPr>
          <w:p w14:paraId="3123554D">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不涉及</w:t>
            </w:r>
          </w:p>
        </w:tc>
        <w:tc>
          <w:tcPr>
            <w:tcW w:w="506" w:type="pct"/>
            <w:vAlign w:val="center"/>
          </w:tcPr>
          <w:p w14:paraId="338C2C76">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r>
      <w:tr w14:paraId="6B26C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1" w:type="pct"/>
            <w:vAlign w:val="center"/>
          </w:tcPr>
          <w:p w14:paraId="458FB5B9">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4</w:t>
            </w:r>
          </w:p>
        </w:tc>
        <w:tc>
          <w:tcPr>
            <w:tcW w:w="3039" w:type="pct"/>
            <w:vAlign w:val="center"/>
          </w:tcPr>
          <w:p w14:paraId="353B41C4">
            <w:pPr>
              <w:jc w:val="left"/>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禁止违反风景名胜区规划，在风景名胜区内设立各类开发区和在核心景区内建设宾馆、招待所、培训中心、疗养院以及与风景名胜资源保护无关的其他建筑物；已经建设的，应当按照风景名胜区规划，逐步迁出。</w:t>
            </w:r>
          </w:p>
        </w:tc>
        <w:tc>
          <w:tcPr>
            <w:tcW w:w="1164" w:type="pct"/>
            <w:vAlign w:val="center"/>
          </w:tcPr>
          <w:p w14:paraId="3D56C196">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不涉及</w:t>
            </w:r>
          </w:p>
        </w:tc>
        <w:tc>
          <w:tcPr>
            <w:tcW w:w="506" w:type="pct"/>
            <w:vAlign w:val="center"/>
          </w:tcPr>
          <w:p w14:paraId="444D78F9">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r>
      <w:tr w14:paraId="6E320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1" w:type="pct"/>
            <w:vAlign w:val="center"/>
          </w:tcPr>
          <w:p w14:paraId="4AC77A76">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5</w:t>
            </w:r>
          </w:p>
        </w:tc>
        <w:tc>
          <w:tcPr>
            <w:tcW w:w="3039" w:type="pct"/>
            <w:vAlign w:val="center"/>
          </w:tcPr>
          <w:p w14:paraId="61B1CF04">
            <w:pPr>
              <w:jc w:val="left"/>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饮用水水源一级保护区内禁止新建、改建、扩建与供水设施和保护水源无关的建设项目；禁止向水域排放污水，已设置的排污口必须拆除；不得设置与供水需要无关的码头，禁止停靠船舶；禁止堆置和存放工业废渣、城市垃圾、粪便和其它废弃物；禁止设置油库；禁止使用含磷洗涤剂、化肥、农药；禁止建设养殖场、禁止网箱养殖、旅游等可能污染饮用水水体的投资建设项目。</w:t>
            </w:r>
          </w:p>
        </w:tc>
        <w:tc>
          <w:tcPr>
            <w:tcW w:w="1164" w:type="pct"/>
            <w:vMerge w:val="restart"/>
            <w:vAlign w:val="center"/>
          </w:tcPr>
          <w:p w14:paraId="7D5FB799">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不涉及</w:t>
            </w:r>
          </w:p>
        </w:tc>
        <w:tc>
          <w:tcPr>
            <w:tcW w:w="506" w:type="pct"/>
            <w:vAlign w:val="center"/>
          </w:tcPr>
          <w:p w14:paraId="5C135F0B">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r>
      <w:tr w14:paraId="53254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1" w:type="pct"/>
            <w:vAlign w:val="center"/>
          </w:tcPr>
          <w:p w14:paraId="10A651C7">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6</w:t>
            </w:r>
          </w:p>
        </w:tc>
        <w:tc>
          <w:tcPr>
            <w:tcW w:w="3039" w:type="pct"/>
            <w:vAlign w:val="center"/>
          </w:tcPr>
          <w:p w14:paraId="579BFF0E">
            <w:pPr>
              <w:jc w:val="left"/>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饮用水水源二级保护区内禁止新建、改建、扩建向水体排放污染物的投资建设项目。原有排污口依法拆除或关闭。禁止设立装卸垃圾、粪便、油类和有毒物品的码头。</w:t>
            </w:r>
          </w:p>
        </w:tc>
        <w:tc>
          <w:tcPr>
            <w:tcW w:w="1164" w:type="pct"/>
            <w:vMerge w:val="continue"/>
            <w:vAlign w:val="center"/>
          </w:tcPr>
          <w:p w14:paraId="1694AC08">
            <w:pPr>
              <w:jc w:val="center"/>
              <w:rPr>
                <w:rFonts w:ascii="Times New Roman" w:hAnsi="Times New Roman" w:eastAsia="宋体" w:cs="Times New Roman"/>
                <w:color w:val="auto"/>
                <w:sz w:val="22"/>
                <w:szCs w:val="24"/>
              </w:rPr>
            </w:pPr>
          </w:p>
        </w:tc>
        <w:tc>
          <w:tcPr>
            <w:tcW w:w="506" w:type="pct"/>
            <w:vAlign w:val="center"/>
          </w:tcPr>
          <w:p w14:paraId="6098709E">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r>
      <w:tr w14:paraId="78F4E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1" w:type="pct"/>
            <w:vAlign w:val="center"/>
          </w:tcPr>
          <w:p w14:paraId="577CBD0B">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7</w:t>
            </w:r>
          </w:p>
        </w:tc>
        <w:tc>
          <w:tcPr>
            <w:tcW w:w="3039" w:type="pct"/>
            <w:vAlign w:val="center"/>
          </w:tcPr>
          <w:p w14:paraId="676D3E0A">
            <w:pPr>
              <w:jc w:val="left"/>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禁止在水产种质资源保护区内新建排污口、从事围湖造田造地等投资建设项目。</w:t>
            </w:r>
          </w:p>
        </w:tc>
        <w:tc>
          <w:tcPr>
            <w:tcW w:w="1164" w:type="pct"/>
            <w:vAlign w:val="center"/>
          </w:tcPr>
          <w:p w14:paraId="64F1E6D0">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不涉及</w:t>
            </w:r>
          </w:p>
        </w:tc>
        <w:tc>
          <w:tcPr>
            <w:tcW w:w="506" w:type="pct"/>
            <w:vAlign w:val="center"/>
          </w:tcPr>
          <w:p w14:paraId="2F30A9F5">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r>
      <w:tr w14:paraId="25D6A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1" w:type="pct"/>
            <w:vAlign w:val="center"/>
          </w:tcPr>
          <w:p w14:paraId="656ED4D5">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8</w:t>
            </w:r>
          </w:p>
        </w:tc>
        <w:tc>
          <w:tcPr>
            <w:tcW w:w="3039" w:type="pct"/>
            <w:vAlign w:val="center"/>
          </w:tcPr>
          <w:p w14:paraId="67E7E1CB">
            <w:pPr>
              <w:jc w:val="left"/>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禁止在国家湿地公园范围内开(围)垦湿地、挖沙、采矿等，《中华人民共和国防洪法》规定的紧急防汛期采取的紧急措施除外。</w:t>
            </w:r>
          </w:p>
        </w:tc>
        <w:tc>
          <w:tcPr>
            <w:tcW w:w="1164" w:type="pct"/>
            <w:vAlign w:val="center"/>
          </w:tcPr>
          <w:p w14:paraId="45CE1099">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不涉及</w:t>
            </w:r>
          </w:p>
        </w:tc>
        <w:tc>
          <w:tcPr>
            <w:tcW w:w="506" w:type="pct"/>
            <w:vAlign w:val="center"/>
          </w:tcPr>
          <w:p w14:paraId="0D5F8DFC">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r>
      <w:tr w14:paraId="4C15F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1" w:type="pct"/>
            <w:vAlign w:val="center"/>
          </w:tcPr>
          <w:p w14:paraId="37990E73">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9</w:t>
            </w:r>
          </w:p>
        </w:tc>
        <w:tc>
          <w:tcPr>
            <w:tcW w:w="3039" w:type="pct"/>
            <w:vAlign w:val="center"/>
          </w:tcPr>
          <w:p w14:paraId="05CC172A">
            <w:pPr>
              <w:jc w:val="left"/>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禁止在国家湿地公园范围内从事房地产、度假村、高尔夫球场、风力发电、光伏发电等任何不符合主体功能定位的投资建设项目。</w:t>
            </w:r>
          </w:p>
        </w:tc>
        <w:tc>
          <w:tcPr>
            <w:tcW w:w="1164" w:type="pct"/>
            <w:vAlign w:val="center"/>
          </w:tcPr>
          <w:p w14:paraId="01A16161">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不涉及</w:t>
            </w:r>
          </w:p>
        </w:tc>
        <w:tc>
          <w:tcPr>
            <w:tcW w:w="506" w:type="pct"/>
            <w:vAlign w:val="center"/>
          </w:tcPr>
          <w:p w14:paraId="272185C8">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r>
      <w:tr w14:paraId="6459E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1" w:type="pct"/>
            <w:vAlign w:val="center"/>
          </w:tcPr>
          <w:p w14:paraId="02CADC76">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10</w:t>
            </w:r>
          </w:p>
        </w:tc>
        <w:tc>
          <w:tcPr>
            <w:tcW w:w="3039" w:type="pct"/>
            <w:vAlign w:val="center"/>
          </w:tcPr>
          <w:p w14:paraId="3B7840EE">
            <w:pPr>
              <w:jc w:val="left"/>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长江岸线保护和开发利用总体规划》划定的岸线保护区(以下简称“岸线保护区”)应根据保护目标有针对性地进行管理，严格按照相关法律法规的规定，规划期内禁止建设可能影响保护目标实现的建设项目。按照相关规划在岸线保护区内必须实施的防洪护岸、河道治理、供水、航道整治、国家重要基础设施等事关公共安全及公众利益的建设项目，须经充分论证并严格按照法律法规要求履行相关许可程序。</w:t>
            </w:r>
          </w:p>
        </w:tc>
        <w:tc>
          <w:tcPr>
            <w:tcW w:w="1164" w:type="pct"/>
            <w:vAlign w:val="center"/>
          </w:tcPr>
          <w:p w14:paraId="0F5FCECC">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不涉及</w:t>
            </w:r>
          </w:p>
        </w:tc>
        <w:tc>
          <w:tcPr>
            <w:tcW w:w="506" w:type="pct"/>
            <w:vAlign w:val="center"/>
          </w:tcPr>
          <w:p w14:paraId="698D148A">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r>
      <w:tr w14:paraId="4C540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1" w:type="pct"/>
            <w:vAlign w:val="center"/>
          </w:tcPr>
          <w:p w14:paraId="680C11EC">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11</w:t>
            </w:r>
          </w:p>
        </w:tc>
        <w:tc>
          <w:tcPr>
            <w:tcW w:w="3039" w:type="pct"/>
            <w:vAlign w:val="center"/>
          </w:tcPr>
          <w:p w14:paraId="32188279">
            <w:pPr>
              <w:jc w:val="left"/>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禁止在岸线保护区内投资建设除保障防洪安全、河势稳定、供水安全以及保护生态环境、已建重要枢纽工程以外的项目。禁止在岸线保留区内投资建设除保障防洪安全、河势稳定、供水安全&lt;航道稳定以及保护生态环境以外的项目。</w:t>
            </w:r>
          </w:p>
        </w:tc>
        <w:tc>
          <w:tcPr>
            <w:tcW w:w="1164" w:type="pct"/>
            <w:vAlign w:val="center"/>
          </w:tcPr>
          <w:p w14:paraId="71521978">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不涉及</w:t>
            </w:r>
          </w:p>
        </w:tc>
        <w:tc>
          <w:tcPr>
            <w:tcW w:w="506" w:type="pct"/>
            <w:vAlign w:val="center"/>
          </w:tcPr>
          <w:p w14:paraId="75A815AA">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r>
      <w:tr w14:paraId="47C40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1" w:type="pct"/>
            <w:vAlign w:val="center"/>
          </w:tcPr>
          <w:p w14:paraId="4F453C03">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12</w:t>
            </w:r>
          </w:p>
        </w:tc>
        <w:tc>
          <w:tcPr>
            <w:tcW w:w="3039" w:type="pct"/>
            <w:vAlign w:val="center"/>
          </w:tcPr>
          <w:p w14:paraId="2E1C2CA3">
            <w:pPr>
              <w:jc w:val="left"/>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禁止在《全国重要江河湖泊水功能区划》划定的河段保护区、保留区内投资建设不利于水资源及自然生态保护的项目。</w:t>
            </w:r>
          </w:p>
        </w:tc>
        <w:tc>
          <w:tcPr>
            <w:tcW w:w="1164" w:type="pct"/>
            <w:vAlign w:val="center"/>
          </w:tcPr>
          <w:p w14:paraId="09E93220">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不涉及</w:t>
            </w:r>
          </w:p>
        </w:tc>
        <w:tc>
          <w:tcPr>
            <w:tcW w:w="506" w:type="pct"/>
            <w:vAlign w:val="center"/>
          </w:tcPr>
          <w:p w14:paraId="52349EFC">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r>
      <w:tr w14:paraId="26ED5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1" w:type="pct"/>
            <w:vAlign w:val="center"/>
          </w:tcPr>
          <w:p w14:paraId="4749AD0C">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13</w:t>
            </w:r>
          </w:p>
        </w:tc>
        <w:tc>
          <w:tcPr>
            <w:tcW w:w="3039" w:type="pct"/>
            <w:vAlign w:val="center"/>
          </w:tcPr>
          <w:p w14:paraId="70808DBB">
            <w:pPr>
              <w:jc w:val="left"/>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禁止在生态保护红线和永久基本农田范围内投资建设除国家重大战略资源勘查项目、生态保护修复和环境治理项目、重大基础设施项目、军事国防项目以及农牧民基本生产生活等必要的民生项目以外的项目。</w:t>
            </w:r>
          </w:p>
        </w:tc>
        <w:tc>
          <w:tcPr>
            <w:tcW w:w="1164" w:type="pct"/>
            <w:vAlign w:val="center"/>
          </w:tcPr>
          <w:p w14:paraId="0ECA401D">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本项目选址于津市工业园区不涉及生态保护红线和永久基本农田</w:t>
            </w:r>
          </w:p>
        </w:tc>
        <w:tc>
          <w:tcPr>
            <w:tcW w:w="506" w:type="pct"/>
            <w:vAlign w:val="center"/>
          </w:tcPr>
          <w:p w14:paraId="000A51B6">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符合</w:t>
            </w:r>
          </w:p>
        </w:tc>
      </w:tr>
      <w:tr w14:paraId="2B1CC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1" w:type="pct"/>
            <w:vAlign w:val="center"/>
          </w:tcPr>
          <w:p w14:paraId="7A2CE1EB">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14</w:t>
            </w:r>
          </w:p>
        </w:tc>
        <w:tc>
          <w:tcPr>
            <w:tcW w:w="3039" w:type="pct"/>
            <w:vAlign w:val="center"/>
          </w:tcPr>
          <w:p w14:paraId="26E3ECB5">
            <w:pPr>
              <w:jc w:val="left"/>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国家能源、交通、水利、军事设施等重点建设项目，以及省级高速公路、连接深度贫困地区直接为该地区服务的省级公路和深度贫困地区、集中连片特困地区、国家扶贫开发工作重点县省级以下基础设施、易地扶贫搬迁、民生发展等建设项目，选址确实无法避开永久基本农田的，涉及农用地转用或征收土地的，必须经国务院批准。</w:t>
            </w:r>
          </w:p>
        </w:tc>
        <w:tc>
          <w:tcPr>
            <w:tcW w:w="1164" w:type="pct"/>
            <w:vAlign w:val="center"/>
          </w:tcPr>
          <w:p w14:paraId="10FCAACE">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不涉及</w:t>
            </w:r>
          </w:p>
        </w:tc>
        <w:tc>
          <w:tcPr>
            <w:tcW w:w="506" w:type="pct"/>
            <w:vAlign w:val="center"/>
          </w:tcPr>
          <w:p w14:paraId="48316C83">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r>
      <w:tr w14:paraId="25E3B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1" w:type="pct"/>
            <w:vAlign w:val="center"/>
          </w:tcPr>
          <w:p w14:paraId="0A566A60">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15</w:t>
            </w:r>
          </w:p>
        </w:tc>
        <w:tc>
          <w:tcPr>
            <w:tcW w:w="3039" w:type="pct"/>
            <w:vAlign w:val="center"/>
          </w:tcPr>
          <w:p w14:paraId="303B92A8">
            <w:pPr>
              <w:jc w:val="left"/>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生态保护红线原则上按禁止开发区域的要求进行管理。严禁不符合主体功能定位的各类开发活动，严禁任意改变用途。因国家重大基础设施、重大民生保障项目建设等需要调整的，依法按有关程序报批。因国家重大战略资源勘查需要，在不影响主体功能定位的前提下，经依法批准后予以安排勘查项目。</w:t>
            </w:r>
          </w:p>
        </w:tc>
        <w:tc>
          <w:tcPr>
            <w:tcW w:w="1164" w:type="pct"/>
            <w:vAlign w:val="center"/>
          </w:tcPr>
          <w:p w14:paraId="78761031">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本项目选址于津市工业园区不涉及生态保护红线和永久基本农田</w:t>
            </w:r>
          </w:p>
        </w:tc>
        <w:tc>
          <w:tcPr>
            <w:tcW w:w="506" w:type="pct"/>
            <w:vAlign w:val="center"/>
          </w:tcPr>
          <w:p w14:paraId="64582DD8">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符合</w:t>
            </w:r>
          </w:p>
        </w:tc>
      </w:tr>
      <w:tr w14:paraId="762D8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1" w:type="pct"/>
            <w:vAlign w:val="center"/>
          </w:tcPr>
          <w:p w14:paraId="2BCAD601">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16</w:t>
            </w:r>
          </w:p>
        </w:tc>
        <w:tc>
          <w:tcPr>
            <w:tcW w:w="3039" w:type="pct"/>
            <w:vAlign w:val="center"/>
          </w:tcPr>
          <w:p w14:paraId="1F80A554">
            <w:pPr>
              <w:jc w:val="left"/>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禁止在长江干支流（长江干流湖南段、湘江沅江干流及洞庭湖）岸线1公里范围（指长江干支流岸线边界向陆域纵深1公里，边界指水利部门河道管理范围边界）内新建、扩建化工园区和化工项目。禁止在《中国开发区审核公告目录》公布的园区或省人民政府批准设立的园区外新建、扩建钢铁、石化、化工、焦化、建材、有色等高污染项目。</w:t>
            </w:r>
          </w:p>
        </w:tc>
        <w:tc>
          <w:tcPr>
            <w:tcW w:w="1164" w:type="pct"/>
            <w:vAlign w:val="center"/>
          </w:tcPr>
          <w:p w14:paraId="25534D80">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本项目位于津市高新技术产业开发区内，属于</w:t>
            </w:r>
            <w:r>
              <w:rPr>
                <w:rFonts w:hint="eastAsia" w:ascii="Times New Roman" w:hAnsi="Times New Roman" w:eastAsia="宋体" w:cs="Times New Roman"/>
                <w:color w:val="auto"/>
                <w:sz w:val="22"/>
                <w:szCs w:val="24"/>
                <w:lang w:val="en-US" w:eastAsia="zh-CN"/>
              </w:rPr>
              <w:t>食品</w:t>
            </w:r>
            <w:r>
              <w:rPr>
                <w:rFonts w:hint="eastAsia" w:ascii="Times New Roman" w:hAnsi="Times New Roman" w:eastAsia="宋体" w:cs="Times New Roman"/>
                <w:color w:val="auto"/>
                <w:sz w:val="22"/>
                <w:szCs w:val="24"/>
              </w:rPr>
              <w:t>制造</w:t>
            </w:r>
            <w:r>
              <w:rPr>
                <w:rFonts w:hint="eastAsia" w:ascii="Times New Roman" w:hAnsi="Times New Roman" w:eastAsia="宋体" w:cs="Times New Roman"/>
                <w:color w:val="auto"/>
                <w:sz w:val="22"/>
                <w:szCs w:val="24"/>
                <w:lang w:val="en-US" w:eastAsia="zh-CN"/>
              </w:rPr>
              <w:t>和农副食品加工</w:t>
            </w:r>
            <w:r>
              <w:rPr>
                <w:rFonts w:hint="eastAsia" w:ascii="Times New Roman" w:hAnsi="Times New Roman" w:eastAsia="宋体" w:cs="Times New Roman"/>
                <w:color w:val="auto"/>
                <w:sz w:val="22"/>
                <w:szCs w:val="24"/>
              </w:rPr>
              <w:t>，不属于化工项目，因此与禁止在长江干支流岸线一公里范围内新建、扩建化工园区和化工项目不冲突，</w:t>
            </w:r>
          </w:p>
        </w:tc>
        <w:tc>
          <w:tcPr>
            <w:tcW w:w="506" w:type="pct"/>
            <w:vAlign w:val="center"/>
          </w:tcPr>
          <w:p w14:paraId="07D0F401">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符合</w:t>
            </w:r>
          </w:p>
        </w:tc>
      </w:tr>
      <w:tr w14:paraId="35648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1" w:type="pct"/>
            <w:vAlign w:val="center"/>
          </w:tcPr>
          <w:p w14:paraId="4CDF34A5">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17</w:t>
            </w:r>
          </w:p>
        </w:tc>
        <w:tc>
          <w:tcPr>
            <w:tcW w:w="3039" w:type="pct"/>
            <w:vAlign w:val="center"/>
          </w:tcPr>
          <w:p w14:paraId="29F37649">
            <w:pPr>
              <w:jc w:val="left"/>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禁止新建、扩建不符合国家石化、现代煤化工等产业布局规划的项目。</w:t>
            </w:r>
          </w:p>
        </w:tc>
        <w:tc>
          <w:tcPr>
            <w:tcW w:w="1164" w:type="pct"/>
            <w:vAlign w:val="center"/>
          </w:tcPr>
          <w:p w14:paraId="7C0D87E9">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不涉及</w:t>
            </w:r>
          </w:p>
        </w:tc>
        <w:tc>
          <w:tcPr>
            <w:tcW w:w="506" w:type="pct"/>
            <w:vAlign w:val="center"/>
          </w:tcPr>
          <w:p w14:paraId="2E23FB18">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r>
      <w:tr w14:paraId="692F7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1" w:type="pct"/>
            <w:vAlign w:val="center"/>
          </w:tcPr>
          <w:p w14:paraId="6DBC9D78">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18</w:t>
            </w:r>
          </w:p>
        </w:tc>
        <w:tc>
          <w:tcPr>
            <w:tcW w:w="3039" w:type="pct"/>
            <w:vAlign w:val="center"/>
          </w:tcPr>
          <w:p w14:paraId="77F1E8EB">
            <w:pPr>
              <w:jc w:val="left"/>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新建乙烯、对二甲苯（PX）、二苯基甲烷二异氰酸酯（MDI）等石化项目由省人民政府投资主管部门按照国家批准的石化产业规划布局方案核准。未列入国家批准的相关规划的新建乙烯、对二甲苯（PX）、二苯基甲烷二异氰酸酯（MDI）项目，禁止建设。</w:t>
            </w:r>
          </w:p>
        </w:tc>
        <w:tc>
          <w:tcPr>
            <w:tcW w:w="1164" w:type="pct"/>
            <w:vAlign w:val="center"/>
          </w:tcPr>
          <w:p w14:paraId="168187F8">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不涉及</w:t>
            </w:r>
          </w:p>
        </w:tc>
        <w:tc>
          <w:tcPr>
            <w:tcW w:w="506" w:type="pct"/>
            <w:vAlign w:val="center"/>
          </w:tcPr>
          <w:p w14:paraId="0249EDAB">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r>
      <w:tr w14:paraId="43E29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1" w:type="pct"/>
            <w:vAlign w:val="center"/>
          </w:tcPr>
          <w:p w14:paraId="5C321213">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19</w:t>
            </w:r>
          </w:p>
        </w:tc>
        <w:tc>
          <w:tcPr>
            <w:tcW w:w="3039" w:type="pct"/>
            <w:vAlign w:val="center"/>
          </w:tcPr>
          <w:p w14:paraId="07EC3B3F">
            <w:pPr>
              <w:jc w:val="left"/>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新建煤制烯烃、煤制对二甲苯（PX）等煤化工项目，依法依规按程序核准。新建年产超过100万吨的煤制甲醇项目，由省人民政府投资主管部门依法核准。其余项目禁止建设。</w:t>
            </w:r>
          </w:p>
        </w:tc>
        <w:tc>
          <w:tcPr>
            <w:tcW w:w="1164" w:type="pct"/>
            <w:vAlign w:val="center"/>
          </w:tcPr>
          <w:p w14:paraId="0CA99949">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不涉及</w:t>
            </w:r>
          </w:p>
        </w:tc>
        <w:tc>
          <w:tcPr>
            <w:tcW w:w="506" w:type="pct"/>
            <w:vAlign w:val="center"/>
          </w:tcPr>
          <w:p w14:paraId="616A3E3D">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r>
      <w:tr w14:paraId="75A95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1" w:type="pct"/>
            <w:vAlign w:val="center"/>
          </w:tcPr>
          <w:p w14:paraId="66D1846F">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20</w:t>
            </w:r>
          </w:p>
        </w:tc>
        <w:tc>
          <w:tcPr>
            <w:tcW w:w="3039" w:type="pct"/>
            <w:vAlign w:val="center"/>
          </w:tcPr>
          <w:p w14:paraId="0ED27EC7">
            <w:pPr>
              <w:jc w:val="left"/>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禁止新建、扩建法律法规和相关政策明令禁止的落后产能项目；对不符合要求的落后产能项目，依法依规退出。</w:t>
            </w:r>
          </w:p>
        </w:tc>
        <w:tc>
          <w:tcPr>
            <w:tcW w:w="1164" w:type="pct"/>
            <w:vAlign w:val="center"/>
          </w:tcPr>
          <w:p w14:paraId="3C5653B6">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对照《产业结构调整指导目录（2024年本）》（中华人民共和国国家发展和改革委员会令第29号），本项目属于</w:t>
            </w:r>
            <w:r>
              <w:rPr>
                <w:rFonts w:hint="eastAsia" w:ascii="Times New Roman" w:hAnsi="Times New Roman" w:eastAsia="宋体" w:cs="Times New Roman"/>
                <w:color w:val="auto"/>
                <w:sz w:val="22"/>
                <w:szCs w:val="24"/>
                <w:lang w:val="en-US" w:eastAsia="zh-CN"/>
              </w:rPr>
              <w:t>允许</w:t>
            </w:r>
            <w:r>
              <w:rPr>
                <w:rFonts w:hint="eastAsia" w:ascii="Times New Roman" w:hAnsi="Times New Roman" w:eastAsia="宋体" w:cs="Times New Roman"/>
                <w:color w:val="auto"/>
                <w:sz w:val="22"/>
                <w:szCs w:val="24"/>
              </w:rPr>
              <w:t>类。项目生产采用的设备均不属于《产业结构调整指导目录（2024年本）》（中华人民共和国国家发展和改革委员会令第29号）中淘汰、限制类设备。</w:t>
            </w:r>
          </w:p>
        </w:tc>
        <w:tc>
          <w:tcPr>
            <w:tcW w:w="506" w:type="pct"/>
            <w:vAlign w:val="center"/>
          </w:tcPr>
          <w:p w14:paraId="56D64887">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符合</w:t>
            </w:r>
          </w:p>
        </w:tc>
      </w:tr>
      <w:tr w14:paraId="6742D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1" w:type="pct"/>
            <w:vAlign w:val="center"/>
          </w:tcPr>
          <w:p w14:paraId="7C06D3F0">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21</w:t>
            </w:r>
          </w:p>
        </w:tc>
        <w:tc>
          <w:tcPr>
            <w:tcW w:w="3039" w:type="pct"/>
            <w:vAlign w:val="center"/>
          </w:tcPr>
          <w:p w14:paraId="2CFD9ACB">
            <w:pPr>
              <w:jc w:val="left"/>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对最新版《产业结构调整指导目录》中限制类的新建项目，禁止投资；对淘汰类项目，禁止投资。国家级重点生态功能区，要严格执行国家重点生态功能区产业准入负面清单。</w:t>
            </w:r>
          </w:p>
        </w:tc>
        <w:tc>
          <w:tcPr>
            <w:tcW w:w="1164" w:type="pct"/>
            <w:vAlign w:val="center"/>
          </w:tcPr>
          <w:p w14:paraId="18283A49">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项目产业准入符合《产业结构调整指导目录（</w:t>
            </w:r>
            <w:r>
              <w:rPr>
                <w:rFonts w:ascii="Times New Roman" w:hAnsi="Times New Roman" w:eastAsia="宋体" w:cs="Times New Roman"/>
                <w:color w:val="auto"/>
                <w:sz w:val="22"/>
                <w:szCs w:val="24"/>
              </w:rPr>
              <w:t>20</w:t>
            </w:r>
            <w:r>
              <w:rPr>
                <w:rFonts w:hint="eastAsia" w:ascii="Times New Roman" w:hAnsi="Times New Roman" w:eastAsia="宋体" w:cs="Times New Roman"/>
                <w:color w:val="auto"/>
                <w:sz w:val="22"/>
                <w:szCs w:val="24"/>
              </w:rPr>
              <w:t>24</w:t>
            </w:r>
            <w:r>
              <w:rPr>
                <w:rFonts w:ascii="Times New Roman" w:hAnsi="Times New Roman" w:eastAsia="宋体" w:cs="Times New Roman"/>
                <w:color w:val="auto"/>
                <w:sz w:val="22"/>
                <w:szCs w:val="24"/>
              </w:rPr>
              <w:t>年本）</w:t>
            </w:r>
            <w:r>
              <w:rPr>
                <w:rFonts w:hint="eastAsia" w:ascii="Times New Roman" w:hAnsi="Times New Roman" w:eastAsia="宋体" w:cs="Times New Roman"/>
                <w:color w:val="auto"/>
                <w:sz w:val="22"/>
                <w:szCs w:val="24"/>
              </w:rPr>
              <w:t>》要求，属于</w:t>
            </w:r>
            <w:r>
              <w:rPr>
                <w:rFonts w:hint="eastAsia" w:ascii="Times New Roman" w:hAnsi="Times New Roman" w:eastAsia="宋体" w:cs="Times New Roman"/>
                <w:color w:val="auto"/>
                <w:sz w:val="22"/>
                <w:szCs w:val="24"/>
                <w:lang w:val="en-US" w:eastAsia="zh-CN"/>
              </w:rPr>
              <w:t>允许</w:t>
            </w:r>
            <w:r>
              <w:rPr>
                <w:rFonts w:hint="eastAsia" w:ascii="Times New Roman" w:hAnsi="Times New Roman" w:eastAsia="宋体" w:cs="Times New Roman"/>
                <w:color w:val="auto"/>
                <w:sz w:val="22"/>
                <w:szCs w:val="24"/>
              </w:rPr>
              <w:t>类</w:t>
            </w:r>
          </w:p>
        </w:tc>
        <w:tc>
          <w:tcPr>
            <w:tcW w:w="506" w:type="pct"/>
            <w:vAlign w:val="center"/>
          </w:tcPr>
          <w:p w14:paraId="5A50C282">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符合</w:t>
            </w:r>
          </w:p>
        </w:tc>
      </w:tr>
      <w:tr w14:paraId="1D985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1" w:type="pct"/>
            <w:vAlign w:val="center"/>
          </w:tcPr>
          <w:p w14:paraId="09C0C8D5">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22</w:t>
            </w:r>
          </w:p>
        </w:tc>
        <w:tc>
          <w:tcPr>
            <w:tcW w:w="3039" w:type="pct"/>
            <w:vAlign w:val="center"/>
          </w:tcPr>
          <w:p w14:paraId="43E55371">
            <w:pPr>
              <w:jc w:val="left"/>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禁止新建、扩建不符合国家产能置换要求的严重过剩产能行业（钢铁，水泥、电解铝、平板玻璃、船舶等行业）的项目。</w:t>
            </w:r>
          </w:p>
        </w:tc>
        <w:tc>
          <w:tcPr>
            <w:tcW w:w="1164" w:type="pct"/>
            <w:vAlign w:val="center"/>
          </w:tcPr>
          <w:p w14:paraId="4FBEFB81">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不涉及</w:t>
            </w:r>
          </w:p>
        </w:tc>
        <w:tc>
          <w:tcPr>
            <w:tcW w:w="506" w:type="pct"/>
            <w:vAlign w:val="center"/>
          </w:tcPr>
          <w:p w14:paraId="6CC35B74">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r>
      <w:tr w14:paraId="15ABB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1" w:type="pct"/>
            <w:vAlign w:val="center"/>
          </w:tcPr>
          <w:p w14:paraId="78729A7B">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23</w:t>
            </w:r>
          </w:p>
        </w:tc>
        <w:tc>
          <w:tcPr>
            <w:tcW w:w="3039" w:type="pct"/>
            <w:vAlign w:val="center"/>
          </w:tcPr>
          <w:p w14:paraId="5F9D4A08">
            <w:pPr>
              <w:jc w:val="left"/>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各级各部门不得以任何名义、任何方式办理产能严重过剩行业新增产能项目的建设审批手续，对确有必要新增产能的，必须严格执行产能置换实施办法，实施减量或等量置换，依法依规办理有关手续。</w:t>
            </w:r>
          </w:p>
        </w:tc>
        <w:tc>
          <w:tcPr>
            <w:tcW w:w="1164" w:type="pct"/>
            <w:vAlign w:val="center"/>
          </w:tcPr>
          <w:p w14:paraId="302DFDBB">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不涉及</w:t>
            </w:r>
          </w:p>
        </w:tc>
        <w:tc>
          <w:tcPr>
            <w:tcW w:w="506" w:type="pct"/>
            <w:vAlign w:val="center"/>
          </w:tcPr>
          <w:p w14:paraId="6F6BCD31">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r>
      <w:tr w14:paraId="1BC1A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1" w:type="pct"/>
            <w:vAlign w:val="center"/>
          </w:tcPr>
          <w:p w14:paraId="78A3C5F5">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24</w:t>
            </w:r>
          </w:p>
        </w:tc>
        <w:tc>
          <w:tcPr>
            <w:tcW w:w="3039" w:type="pct"/>
            <w:vAlign w:val="center"/>
          </w:tcPr>
          <w:p w14:paraId="3DEE334D">
            <w:pPr>
              <w:jc w:val="left"/>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高污染项目应严格按照环境保护综合名录等有关要求执行。</w:t>
            </w:r>
          </w:p>
        </w:tc>
        <w:tc>
          <w:tcPr>
            <w:tcW w:w="1164" w:type="pct"/>
            <w:vAlign w:val="center"/>
          </w:tcPr>
          <w:p w14:paraId="7632EF01">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不涉及</w:t>
            </w:r>
          </w:p>
        </w:tc>
        <w:tc>
          <w:tcPr>
            <w:tcW w:w="506" w:type="pct"/>
            <w:vAlign w:val="center"/>
          </w:tcPr>
          <w:p w14:paraId="1B07F7FF">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r>
    </w:tbl>
    <w:p w14:paraId="6EC59CC2">
      <w:pPr>
        <w:spacing w:line="360" w:lineRule="auto"/>
        <w:ind w:firstLine="480" w:firstLineChars="200"/>
        <w:rPr>
          <w:rFonts w:ascii="Times New Roman" w:hAnsi="Times New Roman" w:eastAsia="宋体" w:cs="Times New Roman"/>
          <w:color w:val="FF0000"/>
          <w:sz w:val="24"/>
          <w:szCs w:val="24"/>
          <w:highlight w:val="green"/>
        </w:rPr>
      </w:pPr>
    </w:p>
    <w:p w14:paraId="2E1BA2F5">
      <w:pPr>
        <w:pStyle w:val="5"/>
        <w:bidi w:val="0"/>
        <w:rPr>
          <w:rFonts w:ascii="Times New Roman" w:hAnsi="Times New Roman" w:eastAsia="宋体" w:cs="Times New Roman"/>
          <w:b/>
          <w:color w:val="FF0000"/>
          <w:kern w:val="0"/>
          <w:sz w:val="24"/>
          <w:szCs w:val="24"/>
        </w:rPr>
      </w:pPr>
      <w:r>
        <w:rPr>
          <w:rStyle w:val="80"/>
          <w:b/>
          <w:bCs/>
        </w:rPr>
        <w:t>1.4.2.</w:t>
      </w:r>
      <w:r>
        <w:rPr>
          <w:rStyle w:val="80"/>
          <w:rFonts w:hint="eastAsia"/>
          <w:b/>
          <w:bCs/>
        </w:rPr>
        <w:t>3与《湖南省“十四五”生态环境保护规划》、《常德市“十四五”生态</w:t>
      </w:r>
      <w:r>
        <w:rPr>
          <w:rFonts w:hint="eastAsia" w:ascii="Times New Roman" w:hAnsi="Times New Roman" w:eastAsia="宋体" w:cs="Times New Roman"/>
          <w:b/>
          <w:color w:val="auto"/>
          <w:kern w:val="0"/>
          <w:sz w:val="24"/>
          <w:szCs w:val="24"/>
        </w:rPr>
        <w:t>环境保护规划》符合性分析</w:t>
      </w:r>
    </w:p>
    <w:p w14:paraId="75475ACE">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《湖南省“十四五”生态环境保护规划》（湘政办发</w:t>
      </w:r>
      <w:r>
        <w:rPr>
          <w:rFonts w:hint="eastAsia" w:ascii="宋体" w:hAnsi="宋体" w:eastAsia="宋体" w:cs="宋体"/>
          <w:color w:val="auto"/>
          <w:sz w:val="24"/>
          <w:szCs w:val="24"/>
        </w:rPr>
        <w:t>〔</w:t>
      </w:r>
      <w:r>
        <w:rPr>
          <w:rFonts w:ascii="Times New Roman" w:hAnsi="Times New Roman" w:eastAsia="宋体" w:cs="Times New Roman"/>
          <w:color w:val="auto"/>
          <w:sz w:val="24"/>
          <w:szCs w:val="24"/>
        </w:rPr>
        <w:t>2021</w:t>
      </w:r>
      <w:r>
        <w:rPr>
          <w:rFonts w:hint="eastAsia" w:ascii="宋体" w:hAnsi="宋体" w:eastAsia="宋体" w:cs="宋体"/>
          <w:color w:val="auto"/>
          <w:sz w:val="24"/>
          <w:szCs w:val="24"/>
        </w:rPr>
        <w:t>〕</w:t>
      </w:r>
      <w:r>
        <w:rPr>
          <w:rFonts w:ascii="Times New Roman" w:hAnsi="Times New Roman" w:eastAsia="宋体" w:cs="Times New Roman"/>
          <w:color w:val="auto"/>
          <w:sz w:val="24"/>
          <w:szCs w:val="24"/>
        </w:rPr>
        <w:t>61号）于2021年9月30日经湖南省人民政府办公厅发布，《常德市“十四五”生态环境保护规划》（常政办发</w:t>
      </w:r>
      <w:r>
        <w:rPr>
          <w:rFonts w:hint="eastAsia" w:ascii="宋体" w:hAnsi="宋体" w:eastAsia="宋体" w:cs="宋体"/>
          <w:color w:val="auto"/>
          <w:sz w:val="24"/>
          <w:szCs w:val="24"/>
        </w:rPr>
        <w:t>〔</w:t>
      </w:r>
      <w:r>
        <w:rPr>
          <w:rFonts w:ascii="Times New Roman" w:hAnsi="Times New Roman" w:eastAsia="宋体" w:cs="Times New Roman"/>
          <w:color w:val="auto"/>
          <w:sz w:val="24"/>
          <w:szCs w:val="24"/>
        </w:rPr>
        <w:t>2021</w:t>
      </w:r>
      <w:r>
        <w:rPr>
          <w:rFonts w:hint="eastAsia" w:ascii="宋体" w:hAnsi="宋体" w:eastAsia="宋体" w:cs="宋体"/>
          <w:color w:val="auto"/>
          <w:sz w:val="24"/>
          <w:szCs w:val="24"/>
        </w:rPr>
        <w:t>〕</w:t>
      </w:r>
      <w:r>
        <w:rPr>
          <w:rFonts w:ascii="Times New Roman" w:hAnsi="Times New Roman" w:eastAsia="宋体" w:cs="Times New Roman"/>
          <w:color w:val="auto"/>
          <w:sz w:val="24"/>
          <w:szCs w:val="24"/>
        </w:rPr>
        <w:t>26号）于2021年12月25日经常德市人民政府办公室发布。本项目与上述规划符合性分析如下表所示：</w:t>
      </w:r>
    </w:p>
    <w:p w14:paraId="4D738DD1">
      <w:pPr>
        <w:pStyle w:val="6"/>
        <w:bidi w:val="0"/>
      </w:pPr>
      <w:r>
        <w:rPr>
          <w:rFonts w:hint="eastAsia"/>
        </w:rPr>
        <w:t>表</w:t>
      </w:r>
      <w:r>
        <w:t>1.4</w:t>
      </w:r>
      <w:r>
        <w:rPr>
          <w:rFonts w:hint="eastAsia"/>
        </w:rPr>
        <w:t>.2</w:t>
      </w:r>
      <w:r>
        <w:t>-</w:t>
      </w:r>
      <w:r>
        <w:rPr>
          <w:rFonts w:hint="eastAsia"/>
        </w:rPr>
        <w:t>3</w:t>
      </w:r>
      <w:r>
        <w:t xml:space="preserve"> </w:t>
      </w:r>
      <w:r>
        <w:rPr>
          <w:rFonts w:hint="eastAsia"/>
        </w:rPr>
        <w:t xml:space="preserve">   </w:t>
      </w:r>
      <w:r>
        <w:t>本项目与湖南省“十四五”生态环境保护规划相符性分析一览表</w:t>
      </w:r>
    </w:p>
    <w:tbl>
      <w:tblPr>
        <w:tblStyle w:val="4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98"/>
        <w:gridCol w:w="2268"/>
        <w:gridCol w:w="930"/>
      </w:tblGrid>
      <w:tr w14:paraId="54449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98" w:type="dxa"/>
            <w:vAlign w:val="center"/>
          </w:tcPr>
          <w:p w14:paraId="651463DD">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规划要求</w:t>
            </w:r>
          </w:p>
        </w:tc>
        <w:tc>
          <w:tcPr>
            <w:tcW w:w="2268" w:type="dxa"/>
            <w:vAlign w:val="center"/>
          </w:tcPr>
          <w:p w14:paraId="5A48066D">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项目建设情况</w:t>
            </w:r>
          </w:p>
        </w:tc>
        <w:tc>
          <w:tcPr>
            <w:tcW w:w="930" w:type="dxa"/>
            <w:vAlign w:val="center"/>
          </w:tcPr>
          <w:p w14:paraId="182B6814">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符合性</w:t>
            </w:r>
          </w:p>
        </w:tc>
      </w:tr>
      <w:tr w14:paraId="30F8D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98" w:type="dxa"/>
            <w:vAlign w:val="center"/>
          </w:tcPr>
          <w:p w14:paraId="657B5649">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严格生态环境分区引导。严格落实湖南省“三线一单”生态环境总体管控要求，将生态保护红线、环境质量底线、资源利用上线和生态环境准入清单作为硬约束落实到环境管控单元，根据生态环境功能、自然资源禀赋、经济与社会发展实际，对环境管控单元实施差异化生态环境准入管理。加强“三线一单”与国土空间规划的衔接，区域资源开发、产业布局和结构调整、城镇建设、重大项目选址应以“三线一单”确定的环境管控单元及生态环境准入清单作为重要依据，加强省级以上产业园区生态环境准入管理。推进“三线一单”与排污许可、环评审批、环境监测、环境执法等数据系统共享，细化“三线一单”数据支撑体系及分区管控要求。</w:t>
            </w:r>
          </w:p>
        </w:tc>
        <w:tc>
          <w:tcPr>
            <w:tcW w:w="2268" w:type="dxa"/>
            <w:vAlign w:val="center"/>
          </w:tcPr>
          <w:p w14:paraId="47AA0B95">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由前述分析，本项目选址符合常德市生态保护红线要求、环境质量底线要求、资源利用上线要求、不属于环境准入负面清单，且项目建设符合《湖南省“三线一单”生态环境总体管控要求暨省级以上产业园区生态环境准入清单》</w:t>
            </w:r>
          </w:p>
        </w:tc>
        <w:tc>
          <w:tcPr>
            <w:tcW w:w="930" w:type="dxa"/>
            <w:vAlign w:val="center"/>
          </w:tcPr>
          <w:p w14:paraId="618B1D88">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符合</w:t>
            </w:r>
          </w:p>
        </w:tc>
      </w:tr>
      <w:tr w14:paraId="2680D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98" w:type="dxa"/>
            <w:vAlign w:val="center"/>
          </w:tcPr>
          <w:p w14:paraId="54ACBE1D">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全面实行排污许可制度。推动构建以排污许可制为核心的固定污染源监管制度体系，实现固定污染源排污许可全覆盖，推动工业固体废物、土壤环境要素全覆盖，探索将碳排放纳入排污许可管理内容。依托排污许可证实施企事业单位污染物排放总量指标分配、监管和考核。建立以排污许可证为主要依据的生态环境日常监管执法体系，落实排污许可“一证式”管理。推进排污许可制度与环境影响评价制度有效融合，推动重点行业企业环境影响评价、排污许可、监管执法全闭环管理。持续做好排污许可证换证或登记延续动态更新。</w:t>
            </w:r>
          </w:p>
        </w:tc>
        <w:tc>
          <w:tcPr>
            <w:tcW w:w="2268" w:type="dxa"/>
            <w:vAlign w:val="center"/>
          </w:tcPr>
          <w:p w14:paraId="020652AE">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本项目属于</w:t>
            </w:r>
            <w:r>
              <w:rPr>
                <w:rFonts w:hint="eastAsia" w:ascii="Times New Roman" w:hAnsi="Times New Roman" w:eastAsia="宋体" w:cs="Times New Roman"/>
                <w:color w:val="auto"/>
                <w:sz w:val="22"/>
                <w:szCs w:val="24"/>
                <w:lang w:val="en-US" w:eastAsia="zh-CN"/>
              </w:rPr>
              <w:t>食品及饲料添加剂制造1495、制糖业134</w:t>
            </w:r>
            <w:r>
              <w:rPr>
                <w:rFonts w:ascii="Times New Roman" w:hAnsi="Times New Roman" w:eastAsia="宋体" w:cs="Times New Roman"/>
                <w:color w:val="auto"/>
                <w:sz w:val="22"/>
                <w:szCs w:val="24"/>
              </w:rPr>
              <w:t>，属于名录中</w:t>
            </w:r>
            <w:r>
              <w:rPr>
                <w:rFonts w:hint="eastAsia" w:ascii="Times New Roman" w:hAnsi="Times New Roman" w:eastAsia="宋体" w:cs="Times New Roman"/>
                <w:color w:val="auto"/>
                <w:sz w:val="22"/>
                <w:szCs w:val="24"/>
                <w:lang w:val="en-US" w:eastAsia="zh-CN"/>
              </w:rPr>
              <w:t>简化</w:t>
            </w:r>
            <w:r>
              <w:rPr>
                <w:rFonts w:ascii="Times New Roman" w:hAnsi="Times New Roman" w:eastAsia="宋体" w:cs="Times New Roman"/>
                <w:color w:val="auto"/>
                <w:sz w:val="22"/>
                <w:szCs w:val="24"/>
              </w:rPr>
              <w:t>管理要求。建设单位应当按照</w:t>
            </w:r>
            <w:r>
              <w:rPr>
                <w:rFonts w:hint="eastAsia" w:ascii="Times New Roman" w:hAnsi="Times New Roman" w:eastAsia="宋体" w:cs="Times New Roman"/>
                <w:color w:val="auto"/>
                <w:sz w:val="22"/>
                <w:szCs w:val="24"/>
              </w:rPr>
              <w:t>《排污许可证申请与核发技术规范</w:t>
            </w:r>
            <w:r>
              <w:rPr>
                <w:rFonts w:hint="eastAsia" w:ascii="Times New Roman" w:hAnsi="Times New Roman" w:eastAsia="宋体" w:cs="Times New Roman"/>
                <w:color w:val="auto"/>
                <w:sz w:val="22"/>
                <w:szCs w:val="24"/>
                <w:lang w:val="en-US" w:eastAsia="zh-CN"/>
              </w:rPr>
              <w:t>食品制造工业-方便食品、食品及饲料添加剂制造工业</w:t>
            </w:r>
            <w:r>
              <w:rPr>
                <w:rFonts w:ascii="Times New Roman" w:hAnsi="Times New Roman" w:eastAsia="宋体" w:cs="Times New Roman"/>
                <w:color w:val="auto"/>
                <w:sz w:val="22"/>
                <w:szCs w:val="24"/>
              </w:rPr>
              <w:t>》（HJ</w:t>
            </w:r>
            <w:r>
              <w:rPr>
                <w:rFonts w:hint="eastAsia" w:ascii="Times New Roman" w:hAnsi="Times New Roman" w:eastAsia="宋体" w:cs="Times New Roman"/>
                <w:color w:val="auto"/>
                <w:sz w:val="22"/>
                <w:szCs w:val="24"/>
                <w:lang w:val="en-US" w:eastAsia="zh-CN"/>
              </w:rPr>
              <w:t>1030.3-2019</w:t>
            </w:r>
            <w:r>
              <w:rPr>
                <w:rFonts w:ascii="Times New Roman" w:hAnsi="Times New Roman" w:eastAsia="宋体" w:cs="Times New Roman"/>
                <w:color w:val="auto"/>
                <w:sz w:val="22"/>
                <w:szCs w:val="24"/>
              </w:rPr>
              <w:t>）</w:t>
            </w:r>
            <w:r>
              <w:rPr>
                <w:rFonts w:hint="eastAsia" w:ascii="Times New Roman" w:hAnsi="Times New Roman" w:eastAsia="宋体" w:cs="Times New Roman"/>
                <w:color w:val="auto"/>
                <w:sz w:val="22"/>
                <w:szCs w:val="24"/>
                <w:lang w:eastAsia="zh-CN"/>
              </w:rPr>
              <w:t>、《</w:t>
            </w:r>
            <w:r>
              <w:rPr>
                <w:rFonts w:hint="eastAsia" w:ascii="Times New Roman" w:hAnsi="Times New Roman" w:eastAsia="宋体" w:cs="Times New Roman"/>
                <w:color w:val="auto"/>
                <w:sz w:val="22"/>
                <w:szCs w:val="24"/>
                <w:lang w:val="en-US" w:eastAsia="zh-CN"/>
              </w:rPr>
              <w:t>排污许可证申请与核发技术规范农副食品加工工业-制糖工业</w:t>
            </w:r>
            <w:r>
              <w:rPr>
                <w:rFonts w:hint="eastAsia" w:ascii="Times New Roman" w:hAnsi="Times New Roman" w:eastAsia="宋体" w:cs="Times New Roman"/>
                <w:color w:val="auto"/>
                <w:sz w:val="22"/>
                <w:szCs w:val="24"/>
                <w:lang w:eastAsia="zh-CN"/>
              </w:rPr>
              <w:t>》（</w:t>
            </w:r>
            <w:r>
              <w:rPr>
                <w:rFonts w:hint="eastAsia" w:ascii="Times New Roman" w:hAnsi="Times New Roman" w:eastAsia="宋体" w:cs="Times New Roman"/>
                <w:color w:val="auto"/>
                <w:sz w:val="22"/>
                <w:szCs w:val="24"/>
                <w:lang w:val="en-US" w:eastAsia="zh-CN"/>
              </w:rPr>
              <w:t>HJ860.1-2017</w:t>
            </w:r>
            <w:r>
              <w:rPr>
                <w:rFonts w:hint="eastAsia" w:ascii="Times New Roman" w:hAnsi="Times New Roman" w:eastAsia="宋体" w:cs="Times New Roman"/>
                <w:color w:val="auto"/>
                <w:sz w:val="22"/>
                <w:szCs w:val="24"/>
                <w:lang w:eastAsia="zh-CN"/>
              </w:rPr>
              <w:t>）</w:t>
            </w:r>
            <w:r>
              <w:rPr>
                <w:rFonts w:ascii="Times New Roman" w:hAnsi="Times New Roman" w:eastAsia="宋体" w:cs="Times New Roman"/>
                <w:color w:val="auto"/>
                <w:sz w:val="22"/>
                <w:szCs w:val="24"/>
              </w:rPr>
              <w:t>中相关要求进行排污许可证的</w:t>
            </w:r>
            <w:r>
              <w:rPr>
                <w:rFonts w:hint="eastAsia" w:ascii="Times New Roman" w:hAnsi="Times New Roman" w:eastAsia="宋体" w:cs="Times New Roman"/>
                <w:color w:val="auto"/>
                <w:sz w:val="22"/>
                <w:szCs w:val="24"/>
              </w:rPr>
              <w:t>变更</w:t>
            </w:r>
          </w:p>
        </w:tc>
        <w:tc>
          <w:tcPr>
            <w:tcW w:w="930" w:type="dxa"/>
            <w:vAlign w:val="center"/>
          </w:tcPr>
          <w:p w14:paraId="479E7F27">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符合</w:t>
            </w:r>
          </w:p>
        </w:tc>
      </w:tr>
    </w:tbl>
    <w:p w14:paraId="391963A6">
      <w:pPr>
        <w:spacing w:line="360" w:lineRule="auto"/>
        <w:ind w:firstLine="480" w:firstLineChars="200"/>
        <w:rPr>
          <w:rFonts w:ascii="Times New Roman" w:hAnsi="Times New Roman" w:eastAsia="宋体" w:cs="宋体"/>
          <w:color w:val="auto"/>
          <w:sz w:val="24"/>
          <w:szCs w:val="24"/>
        </w:rPr>
      </w:pPr>
      <w:r>
        <w:rPr>
          <w:rFonts w:hint="eastAsia" w:ascii="Times New Roman" w:hAnsi="Times New Roman" w:eastAsia="宋体" w:cs="宋体"/>
          <w:color w:val="auto"/>
          <w:sz w:val="24"/>
          <w:szCs w:val="24"/>
        </w:rPr>
        <w:t>《常德市“十四五”生态环境保护规划》中提出：严格环境准入与管控。严格环境监管。严格落实湖南省“三线一单”生态环境总体管控要求及常德市“三线一单”生态环境总体管控要求暨环境管控单元生态环境准入清单，区域资源开发、产业布局和结构调整、城镇建设、重大项目选址应以“三线一单”确定的环境管控单元及生态环境准入清单作为重要依据。……加强规划环境影响评价。……严格“高耗能、高排放”项目环评审批，严把环境准入关，落实区域消减要求。……全面实行排污许可制度。……大力推进重点行业VOCs治理。以工业涂装、石化、化工、包装印刷、油品储运销等行业为重点，实施企业VOCs原料替代、排放全过程控制，加强工业机械制造产业链VOCs治理。……遵循“应收尽收、分质收集”的原则，科学设计废气收集系统，将无组织排放转变为有组织排放进行控制。……严格危险废物建设项目环境准入。……推动危废产生单位优化工艺、设备和原料选配，从源头减少危险废物的产生。……鼓励危废产生量在3000吨/年及以上的企业和大型产业基地、2万吨/年及以上的工业园区、工业集中区配套建设危险废物自行利用处置设施……</w:t>
      </w:r>
    </w:p>
    <w:p w14:paraId="1E10B7E4">
      <w:pPr>
        <w:spacing w:line="360" w:lineRule="auto"/>
        <w:ind w:firstLine="480" w:firstLineChars="200"/>
        <w:rPr>
          <w:rFonts w:ascii="Times New Roman" w:hAnsi="Times New Roman" w:eastAsia="宋体" w:cs="宋体"/>
          <w:color w:val="FF0000"/>
          <w:sz w:val="24"/>
          <w:szCs w:val="24"/>
        </w:rPr>
      </w:pPr>
      <w:r>
        <w:rPr>
          <w:rFonts w:hint="eastAsia" w:ascii="Times New Roman" w:hAnsi="Times New Roman" w:eastAsia="宋体" w:cs="宋体"/>
          <w:color w:val="auto"/>
          <w:sz w:val="24"/>
          <w:szCs w:val="24"/>
        </w:rPr>
        <w:t>本项目符合“三线一单”中的要求，不属于“两高”项目，遵循“应收尽收、分质收集”的原则，</w:t>
      </w:r>
      <w:r>
        <w:rPr>
          <w:rFonts w:hint="eastAsia" w:ascii="Times New Roman" w:hAnsi="Times New Roman" w:eastAsia="宋体" w:cs="宋体"/>
          <w:color w:val="auto"/>
          <w:sz w:val="24"/>
          <w:szCs w:val="24"/>
          <w:lang w:val="en-US" w:eastAsia="zh-CN"/>
        </w:rPr>
        <w:t>废气处理达标后排放</w:t>
      </w:r>
      <w:r>
        <w:rPr>
          <w:rFonts w:hint="eastAsia" w:ascii="Times New Roman" w:hAnsi="Times New Roman" w:eastAsia="宋体" w:cs="宋体"/>
          <w:color w:val="auto"/>
          <w:sz w:val="24"/>
          <w:szCs w:val="24"/>
        </w:rPr>
        <w:t>，</w:t>
      </w:r>
      <w:r>
        <w:rPr>
          <w:rFonts w:ascii="Times New Roman" w:hAnsi="Times New Roman" w:eastAsia="宋体" w:cs="宋体"/>
          <w:color w:val="auto"/>
          <w:sz w:val="24"/>
          <w:szCs w:val="24"/>
        </w:rPr>
        <w:t>符合</w:t>
      </w:r>
      <w:r>
        <w:rPr>
          <w:rFonts w:hint="eastAsia" w:ascii="Times New Roman" w:hAnsi="Times New Roman" w:eastAsia="宋体" w:cs="宋体"/>
          <w:color w:val="auto"/>
          <w:sz w:val="24"/>
          <w:szCs w:val="24"/>
        </w:rPr>
        <w:t>《常德市“十四五”生态环境保护规划》中提出的要求。</w:t>
      </w:r>
    </w:p>
    <w:p w14:paraId="026B5E7A">
      <w:pPr>
        <w:pStyle w:val="5"/>
        <w:bidi w:val="0"/>
      </w:pPr>
      <w:r>
        <w:t>1.4.2.</w:t>
      </w:r>
      <w:r>
        <w:rPr>
          <w:rFonts w:hint="eastAsia"/>
        </w:rPr>
        <w:t>4与《中华人民共和国长江保护法》（主席令第六十五号）符合性分析</w:t>
      </w:r>
    </w:p>
    <w:p w14:paraId="6C142E15">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《中华人民共和国长江保护法》第二十六条指出，“</w:t>
      </w:r>
      <w:r>
        <w:rPr>
          <w:rFonts w:ascii="Times New Roman" w:hAnsi="Times New Roman" w:eastAsia="宋体" w:cs="Times New Roman"/>
          <w:color w:val="auto"/>
          <w:sz w:val="24"/>
          <w:szCs w:val="24"/>
        </w:rPr>
        <w:t>禁止在长江干支流岸线一公里范围内新建、扩建化工园区和化工项目。禁止在长江干流岸线三公里范围内和重要支流岸线一公里范围内新建、改建、扩建尾矿库；但是以提升安全、生态环境保护水平为目的的改建除外。</w:t>
      </w:r>
      <w:r>
        <w:rPr>
          <w:rFonts w:hint="eastAsia" w:ascii="Times New Roman" w:hAnsi="Times New Roman" w:eastAsia="宋体" w:cs="Times New Roman"/>
          <w:color w:val="auto"/>
          <w:sz w:val="24"/>
          <w:szCs w:val="24"/>
        </w:rPr>
        <w:t>”</w:t>
      </w:r>
    </w:p>
    <w:p w14:paraId="5D38CB93">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“本法所称长江支流，是指直接或者间接流入长江干流的河流，支流可以分为一级支流、二级支流等。”</w:t>
      </w:r>
    </w:p>
    <w:p w14:paraId="66E69F31">
      <w:pPr>
        <w:spacing w:line="360" w:lineRule="auto"/>
        <w:ind w:firstLine="480" w:firstLineChars="200"/>
        <w:rPr>
          <w:rFonts w:ascii="Times New Roman" w:hAnsi="Times New Roman" w:eastAsia="宋体" w:cs="宋体"/>
          <w:color w:val="auto"/>
          <w:sz w:val="24"/>
          <w:szCs w:val="24"/>
        </w:rPr>
      </w:pPr>
      <w:r>
        <w:rPr>
          <w:rFonts w:hint="eastAsia" w:ascii="Times New Roman" w:hAnsi="Times New Roman" w:eastAsia="宋体" w:cs="宋体"/>
          <w:color w:val="auto"/>
          <w:sz w:val="24"/>
          <w:szCs w:val="24"/>
        </w:rPr>
        <w:t>本项目位于津市高新技术产业开发区内，属于</w:t>
      </w:r>
      <w:r>
        <w:rPr>
          <w:rFonts w:hint="eastAsia" w:ascii="Times New Roman" w:hAnsi="Times New Roman" w:eastAsia="宋体" w:cs="宋体"/>
          <w:color w:val="auto"/>
          <w:sz w:val="24"/>
          <w:szCs w:val="24"/>
          <w:lang w:val="en-US" w:eastAsia="zh-CN"/>
        </w:rPr>
        <w:t>农副食品加工工业和食品制造工业</w:t>
      </w:r>
      <w:r>
        <w:rPr>
          <w:rFonts w:hint="eastAsia" w:ascii="Times New Roman" w:hAnsi="Times New Roman" w:eastAsia="宋体" w:cs="宋体"/>
          <w:color w:val="auto"/>
          <w:sz w:val="24"/>
          <w:szCs w:val="24"/>
        </w:rPr>
        <w:t>，不属于化工项目，因此与禁止在长江干支流岸线一公里范围内新建、扩建化工园区和化工项目不冲突，</w:t>
      </w:r>
      <w:r>
        <w:rPr>
          <w:rFonts w:ascii="Times New Roman" w:hAnsi="Times New Roman" w:eastAsia="宋体" w:cs="宋体"/>
          <w:color w:val="auto"/>
          <w:sz w:val="24"/>
          <w:szCs w:val="24"/>
        </w:rPr>
        <w:t>与</w:t>
      </w:r>
      <w:r>
        <w:rPr>
          <w:rFonts w:hint="eastAsia" w:ascii="Times New Roman" w:hAnsi="Times New Roman" w:eastAsia="宋体" w:cs="宋体"/>
          <w:color w:val="auto"/>
          <w:sz w:val="24"/>
          <w:szCs w:val="24"/>
        </w:rPr>
        <w:t>《中华人民共和国长江保护法》相符。</w:t>
      </w:r>
    </w:p>
    <w:p w14:paraId="3875FE02">
      <w:pPr>
        <w:pStyle w:val="5"/>
        <w:bidi w:val="0"/>
      </w:pPr>
      <w:r>
        <w:t>1.4.2.</w:t>
      </w:r>
      <w:r>
        <w:rPr>
          <w:rFonts w:hint="eastAsia"/>
        </w:rPr>
        <w:t>5与《湖南省环境保护条例》</w:t>
      </w:r>
      <w:r>
        <w:t>的符合性分析</w:t>
      </w:r>
    </w:p>
    <w:p w14:paraId="219E5916">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本项目建设情况，与《湖南省环境保护条例》</w:t>
      </w:r>
      <w:r>
        <w:rPr>
          <w:rFonts w:ascii="Times New Roman" w:hAnsi="Times New Roman" w:eastAsia="宋体" w:cs="Times New Roman"/>
          <w:color w:val="auto"/>
          <w:sz w:val="24"/>
          <w:szCs w:val="24"/>
        </w:rPr>
        <w:t>符合性分析</w:t>
      </w:r>
      <w:r>
        <w:rPr>
          <w:rFonts w:hint="eastAsia" w:ascii="Times New Roman" w:hAnsi="Times New Roman" w:eastAsia="宋体" w:cs="Times New Roman"/>
          <w:color w:val="auto"/>
          <w:sz w:val="24"/>
          <w:szCs w:val="24"/>
        </w:rPr>
        <w:t>如下表所示：</w:t>
      </w:r>
    </w:p>
    <w:p w14:paraId="52CC69F9">
      <w:pPr>
        <w:pStyle w:val="6"/>
        <w:bidi w:val="0"/>
      </w:pPr>
      <w:r>
        <w:rPr>
          <w:rFonts w:hint="eastAsia"/>
        </w:rPr>
        <w:t>表</w:t>
      </w:r>
      <w:r>
        <w:t>1.4</w:t>
      </w:r>
      <w:r>
        <w:rPr>
          <w:rFonts w:hint="eastAsia"/>
        </w:rPr>
        <w:t>.2</w:t>
      </w:r>
      <w:r>
        <w:t>-</w:t>
      </w:r>
      <w:r>
        <w:rPr>
          <w:rFonts w:hint="eastAsia"/>
        </w:rPr>
        <w:t>4</w:t>
      </w:r>
      <w:r>
        <w:t xml:space="preserve">  </w:t>
      </w:r>
      <w:r>
        <w:rPr>
          <w:rFonts w:hint="eastAsia"/>
        </w:rPr>
        <w:t xml:space="preserve">  </w:t>
      </w:r>
      <w:r>
        <w:t>本项目与</w:t>
      </w:r>
      <w:r>
        <w:rPr>
          <w:rFonts w:hint="eastAsia"/>
        </w:rPr>
        <w:t>《湖南省环境保护条例》</w:t>
      </w:r>
      <w:r>
        <w:t>相符性分析一览表</w:t>
      </w:r>
    </w:p>
    <w:tbl>
      <w:tblPr>
        <w:tblStyle w:val="4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36"/>
        <w:gridCol w:w="2328"/>
        <w:gridCol w:w="955"/>
      </w:tblGrid>
      <w:tr w14:paraId="6872F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72" w:type="pct"/>
            <w:vAlign w:val="center"/>
          </w:tcPr>
          <w:p w14:paraId="070A4C27">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条例要求</w:t>
            </w:r>
          </w:p>
        </w:tc>
        <w:tc>
          <w:tcPr>
            <w:tcW w:w="1366" w:type="pct"/>
            <w:vAlign w:val="center"/>
          </w:tcPr>
          <w:p w14:paraId="31182DB7">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项目建设情况</w:t>
            </w:r>
          </w:p>
        </w:tc>
        <w:tc>
          <w:tcPr>
            <w:tcW w:w="560" w:type="pct"/>
            <w:vAlign w:val="center"/>
          </w:tcPr>
          <w:p w14:paraId="079E8C24">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符合性</w:t>
            </w:r>
          </w:p>
        </w:tc>
      </w:tr>
      <w:tr w14:paraId="1DAEC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72" w:type="pct"/>
            <w:vAlign w:val="center"/>
          </w:tcPr>
          <w:p w14:paraId="1EC34A40">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排污单位应当按照排污许可证的要求设置排污口，并在排污口设置标志牌；按照有关规定建立环境管理台账，按规定开展自行监测；排放污染物不得超过国家和本省污染物排放标准，不得超过重点污染物排放总量控制指标。</w:t>
            </w:r>
          </w:p>
        </w:tc>
        <w:tc>
          <w:tcPr>
            <w:tcW w:w="1366" w:type="pct"/>
            <w:vAlign w:val="center"/>
          </w:tcPr>
          <w:p w14:paraId="4504344B">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建设单位进行了排污口规范化建设、建立环境管理台账，并开展自行监测；由工程分析可知，项目排放废气污染物未超出总量控制指标。</w:t>
            </w:r>
          </w:p>
        </w:tc>
        <w:tc>
          <w:tcPr>
            <w:tcW w:w="560" w:type="pct"/>
            <w:vAlign w:val="center"/>
          </w:tcPr>
          <w:p w14:paraId="4D57002E">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符合</w:t>
            </w:r>
          </w:p>
        </w:tc>
      </w:tr>
      <w:tr w14:paraId="51645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72" w:type="pct"/>
            <w:vAlign w:val="center"/>
          </w:tcPr>
          <w:p w14:paraId="549D0FB6">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重点排污单位应当按照国家有关规定和监测规范安装、使用自动监测设备，并确保自动监测设备与生态环境主管部门的监控设备联网；原始记录应当按照规定保存，不得篡改、伪造</w:t>
            </w:r>
          </w:p>
        </w:tc>
        <w:tc>
          <w:tcPr>
            <w:tcW w:w="1366" w:type="pct"/>
            <w:vAlign w:val="center"/>
          </w:tcPr>
          <w:p w14:paraId="2870A0D2">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企业已安装自动监测设备，并与生态环境主管部门的监控设备联网，原始记录按照规定保存</w:t>
            </w:r>
          </w:p>
        </w:tc>
        <w:tc>
          <w:tcPr>
            <w:tcW w:w="560" w:type="pct"/>
            <w:vAlign w:val="center"/>
          </w:tcPr>
          <w:p w14:paraId="03D65AC1">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符合</w:t>
            </w:r>
          </w:p>
        </w:tc>
      </w:tr>
      <w:tr w14:paraId="1D804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72" w:type="pct"/>
            <w:vAlign w:val="center"/>
          </w:tcPr>
          <w:p w14:paraId="114477E6">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企业事业单位和其他生产经营者应当优先使用清洁能源，采用先进工艺设备、废弃物综合利用技术和污染物无害化处理技术，减少污染物产生</w:t>
            </w:r>
          </w:p>
        </w:tc>
        <w:tc>
          <w:tcPr>
            <w:tcW w:w="1366" w:type="pct"/>
            <w:vAlign w:val="center"/>
          </w:tcPr>
          <w:p w14:paraId="0AB87EFC">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本工程生产主要使用燃气、电和水，均属于清洁能源</w:t>
            </w:r>
          </w:p>
        </w:tc>
        <w:tc>
          <w:tcPr>
            <w:tcW w:w="560" w:type="pct"/>
            <w:vAlign w:val="center"/>
          </w:tcPr>
          <w:p w14:paraId="62EC4783">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符合</w:t>
            </w:r>
          </w:p>
        </w:tc>
      </w:tr>
      <w:tr w14:paraId="06E17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72" w:type="pct"/>
            <w:vAlign w:val="center"/>
          </w:tcPr>
          <w:p w14:paraId="5E59CD47">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产生、收集、贮存、运输、利用、处置危险废物的单位应当遵守有关危险废物管理规定，防止危险废物污染环境</w:t>
            </w:r>
          </w:p>
        </w:tc>
        <w:tc>
          <w:tcPr>
            <w:tcW w:w="1366" w:type="pct"/>
            <w:vAlign w:val="center"/>
          </w:tcPr>
          <w:p w14:paraId="3624F91B">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建设单位按照危险废物管理规定，定期委托有资质单位对厂区内危险废物进行处理</w:t>
            </w:r>
          </w:p>
        </w:tc>
        <w:tc>
          <w:tcPr>
            <w:tcW w:w="560" w:type="pct"/>
            <w:vAlign w:val="center"/>
          </w:tcPr>
          <w:p w14:paraId="43755241">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符合</w:t>
            </w:r>
          </w:p>
        </w:tc>
      </w:tr>
      <w:tr w14:paraId="15A98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72" w:type="pct"/>
            <w:vAlign w:val="center"/>
          </w:tcPr>
          <w:p w14:paraId="11F0F375">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除在安全或者产业布局等方面有特殊要求的以外，新建有污染物排放的工业项目，应当按照规定进入工业园区或者工业集聚区</w:t>
            </w:r>
          </w:p>
        </w:tc>
        <w:tc>
          <w:tcPr>
            <w:tcW w:w="1366" w:type="pct"/>
            <w:vAlign w:val="center"/>
          </w:tcPr>
          <w:p w14:paraId="63B89A21">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本工程位于于津市高新技术产业开发区内</w:t>
            </w:r>
          </w:p>
        </w:tc>
        <w:tc>
          <w:tcPr>
            <w:tcW w:w="560" w:type="pct"/>
            <w:vAlign w:val="center"/>
          </w:tcPr>
          <w:p w14:paraId="3BFDE0E5">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符合</w:t>
            </w:r>
          </w:p>
        </w:tc>
      </w:tr>
      <w:tr w14:paraId="73B6B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72" w:type="pct"/>
            <w:vAlign w:val="center"/>
          </w:tcPr>
          <w:p w14:paraId="2319B129">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企业事业单位应当按照国家有关规定开展突发环境事件风险评估。存在突发环境事件风险的，企业事业单位应当完善突发环境事件风险防控措施；加强环境应急能力建设；制定突发环境事件应急预案，在可能受到环境污染危害的单位和居民区域进行公布，并定期组织演练。</w:t>
            </w:r>
          </w:p>
        </w:tc>
        <w:tc>
          <w:tcPr>
            <w:tcW w:w="1366" w:type="pct"/>
            <w:vAlign w:val="center"/>
          </w:tcPr>
          <w:p w14:paraId="2BAE2FA3">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建设单位按照环评要求编制突发环境事件应急预案，并定期组织演练</w:t>
            </w:r>
          </w:p>
        </w:tc>
        <w:tc>
          <w:tcPr>
            <w:tcW w:w="560" w:type="pct"/>
            <w:vAlign w:val="center"/>
          </w:tcPr>
          <w:p w14:paraId="54664D77">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符合</w:t>
            </w:r>
          </w:p>
        </w:tc>
      </w:tr>
    </w:tbl>
    <w:p w14:paraId="0C3EE370">
      <w:pPr>
        <w:pStyle w:val="5"/>
        <w:bidi w:val="0"/>
      </w:pPr>
      <w:r>
        <w:rPr>
          <w:rFonts w:hint="eastAsia"/>
        </w:rPr>
        <w:t>1.4.2.</w:t>
      </w:r>
      <w:r>
        <w:rPr>
          <w:rFonts w:hint="eastAsia"/>
          <w:lang w:val="en-US" w:eastAsia="zh-CN"/>
        </w:rPr>
        <w:t>6</w:t>
      </w:r>
      <w:r>
        <w:rPr>
          <w:rFonts w:hint="eastAsia"/>
        </w:rPr>
        <w:t>与《嘉山风景名胜区总体规划（2017--2030）2021年修改》的相符性分析</w:t>
      </w:r>
    </w:p>
    <w:p w14:paraId="63A808F7">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（1）嘉山风景名胜区简介</w:t>
      </w:r>
    </w:p>
    <w:p w14:paraId="406CDE4C">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根据《嘉山风景名胜区总体规划（2017-2030年）2021年修改》，嘉山风景名胜区总面积17.24平方公里，由嘉山景区、古城景区、石岭一青山景区、胥家湖景区四个景区组成，核心景区面积为3.99平方公里，具体见5.2.1小节。</w:t>
      </w:r>
    </w:p>
    <w:p w14:paraId="2B98D909">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根据《嘉山风景名胜区总体规划（2017-2030年）2021年修改》及《风景名胜区条例》，“第二十六条在风景名胜区内禁止进行下列活动：</w:t>
      </w:r>
    </w:p>
    <w:p w14:paraId="21CAF66D">
      <w:pPr>
        <w:numPr>
          <w:ilvl w:val="0"/>
          <w:numId w:val="2"/>
        </w:num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开山、采石、开矿、开荒、修坟立碑等破坏景观、植被和地形地貌的活动；</w:t>
      </w:r>
    </w:p>
    <w:p w14:paraId="025C8A5E">
      <w:pPr>
        <w:numPr>
          <w:ilvl w:val="0"/>
          <w:numId w:val="2"/>
        </w:num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修建储存爆炸性、易燃性、放射性、毒害性、腐蚀性物品的设施；</w:t>
      </w:r>
    </w:p>
    <w:p w14:paraId="3334F8AA">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（三）在景物或者设施上刻划、涂污；</w:t>
      </w:r>
    </w:p>
    <w:p w14:paraId="1234544D">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（四）乱扔垃圾。”</w:t>
      </w:r>
    </w:p>
    <w:p w14:paraId="7C92BD79">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（2）相符性分析</w:t>
      </w:r>
    </w:p>
    <w:p w14:paraId="247BD14E">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宋体"/>
          <w:color w:val="auto"/>
          <w:sz w:val="24"/>
          <w:szCs w:val="24"/>
        </w:rPr>
        <w:t>本项目距离距离嘉山风景名胜区界线最近距离约</w:t>
      </w:r>
      <w:r>
        <w:rPr>
          <w:rFonts w:hint="eastAsia" w:ascii="Times New Roman" w:hAnsi="Times New Roman" w:eastAsia="宋体" w:cs="宋体"/>
          <w:color w:val="auto"/>
          <w:sz w:val="24"/>
          <w:szCs w:val="24"/>
          <w:lang w:val="en-US" w:eastAsia="zh-CN"/>
        </w:rPr>
        <w:t>300</w:t>
      </w:r>
      <w:r>
        <w:rPr>
          <w:rFonts w:hint="eastAsia" w:ascii="Times New Roman" w:hAnsi="Times New Roman" w:eastAsia="宋体" w:cs="宋体"/>
          <w:color w:val="auto"/>
          <w:sz w:val="24"/>
          <w:szCs w:val="24"/>
        </w:rPr>
        <w:t>m。项目建设不在嘉山风景名胜区范围内，</w:t>
      </w:r>
      <w:r>
        <w:rPr>
          <w:rFonts w:hint="eastAsia" w:ascii="Times New Roman" w:hAnsi="Times New Roman" w:eastAsia="宋体" w:cs="Times New Roman"/>
          <w:color w:val="auto"/>
          <w:sz w:val="24"/>
          <w:szCs w:val="24"/>
        </w:rPr>
        <w:t>因此，本项目的建设与《嘉山风景名胜区总体规划（2017-2030年）2021年修改》相符。</w:t>
      </w:r>
    </w:p>
    <w:p w14:paraId="3D196B09">
      <w:pPr>
        <w:pStyle w:val="5"/>
        <w:bidi w:val="0"/>
      </w:pPr>
      <w:r>
        <w:rPr>
          <w:rFonts w:hint="eastAsia"/>
        </w:rPr>
        <w:t>1.4.2.</w:t>
      </w:r>
      <w:r>
        <w:rPr>
          <w:rFonts w:hint="eastAsia"/>
          <w:lang w:val="en-US" w:eastAsia="zh-CN"/>
        </w:rPr>
        <w:t>7</w:t>
      </w:r>
      <w:r>
        <w:rPr>
          <w:rFonts w:hint="eastAsia"/>
        </w:rPr>
        <w:t>与《津澧新城总体规划(2016-2030)》符合性分析</w:t>
      </w:r>
    </w:p>
    <w:p w14:paraId="4B364120">
      <w:pPr>
        <w:spacing w:line="360" w:lineRule="auto"/>
        <w:ind w:firstLine="480" w:firstLineChars="200"/>
        <w:rPr>
          <w:rFonts w:ascii="Times New Roman" w:hAnsi="Times New Roman" w:eastAsia="宋体" w:cs="宋体"/>
          <w:color w:val="FF0000"/>
          <w:sz w:val="24"/>
          <w:szCs w:val="24"/>
        </w:rPr>
      </w:pPr>
      <w:r>
        <w:rPr>
          <w:rFonts w:ascii="Times New Roman" w:hAnsi="Times New Roman" w:eastAsia="宋体" w:cs="宋体"/>
          <w:color w:val="auto"/>
          <w:sz w:val="24"/>
          <w:szCs w:val="24"/>
        </w:rPr>
        <w:t>根据《</w:t>
      </w:r>
      <w:r>
        <w:rPr>
          <w:rFonts w:hint="eastAsia" w:ascii="Times New Roman" w:hAnsi="Times New Roman" w:eastAsia="宋体" w:cs="宋体"/>
          <w:color w:val="auto"/>
          <w:sz w:val="24"/>
          <w:szCs w:val="24"/>
        </w:rPr>
        <w:t>津澧新城总体规划(2016-2030)</w:t>
      </w:r>
      <w:r>
        <w:rPr>
          <w:rFonts w:ascii="Times New Roman" w:hAnsi="Times New Roman" w:eastAsia="宋体" w:cs="宋体"/>
          <w:color w:val="auto"/>
          <w:sz w:val="24"/>
          <w:szCs w:val="24"/>
        </w:rPr>
        <w:t>》，</w:t>
      </w:r>
      <w:r>
        <w:rPr>
          <w:rFonts w:hint="eastAsia" w:ascii="Times New Roman" w:hAnsi="Times New Roman" w:eastAsia="宋体" w:cs="宋体"/>
          <w:color w:val="auto"/>
          <w:sz w:val="24"/>
          <w:szCs w:val="24"/>
        </w:rPr>
        <w:t>津澧新城</w:t>
      </w:r>
      <w:r>
        <w:rPr>
          <w:rFonts w:ascii="Times New Roman" w:hAnsi="Times New Roman" w:eastAsia="宋体" w:cs="宋体"/>
          <w:color w:val="auto"/>
          <w:sz w:val="24"/>
          <w:szCs w:val="24"/>
        </w:rPr>
        <w:t>统筹规划范围：包括津市市和澧县，本项目区位于</w:t>
      </w:r>
      <w:r>
        <w:rPr>
          <w:rFonts w:hint="eastAsia" w:ascii="Times New Roman" w:hAnsi="Times New Roman" w:eastAsia="宋体" w:cs="宋体"/>
          <w:color w:val="auto"/>
          <w:sz w:val="24"/>
          <w:szCs w:val="24"/>
        </w:rPr>
        <w:t>津市高新技术产业开发区</w:t>
      </w:r>
      <w:r>
        <w:rPr>
          <w:rFonts w:ascii="Times New Roman" w:hAnsi="Times New Roman" w:eastAsia="宋体" w:cs="宋体"/>
          <w:color w:val="auto"/>
          <w:sz w:val="24"/>
          <w:szCs w:val="24"/>
        </w:rPr>
        <w:t>内，属于</w:t>
      </w:r>
      <w:r>
        <w:rPr>
          <w:rFonts w:hint="eastAsia" w:ascii="Times New Roman" w:hAnsi="Times New Roman" w:eastAsia="宋体" w:cs="宋体"/>
          <w:color w:val="auto"/>
          <w:sz w:val="24"/>
          <w:szCs w:val="24"/>
        </w:rPr>
        <w:t>高新区规划结构“一心、两轴、两片区”中的两片区</w:t>
      </w:r>
      <w:r>
        <w:rPr>
          <w:rFonts w:ascii="Times New Roman" w:hAnsi="Times New Roman" w:eastAsia="宋体" w:cs="宋体"/>
          <w:color w:val="auto"/>
          <w:sz w:val="24"/>
          <w:szCs w:val="24"/>
        </w:rPr>
        <w:t>，</w:t>
      </w:r>
      <w:r>
        <w:rPr>
          <w:rFonts w:hint="eastAsia" w:ascii="Times New Roman" w:hAnsi="Times New Roman" w:eastAsia="宋体" w:cs="宋体"/>
          <w:color w:val="auto"/>
          <w:sz w:val="24"/>
          <w:szCs w:val="24"/>
        </w:rPr>
        <w:t>用地性质为工业用地，不属于规划中的禁止建设区，</w:t>
      </w:r>
      <w:r>
        <w:rPr>
          <w:rFonts w:ascii="Times New Roman" w:hAnsi="Times New Roman" w:eastAsia="宋体" w:cs="宋体"/>
          <w:color w:val="auto"/>
          <w:sz w:val="24"/>
          <w:szCs w:val="24"/>
        </w:rPr>
        <w:t>符合</w:t>
      </w:r>
      <w:r>
        <w:rPr>
          <w:rFonts w:hint="eastAsia" w:ascii="Times New Roman" w:hAnsi="Times New Roman" w:eastAsia="宋体" w:cs="宋体"/>
          <w:color w:val="auto"/>
          <w:sz w:val="24"/>
          <w:szCs w:val="24"/>
        </w:rPr>
        <w:t>津澧新城</w:t>
      </w:r>
      <w:r>
        <w:rPr>
          <w:rFonts w:ascii="Times New Roman" w:hAnsi="Times New Roman" w:eastAsia="宋体" w:cs="宋体"/>
          <w:color w:val="auto"/>
          <w:sz w:val="24"/>
          <w:szCs w:val="24"/>
        </w:rPr>
        <w:t>总体规划。</w:t>
      </w:r>
    </w:p>
    <w:p w14:paraId="4C760191">
      <w:pPr>
        <w:pStyle w:val="5"/>
        <w:bidi w:val="0"/>
      </w:pPr>
      <w:r>
        <w:rPr>
          <w:rFonts w:hint="eastAsia"/>
        </w:rPr>
        <w:t>1.4.2.</w:t>
      </w:r>
      <w:r>
        <w:rPr>
          <w:rFonts w:hint="eastAsia"/>
          <w:lang w:val="en-US" w:eastAsia="zh-CN"/>
        </w:rPr>
        <w:t>8</w:t>
      </w:r>
      <w:r>
        <w:rPr>
          <w:rFonts w:hint="eastAsia"/>
        </w:rPr>
        <w:t>与《中华人民共和国湿地保护法》符合性分析</w:t>
      </w:r>
    </w:p>
    <w:p w14:paraId="6627079E">
      <w:pPr>
        <w:spacing w:line="360" w:lineRule="auto"/>
        <w:ind w:firstLine="480" w:firstLineChars="200"/>
        <w:rPr>
          <w:rFonts w:ascii="Times New Roman" w:hAnsi="Times New Roman" w:eastAsia="宋体" w:cs="宋体"/>
          <w:color w:val="auto"/>
          <w:sz w:val="24"/>
          <w:szCs w:val="24"/>
          <w:u w:val="none"/>
        </w:rPr>
      </w:pPr>
      <w:r>
        <w:rPr>
          <w:rFonts w:hint="eastAsia" w:ascii="Times New Roman" w:hAnsi="Times New Roman" w:eastAsia="宋体" w:cs="宋体"/>
          <w:color w:val="auto"/>
          <w:sz w:val="24"/>
          <w:szCs w:val="24"/>
          <w:u w:val="none"/>
        </w:rPr>
        <w:t>本项目建设地位于省级工业园区内，根据《中华人民共和国湿地保护法》第十九条规定：“国家严格控制占用湿地。</w:t>
      </w:r>
    </w:p>
    <w:p w14:paraId="025C207A">
      <w:pPr>
        <w:spacing w:line="360" w:lineRule="auto"/>
        <w:ind w:firstLine="480" w:firstLineChars="200"/>
        <w:rPr>
          <w:rFonts w:ascii="Times New Roman" w:hAnsi="Times New Roman" w:eastAsia="宋体" w:cs="宋体"/>
          <w:color w:val="auto"/>
          <w:sz w:val="24"/>
          <w:szCs w:val="24"/>
          <w:u w:val="none"/>
        </w:rPr>
      </w:pPr>
      <w:r>
        <w:rPr>
          <w:rFonts w:hint="eastAsia" w:ascii="Times New Roman" w:hAnsi="Times New Roman" w:eastAsia="宋体" w:cs="宋体"/>
          <w:color w:val="auto"/>
          <w:sz w:val="24"/>
          <w:szCs w:val="24"/>
          <w:u w:val="none"/>
        </w:rPr>
        <w:t>禁止占用国家重要湿地，国家重大项目、防灾减灾项目、重要水利及保护设施项目、湿地保护项目等除外。</w:t>
      </w:r>
    </w:p>
    <w:p w14:paraId="2356A743">
      <w:pPr>
        <w:spacing w:line="360" w:lineRule="auto"/>
        <w:ind w:firstLine="480" w:firstLineChars="200"/>
        <w:rPr>
          <w:rFonts w:ascii="Times New Roman" w:hAnsi="Times New Roman" w:eastAsia="宋体" w:cs="宋体"/>
          <w:color w:val="auto"/>
          <w:sz w:val="24"/>
          <w:szCs w:val="24"/>
          <w:u w:val="none"/>
        </w:rPr>
      </w:pPr>
      <w:r>
        <w:rPr>
          <w:rFonts w:hint="eastAsia" w:ascii="Times New Roman" w:hAnsi="Times New Roman" w:eastAsia="宋体" w:cs="宋体"/>
          <w:color w:val="auto"/>
          <w:sz w:val="24"/>
          <w:szCs w:val="24"/>
          <w:u w:val="none"/>
        </w:rPr>
        <w:t>建设项目选址、选线应当避让湿地，无法避让的应当尽量减少占用，并采取必要措施减轻对湿地生态功能的不利影响。</w:t>
      </w:r>
    </w:p>
    <w:p w14:paraId="4E5B7EFF">
      <w:pPr>
        <w:spacing w:line="360" w:lineRule="auto"/>
        <w:ind w:firstLine="480" w:firstLineChars="200"/>
        <w:rPr>
          <w:rFonts w:ascii="Times New Roman" w:hAnsi="Times New Roman" w:eastAsia="宋体" w:cs="宋体"/>
          <w:color w:val="auto"/>
          <w:sz w:val="24"/>
          <w:szCs w:val="24"/>
          <w:u w:val="none"/>
        </w:rPr>
      </w:pPr>
      <w:r>
        <w:rPr>
          <w:rFonts w:hint="eastAsia" w:ascii="Times New Roman" w:hAnsi="Times New Roman" w:eastAsia="宋体" w:cs="宋体"/>
          <w:color w:val="auto"/>
          <w:sz w:val="24"/>
          <w:szCs w:val="24"/>
          <w:u w:val="none"/>
        </w:rPr>
        <w:t>建设项目规划选址、选线审批或者核准时，涉及国家重要湿地的，应当征求国务院林业草原主管部门的意见；涉及省级重要湿地或者一般湿地的，应当按照管理权限，征求县级以上地方人民政府授权的部门的意见”。</w:t>
      </w:r>
    </w:p>
    <w:p w14:paraId="2723DC52">
      <w:pPr>
        <w:spacing w:line="360" w:lineRule="auto"/>
        <w:ind w:firstLine="480" w:firstLineChars="200"/>
        <w:rPr>
          <w:rFonts w:ascii="Times New Roman" w:hAnsi="Times New Roman" w:eastAsia="宋体" w:cs="宋体"/>
          <w:color w:val="auto"/>
          <w:sz w:val="24"/>
          <w:szCs w:val="24"/>
          <w:u w:val="none"/>
        </w:rPr>
      </w:pPr>
      <w:r>
        <w:rPr>
          <w:rFonts w:hint="eastAsia" w:ascii="Times New Roman" w:hAnsi="Times New Roman" w:eastAsia="宋体" w:cs="宋体"/>
          <w:color w:val="auto"/>
          <w:sz w:val="24"/>
          <w:szCs w:val="24"/>
          <w:u w:val="none"/>
        </w:rPr>
        <w:t>本项目所在地未占用湿地，项目排水经园区污水管网排入园区污水处理厂，不会对临近湿地造成不利影响。</w:t>
      </w:r>
    </w:p>
    <w:p w14:paraId="25C80DE8">
      <w:pPr>
        <w:pStyle w:val="5"/>
        <w:bidi w:val="0"/>
      </w:pPr>
      <w:r>
        <w:rPr>
          <w:rFonts w:hint="eastAsia"/>
        </w:rPr>
        <w:t>1.4.2.</w:t>
      </w:r>
      <w:r>
        <w:rPr>
          <w:rFonts w:hint="eastAsia"/>
          <w:lang w:val="en-US" w:eastAsia="zh-CN"/>
        </w:rPr>
        <w:t>9</w:t>
      </w:r>
      <w:r>
        <w:rPr>
          <w:rFonts w:hint="eastAsia"/>
        </w:rPr>
        <w:t>与《国家级自然公园管理办法（试行）》符合性分析</w:t>
      </w:r>
    </w:p>
    <w:p w14:paraId="06CA4823">
      <w:pPr>
        <w:spacing w:line="360" w:lineRule="auto"/>
        <w:ind w:firstLine="480" w:firstLineChars="200"/>
        <w:rPr>
          <w:rFonts w:ascii="Times New Roman" w:hAnsi="Times New Roman" w:eastAsia="宋体" w:cs="宋体"/>
          <w:color w:val="auto"/>
          <w:sz w:val="24"/>
          <w:szCs w:val="24"/>
          <w:u w:val="none"/>
        </w:rPr>
      </w:pPr>
      <w:r>
        <w:rPr>
          <w:rFonts w:ascii="Times New Roman" w:hAnsi="Times New Roman" w:eastAsia="宋体" w:cs="宋体"/>
          <w:color w:val="auto"/>
          <w:sz w:val="24"/>
          <w:szCs w:val="24"/>
          <w:u w:val="none"/>
        </w:rPr>
        <w:t>第十八条　严格保护国家级自然公园内的森林、草原、湿地、荒漠、海洋、水域、生物等珍贵自然资源，以及自然遗迹、自然景观和文物古迹等人文景观。在国家级自然公园内开展相关活动和设施建设，不得擅自改变其自然状态和历史风貌。</w:t>
      </w:r>
    </w:p>
    <w:p w14:paraId="193E2BCD">
      <w:pPr>
        <w:spacing w:line="360" w:lineRule="auto"/>
        <w:ind w:firstLine="480" w:firstLineChars="200"/>
        <w:rPr>
          <w:rFonts w:ascii="Times New Roman" w:hAnsi="Times New Roman" w:eastAsia="宋体" w:cs="宋体"/>
          <w:color w:val="auto"/>
          <w:sz w:val="24"/>
          <w:szCs w:val="24"/>
          <w:u w:val="none"/>
        </w:rPr>
      </w:pPr>
      <w:r>
        <w:rPr>
          <w:rFonts w:ascii="Times New Roman" w:hAnsi="Times New Roman" w:eastAsia="宋体" w:cs="宋体"/>
          <w:color w:val="auto"/>
          <w:sz w:val="24"/>
          <w:szCs w:val="24"/>
          <w:u w:val="none"/>
        </w:rPr>
        <w:t>禁止擅自在国家级自然公园内从事采矿、房地产、开发区、高尔夫球场、风力光伏电场等不符合管控要求的开发活动。禁止违规侵占国家级自然公园，排放不符合水污染物排放标准的工业废水、生活污水及其他的废水、污水，倾倒、堆放、丢弃、遗撒固体废物等污染生态环境的行为</w:t>
      </w:r>
    </w:p>
    <w:p w14:paraId="01231D16">
      <w:pPr>
        <w:spacing w:line="360" w:lineRule="auto"/>
        <w:ind w:firstLine="480" w:firstLineChars="200"/>
        <w:rPr>
          <w:rFonts w:hint="eastAsia" w:ascii="Times New Roman" w:hAnsi="Times New Roman" w:eastAsia="宋体" w:cs="宋体"/>
          <w:color w:val="auto"/>
          <w:sz w:val="24"/>
          <w:szCs w:val="24"/>
          <w:u w:val="none"/>
        </w:rPr>
      </w:pPr>
      <w:r>
        <w:rPr>
          <w:rFonts w:hint="eastAsia" w:ascii="Times New Roman" w:hAnsi="Times New Roman" w:eastAsia="宋体" w:cs="宋体"/>
          <w:color w:val="auto"/>
          <w:sz w:val="24"/>
          <w:szCs w:val="24"/>
          <w:u w:val="none"/>
        </w:rPr>
        <w:t>本项目位于津市高新技术产业开发区，位于嘉山国家森林公园南侧约</w:t>
      </w:r>
      <w:r>
        <w:rPr>
          <w:rFonts w:hint="eastAsia" w:ascii="Times New Roman" w:hAnsi="Times New Roman" w:eastAsia="宋体" w:cs="宋体"/>
          <w:color w:val="auto"/>
          <w:sz w:val="24"/>
          <w:szCs w:val="24"/>
          <w:u w:val="none"/>
          <w:lang w:val="en-US" w:eastAsia="zh-CN"/>
        </w:rPr>
        <w:t>4188</w:t>
      </w:r>
      <w:r>
        <w:rPr>
          <w:rFonts w:hint="eastAsia" w:ascii="Times New Roman" w:hAnsi="Times New Roman" w:eastAsia="宋体" w:cs="宋体"/>
          <w:color w:val="auto"/>
          <w:sz w:val="24"/>
          <w:szCs w:val="24"/>
          <w:u w:val="none"/>
        </w:rPr>
        <w:t>m，项目生产过程中产生的废气经处理后达标排放，废水经厂区内预处理后排入园区污水处理厂处理，危险废物委托有资质单位处理，不会对</w:t>
      </w:r>
      <w:r>
        <w:rPr>
          <w:rFonts w:ascii="Times New Roman" w:hAnsi="Times New Roman" w:eastAsia="宋体" w:cs="宋体"/>
          <w:color w:val="auto"/>
          <w:sz w:val="24"/>
          <w:szCs w:val="24"/>
          <w:u w:val="none"/>
        </w:rPr>
        <w:t>国家级自然公园</w:t>
      </w:r>
      <w:r>
        <w:rPr>
          <w:rFonts w:hint="eastAsia" w:ascii="Times New Roman" w:hAnsi="Times New Roman" w:eastAsia="宋体" w:cs="宋体"/>
          <w:color w:val="auto"/>
          <w:sz w:val="24"/>
          <w:szCs w:val="24"/>
          <w:u w:val="none"/>
        </w:rPr>
        <w:t>造成环境污染。</w:t>
      </w:r>
    </w:p>
    <w:p w14:paraId="46CE71F4">
      <w:pPr>
        <w:pStyle w:val="5"/>
        <w:bidi w:val="0"/>
        <w:rPr>
          <w:rFonts w:hint="default"/>
          <w:lang w:val="en-US" w:eastAsia="zh-CN"/>
        </w:rPr>
      </w:pPr>
      <w:r>
        <w:rPr>
          <w:rFonts w:hint="eastAsia"/>
          <w:lang w:val="en-US" w:eastAsia="zh-CN"/>
        </w:rPr>
        <w:t>1.4.2.10“两高”判定</w:t>
      </w:r>
    </w:p>
    <w:p w14:paraId="4A1797AA">
      <w:pPr>
        <w:spacing w:line="360" w:lineRule="auto"/>
        <w:ind w:firstLine="480" w:firstLineChars="200"/>
        <w:rPr>
          <w:rFonts w:hint="eastAsia" w:ascii="Times New Roman" w:hAnsi="Times New Roman" w:eastAsia="宋体" w:cs="宋体"/>
          <w:color w:val="auto"/>
          <w:sz w:val="24"/>
          <w:szCs w:val="24"/>
        </w:rPr>
      </w:pPr>
      <w:r>
        <w:rPr>
          <w:rFonts w:hint="eastAsia" w:ascii="Times New Roman" w:hAnsi="Times New Roman" w:eastAsia="宋体" w:cs="宋体"/>
          <w:color w:val="auto"/>
          <w:sz w:val="24"/>
          <w:szCs w:val="24"/>
        </w:rPr>
        <w:t>《关于加强高耗能、高排放项目生态环境源头防控的指导意见》（环环评[2021]45号）指出，各省、自治区、直辖市生态环境厅（局）应严把建设项目环境准入关。新建、改建、扩建“两高”项目须符合生态环境保护法律法规和相关法定规划，满足重点污染物排放总量控制、碳排放达峰目标、生态环境准入清单、相关规划环评和相应行业建设项目环境准入条件、环评文件审批原则要求。石化、现代煤化工项目应纳入国家产业规划。</w:t>
      </w:r>
    </w:p>
    <w:p w14:paraId="16C16768">
      <w:pPr>
        <w:spacing w:line="360" w:lineRule="auto"/>
        <w:ind w:firstLine="480" w:firstLineChars="200"/>
        <w:rPr>
          <w:rFonts w:hint="eastAsia" w:ascii="Times New Roman" w:hAnsi="Times New Roman" w:eastAsia="宋体" w:cs="宋体"/>
          <w:color w:val="auto"/>
          <w:sz w:val="24"/>
          <w:szCs w:val="24"/>
        </w:rPr>
      </w:pPr>
      <w:r>
        <w:rPr>
          <w:rFonts w:hint="eastAsia" w:ascii="Times New Roman" w:hAnsi="Times New Roman" w:eastAsia="宋体" w:cs="宋体"/>
          <w:color w:val="auto"/>
          <w:sz w:val="24"/>
          <w:szCs w:val="24"/>
        </w:rPr>
        <w:t>《指导意见》指出新建、扩建石化、化工、焦化、有色金属冶炼、平板玻璃项目应布设在依法合规设立并经规划环评的产业园区。各级生态环境部门和行政审批部门要严格把关，对于不符合相关法律法规的，依法不予审批。省级生态环境部门应加强对基层“两高”项目环评审批程序、审批结果的监督与评估，对审批能力不适应的依法调整上收。对炼油、乙烯、钢铁、焦化、煤化工、燃煤发电、电解铝、水泥熟料、平板玻璃、铜铅锌硅冶炼等环境影响大或环境风险高的项目类别，不得以改革试点名义随意下放环评审批权限或降低审批要求。</w:t>
      </w:r>
    </w:p>
    <w:p w14:paraId="10A517A3">
      <w:pPr>
        <w:spacing w:line="360" w:lineRule="auto"/>
        <w:ind w:firstLine="480" w:firstLineChars="200"/>
        <w:rPr>
          <w:rFonts w:ascii="Times New Roman" w:hAnsi="Times New Roman" w:eastAsia="宋体" w:cs="宋体"/>
          <w:color w:val="auto"/>
          <w:sz w:val="24"/>
          <w:szCs w:val="24"/>
        </w:rPr>
      </w:pPr>
      <w:r>
        <w:rPr>
          <w:rFonts w:hint="eastAsia" w:ascii="Times New Roman" w:hAnsi="Times New Roman" w:eastAsia="宋体" w:cs="宋体"/>
          <w:color w:val="auto"/>
          <w:sz w:val="24"/>
          <w:szCs w:val="24"/>
        </w:rPr>
        <w:t>根据湖南省发展和改革委员会关于印发《湖南省“两高”项目管理目录》的通知（湘发改环资【2021】968号），食品制造业和农副食品加工业不属于该管理目录范围内行业，因此本项目不属于两高项目。</w:t>
      </w:r>
    </w:p>
    <w:p w14:paraId="0184DF0D">
      <w:pPr>
        <w:pStyle w:val="4"/>
        <w:bidi w:val="0"/>
      </w:pPr>
      <w:r>
        <w:rPr>
          <w:rFonts w:hint="eastAsia"/>
        </w:rPr>
        <w:t>1.4.3与津市高新技术产业开发区相关要求符合性分析</w:t>
      </w:r>
    </w:p>
    <w:p w14:paraId="616DB4BC">
      <w:pPr>
        <w:pStyle w:val="5"/>
        <w:bidi w:val="0"/>
      </w:pPr>
      <w:r>
        <w:rPr>
          <w:rFonts w:hint="eastAsia"/>
        </w:rPr>
        <w:t>1.4.3.1与津市高新技术产业开发区准入清单的符合性分析</w:t>
      </w:r>
    </w:p>
    <w:p w14:paraId="48BB8749">
      <w:pPr>
        <w:spacing w:line="360" w:lineRule="auto"/>
        <w:ind w:firstLine="480" w:firstLineChars="200"/>
        <w:rPr>
          <w:rFonts w:ascii="Times New Roman" w:hAnsi="Times New Roman" w:eastAsia="宋体" w:cs="宋体"/>
          <w:color w:val="auto"/>
          <w:sz w:val="24"/>
          <w:szCs w:val="24"/>
        </w:rPr>
      </w:pPr>
      <w:r>
        <w:rPr>
          <w:rFonts w:hint="eastAsia" w:ascii="Times New Roman" w:hAnsi="Times New Roman" w:eastAsia="宋体" w:cs="宋体"/>
          <w:color w:val="auto"/>
          <w:sz w:val="24"/>
          <w:szCs w:val="24"/>
        </w:rPr>
        <w:t>项目与津市高新技术产业开发区环境准入清单的符合性分析如下表所示。</w:t>
      </w:r>
    </w:p>
    <w:p w14:paraId="5D41CB8B">
      <w:pPr>
        <w:pStyle w:val="6"/>
        <w:bidi w:val="0"/>
      </w:pPr>
      <w:r>
        <w:rPr>
          <w:rFonts w:hint="eastAsia"/>
        </w:rPr>
        <w:t>表1.4.3-1    园区</w:t>
      </w:r>
      <w:r>
        <w:t>环境准入行业清单</w:t>
      </w:r>
    </w:p>
    <w:tbl>
      <w:tblPr>
        <w:tblStyle w:val="41"/>
        <w:tblW w:w="49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5"/>
        <w:gridCol w:w="540"/>
        <w:gridCol w:w="5648"/>
        <w:gridCol w:w="1569"/>
      </w:tblGrid>
      <w:tr w14:paraId="551D4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679" w:type="pct"/>
            <w:gridSpan w:val="2"/>
            <w:vAlign w:val="center"/>
          </w:tcPr>
          <w:p w14:paraId="402A6D09">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区域</w:t>
            </w:r>
          </w:p>
        </w:tc>
        <w:tc>
          <w:tcPr>
            <w:tcW w:w="3380" w:type="pct"/>
            <w:vAlign w:val="center"/>
          </w:tcPr>
          <w:p w14:paraId="36A5CE6F">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行业类别</w:t>
            </w:r>
          </w:p>
        </w:tc>
        <w:tc>
          <w:tcPr>
            <w:tcW w:w="939" w:type="pct"/>
            <w:vAlign w:val="center"/>
          </w:tcPr>
          <w:p w14:paraId="11ED3BD6">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符合性分析</w:t>
            </w:r>
          </w:p>
        </w:tc>
      </w:tr>
      <w:tr w14:paraId="79E9F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79" w:type="pct"/>
            <w:gridSpan w:val="2"/>
            <w:vMerge w:val="restart"/>
            <w:vAlign w:val="center"/>
          </w:tcPr>
          <w:p w14:paraId="6031CE6E">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区块一（北部片区）</w:t>
            </w:r>
          </w:p>
        </w:tc>
        <w:tc>
          <w:tcPr>
            <w:tcW w:w="3380" w:type="pct"/>
            <w:vAlign w:val="center"/>
          </w:tcPr>
          <w:p w14:paraId="71C949FE">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产业定位：适度发展盐化工</w:t>
            </w:r>
          </w:p>
        </w:tc>
        <w:tc>
          <w:tcPr>
            <w:tcW w:w="939" w:type="pct"/>
            <w:vMerge w:val="restart"/>
            <w:vAlign w:val="center"/>
          </w:tcPr>
          <w:p w14:paraId="52289507">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r>
      <w:tr w14:paraId="21DB3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6" w:hRule="atLeast"/>
          <w:jc w:val="center"/>
        </w:trPr>
        <w:tc>
          <w:tcPr>
            <w:tcW w:w="679" w:type="pct"/>
            <w:gridSpan w:val="2"/>
            <w:vMerge w:val="continue"/>
            <w:vAlign w:val="center"/>
          </w:tcPr>
          <w:p w14:paraId="206F6031">
            <w:pPr>
              <w:jc w:val="center"/>
              <w:rPr>
                <w:rFonts w:ascii="Times New Roman" w:hAnsi="Times New Roman" w:eastAsia="宋体" w:cs="Times New Roman"/>
                <w:color w:val="auto"/>
                <w:sz w:val="22"/>
                <w:szCs w:val="24"/>
              </w:rPr>
            </w:pPr>
          </w:p>
        </w:tc>
        <w:tc>
          <w:tcPr>
            <w:tcW w:w="3380" w:type="pct"/>
            <w:vAlign w:val="center"/>
          </w:tcPr>
          <w:p w14:paraId="6BC9FFA8">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禁止类：除单纯物理分离、物理提纯、混合、分装的C26</w:t>
            </w:r>
            <w:r>
              <w:rPr>
                <w:rFonts w:hint="eastAsia" w:ascii="Times New Roman" w:hAnsi="Times New Roman" w:eastAsia="宋体" w:cs="Times New Roman"/>
                <w:color w:val="auto"/>
                <w:sz w:val="22"/>
                <w:szCs w:val="24"/>
              </w:rPr>
              <w:t>3</w:t>
            </w:r>
            <w:r>
              <w:rPr>
                <w:rFonts w:ascii="Times New Roman" w:hAnsi="Times New Roman" w:eastAsia="宋体" w:cs="Times New Roman"/>
                <w:color w:val="auto"/>
                <w:sz w:val="22"/>
                <w:szCs w:val="24"/>
              </w:rPr>
              <w:t>农药制造、C26</w:t>
            </w:r>
            <w:r>
              <w:rPr>
                <w:rFonts w:hint="eastAsia" w:ascii="Times New Roman" w:hAnsi="Times New Roman" w:eastAsia="宋体" w:cs="Times New Roman"/>
                <w:color w:val="auto"/>
                <w:sz w:val="22"/>
                <w:szCs w:val="24"/>
              </w:rPr>
              <w:t>4</w:t>
            </w:r>
            <w:r>
              <w:rPr>
                <w:rFonts w:ascii="Times New Roman" w:hAnsi="Times New Roman" w:eastAsia="宋体" w:cs="Times New Roman"/>
                <w:color w:val="auto"/>
                <w:sz w:val="22"/>
                <w:szCs w:val="24"/>
              </w:rPr>
              <w:t>涂料、油墨、颜料及类似产品制造、C26</w:t>
            </w:r>
            <w:r>
              <w:rPr>
                <w:rFonts w:hint="eastAsia" w:ascii="Times New Roman" w:hAnsi="Times New Roman" w:eastAsia="宋体" w:cs="Times New Roman"/>
                <w:color w:val="auto"/>
                <w:sz w:val="22"/>
                <w:szCs w:val="24"/>
              </w:rPr>
              <w:t>5</w:t>
            </w:r>
            <w:r>
              <w:rPr>
                <w:rFonts w:ascii="Times New Roman" w:hAnsi="Times New Roman" w:eastAsia="宋体" w:cs="Times New Roman"/>
                <w:color w:val="auto"/>
                <w:sz w:val="22"/>
                <w:szCs w:val="24"/>
              </w:rPr>
              <w:t>合成材料制造、C26</w:t>
            </w:r>
            <w:r>
              <w:rPr>
                <w:rFonts w:hint="eastAsia" w:ascii="Times New Roman" w:hAnsi="Times New Roman" w:eastAsia="宋体" w:cs="Times New Roman"/>
                <w:color w:val="auto"/>
                <w:sz w:val="22"/>
                <w:szCs w:val="24"/>
              </w:rPr>
              <w:t>6</w:t>
            </w:r>
            <w:r>
              <w:rPr>
                <w:rFonts w:ascii="Times New Roman" w:hAnsi="Times New Roman" w:eastAsia="宋体" w:cs="Times New Roman"/>
                <w:color w:val="auto"/>
                <w:sz w:val="22"/>
                <w:szCs w:val="24"/>
              </w:rPr>
              <w:t>专用化学产品制造以及C2625有机肥料及微生物肥料制造、C2629其他肥料制造以外的化工项目。</w:t>
            </w:r>
          </w:p>
        </w:tc>
        <w:tc>
          <w:tcPr>
            <w:tcW w:w="939" w:type="pct"/>
            <w:vMerge w:val="continue"/>
            <w:vAlign w:val="center"/>
          </w:tcPr>
          <w:p w14:paraId="3F61B14A">
            <w:pPr>
              <w:jc w:val="center"/>
              <w:rPr>
                <w:rFonts w:ascii="Times New Roman" w:hAnsi="Times New Roman" w:eastAsia="宋体" w:cs="Times New Roman"/>
                <w:color w:val="auto"/>
                <w:sz w:val="22"/>
                <w:szCs w:val="24"/>
              </w:rPr>
            </w:pPr>
          </w:p>
        </w:tc>
      </w:tr>
      <w:tr w14:paraId="4358E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56" w:type="pct"/>
            <w:vMerge w:val="restart"/>
            <w:vAlign w:val="center"/>
          </w:tcPr>
          <w:p w14:paraId="718E42E1">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南部片区化工产业区</w:t>
            </w:r>
          </w:p>
        </w:tc>
        <w:tc>
          <w:tcPr>
            <w:tcW w:w="323" w:type="pct"/>
            <w:vMerge w:val="restart"/>
            <w:vAlign w:val="center"/>
          </w:tcPr>
          <w:p w14:paraId="79A89CCF">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绿色化工区</w:t>
            </w:r>
          </w:p>
        </w:tc>
        <w:tc>
          <w:tcPr>
            <w:tcW w:w="3380" w:type="pct"/>
            <w:vAlign w:val="center"/>
          </w:tcPr>
          <w:p w14:paraId="5494A0C4">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产业定位：主要布置化工产业链下游企业及化工孵化中心等绿色化工产业，发展污染物排放相对较小、无明显恶臭异味、环境风险可控的产业。C264涂料、油墨、颜料及类似产品制造、C265合成材料制造、C266专用化学产品制造、C268日用化学产品制造。</w:t>
            </w:r>
          </w:p>
        </w:tc>
        <w:tc>
          <w:tcPr>
            <w:tcW w:w="939" w:type="pct"/>
            <w:vMerge w:val="restart"/>
            <w:vAlign w:val="center"/>
          </w:tcPr>
          <w:p w14:paraId="64E86AE0">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r>
      <w:tr w14:paraId="42DE4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56" w:type="pct"/>
            <w:vMerge w:val="continue"/>
            <w:vAlign w:val="center"/>
          </w:tcPr>
          <w:p w14:paraId="45AB077D">
            <w:pPr>
              <w:jc w:val="center"/>
              <w:rPr>
                <w:rFonts w:ascii="Times New Roman" w:hAnsi="Times New Roman" w:eastAsia="宋体" w:cs="Times New Roman"/>
                <w:color w:val="auto"/>
                <w:sz w:val="22"/>
                <w:szCs w:val="24"/>
              </w:rPr>
            </w:pPr>
          </w:p>
        </w:tc>
        <w:tc>
          <w:tcPr>
            <w:tcW w:w="323" w:type="pct"/>
            <w:vMerge w:val="continue"/>
            <w:vAlign w:val="center"/>
          </w:tcPr>
          <w:p w14:paraId="4D4B2113">
            <w:pPr>
              <w:jc w:val="center"/>
              <w:rPr>
                <w:rFonts w:ascii="Times New Roman" w:hAnsi="Times New Roman" w:eastAsia="宋体" w:cs="Times New Roman"/>
                <w:color w:val="auto"/>
                <w:sz w:val="22"/>
                <w:szCs w:val="24"/>
              </w:rPr>
            </w:pPr>
          </w:p>
        </w:tc>
        <w:tc>
          <w:tcPr>
            <w:tcW w:w="3380" w:type="pct"/>
            <w:vAlign w:val="center"/>
          </w:tcPr>
          <w:p w14:paraId="5640A780">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禁止类：C251精炼石油产品制造、C252煤炭加工、C2621氮肥制造、C2622磷肥制造、C2623钾肥制造，单纯物理分离、提纯、混合、分装的项目不列入禁止类。二类工业用地从严控制，除上述控制要求外，还需禁止引进涉及大规模基础化学原料制造（C2611、2612）的化学合成项目。</w:t>
            </w:r>
          </w:p>
        </w:tc>
        <w:tc>
          <w:tcPr>
            <w:tcW w:w="939" w:type="pct"/>
            <w:vMerge w:val="continue"/>
            <w:vAlign w:val="center"/>
          </w:tcPr>
          <w:p w14:paraId="0966ABED">
            <w:pPr>
              <w:jc w:val="center"/>
              <w:rPr>
                <w:rFonts w:ascii="Times New Roman" w:hAnsi="Times New Roman" w:eastAsia="宋体" w:cs="Times New Roman"/>
                <w:color w:val="auto"/>
                <w:sz w:val="22"/>
                <w:szCs w:val="24"/>
              </w:rPr>
            </w:pPr>
          </w:p>
        </w:tc>
      </w:tr>
      <w:tr w14:paraId="6FBDE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356" w:type="pct"/>
            <w:vMerge w:val="continue"/>
            <w:vAlign w:val="center"/>
          </w:tcPr>
          <w:p w14:paraId="658CA401">
            <w:pPr>
              <w:jc w:val="center"/>
              <w:rPr>
                <w:rFonts w:ascii="Times New Roman" w:hAnsi="Times New Roman" w:eastAsia="宋体" w:cs="Times New Roman"/>
                <w:color w:val="auto"/>
                <w:sz w:val="22"/>
                <w:szCs w:val="24"/>
              </w:rPr>
            </w:pPr>
          </w:p>
        </w:tc>
        <w:tc>
          <w:tcPr>
            <w:tcW w:w="323" w:type="pct"/>
            <w:vMerge w:val="restart"/>
            <w:vAlign w:val="center"/>
          </w:tcPr>
          <w:p w14:paraId="5F7CB039">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医药化工区</w:t>
            </w:r>
          </w:p>
        </w:tc>
        <w:tc>
          <w:tcPr>
            <w:tcW w:w="3380" w:type="pct"/>
            <w:vAlign w:val="center"/>
          </w:tcPr>
          <w:p w14:paraId="4D817032">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产业定位：主要发展生物酶制剂、医药中间体、化学药品原料药制造（化学新药）、化学药品制剂制造（制剂）、生物药品制品制造等，C27医药制造，C2614中医药中间体。</w:t>
            </w:r>
          </w:p>
        </w:tc>
        <w:tc>
          <w:tcPr>
            <w:tcW w:w="939" w:type="pct"/>
            <w:vMerge w:val="restart"/>
            <w:vAlign w:val="center"/>
          </w:tcPr>
          <w:p w14:paraId="79BA00CF">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r>
      <w:tr w14:paraId="12CF5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56" w:type="pct"/>
            <w:vMerge w:val="continue"/>
            <w:vAlign w:val="center"/>
          </w:tcPr>
          <w:p w14:paraId="6424DD4E">
            <w:pPr>
              <w:jc w:val="center"/>
              <w:rPr>
                <w:rFonts w:ascii="Times New Roman" w:hAnsi="Times New Roman" w:eastAsia="宋体" w:cs="Times New Roman"/>
                <w:color w:val="auto"/>
                <w:sz w:val="22"/>
                <w:szCs w:val="24"/>
              </w:rPr>
            </w:pPr>
          </w:p>
        </w:tc>
        <w:tc>
          <w:tcPr>
            <w:tcW w:w="323" w:type="pct"/>
            <w:vMerge w:val="continue"/>
            <w:vAlign w:val="center"/>
          </w:tcPr>
          <w:p w14:paraId="754AD7F8">
            <w:pPr>
              <w:jc w:val="center"/>
              <w:rPr>
                <w:rFonts w:ascii="Times New Roman" w:hAnsi="Times New Roman" w:eastAsia="宋体" w:cs="Times New Roman"/>
                <w:color w:val="auto"/>
                <w:sz w:val="22"/>
                <w:szCs w:val="24"/>
              </w:rPr>
            </w:pPr>
          </w:p>
        </w:tc>
        <w:tc>
          <w:tcPr>
            <w:tcW w:w="3380" w:type="pct"/>
            <w:vAlign w:val="center"/>
          </w:tcPr>
          <w:p w14:paraId="534C2EBE">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禁止类：C251精炼石油产品制造、C252煤炭加工、C2621氮肥制造、C2622磷肥制造、C2623钾肥制造、C263</w:t>
            </w:r>
            <w:r>
              <w:rPr>
                <w:rFonts w:hint="eastAsia" w:ascii="Times New Roman" w:hAnsi="Times New Roman" w:eastAsia="宋体" w:cs="Times New Roman"/>
                <w:color w:val="auto"/>
                <w:sz w:val="22"/>
                <w:szCs w:val="24"/>
              </w:rPr>
              <w:t>1</w:t>
            </w:r>
            <w:r>
              <w:rPr>
                <w:rFonts w:ascii="Times New Roman" w:hAnsi="Times New Roman" w:eastAsia="宋体" w:cs="Times New Roman"/>
                <w:color w:val="auto"/>
                <w:sz w:val="22"/>
                <w:szCs w:val="24"/>
              </w:rPr>
              <w:t>化学农药制造（单纯物理分离、提纯、混合、分装的除外）</w:t>
            </w:r>
          </w:p>
        </w:tc>
        <w:tc>
          <w:tcPr>
            <w:tcW w:w="939" w:type="pct"/>
            <w:vMerge w:val="continue"/>
            <w:vAlign w:val="center"/>
          </w:tcPr>
          <w:p w14:paraId="2CAA0D5C">
            <w:pPr>
              <w:jc w:val="center"/>
              <w:rPr>
                <w:rFonts w:ascii="Times New Roman" w:hAnsi="Times New Roman" w:eastAsia="宋体" w:cs="Times New Roman"/>
                <w:color w:val="auto"/>
                <w:sz w:val="22"/>
                <w:szCs w:val="24"/>
              </w:rPr>
            </w:pPr>
          </w:p>
        </w:tc>
      </w:tr>
      <w:tr w14:paraId="3F525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56" w:type="pct"/>
            <w:vMerge w:val="continue"/>
            <w:vAlign w:val="center"/>
          </w:tcPr>
          <w:p w14:paraId="36447CD6">
            <w:pPr>
              <w:jc w:val="center"/>
              <w:rPr>
                <w:rFonts w:ascii="Times New Roman" w:hAnsi="Times New Roman" w:eastAsia="宋体" w:cs="Times New Roman"/>
                <w:color w:val="auto"/>
                <w:sz w:val="22"/>
                <w:szCs w:val="24"/>
              </w:rPr>
            </w:pPr>
          </w:p>
        </w:tc>
        <w:tc>
          <w:tcPr>
            <w:tcW w:w="323" w:type="pct"/>
            <w:vMerge w:val="restart"/>
            <w:vAlign w:val="center"/>
          </w:tcPr>
          <w:p w14:paraId="7C75DC14">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化工新材料区</w:t>
            </w:r>
          </w:p>
        </w:tc>
        <w:tc>
          <w:tcPr>
            <w:tcW w:w="3380" w:type="pct"/>
            <w:vAlign w:val="center"/>
          </w:tcPr>
          <w:p w14:paraId="5088F043">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产业定位：重点发展绿色日用化学工业、化学添加剂工业、环境友好的涂料、油墨、染料、生物农药等。C2632生物化学农药及微生物农药制造、C264涂料、油墨、颜料及类似产品制造、C265合成材料制造、C266专用化学产品制造、C268日用化学产品制造。</w:t>
            </w:r>
          </w:p>
        </w:tc>
        <w:tc>
          <w:tcPr>
            <w:tcW w:w="939" w:type="pct"/>
            <w:vMerge w:val="restart"/>
            <w:vAlign w:val="center"/>
          </w:tcPr>
          <w:p w14:paraId="30762411">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r>
      <w:tr w14:paraId="68D58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56" w:type="pct"/>
            <w:vMerge w:val="continue"/>
            <w:vAlign w:val="center"/>
          </w:tcPr>
          <w:p w14:paraId="56120BD0">
            <w:pPr>
              <w:jc w:val="center"/>
              <w:rPr>
                <w:rFonts w:ascii="Times New Roman" w:hAnsi="Times New Roman" w:eastAsia="宋体" w:cs="Times New Roman"/>
                <w:color w:val="auto"/>
                <w:sz w:val="22"/>
                <w:szCs w:val="24"/>
              </w:rPr>
            </w:pPr>
          </w:p>
        </w:tc>
        <w:tc>
          <w:tcPr>
            <w:tcW w:w="323" w:type="pct"/>
            <w:vMerge w:val="continue"/>
            <w:vAlign w:val="center"/>
          </w:tcPr>
          <w:p w14:paraId="0D5BFB7D">
            <w:pPr>
              <w:jc w:val="center"/>
              <w:rPr>
                <w:rFonts w:ascii="Times New Roman" w:hAnsi="Times New Roman" w:eastAsia="宋体" w:cs="Times New Roman"/>
                <w:color w:val="auto"/>
                <w:sz w:val="22"/>
                <w:szCs w:val="24"/>
              </w:rPr>
            </w:pPr>
          </w:p>
        </w:tc>
        <w:tc>
          <w:tcPr>
            <w:tcW w:w="3380" w:type="pct"/>
            <w:vAlign w:val="center"/>
          </w:tcPr>
          <w:p w14:paraId="1CCBA47B">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限制类：C2631化学农药制造</w:t>
            </w:r>
            <w:r>
              <w:rPr>
                <w:rFonts w:hint="eastAsia" w:ascii="Times New Roman" w:hAnsi="Times New Roman" w:eastAsia="宋体" w:cs="Times New Roman"/>
                <w:color w:val="auto"/>
                <w:sz w:val="22"/>
                <w:szCs w:val="24"/>
              </w:rPr>
              <w:t>（单纯物理分离、提纯、混合、分装的除外）</w:t>
            </w:r>
          </w:p>
        </w:tc>
        <w:tc>
          <w:tcPr>
            <w:tcW w:w="939" w:type="pct"/>
            <w:vMerge w:val="continue"/>
            <w:vAlign w:val="center"/>
          </w:tcPr>
          <w:p w14:paraId="4B71D3C1">
            <w:pPr>
              <w:jc w:val="center"/>
              <w:rPr>
                <w:rFonts w:ascii="Times New Roman" w:hAnsi="Times New Roman" w:eastAsia="宋体" w:cs="Times New Roman"/>
                <w:color w:val="auto"/>
                <w:sz w:val="22"/>
                <w:szCs w:val="24"/>
              </w:rPr>
            </w:pPr>
          </w:p>
        </w:tc>
      </w:tr>
      <w:tr w14:paraId="26409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356" w:type="pct"/>
            <w:vMerge w:val="continue"/>
            <w:vAlign w:val="center"/>
          </w:tcPr>
          <w:p w14:paraId="61D53AE0">
            <w:pPr>
              <w:jc w:val="center"/>
              <w:rPr>
                <w:rFonts w:ascii="Times New Roman" w:hAnsi="Times New Roman" w:eastAsia="宋体" w:cs="Times New Roman"/>
                <w:color w:val="auto"/>
                <w:sz w:val="22"/>
                <w:szCs w:val="24"/>
              </w:rPr>
            </w:pPr>
          </w:p>
        </w:tc>
        <w:tc>
          <w:tcPr>
            <w:tcW w:w="323" w:type="pct"/>
            <w:vMerge w:val="continue"/>
            <w:vAlign w:val="center"/>
          </w:tcPr>
          <w:p w14:paraId="4C40927E">
            <w:pPr>
              <w:jc w:val="center"/>
              <w:rPr>
                <w:rFonts w:ascii="Times New Roman" w:hAnsi="Times New Roman" w:eastAsia="宋体" w:cs="Times New Roman"/>
                <w:color w:val="auto"/>
                <w:sz w:val="22"/>
                <w:szCs w:val="24"/>
              </w:rPr>
            </w:pPr>
          </w:p>
        </w:tc>
        <w:tc>
          <w:tcPr>
            <w:tcW w:w="3380" w:type="pct"/>
            <w:vAlign w:val="center"/>
          </w:tcPr>
          <w:p w14:paraId="6440D3EC">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禁止类：C251精炼石油产品制造、C252煤炭加工、C2621氮肥制造、C2622磷肥制造、C2623钾肥制造，单纯物理分离、提纯、混合、分装的项目不列入禁止类。</w:t>
            </w:r>
          </w:p>
        </w:tc>
        <w:tc>
          <w:tcPr>
            <w:tcW w:w="939" w:type="pct"/>
            <w:vMerge w:val="continue"/>
            <w:vAlign w:val="center"/>
          </w:tcPr>
          <w:p w14:paraId="260EF102">
            <w:pPr>
              <w:jc w:val="center"/>
              <w:rPr>
                <w:rFonts w:ascii="Times New Roman" w:hAnsi="Times New Roman" w:eastAsia="宋体" w:cs="Times New Roman"/>
                <w:color w:val="auto"/>
                <w:sz w:val="22"/>
                <w:szCs w:val="24"/>
              </w:rPr>
            </w:pPr>
          </w:p>
        </w:tc>
      </w:tr>
      <w:tr w14:paraId="046DD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356" w:type="pct"/>
            <w:vMerge w:val="continue"/>
            <w:vAlign w:val="center"/>
          </w:tcPr>
          <w:p w14:paraId="182A9666">
            <w:pPr>
              <w:jc w:val="center"/>
              <w:rPr>
                <w:rFonts w:ascii="Times New Roman" w:hAnsi="Times New Roman" w:eastAsia="宋体" w:cs="Times New Roman"/>
                <w:color w:val="auto"/>
                <w:sz w:val="22"/>
                <w:szCs w:val="24"/>
              </w:rPr>
            </w:pPr>
          </w:p>
        </w:tc>
        <w:tc>
          <w:tcPr>
            <w:tcW w:w="323" w:type="pct"/>
            <w:vMerge w:val="restart"/>
            <w:vAlign w:val="center"/>
          </w:tcPr>
          <w:p w14:paraId="34D87E5A">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配套服务中心</w:t>
            </w:r>
          </w:p>
        </w:tc>
        <w:tc>
          <w:tcPr>
            <w:tcW w:w="3380" w:type="pct"/>
            <w:vAlign w:val="center"/>
          </w:tcPr>
          <w:p w14:paraId="70741E7B">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产业定位：为园区内企业发展提供配套服务（集中供热、供电、应急救援等），适当发展绿色化工产业。C264涂料、油墨、颜料及类似产品制造、C265合成材料制造、C266专用化学产品制造、C268日用化学产品制造。</w:t>
            </w:r>
          </w:p>
        </w:tc>
        <w:tc>
          <w:tcPr>
            <w:tcW w:w="939" w:type="pct"/>
            <w:vMerge w:val="restart"/>
            <w:vAlign w:val="center"/>
          </w:tcPr>
          <w:p w14:paraId="31C24215">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w:t>
            </w:r>
          </w:p>
        </w:tc>
      </w:tr>
      <w:tr w14:paraId="3D5C6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356" w:type="pct"/>
            <w:vMerge w:val="continue"/>
            <w:vAlign w:val="center"/>
          </w:tcPr>
          <w:p w14:paraId="0567F78D">
            <w:pPr>
              <w:jc w:val="center"/>
              <w:rPr>
                <w:rFonts w:ascii="Times New Roman" w:hAnsi="Times New Roman" w:eastAsia="宋体" w:cs="Times New Roman"/>
                <w:color w:val="auto"/>
                <w:sz w:val="22"/>
                <w:szCs w:val="24"/>
              </w:rPr>
            </w:pPr>
          </w:p>
        </w:tc>
        <w:tc>
          <w:tcPr>
            <w:tcW w:w="323" w:type="pct"/>
            <w:vMerge w:val="continue"/>
            <w:vAlign w:val="center"/>
          </w:tcPr>
          <w:p w14:paraId="00909925">
            <w:pPr>
              <w:jc w:val="center"/>
              <w:rPr>
                <w:rFonts w:ascii="Times New Roman" w:hAnsi="Times New Roman" w:eastAsia="宋体" w:cs="Times New Roman"/>
                <w:color w:val="auto"/>
                <w:sz w:val="22"/>
                <w:szCs w:val="24"/>
              </w:rPr>
            </w:pPr>
          </w:p>
        </w:tc>
        <w:tc>
          <w:tcPr>
            <w:tcW w:w="3380" w:type="pct"/>
            <w:vAlign w:val="center"/>
          </w:tcPr>
          <w:p w14:paraId="464FC767">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禁止类：C251精炼石油产品制造、C252煤炭加工、C2621氮肥制造、C2622磷肥制造、C2623钾肥制造，单纯物理分离、提纯、混合、分装的项目不列入禁止类。</w:t>
            </w:r>
          </w:p>
        </w:tc>
        <w:tc>
          <w:tcPr>
            <w:tcW w:w="939" w:type="pct"/>
            <w:vMerge w:val="continue"/>
            <w:vAlign w:val="center"/>
          </w:tcPr>
          <w:p w14:paraId="7DA1A5A3">
            <w:pPr>
              <w:jc w:val="center"/>
              <w:rPr>
                <w:rFonts w:ascii="Times New Roman" w:hAnsi="Times New Roman" w:eastAsia="宋体" w:cs="Times New Roman"/>
                <w:color w:val="auto"/>
                <w:sz w:val="22"/>
                <w:szCs w:val="24"/>
              </w:rPr>
            </w:pPr>
          </w:p>
        </w:tc>
      </w:tr>
      <w:tr w14:paraId="71C85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79" w:type="pct"/>
            <w:gridSpan w:val="2"/>
            <w:vMerge w:val="restart"/>
            <w:vAlign w:val="center"/>
          </w:tcPr>
          <w:p w14:paraId="1CEC719E">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南部片区生物医药产业区</w:t>
            </w:r>
          </w:p>
        </w:tc>
        <w:tc>
          <w:tcPr>
            <w:tcW w:w="3380" w:type="pct"/>
            <w:vAlign w:val="center"/>
          </w:tcPr>
          <w:p w14:paraId="35CF8913">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产业定位：C27生物医药（医药制造），主要发展生物酶制剂、医药中间体、化学药品原料药制造（化学新药）、化学药品制剂制造（制剂）、生物药品制品制造、混配分装、植物医药提取、医疗器械等产业。</w:t>
            </w:r>
          </w:p>
        </w:tc>
        <w:tc>
          <w:tcPr>
            <w:tcW w:w="939" w:type="pct"/>
            <w:vMerge w:val="restart"/>
            <w:vAlign w:val="center"/>
          </w:tcPr>
          <w:p w14:paraId="75CA6D19">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本项目属于</w:t>
            </w:r>
            <w:r>
              <w:rPr>
                <w:rFonts w:hint="eastAsia" w:ascii="Times New Roman" w:hAnsi="Times New Roman" w:eastAsia="宋体" w:cs="Times New Roman"/>
                <w:color w:val="auto"/>
                <w:sz w:val="22"/>
                <w:szCs w:val="24"/>
                <w:lang w:val="en-US" w:eastAsia="zh-CN"/>
              </w:rPr>
              <w:t>C14食品制造业和C13农副食品加工业</w:t>
            </w:r>
            <w:r>
              <w:rPr>
                <w:rFonts w:ascii="Times New Roman" w:hAnsi="Times New Roman" w:eastAsia="宋体" w:cs="Times New Roman"/>
                <w:color w:val="auto"/>
                <w:sz w:val="22"/>
                <w:szCs w:val="24"/>
              </w:rPr>
              <w:t>，主要</w:t>
            </w:r>
            <w:r>
              <w:rPr>
                <w:rFonts w:hint="eastAsia" w:ascii="Times New Roman" w:hAnsi="Times New Roman" w:eastAsia="宋体" w:cs="Times New Roman"/>
                <w:color w:val="auto"/>
                <w:sz w:val="22"/>
                <w:szCs w:val="24"/>
              </w:rPr>
              <w:t>从事</w:t>
            </w:r>
            <w:r>
              <w:rPr>
                <w:rFonts w:hint="eastAsia" w:ascii="Times New Roman" w:hAnsi="Times New Roman" w:eastAsia="宋体" w:cs="Times New Roman"/>
                <w:color w:val="auto"/>
                <w:sz w:val="22"/>
                <w:szCs w:val="24"/>
                <w:lang w:val="en-US" w:eastAsia="zh-CN"/>
              </w:rPr>
              <w:t>液糖和肌醇饲料添加剂的生产</w:t>
            </w:r>
            <w:r>
              <w:rPr>
                <w:rFonts w:hint="eastAsia" w:ascii="Times New Roman" w:hAnsi="Times New Roman" w:eastAsia="宋体" w:cs="Times New Roman"/>
                <w:color w:val="auto"/>
                <w:sz w:val="22"/>
                <w:szCs w:val="24"/>
              </w:rPr>
              <w:t>，</w:t>
            </w:r>
            <w:r>
              <w:rPr>
                <w:rFonts w:hint="eastAsia" w:ascii="Times New Roman" w:hAnsi="Times New Roman" w:eastAsia="宋体" w:cs="Times New Roman"/>
                <w:color w:val="auto"/>
                <w:sz w:val="22"/>
                <w:szCs w:val="24"/>
                <w:lang w:val="en-US" w:eastAsia="zh-CN"/>
              </w:rPr>
              <w:t>不属于准入清单中的限制类和禁止类</w:t>
            </w:r>
            <w:r>
              <w:rPr>
                <w:rFonts w:hint="eastAsia" w:ascii="Times New Roman" w:hAnsi="Times New Roman" w:eastAsia="宋体" w:cs="Times New Roman"/>
                <w:color w:val="auto"/>
                <w:sz w:val="22"/>
                <w:szCs w:val="24"/>
              </w:rPr>
              <w:t>，与产业定位相符合</w:t>
            </w:r>
          </w:p>
        </w:tc>
      </w:tr>
      <w:tr w14:paraId="006DA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79" w:type="pct"/>
            <w:gridSpan w:val="2"/>
            <w:vMerge w:val="continue"/>
            <w:vAlign w:val="center"/>
          </w:tcPr>
          <w:p w14:paraId="2DE71A95">
            <w:pPr>
              <w:jc w:val="center"/>
              <w:rPr>
                <w:rFonts w:ascii="Times New Roman" w:hAnsi="Times New Roman" w:eastAsia="宋体" w:cs="Times New Roman"/>
                <w:color w:val="auto"/>
                <w:sz w:val="22"/>
                <w:szCs w:val="24"/>
              </w:rPr>
            </w:pPr>
          </w:p>
        </w:tc>
        <w:tc>
          <w:tcPr>
            <w:tcW w:w="3380" w:type="pct"/>
            <w:vAlign w:val="center"/>
          </w:tcPr>
          <w:p w14:paraId="15F38599">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限制类：仅单纯物理分离、提纯、混合、分装的C263</w:t>
            </w:r>
            <w:r>
              <w:rPr>
                <w:rFonts w:hint="eastAsia" w:ascii="Times New Roman" w:hAnsi="Times New Roman" w:eastAsia="宋体" w:cs="Times New Roman"/>
                <w:color w:val="auto"/>
                <w:sz w:val="22"/>
                <w:szCs w:val="24"/>
              </w:rPr>
              <w:t>1</w:t>
            </w:r>
            <w:r>
              <w:rPr>
                <w:rFonts w:ascii="Times New Roman" w:hAnsi="Times New Roman" w:eastAsia="宋体" w:cs="Times New Roman"/>
                <w:color w:val="auto"/>
                <w:sz w:val="22"/>
                <w:szCs w:val="24"/>
              </w:rPr>
              <w:t>化学农药制造</w:t>
            </w:r>
          </w:p>
        </w:tc>
        <w:tc>
          <w:tcPr>
            <w:tcW w:w="939" w:type="pct"/>
            <w:vMerge w:val="continue"/>
            <w:vAlign w:val="center"/>
          </w:tcPr>
          <w:p w14:paraId="3A58EC4A">
            <w:pPr>
              <w:jc w:val="center"/>
              <w:rPr>
                <w:rFonts w:ascii="Times New Roman" w:hAnsi="Times New Roman" w:eastAsia="宋体" w:cs="Times New Roman"/>
                <w:color w:val="auto"/>
                <w:sz w:val="22"/>
                <w:szCs w:val="24"/>
              </w:rPr>
            </w:pPr>
          </w:p>
        </w:tc>
      </w:tr>
      <w:tr w14:paraId="43A02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79" w:type="pct"/>
            <w:gridSpan w:val="2"/>
            <w:vMerge w:val="continue"/>
            <w:vAlign w:val="center"/>
          </w:tcPr>
          <w:p w14:paraId="0962D413">
            <w:pPr>
              <w:jc w:val="center"/>
              <w:rPr>
                <w:rFonts w:ascii="Times New Roman" w:hAnsi="Times New Roman" w:eastAsia="宋体" w:cs="Times New Roman"/>
                <w:color w:val="auto"/>
                <w:sz w:val="22"/>
                <w:szCs w:val="24"/>
              </w:rPr>
            </w:pPr>
          </w:p>
        </w:tc>
        <w:tc>
          <w:tcPr>
            <w:tcW w:w="3380" w:type="pct"/>
            <w:vAlign w:val="center"/>
          </w:tcPr>
          <w:p w14:paraId="2F6E8E48">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禁止类：C263</w:t>
            </w:r>
            <w:r>
              <w:rPr>
                <w:rFonts w:hint="eastAsia" w:ascii="Times New Roman" w:hAnsi="Times New Roman" w:eastAsia="宋体" w:cs="Times New Roman"/>
                <w:color w:val="auto"/>
                <w:sz w:val="22"/>
                <w:szCs w:val="24"/>
              </w:rPr>
              <w:t>1</w:t>
            </w:r>
            <w:r>
              <w:rPr>
                <w:rFonts w:ascii="Times New Roman" w:hAnsi="Times New Roman" w:eastAsia="宋体" w:cs="Times New Roman"/>
                <w:color w:val="auto"/>
                <w:sz w:val="22"/>
                <w:szCs w:val="24"/>
              </w:rPr>
              <w:t>化学农药制造（单纯物理分离、提纯、混合、分装的除外）</w:t>
            </w:r>
          </w:p>
        </w:tc>
        <w:tc>
          <w:tcPr>
            <w:tcW w:w="939" w:type="pct"/>
            <w:vMerge w:val="continue"/>
            <w:vAlign w:val="center"/>
          </w:tcPr>
          <w:p w14:paraId="3F553A08">
            <w:pPr>
              <w:jc w:val="center"/>
              <w:rPr>
                <w:rFonts w:ascii="Times New Roman" w:hAnsi="Times New Roman" w:eastAsia="宋体" w:cs="Times New Roman"/>
                <w:color w:val="auto"/>
                <w:sz w:val="22"/>
                <w:szCs w:val="24"/>
              </w:rPr>
            </w:pPr>
          </w:p>
        </w:tc>
      </w:tr>
      <w:tr w14:paraId="3C5AF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79" w:type="pct"/>
            <w:gridSpan w:val="2"/>
            <w:vMerge w:val="restart"/>
            <w:vAlign w:val="center"/>
          </w:tcPr>
          <w:p w14:paraId="72F48E12">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南部片区综合工业区</w:t>
            </w:r>
          </w:p>
        </w:tc>
        <w:tc>
          <w:tcPr>
            <w:tcW w:w="3380" w:type="pct"/>
            <w:vAlign w:val="center"/>
          </w:tcPr>
          <w:p w14:paraId="2AFB2D9E">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产业定位：主要发展装备制造、食品加工。</w:t>
            </w:r>
          </w:p>
          <w:p w14:paraId="0111E197">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1）装备制造：重点发展以汽车模具制造和汽车钢结构研发与生产的汽配产业，积极引进电气机械及器材制造、仪器及相关设备制造、专用机械制造等先进装备制造产业。C33金属制品业、C362汽车用发动机制造、C365电车制造、C367汽车零部件及配件制造、C371铁路运输设备制造、C38电气机械和器材制造业等。</w:t>
            </w:r>
          </w:p>
          <w:p w14:paraId="26081382">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2）食品加工：重点发展特色休闲食品、调味品、果蔬食品、粮油加工。C131谷物磨制、C132饲料加工、C133植物油加工、C136水产品加工、C137蔬菜、菌类、水果和坚果加工、C139其他农副食品加工、C14食品制造业、C152饮料制造</w:t>
            </w:r>
          </w:p>
        </w:tc>
        <w:tc>
          <w:tcPr>
            <w:tcW w:w="939" w:type="pct"/>
            <w:vMerge w:val="restart"/>
            <w:vAlign w:val="center"/>
          </w:tcPr>
          <w:p w14:paraId="1EE117CE">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r>
      <w:tr w14:paraId="4FC8E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79" w:type="pct"/>
            <w:gridSpan w:val="2"/>
            <w:vMerge w:val="continue"/>
            <w:vAlign w:val="center"/>
          </w:tcPr>
          <w:p w14:paraId="084D4C4B">
            <w:pPr>
              <w:adjustRightInd w:val="0"/>
              <w:snapToGrid w:val="0"/>
              <w:spacing w:line="360" w:lineRule="auto"/>
              <w:ind w:firstLine="420" w:firstLineChars="200"/>
              <w:jc w:val="center"/>
              <w:rPr>
                <w:rFonts w:ascii="Times New Roman" w:hAnsi="Times New Roman" w:eastAsia="宋体" w:cs="Times New Roman"/>
                <w:color w:val="auto"/>
                <w:szCs w:val="20"/>
              </w:rPr>
            </w:pPr>
          </w:p>
        </w:tc>
        <w:tc>
          <w:tcPr>
            <w:tcW w:w="3380" w:type="pct"/>
            <w:vAlign w:val="center"/>
          </w:tcPr>
          <w:p w14:paraId="18748C0D">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限制类：C1461味精制造、C1462酱油、食醋及类似制品制造等异味严重的项目</w:t>
            </w:r>
          </w:p>
        </w:tc>
        <w:tc>
          <w:tcPr>
            <w:tcW w:w="939" w:type="pct"/>
            <w:vMerge w:val="continue"/>
            <w:vAlign w:val="center"/>
          </w:tcPr>
          <w:p w14:paraId="4A2D880B">
            <w:pPr>
              <w:adjustRightInd w:val="0"/>
              <w:snapToGrid w:val="0"/>
              <w:spacing w:line="360" w:lineRule="auto"/>
              <w:ind w:firstLine="420" w:firstLineChars="200"/>
              <w:jc w:val="center"/>
              <w:rPr>
                <w:rFonts w:ascii="Times New Roman" w:hAnsi="Times New Roman" w:eastAsia="宋体" w:cs="Times New Roman"/>
                <w:color w:val="auto"/>
                <w:szCs w:val="20"/>
              </w:rPr>
            </w:pPr>
          </w:p>
        </w:tc>
      </w:tr>
      <w:tr w14:paraId="75ED5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79" w:type="pct"/>
            <w:gridSpan w:val="2"/>
            <w:vMerge w:val="continue"/>
            <w:vAlign w:val="center"/>
          </w:tcPr>
          <w:p w14:paraId="6930B163">
            <w:pPr>
              <w:adjustRightInd w:val="0"/>
              <w:snapToGrid w:val="0"/>
              <w:spacing w:line="360" w:lineRule="auto"/>
              <w:ind w:firstLine="420" w:firstLineChars="200"/>
              <w:jc w:val="center"/>
              <w:rPr>
                <w:rFonts w:ascii="Times New Roman" w:hAnsi="Times New Roman" w:eastAsia="宋体" w:cs="Times New Roman"/>
                <w:color w:val="auto"/>
                <w:szCs w:val="20"/>
              </w:rPr>
            </w:pPr>
          </w:p>
        </w:tc>
        <w:tc>
          <w:tcPr>
            <w:tcW w:w="3380" w:type="pct"/>
            <w:vAlign w:val="center"/>
          </w:tcPr>
          <w:p w14:paraId="0C120E6A">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禁止类：（1）涉重金属重点行业（环固体〔2022〕17号中六行业）。（2）C31黑色金属冶炼和压延加工业（C313钢压延加工除外）、C32有色金属冶炼和压延加工业（C325有色金属压延加工除外）。</w:t>
            </w:r>
          </w:p>
        </w:tc>
        <w:tc>
          <w:tcPr>
            <w:tcW w:w="939" w:type="pct"/>
            <w:vMerge w:val="continue"/>
            <w:vAlign w:val="center"/>
          </w:tcPr>
          <w:p w14:paraId="2BBFBE1E">
            <w:pPr>
              <w:adjustRightInd w:val="0"/>
              <w:snapToGrid w:val="0"/>
              <w:spacing w:line="360" w:lineRule="auto"/>
              <w:ind w:firstLine="420" w:firstLineChars="200"/>
              <w:jc w:val="center"/>
              <w:rPr>
                <w:rFonts w:ascii="Times New Roman" w:hAnsi="Times New Roman" w:eastAsia="宋体" w:cs="Times New Roman"/>
                <w:color w:val="auto"/>
                <w:szCs w:val="20"/>
              </w:rPr>
            </w:pPr>
          </w:p>
        </w:tc>
      </w:tr>
    </w:tbl>
    <w:p w14:paraId="2CDFBB46">
      <w:pPr>
        <w:pStyle w:val="5"/>
        <w:bidi w:val="0"/>
      </w:pPr>
      <w:r>
        <w:rPr>
          <w:rFonts w:hint="eastAsia"/>
        </w:rPr>
        <w:t>1.4.3.2与津市高新技术产业开发区产业定位的符合性分析</w:t>
      </w:r>
    </w:p>
    <w:p w14:paraId="1E2048AB">
      <w:pPr>
        <w:spacing w:line="360" w:lineRule="auto"/>
        <w:ind w:firstLine="480" w:firstLineChars="200"/>
        <w:rPr>
          <w:rFonts w:ascii="Times New Roman" w:hAnsi="Times New Roman" w:eastAsia="宋体" w:cs="宋体"/>
          <w:color w:val="FF0000"/>
          <w:sz w:val="24"/>
          <w:szCs w:val="24"/>
        </w:rPr>
      </w:pPr>
      <w:r>
        <w:rPr>
          <w:rFonts w:hint="eastAsia" w:ascii="Times New Roman" w:hAnsi="Times New Roman" w:eastAsia="宋体" w:cs="宋体"/>
          <w:color w:val="auto"/>
          <w:sz w:val="24"/>
          <w:szCs w:val="24"/>
        </w:rPr>
        <w:t>根据</w:t>
      </w:r>
      <w:r>
        <w:rPr>
          <w:rFonts w:ascii="Times New Roman" w:hAnsi="Times New Roman" w:eastAsia="宋体" w:cs="宋体"/>
          <w:color w:val="auto"/>
          <w:sz w:val="24"/>
          <w:szCs w:val="24"/>
        </w:rPr>
        <w:t>《津市高新技术产业开发区总体规划（2016-2025）》（湖南省建筑设计院，2017年2月）</w:t>
      </w:r>
      <w:r>
        <w:rPr>
          <w:rFonts w:hint="eastAsia" w:ascii="Times New Roman" w:hAnsi="Times New Roman" w:eastAsia="宋体" w:cs="宋体"/>
          <w:color w:val="auto"/>
          <w:sz w:val="24"/>
          <w:szCs w:val="24"/>
        </w:rPr>
        <w:t>、《津市高新技术产业开发区规划修编环境影响报告书》（报批稿），津市高新区产业功能区分为综合工业区、生物医药区、食品加工区、装备制造区、化工产业区、物流区、盐化工区。本项目产品属于为</w:t>
      </w:r>
      <w:r>
        <w:rPr>
          <w:rFonts w:hint="eastAsia" w:ascii="Times New Roman" w:hAnsi="Times New Roman" w:eastAsia="宋体" w:cs="宋体"/>
          <w:color w:val="auto"/>
          <w:sz w:val="24"/>
          <w:szCs w:val="24"/>
          <w:lang w:val="en-US" w:eastAsia="zh-CN"/>
        </w:rPr>
        <w:t>食品制造业和农副食品加工业</w:t>
      </w:r>
      <w:r>
        <w:rPr>
          <w:rFonts w:hint="eastAsia" w:ascii="Times New Roman" w:hAnsi="Times New Roman" w:eastAsia="宋体" w:cs="宋体"/>
          <w:color w:val="auto"/>
          <w:sz w:val="24"/>
          <w:szCs w:val="24"/>
        </w:rPr>
        <w:t>，不属于限制类，符合园区产业发展重点及产业空间布局。</w:t>
      </w:r>
    </w:p>
    <w:p w14:paraId="57909299">
      <w:pPr>
        <w:pStyle w:val="5"/>
        <w:bidi w:val="0"/>
        <w:rPr>
          <w:rFonts w:ascii="Times New Roman" w:hAnsi="Times New Roman" w:eastAsia="宋体" w:cs="Times New Roman"/>
          <w:b/>
          <w:color w:val="FF0000"/>
          <w:kern w:val="0"/>
          <w:sz w:val="24"/>
          <w:szCs w:val="24"/>
        </w:rPr>
      </w:pPr>
      <w:r>
        <w:rPr>
          <w:rStyle w:val="80"/>
          <w:rFonts w:hint="eastAsia"/>
          <w:b/>
          <w:bCs/>
        </w:rPr>
        <w:t>1.4.3.3与</w:t>
      </w:r>
      <w:r>
        <w:rPr>
          <w:rStyle w:val="80"/>
          <w:b/>
          <w:bCs/>
        </w:rPr>
        <w:t>《津市高新技术产业开发区规划修编环境影响报告书》审查意见的函</w:t>
      </w:r>
      <w:r>
        <w:rPr>
          <w:rFonts w:ascii="Times New Roman" w:hAnsi="Times New Roman" w:eastAsia="宋体" w:cs="Times New Roman"/>
          <w:b/>
          <w:color w:val="auto"/>
          <w:kern w:val="0"/>
          <w:sz w:val="24"/>
          <w:szCs w:val="24"/>
        </w:rPr>
        <w:t>（湘环评</w:t>
      </w:r>
      <w:r>
        <w:rPr>
          <w:rFonts w:hint="eastAsia" w:ascii="Times New Roman" w:hAnsi="Times New Roman" w:eastAsia="宋体" w:cs="Times New Roman"/>
          <w:b/>
          <w:color w:val="auto"/>
          <w:kern w:val="0"/>
          <w:sz w:val="24"/>
          <w:szCs w:val="24"/>
        </w:rPr>
        <w:t>函〔2022〕12</w:t>
      </w:r>
      <w:r>
        <w:rPr>
          <w:rFonts w:ascii="Times New Roman" w:hAnsi="Times New Roman" w:eastAsia="宋体" w:cs="Times New Roman"/>
          <w:b/>
          <w:color w:val="auto"/>
          <w:kern w:val="0"/>
          <w:sz w:val="24"/>
          <w:szCs w:val="24"/>
        </w:rPr>
        <w:t>号）</w:t>
      </w:r>
      <w:r>
        <w:rPr>
          <w:rFonts w:hint="eastAsia" w:ascii="Times New Roman" w:hAnsi="Times New Roman" w:eastAsia="宋体" w:cs="Times New Roman"/>
          <w:b/>
          <w:color w:val="auto"/>
          <w:kern w:val="0"/>
          <w:sz w:val="24"/>
          <w:szCs w:val="24"/>
        </w:rPr>
        <w:t>的符合性分析</w:t>
      </w:r>
    </w:p>
    <w:p w14:paraId="6054E68D">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本项目位于津市高新技术产业开发区，本项目与《津市高新技术产业开发区规划修编环境影响报告书》审查意见的函(湘环评函〔2022〕12号)的符合性分析见下表。</w:t>
      </w:r>
    </w:p>
    <w:p w14:paraId="341D8970">
      <w:pPr>
        <w:pStyle w:val="6"/>
        <w:bidi w:val="0"/>
      </w:pPr>
      <w:r>
        <w:rPr>
          <w:rFonts w:hint="eastAsia"/>
        </w:rPr>
        <w:t>表1.4.3-2本项目与《津市高新技术产业开发区规划修编环境影响报告书》审查意见的函（湘环评函〔2022〕12号）的符合性分析一览表</w:t>
      </w:r>
    </w:p>
    <w:tbl>
      <w:tblPr>
        <w:tblStyle w:val="41"/>
        <w:tblW w:w="493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40"/>
        <w:gridCol w:w="2504"/>
        <w:gridCol w:w="1364"/>
      </w:tblGrid>
      <w:tr w14:paraId="59C09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9" w:type="pct"/>
            <w:vAlign w:val="center"/>
          </w:tcPr>
          <w:p w14:paraId="6C2E5BD6">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审查意见要求</w:t>
            </w:r>
          </w:p>
        </w:tc>
        <w:tc>
          <w:tcPr>
            <w:tcW w:w="1489" w:type="pct"/>
            <w:vAlign w:val="center"/>
          </w:tcPr>
          <w:p w14:paraId="49860BE4">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lang w:val="zh-CN"/>
              </w:rPr>
              <w:t>本项目实际情况</w:t>
            </w:r>
          </w:p>
        </w:tc>
        <w:tc>
          <w:tcPr>
            <w:tcW w:w="811" w:type="pct"/>
            <w:vAlign w:val="center"/>
          </w:tcPr>
          <w:p w14:paraId="3682FA14">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符合性分析</w:t>
            </w:r>
          </w:p>
        </w:tc>
      </w:tr>
      <w:tr w14:paraId="41707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9" w:type="pct"/>
            <w:vAlign w:val="center"/>
          </w:tcPr>
          <w:p w14:paraId="4CC7BB21">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严格环境准入，优化园区产业结构。园区产业引进应严格遵循国家关于“两高”项目的相关政策要求，落实园区“三线一单”环境准入要求，严格执行《报告书》提出的产业定位和产业准入清单。园区不得新引进《关于进一步加强重金属污染防控的意见》（环固体〔2022〕17号）中的重点行业项目。</w:t>
            </w:r>
          </w:p>
        </w:tc>
        <w:tc>
          <w:tcPr>
            <w:tcW w:w="1489" w:type="pct"/>
            <w:vAlign w:val="center"/>
          </w:tcPr>
          <w:p w14:paraId="2562CBFD">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本项目不属于“两高”项目，符合园区环境准入要求交业定位和产业准入清单；本项目不属于《关于进一步加强重金属污染防控的意见》（环固体〔2022〕17号）中的重点行业项目。</w:t>
            </w:r>
          </w:p>
        </w:tc>
        <w:tc>
          <w:tcPr>
            <w:tcW w:w="811" w:type="pct"/>
            <w:vAlign w:val="center"/>
          </w:tcPr>
          <w:p w14:paraId="5A386B12">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符合</w:t>
            </w:r>
          </w:p>
        </w:tc>
      </w:tr>
      <w:tr w14:paraId="65B97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9" w:type="pct"/>
            <w:vAlign w:val="center"/>
          </w:tcPr>
          <w:p w14:paraId="1310402D">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落实管控措施，加强园区排污管理。完善污水管网建设，做好雨污分流，污污分流，确保园区各片区生产生活废水应收尽收，集中排入污水处理厂，园区不得超过污水处理厂的处理能力和排污口审批所规定的废水排放量引进项目，园区化工片区、生物医药片区雨水不得直接排入团湖、胥家湖。优化能源结构，充分发挥园区集中供热对中小锅炉的替代作用，加强大气污染防治，加强对园区企业V0Cs排放的治理，重点控制VOCs、恶臭等特征污染物的无组织排放，在园区中部团湖安置区常年上风向应严格限制新引进以恶臭、异味等废气排放为主的建设项目并强化对周边已有气型污染项目的治理。建立园区固废规范化管理体系，做好工业固体废物和生活垃圾的分类收集、转运、综合利用和无害化处理。对危险废物应严格按照国家有关规定综合利用或妥善处置，对危险废物产生企业和经营单位，应强化日常环境监管，园区须严格落实排污许可制度和污染物排放总量控制，督促入园企业及时完成竣工环境保护验收工作，推动入园企业开展清洁生产审核。园区应落实第三方环境治理工作相关政策要求，强化对化工片区及重点产排污企业的监管与服务。</w:t>
            </w:r>
          </w:p>
        </w:tc>
        <w:tc>
          <w:tcPr>
            <w:tcW w:w="1489" w:type="pct"/>
            <w:vAlign w:val="center"/>
          </w:tcPr>
          <w:p w14:paraId="717AC946">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本项目生产废水、生活废水、初期雨水处理后经市政污水管网进入津市高新区工业污水处理厂，不直接排入团湖、胥家湖。</w:t>
            </w:r>
          </w:p>
          <w:p w14:paraId="0E8874D9">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本项目产生的一般工业固体废物外售综合利用，危险废物委托有资质的单位处置，生活垃圾交由环卫部门处置。项目建成后将及时完成竣工环境保护验收。</w:t>
            </w:r>
          </w:p>
        </w:tc>
        <w:tc>
          <w:tcPr>
            <w:tcW w:w="811" w:type="pct"/>
            <w:vAlign w:val="center"/>
          </w:tcPr>
          <w:p w14:paraId="23F76A65">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符合</w:t>
            </w:r>
          </w:p>
        </w:tc>
      </w:tr>
      <w:tr w14:paraId="48F19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9" w:type="pct"/>
          </w:tcPr>
          <w:p w14:paraId="17D91D59">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做好园区及周边控规，减少和保护环境敏感目标。严格做好控规，杜绝在规划的工业用地上新增环境敏感目标，园区内不得新规划集中居住用地、不得扩大安置区规模，园区开发过程中居民拆迁安置应严格到位，防止发生居民再次安置和次生环境问题。按照《嘉山风景名胜区总体规划（2017-2030）（2021修改）》要求，胥家湖靠近园区一侧沿岸应建设隔离防护绿带，沿岸50米陆域范围不得布置生产性厂房及污水处理设施。园区管委会与地方政府应共同做好控规，新洲镇镇区邻园区边界300米范围内原则上不得规划新增新建居住区、学校、医院等环境敏感目标。对于具体项目环评设置防护距离和拆迁要求的，要确保予以落实。</w:t>
            </w:r>
          </w:p>
        </w:tc>
        <w:tc>
          <w:tcPr>
            <w:tcW w:w="1489" w:type="pct"/>
            <w:vAlign w:val="center"/>
          </w:tcPr>
          <w:p w14:paraId="7F47A742">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项目生产性厂房及污水处理设施临近胥家湖的距离大于100米且不处于团湖安置小区上风向。本项目不属于涉重金属重点行业项目，所在位置不属于临近居民区、学校的产业区。</w:t>
            </w:r>
          </w:p>
        </w:tc>
        <w:tc>
          <w:tcPr>
            <w:tcW w:w="811" w:type="pct"/>
            <w:vAlign w:val="center"/>
          </w:tcPr>
          <w:p w14:paraId="7AE89D90">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符合</w:t>
            </w:r>
          </w:p>
        </w:tc>
      </w:tr>
      <w:tr w14:paraId="45B76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9" w:type="pct"/>
          </w:tcPr>
          <w:p w14:paraId="764638F1">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做好园区建设期生态保护和水土保持。施工期对土石方开挖、堆存及回填要实施围挡、护坡等措施，裸露地及时恢复植被，防止水土流失，杜绝后续施工建设对地表水体的污染。</w:t>
            </w:r>
          </w:p>
        </w:tc>
        <w:tc>
          <w:tcPr>
            <w:tcW w:w="1489" w:type="pct"/>
            <w:vAlign w:val="center"/>
          </w:tcPr>
          <w:p w14:paraId="7F036830">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本项目施工期</w:t>
            </w:r>
            <w:r>
              <w:rPr>
                <w:rFonts w:hint="eastAsia" w:ascii="Times New Roman" w:hAnsi="Times New Roman" w:eastAsia="宋体" w:cs="Times New Roman"/>
                <w:color w:val="auto"/>
                <w:sz w:val="22"/>
                <w:szCs w:val="24"/>
                <w:lang w:val="en-US" w:eastAsia="zh-CN"/>
              </w:rPr>
              <w:t>仅为设施设备的拆除和安装，无土石方开挖，不会造成水土流失</w:t>
            </w:r>
            <w:r>
              <w:rPr>
                <w:rFonts w:hint="eastAsia" w:ascii="Times New Roman" w:hAnsi="Times New Roman" w:eastAsia="宋体" w:cs="Times New Roman"/>
                <w:color w:val="auto"/>
                <w:sz w:val="22"/>
                <w:szCs w:val="24"/>
              </w:rPr>
              <w:t>。</w:t>
            </w:r>
          </w:p>
        </w:tc>
        <w:tc>
          <w:tcPr>
            <w:tcW w:w="811" w:type="pct"/>
            <w:vAlign w:val="center"/>
          </w:tcPr>
          <w:p w14:paraId="40C0F658">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符合</w:t>
            </w:r>
          </w:p>
        </w:tc>
      </w:tr>
    </w:tbl>
    <w:p w14:paraId="26EB4F53">
      <w:pPr>
        <w:spacing w:line="360" w:lineRule="auto"/>
        <w:ind w:firstLine="480" w:firstLineChars="200"/>
        <w:rPr>
          <w:rFonts w:ascii="Times New Roman" w:hAnsi="Times New Roman" w:eastAsia="Times New Roman" w:cs="宋体"/>
          <w:color w:val="auto"/>
          <w:sz w:val="24"/>
          <w:szCs w:val="24"/>
          <w:lang w:bidi="zh-CN"/>
        </w:rPr>
      </w:pPr>
      <w:r>
        <w:rPr>
          <w:rFonts w:hint="eastAsia" w:ascii="宋体" w:hAnsi="宋体" w:eastAsia="宋体" w:cs="宋体"/>
          <w:color w:val="auto"/>
          <w:sz w:val="24"/>
          <w:szCs w:val="24"/>
          <w:lang w:bidi="zh-CN"/>
        </w:rPr>
        <w:t>综上所述，本项目的建设符合《津市高新技术产业开发区规划修编环境影响报告书》审查意见的函（湘环评函〔</w:t>
      </w:r>
      <w:r>
        <w:rPr>
          <w:rFonts w:hint="eastAsia" w:ascii="Times New Roman" w:hAnsi="Times New Roman" w:eastAsia="Times New Roman" w:cs="宋体"/>
          <w:color w:val="auto"/>
          <w:sz w:val="24"/>
          <w:szCs w:val="24"/>
          <w:lang w:bidi="zh-CN"/>
        </w:rPr>
        <w:t>2022</w:t>
      </w:r>
      <w:r>
        <w:rPr>
          <w:rFonts w:hint="eastAsia" w:ascii="Cambria Math" w:hAnsi="Cambria Math" w:eastAsia="Cambria Math" w:cs="Cambria Math"/>
          <w:color w:val="auto"/>
          <w:sz w:val="24"/>
          <w:szCs w:val="24"/>
          <w:lang w:bidi="zh-CN"/>
        </w:rPr>
        <w:t>〕</w:t>
      </w:r>
      <w:r>
        <w:rPr>
          <w:rFonts w:hint="eastAsia" w:ascii="Times New Roman" w:hAnsi="Times New Roman" w:eastAsia="Times New Roman" w:cs="宋体"/>
          <w:color w:val="auto"/>
          <w:sz w:val="24"/>
          <w:szCs w:val="24"/>
          <w:lang w:bidi="zh-CN"/>
        </w:rPr>
        <w:t>12</w:t>
      </w:r>
      <w:r>
        <w:rPr>
          <w:rFonts w:hint="eastAsia" w:ascii="宋体" w:hAnsi="宋体" w:eastAsia="宋体" w:cs="宋体"/>
          <w:color w:val="auto"/>
          <w:sz w:val="24"/>
          <w:szCs w:val="24"/>
          <w:lang w:bidi="zh-CN"/>
        </w:rPr>
        <w:t>号）的要求。</w:t>
      </w:r>
    </w:p>
    <w:p w14:paraId="2C4EDCC6">
      <w:pPr>
        <w:pStyle w:val="5"/>
        <w:bidi w:val="0"/>
      </w:pPr>
      <w:r>
        <w:rPr>
          <w:rFonts w:hint="eastAsia"/>
        </w:rPr>
        <w:t>1.4.3.4与《津市高新技术产业开发区产业布局调整规划环境影响报告书》审查意见的函（湘环评函〔2023〕23号）符合性分析</w:t>
      </w:r>
    </w:p>
    <w:p w14:paraId="6878658E">
      <w:pPr>
        <w:spacing w:line="360" w:lineRule="auto"/>
        <w:ind w:firstLine="480" w:firstLineChars="200"/>
        <w:rPr>
          <w:rFonts w:ascii="Times New Roman" w:hAnsi="Times New Roman" w:eastAsia="Times New Roman" w:cs="宋体"/>
          <w:color w:val="auto"/>
          <w:sz w:val="24"/>
          <w:szCs w:val="24"/>
          <w:lang w:val="zh-CN" w:bidi="zh-CN"/>
        </w:rPr>
      </w:pPr>
      <w:r>
        <w:rPr>
          <w:rFonts w:hint="eastAsia" w:ascii="宋体" w:hAnsi="宋体" w:eastAsia="宋体" w:cs="宋体"/>
          <w:color w:val="auto"/>
          <w:sz w:val="24"/>
          <w:szCs w:val="24"/>
          <w:lang w:bidi="zh-CN"/>
        </w:rPr>
        <w:t>本</w:t>
      </w:r>
      <w:r>
        <w:rPr>
          <w:rFonts w:hint="eastAsia" w:ascii="宋体" w:hAnsi="宋体" w:eastAsia="宋体" w:cs="宋体"/>
          <w:color w:val="auto"/>
          <w:sz w:val="24"/>
          <w:szCs w:val="24"/>
          <w:lang w:val="zh-CN" w:bidi="zh-CN"/>
        </w:rPr>
        <w:t>项目与《津市高新技术产业开发区产业布局调整规划环境影响报告书》审查意见的函（湘环评函〔</w:t>
      </w:r>
      <w:r>
        <w:rPr>
          <w:rFonts w:hint="eastAsia" w:ascii="Times New Roman" w:hAnsi="Times New Roman" w:eastAsia="Times New Roman" w:cs="宋体"/>
          <w:color w:val="auto"/>
          <w:sz w:val="24"/>
          <w:szCs w:val="24"/>
          <w:lang w:val="zh-CN" w:bidi="zh-CN"/>
        </w:rPr>
        <w:t>2023</w:t>
      </w:r>
      <w:r>
        <w:rPr>
          <w:rFonts w:hint="eastAsia" w:ascii="Cambria Math" w:hAnsi="Cambria Math" w:eastAsia="Cambria Math" w:cs="Cambria Math"/>
          <w:color w:val="auto"/>
          <w:sz w:val="24"/>
          <w:szCs w:val="24"/>
          <w:lang w:val="zh-CN" w:bidi="zh-CN"/>
        </w:rPr>
        <w:t>〕</w:t>
      </w:r>
      <w:r>
        <w:rPr>
          <w:rFonts w:hint="eastAsia" w:ascii="Times New Roman" w:hAnsi="Times New Roman" w:eastAsia="Times New Roman" w:cs="宋体"/>
          <w:color w:val="auto"/>
          <w:sz w:val="24"/>
          <w:szCs w:val="24"/>
          <w:lang w:val="zh-CN" w:bidi="zh-CN"/>
        </w:rPr>
        <w:t>23</w:t>
      </w:r>
      <w:r>
        <w:rPr>
          <w:rFonts w:hint="eastAsia" w:ascii="宋体" w:hAnsi="宋体" w:eastAsia="宋体" w:cs="宋体"/>
          <w:color w:val="auto"/>
          <w:sz w:val="24"/>
          <w:szCs w:val="24"/>
          <w:lang w:val="zh-CN" w:bidi="zh-CN"/>
        </w:rPr>
        <w:t>号）相符性分析见</w:t>
      </w:r>
      <w:r>
        <w:rPr>
          <w:rFonts w:hint="eastAsia" w:ascii="宋体" w:hAnsi="宋体" w:eastAsia="宋体" w:cs="宋体"/>
          <w:color w:val="auto"/>
          <w:sz w:val="24"/>
          <w:szCs w:val="24"/>
          <w:lang w:bidi="zh-CN"/>
        </w:rPr>
        <w:t>下表</w:t>
      </w:r>
      <w:r>
        <w:rPr>
          <w:rFonts w:hint="eastAsia" w:ascii="宋体" w:hAnsi="宋体" w:eastAsia="宋体" w:cs="宋体"/>
          <w:color w:val="auto"/>
          <w:sz w:val="24"/>
          <w:szCs w:val="24"/>
          <w:lang w:val="zh-CN" w:bidi="zh-CN"/>
        </w:rPr>
        <w:t>。</w:t>
      </w:r>
    </w:p>
    <w:p w14:paraId="6DDCD951">
      <w:pPr>
        <w:pStyle w:val="6"/>
        <w:bidi w:val="0"/>
        <w:rPr>
          <w:rFonts w:ascii="Times New Roman" w:hAnsi="Times New Roman" w:eastAsia="宋体" w:cs="Times New Roman"/>
          <w:b/>
          <w:bCs/>
          <w:color w:val="auto"/>
          <w:szCs w:val="24"/>
        </w:rPr>
      </w:pPr>
      <w:r>
        <w:rPr>
          <w:rFonts w:hint="eastAsia"/>
        </w:rPr>
        <w:t>表1.4.3-3    本项目与《津市高新技术产业开发区产业布局调整规划环境影响报告书》审查意见的函（湘环评函〔2023〕23号）的符合性分析一览表</w:t>
      </w:r>
    </w:p>
    <w:tbl>
      <w:tblPr>
        <w:tblStyle w:val="41"/>
        <w:tblW w:w="493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59"/>
        <w:gridCol w:w="1805"/>
        <w:gridCol w:w="1144"/>
      </w:tblGrid>
      <w:tr w14:paraId="24C02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45" w:type="pct"/>
            <w:vAlign w:val="center"/>
          </w:tcPr>
          <w:p w14:paraId="4C89E55F">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审查意见要求</w:t>
            </w:r>
          </w:p>
        </w:tc>
        <w:tc>
          <w:tcPr>
            <w:tcW w:w="1073" w:type="pct"/>
            <w:vAlign w:val="center"/>
          </w:tcPr>
          <w:p w14:paraId="61314B8C">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lang w:val="zh-CN"/>
              </w:rPr>
              <w:t>本项目实际情况</w:t>
            </w:r>
          </w:p>
        </w:tc>
        <w:tc>
          <w:tcPr>
            <w:tcW w:w="680" w:type="pct"/>
            <w:vAlign w:val="center"/>
          </w:tcPr>
          <w:p w14:paraId="3B2C1220">
            <w:pPr>
              <w:jc w:val="center"/>
              <w:rPr>
                <w:rFonts w:ascii="Times New Roman" w:hAnsi="Times New Roman" w:eastAsia="宋体" w:cs="Times New Roman"/>
                <w:color w:val="auto"/>
                <w:sz w:val="22"/>
                <w:szCs w:val="24"/>
                <w:lang w:val="zh-CN"/>
              </w:rPr>
            </w:pPr>
            <w:r>
              <w:rPr>
                <w:rFonts w:hint="eastAsia" w:ascii="Times New Roman" w:hAnsi="Times New Roman" w:eastAsia="宋体" w:cs="Times New Roman"/>
                <w:color w:val="auto"/>
                <w:sz w:val="22"/>
                <w:szCs w:val="24"/>
              </w:rPr>
              <w:t>符合性分析</w:t>
            </w:r>
          </w:p>
        </w:tc>
      </w:tr>
      <w:tr w14:paraId="69EB0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45" w:type="pct"/>
            <w:vAlign w:val="center"/>
          </w:tcPr>
          <w:p w14:paraId="7BC17BB6">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严格环境准入，优化园区产业结构。严格落实《长江保护法》《长江经济带发展负面清单》及其相关条款的修订和释义要求，后续法律法规及相关政策有新的禁止和限制性要求的，应严格予以执行。园区产业引进应严格遵循国、省关于“两高”项目的相关政策要求，落实园区“三线一单”环境准入要求，严格执行《报告书》提出的产业定位和产业准入清单。</w:t>
            </w:r>
          </w:p>
        </w:tc>
        <w:tc>
          <w:tcPr>
            <w:tcW w:w="1073" w:type="pct"/>
            <w:vAlign w:val="center"/>
          </w:tcPr>
          <w:p w14:paraId="48B3E1D7">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本项目不属于“两高”项目，符合《报告书》提出的环境准入要求交业定位和产业准入清单，符合“三线一单”环境准入要求。</w:t>
            </w:r>
          </w:p>
        </w:tc>
        <w:tc>
          <w:tcPr>
            <w:tcW w:w="680" w:type="pct"/>
            <w:vAlign w:val="center"/>
          </w:tcPr>
          <w:p w14:paraId="37EBBE29">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符合</w:t>
            </w:r>
          </w:p>
        </w:tc>
      </w:tr>
      <w:tr w14:paraId="6390B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45" w:type="pct"/>
            <w:vAlign w:val="center"/>
          </w:tcPr>
          <w:p w14:paraId="78B40B5F">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落实管控措施，加强园区排污管理。完善污水管网建设，做好雨污分流，污污分流，确保园区各片区生产生活废水应收尽收，集中排入污水处理厂处理，园区不得超过污水处理厂的处理能力和排污口审批所规定的废水排放量引进项目，化工片区应对照我省化工园区污水收集处理规范化的相关要求完善设施，达到一企一管、明管输送可视可监测的要求，化工片区初期雨水应经收集后送污水处理厂处理，杜绝超标废水排入团湖，加快关闭胥嘉湖沿线的雨水排口，确保雨水不得排入胥嘉湖。优化能源结构，充分发挥园区集中供热对中小锅炉的替代作用，加强大气污染防治，加强对园区企业V0Cs排放的治理，重点控制V0Cs、恶臭等特征污染物的无组织排放，督促相关化工企业按要求做好挥发性有机物泄漏检测与修复（LDAR）。建立园区固废规范化管理体系，做好工业固体废物和生活垃圾的分类收集、转运、综合利用和无害化处理。对危险废物应严格按照国家有关规定综合利用或妥善处置，对危险废物产生企业和经营单位，应强化日常环境监管。园区须严格落实排污许可制度和污染物排放总量控制，督促入园企业及时完成竣工环境保护验收工作，推动入园企业开展清洁生产审核。园区应落实第三方环境治理工作相关政策要求，强化对化工片区及重点产排污企业的监管与服务。</w:t>
            </w:r>
          </w:p>
        </w:tc>
        <w:tc>
          <w:tcPr>
            <w:tcW w:w="1073" w:type="pct"/>
            <w:vAlign w:val="center"/>
          </w:tcPr>
          <w:p w14:paraId="2E2528E9">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本项目生产废水</w:t>
            </w:r>
            <w:r>
              <w:rPr>
                <w:rFonts w:hint="eastAsia" w:ascii="Times New Roman" w:hAnsi="Times New Roman" w:eastAsia="宋体" w:cs="Times New Roman"/>
                <w:color w:val="auto"/>
                <w:sz w:val="22"/>
                <w:szCs w:val="24"/>
              </w:rPr>
              <w:t>、</w:t>
            </w:r>
            <w:r>
              <w:rPr>
                <w:rFonts w:ascii="Times New Roman" w:hAnsi="Times New Roman" w:eastAsia="宋体" w:cs="Times New Roman"/>
                <w:color w:val="auto"/>
                <w:sz w:val="22"/>
                <w:szCs w:val="24"/>
              </w:rPr>
              <w:t>生活废水</w:t>
            </w:r>
            <w:r>
              <w:rPr>
                <w:rFonts w:hint="eastAsia" w:ascii="Times New Roman" w:hAnsi="Times New Roman" w:eastAsia="宋体" w:cs="Times New Roman"/>
                <w:color w:val="auto"/>
                <w:sz w:val="22"/>
                <w:szCs w:val="24"/>
              </w:rPr>
              <w:t>、</w:t>
            </w:r>
            <w:r>
              <w:rPr>
                <w:rFonts w:ascii="Times New Roman" w:hAnsi="Times New Roman" w:eastAsia="宋体" w:cs="Times New Roman"/>
                <w:color w:val="auto"/>
                <w:sz w:val="22"/>
                <w:szCs w:val="24"/>
              </w:rPr>
              <w:t>初期雨水</w:t>
            </w:r>
            <w:r>
              <w:rPr>
                <w:rFonts w:hint="eastAsia" w:ascii="Times New Roman" w:hAnsi="Times New Roman" w:eastAsia="宋体" w:cs="Times New Roman"/>
                <w:color w:val="auto"/>
                <w:sz w:val="22"/>
                <w:szCs w:val="24"/>
              </w:rPr>
              <w:t>等分质预处理后按照一企一管、明管输送可视可监测的要求</w:t>
            </w:r>
            <w:r>
              <w:rPr>
                <w:rFonts w:ascii="Times New Roman" w:hAnsi="Times New Roman" w:eastAsia="宋体" w:cs="Times New Roman"/>
                <w:color w:val="auto"/>
                <w:sz w:val="22"/>
                <w:szCs w:val="24"/>
              </w:rPr>
              <w:t>经市政污水管网进入津市高新区工业污水处理厂。</w:t>
            </w:r>
          </w:p>
          <w:p w14:paraId="629F2D9C">
            <w:pPr>
              <w:jc w:val="center"/>
              <w:rPr>
                <w:rFonts w:ascii="Times New Roman" w:hAnsi="Times New Roman" w:eastAsia="宋体" w:cs="Times New Roman"/>
                <w:color w:val="auto"/>
                <w:sz w:val="22"/>
                <w:szCs w:val="24"/>
              </w:rPr>
            </w:pPr>
          </w:p>
        </w:tc>
        <w:tc>
          <w:tcPr>
            <w:tcW w:w="680" w:type="pct"/>
            <w:vAlign w:val="center"/>
          </w:tcPr>
          <w:p w14:paraId="0FA5B801">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符合</w:t>
            </w:r>
          </w:p>
        </w:tc>
      </w:tr>
      <w:tr w14:paraId="328D0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45" w:type="pct"/>
          </w:tcPr>
          <w:p w14:paraId="426D867C">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做好园区建设期生态保护和水土保持。施工期对土石方开挖、堆存及回填要实施围挡、护坡等措施，裸露地及时恢复植被，防止水土流失，杜绝后续施工建设对地表水体的污染。</w:t>
            </w:r>
          </w:p>
        </w:tc>
        <w:tc>
          <w:tcPr>
            <w:tcW w:w="1073" w:type="pct"/>
            <w:vAlign w:val="center"/>
          </w:tcPr>
          <w:p w14:paraId="7ECD07E7">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本项目施工期</w:t>
            </w:r>
            <w:r>
              <w:rPr>
                <w:rFonts w:hint="eastAsia" w:ascii="Times New Roman" w:hAnsi="Times New Roman" w:eastAsia="宋体" w:cs="Times New Roman"/>
                <w:color w:val="auto"/>
                <w:sz w:val="22"/>
                <w:szCs w:val="24"/>
                <w:lang w:val="en-US" w:eastAsia="zh-CN"/>
              </w:rPr>
              <w:t>仅为设施设备的拆除和安装，无土石方开挖，不会造成水土流失</w:t>
            </w:r>
            <w:r>
              <w:rPr>
                <w:rFonts w:hint="eastAsia" w:ascii="Times New Roman" w:hAnsi="Times New Roman" w:eastAsia="宋体" w:cs="Times New Roman"/>
                <w:color w:val="auto"/>
                <w:sz w:val="22"/>
                <w:szCs w:val="24"/>
              </w:rPr>
              <w:t>。</w:t>
            </w:r>
          </w:p>
        </w:tc>
        <w:tc>
          <w:tcPr>
            <w:tcW w:w="680" w:type="pct"/>
            <w:vAlign w:val="center"/>
          </w:tcPr>
          <w:p w14:paraId="1AB5265A">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符合</w:t>
            </w:r>
          </w:p>
        </w:tc>
      </w:tr>
    </w:tbl>
    <w:p w14:paraId="66672B00">
      <w:pPr>
        <w:spacing w:line="360" w:lineRule="auto"/>
        <w:ind w:firstLine="480" w:firstLineChars="200"/>
        <w:rPr>
          <w:rFonts w:hint="eastAsia" w:ascii="宋体" w:hAnsi="宋体" w:eastAsia="宋体" w:cs="宋体"/>
          <w:color w:val="FF0000"/>
          <w:sz w:val="24"/>
          <w:szCs w:val="24"/>
          <w:lang w:bidi="zh-CN"/>
        </w:rPr>
      </w:pPr>
    </w:p>
    <w:p w14:paraId="1EE97D7D">
      <w:pPr>
        <w:spacing w:line="360" w:lineRule="auto"/>
        <w:ind w:firstLine="480" w:firstLineChars="200"/>
        <w:rPr>
          <w:rFonts w:ascii="Times New Roman" w:hAnsi="Times New Roman" w:eastAsia="Times New Roman" w:cs="宋体"/>
          <w:color w:val="auto"/>
          <w:sz w:val="24"/>
          <w:szCs w:val="24"/>
          <w:lang w:bidi="zh-CN"/>
        </w:rPr>
      </w:pPr>
      <w:r>
        <w:rPr>
          <w:rFonts w:hint="eastAsia" w:ascii="宋体" w:hAnsi="宋体" w:eastAsia="宋体" w:cs="宋体"/>
          <w:color w:val="auto"/>
          <w:sz w:val="24"/>
          <w:szCs w:val="24"/>
          <w:lang w:bidi="zh-CN"/>
        </w:rPr>
        <w:t>综上所述，本项目的建设符合《津市高新技术产业开发区产业布局调整规划环境影响报告书》审查意见的函（湘环评函〔</w:t>
      </w:r>
      <w:r>
        <w:rPr>
          <w:rFonts w:hint="eastAsia" w:ascii="Times New Roman" w:hAnsi="Times New Roman" w:eastAsia="Times New Roman" w:cs="宋体"/>
          <w:color w:val="auto"/>
          <w:sz w:val="24"/>
          <w:szCs w:val="24"/>
          <w:lang w:bidi="zh-CN"/>
        </w:rPr>
        <w:t>2023</w:t>
      </w:r>
      <w:r>
        <w:rPr>
          <w:rFonts w:hint="eastAsia" w:ascii="Cambria Math" w:hAnsi="Cambria Math" w:eastAsia="Cambria Math" w:cs="Cambria Math"/>
          <w:color w:val="auto"/>
          <w:sz w:val="24"/>
          <w:szCs w:val="24"/>
          <w:lang w:bidi="zh-CN"/>
        </w:rPr>
        <w:t>〕</w:t>
      </w:r>
      <w:r>
        <w:rPr>
          <w:rFonts w:hint="eastAsia" w:ascii="Times New Roman" w:hAnsi="Times New Roman" w:eastAsia="Times New Roman" w:cs="宋体"/>
          <w:color w:val="auto"/>
          <w:sz w:val="24"/>
          <w:szCs w:val="24"/>
          <w:lang w:bidi="zh-CN"/>
        </w:rPr>
        <w:t>23</w:t>
      </w:r>
      <w:r>
        <w:rPr>
          <w:rFonts w:hint="eastAsia" w:ascii="宋体" w:hAnsi="宋体" w:eastAsia="宋体" w:cs="宋体"/>
          <w:color w:val="auto"/>
          <w:sz w:val="24"/>
          <w:szCs w:val="24"/>
          <w:lang w:bidi="zh-CN"/>
        </w:rPr>
        <w:t>号）的要求。</w:t>
      </w:r>
    </w:p>
    <w:p w14:paraId="018A5A0E">
      <w:pPr>
        <w:pStyle w:val="4"/>
        <w:bidi w:val="0"/>
      </w:pPr>
      <w:r>
        <w:t>1.4.</w:t>
      </w:r>
      <w:r>
        <w:rPr>
          <w:rFonts w:hint="eastAsia"/>
        </w:rPr>
        <w:t>5平面布置合理性分析</w:t>
      </w:r>
    </w:p>
    <w:p w14:paraId="73F69E29">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总图布置严格执行《工业企业总平面布置设计规范》（GB 50187-2012）、《建筑设计防火规范》（GB 50016-2014），在满足工艺生产要求、工艺流程顺畅、管线短捷，便于生产和有利管理的前提下，确保装置建构筑之间、设备与设备之间的防火间距要求，同时保证工厂内道路运输顺畅，消防通道满足要求。</w:t>
      </w:r>
    </w:p>
    <w:p w14:paraId="6ACAA521">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整个厂区分成东侧、中部、西侧三个区，西侧主要为污水处理区域区域；中部为主要生产车间、罐区及仓库；东侧主要为办公及生活区。厂区围绕主体建筑四周设置运输和消防共用的环形道路，三横四纵，厂区内新建道路宽度为4.5、6米、10米，可满足厂内人、物流交通运输和消防扑救要求。</w:t>
      </w:r>
    </w:p>
    <w:p w14:paraId="16738D15">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本项目依托</w:t>
      </w:r>
      <w:r>
        <w:rPr>
          <w:rFonts w:hint="eastAsia" w:ascii="Times New Roman" w:hAnsi="Times New Roman" w:eastAsia="宋体" w:cs="Times New Roman"/>
          <w:color w:val="auto"/>
          <w:sz w:val="24"/>
          <w:szCs w:val="24"/>
          <w:lang w:val="en-US" w:eastAsia="zh-CN"/>
        </w:rPr>
        <w:t>现有</w:t>
      </w:r>
      <w:r>
        <w:rPr>
          <w:rFonts w:hint="eastAsia" w:ascii="Times New Roman" w:hAnsi="Times New Roman" w:eastAsia="宋体" w:cs="Times New Roman"/>
          <w:color w:val="auto"/>
          <w:sz w:val="24"/>
          <w:szCs w:val="24"/>
        </w:rPr>
        <w:t>提取车间2</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3、6</w:t>
      </w:r>
      <w:r>
        <w:rPr>
          <w:rFonts w:hint="eastAsia" w:ascii="Times New Roman" w:hAnsi="Times New Roman" w:eastAsia="宋体" w:cs="Times New Roman"/>
          <w:color w:val="auto"/>
          <w:sz w:val="24"/>
          <w:szCs w:val="24"/>
        </w:rPr>
        <w:t>进行生产，不新增土建工程，充分利用厂区</w:t>
      </w:r>
      <w:r>
        <w:rPr>
          <w:rFonts w:hint="eastAsia" w:ascii="Times New Roman" w:hAnsi="Times New Roman" w:eastAsia="宋体" w:cs="Times New Roman"/>
          <w:color w:val="auto"/>
          <w:sz w:val="24"/>
          <w:szCs w:val="24"/>
          <w:lang w:val="en-US" w:eastAsia="zh-CN"/>
        </w:rPr>
        <w:t>现有</w:t>
      </w:r>
      <w:r>
        <w:rPr>
          <w:rFonts w:hint="eastAsia" w:ascii="Times New Roman" w:hAnsi="Times New Roman" w:eastAsia="宋体" w:cs="Times New Roman"/>
          <w:color w:val="auto"/>
          <w:sz w:val="24"/>
          <w:szCs w:val="24"/>
        </w:rPr>
        <w:t>的环保处理系统及生产设备，不新增排气筒，不破坏厂区现有的布局，不会增加厂区生产风险，平面布置合理。</w:t>
      </w:r>
    </w:p>
    <w:p w14:paraId="4AB9F850">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综上，本项目平面布局合理。</w:t>
      </w:r>
    </w:p>
    <w:p w14:paraId="5B77EEF0">
      <w:pPr>
        <w:keepNext/>
        <w:keepLines/>
        <w:spacing w:before="100" w:beforeAutospacing="1" w:after="100" w:afterAutospacing="1" w:line="360" w:lineRule="auto"/>
        <w:outlineLvl w:val="1"/>
        <w:rPr>
          <w:rFonts w:ascii="Times New Roman" w:hAnsi="Times New Roman" w:eastAsia="宋体" w:cs="Times New Roman"/>
          <w:b/>
          <w:bCs/>
          <w:color w:val="auto"/>
          <w:kern w:val="0"/>
          <w:sz w:val="28"/>
          <w:szCs w:val="28"/>
        </w:rPr>
      </w:pPr>
      <w:bookmarkStart w:id="59" w:name="_Toc117"/>
      <w:bookmarkStart w:id="60" w:name="_Toc30183"/>
      <w:bookmarkStart w:id="61" w:name="_Toc146781118"/>
      <w:r>
        <w:rPr>
          <w:rFonts w:ascii="Times New Roman" w:hAnsi="Times New Roman" w:eastAsia="宋体" w:cs="Times New Roman"/>
          <w:b/>
          <w:bCs/>
          <w:color w:val="auto"/>
          <w:kern w:val="0"/>
          <w:sz w:val="28"/>
          <w:szCs w:val="28"/>
        </w:rPr>
        <w:t>1.5</w:t>
      </w:r>
      <w:r>
        <w:rPr>
          <w:rFonts w:hint="eastAsia" w:ascii="Times New Roman" w:hAnsi="Times New Roman" w:eastAsia="宋体" w:cs="Times New Roman"/>
          <w:b/>
          <w:bCs/>
          <w:color w:val="auto"/>
          <w:kern w:val="0"/>
          <w:sz w:val="28"/>
          <w:szCs w:val="28"/>
        </w:rPr>
        <w:t>项目环境影响评价的主要结论</w:t>
      </w:r>
      <w:bookmarkEnd w:id="59"/>
      <w:bookmarkEnd w:id="60"/>
      <w:bookmarkEnd w:id="61"/>
    </w:p>
    <w:p w14:paraId="2316557D">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本项目符合国家及地方的有关产业政策，与其他相关规划相互协调，项目具有较好的环境效益和社会效益，拟采取的污染防治措施及环境风险应急措施可行。由区域环境质量现状和相关的环境影响预测结果可知，项目所在区域的环境质量现状总体水平较好，正常生产情况下主要污染物能够达标排放，未造成评价区域环境质量降级；事故排放情况下，会对周边环境产生一定不良影响，若认真落实本报告提出的事故排放污染防范措施和环境风险应急措施后，可将对环境的不利影响可降至环境可接受程度。本项目的实施对周边环境的影响可满足环境功能规划的要求。从环境保护角度考虑，本项目的建设是可行的。</w:t>
      </w:r>
    </w:p>
    <w:p w14:paraId="2ADA7042">
      <w:pPr>
        <w:spacing w:line="360" w:lineRule="auto"/>
        <w:ind w:firstLine="480" w:firstLineChars="200"/>
        <w:rPr>
          <w:rFonts w:ascii="Times New Roman" w:hAnsi="Times New Roman" w:eastAsia="宋体" w:cs="Times New Roman"/>
          <w:color w:val="auto"/>
          <w:sz w:val="24"/>
          <w:szCs w:val="24"/>
        </w:rPr>
      </w:pPr>
    </w:p>
    <w:p w14:paraId="02B69A54">
      <w:pPr>
        <w:spacing w:line="360" w:lineRule="auto"/>
        <w:ind w:firstLine="480" w:firstLineChars="200"/>
        <w:rPr>
          <w:rFonts w:ascii="Times New Roman" w:hAnsi="Times New Roman" w:eastAsia="宋体" w:cs="Times New Roman"/>
          <w:color w:val="FF0000"/>
          <w:sz w:val="24"/>
          <w:szCs w:val="24"/>
          <w:highlight w:val="green"/>
        </w:rPr>
        <w:sectPr>
          <w:footerReference r:id="rId4" w:type="default"/>
          <w:pgSz w:w="11906" w:h="16838"/>
          <w:pgMar w:top="1440" w:right="1800" w:bottom="1440" w:left="1800" w:header="851" w:footer="992" w:gutter="0"/>
          <w:pgNumType w:fmt="numberInDash" w:start="1"/>
          <w:cols w:space="720" w:num="1"/>
          <w:docGrid w:type="lines" w:linePitch="312" w:charSpace="0"/>
        </w:sectPr>
      </w:pPr>
    </w:p>
    <w:p w14:paraId="48678DDF">
      <w:pPr>
        <w:keepNext/>
        <w:keepLines/>
        <w:spacing w:line="360" w:lineRule="auto"/>
        <w:ind w:firstLine="643"/>
        <w:jc w:val="center"/>
        <w:outlineLvl w:val="0"/>
        <w:rPr>
          <w:rFonts w:ascii="Times New Roman" w:hAnsi="Times New Roman" w:eastAsia="宋体" w:cs="Times New Roman"/>
          <w:b/>
          <w:bCs/>
          <w:color w:val="auto"/>
          <w:kern w:val="44"/>
          <w:sz w:val="32"/>
          <w:szCs w:val="44"/>
        </w:rPr>
      </w:pPr>
      <w:bookmarkStart w:id="62" w:name="_Toc4320"/>
      <w:bookmarkStart w:id="63" w:name="_Toc146781119"/>
      <w:bookmarkStart w:id="64" w:name="_Toc535149912"/>
      <w:bookmarkStart w:id="65" w:name="_Toc535150311"/>
      <w:bookmarkStart w:id="66" w:name="_Toc512320152"/>
      <w:bookmarkStart w:id="67" w:name="_Toc111800884"/>
      <w:bookmarkStart w:id="68" w:name="_Toc517849896"/>
      <w:bookmarkStart w:id="69" w:name="_Toc5128302"/>
      <w:bookmarkStart w:id="70" w:name="_Toc60296941"/>
      <w:bookmarkStart w:id="71" w:name="_Toc2429"/>
      <w:bookmarkStart w:id="72" w:name="_Toc49929990"/>
      <w:bookmarkStart w:id="73" w:name="_Toc17206435"/>
      <w:bookmarkStart w:id="74" w:name="_Toc4409"/>
      <w:r>
        <w:rPr>
          <w:rFonts w:ascii="Times New Roman" w:hAnsi="Times New Roman" w:eastAsia="宋体" w:cs="Times New Roman"/>
          <w:b/>
          <w:bCs/>
          <w:color w:val="auto"/>
          <w:kern w:val="44"/>
          <w:sz w:val="32"/>
          <w:szCs w:val="44"/>
        </w:rPr>
        <w:t>2、总则</w:t>
      </w:r>
      <w:bookmarkEnd w:id="62"/>
      <w:bookmarkEnd w:id="63"/>
      <w:bookmarkEnd w:id="64"/>
      <w:bookmarkEnd w:id="65"/>
      <w:bookmarkEnd w:id="66"/>
      <w:bookmarkEnd w:id="67"/>
      <w:bookmarkEnd w:id="68"/>
      <w:bookmarkEnd w:id="69"/>
      <w:bookmarkEnd w:id="70"/>
      <w:bookmarkEnd w:id="71"/>
      <w:bookmarkEnd w:id="72"/>
      <w:bookmarkEnd w:id="73"/>
      <w:bookmarkEnd w:id="74"/>
    </w:p>
    <w:p w14:paraId="47BA7AA1">
      <w:pPr>
        <w:keepNext/>
        <w:keepLines/>
        <w:spacing w:before="100" w:beforeAutospacing="1" w:after="100" w:afterAutospacing="1" w:line="360" w:lineRule="auto"/>
        <w:outlineLvl w:val="1"/>
        <w:rPr>
          <w:rFonts w:ascii="Times New Roman" w:hAnsi="Times New Roman" w:eastAsia="宋体" w:cs="Times New Roman"/>
          <w:b/>
          <w:bCs/>
          <w:color w:val="auto"/>
          <w:kern w:val="0"/>
          <w:sz w:val="28"/>
          <w:szCs w:val="28"/>
        </w:rPr>
      </w:pPr>
      <w:bookmarkStart w:id="75" w:name="_Toc535150312"/>
      <w:bookmarkStart w:id="76" w:name="_Toc24360"/>
      <w:bookmarkStart w:id="77" w:name="_Toc14799"/>
      <w:bookmarkStart w:id="78" w:name="_Toc5128303"/>
      <w:bookmarkStart w:id="79" w:name="_Toc512320153"/>
      <w:bookmarkStart w:id="80" w:name="_Toc16304"/>
      <w:bookmarkStart w:id="81" w:name="_Toc49929991"/>
      <w:bookmarkStart w:id="82" w:name="_Toc146781120"/>
      <w:bookmarkStart w:id="83" w:name="_Toc535149913"/>
      <w:bookmarkStart w:id="84" w:name="_Toc517849897"/>
      <w:bookmarkStart w:id="85" w:name="_Toc111800885"/>
      <w:bookmarkStart w:id="86" w:name="_Toc17206436"/>
      <w:bookmarkStart w:id="87" w:name="_Toc60296942"/>
      <w:r>
        <w:rPr>
          <w:rFonts w:ascii="Times New Roman" w:hAnsi="Times New Roman" w:eastAsia="宋体" w:cs="Times New Roman"/>
          <w:b/>
          <w:bCs/>
          <w:color w:val="auto"/>
          <w:kern w:val="0"/>
          <w:sz w:val="28"/>
          <w:szCs w:val="28"/>
        </w:rPr>
        <w:t>2.1编制依据</w:t>
      </w:r>
      <w:bookmarkEnd w:id="75"/>
      <w:bookmarkEnd w:id="76"/>
      <w:bookmarkEnd w:id="77"/>
      <w:bookmarkEnd w:id="78"/>
      <w:bookmarkEnd w:id="79"/>
      <w:bookmarkEnd w:id="80"/>
      <w:bookmarkEnd w:id="81"/>
      <w:bookmarkEnd w:id="82"/>
      <w:bookmarkEnd w:id="83"/>
      <w:bookmarkEnd w:id="84"/>
      <w:bookmarkEnd w:id="85"/>
      <w:bookmarkEnd w:id="86"/>
      <w:bookmarkEnd w:id="87"/>
    </w:p>
    <w:p w14:paraId="57FF4B6D">
      <w:pPr>
        <w:keepNext/>
        <w:keepLines/>
        <w:spacing w:before="156" w:beforeLines="50" w:after="156" w:afterLines="50" w:line="360" w:lineRule="auto"/>
        <w:outlineLvl w:val="2"/>
        <w:rPr>
          <w:rFonts w:ascii="Times New Roman" w:hAnsi="Times New Roman" w:eastAsia="宋体" w:cs="Times New Roman"/>
          <w:b/>
          <w:color w:val="auto"/>
          <w:kern w:val="0"/>
          <w:sz w:val="24"/>
          <w:szCs w:val="24"/>
        </w:rPr>
      </w:pPr>
      <w:r>
        <w:rPr>
          <w:rFonts w:ascii="Times New Roman" w:hAnsi="Times New Roman" w:eastAsia="宋体" w:cs="Times New Roman"/>
          <w:b/>
          <w:color w:val="auto"/>
          <w:kern w:val="0"/>
          <w:sz w:val="24"/>
          <w:szCs w:val="24"/>
        </w:rPr>
        <w:t>2.1.1法律</w:t>
      </w:r>
    </w:p>
    <w:p w14:paraId="77FD85BC">
      <w:pPr>
        <w:numPr>
          <w:ilvl w:val="0"/>
          <w:numId w:val="0"/>
        </w:numPr>
        <w:spacing w:line="360" w:lineRule="auto"/>
        <w:ind w:left="425" w:leftChars="0" w:firstLine="480" w:firstLineChars="200"/>
        <w:rPr>
          <w:rFonts w:ascii="Times New Roman" w:hAnsi="Times New Roman" w:eastAsia="宋体" w:cs="宋体"/>
          <w:color w:val="auto"/>
          <w:sz w:val="24"/>
          <w:szCs w:val="24"/>
        </w:rPr>
      </w:pPr>
      <w:r>
        <w:rPr>
          <w:rFonts w:hint="default" w:ascii="Times New Roman" w:hAnsi="Times New Roman" w:eastAsia="宋体" w:cs="宋体"/>
          <w:color w:val="auto"/>
          <w:kern w:val="2"/>
          <w:sz w:val="24"/>
          <w:szCs w:val="24"/>
          <w:lang w:val="en-US" w:eastAsia="zh-CN" w:bidi="ar-SA"/>
        </w:rPr>
        <w:t>1.</w:t>
      </w:r>
      <w:r>
        <w:rPr>
          <w:rFonts w:hint="eastAsia" w:ascii="Times New Roman" w:hAnsi="Times New Roman" w:eastAsia="宋体" w:cs="宋体"/>
          <w:color w:val="auto"/>
          <w:sz w:val="24"/>
          <w:szCs w:val="24"/>
        </w:rPr>
        <w:t>《中华人民共和国环境保护法》（2015年1月1日修订）；</w:t>
      </w:r>
    </w:p>
    <w:p w14:paraId="54008823">
      <w:pPr>
        <w:numPr>
          <w:ilvl w:val="0"/>
          <w:numId w:val="0"/>
        </w:numPr>
        <w:spacing w:line="360" w:lineRule="auto"/>
        <w:ind w:left="425" w:leftChars="0" w:firstLine="480" w:firstLineChars="200"/>
        <w:rPr>
          <w:rFonts w:ascii="Times New Roman" w:hAnsi="Times New Roman" w:eastAsia="宋体" w:cs="宋体"/>
          <w:color w:val="auto"/>
          <w:sz w:val="24"/>
          <w:szCs w:val="24"/>
        </w:rPr>
      </w:pPr>
      <w:r>
        <w:rPr>
          <w:rFonts w:hint="default" w:ascii="Times New Roman" w:hAnsi="Times New Roman" w:eastAsia="宋体" w:cs="宋体"/>
          <w:color w:val="auto"/>
          <w:kern w:val="2"/>
          <w:sz w:val="24"/>
          <w:szCs w:val="24"/>
          <w:lang w:val="en-US" w:eastAsia="zh-CN" w:bidi="ar-SA"/>
        </w:rPr>
        <w:t>2.</w:t>
      </w:r>
      <w:r>
        <w:rPr>
          <w:rFonts w:hint="eastAsia" w:ascii="Times New Roman" w:hAnsi="Times New Roman" w:eastAsia="宋体" w:cs="宋体"/>
          <w:color w:val="auto"/>
          <w:sz w:val="24"/>
          <w:szCs w:val="24"/>
        </w:rPr>
        <w:t>《中华人民共和国噪声污染防治法》（2022年6月5日起实施）；</w:t>
      </w:r>
    </w:p>
    <w:p w14:paraId="337396E2">
      <w:pPr>
        <w:numPr>
          <w:ilvl w:val="0"/>
          <w:numId w:val="0"/>
        </w:numPr>
        <w:spacing w:line="360" w:lineRule="auto"/>
        <w:ind w:left="425" w:leftChars="0" w:firstLine="480" w:firstLineChars="200"/>
        <w:rPr>
          <w:rFonts w:ascii="Times New Roman" w:hAnsi="Times New Roman" w:eastAsia="宋体" w:cs="宋体"/>
          <w:color w:val="auto"/>
          <w:sz w:val="24"/>
          <w:szCs w:val="24"/>
        </w:rPr>
      </w:pPr>
      <w:r>
        <w:rPr>
          <w:rFonts w:hint="default" w:ascii="Times New Roman" w:hAnsi="Times New Roman" w:eastAsia="宋体" w:cs="宋体"/>
          <w:color w:val="auto"/>
          <w:kern w:val="2"/>
          <w:sz w:val="24"/>
          <w:szCs w:val="24"/>
          <w:lang w:val="en-US" w:eastAsia="zh-CN" w:bidi="ar-SA"/>
        </w:rPr>
        <w:t>3.</w:t>
      </w:r>
      <w:r>
        <w:rPr>
          <w:rFonts w:hint="eastAsia" w:ascii="Times New Roman" w:hAnsi="Times New Roman" w:eastAsia="宋体" w:cs="宋体"/>
          <w:color w:val="auto"/>
          <w:sz w:val="24"/>
          <w:szCs w:val="24"/>
        </w:rPr>
        <w:t>《中华人民共和国固体废物污染环境防治法》（2020年4月29日修订）；</w:t>
      </w:r>
    </w:p>
    <w:p w14:paraId="747032B7">
      <w:pPr>
        <w:numPr>
          <w:ilvl w:val="0"/>
          <w:numId w:val="0"/>
        </w:numPr>
        <w:spacing w:line="360" w:lineRule="auto"/>
        <w:ind w:left="425" w:leftChars="0" w:firstLine="480" w:firstLineChars="200"/>
        <w:rPr>
          <w:rFonts w:ascii="Times New Roman" w:hAnsi="Times New Roman" w:eastAsia="宋体" w:cs="宋体"/>
          <w:color w:val="auto"/>
          <w:sz w:val="24"/>
          <w:szCs w:val="24"/>
        </w:rPr>
      </w:pPr>
      <w:r>
        <w:rPr>
          <w:rFonts w:hint="default" w:ascii="Times New Roman" w:hAnsi="Times New Roman" w:eastAsia="宋体" w:cs="宋体"/>
          <w:color w:val="auto"/>
          <w:kern w:val="2"/>
          <w:sz w:val="24"/>
          <w:szCs w:val="24"/>
          <w:lang w:val="en-US" w:eastAsia="zh-CN" w:bidi="ar-SA"/>
        </w:rPr>
        <w:t>4.</w:t>
      </w:r>
      <w:r>
        <w:rPr>
          <w:rFonts w:hint="eastAsia" w:ascii="Times New Roman" w:hAnsi="Times New Roman" w:eastAsia="宋体" w:cs="宋体"/>
          <w:color w:val="auto"/>
          <w:sz w:val="24"/>
          <w:szCs w:val="24"/>
        </w:rPr>
        <w:t>《中华人民共和国大气污染防治法》（2018年10月26日实施）；</w:t>
      </w:r>
    </w:p>
    <w:p w14:paraId="0F5695C9">
      <w:pPr>
        <w:numPr>
          <w:ilvl w:val="0"/>
          <w:numId w:val="0"/>
        </w:numPr>
        <w:spacing w:line="360" w:lineRule="auto"/>
        <w:ind w:left="425" w:leftChars="0" w:firstLine="480" w:firstLineChars="200"/>
        <w:rPr>
          <w:rFonts w:ascii="Times New Roman" w:hAnsi="Times New Roman" w:eastAsia="宋体" w:cs="宋体"/>
          <w:color w:val="auto"/>
          <w:sz w:val="24"/>
          <w:szCs w:val="24"/>
        </w:rPr>
      </w:pPr>
      <w:r>
        <w:rPr>
          <w:rFonts w:hint="default" w:ascii="Times New Roman" w:hAnsi="Times New Roman" w:eastAsia="宋体" w:cs="宋体"/>
          <w:color w:val="auto"/>
          <w:kern w:val="2"/>
          <w:sz w:val="24"/>
          <w:szCs w:val="24"/>
          <w:lang w:val="en-US" w:eastAsia="zh-CN" w:bidi="ar-SA"/>
        </w:rPr>
        <w:t>5.</w:t>
      </w:r>
      <w:r>
        <w:rPr>
          <w:rFonts w:hint="eastAsia" w:ascii="Times New Roman" w:hAnsi="Times New Roman" w:eastAsia="宋体" w:cs="宋体"/>
          <w:color w:val="auto"/>
          <w:sz w:val="24"/>
          <w:szCs w:val="24"/>
        </w:rPr>
        <w:t>《中华人民共和国环境影响评价法》（2018年12月29日修正）；</w:t>
      </w:r>
    </w:p>
    <w:p w14:paraId="07BD0AE0">
      <w:pPr>
        <w:numPr>
          <w:ilvl w:val="0"/>
          <w:numId w:val="0"/>
        </w:numPr>
        <w:spacing w:line="360" w:lineRule="auto"/>
        <w:ind w:left="425" w:leftChars="0" w:firstLine="480" w:firstLineChars="200"/>
        <w:rPr>
          <w:rFonts w:ascii="Times New Roman" w:hAnsi="Times New Roman" w:eastAsia="宋体" w:cs="宋体"/>
          <w:color w:val="auto"/>
          <w:sz w:val="24"/>
          <w:szCs w:val="24"/>
        </w:rPr>
      </w:pPr>
      <w:r>
        <w:rPr>
          <w:rFonts w:hint="default" w:ascii="Times New Roman" w:hAnsi="Times New Roman" w:eastAsia="宋体" w:cs="宋体"/>
          <w:color w:val="auto"/>
          <w:kern w:val="2"/>
          <w:sz w:val="24"/>
          <w:szCs w:val="24"/>
          <w:lang w:val="en-US" w:eastAsia="zh-CN" w:bidi="ar-SA"/>
        </w:rPr>
        <w:t>6.</w:t>
      </w:r>
      <w:r>
        <w:rPr>
          <w:rFonts w:hint="eastAsia" w:ascii="Times New Roman" w:hAnsi="Times New Roman" w:eastAsia="宋体" w:cs="宋体"/>
          <w:color w:val="auto"/>
          <w:sz w:val="24"/>
          <w:szCs w:val="24"/>
        </w:rPr>
        <w:t>《中华人民共和国水污染防治法》（2018年1月1日施行）；</w:t>
      </w:r>
    </w:p>
    <w:p w14:paraId="7A56F875">
      <w:pPr>
        <w:numPr>
          <w:ilvl w:val="0"/>
          <w:numId w:val="0"/>
        </w:numPr>
        <w:spacing w:line="360" w:lineRule="auto"/>
        <w:ind w:left="425" w:leftChars="0" w:firstLine="480" w:firstLineChars="200"/>
        <w:rPr>
          <w:rFonts w:ascii="Times New Roman" w:hAnsi="Times New Roman" w:eastAsia="宋体" w:cs="宋体"/>
          <w:color w:val="auto"/>
          <w:sz w:val="24"/>
          <w:szCs w:val="24"/>
        </w:rPr>
      </w:pPr>
      <w:r>
        <w:rPr>
          <w:rFonts w:hint="default" w:ascii="Times New Roman" w:hAnsi="Times New Roman" w:eastAsia="宋体" w:cs="宋体"/>
          <w:color w:val="auto"/>
          <w:kern w:val="2"/>
          <w:sz w:val="24"/>
          <w:szCs w:val="24"/>
          <w:lang w:val="en-US" w:eastAsia="zh-CN" w:bidi="ar-SA"/>
        </w:rPr>
        <w:t>7.</w:t>
      </w:r>
      <w:r>
        <w:rPr>
          <w:rFonts w:hint="eastAsia" w:ascii="Times New Roman" w:hAnsi="Times New Roman" w:eastAsia="宋体" w:cs="宋体"/>
          <w:color w:val="auto"/>
          <w:sz w:val="24"/>
          <w:szCs w:val="24"/>
        </w:rPr>
        <w:t>《中华人民共和国土地管理法》（2004年8月28日修订）；</w:t>
      </w:r>
    </w:p>
    <w:p w14:paraId="75868C79">
      <w:pPr>
        <w:numPr>
          <w:ilvl w:val="0"/>
          <w:numId w:val="0"/>
        </w:numPr>
        <w:spacing w:line="360" w:lineRule="auto"/>
        <w:ind w:left="425" w:leftChars="0" w:firstLine="480" w:firstLineChars="200"/>
        <w:rPr>
          <w:rFonts w:ascii="Times New Roman" w:hAnsi="Times New Roman" w:eastAsia="宋体" w:cs="宋体"/>
          <w:color w:val="auto"/>
          <w:sz w:val="24"/>
          <w:szCs w:val="24"/>
        </w:rPr>
      </w:pPr>
      <w:r>
        <w:rPr>
          <w:rFonts w:hint="default" w:ascii="Times New Roman" w:hAnsi="Times New Roman" w:eastAsia="宋体" w:cs="宋体"/>
          <w:color w:val="auto"/>
          <w:kern w:val="2"/>
          <w:sz w:val="24"/>
          <w:szCs w:val="24"/>
          <w:lang w:val="en-US" w:eastAsia="zh-CN" w:bidi="ar-SA"/>
        </w:rPr>
        <w:t>8.</w:t>
      </w:r>
      <w:r>
        <w:rPr>
          <w:rFonts w:hint="eastAsia" w:ascii="Times New Roman" w:hAnsi="Times New Roman" w:eastAsia="宋体" w:cs="宋体"/>
          <w:color w:val="auto"/>
          <w:sz w:val="24"/>
          <w:szCs w:val="24"/>
        </w:rPr>
        <w:t>《中华人民共和国突发事件应对法》（2007年11月1日起实施）；</w:t>
      </w:r>
    </w:p>
    <w:p w14:paraId="45C7F46B">
      <w:pPr>
        <w:numPr>
          <w:ilvl w:val="0"/>
          <w:numId w:val="0"/>
        </w:numPr>
        <w:spacing w:line="360" w:lineRule="auto"/>
        <w:ind w:left="425" w:leftChars="0" w:firstLine="480" w:firstLineChars="200"/>
        <w:rPr>
          <w:rFonts w:ascii="Times New Roman" w:hAnsi="Times New Roman" w:eastAsia="宋体" w:cs="宋体"/>
          <w:color w:val="auto"/>
          <w:sz w:val="24"/>
          <w:szCs w:val="24"/>
        </w:rPr>
      </w:pPr>
      <w:r>
        <w:rPr>
          <w:rFonts w:hint="default" w:ascii="Times New Roman" w:hAnsi="Times New Roman" w:eastAsia="宋体" w:cs="宋体"/>
          <w:color w:val="auto"/>
          <w:kern w:val="2"/>
          <w:sz w:val="24"/>
          <w:szCs w:val="24"/>
          <w:lang w:val="en-US" w:eastAsia="zh-CN" w:bidi="ar-SA"/>
        </w:rPr>
        <w:t>9.</w:t>
      </w:r>
      <w:r>
        <w:rPr>
          <w:rFonts w:hint="eastAsia" w:ascii="Times New Roman" w:hAnsi="Times New Roman" w:eastAsia="宋体" w:cs="宋体"/>
          <w:color w:val="auto"/>
          <w:sz w:val="24"/>
          <w:szCs w:val="24"/>
        </w:rPr>
        <w:t>《中华人民共和国城乡规划法》（2019年4月23日修正）；</w:t>
      </w:r>
    </w:p>
    <w:p w14:paraId="22F88D75">
      <w:pPr>
        <w:numPr>
          <w:ilvl w:val="0"/>
          <w:numId w:val="0"/>
        </w:numPr>
        <w:spacing w:line="360" w:lineRule="auto"/>
        <w:ind w:left="425" w:leftChars="0" w:firstLine="480" w:firstLineChars="200"/>
        <w:rPr>
          <w:rFonts w:ascii="Times New Roman" w:hAnsi="Times New Roman" w:eastAsia="宋体" w:cs="宋体"/>
          <w:color w:val="auto"/>
          <w:sz w:val="24"/>
          <w:szCs w:val="24"/>
        </w:rPr>
      </w:pPr>
      <w:r>
        <w:rPr>
          <w:rFonts w:hint="default" w:ascii="Times New Roman" w:hAnsi="Times New Roman" w:eastAsia="宋体" w:cs="宋体"/>
          <w:color w:val="auto"/>
          <w:kern w:val="2"/>
          <w:sz w:val="24"/>
          <w:szCs w:val="24"/>
          <w:lang w:val="en-US" w:eastAsia="zh-CN" w:bidi="ar-SA"/>
        </w:rPr>
        <w:t>10.</w:t>
      </w:r>
      <w:r>
        <w:rPr>
          <w:rFonts w:hint="eastAsia" w:ascii="Times New Roman" w:hAnsi="Times New Roman" w:eastAsia="宋体" w:cs="宋体"/>
          <w:color w:val="auto"/>
          <w:sz w:val="24"/>
          <w:szCs w:val="24"/>
        </w:rPr>
        <w:t>《中华人民共和国循环经济促进法》（2018年10月26日起施行）；</w:t>
      </w:r>
    </w:p>
    <w:p w14:paraId="34577A27">
      <w:pPr>
        <w:numPr>
          <w:ilvl w:val="0"/>
          <w:numId w:val="0"/>
        </w:numPr>
        <w:spacing w:line="360" w:lineRule="auto"/>
        <w:ind w:left="425" w:leftChars="0" w:firstLine="480" w:firstLineChars="200"/>
        <w:rPr>
          <w:rFonts w:ascii="Times New Roman" w:hAnsi="Times New Roman" w:eastAsia="宋体" w:cs="宋体"/>
          <w:color w:val="auto"/>
          <w:sz w:val="24"/>
          <w:szCs w:val="24"/>
        </w:rPr>
      </w:pPr>
      <w:r>
        <w:rPr>
          <w:rFonts w:hint="default" w:ascii="Times New Roman" w:hAnsi="Times New Roman" w:eastAsia="宋体" w:cs="宋体"/>
          <w:color w:val="auto"/>
          <w:kern w:val="2"/>
          <w:sz w:val="24"/>
          <w:szCs w:val="24"/>
          <w:lang w:val="en-US" w:eastAsia="zh-CN" w:bidi="ar-SA"/>
        </w:rPr>
        <w:t>11.</w:t>
      </w:r>
      <w:r>
        <w:rPr>
          <w:rFonts w:hint="eastAsia" w:ascii="Times New Roman" w:hAnsi="Times New Roman" w:eastAsia="宋体" w:cs="宋体"/>
          <w:color w:val="auto"/>
          <w:sz w:val="24"/>
          <w:szCs w:val="24"/>
        </w:rPr>
        <w:t>《中华人民共和国水土保持法》（2011年3月1日实施）；</w:t>
      </w:r>
    </w:p>
    <w:p w14:paraId="1AF5E9EF">
      <w:pPr>
        <w:numPr>
          <w:ilvl w:val="0"/>
          <w:numId w:val="0"/>
        </w:numPr>
        <w:spacing w:line="360" w:lineRule="auto"/>
        <w:ind w:left="425" w:leftChars="0" w:firstLine="480" w:firstLineChars="200"/>
        <w:rPr>
          <w:rFonts w:ascii="Times New Roman" w:hAnsi="Times New Roman" w:eastAsia="宋体" w:cs="宋体"/>
          <w:color w:val="auto"/>
          <w:sz w:val="24"/>
          <w:szCs w:val="24"/>
        </w:rPr>
      </w:pPr>
      <w:r>
        <w:rPr>
          <w:rFonts w:hint="default" w:ascii="Times New Roman" w:hAnsi="Times New Roman" w:eastAsia="宋体" w:cs="宋体"/>
          <w:color w:val="auto"/>
          <w:kern w:val="2"/>
          <w:sz w:val="24"/>
          <w:szCs w:val="24"/>
          <w:lang w:val="en-US" w:eastAsia="zh-CN" w:bidi="ar-SA"/>
        </w:rPr>
        <w:t>12.</w:t>
      </w:r>
      <w:r>
        <w:rPr>
          <w:rFonts w:hint="eastAsia" w:ascii="Times New Roman" w:hAnsi="Times New Roman" w:eastAsia="宋体" w:cs="宋体"/>
          <w:color w:val="auto"/>
          <w:sz w:val="24"/>
          <w:szCs w:val="24"/>
        </w:rPr>
        <w:t>《中华人民共和国清洁生产促进法》（2012年7月1日施行）；</w:t>
      </w:r>
    </w:p>
    <w:p w14:paraId="671C3F67">
      <w:pPr>
        <w:numPr>
          <w:ilvl w:val="0"/>
          <w:numId w:val="0"/>
        </w:numPr>
        <w:spacing w:line="360" w:lineRule="auto"/>
        <w:ind w:left="425" w:leftChars="0" w:firstLine="480" w:firstLineChars="200"/>
        <w:rPr>
          <w:rFonts w:ascii="Times New Roman" w:hAnsi="Times New Roman" w:eastAsia="宋体" w:cs="宋体"/>
          <w:color w:val="auto"/>
          <w:sz w:val="24"/>
          <w:szCs w:val="24"/>
        </w:rPr>
      </w:pPr>
      <w:r>
        <w:rPr>
          <w:rFonts w:hint="default" w:ascii="Times New Roman" w:hAnsi="Times New Roman" w:eastAsia="宋体" w:cs="宋体"/>
          <w:color w:val="auto"/>
          <w:kern w:val="2"/>
          <w:sz w:val="24"/>
          <w:szCs w:val="24"/>
          <w:lang w:val="en-US" w:eastAsia="zh-CN" w:bidi="ar-SA"/>
        </w:rPr>
        <w:t>13.</w:t>
      </w:r>
      <w:r>
        <w:rPr>
          <w:rFonts w:hint="eastAsia" w:ascii="Times New Roman" w:hAnsi="Times New Roman" w:eastAsia="宋体" w:cs="宋体"/>
          <w:color w:val="auto"/>
          <w:sz w:val="24"/>
          <w:szCs w:val="24"/>
        </w:rPr>
        <w:t>《中华人民共和国节约能源法》（2018年10月26日修订）；</w:t>
      </w:r>
    </w:p>
    <w:p w14:paraId="41B93A7E">
      <w:pPr>
        <w:numPr>
          <w:ilvl w:val="0"/>
          <w:numId w:val="0"/>
        </w:numPr>
        <w:spacing w:line="360" w:lineRule="auto"/>
        <w:ind w:left="425" w:leftChars="0" w:firstLine="480" w:firstLineChars="200"/>
        <w:rPr>
          <w:rFonts w:ascii="Times New Roman" w:hAnsi="Times New Roman" w:eastAsia="宋体" w:cs="宋体"/>
          <w:color w:val="auto"/>
          <w:sz w:val="24"/>
          <w:szCs w:val="24"/>
        </w:rPr>
      </w:pPr>
      <w:r>
        <w:rPr>
          <w:rFonts w:hint="default" w:ascii="Times New Roman" w:hAnsi="Times New Roman" w:eastAsia="宋体" w:cs="宋体"/>
          <w:color w:val="auto"/>
          <w:kern w:val="2"/>
          <w:sz w:val="24"/>
          <w:szCs w:val="24"/>
          <w:lang w:val="en-US" w:eastAsia="zh-CN" w:bidi="ar-SA"/>
        </w:rPr>
        <w:t>14.</w:t>
      </w:r>
      <w:r>
        <w:rPr>
          <w:rFonts w:hint="eastAsia" w:ascii="Times New Roman" w:hAnsi="Times New Roman" w:eastAsia="宋体" w:cs="宋体"/>
          <w:color w:val="auto"/>
          <w:sz w:val="24"/>
          <w:szCs w:val="24"/>
        </w:rPr>
        <w:t>《中华人民共和国水法》（2016年7月修订）；</w:t>
      </w:r>
    </w:p>
    <w:p w14:paraId="7A05D913">
      <w:pPr>
        <w:numPr>
          <w:ilvl w:val="0"/>
          <w:numId w:val="0"/>
        </w:numPr>
        <w:spacing w:line="360" w:lineRule="auto"/>
        <w:ind w:left="425" w:leftChars="0" w:firstLine="480" w:firstLineChars="200"/>
        <w:rPr>
          <w:rFonts w:ascii="Times New Roman" w:hAnsi="Times New Roman" w:eastAsia="宋体" w:cs="宋体"/>
          <w:color w:val="auto"/>
          <w:sz w:val="24"/>
          <w:szCs w:val="24"/>
        </w:rPr>
      </w:pPr>
      <w:r>
        <w:rPr>
          <w:rFonts w:hint="default" w:ascii="Times New Roman" w:hAnsi="Times New Roman" w:eastAsia="宋体" w:cs="宋体"/>
          <w:color w:val="auto"/>
          <w:kern w:val="2"/>
          <w:sz w:val="24"/>
          <w:szCs w:val="24"/>
          <w:lang w:val="en-US" w:eastAsia="zh-CN" w:bidi="ar-SA"/>
        </w:rPr>
        <w:t>15.</w:t>
      </w:r>
      <w:r>
        <w:rPr>
          <w:rFonts w:hint="eastAsia" w:ascii="Times New Roman" w:hAnsi="Times New Roman" w:eastAsia="宋体" w:cs="宋体"/>
          <w:color w:val="auto"/>
          <w:sz w:val="24"/>
          <w:szCs w:val="24"/>
        </w:rPr>
        <w:t>《中华人民共和国湿地保护法》（2022年6月1日起施行）；</w:t>
      </w:r>
    </w:p>
    <w:p w14:paraId="4D659DEB">
      <w:pPr>
        <w:numPr>
          <w:ilvl w:val="0"/>
          <w:numId w:val="0"/>
        </w:numPr>
        <w:spacing w:line="360" w:lineRule="auto"/>
        <w:ind w:left="425" w:leftChars="0" w:firstLine="480" w:firstLineChars="200"/>
        <w:rPr>
          <w:rFonts w:ascii="Times New Roman" w:hAnsi="Times New Roman" w:eastAsia="宋体" w:cs="宋体"/>
          <w:color w:val="auto"/>
          <w:sz w:val="24"/>
          <w:szCs w:val="24"/>
        </w:rPr>
      </w:pPr>
      <w:r>
        <w:rPr>
          <w:rFonts w:hint="default" w:ascii="Times New Roman" w:hAnsi="Times New Roman" w:eastAsia="宋体" w:cs="宋体"/>
          <w:color w:val="auto"/>
          <w:kern w:val="2"/>
          <w:sz w:val="24"/>
          <w:szCs w:val="24"/>
          <w:lang w:val="en-US" w:eastAsia="zh-CN" w:bidi="ar-SA"/>
        </w:rPr>
        <w:t>16.</w:t>
      </w:r>
      <w:r>
        <w:rPr>
          <w:rFonts w:hint="eastAsia" w:ascii="Times New Roman" w:hAnsi="Times New Roman" w:eastAsia="宋体" w:cs="宋体"/>
          <w:color w:val="auto"/>
          <w:sz w:val="24"/>
          <w:szCs w:val="24"/>
        </w:rPr>
        <w:t>《国家级自然公园管理办法（试行）》（林保规〔2023〕4号）；</w:t>
      </w:r>
    </w:p>
    <w:p w14:paraId="4E682F7D">
      <w:pPr>
        <w:numPr>
          <w:ilvl w:val="0"/>
          <w:numId w:val="0"/>
        </w:numPr>
        <w:spacing w:line="360" w:lineRule="auto"/>
        <w:ind w:left="425" w:leftChars="0" w:firstLine="480" w:firstLineChars="200"/>
        <w:rPr>
          <w:rFonts w:ascii="Times New Roman" w:hAnsi="Times New Roman" w:eastAsia="宋体" w:cs="宋体"/>
          <w:color w:val="auto"/>
          <w:sz w:val="24"/>
          <w:szCs w:val="24"/>
        </w:rPr>
      </w:pPr>
      <w:r>
        <w:rPr>
          <w:rFonts w:hint="default" w:ascii="Times New Roman" w:hAnsi="Times New Roman" w:eastAsia="宋体" w:cs="宋体"/>
          <w:color w:val="auto"/>
          <w:kern w:val="2"/>
          <w:sz w:val="24"/>
          <w:szCs w:val="24"/>
          <w:lang w:val="en-US" w:eastAsia="zh-CN" w:bidi="ar-SA"/>
        </w:rPr>
        <w:t>17.</w:t>
      </w:r>
      <w:r>
        <w:rPr>
          <w:rFonts w:hint="eastAsia" w:ascii="Times New Roman" w:hAnsi="Times New Roman" w:eastAsia="宋体" w:cs="宋体"/>
          <w:color w:val="auto"/>
          <w:sz w:val="24"/>
          <w:szCs w:val="24"/>
        </w:rPr>
        <w:t>《危险化学品安全管理条例》（国务院令第645号，2013年12月）；</w:t>
      </w:r>
    </w:p>
    <w:p w14:paraId="0DF2B690">
      <w:pPr>
        <w:numPr>
          <w:ilvl w:val="0"/>
          <w:numId w:val="0"/>
        </w:numPr>
        <w:spacing w:line="360" w:lineRule="auto"/>
        <w:ind w:left="425" w:leftChars="0" w:firstLine="480" w:firstLineChars="200"/>
        <w:rPr>
          <w:rFonts w:ascii="Times New Roman" w:hAnsi="Times New Roman" w:eastAsia="宋体" w:cs="宋体"/>
          <w:color w:val="auto"/>
          <w:sz w:val="24"/>
          <w:szCs w:val="24"/>
        </w:rPr>
      </w:pPr>
      <w:r>
        <w:rPr>
          <w:rFonts w:hint="default" w:ascii="Times New Roman" w:hAnsi="Times New Roman" w:eastAsia="宋体" w:cs="宋体"/>
          <w:color w:val="auto"/>
          <w:kern w:val="2"/>
          <w:sz w:val="24"/>
          <w:szCs w:val="24"/>
          <w:lang w:val="en-US" w:eastAsia="zh-CN" w:bidi="ar-SA"/>
        </w:rPr>
        <w:t>18.</w:t>
      </w:r>
      <w:r>
        <w:rPr>
          <w:rFonts w:hint="eastAsia" w:ascii="Times New Roman" w:hAnsi="Times New Roman" w:eastAsia="宋体" w:cs="宋体"/>
          <w:color w:val="auto"/>
          <w:sz w:val="24"/>
          <w:szCs w:val="24"/>
        </w:rPr>
        <w:t>《关于落实科学发展观加强环境保护的决定》（国发[2005]39号）；</w:t>
      </w:r>
    </w:p>
    <w:p w14:paraId="33527839">
      <w:pPr>
        <w:numPr>
          <w:ilvl w:val="0"/>
          <w:numId w:val="0"/>
        </w:numPr>
        <w:spacing w:line="360" w:lineRule="auto"/>
        <w:ind w:left="425" w:leftChars="0" w:firstLine="480" w:firstLineChars="200"/>
        <w:rPr>
          <w:rFonts w:ascii="Times New Roman" w:hAnsi="Times New Roman" w:eastAsia="宋体" w:cs="宋体"/>
          <w:color w:val="auto"/>
          <w:sz w:val="24"/>
          <w:szCs w:val="24"/>
        </w:rPr>
      </w:pPr>
      <w:r>
        <w:rPr>
          <w:rFonts w:hint="default" w:ascii="Times New Roman" w:hAnsi="Times New Roman" w:eastAsia="宋体" w:cs="宋体"/>
          <w:color w:val="auto"/>
          <w:kern w:val="2"/>
          <w:sz w:val="24"/>
          <w:szCs w:val="24"/>
          <w:lang w:val="en-US" w:eastAsia="zh-CN" w:bidi="ar-SA"/>
        </w:rPr>
        <w:t>19.</w:t>
      </w:r>
      <w:r>
        <w:rPr>
          <w:rFonts w:hint="eastAsia" w:ascii="Times New Roman" w:hAnsi="Times New Roman" w:eastAsia="宋体" w:cs="宋体"/>
          <w:color w:val="auto"/>
          <w:sz w:val="24"/>
          <w:szCs w:val="24"/>
        </w:rPr>
        <w:t>《中共中央国务院关于深入打好污染防治攻坚战的意见》（2021年11月2日）；</w:t>
      </w:r>
    </w:p>
    <w:p w14:paraId="7DDAE83D">
      <w:pPr>
        <w:numPr>
          <w:ilvl w:val="0"/>
          <w:numId w:val="0"/>
        </w:numPr>
        <w:spacing w:line="360" w:lineRule="auto"/>
        <w:ind w:left="425" w:leftChars="0" w:firstLine="480" w:firstLineChars="200"/>
        <w:rPr>
          <w:rFonts w:ascii="Times New Roman" w:hAnsi="Times New Roman" w:eastAsia="宋体" w:cs="宋体"/>
          <w:color w:val="auto"/>
          <w:sz w:val="24"/>
          <w:szCs w:val="24"/>
        </w:rPr>
      </w:pPr>
      <w:r>
        <w:rPr>
          <w:rFonts w:hint="default" w:ascii="Times New Roman" w:hAnsi="Times New Roman" w:eastAsia="宋体" w:cs="宋体"/>
          <w:color w:val="auto"/>
          <w:kern w:val="2"/>
          <w:sz w:val="24"/>
          <w:szCs w:val="24"/>
          <w:lang w:val="en-US" w:eastAsia="zh-CN" w:bidi="ar-SA"/>
        </w:rPr>
        <w:t>20.</w:t>
      </w:r>
      <w:r>
        <w:rPr>
          <w:rFonts w:hint="eastAsia" w:ascii="Times New Roman" w:hAnsi="Times New Roman" w:eastAsia="宋体" w:cs="宋体"/>
          <w:color w:val="auto"/>
          <w:sz w:val="24"/>
          <w:szCs w:val="24"/>
        </w:rPr>
        <w:t>《建设项目环境保护管理条例》（国务院令第682号令，2017年7月修订）；</w:t>
      </w:r>
    </w:p>
    <w:p w14:paraId="520C5B94">
      <w:pPr>
        <w:numPr>
          <w:ilvl w:val="0"/>
          <w:numId w:val="0"/>
        </w:numPr>
        <w:spacing w:line="360" w:lineRule="auto"/>
        <w:ind w:left="425" w:leftChars="0" w:firstLine="480" w:firstLineChars="200"/>
        <w:rPr>
          <w:rFonts w:ascii="Times New Roman" w:hAnsi="Times New Roman" w:eastAsia="宋体" w:cs="宋体"/>
          <w:color w:val="auto"/>
          <w:sz w:val="24"/>
          <w:szCs w:val="24"/>
        </w:rPr>
      </w:pPr>
      <w:r>
        <w:rPr>
          <w:rFonts w:hint="default" w:ascii="Times New Roman" w:hAnsi="Times New Roman" w:eastAsia="宋体" w:cs="宋体"/>
          <w:color w:val="auto"/>
          <w:kern w:val="2"/>
          <w:sz w:val="24"/>
          <w:szCs w:val="24"/>
          <w:lang w:val="en-US" w:eastAsia="zh-CN" w:bidi="ar-SA"/>
        </w:rPr>
        <w:t>21.</w:t>
      </w:r>
      <w:r>
        <w:rPr>
          <w:rFonts w:ascii="Times New Roman" w:hAnsi="Times New Roman" w:eastAsia="宋体" w:cs="Times New Roman"/>
          <w:color w:val="auto"/>
          <w:sz w:val="24"/>
          <w:szCs w:val="24"/>
        </w:rPr>
        <w:t>《危险废物转移管理办法》</w:t>
      </w:r>
      <w:r>
        <w:rPr>
          <w:rFonts w:hint="eastAsia" w:ascii="Times New Roman" w:hAnsi="Times New Roman" w:eastAsia="宋体" w:cs="Times New Roman"/>
          <w:color w:val="auto"/>
          <w:sz w:val="24"/>
          <w:szCs w:val="24"/>
        </w:rPr>
        <w:t>（生态环境部公安部交通运输部部</w:t>
      </w:r>
      <w:r>
        <w:rPr>
          <w:rFonts w:ascii="Times New Roman" w:hAnsi="Times New Roman" w:eastAsia="宋体" w:cs="Times New Roman"/>
          <w:color w:val="auto"/>
          <w:sz w:val="24"/>
          <w:szCs w:val="24"/>
        </w:rPr>
        <w:t>令第</w:t>
      </w:r>
      <w:r>
        <w:rPr>
          <w:rFonts w:hint="eastAsia" w:ascii="Times New Roman" w:hAnsi="Times New Roman" w:eastAsia="宋体" w:cs="Times New Roman"/>
          <w:color w:val="auto"/>
          <w:sz w:val="24"/>
          <w:szCs w:val="24"/>
        </w:rPr>
        <w:t>23</w:t>
      </w:r>
      <w:r>
        <w:rPr>
          <w:rFonts w:ascii="Times New Roman" w:hAnsi="Times New Roman" w:eastAsia="宋体" w:cs="Times New Roman"/>
          <w:color w:val="auto"/>
          <w:sz w:val="24"/>
          <w:szCs w:val="24"/>
        </w:rPr>
        <w:t>号，</w:t>
      </w:r>
      <w:r>
        <w:rPr>
          <w:rFonts w:hint="eastAsia" w:ascii="Times New Roman" w:hAnsi="Times New Roman" w:eastAsia="宋体" w:cs="Times New Roman"/>
          <w:color w:val="auto"/>
          <w:sz w:val="24"/>
          <w:szCs w:val="24"/>
        </w:rPr>
        <w:t>2022.</w:t>
      </w:r>
      <w:r>
        <w:rPr>
          <w:rFonts w:ascii="Times New Roman" w:hAnsi="Times New Roman" w:eastAsia="宋体" w:cs="Times New Roman"/>
          <w:color w:val="auto"/>
          <w:sz w:val="24"/>
          <w:szCs w:val="24"/>
        </w:rPr>
        <w:t>1</w:t>
      </w:r>
      <w:r>
        <w:rPr>
          <w:rFonts w:hint="eastAsia" w:ascii="Times New Roman" w:hAnsi="Times New Roman" w:eastAsia="宋体" w:cs="Times New Roman"/>
          <w:color w:val="auto"/>
          <w:sz w:val="24"/>
          <w:szCs w:val="24"/>
        </w:rPr>
        <w:t>.</w:t>
      </w:r>
      <w:r>
        <w:rPr>
          <w:rFonts w:ascii="Times New Roman" w:hAnsi="Times New Roman" w:eastAsia="宋体" w:cs="Times New Roman"/>
          <w:color w:val="auto"/>
          <w:sz w:val="24"/>
          <w:szCs w:val="24"/>
        </w:rPr>
        <w:t>1实施</w:t>
      </w:r>
      <w:r>
        <w:rPr>
          <w:rFonts w:hint="eastAsia" w:ascii="Times New Roman" w:hAnsi="Times New Roman" w:eastAsia="宋体" w:cs="Times New Roman"/>
          <w:color w:val="auto"/>
          <w:sz w:val="24"/>
          <w:szCs w:val="24"/>
        </w:rPr>
        <w:t>）</w:t>
      </w:r>
      <w:r>
        <w:rPr>
          <w:rFonts w:hint="eastAsia" w:ascii="Times New Roman" w:hAnsi="Times New Roman" w:eastAsia="宋体" w:cs="宋体"/>
          <w:color w:val="auto"/>
          <w:sz w:val="24"/>
          <w:szCs w:val="24"/>
        </w:rPr>
        <w:t>；</w:t>
      </w:r>
    </w:p>
    <w:p w14:paraId="3F221A80">
      <w:pPr>
        <w:numPr>
          <w:ilvl w:val="0"/>
          <w:numId w:val="0"/>
        </w:numPr>
        <w:spacing w:line="360" w:lineRule="auto"/>
        <w:ind w:left="425" w:leftChars="0" w:firstLine="480" w:firstLineChars="200"/>
        <w:rPr>
          <w:rFonts w:ascii="Times New Roman" w:hAnsi="Times New Roman" w:eastAsia="宋体" w:cs="宋体"/>
          <w:color w:val="auto"/>
          <w:sz w:val="24"/>
          <w:szCs w:val="24"/>
        </w:rPr>
      </w:pPr>
      <w:r>
        <w:rPr>
          <w:rFonts w:hint="default" w:ascii="Times New Roman" w:hAnsi="Times New Roman" w:eastAsia="宋体" w:cs="宋体"/>
          <w:color w:val="auto"/>
          <w:kern w:val="2"/>
          <w:sz w:val="24"/>
          <w:szCs w:val="24"/>
          <w:lang w:val="en-US" w:eastAsia="zh-CN" w:bidi="ar-SA"/>
        </w:rPr>
        <w:t>22.</w:t>
      </w:r>
      <w:r>
        <w:rPr>
          <w:rFonts w:hint="eastAsia" w:ascii="Times New Roman" w:hAnsi="Times New Roman" w:eastAsia="宋体" w:cs="宋体"/>
          <w:color w:val="auto"/>
          <w:sz w:val="24"/>
          <w:szCs w:val="24"/>
        </w:rPr>
        <w:t>《环境影响评价公众参与办法》（2019年1月1日起施行）；</w:t>
      </w:r>
    </w:p>
    <w:p w14:paraId="1A5F8342">
      <w:pPr>
        <w:numPr>
          <w:ilvl w:val="0"/>
          <w:numId w:val="0"/>
        </w:numPr>
        <w:spacing w:line="360" w:lineRule="auto"/>
        <w:ind w:left="425" w:leftChars="0" w:firstLine="480" w:firstLineChars="200"/>
        <w:rPr>
          <w:rFonts w:ascii="Times New Roman" w:hAnsi="Times New Roman" w:eastAsia="宋体" w:cs="宋体"/>
          <w:color w:val="auto"/>
          <w:sz w:val="24"/>
          <w:szCs w:val="24"/>
        </w:rPr>
      </w:pPr>
      <w:r>
        <w:rPr>
          <w:rFonts w:hint="default" w:ascii="Times New Roman" w:hAnsi="Times New Roman" w:eastAsia="宋体" w:cs="宋体"/>
          <w:color w:val="auto"/>
          <w:kern w:val="2"/>
          <w:sz w:val="24"/>
          <w:szCs w:val="24"/>
          <w:lang w:val="en-US" w:eastAsia="zh-CN" w:bidi="ar-SA"/>
        </w:rPr>
        <w:t>23.</w:t>
      </w:r>
      <w:r>
        <w:rPr>
          <w:rFonts w:hint="eastAsia" w:ascii="Times New Roman" w:hAnsi="Times New Roman" w:eastAsia="宋体" w:cs="宋体"/>
          <w:color w:val="auto"/>
          <w:sz w:val="24"/>
          <w:szCs w:val="24"/>
        </w:rPr>
        <w:t>《关于加强土壤污染防治工作的意见》（环发[2008]48号）；</w:t>
      </w:r>
    </w:p>
    <w:p w14:paraId="5D3B3DE3">
      <w:pPr>
        <w:numPr>
          <w:ilvl w:val="0"/>
          <w:numId w:val="0"/>
        </w:numPr>
        <w:spacing w:line="360" w:lineRule="auto"/>
        <w:ind w:left="425" w:leftChars="0" w:firstLine="480" w:firstLineChars="200"/>
        <w:rPr>
          <w:rFonts w:ascii="Times New Roman" w:hAnsi="Times New Roman" w:eastAsia="宋体" w:cs="宋体"/>
          <w:color w:val="auto"/>
          <w:sz w:val="24"/>
          <w:szCs w:val="24"/>
        </w:rPr>
      </w:pPr>
      <w:r>
        <w:rPr>
          <w:rFonts w:hint="default" w:ascii="Times New Roman" w:hAnsi="Times New Roman" w:eastAsia="宋体" w:cs="宋体"/>
          <w:color w:val="auto"/>
          <w:kern w:val="2"/>
          <w:sz w:val="24"/>
          <w:szCs w:val="24"/>
          <w:lang w:val="en-US" w:eastAsia="zh-CN" w:bidi="ar-SA"/>
        </w:rPr>
        <w:t>24.</w:t>
      </w:r>
      <w:r>
        <w:rPr>
          <w:rFonts w:hint="eastAsia" w:ascii="Times New Roman" w:hAnsi="Times New Roman" w:eastAsia="宋体" w:cs="宋体"/>
          <w:color w:val="auto"/>
          <w:sz w:val="24"/>
          <w:szCs w:val="24"/>
        </w:rPr>
        <w:t>《关于进一步加强环境影响评价管理防范环境风险的通知》（环发[2012]77号）；</w:t>
      </w:r>
    </w:p>
    <w:p w14:paraId="44C20F2C">
      <w:pPr>
        <w:numPr>
          <w:ilvl w:val="0"/>
          <w:numId w:val="0"/>
        </w:numPr>
        <w:spacing w:line="360" w:lineRule="auto"/>
        <w:ind w:left="425" w:leftChars="0" w:firstLine="480" w:firstLineChars="200"/>
        <w:rPr>
          <w:rFonts w:ascii="Times New Roman" w:hAnsi="Times New Roman" w:eastAsia="宋体" w:cs="宋体"/>
          <w:color w:val="auto"/>
          <w:sz w:val="24"/>
          <w:szCs w:val="24"/>
        </w:rPr>
      </w:pPr>
      <w:r>
        <w:rPr>
          <w:rFonts w:hint="default" w:ascii="Times New Roman" w:hAnsi="Times New Roman" w:eastAsia="宋体" w:cs="宋体"/>
          <w:color w:val="auto"/>
          <w:kern w:val="2"/>
          <w:sz w:val="24"/>
          <w:szCs w:val="24"/>
          <w:lang w:val="en-US" w:eastAsia="zh-CN" w:bidi="ar-SA"/>
        </w:rPr>
        <w:t>25.</w:t>
      </w:r>
      <w:r>
        <w:rPr>
          <w:rFonts w:hint="eastAsia" w:ascii="Times New Roman" w:hAnsi="Times New Roman" w:eastAsia="宋体" w:cs="宋体"/>
          <w:color w:val="auto"/>
          <w:sz w:val="24"/>
          <w:szCs w:val="24"/>
        </w:rPr>
        <w:t>《关于切实加强风险防范严格环境影响评价管理的通知》（环发[2012]98号）；</w:t>
      </w:r>
    </w:p>
    <w:p w14:paraId="63CCDF6D">
      <w:pPr>
        <w:numPr>
          <w:ilvl w:val="0"/>
          <w:numId w:val="0"/>
        </w:numPr>
        <w:spacing w:line="360" w:lineRule="auto"/>
        <w:ind w:left="425" w:leftChars="0" w:firstLine="480" w:firstLineChars="200"/>
        <w:rPr>
          <w:rFonts w:ascii="Times New Roman" w:hAnsi="Times New Roman" w:eastAsia="宋体" w:cs="宋体"/>
          <w:color w:val="auto"/>
          <w:sz w:val="24"/>
          <w:szCs w:val="24"/>
        </w:rPr>
      </w:pPr>
      <w:r>
        <w:rPr>
          <w:rFonts w:hint="default" w:ascii="Times New Roman" w:hAnsi="Times New Roman" w:eastAsia="宋体" w:cs="宋体"/>
          <w:color w:val="auto"/>
          <w:kern w:val="2"/>
          <w:sz w:val="24"/>
          <w:szCs w:val="24"/>
          <w:lang w:val="en-US" w:eastAsia="zh-CN" w:bidi="ar-SA"/>
        </w:rPr>
        <w:t>26.</w:t>
      </w:r>
      <w:r>
        <w:rPr>
          <w:rFonts w:hint="eastAsia" w:ascii="Times New Roman" w:hAnsi="Times New Roman" w:eastAsia="宋体" w:cs="宋体"/>
          <w:color w:val="auto"/>
          <w:sz w:val="24"/>
          <w:szCs w:val="24"/>
        </w:rPr>
        <w:t>《关于切实加强环境影响评价监督管理工作的通知》（环办[2013]104号）；</w:t>
      </w:r>
    </w:p>
    <w:p w14:paraId="45A44DA3">
      <w:pPr>
        <w:numPr>
          <w:ilvl w:val="0"/>
          <w:numId w:val="0"/>
        </w:numPr>
        <w:spacing w:line="360" w:lineRule="auto"/>
        <w:ind w:left="425" w:leftChars="0" w:firstLine="480" w:firstLineChars="200"/>
        <w:rPr>
          <w:rFonts w:ascii="Times New Roman" w:hAnsi="Times New Roman" w:eastAsia="宋体" w:cs="宋体"/>
          <w:color w:val="auto"/>
          <w:sz w:val="24"/>
          <w:szCs w:val="24"/>
        </w:rPr>
      </w:pPr>
      <w:r>
        <w:rPr>
          <w:rFonts w:hint="default" w:ascii="Times New Roman" w:hAnsi="Times New Roman" w:eastAsia="宋体" w:cs="宋体"/>
          <w:color w:val="auto"/>
          <w:kern w:val="2"/>
          <w:sz w:val="24"/>
          <w:szCs w:val="24"/>
          <w:lang w:val="en-US" w:eastAsia="zh-CN" w:bidi="ar-SA"/>
        </w:rPr>
        <w:t>27.</w:t>
      </w:r>
      <w:r>
        <w:rPr>
          <w:rFonts w:hint="eastAsia" w:ascii="Times New Roman" w:hAnsi="Times New Roman" w:eastAsia="宋体" w:cs="宋体"/>
          <w:color w:val="auto"/>
          <w:sz w:val="24"/>
          <w:szCs w:val="24"/>
        </w:rPr>
        <w:t>《关于落实大气污染防治行动计划严格环境影响评价准入的通知》（环办[2014]30号）；</w:t>
      </w:r>
    </w:p>
    <w:p w14:paraId="4B43356A">
      <w:pPr>
        <w:numPr>
          <w:ilvl w:val="0"/>
          <w:numId w:val="0"/>
        </w:numPr>
        <w:spacing w:line="360" w:lineRule="auto"/>
        <w:ind w:left="425" w:leftChars="0" w:firstLine="480" w:firstLineChars="200"/>
        <w:rPr>
          <w:rFonts w:ascii="Times New Roman" w:hAnsi="Times New Roman" w:eastAsia="宋体" w:cs="宋体"/>
          <w:color w:val="auto"/>
          <w:sz w:val="24"/>
          <w:szCs w:val="24"/>
        </w:rPr>
      </w:pPr>
      <w:r>
        <w:rPr>
          <w:rFonts w:hint="default" w:ascii="Times New Roman" w:hAnsi="Times New Roman" w:eastAsia="宋体" w:cs="宋体"/>
          <w:color w:val="auto"/>
          <w:kern w:val="2"/>
          <w:sz w:val="24"/>
          <w:szCs w:val="24"/>
          <w:lang w:val="en-US" w:eastAsia="zh-CN" w:bidi="ar-SA"/>
        </w:rPr>
        <w:t>28.</w:t>
      </w:r>
      <w:r>
        <w:rPr>
          <w:rFonts w:hint="eastAsia" w:ascii="Times New Roman" w:hAnsi="Times New Roman" w:eastAsia="宋体" w:cs="宋体"/>
          <w:color w:val="auto"/>
          <w:sz w:val="24"/>
          <w:szCs w:val="24"/>
        </w:rPr>
        <w:t>《长江经济带生态环境保护规划》（环规财〔2017〕88号）；</w:t>
      </w:r>
    </w:p>
    <w:p w14:paraId="6C64FD1F">
      <w:pPr>
        <w:numPr>
          <w:ilvl w:val="0"/>
          <w:numId w:val="0"/>
        </w:numPr>
        <w:spacing w:line="360" w:lineRule="auto"/>
        <w:ind w:left="425" w:leftChars="0" w:firstLine="480" w:firstLineChars="200"/>
        <w:rPr>
          <w:rFonts w:ascii="Times New Roman" w:hAnsi="Times New Roman" w:eastAsia="宋体" w:cs="宋体"/>
          <w:color w:val="auto"/>
          <w:sz w:val="24"/>
          <w:szCs w:val="24"/>
        </w:rPr>
      </w:pPr>
      <w:r>
        <w:rPr>
          <w:rFonts w:hint="default" w:ascii="Times New Roman" w:hAnsi="Times New Roman" w:eastAsia="宋体" w:cs="宋体"/>
          <w:color w:val="auto"/>
          <w:kern w:val="2"/>
          <w:sz w:val="24"/>
          <w:szCs w:val="24"/>
          <w:lang w:val="en-US" w:eastAsia="zh-CN" w:bidi="ar-SA"/>
        </w:rPr>
        <w:t>29.</w:t>
      </w:r>
      <w:r>
        <w:rPr>
          <w:rFonts w:hint="eastAsia" w:ascii="Times New Roman" w:hAnsi="Times New Roman" w:eastAsia="宋体" w:cs="宋体"/>
          <w:color w:val="auto"/>
          <w:sz w:val="24"/>
          <w:szCs w:val="24"/>
        </w:rPr>
        <w:t>《突发环境事件应急管理办法》（环保部令第34号，2015年4月）</w:t>
      </w:r>
    </w:p>
    <w:p w14:paraId="794F7164">
      <w:pPr>
        <w:numPr>
          <w:ilvl w:val="0"/>
          <w:numId w:val="0"/>
        </w:numPr>
        <w:spacing w:line="360" w:lineRule="auto"/>
        <w:ind w:left="425" w:leftChars="0" w:firstLine="480" w:firstLineChars="200"/>
        <w:rPr>
          <w:rFonts w:ascii="Times New Roman" w:hAnsi="Times New Roman" w:eastAsia="宋体" w:cs="宋体"/>
          <w:color w:val="auto"/>
          <w:sz w:val="24"/>
          <w:szCs w:val="24"/>
        </w:rPr>
      </w:pPr>
      <w:r>
        <w:rPr>
          <w:rFonts w:hint="default" w:ascii="Times New Roman" w:hAnsi="Times New Roman" w:eastAsia="宋体" w:cs="宋体"/>
          <w:color w:val="auto"/>
          <w:kern w:val="2"/>
          <w:sz w:val="24"/>
          <w:szCs w:val="24"/>
          <w:lang w:val="en-US" w:eastAsia="zh-CN" w:bidi="ar-SA"/>
        </w:rPr>
        <w:t>30.</w:t>
      </w:r>
      <w:r>
        <w:rPr>
          <w:rFonts w:hint="eastAsia" w:ascii="Times New Roman" w:hAnsi="Times New Roman" w:eastAsia="宋体" w:cs="宋体"/>
          <w:color w:val="auto"/>
          <w:sz w:val="24"/>
          <w:szCs w:val="24"/>
        </w:rPr>
        <w:t>《国家危险废物名录》（2022年版）；</w:t>
      </w:r>
    </w:p>
    <w:p w14:paraId="77BDEF27">
      <w:pPr>
        <w:numPr>
          <w:ilvl w:val="0"/>
          <w:numId w:val="0"/>
        </w:numPr>
        <w:spacing w:line="360" w:lineRule="auto"/>
        <w:ind w:left="425" w:leftChars="0" w:firstLine="480" w:firstLineChars="200"/>
        <w:rPr>
          <w:rFonts w:ascii="Times New Roman" w:hAnsi="Times New Roman" w:eastAsia="宋体" w:cs="宋体"/>
          <w:color w:val="auto"/>
          <w:sz w:val="24"/>
          <w:szCs w:val="24"/>
        </w:rPr>
      </w:pPr>
      <w:r>
        <w:rPr>
          <w:rFonts w:hint="default" w:ascii="Times New Roman" w:hAnsi="Times New Roman" w:eastAsia="宋体" w:cs="宋体"/>
          <w:color w:val="auto"/>
          <w:kern w:val="2"/>
          <w:sz w:val="24"/>
          <w:szCs w:val="24"/>
          <w:lang w:val="en-US" w:eastAsia="zh-CN" w:bidi="ar-SA"/>
        </w:rPr>
        <w:t>31.</w:t>
      </w:r>
      <w:r>
        <w:rPr>
          <w:rFonts w:hint="eastAsia" w:ascii="Times New Roman" w:hAnsi="Times New Roman" w:eastAsia="宋体" w:cs="宋体"/>
          <w:color w:val="auto"/>
          <w:sz w:val="24"/>
          <w:szCs w:val="24"/>
        </w:rPr>
        <w:t>《中华人民共和国长江保护法》（2022年3月1日）；</w:t>
      </w:r>
    </w:p>
    <w:p w14:paraId="4C8CA5AD">
      <w:pPr>
        <w:numPr>
          <w:ilvl w:val="0"/>
          <w:numId w:val="0"/>
        </w:numPr>
        <w:spacing w:line="360" w:lineRule="auto"/>
        <w:ind w:left="425" w:leftChars="0" w:firstLine="480" w:firstLineChars="200"/>
        <w:rPr>
          <w:rFonts w:ascii="Times New Roman" w:hAnsi="Times New Roman" w:eastAsia="宋体" w:cs="宋体"/>
          <w:color w:val="auto"/>
          <w:sz w:val="24"/>
          <w:szCs w:val="24"/>
        </w:rPr>
      </w:pPr>
      <w:r>
        <w:rPr>
          <w:rFonts w:hint="default" w:ascii="Times New Roman" w:hAnsi="Times New Roman" w:eastAsia="宋体" w:cs="宋体"/>
          <w:color w:val="auto"/>
          <w:kern w:val="2"/>
          <w:sz w:val="24"/>
          <w:szCs w:val="24"/>
          <w:lang w:val="en-US" w:eastAsia="zh-CN" w:bidi="ar-SA"/>
        </w:rPr>
        <w:t>32.</w:t>
      </w:r>
      <w:r>
        <w:rPr>
          <w:rFonts w:hint="eastAsia" w:ascii="Times New Roman" w:hAnsi="Times New Roman" w:eastAsia="宋体" w:cs="宋体"/>
          <w:color w:val="auto"/>
          <w:sz w:val="24"/>
          <w:szCs w:val="24"/>
        </w:rPr>
        <w:t>《建设项目环境影响评价分类管理名录》（2022年1月1日）；</w:t>
      </w:r>
    </w:p>
    <w:p w14:paraId="4ABCB716">
      <w:pPr>
        <w:numPr>
          <w:ilvl w:val="0"/>
          <w:numId w:val="0"/>
        </w:numPr>
        <w:spacing w:line="360" w:lineRule="auto"/>
        <w:ind w:left="425" w:leftChars="0" w:firstLine="480" w:firstLineChars="200"/>
        <w:rPr>
          <w:rFonts w:ascii="Times New Roman" w:hAnsi="Times New Roman" w:eastAsia="宋体" w:cs="宋体"/>
          <w:color w:val="auto"/>
          <w:sz w:val="24"/>
          <w:szCs w:val="24"/>
        </w:rPr>
      </w:pPr>
      <w:r>
        <w:rPr>
          <w:rFonts w:hint="default" w:ascii="Times New Roman" w:hAnsi="Times New Roman" w:eastAsia="宋体" w:cs="宋体"/>
          <w:color w:val="auto"/>
          <w:kern w:val="2"/>
          <w:sz w:val="24"/>
          <w:szCs w:val="24"/>
          <w:lang w:val="en-US" w:eastAsia="zh-CN" w:bidi="ar-SA"/>
        </w:rPr>
        <w:t>33.</w:t>
      </w:r>
      <w:r>
        <w:rPr>
          <w:rFonts w:hint="eastAsia" w:ascii="Times New Roman" w:hAnsi="Times New Roman" w:eastAsia="宋体" w:cs="宋体"/>
          <w:color w:val="auto"/>
          <w:sz w:val="24"/>
          <w:szCs w:val="24"/>
        </w:rPr>
        <w:t>《环境保护综合名录（2021年版）》（2022年11月2日）；</w:t>
      </w:r>
    </w:p>
    <w:p w14:paraId="44C8ADA5">
      <w:pPr>
        <w:numPr>
          <w:ilvl w:val="0"/>
          <w:numId w:val="0"/>
        </w:numPr>
        <w:spacing w:line="360" w:lineRule="auto"/>
        <w:ind w:left="425" w:leftChars="0" w:firstLine="480" w:firstLineChars="200"/>
        <w:rPr>
          <w:rFonts w:ascii="Times New Roman" w:hAnsi="Times New Roman" w:eastAsia="宋体" w:cs="宋体"/>
          <w:color w:val="auto"/>
          <w:sz w:val="24"/>
          <w:szCs w:val="24"/>
        </w:rPr>
      </w:pPr>
      <w:r>
        <w:rPr>
          <w:rFonts w:hint="default" w:ascii="Times New Roman" w:hAnsi="Times New Roman" w:eastAsia="宋体" w:cs="宋体"/>
          <w:color w:val="auto"/>
          <w:kern w:val="2"/>
          <w:sz w:val="24"/>
          <w:szCs w:val="24"/>
          <w:lang w:val="en-US" w:eastAsia="zh-CN" w:bidi="ar-SA"/>
        </w:rPr>
        <w:t>34.</w:t>
      </w:r>
      <w:r>
        <w:rPr>
          <w:color w:val="auto"/>
        </w:rPr>
        <w:fldChar w:fldCharType="begin"/>
      </w:r>
      <w:r>
        <w:rPr>
          <w:color w:val="auto"/>
        </w:rPr>
        <w:instrText xml:space="preserve"> HYPERLINK "https://www.baidu.com/link?url=wZ_ByP3B-i4RvmHXhFmt-hgiQuGjCbOTACV4ZycZ2ne1Oo6aY4LeboX5smSDubiqQPeV_6pI-2Nsavk56E_DpLeInxH0qZRXeQ7aJToN9AK&amp;wd=&amp;eqid=9d81f6040002b0d4000000065b67f2c6" \t "_blank" </w:instrText>
      </w:r>
      <w:r>
        <w:rPr>
          <w:color w:val="auto"/>
        </w:rPr>
        <w:fldChar w:fldCharType="separate"/>
      </w:r>
      <w:r>
        <w:rPr>
          <w:rFonts w:ascii="Times New Roman" w:hAnsi="Times New Roman" w:eastAsia="宋体" w:cs="宋体"/>
          <w:color w:val="auto"/>
          <w:sz w:val="24"/>
          <w:szCs w:val="24"/>
        </w:rPr>
        <w:t>《重点行业挥发性有机物综合治理方案》</w:t>
      </w:r>
      <w:r>
        <w:rPr>
          <w:rFonts w:ascii="Times New Roman" w:hAnsi="Times New Roman" w:eastAsia="宋体" w:cs="宋体"/>
          <w:color w:val="auto"/>
          <w:sz w:val="24"/>
          <w:szCs w:val="24"/>
        </w:rPr>
        <w:fldChar w:fldCharType="end"/>
      </w:r>
      <w:r>
        <w:rPr>
          <w:rFonts w:ascii="Times New Roman" w:hAnsi="Times New Roman" w:eastAsia="宋体" w:cs="宋体"/>
          <w:color w:val="auto"/>
          <w:sz w:val="24"/>
          <w:szCs w:val="24"/>
        </w:rPr>
        <w:t>（环大气[2019]53号）</w:t>
      </w:r>
      <w:r>
        <w:rPr>
          <w:rFonts w:hint="eastAsia" w:ascii="Times New Roman" w:hAnsi="Times New Roman" w:eastAsia="宋体" w:cs="宋体"/>
          <w:color w:val="auto"/>
          <w:sz w:val="24"/>
          <w:szCs w:val="24"/>
        </w:rPr>
        <w:t>；</w:t>
      </w:r>
    </w:p>
    <w:p w14:paraId="61BA66EF">
      <w:pPr>
        <w:numPr>
          <w:ilvl w:val="0"/>
          <w:numId w:val="0"/>
        </w:numPr>
        <w:spacing w:line="360" w:lineRule="auto"/>
        <w:ind w:left="425" w:leftChars="0" w:firstLine="480" w:firstLineChars="200"/>
        <w:rPr>
          <w:rFonts w:ascii="Times New Roman" w:hAnsi="Times New Roman" w:eastAsia="宋体" w:cs="宋体"/>
          <w:color w:val="auto"/>
          <w:sz w:val="24"/>
          <w:szCs w:val="24"/>
        </w:rPr>
      </w:pPr>
      <w:r>
        <w:rPr>
          <w:rFonts w:hint="default" w:ascii="Times New Roman" w:hAnsi="Times New Roman" w:eastAsia="宋体" w:cs="宋体"/>
          <w:color w:val="auto"/>
          <w:kern w:val="2"/>
          <w:sz w:val="24"/>
          <w:szCs w:val="24"/>
          <w:lang w:val="en-US" w:eastAsia="zh-CN" w:bidi="ar-SA"/>
        </w:rPr>
        <w:t>35.</w:t>
      </w:r>
      <w:r>
        <w:rPr>
          <w:rFonts w:ascii="Times New Roman" w:hAnsi="Times New Roman" w:eastAsia="宋体" w:cs="宋体"/>
          <w:color w:val="auto"/>
          <w:sz w:val="24"/>
          <w:szCs w:val="24"/>
        </w:rPr>
        <w:t>《挥发性有机物无组织排放控制标准》(GB37822-2019)</w:t>
      </w:r>
      <w:r>
        <w:rPr>
          <w:rFonts w:hint="eastAsia" w:ascii="Times New Roman" w:hAnsi="Times New Roman" w:eastAsia="宋体" w:cs="宋体"/>
          <w:color w:val="auto"/>
          <w:sz w:val="24"/>
          <w:szCs w:val="24"/>
        </w:rPr>
        <w:t>；</w:t>
      </w:r>
    </w:p>
    <w:p w14:paraId="470BD06A">
      <w:pPr>
        <w:numPr>
          <w:ilvl w:val="0"/>
          <w:numId w:val="0"/>
        </w:numPr>
        <w:spacing w:line="360" w:lineRule="auto"/>
        <w:ind w:left="425" w:leftChars="0" w:firstLine="480" w:firstLineChars="200"/>
        <w:rPr>
          <w:rFonts w:ascii="Times New Roman" w:hAnsi="Times New Roman" w:eastAsia="宋体" w:cs="宋体"/>
          <w:color w:val="auto"/>
          <w:sz w:val="24"/>
          <w:szCs w:val="24"/>
        </w:rPr>
      </w:pPr>
      <w:r>
        <w:rPr>
          <w:rFonts w:hint="default" w:ascii="Times New Roman" w:hAnsi="Times New Roman" w:eastAsia="宋体" w:cs="宋体"/>
          <w:color w:val="auto"/>
          <w:kern w:val="2"/>
          <w:sz w:val="24"/>
          <w:szCs w:val="24"/>
          <w:lang w:val="en-US" w:eastAsia="zh-CN" w:bidi="ar-SA"/>
        </w:rPr>
        <w:t>36.</w:t>
      </w:r>
      <w:r>
        <w:rPr>
          <w:rFonts w:hint="eastAsia" w:ascii="Times New Roman" w:hAnsi="Times New Roman" w:eastAsia="宋体" w:cs="宋体"/>
          <w:color w:val="auto"/>
          <w:sz w:val="24"/>
          <w:szCs w:val="24"/>
        </w:rPr>
        <w:t>《一般工业固体废物贮存和填埋污染控制标准》（GB18599-2020）；</w:t>
      </w:r>
    </w:p>
    <w:p w14:paraId="2B475A6F">
      <w:pPr>
        <w:numPr>
          <w:ilvl w:val="0"/>
          <w:numId w:val="0"/>
        </w:numPr>
        <w:spacing w:line="360" w:lineRule="auto"/>
        <w:ind w:left="425" w:leftChars="0" w:firstLine="480" w:firstLineChars="200"/>
        <w:rPr>
          <w:rFonts w:ascii="Times New Roman" w:hAnsi="Times New Roman" w:eastAsia="宋体" w:cs="宋体"/>
          <w:color w:val="auto"/>
          <w:sz w:val="24"/>
          <w:szCs w:val="24"/>
        </w:rPr>
      </w:pPr>
      <w:r>
        <w:rPr>
          <w:rFonts w:hint="default" w:ascii="Times New Roman" w:hAnsi="Times New Roman" w:eastAsia="宋体" w:cs="宋体"/>
          <w:color w:val="auto"/>
          <w:kern w:val="2"/>
          <w:sz w:val="24"/>
          <w:szCs w:val="24"/>
          <w:lang w:val="en-US" w:eastAsia="zh-CN" w:bidi="ar-SA"/>
        </w:rPr>
        <w:t>37.</w:t>
      </w:r>
      <w:r>
        <w:rPr>
          <w:rFonts w:hint="eastAsia" w:ascii="Times New Roman" w:hAnsi="Times New Roman" w:eastAsia="宋体" w:cs="宋体"/>
          <w:color w:val="auto"/>
          <w:sz w:val="24"/>
          <w:szCs w:val="24"/>
        </w:rPr>
        <w:t>《危险废物贮存污染控制标准》（GB18597-2023）；</w:t>
      </w:r>
    </w:p>
    <w:p w14:paraId="13027B9A">
      <w:pPr>
        <w:keepNext/>
        <w:keepLines/>
        <w:spacing w:before="156" w:beforeLines="50" w:after="156" w:afterLines="50" w:line="360" w:lineRule="auto"/>
        <w:outlineLvl w:val="2"/>
        <w:rPr>
          <w:rFonts w:ascii="Times New Roman" w:hAnsi="Times New Roman" w:eastAsia="宋体" w:cs="Times New Roman"/>
          <w:b/>
          <w:color w:val="auto"/>
          <w:kern w:val="0"/>
          <w:sz w:val="24"/>
          <w:szCs w:val="24"/>
        </w:rPr>
      </w:pPr>
      <w:r>
        <w:rPr>
          <w:rFonts w:ascii="Times New Roman" w:hAnsi="Times New Roman" w:eastAsia="宋体" w:cs="Times New Roman"/>
          <w:b/>
          <w:color w:val="auto"/>
          <w:kern w:val="0"/>
          <w:sz w:val="24"/>
          <w:szCs w:val="24"/>
        </w:rPr>
        <w:t>2.1.</w:t>
      </w:r>
      <w:r>
        <w:rPr>
          <w:rFonts w:hint="eastAsia" w:ascii="Times New Roman" w:hAnsi="Times New Roman" w:eastAsia="宋体" w:cs="Times New Roman"/>
          <w:b/>
          <w:color w:val="auto"/>
          <w:kern w:val="0"/>
          <w:sz w:val="24"/>
          <w:szCs w:val="24"/>
        </w:rPr>
        <w:t>2地方法规及政策依据</w:t>
      </w:r>
    </w:p>
    <w:p w14:paraId="614C8BB3">
      <w:pPr>
        <w:numPr>
          <w:ilvl w:val="0"/>
          <w:numId w:val="3"/>
        </w:numPr>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《湖南省主要水系地表水环境功能区划》(DB43/023-2005)；</w:t>
      </w:r>
    </w:p>
    <w:p w14:paraId="50983A2D">
      <w:pPr>
        <w:numPr>
          <w:ilvl w:val="0"/>
          <w:numId w:val="3"/>
        </w:numPr>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《湖南省建设项目环境保护管理办法》(湖南省人民政府令第215号)；</w:t>
      </w:r>
    </w:p>
    <w:p w14:paraId="7AFCBC9E">
      <w:pPr>
        <w:numPr>
          <w:ilvl w:val="0"/>
          <w:numId w:val="3"/>
        </w:numPr>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《关于建设项目环境管理有关问题的通知》(湘环发[2002]80号)；</w:t>
      </w:r>
    </w:p>
    <w:p w14:paraId="4CDCE54B">
      <w:pPr>
        <w:numPr>
          <w:ilvl w:val="0"/>
          <w:numId w:val="3"/>
        </w:numPr>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《湖南省环境保护条例》，2019年9月28日修订；</w:t>
      </w:r>
    </w:p>
    <w:p w14:paraId="51555DAA">
      <w:pPr>
        <w:numPr>
          <w:ilvl w:val="0"/>
          <w:numId w:val="3"/>
        </w:numPr>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《湖南省建设项目环境管理规定》(湖南省人民政府第12号令)；</w:t>
      </w:r>
    </w:p>
    <w:p w14:paraId="52F7206B">
      <w:pPr>
        <w:numPr>
          <w:ilvl w:val="0"/>
          <w:numId w:val="3"/>
        </w:numPr>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《湖南省人民政府关于印发&lt;湖南省主体功能区规划&gt;的通知》(湘政发[2012]39号)；</w:t>
      </w:r>
    </w:p>
    <w:p w14:paraId="6DA384A8">
      <w:pPr>
        <w:numPr>
          <w:ilvl w:val="0"/>
          <w:numId w:val="3"/>
        </w:numPr>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《湖南省贯彻落实&lt;大气污染防治行动计划&gt;实施细则》(湘政办发[2013]77号)；</w:t>
      </w:r>
    </w:p>
    <w:p w14:paraId="35250E6D">
      <w:pPr>
        <w:numPr>
          <w:ilvl w:val="0"/>
          <w:numId w:val="3"/>
        </w:numPr>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《湖南省生活饮用水地表水源保护区划定方案》(湘政函[2016]176号)；</w:t>
      </w:r>
    </w:p>
    <w:p w14:paraId="69A74CED">
      <w:pPr>
        <w:numPr>
          <w:ilvl w:val="0"/>
          <w:numId w:val="3"/>
        </w:numPr>
        <w:spacing w:line="360" w:lineRule="auto"/>
        <w:ind w:firstLine="480" w:firstLineChars="200"/>
        <w:rPr>
          <w:rFonts w:ascii="Times New Roman" w:hAnsi="Times New Roman" w:eastAsia="宋体" w:cs="宋体"/>
          <w:color w:val="auto"/>
          <w:sz w:val="24"/>
          <w:szCs w:val="24"/>
        </w:rPr>
      </w:pPr>
      <w:r>
        <w:rPr>
          <w:rFonts w:hint="eastAsia" w:ascii="Times New Roman" w:hAnsi="Times New Roman" w:eastAsia="宋体" w:cs="宋体"/>
          <w:color w:val="auto"/>
          <w:sz w:val="24"/>
          <w:szCs w:val="24"/>
        </w:rPr>
        <w:t>《湖南省环境保护条例（修正）》（湖南省人大常委会，2013年5月27日）；</w:t>
      </w:r>
    </w:p>
    <w:p w14:paraId="523F1E6D">
      <w:pPr>
        <w:numPr>
          <w:ilvl w:val="0"/>
          <w:numId w:val="3"/>
        </w:numPr>
        <w:spacing w:line="360" w:lineRule="auto"/>
        <w:ind w:firstLine="480" w:firstLineChars="200"/>
        <w:rPr>
          <w:rFonts w:ascii="Times New Roman" w:hAnsi="Times New Roman" w:eastAsia="宋体" w:cs="宋体"/>
          <w:color w:val="auto"/>
          <w:sz w:val="24"/>
          <w:szCs w:val="24"/>
        </w:rPr>
      </w:pPr>
      <w:r>
        <w:rPr>
          <w:rFonts w:hint="eastAsia" w:ascii="Times New Roman" w:hAnsi="Times New Roman" w:eastAsia="宋体" w:cs="宋体"/>
          <w:color w:val="auto"/>
          <w:sz w:val="24"/>
          <w:szCs w:val="24"/>
        </w:rPr>
        <w:t>《长江经济带发展负面清单指南（试行）》（长江办〔2022〕7号）；</w:t>
      </w:r>
    </w:p>
    <w:p w14:paraId="5A7F1EE0">
      <w:pPr>
        <w:numPr>
          <w:ilvl w:val="0"/>
          <w:numId w:val="3"/>
        </w:numPr>
        <w:spacing w:line="360" w:lineRule="auto"/>
        <w:ind w:firstLine="480" w:firstLineChars="200"/>
        <w:rPr>
          <w:rFonts w:ascii="Times New Roman" w:hAnsi="Times New Roman" w:eastAsia="宋体" w:cs="宋体"/>
          <w:color w:val="auto"/>
          <w:sz w:val="24"/>
          <w:szCs w:val="24"/>
        </w:rPr>
      </w:pPr>
      <w:r>
        <w:rPr>
          <w:rFonts w:hint="eastAsia" w:ascii="Times New Roman" w:hAnsi="Times New Roman" w:eastAsia="宋体" w:cs="宋体"/>
          <w:color w:val="auto"/>
          <w:sz w:val="24"/>
          <w:szCs w:val="24"/>
        </w:rPr>
        <w:t>《湖南省建设项目环境保护管理办法》（2007年6月29日）；</w:t>
      </w:r>
    </w:p>
    <w:p w14:paraId="59D06B10">
      <w:pPr>
        <w:numPr>
          <w:ilvl w:val="0"/>
          <w:numId w:val="3"/>
        </w:num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宋体"/>
          <w:color w:val="auto"/>
          <w:sz w:val="24"/>
          <w:szCs w:val="24"/>
        </w:rPr>
        <w:t>《湖南省人民政府关于实施“三线一单”生态环境分区管控的意见》（2020年6月30日）；</w:t>
      </w:r>
    </w:p>
    <w:p w14:paraId="2BA83009">
      <w:pPr>
        <w:numPr>
          <w:ilvl w:val="0"/>
          <w:numId w:val="3"/>
        </w:num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《湖南省“十四五”生态环境保护规划》（湘政办发【</w:t>
      </w:r>
      <w:r>
        <w:rPr>
          <w:rFonts w:ascii="Times New Roman" w:hAnsi="Times New Roman" w:eastAsia="宋体" w:cs="Times New Roman"/>
          <w:color w:val="auto"/>
          <w:sz w:val="24"/>
          <w:szCs w:val="24"/>
        </w:rPr>
        <w:t>2021】61号）；</w:t>
      </w:r>
    </w:p>
    <w:p w14:paraId="6E47A055">
      <w:pPr>
        <w:numPr>
          <w:ilvl w:val="0"/>
          <w:numId w:val="3"/>
        </w:numPr>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《湖南省土壤污染防治工作方案》(湘政发[2017]4号)；</w:t>
      </w:r>
    </w:p>
    <w:p w14:paraId="4CDEDFA1">
      <w:pPr>
        <w:numPr>
          <w:ilvl w:val="0"/>
          <w:numId w:val="3"/>
        </w:numPr>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《湖南省大气污染防治条例》，2017年6月1日起施行；</w:t>
      </w:r>
    </w:p>
    <w:p w14:paraId="1D35FBFB">
      <w:pPr>
        <w:numPr>
          <w:ilvl w:val="0"/>
          <w:numId w:val="3"/>
        </w:numPr>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《湖南省“蓝天保卫战实施方案(2018-2020)》；</w:t>
      </w:r>
    </w:p>
    <w:p w14:paraId="3B109384">
      <w:pPr>
        <w:numPr>
          <w:ilvl w:val="0"/>
          <w:numId w:val="3"/>
        </w:numPr>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(《湖南省推动长江经济带发展领导小组办公室关于印发&lt;湖南省长江经济带发展负面清单实施细则（试行）&gt;的通知》；</w:t>
      </w:r>
    </w:p>
    <w:p w14:paraId="05F805CD">
      <w:pPr>
        <w:numPr>
          <w:ilvl w:val="0"/>
          <w:numId w:val="3"/>
        </w:numPr>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《常德市大气污染防治行动计划实施方案》；</w:t>
      </w:r>
    </w:p>
    <w:p w14:paraId="17032A98">
      <w:pPr>
        <w:numPr>
          <w:ilvl w:val="0"/>
          <w:numId w:val="3"/>
        </w:numPr>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《常德市水污染防治行动计划实施方案》；</w:t>
      </w:r>
    </w:p>
    <w:p w14:paraId="6F85C7A2">
      <w:pPr>
        <w:numPr>
          <w:ilvl w:val="0"/>
          <w:numId w:val="3"/>
        </w:numPr>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《常德市土壤污染防治工作方案》；</w:t>
      </w:r>
    </w:p>
    <w:p w14:paraId="7A487773">
      <w:pPr>
        <w:numPr>
          <w:ilvl w:val="0"/>
          <w:numId w:val="3"/>
        </w:numPr>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《常德市环境空气质量达标规划（2020-2027年）》</w:t>
      </w:r>
      <w:r>
        <w:rPr>
          <w:rFonts w:hint="eastAsia" w:ascii="Times New Roman" w:hAnsi="Times New Roman" w:eastAsia="宋体" w:cs="Times New Roman"/>
          <w:color w:val="auto"/>
          <w:sz w:val="24"/>
          <w:szCs w:val="24"/>
        </w:rPr>
        <w:t>；</w:t>
      </w:r>
    </w:p>
    <w:p w14:paraId="491B82AB">
      <w:pPr>
        <w:numPr>
          <w:ilvl w:val="0"/>
          <w:numId w:val="3"/>
        </w:numPr>
        <w:spacing w:line="360" w:lineRule="auto"/>
        <w:ind w:firstLine="480" w:firstLineChars="200"/>
        <w:rPr>
          <w:rFonts w:ascii="Times New Roman" w:hAnsi="Times New Roman" w:eastAsia="宋体" w:cs="宋体"/>
          <w:color w:val="auto"/>
          <w:sz w:val="24"/>
          <w:szCs w:val="24"/>
        </w:rPr>
      </w:pPr>
      <w:r>
        <w:rPr>
          <w:rFonts w:hint="eastAsia" w:ascii="Times New Roman" w:hAnsi="Times New Roman" w:eastAsia="宋体" w:cs="宋体"/>
          <w:color w:val="auto"/>
          <w:sz w:val="24"/>
          <w:szCs w:val="24"/>
        </w:rPr>
        <w:t>常德市人民政府关于发布《常德市“三线一单”生态环境管控基本要求暨环境管控单元生态环境准入清单》的通知，（常政发〔2020〕10号）；</w:t>
      </w:r>
    </w:p>
    <w:p w14:paraId="3F70B8C2">
      <w:pPr>
        <w:numPr>
          <w:ilvl w:val="0"/>
          <w:numId w:val="3"/>
        </w:numPr>
        <w:spacing w:line="360" w:lineRule="auto"/>
        <w:ind w:firstLine="480" w:firstLineChars="200"/>
        <w:rPr>
          <w:rFonts w:ascii="Times New Roman" w:hAnsi="Times New Roman" w:eastAsia="宋体" w:cs="宋体"/>
          <w:color w:val="auto"/>
          <w:sz w:val="24"/>
          <w:szCs w:val="24"/>
        </w:rPr>
      </w:pPr>
      <w:r>
        <w:rPr>
          <w:rFonts w:hint="eastAsia" w:ascii="Times New Roman" w:hAnsi="Times New Roman" w:eastAsia="宋体" w:cs="宋体"/>
          <w:color w:val="auto"/>
          <w:sz w:val="24"/>
          <w:szCs w:val="24"/>
        </w:rPr>
        <w:t>《湖南省“两高”项目管理目录》（2022年12月24日）；</w:t>
      </w:r>
    </w:p>
    <w:p w14:paraId="626CADC3">
      <w:pPr>
        <w:numPr>
          <w:ilvl w:val="0"/>
          <w:numId w:val="3"/>
        </w:numPr>
        <w:spacing w:line="360" w:lineRule="auto"/>
        <w:ind w:firstLine="480" w:firstLineChars="200"/>
        <w:rPr>
          <w:rFonts w:ascii="Times New Roman" w:hAnsi="Times New Roman" w:eastAsia="宋体" w:cs="宋体"/>
          <w:color w:val="auto"/>
          <w:sz w:val="24"/>
          <w:szCs w:val="24"/>
          <w:u w:val="none"/>
        </w:rPr>
      </w:pPr>
      <w:r>
        <w:rPr>
          <w:rFonts w:hint="eastAsia" w:ascii="Times New Roman" w:hAnsi="Times New Roman" w:eastAsia="宋体" w:cs="宋体"/>
          <w:color w:val="auto"/>
          <w:sz w:val="24"/>
          <w:szCs w:val="24"/>
        </w:rPr>
        <w:t>常德市人民政府办公室关于印发《常德市“十四五”生态环境保护规</w:t>
      </w:r>
      <w:r>
        <w:rPr>
          <w:rFonts w:hint="eastAsia" w:ascii="Times New Roman" w:hAnsi="Times New Roman" w:eastAsia="宋体" w:cs="宋体"/>
          <w:color w:val="auto"/>
          <w:sz w:val="24"/>
          <w:szCs w:val="24"/>
          <w:u w:val="none"/>
        </w:rPr>
        <w:t>划》的通知（常政办发〔2021〕26号）；</w:t>
      </w:r>
    </w:p>
    <w:p w14:paraId="75B50C26">
      <w:pPr>
        <w:numPr>
          <w:ilvl w:val="0"/>
          <w:numId w:val="3"/>
        </w:numPr>
        <w:spacing w:line="360" w:lineRule="auto"/>
        <w:ind w:firstLine="480" w:firstLineChars="200"/>
        <w:rPr>
          <w:rFonts w:ascii="Times New Roman" w:hAnsi="Times New Roman" w:eastAsia="宋体" w:cs="宋体"/>
          <w:color w:val="auto"/>
          <w:sz w:val="24"/>
          <w:szCs w:val="24"/>
          <w:u w:val="none"/>
        </w:rPr>
      </w:pPr>
      <w:r>
        <w:rPr>
          <w:rFonts w:hint="eastAsia" w:ascii="Times New Roman" w:hAnsi="Times New Roman" w:eastAsia="宋体" w:cs="宋体"/>
          <w:color w:val="auto"/>
          <w:sz w:val="24"/>
          <w:szCs w:val="24"/>
          <w:u w:val="none"/>
        </w:rPr>
        <w:t>、《湖南省工业治理领域大气污染防治攻坚实施方案》（湘环发〔2023〕63号）；</w:t>
      </w:r>
    </w:p>
    <w:p w14:paraId="3D9FF1C2">
      <w:pPr>
        <w:numPr>
          <w:ilvl w:val="0"/>
          <w:numId w:val="3"/>
        </w:numPr>
        <w:spacing w:line="360" w:lineRule="auto"/>
        <w:ind w:firstLine="480" w:firstLineChars="200"/>
        <w:rPr>
          <w:rFonts w:ascii="Times New Roman" w:hAnsi="Times New Roman" w:eastAsia="宋体" w:cs="宋体"/>
          <w:color w:val="auto"/>
          <w:sz w:val="24"/>
          <w:szCs w:val="24"/>
          <w:u w:val="none"/>
        </w:rPr>
      </w:pPr>
      <w:r>
        <w:rPr>
          <w:rFonts w:hint="eastAsia" w:ascii="Times New Roman" w:hAnsi="Times New Roman" w:eastAsia="宋体" w:cs="宋体"/>
          <w:color w:val="auto"/>
          <w:sz w:val="24"/>
          <w:szCs w:val="24"/>
          <w:u w:val="none"/>
        </w:rPr>
        <w:t>《湖南省大气污染防治“守护蓝天”攻坚行动计划（2023-2025年）》；</w:t>
      </w:r>
    </w:p>
    <w:p w14:paraId="3C0A854E">
      <w:pPr>
        <w:numPr>
          <w:ilvl w:val="0"/>
          <w:numId w:val="3"/>
        </w:numPr>
        <w:spacing w:line="360" w:lineRule="auto"/>
        <w:ind w:firstLine="480" w:firstLineChars="200"/>
        <w:rPr>
          <w:rFonts w:ascii="Times New Roman" w:hAnsi="Times New Roman" w:eastAsia="宋体" w:cs="宋体"/>
          <w:color w:val="auto"/>
          <w:sz w:val="24"/>
          <w:szCs w:val="24"/>
          <w:u w:val="none"/>
        </w:rPr>
      </w:pPr>
      <w:r>
        <w:rPr>
          <w:rFonts w:hint="eastAsia" w:ascii="Times New Roman" w:hAnsi="Times New Roman" w:eastAsia="宋体" w:cs="宋体"/>
          <w:color w:val="auto"/>
          <w:sz w:val="24"/>
          <w:szCs w:val="24"/>
          <w:u w:val="none"/>
        </w:rPr>
        <w:t>湖南省人民政府办公厅关于印发《长株潭及传输通道城市环境空气质量达标攻坚行动计划》的通知（湘政办发〔2023〕3号）；</w:t>
      </w:r>
    </w:p>
    <w:p w14:paraId="7AA8D567">
      <w:pPr>
        <w:numPr>
          <w:ilvl w:val="0"/>
          <w:numId w:val="3"/>
        </w:numPr>
        <w:spacing w:line="360" w:lineRule="auto"/>
        <w:ind w:firstLine="480" w:firstLineChars="200"/>
        <w:rPr>
          <w:rFonts w:ascii="Times New Roman" w:hAnsi="Times New Roman" w:eastAsia="宋体" w:cs="宋体"/>
          <w:color w:val="auto"/>
          <w:sz w:val="24"/>
          <w:szCs w:val="24"/>
          <w:u w:val="none"/>
        </w:rPr>
      </w:pPr>
      <w:r>
        <w:rPr>
          <w:rFonts w:hint="eastAsia" w:ascii="Times New Roman" w:hAnsi="Times New Roman" w:eastAsia="宋体" w:cs="宋体"/>
          <w:color w:val="auto"/>
          <w:sz w:val="24"/>
          <w:szCs w:val="24"/>
          <w:u w:val="none"/>
        </w:rPr>
        <w:t>《</w:t>
      </w:r>
      <w:r>
        <w:rPr>
          <w:rFonts w:ascii="Times New Roman" w:hAnsi="Times New Roman" w:eastAsia="宋体" w:cs="宋体"/>
          <w:color w:val="auto"/>
          <w:sz w:val="24"/>
          <w:szCs w:val="24"/>
          <w:u w:val="none"/>
        </w:rPr>
        <w:t>常德市大气污染防治若干规定》</w:t>
      </w:r>
      <w:r>
        <w:rPr>
          <w:rFonts w:hint="eastAsia" w:ascii="Times New Roman" w:hAnsi="Times New Roman" w:eastAsia="宋体" w:cs="宋体"/>
          <w:color w:val="auto"/>
          <w:sz w:val="24"/>
          <w:szCs w:val="24"/>
          <w:u w:val="none"/>
        </w:rPr>
        <w:t>；</w:t>
      </w:r>
    </w:p>
    <w:p w14:paraId="3A0FC8FA">
      <w:pPr>
        <w:numPr>
          <w:ilvl w:val="0"/>
          <w:numId w:val="3"/>
        </w:numPr>
        <w:spacing w:line="360" w:lineRule="auto"/>
        <w:ind w:firstLine="480" w:firstLineChars="200"/>
        <w:rPr>
          <w:rFonts w:ascii="Times New Roman" w:hAnsi="Times New Roman" w:eastAsia="宋体" w:cs="Times New Roman"/>
          <w:color w:val="auto"/>
          <w:sz w:val="24"/>
          <w:szCs w:val="24"/>
          <w:u w:val="none"/>
        </w:rPr>
      </w:pPr>
      <w:r>
        <w:rPr>
          <w:rFonts w:hint="eastAsia" w:ascii="Times New Roman" w:hAnsi="Times New Roman" w:eastAsia="宋体" w:cs="Times New Roman"/>
          <w:color w:val="auto"/>
          <w:sz w:val="24"/>
          <w:szCs w:val="24"/>
          <w:u w:val="none"/>
        </w:rPr>
        <w:t>《津澧新城总体规划（2016-2030）》。</w:t>
      </w:r>
    </w:p>
    <w:p w14:paraId="0A9E02B4">
      <w:pPr>
        <w:keepNext/>
        <w:keepLines/>
        <w:spacing w:before="156" w:beforeLines="50" w:after="156" w:afterLines="50" w:line="360" w:lineRule="auto"/>
        <w:outlineLvl w:val="2"/>
        <w:rPr>
          <w:rFonts w:ascii="Times New Roman" w:hAnsi="Times New Roman" w:eastAsia="宋体" w:cs="Times New Roman"/>
          <w:b/>
          <w:color w:val="auto"/>
          <w:kern w:val="0"/>
          <w:sz w:val="24"/>
          <w:szCs w:val="24"/>
        </w:rPr>
      </w:pPr>
      <w:r>
        <w:rPr>
          <w:rFonts w:ascii="Times New Roman" w:hAnsi="Times New Roman" w:eastAsia="宋体" w:cs="Times New Roman"/>
          <w:b/>
          <w:color w:val="auto"/>
          <w:kern w:val="0"/>
          <w:sz w:val="24"/>
          <w:szCs w:val="24"/>
        </w:rPr>
        <w:t>2.1.</w:t>
      </w:r>
      <w:r>
        <w:rPr>
          <w:rFonts w:hint="eastAsia" w:ascii="Times New Roman" w:hAnsi="Times New Roman" w:eastAsia="宋体" w:cs="Times New Roman"/>
          <w:b/>
          <w:color w:val="auto"/>
          <w:kern w:val="0"/>
          <w:sz w:val="24"/>
          <w:szCs w:val="24"/>
        </w:rPr>
        <w:t>3技术依据</w:t>
      </w:r>
    </w:p>
    <w:p w14:paraId="6ADA6BBC">
      <w:pPr>
        <w:numPr>
          <w:ilvl w:val="0"/>
          <w:numId w:val="4"/>
        </w:numPr>
        <w:spacing w:line="360" w:lineRule="auto"/>
        <w:ind w:firstLine="480" w:firstLineChars="200"/>
        <w:rPr>
          <w:rFonts w:ascii="Times New Roman" w:hAnsi="Times New Roman" w:eastAsia="宋体" w:cs="宋体"/>
          <w:color w:val="auto"/>
          <w:sz w:val="24"/>
          <w:szCs w:val="24"/>
        </w:rPr>
      </w:pPr>
      <w:r>
        <w:rPr>
          <w:rFonts w:hint="eastAsia" w:ascii="Times New Roman" w:hAnsi="Times New Roman" w:eastAsia="宋体" w:cs="宋体"/>
          <w:color w:val="auto"/>
          <w:sz w:val="24"/>
          <w:szCs w:val="24"/>
        </w:rPr>
        <w:t>《建设项目环境影响评价技术导则 总纲》（HJ2.1-2016）；</w:t>
      </w:r>
    </w:p>
    <w:p w14:paraId="5863FBEA">
      <w:pPr>
        <w:numPr>
          <w:ilvl w:val="0"/>
          <w:numId w:val="4"/>
        </w:numPr>
        <w:spacing w:line="360" w:lineRule="auto"/>
        <w:ind w:firstLine="480" w:firstLineChars="200"/>
        <w:rPr>
          <w:rFonts w:ascii="Times New Roman" w:hAnsi="Times New Roman" w:eastAsia="宋体" w:cs="宋体"/>
          <w:color w:val="auto"/>
          <w:sz w:val="24"/>
          <w:szCs w:val="24"/>
        </w:rPr>
      </w:pPr>
      <w:r>
        <w:rPr>
          <w:rFonts w:hint="eastAsia" w:ascii="Times New Roman" w:hAnsi="Times New Roman" w:eastAsia="宋体" w:cs="宋体"/>
          <w:color w:val="auto"/>
          <w:sz w:val="24"/>
          <w:szCs w:val="24"/>
        </w:rPr>
        <w:t>《环境影响评价技术导则 大气环境》（HJ2.2-2018）；</w:t>
      </w:r>
    </w:p>
    <w:p w14:paraId="0EC41A26">
      <w:pPr>
        <w:numPr>
          <w:ilvl w:val="0"/>
          <w:numId w:val="4"/>
        </w:numPr>
        <w:spacing w:line="360" w:lineRule="auto"/>
        <w:ind w:firstLine="480" w:firstLineChars="200"/>
        <w:rPr>
          <w:rFonts w:ascii="Times New Roman" w:hAnsi="Times New Roman" w:eastAsia="宋体" w:cs="宋体"/>
          <w:color w:val="auto"/>
          <w:sz w:val="24"/>
          <w:szCs w:val="24"/>
        </w:rPr>
      </w:pPr>
      <w:r>
        <w:rPr>
          <w:rFonts w:hint="eastAsia" w:ascii="Times New Roman" w:hAnsi="Times New Roman" w:eastAsia="宋体" w:cs="宋体"/>
          <w:color w:val="auto"/>
          <w:sz w:val="24"/>
          <w:szCs w:val="24"/>
        </w:rPr>
        <w:t>《环境影响评价技术导则 地表水环境》（HJ2.3-2018）；</w:t>
      </w:r>
    </w:p>
    <w:p w14:paraId="142BEAFD">
      <w:pPr>
        <w:numPr>
          <w:ilvl w:val="0"/>
          <w:numId w:val="4"/>
        </w:numPr>
        <w:spacing w:line="360" w:lineRule="auto"/>
        <w:ind w:firstLine="480" w:firstLineChars="200"/>
        <w:rPr>
          <w:rFonts w:ascii="Times New Roman" w:hAnsi="Times New Roman" w:eastAsia="宋体" w:cs="宋体"/>
          <w:color w:val="auto"/>
          <w:sz w:val="24"/>
          <w:szCs w:val="24"/>
        </w:rPr>
      </w:pPr>
      <w:r>
        <w:rPr>
          <w:rFonts w:hint="eastAsia" w:ascii="Times New Roman" w:hAnsi="Times New Roman" w:eastAsia="宋体" w:cs="宋体"/>
          <w:color w:val="auto"/>
          <w:sz w:val="24"/>
          <w:szCs w:val="24"/>
        </w:rPr>
        <w:t>《环境影响评价技术导则 声环境》（HJ 2.4—2021）；</w:t>
      </w:r>
    </w:p>
    <w:p w14:paraId="73E2B4D0">
      <w:pPr>
        <w:numPr>
          <w:ilvl w:val="0"/>
          <w:numId w:val="4"/>
        </w:numPr>
        <w:spacing w:line="360" w:lineRule="auto"/>
        <w:ind w:firstLine="480" w:firstLineChars="200"/>
        <w:rPr>
          <w:rFonts w:ascii="Times New Roman" w:hAnsi="Times New Roman" w:eastAsia="宋体" w:cs="宋体"/>
          <w:color w:val="auto"/>
          <w:sz w:val="24"/>
          <w:szCs w:val="24"/>
        </w:rPr>
      </w:pPr>
      <w:r>
        <w:rPr>
          <w:rFonts w:hint="eastAsia" w:ascii="Times New Roman" w:hAnsi="Times New Roman" w:eastAsia="宋体" w:cs="宋体"/>
          <w:color w:val="auto"/>
          <w:sz w:val="24"/>
          <w:szCs w:val="24"/>
        </w:rPr>
        <w:t>《环境影响评价技术导则 地下水环境》（HJ610-2016）；</w:t>
      </w:r>
    </w:p>
    <w:p w14:paraId="5B3F85A6">
      <w:pPr>
        <w:numPr>
          <w:ilvl w:val="0"/>
          <w:numId w:val="4"/>
        </w:numPr>
        <w:spacing w:line="360" w:lineRule="auto"/>
        <w:ind w:firstLine="480" w:firstLineChars="200"/>
        <w:rPr>
          <w:rFonts w:ascii="Times New Roman" w:hAnsi="Times New Roman" w:eastAsia="宋体" w:cs="宋体"/>
          <w:color w:val="auto"/>
          <w:sz w:val="24"/>
          <w:szCs w:val="24"/>
        </w:rPr>
      </w:pPr>
      <w:r>
        <w:rPr>
          <w:rFonts w:hint="eastAsia" w:ascii="Times New Roman" w:hAnsi="Times New Roman" w:eastAsia="宋体" w:cs="宋体"/>
          <w:color w:val="auto"/>
          <w:sz w:val="24"/>
          <w:szCs w:val="24"/>
        </w:rPr>
        <w:t>《环境影响评价技术导则 土壤环境》（试行）（HJ964-2018）；</w:t>
      </w:r>
    </w:p>
    <w:p w14:paraId="2EF71556">
      <w:pPr>
        <w:numPr>
          <w:ilvl w:val="0"/>
          <w:numId w:val="4"/>
        </w:numPr>
        <w:spacing w:line="360" w:lineRule="auto"/>
        <w:ind w:firstLine="480" w:firstLineChars="200"/>
        <w:rPr>
          <w:rFonts w:ascii="Times New Roman" w:hAnsi="Times New Roman" w:eastAsia="宋体" w:cs="宋体"/>
          <w:color w:val="auto"/>
          <w:sz w:val="24"/>
          <w:szCs w:val="24"/>
        </w:rPr>
      </w:pPr>
      <w:r>
        <w:rPr>
          <w:rFonts w:hint="eastAsia" w:ascii="Times New Roman" w:hAnsi="Times New Roman" w:eastAsia="宋体" w:cs="宋体"/>
          <w:color w:val="auto"/>
          <w:sz w:val="24"/>
          <w:szCs w:val="24"/>
        </w:rPr>
        <w:t>《建设项目环境风险评价技术导则》（HJ169-2018）；</w:t>
      </w:r>
    </w:p>
    <w:p w14:paraId="57FA4A86">
      <w:pPr>
        <w:numPr>
          <w:ilvl w:val="0"/>
          <w:numId w:val="4"/>
        </w:numPr>
        <w:spacing w:line="360" w:lineRule="auto"/>
        <w:ind w:firstLine="480" w:firstLineChars="200"/>
        <w:rPr>
          <w:rFonts w:ascii="Times New Roman" w:hAnsi="Times New Roman" w:eastAsia="宋体" w:cs="宋体"/>
          <w:color w:val="auto"/>
          <w:sz w:val="24"/>
          <w:szCs w:val="24"/>
        </w:rPr>
      </w:pPr>
      <w:r>
        <w:rPr>
          <w:rFonts w:hint="eastAsia" w:ascii="Times New Roman" w:hAnsi="Times New Roman" w:eastAsia="宋体" w:cs="宋体"/>
          <w:color w:val="auto"/>
          <w:sz w:val="24"/>
          <w:szCs w:val="24"/>
        </w:rPr>
        <w:t>《环境影响评价技术导则 生态影响》（HJ 19—2022）；</w:t>
      </w:r>
    </w:p>
    <w:p w14:paraId="3809DF0E">
      <w:pPr>
        <w:numPr>
          <w:ilvl w:val="0"/>
          <w:numId w:val="4"/>
        </w:numPr>
        <w:spacing w:line="360" w:lineRule="auto"/>
        <w:ind w:firstLine="480" w:firstLineChars="200"/>
        <w:rPr>
          <w:rFonts w:ascii="Times New Roman" w:hAnsi="Times New Roman" w:eastAsia="宋体" w:cs="宋体"/>
          <w:color w:val="auto"/>
          <w:sz w:val="24"/>
          <w:szCs w:val="24"/>
        </w:rPr>
      </w:pPr>
      <w:r>
        <w:rPr>
          <w:rFonts w:ascii="Times New Roman" w:hAnsi="Times New Roman" w:eastAsia="宋体" w:cs="宋体"/>
          <w:color w:val="auto"/>
          <w:sz w:val="24"/>
          <w:szCs w:val="24"/>
        </w:rPr>
        <w:t>《</w:t>
      </w:r>
      <w:r>
        <w:rPr>
          <w:rFonts w:hint="eastAsia" w:ascii="Times New Roman" w:hAnsi="Times New Roman" w:eastAsia="宋体" w:cs="宋体"/>
          <w:color w:val="auto"/>
          <w:sz w:val="24"/>
          <w:szCs w:val="24"/>
        </w:rPr>
        <w:t>环境影响评价技术导则 制药建设项目</w:t>
      </w:r>
      <w:r>
        <w:rPr>
          <w:rFonts w:ascii="Times New Roman" w:hAnsi="Times New Roman" w:eastAsia="宋体" w:cs="宋体"/>
          <w:color w:val="auto"/>
          <w:sz w:val="24"/>
          <w:szCs w:val="24"/>
        </w:rPr>
        <w:t>》（</w:t>
      </w:r>
      <w:r>
        <w:rPr>
          <w:rFonts w:hint="eastAsia" w:ascii="Times New Roman" w:hAnsi="Times New Roman" w:eastAsia="宋体" w:cs="宋体"/>
          <w:color w:val="auto"/>
          <w:sz w:val="24"/>
          <w:szCs w:val="24"/>
        </w:rPr>
        <w:t>HJ 611-2011</w:t>
      </w:r>
      <w:r>
        <w:rPr>
          <w:rFonts w:ascii="Times New Roman" w:hAnsi="Times New Roman" w:eastAsia="宋体" w:cs="宋体"/>
          <w:color w:val="auto"/>
          <w:sz w:val="24"/>
          <w:szCs w:val="24"/>
        </w:rPr>
        <w:t>）</w:t>
      </w:r>
      <w:r>
        <w:rPr>
          <w:rFonts w:hint="eastAsia" w:ascii="Times New Roman" w:hAnsi="Times New Roman" w:eastAsia="宋体" w:cs="宋体"/>
          <w:color w:val="auto"/>
          <w:sz w:val="24"/>
          <w:szCs w:val="24"/>
        </w:rPr>
        <w:t>；</w:t>
      </w:r>
    </w:p>
    <w:p w14:paraId="6DBEF6E6">
      <w:pPr>
        <w:numPr>
          <w:ilvl w:val="0"/>
          <w:numId w:val="4"/>
        </w:numPr>
        <w:spacing w:line="360" w:lineRule="auto"/>
        <w:ind w:firstLine="480" w:firstLineChars="200"/>
        <w:rPr>
          <w:rFonts w:ascii="Times New Roman" w:hAnsi="Times New Roman" w:eastAsia="宋体" w:cs="宋体"/>
          <w:color w:val="auto"/>
          <w:sz w:val="24"/>
          <w:szCs w:val="24"/>
        </w:rPr>
      </w:pPr>
      <w:r>
        <w:rPr>
          <w:rFonts w:hint="eastAsia" w:ascii="Times New Roman" w:hAnsi="Times New Roman" w:eastAsia="宋体" w:cs="宋体"/>
          <w:color w:val="auto"/>
          <w:sz w:val="24"/>
          <w:szCs w:val="24"/>
        </w:rPr>
        <w:t>《排污许可证申请与核发技术规范 食品制造工业—方便食品、食品及饲料添加剂制造工艺》（HJ1030.3-2019）；</w:t>
      </w:r>
    </w:p>
    <w:p w14:paraId="5212B516">
      <w:pPr>
        <w:numPr>
          <w:ilvl w:val="0"/>
          <w:numId w:val="4"/>
        </w:numPr>
        <w:spacing w:line="360" w:lineRule="auto"/>
        <w:ind w:firstLine="480" w:firstLineChars="200"/>
        <w:rPr>
          <w:rFonts w:ascii="Times New Roman" w:hAnsi="Times New Roman" w:eastAsia="宋体" w:cs="宋体"/>
          <w:color w:val="auto"/>
          <w:sz w:val="24"/>
          <w:szCs w:val="24"/>
        </w:rPr>
      </w:pPr>
      <w:r>
        <w:rPr>
          <w:rFonts w:hint="eastAsia" w:ascii="Times New Roman" w:hAnsi="Times New Roman" w:eastAsia="宋体" w:cs="宋体"/>
          <w:color w:val="auto"/>
          <w:sz w:val="24"/>
          <w:szCs w:val="24"/>
        </w:rPr>
        <w:t>《排污单位自行监测技术指南-总则》（HJ819-2017）；</w:t>
      </w:r>
    </w:p>
    <w:p w14:paraId="32B9FD9C">
      <w:pPr>
        <w:numPr>
          <w:ilvl w:val="0"/>
          <w:numId w:val="4"/>
        </w:numPr>
        <w:spacing w:line="360" w:lineRule="auto"/>
        <w:ind w:firstLine="480" w:firstLineChars="200"/>
        <w:rPr>
          <w:rFonts w:ascii="Times New Roman" w:hAnsi="Times New Roman" w:eastAsia="宋体" w:cs="宋体"/>
          <w:color w:val="auto"/>
          <w:sz w:val="24"/>
          <w:szCs w:val="24"/>
        </w:rPr>
      </w:pPr>
      <w:r>
        <w:rPr>
          <w:rFonts w:hint="eastAsia" w:ascii="Times New Roman" w:hAnsi="Times New Roman" w:eastAsia="宋体" w:cs="宋体"/>
          <w:color w:val="auto"/>
          <w:sz w:val="24"/>
          <w:szCs w:val="24"/>
        </w:rPr>
        <w:t>《排污单位自行监测技术指南 农副食品加工业》（HJ 986-2018）；</w:t>
      </w:r>
    </w:p>
    <w:p w14:paraId="244323BD">
      <w:pPr>
        <w:numPr>
          <w:ilvl w:val="0"/>
          <w:numId w:val="4"/>
        </w:numPr>
        <w:spacing w:line="360" w:lineRule="auto"/>
        <w:ind w:firstLine="480" w:firstLineChars="200"/>
        <w:rPr>
          <w:rFonts w:ascii="Times New Roman" w:hAnsi="Times New Roman" w:eastAsia="宋体" w:cs="宋体"/>
          <w:color w:val="auto"/>
          <w:sz w:val="24"/>
          <w:szCs w:val="24"/>
        </w:rPr>
      </w:pPr>
      <w:r>
        <w:rPr>
          <w:rFonts w:hint="eastAsia" w:ascii="Times New Roman" w:hAnsi="Times New Roman" w:eastAsia="宋体" w:cs="宋体"/>
          <w:color w:val="auto"/>
          <w:sz w:val="24"/>
          <w:szCs w:val="24"/>
        </w:rPr>
        <w:t>《排污单位自行监测技术指南 食品制造》（HJ 1084-2020）；</w:t>
      </w:r>
    </w:p>
    <w:p w14:paraId="3CCA3950">
      <w:pPr>
        <w:numPr>
          <w:ilvl w:val="0"/>
          <w:numId w:val="4"/>
        </w:numPr>
        <w:spacing w:line="360" w:lineRule="auto"/>
        <w:ind w:firstLine="480" w:firstLineChars="200"/>
        <w:rPr>
          <w:rFonts w:ascii="Times New Roman" w:hAnsi="Times New Roman" w:eastAsia="宋体" w:cs="宋体"/>
          <w:color w:val="auto"/>
          <w:sz w:val="24"/>
          <w:szCs w:val="24"/>
        </w:rPr>
      </w:pPr>
      <w:r>
        <w:rPr>
          <w:rFonts w:hint="eastAsia" w:ascii="Times New Roman" w:hAnsi="Times New Roman" w:eastAsia="宋体" w:cs="宋体"/>
          <w:color w:val="auto"/>
          <w:sz w:val="24"/>
          <w:szCs w:val="24"/>
        </w:rPr>
        <w:t>《排污许可证申请与核发技术规范 农副食品加工工业—制糖工业》（HJ 860.1-2017）；</w:t>
      </w:r>
    </w:p>
    <w:p w14:paraId="3EBEC9E0">
      <w:pPr>
        <w:numPr>
          <w:ilvl w:val="0"/>
          <w:numId w:val="4"/>
        </w:numPr>
        <w:spacing w:line="360" w:lineRule="auto"/>
        <w:ind w:firstLine="480" w:firstLineChars="200"/>
        <w:rPr>
          <w:rFonts w:ascii="Times New Roman" w:hAnsi="Times New Roman" w:eastAsia="宋体" w:cs="宋体"/>
          <w:color w:val="auto"/>
          <w:sz w:val="24"/>
          <w:szCs w:val="24"/>
        </w:rPr>
      </w:pPr>
      <w:r>
        <w:rPr>
          <w:rFonts w:ascii="Times New Roman" w:hAnsi="Times New Roman" w:eastAsia="宋体" w:cs="宋体"/>
          <w:color w:val="auto"/>
          <w:sz w:val="24"/>
          <w:szCs w:val="24"/>
        </w:rPr>
        <w:t>《工业企业厂界环境噪声排放标准》（GB12348-2008）</w:t>
      </w:r>
      <w:r>
        <w:rPr>
          <w:rFonts w:hint="eastAsia" w:ascii="Times New Roman" w:hAnsi="Times New Roman" w:eastAsia="宋体" w:cs="宋体"/>
          <w:color w:val="auto"/>
          <w:sz w:val="24"/>
          <w:szCs w:val="24"/>
        </w:rPr>
        <w:t>；</w:t>
      </w:r>
    </w:p>
    <w:p w14:paraId="721935C4">
      <w:pPr>
        <w:numPr>
          <w:ilvl w:val="0"/>
          <w:numId w:val="4"/>
        </w:numPr>
        <w:spacing w:line="360" w:lineRule="auto"/>
        <w:ind w:firstLine="480" w:firstLineChars="200"/>
        <w:rPr>
          <w:rFonts w:ascii="Times New Roman" w:hAnsi="Times New Roman" w:eastAsia="宋体" w:cs="Times New Roman"/>
          <w:color w:val="auto"/>
          <w:sz w:val="24"/>
          <w:szCs w:val="24"/>
          <w:u w:val="single"/>
        </w:rPr>
      </w:pPr>
      <w:r>
        <w:rPr>
          <w:rFonts w:hint="eastAsia" w:ascii="Times New Roman" w:hAnsi="Times New Roman" w:eastAsia="宋体" w:cs="宋体"/>
          <w:color w:val="auto"/>
          <w:sz w:val="24"/>
          <w:szCs w:val="24"/>
        </w:rPr>
        <w:t>《土壤环境质量 建设用地土壤污染风险管控标准》（试行）（GB36600—2018）；</w:t>
      </w:r>
    </w:p>
    <w:p w14:paraId="4C3087C1">
      <w:pPr>
        <w:pStyle w:val="4"/>
        <w:bidi w:val="0"/>
      </w:pPr>
      <w:r>
        <w:t>2.1.</w:t>
      </w:r>
      <w:r>
        <w:rPr>
          <w:rFonts w:hint="eastAsia"/>
        </w:rPr>
        <w:t>4</w:t>
      </w:r>
      <w:r>
        <w:t>项目相关资料</w:t>
      </w:r>
    </w:p>
    <w:p w14:paraId="7CD4D226">
      <w:pPr>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1、项目环评合同；</w:t>
      </w:r>
    </w:p>
    <w:p w14:paraId="0B8EF03F">
      <w:pPr>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2、项目环评委托书；</w:t>
      </w:r>
    </w:p>
    <w:p w14:paraId="05A35EDB">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3、</w:t>
      </w:r>
      <w:r>
        <w:rPr>
          <w:rFonts w:hint="eastAsia" w:ascii="Times New Roman" w:hAnsi="Times New Roman" w:eastAsia="宋体" w:cs="Times New Roman"/>
          <w:color w:val="auto"/>
          <w:sz w:val="24"/>
          <w:szCs w:val="24"/>
          <w:lang w:val="en-US" w:eastAsia="zh-CN"/>
        </w:rPr>
        <w:t>常德市环境保护局关于年产10万标吨系列酶制剂生产线项目环境影响报告表的批复</w:t>
      </w:r>
      <w:r>
        <w:rPr>
          <w:rFonts w:hint="eastAsia"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常环建</w:t>
      </w:r>
      <w:r>
        <w:rPr>
          <w:rFonts w:hint="eastAsia"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2013</w:t>
      </w:r>
      <w:r>
        <w:rPr>
          <w:rFonts w:hint="eastAsia"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158</w:t>
      </w:r>
      <w:r>
        <w:rPr>
          <w:rFonts w:hint="eastAsia" w:ascii="Times New Roman" w:hAnsi="Times New Roman" w:eastAsia="宋体" w:cs="Times New Roman"/>
          <w:color w:val="auto"/>
          <w:sz w:val="24"/>
          <w:szCs w:val="24"/>
        </w:rPr>
        <w:t>号）；</w:t>
      </w:r>
    </w:p>
    <w:p w14:paraId="677AB359">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4、</w:t>
      </w:r>
      <w:r>
        <w:rPr>
          <w:rFonts w:hint="eastAsia" w:ascii="Times New Roman" w:hAnsi="Times New Roman" w:eastAsia="宋体" w:cs="Times New Roman"/>
          <w:color w:val="auto"/>
          <w:sz w:val="24"/>
          <w:szCs w:val="24"/>
          <w:lang w:val="en-US" w:eastAsia="zh-CN"/>
        </w:rPr>
        <w:t>常德市环境保护局关于湖南龙腾生物科技有限公司年产20吨内酯环（A环降解物）生产线项目环境影响报告表的批复</w:t>
      </w:r>
      <w:r>
        <w:rPr>
          <w:rFonts w:hint="eastAsia" w:ascii="Times New Roman" w:hAnsi="Times New Roman" w:eastAsia="宋体" w:cs="Times New Roman"/>
          <w:color w:val="auto"/>
          <w:sz w:val="24"/>
          <w:szCs w:val="24"/>
        </w:rPr>
        <w:t>（常环建〔</w:t>
      </w:r>
      <w:r>
        <w:rPr>
          <w:rFonts w:hint="eastAsia" w:ascii="Times New Roman" w:hAnsi="Times New Roman" w:eastAsia="宋体" w:cs="Times New Roman"/>
          <w:color w:val="auto"/>
          <w:sz w:val="24"/>
          <w:szCs w:val="24"/>
          <w:lang w:val="en-US" w:eastAsia="zh-CN"/>
        </w:rPr>
        <w:t>2015</w:t>
      </w:r>
      <w:r>
        <w:rPr>
          <w:rFonts w:hint="eastAsia" w:ascii="宋体" w:hAnsi="宋体" w:eastAsia="宋体" w:cs="宋体"/>
          <w:color w:val="auto"/>
          <w:sz w:val="24"/>
          <w:szCs w:val="24"/>
          <w:lang w:val="en-US" w:eastAsia="zh-CN"/>
        </w:rPr>
        <w:t>〕</w:t>
      </w:r>
      <w:r>
        <w:rPr>
          <w:rFonts w:hint="eastAsia" w:ascii="Times New Roman" w:hAnsi="Times New Roman" w:eastAsia="宋体" w:cs="Times New Roman"/>
          <w:color w:val="auto"/>
          <w:sz w:val="24"/>
          <w:szCs w:val="24"/>
          <w:lang w:val="en-US" w:eastAsia="zh-CN"/>
        </w:rPr>
        <w:t>22</w:t>
      </w:r>
      <w:r>
        <w:rPr>
          <w:rFonts w:hint="eastAsia" w:ascii="Times New Roman" w:hAnsi="Times New Roman" w:eastAsia="宋体" w:cs="Times New Roman"/>
          <w:color w:val="auto"/>
          <w:sz w:val="24"/>
          <w:szCs w:val="24"/>
        </w:rPr>
        <w:t>号）；</w:t>
      </w:r>
    </w:p>
    <w:p w14:paraId="693F5B96">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5、</w:t>
      </w:r>
      <w:r>
        <w:rPr>
          <w:rFonts w:hint="eastAsia" w:ascii="Times New Roman" w:hAnsi="Times New Roman" w:eastAsia="宋体" w:cs="Times New Roman"/>
          <w:color w:val="auto"/>
          <w:sz w:val="24"/>
          <w:szCs w:val="24"/>
          <w:lang w:val="en-US" w:eastAsia="zh-CN"/>
        </w:rPr>
        <w:t>常德市环境保护局关于湖南龙腾生物科技有限公司年产50吨17a-羟基黄体酮中间体生产线项目环境影响报告书的批复</w:t>
      </w:r>
      <w:r>
        <w:rPr>
          <w:rFonts w:hint="eastAsia" w:ascii="Times New Roman" w:hAnsi="Times New Roman" w:eastAsia="宋体" w:cs="Times New Roman"/>
          <w:color w:val="auto"/>
          <w:sz w:val="24"/>
          <w:szCs w:val="24"/>
        </w:rPr>
        <w:t>（常环建〔</w:t>
      </w:r>
      <w:r>
        <w:rPr>
          <w:rFonts w:hint="eastAsia" w:ascii="Times New Roman" w:hAnsi="Times New Roman" w:eastAsia="宋体" w:cs="Times New Roman"/>
          <w:color w:val="auto"/>
          <w:sz w:val="24"/>
          <w:szCs w:val="24"/>
          <w:lang w:val="en-US" w:eastAsia="zh-CN"/>
        </w:rPr>
        <w:t>2017</w:t>
      </w:r>
      <w:r>
        <w:rPr>
          <w:rFonts w:hint="eastAsia" w:ascii="宋体" w:hAnsi="宋体" w:eastAsia="宋体" w:cs="宋体"/>
          <w:color w:val="auto"/>
          <w:sz w:val="24"/>
          <w:szCs w:val="24"/>
          <w:lang w:val="en-US" w:eastAsia="zh-CN"/>
        </w:rPr>
        <w:t>〕</w:t>
      </w:r>
      <w:r>
        <w:rPr>
          <w:rFonts w:hint="eastAsia" w:ascii="Times New Roman" w:hAnsi="Times New Roman" w:eastAsia="宋体" w:cs="Times New Roman"/>
          <w:color w:val="auto"/>
          <w:sz w:val="24"/>
          <w:szCs w:val="24"/>
          <w:lang w:val="en-US" w:eastAsia="zh-CN"/>
        </w:rPr>
        <w:t>53</w:t>
      </w:r>
      <w:r>
        <w:rPr>
          <w:rFonts w:hint="eastAsia" w:ascii="Times New Roman" w:hAnsi="Times New Roman" w:eastAsia="宋体" w:cs="Times New Roman"/>
          <w:color w:val="auto"/>
          <w:sz w:val="24"/>
          <w:szCs w:val="24"/>
        </w:rPr>
        <w:t>号）；</w:t>
      </w:r>
    </w:p>
    <w:p w14:paraId="484AA953">
      <w:pPr>
        <w:spacing w:line="360" w:lineRule="auto"/>
        <w:ind w:firstLine="480" w:firstLineChars="200"/>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val="en-US" w:eastAsia="zh-CN"/>
        </w:rPr>
        <w:t>6、津市市环境保护局关于湖南龙腾生物科技有限公司腺苷中间体发酵产品生产线建设项目环境影响报告表的批复</w:t>
      </w:r>
      <w:r>
        <w:rPr>
          <w:rFonts w:hint="eastAsia"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津环评</w:t>
      </w:r>
      <w:r>
        <w:rPr>
          <w:rFonts w:hint="eastAsia"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2018</w:t>
      </w:r>
      <w:r>
        <w:rPr>
          <w:rFonts w:hint="eastAsia" w:ascii="宋体" w:hAnsi="宋体" w:eastAsia="宋体" w:cs="宋体"/>
          <w:color w:val="auto"/>
          <w:sz w:val="24"/>
          <w:szCs w:val="24"/>
          <w:lang w:val="en-US" w:eastAsia="zh-CN"/>
        </w:rPr>
        <w:t>〕</w:t>
      </w:r>
      <w:r>
        <w:rPr>
          <w:rFonts w:hint="eastAsia" w:ascii="Times New Roman" w:hAnsi="Times New Roman" w:eastAsia="宋体" w:cs="Times New Roman"/>
          <w:color w:val="auto"/>
          <w:sz w:val="24"/>
          <w:szCs w:val="24"/>
          <w:lang w:val="en-US" w:eastAsia="zh-CN"/>
        </w:rPr>
        <w:t>3</w:t>
      </w:r>
      <w:r>
        <w:rPr>
          <w:rFonts w:hint="eastAsia" w:ascii="Times New Roman" w:hAnsi="Times New Roman" w:eastAsia="宋体" w:cs="Times New Roman"/>
          <w:color w:val="auto"/>
          <w:sz w:val="24"/>
          <w:szCs w:val="24"/>
        </w:rPr>
        <w:t>号）</w:t>
      </w:r>
      <w:r>
        <w:rPr>
          <w:rFonts w:hint="eastAsia" w:ascii="Times New Roman" w:hAnsi="Times New Roman" w:eastAsia="宋体" w:cs="Times New Roman"/>
          <w:color w:val="auto"/>
          <w:sz w:val="24"/>
          <w:szCs w:val="24"/>
          <w:lang w:eastAsia="zh-CN"/>
        </w:rPr>
        <w:t>；</w:t>
      </w:r>
    </w:p>
    <w:p w14:paraId="532C9DE2">
      <w:pPr>
        <w:spacing w:line="360" w:lineRule="auto"/>
        <w:ind w:firstLine="480" w:firstLineChars="200"/>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val="en-US" w:eastAsia="zh-CN"/>
        </w:rPr>
        <w:t>7、常德市生态环境局关于年产2000吨泛酸钙饲料添加剂及2000吨丙氨酸食品添加剂生产线项目环境影响报告表的批复</w:t>
      </w:r>
      <w:r>
        <w:rPr>
          <w:rFonts w:hint="eastAsia"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常环建（8）</w:t>
      </w:r>
      <w:r>
        <w:rPr>
          <w:rFonts w:hint="eastAsia"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2020</w:t>
      </w:r>
      <w:r>
        <w:rPr>
          <w:rFonts w:hint="eastAsia" w:ascii="宋体" w:hAnsi="宋体" w:eastAsia="宋体" w:cs="宋体"/>
          <w:color w:val="auto"/>
          <w:sz w:val="24"/>
          <w:szCs w:val="24"/>
          <w:lang w:val="en-US" w:eastAsia="zh-CN"/>
        </w:rPr>
        <w:t>〕</w:t>
      </w:r>
      <w:r>
        <w:rPr>
          <w:rFonts w:hint="eastAsia" w:ascii="Times New Roman" w:hAnsi="Times New Roman" w:eastAsia="宋体" w:cs="Times New Roman"/>
          <w:color w:val="auto"/>
          <w:sz w:val="24"/>
          <w:szCs w:val="24"/>
          <w:lang w:val="en-US" w:eastAsia="zh-CN"/>
        </w:rPr>
        <w:t>7</w:t>
      </w:r>
      <w:r>
        <w:rPr>
          <w:rFonts w:hint="eastAsia" w:ascii="Times New Roman" w:hAnsi="Times New Roman" w:eastAsia="宋体" w:cs="Times New Roman"/>
          <w:color w:val="auto"/>
          <w:sz w:val="24"/>
          <w:szCs w:val="24"/>
        </w:rPr>
        <w:t>号）</w:t>
      </w:r>
      <w:r>
        <w:rPr>
          <w:rFonts w:hint="eastAsia" w:ascii="Times New Roman" w:hAnsi="Times New Roman" w:eastAsia="宋体" w:cs="Times New Roman"/>
          <w:color w:val="auto"/>
          <w:sz w:val="24"/>
          <w:szCs w:val="24"/>
          <w:lang w:eastAsia="zh-CN"/>
        </w:rPr>
        <w:t>；</w:t>
      </w:r>
    </w:p>
    <w:p w14:paraId="7F72152E">
      <w:pPr>
        <w:spacing w:line="360" w:lineRule="auto"/>
        <w:ind w:firstLine="480" w:firstLineChars="200"/>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val="en-US" w:eastAsia="zh-CN"/>
        </w:rPr>
        <w:t>8、常德市生态环境局关于年产1500吨胞嘧啶中间体生产线项目环境影响报告书的批复</w:t>
      </w:r>
      <w:r>
        <w:rPr>
          <w:rFonts w:hint="eastAsia"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常环建</w:t>
      </w:r>
      <w:r>
        <w:rPr>
          <w:rFonts w:hint="eastAsia"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2022</w:t>
      </w:r>
      <w:r>
        <w:rPr>
          <w:rFonts w:hint="eastAsia" w:ascii="宋体" w:hAnsi="宋体" w:eastAsia="宋体" w:cs="宋体"/>
          <w:color w:val="auto"/>
          <w:sz w:val="24"/>
          <w:szCs w:val="24"/>
          <w:lang w:val="en-US" w:eastAsia="zh-CN"/>
        </w:rPr>
        <w:t>〕</w:t>
      </w:r>
      <w:r>
        <w:rPr>
          <w:rFonts w:hint="eastAsia" w:ascii="Times New Roman" w:hAnsi="Times New Roman" w:eastAsia="宋体" w:cs="Times New Roman"/>
          <w:color w:val="auto"/>
          <w:sz w:val="24"/>
          <w:szCs w:val="24"/>
          <w:lang w:val="en-US" w:eastAsia="zh-CN"/>
        </w:rPr>
        <w:t>15</w:t>
      </w:r>
      <w:r>
        <w:rPr>
          <w:rFonts w:hint="eastAsia" w:ascii="Times New Roman" w:hAnsi="Times New Roman" w:eastAsia="宋体" w:cs="Times New Roman"/>
          <w:color w:val="auto"/>
          <w:sz w:val="24"/>
          <w:szCs w:val="24"/>
        </w:rPr>
        <w:t>号）</w:t>
      </w:r>
      <w:r>
        <w:rPr>
          <w:rFonts w:hint="eastAsia" w:ascii="Times New Roman" w:hAnsi="Times New Roman" w:eastAsia="宋体" w:cs="Times New Roman"/>
          <w:color w:val="auto"/>
          <w:sz w:val="24"/>
          <w:szCs w:val="24"/>
          <w:lang w:eastAsia="zh-CN"/>
        </w:rPr>
        <w:t>；</w:t>
      </w:r>
    </w:p>
    <w:p w14:paraId="656BEF33">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9、常德市生态环境局关于调整《湖南龙腾生物科技有限公司年产1500吨胞嘧啶中间体生产线项目》生产废水排放标准的通知；</w:t>
      </w:r>
    </w:p>
    <w:p w14:paraId="51A79496">
      <w:pPr>
        <w:spacing w:line="360" w:lineRule="auto"/>
        <w:ind w:firstLine="480" w:firstLineChars="2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10、常德市环境保护局关于年产10万标吨系列酶制剂生产线及年产20吨内酯环（A环降解物）生产线项目竣工环境保护验收建议的函（常环建</w:t>
      </w:r>
      <w:r>
        <w:rPr>
          <w:rFonts w:hint="eastAsia"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2016</w:t>
      </w:r>
      <w:r>
        <w:rPr>
          <w:rFonts w:hint="eastAsia" w:ascii="宋体" w:hAnsi="宋体" w:eastAsia="宋体" w:cs="宋体"/>
          <w:color w:val="auto"/>
          <w:sz w:val="24"/>
          <w:szCs w:val="24"/>
          <w:lang w:val="en-US" w:eastAsia="zh-CN"/>
        </w:rPr>
        <w:t>〕6</w:t>
      </w:r>
      <w:r>
        <w:rPr>
          <w:rFonts w:hint="eastAsia" w:ascii="Times New Roman" w:hAnsi="Times New Roman" w:eastAsia="宋体" w:cs="Times New Roman"/>
          <w:color w:val="auto"/>
          <w:sz w:val="24"/>
          <w:szCs w:val="24"/>
          <w:lang w:val="en-US" w:eastAsia="zh-CN"/>
        </w:rPr>
        <w:t>3</w:t>
      </w:r>
      <w:r>
        <w:rPr>
          <w:rFonts w:hint="eastAsia" w:ascii="Times New Roman" w:hAnsi="Times New Roman" w:eastAsia="宋体" w:cs="Times New Roman"/>
          <w:color w:val="auto"/>
          <w:sz w:val="24"/>
          <w:szCs w:val="24"/>
        </w:rPr>
        <w:t>号</w:t>
      </w:r>
      <w:r>
        <w:rPr>
          <w:rFonts w:hint="eastAsia" w:ascii="Times New Roman" w:hAnsi="Times New Roman" w:eastAsia="宋体" w:cs="Times New Roman"/>
          <w:color w:val="auto"/>
          <w:sz w:val="24"/>
          <w:szCs w:val="24"/>
          <w:lang w:val="en-US" w:eastAsia="zh-CN"/>
        </w:rPr>
        <w:t>）；</w:t>
      </w:r>
    </w:p>
    <w:p w14:paraId="21346739">
      <w:pPr>
        <w:spacing w:line="360" w:lineRule="auto"/>
        <w:ind w:firstLine="480" w:firstLineChars="2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11、常德市生态环境局关于湖南龙腾生物科技有限公司年产50吨17a-羟基黄体酮中间体生产线项目噪声、固体废物污染防治设施竣工环境保护验收的意见（常环验</w:t>
      </w:r>
      <w:r>
        <w:rPr>
          <w:rFonts w:hint="eastAsia" w:ascii="宋体" w:hAnsi="宋体" w:eastAsia="宋体" w:cs="宋体"/>
          <w:color w:val="auto"/>
          <w:sz w:val="24"/>
          <w:szCs w:val="24"/>
          <w:lang w:val="en-US" w:eastAsia="zh-CN"/>
        </w:rPr>
        <w:t>〔2019〕6号</w:t>
      </w:r>
      <w:r>
        <w:rPr>
          <w:rFonts w:hint="eastAsia" w:ascii="Times New Roman" w:hAnsi="Times New Roman" w:eastAsia="宋体" w:cs="Times New Roman"/>
          <w:color w:val="auto"/>
          <w:sz w:val="24"/>
          <w:szCs w:val="24"/>
          <w:lang w:val="en-US" w:eastAsia="zh-CN"/>
        </w:rPr>
        <w:t>）；</w:t>
      </w:r>
    </w:p>
    <w:p w14:paraId="4643BEA7">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12、年产2000吨泛酸钙饲料添加剂及2000吨丙氨酸食品添加剂生产线项目竣工环境保护验收监测报告表；</w:t>
      </w:r>
    </w:p>
    <w:p w14:paraId="03B36149">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val="en-US" w:eastAsia="zh-CN"/>
        </w:rPr>
        <w:t>13</w:t>
      </w:r>
      <w:r>
        <w:rPr>
          <w:rFonts w:hint="eastAsia"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湖南龙腾生物科技有限公司</w:t>
      </w:r>
      <w:r>
        <w:rPr>
          <w:rFonts w:hint="eastAsia" w:ascii="Times New Roman" w:hAnsi="Times New Roman" w:eastAsia="宋体" w:cs="Times New Roman"/>
          <w:color w:val="auto"/>
          <w:sz w:val="24"/>
          <w:szCs w:val="24"/>
        </w:rPr>
        <w:t>排污权证</w:t>
      </w:r>
      <w:r>
        <w:rPr>
          <w:rFonts w:hint="eastAsia" w:ascii="Times New Roman" w:hAnsi="Times New Roman" w:eastAsia="宋体" w:cs="Times New Roman"/>
          <w:color w:val="auto"/>
          <w:sz w:val="24"/>
          <w:szCs w:val="24"/>
          <w:lang w:val="en-US" w:eastAsia="zh-CN"/>
        </w:rPr>
        <w:t>[（常）排污权证（2016）第41号]</w:t>
      </w:r>
      <w:r>
        <w:rPr>
          <w:rFonts w:hint="eastAsia" w:ascii="Times New Roman" w:hAnsi="Times New Roman" w:eastAsia="宋体" w:cs="Times New Roman"/>
          <w:color w:val="auto"/>
          <w:sz w:val="24"/>
          <w:szCs w:val="24"/>
        </w:rPr>
        <w:t>；</w:t>
      </w:r>
    </w:p>
    <w:p w14:paraId="13A7F202">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val="en-US" w:eastAsia="zh-CN"/>
        </w:rPr>
        <w:t>14</w:t>
      </w:r>
      <w:r>
        <w:rPr>
          <w:rFonts w:hint="eastAsia" w:ascii="Times New Roman" w:hAnsi="Times New Roman" w:eastAsia="宋体" w:cs="Times New Roman"/>
          <w:color w:val="auto"/>
          <w:sz w:val="24"/>
          <w:szCs w:val="24"/>
        </w:rPr>
        <w:t>、湖南龙腾生物科技有限公司现有工程排污许可证（</w:t>
      </w:r>
      <w:r>
        <w:rPr>
          <w:rFonts w:hint="eastAsia" w:ascii="Times New Roman" w:hAnsi="Times New Roman" w:eastAsia="宋体" w:cs="Times New Roman"/>
          <w:color w:val="auto"/>
          <w:sz w:val="24"/>
          <w:szCs w:val="24"/>
          <w:lang w:val="en-US" w:eastAsia="zh-CN"/>
        </w:rPr>
        <w:t>91430781070592320U001P</w:t>
      </w:r>
      <w:r>
        <w:rPr>
          <w:rFonts w:hint="eastAsia" w:ascii="Times New Roman" w:hAnsi="Times New Roman" w:eastAsia="宋体" w:cs="Times New Roman"/>
          <w:color w:val="auto"/>
          <w:sz w:val="24"/>
          <w:szCs w:val="24"/>
        </w:rPr>
        <w:t>）及年度执行报告；</w:t>
      </w:r>
    </w:p>
    <w:p w14:paraId="2CFBEAF4">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val="en-US" w:eastAsia="zh-CN"/>
        </w:rPr>
        <w:t>15</w:t>
      </w:r>
      <w:r>
        <w:rPr>
          <w:rFonts w:hint="eastAsia" w:ascii="Times New Roman" w:hAnsi="Times New Roman" w:eastAsia="宋体" w:cs="Times New Roman"/>
          <w:color w:val="auto"/>
          <w:sz w:val="24"/>
          <w:szCs w:val="24"/>
        </w:rPr>
        <w:t>、湖南龙腾生物科技有限公司自行监测报告；</w:t>
      </w:r>
    </w:p>
    <w:p w14:paraId="57715D45">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val="en-US" w:eastAsia="zh-CN"/>
        </w:rPr>
        <w:t>16</w:t>
      </w:r>
      <w:r>
        <w:rPr>
          <w:rFonts w:hint="eastAsia" w:ascii="Times New Roman" w:hAnsi="Times New Roman" w:eastAsia="宋体" w:cs="Times New Roman"/>
          <w:color w:val="auto"/>
          <w:sz w:val="24"/>
          <w:szCs w:val="24"/>
        </w:rPr>
        <w:t>、补充监测报告；</w:t>
      </w:r>
    </w:p>
    <w:p w14:paraId="3313F69C">
      <w:pPr>
        <w:pStyle w:val="3"/>
        <w:bidi w:val="0"/>
      </w:pPr>
      <w:bookmarkStart w:id="88" w:name="_Toc146781121"/>
      <w:bookmarkStart w:id="89" w:name="_Toc535150313"/>
      <w:bookmarkStart w:id="90" w:name="_Toc111800886"/>
      <w:bookmarkStart w:id="91" w:name="_Toc5128304"/>
      <w:bookmarkStart w:id="92" w:name="_Toc19381"/>
      <w:bookmarkStart w:id="93" w:name="_Toc22248"/>
      <w:bookmarkStart w:id="94" w:name="_Toc512320154"/>
      <w:bookmarkStart w:id="95" w:name="_Toc60296943"/>
      <w:bookmarkStart w:id="96" w:name="_Toc29695"/>
      <w:bookmarkStart w:id="97" w:name="_Toc517849898"/>
      <w:bookmarkStart w:id="98" w:name="_Toc17206437"/>
      <w:bookmarkStart w:id="99" w:name="_Toc535149914"/>
      <w:bookmarkStart w:id="100" w:name="_Toc49929992"/>
      <w:r>
        <w:t>2.2评价目的与原则</w:t>
      </w:r>
      <w:bookmarkEnd w:id="88"/>
      <w:bookmarkEnd w:id="89"/>
      <w:bookmarkEnd w:id="90"/>
      <w:bookmarkEnd w:id="91"/>
      <w:bookmarkEnd w:id="92"/>
      <w:bookmarkEnd w:id="93"/>
      <w:bookmarkEnd w:id="94"/>
      <w:bookmarkEnd w:id="95"/>
      <w:bookmarkEnd w:id="96"/>
      <w:bookmarkEnd w:id="97"/>
      <w:bookmarkEnd w:id="98"/>
      <w:bookmarkEnd w:id="99"/>
      <w:bookmarkEnd w:id="100"/>
    </w:p>
    <w:p w14:paraId="1FE890A5">
      <w:pPr>
        <w:pStyle w:val="4"/>
        <w:bidi w:val="0"/>
      </w:pPr>
      <w:r>
        <w:t>2.2.1评价目的</w:t>
      </w:r>
    </w:p>
    <w:p w14:paraId="3801D8D7">
      <w:pPr>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1、通过对</w:t>
      </w:r>
      <w:r>
        <w:rPr>
          <w:rFonts w:hint="eastAsia" w:ascii="Times New Roman" w:hAnsi="Times New Roman" w:eastAsia="宋体" w:cs="Times New Roman"/>
          <w:color w:val="auto"/>
          <w:sz w:val="24"/>
          <w:szCs w:val="24"/>
        </w:rPr>
        <w:t>本</w:t>
      </w:r>
      <w:r>
        <w:rPr>
          <w:rFonts w:ascii="Times New Roman" w:hAnsi="Times New Roman" w:eastAsia="宋体" w:cs="Times New Roman"/>
          <w:color w:val="auto"/>
          <w:sz w:val="24"/>
          <w:szCs w:val="24"/>
        </w:rPr>
        <w:t>项目工程分析，弄清污染源种类、分布以及排放方式，核算污染源源强。</w:t>
      </w:r>
    </w:p>
    <w:p w14:paraId="39E89436">
      <w:pPr>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2、通过对项目所在区域环境质量现状监测资料和常规监测资料的收集，以及对污染气象资料的收集分析，评价工程所处区域的环境质量现状。</w:t>
      </w:r>
    </w:p>
    <w:p w14:paraId="2A8AA8DF">
      <w:pPr>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3、预测项目投产后对周围环境的影响程度与范围。</w:t>
      </w:r>
    </w:p>
    <w:p w14:paraId="247D30E8">
      <w:pPr>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4、分析提供的污染防治措施的技术经济可行性及污染物达标排放的可靠性，若所提措施不能满足环保要求，提出切实可行的改进完善建议；提出污染物总量控制方案；论证本项目选址的合理性、环境可行性。</w:t>
      </w:r>
    </w:p>
    <w:p w14:paraId="71C9E91A">
      <w:pPr>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5、从环境保护角度论证项目的环境可行性，提出项目环境管理监控计划，确保工程建设与环保措施“三同时”，促使社会、经济与环境的协调发展。</w:t>
      </w:r>
    </w:p>
    <w:p w14:paraId="6A008CD1">
      <w:pPr>
        <w:pStyle w:val="4"/>
        <w:bidi w:val="0"/>
        <w:rPr>
          <w:color w:val="auto"/>
        </w:rPr>
      </w:pPr>
      <w:r>
        <w:rPr>
          <w:color w:val="auto"/>
        </w:rPr>
        <w:t>2.2.2评价原则</w:t>
      </w:r>
    </w:p>
    <w:p w14:paraId="3227303A">
      <w:pPr>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1、确保环境影响报告书为主管部门提供决策依据，为设计工作规定防治措施，为环境管理提供科学依据；</w:t>
      </w:r>
    </w:p>
    <w:p w14:paraId="2471F60A">
      <w:pPr>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2、严格贯彻执行“达标排放”、“三同时”等环保政策法规；</w:t>
      </w:r>
    </w:p>
    <w:p w14:paraId="42F8B6B9">
      <w:pPr>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3、在确保环评报告质量的前提下，充分利用现有资料，尽量缩短评价周期，满足工程进度的要求；</w:t>
      </w:r>
    </w:p>
    <w:p w14:paraId="5A86AFEC">
      <w:pPr>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4、报告书内容力求主次分明，重点突出，数据可靠，结论明确，实用性强。</w:t>
      </w:r>
    </w:p>
    <w:p w14:paraId="7C17CCF8">
      <w:pPr>
        <w:pStyle w:val="3"/>
        <w:bidi w:val="0"/>
      </w:pPr>
      <w:bookmarkStart w:id="101" w:name="_Toc17206438"/>
      <w:bookmarkStart w:id="102" w:name="_Toc517849899"/>
      <w:bookmarkStart w:id="103" w:name="_Toc18252"/>
      <w:bookmarkStart w:id="104" w:name="_Toc60296944"/>
      <w:bookmarkStart w:id="105" w:name="_Toc29790"/>
      <w:bookmarkStart w:id="106" w:name="_Toc49929993"/>
      <w:bookmarkStart w:id="107" w:name="_Toc31082"/>
      <w:bookmarkStart w:id="108" w:name="_Toc111800887"/>
      <w:bookmarkStart w:id="109" w:name="_Toc535150314"/>
      <w:bookmarkStart w:id="110" w:name="_Toc512320155"/>
      <w:bookmarkStart w:id="111" w:name="_Toc535149915"/>
      <w:bookmarkStart w:id="112" w:name="_Toc5128305"/>
      <w:bookmarkStart w:id="113" w:name="_Toc146781122"/>
      <w:r>
        <w:t>2.3评价内容与评价工作重点</w:t>
      </w:r>
      <w:bookmarkEnd w:id="101"/>
      <w:bookmarkEnd w:id="102"/>
      <w:bookmarkEnd w:id="103"/>
      <w:bookmarkEnd w:id="104"/>
      <w:bookmarkEnd w:id="105"/>
      <w:bookmarkEnd w:id="106"/>
      <w:bookmarkEnd w:id="107"/>
      <w:bookmarkEnd w:id="108"/>
      <w:bookmarkEnd w:id="109"/>
      <w:bookmarkEnd w:id="110"/>
      <w:bookmarkEnd w:id="111"/>
      <w:bookmarkEnd w:id="112"/>
      <w:bookmarkEnd w:id="113"/>
    </w:p>
    <w:p w14:paraId="381F36F0">
      <w:pPr>
        <w:pStyle w:val="4"/>
        <w:bidi w:val="0"/>
      </w:pPr>
      <w:r>
        <w:t>2.3.1评价内容</w:t>
      </w:r>
    </w:p>
    <w:p w14:paraId="208B5DF2">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根据工程特点及周围环境特征，本次评价工作内容详见下表。</w:t>
      </w:r>
    </w:p>
    <w:p w14:paraId="1D9FCEB4">
      <w:pPr>
        <w:pStyle w:val="6"/>
        <w:bidi w:val="0"/>
      </w:pPr>
      <w:r>
        <w:rPr>
          <w:rFonts w:hint="eastAsia"/>
        </w:rPr>
        <w:t>表</w:t>
      </w:r>
      <w:r>
        <w:t>2.3</w:t>
      </w:r>
      <w:r>
        <w:rPr>
          <w:rFonts w:hint="eastAsia"/>
        </w:rPr>
        <w:t>.1</w:t>
      </w:r>
      <w:r>
        <w:t xml:space="preserve">-1  </w:t>
      </w:r>
      <w:r>
        <w:rPr>
          <w:rFonts w:hint="eastAsia"/>
        </w:rPr>
        <w:t xml:space="preserve">  </w:t>
      </w:r>
      <w:r>
        <w:t>评价内容一览表</w:t>
      </w:r>
    </w:p>
    <w:tbl>
      <w:tblPr>
        <w:tblStyle w:val="41"/>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2"/>
        <w:gridCol w:w="1581"/>
        <w:gridCol w:w="6033"/>
      </w:tblGrid>
      <w:tr w14:paraId="26A94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682" w:type="dxa"/>
            <w:vAlign w:val="center"/>
          </w:tcPr>
          <w:p w14:paraId="16C9954D">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序号</w:t>
            </w:r>
          </w:p>
        </w:tc>
        <w:tc>
          <w:tcPr>
            <w:tcW w:w="1581" w:type="dxa"/>
            <w:vAlign w:val="center"/>
          </w:tcPr>
          <w:p w14:paraId="4E717081">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项    目</w:t>
            </w:r>
          </w:p>
        </w:tc>
        <w:tc>
          <w:tcPr>
            <w:tcW w:w="6033" w:type="dxa"/>
            <w:vAlign w:val="center"/>
          </w:tcPr>
          <w:p w14:paraId="70F5F447">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内    容</w:t>
            </w:r>
          </w:p>
        </w:tc>
      </w:tr>
      <w:tr w14:paraId="0C833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 w:hRule="atLeast"/>
          <w:jc w:val="center"/>
        </w:trPr>
        <w:tc>
          <w:tcPr>
            <w:tcW w:w="682" w:type="dxa"/>
            <w:vAlign w:val="center"/>
          </w:tcPr>
          <w:p w14:paraId="47CE6CDD">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1</w:t>
            </w:r>
          </w:p>
        </w:tc>
        <w:tc>
          <w:tcPr>
            <w:tcW w:w="1581" w:type="dxa"/>
            <w:vAlign w:val="center"/>
          </w:tcPr>
          <w:p w14:paraId="55332F41">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概述</w:t>
            </w:r>
          </w:p>
        </w:tc>
        <w:tc>
          <w:tcPr>
            <w:tcW w:w="6033" w:type="dxa"/>
            <w:vAlign w:val="center"/>
          </w:tcPr>
          <w:p w14:paraId="27A8A9B4">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项目由来、环境影响评价过程、关注的主要环境问题、根据国家产业政策、选址、功能分析、产业定位、用地性质、平面布局等方面分析工程可行性、主要结论</w:t>
            </w:r>
          </w:p>
        </w:tc>
      </w:tr>
      <w:tr w14:paraId="6C885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 w:hRule="atLeast"/>
          <w:jc w:val="center"/>
        </w:trPr>
        <w:tc>
          <w:tcPr>
            <w:tcW w:w="682" w:type="dxa"/>
            <w:vAlign w:val="center"/>
          </w:tcPr>
          <w:p w14:paraId="20E5E30C">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2</w:t>
            </w:r>
          </w:p>
        </w:tc>
        <w:tc>
          <w:tcPr>
            <w:tcW w:w="1581" w:type="dxa"/>
            <w:vAlign w:val="center"/>
          </w:tcPr>
          <w:p w14:paraId="2E440DD7">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总则</w:t>
            </w:r>
          </w:p>
        </w:tc>
        <w:tc>
          <w:tcPr>
            <w:tcW w:w="6033" w:type="dxa"/>
            <w:vAlign w:val="center"/>
          </w:tcPr>
          <w:p w14:paraId="03D3B9B7">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编制依据、评价目的与原则、评价内容与评价工作重点、评价因子与评价标准、评价等级及范围、环境保护目标</w:t>
            </w:r>
          </w:p>
        </w:tc>
      </w:tr>
      <w:tr w14:paraId="365AD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682" w:type="dxa"/>
            <w:vAlign w:val="center"/>
          </w:tcPr>
          <w:p w14:paraId="453E6C07">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3</w:t>
            </w:r>
          </w:p>
        </w:tc>
        <w:tc>
          <w:tcPr>
            <w:tcW w:w="1581" w:type="dxa"/>
            <w:vAlign w:val="center"/>
          </w:tcPr>
          <w:p w14:paraId="06C333C5">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项目概况</w:t>
            </w:r>
          </w:p>
        </w:tc>
        <w:tc>
          <w:tcPr>
            <w:tcW w:w="6033" w:type="dxa"/>
            <w:vAlign w:val="center"/>
          </w:tcPr>
          <w:p w14:paraId="09A5BD46">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现有工程及</w:t>
            </w:r>
            <w:r>
              <w:rPr>
                <w:rFonts w:hint="eastAsia" w:ascii="Times New Roman" w:hAnsi="Times New Roman" w:eastAsia="宋体" w:cs="Times New Roman"/>
                <w:color w:val="auto"/>
                <w:sz w:val="22"/>
                <w:szCs w:val="24"/>
              </w:rPr>
              <w:t>本</w:t>
            </w:r>
            <w:r>
              <w:rPr>
                <w:rFonts w:ascii="Times New Roman" w:hAnsi="Times New Roman" w:eastAsia="宋体" w:cs="Times New Roman"/>
                <w:color w:val="auto"/>
                <w:sz w:val="22"/>
                <w:szCs w:val="24"/>
              </w:rPr>
              <w:t>项目概况、公用工程、劳动定员及生产制度、项目投资及资金来源、建设进度安排</w:t>
            </w:r>
          </w:p>
        </w:tc>
      </w:tr>
      <w:tr w14:paraId="60892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682" w:type="dxa"/>
            <w:vAlign w:val="center"/>
          </w:tcPr>
          <w:p w14:paraId="56C8268E">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4</w:t>
            </w:r>
          </w:p>
        </w:tc>
        <w:tc>
          <w:tcPr>
            <w:tcW w:w="1581" w:type="dxa"/>
            <w:vAlign w:val="center"/>
          </w:tcPr>
          <w:p w14:paraId="577BFC50">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工程分析</w:t>
            </w:r>
          </w:p>
        </w:tc>
        <w:tc>
          <w:tcPr>
            <w:tcW w:w="6033" w:type="dxa"/>
            <w:vAlign w:val="center"/>
          </w:tcPr>
          <w:p w14:paraId="4A8B6406">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施工期工艺流程及产污环节、运营期工艺流程及产污环节、物料平衡及水平衡、污染源分析、总量控制</w:t>
            </w:r>
          </w:p>
        </w:tc>
      </w:tr>
      <w:tr w14:paraId="5B081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682" w:type="dxa"/>
            <w:vAlign w:val="center"/>
          </w:tcPr>
          <w:p w14:paraId="08C2F39C">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5</w:t>
            </w:r>
          </w:p>
        </w:tc>
        <w:tc>
          <w:tcPr>
            <w:tcW w:w="1581" w:type="dxa"/>
            <w:vAlign w:val="center"/>
          </w:tcPr>
          <w:p w14:paraId="3A085527">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环境现状调查及评价</w:t>
            </w:r>
          </w:p>
        </w:tc>
        <w:tc>
          <w:tcPr>
            <w:tcW w:w="6033" w:type="dxa"/>
            <w:vAlign w:val="center"/>
          </w:tcPr>
          <w:p w14:paraId="6CB79CD2">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自然环境、周边区域调查、环境质量现状调查与评价</w:t>
            </w:r>
          </w:p>
        </w:tc>
      </w:tr>
      <w:tr w14:paraId="50411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682" w:type="dxa"/>
            <w:vAlign w:val="center"/>
          </w:tcPr>
          <w:p w14:paraId="6005A332">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6</w:t>
            </w:r>
          </w:p>
        </w:tc>
        <w:tc>
          <w:tcPr>
            <w:tcW w:w="1581" w:type="dxa"/>
            <w:vAlign w:val="center"/>
          </w:tcPr>
          <w:p w14:paraId="53529512">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环境影响分析</w:t>
            </w:r>
          </w:p>
        </w:tc>
        <w:tc>
          <w:tcPr>
            <w:tcW w:w="6033" w:type="dxa"/>
            <w:vAlign w:val="center"/>
          </w:tcPr>
          <w:p w14:paraId="222DC090">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大气、水环境、声环境、固体废物影响分析</w:t>
            </w:r>
          </w:p>
        </w:tc>
      </w:tr>
      <w:tr w14:paraId="6C299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682" w:type="dxa"/>
            <w:vAlign w:val="center"/>
          </w:tcPr>
          <w:p w14:paraId="6B7B2F0B">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7</w:t>
            </w:r>
          </w:p>
        </w:tc>
        <w:tc>
          <w:tcPr>
            <w:tcW w:w="1581" w:type="dxa"/>
            <w:vAlign w:val="center"/>
          </w:tcPr>
          <w:p w14:paraId="6FC89A66">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污染防治措施及可行性分析</w:t>
            </w:r>
          </w:p>
        </w:tc>
        <w:tc>
          <w:tcPr>
            <w:tcW w:w="6033" w:type="dxa"/>
            <w:vAlign w:val="center"/>
          </w:tcPr>
          <w:p w14:paraId="7DD84059">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主要对废气、废水、固废及噪声环保措施进行论证</w:t>
            </w:r>
          </w:p>
        </w:tc>
      </w:tr>
      <w:tr w14:paraId="6648A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682" w:type="dxa"/>
            <w:vAlign w:val="center"/>
          </w:tcPr>
          <w:p w14:paraId="134FCE35">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8</w:t>
            </w:r>
          </w:p>
        </w:tc>
        <w:tc>
          <w:tcPr>
            <w:tcW w:w="1581" w:type="dxa"/>
            <w:vAlign w:val="center"/>
          </w:tcPr>
          <w:p w14:paraId="77A68B83">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环境风险分析</w:t>
            </w:r>
          </w:p>
        </w:tc>
        <w:tc>
          <w:tcPr>
            <w:tcW w:w="6033" w:type="dxa"/>
            <w:vAlign w:val="center"/>
          </w:tcPr>
          <w:p w14:paraId="4B430CA3">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环境风险评价目的、因素识别、风险管理、风险类型、事故原因分析、风险影响分析、风险防范措施、事故应急预案</w:t>
            </w:r>
          </w:p>
        </w:tc>
      </w:tr>
      <w:tr w14:paraId="255DC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682" w:type="dxa"/>
            <w:vAlign w:val="center"/>
          </w:tcPr>
          <w:p w14:paraId="0B3CA66B">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9</w:t>
            </w:r>
          </w:p>
        </w:tc>
        <w:tc>
          <w:tcPr>
            <w:tcW w:w="1581" w:type="dxa"/>
            <w:vAlign w:val="center"/>
          </w:tcPr>
          <w:p w14:paraId="30C904CE">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环境经济损益分析</w:t>
            </w:r>
          </w:p>
        </w:tc>
        <w:tc>
          <w:tcPr>
            <w:tcW w:w="6033" w:type="dxa"/>
            <w:vAlign w:val="center"/>
          </w:tcPr>
          <w:p w14:paraId="2ACA1393">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以建设项目实施后的环境影响预测与环境质量现状进行比较，从环境影响的正负两方面，以定性与定量相结合的方式，对建设项目的环境影响后果（包括直接和间接影响、不利和有利影响）进行货币化经济损益核算，估算建设项目环境影响的经济价值</w:t>
            </w:r>
          </w:p>
        </w:tc>
      </w:tr>
      <w:tr w14:paraId="001AC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 w:hRule="atLeast"/>
          <w:jc w:val="center"/>
        </w:trPr>
        <w:tc>
          <w:tcPr>
            <w:tcW w:w="682" w:type="dxa"/>
            <w:vAlign w:val="center"/>
          </w:tcPr>
          <w:p w14:paraId="197BC856">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10</w:t>
            </w:r>
          </w:p>
        </w:tc>
        <w:tc>
          <w:tcPr>
            <w:tcW w:w="1581" w:type="dxa"/>
            <w:vAlign w:val="center"/>
          </w:tcPr>
          <w:p w14:paraId="3CC14F0E">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环境管理、监测计划和三同时验收</w:t>
            </w:r>
          </w:p>
        </w:tc>
        <w:tc>
          <w:tcPr>
            <w:tcW w:w="6033" w:type="dxa"/>
            <w:vAlign w:val="center"/>
          </w:tcPr>
          <w:p w14:paraId="5F028E52">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对施工期以及营运期制定严格的管理、监测制度和三同时验收建议</w:t>
            </w:r>
          </w:p>
        </w:tc>
      </w:tr>
      <w:tr w14:paraId="25133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682" w:type="dxa"/>
            <w:vAlign w:val="center"/>
          </w:tcPr>
          <w:p w14:paraId="1F978166">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11</w:t>
            </w:r>
          </w:p>
        </w:tc>
        <w:tc>
          <w:tcPr>
            <w:tcW w:w="1581" w:type="dxa"/>
            <w:vAlign w:val="center"/>
          </w:tcPr>
          <w:p w14:paraId="124BF15D">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结论和建议</w:t>
            </w:r>
          </w:p>
        </w:tc>
        <w:tc>
          <w:tcPr>
            <w:tcW w:w="6033" w:type="dxa"/>
            <w:vAlign w:val="center"/>
          </w:tcPr>
          <w:p w14:paraId="06772D58">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从环保角度对项目作出明确结论并给出合理化建议</w:t>
            </w:r>
          </w:p>
        </w:tc>
      </w:tr>
    </w:tbl>
    <w:p w14:paraId="7ECE4CFF">
      <w:pPr>
        <w:pStyle w:val="4"/>
        <w:bidi w:val="0"/>
        <w:rPr>
          <w:color w:val="auto"/>
        </w:rPr>
      </w:pPr>
      <w:r>
        <w:rPr>
          <w:color w:val="auto"/>
        </w:rPr>
        <w:t>2.3.2评价重点</w:t>
      </w:r>
    </w:p>
    <w:p w14:paraId="4B6CDB15">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根据项目周围环境特征及本项目的具体特征，确定以工程分析、废气环境影响分析、废气污染治理措施及可行性分析等为重点。</w:t>
      </w:r>
    </w:p>
    <w:p w14:paraId="2A1D85A1">
      <w:pPr>
        <w:pStyle w:val="3"/>
        <w:bidi w:val="0"/>
      </w:pPr>
      <w:bookmarkStart w:id="114" w:name="_Toc111800888"/>
      <w:bookmarkStart w:id="115" w:name="_Toc19686"/>
      <w:bookmarkStart w:id="116" w:name="_Toc7017"/>
      <w:bookmarkStart w:id="117" w:name="_Toc60296945"/>
      <w:bookmarkStart w:id="118" w:name="_Toc146781123"/>
      <w:bookmarkStart w:id="119" w:name="_Toc512320156"/>
      <w:bookmarkStart w:id="120" w:name="_Toc49929994"/>
      <w:bookmarkStart w:id="121" w:name="_Toc12516"/>
      <w:bookmarkStart w:id="122" w:name="_Toc17206439"/>
      <w:bookmarkStart w:id="123" w:name="_Toc535150315"/>
      <w:bookmarkStart w:id="124" w:name="_Toc535149916"/>
      <w:bookmarkStart w:id="125" w:name="_Toc517849900"/>
      <w:bookmarkStart w:id="126" w:name="_Toc5128306"/>
      <w:r>
        <w:t>2.4评价因子与评价标准</w:t>
      </w:r>
      <w:bookmarkEnd w:id="114"/>
      <w:bookmarkEnd w:id="115"/>
      <w:bookmarkEnd w:id="116"/>
      <w:bookmarkEnd w:id="117"/>
      <w:bookmarkEnd w:id="118"/>
      <w:bookmarkEnd w:id="119"/>
      <w:bookmarkEnd w:id="120"/>
      <w:bookmarkEnd w:id="121"/>
      <w:bookmarkEnd w:id="122"/>
      <w:bookmarkEnd w:id="123"/>
      <w:bookmarkEnd w:id="124"/>
      <w:bookmarkEnd w:id="125"/>
      <w:bookmarkEnd w:id="126"/>
    </w:p>
    <w:p w14:paraId="499C3287">
      <w:pPr>
        <w:keepNext/>
        <w:keepLines/>
        <w:spacing w:before="156" w:beforeLines="50" w:after="156" w:afterLines="50" w:line="360" w:lineRule="auto"/>
        <w:outlineLvl w:val="2"/>
        <w:rPr>
          <w:rFonts w:ascii="Times New Roman" w:hAnsi="Times New Roman" w:eastAsia="宋体" w:cs="Times New Roman"/>
          <w:b/>
          <w:color w:val="auto"/>
          <w:kern w:val="0"/>
          <w:sz w:val="24"/>
          <w:szCs w:val="24"/>
        </w:rPr>
      </w:pPr>
      <w:r>
        <w:rPr>
          <w:rFonts w:ascii="Times New Roman" w:hAnsi="Times New Roman" w:eastAsia="宋体" w:cs="Times New Roman"/>
          <w:b/>
          <w:color w:val="auto"/>
          <w:kern w:val="0"/>
          <w:sz w:val="24"/>
          <w:szCs w:val="24"/>
        </w:rPr>
        <w:t>2.4.1环境影响识别与评价因子筛选</w:t>
      </w:r>
    </w:p>
    <w:p w14:paraId="084B3200">
      <w:pPr>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1、环境影响要素的识别</w:t>
      </w:r>
    </w:p>
    <w:p w14:paraId="47C9CC04">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根据本项目的生产工艺和污染物排放特征以及项目周边地区环境状况，分析工程周边自然环境、生态环境、社会经济、生活质量等诸因素可能产生的影响，采用矩阵法对可能受该工程影响的环境要素进行识别筛选，其结果见表</w:t>
      </w:r>
      <w:r>
        <w:rPr>
          <w:rFonts w:ascii="Times New Roman" w:hAnsi="Times New Roman" w:eastAsia="宋体" w:cs="Times New Roman"/>
          <w:color w:val="auto"/>
          <w:sz w:val="24"/>
          <w:szCs w:val="24"/>
        </w:rPr>
        <w:t>2.4</w:t>
      </w:r>
      <w:r>
        <w:rPr>
          <w:rFonts w:hint="eastAsia" w:ascii="Times New Roman" w:hAnsi="Times New Roman" w:eastAsia="宋体" w:cs="Times New Roman"/>
          <w:color w:val="auto"/>
          <w:sz w:val="24"/>
          <w:szCs w:val="24"/>
        </w:rPr>
        <w:t>.1</w:t>
      </w:r>
      <w:r>
        <w:rPr>
          <w:rFonts w:ascii="Times New Roman" w:hAnsi="Times New Roman" w:eastAsia="宋体" w:cs="Times New Roman"/>
          <w:color w:val="auto"/>
          <w:sz w:val="24"/>
          <w:szCs w:val="24"/>
        </w:rPr>
        <w:t>-1。</w:t>
      </w:r>
    </w:p>
    <w:p w14:paraId="7198E1BF">
      <w:pPr>
        <w:bidi w:val="0"/>
        <w:rPr>
          <w:rFonts w:hint="eastAsia"/>
        </w:rPr>
      </w:pPr>
    </w:p>
    <w:p w14:paraId="092C581D">
      <w:pPr>
        <w:bidi w:val="0"/>
        <w:rPr>
          <w:rFonts w:hint="eastAsia"/>
        </w:rPr>
      </w:pPr>
    </w:p>
    <w:p w14:paraId="23A4A121">
      <w:pPr>
        <w:pStyle w:val="6"/>
        <w:bidi w:val="0"/>
      </w:pPr>
      <w:r>
        <w:rPr>
          <w:rFonts w:hint="eastAsia"/>
        </w:rPr>
        <w:t>表</w:t>
      </w:r>
      <w:r>
        <w:t>2.4</w:t>
      </w:r>
      <w:r>
        <w:rPr>
          <w:rFonts w:hint="eastAsia"/>
        </w:rPr>
        <w:t>.1</w:t>
      </w:r>
      <w:r>
        <w:t>-1    环境影响因素识别表</w:t>
      </w:r>
    </w:p>
    <w:tbl>
      <w:tblPr>
        <w:tblStyle w:val="4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8"/>
        <w:gridCol w:w="1062"/>
        <w:gridCol w:w="717"/>
        <w:gridCol w:w="813"/>
        <w:gridCol w:w="721"/>
        <w:gridCol w:w="552"/>
        <w:gridCol w:w="634"/>
        <w:gridCol w:w="634"/>
        <w:gridCol w:w="634"/>
        <w:gridCol w:w="634"/>
        <w:gridCol w:w="634"/>
        <w:gridCol w:w="666"/>
      </w:tblGrid>
      <w:tr w14:paraId="01DFE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9" w:type="pct"/>
            <w:gridSpan w:val="2"/>
            <w:vMerge w:val="restart"/>
            <w:tcBorders>
              <w:tl2br w:val="single" w:color="auto" w:sz="4" w:space="0"/>
            </w:tcBorders>
            <w:tcMar>
              <w:left w:w="28" w:type="dxa"/>
              <w:right w:w="28" w:type="dxa"/>
            </w:tcMar>
            <w:vAlign w:val="center"/>
          </w:tcPr>
          <w:p w14:paraId="7DC62323">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工程行为</w:t>
            </w:r>
          </w:p>
          <w:p w14:paraId="353EDFBD">
            <w:pPr>
              <w:jc w:val="center"/>
              <w:rPr>
                <w:rFonts w:ascii="Times New Roman" w:hAnsi="Times New Roman" w:eastAsia="宋体" w:cs="Times New Roman"/>
                <w:color w:val="auto"/>
                <w:sz w:val="22"/>
                <w:szCs w:val="24"/>
              </w:rPr>
            </w:pPr>
          </w:p>
          <w:p w14:paraId="481A3066">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环境资源</w:t>
            </w:r>
          </w:p>
        </w:tc>
        <w:tc>
          <w:tcPr>
            <w:tcW w:w="915" w:type="pct"/>
            <w:gridSpan w:val="2"/>
            <w:vAlign w:val="center"/>
          </w:tcPr>
          <w:p w14:paraId="2FBF919F">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施工期</w:t>
            </w:r>
          </w:p>
        </w:tc>
        <w:tc>
          <w:tcPr>
            <w:tcW w:w="3054" w:type="pct"/>
            <w:gridSpan w:val="8"/>
            <w:tcMar>
              <w:left w:w="28" w:type="dxa"/>
              <w:right w:w="28" w:type="dxa"/>
            </w:tcMar>
            <w:vAlign w:val="center"/>
          </w:tcPr>
          <w:p w14:paraId="63424F0F">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营运期</w:t>
            </w:r>
          </w:p>
        </w:tc>
      </w:tr>
      <w:tr w14:paraId="65C16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9" w:type="pct"/>
            <w:gridSpan w:val="2"/>
            <w:vMerge w:val="continue"/>
            <w:tcMar>
              <w:left w:w="28" w:type="dxa"/>
              <w:right w:w="28" w:type="dxa"/>
            </w:tcMar>
            <w:vAlign w:val="center"/>
          </w:tcPr>
          <w:p w14:paraId="065BAEA1">
            <w:pPr>
              <w:jc w:val="center"/>
              <w:rPr>
                <w:rFonts w:ascii="Times New Roman" w:hAnsi="Times New Roman" w:eastAsia="宋体" w:cs="Times New Roman"/>
                <w:color w:val="auto"/>
                <w:sz w:val="22"/>
                <w:szCs w:val="24"/>
              </w:rPr>
            </w:pPr>
          </w:p>
        </w:tc>
        <w:tc>
          <w:tcPr>
            <w:tcW w:w="429" w:type="pct"/>
            <w:tcMar>
              <w:left w:w="28" w:type="dxa"/>
              <w:right w:w="28" w:type="dxa"/>
            </w:tcMar>
            <w:vAlign w:val="center"/>
          </w:tcPr>
          <w:p w14:paraId="20ECCA4C">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占地</w:t>
            </w:r>
          </w:p>
        </w:tc>
        <w:tc>
          <w:tcPr>
            <w:tcW w:w="486" w:type="pct"/>
            <w:tcMar>
              <w:left w:w="28" w:type="dxa"/>
              <w:right w:w="28" w:type="dxa"/>
            </w:tcMar>
            <w:vAlign w:val="center"/>
          </w:tcPr>
          <w:p w14:paraId="6C041C16">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运输</w:t>
            </w:r>
          </w:p>
        </w:tc>
        <w:tc>
          <w:tcPr>
            <w:tcW w:w="431" w:type="pct"/>
            <w:tcMar>
              <w:left w:w="28" w:type="dxa"/>
              <w:right w:w="28" w:type="dxa"/>
            </w:tcMar>
            <w:vAlign w:val="center"/>
          </w:tcPr>
          <w:p w14:paraId="74B66B01">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物料</w:t>
            </w:r>
          </w:p>
          <w:p w14:paraId="1533FEAD">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运输</w:t>
            </w:r>
          </w:p>
        </w:tc>
        <w:tc>
          <w:tcPr>
            <w:tcW w:w="330" w:type="pct"/>
            <w:tcMar>
              <w:left w:w="28" w:type="dxa"/>
              <w:right w:w="28" w:type="dxa"/>
            </w:tcMar>
            <w:vAlign w:val="center"/>
          </w:tcPr>
          <w:p w14:paraId="06BDE953">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生</w:t>
            </w:r>
          </w:p>
          <w:p w14:paraId="3EACCAA7">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产</w:t>
            </w:r>
          </w:p>
        </w:tc>
        <w:tc>
          <w:tcPr>
            <w:tcW w:w="379" w:type="pct"/>
            <w:tcMar>
              <w:left w:w="28" w:type="dxa"/>
              <w:right w:w="28" w:type="dxa"/>
            </w:tcMar>
            <w:vAlign w:val="center"/>
          </w:tcPr>
          <w:p w14:paraId="05E736AC">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废水</w:t>
            </w:r>
          </w:p>
          <w:p w14:paraId="12291B56">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排放</w:t>
            </w:r>
          </w:p>
        </w:tc>
        <w:tc>
          <w:tcPr>
            <w:tcW w:w="379" w:type="pct"/>
            <w:tcMar>
              <w:left w:w="28" w:type="dxa"/>
              <w:right w:w="28" w:type="dxa"/>
            </w:tcMar>
            <w:vAlign w:val="center"/>
          </w:tcPr>
          <w:p w14:paraId="4E0A6438">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废水</w:t>
            </w:r>
          </w:p>
          <w:p w14:paraId="7FB39819">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治理</w:t>
            </w:r>
          </w:p>
        </w:tc>
        <w:tc>
          <w:tcPr>
            <w:tcW w:w="379" w:type="pct"/>
            <w:tcMar>
              <w:left w:w="28" w:type="dxa"/>
              <w:right w:w="28" w:type="dxa"/>
            </w:tcMar>
            <w:vAlign w:val="center"/>
          </w:tcPr>
          <w:p w14:paraId="27DEFC88">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废气</w:t>
            </w:r>
          </w:p>
          <w:p w14:paraId="308AB437">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排放</w:t>
            </w:r>
          </w:p>
        </w:tc>
        <w:tc>
          <w:tcPr>
            <w:tcW w:w="379" w:type="pct"/>
            <w:tcMar>
              <w:left w:w="28" w:type="dxa"/>
              <w:right w:w="28" w:type="dxa"/>
            </w:tcMar>
            <w:vAlign w:val="center"/>
          </w:tcPr>
          <w:p w14:paraId="54306E68">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废气</w:t>
            </w:r>
          </w:p>
          <w:p w14:paraId="6108701C">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治理</w:t>
            </w:r>
          </w:p>
        </w:tc>
        <w:tc>
          <w:tcPr>
            <w:tcW w:w="379" w:type="pct"/>
            <w:tcMar>
              <w:left w:w="28" w:type="dxa"/>
              <w:right w:w="28" w:type="dxa"/>
            </w:tcMar>
            <w:vAlign w:val="center"/>
          </w:tcPr>
          <w:p w14:paraId="1BC1C455">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废渣</w:t>
            </w:r>
          </w:p>
          <w:p w14:paraId="7395A267">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堆存</w:t>
            </w:r>
          </w:p>
        </w:tc>
        <w:tc>
          <w:tcPr>
            <w:tcW w:w="397" w:type="pct"/>
            <w:tcMar>
              <w:left w:w="28" w:type="dxa"/>
              <w:right w:w="28" w:type="dxa"/>
            </w:tcMar>
            <w:vAlign w:val="center"/>
          </w:tcPr>
          <w:p w14:paraId="4E844C18">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废渣</w:t>
            </w:r>
          </w:p>
          <w:p w14:paraId="4468062A">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利用</w:t>
            </w:r>
          </w:p>
        </w:tc>
      </w:tr>
      <w:tr w14:paraId="23689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4" w:type="pct"/>
            <w:vMerge w:val="restart"/>
            <w:tcMar>
              <w:left w:w="28" w:type="dxa"/>
              <w:right w:w="28" w:type="dxa"/>
            </w:tcMar>
            <w:vAlign w:val="center"/>
          </w:tcPr>
          <w:p w14:paraId="472A3A66">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社会</w:t>
            </w:r>
          </w:p>
          <w:p w14:paraId="3A0F25AF">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发展</w:t>
            </w:r>
          </w:p>
        </w:tc>
        <w:tc>
          <w:tcPr>
            <w:tcW w:w="634" w:type="pct"/>
            <w:tcMar>
              <w:left w:w="28" w:type="dxa"/>
              <w:right w:w="28" w:type="dxa"/>
            </w:tcMar>
            <w:vAlign w:val="center"/>
          </w:tcPr>
          <w:p w14:paraId="7225811D">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劳动就业</w:t>
            </w:r>
          </w:p>
        </w:tc>
        <w:tc>
          <w:tcPr>
            <w:tcW w:w="429" w:type="pct"/>
            <w:tcMar>
              <w:left w:w="28" w:type="dxa"/>
              <w:right w:w="28" w:type="dxa"/>
            </w:tcMar>
            <w:vAlign w:val="center"/>
          </w:tcPr>
          <w:p w14:paraId="11079310">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c>
          <w:tcPr>
            <w:tcW w:w="486" w:type="pct"/>
            <w:tcMar>
              <w:left w:w="28" w:type="dxa"/>
              <w:right w:w="28" w:type="dxa"/>
            </w:tcMar>
            <w:vAlign w:val="center"/>
          </w:tcPr>
          <w:p w14:paraId="6AA1987D">
            <w:pPr>
              <w:jc w:val="center"/>
              <w:rPr>
                <w:rFonts w:ascii="Times New Roman" w:hAnsi="Times New Roman" w:eastAsia="宋体" w:cs="Times New Roman"/>
                <w:color w:val="auto"/>
                <w:sz w:val="22"/>
                <w:szCs w:val="24"/>
              </w:rPr>
            </w:pPr>
            <w:r>
              <w:rPr>
                <w:rFonts w:ascii="Cambria Math" w:hAnsi="Cambria Math" w:eastAsia="宋体" w:cs="Cambria Math"/>
                <w:color w:val="auto"/>
                <w:sz w:val="22"/>
                <w:szCs w:val="24"/>
              </w:rPr>
              <w:t>△</w:t>
            </w:r>
          </w:p>
        </w:tc>
        <w:tc>
          <w:tcPr>
            <w:tcW w:w="431" w:type="pct"/>
            <w:tcMar>
              <w:left w:w="28" w:type="dxa"/>
              <w:right w:w="28" w:type="dxa"/>
            </w:tcMar>
            <w:vAlign w:val="center"/>
          </w:tcPr>
          <w:p w14:paraId="5463DEC8">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c>
          <w:tcPr>
            <w:tcW w:w="330" w:type="pct"/>
            <w:tcMar>
              <w:left w:w="28" w:type="dxa"/>
              <w:right w:w="28" w:type="dxa"/>
            </w:tcMar>
            <w:vAlign w:val="center"/>
          </w:tcPr>
          <w:p w14:paraId="166683AA">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c>
          <w:tcPr>
            <w:tcW w:w="379" w:type="pct"/>
            <w:tcMar>
              <w:left w:w="28" w:type="dxa"/>
              <w:right w:w="28" w:type="dxa"/>
            </w:tcMar>
            <w:vAlign w:val="center"/>
          </w:tcPr>
          <w:p w14:paraId="75D5BE89">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c>
          <w:tcPr>
            <w:tcW w:w="379" w:type="pct"/>
            <w:tcMar>
              <w:left w:w="28" w:type="dxa"/>
              <w:right w:w="28" w:type="dxa"/>
            </w:tcMar>
            <w:vAlign w:val="center"/>
          </w:tcPr>
          <w:p w14:paraId="23FB8D4D">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c>
          <w:tcPr>
            <w:tcW w:w="379" w:type="pct"/>
            <w:tcMar>
              <w:left w:w="28" w:type="dxa"/>
              <w:right w:w="28" w:type="dxa"/>
            </w:tcMar>
            <w:vAlign w:val="center"/>
          </w:tcPr>
          <w:p w14:paraId="04687C72">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c>
          <w:tcPr>
            <w:tcW w:w="379" w:type="pct"/>
            <w:tcMar>
              <w:left w:w="28" w:type="dxa"/>
              <w:right w:w="28" w:type="dxa"/>
            </w:tcMar>
            <w:vAlign w:val="center"/>
          </w:tcPr>
          <w:p w14:paraId="377AE11B">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c>
          <w:tcPr>
            <w:tcW w:w="379" w:type="pct"/>
            <w:tcMar>
              <w:left w:w="28" w:type="dxa"/>
              <w:right w:w="28" w:type="dxa"/>
            </w:tcMar>
            <w:vAlign w:val="center"/>
          </w:tcPr>
          <w:p w14:paraId="001A8B6D">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c>
          <w:tcPr>
            <w:tcW w:w="397" w:type="pct"/>
            <w:tcMar>
              <w:left w:w="28" w:type="dxa"/>
              <w:right w:w="28" w:type="dxa"/>
            </w:tcMar>
            <w:vAlign w:val="center"/>
          </w:tcPr>
          <w:p w14:paraId="15637412">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r>
      <w:tr w14:paraId="76A75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4" w:type="pct"/>
            <w:vMerge w:val="continue"/>
            <w:tcMar>
              <w:left w:w="28" w:type="dxa"/>
              <w:right w:w="28" w:type="dxa"/>
            </w:tcMar>
            <w:vAlign w:val="center"/>
          </w:tcPr>
          <w:p w14:paraId="7E2D0859">
            <w:pPr>
              <w:jc w:val="center"/>
              <w:rPr>
                <w:rFonts w:ascii="Times New Roman" w:hAnsi="Times New Roman" w:eastAsia="宋体" w:cs="Times New Roman"/>
                <w:color w:val="auto"/>
                <w:sz w:val="22"/>
                <w:szCs w:val="24"/>
              </w:rPr>
            </w:pPr>
          </w:p>
        </w:tc>
        <w:tc>
          <w:tcPr>
            <w:tcW w:w="634" w:type="pct"/>
            <w:tcMar>
              <w:left w:w="28" w:type="dxa"/>
              <w:right w:w="28" w:type="dxa"/>
            </w:tcMar>
            <w:vAlign w:val="center"/>
          </w:tcPr>
          <w:p w14:paraId="20A6450E">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经济发展</w:t>
            </w:r>
          </w:p>
        </w:tc>
        <w:tc>
          <w:tcPr>
            <w:tcW w:w="429" w:type="pct"/>
            <w:tcMar>
              <w:left w:w="28" w:type="dxa"/>
              <w:right w:w="28" w:type="dxa"/>
            </w:tcMar>
            <w:vAlign w:val="center"/>
          </w:tcPr>
          <w:p w14:paraId="03B187AC">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c>
          <w:tcPr>
            <w:tcW w:w="486" w:type="pct"/>
            <w:tcMar>
              <w:left w:w="28" w:type="dxa"/>
              <w:right w:w="28" w:type="dxa"/>
            </w:tcMar>
            <w:vAlign w:val="center"/>
          </w:tcPr>
          <w:p w14:paraId="4CAE91B3">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c>
          <w:tcPr>
            <w:tcW w:w="431" w:type="pct"/>
            <w:tcMar>
              <w:left w:w="28" w:type="dxa"/>
              <w:right w:w="28" w:type="dxa"/>
            </w:tcMar>
            <w:vAlign w:val="center"/>
          </w:tcPr>
          <w:p w14:paraId="60184D0D">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c>
          <w:tcPr>
            <w:tcW w:w="330" w:type="pct"/>
            <w:tcMar>
              <w:left w:w="28" w:type="dxa"/>
              <w:right w:w="28" w:type="dxa"/>
            </w:tcMar>
            <w:vAlign w:val="center"/>
          </w:tcPr>
          <w:p w14:paraId="1F50E170">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c>
          <w:tcPr>
            <w:tcW w:w="379" w:type="pct"/>
            <w:tcMar>
              <w:left w:w="28" w:type="dxa"/>
              <w:right w:w="28" w:type="dxa"/>
            </w:tcMar>
            <w:vAlign w:val="center"/>
          </w:tcPr>
          <w:p w14:paraId="7CE546DF">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c>
          <w:tcPr>
            <w:tcW w:w="379" w:type="pct"/>
            <w:tcMar>
              <w:left w:w="28" w:type="dxa"/>
              <w:right w:w="28" w:type="dxa"/>
            </w:tcMar>
            <w:vAlign w:val="center"/>
          </w:tcPr>
          <w:p w14:paraId="02DCDA44">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c>
          <w:tcPr>
            <w:tcW w:w="379" w:type="pct"/>
            <w:tcMar>
              <w:left w:w="28" w:type="dxa"/>
              <w:right w:w="28" w:type="dxa"/>
            </w:tcMar>
            <w:vAlign w:val="center"/>
          </w:tcPr>
          <w:p w14:paraId="6DAE22EA">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c>
          <w:tcPr>
            <w:tcW w:w="379" w:type="pct"/>
            <w:tcMar>
              <w:left w:w="28" w:type="dxa"/>
              <w:right w:w="28" w:type="dxa"/>
            </w:tcMar>
            <w:vAlign w:val="center"/>
          </w:tcPr>
          <w:p w14:paraId="4C7E5E66">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c>
          <w:tcPr>
            <w:tcW w:w="379" w:type="pct"/>
            <w:tcMar>
              <w:left w:w="28" w:type="dxa"/>
              <w:right w:w="28" w:type="dxa"/>
            </w:tcMar>
            <w:vAlign w:val="center"/>
          </w:tcPr>
          <w:p w14:paraId="26F8557C">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c>
          <w:tcPr>
            <w:tcW w:w="397" w:type="pct"/>
            <w:tcMar>
              <w:left w:w="28" w:type="dxa"/>
              <w:right w:w="28" w:type="dxa"/>
            </w:tcMar>
            <w:vAlign w:val="center"/>
          </w:tcPr>
          <w:p w14:paraId="1FF43524">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r>
      <w:tr w14:paraId="07078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4" w:type="pct"/>
            <w:vMerge w:val="continue"/>
            <w:tcMar>
              <w:left w:w="28" w:type="dxa"/>
              <w:right w:w="28" w:type="dxa"/>
            </w:tcMar>
            <w:vAlign w:val="center"/>
          </w:tcPr>
          <w:p w14:paraId="0CCD3224">
            <w:pPr>
              <w:jc w:val="center"/>
              <w:rPr>
                <w:rFonts w:ascii="Times New Roman" w:hAnsi="Times New Roman" w:eastAsia="宋体" w:cs="Times New Roman"/>
                <w:color w:val="auto"/>
                <w:sz w:val="22"/>
                <w:szCs w:val="24"/>
              </w:rPr>
            </w:pPr>
          </w:p>
        </w:tc>
        <w:tc>
          <w:tcPr>
            <w:tcW w:w="634" w:type="pct"/>
            <w:tcMar>
              <w:left w:w="28" w:type="dxa"/>
              <w:right w:w="28" w:type="dxa"/>
            </w:tcMar>
            <w:vAlign w:val="center"/>
          </w:tcPr>
          <w:p w14:paraId="37094AA6">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土地作用</w:t>
            </w:r>
          </w:p>
        </w:tc>
        <w:tc>
          <w:tcPr>
            <w:tcW w:w="429" w:type="pct"/>
            <w:tcMar>
              <w:left w:w="28" w:type="dxa"/>
              <w:right w:w="28" w:type="dxa"/>
            </w:tcMar>
            <w:vAlign w:val="center"/>
          </w:tcPr>
          <w:p w14:paraId="55E3508E">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c>
          <w:tcPr>
            <w:tcW w:w="486" w:type="pct"/>
            <w:tcMar>
              <w:left w:w="28" w:type="dxa"/>
              <w:right w:w="28" w:type="dxa"/>
            </w:tcMar>
            <w:vAlign w:val="center"/>
          </w:tcPr>
          <w:p w14:paraId="0C964E5A">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c>
          <w:tcPr>
            <w:tcW w:w="431" w:type="pct"/>
            <w:tcMar>
              <w:left w:w="28" w:type="dxa"/>
              <w:right w:w="28" w:type="dxa"/>
            </w:tcMar>
            <w:vAlign w:val="center"/>
          </w:tcPr>
          <w:p w14:paraId="7D488259">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c>
          <w:tcPr>
            <w:tcW w:w="330" w:type="pct"/>
            <w:tcMar>
              <w:left w:w="28" w:type="dxa"/>
              <w:right w:w="28" w:type="dxa"/>
            </w:tcMar>
            <w:vAlign w:val="center"/>
          </w:tcPr>
          <w:p w14:paraId="61BD7E40">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c>
          <w:tcPr>
            <w:tcW w:w="379" w:type="pct"/>
            <w:tcMar>
              <w:left w:w="28" w:type="dxa"/>
              <w:right w:w="28" w:type="dxa"/>
            </w:tcMar>
            <w:vAlign w:val="center"/>
          </w:tcPr>
          <w:p w14:paraId="3DA14913">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c>
          <w:tcPr>
            <w:tcW w:w="379" w:type="pct"/>
            <w:tcMar>
              <w:left w:w="28" w:type="dxa"/>
              <w:right w:w="28" w:type="dxa"/>
            </w:tcMar>
            <w:vAlign w:val="center"/>
          </w:tcPr>
          <w:p w14:paraId="6F7D1FFD">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c>
          <w:tcPr>
            <w:tcW w:w="379" w:type="pct"/>
            <w:tcMar>
              <w:left w:w="28" w:type="dxa"/>
              <w:right w:w="28" w:type="dxa"/>
            </w:tcMar>
            <w:vAlign w:val="center"/>
          </w:tcPr>
          <w:p w14:paraId="2E410EB1">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c>
          <w:tcPr>
            <w:tcW w:w="379" w:type="pct"/>
            <w:tcMar>
              <w:left w:w="28" w:type="dxa"/>
              <w:right w:w="28" w:type="dxa"/>
            </w:tcMar>
            <w:vAlign w:val="center"/>
          </w:tcPr>
          <w:p w14:paraId="10DD77CB">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c>
          <w:tcPr>
            <w:tcW w:w="379" w:type="pct"/>
            <w:tcMar>
              <w:left w:w="28" w:type="dxa"/>
              <w:right w:w="28" w:type="dxa"/>
            </w:tcMar>
            <w:vAlign w:val="center"/>
          </w:tcPr>
          <w:p w14:paraId="1B4951E8">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c>
          <w:tcPr>
            <w:tcW w:w="397" w:type="pct"/>
            <w:tcMar>
              <w:left w:w="28" w:type="dxa"/>
              <w:right w:w="28" w:type="dxa"/>
            </w:tcMar>
            <w:vAlign w:val="center"/>
          </w:tcPr>
          <w:p w14:paraId="66D7FCBB">
            <w:pPr>
              <w:jc w:val="center"/>
              <w:rPr>
                <w:rFonts w:ascii="Times New Roman" w:hAnsi="Times New Roman" w:eastAsia="宋体" w:cs="Times New Roman"/>
                <w:color w:val="auto"/>
                <w:sz w:val="22"/>
                <w:szCs w:val="24"/>
              </w:rPr>
            </w:pPr>
          </w:p>
        </w:tc>
      </w:tr>
      <w:tr w14:paraId="0AC7C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4" w:type="pct"/>
            <w:vMerge w:val="restart"/>
            <w:tcMar>
              <w:left w:w="28" w:type="dxa"/>
              <w:right w:w="28" w:type="dxa"/>
            </w:tcMar>
            <w:vAlign w:val="center"/>
          </w:tcPr>
          <w:p w14:paraId="47FCC035">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自然</w:t>
            </w:r>
          </w:p>
          <w:p w14:paraId="46668446">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资源</w:t>
            </w:r>
          </w:p>
        </w:tc>
        <w:tc>
          <w:tcPr>
            <w:tcW w:w="634" w:type="pct"/>
            <w:tcMar>
              <w:left w:w="28" w:type="dxa"/>
              <w:right w:w="28" w:type="dxa"/>
            </w:tcMar>
            <w:vAlign w:val="center"/>
          </w:tcPr>
          <w:p w14:paraId="65ED5528">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地表水体</w:t>
            </w:r>
          </w:p>
        </w:tc>
        <w:tc>
          <w:tcPr>
            <w:tcW w:w="429" w:type="pct"/>
            <w:tcMar>
              <w:left w:w="28" w:type="dxa"/>
              <w:right w:w="28" w:type="dxa"/>
            </w:tcMar>
            <w:vAlign w:val="center"/>
          </w:tcPr>
          <w:p w14:paraId="6B80309D">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c>
          <w:tcPr>
            <w:tcW w:w="486" w:type="pct"/>
            <w:tcMar>
              <w:left w:w="28" w:type="dxa"/>
              <w:right w:w="28" w:type="dxa"/>
            </w:tcMar>
            <w:vAlign w:val="center"/>
          </w:tcPr>
          <w:p w14:paraId="2FD5F6B7">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c>
          <w:tcPr>
            <w:tcW w:w="431" w:type="pct"/>
            <w:tcMar>
              <w:left w:w="28" w:type="dxa"/>
              <w:right w:w="28" w:type="dxa"/>
            </w:tcMar>
            <w:vAlign w:val="center"/>
          </w:tcPr>
          <w:p w14:paraId="3E6691BD">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c>
          <w:tcPr>
            <w:tcW w:w="330" w:type="pct"/>
            <w:tcMar>
              <w:left w:w="28" w:type="dxa"/>
              <w:right w:w="28" w:type="dxa"/>
            </w:tcMar>
            <w:vAlign w:val="center"/>
          </w:tcPr>
          <w:p w14:paraId="7FF1CF88">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c>
          <w:tcPr>
            <w:tcW w:w="379" w:type="pct"/>
            <w:tcMar>
              <w:left w:w="28" w:type="dxa"/>
              <w:right w:w="28" w:type="dxa"/>
            </w:tcMar>
            <w:vAlign w:val="center"/>
          </w:tcPr>
          <w:p w14:paraId="7AB3865E">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c>
          <w:tcPr>
            <w:tcW w:w="379" w:type="pct"/>
            <w:tcMar>
              <w:left w:w="28" w:type="dxa"/>
              <w:right w:w="28" w:type="dxa"/>
            </w:tcMar>
            <w:vAlign w:val="center"/>
          </w:tcPr>
          <w:p w14:paraId="5436CEFD">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c>
          <w:tcPr>
            <w:tcW w:w="379" w:type="pct"/>
            <w:tcMar>
              <w:left w:w="28" w:type="dxa"/>
              <w:right w:w="28" w:type="dxa"/>
            </w:tcMar>
            <w:vAlign w:val="center"/>
          </w:tcPr>
          <w:p w14:paraId="55AFB014">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c>
          <w:tcPr>
            <w:tcW w:w="379" w:type="pct"/>
            <w:tcMar>
              <w:left w:w="28" w:type="dxa"/>
              <w:right w:w="28" w:type="dxa"/>
            </w:tcMar>
            <w:vAlign w:val="center"/>
          </w:tcPr>
          <w:p w14:paraId="5002C5E2">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c>
          <w:tcPr>
            <w:tcW w:w="379" w:type="pct"/>
            <w:tcMar>
              <w:left w:w="28" w:type="dxa"/>
              <w:right w:w="28" w:type="dxa"/>
            </w:tcMar>
            <w:vAlign w:val="center"/>
          </w:tcPr>
          <w:p w14:paraId="156E480B">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c>
          <w:tcPr>
            <w:tcW w:w="397" w:type="pct"/>
            <w:tcMar>
              <w:left w:w="28" w:type="dxa"/>
              <w:right w:w="28" w:type="dxa"/>
            </w:tcMar>
            <w:vAlign w:val="center"/>
          </w:tcPr>
          <w:p w14:paraId="42CE98C6">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r>
      <w:tr w14:paraId="1DE16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4" w:type="pct"/>
            <w:vMerge w:val="continue"/>
            <w:tcMar>
              <w:left w:w="28" w:type="dxa"/>
              <w:right w:w="28" w:type="dxa"/>
            </w:tcMar>
            <w:vAlign w:val="center"/>
          </w:tcPr>
          <w:p w14:paraId="2D602DE0">
            <w:pPr>
              <w:jc w:val="center"/>
              <w:rPr>
                <w:rFonts w:ascii="Times New Roman" w:hAnsi="Times New Roman" w:eastAsia="宋体" w:cs="Times New Roman"/>
                <w:color w:val="auto"/>
                <w:sz w:val="22"/>
                <w:szCs w:val="24"/>
              </w:rPr>
            </w:pPr>
          </w:p>
        </w:tc>
        <w:tc>
          <w:tcPr>
            <w:tcW w:w="634" w:type="pct"/>
            <w:tcMar>
              <w:left w:w="28" w:type="dxa"/>
              <w:right w:w="28" w:type="dxa"/>
            </w:tcMar>
            <w:vAlign w:val="center"/>
          </w:tcPr>
          <w:p w14:paraId="5DCCBA06">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地下水体</w:t>
            </w:r>
          </w:p>
        </w:tc>
        <w:tc>
          <w:tcPr>
            <w:tcW w:w="429" w:type="pct"/>
            <w:tcMar>
              <w:left w:w="28" w:type="dxa"/>
              <w:right w:w="28" w:type="dxa"/>
            </w:tcMar>
            <w:vAlign w:val="center"/>
          </w:tcPr>
          <w:p w14:paraId="0B17F5EE">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c>
          <w:tcPr>
            <w:tcW w:w="486" w:type="pct"/>
            <w:tcMar>
              <w:left w:w="28" w:type="dxa"/>
              <w:right w:w="28" w:type="dxa"/>
            </w:tcMar>
            <w:vAlign w:val="center"/>
          </w:tcPr>
          <w:p w14:paraId="31426D19">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c>
          <w:tcPr>
            <w:tcW w:w="431" w:type="pct"/>
            <w:tcMar>
              <w:left w:w="28" w:type="dxa"/>
              <w:right w:w="28" w:type="dxa"/>
            </w:tcMar>
            <w:vAlign w:val="center"/>
          </w:tcPr>
          <w:p w14:paraId="5C60366A">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c>
          <w:tcPr>
            <w:tcW w:w="330" w:type="pct"/>
            <w:tcMar>
              <w:left w:w="28" w:type="dxa"/>
              <w:right w:w="28" w:type="dxa"/>
            </w:tcMar>
            <w:vAlign w:val="center"/>
          </w:tcPr>
          <w:p w14:paraId="721474A5">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c>
          <w:tcPr>
            <w:tcW w:w="379" w:type="pct"/>
            <w:tcMar>
              <w:left w:w="28" w:type="dxa"/>
              <w:right w:w="28" w:type="dxa"/>
            </w:tcMar>
            <w:vAlign w:val="center"/>
          </w:tcPr>
          <w:p w14:paraId="15CBCC9D">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c>
          <w:tcPr>
            <w:tcW w:w="379" w:type="pct"/>
            <w:tcMar>
              <w:left w:w="28" w:type="dxa"/>
              <w:right w:w="28" w:type="dxa"/>
            </w:tcMar>
            <w:vAlign w:val="center"/>
          </w:tcPr>
          <w:p w14:paraId="46756173">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c>
          <w:tcPr>
            <w:tcW w:w="379" w:type="pct"/>
            <w:tcMar>
              <w:left w:w="28" w:type="dxa"/>
              <w:right w:w="28" w:type="dxa"/>
            </w:tcMar>
            <w:vAlign w:val="center"/>
          </w:tcPr>
          <w:p w14:paraId="20285E62">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c>
          <w:tcPr>
            <w:tcW w:w="379" w:type="pct"/>
            <w:tcMar>
              <w:left w:w="28" w:type="dxa"/>
              <w:right w:w="28" w:type="dxa"/>
            </w:tcMar>
            <w:vAlign w:val="center"/>
          </w:tcPr>
          <w:p w14:paraId="47B994C4">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c>
          <w:tcPr>
            <w:tcW w:w="379" w:type="pct"/>
            <w:tcMar>
              <w:left w:w="28" w:type="dxa"/>
              <w:right w:w="28" w:type="dxa"/>
            </w:tcMar>
            <w:vAlign w:val="center"/>
          </w:tcPr>
          <w:p w14:paraId="358D01C3">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c>
          <w:tcPr>
            <w:tcW w:w="397" w:type="pct"/>
            <w:tcMar>
              <w:left w:w="28" w:type="dxa"/>
              <w:right w:w="28" w:type="dxa"/>
            </w:tcMar>
            <w:vAlign w:val="center"/>
          </w:tcPr>
          <w:p w14:paraId="7D897884">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r>
      <w:tr w14:paraId="0DAB1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4" w:type="pct"/>
            <w:vMerge w:val="continue"/>
            <w:tcMar>
              <w:left w:w="28" w:type="dxa"/>
              <w:right w:w="28" w:type="dxa"/>
            </w:tcMar>
            <w:vAlign w:val="center"/>
          </w:tcPr>
          <w:p w14:paraId="6B778196">
            <w:pPr>
              <w:jc w:val="center"/>
              <w:rPr>
                <w:rFonts w:ascii="Times New Roman" w:hAnsi="Times New Roman" w:eastAsia="宋体" w:cs="Times New Roman"/>
                <w:color w:val="auto"/>
                <w:sz w:val="22"/>
                <w:szCs w:val="24"/>
              </w:rPr>
            </w:pPr>
          </w:p>
        </w:tc>
        <w:tc>
          <w:tcPr>
            <w:tcW w:w="634" w:type="pct"/>
            <w:tcMar>
              <w:left w:w="28" w:type="dxa"/>
              <w:right w:w="28" w:type="dxa"/>
            </w:tcMar>
            <w:vAlign w:val="center"/>
          </w:tcPr>
          <w:p w14:paraId="62B351EC">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生态环境</w:t>
            </w:r>
          </w:p>
        </w:tc>
        <w:tc>
          <w:tcPr>
            <w:tcW w:w="429" w:type="pct"/>
            <w:tcMar>
              <w:left w:w="28" w:type="dxa"/>
              <w:right w:w="28" w:type="dxa"/>
            </w:tcMar>
            <w:vAlign w:val="center"/>
          </w:tcPr>
          <w:p w14:paraId="7908B7CA">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c>
          <w:tcPr>
            <w:tcW w:w="486" w:type="pct"/>
            <w:tcMar>
              <w:left w:w="28" w:type="dxa"/>
              <w:right w:w="28" w:type="dxa"/>
            </w:tcMar>
            <w:vAlign w:val="center"/>
          </w:tcPr>
          <w:p w14:paraId="5E7FB63E">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w:t>
            </w:r>
          </w:p>
        </w:tc>
        <w:tc>
          <w:tcPr>
            <w:tcW w:w="431" w:type="pct"/>
            <w:tcMar>
              <w:left w:w="28" w:type="dxa"/>
              <w:right w:w="28" w:type="dxa"/>
            </w:tcMar>
            <w:vAlign w:val="center"/>
          </w:tcPr>
          <w:p w14:paraId="647F5E16">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c>
          <w:tcPr>
            <w:tcW w:w="330" w:type="pct"/>
            <w:tcMar>
              <w:left w:w="28" w:type="dxa"/>
              <w:right w:w="28" w:type="dxa"/>
            </w:tcMar>
            <w:vAlign w:val="center"/>
          </w:tcPr>
          <w:p w14:paraId="05494B9C">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c>
          <w:tcPr>
            <w:tcW w:w="379" w:type="pct"/>
            <w:tcMar>
              <w:left w:w="28" w:type="dxa"/>
              <w:right w:w="28" w:type="dxa"/>
            </w:tcMar>
            <w:vAlign w:val="center"/>
          </w:tcPr>
          <w:p w14:paraId="67E65C70">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c>
          <w:tcPr>
            <w:tcW w:w="379" w:type="pct"/>
            <w:tcMar>
              <w:left w:w="28" w:type="dxa"/>
              <w:right w:w="28" w:type="dxa"/>
            </w:tcMar>
            <w:vAlign w:val="center"/>
          </w:tcPr>
          <w:p w14:paraId="0B751A72">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c>
          <w:tcPr>
            <w:tcW w:w="379" w:type="pct"/>
            <w:tcMar>
              <w:left w:w="28" w:type="dxa"/>
              <w:right w:w="28" w:type="dxa"/>
            </w:tcMar>
            <w:vAlign w:val="center"/>
          </w:tcPr>
          <w:p w14:paraId="26842E27">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c>
          <w:tcPr>
            <w:tcW w:w="379" w:type="pct"/>
            <w:tcMar>
              <w:left w:w="28" w:type="dxa"/>
              <w:right w:w="28" w:type="dxa"/>
            </w:tcMar>
            <w:vAlign w:val="center"/>
          </w:tcPr>
          <w:p w14:paraId="37EB647C">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c>
          <w:tcPr>
            <w:tcW w:w="379" w:type="pct"/>
            <w:tcMar>
              <w:left w:w="28" w:type="dxa"/>
              <w:right w:w="28" w:type="dxa"/>
            </w:tcMar>
            <w:vAlign w:val="center"/>
          </w:tcPr>
          <w:p w14:paraId="5C7ACC7A">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c>
          <w:tcPr>
            <w:tcW w:w="397" w:type="pct"/>
            <w:tcMar>
              <w:left w:w="28" w:type="dxa"/>
              <w:right w:w="28" w:type="dxa"/>
            </w:tcMar>
            <w:vAlign w:val="center"/>
          </w:tcPr>
          <w:p w14:paraId="6E033F95">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r>
      <w:tr w14:paraId="4FD9B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4" w:type="pct"/>
            <w:vMerge w:val="restart"/>
            <w:tcMar>
              <w:left w:w="28" w:type="dxa"/>
              <w:right w:w="28" w:type="dxa"/>
            </w:tcMar>
            <w:vAlign w:val="center"/>
          </w:tcPr>
          <w:p w14:paraId="78157C0F">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居民</w:t>
            </w:r>
          </w:p>
          <w:p w14:paraId="6B454E1F">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生活</w:t>
            </w:r>
          </w:p>
          <w:p w14:paraId="5CD2F312">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质量</w:t>
            </w:r>
          </w:p>
        </w:tc>
        <w:tc>
          <w:tcPr>
            <w:tcW w:w="634" w:type="pct"/>
            <w:tcMar>
              <w:left w:w="28" w:type="dxa"/>
              <w:right w:w="28" w:type="dxa"/>
            </w:tcMar>
            <w:vAlign w:val="center"/>
          </w:tcPr>
          <w:p w14:paraId="23C3E477">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环境空气</w:t>
            </w:r>
          </w:p>
        </w:tc>
        <w:tc>
          <w:tcPr>
            <w:tcW w:w="429" w:type="pct"/>
            <w:tcMar>
              <w:left w:w="28" w:type="dxa"/>
              <w:right w:w="28" w:type="dxa"/>
            </w:tcMar>
            <w:vAlign w:val="center"/>
          </w:tcPr>
          <w:p w14:paraId="4EB9701B">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c>
          <w:tcPr>
            <w:tcW w:w="486" w:type="pct"/>
            <w:tcMar>
              <w:left w:w="28" w:type="dxa"/>
              <w:right w:w="28" w:type="dxa"/>
            </w:tcMar>
            <w:vAlign w:val="center"/>
          </w:tcPr>
          <w:p w14:paraId="3B0E92BA">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w:t>
            </w:r>
          </w:p>
        </w:tc>
        <w:tc>
          <w:tcPr>
            <w:tcW w:w="431" w:type="pct"/>
            <w:tcMar>
              <w:left w:w="28" w:type="dxa"/>
              <w:right w:w="28" w:type="dxa"/>
            </w:tcMar>
            <w:vAlign w:val="center"/>
          </w:tcPr>
          <w:p w14:paraId="391FB805">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w:t>
            </w:r>
          </w:p>
        </w:tc>
        <w:tc>
          <w:tcPr>
            <w:tcW w:w="330" w:type="pct"/>
            <w:tcMar>
              <w:left w:w="28" w:type="dxa"/>
              <w:right w:w="28" w:type="dxa"/>
            </w:tcMar>
            <w:vAlign w:val="center"/>
          </w:tcPr>
          <w:p w14:paraId="10E3787A">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c>
          <w:tcPr>
            <w:tcW w:w="379" w:type="pct"/>
            <w:tcMar>
              <w:left w:w="28" w:type="dxa"/>
              <w:right w:w="28" w:type="dxa"/>
            </w:tcMar>
            <w:vAlign w:val="center"/>
          </w:tcPr>
          <w:p w14:paraId="01919FF0">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c>
          <w:tcPr>
            <w:tcW w:w="379" w:type="pct"/>
            <w:tcMar>
              <w:left w:w="28" w:type="dxa"/>
              <w:right w:w="28" w:type="dxa"/>
            </w:tcMar>
            <w:vAlign w:val="center"/>
          </w:tcPr>
          <w:p w14:paraId="4AB175D5">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c>
          <w:tcPr>
            <w:tcW w:w="379" w:type="pct"/>
            <w:tcMar>
              <w:left w:w="28" w:type="dxa"/>
              <w:right w:w="28" w:type="dxa"/>
            </w:tcMar>
            <w:vAlign w:val="center"/>
          </w:tcPr>
          <w:p w14:paraId="15023656">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c>
          <w:tcPr>
            <w:tcW w:w="379" w:type="pct"/>
            <w:tcMar>
              <w:left w:w="28" w:type="dxa"/>
              <w:right w:w="28" w:type="dxa"/>
            </w:tcMar>
            <w:vAlign w:val="center"/>
          </w:tcPr>
          <w:p w14:paraId="10EB4AE6">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c>
          <w:tcPr>
            <w:tcW w:w="379" w:type="pct"/>
            <w:tcMar>
              <w:left w:w="28" w:type="dxa"/>
              <w:right w:w="28" w:type="dxa"/>
            </w:tcMar>
            <w:vAlign w:val="center"/>
          </w:tcPr>
          <w:p w14:paraId="2DA5223D">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c>
          <w:tcPr>
            <w:tcW w:w="397" w:type="pct"/>
            <w:tcMar>
              <w:left w:w="28" w:type="dxa"/>
              <w:right w:w="28" w:type="dxa"/>
            </w:tcMar>
            <w:vAlign w:val="center"/>
          </w:tcPr>
          <w:p w14:paraId="331F38FB">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r>
      <w:tr w14:paraId="6152B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4" w:type="pct"/>
            <w:vMerge w:val="continue"/>
            <w:tcMar>
              <w:left w:w="28" w:type="dxa"/>
              <w:right w:w="28" w:type="dxa"/>
            </w:tcMar>
            <w:vAlign w:val="center"/>
          </w:tcPr>
          <w:p w14:paraId="6F896623">
            <w:pPr>
              <w:jc w:val="center"/>
              <w:rPr>
                <w:rFonts w:ascii="Times New Roman" w:hAnsi="Times New Roman" w:eastAsia="宋体" w:cs="Times New Roman"/>
                <w:color w:val="auto"/>
                <w:sz w:val="22"/>
                <w:szCs w:val="24"/>
              </w:rPr>
            </w:pPr>
          </w:p>
        </w:tc>
        <w:tc>
          <w:tcPr>
            <w:tcW w:w="634" w:type="pct"/>
            <w:tcMar>
              <w:left w:w="28" w:type="dxa"/>
              <w:right w:w="28" w:type="dxa"/>
            </w:tcMar>
            <w:vAlign w:val="center"/>
          </w:tcPr>
          <w:p w14:paraId="05203FA9">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地表水质</w:t>
            </w:r>
          </w:p>
        </w:tc>
        <w:tc>
          <w:tcPr>
            <w:tcW w:w="429" w:type="pct"/>
            <w:tcMar>
              <w:left w:w="28" w:type="dxa"/>
              <w:right w:w="28" w:type="dxa"/>
            </w:tcMar>
            <w:vAlign w:val="center"/>
          </w:tcPr>
          <w:p w14:paraId="70A5F97A">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c>
          <w:tcPr>
            <w:tcW w:w="486" w:type="pct"/>
            <w:tcMar>
              <w:left w:w="28" w:type="dxa"/>
              <w:right w:w="28" w:type="dxa"/>
            </w:tcMar>
            <w:vAlign w:val="center"/>
          </w:tcPr>
          <w:p w14:paraId="2A60B415">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c>
          <w:tcPr>
            <w:tcW w:w="431" w:type="pct"/>
            <w:tcMar>
              <w:left w:w="28" w:type="dxa"/>
              <w:right w:w="28" w:type="dxa"/>
            </w:tcMar>
            <w:vAlign w:val="center"/>
          </w:tcPr>
          <w:p w14:paraId="5AE95FB8">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c>
          <w:tcPr>
            <w:tcW w:w="330" w:type="pct"/>
            <w:tcMar>
              <w:left w:w="28" w:type="dxa"/>
              <w:right w:w="28" w:type="dxa"/>
            </w:tcMar>
            <w:vAlign w:val="center"/>
          </w:tcPr>
          <w:p w14:paraId="460A0ABB">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c>
          <w:tcPr>
            <w:tcW w:w="379" w:type="pct"/>
            <w:tcMar>
              <w:left w:w="28" w:type="dxa"/>
              <w:right w:w="28" w:type="dxa"/>
            </w:tcMar>
            <w:vAlign w:val="center"/>
          </w:tcPr>
          <w:p w14:paraId="0A4A8F90">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c>
          <w:tcPr>
            <w:tcW w:w="379" w:type="pct"/>
            <w:tcMar>
              <w:left w:w="28" w:type="dxa"/>
              <w:right w:w="28" w:type="dxa"/>
            </w:tcMar>
            <w:vAlign w:val="center"/>
          </w:tcPr>
          <w:p w14:paraId="697242CE">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c>
          <w:tcPr>
            <w:tcW w:w="379" w:type="pct"/>
            <w:tcMar>
              <w:left w:w="28" w:type="dxa"/>
              <w:right w:w="28" w:type="dxa"/>
            </w:tcMar>
            <w:vAlign w:val="center"/>
          </w:tcPr>
          <w:p w14:paraId="5F79BB37">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c>
          <w:tcPr>
            <w:tcW w:w="379" w:type="pct"/>
            <w:tcMar>
              <w:left w:w="28" w:type="dxa"/>
              <w:right w:w="28" w:type="dxa"/>
            </w:tcMar>
            <w:vAlign w:val="center"/>
          </w:tcPr>
          <w:p w14:paraId="5C1019C6">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c>
          <w:tcPr>
            <w:tcW w:w="379" w:type="pct"/>
            <w:tcMar>
              <w:left w:w="28" w:type="dxa"/>
              <w:right w:w="28" w:type="dxa"/>
            </w:tcMar>
            <w:vAlign w:val="center"/>
          </w:tcPr>
          <w:p w14:paraId="70B9B73D">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c>
          <w:tcPr>
            <w:tcW w:w="397" w:type="pct"/>
            <w:tcMar>
              <w:left w:w="28" w:type="dxa"/>
              <w:right w:w="28" w:type="dxa"/>
            </w:tcMar>
            <w:vAlign w:val="center"/>
          </w:tcPr>
          <w:p w14:paraId="1FB79819">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r>
      <w:tr w14:paraId="6C9EB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4" w:type="pct"/>
            <w:vMerge w:val="continue"/>
            <w:tcMar>
              <w:left w:w="28" w:type="dxa"/>
              <w:right w:w="28" w:type="dxa"/>
            </w:tcMar>
            <w:vAlign w:val="center"/>
          </w:tcPr>
          <w:p w14:paraId="3C62F63E">
            <w:pPr>
              <w:jc w:val="center"/>
              <w:rPr>
                <w:rFonts w:ascii="Times New Roman" w:hAnsi="Times New Roman" w:eastAsia="宋体" w:cs="Times New Roman"/>
                <w:color w:val="auto"/>
                <w:sz w:val="22"/>
                <w:szCs w:val="24"/>
              </w:rPr>
            </w:pPr>
          </w:p>
        </w:tc>
        <w:tc>
          <w:tcPr>
            <w:tcW w:w="634" w:type="pct"/>
            <w:tcMar>
              <w:left w:w="28" w:type="dxa"/>
              <w:right w:w="28" w:type="dxa"/>
            </w:tcMar>
            <w:vAlign w:val="center"/>
          </w:tcPr>
          <w:p w14:paraId="3B8D7088">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声学环境</w:t>
            </w:r>
          </w:p>
        </w:tc>
        <w:tc>
          <w:tcPr>
            <w:tcW w:w="429" w:type="pct"/>
            <w:tcMar>
              <w:left w:w="28" w:type="dxa"/>
              <w:right w:w="28" w:type="dxa"/>
            </w:tcMar>
            <w:vAlign w:val="center"/>
          </w:tcPr>
          <w:p w14:paraId="201B1EEB">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c>
          <w:tcPr>
            <w:tcW w:w="486" w:type="pct"/>
            <w:tcMar>
              <w:left w:w="28" w:type="dxa"/>
              <w:right w:w="28" w:type="dxa"/>
            </w:tcMar>
            <w:vAlign w:val="center"/>
          </w:tcPr>
          <w:p w14:paraId="4B7DDF28">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w:t>
            </w:r>
          </w:p>
        </w:tc>
        <w:tc>
          <w:tcPr>
            <w:tcW w:w="431" w:type="pct"/>
            <w:tcMar>
              <w:left w:w="28" w:type="dxa"/>
              <w:right w:w="28" w:type="dxa"/>
            </w:tcMar>
            <w:vAlign w:val="center"/>
          </w:tcPr>
          <w:p w14:paraId="36E6EDCE">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w:t>
            </w:r>
          </w:p>
        </w:tc>
        <w:tc>
          <w:tcPr>
            <w:tcW w:w="330" w:type="pct"/>
            <w:tcMar>
              <w:left w:w="28" w:type="dxa"/>
              <w:right w:w="28" w:type="dxa"/>
            </w:tcMar>
            <w:vAlign w:val="center"/>
          </w:tcPr>
          <w:p w14:paraId="543DBD5E">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c>
          <w:tcPr>
            <w:tcW w:w="379" w:type="pct"/>
            <w:tcMar>
              <w:left w:w="28" w:type="dxa"/>
              <w:right w:w="28" w:type="dxa"/>
            </w:tcMar>
            <w:vAlign w:val="center"/>
          </w:tcPr>
          <w:p w14:paraId="5F96AE91">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c>
          <w:tcPr>
            <w:tcW w:w="379" w:type="pct"/>
            <w:tcMar>
              <w:left w:w="28" w:type="dxa"/>
              <w:right w:w="28" w:type="dxa"/>
            </w:tcMar>
            <w:vAlign w:val="center"/>
          </w:tcPr>
          <w:p w14:paraId="32B3CE56">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c>
          <w:tcPr>
            <w:tcW w:w="379" w:type="pct"/>
            <w:tcMar>
              <w:left w:w="28" w:type="dxa"/>
              <w:right w:w="28" w:type="dxa"/>
            </w:tcMar>
            <w:vAlign w:val="center"/>
          </w:tcPr>
          <w:p w14:paraId="36FF9508">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c>
          <w:tcPr>
            <w:tcW w:w="379" w:type="pct"/>
            <w:tcMar>
              <w:left w:w="28" w:type="dxa"/>
              <w:right w:w="28" w:type="dxa"/>
            </w:tcMar>
            <w:vAlign w:val="center"/>
          </w:tcPr>
          <w:p w14:paraId="06051AF1">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c>
          <w:tcPr>
            <w:tcW w:w="379" w:type="pct"/>
            <w:tcMar>
              <w:left w:w="28" w:type="dxa"/>
              <w:right w:w="28" w:type="dxa"/>
            </w:tcMar>
            <w:vAlign w:val="center"/>
          </w:tcPr>
          <w:p w14:paraId="0CE74A86">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c>
          <w:tcPr>
            <w:tcW w:w="397" w:type="pct"/>
            <w:tcMar>
              <w:left w:w="28" w:type="dxa"/>
              <w:right w:w="28" w:type="dxa"/>
            </w:tcMar>
            <w:vAlign w:val="center"/>
          </w:tcPr>
          <w:p w14:paraId="2022A849">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r>
      <w:tr w14:paraId="160DC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4" w:type="pct"/>
            <w:vMerge w:val="continue"/>
            <w:tcMar>
              <w:left w:w="28" w:type="dxa"/>
              <w:right w:w="28" w:type="dxa"/>
            </w:tcMar>
            <w:vAlign w:val="center"/>
          </w:tcPr>
          <w:p w14:paraId="1FA35704">
            <w:pPr>
              <w:jc w:val="center"/>
              <w:rPr>
                <w:rFonts w:ascii="Times New Roman" w:hAnsi="Times New Roman" w:eastAsia="宋体" w:cs="Times New Roman"/>
                <w:color w:val="auto"/>
                <w:sz w:val="22"/>
                <w:szCs w:val="24"/>
              </w:rPr>
            </w:pPr>
          </w:p>
        </w:tc>
        <w:tc>
          <w:tcPr>
            <w:tcW w:w="634" w:type="pct"/>
            <w:tcMar>
              <w:left w:w="28" w:type="dxa"/>
              <w:right w:w="28" w:type="dxa"/>
            </w:tcMar>
            <w:vAlign w:val="center"/>
          </w:tcPr>
          <w:p w14:paraId="584DF950">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居住条件</w:t>
            </w:r>
          </w:p>
        </w:tc>
        <w:tc>
          <w:tcPr>
            <w:tcW w:w="429" w:type="pct"/>
            <w:tcMar>
              <w:left w:w="28" w:type="dxa"/>
              <w:right w:w="28" w:type="dxa"/>
            </w:tcMar>
            <w:vAlign w:val="center"/>
          </w:tcPr>
          <w:p w14:paraId="4F9C5360">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c>
          <w:tcPr>
            <w:tcW w:w="486" w:type="pct"/>
            <w:tcMar>
              <w:left w:w="28" w:type="dxa"/>
              <w:right w:w="28" w:type="dxa"/>
            </w:tcMar>
            <w:vAlign w:val="center"/>
          </w:tcPr>
          <w:p w14:paraId="3B37624A">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c>
          <w:tcPr>
            <w:tcW w:w="431" w:type="pct"/>
            <w:tcMar>
              <w:left w:w="28" w:type="dxa"/>
              <w:right w:w="28" w:type="dxa"/>
            </w:tcMar>
            <w:vAlign w:val="center"/>
          </w:tcPr>
          <w:p w14:paraId="56C2979C">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c>
          <w:tcPr>
            <w:tcW w:w="330" w:type="pct"/>
            <w:tcMar>
              <w:left w:w="28" w:type="dxa"/>
              <w:right w:w="28" w:type="dxa"/>
            </w:tcMar>
            <w:vAlign w:val="center"/>
          </w:tcPr>
          <w:p w14:paraId="023F16A4">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c>
          <w:tcPr>
            <w:tcW w:w="379" w:type="pct"/>
            <w:tcMar>
              <w:left w:w="28" w:type="dxa"/>
              <w:right w:w="28" w:type="dxa"/>
            </w:tcMar>
            <w:vAlign w:val="center"/>
          </w:tcPr>
          <w:p w14:paraId="49543252">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c>
          <w:tcPr>
            <w:tcW w:w="379" w:type="pct"/>
            <w:tcMar>
              <w:left w:w="28" w:type="dxa"/>
              <w:right w:w="28" w:type="dxa"/>
            </w:tcMar>
            <w:vAlign w:val="center"/>
          </w:tcPr>
          <w:p w14:paraId="3E1B5C18">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c>
          <w:tcPr>
            <w:tcW w:w="379" w:type="pct"/>
            <w:tcMar>
              <w:left w:w="28" w:type="dxa"/>
              <w:right w:w="28" w:type="dxa"/>
            </w:tcMar>
            <w:vAlign w:val="center"/>
          </w:tcPr>
          <w:p w14:paraId="3AA8C934">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c>
          <w:tcPr>
            <w:tcW w:w="379" w:type="pct"/>
            <w:tcMar>
              <w:left w:w="28" w:type="dxa"/>
              <w:right w:w="28" w:type="dxa"/>
            </w:tcMar>
            <w:vAlign w:val="center"/>
          </w:tcPr>
          <w:p w14:paraId="783BAA7A">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c>
          <w:tcPr>
            <w:tcW w:w="379" w:type="pct"/>
            <w:tcMar>
              <w:left w:w="28" w:type="dxa"/>
              <w:right w:w="28" w:type="dxa"/>
            </w:tcMar>
            <w:vAlign w:val="center"/>
          </w:tcPr>
          <w:p w14:paraId="2407FB50">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c>
          <w:tcPr>
            <w:tcW w:w="397" w:type="pct"/>
            <w:tcMar>
              <w:left w:w="28" w:type="dxa"/>
              <w:right w:w="28" w:type="dxa"/>
            </w:tcMar>
            <w:vAlign w:val="center"/>
          </w:tcPr>
          <w:p w14:paraId="6141029A">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r>
      <w:tr w14:paraId="4BB9D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4" w:type="pct"/>
            <w:vMerge w:val="continue"/>
            <w:tcMar>
              <w:left w:w="28" w:type="dxa"/>
              <w:right w:w="28" w:type="dxa"/>
            </w:tcMar>
            <w:vAlign w:val="center"/>
          </w:tcPr>
          <w:p w14:paraId="297C870F">
            <w:pPr>
              <w:jc w:val="center"/>
              <w:rPr>
                <w:rFonts w:ascii="Times New Roman" w:hAnsi="Times New Roman" w:eastAsia="宋体" w:cs="Times New Roman"/>
                <w:color w:val="auto"/>
                <w:sz w:val="22"/>
                <w:szCs w:val="24"/>
              </w:rPr>
            </w:pPr>
          </w:p>
        </w:tc>
        <w:tc>
          <w:tcPr>
            <w:tcW w:w="634" w:type="pct"/>
            <w:tcMar>
              <w:left w:w="28" w:type="dxa"/>
              <w:right w:w="28" w:type="dxa"/>
            </w:tcMar>
            <w:vAlign w:val="center"/>
          </w:tcPr>
          <w:p w14:paraId="29560831">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经济收入</w:t>
            </w:r>
          </w:p>
        </w:tc>
        <w:tc>
          <w:tcPr>
            <w:tcW w:w="429" w:type="pct"/>
            <w:tcMar>
              <w:left w:w="28" w:type="dxa"/>
              <w:right w:w="28" w:type="dxa"/>
            </w:tcMar>
            <w:vAlign w:val="center"/>
          </w:tcPr>
          <w:p w14:paraId="5F528FFA">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c>
          <w:tcPr>
            <w:tcW w:w="486" w:type="pct"/>
            <w:tcMar>
              <w:left w:w="28" w:type="dxa"/>
              <w:right w:w="28" w:type="dxa"/>
            </w:tcMar>
            <w:vAlign w:val="center"/>
          </w:tcPr>
          <w:p w14:paraId="7D6A4501">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c>
          <w:tcPr>
            <w:tcW w:w="431" w:type="pct"/>
            <w:tcMar>
              <w:left w:w="28" w:type="dxa"/>
              <w:right w:w="28" w:type="dxa"/>
            </w:tcMar>
            <w:vAlign w:val="center"/>
          </w:tcPr>
          <w:p w14:paraId="70E639BC">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c>
          <w:tcPr>
            <w:tcW w:w="330" w:type="pct"/>
            <w:tcMar>
              <w:left w:w="28" w:type="dxa"/>
              <w:right w:w="28" w:type="dxa"/>
            </w:tcMar>
            <w:vAlign w:val="center"/>
          </w:tcPr>
          <w:p w14:paraId="4B41E399">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c>
          <w:tcPr>
            <w:tcW w:w="379" w:type="pct"/>
            <w:tcMar>
              <w:left w:w="28" w:type="dxa"/>
              <w:right w:w="28" w:type="dxa"/>
            </w:tcMar>
            <w:vAlign w:val="center"/>
          </w:tcPr>
          <w:p w14:paraId="39C539A0">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c>
          <w:tcPr>
            <w:tcW w:w="379" w:type="pct"/>
            <w:tcMar>
              <w:left w:w="28" w:type="dxa"/>
              <w:right w:w="28" w:type="dxa"/>
            </w:tcMar>
            <w:vAlign w:val="center"/>
          </w:tcPr>
          <w:p w14:paraId="5E408F2E">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c>
          <w:tcPr>
            <w:tcW w:w="379" w:type="pct"/>
            <w:tcMar>
              <w:left w:w="28" w:type="dxa"/>
              <w:right w:w="28" w:type="dxa"/>
            </w:tcMar>
            <w:vAlign w:val="center"/>
          </w:tcPr>
          <w:p w14:paraId="6DC1D2AA">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c>
          <w:tcPr>
            <w:tcW w:w="379" w:type="pct"/>
            <w:tcMar>
              <w:left w:w="28" w:type="dxa"/>
              <w:right w:w="28" w:type="dxa"/>
            </w:tcMar>
            <w:vAlign w:val="center"/>
          </w:tcPr>
          <w:p w14:paraId="3FBBC6BC">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c>
          <w:tcPr>
            <w:tcW w:w="379" w:type="pct"/>
            <w:tcMar>
              <w:left w:w="28" w:type="dxa"/>
              <w:right w:w="28" w:type="dxa"/>
            </w:tcMar>
            <w:vAlign w:val="center"/>
          </w:tcPr>
          <w:p w14:paraId="21C3E142">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c>
          <w:tcPr>
            <w:tcW w:w="397" w:type="pct"/>
            <w:tcMar>
              <w:left w:w="28" w:type="dxa"/>
              <w:right w:w="28" w:type="dxa"/>
            </w:tcMar>
            <w:vAlign w:val="center"/>
          </w:tcPr>
          <w:p w14:paraId="72A554F9">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r>
    </w:tbl>
    <w:p w14:paraId="33766543">
      <w:pPr>
        <w:spacing w:line="360" w:lineRule="auto"/>
        <w:ind w:firstLine="420" w:firstLineChars="200"/>
        <w:rPr>
          <w:rFonts w:ascii="Times New Roman" w:hAnsi="Times New Roman" w:eastAsia="宋体" w:cs="Times New Roman"/>
          <w:color w:val="auto"/>
          <w:szCs w:val="18"/>
        </w:rPr>
      </w:pPr>
      <w:r>
        <w:rPr>
          <w:rFonts w:ascii="Times New Roman" w:hAnsi="Times New Roman" w:eastAsia="宋体" w:cs="Times New Roman"/>
          <w:color w:val="auto"/>
          <w:szCs w:val="18"/>
        </w:rPr>
        <w:t>注：</w:t>
      </w:r>
      <w:r>
        <w:rPr>
          <w:rFonts w:hint="eastAsia" w:ascii="宋体" w:hAnsi="宋体" w:eastAsia="宋体" w:cs="宋体"/>
          <w:color w:val="auto"/>
          <w:szCs w:val="18"/>
        </w:rPr>
        <w:t>★</w:t>
      </w:r>
      <w:r>
        <w:rPr>
          <w:rFonts w:ascii="Times New Roman" w:hAnsi="Times New Roman" w:eastAsia="宋体" w:cs="Times New Roman"/>
          <w:color w:val="auto"/>
          <w:szCs w:val="18"/>
        </w:rPr>
        <w:t>/</w:t>
      </w:r>
      <w:r>
        <w:rPr>
          <w:rFonts w:hint="eastAsia" w:ascii="宋体" w:hAnsi="宋体" w:eastAsia="宋体" w:cs="宋体"/>
          <w:color w:val="auto"/>
          <w:szCs w:val="18"/>
        </w:rPr>
        <w:t>☆</w:t>
      </w:r>
      <w:r>
        <w:rPr>
          <w:rFonts w:ascii="Times New Roman" w:hAnsi="Times New Roman" w:eastAsia="宋体" w:cs="Times New Roman"/>
          <w:color w:val="auto"/>
          <w:szCs w:val="18"/>
        </w:rPr>
        <w:t>表示长期不利影响/有利影响；▲/</w:t>
      </w:r>
      <w:r>
        <w:rPr>
          <w:rFonts w:ascii="Cambria Math" w:hAnsi="Cambria Math" w:eastAsia="宋体" w:cs="Cambria Math"/>
          <w:color w:val="auto"/>
          <w:szCs w:val="18"/>
        </w:rPr>
        <w:t>△</w:t>
      </w:r>
      <w:r>
        <w:rPr>
          <w:rFonts w:ascii="Times New Roman" w:hAnsi="Times New Roman" w:eastAsia="宋体" w:cs="Times New Roman"/>
          <w:color w:val="auto"/>
          <w:szCs w:val="18"/>
        </w:rPr>
        <w:t>表示短期不利影响/有利影响，空格表示影响不明显或没有影响。</w:t>
      </w:r>
    </w:p>
    <w:p w14:paraId="60179327">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由表</w:t>
      </w:r>
      <w:r>
        <w:rPr>
          <w:rFonts w:ascii="Times New Roman" w:hAnsi="Times New Roman" w:eastAsia="宋体" w:cs="Times New Roman"/>
          <w:color w:val="auto"/>
          <w:sz w:val="24"/>
          <w:szCs w:val="24"/>
        </w:rPr>
        <w:t>2.4</w:t>
      </w:r>
      <w:r>
        <w:rPr>
          <w:rFonts w:hint="eastAsia" w:ascii="Times New Roman" w:hAnsi="Times New Roman" w:eastAsia="宋体" w:cs="Times New Roman"/>
          <w:color w:val="auto"/>
          <w:sz w:val="24"/>
          <w:szCs w:val="24"/>
        </w:rPr>
        <w:t>.1</w:t>
      </w:r>
      <w:r>
        <w:rPr>
          <w:rFonts w:ascii="Times New Roman" w:hAnsi="Times New Roman" w:eastAsia="宋体" w:cs="Times New Roman"/>
          <w:color w:val="auto"/>
          <w:sz w:val="24"/>
          <w:szCs w:val="24"/>
        </w:rPr>
        <w:t>-1可知，</w:t>
      </w:r>
      <w:r>
        <w:rPr>
          <w:rFonts w:hint="eastAsia" w:ascii="Times New Roman" w:hAnsi="Times New Roman" w:eastAsia="宋体" w:cs="Times New Roman"/>
          <w:color w:val="auto"/>
          <w:sz w:val="24"/>
          <w:szCs w:val="24"/>
        </w:rPr>
        <w:t>本</w:t>
      </w:r>
      <w:r>
        <w:rPr>
          <w:rFonts w:ascii="Times New Roman" w:hAnsi="Times New Roman" w:eastAsia="宋体" w:cs="Times New Roman"/>
          <w:color w:val="auto"/>
          <w:sz w:val="24"/>
          <w:szCs w:val="24"/>
        </w:rPr>
        <w:t>工程的建设对环境的影响是多方面的，既存在短期、局部及可恢复的正、负影响，也存在长期的或正或负的影响。运营期对环境的不利影响主要表现在环境空气、</w:t>
      </w:r>
      <w:r>
        <w:rPr>
          <w:rFonts w:hint="eastAsia" w:ascii="Times New Roman" w:hAnsi="Times New Roman" w:eastAsia="宋体" w:cs="Times New Roman"/>
          <w:color w:val="auto"/>
          <w:sz w:val="24"/>
          <w:szCs w:val="24"/>
        </w:rPr>
        <w:t>地表水体两</w:t>
      </w:r>
      <w:r>
        <w:rPr>
          <w:rFonts w:ascii="Times New Roman" w:hAnsi="Times New Roman" w:eastAsia="宋体" w:cs="Times New Roman"/>
          <w:color w:val="auto"/>
          <w:sz w:val="24"/>
          <w:szCs w:val="24"/>
        </w:rPr>
        <w:t>个方面。</w:t>
      </w:r>
    </w:p>
    <w:p w14:paraId="03753AE1">
      <w:pPr>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2、评价因子筛选</w:t>
      </w:r>
    </w:p>
    <w:p w14:paraId="436078F1">
      <w:pPr>
        <w:spacing w:line="360" w:lineRule="auto"/>
        <w:ind w:firstLine="480" w:firstLineChars="200"/>
        <w:rPr>
          <w:rFonts w:ascii="Times New Roman" w:hAnsi="Times New Roman" w:eastAsia="宋体" w:cs="Times New Roman"/>
          <w:color w:val="auto"/>
          <w:sz w:val="24"/>
          <w:szCs w:val="24"/>
        </w:rPr>
      </w:pPr>
      <w:r>
        <w:rPr>
          <w:rFonts w:hint="eastAsia" w:ascii="宋体" w:hAnsi="宋体" w:eastAsia="宋体" w:cs="宋体"/>
          <w:color w:val="auto"/>
          <w:sz w:val="24"/>
          <w:szCs w:val="24"/>
        </w:rPr>
        <w:t>①</w:t>
      </w:r>
      <w:r>
        <w:rPr>
          <w:rFonts w:ascii="Times New Roman" w:hAnsi="Times New Roman" w:eastAsia="宋体" w:cs="Times New Roman"/>
          <w:color w:val="auto"/>
          <w:sz w:val="24"/>
          <w:szCs w:val="24"/>
        </w:rPr>
        <w:t>筛选原则</w:t>
      </w:r>
    </w:p>
    <w:p w14:paraId="670CA006">
      <w:pPr>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能够反映工程污染物特征、污染物种类、数量，结合环境现状，为控制建设项目环境污染，制定防治对策及综合利用提供依据。</w:t>
      </w:r>
    </w:p>
    <w:p w14:paraId="6A63E44A">
      <w:pPr>
        <w:spacing w:line="360" w:lineRule="auto"/>
        <w:ind w:firstLine="480" w:firstLineChars="200"/>
        <w:rPr>
          <w:rFonts w:ascii="Times New Roman" w:hAnsi="Times New Roman" w:eastAsia="宋体" w:cs="Times New Roman"/>
          <w:color w:val="auto"/>
          <w:sz w:val="24"/>
          <w:szCs w:val="24"/>
        </w:rPr>
      </w:pPr>
      <w:r>
        <w:rPr>
          <w:rFonts w:hint="eastAsia" w:ascii="宋体" w:hAnsi="宋体" w:eastAsia="宋体" w:cs="宋体"/>
          <w:color w:val="auto"/>
          <w:sz w:val="24"/>
          <w:szCs w:val="24"/>
        </w:rPr>
        <w:t>②</w:t>
      </w:r>
      <w:r>
        <w:rPr>
          <w:rFonts w:ascii="Times New Roman" w:hAnsi="Times New Roman" w:eastAsia="宋体" w:cs="Times New Roman"/>
          <w:color w:val="auto"/>
          <w:sz w:val="24"/>
          <w:szCs w:val="24"/>
        </w:rPr>
        <w:t>评价因子筛选</w:t>
      </w:r>
    </w:p>
    <w:p w14:paraId="1539CA1F">
      <w:pPr>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根据项目工艺特征和周围的环境现状，确定本次评价因子见下表所示。</w:t>
      </w:r>
    </w:p>
    <w:p w14:paraId="650BB591">
      <w:pPr>
        <w:pStyle w:val="6"/>
        <w:bidi w:val="0"/>
      </w:pPr>
      <w:r>
        <w:rPr>
          <w:rFonts w:hint="eastAsia"/>
        </w:rPr>
        <w:t>表</w:t>
      </w:r>
      <w:r>
        <w:t>2.4</w:t>
      </w:r>
      <w:r>
        <w:rPr>
          <w:rFonts w:hint="eastAsia"/>
        </w:rPr>
        <w:t>.1</w:t>
      </w:r>
      <w:r>
        <w:t>-2    营运期评价因子一览表</w:t>
      </w:r>
    </w:p>
    <w:tbl>
      <w:tblPr>
        <w:tblStyle w:val="4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7"/>
        <w:gridCol w:w="1827"/>
        <w:gridCol w:w="5555"/>
      </w:tblGrid>
      <w:tr w14:paraId="7BCFC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7" w:type="pct"/>
            <w:vAlign w:val="center"/>
          </w:tcPr>
          <w:p w14:paraId="0D415F42">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评价要素</w:t>
            </w:r>
          </w:p>
        </w:tc>
        <w:tc>
          <w:tcPr>
            <w:tcW w:w="1072" w:type="pct"/>
            <w:vAlign w:val="center"/>
          </w:tcPr>
          <w:p w14:paraId="1FF029D1">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评价类型</w:t>
            </w:r>
          </w:p>
        </w:tc>
        <w:tc>
          <w:tcPr>
            <w:tcW w:w="3259" w:type="pct"/>
            <w:vAlign w:val="center"/>
          </w:tcPr>
          <w:p w14:paraId="5B80EB4D">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评价因子</w:t>
            </w:r>
          </w:p>
        </w:tc>
      </w:tr>
      <w:tr w14:paraId="0BEF0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7" w:type="pct"/>
            <w:vMerge w:val="restart"/>
            <w:vAlign w:val="center"/>
          </w:tcPr>
          <w:p w14:paraId="6C40996E">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地表水</w:t>
            </w:r>
          </w:p>
        </w:tc>
        <w:tc>
          <w:tcPr>
            <w:tcW w:w="1072" w:type="pct"/>
            <w:vAlign w:val="center"/>
          </w:tcPr>
          <w:p w14:paraId="054B0A20">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污染源评价因子</w:t>
            </w:r>
          </w:p>
        </w:tc>
        <w:tc>
          <w:tcPr>
            <w:tcW w:w="3259" w:type="pct"/>
            <w:vAlign w:val="center"/>
          </w:tcPr>
          <w:p w14:paraId="2AD0162A">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pH、C</w:t>
            </w:r>
            <w:r>
              <w:rPr>
                <w:rFonts w:ascii="Times New Roman" w:hAnsi="Times New Roman" w:eastAsia="宋体" w:cs="Times New Roman"/>
                <w:color w:val="auto"/>
                <w:sz w:val="22"/>
                <w:szCs w:val="24"/>
              </w:rPr>
              <w:t>OD</w:t>
            </w:r>
            <w:r>
              <w:rPr>
                <w:rFonts w:hint="eastAsia" w:ascii="Times New Roman" w:hAnsi="Times New Roman" w:eastAsia="宋体" w:cs="Times New Roman"/>
                <w:color w:val="auto"/>
                <w:sz w:val="22"/>
                <w:szCs w:val="24"/>
              </w:rPr>
              <w:t>、</w:t>
            </w:r>
            <w:r>
              <w:rPr>
                <w:rFonts w:ascii="Times New Roman" w:hAnsi="Times New Roman" w:eastAsia="宋体" w:cs="Times New Roman"/>
                <w:color w:val="auto"/>
                <w:sz w:val="22"/>
                <w:szCs w:val="24"/>
              </w:rPr>
              <w:t>NH</w:t>
            </w:r>
            <w:r>
              <w:rPr>
                <w:rFonts w:ascii="Times New Roman" w:hAnsi="Times New Roman" w:eastAsia="宋体" w:cs="Times New Roman"/>
                <w:color w:val="auto"/>
                <w:sz w:val="22"/>
                <w:szCs w:val="24"/>
                <w:vertAlign w:val="subscript"/>
              </w:rPr>
              <w:t>3</w:t>
            </w:r>
            <w:r>
              <w:rPr>
                <w:rFonts w:ascii="Times New Roman" w:hAnsi="Times New Roman" w:eastAsia="宋体" w:cs="Times New Roman"/>
                <w:color w:val="auto"/>
                <w:sz w:val="22"/>
                <w:szCs w:val="24"/>
              </w:rPr>
              <w:t>-N</w:t>
            </w:r>
            <w:r>
              <w:rPr>
                <w:rFonts w:hint="eastAsia" w:ascii="Times New Roman" w:hAnsi="Times New Roman" w:eastAsia="宋体" w:cs="Times New Roman"/>
                <w:color w:val="auto"/>
                <w:sz w:val="22"/>
                <w:szCs w:val="24"/>
              </w:rPr>
              <w:t>、</w:t>
            </w:r>
            <w:r>
              <w:rPr>
                <w:rFonts w:hint="eastAsia" w:ascii="Times New Roman" w:hAnsi="Times New Roman" w:eastAsia="宋体" w:cs="Times New Roman"/>
                <w:color w:val="auto"/>
                <w:sz w:val="22"/>
                <w:szCs w:val="24"/>
                <w:lang w:val="en-US" w:eastAsia="zh-CN"/>
              </w:rPr>
              <w:t>SS、</w:t>
            </w:r>
            <w:r>
              <w:rPr>
                <w:rFonts w:ascii="Times New Roman" w:hAnsi="Times New Roman" w:eastAsia="宋体" w:cs="Times New Roman"/>
                <w:color w:val="auto"/>
                <w:sz w:val="22"/>
                <w:szCs w:val="24"/>
              </w:rPr>
              <w:t>TP</w:t>
            </w:r>
            <w:r>
              <w:rPr>
                <w:rFonts w:hint="eastAsia" w:ascii="Times New Roman" w:hAnsi="Times New Roman" w:eastAsia="宋体" w:cs="Times New Roman"/>
                <w:color w:val="auto"/>
                <w:sz w:val="22"/>
                <w:szCs w:val="24"/>
              </w:rPr>
              <w:t>、</w:t>
            </w:r>
            <w:r>
              <w:rPr>
                <w:rFonts w:ascii="Times New Roman" w:hAnsi="Times New Roman" w:eastAsia="宋体" w:cs="Times New Roman"/>
                <w:color w:val="auto"/>
                <w:sz w:val="22"/>
                <w:szCs w:val="24"/>
              </w:rPr>
              <w:t>TN</w:t>
            </w:r>
          </w:p>
        </w:tc>
      </w:tr>
      <w:tr w14:paraId="27B94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7" w:type="pct"/>
            <w:vMerge w:val="continue"/>
            <w:vAlign w:val="center"/>
          </w:tcPr>
          <w:p w14:paraId="6BEC5840">
            <w:pPr>
              <w:jc w:val="center"/>
              <w:rPr>
                <w:rFonts w:ascii="Times New Roman" w:hAnsi="Times New Roman" w:eastAsia="宋体" w:cs="Times New Roman"/>
                <w:color w:val="auto"/>
                <w:sz w:val="22"/>
                <w:szCs w:val="24"/>
              </w:rPr>
            </w:pPr>
          </w:p>
        </w:tc>
        <w:tc>
          <w:tcPr>
            <w:tcW w:w="1072" w:type="pct"/>
            <w:vAlign w:val="center"/>
          </w:tcPr>
          <w:p w14:paraId="65027381">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现状评价因子</w:t>
            </w:r>
          </w:p>
        </w:tc>
        <w:tc>
          <w:tcPr>
            <w:tcW w:w="3259" w:type="pct"/>
            <w:vAlign w:val="center"/>
          </w:tcPr>
          <w:p w14:paraId="2A15F734">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水温、pH、SS、COD、BOD</w:t>
            </w:r>
            <w:r>
              <w:rPr>
                <w:rFonts w:hint="eastAsia" w:ascii="Times New Roman" w:hAnsi="Times New Roman" w:eastAsia="宋体" w:cs="Times New Roman"/>
                <w:color w:val="auto"/>
                <w:sz w:val="22"/>
                <w:szCs w:val="24"/>
                <w:vertAlign w:val="subscript"/>
              </w:rPr>
              <w:t>5</w:t>
            </w:r>
            <w:r>
              <w:rPr>
                <w:rFonts w:hint="eastAsia" w:ascii="Times New Roman" w:hAnsi="Times New Roman" w:eastAsia="宋体" w:cs="Times New Roman"/>
                <w:color w:val="auto"/>
                <w:sz w:val="22"/>
                <w:szCs w:val="24"/>
              </w:rPr>
              <w:t>、氨氮、总磷、总氮、石油类、氟化物、氯化物、硫酸盐、氰化物、硫化物、阴离子表面活性剂、粪大肠菌群、甲苯、二甲苯、三氯甲烷、二氯甲烷、电导率、高锰酸盐指数、汞、砷、硒、铜、铅、镉、锌、镍、挥发酚、六价铬、石油类、铊、1，1-二氯乙烷、1，2-二氯乙烷、乙苯、四氯化碳</w:t>
            </w:r>
          </w:p>
        </w:tc>
      </w:tr>
      <w:tr w14:paraId="5075D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7" w:type="pct"/>
            <w:vMerge w:val="continue"/>
            <w:vAlign w:val="center"/>
          </w:tcPr>
          <w:p w14:paraId="0A44A105">
            <w:pPr>
              <w:jc w:val="center"/>
              <w:rPr>
                <w:rFonts w:ascii="Times New Roman" w:hAnsi="Times New Roman" w:eastAsia="宋体" w:cs="Times New Roman"/>
                <w:color w:val="auto"/>
                <w:sz w:val="22"/>
                <w:szCs w:val="24"/>
              </w:rPr>
            </w:pPr>
          </w:p>
        </w:tc>
        <w:tc>
          <w:tcPr>
            <w:tcW w:w="1072" w:type="pct"/>
            <w:vAlign w:val="center"/>
          </w:tcPr>
          <w:p w14:paraId="05E1EC2D">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预测因子</w:t>
            </w:r>
          </w:p>
        </w:tc>
        <w:tc>
          <w:tcPr>
            <w:tcW w:w="3259" w:type="pct"/>
            <w:vAlign w:val="center"/>
          </w:tcPr>
          <w:p w14:paraId="472E2608">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r>
      <w:tr w14:paraId="7BA22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7" w:type="pct"/>
            <w:vMerge w:val="restart"/>
            <w:vAlign w:val="center"/>
          </w:tcPr>
          <w:p w14:paraId="53BD49E9">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地下水</w:t>
            </w:r>
          </w:p>
        </w:tc>
        <w:tc>
          <w:tcPr>
            <w:tcW w:w="1072" w:type="pct"/>
            <w:vAlign w:val="center"/>
          </w:tcPr>
          <w:p w14:paraId="1FC963A3">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污染源评价因子</w:t>
            </w:r>
          </w:p>
        </w:tc>
        <w:tc>
          <w:tcPr>
            <w:tcW w:w="3259" w:type="pct"/>
            <w:vAlign w:val="center"/>
          </w:tcPr>
          <w:p w14:paraId="0C001E96">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pH、COD、氨氮</w:t>
            </w:r>
          </w:p>
        </w:tc>
      </w:tr>
      <w:tr w14:paraId="092C5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7" w:type="pct"/>
            <w:vMerge w:val="continue"/>
            <w:vAlign w:val="center"/>
          </w:tcPr>
          <w:p w14:paraId="16C1E1CA">
            <w:pPr>
              <w:jc w:val="center"/>
              <w:rPr>
                <w:rFonts w:ascii="Times New Roman" w:hAnsi="Times New Roman" w:eastAsia="宋体" w:cs="Times New Roman"/>
                <w:color w:val="auto"/>
                <w:sz w:val="22"/>
                <w:szCs w:val="24"/>
              </w:rPr>
            </w:pPr>
          </w:p>
        </w:tc>
        <w:tc>
          <w:tcPr>
            <w:tcW w:w="1072" w:type="pct"/>
            <w:vAlign w:val="center"/>
          </w:tcPr>
          <w:p w14:paraId="26FFCCCA">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现状评价因子</w:t>
            </w:r>
          </w:p>
        </w:tc>
        <w:tc>
          <w:tcPr>
            <w:tcW w:w="3259" w:type="pct"/>
            <w:vAlign w:val="center"/>
          </w:tcPr>
          <w:p w14:paraId="3E602305">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水位、K</w:t>
            </w:r>
            <w:r>
              <w:rPr>
                <w:rFonts w:ascii="Times New Roman" w:hAnsi="Times New Roman" w:eastAsia="宋体" w:cs="Times New Roman"/>
                <w:color w:val="auto"/>
                <w:sz w:val="22"/>
                <w:szCs w:val="24"/>
                <w:vertAlign w:val="superscript"/>
              </w:rPr>
              <w:t>+</w:t>
            </w:r>
            <w:r>
              <w:rPr>
                <w:rFonts w:ascii="Times New Roman" w:hAnsi="Times New Roman" w:eastAsia="宋体" w:cs="Times New Roman"/>
                <w:color w:val="auto"/>
                <w:sz w:val="22"/>
                <w:szCs w:val="24"/>
              </w:rPr>
              <w:t>、Na</w:t>
            </w:r>
            <w:r>
              <w:rPr>
                <w:rFonts w:ascii="Times New Roman" w:hAnsi="Times New Roman" w:eastAsia="宋体" w:cs="Times New Roman"/>
                <w:color w:val="auto"/>
                <w:sz w:val="22"/>
                <w:szCs w:val="24"/>
                <w:vertAlign w:val="superscript"/>
              </w:rPr>
              <w:t>+</w:t>
            </w:r>
            <w:r>
              <w:rPr>
                <w:rFonts w:ascii="Times New Roman" w:hAnsi="Times New Roman" w:eastAsia="宋体" w:cs="Times New Roman"/>
                <w:color w:val="auto"/>
                <w:sz w:val="22"/>
                <w:szCs w:val="24"/>
              </w:rPr>
              <w:t>、Ca</w:t>
            </w:r>
            <w:r>
              <w:rPr>
                <w:rFonts w:ascii="Times New Roman" w:hAnsi="Times New Roman" w:eastAsia="宋体" w:cs="Times New Roman"/>
                <w:color w:val="auto"/>
                <w:sz w:val="22"/>
                <w:szCs w:val="24"/>
                <w:vertAlign w:val="superscript"/>
              </w:rPr>
              <w:t>2+</w:t>
            </w:r>
            <w:r>
              <w:rPr>
                <w:rFonts w:ascii="Times New Roman" w:hAnsi="Times New Roman" w:eastAsia="宋体" w:cs="Times New Roman"/>
                <w:color w:val="auto"/>
                <w:sz w:val="22"/>
                <w:szCs w:val="24"/>
              </w:rPr>
              <w:t>、Mg</w:t>
            </w:r>
            <w:r>
              <w:rPr>
                <w:rFonts w:ascii="Times New Roman" w:hAnsi="Times New Roman" w:eastAsia="宋体" w:cs="Times New Roman"/>
                <w:color w:val="auto"/>
                <w:sz w:val="22"/>
                <w:szCs w:val="24"/>
                <w:vertAlign w:val="superscript"/>
              </w:rPr>
              <w:t>2+</w:t>
            </w:r>
            <w:r>
              <w:rPr>
                <w:rFonts w:ascii="Times New Roman" w:hAnsi="Times New Roman" w:eastAsia="宋体" w:cs="Times New Roman"/>
                <w:color w:val="auto"/>
                <w:sz w:val="22"/>
                <w:szCs w:val="24"/>
              </w:rPr>
              <w:t>、CO</w:t>
            </w:r>
            <w:r>
              <w:rPr>
                <w:rFonts w:ascii="Times New Roman" w:hAnsi="Times New Roman" w:eastAsia="宋体" w:cs="Times New Roman"/>
                <w:color w:val="auto"/>
                <w:sz w:val="22"/>
                <w:szCs w:val="24"/>
                <w:vertAlign w:val="subscript"/>
              </w:rPr>
              <w:t>3</w:t>
            </w:r>
            <w:r>
              <w:rPr>
                <w:rFonts w:ascii="Times New Roman" w:hAnsi="Times New Roman" w:eastAsia="宋体" w:cs="Times New Roman"/>
                <w:color w:val="auto"/>
                <w:sz w:val="22"/>
                <w:szCs w:val="24"/>
                <w:vertAlign w:val="superscript"/>
              </w:rPr>
              <w:t>2-</w:t>
            </w:r>
            <w:r>
              <w:rPr>
                <w:rFonts w:ascii="Times New Roman" w:hAnsi="Times New Roman" w:eastAsia="宋体" w:cs="Times New Roman"/>
                <w:color w:val="auto"/>
                <w:sz w:val="22"/>
                <w:szCs w:val="24"/>
              </w:rPr>
              <w:t>、HCO</w:t>
            </w:r>
            <w:r>
              <w:rPr>
                <w:rFonts w:ascii="Times New Roman" w:hAnsi="Times New Roman" w:eastAsia="宋体" w:cs="Times New Roman"/>
                <w:color w:val="auto"/>
                <w:sz w:val="22"/>
                <w:szCs w:val="24"/>
                <w:vertAlign w:val="superscript"/>
              </w:rPr>
              <w:t>3-</w:t>
            </w:r>
            <w:r>
              <w:rPr>
                <w:rFonts w:ascii="Times New Roman" w:hAnsi="Times New Roman" w:eastAsia="宋体" w:cs="Times New Roman"/>
                <w:color w:val="auto"/>
                <w:sz w:val="22"/>
                <w:szCs w:val="24"/>
              </w:rPr>
              <w:t>、Cl-、SO</w:t>
            </w:r>
            <w:r>
              <w:rPr>
                <w:rFonts w:ascii="Times New Roman" w:hAnsi="Times New Roman" w:eastAsia="宋体" w:cs="Times New Roman"/>
                <w:color w:val="auto"/>
                <w:sz w:val="22"/>
                <w:szCs w:val="24"/>
                <w:vertAlign w:val="subscript"/>
              </w:rPr>
              <w:t>4</w:t>
            </w:r>
            <w:r>
              <w:rPr>
                <w:rFonts w:ascii="Times New Roman" w:hAnsi="Times New Roman" w:eastAsia="宋体" w:cs="Times New Roman"/>
                <w:color w:val="auto"/>
                <w:sz w:val="22"/>
                <w:szCs w:val="24"/>
                <w:vertAlign w:val="superscript"/>
              </w:rPr>
              <w:t>2-</w:t>
            </w:r>
            <w:r>
              <w:rPr>
                <w:rFonts w:ascii="Times New Roman" w:hAnsi="Times New Roman" w:eastAsia="宋体" w:cs="Times New Roman"/>
                <w:color w:val="auto"/>
                <w:sz w:val="22"/>
                <w:szCs w:val="24"/>
              </w:rPr>
              <w:t>、pH、氨氮、硝酸盐、亚硝酸盐、挥发性酚类、氰化物、砷、汞、铬(六价)、总硬度、铅、氟、镉、铁、锰、溶解性总固体、耗氧量、硫酸盐、氯化物、总大肠菌群、细菌总数、甲苯、二氯甲烷、</w:t>
            </w:r>
          </w:p>
        </w:tc>
      </w:tr>
      <w:tr w14:paraId="2F251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7" w:type="pct"/>
            <w:vMerge w:val="restart"/>
            <w:vAlign w:val="center"/>
          </w:tcPr>
          <w:p w14:paraId="58C5AEEC">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大气</w:t>
            </w:r>
          </w:p>
        </w:tc>
        <w:tc>
          <w:tcPr>
            <w:tcW w:w="1072" w:type="pct"/>
            <w:vAlign w:val="center"/>
          </w:tcPr>
          <w:p w14:paraId="32D471EC">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污染源评价因子</w:t>
            </w:r>
          </w:p>
        </w:tc>
        <w:tc>
          <w:tcPr>
            <w:tcW w:w="3259" w:type="pct"/>
            <w:vAlign w:val="center"/>
          </w:tcPr>
          <w:p w14:paraId="1B232A93">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非甲烷总烃、颗粒物、氨气、硫化氢、臭气浓度</w:t>
            </w:r>
          </w:p>
        </w:tc>
      </w:tr>
      <w:tr w14:paraId="2FABB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7" w:type="pct"/>
            <w:vMerge w:val="continue"/>
            <w:vAlign w:val="center"/>
          </w:tcPr>
          <w:p w14:paraId="3D61633B">
            <w:pPr>
              <w:jc w:val="center"/>
              <w:rPr>
                <w:rFonts w:ascii="Times New Roman" w:hAnsi="Times New Roman" w:eastAsia="宋体" w:cs="Times New Roman"/>
                <w:color w:val="auto"/>
                <w:sz w:val="22"/>
                <w:szCs w:val="24"/>
              </w:rPr>
            </w:pPr>
          </w:p>
        </w:tc>
        <w:tc>
          <w:tcPr>
            <w:tcW w:w="1072" w:type="pct"/>
            <w:vAlign w:val="center"/>
          </w:tcPr>
          <w:p w14:paraId="5C28B41C">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现状评价因子</w:t>
            </w:r>
          </w:p>
        </w:tc>
        <w:tc>
          <w:tcPr>
            <w:tcW w:w="3259" w:type="pct"/>
            <w:vAlign w:val="center"/>
          </w:tcPr>
          <w:p w14:paraId="209282AC">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lang w:val="en-US" w:eastAsia="zh-CN"/>
              </w:rPr>
              <w:t>非甲烷总烃、颗粒物、氨气、硫化氢、臭气浓度</w:t>
            </w:r>
          </w:p>
        </w:tc>
      </w:tr>
      <w:tr w14:paraId="5FB0E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7" w:type="pct"/>
            <w:vMerge w:val="continue"/>
            <w:vAlign w:val="center"/>
          </w:tcPr>
          <w:p w14:paraId="693AB501">
            <w:pPr>
              <w:jc w:val="center"/>
              <w:rPr>
                <w:rFonts w:ascii="Times New Roman" w:hAnsi="Times New Roman" w:eastAsia="宋体" w:cs="Times New Roman"/>
                <w:color w:val="auto"/>
                <w:sz w:val="22"/>
                <w:szCs w:val="24"/>
              </w:rPr>
            </w:pPr>
          </w:p>
        </w:tc>
        <w:tc>
          <w:tcPr>
            <w:tcW w:w="1072" w:type="pct"/>
            <w:vAlign w:val="center"/>
          </w:tcPr>
          <w:p w14:paraId="0C3EC627">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预测因子</w:t>
            </w:r>
          </w:p>
        </w:tc>
        <w:tc>
          <w:tcPr>
            <w:tcW w:w="3259" w:type="pct"/>
            <w:vAlign w:val="center"/>
          </w:tcPr>
          <w:p w14:paraId="5F447106">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lang w:val="en-US" w:eastAsia="zh-CN"/>
              </w:rPr>
              <w:t>非甲烷总烃、颗粒物、氨气、硫化氢</w:t>
            </w:r>
          </w:p>
        </w:tc>
      </w:tr>
      <w:tr w14:paraId="17455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7" w:type="pct"/>
            <w:vAlign w:val="center"/>
          </w:tcPr>
          <w:p w14:paraId="5D2FD6BE">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声</w:t>
            </w:r>
          </w:p>
        </w:tc>
        <w:tc>
          <w:tcPr>
            <w:tcW w:w="1072" w:type="pct"/>
            <w:vAlign w:val="center"/>
          </w:tcPr>
          <w:p w14:paraId="0F4E1F41">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评价因子</w:t>
            </w:r>
          </w:p>
        </w:tc>
        <w:tc>
          <w:tcPr>
            <w:tcW w:w="3259" w:type="pct"/>
            <w:vAlign w:val="center"/>
          </w:tcPr>
          <w:p w14:paraId="4311A720">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等效声级LeqA</w:t>
            </w:r>
          </w:p>
        </w:tc>
      </w:tr>
      <w:tr w14:paraId="46875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7" w:type="pct"/>
            <w:vAlign w:val="center"/>
          </w:tcPr>
          <w:p w14:paraId="5B435ED9">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固体废物</w:t>
            </w:r>
          </w:p>
        </w:tc>
        <w:tc>
          <w:tcPr>
            <w:tcW w:w="1072" w:type="pct"/>
            <w:vAlign w:val="center"/>
          </w:tcPr>
          <w:p w14:paraId="429A84F9">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产生及评价因子</w:t>
            </w:r>
          </w:p>
        </w:tc>
        <w:tc>
          <w:tcPr>
            <w:tcW w:w="3259" w:type="pct"/>
            <w:vAlign w:val="center"/>
          </w:tcPr>
          <w:p w14:paraId="3CEC0BA4">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lang w:val="en-US" w:eastAsia="zh-CN"/>
              </w:rPr>
              <w:t>生产</w:t>
            </w:r>
            <w:r>
              <w:rPr>
                <w:rFonts w:hint="eastAsia" w:ascii="Times New Roman" w:hAnsi="Times New Roman" w:eastAsia="宋体" w:cs="Times New Roman"/>
                <w:color w:val="auto"/>
                <w:sz w:val="22"/>
                <w:szCs w:val="24"/>
              </w:rPr>
              <w:t>固废、</w:t>
            </w:r>
            <w:r>
              <w:rPr>
                <w:rFonts w:hint="eastAsia" w:ascii="Times New Roman" w:hAnsi="Times New Roman" w:eastAsia="宋体" w:cs="Times New Roman"/>
                <w:color w:val="auto"/>
                <w:sz w:val="22"/>
                <w:szCs w:val="24"/>
                <w:lang w:val="en-US" w:eastAsia="zh-CN"/>
              </w:rPr>
              <w:t>污水站污泥、</w:t>
            </w:r>
            <w:r>
              <w:rPr>
                <w:rFonts w:hint="eastAsia" w:ascii="Times New Roman" w:hAnsi="Times New Roman" w:eastAsia="宋体" w:cs="Times New Roman"/>
                <w:color w:val="auto"/>
                <w:sz w:val="22"/>
                <w:szCs w:val="24"/>
              </w:rPr>
              <w:t>废包装、废</w:t>
            </w:r>
            <w:r>
              <w:rPr>
                <w:rFonts w:hint="eastAsia" w:ascii="Times New Roman" w:hAnsi="Times New Roman" w:eastAsia="宋体" w:cs="Times New Roman"/>
                <w:color w:val="auto"/>
                <w:sz w:val="22"/>
                <w:szCs w:val="24"/>
                <w:lang w:val="en-US" w:eastAsia="zh-CN"/>
              </w:rPr>
              <w:t>矿物油</w:t>
            </w:r>
            <w:r>
              <w:rPr>
                <w:rFonts w:ascii="Times New Roman" w:hAnsi="Times New Roman" w:eastAsia="宋体" w:cs="Times New Roman"/>
                <w:color w:val="auto"/>
                <w:sz w:val="22"/>
                <w:szCs w:val="24"/>
              </w:rPr>
              <w:t>和生活垃圾</w:t>
            </w:r>
            <w:r>
              <w:rPr>
                <w:rFonts w:hint="eastAsia" w:ascii="Times New Roman" w:hAnsi="Times New Roman" w:eastAsia="宋体" w:cs="Times New Roman"/>
                <w:color w:val="auto"/>
                <w:sz w:val="22"/>
                <w:szCs w:val="24"/>
              </w:rPr>
              <w:t>等</w:t>
            </w:r>
          </w:p>
        </w:tc>
      </w:tr>
      <w:tr w14:paraId="2264B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7" w:type="pct"/>
            <w:vMerge w:val="restart"/>
            <w:vAlign w:val="center"/>
          </w:tcPr>
          <w:p w14:paraId="51CD73C5">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总量控制</w:t>
            </w:r>
          </w:p>
        </w:tc>
        <w:tc>
          <w:tcPr>
            <w:tcW w:w="1072" w:type="pct"/>
            <w:vAlign w:val="center"/>
          </w:tcPr>
          <w:p w14:paraId="51DF3098">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废气</w:t>
            </w:r>
          </w:p>
        </w:tc>
        <w:tc>
          <w:tcPr>
            <w:tcW w:w="3259" w:type="pct"/>
            <w:vAlign w:val="center"/>
          </w:tcPr>
          <w:p w14:paraId="7A5823DD">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VOCs</w:t>
            </w:r>
          </w:p>
        </w:tc>
      </w:tr>
      <w:tr w14:paraId="342CA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67" w:type="pct"/>
            <w:vMerge w:val="continue"/>
            <w:vAlign w:val="center"/>
          </w:tcPr>
          <w:p w14:paraId="0DCCD749">
            <w:pPr>
              <w:jc w:val="center"/>
              <w:rPr>
                <w:rFonts w:ascii="Times New Roman" w:hAnsi="Times New Roman" w:eastAsia="宋体" w:cs="Times New Roman"/>
                <w:color w:val="auto"/>
                <w:sz w:val="22"/>
                <w:szCs w:val="24"/>
              </w:rPr>
            </w:pPr>
          </w:p>
        </w:tc>
        <w:tc>
          <w:tcPr>
            <w:tcW w:w="1072" w:type="pct"/>
            <w:vAlign w:val="center"/>
          </w:tcPr>
          <w:p w14:paraId="066BCBA9">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废水</w:t>
            </w:r>
          </w:p>
        </w:tc>
        <w:tc>
          <w:tcPr>
            <w:tcW w:w="3259" w:type="pct"/>
            <w:vAlign w:val="center"/>
          </w:tcPr>
          <w:p w14:paraId="7070D873">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COD、氨氮</w:t>
            </w:r>
          </w:p>
        </w:tc>
      </w:tr>
    </w:tbl>
    <w:p w14:paraId="310D2100">
      <w:pPr>
        <w:keepNext/>
        <w:keepLines/>
        <w:spacing w:before="156" w:beforeLines="50" w:after="156" w:afterLines="50" w:line="360" w:lineRule="auto"/>
        <w:outlineLvl w:val="2"/>
        <w:rPr>
          <w:rFonts w:ascii="Times New Roman" w:hAnsi="Times New Roman" w:eastAsia="宋体" w:cs="Times New Roman"/>
          <w:b/>
          <w:color w:val="auto"/>
          <w:kern w:val="0"/>
          <w:sz w:val="24"/>
          <w:szCs w:val="24"/>
        </w:rPr>
      </w:pPr>
      <w:r>
        <w:rPr>
          <w:rFonts w:ascii="Times New Roman" w:hAnsi="Times New Roman" w:eastAsia="宋体" w:cs="Times New Roman"/>
          <w:b/>
          <w:color w:val="auto"/>
          <w:kern w:val="0"/>
          <w:sz w:val="24"/>
          <w:szCs w:val="24"/>
        </w:rPr>
        <w:t>2.4.2评价标准</w:t>
      </w:r>
    </w:p>
    <w:p w14:paraId="5FB7C2FB">
      <w:pPr>
        <w:keepNext/>
        <w:keepLines/>
        <w:spacing w:before="156" w:beforeLines="50" w:after="156" w:afterLines="50" w:line="360" w:lineRule="auto"/>
        <w:outlineLvl w:val="2"/>
        <w:rPr>
          <w:rFonts w:ascii="Times New Roman" w:hAnsi="Times New Roman" w:eastAsia="宋体" w:cs="Times New Roman"/>
          <w:b/>
          <w:color w:val="auto"/>
          <w:kern w:val="0"/>
          <w:sz w:val="24"/>
          <w:szCs w:val="24"/>
        </w:rPr>
      </w:pPr>
      <w:r>
        <w:rPr>
          <w:rFonts w:ascii="Times New Roman" w:hAnsi="Times New Roman" w:eastAsia="宋体" w:cs="Times New Roman"/>
          <w:b/>
          <w:color w:val="auto"/>
          <w:kern w:val="0"/>
          <w:sz w:val="24"/>
          <w:szCs w:val="24"/>
        </w:rPr>
        <w:t>2.4.2.1环境质量标准</w:t>
      </w:r>
    </w:p>
    <w:p w14:paraId="27C00A0D">
      <w:pPr>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1、环境空气</w:t>
      </w:r>
    </w:p>
    <w:p w14:paraId="0D4E59A9">
      <w:pPr>
        <w:spacing w:line="360" w:lineRule="auto"/>
        <w:ind w:firstLine="480" w:firstLineChars="200"/>
        <w:rPr>
          <w:rFonts w:ascii="Times New Roman" w:hAnsi="Times New Roman" w:eastAsia="宋体" w:cs="宋体"/>
          <w:color w:val="auto"/>
          <w:sz w:val="24"/>
          <w:szCs w:val="24"/>
        </w:rPr>
      </w:pPr>
      <w:r>
        <w:rPr>
          <w:rFonts w:ascii="Times New Roman" w:hAnsi="Times New Roman" w:eastAsia="宋体" w:cs="宋体"/>
          <w:color w:val="auto"/>
          <w:sz w:val="24"/>
          <w:szCs w:val="24"/>
        </w:rPr>
        <w:t>项目位于环境空气功能区的二类区，环境空气质量执行《环境空气质量标准》（GB3095-2012）</w:t>
      </w:r>
      <w:r>
        <w:rPr>
          <w:rFonts w:hint="eastAsia" w:ascii="Times New Roman" w:hAnsi="Times New Roman" w:eastAsia="宋体" w:cs="宋体"/>
          <w:color w:val="auto"/>
          <w:sz w:val="24"/>
          <w:szCs w:val="24"/>
        </w:rPr>
        <w:t>及其2018年修改单中的相关标准</w:t>
      </w:r>
      <w:r>
        <w:rPr>
          <w:rFonts w:ascii="Times New Roman" w:hAnsi="Times New Roman" w:eastAsia="宋体" w:cs="宋体"/>
          <w:color w:val="auto"/>
          <w:sz w:val="24"/>
          <w:szCs w:val="24"/>
        </w:rPr>
        <w:t>；</w:t>
      </w:r>
      <w:r>
        <w:rPr>
          <w:rFonts w:hint="eastAsia" w:ascii="Times New Roman" w:hAnsi="Times New Roman" w:eastAsia="宋体" w:cs="宋体"/>
          <w:color w:val="auto"/>
          <w:sz w:val="24"/>
          <w:szCs w:val="24"/>
          <w:lang w:val="zh-CN"/>
        </w:rPr>
        <w:t>嘉山省级风景名胜区范围内执行《环境空气质量标准》（GB3095-2012）及修改单中的一级标准；</w:t>
      </w:r>
      <w:r>
        <w:rPr>
          <w:rFonts w:ascii="Times New Roman" w:hAnsi="Times New Roman"/>
          <w:color w:val="auto"/>
          <w:sz w:val="24"/>
          <w:szCs w:val="24"/>
          <w:u w:val="none" w:color="auto"/>
        </w:rPr>
        <w:t>氨、硫化氢、TVOC执行《环境影响评价技术导则  大气环境》（HJ2.2-2018）附录D其它污染物空气质量浓度参考限值</w:t>
      </w:r>
      <w:r>
        <w:rPr>
          <w:rFonts w:hint="eastAsia"/>
          <w:color w:val="auto"/>
          <w:sz w:val="24"/>
          <w:szCs w:val="24"/>
          <w:u w:val="none" w:color="auto"/>
          <w:lang w:eastAsia="zh-CN"/>
        </w:rPr>
        <w:t>；</w:t>
      </w:r>
      <w:r>
        <w:rPr>
          <w:rFonts w:hint="eastAsia" w:ascii="Times New Roman" w:hAnsi="Times New Roman" w:eastAsia="宋体" w:cs="Times New Roman"/>
          <w:color w:val="auto"/>
          <w:sz w:val="24"/>
          <w:szCs w:val="24"/>
        </w:rPr>
        <w:t>非甲烷总烃参考《</w:t>
      </w:r>
      <w:r>
        <w:rPr>
          <w:rFonts w:hint="eastAsia" w:ascii="Times New Roman" w:hAnsi="Times New Roman" w:eastAsia="宋体" w:cs="Times New Roman"/>
          <w:color w:val="auto"/>
          <w:kern w:val="0"/>
          <w:sz w:val="24"/>
          <w:szCs w:val="24"/>
        </w:rPr>
        <w:t>大气污染物综合排放标准详解</w:t>
      </w:r>
      <w:r>
        <w:rPr>
          <w:rFonts w:hint="eastAsia" w:ascii="Times New Roman" w:hAnsi="Times New Roman" w:eastAsia="宋体" w:cs="Times New Roman"/>
          <w:color w:val="auto"/>
          <w:sz w:val="24"/>
          <w:szCs w:val="24"/>
        </w:rPr>
        <w:t>》中的限值</w:t>
      </w:r>
      <w:r>
        <w:rPr>
          <w:rFonts w:ascii="Times New Roman" w:hAnsi="Times New Roman" w:eastAsia="宋体" w:cs="宋体"/>
          <w:color w:val="auto"/>
          <w:sz w:val="24"/>
          <w:szCs w:val="24"/>
        </w:rPr>
        <w:t>。</w:t>
      </w:r>
    </w:p>
    <w:p w14:paraId="11D26012">
      <w:pPr>
        <w:pStyle w:val="6"/>
        <w:bidi w:val="0"/>
      </w:pPr>
      <w:r>
        <w:rPr>
          <w:rFonts w:hint="eastAsia"/>
        </w:rPr>
        <w:t>表2.4.2-1    环境空气质量标准</w:t>
      </w:r>
    </w:p>
    <w:tbl>
      <w:tblPr>
        <w:tblStyle w:val="4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39"/>
        <w:gridCol w:w="1513"/>
        <w:gridCol w:w="1653"/>
        <w:gridCol w:w="1571"/>
        <w:gridCol w:w="2243"/>
      </w:tblGrid>
      <w:tr w14:paraId="16972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3" w:type="pct"/>
            <w:vMerge w:val="restart"/>
            <w:vAlign w:val="center"/>
          </w:tcPr>
          <w:p w14:paraId="4EBC4471">
            <w:pPr>
              <w:jc w:val="center"/>
              <w:rPr>
                <w:rFonts w:ascii="Times New Roman" w:hAnsi="Times New Roman" w:eastAsia="宋体" w:cs="Times New Roman"/>
                <w:b/>
                <w:bCs/>
                <w:color w:val="auto"/>
                <w:szCs w:val="21"/>
              </w:rPr>
            </w:pPr>
            <w:r>
              <w:rPr>
                <w:rFonts w:ascii="Times New Roman" w:hAnsi="Times New Roman" w:eastAsia="宋体" w:cs="Times New Roman"/>
                <w:b/>
                <w:bCs/>
                <w:color w:val="auto"/>
                <w:szCs w:val="21"/>
              </w:rPr>
              <w:t>污染物名称</w:t>
            </w:r>
          </w:p>
        </w:tc>
        <w:tc>
          <w:tcPr>
            <w:tcW w:w="2780" w:type="pct"/>
            <w:gridSpan w:val="3"/>
            <w:vAlign w:val="center"/>
          </w:tcPr>
          <w:p w14:paraId="279A7BD8">
            <w:pPr>
              <w:jc w:val="center"/>
              <w:rPr>
                <w:rFonts w:ascii="Times New Roman" w:hAnsi="Times New Roman" w:eastAsia="宋体" w:cs="Times New Roman"/>
                <w:b/>
                <w:bCs/>
                <w:color w:val="auto"/>
                <w:szCs w:val="21"/>
              </w:rPr>
            </w:pPr>
            <w:r>
              <w:rPr>
                <w:rFonts w:ascii="Times New Roman" w:hAnsi="Times New Roman" w:eastAsia="宋体" w:cs="Times New Roman"/>
                <w:b/>
                <w:bCs/>
                <w:color w:val="auto"/>
                <w:szCs w:val="21"/>
              </w:rPr>
              <w:t>标准值</w:t>
            </w:r>
          </w:p>
        </w:tc>
        <w:tc>
          <w:tcPr>
            <w:tcW w:w="1316" w:type="pct"/>
            <w:vMerge w:val="restart"/>
            <w:vAlign w:val="center"/>
          </w:tcPr>
          <w:p w14:paraId="6C8DCA4F">
            <w:pPr>
              <w:jc w:val="center"/>
              <w:rPr>
                <w:rFonts w:ascii="Times New Roman" w:hAnsi="Times New Roman" w:eastAsia="宋体" w:cs="Times New Roman"/>
                <w:color w:val="auto"/>
                <w:szCs w:val="21"/>
              </w:rPr>
            </w:pPr>
            <w:r>
              <w:rPr>
                <w:rFonts w:ascii="Times New Roman" w:hAnsi="Times New Roman" w:eastAsia="宋体" w:cs="Times New Roman"/>
                <w:b/>
                <w:bCs/>
                <w:color w:val="auto"/>
                <w:szCs w:val="21"/>
              </w:rPr>
              <w:t>选用标准</w:t>
            </w:r>
          </w:p>
        </w:tc>
      </w:tr>
      <w:tr w14:paraId="2A296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3" w:type="pct"/>
            <w:vMerge w:val="continue"/>
            <w:vAlign w:val="center"/>
          </w:tcPr>
          <w:p w14:paraId="3F83694A">
            <w:pPr>
              <w:jc w:val="center"/>
              <w:rPr>
                <w:rFonts w:ascii="Times New Roman" w:hAnsi="Times New Roman" w:eastAsia="宋体" w:cs="Times New Roman"/>
                <w:b/>
                <w:bCs/>
                <w:color w:val="auto"/>
                <w:szCs w:val="21"/>
              </w:rPr>
            </w:pPr>
          </w:p>
        </w:tc>
        <w:tc>
          <w:tcPr>
            <w:tcW w:w="888" w:type="pct"/>
            <w:vAlign w:val="center"/>
          </w:tcPr>
          <w:p w14:paraId="2F6B198B">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级别</w:t>
            </w:r>
          </w:p>
        </w:tc>
        <w:tc>
          <w:tcPr>
            <w:tcW w:w="970" w:type="pct"/>
            <w:vAlign w:val="center"/>
          </w:tcPr>
          <w:p w14:paraId="3ABFC549">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一级</w:t>
            </w:r>
          </w:p>
        </w:tc>
        <w:tc>
          <w:tcPr>
            <w:tcW w:w="922" w:type="pct"/>
            <w:vAlign w:val="center"/>
          </w:tcPr>
          <w:p w14:paraId="6A00488D">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二级</w:t>
            </w:r>
          </w:p>
        </w:tc>
        <w:tc>
          <w:tcPr>
            <w:tcW w:w="1316" w:type="pct"/>
            <w:vMerge w:val="continue"/>
            <w:vAlign w:val="center"/>
          </w:tcPr>
          <w:p w14:paraId="27EC2A8E">
            <w:pPr>
              <w:jc w:val="center"/>
              <w:rPr>
                <w:rFonts w:ascii="Times New Roman" w:hAnsi="Times New Roman" w:eastAsia="宋体" w:cs="Times New Roman"/>
                <w:color w:val="auto"/>
                <w:szCs w:val="21"/>
              </w:rPr>
            </w:pPr>
          </w:p>
        </w:tc>
      </w:tr>
      <w:tr w14:paraId="69408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3" w:type="pct"/>
            <w:vMerge w:val="restart"/>
            <w:vAlign w:val="center"/>
          </w:tcPr>
          <w:p w14:paraId="10904182">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SO</w:t>
            </w:r>
            <w:r>
              <w:rPr>
                <w:rFonts w:hint="eastAsia" w:ascii="Times New Roman" w:hAnsi="Times New Roman" w:eastAsia="宋体" w:cs="Times New Roman"/>
                <w:color w:val="auto"/>
                <w:sz w:val="22"/>
                <w:szCs w:val="24"/>
                <w:vertAlign w:val="subscript"/>
              </w:rPr>
              <w:t>2</w:t>
            </w:r>
          </w:p>
        </w:tc>
        <w:tc>
          <w:tcPr>
            <w:tcW w:w="888" w:type="pct"/>
            <w:vAlign w:val="center"/>
          </w:tcPr>
          <w:p w14:paraId="092DBF31">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年平均</w:t>
            </w:r>
          </w:p>
        </w:tc>
        <w:tc>
          <w:tcPr>
            <w:tcW w:w="970" w:type="pct"/>
            <w:vAlign w:val="center"/>
          </w:tcPr>
          <w:p w14:paraId="3B0C7FA9">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20</w:t>
            </w:r>
            <w:r>
              <w:rPr>
                <w:rFonts w:ascii="Times New Roman" w:hAnsi="Times New Roman" w:eastAsia="宋体" w:cs="Times New Roman"/>
                <w:color w:val="auto"/>
                <w:sz w:val="22"/>
                <w:szCs w:val="24"/>
              </w:rPr>
              <w:t>（ug</w:t>
            </w:r>
            <w:r>
              <w:rPr>
                <w:rFonts w:hint="eastAsia" w:ascii="Times New Roman" w:hAnsi="Times New Roman" w:eastAsia="宋体" w:cs="Times New Roman"/>
                <w:color w:val="auto"/>
                <w:sz w:val="22"/>
                <w:szCs w:val="24"/>
              </w:rPr>
              <w:t>/</w:t>
            </w:r>
            <w:r>
              <w:rPr>
                <w:rFonts w:hint="eastAsia" w:ascii="Times New Roman" w:hAnsi="Times New Roman" w:eastAsia="宋体" w:cs="Times New Roman"/>
                <w:color w:val="auto"/>
                <w:sz w:val="22"/>
                <w:szCs w:val="24"/>
                <w:lang w:eastAsia="zh-CN"/>
              </w:rPr>
              <w:t>m</w:t>
            </w:r>
            <w:r>
              <w:rPr>
                <w:rFonts w:hint="eastAsia" w:ascii="Times New Roman" w:hAnsi="Times New Roman" w:eastAsia="宋体" w:cs="Times New Roman"/>
                <w:color w:val="auto"/>
                <w:sz w:val="22"/>
                <w:szCs w:val="24"/>
                <w:vertAlign w:val="superscript"/>
                <w:lang w:eastAsia="zh-CN"/>
              </w:rPr>
              <w:t>3</w:t>
            </w:r>
            <w:r>
              <w:rPr>
                <w:rFonts w:ascii="Times New Roman" w:hAnsi="Times New Roman" w:eastAsia="宋体" w:cs="Times New Roman"/>
                <w:color w:val="auto"/>
                <w:sz w:val="22"/>
                <w:szCs w:val="24"/>
              </w:rPr>
              <w:t>）</w:t>
            </w:r>
          </w:p>
        </w:tc>
        <w:tc>
          <w:tcPr>
            <w:tcW w:w="922" w:type="pct"/>
            <w:vAlign w:val="center"/>
          </w:tcPr>
          <w:p w14:paraId="698A4D76">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60</w:t>
            </w:r>
            <w:r>
              <w:rPr>
                <w:rFonts w:ascii="Times New Roman" w:hAnsi="Times New Roman" w:eastAsia="宋体" w:cs="Times New Roman"/>
                <w:color w:val="auto"/>
                <w:sz w:val="22"/>
                <w:szCs w:val="24"/>
              </w:rPr>
              <w:t>（ug</w:t>
            </w:r>
            <w:r>
              <w:rPr>
                <w:rFonts w:hint="eastAsia" w:ascii="Times New Roman" w:hAnsi="Times New Roman" w:eastAsia="宋体" w:cs="Times New Roman"/>
                <w:color w:val="auto"/>
                <w:sz w:val="22"/>
                <w:szCs w:val="24"/>
              </w:rPr>
              <w:t>/</w:t>
            </w:r>
            <w:r>
              <w:rPr>
                <w:rFonts w:hint="eastAsia" w:ascii="Times New Roman" w:hAnsi="Times New Roman" w:eastAsia="宋体" w:cs="Times New Roman"/>
                <w:color w:val="auto"/>
                <w:sz w:val="22"/>
                <w:szCs w:val="24"/>
                <w:lang w:eastAsia="zh-CN"/>
              </w:rPr>
              <w:t>m</w:t>
            </w:r>
            <w:r>
              <w:rPr>
                <w:rFonts w:hint="eastAsia" w:ascii="Times New Roman" w:hAnsi="Times New Roman" w:eastAsia="宋体" w:cs="Times New Roman"/>
                <w:color w:val="auto"/>
                <w:sz w:val="22"/>
                <w:szCs w:val="24"/>
                <w:vertAlign w:val="superscript"/>
                <w:lang w:eastAsia="zh-CN"/>
              </w:rPr>
              <w:t>3</w:t>
            </w:r>
            <w:r>
              <w:rPr>
                <w:rFonts w:ascii="Times New Roman" w:hAnsi="Times New Roman" w:eastAsia="宋体" w:cs="Times New Roman"/>
                <w:color w:val="auto"/>
                <w:sz w:val="22"/>
                <w:szCs w:val="24"/>
              </w:rPr>
              <w:t>）</w:t>
            </w:r>
          </w:p>
        </w:tc>
        <w:tc>
          <w:tcPr>
            <w:tcW w:w="1316" w:type="pct"/>
            <w:vMerge w:val="restart"/>
            <w:vAlign w:val="center"/>
          </w:tcPr>
          <w:p w14:paraId="79CA8440">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《环境空气质量标准》GB3095-2012）</w:t>
            </w:r>
            <w:r>
              <w:rPr>
                <w:rFonts w:hint="eastAsia" w:ascii="Times New Roman" w:hAnsi="Times New Roman" w:eastAsia="宋体" w:cs="Times New Roman"/>
                <w:color w:val="auto"/>
                <w:sz w:val="22"/>
                <w:szCs w:val="24"/>
              </w:rPr>
              <w:t>及其2018年修改单中的相关标准</w:t>
            </w:r>
          </w:p>
        </w:tc>
      </w:tr>
      <w:tr w14:paraId="2BC70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3" w:type="pct"/>
            <w:vMerge w:val="continue"/>
            <w:vAlign w:val="center"/>
          </w:tcPr>
          <w:p w14:paraId="6BFC1544">
            <w:pPr>
              <w:jc w:val="center"/>
              <w:rPr>
                <w:rFonts w:ascii="Times New Roman" w:hAnsi="Times New Roman" w:eastAsia="宋体" w:cs="Times New Roman"/>
                <w:color w:val="auto"/>
                <w:sz w:val="22"/>
                <w:szCs w:val="24"/>
              </w:rPr>
            </w:pPr>
          </w:p>
        </w:tc>
        <w:tc>
          <w:tcPr>
            <w:tcW w:w="888" w:type="pct"/>
            <w:vAlign w:val="center"/>
          </w:tcPr>
          <w:p w14:paraId="40C8D308">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日平均</w:t>
            </w:r>
          </w:p>
        </w:tc>
        <w:tc>
          <w:tcPr>
            <w:tcW w:w="970" w:type="pct"/>
            <w:vAlign w:val="center"/>
          </w:tcPr>
          <w:p w14:paraId="7354A129">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50（ug/</w:t>
            </w:r>
            <w:r>
              <w:rPr>
                <w:rFonts w:hint="eastAsia" w:ascii="Times New Roman" w:hAnsi="Times New Roman" w:eastAsia="宋体" w:cs="Times New Roman"/>
                <w:color w:val="auto"/>
                <w:sz w:val="22"/>
                <w:szCs w:val="24"/>
                <w:lang w:eastAsia="zh-CN"/>
              </w:rPr>
              <w:t>m</w:t>
            </w:r>
            <w:r>
              <w:rPr>
                <w:rFonts w:hint="eastAsia" w:ascii="Times New Roman" w:hAnsi="Times New Roman" w:eastAsia="宋体" w:cs="Times New Roman"/>
                <w:color w:val="auto"/>
                <w:sz w:val="22"/>
                <w:szCs w:val="24"/>
                <w:vertAlign w:val="superscript"/>
                <w:lang w:eastAsia="zh-CN"/>
              </w:rPr>
              <w:t>3</w:t>
            </w:r>
            <w:r>
              <w:rPr>
                <w:rFonts w:ascii="Times New Roman" w:hAnsi="Times New Roman" w:eastAsia="宋体" w:cs="Times New Roman"/>
                <w:color w:val="auto"/>
                <w:sz w:val="22"/>
                <w:szCs w:val="24"/>
              </w:rPr>
              <w:t>）</w:t>
            </w:r>
          </w:p>
        </w:tc>
        <w:tc>
          <w:tcPr>
            <w:tcW w:w="922" w:type="pct"/>
            <w:vAlign w:val="center"/>
          </w:tcPr>
          <w:p w14:paraId="10B79822">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150（ug/</w:t>
            </w:r>
            <w:r>
              <w:rPr>
                <w:rFonts w:hint="eastAsia" w:ascii="Times New Roman" w:hAnsi="Times New Roman" w:eastAsia="宋体" w:cs="Times New Roman"/>
                <w:color w:val="auto"/>
                <w:sz w:val="22"/>
                <w:szCs w:val="24"/>
                <w:lang w:eastAsia="zh-CN"/>
              </w:rPr>
              <w:t>m</w:t>
            </w:r>
            <w:r>
              <w:rPr>
                <w:rFonts w:hint="eastAsia" w:ascii="Times New Roman" w:hAnsi="Times New Roman" w:eastAsia="宋体" w:cs="Times New Roman"/>
                <w:color w:val="auto"/>
                <w:sz w:val="22"/>
                <w:szCs w:val="24"/>
                <w:vertAlign w:val="superscript"/>
                <w:lang w:eastAsia="zh-CN"/>
              </w:rPr>
              <w:t>3</w:t>
            </w:r>
            <w:r>
              <w:rPr>
                <w:rFonts w:ascii="Times New Roman" w:hAnsi="Times New Roman" w:eastAsia="宋体" w:cs="Times New Roman"/>
                <w:color w:val="auto"/>
                <w:sz w:val="22"/>
                <w:szCs w:val="24"/>
              </w:rPr>
              <w:t>）</w:t>
            </w:r>
          </w:p>
        </w:tc>
        <w:tc>
          <w:tcPr>
            <w:tcW w:w="1316" w:type="pct"/>
            <w:vMerge w:val="continue"/>
            <w:vAlign w:val="center"/>
          </w:tcPr>
          <w:p w14:paraId="6E541C1A">
            <w:pPr>
              <w:jc w:val="center"/>
              <w:rPr>
                <w:rFonts w:ascii="Times New Roman" w:hAnsi="Times New Roman" w:eastAsia="宋体" w:cs="Times New Roman"/>
                <w:color w:val="FF0000"/>
                <w:sz w:val="22"/>
                <w:szCs w:val="24"/>
              </w:rPr>
            </w:pPr>
          </w:p>
        </w:tc>
      </w:tr>
      <w:tr w14:paraId="42A64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3" w:type="pct"/>
            <w:vMerge w:val="continue"/>
            <w:vAlign w:val="center"/>
          </w:tcPr>
          <w:p w14:paraId="0CE9170E">
            <w:pPr>
              <w:jc w:val="center"/>
              <w:rPr>
                <w:rFonts w:ascii="Times New Roman" w:hAnsi="Times New Roman" w:eastAsia="宋体" w:cs="Times New Roman"/>
                <w:color w:val="auto"/>
                <w:sz w:val="22"/>
                <w:szCs w:val="24"/>
              </w:rPr>
            </w:pPr>
          </w:p>
        </w:tc>
        <w:tc>
          <w:tcPr>
            <w:tcW w:w="888" w:type="pct"/>
            <w:vAlign w:val="center"/>
          </w:tcPr>
          <w:p w14:paraId="6526302D">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1小时平均</w:t>
            </w:r>
          </w:p>
        </w:tc>
        <w:tc>
          <w:tcPr>
            <w:tcW w:w="970" w:type="pct"/>
            <w:vAlign w:val="center"/>
          </w:tcPr>
          <w:p w14:paraId="0513221E">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150</w:t>
            </w:r>
            <w:r>
              <w:rPr>
                <w:rFonts w:ascii="Times New Roman" w:hAnsi="Times New Roman" w:eastAsia="宋体" w:cs="Times New Roman"/>
                <w:color w:val="auto"/>
                <w:sz w:val="22"/>
                <w:szCs w:val="24"/>
              </w:rPr>
              <w:t>（ug/</w:t>
            </w:r>
            <w:r>
              <w:rPr>
                <w:rFonts w:hint="eastAsia" w:ascii="Times New Roman" w:hAnsi="Times New Roman" w:eastAsia="宋体" w:cs="Times New Roman"/>
                <w:color w:val="auto"/>
                <w:sz w:val="22"/>
                <w:szCs w:val="24"/>
                <w:lang w:eastAsia="zh-CN"/>
              </w:rPr>
              <w:t>m</w:t>
            </w:r>
            <w:r>
              <w:rPr>
                <w:rFonts w:hint="eastAsia" w:ascii="Times New Roman" w:hAnsi="Times New Roman" w:eastAsia="宋体" w:cs="Times New Roman"/>
                <w:color w:val="auto"/>
                <w:sz w:val="22"/>
                <w:szCs w:val="24"/>
                <w:vertAlign w:val="superscript"/>
                <w:lang w:eastAsia="zh-CN"/>
              </w:rPr>
              <w:t>3</w:t>
            </w:r>
            <w:r>
              <w:rPr>
                <w:rFonts w:ascii="Times New Roman" w:hAnsi="Times New Roman" w:eastAsia="宋体" w:cs="Times New Roman"/>
                <w:color w:val="auto"/>
                <w:sz w:val="22"/>
                <w:szCs w:val="24"/>
              </w:rPr>
              <w:t>）</w:t>
            </w:r>
          </w:p>
        </w:tc>
        <w:tc>
          <w:tcPr>
            <w:tcW w:w="922" w:type="pct"/>
            <w:vAlign w:val="center"/>
          </w:tcPr>
          <w:p w14:paraId="4A107E5D">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500</w:t>
            </w:r>
            <w:r>
              <w:rPr>
                <w:rFonts w:ascii="Times New Roman" w:hAnsi="Times New Roman" w:eastAsia="宋体" w:cs="Times New Roman"/>
                <w:color w:val="auto"/>
                <w:sz w:val="22"/>
                <w:szCs w:val="24"/>
              </w:rPr>
              <w:t>（ug/</w:t>
            </w:r>
            <w:r>
              <w:rPr>
                <w:rFonts w:hint="eastAsia" w:ascii="Times New Roman" w:hAnsi="Times New Roman" w:eastAsia="宋体" w:cs="Times New Roman"/>
                <w:color w:val="auto"/>
                <w:sz w:val="22"/>
                <w:szCs w:val="24"/>
                <w:lang w:eastAsia="zh-CN"/>
              </w:rPr>
              <w:t>m</w:t>
            </w:r>
            <w:r>
              <w:rPr>
                <w:rFonts w:hint="eastAsia" w:ascii="Times New Roman" w:hAnsi="Times New Roman" w:eastAsia="宋体" w:cs="Times New Roman"/>
                <w:color w:val="auto"/>
                <w:sz w:val="22"/>
                <w:szCs w:val="24"/>
                <w:vertAlign w:val="superscript"/>
                <w:lang w:eastAsia="zh-CN"/>
              </w:rPr>
              <w:t>3</w:t>
            </w:r>
            <w:r>
              <w:rPr>
                <w:rFonts w:ascii="Times New Roman" w:hAnsi="Times New Roman" w:eastAsia="宋体" w:cs="Times New Roman"/>
                <w:color w:val="auto"/>
                <w:sz w:val="22"/>
                <w:szCs w:val="24"/>
              </w:rPr>
              <w:t>）</w:t>
            </w:r>
          </w:p>
        </w:tc>
        <w:tc>
          <w:tcPr>
            <w:tcW w:w="1316" w:type="pct"/>
            <w:vMerge w:val="continue"/>
            <w:vAlign w:val="center"/>
          </w:tcPr>
          <w:p w14:paraId="75CC88BA">
            <w:pPr>
              <w:jc w:val="center"/>
              <w:rPr>
                <w:rFonts w:ascii="Times New Roman" w:hAnsi="Times New Roman" w:eastAsia="宋体" w:cs="Times New Roman"/>
                <w:color w:val="FF0000"/>
                <w:sz w:val="22"/>
                <w:szCs w:val="24"/>
              </w:rPr>
            </w:pPr>
          </w:p>
        </w:tc>
      </w:tr>
      <w:tr w14:paraId="4A6BC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3" w:type="pct"/>
            <w:vMerge w:val="restart"/>
            <w:vAlign w:val="center"/>
          </w:tcPr>
          <w:p w14:paraId="008C63B6">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NO</w:t>
            </w:r>
            <w:r>
              <w:rPr>
                <w:rFonts w:hint="eastAsia" w:ascii="Times New Roman" w:hAnsi="Times New Roman" w:eastAsia="宋体" w:cs="Times New Roman"/>
                <w:color w:val="auto"/>
                <w:sz w:val="22"/>
                <w:szCs w:val="24"/>
                <w:vertAlign w:val="subscript"/>
              </w:rPr>
              <w:t>2</w:t>
            </w:r>
          </w:p>
        </w:tc>
        <w:tc>
          <w:tcPr>
            <w:tcW w:w="888" w:type="pct"/>
            <w:vAlign w:val="center"/>
          </w:tcPr>
          <w:p w14:paraId="24D9F6D0">
            <w:pPr>
              <w:jc w:val="center"/>
              <w:rPr>
                <w:rFonts w:ascii="Times New Roman" w:hAnsi="Times New Roman" w:eastAsia="宋体" w:cs="Times New Roman"/>
                <w:color w:val="auto"/>
                <w:sz w:val="22"/>
                <w:szCs w:val="24"/>
                <w:lang w:val="en-GB"/>
              </w:rPr>
            </w:pPr>
            <w:r>
              <w:rPr>
                <w:rFonts w:hint="eastAsia" w:ascii="Times New Roman" w:hAnsi="Times New Roman" w:eastAsia="宋体" w:cs="Times New Roman"/>
                <w:color w:val="auto"/>
                <w:sz w:val="22"/>
                <w:szCs w:val="24"/>
              </w:rPr>
              <w:t>年平均</w:t>
            </w:r>
          </w:p>
        </w:tc>
        <w:tc>
          <w:tcPr>
            <w:tcW w:w="970" w:type="pct"/>
            <w:vAlign w:val="center"/>
          </w:tcPr>
          <w:p w14:paraId="58DE5E28">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4</w:t>
            </w:r>
            <w:r>
              <w:rPr>
                <w:rFonts w:ascii="Times New Roman" w:hAnsi="Times New Roman" w:eastAsia="宋体" w:cs="Times New Roman"/>
                <w:color w:val="auto"/>
                <w:sz w:val="22"/>
                <w:szCs w:val="24"/>
              </w:rPr>
              <w:t>0（ug/</w:t>
            </w:r>
            <w:r>
              <w:rPr>
                <w:rFonts w:hint="eastAsia" w:ascii="Times New Roman" w:hAnsi="Times New Roman" w:eastAsia="宋体" w:cs="Times New Roman"/>
                <w:color w:val="auto"/>
                <w:sz w:val="22"/>
                <w:szCs w:val="24"/>
                <w:lang w:eastAsia="zh-CN"/>
              </w:rPr>
              <w:t>m</w:t>
            </w:r>
            <w:r>
              <w:rPr>
                <w:rFonts w:hint="eastAsia" w:ascii="Times New Roman" w:hAnsi="Times New Roman" w:eastAsia="宋体" w:cs="Times New Roman"/>
                <w:color w:val="auto"/>
                <w:sz w:val="22"/>
                <w:szCs w:val="24"/>
                <w:vertAlign w:val="superscript"/>
                <w:lang w:eastAsia="zh-CN"/>
              </w:rPr>
              <w:t>3</w:t>
            </w:r>
            <w:r>
              <w:rPr>
                <w:rFonts w:ascii="Times New Roman" w:hAnsi="Times New Roman" w:eastAsia="宋体" w:cs="Times New Roman"/>
                <w:color w:val="auto"/>
                <w:sz w:val="22"/>
                <w:szCs w:val="24"/>
              </w:rPr>
              <w:t>）</w:t>
            </w:r>
          </w:p>
        </w:tc>
        <w:tc>
          <w:tcPr>
            <w:tcW w:w="922" w:type="pct"/>
            <w:vAlign w:val="center"/>
          </w:tcPr>
          <w:p w14:paraId="65CF0CA4">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4</w:t>
            </w:r>
            <w:r>
              <w:rPr>
                <w:rFonts w:ascii="Times New Roman" w:hAnsi="Times New Roman" w:eastAsia="宋体" w:cs="Times New Roman"/>
                <w:color w:val="auto"/>
                <w:sz w:val="22"/>
                <w:szCs w:val="24"/>
              </w:rPr>
              <w:t>0（ug/</w:t>
            </w:r>
            <w:r>
              <w:rPr>
                <w:rFonts w:hint="eastAsia" w:ascii="Times New Roman" w:hAnsi="Times New Roman" w:eastAsia="宋体" w:cs="Times New Roman"/>
                <w:color w:val="auto"/>
                <w:sz w:val="22"/>
                <w:szCs w:val="24"/>
                <w:lang w:eastAsia="zh-CN"/>
              </w:rPr>
              <w:t>m</w:t>
            </w:r>
            <w:r>
              <w:rPr>
                <w:rFonts w:hint="eastAsia" w:ascii="Times New Roman" w:hAnsi="Times New Roman" w:eastAsia="宋体" w:cs="Times New Roman"/>
                <w:color w:val="auto"/>
                <w:sz w:val="22"/>
                <w:szCs w:val="24"/>
                <w:vertAlign w:val="superscript"/>
                <w:lang w:eastAsia="zh-CN"/>
              </w:rPr>
              <w:t>3</w:t>
            </w:r>
            <w:r>
              <w:rPr>
                <w:rFonts w:ascii="Times New Roman" w:hAnsi="Times New Roman" w:eastAsia="宋体" w:cs="Times New Roman"/>
                <w:color w:val="auto"/>
                <w:sz w:val="22"/>
                <w:szCs w:val="24"/>
              </w:rPr>
              <w:t>）</w:t>
            </w:r>
          </w:p>
        </w:tc>
        <w:tc>
          <w:tcPr>
            <w:tcW w:w="1316" w:type="pct"/>
            <w:vMerge w:val="continue"/>
            <w:vAlign w:val="center"/>
          </w:tcPr>
          <w:p w14:paraId="5324EB82">
            <w:pPr>
              <w:jc w:val="center"/>
              <w:rPr>
                <w:rFonts w:ascii="Times New Roman" w:hAnsi="Times New Roman" w:eastAsia="宋体" w:cs="Times New Roman"/>
                <w:color w:val="FF0000"/>
                <w:sz w:val="22"/>
                <w:szCs w:val="24"/>
              </w:rPr>
            </w:pPr>
          </w:p>
        </w:tc>
      </w:tr>
      <w:tr w14:paraId="47791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3" w:type="pct"/>
            <w:vMerge w:val="continue"/>
            <w:vAlign w:val="center"/>
          </w:tcPr>
          <w:p w14:paraId="2365E524">
            <w:pPr>
              <w:jc w:val="center"/>
              <w:rPr>
                <w:rFonts w:ascii="Times New Roman" w:hAnsi="Times New Roman" w:eastAsia="宋体" w:cs="Times New Roman"/>
                <w:color w:val="auto"/>
                <w:sz w:val="22"/>
                <w:szCs w:val="24"/>
              </w:rPr>
            </w:pPr>
          </w:p>
        </w:tc>
        <w:tc>
          <w:tcPr>
            <w:tcW w:w="888" w:type="pct"/>
            <w:vAlign w:val="center"/>
          </w:tcPr>
          <w:p w14:paraId="17144EF4">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lang w:val="en-GB"/>
              </w:rPr>
              <w:t>日平均</w:t>
            </w:r>
          </w:p>
        </w:tc>
        <w:tc>
          <w:tcPr>
            <w:tcW w:w="970" w:type="pct"/>
            <w:vAlign w:val="center"/>
          </w:tcPr>
          <w:p w14:paraId="012594F3">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80</w:t>
            </w:r>
            <w:r>
              <w:rPr>
                <w:rFonts w:ascii="Times New Roman" w:hAnsi="Times New Roman" w:eastAsia="宋体" w:cs="Times New Roman"/>
                <w:color w:val="auto"/>
                <w:sz w:val="22"/>
                <w:szCs w:val="24"/>
              </w:rPr>
              <w:t>（ug/</w:t>
            </w:r>
            <w:r>
              <w:rPr>
                <w:rFonts w:hint="eastAsia" w:ascii="Times New Roman" w:hAnsi="Times New Roman" w:eastAsia="宋体" w:cs="Times New Roman"/>
                <w:color w:val="auto"/>
                <w:sz w:val="22"/>
                <w:szCs w:val="24"/>
                <w:lang w:eastAsia="zh-CN"/>
              </w:rPr>
              <w:t>m</w:t>
            </w:r>
            <w:r>
              <w:rPr>
                <w:rFonts w:hint="eastAsia" w:ascii="Times New Roman" w:hAnsi="Times New Roman" w:eastAsia="宋体" w:cs="Times New Roman"/>
                <w:color w:val="auto"/>
                <w:sz w:val="22"/>
                <w:szCs w:val="24"/>
                <w:vertAlign w:val="superscript"/>
                <w:lang w:eastAsia="zh-CN"/>
              </w:rPr>
              <w:t>3</w:t>
            </w:r>
            <w:r>
              <w:rPr>
                <w:rFonts w:ascii="Times New Roman" w:hAnsi="Times New Roman" w:eastAsia="宋体" w:cs="Times New Roman"/>
                <w:color w:val="auto"/>
                <w:sz w:val="22"/>
                <w:szCs w:val="24"/>
              </w:rPr>
              <w:t>）</w:t>
            </w:r>
          </w:p>
        </w:tc>
        <w:tc>
          <w:tcPr>
            <w:tcW w:w="922" w:type="pct"/>
            <w:vAlign w:val="center"/>
          </w:tcPr>
          <w:p w14:paraId="19CFEB7F">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80</w:t>
            </w:r>
            <w:r>
              <w:rPr>
                <w:rFonts w:ascii="Times New Roman" w:hAnsi="Times New Roman" w:eastAsia="宋体" w:cs="Times New Roman"/>
                <w:color w:val="auto"/>
                <w:sz w:val="22"/>
                <w:szCs w:val="24"/>
              </w:rPr>
              <w:t>（ug/</w:t>
            </w:r>
            <w:r>
              <w:rPr>
                <w:rFonts w:hint="eastAsia" w:ascii="Times New Roman" w:hAnsi="Times New Roman" w:eastAsia="宋体" w:cs="Times New Roman"/>
                <w:color w:val="auto"/>
                <w:sz w:val="22"/>
                <w:szCs w:val="24"/>
                <w:lang w:eastAsia="zh-CN"/>
              </w:rPr>
              <w:t>m</w:t>
            </w:r>
            <w:r>
              <w:rPr>
                <w:rFonts w:hint="eastAsia" w:ascii="Times New Roman" w:hAnsi="Times New Roman" w:eastAsia="宋体" w:cs="Times New Roman"/>
                <w:color w:val="auto"/>
                <w:sz w:val="22"/>
                <w:szCs w:val="24"/>
                <w:vertAlign w:val="superscript"/>
                <w:lang w:eastAsia="zh-CN"/>
              </w:rPr>
              <w:t>3</w:t>
            </w:r>
            <w:r>
              <w:rPr>
                <w:rFonts w:ascii="Times New Roman" w:hAnsi="Times New Roman" w:eastAsia="宋体" w:cs="Times New Roman"/>
                <w:color w:val="auto"/>
                <w:sz w:val="22"/>
                <w:szCs w:val="24"/>
              </w:rPr>
              <w:t>）</w:t>
            </w:r>
          </w:p>
        </w:tc>
        <w:tc>
          <w:tcPr>
            <w:tcW w:w="1316" w:type="pct"/>
            <w:vMerge w:val="continue"/>
            <w:vAlign w:val="center"/>
          </w:tcPr>
          <w:p w14:paraId="588A29F9">
            <w:pPr>
              <w:jc w:val="center"/>
              <w:rPr>
                <w:rFonts w:ascii="Times New Roman" w:hAnsi="Times New Roman" w:eastAsia="宋体" w:cs="Times New Roman"/>
                <w:color w:val="FF0000"/>
                <w:sz w:val="22"/>
                <w:szCs w:val="24"/>
              </w:rPr>
            </w:pPr>
          </w:p>
        </w:tc>
      </w:tr>
      <w:tr w14:paraId="3BACA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3" w:type="pct"/>
            <w:vMerge w:val="continue"/>
            <w:vAlign w:val="center"/>
          </w:tcPr>
          <w:p w14:paraId="0C2862EB">
            <w:pPr>
              <w:jc w:val="center"/>
              <w:rPr>
                <w:rFonts w:ascii="Times New Roman" w:hAnsi="Times New Roman" w:eastAsia="宋体" w:cs="Times New Roman"/>
                <w:color w:val="auto"/>
                <w:sz w:val="22"/>
                <w:szCs w:val="24"/>
              </w:rPr>
            </w:pPr>
          </w:p>
        </w:tc>
        <w:tc>
          <w:tcPr>
            <w:tcW w:w="888" w:type="pct"/>
            <w:vAlign w:val="center"/>
          </w:tcPr>
          <w:p w14:paraId="04679064">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1小时平均</w:t>
            </w:r>
          </w:p>
        </w:tc>
        <w:tc>
          <w:tcPr>
            <w:tcW w:w="970" w:type="pct"/>
            <w:vAlign w:val="center"/>
          </w:tcPr>
          <w:p w14:paraId="141AF697">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200</w:t>
            </w:r>
            <w:r>
              <w:rPr>
                <w:rFonts w:ascii="Times New Roman" w:hAnsi="Times New Roman" w:eastAsia="宋体" w:cs="Times New Roman"/>
                <w:color w:val="auto"/>
                <w:sz w:val="22"/>
                <w:szCs w:val="24"/>
              </w:rPr>
              <w:t>（ug/</w:t>
            </w:r>
            <w:r>
              <w:rPr>
                <w:rFonts w:hint="eastAsia" w:ascii="Times New Roman" w:hAnsi="Times New Roman" w:eastAsia="宋体" w:cs="Times New Roman"/>
                <w:color w:val="auto"/>
                <w:sz w:val="22"/>
                <w:szCs w:val="24"/>
                <w:lang w:eastAsia="zh-CN"/>
              </w:rPr>
              <w:t>m</w:t>
            </w:r>
            <w:r>
              <w:rPr>
                <w:rFonts w:hint="eastAsia" w:ascii="Times New Roman" w:hAnsi="Times New Roman" w:eastAsia="宋体" w:cs="Times New Roman"/>
                <w:color w:val="auto"/>
                <w:sz w:val="22"/>
                <w:szCs w:val="24"/>
                <w:vertAlign w:val="superscript"/>
                <w:lang w:eastAsia="zh-CN"/>
              </w:rPr>
              <w:t>3</w:t>
            </w:r>
            <w:r>
              <w:rPr>
                <w:rFonts w:ascii="Times New Roman" w:hAnsi="Times New Roman" w:eastAsia="宋体" w:cs="Times New Roman"/>
                <w:color w:val="auto"/>
                <w:sz w:val="22"/>
                <w:szCs w:val="24"/>
              </w:rPr>
              <w:t>）</w:t>
            </w:r>
          </w:p>
        </w:tc>
        <w:tc>
          <w:tcPr>
            <w:tcW w:w="922" w:type="pct"/>
            <w:vAlign w:val="center"/>
          </w:tcPr>
          <w:p w14:paraId="6972C36A">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200</w:t>
            </w:r>
            <w:r>
              <w:rPr>
                <w:rFonts w:ascii="Times New Roman" w:hAnsi="Times New Roman" w:eastAsia="宋体" w:cs="Times New Roman"/>
                <w:color w:val="auto"/>
                <w:sz w:val="22"/>
                <w:szCs w:val="24"/>
              </w:rPr>
              <w:t>（ug/</w:t>
            </w:r>
            <w:r>
              <w:rPr>
                <w:rFonts w:hint="eastAsia" w:ascii="Times New Roman" w:hAnsi="Times New Roman" w:eastAsia="宋体" w:cs="Times New Roman"/>
                <w:color w:val="auto"/>
                <w:sz w:val="22"/>
                <w:szCs w:val="24"/>
                <w:lang w:eastAsia="zh-CN"/>
              </w:rPr>
              <w:t>m</w:t>
            </w:r>
            <w:r>
              <w:rPr>
                <w:rFonts w:hint="eastAsia" w:ascii="Times New Roman" w:hAnsi="Times New Roman" w:eastAsia="宋体" w:cs="Times New Roman"/>
                <w:color w:val="auto"/>
                <w:sz w:val="22"/>
                <w:szCs w:val="24"/>
                <w:vertAlign w:val="superscript"/>
                <w:lang w:eastAsia="zh-CN"/>
              </w:rPr>
              <w:t>3</w:t>
            </w:r>
            <w:r>
              <w:rPr>
                <w:rFonts w:ascii="Times New Roman" w:hAnsi="Times New Roman" w:eastAsia="宋体" w:cs="Times New Roman"/>
                <w:color w:val="auto"/>
                <w:sz w:val="22"/>
                <w:szCs w:val="24"/>
              </w:rPr>
              <w:t>）</w:t>
            </w:r>
          </w:p>
        </w:tc>
        <w:tc>
          <w:tcPr>
            <w:tcW w:w="1316" w:type="pct"/>
            <w:vMerge w:val="continue"/>
            <w:vAlign w:val="center"/>
          </w:tcPr>
          <w:p w14:paraId="72BF9B10">
            <w:pPr>
              <w:jc w:val="center"/>
              <w:rPr>
                <w:rFonts w:ascii="Times New Roman" w:hAnsi="Times New Roman" w:eastAsia="宋体" w:cs="Times New Roman"/>
                <w:color w:val="FF0000"/>
                <w:sz w:val="22"/>
                <w:szCs w:val="24"/>
              </w:rPr>
            </w:pPr>
          </w:p>
        </w:tc>
      </w:tr>
      <w:tr w14:paraId="4B5A5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3" w:type="pct"/>
            <w:vMerge w:val="restart"/>
            <w:vAlign w:val="center"/>
          </w:tcPr>
          <w:p w14:paraId="68C38D90">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PM</w:t>
            </w:r>
            <w:r>
              <w:rPr>
                <w:rFonts w:hint="eastAsia" w:ascii="Times New Roman" w:hAnsi="Times New Roman" w:eastAsia="宋体" w:cs="Times New Roman"/>
                <w:color w:val="auto"/>
                <w:sz w:val="22"/>
                <w:szCs w:val="24"/>
                <w:vertAlign w:val="subscript"/>
              </w:rPr>
              <w:t>10</w:t>
            </w:r>
          </w:p>
        </w:tc>
        <w:tc>
          <w:tcPr>
            <w:tcW w:w="888" w:type="pct"/>
            <w:vAlign w:val="center"/>
          </w:tcPr>
          <w:p w14:paraId="311AC918">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年平均</w:t>
            </w:r>
          </w:p>
        </w:tc>
        <w:tc>
          <w:tcPr>
            <w:tcW w:w="970" w:type="pct"/>
            <w:vAlign w:val="center"/>
          </w:tcPr>
          <w:p w14:paraId="6BA17A41">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40</w:t>
            </w:r>
            <w:r>
              <w:rPr>
                <w:rFonts w:ascii="Times New Roman" w:hAnsi="Times New Roman" w:eastAsia="宋体" w:cs="Times New Roman"/>
                <w:color w:val="auto"/>
                <w:sz w:val="22"/>
                <w:szCs w:val="24"/>
              </w:rPr>
              <w:t>（ug/</w:t>
            </w:r>
            <w:r>
              <w:rPr>
                <w:rFonts w:hint="eastAsia" w:ascii="Times New Roman" w:hAnsi="Times New Roman" w:eastAsia="宋体" w:cs="Times New Roman"/>
                <w:color w:val="auto"/>
                <w:sz w:val="22"/>
                <w:szCs w:val="24"/>
                <w:lang w:eastAsia="zh-CN"/>
              </w:rPr>
              <w:t>m</w:t>
            </w:r>
            <w:r>
              <w:rPr>
                <w:rFonts w:hint="eastAsia" w:ascii="Times New Roman" w:hAnsi="Times New Roman" w:eastAsia="宋体" w:cs="Times New Roman"/>
                <w:color w:val="auto"/>
                <w:sz w:val="22"/>
                <w:szCs w:val="24"/>
                <w:vertAlign w:val="superscript"/>
                <w:lang w:eastAsia="zh-CN"/>
              </w:rPr>
              <w:t>3</w:t>
            </w:r>
            <w:r>
              <w:rPr>
                <w:rFonts w:ascii="Times New Roman" w:hAnsi="Times New Roman" w:eastAsia="宋体" w:cs="Times New Roman"/>
                <w:color w:val="auto"/>
                <w:sz w:val="22"/>
                <w:szCs w:val="24"/>
              </w:rPr>
              <w:t>）</w:t>
            </w:r>
          </w:p>
        </w:tc>
        <w:tc>
          <w:tcPr>
            <w:tcW w:w="922" w:type="pct"/>
            <w:vAlign w:val="center"/>
          </w:tcPr>
          <w:p w14:paraId="2CDBF5F8">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7</w:t>
            </w:r>
            <w:r>
              <w:rPr>
                <w:rFonts w:ascii="Times New Roman" w:hAnsi="Times New Roman" w:eastAsia="宋体" w:cs="Times New Roman"/>
                <w:color w:val="auto"/>
                <w:sz w:val="22"/>
                <w:szCs w:val="24"/>
              </w:rPr>
              <w:t>0（ug/</w:t>
            </w:r>
            <w:r>
              <w:rPr>
                <w:rFonts w:hint="eastAsia" w:ascii="Times New Roman" w:hAnsi="Times New Roman" w:eastAsia="宋体" w:cs="Times New Roman"/>
                <w:color w:val="auto"/>
                <w:sz w:val="22"/>
                <w:szCs w:val="24"/>
                <w:lang w:eastAsia="zh-CN"/>
              </w:rPr>
              <w:t>m</w:t>
            </w:r>
            <w:r>
              <w:rPr>
                <w:rFonts w:hint="eastAsia" w:ascii="Times New Roman" w:hAnsi="Times New Roman" w:eastAsia="宋体" w:cs="Times New Roman"/>
                <w:color w:val="auto"/>
                <w:sz w:val="22"/>
                <w:szCs w:val="24"/>
                <w:vertAlign w:val="superscript"/>
                <w:lang w:eastAsia="zh-CN"/>
              </w:rPr>
              <w:t>3</w:t>
            </w:r>
            <w:r>
              <w:rPr>
                <w:rFonts w:ascii="Times New Roman" w:hAnsi="Times New Roman" w:eastAsia="宋体" w:cs="Times New Roman"/>
                <w:color w:val="auto"/>
                <w:sz w:val="22"/>
                <w:szCs w:val="24"/>
              </w:rPr>
              <w:t>）</w:t>
            </w:r>
          </w:p>
        </w:tc>
        <w:tc>
          <w:tcPr>
            <w:tcW w:w="1316" w:type="pct"/>
            <w:vMerge w:val="continue"/>
            <w:vAlign w:val="center"/>
          </w:tcPr>
          <w:p w14:paraId="0D77E35E">
            <w:pPr>
              <w:jc w:val="center"/>
              <w:rPr>
                <w:rFonts w:ascii="Times New Roman" w:hAnsi="Times New Roman" w:eastAsia="宋体" w:cs="Times New Roman"/>
                <w:color w:val="FF0000"/>
                <w:sz w:val="22"/>
                <w:szCs w:val="24"/>
              </w:rPr>
            </w:pPr>
          </w:p>
        </w:tc>
      </w:tr>
      <w:tr w14:paraId="615FB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3" w:type="pct"/>
            <w:vMerge w:val="continue"/>
            <w:vAlign w:val="center"/>
          </w:tcPr>
          <w:p w14:paraId="62CC9082">
            <w:pPr>
              <w:jc w:val="center"/>
              <w:rPr>
                <w:rFonts w:ascii="Times New Roman" w:hAnsi="Times New Roman" w:eastAsia="宋体" w:cs="Times New Roman"/>
                <w:color w:val="auto"/>
                <w:sz w:val="22"/>
                <w:szCs w:val="24"/>
              </w:rPr>
            </w:pPr>
          </w:p>
        </w:tc>
        <w:tc>
          <w:tcPr>
            <w:tcW w:w="888" w:type="pct"/>
            <w:vAlign w:val="center"/>
          </w:tcPr>
          <w:p w14:paraId="5CD0B16D">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lang w:val="en-GB"/>
              </w:rPr>
              <w:t>日平均</w:t>
            </w:r>
          </w:p>
        </w:tc>
        <w:tc>
          <w:tcPr>
            <w:tcW w:w="970" w:type="pct"/>
            <w:vAlign w:val="center"/>
          </w:tcPr>
          <w:p w14:paraId="4D339982">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50</w:t>
            </w:r>
            <w:r>
              <w:rPr>
                <w:rFonts w:ascii="Times New Roman" w:hAnsi="Times New Roman" w:eastAsia="宋体" w:cs="Times New Roman"/>
                <w:color w:val="auto"/>
                <w:sz w:val="22"/>
                <w:szCs w:val="24"/>
              </w:rPr>
              <w:t>（ug/</w:t>
            </w:r>
            <w:r>
              <w:rPr>
                <w:rFonts w:hint="eastAsia" w:ascii="Times New Roman" w:hAnsi="Times New Roman" w:eastAsia="宋体" w:cs="Times New Roman"/>
                <w:color w:val="auto"/>
                <w:sz w:val="22"/>
                <w:szCs w:val="24"/>
                <w:lang w:eastAsia="zh-CN"/>
              </w:rPr>
              <w:t>m</w:t>
            </w:r>
            <w:r>
              <w:rPr>
                <w:rFonts w:hint="eastAsia" w:ascii="Times New Roman" w:hAnsi="Times New Roman" w:eastAsia="宋体" w:cs="Times New Roman"/>
                <w:color w:val="auto"/>
                <w:sz w:val="22"/>
                <w:szCs w:val="24"/>
                <w:vertAlign w:val="superscript"/>
                <w:lang w:eastAsia="zh-CN"/>
              </w:rPr>
              <w:t>3</w:t>
            </w:r>
            <w:r>
              <w:rPr>
                <w:rFonts w:ascii="Times New Roman" w:hAnsi="Times New Roman" w:eastAsia="宋体" w:cs="Times New Roman"/>
                <w:color w:val="auto"/>
                <w:sz w:val="22"/>
                <w:szCs w:val="24"/>
              </w:rPr>
              <w:t>）</w:t>
            </w:r>
          </w:p>
        </w:tc>
        <w:tc>
          <w:tcPr>
            <w:tcW w:w="922" w:type="pct"/>
            <w:vAlign w:val="center"/>
          </w:tcPr>
          <w:p w14:paraId="4F94F42E">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150</w:t>
            </w:r>
            <w:r>
              <w:rPr>
                <w:rFonts w:ascii="Times New Roman" w:hAnsi="Times New Roman" w:eastAsia="宋体" w:cs="Times New Roman"/>
                <w:color w:val="auto"/>
                <w:sz w:val="22"/>
                <w:szCs w:val="24"/>
              </w:rPr>
              <w:t>（ug/</w:t>
            </w:r>
            <w:r>
              <w:rPr>
                <w:rFonts w:hint="eastAsia" w:ascii="Times New Roman" w:hAnsi="Times New Roman" w:eastAsia="宋体" w:cs="Times New Roman"/>
                <w:color w:val="auto"/>
                <w:sz w:val="22"/>
                <w:szCs w:val="24"/>
                <w:lang w:eastAsia="zh-CN"/>
              </w:rPr>
              <w:t>m</w:t>
            </w:r>
            <w:r>
              <w:rPr>
                <w:rFonts w:hint="eastAsia" w:ascii="Times New Roman" w:hAnsi="Times New Roman" w:eastAsia="宋体" w:cs="Times New Roman"/>
                <w:color w:val="auto"/>
                <w:sz w:val="22"/>
                <w:szCs w:val="24"/>
                <w:vertAlign w:val="superscript"/>
                <w:lang w:eastAsia="zh-CN"/>
              </w:rPr>
              <w:t>3</w:t>
            </w:r>
            <w:r>
              <w:rPr>
                <w:rFonts w:ascii="Times New Roman" w:hAnsi="Times New Roman" w:eastAsia="宋体" w:cs="Times New Roman"/>
                <w:color w:val="auto"/>
                <w:sz w:val="22"/>
                <w:szCs w:val="24"/>
              </w:rPr>
              <w:t>）</w:t>
            </w:r>
          </w:p>
        </w:tc>
        <w:tc>
          <w:tcPr>
            <w:tcW w:w="1316" w:type="pct"/>
            <w:vMerge w:val="continue"/>
            <w:vAlign w:val="center"/>
          </w:tcPr>
          <w:p w14:paraId="20686E64">
            <w:pPr>
              <w:jc w:val="center"/>
              <w:rPr>
                <w:rFonts w:ascii="Times New Roman" w:hAnsi="Times New Roman" w:eastAsia="宋体" w:cs="Times New Roman"/>
                <w:color w:val="FF0000"/>
                <w:sz w:val="22"/>
                <w:szCs w:val="24"/>
              </w:rPr>
            </w:pPr>
          </w:p>
        </w:tc>
      </w:tr>
      <w:tr w14:paraId="68167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3" w:type="pct"/>
            <w:vMerge w:val="restart"/>
            <w:vAlign w:val="center"/>
          </w:tcPr>
          <w:p w14:paraId="3034614F">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P</w:t>
            </w:r>
            <w:r>
              <w:rPr>
                <w:rFonts w:hint="eastAsia" w:ascii="Times New Roman" w:hAnsi="Times New Roman" w:eastAsia="宋体" w:cs="Times New Roman"/>
                <w:color w:val="auto"/>
                <w:sz w:val="22"/>
                <w:szCs w:val="24"/>
                <w:lang w:eastAsia="zh-CN"/>
              </w:rPr>
              <w:t>m</w:t>
            </w:r>
            <w:r>
              <w:rPr>
                <w:rFonts w:hint="eastAsia" w:ascii="Times New Roman" w:hAnsi="Times New Roman" w:eastAsia="宋体" w:cs="Times New Roman"/>
                <w:color w:val="auto"/>
                <w:sz w:val="22"/>
                <w:szCs w:val="24"/>
                <w:vertAlign w:val="superscript"/>
                <w:lang w:eastAsia="zh-CN"/>
              </w:rPr>
              <w:t>2</w:t>
            </w:r>
            <w:r>
              <w:rPr>
                <w:rFonts w:hint="eastAsia" w:ascii="Times New Roman" w:hAnsi="Times New Roman" w:eastAsia="宋体" w:cs="Times New Roman"/>
                <w:color w:val="auto"/>
                <w:sz w:val="22"/>
                <w:szCs w:val="24"/>
                <w:vertAlign w:val="subscript"/>
              </w:rPr>
              <w:t>.5</w:t>
            </w:r>
          </w:p>
        </w:tc>
        <w:tc>
          <w:tcPr>
            <w:tcW w:w="888" w:type="pct"/>
            <w:vAlign w:val="center"/>
          </w:tcPr>
          <w:p w14:paraId="6485D064">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年</w:t>
            </w:r>
            <w:r>
              <w:rPr>
                <w:rFonts w:ascii="Times New Roman" w:hAnsi="Times New Roman" w:eastAsia="宋体" w:cs="Times New Roman"/>
                <w:color w:val="auto"/>
                <w:sz w:val="22"/>
                <w:szCs w:val="24"/>
                <w:lang w:val="en-GB"/>
              </w:rPr>
              <w:t>平均</w:t>
            </w:r>
          </w:p>
        </w:tc>
        <w:tc>
          <w:tcPr>
            <w:tcW w:w="970" w:type="pct"/>
            <w:vAlign w:val="center"/>
          </w:tcPr>
          <w:p w14:paraId="7C986B1C">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15</w:t>
            </w:r>
            <w:r>
              <w:rPr>
                <w:rFonts w:ascii="Times New Roman" w:hAnsi="Times New Roman" w:eastAsia="宋体" w:cs="Times New Roman"/>
                <w:color w:val="auto"/>
                <w:sz w:val="22"/>
                <w:szCs w:val="24"/>
              </w:rPr>
              <w:t>（ug/</w:t>
            </w:r>
            <w:r>
              <w:rPr>
                <w:rFonts w:hint="eastAsia" w:ascii="Times New Roman" w:hAnsi="Times New Roman" w:eastAsia="宋体" w:cs="Times New Roman"/>
                <w:color w:val="auto"/>
                <w:sz w:val="22"/>
                <w:szCs w:val="24"/>
                <w:lang w:eastAsia="zh-CN"/>
              </w:rPr>
              <w:t>m</w:t>
            </w:r>
            <w:r>
              <w:rPr>
                <w:rFonts w:hint="eastAsia" w:ascii="Times New Roman" w:hAnsi="Times New Roman" w:eastAsia="宋体" w:cs="Times New Roman"/>
                <w:color w:val="auto"/>
                <w:sz w:val="22"/>
                <w:szCs w:val="24"/>
                <w:vertAlign w:val="superscript"/>
                <w:lang w:eastAsia="zh-CN"/>
              </w:rPr>
              <w:t>3</w:t>
            </w:r>
            <w:r>
              <w:rPr>
                <w:rFonts w:ascii="Times New Roman" w:hAnsi="Times New Roman" w:eastAsia="宋体" w:cs="Times New Roman"/>
                <w:color w:val="auto"/>
                <w:sz w:val="22"/>
                <w:szCs w:val="24"/>
              </w:rPr>
              <w:t>）</w:t>
            </w:r>
          </w:p>
        </w:tc>
        <w:tc>
          <w:tcPr>
            <w:tcW w:w="922" w:type="pct"/>
            <w:vAlign w:val="center"/>
          </w:tcPr>
          <w:p w14:paraId="7E5208C1">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3</w:t>
            </w:r>
            <w:r>
              <w:rPr>
                <w:rFonts w:ascii="Times New Roman" w:hAnsi="Times New Roman" w:eastAsia="宋体" w:cs="Times New Roman"/>
                <w:color w:val="auto"/>
                <w:sz w:val="22"/>
                <w:szCs w:val="24"/>
              </w:rPr>
              <w:t>5（ug/</w:t>
            </w:r>
            <w:r>
              <w:rPr>
                <w:rFonts w:hint="eastAsia" w:ascii="Times New Roman" w:hAnsi="Times New Roman" w:eastAsia="宋体" w:cs="Times New Roman"/>
                <w:color w:val="auto"/>
                <w:sz w:val="22"/>
                <w:szCs w:val="24"/>
                <w:lang w:eastAsia="zh-CN"/>
              </w:rPr>
              <w:t>m</w:t>
            </w:r>
            <w:r>
              <w:rPr>
                <w:rFonts w:hint="eastAsia" w:ascii="Times New Roman" w:hAnsi="Times New Roman" w:eastAsia="宋体" w:cs="Times New Roman"/>
                <w:color w:val="auto"/>
                <w:sz w:val="22"/>
                <w:szCs w:val="24"/>
                <w:vertAlign w:val="superscript"/>
                <w:lang w:eastAsia="zh-CN"/>
              </w:rPr>
              <w:t>3</w:t>
            </w:r>
            <w:r>
              <w:rPr>
                <w:rFonts w:ascii="Times New Roman" w:hAnsi="Times New Roman" w:eastAsia="宋体" w:cs="Times New Roman"/>
                <w:color w:val="auto"/>
                <w:sz w:val="22"/>
                <w:szCs w:val="24"/>
              </w:rPr>
              <w:t>）</w:t>
            </w:r>
          </w:p>
        </w:tc>
        <w:tc>
          <w:tcPr>
            <w:tcW w:w="1316" w:type="pct"/>
            <w:vMerge w:val="continue"/>
            <w:vAlign w:val="center"/>
          </w:tcPr>
          <w:p w14:paraId="2C26D06C">
            <w:pPr>
              <w:jc w:val="center"/>
              <w:rPr>
                <w:rFonts w:ascii="Times New Roman" w:hAnsi="Times New Roman" w:eastAsia="宋体" w:cs="Times New Roman"/>
                <w:color w:val="FF0000"/>
                <w:sz w:val="22"/>
                <w:szCs w:val="24"/>
              </w:rPr>
            </w:pPr>
          </w:p>
        </w:tc>
      </w:tr>
      <w:tr w14:paraId="520A3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3" w:type="pct"/>
            <w:vMerge w:val="continue"/>
            <w:vAlign w:val="center"/>
          </w:tcPr>
          <w:p w14:paraId="42356B07">
            <w:pPr>
              <w:jc w:val="center"/>
              <w:rPr>
                <w:rFonts w:ascii="Times New Roman" w:hAnsi="Times New Roman" w:eastAsia="宋体" w:cs="Times New Roman"/>
                <w:color w:val="auto"/>
                <w:sz w:val="22"/>
                <w:szCs w:val="24"/>
              </w:rPr>
            </w:pPr>
          </w:p>
        </w:tc>
        <w:tc>
          <w:tcPr>
            <w:tcW w:w="888" w:type="pct"/>
            <w:vAlign w:val="center"/>
          </w:tcPr>
          <w:p w14:paraId="1657C888">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lang w:val="en-GB"/>
              </w:rPr>
              <w:t>日平均</w:t>
            </w:r>
          </w:p>
        </w:tc>
        <w:tc>
          <w:tcPr>
            <w:tcW w:w="970" w:type="pct"/>
            <w:vAlign w:val="center"/>
          </w:tcPr>
          <w:p w14:paraId="40B4CCD8">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35</w:t>
            </w:r>
            <w:r>
              <w:rPr>
                <w:rFonts w:ascii="Times New Roman" w:hAnsi="Times New Roman" w:eastAsia="宋体" w:cs="Times New Roman"/>
                <w:color w:val="auto"/>
                <w:sz w:val="22"/>
                <w:szCs w:val="24"/>
              </w:rPr>
              <w:t>（ug/</w:t>
            </w:r>
            <w:r>
              <w:rPr>
                <w:rFonts w:hint="eastAsia" w:ascii="Times New Roman" w:hAnsi="Times New Roman" w:eastAsia="宋体" w:cs="Times New Roman"/>
                <w:color w:val="auto"/>
                <w:sz w:val="22"/>
                <w:szCs w:val="24"/>
                <w:lang w:eastAsia="zh-CN"/>
              </w:rPr>
              <w:t>m</w:t>
            </w:r>
            <w:r>
              <w:rPr>
                <w:rFonts w:hint="eastAsia" w:ascii="Times New Roman" w:hAnsi="Times New Roman" w:eastAsia="宋体" w:cs="Times New Roman"/>
                <w:color w:val="auto"/>
                <w:sz w:val="22"/>
                <w:szCs w:val="24"/>
                <w:vertAlign w:val="superscript"/>
                <w:lang w:eastAsia="zh-CN"/>
              </w:rPr>
              <w:t>3</w:t>
            </w:r>
            <w:r>
              <w:rPr>
                <w:rFonts w:ascii="Times New Roman" w:hAnsi="Times New Roman" w:eastAsia="宋体" w:cs="Times New Roman"/>
                <w:color w:val="auto"/>
                <w:sz w:val="22"/>
                <w:szCs w:val="24"/>
              </w:rPr>
              <w:t>）</w:t>
            </w:r>
          </w:p>
        </w:tc>
        <w:tc>
          <w:tcPr>
            <w:tcW w:w="922" w:type="pct"/>
            <w:vAlign w:val="center"/>
          </w:tcPr>
          <w:p w14:paraId="73234039">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75</w:t>
            </w:r>
            <w:r>
              <w:rPr>
                <w:rFonts w:ascii="Times New Roman" w:hAnsi="Times New Roman" w:eastAsia="宋体" w:cs="Times New Roman"/>
                <w:color w:val="auto"/>
                <w:sz w:val="22"/>
                <w:szCs w:val="24"/>
              </w:rPr>
              <w:t>（ug/</w:t>
            </w:r>
            <w:r>
              <w:rPr>
                <w:rFonts w:hint="eastAsia" w:ascii="Times New Roman" w:hAnsi="Times New Roman" w:eastAsia="宋体" w:cs="Times New Roman"/>
                <w:color w:val="auto"/>
                <w:sz w:val="22"/>
                <w:szCs w:val="24"/>
                <w:lang w:eastAsia="zh-CN"/>
              </w:rPr>
              <w:t>m</w:t>
            </w:r>
            <w:r>
              <w:rPr>
                <w:rFonts w:hint="eastAsia" w:ascii="Times New Roman" w:hAnsi="Times New Roman" w:eastAsia="宋体" w:cs="Times New Roman"/>
                <w:color w:val="auto"/>
                <w:sz w:val="22"/>
                <w:szCs w:val="24"/>
                <w:vertAlign w:val="superscript"/>
                <w:lang w:eastAsia="zh-CN"/>
              </w:rPr>
              <w:t>3</w:t>
            </w:r>
            <w:r>
              <w:rPr>
                <w:rFonts w:ascii="Times New Roman" w:hAnsi="Times New Roman" w:eastAsia="宋体" w:cs="Times New Roman"/>
                <w:color w:val="auto"/>
                <w:sz w:val="22"/>
                <w:szCs w:val="24"/>
              </w:rPr>
              <w:t>）</w:t>
            </w:r>
          </w:p>
        </w:tc>
        <w:tc>
          <w:tcPr>
            <w:tcW w:w="1316" w:type="pct"/>
            <w:vMerge w:val="continue"/>
            <w:vAlign w:val="center"/>
          </w:tcPr>
          <w:p w14:paraId="2A63CF08">
            <w:pPr>
              <w:jc w:val="center"/>
              <w:rPr>
                <w:rFonts w:ascii="Times New Roman" w:hAnsi="Times New Roman" w:eastAsia="宋体" w:cs="Times New Roman"/>
                <w:color w:val="FF0000"/>
                <w:sz w:val="22"/>
                <w:szCs w:val="24"/>
              </w:rPr>
            </w:pPr>
          </w:p>
        </w:tc>
      </w:tr>
      <w:tr w14:paraId="7F11B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3" w:type="pct"/>
            <w:vMerge w:val="restart"/>
            <w:vAlign w:val="center"/>
          </w:tcPr>
          <w:p w14:paraId="6CFA628A">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TSP</w:t>
            </w:r>
          </w:p>
        </w:tc>
        <w:tc>
          <w:tcPr>
            <w:tcW w:w="888" w:type="pct"/>
            <w:vAlign w:val="center"/>
          </w:tcPr>
          <w:p w14:paraId="5CA34915">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年</w:t>
            </w:r>
            <w:r>
              <w:rPr>
                <w:rFonts w:ascii="Times New Roman" w:hAnsi="Times New Roman" w:eastAsia="宋体" w:cs="Times New Roman"/>
                <w:color w:val="auto"/>
                <w:sz w:val="22"/>
                <w:szCs w:val="24"/>
                <w:lang w:val="en-GB"/>
              </w:rPr>
              <w:t>平均</w:t>
            </w:r>
          </w:p>
        </w:tc>
        <w:tc>
          <w:tcPr>
            <w:tcW w:w="970" w:type="pct"/>
            <w:vAlign w:val="center"/>
          </w:tcPr>
          <w:p w14:paraId="7F379BB1">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8</w:t>
            </w:r>
            <w:r>
              <w:rPr>
                <w:rFonts w:ascii="Times New Roman" w:hAnsi="Times New Roman" w:eastAsia="宋体" w:cs="Times New Roman"/>
                <w:color w:val="auto"/>
                <w:sz w:val="22"/>
                <w:szCs w:val="24"/>
              </w:rPr>
              <w:t>0（ug/</w:t>
            </w:r>
            <w:r>
              <w:rPr>
                <w:rFonts w:hint="eastAsia" w:ascii="Times New Roman" w:hAnsi="Times New Roman" w:eastAsia="宋体" w:cs="Times New Roman"/>
                <w:color w:val="auto"/>
                <w:sz w:val="22"/>
                <w:szCs w:val="24"/>
                <w:lang w:eastAsia="zh-CN"/>
              </w:rPr>
              <w:t>m</w:t>
            </w:r>
            <w:r>
              <w:rPr>
                <w:rFonts w:hint="eastAsia" w:ascii="Times New Roman" w:hAnsi="Times New Roman" w:eastAsia="宋体" w:cs="Times New Roman"/>
                <w:color w:val="auto"/>
                <w:sz w:val="22"/>
                <w:szCs w:val="24"/>
                <w:vertAlign w:val="superscript"/>
                <w:lang w:eastAsia="zh-CN"/>
              </w:rPr>
              <w:t>3</w:t>
            </w:r>
            <w:r>
              <w:rPr>
                <w:rFonts w:ascii="Times New Roman" w:hAnsi="Times New Roman" w:eastAsia="宋体" w:cs="Times New Roman"/>
                <w:color w:val="auto"/>
                <w:sz w:val="22"/>
                <w:szCs w:val="24"/>
              </w:rPr>
              <w:t>）</w:t>
            </w:r>
          </w:p>
        </w:tc>
        <w:tc>
          <w:tcPr>
            <w:tcW w:w="922" w:type="pct"/>
            <w:vAlign w:val="center"/>
          </w:tcPr>
          <w:p w14:paraId="135CD92D">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2</w:t>
            </w:r>
            <w:r>
              <w:rPr>
                <w:rFonts w:ascii="Times New Roman" w:hAnsi="Times New Roman" w:eastAsia="宋体" w:cs="Times New Roman"/>
                <w:color w:val="auto"/>
                <w:sz w:val="22"/>
                <w:szCs w:val="24"/>
              </w:rPr>
              <w:t>00（ug/</w:t>
            </w:r>
            <w:r>
              <w:rPr>
                <w:rFonts w:hint="eastAsia" w:ascii="Times New Roman" w:hAnsi="Times New Roman" w:eastAsia="宋体" w:cs="Times New Roman"/>
                <w:color w:val="auto"/>
                <w:sz w:val="22"/>
                <w:szCs w:val="24"/>
                <w:lang w:eastAsia="zh-CN"/>
              </w:rPr>
              <w:t>m</w:t>
            </w:r>
            <w:r>
              <w:rPr>
                <w:rFonts w:hint="eastAsia" w:ascii="Times New Roman" w:hAnsi="Times New Roman" w:eastAsia="宋体" w:cs="Times New Roman"/>
                <w:color w:val="auto"/>
                <w:sz w:val="22"/>
                <w:szCs w:val="24"/>
                <w:vertAlign w:val="superscript"/>
                <w:lang w:eastAsia="zh-CN"/>
              </w:rPr>
              <w:t>3</w:t>
            </w:r>
            <w:r>
              <w:rPr>
                <w:rFonts w:ascii="Times New Roman" w:hAnsi="Times New Roman" w:eastAsia="宋体" w:cs="Times New Roman"/>
                <w:color w:val="auto"/>
                <w:sz w:val="22"/>
                <w:szCs w:val="24"/>
              </w:rPr>
              <w:t>）</w:t>
            </w:r>
          </w:p>
        </w:tc>
        <w:tc>
          <w:tcPr>
            <w:tcW w:w="1316" w:type="pct"/>
            <w:vMerge w:val="continue"/>
            <w:vAlign w:val="center"/>
          </w:tcPr>
          <w:p w14:paraId="6C046132">
            <w:pPr>
              <w:jc w:val="center"/>
              <w:rPr>
                <w:rFonts w:ascii="Times New Roman" w:hAnsi="Times New Roman" w:eastAsia="宋体" w:cs="Times New Roman"/>
                <w:color w:val="FF0000"/>
                <w:sz w:val="22"/>
                <w:szCs w:val="24"/>
              </w:rPr>
            </w:pPr>
          </w:p>
        </w:tc>
      </w:tr>
      <w:tr w14:paraId="09A03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3" w:type="pct"/>
            <w:vMerge w:val="continue"/>
            <w:vAlign w:val="center"/>
          </w:tcPr>
          <w:p w14:paraId="64B88934">
            <w:pPr>
              <w:jc w:val="center"/>
              <w:rPr>
                <w:rFonts w:ascii="Times New Roman" w:hAnsi="Times New Roman" w:eastAsia="宋体" w:cs="Times New Roman"/>
                <w:color w:val="auto"/>
                <w:sz w:val="22"/>
                <w:szCs w:val="24"/>
              </w:rPr>
            </w:pPr>
          </w:p>
        </w:tc>
        <w:tc>
          <w:tcPr>
            <w:tcW w:w="888" w:type="pct"/>
            <w:vAlign w:val="center"/>
          </w:tcPr>
          <w:p w14:paraId="16747CEA">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lang w:val="en-GB"/>
              </w:rPr>
              <w:t>日平均</w:t>
            </w:r>
          </w:p>
        </w:tc>
        <w:tc>
          <w:tcPr>
            <w:tcW w:w="970" w:type="pct"/>
            <w:vAlign w:val="center"/>
          </w:tcPr>
          <w:p w14:paraId="0DE8DB80">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120</w:t>
            </w:r>
            <w:r>
              <w:rPr>
                <w:rFonts w:ascii="Times New Roman" w:hAnsi="Times New Roman" w:eastAsia="宋体" w:cs="Times New Roman"/>
                <w:color w:val="auto"/>
                <w:sz w:val="22"/>
                <w:szCs w:val="24"/>
              </w:rPr>
              <w:t>（ug/</w:t>
            </w:r>
            <w:r>
              <w:rPr>
                <w:rFonts w:hint="eastAsia" w:ascii="Times New Roman" w:hAnsi="Times New Roman" w:eastAsia="宋体" w:cs="Times New Roman"/>
                <w:color w:val="auto"/>
                <w:sz w:val="22"/>
                <w:szCs w:val="24"/>
                <w:lang w:eastAsia="zh-CN"/>
              </w:rPr>
              <w:t>m</w:t>
            </w:r>
            <w:r>
              <w:rPr>
                <w:rFonts w:hint="eastAsia" w:ascii="Times New Roman" w:hAnsi="Times New Roman" w:eastAsia="宋体" w:cs="Times New Roman"/>
                <w:color w:val="auto"/>
                <w:sz w:val="22"/>
                <w:szCs w:val="24"/>
                <w:vertAlign w:val="superscript"/>
                <w:lang w:eastAsia="zh-CN"/>
              </w:rPr>
              <w:t>3</w:t>
            </w:r>
            <w:r>
              <w:rPr>
                <w:rFonts w:ascii="Times New Roman" w:hAnsi="Times New Roman" w:eastAsia="宋体" w:cs="Times New Roman"/>
                <w:color w:val="auto"/>
                <w:sz w:val="22"/>
                <w:szCs w:val="24"/>
              </w:rPr>
              <w:t>）</w:t>
            </w:r>
          </w:p>
        </w:tc>
        <w:tc>
          <w:tcPr>
            <w:tcW w:w="922" w:type="pct"/>
            <w:vAlign w:val="center"/>
          </w:tcPr>
          <w:p w14:paraId="393983B5">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300</w:t>
            </w:r>
            <w:r>
              <w:rPr>
                <w:rFonts w:ascii="Times New Roman" w:hAnsi="Times New Roman" w:eastAsia="宋体" w:cs="Times New Roman"/>
                <w:color w:val="auto"/>
                <w:sz w:val="22"/>
                <w:szCs w:val="24"/>
              </w:rPr>
              <w:t>（ug/</w:t>
            </w:r>
            <w:r>
              <w:rPr>
                <w:rFonts w:hint="eastAsia" w:ascii="Times New Roman" w:hAnsi="Times New Roman" w:eastAsia="宋体" w:cs="Times New Roman"/>
                <w:color w:val="auto"/>
                <w:sz w:val="22"/>
                <w:szCs w:val="24"/>
                <w:lang w:eastAsia="zh-CN"/>
              </w:rPr>
              <w:t>m</w:t>
            </w:r>
            <w:r>
              <w:rPr>
                <w:rFonts w:hint="eastAsia" w:ascii="Times New Roman" w:hAnsi="Times New Roman" w:eastAsia="宋体" w:cs="Times New Roman"/>
                <w:color w:val="auto"/>
                <w:sz w:val="22"/>
                <w:szCs w:val="24"/>
                <w:vertAlign w:val="superscript"/>
                <w:lang w:eastAsia="zh-CN"/>
              </w:rPr>
              <w:t>3</w:t>
            </w:r>
            <w:r>
              <w:rPr>
                <w:rFonts w:ascii="Times New Roman" w:hAnsi="Times New Roman" w:eastAsia="宋体" w:cs="Times New Roman"/>
                <w:color w:val="auto"/>
                <w:sz w:val="22"/>
                <w:szCs w:val="24"/>
              </w:rPr>
              <w:t>）</w:t>
            </w:r>
          </w:p>
        </w:tc>
        <w:tc>
          <w:tcPr>
            <w:tcW w:w="1316" w:type="pct"/>
            <w:vMerge w:val="continue"/>
            <w:vAlign w:val="center"/>
          </w:tcPr>
          <w:p w14:paraId="6E7E9828">
            <w:pPr>
              <w:jc w:val="center"/>
              <w:rPr>
                <w:rFonts w:ascii="Times New Roman" w:hAnsi="Times New Roman" w:eastAsia="宋体" w:cs="Times New Roman"/>
                <w:color w:val="FF0000"/>
                <w:sz w:val="22"/>
                <w:szCs w:val="24"/>
              </w:rPr>
            </w:pPr>
          </w:p>
        </w:tc>
      </w:tr>
      <w:tr w14:paraId="70CFB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3" w:type="pct"/>
            <w:vMerge w:val="restart"/>
            <w:vAlign w:val="center"/>
          </w:tcPr>
          <w:p w14:paraId="6324133F">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CO</w:t>
            </w:r>
          </w:p>
        </w:tc>
        <w:tc>
          <w:tcPr>
            <w:tcW w:w="888" w:type="pct"/>
            <w:vAlign w:val="center"/>
          </w:tcPr>
          <w:p w14:paraId="7A0352EA">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lang w:val="en-GB"/>
              </w:rPr>
              <w:t>日平均</w:t>
            </w:r>
          </w:p>
        </w:tc>
        <w:tc>
          <w:tcPr>
            <w:tcW w:w="970" w:type="pct"/>
            <w:vAlign w:val="center"/>
          </w:tcPr>
          <w:p w14:paraId="6C90E4F3">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4.0（mg/</w:t>
            </w:r>
            <w:r>
              <w:rPr>
                <w:rFonts w:hint="eastAsia" w:ascii="Times New Roman" w:hAnsi="Times New Roman" w:eastAsia="宋体" w:cs="Times New Roman"/>
                <w:color w:val="auto"/>
                <w:sz w:val="22"/>
                <w:szCs w:val="24"/>
                <w:lang w:eastAsia="zh-CN"/>
              </w:rPr>
              <w:t>m</w:t>
            </w:r>
            <w:r>
              <w:rPr>
                <w:rFonts w:hint="eastAsia" w:ascii="Times New Roman" w:hAnsi="Times New Roman" w:eastAsia="宋体" w:cs="Times New Roman"/>
                <w:color w:val="auto"/>
                <w:sz w:val="22"/>
                <w:szCs w:val="24"/>
                <w:vertAlign w:val="superscript"/>
                <w:lang w:eastAsia="zh-CN"/>
              </w:rPr>
              <w:t>3</w:t>
            </w:r>
            <w:r>
              <w:rPr>
                <w:rFonts w:ascii="Times New Roman" w:hAnsi="Times New Roman" w:eastAsia="宋体" w:cs="Times New Roman"/>
                <w:color w:val="auto"/>
                <w:sz w:val="22"/>
                <w:szCs w:val="24"/>
              </w:rPr>
              <w:t>）</w:t>
            </w:r>
          </w:p>
        </w:tc>
        <w:tc>
          <w:tcPr>
            <w:tcW w:w="922" w:type="pct"/>
            <w:vAlign w:val="center"/>
          </w:tcPr>
          <w:p w14:paraId="0DAC278E">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4.0（mg/</w:t>
            </w:r>
            <w:r>
              <w:rPr>
                <w:rFonts w:hint="eastAsia" w:ascii="Times New Roman" w:hAnsi="Times New Roman" w:eastAsia="宋体" w:cs="Times New Roman"/>
                <w:color w:val="auto"/>
                <w:sz w:val="22"/>
                <w:szCs w:val="24"/>
                <w:lang w:eastAsia="zh-CN"/>
              </w:rPr>
              <w:t>m</w:t>
            </w:r>
            <w:r>
              <w:rPr>
                <w:rFonts w:hint="eastAsia" w:ascii="Times New Roman" w:hAnsi="Times New Roman" w:eastAsia="宋体" w:cs="Times New Roman"/>
                <w:color w:val="auto"/>
                <w:sz w:val="22"/>
                <w:szCs w:val="24"/>
                <w:vertAlign w:val="superscript"/>
                <w:lang w:eastAsia="zh-CN"/>
              </w:rPr>
              <w:t>3</w:t>
            </w:r>
            <w:r>
              <w:rPr>
                <w:rFonts w:ascii="Times New Roman" w:hAnsi="Times New Roman" w:eastAsia="宋体" w:cs="Times New Roman"/>
                <w:color w:val="auto"/>
                <w:sz w:val="22"/>
                <w:szCs w:val="24"/>
              </w:rPr>
              <w:t>）</w:t>
            </w:r>
          </w:p>
        </w:tc>
        <w:tc>
          <w:tcPr>
            <w:tcW w:w="1316" w:type="pct"/>
            <w:vMerge w:val="continue"/>
            <w:vAlign w:val="center"/>
          </w:tcPr>
          <w:p w14:paraId="20762E02">
            <w:pPr>
              <w:jc w:val="center"/>
              <w:rPr>
                <w:rFonts w:ascii="Times New Roman" w:hAnsi="Times New Roman" w:eastAsia="宋体" w:cs="Times New Roman"/>
                <w:color w:val="FF0000"/>
                <w:sz w:val="22"/>
                <w:szCs w:val="24"/>
              </w:rPr>
            </w:pPr>
          </w:p>
        </w:tc>
      </w:tr>
      <w:tr w14:paraId="2FCAF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3" w:type="pct"/>
            <w:vMerge w:val="continue"/>
            <w:vAlign w:val="center"/>
          </w:tcPr>
          <w:p w14:paraId="6BCA17D8">
            <w:pPr>
              <w:jc w:val="center"/>
              <w:rPr>
                <w:rFonts w:ascii="Times New Roman" w:hAnsi="Times New Roman" w:eastAsia="宋体" w:cs="Times New Roman"/>
                <w:color w:val="auto"/>
                <w:sz w:val="22"/>
                <w:szCs w:val="24"/>
              </w:rPr>
            </w:pPr>
          </w:p>
        </w:tc>
        <w:tc>
          <w:tcPr>
            <w:tcW w:w="888" w:type="pct"/>
            <w:vAlign w:val="center"/>
          </w:tcPr>
          <w:p w14:paraId="4301AF7B">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1小时平均</w:t>
            </w:r>
          </w:p>
        </w:tc>
        <w:tc>
          <w:tcPr>
            <w:tcW w:w="970" w:type="pct"/>
            <w:vAlign w:val="center"/>
          </w:tcPr>
          <w:p w14:paraId="32B5DED2">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10</w:t>
            </w:r>
            <w:r>
              <w:rPr>
                <w:rFonts w:ascii="Times New Roman" w:hAnsi="Times New Roman" w:eastAsia="宋体" w:cs="Times New Roman"/>
                <w:color w:val="auto"/>
                <w:sz w:val="22"/>
                <w:szCs w:val="24"/>
              </w:rPr>
              <w:t>（mg/</w:t>
            </w:r>
            <w:r>
              <w:rPr>
                <w:rFonts w:hint="eastAsia" w:ascii="Times New Roman" w:hAnsi="Times New Roman" w:eastAsia="宋体" w:cs="Times New Roman"/>
                <w:color w:val="auto"/>
                <w:sz w:val="22"/>
                <w:szCs w:val="24"/>
                <w:lang w:eastAsia="zh-CN"/>
              </w:rPr>
              <w:t>m</w:t>
            </w:r>
            <w:r>
              <w:rPr>
                <w:rFonts w:hint="eastAsia" w:ascii="Times New Roman" w:hAnsi="Times New Roman" w:eastAsia="宋体" w:cs="Times New Roman"/>
                <w:color w:val="auto"/>
                <w:sz w:val="22"/>
                <w:szCs w:val="24"/>
                <w:vertAlign w:val="superscript"/>
                <w:lang w:eastAsia="zh-CN"/>
              </w:rPr>
              <w:t>3</w:t>
            </w:r>
            <w:r>
              <w:rPr>
                <w:rFonts w:ascii="Times New Roman" w:hAnsi="Times New Roman" w:eastAsia="宋体" w:cs="Times New Roman"/>
                <w:color w:val="auto"/>
                <w:sz w:val="22"/>
                <w:szCs w:val="24"/>
              </w:rPr>
              <w:t>）</w:t>
            </w:r>
          </w:p>
        </w:tc>
        <w:tc>
          <w:tcPr>
            <w:tcW w:w="922" w:type="pct"/>
            <w:vAlign w:val="center"/>
          </w:tcPr>
          <w:p w14:paraId="0631EFAA">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10</w:t>
            </w:r>
            <w:r>
              <w:rPr>
                <w:rFonts w:ascii="Times New Roman" w:hAnsi="Times New Roman" w:eastAsia="宋体" w:cs="Times New Roman"/>
                <w:color w:val="auto"/>
                <w:sz w:val="22"/>
                <w:szCs w:val="24"/>
              </w:rPr>
              <w:t>（mg/</w:t>
            </w:r>
            <w:r>
              <w:rPr>
                <w:rFonts w:hint="eastAsia" w:ascii="Times New Roman" w:hAnsi="Times New Roman" w:eastAsia="宋体" w:cs="Times New Roman"/>
                <w:color w:val="auto"/>
                <w:sz w:val="22"/>
                <w:szCs w:val="24"/>
                <w:lang w:eastAsia="zh-CN"/>
              </w:rPr>
              <w:t>m</w:t>
            </w:r>
            <w:r>
              <w:rPr>
                <w:rFonts w:hint="eastAsia" w:ascii="Times New Roman" w:hAnsi="Times New Roman" w:eastAsia="宋体" w:cs="Times New Roman"/>
                <w:color w:val="auto"/>
                <w:sz w:val="22"/>
                <w:szCs w:val="24"/>
                <w:vertAlign w:val="superscript"/>
                <w:lang w:eastAsia="zh-CN"/>
              </w:rPr>
              <w:t>3</w:t>
            </w:r>
            <w:r>
              <w:rPr>
                <w:rFonts w:ascii="Times New Roman" w:hAnsi="Times New Roman" w:eastAsia="宋体" w:cs="Times New Roman"/>
                <w:color w:val="auto"/>
                <w:sz w:val="22"/>
                <w:szCs w:val="24"/>
              </w:rPr>
              <w:t>）</w:t>
            </w:r>
          </w:p>
        </w:tc>
        <w:tc>
          <w:tcPr>
            <w:tcW w:w="1316" w:type="pct"/>
            <w:vMerge w:val="continue"/>
            <w:vAlign w:val="center"/>
          </w:tcPr>
          <w:p w14:paraId="44C40A46">
            <w:pPr>
              <w:jc w:val="center"/>
              <w:rPr>
                <w:rFonts w:ascii="Times New Roman" w:hAnsi="Times New Roman" w:eastAsia="宋体" w:cs="Times New Roman"/>
                <w:color w:val="FF0000"/>
                <w:sz w:val="22"/>
                <w:szCs w:val="24"/>
              </w:rPr>
            </w:pPr>
          </w:p>
        </w:tc>
      </w:tr>
      <w:tr w14:paraId="7E4B3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3" w:type="pct"/>
            <w:vMerge w:val="restart"/>
            <w:vAlign w:val="center"/>
          </w:tcPr>
          <w:p w14:paraId="19847556">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rPr>
              <w:t>O</w:t>
            </w:r>
            <w:r>
              <w:rPr>
                <w:rFonts w:ascii="Times New Roman" w:hAnsi="Times New Roman" w:eastAsia="宋体" w:cs="Times New Roman"/>
                <w:color w:val="auto"/>
                <w:sz w:val="22"/>
                <w:vertAlign w:val="subscript"/>
              </w:rPr>
              <w:t>3</w:t>
            </w:r>
          </w:p>
        </w:tc>
        <w:tc>
          <w:tcPr>
            <w:tcW w:w="888" w:type="pct"/>
            <w:vAlign w:val="center"/>
          </w:tcPr>
          <w:p w14:paraId="099617F2">
            <w:pPr>
              <w:jc w:val="center"/>
              <w:rPr>
                <w:rFonts w:ascii="Times New Roman" w:hAnsi="Times New Roman" w:eastAsia="宋体" w:cs="Times New Roman"/>
                <w:color w:val="auto"/>
                <w:sz w:val="22"/>
                <w:szCs w:val="24"/>
                <w:lang w:val="en-GB"/>
              </w:rPr>
            </w:pPr>
            <w:r>
              <w:rPr>
                <w:rFonts w:ascii="Times New Roman" w:hAnsi="Times New Roman" w:eastAsia="宋体" w:cs="Times New Roman"/>
                <w:color w:val="auto"/>
                <w:sz w:val="22"/>
                <w:szCs w:val="24"/>
              </w:rPr>
              <w:t>8小时值</w:t>
            </w:r>
          </w:p>
        </w:tc>
        <w:tc>
          <w:tcPr>
            <w:tcW w:w="970" w:type="pct"/>
            <w:vAlign w:val="center"/>
          </w:tcPr>
          <w:p w14:paraId="5E215F20">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10</w:t>
            </w:r>
            <w:r>
              <w:rPr>
                <w:rFonts w:ascii="Times New Roman" w:hAnsi="Times New Roman" w:eastAsia="宋体" w:cs="Times New Roman"/>
                <w:color w:val="auto"/>
                <w:sz w:val="22"/>
                <w:szCs w:val="24"/>
              </w:rPr>
              <w:t>0（ug/</w:t>
            </w:r>
            <w:r>
              <w:rPr>
                <w:rFonts w:hint="eastAsia" w:ascii="Times New Roman" w:hAnsi="Times New Roman" w:eastAsia="宋体" w:cs="Times New Roman"/>
                <w:color w:val="auto"/>
                <w:sz w:val="22"/>
                <w:szCs w:val="24"/>
                <w:lang w:eastAsia="zh-CN"/>
              </w:rPr>
              <w:t>m</w:t>
            </w:r>
            <w:r>
              <w:rPr>
                <w:rFonts w:hint="eastAsia" w:ascii="Times New Roman" w:hAnsi="Times New Roman" w:eastAsia="宋体" w:cs="Times New Roman"/>
                <w:color w:val="auto"/>
                <w:sz w:val="22"/>
                <w:szCs w:val="24"/>
                <w:vertAlign w:val="superscript"/>
                <w:lang w:eastAsia="zh-CN"/>
              </w:rPr>
              <w:t>3</w:t>
            </w:r>
            <w:r>
              <w:rPr>
                <w:rFonts w:ascii="Times New Roman" w:hAnsi="Times New Roman" w:eastAsia="宋体" w:cs="Times New Roman"/>
                <w:color w:val="auto"/>
                <w:sz w:val="22"/>
                <w:szCs w:val="24"/>
              </w:rPr>
              <w:t>）</w:t>
            </w:r>
          </w:p>
        </w:tc>
        <w:tc>
          <w:tcPr>
            <w:tcW w:w="922" w:type="pct"/>
            <w:vAlign w:val="center"/>
          </w:tcPr>
          <w:p w14:paraId="414B4204">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160（ug/</w:t>
            </w:r>
            <w:r>
              <w:rPr>
                <w:rFonts w:hint="eastAsia" w:ascii="Times New Roman" w:hAnsi="Times New Roman" w:eastAsia="宋体" w:cs="Times New Roman"/>
                <w:color w:val="auto"/>
                <w:sz w:val="22"/>
                <w:szCs w:val="24"/>
                <w:lang w:eastAsia="zh-CN"/>
              </w:rPr>
              <w:t>m</w:t>
            </w:r>
            <w:r>
              <w:rPr>
                <w:rFonts w:hint="eastAsia" w:ascii="Times New Roman" w:hAnsi="Times New Roman" w:eastAsia="宋体" w:cs="Times New Roman"/>
                <w:color w:val="auto"/>
                <w:sz w:val="22"/>
                <w:szCs w:val="24"/>
                <w:vertAlign w:val="superscript"/>
                <w:lang w:eastAsia="zh-CN"/>
              </w:rPr>
              <w:t>3</w:t>
            </w:r>
            <w:r>
              <w:rPr>
                <w:rFonts w:ascii="Times New Roman" w:hAnsi="Times New Roman" w:eastAsia="宋体" w:cs="Times New Roman"/>
                <w:color w:val="auto"/>
                <w:sz w:val="22"/>
                <w:szCs w:val="24"/>
              </w:rPr>
              <w:t>）</w:t>
            </w:r>
          </w:p>
        </w:tc>
        <w:tc>
          <w:tcPr>
            <w:tcW w:w="1316" w:type="pct"/>
            <w:vMerge w:val="continue"/>
            <w:vAlign w:val="center"/>
          </w:tcPr>
          <w:p w14:paraId="7F3062CC">
            <w:pPr>
              <w:jc w:val="center"/>
              <w:rPr>
                <w:rFonts w:ascii="Times New Roman" w:hAnsi="Times New Roman" w:eastAsia="宋体" w:cs="Times New Roman"/>
                <w:color w:val="auto"/>
                <w:sz w:val="22"/>
                <w:szCs w:val="24"/>
              </w:rPr>
            </w:pPr>
          </w:p>
        </w:tc>
      </w:tr>
      <w:tr w14:paraId="4A8AE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3" w:type="pct"/>
            <w:vMerge w:val="continue"/>
            <w:vAlign w:val="center"/>
          </w:tcPr>
          <w:p w14:paraId="26FDD338">
            <w:pPr>
              <w:jc w:val="center"/>
              <w:rPr>
                <w:rFonts w:ascii="Times New Roman" w:hAnsi="Times New Roman" w:eastAsia="宋体" w:cs="Times New Roman"/>
                <w:color w:val="auto"/>
                <w:sz w:val="22"/>
                <w:szCs w:val="24"/>
              </w:rPr>
            </w:pPr>
          </w:p>
        </w:tc>
        <w:tc>
          <w:tcPr>
            <w:tcW w:w="888" w:type="pct"/>
            <w:vAlign w:val="center"/>
          </w:tcPr>
          <w:p w14:paraId="729CD97E">
            <w:pPr>
              <w:jc w:val="center"/>
              <w:rPr>
                <w:rFonts w:ascii="Times New Roman" w:hAnsi="Times New Roman" w:eastAsia="宋体" w:cs="Times New Roman"/>
                <w:color w:val="auto"/>
                <w:sz w:val="22"/>
                <w:szCs w:val="24"/>
                <w:lang w:val="en-GB"/>
              </w:rPr>
            </w:pPr>
            <w:r>
              <w:rPr>
                <w:rFonts w:hint="eastAsia" w:ascii="Times New Roman" w:hAnsi="Times New Roman" w:eastAsia="宋体" w:cs="Times New Roman"/>
                <w:color w:val="auto"/>
                <w:sz w:val="22"/>
                <w:szCs w:val="24"/>
              </w:rPr>
              <w:t>1小时平均</w:t>
            </w:r>
          </w:p>
        </w:tc>
        <w:tc>
          <w:tcPr>
            <w:tcW w:w="970" w:type="pct"/>
            <w:vAlign w:val="center"/>
          </w:tcPr>
          <w:p w14:paraId="0650A1ED">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160</w:t>
            </w:r>
            <w:r>
              <w:rPr>
                <w:rFonts w:ascii="Times New Roman" w:hAnsi="Times New Roman" w:eastAsia="宋体" w:cs="Times New Roman"/>
                <w:color w:val="auto"/>
                <w:sz w:val="22"/>
                <w:szCs w:val="24"/>
              </w:rPr>
              <w:t>（ug/</w:t>
            </w:r>
            <w:r>
              <w:rPr>
                <w:rFonts w:hint="eastAsia" w:ascii="Times New Roman" w:hAnsi="Times New Roman" w:eastAsia="宋体" w:cs="Times New Roman"/>
                <w:color w:val="auto"/>
                <w:sz w:val="22"/>
                <w:szCs w:val="24"/>
                <w:lang w:eastAsia="zh-CN"/>
              </w:rPr>
              <w:t>m</w:t>
            </w:r>
            <w:r>
              <w:rPr>
                <w:rFonts w:hint="eastAsia" w:ascii="Times New Roman" w:hAnsi="Times New Roman" w:eastAsia="宋体" w:cs="Times New Roman"/>
                <w:color w:val="auto"/>
                <w:sz w:val="22"/>
                <w:szCs w:val="24"/>
                <w:vertAlign w:val="superscript"/>
                <w:lang w:eastAsia="zh-CN"/>
              </w:rPr>
              <w:t>3</w:t>
            </w:r>
            <w:r>
              <w:rPr>
                <w:rFonts w:ascii="Times New Roman" w:hAnsi="Times New Roman" w:eastAsia="宋体" w:cs="Times New Roman"/>
                <w:color w:val="auto"/>
                <w:sz w:val="22"/>
                <w:szCs w:val="24"/>
              </w:rPr>
              <w:t>）</w:t>
            </w:r>
          </w:p>
        </w:tc>
        <w:tc>
          <w:tcPr>
            <w:tcW w:w="922" w:type="pct"/>
            <w:vAlign w:val="center"/>
          </w:tcPr>
          <w:p w14:paraId="5E60AAFB">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200</w:t>
            </w:r>
            <w:r>
              <w:rPr>
                <w:rFonts w:ascii="Times New Roman" w:hAnsi="Times New Roman" w:eastAsia="宋体" w:cs="Times New Roman"/>
                <w:color w:val="auto"/>
                <w:sz w:val="22"/>
                <w:szCs w:val="24"/>
              </w:rPr>
              <w:t>（ug/</w:t>
            </w:r>
            <w:r>
              <w:rPr>
                <w:rFonts w:hint="eastAsia" w:ascii="Times New Roman" w:hAnsi="Times New Roman" w:eastAsia="宋体" w:cs="Times New Roman"/>
                <w:color w:val="auto"/>
                <w:sz w:val="22"/>
                <w:szCs w:val="24"/>
                <w:lang w:eastAsia="zh-CN"/>
              </w:rPr>
              <w:t>m</w:t>
            </w:r>
            <w:r>
              <w:rPr>
                <w:rFonts w:hint="eastAsia" w:ascii="Times New Roman" w:hAnsi="Times New Roman" w:eastAsia="宋体" w:cs="Times New Roman"/>
                <w:color w:val="auto"/>
                <w:sz w:val="22"/>
                <w:szCs w:val="24"/>
                <w:vertAlign w:val="superscript"/>
                <w:lang w:eastAsia="zh-CN"/>
              </w:rPr>
              <w:t>3</w:t>
            </w:r>
            <w:r>
              <w:rPr>
                <w:rFonts w:ascii="Times New Roman" w:hAnsi="Times New Roman" w:eastAsia="宋体" w:cs="Times New Roman"/>
                <w:color w:val="auto"/>
                <w:sz w:val="22"/>
                <w:szCs w:val="24"/>
              </w:rPr>
              <w:t>）</w:t>
            </w:r>
          </w:p>
        </w:tc>
        <w:tc>
          <w:tcPr>
            <w:tcW w:w="1316" w:type="pct"/>
            <w:vMerge w:val="continue"/>
            <w:vAlign w:val="center"/>
          </w:tcPr>
          <w:p w14:paraId="3D8C4DA1">
            <w:pPr>
              <w:jc w:val="center"/>
              <w:rPr>
                <w:rFonts w:ascii="Times New Roman" w:hAnsi="Times New Roman" w:eastAsia="宋体" w:cs="Times New Roman"/>
                <w:color w:val="auto"/>
                <w:sz w:val="22"/>
                <w:szCs w:val="24"/>
              </w:rPr>
            </w:pPr>
          </w:p>
        </w:tc>
      </w:tr>
      <w:tr w14:paraId="4C859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903" w:type="pct"/>
            <w:shd w:val="clear" w:color="auto" w:fill="auto"/>
            <w:vAlign w:val="center"/>
          </w:tcPr>
          <w:p w14:paraId="4D43C2EA">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rPr>
              <w:t>氨气</w:t>
            </w:r>
          </w:p>
        </w:tc>
        <w:tc>
          <w:tcPr>
            <w:tcW w:w="888" w:type="pct"/>
            <w:shd w:val="clear" w:color="auto" w:fill="auto"/>
            <w:vAlign w:val="center"/>
          </w:tcPr>
          <w:p w14:paraId="3B99745C">
            <w:pPr>
              <w:jc w:val="center"/>
              <w:rPr>
                <w:rFonts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rPr>
              <w:t>1小时平均</w:t>
            </w:r>
          </w:p>
        </w:tc>
        <w:tc>
          <w:tcPr>
            <w:tcW w:w="1892" w:type="pct"/>
            <w:gridSpan w:val="2"/>
            <w:shd w:val="clear" w:color="auto" w:fill="auto"/>
            <w:vAlign w:val="center"/>
          </w:tcPr>
          <w:p w14:paraId="0911AFBD">
            <w:pPr>
              <w:jc w:val="center"/>
              <w:rPr>
                <w:rFonts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rPr>
              <w:t>200</w:t>
            </w:r>
            <w:r>
              <w:rPr>
                <w:rFonts w:ascii="Times New Roman" w:hAnsi="Times New Roman" w:eastAsia="宋体" w:cs="Times New Roman"/>
                <w:color w:val="auto"/>
                <w:sz w:val="22"/>
                <w:szCs w:val="24"/>
              </w:rPr>
              <w:t>（ug/</w:t>
            </w:r>
            <w:r>
              <w:rPr>
                <w:rFonts w:hint="eastAsia" w:ascii="Times New Roman" w:hAnsi="Times New Roman" w:eastAsia="宋体" w:cs="Times New Roman"/>
                <w:color w:val="auto"/>
                <w:sz w:val="22"/>
                <w:szCs w:val="24"/>
                <w:lang w:eastAsia="zh-CN"/>
              </w:rPr>
              <w:t>m</w:t>
            </w:r>
            <w:r>
              <w:rPr>
                <w:rFonts w:hint="eastAsia" w:ascii="Times New Roman" w:hAnsi="Times New Roman" w:eastAsia="宋体" w:cs="Times New Roman"/>
                <w:color w:val="auto"/>
                <w:sz w:val="22"/>
                <w:szCs w:val="24"/>
                <w:vertAlign w:val="superscript"/>
                <w:lang w:eastAsia="zh-CN"/>
              </w:rPr>
              <w:t>3</w:t>
            </w:r>
            <w:r>
              <w:rPr>
                <w:rFonts w:ascii="Times New Roman" w:hAnsi="Times New Roman" w:eastAsia="宋体" w:cs="Times New Roman"/>
                <w:color w:val="auto"/>
                <w:sz w:val="22"/>
                <w:szCs w:val="24"/>
              </w:rPr>
              <w:t>）</w:t>
            </w:r>
          </w:p>
        </w:tc>
        <w:tc>
          <w:tcPr>
            <w:tcW w:w="1316" w:type="pct"/>
            <w:vMerge w:val="restart"/>
            <w:vAlign w:val="center"/>
          </w:tcPr>
          <w:p w14:paraId="068F8FA0">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《环境影响评价技术导则 大气环境》（HJ2.2-2018）</w:t>
            </w:r>
            <w:r>
              <w:rPr>
                <w:rFonts w:hint="eastAsia" w:ascii="Times New Roman" w:hAnsi="Times New Roman" w:eastAsia="宋体" w:cs="Times New Roman"/>
                <w:color w:val="auto"/>
                <w:sz w:val="22"/>
                <w:szCs w:val="24"/>
              </w:rPr>
              <w:t>附录D</w:t>
            </w:r>
          </w:p>
        </w:tc>
      </w:tr>
      <w:tr w14:paraId="55B41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3" w:type="pct"/>
            <w:shd w:val="clear" w:color="auto" w:fill="auto"/>
            <w:vAlign w:val="center"/>
          </w:tcPr>
          <w:p w14:paraId="39A4646E">
            <w:pPr>
              <w:jc w:val="center"/>
              <w:rPr>
                <w:rFonts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rPr>
              <w:t>硫化氢</w:t>
            </w:r>
          </w:p>
        </w:tc>
        <w:tc>
          <w:tcPr>
            <w:tcW w:w="888" w:type="pct"/>
            <w:shd w:val="clear" w:color="auto" w:fill="auto"/>
            <w:vAlign w:val="center"/>
          </w:tcPr>
          <w:p w14:paraId="72AD9591">
            <w:pPr>
              <w:jc w:val="center"/>
              <w:rPr>
                <w:rFonts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rPr>
              <w:t>1小时平均</w:t>
            </w:r>
          </w:p>
        </w:tc>
        <w:tc>
          <w:tcPr>
            <w:tcW w:w="1892" w:type="pct"/>
            <w:gridSpan w:val="2"/>
            <w:shd w:val="clear" w:color="auto" w:fill="auto"/>
            <w:vAlign w:val="center"/>
          </w:tcPr>
          <w:p w14:paraId="084FD211">
            <w:pPr>
              <w:jc w:val="center"/>
              <w:rPr>
                <w:rFonts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rPr>
              <w:t>10</w:t>
            </w:r>
            <w:r>
              <w:rPr>
                <w:rFonts w:ascii="Times New Roman" w:hAnsi="Times New Roman" w:eastAsia="宋体" w:cs="Times New Roman"/>
                <w:color w:val="auto"/>
                <w:sz w:val="22"/>
                <w:szCs w:val="24"/>
              </w:rPr>
              <w:t>（ug</w:t>
            </w:r>
            <w:r>
              <w:rPr>
                <w:rFonts w:hint="eastAsia" w:ascii="Times New Roman" w:hAnsi="Times New Roman" w:eastAsia="宋体" w:cs="Times New Roman"/>
                <w:color w:val="auto"/>
                <w:sz w:val="22"/>
                <w:szCs w:val="24"/>
              </w:rPr>
              <w:t>/</w:t>
            </w:r>
            <w:r>
              <w:rPr>
                <w:rFonts w:hint="eastAsia" w:ascii="Times New Roman" w:hAnsi="Times New Roman" w:eastAsia="宋体" w:cs="Times New Roman"/>
                <w:color w:val="auto"/>
                <w:sz w:val="22"/>
                <w:szCs w:val="24"/>
                <w:lang w:eastAsia="zh-CN"/>
              </w:rPr>
              <w:t>m</w:t>
            </w:r>
            <w:r>
              <w:rPr>
                <w:rFonts w:hint="eastAsia" w:ascii="Times New Roman" w:hAnsi="Times New Roman" w:eastAsia="宋体" w:cs="Times New Roman"/>
                <w:color w:val="auto"/>
                <w:sz w:val="22"/>
                <w:szCs w:val="24"/>
                <w:vertAlign w:val="superscript"/>
                <w:lang w:eastAsia="zh-CN"/>
              </w:rPr>
              <w:t>3</w:t>
            </w:r>
            <w:r>
              <w:rPr>
                <w:rFonts w:ascii="Times New Roman" w:hAnsi="Times New Roman" w:eastAsia="宋体" w:cs="Times New Roman"/>
                <w:color w:val="auto"/>
                <w:sz w:val="22"/>
                <w:szCs w:val="24"/>
              </w:rPr>
              <w:t>）</w:t>
            </w:r>
          </w:p>
        </w:tc>
        <w:tc>
          <w:tcPr>
            <w:tcW w:w="1316" w:type="pct"/>
            <w:vMerge w:val="continue"/>
            <w:vAlign w:val="center"/>
          </w:tcPr>
          <w:p w14:paraId="793A8959">
            <w:pPr>
              <w:jc w:val="center"/>
              <w:rPr>
                <w:rFonts w:ascii="Times New Roman" w:hAnsi="Times New Roman" w:eastAsia="宋体" w:cs="Times New Roman"/>
                <w:color w:val="auto"/>
                <w:sz w:val="22"/>
                <w:szCs w:val="24"/>
              </w:rPr>
            </w:pPr>
          </w:p>
        </w:tc>
      </w:tr>
      <w:tr w14:paraId="2A404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3" w:type="pct"/>
            <w:vAlign w:val="center"/>
          </w:tcPr>
          <w:p w14:paraId="3995191F">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非甲烷总烃</w:t>
            </w:r>
          </w:p>
        </w:tc>
        <w:tc>
          <w:tcPr>
            <w:tcW w:w="888" w:type="pct"/>
            <w:vAlign w:val="center"/>
          </w:tcPr>
          <w:p w14:paraId="27F1972D">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1小时平均</w:t>
            </w:r>
          </w:p>
        </w:tc>
        <w:tc>
          <w:tcPr>
            <w:tcW w:w="1892" w:type="pct"/>
            <w:gridSpan w:val="2"/>
            <w:vAlign w:val="center"/>
          </w:tcPr>
          <w:p w14:paraId="7A4155D0">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2000</w:t>
            </w:r>
            <w:r>
              <w:rPr>
                <w:rFonts w:ascii="Times New Roman" w:hAnsi="Times New Roman" w:eastAsia="宋体" w:cs="Times New Roman"/>
                <w:color w:val="auto"/>
                <w:sz w:val="22"/>
                <w:szCs w:val="24"/>
              </w:rPr>
              <w:t>（ug</w:t>
            </w:r>
            <w:r>
              <w:rPr>
                <w:rFonts w:hint="eastAsia" w:ascii="Times New Roman" w:hAnsi="Times New Roman" w:eastAsia="宋体" w:cs="Times New Roman"/>
                <w:color w:val="auto"/>
                <w:sz w:val="22"/>
                <w:szCs w:val="24"/>
              </w:rPr>
              <w:t>/</w:t>
            </w:r>
            <w:r>
              <w:rPr>
                <w:rFonts w:hint="eastAsia" w:ascii="Times New Roman" w:hAnsi="Times New Roman" w:eastAsia="宋体" w:cs="Times New Roman"/>
                <w:color w:val="auto"/>
                <w:sz w:val="22"/>
                <w:szCs w:val="24"/>
                <w:lang w:eastAsia="zh-CN"/>
              </w:rPr>
              <w:t>m</w:t>
            </w:r>
            <w:r>
              <w:rPr>
                <w:rFonts w:hint="eastAsia" w:ascii="Times New Roman" w:hAnsi="Times New Roman" w:eastAsia="宋体" w:cs="Times New Roman"/>
                <w:color w:val="auto"/>
                <w:sz w:val="22"/>
                <w:szCs w:val="24"/>
                <w:vertAlign w:val="superscript"/>
                <w:lang w:eastAsia="zh-CN"/>
              </w:rPr>
              <w:t>3</w:t>
            </w:r>
            <w:r>
              <w:rPr>
                <w:rFonts w:ascii="Times New Roman" w:hAnsi="Times New Roman" w:eastAsia="宋体" w:cs="Times New Roman"/>
                <w:color w:val="auto"/>
                <w:sz w:val="22"/>
                <w:szCs w:val="24"/>
              </w:rPr>
              <w:t>）</w:t>
            </w:r>
          </w:p>
        </w:tc>
        <w:tc>
          <w:tcPr>
            <w:tcW w:w="1316" w:type="pct"/>
            <w:vAlign w:val="center"/>
          </w:tcPr>
          <w:p w14:paraId="3785FCCE">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大气污染物综合排放标准详解</w:t>
            </w:r>
          </w:p>
        </w:tc>
      </w:tr>
    </w:tbl>
    <w:p w14:paraId="7B037A3E">
      <w:pPr>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2、地表水</w:t>
      </w:r>
    </w:p>
    <w:p w14:paraId="4F7594EF">
      <w:pPr>
        <w:spacing w:line="360" w:lineRule="auto"/>
        <w:ind w:firstLine="480" w:firstLineChars="200"/>
        <w:rPr>
          <w:rFonts w:ascii="Times New Roman" w:hAnsi="Times New Roman" w:eastAsia="宋体" w:cs="宋体"/>
          <w:color w:val="auto"/>
          <w:sz w:val="24"/>
          <w:szCs w:val="24"/>
        </w:rPr>
      </w:pPr>
      <w:r>
        <w:rPr>
          <w:rFonts w:hint="eastAsia" w:ascii="Times New Roman" w:hAnsi="Times New Roman" w:eastAsia="宋体" w:cs="宋体"/>
          <w:color w:val="auto"/>
          <w:sz w:val="24"/>
          <w:szCs w:val="24"/>
        </w:rPr>
        <w:t>本项目废水经预处理后排至津市工业园污水处理厂处理，最终排入澧水，排水口位于原金鱼岭水厂取水口下游200米至津市新洲段。根据《湖南省主要水系地表水环境功能区划》（DB43/023-2005）和《津市高新技术产业开发区规划修编环境影响报告书》，金鱼岭水厂取水口下游200米至津市工业园污水处理厂排污口下游1km，执行《地表水环境质量标准》（GB3838-2002）中III类标准；团湖、胥家湖执行《地表水环境质量标准》(GB3838-2002)III类标准。</w:t>
      </w:r>
    </w:p>
    <w:p w14:paraId="6CDF6AC4">
      <w:pPr>
        <w:pStyle w:val="6"/>
        <w:bidi w:val="0"/>
      </w:pPr>
      <w:r>
        <w:rPr>
          <w:rFonts w:hint="eastAsia"/>
        </w:rPr>
        <w:t>表2.4.2-2    地表水环境质量评价标准表一览表  单位：mg/L(pH无量纲)</w:t>
      </w:r>
    </w:p>
    <w:tbl>
      <w:tblPr>
        <w:tblStyle w:val="41"/>
        <w:tblW w:w="5004"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0" w:type="dxa"/>
          <w:bottom w:w="0" w:type="dxa"/>
          <w:right w:w="0" w:type="dxa"/>
        </w:tblCellMar>
      </w:tblPr>
      <w:tblGrid>
        <w:gridCol w:w="2770"/>
        <w:gridCol w:w="2776"/>
        <w:gridCol w:w="2777"/>
      </w:tblGrid>
      <w:tr w14:paraId="0665221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170" w:hRule="atLeast"/>
          <w:jc w:val="center"/>
        </w:trPr>
        <w:tc>
          <w:tcPr>
            <w:tcW w:w="1664" w:type="pct"/>
            <w:tcBorders>
              <w:top w:val="single" w:color="auto" w:sz="4" w:space="0"/>
              <w:left w:val="single" w:color="auto" w:sz="4" w:space="0"/>
              <w:bottom w:val="single" w:color="auto" w:sz="4" w:space="0"/>
              <w:right w:val="single" w:color="auto" w:sz="4" w:space="0"/>
            </w:tcBorders>
            <w:vAlign w:val="center"/>
          </w:tcPr>
          <w:p w14:paraId="520FC827">
            <w:pPr>
              <w:jc w:val="center"/>
              <w:rPr>
                <w:rFonts w:ascii="Times New Roman" w:hAnsi="Times New Roman" w:cs="Times New Roman"/>
                <w:color w:val="auto"/>
                <w:sz w:val="22"/>
              </w:rPr>
            </w:pPr>
            <w:r>
              <w:rPr>
                <w:rFonts w:ascii="Times New Roman" w:hAnsi="Times New Roman" w:cs="Times New Roman"/>
                <w:color w:val="auto"/>
                <w:sz w:val="22"/>
              </w:rPr>
              <w:t>项目</w:t>
            </w:r>
          </w:p>
        </w:tc>
        <w:tc>
          <w:tcPr>
            <w:tcW w:w="1667" w:type="pct"/>
            <w:tcBorders>
              <w:top w:val="single" w:color="auto" w:sz="4" w:space="0"/>
              <w:left w:val="single" w:color="auto" w:sz="4" w:space="0"/>
              <w:bottom w:val="single" w:color="auto" w:sz="4" w:space="0"/>
              <w:right w:val="single" w:color="auto" w:sz="4" w:space="0"/>
            </w:tcBorders>
            <w:vAlign w:val="center"/>
          </w:tcPr>
          <w:p w14:paraId="427E7030">
            <w:pPr>
              <w:jc w:val="center"/>
              <w:rPr>
                <w:rFonts w:ascii="Times New Roman" w:hAnsi="Times New Roman" w:cs="Times New Roman"/>
                <w:color w:val="auto"/>
                <w:sz w:val="22"/>
              </w:rPr>
            </w:pPr>
            <w:r>
              <w:rPr>
                <w:rFonts w:ascii="Times New Roman" w:hAnsi="Times New Roman" w:cs="Times New Roman"/>
                <w:color w:val="auto"/>
                <w:sz w:val="22"/>
              </w:rPr>
              <w:t>标准限值（</w:t>
            </w:r>
            <w:r>
              <w:rPr>
                <w:rFonts w:ascii="Times New Roman" w:hAnsi="Times New Roman" w:cs="Times New Roman"/>
                <w:color w:val="auto"/>
                <w:sz w:val="22"/>
              </w:rPr>
              <w:fldChar w:fldCharType="begin"/>
            </w:r>
            <w:r>
              <w:rPr>
                <w:rFonts w:ascii="Times New Roman" w:hAnsi="Times New Roman" w:cs="Times New Roman"/>
                <w:color w:val="auto"/>
                <w:sz w:val="22"/>
              </w:rPr>
              <w:instrText xml:space="preserve"> = 3 \* ROMAN </w:instrText>
            </w:r>
            <w:r>
              <w:rPr>
                <w:rFonts w:ascii="Times New Roman" w:hAnsi="Times New Roman" w:cs="Times New Roman"/>
                <w:color w:val="auto"/>
                <w:sz w:val="22"/>
              </w:rPr>
              <w:fldChar w:fldCharType="separate"/>
            </w:r>
            <w:r>
              <w:rPr>
                <w:rFonts w:ascii="Times New Roman" w:hAnsi="Times New Roman" w:cs="Times New Roman"/>
                <w:color w:val="auto"/>
                <w:sz w:val="22"/>
              </w:rPr>
              <w:t>III</w:t>
            </w:r>
            <w:r>
              <w:rPr>
                <w:rFonts w:ascii="Times New Roman" w:hAnsi="Times New Roman" w:cs="Times New Roman"/>
                <w:color w:val="auto"/>
                <w:sz w:val="22"/>
              </w:rPr>
              <w:fldChar w:fldCharType="end"/>
            </w:r>
            <w:r>
              <w:rPr>
                <w:rFonts w:ascii="Times New Roman" w:hAnsi="Times New Roman" w:cs="Times New Roman"/>
                <w:color w:val="auto"/>
                <w:sz w:val="22"/>
              </w:rPr>
              <w:t>类）</w:t>
            </w:r>
          </w:p>
        </w:tc>
        <w:tc>
          <w:tcPr>
            <w:tcW w:w="1668" w:type="pct"/>
            <w:tcBorders>
              <w:top w:val="single" w:color="auto" w:sz="4" w:space="0"/>
              <w:left w:val="single" w:color="auto" w:sz="4" w:space="0"/>
              <w:bottom w:val="single" w:color="auto" w:sz="4" w:space="0"/>
              <w:right w:val="single" w:color="auto" w:sz="4" w:space="0"/>
            </w:tcBorders>
            <w:vAlign w:val="center"/>
          </w:tcPr>
          <w:p w14:paraId="07A2AA1F">
            <w:pPr>
              <w:jc w:val="center"/>
              <w:rPr>
                <w:rFonts w:ascii="Times New Roman" w:hAnsi="Times New Roman" w:cs="Times New Roman"/>
                <w:color w:val="auto"/>
                <w:sz w:val="22"/>
              </w:rPr>
            </w:pPr>
            <w:r>
              <w:rPr>
                <w:rFonts w:ascii="Times New Roman" w:hAnsi="Times New Roman" w:cs="Times New Roman"/>
                <w:color w:val="auto"/>
                <w:sz w:val="22"/>
              </w:rPr>
              <w:t>标准限值（II类）</w:t>
            </w:r>
          </w:p>
        </w:tc>
      </w:tr>
      <w:tr w14:paraId="7E56800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1664" w:type="pct"/>
            <w:tcBorders>
              <w:top w:val="single" w:color="auto" w:sz="4" w:space="0"/>
              <w:left w:val="single" w:color="auto" w:sz="4" w:space="0"/>
              <w:bottom w:val="single" w:color="auto" w:sz="4" w:space="0"/>
              <w:right w:val="single" w:color="auto" w:sz="4" w:space="0"/>
            </w:tcBorders>
            <w:vAlign w:val="center"/>
          </w:tcPr>
          <w:p w14:paraId="70D949A8">
            <w:pPr>
              <w:jc w:val="center"/>
              <w:rPr>
                <w:rFonts w:ascii="Times New Roman" w:hAnsi="Times New Roman" w:cs="Times New Roman"/>
                <w:color w:val="auto"/>
                <w:sz w:val="22"/>
              </w:rPr>
            </w:pPr>
            <w:r>
              <w:rPr>
                <w:rFonts w:ascii="Times New Roman" w:hAnsi="Times New Roman" w:cs="Times New Roman"/>
                <w:color w:val="auto"/>
                <w:sz w:val="22"/>
              </w:rPr>
              <w:t>pH值（无量纲）</w:t>
            </w:r>
          </w:p>
        </w:tc>
        <w:tc>
          <w:tcPr>
            <w:tcW w:w="1667" w:type="pct"/>
            <w:tcBorders>
              <w:top w:val="single" w:color="auto" w:sz="4" w:space="0"/>
              <w:left w:val="single" w:color="auto" w:sz="4" w:space="0"/>
              <w:bottom w:val="single" w:color="auto" w:sz="4" w:space="0"/>
              <w:right w:val="single" w:color="auto" w:sz="4" w:space="0"/>
            </w:tcBorders>
            <w:vAlign w:val="center"/>
          </w:tcPr>
          <w:p w14:paraId="5AEB9D8D">
            <w:pPr>
              <w:jc w:val="center"/>
              <w:rPr>
                <w:rFonts w:ascii="Times New Roman" w:hAnsi="Times New Roman" w:cs="Times New Roman"/>
                <w:color w:val="auto"/>
                <w:sz w:val="22"/>
              </w:rPr>
            </w:pPr>
            <w:r>
              <w:rPr>
                <w:rFonts w:ascii="Times New Roman" w:hAnsi="Times New Roman" w:cs="Times New Roman"/>
                <w:color w:val="auto"/>
                <w:sz w:val="22"/>
              </w:rPr>
              <w:t>6-9</w:t>
            </w:r>
          </w:p>
        </w:tc>
        <w:tc>
          <w:tcPr>
            <w:tcW w:w="1668" w:type="pct"/>
            <w:tcBorders>
              <w:top w:val="single" w:color="auto" w:sz="4" w:space="0"/>
              <w:left w:val="single" w:color="auto" w:sz="4" w:space="0"/>
              <w:bottom w:val="single" w:color="auto" w:sz="4" w:space="0"/>
              <w:right w:val="single" w:color="auto" w:sz="4" w:space="0"/>
            </w:tcBorders>
            <w:vAlign w:val="center"/>
          </w:tcPr>
          <w:p w14:paraId="1C081D3D">
            <w:pPr>
              <w:jc w:val="center"/>
              <w:rPr>
                <w:rFonts w:ascii="Times New Roman" w:hAnsi="Times New Roman" w:cs="Times New Roman"/>
                <w:color w:val="auto"/>
                <w:sz w:val="22"/>
              </w:rPr>
            </w:pPr>
            <w:r>
              <w:rPr>
                <w:rFonts w:ascii="Times New Roman" w:hAnsi="Times New Roman" w:cs="Times New Roman"/>
                <w:color w:val="auto"/>
                <w:sz w:val="22"/>
              </w:rPr>
              <w:t>6-9</w:t>
            </w:r>
          </w:p>
        </w:tc>
      </w:tr>
      <w:tr w14:paraId="7B21B24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1664" w:type="pct"/>
            <w:tcBorders>
              <w:top w:val="single" w:color="auto" w:sz="4" w:space="0"/>
              <w:left w:val="single" w:color="auto" w:sz="4" w:space="0"/>
              <w:bottom w:val="single" w:color="auto" w:sz="4" w:space="0"/>
              <w:right w:val="single" w:color="auto" w:sz="4" w:space="0"/>
            </w:tcBorders>
            <w:vAlign w:val="center"/>
          </w:tcPr>
          <w:p w14:paraId="577A88B3">
            <w:pPr>
              <w:jc w:val="center"/>
              <w:rPr>
                <w:rFonts w:ascii="Times New Roman" w:hAnsi="Times New Roman" w:cs="Times New Roman"/>
                <w:color w:val="auto"/>
                <w:sz w:val="22"/>
              </w:rPr>
            </w:pPr>
            <w:r>
              <w:rPr>
                <w:rFonts w:ascii="Times New Roman" w:hAnsi="Times New Roman" w:cs="Times New Roman"/>
                <w:color w:val="auto"/>
                <w:sz w:val="22"/>
              </w:rPr>
              <w:t>溶解氧</w:t>
            </w:r>
          </w:p>
        </w:tc>
        <w:tc>
          <w:tcPr>
            <w:tcW w:w="1667" w:type="pct"/>
            <w:tcBorders>
              <w:top w:val="single" w:color="auto" w:sz="4" w:space="0"/>
              <w:left w:val="single" w:color="auto" w:sz="4" w:space="0"/>
              <w:bottom w:val="single" w:color="auto" w:sz="4" w:space="0"/>
              <w:right w:val="single" w:color="auto" w:sz="4" w:space="0"/>
            </w:tcBorders>
            <w:vAlign w:val="center"/>
          </w:tcPr>
          <w:p w14:paraId="12DB141F">
            <w:pPr>
              <w:jc w:val="center"/>
              <w:rPr>
                <w:rFonts w:ascii="Times New Roman" w:hAnsi="Times New Roman" w:cs="Times New Roman"/>
                <w:color w:val="auto"/>
                <w:sz w:val="22"/>
              </w:rPr>
            </w:pPr>
            <w:r>
              <w:rPr>
                <w:rFonts w:ascii="Times New Roman" w:hAnsi="Times New Roman" w:cs="Times New Roman"/>
                <w:color w:val="auto"/>
                <w:sz w:val="22"/>
              </w:rPr>
              <w:t>≥5</w:t>
            </w:r>
          </w:p>
        </w:tc>
        <w:tc>
          <w:tcPr>
            <w:tcW w:w="1668" w:type="pct"/>
            <w:tcBorders>
              <w:top w:val="single" w:color="auto" w:sz="4" w:space="0"/>
              <w:left w:val="single" w:color="auto" w:sz="4" w:space="0"/>
              <w:bottom w:val="single" w:color="auto" w:sz="4" w:space="0"/>
              <w:right w:val="single" w:color="auto" w:sz="4" w:space="0"/>
            </w:tcBorders>
            <w:vAlign w:val="center"/>
          </w:tcPr>
          <w:p w14:paraId="799F9B9C">
            <w:pPr>
              <w:jc w:val="center"/>
              <w:rPr>
                <w:rFonts w:ascii="Times New Roman" w:hAnsi="Times New Roman" w:cs="Times New Roman"/>
                <w:color w:val="auto"/>
                <w:sz w:val="22"/>
              </w:rPr>
            </w:pPr>
            <w:r>
              <w:rPr>
                <w:rFonts w:ascii="Times New Roman" w:hAnsi="Times New Roman" w:cs="Times New Roman"/>
                <w:color w:val="auto"/>
                <w:sz w:val="22"/>
              </w:rPr>
              <w:t>≥6</w:t>
            </w:r>
          </w:p>
        </w:tc>
      </w:tr>
      <w:tr w14:paraId="6645AA7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1664" w:type="pct"/>
            <w:tcBorders>
              <w:top w:val="single" w:color="auto" w:sz="4" w:space="0"/>
              <w:left w:val="single" w:color="auto" w:sz="4" w:space="0"/>
              <w:bottom w:val="single" w:color="auto" w:sz="4" w:space="0"/>
              <w:right w:val="single" w:color="auto" w:sz="4" w:space="0"/>
            </w:tcBorders>
            <w:vAlign w:val="center"/>
          </w:tcPr>
          <w:p w14:paraId="56C0F1FB">
            <w:pPr>
              <w:jc w:val="center"/>
              <w:rPr>
                <w:rFonts w:ascii="Times New Roman" w:hAnsi="Times New Roman" w:cs="Times New Roman"/>
                <w:color w:val="auto"/>
                <w:sz w:val="22"/>
              </w:rPr>
            </w:pPr>
            <w:r>
              <w:rPr>
                <w:rFonts w:ascii="Times New Roman" w:hAnsi="Times New Roman" w:cs="Times New Roman"/>
                <w:color w:val="auto"/>
                <w:sz w:val="22"/>
              </w:rPr>
              <w:t>高锰酸盐指数</w:t>
            </w:r>
          </w:p>
        </w:tc>
        <w:tc>
          <w:tcPr>
            <w:tcW w:w="1667" w:type="pct"/>
            <w:tcBorders>
              <w:top w:val="single" w:color="auto" w:sz="4" w:space="0"/>
              <w:left w:val="single" w:color="auto" w:sz="4" w:space="0"/>
              <w:bottom w:val="single" w:color="auto" w:sz="4" w:space="0"/>
              <w:right w:val="single" w:color="auto" w:sz="4" w:space="0"/>
            </w:tcBorders>
            <w:vAlign w:val="center"/>
          </w:tcPr>
          <w:p w14:paraId="43102032">
            <w:pPr>
              <w:jc w:val="center"/>
              <w:rPr>
                <w:rFonts w:ascii="Times New Roman" w:hAnsi="Times New Roman" w:cs="Times New Roman"/>
                <w:color w:val="auto"/>
                <w:sz w:val="22"/>
              </w:rPr>
            </w:pPr>
            <w:r>
              <w:rPr>
                <w:rFonts w:ascii="Times New Roman" w:hAnsi="Times New Roman" w:cs="Times New Roman"/>
                <w:color w:val="auto"/>
                <w:sz w:val="22"/>
              </w:rPr>
              <w:t>≤6</w:t>
            </w:r>
          </w:p>
        </w:tc>
        <w:tc>
          <w:tcPr>
            <w:tcW w:w="1668" w:type="pct"/>
            <w:tcBorders>
              <w:top w:val="single" w:color="auto" w:sz="4" w:space="0"/>
              <w:left w:val="single" w:color="auto" w:sz="4" w:space="0"/>
              <w:bottom w:val="single" w:color="auto" w:sz="4" w:space="0"/>
              <w:right w:val="single" w:color="auto" w:sz="4" w:space="0"/>
            </w:tcBorders>
            <w:vAlign w:val="center"/>
          </w:tcPr>
          <w:p w14:paraId="5CAFFB39">
            <w:pPr>
              <w:jc w:val="center"/>
              <w:rPr>
                <w:rFonts w:ascii="Times New Roman" w:hAnsi="Times New Roman" w:cs="Times New Roman"/>
                <w:color w:val="auto"/>
                <w:sz w:val="22"/>
              </w:rPr>
            </w:pPr>
            <w:r>
              <w:rPr>
                <w:rFonts w:ascii="Times New Roman" w:hAnsi="Times New Roman" w:cs="Times New Roman"/>
                <w:color w:val="auto"/>
                <w:sz w:val="22"/>
              </w:rPr>
              <w:t>≤4</w:t>
            </w:r>
          </w:p>
        </w:tc>
      </w:tr>
      <w:tr w14:paraId="614086E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1664" w:type="pct"/>
            <w:tcBorders>
              <w:top w:val="single" w:color="auto" w:sz="4" w:space="0"/>
              <w:left w:val="single" w:color="auto" w:sz="4" w:space="0"/>
              <w:bottom w:val="single" w:color="auto" w:sz="4" w:space="0"/>
              <w:right w:val="single" w:color="auto" w:sz="4" w:space="0"/>
            </w:tcBorders>
            <w:vAlign w:val="center"/>
          </w:tcPr>
          <w:p w14:paraId="19A9CBF6">
            <w:pPr>
              <w:jc w:val="center"/>
              <w:rPr>
                <w:rFonts w:ascii="Times New Roman" w:hAnsi="Times New Roman" w:cs="Times New Roman"/>
                <w:color w:val="auto"/>
                <w:sz w:val="22"/>
              </w:rPr>
            </w:pPr>
            <w:r>
              <w:rPr>
                <w:rFonts w:ascii="Times New Roman" w:hAnsi="Times New Roman" w:cs="Times New Roman"/>
                <w:color w:val="auto"/>
                <w:sz w:val="22"/>
              </w:rPr>
              <w:t>SS</w:t>
            </w:r>
          </w:p>
        </w:tc>
        <w:tc>
          <w:tcPr>
            <w:tcW w:w="1667" w:type="pct"/>
            <w:tcBorders>
              <w:top w:val="single" w:color="auto" w:sz="4" w:space="0"/>
              <w:left w:val="single" w:color="auto" w:sz="4" w:space="0"/>
              <w:bottom w:val="single" w:color="auto" w:sz="4" w:space="0"/>
              <w:right w:val="single" w:color="auto" w:sz="4" w:space="0"/>
            </w:tcBorders>
            <w:vAlign w:val="center"/>
          </w:tcPr>
          <w:p w14:paraId="22025457">
            <w:pPr>
              <w:jc w:val="center"/>
              <w:rPr>
                <w:rFonts w:ascii="Times New Roman" w:hAnsi="Times New Roman" w:cs="Times New Roman"/>
                <w:color w:val="auto"/>
                <w:sz w:val="22"/>
              </w:rPr>
            </w:pPr>
            <w:r>
              <w:rPr>
                <w:rFonts w:ascii="Times New Roman" w:hAnsi="Times New Roman" w:cs="Times New Roman"/>
                <w:color w:val="auto"/>
                <w:sz w:val="22"/>
              </w:rPr>
              <w:t>/</w:t>
            </w:r>
          </w:p>
        </w:tc>
        <w:tc>
          <w:tcPr>
            <w:tcW w:w="1668" w:type="pct"/>
            <w:tcBorders>
              <w:top w:val="single" w:color="auto" w:sz="4" w:space="0"/>
              <w:left w:val="single" w:color="auto" w:sz="4" w:space="0"/>
              <w:bottom w:val="single" w:color="auto" w:sz="4" w:space="0"/>
              <w:right w:val="single" w:color="auto" w:sz="4" w:space="0"/>
            </w:tcBorders>
            <w:vAlign w:val="center"/>
          </w:tcPr>
          <w:p w14:paraId="4E6A5B61">
            <w:pPr>
              <w:jc w:val="center"/>
              <w:rPr>
                <w:rFonts w:ascii="Times New Roman" w:hAnsi="Times New Roman" w:cs="Times New Roman"/>
                <w:color w:val="auto"/>
                <w:sz w:val="22"/>
              </w:rPr>
            </w:pPr>
            <w:r>
              <w:rPr>
                <w:rFonts w:ascii="Times New Roman" w:hAnsi="Times New Roman" w:cs="Times New Roman"/>
                <w:color w:val="auto"/>
                <w:sz w:val="22"/>
              </w:rPr>
              <w:t>/</w:t>
            </w:r>
          </w:p>
        </w:tc>
      </w:tr>
      <w:tr w14:paraId="53015D9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1664" w:type="pct"/>
            <w:tcBorders>
              <w:top w:val="single" w:color="auto" w:sz="4" w:space="0"/>
              <w:left w:val="single" w:color="auto" w:sz="4" w:space="0"/>
              <w:bottom w:val="single" w:color="auto" w:sz="4" w:space="0"/>
              <w:right w:val="single" w:color="auto" w:sz="4" w:space="0"/>
            </w:tcBorders>
            <w:vAlign w:val="center"/>
          </w:tcPr>
          <w:p w14:paraId="038456FD">
            <w:pPr>
              <w:jc w:val="center"/>
              <w:rPr>
                <w:rFonts w:ascii="Times New Roman" w:hAnsi="Times New Roman" w:cs="Times New Roman"/>
                <w:color w:val="auto"/>
                <w:sz w:val="22"/>
              </w:rPr>
            </w:pPr>
            <w:r>
              <w:rPr>
                <w:rFonts w:ascii="Times New Roman" w:hAnsi="Times New Roman" w:cs="Times New Roman"/>
                <w:color w:val="auto"/>
                <w:sz w:val="22"/>
              </w:rPr>
              <w:t>化学需氧量（COD）</w:t>
            </w:r>
          </w:p>
        </w:tc>
        <w:tc>
          <w:tcPr>
            <w:tcW w:w="1667" w:type="pct"/>
            <w:tcBorders>
              <w:top w:val="single" w:color="auto" w:sz="4" w:space="0"/>
              <w:left w:val="single" w:color="auto" w:sz="4" w:space="0"/>
              <w:bottom w:val="single" w:color="auto" w:sz="4" w:space="0"/>
              <w:right w:val="single" w:color="auto" w:sz="4" w:space="0"/>
            </w:tcBorders>
            <w:vAlign w:val="center"/>
          </w:tcPr>
          <w:p w14:paraId="0709E02F">
            <w:pPr>
              <w:jc w:val="center"/>
              <w:rPr>
                <w:rFonts w:ascii="Times New Roman" w:hAnsi="Times New Roman" w:cs="Times New Roman"/>
                <w:color w:val="auto"/>
                <w:sz w:val="22"/>
              </w:rPr>
            </w:pPr>
            <w:r>
              <w:rPr>
                <w:rFonts w:ascii="Times New Roman" w:hAnsi="Times New Roman" w:cs="Times New Roman"/>
                <w:color w:val="auto"/>
                <w:sz w:val="22"/>
              </w:rPr>
              <w:t>≤20</w:t>
            </w:r>
          </w:p>
        </w:tc>
        <w:tc>
          <w:tcPr>
            <w:tcW w:w="1668" w:type="pct"/>
            <w:tcBorders>
              <w:top w:val="single" w:color="auto" w:sz="4" w:space="0"/>
              <w:left w:val="single" w:color="auto" w:sz="4" w:space="0"/>
              <w:bottom w:val="single" w:color="auto" w:sz="4" w:space="0"/>
              <w:right w:val="single" w:color="auto" w:sz="4" w:space="0"/>
            </w:tcBorders>
            <w:vAlign w:val="center"/>
          </w:tcPr>
          <w:p w14:paraId="20EA2E5D">
            <w:pPr>
              <w:jc w:val="center"/>
              <w:rPr>
                <w:rFonts w:ascii="Times New Roman" w:hAnsi="Times New Roman" w:cs="Times New Roman"/>
                <w:color w:val="auto"/>
                <w:sz w:val="22"/>
              </w:rPr>
            </w:pPr>
            <w:r>
              <w:rPr>
                <w:rFonts w:ascii="Times New Roman" w:hAnsi="Times New Roman" w:cs="Times New Roman"/>
                <w:color w:val="auto"/>
                <w:sz w:val="22"/>
              </w:rPr>
              <w:t>≤15</w:t>
            </w:r>
          </w:p>
        </w:tc>
      </w:tr>
      <w:tr w14:paraId="01ABCEA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1664" w:type="pct"/>
            <w:tcBorders>
              <w:top w:val="single" w:color="auto" w:sz="4" w:space="0"/>
              <w:left w:val="single" w:color="auto" w:sz="4" w:space="0"/>
              <w:bottom w:val="single" w:color="auto" w:sz="4" w:space="0"/>
              <w:right w:val="single" w:color="auto" w:sz="4" w:space="0"/>
            </w:tcBorders>
            <w:vAlign w:val="center"/>
          </w:tcPr>
          <w:p w14:paraId="7670E982">
            <w:pPr>
              <w:jc w:val="center"/>
              <w:rPr>
                <w:rFonts w:ascii="Times New Roman" w:hAnsi="Times New Roman" w:cs="Times New Roman"/>
                <w:color w:val="auto"/>
                <w:sz w:val="22"/>
              </w:rPr>
            </w:pPr>
            <w:r>
              <w:rPr>
                <w:rFonts w:ascii="Times New Roman" w:hAnsi="Times New Roman" w:cs="Times New Roman"/>
                <w:color w:val="auto"/>
                <w:sz w:val="22"/>
              </w:rPr>
              <w:t>五日生化需氧量（BOD5）</w:t>
            </w:r>
          </w:p>
        </w:tc>
        <w:tc>
          <w:tcPr>
            <w:tcW w:w="1667" w:type="pct"/>
            <w:tcBorders>
              <w:top w:val="single" w:color="auto" w:sz="4" w:space="0"/>
              <w:left w:val="single" w:color="auto" w:sz="4" w:space="0"/>
              <w:bottom w:val="single" w:color="auto" w:sz="4" w:space="0"/>
              <w:right w:val="single" w:color="auto" w:sz="4" w:space="0"/>
            </w:tcBorders>
            <w:vAlign w:val="center"/>
          </w:tcPr>
          <w:p w14:paraId="64BB1723">
            <w:pPr>
              <w:jc w:val="center"/>
              <w:rPr>
                <w:rFonts w:ascii="Times New Roman" w:hAnsi="Times New Roman" w:cs="Times New Roman"/>
                <w:color w:val="auto"/>
                <w:sz w:val="22"/>
              </w:rPr>
            </w:pPr>
            <w:r>
              <w:rPr>
                <w:rFonts w:ascii="Times New Roman" w:hAnsi="Times New Roman" w:cs="Times New Roman"/>
                <w:color w:val="auto"/>
                <w:sz w:val="22"/>
              </w:rPr>
              <w:t>≤4</w:t>
            </w:r>
          </w:p>
        </w:tc>
        <w:tc>
          <w:tcPr>
            <w:tcW w:w="1668" w:type="pct"/>
            <w:tcBorders>
              <w:top w:val="single" w:color="auto" w:sz="4" w:space="0"/>
              <w:left w:val="single" w:color="auto" w:sz="4" w:space="0"/>
              <w:bottom w:val="single" w:color="auto" w:sz="4" w:space="0"/>
              <w:right w:val="single" w:color="auto" w:sz="4" w:space="0"/>
            </w:tcBorders>
            <w:vAlign w:val="center"/>
          </w:tcPr>
          <w:p w14:paraId="78737DBE">
            <w:pPr>
              <w:jc w:val="center"/>
              <w:rPr>
                <w:rFonts w:ascii="Times New Roman" w:hAnsi="Times New Roman" w:cs="Times New Roman"/>
                <w:color w:val="auto"/>
                <w:sz w:val="22"/>
              </w:rPr>
            </w:pPr>
            <w:r>
              <w:rPr>
                <w:rFonts w:ascii="Times New Roman" w:hAnsi="Times New Roman" w:cs="Times New Roman"/>
                <w:color w:val="auto"/>
                <w:sz w:val="22"/>
              </w:rPr>
              <w:t>≤3</w:t>
            </w:r>
          </w:p>
        </w:tc>
      </w:tr>
      <w:tr w14:paraId="41FCDB7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1664" w:type="pct"/>
            <w:tcBorders>
              <w:top w:val="single" w:color="auto" w:sz="4" w:space="0"/>
              <w:left w:val="single" w:color="auto" w:sz="4" w:space="0"/>
              <w:bottom w:val="single" w:color="auto" w:sz="4" w:space="0"/>
              <w:right w:val="single" w:color="auto" w:sz="4" w:space="0"/>
            </w:tcBorders>
            <w:vAlign w:val="center"/>
          </w:tcPr>
          <w:p w14:paraId="37245EA6">
            <w:pPr>
              <w:jc w:val="center"/>
              <w:rPr>
                <w:rFonts w:ascii="Times New Roman" w:hAnsi="Times New Roman" w:cs="Times New Roman"/>
                <w:color w:val="auto"/>
                <w:sz w:val="22"/>
              </w:rPr>
            </w:pPr>
            <w:r>
              <w:rPr>
                <w:rFonts w:ascii="Times New Roman" w:hAnsi="Times New Roman" w:cs="Times New Roman"/>
                <w:color w:val="auto"/>
                <w:sz w:val="22"/>
              </w:rPr>
              <w:t>氨氮（NH3-N）</w:t>
            </w:r>
          </w:p>
        </w:tc>
        <w:tc>
          <w:tcPr>
            <w:tcW w:w="1667" w:type="pct"/>
            <w:tcBorders>
              <w:top w:val="single" w:color="auto" w:sz="4" w:space="0"/>
              <w:left w:val="single" w:color="auto" w:sz="4" w:space="0"/>
              <w:bottom w:val="single" w:color="auto" w:sz="4" w:space="0"/>
              <w:right w:val="single" w:color="auto" w:sz="4" w:space="0"/>
            </w:tcBorders>
            <w:vAlign w:val="center"/>
          </w:tcPr>
          <w:p w14:paraId="094FC8B2">
            <w:pPr>
              <w:jc w:val="center"/>
              <w:rPr>
                <w:rFonts w:ascii="Times New Roman" w:hAnsi="Times New Roman" w:cs="Times New Roman"/>
                <w:color w:val="auto"/>
                <w:sz w:val="22"/>
              </w:rPr>
            </w:pPr>
            <w:r>
              <w:rPr>
                <w:rFonts w:ascii="Times New Roman" w:hAnsi="Times New Roman" w:cs="Times New Roman"/>
                <w:color w:val="auto"/>
                <w:sz w:val="22"/>
              </w:rPr>
              <w:t>≤1.0</w:t>
            </w:r>
          </w:p>
        </w:tc>
        <w:tc>
          <w:tcPr>
            <w:tcW w:w="1668" w:type="pct"/>
            <w:tcBorders>
              <w:top w:val="single" w:color="auto" w:sz="4" w:space="0"/>
              <w:left w:val="single" w:color="auto" w:sz="4" w:space="0"/>
              <w:bottom w:val="single" w:color="auto" w:sz="4" w:space="0"/>
              <w:right w:val="single" w:color="auto" w:sz="4" w:space="0"/>
            </w:tcBorders>
            <w:vAlign w:val="center"/>
          </w:tcPr>
          <w:p w14:paraId="54D31C98">
            <w:pPr>
              <w:jc w:val="center"/>
              <w:rPr>
                <w:rFonts w:ascii="Times New Roman" w:hAnsi="Times New Roman" w:cs="Times New Roman"/>
                <w:color w:val="auto"/>
                <w:sz w:val="22"/>
              </w:rPr>
            </w:pPr>
            <w:r>
              <w:rPr>
                <w:rFonts w:ascii="Times New Roman" w:hAnsi="Times New Roman" w:cs="Times New Roman"/>
                <w:color w:val="auto"/>
                <w:sz w:val="22"/>
              </w:rPr>
              <w:t>≤0.5</w:t>
            </w:r>
          </w:p>
        </w:tc>
      </w:tr>
      <w:tr w14:paraId="403A47C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1664" w:type="pct"/>
            <w:tcBorders>
              <w:top w:val="single" w:color="auto" w:sz="4" w:space="0"/>
              <w:left w:val="single" w:color="auto" w:sz="4" w:space="0"/>
              <w:bottom w:val="single" w:color="auto" w:sz="4" w:space="0"/>
              <w:right w:val="single" w:color="auto" w:sz="4" w:space="0"/>
            </w:tcBorders>
            <w:vAlign w:val="center"/>
          </w:tcPr>
          <w:p w14:paraId="1C7B714B">
            <w:pPr>
              <w:jc w:val="center"/>
              <w:rPr>
                <w:rFonts w:ascii="Times New Roman" w:hAnsi="Times New Roman" w:cs="Times New Roman"/>
                <w:color w:val="auto"/>
                <w:sz w:val="22"/>
              </w:rPr>
            </w:pPr>
            <w:r>
              <w:rPr>
                <w:rFonts w:ascii="Times New Roman" w:hAnsi="Times New Roman" w:cs="Times New Roman"/>
                <w:color w:val="auto"/>
                <w:sz w:val="22"/>
              </w:rPr>
              <w:t>总磷</w:t>
            </w:r>
          </w:p>
        </w:tc>
        <w:tc>
          <w:tcPr>
            <w:tcW w:w="1667" w:type="pct"/>
            <w:tcBorders>
              <w:top w:val="single" w:color="auto" w:sz="4" w:space="0"/>
              <w:left w:val="single" w:color="auto" w:sz="4" w:space="0"/>
              <w:bottom w:val="single" w:color="auto" w:sz="4" w:space="0"/>
              <w:right w:val="single" w:color="auto" w:sz="4" w:space="0"/>
            </w:tcBorders>
            <w:vAlign w:val="center"/>
          </w:tcPr>
          <w:p w14:paraId="46B60BA9">
            <w:pPr>
              <w:jc w:val="center"/>
              <w:rPr>
                <w:rFonts w:ascii="Times New Roman" w:hAnsi="Times New Roman" w:cs="Times New Roman"/>
                <w:color w:val="auto"/>
                <w:sz w:val="22"/>
              </w:rPr>
            </w:pPr>
            <w:r>
              <w:rPr>
                <w:rFonts w:ascii="Times New Roman" w:hAnsi="Times New Roman" w:cs="Times New Roman"/>
                <w:color w:val="auto"/>
                <w:sz w:val="22"/>
              </w:rPr>
              <w:t>≤0.2</w:t>
            </w:r>
          </w:p>
        </w:tc>
        <w:tc>
          <w:tcPr>
            <w:tcW w:w="1668" w:type="pct"/>
            <w:tcBorders>
              <w:top w:val="single" w:color="auto" w:sz="4" w:space="0"/>
              <w:left w:val="single" w:color="auto" w:sz="4" w:space="0"/>
              <w:bottom w:val="single" w:color="auto" w:sz="4" w:space="0"/>
              <w:right w:val="single" w:color="auto" w:sz="4" w:space="0"/>
            </w:tcBorders>
            <w:vAlign w:val="center"/>
          </w:tcPr>
          <w:p w14:paraId="50EA1BD3">
            <w:pPr>
              <w:jc w:val="center"/>
              <w:rPr>
                <w:rFonts w:ascii="Times New Roman" w:hAnsi="Times New Roman" w:cs="Times New Roman"/>
                <w:color w:val="auto"/>
                <w:sz w:val="22"/>
              </w:rPr>
            </w:pPr>
            <w:r>
              <w:rPr>
                <w:rFonts w:ascii="Times New Roman" w:hAnsi="Times New Roman" w:cs="Times New Roman"/>
                <w:color w:val="auto"/>
                <w:sz w:val="22"/>
              </w:rPr>
              <w:t>≤0.1</w:t>
            </w:r>
          </w:p>
        </w:tc>
      </w:tr>
      <w:tr w14:paraId="1BEFBC0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1664" w:type="pct"/>
            <w:tcBorders>
              <w:top w:val="single" w:color="auto" w:sz="4" w:space="0"/>
              <w:left w:val="single" w:color="auto" w:sz="4" w:space="0"/>
              <w:bottom w:val="single" w:color="auto" w:sz="4" w:space="0"/>
              <w:right w:val="single" w:color="auto" w:sz="4" w:space="0"/>
            </w:tcBorders>
            <w:vAlign w:val="center"/>
          </w:tcPr>
          <w:p w14:paraId="16E0FDEE">
            <w:pPr>
              <w:jc w:val="center"/>
              <w:rPr>
                <w:rFonts w:ascii="Times New Roman" w:hAnsi="Times New Roman" w:cs="Times New Roman"/>
                <w:color w:val="auto"/>
                <w:sz w:val="22"/>
              </w:rPr>
            </w:pPr>
            <w:r>
              <w:rPr>
                <w:rFonts w:ascii="Times New Roman" w:hAnsi="Times New Roman" w:cs="Times New Roman"/>
                <w:color w:val="auto"/>
                <w:sz w:val="22"/>
              </w:rPr>
              <w:t>石油类</w:t>
            </w:r>
          </w:p>
        </w:tc>
        <w:tc>
          <w:tcPr>
            <w:tcW w:w="1667" w:type="pct"/>
            <w:tcBorders>
              <w:top w:val="single" w:color="auto" w:sz="4" w:space="0"/>
              <w:left w:val="single" w:color="auto" w:sz="4" w:space="0"/>
              <w:bottom w:val="single" w:color="auto" w:sz="4" w:space="0"/>
              <w:right w:val="single" w:color="auto" w:sz="4" w:space="0"/>
            </w:tcBorders>
            <w:vAlign w:val="center"/>
          </w:tcPr>
          <w:p w14:paraId="507A5C5E">
            <w:pPr>
              <w:jc w:val="center"/>
              <w:rPr>
                <w:rFonts w:ascii="Times New Roman" w:hAnsi="Times New Roman" w:cs="Times New Roman"/>
                <w:color w:val="auto"/>
                <w:sz w:val="22"/>
              </w:rPr>
            </w:pPr>
            <w:r>
              <w:rPr>
                <w:rFonts w:ascii="Times New Roman" w:hAnsi="Times New Roman" w:cs="Times New Roman"/>
                <w:color w:val="auto"/>
                <w:sz w:val="22"/>
              </w:rPr>
              <w:t>≤0.05</w:t>
            </w:r>
          </w:p>
        </w:tc>
        <w:tc>
          <w:tcPr>
            <w:tcW w:w="1668" w:type="pct"/>
            <w:tcBorders>
              <w:top w:val="single" w:color="auto" w:sz="4" w:space="0"/>
              <w:left w:val="single" w:color="auto" w:sz="4" w:space="0"/>
              <w:bottom w:val="single" w:color="auto" w:sz="4" w:space="0"/>
              <w:right w:val="single" w:color="auto" w:sz="4" w:space="0"/>
            </w:tcBorders>
            <w:vAlign w:val="center"/>
          </w:tcPr>
          <w:p w14:paraId="013651E0">
            <w:pPr>
              <w:jc w:val="center"/>
              <w:rPr>
                <w:rFonts w:ascii="Times New Roman" w:hAnsi="Times New Roman" w:cs="Times New Roman"/>
                <w:color w:val="auto"/>
                <w:sz w:val="22"/>
              </w:rPr>
            </w:pPr>
            <w:r>
              <w:rPr>
                <w:rFonts w:ascii="Times New Roman" w:hAnsi="Times New Roman" w:cs="Times New Roman"/>
                <w:color w:val="auto"/>
                <w:sz w:val="22"/>
              </w:rPr>
              <w:t>≤0.05</w:t>
            </w:r>
          </w:p>
        </w:tc>
      </w:tr>
      <w:tr w14:paraId="1C7F900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1664" w:type="pct"/>
            <w:tcBorders>
              <w:top w:val="single" w:color="auto" w:sz="4" w:space="0"/>
              <w:left w:val="single" w:color="auto" w:sz="4" w:space="0"/>
              <w:bottom w:val="single" w:color="auto" w:sz="4" w:space="0"/>
              <w:right w:val="single" w:color="auto" w:sz="4" w:space="0"/>
            </w:tcBorders>
            <w:vAlign w:val="center"/>
          </w:tcPr>
          <w:p w14:paraId="570DB847">
            <w:pPr>
              <w:jc w:val="center"/>
              <w:rPr>
                <w:rFonts w:ascii="Times New Roman" w:hAnsi="Times New Roman" w:cs="Times New Roman"/>
                <w:color w:val="auto"/>
                <w:sz w:val="22"/>
              </w:rPr>
            </w:pPr>
            <w:r>
              <w:rPr>
                <w:rFonts w:ascii="Times New Roman" w:hAnsi="Times New Roman" w:cs="Times New Roman"/>
                <w:color w:val="auto"/>
                <w:sz w:val="22"/>
              </w:rPr>
              <w:t>硫化物</w:t>
            </w:r>
          </w:p>
        </w:tc>
        <w:tc>
          <w:tcPr>
            <w:tcW w:w="1667" w:type="pct"/>
            <w:tcBorders>
              <w:top w:val="single" w:color="auto" w:sz="4" w:space="0"/>
              <w:left w:val="single" w:color="auto" w:sz="4" w:space="0"/>
              <w:bottom w:val="single" w:color="auto" w:sz="4" w:space="0"/>
              <w:right w:val="single" w:color="auto" w:sz="4" w:space="0"/>
            </w:tcBorders>
            <w:vAlign w:val="center"/>
          </w:tcPr>
          <w:p w14:paraId="44636FAB">
            <w:pPr>
              <w:jc w:val="center"/>
              <w:rPr>
                <w:rFonts w:ascii="Times New Roman" w:hAnsi="Times New Roman" w:cs="Times New Roman"/>
                <w:color w:val="auto"/>
                <w:sz w:val="22"/>
              </w:rPr>
            </w:pPr>
            <w:r>
              <w:rPr>
                <w:rFonts w:ascii="Times New Roman" w:hAnsi="Times New Roman" w:cs="Times New Roman"/>
                <w:color w:val="auto"/>
                <w:sz w:val="22"/>
              </w:rPr>
              <w:t>≤0.2</w:t>
            </w:r>
          </w:p>
        </w:tc>
        <w:tc>
          <w:tcPr>
            <w:tcW w:w="1668" w:type="pct"/>
            <w:tcBorders>
              <w:top w:val="single" w:color="auto" w:sz="4" w:space="0"/>
              <w:left w:val="single" w:color="auto" w:sz="4" w:space="0"/>
              <w:bottom w:val="single" w:color="auto" w:sz="4" w:space="0"/>
              <w:right w:val="single" w:color="auto" w:sz="4" w:space="0"/>
            </w:tcBorders>
            <w:vAlign w:val="center"/>
          </w:tcPr>
          <w:p w14:paraId="35BFDC9F">
            <w:pPr>
              <w:jc w:val="center"/>
              <w:rPr>
                <w:rFonts w:ascii="Times New Roman" w:hAnsi="Times New Roman" w:cs="Times New Roman"/>
                <w:color w:val="auto"/>
                <w:sz w:val="22"/>
              </w:rPr>
            </w:pPr>
            <w:r>
              <w:rPr>
                <w:rFonts w:ascii="Times New Roman" w:hAnsi="Times New Roman" w:cs="Times New Roman"/>
                <w:color w:val="auto"/>
                <w:sz w:val="22"/>
              </w:rPr>
              <w:t>≤0.1</w:t>
            </w:r>
          </w:p>
        </w:tc>
      </w:tr>
      <w:tr w14:paraId="5B21FC3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1664" w:type="pct"/>
            <w:tcBorders>
              <w:top w:val="single" w:color="auto" w:sz="4" w:space="0"/>
              <w:left w:val="single" w:color="auto" w:sz="4" w:space="0"/>
              <w:bottom w:val="single" w:color="auto" w:sz="4" w:space="0"/>
              <w:right w:val="single" w:color="auto" w:sz="4" w:space="0"/>
            </w:tcBorders>
            <w:vAlign w:val="center"/>
          </w:tcPr>
          <w:p w14:paraId="64C48B2B">
            <w:pPr>
              <w:jc w:val="center"/>
              <w:rPr>
                <w:rFonts w:ascii="Times New Roman" w:hAnsi="Times New Roman" w:cs="Times New Roman"/>
                <w:color w:val="auto"/>
                <w:sz w:val="22"/>
              </w:rPr>
            </w:pPr>
            <w:r>
              <w:rPr>
                <w:rFonts w:ascii="Times New Roman" w:hAnsi="Times New Roman" w:cs="Times New Roman"/>
                <w:color w:val="auto"/>
                <w:sz w:val="22"/>
              </w:rPr>
              <w:t>氯化物</w:t>
            </w:r>
          </w:p>
        </w:tc>
        <w:tc>
          <w:tcPr>
            <w:tcW w:w="1667" w:type="pct"/>
            <w:tcBorders>
              <w:top w:val="single" w:color="auto" w:sz="4" w:space="0"/>
              <w:left w:val="single" w:color="auto" w:sz="4" w:space="0"/>
              <w:bottom w:val="single" w:color="auto" w:sz="4" w:space="0"/>
              <w:right w:val="single" w:color="auto" w:sz="4" w:space="0"/>
            </w:tcBorders>
            <w:vAlign w:val="center"/>
          </w:tcPr>
          <w:p w14:paraId="631BE6C8">
            <w:pPr>
              <w:jc w:val="center"/>
              <w:rPr>
                <w:rFonts w:ascii="Times New Roman" w:hAnsi="Times New Roman" w:cs="Times New Roman"/>
                <w:color w:val="auto"/>
                <w:sz w:val="22"/>
              </w:rPr>
            </w:pPr>
            <w:r>
              <w:rPr>
                <w:rFonts w:ascii="Times New Roman" w:hAnsi="Times New Roman" w:cs="Times New Roman"/>
                <w:color w:val="auto"/>
                <w:sz w:val="22"/>
              </w:rPr>
              <w:t>≤250</w:t>
            </w:r>
          </w:p>
        </w:tc>
        <w:tc>
          <w:tcPr>
            <w:tcW w:w="1668" w:type="pct"/>
            <w:tcBorders>
              <w:top w:val="single" w:color="auto" w:sz="4" w:space="0"/>
              <w:left w:val="single" w:color="auto" w:sz="4" w:space="0"/>
              <w:bottom w:val="single" w:color="auto" w:sz="4" w:space="0"/>
              <w:right w:val="single" w:color="auto" w:sz="4" w:space="0"/>
            </w:tcBorders>
            <w:vAlign w:val="center"/>
          </w:tcPr>
          <w:p w14:paraId="407171A7">
            <w:pPr>
              <w:jc w:val="center"/>
              <w:rPr>
                <w:rFonts w:ascii="Times New Roman" w:hAnsi="Times New Roman" w:cs="Times New Roman"/>
                <w:color w:val="auto"/>
                <w:sz w:val="22"/>
              </w:rPr>
            </w:pPr>
            <w:r>
              <w:rPr>
                <w:rFonts w:ascii="Times New Roman" w:hAnsi="Times New Roman" w:cs="Times New Roman"/>
                <w:color w:val="auto"/>
                <w:sz w:val="22"/>
              </w:rPr>
              <w:t>≤250</w:t>
            </w:r>
          </w:p>
        </w:tc>
      </w:tr>
      <w:tr w14:paraId="61FB682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1664" w:type="pct"/>
            <w:tcBorders>
              <w:top w:val="single" w:color="auto" w:sz="4" w:space="0"/>
              <w:left w:val="single" w:color="auto" w:sz="4" w:space="0"/>
              <w:bottom w:val="single" w:color="auto" w:sz="4" w:space="0"/>
              <w:right w:val="single" w:color="auto" w:sz="4" w:space="0"/>
            </w:tcBorders>
            <w:vAlign w:val="center"/>
          </w:tcPr>
          <w:p w14:paraId="41D4CC8D">
            <w:pPr>
              <w:jc w:val="center"/>
              <w:rPr>
                <w:rFonts w:ascii="Times New Roman" w:hAnsi="Times New Roman" w:cs="Times New Roman"/>
                <w:color w:val="auto"/>
                <w:sz w:val="22"/>
              </w:rPr>
            </w:pPr>
            <w:r>
              <w:rPr>
                <w:rFonts w:ascii="Times New Roman" w:hAnsi="Times New Roman" w:cs="Times New Roman"/>
                <w:color w:val="auto"/>
                <w:sz w:val="22"/>
              </w:rPr>
              <w:t>挥发酚</w:t>
            </w:r>
          </w:p>
        </w:tc>
        <w:tc>
          <w:tcPr>
            <w:tcW w:w="1667" w:type="pct"/>
            <w:tcBorders>
              <w:top w:val="single" w:color="auto" w:sz="4" w:space="0"/>
              <w:left w:val="single" w:color="auto" w:sz="4" w:space="0"/>
              <w:bottom w:val="single" w:color="auto" w:sz="4" w:space="0"/>
              <w:right w:val="single" w:color="auto" w:sz="4" w:space="0"/>
            </w:tcBorders>
            <w:vAlign w:val="center"/>
          </w:tcPr>
          <w:p w14:paraId="1BB81484">
            <w:pPr>
              <w:jc w:val="center"/>
              <w:rPr>
                <w:rFonts w:ascii="Times New Roman" w:hAnsi="Times New Roman" w:cs="Times New Roman"/>
                <w:color w:val="auto"/>
                <w:sz w:val="22"/>
              </w:rPr>
            </w:pPr>
            <w:r>
              <w:rPr>
                <w:rFonts w:ascii="Times New Roman" w:hAnsi="Times New Roman" w:cs="Times New Roman"/>
                <w:color w:val="auto"/>
                <w:sz w:val="22"/>
              </w:rPr>
              <w:t>≤0.005</w:t>
            </w:r>
          </w:p>
        </w:tc>
        <w:tc>
          <w:tcPr>
            <w:tcW w:w="1668" w:type="pct"/>
            <w:tcBorders>
              <w:top w:val="single" w:color="auto" w:sz="4" w:space="0"/>
              <w:left w:val="single" w:color="auto" w:sz="4" w:space="0"/>
              <w:bottom w:val="single" w:color="auto" w:sz="4" w:space="0"/>
              <w:right w:val="single" w:color="auto" w:sz="4" w:space="0"/>
            </w:tcBorders>
            <w:vAlign w:val="center"/>
          </w:tcPr>
          <w:p w14:paraId="7FF7D6E1">
            <w:pPr>
              <w:jc w:val="center"/>
              <w:rPr>
                <w:rFonts w:ascii="Times New Roman" w:hAnsi="Times New Roman" w:cs="Times New Roman"/>
                <w:color w:val="auto"/>
                <w:sz w:val="22"/>
              </w:rPr>
            </w:pPr>
            <w:r>
              <w:rPr>
                <w:rFonts w:ascii="Times New Roman" w:hAnsi="Times New Roman" w:cs="Times New Roman"/>
                <w:color w:val="auto"/>
                <w:sz w:val="22"/>
              </w:rPr>
              <w:t>≤0.002</w:t>
            </w:r>
          </w:p>
        </w:tc>
      </w:tr>
      <w:tr w14:paraId="596513C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1664" w:type="pct"/>
            <w:tcBorders>
              <w:top w:val="single" w:color="auto" w:sz="4" w:space="0"/>
              <w:left w:val="single" w:color="auto" w:sz="4" w:space="0"/>
              <w:bottom w:val="single" w:color="auto" w:sz="4" w:space="0"/>
              <w:right w:val="single" w:color="auto" w:sz="4" w:space="0"/>
            </w:tcBorders>
            <w:vAlign w:val="center"/>
          </w:tcPr>
          <w:p w14:paraId="04D78819">
            <w:pPr>
              <w:jc w:val="center"/>
              <w:rPr>
                <w:rFonts w:ascii="Times New Roman" w:hAnsi="Times New Roman" w:cs="Times New Roman"/>
                <w:color w:val="auto"/>
                <w:sz w:val="22"/>
              </w:rPr>
            </w:pPr>
            <w:r>
              <w:rPr>
                <w:rFonts w:ascii="Times New Roman" w:hAnsi="Times New Roman" w:cs="Times New Roman"/>
                <w:color w:val="auto"/>
                <w:sz w:val="22"/>
              </w:rPr>
              <w:t>硫酸盐</w:t>
            </w:r>
          </w:p>
        </w:tc>
        <w:tc>
          <w:tcPr>
            <w:tcW w:w="1667" w:type="pct"/>
            <w:tcBorders>
              <w:top w:val="single" w:color="auto" w:sz="4" w:space="0"/>
              <w:left w:val="single" w:color="auto" w:sz="4" w:space="0"/>
              <w:bottom w:val="single" w:color="auto" w:sz="4" w:space="0"/>
              <w:right w:val="single" w:color="auto" w:sz="4" w:space="0"/>
            </w:tcBorders>
            <w:vAlign w:val="center"/>
          </w:tcPr>
          <w:p w14:paraId="5B8CD815">
            <w:pPr>
              <w:jc w:val="center"/>
              <w:rPr>
                <w:rFonts w:ascii="Times New Roman" w:hAnsi="Times New Roman" w:cs="Times New Roman"/>
                <w:color w:val="auto"/>
                <w:sz w:val="22"/>
              </w:rPr>
            </w:pPr>
            <w:r>
              <w:rPr>
                <w:rFonts w:ascii="Times New Roman" w:hAnsi="Times New Roman" w:cs="Times New Roman"/>
                <w:color w:val="auto"/>
                <w:sz w:val="22"/>
              </w:rPr>
              <w:t>≤250</w:t>
            </w:r>
          </w:p>
        </w:tc>
        <w:tc>
          <w:tcPr>
            <w:tcW w:w="1668" w:type="pct"/>
            <w:tcBorders>
              <w:top w:val="single" w:color="auto" w:sz="4" w:space="0"/>
              <w:left w:val="single" w:color="auto" w:sz="4" w:space="0"/>
              <w:bottom w:val="single" w:color="auto" w:sz="4" w:space="0"/>
              <w:right w:val="single" w:color="auto" w:sz="4" w:space="0"/>
            </w:tcBorders>
            <w:vAlign w:val="center"/>
          </w:tcPr>
          <w:p w14:paraId="454A95E4">
            <w:pPr>
              <w:jc w:val="center"/>
              <w:rPr>
                <w:rFonts w:ascii="Times New Roman" w:hAnsi="Times New Roman" w:cs="Times New Roman"/>
                <w:color w:val="auto"/>
                <w:sz w:val="22"/>
              </w:rPr>
            </w:pPr>
            <w:r>
              <w:rPr>
                <w:rFonts w:ascii="Times New Roman" w:hAnsi="Times New Roman" w:cs="Times New Roman"/>
                <w:color w:val="auto"/>
                <w:sz w:val="22"/>
              </w:rPr>
              <w:t>≤250</w:t>
            </w:r>
          </w:p>
        </w:tc>
      </w:tr>
      <w:tr w14:paraId="30C6CB1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jc w:val="center"/>
        </w:trPr>
        <w:tc>
          <w:tcPr>
            <w:tcW w:w="1664" w:type="pct"/>
            <w:tcBorders>
              <w:top w:val="single" w:color="auto" w:sz="4" w:space="0"/>
              <w:left w:val="single" w:color="auto" w:sz="4" w:space="0"/>
              <w:bottom w:val="single" w:color="auto" w:sz="4" w:space="0"/>
              <w:right w:val="single" w:color="auto" w:sz="4" w:space="0"/>
            </w:tcBorders>
            <w:vAlign w:val="center"/>
          </w:tcPr>
          <w:p w14:paraId="15B3E1B4">
            <w:pPr>
              <w:jc w:val="center"/>
              <w:rPr>
                <w:rFonts w:ascii="Times New Roman" w:hAnsi="Times New Roman" w:cs="Times New Roman"/>
                <w:color w:val="auto"/>
                <w:sz w:val="22"/>
              </w:rPr>
            </w:pPr>
            <w:r>
              <w:rPr>
                <w:rFonts w:ascii="Times New Roman" w:hAnsi="Times New Roman" w:cs="Times New Roman"/>
                <w:color w:val="auto"/>
                <w:sz w:val="22"/>
              </w:rPr>
              <w:t>LAS</w:t>
            </w:r>
          </w:p>
        </w:tc>
        <w:tc>
          <w:tcPr>
            <w:tcW w:w="1667" w:type="pct"/>
            <w:tcBorders>
              <w:top w:val="single" w:color="auto" w:sz="4" w:space="0"/>
              <w:left w:val="single" w:color="auto" w:sz="4" w:space="0"/>
              <w:bottom w:val="single" w:color="auto" w:sz="4" w:space="0"/>
              <w:right w:val="single" w:color="auto" w:sz="4" w:space="0"/>
            </w:tcBorders>
            <w:vAlign w:val="center"/>
          </w:tcPr>
          <w:p w14:paraId="30E68345">
            <w:pPr>
              <w:jc w:val="center"/>
              <w:rPr>
                <w:rFonts w:ascii="Times New Roman" w:hAnsi="Times New Roman" w:cs="Times New Roman"/>
                <w:color w:val="auto"/>
                <w:sz w:val="22"/>
              </w:rPr>
            </w:pPr>
            <w:r>
              <w:rPr>
                <w:rFonts w:ascii="Times New Roman" w:hAnsi="Times New Roman" w:cs="Times New Roman"/>
                <w:color w:val="auto"/>
                <w:sz w:val="22"/>
              </w:rPr>
              <w:t>≤0.2</w:t>
            </w:r>
          </w:p>
        </w:tc>
        <w:tc>
          <w:tcPr>
            <w:tcW w:w="1668" w:type="pct"/>
            <w:tcBorders>
              <w:top w:val="single" w:color="auto" w:sz="4" w:space="0"/>
              <w:left w:val="single" w:color="auto" w:sz="4" w:space="0"/>
              <w:bottom w:val="single" w:color="auto" w:sz="4" w:space="0"/>
              <w:right w:val="single" w:color="auto" w:sz="4" w:space="0"/>
            </w:tcBorders>
            <w:vAlign w:val="center"/>
          </w:tcPr>
          <w:p w14:paraId="1646AF7B">
            <w:pPr>
              <w:jc w:val="center"/>
              <w:rPr>
                <w:rFonts w:ascii="Times New Roman" w:hAnsi="Times New Roman" w:cs="Times New Roman"/>
                <w:color w:val="auto"/>
                <w:sz w:val="22"/>
              </w:rPr>
            </w:pPr>
            <w:r>
              <w:rPr>
                <w:rFonts w:ascii="Times New Roman" w:hAnsi="Times New Roman" w:cs="Times New Roman"/>
                <w:color w:val="auto"/>
                <w:sz w:val="22"/>
              </w:rPr>
              <w:t>≤0.2</w:t>
            </w:r>
          </w:p>
        </w:tc>
      </w:tr>
    </w:tbl>
    <w:p w14:paraId="556AF1AC">
      <w:pPr>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3、地下水</w:t>
      </w:r>
    </w:p>
    <w:p w14:paraId="02C64109">
      <w:pPr>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地下水执行《地下水质量标准》（GB/T14848-2017）中Ⅲ类标准。</w:t>
      </w:r>
    </w:p>
    <w:p w14:paraId="0AB998D1">
      <w:pPr>
        <w:pStyle w:val="6"/>
        <w:bidi w:val="0"/>
      </w:pPr>
      <w:r>
        <w:rPr>
          <w:rFonts w:hint="eastAsia"/>
        </w:rPr>
        <w:t>表2.4.2-3    地下水质量标准    单位：mg/L（pH无量纲）</w:t>
      </w:r>
    </w:p>
    <w:tbl>
      <w:tblPr>
        <w:tblStyle w:val="41"/>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46"/>
        <w:gridCol w:w="2522"/>
        <w:gridCol w:w="1295"/>
        <w:gridCol w:w="673"/>
        <w:gridCol w:w="1460"/>
        <w:gridCol w:w="1921"/>
      </w:tblGrid>
      <w:tr w14:paraId="333B20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79" w:type="pct"/>
            <w:tcBorders>
              <w:top w:val="single" w:color="auto" w:sz="4" w:space="0"/>
              <w:left w:val="single" w:color="auto" w:sz="4" w:space="0"/>
            </w:tcBorders>
            <w:vAlign w:val="center"/>
          </w:tcPr>
          <w:p w14:paraId="0D28334B">
            <w:pPr>
              <w:jc w:val="center"/>
              <w:rPr>
                <w:rFonts w:ascii="Times New Roman" w:hAnsi="Times New Roman" w:eastAsia="宋体" w:cs="Times New Roman"/>
                <w:b/>
                <w:bCs/>
                <w:color w:val="auto"/>
                <w:szCs w:val="21"/>
                <w:lang w:eastAsia="zh-TW"/>
              </w:rPr>
            </w:pPr>
            <w:r>
              <w:rPr>
                <w:rFonts w:ascii="Times New Roman" w:hAnsi="Times New Roman" w:eastAsia="宋体" w:cs="Times New Roman"/>
                <w:b/>
                <w:bCs/>
                <w:color w:val="auto"/>
                <w:szCs w:val="21"/>
                <w:lang w:eastAsia="zh-TW"/>
              </w:rPr>
              <w:t>序号</w:t>
            </w:r>
          </w:p>
        </w:tc>
        <w:tc>
          <w:tcPr>
            <w:tcW w:w="1480" w:type="pct"/>
            <w:tcBorders>
              <w:top w:val="single" w:color="auto" w:sz="4" w:space="0"/>
            </w:tcBorders>
            <w:vAlign w:val="center"/>
          </w:tcPr>
          <w:p w14:paraId="5A44728B">
            <w:pPr>
              <w:jc w:val="center"/>
              <w:rPr>
                <w:rFonts w:ascii="Times New Roman" w:hAnsi="Times New Roman" w:eastAsia="宋体" w:cs="Times New Roman"/>
                <w:b/>
                <w:bCs/>
                <w:color w:val="auto"/>
                <w:szCs w:val="21"/>
                <w:lang w:eastAsia="zh-TW"/>
              </w:rPr>
            </w:pPr>
            <w:r>
              <w:rPr>
                <w:rFonts w:ascii="Times New Roman" w:hAnsi="Times New Roman" w:eastAsia="宋体" w:cs="Times New Roman"/>
                <w:b/>
                <w:bCs/>
                <w:color w:val="auto"/>
                <w:szCs w:val="21"/>
                <w:lang w:eastAsia="zh-TW"/>
              </w:rPr>
              <w:t>项    目</w:t>
            </w:r>
          </w:p>
        </w:tc>
        <w:tc>
          <w:tcPr>
            <w:tcW w:w="760" w:type="pct"/>
            <w:tcBorders>
              <w:top w:val="single" w:color="auto" w:sz="4" w:space="0"/>
            </w:tcBorders>
            <w:vAlign w:val="center"/>
          </w:tcPr>
          <w:p w14:paraId="0EEB12D2">
            <w:pPr>
              <w:jc w:val="center"/>
              <w:rPr>
                <w:rFonts w:ascii="Times New Roman" w:hAnsi="Times New Roman" w:eastAsia="宋体" w:cs="Times New Roman"/>
                <w:b/>
                <w:bCs/>
                <w:color w:val="auto"/>
                <w:szCs w:val="21"/>
                <w:lang w:eastAsia="zh-TW"/>
              </w:rPr>
            </w:pPr>
            <w:r>
              <w:rPr>
                <w:rFonts w:ascii="Times New Roman" w:hAnsi="Times New Roman" w:eastAsia="宋体" w:cs="Times New Roman"/>
                <w:b/>
                <w:bCs/>
                <w:color w:val="auto"/>
                <w:szCs w:val="21"/>
                <w:lang w:eastAsia="zh-TW"/>
              </w:rPr>
              <w:t>标准值</w:t>
            </w:r>
          </w:p>
        </w:tc>
        <w:tc>
          <w:tcPr>
            <w:tcW w:w="395" w:type="pct"/>
            <w:tcBorders>
              <w:top w:val="single" w:color="auto" w:sz="4" w:space="0"/>
            </w:tcBorders>
            <w:vAlign w:val="center"/>
          </w:tcPr>
          <w:p w14:paraId="6B3DCA71">
            <w:pPr>
              <w:jc w:val="center"/>
              <w:rPr>
                <w:rFonts w:ascii="Times New Roman" w:hAnsi="Times New Roman" w:eastAsia="宋体" w:cs="Times New Roman"/>
                <w:b/>
                <w:bCs/>
                <w:color w:val="auto"/>
                <w:szCs w:val="21"/>
                <w:lang w:eastAsia="zh-TW"/>
              </w:rPr>
            </w:pPr>
            <w:r>
              <w:rPr>
                <w:rFonts w:ascii="Times New Roman" w:hAnsi="Times New Roman" w:eastAsia="宋体" w:cs="Times New Roman"/>
                <w:b/>
                <w:bCs/>
                <w:color w:val="auto"/>
                <w:szCs w:val="21"/>
                <w:lang w:eastAsia="zh-TW"/>
              </w:rPr>
              <w:t>序号</w:t>
            </w:r>
          </w:p>
        </w:tc>
        <w:tc>
          <w:tcPr>
            <w:tcW w:w="857" w:type="pct"/>
            <w:tcBorders>
              <w:top w:val="single" w:color="auto" w:sz="4" w:space="0"/>
            </w:tcBorders>
            <w:vAlign w:val="center"/>
          </w:tcPr>
          <w:p w14:paraId="3C8C4E2E">
            <w:pPr>
              <w:jc w:val="center"/>
              <w:rPr>
                <w:rFonts w:ascii="Times New Roman" w:hAnsi="Times New Roman" w:eastAsia="宋体" w:cs="Times New Roman"/>
                <w:b/>
                <w:bCs/>
                <w:color w:val="auto"/>
                <w:szCs w:val="21"/>
                <w:lang w:eastAsia="zh-TW"/>
              </w:rPr>
            </w:pPr>
            <w:r>
              <w:rPr>
                <w:rFonts w:ascii="Times New Roman" w:hAnsi="Times New Roman" w:eastAsia="宋体" w:cs="Times New Roman"/>
                <w:b/>
                <w:bCs/>
                <w:color w:val="auto"/>
                <w:szCs w:val="21"/>
                <w:lang w:eastAsia="zh-TW"/>
              </w:rPr>
              <w:t>项目</w:t>
            </w:r>
          </w:p>
        </w:tc>
        <w:tc>
          <w:tcPr>
            <w:tcW w:w="1127" w:type="pct"/>
            <w:tcBorders>
              <w:top w:val="single" w:color="auto" w:sz="4" w:space="0"/>
              <w:right w:val="single" w:color="auto" w:sz="4" w:space="0"/>
            </w:tcBorders>
            <w:vAlign w:val="center"/>
          </w:tcPr>
          <w:p w14:paraId="6DA021BC">
            <w:pPr>
              <w:jc w:val="center"/>
              <w:rPr>
                <w:rFonts w:ascii="Times New Roman" w:hAnsi="Times New Roman" w:eastAsia="宋体" w:cs="Times New Roman"/>
                <w:b/>
                <w:bCs/>
                <w:color w:val="auto"/>
                <w:szCs w:val="21"/>
                <w:lang w:eastAsia="zh-TW"/>
              </w:rPr>
            </w:pPr>
            <w:r>
              <w:rPr>
                <w:rFonts w:ascii="Times New Roman" w:hAnsi="Times New Roman" w:eastAsia="宋体" w:cs="Times New Roman"/>
                <w:b/>
                <w:bCs/>
                <w:color w:val="auto"/>
                <w:szCs w:val="21"/>
                <w:lang w:eastAsia="zh-TW"/>
              </w:rPr>
              <w:t>标准值</w:t>
            </w:r>
          </w:p>
        </w:tc>
      </w:tr>
      <w:tr w14:paraId="6C5FB4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79" w:type="pct"/>
            <w:tcBorders>
              <w:left w:val="single" w:color="auto" w:sz="4" w:space="0"/>
            </w:tcBorders>
            <w:vAlign w:val="center"/>
          </w:tcPr>
          <w:p w14:paraId="7E4C957C">
            <w:pPr>
              <w:jc w:val="center"/>
              <w:rPr>
                <w:rFonts w:ascii="Times New Roman" w:hAnsi="Times New Roman" w:eastAsia="宋体" w:cs="Times New Roman"/>
                <w:color w:val="auto"/>
                <w:szCs w:val="21"/>
                <w:lang w:eastAsia="zh-TW"/>
              </w:rPr>
            </w:pPr>
            <w:r>
              <w:rPr>
                <w:rFonts w:ascii="Times New Roman" w:hAnsi="Times New Roman" w:eastAsia="宋体" w:cs="Times New Roman"/>
                <w:color w:val="auto"/>
                <w:szCs w:val="21"/>
                <w:lang w:eastAsia="zh-TW"/>
              </w:rPr>
              <w:t>1</w:t>
            </w:r>
          </w:p>
        </w:tc>
        <w:tc>
          <w:tcPr>
            <w:tcW w:w="1480" w:type="pct"/>
            <w:vAlign w:val="center"/>
          </w:tcPr>
          <w:p w14:paraId="5B0FADC8">
            <w:pPr>
              <w:jc w:val="center"/>
              <w:rPr>
                <w:rFonts w:ascii="Times New Roman" w:hAnsi="Times New Roman" w:eastAsia="宋体" w:cs="Times New Roman"/>
                <w:color w:val="auto"/>
                <w:szCs w:val="21"/>
                <w:lang w:eastAsia="zh-TW"/>
              </w:rPr>
            </w:pPr>
            <w:r>
              <w:rPr>
                <w:rFonts w:ascii="Times New Roman" w:hAnsi="Times New Roman" w:eastAsia="宋体" w:cs="Times New Roman"/>
                <w:color w:val="auto"/>
                <w:szCs w:val="21"/>
                <w:lang w:eastAsia="zh-TW"/>
              </w:rPr>
              <w:t>pH值</w:t>
            </w:r>
          </w:p>
        </w:tc>
        <w:tc>
          <w:tcPr>
            <w:tcW w:w="760" w:type="pct"/>
            <w:vAlign w:val="center"/>
          </w:tcPr>
          <w:p w14:paraId="038AB5B1">
            <w:pPr>
              <w:jc w:val="center"/>
              <w:rPr>
                <w:rFonts w:ascii="Times New Roman" w:hAnsi="Times New Roman" w:eastAsia="宋体" w:cs="Times New Roman"/>
                <w:color w:val="auto"/>
                <w:szCs w:val="21"/>
                <w:lang w:eastAsia="zh-TW"/>
              </w:rPr>
            </w:pPr>
            <w:r>
              <w:rPr>
                <w:rFonts w:ascii="Times New Roman" w:hAnsi="Times New Roman" w:eastAsia="宋体" w:cs="Times New Roman"/>
                <w:color w:val="auto"/>
                <w:szCs w:val="21"/>
                <w:lang w:eastAsia="zh-TW"/>
              </w:rPr>
              <w:t>6.5～8.5</w:t>
            </w:r>
          </w:p>
        </w:tc>
        <w:tc>
          <w:tcPr>
            <w:tcW w:w="395" w:type="pct"/>
            <w:vAlign w:val="center"/>
          </w:tcPr>
          <w:p w14:paraId="7B68E738">
            <w:pPr>
              <w:jc w:val="center"/>
              <w:rPr>
                <w:rFonts w:ascii="Times New Roman" w:hAnsi="Times New Roman" w:eastAsia="宋体" w:cs="Times New Roman"/>
                <w:color w:val="auto"/>
                <w:szCs w:val="21"/>
              </w:rPr>
            </w:pPr>
            <w:r>
              <w:rPr>
                <w:rFonts w:ascii="Times New Roman" w:hAnsi="Times New Roman" w:eastAsia="宋体" w:cs="Times New Roman"/>
                <w:color w:val="auto"/>
                <w:szCs w:val="21"/>
                <w:lang w:eastAsia="zh-TW"/>
              </w:rPr>
              <w:t>1</w:t>
            </w:r>
            <w:r>
              <w:rPr>
                <w:rFonts w:ascii="Times New Roman" w:hAnsi="Times New Roman" w:eastAsia="宋体" w:cs="Times New Roman"/>
                <w:color w:val="auto"/>
                <w:szCs w:val="21"/>
              </w:rPr>
              <w:t>2</w:t>
            </w:r>
          </w:p>
        </w:tc>
        <w:tc>
          <w:tcPr>
            <w:tcW w:w="857" w:type="pct"/>
            <w:vAlign w:val="center"/>
          </w:tcPr>
          <w:p w14:paraId="027B37B9">
            <w:pPr>
              <w:jc w:val="center"/>
              <w:rPr>
                <w:rFonts w:ascii="Times New Roman" w:hAnsi="Times New Roman" w:eastAsia="宋体" w:cs="Times New Roman"/>
                <w:color w:val="auto"/>
                <w:szCs w:val="21"/>
                <w:lang w:eastAsia="zh-TW"/>
              </w:rPr>
            </w:pPr>
            <w:r>
              <w:rPr>
                <w:rFonts w:ascii="Times New Roman" w:hAnsi="Times New Roman" w:eastAsia="宋体" w:cs="Times New Roman"/>
                <w:color w:val="auto"/>
                <w:szCs w:val="21"/>
              </w:rPr>
              <w:t>锌</w:t>
            </w:r>
          </w:p>
        </w:tc>
        <w:tc>
          <w:tcPr>
            <w:tcW w:w="1127" w:type="pct"/>
            <w:tcBorders>
              <w:right w:val="single" w:color="auto" w:sz="4" w:space="0"/>
            </w:tcBorders>
            <w:vAlign w:val="center"/>
          </w:tcPr>
          <w:p w14:paraId="4C1568BB">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≤1.0</w:t>
            </w:r>
          </w:p>
        </w:tc>
      </w:tr>
      <w:tr w14:paraId="139727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79" w:type="pct"/>
            <w:tcBorders>
              <w:left w:val="single" w:color="auto" w:sz="4" w:space="0"/>
            </w:tcBorders>
            <w:vAlign w:val="center"/>
          </w:tcPr>
          <w:p w14:paraId="2E9A09C0">
            <w:pPr>
              <w:jc w:val="center"/>
              <w:rPr>
                <w:rFonts w:ascii="Times New Roman" w:hAnsi="Times New Roman" w:eastAsia="宋体" w:cs="Times New Roman"/>
                <w:color w:val="auto"/>
                <w:szCs w:val="21"/>
                <w:lang w:eastAsia="zh-TW"/>
              </w:rPr>
            </w:pPr>
            <w:r>
              <w:rPr>
                <w:rFonts w:ascii="Times New Roman" w:hAnsi="Times New Roman" w:eastAsia="宋体" w:cs="Times New Roman"/>
                <w:color w:val="auto"/>
                <w:szCs w:val="21"/>
                <w:lang w:eastAsia="zh-TW"/>
              </w:rPr>
              <w:t>2</w:t>
            </w:r>
          </w:p>
        </w:tc>
        <w:tc>
          <w:tcPr>
            <w:tcW w:w="1480" w:type="pct"/>
            <w:vAlign w:val="center"/>
          </w:tcPr>
          <w:p w14:paraId="6674D54D">
            <w:pPr>
              <w:jc w:val="center"/>
              <w:rPr>
                <w:rFonts w:ascii="Times New Roman" w:hAnsi="Times New Roman" w:eastAsia="宋体" w:cs="Times New Roman"/>
                <w:color w:val="auto"/>
                <w:szCs w:val="21"/>
                <w:lang w:eastAsia="zh-TW"/>
              </w:rPr>
            </w:pPr>
            <w:r>
              <w:rPr>
                <w:rFonts w:ascii="Times New Roman" w:hAnsi="Times New Roman" w:eastAsia="宋体" w:cs="Times New Roman"/>
                <w:color w:val="auto"/>
                <w:szCs w:val="21"/>
                <w:lang w:eastAsia="zh-TW"/>
              </w:rPr>
              <w:t>总硬度</w:t>
            </w:r>
          </w:p>
        </w:tc>
        <w:tc>
          <w:tcPr>
            <w:tcW w:w="760" w:type="pct"/>
            <w:vAlign w:val="center"/>
          </w:tcPr>
          <w:p w14:paraId="2B27E0E9">
            <w:pPr>
              <w:jc w:val="center"/>
              <w:rPr>
                <w:rFonts w:ascii="Times New Roman" w:hAnsi="Times New Roman" w:eastAsia="宋体" w:cs="Times New Roman"/>
                <w:color w:val="auto"/>
                <w:szCs w:val="21"/>
                <w:lang w:eastAsia="zh-TW"/>
              </w:rPr>
            </w:pPr>
            <w:r>
              <w:rPr>
                <w:rFonts w:ascii="Times New Roman" w:hAnsi="Times New Roman" w:eastAsia="宋体" w:cs="Times New Roman"/>
                <w:color w:val="auto"/>
                <w:szCs w:val="21"/>
                <w:lang w:eastAsia="zh-TW"/>
              </w:rPr>
              <w:t>≤450</w:t>
            </w:r>
          </w:p>
        </w:tc>
        <w:tc>
          <w:tcPr>
            <w:tcW w:w="395" w:type="pct"/>
            <w:vAlign w:val="center"/>
          </w:tcPr>
          <w:p w14:paraId="33EC20BD">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13</w:t>
            </w:r>
          </w:p>
        </w:tc>
        <w:tc>
          <w:tcPr>
            <w:tcW w:w="857" w:type="pct"/>
            <w:vAlign w:val="center"/>
          </w:tcPr>
          <w:p w14:paraId="04B0C130">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铁</w:t>
            </w:r>
          </w:p>
        </w:tc>
        <w:tc>
          <w:tcPr>
            <w:tcW w:w="1127" w:type="pct"/>
            <w:tcBorders>
              <w:right w:val="single" w:color="auto" w:sz="4" w:space="0"/>
            </w:tcBorders>
            <w:vAlign w:val="center"/>
          </w:tcPr>
          <w:p w14:paraId="0BF00FB4">
            <w:pPr>
              <w:jc w:val="center"/>
              <w:rPr>
                <w:rFonts w:ascii="Times New Roman" w:hAnsi="Times New Roman" w:eastAsia="宋体" w:cs="Times New Roman"/>
                <w:color w:val="auto"/>
                <w:szCs w:val="21"/>
              </w:rPr>
            </w:pPr>
            <w:r>
              <w:rPr>
                <w:rFonts w:ascii="Times New Roman" w:hAnsi="Times New Roman" w:eastAsia="宋体" w:cs="Times New Roman"/>
                <w:color w:val="auto"/>
                <w:szCs w:val="21"/>
                <w:lang w:eastAsia="zh-TW"/>
              </w:rPr>
              <w:t>≤0.</w:t>
            </w:r>
            <w:r>
              <w:rPr>
                <w:rFonts w:ascii="Times New Roman" w:hAnsi="Times New Roman" w:eastAsia="宋体" w:cs="Times New Roman"/>
                <w:color w:val="auto"/>
                <w:szCs w:val="21"/>
              </w:rPr>
              <w:t>3</w:t>
            </w:r>
          </w:p>
        </w:tc>
      </w:tr>
      <w:tr w14:paraId="780AA3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79" w:type="pct"/>
            <w:tcBorders>
              <w:left w:val="single" w:color="auto" w:sz="4" w:space="0"/>
            </w:tcBorders>
            <w:vAlign w:val="center"/>
          </w:tcPr>
          <w:p w14:paraId="28E1EB7C">
            <w:pPr>
              <w:jc w:val="center"/>
              <w:rPr>
                <w:rFonts w:ascii="Times New Roman" w:hAnsi="Times New Roman" w:eastAsia="宋体" w:cs="Times New Roman"/>
                <w:color w:val="auto"/>
                <w:szCs w:val="21"/>
                <w:lang w:eastAsia="zh-TW"/>
              </w:rPr>
            </w:pPr>
            <w:r>
              <w:rPr>
                <w:rFonts w:ascii="Times New Roman" w:hAnsi="Times New Roman" w:eastAsia="宋体" w:cs="Times New Roman"/>
                <w:color w:val="auto"/>
                <w:szCs w:val="21"/>
                <w:lang w:eastAsia="zh-TW"/>
              </w:rPr>
              <w:t>3</w:t>
            </w:r>
          </w:p>
        </w:tc>
        <w:tc>
          <w:tcPr>
            <w:tcW w:w="1480" w:type="pct"/>
            <w:vAlign w:val="center"/>
          </w:tcPr>
          <w:p w14:paraId="7E13BA7A">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溶解性总固体</w:t>
            </w:r>
          </w:p>
        </w:tc>
        <w:tc>
          <w:tcPr>
            <w:tcW w:w="760" w:type="pct"/>
            <w:vAlign w:val="center"/>
          </w:tcPr>
          <w:p w14:paraId="55E5D0A2">
            <w:pPr>
              <w:jc w:val="center"/>
              <w:rPr>
                <w:rFonts w:ascii="Times New Roman" w:hAnsi="Times New Roman" w:eastAsia="宋体" w:cs="Times New Roman"/>
                <w:color w:val="auto"/>
                <w:szCs w:val="21"/>
              </w:rPr>
            </w:pPr>
            <w:r>
              <w:rPr>
                <w:rFonts w:ascii="Times New Roman" w:hAnsi="Times New Roman" w:eastAsia="宋体" w:cs="Times New Roman"/>
                <w:color w:val="auto"/>
                <w:szCs w:val="21"/>
                <w:lang w:eastAsia="zh-TW"/>
              </w:rPr>
              <w:t>≤</w:t>
            </w:r>
            <w:r>
              <w:rPr>
                <w:rFonts w:ascii="Times New Roman" w:hAnsi="Times New Roman" w:eastAsia="宋体" w:cs="Times New Roman"/>
                <w:color w:val="auto"/>
                <w:szCs w:val="21"/>
              </w:rPr>
              <w:t>1000</w:t>
            </w:r>
          </w:p>
        </w:tc>
        <w:tc>
          <w:tcPr>
            <w:tcW w:w="395" w:type="pct"/>
            <w:vAlign w:val="center"/>
          </w:tcPr>
          <w:p w14:paraId="6C81A97F">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14</w:t>
            </w:r>
          </w:p>
        </w:tc>
        <w:tc>
          <w:tcPr>
            <w:tcW w:w="857" w:type="pct"/>
            <w:vAlign w:val="center"/>
          </w:tcPr>
          <w:p w14:paraId="45505463">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锰</w:t>
            </w:r>
          </w:p>
        </w:tc>
        <w:tc>
          <w:tcPr>
            <w:tcW w:w="1127" w:type="pct"/>
            <w:tcBorders>
              <w:right w:val="single" w:color="auto" w:sz="4" w:space="0"/>
            </w:tcBorders>
            <w:vAlign w:val="center"/>
          </w:tcPr>
          <w:p w14:paraId="35C23F7E">
            <w:pPr>
              <w:jc w:val="center"/>
              <w:rPr>
                <w:rFonts w:ascii="Times New Roman" w:hAnsi="Times New Roman" w:eastAsia="宋体" w:cs="Times New Roman"/>
                <w:color w:val="auto"/>
                <w:szCs w:val="21"/>
              </w:rPr>
            </w:pPr>
            <w:r>
              <w:rPr>
                <w:rFonts w:ascii="Times New Roman" w:hAnsi="Times New Roman" w:eastAsia="宋体" w:cs="Times New Roman"/>
                <w:color w:val="auto"/>
                <w:szCs w:val="21"/>
                <w:lang w:eastAsia="zh-TW"/>
              </w:rPr>
              <w:t>≤0.</w:t>
            </w:r>
            <w:r>
              <w:rPr>
                <w:rFonts w:ascii="Times New Roman" w:hAnsi="Times New Roman" w:eastAsia="宋体" w:cs="Times New Roman"/>
                <w:color w:val="auto"/>
                <w:szCs w:val="21"/>
              </w:rPr>
              <w:t>1</w:t>
            </w:r>
          </w:p>
        </w:tc>
      </w:tr>
      <w:tr w14:paraId="2E8374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79" w:type="pct"/>
            <w:tcBorders>
              <w:left w:val="single" w:color="auto" w:sz="4" w:space="0"/>
            </w:tcBorders>
            <w:vAlign w:val="center"/>
          </w:tcPr>
          <w:p w14:paraId="4B28D68F">
            <w:pPr>
              <w:jc w:val="center"/>
              <w:rPr>
                <w:rFonts w:ascii="Times New Roman" w:hAnsi="Times New Roman" w:eastAsia="宋体" w:cs="Times New Roman"/>
                <w:color w:val="auto"/>
                <w:szCs w:val="21"/>
                <w:lang w:eastAsia="zh-TW"/>
              </w:rPr>
            </w:pPr>
            <w:r>
              <w:rPr>
                <w:rFonts w:ascii="Times New Roman" w:hAnsi="Times New Roman" w:eastAsia="宋体" w:cs="Times New Roman"/>
                <w:color w:val="auto"/>
                <w:szCs w:val="21"/>
                <w:lang w:eastAsia="zh-TW"/>
              </w:rPr>
              <w:t>4</w:t>
            </w:r>
          </w:p>
        </w:tc>
        <w:tc>
          <w:tcPr>
            <w:tcW w:w="1480" w:type="pct"/>
            <w:vAlign w:val="center"/>
          </w:tcPr>
          <w:p w14:paraId="78BC0E54">
            <w:pPr>
              <w:jc w:val="center"/>
              <w:rPr>
                <w:rFonts w:ascii="Times New Roman" w:hAnsi="Times New Roman" w:eastAsia="宋体" w:cs="Times New Roman"/>
                <w:color w:val="auto"/>
                <w:szCs w:val="21"/>
                <w:lang w:eastAsia="zh-TW"/>
              </w:rPr>
            </w:pPr>
            <w:r>
              <w:rPr>
                <w:rFonts w:ascii="Times New Roman" w:hAnsi="Times New Roman" w:eastAsia="宋体" w:cs="Times New Roman"/>
                <w:color w:val="auto"/>
                <w:szCs w:val="21"/>
                <w:lang w:eastAsia="zh-TW"/>
              </w:rPr>
              <w:t>氯化物</w:t>
            </w:r>
          </w:p>
        </w:tc>
        <w:tc>
          <w:tcPr>
            <w:tcW w:w="760" w:type="pct"/>
            <w:vAlign w:val="center"/>
          </w:tcPr>
          <w:p w14:paraId="617E994F">
            <w:pPr>
              <w:jc w:val="center"/>
              <w:rPr>
                <w:rFonts w:ascii="Times New Roman" w:hAnsi="Times New Roman" w:eastAsia="宋体" w:cs="Times New Roman"/>
                <w:color w:val="auto"/>
                <w:szCs w:val="21"/>
                <w:lang w:eastAsia="zh-TW"/>
              </w:rPr>
            </w:pPr>
            <w:r>
              <w:rPr>
                <w:rFonts w:ascii="Times New Roman" w:hAnsi="Times New Roman" w:eastAsia="宋体" w:cs="Times New Roman"/>
                <w:color w:val="auto"/>
                <w:szCs w:val="21"/>
                <w:lang w:eastAsia="zh-TW"/>
              </w:rPr>
              <w:t>≤250</w:t>
            </w:r>
          </w:p>
        </w:tc>
        <w:tc>
          <w:tcPr>
            <w:tcW w:w="395" w:type="pct"/>
            <w:vAlign w:val="center"/>
          </w:tcPr>
          <w:p w14:paraId="50CC6203">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15</w:t>
            </w:r>
          </w:p>
        </w:tc>
        <w:tc>
          <w:tcPr>
            <w:tcW w:w="857" w:type="pct"/>
            <w:vAlign w:val="center"/>
          </w:tcPr>
          <w:p w14:paraId="4BD8DFA9">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铜</w:t>
            </w:r>
          </w:p>
        </w:tc>
        <w:tc>
          <w:tcPr>
            <w:tcW w:w="1127" w:type="pct"/>
            <w:tcBorders>
              <w:right w:val="single" w:color="auto" w:sz="4" w:space="0"/>
            </w:tcBorders>
            <w:vAlign w:val="center"/>
          </w:tcPr>
          <w:p w14:paraId="5A0936AD">
            <w:pPr>
              <w:jc w:val="center"/>
              <w:rPr>
                <w:rFonts w:ascii="Times New Roman" w:hAnsi="Times New Roman" w:eastAsia="宋体" w:cs="Times New Roman"/>
                <w:color w:val="auto"/>
                <w:szCs w:val="21"/>
              </w:rPr>
            </w:pPr>
            <w:r>
              <w:rPr>
                <w:rFonts w:ascii="Times New Roman" w:hAnsi="Times New Roman" w:eastAsia="宋体" w:cs="Times New Roman"/>
                <w:color w:val="auto"/>
                <w:szCs w:val="21"/>
                <w:lang w:eastAsia="zh-TW"/>
              </w:rPr>
              <w:t>≤</w:t>
            </w:r>
            <w:r>
              <w:rPr>
                <w:rFonts w:ascii="Times New Roman" w:hAnsi="Times New Roman" w:eastAsia="宋体" w:cs="Times New Roman"/>
                <w:color w:val="auto"/>
                <w:szCs w:val="21"/>
              </w:rPr>
              <w:t>1.0</w:t>
            </w:r>
          </w:p>
        </w:tc>
      </w:tr>
      <w:tr w14:paraId="09E23C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79" w:type="pct"/>
            <w:tcBorders>
              <w:left w:val="single" w:color="auto" w:sz="4" w:space="0"/>
            </w:tcBorders>
            <w:vAlign w:val="center"/>
          </w:tcPr>
          <w:p w14:paraId="04134A96">
            <w:pPr>
              <w:jc w:val="center"/>
              <w:rPr>
                <w:rFonts w:ascii="Times New Roman" w:hAnsi="Times New Roman" w:eastAsia="宋体" w:cs="Times New Roman"/>
                <w:color w:val="auto"/>
                <w:szCs w:val="21"/>
                <w:lang w:eastAsia="zh-TW"/>
              </w:rPr>
            </w:pPr>
            <w:r>
              <w:rPr>
                <w:rFonts w:ascii="Times New Roman" w:hAnsi="Times New Roman" w:eastAsia="宋体" w:cs="Times New Roman"/>
                <w:color w:val="auto"/>
                <w:szCs w:val="21"/>
                <w:lang w:eastAsia="zh-TW"/>
              </w:rPr>
              <w:t>5</w:t>
            </w:r>
          </w:p>
        </w:tc>
        <w:tc>
          <w:tcPr>
            <w:tcW w:w="1480" w:type="pct"/>
            <w:vAlign w:val="center"/>
          </w:tcPr>
          <w:p w14:paraId="7320FE35">
            <w:pPr>
              <w:jc w:val="center"/>
              <w:rPr>
                <w:rFonts w:ascii="Times New Roman" w:hAnsi="Times New Roman" w:eastAsia="宋体" w:cs="Times New Roman"/>
                <w:color w:val="auto"/>
                <w:szCs w:val="21"/>
                <w:lang w:eastAsia="zh-TW"/>
              </w:rPr>
            </w:pPr>
            <w:r>
              <w:rPr>
                <w:rFonts w:ascii="Times New Roman" w:hAnsi="Times New Roman" w:eastAsia="宋体" w:cs="Times New Roman"/>
                <w:color w:val="auto"/>
                <w:szCs w:val="21"/>
                <w:lang w:eastAsia="zh-TW"/>
              </w:rPr>
              <w:t>挥发酚</w:t>
            </w:r>
          </w:p>
        </w:tc>
        <w:tc>
          <w:tcPr>
            <w:tcW w:w="760" w:type="pct"/>
            <w:vAlign w:val="center"/>
          </w:tcPr>
          <w:p w14:paraId="53C52D6A">
            <w:pPr>
              <w:jc w:val="center"/>
              <w:rPr>
                <w:rFonts w:ascii="Times New Roman" w:hAnsi="Times New Roman" w:eastAsia="宋体" w:cs="Times New Roman"/>
                <w:color w:val="auto"/>
                <w:szCs w:val="21"/>
                <w:lang w:eastAsia="zh-TW"/>
              </w:rPr>
            </w:pPr>
            <w:r>
              <w:rPr>
                <w:rFonts w:ascii="Times New Roman" w:hAnsi="Times New Roman" w:eastAsia="宋体" w:cs="Times New Roman"/>
                <w:color w:val="auto"/>
                <w:szCs w:val="21"/>
                <w:lang w:eastAsia="zh-TW"/>
              </w:rPr>
              <w:t>≤0.002</w:t>
            </w:r>
          </w:p>
        </w:tc>
        <w:tc>
          <w:tcPr>
            <w:tcW w:w="395" w:type="pct"/>
            <w:vAlign w:val="center"/>
          </w:tcPr>
          <w:p w14:paraId="4E6C2694">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16</w:t>
            </w:r>
          </w:p>
        </w:tc>
        <w:tc>
          <w:tcPr>
            <w:tcW w:w="857" w:type="pct"/>
            <w:vAlign w:val="center"/>
          </w:tcPr>
          <w:p w14:paraId="2610EB43">
            <w:pPr>
              <w:jc w:val="center"/>
              <w:rPr>
                <w:rFonts w:ascii="Times New Roman" w:hAnsi="Times New Roman" w:eastAsia="宋体" w:cs="Times New Roman"/>
                <w:color w:val="auto"/>
                <w:szCs w:val="21"/>
                <w:lang w:eastAsia="zh-TW"/>
              </w:rPr>
            </w:pPr>
            <w:r>
              <w:rPr>
                <w:rFonts w:ascii="Times New Roman" w:hAnsi="Times New Roman" w:eastAsia="宋体" w:cs="Times New Roman"/>
                <w:color w:val="auto"/>
                <w:szCs w:val="21"/>
                <w:lang w:eastAsia="zh-TW"/>
              </w:rPr>
              <w:t>铬（六价）</w:t>
            </w:r>
          </w:p>
        </w:tc>
        <w:tc>
          <w:tcPr>
            <w:tcW w:w="1127" w:type="pct"/>
            <w:tcBorders>
              <w:right w:val="single" w:color="auto" w:sz="4" w:space="0"/>
            </w:tcBorders>
            <w:vAlign w:val="center"/>
          </w:tcPr>
          <w:p w14:paraId="721E279A">
            <w:pPr>
              <w:jc w:val="center"/>
              <w:rPr>
                <w:rFonts w:ascii="Times New Roman" w:hAnsi="Times New Roman" w:eastAsia="宋体" w:cs="Times New Roman"/>
                <w:color w:val="auto"/>
                <w:szCs w:val="21"/>
                <w:lang w:eastAsia="zh-TW"/>
              </w:rPr>
            </w:pPr>
            <w:r>
              <w:rPr>
                <w:rFonts w:ascii="Times New Roman" w:hAnsi="Times New Roman" w:eastAsia="宋体" w:cs="Times New Roman"/>
                <w:color w:val="auto"/>
                <w:szCs w:val="21"/>
                <w:lang w:eastAsia="zh-TW"/>
              </w:rPr>
              <w:t>≤0.05</w:t>
            </w:r>
          </w:p>
        </w:tc>
      </w:tr>
      <w:tr w14:paraId="1CAB4F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79" w:type="pct"/>
            <w:tcBorders>
              <w:left w:val="single" w:color="auto" w:sz="4" w:space="0"/>
            </w:tcBorders>
            <w:vAlign w:val="center"/>
          </w:tcPr>
          <w:p w14:paraId="474A0A60">
            <w:pPr>
              <w:jc w:val="center"/>
              <w:rPr>
                <w:rFonts w:ascii="Times New Roman" w:hAnsi="Times New Roman" w:eastAsia="宋体" w:cs="Times New Roman"/>
                <w:color w:val="auto"/>
                <w:szCs w:val="21"/>
                <w:lang w:eastAsia="zh-TW"/>
              </w:rPr>
            </w:pPr>
            <w:r>
              <w:rPr>
                <w:rFonts w:ascii="Times New Roman" w:hAnsi="Times New Roman" w:eastAsia="宋体" w:cs="Times New Roman"/>
                <w:color w:val="auto"/>
                <w:szCs w:val="21"/>
                <w:lang w:eastAsia="zh-TW"/>
              </w:rPr>
              <w:t>6</w:t>
            </w:r>
          </w:p>
        </w:tc>
        <w:tc>
          <w:tcPr>
            <w:tcW w:w="1480" w:type="pct"/>
            <w:vAlign w:val="center"/>
          </w:tcPr>
          <w:p w14:paraId="7E7CF09E">
            <w:pPr>
              <w:jc w:val="center"/>
              <w:rPr>
                <w:rFonts w:ascii="Times New Roman" w:hAnsi="Times New Roman" w:eastAsia="宋体" w:cs="Times New Roman"/>
                <w:color w:val="auto"/>
                <w:szCs w:val="21"/>
                <w:lang w:eastAsia="zh-TW"/>
              </w:rPr>
            </w:pPr>
            <w:r>
              <w:rPr>
                <w:rFonts w:ascii="Times New Roman" w:hAnsi="Times New Roman" w:eastAsia="宋体" w:cs="Times New Roman"/>
                <w:color w:val="auto"/>
                <w:szCs w:val="21"/>
                <w:lang w:eastAsia="zh-TW"/>
              </w:rPr>
              <w:t>氨氮</w:t>
            </w:r>
          </w:p>
        </w:tc>
        <w:tc>
          <w:tcPr>
            <w:tcW w:w="760" w:type="pct"/>
            <w:vAlign w:val="center"/>
          </w:tcPr>
          <w:p w14:paraId="1A27E53F">
            <w:pPr>
              <w:jc w:val="center"/>
              <w:rPr>
                <w:rFonts w:ascii="Times New Roman" w:hAnsi="Times New Roman" w:eastAsia="宋体" w:cs="Times New Roman"/>
                <w:color w:val="auto"/>
                <w:szCs w:val="21"/>
              </w:rPr>
            </w:pPr>
            <w:r>
              <w:rPr>
                <w:rFonts w:ascii="Times New Roman" w:hAnsi="Times New Roman" w:eastAsia="宋体" w:cs="Times New Roman"/>
                <w:color w:val="auto"/>
                <w:szCs w:val="21"/>
                <w:lang w:eastAsia="zh-TW"/>
              </w:rPr>
              <w:t>≤0.</w:t>
            </w:r>
            <w:r>
              <w:rPr>
                <w:rFonts w:ascii="Times New Roman" w:hAnsi="Times New Roman" w:eastAsia="宋体" w:cs="Times New Roman"/>
                <w:color w:val="auto"/>
                <w:szCs w:val="21"/>
              </w:rPr>
              <w:t>5</w:t>
            </w:r>
          </w:p>
        </w:tc>
        <w:tc>
          <w:tcPr>
            <w:tcW w:w="395" w:type="pct"/>
            <w:vAlign w:val="center"/>
          </w:tcPr>
          <w:p w14:paraId="07926181">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17</w:t>
            </w:r>
          </w:p>
        </w:tc>
        <w:tc>
          <w:tcPr>
            <w:tcW w:w="857" w:type="pct"/>
            <w:vAlign w:val="center"/>
          </w:tcPr>
          <w:p w14:paraId="15B34D82">
            <w:pPr>
              <w:jc w:val="center"/>
              <w:rPr>
                <w:rFonts w:ascii="Times New Roman" w:hAnsi="Times New Roman" w:eastAsia="宋体" w:cs="Times New Roman"/>
                <w:color w:val="auto"/>
                <w:szCs w:val="21"/>
                <w:lang w:eastAsia="zh-TW"/>
              </w:rPr>
            </w:pPr>
            <w:r>
              <w:rPr>
                <w:rFonts w:ascii="Times New Roman" w:hAnsi="Times New Roman" w:eastAsia="宋体" w:cs="Times New Roman"/>
                <w:color w:val="auto"/>
                <w:szCs w:val="21"/>
                <w:lang w:eastAsia="zh-TW"/>
              </w:rPr>
              <w:t>铅</w:t>
            </w:r>
          </w:p>
        </w:tc>
        <w:tc>
          <w:tcPr>
            <w:tcW w:w="1127" w:type="pct"/>
            <w:tcBorders>
              <w:right w:val="single" w:color="auto" w:sz="4" w:space="0"/>
            </w:tcBorders>
            <w:vAlign w:val="center"/>
          </w:tcPr>
          <w:p w14:paraId="1AB13E2F">
            <w:pPr>
              <w:jc w:val="center"/>
              <w:rPr>
                <w:rFonts w:ascii="Times New Roman" w:hAnsi="Times New Roman" w:eastAsia="宋体" w:cs="Times New Roman"/>
                <w:color w:val="auto"/>
                <w:szCs w:val="21"/>
              </w:rPr>
            </w:pPr>
            <w:r>
              <w:rPr>
                <w:rFonts w:ascii="Times New Roman" w:hAnsi="Times New Roman" w:eastAsia="宋体" w:cs="Times New Roman"/>
                <w:color w:val="auto"/>
                <w:szCs w:val="21"/>
                <w:lang w:eastAsia="zh-TW"/>
              </w:rPr>
              <w:t>≤0.0</w:t>
            </w:r>
            <w:r>
              <w:rPr>
                <w:rFonts w:ascii="Times New Roman" w:hAnsi="Times New Roman" w:eastAsia="宋体" w:cs="Times New Roman"/>
                <w:color w:val="auto"/>
                <w:szCs w:val="21"/>
              </w:rPr>
              <w:t>1</w:t>
            </w:r>
          </w:p>
        </w:tc>
      </w:tr>
      <w:tr w14:paraId="5765E7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79" w:type="pct"/>
            <w:tcBorders>
              <w:left w:val="single" w:color="auto" w:sz="4" w:space="0"/>
            </w:tcBorders>
            <w:vAlign w:val="center"/>
          </w:tcPr>
          <w:p w14:paraId="730CB466">
            <w:pPr>
              <w:jc w:val="center"/>
              <w:rPr>
                <w:rFonts w:ascii="Times New Roman" w:hAnsi="Times New Roman" w:eastAsia="宋体" w:cs="Times New Roman"/>
                <w:color w:val="auto"/>
                <w:szCs w:val="21"/>
                <w:lang w:eastAsia="zh-TW"/>
              </w:rPr>
            </w:pPr>
            <w:r>
              <w:rPr>
                <w:rFonts w:ascii="Times New Roman" w:hAnsi="Times New Roman" w:eastAsia="宋体" w:cs="Times New Roman"/>
                <w:color w:val="auto"/>
                <w:szCs w:val="21"/>
              </w:rPr>
              <w:t>7</w:t>
            </w:r>
          </w:p>
        </w:tc>
        <w:tc>
          <w:tcPr>
            <w:tcW w:w="1480" w:type="pct"/>
            <w:vAlign w:val="center"/>
          </w:tcPr>
          <w:p w14:paraId="49719EF2">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高锰酸盐指数</w:t>
            </w:r>
          </w:p>
        </w:tc>
        <w:tc>
          <w:tcPr>
            <w:tcW w:w="760" w:type="pct"/>
            <w:vAlign w:val="center"/>
          </w:tcPr>
          <w:p w14:paraId="26EB875A">
            <w:pPr>
              <w:jc w:val="center"/>
              <w:rPr>
                <w:rFonts w:ascii="Times New Roman" w:hAnsi="Times New Roman" w:eastAsia="宋体" w:cs="Times New Roman"/>
                <w:color w:val="auto"/>
                <w:szCs w:val="21"/>
              </w:rPr>
            </w:pPr>
            <w:r>
              <w:rPr>
                <w:rFonts w:ascii="Times New Roman" w:hAnsi="Times New Roman" w:eastAsia="宋体" w:cs="Times New Roman"/>
                <w:color w:val="auto"/>
                <w:szCs w:val="21"/>
                <w:lang w:eastAsia="zh-TW"/>
              </w:rPr>
              <w:t>≤</w:t>
            </w:r>
            <w:r>
              <w:rPr>
                <w:rFonts w:ascii="Times New Roman" w:hAnsi="Times New Roman" w:eastAsia="宋体" w:cs="Times New Roman"/>
                <w:color w:val="auto"/>
                <w:szCs w:val="21"/>
              </w:rPr>
              <w:t>3.0</w:t>
            </w:r>
          </w:p>
        </w:tc>
        <w:tc>
          <w:tcPr>
            <w:tcW w:w="395" w:type="pct"/>
            <w:vAlign w:val="center"/>
          </w:tcPr>
          <w:p w14:paraId="34B44E94">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18</w:t>
            </w:r>
          </w:p>
        </w:tc>
        <w:tc>
          <w:tcPr>
            <w:tcW w:w="857" w:type="pct"/>
            <w:vAlign w:val="center"/>
          </w:tcPr>
          <w:p w14:paraId="0437572A">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硫酸盐</w:t>
            </w:r>
          </w:p>
        </w:tc>
        <w:tc>
          <w:tcPr>
            <w:tcW w:w="1127" w:type="pct"/>
            <w:tcBorders>
              <w:right w:val="single" w:color="auto" w:sz="4" w:space="0"/>
            </w:tcBorders>
            <w:vAlign w:val="center"/>
          </w:tcPr>
          <w:p w14:paraId="5A17A01A">
            <w:pPr>
              <w:jc w:val="center"/>
              <w:rPr>
                <w:rFonts w:ascii="Times New Roman" w:hAnsi="Times New Roman" w:eastAsia="宋体" w:cs="Times New Roman"/>
                <w:color w:val="auto"/>
                <w:szCs w:val="21"/>
                <w:lang w:eastAsia="zh-TW"/>
              </w:rPr>
            </w:pPr>
            <w:r>
              <w:rPr>
                <w:rFonts w:ascii="Times New Roman" w:hAnsi="Times New Roman" w:eastAsia="宋体" w:cs="Times New Roman"/>
                <w:color w:val="auto"/>
                <w:szCs w:val="21"/>
                <w:lang w:eastAsia="zh-TW"/>
              </w:rPr>
              <w:t>≤</w:t>
            </w:r>
            <w:r>
              <w:rPr>
                <w:rFonts w:ascii="Times New Roman" w:hAnsi="Times New Roman" w:eastAsia="宋体" w:cs="Times New Roman"/>
                <w:color w:val="auto"/>
                <w:szCs w:val="21"/>
              </w:rPr>
              <w:t>250</w:t>
            </w:r>
          </w:p>
        </w:tc>
      </w:tr>
      <w:tr w14:paraId="546E37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79" w:type="pct"/>
            <w:tcBorders>
              <w:left w:val="single" w:color="auto" w:sz="4" w:space="0"/>
            </w:tcBorders>
            <w:vAlign w:val="center"/>
          </w:tcPr>
          <w:p w14:paraId="7B813630">
            <w:pPr>
              <w:jc w:val="center"/>
              <w:rPr>
                <w:rFonts w:ascii="Times New Roman" w:hAnsi="Times New Roman" w:eastAsia="宋体" w:cs="Times New Roman"/>
                <w:color w:val="auto"/>
                <w:szCs w:val="21"/>
                <w:lang w:eastAsia="zh-TW"/>
              </w:rPr>
            </w:pPr>
            <w:r>
              <w:rPr>
                <w:rFonts w:ascii="Times New Roman" w:hAnsi="Times New Roman" w:eastAsia="宋体" w:cs="Times New Roman"/>
                <w:color w:val="auto"/>
                <w:szCs w:val="21"/>
              </w:rPr>
              <w:t>8</w:t>
            </w:r>
          </w:p>
        </w:tc>
        <w:tc>
          <w:tcPr>
            <w:tcW w:w="1480" w:type="pct"/>
            <w:vAlign w:val="center"/>
          </w:tcPr>
          <w:p w14:paraId="2708BD82">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氟化物</w:t>
            </w:r>
          </w:p>
        </w:tc>
        <w:tc>
          <w:tcPr>
            <w:tcW w:w="760" w:type="pct"/>
            <w:vAlign w:val="center"/>
          </w:tcPr>
          <w:p w14:paraId="155AF7A0">
            <w:pPr>
              <w:jc w:val="center"/>
              <w:rPr>
                <w:rFonts w:ascii="Times New Roman" w:hAnsi="Times New Roman" w:eastAsia="宋体" w:cs="Times New Roman"/>
                <w:color w:val="auto"/>
                <w:szCs w:val="21"/>
                <w:lang w:eastAsia="zh-TW"/>
              </w:rPr>
            </w:pPr>
            <w:r>
              <w:rPr>
                <w:rFonts w:ascii="Times New Roman" w:hAnsi="Times New Roman" w:eastAsia="宋体" w:cs="Times New Roman"/>
                <w:color w:val="auto"/>
                <w:szCs w:val="21"/>
                <w:lang w:eastAsia="zh-TW"/>
              </w:rPr>
              <w:t>≤</w:t>
            </w:r>
            <w:r>
              <w:rPr>
                <w:rFonts w:ascii="Times New Roman" w:hAnsi="Times New Roman" w:eastAsia="宋体" w:cs="Times New Roman"/>
                <w:color w:val="auto"/>
                <w:szCs w:val="21"/>
              </w:rPr>
              <w:t>1.0</w:t>
            </w:r>
          </w:p>
        </w:tc>
        <w:tc>
          <w:tcPr>
            <w:tcW w:w="395" w:type="pct"/>
            <w:vAlign w:val="center"/>
          </w:tcPr>
          <w:p w14:paraId="5DDA6EF8">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19</w:t>
            </w:r>
          </w:p>
        </w:tc>
        <w:tc>
          <w:tcPr>
            <w:tcW w:w="857" w:type="pct"/>
            <w:vAlign w:val="center"/>
          </w:tcPr>
          <w:p w14:paraId="1FE002A0">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氰化物</w:t>
            </w:r>
          </w:p>
        </w:tc>
        <w:tc>
          <w:tcPr>
            <w:tcW w:w="1127" w:type="pct"/>
            <w:tcBorders>
              <w:right w:val="single" w:color="auto" w:sz="4" w:space="0"/>
            </w:tcBorders>
            <w:vAlign w:val="center"/>
          </w:tcPr>
          <w:p w14:paraId="6FD1887E">
            <w:pPr>
              <w:jc w:val="center"/>
              <w:rPr>
                <w:rFonts w:ascii="Times New Roman" w:hAnsi="Times New Roman" w:eastAsia="宋体" w:cs="Times New Roman"/>
                <w:color w:val="auto"/>
                <w:szCs w:val="21"/>
                <w:lang w:eastAsia="zh-TW"/>
              </w:rPr>
            </w:pPr>
            <w:r>
              <w:rPr>
                <w:rFonts w:ascii="Times New Roman" w:hAnsi="Times New Roman" w:eastAsia="宋体" w:cs="Times New Roman"/>
                <w:color w:val="auto"/>
                <w:szCs w:val="21"/>
              </w:rPr>
              <w:t>≤0.05</w:t>
            </w:r>
          </w:p>
        </w:tc>
      </w:tr>
      <w:tr w14:paraId="5D13AD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79" w:type="pct"/>
            <w:tcBorders>
              <w:left w:val="single" w:color="auto" w:sz="4" w:space="0"/>
            </w:tcBorders>
            <w:vAlign w:val="center"/>
          </w:tcPr>
          <w:p w14:paraId="23612CDE">
            <w:pPr>
              <w:jc w:val="center"/>
              <w:rPr>
                <w:rFonts w:ascii="Times New Roman" w:hAnsi="Times New Roman" w:eastAsia="宋体" w:cs="Times New Roman"/>
                <w:color w:val="auto"/>
                <w:szCs w:val="21"/>
                <w:lang w:eastAsia="zh-TW"/>
              </w:rPr>
            </w:pPr>
            <w:r>
              <w:rPr>
                <w:rFonts w:ascii="Times New Roman" w:hAnsi="Times New Roman" w:eastAsia="宋体" w:cs="Times New Roman"/>
                <w:color w:val="auto"/>
                <w:szCs w:val="21"/>
              </w:rPr>
              <w:t>9</w:t>
            </w:r>
          </w:p>
        </w:tc>
        <w:tc>
          <w:tcPr>
            <w:tcW w:w="1480" w:type="pct"/>
            <w:vAlign w:val="center"/>
          </w:tcPr>
          <w:p w14:paraId="6202FA7E">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亚硝酸盐</w:t>
            </w:r>
          </w:p>
        </w:tc>
        <w:tc>
          <w:tcPr>
            <w:tcW w:w="760" w:type="pct"/>
            <w:vAlign w:val="center"/>
          </w:tcPr>
          <w:p w14:paraId="2750964E">
            <w:pPr>
              <w:jc w:val="center"/>
              <w:rPr>
                <w:rFonts w:ascii="Times New Roman" w:hAnsi="Times New Roman" w:eastAsia="宋体" w:cs="Times New Roman"/>
                <w:color w:val="auto"/>
                <w:szCs w:val="21"/>
                <w:lang w:eastAsia="zh-TW"/>
              </w:rPr>
            </w:pPr>
            <w:r>
              <w:rPr>
                <w:rFonts w:ascii="Times New Roman" w:hAnsi="Times New Roman" w:eastAsia="宋体" w:cs="Times New Roman"/>
                <w:color w:val="auto"/>
                <w:szCs w:val="21"/>
              </w:rPr>
              <w:t>≤0.02</w:t>
            </w:r>
          </w:p>
        </w:tc>
        <w:tc>
          <w:tcPr>
            <w:tcW w:w="395" w:type="pct"/>
            <w:vAlign w:val="center"/>
          </w:tcPr>
          <w:p w14:paraId="59A302B4">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20</w:t>
            </w:r>
          </w:p>
        </w:tc>
        <w:tc>
          <w:tcPr>
            <w:tcW w:w="857" w:type="pct"/>
            <w:vAlign w:val="center"/>
          </w:tcPr>
          <w:p w14:paraId="5DABA175">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硝酸盐</w:t>
            </w:r>
          </w:p>
        </w:tc>
        <w:tc>
          <w:tcPr>
            <w:tcW w:w="1127" w:type="pct"/>
            <w:tcBorders>
              <w:right w:val="single" w:color="auto" w:sz="4" w:space="0"/>
            </w:tcBorders>
            <w:vAlign w:val="center"/>
          </w:tcPr>
          <w:p w14:paraId="1C5DFF31">
            <w:pPr>
              <w:jc w:val="center"/>
              <w:rPr>
                <w:rFonts w:ascii="Times New Roman" w:hAnsi="Times New Roman" w:eastAsia="宋体" w:cs="Times New Roman"/>
                <w:color w:val="auto"/>
                <w:szCs w:val="21"/>
                <w:lang w:eastAsia="zh-TW"/>
              </w:rPr>
            </w:pPr>
            <w:r>
              <w:rPr>
                <w:rFonts w:ascii="Times New Roman" w:hAnsi="Times New Roman" w:eastAsia="宋体" w:cs="Times New Roman"/>
                <w:color w:val="auto"/>
                <w:szCs w:val="21"/>
              </w:rPr>
              <w:t>≤20</w:t>
            </w:r>
          </w:p>
        </w:tc>
      </w:tr>
      <w:tr w14:paraId="3957FA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79" w:type="pct"/>
            <w:tcBorders>
              <w:left w:val="single" w:color="auto" w:sz="4" w:space="0"/>
            </w:tcBorders>
            <w:vAlign w:val="center"/>
          </w:tcPr>
          <w:p w14:paraId="56FAAC80">
            <w:pPr>
              <w:jc w:val="center"/>
              <w:rPr>
                <w:rFonts w:ascii="Times New Roman" w:hAnsi="Times New Roman" w:eastAsia="宋体" w:cs="Times New Roman"/>
                <w:color w:val="auto"/>
                <w:szCs w:val="21"/>
                <w:lang w:eastAsia="zh-TW"/>
              </w:rPr>
            </w:pPr>
            <w:r>
              <w:rPr>
                <w:rFonts w:ascii="Times New Roman" w:hAnsi="Times New Roman" w:eastAsia="宋体" w:cs="Times New Roman"/>
                <w:color w:val="auto"/>
                <w:szCs w:val="21"/>
                <w:lang w:eastAsia="zh-TW"/>
              </w:rPr>
              <w:t>1</w:t>
            </w:r>
            <w:r>
              <w:rPr>
                <w:rFonts w:ascii="Times New Roman" w:hAnsi="Times New Roman" w:eastAsia="宋体" w:cs="Times New Roman"/>
                <w:color w:val="auto"/>
                <w:szCs w:val="21"/>
              </w:rPr>
              <w:t>0</w:t>
            </w:r>
          </w:p>
        </w:tc>
        <w:tc>
          <w:tcPr>
            <w:tcW w:w="1480" w:type="pct"/>
            <w:vAlign w:val="center"/>
          </w:tcPr>
          <w:p w14:paraId="69B87E7E">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砷</w:t>
            </w:r>
          </w:p>
        </w:tc>
        <w:tc>
          <w:tcPr>
            <w:tcW w:w="760" w:type="pct"/>
            <w:vAlign w:val="center"/>
          </w:tcPr>
          <w:p w14:paraId="65D9995D">
            <w:pPr>
              <w:jc w:val="center"/>
              <w:rPr>
                <w:rFonts w:ascii="Times New Roman" w:hAnsi="Times New Roman" w:eastAsia="宋体" w:cs="Times New Roman"/>
                <w:color w:val="auto"/>
                <w:szCs w:val="21"/>
                <w:lang w:eastAsia="zh-TW"/>
              </w:rPr>
            </w:pPr>
            <w:r>
              <w:rPr>
                <w:rFonts w:ascii="Times New Roman" w:hAnsi="Times New Roman" w:eastAsia="宋体" w:cs="Times New Roman"/>
                <w:color w:val="auto"/>
                <w:szCs w:val="21"/>
              </w:rPr>
              <w:t>≤0.05</w:t>
            </w:r>
          </w:p>
        </w:tc>
        <w:tc>
          <w:tcPr>
            <w:tcW w:w="395" w:type="pct"/>
            <w:vAlign w:val="center"/>
          </w:tcPr>
          <w:p w14:paraId="67DD6CB5">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21</w:t>
            </w:r>
          </w:p>
        </w:tc>
        <w:tc>
          <w:tcPr>
            <w:tcW w:w="857" w:type="pct"/>
            <w:vAlign w:val="center"/>
          </w:tcPr>
          <w:p w14:paraId="34A0597C">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汞</w:t>
            </w:r>
          </w:p>
        </w:tc>
        <w:tc>
          <w:tcPr>
            <w:tcW w:w="1127" w:type="pct"/>
            <w:tcBorders>
              <w:right w:val="single" w:color="auto" w:sz="4" w:space="0"/>
            </w:tcBorders>
            <w:vAlign w:val="center"/>
          </w:tcPr>
          <w:p w14:paraId="0695BBF3">
            <w:pPr>
              <w:jc w:val="center"/>
              <w:rPr>
                <w:rFonts w:ascii="Times New Roman" w:hAnsi="Times New Roman" w:eastAsia="宋体" w:cs="Times New Roman"/>
                <w:color w:val="auto"/>
                <w:szCs w:val="21"/>
                <w:lang w:eastAsia="zh-TW"/>
              </w:rPr>
            </w:pPr>
            <w:r>
              <w:rPr>
                <w:rFonts w:ascii="Times New Roman" w:hAnsi="Times New Roman" w:eastAsia="宋体" w:cs="Times New Roman"/>
                <w:color w:val="auto"/>
                <w:szCs w:val="21"/>
              </w:rPr>
              <w:t>≤0.001</w:t>
            </w:r>
          </w:p>
        </w:tc>
      </w:tr>
      <w:tr w14:paraId="7D3806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79" w:type="pct"/>
            <w:tcBorders>
              <w:left w:val="single" w:color="auto" w:sz="4" w:space="0"/>
              <w:bottom w:val="single" w:color="auto" w:sz="4" w:space="0"/>
            </w:tcBorders>
            <w:vAlign w:val="center"/>
          </w:tcPr>
          <w:p w14:paraId="7F3F18B1">
            <w:pPr>
              <w:jc w:val="center"/>
              <w:rPr>
                <w:rFonts w:ascii="Times New Roman" w:hAnsi="Times New Roman" w:eastAsia="宋体" w:cs="Times New Roman"/>
                <w:color w:val="auto"/>
                <w:szCs w:val="21"/>
                <w:lang w:eastAsia="zh-TW"/>
              </w:rPr>
            </w:pPr>
            <w:r>
              <w:rPr>
                <w:rFonts w:ascii="Times New Roman" w:hAnsi="Times New Roman" w:eastAsia="宋体" w:cs="Times New Roman"/>
                <w:color w:val="auto"/>
                <w:szCs w:val="21"/>
                <w:lang w:eastAsia="zh-TW"/>
              </w:rPr>
              <w:t>1</w:t>
            </w:r>
            <w:r>
              <w:rPr>
                <w:rFonts w:ascii="Times New Roman" w:hAnsi="Times New Roman" w:eastAsia="宋体" w:cs="Times New Roman"/>
                <w:color w:val="auto"/>
                <w:szCs w:val="21"/>
              </w:rPr>
              <w:t>1</w:t>
            </w:r>
          </w:p>
        </w:tc>
        <w:tc>
          <w:tcPr>
            <w:tcW w:w="1480" w:type="pct"/>
            <w:tcBorders>
              <w:bottom w:val="single" w:color="auto" w:sz="4" w:space="0"/>
            </w:tcBorders>
            <w:vAlign w:val="center"/>
          </w:tcPr>
          <w:p w14:paraId="32A3318B">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铅</w:t>
            </w:r>
          </w:p>
        </w:tc>
        <w:tc>
          <w:tcPr>
            <w:tcW w:w="760" w:type="pct"/>
            <w:tcBorders>
              <w:bottom w:val="single" w:color="auto" w:sz="4" w:space="0"/>
            </w:tcBorders>
            <w:vAlign w:val="center"/>
          </w:tcPr>
          <w:p w14:paraId="39B0630F">
            <w:pPr>
              <w:jc w:val="center"/>
              <w:rPr>
                <w:rFonts w:ascii="Times New Roman" w:hAnsi="Times New Roman" w:eastAsia="宋体" w:cs="Times New Roman"/>
                <w:color w:val="auto"/>
                <w:szCs w:val="21"/>
                <w:lang w:eastAsia="zh-TW"/>
              </w:rPr>
            </w:pPr>
            <w:r>
              <w:rPr>
                <w:rFonts w:ascii="Times New Roman" w:hAnsi="Times New Roman" w:eastAsia="宋体" w:cs="Times New Roman"/>
                <w:color w:val="auto"/>
                <w:szCs w:val="21"/>
              </w:rPr>
              <w:t>≤0.05</w:t>
            </w:r>
          </w:p>
        </w:tc>
        <w:tc>
          <w:tcPr>
            <w:tcW w:w="395" w:type="pct"/>
            <w:tcBorders>
              <w:bottom w:val="single" w:color="auto" w:sz="4" w:space="0"/>
            </w:tcBorders>
            <w:vAlign w:val="center"/>
          </w:tcPr>
          <w:p w14:paraId="3ED50DD1">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22</w:t>
            </w:r>
          </w:p>
        </w:tc>
        <w:tc>
          <w:tcPr>
            <w:tcW w:w="857" w:type="pct"/>
            <w:tcBorders>
              <w:bottom w:val="single" w:color="auto" w:sz="4" w:space="0"/>
            </w:tcBorders>
            <w:vAlign w:val="center"/>
          </w:tcPr>
          <w:p w14:paraId="0E7FDCD3">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镉</w:t>
            </w:r>
          </w:p>
        </w:tc>
        <w:tc>
          <w:tcPr>
            <w:tcW w:w="1127" w:type="pct"/>
            <w:tcBorders>
              <w:bottom w:val="single" w:color="auto" w:sz="4" w:space="0"/>
              <w:right w:val="single" w:color="auto" w:sz="4" w:space="0"/>
            </w:tcBorders>
            <w:vAlign w:val="center"/>
          </w:tcPr>
          <w:p w14:paraId="5A475295">
            <w:pPr>
              <w:jc w:val="center"/>
              <w:rPr>
                <w:rFonts w:ascii="Times New Roman" w:hAnsi="Times New Roman" w:eastAsia="宋体" w:cs="Times New Roman"/>
                <w:color w:val="auto"/>
                <w:szCs w:val="21"/>
                <w:lang w:eastAsia="zh-TW"/>
              </w:rPr>
            </w:pPr>
            <w:r>
              <w:rPr>
                <w:rFonts w:ascii="Times New Roman" w:hAnsi="Times New Roman" w:eastAsia="宋体" w:cs="Times New Roman"/>
                <w:color w:val="auto"/>
                <w:szCs w:val="21"/>
              </w:rPr>
              <w:t>≤0.01</w:t>
            </w:r>
          </w:p>
        </w:tc>
      </w:tr>
    </w:tbl>
    <w:p w14:paraId="69589DEF">
      <w:pPr>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4、声环境</w:t>
      </w:r>
    </w:p>
    <w:p w14:paraId="07AFC1C1">
      <w:pPr>
        <w:spacing w:line="360" w:lineRule="auto"/>
        <w:ind w:firstLine="480" w:firstLineChars="200"/>
        <w:rPr>
          <w:rFonts w:ascii="Times New Roman" w:hAnsi="Times New Roman" w:eastAsia="宋体" w:cs="宋体"/>
          <w:color w:val="auto"/>
          <w:sz w:val="24"/>
          <w:szCs w:val="24"/>
        </w:rPr>
      </w:pPr>
      <w:r>
        <w:rPr>
          <w:rFonts w:hint="eastAsia" w:ascii="Times New Roman" w:hAnsi="Times New Roman" w:eastAsia="宋体" w:cs="宋体"/>
          <w:color w:val="auto"/>
          <w:sz w:val="24"/>
          <w:szCs w:val="24"/>
        </w:rPr>
        <w:t>项目厂区西</w:t>
      </w:r>
      <w:r>
        <w:rPr>
          <w:rFonts w:hint="eastAsia" w:ascii="Times New Roman" w:hAnsi="Times New Roman" w:eastAsia="宋体" w:cs="宋体"/>
          <w:color w:val="auto"/>
          <w:sz w:val="24"/>
          <w:szCs w:val="24"/>
          <w:lang w:val="en-US" w:eastAsia="zh-CN"/>
        </w:rPr>
        <w:t>北</w:t>
      </w:r>
      <w:r>
        <w:rPr>
          <w:rFonts w:hint="eastAsia" w:ascii="Times New Roman" w:hAnsi="Times New Roman" w:eastAsia="宋体" w:cs="宋体"/>
          <w:color w:val="auto"/>
          <w:sz w:val="24"/>
          <w:szCs w:val="24"/>
        </w:rPr>
        <w:t>侧、南侧</w:t>
      </w:r>
      <w:r>
        <w:rPr>
          <w:rFonts w:hint="eastAsia" w:ascii="Times New Roman" w:hAnsi="Times New Roman" w:eastAsia="宋体" w:cs="宋体"/>
          <w:color w:val="auto"/>
          <w:sz w:val="24"/>
          <w:szCs w:val="24"/>
          <w:lang w:eastAsia="zh-CN"/>
        </w:rPr>
        <w:t>、</w:t>
      </w:r>
      <w:r>
        <w:rPr>
          <w:rFonts w:hint="eastAsia" w:ascii="Times New Roman" w:hAnsi="Times New Roman" w:eastAsia="宋体" w:cs="宋体"/>
          <w:color w:val="auto"/>
          <w:sz w:val="24"/>
          <w:szCs w:val="24"/>
          <w:lang w:val="en-US" w:eastAsia="zh-CN"/>
        </w:rPr>
        <w:t>东测</w:t>
      </w:r>
      <w:r>
        <w:rPr>
          <w:rFonts w:hint="eastAsia" w:ascii="Times New Roman" w:hAnsi="Times New Roman" w:eastAsia="宋体" w:cs="宋体"/>
          <w:color w:val="auto"/>
          <w:sz w:val="24"/>
          <w:szCs w:val="24"/>
        </w:rPr>
        <w:t>厂界执行《声环境质量标准》（GB3096-2008）3类标准，项目厂区</w:t>
      </w:r>
      <w:r>
        <w:rPr>
          <w:rFonts w:hint="eastAsia" w:ascii="Times New Roman" w:hAnsi="Times New Roman" w:eastAsia="宋体" w:cs="宋体"/>
          <w:color w:val="auto"/>
          <w:sz w:val="24"/>
          <w:szCs w:val="24"/>
          <w:lang w:val="en-US" w:eastAsia="zh-CN"/>
        </w:rPr>
        <w:t>西</w:t>
      </w:r>
      <w:r>
        <w:rPr>
          <w:rFonts w:hint="eastAsia" w:ascii="Times New Roman" w:hAnsi="Times New Roman" w:eastAsia="宋体" w:cs="宋体"/>
          <w:color w:val="auto"/>
          <w:sz w:val="24"/>
          <w:szCs w:val="24"/>
        </w:rPr>
        <w:t>侧厂界执行4a类标准。</w:t>
      </w:r>
    </w:p>
    <w:p w14:paraId="7CA8BA1D">
      <w:pPr>
        <w:pStyle w:val="6"/>
        <w:bidi w:val="0"/>
      </w:pPr>
      <w:r>
        <w:t>表</w:t>
      </w:r>
      <w:r>
        <w:rPr>
          <w:rFonts w:hint="eastAsia"/>
        </w:rPr>
        <w:t>2</w:t>
      </w:r>
      <w:r>
        <w:t>.4</w:t>
      </w:r>
      <w:r>
        <w:rPr>
          <w:rFonts w:hint="eastAsia"/>
        </w:rPr>
        <w:t>.3</w:t>
      </w:r>
      <w:r>
        <w:t>-</w:t>
      </w:r>
      <w:r>
        <w:rPr>
          <w:rFonts w:hint="eastAsia"/>
        </w:rPr>
        <w:t xml:space="preserve">4 </w:t>
      </w:r>
      <w:r>
        <w:t xml:space="preserve"> </w:t>
      </w:r>
      <w:r>
        <w:rPr>
          <w:rFonts w:hint="eastAsia"/>
        </w:rPr>
        <w:t xml:space="preserve">  </w:t>
      </w:r>
      <w:r>
        <w:t>声环境质量标准表   单位：dB(A)</w:t>
      </w:r>
    </w:p>
    <w:tbl>
      <w:tblPr>
        <w:tblStyle w:val="4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20"/>
        <w:gridCol w:w="2419"/>
        <w:gridCol w:w="2011"/>
        <w:gridCol w:w="1769"/>
      </w:tblGrid>
      <w:tr w14:paraId="52178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1" w:type="pct"/>
            <w:vAlign w:val="center"/>
          </w:tcPr>
          <w:p w14:paraId="6FF8E2CB">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标准名称及代号</w:t>
            </w:r>
          </w:p>
        </w:tc>
        <w:tc>
          <w:tcPr>
            <w:tcW w:w="1419" w:type="pct"/>
            <w:vAlign w:val="center"/>
          </w:tcPr>
          <w:p w14:paraId="3A21741E">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适用区域</w:t>
            </w:r>
          </w:p>
        </w:tc>
        <w:tc>
          <w:tcPr>
            <w:tcW w:w="1180" w:type="pct"/>
            <w:vAlign w:val="center"/>
          </w:tcPr>
          <w:p w14:paraId="30706BCE">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昼间</w:t>
            </w:r>
          </w:p>
        </w:tc>
        <w:tc>
          <w:tcPr>
            <w:tcW w:w="1038" w:type="pct"/>
            <w:vAlign w:val="center"/>
          </w:tcPr>
          <w:p w14:paraId="63E48D8F">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夜间</w:t>
            </w:r>
          </w:p>
        </w:tc>
      </w:tr>
      <w:tr w14:paraId="57987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1" w:type="pct"/>
            <w:vMerge w:val="restart"/>
            <w:vAlign w:val="center"/>
          </w:tcPr>
          <w:p w14:paraId="6C3B8577">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GB3096-2008</w:t>
            </w:r>
          </w:p>
        </w:tc>
        <w:tc>
          <w:tcPr>
            <w:tcW w:w="1419" w:type="pct"/>
            <w:vAlign w:val="center"/>
          </w:tcPr>
          <w:p w14:paraId="427C0E9B">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3类</w:t>
            </w:r>
          </w:p>
        </w:tc>
        <w:tc>
          <w:tcPr>
            <w:tcW w:w="1180" w:type="pct"/>
            <w:vAlign w:val="center"/>
          </w:tcPr>
          <w:p w14:paraId="2C492B33">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65</w:t>
            </w:r>
          </w:p>
        </w:tc>
        <w:tc>
          <w:tcPr>
            <w:tcW w:w="1038" w:type="pct"/>
            <w:vAlign w:val="center"/>
          </w:tcPr>
          <w:p w14:paraId="0E0B03AB">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55</w:t>
            </w:r>
          </w:p>
        </w:tc>
      </w:tr>
      <w:tr w14:paraId="53CDD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61" w:type="pct"/>
            <w:vMerge w:val="continue"/>
            <w:vAlign w:val="center"/>
          </w:tcPr>
          <w:p w14:paraId="1007212F">
            <w:pPr>
              <w:jc w:val="center"/>
              <w:rPr>
                <w:rFonts w:ascii="Times New Roman" w:hAnsi="Times New Roman" w:eastAsia="宋体" w:cs="Times New Roman"/>
                <w:color w:val="auto"/>
                <w:sz w:val="22"/>
                <w:szCs w:val="24"/>
              </w:rPr>
            </w:pPr>
          </w:p>
        </w:tc>
        <w:tc>
          <w:tcPr>
            <w:tcW w:w="1419" w:type="pct"/>
            <w:vAlign w:val="center"/>
          </w:tcPr>
          <w:p w14:paraId="7C90C8E2">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4a类</w:t>
            </w:r>
          </w:p>
        </w:tc>
        <w:tc>
          <w:tcPr>
            <w:tcW w:w="1180" w:type="pct"/>
            <w:vAlign w:val="center"/>
          </w:tcPr>
          <w:p w14:paraId="59778AE0">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70</w:t>
            </w:r>
          </w:p>
        </w:tc>
        <w:tc>
          <w:tcPr>
            <w:tcW w:w="1038" w:type="pct"/>
            <w:vAlign w:val="center"/>
          </w:tcPr>
          <w:p w14:paraId="5A17881E">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55</w:t>
            </w:r>
          </w:p>
        </w:tc>
      </w:tr>
    </w:tbl>
    <w:p w14:paraId="520488B7">
      <w:pPr>
        <w:keepNext/>
        <w:keepLines/>
        <w:spacing w:before="156" w:beforeLines="50" w:after="156" w:afterLines="50" w:line="360" w:lineRule="auto"/>
        <w:outlineLvl w:val="2"/>
        <w:rPr>
          <w:rFonts w:ascii="Times New Roman" w:hAnsi="Times New Roman" w:eastAsia="宋体" w:cs="Times New Roman"/>
          <w:b/>
          <w:color w:val="auto"/>
          <w:kern w:val="0"/>
          <w:sz w:val="24"/>
          <w:szCs w:val="24"/>
        </w:rPr>
      </w:pPr>
      <w:r>
        <w:rPr>
          <w:rFonts w:ascii="Times New Roman" w:hAnsi="Times New Roman" w:eastAsia="宋体" w:cs="Times New Roman"/>
          <w:b/>
          <w:color w:val="auto"/>
          <w:kern w:val="0"/>
          <w:sz w:val="24"/>
          <w:szCs w:val="24"/>
        </w:rPr>
        <w:t>2.4.2.2污染物排放标准</w:t>
      </w:r>
    </w:p>
    <w:p w14:paraId="12FDB19F">
      <w:pPr>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1、废气</w:t>
      </w:r>
    </w:p>
    <w:p w14:paraId="2993CBC6">
      <w:pPr>
        <w:spacing w:line="360" w:lineRule="auto"/>
        <w:ind w:firstLine="480" w:firstLineChars="200"/>
        <w:rPr>
          <w:rFonts w:ascii="Times New Roman" w:hAnsi="Times New Roman" w:eastAsia="宋体" w:cs="宋体"/>
          <w:color w:val="FF0000"/>
          <w:sz w:val="24"/>
          <w:szCs w:val="24"/>
        </w:rPr>
      </w:pPr>
      <w:r>
        <w:rPr>
          <w:rFonts w:hint="eastAsia" w:ascii="Times New Roman" w:hAnsi="Times New Roman" w:eastAsia="宋体" w:cs="宋体"/>
          <w:color w:val="auto"/>
          <w:sz w:val="24"/>
          <w:szCs w:val="24"/>
          <w:lang w:val="en-US" w:eastAsia="zh-CN"/>
        </w:rPr>
        <w:t>本项目生产过程中有组织排放的非甲烷总烃、颗粒物执行</w:t>
      </w:r>
      <w:r>
        <w:rPr>
          <w:rFonts w:hint="eastAsia" w:ascii="Times New Roman" w:hAnsi="Times New Roman" w:eastAsia="宋体" w:cs="Times New Roman"/>
          <w:color w:val="auto"/>
          <w:sz w:val="24"/>
          <w:szCs w:val="24"/>
          <w:lang w:val="en-US" w:eastAsia="zh-CN"/>
        </w:rPr>
        <w:t>执行《大气污染物综合排放标准》（GB16297-1996）表2限值，氨气、硫化氢、臭气浓度执行《恶臭污染物排放标准》（GB14554-93）表2限值。</w:t>
      </w:r>
    </w:p>
    <w:p w14:paraId="25FD2873">
      <w:pPr>
        <w:spacing w:line="360" w:lineRule="auto"/>
        <w:ind w:firstLine="480" w:firstLineChars="200"/>
        <w:rPr>
          <w:rFonts w:ascii="Times New Roman" w:hAnsi="Times New Roman" w:eastAsia="宋体" w:cs="宋体"/>
          <w:color w:val="FF0000"/>
          <w:sz w:val="24"/>
          <w:szCs w:val="24"/>
        </w:rPr>
      </w:pPr>
      <w:r>
        <w:rPr>
          <w:rFonts w:hint="eastAsia" w:ascii="Times New Roman" w:hAnsi="Times New Roman" w:eastAsia="宋体" w:cs="宋体"/>
          <w:color w:val="auto"/>
          <w:sz w:val="24"/>
          <w:szCs w:val="24"/>
        </w:rPr>
        <w:t>无组织</w:t>
      </w:r>
      <w:r>
        <w:rPr>
          <w:rFonts w:hint="eastAsia" w:ascii="Times New Roman" w:hAnsi="Times New Roman" w:eastAsia="宋体" w:cs="宋体"/>
          <w:color w:val="auto"/>
          <w:sz w:val="24"/>
          <w:szCs w:val="24"/>
          <w:lang w:val="en-US" w:eastAsia="zh-CN"/>
        </w:rPr>
        <w:t>非甲烷总烃、颗粒物执行</w:t>
      </w:r>
      <w:r>
        <w:rPr>
          <w:rFonts w:hint="eastAsia" w:ascii="Times New Roman" w:hAnsi="Times New Roman" w:eastAsia="宋体" w:cs="Times New Roman"/>
          <w:color w:val="auto"/>
          <w:sz w:val="24"/>
          <w:szCs w:val="24"/>
          <w:lang w:val="en-US" w:eastAsia="zh-CN"/>
        </w:rPr>
        <w:t>执行《大气污染物综合排放标准》（GB16297-1996）表2限值，氨气、硫化氢、臭气浓度执行《恶臭污染物排放标准》（GB14554-93）表1限值</w:t>
      </w:r>
      <w:r>
        <w:rPr>
          <w:rFonts w:hint="eastAsia" w:ascii="Times New Roman" w:hAnsi="Times New Roman" w:eastAsia="宋体" w:cs="宋体"/>
          <w:color w:val="auto"/>
          <w:sz w:val="24"/>
          <w:szCs w:val="24"/>
        </w:rPr>
        <w:t>。</w:t>
      </w:r>
    </w:p>
    <w:p w14:paraId="7C057C1F">
      <w:pPr>
        <w:spacing w:line="360" w:lineRule="auto"/>
        <w:ind w:firstLine="480" w:firstLineChars="200"/>
        <w:rPr>
          <w:rFonts w:ascii="Times New Roman" w:hAnsi="Times New Roman" w:eastAsia="宋体" w:cs="宋体"/>
          <w:color w:val="auto"/>
          <w:sz w:val="24"/>
          <w:szCs w:val="24"/>
        </w:rPr>
      </w:pPr>
      <w:r>
        <w:rPr>
          <w:rFonts w:hint="eastAsia" w:ascii="Times New Roman" w:hAnsi="Times New Roman" w:eastAsia="宋体" w:cs="宋体"/>
          <w:color w:val="auto"/>
          <w:sz w:val="24"/>
          <w:szCs w:val="24"/>
        </w:rPr>
        <w:t>废气执行标准如下：</w:t>
      </w:r>
    </w:p>
    <w:p w14:paraId="7977A1E0">
      <w:pPr>
        <w:pStyle w:val="6"/>
        <w:bidi w:val="0"/>
      </w:pPr>
      <w:r>
        <w:rPr>
          <w:rFonts w:hint="eastAsia"/>
        </w:rPr>
        <w:t>表2.4.2-1    大气污染物排放标准表</w:t>
      </w:r>
    </w:p>
    <w:tbl>
      <w:tblPr>
        <w:tblStyle w:val="41"/>
        <w:tblW w:w="526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561"/>
        <w:gridCol w:w="1160"/>
        <w:gridCol w:w="1304"/>
        <w:gridCol w:w="2473"/>
        <w:gridCol w:w="2070"/>
        <w:gridCol w:w="1190"/>
      </w:tblGrid>
      <w:tr w14:paraId="5864C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20" w:type="pct"/>
            <w:vAlign w:val="center"/>
          </w:tcPr>
          <w:p w14:paraId="7D8A0EE0">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设施</w:t>
            </w:r>
          </w:p>
        </w:tc>
        <w:tc>
          <w:tcPr>
            <w:tcW w:w="662" w:type="pct"/>
            <w:vAlign w:val="center"/>
          </w:tcPr>
          <w:p w14:paraId="346994FF">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排气筒编号</w:t>
            </w:r>
          </w:p>
        </w:tc>
        <w:tc>
          <w:tcPr>
            <w:tcW w:w="744" w:type="pct"/>
            <w:vAlign w:val="center"/>
          </w:tcPr>
          <w:p w14:paraId="5185CA96">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污染物</w:t>
            </w:r>
          </w:p>
        </w:tc>
        <w:tc>
          <w:tcPr>
            <w:tcW w:w="1411" w:type="pct"/>
            <w:vAlign w:val="center"/>
          </w:tcPr>
          <w:p w14:paraId="14B9AF11">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有组织执行标准</w:t>
            </w:r>
          </w:p>
        </w:tc>
        <w:tc>
          <w:tcPr>
            <w:tcW w:w="1181" w:type="pct"/>
            <w:vAlign w:val="center"/>
          </w:tcPr>
          <w:p w14:paraId="327DD919">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标准限值</w:t>
            </w:r>
          </w:p>
        </w:tc>
        <w:tc>
          <w:tcPr>
            <w:tcW w:w="679" w:type="pct"/>
            <w:vAlign w:val="center"/>
          </w:tcPr>
          <w:p w14:paraId="20FE5738">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排气筒高度</w:t>
            </w:r>
          </w:p>
        </w:tc>
      </w:tr>
      <w:tr w14:paraId="0E560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20" w:type="pct"/>
            <w:vMerge w:val="restart"/>
            <w:vAlign w:val="center"/>
          </w:tcPr>
          <w:p w14:paraId="2E7CC24D">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发酵废气及干燥废气</w:t>
            </w:r>
          </w:p>
        </w:tc>
        <w:tc>
          <w:tcPr>
            <w:tcW w:w="662" w:type="pct"/>
            <w:vMerge w:val="restart"/>
            <w:vAlign w:val="center"/>
          </w:tcPr>
          <w:p w14:paraId="0336D3C6">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DA001</w:t>
            </w:r>
          </w:p>
        </w:tc>
        <w:tc>
          <w:tcPr>
            <w:tcW w:w="744" w:type="pct"/>
            <w:vAlign w:val="center"/>
          </w:tcPr>
          <w:p w14:paraId="69671790">
            <w:pPr>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非甲烷总烃</w:t>
            </w:r>
          </w:p>
        </w:tc>
        <w:tc>
          <w:tcPr>
            <w:tcW w:w="1411" w:type="pct"/>
            <w:vMerge w:val="restart"/>
            <w:vAlign w:val="center"/>
          </w:tcPr>
          <w:p w14:paraId="32FFD7D7">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《大气污染物综合排放标准》（GB16297-1996）表2</w:t>
            </w:r>
          </w:p>
        </w:tc>
        <w:tc>
          <w:tcPr>
            <w:tcW w:w="1181" w:type="pct"/>
            <w:vAlign w:val="center"/>
          </w:tcPr>
          <w:p w14:paraId="1C082C7F">
            <w:pPr>
              <w:jc w:val="center"/>
              <w:rPr>
                <w:rFonts w:hint="eastAsia" w:ascii="Times New Roman" w:hAnsi="Times New Roman" w:eastAsia="宋体" w:cs="Times New Roman"/>
                <w:b w:val="0"/>
                <w:bCs w:val="0"/>
                <w:color w:val="auto"/>
                <w:szCs w:val="21"/>
                <w:lang w:eastAsia="zh-CN"/>
              </w:rPr>
            </w:pPr>
            <w:r>
              <w:rPr>
                <w:rFonts w:hint="eastAsia" w:ascii="Times New Roman" w:hAnsi="Times New Roman" w:eastAsia="宋体" w:cs="Times New Roman"/>
                <w:b w:val="0"/>
                <w:bCs w:val="0"/>
                <w:color w:val="auto"/>
                <w:szCs w:val="21"/>
                <w:lang w:val="en-US" w:eastAsia="zh-CN"/>
              </w:rPr>
              <w:t>120</w:t>
            </w:r>
            <w:r>
              <w:rPr>
                <w:rFonts w:hint="eastAsia" w:ascii="Times New Roman" w:hAnsi="Times New Roman" w:eastAsia="宋体" w:cs="Times New Roman"/>
                <w:b w:val="0"/>
                <w:bCs w:val="0"/>
                <w:color w:val="auto"/>
                <w:szCs w:val="21"/>
              </w:rPr>
              <w:t>mg/m³</w:t>
            </w:r>
            <w:r>
              <w:rPr>
                <w:rFonts w:hint="eastAsia" w:ascii="Times New Roman" w:hAnsi="Times New Roman" w:eastAsia="宋体" w:cs="Times New Roman"/>
                <w:b w:val="0"/>
                <w:bCs w:val="0"/>
                <w:color w:val="auto"/>
                <w:szCs w:val="21"/>
                <w:lang w:eastAsia="zh-CN"/>
              </w:rPr>
              <w:t>，</w:t>
            </w:r>
            <w:r>
              <w:rPr>
                <w:rFonts w:hint="eastAsia" w:ascii="Times New Roman" w:hAnsi="Times New Roman" w:eastAsia="宋体" w:cs="Times New Roman"/>
                <w:b w:val="0"/>
                <w:bCs w:val="0"/>
                <w:color w:val="auto"/>
                <w:szCs w:val="21"/>
                <w:lang w:val="en-US" w:eastAsia="zh-CN"/>
              </w:rPr>
              <w:t>17kg/h</w:t>
            </w:r>
          </w:p>
        </w:tc>
        <w:tc>
          <w:tcPr>
            <w:tcW w:w="679" w:type="pct"/>
            <w:vMerge w:val="restart"/>
            <w:vAlign w:val="center"/>
          </w:tcPr>
          <w:p w14:paraId="009FD25E">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21</w:t>
            </w:r>
            <w:r>
              <w:rPr>
                <w:rFonts w:hint="eastAsia" w:ascii="Times New Roman" w:hAnsi="Times New Roman" w:eastAsia="宋体" w:cs="Times New Roman"/>
                <w:color w:val="auto"/>
                <w:szCs w:val="21"/>
              </w:rPr>
              <w:t>m</w:t>
            </w:r>
          </w:p>
        </w:tc>
      </w:tr>
      <w:tr w14:paraId="12827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320" w:type="pct"/>
            <w:vMerge w:val="continue"/>
            <w:vAlign w:val="center"/>
          </w:tcPr>
          <w:p w14:paraId="151F4B1D">
            <w:pPr>
              <w:jc w:val="center"/>
              <w:rPr>
                <w:rFonts w:ascii="Times New Roman" w:hAnsi="Times New Roman" w:eastAsia="宋体" w:cs="Times New Roman"/>
                <w:color w:val="auto"/>
                <w:szCs w:val="21"/>
              </w:rPr>
            </w:pPr>
          </w:p>
        </w:tc>
        <w:tc>
          <w:tcPr>
            <w:tcW w:w="662" w:type="pct"/>
            <w:vMerge w:val="continue"/>
            <w:vAlign w:val="center"/>
          </w:tcPr>
          <w:p w14:paraId="6C915D8E">
            <w:pPr>
              <w:jc w:val="center"/>
              <w:rPr>
                <w:rFonts w:ascii="Times New Roman" w:hAnsi="Times New Roman" w:eastAsia="宋体" w:cs="Times New Roman"/>
                <w:color w:val="auto"/>
                <w:szCs w:val="21"/>
              </w:rPr>
            </w:pPr>
          </w:p>
        </w:tc>
        <w:tc>
          <w:tcPr>
            <w:tcW w:w="744" w:type="pct"/>
            <w:vAlign w:val="center"/>
          </w:tcPr>
          <w:p w14:paraId="1FBEF3C1">
            <w:pPr>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颗粒物</w:t>
            </w:r>
          </w:p>
        </w:tc>
        <w:tc>
          <w:tcPr>
            <w:tcW w:w="1411" w:type="pct"/>
            <w:vMerge w:val="continue"/>
            <w:vAlign w:val="center"/>
          </w:tcPr>
          <w:p w14:paraId="7B9A0934">
            <w:pPr>
              <w:jc w:val="center"/>
              <w:rPr>
                <w:rFonts w:ascii="Times New Roman" w:hAnsi="Times New Roman" w:eastAsia="宋体" w:cs="Times New Roman"/>
                <w:color w:val="auto"/>
                <w:szCs w:val="21"/>
              </w:rPr>
            </w:pPr>
          </w:p>
        </w:tc>
        <w:tc>
          <w:tcPr>
            <w:tcW w:w="1181" w:type="pct"/>
            <w:vAlign w:val="center"/>
          </w:tcPr>
          <w:p w14:paraId="5F6004C7">
            <w:pPr>
              <w:jc w:val="center"/>
              <w:rPr>
                <w:rFonts w:hint="default" w:ascii="Times New Roman" w:hAnsi="Times New Roman" w:eastAsia="宋体" w:cs="Times New Roman"/>
                <w:b w:val="0"/>
                <w:bCs w:val="0"/>
                <w:color w:val="auto"/>
                <w:szCs w:val="21"/>
                <w:lang w:val="en-US"/>
              </w:rPr>
            </w:pPr>
            <w:r>
              <w:rPr>
                <w:rFonts w:hint="eastAsia" w:ascii="Times New Roman" w:hAnsi="Times New Roman" w:eastAsia="宋体" w:cs="Times New Roman"/>
                <w:b w:val="0"/>
                <w:bCs w:val="0"/>
                <w:color w:val="auto"/>
                <w:szCs w:val="21"/>
                <w:lang w:val="en-US" w:eastAsia="zh-CN"/>
              </w:rPr>
              <w:t>120</w:t>
            </w:r>
            <w:r>
              <w:rPr>
                <w:rFonts w:hint="eastAsia" w:ascii="Times New Roman" w:hAnsi="Times New Roman" w:eastAsia="宋体" w:cs="Times New Roman"/>
                <w:b w:val="0"/>
                <w:bCs w:val="0"/>
                <w:color w:val="auto"/>
                <w:szCs w:val="21"/>
              </w:rPr>
              <w:t>mg/m³</w:t>
            </w:r>
            <w:r>
              <w:rPr>
                <w:rFonts w:hint="eastAsia" w:ascii="Times New Roman" w:hAnsi="Times New Roman" w:eastAsia="宋体" w:cs="Times New Roman"/>
                <w:b w:val="0"/>
                <w:bCs w:val="0"/>
                <w:color w:val="auto"/>
                <w:szCs w:val="21"/>
                <w:lang w:eastAsia="zh-CN"/>
              </w:rPr>
              <w:t>，</w:t>
            </w:r>
            <w:r>
              <w:rPr>
                <w:rFonts w:hint="eastAsia" w:ascii="Times New Roman" w:hAnsi="Times New Roman" w:eastAsia="宋体" w:cs="Times New Roman"/>
                <w:b w:val="0"/>
                <w:bCs w:val="0"/>
                <w:color w:val="auto"/>
                <w:szCs w:val="21"/>
                <w:lang w:val="en-US" w:eastAsia="zh-CN"/>
              </w:rPr>
              <w:t>5.9kg/h</w:t>
            </w:r>
          </w:p>
        </w:tc>
        <w:tc>
          <w:tcPr>
            <w:tcW w:w="679" w:type="pct"/>
            <w:vMerge w:val="continue"/>
            <w:vAlign w:val="center"/>
          </w:tcPr>
          <w:p w14:paraId="01A42DEC">
            <w:pPr>
              <w:jc w:val="center"/>
              <w:rPr>
                <w:rFonts w:ascii="Times New Roman" w:hAnsi="Times New Roman" w:eastAsia="宋体" w:cs="Times New Roman"/>
                <w:color w:val="auto"/>
                <w:szCs w:val="21"/>
              </w:rPr>
            </w:pPr>
          </w:p>
        </w:tc>
      </w:tr>
      <w:tr w14:paraId="4703C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6" w:hRule="atLeast"/>
          <w:jc w:val="center"/>
        </w:trPr>
        <w:tc>
          <w:tcPr>
            <w:tcW w:w="320" w:type="pct"/>
            <w:vMerge w:val="continue"/>
            <w:vAlign w:val="center"/>
          </w:tcPr>
          <w:p w14:paraId="69D1C021">
            <w:pPr>
              <w:jc w:val="center"/>
              <w:rPr>
                <w:rFonts w:ascii="Times New Roman" w:hAnsi="Times New Roman" w:eastAsia="宋体" w:cs="Times New Roman"/>
                <w:color w:val="auto"/>
                <w:szCs w:val="21"/>
              </w:rPr>
            </w:pPr>
          </w:p>
        </w:tc>
        <w:tc>
          <w:tcPr>
            <w:tcW w:w="662" w:type="pct"/>
            <w:vMerge w:val="continue"/>
            <w:vAlign w:val="center"/>
          </w:tcPr>
          <w:p w14:paraId="2EC4B304">
            <w:pPr>
              <w:jc w:val="center"/>
              <w:rPr>
                <w:rFonts w:ascii="Times New Roman" w:hAnsi="Times New Roman" w:eastAsia="宋体" w:cs="Times New Roman"/>
                <w:color w:val="auto"/>
                <w:szCs w:val="21"/>
              </w:rPr>
            </w:pPr>
          </w:p>
        </w:tc>
        <w:tc>
          <w:tcPr>
            <w:tcW w:w="744" w:type="pct"/>
            <w:shd w:val="clear" w:color="auto" w:fill="auto"/>
            <w:vAlign w:val="center"/>
          </w:tcPr>
          <w:p w14:paraId="4B14720D">
            <w:pPr>
              <w:jc w:val="center"/>
              <w:rPr>
                <w:rFonts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rPr>
              <w:t>氨气</w:t>
            </w:r>
          </w:p>
        </w:tc>
        <w:tc>
          <w:tcPr>
            <w:tcW w:w="1411" w:type="pct"/>
            <w:vMerge w:val="restart"/>
            <w:vAlign w:val="center"/>
          </w:tcPr>
          <w:p w14:paraId="6A682F24">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《恶臭污染物排放标准》（GB14554-93）表2限值</w:t>
            </w:r>
          </w:p>
        </w:tc>
        <w:tc>
          <w:tcPr>
            <w:tcW w:w="1181" w:type="pct"/>
            <w:vAlign w:val="center"/>
          </w:tcPr>
          <w:p w14:paraId="39E570CA">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8.7kg/h</w:t>
            </w:r>
          </w:p>
        </w:tc>
        <w:tc>
          <w:tcPr>
            <w:tcW w:w="679" w:type="pct"/>
            <w:vMerge w:val="continue"/>
            <w:vAlign w:val="center"/>
          </w:tcPr>
          <w:p w14:paraId="3224C0C3">
            <w:pPr>
              <w:jc w:val="center"/>
              <w:rPr>
                <w:rFonts w:ascii="Times New Roman" w:hAnsi="Times New Roman" w:eastAsia="宋体" w:cs="Times New Roman"/>
                <w:color w:val="auto"/>
                <w:szCs w:val="21"/>
              </w:rPr>
            </w:pPr>
          </w:p>
        </w:tc>
      </w:tr>
      <w:tr w14:paraId="2071C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20" w:type="pct"/>
            <w:vMerge w:val="continue"/>
            <w:vAlign w:val="center"/>
          </w:tcPr>
          <w:p w14:paraId="772980BA">
            <w:pPr>
              <w:jc w:val="center"/>
              <w:rPr>
                <w:rFonts w:ascii="Times New Roman" w:hAnsi="Times New Roman" w:eastAsia="宋体" w:cs="Times New Roman"/>
                <w:color w:val="auto"/>
                <w:szCs w:val="21"/>
              </w:rPr>
            </w:pPr>
          </w:p>
        </w:tc>
        <w:tc>
          <w:tcPr>
            <w:tcW w:w="662" w:type="pct"/>
            <w:vMerge w:val="continue"/>
            <w:vAlign w:val="center"/>
          </w:tcPr>
          <w:p w14:paraId="0E3C5895">
            <w:pPr>
              <w:jc w:val="center"/>
              <w:rPr>
                <w:rFonts w:ascii="Times New Roman" w:hAnsi="Times New Roman" w:eastAsia="宋体" w:cs="Times New Roman"/>
                <w:color w:val="auto"/>
                <w:szCs w:val="21"/>
              </w:rPr>
            </w:pPr>
          </w:p>
        </w:tc>
        <w:tc>
          <w:tcPr>
            <w:tcW w:w="744" w:type="pct"/>
            <w:shd w:val="clear" w:color="auto" w:fill="auto"/>
            <w:vAlign w:val="center"/>
          </w:tcPr>
          <w:p w14:paraId="3C1F0D18">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臭气浓度</w:t>
            </w:r>
          </w:p>
        </w:tc>
        <w:tc>
          <w:tcPr>
            <w:tcW w:w="1411" w:type="pct"/>
            <w:vMerge w:val="continue"/>
            <w:vAlign w:val="center"/>
          </w:tcPr>
          <w:p w14:paraId="0E4617B5">
            <w:pPr>
              <w:jc w:val="center"/>
              <w:rPr>
                <w:rFonts w:ascii="Times New Roman" w:hAnsi="Times New Roman" w:eastAsia="宋体" w:cs="Times New Roman"/>
                <w:color w:val="auto"/>
                <w:szCs w:val="21"/>
              </w:rPr>
            </w:pPr>
          </w:p>
        </w:tc>
        <w:tc>
          <w:tcPr>
            <w:tcW w:w="1181" w:type="pct"/>
            <w:vAlign w:val="center"/>
          </w:tcPr>
          <w:p w14:paraId="320820E5">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6000（无量纲）</w:t>
            </w:r>
          </w:p>
        </w:tc>
        <w:tc>
          <w:tcPr>
            <w:tcW w:w="679" w:type="pct"/>
            <w:vMerge w:val="continue"/>
            <w:vAlign w:val="center"/>
          </w:tcPr>
          <w:p w14:paraId="7CE2B61F">
            <w:pPr>
              <w:jc w:val="center"/>
              <w:rPr>
                <w:rFonts w:ascii="Times New Roman" w:hAnsi="Times New Roman" w:eastAsia="宋体" w:cs="Times New Roman"/>
                <w:color w:val="auto"/>
                <w:szCs w:val="21"/>
              </w:rPr>
            </w:pPr>
          </w:p>
        </w:tc>
      </w:tr>
      <w:tr w14:paraId="14E35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20" w:type="pct"/>
            <w:vMerge w:val="restart"/>
            <w:vAlign w:val="center"/>
          </w:tcPr>
          <w:p w14:paraId="16A40B6A">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污水站、危废暂存间废气</w:t>
            </w:r>
          </w:p>
        </w:tc>
        <w:tc>
          <w:tcPr>
            <w:tcW w:w="662" w:type="pct"/>
            <w:vMerge w:val="restart"/>
            <w:vAlign w:val="center"/>
          </w:tcPr>
          <w:p w14:paraId="5E4887EF">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DA002</w:t>
            </w:r>
          </w:p>
        </w:tc>
        <w:tc>
          <w:tcPr>
            <w:tcW w:w="744" w:type="pct"/>
            <w:vAlign w:val="center"/>
          </w:tcPr>
          <w:p w14:paraId="2AED8004">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非甲烷总烃</w:t>
            </w:r>
          </w:p>
        </w:tc>
        <w:tc>
          <w:tcPr>
            <w:tcW w:w="1411" w:type="pct"/>
            <w:vAlign w:val="center"/>
          </w:tcPr>
          <w:p w14:paraId="3F6AFE80">
            <w:pPr>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《大气污染物综合排放标准》（GB16297-1996）表</w:t>
            </w:r>
          </w:p>
        </w:tc>
        <w:tc>
          <w:tcPr>
            <w:tcW w:w="1181" w:type="pct"/>
            <w:vAlign w:val="center"/>
          </w:tcPr>
          <w:p w14:paraId="6364CD16">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b w:val="0"/>
                <w:bCs w:val="0"/>
                <w:color w:val="auto"/>
                <w:szCs w:val="21"/>
                <w:lang w:val="en-US" w:eastAsia="zh-CN"/>
              </w:rPr>
              <w:t>120</w:t>
            </w:r>
            <w:r>
              <w:rPr>
                <w:rFonts w:hint="eastAsia" w:ascii="Times New Roman" w:hAnsi="Times New Roman" w:eastAsia="宋体" w:cs="Times New Roman"/>
                <w:b w:val="0"/>
                <w:bCs w:val="0"/>
                <w:color w:val="auto"/>
                <w:szCs w:val="21"/>
              </w:rPr>
              <w:t>mg/m³</w:t>
            </w:r>
            <w:r>
              <w:rPr>
                <w:rFonts w:hint="eastAsia" w:ascii="Times New Roman" w:hAnsi="Times New Roman" w:eastAsia="宋体" w:cs="Times New Roman"/>
                <w:b w:val="0"/>
                <w:bCs w:val="0"/>
                <w:color w:val="auto"/>
                <w:szCs w:val="21"/>
                <w:lang w:eastAsia="zh-CN"/>
              </w:rPr>
              <w:t>，</w:t>
            </w:r>
            <w:r>
              <w:rPr>
                <w:rFonts w:hint="eastAsia" w:ascii="Times New Roman" w:hAnsi="Times New Roman" w:eastAsia="宋体" w:cs="Times New Roman"/>
                <w:b w:val="0"/>
                <w:bCs w:val="0"/>
                <w:color w:val="auto"/>
                <w:szCs w:val="21"/>
                <w:lang w:val="en-US" w:eastAsia="zh-CN"/>
              </w:rPr>
              <w:t>17kg/h</w:t>
            </w:r>
          </w:p>
        </w:tc>
        <w:tc>
          <w:tcPr>
            <w:tcW w:w="679" w:type="pct"/>
            <w:vMerge w:val="restart"/>
            <w:vAlign w:val="center"/>
          </w:tcPr>
          <w:p w14:paraId="3A1C3303">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20m</w:t>
            </w:r>
          </w:p>
        </w:tc>
      </w:tr>
      <w:tr w14:paraId="3E3D2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20" w:type="pct"/>
            <w:vMerge w:val="continue"/>
            <w:vAlign w:val="center"/>
          </w:tcPr>
          <w:p w14:paraId="42EFAB71">
            <w:pPr>
              <w:jc w:val="center"/>
              <w:rPr>
                <w:rFonts w:hint="eastAsia" w:ascii="Times New Roman" w:hAnsi="Times New Roman" w:eastAsia="宋体" w:cs="Times New Roman"/>
                <w:color w:val="auto"/>
                <w:szCs w:val="21"/>
              </w:rPr>
            </w:pPr>
          </w:p>
        </w:tc>
        <w:tc>
          <w:tcPr>
            <w:tcW w:w="662" w:type="pct"/>
            <w:vMerge w:val="continue"/>
            <w:vAlign w:val="center"/>
          </w:tcPr>
          <w:p w14:paraId="54B48786">
            <w:pPr>
              <w:jc w:val="center"/>
              <w:rPr>
                <w:rFonts w:hint="eastAsia" w:ascii="Times New Roman" w:hAnsi="Times New Roman" w:eastAsia="宋体" w:cs="Times New Roman"/>
                <w:color w:val="auto"/>
                <w:szCs w:val="21"/>
              </w:rPr>
            </w:pPr>
          </w:p>
        </w:tc>
        <w:tc>
          <w:tcPr>
            <w:tcW w:w="744" w:type="pct"/>
            <w:vAlign w:val="center"/>
          </w:tcPr>
          <w:p w14:paraId="522612A0">
            <w:pPr>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氨气</w:t>
            </w:r>
          </w:p>
        </w:tc>
        <w:tc>
          <w:tcPr>
            <w:tcW w:w="1411" w:type="pct"/>
            <w:vMerge w:val="restart"/>
            <w:vAlign w:val="center"/>
          </w:tcPr>
          <w:p w14:paraId="4CAA35C9">
            <w:pPr>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《恶臭污染物排放标准》（GB14554-93）表2限值</w:t>
            </w:r>
          </w:p>
        </w:tc>
        <w:tc>
          <w:tcPr>
            <w:tcW w:w="1181" w:type="pct"/>
            <w:vAlign w:val="center"/>
          </w:tcPr>
          <w:p w14:paraId="730F85BE">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8.7kg/h</w:t>
            </w:r>
          </w:p>
        </w:tc>
        <w:tc>
          <w:tcPr>
            <w:tcW w:w="679" w:type="pct"/>
            <w:vMerge w:val="continue"/>
            <w:vAlign w:val="center"/>
          </w:tcPr>
          <w:p w14:paraId="7AA7A531">
            <w:pPr>
              <w:jc w:val="center"/>
              <w:rPr>
                <w:rFonts w:hint="eastAsia" w:ascii="Times New Roman" w:hAnsi="Times New Roman" w:eastAsia="宋体" w:cs="Times New Roman"/>
                <w:color w:val="auto"/>
                <w:szCs w:val="21"/>
              </w:rPr>
            </w:pPr>
          </w:p>
        </w:tc>
      </w:tr>
      <w:tr w14:paraId="5D374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20" w:type="pct"/>
            <w:vMerge w:val="continue"/>
            <w:vAlign w:val="center"/>
          </w:tcPr>
          <w:p w14:paraId="2924D5ED">
            <w:pPr>
              <w:jc w:val="center"/>
              <w:rPr>
                <w:rFonts w:hint="eastAsia" w:ascii="Times New Roman" w:hAnsi="Times New Roman" w:eastAsia="宋体" w:cs="Times New Roman"/>
                <w:color w:val="auto"/>
                <w:szCs w:val="21"/>
              </w:rPr>
            </w:pPr>
          </w:p>
        </w:tc>
        <w:tc>
          <w:tcPr>
            <w:tcW w:w="662" w:type="pct"/>
            <w:vMerge w:val="continue"/>
            <w:vAlign w:val="center"/>
          </w:tcPr>
          <w:p w14:paraId="2BDCE9F8">
            <w:pPr>
              <w:jc w:val="center"/>
              <w:rPr>
                <w:rFonts w:hint="eastAsia" w:ascii="Times New Roman" w:hAnsi="Times New Roman" w:eastAsia="宋体" w:cs="Times New Roman"/>
                <w:color w:val="auto"/>
                <w:szCs w:val="21"/>
              </w:rPr>
            </w:pPr>
          </w:p>
        </w:tc>
        <w:tc>
          <w:tcPr>
            <w:tcW w:w="744" w:type="pct"/>
            <w:vAlign w:val="center"/>
          </w:tcPr>
          <w:p w14:paraId="34E13823">
            <w:pPr>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硫化氢</w:t>
            </w:r>
          </w:p>
        </w:tc>
        <w:tc>
          <w:tcPr>
            <w:tcW w:w="1411" w:type="pct"/>
            <w:vMerge w:val="continue"/>
            <w:vAlign w:val="center"/>
          </w:tcPr>
          <w:p w14:paraId="17FA5116">
            <w:pPr>
              <w:jc w:val="center"/>
              <w:rPr>
                <w:rFonts w:hint="eastAsia" w:ascii="Times New Roman" w:hAnsi="Times New Roman" w:eastAsia="宋体" w:cs="Times New Roman"/>
                <w:color w:val="auto"/>
                <w:szCs w:val="21"/>
              </w:rPr>
            </w:pPr>
          </w:p>
        </w:tc>
        <w:tc>
          <w:tcPr>
            <w:tcW w:w="1181" w:type="pct"/>
            <w:vAlign w:val="center"/>
          </w:tcPr>
          <w:p w14:paraId="3592B9A6">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0.58kg/h</w:t>
            </w:r>
          </w:p>
        </w:tc>
        <w:tc>
          <w:tcPr>
            <w:tcW w:w="679" w:type="pct"/>
            <w:vMerge w:val="continue"/>
            <w:vAlign w:val="center"/>
          </w:tcPr>
          <w:p w14:paraId="083912BA">
            <w:pPr>
              <w:jc w:val="center"/>
              <w:rPr>
                <w:rFonts w:hint="eastAsia" w:ascii="Times New Roman" w:hAnsi="Times New Roman" w:eastAsia="宋体" w:cs="Times New Roman"/>
                <w:color w:val="auto"/>
                <w:szCs w:val="21"/>
              </w:rPr>
            </w:pPr>
          </w:p>
        </w:tc>
      </w:tr>
      <w:tr w14:paraId="25C73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20" w:type="pct"/>
            <w:vMerge w:val="continue"/>
            <w:vAlign w:val="center"/>
          </w:tcPr>
          <w:p w14:paraId="1CBB8904">
            <w:pPr>
              <w:jc w:val="center"/>
              <w:rPr>
                <w:rFonts w:hint="eastAsia" w:ascii="Times New Roman" w:hAnsi="Times New Roman" w:eastAsia="宋体" w:cs="Times New Roman"/>
                <w:color w:val="auto"/>
                <w:szCs w:val="21"/>
              </w:rPr>
            </w:pPr>
          </w:p>
        </w:tc>
        <w:tc>
          <w:tcPr>
            <w:tcW w:w="662" w:type="pct"/>
            <w:vMerge w:val="continue"/>
            <w:vAlign w:val="center"/>
          </w:tcPr>
          <w:p w14:paraId="39059CDB">
            <w:pPr>
              <w:jc w:val="center"/>
              <w:rPr>
                <w:rFonts w:hint="eastAsia" w:ascii="Times New Roman" w:hAnsi="Times New Roman" w:eastAsia="宋体" w:cs="Times New Roman"/>
                <w:color w:val="auto"/>
                <w:szCs w:val="21"/>
              </w:rPr>
            </w:pPr>
          </w:p>
        </w:tc>
        <w:tc>
          <w:tcPr>
            <w:tcW w:w="744" w:type="pct"/>
            <w:vAlign w:val="center"/>
          </w:tcPr>
          <w:p w14:paraId="37492A35">
            <w:pPr>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臭气浓度</w:t>
            </w:r>
          </w:p>
        </w:tc>
        <w:tc>
          <w:tcPr>
            <w:tcW w:w="1411" w:type="pct"/>
            <w:vMerge w:val="continue"/>
            <w:vAlign w:val="center"/>
          </w:tcPr>
          <w:p w14:paraId="456CC03B">
            <w:pPr>
              <w:jc w:val="center"/>
              <w:rPr>
                <w:rFonts w:hint="eastAsia" w:ascii="Times New Roman" w:hAnsi="Times New Roman" w:eastAsia="宋体" w:cs="Times New Roman"/>
                <w:color w:val="auto"/>
                <w:szCs w:val="21"/>
              </w:rPr>
            </w:pPr>
          </w:p>
        </w:tc>
        <w:tc>
          <w:tcPr>
            <w:tcW w:w="1181" w:type="pct"/>
            <w:vAlign w:val="center"/>
          </w:tcPr>
          <w:p w14:paraId="2CE222AC">
            <w:pPr>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6000（无量纲）</w:t>
            </w:r>
          </w:p>
        </w:tc>
        <w:tc>
          <w:tcPr>
            <w:tcW w:w="679" w:type="pct"/>
            <w:vMerge w:val="continue"/>
            <w:vAlign w:val="center"/>
          </w:tcPr>
          <w:p w14:paraId="4C51EE7D">
            <w:pPr>
              <w:jc w:val="center"/>
              <w:rPr>
                <w:rFonts w:hint="eastAsia" w:ascii="Times New Roman" w:hAnsi="Times New Roman" w:eastAsia="宋体" w:cs="Times New Roman"/>
                <w:color w:val="auto"/>
                <w:szCs w:val="21"/>
              </w:rPr>
            </w:pPr>
          </w:p>
        </w:tc>
      </w:tr>
      <w:tr w14:paraId="5A37E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20" w:type="pct"/>
            <w:vMerge w:val="restart"/>
            <w:vAlign w:val="center"/>
          </w:tcPr>
          <w:p w14:paraId="4E46A40F">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厂界</w:t>
            </w:r>
          </w:p>
        </w:tc>
        <w:tc>
          <w:tcPr>
            <w:tcW w:w="662" w:type="pct"/>
            <w:vMerge w:val="restart"/>
            <w:vAlign w:val="center"/>
          </w:tcPr>
          <w:p w14:paraId="0710A473">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w:t>
            </w:r>
          </w:p>
        </w:tc>
        <w:tc>
          <w:tcPr>
            <w:tcW w:w="744" w:type="pct"/>
            <w:vAlign w:val="center"/>
          </w:tcPr>
          <w:p w14:paraId="248190D1">
            <w:pPr>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非甲烷总烃</w:t>
            </w:r>
          </w:p>
        </w:tc>
        <w:tc>
          <w:tcPr>
            <w:tcW w:w="1411" w:type="pct"/>
            <w:vMerge w:val="restart"/>
            <w:vAlign w:val="center"/>
          </w:tcPr>
          <w:p w14:paraId="199D6EE1">
            <w:pPr>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rPr>
              <w:t>《大气污染物综合排放标准》（GB16297-1996）表</w:t>
            </w:r>
            <w:r>
              <w:rPr>
                <w:rFonts w:hint="eastAsia" w:ascii="Times New Roman" w:hAnsi="Times New Roman" w:eastAsia="宋体" w:cs="Times New Roman"/>
                <w:color w:val="auto"/>
                <w:szCs w:val="21"/>
                <w:lang w:val="en-US" w:eastAsia="zh-CN"/>
              </w:rPr>
              <w:t>2</w:t>
            </w:r>
          </w:p>
        </w:tc>
        <w:tc>
          <w:tcPr>
            <w:tcW w:w="1181" w:type="pct"/>
            <w:vAlign w:val="center"/>
          </w:tcPr>
          <w:p w14:paraId="47B3761E">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4.0</w:t>
            </w:r>
            <w:r>
              <w:rPr>
                <w:rFonts w:hint="eastAsia" w:ascii="Times New Roman" w:hAnsi="Times New Roman" w:eastAsia="宋体" w:cs="Times New Roman"/>
                <w:b w:val="0"/>
                <w:bCs w:val="0"/>
                <w:color w:val="auto"/>
                <w:szCs w:val="21"/>
              </w:rPr>
              <w:t>mg/m³</w:t>
            </w:r>
          </w:p>
        </w:tc>
        <w:tc>
          <w:tcPr>
            <w:tcW w:w="679" w:type="pct"/>
            <w:vAlign w:val="center"/>
          </w:tcPr>
          <w:p w14:paraId="4AC74892">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w:t>
            </w:r>
          </w:p>
        </w:tc>
      </w:tr>
      <w:tr w14:paraId="0E290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20" w:type="pct"/>
            <w:vMerge w:val="continue"/>
            <w:vAlign w:val="center"/>
          </w:tcPr>
          <w:p w14:paraId="2D21823F">
            <w:pPr>
              <w:jc w:val="center"/>
              <w:rPr>
                <w:rFonts w:ascii="Times New Roman" w:hAnsi="Times New Roman" w:eastAsia="宋体" w:cs="Times New Roman"/>
                <w:color w:val="auto"/>
                <w:szCs w:val="21"/>
              </w:rPr>
            </w:pPr>
          </w:p>
        </w:tc>
        <w:tc>
          <w:tcPr>
            <w:tcW w:w="662" w:type="pct"/>
            <w:vMerge w:val="continue"/>
            <w:vAlign w:val="center"/>
          </w:tcPr>
          <w:p w14:paraId="798E858C">
            <w:pPr>
              <w:jc w:val="center"/>
              <w:rPr>
                <w:rFonts w:ascii="Times New Roman" w:hAnsi="Times New Roman" w:eastAsia="宋体" w:cs="Times New Roman"/>
                <w:color w:val="auto"/>
                <w:szCs w:val="21"/>
              </w:rPr>
            </w:pPr>
          </w:p>
        </w:tc>
        <w:tc>
          <w:tcPr>
            <w:tcW w:w="744" w:type="pct"/>
            <w:vAlign w:val="center"/>
          </w:tcPr>
          <w:p w14:paraId="6BA643D1">
            <w:pPr>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颗粒物</w:t>
            </w:r>
          </w:p>
        </w:tc>
        <w:tc>
          <w:tcPr>
            <w:tcW w:w="1411" w:type="pct"/>
            <w:vMerge w:val="continue"/>
            <w:vAlign w:val="center"/>
          </w:tcPr>
          <w:p w14:paraId="6484A1C9">
            <w:pPr>
              <w:jc w:val="center"/>
              <w:rPr>
                <w:rFonts w:ascii="Times New Roman" w:hAnsi="Times New Roman" w:eastAsia="宋体" w:cs="Times New Roman"/>
                <w:color w:val="auto"/>
                <w:szCs w:val="21"/>
              </w:rPr>
            </w:pPr>
          </w:p>
        </w:tc>
        <w:tc>
          <w:tcPr>
            <w:tcW w:w="1181" w:type="pct"/>
            <w:vAlign w:val="center"/>
          </w:tcPr>
          <w:p w14:paraId="4F3F7569">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1.0</w:t>
            </w:r>
            <w:r>
              <w:rPr>
                <w:rFonts w:hint="eastAsia" w:ascii="Times New Roman" w:hAnsi="Times New Roman" w:eastAsia="宋体" w:cs="Times New Roman"/>
                <w:b w:val="0"/>
                <w:bCs w:val="0"/>
                <w:color w:val="auto"/>
                <w:szCs w:val="21"/>
              </w:rPr>
              <w:t>mg/m³</w:t>
            </w:r>
          </w:p>
        </w:tc>
        <w:tc>
          <w:tcPr>
            <w:tcW w:w="679" w:type="pct"/>
            <w:vAlign w:val="center"/>
          </w:tcPr>
          <w:p w14:paraId="50880B5E">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w:t>
            </w:r>
          </w:p>
        </w:tc>
      </w:tr>
      <w:tr w14:paraId="34918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20" w:type="pct"/>
            <w:vMerge w:val="continue"/>
            <w:vAlign w:val="center"/>
          </w:tcPr>
          <w:p w14:paraId="0D314499">
            <w:pPr>
              <w:jc w:val="center"/>
              <w:rPr>
                <w:rFonts w:ascii="Times New Roman" w:hAnsi="Times New Roman" w:eastAsia="宋体" w:cs="Times New Roman"/>
                <w:color w:val="auto"/>
                <w:szCs w:val="21"/>
              </w:rPr>
            </w:pPr>
          </w:p>
        </w:tc>
        <w:tc>
          <w:tcPr>
            <w:tcW w:w="662" w:type="pct"/>
            <w:vMerge w:val="continue"/>
            <w:vAlign w:val="center"/>
          </w:tcPr>
          <w:p w14:paraId="36216432">
            <w:pPr>
              <w:jc w:val="center"/>
              <w:rPr>
                <w:rFonts w:ascii="Times New Roman" w:hAnsi="Times New Roman" w:eastAsia="宋体" w:cs="Times New Roman"/>
                <w:color w:val="auto"/>
                <w:szCs w:val="21"/>
              </w:rPr>
            </w:pPr>
          </w:p>
        </w:tc>
        <w:tc>
          <w:tcPr>
            <w:tcW w:w="744" w:type="pct"/>
            <w:vAlign w:val="center"/>
          </w:tcPr>
          <w:p w14:paraId="3A0D97FF">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氨气</w:t>
            </w:r>
          </w:p>
        </w:tc>
        <w:tc>
          <w:tcPr>
            <w:tcW w:w="1411" w:type="pct"/>
            <w:vMerge w:val="restart"/>
            <w:vAlign w:val="center"/>
          </w:tcPr>
          <w:p w14:paraId="368CF691">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《恶臭污染物排放标准》（GB14554-93）表1二级新改扩标准</w:t>
            </w:r>
          </w:p>
        </w:tc>
        <w:tc>
          <w:tcPr>
            <w:tcW w:w="1181" w:type="pct"/>
            <w:vAlign w:val="center"/>
          </w:tcPr>
          <w:p w14:paraId="58DBE5DA">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1.5</w:t>
            </w:r>
            <w:r>
              <w:rPr>
                <w:rFonts w:hint="eastAsia" w:ascii="Times New Roman" w:hAnsi="Times New Roman" w:eastAsia="宋体" w:cs="Times New Roman"/>
                <w:b w:val="0"/>
                <w:bCs w:val="0"/>
                <w:color w:val="auto"/>
                <w:szCs w:val="21"/>
              </w:rPr>
              <w:t>mg/m³</w:t>
            </w:r>
          </w:p>
        </w:tc>
        <w:tc>
          <w:tcPr>
            <w:tcW w:w="679" w:type="pct"/>
            <w:vAlign w:val="center"/>
          </w:tcPr>
          <w:p w14:paraId="070DB97C">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w:t>
            </w:r>
          </w:p>
        </w:tc>
      </w:tr>
      <w:tr w14:paraId="30170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20" w:type="pct"/>
            <w:vMerge w:val="continue"/>
            <w:vAlign w:val="center"/>
          </w:tcPr>
          <w:p w14:paraId="4D5B25E9">
            <w:pPr>
              <w:jc w:val="center"/>
              <w:rPr>
                <w:rFonts w:ascii="Times New Roman" w:hAnsi="Times New Roman" w:eastAsia="宋体" w:cs="Times New Roman"/>
                <w:color w:val="auto"/>
                <w:szCs w:val="21"/>
              </w:rPr>
            </w:pPr>
          </w:p>
        </w:tc>
        <w:tc>
          <w:tcPr>
            <w:tcW w:w="662" w:type="pct"/>
            <w:vMerge w:val="continue"/>
            <w:vAlign w:val="center"/>
          </w:tcPr>
          <w:p w14:paraId="3CCA3B1B">
            <w:pPr>
              <w:jc w:val="center"/>
              <w:rPr>
                <w:rFonts w:ascii="Times New Roman" w:hAnsi="Times New Roman" w:eastAsia="宋体" w:cs="Times New Roman"/>
                <w:color w:val="auto"/>
                <w:szCs w:val="21"/>
              </w:rPr>
            </w:pPr>
          </w:p>
        </w:tc>
        <w:tc>
          <w:tcPr>
            <w:tcW w:w="744" w:type="pct"/>
            <w:vAlign w:val="center"/>
          </w:tcPr>
          <w:p w14:paraId="354A3E05">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硫化氢</w:t>
            </w:r>
          </w:p>
        </w:tc>
        <w:tc>
          <w:tcPr>
            <w:tcW w:w="1411" w:type="pct"/>
            <w:vMerge w:val="continue"/>
            <w:vAlign w:val="center"/>
          </w:tcPr>
          <w:p w14:paraId="7C3A1D08">
            <w:pPr>
              <w:jc w:val="center"/>
              <w:rPr>
                <w:rFonts w:ascii="Times New Roman" w:hAnsi="Times New Roman" w:eastAsia="宋体" w:cs="Times New Roman"/>
                <w:color w:val="auto"/>
                <w:szCs w:val="21"/>
              </w:rPr>
            </w:pPr>
          </w:p>
        </w:tc>
        <w:tc>
          <w:tcPr>
            <w:tcW w:w="1181" w:type="pct"/>
            <w:vAlign w:val="center"/>
          </w:tcPr>
          <w:p w14:paraId="5C78A63A">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0.06</w:t>
            </w:r>
            <w:r>
              <w:rPr>
                <w:rFonts w:hint="eastAsia" w:ascii="Times New Roman" w:hAnsi="Times New Roman" w:eastAsia="宋体" w:cs="Times New Roman"/>
                <w:b w:val="0"/>
                <w:bCs w:val="0"/>
                <w:color w:val="auto"/>
                <w:szCs w:val="21"/>
              </w:rPr>
              <w:t>mg/m³</w:t>
            </w:r>
          </w:p>
        </w:tc>
        <w:tc>
          <w:tcPr>
            <w:tcW w:w="679" w:type="pct"/>
            <w:vAlign w:val="center"/>
          </w:tcPr>
          <w:p w14:paraId="1B8DF5AF">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w:t>
            </w:r>
          </w:p>
        </w:tc>
      </w:tr>
      <w:tr w14:paraId="1C9E7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320" w:type="pct"/>
            <w:vMerge w:val="continue"/>
            <w:vAlign w:val="center"/>
          </w:tcPr>
          <w:p w14:paraId="7DCDB6D4">
            <w:pPr>
              <w:jc w:val="center"/>
              <w:rPr>
                <w:rFonts w:ascii="Times New Roman" w:hAnsi="Times New Roman" w:eastAsia="宋体" w:cs="Times New Roman"/>
                <w:color w:val="auto"/>
                <w:szCs w:val="21"/>
              </w:rPr>
            </w:pPr>
          </w:p>
        </w:tc>
        <w:tc>
          <w:tcPr>
            <w:tcW w:w="662" w:type="pct"/>
            <w:vMerge w:val="continue"/>
            <w:vAlign w:val="center"/>
          </w:tcPr>
          <w:p w14:paraId="57EBCE03">
            <w:pPr>
              <w:jc w:val="center"/>
              <w:rPr>
                <w:rFonts w:ascii="Times New Roman" w:hAnsi="Times New Roman" w:eastAsia="宋体" w:cs="Times New Roman"/>
                <w:color w:val="auto"/>
                <w:szCs w:val="21"/>
              </w:rPr>
            </w:pPr>
          </w:p>
        </w:tc>
        <w:tc>
          <w:tcPr>
            <w:tcW w:w="744" w:type="pct"/>
            <w:vAlign w:val="center"/>
          </w:tcPr>
          <w:p w14:paraId="0C4B319E">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臭气浓度</w:t>
            </w:r>
          </w:p>
        </w:tc>
        <w:tc>
          <w:tcPr>
            <w:tcW w:w="1411" w:type="pct"/>
            <w:vMerge w:val="continue"/>
            <w:vAlign w:val="center"/>
          </w:tcPr>
          <w:p w14:paraId="3BBB3CC9">
            <w:pPr>
              <w:jc w:val="center"/>
              <w:rPr>
                <w:rFonts w:ascii="Times New Roman" w:hAnsi="Times New Roman" w:eastAsia="宋体" w:cs="Times New Roman"/>
                <w:color w:val="auto"/>
                <w:szCs w:val="21"/>
              </w:rPr>
            </w:pPr>
          </w:p>
        </w:tc>
        <w:tc>
          <w:tcPr>
            <w:tcW w:w="1181" w:type="pct"/>
            <w:vAlign w:val="center"/>
          </w:tcPr>
          <w:p w14:paraId="1917C250">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20</w:t>
            </w:r>
          </w:p>
        </w:tc>
        <w:tc>
          <w:tcPr>
            <w:tcW w:w="679" w:type="pct"/>
            <w:vAlign w:val="center"/>
          </w:tcPr>
          <w:p w14:paraId="3F8641FE">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w:t>
            </w:r>
          </w:p>
        </w:tc>
      </w:tr>
    </w:tbl>
    <w:p w14:paraId="14E809DB">
      <w:pPr>
        <w:spacing w:line="360" w:lineRule="auto"/>
        <w:ind w:firstLine="480" w:firstLineChars="2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备注：15m排气筒，臭气浓度2000；25m排气筒，臭气浓度6000；20m、21m排气筒介入两者之间，根据四舍五入法计算执行25m排气筒臭气浓度限值，即臭气浓度6000。</w:t>
      </w:r>
    </w:p>
    <w:p w14:paraId="7513EFC2">
      <w:pPr>
        <w:spacing w:line="360" w:lineRule="auto"/>
        <w:ind w:firstLine="480" w:firstLineChars="200"/>
        <w:rPr>
          <w:rFonts w:ascii="Times New Roman" w:hAnsi="Times New Roman" w:eastAsia="宋体" w:cs="Times New Roman"/>
          <w:color w:val="auto"/>
          <w:sz w:val="24"/>
          <w:szCs w:val="24"/>
          <w:u w:val="none"/>
        </w:rPr>
      </w:pPr>
      <w:r>
        <w:rPr>
          <w:rFonts w:hint="eastAsia" w:ascii="Times New Roman" w:hAnsi="Times New Roman" w:eastAsia="宋体" w:cs="Times New Roman"/>
          <w:color w:val="auto"/>
          <w:sz w:val="24"/>
          <w:szCs w:val="24"/>
          <w:u w:val="none"/>
        </w:rPr>
        <w:t>2、废水</w:t>
      </w:r>
    </w:p>
    <w:p w14:paraId="18E1E1DC">
      <w:pPr>
        <w:spacing w:line="360" w:lineRule="auto"/>
        <w:ind w:firstLine="480" w:firstLineChars="200"/>
        <w:rPr>
          <w:rFonts w:ascii="Times New Roman" w:hAnsi="Times New Roman" w:eastAsia="宋体" w:cs="宋体"/>
          <w:color w:val="auto"/>
          <w:sz w:val="24"/>
          <w:szCs w:val="24"/>
          <w:u w:val="none"/>
          <w:lang w:val="zh-CN"/>
        </w:rPr>
      </w:pPr>
      <w:r>
        <w:rPr>
          <w:rFonts w:hint="eastAsia" w:ascii="Times New Roman" w:hAnsi="Times New Roman" w:eastAsia="宋体" w:cs="宋体"/>
          <w:color w:val="auto"/>
          <w:sz w:val="24"/>
          <w:szCs w:val="24"/>
          <w:u w:val="none"/>
          <w:lang w:val="zh-CN"/>
        </w:rPr>
        <w:t>根据《</w:t>
      </w:r>
      <w:r>
        <w:rPr>
          <w:rFonts w:hint="eastAsia" w:ascii="Times New Roman" w:hAnsi="Times New Roman" w:eastAsia="宋体" w:cs="宋体"/>
          <w:color w:val="auto"/>
          <w:sz w:val="24"/>
          <w:szCs w:val="24"/>
          <w:u w:val="none"/>
          <w:lang w:val="en-US" w:eastAsia="zh-CN"/>
        </w:rPr>
        <w:t>污水综合排放标准</w:t>
      </w:r>
      <w:r>
        <w:rPr>
          <w:rFonts w:hint="eastAsia" w:ascii="Times New Roman" w:hAnsi="Times New Roman" w:eastAsia="宋体" w:cs="宋体"/>
          <w:color w:val="auto"/>
          <w:sz w:val="24"/>
          <w:szCs w:val="24"/>
          <w:u w:val="none"/>
          <w:lang w:val="zh-CN"/>
        </w:rPr>
        <w:t xml:space="preserve">》（GB </w:t>
      </w:r>
      <w:r>
        <w:rPr>
          <w:rFonts w:hint="eastAsia" w:ascii="Times New Roman" w:hAnsi="Times New Roman" w:eastAsia="宋体" w:cs="宋体"/>
          <w:color w:val="auto"/>
          <w:sz w:val="24"/>
          <w:szCs w:val="24"/>
          <w:u w:val="none"/>
          <w:lang w:val="en-US" w:eastAsia="zh-CN"/>
        </w:rPr>
        <w:t>8978-1996</w:t>
      </w:r>
      <w:r>
        <w:rPr>
          <w:rFonts w:hint="eastAsia" w:ascii="Times New Roman" w:hAnsi="Times New Roman" w:eastAsia="宋体" w:cs="宋体"/>
          <w:color w:val="auto"/>
          <w:sz w:val="24"/>
          <w:szCs w:val="24"/>
          <w:u w:val="none"/>
          <w:lang w:val="zh-CN"/>
        </w:rPr>
        <w:t>），企业与津市工业园污水处理厂商定外排废水</w:t>
      </w:r>
      <w:r>
        <w:rPr>
          <w:rFonts w:ascii="Times New Roman" w:hAnsi="Times New Roman" w:eastAsia="宋体" w:cs="宋体"/>
          <w:color w:val="auto"/>
          <w:sz w:val="24"/>
          <w:szCs w:val="24"/>
          <w:u w:val="none"/>
          <w:lang w:val="zh-CN"/>
        </w:rPr>
        <w:t>水质标准</w:t>
      </w:r>
      <w:r>
        <w:rPr>
          <w:rFonts w:hint="eastAsia" w:ascii="Times New Roman" w:hAnsi="Times New Roman" w:eastAsia="宋体" w:cs="宋体"/>
          <w:color w:val="auto"/>
          <w:sz w:val="24"/>
          <w:szCs w:val="24"/>
          <w:u w:val="none"/>
          <w:lang w:val="zh-CN"/>
        </w:rPr>
        <w:t>，津市工业园污水处理厂未做规定的污染因子执行《</w:t>
      </w:r>
      <w:r>
        <w:rPr>
          <w:rFonts w:hint="eastAsia" w:ascii="Times New Roman" w:hAnsi="Times New Roman" w:eastAsia="宋体" w:cs="宋体"/>
          <w:color w:val="auto"/>
          <w:sz w:val="24"/>
          <w:szCs w:val="24"/>
          <w:u w:val="none"/>
          <w:lang w:val="en-US" w:eastAsia="zh-CN"/>
        </w:rPr>
        <w:t>污水综合排放标准</w:t>
      </w:r>
      <w:r>
        <w:rPr>
          <w:rFonts w:hint="eastAsia" w:ascii="Times New Roman" w:hAnsi="Times New Roman" w:eastAsia="宋体" w:cs="宋体"/>
          <w:color w:val="auto"/>
          <w:sz w:val="24"/>
          <w:szCs w:val="24"/>
          <w:u w:val="none"/>
          <w:lang w:val="zh-CN"/>
        </w:rPr>
        <w:t xml:space="preserve">》（GB </w:t>
      </w:r>
      <w:r>
        <w:rPr>
          <w:rFonts w:hint="eastAsia" w:ascii="Times New Roman" w:hAnsi="Times New Roman" w:eastAsia="宋体" w:cs="宋体"/>
          <w:color w:val="auto"/>
          <w:sz w:val="24"/>
          <w:szCs w:val="24"/>
          <w:u w:val="none"/>
          <w:lang w:val="en-US" w:eastAsia="zh-CN"/>
        </w:rPr>
        <w:t>8978-1996</w:t>
      </w:r>
      <w:r>
        <w:rPr>
          <w:rFonts w:hint="eastAsia" w:ascii="Times New Roman" w:hAnsi="Times New Roman" w:eastAsia="宋体" w:cs="宋体"/>
          <w:color w:val="auto"/>
          <w:sz w:val="24"/>
          <w:szCs w:val="24"/>
          <w:u w:val="none"/>
          <w:lang w:val="zh-CN"/>
        </w:rPr>
        <w:t>）表2标准限值</w:t>
      </w:r>
      <w:r>
        <w:rPr>
          <w:rFonts w:ascii="Times New Roman" w:hAnsi="Times New Roman" w:eastAsia="宋体" w:cs="宋体"/>
          <w:color w:val="auto"/>
          <w:sz w:val="24"/>
          <w:szCs w:val="24"/>
          <w:u w:val="none"/>
          <w:lang w:val="zh-CN"/>
        </w:rPr>
        <w:t>。</w:t>
      </w:r>
    </w:p>
    <w:p w14:paraId="2CA27C7B">
      <w:pPr>
        <w:pStyle w:val="6"/>
        <w:bidi w:val="0"/>
      </w:pPr>
      <w:r>
        <w:rPr>
          <w:rFonts w:hint="eastAsia"/>
        </w:rPr>
        <w:t>表2.4.2-2    本项目废水排放标准  单位：mg/L，pH无量纲</w:t>
      </w:r>
    </w:p>
    <w:tbl>
      <w:tblPr>
        <w:tblStyle w:val="41"/>
        <w:tblW w:w="501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714"/>
        <w:gridCol w:w="2057"/>
        <w:gridCol w:w="2217"/>
        <w:gridCol w:w="2345"/>
      </w:tblGrid>
      <w:tr w14:paraId="2910E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028" w:type="pct"/>
            <w:vAlign w:val="center"/>
          </w:tcPr>
          <w:p w14:paraId="708E4011">
            <w:pPr>
              <w:wordWrap w:val="0"/>
              <w:jc w:val="center"/>
              <w:rPr>
                <w:rFonts w:ascii="Times New Roman" w:hAnsi="Times New Roman" w:eastAsia="宋体" w:cs="Times New Roman"/>
                <w:b/>
                <w:color w:val="auto"/>
                <w:szCs w:val="21"/>
              </w:rPr>
            </w:pPr>
            <w:r>
              <w:rPr>
                <w:rFonts w:ascii="Times New Roman" w:hAnsi="Times New Roman" w:eastAsia="宋体" w:cs="Times New Roman"/>
                <w:b/>
                <w:bCs/>
                <w:color w:val="auto"/>
                <w:szCs w:val="21"/>
              </w:rPr>
              <w:t>污染物</w:t>
            </w:r>
          </w:p>
        </w:tc>
        <w:tc>
          <w:tcPr>
            <w:tcW w:w="1234" w:type="pct"/>
            <w:vAlign w:val="center"/>
          </w:tcPr>
          <w:p w14:paraId="486CE145">
            <w:pPr>
              <w:wordWrap w:val="0"/>
              <w:jc w:val="center"/>
              <w:rPr>
                <w:rFonts w:hint="default" w:ascii="Times New Roman" w:hAnsi="Times New Roman" w:eastAsia="宋体" w:cs="Times New Roman"/>
                <w:b/>
                <w:color w:val="auto"/>
                <w:szCs w:val="21"/>
                <w:lang w:val="en-US" w:eastAsia="zh-CN"/>
              </w:rPr>
            </w:pPr>
            <w:r>
              <w:rPr>
                <w:rFonts w:hint="eastAsia" w:ascii="Times New Roman" w:hAnsi="Times New Roman" w:eastAsia="宋体" w:cs="Times New Roman"/>
                <w:b/>
                <w:color w:val="auto"/>
                <w:szCs w:val="21"/>
              </w:rPr>
              <w:t>津市工业园污水处理厂</w:t>
            </w:r>
            <w:r>
              <w:rPr>
                <w:rFonts w:hint="eastAsia" w:ascii="Times New Roman" w:hAnsi="Times New Roman" w:eastAsia="宋体" w:cs="Times New Roman"/>
                <w:b/>
                <w:color w:val="auto"/>
                <w:szCs w:val="21"/>
                <w:lang w:val="en-US" w:eastAsia="zh-CN"/>
              </w:rPr>
              <w:t>进水要求</w:t>
            </w:r>
          </w:p>
        </w:tc>
        <w:tc>
          <w:tcPr>
            <w:tcW w:w="1330" w:type="pct"/>
            <w:vAlign w:val="center"/>
          </w:tcPr>
          <w:p w14:paraId="1C3CADA9">
            <w:pPr>
              <w:wordWrap w:val="0"/>
              <w:jc w:val="center"/>
              <w:rPr>
                <w:rFonts w:ascii="Times New Roman" w:hAnsi="Times New Roman" w:eastAsia="宋体" w:cs="Times New Roman"/>
                <w:b/>
                <w:color w:val="auto"/>
                <w:szCs w:val="21"/>
              </w:rPr>
            </w:pPr>
            <w:r>
              <w:rPr>
                <w:rFonts w:hint="eastAsia" w:ascii="Times New Roman" w:hAnsi="Times New Roman" w:eastAsia="宋体" w:cs="Times New Roman"/>
                <w:b/>
                <w:color w:val="auto"/>
                <w:szCs w:val="21"/>
              </w:rPr>
              <w:t>《污水综合排放标准》（GB 8978-1996）表2标准限值</w:t>
            </w:r>
          </w:p>
        </w:tc>
        <w:tc>
          <w:tcPr>
            <w:tcW w:w="1406" w:type="pct"/>
            <w:vAlign w:val="center"/>
          </w:tcPr>
          <w:p w14:paraId="5EDEEC02">
            <w:pPr>
              <w:wordWrap w:val="0"/>
              <w:jc w:val="center"/>
              <w:rPr>
                <w:rFonts w:ascii="Times New Roman" w:hAnsi="Times New Roman" w:eastAsia="宋体" w:cs="Times New Roman"/>
                <w:b/>
                <w:color w:val="auto"/>
                <w:szCs w:val="21"/>
              </w:rPr>
            </w:pPr>
            <w:r>
              <w:rPr>
                <w:rFonts w:ascii="Times New Roman" w:hAnsi="Times New Roman" w:eastAsia="宋体" w:cs="Times New Roman"/>
                <w:b/>
                <w:color w:val="auto"/>
                <w:szCs w:val="21"/>
              </w:rPr>
              <w:t>本扩建项目废水排放标准</w:t>
            </w:r>
          </w:p>
        </w:tc>
      </w:tr>
      <w:tr w14:paraId="77615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028" w:type="pct"/>
            <w:vAlign w:val="center"/>
          </w:tcPr>
          <w:p w14:paraId="0909F841">
            <w:pPr>
              <w:wordWrap w:val="0"/>
              <w:jc w:val="center"/>
              <w:rPr>
                <w:rFonts w:ascii="Times New Roman" w:hAnsi="Times New Roman" w:eastAsia="宋体" w:cs="Times New Roman"/>
                <w:color w:val="auto"/>
                <w:szCs w:val="21"/>
              </w:rPr>
            </w:pPr>
            <w:r>
              <w:rPr>
                <w:rFonts w:ascii="Times New Roman" w:hAnsi="Times New Roman" w:eastAsia="宋体" w:cs="Times New Roman"/>
                <w:color w:val="auto"/>
                <w:szCs w:val="21"/>
              </w:rPr>
              <w:t>pH</w:t>
            </w:r>
          </w:p>
        </w:tc>
        <w:tc>
          <w:tcPr>
            <w:tcW w:w="1234" w:type="pct"/>
            <w:vAlign w:val="center"/>
          </w:tcPr>
          <w:p w14:paraId="424EB98B">
            <w:pPr>
              <w:wordWrap w:val="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w:t>
            </w:r>
          </w:p>
        </w:tc>
        <w:tc>
          <w:tcPr>
            <w:tcW w:w="1330" w:type="pct"/>
            <w:vAlign w:val="center"/>
          </w:tcPr>
          <w:p w14:paraId="5E8593CD">
            <w:pPr>
              <w:wordWrap w:val="0"/>
              <w:jc w:val="center"/>
              <w:rPr>
                <w:rFonts w:ascii="Times New Roman" w:hAnsi="Times New Roman" w:eastAsia="宋体" w:cs="Times New Roman"/>
                <w:color w:val="auto"/>
                <w:szCs w:val="21"/>
              </w:rPr>
            </w:pPr>
            <w:r>
              <w:rPr>
                <w:rFonts w:ascii="Times New Roman" w:hAnsi="Times New Roman" w:eastAsia="宋体" w:cs="Times New Roman"/>
                <w:color w:val="auto"/>
                <w:szCs w:val="21"/>
              </w:rPr>
              <w:t>6~9</w:t>
            </w:r>
          </w:p>
        </w:tc>
        <w:tc>
          <w:tcPr>
            <w:tcW w:w="1406" w:type="pct"/>
            <w:vAlign w:val="center"/>
          </w:tcPr>
          <w:p w14:paraId="45841689">
            <w:pPr>
              <w:wordWrap w:val="0"/>
              <w:jc w:val="center"/>
              <w:rPr>
                <w:rFonts w:ascii="Times New Roman" w:hAnsi="Times New Roman" w:eastAsia="宋体" w:cs="Times New Roman"/>
                <w:color w:val="auto"/>
                <w:szCs w:val="21"/>
              </w:rPr>
            </w:pPr>
            <w:r>
              <w:rPr>
                <w:rFonts w:ascii="Times New Roman" w:hAnsi="Times New Roman" w:eastAsia="宋体" w:cs="Times New Roman"/>
                <w:color w:val="auto"/>
                <w:szCs w:val="21"/>
              </w:rPr>
              <w:t>6~9</w:t>
            </w:r>
          </w:p>
        </w:tc>
      </w:tr>
      <w:tr w14:paraId="2213B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028" w:type="pct"/>
            <w:vAlign w:val="center"/>
          </w:tcPr>
          <w:p w14:paraId="6B78AE0B">
            <w:pPr>
              <w:wordWrap w:val="0"/>
              <w:jc w:val="center"/>
              <w:rPr>
                <w:rFonts w:ascii="Times New Roman" w:hAnsi="Times New Roman" w:eastAsia="宋体" w:cs="Times New Roman"/>
                <w:color w:val="auto"/>
                <w:szCs w:val="21"/>
              </w:rPr>
            </w:pPr>
            <w:r>
              <w:rPr>
                <w:rFonts w:ascii="Times New Roman" w:hAnsi="Times New Roman" w:eastAsia="宋体" w:cs="Times New Roman"/>
                <w:color w:val="auto"/>
                <w:szCs w:val="21"/>
              </w:rPr>
              <w:t>COD</w:t>
            </w:r>
            <w:r>
              <w:rPr>
                <w:rFonts w:ascii="Times New Roman" w:hAnsi="Times New Roman" w:eastAsia="宋体" w:cs="Times New Roman"/>
                <w:color w:val="auto"/>
                <w:szCs w:val="21"/>
                <w:vertAlign w:val="subscript"/>
              </w:rPr>
              <w:t>Cr</w:t>
            </w:r>
          </w:p>
        </w:tc>
        <w:tc>
          <w:tcPr>
            <w:tcW w:w="1234" w:type="pct"/>
            <w:vAlign w:val="center"/>
          </w:tcPr>
          <w:p w14:paraId="5A9BAD9C">
            <w:pPr>
              <w:wordWrap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450</w:t>
            </w:r>
          </w:p>
        </w:tc>
        <w:tc>
          <w:tcPr>
            <w:tcW w:w="1330" w:type="pct"/>
            <w:vAlign w:val="center"/>
          </w:tcPr>
          <w:p w14:paraId="0FB9C952">
            <w:pPr>
              <w:wordWrap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500</w:t>
            </w:r>
          </w:p>
        </w:tc>
        <w:tc>
          <w:tcPr>
            <w:tcW w:w="1406" w:type="pct"/>
            <w:vAlign w:val="center"/>
          </w:tcPr>
          <w:p w14:paraId="656D02DD">
            <w:pPr>
              <w:wordWrap w:val="0"/>
              <w:jc w:val="center"/>
              <w:rPr>
                <w:rFonts w:ascii="Times New Roman" w:hAnsi="Times New Roman" w:eastAsia="宋体" w:cs="Times New Roman"/>
                <w:color w:val="auto"/>
                <w:szCs w:val="21"/>
              </w:rPr>
            </w:pPr>
            <w:r>
              <w:rPr>
                <w:rFonts w:ascii="Times New Roman" w:hAnsi="Times New Roman" w:eastAsia="宋体" w:cs="Times New Roman"/>
                <w:color w:val="auto"/>
                <w:szCs w:val="21"/>
              </w:rPr>
              <w:t>450</w:t>
            </w:r>
          </w:p>
        </w:tc>
      </w:tr>
      <w:tr w14:paraId="625B1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028" w:type="pct"/>
            <w:vAlign w:val="center"/>
          </w:tcPr>
          <w:p w14:paraId="6A06D763">
            <w:pPr>
              <w:wordWrap w:val="0"/>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BOD</w:t>
            </w:r>
            <w:r>
              <w:rPr>
                <w:rFonts w:hint="eastAsia" w:ascii="Times New Roman" w:hAnsi="Times New Roman" w:eastAsia="宋体" w:cs="Times New Roman"/>
                <w:color w:val="auto"/>
                <w:szCs w:val="21"/>
                <w:vertAlign w:val="subscript"/>
              </w:rPr>
              <w:t>5</w:t>
            </w:r>
          </w:p>
        </w:tc>
        <w:tc>
          <w:tcPr>
            <w:tcW w:w="1234" w:type="pct"/>
            <w:vAlign w:val="center"/>
          </w:tcPr>
          <w:p w14:paraId="3888268A">
            <w:pPr>
              <w:wordWrap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250</w:t>
            </w:r>
          </w:p>
        </w:tc>
        <w:tc>
          <w:tcPr>
            <w:tcW w:w="1330" w:type="pct"/>
            <w:vAlign w:val="center"/>
          </w:tcPr>
          <w:p w14:paraId="2381E88D">
            <w:pPr>
              <w:wordWrap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300</w:t>
            </w:r>
          </w:p>
        </w:tc>
        <w:tc>
          <w:tcPr>
            <w:tcW w:w="1406" w:type="pct"/>
            <w:vAlign w:val="center"/>
          </w:tcPr>
          <w:p w14:paraId="49C33F2A">
            <w:pPr>
              <w:wordWrap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250</w:t>
            </w:r>
          </w:p>
        </w:tc>
      </w:tr>
      <w:tr w14:paraId="7C7B3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028" w:type="pct"/>
            <w:vAlign w:val="center"/>
          </w:tcPr>
          <w:p w14:paraId="5B49821F">
            <w:pPr>
              <w:wordWrap w:val="0"/>
              <w:jc w:val="center"/>
              <w:rPr>
                <w:rFonts w:ascii="Times New Roman" w:hAnsi="Times New Roman" w:eastAsia="宋体" w:cs="Times New Roman"/>
                <w:color w:val="auto"/>
                <w:szCs w:val="21"/>
              </w:rPr>
            </w:pPr>
            <w:r>
              <w:rPr>
                <w:rFonts w:ascii="Times New Roman" w:hAnsi="Times New Roman" w:eastAsia="宋体" w:cs="Times New Roman"/>
                <w:color w:val="auto"/>
                <w:szCs w:val="21"/>
              </w:rPr>
              <w:t>氨氮</w:t>
            </w:r>
          </w:p>
        </w:tc>
        <w:tc>
          <w:tcPr>
            <w:tcW w:w="1234" w:type="pct"/>
            <w:vAlign w:val="center"/>
          </w:tcPr>
          <w:p w14:paraId="510B2E29">
            <w:pPr>
              <w:wordWrap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35</w:t>
            </w:r>
          </w:p>
        </w:tc>
        <w:tc>
          <w:tcPr>
            <w:tcW w:w="1330" w:type="pct"/>
            <w:vAlign w:val="center"/>
          </w:tcPr>
          <w:p w14:paraId="2E11C05F">
            <w:pPr>
              <w:wordWrap w:val="0"/>
              <w:jc w:val="center"/>
              <w:rPr>
                <w:rFonts w:hint="eastAsia" w:ascii="Times New Roman" w:hAnsi="Times New Roman" w:eastAsia="宋体" w:cs="Times New Roman"/>
                <w:color w:val="auto"/>
                <w:szCs w:val="21"/>
                <w:lang w:eastAsia="zh-CN"/>
              </w:rPr>
            </w:pPr>
            <w:r>
              <w:rPr>
                <w:rFonts w:hint="eastAsia" w:ascii="Times New Roman" w:hAnsi="Times New Roman" w:eastAsia="宋体" w:cs="Times New Roman"/>
                <w:color w:val="auto"/>
                <w:szCs w:val="21"/>
                <w:lang w:val="en-US" w:eastAsia="zh-CN"/>
              </w:rPr>
              <w:t>/</w:t>
            </w:r>
          </w:p>
        </w:tc>
        <w:tc>
          <w:tcPr>
            <w:tcW w:w="1406" w:type="pct"/>
            <w:vAlign w:val="center"/>
          </w:tcPr>
          <w:p w14:paraId="7A0DBF92">
            <w:pPr>
              <w:wordWrap w:val="0"/>
              <w:jc w:val="center"/>
              <w:rPr>
                <w:rFonts w:ascii="Times New Roman" w:hAnsi="Times New Roman" w:eastAsia="宋体" w:cs="Times New Roman"/>
                <w:color w:val="auto"/>
                <w:szCs w:val="21"/>
              </w:rPr>
            </w:pPr>
            <w:r>
              <w:rPr>
                <w:rFonts w:ascii="Times New Roman" w:hAnsi="Times New Roman" w:eastAsia="宋体" w:cs="Times New Roman"/>
                <w:color w:val="auto"/>
                <w:szCs w:val="21"/>
              </w:rPr>
              <w:t>35</w:t>
            </w:r>
          </w:p>
        </w:tc>
      </w:tr>
      <w:tr w14:paraId="0C311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028" w:type="pct"/>
            <w:vAlign w:val="center"/>
          </w:tcPr>
          <w:p w14:paraId="1D7A8CEE">
            <w:pPr>
              <w:wordWrap w:val="0"/>
              <w:jc w:val="center"/>
              <w:rPr>
                <w:rFonts w:ascii="Times New Roman" w:hAnsi="Times New Roman" w:eastAsia="宋体" w:cs="Times New Roman"/>
                <w:color w:val="auto"/>
                <w:szCs w:val="21"/>
              </w:rPr>
            </w:pPr>
            <w:r>
              <w:rPr>
                <w:rFonts w:ascii="Times New Roman" w:hAnsi="Times New Roman" w:eastAsia="宋体" w:cs="Times New Roman"/>
                <w:color w:val="auto"/>
                <w:szCs w:val="21"/>
              </w:rPr>
              <w:t>TN</w:t>
            </w:r>
          </w:p>
        </w:tc>
        <w:tc>
          <w:tcPr>
            <w:tcW w:w="1234" w:type="pct"/>
            <w:vAlign w:val="center"/>
          </w:tcPr>
          <w:p w14:paraId="7433B23E">
            <w:pPr>
              <w:wordWrap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45</w:t>
            </w:r>
          </w:p>
        </w:tc>
        <w:tc>
          <w:tcPr>
            <w:tcW w:w="1330" w:type="pct"/>
            <w:vAlign w:val="center"/>
          </w:tcPr>
          <w:p w14:paraId="017D3D8A">
            <w:pPr>
              <w:wordWrap w:val="0"/>
              <w:jc w:val="center"/>
              <w:rPr>
                <w:rFonts w:hint="eastAsia" w:ascii="Times New Roman" w:hAnsi="Times New Roman" w:eastAsia="宋体" w:cs="Times New Roman"/>
                <w:color w:val="auto"/>
                <w:szCs w:val="21"/>
                <w:lang w:eastAsia="zh-CN"/>
              </w:rPr>
            </w:pPr>
            <w:r>
              <w:rPr>
                <w:rFonts w:hint="eastAsia" w:ascii="Times New Roman" w:hAnsi="Times New Roman" w:eastAsia="宋体" w:cs="Times New Roman"/>
                <w:color w:val="auto"/>
                <w:szCs w:val="21"/>
                <w:lang w:val="en-US" w:eastAsia="zh-CN"/>
              </w:rPr>
              <w:t>/</w:t>
            </w:r>
          </w:p>
        </w:tc>
        <w:tc>
          <w:tcPr>
            <w:tcW w:w="1406" w:type="pct"/>
            <w:vAlign w:val="center"/>
          </w:tcPr>
          <w:p w14:paraId="3CAE77A7">
            <w:pPr>
              <w:wordWrap w:val="0"/>
              <w:jc w:val="center"/>
              <w:rPr>
                <w:rFonts w:ascii="Times New Roman" w:hAnsi="Times New Roman" w:eastAsia="宋体" w:cs="Times New Roman"/>
                <w:color w:val="auto"/>
                <w:szCs w:val="21"/>
              </w:rPr>
            </w:pPr>
            <w:r>
              <w:rPr>
                <w:rFonts w:ascii="Times New Roman" w:hAnsi="Times New Roman" w:eastAsia="宋体" w:cs="Times New Roman"/>
                <w:color w:val="auto"/>
                <w:szCs w:val="21"/>
              </w:rPr>
              <w:t>45</w:t>
            </w:r>
          </w:p>
        </w:tc>
      </w:tr>
      <w:tr w14:paraId="7650A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028" w:type="pct"/>
            <w:vAlign w:val="center"/>
          </w:tcPr>
          <w:p w14:paraId="5201F27C">
            <w:pPr>
              <w:wordWrap w:val="0"/>
              <w:jc w:val="center"/>
              <w:rPr>
                <w:rFonts w:ascii="Times New Roman" w:hAnsi="Times New Roman" w:eastAsia="宋体" w:cs="Times New Roman"/>
                <w:color w:val="auto"/>
                <w:szCs w:val="21"/>
              </w:rPr>
            </w:pPr>
            <w:r>
              <w:rPr>
                <w:rFonts w:ascii="Times New Roman" w:hAnsi="Times New Roman" w:eastAsia="宋体" w:cs="Times New Roman"/>
                <w:color w:val="auto"/>
                <w:szCs w:val="21"/>
              </w:rPr>
              <w:t>SS</w:t>
            </w:r>
          </w:p>
        </w:tc>
        <w:tc>
          <w:tcPr>
            <w:tcW w:w="1234" w:type="pct"/>
            <w:vAlign w:val="center"/>
          </w:tcPr>
          <w:p w14:paraId="675453AA">
            <w:pPr>
              <w:wordWrap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300</w:t>
            </w:r>
          </w:p>
        </w:tc>
        <w:tc>
          <w:tcPr>
            <w:tcW w:w="1330" w:type="pct"/>
            <w:vAlign w:val="center"/>
          </w:tcPr>
          <w:p w14:paraId="2FC05990">
            <w:pPr>
              <w:wordWrap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400</w:t>
            </w:r>
          </w:p>
        </w:tc>
        <w:tc>
          <w:tcPr>
            <w:tcW w:w="1406" w:type="pct"/>
            <w:vAlign w:val="center"/>
          </w:tcPr>
          <w:p w14:paraId="0138ACFA">
            <w:pPr>
              <w:wordWrap w:val="0"/>
              <w:jc w:val="center"/>
              <w:rPr>
                <w:rFonts w:ascii="Times New Roman" w:hAnsi="Times New Roman" w:eastAsia="宋体" w:cs="Times New Roman"/>
                <w:color w:val="auto"/>
                <w:szCs w:val="21"/>
              </w:rPr>
            </w:pPr>
            <w:r>
              <w:rPr>
                <w:rFonts w:ascii="Times New Roman" w:hAnsi="Times New Roman" w:eastAsia="宋体" w:cs="Times New Roman"/>
                <w:color w:val="auto"/>
                <w:szCs w:val="21"/>
              </w:rPr>
              <w:t>300</w:t>
            </w:r>
          </w:p>
        </w:tc>
      </w:tr>
      <w:tr w14:paraId="48200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1028" w:type="pct"/>
            <w:vAlign w:val="center"/>
          </w:tcPr>
          <w:p w14:paraId="0F2821DD">
            <w:pPr>
              <w:wordWrap w:val="0"/>
              <w:jc w:val="center"/>
              <w:rPr>
                <w:rFonts w:ascii="Times New Roman" w:hAnsi="Times New Roman" w:eastAsia="宋体" w:cs="Times New Roman"/>
                <w:color w:val="auto"/>
                <w:szCs w:val="21"/>
              </w:rPr>
            </w:pPr>
            <w:r>
              <w:rPr>
                <w:rFonts w:ascii="Times New Roman" w:hAnsi="Times New Roman" w:eastAsia="宋体" w:cs="Times New Roman"/>
                <w:color w:val="auto"/>
                <w:szCs w:val="21"/>
              </w:rPr>
              <w:t>TP</w:t>
            </w:r>
          </w:p>
        </w:tc>
        <w:tc>
          <w:tcPr>
            <w:tcW w:w="1234" w:type="pct"/>
            <w:vAlign w:val="center"/>
          </w:tcPr>
          <w:p w14:paraId="3CD65B26">
            <w:pPr>
              <w:wordWrap w:val="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5</w:t>
            </w:r>
          </w:p>
        </w:tc>
        <w:tc>
          <w:tcPr>
            <w:tcW w:w="1330" w:type="pct"/>
            <w:vAlign w:val="center"/>
          </w:tcPr>
          <w:p w14:paraId="11A7D2F6">
            <w:pPr>
              <w:wordWrap w:val="0"/>
              <w:jc w:val="center"/>
              <w:rPr>
                <w:rFonts w:hint="eastAsia" w:ascii="Times New Roman" w:hAnsi="Times New Roman" w:eastAsia="宋体" w:cs="Times New Roman"/>
                <w:color w:val="auto"/>
                <w:szCs w:val="21"/>
                <w:lang w:eastAsia="zh-CN"/>
              </w:rPr>
            </w:pPr>
            <w:r>
              <w:rPr>
                <w:rFonts w:hint="eastAsia" w:ascii="Times New Roman" w:hAnsi="Times New Roman" w:eastAsia="宋体" w:cs="Times New Roman"/>
                <w:color w:val="auto"/>
                <w:szCs w:val="21"/>
                <w:lang w:val="en-US" w:eastAsia="zh-CN"/>
              </w:rPr>
              <w:t>/</w:t>
            </w:r>
          </w:p>
        </w:tc>
        <w:tc>
          <w:tcPr>
            <w:tcW w:w="1406" w:type="pct"/>
            <w:vAlign w:val="center"/>
          </w:tcPr>
          <w:p w14:paraId="6E54D944">
            <w:pPr>
              <w:wordWrap w:val="0"/>
              <w:jc w:val="center"/>
              <w:rPr>
                <w:rFonts w:ascii="Times New Roman" w:hAnsi="Times New Roman" w:eastAsia="宋体" w:cs="Times New Roman"/>
                <w:color w:val="auto"/>
                <w:szCs w:val="21"/>
              </w:rPr>
            </w:pPr>
            <w:r>
              <w:rPr>
                <w:rFonts w:ascii="Times New Roman" w:hAnsi="Times New Roman" w:eastAsia="宋体" w:cs="Times New Roman"/>
                <w:color w:val="auto"/>
                <w:szCs w:val="21"/>
              </w:rPr>
              <w:t>5</w:t>
            </w:r>
          </w:p>
        </w:tc>
      </w:tr>
    </w:tbl>
    <w:p w14:paraId="64BD1035">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3、噪声</w:t>
      </w:r>
    </w:p>
    <w:p w14:paraId="4423C0DB">
      <w:pPr>
        <w:spacing w:line="360" w:lineRule="auto"/>
        <w:ind w:firstLine="480" w:firstLineChars="200"/>
        <w:rPr>
          <w:rFonts w:ascii="Times New Roman" w:hAnsi="Times New Roman" w:eastAsia="宋体" w:cs="宋体"/>
          <w:color w:val="auto"/>
          <w:sz w:val="24"/>
          <w:szCs w:val="24"/>
        </w:rPr>
      </w:pPr>
      <w:r>
        <w:rPr>
          <w:rFonts w:ascii="Times New Roman" w:hAnsi="Times New Roman" w:eastAsia="宋体" w:cs="宋体"/>
          <w:color w:val="auto"/>
          <w:sz w:val="24"/>
          <w:szCs w:val="24"/>
        </w:rPr>
        <w:t>施工期噪声执行《建筑施工场界环境噪声排放标准》（GB12523-2011）标准；营运期厂界噪声</w:t>
      </w:r>
      <w:r>
        <w:rPr>
          <w:rFonts w:hint="eastAsia" w:ascii="Times New Roman" w:hAnsi="Times New Roman" w:eastAsia="宋体" w:cs="宋体"/>
          <w:color w:val="auto"/>
          <w:sz w:val="24"/>
          <w:szCs w:val="24"/>
          <w:lang w:val="en-US" w:eastAsia="zh-CN"/>
        </w:rPr>
        <w:t>西</w:t>
      </w:r>
      <w:r>
        <w:rPr>
          <w:rFonts w:hint="eastAsia" w:ascii="Times New Roman" w:hAnsi="Times New Roman" w:eastAsia="宋体" w:cs="宋体"/>
          <w:color w:val="auto"/>
          <w:sz w:val="24"/>
          <w:szCs w:val="24"/>
        </w:rPr>
        <w:t>侧厂界</w:t>
      </w:r>
      <w:r>
        <w:rPr>
          <w:rFonts w:ascii="Times New Roman" w:hAnsi="Times New Roman" w:eastAsia="宋体" w:cs="宋体"/>
          <w:color w:val="auto"/>
          <w:sz w:val="24"/>
          <w:szCs w:val="24"/>
        </w:rPr>
        <w:t>执行《工业企业厂界环境噪声排放标准》（GB12348-2008）</w:t>
      </w:r>
      <w:r>
        <w:rPr>
          <w:rFonts w:hint="eastAsia" w:ascii="Times New Roman" w:hAnsi="Times New Roman" w:eastAsia="宋体" w:cs="宋体"/>
          <w:color w:val="auto"/>
          <w:sz w:val="24"/>
          <w:szCs w:val="24"/>
        </w:rPr>
        <w:t>4</w:t>
      </w:r>
      <w:r>
        <w:rPr>
          <w:rFonts w:ascii="Times New Roman" w:hAnsi="Times New Roman" w:eastAsia="宋体" w:cs="宋体"/>
          <w:color w:val="auto"/>
          <w:sz w:val="24"/>
          <w:szCs w:val="24"/>
        </w:rPr>
        <w:t>类标准</w:t>
      </w:r>
      <w:r>
        <w:rPr>
          <w:rFonts w:hint="eastAsia" w:ascii="Times New Roman" w:hAnsi="Times New Roman" w:eastAsia="宋体" w:cs="宋体"/>
          <w:color w:val="auto"/>
          <w:sz w:val="24"/>
          <w:szCs w:val="24"/>
        </w:rPr>
        <w:t>；</w:t>
      </w:r>
      <w:r>
        <w:rPr>
          <w:rFonts w:hint="eastAsia" w:ascii="Times New Roman" w:hAnsi="Times New Roman" w:eastAsia="宋体" w:cs="宋体"/>
          <w:color w:val="auto"/>
          <w:sz w:val="24"/>
          <w:szCs w:val="24"/>
          <w:lang w:val="en-US" w:eastAsia="zh-CN"/>
        </w:rPr>
        <w:t>北</w:t>
      </w:r>
      <w:r>
        <w:rPr>
          <w:rFonts w:hint="eastAsia" w:ascii="Times New Roman" w:hAnsi="Times New Roman" w:eastAsia="宋体" w:cs="宋体"/>
          <w:color w:val="auto"/>
          <w:sz w:val="24"/>
          <w:szCs w:val="24"/>
        </w:rPr>
        <w:t>侧、南侧</w:t>
      </w:r>
      <w:r>
        <w:rPr>
          <w:rFonts w:hint="eastAsia" w:ascii="Times New Roman" w:hAnsi="Times New Roman" w:eastAsia="宋体" w:cs="宋体"/>
          <w:color w:val="auto"/>
          <w:sz w:val="24"/>
          <w:szCs w:val="24"/>
          <w:lang w:eastAsia="zh-CN"/>
        </w:rPr>
        <w:t>、</w:t>
      </w:r>
      <w:r>
        <w:rPr>
          <w:rFonts w:hint="eastAsia" w:ascii="Times New Roman" w:hAnsi="Times New Roman" w:eastAsia="宋体" w:cs="宋体"/>
          <w:color w:val="auto"/>
          <w:sz w:val="24"/>
          <w:szCs w:val="24"/>
          <w:lang w:val="en-US" w:eastAsia="zh-CN"/>
        </w:rPr>
        <w:t>东侧</w:t>
      </w:r>
      <w:r>
        <w:rPr>
          <w:rFonts w:hint="eastAsia" w:ascii="Times New Roman" w:hAnsi="Times New Roman" w:eastAsia="宋体" w:cs="宋体"/>
          <w:color w:val="auto"/>
          <w:sz w:val="24"/>
          <w:szCs w:val="24"/>
        </w:rPr>
        <w:t>厂界执行</w:t>
      </w:r>
      <w:r>
        <w:rPr>
          <w:rFonts w:ascii="Times New Roman" w:hAnsi="Times New Roman" w:eastAsia="宋体" w:cs="宋体"/>
          <w:color w:val="auto"/>
          <w:sz w:val="24"/>
          <w:szCs w:val="24"/>
        </w:rPr>
        <w:t>《工业企业厂界环境噪声排放标准》（GB12348-2008）</w:t>
      </w:r>
      <w:r>
        <w:rPr>
          <w:rFonts w:hint="eastAsia" w:ascii="Times New Roman" w:hAnsi="Times New Roman" w:eastAsia="宋体" w:cs="宋体"/>
          <w:color w:val="auto"/>
          <w:sz w:val="24"/>
          <w:szCs w:val="24"/>
        </w:rPr>
        <w:t>3</w:t>
      </w:r>
      <w:r>
        <w:rPr>
          <w:rFonts w:ascii="Times New Roman" w:hAnsi="Times New Roman" w:eastAsia="宋体" w:cs="宋体"/>
          <w:color w:val="auto"/>
          <w:sz w:val="24"/>
          <w:szCs w:val="24"/>
        </w:rPr>
        <w:t>类标准。</w:t>
      </w:r>
    </w:p>
    <w:p w14:paraId="2AAA7836">
      <w:pPr>
        <w:pStyle w:val="6"/>
        <w:bidi w:val="0"/>
      </w:pPr>
      <w:r>
        <w:rPr>
          <w:rFonts w:hint="eastAsia"/>
        </w:rPr>
        <w:t xml:space="preserve">表2.4.2-3    </w:t>
      </w:r>
      <w:r>
        <w:t>建筑施工场界环境噪声排放标准  单位：dB（A）</w:t>
      </w:r>
    </w:p>
    <w:tbl>
      <w:tblPr>
        <w:tblStyle w:val="41"/>
        <w:tblW w:w="4999" w:type="pct"/>
        <w:jc w:val="center"/>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Layout w:type="autofit"/>
        <w:tblCellMar>
          <w:top w:w="0" w:type="dxa"/>
          <w:left w:w="108" w:type="dxa"/>
          <w:bottom w:w="0" w:type="dxa"/>
          <w:right w:w="108" w:type="dxa"/>
        </w:tblCellMar>
      </w:tblPr>
      <w:tblGrid>
        <w:gridCol w:w="2094"/>
        <w:gridCol w:w="3116"/>
        <w:gridCol w:w="3310"/>
      </w:tblGrid>
      <w:tr w14:paraId="50749744">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jc w:val="center"/>
        </w:trPr>
        <w:tc>
          <w:tcPr>
            <w:tcW w:w="1229" w:type="pct"/>
            <w:vMerge w:val="restart"/>
            <w:vAlign w:val="center"/>
          </w:tcPr>
          <w:p w14:paraId="68D2839C">
            <w:pPr>
              <w:jc w:val="center"/>
              <w:rPr>
                <w:rFonts w:ascii="Times New Roman" w:hAnsi="Times New Roman" w:eastAsia="宋体" w:cs="Times New Roman"/>
                <w:b/>
                <w:bCs/>
                <w:color w:val="auto"/>
                <w:szCs w:val="21"/>
              </w:rPr>
            </w:pPr>
            <w:r>
              <w:rPr>
                <w:rFonts w:ascii="Times New Roman" w:hAnsi="Times New Roman" w:eastAsia="宋体" w:cs="Times New Roman"/>
                <w:b/>
                <w:bCs/>
                <w:color w:val="auto"/>
                <w:szCs w:val="21"/>
              </w:rPr>
              <w:t>施工阶段</w:t>
            </w:r>
          </w:p>
        </w:tc>
        <w:tc>
          <w:tcPr>
            <w:tcW w:w="3770" w:type="pct"/>
            <w:gridSpan w:val="2"/>
            <w:vAlign w:val="center"/>
          </w:tcPr>
          <w:p w14:paraId="6F0FE943">
            <w:pPr>
              <w:jc w:val="center"/>
              <w:rPr>
                <w:rFonts w:ascii="Times New Roman" w:hAnsi="Times New Roman" w:eastAsia="宋体" w:cs="Times New Roman"/>
                <w:b/>
                <w:bCs/>
                <w:color w:val="auto"/>
                <w:szCs w:val="21"/>
              </w:rPr>
            </w:pPr>
            <w:r>
              <w:rPr>
                <w:rFonts w:ascii="Times New Roman" w:hAnsi="Times New Roman" w:eastAsia="宋体" w:cs="Times New Roman"/>
                <w:b/>
                <w:bCs/>
                <w:color w:val="auto"/>
                <w:szCs w:val="21"/>
              </w:rPr>
              <w:t>噪声限值</w:t>
            </w:r>
          </w:p>
        </w:tc>
      </w:tr>
      <w:tr w14:paraId="20D448D4">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jc w:val="center"/>
        </w:trPr>
        <w:tc>
          <w:tcPr>
            <w:tcW w:w="1229" w:type="pct"/>
            <w:vMerge w:val="continue"/>
            <w:vAlign w:val="center"/>
          </w:tcPr>
          <w:p w14:paraId="23DBE326">
            <w:pPr>
              <w:jc w:val="center"/>
              <w:rPr>
                <w:rFonts w:ascii="Times New Roman" w:hAnsi="Times New Roman" w:eastAsia="宋体" w:cs="Times New Roman"/>
                <w:b/>
                <w:bCs/>
                <w:color w:val="auto"/>
                <w:szCs w:val="21"/>
              </w:rPr>
            </w:pPr>
          </w:p>
        </w:tc>
        <w:tc>
          <w:tcPr>
            <w:tcW w:w="1828" w:type="pct"/>
            <w:vAlign w:val="center"/>
          </w:tcPr>
          <w:p w14:paraId="45A5DB4E">
            <w:pPr>
              <w:jc w:val="center"/>
              <w:rPr>
                <w:rFonts w:ascii="Times New Roman" w:hAnsi="Times New Roman" w:eastAsia="宋体" w:cs="Times New Roman"/>
                <w:b/>
                <w:bCs/>
                <w:color w:val="auto"/>
                <w:szCs w:val="21"/>
              </w:rPr>
            </w:pPr>
            <w:r>
              <w:rPr>
                <w:rFonts w:ascii="Times New Roman" w:hAnsi="Times New Roman" w:eastAsia="宋体" w:cs="Times New Roman"/>
                <w:b/>
                <w:bCs/>
                <w:color w:val="auto"/>
                <w:szCs w:val="21"/>
              </w:rPr>
              <w:t>昼间</w:t>
            </w:r>
          </w:p>
        </w:tc>
        <w:tc>
          <w:tcPr>
            <w:tcW w:w="1942" w:type="pct"/>
            <w:vAlign w:val="center"/>
          </w:tcPr>
          <w:p w14:paraId="06DB2983">
            <w:pPr>
              <w:jc w:val="center"/>
              <w:rPr>
                <w:rFonts w:ascii="Times New Roman" w:hAnsi="Times New Roman" w:eastAsia="宋体" w:cs="Times New Roman"/>
                <w:b/>
                <w:bCs/>
                <w:color w:val="auto"/>
                <w:szCs w:val="21"/>
              </w:rPr>
            </w:pPr>
            <w:r>
              <w:rPr>
                <w:rFonts w:ascii="Times New Roman" w:hAnsi="Times New Roman" w:eastAsia="宋体" w:cs="Times New Roman"/>
                <w:b/>
                <w:bCs/>
                <w:color w:val="auto"/>
                <w:szCs w:val="21"/>
              </w:rPr>
              <w:t>夜间</w:t>
            </w:r>
          </w:p>
        </w:tc>
      </w:tr>
      <w:tr w14:paraId="4D5A4945">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jc w:val="center"/>
        </w:trPr>
        <w:tc>
          <w:tcPr>
            <w:tcW w:w="1229" w:type="pct"/>
            <w:vAlign w:val="center"/>
          </w:tcPr>
          <w:p w14:paraId="0AFAB660">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施工全过程</w:t>
            </w:r>
          </w:p>
        </w:tc>
        <w:tc>
          <w:tcPr>
            <w:tcW w:w="1828" w:type="pct"/>
            <w:vAlign w:val="center"/>
          </w:tcPr>
          <w:p w14:paraId="4F332DAE">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70</w:t>
            </w:r>
          </w:p>
        </w:tc>
        <w:tc>
          <w:tcPr>
            <w:tcW w:w="1942" w:type="pct"/>
            <w:vAlign w:val="center"/>
          </w:tcPr>
          <w:p w14:paraId="796C5DE0">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55</w:t>
            </w:r>
          </w:p>
        </w:tc>
      </w:tr>
    </w:tbl>
    <w:p w14:paraId="3D876256">
      <w:pPr>
        <w:pStyle w:val="6"/>
        <w:bidi w:val="0"/>
      </w:pPr>
      <w:r>
        <w:rPr>
          <w:rFonts w:hint="eastAsia"/>
        </w:rPr>
        <w:t xml:space="preserve">表2.4.2-4    </w:t>
      </w:r>
      <w:r>
        <w:t>工业企业厂界环境噪声排放标准  单位：dB（A）</w:t>
      </w:r>
    </w:p>
    <w:tbl>
      <w:tblPr>
        <w:tblStyle w:val="41"/>
        <w:tblW w:w="4998" w:type="pct"/>
        <w:jc w:val="center"/>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Layout w:type="autofit"/>
        <w:tblCellMar>
          <w:top w:w="0" w:type="dxa"/>
          <w:left w:w="108" w:type="dxa"/>
          <w:bottom w:w="0" w:type="dxa"/>
          <w:right w:w="108" w:type="dxa"/>
        </w:tblCellMar>
      </w:tblPr>
      <w:tblGrid>
        <w:gridCol w:w="2205"/>
        <w:gridCol w:w="2204"/>
        <w:gridCol w:w="1808"/>
        <w:gridCol w:w="2302"/>
      </w:tblGrid>
      <w:tr w14:paraId="57283E4F">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340" w:hRule="atLeast"/>
          <w:tblHeader/>
          <w:jc w:val="center"/>
        </w:trPr>
        <w:tc>
          <w:tcPr>
            <w:tcW w:w="1294" w:type="pct"/>
            <w:vAlign w:val="center"/>
          </w:tcPr>
          <w:p w14:paraId="0DD441A8">
            <w:pPr>
              <w:jc w:val="center"/>
              <w:rPr>
                <w:rFonts w:ascii="Times New Roman" w:hAnsi="Times New Roman" w:eastAsia="宋体" w:cs="Times New Roman"/>
                <w:b/>
                <w:bCs/>
                <w:color w:val="auto"/>
                <w:szCs w:val="21"/>
              </w:rPr>
            </w:pPr>
            <w:r>
              <w:rPr>
                <w:rFonts w:ascii="Times New Roman" w:hAnsi="Times New Roman" w:eastAsia="宋体" w:cs="Times New Roman"/>
                <w:b/>
                <w:bCs/>
                <w:color w:val="auto"/>
                <w:szCs w:val="21"/>
              </w:rPr>
              <w:t>类别</w:t>
            </w:r>
          </w:p>
        </w:tc>
        <w:tc>
          <w:tcPr>
            <w:tcW w:w="1293" w:type="pct"/>
            <w:vAlign w:val="center"/>
          </w:tcPr>
          <w:p w14:paraId="22E7774A">
            <w:pPr>
              <w:jc w:val="center"/>
              <w:rPr>
                <w:rFonts w:ascii="Times New Roman" w:hAnsi="Times New Roman" w:eastAsia="宋体" w:cs="Times New Roman"/>
                <w:b/>
                <w:bCs/>
                <w:color w:val="auto"/>
                <w:szCs w:val="21"/>
              </w:rPr>
            </w:pPr>
            <w:r>
              <w:rPr>
                <w:rFonts w:ascii="Times New Roman" w:hAnsi="Times New Roman" w:eastAsia="宋体" w:cs="Times New Roman"/>
                <w:b/>
                <w:bCs/>
                <w:color w:val="auto"/>
                <w:szCs w:val="21"/>
              </w:rPr>
              <w:t>昼间</w:t>
            </w:r>
          </w:p>
        </w:tc>
        <w:tc>
          <w:tcPr>
            <w:tcW w:w="1061" w:type="pct"/>
            <w:tcBorders>
              <w:right w:val="single" w:color="auto" w:sz="2" w:space="0"/>
            </w:tcBorders>
            <w:vAlign w:val="center"/>
          </w:tcPr>
          <w:p w14:paraId="24D820A2">
            <w:pPr>
              <w:jc w:val="center"/>
              <w:rPr>
                <w:rFonts w:ascii="Times New Roman" w:hAnsi="Times New Roman" w:eastAsia="宋体" w:cs="Times New Roman"/>
                <w:b/>
                <w:bCs/>
                <w:color w:val="auto"/>
                <w:szCs w:val="21"/>
              </w:rPr>
            </w:pPr>
            <w:r>
              <w:rPr>
                <w:rFonts w:ascii="Times New Roman" w:hAnsi="Times New Roman" w:eastAsia="宋体" w:cs="Times New Roman"/>
                <w:b/>
                <w:bCs/>
                <w:color w:val="auto"/>
                <w:szCs w:val="21"/>
              </w:rPr>
              <w:t>夜间</w:t>
            </w:r>
          </w:p>
        </w:tc>
        <w:tc>
          <w:tcPr>
            <w:tcW w:w="1350" w:type="pct"/>
            <w:tcBorders>
              <w:left w:val="single" w:color="auto" w:sz="2" w:space="0"/>
            </w:tcBorders>
            <w:vAlign w:val="center"/>
          </w:tcPr>
          <w:p w14:paraId="1268BD06">
            <w:pPr>
              <w:jc w:val="center"/>
              <w:rPr>
                <w:rFonts w:ascii="Times New Roman" w:hAnsi="Times New Roman" w:eastAsia="宋体" w:cs="Times New Roman"/>
                <w:b/>
                <w:bCs/>
                <w:color w:val="auto"/>
                <w:szCs w:val="21"/>
              </w:rPr>
            </w:pPr>
            <w:r>
              <w:rPr>
                <w:rFonts w:ascii="Times New Roman" w:hAnsi="Times New Roman" w:eastAsia="宋体" w:cs="Times New Roman"/>
                <w:b/>
                <w:bCs/>
                <w:color w:val="auto"/>
                <w:szCs w:val="21"/>
              </w:rPr>
              <w:t>备注</w:t>
            </w:r>
          </w:p>
        </w:tc>
      </w:tr>
      <w:tr w14:paraId="2D99E1F7">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294" w:type="pct"/>
            <w:vAlign w:val="center"/>
          </w:tcPr>
          <w:p w14:paraId="3DEB4034">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3类</w:t>
            </w:r>
          </w:p>
        </w:tc>
        <w:tc>
          <w:tcPr>
            <w:tcW w:w="1293" w:type="pct"/>
            <w:vAlign w:val="center"/>
          </w:tcPr>
          <w:p w14:paraId="050AED20">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65</w:t>
            </w:r>
          </w:p>
        </w:tc>
        <w:tc>
          <w:tcPr>
            <w:tcW w:w="1061" w:type="pct"/>
            <w:tcBorders>
              <w:right w:val="single" w:color="auto" w:sz="2" w:space="0"/>
            </w:tcBorders>
            <w:vAlign w:val="center"/>
          </w:tcPr>
          <w:p w14:paraId="0F379D20">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55</w:t>
            </w:r>
          </w:p>
        </w:tc>
        <w:tc>
          <w:tcPr>
            <w:tcW w:w="1350" w:type="pct"/>
            <w:tcBorders>
              <w:left w:val="single" w:color="auto" w:sz="2" w:space="0"/>
            </w:tcBorders>
            <w:vAlign w:val="center"/>
          </w:tcPr>
          <w:p w14:paraId="63938673">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北侧、南侧、东侧</w:t>
            </w:r>
            <w:r>
              <w:rPr>
                <w:rFonts w:ascii="Times New Roman" w:hAnsi="Times New Roman" w:eastAsia="宋体" w:cs="Times New Roman"/>
                <w:color w:val="auto"/>
                <w:szCs w:val="21"/>
              </w:rPr>
              <w:t>厂界</w:t>
            </w:r>
          </w:p>
        </w:tc>
      </w:tr>
      <w:tr w14:paraId="1D89EF64">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340" w:hRule="atLeast"/>
          <w:jc w:val="center"/>
        </w:trPr>
        <w:tc>
          <w:tcPr>
            <w:tcW w:w="1294" w:type="pct"/>
            <w:vAlign w:val="center"/>
          </w:tcPr>
          <w:p w14:paraId="037E81B3">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4类</w:t>
            </w:r>
          </w:p>
        </w:tc>
        <w:tc>
          <w:tcPr>
            <w:tcW w:w="1293" w:type="pct"/>
            <w:vAlign w:val="center"/>
          </w:tcPr>
          <w:p w14:paraId="27424FA6">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70</w:t>
            </w:r>
          </w:p>
        </w:tc>
        <w:tc>
          <w:tcPr>
            <w:tcW w:w="1061" w:type="pct"/>
            <w:tcBorders>
              <w:right w:val="single" w:color="auto" w:sz="2" w:space="0"/>
            </w:tcBorders>
            <w:vAlign w:val="center"/>
          </w:tcPr>
          <w:p w14:paraId="35F65FCF">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55</w:t>
            </w:r>
          </w:p>
        </w:tc>
        <w:tc>
          <w:tcPr>
            <w:tcW w:w="1350" w:type="pct"/>
            <w:tcBorders>
              <w:left w:val="single" w:color="auto" w:sz="2" w:space="0"/>
            </w:tcBorders>
            <w:vAlign w:val="center"/>
          </w:tcPr>
          <w:p w14:paraId="47C64D22">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西</w:t>
            </w:r>
            <w:r>
              <w:rPr>
                <w:rFonts w:hint="eastAsia" w:ascii="Times New Roman" w:hAnsi="Times New Roman" w:eastAsia="宋体" w:cs="Times New Roman"/>
                <w:color w:val="auto"/>
                <w:szCs w:val="21"/>
              </w:rPr>
              <w:t>侧厂界</w:t>
            </w:r>
          </w:p>
        </w:tc>
      </w:tr>
    </w:tbl>
    <w:p w14:paraId="67B78D39">
      <w:pPr>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4、固体废物</w:t>
      </w:r>
    </w:p>
    <w:p w14:paraId="07B1A6EA">
      <w:pPr>
        <w:spacing w:line="360" w:lineRule="auto"/>
        <w:ind w:firstLine="480" w:firstLineChars="200"/>
        <w:rPr>
          <w:rFonts w:ascii="Times New Roman" w:hAnsi="Times New Roman" w:eastAsia="宋体" w:cs="宋体"/>
          <w:color w:val="auto"/>
          <w:sz w:val="24"/>
          <w:szCs w:val="24"/>
          <w:lang w:val="zh-CN"/>
        </w:rPr>
      </w:pPr>
      <w:bookmarkStart w:id="127" w:name="_Toc5128307"/>
      <w:bookmarkStart w:id="128" w:name="_Toc146781124"/>
      <w:bookmarkStart w:id="129" w:name="_Toc535149917"/>
      <w:bookmarkStart w:id="130" w:name="_Toc517849901"/>
      <w:bookmarkStart w:id="131" w:name="_Toc512320157"/>
      <w:bookmarkStart w:id="132" w:name="_Toc535150316"/>
      <w:r>
        <w:rPr>
          <w:rFonts w:ascii="Times New Roman" w:hAnsi="Times New Roman" w:eastAsia="宋体" w:cs="宋体"/>
          <w:color w:val="auto"/>
          <w:sz w:val="24"/>
          <w:szCs w:val="24"/>
        </w:rPr>
        <w:t>一般固废执行《一般工业固体废物贮存</w:t>
      </w:r>
      <w:r>
        <w:rPr>
          <w:rFonts w:hint="eastAsia" w:ascii="Times New Roman" w:hAnsi="Times New Roman" w:eastAsia="宋体" w:cs="宋体"/>
          <w:color w:val="auto"/>
          <w:sz w:val="24"/>
          <w:szCs w:val="24"/>
        </w:rPr>
        <w:t>和填埋</w:t>
      </w:r>
      <w:r>
        <w:rPr>
          <w:rFonts w:ascii="Times New Roman" w:hAnsi="Times New Roman" w:eastAsia="宋体" w:cs="宋体"/>
          <w:color w:val="auto"/>
          <w:sz w:val="24"/>
          <w:szCs w:val="24"/>
        </w:rPr>
        <w:t>污染控制标准》（GB18599-2020）</w:t>
      </w:r>
      <w:r>
        <w:rPr>
          <w:rFonts w:ascii="Times New Roman" w:hAnsi="Times New Roman" w:eastAsia="宋体" w:cs="宋体"/>
          <w:color w:val="auto"/>
          <w:sz w:val="24"/>
          <w:szCs w:val="24"/>
          <w:lang w:val="zh-CN"/>
        </w:rPr>
        <w:t>；危险废物执行</w:t>
      </w:r>
      <w:r>
        <w:rPr>
          <w:rFonts w:hint="eastAsia" w:ascii="Times New Roman" w:hAnsi="Times New Roman" w:eastAsia="宋体" w:cs="宋体"/>
          <w:color w:val="auto"/>
          <w:sz w:val="24"/>
          <w:szCs w:val="24"/>
          <w:lang w:val="zh-CN"/>
        </w:rPr>
        <w:t>《危险废物贮存污染控制标准》（GB18597—2023）</w:t>
      </w:r>
      <w:r>
        <w:rPr>
          <w:rFonts w:ascii="Times New Roman" w:hAnsi="Times New Roman" w:eastAsia="宋体" w:cs="宋体"/>
          <w:color w:val="auto"/>
          <w:sz w:val="24"/>
          <w:szCs w:val="24"/>
          <w:lang w:val="zh-CN"/>
        </w:rPr>
        <w:t>；生活垃圾执行</w:t>
      </w:r>
      <w:r>
        <w:rPr>
          <w:rFonts w:ascii="Times New Roman" w:hAnsi="Times New Roman" w:eastAsia="宋体" w:cs="宋体"/>
          <w:color w:val="auto"/>
          <w:sz w:val="24"/>
          <w:szCs w:val="24"/>
        </w:rPr>
        <w:t>《生活垃圾填埋场污染控制标准》（GB16889-2008）</w:t>
      </w:r>
      <w:r>
        <w:rPr>
          <w:rFonts w:ascii="Times New Roman" w:hAnsi="Times New Roman" w:eastAsia="宋体" w:cs="宋体"/>
          <w:color w:val="auto"/>
          <w:sz w:val="24"/>
          <w:szCs w:val="24"/>
          <w:lang w:val="zh-CN"/>
        </w:rPr>
        <w:t>。</w:t>
      </w:r>
    </w:p>
    <w:p w14:paraId="455D255E">
      <w:pPr>
        <w:keepNext/>
        <w:keepLines/>
        <w:spacing w:before="100" w:beforeAutospacing="1" w:after="100" w:afterAutospacing="1" w:line="360" w:lineRule="auto"/>
        <w:outlineLvl w:val="1"/>
        <w:rPr>
          <w:rFonts w:ascii="Times New Roman" w:hAnsi="Times New Roman" w:eastAsia="宋体" w:cs="Times New Roman"/>
          <w:b/>
          <w:bCs/>
          <w:color w:val="auto"/>
          <w:kern w:val="0"/>
          <w:sz w:val="28"/>
          <w:szCs w:val="28"/>
        </w:rPr>
      </w:pPr>
      <w:bookmarkStart w:id="133" w:name="_Toc28064"/>
      <w:bookmarkStart w:id="134" w:name="_Toc16071"/>
      <w:r>
        <w:rPr>
          <w:rFonts w:ascii="Times New Roman" w:hAnsi="Times New Roman" w:eastAsia="宋体" w:cs="Times New Roman"/>
          <w:b/>
          <w:bCs/>
          <w:color w:val="auto"/>
          <w:kern w:val="0"/>
          <w:sz w:val="28"/>
          <w:szCs w:val="28"/>
        </w:rPr>
        <w:t>2.5评价等级以及评价范围</w:t>
      </w:r>
      <w:bookmarkEnd w:id="127"/>
      <w:bookmarkEnd w:id="128"/>
      <w:bookmarkEnd w:id="129"/>
      <w:bookmarkEnd w:id="130"/>
      <w:bookmarkEnd w:id="131"/>
      <w:bookmarkEnd w:id="132"/>
      <w:bookmarkEnd w:id="133"/>
      <w:bookmarkEnd w:id="134"/>
    </w:p>
    <w:p w14:paraId="216F5021">
      <w:pPr>
        <w:keepNext/>
        <w:keepLines/>
        <w:spacing w:before="156" w:beforeLines="50" w:after="156" w:afterLines="50" w:line="360" w:lineRule="auto"/>
        <w:outlineLvl w:val="2"/>
        <w:rPr>
          <w:rFonts w:ascii="Times New Roman" w:hAnsi="Times New Roman" w:eastAsia="宋体" w:cs="Times New Roman"/>
          <w:b/>
          <w:color w:val="auto"/>
          <w:kern w:val="0"/>
          <w:sz w:val="24"/>
          <w:szCs w:val="24"/>
        </w:rPr>
      </w:pPr>
      <w:r>
        <w:rPr>
          <w:rFonts w:ascii="Times New Roman" w:hAnsi="Times New Roman" w:eastAsia="宋体" w:cs="Times New Roman"/>
          <w:b/>
          <w:color w:val="auto"/>
          <w:kern w:val="0"/>
          <w:sz w:val="24"/>
          <w:szCs w:val="24"/>
        </w:rPr>
        <w:t>2.5.1大气环境影响评价工作等级和范围</w:t>
      </w:r>
    </w:p>
    <w:p w14:paraId="4661D8AE">
      <w:pPr>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本项目排放污染物主要为</w:t>
      </w:r>
      <w:r>
        <w:rPr>
          <w:rFonts w:hint="eastAsia" w:ascii="Times New Roman" w:hAnsi="Times New Roman" w:eastAsia="宋体" w:cs="Times New Roman"/>
          <w:color w:val="auto"/>
          <w:sz w:val="24"/>
          <w:szCs w:val="24"/>
          <w:lang w:val="en-US" w:eastAsia="zh-CN"/>
        </w:rPr>
        <w:t>挥发性有机物</w:t>
      </w:r>
      <w:r>
        <w:rPr>
          <w:rFonts w:hint="eastAsia"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非甲烷总烃、颗粒物、氨气、硫化氢</w:t>
      </w:r>
      <w:r>
        <w:rPr>
          <w:rFonts w:ascii="Times New Roman" w:hAnsi="Times New Roman" w:eastAsia="宋体" w:cs="Times New Roman"/>
          <w:color w:val="auto"/>
          <w:sz w:val="24"/>
          <w:szCs w:val="24"/>
        </w:rPr>
        <w:t>。根据《环境影响评价技术导则-大气环境》(HJ2.2-2018)中5.3节工作等级的确定方法，结合项目工程分析结果，选择正常排放的主要污染物及排放参数，采用附录A推荐模型中的AERSCREEN模式计算项目污染源的最大环境影响，然后按评价工作分级判据进行分级。</w:t>
      </w:r>
    </w:p>
    <w:p w14:paraId="32C26B1F">
      <w:pPr>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1、Pmax及D</w:t>
      </w:r>
      <w:r>
        <w:rPr>
          <w:rFonts w:ascii="Times New Roman" w:hAnsi="Times New Roman" w:eastAsia="宋体" w:cs="Times New Roman"/>
          <w:color w:val="auto"/>
          <w:sz w:val="24"/>
          <w:szCs w:val="24"/>
          <w:vertAlign w:val="subscript"/>
        </w:rPr>
        <w:t>10%</w:t>
      </w:r>
      <w:r>
        <w:rPr>
          <w:rFonts w:ascii="Times New Roman" w:hAnsi="Times New Roman" w:eastAsia="宋体" w:cs="Times New Roman"/>
          <w:color w:val="auto"/>
          <w:sz w:val="24"/>
          <w:szCs w:val="24"/>
        </w:rPr>
        <w:t>的确定</w:t>
      </w:r>
    </w:p>
    <w:p w14:paraId="67944AEB">
      <w:pPr>
        <w:spacing w:line="360" w:lineRule="auto"/>
        <w:ind w:firstLine="480" w:firstLineChars="200"/>
        <w:rPr>
          <w:rFonts w:ascii="Times New Roman" w:hAnsi="Times New Roman" w:eastAsia="宋体" w:cs="Times New Roman"/>
          <w:color w:val="FF0000"/>
          <w:sz w:val="24"/>
          <w:szCs w:val="24"/>
        </w:rPr>
      </w:pPr>
      <w:r>
        <w:rPr>
          <w:rFonts w:ascii="Times New Roman" w:hAnsi="Times New Roman" w:eastAsia="宋体" w:cs="Times New Roman"/>
          <w:color w:val="auto"/>
          <w:sz w:val="24"/>
          <w:szCs w:val="24"/>
        </w:rPr>
        <w:t>按《环境影响评价技术导则―大气环境》(HJ2.2-2018)中最大地面浓度占标率Pi定义如下：</w:t>
      </w:r>
    </w:p>
    <w:p w14:paraId="3F0AFE3A">
      <w:pPr>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vertAlign w:val="subscript"/>
        </w:rPr>
        <w:drawing>
          <wp:inline distT="0" distB="0" distL="0" distR="0">
            <wp:extent cx="552450" cy="457200"/>
            <wp:effectExtent l="0" t="0" r="0" b="0"/>
            <wp:docPr id="826845043"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845043" name="图片 9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52450" cy="457200"/>
                    </a:xfrm>
                    <a:prstGeom prst="rect">
                      <a:avLst/>
                    </a:prstGeom>
                    <a:noFill/>
                    <a:ln>
                      <a:noFill/>
                    </a:ln>
                  </pic:spPr>
                </pic:pic>
              </a:graphicData>
            </a:graphic>
          </wp:inline>
        </w:drawing>
      </w:r>
      <w:r>
        <w:rPr>
          <w:rFonts w:ascii="Times New Roman" w:hAnsi="Times New Roman" w:eastAsia="宋体" w:cs="Times New Roman"/>
          <w:color w:val="auto"/>
          <w:sz w:val="24"/>
          <w:szCs w:val="24"/>
        </w:rPr>
        <w:t>×100%</w:t>
      </w:r>
    </w:p>
    <w:p w14:paraId="23C7BD48">
      <w:pPr>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式中：P</w:t>
      </w:r>
      <w:r>
        <w:rPr>
          <w:rFonts w:ascii="Times New Roman" w:hAnsi="Times New Roman" w:eastAsia="宋体" w:cs="Times New Roman"/>
          <w:color w:val="auto"/>
          <w:sz w:val="24"/>
          <w:szCs w:val="24"/>
          <w:vertAlign w:val="subscript"/>
        </w:rPr>
        <w:t>i</w:t>
      </w:r>
      <w:r>
        <w:rPr>
          <w:rFonts w:ascii="Times New Roman" w:hAnsi="Times New Roman" w:eastAsia="宋体" w:cs="Times New Roman"/>
          <w:color w:val="auto"/>
          <w:sz w:val="24"/>
          <w:szCs w:val="24"/>
        </w:rPr>
        <w:t>——第i个污染物的最大地面</w:t>
      </w:r>
      <w:r>
        <w:rPr>
          <w:rFonts w:hint="eastAsia" w:ascii="Times New Roman" w:hAnsi="Times New Roman" w:eastAsia="宋体" w:cs="Times New Roman"/>
          <w:color w:val="auto"/>
          <w:sz w:val="24"/>
          <w:szCs w:val="24"/>
        </w:rPr>
        <w:t>空气质量</w:t>
      </w:r>
      <w:r>
        <w:rPr>
          <w:rFonts w:ascii="Times New Roman" w:hAnsi="Times New Roman" w:eastAsia="宋体" w:cs="Times New Roman"/>
          <w:color w:val="auto"/>
          <w:sz w:val="24"/>
          <w:szCs w:val="24"/>
        </w:rPr>
        <w:t>浓度占标率，100%；</w:t>
      </w:r>
    </w:p>
    <w:p w14:paraId="40B52E33">
      <w:pPr>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Ci——采用估算模式计算出的第i个污染物的最大</w:t>
      </w:r>
      <w:r>
        <w:rPr>
          <w:rFonts w:hint="eastAsia" w:ascii="Times New Roman" w:hAnsi="Times New Roman" w:eastAsia="宋体" w:cs="Times New Roman"/>
          <w:color w:val="auto"/>
          <w:sz w:val="24"/>
          <w:szCs w:val="24"/>
        </w:rPr>
        <w:t>1</w:t>
      </w:r>
      <w:r>
        <w:rPr>
          <w:rFonts w:ascii="Times New Roman" w:hAnsi="Times New Roman" w:eastAsia="宋体" w:cs="Times New Roman"/>
          <w:color w:val="auto"/>
          <w:sz w:val="24"/>
          <w:szCs w:val="24"/>
        </w:rPr>
        <w:t>h地面</w:t>
      </w:r>
      <w:r>
        <w:rPr>
          <w:rFonts w:hint="eastAsia" w:ascii="Times New Roman" w:hAnsi="Times New Roman" w:eastAsia="宋体" w:cs="Times New Roman"/>
          <w:color w:val="auto"/>
          <w:sz w:val="24"/>
          <w:szCs w:val="24"/>
        </w:rPr>
        <w:t>空气质量</w:t>
      </w:r>
      <w:r>
        <w:rPr>
          <w:rFonts w:ascii="Times New Roman" w:hAnsi="Times New Roman" w:eastAsia="宋体" w:cs="Times New Roman"/>
          <w:color w:val="auto"/>
          <w:sz w:val="24"/>
          <w:szCs w:val="24"/>
        </w:rPr>
        <w:t>浓度，μg/</w:t>
      </w:r>
      <w:r>
        <w:rPr>
          <w:rFonts w:hint="eastAsia" w:ascii="Times New Roman" w:hAnsi="Times New Roman" w:eastAsia="宋体" w:cs="Times New Roman"/>
          <w:color w:val="auto"/>
          <w:sz w:val="24"/>
          <w:szCs w:val="24"/>
          <w:lang w:eastAsia="zh-CN"/>
        </w:rPr>
        <w:t>m</w:t>
      </w:r>
      <w:r>
        <w:rPr>
          <w:rFonts w:hint="eastAsia" w:ascii="Times New Roman" w:hAnsi="Times New Roman" w:eastAsia="宋体" w:cs="Times New Roman"/>
          <w:color w:val="auto"/>
          <w:sz w:val="24"/>
          <w:szCs w:val="24"/>
          <w:vertAlign w:val="superscript"/>
          <w:lang w:eastAsia="zh-CN"/>
        </w:rPr>
        <w:t>3</w:t>
      </w:r>
      <w:r>
        <w:rPr>
          <w:rFonts w:ascii="Times New Roman" w:hAnsi="Times New Roman" w:eastAsia="宋体" w:cs="Times New Roman"/>
          <w:color w:val="auto"/>
          <w:sz w:val="24"/>
          <w:szCs w:val="24"/>
        </w:rPr>
        <w:t>；</w:t>
      </w:r>
    </w:p>
    <w:p w14:paraId="01BA3977">
      <w:pPr>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C</w:t>
      </w:r>
      <w:r>
        <w:rPr>
          <w:rFonts w:ascii="Times New Roman" w:hAnsi="Times New Roman" w:eastAsia="宋体" w:cs="Times New Roman"/>
          <w:color w:val="auto"/>
          <w:sz w:val="24"/>
          <w:szCs w:val="24"/>
          <w:vertAlign w:val="subscript"/>
        </w:rPr>
        <w:t>oi</w:t>
      </w:r>
      <w:r>
        <w:rPr>
          <w:rFonts w:ascii="Times New Roman" w:hAnsi="Times New Roman" w:eastAsia="宋体" w:cs="Times New Roman"/>
          <w:color w:val="auto"/>
          <w:sz w:val="24"/>
          <w:szCs w:val="24"/>
        </w:rPr>
        <w:t>——第i个污染物的环境空气质量标准，μg/</w:t>
      </w:r>
      <w:r>
        <w:rPr>
          <w:rFonts w:hint="eastAsia" w:ascii="Times New Roman" w:hAnsi="Times New Roman" w:eastAsia="宋体" w:cs="Times New Roman"/>
          <w:color w:val="auto"/>
          <w:sz w:val="24"/>
          <w:szCs w:val="24"/>
          <w:lang w:eastAsia="zh-CN"/>
        </w:rPr>
        <w:t>m</w:t>
      </w:r>
      <w:r>
        <w:rPr>
          <w:rFonts w:hint="eastAsia" w:ascii="Times New Roman" w:hAnsi="Times New Roman" w:eastAsia="宋体" w:cs="Times New Roman"/>
          <w:color w:val="auto"/>
          <w:sz w:val="24"/>
          <w:szCs w:val="24"/>
          <w:vertAlign w:val="superscript"/>
          <w:lang w:eastAsia="zh-CN"/>
        </w:rPr>
        <w:t>3</w:t>
      </w:r>
      <w:r>
        <w:rPr>
          <w:rFonts w:ascii="Times New Roman" w:hAnsi="Times New Roman" w:eastAsia="宋体" w:cs="Times New Roman"/>
          <w:color w:val="auto"/>
          <w:sz w:val="24"/>
          <w:szCs w:val="24"/>
        </w:rPr>
        <w:t>。一般选用GB3095中1h平均质量浓度的二级浓度限值；对该标准中未包含的污染物，使用5.2确定的各评价因子1h平均质量浓度限值。对仅有8h平均质量浓度限值、日平均质量浓度限值或年平均质量浓度限值的，可分别按2倍、3倍、6倍折算1h平均质量浓度限值。</w:t>
      </w:r>
    </w:p>
    <w:p w14:paraId="603B4306">
      <w:pPr>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2、评价等级判别表</w:t>
      </w:r>
    </w:p>
    <w:p w14:paraId="5C87313F">
      <w:pPr>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环境空气评价工作等级判断标准见下表2.5</w:t>
      </w:r>
      <w:r>
        <w:rPr>
          <w:rFonts w:hint="eastAsia" w:ascii="Times New Roman" w:hAnsi="Times New Roman" w:eastAsia="宋体" w:cs="Times New Roman"/>
          <w:color w:val="auto"/>
          <w:sz w:val="24"/>
          <w:szCs w:val="24"/>
        </w:rPr>
        <w:t>.1</w:t>
      </w:r>
      <w:r>
        <w:rPr>
          <w:rFonts w:ascii="Times New Roman" w:hAnsi="Times New Roman" w:eastAsia="宋体" w:cs="Times New Roman"/>
          <w:color w:val="auto"/>
          <w:sz w:val="24"/>
          <w:szCs w:val="24"/>
        </w:rPr>
        <w:t>-1。</w:t>
      </w:r>
    </w:p>
    <w:p w14:paraId="4979163A">
      <w:pPr>
        <w:pStyle w:val="6"/>
        <w:bidi w:val="0"/>
      </w:pPr>
      <w:r>
        <w:t>表2.5</w:t>
      </w:r>
      <w:r>
        <w:rPr>
          <w:rFonts w:hint="eastAsia"/>
        </w:rPr>
        <w:t>.1</w:t>
      </w:r>
      <w:r>
        <w:t>-1    环境空气评价工作等级判据一览表</w:t>
      </w:r>
    </w:p>
    <w:tbl>
      <w:tblPr>
        <w:tblStyle w:val="41"/>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28"/>
        <w:gridCol w:w="5968"/>
      </w:tblGrid>
      <w:tr w14:paraId="646BB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8" w:type="dxa"/>
          </w:tcPr>
          <w:p w14:paraId="45568ED4">
            <w:pPr>
              <w:jc w:val="center"/>
              <w:rPr>
                <w:rFonts w:ascii="Times New Roman" w:hAnsi="Times New Roman" w:eastAsia="宋体" w:cs="Times New Roman"/>
                <w:b/>
                <w:bCs/>
                <w:color w:val="auto"/>
                <w:sz w:val="22"/>
                <w:szCs w:val="24"/>
              </w:rPr>
            </w:pPr>
            <w:r>
              <w:rPr>
                <w:rFonts w:ascii="Times New Roman" w:hAnsi="Times New Roman" w:eastAsia="宋体" w:cs="Times New Roman"/>
                <w:b/>
                <w:bCs/>
                <w:color w:val="auto"/>
                <w:sz w:val="22"/>
                <w:szCs w:val="24"/>
              </w:rPr>
              <w:t>评价工作等级</w:t>
            </w:r>
          </w:p>
        </w:tc>
        <w:tc>
          <w:tcPr>
            <w:tcW w:w="5968" w:type="dxa"/>
          </w:tcPr>
          <w:p w14:paraId="24B23A1A">
            <w:pPr>
              <w:jc w:val="center"/>
              <w:rPr>
                <w:rFonts w:ascii="Times New Roman" w:hAnsi="Times New Roman" w:eastAsia="宋体" w:cs="Times New Roman"/>
                <w:b/>
                <w:bCs/>
                <w:color w:val="auto"/>
                <w:sz w:val="22"/>
                <w:szCs w:val="24"/>
              </w:rPr>
            </w:pPr>
            <w:r>
              <w:rPr>
                <w:rFonts w:ascii="Times New Roman" w:hAnsi="Times New Roman" w:eastAsia="宋体" w:cs="Times New Roman"/>
                <w:b/>
                <w:bCs/>
                <w:color w:val="auto"/>
                <w:sz w:val="22"/>
                <w:szCs w:val="24"/>
              </w:rPr>
              <w:t>评价工作分级判据</w:t>
            </w:r>
          </w:p>
        </w:tc>
      </w:tr>
      <w:tr w14:paraId="29F07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8" w:type="dxa"/>
          </w:tcPr>
          <w:p w14:paraId="146BB02C">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一级</w:t>
            </w:r>
          </w:p>
        </w:tc>
        <w:tc>
          <w:tcPr>
            <w:tcW w:w="5968" w:type="dxa"/>
          </w:tcPr>
          <w:p w14:paraId="02524A13">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Pmax≥10%</w:t>
            </w:r>
          </w:p>
        </w:tc>
      </w:tr>
      <w:tr w14:paraId="6519D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8" w:type="dxa"/>
          </w:tcPr>
          <w:p w14:paraId="08F80335">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二级</w:t>
            </w:r>
          </w:p>
        </w:tc>
        <w:tc>
          <w:tcPr>
            <w:tcW w:w="5968" w:type="dxa"/>
          </w:tcPr>
          <w:p w14:paraId="2D9FC373">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1%≤Pmax＜10%</w:t>
            </w:r>
          </w:p>
        </w:tc>
      </w:tr>
      <w:tr w14:paraId="2BDB7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28" w:type="dxa"/>
          </w:tcPr>
          <w:p w14:paraId="2BB19C70">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三级</w:t>
            </w:r>
          </w:p>
        </w:tc>
        <w:tc>
          <w:tcPr>
            <w:tcW w:w="5968" w:type="dxa"/>
          </w:tcPr>
          <w:p w14:paraId="57CB4323">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Pmax＜1%</w:t>
            </w:r>
          </w:p>
        </w:tc>
      </w:tr>
    </w:tbl>
    <w:p w14:paraId="7A749D6A">
      <w:pPr>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3、污染物评价标准</w:t>
      </w:r>
    </w:p>
    <w:p w14:paraId="66C7DBD3">
      <w:pPr>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本项目污染物估算模式评价标准按照《环境影响评价技术导则――大气环境）》（HJ2.2-2018）要求，选取GB3095-2012中1h平均质量浓度的二级浓度限值，对于仅有8h平均质量浓度限值、日平均质量浓度限值或年平均质量浓度限值的，可分别按2倍、3倍、6倍折算1h平均质量浓度限值，具体估算标准值见表2.5</w:t>
      </w:r>
      <w:r>
        <w:rPr>
          <w:rFonts w:hint="eastAsia" w:ascii="Times New Roman" w:hAnsi="Times New Roman" w:eastAsia="宋体" w:cs="Times New Roman"/>
          <w:color w:val="auto"/>
          <w:sz w:val="24"/>
          <w:szCs w:val="24"/>
        </w:rPr>
        <w:t>.1</w:t>
      </w:r>
      <w:r>
        <w:rPr>
          <w:rFonts w:ascii="Times New Roman" w:hAnsi="Times New Roman" w:eastAsia="宋体" w:cs="Times New Roman"/>
          <w:color w:val="auto"/>
          <w:sz w:val="24"/>
          <w:szCs w:val="24"/>
        </w:rPr>
        <w:t>-2。</w:t>
      </w:r>
    </w:p>
    <w:p w14:paraId="1C491249">
      <w:pPr>
        <w:pStyle w:val="6"/>
        <w:bidi w:val="0"/>
      </w:pPr>
      <w:r>
        <w:t>表2.5</w:t>
      </w:r>
      <w:r>
        <w:rPr>
          <w:rFonts w:hint="eastAsia"/>
        </w:rPr>
        <w:t>.1</w:t>
      </w:r>
      <w:r>
        <w:t>-2    污染物估算模式评价标准</w:t>
      </w:r>
    </w:p>
    <w:tbl>
      <w:tblPr>
        <w:tblStyle w:val="4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37"/>
        <w:gridCol w:w="2054"/>
        <w:gridCol w:w="5031"/>
      </w:tblGrid>
      <w:tr w14:paraId="53304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trPr>
        <w:tc>
          <w:tcPr>
            <w:tcW w:w="843" w:type="pct"/>
            <w:vAlign w:val="center"/>
          </w:tcPr>
          <w:p w14:paraId="3A4F2BD3">
            <w:pPr>
              <w:jc w:val="center"/>
              <w:rPr>
                <w:rFonts w:ascii="Times New Roman" w:hAnsi="Times New Roman" w:eastAsia="宋体" w:cs="Times New Roman"/>
                <w:b/>
                <w:bCs/>
                <w:color w:val="auto"/>
                <w:sz w:val="22"/>
                <w:szCs w:val="24"/>
              </w:rPr>
            </w:pPr>
            <w:r>
              <w:rPr>
                <w:rFonts w:ascii="Times New Roman" w:hAnsi="Times New Roman" w:eastAsia="宋体" w:cs="Times New Roman"/>
                <w:b/>
                <w:bCs/>
                <w:color w:val="auto"/>
                <w:sz w:val="22"/>
                <w:szCs w:val="24"/>
              </w:rPr>
              <w:t>污染物名称</w:t>
            </w:r>
          </w:p>
        </w:tc>
        <w:tc>
          <w:tcPr>
            <w:tcW w:w="1205" w:type="pct"/>
            <w:vAlign w:val="center"/>
          </w:tcPr>
          <w:p w14:paraId="0A510510">
            <w:pPr>
              <w:jc w:val="center"/>
              <w:rPr>
                <w:rFonts w:ascii="Times New Roman" w:hAnsi="Times New Roman" w:eastAsia="宋体" w:cs="Times New Roman"/>
                <w:b/>
                <w:bCs/>
                <w:color w:val="auto"/>
                <w:sz w:val="22"/>
                <w:szCs w:val="24"/>
              </w:rPr>
            </w:pPr>
            <w:r>
              <w:rPr>
                <w:rFonts w:ascii="Times New Roman" w:hAnsi="Times New Roman" w:eastAsia="宋体" w:cs="Times New Roman"/>
                <w:b/>
                <w:bCs/>
                <w:color w:val="auto"/>
                <w:sz w:val="22"/>
                <w:szCs w:val="24"/>
              </w:rPr>
              <w:t>估算标准值（µg/</w:t>
            </w:r>
            <w:r>
              <w:rPr>
                <w:rFonts w:hint="eastAsia" w:ascii="Times New Roman" w:hAnsi="Times New Roman" w:eastAsia="宋体" w:cs="Times New Roman"/>
                <w:b/>
                <w:bCs/>
                <w:color w:val="auto"/>
                <w:sz w:val="22"/>
                <w:szCs w:val="24"/>
                <w:lang w:eastAsia="zh-CN"/>
              </w:rPr>
              <w:t>m</w:t>
            </w:r>
            <w:r>
              <w:rPr>
                <w:rFonts w:hint="eastAsia" w:ascii="Times New Roman" w:hAnsi="Times New Roman" w:eastAsia="宋体" w:cs="Times New Roman"/>
                <w:b/>
                <w:bCs/>
                <w:color w:val="auto"/>
                <w:sz w:val="22"/>
                <w:szCs w:val="24"/>
                <w:vertAlign w:val="superscript"/>
                <w:lang w:eastAsia="zh-CN"/>
              </w:rPr>
              <w:t>3</w:t>
            </w:r>
            <w:r>
              <w:rPr>
                <w:rFonts w:ascii="Times New Roman" w:hAnsi="Times New Roman" w:eastAsia="宋体" w:cs="Times New Roman"/>
                <w:b/>
                <w:bCs/>
                <w:color w:val="auto"/>
                <w:sz w:val="22"/>
                <w:szCs w:val="24"/>
              </w:rPr>
              <w:t>）</w:t>
            </w:r>
          </w:p>
        </w:tc>
        <w:tc>
          <w:tcPr>
            <w:tcW w:w="2951" w:type="pct"/>
            <w:vAlign w:val="center"/>
          </w:tcPr>
          <w:p w14:paraId="613BEE42">
            <w:pPr>
              <w:jc w:val="center"/>
              <w:rPr>
                <w:rFonts w:ascii="Times New Roman" w:hAnsi="Times New Roman" w:eastAsia="宋体" w:cs="Times New Roman"/>
                <w:b/>
                <w:bCs/>
                <w:color w:val="auto"/>
                <w:sz w:val="22"/>
                <w:szCs w:val="24"/>
              </w:rPr>
            </w:pPr>
            <w:r>
              <w:rPr>
                <w:rFonts w:ascii="Times New Roman" w:hAnsi="Times New Roman" w:eastAsia="宋体" w:cs="Times New Roman"/>
                <w:b/>
                <w:bCs/>
                <w:color w:val="auto"/>
                <w:sz w:val="22"/>
                <w:szCs w:val="24"/>
              </w:rPr>
              <w:t>标准来源</w:t>
            </w:r>
          </w:p>
        </w:tc>
      </w:tr>
      <w:tr w14:paraId="675CE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843" w:type="pct"/>
            <w:vAlign w:val="center"/>
          </w:tcPr>
          <w:p w14:paraId="7DA20F2D">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TSP</w:t>
            </w:r>
          </w:p>
        </w:tc>
        <w:tc>
          <w:tcPr>
            <w:tcW w:w="1205" w:type="pct"/>
            <w:vAlign w:val="center"/>
          </w:tcPr>
          <w:p w14:paraId="4D2D39CB">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900</w:t>
            </w:r>
          </w:p>
        </w:tc>
        <w:tc>
          <w:tcPr>
            <w:tcW w:w="2951" w:type="pct"/>
            <w:vAlign w:val="center"/>
          </w:tcPr>
          <w:p w14:paraId="5B0EF1BE">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GB3095-2012</w:t>
            </w:r>
            <w:r>
              <w:rPr>
                <w:rFonts w:hint="eastAsia" w:ascii="Times New Roman" w:hAnsi="Times New Roman" w:eastAsia="宋体" w:cs="Times New Roman"/>
                <w:color w:val="auto"/>
                <w:sz w:val="22"/>
                <w:szCs w:val="24"/>
              </w:rPr>
              <w:t>日平均质量浓度限值的3倍</w:t>
            </w:r>
          </w:p>
        </w:tc>
      </w:tr>
      <w:tr w14:paraId="12339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3" w:type="pct"/>
            <w:vAlign w:val="center"/>
          </w:tcPr>
          <w:p w14:paraId="63200671">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氨气</w:t>
            </w:r>
          </w:p>
        </w:tc>
        <w:tc>
          <w:tcPr>
            <w:tcW w:w="1205" w:type="pct"/>
            <w:vAlign w:val="center"/>
          </w:tcPr>
          <w:p w14:paraId="5EA41948">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200</w:t>
            </w:r>
          </w:p>
        </w:tc>
        <w:tc>
          <w:tcPr>
            <w:tcW w:w="2951" w:type="pct"/>
            <w:vMerge w:val="restart"/>
            <w:vAlign w:val="center"/>
          </w:tcPr>
          <w:p w14:paraId="586ABF23">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HJ2.2—2018附录D</w:t>
            </w:r>
          </w:p>
        </w:tc>
      </w:tr>
      <w:tr w14:paraId="4517E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3" w:type="pct"/>
            <w:vAlign w:val="center"/>
          </w:tcPr>
          <w:p w14:paraId="6002FB1F">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硫化氢</w:t>
            </w:r>
          </w:p>
        </w:tc>
        <w:tc>
          <w:tcPr>
            <w:tcW w:w="1205" w:type="pct"/>
            <w:vAlign w:val="center"/>
          </w:tcPr>
          <w:p w14:paraId="6D68C134">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10</w:t>
            </w:r>
          </w:p>
        </w:tc>
        <w:tc>
          <w:tcPr>
            <w:tcW w:w="2951" w:type="pct"/>
            <w:vMerge w:val="continue"/>
            <w:vAlign w:val="center"/>
          </w:tcPr>
          <w:p w14:paraId="66C8EC23">
            <w:pPr>
              <w:jc w:val="center"/>
              <w:rPr>
                <w:rFonts w:ascii="Times New Roman" w:hAnsi="Times New Roman" w:eastAsia="宋体" w:cs="Times New Roman"/>
                <w:color w:val="auto"/>
                <w:sz w:val="22"/>
                <w:szCs w:val="24"/>
              </w:rPr>
            </w:pPr>
          </w:p>
        </w:tc>
      </w:tr>
      <w:tr w14:paraId="5F83D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3" w:type="pct"/>
            <w:vAlign w:val="center"/>
          </w:tcPr>
          <w:p w14:paraId="6FC45984">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非甲烷总烃</w:t>
            </w:r>
          </w:p>
        </w:tc>
        <w:tc>
          <w:tcPr>
            <w:tcW w:w="1205" w:type="pct"/>
            <w:vAlign w:val="center"/>
          </w:tcPr>
          <w:p w14:paraId="5AAB2180">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2000</w:t>
            </w:r>
          </w:p>
        </w:tc>
        <w:tc>
          <w:tcPr>
            <w:tcW w:w="2951" w:type="pct"/>
            <w:vAlign w:val="center"/>
          </w:tcPr>
          <w:p w14:paraId="723111C6">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大气污染物综合排放标准详解</w:t>
            </w:r>
          </w:p>
        </w:tc>
      </w:tr>
    </w:tbl>
    <w:p w14:paraId="7B7F4FF5">
      <w:pPr>
        <w:spacing w:line="360" w:lineRule="auto"/>
        <w:ind w:firstLine="480" w:firstLineChars="200"/>
        <w:rPr>
          <w:rFonts w:ascii="Times New Roman" w:hAnsi="Times New Roman" w:eastAsia="宋体" w:cs="Times New Roman"/>
          <w:color w:val="auto"/>
          <w:sz w:val="24"/>
          <w:szCs w:val="24"/>
          <w:u w:val="none"/>
        </w:rPr>
      </w:pPr>
      <w:r>
        <w:rPr>
          <w:rFonts w:ascii="Times New Roman" w:hAnsi="Times New Roman" w:eastAsia="宋体" w:cs="Times New Roman"/>
          <w:color w:val="auto"/>
          <w:sz w:val="24"/>
          <w:szCs w:val="24"/>
          <w:u w:val="none"/>
        </w:rPr>
        <w:t>4、估算模型参数选择</w:t>
      </w:r>
    </w:p>
    <w:p w14:paraId="5E2B52FA">
      <w:pPr>
        <w:pStyle w:val="6"/>
        <w:bidi w:val="0"/>
      </w:pPr>
      <w:r>
        <w:rPr>
          <w:rFonts w:hint="eastAsia"/>
        </w:rPr>
        <w:t>表</w:t>
      </w:r>
      <w:r>
        <w:t>2.5</w:t>
      </w:r>
      <w:r>
        <w:rPr>
          <w:rFonts w:hint="eastAsia"/>
        </w:rPr>
        <w:t>.1</w:t>
      </w:r>
      <w:r>
        <w:t>-3   估算模型参数一览表</w:t>
      </w:r>
    </w:p>
    <w:tbl>
      <w:tblPr>
        <w:tblStyle w:val="41"/>
        <w:tblW w:w="8276" w:type="dxa"/>
        <w:jc w:val="center"/>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Layout w:type="fixed"/>
        <w:tblCellMar>
          <w:top w:w="0" w:type="dxa"/>
          <w:left w:w="108" w:type="dxa"/>
          <w:bottom w:w="0" w:type="dxa"/>
          <w:right w:w="108" w:type="dxa"/>
        </w:tblCellMar>
      </w:tblPr>
      <w:tblGrid>
        <w:gridCol w:w="2960"/>
        <w:gridCol w:w="3618"/>
        <w:gridCol w:w="1698"/>
      </w:tblGrid>
      <w:tr w14:paraId="0D8C01AC">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387" w:hRule="atLeast"/>
          <w:tblHeader/>
          <w:jc w:val="center"/>
        </w:trPr>
        <w:tc>
          <w:tcPr>
            <w:tcW w:w="6578" w:type="dxa"/>
            <w:gridSpan w:val="2"/>
            <w:shd w:val="clear" w:color="auto" w:fill="FFFFFF"/>
            <w:vAlign w:val="center"/>
          </w:tcPr>
          <w:p w14:paraId="3F1B2D18">
            <w:pPr>
              <w:jc w:val="center"/>
              <w:rPr>
                <w:rFonts w:ascii="Times New Roman" w:hAnsi="Times New Roman" w:eastAsia="宋体" w:cs="Times New Roman"/>
                <w:color w:val="auto"/>
                <w:sz w:val="22"/>
                <w:szCs w:val="24"/>
                <w:u w:val="none"/>
              </w:rPr>
            </w:pPr>
            <w:r>
              <w:rPr>
                <w:rFonts w:ascii="Times New Roman" w:hAnsi="Times New Roman" w:eastAsia="宋体" w:cs="Times New Roman"/>
                <w:color w:val="auto"/>
                <w:sz w:val="22"/>
                <w:szCs w:val="24"/>
                <w:u w:val="none"/>
              </w:rPr>
              <w:t>参数</w:t>
            </w:r>
          </w:p>
        </w:tc>
        <w:tc>
          <w:tcPr>
            <w:tcW w:w="1698" w:type="dxa"/>
            <w:shd w:val="clear" w:color="auto" w:fill="FFFFFF"/>
            <w:noWrap/>
            <w:vAlign w:val="center"/>
          </w:tcPr>
          <w:p w14:paraId="109DB741">
            <w:pPr>
              <w:jc w:val="center"/>
              <w:rPr>
                <w:rFonts w:ascii="Times New Roman" w:hAnsi="Times New Roman" w:eastAsia="宋体" w:cs="Times New Roman"/>
                <w:color w:val="auto"/>
                <w:sz w:val="22"/>
                <w:szCs w:val="24"/>
                <w:u w:val="none"/>
              </w:rPr>
            </w:pPr>
            <w:r>
              <w:rPr>
                <w:rFonts w:ascii="Times New Roman" w:hAnsi="Times New Roman" w:eastAsia="宋体" w:cs="Times New Roman"/>
                <w:color w:val="auto"/>
                <w:sz w:val="22"/>
                <w:szCs w:val="24"/>
                <w:u w:val="none"/>
              </w:rPr>
              <w:t>取值</w:t>
            </w:r>
          </w:p>
        </w:tc>
      </w:tr>
      <w:tr w14:paraId="26DF98BF">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368" w:hRule="atLeast"/>
          <w:jc w:val="center"/>
        </w:trPr>
        <w:tc>
          <w:tcPr>
            <w:tcW w:w="2960" w:type="dxa"/>
            <w:vMerge w:val="restart"/>
            <w:shd w:val="clear" w:color="auto" w:fill="FFFFFF"/>
            <w:vAlign w:val="center"/>
          </w:tcPr>
          <w:p w14:paraId="4F28DAC8">
            <w:pPr>
              <w:jc w:val="center"/>
              <w:rPr>
                <w:rFonts w:ascii="Times New Roman" w:hAnsi="Times New Roman" w:eastAsia="宋体" w:cs="Times New Roman"/>
                <w:color w:val="auto"/>
                <w:sz w:val="22"/>
                <w:szCs w:val="24"/>
                <w:u w:val="none"/>
              </w:rPr>
            </w:pPr>
            <w:r>
              <w:rPr>
                <w:rFonts w:ascii="Times New Roman" w:hAnsi="Times New Roman" w:eastAsia="宋体" w:cs="Times New Roman"/>
                <w:color w:val="auto"/>
                <w:sz w:val="22"/>
                <w:szCs w:val="24"/>
                <w:u w:val="none"/>
              </w:rPr>
              <w:t>城市/农村选项</w:t>
            </w:r>
          </w:p>
        </w:tc>
        <w:tc>
          <w:tcPr>
            <w:tcW w:w="3618" w:type="dxa"/>
            <w:shd w:val="clear" w:color="auto" w:fill="FFFFFF"/>
            <w:noWrap/>
            <w:vAlign w:val="center"/>
          </w:tcPr>
          <w:p w14:paraId="6D5E0671">
            <w:pPr>
              <w:jc w:val="center"/>
              <w:rPr>
                <w:rFonts w:ascii="Times New Roman" w:hAnsi="Times New Roman" w:eastAsia="宋体" w:cs="Times New Roman"/>
                <w:color w:val="auto"/>
                <w:sz w:val="22"/>
                <w:szCs w:val="24"/>
                <w:u w:val="none"/>
              </w:rPr>
            </w:pPr>
            <w:r>
              <w:rPr>
                <w:rFonts w:ascii="Times New Roman" w:hAnsi="Times New Roman" w:eastAsia="宋体" w:cs="Times New Roman"/>
                <w:color w:val="auto"/>
                <w:sz w:val="22"/>
                <w:szCs w:val="24"/>
                <w:u w:val="none"/>
              </w:rPr>
              <w:t>城市/农村</w:t>
            </w:r>
          </w:p>
        </w:tc>
        <w:tc>
          <w:tcPr>
            <w:tcW w:w="1698" w:type="dxa"/>
            <w:shd w:val="clear" w:color="auto" w:fill="FFFFFF"/>
            <w:noWrap/>
            <w:vAlign w:val="center"/>
          </w:tcPr>
          <w:p w14:paraId="4B2A0A72">
            <w:pPr>
              <w:jc w:val="center"/>
              <w:rPr>
                <w:rFonts w:ascii="Times New Roman" w:hAnsi="Times New Roman" w:eastAsia="宋体" w:cs="Times New Roman"/>
                <w:color w:val="auto"/>
                <w:sz w:val="22"/>
                <w:szCs w:val="24"/>
                <w:u w:val="none"/>
              </w:rPr>
            </w:pPr>
            <w:r>
              <w:rPr>
                <w:rFonts w:ascii="Times New Roman" w:hAnsi="Times New Roman" w:eastAsia="宋体" w:cs="Times New Roman"/>
                <w:color w:val="auto"/>
                <w:sz w:val="22"/>
                <w:szCs w:val="24"/>
                <w:u w:val="none"/>
              </w:rPr>
              <w:t>城市</w:t>
            </w:r>
          </w:p>
        </w:tc>
      </w:tr>
      <w:tr w14:paraId="47C20C89">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407" w:hRule="atLeast"/>
          <w:jc w:val="center"/>
        </w:trPr>
        <w:tc>
          <w:tcPr>
            <w:tcW w:w="2960" w:type="dxa"/>
            <w:vMerge w:val="continue"/>
            <w:shd w:val="clear" w:color="auto" w:fill="FFFFFF"/>
            <w:vAlign w:val="center"/>
          </w:tcPr>
          <w:p w14:paraId="6AF3AF5A">
            <w:pPr>
              <w:jc w:val="center"/>
              <w:rPr>
                <w:rFonts w:ascii="Times New Roman" w:hAnsi="Times New Roman" w:eastAsia="宋体" w:cs="Times New Roman"/>
                <w:color w:val="auto"/>
                <w:sz w:val="22"/>
                <w:szCs w:val="24"/>
                <w:u w:val="none"/>
              </w:rPr>
            </w:pPr>
          </w:p>
        </w:tc>
        <w:tc>
          <w:tcPr>
            <w:tcW w:w="3618" w:type="dxa"/>
            <w:shd w:val="clear" w:color="auto" w:fill="FFFFFF"/>
            <w:noWrap/>
            <w:vAlign w:val="center"/>
          </w:tcPr>
          <w:p w14:paraId="219AF2FA">
            <w:pPr>
              <w:jc w:val="center"/>
              <w:rPr>
                <w:rFonts w:ascii="Times New Roman" w:hAnsi="Times New Roman" w:eastAsia="宋体" w:cs="Times New Roman"/>
                <w:color w:val="auto"/>
                <w:sz w:val="22"/>
                <w:szCs w:val="24"/>
                <w:u w:val="none"/>
              </w:rPr>
            </w:pPr>
            <w:r>
              <w:rPr>
                <w:rFonts w:ascii="Times New Roman" w:hAnsi="Times New Roman" w:eastAsia="宋体" w:cs="Times New Roman"/>
                <w:color w:val="auto"/>
                <w:sz w:val="22"/>
                <w:szCs w:val="24"/>
                <w:u w:val="none"/>
              </w:rPr>
              <w:t>人口数（城市选项时）</w:t>
            </w:r>
          </w:p>
        </w:tc>
        <w:tc>
          <w:tcPr>
            <w:tcW w:w="1698" w:type="dxa"/>
            <w:shd w:val="clear" w:color="auto" w:fill="FFFFFF"/>
            <w:noWrap/>
            <w:vAlign w:val="center"/>
          </w:tcPr>
          <w:p w14:paraId="50682E38">
            <w:pPr>
              <w:jc w:val="center"/>
              <w:rPr>
                <w:rFonts w:ascii="Times New Roman" w:hAnsi="Times New Roman" w:eastAsia="宋体" w:cs="Times New Roman"/>
                <w:color w:val="auto"/>
                <w:sz w:val="22"/>
                <w:szCs w:val="24"/>
                <w:u w:val="none"/>
              </w:rPr>
            </w:pPr>
            <w:r>
              <w:rPr>
                <w:rFonts w:hint="eastAsia" w:ascii="Times New Roman" w:hAnsi="Times New Roman" w:eastAsia="宋体" w:cs="Times New Roman"/>
                <w:color w:val="auto"/>
                <w:sz w:val="22"/>
                <w:szCs w:val="24"/>
                <w:u w:val="none"/>
              </w:rPr>
              <w:t>208000</w:t>
            </w:r>
          </w:p>
        </w:tc>
      </w:tr>
      <w:tr w14:paraId="6A5A8A91">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387" w:hRule="atLeast"/>
          <w:jc w:val="center"/>
        </w:trPr>
        <w:tc>
          <w:tcPr>
            <w:tcW w:w="6578" w:type="dxa"/>
            <w:gridSpan w:val="2"/>
            <w:shd w:val="clear" w:color="auto" w:fill="FFFFFF"/>
            <w:vAlign w:val="center"/>
          </w:tcPr>
          <w:p w14:paraId="7A67B6B6">
            <w:pPr>
              <w:jc w:val="center"/>
              <w:rPr>
                <w:rFonts w:ascii="Times New Roman" w:hAnsi="Times New Roman" w:eastAsia="宋体" w:cs="Times New Roman"/>
                <w:color w:val="auto"/>
                <w:sz w:val="22"/>
                <w:szCs w:val="24"/>
                <w:u w:val="none"/>
              </w:rPr>
            </w:pPr>
            <w:r>
              <w:rPr>
                <w:rFonts w:ascii="Times New Roman" w:hAnsi="Times New Roman" w:eastAsia="宋体" w:cs="Times New Roman"/>
                <w:color w:val="auto"/>
                <w:sz w:val="22"/>
                <w:szCs w:val="24"/>
                <w:u w:val="none"/>
              </w:rPr>
              <w:t xml:space="preserve">最高环境温度/ </w:t>
            </w:r>
            <w:r>
              <w:rPr>
                <w:rFonts w:hint="eastAsia" w:ascii="Times New Roman" w:hAnsi="Times New Roman" w:eastAsia="宋体" w:cs="Times New Roman"/>
                <w:color w:val="auto"/>
                <w:sz w:val="22"/>
                <w:szCs w:val="24"/>
                <w:u w:val="none"/>
              </w:rPr>
              <w:t>℃</w:t>
            </w:r>
          </w:p>
        </w:tc>
        <w:tc>
          <w:tcPr>
            <w:tcW w:w="1698" w:type="dxa"/>
            <w:shd w:val="clear" w:color="auto" w:fill="FFFFFF"/>
            <w:noWrap/>
            <w:vAlign w:val="center"/>
          </w:tcPr>
          <w:p w14:paraId="77D9673D">
            <w:pPr>
              <w:jc w:val="center"/>
              <w:rPr>
                <w:rFonts w:ascii="Times New Roman" w:hAnsi="Times New Roman" w:eastAsia="宋体" w:cs="Times New Roman"/>
                <w:color w:val="auto"/>
                <w:sz w:val="22"/>
                <w:szCs w:val="24"/>
                <w:u w:val="none"/>
              </w:rPr>
            </w:pPr>
            <w:r>
              <w:rPr>
                <w:rFonts w:hint="eastAsia" w:ascii="Times New Roman" w:hAnsi="Times New Roman" w:eastAsia="宋体" w:cs="Times New Roman"/>
                <w:color w:val="auto"/>
                <w:sz w:val="22"/>
                <w:szCs w:val="24"/>
                <w:u w:val="none"/>
              </w:rPr>
              <w:t>33.3</w:t>
            </w:r>
            <w:r>
              <w:rPr>
                <w:rFonts w:ascii="Times New Roman" w:hAnsi="Times New Roman" w:eastAsia="宋体" w:cs="Times New Roman"/>
                <w:color w:val="auto"/>
                <w:sz w:val="22"/>
                <w:szCs w:val="24"/>
                <w:u w:val="none"/>
              </w:rPr>
              <w:t>°C</w:t>
            </w:r>
          </w:p>
        </w:tc>
      </w:tr>
      <w:tr w14:paraId="4ACC0D54">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368" w:hRule="atLeast"/>
          <w:jc w:val="center"/>
        </w:trPr>
        <w:tc>
          <w:tcPr>
            <w:tcW w:w="6578" w:type="dxa"/>
            <w:gridSpan w:val="2"/>
            <w:shd w:val="clear" w:color="auto" w:fill="FFFFFF"/>
            <w:vAlign w:val="center"/>
          </w:tcPr>
          <w:p w14:paraId="2E82BCCF">
            <w:pPr>
              <w:jc w:val="center"/>
              <w:rPr>
                <w:rFonts w:ascii="Times New Roman" w:hAnsi="Times New Roman" w:eastAsia="宋体" w:cs="Times New Roman"/>
                <w:color w:val="auto"/>
                <w:sz w:val="22"/>
                <w:szCs w:val="24"/>
                <w:u w:val="none"/>
              </w:rPr>
            </w:pPr>
            <w:r>
              <w:rPr>
                <w:rFonts w:ascii="Times New Roman" w:hAnsi="Times New Roman" w:eastAsia="宋体" w:cs="Times New Roman"/>
                <w:color w:val="auto"/>
                <w:sz w:val="22"/>
                <w:szCs w:val="24"/>
                <w:u w:val="none"/>
              </w:rPr>
              <w:t>最低环境温度/</w:t>
            </w:r>
            <w:r>
              <w:rPr>
                <w:rFonts w:hint="eastAsia" w:ascii="Times New Roman" w:hAnsi="Times New Roman" w:eastAsia="宋体" w:cs="Times New Roman"/>
                <w:color w:val="auto"/>
                <w:sz w:val="22"/>
                <w:szCs w:val="24"/>
                <w:u w:val="none"/>
              </w:rPr>
              <w:t>℃</w:t>
            </w:r>
          </w:p>
        </w:tc>
        <w:tc>
          <w:tcPr>
            <w:tcW w:w="1698" w:type="dxa"/>
            <w:shd w:val="clear" w:color="auto" w:fill="FFFFFF"/>
            <w:noWrap/>
            <w:vAlign w:val="center"/>
          </w:tcPr>
          <w:p w14:paraId="68922CC2">
            <w:pPr>
              <w:jc w:val="center"/>
              <w:rPr>
                <w:rFonts w:ascii="Times New Roman" w:hAnsi="Times New Roman" w:eastAsia="宋体" w:cs="Times New Roman"/>
                <w:color w:val="auto"/>
                <w:sz w:val="22"/>
                <w:szCs w:val="24"/>
                <w:u w:val="none"/>
              </w:rPr>
            </w:pPr>
            <w:r>
              <w:rPr>
                <w:rFonts w:ascii="Times New Roman" w:hAnsi="Times New Roman" w:eastAsia="宋体" w:cs="Times New Roman"/>
                <w:color w:val="auto"/>
                <w:sz w:val="22"/>
                <w:szCs w:val="24"/>
                <w:u w:val="none"/>
              </w:rPr>
              <w:t>-</w:t>
            </w:r>
            <w:r>
              <w:rPr>
                <w:rFonts w:hint="eastAsia" w:ascii="Times New Roman" w:hAnsi="Times New Roman" w:eastAsia="宋体" w:cs="Times New Roman"/>
                <w:color w:val="auto"/>
                <w:sz w:val="22"/>
                <w:szCs w:val="24"/>
                <w:u w:val="none"/>
              </w:rPr>
              <w:t>7.8</w:t>
            </w:r>
            <w:r>
              <w:rPr>
                <w:rFonts w:ascii="Times New Roman" w:hAnsi="Times New Roman" w:eastAsia="宋体" w:cs="Times New Roman"/>
                <w:color w:val="auto"/>
                <w:sz w:val="22"/>
                <w:szCs w:val="24"/>
                <w:u w:val="none"/>
              </w:rPr>
              <w:t>°C</w:t>
            </w:r>
          </w:p>
        </w:tc>
      </w:tr>
      <w:tr w14:paraId="3DADD159">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387" w:hRule="atLeast"/>
          <w:jc w:val="center"/>
        </w:trPr>
        <w:tc>
          <w:tcPr>
            <w:tcW w:w="6578" w:type="dxa"/>
            <w:gridSpan w:val="2"/>
            <w:shd w:val="clear" w:color="auto" w:fill="FFFFFF"/>
            <w:vAlign w:val="center"/>
          </w:tcPr>
          <w:p w14:paraId="11283D37">
            <w:pPr>
              <w:jc w:val="center"/>
              <w:rPr>
                <w:rFonts w:ascii="Times New Roman" w:hAnsi="Times New Roman" w:eastAsia="宋体" w:cs="Times New Roman"/>
                <w:color w:val="auto"/>
                <w:sz w:val="22"/>
                <w:szCs w:val="24"/>
                <w:u w:val="none"/>
              </w:rPr>
            </w:pPr>
            <w:r>
              <w:rPr>
                <w:rFonts w:ascii="Times New Roman" w:hAnsi="Times New Roman" w:eastAsia="宋体" w:cs="Times New Roman"/>
                <w:color w:val="auto"/>
                <w:sz w:val="22"/>
                <w:szCs w:val="24"/>
                <w:u w:val="none"/>
              </w:rPr>
              <w:t>土地利用类型</w:t>
            </w:r>
          </w:p>
        </w:tc>
        <w:tc>
          <w:tcPr>
            <w:tcW w:w="1698" w:type="dxa"/>
            <w:shd w:val="clear" w:color="auto" w:fill="FFFFFF"/>
            <w:noWrap/>
            <w:vAlign w:val="center"/>
          </w:tcPr>
          <w:p w14:paraId="4FC11775">
            <w:pPr>
              <w:jc w:val="center"/>
              <w:rPr>
                <w:rFonts w:ascii="Times New Roman" w:hAnsi="Times New Roman" w:eastAsia="宋体" w:cs="Times New Roman"/>
                <w:color w:val="auto"/>
                <w:sz w:val="22"/>
                <w:szCs w:val="24"/>
                <w:u w:val="none"/>
              </w:rPr>
            </w:pPr>
            <w:r>
              <w:rPr>
                <w:rFonts w:ascii="Times New Roman" w:hAnsi="Times New Roman" w:eastAsia="宋体" w:cs="Times New Roman"/>
                <w:color w:val="auto"/>
                <w:sz w:val="22"/>
                <w:szCs w:val="24"/>
                <w:u w:val="none"/>
              </w:rPr>
              <w:t>城市</w:t>
            </w:r>
          </w:p>
        </w:tc>
      </w:tr>
      <w:tr w14:paraId="669E5475">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387" w:hRule="atLeast"/>
          <w:jc w:val="center"/>
        </w:trPr>
        <w:tc>
          <w:tcPr>
            <w:tcW w:w="6578" w:type="dxa"/>
            <w:gridSpan w:val="2"/>
            <w:shd w:val="clear" w:color="auto" w:fill="FFFFFF"/>
            <w:vAlign w:val="center"/>
          </w:tcPr>
          <w:p w14:paraId="5045281C">
            <w:pPr>
              <w:jc w:val="center"/>
              <w:rPr>
                <w:rFonts w:ascii="Times New Roman" w:hAnsi="Times New Roman" w:eastAsia="宋体" w:cs="Times New Roman"/>
                <w:color w:val="auto"/>
                <w:sz w:val="22"/>
                <w:szCs w:val="24"/>
                <w:u w:val="none"/>
              </w:rPr>
            </w:pPr>
            <w:r>
              <w:rPr>
                <w:rFonts w:ascii="Times New Roman" w:hAnsi="Times New Roman" w:eastAsia="宋体" w:cs="Times New Roman"/>
                <w:color w:val="auto"/>
                <w:sz w:val="22"/>
                <w:szCs w:val="24"/>
                <w:u w:val="none"/>
              </w:rPr>
              <w:t>区域湿度条件</w:t>
            </w:r>
          </w:p>
        </w:tc>
        <w:tc>
          <w:tcPr>
            <w:tcW w:w="1698" w:type="dxa"/>
            <w:shd w:val="clear" w:color="auto" w:fill="FFFFFF"/>
            <w:noWrap/>
            <w:vAlign w:val="center"/>
          </w:tcPr>
          <w:p w14:paraId="08209FC7">
            <w:pPr>
              <w:jc w:val="center"/>
              <w:rPr>
                <w:rFonts w:ascii="Times New Roman" w:hAnsi="Times New Roman" w:eastAsia="宋体" w:cs="Times New Roman"/>
                <w:color w:val="auto"/>
                <w:sz w:val="22"/>
                <w:szCs w:val="24"/>
                <w:u w:val="none"/>
              </w:rPr>
            </w:pPr>
            <w:r>
              <w:rPr>
                <w:rFonts w:ascii="Times New Roman" w:hAnsi="Times New Roman" w:eastAsia="宋体" w:cs="Times New Roman"/>
                <w:color w:val="auto"/>
                <w:sz w:val="22"/>
                <w:szCs w:val="24"/>
                <w:u w:val="none"/>
              </w:rPr>
              <w:t>湿润气候</w:t>
            </w:r>
          </w:p>
        </w:tc>
      </w:tr>
      <w:tr w14:paraId="13F83819">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387" w:hRule="atLeast"/>
          <w:jc w:val="center"/>
        </w:trPr>
        <w:tc>
          <w:tcPr>
            <w:tcW w:w="2960" w:type="dxa"/>
            <w:vMerge w:val="restart"/>
            <w:shd w:val="clear" w:color="auto" w:fill="FFFFFF"/>
            <w:vAlign w:val="center"/>
          </w:tcPr>
          <w:p w14:paraId="631AEB10">
            <w:pPr>
              <w:jc w:val="center"/>
              <w:rPr>
                <w:rFonts w:ascii="Times New Roman" w:hAnsi="Times New Roman" w:eastAsia="宋体" w:cs="Times New Roman"/>
                <w:color w:val="auto"/>
                <w:sz w:val="22"/>
                <w:szCs w:val="24"/>
                <w:u w:val="none"/>
              </w:rPr>
            </w:pPr>
            <w:r>
              <w:rPr>
                <w:rFonts w:ascii="Times New Roman" w:hAnsi="Times New Roman" w:eastAsia="宋体" w:cs="Times New Roman"/>
                <w:color w:val="auto"/>
                <w:sz w:val="22"/>
                <w:szCs w:val="24"/>
                <w:u w:val="none"/>
              </w:rPr>
              <w:t>是否考虑地形</w:t>
            </w:r>
          </w:p>
        </w:tc>
        <w:tc>
          <w:tcPr>
            <w:tcW w:w="3618" w:type="dxa"/>
            <w:shd w:val="clear" w:color="auto" w:fill="FFFFFF"/>
            <w:noWrap/>
            <w:vAlign w:val="center"/>
          </w:tcPr>
          <w:p w14:paraId="1AB8A77F">
            <w:pPr>
              <w:jc w:val="center"/>
              <w:rPr>
                <w:rFonts w:ascii="Times New Roman" w:hAnsi="Times New Roman" w:eastAsia="宋体" w:cs="Times New Roman"/>
                <w:color w:val="auto"/>
                <w:sz w:val="22"/>
                <w:szCs w:val="24"/>
                <w:u w:val="none"/>
              </w:rPr>
            </w:pPr>
            <w:r>
              <w:rPr>
                <w:rFonts w:ascii="Times New Roman" w:hAnsi="Times New Roman" w:eastAsia="宋体" w:cs="Times New Roman"/>
                <w:color w:val="auto"/>
                <w:sz w:val="22"/>
                <w:szCs w:val="24"/>
                <w:u w:val="none"/>
              </w:rPr>
              <w:t>考虑地形</w:t>
            </w:r>
          </w:p>
        </w:tc>
        <w:tc>
          <w:tcPr>
            <w:tcW w:w="1698" w:type="dxa"/>
            <w:shd w:val="clear" w:color="auto" w:fill="FFFFFF"/>
            <w:noWrap/>
            <w:vAlign w:val="center"/>
          </w:tcPr>
          <w:p w14:paraId="38FE6F15">
            <w:pPr>
              <w:jc w:val="center"/>
              <w:rPr>
                <w:rFonts w:ascii="Times New Roman" w:hAnsi="Times New Roman" w:eastAsia="宋体" w:cs="Times New Roman"/>
                <w:color w:val="auto"/>
                <w:sz w:val="22"/>
                <w:szCs w:val="24"/>
                <w:u w:val="none"/>
              </w:rPr>
            </w:pPr>
            <w:r>
              <w:rPr>
                <w:rFonts w:ascii="Times New Roman" w:hAnsi="Times New Roman" w:eastAsia="宋体" w:cs="Times New Roman"/>
                <w:color w:val="auto"/>
                <w:sz w:val="22"/>
                <w:szCs w:val="24"/>
                <w:u w:val="none"/>
              </w:rPr>
              <w:t>■是  □否</w:t>
            </w:r>
          </w:p>
        </w:tc>
      </w:tr>
      <w:tr w14:paraId="0515C8C9">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387" w:hRule="atLeast"/>
          <w:jc w:val="center"/>
        </w:trPr>
        <w:tc>
          <w:tcPr>
            <w:tcW w:w="2960" w:type="dxa"/>
            <w:vMerge w:val="continue"/>
            <w:shd w:val="clear" w:color="auto" w:fill="FFFFFF"/>
            <w:vAlign w:val="center"/>
          </w:tcPr>
          <w:p w14:paraId="348CC4CA">
            <w:pPr>
              <w:jc w:val="center"/>
              <w:rPr>
                <w:rFonts w:ascii="Times New Roman" w:hAnsi="Times New Roman" w:eastAsia="宋体" w:cs="Times New Roman"/>
                <w:color w:val="auto"/>
                <w:sz w:val="22"/>
                <w:szCs w:val="24"/>
                <w:u w:val="none"/>
              </w:rPr>
            </w:pPr>
          </w:p>
        </w:tc>
        <w:tc>
          <w:tcPr>
            <w:tcW w:w="3618" w:type="dxa"/>
            <w:shd w:val="clear" w:color="auto" w:fill="FFFFFF"/>
            <w:noWrap/>
            <w:vAlign w:val="center"/>
          </w:tcPr>
          <w:p w14:paraId="17664B95">
            <w:pPr>
              <w:jc w:val="center"/>
              <w:rPr>
                <w:rFonts w:ascii="Times New Roman" w:hAnsi="Times New Roman" w:eastAsia="宋体" w:cs="Times New Roman"/>
                <w:color w:val="auto"/>
                <w:sz w:val="22"/>
                <w:szCs w:val="24"/>
                <w:u w:val="none"/>
              </w:rPr>
            </w:pPr>
            <w:r>
              <w:rPr>
                <w:rFonts w:ascii="Times New Roman" w:hAnsi="Times New Roman" w:eastAsia="宋体" w:cs="Times New Roman"/>
                <w:color w:val="auto"/>
                <w:sz w:val="22"/>
                <w:szCs w:val="24"/>
                <w:u w:val="none"/>
              </w:rPr>
              <w:t>地形数据分辨率/m</w:t>
            </w:r>
          </w:p>
        </w:tc>
        <w:tc>
          <w:tcPr>
            <w:tcW w:w="1698" w:type="dxa"/>
            <w:shd w:val="clear" w:color="auto" w:fill="FFFFFF"/>
            <w:noWrap/>
            <w:vAlign w:val="center"/>
          </w:tcPr>
          <w:p w14:paraId="4A6E5092">
            <w:pPr>
              <w:jc w:val="center"/>
              <w:rPr>
                <w:rFonts w:ascii="Times New Roman" w:hAnsi="Times New Roman" w:eastAsia="宋体" w:cs="Times New Roman"/>
                <w:color w:val="auto"/>
                <w:sz w:val="22"/>
                <w:szCs w:val="24"/>
                <w:u w:val="none"/>
              </w:rPr>
            </w:pPr>
            <w:r>
              <w:rPr>
                <w:rFonts w:ascii="Times New Roman" w:hAnsi="Times New Roman" w:eastAsia="宋体" w:cs="Times New Roman"/>
                <w:color w:val="auto"/>
                <w:sz w:val="22"/>
                <w:szCs w:val="24"/>
                <w:u w:val="none"/>
              </w:rPr>
              <w:t>90</w:t>
            </w:r>
          </w:p>
        </w:tc>
      </w:tr>
      <w:tr w14:paraId="36C7E90F">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387" w:hRule="atLeast"/>
          <w:jc w:val="center"/>
        </w:trPr>
        <w:tc>
          <w:tcPr>
            <w:tcW w:w="2960" w:type="dxa"/>
            <w:vMerge w:val="restart"/>
            <w:shd w:val="clear" w:color="auto" w:fill="FFFFFF"/>
            <w:vAlign w:val="center"/>
          </w:tcPr>
          <w:p w14:paraId="2FC46F08">
            <w:pPr>
              <w:jc w:val="center"/>
              <w:rPr>
                <w:rFonts w:ascii="Times New Roman" w:hAnsi="Times New Roman" w:eastAsia="宋体" w:cs="Times New Roman"/>
                <w:color w:val="auto"/>
                <w:sz w:val="22"/>
                <w:szCs w:val="24"/>
                <w:u w:val="none"/>
              </w:rPr>
            </w:pPr>
            <w:r>
              <w:rPr>
                <w:rFonts w:ascii="Times New Roman" w:hAnsi="Times New Roman" w:eastAsia="宋体" w:cs="Times New Roman"/>
                <w:color w:val="auto"/>
                <w:sz w:val="22"/>
                <w:szCs w:val="24"/>
                <w:u w:val="none"/>
              </w:rPr>
              <w:t>是否考虑岸线熏烟</w:t>
            </w:r>
          </w:p>
        </w:tc>
        <w:tc>
          <w:tcPr>
            <w:tcW w:w="3618" w:type="dxa"/>
            <w:shd w:val="clear" w:color="auto" w:fill="FFFFFF"/>
            <w:noWrap/>
            <w:vAlign w:val="center"/>
          </w:tcPr>
          <w:p w14:paraId="1DE45F99">
            <w:pPr>
              <w:jc w:val="center"/>
              <w:rPr>
                <w:rFonts w:ascii="Times New Roman" w:hAnsi="Times New Roman" w:eastAsia="宋体" w:cs="Times New Roman"/>
                <w:color w:val="auto"/>
                <w:sz w:val="22"/>
                <w:szCs w:val="24"/>
                <w:u w:val="none"/>
              </w:rPr>
            </w:pPr>
            <w:r>
              <w:rPr>
                <w:rFonts w:ascii="Times New Roman" w:hAnsi="Times New Roman" w:eastAsia="宋体" w:cs="Times New Roman"/>
                <w:color w:val="auto"/>
                <w:sz w:val="22"/>
                <w:szCs w:val="24"/>
                <w:u w:val="none"/>
              </w:rPr>
              <w:t>考虑岸线熏烟</w:t>
            </w:r>
          </w:p>
        </w:tc>
        <w:tc>
          <w:tcPr>
            <w:tcW w:w="1698" w:type="dxa"/>
            <w:shd w:val="clear" w:color="auto" w:fill="FFFFFF"/>
            <w:noWrap/>
            <w:vAlign w:val="center"/>
          </w:tcPr>
          <w:p w14:paraId="5D343451">
            <w:pPr>
              <w:jc w:val="center"/>
              <w:rPr>
                <w:rFonts w:ascii="Times New Roman" w:hAnsi="Times New Roman" w:eastAsia="宋体" w:cs="Times New Roman"/>
                <w:color w:val="auto"/>
                <w:sz w:val="22"/>
                <w:szCs w:val="24"/>
                <w:u w:val="none"/>
              </w:rPr>
            </w:pPr>
            <w:r>
              <w:rPr>
                <w:rFonts w:ascii="Times New Roman" w:hAnsi="Times New Roman" w:eastAsia="宋体" w:cs="Times New Roman"/>
                <w:color w:val="auto"/>
                <w:sz w:val="22"/>
                <w:szCs w:val="24"/>
                <w:u w:val="none"/>
              </w:rPr>
              <w:t>□是  ■否</w:t>
            </w:r>
          </w:p>
        </w:tc>
      </w:tr>
      <w:tr w14:paraId="20FD1197">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407" w:hRule="atLeast"/>
          <w:jc w:val="center"/>
        </w:trPr>
        <w:tc>
          <w:tcPr>
            <w:tcW w:w="2960" w:type="dxa"/>
            <w:vMerge w:val="continue"/>
            <w:shd w:val="clear" w:color="auto" w:fill="FFFFFF"/>
            <w:vAlign w:val="center"/>
          </w:tcPr>
          <w:p w14:paraId="2E44B1ED">
            <w:pPr>
              <w:jc w:val="center"/>
              <w:rPr>
                <w:rFonts w:ascii="Times New Roman" w:hAnsi="Times New Roman" w:eastAsia="宋体" w:cs="Times New Roman"/>
                <w:color w:val="auto"/>
                <w:sz w:val="22"/>
                <w:szCs w:val="24"/>
                <w:u w:val="none"/>
              </w:rPr>
            </w:pPr>
          </w:p>
        </w:tc>
        <w:tc>
          <w:tcPr>
            <w:tcW w:w="3618" w:type="dxa"/>
            <w:shd w:val="clear" w:color="auto" w:fill="FFFFFF"/>
            <w:noWrap/>
            <w:vAlign w:val="center"/>
          </w:tcPr>
          <w:p w14:paraId="1C6AA3E5">
            <w:pPr>
              <w:jc w:val="center"/>
              <w:rPr>
                <w:rFonts w:ascii="Times New Roman" w:hAnsi="Times New Roman" w:eastAsia="宋体" w:cs="Times New Roman"/>
                <w:color w:val="auto"/>
                <w:sz w:val="22"/>
                <w:szCs w:val="24"/>
                <w:u w:val="none"/>
              </w:rPr>
            </w:pPr>
            <w:r>
              <w:rPr>
                <w:rFonts w:ascii="Times New Roman" w:hAnsi="Times New Roman" w:eastAsia="宋体" w:cs="Times New Roman"/>
                <w:color w:val="auto"/>
                <w:sz w:val="22"/>
                <w:szCs w:val="24"/>
                <w:u w:val="none"/>
              </w:rPr>
              <w:t>岸线距离/km</w:t>
            </w:r>
          </w:p>
        </w:tc>
        <w:tc>
          <w:tcPr>
            <w:tcW w:w="1698" w:type="dxa"/>
            <w:shd w:val="clear" w:color="auto" w:fill="FFFFFF"/>
            <w:noWrap/>
            <w:vAlign w:val="center"/>
          </w:tcPr>
          <w:p w14:paraId="421E5704">
            <w:pPr>
              <w:jc w:val="center"/>
              <w:rPr>
                <w:rFonts w:ascii="Times New Roman" w:hAnsi="Times New Roman" w:eastAsia="宋体" w:cs="Times New Roman"/>
                <w:color w:val="auto"/>
                <w:sz w:val="22"/>
                <w:szCs w:val="24"/>
                <w:u w:val="none"/>
              </w:rPr>
            </w:pPr>
            <w:r>
              <w:rPr>
                <w:rFonts w:ascii="Times New Roman" w:hAnsi="Times New Roman" w:eastAsia="宋体" w:cs="Times New Roman"/>
                <w:color w:val="auto"/>
                <w:sz w:val="22"/>
                <w:szCs w:val="24"/>
                <w:u w:val="none"/>
              </w:rPr>
              <w:t>/</w:t>
            </w:r>
          </w:p>
        </w:tc>
      </w:tr>
      <w:tr w14:paraId="7A322B29">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387" w:hRule="atLeast"/>
          <w:jc w:val="center"/>
        </w:trPr>
        <w:tc>
          <w:tcPr>
            <w:tcW w:w="2960" w:type="dxa"/>
            <w:vMerge w:val="continue"/>
            <w:shd w:val="clear" w:color="auto" w:fill="FFFFFF"/>
            <w:vAlign w:val="center"/>
          </w:tcPr>
          <w:p w14:paraId="27989F3B">
            <w:pPr>
              <w:jc w:val="center"/>
              <w:rPr>
                <w:rFonts w:ascii="Times New Roman" w:hAnsi="Times New Roman" w:eastAsia="宋体" w:cs="Times New Roman"/>
                <w:color w:val="auto"/>
                <w:sz w:val="22"/>
                <w:szCs w:val="24"/>
                <w:u w:val="none"/>
              </w:rPr>
            </w:pPr>
          </w:p>
        </w:tc>
        <w:tc>
          <w:tcPr>
            <w:tcW w:w="3618" w:type="dxa"/>
            <w:shd w:val="clear" w:color="auto" w:fill="FFFFFF"/>
            <w:noWrap/>
            <w:vAlign w:val="center"/>
          </w:tcPr>
          <w:p w14:paraId="252157F4">
            <w:pPr>
              <w:jc w:val="center"/>
              <w:rPr>
                <w:rFonts w:ascii="Times New Roman" w:hAnsi="Times New Roman" w:eastAsia="宋体" w:cs="Times New Roman"/>
                <w:color w:val="auto"/>
                <w:sz w:val="22"/>
                <w:szCs w:val="24"/>
                <w:u w:val="none"/>
              </w:rPr>
            </w:pPr>
            <w:r>
              <w:rPr>
                <w:rFonts w:ascii="Times New Roman" w:hAnsi="Times New Roman" w:eastAsia="宋体" w:cs="Times New Roman"/>
                <w:color w:val="auto"/>
                <w:sz w:val="22"/>
                <w:szCs w:val="24"/>
                <w:u w:val="none"/>
              </w:rPr>
              <w:t>岸线方向/°</w:t>
            </w:r>
          </w:p>
        </w:tc>
        <w:tc>
          <w:tcPr>
            <w:tcW w:w="1698" w:type="dxa"/>
            <w:shd w:val="clear" w:color="auto" w:fill="FFFFFF"/>
            <w:noWrap/>
            <w:vAlign w:val="center"/>
          </w:tcPr>
          <w:p w14:paraId="0B37E3FE">
            <w:pPr>
              <w:jc w:val="center"/>
              <w:rPr>
                <w:rFonts w:ascii="Times New Roman" w:hAnsi="Times New Roman" w:eastAsia="宋体" w:cs="Times New Roman"/>
                <w:color w:val="auto"/>
                <w:sz w:val="22"/>
                <w:szCs w:val="24"/>
                <w:u w:val="none"/>
              </w:rPr>
            </w:pPr>
            <w:r>
              <w:rPr>
                <w:rFonts w:ascii="Times New Roman" w:hAnsi="Times New Roman" w:eastAsia="宋体" w:cs="Times New Roman"/>
                <w:color w:val="auto"/>
                <w:sz w:val="22"/>
                <w:szCs w:val="24"/>
                <w:u w:val="none"/>
              </w:rPr>
              <w:t>/</w:t>
            </w:r>
          </w:p>
        </w:tc>
      </w:tr>
    </w:tbl>
    <w:p w14:paraId="58AE6484">
      <w:pPr>
        <w:spacing w:line="360" w:lineRule="auto"/>
        <w:ind w:firstLine="480" w:firstLineChars="200"/>
        <w:rPr>
          <w:rFonts w:ascii="Times New Roman" w:hAnsi="Times New Roman" w:eastAsia="宋体" w:cs="Times New Roman"/>
          <w:color w:val="auto"/>
          <w:sz w:val="24"/>
          <w:szCs w:val="24"/>
          <w:u w:val="none"/>
        </w:rPr>
      </w:pPr>
      <w:r>
        <w:rPr>
          <w:rFonts w:ascii="Times New Roman" w:hAnsi="Times New Roman" w:eastAsia="宋体" w:cs="Times New Roman"/>
          <w:color w:val="auto"/>
          <w:sz w:val="24"/>
          <w:szCs w:val="24"/>
          <w:u w:val="none"/>
        </w:rPr>
        <w:t>5、项目排放源参数</w:t>
      </w:r>
    </w:p>
    <w:p w14:paraId="3552F6FE">
      <w:pPr>
        <w:spacing w:line="360" w:lineRule="auto"/>
        <w:ind w:firstLine="480" w:firstLineChars="200"/>
        <w:rPr>
          <w:rFonts w:ascii="Times New Roman" w:hAnsi="Times New Roman" w:eastAsia="宋体" w:cs="Times New Roman"/>
          <w:color w:val="auto"/>
          <w:sz w:val="24"/>
          <w:szCs w:val="24"/>
          <w:u w:val="none"/>
        </w:rPr>
      </w:pPr>
      <w:r>
        <w:rPr>
          <w:rFonts w:hint="eastAsia" w:ascii="Times New Roman" w:hAnsi="Times New Roman" w:eastAsia="宋体" w:cs="Times New Roman"/>
          <w:color w:val="auto"/>
          <w:sz w:val="24"/>
          <w:szCs w:val="24"/>
          <w:u w:val="none"/>
        </w:rPr>
        <w:t>项目点源排放源参数见表</w:t>
      </w:r>
      <w:r>
        <w:rPr>
          <w:rFonts w:ascii="Times New Roman" w:hAnsi="Times New Roman" w:eastAsia="宋体" w:cs="Times New Roman"/>
          <w:color w:val="auto"/>
          <w:sz w:val="24"/>
          <w:szCs w:val="24"/>
          <w:u w:val="none"/>
        </w:rPr>
        <w:t>2.5</w:t>
      </w:r>
      <w:r>
        <w:rPr>
          <w:rFonts w:hint="eastAsia" w:ascii="Times New Roman" w:hAnsi="Times New Roman" w:eastAsia="宋体" w:cs="Times New Roman"/>
          <w:color w:val="auto"/>
          <w:sz w:val="24"/>
          <w:szCs w:val="24"/>
          <w:u w:val="none"/>
        </w:rPr>
        <w:t>.1</w:t>
      </w:r>
      <w:r>
        <w:rPr>
          <w:rFonts w:ascii="Times New Roman" w:hAnsi="Times New Roman" w:eastAsia="宋体" w:cs="Times New Roman"/>
          <w:color w:val="auto"/>
          <w:sz w:val="24"/>
          <w:szCs w:val="24"/>
          <w:u w:val="none"/>
        </w:rPr>
        <w:t>-4、面源排放源参数见表2.5</w:t>
      </w:r>
      <w:r>
        <w:rPr>
          <w:rFonts w:hint="eastAsia" w:ascii="Times New Roman" w:hAnsi="Times New Roman" w:eastAsia="宋体" w:cs="Times New Roman"/>
          <w:color w:val="auto"/>
          <w:sz w:val="24"/>
          <w:szCs w:val="24"/>
          <w:u w:val="none"/>
        </w:rPr>
        <w:t>.1</w:t>
      </w:r>
      <w:r>
        <w:rPr>
          <w:rFonts w:ascii="Times New Roman" w:hAnsi="Times New Roman" w:eastAsia="宋体" w:cs="Times New Roman"/>
          <w:color w:val="auto"/>
          <w:sz w:val="24"/>
          <w:szCs w:val="24"/>
          <w:u w:val="none"/>
        </w:rPr>
        <w:t>-5。</w:t>
      </w:r>
    </w:p>
    <w:p w14:paraId="470441B1">
      <w:pPr>
        <w:spacing w:line="360" w:lineRule="auto"/>
        <w:ind w:firstLine="480" w:firstLineChars="200"/>
        <w:rPr>
          <w:rFonts w:ascii="Times New Roman" w:hAnsi="Times New Roman" w:eastAsia="宋体" w:cs="Times New Roman"/>
          <w:color w:val="FF0000"/>
          <w:sz w:val="24"/>
          <w:szCs w:val="24"/>
          <w:highlight w:val="green"/>
          <w:u w:val="single"/>
        </w:rPr>
        <w:sectPr>
          <w:pgSz w:w="11906" w:h="16838"/>
          <w:pgMar w:top="1440" w:right="1800" w:bottom="1440" w:left="1800" w:header="851" w:footer="992" w:gutter="0"/>
          <w:pgNumType w:fmt="numberInDash"/>
          <w:cols w:space="720" w:num="1"/>
          <w:docGrid w:type="lines" w:linePitch="312" w:charSpace="0"/>
        </w:sectPr>
      </w:pPr>
    </w:p>
    <w:p w14:paraId="314A0683">
      <w:pPr>
        <w:spacing w:line="360" w:lineRule="auto"/>
        <w:ind w:firstLine="480" w:firstLineChars="200"/>
        <w:rPr>
          <w:rFonts w:ascii="Times New Roman" w:hAnsi="Times New Roman" w:eastAsia="宋体" w:cs="Times New Roman"/>
          <w:b/>
          <w:bCs/>
          <w:color w:val="auto"/>
          <w:sz w:val="22"/>
          <w:szCs w:val="24"/>
        </w:rPr>
      </w:pPr>
      <w:r>
        <w:rPr>
          <w:rFonts w:hint="eastAsia" w:ascii="Times New Roman" w:hAnsi="Times New Roman" w:eastAsia="宋体" w:cs="Times New Roman"/>
          <w:color w:val="auto"/>
          <w:sz w:val="24"/>
          <w:szCs w:val="24"/>
        </w:rPr>
        <w:t>污染物排放速率选取各产品生产过程中排放废气中各污染物的最大排放速率作为估算源强：</w:t>
      </w:r>
    </w:p>
    <w:p w14:paraId="7FE8A3CE">
      <w:pPr>
        <w:pStyle w:val="6"/>
        <w:bidi w:val="0"/>
      </w:pPr>
      <w:r>
        <w:t>表2.5</w:t>
      </w:r>
      <w:r>
        <w:rPr>
          <w:rFonts w:hint="eastAsia"/>
        </w:rPr>
        <w:t>.1</w:t>
      </w:r>
      <w:r>
        <w:t xml:space="preserve">-4  </w:t>
      </w:r>
      <w:r>
        <w:rPr>
          <w:rFonts w:hint="eastAsia"/>
          <w:lang w:val="en-US" w:eastAsia="zh-CN"/>
        </w:rPr>
        <w:t xml:space="preserve"> </w:t>
      </w:r>
      <w:r>
        <w:t>点源参数表</w:t>
      </w: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6"/>
        <w:gridCol w:w="835"/>
        <w:gridCol w:w="620"/>
        <w:gridCol w:w="546"/>
        <w:gridCol w:w="930"/>
        <w:gridCol w:w="804"/>
        <w:gridCol w:w="887"/>
        <w:gridCol w:w="1268"/>
        <w:gridCol w:w="1132"/>
        <w:gridCol w:w="1050"/>
        <w:gridCol w:w="791"/>
        <w:gridCol w:w="1458"/>
        <w:gridCol w:w="1145"/>
        <w:gridCol w:w="1132"/>
        <w:gridCol w:w="1066"/>
      </w:tblGrid>
      <w:tr w14:paraId="3F2FD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6" w:type="dxa"/>
            <w:vMerge w:val="restart"/>
            <w:vAlign w:val="center"/>
          </w:tcPr>
          <w:p w14:paraId="1AE11C56">
            <w:pPr>
              <w:jc w:val="center"/>
              <w:rPr>
                <w:rFonts w:ascii="Times New Roman" w:hAnsi="Times New Roman" w:eastAsia="宋体" w:cs="Times New Roman"/>
                <w:color w:val="auto"/>
                <w:sz w:val="22"/>
              </w:rPr>
            </w:pPr>
            <w:r>
              <w:rPr>
                <w:rFonts w:ascii="Times New Roman" w:hAnsi="Times New Roman" w:eastAsia="宋体" w:cs="Times New Roman"/>
                <w:color w:val="auto"/>
                <w:sz w:val="22"/>
              </w:rPr>
              <w:t>编号</w:t>
            </w:r>
          </w:p>
        </w:tc>
        <w:tc>
          <w:tcPr>
            <w:tcW w:w="835" w:type="dxa"/>
            <w:vMerge w:val="restart"/>
            <w:vAlign w:val="center"/>
          </w:tcPr>
          <w:p w14:paraId="4908C484">
            <w:pPr>
              <w:jc w:val="center"/>
              <w:rPr>
                <w:rFonts w:ascii="Times New Roman" w:hAnsi="Times New Roman" w:eastAsia="宋体" w:cs="Times New Roman"/>
                <w:color w:val="auto"/>
                <w:sz w:val="22"/>
              </w:rPr>
            </w:pPr>
            <w:r>
              <w:rPr>
                <w:rFonts w:ascii="Times New Roman" w:hAnsi="Times New Roman" w:eastAsia="宋体" w:cs="Times New Roman"/>
                <w:color w:val="auto"/>
                <w:sz w:val="22"/>
              </w:rPr>
              <w:t>名称</w:t>
            </w:r>
          </w:p>
        </w:tc>
        <w:tc>
          <w:tcPr>
            <w:tcW w:w="1166" w:type="dxa"/>
            <w:gridSpan w:val="2"/>
            <w:vAlign w:val="center"/>
          </w:tcPr>
          <w:p w14:paraId="7067DB69">
            <w:pPr>
              <w:jc w:val="center"/>
              <w:rPr>
                <w:rFonts w:ascii="Times New Roman" w:hAnsi="Times New Roman" w:eastAsia="宋体" w:cs="Times New Roman"/>
                <w:color w:val="auto"/>
                <w:sz w:val="22"/>
              </w:rPr>
            </w:pPr>
            <w:r>
              <w:rPr>
                <w:rFonts w:ascii="Times New Roman" w:hAnsi="Times New Roman" w:eastAsia="宋体" w:cs="Times New Roman"/>
                <w:color w:val="auto"/>
                <w:sz w:val="22"/>
              </w:rPr>
              <w:t>排气筒底部中心坐标/m</w:t>
            </w:r>
          </w:p>
        </w:tc>
        <w:tc>
          <w:tcPr>
            <w:tcW w:w="930" w:type="dxa"/>
            <w:vMerge w:val="restart"/>
            <w:vAlign w:val="center"/>
          </w:tcPr>
          <w:p w14:paraId="5B5934B8">
            <w:pPr>
              <w:jc w:val="center"/>
              <w:rPr>
                <w:rFonts w:ascii="Times New Roman" w:hAnsi="Times New Roman" w:eastAsia="宋体" w:cs="Times New Roman"/>
                <w:color w:val="auto"/>
                <w:sz w:val="22"/>
              </w:rPr>
            </w:pPr>
            <w:r>
              <w:rPr>
                <w:rFonts w:ascii="Times New Roman" w:hAnsi="Times New Roman" w:eastAsia="宋体" w:cs="Times New Roman"/>
                <w:color w:val="auto"/>
                <w:sz w:val="22"/>
              </w:rPr>
              <w:t>排气筒底部海拔高度/m</w:t>
            </w:r>
          </w:p>
        </w:tc>
        <w:tc>
          <w:tcPr>
            <w:tcW w:w="804" w:type="dxa"/>
            <w:vMerge w:val="restart"/>
            <w:vAlign w:val="center"/>
          </w:tcPr>
          <w:p w14:paraId="08484E24">
            <w:pPr>
              <w:jc w:val="center"/>
              <w:rPr>
                <w:rFonts w:ascii="Times New Roman" w:hAnsi="Times New Roman" w:eastAsia="宋体" w:cs="Times New Roman"/>
                <w:color w:val="auto"/>
                <w:sz w:val="22"/>
              </w:rPr>
            </w:pPr>
            <w:r>
              <w:rPr>
                <w:rFonts w:ascii="Times New Roman" w:hAnsi="Times New Roman" w:eastAsia="宋体" w:cs="Times New Roman"/>
                <w:color w:val="auto"/>
                <w:sz w:val="22"/>
              </w:rPr>
              <w:t>排气筒高度/m</w:t>
            </w:r>
          </w:p>
        </w:tc>
        <w:tc>
          <w:tcPr>
            <w:tcW w:w="887" w:type="dxa"/>
            <w:vMerge w:val="restart"/>
            <w:vAlign w:val="center"/>
          </w:tcPr>
          <w:p w14:paraId="58EA5FA4">
            <w:pPr>
              <w:jc w:val="center"/>
              <w:rPr>
                <w:rFonts w:ascii="Times New Roman" w:hAnsi="Times New Roman" w:eastAsia="宋体" w:cs="Times New Roman"/>
                <w:color w:val="auto"/>
                <w:sz w:val="22"/>
              </w:rPr>
            </w:pPr>
            <w:r>
              <w:rPr>
                <w:rFonts w:ascii="Times New Roman" w:hAnsi="Times New Roman" w:eastAsia="宋体" w:cs="Times New Roman"/>
                <w:color w:val="auto"/>
                <w:sz w:val="22"/>
              </w:rPr>
              <w:t>排气筒出口内径/m</w:t>
            </w:r>
          </w:p>
        </w:tc>
        <w:tc>
          <w:tcPr>
            <w:tcW w:w="1268" w:type="dxa"/>
            <w:vMerge w:val="restart"/>
            <w:vAlign w:val="center"/>
          </w:tcPr>
          <w:p w14:paraId="326408FF">
            <w:pPr>
              <w:jc w:val="center"/>
              <w:rPr>
                <w:rFonts w:ascii="Times New Roman" w:hAnsi="Times New Roman" w:eastAsia="宋体" w:cs="Times New Roman"/>
                <w:color w:val="auto"/>
                <w:sz w:val="22"/>
              </w:rPr>
            </w:pPr>
            <w:r>
              <w:rPr>
                <w:rFonts w:ascii="Times New Roman" w:hAnsi="Times New Roman" w:eastAsia="宋体" w:cs="Times New Roman"/>
                <w:color w:val="auto"/>
                <w:sz w:val="22"/>
              </w:rPr>
              <w:t>烟气流量/（</w:t>
            </w:r>
            <w:r>
              <w:rPr>
                <w:rFonts w:hint="eastAsia" w:ascii="Times New Roman" w:hAnsi="Times New Roman" w:eastAsia="宋体" w:cs="Times New Roman"/>
                <w:color w:val="auto"/>
                <w:sz w:val="22"/>
                <w:lang w:eastAsia="zh-CN"/>
              </w:rPr>
              <w:t>m</w:t>
            </w:r>
            <w:r>
              <w:rPr>
                <w:rFonts w:hint="eastAsia" w:ascii="Times New Roman" w:hAnsi="Times New Roman" w:eastAsia="宋体" w:cs="Times New Roman"/>
                <w:color w:val="auto"/>
                <w:sz w:val="22"/>
                <w:vertAlign w:val="superscript"/>
                <w:lang w:eastAsia="zh-CN"/>
              </w:rPr>
              <w:t>3</w:t>
            </w:r>
            <w:r>
              <w:rPr>
                <w:rFonts w:ascii="Times New Roman" w:hAnsi="Times New Roman" w:eastAsia="宋体" w:cs="Times New Roman"/>
                <w:color w:val="auto"/>
                <w:sz w:val="22"/>
              </w:rPr>
              <w:t>/h）</w:t>
            </w:r>
          </w:p>
        </w:tc>
        <w:tc>
          <w:tcPr>
            <w:tcW w:w="1132" w:type="dxa"/>
            <w:vMerge w:val="restart"/>
            <w:vAlign w:val="center"/>
          </w:tcPr>
          <w:p w14:paraId="42B9E020">
            <w:pPr>
              <w:jc w:val="center"/>
              <w:rPr>
                <w:rFonts w:ascii="Times New Roman" w:hAnsi="Times New Roman" w:eastAsia="宋体" w:cs="Times New Roman"/>
                <w:color w:val="auto"/>
                <w:sz w:val="22"/>
              </w:rPr>
            </w:pPr>
            <w:r>
              <w:rPr>
                <w:rFonts w:ascii="Times New Roman" w:hAnsi="Times New Roman" w:eastAsia="宋体" w:cs="Times New Roman"/>
                <w:color w:val="auto"/>
                <w:sz w:val="22"/>
              </w:rPr>
              <w:t>烟气温度/℃</w:t>
            </w:r>
          </w:p>
        </w:tc>
        <w:tc>
          <w:tcPr>
            <w:tcW w:w="1050" w:type="dxa"/>
            <w:vMerge w:val="restart"/>
            <w:vAlign w:val="center"/>
          </w:tcPr>
          <w:p w14:paraId="6FD7FC05">
            <w:pPr>
              <w:jc w:val="center"/>
              <w:rPr>
                <w:rFonts w:ascii="Times New Roman" w:hAnsi="Times New Roman" w:eastAsia="宋体" w:cs="Times New Roman"/>
                <w:color w:val="auto"/>
                <w:sz w:val="22"/>
              </w:rPr>
            </w:pPr>
            <w:r>
              <w:rPr>
                <w:rFonts w:ascii="Times New Roman" w:hAnsi="Times New Roman" w:eastAsia="宋体" w:cs="Times New Roman"/>
                <w:color w:val="auto"/>
                <w:sz w:val="22"/>
              </w:rPr>
              <w:t>年排放小时数/h</w:t>
            </w:r>
          </w:p>
        </w:tc>
        <w:tc>
          <w:tcPr>
            <w:tcW w:w="791" w:type="dxa"/>
            <w:vMerge w:val="restart"/>
            <w:vAlign w:val="center"/>
          </w:tcPr>
          <w:p w14:paraId="4BEC4832">
            <w:pPr>
              <w:jc w:val="center"/>
              <w:rPr>
                <w:rFonts w:ascii="Times New Roman" w:hAnsi="Times New Roman" w:eastAsia="宋体" w:cs="Times New Roman"/>
                <w:color w:val="auto"/>
                <w:sz w:val="22"/>
              </w:rPr>
            </w:pPr>
            <w:r>
              <w:rPr>
                <w:rFonts w:ascii="Times New Roman" w:hAnsi="Times New Roman" w:eastAsia="宋体" w:cs="Times New Roman"/>
                <w:color w:val="auto"/>
                <w:sz w:val="22"/>
              </w:rPr>
              <w:t>排放工况</w:t>
            </w:r>
          </w:p>
        </w:tc>
        <w:tc>
          <w:tcPr>
            <w:tcW w:w="4801" w:type="dxa"/>
            <w:gridSpan w:val="4"/>
            <w:vAlign w:val="center"/>
          </w:tcPr>
          <w:p w14:paraId="429A9416">
            <w:pPr>
              <w:jc w:val="center"/>
              <w:rPr>
                <w:rFonts w:ascii="Times New Roman" w:hAnsi="Times New Roman" w:eastAsia="宋体" w:cs="Times New Roman"/>
                <w:color w:val="auto"/>
                <w:sz w:val="22"/>
              </w:rPr>
            </w:pPr>
            <w:r>
              <w:rPr>
                <w:rFonts w:ascii="Times New Roman" w:hAnsi="Times New Roman" w:eastAsia="宋体" w:cs="Times New Roman"/>
                <w:color w:val="auto"/>
                <w:sz w:val="22"/>
              </w:rPr>
              <w:t>污染物排放速率（kg/h）</w:t>
            </w:r>
          </w:p>
        </w:tc>
      </w:tr>
      <w:tr w14:paraId="38F0A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6" w:type="dxa"/>
            <w:vMerge w:val="continue"/>
            <w:vAlign w:val="center"/>
          </w:tcPr>
          <w:p w14:paraId="2919A55C">
            <w:pPr>
              <w:jc w:val="center"/>
              <w:rPr>
                <w:rFonts w:ascii="Times New Roman" w:hAnsi="Times New Roman" w:eastAsia="宋体" w:cs="Times New Roman"/>
                <w:color w:val="auto"/>
                <w:sz w:val="22"/>
              </w:rPr>
            </w:pPr>
          </w:p>
        </w:tc>
        <w:tc>
          <w:tcPr>
            <w:tcW w:w="835" w:type="dxa"/>
            <w:vMerge w:val="continue"/>
            <w:vAlign w:val="center"/>
          </w:tcPr>
          <w:p w14:paraId="57E979F6">
            <w:pPr>
              <w:jc w:val="center"/>
              <w:rPr>
                <w:rFonts w:ascii="Times New Roman" w:hAnsi="Times New Roman" w:eastAsia="宋体" w:cs="Times New Roman"/>
                <w:color w:val="auto"/>
                <w:sz w:val="22"/>
              </w:rPr>
            </w:pPr>
          </w:p>
        </w:tc>
        <w:tc>
          <w:tcPr>
            <w:tcW w:w="620" w:type="dxa"/>
            <w:vAlign w:val="center"/>
          </w:tcPr>
          <w:p w14:paraId="32F8AD68">
            <w:pPr>
              <w:jc w:val="center"/>
              <w:rPr>
                <w:rFonts w:ascii="Times New Roman" w:hAnsi="Times New Roman" w:eastAsia="宋体" w:cs="Times New Roman"/>
                <w:color w:val="auto"/>
                <w:sz w:val="22"/>
              </w:rPr>
            </w:pPr>
            <w:r>
              <w:rPr>
                <w:rFonts w:ascii="Times New Roman" w:hAnsi="Times New Roman" w:eastAsia="宋体" w:cs="Times New Roman"/>
                <w:color w:val="auto"/>
                <w:sz w:val="22"/>
              </w:rPr>
              <w:t>X</w:t>
            </w:r>
          </w:p>
        </w:tc>
        <w:tc>
          <w:tcPr>
            <w:tcW w:w="546" w:type="dxa"/>
            <w:vAlign w:val="center"/>
          </w:tcPr>
          <w:p w14:paraId="09213CDC">
            <w:pPr>
              <w:jc w:val="center"/>
              <w:rPr>
                <w:rFonts w:ascii="Times New Roman" w:hAnsi="Times New Roman" w:eastAsia="宋体" w:cs="Times New Roman"/>
                <w:color w:val="auto"/>
                <w:sz w:val="22"/>
              </w:rPr>
            </w:pPr>
            <w:r>
              <w:rPr>
                <w:rFonts w:ascii="Times New Roman" w:hAnsi="Times New Roman" w:eastAsia="宋体" w:cs="Times New Roman"/>
                <w:color w:val="auto"/>
                <w:sz w:val="22"/>
              </w:rPr>
              <w:t>Y</w:t>
            </w:r>
          </w:p>
        </w:tc>
        <w:tc>
          <w:tcPr>
            <w:tcW w:w="930" w:type="dxa"/>
            <w:vMerge w:val="continue"/>
            <w:vAlign w:val="center"/>
          </w:tcPr>
          <w:p w14:paraId="5B2881BD">
            <w:pPr>
              <w:jc w:val="center"/>
              <w:rPr>
                <w:rFonts w:ascii="Times New Roman" w:hAnsi="Times New Roman" w:eastAsia="宋体" w:cs="Times New Roman"/>
                <w:color w:val="auto"/>
                <w:sz w:val="22"/>
              </w:rPr>
            </w:pPr>
          </w:p>
        </w:tc>
        <w:tc>
          <w:tcPr>
            <w:tcW w:w="804" w:type="dxa"/>
            <w:vMerge w:val="continue"/>
            <w:vAlign w:val="center"/>
          </w:tcPr>
          <w:p w14:paraId="3C0603E1">
            <w:pPr>
              <w:jc w:val="center"/>
              <w:rPr>
                <w:rFonts w:ascii="Times New Roman" w:hAnsi="Times New Roman" w:eastAsia="宋体" w:cs="Times New Roman"/>
                <w:color w:val="auto"/>
                <w:sz w:val="22"/>
              </w:rPr>
            </w:pPr>
          </w:p>
        </w:tc>
        <w:tc>
          <w:tcPr>
            <w:tcW w:w="887" w:type="dxa"/>
            <w:vMerge w:val="continue"/>
            <w:vAlign w:val="center"/>
          </w:tcPr>
          <w:p w14:paraId="4DCFAEDF">
            <w:pPr>
              <w:jc w:val="center"/>
              <w:rPr>
                <w:rFonts w:ascii="Times New Roman" w:hAnsi="Times New Roman" w:eastAsia="宋体" w:cs="Times New Roman"/>
                <w:color w:val="auto"/>
                <w:sz w:val="22"/>
              </w:rPr>
            </w:pPr>
          </w:p>
        </w:tc>
        <w:tc>
          <w:tcPr>
            <w:tcW w:w="1268" w:type="dxa"/>
            <w:vMerge w:val="continue"/>
            <w:vAlign w:val="center"/>
          </w:tcPr>
          <w:p w14:paraId="33747C93">
            <w:pPr>
              <w:jc w:val="center"/>
              <w:rPr>
                <w:rFonts w:ascii="Times New Roman" w:hAnsi="Times New Roman" w:eastAsia="宋体" w:cs="Times New Roman"/>
                <w:color w:val="auto"/>
                <w:sz w:val="22"/>
              </w:rPr>
            </w:pPr>
          </w:p>
        </w:tc>
        <w:tc>
          <w:tcPr>
            <w:tcW w:w="1132" w:type="dxa"/>
            <w:vMerge w:val="continue"/>
            <w:vAlign w:val="center"/>
          </w:tcPr>
          <w:p w14:paraId="16DBEBE5">
            <w:pPr>
              <w:jc w:val="center"/>
              <w:rPr>
                <w:rFonts w:ascii="Times New Roman" w:hAnsi="Times New Roman" w:eastAsia="宋体" w:cs="Times New Roman"/>
                <w:color w:val="auto"/>
                <w:sz w:val="22"/>
              </w:rPr>
            </w:pPr>
          </w:p>
        </w:tc>
        <w:tc>
          <w:tcPr>
            <w:tcW w:w="1050" w:type="dxa"/>
            <w:vMerge w:val="continue"/>
            <w:vAlign w:val="center"/>
          </w:tcPr>
          <w:p w14:paraId="0DF57787">
            <w:pPr>
              <w:jc w:val="center"/>
              <w:rPr>
                <w:rFonts w:ascii="Times New Roman" w:hAnsi="Times New Roman" w:eastAsia="宋体" w:cs="Times New Roman"/>
                <w:color w:val="auto"/>
                <w:sz w:val="22"/>
              </w:rPr>
            </w:pPr>
          </w:p>
        </w:tc>
        <w:tc>
          <w:tcPr>
            <w:tcW w:w="791" w:type="dxa"/>
            <w:vMerge w:val="continue"/>
            <w:vAlign w:val="center"/>
          </w:tcPr>
          <w:p w14:paraId="1CF72686">
            <w:pPr>
              <w:jc w:val="center"/>
              <w:rPr>
                <w:rFonts w:ascii="Times New Roman" w:hAnsi="Times New Roman" w:eastAsia="宋体" w:cs="Times New Roman"/>
                <w:color w:val="auto"/>
                <w:sz w:val="22"/>
              </w:rPr>
            </w:pPr>
          </w:p>
        </w:tc>
        <w:tc>
          <w:tcPr>
            <w:tcW w:w="1458" w:type="dxa"/>
            <w:vAlign w:val="center"/>
          </w:tcPr>
          <w:p w14:paraId="508DAA29">
            <w:pPr>
              <w:jc w:val="center"/>
              <w:rPr>
                <w:rFonts w:hint="default" w:ascii="Times New Roman" w:hAnsi="Times New Roman" w:eastAsia="宋体" w:cs="Times New Roman"/>
                <w:color w:val="auto"/>
                <w:sz w:val="22"/>
                <w:lang w:val="en-US" w:eastAsia="zh-CN"/>
              </w:rPr>
            </w:pPr>
            <w:r>
              <w:rPr>
                <w:rFonts w:hint="eastAsia" w:ascii="Times New Roman" w:hAnsi="Times New Roman" w:eastAsia="宋体" w:cs="Times New Roman"/>
                <w:color w:val="auto"/>
                <w:sz w:val="22"/>
                <w:lang w:val="en-US" w:eastAsia="zh-CN"/>
              </w:rPr>
              <w:t>非甲烷总烃</w:t>
            </w:r>
          </w:p>
        </w:tc>
        <w:tc>
          <w:tcPr>
            <w:tcW w:w="1145" w:type="dxa"/>
            <w:vAlign w:val="center"/>
          </w:tcPr>
          <w:p w14:paraId="65C5CBAC">
            <w:pPr>
              <w:jc w:val="center"/>
              <w:rPr>
                <w:rFonts w:hint="eastAsia" w:ascii="Times New Roman" w:hAnsi="Times New Roman" w:eastAsia="宋体" w:cs="Times New Roman"/>
                <w:color w:val="auto"/>
                <w:sz w:val="22"/>
                <w:lang w:val="en-US" w:eastAsia="zh-CN"/>
              </w:rPr>
            </w:pPr>
            <w:r>
              <w:rPr>
                <w:rFonts w:hint="eastAsia" w:ascii="Times New Roman" w:hAnsi="Times New Roman" w:eastAsia="宋体" w:cs="Times New Roman"/>
                <w:color w:val="auto"/>
                <w:sz w:val="22"/>
                <w:lang w:val="en-US" w:eastAsia="zh-CN"/>
              </w:rPr>
              <w:t>颗粒物</w:t>
            </w:r>
          </w:p>
        </w:tc>
        <w:tc>
          <w:tcPr>
            <w:tcW w:w="1132" w:type="dxa"/>
            <w:vAlign w:val="center"/>
          </w:tcPr>
          <w:p w14:paraId="70236B16">
            <w:pPr>
              <w:jc w:val="center"/>
              <w:rPr>
                <w:rFonts w:hint="eastAsia" w:ascii="Times New Roman" w:hAnsi="Times New Roman" w:eastAsia="宋体" w:cs="Times New Roman"/>
                <w:color w:val="auto"/>
                <w:sz w:val="22"/>
                <w:lang w:val="en-US" w:eastAsia="zh-CN"/>
              </w:rPr>
            </w:pPr>
            <w:r>
              <w:rPr>
                <w:rFonts w:hint="eastAsia" w:ascii="Times New Roman" w:hAnsi="Times New Roman" w:eastAsia="宋体" w:cs="Times New Roman"/>
                <w:color w:val="auto"/>
                <w:sz w:val="22"/>
                <w:lang w:val="en-US" w:eastAsia="zh-CN"/>
              </w:rPr>
              <w:t>氨气</w:t>
            </w:r>
          </w:p>
        </w:tc>
        <w:tc>
          <w:tcPr>
            <w:tcW w:w="1066" w:type="dxa"/>
            <w:vAlign w:val="center"/>
          </w:tcPr>
          <w:p w14:paraId="69A34DE8">
            <w:pPr>
              <w:jc w:val="center"/>
              <w:rPr>
                <w:rFonts w:ascii="Times New Roman" w:hAnsi="Times New Roman" w:eastAsia="宋体" w:cs="Times New Roman"/>
                <w:color w:val="auto"/>
                <w:sz w:val="22"/>
              </w:rPr>
            </w:pPr>
            <w:r>
              <w:rPr>
                <w:rFonts w:hint="eastAsia" w:ascii="Times New Roman" w:hAnsi="Times New Roman" w:eastAsia="宋体" w:cs="Times New Roman"/>
                <w:color w:val="auto"/>
                <w:sz w:val="22"/>
                <w:lang w:val="en-US" w:eastAsia="zh-CN"/>
              </w:rPr>
              <w:t>硫化氢</w:t>
            </w:r>
          </w:p>
        </w:tc>
      </w:tr>
      <w:tr w14:paraId="36A1D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6" w:type="dxa"/>
            <w:vAlign w:val="center"/>
          </w:tcPr>
          <w:p w14:paraId="030FF8D9">
            <w:pPr>
              <w:jc w:val="center"/>
              <w:rPr>
                <w:rFonts w:ascii="Times New Roman" w:hAnsi="Times New Roman" w:eastAsia="宋体" w:cs="Times New Roman"/>
                <w:color w:val="auto"/>
                <w:sz w:val="22"/>
              </w:rPr>
            </w:pPr>
            <w:r>
              <w:rPr>
                <w:rFonts w:hint="eastAsia" w:ascii="Times New Roman" w:hAnsi="Times New Roman" w:eastAsia="宋体" w:cs="Times New Roman"/>
                <w:color w:val="auto"/>
                <w:sz w:val="22"/>
              </w:rPr>
              <w:t>1</w:t>
            </w:r>
          </w:p>
        </w:tc>
        <w:tc>
          <w:tcPr>
            <w:tcW w:w="835" w:type="dxa"/>
            <w:vAlign w:val="center"/>
          </w:tcPr>
          <w:p w14:paraId="16CA5601">
            <w:pPr>
              <w:jc w:val="center"/>
              <w:rPr>
                <w:rFonts w:ascii="Times New Roman" w:hAnsi="Times New Roman" w:eastAsia="宋体" w:cs="Times New Roman"/>
                <w:color w:val="auto"/>
                <w:sz w:val="22"/>
              </w:rPr>
            </w:pPr>
            <w:r>
              <w:rPr>
                <w:rFonts w:hint="eastAsia" w:ascii="Times New Roman" w:hAnsi="Times New Roman" w:eastAsia="宋体" w:cs="Times New Roman"/>
                <w:color w:val="auto"/>
                <w:szCs w:val="21"/>
              </w:rPr>
              <w:t>DA001</w:t>
            </w:r>
          </w:p>
        </w:tc>
        <w:tc>
          <w:tcPr>
            <w:tcW w:w="620" w:type="dxa"/>
            <w:vAlign w:val="center"/>
          </w:tcPr>
          <w:p w14:paraId="6B522E8B">
            <w:pPr>
              <w:jc w:val="center"/>
              <w:rPr>
                <w:rFonts w:hint="default" w:ascii="Times New Roman" w:hAnsi="Times New Roman" w:eastAsia="宋体" w:cs="Times New Roman"/>
                <w:color w:val="auto"/>
                <w:sz w:val="22"/>
                <w:lang w:val="en-US" w:eastAsia="zh-CN"/>
              </w:rPr>
            </w:pPr>
            <w:r>
              <w:rPr>
                <w:rFonts w:hint="eastAsia" w:ascii="Times New Roman" w:hAnsi="Times New Roman" w:eastAsia="宋体" w:cs="Times New Roman"/>
                <w:color w:val="auto"/>
                <w:sz w:val="22"/>
                <w:lang w:val="en-US" w:eastAsia="zh-CN"/>
              </w:rPr>
              <w:t>159</w:t>
            </w:r>
          </w:p>
        </w:tc>
        <w:tc>
          <w:tcPr>
            <w:tcW w:w="546" w:type="dxa"/>
            <w:vAlign w:val="center"/>
          </w:tcPr>
          <w:p w14:paraId="4AD07498">
            <w:pPr>
              <w:jc w:val="center"/>
              <w:rPr>
                <w:rFonts w:hint="default" w:ascii="Times New Roman" w:hAnsi="Times New Roman" w:eastAsia="宋体" w:cs="Times New Roman"/>
                <w:color w:val="auto"/>
                <w:sz w:val="22"/>
                <w:lang w:val="en-US" w:eastAsia="zh-CN"/>
              </w:rPr>
            </w:pPr>
            <w:r>
              <w:rPr>
                <w:rFonts w:hint="eastAsia" w:ascii="Times New Roman" w:hAnsi="Times New Roman" w:eastAsia="宋体" w:cs="Times New Roman"/>
                <w:color w:val="auto"/>
                <w:sz w:val="22"/>
                <w:lang w:val="en-US" w:eastAsia="zh-CN"/>
              </w:rPr>
              <w:t>216</w:t>
            </w:r>
          </w:p>
        </w:tc>
        <w:tc>
          <w:tcPr>
            <w:tcW w:w="930" w:type="dxa"/>
            <w:vAlign w:val="center"/>
          </w:tcPr>
          <w:p w14:paraId="3A15CCDA">
            <w:pPr>
              <w:jc w:val="center"/>
              <w:rPr>
                <w:rFonts w:hint="default" w:ascii="Times New Roman" w:hAnsi="Times New Roman" w:eastAsia="宋体" w:cs="Times New Roman"/>
                <w:color w:val="auto"/>
                <w:sz w:val="22"/>
                <w:lang w:val="en-US" w:eastAsia="zh-CN"/>
              </w:rPr>
            </w:pPr>
            <w:r>
              <w:rPr>
                <w:rFonts w:hint="eastAsia" w:ascii="Times New Roman" w:hAnsi="Times New Roman" w:eastAsia="宋体" w:cs="Times New Roman"/>
                <w:color w:val="auto"/>
                <w:sz w:val="22"/>
                <w:lang w:val="en-US" w:eastAsia="zh-CN"/>
              </w:rPr>
              <w:t>36</w:t>
            </w:r>
          </w:p>
        </w:tc>
        <w:tc>
          <w:tcPr>
            <w:tcW w:w="804" w:type="dxa"/>
            <w:vAlign w:val="center"/>
          </w:tcPr>
          <w:p w14:paraId="716094AB">
            <w:pPr>
              <w:jc w:val="center"/>
              <w:rPr>
                <w:rFonts w:hint="default" w:ascii="Times New Roman" w:hAnsi="Times New Roman" w:eastAsia="宋体" w:cs="Times New Roman"/>
                <w:color w:val="auto"/>
                <w:sz w:val="22"/>
                <w:lang w:val="en-US" w:eastAsia="zh-CN"/>
              </w:rPr>
            </w:pPr>
            <w:r>
              <w:rPr>
                <w:rFonts w:hint="eastAsia" w:ascii="Times New Roman" w:hAnsi="Times New Roman" w:eastAsia="宋体" w:cs="Times New Roman"/>
                <w:color w:val="auto"/>
                <w:sz w:val="22"/>
                <w:lang w:val="en-US" w:eastAsia="zh-CN"/>
              </w:rPr>
              <w:t>21</w:t>
            </w:r>
          </w:p>
        </w:tc>
        <w:tc>
          <w:tcPr>
            <w:tcW w:w="887" w:type="dxa"/>
            <w:vAlign w:val="center"/>
          </w:tcPr>
          <w:p w14:paraId="21345D48">
            <w:pPr>
              <w:jc w:val="center"/>
              <w:rPr>
                <w:rFonts w:hint="default" w:ascii="Times New Roman" w:hAnsi="Times New Roman" w:eastAsia="宋体" w:cs="Times New Roman"/>
                <w:color w:val="auto"/>
                <w:sz w:val="22"/>
                <w:lang w:val="en-US" w:eastAsia="zh-CN"/>
              </w:rPr>
            </w:pPr>
            <w:r>
              <w:rPr>
                <w:rFonts w:hint="eastAsia" w:ascii="Times New Roman" w:hAnsi="Times New Roman" w:eastAsia="宋体" w:cs="Times New Roman"/>
                <w:color w:val="auto"/>
                <w:sz w:val="22"/>
                <w:lang w:val="en-US" w:eastAsia="zh-CN"/>
              </w:rPr>
              <w:t>1.2</w:t>
            </w:r>
          </w:p>
        </w:tc>
        <w:tc>
          <w:tcPr>
            <w:tcW w:w="1268" w:type="dxa"/>
            <w:vAlign w:val="center"/>
          </w:tcPr>
          <w:p w14:paraId="70EB620E">
            <w:pPr>
              <w:jc w:val="center"/>
              <w:rPr>
                <w:rFonts w:hint="default" w:ascii="Times New Roman" w:hAnsi="Times New Roman" w:eastAsia="宋体" w:cs="Times New Roman"/>
                <w:color w:val="auto"/>
                <w:sz w:val="22"/>
                <w:lang w:val="en-US" w:eastAsia="zh-CN"/>
              </w:rPr>
            </w:pPr>
            <w:r>
              <w:rPr>
                <w:rFonts w:hint="eastAsia" w:ascii="Times New Roman" w:hAnsi="Times New Roman" w:eastAsia="宋体" w:cs="Times New Roman"/>
                <w:color w:val="auto"/>
                <w:sz w:val="22"/>
                <w:lang w:val="en-US" w:eastAsia="zh-CN"/>
              </w:rPr>
              <w:t>15000</w:t>
            </w:r>
          </w:p>
        </w:tc>
        <w:tc>
          <w:tcPr>
            <w:tcW w:w="1132" w:type="dxa"/>
            <w:vAlign w:val="center"/>
          </w:tcPr>
          <w:p w14:paraId="111D9731">
            <w:pPr>
              <w:jc w:val="center"/>
              <w:rPr>
                <w:rFonts w:hint="eastAsia" w:ascii="Times New Roman" w:hAnsi="Times New Roman" w:eastAsia="宋体" w:cs="Times New Roman"/>
                <w:color w:val="auto"/>
                <w:sz w:val="22"/>
                <w:lang w:val="en-US" w:eastAsia="zh-CN"/>
              </w:rPr>
            </w:pPr>
            <w:r>
              <w:rPr>
                <w:rFonts w:hint="eastAsia" w:ascii="Times New Roman" w:hAnsi="Times New Roman" w:eastAsia="宋体" w:cs="Times New Roman"/>
                <w:color w:val="auto"/>
                <w:sz w:val="22"/>
                <w:lang w:val="en-US" w:eastAsia="zh-CN"/>
              </w:rPr>
              <w:t>常温</w:t>
            </w:r>
          </w:p>
        </w:tc>
        <w:tc>
          <w:tcPr>
            <w:tcW w:w="1050" w:type="dxa"/>
            <w:vAlign w:val="center"/>
          </w:tcPr>
          <w:p w14:paraId="373E000D">
            <w:pPr>
              <w:jc w:val="center"/>
              <w:rPr>
                <w:rFonts w:hint="default" w:ascii="Times New Roman" w:hAnsi="Times New Roman" w:eastAsia="宋体" w:cs="Times New Roman"/>
                <w:color w:val="auto"/>
                <w:sz w:val="22"/>
                <w:lang w:val="en-US" w:eastAsia="zh-CN"/>
              </w:rPr>
            </w:pPr>
            <w:r>
              <w:rPr>
                <w:rFonts w:hint="eastAsia" w:ascii="Times New Roman" w:hAnsi="Times New Roman" w:eastAsia="宋体" w:cs="Times New Roman"/>
                <w:color w:val="auto"/>
                <w:sz w:val="22"/>
                <w:lang w:val="en-US" w:eastAsia="zh-CN"/>
              </w:rPr>
              <w:t>7200</w:t>
            </w:r>
          </w:p>
        </w:tc>
        <w:tc>
          <w:tcPr>
            <w:tcW w:w="791" w:type="dxa"/>
            <w:vAlign w:val="center"/>
          </w:tcPr>
          <w:p w14:paraId="6094D6FA">
            <w:pPr>
              <w:jc w:val="center"/>
              <w:rPr>
                <w:rFonts w:hint="eastAsia" w:ascii="Times New Roman" w:hAnsi="Times New Roman" w:eastAsia="宋体" w:cs="Times New Roman"/>
                <w:color w:val="auto"/>
                <w:sz w:val="22"/>
                <w:lang w:val="en-US" w:eastAsia="zh-CN"/>
              </w:rPr>
            </w:pPr>
            <w:r>
              <w:rPr>
                <w:rFonts w:hint="eastAsia" w:ascii="Times New Roman" w:hAnsi="Times New Roman" w:eastAsia="宋体" w:cs="Times New Roman"/>
                <w:color w:val="auto"/>
                <w:sz w:val="22"/>
                <w:lang w:val="en-US" w:eastAsia="zh-CN"/>
              </w:rPr>
              <w:t>正常</w:t>
            </w:r>
          </w:p>
        </w:tc>
        <w:tc>
          <w:tcPr>
            <w:tcW w:w="1458" w:type="dxa"/>
            <w:vAlign w:val="center"/>
          </w:tcPr>
          <w:p w14:paraId="49081002">
            <w:pPr>
              <w:jc w:val="center"/>
              <w:rPr>
                <w:rFonts w:hint="default" w:ascii="Times New Roman" w:hAnsi="Times New Roman" w:eastAsia="宋体" w:cs="Times New Roman"/>
                <w:color w:val="auto"/>
                <w:sz w:val="22"/>
                <w:lang w:val="en-US" w:eastAsia="zh-CN"/>
              </w:rPr>
            </w:pPr>
            <w:r>
              <w:rPr>
                <w:rFonts w:hint="eastAsia" w:ascii="Times New Roman" w:hAnsi="Times New Roman" w:eastAsia="宋体" w:cs="Times New Roman"/>
                <w:color w:val="auto"/>
                <w:sz w:val="22"/>
                <w:lang w:val="en-US" w:eastAsia="zh-CN"/>
              </w:rPr>
              <w:t>0.14</w:t>
            </w:r>
          </w:p>
        </w:tc>
        <w:tc>
          <w:tcPr>
            <w:tcW w:w="1145" w:type="dxa"/>
            <w:vAlign w:val="center"/>
          </w:tcPr>
          <w:p w14:paraId="555AF8BD">
            <w:pPr>
              <w:jc w:val="center"/>
              <w:rPr>
                <w:rFonts w:hint="default" w:ascii="Times New Roman" w:hAnsi="Times New Roman" w:eastAsia="宋体" w:cs="Times New Roman"/>
                <w:color w:val="auto"/>
                <w:sz w:val="22"/>
                <w:lang w:val="en-US" w:eastAsia="zh-CN"/>
              </w:rPr>
            </w:pPr>
            <w:r>
              <w:rPr>
                <w:rFonts w:hint="eastAsia" w:ascii="Times New Roman" w:hAnsi="Times New Roman" w:eastAsia="宋体" w:cs="Times New Roman"/>
                <w:color w:val="auto"/>
                <w:sz w:val="22"/>
                <w:lang w:val="en-US" w:eastAsia="zh-CN"/>
              </w:rPr>
              <w:t>0.55</w:t>
            </w:r>
          </w:p>
        </w:tc>
        <w:tc>
          <w:tcPr>
            <w:tcW w:w="1132" w:type="dxa"/>
            <w:vAlign w:val="center"/>
          </w:tcPr>
          <w:p w14:paraId="1E054699">
            <w:pPr>
              <w:jc w:val="center"/>
              <w:rPr>
                <w:rFonts w:hint="default" w:ascii="Times New Roman" w:hAnsi="Times New Roman" w:eastAsia="宋体" w:cs="Times New Roman"/>
                <w:color w:val="auto"/>
                <w:sz w:val="22"/>
                <w:lang w:val="en-US" w:eastAsia="zh-CN"/>
              </w:rPr>
            </w:pPr>
            <w:r>
              <w:rPr>
                <w:rFonts w:hint="eastAsia" w:ascii="Times New Roman" w:hAnsi="Times New Roman" w:eastAsia="宋体" w:cs="Times New Roman"/>
                <w:color w:val="auto"/>
                <w:sz w:val="22"/>
                <w:lang w:val="en-US" w:eastAsia="zh-CN"/>
              </w:rPr>
              <w:t>0.043</w:t>
            </w:r>
          </w:p>
        </w:tc>
        <w:tc>
          <w:tcPr>
            <w:tcW w:w="1066" w:type="dxa"/>
            <w:vAlign w:val="center"/>
          </w:tcPr>
          <w:p w14:paraId="3BD006CE">
            <w:pPr>
              <w:jc w:val="center"/>
              <w:rPr>
                <w:rFonts w:hint="eastAsia" w:ascii="Times New Roman" w:hAnsi="Times New Roman" w:eastAsia="宋体" w:cs="Times New Roman"/>
                <w:color w:val="auto"/>
                <w:sz w:val="22"/>
                <w:lang w:val="en-US" w:eastAsia="zh-CN"/>
              </w:rPr>
            </w:pPr>
            <w:r>
              <w:rPr>
                <w:rFonts w:hint="eastAsia" w:ascii="Times New Roman" w:hAnsi="Times New Roman" w:eastAsia="宋体" w:cs="Times New Roman"/>
                <w:color w:val="auto"/>
                <w:sz w:val="22"/>
                <w:lang w:val="en-US" w:eastAsia="zh-CN"/>
              </w:rPr>
              <w:t>/</w:t>
            </w:r>
          </w:p>
        </w:tc>
      </w:tr>
      <w:tr w14:paraId="44501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6" w:type="dxa"/>
            <w:vAlign w:val="center"/>
          </w:tcPr>
          <w:p w14:paraId="4FBE09DD">
            <w:pPr>
              <w:jc w:val="center"/>
              <w:rPr>
                <w:rFonts w:hint="eastAsia" w:ascii="Times New Roman" w:hAnsi="Times New Roman" w:eastAsia="宋体" w:cs="Times New Roman"/>
                <w:color w:val="auto"/>
                <w:sz w:val="22"/>
                <w:lang w:val="en-US" w:eastAsia="zh-CN"/>
              </w:rPr>
            </w:pPr>
            <w:r>
              <w:rPr>
                <w:rFonts w:hint="eastAsia" w:ascii="Times New Roman" w:hAnsi="Times New Roman" w:eastAsia="宋体" w:cs="Times New Roman"/>
                <w:color w:val="auto"/>
                <w:sz w:val="22"/>
                <w:lang w:val="en-US" w:eastAsia="zh-CN"/>
              </w:rPr>
              <w:t>2</w:t>
            </w:r>
          </w:p>
        </w:tc>
        <w:tc>
          <w:tcPr>
            <w:tcW w:w="835" w:type="dxa"/>
            <w:vAlign w:val="center"/>
          </w:tcPr>
          <w:p w14:paraId="1BA19B0E">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DA002</w:t>
            </w:r>
          </w:p>
        </w:tc>
        <w:tc>
          <w:tcPr>
            <w:tcW w:w="620" w:type="dxa"/>
            <w:vAlign w:val="center"/>
          </w:tcPr>
          <w:p w14:paraId="7DE63D82">
            <w:pPr>
              <w:jc w:val="center"/>
              <w:rPr>
                <w:rFonts w:hint="default" w:ascii="Times New Roman" w:hAnsi="Times New Roman" w:eastAsia="宋体" w:cs="Times New Roman"/>
                <w:color w:val="auto"/>
                <w:sz w:val="22"/>
                <w:lang w:val="en-US" w:eastAsia="zh-CN"/>
              </w:rPr>
            </w:pPr>
            <w:r>
              <w:rPr>
                <w:rFonts w:hint="eastAsia" w:ascii="Times New Roman" w:hAnsi="Times New Roman" w:eastAsia="宋体" w:cs="Times New Roman"/>
                <w:color w:val="auto"/>
                <w:sz w:val="22"/>
                <w:lang w:val="en-US" w:eastAsia="zh-CN"/>
              </w:rPr>
              <w:t>180</w:t>
            </w:r>
          </w:p>
        </w:tc>
        <w:tc>
          <w:tcPr>
            <w:tcW w:w="546" w:type="dxa"/>
            <w:vAlign w:val="center"/>
          </w:tcPr>
          <w:p w14:paraId="4CA453D8">
            <w:pPr>
              <w:jc w:val="center"/>
              <w:rPr>
                <w:rFonts w:hint="default" w:ascii="Times New Roman" w:hAnsi="Times New Roman" w:eastAsia="宋体" w:cs="Times New Roman"/>
                <w:color w:val="auto"/>
                <w:sz w:val="22"/>
                <w:lang w:val="en-US" w:eastAsia="zh-CN"/>
              </w:rPr>
            </w:pPr>
            <w:r>
              <w:rPr>
                <w:rFonts w:hint="eastAsia" w:ascii="Times New Roman" w:hAnsi="Times New Roman" w:eastAsia="宋体" w:cs="Times New Roman"/>
                <w:color w:val="auto"/>
                <w:sz w:val="22"/>
                <w:lang w:val="en-US" w:eastAsia="zh-CN"/>
              </w:rPr>
              <w:t>223</w:t>
            </w:r>
          </w:p>
        </w:tc>
        <w:tc>
          <w:tcPr>
            <w:tcW w:w="930" w:type="dxa"/>
            <w:vAlign w:val="center"/>
          </w:tcPr>
          <w:p w14:paraId="571BBBFB">
            <w:pPr>
              <w:jc w:val="center"/>
              <w:rPr>
                <w:rFonts w:hint="default" w:ascii="Times New Roman" w:hAnsi="Times New Roman" w:eastAsia="宋体" w:cs="Times New Roman"/>
                <w:color w:val="auto"/>
                <w:sz w:val="22"/>
                <w:lang w:val="en-US" w:eastAsia="zh-CN"/>
              </w:rPr>
            </w:pPr>
            <w:r>
              <w:rPr>
                <w:rFonts w:hint="eastAsia" w:ascii="Times New Roman" w:hAnsi="Times New Roman" w:eastAsia="宋体" w:cs="Times New Roman"/>
                <w:color w:val="auto"/>
                <w:sz w:val="22"/>
                <w:lang w:val="en-US" w:eastAsia="zh-CN"/>
              </w:rPr>
              <w:t>36</w:t>
            </w:r>
          </w:p>
        </w:tc>
        <w:tc>
          <w:tcPr>
            <w:tcW w:w="804" w:type="dxa"/>
            <w:vAlign w:val="center"/>
          </w:tcPr>
          <w:p w14:paraId="0F5D2D4E">
            <w:pPr>
              <w:jc w:val="center"/>
              <w:rPr>
                <w:rFonts w:hint="default" w:ascii="Times New Roman" w:hAnsi="Times New Roman" w:eastAsia="宋体" w:cs="Times New Roman"/>
                <w:color w:val="auto"/>
                <w:sz w:val="22"/>
                <w:lang w:val="en-US" w:eastAsia="zh-CN"/>
              </w:rPr>
            </w:pPr>
            <w:r>
              <w:rPr>
                <w:rFonts w:hint="eastAsia" w:ascii="Times New Roman" w:hAnsi="Times New Roman" w:eastAsia="宋体" w:cs="Times New Roman"/>
                <w:color w:val="auto"/>
                <w:sz w:val="22"/>
                <w:lang w:val="en-US" w:eastAsia="zh-CN"/>
              </w:rPr>
              <w:t>20</w:t>
            </w:r>
          </w:p>
        </w:tc>
        <w:tc>
          <w:tcPr>
            <w:tcW w:w="887" w:type="dxa"/>
            <w:vAlign w:val="center"/>
          </w:tcPr>
          <w:p w14:paraId="0CB0C513">
            <w:pPr>
              <w:jc w:val="center"/>
              <w:rPr>
                <w:rFonts w:hint="default" w:ascii="Times New Roman" w:hAnsi="Times New Roman" w:eastAsia="宋体" w:cs="Times New Roman"/>
                <w:color w:val="auto"/>
                <w:sz w:val="22"/>
                <w:lang w:val="en-US" w:eastAsia="zh-CN"/>
              </w:rPr>
            </w:pPr>
            <w:r>
              <w:rPr>
                <w:rFonts w:hint="eastAsia" w:ascii="Times New Roman" w:hAnsi="Times New Roman" w:eastAsia="宋体" w:cs="Times New Roman"/>
                <w:color w:val="auto"/>
                <w:sz w:val="22"/>
                <w:lang w:val="en-US" w:eastAsia="zh-CN"/>
              </w:rPr>
              <w:t>0.6</w:t>
            </w:r>
          </w:p>
        </w:tc>
        <w:tc>
          <w:tcPr>
            <w:tcW w:w="1268" w:type="dxa"/>
            <w:vAlign w:val="center"/>
          </w:tcPr>
          <w:p w14:paraId="44E04702">
            <w:pPr>
              <w:jc w:val="center"/>
              <w:rPr>
                <w:rFonts w:hint="default" w:ascii="Times New Roman" w:hAnsi="Times New Roman" w:eastAsia="宋体" w:cs="Times New Roman"/>
                <w:color w:val="auto"/>
                <w:sz w:val="22"/>
                <w:lang w:val="en-US" w:eastAsia="zh-CN"/>
              </w:rPr>
            </w:pPr>
            <w:r>
              <w:rPr>
                <w:rFonts w:hint="eastAsia" w:ascii="Times New Roman" w:hAnsi="Times New Roman" w:eastAsia="宋体" w:cs="Times New Roman"/>
                <w:color w:val="auto"/>
                <w:sz w:val="22"/>
                <w:lang w:val="en-US" w:eastAsia="zh-CN"/>
              </w:rPr>
              <w:t>10000</w:t>
            </w:r>
          </w:p>
        </w:tc>
        <w:tc>
          <w:tcPr>
            <w:tcW w:w="1132" w:type="dxa"/>
            <w:vAlign w:val="center"/>
          </w:tcPr>
          <w:p w14:paraId="68FA067A">
            <w:pPr>
              <w:jc w:val="center"/>
              <w:rPr>
                <w:rFonts w:hint="eastAsia" w:ascii="Times New Roman" w:hAnsi="Times New Roman" w:eastAsia="宋体" w:cs="Times New Roman"/>
                <w:color w:val="auto"/>
                <w:sz w:val="22"/>
                <w:lang w:val="en-US" w:eastAsia="zh-CN"/>
              </w:rPr>
            </w:pPr>
            <w:r>
              <w:rPr>
                <w:rFonts w:hint="eastAsia" w:ascii="Times New Roman" w:hAnsi="Times New Roman" w:eastAsia="宋体" w:cs="Times New Roman"/>
                <w:color w:val="auto"/>
                <w:sz w:val="22"/>
                <w:lang w:val="en-US" w:eastAsia="zh-CN"/>
              </w:rPr>
              <w:t>常温</w:t>
            </w:r>
          </w:p>
        </w:tc>
        <w:tc>
          <w:tcPr>
            <w:tcW w:w="1050" w:type="dxa"/>
            <w:vAlign w:val="center"/>
          </w:tcPr>
          <w:p w14:paraId="5A6ECC9E">
            <w:pPr>
              <w:jc w:val="center"/>
              <w:rPr>
                <w:rFonts w:hint="default" w:ascii="Times New Roman" w:hAnsi="Times New Roman" w:eastAsia="宋体" w:cs="Times New Roman"/>
                <w:color w:val="auto"/>
                <w:sz w:val="22"/>
                <w:lang w:val="en-US" w:eastAsia="zh-CN"/>
              </w:rPr>
            </w:pPr>
            <w:r>
              <w:rPr>
                <w:rFonts w:hint="eastAsia" w:ascii="Times New Roman" w:hAnsi="Times New Roman" w:eastAsia="宋体" w:cs="Times New Roman"/>
                <w:color w:val="auto"/>
                <w:sz w:val="22"/>
                <w:lang w:val="en-US" w:eastAsia="zh-CN"/>
              </w:rPr>
              <w:t>7200</w:t>
            </w:r>
          </w:p>
        </w:tc>
        <w:tc>
          <w:tcPr>
            <w:tcW w:w="791" w:type="dxa"/>
            <w:vAlign w:val="center"/>
          </w:tcPr>
          <w:p w14:paraId="72B6B6F7">
            <w:pPr>
              <w:jc w:val="center"/>
              <w:rPr>
                <w:rFonts w:hint="eastAsia" w:ascii="Times New Roman" w:hAnsi="Times New Roman" w:eastAsia="宋体" w:cs="Times New Roman"/>
                <w:color w:val="auto"/>
                <w:sz w:val="22"/>
                <w:lang w:val="en-US" w:eastAsia="zh-CN"/>
              </w:rPr>
            </w:pPr>
            <w:r>
              <w:rPr>
                <w:rFonts w:hint="eastAsia" w:ascii="Times New Roman" w:hAnsi="Times New Roman" w:eastAsia="宋体" w:cs="Times New Roman"/>
                <w:color w:val="auto"/>
                <w:sz w:val="22"/>
                <w:lang w:val="en-US" w:eastAsia="zh-CN"/>
              </w:rPr>
              <w:t>正常</w:t>
            </w:r>
          </w:p>
        </w:tc>
        <w:tc>
          <w:tcPr>
            <w:tcW w:w="1458" w:type="dxa"/>
            <w:vAlign w:val="center"/>
          </w:tcPr>
          <w:p w14:paraId="6B12B508">
            <w:pPr>
              <w:jc w:val="center"/>
              <w:rPr>
                <w:rFonts w:hint="default" w:ascii="Times New Roman" w:hAnsi="Times New Roman" w:eastAsia="宋体" w:cs="Times New Roman"/>
                <w:color w:val="auto"/>
                <w:sz w:val="22"/>
                <w:lang w:val="en-US" w:eastAsia="zh-CN"/>
              </w:rPr>
            </w:pPr>
            <w:r>
              <w:rPr>
                <w:rFonts w:hint="eastAsia" w:ascii="Times New Roman" w:hAnsi="Times New Roman" w:eastAsia="宋体" w:cs="Times New Roman"/>
                <w:color w:val="auto"/>
                <w:sz w:val="22"/>
                <w:lang w:val="en-US" w:eastAsia="zh-CN"/>
              </w:rPr>
              <w:t>/</w:t>
            </w:r>
          </w:p>
        </w:tc>
        <w:tc>
          <w:tcPr>
            <w:tcW w:w="1145" w:type="dxa"/>
            <w:vAlign w:val="center"/>
          </w:tcPr>
          <w:p w14:paraId="10E5289A">
            <w:pPr>
              <w:jc w:val="center"/>
              <w:rPr>
                <w:rFonts w:hint="default" w:ascii="Times New Roman" w:hAnsi="Times New Roman" w:eastAsia="宋体" w:cs="Times New Roman"/>
                <w:color w:val="auto"/>
                <w:sz w:val="22"/>
                <w:lang w:val="en-US" w:eastAsia="zh-CN"/>
              </w:rPr>
            </w:pPr>
            <w:r>
              <w:rPr>
                <w:rFonts w:hint="eastAsia" w:ascii="Times New Roman" w:hAnsi="Times New Roman" w:eastAsia="宋体" w:cs="Times New Roman"/>
                <w:color w:val="auto"/>
                <w:sz w:val="22"/>
                <w:lang w:val="en-US" w:eastAsia="zh-CN"/>
              </w:rPr>
              <w:t>/</w:t>
            </w:r>
          </w:p>
        </w:tc>
        <w:tc>
          <w:tcPr>
            <w:tcW w:w="1132" w:type="dxa"/>
            <w:vAlign w:val="center"/>
          </w:tcPr>
          <w:p w14:paraId="30935622">
            <w:pPr>
              <w:jc w:val="center"/>
              <w:rPr>
                <w:rFonts w:hint="default" w:ascii="Times New Roman" w:hAnsi="Times New Roman" w:eastAsia="宋体" w:cs="Times New Roman"/>
                <w:color w:val="auto"/>
                <w:sz w:val="22"/>
                <w:lang w:val="en-US" w:eastAsia="zh-CN"/>
              </w:rPr>
            </w:pPr>
            <w:r>
              <w:rPr>
                <w:rFonts w:hint="eastAsia" w:ascii="Times New Roman" w:hAnsi="Times New Roman" w:eastAsia="宋体" w:cs="Times New Roman"/>
                <w:color w:val="auto"/>
                <w:sz w:val="22"/>
                <w:lang w:val="en-US" w:eastAsia="zh-CN"/>
              </w:rPr>
              <w:t>0.0042</w:t>
            </w:r>
          </w:p>
        </w:tc>
        <w:tc>
          <w:tcPr>
            <w:tcW w:w="1066" w:type="dxa"/>
            <w:vAlign w:val="center"/>
          </w:tcPr>
          <w:p w14:paraId="279A42A3">
            <w:pPr>
              <w:jc w:val="center"/>
              <w:rPr>
                <w:rFonts w:hint="default" w:ascii="Times New Roman" w:hAnsi="Times New Roman" w:eastAsia="宋体" w:cs="Times New Roman"/>
                <w:color w:val="auto"/>
                <w:sz w:val="22"/>
                <w:lang w:val="en-US" w:eastAsia="zh-CN"/>
              </w:rPr>
            </w:pPr>
            <w:r>
              <w:rPr>
                <w:rFonts w:hint="eastAsia" w:ascii="Times New Roman" w:hAnsi="Times New Roman" w:eastAsia="宋体" w:cs="Times New Roman"/>
                <w:color w:val="auto"/>
                <w:sz w:val="22"/>
                <w:lang w:val="en-US" w:eastAsia="zh-CN"/>
              </w:rPr>
              <w:t>0.0014</w:t>
            </w:r>
          </w:p>
        </w:tc>
      </w:tr>
    </w:tbl>
    <w:p w14:paraId="33177FB7">
      <w:pPr>
        <w:jc w:val="center"/>
        <w:rPr>
          <w:rFonts w:ascii="Times New Roman" w:hAnsi="Times New Roman" w:eastAsia="宋体" w:cs="Times New Roman"/>
          <w:b/>
          <w:bCs/>
          <w:color w:val="auto"/>
          <w:sz w:val="22"/>
          <w:szCs w:val="24"/>
        </w:rPr>
      </w:pPr>
    </w:p>
    <w:p w14:paraId="2B2F5DF6">
      <w:pPr>
        <w:pStyle w:val="6"/>
        <w:bidi w:val="0"/>
      </w:pPr>
      <w:r>
        <w:t>表2.5</w:t>
      </w:r>
      <w:r>
        <w:rPr>
          <w:rFonts w:hint="eastAsia"/>
        </w:rPr>
        <w:t>.1</w:t>
      </w:r>
      <w:r>
        <w:t>-5    面源参数表</w:t>
      </w:r>
    </w:p>
    <w:tbl>
      <w:tblPr>
        <w:tblStyle w:val="4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2"/>
        <w:gridCol w:w="1152"/>
        <w:gridCol w:w="723"/>
        <w:gridCol w:w="862"/>
        <w:gridCol w:w="1154"/>
        <w:gridCol w:w="1296"/>
        <w:gridCol w:w="1211"/>
        <w:gridCol w:w="984"/>
        <w:gridCol w:w="1146"/>
        <w:gridCol w:w="792"/>
        <w:gridCol w:w="2025"/>
        <w:gridCol w:w="2117"/>
      </w:tblGrid>
      <w:tr w14:paraId="07487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1" w:type="pct"/>
            <w:vMerge w:val="restart"/>
            <w:vAlign w:val="center"/>
          </w:tcPr>
          <w:p w14:paraId="53347950">
            <w:pPr>
              <w:jc w:val="center"/>
              <w:rPr>
                <w:rFonts w:ascii="Times New Roman" w:hAnsi="Times New Roman" w:eastAsia="宋体" w:cs="Times New Roman"/>
                <w:color w:val="auto"/>
                <w:sz w:val="22"/>
              </w:rPr>
            </w:pPr>
            <w:r>
              <w:rPr>
                <w:rFonts w:ascii="Times New Roman" w:hAnsi="Times New Roman" w:eastAsia="宋体" w:cs="Times New Roman"/>
                <w:color w:val="auto"/>
                <w:sz w:val="22"/>
              </w:rPr>
              <w:t>编号</w:t>
            </w:r>
          </w:p>
        </w:tc>
        <w:tc>
          <w:tcPr>
            <w:tcW w:w="406" w:type="pct"/>
            <w:vMerge w:val="restart"/>
            <w:vAlign w:val="center"/>
          </w:tcPr>
          <w:p w14:paraId="1F1ECED3">
            <w:pPr>
              <w:jc w:val="center"/>
              <w:rPr>
                <w:rFonts w:ascii="Times New Roman" w:hAnsi="Times New Roman" w:eastAsia="宋体" w:cs="Times New Roman"/>
                <w:color w:val="auto"/>
                <w:sz w:val="22"/>
              </w:rPr>
            </w:pPr>
            <w:r>
              <w:rPr>
                <w:rFonts w:ascii="Times New Roman" w:hAnsi="Times New Roman" w:eastAsia="宋体" w:cs="Times New Roman"/>
                <w:color w:val="auto"/>
                <w:sz w:val="22"/>
              </w:rPr>
              <w:t>名称</w:t>
            </w:r>
          </w:p>
        </w:tc>
        <w:tc>
          <w:tcPr>
            <w:tcW w:w="559" w:type="pct"/>
            <w:gridSpan w:val="2"/>
            <w:vAlign w:val="center"/>
          </w:tcPr>
          <w:p w14:paraId="7BF1498B">
            <w:pPr>
              <w:jc w:val="center"/>
              <w:rPr>
                <w:rFonts w:ascii="Times New Roman" w:hAnsi="Times New Roman" w:eastAsia="宋体" w:cs="Times New Roman"/>
                <w:color w:val="auto"/>
                <w:sz w:val="22"/>
              </w:rPr>
            </w:pPr>
            <w:r>
              <w:rPr>
                <w:rFonts w:ascii="Times New Roman" w:hAnsi="Times New Roman" w:eastAsia="宋体" w:cs="Times New Roman"/>
                <w:color w:val="auto"/>
                <w:sz w:val="22"/>
              </w:rPr>
              <w:t>面源中心坐标/m</w:t>
            </w:r>
          </w:p>
        </w:tc>
        <w:tc>
          <w:tcPr>
            <w:tcW w:w="407" w:type="pct"/>
            <w:vMerge w:val="restart"/>
            <w:vAlign w:val="center"/>
          </w:tcPr>
          <w:p w14:paraId="729F51FA">
            <w:pPr>
              <w:jc w:val="center"/>
              <w:rPr>
                <w:rFonts w:ascii="Times New Roman" w:hAnsi="Times New Roman" w:eastAsia="宋体" w:cs="Times New Roman"/>
                <w:color w:val="auto"/>
                <w:sz w:val="22"/>
              </w:rPr>
            </w:pPr>
            <w:r>
              <w:rPr>
                <w:rFonts w:ascii="Times New Roman" w:hAnsi="Times New Roman" w:eastAsia="宋体" w:cs="Times New Roman"/>
                <w:color w:val="auto"/>
                <w:sz w:val="22"/>
              </w:rPr>
              <w:t>面源海拔高度/m</w:t>
            </w:r>
          </w:p>
        </w:tc>
        <w:tc>
          <w:tcPr>
            <w:tcW w:w="457" w:type="pct"/>
            <w:vMerge w:val="restart"/>
            <w:vAlign w:val="center"/>
          </w:tcPr>
          <w:p w14:paraId="6518E705">
            <w:pPr>
              <w:jc w:val="center"/>
              <w:rPr>
                <w:rFonts w:ascii="Times New Roman" w:hAnsi="Times New Roman" w:eastAsia="宋体" w:cs="Times New Roman"/>
                <w:color w:val="auto"/>
                <w:sz w:val="22"/>
              </w:rPr>
            </w:pPr>
            <w:r>
              <w:rPr>
                <w:rFonts w:ascii="Times New Roman" w:hAnsi="Times New Roman" w:eastAsia="宋体" w:cs="Times New Roman"/>
                <w:color w:val="auto"/>
                <w:sz w:val="22"/>
              </w:rPr>
              <w:t>面源长度/m</w:t>
            </w:r>
          </w:p>
        </w:tc>
        <w:tc>
          <w:tcPr>
            <w:tcW w:w="427" w:type="pct"/>
            <w:vMerge w:val="restart"/>
            <w:vAlign w:val="center"/>
          </w:tcPr>
          <w:p w14:paraId="076386C2">
            <w:pPr>
              <w:jc w:val="center"/>
              <w:rPr>
                <w:rFonts w:ascii="Times New Roman" w:hAnsi="Times New Roman" w:eastAsia="宋体" w:cs="Times New Roman"/>
                <w:color w:val="auto"/>
                <w:sz w:val="22"/>
              </w:rPr>
            </w:pPr>
            <w:r>
              <w:rPr>
                <w:rFonts w:ascii="Times New Roman" w:hAnsi="Times New Roman" w:eastAsia="宋体" w:cs="Times New Roman"/>
                <w:color w:val="auto"/>
                <w:sz w:val="22"/>
              </w:rPr>
              <w:t>面源宽度/m</w:t>
            </w:r>
          </w:p>
        </w:tc>
        <w:tc>
          <w:tcPr>
            <w:tcW w:w="347" w:type="pct"/>
            <w:vMerge w:val="restart"/>
            <w:vAlign w:val="center"/>
          </w:tcPr>
          <w:p w14:paraId="10356F16">
            <w:pPr>
              <w:jc w:val="center"/>
              <w:rPr>
                <w:rFonts w:ascii="Times New Roman" w:hAnsi="Times New Roman" w:eastAsia="宋体" w:cs="Times New Roman"/>
                <w:color w:val="auto"/>
                <w:sz w:val="22"/>
              </w:rPr>
            </w:pPr>
            <w:r>
              <w:rPr>
                <w:rFonts w:ascii="Times New Roman" w:hAnsi="Times New Roman" w:eastAsia="宋体" w:cs="Times New Roman"/>
                <w:color w:val="auto"/>
                <w:sz w:val="22"/>
              </w:rPr>
              <w:t>与正北方向夹角/°</w:t>
            </w:r>
          </w:p>
        </w:tc>
        <w:tc>
          <w:tcPr>
            <w:tcW w:w="404" w:type="pct"/>
            <w:vMerge w:val="restart"/>
            <w:vAlign w:val="center"/>
          </w:tcPr>
          <w:p w14:paraId="6CF351B7">
            <w:pPr>
              <w:jc w:val="center"/>
              <w:rPr>
                <w:rFonts w:ascii="Times New Roman" w:hAnsi="Times New Roman" w:eastAsia="宋体" w:cs="Times New Roman"/>
                <w:color w:val="auto"/>
                <w:sz w:val="22"/>
              </w:rPr>
            </w:pPr>
            <w:r>
              <w:rPr>
                <w:rFonts w:ascii="Times New Roman" w:hAnsi="Times New Roman" w:eastAsia="宋体" w:cs="Times New Roman"/>
                <w:color w:val="auto"/>
                <w:sz w:val="22"/>
              </w:rPr>
              <w:t>面源有效排放高度/m</w:t>
            </w:r>
          </w:p>
        </w:tc>
        <w:tc>
          <w:tcPr>
            <w:tcW w:w="279" w:type="pct"/>
            <w:vMerge w:val="restart"/>
            <w:vAlign w:val="center"/>
          </w:tcPr>
          <w:p w14:paraId="4D92D88F">
            <w:pPr>
              <w:jc w:val="center"/>
              <w:rPr>
                <w:rFonts w:ascii="Times New Roman" w:hAnsi="Times New Roman" w:eastAsia="宋体" w:cs="Times New Roman"/>
                <w:color w:val="auto"/>
                <w:sz w:val="22"/>
              </w:rPr>
            </w:pPr>
            <w:r>
              <w:rPr>
                <w:rFonts w:ascii="Times New Roman" w:hAnsi="Times New Roman" w:eastAsia="宋体" w:cs="Times New Roman"/>
                <w:color w:val="auto"/>
                <w:sz w:val="22"/>
              </w:rPr>
              <w:t>排放工况</w:t>
            </w:r>
          </w:p>
        </w:tc>
        <w:tc>
          <w:tcPr>
            <w:tcW w:w="1461" w:type="pct"/>
            <w:gridSpan w:val="2"/>
            <w:vAlign w:val="center"/>
          </w:tcPr>
          <w:p w14:paraId="158AC230">
            <w:pPr>
              <w:jc w:val="center"/>
              <w:rPr>
                <w:rFonts w:ascii="Times New Roman" w:hAnsi="Times New Roman" w:eastAsia="宋体" w:cs="Times New Roman"/>
                <w:color w:val="auto"/>
                <w:sz w:val="22"/>
              </w:rPr>
            </w:pPr>
            <w:r>
              <w:rPr>
                <w:rFonts w:ascii="Times New Roman" w:hAnsi="Times New Roman" w:eastAsia="宋体" w:cs="Times New Roman"/>
                <w:color w:val="auto"/>
                <w:sz w:val="22"/>
              </w:rPr>
              <w:t>污染物排放速率（kg/h）</w:t>
            </w:r>
          </w:p>
        </w:tc>
      </w:tr>
      <w:tr w14:paraId="66424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1" w:type="pct"/>
            <w:vMerge w:val="continue"/>
            <w:vAlign w:val="center"/>
          </w:tcPr>
          <w:p w14:paraId="01E080FB">
            <w:pPr>
              <w:jc w:val="center"/>
              <w:rPr>
                <w:rFonts w:ascii="Times New Roman" w:hAnsi="Times New Roman" w:eastAsia="宋体" w:cs="Times New Roman"/>
                <w:color w:val="auto"/>
                <w:sz w:val="22"/>
              </w:rPr>
            </w:pPr>
          </w:p>
        </w:tc>
        <w:tc>
          <w:tcPr>
            <w:tcW w:w="406" w:type="pct"/>
            <w:vMerge w:val="continue"/>
            <w:vAlign w:val="center"/>
          </w:tcPr>
          <w:p w14:paraId="1CC0D109">
            <w:pPr>
              <w:jc w:val="center"/>
              <w:rPr>
                <w:rFonts w:ascii="Times New Roman" w:hAnsi="Times New Roman" w:eastAsia="宋体" w:cs="Times New Roman"/>
                <w:color w:val="auto"/>
                <w:sz w:val="22"/>
              </w:rPr>
            </w:pPr>
          </w:p>
        </w:tc>
        <w:tc>
          <w:tcPr>
            <w:tcW w:w="255" w:type="pct"/>
            <w:vAlign w:val="center"/>
          </w:tcPr>
          <w:p w14:paraId="2C20146C">
            <w:pPr>
              <w:jc w:val="center"/>
              <w:rPr>
                <w:rFonts w:ascii="Times New Roman" w:hAnsi="Times New Roman" w:eastAsia="宋体" w:cs="Times New Roman"/>
                <w:color w:val="auto"/>
                <w:sz w:val="22"/>
              </w:rPr>
            </w:pPr>
            <w:r>
              <w:rPr>
                <w:rFonts w:ascii="Times New Roman" w:hAnsi="Times New Roman" w:eastAsia="宋体" w:cs="Times New Roman"/>
                <w:color w:val="auto"/>
                <w:sz w:val="22"/>
              </w:rPr>
              <w:t>X</w:t>
            </w:r>
          </w:p>
        </w:tc>
        <w:tc>
          <w:tcPr>
            <w:tcW w:w="304" w:type="pct"/>
            <w:vAlign w:val="center"/>
          </w:tcPr>
          <w:p w14:paraId="65BC4F05">
            <w:pPr>
              <w:jc w:val="center"/>
              <w:rPr>
                <w:rFonts w:ascii="Times New Roman" w:hAnsi="Times New Roman" w:eastAsia="宋体" w:cs="Times New Roman"/>
                <w:color w:val="auto"/>
                <w:sz w:val="22"/>
              </w:rPr>
            </w:pPr>
            <w:r>
              <w:rPr>
                <w:rFonts w:ascii="Times New Roman" w:hAnsi="Times New Roman" w:eastAsia="宋体" w:cs="Times New Roman"/>
                <w:color w:val="auto"/>
                <w:sz w:val="22"/>
              </w:rPr>
              <w:t>Y</w:t>
            </w:r>
          </w:p>
        </w:tc>
        <w:tc>
          <w:tcPr>
            <w:tcW w:w="407" w:type="pct"/>
            <w:vMerge w:val="continue"/>
            <w:vAlign w:val="center"/>
          </w:tcPr>
          <w:p w14:paraId="04306037">
            <w:pPr>
              <w:jc w:val="center"/>
              <w:rPr>
                <w:rFonts w:ascii="Times New Roman" w:hAnsi="Times New Roman" w:eastAsia="宋体" w:cs="Times New Roman"/>
                <w:color w:val="auto"/>
                <w:sz w:val="22"/>
              </w:rPr>
            </w:pPr>
          </w:p>
        </w:tc>
        <w:tc>
          <w:tcPr>
            <w:tcW w:w="457" w:type="pct"/>
            <w:vMerge w:val="continue"/>
            <w:vAlign w:val="center"/>
          </w:tcPr>
          <w:p w14:paraId="4EE7D8F3">
            <w:pPr>
              <w:jc w:val="center"/>
              <w:rPr>
                <w:rFonts w:ascii="Times New Roman" w:hAnsi="Times New Roman" w:eastAsia="宋体" w:cs="Times New Roman"/>
                <w:color w:val="auto"/>
                <w:sz w:val="22"/>
              </w:rPr>
            </w:pPr>
          </w:p>
        </w:tc>
        <w:tc>
          <w:tcPr>
            <w:tcW w:w="427" w:type="pct"/>
            <w:vMerge w:val="continue"/>
            <w:vAlign w:val="center"/>
          </w:tcPr>
          <w:p w14:paraId="2F7ABA3F">
            <w:pPr>
              <w:jc w:val="center"/>
              <w:rPr>
                <w:rFonts w:ascii="Times New Roman" w:hAnsi="Times New Roman" w:eastAsia="宋体" w:cs="Times New Roman"/>
                <w:color w:val="auto"/>
                <w:sz w:val="22"/>
              </w:rPr>
            </w:pPr>
          </w:p>
        </w:tc>
        <w:tc>
          <w:tcPr>
            <w:tcW w:w="347" w:type="pct"/>
            <w:vMerge w:val="continue"/>
            <w:vAlign w:val="center"/>
          </w:tcPr>
          <w:p w14:paraId="1247BFCE">
            <w:pPr>
              <w:jc w:val="center"/>
              <w:rPr>
                <w:rFonts w:ascii="Times New Roman" w:hAnsi="Times New Roman" w:eastAsia="宋体" w:cs="Times New Roman"/>
                <w:color w:val="auto"/>
                <w:sz w:val="22"/>
              </w:rPr>
            </w:pPr>
          </w:p>
        </w:tc>
        <w:tc>
          <w:tcPr>
            <w:tcW w:w="404" w:type="pct"/>
            <w:vMerge w:val="continue"/>
            <w:vAlign w:val="center"/>
          </w:tcPr>
          <w:p w14:paraId="65960F29">
            <w:pPr>
              <w:jc w:val="center"/>
              <w:rPr>
                <w:rFonts w:ascii="Times New Roman" w:hAnsi="Times New Roman" w:eastAsia="宋体" w:cs="Times New Roman"/>
                <w:color w:val="auto"/>
                <w:sz w:val="22"/>
              </w:rPr>
            </w:pPr>
          </w:p>
        </w:tc>
        <w:tc>
          <w:tcPr>
            <w:tcW w:w="279" w:type="pct"/>
            <w:vMerge w:val="continue"/>
            <w:vAlign w:val="center"/>
          </w:tcPr>
          <w:p w14:paraId="48D0831E">
            <w:pPr>
              <w:jc w:val="center"/>
              <w:rPr>
                <w:rFonts w:ascii="Times New Roman" w:hAnsi="Times New Roman" w:eastAsia="宋体" w:cs="Times New Roman"/>
                <w:color w:val="auto"/>
                <w:sz w:val="22"/>
              </w:rPr>
            </w:pPr>
          </w:p>
        </w:tc>
        <w:tc>
          <w:tcPr>
            <w:tcW w:w="714" w:type="pct"/>
            <w:vAlign w:val="center"/>
          </w:tcPr>
          <w:p w14:paraId="17D519A5">
            <w:pPr>
              <w:jc w:val="center"/>
              <w:rPr>
                <w:rFonts w:hint="eastAsia" w:ascii="Times New Roman" w:hAnsi="Times New Roman" w:eastAsia="宋体" w:cs="Times New Roman"/>
                <w:color w:val="auto"/>
                <w:sz w:val="22"/>
                <w:lang w:val="en-US" w:eastAsia="zh-CN"/>
              </w:rPr>
            </w:pPr>
            <w:r>
              <w:rPr>
                <w:rFonts w:hint="eastAsia" w:ascii="Times New Roman" w:hAnsi="Times New Roman" w:eastAsia="宋体" w:cs="Times New Roman"/>
                <w:color w:val="auto"/>
                <w:sz w:val="22"/>
                <w:lang w:val="en-US" w:eastAsia="zh-CN"/>
              </w:rPr>
              <w:t>硫化氢</w:t>
            </w:r>
          </w:p>
        </w:tc>
        <w:tc>
          <w:tcPr>
            <w:tcW w:w="746" w:type="pct"/>
            <w:vAlign w:val="center"/>
          </w:tcPr>
          <w:p w14:paraId="0786CD32">
            <w:pPr>
              <w:jc w:val="center"/>
              <w:rPr>
                <w:rFonts w:hint="default" w:ascii="Times New Roman" w:hAnsi="Times New Roman" w:eastAsia="宋体" w:cs="Times New Roman"/>
                <w:color w:val="auto"/>
                <w:sz w:val="22"/>
                <w:lang w:val="en-US" w:eastAsia="zh-CN"/>
              </w:rPr>
            </w:pPr>
            <w:r>
              <w:rPr>
                <w:rFonts w:hint="eastAsia" w:ascii="Times New Roman" w:hAnsi="Times New Roman" w:eastAsia="宋体" w:cs="Times New Roman"/>
                <w:color w:val="auto"/>
                <w:sz w:val="22"/>
                <w:lang w:val="en-US" w:eastAsia="zh-CN"/>
              </w:rPr>
              <w:t>氨气</w:t>
            </w:r>
          </w:p>
        </w:tc>
      </w:tr>
      <w:tr w14:paraId="72D21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1" w:type="pct"/>
            <w:vAlign w:val="center"/>
          </w:tcPr>
          <w:p w14:paraId="26370351">
            <w:pPr>
              <w:jc w:val="center"/>
              <w:rPr>
                <w:rFonts w:ascii="Times New Roman" w:hAnsi="Times New Roman" w:eastAsia="宋体" w:cs="Times New Roman"/>
                <w:color w:val="auto"/>
                <w:sz w:val="22"/>
              </w:rPr>
            </w:pPr>
            <w:r>
              <w:rPr>
                <w:rFonts w:ascii="Times New Roman" w:hAnsi="Times New Roman" w:eastAsia="宋体" w:cs="Times New Roman"/>
                <w:color w:val="auto"/>
                <w:sz w:val="22"/>
              </w:rPr>
              <w:t>1</w:t>
            </w:r>
          </w:p>
        </w:tc>
        <w:tc>
          <w:tcPr>
            <w:tcW w:w="406" w:type="pct"/>
            <w:vAlign w:val="center"/>
          </w:tcPr>
          <w:p w14:paraId="278711CB">
            <w:pPr>
              <w:jc w:val="center"/>
              <w:rPr>
                <w:rFonts w:hint="default" w:ascii="Times New Roman" w:hAnsi="Times New Roman" w:eastAsia="宋体" w:cs="Times New Roman"/>
                <w:color w:val="auto"/>
                <w:sz w:val="22"/>
                <w:lang w:val="en-US" w:eastAsia="zh-CN"/>
              </w:rPr>
            </w:pPr>
            <w:r>
              <w:rPr>
                <w:rFonts w:hint="eastAsia" w:ascii="Times New Roman" w:hAnsi="Times New Roman" w:eastAsia="宋体" w:cs="Times New Roman"/>
                <w:color w:val="auto"/>
                <w:sz w:val="22"/>
                <w:lang w:val="en-US" w:eastAsia="zh-CN"/>
              </w:rPr>
              <w:t>提取2车间</w:t>
            </w:r>
          </w:p>
        </w:tc>
        <w:tc>
          <w:tcPr>
            <w:tcW w:w="255" w:type="pct"/>
            <w:vAlign w:val="center"/>
          </w:tcPr>
          <w:p w14:paraId="03C26AA6">
            <w:pPr>
              <w:jc w:val="center"/>
              <w:rPr>
                <w:rFonts w:hint="default" w:ascii="Times New Roman" w:hAnsi="Times New Roman" w:eastAsia="宋体" w:cs="Times New Roman"/>
                <w:color w:val="auto"/>
                <w:sz w:val="22"/>
                <w:lang w:val="en-US" w:eastAsia="zh-CN"/>
              </w:rPr>
            </w:pPr>
            <w:r>
              <w:rPr>
                <w:rFonts w:hint="eastAsia" w:ascii="Times New Roman" w:hAnsi="Times New Roman" w:eastAsia="宋体" w:cs="Times New Roman"/>
                <w:color w:val="auto"/>
                <w:sz w:val="22"/>
                <w:lang w:val="en-US" w:eastAsia="zh-CN"/>
              </w:rPr>
              <w:t>125</w:t>
            </w:r>
          </w:p>
        </w:tc>
        <w:tc>
          <w:tcPr>
            <w:tcW w:w="304" w:type="pct"/>
            <w:vAlign w:val="center"/>
          </w:tcPr>
          <w:p w14:paraId="548203DF">
            <w:pPr>
              <w:jc w:val="center"/>
              <w:rPr>
                <w:rFonts w:hint="default" w:ascii="Times New Roman" w:hAnsi="Times New Roman" w:eastAsia="宋体" w:cs="Times New Roman"/>
                <w:color w:val="auto"/>
                <w:sz w:val="22"/>
                <w:lang w:val="en-US" w:eastAsia="zh-CN"/>
              </w:rPr>
            </w:pPr>
            <w:r>
              <w:rPr>
                <w:rFonts w:hint="eastAsia" w:ascii="Times New Roman" w:hAnsi="Times New Roman" w:eastAsia="宋体" w:cs="Times New Roman"/>
                <w:color w:val="auto"/>
                <w:sz w:val="22"/>
                <w:lang w:val="en-US" w:eastAsia="zh-CN"/>
              </w:rPr>
              <w:t>250</w:t>
            </w:r>
          </w:p>
        </w:tc>
        <w:tc>
          <w:tcPr>
            <w:tcW w:w="407" w:type="pct"/>
            <w:vAlign w:val="center"/>
          </w:tcPr>
          <w:p w14:paraId="1ADB6A3D">
            <w:pPr>
              <w:jc w:val="center"/>
              <w:rPr>
                <w:rFonts w:hint="default" w:ascii="Times New Roman" w:hAnsi="Times New Roman" w:eastAsia="宋体" w:cs="Times New Roman"/>
                <w:color w:val="auto"/>
                <w:sz w:val="22"/>
                <w:lang w:val="en-US" w:eastAsia="zh-CN"/>
              </w:rPr>
            </w:pPr>
            <w:r>
              <w:rPr>
                <w:rFonts w:hint="eastAsia" w:ascii="Times New Roman" w:hAnsi="Times New Roman" w:eastAsia="宋体" w:cs="Times New Roman"/>
                <w:color w:val="auto"/>
                <w:sz w:val="22"/>
                <w:lang w:val="en-US" w:eastAsia="zh-CN"/>
              </w:rPr>
              <w:t>36</w:t>
            </w:r>
          </w:p>
        </w:tc>
        <w:tc>
          <w:tcPr>
            <w:tcW w:w="457" w:type="pct"/>
            <w:vAlign w:val="center"/>
          </w:tcPr>
          <w:p w14:paraId="6E877309">
            <w:pPr>
              <w:jc w:val="center"/>
              <w:rPr>
                <w:rFonts w:hint="default" w:ascii="Times New Roman" w:hAnsi="Times New Roman" w:eastAsia="宋体" w:cs="Times New Roman"/>
                <w:color w:val="auto"/>
                <w:sz w:val="22"/>
                <w:lang w:val="en-US" w:eastAsia="zh-CN"/>
              </w:rPr>
            </w:pPr>
            <w:r>
              <w:rPr>
                <w:rFonts w:hint="eastAsia" w:ascii="Times New Roman" w:hAnsi="Times New Roman" w:eastAsia="宋体" w:cs="Times New Roman"/>
                <w:color w:val="auto"/>
                <w:sz w:val="22"/>
                <w:lang w:val="en-US" w:eastAsia="zh-CN"/>
              </w:rPr>
              <w:t>42</w:t>
            </w:r>
          </w:p>
        </w:tc>
        <w:tc>
          <w:tcPr>
            <w:tcW w:w="427" w:type="pct"/>
            <w:vAlign w:val="center"/>
          </w:tcPr>
          <w:p w14:paraId="5D55080B">
            <w:pPr>
              <w:jc w:val="center"/>
              <w:rPr>
                <w:rFonts w:hint="default" w:ascii="Times New Roman" w:hAnsi="Times New Roman" w:eastAsia="宋体" w:cs="Times New Roman"/>
                <w:color w:val="auto"/>
                <w:sz w:val="22"/>
                <w:lang w:val="en-US" w:eastAsia="zh-CN"/>
              </w:rPr>
            </w:pPr>
            <w:r>
              <w:rPr>
                <w:rFonts w:hint="eastAsia" w:ascii="Times New Roman" w:hAnsi="Times New Roman" w:eastAsia="宋体" w:cs="Times New Roman"/>
                <w:color w:val="auto"/>
                <w:sz w:val="22"/>
                <w:lang w:val="en-US" w:eastAsia="zh-CN"/>
              </w:rPr>
              <w:t>25</w:t>
            </w:r>
          </w:p>
        </w:tc>
        <w:tc>
          <w:tcPr>
            <w:tcW w:w="347" w:type="pct"/>
            <w:vAlign w:val="center"/>
          </w:tcPr>
          <w:p w14:paraId="22227DDE">
            <w:pPr>
              <w:jc w:val="center"/>
              <w:rPr>
                <w:rFonts w:hint="default" w:ascii="Times New Roman" w:hAnsi="Times New Roman" w:eastAsia="宋体" w:cs="Times New Roman"/>
                <w:color w:val="auto"/>
                <w:sz w:val="22"/>
                <w:lang w:val="en-US" w:eastAsia="zh-CN"/>
              </w:rPr>
            </w:pPr>
            <w:r>
              <w:rPr>
                <w:rFonts w:hint="eastAsia" w:ascii="Times New Roman" w:hAnsi="Times New Roman" w:eastAsia="宋体" w:cs="Times New Roman"/>
                <w:color w:val="auto"/>
                <w:sz w:val="22"/>
                <w:lang w:val="en-US" w:eastAsia="zh-CN"/>
              </w:rPr>
              <w:t>150</w:t>
            </w:r>
          </w:p>
        </w:tc>
        <w:tc>
          <w:tcPr>
            <w:tcW w:w="404" w:type="pct"/>
            <w:vAlign w:val="center"/>
          </w:tcPr>
          <w:p w14:paraId="20436865">
            <w:pPr>
              <w:jc w:val="center"/>
              <w:rPr>
                <w:rFonts w:hint="default" w:ascii="Times New Roman" w:hAnsi="Times New Roman" w:eastAsia="宋体" w:cs="Times New Roman"/>
                <w:color w:val="auto"/>
                <w:sz w:val="22"/>
                <w:lang w:val="en-US" w:eastAsia="zh-CN"/>
              </w:rPr>
            </w:pPr>
            <w:r>
              <w:rPr>
                <w:rFonts w:hint="eastAsia" w:ascii="Times New Roman" w:hAnsi="Times New Roman" w:eastAsia="宋体" w:cs="Times New Roman"/>
                <w:color w:val="auto"/>
                <w:sz w:val="22"/>
                <w:lang w:val="en-US" w:eastAsia="zh-CN"/>
              </w:rPr>
              <w:t>10</w:t>
            </w:r>
          </w:p>
        </w:tc>
        <w:tc>
          <w:tcPr>
            <w:tcW w:w="279" w:type="pct"/>
            <w:vAlign w:val="center"/>
          </w:tcPr>
          <w:p w14:paraId="5508ADC0">
            <w:pPr>
              <w:jc w:val="center"/>
              <w:rPr>
                <w:rFonts w:ascii="Times New Roman" w:hAnsi="Times New Roman" w:eastAsia="宋体" w:cs="Times New Roman"/>
                <w:color w:val="auto"/>
                <w:sz w:val="22"/>
              </w:rPr>
            </w:pPr>
            <w:r>
              <w:rPr>
                <w:rFonts w:ascii="Times New Roman" w:hAnsi="Times New Roman" w:eastAsia="宋体" w:cs="Times New Roman"/>
                <w:color w:val="auto"/>
                <w:sz w:val="22"/>
              </w:rPr>
              <w:t>正常</w:t>
            </w:r>
          </w:p>
        </w:tc>
        <w:tc>
          <w:tcPr>
            <w:tcW w:w="714" w:type="pct"/>
            <w:vAlign w:val="center"/>
          </w:tcPr>
          <w:p w14:paraId="65C14D7D">
            <w:pPr>
              <w:jc w:val="center"/>
              <w:rPr>
                <w:rFonts w:hint="eastAsia" w:ascii="Times New Roman" w:hAnsi="Times New Roman" w:eastAsia="宋体" w:cs="Times New Roman"/>
                <w:color w:val="auto"/>
                <w:sz w:val="22"/>
                <w:lang w:val="en-US" w:eastAsia="zh-CN"/>
              </w:rPr>
            </w:pPr>
            <w:r>
              <w:rPr>
                <w:rFonts w:hint="eastAsia" w:ascii="Times New Roman" w:hAnsi="Times New Roman" w:eastAsia="宋体" w:cs="Times New Roman"/>
                <w:color w:val="auto"/>
                <w:sz w:val="22"/>
                <w:lang w:val="en-US" w:eastAsia="zh-CN"/>
              </w:rPr>
              <w:t>/</w:t>
            </w:r>
          </w:p>
        </w:tc>
        <w:tc>
          <w:tcPr>
            <w:tcW w:w="746" w:type="pct"/>
            <w:vAlign w:val="center"/>
          </w:tcPr>
          <w:p w14:paraId="58E9FF03">
            <w:pPr>
              <w:jc w:val="center"/>
              <w:rPr>
                <w:rFonts w:hint="eastAsia" w:ascii="Times New Roman" w:hAnsi="Times New Roman" w:eastAsia="宋体" w:cs="Times New Roman"/>
                <w:color w:val="auto"/>
                <w:sz w:val="22"/>
                <w:lang w:val="en-US" w:eastAsia="zh-CN"/>
              </w:rPr>
            </w:pPr>
            <w:r>
              <w:rPr>
                <w:rFonts w:hint="eastAsia" w:ascii="Times New Roman" w:hAnsi="Times New Roman" w:eastAsia="宋体" w:cs="Times New Roman"/>
                <w:color w:val="auto"/>
                <w:sz w:val="22"/>
                <w:lang w:val="en-US" w:eastAsia="zh-CN"/>
              </w:rPr>
              <w:t>/</w:t>
            </w:r>
          </w:p>
        </w:tc>
      </w:tr>
      <w:tr w14:paraId="0929B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1" w:type="pct"/>
            <w:vAlign w:val="center"/>
          </w:tcPr>
          <w:p w14:paraId="4A5C149D">
            <w:pPr>
              <w:jc w:val="center"/>
              <w:rPr>
                <w:rFonts w:ascii="Times New Roman" w:hAnsi="Times New Roman" w:eastAsia="宋体" w:cs="Times New Roman"/>
                <w:color w:val="auto"/>
                <w:sz w:val="22"/>
              </w:rPr>
            </w:pPr>
            <w:r>
              <w:rPr>
                <w:rFonts w:hint="eastAsia" w:ascii="Times New Roman" w:hAnsi="Times New Roman" w:eastAsia="宋体" w:cs="Times New Roman"/>
                <w:color w:val="auto"/>
                <w:sz w:val="22"/>
              </w:rPr>
              <w:t>2</w:t>
            </w:r>
          </w:p>
        </w:tc>
        <w:tc>
          <w:tcPr>
            <w:tcW w:w="406" w:type="pct"/>
            <w:vAlign w:val="center"/>
          </w:tcPr>
          <w:p w14:paraId="498FB98E">
            <w:pPr>
              <w:jc w:val="center"/>
              <w:rPr>
                <w:rFonts w:hint="default" w:ascii="Times New Roman" w:hAnsi="Times New Roman" w:eastAsia="宋体" w:cs="Times New Roman"/>
                <w:color w:val="auto"/>
                <w:sz w:val="22"/>
                <w:lang w:val="en-US" w:eastAsia="zh-CN"/>
              </w:rPr>
            </w:pPr>
            <w:r>
              <w:rPr>
                <w:rFonts w:hint="eastAsia" w:ascii="Times New Roman" w:hAnsi="Times New Roman" w:eastAsia="宋体" w:cs="Times New Roman"/>
                <w:color w:val="auto"/>
                <w:sz w:val="22"/>
                <w:lang w:val="en-US" w:eastAsia="zh-CN"/>
              </w:rPr>
              <w:t>污水处理站</w:t>
            </w:r>
          </w:p>
        </w:tc>
        <w:tc>
          <w:tcPr>
            <w:tcW w:w="255" w:type="pct"/>
            <w:vAlign w:val="center"/>
          </w:tcPr>
          <w:p w14:paraId="29CE535B">
            <w:pPr>
              <w:jc w:val="center"/>
              <w:rPr>
                <w:rFonts w:hint="default" w:ascii="Times New Roman" w:hAnsi="Times New Roman" w:eastAsia="宋体" w:cs="Times New Roman"/>
                <w:color w:val="auto"/>
                <w:sz w:val="22"/>
                <w:lang w:val="en-US" w:eastAsia="zh-CN"/>
              </w:rPr>
            </w:pPr>
            <w:r>
              <w:rPr>
                <w:rFonts w:hint="eastAsia" w:ascii="Times New Roman" w:hAnsi="Times New Roman" w:eastAsia="宋体" w:cs="Times New Roman"/>
                <w:color w:val="auto"/>
                <w:sz w:val="22"/>
                <w:lang w:val="en-US" w:eastAsia="zh-CN"/>
              </w:rPr>
              <w:t>212</w:t>
            </w:r>
          </w:p>
        </w:tc>
        <w:tc>
          <w:tcPr>
            <w:tcW w:w="304" w:type="pct"/>
            <w:vAlign w:val="center"/>
          </w:tcPr>
          <w:p w14:paraId="6B608A92">
            <w:pPr>
              <w:jc w:val="center"/>
              <w:rPr>
                <w:rFonts w:hint="default" w:ascii="Times New Roman" w:hAnsi="Times New Roman" w:eastAsia="宋体" w:cs="Times New Roman"/>
                <w:color w:val="auto"/>
                <w:sz w:val="22"/>
                <w:lang w:val="en-US" w:eastAsia="zh-CN"/>
              </w:rPr>
            </w:pPr>
            <w:r>
              <w:rPr>
                <w:rFonts w:hint="eastAsia" w:ascii="Times New Roman" w:hAnsi="Times New Roman" w:eastAsia="宋体" w:cs="Times New Roman"/>
                <w:color w:val="auto"/>
                <w:sz w:val="22"/>
                <w:lang w:val="en-US" w:eastAsia="zh-CN"/>
              </w:rPr>
              <w:t>203</w:t>
            </w:r>
          </w:p>
        </w:tc>
        <w:tc>
          <w:tcPr>
            <w:tcW w:w="407" w:type="pct"/>
            <w:vAlign w:val="center"/>
          </w:tcPr>
          <w:p w14:paraId="71B0EBF0">
            <w:pPr>
              <w:jc w:val="center"/>
              <w:rPr>
                <w:rFonts w:hint="default" w:ascii="Times New Roman" w:hAnsi="Times New Roman" w:eastAsia="宋体" w:cs="Times New Roman"/>
                <w:color w:val="auto"/>
                <w:sz w:val="22"/>
                <w:lang w:val="en-US" w:eastAsia="zh-CN"/>
              </w:rPr>
            </w:pPr>
            <w:r>
              <w:rPr>
                <w:rFonts w:hint="eastAsia" w:ascii="Times New Roman" w:hAnsi="Times New Roman" w:eastAsia="宋体" w:cs="Times New Roman"/>
                <w:color w:val="auto"/>
                <w:sz w:val="22"/>
                <w:lang w:val="en-US" w:eastAsia="zh-CN"/>
              </w:rPr>
              <w:t>37</w:t>
            </w:r>
          </w:p>
        </w:tc>
        <w:tc>
          <w:tcPr>
            <w:tcW w:w="457" w:type="pct"/>
            <w:vAlign w:val="center"/>
          </w:tcPr>
          <w:p w14:paraId="2B583B6B">
            <w:pPr>
              <w:jc w:val="center"/>
              <w:rPr>
                <w:rFonts w:hint="default" w:ascii="Times New Roman" w:hAnsi="Times New Roman" w:eastAsia="宋体" w:cs="Times New Roman"/>
                <w:color w:val="auto"/>
                <w:sz w:val="22"/>
                <w:lang w:val="en-US" w:eastAsia="zh-CN"/>
              </w:rPr>
            </w:pPr>
            <w:r>
              <w:rPr>
                <w:rFonts w:hint="eastAsia" w:ascii="Times New Roman" w:hAnsi="Times New Roman" w:eastAsia="宋体" w:cs="Times New Roman"/>
                <w:color w:val="auto"/>
                <w:sz w:val="22"/>
                <w:lang w:val="en-US" w:eastAsia="zh-CN"/>
              </w:rPr>
              <w:t>80</w:t>
            </w:r>
          </w:p>
        </w:tc>
        <w:tc>
          <w:tcPr>
            <w:tcW w:w="427" w:type="pct"/>
            <w:vAlign w:val="center"/>
          </w:tcPr>
          <w:p w14:paraId="72EC3AA1">
            <w:pPr>
              <w:jc w:val="center"/>
              <w:rPr>
                <w:rFonts w:hint="default" w:ascii="Times New Roman" w:hAnsi="Times New Roman" w:eastAsia="宋体" w:cs="Times New Roman"/>
                <w:color w:val="auto"/>
                <w:sz w:val="22"/>
                <w:lang w:val="en-US" w:eastAsia="zh-CN"/>
              </w:rPr>
            </w:pPr>
            <w:r>
              <w:rPr>
                <w:rFonts w:hint="eastAsia" w:ascii="Times New Roman" w:hAnsi="Times New Roman" w:eastAsia="宋体" w:cs="Times New Roman"/>
                <w:color w:val="auto"/>
                <w:sz w:val="22"/>
                <w:lang w:val="en-US" w:eastAsia="zh-CN"/>
              </w:rPr>
              <w:t>22</w:t>
            </w:r>
          </w:p>
        </w:tc>
        <w:tc>
          <w:tcPr>
            <w:tcW w:w="347" w:type="pct"/>
            <w:vAlign w:val="center"/>
          </w:tcPr>
          <w:p w14:paraId="6B922C9E">
            <w:pPr>
              <w:jc w:val="center"/>
              <w:rPr>
                <w:rFonts w:hint="default" w:ascii="Times New Roman" w:hAnsi="Times New Roman" w:eastAsia="宋体" w:cs="Times New Roman"/>
                <w:color w:val="auto"/>
                <w:sz w:val="22"/>
                <w:lang w:val="en-US" w:eastAsia="zh-CN"/>
              </w:rPr>
            </w:pPr>
            <w:r>
              <w:rPr>
                <w:rFonts w:hint="eastAsia" w:ascii="Times New Roman" w:hAnsi="Times New Roman" w:eastAsia="宋体" w:cs="Times New Roman"/>
                <w:color w:val="auto"/>
                <w:sz w:val="22"/>
                <w:lang w:val="en-US" w:eastAsia="zh-CN"/>
              </w:rPr>
              <w:t>150</w:t>
            </w:r>
          </w:p>
        </w:tc>
        <w:tc>
          <w:tcPr>
            <w:tcW w:w="404" w:type="pct"/>
            <w:vAlign w:val="center"/>
          </w:tcPr>
          <w:p w14:paraId="61C6AC99">
            <w:pPr>
              <w:jc w:val="center"/>
              <w:rPr>
                <w:rFonts w:hint="default" w:ascii="Times New Roman" w:hAnsi="Times New Roman" w:eastAsia="宋体" w:cs="Times New Roman"/>
                <w:color w:val="auto"/>
                <w:sz w:val="22"/>
                <w:lang w:val="en-US" w:eastAsia="zh-CN"/>
              </w:rPr>
            </w:pPr>
            <w:r>
              <w:rPr>
                <w:rFonts w:hint="eastAsia" w:ascii="Times New Roman" w:hAnsi="Times New Roman" w:eastAsia="宋体" w:cs="Times New Roman"/>
                <w:color w:val="auto"/>
                <w:sz w:val="22"/>
                <w:lang w:val="en-US" w:eastAsia="zh-CN"/>
              </w:rPr>
              <w:t>15</w:t>
            </w:r>
          </w:p>
        </w:tc>
        <w:tc>
          <w:tcPr>
            <w:tcW w:w="279" w:type="pct"/>
            <w:vAlign w:val="center"/>
          </w:tcPr>
          <w:p w14:paraId="1DD84585">
            <w:pPr>
              <w:jc w:val="center"/>
              <w:rPr>
                <w:rFonts w:ascii="Times New Roman" w:hAnsi="Times New Roman" w:eastAsia="宋体" w:cs="Times New Roman"/>
                <w:color w:val="auto"/>
                <w:sz w:val="22"/>
              </w:rPr>
            </w:pPr>
            <w:r>
              <w:rPr>
                <w:rFonts w:ascii="Times New Roman" w:hAnsi="Times New Roman" w:eastAsia="宋体" w:cs="Times New Roman"/>
                <w:color w:val="auto"/>
                <w:sz w:val="22"/>
              </w:rPr>
              <w:t>正常</w:t>
            </w:r>
          </w:p>
        </w:tc>
        <w:tc>
          <w:tcPr>
            <w:tcW w:w="714" w:type="pct"/>
            <w:vAlign w:val="center"/>
          </w:tcPr>
          <w:p w14:paraId="41ABAE62">
            <w:pPr>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0.00025</w:t>
            </w:r>
          </w:p>
        </w:tc>
        <w:tc>
          <w:tcPr>
            <w:tcW w:w="746" w:type="pct"/>
            <w:vAlign w:val="center"/>
          </w:tcPr>
          <w:p w14:paraId="32432383">
            <w:pPr>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0.0006</w:t>
            </w:r>
          </w:p>
        </w:tc>
      </w:tr>
    </w:tbl>
    <w:p w14:paraId="20B6252C">
      <w:pPr>
        <w:spacing w:line="360" w:lineRule="auto"/>
        <w:ind w:firstLine="480" w:firstLineChars="200"/>
        <w:rPr>
          <w:rFonts w:ascii="Times New Roman" w:hAnsi="Times New Roman" w:eastAsia="宋体" w:cs="Times New Roman"/>
          <w:color w:val="FF0000"/>
          <w:sz w:val="24"/>
          <w:szCs w:val="24"/>
          <w:highlight w:val="green"/>
        </w:rPr>
        <w:sectPr>
          <w:pgSz w:w="16838" w:h="11906" w:orient="landscape"/>
          <w:pgMar w:top="1800" w:right="1440" w:bottom="1800" w:left="1440" w:header="851" w:footer="992" w:gutter="0"/>
          <w:pgNumType w:fmt="numberInDash"/>
          <w:cols w:space="720" w:num="1"/>
          <w:docGrid w:type="lines" w:linePitch="312" w:charSpace="0"/>
        </w:sectPr>
      </w:pPr>
    </w:p>
    <w:p w14:paraId="151B0359">
      <w:pPr>
        <w:spacing w:line="360" w:lineRule="auto"/>
        <w:ind w:firstLine="480" w:firstLineChars="200"/>
        <w:rPr>
          <w:rFonts w:ascii="Times New Roman" w:hAnsi="Times New Roman" w:eastAsia="宋体" w:cs="Times New Roman"/>
          <w:color w:val="auto"/>
          <w:sz w:val="24"/>
          <w:szCs w:val="24"/>
          <w:u w:val="none"/>
        </w:rPr>
      </w:pPr>
      <w:r>
        <w:rPr>
          <w:rFonts w:hint="eastAsia" w:ascii="Times New Roman" w:hAnsi="Times New Roman" w:eastAsia="宋体" w:cs="Times New Roman"/>
          <w:color w:val="auto"/>
          <w:sz w:val="24"/>
          <w:szCs w:val="24"/>
          <w:u w:val="none"/>
        </w:rPr>
        <w:t>各主要污染源估算结果如下表所示：</w:t>
      </w:r>
    </w:p>
    <w:p w14:paraId="485C17BE">
      <w:pPr>
        <w:pStyle w:val="6"/>
        <w:bidi w:val="0"/>
      </w:pPr>
      <w:r>
        <w:rPr>
          <w:rFonts w:hint="eastAsia"/>
        </w:rPr>
        <w:t>表</w:t>
      </w:r>
      <w:r>
        <w:t>2.5</w:t>
      </w:r>
      <w:r>
        <w:rPr>
          <w:rFonts w:hint="eastAsia"/>
        </w:rPr>
        <w:t>.1</w:t>
      </w:r>
      <w:r>
        <w:t>-6    各主要污染源估算模型计算结果汇总</w:t>
      </w:r>
    </w:p>
    <w:tbl>
      <w:tblPr>
        <w:tblStyle w:val="4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1"/>
        <w:gridCol w:w="1636"/>
        <w:gridCol w:w="1678"/>
        <w:gridCol w:w="1663"/>
        <w:gridCol w:w="1352"/>
        <w:gridCol w:w="802"/>
      </w:tblGrid>
      <w:tr w14:paraId="4BB60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pct"/>
            <w:vAlign w:val="center"/>
          </w:tcPr>
          <w:p w14:paraId="1007A686">
            <w:pPr>
              <w:jc w:val="center"/>
              <w:rPr>
                <w:rFonts w:ascii="Times New Roman" w:hAnsi="Times New Roman" w:eastAsia="宋体" w:cs="Times New Roman"/>
                <w:color w:val="auto"/>
                <w:sz w:val="22"/>
              </w:rPr>
            </w:pPr>
            <w:r>
              <w:rPr>
                <w:rFonts w:ascii="Times New Roman" w:hAnsi="Times New Roman" w:eastAsia="宋体" w:cs="Times New Roman"/>
                <w:color w:val="auto"/>
                <w:sz w:val="22"/>
              </w:rPr>
              <w:t>污染源</w:t>
            </w:r>
          </w:p>
        </w:tc>
        <w:tc>
          <w:tcPr>
            <w:tcW w:w="959" w:type="pct"/>
            <w:vAlign w:val="center"/>
          </w:tcPr>
          <w:p w14:paraId="108C15A2">
            <w:pPr>
              <w:jc w:val="center"/>
              <w:rPr>
                <w:rFonts w:ascii="Times New Roman" w:hAnsi="Times New Roman" w:eastAsia="宋体" w:cs="Times New Roman"/>
                <w:color w:val="auto"/>
                <w:sz w:val="22"/>
              </w:rPr>
            </w:pPr>
            <w:r>
              <w:rPr>
                <w:rFonts w:ascii="Times New Roman" w:hAnsi="Times New Roman" w:eastAsia="宋体" w:cs="Times New Roman"/>
                <w:color w:val="auto"/>
                <w:sz w:val="22"/>
              </w:rPr>
              <w:t>污染因子</w:t>
            </w:r>
          </w:p>
        </w:tc>
        <w:tc>
          <w:tcPr>
            <w:tcW w:w="984" w:type="pct"/>
            <w:vAlign w:val="center"/>
          </w:tcPr>
          <w:p w14:paraId="6926AF1B">
            <w:pPr>
              <w:jc w:val="center"/>
              <w:rPr>
                <w:rFonts w:ascii="Times New Roman" w:hAnsi="Times New Roman" w:eastAsia="宋体" w:cs="Times New Roman"/>
                <w:color w:val="auto"/>
                <w:sz w:val="22"/>
              </w:rPr>
            </w:pPr>
            <w:r>
              <w:rPr>
                <w:rFonts w:ascii="Times New Roman" w:hAnsi="Times New Roman" w:eastAsia="宋体" w:cs="Times New Roman"/>
                <w:color w:val="auto"/>
                <w:sz w:val="22"/>
              </w:rPr>
              <w:t>标准（µg/</w:t>
            </w:r>
            <w:r>
              <w:rPr>
                <w:rFonts w:hint="eastAsia" w:ascii="Times New Roman" w:hAnsi="Times New Roman" w:eastAsia="宋体" w:cs="Times New Roman"/>
                <w:color w:val="auto"/>
                <w:sz w:val="22"/>
                <w:lang w:eastAsia="zh-CN"/>
              </w:rPr>
              <w:t>m</w:t>
            </w:r>
            <w:r>
              <w:rPr>
                <w:rFonts w:hint="eastAsia" w:ascii="Times New Roman" w:hAnsi="Times New Roman" w:eastAsia="宋体" w:cs="Times New Roman"/>
                <w:color w:val="auto"/>
                <w:sz w:val="22"/>
                <w:vertAlign w:val="superscript"/>
                <w:lang w:eastAsia="zh-CN"/>
              </w:rPr>
              <w:t>3</w:t>
            </w:r>
            <w:r>
              <w:rPr>
                <w:rFonts w:ascii="Times New Roman" w:hAnsi="Times New Roman" w:eastAsia="宋体" w:cs="Times New Roman"/>
                <w:color w:val="auto"/>
                <w:sz w:val="22"/>
              </w:rPr>
              <w:t>）</w:t>
            </w:r>
          </w:p>
        </w:tc>
        <w:tc>
          <w:tcPr>
            <w:tcW w:w="975" w:type="pct"/>
            <w:vAlign w:val="center"/>
          </w:tcPr>
          <w:p w14:paraId="0C18950D">
            <w:pPr>
              <w:jc w:val="center"/>
              <w:rPr>
                <w:rFonts w:ascii="Times New Roman" w:hAnsi="Times New Roman" w:eastAsia="宋体" w:cs="Times New Roman"/>
                <w:color w:val="auto"/>
                <w:sz w:val="22"/>
              </w:rPr>
            </w:pPr>
            <w:r>
              <w:rPr>
                <w:rFonts w:ascii="Times New Roman" w:hAnsi="Times New Roman" w:eastAsia="宋体" w:cs="Times New Roman"/>
                <w:color w:val="auto"/>
                <w:sz w:val="22"/>
              </w:rPr>
              <w:t>Cmax（µg/</w:t>
            </w:r>
            <w:r>
              <w:rPr>
                <w:rFonts w:hint="eastAsia" w:ascii="Times New Roman" w:hAnsi="Times New Roman" w:eastAsia="宋体" w:cs="Times New Roman"/>
                <w:color w:val="auto"/>
                <w:sz w:val="22"/>
                <w:lang w:eastAsia="zh-CN"/>
              </w:rPr>
              <w:t>m</w:t>
            </w:r>
            <w:r>
              <w:rPr>
                <w:rFonts w:hint="eastAsia" w:ascii="Times New Roman" w:hAnsi="Times New Roman" w:eastAsia="宋体" w:cs="Times New Roman"/>
                <w:color w:val="auto"/>
                <w:sz w:val="22"/>
                <w:vertAlign w:val="superscript"/>
                <w:lang w:eastAsia="zh-CN"/>
              </w:rPr>
              <w:t>3</w:t>
            </w:r>
            <w:r>
              <w:rPr>
                <w:rFonts w:ascii="Times New Roman" w:hAnsi="Times New Roman" w:eastAsia="宋体" w:cs="Times New Roman"/>
                <w:color w:val="auto"/>
                <w:sz w:val="22"/>
              </w:rPr>
              <w:t>）</w:t>
            </w:r>
          </w:p>
        </w:tc>
        <w:tc>
          <w:tcPr>
            <w:tcW w:w="793" w:type="pct"/>
            <w:vAlign w:val="center"/>
          </w:tcPr>
          <w:p w14:paraId="261AB8F7">
            <w:pPr>
              <w:jc w:val="center"/>
              <w:rPr>
                <w:rFonts w:ascii="Times New Roman" w:hAnsi="Times New Roman" w:eastAsia="宋体" w:cs="Times New Roman"/>
                <w:color w:val="auto"/>
                <w:sz w:val="22"/>
              </w:rPr>
            </w:pPr>
            <w:r>
              <w:rPr>
                <w:rFonts w:ascii="Times New Roman" w:hAnsi="Times New Roman" w:eastAsia="宋体" w:cs="Times New Roman"/>
                <w:color w:val="auto"/>
                <w:sz w:val="22"/>
              </w:rPr>
              <w:t>Pmax（%）</w:t>
            </w:r>
          </w:p>
        </w:tc>
        <w:tc>
          <w:tcPr>
            <w:tcW w:w="470" w:type="pct"/>
            <w:vAlign w:val="center"/>
          </w:tcPr>
          <w:p w14:paraId="6A3699C5">
            <w:pPr>
              <w:jc w:val="center"/>
              <w:rPr>
                <w:rFonts w:ascii="Times New Roman" w:hAnsi="Times New Roman" w:eastAsia="宋体" w:cs="Times New Roman"/>
                <w:color w:val="auto"/>
                <w:sz w:val="22"/>
              </w:rPr>
            </w:pPr>
            <w:r>
              <w:rPr>
                <w:rFonts w:ascii="Times New Roman" w:hAnsi="Times New Roman" w:eastAsia="宋体" w:cs="Times New Roman"/>
                <w:color w:val="auto"/>
                <w:sz w:val="22"/>
              </w:rPr>
              <w:t>D10%</w:t>
            </w:r>
          </w:p>
        </w:tc>
      </w:tr>
      <w:tr w14:paraId="62CCD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pct"/>
            <w:vMerge w:val="restart"/>
            <w:vAlign w:val="center"/>
          </w:tcPr>
          <w:p w14:paraId="20B87113">
            <w:pPr>
              <w:jc w:val="center"/>
              <w:rPr>
                <w:rFonts w:ascii="Times New Roman" w:hAnsi="Times New Roman" w:eastAsia="宋体" w:cs="Times New Roman"/>
                <w:color w:val="auto"/>
                <w:sz w:val="22"/>
              </w:rPr>
            </w:pPr>
            <w:r>
              <w:rPr>
                <w:rFonts w:hint="eastAsia" w:ascii="Times New Roman" w:hAnsi="Times New Roman" w:eastAsia="宋体" w:cs="Times New Roman"/>
                <w:color w:val="auto"/>
                <w:szCs w:val="21"/>
              </w:rPr>
              <w:t>DA001</w:t>
            </w:r>
          </w:p>
        </w:tc>
        <w:tc>
          <w:tcPr>
            <w:tcW w:w="959" w:type="pct"/>
            <w:vAlign w:val="center"/>
          </w:tcPr>
          <w:p w14:paraId="5ED69C39">
            <w:pPr>
              <w:jc w:val="center"/>
              <w:rPr>
                <w:rFonts w:hint="default" w:ascii="Times New Roman" w:hAnsi="Times New Roman" w:eastAsia="宋体" w:cs="Times New Roman"/>
                <w:color w:val="auto"/>
                <w:sz w:val="22"/>
                <w:lang w:val="en-US" w:eastAsia="zh-CN"/>
              </w:rPr>
            </w:pPr>
            <w:r>
              <w:rPr>
                <w:rFonts w:hint="eastAsia" w:ascii="Times New Roman" w:hAnsi="Times New Roman" w:eastAsia="宋体" w:cs="Times New Roman"/>
                <w:color w:val="auto"/>
                <w:sz w:val="22"/>
                <w:lang w:val="en-US" w:eastAsia="zh-CN"/>
              </w:rPr>
              <w:t>TSP</w:t>
            </w:r>
          </w:p>
        </w:tc>
        <w:tc>
          <w:tcPr>
            <w:tcW w:w="984" w:type="pct"/>
            <w:vAlign w:val="center"/>
          </w:tcPr>
          <w:p w14:paraId="6A342AFE">
            <w:pPr>
              <w:jc w:val="center"/>
              <w:rPr>
                <w:rFonts w:hint="default" w:ascii="Times New Roman" w:hAnsi="Times New Roman" w:eastAsia="宋体" w:cs="Times New Roman"/>
                <w:color w:val="auto"/>
                <w:sz w:val="22"/>
                <w:lang w:val="en-US" w:eastAsia="zh-CN"/>
              </w:rPr>
            </w:pPr>
            <w:r>
              <w:rPr>
                <w:rFonts w:hint="eastAsia" w:ascii="Times New Roman" w:hAnsi="Times New Roman" w:eastAsia="宋体" w:cs="Times New Roman"/>
                <w:color w:val="auto"/>
                <w:sz w:val="22"/>
                <w:lang w:val="en-US" w:eastAsia="zh-CN"/>
              </w:rPr>
              <w:t>900</w:t>
            </w:r>
          </w:p>
        </w:tc>
        <w:tc>
          <w:tcPr>
            <w:tcW w:w="975" w:type="pct"/>
            <w:vAlign w:val="center"/>
          </w:tcPr>
          <w:p w14:paraId="6E624EE0">
            <w:pPr>
              <w:jc w:val="center"/>
              <w:rPr>
                <w:rFonts w:hint="default" w:ascii="Times New Roman" w:hAnsi="Times New Roman" w:eastAsia="宋体" w:cs="Times New Roman"/>
                <w:color w:val="auto"/>
                <w:sz w:val="22"/>
                <w:lang w:val="en-US" w:eastAsia="zh-CN"/>
              </w:rPr>
            </w:pPr>
            <w:r>
              <w:rPr>
                <w:rFonts w:hint="eastAsia" w:ascii="Times New Roman" w:hAnsi="Times New Roman" w:eastAsia="宋体" w:cs="Times New Roman"/>
                <w:color w:val="auto"/>
                <w:sz w:val="22"/>
                <w:lang w:val="en-US" w:eastAsia="zh-CN"/>
              </w:rPr>
              <w:t>0.032</w:t>
            </w:r>
          </w:p>
        </w:tc>
        <w:tc>
          <w:tcPr>
            <w:tcW w:w="793" w:type="pct"/>
            <w:vAlign w:val="center"/>
          </w:tcPr>
          <w:p w14:paraId="4C78EA33">
            <w:pPr>
              <w:jc w:val="center"/>
              <w:rPr>
                <w:rFonts w:hint="default" w:ascii="Times New Roman" w:hAnsi="Times New Roman" w:eastAsia="宋体" w:cs="Times New Roman"/>
                <w:color w:val="auto"/>
                <w:sz w:val="22"/>
                <w:lang w:val="en-US" w:eastAsia="zh-CN"/>
              </w:rPr>
            </w:pPr>
            <w:r>
              <w:rPr>
                <w:rFonts w:hint="eastAsia" w:ascii="Times New Roman" w:hAnsi="Times New Roman" w:eastAsia="宋体" w:cs="Times New Roman"/>
                <w:color w:val="auto"/>
                <w:sz w:val="22"/>
                <w:lang w:val="en-US" w:eastAsia="zh-CN"/>
              </w:rPr>
              <w:t>3.56</w:t>
            </w:r>
          </w:p>
        </w:tc>
        <w:tc>
          <w:tcPr>
            <w:tcW w:w="470" w:type="pct"/>
            <w:vAlign w:val="center"/>
          </w:tcPr>
          <w:p w14:paraId="55BD860F">
            <w:pPr>
              <w:jc w:val="center"/>
              <w:rPr>
                <w:rFonts w:hint="eastAsia" w:ascii="Times New Roman" w:hAnsi="Times New Roman" w:eastAsia="宋体" w:cs="Times New Roman"/>
                <w:color w:val="auto"/>
                <w:sz w:val="22"/>
                <w:lang w:val="en-US" w:eastAsia="zh-CN"/>
              </w:rPr>
            </w:pPr>
            <w:r>
              <w:rPr>
                <w:rFonts w:hint="eastAsia" w:ascii="Times New Roman" w:hAnsi="Times New Roman" w:eastAsia="宋体" w:cs="Times New Roman"/>
                <w:color w:val="auto"/>
                <w:sz w:val="22"/>
                <w:lang w:val="en-US" w:eastAsia="zh-CN"/>
              </w:rPr>
              <w:t>/</w:t>
            </w:r>
          </w:p>
        </w:tc>
      </w:tr>
      <w:tr w14:paraId="7CCA0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pct"/>
            <w:vMerge w:val="continue"/>
            <w:vAlign w:val="center"/>
          </w:tcPr>
          <w:p w14:paraId="686D2C5E">
            <w:pPr>
              <w:jc w:val="center"/>
              <w:rPr>
                <w:rFonts w:ascii="Times New Roman" w:hAnsi="Times New Roman" w:eastAsia="宋体" w:cs="Times New Roman"/>
                <w:color w:val="auto"/>
                <w:sz w:val="22"/>
              </w:rPr>
            </w:pPr>
          </w:p>
        </w:tc>
        <w:tc>
          <w:tcPr>
            <w:tcW w:w="959" w:type="pct"/>
            <w:vAlign w:val="center"/>
          </w:tcPr>
          <w:p w14:paraId="3F4BFCD9">
            <w:pPr>
              <w:jc w:val="center"/>
              <w:rPr>
                <w:rFonts w:hint="default" w:ascii="Times New Roman" w:hAnsi="Times New Roman" w:eastAsia="宋体" w:cs="Times New Roman"/>
                <w:color w:val="auto"/>
                <w:sz w:val="22"/>
                <w:lang w:val="en-US" w:eastAsia="zh-CN"/>
              </w:rPr>
            </w:pPr>
            <w:r>
              <w:rPr>
                <w:rFonts w:hint="eastAsia" w:ascii="Times New Roman" w:hAnsi="Times New Roman" w:eastAsia="宋体" w:cs="Times New Roman"/>
                <w:color w:val="auto"/>
                <w:sz w:val="22"/>
                <w:lang w:val="en-US" w:eastAsia="zh-CN"/>
              </w:rPr>
              <w:t>非甲烷总烃</w:t>
            </w:r>
          </w:p>
        </w:tc>
        <w:tc>
          <w:tcPr>
            <w:tcW w:w="984" w:type="pct"/>
            <w:vAlign w:val="center"/>
          </w:tcPr>
          <w:p w14:paraId="612FDD7B">
            <w:pPr>
              <w:jc w:val="center"/>
              <w:rPr>
                <w:rFonts w:hint="default" w:ascii="Times New Roman" w:hAnsi="Times New Roman" w:eastAsia="宋体" w:cs="Times New Roman"/>
                <w:color w:val="auto"/>
                <w:sz w:val="22"/>
                <w:lang w:val="en-US" w:eastAsia="zh-CN"/>
              </w:rPr>
            </w:pPr>
            <w:r>
              <w:rPr>
                <w:rFonts w:hint="eastAsia" w:ascii="Times New Roman" w:hAnsi="Times New Roman" w:eastAsia="宋体" w:cs="Times New Roman"/>
                <w:color w:val="auto"/>
                <w:sz w:val="22"/>
                <w:lang w:val="en-US" w:eastAsia="zh-CN"/>
              </w:rPr>
              <w:t>2000</w:t>
            </w:r>
          </w:p>
        </w:tc>
        <w:tc>
          <w:tcPr>
            <w:tcW w:w="975" w:type="pct"/>
            <w:vAlign w:val="center"/>
          </w:tcPr>
          <w:p w14:paraId="0450B0EC">
            <w:pPr>
              <w:jc w:val="center"/>
              <w:rPr>
                <w:rFonts w:hint="default" w:ascii="Times New Roman" w:hAnsi="Times New Roman" w:eastAsia="宋体" w:cs="Times New Roman"/>
                <w:color w:val="auto"/>
                <w:sz w:val="22"/>
                <w:lang w:val="en-US" w:eastAsia="zh-CN"/>
              </w:rPr>
            </w:pPr>
            <w:r>
              <w:rPr>
                <w:rFonts w:hint="eastAsia" w:ascii="Times New Roman" w:hAnsi="Times New Roman" w:eastAsia="宋体" w:cs="Times New Roman"/>
                <w:color w:val="auto"/>
                <w:sz w:val="22"/>
                <w:lang w:val="en-US" w:eastAsia="zh-CN"/>
              </w:rPr>
              <w:t>0.0081</w:t>
            </w:r>
          </w:p>
        </w:tc>
        <w:tc>
          <w:tcPr>
            <w:tcW w:w="793" w:type="pct"/>
            <w:vAlign w:val="center"/>
          </w:tcPr>
          <w:p w14:paraId="269FFD2A">
            <w:pPr>
              <w:jc w:val="center"/>
              <w:rPr>
                <w:rFonts w:hint="default" w:ascii="Times New Roman" w:hAnsi="Times New Roman" w:eastAsia="宋体" w:cs="Times New Roman"/>
                <w:color w:val="auto"/>
                <w:sz w:val="22"/>
                <w:lang w:val="en-US" w:eastAsia="zh-CN"/>
              </w:rPr>
            </w:pPr>
            <w:r>
              <w:rPr>
                <w:rFonts w:hint="eastAsia" w:ascii="Times New Roman" w:hAnsi="Times New Roman" w:eastAsia="宋体" w:cs="Times New Roman"/>
                <w:color w:val="auto"/>
                <w:sz w:val="22"/>
                <w:lang w:val="en-US" w:eastAsia="zh-CN"/>
              </w:rPr>
              <w:t>0.41</w:t>
            </w:r>
          </w:p>
        </w:tc>
        <w:tc>
          <w:tcPr>
            <w:tcW w:w="470" w:type="pct"/>
            <w:vAlign w:val="center"/>
          </w:tcPr>
          <w:p w14:paraId="62C00D45">
            <w:pPr>
              <w:jc w:val="center"/>
              <w:rPr>
                <w:rFonts w:hint="eastAsia" w:ascii="Times New Roman" w:hAnsi="Times New Roman" w:eastAsia="宋体" w:cs="Times New Roman"/>
                <w:color w:val="auto"/>
                <w:sz w:val="22"/>
                <w:lang w:val="en-US" w:eastAsia="zh-CN"/>
              </w:rPr>
            </w:pPr>
            <w:r>
              <w:rPr>
                <w:rFonts w:hint="eastAsia" w:ascii="Times New Roman" w:hAnsi="Times New Roman" w:eastAsia="宋体" w:cs="Times New Roman"/>
                <w:color w:val="auto"/>
                <w:sz w:val="22"/>
                <w:lang w:val="en-US" w:eastAsia="zh-CN"/>
              </w:rPr>
              <w:t>/</w:t>
            </w:r>
          </w:p>
        </w:tc>
      </w:tr>
      <w:tr w14:paraId="11259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pct"/>
            <w:vMerge w:val="continue"/>
            <w:vAlign w:val="center"/>
          </w:tcPr>
          <w:p w14:paraId="6DA886B4">
            <w:pPr>
              <w:jc w:val="center"/>
              <w:rPr>
                <w:rFonts w:ascii="Times New Roman" w:hAnsi="Times New Roman" w:eastAsia="宋体" w:cs="Times New Roman"/>
                <w:color w:val="auto"/>
                <w:sz w:val="22"/>
              </w:rPr>
            </w:pPr>
          </w:p>
        </w:tc>
        <w:tc>
          <w:tcPr>
            <w:tcW w:w="959" w:type="pct"/>
            <w:vAlign w:val="center"/>
          </w:tcPr>
          <w:p w14:paraId="75449801">
            <w:pPr>
              <w:jc w:val="center"/>
              <w:rPr>
                <w:rFonts w:hint="eastAsia" w:ascii="Times New Roman" w:hAnsi="Times New Roman" w:eastAsia="宋体" w:cs="Times New Roman"/>
                <w:color w:val="auto"/>
                <w:sz w:val="22"/>
                <w:lang w:val="en-US" w:eastAsia="zh-CN"/>
              </w:rPr>
            </w:pPr>
            <w:r>
              <w:rPr>
                <w:rFonts w:hint="eastAsia" w:ascii="Times New Roman" w:hAnsi="Times New Roman" w:eastAsia="宋体" w:cs="Times New Roman"/>
                <w:color w:val="auto"/>
                <w:sz w:val="22"/>
                <w:lang w:val="en-US" w:eastAsia="zh-CN"/>
              </w:rPr>
              <w:t>氨气</w:t>
            </w:r>
          </w:p>
        </w:tc>
        <w:tc>
          <w:tcPr>
            <w:tcW w:w="984" w:type="pct"/>
            <w:vAlign w:val="center"/>
          </w:tcPr>
          <w:p w14:paraId="63885EDD">
            <w:pPr>
              <w:jc w:val="center"/>
              <w:rPr>
                <w:rFonts w:hint="default" w:ascii="Times New Roman" w:hAnsi="Times New Roman" w:eastAsia="宋体" w:cs="Times New Roman"/>
                <w:color w:val="auto"/>
                <w:sz w:val="22"/>
                <w:lang w:val="en-US" w:eastAsia="zh-CN"/>
              </w:rPr>
            </w:pPr>
            <w:r>
              <w:rPr>
                <w:rFonts w:hint="eastAsia" w:ascii="Times New Roman" w:hAnsi="Times New Roman" w:eastAsia="宋体" w:cs="Times New Roman"/>
                <w:color w:val="auto"/>
                <w:sz w:val="22"/>
                <w:lang w:val="en-US" w:eastAsia="zh-CN"/>
              </w:rPr>
              <w:t>200</w:t>
            </w:r>
          </w:p>
        </w:tc>
        <w:tc>
          <w:tcPr>
            <w:tcW w:w="975" w:type="pct"/>
            <w:vAlign w:val="center"/>
          </w:tcPr>
          <w:p w14:paraId="01AC31E9">
            <w:pPr>
              <w:jc w:val="center"/>
              <w:rPr>
                <w:rFonts w:hint="default" w:ascii="Times New Roman" w:hAnsi="Times New Roman" w:eastAsia="宋体" w:cs="Times New Roman"/>
                <w:color w:val="auto"/>
                <w:sz w:val="22"/>
                <w:lang w:val="en-US" w:eastAsia="zh-CN"/>
              </w:rPr>
            </w:pPr>
            <w:r>
              <w:rPr>
                <w:rFonts w:hint="eastAsia" w:ascii="Times New Roman" w:hAnsi="Times New Roman" w:eastAsia="宋体" w:cs="Times New Roman"/>
                <w:color w:val="auto"/>
                <w:sz w:val="22"/>
                <w:lang w:val="en-US" w:eastAsia="zh-CN"/>
              </w:rPr>
              <w:t>0.0025</w:t>
            </w:r>
          </w:p>
        </w:tc>
        <w:tc>
          <w:tcPr>
            <w:tcW w:w="793" w:type="pct"/>
            <w:vAlign w:val="center"/>
          </w:tcPr>
          <w:p w14:paraId="46036128">
            <w:pPr>
              <w:jc w:val="center"/>
              <w:rPr>
                <w:rFonts w:hint="default" w:ascii="Times New Roman" w:hAnsi="Times New Roman" w:eastAsia="宋体" w:cs="Times New Roman"/>
                <w:color w:val="auto"/>
                <w:sz w:val="22"/>
                <w:lang w:val="en-US" w:eastAsia="zh-CN"/>
              </w:rPr>
            </w:pPr>
            <w:r>
              <w:rPr>
                <w:rFonts w:hint="eastAsia" w:ascii="Times New Roman" w:hAnsi="Times New Roman" w:eastAsia="宋体" w:cs="Times New Roman"/>
                <w:color w:val="auto"/>
                <w:sz w:val="22"/>
                <w:lang w:val="en-US" w:eastAsia="zh-CN"/>
              </w:rPr>
              <w:t>1.25</w:t>
            </w:r>
          </w:p>
        </w:tc>
        <w:tc>
          <w:tcPr>
            <w:tcW w:w="470" w:type="pct"/>
            <w:vAlign w:val="center"/>
          </w:tcPr>
          <w:p w14:paraId="0AB30724">
            <w:pPr>
              <w:jc w:val="center"/>
              <w:rPr>
                <w:rFonts w:hint="eastAsia" w:ascii="Times New Roman" w:hAnsi="Times New Roman" w:eastAsia="宋体" w:cs="Times New Roman"/>
                <w:color w:val="auto"/>
                <w:sz w:val="22"/>
                <w:lang w:val="en-US" w:eastAsia="zh-CN"/>
              </w:rPr>
            </w:pPr>
            <w:r>
              <w:rPr>
                <w:rFonts w:hint="eastAsia" w:ascii="Times New Roman" w:hAnsi="Times New Roman" w:eastAsia="宋体" w:cs="Times New Roman"/>
                <w:color w:val="auto"/>
                <w:sz w:val="22"/>
                <w:lang w:val="en-US" w:eastAsia="zh-CN"/>
              </w:rPr>
              <w:t>/</w:t>
            </w:r>
          </w:p>
        </w:tc>
      </w:tr>
      <w:tr w14:paraId="2BB90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pct"/>
            <w:vMerge w:val="restart"/>
            <w:vAlign w:val="center"/>
          </w:tcPr>
          <w:p w14:paraId="1995CCCB">
            <w:pPr>
              <w:jc w:val="center"/>
              <w:rPr>
                <w:rFonts w:hint="default" w:ascii="Times New Roman" w:hAnsi="Times New Roman" w:eastAsiaTheme="minorEastAsia"/>
                <w:color w:val="auto"/>
                <w:sz w:val="22"/>
                <w:szCs w:val="24"/>
                <w:lang w:val="en-US" w:eastAsia="zh-CN"/>
              </w:rPr>
            </w:pPr>
            <w:r>
              <w:rPr>
                <w:rFonts w:hint="eastAsia" w:ascii="Times New Roman" w:hAnsi="Times New Roman"/>
                <w:color w:val="auto"/>
                <w:sz w:val="22"/>
                <w:szCs w:val="24"/>
                <w:lang w:val="en-US" w:eastAsia="zh-CN"/>
              </w:rPr>
              <w:t>DA002</w:t>
            </w:r>
          </w:p>
        </w:tc>
        <w:tc>
          <w:tcPr>
            <w:tcW w:w="959" w:type="pct"/>
            <w:shd w:val="clear" w:color="auto" w:fill="auto"/>
            <w:vAlign w:val="top"/>
          </w:tcPr>
          <w:p w14:paraId="22DE57FF">
            <w:pPr>
              <w:jc w:val="center"/>
              <w:rPr>
                <w:rFonts w:hint="default" w:ascii="Times New Roman" w:hAnsi="Times New Roman" w:eastAsia="宋体" w:cs="Times New Roman"/>
                <w:color w:val="auto"/>
                <w:kern w:val="2"/>
                <w:sz w:val="22"/>
                <w:szCs w:val="22"/>
                <w:lang w:val="en-US" w:eastAsia="zh-CN" w:bidi="ar-SA"/>
              </w:rPr>
            </w:pPr>
            <w:r>
              <w:rPr>
                <w:rFonts w:hint="eastAsia" w:ascii="Times New Roman" w:hAnsi="Times New Roman" w:eastAsia="宋体" w:cs="Times New Roman"/>
                <w:color w:val="auto"/>
                <w:sz w:val="22"/>
                <w:lang w:val="en-US" w:eastAsia="zh-CN"/>
              </w:rPr>
              <w:t>硫化氢</w:t>
            </w:r>
          </w:p>
        </w:tc>
        <w:tc>
          <w:tcPr>
            <w:tcW w:w="984" w:type="pct"/>
            <w:shd w:val="clear" w:color="auto" w:fill="auto"/>
            <w:vAlign w:val="top"/>
          </w:tcPr>
          <w:p w14:paraId="46E299B8">
            <w:pPr>
              <w:jc w:val="center"/>
              <w:rPr>
                <w:rFonts w:hint="default" w:ascii="Times New Roman" w:hAnsi="Times New Roman" w:eastAsia="宋体" w:cs="Times New Roman"/>
                <w:color w:val="auto"/>
                <w:kern w:val="2"/>
                <w:sz w:val="22"/>
                <w:szCs w:val="22"/>
                <w:lang w:val="en-US" w:eastAsia="zh-CN" w:bidi="ar-SA"/>
              </w:rPr>
            </w:pPr>
            <w:r>
              <w:rPr>
                <w:rFonts w:hint="eastAsia" w:ascii="Times New Roman" w:hAnsi="Times New Roman" w:eastAsia="宋体" w:cs="Times New Roman"/>
                <w:color w:val="auto"/>
                <w:sz w:val="22"/>
                <w:lang w:val="en-US" w:eastAsia="zh-CN"/>
              </w:rPr>
              <w:t>10</w:t>
            </w:r>
          </w:p>
        </w:tc>
        <w:tc>
          <w:tcPr>
            <w:tcW w:w="975" w:type="pct"/>
            <w:shd w:val="clear" w:color="auto" w:fill="auto"/>
            <w:vAlign w:val="top"/>
          </w:tcPr>
          <w:p w14:paraId="7E2FF7A4">
            <w:pPr>
              <w:jc w:val="center"/>
              <w:rPr>
                <w:rFonts w:hint="default" w:ascii="Times New Roman" w:hAnsi="Times New Roman" w:eastAsia="宋体" w:cs="Times New Roman"/>
                <w:color w:val="auto"/>
                <w:kern w:val="2"/>
                <w:sz w:val="22"/>
                <w:szCs w:val="22"/>
                <w:lang w:val="en-US" w:eastAsia="zh-CN" w:bidi="ar-SA"/>
              </w:rPr>
            </w:pPr>
            <w:r>
              <w:rPr>
                <w:rFonts w:hint="eastAsia" w:ascii="Times New Roman" w:hAnsi="Times New Roman" w:eastAsia="宋体" w:cs="Times New Roman"/>
                <w:color w:val="auto"/>
                <w:sz w:val="22"/>
                <w:lang w:val="en-US" w:eastAsia="zh-CN"/>
              </w:rPr>
              <w:t>0.0001</w:t>
            </w:r>
          </w:p>
        </w:tc>
        <w:tc>
          <w:tcPr>
            <w:tcW w:w="793" w:type="pct"/>
            <w:shd w:val="clear" w:color="auto" w:fill="auto"/>
            <w:vAlign w:val="center"/>
          </w:tcPr>
          <w:p w14:paraId="113C3994">
            <w:pPr>
              <w:jc w:val="center"/>
              <w:rPr>
                <w:rFonts w:hint="default" w:ascii="Times New Roman" w:hAnsi="Times New Roman" w:eastAsia="宋体" w:cs="Times New Roman"/>
                <w:color w:val="auto"/>
                <w:kern w:val="2"/>
                <w:sz w:val="22"/>
                <w:szCs w:val="22"/>
                <w:lang w:val="en-US" w:eastAsia="zh-CN" w:bidi="ar-SA"/>
              </w:rPr>
            </w:pPr>
            <w:r>
              <w:rPr>
                <w:rFonts w:hint="eastAsia" w:ascii="Times New Roman" w:hAnsi="Times New Roman" w:eastAsia="宋体" w:cs="Times New Roman"/>
                <w:color w:val="auto"/>
                <w:sz w:val="22"/>
                <w:lang w:val="en-US" w:eastAsia="zh-CN"/>
              </w:rPr>
              <w:t>0.89</w:t>
            </w:r>
          </w:p>
        </w:tc>
        <w:tc>
          <w:tcPr>
            <w:tcW w:w="470" w:type="pct"/>
            <w:shd w:val="clear" w:color="auto" w:fill="auto"/>
            <w:vAlign w:val="top"/>
          </w:tcPr>
          <w:p w14:paraId="4E79A4ED">
            <w:pPr>
              <w:jc w:val="center"/>
              <w:rPr>
                <w:rFonts w:hint="default" w:ascii="Times New Roman" w:hAnsi="Times New Roman" w:eastAsia="宋体" w:cs="Times New Roman"/>
                <w:color w:val="auto"/>
                <w:kern w:val="2"/>
                <w:sz w:val="22"/>
                <w:szCs w:val="22"/>
                <w:lang w:val="en-US" w:eastAsia="zh-CN" w:bidi="ar-SA"/>
              </w:rPr>
            </w:pPr>
            <w:r>
              <w:rPr>
                <w:rFonts w:hint="eastAsia" w:ascii="Times New Roman" w:hAnsi="Times New Roman" w:eastAsia="宋体" w:cs="Times New Roman"/>
                <w:color w:val="auto"/>
                <w:sz w:val="22"/>
                <w:lang w:val="en-US" w:eastAsia="zh-CN"/>
              </w:rPr>
              <w:t>/</w:t>
            </w:r>
          </w:p>
        </w:tc>
      </w:tr>
      <w:tr w14:paraId="43F48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pct"/>
            <w:vMerge w:val="continue"/>
            <w:vAlign w:val="center"/>
          </w:tcPr>
          <w:p w14:paraId="73625C1F">
            <w:pPr>
              <w:jc w:val="center"/>
              <w:rPr>
                <w:rFonts w:ascii="Times New Roman" w:hAnsi="Times New Roman"/>
                <w:color w:val="auto"/>
                <w:sz w:val="22"/>
                <w:szCs w:val="24"/>
              </w:rPr>
            </w:pPr>
          </w:p>
        </w:tc>
        <w:tc>
          <w:tcPr>
            <w:tcW w:w="959" w:type="pct"/>
            <w:shd w:val="clear" w:color="auto" w:fill="auto"/>
            <w:vAlign w:val="top"/>
          </w:tcPr>
          <w:p w14:paraId="1F75028E">
            <w:pPr>
              <w:jc w:val="center"/>
              <w:rPr>
                <w:rFonts w:hint="eastAsia" w:ascii="Times New Roman" w:hAnsi="Times New Roman" w:eastAsia="宋体" w:cs="Times New Roman"/>
                <w:color w:val="auto"/>
                <w:kern w:val="2"/>
                <w:sz w:val="22"/>
                <w:szCs w:val="22"/>
                <w:lang w:val="en-US" w:eastAsia="zh-CN" w:bidi="ar-SA"/>
              </w:rPr>
            </w:pPr>
            <w:r>
              <w:rPr>
                <w:rFonts w:hint="eastAsia" w:ascii="Times New Roman" w:hAnsi="Times New Roman" w:eastAsia="宋体" w:cs="Times New Roman"/>
                <w:color w:val="auto"/>
                <w:sz w:val="22"/>
                <w:lang w:val="en-US" w:eastAsia="zh-CN"/>
              </w:rPr>
              <w:t>氨气</w:t>
            </w:r>
          </w:p>
        </w:tc>
        <w:tc>
          <w:tcPr>
            <w:tcW w:w="984" w:type="pct"/>
            <w:shd w:val="clear" w:color="auto" w:fill="auto"/>
            <w:vAlign w:val="top"/>
          </w:tcPr>
          <w:p w14:paraId="66EFCDA3">
            <w:pPr>
              <w:jc w:val="center"/>
              <w:rPr>
                <w:rFonts w:hint="default" w:ascii="Times New Roman" w:hAnsi="Times New Roman" w:eastAsia="宋体" w:cs="Times New Roman"/>
                <w:color w:val="auto"/>
                <w:kern w:val="2"/>
                <w:sz w:val="22"/>
                <w:szCs w:val="22"/>
                <w:lang w:val="en-US" w:eastAsia="zh-CN" w:bidi="ar-SA"/>
              </w:rPr>
            </w:pPr>
            <w:r>
              <w:rPr>
                <w:rFonts w:hint="eastAsia" w:ascii="Times New Roman" w:hAnsi="Times New Roman" w:eastAsia="宋体" w:cs="Times New Roman"/>
                <w:color w:val="auto"/>
                <w:sz w:val="22"/>
                <w:lang w:val="en-US" w:eastAsia="zh-CN"/>
              </w:rPr>
              <w:t>200</w:t>
            </w:r>
          </w:p>
        </w:tc>
        <w:tc>
          <w:tcPr>
            <w:tcW w:w="975" w:type="pct"/>
            <w:shd w:val="clear" w:color="auto" w:fill="auto"/>
            <w:vAlign w:val="top"/>
          </w:tcPr>
          <w:p w14:paraId="18B0CE11">
            <w:pPr>
              <w:jc w:val="center"/>
              <w:rPr>
                <w:rFonts w:hint="default" w:ascii="Times New Roman" w:hAnsi="Times New Roman" w:eastAsia="宋体" w:cs="Times New Roman"/>
                <w:color w:val="auto"/>
                <w:kern w:val="2"/>
                <w:sz w:val="22"/>
                <w:szCs w:val="22"/>
                <w:lang w:val="en-US" w:eastAsia="zh-CN" w:bidi="ar-SA"/>
              </w:rPr>
            </w:pPr>
            <w:r>
              <w:rPr>
                <w:rFonts w:hint="eastAsia" w:ascii="Times New Roman" w:hAnsi="Times New Roman" w:eastAsia="宋体" w:cs="Times New Roman"/>
                <w:color w:val="auto"/>
                <w:sz w:val="22"/>
                <w:lang w:val="en-US" w:eastAsia="zh-CN"/>
              </w:rPr>
              <w:t>0.0003</w:t>
            </w:r>
          </w:p>
        </w:tc>
        <w:tc>
          <w:tcPr>
            <w:tcW w:w="793" w:type="pct"/>
            <w:shd w:val="clear" w:color="auto" w:fill="auto"/>
            <w:vAlign w:val="center"/>
          </w:tcPr>
          <w:p w14:paraId="51DE3293">
            <w:pPr>
              <w:jc w:val="center"/>
              <w:rPr>
                <w:rFonts w:hint="default" w:ascii="Times New Roman" w:hAnsi="Times New Roman" w:eastAsia="宋体" w:cs="Times New Roman"/>
                <w:color w:val="auto"/>
                <w:kern w:val="2"/>
                <w:sz w:val="22"/>
                <w:szCs w:val="22"/>
                <w:lang w:val="en-US" w:eastAsia="zh-CN" w:bidi="ar-SA"/>
              </w:rPr>
            </w:pPr>
            <w:r>
              <w:rPr>
                <w:rFonts w:hint="eastAsia" w:ascii="Times New Roman" w:hAnsi="Times New Roman" w:eastAsia="宋体" w:cs="Times New Roman"/>
                <w:color w:val="auto"/>
                <w:sz w:val="22"/>
                <w:lang w:val="en-US" w:eastAsia="zh-CN"/>
              </w:rPr>
              <w:t>0.13</w:t>
            </w:r>
          </w:p>
        </w:tc>
        <w:tc>
          <w:tcPr>
            <w:tcW w:w="470" w:type="pct"/>
            <w:shd w:val="clear" w:color="auto" w:fill="auto"/>
            <w:vAlign w:val="top"/>
          </w:tcPr>
          <w:p w14:paraId="5447076B">
            <w:pPr>
              <w:jc w:val="center"/>
              <w:rPr>
                <w:rFonts w:hint="eastAsia" w:ascii="Times New Roman" w:hAnsi="Times New Roman" w:eastAsia="宋体" w:cs="Times New Roman"/>
                <w:color w:val="auto"/>
                <w:kern w:val="2"/>
                <w:sz w:val="22"/>
                <w:szCs w:val="22"/>
                <w:lang w:val="en-US" w:eastAsia="zh-CN" w:bidi="ar-SA"/>
              </w:rPr>
            </w:pPr>
            <w:r>
              <w:rPr>
                <w:rFonts w:hint="eastAsia" w:ascii="Times New Roman" w:hAnsi="Times New Roman" w:eastAsia="宋体" w:cs="Times New Roman"/>
                <w:color w:val="auto"/>
                <w:sz w:val="22"/>
                <w:lang w:val="en-US" w:eastAsia="zh-CN"/>
              </w:rPr>
              <w:t>/</w:t>
            </w:r>
          </w:p>
        </w:tc>
      </w:tr>
      <w:tr w14:paraId="6929C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pct"/>
            <w:vMerge w:val="restart"/>
            <w:vAlign w:val="center"/>
          </w:tcPr>
          <w:p w14:paraId="2283E88B">
            <w:pPr>
              <w:jc w:val="center"/>
              <w:rPr>
                <w:rFonts w:hint="default" w:ascii="Times New Roman" w:hAnsi="Times New Roman" w:eastAsiaTheme="minorEastAsia"/>
                <w:color w:val="auto"/>
                <w:sz w:val="22"/>
                <w:szCs w:val="24"/>
                <w:lang w:val="en-US" w:eastAsia="zh-CN"/>
              </w:rPr>
            </w:pPr>
            <w:r>
              <w:rPr>
                <w:rFonts w:hint="eastAsia" w:ascii="Times New Roman" w:hAnsi="Times New Roman"/>
                <w:color w:val="auto"/>
                <w:sz w:val="22"/>
                <w:szCs w:val="24"/>
                <w:lang w:val="en-US" w:eastAsia="zh-CN"/>
              </w:rPr>
              <w:t>污水处理站</w:t>
            </w:r>
          </w:p>
        </w:tc>
        <w:tc>
          <w:tcPr>
            <w:tcW w:w="959" w:type="pct"/>
            <w:shd w:val="clear" w:color="auto" w:fill="auto"/>
            <w:vAlign w:val="top"/>
          </w:tcPr>
          <w:p w14:paraId="397CE028">
            <w:pPr>
              <w:jc w:val="center"/>
              <w:rPr>
                <w:rFonts w:hint="default" w:ascii="Times New Roman" w:hAnsi="Times New Roman" w:eastAsia="宋体" w:cs="Times New Roman"/>
                <w:color w:val="auto"/>
                <w:kern w:val="2"/>
                <w:sz w:val="22"/>
                <w:szCs w:val="22"/>
                <w:lang w:val="en-US" w:eastAsia="zh-CN" w:bidi="ar-SA"/>
              </w:rPr>
            </w:pPr>
            <w:r>
              <w:rPr>
                <w:rFonts w:hint="eastAsia" w:ascii="Times New Roman" w:hAnsi="Times New Roman" w:eastAsia="宋体" w:cs="Times New Roman"/>
                <w:color w:val="auto"/>
                <w:sz w:val="22"/>
                <w:lang w:val="en-US" w:eastAsia="zh-CN"/>
              </w:rPr>
              <w:t>硫化氢</w:t>
            </w:r>
          </w:p>
        </w:tc>
        <w:tc>
          <w:tcPr>
            <w:tcW w:w="984" w:type="pct"/>
            <w:shd w:val="clear" w:color="auto" w:fill="auto"/>
            <w:vAlign w:val="top"/>
          </w:tcPr>
          <w:p w14:paraId="06B03933">
            <w:pPr>
              <w:jc w:val="center"/>
              <w:rPr>
                <w:rFonts w:hint="default" w:ascii="Times New Roman" w:hAnsi="Times New Roman" w:eastAsia="宋体" w:cs="Times New Roman"/>
                <w:color w:val="auto"/>
                <w:kern w:val="2"/>
                <w:sz w:val="22"/>
                <w:szCs w:val="22"/>
                <w:lang w:val="en-US" w:eastAsia="zh-CN" w:bidi="ar-SA"/>
              </w:rPr>
            </w:pPr>
            <w:r>
              <w:rPr>
                <w:rFonts w:hint="eastAsia" w:ascii="Times New Roman" w:hAnsi="Times New Roman" w:eastAsia="宋体" w:cs="Times New Roman"/>
                <w:color w:val="auto"/>
                <w:sz w:val="22"/>
                <w:lang w:val="en-US" w:eastAsia="zh-CN"/>
              </w:rPr>
              <w:t>10</w:t>
            </w:r>
          </w:p>
        </w:tc>
        <w:tc>
          <w:tcPr>
            <w:tcW w:w="975" w:type="pct"/>
            <w:shd w:val="clear" w:color="auto" w:fill="auto"/>
            <w:vAlign w:val="center"/>
          </w:tcPr>
          <w:p w14:paraId="318F04C3">
            <w:pPr>
              <w:jc w:val="center"/>
              <w:rPr>
                <w:rFonts w:hint="default" w:ascii="Times New Roman" w:hAnsi="Times New Roman" w:eastAsia="宋体" w:cs="Times New Roman"/>
                <w:color w:val="auto"/>
                <w:kern w:val="2"/>
                <w:sz w:val="22"/>
                <w:szCs w:val="22"/>
                <w:lang w:val="en-US" w:eastAsia="zh-CN" w:bidi="ar-SA"/>
              </w:rPr>
            </w:pPr>
            <w:r>
              <w:rPr>
                <w:rFonts w:hint="eastAsia" w:ascii="Times New Roman" w:hAnsi="Times New Roman" w:eastAsia="宋体" w:cs="Times New Roman"/>
                <w:color w:val="auto"/>
                <w:sz w:val="22"/>
                <w:lang w:val="en-US" w:eastAsia="zh-CN"/>
              </w:rPr>
              <w:t>0.0001</w:t>
            </w:r>
          </w:p>
        </w:tc>
        <w:tc>
          <w:tcPr>
            <w:tcW w:w="793" w:type="pct"/>
            <w:shd w:val="clear" w:color="auto" w:fill="auto"/>
            <w:vAlign w:val="center"/>
          </w:tcPr>
          <w:p w14:paraId="56B67F43">
            <w:pPr>
              <w:jc w:val="center"/>
              <w:rPr>
                <w:rFonts w:hint="default" w:ascii="Times New Roman" w:hAnsi="Times New Roman" w:eastAsia="宋体" w:cs="Times New Roman"/>
                <w:color w:val="auto"/>
                <w:kern w:val="2"/>
                <w:sz w:val="22"/>
                <w:szCs w:val="22"/>
                <w:lang w:val="en-US" w:eastAsia="zh-CN" w:bidi="ar-SA"/>
              </w:rPr>
            </w:pPr>
            <w:r>
              <w:rPr>
                <w:rFonts w:hint="eastAsia" w:ascii="Times New Roman" w:hAnsi="Times New Roman" w:eastAsia="宋体" w:cs="Times New Roman"/>
                <w:color w:val="auto"/>
                <w:sz w:val="22"/>
                <w:lang w:val="en-US" w:eastAsia="zh-CN"/>
              </w:rPr>
              <w:t>0.99</w:t>
            </w:r>
          </w:p>
        </w:tc>
        <w:tc>
          <w:tcPr>
            <w:tcW w:w="470" w:type="pct"/>
          </w:tcPr>
          <w:p w14:paraId="323CFFB0">
            <w:pPr>
              <w:jc w:val="center"/>
              <w:rPr>
                <w:rFonts w:hint="eastAsia" w:ascii="Times New Roman" w:hAnsi="Times New Roman" w:eastAsia="宋体" w:cs="Times New Roman"/>
                <w:color w:val="auto"/>
                <w:sz w:val="22"/>
                <w:lang w:val="en-US" w:eastAsia="zh-CN"/>
              </w:rPr>
            </w:pPr>
            <w:r>
              <w:rPr>
                <w:rFonts w:hint="eastAsia" w:ascii="Times New Roman" w:hAnsi="Times New Roman" w:eastAsia="宋体" w:cs="Times New Roman"/>
                <w:color w:val="auto"/>
                <w:sz w:val="22"/>
                <w:lang w:val="en-US" w:eastAsia="zh-CN"/>
              </w:rPr>
              <w:t>/</w:t>
            </w:r>
          </w:p>
        </w:tc>
      </w:tr>
      <w:tr w14:paraId="7E5D4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pct"/>
            <w:vMerge w:val="continue"/>
            <w:vAlign w:val="center"/>
          </w:tcPr>
          <w:p w14:paraId="11CB154B">
            <w:pPr>
              <w:jc w:val="center"/>
              <w:rPr>
                <w:rFonts w:hint="eastAsia" w:ascii="Times New Roman" w:hAnsi="Times New Roman"/>
                <w:color w:val="auto"/>
                <w:sz w:val="22"/>
                <w:szCs w:val="24"/>
              </w:rPr>
            </w:pPr>
          </w:p>
        </w:tc>
        <w:tc>
          <w:tcPr>
            <w:tcW w:w="959" w:type="pct"/>
            <w:shd w:val="clear" w:color="auto" w:fill="auto"/>
            <w:vAlign w:val="top"/>
          </w:tcPr>
          <w:p w14:paraId="7971FCB5">
            <w:pPr>
              <w:jc w:val="center"/>
              <w:rPr>
                <w:rFonts w:hint="eastAsia" w:ascii="Times New Roman" w:hAnsi="Times New Roman" w:eastAsia="宋体" w:cs="Times New Roman"/>
                <w:color w:val="auto"/>
                <w:kern w:val="2"/>
                <w:sz w:val="22"/>
                <w:szCs w:val="22"/>
                <w:lang w:val="en-US" w:eastAsia="zh-CN" w:bidi="ar-SA"/>
              </w:rPr>
            </w:pPr>
            <w:r>
              <w:rPr>
                <w:rFonts w:hint="eastAsia" w:ascii="Times New Roman" w:hAnsi="Times New Roman" w:eastAsia="宋体" w:cs="Times New Roman"/>
                <w:color w:val="auto"/>
                <w:sz w:val="22"/>
                <w:lang w:val="en-US" w:eastAsia="zh-CN"/>
              </w:rPr>
              <w:t>氨气</w:t>
            </w:r>
          </w:p>
        </w:tc>
        <w:tc>
          <w:tcPr>
            <w:tcW w:w="984" w:type="pct"/>
            <w:shd w:val="clear" w:color="auto" w:fill="auto"/>
            <w:vAlign w:val="top"/>
          </w:tcPr>
          <w:p w14:paraId="5B20FAF1">
            <w:pPr>
              <w:jc w:val="center"/>
              <w:rPr>
                <w:rFonts w:hint="default" w:ascii="Times New Roman" w:hAnsi="Times New Roman" w:eastAsia="宋体" w:cs="Times New Roman"/>
                <w:color w:val="auto"/>
                <w:kern w:val="2"/>
                <w:sz w:val="22"/>
                <w:szCs w:val="22"/>
                <w:lang w:val="en-US" w:eastAsia="zh-CN" w:bidi="ar-SA"/>
              </w:rPr>
            </w:pPr>
            <w:r>
              <w:rPr>
                <w:rFonts w:hint="eastAsia" w:ascii="Times New Roman" w:hAnsi="Times New Roman" w:eastAsia="宋体" w:cs="Times New Roman"/>
                <w:color w:val="auto"/>
                <w:sz w:val="22"/>
                <w:lang w:val="en-US" w:eastAsia="zh-CN"/>
              </w:rPr>
              <w:t>200</w:t>
            </w:r>
          </w:p>
        </w:tc>
        <w:tc>
          <w:tcPr>
            <w:tcW w:w="975" w:type="pct"/>
            <w:shd w:val="clear" w:color="auto" w:fill="auto"/>
            <w:vAlign w:val="center"/>
          </w:tcPr>
          <w:p w14:paraId="00746680">
            <w:pPr>
              <w:jc w:val="center"/>
              <w:rPr>
                <w:rFonts w:hint="default" w:ascii="Times New Roman" w:hAnsi="Times New Roman" w:eastAsia="宋体" w:cs="Times New Roman"/>
                <w:color w:val="auto"/>
                <w:kern w:val="2"/>
                <w:sz w:val="22"/>
                <w:szCs w:val="22"/>
                <w:lang w:val="en-US" w:eastAsia="zh-CN" w:bidi="ar-SA"/>
              </w:rPr>
            </w:pPr>
            <w:r>
              <w:rPr>
                <w:rFonts w:hint="eastAsia" w:ascii="Times New Roman" w:hAnsi="Times New Roman" w:eastAsia="宋体" w:cs="Times New Roman"/>
                <w:color w:val="auto"/>
                <w:sz w:val="22"/>
                <w:lang w:val="en-US" w:eastAsia="zh-CN"/>
              </w:rPr>
              <w:t>0.0002</w:t>
            </w:r>
          </w:p>
        </w:tc>
        <w:tc>
          <w:tcPr>
            <w:tcW w:w="793" w:type="pct"/>
            <w:shd w:val="clear" w:color="auto" w:fill="auto"/>
            <w:vAlign w:val="center"/>
          </w:tcPr>
          <w:p w14:paraId="269EA5B0">
            <w:pPr>
              <w:jc w:val="center"/>
              <w:rPr>
                <w:rFonts w:hint="default" w:ascii="Times New Roman" w:hAnsi="Times New Roman" w:eastAsia="宋体" w:cs="Times New Roman"/>
                <w:color w:val="auto"/>
                <w:kern w:val="2"/>
                <w:sz w:val="22"/>
                <w:szCs w:val="22"/>
                <w:lang w:val="en-US" w:eastAsia="zh-CN" w:bidi="ar-SA"/>
              </w:rPr>
            </w:pPr>
            <w:r>
              <w:rPr>
                <w:rFonts w:hint="eastAsia" w:ascii="Times New Roman" w:hAnsi="Times New Roman" w:eastAsia="宋体" w:cs="Times New Roman"/>
                <w:color w:val="auto"/>
                <w:sz w:val="22"/>
                <w:lang w:val="en-US" w:eastAsia="zh-CN"/>
              </w:rPr>
              <w:t>0.12</w:t>
            </w:r>
          </w:p>
        </w:tc>
        <w:tc>
          <w:tcPr>
            <w:tcW w:w="470" w:type="pct"/>
          </w:tcPr>
          <w:p w14:paraId="128B9221">
            <w:pPr>
              <w:jc w:val="center"/>
              <w:rPr>
                <w:rFonts w:hint="eastAsia" w:ascii="Times New Roman" w:hAnsi="Times New Roman" w:eastAsia="宋体" w:cs="Times New Roman"/>
                <w:color w:val="auto"/>
                <w:sz w:val="22"/>
                <w:lang w:val="en-US" w:eastAsia="zh-CN"/>
              </w:rPr>
            </w:pPr>
            <w:r>
              <w:rPr>
                <w:rFonts w:hint="eastAsia" w:ascii="Times New Roman" w:hAnsi="Times New Roman" w:eastAsia="宋体" w:cs="Times New Roman"/>
                <w:color w:val="auto"/>
                <w:sz w:val="22"/>
                <w:lang w:val="en-US" w:eastAsia="zh-CN"/>
              </w:rPr>
              <w:t>/</w:t>
            </w:r>
          </w:p>
        </w:tc>
      </w:tr>
    </w:tbl>
    <w:p w14:paraId="4814FB39">
      <w:pPr>
        <w:spacing w:line="360" w:lineRule="auto"/>
        <w:ind w:firstLine="480" w:firstLineChars="200"/>
        <w:rPr>
          <w:rFonts w:ascii="Times New Roman" w:hAnsi="Times New Roman" w:eastAsia="宋体" w:cs="Times New Roman"/>
          <w:color w:val="auto"/>
          <w:sz w:val="24"/>
          <w:szCs w:val="24"/>
          <w:u w:val="none"/>
        </w:rPr>
      </w:pPr>
      <w:r>
        <w:rPr>
          <w:rFonts w:hint="eastAsia" w:ascii="Times New Roman" w:hAnsi="Times New Roman" w:eastAsia="宋体" w:cs="Times New Roman"/>
          <w:color w:val="auto"/>
          <w:sz w:val="24"/>
          <w:szCs w:val="24"/>
          <w:u w:val="none"/>
        </w:rPr>
        <w:t>由上述估算结果可知，本项目</w:t>
      </w:r>
      <w:r>
        <w:rPr>
          <w:rFonts w:hint="eastAsia" w:ascii="Times New Roman" w:hAnsi="Times New Roman" w:eastAsia="宋体" w:cs="Times New Roman"/>
          <w:color w:val="auto"/>
          <w:sz w:val="24"/>
          <w:szCs w:val="24"/>
          <w:u w:val="none"/>
          <w:lang w:val="en-US" w:eastAsia="zh-CN"/>
        </w:rPr>
        <w:t>DA001</w:t>
      </w:r>
      <w:r>
        <w:rPr>
          <w:rFonts w:hint="eastAsia" w:ascii="Times New Roman" w:hAnsi="Times New Roman" w:eastAsia="宋体" w:cs="Times New Roman"/>
          <w:color w:val="auto"/>
          <w:sz w:val="24"/>
          <w:szCs w:val="24"/>
          <w:u w:val="none"/>
        </w:rPr>
        <w:t>的</w:t>
      </w:r>
      <w:r>
        <w:rPr>
          <w:rFonts w:hint="eastAsia" w:ascii="Times New Roman" w:hAnsi="Times New Roman" w:eastAsia="宋体" w:cs="Times New Roman"/>
          <w:color w:val="auto"/>
          <w:sz w:val="24"/>
          <w:szCs w:val="24"/>
          <w:u w:val="none"/>
          <w:lang w:val="en-US" w:eastAsia="zh-CN"/>
        </w:rPr>
        <w:t>TSP有组织排放</w:t>
      </w:r>
      <w:r>
        <w:rPr>
          <w:rFonts w:hint="eastAsia" w:ascii="Times New Roman" w:hAnsi="Times New Roman" w:eastAsia="宋体" w:cs="Times New Roman"/>
          <w:color w:val="auto"/>
          <w:sz w:val="24"/>
          <w:szCs w:val="24"/>
          <w:u w:val="none"/>
        </w:rPr>
        <w:t>浓度最大占标率为</w:t>
      </w:r>
      <w:r>
        <w:rPr>
          <w:rFonts w:hint="eastAsia" w:ascii="Times New Roman" w:hAnsi="Times New Roman" w:eastAsia="宋体" w:cs="Times New Roman"/>
          <w:color w:val="auto"/>
          <w:sz w:val="24"/>
          <w:szCs w:val="24"/>
          <w:u w:val="none"/>
          <w:lang w:val="en-US" w:eastAsia="zh-CN"/>
        </w:rPr>
        <w:t>3.56</w:t>
      </w:r>
      <w:r>
        <w:rPr>
          <w:rFonts w:hint="eastAsia" w:ascii="Times New Roman" w:hAnsi="Times New Roman" w:eastAsia="宋体" w:cs="Times New Roman"/>
          <w:color w:val="auto"/>
          <w:sz w:val="24"/>
          <w:szCs w:val="24"/>
          <w:u w:val="none"/>
        </w:rPr>
        <w:t>%</w:t>
      </w:r>
      <w:r>
        <w:rPr>
          <w:rFonts w:hint="default" w:ascii="Times New Roman" w:hAnsi="Times New Roman" w:eastAsia="宋体" w:cs="Times New Roman"/>
          <w:color w:val="auto"/>
          <w:sz w:val="24"/>
          <w:szCs w:val="24"/>
          <w:u w:val="none"/>
        </w:rPr>
        <w:t>&lt;</w:t>
      </w:r>
      <w:r>
        <w:rPr>
          <w:rFonts w:hint="eastAsia" w:ascii="Times New Roman" w:hAnsi="Times New Roman" w:eastAsia="宋体" w:cs="Times New Roman"/>
          <w:color w:val="auto"/>
          <w:sz w:val="24"/>
          <w:szCs w:val="24"/>
          <w:u w:val="none"/>
        </w:rPr>
        <w:t>10%，确定本项目大气评价等级为</w:t>
      </w:r>
      <w:r>
        <w:rPr>
          <w:rFonts w:hint="eastAsia" w:ascii="Times New Roman" w:hAnsi="Times New Roman" w:eastAsia="宋体" w:cs="Times New Roman"/>
          <w:color w:val="auto"/>
          <w:sz w:val="24"/>
          <w:szCs w:val="24"/>
          <w:u w:val="none"/>
          <w:lang w:val="en-US" w:eastAsia="zh-CN"/>
        </w:rPr>
        <w:t>二</w:t>
      </w:r>
      <w:r>
        <w:rPr>
          <w:rFonts w:hint="eastAsia" w:ascii="Times New Roman" w:hAnsi="Times New Roman" w:eastAsia="宋体" w:cs="Times New Roman"/>
          <w:color w:val="auto"/>
          <w:sz w:val="24"/>
          <w:szCs w:val="24"/>
          <w:u w:val="none"/>
        </w:rPr>
        <w:t>级</w:t>
      </w:r>
      <w:r>
        <w:rPr>
          <w:rFonts w:hint="eastAsia" w:ascii="Times New Roman" w:hAnsi="Times New Roman" w:eastAsia="宋体" w:cs="Times New Roman"/>
          <w:color w:val="auto"/>
          <w:sz w:val="24"/>
          <w:szCs w:val="24"/>
          <w:u w:val="none"/>
          <w:lang w:eastAsia="zh-CN"/>
        </w:rPr>
        <w:t>，</w:t>
      </w:r>
      <w:r>
        <w:rPr>
          <w:rFonts w:hint="eastAsia" w:ascii="Times New Roman" w:hAnsi="Times New Roman" w:eastAsia="宋体" w:cs="Times New Roman"/>
          <w:color w:val="auto"/>
          <w:sz w:val="24"/>
          <w:szCs w:val="24"/>
          <w:u w:val="none"/>
        </w:rPr>
        <w:t>因此，确定本项目评价范围取边长为5km的矩形区域。</w:t>
      </w:r>
    </w:p>
    <w:p w14:paraId="67F68C5A">
      <w:pPr>
        <w:keepNext/>
        <w:keepLines/>
        <w:spacing w:before="156" w:beforeLines="50" w:after="156" w:afterLines="50" w:line="360" w:lineRule="auto"/>
        <w:outlineLvl w:val="2"/>
        <w:rPr>
          <w:rFonts w:ascii="Times New Roman" w:hAnsi="Times New Roman" w:eastAsia="宋体" w:cs="Times New Roman"/>
          <w:b/>
          <w:color w:val="auto"/>
          <w:kern w:val="0"/>
          <w:sz w:val="24"/>
          <w:szCs w:val="24"/>
        </w:rPr>
      </w:pPr>
      <w:r>
        <w:rPr>
          <w:rFonts w:ascii="Times New Roman" w:hAnsi="Times New Roman" w:eastAsia="宋体" w:cs="Times New Roman"/>
          <w:b/>
          <w:color w:val="auto"/>
          <w:kern w:val="0"/>
          <w:sz w:val="24"/>
          <w:szCs w:val="24"/>
        </w:rPr>
        <w:t>2.5.2地表水环境影响评价工作等级及范围</w:t>
      </w:r>
    </w:p>
    <w:p w14:paraId="78733FF2">
      <w:pPr>
        <w:spacing w:line="360" w:lineRule="auto"/>
        <w:ind w:firstLine="480" w:firstLineChars="200"/>
        <w:rPr>
          <w:rFonts w:ascii="Times New Roman" w:hAnsi="Times New Roman" w:eastAsia="宋体" w:cs="宋体"/>
          <w:color w:val="auto"/>
          <w:sz w:val="24"/>
          <w:szCs w:val="24"/>
        </w:rPr>
      </w:pPr>
      <w:r>
        <w:rPr>
          <w:rFonts w:hint="eastAsia" w:ascii="Times New Roman" w:hAnsi="Times New Roman" w:eastAsia="宋体" w:cs="宋体"/>
          <w:color w:val="auto"/>
          <w:sz w:val="24"/>
          <w:szCs w:val="24"/>
        </w:rPr>
        <w:t>本项目工艺废水、地面冲洗废水、设备清洗废水等送废水处理站处理后，排入津市工业园污水处理厂处理；</w:t>
      </w:r>
    </w:p>
    <w:p w14:paraId="78690C4A">
      <w:pPr>
        <w:spacing w:line="360" w:lineRule="auto"/>
        <w:ind w:firstLine="480" w:firstLineChars="200"/>
        <w:rPr>
          <w:rFonts w:ascii="Times New Roman" w:hAnsi="Times New Roman" w:eastAsia="宋体" w:cs="宋体"/>
          <w:color w:val="auto"/>
          <w:sz w:val="24"/>
          <w:szCs w:val="24"/>
        </w:rPr>
      </w:pPr>
      <w:r>
        <w:rPr>
          <w:rFonts w:hint="eastAsia" w:ascii="Times New Roman" w:hAnsi="Times New Roman" w:eastAsia="宋体" w:cs="宋体"/>
          <w:color w:val="auto"/>
          <w:sz w:val="24"/>
          <w:szCs w:val="24"/>
        </w:rPr>
        <w:t>生活污水经化粪池处理后，排入厂内污水处理站再进入津市工业园污水处理厂处理。</w:t>
      </w:r>
    </w:p>
    <w:p w14:paraId="710969F1">
      <w:pPr>
        <w:spacing w:line="360" w:lineRule="auto"/>
        <w:ind w:firstLine="480" w:firstLineChars="200"/>
        <w:rPr>
          <w:rFonts w:ascii="Times New Roman" w:hAnsi="Times New Roman" w:eastAsia="宋体" w:cs="宋体"/>
          <w:color w:val="auto"/>
          <w:sz w:val="24"/>
          <w:szCs w:val="24"/>
        </w:rPr>
      </w:pPr>
      <w:r>
        <w:rPr>
          <w:rFonts w:ascii="Times New Roman" w:hAnsi="Times New Roman" w:eastAsia="宋体" w:cs="宋体"/>
          <w:color w:val="auto"/>
          <w:sz w:val="24"/>
          <w:szCs w:val="24"/>
        </w:rPr>
        <w:t>根据《环境影响评价技术导则 地表水环境》HJ2.3-2018，水污染影响型建设项目根据排放方式和废水排放量划分评价等级，见表</w:t>
      </w:r>
      <w:r>
        <w:rPr>
          <w:rFonts w:hint="eastAsia" w:ascii="Times New Roman" w:hAnsi="Times New Roman" w:eastAsia="宋体" w:cs="宋体"/>
          <w:color w:val="auto"/>
          <w:sz w:val="24"/>
          <w:szCs w:val="24"/>
        </w:rPr>
        <w:t>2.5.2-1</w:t>
      </w:r>
      <w:r>
        <w:rPr>
          <w:rFonts w:ascii="Times New Roman" w:hAnsi="Times New Roman" w:eastAsia="宋体" w:cs="宋体"/>
          <w:color w:val="auto"/>
          <w:sz w:val="24"/>
          <w:szCs w:val="24"/>
        </w:rPr>
        <w:t>。</w:t>
      </w:r>
    </w:p>
    <w:p w14:paraId="11323485">
      <w:pPr>
        <w:pStyle w:val="6"/>
        <w:bidi w:val="0"/>
      </w:pPr>
      <w:r>
        <w:t>表2.5</w:t>
      </w:r>
      <w:r>
        <w:rPr>
          <w:rFonts w:hint="eastAsia"/>
        </w:rPr>
        <w:t>.2</w:t>
      </w:r>
      <w:r>
        <w:t>-</w:t>
      </w:r>
      <w:r>
        <w:rPr>
          <w:rFonts w:hint="eastAsia"/>
        </w:rPr>
        <w:t>1</w:t>
      </w:r>
      <w:r>
        <w:t xml:space="preserve">  水污染影响型建设项目评价等级判定</w:t>
      </w:r>
    </w:p>
    <w:tbl>
      <w:tblPr>
        <w:tblStyle w:val="41"/>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43"/>
        <w:gridCol w:w="1744"/>
        <w:gridCol w:w="5033"/>
      </w:tblGrid>
      <w:tr w14:paraId="7D053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3" w:type="pct"/>
            <w:vMerge w:val="restart"/>
            <w:vAlign w:val="center"/>
          </w:tcPr>
          <w:p w14:paraId="4E15906E">
            <w:pPr>
              <w:jc w:val="center"/>
              <w:rPr>
                <w:rFonts w:ascii="Times New Roman" w:hAnsi="Times New Roman" w:eastAsia="宋体" w:cs="Times New Roman"/>
                <w:b/>
                <w:bCs/>
                <w:color w:val="auto"/>
                <w:szCs w:val="21"/>
              </w:rPr>
            </w:pPr>
            <w:r>
              <w:rPr>
                <w:rFonts w:ascii="Times New Roman" w:hAnsi="Times New Roman" w:eastAsia="宋体" w:cs="Times New Roman"/>
                <w:b/>
                <w:bCs/>
                <w:color w:val="auto"/>
                <w:szCs w:val="21"/>
              </w:rPr>
              <w:t>评价等级</w:t>
            </w:r>
          </w:p>
        </w:tc>
        <w:tc>
          <w:tcPr>
            <w:tcW w:w="3976" w:type="pct"/>
            <w:gridSpan w:val="2"/>
            <w:vAlign w:val="center"/>
          </w:tcPr>
          <w:p w14:paraId="2C52BC0E">
            <w:pPr>
              <w:jc w:val="center"/>
              <w:rPr>
                <w:rFonts w:ascii="Times New Roman" w:hAnsi="Times New Roman" w:eastAsia="宋体" w:cs="Times New Roman"/>
                <w:b/>
                <w:bCs/>
                <w:color w:val="auto"/>
                <w:szCs w:val="21"/>
              </w:rPr>
            </w:pPr>
            <w:r>
              <w:rPr>
                <w:rFonts w:ascii="Times New Roman" w:hAnsi="Times New Roman" w:eastAsia="宋体" w:cs="Times New Roman"/>
                <w:b/>
                <w:bCs/>
                <w:color w:val="auto"/>
                <w:szCs w:val="21"/>
              </w:rPr>
              <w:t>判定依据</w:t>
            </w:r>
          </w:p>
        </w:tc>
      </w:tr>
      <w:tr w14:paraId="31287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3" w:type="pct"/>
            <w:vMerge w:val="continue"/>
            <w:vAlign w:val="center"/>
          </w:tcPr>
          <w:p w14:paraId="4BC4ED5C">
            <w:pPr>
              <w:jc w:val="center"/>
              <w:rPr>
                <w:rFonts w:ascii="Times New Roman" w:hAnsi="Times New Roman" w:eastAsia="宋体" w:cs="Times New Roman"/>
                <w:b/>
                <w:bCs/>
                <w:color w:val="auto"/>
                <w:szCs w:val="21"/>
              </w:rPr>
            </w:pPr>
          </w:p>
        </w:tc>
        <w:tc>
          <w:tcPr>
            <w:tcW w:w="1023" w:type="pct"/>
            <w:vAlign w:val="center"/>
          </w:tcPr>
          <w:p w14:paraId="5CD2ACF9">
            <w:pPr>
              <w:jc w:val="center"/>
              <w:rPr>
                <w:rFonts w:ascii="Times New Roman" w:hAnsi="Times New Roman" w:eastAsia="宋体" w:cs="Times New Roman"/>
                <w:b/>
                <w:bCs/>
                <w:color w:val="auto"/>
                <w:szCs w:val="21"/>
              </w:rPr>
            </w:pPr>
            <w:r>
              <w:rPr>
                <w:rFonts w:ascii="Times New Roman" w:hAnsi="Times New Roman" w:eastAsia="宋体" w:cs="Times New Roman"/>
                <w:b/>
                <w:bCs/>
                <w:color w:val="auto"/>
                <w:szCs w:val="21"/>
              </w:rPr>
              <w:t>排放方式</w:t>
            </w:r>
          </w:p>
        </w:tc>
        <w:tc>
          <w:tcPr>
            <w:tcW w:w="2953" w:type="pct"/>
            <w:vAlign w:val="center"/>
          </w:tcPr>
          <w:p w14:paraId="1942C266">
            <w:pPr>
              <w:jc w:val="center"/>
              <w:rPr>
                <w:rFonts w:ascii="Times New Roman" w:hAnsi="Times New Roman" w:eastAsia="宋体" w:cs="Times New Roman"/>
                <w:b/>
                <w:bCs/>
                <w:color w:val="auto"/>
                <w:szCs w:val="21"/>
              </w:rPr>
            </w:pPr>
            <w:r>
              <w:rPr>
                <w:rFonts w:ascii="Times New Roman" w:hAnsi="Times New Roman" w:eastAsia="宋体" w:cs="Times New Roman"/>
                <w:b/>
                <w:bCs/>
                <w:color w:val="auto"/>
                <w:szCs w:val="21"/>
              </w:rPr>
              <w:t>废水排放量Q/（</w:t>
            </w:r>
            <w:r>
              <w:rPr>
                <w:rFonts w:hint="eastAsia" w:ascii="Times New Roman" w:hAnsi="Times New Roman" w:eastAsia="宋体" w:cs="Times New Roman"/>
                <w:b/>
                <w:bCs/>
                <w:color w:val="auto"/>
                <w:szCs w:val="21"/>
                <w:lang w:eastAsia="zh-CN"/>
              </w:rPr>
              <w:t>m</w:t>
            </w:r>
            <w:r>
              <w:rPr>
                <w:rFonts w:hint="eastAsia" w:ascii="Times New Roman" w:hAnsi="Times New Roman" w:eastAsia="宋体" w:cs="Times New Roman"/>
                <w:b/>
                <w:bCs/>
                <w:color w:val="auto"/>
                <w:szCs w:val="21"/>
                <w:vertAlign w:val="superscript"/>
                <w:lang w:eastAsia="zh-CN"/>
              </w:rPr>
              <w:t>3</w:t>
            </w:r>
            <w:r>
              <w:rPr>
                <w:rFonts w:ascii="Times New Roman" w:hAnsi="Times New Roman" w:eastAsia="宋体" w:cs="Times New Roman"/>
                <w:b/>
                <w:bCs/>
                <w:color w:val="auto"/>
                <w:szCs w:val="21"/>
              </w:rPr>
              <w:t>/d）；水污染物当量数W/（无量纲）</w:t>
            </w:r>
          </w:p>
        </w:tc>
      </w:tr>
      <w:tr w14:paraId="13A69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3" w:type="pct"/>
            <w:vAlign w:val="center"/>
          </w:tcPr>
          <w:p w14:paraId="77C8578B">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一级</w:t>
            </w:r>
          </w:p>
        </w:tc>
        <w:tc>
          <w:tcPr>
            <w:tcW w:w="1023" w:type="pct"/>
            <w:vAlign w:val="center"/>
          </w:tcPr>
          <w:p w14:paraId="5BD3571F">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直接排放</w:t>
            </w:r>
          </w:p>
        </w:tc>
        <w:tc>
          <w:tcPr>
            <w:tcW w:w="2953" w:type="pct"/>
            <w:vAlign w:val="center"/>
          </w:tcPr>
          <w:p w14:paraId="55C22231">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Q≥20000或W≥600000</w:t>
            </w:r>
          </w:p>
        </w:tc>
      </w:tr>
      <w:tr w14:paraId="30097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3" w:type="pct"/>
            <w:vAlign w:val="center"/>
          </w:tcPr>
          <w:p w14:paraId="799AE97A">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二级</w:t>
            </w:r>
          </w:p>
        </w:tc>
        <w:tc>
          <w:tcPr>
            <w:tcW w:w="1023" w:type="pct"/>
            <w:vAlign w:val="center"/>
          </w:tcPr>
          <w:p w14:paraId="46FBE402">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直接排放</w:t>
            </w:r>
          </w:p>
        </w:tc>
        <w:tc>
          <w:tcPr>
            <w:tcW w:w="2953" w:type="pct"/>
            <w:vAlign w:val="center"/>
          </w:tcPr>
          <w:p w14:paraId="4866EFC7">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其他</w:t>
            </w:r>
          </w:p>
        </w:tc>
      </w:tr>
      <w:tr w14:paraId="6ABCC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3" w:type="pct"/>
            <w:vAlign w:val="center"/>
          </w:tcPr>
          <w:p w14:paraId="753FC577">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三级A</w:t>
            </w:r>
          </w:p>
        </w:tc>
        <w:tc>
          <w:tcPr>
            <w:tcW w:w="1023" w:type="pct"/>
            <w:vAlign w:val="center"/>
          </w:tcPr>
          <w:p w14:paraId="2A874B3C">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直接排放</w:t>
            </w:r>
          </w:p>
        </w:tc>
        <w:tc>
          <w:tcPr>
            <w:tcW w:w="2953" w:type="pct"/>
            <w:vAlign w:val="center"/>
          </w:tcPr>
          <w:p w14:paraId="235E10F2">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Q＜200且W＜6000</w:t>
            </w:r>
          </w:p>
        </w:tc>
      </w:tr>
      <w:tr w14:paraId="7B84C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3" w:type="pct"/>
            <w:vAlign w:val="center"/>
          </w:tcPr>
          <w:p w14:paraId="67203A29">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三级B</w:t>
            </w:r>
          </w:p>
        </w:tc>
        <w:tc>
          <w:tcPr>
            <w:tcW w:w="1023" w:type="pct"/>
            <w:vAlign w:val="center"/>
          </w:tcPr>
          <w:p w14:paraId="5A64355F">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间接排放</w:t>
            </w:r>
          </w:p>
        </w:tc>
        <w:tc>
          <w:tcPr>
            <w:tcW w:w="2953" w:type="pct"/>
            <w:vAlign w:val="center"/>
          </w:tcPr>
          <w:p w14:paraId="51606EBA">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w:t>
            </w:r>
          </w:p>
        </w:tc>
      </w:tr>
    </w:tbl>
    <w:p w14:paraId="2EEDA26D">
      <w:pPr>
        <w:spacing w:line="360" w:lineRule="auto"/>
        <w:ind w:firstLine="480" w:firstLineChars="200"/>
        <w:rPr>
          <w:rFonts w:ascii="Times New Roman" w:hAnsi="Times New Roman" w:eastAsia="宋体" w:cs="宋体"/>
          <w:color w:val="auto"/>
          <w:sz w:val="24"/>
          <w:szCs w:val="24"/>
        </w:rPr>
      </w:pPr>
      <w:r>
        <w:rPr>
          <w:rFonts w:ascii="Times New Roman" w:hAnsi="Times New Roman" w:eastAsia="宋体" w:cs="宋体"/>
          <w:color w:val="auto"/>
          <w:sz w:val="24"/>
          <w:szCs w:val="24"/>
        </w:rPr>
        <w:t>本项目废水送</w:t>
      </w:r>
      <w:r>
        <w:rPr>
          <w:rFonts w:hint="eastAsia" w:ascii="Times New Roman" w:hAnsi="Times New Roman" w:eastAsia="宋体" w:cs="宋体"/>
          <w:color w:val="auto"/>
          <w:sz w:val="24"/>
          <w:szCs w:val="24"/>
        </w:rPr>
        <w:t>津市工业园污水处理厂</w:t>
      </w:r>
      <w:r>
        <w:rPr>
          <w:rFonts w:ascii="Times New Roman" w:hAnsi="Times New Roman" w:eastAsia="宋体" w:cs="宋体"/>
          <w:color w:val="auto"/>
          <w:sz w:val="24"/>
          <w:szCs w:val="24"/>
        </w:rPr>
        <w:t>深度处理达到《城镇污水处理厂污染物排放标准》(GB 18918-2002)一级</w:t>
      </w:r>
      <w:r>
        <w:rPr>
          <w:rFonts w:hint="eastAsia" w:ascii="Times New Roman" w:hAnsi="Times New Roman" w:eastAsia="宋体" w:cs="宋体"/>
          <w:color w:val="auto"/>
          <w:sz w:val="24"/>
          <w:szCs w:val="24"/>
        </w:rPr>
        <w:t>A</w:t>
      </w:r>
      <w:r>
        <w:rPr>
          <w:rFonts w:ascii="Times New Roman" w:hAnsi="Times New Roman" w:eastAsia="宋体" w:cs="宋体"/>
          <w:color w:val="auto"/>
          <w:sz w:val="24"/>
          <w:szCs w:val="24"/>
        </w:rPr>
        <w:t>标准后排入</w:t>
      </w:r>
      <w:r>
        <w:rPr>
          <w:rFonts w:hint="eastAsia" w:ascii="Times New Roman" w:hAnsi="Times New Roman" w:eastAsia="宋体" w:cs="宋体"/>
          <w:color w:val="auto"/>
          <w:sz w:val="24"/>
          <w:szCs w:val="24"/>
        </w:rPr>
        <w:t>澧水</w:t>
      </w:r>
      <w:r>
        <w:rPr>
          <w:rFonts w:ascii="Times New Roman" w:hAnsi="Times New Roman" w:eastAsia="宋体" w:cs="宋体"/>
          <w:color w:val="auto"/>
          <w:sz w:val="24"/>
          <w:szCs w:val="24"/>
        </w:rPr>
        <w:t>。本项目废水排放方式确定为间接排放，故本项目评价等级为三级B。</w:t>
      </w:r>
    </w:p>
    <w:p w14:paraId="6D7CFFB2">
      <w:pPr>
        <w:spacing w:line="360" w:lineRule="auto"/>
        <w:ind w:firstLine="480" w:firstLineChars="200"/>
        <w:rPr>
          <w:rFonts w:ascii="Times New Roman" w:hAnsi="Times New Roman" w:eastAsia="宋体" w:cs="Times New Roman"/>
          <w:color w:val="auto"/>
          <w:sz w:val="24"/>
          <w:szCs w:val="24"/>
          <w:highlight w:val="green"/>
        </w:rPr>
      </w:pPr>
      <w:r>
        <w:rPr>
          <w:rFonts w:hint="eastAsia" w:ascii="Times New Roman" w:hAnsi="Times New Roman" w:eastAsia="宋体" w:cs="宋体"/>
          <w:color w:val="auto"/>
          <w:sz w:val="24"/>
          <w:szCs w:val="24"/>
        </w:rPr>
        <w:t>本项目排水依托已设立排污口，经专管排至津市高新区工业污水处理厂二期工程处理，未超出污水处理厂处理规模，津市高新区工业污水处理厂排口已经排污口论证，不会对下游地表水生态敏感目标造成不利影响，综上，本项目地表水</w:t>
      </w:r>
      <w:r>
        <w:rPr>
          <w:rFonts w:hint="eastAsia" w:ascii="Times New Roman" w:hAnsi="Times New Roman" w:eastAsia="宋体" w:cs="Times New Roman"/>
          <w:color w:val="auto"/>
          <w:sz w:val="24"/>
          <w:szCs w:val="24"/>
        </w:rPr>
        <w:t>评价范围：津市工业园污水处理厂排污口汇入澧水上游500m至下游1km河段。</w:t>
      </w:r>
    </w:p>
    <w:p w14:paraId="6F6A302B">
      <w:pPr>
        <w:keepNext/>
        <w:keepLines/>
        <w:spacing w:before="156" w:beforeLines="50" w:after="156" w:afterLines="50" w:line="360" w:lineRule="auto"/>
        <w:outlineLvl w:val="2"/>
        <w:rPr>
          <w:rFonts w:ascii="Times New Roman" w:hAnsi="Times New Roman" w:eastAsia="宋体" w:cs="Times New Roman"/>
          <w:b/>
          <w:color w:val="auto"/>
          <w:kern w:val="0"/>
          <w:sz w:val="24"/>
          <w:szCs w:val="24"/>
        </w:rPr>
      </w:pPr>
      <w:r>
        <w:rPr>
          <w:rFonts w:ascii="Times New Roman" w:hAnsi="Times New Roman" w:eastAsia="宋体" w:cs="Times New Roman"/>
          <w:b/>
          <w:color w:val="auto"/>
          <w:kern w:val="0"/>
          <w:sz w:val="24"/>
          <w:szCs w:val="24"/>
        </w:rPr>
        <w:t>2.5.3地下水环境影响评价工作等级及范围</w:t>
      </w:r>
    </w:p>
    <w:p w14:paraId="57C6E006">
      <w:pPr>
        <w:spacing w:line="360" w:lineRule="auto"/>
        <w:ind w:firstLine="480" w:firstLineChars="200"/>
        <w:rPr>
          <w:rFonts w:ascii="Times New Roman" w:hAnsi="Times New Roman" w:eastAsia="宋体" w:cs="宋体"/>
          <w:color w:val="auto"/>
          <w:sz w:val="24"/>
          <w:szCs w:val="24"/>
        </w:rPr>
      </w:pPr>
      <w:r>
        <w:rPr>
          <w:rFonts w:ascii="Times New Roman" w:hAnsi="Times New Roman" w:eastAsia="宋体" w:cs="宋体"/>
          <w:color w:val="auto"/>
          <w:sz w:val="24"/>
          <w:szCs w:val="24"/>
        </w:rPr>
        <w:t>根据《环境影响评价技术导则-地下水环境》（HJ610-2016）中附录A地下水环境影响评价行业分类表，本项目为</w:t>
      </w:r>
      <w:r>
        <w:rPr>
          <w:rFonts w:hint="eastAsia" w:ascii="Times New Roman" w:hAnsi="Times New Roman" w:eastAsia="宋体" w:cs="宋体"/>
          <w:color w:val="auto"/>
          <w:sz w:val="24"/>
          <w:szCs w:val="24"/>
        </w:rPr>
        <w:t>“</w:t>
      </w:r>
      <w:r>
        <w:rPr>
          <w:rFonts w:hint="eastAsia" w:ascii="Times New Roman" w:hAnsi="Times New Roman" w:eastAsia="宋体" w:cs="宋体"/>
          <w:color w:val="auto"/>
          <w:sz w:val="24"/>
          <w:szCs w:val="24"/>
          <w:lang w:val="en-US" w:eastAsia="zh-CN"/>
        </w:rPr>
        <w:t>N</w:t>
      </w:r>
      <w:r>
        <w:rPr>
          <w:rFonts w:ascii="Times New Roman" w:hAnsi="Times New Roman" w:eastAsia="宋体" w:cs="宋体"/>
          <w:color w:val="auto"/>
          <w:sz w:val="24"/>
          <w:szCs w:val="24"/>
        </w:rPr>
        <w:t xml:space="preserve"> </w:t>
      </w:r>
      <w:r>
        <w:rPr>
          <w:rFonts w:hint="eastAsia" w:ascii="Times New Roman" w:hAnsi="Times New Roman" w:eastAsia="宋体" w:cs="宋体"/>
          <w:color w:val="auto"/>
          <w:sz w:val="24"/>
          <w:szCs w:val="24"/>
          <w:lang w:val="en-US" w:eastAsia="zh-CN"/>
        </w:rPr>
        <w:t>轻工</w:t>
      </w:r>
      <w:r>
        <w:rPr>
          <w:rFonts w:ascii="Times New Roman" w:hAnsi="Times New Roman" w:eastAsia="宋体" w:cs="宋体"/>
          <w:color w:val="auto"/>
          <w:sz w:val="24"/>
          <w:szCs w:val="24"/>
        </w:rPr>
        <w:t>：</w:t>
      </w:r>
      <w:r>
        <w:rPr>
          <w:rFonts w:hint="eastAsia" w:ascii="Times New Roman" w:hAnsi="Times New Roman" w:eastAsia="宋体" w:cs="宋体"/>
          <w:color w:val="auto"/>
          <w:sz w:val="24"/>
          <w:szCs w:val="24"/>
        </w:rPr>
        <w:t>9</w:t>
      </w:r>
      <w:r>
        <w:rPr>
          <w:rFonts w:hint="eastAsia" w:ascii="Times New Roman" w:hAnsi="Times New Roman" w:eastAsia="宋体" w:cs="宋体"/>
          <w:color w:val="auto"/>
          <w:sz w:val="24"/>
          <w:szCs w:val="24"/>
          <w:lang w:val="en-US" w:eastAsia="zh-CN"/>
        </w:rPr>
        <w:t>4</w:t>
      </w:r>
      <w:r>
        <w:rPr>
          <w:rFonts w:ascii="Times New Roman" w:hAnsi="Times New Roman" w:eastAsia="宋体" w:cs="宋体"/>
          <w:color w:val="auto"/>
          <w:sz w:val="24"/>
          <w:szCs w:val="24"/>
        </w:rPr>
        <w:t xml:space="preserve">小项 </w:t>
      </w:r>
      <w:r>
        <w:rPr>
          <w:rFonts w:hint="eastAsia" w:ascii="Times New Roman" w:hAnsi="Times New Roman" w:eastAsia="宋体" w:cs="宋体"/>
          <w:color w:val="auto"/>
          <w:sz w:val="24"/>
          <w:szCs w:val="24"/>
          <w:lang w:val="en-US" w:eastAsia="zh-CN"/>
        </w:rPr>
        <w:t>粮食及饲料加工；</w:t>
      </w:r>
      <w:r>
        <w:rPr>
          <w:rFonts w:hint="eastAsia" w:ascii="Times New Roman" w:hAnsi="Times New Roman" w:eastAsia="宋体" w:cs="宋体"/>
          <w:color w:val="auto"/>
          <w:sz w:val="24"/>
          <w:szCs w:val="24"/>
        </w:rPr>
        <w:t>”</w:t>
      </w:r>
      <w:r>
        <w:rPr>
          <w:rFonts w:ascii="Times New Roman" w:hAnsi="Times New Roman" w:eastAsia="宋体" w:cs="宋体"/>
          <w:color w:val="auto"/>
          <w:sz w:val="24"/>
          <w:szCs w:val="24"/>
        </w:rPr>
        <w:t>，编制环境影响报告书，确定本项目属于</w:t>
      </w:r>
      <w:r>
        <w:rPr>
          <w:rFonts w:hint="eastAsia" w:ascii="宋体" w:hAnsi="宋体" w:eastAsia="宋体" w:cs="宋体"/>
          <w:color w:val="auto"/>
          <w:sz w:val="24"/>
          <w:szCs w:val="24"/>
        </w:rPr>
        <w:t>Ⅲ</w:t>
      </w:r>
      <w:r>
        <w:rPr>
          <w:rFonts w:ascii="Times New Roman" w:hAnsi="Times New Roman" w:eastAsia="宋体" w:cs="宋体"/>
          <w:color w:val="auto"/>
          <w:sz w:val="24"/>
          <w:szCs w:val="24"/>
        </w:rPr>
        <w:t>类项目。</w:t>
      </w:r>
    </w:p>
    <w:p w14:paraId="038D3082">
      <w:pPr>
        <w:spacing w:line="360" w:lineRule="auto"/>
        <w:ind w:firstLine="480" w:firstLineChars="200"/>
        <w:rPr>
          <w:rFonts w:ascii="Times New Roman" w:hAnsi="Times New Roman" w:eastAsia="宋体" w:cs="宋体"/>
          <w:color w:val="auto"/>
          <w:sz w:val="24"/>
          <w:szCs w:val="24"/>
        </w:rPr>
      </w:pPr>
      <w:r>
        <w:rPr>
          <w:rFonts w:ascii="Times New Roman" w:hAnsi="Times New Roman" w:eastAsia="宋体" w:cs="宋体"/>
          <w:color w:val="auto"/>
          <w:sz w:val="24"/>
          <w:szCs w:val="24"/>
        </w:rPr>
        <w:t>本项目位于津市高新技术产业开发区范围内，区域内用水均来自于</w:t>
      </w:r>
      <w:r>
        <w:rPr>
          <w:rFonts w:hint="eastAsia" w:ascii="Times New Roman" w:hAnsi="Times New Roman" w:eastAsia="宋体" w:cs="宋体"/>
          <w:color w:val="auto"/>
          <w:sz w:val="24"/>
          <w:szCs w:val="24"/>
        </w:rPr>
        <w:t>白龙潭</w:t>
      </w:r>
      <w:r>
        <w:rPr>
          <w:rFonts w:ascii="Times New Roman" w:hAnsi="Times New Roman" w:eastAsia="宋体" w:cs="宋体"/>
          <w:color w:val="auto"/>
          <w:sz w:val="24"/>
          <w:szCs w:val="24"/>
        </w:rPr>
        <w:t>自来水厂（以澧水为取水水源），项目评价范围内无集中式饮用水水源准保护区、除集中式饮用水水源以外的国家或地方政府设定的与地下水环境相关的其它保护区，亦无集中式饮用水水源准保护区以外的补给径流区；未划定准保护区的集中水式饮用水水源，其保护区以外的补给径流区；分散式饮用水水源地；特殊地下水资源（如矿泉水、温泉等）保护区以外的分布区等其他未列入上述敏感分级的环境敏感区</w:t>
      </w:r>
      <w:r>
        <w:rPr>
          <w:rFonts w:hint="eastAsia" w:ascii="Times New Roman" w:hAnsi="Times New Roman" w:eastAsia="宋体" w:cs="宋体"/>
          <w:color w:val="auto"/>
          <w:sz w:val="24"/>
          <w:szCs w:val="24"/>
        </w:rPr>
        <w:t>；同时，项目周边村民饮用水源均来自于白龙潭</w:t>
      </w:r>
      <w:r>
        <w:rPr>
          <w:rFonts w:ascii="Times New Roman" w:hAnsi="Times New Roman" w:eastAsia="宋体" w:cs="宋体"/>
          <w:color w:val="auto"/>
          <w:sz w:val="24"/>
          <w:szCs w:val="24"/>
        </w:rPr>
        <w:t>自来水厂</w:t>
      </w:r>
      <w:r>
        <w:rPr>
          <w:rFonts w:hint="eastAsia" w:ascii="Times New Roman" w:hAnsi="Times New Roman" w:eastAsia="宋体" w:cs="宋体"/>
          <w:color w:val="auto"/>
          <w:sz w:val="24"/>
          <w:szCs w:val="24"/>
        </w:rPr>
        <w:t>，分散式水井不作为饮用水源。因此，项目区域</w:t>
      </w:r>
      <w:r>
        <w:rPr>
          <w:rFonts w:ascii="Times New Roman" w:hAnsi="Times New Roman" w:eastAsia="宋体" w:cs="宋体"/>
          <w:color w:val="auto"/>
          <w:sz w:val="24"/>
          <w:szCs w:val="24"/>
        </w:rPr>
        <w:t>属于地下水环境敏感程度分级中的</w:t>
      </w:r>
      <w:r>
        <w:rPr>
          <w:rFonts w:ascii="Times New Roman" w:hAnsi="Times New Roman" w:eastAsia="宋体" w:cs="宋体"/>
          <w:b/>
          <w:bCs/>
          <w:color w:val="auto"/>
          <w:sz w:val="24"/>
          <w:szCs w:val="24"/>
        </w:rPr>
        <w:t>不敏感地区。</w:t>
      </w:r>
    </w:p>
    <w:p w14:paraId="5A8A9509">
      <w:pPr>
        <w:spacing w:line="360" w:lineRule="auto"/>
        <w:ind w:firstLine="480" w:firstLineChars="200"/>
        <w:rPr>
          <w:rFonts w:ascii="Times New Roman" w:hAnsi="Times New Roman" w:eastAsia="宋体" w:cs="宋体"/>
          <w:color w:val="auto"/>
          <w:sz w:val="24"/>
          <w:szCs w:val="24"/>
        </w:rPr>
      </w:pPr>
      <w:r>
        <w:rPr>
          <w:rFonts w:ascii="Times New Roman" w:hAnsi="Times New Roman" w:eastAsia="宋体" w:cs="宋体"/>
          <w:color w:val="auto"/>
          <w:sz w:val="24"/>
          <w:szCs w:val="24"/>
        </w:rPr>
        <w:t>评价工作等级的划分应依据建设项目行业分类和地下水环境敏感程度分级进行判定。根据上述分析，对照评价工作等级分级表，确定本项目地下水环境影响评价工作等级为</w:t>
      </w:r>
      <w:r>
        <w:rPr>
          <w:rFonts w:hint="eastAsia" w:ascii="Times New Roman" w:hAnsi="Times New Roman" w:eastAsia="宋体" w:cs="宋体"/>
          <w:color w:val="auto"/>
          <w:sz w:val="24"/>
          <w:szCs w:val="24"/>
          <w:lang w:val="en-US" w:eastAsia="zh-CN"/>
        </w:rPr>
        <w:t>三</w:t>
      </w:r>
      <w:r>
        <w:rPr>
          <w:rFonts w:ascii="Times New Roman" w:hAnsi="Times New Roman" w:eastAsia="宋体" w:cs="宋体"/>
          <w:color w:val="auto"/>
          <w:sz w:val="24"/>
          <w:szCs w:val="24"/>
        </w:rPr>
        <w:t>级。具体见表</w:t>
      </w:r>
      <w:r>
        <w:rPr>
          <w:rFonts w:hint="eastAsia" w:ascii="Times New Roman" w:hAnsi="Times New Roman" w:eastAsia="宋体" w:cs="宋体"/>
          <w:color w:val="auto"/>
          <w:sz w:val="24"/>
          <w:szCs w:val="24"/>
        </w:rPr>
        <w:t>2</w:t>
      </w:r>
      <w:r>
        <w:rPr>
          <w:rFonts w:ascii="Times New Roman" w:hAnsi="Times New Roman" w:eastAsia="宋体" w:cs="宋体"/>
          <w:color w:val="auto"/>
          <w:sz w:val="24"/>
          <w:szCs w:val="24"/>
        </w:rPr>
        <w:t>.5</w:t>
      </w:r>
      <w:r>
        <w:rPr>
          <w:rFonts w:hint="eastAsia" w:ascii="Times New Roman" w:hAnsi="Times New Roman" w:eastAsia="宋体" w:cs="宋体"/>
          <w:color w:val="auto"/>
          <w:sz w:val="24"/>
          <w:szCs w:val="24"/>
        </w:rPr>
        <w:t>.3</w:t>
      </w:r>
      <w:r>
        <w:rPr>
          <w:rFonts w:ascii="Times New Roman" w:hAnsi="Times New Roman" w:eastAsia="宋体" w:cs="宋体"/>
          <w:color w:val="auto"/>
          <w:sz w:val="24"/>
          <w:szCs w:val="24"/>
        </w:rPr>
        <w:t>-</w:t>
      </w:r>
      <w:r>
        <w:rPr>
          <w:rFonts w:hint="eastAsia" w:ascii="Times New Roman" w:hAnsi="Times New Roman" w:eastAsia="宋体" w:cs="宋体"/>
          <w:color w:val="auto"/>
          <w:sz w:val="24"/>
          <w:szCs w:val="24"/>
        </w:rPr>
        <w:t>1</w:t>
      </w:r>
      <w:r>
        <w:rPr>
          <w:rFonts w:ascii="Times New Roman" w:hAnsi="Times New Roman" w:eastAsia="宋体" w:cs="宋体"/>
          <w:color w:val="auto"/>
          <w:sz w:val="24"/>
          <w:szCs w:val="24"/>
        </w:rPr>
        <w:t>和表</w:t>
      </w:r>
      <w:r>
        <w:rPr>
          <w:rFonts w:hint="eastAsia" w:ascii="Times New Roman" w:hAnsi="Times New Roman" w:eastAsia="宋体" w:cs="宋体"/>
          <w:color w:val="auto"/>
          <w:sz w:val="24"/>
          <w:szCs w:val="24"/>
        </w:rPr>
        <w:t>2</w:t>
      </w:r>
      <w:r>
        <w:rPr>
          <w:rFonts w:ascii="Times New Roman" w:hAnsi="Times New Roman" w:eastAsia="宋体" w:cs="宋体"/>
          <w:color w:val="auto"/>
          <w:sz w:val="24"/>
          <w:szCs w:val="24"/>
        </w:rPr>
        <w:t>.5</w:t>
      </w:r>
      <w:r>
        <w:rPr>
          <w:rFonts w:hint="eastAsia" w:ascii="Times New Roman" w:hAnsi="Times New Roman" w:eastAsia="宋体" w:cs="宋体"/>
          <w:color w:val="auto"/>
          <w:sz w:val="24"/>
          <w:szCs w:val="24"/>
        </w:rPr>
        <w:t>.3</w:t>
      </w:r>
      <w:r>
        <w:rPr>
          <w:rFonts w:ascii="Times New Roman" w:hAnsi="Times New Roman" w:eastAsia="宋体" w:cs="宋体"/>
          <w:color w:val="auto"/>
          <w:sz w:val="24"/>
          <w:szCs w:val="24"/>
        </w:rPr>
        <w:t>-</w:t>
      </w:r>
      <w:r>
        <w:rPr>
          <w:rFonts w:hint="eastAsia" w:ascii="Times New Roman" w:hAnsi="Times New Roman" w:eastAsia="宋体" w:cs="宋体"/>
          <w:color w:val="auto"/>
          <w:sz w:val="24"/>
          <w:szCs w:val="24"/>
        </w:rPr>
        <w:t>2</w:t>
      </w:r>
      <w:r>
        <w:rPr>
          <w:rFonts w:ascii="Times New Roman" w:hAnsi="Times New Roman" w:eastAsia="宋体" w:cs="宋体"/>
          <w:color w:val="auto"/>
          <w:sz w:val="24"/>
          <w:szCs w:val="24"/>
        </w:rPr>
        <w:t>。</w:t>
      </w:r>
    </w:p>
    <w:p w14:paraId="118461C0">
      <w:pPr>
        <w:pStyle w:val="6"/>
        <w:bidi w:val="0"/>
      </w:pPr>
      <w:r>
        <w:t>表</w:t>
      </w:r>
      <w:r>
        <w:rPr>
          <w:rFonts w:hint="eastAsia"/>
        </w:rPr>
        <w:t>2</w:t>
      </w:r>
      <w:r>
        <w:t>.5</w:t>
      </w:r>
      <w:r>
        <w:rPr>
          <w:rFonts w:hint="eastAsia"/>
        </w:rPr>
        <w:t>.3</w:t>
      </w:r>
      <w:r>
        <w:t>-</w:t>
      </w:r>
      <w:r>
        <w:rPr>
          <w:rFonts w:hint="eastAsia"/>
        </w:rPr>
        <w:t>1</w:t>
      </w:r>
      <w:r>
        <w:t xml:space="preserve">  本项目地下水环境敏感程度分级</w:t>
      </w:r>
    </w:p>
    <w:tbl>
      <w:tblPr>
        <w:tblStyle w:val="41"/>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4"/>
        <w:gridCol w:w="5344"/>
        <w:gridCol w:w="2332"/>
      </w:tblGrid>
      <w:tr w14:paraId="0263B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5" w:type="pct"/>
            <w:vAlign w:val="center"/>
          </w:tcPr>
          <w:p w14:paraId="1EA6B04F">
            <w:pPr>
              <w:jc w:val="center"/>
              <w:rPr>
                <w:rFonts w:ascii="Times New Roman" w:hAnsi="Times New Roman" w:eastAsia="宋体" w:cs="Times New Roman"/>
                <w:b/>
                <w:bCs/>
                <w:color w:val="auto"/>
                <w:szCs w:val="21"/>
              </w:rPr>
            </w:pPr>
            <w:r>
              <w:rPr>
                <w:rFonts w:ascii="Times New Roman" w:hAnsi="Times New Roman" w:eastAsia="宋体" w:cs="Times New Roman"/>
                <w:b/>
                <w:bCs/>
                <w:color w:val="auto"/>
                <w:szCs w:val="21"/>
              </w:rPr>
              <w:t>敏感</w:t>
            </w:r>
          </w:p>
          <w:p w14:paraId="7BC68AF5">
            <w:pPr>
              <w:jc w:val="center"/>
              <w:rPr>
                <w:rFonts w:ascii="Times New Roman" w:hAnsi="Times New Roman" w:eastAsia="宋体" w:cs="Times New Roman"/>
                <w:b/>
                <w:bCs/>
                <w:color w:val="auto"/>
                <w:szCs w:val="21"/>
              </w:rPr>
            </w:pPr>
            <w:r>
              <w:rPr>
                <w:rFonts w:ascii="Times New Roman" w:hAnsi="Times New Roman" w:eastAsia="宋体" w:cs="Times New Roman"/>
                <w:b/>
                <w:bCs/>
                <w:color w:val="auto"/>
                <w:szCs w:val="21"/>
              </w:rPr>
              <w:t>程度</w:t>
            </w:r>
          </w:p>
        </w:tc>
        <w:tc>
          <w:tcPr>
            <w:tcW w:w="3135" w:type="pct"/>
            <w:vAlign w:val="center"/>
          </w:tcPr>
          <w:p w14:paraId="0ACDC50E">
            <w:pPr>
              <w:jc w:val="center"/>
              <w:rPr>
                <w:rFonts w:ascii="Times New Roman" w:hAnsi="Times New Roman" w:eastAsia="宋体" w:cs="Times New Roman"/>
                <w:b/>
                <w:bCs/>
                <w:color w:val="auto"/>
                <w:szCs w:val="21"/>
              </w:rPr>
            </w:pPr>
            <w:r>
              <w:rPr>
                <w:rFonts w:ascii="Times New Roman" w:hAnsi="Times New Roman" w:eastAsia="宋体" w:cs="Times New Roman"/>
                <w:b/>
                <w:bCs/>
                <w:color w:val="auto"/>
                <w:szCs w:val="21"/>
              </w:rPr>
              <w:t>地下水环境敏感特征</w:t>
            </w:r>
          </w:p>
        </w:tc>
        <w:tc>
          <w:tcPr>
            <w:tcW w:w="1368" w:type="pct"/>
            <w:vAlign w:val="center"/>
          </w:tcPr>
          <w:p w14:paraId="130D5ADE">
            <w:pPr>
              <w:jc w:val="center"/>
              <w:rPr>
                <w:rFonts w:ascii="Times New Roman" w:hAnsi="Times New Roman" w:eastAsia="宋体" w:cs="Times New Roman"/>
                <w:b/>
                <w:bCs/>
                <w:color w:val="auto"/>
                <w:szCs w:val="21"/>
              </w:rPr>
            </w:pPr>
            <w:r>
              <w:rPr>
                <w:rFonts w:ascii="Times New Roman" w:hAnsi="Times New Roman" w:eastAsia="宋体" w:cs="Times New Roman"/>
                <w:b/>
                <w:bCs/>
                <w:color w:val="auto"/>
                <w:szCs w:val="21"/>
              </w:rPr>
              <w:t>项目情况</w:t>
            </w:r>
          </w:p>
        </w:tc>
      </w:tr>
      <w:tr w14:paraId="4E626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5" w:type="pct"/>
            <w:vAlign w:val="center"/>
          </w:tcPr>
          <w:p w14:paraId="45EF6EDF">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敏感</w:t>
            </w:r>
          </w:p>
        </w:tc>
        <w:tc>
          <w:tcPr>
            <w:tcW w:w="3135" w:type="pct"/>
            <w:vAlign w:val="center"/>
          </w:tcPr>
          <w:p w14:paraId="0D7D481E">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集中式饮用水水源（包括已建成的在用、备用、应急水源，在建和规划的水源）准保护区；除集中式饮用水水源以外的国家或地方政府设定的与地下水环境相关的其它保护区，如热水、矿泉水、温泉等特殊地下水资源保护区。</w:t>
            </w:r>
          </w:p>
        </w:tc>
        <w:tc>
          <w:tcPr>
            <w:tcW w:w="1368" w:type="pct"/>
            <w:vMerge w:val="restart"/>
            <w:vAlign w:val="center"/>
          </w:tcPr>
          <w:p w14:paraId="1A446EFB">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本项目地块内无集中式饮用水水源、地下水资源保护区或其它环境敏感区等；同时，项目周边居民饮用水源来自于白龙潭自来水厂（取自</w:t>
            </w:r>
            <w:r>
              <w:rPr>
                <w:rFonts w:hint="eastAsia" w:ascii="Times New Roman" w:hAnsi="Times New Roman" w:eastAsia="宋体" w:cs="Times New Roman"/>
                <w:color w:val="auto"/>
                <w:szCs w:val="21"/>
              </w:rPr>
              <w:t>澧水</w:t>
            </w:r>
            <w:r>
              <w:rPr>
                <w:rFonts w:ascii="Times New Roman" w:hAnsi="Times New Roman" w:eastAsia="宋体" w:cs="Times New Roman"/>
                <w:color w:val="auto"/>
                <w:szCs w:val="21"/>
              </w:rPr>
              <w:t>），分散式水井不作为饮用水源。因此，地下水敏感程度为不敏感。</w:t>
            </w:r>
          </w:p>
        </w:tc>
      </w:tr>
      <w:tr w14:paraId="741BF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5" w:type="pct"/>
            <w:vAlign w:val="center"/>
          </w:tcPr>
          <w:p w14:paraId="2F7C222F">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较敏感</w:t>
            </w:r>
          </w:p>
        </w:tc>
        <w:tc>
          <w:tcPr>
            <w:tcW w:w="3135" w:type="pct"/>
            <w:vAlign w:val="center"/>
          </w:tcPr>
          <w:p w14:paraId="4838273C">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集中式饮用水水源（包括已建成的在用、备用、应急水源，在建和规划的水源）准保护区以外的补给径流区；特殊地下水资源（如矿泉水、温泉等）保护区以外的分布区等其它未列入上述敏感分级的环境敏感区。</w:t>
            </w:r>
          </w:p>
        </w:tc>
        <w:tc>
          <w:tcPr>
            <w:tcW w:w="1368" w:type="pct"/>
            <w:vMerge w:val="continue"/>
            <w:vAlign w:val="center"/>
          </w:tcPr>
          <w:p w14:paraId="2D46118C">
            <w:pPr>
              <w:jc w:val="center"/>
              <w:rPr>
                <w:rFonts w:ascii="Times New Roman" w:hAnsi="Times New Roman" w:eastAsia="宋体" w:cs="Times New Roman"/>
                <w:color w:val="auto"/>
                <w:szCs w:val="21"/>
              </w:rPr>
            </w:pPr>
          </w:p>
        </w:tc>
      </w:tr>
      <w:tr w14:paraId="2666F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95" w:type="pct"/>
            <w:shd w:val="pct20" w:color="auto" w:fill="auto"/>
            <w:vAlign w:val="center"/>
          </w:tcPr>
          <w:p w14:paraId="71184618">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不敏感</w:t>
            </w:r>
          </w:p>
        </w:tc>
        <w:tc>
          <w:tcPr>
            <w:tcW w:w="3135" w:type="pct"/>
            <w:shd w:val="pct20" w:color="auto" w:fill="auto"/>
            <w:vAlign w:val="center"/>
          </w:tcPr>
          <w:p w14:paraId="4B45F922">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上述地区之外的其它地区。</w:t>
            </w:r>
          </w:p>
        </w:tc>
        <w:tc>
          <w:tcPr>
            <w:tcW w:w="1368" w:type="pct"/>
            <w:vMerge w:val="continue"/>
            <w:vAlign w:val="center"/>
          </w:tcPr>
          <w:p w14:paraId="56737547">
            <w:pPr>
              <w:jc w:val="center"/>
              <w:rPr>
                <w:rFonts w:ascii="Times New Roman" w:hAnsi="Times New Roman" w:eastAsia="宋体" w:cs="Times New Roman"/>
                <w:color w:val="FF0000"/>
                <w:szCs w:val="21"/>
              </w:rPr>
            </w:pPr>
          </w:p>
        </w:tc>
      </w:tr>
    </w:tbl>
    <w:p w14:paraId="39EAAB27">
      <w:pPr>
        <w:jc w:val="center"/>
        <w:rPr>
          <w:rFonts w:ascii="Times New Roman" w:hAnsi="Times New Roman" w:eastAsia="宋体" w:cs="Times New Roman"/>
          <w:b/>
          <w:bCs/>
          <w:color w:val="auto"/>
          <w:sz w:val="22"/>
          <w:szCs w:val="24"/>
        </w:rPr>
      </w:pPr>
    </w:p>
    <w:p w14:paraId="57795414">
      <w:pPr>
        <w:bidi w:val="0"/>
      </w:pPr>
    </w:p>
    <w:p w14:paraId="23AE74AB">
      <w:pPr>
        <w:jc w:val="center"/>
        <w:rPr>
          <w:rFonts w:ascii="Times New Roman" w:hAnsi="Times New Roman" w:eastAsia="宋体" w:cs="Times New Roman"/>
          <w:b/>
          <w:bCs/>
          <w:color w:val="auto"/>
          <w:sz w:val="22"/>
          <w:szCs w:val="24"/>
        </w:rPr>
      </w:pPr>
    </w:p>
    <w:p w14:paraId="4B484A58">
      <w:pPr>
        <w:jc w:val="center"/>
        <w:rPr>
          <w:rFonts w:ascii="Times New Roman" w:hAnsi="Times New Roman" w:eastAsia="宋体" w:cs="Times New Roman"/>
          <w:b/>
          <w:bCs/>
          <w:color w:val="auto"/>
          <w:sz w:val="22"/>
          <w:szCs w:val="24"/>
        </w:rPr>
      </w:pPr>
    </w:p>
    <w:p w14:paraId="57E482CA">
      <w:pPr>
        <w:pStyle w:val="6"/>
        <w:bidi w:val="0"/>
      </w:pPr>
      <w:r>
        <w:t>表</w:t>
      </w:r>
      <w:r>
        <w:rPr>
          <w:rFonts w:hint="eastAsia"/>
        </w:rPr>
        <w:t>2</w:t>
      </w:r>
      <w:r>
        <w:t>.5</w:t>
      </w:r>
      <w:r>
        <w:rPr>
          <w:rFonts w:hint="eastAsia"/>
        </w:rPr>
        <w:t>.3</w:t>
      </w:r>
      <w:r>
        <w:t>-</w:t>
      </w:r>
      <w:r>
        <w:rPr>
          <w:rFonts w:hint="eastAsia"/>
        </w:rPr>
        <w:t>2</w:t>
      </w:r>
      <w:r>
        <w:t xml:space="preserve">  本项目地下水环境影响评价等级判定表</w:t>
      </w:r>
    </w:p>
    <w:tbl>
      <w:tblPr>
        <w:tblStyle w:val="4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96"/>
        <w:gridCol w:w="2030"/>
        <w:gridCol w:w="2463"/>
        <w:gridCol w:w="2030"/>
      </w:tblGrid>
      <w:tr w14:paraId="623E1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71" w:type="pct"/>
            <w:tcBorders>
              <w:top w:val="single" w:color="auto" w:sz="4" w:space="0"/>
              <w:left w:val="single" w:color="auto" w:sz="4" w:space="0"/>
              <w:tl2br w:val="single" w:color="auto" w:sz="4" w:space="0"/>
            </w:tcBorders>
            <w:vAlign w:val="center"/>
          </w:tcPr>
          <w:p w14:paraId="747A6DAD">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lang w:val="en-US" w:eastAsia="zh-CN"/>
              </w:rPr>
              <w:t xml:space="preserve">        </w:t>
            </w:r>
            <w:r>
              <w:rPr>
                <w:rFonts w:ascii="Times New Roman" w:hAnsi="Times New Roman" w:eastAsia="宋体" w:cs="Times New Roman"/>
                <w:b/>
                <w:bCs/>
                <w:color w:val="auto"/>
                <w:szCs w:val="21"/>
              </w:rPr>
              <w:t>项目类别</w:t>
            </w:r>
          </w:p>
          <w:p w14:paraId="17CE6E13">
            <w:pPr>
              <w:jc w:val="both"/>
              <w:rPr>
                <w:rFonts w:ascii="Times New Roman" w:hAnsi="Times New Roman" w:eastAsia="宋体" w:cs="Times New Roman"/>
                <w:b/>
                <w:bCs/>
                <w:color w:val="auto"/>
                <w:szCs w:val="21"/>
              </w:rPr>
            </w:pPr>
            <w:r>
              <w:rPr>
                <w:rFonts w:ascii="Times New Roman" w:hAnsi="Times New Roman" w:eastAsia="宋体" w:cs="Times New Roman"/>
                <w:b/>
                <w:bCs/>
                <w:color w:val="auto"/>
                <w:szCs w:val="21"/>
              </w:rPr>
              <w:t>敏感程度</w:t>
            </w:r>
          </w:p>
        </w:tc>
        <w:tc>
          <w:tcPr>
            <w:tcW w:w="1191" w:type="pct"/>
            <w:tcBorders>
              <w:top w:val="single" w:color="auto" w:sz="4" w:space="0"/>
            </w:tcBorders>
            <w:vAlign w:val="center"/>
          </w:tcPr>
          <w:p w14:paraId="65619BDA">
            <w:pPr>
              <w:jc w:val="center"/>
              <w:rPr>
                <w:rFonts w:ascii="Times New Roman" w:hAnsi="Times New Roman" w:eastAsia="宋体" w:cs="Times New Roman"/>
                <w:b/>
                <w:bCs/>
                <w:color w:val="auto"/>
                <w:szCs w:val="21"/>
              </w:rPr>
            </w:pPr>
            <w:r>
              <w:rPr>
                <w:rFonts w:ascii="Times New Roman" w:hAnsi="Times New Roman" w:eastAsia="宋体" w:cs="Times New Roman"/>
                <w:b/>
                <w:bCs/>
                <w:color w:val="auto"/>
                <w:szCs w:val="21"/>
              </w:rPr>
              <w:t>Ⅰ类项目</w:t>
            </w:r>
          </w:p>
        </w:tc>
        <w:tc>
          <w:tcPr>
            <w:tcW w:w="1445" w:type="pct"/>
            <w:tcBorders>
              <w:top w:val="single" w:color="auto" w:sz="4" w:space="0"/>
            </w:tcBorders>
            <w:vAlign w:val="center"/>
          </w:tcPr>
          <w:p w14:paraId="6CA4E8F0">
            <w:pPr>
              <w:jc w:val="center"/>
              <w:rPr>
                <w:rFonts w:ascii="Times New Roman" w:hAnsi="Times New Roman" w:eastAsia="宋体" w:cs="Times New Roman"/>
                <w:b/>
                <w:bCs/>
                <w:color w:val="auto"/>
                <w:szCs w:val="21"/>
              </w:rPr>
            </w:pPr>
            <w:r>
              <w:rPr>
                <w:rFonts w:ascii="Times New Roman" w:hAnsi="Times New Roman" w:eastAsia="宋体" w:cs="Times New Roman"/>
                <w:b/>
                <w:bCs/>
                <w:color w:val="auto"/>
                <w:szCs w:val="21"/>
              </w:rPr>
              <w:t>Ⅱ类项目</w:t>
            </w:r>
          </w:p>
        </w:tc>
        <w:tc>
          <w:tcPr>
            <w:tcW w:w="1191" w:type="pct"/>
            <w:tcBorders>
              <w:top w:val="single" w:color="auto" w:sz="4" w:space="0"/>
              <w:right w:val="single" w:color="auto" w:sz="4" w:space="0"/>
            </w:tcBorders>
            <w:vAlign w:val="center"/>
          </w:tcPr>
          <w:p w14:paraId="0D892ADD">
            <w:pPr>
              <w:jc w:val="center"/>
              <w:rPr>
                <w:rFonts w:ascii="Times New Roman" w:hAnsi="Times New Roman" w:eastAsia="宋体" w:cs="Times New Roman"/>
                <w:b/>
                <w:bCs/>
                <w:color w:val="auto"/>
                <w:szCs w:val="21"/>
              </w:rPr>
            </w:pPr>
            <w:r>
              <w:rPr>
                <w:rFonts w:ascii="Times New Roman" w:hAnsi="Times New Roman" w:eastAsia="宋体" w:cs="Times New Roman"/>
                <w:b/>
                <w:bCs/>
                <w:color w:val="auto"/>
                <w:szCs w:val="21"/>
              </w:rPr>
              <w:t>Ⅲ类项目</w:t>
            </w:r>
          </w:p>
        </w:tc>
      </w:tr>
      <w:tr w14:paraId="30528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71" w:type="pct"/>
            <w:tcBorders>
              <w:left w:val="single" w:color="auto" w:sz="4" w:space="0"/>
            </w:tcBorders>
            <w:vAlign w:val="center"/>
          </w:tcPr>
          <w:p w14:paraId="02A5B039">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敏感</w:t>
            </w:r>
          </w:p>
        </w:tc>
        <w:tc>
          <w:tcPr>
            <w:tcW w:w="1191" w:type="pct"/>
            <w:vAlign w:val="center"/>
          </w:tcPr>
          <w:p w14:paraId="29662AE3">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一</w:t>
            </w:r>
          </w:p>
        </w:tc>
        <w:tc>
          <w:tcPr>
            <w:tcW w:w="1445" w:type="pct"/>
            <w:vAlign w:val="center"/>
          </w:tcPr>
          <w:p w14:paraId="4F881870">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一</w:t>
            </w:r>
          </w:p>
        </w:tc>
        <w:tc>
          <w:tcPr>
            <w:tcW w:w="1191" w:type="pct"/>
            <w:tcBorders>
              <w:right w:val="single" w:color="auto" w:sz="4" w:space="0"/>
            </w:tcBorders>
            <w:vAlign w:val="center"/>
          </w:tcPr>
          <w:p w14:paraId="331E6697">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二</w:t>
            </w:r>
          </w:p>
        </w:tc>
      </w:tr>
      <w:tr w14:paraId="57876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71" w:type="pct"/>
            <w:tcBorders>
              <w:left w:val="single" w:color="auto" w:sz="4" w:space="0"/>
              <w:bottom w:val="single" w:color="auto" w:sz="4" w:space="0"/>
            </w:tcBorders>
            <w:vAlign w:val="center"/>
          </w:tcPr>
          <w:p w14:paraId="6980E444">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较敏感</w:t>
            </w:r>
          </w:p>
        </w:tc>
        <w:tc>
          <w:tcPr>
            <w:tcW w:w="1191" w:type="pct"/>
            <w:tcBorders>
              <w:bottom w:val="single" w:color="auto" w:sz="4" w:space="0"/>
            </w:tcBorders>
            <w:vAlign w:val="center"/>
          </w:tcPr>
          <w:p w14:paraId="10C1E8E3">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一</w:t>
            </w:r>
          </w:p>
        </w:tc>
        <w:tc>
          <w:tcPr>
            <w:tcW w:w="1445" w:type="pct"/>
            <w:vAlign w:val="center"/>
          </w:tcPr>
          <w:p w14:paraId="7A0FFA51">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二</w:t>
            </w:r>
          </w:p>
        </w:tc>
        <w:tc>
          <w:tcPr>
            <w:tcW w:w="1191" w:type="pct"/>
            <w:tcBorders>
              <w:right w:val="single" w:color="auto" w:sz="4" w:space="0"/>
            </w:tcBorders>
            <w:vAlign w:val="center"/>
          </w:tcPr>
          <w:p w14:paraId="5202FBEC">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三</w:t>
            </w:r>
          </w:p>
        </w:tc>
      </w:tr>
      <w:tr w14:paraId="2B41F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71" w:type="pct"/>
            <w:tcBorders>
              <w:left w:val="single" w:color="auto" w:sz="4" w:space="0"/>
              <w:bottom w:val="single" w:color="auto" w:sz="4" w:space="0"/>
            </w:tcBorders>
            <w:shd w:val="clear" w:color="auto" w:fill="BEBEBE" w:themeFill="background1" w:themeFillShade="BF"/>
            <w:vAlign w:val="center"/>
          </w:tcPr>
          <w:p w14:paraId="00BBE3F9">
            <w:pPr>
              <w:jc w:val="center"/>
              <w:rPr>
                <w:rFonts w:ascii="Times New Roman" w:hAnsi="Times New Roman" w:eastAsia="宋体" w:cs="Times New Roman"/>
                <w:color w:val="auto"/>
                <w:szCs w:val="21"/>
              </w:rPr>
            </w:pPr>
            <w:r>
              <w:rPr>
                <w:rFonts w:ascii="Times New Roman" w:hAnsi="Times New Roman" w:eastAsia="宋体" w:cs="Times New Roman"/>
                <w:color w:val="auto"/>
                <w:szCs w:val="21"/>
                <w:shd w:val="clear" w:fill="BEBEBE" w:themeFill="background1" w:themeFillShade="BF"/>
              </w:rPr>
              <w:t>不敏感</w:t>
            </w:r>
          </w:p>
        </w:tc>
        <w:tc>
          <w:tcPr>
            <w:tcW w:w="1191" w:type="pct"/>
            <w:tcBorders>
              <w:bottom w:val="single" w:color="auto" w:sz="4" w:space="0"/>
            </w:tcBorders>
            <w:shd w:val="clear" w:color="auto" w:fill="FFFFFF" w:themeFill="background1"/>
            <w:vAlign w:val="center"/>
          </w:tcPr>
          <w:p w14:paraId="43258AAB">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二</w:t>
            </w:r>
          </w:p>
        </w:tc>
        <w:tc>
          <w:tcPr>
            <w:tcW w:w="1445" w:type="pct"/>
            <w:tcBorders>
              <w:bottom w:val="single" w:color="auto" w:sz="4" w:space="0"/>
            </w:tcBorders>
            <w:shd w:val="clear" w:color="auto" w:fill="FFFFFF" w:themeFill="background1"/>
            <w:vAlign w:val="center"/>
          </w:tcPr>
          <w:p w14:paraId="12459958">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三</w:t>
            </w:r>
          </w:p>
        </w:tc>
        <w:tc>
          <w:tcPr>
            <w:tcW w:w="1191" w:type="pct"/>
            <w:tcBorders>
              <w:bottom w:val="single" w:color="auto" w:sz="4" w:space="0"/>
              <w:right w:val="single" w:color="auto" w:sz="4" w:space="0"/>
            </w:tcBorders>
            <w:shd w:val="clear" w:color="auto" w:fill="BEBEBE" w:themeFill="background1" w:themeFillShade="BF"/>
            <w:vAlign w:val="center"/>
          </w:tcPr>
          <w:p w14:paraId="13186E08">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三</w:t>
            </w:r>
          </w:p>
        </w:tc>
      </w:tr>
    </w:tbl>
    <w:p w14:paraId="1BC9C995">
      <w:pPr>
        <w:spacing w:line="360" w:lineRule="auto"/>
        <w:ind w:firstLine="480" w:firstLineChars="200"/>
        <w:rPr>
          <w:rFonts w:ascii="Times New Roman" w:hAnsi="Times New Roman" w:eastAsia="宋体" w:cs="宋体"/>
          <w:color w:val="auto"/>
          <w:sz w:val="24"/>
          <w:szCs w:val="24"/>
          <w:u w:val="none"/>
        </w:rPr>
      </w:pPr>
      <w:r>
        <w:rPr>
          <w:rFonts w:hint="eastAsia" w:ascii="Times New Roman" w:hAnsi="Times New Roman" w:eastAsia="宋体" w:cs="宋体"/>
          <w:color w:val="auto"/>
          <w:sz w:val="24"/>
          <w:szCs w:val="24"/>
          <w:u w:val="none"/>
        </w:rPr>
        <w:t>区域地下水补给以大气降水为主，地下水流向为西北至东南，主要排泄为胥家湖、团湖与澧水。根据地下水环境影响评价导则，报告采用公式计算法核定项目评价范围：</w:t>
      </w:r>
    </w:p>
    <w:p w14:paraId="274719A5">
      <w:pPr>
        <w:spacing w:line="360" w:lineRule="auto"/>
        <w:ind w:firstLine="480" w:firstLineChars="200"/>
        <w:rPr>
          <w:rFonts w:ascii="Times New Roman" w:hAnsi="Times New Roman" w:eastAsia="宋体" w:cs="Times New Roman"/>
          <w:color w:val="auto"/>
          <w:sz w:val="24"/>
          <w:szCs w:val="24"/>
          <w:u w:val="none"/>
        </w:rPr>
      </w:pPr>
      <w:r>
        <w:rPr>
          <w:rFonts w:ascii="Times New Roman" w:hAnsi="Times New Roman" w:eastAsia="宋体" w:cs="Times New Roman"/>
          <w:color w:val="auto"/>
          <w:sz w:val="24"/>
          <w:szCs w:val="24"/>
          <w:u w:val="none"/>
        </w:rPr>
        <w:t>L=α×K×I×T/ne</w:t>
      </w:r>
    </w:p>
    <w:p w14:paraId="6DAF917A">
      <w:pPr>
        <w:spacing w:line="360" w:lineRule="auto"/>
        <w:ind w:firstLine="480" w:firstLineChars="200"/>
        <w:rPr>
          <w:rFonts w:ascii="Times New Roman" w:hAnsi="Times New Roman" w:eastAsia="宋体" w:cs="宋体"/>
          <w:color w:val="auto"/>
          <w:sz w:val="24"/>
          <w:szCs w:val="24"/>
          <w:u w:val="none"/>
        </w:rPr>
      </w:pPr>
      <w:r>
        <w:rPr>
          <w:rFonts w:hint="eastAsia" w:ascii="Times New Roman" w:hAnsi="Times New Roman" w:eastAsia="宋体" w:cs="宋体"/>
          <w:color w:val="auto"/>
          <w:sz w:val="24"/>
          <w:szCs w:val="24"/>
          <w:u w:val="none"/>
        </w:rPr>
        <w:t>式中：L—下游迁移距离，m；</w:t>
      </w:r>
    </w:p>
    <w:p w14:paraId="036CDA8D">
      <w:pPr>
        <w:spacing w:line="360" w:lineRule="auto"/>
        <w:ind w:firstLine="480" w:firstLineChars="200"/>
        <w:rPr>
          <w:rFonts w:ascii="Times New Roman" w:hAnsi="Times New Roman" w:eastAsia="宋体" w:cs="宋体"/>
          <w:color w:val="auto"/>
          <w:sz w:val="24"/>
          <w:szCs w:val="24"/>
          <w:u w:val="none"/>
        </w:rPr>
      </w:pPr>
      <w:r>
        <w:rPr>
          <w:rFonts w:hint="eastAsia" w:ascii="Times New Roman" w:hAnsi="Times New Roman" w:eastAsia="宋体" w:cs="宋体"/>
          <w:color w:val="auto"/>
          <w:sz w:val="24"/>
          <w:szCs w:val="24"/>
          <w:u w:val="none"/>
        </w:rPr>
        <w:t>α—变化系数，α≥1，本项目取10；</w:t>
      </w:r>
    </w:p>
    <w:p w14:paraId="020915FD">
      <w:pPr>
        <w:spacing w:line="360" w:lineRule="auto"/>
        <w:ind w:firstLine="480" w:firstLineChars="200"/>
        <w:rPr>
          <w:rFonts w:ascii="Times New Roman" w:hAnsi="Times New Roman" w:eastAsia="宋体" w:cs="宋体"/>
          <w:color w:val="auto"/>
          <w:sz w:val="24"/>
          <w:szCs w:val="24"/>
          <w:u w:val="none"/>
        </w:rPr>
      </w:pPr>
      <w:r>
        <w:rPr>
          <w:rFonts w:hint="eastAsia" w:ascii="Times New Roman" w:hAnsi="Times New Roman" w:eastAsia="宋体" w:cs="宋体"/>
          <w:color w:val="auto"/>
          <w:sz w:val="24"/>
          <w:szCs w:val="24"/>
          <w:u w:val="none"/>
        </w:rPr>
        <w:t>K—渗透系数，m/d，</w:t>
      </w:r>
      <w:r>
        <w:rPr>
          <w:rFonts w:hint="eastAsia" w:ascii="Times New Roman" w:hAnsi="Times New Roman" w:eastAsia="宋体" w:cs="Times New Roman"/>
          <w:color w:val="auto"/>
          <w:sz w:val="24"/>
          <w:szCs w:val="24"/>
          <w:u w:val="none"/>
        </w:rPr>
        <w:t>参照《环境影响评价技术导则—地下水环境》（HJ610-2016）附录B1中亚粘土，取值范围为0.1-0.25，本次评价取中间值0.15</w:t>
      </w:r>
      <w:r>
        <w:rPr>
          <w:rFonts w:hint="eastAsia" w:ascii="Times New Roman" w:hAnsi="Times New Roman" w:eastAsia="宋体" w:cs="宋体"/>
          <w:color w:val="auto"/>
          <w:sz w:val="24"/>
          <w:szCs w:val="24"/>
          <w:u w:val="none"/>
        </w:rPr>
        <w:t>；</w:t>
      </w:r>
    </w:p>
    <w:p w14:paraId="319D3851">
      <w:pPr>
        <w:spacing w:line="360" w:lineRule="auto"/>
        <w:ind w:firstLine="480" w:firstLineChars="200"/>
        <w:rPr>
          <w:rFonts w:ascii="Times New Roman" w:hAnsi="Times New Roman" w:eastAsia="宋体" w:cs="宋体"/>
          <w:color w:val="auto"/>
          <w:sz w:val="24"/>
          <w:szCs w:val="24"/>
          <w:u w:val="none"/>
        </w:rPr>
      </w:pPr>
      <w:r>
        <w:rPr>
          <w:rFonts w:hint="eastAsia" w:ascii="Times New Roman" w:hAnsi="Times New Roman" w:eastAsia="宋体" w:cs="宋体"/>
          <w:color w:val="auto"/>
          <w:sz w:val="24"/>
          <w:szCs w:val="24"/>
          <w:u w:val="none"/>
        </w:rPr>
        <w:t>I—水力坡度，无量纲，</w:t>
      </w:r>
      <w:r>
        <w:rPr>
          <w:rFonts w:hint="eastAsia" w:ascii="Times New Roman" w:hAnsi="Times New Roman" w:eastAsia="宋体" w:cs="Times New Roman"/>
          <w:color w:val="auto"/>
          <w:sz w:val="24"/>
          <w:szCs w:val="24"/>
          <w:u w:val="none"/>
        </w:rPr>
        <w:t>根据本次地下水监测期间同步监测水位情况可知，D1地下水水头高度为33.4m，D10地下水水头高度为39.38m，二者距离为4000m，则区域水力坡度约为0.0015</w:t>
      </w:r>
      <w:r>
        <w:rPr>
          <w:rFonts w:hint="eastAsia" w:ascii="Times New Roman" w:hAnsi="Times New Roman" w:eastAsia="宋体" w:cs="宋体"/>
          <w:color w:val="auto"/>
          <w:sz w:val="24"/>
          <w:szCs w:val="24"/>
          <w:u w:val="none"/>
        </w:rPr>
        <w:t>；</w:t>
      </w:r>
    </w:p>
    <w:p w14:paraId="7786581D">
      <w:pPr>
        <w:spacing w:line="360" w:lineRule="auto"/>
        <w:ind w:firstLine="480" w:firstLineChars="200"/>
        <w:rPr>
          <w:rFonts w:ascii="Times New Roman" w:hAnsi="Times New Roman" w:eastAsia="宋体" w:cs="宋体"/>
          <w:color w:val="auto"/>
          <w:sz w:val="24"/>
          <w:szCs w:val="24"/>
          <w:u w:val="none"/>
        </w:rPr>
      </w:pPr>
      <w:r>
        <w:rPr>
          <w:rFonts w:hint="eastAsia" w:ascii="Times New Roman" w:hAnsi="Times New Roman" w:eastAsia="宋体" w:cs="宋体"/>
          <w:color w:val="auto"/>
          <w:sz w:val="24"/>
          <w:szCs w:val="24"/>
          <w:u w:val="none"/>
        </w:rPr>
        <w:t>T—质点迁移天数，取值不小于5000d，本项目取10000d；</w:t>
      </w:r>
    </w:p>
    <w:p w14:paraId="77EF3576">
      <w:pPr>
        <w:spacing w:line="360" w:lineRule="auto"/>
        <w:ind w:firstLine="480" w:firstLineChars="200"/>
        <w:rPr>
          <w:rFonts w:ascii="Times New Roman" w:hAnsi="Times New Roman" w:eastAsia="宋体" w:cs="宋体"/>
          <w:color w:val="auto"/>
          <w:sz w:val="24"/>
          <w:szCs w:val="24"/>
          <w:u w:val="none"/>
        </w:rPr>
      </w:pPr>
      <w:r>
        <w:rPr>
          <w:rFonts w:hint="eastAsia" w:ascii="Times New Roman" w:hAnsi="Times New Roman" w:eastAsia="宋体" w:cs="宋体"/>
          <w:color w:val="auto"/>
          <w:sz w:val="24"/>
          <w:szCs w:val="24"/>
          <w:u w:val="none"/>
        </w:rPr>
        <w:t>n</w:t>
      </w:r>
      <w:r>
        <w:rPr>
          <w:rFonts w:hint="eastAsia" w:ascii="Times New Roman" w:hAnsi="Times New Roman" w:eastAsia="宋体" w:cs="宋体"/>
          <w:color w:val="auto"/>
          <w:sz w:val="24"/>
          <w:szCs w:val="24"/>
          <w:u w:val="none"/>
          <w:vertAlign w:val="subscript"/>
        </w:rPr>
        <w:t>e</w:t>
      </w:r>
      <w:r>
        <w:rPr>
          <w:rFonts w:hint="eastAsia" w:ascii="Times New Roman" w:hAnsi="Times New Roman" w:eastAsia="宋体" w:cs="宋体"/>
          <w:color w:val="auto"/>
          <w:sz w:val="24"/>
          <w:szCs w:val="24"/>
          <w:u w:val="none"/>
        </w:rPr>
        <w:t>—有效孔隙度，无量纲，</w:t>
      </w:r>
      <w:r>
        <w:rPr>
          <w:rFonts w:hint="eastAsia" w:ascii="Times New Roman" w:hAnsi="Times New Roman" w:eastAsia="宋体" w:cs="Times New Roman"/>
          <w:color w:val="auto"/>
          <w:sz w:val="24"/>
          <w:szCs w:val="24"/>
          <w:u w:val="none"/>
        </w:rPr>
        <w:t>本项目有效孔隙率为0.15</w:t>
      </w:r>
      <w:r>
        <w:rPr>
          <w:rFonts w:hint="eastAsia" w:ascii="Times New Roman" w:hAnsi="Times New Roman" w:eastAsia="宋体" w:cs="宋体"/>
          <w:color w:val="auto"/>
          <w:sz w:val="24"/>
          <w:szCs w:val="24"/>
          <w:u w:val="none"/>
        </w:rPr>
        <w:t>。</w:t>
      </w:r>
    </w:p>
    <w:p w14:paraId="2EE2E37C">
      <w:pPr>
        <w:spacing w:line="360" w:lineRule="auto"/>
        <w:ind w:firstLine="480" w:firstLineChars="200"/>
        <w:rPr>
          <w:rFonts w:ascii="Times New Roman" w:hAnsi="Times New Roman" w:eastAsia="宋体" w:cs="宋体"/>
          <w:color w:val="auto"/>
          <w:sz w:val="24"/>
          <w:szCs w:val="24"/>
          <w:u w:val="none"/>
        </w:rPr>
      </w:pPr>
      <w:r>
        <w:rPr>
          <w:rFonts w:hint="eastAsia" w:ascii="Times New Roman" w:hAnsi="Times New Roman" w:eastAsia="宋体" w:cs="宋体"/>
          <w:color w:val="auto"/>
          <w:sz w:val="24"/>
          <w:szCs w:val="24"/>
          <w:u w:val="none"/>
        </w:rPr>
        <w:t>综上，L为150m，则本项目地下水评价范围为厂区厂界上下游150m，场地两侧75m（L/2）。</w:t>
      </w:r>
    </w:p>
    <w:p w14:paraId="513DCA03">
      <w:pPr>
        <w:keepNext/>
        <w:keepLines/>
        <w:spacing w:before="156" w:beforeLines="50" w:after="156" w:afterLines="50" w:line="360" w:lineRule="auto"/>
        <w:outlineLvl w:val="2"/>
        <w:rPr>
          <w:rFonts w:ascii="Times New Roman" w:hAnsi="Times New Roman" w:eastAsia="宋体" w:cs="Times New Roman"/>
          <w:b/>
          <w:color w:val="auto"/>
          <w:kern w:val="0"/>
          <w:sz w:val="24"/>
          <w:szCs w:val="24"/>
        </w:rPr>
      </w:pPr>
      <w:r>
        <w:rPr>
          <w:rFonts w:ascii="Times New Roman" w:hAnsi="Times New Roman" w:eastAsia="宋体" w:cs="Times New Roman"/>
          <w:b/>
          <w:color w:val="auto"/>
          <w:kern w:val="0"/>
          <w:sz w:val="24"/>
          <w:szCs w:val="24"/>
        </w:rPr>
        <w:t>2.5.4声环境影响评价工作等级及范围</w:t>
      </w:r>
    </w:p>
    <w:p w14:paraId="4A7BB73F">
      <w:pPr>
        <w:spacing w:line="360" w:lineRule="auto"/>
        <w:ind w:firstLine="480" w:firstLineChars="200"/>
        <w:rPr>
          <w:rFonts w:ascii="Times New Roman" w:hAnsi="Times New Roman" w:eastAsia="宋体" w:cs="宋体"/>
          <w:color w:val="auto"/>
          <w:sz w:val="24"/>
          <w:szCs w:val="24"/>
        </w:rPr>
      </w:pPr>
      <w:r>
        <w:rPr>
          <w:rFonts w:ascii="Times New Roman" w:hAnsi="Times New Roman" w:eastAsia="宋体" w:cs="宋体"/>
          <w:color w:val="auto"/>
          <w:sz w:val="24"/>
          <w:szCs w:val="24"/>
        </w:rPr>
        <w:t>拟建项目用地范围属于工业用地，为声环境功能3类区，本项目周边200m范围内无集中居民点，采取有效地防护措施后噪声对外环境影响较小，受影响的人口较少；根据《环境影响评价技术导则·声环境》（HJ2.4-2009），本次评价对声环境影响评价定为三级。</w:t>
      </w:r>
    </w:p>
    <w:p w14:paraId="0731C3C8">
      <w:pPr>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评价范围为拟建项目厂界200m范围。</w:t>
      </w:r>
    </w:p>
    <w:p w14:paraId="1B30859B">
      <w:pPr>
        <w:keepNext/>
        <w:keepLines/>
        <w:spacing w:before="156" w:beforeLines="50" w:after="156" w:afterLines="50" w:line="360" w:lineRule="auto"/>
        <w:outlineLvl w:val="2"/>
        <w:rPr>
          <w:rFonts w:ascii="Times New Roman" w:hAnsi="Times New Roman" w:eastAsia="宋体" w:cs="Times New Roman"/>
          <w:b/>
          <w:color w:val="auto"/>
          <w:kern w:val="0"/>
          <w:sz w:val="24"/>
          <w:szCs w:val="24"/>
        </w:rPr>
      </w:pPr>
      <w:r>
        <w:rPr>
          <w:rFonts w:hint="eastAsia" w:ascii="Times New Roman" w:hAnsi="Times New Roman" w:eastAsia="宋体" w:cs="Times New Roman"/>
          <w:b/>
          <w:color w:val="auto"/>
          <w:kern w:val="0"/>
          <w:sz w:val="24"/>
          <w:szCs w:val="24"/>
        </w:rPr>
        <w:t>2.5.5</w:t>
      </w:r>
      <w:r>
        <w:rPr>
          <w:rFonts w:ascii="Times New Roman" w:hAnsi="Times New Roman" w:eastAsia="宋体" w:cs="Times New Roman"/>
          <w:b/>
          <w:color w:val="auto"/>
          <w:kern w:val="0"/>
          <w:sz w:val="24"/>
          <w:szCs w:val="24"/>
        </w:rPr>
        <w:t>土壤环境评价等级及范围</w:t>
      </w:r>
    </w:p>
    <w:p w14:paraId="2F825CC2">
      <w:pPr>
        <w:spacing w:line="360" w:lineRule="auto"/>
        <w:ind w:firstLine="480" w:firstLineChars="200"/>
        <w:rPr>
          <w:rFonts w:ascii="Times New Roman" w:hAnsi="Times New Roman" w:eastAsia="宋体" w:cs="宋体"/>
          <w:color w:val="auto"/>
          <w:sz w:val="24"/>
          <w:szCs w:val="24"/>
        </w:rPr>
      </w:pPr>
      <w:r>
        <w:rPr>
          <w:rFonts w:ascii="Times New Roman" w:hAnsi="Times New Roman" w:eastAsia="宋体" w:cs="宋体"/>
          <w:color w:val="auto"/>
          <w:sz w:val="24"/>
          <w:szCs w:val="24"/>
        </w:rPr>
        <w:t>建项目属于污染影响型项目，</w:t>
      </w:r>
      <w:r>
        <w:rPr>
          <w:rFonts w:hint="eastAsia" w:ascii="Times New Roman" w:hAnsi="Times New Roman" w:eastAsia="宋体" w:cs="宋体"/>
          <w:color w:val="auto"/>
          <w:sz w:val="24"/>
          <w:szCs w:val="24"/>
        </w:rPr>
        <w:t>不新增用地，原</w:t>
      </w:r>
      <w:r>
        <w:rPr>
          <w:rFonts w:ascii="Times New Roman" w:hAnsi="Times New Roman" w:eastAsia="宋体" w:cs="宋体"/>
          <w:color w:val="auto"/>
          <w:sz w:val="24"/>
          <w:szCs w:val="24"/>
        </w:rPr>
        <w:t>占地面积为</w:t>
      </w:r>
      <w:r>
        <w:rPr>
          <w:rFonts w:hint="eastAsia" w:ascii="Times New Roman" w:hAnsi="Times New Roman" w:eastAsia="宋体" w:cs="宋体"/>
          <w:color w:val="auto"/>
          <w:sz w:val="24"/>
          <w:szCs w:val="24"/>
          <w:lang w:val="en-US" w:eastAsia="zh-CN"/>
        </w:rPr>
        <w:t>46669</w:t>
      </w:r>
      <w:r>
        <w:rPr>
          <w:rFonts w:hint="eastAsia" w:ascii="Times New Roman" w:hAnsi="Times New Roman" w:eastAsia="宋体" w:cs="宋体"/>
          <w:color w:val="auto"/>
          <w:sz w:val="24"/>
          <w:szCs w:val="24"/>
          <w:lang w:eastAsia="zh-CN"/>
        </w:rPr>
        <w:t>m</w:t>
      </w:r>
      <w:r>
        <w:rPr>
          <w:rFonts w:hint="eastAsia" w:ascii="Times New Roman" w:hAnsi="Times New Roman" w:eastAsia="宋体" w:cs="宋体"/>
          <w:color w:val="auto"/>
          <w:sz w:val="24"/>
          <w:szCs w:val="24"/>
          <w:vertAlign w:val="superscript"/>
          <w:lang w:eastAsia="zh-CN"/>
        </w:rPr>
        <w:t>2</w:t>
      </w:r>
      <w:r>
        <w:rPr>
          <w:rFonts w:ascii="Times New Roman" w:hAnsi="Times New Roman" w:eastAsia="宋体" w:cs="宋体"/>
          <w:color w:val="auto"/>
          <w:sz w:val="24"/>
          <w:szCs w:val="24"/>
        </w:rPr>
        <w:t>（</w:t>
      </w:r>
      <w:r>
        <w:rPr>
          <w:rFonts w:hint="eastAsia" w:ascii="Times New Roman" w:hAnsi="Times New Roman" w:eastAsia="宋体" w:cs="宋体"/>
          <w:color w:val="auto"/>
          <w:sz w:val="24"/>
          <w:szCs w:val="24"/>
          <w:lang w:val="en-US" w:eastAsia="zh-CN"/>
        </w:rPr>
        <w:t>4.67</w:t>
      </w:r>
      <w:r>
        <w:rPr>
          <w:rFonts w:hint="eastAsia" w:ascii="Times New Roman" w:hAnsi="Times New Roman" w:eastAsia="宋体" w:cs="宋体"/>
          <w:color w:val="auto"/>
          <w:sz w:val="24"/>
          <w:szCs w:val="24"/>
        </w:rPr>
        <w:t>h</w:t>
      </w:r>
      <w:r>
        <w:rPr>
          <w:rFonts w:hint="eastAsia" w:ascii="Times New Roman" w:hAnsi="Times New Roman" w:eastAsia="宋体" w:cs="宋体"/>
          <w:color w:val="auto"/>
          <w:sz w:val="24"/>
          <w:szCs w:val="24"/>
          <w:lang w:eastAsia="zh-CN"/>
        </w:rPr>
        <w:t>m</w:t>
      </w:r>
      <w:r>
        <w:rPr>
          <w:rFonts w:hint="eastAsia" w:ascii="Times New Roman" w:hAnsi="Times New Roman" w:eastAsia="宋体" w:cs="宋体"/>
          <w:color w:val="auto"/>
          <w:sz w:val="24"/>
          <w:szCs w:val="24"/>
          <w:vertAlign w:val="superscript"/>
          <w:lang w:eastAsia="zh-CN"/>
        </w:rPr>
        <w:t>2</w:t>
      </w:r>
      <w:r>
        <w:rPr>
          <w:rFonts w:ascii="Times New Roman" w:hAnsi="Times New Roman"/>
          <w:color w:val="auto"/>
          <w:sz w:val="24"/>
          <w:szCs w:val="24"/>
          <w:u w:val="none" w:color="auto"/>
        </w:rPr>
        <w:t>≤5h</w:t>
      </w:r>
      <w:r>
        <w:rPr>
          <w:rFonts w:hint="eastAsia" w:ascii="Times New Roman" w:hAnsi="Times New Roman"/>
          <w:color w:val="auto"/>
          <w:sz w:val="24"/>
          <w:szCs w:val="24"/>
          <w:u w:val="none" w:color="auto"/>
          <w:lang w:eastAsia="zh-CN"/>
        </w:rPr>
        <w:t>m</w:t>
      </w:r>
      <w:r>
        <w:rPr>
          <w:rFonts w:hint="eastAsia" w:ascii="Times New Roman" w:hAnsi="Times New Roman"/>
          <w:color w:val="auto"/>
          <w:sz w:val="24"/>
          <w:szCs w:val="24"/>
          <w:u w:val="none" w:color="auto"/>
          <w:vertAlign w:val="superscript"/>
          <w:lang w:eastAsia="zh-CN"/>
        </w:rPr>
        <w:t>2</w:t>
      </w:r>
      <w:r>
        <w:rPr>
          <w:rFonts w:ascii="Times New Roman" w:hAnsi="Times New Roman" w:eastAsia="宋体" w:cs="宋体"/>
          <w:color w:val="auto"/>
          <w:sz w:val="24"/>
          <w:szCs w:val="24"/>
        </w:rPr>
        <w:t>），占地规模为</w:t>
      </w:r>
      <w:r>
        <w:rPr>
          <w:rFonts w:hint="eastAsia" w:ascii="Times New Roman" w:hAnsi="Times New Roman" w:eastAsia="宋体" w:cs="宋体"/>
          <w:color w:val="auto"/>
          <w:sz w:val="24"/>
          <w:szCs w:val="24"/>
          <w:lang w:val="en-US" w:eastAsia="zh-CN"/>
        </w:rPr>
        <w:t>小</w:t>
      </w:r>
      <w:r>
        <w:rPr>
          <w:rFonts w:ascii="Times New Roman" w:hAnsi="Times New Roman" w:eastAsia="宋体" w:cs="宋体"/>
          <w:color w:val="auto"/>
          <w:sz w:val="24"/>
          <w:szCs w:val="24"/>
        </w:rPr>
        <w:t>型，污染影响型敏感程度分级见表</w:t>
      </w:r>
      <w:r>
        <w:rPr>
          <w:rFonts w:hint="eastAsia" w:ascii="Times New Roman" w:hAnsi="Times New Roman" w:eastAsia="宋体" w:cs="宋体"/>
          <w:color w:val="auto"/>
          <w:sz w:val="24"/>
          <w:szCs w:val="24"/>
        </w:rPr>
        <w:t>2</w:t>
      </w:r>
      <w:r>
        <w:rPr>
          <w:rFonts w:ascii="Times New Roman" w:hAnsi="Times New Roman" w:eastAsia="宋体" w:cs="宋体"/>
          <w:color w:val="auto"/>
          <w:sz w:val="24"/>
          <w:szCs w:val="24"/>
        </w:rPr>
        <w:t>.5</w:t>
      </w:r>
      <w:r>
        <w:rPr>
          <w:rFonts w:hint="eastAsia" w:ascii="Times New Roman" w:hAnsi="Times New Roman" w:eastAsia="宋体" w:cs="宋体"/>
          <w:color w:val="auto"/>
          <w:sz w:val="24"/>
          <w:szCs w:val="24"/>
        </w:rPr>
        <w:t>.5-1</w:t>
      </w:r>
      <w:r>
        <w:rPr>
          <w:rFonts w:ascii="Times New Roman" w:hAnsi="Times New Roman" w:eastAsia="宋体" w:cs="宋体"/>
          <w:color w:val="auto"/>
          <w:sz w:val="24"/>
          <w:szCs w:val="24"/>
        </w:rPr>
        <w:t>，污染影响型评价工作等级划分见表</w:t>
      </w:r>
      <w:r>
        <w:rPr>
          <w:rFonts w:hint="eastAsia" w:ascii="Times New Roman" w:hAnsi="Times New Roman" w:eastAsia="宋体" w:cs="宋体"/>
          <w:color w:val="auto"/>
          <w:sz w:val="24"/>
          <w:szCs w:val="24"/>
        </w:rPr>
        <w:t>2</w:t>
      </w:r>
      <w:r>
        <w:rPr>
          <w:rFonts w:ascii="Times New Roman" w:hAnsi="Times New Roman" w:eastAsia="宋体" w:cs="宋体"/>
          <w:color w:val="auto"/>
          <w:sz w:val="24"/>
          <w:szCs w:val="24"/>
        </w:rPr>
        <w:t>.5</w:t>
      </w:r>
      <w:r>
        <w:rPr>
          <w:rFonts w:hint="eastAsia" w:ascii="Times New Roman" w:hAnsi="Times New Roman" w:eastAsia="宋体" w:cs="宋体"/>
          <w:color w:val="auto"/>
          <w:sz w:val="24"/>
          <w:szCs w:val="24"/>
        </w:rPr>
        <w:t>.5</w:t>
      </w:r>
      <w:r>
        <w:rPr>
          <w:rFonts w:ascii="Times New Roman" w:hAnsi="Times New Roman" w:eastAsia="宋体" w:cs="宋体"/>
          <w:color w:val="auto"/>
          <w:sz w:val="24"/>
          <w:szCs w:val="24"/>
        </w:rPr>
        <w:t>-</w:t>
      </w:r>
      <w:r>
        <w:rPr>
          <w:rFonts w:hint="eastAsia" w:ascii="Times New Roman" w:hAnsi="Times New Roman" w:eastAsia="宋体" w:cs="宋体"/>
          <w:color w:val="auto"/>
          <w:sz w:val="24"/>
          <w:szCs w:val="24"/>
        </w:rPr>
        <w:t>2</w:t>
      </w:r>
      <w:r>
        <w:rPr>
          <w:rFonts w:ascii="Times New Roman" w:hAnsi="Times New Roman" w:eastAsia="宋体" w:cs="宋体"/>
          <w:color w:val="auto"/>
          <w:sz w:val="24"/>
          <w:szCs w:val="24"/>
        </w:rPr>
        <w:t>。</w:t>
      </w:r>
    </w:p>
    <w:p w14:paraId="372D42F6">
      <w:pPr>
        <w:pStyle w:val="6"/>
        <w:bidi w:val="0"/>
      </w:pPr>
      <w:r>
        <w:t>表</w:t>
      </w:r>
      <w:r>
        <w:rPr>
          <w:rFonts w:hint="eastAsia"/>
        </w:rPr>
        <w:t>2</w:t>
      </w:r>
      <w:r>
        <w:t>.5</w:t>
      </w:r>
      <w:r>
        <w:rPr>
          <w:rFonts w:hint="eastAsia"/>
        </w:rPr>
        <w:t>.5</w:t>
      </w:r>
      <w:r>
        <w:t>-</w:t>
      </w:r>
      <w:r>
        <w:rPr>
          <w:rFonts w:hint="eastAsia"/>
        </w:rPr>
        <w:t>1</w:t>
      </w:r>
      <w:r>
        <w:t xml:space="preserve">  污染影响型敏感程度分级表</w:t>
      </w:r>
    </w:p>
    <w:tbl>
      <w:tblPr>
        <w:tblStyle w:val="41"/>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721"/>
        <w:gridCol w:w="6798"/>
      </w:tblGrid>
      <w:tr w14:paraId="41DCF3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10" w:type="pct"/>
            <w:tcBorders>
              <w:top w:val="single" w:color="auto" w:sz="4" w:space="0"/>
              <w:left w:val="single" w:color="auto" w:sz="4" w:space="0"/>
            </w:tcBorders>
            <w:vAlign w:val="center"/>
          </w:tcPr>
          <w:p w14:paraId="5E6EB1F4">
            <w:pPr>
              <w:jc w:val="center"/>
              <w:rPr>
                <w:rFonts w:ascii="Times New Roman" w:hAnsi="Times New Roman" w:eastAsia="宋体" w:cs="Times New Roman"/>
                <w:b/>
                <w:bCs/>
                <w:color w:val="auto"/>
                <w:szCs w:val="21"/>
              </w:rPr>
            </w:pPr>
            <w:r>
              <w:rPr>
                <w:rFonts w:ascii="Times New Roman" w:hAnsi="Times New Roman" w:eastAsia="宋体" w:cs="Times New Roman"/>
                <w:b/>
                <w:bCs/>
                <w:color w:val="auto"/>
                <w:szCs w:val="21"/>
              </w:rPr>
              <w:t>敏感程度</w:t>
            </w:r>
          </w:p>
        </w:tc>
        <w:tc>
          <w:tcPr>
            <w:tcW w:w="3989" w:type="pct"/>
            <w:tcBorders>
              <w:top w:val="single" w:color="auto" w:sz="4" w:space="0"/>
              <w:right w:val="single" w:color="auto" w:sz="4" w:space="0"/>
            </w:tcBorders>
            <w:vAlign w:val="center"/>
          </w:tcPr>
          <w:p w14:paraId="57ADCEA2">
            <w:pPr>
              <w:jc w:val="center"/>
              <w:rPr>
                <w:rFonts w:ascii="Times New Roman" w:hAnsi="Times New Roman" w:eastAsia="宋体" w:cs="Times New Roman"/>
                <w:b/>
                <w:bCs/>
                <w:color w:val="auto"/>
                <w:szCs w:val="21"/>
              </w:rPr>
            </w:pPr>
            <w:r>
              <w:rPr>
                <w:rFonts w:ascii="Times New Roman" w:hAnsi="Times New Roman" w:eastAsia="宋体" w:cs="Times New Roman"/>
                <w:b/>
                <w:bCs/>
                <w:color w:val="auto"/>
                <w:szCs w:val="21"/>
              </w:rPr>
              <w:t>判别依据</w:t>
            </w:r>
          </w:p>
        </w:tc>
      </w:tr>
      <w:tr w14:paraId="4EFD8C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10" w:type="pct"/>
            <w:tcBorders>
              <w:left w:val="single" w:color="auto" w:sz="4" w:space="0"/>
            </w:tcBorders>
            <w:vAlign w:val="center"/>
          </w:tcPr>
          <w:p w14:paraId="54723BA9">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敏感</w:t>
            </w:r>
          </w:p>
        </w:tc>
        <w:tc>
          <w:tcPr>
            <w:tcW w:w="3989" w:type="pct"/>
            <w:tcBorders>
              <w:right w:val="single" w:color="auto" w:sz="4" w:space="0"/>
            </w:tcBorders>
            <w:vAlign w:val="center"/>
          </w:tcPr>
          <w:p w14:paraId="3D67B7A8">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建设项目周边存在耕地、园地、牧草地、饮用水水源地或居民区、学校、医院、疗养院、养老院等土壤环境敏感目标的</w:t>
            </w:r>
          </w:p>
        </w:tc>
      </w:tr>
      <w:tr w14:paraId="313AE8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10" w:type="pct"/>
            <w:tcBorders>
              <w:left w:val="single" w:color="auto" w:sz="4" w:space="0"/>
            </w:tcBorders>
            <w:vAlign w:val="center"/>
          </w:tcPr>
          <w:p w14:paraId="6FF5E7F7">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较敏感</w:t>
            </w:r>
          </w:p>
        </w:tc>
        <w:tc>
          <w:tcPr>
            <w:tcW w:w="3989" w:type="pct"/>
            <w:tcBorders>
              <w:right w:val="single" w:color="auto" w:sz="4" w:space="0"/>
            </w:tcBorders>
            <w:vAlign w:val="center"/>
          </w:tcPr>
          <w:p w14:paraId="47D0D2FC">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建设项目周边存在其他土壤环境敏感目标的</w:t>
            </w:r>
          </w:p>
        </w:tc>
      </w:tr>
      <w:tr w14:paraId="6DA85C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10" w:type="pct"/>
            <w:tcBorders>
              <w:left w:val="single" w:color="auto" w:sz="4" w:space="0"/>
              <w:bottom w:val="single" w:color="auto" w:sz="4" w:space="0"/>
            </w:tcBorders>
            <w:vAlign w:val="center"/>
          </w:tcPr>
          <w:p w14:paraId="3C05100D">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不敏感</w:t>
            </w:r>
          </w:p>
        </w:tc>
        <w:tc>
          <w:tcPr>
            <w:tcW w:w="3989" w:type="pct"/>
            <w:tcBorders>
              <w:bottom w:val="single" w:color="auto" w:sz="4" w:space="0"/>
              <w:right w:val="single" w:color="auto" w:sz="4" w:space="0"/>
            </w:tcBorders>
            <w:vAlign w:val="center"/>
          </w:tcPr>
          <w:p w14:paraId="2945966B">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其他情况</w:t>
            </w:r>
          </w:p>
        </w:tc>
      </w:tr>
    </w:tbl>
    <w:p w14:paraId="6EF4DEE6">
      <w:pPr>
        <w:pStyle w:val="6"/>
        <w:bidi w:val="0"/>
      </w:pPr>
      <w:r>
        <w:t>表</w:t>
      </w:r>
      <w:r>
        <w:rPr>
          <w:rFonts w:hint="eastAsia"/>
        </w:rPr>
        <w:t>2.5.5-2</w:t>
      </w:r>
      <w:r>
        <w:t xml:space="preserve">  污染影响型评价工作等级划分表</w:t>
      </w:r>
    </w:p>
    <w:tbl>
      <w:tblPr>
        <w:tblStyle w:val="41"/>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70"/>
        <w:gridCol w:w="680"/>
        <w:gridCol w:w="680"/>
        <w:gridCol w:w="685"/>
        <w:gridCol w:w="680"/>
        <w:gridCol w:w="680"/>
        <w:gridCol w:w="685"/>
        <w:gridCol w:w="681"/>
        <w:gridCol w:w="681"/>
        <w:gridCol w:w="695"/>
      </w:tblGrid>
      <w:tr w14:paraId="0EDE3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92" w:type="pct"/>
            <w:vAlign w:val="center"/>
          </w:tcPr>
          <w:p w14:paraId="431819DC">
            <w:pPr>
              <w:jc w:val="center"/>
              <w:rPr>
                <w:rFonts w:ascii="Times New Roman" w:hAnsi="Times New Roman" w:eastAsia="宋体" w:cs="Times New Roman"/>
                <w:b/>
                <w:bCs/>
                <w:color w:val="auto"/>
                <w:szCs w:val="21"/>
              </w:rPr>
            </w:pPr>
            <w:r>
              <w:rPr>
                <w:rFonts w:ascii="Times New Roman" w:hAnsi="Times New Roman" w:eastAsia="宋体" w:cs="Times New Roman"/>
                <w:b/>
                <w:bCs/>
                <w:color w:val="auto"/>
                <w:szCs w:val="21"/>
              </w:rPr>
              <w:t>项目类型</w:t>
            </w:r>
          </w:p>
        </w:tc>
        <w:tc>
          <w:tcPr>
            <w:tcW w:w="1200" w:type="pct"/>
            <w:gridSpan w:val="3"/>
            <w:vAlign w:val="center"/>
          </w:tcPr>
          <w:p w14:paraId="0EA4F3F4">
            <w:pPr>
              <w:jc w:val="center"/>
              <w:rPr>
                <w:rFonts w:ascii="Times New Roman" w:hAnsi="Times New Roman" w:eastAsia="宋体" w:cs="Times New Roman"/>
                <w:b/>
                <w:bCs/>
                <w:color w:val="auto"/>
                <w:szCs w:val="21"/>
              </w:rPr>
            </w:pPr>
            <w:r>
              <w:rPr>
                <w:rFonts w:ascii="Times New Roman" w:hAnsi="Times New Roman" w:eastAsia="宋体" w:cs="Times New Roman"/>
                <w:b/>
                <w:bCs/>
                <w:color w:val="auto"/>
                <w:szCs w:val="21"/>
              </w:rPr>
              <w:t>Ⅰ类</w:t>
            </w:r>
          </w:p>
        </w:tc>
        <w:tc>
          <w:tcPr>
            <w:tcW w:w="1200" w:type="pct"/>
            <w:gridSpan w:val="3"/>
            <w:vAlign w:val="center"/>
          </w:tcPr>
          <w:p w14:paraId="692F81C0">
            <w:pPr>
              <w:jc w:val="center"/>
              <w:rPr>
                <w:rFonts w:ascii="Times New Roman" w:hAnsi="Times New Roman" w:eastAsia="宋体" w:cs="Times New Roman"/>
                <w:b/>
                <w:bCs/>
                <w:color w:val="auto"/>
                <w:szCs w:val="21"/>
              </w:rPr>
            </w:pPr>
            <w:r>
              <w:rPr>
                <w:rFonts w:ascii="Times New Roman" w:hAnsi="Times New Roman" w:eastAsia="宋体" w:cs="Times New Roman"/>
                <w:b/>
                <w:bCs/>
                <w:color w:val="auto"/>
                <w:szCs w:val="21"/>
              </w:rPr>
              <w:t>Ⅱ类</w:t>
            </w:r>
          </w:p>
        </w:tc>
        <w:tc>
          <w:tcPr>
            <w:tcW w:w="1205" w:type="pct"/>
            <w:gridSpan w:val="3"/>
            <w:vAlign w:val="center"/>
          </w:tcPr>
          <w:p w14:paraId="5E917FBC">
            <w:pPr>
              <w:jc w:val="center"/>
              <w:rPr>
                <w:rFonts w:ascii="Times New Roman" w:hAnsi="Times New Roman" w:eastAsia="宋体" w:cs="Times New Roman"/>
                <w:b/>
                <w:bCs/>
                <w:color w:val="auto"/>
                <w:szCs w:val="21"/>
              </w:rPr>
            </w:pPr>
            <w:r>
              <w:rPr>
                <w:rFonts w:ascii="Times New Roman" w:hAnsi="Times New Roman" w:eastAsia="宋体" w:cs="Times New Roman"/>
                <w:b/>
                <w:bCs/>
                <w:color w:val="auto"/>
                <w:szCs w:val="21"/>
              </w:rPr>
              <w:t>Ⅲ类</w:t>
            </w:r>
          </w:p>
        </w:tc>
      </w:tr>
      <w:tr w14:paraId="600F2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92" w:type="pct"/>
            <w:vAlign w:val="center"/>
          </w:tcPr>
          <w:p w14:paraId="7E4139D6">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评价工作</w:t>
            </w:r>
            <w:r>
              <w:rPr>
                <w:rFonts w:ascii="Times New Roman" w:hAnsi="Times New Roman" w:eastAsia="宋体" w:cs="Times New Roman"/>
                <w:color w:val="auto"/>
                <w:szCs w:val="21"/>
              </w:rPr>
              <mc:AlternateContent>
                <mc:Choice Requires="wps">
                  <w:drawing>
                    <wp:anchor distT="0" distB="0" distL="114300" distR="114300" simplePos="0" relativeHeight="251661312" behindDoc="0" locked="0" layoutInCell="1" allowOverlap="1">
                      <wp:simplePos x="0" y="0"/>
                      <wp:positionH relativeFrom="column">
                        <wp:posOffset>567055</wp:posOffset>
                      </wp:positionH>
                      <wp:positionV relativeFrom="paragraph">
                        <wp:posOffset>-5080</wp:posOffset>
                      </wp:positionV>
                      <wp:extent cx="857250" cy="514350"/>
                      <wp:effectExtent l="0" t="0" r="19050" b="19050"/>
                      <wp:wrapNone/>
                      <wp:docPr id="771623462" name="直接箭头连接符 107"/>
                      <wp:cNvGraphicFramePr/>
                      <a:graphic xmlns:a="http://schemas.openxmlformats.org/drawingml/2006/main">
                        <a:graphicData uri="http://schemas.microsoft.com/office/word/2010/wordprocessingShape">
                          <wps:wsp>
                            <wps:cNvCnPr/>
                            <wps:spPr>
                              <a:xfrm>
                                <a:off x="0" y="0"/>
                                <a:ext cx="857250" cy="51435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直接箭头连接符 107" o:spid="_x0000_s1026" o:spt="32" type="#_x0000_t32" style="position:absolute;left:0pt;margin-left:44.65pt;margin-top:-0.4pt;height:40.5pt;width:67.5pt;z-index:251661312;mso-width-relative:page;mso-height-relative:page;" filled="f" stroked="t" coordsize="21600,21600" o:gfxdata="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1A3Z31QAAAAcBAAAPAAAAAAAAAAEAIAAA&#10;ACIAAABkcnMvZG93bnJldi54bWxQSwECFAAUAAAACACHTuJAseTpqw8CAAAIBAAADgAAAAAAAAAB&#10;ACAAAAAkAQAAZHJzL2Uyb0RvYy54bWxQSwUGAAAAAAYABgBZAQAApQUAAAAA&#10;">
                      <v:fill on="f" focussize="0,0"/>
                      <v:stroke color="#000000" joinstyle="round"/>
                      <v:imagedata o:title=""/>
                      <o:lock v:ext="edit" aspectratio="f"/>
                    </v:shape>
                  </w:pict>
                </mc:Fallback>
              </mc:AlternateContent>
            </w:r>
            <w:r>
              <w:rPr>
                <w:rFonts w:ascii="Times New Roman" w:hAnsi="Times New Roman" w:eastAsia="宋体" w:cs="Times New Roman"/>
                <w:color w:val="auto"/>
                <w:szCs w:val="21"/>
              </w:rPr>
              <w:t xml:space="preserve">    占地规模</w:t>
            </w:r>
          </w:p>
          <w:p w14:paraId="2754CB11">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mc:AlternateContent>
                <mc:Choice Requires="wps">
                  <w:drawing>
                    <wp:anchor distT="0" distB="0" distL="114300" distR="114300" simplePos="0" relativeHeight="251660288" behindDoc="0" locked="0" layoutInCell="1" allowOverlap="1">
                      <wp:simplePos x="0" y="0"/>
                      <wp:positionH relativeFrom="column">
                        <wp:posOffset>-71120</wp:posOffset>
                      </wp:positionH>
                      <wp:positionV relativeFrom="paragraph">
                        <wp:posOffset>59055</wp:posOffset>
                      </wp:positionV>
                      <wp:extent cx="1504950" cy="283845"/>
                      <wp:effectExtent l="0" t="0" r="19050" b="20955"/>
                      <wp:wrapNone/>
                      <wp:docPr id="64" name="直接箭头连接符 106"/>
                      <wp:cNvGraphicFramePr/>
                      <a:graphic xmlns:a="http://schemas.openxmlformats.org/drawingml/2006/main">
                        <a:graphicData uri="http://schemas.microsoft.com/office/word/2010/wordprocessingShape">
                          <wps:wsp>
                            <wps:cNvCnPr/>
                            <wps:spPr>
                              <a:xfrm>
                                <a:off x="0" y="0"/>
                                <a:ext cx="1504950" cy="283845"/>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直接箭头连接符 106" o:spid="_x0000_s1026" o:spt="32" type="#_x0000_t32" style="position:absolute;left:0pt;margin-left:-5.6pt;margin-top:4.65pt;height:22.35pt;width:118.5pt;z-index:251660288;mso-width-relative:page;mso-height-relative:page;" filled="f" stroked="t" coordsize="21600,21600" o:gfxdata="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HcgCl/XAAAACAEAAA8AAAAAAAAAAQAgAAAAIgAA&#10;AGRycy9kb3ducmV2LnhtbFBLAQIUABQAAAAIAIdO4kDxc1nPCQIAAAIEAAAOAAAAAAAAAAEAIAAA&#10;ACYBAABkcnMvZTJvRG9jLnhtbFBLBQYAAAAABgAGAFkBAAChBQAAAAA=&#10;">
                      <v:fill on="f" focussize="0,0"/>
                      <v:stroke color="#000000" joinstyle="round"/>
                      <v:imagedata o:title=""/>
                      <o:lock v:ext="edit" aspectratio="f"/>
                    </v:shape>
                  </w:pict>
                </mc:Fallback>
              </mc:AlternateContent>
            </w:r>
            <w:r>
              <w:rPr>
                <w:rFonts w:ascii="Times New Roman" w:hAnsi="Times New Roman" w:eastAsia="宋体" w:cs="Times New Roman"/>
                <w:color w:val="auto"/>
                <w:szCs w:val="21"/>
              </w:rPr>
              <w:t>等级</w:t>
            </w:r>
          </w:p>
          <w:p w14:paraId="7AFF1C9F">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敏感程度</w:t>
            </w:r>
          </w:p>
        </w:tc>
        <w:tc>
          <w:tcPr>
            <w:tcW w:w="399" w:type="pct"/>
            <w:vAlign w:val="center"/>
          </w:tcPr>
          <w:p w14:paraId="27F9EA9C">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大</w:t>
            </w:r>
          </w:p>
        </w:tc>
        <w:tc>
          <w:tcPr>
            <w:tcW w:w="399" w:type="pct"/>
            <w:vAlign w:val="center"/>
          </w:tcPr>
          <w:p w14:paraId="39AA3D69">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中</w:t>
            </w:r>
          </w:p>
        </w:tc>
        <w:tc>
          <w:tcPr>
            <w:tcW w:w="400" w:type="pct"/>
            <w:vAlign w:val="center"/>
          </w:tcPr>
          <w:p w14:paraId="5302BDB5">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小</w:t>
            </w:r>
          </w:p>
        </w:tc>
        <w:tc>
          <w:tcPr>
            <w:tcW w:w="399" w:type="pct"/>
            <w:vAlign w:val="center"/>
          </w:tcPr>
          <w:p w14:paraId="2B34BD6B">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大</w:t>
            </w:r>
          </w:p>
        </w:tc>
        <w:tc>
          <w:tcPr>
            <w:tcW w:w="399" w:type="pct"/>
            <w:vAlign w:val="center"/>
          </w:tcPr>
          <w:p w14:paraId="21538498">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中</w:t>
            </w:r>
          </w:p>
        </w:tc>
        <w:tc>
          <w:tcPr>
            <w:tcW w:w="400" w:type="pct"/>
            <w:vAlign w:val="center"/>
          </w:tcPr>
          <w:p w14:paraId="1C128314">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小</w:t>
            </w:r>
          </w:p>
        </w:tc>
        <w:tc>
          <w:tcPr>
            <w:tcW w:w="400" w:type="pct"/>
            <w:vAlign w:val="center"/>
          </w:tcPr>
          <w:p w14:paraId="0D3B512A">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大</w:t>
            </w:r>
          </w:p>
        </w:tc>
        <w:tc>
          <w:tcPr>
            <w:tcW w:w="400" w:type="pct"/>
            <w:vAlign w:val="center"/>
          </w:tcPr>
          <w:p w14:paraId="37A562E5">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中</w:t>
            </w:r>
          </w:p>
        </w:tc>
        <w:tc>
          <w:tcPr>
            <w:tcW w:w="405" w:type="pct"/>
            <w:vAlign w:val="center"/>
          </w:tcPr>
          <w:p w14:paraId="5ECFAC3A">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小</w:t>
            </w:r>
          </w:p>
        </w:tc>
      </w:tr>
      <w:tr w14:paraId="0763B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92" w:type="pct"/>
            <w:vAlign w:val="center"/>
          </w:tcPr>
          <w:p w14:paraId="3F5A3E59">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敏感</w:t>
            </w:r>
          </w:p>
        </w:tc>
        <w:tc>
          <w:tcPr>
            <w:tcW w:w="399" w:type="pct"/>
            <w:vAlign w:val="center"/>
          </w:tcPr>
          <w:p w14:paraId="0416A1A5">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一级</w:t>
            </w:r>
          </w:p>
        </w:tc>
        <w:tc>
          <w:tcPr>
            <w:tcW w:w="399" w:type="pct"/>
            <w:vAlign w:val="center"/>
          </w:tcPr>
          <w:p w14:paraId="7343EB17">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一级</w:t>
            </w:r>
          </w:p>
        </w:tc>
        <w:tc>
          <w:tcPr>
            <w:tcW w:w="400" w:type="pct"/>
            <w:vAlign w:val="center"/>
          </w:tcPr>
          <w:p w14:paraId="0F9EBB62">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一级</w:t>
            </w:r>
          </w:p>
        </w:tc>
        <w:tc>
          <w:tcPr>
            <w:tcW w:w="399" w:type="pct"/>
            <w:vAlign w:val="center"/>
          </w:tcPr>
          <w:p w14:paraId="578752FA">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二级</w:t>
            </w:r>
          </w:p>
        </w:tc>
        <w:tc>
          <w:tcPr>
            <w:tcW w:w="399" w:type="pct"/>
            <w:vAlign w:val="center"/>
          </w:tcPr>
          <w:p w14:paraId="7D871962">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二级</w:t>
            </w:r>
          </w:p>
        </w:tc>
        <w:tc>
          <w:tcPr>
            <w:tcW w:w="400" w:type="pct"/>
            <w:vAlign w:val="center"/>
          </w:tcPr>
          <w:p w14:paraId="42E5B944">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二级</w:t>
            </w:r>
          </w:p>
        </w:tc>
        <w:tc>
          <w:tcPr>
            <w:tcW w:w="400" w:type="pct"/>
            <w:vAlign w:val="center"/>
          </w:tcPr>
          <w:p w14:paraId="02013881">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三级</w:t>
            </w:r>
          </w:p>
        </w:tc>
        <w:tc>
          <w:tcPr>
            <w:tcW w:w="400" w:type="pct"/>
            <w:vAlign w:val="center"/>
          </w:tcPr>
          <w:p w14:paraId="03E15554">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三级</w:t>
            </w:r>
          </w:p>
        </w:tc>
        <w:tc>
          <w:tcPr>
            <w:tcW w:w="405" w:type="pct"/>
            <w:vAlign w:val="center"/>
          </w:tcPr>
          <w:p w14:paraId="76932E4A">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三级</w:t>
            </w:r>
          </w:p>
        </w:tc>
      </w:tr>
      <w:tr w14:paraId="5B449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92" w:type="pct"/>
            <w:vAlign w:val="center"/>
          </w:tcPr>
          <w:p w14:paraId="172D23DB">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较敏感</w:t>
            </w:r>
          </w:p>
        </w:tc>
        <w:tc>
          <w:tcPr>
            <w:tcW w:w="399" w:type="pct"/>
            <w:vAlign w:val="center"/>
          </w:tcPr>
          <w:p w14:paraId="39C5469A">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一级</w:t>
            </w:r>
          </w:p>
        </w:tc>
        <w:tc>
          <w:tcPr>
            <w:tcW w:w="399" w:type="pct"/>
            <w:vAlign w:val="center"/>
          </w:tcPr>
          <w:p w14:paraId="603244B4">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一级</w:t>
            </w:r>
          </w:p>
        </w:tc>
        <w:tc>
          <w:tcPr>
            <w:tcW w:w="400" w:type="pct"/>
            <w:vAlign w:val="center"/>
          </w:tcPr>
          <w:p w14:paraId="0382A787">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二级</w:t>
            </w:r>
          </w:p>
        </w:tc>
        <w:tc>
          <w:tcPr>
            <w:tcW w:w="399" w:type="pct"/>
            <w:vAlign w:val="center"/>
          </w:tcPr>
          <w:p w14:paraId="46619C5E">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二级</w:t>
            </w:r>
          </w:p>
        </w:tc>
        <w:tc>
          <w:tcPr>
            <w:tcW w:w="399" w:type="pct"/>
            <w:vAlign w:val="center"/>
          </w:tcPr>
          <w:p w14:paraId="29B89013">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二级</w:t>
            </w:r>
          </w:p>
        </w:tc>
        <w:tc>
          <w:tcPr>
            <w:tcW w:w="400" w:type="pct"/>
            <w:vAlign w:val="center"/>
          </w:tcPr>
          <w:p w14:paraId="287BFF26">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三级</w:t>
            </w:r>
          </w:p>
        </w:tc>
        <w:tc>
          <w:tcPr>
            <w:tcW w:w="400" w:type="pct"/>
            <w:vAlign w:val="center"/>
          </w:tcPr>
          <w:p w14:paraId="37F80AE7">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三级</w:t>
            </w:r>
          </w:p>
        </w:tc>
        <w:tc>
          <w:tcPr>
            <w:tcW w:w="400" w:type="pct"/>
            <w:vAlign w:val="center"/>
          </w:tcPr>
          <w:p w14:paraId="41C71F4D">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三级</w:t>
            </w:r>
          </w:p>
        </w:tc>
        <w:tc>
          <w:tcPr>
            <w:tcW w:w="405" w:type="pct"/>
            <w:vAlign w:val="center"/>
          </w:tcPr>
          <w:p w14:paraId="0F08AF95">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w:t>
            </w:r>
          </w:p>
        </w:tc>
      </w:tr>
      <w:tr w14:paraId="620D7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92" w:type="pct"/>
            <w:shd w:val="clear" w:color="auto" w:fill="auto"/>
            <w:vAlign w:val="center"/>
          </w:tcPr>
          <w:p w14:paraId="72257B64">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不敏感</w:t>
            </w:r>
          </w:p>
        </w:tc>
        <w:tc>
          <w:tcPr>
            <w:tcW w:w="399" w:type="pct"/>
            <w:shd w:val="clear" w:color="auto" w:fill="auto"/>
            <w:vAlign w:val="center"/>
          </w:tcPr>
          <w:p w14:paraId="22FBA563">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一级</w:t>
            </w:r>
          </w:p>
        </w:tc>
        <w:tc>
          <w:tcPr>
            <w:tcW w:w="399" w:type="pct"/>
            <w:shd w:val="clear" w:color="auto" w:fill="FFFFFF" w:themeFill="background1"/>
            <w:vAlign w:val="center"/>
          </w:tcPr>
          <w:p w14:paraId="2B049CC2">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二级</w:t>
            </w:r>
          </w:p>
        </w:tc>
        <w:tc>
          <w:tcPr>
            <w:tcW w:w="400" w:type="pct"/>
            <w:vAlign w:val="center"/>
          </w:tcPr>
          <w:p w14:paraId="6AFE977D">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二级</w:t>
            </w:r>
          </w:p>
        </w:tc>
        <w:tc>
          <w:tcPr>
            <w:tcW w:w="399" w:type="pct"/>
            <w:vAlign w:val="center"/>
          </w:tcPr>
          <w:p w14:paraId="44068E85">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二级</w:t>
            </w:r>
          </w:p>
        </w:tc>
        <w:tc>
          <w:tcPr>
            <w:tcW w:w="399" w:type="pct"/>
            <w:vAlign w:val="center"/>
          </w:tcPr>
          <w:p w14:paraId="4A9664C0">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三级</w:t>
            </w:r>
          </w:p>
        </w:tc>
        <w:tc>
          <w:tcPr>
            <w:tcW w:w="400" w:type="pct"/>
            <w:vAlign w:val="center"/>
          </w:tcPr>
          <w:p w14:paraId="06A3EAD4">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三级</w:t>
            </w:r>
          </w:p>
        </w:tc>
        <w:tc>
          <w:tcPr>
            <w:tcW w:w="400" w:type="pct"/>
            <w:vAlign w:val="center"/>
          </w:tcPr>
          <w:p w14:paraId="597468A8">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三级</w:t>
            </w:r>
          </w:p>
        </w:tc>
        <w:tc>
          <w:tcPr>
            <w:tcW w:w="400" w:type="pct"/>
            <w:vAlign w:val="center"/>
          </w:tcPr>
          <w:p w14:paraId="61DFE439">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w:t>
            </w:r>
          </w:p>
        </w:tc>
        <w:tc>
          <w:tcPr>
            <w:tcW w:w="405" w:type="pct"/>
            <w:vAlign w:val="center"/>
          </w:tcPr>
          <w:p w14:paraId="65434DD3">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w:t>
            </w:r>
          </w:p>
        </w:tc>
      </w:tr>
      <w:tr w14:paraId="28B7A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10"/>
            <w:vAlign w:val="center"/>
          </w:tcPr>
          <w:p w14:paraId="3AECC7BF">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注：</w:t>
            </w:r>
            <w:r>
              <w:rPr>
                <w:rFonts w:hint="eastAsia" w:ascii="Times New Roman" w:hAnsi="Times New Roman" w:eastAsia="宋体" w:cs="Times New Roman"/>
                <w:color w:val="auto"/>
                <w:szCs w:val="21"/>
              </w:rPr>
              <w:t>“</w:t>
            </w:r>
            <w:r>
              <w:rPr>
                <w:rFonts w:ascii="Times New Roman" w:hAnsi="Times New Roman" w:eastAsia="宋体" w:cs="Times New Roman"/>
                <w:color w:val="auto"/>
                <w:szCs w:val="21"/>
              </w:rPr>
              <w:t>-</w:t>
            </w:r>
            <w:r>
              <w:rPr>
                <w:rFonts w:hint="eastAsia" w:ascii="Times New Roman" w:hAnsi="Times New Roman" w:eastAsia="宋体" w:cs="Times New Roman"/>
                <w:color w:val="auto"/>
                <w:szCs w:val="21"/>
              </w:rPr>
              <w:t>”</w:t>
            </w:r>
            <w:r>
              <w:rPr>
                <w:rFonts w:ascii="Times New Roman" w:hAnsi="Times New Roman" w:eastAsia="宋体" w:cs="Times New Roman"/>
                <w:color w:val="auto"/>
                <w:szCs w:val="21"/>
              </w:rPr>
              <w:t>表示可不开展土壤环境影响评价工作</w:t>
            </w:r>
          </w:p>
        </w:tc>
      </w:tr>
    </w:tbl>
    <w:p w14:paraId="29E4B9CB">
      <w:pPr>
        <w:spacing w:line="360" w:lineRule="auto"/>
        <w:ind w:firstLine="480" w:firstLineChars="200"/>
        <w:rPr>
          <w:rFonts w:hint="default" w:ascii="Times New Roman" w:hAnsi="Times New Roman" w:eastAsia="宋体" w:cs="宋体"/>
          <w:color w:val="auto"/>
          <w:sz w:val="24"/>
          <w:szCs w:val="24"/>
          <w:lang w:val="en-US" w:eastAsia="zh-CN"/>
        </w:rPr>
      </w:pPr>
      <w:r>
        <w:rPr>
          <w:rFonts w:ascii="Times New Roman" w:hAnsi="Times New Roman" w:eastAsia="宋体" w:cs="宋体"/>
          <w:color w:val="auto"/>
          <w:sz w:val="24"/>
          <w:szCs w:val="24"/>
        </w:rPr>
        <w:t>根据现场勘查，项目选址位于</w:t>
      </w:r>
      <w:r>
        <w:rPr>
          <w:rFonts w:hint="eastAsia" w:ascii="Times New Roman" w:hAnsi="Times New Roman" w:eastAsia="宋体" w:cs="宋体"/>
          <w:color w:val="auto"/>
          <w:sz w:val="24"/>
          <w:szCs w:val="24"/>
        </w:rPr>
        <w:t>津市高新技术产业开发区</w:t>
      </w:r>
      <w:r>
        <w:rPr>
          <w:rFonts w:ascii="Times New Roman" w:hAnsi="Times New Roman" w:eastAsia="宋体" w:cs="宋体"/>
          <w:color w:val="auto"/>
          <w:sz w:val="24"/>
          <w:szCs w:val="24"/>
        </w:rPr>
        <w:t>，</w:t>
      </w:r>
      <w:r>
        <w:rPr>
          <w:rFonts w:hint="eastAsia" w:ascii="Times New Roman" w:hAnsi="Times New Roman" w:eastAsia="宋体" w:cs="宋体"/>
          <w:color w:val="auto"/>
          <w:sz w:val="24"/>
          <w:szCs w:val="24"/>
        </w:rPr>
        <w:t>周边均为园区工业用地或工业企业，不属于土壤环境敏感目标（耕地、牧草地、饮用水水源地或居民区、学校、医院等）</w:t>
      </w:r>
      <w:r>
        <w:rPr>
          <w:rFonts w:ascii="Times New Roman" w:hAnsi="Times New Roman" w:eastAsia="宋体" w:cs="宋体"/>
          <w:color w:val="auto"/>
          <w:sz w:val="24"/>
          <w:szCs w:val="24"/>
        </w:rPr>
        <w:t>，土壤环境敏感程度为</w:t>
      </w:r>
      <w:r>
        <w:rPr>
          <w:rFonts w:hint="eastAsia" w:ascii="Times New Roman" w:hAnsi="Times New Roman" w:eastAsia="宋体" w:cs="宋体"/>
          <w:color w:val="auto"/>
          <w:sz w:val="24"/>
          <w:szCs w:val="24"/>
        </w:rPr>
        <w:t>不</w:t>
      </w:r>
      <w:r>
        <w:rPr>
          <w:rFonts w:ascii="Times New Roman" w:hAnsi="Times New Roman" w:eastAsia="宋体" w:cs="宋体"/>
          <w:color w:val="auto"/>
          <w:sz w:val="24"/>
          <w:szCs w:val="24"/>
        </w:rPr>
        <w:t>敏感。对照《环境影响评价技术导则 土壤环境（试行）》（HJ 964-2018）附录A，本项目属于</w:t>
      </w:r>
      <w:r>
        <w:rPr>
          <w:rFonts w:hint="eastAsia" w:ascii="Times New Roman" w:hAnsi="Times New Roman" w:eastAsia="宋体" w:cs="宋体"/>
          <w:color w:val="auto"/>
          <w:sz w:val="24"/>
          <w:szCs w:val="24"/>
        </w:rPr>
        <w:t>“粮食及饲料加工”，属于</w:t>
      </w:r>
      <w:r>
        <w:rPr>
          <w:rFonts w:hint="eastAsia" w:ascii="宋体" w:hAnsi="宋体" w:eastAsia="宋体" w:cs="宋体"/>
          <w:color w:val="auto"/>
          <w:sz w:val="24"/>
          <w:szCs w:val="24"/>
        </w:rPr>
        <w:t>Ⅳ</w:t>
      </w:r>
      <w:r>
        <w:rPr>
          <w:rFonts w:ascii="Times New Roman" w:hAnsi="Times New Roman" w:eastAsia="宋体" w:cs="宋体"/>
          <w:color w:val="auto"/>
          <w:sz w:val="24"/>
          <w:szCs w:val="24"/>
        </w:rPr>
        <w:t>类项目。</w:t>
      </w:r>
      <w:r>
        <w:rPr>
          <w:rFonts w:hint="eastAsia" w:ascii="Times New Roman" w:hAnsi="Times New Roman" w:eastAsia="宋体" w:cs="宋体"/>
          <w:color w:val="auto"/>
          <w:sz w:val="24"/>
          <w:szCs w:val="24"/>
          <w:lang w:val="en-US" w:eastAsia="zh-CN"/>
        </w:rPr>
        <w:t>本项目可不开展土壤环境影响评价工作。</w:t>
      </w:r>
    </w:p>
    <w:p w14:paraId="46B8580B">
      <w:pPr>
        <w:keepNext/>
        <w:keepLines/>
        <w:spacing w:before="156" w:beforeLines="50" w:after="156" w:afterLines="50" w:line="360" w:lineRule="auto"/>
        <w:outlineLvl w:val="2"/>
        <w:rPr>
          <w:rFonts w:ascii="Times New Roman" w:hAnsi="Times New Roman" w:eastAsia="宋体" w:cs="Times New Roman"/>
          <w:b/>
          <w:color w:val="auto"/>
          <w:kern w:val="0"/>
          <w:sz w:val="24"/>
          <w:szCs w:val="24"/>
        </w:rPr>
      </w:pPr>
      <w:r>
        <w:rPr>
          <w:rFonts w:hint="eastAsia" w:ascii="Times New Roman" w:hAnsi="Times New Roman" w:eastAsia="宋体" w:cs="Times New Roman"/>
          <w:b/>
          <w:color w:val="auto"/>
          <w:kern w:val="0"/>
          <w:sz w:val="24"/>
          <w:szCs w:val="24"/>
        </w:rPr>
        <w:t>2.5.6</w:t>
      </w:r>
      <w:r>
        <w:rPr>
          <w:rFonts w:ascii="Times New Roman" w:hAnsi="Times New Roman" w:eastAsia="宋体" w:cs="Times New Roman"/>
          <w:b/>
          <w:color w:val="auto"/>
          <w:kern w:val="0"/>
          <w:sz w:val="24"/>
          <w:szCs w:val="24"/>
        </w:rPr>
        <w:t>生态评价等级及范围</w:t>
      </w:r>
    </w:p>
    <w:p w14:paraId="291679C9">
      <w:pPr>
        <w:spacing w:line="360" w:lineRule="auto"/>
        <w:ind w:firstLine="480" w:firstLineChars="200"/>
        <w:rPr>
          <w:rFonts w:ascii="Times New Roman" w:hAnsi="Times New Roman" w:eastAsia="宋体" w:cs="宋体"/>
          <w:color w:val="auto"/>
          <w:sz w:val="24"/>
          <w:szCs w:val="24"/>
        </w:rPr>
      </w:pPr>
      <w:r>
        <w:rPr>
          <w:rFonts w:hint="eastAsia" w:ascii="Times New Roman" w:hAnsi="Times New Roman" w:eastAsia="宋体" w:cs="宋体"/>
          <w:color w:val="auto"/>
          <w:sz w:val="24"/>
          <w:szCs w:val="24"/>
        </w:rPr>
        <w:t>根据《环境影响评价技术导则 生态影响》（HJ19-2022）第6.1.8条，符合生态环境分区管控要求且位于原厂界（或永久用地）范围内的污染影响类改扩建项目，位于已批准规划环评的产业园区内且符合规划环评要求、不涉及生态敏感区的污染影响类建设项目，可不确定评价等级，直接进行生态影响简单分析。</w:t>
      </w:r>
    </w:p>
    <w:p w14:paraId="5E4ADB0D">
      <w:pPr>
        <w:spacing w:line="360" w:lineRule="auto"/>
        <w:ind w:firstLine="480" w:firstLineChars="200"/>
        <w:rPr>
          <w:rFonts w:ascii="Times New Roman" w:hAnsi="Times New Roman" w:eastAsia="宋体" w:cs="宋体"/>
          <w:color w:val="auto"/>
          <w:sz w:val="24"/>
          <w:szCs w:val="24"/>
        </w:rPr>
      </w:pPr>
      <w:r>
        <w:rPr>
          <w:rFonts w:hint="eastAsia" w:ascii="Times New Roman" w:hAnsi="Times New Roman" w:eastAsia="宋体" w:cs="宋体"/>
          <w:color w:val="auto"/>
          <w:sz w:val="24"/>
          <w:szCs w:val="24"/>
        </w:rPr>
        <w:t>本项目位于津市高新技术产业开发区，属于符合环境分区管控要求且位于原厂界范围内的污染影响类改扩建项目，且属于位于已批准规划环评的产业园区内且符合规划环评要求、不涉及生态敏感区，因此，本项目可不确定评价等级，直接进行生态影响简单分析。</w:t>
      </w:r>
    </w:p>
    <w:p w14:paraId="78C2630D">
      <w:pPr>
        <w:keepNext/>
        <w:keepLines/>
        <w:spacing w:before="156" w:beforeLines="50" w:after="156" w:afterLines="50" w:line="360" w:lineRule="auto"/>
        <w:outlineLvl w:val="2"/>
        <w:rPr>
          <w:rFonts w:ascii="Times New Roman" w:hAnsi="Times New Roman" w:eastAsia="宋体" w:cs="Times New Roman"/>
          <w:b/>
          <w:color w:val="auto"/>
          <w:kern w:val="0"/>
          <w:sz w:val="24"/>
          <w:szCs w:val="24"/>
        </w:rPr>
      </w:pPr>
      <w:r>
        <w:rPr>
          <w:rFonts w:ascii="Times New Roman" w:hAnsi="Times New Roman" w:eastAsia="宋体" w:cs="Times New Roman"/>
          <w:b/>
          <w:color w:val="auto"/>
          <w:kern w:val="0"/>
          <w:sz w:val="24"/>
          <w:szCs w:val="24"/>
        </w:rPr>
        <w:t>2.5.</w:t>
      </w:r>
      <w:r>
        <w:rPr>
          <w:rFonts w:hint="eastAsia" w:ascii="Times New Roman" w:hAnsi="Times New Roman" w:eastAsia="宋体" w:cs="Times New Roman"/>
          <w:b/>
          <w:color w:val="auto"/>
          <w:kern w:val="0"/>
          <w:sz w:val="24"/>
          <w:szCs w:val="24"/>
        </w:rPr>
        <w:t>7</w:t>
      </w:r>
      <w:r>
        <w:rPr>
          <w:rFonts w:ascii="Times New Roman" w:hAnsi="Times New Roman" w:eastAsia="宋体" w:cs="Times New Roman"/>
          <w:b/>
          <w:color w:val="auto"/>
          <w:kern w:val="0"/>
          <w:sz w:val="24"/>
          <w:szCs w:val="24"/>
        </w:rPr>
        <w:t>风险评价等级</w:t>
      </w:r>
    </w:p>
    <w:p w14:paraId="545EE80D">
      <w:pPr>
        <w:keepNext/>
        <w:keepLines/>
        <w:spacing w:before="156" w:beforeLines="50" w:after="156" w:afterLines="50" w:line="360" w:lineRule="auto"/>
        <w:outlineLvl w:val="2"/>
        <w:rPr>
          <w:rFonts w:ascii="Times New Roman" w:hAnsi="Times New Roman" w:eastAsia="宋体" w:cs="Times New Roman"/>
          <w:b/>
          <w:color w:val="auto"/>
          <w:kern w:val="0"/>
          <w:sz w:val="24"/>
          <w:szCs w:val="24"/>
        </w:rPr>
      </w:pPr>
      <w:r>
        <w:rPr>
          <w:rFonts w:ascii="Times New Roman" w:hAnsi="Times New Roman" w:eastAsia="宋体" w:cs="Times New Roman"/>
          <w:b/>
          <w:color w:val="auto"/>
          <w:kern w:val="0"/>
          <w:sz w:val="24"/>
          <w:szCs w:val="24"/>
        </w:rPr>
        <w:t>2.5.</w:t>
      </w:r>
      <w:r>
        <w:rPr>
          <w:rFonts w:hint="eastAsia" w:ascii="Times New Roman" w:hAnsi="Times New Roman" w:eastAsia="宋体" w:cs="Times New Roman"/>
          <w:b/>
          <w:color w:val="auto"/>
          <w:kern w:val="0"/>
          <w:sz w:val="24"/>
          <w:szCs w:val="24"/>
        </w:rPr>
        <w:t>7.</w:t>
      </w:r>
      <w:r>
        <w:rPr>
          <w:rFonts w:ascii="Times New Roman" w:hAnsi="Times New Roman" w:eastAsia="宋体" w:cs="Times New Roman"/>
          <w:b/>
          <w:color w:val="auto"/>
          <w:kern w:val="0"/>
          <w:sz w:val="24"/>
          <w:szCs w:val="24"/>
        </w:rPr>
        <w:t>1</w:t>
      </w:r>
      <w:r>
        <w:rPr>
          <w:rFonts w:hint="eastAsia" w:ascii="Times New Roman" w:hAnsi="Times New Roman" w:eastAsia="宋体" w:cs="Times New Roman"/>
          <w:b/>
          <w:color w:val="auto"/>
          <w:kern w:val="0"/>
          <w:sz w:val="24"/>
          <w:szCs w:val="24"/>
        </w:rPr>
        <w:t>危险物质及工艺系统危险性</w:t>
      </w:r>
      <w:r>
        <w:rPr>
          <w:rFonts w:ascii="Times New Roman" w:hAnsi="Times New Roman" w:eastAsia="宋体" w:cs="Times New Roman"/>
          <w:b/>
          <w:color w:val="auto"/>
          <w:kern w:val="0"/>
          <w:sz w:val="24"/>
          <w:szCs w:val="24"/>
        </w:rPr>
        <w:t>(P)分级</w:t>
      </w:r>
    </w:p>
    <w:p w14:paraId="57F91E27">
      <w:pPr>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1、危险物质数量与临界量比值(Q)</w:t>
      </w:r>
    </w:p>
    <w:p w14:paraId="0B06996F">
      <w:pPr>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按照《建设项目环境风险评价技术导则》（HJ／T169-2018）规定，根据建设项目涉及的物质及工艺系统危险性和所在地的环境敏感性确定环境风险潜势，再根据风险潜势确定评价等级。</w:t>
      </w:r>
    </w:p>
    <w:p w14:paraId="1738F3F2">
      <w:pPr>
        <w:pStyle w:val="6"/>
        <w:bidi w:val="0"/>
      </w:pPr>
      <w:r>
        <w:t>表2.5</w:t>
      </w:r>
      <w:r>
        <w:rPr>
          <w:rFonts w:hint="eastAsia"/>
        </w:rPr>
        <w:t>.7</w:t>
      </w:r>
      <w:r>
        <w:t>-1   危险物质数量与临界量比值Q</w:t>
      </w:r>
    </w:p>
    <w:tbl>
      <w:tblPr>
        <w:tblStyle w:val="41"/>
        <w:tblW w:w="4903" w:type="pct"/>
        <w:tblInd w:w="10" w:type="dxa"/>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autofit"/>
        <w:tblCellMar>
          <w:top w:w="0" w:type="dxa"/>
          <w:left w:w="0" w:type="dxa"/>
          <w:bottom w:w="0" w:type="dxa"/>
          <w:right w:w="0" w:type="dxa"/>
        </w:tblCellMar>
      </w:tblPr>
      <w:tblGrid>
        <w:gridCol w:w="723"/>
        <w:gridCol w:w="1744"/>
        <w:gridCol w:w="1194"/>
        <w:gridCol w:w="943"/>
        <w:gridCol w:w="1225"/>
        <w:gridCol w:w="1153"/>
        <w:gridCol w:w="1173"/>
      </w:tblGrid>
      <w:tr w14:paraId="19B76A5B">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443" w:type="pct"/>
            <w:vAlign w:val="center"/>
          </w:tcPr>
          <w:p w14:paraId="7EF33C5D">
            <w:pPr>
              <w:jc w:val="center"/>
              <w:rPr>
                <w:rFonts w:ascii="Times New Roman" w:hAnsi="Times New Roman" w:eastAsia="宋体" w:cs="Times New Roman"/>
                <w:b/>
                <w:bCs/>
                <w:color w:val="auto"/>
                <w:sz w:val="22"/>
                <w:szCs w:val="24"/>
                <w:highlight w:val="none"/>
              </w:rPr>
            </w:pPr>
            <w:r>
              <w:rPr>
                <w:rFonts w:ascii="Times New Roman" w:hAnsi="Times New Roman" w:eastAsia="宋体" w:cs="Times New Roman"/>
                <w:b/>
                <w:bCs/>
                <w:color w:val="auto"/>
                <w:sz w:val="22"/>
                <w:szCs w:val="24"/>
                <w:highlight w:val="none"/>
              </w:rPr>
              <w:t>序号</w:t>
            </w:r>
          </w:p>
        </w:tc>
        <w:tc>
          <w:tcPr>
            <w:tcW w:w="1069" w:type="pct"/>
            <w:vAlign w:val="center"/>
          </w:tcPr>
          <w:p w14:paraId="545FB77E">
            <w:pPr>
              <w:jc w:val="center"/>
              <w:rPr>
                <w:rFonts w:ascii="Times New Roman" w:hAnsi="Times New Roman" w:eastAsia="宋体" w:cs="Times New Roman"/>
                <w:b/>
                <w:bCs/>
                <w:color w:val="auto"/>
                <w:sz w:val="22"/>
                <w:szCs w:val="24"/>
                <w:highlight w:val="none"/>
              </w:rPr>
            </w:pPr>
            <w:r>
              <w:rPr>
                <w:rFonts w:ascii="Times New Roman" w:hAnsi="Times New Roman" w:eastAsia="宋体" w:cs="Times New Roman"/>
                <w:b/>
                <w:bCs/>
                <w:color w:val="auto"/>
                <w:sz w:val="22"/>
                <w:szCs w:val="24"/>
                <w:highlight w:val="none"/>
              </w:rPr>
              <w:t>危险物质名称</w:t>
            </w:r>
          </w:p>
        </w:tc>
        <w:tc>
          <w:tcPr>
            <w:tcW w:w="732" w:type="pct"/>
            <w:vAlign w:val="center"/>
          </w:tcPr>
          <w:p w14:paraId="770F326A">
            <w:pPr>
              <w:jc w:val="center"/>
              <w:rPr>
                <w:rFonts w:ascii="Times New Roman" w:hAnsi="Times New Roman" w:eastAsia="宋体" w:cs="Times New Roman"/>
                <w:b/>
                <w:bCs/>
                <w:color w:val="auto"/>
                <w:sz w:val="22"/>
                <w:szCs w:val="24"/>
                <w:highlight w:val="none"/>
              </w:rPr>
            </w:pPr>
            <w:r>
              <w:rPr>
                <w:rFonts w:ascii="Times New Roman" w:hAnsi="Times New Roman" w:eastAsia="宋体" w:cs="Times New Roman"/>
                <w:b/>
                <w:bCs/>
                <w:color w:val="auto"/>
                <w:sz w:val="22"/>
                <w:szCs w:val="24"/>
                <w:highlight w:val="none"/>
              </w:rPr>
              <w:t>CAS号</w:t>
            </w:r>
          </w:p>
        </w:tc>
        <w:tc>
          <w:tcPr>
            <w:tcW w:w="578" w:type="pct"/>
            <w:vAlign w:val="center"/>
          </w:tcPr>
          <w:p w14:paraId="1D0DFDF4">
            <w:pPr>
              <w:jc w:val="center"/>
              <w:rPr>
                <w:rFonts w:ascii="Times New Roman" w:hAnsi="Times New Roman" w:eastAsia="宋体" w:cs="Times New Roman"/>
                <w:b/>
                <w:bCs/>
                <w:color w:val="auto"/>
                <w:sz w:val="22"/>
                <w:szCs w:val="24"/>
                <w:highlight w:val="none"/>
              </w:rPr>
            </w:pPr>
            <w:r>
              <w:rPr>
                <w:rFonts w:ascii="Times New Roman" w:hAnsi="Times New Roman" w:eastAsia="宋体" w:cs="Times New Roman"/>
                <w:b/>
                <w:bCs/>
                <w:color w:val="auto"/>
                <w:sz w:val="22"/>
                <w:szCs w:val="24"/>
                <w:highlight w:val="none"/>
              </w:rPr>
              <w:t>最大</w:t>
            </w:r>
            <w:r>
              <w:rPr>
                <w:rFonts w:hint="eastAsia" w:ascii="Times New Roman" w:hAnsi="Times New Roman" w:eastAsia="宋体" w:cs="Times New Roman"/>
                <w:b/>
                <w:bCs/>
                <w:color w:val="auto"/>
                <w:sz w:val="22"/>
                <w:szCs w:val="24"/>
                <w:highlight w:val="none"/>
                <w:lang w:val="en-US" w:eastAsia="zh-CN"/>
              </w:rPr>
              <w:t>储存</w:t>
            </w:r>
            <w:r>
              <w:rPr>
                <w:rFonts w:ascii="Times New Roman" w:hAnsi="Times New Roman" w:eastAsia="宋体" w:cs="Times New Roman"/>
                <w:b/>
                <w:bCs/>
                <w:color w:val="auto"/>
                <w:sz w:val="22"/>
                <w:szCs w:val="24"/>
                <w:highlight w:val="none"/>
              </w:rPr>
              <w:t>量/t</w:t>
            </w:r>
          </w:p>
        </w:tc>
        <w:tc>
          <w:tcPr>
            <w:tcW w:w="748" w:type="pct"/>
            <w:vAlign w:val="center"/>
          </w:tcPr>
          <w:p w14:paraId="3CD42D6B">
            <w:pPr>
              <w:jc w:val="center"/>
              <w:rPr>
                <w:rFonts w:hint="default" w:ascii="Times New Roman" w:hAnsi="Times New Roman" w:eastAsia="宋体" w:cs="Times New Roman"/>
                <w:b/>
                <w:bCs/>
                <w:color w:val="auto"/>
                <w:sz w:val="22"/>
                <w:szCs w:val="24"/>
                <w:highlight w:val="none"/>
                <w:lang w:val="en-US" w:eastAsia="zh-CN"/>
              </w:rPr>
            </w:pPr>
            <w:r>
              <w:rPr>
                <w:rFonts w:hint="eastAsia" w:ascii="Times New Roman" w:hAnsi="Times New Roman" w:eastAsia="宋体" w:cs="Times New Roman"/>
                <w:b/>
                <w:bCs/>
                <w:color w:val="auto"/>
                <w:sz w:val="22"/>
                <w:szCs w:val="24"/>
                <w:highlight w:val="none"/>
                <w:lang w:val="en-US" w:eastAsia="zh-CN"/>
              </w:rPr>
              <w:t>最大在线量/t</w:t>
            </w:r>
          </w:p>
        </w:tc>
        <w:tc>
          <w:tcPr>
            <w:tcW w:w="707" w:type="pct"/>
            <w:shd w:val="clear" w:color="auto" w:fill="auto"/>
            <w:vAlign w:val="center"/>
          </w:tcPr>
          <w:p w14:paraId="32DF290E">
            <w:pPr>
              <w:jc w:val="center"/>
              <w:rPr>
                <w:rFonts w:ascii="Times New Roman" w:hAnsi="Times New Roman" w:eastAsia="宋体" w:cs="Times New Roman"/>
                <w:b/>
                <w:bCs/>
                <w:color w:val="auto"/>
                <w:kern w:val="2"/>
                <w:sz w:val="22"/>
                <w:szCs w:val="24"/>
                <w:highlight w:val="none"/>
                <w:lang w:val="en-US" w:eastAsia="zh-CN" w:bidi="ar-SA"/>
              </w:rPr>
            </w:pPr>
            <w:r>
              <w:rPr>
                <w:rFonts w:ascii="Times New Roman" w:hAnsi="Times New Roman" w:eastAsia="宋体" w:cs="Times New Roman"/>
                <w:b/>
                <w:bCs/>
                <w:color w:val="auto"/>
                <w:sz w:val="22"/>
                <w:szCs w:val="24"/>
                <w:highlight w:val="none"/>
              </w:rPr>
              <w:t>临界量Qn/t</w:t>
            </w:r>
          </w:p>
        </w:tc>
        <w:tc>
          <w:tcPr>
            <w:tcW w:w="719" w:type="pct"/>
            <w:shd w:val="clear" w:color="auto" w:fill="auto"/>
            <w:vAlign w:val="center"/>
          </w:tcPr>
          <w:p w14:paraId="07DD4D5F">
            <w:pPr>
              <w:jc w:val="center"/>
              <w:rPr>
                <w:rFonts w:ascii="Times New Roman" w:hAnsi="Times New Roman" w:eastAsia="宋体" w:cs="Times New Roman"/>
                <w:b/>
                <w:bCs/>
                <w:color w:val="auto"/>
                <w:kern w:val="2"/>
                <w:sz w:val="22"/>
                <w:szCs w:val="24"/>
                <w:highlight w:val="none"/>
                <w:lang w:val="en-US" w:eastAsia="zh-CN" w:bidi="ar-SA"/>
              </w:rPr>
            </w:pPr>
            <w:r>
              <w:rPr>
                <w:rFonts w:ascii="Times New Roman" w:hAnsi="Times New Roman" w:eastAsia="宋体" w:cs="Times New Roman"/>
                <w:b/>
                <w:bCs/>
                <w:color w:val="auto"/>
                <w:sz w:val="22"/>
                <w:szCs w:val="24"/>
                <w:highlight w:val="none"/>
              </w:rPr>
              <w:t>该种危险物质Q值</w:t>
            </w:r>
          </w:p>
        </w:tc>
      </w:tr>
      <w:tr w14:paraId="600A3E10">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443" w:type="pct"/>
            <w:vAlign w:val="center"/>
          </w:tcPr>
          <w:p w14:paraId="235601DB">
            <w:pPr>
              <w:jc w:val="center"/>
              <w:rPr>
                <w:rFonts w:hint="eastAsia" w:ascii="Times New Roman" w:hAnsi="Times New Roman" w:eastAsia="宋体" w:cs="Times New Roman"/>
                <w:color w:val="auto"/>
                <w:sz w:val="22"/>
                <w:szCs w:val="24"/>
                <w:highlight w:val="none"/>
                <w:lang w:val="en-US" w:eastAsia="zh-CN"/>
              </w:rPr>
            </w:pPr>
            <w:r>
              <w:rPr>
                <w:rFonts w:hint="eastAsia" w:ascii="Times New Roman" w:hAnsi="Times New Roman" w:eastAsia="宋体" w:cs="Times New Roman"/>
                <w:color w:val="auto"/>
                <w:sz w:val="22"/>
                <w:szCs w:val="24"/>
                <w:highlight w:val="none"/>
                <w:lang w:val="en-US" w:eastAsia="zh-CN"/>
              </w:rPr>
              <w:t>1</w:t>
            </w:r>
          </w:p>
        </w:tc>
        <w:tc>
          <w:tcPr>
            <w:tcW w:w="1069" w:type="pct"/>
            <w:vAlign w:val="center"/>
          </w:tcPr>
          <w:p w14:paraId="3591E5C8">
            <w:pPr>
              <w:jc w:val="center"/>
              <w:rPr>
                <w:rFonts w:hint="eastAsia" w:ascii="Times New Roman" w:hAnsi="Times New Roman" w:eastAsia="宋体" w:cs="Times New Roman"/>
                <w:color w:val="auto"/>
                <w:sz w:val="22"/>
                <w:szCs w:val="24"/>
                <w:highlight w:val="none"/>
                <w:lang w:val="en-US" w:eastAsia="zh-CN"/>
              </w:rPr>
            </w:pPr>
            <w:r>
              <w:rPr>
                <w:rFonts w:hint="eastAsia" w:ascii="Times New Roman" w:hAnsi="Times New Roman" w:eastAsia="宋体" w:cs="Times New Roman"/>
                <w:color w:val="auto"/>
                <w:sz w:val="22"/>
                <w:szCs w:val="24"/>
                <w:highlight w:val="none"/>
                <w:lang w:val="en-US" w:eastAsia="zh-CN"/>
              </w:rPr>
              <w:t>氢氧化钠</w:t>
            </w:r>
          </w:p>
        </w:tc>
        <w:tc>
          <w:tcPr>
            <w:tcW w:w="732" w:type="pct"/>
            <w:vAlign w:val="center"/>
          </w:tcPr>
          <w:p w14:paraId="3928FE7A">
            <w:pPr>
              <w:jc w:val="center"/>
              <w:rPr>
                <w:rFonts w:ascii="Times New Roman" w:hAnsi="Times New Roman" w:eastAsia="宋体" w:cs="Times New Roman"/>
                <w:color w:val="auto"/>
                <w:sz w:val="22"/>
                <w:szCs w:val="24"/>
                <w:highlight w:val="none"/>
              </w:rPr>
            </w:pPr>
            <w:r>
              <w:rPr>
                <w:rFonts w:ascii="Times New Roman" w:hAnsi="Times New Roman" w:eastAsia="宋体" w:cs="Times New Roman"/>
                <w:color w:val="auto"/>
                <w:sz w:val="22"/>
                <w:szCs w:val="24"/>
                <w:highlight w:val="none"/>
              </w:rPr>
              <w:t>1310-73-2</w:t>
            </w:r>
          </w:p>
        </w:tc>
        <w:tc>
          <w:tcPr>
            <w:tcW w:w="578" w:type="pct"/>
            <w:vAlign w:val="center"/>
          </w:tcPr>
          <w:p w14:paraId="74B75978">
            <w:pPr>
              <w:jc w:val="center"/>
              <w:rPr>
                <w:rFonts w:hint="default" w:ascii="Times New Roman" w:hAnsi="Times New Roman" w:eastAsia="宋体" w:cs="Times New Roman"/>
                <w:color w:val="auto"/>
                <w:sz w:val="22"/>
                <w:szCs w:val="24"/>
                <w:highlight w:val="none"/>
                <w:lang w:val="en-US" w:eastAsia="zh-CN"/>
              </w:rPr>
            </w:pPr>
            <w:r>
              <w:rPr>
                <w:rFonts w:hint="eastAsia" w:ascii="Times New Roman" w:hAnsi="Times New Roman" w:eastAsia="宋体" w:cs="Times New Roman"/>
                <w:color w:val="auto"/>
                <w:sz w:val="22"/>
                <w:szCs w:val="24"/>
                <w:highlight w:val="none"/>
                <w:lang w:val="en-US" w:eastAsia="zh-CN"/>
              </w:rPr>
              <w:t>28</w:t>
            </w:r>
          </w:p>
        </w:tc>
        <w:tc>
          <w:tcPr>
            <w:tcW w:w="748" w:type="pct"/>
            <w:vAlign w:val="center"/>
          </w:tcPr>
          <w:p w14:paraId="38F057EA">
            <w:pPr>
              <w:jc w:val="center"/>
              <w:rPr>
                <w:rFonts w:hint="default" w:ascii="Times New Roman" w:hAnsi="Times New Roman" w:eastAsia="宋体" w:cs="Times New Roman"/>
                <w:color w:val="auto"/>
                <w:sz w:val="22"/>
                <w:szCs w:val="24"/>
                <w:highlight w:val="none"/>
                <w:lang w:val="en-US" w:eastAsia="zh-CN"/>
              </w:rPr>
            </w:pPr>
            <w:r>
              <w:rPr>
                <w:rFonts w:hint="eastAsia" w:ascii="Times New Roman" w:hAnsi="Times New Roman" w:eastAsia="宋体" w:cs="Times New Roman"/>
                <w:color w:val="auto"/>
                <w:sz w:val="22"/>
                <w:szCs w:val="24"/>
                <w:highlight w:val="none"/>
                <w:lang w:val="en-US" w:eastAsia="zh-CN"/>
              </w:rPr>
              <w:t>10.5</w:t>
            </w:r>
          </w:p>
        </w:tc>
        <w:tc>
          <w:tcPr>
            <w:tcW w:w="707" w:type="pct"/>
            <w:shd w:val="clear" w:color="auto" w:fill="auto"/>
            <w:vAlign w:val="center"/>
          </w:tcPr>
          <w:p w14:paraId="776987A4">
            <w:pPr>
              <w:jc w:val="center"/>
              <w:rPr>
                <w:rFonts w:hint="default" w:ascii="Times New Roman" w:hAnsi="Times New Roman" w:eastAsia="宋体" w:cs="Times New Roman"/>
                <w:color w:val="auto"/>
                <w:kern w:val="2"/>
                <w:sz w:val="22"/>
                <w:szCs w:val="24"/>
                <w:highlight w:val="none"/>
                <w:lang w:val="en-US" w:eastAsia="zh-CN" w:bidi="ar-SA"/>
              </w:rPr>
            </w:pPr>
            <w:r>
              <w:rPr>
                <w:rFonts w:ascii="Times New Roman" w:hAnsi="Times New Roman" w:eastAsia="宋体" w:cs="Times New Roman"/>
                <w:color w:val="auto"/>
                <w:sz w:val="22"/>
                <w:szCs w:val="24"/>
                <w:highlight w:val="none"/>
              </w:rPr>
              <w:t>100</w:t>
            </w:r>
          </w:p>
        </w:tc>
        <w:tc>
          <w:tcPr>
            <w:tcW w:w="719" w:type="pct"/>
            <w:shd w:val="clear" w:color="auto" w:fill="auto"/>
            <w:vAlign w:val="center"/>
          </w:tcPr>
          <w:p w14:paraId="712558FA">
            <w:pPr>
              <w:jc w:val="center"/>
              <w:rPr>
                <w:rFonts w:hint="default" w:ascii="Times New Roman" w:hAnsi="Times New Roman" w:eastAsia="宋体" w:cs="Times New Roman"/>
                <w:color w:val="auto"/>
                <w:kern w:val="2"/>
                <w:sz w:val="22"/>
                <w:szCs w:val="24"/>
                <w:highlight w:val="none"/>
                <w:lang w:val="en-US" w:eastAsia="zh-CN" w:bidi="ar-SA"/>
              </w:rPr>
            </w:pPr>
            <w:r>
              <w:rPr>
                <w:rFonts w:hint="eastAsia" w:ascii="Times New Roman" w:hAnsi="Times New Roman" w:eastAsia="宋体" w:cs="Times New Roman"/>
                <w:color w:val="auto"/>
                <w:kern w:val="2"/>
                <w:sz w:val="22"/>
                <w:szCs w:val="24"/>
                <w:highlight w:val="none"/>
                <w:lang w:val="en-US" w:eastAsia="zh-CN" w:bidi="ar-SA"/>
              </w:rPr>
              <w:t>0.385</w:t>
            </w:r>
          </w:p>
        </w:tc>
      </w:tr>
      <w:tr w14:paraId="4F67D6D9">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443" w:type="pct"/>
            <w:shd w:val="clear" w:color="auto" w:fill="auto"/>
            <w:vAlign w:val="center"/>
          </w:tcPr>
          <w:p w14:paraId="3FC93D2F">
            <w:pPr>
              <w:jc w:val="center"/>
              <w:rPr>
                <w:rFonts w:hint="eastAsia" w:ascii="Times New Roman" w:hAnsi="Times New Roman" w:eastAsia="宋体" w:cs="Times New Roman"/>
                <w:color w:val="auto"/>
                <w:kern w:val="2"/>
                <w:sz w:val="22"/>
                <w:szCs w:val="24"/>
                <w:highlight w:val="none"/>
                <w:lang w:val="en-US" w:eastAsia="zh-CN" w:bidi="ar-SA"/>
              </w:rPr>
            </w:pPr>
            <w:r>
              <w:rPr>
                <w:rFonts w:hint="eastAsia" w:ascii="Times New Roman" w:hAnsi="Times New Roman" w:eastAsia="宋体" w:cs="Times New Roman"/>
                <w:color w:val="auto"/>
                <w:sz w:val="22"/>
                <w:szCs w:val="24"/>
                <w:highlight w:val="none"/>
                <w:lang w:val="en-US" w:eastAsia="zh-CN"/>
              </w:rPr>
              <w:t>2</w:t>
            </w:r>
          </w:p>
        </w:tc>
        <w:tc>
          <w:tcPr>
            <w:tcW w:w="1069" w:type="pct"/>
            <w:shd w:val="clear" w:color="auto" w:fill="auto"/>
            <w:vAlign w:val="center"/>
          </w:tcPr>
          <w:p w14:paraId="1F88EDF7">
            <w:pPr>
              <w:jc w:val="center"/>
              <w:rPr>
                <w:rFonts w:hint="eastAsia" w:ascii="Times New Roman" w:hAnsi="Times New Roman" w:eastAsia="宋体" w:cs="Times New Roman"/>
                <w:color w:val="auto"/>
                <w:kern w:val="2"/>
                <w:sz w:val="22"/>
                <w:szCs w:val="24"/>
                <w:highlight w:val="none"/>
                <w:lang w:val="en-US" w:eastAsia="zh-CN" w:bidi="ar-SA"/>
              </w:rPr>
            </w:pPr>
            <w:r>
              <w:rPr>
                <w:rFonts w:hint="eastAsia" w:ascii="Times New Roman" w:hAnsi="Times New Roman" w:eastAsia="宋体" w:cs="Times New Roman"/>
                <w:color w:val="auto"/>
                <w:sz w:val="22"/>
                <w:szCs w:val="24"/>
                <w:highlight w:val="none"/>
                <w:lang w:val="en-US" w:eastAsia="zh-CN"/>
              </w:rPr>
              <w:t>废矿物油</w:t>
            </w:r>
          </w:p>
        </w:tc>
        <w:tc>
          <w:tcPr>
            <w:tcW w:w="732" w:type="pct"/>
            <w:shd w:val="clear" w:color="auto" w:fill="auto"/>
            <w:vAlign w:val="center"/>
          </w:tcPr>
          <w:p w14:paraId="519B232E">
            <w:pPr>
              <w:jc w:val="center"/>
              <w:rPr>
                <w:rFonts w:hint="eastAsia" w:ascii="Times New Roman" w:hAnsi="Times New Roman" w:eastAsia="宋体" w:cs="Times New Roman"/>
                <w:color w:val="auto"/>
                <w:kern w:val="2"/>
                <w:sz w:val="22"/>
                <w:szCs w:val="24"/>
                <w:highlight w:val="none"/>
                <w:lang w:val="en-US" w:eastAsia="zh-CN" w:bidi="ar-SA"/>
              </w:rPr>
            </w:pPr>
            <w:r>
              <w:rPr>
                <w:rFonts w:hint="eastAsia" w:ascii="Times New Roman" w:hAnsi="Times New Roman" w:eastAsia="宋体" w:cs="Times New Roman"/>
                <w:color w:val="auto"/>
                <w:sz w:val="22"/>
                <w:szCs w:val="24"/>
                <w:highlight w:val="none"/>
              </w:rPr>
              <w:t>/</w:t>
            </w:r>
          </w:p>
        </w:tc>
        <w:tc>
          <w:tcPr>
            <w:tcW w:w="578" w:type="pct"/>
            <w:shd w:val="clear" w:color="auto" w:fill="auto"/>
            <w:vAlign w:val="center"/>
          </w:tcPr>
          <w:p w14:paraId="44029190">
            <w:pPr>
              <w:jc w:val="center"/>
              <w:rPr>
                <w:rFonts w:hint="eastAsia" w:ascii="Times New Roman" w:hAnsi="Times New Roman" w:eastAsia="宋体" w:cs="Times New Roman"/>
                <w:color w:val="auto"/>
                <w:kern w:val="2"/>
                <w:sz w:val="22"/>
                <w:szCs w:val="24"/>
                <w:highlight w:val="none"/>
                <w:lang w:val="en-US" w:eastAsia="zh-CN" w:bidi="ar-SA"/>
              </w:rPr>
            </w:pPr>
            <w:r>
              <w:rPr>
                <w:rFonts w:hint="eastAsia" w:ascii="Times New Roman" w:hAnsi="Times New Roman" w:eastAsia="宋体" w:cs="Times New Roman"/>
                <w:color w:val="auto"/>
                <w:sz w:val="22"/>
                <w:szCs w:val="24"/>
                <w:highlight w:val="none"/>
                <w:lang w:val="en-US" w:eastAsia="zh-CN"/>
              </w:rPr>
              <w:t>0.1</w:t>
            </w:r>
          </w:p>
        </w:tc>
        <w:tc>
          <w:tcPr>
            <w:tcW w:w="748" w:type="pct"/>
            <w:shd w:val="clear" w:color="auto" w:fill="auto"/>
            <w:vAlign w:val="center"/>
          </w:tcPr>
          <w:p w14:paraId="005163E7">
            <w:pPr>
              <w:jc w:val="center"/>
              <w:rPr>
                <w:rFonts w:hint="eastAsia" w:ascii="Times New Roman" w:hAnsi="Times New Roman" w:eastAsia="宋体" w:cs="Times New Roman"/>
                <w:color w:val="auto"/>
                <w:kern w:val="2"/>
                <w:sz w:val="22"/>
                <w:szCs w:val="24"/>
                <w:highlight w:val="none"/>
                <w:lang w:val="en-US" w:eastAsia="zh-CN" w:bidi="ar-SA"/>
              </w:rPr>
            </w:pPr>
            <w:r>
              <w:rPr>
                <w:rFonts w:hint="eastAsia" w:ascii="Times New Roman" w:hAnsi="Times New Roman" w:eastAsia="宋体" w:cs="Times New Roman"/>
                <w:color w:val="auto"/>
                <w:sz w:val="22"/>
                <w:szCs w:val="24"/>
                <w:highlight w:val="none"/>
                <w:lang w:val="en-US" w:eastAsia="zh-CN"/>
              </w:rPr>
              <w:t>/</w:t>
            </w:r>
          </w:p>
        </w:tc>
        <w:tc>
          <w:tcPr>
            <w:tcW w:w="707" w:type="pct"/>
            <w:shd w:val="clear" w:color="auto" w:fill="auto"/>
            <w:vAlign w:val="center"/>
          </w:tcPr>
          <w:p w14:paraId="713A3BE4">
            <w:pPr>
              <w:jc w:val="center"/>
              <w:rPr>
                <w:rFonts w:hint="eastAsia" w:ascii="Times New Roman" w:hAnsi="Times New Roman" w:eastAsia="宋体" w:cs="Times New Roman"/>
                <w:color w:val="auto"/>
                <w:kern w:val="2"/>
                <w:sz w:val="22"/>
                <w:szCs w:val="24"/>
                <w:highlight w:val="none"/>
                <w:lang w:val="en-US" w:eastAsia="zh-CN" w:bidi="ar-SA"/>
              </w:rPr>
            </w:pPr>
            <w:r>
              <w:rPr>
                <w:rFonts w:hint="eastAsia" w:ascii="Times New Roman" w:hAnsi="Times New Roman" w:eastAsia="宋体" w:cs="Times New Roman"/>
                <w:color w:val="auto"/>
                <w:sz w:val="22"/>
                <w:szCs w:val="24"/>
                <w:highlight w:val="none"/>
                <w:lang w:val="en-US" w:eastAsia="zh-CN"/>
              </w:rPr>
              <w:t>2500</w:t>
            </w:r>
          </w:p>
        </w:tc>
        <w:tc>
          <w:tcPr>
            <w:tcW w:w="719" w:type="pct"/>
            <w:shd w:val="clear" w:color="auto" w:fill="auto"/>
            <w:vAlign w:val="center"/>
          </w:tcPr>
          <w:p w14:paraId="74A65C13">
            <w:pPr>
              <w:jc w:val="center"/>
              <w:rPr>
                <w:rFonts w:hint="default" w:ascii="Times New Roman" w:hAnsi="Times New Roman" w:eastAsia="宋体" w:cs="Times New Roman"/>
                <w:color w:val="auto"/>
                <w:kern w:val="2"/>
                <w:sz w:val="22"/>
                <w:szCs w:val="24"/>
                <w:highlight w:val="none"/>
                <w:lang w:val="en-US" w:eastAsia="zh-CN" w:bidi="ar-SA"/>
              </w:rPr>
            </w:pPr>
            <w:r>
              <w:rPr>
                <w:rFonts w:hint="eastAsia" w:ascii="Times New Roman" w:hAnsi="Times New Roman" w:eastAsia="宋体" w:cs="Times New Roman"/>
                <w:color w:val="auto"/>
                <w:kern w:val="2"/>
                <w:sz w:val="22"/>
                <w:szCs w:val="24"/>
                <w:highlight w:val="none"/>
                <w:lang w:val="en-US" w:eastAsia="zh-CN" w:bidi="ar-SA"/>
              </w:rPr>
              <w:t>0.00004</w:t>
            </w:r>
          </w:p>
        </w:tc>
      </w:tr>
      <w:tr w14:paraId="5749E21A">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443" w:type="pct"/>
            <w:vAlign w:val="center"/>
          </w:tcPr>
          <w:p w14:paraId="485C4602">
            <w:pPr>
              <w:jc w:val="center"/>
              <w:rPr>
                <w:rFonts w:hint="default" w:ascii="Times New Roman" w:hAnsi="Times New Roman" w:eastAsia="宋体" w:cs="Times New Roman"/>
                <w:color w:val="auto"/>
                <w:sz w:val="22"/>
                <w:szCs w:val="24"/>
                <w:highlight w:val="none"/>
                <w:lang w:val="en-US" w:eastAsia="zh-CN"/>
              </w:rPr>
            </w:pPr>
            <w:r>
              <w:rPr>
                <w:rFonts w:hint="eastAsia" w:ascii="Times New Roman" w:hAnsi="Times New Roman" w:eastAsia="宋体" w:cs="Times New Roman"/>
                <w:color w:val="auto"/>
                <w:sz w:val="22"/>
                <w:szCs w:val="24"/>
                <w:highlight w:val="none"/>
                <w:lang w:val="en-US" w:eastAsia="zh-CN"/>
              </w:rPr>
              <w:t>3</w:t>
            </w:r>
          </w:p>
        </w:tc>
        <w:tc>
          <w:tcPr>
            <w:tcW w:w="1069" w:type="pct"/>
            <w:vAlign w:val="center"/>
          </w:tcPr>
          <w:p w14:paraId="16F68762">
            <w:pPr>
              <w:jc w:val="center"/>
              <w:rPr>
                <w:rFonts w:hint="default" w:ascii="Times New Roman" w:hAnsi="Times New Roman" w:eastAsia="宋体" w:cs="Times New Roman"/>
                <w:color w:val="auto"/>
                <w:sz w:val="22"/>
                <w:szCs w:val="24"/>
                <w:highlight w:val="none"/>
                <w:lang w:val="en-US" w:eastAsia="zh-CN"/>
              </w:rPr>
            </w:pPr>
            <w:r>
              <w:rPr>
                <w:rFonts w:hint="eastAsia" w:ascii="Times New Roman" w:hAnsi="Times New Roman" w:eastAsia="宋体" w:cs="Times New Roman"/>
                <w:color w:val="auto"/>
                <w:sz w:val="22"/>
                <w:szCs w:val="24"/>
                <w:highlight w:val="none"/>
                <w:lang w:val="en-US" w:eastAsia="zh-CN"/>
              </w:rPr>
              <w:t>污水站污泥</w:t>
            </w:r>
          </w:p>
        </w:tc>
        <w:tc>
          <w:tcPr>
            <w:tcW w:w="732" w:type="pct"/>
            <w:vAlign w:val="center"/>
          </w:tcPr>
          <w:p w14:paraId="0AB4671D">
            <w:pPr>
              <w:jc w:val="center"/>
              <w:rPr>
                <w:rFonts w:hint="eastAsia" w:ascii="Times New Roman" w:hAnsi="Times New Roman" w:eastAsia="宋体" w:cs="Times New Roman"/>
                <w:color w:val="auto"/>
                <w:sz w:val="22"/>
                <w:szCs w:val="24"/>
                <w:highlight w:val="none"/>
                <w:lang w:val="en-US" w:eastAsia="zh-CN"/>
              </w:rPr>
            </w:pPr>
            <w:r>
              <w:rPr>
                <w:rFonts w:hint="eastAsia" w:ascii="Times New Roman" w:hAnsi="Times New Roman" w:eastAsia="宋体" w:cs="Times New Roman"/>
                <w:color w:val="auto"/>
                <w:sz w:val="22"/>
                <w:szCs w:val="24"/>
                <w:highlight w:val="none"/>
                <w:lang w:val="en-US" w:eastAsia="zh-CN"/>
              </w:rPr>
              <w:t>/</w:t>
            </w:r>
          </w:p>
        </w:tc>
        <w:tc>
          <w:tcPr>
            <w:tcW w:w="578" w:type="pct"/>
            <w:vAlign w:val="center"/>
          </w:tcPr>
          <w:p w14:paraId="45E472F7">
            <w:pPr>
              <w:jc w:val="center"/>
              <w:rPr>
                <w:rFonts w:hint="default" w:ascii="Times New Roman" w:hAnsi="Times New Roman" w:eastAsia="宋体" w:cs="Times New Roman"/>
                <w:color w:val="auto"/>
                <w:sz w:val="22"/>
                <w:szCs w:val="24"/>
                <w:highlight w:val="none"/>
                <w:lang w:val="en-US" w:eastAsia="zh-CN"/>
              </w:rPr>
            </w:pPr>
            <w:r>
              <w:rPr>
                <w:rFonts w:hint="eastAsia" w:ascii="Times New Roman" w:hAnsi="Times New Roman" w:eastAsia="宋体" w:cs="Times New Roman"/>
                <w:color w:val="auto"/>
                <w:sz w:val="22"/>
                <w:szCs w:val="24"/>
                <w:highlight w:val="none"/>
                <w:lang w:val="en-US" w:eastAsia="zh-CN"/>
              </w:rPr>
              <w:t>10</w:t>
            </w:r>
          </w:p>
        </w:tc>
        <w:tc>
          <w:tcPr>
            <w:tcW w:w="748" w:type="pct"/>
            <w:vAlign w:val="center"/>
          </w:tcPr>
          <w:p w14:paraId="681B46BE">
            <w:pPr>
              <w:jc w:val="center"/>
              <w:rPr>
                <w:rFonts w:hint="default" w:ascii="Times New Roman" w:hAnsi="Times New Roman" w:eastAsia="宋体" w:cs="Times New Roman"/>
                <w:color w:val="auto"/>
                <w:sz w:val="22"/>
                <w:szCs w:val="24"/>
                <w:highlight w:val="none"/>
                <w:lang w:val="en-US" w:eastAsia="zh-CN"/>
              </w:rPr>
            </w:pPr>
            <w:r>
              <w:rPr>
                <w:rFonts w:hint="eastAsia" w:ascii="Times New Roman" w:hAnsi="Times New Roman" w:eastAsia="宋体" w:cs="Times New Roman"/>
                <w:color w:val="auto"/>
                <w:sz w:val="22"/>
                <w:szCs w:val="24"/>
                <w:highlight w:val="none"/>
                <w:lang w:val="en-US" w:eastAsia="zh-CN"/>
              </w:rPr>
              <w:t>/</w:t>
            </w:r>
          </w:p>
        </w:tc>
        <w:tc>
          <w:tcPr>
            <w:tcW w:w="707" w:type="pct"/>
            <w:shd w:val="clear" w:color="auto" w:fill="auto"/>
            <w:vAlign w:val="center"/>
          </w:tcPr>
          <w:p w14:paraId="7975DF21">
            <w:pPr>
              <w:jc w:val="center"/>
              <w:rPr>
                <w:rFonts w:hint="default" w:ascii="Times New Roman" w:hAnsi="Times New Roman" w:eastAsia="宋体" w:cs="Times New Roman"/>
                <w:color w:val="auto"/>
                <w:kern w:val="2"/>
                <w:sz w:val="22"/>
                <w:szCs w:val="24"/>
                <w:highlight w:val="none"/>
                <w:lang w:val="en-US" w:eastAsia="zh-CN" w:bidi="ar-SA"/>
              </w:rPr>
            </w:pPr>
            <w:r>
              <w:rPr>
                <w:rFonts w:hint="eastAsia" w:ascii="Times New Roman" w:hAnsi="Times New Roman" w:eastAsia="宋体" w:cs="Times New Roman"/>
                <w:color w:val="auto"/>
                <w:kern w:val="2"/>
                <w:sz w:val="22"/>
                <w:szCs w:val="24"/>
                <w:highlight w:val="none"/>
                <w:lang w:val="en-US" w:eastAsia="zh-CN" w:bidi="ar-SA"/>
              </w:rPr>
              <w:t>100</w:t>
            </w:r>
          </w:p>
        </w:tc>
        <w:tc>
          <w:tcPr>
            <w:tcW w:w="719" w:type="pct"/>
            <w:shd w:val="clear" w:color="auto" w:fill="auto"/>
            <w:vAlign w:val="center"/>
          </w:tcPr>
          <w:p w14:paraId="3980FDE0">
            <w:pPr>
              <w:jc w:val="center"/>
              <w:rPr>
                <w:rFonts w:hint="default" w:ascii="Times New Roman" w:hAnsi="Times New Roman" w:eastAsia="宋体" w:cs="Times New Roman"/>
                <w:color w:val="auto"/>
                <w:kern w:val="2"/>
                <w:sz w:val="22"/>
                <w:szCs w:val="24"/>
                <w:highlight w:val="none"/>
                <w:lang w:val="en-US" w:eastAsia="zh-CN" w:bidi="ar-SA"/>
              </w:rPr>
            </w:pPr>
            <w:r>
              <w:rPr>
                <w:rFonts w:hint="eastAsia" w:ascii="Times New Roman" w:hAnsi="Times New Roman" w:eastAsia="宋体" w:cs="Times New Roman"/>
                <w:color w:val="auto"/>
                <w:kern w:val="2"/>
                <w:sz w:val="22"/>
                <w:szCs w:val="24"/>
                <w:highlight w:val="none"/>
                <w:lang w:val="en-US" w:eastAsia="zh-CN" w:bidi="ar-SA"/>
              </w:rPr>
              <w:t>0.1</w:t>
            </w:r>
          </w:p>
        </w:tc>
      </w:tr>
      <w:tr w14:paraId="2174EBD9">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3573" w:type="pct"/>
            <w:gridSpan w:val="5"/>
            <w:vAlign w:val="center"/>
          </w:tcPr>
          <w:p w14:paraId="5FAE3F5F">
            <w:pPr>
              <w:jc w:val="center"/>
              <w:rPr>
                <w:rFonts w:ascii="Times New Roman" w:hAnsi="Times New Roman" w:eastAsia="宋体" w:cs="Times New Roman"/>
                <w:color w:val="auto"/>
                <w:sz w:val="22"/>
                <w:szCs w:val="24"/>
                <w:highlight w:val="none"/>
              </w:rPr>
            </w:pPr>
            <w:r>
              <w:rPr>
                <w:rFonts w:hint="eastAsia" w:ascii="Times New Roman" w:hAnsi="Times New Roman" w:eastAsia="宋体" w:cs="Times New Roman"/>
                <w:color w:val="auto"/>
                <w:sz w:val="22"/>
                <w:szCs w:val="24"/>
                <w:highlight w:val="none"/>
              </w:rPr>
              <w:t>合计</w:t>
            </w:r>
          </w:p>
        </w:tc>
        <w:tc>
          <w:tcPr>
            <w:tcW w:w="707" w:type="pct"/>
            <w:vAlign w:val="center"/>
          </w:tcPr>
          <w:p w14:paraId="3AC1F993">
            <w:pPr>
              <w:jc w:val="center"/>
              <w:rPr>
                <w:rFonts w:hint="default" w:ascii="Times New Roman" w:hAnsi="Times New Roman" w:eastAsia="宋体" w:cs="Times New Roman"/>
                <w:color w:val="auto"/>
                <w:sz w:val="22"/>
                <w:szCs w:val="24"/>
                <w:highlight w:val="none"/>
                <w:lang w:val="en-US" w:eastAsia="zh-CN"/>
              </w:rPr>
            </w:pPr>
          </w:p>
        </w:tc>
        <w:tc>
          <w:tcPr>
            <w:tcW w:w="719" w:type="pct"/>
            <w:shd w:val="clear" w:color="auto" w:fill="auto"/>
            <w:vAlign w:val="center"/>
          </w:tcPr>
          <w:p w14:paraId="74B74DFF">
            <w:pPr>
              <w:jc w:val="center"/>
              <w:rPr>
                <w:rFonts w:hint="default" w:ascii="Times New Roman" w:hAnsi="Times New Roman" w:eastAsia="宋体" w:cs="Times New Roman"/>
                <w:color w:val="auto"/>
                <w:kern w:val="2"/>
                <w:sz w:val="22"/>
                <w:szCs w:val="24"/>
                <w:highlight w:val="none"/>
                <w:lang w:val="en-US" w:eastAsia="zh-CN" w:bidi="ar-SA"/>
              </w:rPr>
            </w:pPr>
            <w:r>
              <w:rPr>
                <w:rFonts w:hint="eastAsia" w:ascii="Times New Roman" w:hAnsi="Times New Roman" w:eastAsia="宋体" w:cs="Times New Roman"/>
                <w:color w:val="auto"/>
                <w:kern w:val="2"/>
                <w:sz w:val="22"/>
                <w:szCs w:val="24"/>
                <w:highlight w:val="none"/>
                <w:lang w:val="en-US" w:eastAsia="zh-CN" w:bidi="ar-SA"/>
              </w:rPr>
              <w:t>0.48504</w:t>
            </w:r>
          </w:p>
        </w:tc>
      </w:tr>
    </w:tbl>
    <w:p w14:paraId="7DF3B80E">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本项目Q=0.48504</w:t>
      </w:r>
      <w:r>
        <w:rPr>
          <w:rFonts w:hint="default" w:ascii="Times New Roman" w:hAnsi="Times New Roman" w:eastAsia="宋体" w:cs="Times New Roman"/>
          <w:color w:val="auto"/>
          <w:sz w:val="24"/>
          <w:szCs w:val="24"/>
          <w:lang w:val="en-US" w:eastAsia="zh-CN"/>
        </w:rPr>
        <w:t>&lt;</w:t>
      </w:r>
      <w:r>
        <w:rPr>
          <w:rFonts w:hint="eastAsia" w:ascii="Times New Roman" w:hAnsi="Times New Roman" w:eastAsia="宋体" w:cs="Times New Roman"/>
          <w:color w:val="auto"/>
          <w:sz w:val="24"/>
          <w:szCs w:val="24"/>
          <w:lang w:val="en-US" w:eastAsia="zh-CN"/>
        </w:rPr>
        <w:t>1,环境风险潜势为</w:t>
      </w:r>
      <w:r>
        <w:rPr>
          <w:rFonts w:hint="eastAsia" w:ascii="宋体" w:hAnsi="宋体" w:eastAsia="宋体" w:cs="宋体"/>
          <w:color w:val="auto"/>
          <w:sz w:val="24"/>
          <w:szCs w:val="24"/>
          <w:lang w:val="en-US" w:eastAsia="zh-CN"/>
        </w:rPr>
        <w:t>Ⅰ</w:t>
      </w:r>
      <w:r>
        <w:rPr>
          <w:rFonts w:hint="eastAsia" w:ascii="Times New Roman" w:hAnsi="Times New Roman" w:eastAsia="宋体" w:cs="Times New Roman"/>
          <w:color w:val="auto"/>
          <w:sz w:val="24"/>
          <w:szCs w:val="24"/>
          <w:lang w:val="en-US" w:eastAsia="zh-CN"/>
        </w:rPr>
        <w:t>级。</w:t>
      </w:r>
    </w:p>
    <w:p w14:paraId="354776BB">
      <w:pPr>
        <w:keepNext/>
        <w:keepLines/>
        <w:spacing w:before="156" w:beforeLines="50" w:after="156" w:afterLines="50" w:line="360" w:lineRule="auto"/>
        <w:outlineLvl w:val="2"/>
        <w:rPr>
          <w:rFonts w:ascii="Times New Roman" w:hAnsi="Times New Roman" w:eastAsia="宋体" w:cs="Times New Roman"/>
          <w:b/>
          <w:color w:val="auto"/>
          <w:kern w:val="0"/>
          <w:sz w:val="24"/>
          <w:szCs w:val="24"/>
        </w:rPr>
      </w:pPr>
      <w:r>
        <w:rPr>
          <w:rFonts w:ascii="Times New Roman" w:hAnsi="Times New Roman" w:eastAsia="宋体" w:cs="Times New Roman"/>
          <w:b/>
          <w:color w:val="auto"/>
          <w:kern w:val="0"/>
          <w:sz w:val="24"/>
          <w:szCs w:val="24"/>
        </w:rPr>
        <w:t>2.5.</w:t>
      </w:r>
      <w:r>
        <w:rPr>
          <w:rFonts w:hint="eastAsia" w:ascii="Times New Roman" w:hAnsi="Times New Roman" w:eastAsia="宋体" w:cs="Times New Roman"/>
          <w:b/>
          <w:color w:val="auto"/>
          <w:kern w:val="0"/>
          <w:sz w:val="24"/>
          <w:szCs w:val="24"/>
        </w:rPr>
        <w:t>7</w:t>
      </w:r>
      <w:r>
        <w:rPr>
          <w:rFonts w:ascii="Times New Roman" w:hAnsi="Times New Roman" w:eastAsia="宋体" w:cs="Times New Roman"/>
          <w:b/>
          <w:color w:val="auto"/>
          <w:kern w:val="0"/>
          <w:sz w:val="24"/>
          <w:szCs w:val="24"/>
        </w:rPr>
        <w:t>.</w:t>
      </w:r>
      <w:r>
        <w:rPr>
          <w:rFonts w:hint="eastAsia" w:ascii="Times New Roman" w:hAnsi="Times New Roman" w:eastAsia="宋体" w:cs="Times New Roman"/>
          <w:b/>
          <w:color w:val="auto"/>
          <w:kern w:val="0"/>
          <w:sz w:val="24"/>
          <w:szCs w:val="24"/>
          <w:lang w:val="en-US" w:eastAsia="zh-CN"/>
        </w:rPr>
        <w:t>2</w:t>
      </w:r>
      <w:r>
        <w:rPr>
          <w:rFonts w:hint="eastAsia" w:ascii="Times New Roman" w:hAnsi="Times New Roman" w:eastAsia="宋体" w:cs="Times New Roman"/>
          <w:b/>
          <w:color w:val="auto"/>
          <w:kern w:val="0"/>
          <w:sz w:val="24"/>
          <w:szCs w:val="24"/>
        </w:rPr>
        <w:t>环境风险评价工作等级划分</w:t>
      </w:r>
    </w:p>
    <w:p w14:paraId="2C56FB18">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根据确定的项目环境风险潜势，按照《建设项目环境风险评价导则》</w:t>
      </w:r>
      <w:r>
        <w:rPr>
          <w:rFonts w:ascii="Times New Roman" w:hAnsi="Times New Roman" w:eastAsia="宋体" w:cs="Times New Roman"/>
          <w:color w:val="auto"/>
          <w:sz w:val="24"/>
          <w:szCs w:val="24"/>
        </w:rPr>
        <w:t>(HJ/T169-2018)中“4.3评价工作等级划分”，</w:t>
      </w:r>
      <w:r>
        <w:rPr>
          <w:rFonts w:hint="eastAsia" w:ascii="Times New Roman" w:hAnsi="Times New Roman" w:eastAsia="宋体" w:cs="Times New Roman"/>
          <w:color w:val="auto"/>
          <w:sz w:val="24"/>
          <w:szCs w:val="24"/>
        </w:rPr>
        <w:t>项目环境风险评价工作等级划分见表</w:t>
      </w:r>
      <w:r>
        <w:rPr>
          <w:rFonts w:ascii="Times New Roman" w:hAnsi="Times New Roman" w:eastAsia="宋体" w:cs="Times New Roman"/>
          <w:color w:val="auto"/>
          <w:kern w:val="0"/>
          <w:sz w:val="24"/>
          <w:szCs w:val="24"/>
        </w:rPr>
        <w:t>2.5.</w:t>
      </w:r>
      <w:r>
        <w:rPr>
          <w:rFonts w:hint="eastAsia" w:ascii="Times New Roman" w:hAnsi="Times New Roman" w:eastAsia="宋体" w:cs="Times New Roman"/>
          <w:color w:val="auto"/>
          <w:kern w:val="0"/>
          <w:sz w:val="24"/>
          <w:szCs w:val="24"/>
        </w:rPr>
        <w:t>7.</w:t>
      </w:r>
      <w:r>
        <w:rPr>
          <w:rFonts w:ascii="Times New Roman" w:hAnsi="Times New Roman" w:eastAsia="宋体" w:cs="Times New Roman"/>
          <w:color w:val="auto"/>
          <w:sz w:val="24"/>
          <w:szCs w:val="24"/>
        </w:rPr>
        <w:t>-14。</w:t>
      </w:r>
    </w:p>
    <w:p w14:paraId="1FEB8B9B">
      <w:pPr>
        <w:pStyle w:val="6"/>
        <w:bidi w:val="0"/>
      </w:pPr>
      <w:r>
        <w:rPr>
          <w:rFonts w:hint="eastAsia"/>
        </w:rPr>
        <w:t>表</w:t>
      </w:r>
      <w:r>
        <w:t>2.5.</w:t>
      </w:r>
      <w:r>
        <w:rPr>
          <w:rFonts w:hint="eastAsia"/>
        </w:rPr>
        <w:t>7.</w:t>
      </w:r>
      <w:r>
        <w:t>-</w:t>
      </w:r>
      <w:r>
        <w:rPr>
          <w:rFonts w:hint="eastAsia"/>
          <w:lang w:val="en-US" w:eastAsia="zh-CN"/>
        </w:rPr>
        <w:t>2</w:t>
      </w:r>
      <w:r>
        <w:t xml:space="preserve">    项目环境风险评价工作等级划分</w:t>
      </w:r>
    </w:p>
    <w:tbl>
      <w:tblPr>
        <w:tblStyle w:val="41"/>
        <w:tblW w:w="5000" w:type="pct"/>
        <w:tblInd w:w="0" w:type="dxa"/>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Layout w:type="autofit"/>
        <w:tblCellMar>
          <w:top w:w="0" w:type="dxa"/>
          <w:left w:w="108" w:type="dxa"/>
          <w:bottom w:w="0" w:type="dxa"/>
          <w:right w:w="108" w:type="dxa"/>
        </w:tblCellMar>
      </w:tblPr>
      <w:tblGrid>
        <w:gridCol w:w="1672"/>
        <w:gridCol w:w="1672"/>
        <w:gridCol w:w="1672"/>
        <w:gridCol w:w="1673"/>
        <w:gridCol w:w="1673"/>
      </w:tblGrid>
      <w:tr w14:paraId="2FEB7BD9">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1000" w:type="pct"/>
            <w:tcBorders>
              <w:bottom w:val="single" w:color="000000" w:sz="2" w:space="0"/>
              <w:right w:val="single" w:color="000000" w:sz="2" w:space="0"/>
            </w:tcBorders>
            <w:tcMar>
              <w:left w:w="28" w:type="dxa"/>
              <w:right w:w="28" w:type="dxa"/>
            </w:tcMar>
            <w:vAlign w:val="center"/>
          </w:tcPr>
          <w:p w14:paraId="2A578284">
            <w:pPr>
              <w:jc w:val="center"/>
              <w:rPr>
                <w:rFonts w:ascii="Times New Roman" w:hAnsi="Times New Roman" w:eastAsia="宋体" w:cs="Times New Roman"/>
                <w:b/>
                <w:bCs/>
                <w:color w:val="auto"/>
                <w:sz w:val="22"/>
                <w:szCs w:val="24"/>
              </w:rPr>
            </w:pPr>
            <w:r>
              <w:rPr>
                <w:rFonts w:ascii="Times New Roman" w:hAnsi="Times New Roman" w:eastAsia="宋体" w:cs="Times New Roman"/>
                <w:b/>
                <w:bCs/>
                <w:color w:val="auto"/>
                <w:sz w:val="22"/>
                <w:szCs w:val="24"/>
              </w:rPr>
              <w:t>环境风险潜势</w:t>
            </w:r>
          </w:p>
        </w:tc>
        <w:tc>
          <w:tcPr>
            <w:tcW w:w="1000" w:type="pct"/>
            <w:tcBorders>
              <w:bottom w:val="single" w:color="000000" w:sz="2" w:space="0"/>
              <w:right w:val="single" w:color="000000" w:sz="2" w:space="0"/>
            </w:tcBorders>
            <w:tcMar>
              <w:left w:w="28" w:type="dxa"/>
              <w:right w:w="28" w:type="dxa"/>
            </w:tcMar>
            <w:vAlign w:val="center"/>
          </w:tcPr>
          <w:p w14:paraId="7A36C72F">
            <w:pPr>
              <w:jc w:val="center"/>
              <w:rPr>
                <w:rFonts w:ascii="Times New Roman" w:hAnsi="Times New Roman" w:eastAsia="宋体" w:cs="Times New Roman"/>
                <w:b/>
                <w:bCs/>
                <w:color w:val="auto"/>
                <w:sz w:val="22"/>
                <w:szCs w:val="24"/>
              </w:rPr>
            </w:pPr>
            <w:r>
              <w:rPr>
                <w:rFonts w:ascii="Times New Roman" w:hAnsi="Times New Roman" w:eastAsia="宋体" w:cs="Times New Roman"/>
                <w:b/>
                <w:bCs/>
                <w:color w:val="auto"/>
                <w:sz w:val="22"/>
                <w:szCs w:val="24"/>
              </w:rPr>
              <w:t>Ⅳ、Ⅳ+</w:t>
            </w:r>
          </w:p>
        </w:tc>
        <w:tc>
          <w:tcPr>
            <w:tcW w:w="1000" w:type="pct"/>
            <w:tcBorders>
              <w:bottom w:val="single" w:color="000000" w:sz="2" w:space="0"/>
              <w:right w:val="single" w:color="000000" w:sz="2" w:space="0"/>
            </w:tcBorders>
            <w:tcMar>
              <w:left w:w="28" w:type="dxa"/>
              <w:right w:w="28" w:type="dxa"/>
            </w:tcMar>
            <w:vAlign w:val="center"/>
          </w:tcPr>
          <w:p w14:paraId="22844FFC">
            <w:pPr>
              <w:jc w:val="center"/>
              <w:rPr>
                <w:rFonts w:ascii="Times New Roman" w:hAnsi="Times New Roman" w:eastAsia="宋体" w:cs="Times New Roman"/>
                <w:b/>
                <w:bCs/>
                <w:color w:val="auto"/>
                <w:sz w:val="22"/>
                <w:szCs w:val="24"/>
              </w:rPr>
            </w:pPr>
            <w:r>
              <w:rPr>
                <w:rFonts w:ascii="Times New Roman" w:hAnsi="Times New Roman" w:eastAsia="宋体" w:cs="Times New Roman"/>
                <w:b/>
                <w:bCs/>
                <w:color w:val="auto"/>
                <w:sz w:val="22"/>
                <w:szCs w:val="24"/>
              </w:rPr>
              <w:t>Ⅲ</w:t>
            </w:r>
          </w:p>
        </w:tc>
        <w:tc>
          <w:tcPr>
            <w:tcW w:w="1000" w:type="pct"/>
            <w:tcBorders>
              <w:bottom w:val="single" w:color="000000" w:sz="2" w:space="0"/>
              <w:right w:val="single" w:color="000000" w:sz="2" w:space="0"/>
            </w:tcBorders>
            <w:tcMar>
              <w:left w:w="28" w:type="dxa"/>
              <w:right w:w="28" w:type="dxa"/>
            </w:tcMar>
            <w:vAlign w:val="center"/>
          </w:tcPr>
          <w:p w14:paraId="48FD3E67">
            <w:pPr>
              <w:jc w:val="center"/>
              <w:rPr>
                <w:rFonts w:ascii="Times New Roman" w:hAnsi="Times New Roman" w:eastAsia="宋体" w:cs="Times New Roman"/>
                <w:b/>
                <w:bCs/>
                <w:color w:val="auto"/>
                <w:sz w:val="22"/>
                <w:szCs w:val="24"/>
              </w:rPr>
            </w:pPr>
            <w:r>
              <w:rPr>
                <w:rFonts w:ascii="Times New Roman" w:hAnsi="Times New Roman" w:eastAsia="宋体" w:cs="Times New Roman"/>
                <w:b/>
                <w:bCs/>
                <w:color w:val="auto"/>
                <w:sz w:val="22"/>
                <w:szCs w:val="24"/>
              </w:rPr>
              <w:t>Ⅱ</w:t>
            </w:r>
          </w:p>
        </w:tc>
        <w:tc>
          <w:tcPr>
            <w:tcW w:w="1000" w:type="pct"/>
            <w:tcBorders>
              <w:bottom w:val="single" w:color="000000" w:sz="2" w:space="0"/>
            </w:tcBorders>
            <w:tcMar>
              <w:left w:w="28" w:type="dxa"/>
              <w:right w:w="28" w:type="dxa"/>
            </w:tcMar>
            <w:vAlign w:val="center"/>
          </w:tcPr>
          <w:p w14:paraId="364FD6AD">
            <w:pPr>
              <w:jc w:val="center"/>
              <w:rPr>
                <w:rFonts w:ascii="Times New Roman" w:hAnsi="Times New Roman" w:eastAsia="宋体" w:cs="Times New Roman"/>
                <w:b/>
                <w:bCs/>
                <w:color w:val="auto"/>
                <w:sz w:val="22"/>
                <w:szCs w:val="24"/>
              </w:rPr>
            </w:pPr>
            <w:r>
              <w:rPr>
                <w:rFonts w:ascii="Times New Roman" w:hAnsi="Times New Roman" w:eastAsia="宋体" w:cs="Times New Roman"/>
                <w:b/>
                <w:bCs/>
                <w:color w:val="auto"/>
                <w:sz w:val="22"/>
                <w:szCs w:val="24"/>
              </w:rPr>
              <w:t>Ⅰ</w:t>
            </w:r>
          </w:p>
        </w:tc>
      </w:tr>
      <w:tr w14:paraId="1B14254E">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1000" w:type="pct"/>
            <w:tcMar>
              <w:left w:w="28" w:type="dxa"/>
              <w:right w:w="28" w:type="dxa"/>
            </w:tcMar>
            <w:vAlign w:val="center"/>
          </w:tcPr>
          <w:p w14:paraId="77FAF4DE">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评价工作等级</w:t>
            </w:r>
          </w:p>
        </w:tc>
        <w:tc>
          <w:tcPr>
            <w:tcW w:w="1000" w:type="pct"/>
            <w:tcMar>
              <w:left w:w="28" w:type="dxa"/>
              <w:right w:w="28" w:type="dxa"/>
            </w:tcMar>
            <w:vAlign w:val="center"/>
          </w:tcPr>
          <w:p w14:paraId="7190DBF6">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一</w:t>
            </w:r>
          </w:p>
        </w:tc>
        <w:tc>
          <w:tcPr>
            <w:tcW w:w="1000" w:type="pct"/>
            <w:tcMar>
              <w:left w:w="28" w:type="dxa"/>
              <w:right w:w="28" w:type="dxa"/>
            </w:tcMar>
            <w:vAlign w:val="center"/>
          </w:tcPr>
          <w:p w14:paraId="5D535B2F">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二</w:t>
            </w:r>
          </w:p>
        </w:tc>
        <w:tc>
          <w:tcPr>
            <w:tcW w:w="1000" w:type="pct"/>
            <w:tcMar>
              <w:left w:w="28" w:type="dxa"/>
              <w:right w:w="28" w:type="dxa"/>
            </w:tcMar>
            <w:vAlign w:val="center"/>
          </w:tcPr>
          <w:p w14:paraId="61DE0CCA">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三</w:t>
            </w:r>
          </w:p>
        </w:tc>
        <w:tc>
          <w:tcPr>
            <w:tcW w:w="1000" w:type="pct"/>
            <w:tcMar>
              <w:left w:w="28" w:type="dxa"/>
              <w:right w:w="28" w:type="dxa"/>
            </w:tcMar>
            <w:vAlign w:val="center"/>
          </w:tcPr>
          <w:p w14:paraId="1E9D7EBF">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简单分析a</w:t>
            </w:r>
          </w:p>
        </w:tc>
      </w:tr>
      <w:tr w14:paraId="4E82E53E">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5000" w:type="pct"/>
            <w:gridSpan w:val="5"/>
            <w:tcMar>
              <w:left w:w="28" w:type="dxa"/>
              <w:right w:w="28" w:type="dxa"/>
            </w:tcMar>
            <w:vAlign w:val="center"/>
          </w:tcPr>
          <w:p w14:paraId="6EE7D27D">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a是相对于详细评价工作内容而言，在描述危险物质、环境影响途径、环境危害后果、风险防范措施等方面给出定性的说明。</w:t>
            </w:r>
          </w:p>
        </w:tc>
      </w:tr>
    </w:tbl>
    <w:p w14:paraId="0EA161A7">
      <w:pPr>
        <w:spacing w:line="360" w:lineRule="auto"/>
        <w:ind w:firstLine="480" w:firstLineChars="200"/>
        <w:rPr>
          <w:rFonts w:hint="default" w:ascii="Times New Roman" w:hAnsi="Times New Roman" w:eastAsia="宋体" w:cs="Times New Roman"/>
          <w:color w:val="auto"/>
          <w:sz w:val="24"/>
          <w:szCs w:val="24"/>
          <w:lang w:val="en-US" w:eastAsia="zh-CN"/>
        </w:rPr>
      </w:pPr>
      <w:bookmarkStart w:id="135" w:name="_Toc5128308"/>
      <w:bookmarkStart w:id="136" w:name="_Toc146781125"/>
      <w:bookmarkStart w:id="137" w:name="_Toc49929996"/>
      <w:bookmarkStart w:id="138" w:name="_Toc21068"/>
      <w:bookmarkStart w:id="139" w:name="_Toc111800890"/>
      <w:bookmarkStart w:id="140" w:name="_Toc17206441"/>
      <w:bookmarkStart w:id="141" w:name="_Toc60296947"/>
      <w:bookmarkStart w:id="142" w:name="_Toc16765"/>
      <w:bookmarkStart w:id="143" w:name="_Toc1103"/>
      <w:r>
        <w:rPr>
          <w:rFonts w:hint="eastAsia" w:ascii="Times New Roman" w:hAnsi="Times New Roman" w:eastAsia="宋体" w:cs="Times New Roman"/>
          <w:color w:val="auto"/>
          <w:sz w:val="24"/>
          <w:szCs w:val="24"/>
          <w:lang w:val="en-US" w:eastAsia="zh-CN"/>
        </w:rPr>
        <w:t>本项目环境风险评价等级为简单分析。</w:t>
      </w:r>
    </w:p>
    <w:p w14:paraId="672124D5">
      <w:pPr>
        <w:keepNext/>
        <w:keepLines/>
        <w:spacing w:before="100" w:beforeAutospacing="1" w:after="100" w:afterAutospacing="1" w:line="360" w:lineRule="auto"/>
        <w:outlineLvl w:val="1"/>
        <w:rPr>
          <w:rFonts w:ascii="Times New Roman" w:hAnsi="Times New Roman" w:eastAsia="宋体" w:cs="Times New Roman"/>
          <w:b/>
          <w:bCs/>
          <w:color w:val="auto"/>
          <w:kern w:val="0"/>
          <w:sz w:val="28"/>
          <w:szCs w:val="28"/>
        </w:rPr>
      </w:pPr>
      <w:bookmarkStart w:id="144" w:name="_Toc24995"/>
      <w:r>
        <w:rPr>
          <w:rFonts w:ascii="Times New Roman" w:hAnsi="Times New Roman" w:eastAsia="宋体" w:cs="Times New Roman"/>
          <w:b/>
          <w:bCs/>
          <w:color w:val="auto"/>
          <w:kern w:val="0"/>
          <w:sz w:val="28"/>
          <w:szCs w:val="28"/>
        </w:rPr>
        <w:t>2.</w:t>
      </w:r>
      <w:bookmarkEnd w:id="135"/>
      <w:r>
        <w:rPr>
          <w:rFonts w:ascii="Times New Roman" w:hAnsi="Times New Roman" w:eastAsia="宋体" w:cs="Times New Roman"/>
          <w:b/>
          <w:bCs/>
          <w:color w:val="auto"/>
          <w:kern w:val="0"/>
          <w:sz w:val="28"/>
          <w:szCs w:val="28"/>
        </w:rPr>
        <w:t>6保护目标</w:t>
      </w:r>
      <w:bookmarkEnd w:id="136"/>
      <w:bookmarkEnd w:id="137"/>
      <w:bookmarkEnd w:id="138"/>
      <w:bookmarkEnd w:id="139"/>
      <w:bookmarkEnd w:id="140"/>
      <w:bookmarkEnd w:id="141"/>
      <w:bookmarkEnd w:id="142"/>
      <w:bookmarkEnd w:id="143"/>
      <w:bookmarkEnd w:id="144"/>
    </w:p>
    <w:p w14:paraId="7D8EE787">
      <w:pPr>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根据本次环评拟定的评价工作等级，结合现场踏勘和环境敏感点分布情况，最终确定本项目环境保护目标如下表所示。</w:t>
      </w:r>
    </w:p>
    <w:p w14:paraId="1CDCE88A">
      <w:pPr>
        <w:spacing w:line="360" w:lineRule="auto"/>
        <w:ind w:firstLine="480" w:firstLineChars="200"/>
        <w:rPr>
          <w:rFonts w:ascii="Times New Roman" w:hAnsi="Times New Roman" w:eastAsia="宋体" w:cs="Times New Roman"/>
          <w:color w:val="FF0000"/>
          <w:sz w:val="24"/>
          <w:szCs w:val="24"/>
        </w:rPr>
        <w:sectPr>
          <w:pgSz w:w="11906" w:h="16838"/>
          <w:pgMar w:top="1440" w:right="1800" w:bottom="1440" w:left="1800" w:header="851" w:footer="992" w:gutter="0"/>
          <w:pgNumType w:fmt="numberInDash"/>
          <w:cols w:space="720" w:num="1"/>
          <w:docGrid w:type="lines" w:linePitch="312" w:charSpace="0"/>
        </w:sectPr>
      </w:pPr>
    </w:p>
    <w:p w14:paraId="50AC7309">
      <w:pPr>
        <w:pStyle w:val="6"/>
        <w:bidi w:val="0"/>
      </w:pPr>
      <w:bookmarkStart w:id="145" w:name="_Toc10556"/>
      <w:bookmarkStart w:id="146" w:name="_Toc1278"/>
      <w:r>
        <w:t>表</w:t>
      </w:r>
      <w:r>
        <w:rPr>
          <w:rFonts w:hint="eastAsia"/>
        </w:rPr>
        <w:t>2</w:t>
      </w:r>
      <w:r>
        <w:t>.</w:t>
      </w:r>
      <w:r>
        <w:rPr>
          <w:rFonts w:hint="eastAsia"/>
        </w:rPr>
        <w:t>6</w:t>
      </w:r>
      <w:r>
        <w:t xml:space="preserve">-1 </w:t>
      </w:r>
      <w:r>
        <w:rPr>
          <w:rFonts w:hint="eastAsia"/>
        </w:rPr>
        <w:t xml:space="preserve">   </w:t>
      </w:r>
      <w:r>
        <w:t>评价区域内大气环境保护目标（坐标取距离厂址最近点位位置）一览表</w:t>
      </w:r>
      <w:bookmarkEnd w:id="145"/>
      <w:bookmarkEnd w:id="146"/>
    </w:p>
    <w:tbl>
      <w:tblPr>
        <w:tblStyle w:val="41"/>
        <w:tblpPr w:leftFromText="181" w:rightFromText="181" w:vertAnchor="text" w:horzAnchor="page" w:tblpX="1907" w:tblpY="486"/>
        <w:tblOverlap w:val="never"/>
        <w:tblW w:w="478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7"/>
        <w:gridCol w:w="812"/>
        <w:gridCol w:w="1486"/>
        <w:gridCol w:w="2461"/>
        <w:gridCol w:w="2358"/>
        <w:gridCol w:w="793"/>
        <w:gridCol w:w="728"/>
        <w:gridCol w:w="1434"/>
        <w:gridCol w:w="758"/>
        <w:gridCol w:w="1080"/>
        <w:gridCol w:w="949"/>
      </w:tblGrid>
      <w:tr w14:paraId="759AA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4" w:type="pct"/>
            <w:vMerge w:val="restart"/>
            <w:vAlign w:val="center"/>
          </w:tcPr>
          <w:p w14:paraId="02C5F05F">
            <w:pPr>
              <w:jc w:val="center"/>
              <w:rPr>
                <w:rFonts w:ascii="Times New Roman" w:hAnsi="Times New Roman" w:eastAsia="宋体" w:cs="Times New Roman"/>
                <w:b/>
                <w:bCs/>
                <w:color w:val="auto"/>
                <w:sz w:val="22"/>
                <w:szCs w:val="24"/>
              </w:rPr>
            </w:pPr>
            <w:r>
              <w:rPr>
                <w:rFonts w:hint="eastAsia" w:ascii="Times New Roman" w:hAnsi="Times New Roman" w:eastAsia="宋体" w:cs="Times New Roman"/>
                <w:b/>
                <w:bCs/>
                <w:color w:val="auto"/>
                <w:sz w:val="22"/>
                <w:szCs w:val="24"/>
              </w:rPr>
              <w:t>序号</w:t>
            </w:r>
          </w:p>
        </w:tc>
        <w:tc>
          <w:tcPr>
            <w:tcW w:w="846" w:type="pct"/>
            <w:gridSpan w:val="2"/>
            <w:vMerge w:val="restart"/>
            <w:vAlign w:val="center"/>
          </w:tcPr>
          <w:p w14:paraId="7EA326A7">
            <w:pPr>
              <w:jc w:val="center"/>
              <w:rPr>
                <w:rFonts w:ascii="Times New Roman" w:hAnsi="Times New Roman" w:eastAsia="宋体" w:cs="Times New Roman"/>
                <w:b/>
                <w:bCs/>
                <w:color w:val="auto"/>
                <w:sz w:val="22"/>
                <w:szCs w:val="24"/>
              </w:rPr>
            </w:pPr>
            <w:r>
              <w:rPr>
                <w:rFonts w:hint="eastAsia" w:ascii="Times New Roman" w:hAnsi="Times New Roman" w:eastAsia="宋体" w:cs="Times New Roman"/>
                <w:b/>
                <w:bCs/>
                <w:color w:val="auto"/>
                <w:sz w:val="22"/>
                <w:szCs w:val="24"/>
              </w:rPr>
              <w:t>敏感点名称</w:t>
            </w:r>
          </w:p>
        </w:tc>
        <w:tc>
          <w:tcPr>
            <w:tcW w:w="1774" w:type="pct"/>
            <w:gridSpan w:val="2"/>
            <w:vAlign w:val="center"/>
          </w:tcPr>
          <w:p w14:paraId="540ED313">
            <w:pPr>
              <w:jc w:val="center"/>
              <w:rPr>
                <w:rFonts w:ascii="Times New Roman" w:hAnsi="Times New Roman" w:eastAsia="宋体" w:cs="Times New Roman"/>
                <w:b/>
                <w:bCs/>
                <w:color w:val="auto"/>
                <w:sz w:val="22"/>
                <w:szCs w:val="24"/>
              </w:rPr>
            </w:pPr>
            <w:r>
              <w:rPr>
                <w:rFonts w:hint="eastAsia" w:ascii="Times New Roman" w:hAnsi="Times New Roman" w:eastAsia="宋体" w:cs="Times New Roman"/>
                <w:b/>
                <w:bCs/>
                <w:color w:val="auto"/>
                <w:sz w:val="22"/>
                <w:szCs w:val="24"/>
              </w:rPr>
              <w:t>坐标</w:t>
            </w:r>
          </w:p>
        </w:tc>
        <w:tc>
          <w:tcPr>
            <w:tcW w:w="292" w:type="pct"/>
            <w:vMerge w:val="restart"/>
            <w:vAlign w:val="center"/>
          </w:tcPr>
          <w:p w14:paraId="57C45ACA">
            <w:pPr>
              <w:jc w:val="center"/>
              <w:rPr>
                <w:rFonts w:ascii="Times New Roman" w:hAnsi="Times New Roman" w:eastAsia="宋体" w:cs="Times New Roman"/>
                <w:b/>
                <w:bCs/>
                <w:color w:val="auto"/>
                <w:sz w:val="22"/>
                <w:szCs w:val="24"/>
              </w:rPr>
            </w:pPr>
            <w:r>
              <w:rPr>
                <w:rFonts w:hint="eastAsia" w:ascii="Times New Roman" w:hAnsi="Times New Roman" w:eastAsia="宋体" w:cs="Times New Roman"/>
                <w:b/>
                <w:bCs/>
                <w:color w:val="auto"/>
                <w:sz w:val="22"/>
                <w:szCs w:val="24"/>
              </w:rPr>
              <w:t>保护对象</w:t>
            </w:r>
          </w:p>
        </w:tc>
        <w:tc>
          <w:tcPr>
            <w:tcW w:w="268" w:type="pct"/>
            <w:vMerge w:val="restart"/>
            <w:vAlign w:val="center"/>
          </w:tcPr>
          <w:p w14:paraId="22DBDDE3">
            <w:pPr>
              <w:jc w:val="center"/>
              <w:rPr>
                <w:rFonts w:ascii="Times New Roman" w:hAnsi="Times New Roman" w:eastAsia="宋体" w:cs="Times New Roman"/>
                <w:b/>
                <w:bCs/>
                <w:color w:val="auto"/>
                <w:sz w:val="22"/>
                <w:szCs w:val="24"/>
              </w:rPr>
            </w:pPr>
            <w:r>
              <w:rPr>
                <w:rFonts w:hint="eastAsia" w:ascii="Times New Roman" w:hAnsi="Times New Roman" w:eastAsia="宋体" w:cs="Times New Roman"/>
                <w:b/>
                <w:bCs/>
                <w:color w:val="auto"/>
                <w:sz w:val="22"/>
                <w:szCs w:val="24"/>
              </w:rPr>
              <w:t>保护</w:t>
            </w:r>
          </w:p>
          <w:p w14:paraId="67DC1385">
            <w:pPr>
              <w:jc w:val="center"/>
              <w:rPr>
                <w:rFonts w:ascii="Times New Roman" w:hAnsi="Times New Roman" w:eastAsia="宋体" w:cs="Times New Roman"/>
                <w:b/>
                <w:bCs/>
                <w:color w:val="auto"/>
                <w:sz w:val="22"/>
                <w:szCs w:val="24"/>
              </w:rPr>
            </w:pPr>
            <w:r>
              <w:rPr>
                <w:rFonts w:hint="eastAsia" w:ascii="Times New Roman" w:hAnsi="Times New Roman" w:eastAsia="宋体" w:cs="Times New Roman"/>
                <w:b/>
                <w:bCs/>
                <w:color w:val="auto"/>
                <w:sz w:val="22"/>
                <w:szCs w:val="24"/>
              </w:rPr>
              <w:t>内容</w:t>
            </w:r>
          </w:p>
        </w:tc>
        <w:tc>
          <w:tcPr>
            <w:tcW w:w="528" w:type="pct"/>
            <w:vMerge w:val="restart"/>
            <w:vAlign w:val="center"/>
          </w:tcPr>
          <w:p w14:paraId="00E5CF27">
            <w:pPr>
              <w:jc w:val="center"/>
              <w:rPr>
                <w:rFonts w:ascii="Times New Roman" w:hAnsi="Times New Roman" w:eastAsia="宋体" w:cs="Times New Roman"/>
                <w:b/>
                <w:bCs/>
                <w:color w:val="auto"/>
                <w:sz w:val="22"/>
                <w:szCs w:val="24"/>
              </w:rPr>
            </w:pPr>
            <w:r>
              <w:rPr>
                <w:rFonts w:hint="eastAsia" w:ascii="Times New Roman" w:hAnsi="Times New Roman" w:eastAsia="宋体" w:cs="Times New Roman"/>
                <w:b/>
                <w:bCs/>
                <w:color w:val="auto"/>
                <w:sz w:val="22"/>
                <w:szCs w:val="24"/>
              </w:rPr>
              <w:t>规模</w:t>
            </w:r>
          </w:p>
        </w:tc>
        <w:tc>
          <w:tcPr>
            <w:tcW w:w="279" w:type="pct"/>
            <w:vMerge w:val="restart"/>
            <w:vAlign w:val="center"/>
          </w:tcPr>
          <w:p w14:paraId="0B48CBFC">
            <w:pPr>
              <w:jc w:val="center"/>
              <w:rPr>
                <w:rFonts w:ascii="Times New Roman" w:hAnsi="Times New Roman" w:eastAsia="宋体" w:cs="Times New Roman"/>
                <w:b/>
                <w:bCs/>
                <w:color w:val="auto"/>
                <w:sz w:val="22"/>
                <w:szCs w:val="24"/>
              </w:rPr>
            </w:pPr>
            <w:r>
              <w:rPr>
                <w:rFonts w:hint="eastAsia" w:ascii="Times New Roman" w:hAnsi="Times New Roman" w:eastAsia="宋体" w:cs="Times New Roman"/>
                <w:b/>
                <w:bCs/>
                <w:color w:val="auto"/>
                <w:sz w:val="22"/>
                <w:szCs w:val="24"/>
              </w:rPr>
              <w:t>环境</w:t>
            </w:r>
          </w:p>
          <w:p w14:paraId="02C63A99">
            <w:pPr>
              <w:jc w:val="center"/>
              <w:rPr>
                <w:rFonts w:ascii="Times New Roman" w:hAnsi="Times New Roman" w:eastAsia="宋体" w:cs="Times New Roman"/>
                <w:b/>
                <w:bCs/>
                <w:color w:val="auto"/>
                <w:sz w:val="22"/>
                <w:szCs w:val="24"/>
              </w:rPr>
            </w:pPr>
            <w:r>
              <w:rPr>
                <w:rFonts w:hint="eastAsia" w:ascii="Times New Roman" w:hAnsi="Times New Roman" w:eastAsia="宋体" w:cs="Times New Roman"/>
                <w:b/>
                <w:bCs/>
                <w:color w:val="auto"/>
                <w:sz w:val="22"/>
                <w:szCs w:val="24"/>
              </w:rPr>
              <w:t>功能区</w:t>
            </w:r>
          </w:p>
        </w:tc>
        <w:tc>
          <w:tcPr>
            <w:tcW w:w="397" w:type="pct"/>
            <w:vMerge w:val="restart"/>
            <w:vAlign w:val="center"/>
          </w:tcPr>
          <w:p w14:paraId="09C2B978">
            <w:pPr>
              <w:jc w:val="center"/>
              <w:rPr>
                <w:rFonts w:ascii="Times New Roman" w:hAnsi="Times New Roman" w:eastAsia="宋体" w:cs="Times New Roman"/>
                <w:b/>
                <w:bCs/>
                <w:color w:val="auto"/>
                <w:sz w:val="22"/>
                <w:szCs w:val="24"/>
              </w:rPr>
            </w:pPr>
            <w:r>
              <w:rPr>
                <w:rFonts w:hint="eastAsia" w:ascii="Times New Roman" w:hAnsi="Times New Roman" w:eastAsia="宋体" w:cs="Times New Roman"/>
                <w:b/>
                <w:bCs/>
                <w:color w:val="auto"/>
                <w:sz w:val="22"/>
                <w:szCs w:val="24"/>
              </w:rPr>
              <w:t>相对厂址方位</w:t>
            </w:r>
          </w:p>
        </w:tc>
        <w:tc>
          <w:tcPr>
            <w:tcW w:w="349" w:type="pct"/>
            <w:vMerge w:val="restart"/>
            <w:vAlign w:val="center"/>
          </w:tcPr>
          <w:p w14:paraId="0E51DD12">
            <w:pPr>
              <w:jc w:val="center"/>
              <w:rPr>
                <w:rFonts w:ascii="Times New Roman" w:hAnsi="Times New Roman" w:eastAsia="宋体" w:cs="Times New Roman"/>
                <w:b/>
                <w:bCs/>
                <w:color w:val="auto"/>
                <w:sz w:val="22"/>
                <w:szCs w:val="24"/>
              </w:rPr>
            </w:pPr>
            <w:r>
              <w:rPr>
                <w:rFonts w:hint="eastAsia" w:ascii="Times New Roman" w:hAnsi="Times New Roman" w:eastAsia="宋体" w:cs="Times New Roman"/>
                <w:b/>
                <w:bCs/>
                <w:color w:val="auto"/>
                <w:sz w:val="22"/>
                <w:szCs w:val="24"/>
              </w:rPr>
              <w:t>相对厂界距离（m）</w:t>
            </w:r>
          </w:p>
        </w:tc>
      </w:tr>
      <w:tr w14:paraId="0FFA1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4" w:type="pct"/>
            <w:vMerge w:val="continue"/>
            <w:vAlign w:val="center"/>
          </w:tcPr>
          <w:p w14:paraId="49AA588D">
            <w:pPr>
              <w:jc w:val="center"/>
              <w:rPr>
                <w:rFonts w:ascii="Times New Roman" w:hAnsi="Times New Roman" w:eastAsia="宋体" w:cs="Times New Roman"/>
                <w:b/>
                <w:bCs/>
                <w:color w:val="auto"/>
                <w:sz w:val="22"/>
                <w:szCs w:val="24"/>
              </w:rPr>
            </w:pPr>
          </w:p>
        </w:tc>
        <w:tc>
          <w:tcPr>
            <w:tcW w:w="846" w:type="pct"/>
            <w:gridSpan w:val="2"/>
            <w:vMerge w:val="continue"/>
            <w:vAlign w:val="center"/>
          </w:tcPr>
          <w:p w14:paraId="27140040">
            <w:pPr>
              <w:jc w:val="center"/>
              <w:rPr>
                <w:rFonts w:ascii="Times New Roman" w:hAnsi="Times New Roman" w:eastAsia="宋体" w:cs="Times New Roman"/>
                <w:b/>
                <w:bCs/>
                <w:color w:val="auto"/>
                <w:sz w:val="22"/>
                <w:szCs w:val="24"/>
              </w:rPr>
            </w:pPr>
          </w:p>
        </w:tc>
        <w:tc>
          <w:tcPr>
            <w:tcW w:w="906" w:type="pct"/>
            <w:vAlign w:val="center"/>
          </w:tcPr>
          <w:p w14:paraId="455A67B9">
            <w:pPr>
              <w:jc w:val="center"/>
              <w:rPr>
                <w:rFonts w:ascii="Times New Roman" w:hAnsi="Times New Roman" w:eastAsia="宋体" w:cs="Times New Roman"/>
                <w:b/>
                <w:bCs/>
                <w:color w:val="auto"/>
                <w:sz w:val="22"/>
                <w:szCs w:val="24"/>
              </w:rPr>
            </w:pPr>
            <w:r>
              <w:rPr>
                <w:rFonts w:hint="eastAsia" w:ascii="Times New Roman" w:hAnsi="Times New Roman" w:eastAsia="宋体" w:cs="Times New Roman"/>
                <w:b/>
                <w:bCs/>
                <w:color w:val="auto"/>
                <w:sz w:val="22"/>
                <w:szCs w:val="24"/>
              </w:rPr>
              <w:t>经度</w:t>
            </w:r>
          </w:p>
        </w:tc>
        <w:tc>
          <w:tcPr>
            <w:tcW w:w="868" w:type="pct"/>
            <w:vAlign w:val="center"/>
          </w:tcPr>
          <w:p w14:paraId="384A0132">
            <w:pPr>
              <w:jc w:val="center"/>
              <w:rPr>
                <w:rFonts w:ascii="Times New Roman" w:hAnsi="Times New Roman" w:eastAsia="宋体" w:cs="Times New Roman"/>
                <w:b/>
                <w:bCs/>
                <w:color w:val="auto"/>
                <w:sz w:val="22"/>
                <w:szCs w:val="24"/>
              </w:rPr>
            </w:pPr>
            <w:r>
              <w:rPr>
                <w:rFonts w:hint="eastAsia" w:ascii="Times New Roman" w:hAnsi="Times New Roman" w:eastAsia="宋体" w:cs="Times New Roman"/>
                <w:b/>
                <w:bCs/>
                <w:color w:val="auto"/>
                <w:sz w:val="22"/>
                <w:szCs w:val="24"/>
              </w:rPr>
              <w:t>纬度</w:t>
            </w:r>
          </w:p>
        </w:tc>
        <w:tc>
          <w:tcPr>
            <w:tcW w:w="292" w:type="pct"/>
            <w:vMerge w:val="continue"/>
            <w:vAlign w:val="center"/>
          </w:tcPr>
          <w:p w14:paraId="0A1C9E9A">
            <w:pPr>
              <w:jc w:val="center"/>
              <w:rPr>
                <w:rFonts w:ascii="Times New Roman" w:hAnsi="Times New Roman" w:eastAsia="宋体" w:cs="Times New Roman"/>
                <w:color w:val="auto"/>
                <w:sz w:val="22"/>
                <w:szCs w:val="24"/>
              </w:rPr>
            </w:pPr>
          </w:p>
        </w:tc>
        <w:tc>
          <w:tcPr>
            <w:tcW w:w="268" w:type="pct"/>
            <w:vMerge w:val="continue"/>
            <w:vAlign w:val="center"/>
          </w:tcPr>
          <w:p w14:paraId="06FD3FB5">
            <w:pPr>
              <w:jc w:val="center"/>
              <w:rPr>
                <w:rFonts w:ascii="Times New Roman" w:hAnsi="Times New Roman" w:eastAsia="宋体" w:cs="Times New Roman"/>
                <w:color w:val="auto"/>
                <w:sz w:val="22"/>
                <w:szCs w:val="24"/>
              </w:rPr>
            </w:pPr>
          </w:p>
        </w:tc>
        <w:tc>
          <w:tcPr>
            <w:tcW w:w="528" w:type="pct"/>
            <w:vMerge w:val="continue"/>
            <w:vAlign w:val="center"/>
          </w:tcPr>
          <w:p w14:paraId="3C81BA5A">
            <w:pPr>
              <w:jc w:val="center"/>
              <w:rPr>
                <w:rFonts w:ascii="Times New Roman" w:hAnsi="Times New Roman" w:eastAsia="宋体" w:cs="Times New Roman"/>
                <w:color w:val="auto"/>
                <w:sz w:val="22"/>
                <w:szCs w:val="24"/>
              </w:rPr>
            </w:pPr>
          </w:p>
        </w:tc>
        <w:tc>
          <w:tcPr>
            <w:tcW w:w="279" w:type="pct"/>
            <w:vMerge w:val="continue"/>
            <w:vAlign w:val="center"/>
          </w:tcPr>
          <w:p w14:paraId="57D6DFFE">
            <w:pPr>
              <w:jc w:val="center"/>
              <w:rPr>
                <w:rFonts w:ascii="Times New Roman" w:hAnsi="Times New Roman" w:eastAsia="宋体" w:cs="Times New Roman"/>
                <w:color w:val="auto"/>
                <w:sz w:val="22"/>
                <w:szCs w:val="24"/>
              </w:rPr>
            </w:pPr>
          </w:p>
        </w:tc>
        <w:tc>
          <w:tcPr>
            <w:tcW w:w="397" w:type="pct"/>
            <w:vMerge w:val="continue"/>
            <w:vAlign w:val="center"/>
          </w:tcPr>
          <w:p w14:paraId="695BF02F">
            <w:pPr>
              <w:jc w:val="center"/>
              <w:rPr>
                <w:rFonts w:ascii="Times New Roman" w:hAnsi="Times New Roman" w:eastAsia="宋体" w:cs="Times New Roman"/>
                <w:color w:val="auto"/>
                <w:sz w:val="22"/>
                <w:szCs w:val="24"/>
              </w:rPr>
            </w:pPr>
          </w:p>
        </w:tc>
        <w:tc>
          <w:tcPr>
            <w:tcW w:w="349" w:type="pct"/>
            <w:vMerge w:val="continue"/>
            <w:vAlign w:val="center"/>
          </w:tcPr>
          <w:p w14:paraId="071A1DE9">
            <w:pPr>
              <w:jc w:val="center"/>
              <w:rPr>
                <w:rFonts w:ascii="Times New Roman" w:hAnsi="Times New Roman" w:eastAsia="宋体" w:cs="Times New Roman"/>
                <w:color w:val="auto"/>
                <w:sz w:val="22"/>
                <w:szCs w:val="24"/>
              </w:rPr>
            </w:pPr>
          </w:p>
        </w:tc>
      </w:tr>
      <w:tr w14:paraId="30BF0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4" w:type="pct"/>
            <w:vAlign w:val="center"/>
          </w:tcPr>
          <w:p w14:paraId="08575D7C">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1</w:t>
            </w:r>
          </w:p>
        </w:tc>
        <w:tc>
          <w:tcPr>
            <w:tcW w:w="299" w:type="pct"/>
            <w:vMerge w:val="restart"/>
            <w:vAlign w:val="center"/>
          </w:tcPr>
          <w:p w14:paraId="1AAA0C81">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团湖社区</w:t>
            </w:r>
          </w:p>
        </w:tc>
        <w:tc>
          <w:tcPr>
            <w:tcW w:w="547" w:type="pct"/>
            <w:vAlign w:val="center"/>
          </w:tcPr>
          <w:p w14:paraId="08AE7C05">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郑家湾</w:t>
            </w:r>
          </w:p>
        </w:tc>
        <w:tc>
          <w:tcPr>
            <w:tcW w:w="906" w:type="pct"/>
            <w:vAlign w:val="center"/>
          </w:tcPr>
          <w:p w14:paraId="28D88669">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111.8528512972</w:t>
            </w:r>
          </w:p>
        </w:tc>
        <w:tc>
          <w:tcPr>
            <w:tcW w:w="868" w:type="pct"/>
            <w:vAlign w:val="center"/>
          </w:tcPr>
          <w:p w14:paraId="15A945A3">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29.5805745639</w:t>
            </w:r>
          </w:p>
        </w:tc>
        <w:tc>
          <w:tcPr>
            <w:tcW w:w="292" w:type="pct"/>
            <w:vAlign w:val="center"/>
          </w:tcPr>
          <w:p w14:paraId="19E12960">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居民区</w:t>
            </w:r>
          </w:p>
        </w:tc>
        <w:tc>
          <w:tcPr>
            <w:tcW w:w="268" w:type="pct"/>
            <w:vAlign w:val="center"/>
          </w:tcPr>
          <w:p w14:paraId="6DFD1353">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人群</w:t>
            </w:r>
          </w:p>
        </w:tc>
        <w:tc>
          <w:tcPr>
            <w:tcW w:w="528" w:type="pct"/>
            <w:vMerge w:val="restart"/>
            <w:vAlign w:val="center"/>
          </w:tcPr>
          <w:p w14:paraId="20DB53FC">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居住，400户，约1200人</w:t>
            </w:r>
          </w:p>
        </w:tc>
        <w:tc>
          <w:tcPr>
            <w:tcW w:w="279" w:type="pct"/>
            <w:vMerge w:val="restart"/>
            <w:vAlign w:val="center"/>
          </w:tcPr>
          <w:p w14:paraId="1931B5B4">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二类区</w:t>
            </w:r>
          </w:p>
        </w:tc>
        <w:tc>
          <w:tcPr>
            <w:tcW w:w="397" w:type="pct"/>
            <w:vAlign w:val="center"/>
          </w:tcPr>
          <w:p w14:paraId="231474FD">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NW</w:t>
            </w:r>
          </w:p>
        </w:tc>
        <w:tc>
          <w:tcPr>
            <w:tcW w:w="349" w:type="pct"/>
            <w:vAlign w:val="center"/>
          </w:tcPr>
          <w:p w14:paraId="62D8C308">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2809</w:t>
            </w:r>
          </w:p>
        </w:tc>
      </w:tr>
      <w:tr w14:paraId="0BF9F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4" w:type="pct"/>
            <w:vAlign w:val="center"/>
          </w:tcPr>
          <w:p w14:paraId="2AB49433">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2</w:t>
            </w:r>
          </w:p>
        </w:tc>
        <w:tc>
          <w:tcPr>
            <w:tcW w:w="299" w:type="pct"/>
            <w:vMerge w:val="continue"/>
            <w:vAlign w:val="center"/>
          </w:tcPr>
          <w:p w14:paraId="6CA63EFE">
            <w:pPr>
              <w:jc w:val="center"/>
              <w:rPr>
                <w:rFonts w:ascii="Times New Roman" w:hAnsi="Times New Roman" w:eastAsia="宋体" w:cs="Times New Roman"/>
                <w:color w:val="auto"/>
                <w:sz w:val="22"/>
                <w:szCs w:val="24"/>
              </w:rPr>
            </w:pPr>
          </w:p>
        </w:tc>
        <w:tc>
          <w:tcPr>
            <w:tcW w:w="547" w:type="pct"/>
            <w:vAlign w:val="center"/>
          </w:tcPr>
          <w:p w14:paraId="40CB87A4">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团湖安置区</w:t>
            </w:r>
          </w:p>
        </w:tc>
        <w:tc>
          <w:tcPr>
            <w:tcW w:w="906" w:type="pct"/>
            <w:vAlign w:val="center"/>
          </w:tcPr>
          <w:p w14:paraId="5B1F71AC">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111.85099125</w:t>
            </w:r>
          </w:p>
        </w:tc>
        <w:tc>
          <w:tcPr>
            <w:tcW w:w="868" w:type="pct"/>
            <w:vAlign w:val="center"/>
          </w:tcPr>
          <w:p w14:paraId="6058BE2E">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29.56897803</w:t>
            </w:r>
          </w:p>
        </w:tc>
        <w:tc>
          <w:tcPr>
            <w:tcW w:w="292" w:type="pct"/>
            <w:vAlign w:val="center"/>
          </w:tcPr>
          <w:p w14:paraId="4784DDBA">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居民区</w:t>
            </w:r>
          </w:p>
        </w:tc>
        <w:tc>
          <w:tcPr>
            <w:tcW w:w="268" w:type="pct"/>
            <w:vAlign w:val="center"/>
          </w:tcPr>
          <w:p w14:paraId="4F3AFB71">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人群</w:t>
            </w:r>
          </w:p>
        </w:tc>
        <w:tc>
          <w:tcPr>
            <w:tcW w:w="528" w:type="pct"/>
            <w:vMerge w:val="continue"/>
            <w:vAlign w:val="center"/>
          </w:tcPr>
          <w:p w14:paraId="24CCF3D8">
            <w:pPr>
              <w:jc w:val="center"/>
              <w:rPr>
                <w:rFonts w:ascii="Times New Roman" w:hAnsi="Times New Roman" w:eastAsia="宋体" w:cs="Times New Roman"/>
                <w:color w:val="auto"/>
                <w:sz w:val="22"/>
                <w:szCs w:val="24"/>
              </w:rPr>
            </w:pPr>
          </w:p>
        </w:tc>
        <w:tc>
          <w:tcPr>
            <w:tcW w:w="279" w:type="pct"/>
            <w:vMerge w:val="continue"/>
            <w:vAlign w:val="center"/>
          </w:tcPr>
          <w:p w14:paraId="65B37E7B">
            <w:pPr>
              <w:jc w:val="center"/>
              <w:rPr>
                <w:rFonts w:ascii="Times New Roman" w:hAnsi="Times New Roman" w:eastAsia="宋体" w:cs="Times New Roman"/>
                <w:color w:val="auto"/>
                <w:sz w:val="22"/>
                <w:szCs w:val="24"/>
              </w:rPr>
            </w:pPr>
          </w:p>
        </w:tc>
        <w:tc>
          <w:tcPr>
            <w:tcW w:w="397" w:type="pct"/>
            <w:vAlign w:val="center"/>
          </w:tcPr>
          <w:p w14:paraId="32082CCB">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NW</w:t>
            </w:r>
          </w:p>
        </w:tc>
        <w:tc>
          <w:tcPr>
            <w:tcW w:w="349" w:type="pct"/>
            <w:vAlign w:val="center"/>
          </w:tcPr>
          <w:p w14:paraId="7EAB481A">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2221</w:t>
            </w:r>
          </w:p>
        </w:tc>
      </w:tr>
      <w:tr w14:paraId="4DF7A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4" w:type="pct"/>
            <w:vAlign w:val="center"/>
          </w:tcPr>
          <w:p w14:paraId="108EC637">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3</w:t>
            </w:r>
          </w:p>
        </w:tc>
        <w:tc>
          <w:tcPr>
            <w:tcW w:w="299" w:type="pct"/>
            <w:vMerge w:val="continue"/>
            <w:vAlign w:val="center"/>
          </w:tcPr>
          <w:p w14:paraId="5056D50A">
            <w:pPr>
              <w:jc w:val="center"/>
              <w:rPr>
                <w:rFonts w:ascii="Times New Roman" w:hAnsi="Times New Roman" w:eastAsia="宋体" w:cs="Times New Roman"/>
                <w:color w:val="auto"/>
                <w:sz w:val="22"/>
                <w:szCs w:val="24"/>
              </w:rPr>
            </w:pPr>
          </w:p>
        </w:tc>
        <w:tc>
          <w:tcPr>
            <w:tcW w:w="547" w:type="pct"/>
            <w:vAlign w:val="center"/>
          </w:tcPr>
          <w:p w14:paraId="2E37CF27">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团湖公寓</w:t>
            </w:r>
          </w:p>
        </w:tc>
        <w:tc>
          <w:tcPr>
            <w:tcW w:w="906" w:type="pct"/>
            <w:vAlign w:val="center"/>
          </w:tcPr>
          <w:p w14:paraId="2E12E1F0">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111.84961796</w:t>
            </w:r>
          </w:p>
        </w:tc>
        <w:tc>
          <w:tcPr>
            <w:tcW w:w="868" w:type="pct"/>
            <w:vAlign w:val="center"/>
          </w:tcPr>
          <w:p w14:paraId="257274B4">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29.56763428</w:t>
            </w:r>
          </w:p>
        </w:tc>
        <w:tc>
          <w:tcPr>
            <w:tcW w:w="292" w:type="pct"/>
            <w:vAlign w:val="center"/>
          </w:tcPr>
          <w:p w14:paraId="32F3DFEE">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居民区</w:t>
            </w:r>
          </w:p>
        </w:tc>
        <w:tc>
          <w:tcPr>
            <w:tcW w:w="268" w:type="pct"/>
            <w:vAlign w:val="center"/>
          </w:tcPr>
          <w:p w14:paraId="50E26C53">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人群</w:t>
            </w:r>
          </w:p>
        </w:tc>
        <w:tc>
          <w:tcPr>
            <w:tcW w:w="528" w:type="pct"/>
            <w:vMerge w:val="continue"/>
            <w:vAlign w:val="center"/>
          </w:tcPr>
          <w:p w14:paraId="19629534">
            <w:pPr>
              <w:jc w:val="center"/>
              <w:rPr>
                <w:rFonts w:ascii="Times New Roman" w:hAnsi="Times New Roman" w:eastAsia="宋体" w:cs="Times New Roman"/>
                <w:color w:val="auto"/>
                <w:sz w:val="22"/>
                <w:szCs w:val="24"/>
              </w:rPr>
            </w:pPr>
          </w:p>
        </w:tc>
        <w:tc>
          <w:tcPr>
            <w:tcW w:w="279" w:type="pct"/>
            <w:vMerge w:val="continue"/>
            <w:vAlign w:val="center"/>
          </w:tcPr>
          <w:p w14:paraId="7602B8B0">
            <w:pPr>
              <w:jc w:val="center"/>
              <w:rPr>
                <w:rFonts w:ascii="Times New Roman" w:hAnsi="Times New Roman" w:eastAsia="宋体" w:cs="Times New Roman"/>
                <w:color w:val="auto"/>
                <w:sz w:val="22"/>
                <w:szCs w:val="24"/>
              </w:rPr>
            </w:pPr>
          </w:p>
        </w:tc>
        <w:tc>
          <w:tcPr>
            <w:tcW w:w="397" w:type="pct"/>
            <w:vAlign w:val="center"/>
          </w:tcPr>
          <w:p w14:paraId="61743F1B">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NW</w:t>
            </w:r>
          </w:p>
        </w:tc>
        <w:tc>
          <w:tcPr>
            <w:tcW w:w="349" w:type="pct"/>
            <w:vAlign w:val="center"/>
          </w:tcPr>
          <w:p w14:paraId="43A5E2B9">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2303</w:t>
            </w:r>
          </w:p>
        </w:tc>
      </w:tr>
      <w:tr w14:paraId="5FEC4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4" w:type="pct"/>
            <w:vAlign w:val="center"/>
          </w:tcPr>
          <w:p w14:paraId="31B39729">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4</w:t>
            </w:r>
          </w:p>
        </w:tc>
        <w:tc>
          <w:tcPr>
            <w:tcW w:w="299" w:type="pct"/>
            <w:vMerge w:val="continue"/>
            <w:vAlign w:val="center"/>
          </w:tcPr>
          <w:p w14:paraId="51BADD67">
            <w:pPr>
              <w:jc w:val="center"/>
              <w:rPr>
                <w:rFonts w:ascii="Times New Roman" w:hAnsi="Times New Roman" w:eastAsia="宋体" w:cs="Times New Roman"/>
                <w:color w:val="auto"/>
                <w:sz w:val="22"/>
                <w:szCs w:val="24"/>
              </w:rPr>
            </w:pPr>
          </w:p>
        </w:tc>
        <w:tc>
          <w:tcPr>
            <w:tcW w:w="547" w:type="pct"/>
            <w:vAlign w:val="center"/>
          </w:tcPr>
          <w:p w14:paraId="08CCACA3">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杉堰小区</w:t>
            </w:r>
          </w:p>
        </w:tc>
        <w:tc>
          <w:tcPr>
            <w:tcW w:w="906" w:type="pct"/>
            <w:vAlign w:val="center"/>
          </w:tcPr>
          <w:p w14:paraId="2F079221">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111.85330868</w:t>
            </w:r>
          </w:p>
        </w:tc>
        <w:tc>
          <w:tcPr>
            <w:tcW w:w="868" w:type="pct"/>
            <w:vAlign w:val="center"/>
          </w:tcPr>
          <w:p w14:paraId="507DB635">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29.56662646</w:t>
            </w:r>
          </w:p>
        </w:tc>
        <w:tc>
          <w:tcPr>
            <w:tcW w:w="292" w:type="pct"/>
            <w:vAlign w:val="center"/>
          </w:tcPr>
          <w:p w14:paraId="01C3EE44">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居民区</w:t>
            </w:r>
          </w:p>
        </w:tc>
        <w:tc>
          <w:tcPr>
            <w:tcW w:w="268" w:type="pct"/>
            <w:vAlign w:val="center"/>
          </w:tcPr>
          <w:p w14:paraId="54986677">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人群</w:t>
            </w:r>
          </w:p>
        </w:tc>
        <w:tc>
          <w:tcPr>
            <w:tcW w:w="528" w:type="pct"/>
            <w:vMerge w:val="continue"/>
            <w:vAlign w:val="center"/>
          </w:tcPr>
          <w:p w14:paraId="759FD32C">
            <w:pPr>
              <w:jc w:val="center"/>
              <w:rPr>
                <w:rFonts w:ascii="Times New Roman" w:hAnsi="Times New Roman" w:eastAsia="宋体" w:cs="Times New Roman"/>
                <w:color w:val="auto"/>
                <w:sz w:val="22"/>
                <w:szCs w:val="24"/>
              </w:rPr>
            </w:pPr>
          </w:p>
        </w:tc>
        <w:tc>
          <w:tcPr>
            <w:tcW w:w="279" w:type="pct"/>
            <w:vMerge w:val="continue"/>
            <w:vAlign w:val="center"/>
          </w:tcPr>
          <w:p w14:paraId="0F753E11">
            <w:pPr>
              <w:jc w:val="center"/>
              <w:rPr>
                <w:rFonts w:ascii="Times New Roman" w:hAnsi="Times New Roman" w:eastAsia="宋体" w:cs="Times New Roman"/>
                <w:color w:val="auto"/>
                <w:sz w:val="22"/>
                <w:szCs w:val="24"/>
              </w:rPr>
            </w:pPr>
          </w:p>
        </w:tc>
        <w:tc>
          <w:tcPr>
            <w:tcW w:w="397" w:type="pct"/>
            <w:vAlign w:val="center"/>
          </w:tcPr>
          <w:p w14:paraId="1FDAC80D">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NW</w:t>
            </w:r>
          </w:p>
        </w:tc>
        <w:tc>
          <w:tcPr>
            <w:tcW w:w="349" w:type="pct"/>
            <w:vAlign w:val="center"/>
          </w:tcPr>
          <w:p w14:paraId="27396534">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1957</w:t>
            </w:r>
          </w:p>
        </w:tc>
      </w:tr>
      <w:tr w14:paraId="019C8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4" w:type="pct"/>
            <w:vAlign w:val="center"/>
          </w:tcPr>
          <w:p w14:paraId="060C965B">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5</w:t>
            </w:r>
          </w:p>
        </w:tc>
        <w:tc>
          <w:tcPr>
            <w:tcW w:w="299" w:type="pct"/>
            <w:vMerge w:val="restart"/>
            <w:vAlign w:val="center"/>
          </w:tcPr>
          <w:p w14:paraId="2BF0C8D9">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青山峪村</w:t>
            </w:r>
          </w:p>
        </w:tc>
        <w:tc>
          <w:tcPr>
            <w:tcW w:w="547" w:type="pct"/>
            <w:vAlign w:val="center"/>
          </w:tcPr>
          <w:p w14:paraId="4F55F19E">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牛家老屋</w:t>
            </w:r>
          </w:p>
        </w:tc>
        <w:tc>
          <w:tcPr>
            <w:tcW w:w="906" w:type="pct"/>
            <w:vAlign w:val="center"/>
          </w:tcPr>
          <w:p w14:paraId="2F230A80">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111.84820712</w:t>
            </w:r>
          </w:p>
        </w:tc>
        <w:tc>
          <w:tcPr>
            <w:tcW w:w="868" w:type="pct"/>
            <w:vAlign w:val="center"/>
          </w:tcPr>
          <w:p w14:paraId="6E568AA4">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29.54872657</w:t>
            </w:r>
          </w:p>
        </w:tc>
        <w:tc>
          <w:tcPr>
            <w:tcW w:w="292" w:type="pct"/>
            <w:vAlign w:val="center"/>
          </w:tcPr>
          <w:p w14:paraId="0911B3FC">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散居村庄</w:t>
            </w:r>
          </w:p>
        </w:tc>
        <w:tc>
          <w:tcPr>
            <w:tcW w:w="268" w:type="pct"/>
            <w:vAlign w:val="center"/>
          </w:tcPr>
          <w:p w14:paraId="07328E83">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人群</w:t>
            </w:r>
          </w:p>
        </w:tc>
        <w:tc>
          <w:tcPr>
            <w:tcW w:w="528" w:type="pct"/>
            <w:vMerge w:val="restart"/>
            <w:vAlign w:val="center"/>
          </w:tcPr>
          <w:p w14:paraId="3991E167">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居住，200户，约600人</w:t>
            </w:r>
          </w:p>
        </w:tc>
        <w:tc>
          <w:tcPr>
            <w:tcW w:w="279" w:type="pct"/>
            <w:vMerge w:val="restart"/>
            <w:vAlign w:val="center"/>
          </w:tcPr>
          <w:p w14:paraId="2C80ED88">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一类区</w:t>
            </w:r>
          </w:p>
        </w:tc>
        <w:tc>
          <w:tcPr>
            <w:tcW w:w="397" w:type="pct"/>
            <w:vAlign w:val="center"/>
          </w:tcPr>
          <w:p w14:paraId="69254E53">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SW</w:t>
            </w:r>
          </w:p>
        </w:tc>
        <w:tc>
          <w:tcPr>
            <w:tcW w:w="349" w:type="pct"/>
            <w:vAlign w:val="center"/>
          </w:tcPr>
          <w:p w14:paraId="573AB0C6">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2726</w:t>
            </w:r>
          </w:p>
        </w:tc>
      </w:tr>
      <w:tr w14:paraId="7123C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4" w:type="pct"/>
            <w:vAlign w:val="center"/>
          </w:tcPr>
          <w:p w14:paraId="6D1958CF">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6</w:t>
            </w:r>
          </w:p>
        </w:tc>
        <w:tc>
          <w:tcPr>
            <w:tcW w:w="299" w:type="pct"/>
            <w:vMerge w:val="continue"/>
            <w:vAlign w:val="center"/>
          </w:tcPr>
          <w:p w14:paraId="0070F8FC">
            <w:pPr>
              <w:jc w:val="center"/>
              <w:rPr>
                <w:rFonts w:ascii="Times New Roman" w:hAnsi="Times New Roman" w:eastAsia="宋体" w:cs="Times New Roman"/>
                <w:color w:val="auto"/>
                <w:sz w:val="22"/>
                <w:szCs w:val="24"/>
              </w:rPr>
            </w:pPr>
          </w:p>
        </w:tc>
        <w:tc>
          <w:tcPr>
            <w:tcW w:w="547" w:type="pct"/>
            <w:vAlign w:val="center"/>
          </w:tcPr>
          <w:p w14:paraId="090C9D43">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岩板垱</w:t>
            </w:r>
          </w:p>
        </w:tc>
        <w:tc>
          <w:tcPr>
            <w:tcW w:w="906" w:type="pct"/>
            <w:vAlign w:val="center"/>
          </w:tcPr>
          <w:p w14:paraId="43F9D248">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111.84912443</w:t>
            </w:r>
          </w:p>
        </w:tc>
        <w:tc>
          <w:tcPr>
            <w:tcW w:w="868" w:type="pct"/>
            <w:vAlign w:val="center"/>
          </w:tcPr>
          <w:p w14:paraId="6204E94F">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29.54577717</w:t>
            </w:r>
          </w:p>
        </w:tc>
        <w:tc>
          <w:tcPr>
            <w:tcW w:w="292" w:type="pct"/>
            <w:vAlign w:val="center"/>
          </w:tcPr>
          <w:p w14:paraId="7177796D">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散居村庄</w:t>
            </w:r>
          </w:p>
        </w:tc>
        <w:tc>
          <w:tcPr>
            <w:tcW w:w="268" w:type="pct"/>
            <w:vAlign w:val="center"/>
          </w:tcPr>
          <w:p w14:paraId="0F7A42DC">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人群</w:t>
            </w:r>
          </w:p>
        </w:tc>
        <w:tc>
          <w:tcPr>
            <w:tcW w:w="528" w:type="pct"/>
            <w:vMerge w:val="continue"/>
            <w:vAlign w:val="center"/>
          </w:tcPr>
          <w:p w14:paraId="6063B9ED">
            <w:pPr>
              <w:jc w:val="center"/>
              <w:rPr>
                <w:rFonts w:ascii="Times New Roman" w:hAnsi="Times New Roman" w:eastAsia="宋体" w:cs="Times New Roman"/>
                <w:color w:val="auto"/>
                <w:sz w:val="22"/>
                <w:szCs w:val="24"/>
              </w:rPr>
            </w:pPr>
          </w:p>
        </w:tc>
        <w:tc>
          <w:tcPr>
            <w:tcW w:w="279" w:type="pct"/>
            <w:vMerge w:val="continue"/>
            <w:vAlign w:val="center"/>
          </w:tcPr>
          <w:p w14:paraId="6CE0A84A">
            <w:pPr>
              <w:jc w:val="center"/>
              <w:rPr>
                <w:rFonts w:ascii="Times New Roman" w:hAnsi="Times New Roman" w:eastAsia="宋体" w:cs="Times New Roman"/>
                <w:color w:val="auto"/>
                <w:sz w:val="22"/>
                <w:szCs w:val="24"/>
              </w:rPr>
            </w:pPr>
          </w:p>
        </w:tc>
        <w:tc>
          <w:tcPr>
            <w:tcW w:w="397" w:type="pct"/>
            <w:vAlign w:val="center"/>
          </w:tcPr>
          <w:p w14:paraId="01A50E01">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SW</w:t>
            </w:r>
          </w:p>
        </w:tc>
        <w:tc>
          <w:tcPr>
            <w:tcW w:w="349" w:type="pct"/>
            <w:vAlign w:val="center"/>
          </w:tcPr>
          <w:p w14:paraId="3416FE3A">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2833</w:t>
            </w:r>
          </w:p>
        </w:tc>
      </w:tr>
      <w:tr w14:paraId="4E345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4" w:type="pct"/>
            <w:vAlign w:val="center"/>
          </w:tcPr>
          <w:p w14:paraId="04210E32">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7</w:t>
            </w:r>
          </w:p>
        </w:tc>
        <w:tc>
          <w:tcPr>
            <w:tcW w:w="299" w:type="pct"/>
            <w:vMerge w:val="continue"/>
            <w:vAlign w:val="center"/>
          </w:tcPr>
          <w:p w14:paraId="032A45FF">
            <w:pPr>
              <w:jc w:val="center"/>
              <w:rPr>
                <w:rFonts w:ascii="Times New Roman" w:hAnsi="Times New Roman" w:eastAsia="宋体" w:cs="Times New Roman"/>
                <w:color w:val="auto"/>
                <w:sz w:val="22"/>
                <w:szCs w:val="24"/>
              </w:rPr>
            </w:pPr>
          </w:p>
        </w:tc>
        <w:tc>
          <w:tcPr>
            <w:tcW w:w="547" w:type="pct"/>
            <w:vAlign w:val="center"/>
          </w:tcPr>
          <w:p w14:paraId="07CBF319">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李家屋场</w:t>
            </w:r>
          </w:p>
        </w:tc>
        <w:tc>
          <w:tcPr>
            <w:tcW w:w="906" w:type="pct"/>
            <w:vAlign w:val="center"/>
          </w:tcPr>
          <w:p w14:paraId="3639C70C">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111.86103344</w:t>
            </w:r>
          </w:p>
        </w:tc>
        <w:tc>
          <w:tcPr>
            <w:tcW w:w="868" w:type="pct"/>
            <w:vAlign w:val="center"/>
          </w:tcPr>
          <w:p w14:paraId="6195F456">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29.54613185</w:t>
            </w:r>
          </w:p>
        </w:tc>
        <w:tc>
          <w:tcPr>
            <w:tcW w:w="292" w:type="pct"/>
            <w:vAlign w:val="center"/>
          </w:tcPr>
          <w:p w14:paraId="50CB61C1">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散居村庄</w:t>
            </w:r>
          </w:p>
        </w:tc>
        <w:tc>
          <w:tcPr>
            <w:tcW w:w="268" w:type="pct"/>
            <w:vAlign w:val="center"/>
          </w:tcPr>
          <w:p w14:paraId="25721324">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人群</w:t>
            </w:r>
          </w:p>
        </w:tc>
        <w:tc>
          <w:tcPr>
            <w:tcW w:w="528" w:type="pct"/>
            <w:vMerge w:val="continue"/>
            <w:vAlign w:val="center"/>
          </w:tcPr>
          <w:p w14:paraId="24550061">
            <w:pPr>
              <w:jc w:val="center"/>
              <w:rPr>
                <w:rFonts w:ascii="Times New Roman" w:hAnsi="Times New Roman" w:eastAsia="宋体" w:cs="Times New Roman"/>
                <w:color w:val="auto"/>
                <w:sz w:val="22"/>
                <w:szCs w:val="24"/>
              </w:rPr>
            </w:pPr>
          </w:p>
        </w:tc>
        <w:tc>
          <w:tcPr>
            <w:tcW w:w="279" w:type="pct"/>
            <w:vMerge w:val="continue"/>
            <w:vAlign w:val="center"/>
          </w:tcPr>
          <w:p w14:paraId="6BFC5AD5">
            <w:pPr>
              <w:jc w:val="center"/>
              <w:rPr>
                <w:rFonts w:ascii="Times New Roman" w:hAnsi="Times New Roman" w:eastAsia="宋体" w:cs="Times New Roman"/>
                <w:color w:val="auto"/>
                <w:sz w:val="22"/>
                <w:szCs w:val="24"/>
              </w:rPr>
            </w:pPr>
          </w:p>
        </w:tc>
        <w:tc>
          <w:tcPr>
            <w:tcW w:w="397" w:type="pct"/>
            <w:vAlign w:val="center"/>
          </w:tcPr>
          <w:p w14:paraId="4B35962A">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SW</w:t>
            </w:r>
          </w:p>
        </w:tc>
        <w:tc>
          <w:tcPr>
            <w:tcW w:w="349" w:type="pct"/>
            <w:vAlign w:val="center"/>
          </w:tcPr>
          <w:p w14:paraId="61CE9B9A">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1964</w:t>
            </w:r>
          </w:p>
        </w:tc>
      </w:tr>
      <w:tr w14:paraId="2B5F2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4" w:type="pct"/>
            <w:vAlign w:val="center"/>
          </w:tcPr>
          <w:p w14:paraId="48A1B370">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8</w:t>
            </w:r>
          </w:p>
        </w:tc>
        <w:tc>
          <w:tcPr>
            <w:tcW w:w="299" w:type="pct"/>
            <w:vMerge w:val="restart"/>
            <w:vAlign w:val="center"/>
          </w:tcPr>
          <w:p w14:paraId="7E6D9ECF">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万寿宫社区</w:t>
            </w:r>
          </w:p>
        </w:tc>
        <w:tc>
          <w:tcPr>
            <w:tcW w:w="547" w:type="pct"/>
            <w:vAlign w:val="center"/>
          </w:tcPr>
          <w:p w14:paraId="4E726435">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杉堰安置区</w:t>
            </w:r>
          </w:p>
        </w:tc>
        <w:tc>
          <w:tcPr>
            <w:tcW w:w="906" w:type="pct"/>
            <w:vAlign w:val="center"/>
          </w:tcPr>
          <w:p w14:paraId="157B2C95">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111.87165499</w:t>
            </w:r>
          </w:p>
        </w:tc>
        <w:tc>
          <w:tcPr>
            <w:tcW w:w="868" w:type="pct"/>
            <w:vAlign w:val="center"/>
          </w:tcPr>
          <w:p w14:paraId="316A161D">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29.55802222</w:t>
            </w:r>
          </w:p>
        </w:tc>
        <w:tc>
          <w:tcPr>
            <w:tcW w:w="292" w:type="pct"/>
            <w:vAlign w:val="center"/>
          </w:tcPr>
          <w:p w14:paraId="4DDF2309">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居民区</w:t>
            </w:r>
          </w:p>
        </w:tc>
        <w:tc>
          <w:tcPr>
            <w:tcW w:w="268" w:type="pct"/>
            <w:vAlign w:val="center"/>
          </w:tcPr>
          <w:p w14:paraId="044FFB92">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人群</w:t>
            </w:r>
          </w:p>
        </w:tc>
        <w:tc>
          <w:tcPr>
            <w:tcW w:w="528" w:type="pct"/>
            <w:vAlign w:val="center"/>
          </w:tcPr>
          <w:p w14:paraId="0B72C7B7">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居住，142户，约426人</w:t>
            </w:r>
          </w:p>
        </w:tc>
        <w:tc>
          <w:tcPr>
            <w:tcW w:w="279" w:type="pct"/>
            <w:vMerge w:val="continue"/>
            <w:vAlign w:val="center"/>
          </w:tcPr>
          <w:p w14:paraId="4D646962">
            <w:pPr>
              <w:jc w:val="center"/>
              <w:rPr>
                <w:rFonts w:ascii="Times New Roman" w:hAnsi="Times New Roman" w:eastAsia="宋体" w:cs="Times New Roman"/>
                <w:color w:val="auto"/>
                <w:sz w:val="22"/>
                <w:szCs w:val="24"/>
              </w:rPr>
            </w:pPr>
          </w:p>
        </w:tc>
        <w:tc>
          <w:tcPr>
            <w:tcW w:w="397" w:type="pct"/>
            <w:vAlign w:val="center"/>
          </w:tcPr>
          <w:p w14:paraId="202BAD65">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SW</w:t>
            </w:r>
          </w:p>
        </w:tc>
        <w:tc>
          <w:tcPr>
            <w:tcW w:w="349" w:type="pct"/>
            <w:vAlign w:val="center"/>
          </w:tcPr>
          <w:p w14:paraId="46A7B888">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294</w:t>
            </w:r>
          </w:p>
        </w:tc>
      </w:tr>
      <w:tr w14:paraId="3F761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4" w:type="pct"/>
            <w:vAlign w:val="center"/>
          </w:tcPr>
          <w:p w14:paraId="7C4688F7">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9</w:t>
            </w:r>
          </w:p>
        </w:tc>
        <w:tc>
          <w:tcPr>
            <w:tcW w:w="299" w:type="pct"/>
            <w:vMerge w:val="continue"/>
            <w:vAlign w:val="center"/>
          </w:tcPr>
          <w:p w14:paraId="390168C9">
            <w:pPr>
              <w:jc w:val="center"/>
              <w:rPr>
                <w:rFonts w:ascii="Times New Roman" w:hAnsi="Times New Roman" w:eastAsia="宋体" w:cs="Times New Roman"/>
                <w:color w:val="auto"/>
                <w:sz w:val="22"/>
                <w:szCs w:val="24"/>
              </w:rPr>
            </w:pPr>
          </w:p>
        </w:tc>
        <w:tc>
          <w:tcPr>
            <w:tcW w:w="547" w:type="pct"/>
            <w:vAlign w:val="center"/>
          </w:tcPr>
          <w:p w14:paraId="061DC702">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古洞桥</w:t>
            </w:r>
          </w:p>
        </w:tc>
        <w:tc>
          <w:tcPr>
            <w:tcW w:w="906" w:type="pct"/>
            <w:vAlign w:val="center"/>
          </w:tcPr>
          <w:p w14:paraId="3F683EFD">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111.86450958</w:t>
            </w:r>
          </w:p>
        </w:tc>
        <w:tc>
          <w:tcPr>
            <w:tcW w:w="868" w:type="pct"/>
            <w:vAlign w:val="center"/>
          </w:tcPr>
          <w:p w14:paraId="1D4550A5">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29.55206788</w:t>
            </w:r>
          </w:p>
        </w:tc>
        <w:tc>
          <w:tcPr>
            <w:tcW w:w="292" w:type="pct"/>
            <w:vAlign w:val="center"/>
          </w:tcPr>
          <w:p w14:paraId="07339087">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散居村庄</w:t>
            </w:r>
          </w:p>
        </w:tc>
        <w:tc>
          <w:tcPr>
            <w:tcW w:w="268" w:type="pct"/>
            <w:vAlign w:val="center"/>
          </w:tcPr>
          <w:p w14:paraId="603C4290">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人群</w:t>
            </w:r>
          </w:p>
        </w:tc>
        <w:tc>
          <w:tcPr>
            <w:tcW w:w="528" w:type="pct"/>
            <w:vAlign w:val="center"/>
          </w:tcPr>
          <w:p w14:paraId="02D27F02">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居住，40户，约120人</w:t>
            </w:r>
          </w:p>
        </w:tc>
        <w:tc>
          <w:tcPr>
            <w:tcW w:w="279" w:type="pct"/>
            <w:vMerge w:val="continue"/>
            <w:vAlign w:val="center"/>
          </w:tcPr>
          <w:p w14:paraId="605F2A65">
            <w:pPr>
              <w:jc w:val="center"/>
              <w:rPr>
                <w:rFonts w:ascii="Times New Roman" w:hAnsi="Times New Roman" w:eastAsia="宋体" w:cs="Times New Roman"/>
                <w:color w:val="auto"/>
                <w:sz w:val="22"/>
                <w:szCs w:val="24"/>
              </w:rPr>
            </w:pPr>
          </w:p>
        </w:tc>
        <w:tc>
          <w:tcPr>
            <w:tcW w:w="397" w:type="pct"/>
            <w:vAlign w:val="center"/>
          </w:tcPr>
          <w:p w14:paraId="3DEA4726">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SW</w:t>
            </w:r>
          </w:p>
        </w:tc>
        <w:tc>
          <w:tcPr>
            <w:tcW w:w="349" w:type="pct"/>
            <w:vAlign w:val="center"/>
          </w:tcPr>
          <w:p w14:paraId="5FB86135">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1222</w:t>
            </w:r>
          </w:p>
        </w:tc>
      </w:tr>
      <w:tr w14:paraId="02148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4" w:type="pct"/>
            <w:vAlign w:val="center"/>
          </w:tcPr>
          <w:p w14:paraId="306BB802">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10</w:t>
            </w:r>
          </w:p>
        </w:tc>
        <w:tc>
          <w:tcPr>
            <w:tcW w:w="299" w:type="pct"/>
            <w:vMerge w:val="continue"/>
            <w:vAlign w:val="center"/>
          </w:tcPr>
          <w:p w14:paraId="2F7F016A">
            <w:pPr>
              <w:jc w:val="center"/>
              <w:rPr>
                <w:rFonts w:ascii="Times New Roman" w:hAnsi="Times New Roman" w:eastAsia="宋体" w:cs="Times New Roman"/>
                <w:color w:val="auto"/>
                <w:sz w:val="22"/>
                <w:szCs w:val="24"/>
              </w:rPr>
            </w:pPr>
          </w:p>
        </w:tc>
        <w:tc>
          <w:tcPr>
            <w:tcW w:w="547" w:type="pct"/>
            <w:vAlign w:val="center"/>
          </w:tcPr>
          <w:p w14:paraId="36660D6F">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夹银湾</w:t>
            </w:r>
          </w:p>
        </w:tc>
        <w:tc>
          <w:tcPr>
            <w:tcW w:w="906" w:type="pct"/>
            <w:vAlign w:val="center"/>
          </w:tcPr>
          <w:p w14:paraId="041E3192">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111.87354326</w:t>
            </w:r>
          </w:p>
        </w:tc>
        <w:tc>
          <w:tcPr>
            <w:tcW w:w="868" w:type="pct"/>
            <w:vAlign w:val="center"/>
          </w:tcPr>
          <w:p w14:paraId="15606424">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29.54971591</w:t>
            </w:r>
          </w:p>
        </w:tc>
        <w:tc>
          <w:tcPr>
            <w:tcW w:w="292" w:type="pct"/>
            <w:vAlign w:val="center"/>
          </w:tcPr>
          <w:p w14:paraId="2DEE721A">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散居村庄</w:t>
            </w:r>
          </w:p>
        </w:tc>
        <w:tc>
          <w:tcPr>
            <w:tcW w:w="268" w:type="pct"/>
            <w:vAlign w:val="center"/>
          </w:tcPr>
          <w:p w14:paraId="2F9C0BB0">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人群</w:t>
            </w:r>
          </w:p>
        </w:tc>
        <w:tc>
          <w:tcPr>
            <w:tcW w:w="528" w:type="pct"/>
            <w:vAlign w:val="center"/>
          </w:tcPr>
          <w:p w14:paraId="10793A47">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居住，55户，约165人</w:t>
            </w:r>
          </w:p>
        </w:tc>
        <w:tc>
          <w:tcPr>
            <w:tcW w:w="279" w:type="pct"/>
            <w:vMerge w:val="continue"/>
            <w:vAlign w:val="center"/>
          </w:tcPr>
          <w:p w14:paraId="15BD7962">
            <w:pPr>
              <w:jc w:val="center"/>
              <w:rPr>
                <w:rFonts w:ascii="Times New Roman" w:hAnsi="Times New Roman" w:eastAsia="宋体" w:cs="Times New Roman"/>
                <w:color w:val="auto"/>
                <w:sz w:val="22"/>
                <w:szCs w:val="24"/>
              </w:rPr>
            </w:pPr>
          </w:p>
        </w:tc>
        <w:tc>
          <w:tcPr>
            <w:tcW w:w="397" w:type="pct"/>
            <w:vAlign w:val="center"/>
          </w:tcPr>
          <w:p w14:paraId="20E651EF">
            <w:pPr>
              <w:jc w:val="center"/>
              <w:rPr>
                <w:rFonts w:hint="eastAsia"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S</w:t>
            </w:r>
          </w:p>
        </w:tc>
        <w:tc>
          <w:tcPr>
            <w:tcW w:w="349" w:type="pct"/>
            <w:vAlign w:val="center"/>
          </w:tcPr>
          <w:p w14:paraId="3EE2138B">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1211</w:t>
            </w:r>
          </w:p>
        </w:tc>
      </w:tr>
      <w:tr w14:paraId="6C74A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4" w:type="pct"/>
            <w:vAlign w:val="center"/>
          </w:tcPr>
          <w:p w14:paraId="6986E35D">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11</w:t>
            </w:r>
          </w:p>
        </w:tc>
        <w:tc>
          <w:tcPr>
            <w:tcW w:w="846" w:type="pct"/>
            <w:gridSpan w:val="2"/>
            <w:vAlign w:val="center"/>
          </w:tcPr>
          <w:p w14:paraId="76CD46C5">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新洲镇</w:t>
            </w:r>
          </w:p>
        </w:tc>
        <w:tc>
          <w:tcPr>
            <w:tcW w:w="906" w:type="pct"/>
            <w:vAlign w:val="center"/>
          </w:tcPr>
          <w:p w14:paraId="3C20D832">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111.87523842</w:t>
            </w:r>
          </w:p>
        </w:tc>
        <w:tc>
          <w:tcPr>
            <w:tcW w:w="868" w:type="pct"/>
            <w:vAlign w:val="center"/>
          </w:tcPr>
          <w:p w14:paraId="5312CDE7">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29.55557706</w:t>
            </w:r>
          </w:p>
        </w:tc>
        <w:tc>
          <w:tcPr>
            <w:tcW w:w="292" w:type="pct"/>
            <w:vAlign w:val="center"/>
          </w:tcPr>
          <w:p w14:paraId="13720BA9">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集镇</w:t>
            </w:r>
          </w:p>
        </w:tc>
        <w:tc>
          <w:tcPr>
            <w:tcW w:w="268" w:type="pct"/>
            <w:vAlign w:val="center"/>
          </w:tcPr>
          <w:p w14:paraId="193605B9">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人群</w:t>
            </w:r>
          </w:p>
        </w:tc>
        <w:tc>
          <w:tcPr>
            <w:tcW w:w="528" w:type="pct"/>
            <w:vAlign w:val="center"/>
          </w:tcPr>
          <w:p w14:paraId="48864DF1">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集镇，约5000人</w:t>
            </w:r>
          </w:p>
        </w:tc>
        <w:tc>
          <w:tcPr>
            <w:tcW w:w="279" w:type="pct"/>
            <w:vMerge w:val="continue"/>
            <w:vAlign w:val="center"/>
          </w:tcPr>
          <w:p w14:paraId="6368F82E">
            <w:pPr>
              <w:jc w:val="center"/>
              <w:rPr>
                <w:rFonts w:ascii="Times New Roman" w:hAnsi="Times New Roman" w:eastAsia="宋体" w:cs="Times New Roman"/>
                <w:color w:val="auto"/>
                <w:sz w:val="22"/>
                <w:szCs w:val="24"/>
              </w:rPr>
            </w:pPr>
          </w:p>
        </w:tc>
        <w:tc>
          <w:tcPr>
            <w:tcW w:w="397" w:type="pct"/>
            <w:vAlign w:val="center"/>
          </w:tcPr>
          <w:p w14:paraId="4D05F08D">
            <w:pPr>
              <w:jc w:val="center"/>
              <w:rPr>
                <w:rFonts w:hint="eastAsia"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S</w:t>
            </w:r>
          </w:p>
        </w:tc>
        <w:tc>
          <w:tcPr>
            <w:tcW w:w="349" w:type="pct"/>
            <w:vAlign w:val="center"/>
          </w:tcPr>
          <w:p w14:paraId="77EA2404">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595</w:t>
            </w:r>
          </w:p>
        </w:tc>
      </w:tr>
      <w:tr w14:paraId="48433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4" w:type="pct"/>
            <w:vAlign w:val="center"/>
          </w:tcPr>
          <w:p w14:paraId="51904AB7">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12</w:t>
            </w:r>
          </w:p>
        </w:tc>
        <w:tc>
          <w:tcPr>
            <w:tcW w:w="846" w:type="pct"/>
            <w:gridSpan w:val="2"/>
            <w:vAlign w:val="center"/>
          </w:tcPr>
          <w:p w14:paraId="278F1FEE">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孟姜女社区</w:t>
            </w:r>
          </w:p>
        </w:tc>
        <w:tc>
          <w:tcPr>
            <w:tcW w:w="906" w:type="pct"/>
            <w:vAlign w:val="center"/>
          </w:tcPr>
          <w:p w14:paraId="38C8B1F2">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111.88073158</w:t>
            </w:r>
          </w:p>
        </w:tc>
        <w:tc>
          <w:tcPr>
            <w:tcW w:w="868" w:type="pct"/>
            <w:vAlign w:val="center"/>
          </w:tcPr>
          <w:p w14:paraId="065F6B82">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29.55733161</w:t>
            </w:r>
          </w:p>
        </w:tc>
        <w:tc>
          <w:tcPr>
            <w:tcW w:w="292" w:type="pct"/>
            <w:vAlign w:val="center"/>
          </w:tcPr>
          <w:p w14:paraId="15ABFE7F">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居民区</w:t>
            </w:r>
          </w:p>
        </w:tc>
        <w:tc>
          <w:tcPr>
            <w:tcW w:w="268" w:type="pct"/>
            <w:vAlign w:val="center"/>
          </w:tcPr>
          <w:p w14:paraId="024EFE52">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人群</w:t>
            </w:r>
          </w:p>
        </w:tc>
        <w:tc>
          <w:tcPr>
            <w:tcW w:w="528" w:type="pct"/>
            <w:vAlign w:val="center"/>
          </w:tcPr>
          <w:p w14:paraId="2B7F3B66">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居住，80户，约240人</w:t>
            </w:r>
          </w:p>
        </w:tc>
        <w:tc>
          <w:tcPr>
            <w:tcW w:w="279" w:type="pct"/>
            <w:vMerge w:val="continue"/>
            <w:vAlign w:val="center"/>
          </w:tcPr>
          <w:p w14:paraId="4B1686F5">
            <w:pPr>
              <w:jc w:val="center"/>
              <w:rPr>
                <w:rFonts w:ascii="Times New Roman" w:hAnsi="Times New Roman" w:eastAsia="宋体" w:cs="Times New Roman"/>
                <w:color w:val="auto"/>
                <w:sz w:val="22"/>
                <w:szCs w:val="24"/>
              </w:rPr>
            </w:pPr>
          </w:p>
        </w:tc>
        <w:tc>
          <w:tcPr>
            <w:tcW w:w="397" w:type="pct"/>
            <w:vAlign w:val="center"/>
          </w:tcPr>
          <w:p w14:paraId="3A4439C0">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SE</w:t>
            </w:r>
          </w:p>
        </w:tc>
        <w:tc>
          <w:tcPr>
            <w:tcW w:w="349" w:type="pct"/>
            <w:vAlign w:val="center"/>
          </w:tcPr>
          <w:p w14:paraId="66683EEF">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831</w:t>
            </w:r>
          </w:p>
        </w:tc>
      </w:tr>
      <w:tr w14:paraId="4CE95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4" w:type="pct"/>
            <w:vAlign w:val="center"/>
          </w:tcPr>
          <w:p w14:paraId="565DE808">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13</w:t>
            </w:r>
          </w:p>
        </w:tc>
        <w:tc>
          <w:tcPr>
            <w:tcW w:w="846" w:type="pct"/>
            <w:gridSpan w:val="2"/>
            <w:vAlign w:val="center"/>
          </w:tcPr>
          <w:p w14:paraId="6B9B4FF3">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津市第三中学</w:t>
            </w:r>
          </w:p>
        </w:tc>
        <w:tc>
          <w:tcPr>
            <w:tcW w:w="906" w:type="pct"/>
            <w:vAlign w:val="center"/>
          </w:tcPr>
          <w:p w14:paraId="4056FD56">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111.87433720</w:t>
            </w:r>
          </w:p>
        </w:tc>
        <w:tc>
          <w:tcPr>
            <w:tcW w:w="868" w:type="pct"/>
            <w:vAlign w:val="center"/>
          </w:tcPr>
          <w:p w14:paraId="6441A0FC">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29.55421447</w:t>
            </w:r>
          </w:p>
        </w:tc>
        <w:tc>
          <w:tcPr>
            <w:tcW w:w="292" w:type="pct"/>
            <w:vAlign w:val="center"/>
          </w:tcPr>
          <w:p w14:paraId="44C9CE18">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学校</w:t>
            </w:r>
          </w:p>
        </w:tc>
        <w:tc>
          <w:tcPr>
            <w:tcW w:w="268" w:type="pct"/>
            <w:vAlign w:val="center"/>
          </w:tcPr>
          <w:p w14:paraId="0CF453CD">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人群</w:t>
            </w:r>
          </w:p>
        </w:tc>
        <w:tc>
          <w:tcPr>
            <w:tcW w:w="528" w:type="pct"/>
            <w:vAlign w:val="center"/>
          </w:tcPr>
          <w:p w14:paraId="143F943A">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文教，约700人</w:t>
            </w:r>
          </w:p>
        </w:tc>
        <w:tc>
          <w:tcPr>
            <w:tcW w:w="279" w:type="pct"/>
            <w:vMerge w:val="continue"/>
            <w:vAlign w:val="center"/>
          </w:tcPr>
          <w:p w14:paraId="662623C0">
            <w:pPr>
              <w:jc w:val="center"/>
              <w:rPr>
                <w:rFonts w:ascii="Times New Roman" w:hAnsi="Times New Roman" w:eastAsia="宋体" w:cs="Times New Roman"/>
                <w:color w:val="auto"/>
                <w:sz w:val="22"/>
                <w:szCs w:val="24"/>
              </w:rPr>
            </w:pPr>
          </w:p>
        </w:tc>
        <w:tc>
          <w:tcPr>
            <w:tcW w:w="397" w:type="pct"/>
            <w:vAlign w:val="center"/>
          </w:tcPr>
          <w:p w14:paraId="60365CCE">
            <w:pPr>
              <w:jc w:val="center"/>
              <w:rPr>
                <w:rFonts w:hint="eastAsia"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S</w:t>
            </w:r>
          </w:p>
        </w:tc>
        <w:tc>
          <w:tcPr>
            <w:tcW w:w="349" w:type="pct"/>
            <w:vAlign w:val="center"/>
          </w:tcPr>
          <w:p w14:paraId="209345CC">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711</w:t>
            </w:r>
          </w:p>
        </w:tc>
      </w:tr>
      <w:tr w14:paraId="0BB78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4" w:type="pct"/>
            <w:vAlign w:val="center"/>
          </w:tcPr>
          <w:p w14:paraId="2F15E561">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14</w:t>
            </w:r>
          </w:p>
        </w:tc>
        <w:tc>
          <w:tcPr>
            <w:tcW w:w="846" w:type="pct"/>
            <w:gridSpan w:val="2"/>
            <w:vAlign w:val="center"/>
          </w:tcPr>
          <w:p w14:paraId="760D9499">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新洲镇中学</w:t>
            </w:r>
          </w:p>
        </w:tc>
        <w:tc>
          <w:tcPr>
            <w:tcW w:w="906" w:type="pct"/>
            <w:vAlign w:val="center"/>
          </w:tcPr>
          <w:p w14:paraId="020AB409">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111.87633276</w:t>
            </w:r>
          </w:p>
        </w:tc>
        <w:tc>
          <w:tcPr>
            <w:tcW w:w="868" w:type="pct"/>
            <w:vAlign w:val="center"/>
          </w:tcPr>
          <w:p w14:paraId="6FA979E2">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29.55802222</w:t>
            </w:r>
          </w:p>
        </w:tc>
        <w:tc>
          <w:tcPr>
            <w:tcW w:w="292" w:type="pct"/>
            <w:vAlign w:val="center"/>
          </w:tcPr>
          <w:p w14:paraId="53B5D148">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学校</w:t>
            </w:r>
          </w:p>
        </w:tc>
        <w:tc>
          <w:tcPr>
            <w:tcW w:w="268" w:type="pct"/>
            <w:vAlign w:val="center"/>
          </w:tcPr>
          <w:p w14:paraId="012AA395">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人群</w:t>
            </w:r>
          </w:p>
        </w:tc>
        <w:tc>
          <w:tcPr>
            <w:tcW w:w="528" w:type="pct"/>
            <w:vAlign w:val="center"/>
          </w:tcPr>
          <w:p w14:paraId="5BD2383C">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文教，师生约800人</w:t>
            </w:r>
          </w:p>
        </w:tc>
        <w:tc>
          <w:tcPr>
            <w:tcW w:w="279" w:type="pct"/>
            <w:vMerge w:val="continue"/>
            <w:vAlign w:val="center"/>
          </w:tcPr>
          <w:p w14:paraId="2AC43CFA">
            <w:pPr>
              <w:jc w:val="center"/>
              <w:rPr>
                <w:rFonts w:ascii="Times New Roman" w:hAnsi="Times New Roman" w:eastAsia="宋体" w:cs="Times New Roman"/>
                <w:color w:val="auto"/>
                <w:sz w:val="22"/>
                <w:szCs w:val="24"/>
              </w:rPr>
            </w:pPr>
          </w:p>
        </w:tc>
        <w:tc>
          <w:tcPr>
            <w:tcW w:w="397" w:type="pct"/>
            <w:vAlign w:val="center"/>
          </w:tcPr>
          <w:p w14:paraId="45640655">
            <w:pPr>
              <w:jc w:val="center"/>
              <w:rPr>
                <w:rFonts w:hint="eastAsia"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S</w:t>
            </w:r>
          </w:p>
        </w:tc>
        <w:tc>
          <w:tcPr>
            <w:tcW w:w="349" w:type="pct"/>
            <w:vAlign w:val="center"/>
          </w:tcPr>
          <w:p w14:paraId="2953B79B">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418</w:t>
            </w:r>
          </w:p>
        </w:tc>
      </w:tr>
      <w:tr w14:paraId="0ABCC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4" w:type="pct"/>
            <w:vAlign w:val="center"/>
          </w:tcPr>
          <w:p w14:paraId="1BFB767B">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15</w:t>
            </w:r>
          </w:p>
        </w:tc>
        <w:tc>
          <w:tcPr>
            <w:tcW w:w="846" w:type="pct"/>
            <w:gridSpan w:val="2"/>
            <w:vAlign w:val="center"/>
          </w:tcPr>
          <w:p w14:paraId="18FCFFB6">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新洲镇卫生院</w:t>
            </w:r>
          </w:p>
        </w:tc>
        <w:tc>
          <w:tcPr>
            <w:tcW w:w="906" w:type="pct"/>
            <w:vAlign w:val="center"/>
          </w:tcPr>
          <w:p w14:paraId="3CEAB758">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111.87661707</w:t>
            </w:r>
          </w:p>
        </w:tc>
        <w:tc>
          <w:tcPr>
            <w:tcW w:w="868" w:type="pct"/>
            <w:vAlign w:val="center"/>
          </w:tcPr>
          <w:p w14:paraId="138876B9">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29.55512442</w:t>
            </w:r>
          </w:p>
        </w:tc>
        <w:tc>
          <w:tcPr>
            <w:tcW w:w="292" w:type="pct"/>
            <w:vAlign w:val="center"/>
          </w:tcPr>
          <w:p w14:paraId="753F632E">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医院</w:t>
            </w:r>
          </w:p>
        </w:tc>
        <w:tc>
          <w:tcPr>
            <w:tcW w:w="268" w:type="pct"/>
            <w:vAlign w:val="center"/>
          </w:tcPr>
          <w:p w14:paraId="1BCCE2F6">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人群</w:t>
            </w:r>
          </w:p>
        </w:tc>
        <w:tc>
          <w:tcPr>
            <w:tcW w:w="528" w:type="pct"/>
            <w:vAlign w:val="center"/>
          </w:tcPr>
          <w:p w14:paraId="1E2BA59A">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床位40张，医护人员40余人</w:t>
            </w:r>
          </w:p>
        </w:tc>
        <w:tc>
          <w:tcPr>
            <w:tcW w:w="279" w:type="pct"/>
            <w:vMerge w:val="continue"/>
            <w:vAlign w:val="center"/>
          </w:tcPr>
          <w:p w14:paraId="0B7CBB32">
            <w:pPr>
              <w:jc w:val="center"/>
              <w:rPr>
                <w:rFonts w:ascii="Times New Roman" w:hAnsi="Times New Roman" w:eastAsia="宋体" w:cs="Times New Roman"/>
                <w:color w:val="auto"/>
                <w:sz w:val="22"/>
                <w:szCs w:val="24"/>
              </w:rPr>
            </w:pPr>
          </w:p>
        </w:tc>
        <w:tc>
          <w:tcPr>
            <w:tcW w:w="397" w:type="pct"/>
            <w:vAlign w:val="center"/>
          </w:tcPr>
          <w:p w14:paraId="4B26341F">
            <w:pPr>
              <w:jc w:val="center"/>
              <w:rPr>
                <w:rFonts w:hint="eastAsia"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S</w:t>
            </w:r>
          </w:p>
        </w:tc>
        <w:tc>
          <w:tcPr>
            <w:tcW w:w="349" w:type="pct"/>
            <w:vAlign w:val="center"/>
          </w:tcPr>
          <w:p w14:paraId="13AA63A1">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702</w:t>
            </w:r>
          </w:p>
        </w:tc>
      </w:tr>
      <w:tr w14:paraId="2EDA1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4" w:type="pct"/>
            <w:vAlign w:val="center"/>
          </w:tcPr>
          <w:p w14:paraId="08197387">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16</w:t>
            </w:r>
          </w:p>
        </w:tc>
        <w:tc>
          <w:tcPr>
            <w:tcW w:w="846" w:type="pct"/>
            <w:gridSpan w:val="2"/>
            <w:vAlign w:val="center"/>
          </w:tcPr>
          <w:p w14:paraId="5371AC87">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嘉山社区</w:t>
            </w:r>
          </w:p>
        </w:tc>
        <w:tc>
          <w:tcPr>
            <w:tcW w:w="906" w:type="pct"/>
            <w:vAlign w:val="center"/>
          </w:tcPr>
          <w:p w14:paraId="4AF49082">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111.88528061</w:t>
            </w:r>
          </w:p>
        </w:tc>
        <w:tc>
          <w:tcPr>
            <w:tcW w:w="868" w:type="pct"/>
            <w:vAlign w:val="center"/>
          </w:tcPr>
          <w:p w14:paraId="2358A06C">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29.55096656</w:t>
            </w:r>
          </w:p>
        </w:tc>
        <w:tc>
          <w:tcPr>
            <w:tcW w:w="292" w:type="pct"/>
            <w:vAlign w:val="center"/>
          </w:tcPr>
          <w:p w14:paraId="1A0F16DE">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居民区</w:t>
            </w:r>
          </w:p>
        </w:tc>
        <w:tc>
          <w:tcPr>
            <w:tcW w:w="268" w:type="pct"/>
            <w:vAlign w:val="center"/>
          </w:tcPr>
          <w:p w14:paraId="4FED0F00">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人群</w:t>
            </w:r>
          </w:p>
        </w:tc>
        <w:tc>
          <w:tcPr>
            <w:tcW w:w="528" w:type="pct"/>
            <w:vAlign w:val="center"/>
          </w:tcPr>
          <w:p w14:paraId="5465505C">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居住，</w:t>
            </w:r>
            <w:r>
              <w:rPr>
                <w:rFonts w:hint="eastAsia" w:ascii="Times New Roman" w:hAnsi="Times New Roman" w:eastAsia="宋体" w:cs="Times New Roman"/>
                <w:color w:val="auto"/>
                <w:sz w:val="22"/>
                <w:szCs w:val="24"/>
                <w:lang w:val="en-US" w:eastAsia="zh-CN"/>
              </w:rPr>
              <w:t>1</w:t>
            </w:r>
            <w:r>
              <w:rPr>
                <w:rFonts w:hint="eastAsia" w:ascii="Times New Roman" w:hAnsi="Times New Roman" w:eastAsia="宋体" w:cs="Times New Roman"/>
                <w:color w:val="auto"/>
                <w:sz w:val="22"/>
                <w:szCs w:val="24"/>
              </w:rPr>
              <w:t>50户，约</w:t>
            </w:r>
            <w:r>
              <w:rPr>
                <w:rFonts w:hint="eastAsia" w:ascii="Times New Roman" w:hAnsi="Times New Roman" w:eastAsia="宋体" w:cs="Times New Roman"/>
                <w:color w:val="auto"/>
                <w:sz w:val="22"/>
                <w:szCs w:val="24"/>
                <w:lang w:val="en-US" w:eastAsia="zh-CN"/>
              </w:rPr>
              <w:t>450</w:t>
            </w:r>
            <w:r>
              <w:rPr>
                <w:rFonts w:hint="eastAsia" w:ascii="Times New Roman" w:hAnsi="Times New Roman" w:eastAsia="宋体" w:cs="Times New Roman"/>
                <w:color w:val="auto"/>
                <w:sz w:val="22"/>
                <w:szCs w:val="24"/>
              </w:rPr>
              <w:t>人</w:t>
            </w:r>
          </w:p>
        </w:tc>
        <w:tc>
          <w:tcPr>
            <w:tcW w:w="279" w:type="pct"/>
            <w:vMerge w:val="continue"/>
            <w:vAlign w:val="center"/>
          </w:tcPr>
          <w:p w14:paraId="4DC8BFB3">
            <w:pPr>
              <w:jc w:val="center"/>
              <w:rPr>
                <w:rFonts w:ascii="Times New Roman" w:hAnsi="Times New Roman" w:eastAsia="宋体" w:cs="Times New Roman"/>
                <w:color w:val="auto"/>
                <w:sz w:val="22"/>
                <w:szCs w:val="24"/>
              </w:rPr>
            </w:pPr>
          </w:p>
        </w:tc>
        <w:tc>
          <w:tcPr>
            <w:tcW w:w="397" w:type="pct"/>
            <w:vAlign w:val="center"/>
          </w:tcPr>
          <w:p w14:paraId="296F0D8C">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SE</w:t>
            </w:r>
          </w:p>
        </w:tc>
        <w:tc>
          <w:tcPr>
            <w:tcW w:w="349" w:type="pct"/>
            <w:vAlign w:val="center"/>
          </w:tcPr>
          <w:p w14:paraId="24676D55">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1560</w:t>
            </w:r>
          </w:p>
        </w:tc>
      </w:tr>
      <w:tr w14:paraId="737AC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4" w:type="pct"/>
            <w:shd w:val="clear" w:color="auto" w:fill="auto"/>
            <w:vAlign w:val="center"/>
          </w:tcPr>
          <w:p w14:paraId="7F9AD722">
            <w:pPr>
              <w:jc w:val="center"/>
              <w:rPr>
                <w:rFonts w:hint="eastAsia"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lang w:val="en-US" w:eastAsia="zh-CN"/>
              </w:rPr>
              <w:t>17</w:t>
            </w:r>
          </w:p>
        </w:tc>
        <w:tc>
          <w:tcPr>
            <w:tcW w:w="846" w:type="pct"/>
            <w:gridSpan w:val="2"/>
            <w:shd w:val="clear" w:color="auto" w:fill="auto"/>
            <w:vAlign w:val="center"/>
          </w:tcPr>
          <w:p w14:paraId="7F5D8C37">
            <w:pPr>
              <w:jc w:val="center"/>
              <w:rPr>
                <w:rFonts w:hint="eastAsia"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lang w:val="en-US" w:eastAsia="zh-CN"/>
              </w:rPr>
              <w:t>新洲镇</w:t>
            </w:r>
          </w:p>
        </w:tc>
        <w:tc>
          <w:tcPr>
            <w:tcW w:w="906" w:type="pct"/>
            <w:shd w:val="clear" w:color="auto" w:fill="auto"/>
            <w:vAlign w:val="center"/>
          </w:tcPr>
          <w:p w14:paraId="6F7DF12C">
            <w:pPr>
              <w:jc w:val="center"/>
              <w:rPr>
                <w:rFonts w:hint="eastAsia"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rPr>
              <w:t>111.87873602</w:t>
            </w:r>
          </w:p>
        </w:tc>
        <w:tc>
          <w:tcPr>
            <w:tcW w:w="868" w:type="pct"/>
            <w:shd w:val="clear" w:color="auto" w:fill="auto"/>
            <w:vAlign w:val="center"/>
          </w:tcPr>
          <w:p w14:paraId="1E9FE057">
            <w:pPr>
              <w:jc w:val="center"/>
              <w:rPr>
                <w:rFonts w:hint="eastAsia"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rPr>
              <w:t>29.55527841</w:t>
            </w:r>
          </w:p>
        </w:tc>
        <w:tc>
          <w:tcPr>
            <w:tcW w:w="292" w:type="pct"/>
            <w:shd w:val="clear" w:color="auto" w:fill="auto"/>
            <w:vAlign w:val="center"/>
          </w:tcPr>
          <w:p w14:paraId="3D9C15FB">
            <w:pPr>
              <w:jc w:val="center"/>
              <w:rPr>
                <w:rFonts w:hint="eastAsia"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kern w:val="2"/>
                <w:sz w:val="22"/>
                <w:szCs w:val="24"/>
                <w:lang w:val="en-US" w:eastAsia="zh-CN" w:bidi="ar-SA"/>
              </w:rPr>
              <w:t>集镇</w:t>
            </w:r>
          </w:p>
        </w:tc>
        <w:tc>
          <w:tcPr>
            <w:tcW w:w="268" w:type="pct"/>
            <w:shd w:val="clear" w:color="auto" w:fill="auto"/>
            <w:vAlign w:val="center"/>
          </w:tcPr>
          <w:p w14:paraId="3365877C">
            <w:pPr>
              <w:jc w:val="center"/>
              <w:rPr>
                <w:rFonts w:hint="eastAsia"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rPr>
              <w:t>人群</w:t>
            </w:r>
          </w:p>
        </w:tc>
        <w:tc>
          <w:tcPr>
            <w:tcW w:w="528" w:type="pct"/>
            <w:shd w:val="clear" w:color="auto" w:fill="auto"/>
            <w:vAlign w:val="center"/>
          </w:tcPr>
          <w:p w14:paraId="0D09C585">
            <w:pPr>
              <w:jc w:val="center"/>
              <w:rPr>
                <w:rFonts w:hint="eastAsia"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lang w:val="en-US" w:eastAsia="zh-CN"/>
              </w:rPr>
              <w:t>居住，9200人</w:t>
            </w:r>
          </w:p>
        </w:tc>
        <w:tc>
          <w:tcPr>
            <w:tcW w:w="279" w:type="pct"/>
            <w:vMerge w:val="continue"/>
            <w:vAlign w:val="center"/>
          </w:tcPr>
          <w:p w14:paraId="6AF848B3">
            <w:pPr>
              <w:jc w:val="center"/>
              <w:rPr>
                <w:rFonts w:ascii="Times New Roman" w:hAnsi="Times New Roman" w:eastAsia="宋体" w:cs="Times New Roman"/>
                <w:color w:val="auto"/>
                <w:sz w:val="22"/>
                <w:szCs w:val="24"/>
              </w:rPr>
            </w:pPr>
          </w:p>
        </w:tc>
        <w:tc>
          <w:tcPr>
            <w:tcW w:w="397" w:type="pct"/>
            <w:vAlign w:val="center"/>
          </w:tcPr>
          <w:p w14:paraId="031E9D6B">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SE</w:t>
            </w:r>
          </w:p>
        </w:tc>
        <w:tc>
          <w:tcPr>
            <w:tcW w:w="349" w:type="pct"/>
            <w:vAlign w:val="center"/>
          </w:tcPr>
          <w:p w14:paraId="196E538C">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790</w:t>
            </w:r>
          </w:p>
        </w:tc>
      </w:tr>
      <w:tr w14:paraId="7B7DA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4" w:type="pct"/>
            <w:vAlign w:val="center"/>
          </w:tcPr>
          <w:p w14:paraId="6D8BEC60">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18</w:t>
            </w:r>
          </w:p>
        </w:tc>
        <w:tc>
          <w:tcPr>
            <w:tcW w:w="846" w:type="pct"/>
            <w:gridSpan w:val="2"/>
            <w:vAlign w:val="center"/>
          </w:tcPr>
          <w:p w14:paraId="5DE5C6BB">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车渚村</w:t>
            </w:r>
          </w:p>
        </w:tc>
        <w:tc>
          <w:tcPr>
            <w:tcW w:w="906" w:type="pct"/>
            <w:vAlign w:val="center"/>
          </w:tcPr>
          <w:p w14:paraId="51876207">
            <w:pPr>
              <w:jc w:val="center"/>
              <w:rPr>
                <w:rFonts w:hint="eastAsia"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111.89517260</w:t>
            </w:r>
          </w:p>
        </w:tc>
        <w:tc>
          <w:tcPr>
            <w:tcW w:w="868" w:type="pct"/>
            <w:vAlign w:val="center"/>
          </w:tcPr>
          <w:p w14:paraId="471BC60E">
            <w:pPr>
              <w:jc w:val="center"/>
              <w:rPr>
                <w:rFonts w:hint="eastAsia"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29.54503047</w:t>
            </w:r>
          </w:p>
        </w:tc>
        <w:tc>
          <w:tcPr>
            <w:tcW w:w="292" w:type="pct"/>
            <w:shd w:val="clear" w:color="auto" w:fill="auto"/>
            <w:vAlign w:val="center"/>
          </w:tcPr>
          <w:p w14:paraId="2857D32F">
            <w:pPr>
              <w:jc w:val="center"/>
              <w:rPr>
                <w:rFonts w:hint="eastAsia"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rPr>
              <w:t>居民区</w:t>
            </w:r>
          </w:p>
        </w:tc>
        <w:tc>
          <w:tcPr>
            <w:tcW w:w="268" w:type="pct"/>
            <w:shd w:val="clear" w:color="auto" w:fill="auto"/>
            <w:vAlign w:val="center"/>
          </w:tcPr>
          <w:p w14:paraId="38753ED3">
            <w:pPr>
              <w:jc w:val="center"/>
              <w:rPr>
                <w:rFonts w:hint="eastAsia"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rPr>
              <w:t>人群</w:t>
            </w:r>
          </w:p>
        </w:tc>
        <w:tc>
          <w:tcPr>
            <w:tcW w:w="528" w:type="pct"/>
            <w:vAlign w:val="center"/>
          </w:tcPr>
          <w:p w14:paraId="49BBADA0">
            <w:pPr>
              <w:jc w:val="center"/>
              <w:rPr>
                <w:rFonts w:hint="eastAsia"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rPr>
              <w:t>居住，</w:t>
            </w:r>
            <w:r>
              <w:rPr>
                <w:rFonts w:hint="eastAsia" w:ascii="Times New Roman" w:hAnsi="Times New Roman" w:eastAsia="宋体" w:cs="Times New Roman"/>
                <w:color w:val="auto"/>
                <w:sz w:val="22"/>
                <w:szCs w:val="24"/>
                <w:lang w:val="en-US" w:eastAsia="zh-CN"/>
              </w:rPr>
              <w:t>120</w:t>
            </w:r>
            <w:r>
              <w:rPr>
                <w:rFonts w:hint="eastAsia" w:ascii="Times New Roman" w:hAnsi="Times New Roman" w:eastAsia="宋体" w:cs="Times New Roman"/>
                <w:color w:val="auto"/>
                <w:sz w:val="22"/>
                <w:szCs w:val="24"/>
              </w:rPr>
              <w:t>户，约</w:t>
            </w:r>
            <w:r>
              <w:rPr>
                <w:rFonts w:hint="eastAsia" w:ascii="Times New Roman" w:hAnsi="Times New Roman" w:eastAsia="宋体" w:cs="Times New Roman"/>
                <w:color w:val="auto"/>
                <w:sz w:val="22"/>
                <w:szCs w:val="24"/>
                <w:lang w:val="en-US" w:eastAsia="zh-CN"/>
              </w:rPr>
              <w:t>360</w:t>
            </w:r>
            <w:r>
              <w:rPr>
                <w:rFonts w:hint="eastAsia" w:ascii="Times New Roman" w:hAnsi="Times New Roman" w:eastAsia="宋体" w:cs="Times New Roman"/>
                <w:color w:val="auto"/>
                <w:sz w:val="22"/>
                <w:szCs w:val="24"/>
              </w:rPr>
              <w:t>人</w:t>
            </w:r>
          </w:p>
        </w:tc>
        <w:tc>
          <w:tcPr>
            <w:tcW w:w="279" w:type="pct"/>
            <w:vMerge w:val="continue"/>
            <w:vAlign w:val="center"/>
          </w:tcPr>
          <w:p w14:paraId="779D54BB">
            <w:pPr>
              <w:jc w:val="center"/>
              <w:rPr>
                <w:rFonts w:ascii="Times New Roman" w:hAnsi="Times New Roman" w:eastAsia="宋体" w:cs="Times New Roman"/>
                <w:color w:val="auto"/>
                <w:sz w:val="22"/>
                <w:szCs w:val="24"/>
              </w:rPr>
            </w:pPr>
          </w:p>
        </w:tc>
        <w:tc>
          <w:tcPr>
            <w:tcW w:w="397" w:type="pct"/>
            <w:vAlign w:val="center"/>
          </w:tcPr>
          <w:p w14:paraId="754F58C3">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SE</w:t>
            </w:r>
          </w:p>
        </w:tc>
        <w:tc>
          <w:tcPr>
            <w:tcW w:w="349" w:type="pct"/>
            <w:vAlign w:val="center"/>
          </w:tcPr>
          <w:p w14:paraId="0BF5E8C2">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2689</w:t>
            </w:r>
          </w:p>
        </w:tc>
      </w:tr>
      <w:tr w14:paraId="136B4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4" w:type="pct"/>
            <w:vAlign w:val="center"/>
          </w:tcPr>
          <w:p w14:paraId="7A81BFA0">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19</w:t>
            </w:r>
          </w:p>
        </w:tc>
        <w:tc>
          <w:tcPr>
            <w:tcW w:w="846" w:type="pct"/>
            <w:gridSpan w:val="2"/>
            <w:vAlign w:val="center"/>
          </w:tcPr>
          <w:p w14:paraId="0058B400">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杨家湾</w:t>
            </w:r>
          </w:p>
        </w:tc>
        <w:tc>
          <w:tcPr>
            <w:tcW w:w="906" w:type="pct"/>
            <w:vAlign w:val="center"/>
          </w:tcPr>
          <w:p w14:paraId="1706A212">
            <w:pPr>
              <w:jc w:val="center"/>
              <w:rPr>
                <w:rFonts w:hint="eastAsia"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111.88234091</w:t>
            </w:r>
          </w:p>
        </w:tc>
        <w:tc>
          <w:tcPr>
            <w:tcW w:w="868" w:type="pct"/>
            <w:vAlign w:val="center"/>
          </w:tcPr>
          <w:p w14:paraId="22CB3FAE">
            <w:pPr>
              <w:jc w:val="center"/>
              <w:rPr>
                <w:rFonts w:hint="eastAsia"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 xml:space="preserve"> 29.54911857</w:t>
            </w:r>
          </w:p>
        </w:tc>
        <w:tc>
          <w:tcPr>
            <w:tcW w:w="292" w:type="pct"/>
            <w:shd w:val="clear" w:color="auto" w:fill="auto"/>
            <w:vAlign w:val="center"/>
          </w:tcPr>
          <w:p w14:paraId="238A969B">
            <w:pPr>
              <w:jc w:val="center"/>
              <w:rPr>
                <w:rFonts w:hint="eastAsia"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rPr>
              <w:t>散居村庄</w:t>
            </w:r>
          </w:p>
        </w:tc>
        <w:tc>
          <w:tcPr>
            <w:tcW w:w="268" w:type="pct"/>
            <w:shd w:val="clear" w:color="auto" w:fill="auto"/>
            <w:vAlign w:val="center"/>
          </w:tcPr>
          <w:p w14:paraId="3B42AA99">
            <w:pPr>
              <w:jc w:val="center"/>
              <w:rPr>
                <w:rFonts w:hint="eastAsia"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rPr>
              <w:t>人群</w:t>
            </w:r>
          </w:p>
        </w:tc>
        <w:tc>
          <w:tcPr>
            <w:tcW w:w="528" w:type="pct"/>
            <w:vAlign w:val="center"/>
          </w:tcPr>
          <w:p w14:paraId="12F099CC">
            <w:pPr>
              <w:jc w:val="center"/>
              <w:rPr>
                <w:rFonts w:hint="eastAsia"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rPr>
              <w:t>居住，</w:t>
            </w:r>
            <w:r>
              <w:rPr>
                <w:rFonts w:hint="eastAsia" w:ascii="Times New Roman" w:hAnsi="Times New Roman" w:eastAsia="宋体" w:cs="Times New Roman"/>
                <w:color w:val="auto"/>
                <w:sz w:val="22"/>
                <w:szCs w:val="24"/>
                <w:lang w:val="en-US" w:eastAsia="zh-CN"/>
              </w:rPr>
              <w:t>50</w:t>
            </w:r>
            <w:r>
              <w:rPr>
                <w:rFonts w:hint="eastAsia" w:ascii="Times New Roman" w:hAnsi="Times New Roman" w:eastAsia="宋体" w:cs="Times New Roman"/>
                <w:color w:val="auto"/>
                <w:sz w:val="22"/>
                <w:szCs w:val="24"/>
              </w:rPr>
              <w:t>户，约</w:t>
            </w:r>
            <w:r>
              <w:rPr>
                <w:rFonts w:hint="eastAsia" w:ascii="Times New Roman" w:hAnsi="Times New Roman" w:eastAsia="宋体" w:cs="Times New Roman"/>
                <w:color w:val="auto"/>
                <w:sz w:val="22"/>
                <w:szCs w:val="24"/>
                <w:lang w:val="en-US" w:eastAsia="zh-CN"/>
              </w:rPr>
              <w:t>150</w:t>
            </w:r>
            <w:r>
              <w:rPr>
                <w:rFonts w:hint="eastAsia" w:ascii="Times New Roman" w:hAnsi="Times New Roman" w:eastAsia="宋体" w:cs="Times New Roman"/>
                <w:color w:val="auto"/>
                <w:sz w:val="22"/>
                <w:szCs w:val="24"/>
              </w:rPr>
              <w:t>人</w:t>
            </w:r>
          </w:p>
        </w:tc>
        <w:tc>
          <w:tcPr>
            <w:tcW w:w="279" w:type="pct"/>
            <w:vMerge w:val="continue"/>
            <w:vAlign w:val="center"/>
          </w:tcPr>
          <w:p w14:paraId="76405A7E">
            <w:pPr>
              <w:jc w:val="center"/>
              <w:rPr>
                <w:rFonts w:ascii="Times New Roman" w:hAnsi="Times New Roman" w:eastAsia="宋体" w:cs="Times New Roman"/>
                <w:color w:val="auto"/>
                <w:sz w:val="22"/>
                <w:szCs w:val="24"/>
              </w:rPr>
            </w:pPr>
          </w:p>
        </w:tc>
        <w:tc>
          <w:tcPr>
            <w:tcW w:w="397" w:type="pct"/>
            <w:vAlign w:val="center"/>
          </w:tcPr>
          <w:p w14:paraId="1769AB2D">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SE</w:t>
            </w:r>
          </w:p>
        </w:tc>
        <w:tc>
          <w:tcPr>
            <w:tcW w:w="349" w:type="pct"/>
            <w:vAlign w:val="center"/>
          </w:tcPr>
          <w:p w14:paraId="5B789039">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1567</w:t>
            </w:r>
          </w:p>
        </w:tc>
      </w:tr>
      <w:tr w14:paraId="604A5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4" w:type="pct"/>
            <w:vAlign w:val="center"/>
          </w:tcPr>
          <w:p w14:paraId="1255D597">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20</w:t>
            </w:r>
          </w:p>
        </w:tc>
        <w:tc>
          <w:tcPr>
            <w:tcW w:w="846" w:type="pct"/>
            <w:gridSpan w:val="2"/>
            <w:vAlign w:val="center"/>
          </w:tcPr>
          <w:p w14:paraId="5DB72518">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邬家铺</w:t>
            </w:r>
          </w:p>
        </w:tc>
        <w:tc>
          <w:tcPr>
            <w:tcW w:w="906" w:type="pct"/>
            <w:vAlign w:val="center"/>
          </w:tcPr>
          <w:p w14:paraId="201E69F9">
            <w:pPr>
              <w:jc w:val="center"/>
              <w:rPr>
                <w:rFonts w:hint="eastAsia"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111.87058210</w:t>
            </w:r>
          </w:p>
        </w:tc>
        <w:tc>
          <w:tcPr>
            <w:tcW w:w="868" w:type="pct"/>
            <w:vAlign w:val="center"/>
          </w:tcPr>
          <w:p w14:paraId="5A046886">
            <w:pPr>
              <w:jc w:val="center"/>
              <w:rPr>
                <w:rFonts w:hint="eastAsia"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29.54161426</w:t>
            </w:r>
          </w:p>
        </w:tc>
        <w:tc>
          <w:tcPr>
            <w:tcW w:w="292" w:type="pct"/>
            <w:shd w:val="clear" w:color="auto" w:fill="auto"/>
            <w:vAlign w:val="center"/>
          </w:tcPr>
          <w:p w14:paraId="7E753113">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rPr>
              <w:t>散居村庄</w:t>
            </w:r>
          </w:p>
        </w:tc>
        <w:tc>
          <w:tcPr>
            <w:tcW w:w="268" w:type="pct"/>
            <w:shd w:val="clear" w:color="auto" w:fill="auto"/>
            <w:vAlign w:val="center"/>
          </w:tcPr>
          <w:p w14:paraId="57516F2F">
            <w:pPr>
              <w:jc w:val="center"/>
              <w:rPr>
                <w:rFonts w:hint="eastAsia"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rPr>
              <w:t>人群</w:t>
            </w:r>
          </w:p>
        </w:tc>
        <w:tc>
          <w:tcPr>
            <w:tcW w:w="528" w:type="pct"/>
            <w:shd w:val="clear" w:color="auto" w:fill="auto"/>
            <w:vAlign w:val="center"/>
          </w:tcPr>
          <w:p w14:paraId="567EB4B4">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rPr>
              <w:t>居住，</w:t>
            </w:r>
            <w:r>
              <w:rPr>
                <w:rFonts w:hint="eastAsia" w:ascii="Times New Roman" w:hAnsi="Times New Roman" w:eastAsia="宋体" w:cs="Times New Roman"/>
                <w:color w:val="auto"/>
                <w:sz w:val="22"/>
                <w:szCs w:val="24"/>
                <w:lang w:val="en-US" w:eastAsia="zh-CN"/>
              </w:rPr>
              <w:t>30</w:t>
            </w:r>
            <w:r>
              <w:rPr>
                <w:rFonts w:hint="eastAsia" w:ascii="Times New Roman" w:hAnsi="Times New Roman" w:eastAsia="宋体" w:cs="Times New Roman"/>
                <w:color w:val="auto"/>
                <w:sz w:val="22"/>
                <w:szCs w:val="24"/>
              </w:rPr>
              <w:t>户，约</w:t>
            </w:r>
            <w:r>
              <w:rPr>
                <w:rFonts w:hint="eastAsia" w:ascii="Times New Roman" w:hAnsi="Times New Roman" w:eastAsia="宋体" w:cs="Times New Roman"/>
                <w:color w:val="auto"/>
                <w:sz w:val="22"/>
                <w:szCs w:val="24"/>
                <w:lang w:val="en-US" w:eastAsia="zh-CN"/>
              </w:rPr>
              <w:t>90</w:t>
            </w:r>
            <w:r>
              <w:rPr>
                <w:rFonts w:hint="eastAsia" w:ascii="Times New Roman" w:hAnsi="Times New Roman" w:eastAsia="宋体" w:cs="Times New Roman"/>
                <w:color w:val="auto"/>
                <w:sz w:val="22"/>
                <w:szCs w:val="24"/>
              </w:rPr>
              <w:t>人</w:t>
            </w:r>
          </w:p>
        </w:tc>
        <w:tc>
          <w:tcPr>
            <w:tcW w:w="279" w:type="pct"/>
            <w:vMerge w:val="continue"/>
            <w:vAlign w:val="center"/>
          </w:tcPr>
          <w:p w14:paraId="3F22387E">
            <w:pPr>
              <w:jc w:val="center"/>
              <w:rPr>
                <w:rFonts w:ascii="Times New Roman" w:hAnsi="Times New Roman" w:eastAsia="宋体" w:cs="Times New Roman"/>
                <w:color w:val="auto"/>
                <w:sz w:val="22"/>
                <w:szCs w:val="24"/>
              </w:rPr>
            </w:pPr>
          </w:p>
        </w:tc>
        <w:tc>
          <w:tcPr>
            <w:tcW w:w="397" w:type="pct"/>
            <w:vAlign w:val="center"/>
          </w:tcPr>
          <w:p w14:paraId="5BBEC6B8">
            <w:pPr>
              <w:jc w:val="center"/>
              <w:rPr>
                <w:rFonts w:hint="eastAsia"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S</w:t>
            </w:r>
          </w:p>
        </w:tc>
        <w:tc>
          <w:tcPr>
            <w:tcW w:w="349" w:type="pct"/>
            <w:vAlign w:val="center"/>
          </w:tcPr>
          <w:p w14:paraId="78A88681">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2109</w:t>
            </w:r>
          </w:p>
        </w:tc>
      </w:tr>
      <w:tr w14:paraId="3773C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4" w:type="pct"/>
            <w:vAlign w:val="center"/>
          </w:tcPr>
          <w:p w14:paraId="7F7A44A6">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21</w:t>
            </w:r>
          </w:p>
        </w:tc>
        <w:tc>
          <w:tcPr>
            <w:tcW w:w="846" w:type="pct"/>
            <w:gridSpan w:val="2"/>
            <w:vAlign w:val="center"/>
          </w:tcPr>
          <w:p w14:paraId="10A88081">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利民小区</w:t>
            </w:r>
          </w:p>
        </w:tc>
        <w:tc>
          <w:tcPr>
            <w:tcW w:w="906" w:type="pct"/>
            <w:vAlign w:val="center"/>
          </w:tcPr>
          <w:p w14:paraId="2B56936E">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111.86232090</w:t>
            </w:r>
          </w:p>
        </w:tc>
        <w:tc>
          <w:tcPr>
            <w:tcW w:w="868" w:type="pct"/>
            <w:vAlign w:val="center"/>
          </w:tcPr>
          <w:p w14:paraId="3362B023">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29.58405667</w:t>
            </w:r>
          </w:p>
        </w:tc>
        <w:tc>
          <w:tcPr>
            <w:tcW w:w="292" w:type="pct"/>
            <w:vAlign w:val="center"/>
          </w:tcPr>
          <w:p w14:paraId="6C0C0C00">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居民区</w:t>
            </w:r>
          </w:p>
        </w:tc>
        <w:tc>
          <w:tcPr>
            <w:tcW w:w="268" w:type="pct"/>
            <w:vAlign w:val="center"/>
          </w:tcPr>
          <w:p w14:paraId="25353B50">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人群</w:t>
            </w:r>
          </w:p>
        </w:tc>
        <w:tc>
          <w:tcPr>
            <w:tcW w:w="528" w:type="pct"/>
            <w:vAlign w:val="center"/>
          </w:tcPr>
          <w:p w14:paraId="06312157">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居住，</w:t>
            </w:r>
            <w:r>
              <w:rPr>
                <w:rFonts w:hint="eastAsia" w:ascii="Times New Roman" w:hAnsi="Times New Roman" w:eastAsia="宋体" w:cs="Times New Roman"/>
                <w:color w:val="auto"/>
                <w:sz w:val="22"/>
                <w:szCs w:val="24"/>
                <w:lang w:val="en-US" w:eastAsia="zh-CN"/>
              </w:rPr>
              <w:t>400</w:t>
            </w:r>
            <w:r>
              <w:rPr>
                <w:rFonts w:hint="eastAsia" w:ascii="Times New Roman" w:hAnsi="Times New Roman" w:eastAsia="宋体" w:cs="Times New Roman"/>
                <w:color w:val="auto"/>
                <w:sz w:val="22"/>
                <w:szCs w:val="24"/>
              </w:rPr>
              <w:t>户，约</w:t>
            </w:r>
            <w:r>
              <w:rPr>
                <w:rFonts w:hint="eastAsia" w:ascii="Times New Roman" w:hAnsi="Times New Roman" w:eastAsia="宋体" w:cs="Times New Roman"/>
                <w:color w:val="auto"/>
                <w:sz w:val="22"/>
                <w:szCs w:val="24"/>
                <w:lang w:val="en-US" w:eastAsia="zh-CN"/>
              </w:rPr>
              <w:t>1200</w:t>
            </w:r>
            <w:r>
              <w:rPr>
                <w:rFonts w:hint="eastAsia" w:ascii="Times New Roman" w:hAnsi="Times New Roman" w:eastAsia="宋体" w:cs="Times New Roman"/>
                <w:color w:val="auto"/>
                <w:sz w:val="22"/>
                <w:szCs w:val="24"/>
              </w:rPr>
              <w:t>人</w:t>
            </w:r>
          </w:p>
        </w:tc>
        <w:tc>
          <w:tcPr>
            <w:tcW w:w="279" w:type="pct"/>
            <w:vAlign w:val="center"/>
          </w:tcPr>
          <w:p w14:paraId="25D8BFB4">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二类区</w:t>
            </w:r>
          </w:p>
        </w:tc>
        <w:tc>
          <w:tcPr>
            <w:tcW w:w="397" w:type="pct"/>
            <w:vAlign w:val="center"/>
          </w:tcPr>
          <w:p w14:paraId="073F1F9B">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NW</w:t>
            </w:r>
          </w:p>
        </w:tc>
        <w:tc>
          <w:tcPr>
            <w:tcW w:w="349" w:type="pct"/>
            <w:vAlign w:val="center"/>
          </w:tcPr>
          <w:p w14:paraId="1BAC2E2A">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2622</w:t>
            </w:r>
          </w:p>
        </w:tc>
      </w:tr>
      <w:tr w14:paraId="31531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4" w:type="pct"/>
            <w:vAlign w:val="center"/>
          </w:tcPr>
          <w:p w14:paraId="5EF4A46E">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22</w:t>
            </w:r>
          </w:p>
        </w:tc>
        <w:tc>
          <w:tcPr>
            <w:tcW w:w="846" w:type="pct"/>
            <w:gridSpan w:val="2"/>
            <w:vAlign w:val="center"/>
          </w:tcPr>
          <w:p w14:paraId="6A550838">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嘉山风景名胜区</w:t>
            </w:r>
          </w:p>
        </w:tc>
        <w:tc>
          <w:tcPr>
            <w:tcW w:w="906" w:type="pct"/>
            <w:vAlign w:val="center"/>
          </w:tcPr>
          <w:p w14:paraId="5B293AA3">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c>
          <w:tcPr>
            <w:tcW w:w="868" w:type="pct"/>
            <w:vAlign w:val="center"/>
          </w:tcPr>
          <w:p w14:paraId="57BB6770">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c>
          <w:tcPr>
            <w:tcW w:w="560" w:type="pct"/>
            <w:gridSpan w:val="2"/>
            <w:vAlign w:val="center"/>
          </w:tcPr>
          <w:p w14:paraId="4B7C26ED">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风景名胜区</w:t>
            </w:r>
          </w:p>
        </w:tc>
        <w:tc>
          <w:tcPr>
            <w:tcW w:w="528" w:type="pct"/>
            <w:vAlign w:val="center"/>
          </w:tcPr>
          <w:p w14:paraId="74EE39DF">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c>
          <w:tcPr>
            <w:tcW w:w="279" w:type="pct"/>
            <w:vAlign w:val="center"/>
          </w:tcPr>
          <w:p w14:paraId="722F0FCD">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一类区</w:t>
            </w:r>
          </w:p>
        </w:tc>
        <w:tc>
          <w:tcPr>
            <w:tcW w:w="397" w:type="pct"/>
            <w:vAlign w:val="center"/>
          </w:tcPr>
          <w:p w14:paraId="127E2BFA">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S</w:t>
            </w:r>
          </w:p>
        </w:tc>
        <w:tc>
          <w:tcPr>
            <w:tcW w:w="349" w:type="pct"/>
            <w:vAlign w:val="center"/>
          </w:tcPr>
          <w:p w14:paraId="0D69DD15">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267</w:t>
            </w:r>
          </w:p>
        </w:tc>
      </w:tr>
      <w:tr w14:paraId="188ED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4" w:type="pct"/>
            <w:shd w:val="clear" w:color="auto" w:fill="auto"/>
            <w:vAlign w:val="center"/>
          </w:tcPr>
          <w:p w14:paraId="5BD1E8AE">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lang w:val="en-US" w:eastAsia="zh-CN"/>
              </w:rPr>
              <w:t>23</w:t>
            </w:r>
          </w:p>
        </w:tc>
        <w:tc>
          <w:tcPr>
            <w:tcW w:w="846" w:type="pct"/>
            <w:gridSpan w:val="2"/>
            <w:shd w:val="clear" w:color="auto" w:fill="auto"/>
            <w:vAlign w:val="center"/>
          </w:tcPr>
          <w:p w14:paraId="1ED83F9E">
            <w:pPr>
              <w:jc w:val="center"/>
              <w:rPr>
                <w:rFonts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rPr>
              <w:t>津市市澧水河口湿地保护区</w:t>
            </w:r>
          </w:p>
        </w:tc>
        <w:tc>
          <w:tcPr>
            <w:tcW w:w="906" w:type="pct"/>
            <w:shd w:val="clear" w:color="auto" w:fill="auto"/>
            <w:vAlign w:val="center"/>
          </w:tcPr>
          <w:p w14:paraId="690D5328">
            <w:pPr>
              <w:jc w:val="center"/>
              <w:rPr>
                <w:rFonts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rPr>
              <w:t>/</w:t>
            </w:r>
          </w:p>
        </w:tc>
        <w:tc>
          <w:tcPr>
            <w:tcW w:w="868" w:type="pct"/>
            <w:shd w:val="clear" w:color="auto" w:fill="auto"/>
            <w:vAlign w:val="center"/>
          </w:tcPr>
          <w:p w14:paraId="3F3C1FAA">
            <w:pPr>
              <w:jc w:val="center"/>
              <w:rPr>
                <w:rFonts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rPr>
              <w:t>/</w:t>
            </w:r>
          </w:p>
        </w:tc>
        <w:tc>
          <w:tcPr>
            <w:tcW w:w="560" w:type="pct"/>
            <w:gridSpan w:val="2"/>
            <w:shd w:val="clear" w:color="auto" w:fill="auto"/>
            <w:vAlign w:val="center"/>
          </w:tcPr>
          <w:p w14:paraId="00979973">
            <w:pPr>
              <w:jc w:val="center"/>
              <w:rPr>
                <w:rFonts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rPr>
              <w:t>湿地保护区</w:t>
            </w:r>
          </w:p>
        </w:tc>
        <w:tc>
          <w:tcPr>
            <w:tcW w:w="528" w:type="pct"/>
            <w:shd w:val="clear" w:color="auto" w:fill="auto"/>
            <w:vAlign w:val="center"/>
          </w:tcPr>
          <w:p w14:paraId="52E67857">
            <w:pPr>
              <w:jc w:val="center"/>
              <w:rPr>
                <w:rFonts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rPr>
              <w:t>/</w:t>
            </w:r>
          </w:p>
        </w:tc>
        <w:tc>
          <w:tcPr>
            <w:tcW w:w="279" w:type="pct"/>
            <w:shd w:val="clear" w:color="auto" w:fill="auto"/>
            <w:vAlign w:val="center"/>
          </w:tcPr>
          <w:p w14:paraId="6EA377D9">
            <w:pPr>
              <w:jc w:val="center"/>
              <w:rPr>
                <w:rFonts w:ascii="Times New Roman" w:hAnsi="Times New Roman" w:eastAsia="宋体" w:cs="Times New Roman"/>
                <w:color w:val="auto"/>
                <w:kern w:val="2"/>
                <w:sz w:val="22"/>
                <w:szCs w:val="24"/>
                <w:lang w:val="en-US" w:eastAsia="zh-CN" w:bidi="ar-SA"/>
              </w:rPr>
            </w:pPr>
          </w:p>
        </w:tc>
        <w:tc>
          <w:tcPr>
            <w:tcW w:w="397" w:type="pct"/>
            <w:shd w:val="clear" w:color="auto" w:fill="auto"/>
            <w:vAlign w:val="center"/>
          </w:tcPr>
          <w:p w14:paraId="1039A7C3">
            <w:pPr>
              <w:jc w:val="center"/>
              <w:rPr>
                <w:rFonts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rPr>
              <w:t>E</w:t>
            </w:r>
          </w:p>
        </w:tc>
        <w:tc>
          <w:tcPr>
            <w:tcW w:w="349" w:type="pct"/>
            <w:shd w:val="clear" w:color="auto" w:fill="auto"/>
            <w:vAlign w:val="center"/>
          </w:tcPr>
          <w:p w14:paraId="0EE594EC">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600</w:t>
            </w:r>
          </w:p>
        </w:tc>
      </w:tr>
    </w:tbl>
    <w:p w14:paraId="0AA5B76D">
      <w:pPr>
        <w:jc w:val="center"/>
        <w:rPr>
          <w:rFonts w:ascii="Times New Roman" w:hAnsi="Times New Roman" w:eastAsia="宋体" w:cs="Times New Roman"/>
          <w:b/>
          <w:bCs/>
          <w:color w:val="FF0000"/>
          <w:sz w:val="22"/>
          <w:szCs w:val="24"/>
        </w:rPr>
      </w:pPr>
    </w:p>
    <w:p w14:paraId="51F157BB">
      <w:pPr>
        <w:pStyle w:val="6"/>
        <w:bidi w:val="0"/>
      </w:pPr>
      <w:r>
        <w:rPr>
          <w:rFonts w:hint="eastAsia"/>
        </w:rPr>
        <w:t>表2.6-2    评价区域内水环境、声环境、生态环境目标一览表</w:t>
      </w:r>
    </w:p>
    <w:tbl>
      <w:tblPr>
        <w:tblStyle w:val="41"/>
        <w:tblW w:w="4799" w:type="pct"/>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8"/>
        <w:gridCol w:w="1007"/>
        <w:gridCol w:w="882"/>
        <w:gridCol w:w="2060"/>
        <w:gridCol w:w="1203"/>
        <w:gridCol w:w="1990"/>
        <w:gridCol w:w="1726"/>
        <w:gridCol w:w="4028"/>
      </w:tblGrid>
      <w:tr w14:paraId="77FD1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 w:type="pct"/>
            <w:vAlign w:val="center"/>
          </w:tcPr>
          <w:p w14:paraId="32BF71A2">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序号</w:t>
            </w:r>
          </w:p>
        </w:tc>
        <w:tc>
          <w:tcPr>
            <w:tcW w:w="370" w:type="pct"/>
            <w:vAlign w:val="center"/>
          </w:tcPr>
          <w:p w14:paraId="75771F60">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项目</w:t>
            </w:r>
          </w:p>
        </w:tc>
        <w:tc>
          <w:tcPr>
            <w:tcW w:w="1081" w:type="pct"/>
            <w:gridSpan w:val="2"/>
            <w:vAlign w:val="center"/>
          </w:tcPr>
          <w:p w14:paraId="75FBA9AC">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环境保护目标</w:t>
            </w:r>
          </w:p>
        </w:tc>
        <w:tc>
          <w:tcPr>
            <w:tcW w:w="442" w:type="pct"/>
            <w:vAlign w:val="center"/>
          </w:tcPr>
          <w:p w14:paraId="52A918CE">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方位</w:t>
            </w:r>
          </w:p>
        </w:tc>
        <w:tc>
          <w:tcPr>
            <w:tcW w:w="731" w:type="pct"/>
            <w:vAlign w:val="center"/>
          </w:tcPr>
          <w:p w14:paraId="3C297146">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距离厂界最近距离</w:t>
            </w:r>
          </w:p>
        </w:tc>
        <w:tc>
          <w:tcPr>
            <w:tcW w:w="633" w:type="pct"/>
            <w:vAlign w:val="center"/>
          </w:tcPr>
          <w:p w14:paraId="1CEB6D7D">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功能及规模</w:t>
            </w:r>
          </w:p>
        </w:tc>
        <w:tc>
          <w:tcPr>
            <w:tcW w:w="1480" w:type="pct"/>
            <w:vAlign w:val="center"/>
          </w:tcPr>
          <w:p w14:paraId="0ED40CD6">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环境功能及保护级别</w:t>
            </w:r>
          </w:p>
        </w:tc>
      </w:tr>
      <w:tr w14:paraId="15CC7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 w:type="pct"/>
            <w:vAlign w:val="center"/>
          </w:tcPr>
          <w:p w14:paraId="43A5A1E3">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1</w:t>
            </w:r>
          </w:p>
        </w:tc>
        <w:tc>
          <w:tcPr>
            <w:tcW w:w="370" w:type="pct"/>
            <w:vMerge w:val="restart"/>
            <w:vAlign w:val="center"/>
          </w:tcPr>
          <w:p w14:paraId="4440687E">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地表水</w:t>
            </w:r>
          </w:p>
        </w:tc>
        <w:tc>
          <w:tcPr>
            <w:tcW w:w="324" w:type="pct"/>
            <w:vAlign w:val="center"/>
          </w:tcPr>
          <w:p w14:paraId="75F57A3E">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澧水</w:t>
            </w:r>
          </w:p>
        </w:tc>
        <w:tc>
          <w:tcPr>
            <w:tcW w:w="756" w:type="pct"/>
            <w:vAlign w:val="center"/>
          </w:tcPr>
          <w:p w14:paraId="655F9FDF">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金鱼岭水厂取水口下游200m至津市工业园污水处理厂排污口下游1km</w:t>
            </w:r>
          </w:p>
        </w:tc>
        <w:tc>
          <w:tcPr>
            <w:tcW w:w="442" w:type="pct"/>
            <w:vAlign w:val="center"/>
          </w:tcPr>
          <w:p w14:paraId="208517E3">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E</w:t>
            </w:r>
          </w:p>
        </w:tc>
        <w:tc>
          <w:tcPr>
            <w:tcW w:w="731" w:type="pct"/>
            <w:vAlign w:val="center"/>
          </w:tcPr>
          <w:p w14:paraId="2CF22C31">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560</w:t>
            </w:r>
          </w:p>
        </w:tc>
        <w:tc>
          <w:tcPr>
            <w:tcW w:w="633" w:type="pct"/>
            <w:vAlign w:val="center"/>
          </w:tcPr>
          <w:p w14:paraId="61962DA3">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工业用水区</w:t>
            </w:r>
          </w:p>
        </w:tc>
        <w:tc>
          <w:tcPr>
            <w:tcW w:w="1480" w:type="pct"/>
            <w:vMerge w:val="restart"/>
            <w:vAlign w:val="center"/>
          </w:tcPr>
          <w:p w14:paraId="5961BE40">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《地表水环境质量标准》（GB3838-2002）Ⅲ类</w:t>
            </w:r>
          </w:p>
        </w:tc>
      </w:tr>
      <w:tr w14:paraId="45EEA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 w:type="pct"/>
            <w:vAlign w:val="center"/>
          </w:tcPr>
          <w:p w14:paraId="5FF03FCD">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2</w:t>
            </w:r>
          </w:p>
        </w:tc>
        <w:tc>
          <w:tcPr>
            <w:tcW w:w="370" w:type="pct"/>
            <w:vMerge w:val="continue"/>
            <w:vAlign w:val="center"/>
          </w:tcPr>
          <w:p w14:paraId="1ECC8D97">
            <w:pPr>
              <w:jc w:val="center"/>
              <w:rPr>
                <w:rFonts w:ascii="Times New Roman" w:hAnsi="Times New Roman" w:eastAsia="宋体" w:cs="Times New Roman"/>
                <w:color w:val="auto"/>
                <w:szCs w:val="21"/>
              </w:rPr>
            </w:pPr>
          </w:p>
        </w:tc>
        <w:tc>
          <w:tcPr>
            <w:tcW w:w="1081" w:type="pct"/>
            <w:gridSpan w:val="2"/>
            <w:vAlign w:val="center"/>
          </w:tcPr>
          <w:p w14:paraId="2860A5D6">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团湖</w:t>
            </w:r>
          </w:p>
        </w:tc>
        <w:tc>
          <w:tcPr>
            <w:tcW w:w="442" w:type="pct"/>
            <w:vAlign w:val="center"/>
          </w:tcPr>
          <w:p w14:paraId="1EC6BD43">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NW</w:t>
            </w:r>
          </w:p>
        </w:tc>
        <w:tc>
          <w:tcPr>
            <w:tcW w:w="731" w:type="pct"/>
            <w:vAlign w:val="center"/>
          </w:tcPr>
          <w:p w14:paraId="495787DC">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614</w:t>
            </w:r>
          </w:p>
        </w:tc>
        <w:tc>
          <w:tcPr>
            <w:tcW w:w="633" w:type="pct"/>
            <w:vAlign w:val="center"/>
          </w:tcPr>
          <w:p w14:paraId="3E03D891">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农业用水区</w:t>
            </w:r>
          </w:p>
        </w:tc>
        <w:tc>
          <w:tcPr>
            <w:tcW w:w="1480" w:type="pct"/>
            <w:vMerge w:val="continue"/>
            <w:vAlign w:val="center"/>
          </w:tcPr>
          <w:p w14:paraId="3497FDC1">
            <w:pPr>
              <w:jc w:val="center"/>
              <w:rPr>
                <w:rFonts w:ascii="Times New Roman" w:hAnsi="Times New Roman" w:eastAsia="宋体" w:cs="Times New Roman"/>
                <w:color w:val="auto"/>
                <w:szCs w:val="21"/>
              </w:rPr>
            </w:pPr>
          </w:p>
        </w:tc>
      </w:tr>
      <w:tr w14:paraId="24B8B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 w:type="pct"/>
            <w:vAlign w:val="center"/>
          </w:tcPr>
          <w:p w14:paraId="70C0580D">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3</w:t>
            </w:r>
          </w:p>
        </w:tc>
        <w:tc>
          <w:tcPr>
            <w:tcW w:w="370" w:type="pct"/>
            <w:vMerge w:val="continue"/>
            <w:vAlign w:val="center"/>
          </w:tcPr>
          <w:p w14:paraId="1DFEE23C">
            <w:pPr>
              <w:jc w:val="center"/>
              <w:rPr>
                <w:rFonts w:ascii="Times New Roman" w:hAnsi="Times New Roman" w:eastAsia="宋体" w:cs="Times New Roman"/>
                <w:color w:val="auto"/>
                <w:szCs w:val="21"/>
              </w:rPr>
            </w:pPr>
          </w:p>
        </w:tc>
        <w:tc>
          <w:tcPr>
            <w:tcW w:w="1081" w:type="pct"/>
            <w:gridSpan w:val="2"/>
            <w:vAlign w:val="center"/>
          </w:tcPr>
          <w:p w14:paraId="5639E6D8">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胥家湖</w:t>
            </w:r>
          </w:p>
        </w:tc>
        <w:tc>
          <w:tcPr>
            <w:tcW w:w="442" w:type="pct"/>
            <w:vAlign w:val="center"/>
          </w:tcPr>
          <w:p w14:paraId="0659DE83">
            <w:pPr>
              <w:jc w:val="center"/>
              <w:rPr>
                <w:rFonts w:hint="eastAsia" w:ascii="Times New Roman" w:hAnsi="Times New Roman" w:eastAsia="宋体" w:cs="Times New Roman"/>
                <w:color w:val="auto"/>
                <w:szCs w:val="21"/>
                <w:lang w:eastAsia="zh-CN"/>
              </w:rPr>
            </w:pPr>
            <w:r>
              <w:rPr>
                <w:rFonts w:hint="eastAsia" w:ascii="Times New Roman" w:hAnsi="Times New Roman" w:eastAsia="宋体" w:cs="Times New Roman"/>
                <w:color w:val="auto"/>
                <w:szCs w:val="21"/>
                <w:lang w:val="en-US" w:eastAsia="zh-CN"/>
              </w:rPr>
              <w:t>W</w:t>
            </w:r>
          </w:p>
        </w:tc>
        <w:tc>
          <w:tcPr>
            <w:tcW w:w="731" w:type="pct"/>
            <w:vAlign w:val="center"/>
          </w:tcPr>
          <w:p w14:paraId="40BA0C99">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621</w:t>
            </w:r>
          </w:p>
        </w:tc>
        <w:tc>
          <w:tcPr>
            <w:tcW w:w="633" w:type="pct"/>
            <w:vAlign w:val="center"/>
          </w:tcPr>
          <w:p w14:paraId="3C822E96">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农业用水区</w:t>
            </w:r>
          </w:p>
        </w:tc>
        <w:tc>
          <w:tcPr>
            <w:tcW w:w="1480" w:type="pct"/>
            <w:vMerge w:val="continue"/>
            <w:vAlign w:val="center"/>
          </w:tcPr>
          <w:p w14:paraId="694204A2">
            <w:pPr>
              <w:jc w:val="center"/>
              <w:rPr>
                <w:rFonts w:ascii="Times New Roman" w:hAnsi="Times New Roman" w:eastAsia="宋体" w:cs="Times New Roman"/>
                <w:color w:val="auto"/>
                <w:szCs w:val="21"/>
              </w:rPr>
            </w:pPr>
          </w:p>
        </w:tc>
      </w:tr>
      <w:tr w14:paraId="372A5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 w:type="pct"/>
            <w:vAlign w:val="center"/>
          </w:tcPr>
          <w:p w14:paraId="5DD2FAEC">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4</w:t>
            </w:r>
          </w:p>
        </w:tc>
        <w:tc>
          <w:tcPr>
            <w:tcW w:w="370" w:type="pct"/>
            <w:vAlign w:val="center"/>
          </w:tcPr>
          <w:p w14:paraId="01F107DB">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地下水</w:t>
            </w:r>
          </w:p>
        </w:tc>
        <w:tc>
          <w:tcPr>
            <w:tcW w:w="1081" w:type="pct"/>
            <w:gridSpan w:val="2"/>
            <w:vAlign w:val="center"/>
          </w:tcPr>
          <w:p w14:paraId="16C7010D">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w:t>
            </w:r>
          </w:p>
        </w:tc>
        <w:tc>
          <w:tcPr>
            <w:tcW w:w="442" w:type="pct"/>
            <w:vAlign w:val="center"/>
          </w:tcPr>
          <w:p w14:paraId="6B8014CE">
            <w:pPr>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w:t>
            </w:r>
          </w:p>
        </w:tc>
        <w:tc>
          <w:tcPr>
            <w:tcW w:w="731" w:type="pct"/>
            <w:vAlign w:val="center"/>
          </w:tcPr>
          <w:p w14:paraId="2BAB25D0">
            <w:pPr>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w:t>
            </w:r>
          </w:p>
        </w:tc>
        <w:tc>
          <w:tcPr>
            <w:tcW w:w="633" w:type="pct"/>
            <w:vAlign w:val="center"/>
          </w:tcPr>
          <w:p w14:paraId="5FD66385">
            <w:pPr>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w:t>
            </w:r>
          </w:p>
        </w:tc>
        <w:tc>
          <w:tcPr>
            <w:tcW w:w="1480" w:type="pct"/>
            <w:vAlign w:val="center"/>
          </w:tcPr>
          <w:p w14:paraId="3EB4BFAE">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《地下水质量标准》（GB/T14848-2017）Ⅲ</w:t>
            </w:r>
            <w:r>
              <w:rPr>
                <w:rFonts w:ascii="Times New Roman" w:hAnsi="Times New Roman" w:eastAsia="宋体" w:cs="Times New Roman"/>
                <w:color w:val="auto"/>
                <w:szCs w:val="21"/>
              </w:rPr>
              <w:t>类</w:t>
            </w:r>
          </w:p>
        </w:tc>
      </w:tr>
      <w:tr w14:paraId="2269D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 w:type="pct"/>
            <w:vAlign w:val="center"/>
          </w:tcPr>
          <w:p w14:paraId="6DA41083">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5</w:t>
            </w:r>
          </w:p>
        </w:tc>
        <w:tc>
          <w:tcPr>
            <w:tcW w:w="370" w:type="pct"/>
            <w:vAlign w:val="center"/>
          </w:tcPr>
          <w:p w14:paraId="4A1A68CD">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声环境</w:t>
            </w:r>
          </w:p>
        </w:tc>
        <w:tc>
          <w:tcPr>
            <w:tcW w:w="2888" w:type="pct"/>
            <w:gridSpan w:val="5"/>
            <w:vAlign w:val="center"/>
          </w:tcPr>
          <w:p w14:paraId="72335A02">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200m范围内无敏感目标</w:t>
            </w:r>
          </w:p>
        </w:tc>
        <w:tc>
          <w:tcPr>
            <w:tcW w:w="1480" w:type="pct"/>
            <w:vAlign w:val="center"/>
          </w:tcPr>
          <w:p w14:paraId="37110141">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w:t>
            </w:r>
            <w:r>
              <w:rPr>
                <w:rFonts w:ascii="Times New Roman" w:hAnsi="Times New Roman" w:eastAsia="宋体" w:cs="Times New Roman"/>
                <w:color w:val="auto"/>
                <w:szCs w:val="21"/>
              </w:rPr>
              <w:t>声环境质量标准》（GB3096-2008）中的3类标准，交通干线两侧执行4a类标准。</w:t>
            </w:r>
          </w:p>
        </w:tc>
      </w:tr>
      <w:tr w14:paraId="4DF01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 w:type="pct"/>
            <w:vAlign w:val="center"/>
          </w:tcPr>
          <w:p w14:paraId="3F0FF9DB">
            <w:pPr>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6</w:t>
            </w:r>
          </w:p>
        </w:tc>
        <w:tc>
          <w:tcPr>
            <w:tcW w:w="370" w:type="pct"/>
            <w:vMerge w:val="restart"/>
            <w:vAlign w:val="center"/>
          </w:tcPr>
          <w:p w14:paraId="62F115C2">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生态敏感目标</w:t>
            </w:r>
          </w:p>
        </w:tc>
        <w:tc>
          <w:tcPr>
            <w:tcW w:w="2888" w:type="pct"/>
            <w:gridSpan w:val="5"/>
            <w:vAlign w:val="center"/>
          </w:tcPr>
          <w:p w14:paraId="55DC8D17">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嘉山省级风景名胜区</w:t>
            </w:r>
          </w:p>
        </w:tc>
        <w:tc>
          <w:tcPr>
            <w:tcW w:w="1480" w:type="pct"/>
            <w:vMerge w:val="restart"/>
            <w:vAlign w:val="center"/>
          </w:tcPr>
          <w:p w14:paraId="091D8E7D">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不涉及生态红线</w:t>
            </w:r>
          </w:p>
        </w:tc>
      </w:tr>
      <w:tr w14:paraId="34F4B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 w:type="pct"/>
            <w:vAlign w:val="center"/>
          </w:tcPr>
          <w:p w14:paraId="0DC15594">
            <w:pPr>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7</w:t>
            </w:r>
          </w:p>
        </w:tc>
        <w:tc>
          <w:tcPr>
            <w:tcW w:w="370" w:type="pct"/>
            <w:vMerge w:val="continue"/>
            <w:vAlign w:val="center"/>
          </w:tcPr>
          <w:p w14:paraId="4CFCBEB8">
            <w:pPr>
              <w:jc w:val="center"/>
              <w:rPr>
                <w:rFonts w:ascii="Times New Roman" w:hAnsi="Times New Roman" w:eastAsia="宋体" w:cs="Times New Roman"/>
                <w:color w:val="auto"/>
                <w:szCs w:val="21"/>
              </w:rPr>
            </w:pPr>
          </w:p>
        </w:tc>
        <w:tc>
          <w:tcPr>
            <w:tcW w:w="2888" w:type="pct"/>
            <w:gridSpan w:val="5"/>
            <w:vAlign w:val="center"/>
          </w:tcPr>
          <w:p w14:paraId="172D7C47">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湖南嘉山国家森林公园</w:t>
            </w:r>
          </w:p>
        </w:tc>
        <w:tc>
          <w:tcPr>
            <w:tcW w:w="1480" w:type="pct"/>
            <w:vMerge w:val="continue"/>
            <w:vAlign w:val="center"/>
          </w:tcPr>
          <w:p w14:paraId="470564B1">
            <w:pPr>
              <w:jc w:val="center"/>
              <w:rPr>
                <w:rFonts w:ascii="Times New Roman" w:hAnsi="Times New Roman" w:eastAsia="宋体" w:cs="Times New Roman"/>
                <w:color w:val="auto"/>
                <w:szCs w:val="21"/>
              </w:rPr>
            </w:pPr>
          </w:p>
        </w:tc>
      </w:tr>
      <w:tr w14:paraId="2D650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 w:type="pct"/>
            <w:vAlign w:val="center"/>
          </w:tcPr>
          <w:p w14:paraId="2C0E4AF9">
            <w:pPr>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8</w:t>
            </w:r>
          </w:p>
        </w:tc>
        <w:tc>
          <w:tcPr>
            <w:tcW w:w="370" w:type="pct"/>
            <w:vMerge w:val="continue"/>
            <w:vAlign w:val="center"/>
          </w:tcPr>
          <w:p w14:paraId="3B5F07CD">
            <w:pPr>
              <w:jc w:val="center"/>
              <w:rPr>
                <w:rFonts w:ascii="Times New Roman" w:hAnsi="Times New Roman" w:eastAsia="宋体" w:cs="Times New Roman"/>
                <w:color w:val="auto"/>
                <w:szCs w:val="21"/>
              </w:rPr>
            </w:pPr>
          </w:p>
        </w:tc>
        <w:tc>
          <w:tcPr>
            <w:tcW w:w="2888" w:type="pct"/>
            <w:gridSpan w:val="5"/>
            <w:vAlign w:val="center"/>
          </w:tcPr>
          <w:p w14:paraId="47BB190A">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鱼类三场（张泮渡越冬场），距离津市工业园区污水处理厂排放口30m</w:t>
            </w:r>
          </w:p>
        </w:tc>
        <w:tc>
          <w:tcPr>
            <w:tcW w:w="1480" w:type="pct"/>
            <w:vAlign w:val="center"/>
          </w:tcPr>
          <w:p w14:paraId="6FBC7F1A">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主要越冬对象为</w:t>
            </w:r>
            <w:r>
              <w:rPr>
                <w:rFonts w:hint="eastAsia" w:ascii="Times New Roman" w:hAnsi="Times New Roman" w:eastAsia="宋体" w:cs="Times New Roman"/>
                <w:color w:val="auto"/>
                <w:kern w:val="0"/>
                <w:szCs w:val="21"/>
              </w:rPr>
              <w:t>䱗、似鳊、麦穗鱼、中华刺鳅、鲤、鲫、鲇、鳜、黄颡鱼等</w:t>
            </w:r>
          </w:p>
        </w:tc>
      </w:tr>
      <w:tr w14:paraId="3BD7C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0" w:type="pct"/>
            <w:vAlign w:val="center"/>
          </w:tcPr>
          <w:p w14:paraId="18AD729C">
            <w:pPr>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9</w:t>
            </w:r>
          </w:p>
        </w:tc>
        <w:tc>
          <w:tcPr>
            <w:tcW w:w="370" w:type="pct"/>
            <w:vMerge w:val="continue"/>
            <w:vAlign w:val="center"/>
          </w:tcPr>
          <w:p w14:paraId="511278FA">
            <w:pPr>
              <w:jc w:val="center"/>
              <w:rPr>
                <w:rFonts w:ascii="Times New Roman" w:hAnsi="Times New Roman" w:eastAsia="宋体" w:cs="Times New Roman"/>
                <w:color w:val="auto"/>
                <w:szCs w:val="21"/>
              </w:rPr>
            </w:pPr>
          </w:p>
        </w:tc>
        <w:tc>
          <w:tcPr>
            <w:tcW w:w="2888" w:type="pct"/>
            <w:gridSpan w:val="5"/>
            <w:vAlign w:val="center"/>
          </w:tcPr>
          <w:p w14:paraId="4CB7F266">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津市市澧水河口湿地保护区</w:t>
            </w:r>
          </w:p>
        </w:tc>
        <w:tc>
          <w:tcPr>
            <w:tcW w:w="1480" w:type="pct"/>
            <w:vAlign w:val="center"/>
          </w:tcPr>
          <w:p w14:paraId="47DB1C41">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湿地生态系统</w:t>
            </w:r>
          </w:p>
        </w:tc>
      </w:tr>
    </w:tbl>
    <w:p w14:paraId="1A9254EF">
      <w:pPr>
        <w:spacing w:line="360" w:lineRule="auto"/>
        <w:ind w:firstLine="480" w:firstLineChars="200"/>
        <w:rPr>
          <w:rFonts w:ascii="Times New Roman" w:hAnsi="Times New Roman" w:eastAsia="宋体" w:cs="Times New Roman"/>
          <w:color w:val="FF0000"/>
          <w:sz w:val="24"/>
          <w:szCs w:val="24"/>
          <w:highlight w:val="green"/>
        </w:rPr>
        <w:sectPr>
          <w:pgSz w:w="16838" w:h="11906" w:orient="landscape"/>
          <w:pgMar w:top="1800" w:right="1440" w:bottom="1800" w:left="1440" w:header="851" w:footer="992" w:gutter="0"/>
          <w:pgNumType w:fmt="numberInDash"/>
          <w:cols w:space="720" w:num="1"/>
          <w:docGrid w:type="lines" w:linePitch="326" w:charSpace="0"/>
        </w:sectPr>
      </w:pPr>
    </w:p>
    <w:p w14:paraId="60629DA3">
      <w:pPr>
        <w:pStyle w:val="2"/>
        <w:bidi w:val="0"/>
        <w:spacing w:before="0" w:after="0" w:line="240" w:lineRule="auto"/>
      </w:pPr>
      <w:bookmarkStart w:id="147" w:name="_Toc501096141"/>
      <w:bookmarkStart w:id="148" w:name="_Toc504118094"/>
      <w:bookmarkStart w:id="149" w:name="_Toc17206442"/>
      <w:bookmarkStart w:id="150" w:name="_Toc146781126"/>
      <w:bookmarkStart w:id="151" w:name="_Toc49929997"/>
      <w:bookmarkStart w:id="152" w:name="_Toc60296948"/>
      <w:bookmarkStart w:id="153" w:name="_Toc5128309"/>
      <w:bookmarkStart w:id="154" w:name="_Toc14480"/>
      <w:bookmarkStart w:id="155" w:name="_Toc516601603"/>
      <w:bookmarkStart w:id="156" w:name="_Toc535150318"/>
      <w:bookmarkStart w:id="157" w:name="_Toc109808935"/>
      <w:bookmarkStart w:id="158" w:name="_Toc10365"/>
      <w:bookmarkStart w:id="159" w:name="_Toc535149919"/>
      <w:bookmarkStart w:id="160" w:name="_Toc17302"/>
      <w:bookmarkStart w:id="161" w:name="_Toc111800891"/>
      <w:r>
        <w:t>3、</w:t>
      </w:r>
      <w:bookmarkEnd w:id="147"/>
      <w:bookmarkEnd w:id="148"/>
      <w:r>
        <w:t>项目概况</w:t>
      </w:r>
      <w:bookmarkEnd w:id="149"/>
      <w:bookmarkEnd w:id="150"/>
      <w:bookmarkEnd w:id="151"/>
      <w:bookmarkEnd w:id="152"/>
      <w:bookmarkEnd w:id="153"/>
      <w:bookmarkEnd w:id="154"/>
      <w:bookmarkEnd w:id="155"/>
      <w:bookmarkEnd w:id="156"/>
      <w:bookmarkEnd w:id="157"/>
      <w:bookmarkEnd w:id="158"/>
      <w:bookmarkEnd w:id="159"/>
      <w:bookmarkEnd w:id="160"/>
      <w:bookmarkEnd w:id="161"/>
    </w:p>
    <w:p w14:paraId="42466F4D">
      <w:pPr>
        <w:pStyle w:val="3"/>
        <w:bidi w:val="0"/>
      </w:pPr>
      <w:bookmarkStart w:id="162" w:name="_Toc501096142"/>
      <w:bookmarkStart w:id="163" w:name="_Toc504118095"/>
      <w:bookmarkStart w:id="164" w:name="_Toc516601605"/>
      <w:bookmarkStart w:id="165" w:name="_Toc535149939"/>
      <w:bookmarkStart w:id="166" w:name="_Toc5128310"/>
      <w:bookmarkStart w:id="167" w:name="_Toc17206443"/>
      <w:bookmarkStart w:id="168" w:name="_Toc535150333"/>
      <w:bookmarkStart w:id="169" w:name="_Toc109808936"/>
      <w:bookmarkStart w:id="170" w:name="_Toc22000"/>
      <w:bookmarkStart w:id="171" w:name="_Toc10745"/>
      <w:bookmarkStart w:id="172" w:name="_Toc111800892"/>
      <w:bookmarkStart w:id="173" w:name="_Toc146781127"/>
      <w:r>
        <w:t>3.</w:t>
      </w:r>
      <w:bookmarkEnd w:id="162"/>
      <w:r>
        <w:t>1</w:t>
      </w:r>
      <w:bookmarkEnd w:id="163"/>
      <w:bookmarkEnd w:id="164"/>
      <w:bookmarkEnd w:id="165"/>
      <w:bookmarkEnd w:id="166"/>
      <w:bookmarkEnd w:id="167"/>
      <w:bookmarkEnd w:id="168"/>
      <w:r>
        <w:rPr>
          <w:rFonts w:hint="eastAsia"/>
        </w:rPr>
        <w:t>现有工程概况</w:t>
      </w:r>
      <w:bookmarkEnd w:id="169"/>
      <w:bookmarkEnd w:id="170"/>
      <w:bookmarkEnd w:id="171"/>
      <w:bookmarkEnd w:id="172"/>
      <w:bookmarkEnd w:id="173"/>
    </w:p>
    <w:p w14:paraId="2328A4D5">
      <w:pPr>
        <w:pStyle w:val="4"/>
        <w:bidi w:val="0"/>
      </w:pPr>
      <w:bookmarkStart w:id="174" w:name="_Hlk105399126"/>
      <w:r>
        <w:t>3.1.1</w:t>
      </w:r>
      <w:r>
        <w:rPr>
          <w:rFonts w:hint="eastAsia"/>
        </w:rPr>
        <w:t>现有工程环保手续履行情况</w:t>
      </w:r>
    </w:p>
    <w:bookmarkEnd w:id="174"/>
    <w:p w14:paraId="4DC5F7FA">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湖南新合新生物科技有限公司2013年建设年产10万标吨系列酶制剂生产线项目（一期项目），生产产品为5.5万标吨糖化酶、2万标吨中温淀粉酶、2万标吨耐高温淀粉酶、5千标吨β-淀粉酶，2013年</w:t>
      </w:r>
      <w:r>
        <w:rPr>
          <w:rFonts w:hint="default" w:ascii="Times New Roman" w:hAnsi="Times New Roman" w:eastAsia="宋体" w:cs="Times New Roman"/>
          <w:color w:val="auto"/>
          <w:sz w:val="24"/>
          <w:szCs w:val="24"/>
          <w:lang w:val="en-US" w:eastAsia="zh-CN"/>
        </w:rPr>
        <w:t>12月取得原常德市环境保护局批复（</w:t>
      </w:r>
      <w:r>
        <w:rPr>
          <w:rFonts w:hint="eastAsia" w:ascii="Times New Roman" w:hAnsi="Times New Roman" w:eastAsia="宋体" w:cs="Times New Roman"/>
          <w:color w:val="auto"/>
          <w:sz w:val="24"/>
          <w:szCs w:val="24"/>
          <w:lang w:val="en-US" w:eastAsia="zh-CN"/>
        </w:rPr>
        <w:t>文号：</w:t>
      </w:r>
      <w:r>
        <w:rPr>
          <w:rFonts w:hint="default" w:ascii="Times New Roman" w:hAnsi="Times New Roman" w:eastAsia="宋体" w:cs="Times New Roman"/>
          <w:color w:val="auto"/>
          <w:sz w:val="24"/>
          <w:szCs w:val="24"/>
          <w:lang w:val="en-US" w:eastAsia="zh-CN"/>
        </w:rPr>
        <w:t>常环建</w:t>
      </w:r>
      <w:r>
        <w:rPr>
          <w:rFonts w:hint="eastAsia" w:ascii="宋体" w:hAnsi="宋体" w:eastAsia="宋体" w:cs="宋体"/>
          <w:color w:val="auto"/>
          <w:sz w:val="24"/>
          <w:szCs w:val="24"/>
          <w:lang w:val="en-US" w:eastAsia="zh-CN"/>
        </w:rPr>
        <w:t>〔</w:t>
      </w:r>
      <w:r>
        <w:rPr>
          <w:rFonts w:hint="default" w:ascii="Times New Roman" w:hAnsi="Times New Roman" w:eastAsia="宋体" w:cs="Times New Roman"/>
          <w:color w:val="auto"/>
          <w:sz w:val="24"/>
          <w:szCs w:val="24"/>
          <w:lang w:val="en-US" w:eastAsia="zh-CN"/>
        </w:rPr>
        <w:t>2013</w:t>
      </w:r>
      <w:r>
        <w:rPr>
          <w:rFonts w:hint="eastAsia" w:ascii="宋体" w:hAnsi="宋体" w:eastAsia="宋体" w:cs="宋体"/>
          <w:color w:val="auto"/>
          <w:sz w:val="24"/>
          <w:szCs w:val="24"/>
          <w:lang w:val="en-US" w:eastAsia="zh-CN"/>
        </w:rPr>
        <w:t>〕</w:t>
      </w:r>
      <w:r>
        <w:rPr>
          <w:rFonts w:hint="default" w:ascii="Times New Roman" w:hAnsi="Times New Roman" w:eastAsia="宋体" w:cs="Times New Roman"/>
          <w:color w:val="auto"/>
          <w:sz w:val="24"/>
          <w:szCs w:val="24"/>
          <w:lang w:val="en-US" w:eastAsia="zh-CN"/>
        </w:rPr>
        <w:t>158 号）</w:t>
      </w:r>
      <w:r>
        <w:rPr>
          <w:rFonts w:hint="eastAsia" w:ascii="Times New Roman" w:hAnsi="Times New Roman" w:eastAsia="宋体" w:cs="Times New Roman"/>
          <w:color w:val="auto"/>
          <w:sz w:val="24"/>
          <w:szCs w:val="24"/>
          <w:lang w:val="en-US" w:eastAsia="zh-CN"/>
        </w:rPr>
        <w:t>，该项目已建成投产。并于2016年完成</w:t>
      </w:r>
      <w:r>
        <w:rPr>
          <w:rFonts w:hint="default" w:ascii="Times New Roman" w:hAnsi="Times New Roman" w:eastAsia="宋体" w:cs="Times New Roman"/>
          <w:color w:val="auto"/>
          <w:sz w:val="24"/>
          <w:szCs w:val="24"/>
          <w:lang w:val="en-US" w:eastAsia="zh-CN"/>
        </w:rPr>
        <w:t>年</w:t>
      </w:r>
      <w:r>
        <w:rPr>
          <w:rFonts w:hint="eastAsia" w:ascii="Times New Roman" w:hAnsi="Times New Roman" w:eastAsia="宋体" w:cs="Times New Roman"/>
          <w:color w:val="auto"/>
          <w:sz w:val="24"/>
          <w:szCs w:val="24"/>
          <w:lang w:val="en-US" w:eastAsia="zh-CN"/>
        </w:rPr>
        <w:t>产</w:t>
      </w:r>
      <w:r>
        <w:rPr>
          <w:rFonts w:hint="default" w:ascii="Times New Roman" w:hAnsi="Times New Roman" w:eastAsia="宋体" w:cs="Times New Roman"/>
          <w:color w:val="auto"/>
          <w:sz w:val="24"/>
          <w:szCs w:val="24"/>
          <w:lang w:val="en-US" w:eastAsia="zh-CN"/>
        </w:rPr>
        <w:t>10万标吨系列酶制剂生产线</w:t>
      </w:r>
      <w:r>
        <w:rPr>
          <w:rFonts w:hint="eastAsia" w:ascii="Times New Roman" w:hAnsi="Times New Roman" w:eastAsia="宋体" w:cs="Times New Roman"/>
          <w:color w:val="auto"/>
          <w:sz w:val="24"/>
          <w:szCs w:val="24"/>
          <w:lang w:val="en-US" w:eastAsia="zh-CN"/>
        </w:rPr>
        <w:t>及年产20吨内酯环（A环降解物）生产线项目竣工环保验收（文号：常环建</w:t>
      </w:r>
      <w:r>
        <w:rPr>
          <w:rFonts w:hint="eastAsia" w:ascii="宋体" w:hAnsi="宋体" w:eastAsia="宋体" w:cs="宋体"/>
          <w:color w:val="auto"/>
          <w:sz w:val="24"/>
          <w:szCs w:val="24"/>
          <w:lang w:val="en-US" w:eastAsia="zh-CN"/>
        </w:rPr>
        <w:t>〔</w:t>
      </w:r>
      <w:r>
        <w:rPr>
          <w:rFonts w:hint="eastAsia" w:ascii="Times New Roman" w:hAnsi="Times New Roman" w:eastAsia="宋体" w:cs="Times New Roman"/>
          <w:color w:val="auto"/>
          <w:sz w:val="24"/>
          <w:szCs w:val="24"/>
          <w:lang w:val="en-US" w:eastAsia="zh-CN"/>
        </w:rPr>
        <w:t>2016</w:t>
      </w:r>
      <w:r>
        <w:rPr>
          <w:rFonts w:hint="eastAsia" w:ascii="宋体" w:hAnsi="宋体" w:eastAsia="宋体" w:cs="宋体"/>
          <w:color w:val="auto"/>
          <w:sz w:val="24"/>
          <w:szCs w:val="24"/>
          <w:lang w:val="en-US" w:eastAsia="zh-CN"/>
        </w:rPr>
        <w:t>〕</w:t>
      </w:r>
      <w:r>
        <w:rPr>
          <w:rFonts w:hint="eastAsia" w:ascii="Times New Roman" w:hAnsi="Times New Roman" w:eastAsia="宋体" w:cs="Times New Roman"/>
          <w:color w:val="auto"/>
          <w:sz w:val="24"/>
          <w:szCs w:val="24"/>
          <w:lang w:val="en-US" w:eastAsia="zh-CN"/>
        </w:rPr>
        <w:t>63号），该项目现已暂停生产，本改扩建项目完成后，一期项目将仅生产糖化酶，产能由5.5万标吨降为1标吨。</w:t>
      </w:r>
    </w:p>
    <w:p w14:paraId="15085B30">
      <w:pPr>
        <w:spacing w:line="360" w:lineRule="auto"/>
        <w:ind w:firstLine="480" w:firstLineChars="2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2014年湖南新合新生物科技有限公司建设年产20吨内酯环（A环降解物）生产线项目（二期项目），2015年取得原常德市环境保护局批复（文号：常环建</w:t>
      </w:r>
      <w:r>
        <w:rPr>
          <w:rFonts w:hint="eastAsia" w:ascii="宋体" w:hAnsi="宋体" w:eastAsia="宋体" w:cs="宋体"/>
          <w:color w:val="auto"/>
          <w:sz w:val="24"/>
          <w:szCs w:val="24"/>
          <w:lang w:val="en-US" w:eastAsia="zh-CN"/>
        </w:rPr>
        <w:t>〔</w:t>
      </w:r>
      <w:r>
        <w:rPr>
          <w:rFonts w:hint="eastAsia" w:ascii="Times New Roman" w:hAnsi="Times New Roman" w:eastAsia="宋体" w:cs="Times New Roman"/>
          <w:color w:val="auto"/>
          <w:sz w:val="24"/>
          <w:szCs w:val="24"/>
          <w:lang w:val="en-US" w:eastAsia="zh-CN"/>
        </w:rPr>
        <w:t>2015</w:t>
      </w:r>
      <w:r>
        <w:rPr>
          <w:rFonts w:hint="eastAsia" w:ascii="宋体" w:hAnsi="宋体" w:eastAsia="宋体" w:cs="宋体"/>
          <w:color w:val="auto"/>
          <w:sz w:val="24"/>
          <w:szCs w:val="24"/>
          <w:lang w:val="en-US" w:eastAsia="zh-CN"/>
        </w:rPr>
        <w:t>〕</w:t>
      </w:r>
      <w:r>
        <w:rPr>
          <w:rFonts w:hint="eastAsia" w:ascii="Times New Roman" w:hAnsi="Times New Roman" w:eastAsia="宋体" w:cs="Times New Roman"/>
          <w:color w:val="auto"/>
          <w:sz w:val="24"/>
          <w:szCs w:val="24"/>
          <w:lang w:val="en-US" w:eastAsia="zh-CN"/>
        </w:rPr>
        <w:t>22 号），该项目已建成投产，并于2016年完成</w:t>
      </w:r>
      <w:r>
        <w:rPr>
          <w:rFonts w:hint="default" w:ascii="Times New Roman" w:hAnsi="Times New Roman" w:eastAsia="宋体" w:cs="Times New Roman"/>
          <w:color w:val="auto"/>
          <w:sz w:val="24"/>
          <w:szCs w:val="24"/>
          <w:lang w:val="en-US" w:eastAsia="zh-CN"/>
        </w:rPr>
        <w:t>年</w:t>
      </w:r>
      <w:r>
        <w:rPr>
          <w:rFonts w:hint="eastAsia" w:ascii="Times New Roman" w:hAnsi="Times New Roman" w:eastAsia="宋体" w:cs="Times New Roman"/>
          <w:color w:val="auto"/>
          <w:sz w:val="24"/>
          <w:szCs w:val="24"/>
          <w:lang w:val="en-US" w:eastAsia="zh-CN"/>
        </w:rPr>
        <w:t>产</w:t>
      </w:r>
      <w:r>
        <w:rPr>
          <w:rFonts w:hint="default" w:ascii="Times New Roman" w:hAnsi="Times New Roman" w:eastAsia="宋体" w:cs="Times New Roman"/>
          <w:color w:val="auto"/>
          <w:sz w:val="24"/>
          <w:szCs w:val="24"/>
          <w:lang w:val="en-US" w:eastAsia="zh-CN"/>
        </w:rPr>
        <w:t>10万标吨系列酶制剂生产线</w:t>
      </w:r>
      <w:r>
        <w:rPr>
          <w:rFonts w:hint="eastAsia" w:ascii="Times New Roman" w:hAnsi="Times New Roman" w:eastAsia="宋体" w:cs="Times New Roman"/>
          <w:color w:val="auto"/>
          <w:sz w:val="24"/>
          <w:szCs w:val="24"/>
          <w:lang w:val="en-US" w:eastAsia="zh-CN"/>
        </w:rPr>
        <w:t>及年产20吨内酯环（A环降解物）生产线项目竣工环保验收（文号：常环建</w:t>
      </w:r>
      <w:r>
        <w:rPr>
          <w:rFonts w:hint="eastAsia" w:ascii="宋体" w:hAnsi="宋体" w:eastAsia="宋体" w:cs="宋体"/>
          <w:color w:val="auto"/>
          <w:sz w:val="24"/>
          <w:szCs w:val="24"/>
          <w:lang w:val="en-US" w:eastAsia="zh-CN"/>
        </w:rPr>
        <w:t>〔</w:t>
      </w:r>
      <w:r>
        <w:rPr>
          <w:rFonts w:hint="eastAsia" w:ascii="Times New Roman" w:hAnsi="Times New Roman" w:eastAsia="宋体" w:cs="Times New Roman"/>
          <w:color w:val="auto"/>
          <w:sz w:val="24"/>
          <w:szCs w:val="24"/>
          <w:lang w:val="en-US" w:eastAsia="zh-CN"/>
        </w:rPr>
        <w:t>2016</w:t>
      </w:r>
      <w:r>
        <w:rPr>
          <w:rFonts w:hint="eastAsia" w:ascii="宋体" w:hAnsi="宋体" w:eastAsia="宋体" w:cs="宋体"/>
          <w:color w:val="auto"/>
          <w:sz w:val="24"/>
          <w:szCs w:val="24"/>
          <w:lang w:val="en-US" w:eastAsia="zh-CN"/>
        </w:rPr>
        <w:t>〕</w:t>
      </w:r>
      <w:r>
        <w:rPr>
          <w:rFonts w:hint="eastAsia" w:ascii="Times New Roman" w:hAnsi="Times New Roman" w:eastAsia="宋体" w:cs="Times New Roman"/>
          <w:color w:val="auto"/>
          <w:sz w:val="24"/>
          <w:szCs w:val="24"/>
          <w:lang w:val="en-US" w:eastAsia="zh-CN"/>
        </w:rPr>
        <w:t>63号）。在2021年企业内部产品调整后，内酯环（A环降解物）停止生产。</w:t>
      </w:r>
    </w:p>
    <w:p w14:paraId="159A72CD">
      <w:pPr>
        <w:spacing w:line="360" w:lineRule="auto"/>
        <w:ind w:firstLine="480" w:firstLineChars="2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2017年湖南新合新生物科技有限公司建设年产50吨17a-羟基黄体酮中间体生产线项目（三期项目），2017年7月取得原常德市环境保护局批复（文号：常环建〔2017〕53 号），2019年2月完成年产50吨17a-羟基黄体酮中间体生产线项目竣工环保验收（常环验</w:t>
      </w:r>
      <w:r>
        <w:rPr>
          <w:rFonts w:hint="eastAsia" w:ascii="宋体" w:hAnsi="宋体" w:eastAsia="宋体" w:cs="宋体"/>
          <w:color w:val="auto"/>
          <w:sz w:val="24"/>
          <w:szCs w:val="24"/>
          <w:lang w:val="en-US" w:eastAsia="zh-CN"/>
        </w:rPr>
        <w:t>〔</w:t>
      </w:r>
      <w:r>
        <w:rPr>
          <w:rFonts w:hint="eastAsia" w:ascii="Times New Roman" w:hAnsi="Times New Roman" w:eastAsia="宋体" w:cs="Times New Roman"/>
          <w:color w:val="auto"/>
          <w:sz w:val="24"/>
          <w:szCs w:val="24"/>
          <w:lang w:val="en-US" w:eastAsia="zh-CN"/>
        </w:rPr>
        <w:t>2019</w:t>
      </w:r>
      <w:r>
        <w:rPr>
          <w:rFonts w:hint="eastAsia" w:ascii="宋体" w:hAnsi="宋体" w:eastAsia="宋体" w:cs="宋体"/>
          <w:color w:val="auto"/>
          <w:sz w:val="24"/>
          <w:szCs w:val="24"/>
          <w:lang w:val="en-US" w:eastAsia="zh-CN"/>
        </w:rPr>
        <w:t>〕</w:t>
      </w:r>
      <w:r>
        <w:rPr>
          <w:rFonts w:hint="eastAsia" w:ascii="Times New Roman" w:hAnsi="Times New Roman" w:eastAsia="宋体" w:cs="Times New Roman"/>
          <w:color w:val="auto"/>
          <w:sz w:val="24"/>
          <w:szCs w:val="24"/>
          <w:lang w:val="en-US" w:eastAsia="zh-CN"/>
        </w:rPr>
        <w:t>6 号），该项目已建成，但因市场问题未投产，后50吨17a-羟基黄体酮中间体生产线改建为年产2000吨泛酸钙饲料添加剂及2000吨丙氨酸食品添加剂生产线。</w:t>
      </w:r>
    </w:p>
    <w:p w14:paraId="3F00ECB2">
      <w:pPr>
        <w:spacing w:line="360" w:lineRule="auto"/>
        <w:ind w:firstLine="480" w:firstLineChars="2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2018年湖南新合新生物科技有限公司建设腺苷中间体发酵产品生产线项目（四期项目），生产产品为300吨腺苷中间体，2018年3月取得原津市市环境保护局批复（文号：津环评</w:t>
      </w:r>
      <w:r>
        <w:rPr>
          <w:rFonts w:hint="eastAsia" w:ascii="宋体" w:hAnsi="宋体" w:eastAsia="宋体" w:cs="宋体"/>
          <w:color w:val="auto"/>
          <w:sz w:val="24"/>
          <w:szCs w:val="24"/>
          <w:lang w:val="en-US" w:eastAsia="zh-CN"/>
        </w:rPr>
        <w:t>〔</w:t>
      </w:r>
      <w:r>
        <w:rPr>
          <w:rFonts w:hint="eastAsia" w:ascii="Times New Roman" w:hAnsi="Times New Roman" w:eastAsia="宋体" w:cs="Times New Roman"/>
          <w:color w:val="auto"/>
          <w:sz w:val="24"/>
          <w:szCs w:val="24"/>
          <w:lang w:val="en-US" w:eastAsia="zh-CN"/>
        </w:rPr>
        <w:t>2018</w:t>
      </w:r>
      <w:r>
        <w:rPr>
          <w:rFonts w:hint="eastAsia" w:ascii="宋体" w:hAnsi="宋体" w:eastAsia="宋体" w:cs="宋体"/>
          <w:color w:val="auto"/>
          <w:sz w:val="24"/>
          <w:szCs w:val="24"/>
          <w:lang w:val="en-US" w:eastAsia="zh-CN"/>
        </w:rPr>
        <w:t>〕</w:t>
      </w:r>
      <w:r>
        <w:rPr>
          <w:rFonts w:hint="eastAsia" w:ascii="Times New Roman" w:hAnsi="Times New Roman" w:eastAsia="宋体" w:cs="Times New Roman"/>
          <w:color w:val="auto"/>
          <w:sz w:val="24"/>
          <w:szCs w:val="24"/>
          <w:lang w:val="en-US" w:eastAsia="zh-CN"/>
        </w:rPr>
        <w:t>3 号），2019年9月建成，因市场原因未投运生产。</w:t>
      </w:r>
    </w:p>
    <w:p w14:paraId="777B6043">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2020年湖南新合新生物科技有限公司将原年产50吨17a-羟基黄体酮中间体生产线改建为年产2000吨泛酸钙饲料添加剂及2000吨丙氨酸食品添加剂生产线（五期项目），2020年 4月取得常德市生态环境局津市分局批复（文号：常环建（8）</w:t>
      </w:r>
      <w:r>
        <w:rPr>
          <w:rFonts w:hint="eastAsia" w:ascii="宋体" w:hAnsi="宋体" w:eastAsia="宋体" w:cs="宋体"/>
          <w:color w:val="auto"/>
          <w:sz w:val="24"/>
          <w:szCs w:val="24"/>
          <w:lang w:val="en-US" w:eastAsia="zh-CN"/>
        </w:rPr>
        <w:t>〔</w:t>
      </w:r>
      <w:r>
        <w:rPr>
          <w:rFonts w:hint="eastAsia" w:ascii="Times New Roman" w:hAnsi="Times New Roman" w:eastAsia="宋体" w:cs="Times New Roman"/>
          <w:color w:val="auto"/>
          <w:sz w:val="24"/>
          <w:szCs w:val="24"/>
          <w:lang w:val="en-US" w:eastAsia="zh-CN"/>
        </w:rPr>
        <w:t>2020</w:t>
      </w:r>
      <w:r>
        <w:rPr>
          <w:rFonts w:hint="eastAsia" w:ascii="宋体" w:hAnsi="宋体" w:eastAsia="宋体" w:cs="宋体"/>
          <w:color w:val="auto"/>
          <w:sz w:val="24"/>
          <w:szCs w:val="24"/>
          <w:lang w:val="en-US" w:eastAsia="zh-CN"/>
        </w:rPr>
        <w:t>〕</w:t>
      </w:r>
      <w:r>
        <w:rPr>
          <w:rFonts w:hint="eastAsia" w:ascii="Times New Roman" w:hAnsi="Times New Roman" w:eastAsia="宋体" w:cs="Times New Roman"/>
          <w:color w:val="auto"/>
          <w:sz w:val="24"/>
          <w:szCs w:val="24"/>
          <w:lang w:val="en-US" w:eastAsia="zh-CN"/>
        </w:rPr>
        <w:t>7 号），该项目已建成，2023年6月10日完成年产2000吨泛酸钙饲料添加剂及2000吨丙氨酸食品添加剂生产线项目自主验收，该项目现仅生产泛酸钙饲料添加剂。</w:t>
      </w:r>
    </w:p>
    <w:p w14:paraId="467F7F9A">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2021年湖南新合新生物科技有限公司建设</w:t>
      </w:r>
      <w:r>
        <w:rPr>
          <w:rFonts w:hint="default" w:ascii="Times New Roman" w:hAnsi="Times New Roman" w:eastAsia="宋体" w:cs="Times New Roman"/>
          <w:color w:val="auto"/>
          <w:sz w:val="24"/>
          <w:szCs w:val="24"/>
          <w:lang w:val="en-US" w:eastAsia="zh-CN"/>
        </w:rPr>
        <w:t>年产1500吨胞嘧啶中间体生产线项目</w:t>
      </w:r>
      <w:r>
        <w:rPr>
          <w:rFonts w:hint="eastAsia" w:ascii="Times New Roman" w:hAnsi="Times New Roman" w:eastAsia="宋体" w:cs="Times New Roman"/>
          <w:color w:val="auto"/>
          <w:sz w:val="24"/>
          <w:szCs w:val="24"/>
          <w:lang w:val="en-US" w:eastAsia="zh-CN"/>
        </w:rPr>
        <w:t>（六期项目），</w:t>
      </w:r>
      <w:r>
        <w:rPr>
          <w:rFonts w:hint="default" w:ascii="Times New Roman" w:hAnsi="Times New Roman" w:eastAsia="宋体" w:cs="Times New Roman"/>
          <w:color w:val="auto"/>
          <w:sz w:val="24"/>
          <w:szCs w:val="24"/>
          <w:lang w:val="en-US" w:eastAsia="zh-CN"/>
        </w:rPr>
        <w:t>2022年4月取得常德市生态环境局批复（</w:t>
      </w:r>
      <w:r>
        <w:rPr>
          <w:rFonts w:hint="eastAsia" w:ascii="Times New Roman" w:hAnsi="Times New Roman" w:eastAsia="宋体" w:cs="Times New Roman"/>
          <w:color w:val="auto"/>
          <w:sz w:val="24"/>
          <w:szCs w:val="24"/>
          <w:lang w:val="en-US" w:eastAsia="zh-CN"/>
        </w:rPr>
        <w:t>文号：</w:t>
      </w:r>
      <w:r>
        <w:rPr>
          <w:rFonts w:hint="default" w:ascii="Times New Roman" w:hAnsi="Times New Roman" w:eastAsia="宋体" w:cs="Times New Roman"/>
          <w:color w:val="auto"/>
          <w:sz w:val="24"/>
          <w:szCs w:val="24"/>
          <w:lang w:val="en-US" w:eastAsia="zh-CN"/>
        </w:rPr>
        <w:t>常环建</w:t>
      </w:r>
      <w:r>
        <w:rPr>
          <w:rFonts w:hint="eastAsia" w:ascii="宋体" w:hAnsi="宋体" w:eastAsia="宋体" w:cs="宋体"/>
          <w:color w:val="auto"/>
          <w:sz w:val="24"/>
          <w:szCs w:val="24"/>
          <w:lang w:val="en-US" w:eastAsia="zh-CN"/>
        </w:rPr>
        <w:t>〔</w:t>
      </w:r>
      <w:r>
        <w:rPr>
          <w:rFonts w:hint="default" w:ascii="Times New Roman" w:hAnsi="Times New Roman" w:eastAsia="宋体" w:cs="Times New Roman"/>
          <w:color w:val="auto"/>
          <w:sz w:val="24"/>
          <w:szCs w:val="24"/>
          <w:lang w:val="en-US" w:eastAsia="zh-CN"/>
        </w:rPr>
        <w:t>2022</w:t>
      </w:r>
      <w:r>
        <w:rPr>
          <w:rFonts w:hint="eastAsia" w:ascii="宋体" w:hAnsi="宋体" w:eastAsia="宋体" w:cs="宋体"/>
          <w:color w:val="auto"/>
          <w:sz w:val="24"/>
          <w:szCs w:val="24"/>
          <w:lang w:val="en-US" w:eastAsia="zh-CN"/>
        </w:rPr>
        <w:t>〕</w:t>
      </w:r>
      <w:r>
        <w:rPr>
          <w:rFonts w:hint="default" w:ascii="Times New Roman" w:hAnsi="Times New Roman" w:eastAsia="宋体" w:cs="Times New Roman"/>
          <w:color w:val="auto"/>
          <w:sz w:val="24"/>
          <w:szCs w:val="24"/>
          <w:lang w:val="en-US" w:eastAsia="zh-CN"/>
        </w:rPr>
        <w:t>15 号）</w:t>
      </w:r>
      <w:r>
        <w:rPr>
          <w:rFonts w:hint="eastAsia" w:ascii="Times New Roman" w:hAnsi="Times New Roman" w:eastAsia="宋体" w:cs="Times New Roman"/>
          <w:color w:val="auto"/>
          <w:sz w:val="24"/>
          <w:szCs w:val="24"/>
          <w:lang w:val="en-US" w:eastAsia="zh-CN"/>
        </w:rPr>
        <w:t>，2022年6月常德市生态环境局对六期项目进行生产废水排放标准进行调整，该项目建成后未投产。</w:t>
      </w:r>
    </w:p>
    <w:p w14:paraId="2AB01D00">
      <w:pPr>
        <w:spacing w:line="360" w:lineRule="auto"/>
        <w:ind w:firstLine="480" w:firstLineChars="200"/>
        <w:rPr>
          <w:rFonts w:ascii="Times New Roman" w:hAnsi="Times New Roman" w:eastAsia="宋体" w:cs="Times New Roman"/>
          <w:color w:val="auto"/>
          <w:sz w:val="24"/>
          <w:szCs w:val="24"/>
          <w:u w:val="none"/>
        </w:rPr>
      </w:pPr>
      <w:r>
        <w:rPr>
          <w:rFonts w:hint="eastAsia" w:ascii="Times New Roman" w:hAnsi="Times New Roman" w:eastAsia="宋体" w:cs="Times New Roman"/>
          <w:color w:val="auto"/>
          <w:sz w:val="24"/>
          <w:szCs w:val="24"/>
          <w:u w:val="none"/>
        </w:rPr>
        <w:t>建设单位于</w:t>
      </w:r>
      <w:r>
        <w:rPr>
          <w:rFonts w:ascii="Times New Roman" w:hAnsi="Times New Roman" w:eastAsia="宋体" w:cs="Times New Roman"/>
          <w:color w:val="auto"/>
          <w:sz w:val="24"/>
          <w:szCs w:val="24"/>
          <w:u w:val="none"/>
        </w:rPr>
        <w:t>20</w:t>
      </w:r>
      <w:r>
        <w:rPr>
          <w:rFonts w:hint="eastAsia" w:ascii="Times New Roman" w:hAnsi="Times New Roman" w:eastAsia="宋体" w:cs="Times New Roman"/>
          <w:color w:val="auto"/>
          <w:sz w:val="24"/>
          <w:szCs w:val="24"/>
          <w:u w:val="none"/>
          <w:lang w:val="en-US" w:eastAsia="zh-CN"/>
        </w:rPr>
        <w:t>16</w:t>
      </w:r>
      <w:r>
        <w:rPr>
          <w:rFonts w:hint="eastAsia" w:ascii="Times New Roman" w:hAnsi="Times New Roman" w:eastAsia="宋体" w:cs="Times New Roman"/>
          <w:color w:val="auto"/>
          <w:sz w:val="24"/>
          <w:szCs w:val="24"/>
          <w:u w:val="none"/>
        </w:rPr>
        <w:t>年</w:t>
      </w:r>
      <w:r>
        <w:rPr>
          <w:rFonts w:hint="eastAsia" w:ascii="Times New Roman" w:hAnsi="Times New Roman" w:eastAsia="宋体" w:cs="Times New Roman"/>
          <w:color w:val="auto"/>
          <w:sz w:val="24"/>
          <w:szCs w:val="24"/>
          <w:u w:val="none"/>
          <w:lang w:val="en-US" w:eastAsia="zh-CN"/>
        </w:rPr>
        <w:t>3</w:t>
      </w:r>
      <w:r>
        <w:rPr>
          <w:rFonts w:hint="eastAsia" w:ascii="Times New Roman" w:hAnsi="Times New Roman" w:eastAsia="宋体" w:cs="Times New Roman"/>
          <w:color w:val="auto"/>
          <w:sz w:val="24"/>
          <w:szCs w:val="24"/>
          <w:u w:val="none"/>
        </w:rPr>
        <w:t>月</w:t>
      </w:r>
      <w:r>
        <w:rPr>
          <w:rFonts w:ascii="Times New Roman" w:hAnsi="Times New Roman" w:eastAsia="宋体" w:cs="Times New Roman"/>
          <w:color w:val="auto"/>
          <w:sz w:val="24"/>
          <w:szCs w:val="24"/>
          <w:u w:val="none"/>
        </w:rPr>
        <w:t>2</w:t>
      </w:r>
      <w:r>
        <w:rPr>
          <w:rFonts w:hint="eastAsia" w:ascii="Times New Roman" w:hAnsi="Times New Roman" w:eastAsia="宋体" w:cs="Times New Roman"/>
          <w:color w:val="auto"/>
          <w:sz w:val="24"/>
          <w:szCs w:val="24"/>
          <w:u w:val="none"/>
          <w:lang w:val="en-US" w:eastAsia="zh-CN"/>
        </w:rPr>
        <w:t>3</w:t>
      </w:r>
      <w:r>
        <w:rPr>
          <w:rFonts w:hint="eastAsia" w:ascii="Times New Roman" w:hAnsi="Times New Roman" w:eastAsia="宋体" w:cs="Times New Roman"/>
          <w:color w:val="auto"/>
          <w:sz w:val="24"/>
          <w:szCs w:val="24"/>
          <w:u w:val="none"/>
        </w:rPr>
        <w:t>日申领了排污权证（常）排污权证（</w:t>
      </w:r>
      <w:r>
        <w:rPr>
          <w:rFonts w:ascii="Times New Roman" w:hAnsi="Times New Roman" w:eastAsia="宋体" w:cs="Times New Roman"/>
          <w:color w:val="auto"/>
          <w:sz w:val="24"/>
          <w:szCs w:val="24"/>
          <w:u w:val="none"/>
        </w:rPr>
        <w:t>20</w:t>
      </w:r>
      <w:r>
        <w:rPr>
          <w:rFonts w:hint="eastAsia" w:ascii="Times New Roman" w:hAnsi="Times New Roman" w:eastAsia="宋体" w:cs="Times New Roman"/>
          <w:color w:val="auto"/>
          <w:sz w:val="24"/>
          <w:szCs w:val="24"/>
          <w:u w:val="none"/>
          <w:lang w:val="en-US" w:eastAsia="zh-CN"/>
        </w:rPr>
        <w:t>16</w:t>
      </w:r>
      <w:r>
        <w:rPr>
          <w:rFonts w:hint="eastAsia" w:ascii="Times New Roman" w:hAnsi="Times New Roman" w:eastAsia="宋体" w:cs="Times New Roman"/>
          <w:color w:val="auto"/>
          <w:sz w:val="24"/>
          <w:szCs w:val="24"/>
          <w:u w:val="none"/>
        </w:rPr>
        <w:t>）第</w:t>
      </w:r>
      <w:r>
        <w:rPr>
          <w:rFonts w:hint="eastAsia" w:ascii="Times New Roman" w:hAnsi="Times New Roman" w:eastAsia="宋体" w:cs="Times New Roman"/>
          <w:color w:val="auto"/>
          <w:sz w:val="24"/>
          <w:szCs w:val="24"/>
          <w:u w:val="none"/>
          <w:lang w:val="en-US" w:eastAsia="zh-CN"/>
        </w:rPr>
        <w:t>41</w:t>
      </w:r>
      <w:r>
        <w:rPr>
          <w:rFonts w:hint="eastAsia" w:ascii="Times New Roman" w:hAnsi="Times New Roman" w:eastAsia="宋体" w:cs="Times New Roman"/>
          <w:color w:val="auto"/>
          <w:sz w:val="24"/>
          <w:szCs w:val="24"/>
          <w:u w:val="none"/>
        </w:rPr>
        <w:t>号，并于</w:t>
      </w:r>
      <w:r>
        <w:rPr>
          <w:rFonts w:hint="eastAsia" w:ascii="Times New Roman" w:hAnsi="Times New Roman" w:eastAsia="宋体" w:cs="Times New Roman"/>
          <w:color w:val="auto"/>
          <w:sz w:val="24"/>
          <w:szCs w:val="24"/>
          <w:u w:val="none"/>
          <w:lang w:val="en-US" w:eastAsia="zh-CN"/>
        </w:rPr>
        <w:t>2017年6月12日、2020年4月7日</w:t>
      </w:r>
      <w:r>
        <w:rPr>
          <w:rFonts w:hint="eastAsia" w:ascii="Times New Roman" w:hAnsi="Times New Roman" w:eastAsia="宋体" w:cs="Times New Roman"/>
          <w:color w:val="auto"/>
          <w:sz w:val="24"/>
          <w:szCs w:val="24"/>
          <w:u w:val="none"/>
        </w:rPr>
        <w:t>再次购买了污染物总量。于</w:t>
      </w:r>
      <w:r>
        <w:rPr>
          <w:rFonts w:ascii="Times New Roman" w:hAnsi="Times New Roman" w:eastAsia="宋体" w:cs="Times New Roman"/>
          <w:color w:val="auto"/>
          <w:sz w:val="24"/>
          <w:szCs w:val="24"/>
          <w:u w:val="none"/>
        </w:rPr>
        <w:t>20</w:t>
      </w:r>
      <w:r>
        <w:rPr>
          <w:rFonts w:hint="eastAsia" w:ascii="Times New Roman" w:hAnsi="Times New Roman" w:eastAsia="宋体" w:cs="Times New Roman"/>
          <w:color w:val="auto"/>
          <w:sz w:val="24"/>
          <w:szCs w:val="24"/>
          <w:u w:val="none"/>
          <w:lang w:val="en-US" w:eastAsia="zh-CN"/>
        </w:rPr>
        <w:t>17</w:t>
      </w:r>
      <w:r>
        <w:rPr>
          <w:rFonts w:hint="eastAsia" w:ascii="Times New Roman" w:hAnsi="Times New Roman" w:eastAsia="宋体" w:cs="Times New Roman"/>
          <w:color w:val="auto"/>
          <w:sz w:val="24"/>
          <w:szCs w:val="24"/>
          <w:u w:val="none"/>
        </w:rPr>
        <w:t>年</w:t>
      </w:r>
      <w:r>
        <w:rPr>
          <w:rFonts w:hint="eastAsia" w:ascii="Times New Roman" w:hAnsi="Times New Roman" w:eastAsia="宋体" w:cs="Times New Roman"/>
          <w:color w:val="auto"/>
          <w:sz w:val="24"/>
          <w:szCs w:val="24"/>
          <w:u w:val="none"/>
          <w:lang w:val="en-US" w:eastAsia="zh-CN"/>
        </w:rPr>
        <w:t>12</w:t>
      </w:r>
      <w:r>
        <w:rPr>
          <w:rFonts w:hint="eastAsia" w:ascii="Times New Roman" w:hAnsi="Times New Roman" w:eastAsia="宋体" w:cs="Times New Roman"/>
          <w:color w:val="auto"/>
          <w:sz w:val="24"/>
          <w:szCs w:val="24"/>
          <w:u w:val="none"/>
        </w:rPr>
        <w:t>月</w:t>
      </w:r>
      <w:r>
        <w:rPr>
          <w:rFonts w:hint="eastAsia" w:ascii="Times New Roman" w:hAnsi="Times New Roman" w:eastAsia="宋体" w:cs="Times New Roman"/>
          <w:color w:val="auto"/>
          <w:sz w:val="24"/>
          <w:szCs w:val="24"/>
          <w:u w:val="none"/>
          <w:lang w:val="en-US" w:eastAsia="zh-CN"/>
        </w:rPr>
        <w:t>25</w:t>
      </w:r>
      <w:r>
        <w:rPr>
          <w:rFonts w:hint="eastAsia" w:ascii="Times New Roman" w:hAnsi="Times New Roman" w:eastAsia="宋体" w:cs="Times New Roman"/>
          <w:color w:val="auto"/>
          <w:sz w:val="24"/>
          <w:szCs w:val="24"/>
          <w:u w:val="none"/>
        </w:rPr>
        <w:t>日申领了排污许可证，</w:t>
      </w:r>
      <w:r>
        <w:rPr>
          <w:rFonts w:hint="eastAsia" w:ascii="Times New Roman" w:hAnsi="Times New Roman" w:eastAsia="宋体" w:cs="Times New Roman"/>
          <w:color w:val="auto"/>
          <w:sz w:val="24"/>
          <w:szCs w:val="24"/>
          <w:u w:val="none"/>
          <w:lang w:val="en-US" w:eastAsia="zh-CN"/>
        </w:rPr>
        <w:t>2019年8月9日进行排污许可证变更，2022</w:t>
      </w:r>
      <w:r>
        <w:rPr>
          <w:rFonts w:hint="eastAsia" w:ascii="Times New Roman" w:hAnsi="Times New Roman" w:eastAsia="宋体" w:cs="Times New Roman"/>
          <w:color w:val="auto"/>
          <w:sz w:val="24"/>
          <w:szCs w:val="24"/>
          <w:u w:val="none"/>
        </w:rPr>
        <w:t>年</w:t>
      </w:r>
      <w:r>
        <w:rPr>
          <w:rFonts w:hint="eastAsia" w:ascii="Times New Roman" w:hAnsi="Times New Roman" w:eastAsia="宋体" w:cs="Times New Roman"/>
          <w:color w:val="auto"/>
          <w:sz w:val="24"/>
          <w:szCs w:val="24"/>
          <w:u w:val="none"/>
          <w:lang w:val="en-US" w:eastAsia="zh-CN"/>
        </w:rPr>
        <w:t>2</w:t>
      </w:r>
      <w:r>
        <w:rPr>
          <w:rFonts w:hint="eastAsia" w:ascii="Times New Roman" w:hAnsi="Times New Roman" w:eastAsia="宋体" w:cs="Times New Roman"/>
          <w:color w:val="auto"/>
          <w:sz w:val="24"/>
          <w:szCs w:val="24"/>
          <w:u w:val="none"/>
        </w:rPr>
        <w:t>月</w:t>
      </w:r>
      <w:r>
        <w:rPr>
          <w:rFonts w:hint="eastAsia" w:ascii="Times New Roman" w:hAnsi="Times New Roman" w:eastAsia="宋体" w:cs="Times New Roman"/>
          <w:color w:val="auto"/>
          <w:sz w:val="24"/>
          <w:szCs w:val="24"/>
          <w:u w:val="none"/>
          <w:lang w:val="en-US" w:eastAsia="zh-CN"/>
        </w:rPr>
        <w:t>28</w:t>
      </w:r>
      <w:r>
        <w:rPr>
          <w:rFonts w:hint="eastAsia" w:ascii="Times New Roman" w:hAnsi="Times New Roman" w:eastAsia="宋体" w:cs="Times New Roman"/>
          <w:color w:val="auto"/>
          <w:sz w:val="24"/>
          <w:szCs w:val="24"/>
          <w:u w:val="none"/>
        </w:rPr>
        <w:t>号</w:t>
      </w:r>
      <w:r>
        <w:rPr>
          <w:rFonts w:hint="eastAsia" w:ascii="Times New Roman" w:hAnsi="Times New Roman" w:eastAsia="宋体" w:cs="Times New Roman"/>
          <w:color w:val="auto"/>
          <w:sz w:val="24"/>
          <w:szCs w:val="24"/>
          <w:u w:val="none"/>
          <w:lang w:eastAsia="zh-CN"/>
        </w:rPr>
        <w:t>、</w:t>
      </w:r>
      <w:r>
        <w:rPr>
          <w:rFonts w:hint="eastAsia" w:ascii="Times New Roman" w:hAnsi="Times New Roman" w:eastAsia="宋体" w:cs="Times New Roman"/>
          <w:color w:val="auto"/>
          <w:sz w:val="24"/>
          <w:szCs w:val="24"/>
          <w:u w:val="none"/>
          <w:lang w:val="en-US" w:eastAsia="zh-CN"/>
        </w:rPr>
        <w:t>2022年3月22日</w:t>
      </w:r>
      <w:r>
        <w:rPr>
          <w:rFonts w:hint="eastAsia" w:ascii="Times New Roman" w:hAnsi="Times New Roman" w:eastAsia="宋体" w:cs="Times New Roman"/>
          <w:color w:val="auto"/>
          <w:sz w:val="24"/>
          <w:szCs w:val="24"/>
          <w:u w:val="none"/>
        </w:rPr>
        <w:t>进行重新申请（证书编号为：</w:t>
      </w:r>
      <w:r>
        <w:rPr>
          <w:rFonts w:ascii="Times New Roman" w:hAnsi="Times New Roman" w:eastAsia="宋体" w:cs="Times New Roman"/>
          <w:color w:val="auto"/>
          <w:sz w:val="24"/>
          <w:szCs w:val="24"/>
          <w:u w:val="none"/>
        </w:rPr>
        <w:t>91430781</w:t>
      </w:r>
      <w:r>
        <w:rPr>
          <w:rFonts w:hint="eastAsia" w:ascii="Times New Roman" w:hAnsi="Times New Roman" w:eastAsia="宋体" w:cs="Times New Roman"/>
          <w:color w:val="auto"/>
          <w:sz w:val="24"/>
          <w:szCs w:val="24"/>
          <w:u w:val="none"/>
          <w:lang w:val="en-US" w:eastAsia="zh-CN"/>
        </w:rPr>
        <w:t>070592320U001P</w:t>
      </w:r>
      <w:r>
        <w:rPr>
          <w:rFonts w:hint="eastAsia" w:ascii="Times New Roman" w:hAnsi="Times New Roman" w:eastAsia="宋体" w:cs="Times New Roman"/>
          <w:color w:val="auto"/>
          <w:sz w:val="24"/>
          <w:szCs w:val="24"/>
          <w:u w:val="none"/>
        </w:rPr>
        <w:t>），有效期限自2023年</w:t>
      </w:r>
      <w:r>
        <w:rPr>
          <w:rFonts w:hint="eastAsia" w:ascii="Times New Roman" w:hAnsi="Times New Roman" w:eastAsia="宋体" w:cs="Times New Roman"/>
          <w:color w:val="auto"/>
          <w:sz w:val="24"/>
          <w:szCs w:val="24"/>
          <w:u w:val="none"/>
          <w:lang w:val="en-US" w:eastAsia="zh-CN"/>
        </w:rPr>
        <w:t>03</w:t>
      </w:r>
      <w:r>
        <w:rPr>
          <w:rFonts w:hint="eastAsia" w:ascii="Times New Roman" w:hAnsi="Times New Roman" w:eastAsia="宋体" w:cs="Times New Roman"/>
          <w:color w:val="auto"/>
          <w:sz w:val="24"/>
          <w:szCs w:val="24"/>
          <w:u w:val="none"/>
        </w:rPr>
        <w:t>月</w:t>
      </w:r>
      <w:r>
        <w:rPr>
          <w:rFonts w:hint="eastAsia" w:ascii="Times New Roman" w:hAnsi="Times New Roman" w:eastAsia="宋体" w:cs="Times New Roman"/>
          <w:color w:val="auto"/>
          <w:sz w:val="24"/>
          <w:szCs w:val="24"/>
          <w:u w:val="none"/>
          <w:lang w:val="en-US" w:eastAsia="zh-CN"/>
        </w:rPr>
        <w:t>17</w:t>
      </w:r>
      <w:r>
        <w:rPr>
          <w:rFonts w:hint="eastAsia" w:ascii="Times New Roman" w:hAnsi="Times New Roman" w:eastAsia="宋体" w:cs="Times New Roman"/>
          <w:color w:val="auto"/>
          <w:sz w:val="24"/>
          <w:szCs w:val="24"/>
          <w:u w:val="none"/>
        </w:rPr>
        <w:t>日至202</w:t>
      </w:r>
      <w:r>
        <w:rPr>
          <w:rFonts w:hint="eastAsia" w:ascii="Times New Roman" w:hAnsi="Times New Roman" w:eastAsia="宋体" w:cs="Times New Roman"/>
          <w:color w:val="auto"/>
          <w:sz w:val="24"/>
          <w:szCs w:val="24"/>
          <w:u w:val="none"/>
          <w:lang w:val="en-US" w:eastAsia="zh-CN"/>
        </w:rPr>
        <w:t>7</w:t>
      </w:r>
      <w:r>
        <w:rPr>
          <w:rFonts w:hint="eastAsia" w:ascii="Times New Roman" w:hAnsi="Times New Roman" w:eastAsia="宋体" w:cs="Times New Roman"/>
          <w:color w:val="auto"/>
          <w:sz w:val="24"/>
          <w:szCs w:val="24"/>
          <w:u w:val="none"/>
        </w:rPr>
        <w:t>年0</w:t>
      </w:r>
      <w:r>
        <w:rPr>
          <w:rFonts w:hint="eastAsia" w:ascii="Times New Roman" w:hAnsi="Times New Roman" w:eastAsia="宋体" w:cs="Times New Roman"/>
          <w:color w:val="auto"/>
          <w:sz w:val="24"/>
          <w:szCs w:val="24"/>
          <w:u w:val="none"/>
          <w:lang w:val="en-US" w:eastAsia="zh-CN"/>
        </w:rPr>
        <w:t>3</w:t>
      </w:r>
      <w:r>
        <w:rPr>
          <w:rFonts w:hint="eastAsia" w:ascii="Times New Roman" w:hAnsi="Times New Roman" w:eastAsia="宋体" w:cs="Times New Roman"/>
          <w:color w:val="auto"/>
          <w:sz w:val="24"/>
          <w:szCs w:val="24"/>
          <w:u w:val="none"/>
        </w:rPr>
        <w:t>月</w:t>
      </w:r>
      <w:r>
        <w:rPr>
          <w:rFonts w:hint="eastAsia" w:ascii="Times New Roman" w:hAnsi="Times New Roman" w:eastAsia="宋体" w:cs="Times New Roman"/>
          <w:color w:val="auto"/>
          <w:sz w:val="24"/>
          <w:szCs w:val="24"/>
          <w:u w:val="none"/>
          <w:lang w:val="en-US" w:eastAsia="zh-CN"/>
        </w:rPr>
        <w:t>16</w:t>
      </w:r>
      <w:r>
        <w:rPr>
          <w:rFonts w:hint="eastAsia" w:ascii="Times New Roman" w:hAnsi="Times New Roman" w:eastAsia="宋体" w:cs="Times New Roman"/>
          <w:color w:val="auto"/>
          <w:sz w:val="24"/>
          <w:szCs w:val="24"/>
          <w:u w:val="none"/>
        </w:rPr>
        <w:t>日止，排污许可证申领类别为化学药品原料药制造，管理类别为重点管理。</w:t>
      </w:r>
      <w:r>
        <w:rPr>
          <w:rFonts w:hint="eastAsia" w:ascii="Times New Roman" w:hAnsi="Times New Roman" w:eastAsia="宋体" w:cs="Times New Roman"/>
          <w:color w:val="auto"/>
          <w:sz w:val="24"/>
          <w:szCs w:val="24"/>
          <w:u w:val="none"/>
          <w:lang w:val="en-US" w:eastAsia="zh-CN"/>
        </w:rPr>
        <w:t>2018</w:t>
      </w:r>
      <w:r>
        <w:rPr>
          <w:rFonts w:hint="eastAsia" w:ascii="Times New Roman" w:hAnsi="Times New Roman" w:eastAsia="宋体" w:cs="Times New Roman"/>
          <w:color w:val="auto"/>
          <w:sz w:val="24"/>
          <w:szCs w:val="24"/>
          <w:u w:val="none"/>
        </w:rPr>
        <w:t>年</w:t>
      </w:r>
      <w:r>
        <w:rPr>
          <w:rFonts w:hint="eastAsia" w:ascii="Times New Roman" w:hAnsi="Times New Roman" w:eastAsia="宋体" w:cs="Times New Roman"/>
          <w:color w:val="auto"/>
          <w:sz w:val="24"/>
          <w:szCs w:val="24"/>
          <w:u w:val="none"/>
          <w:lang w:val="en-US" w:eastAsia="zh-CN"/>
        </w:rPr>
        <w:t>12</w:t>
      </w:r>
      <w:r>
        <w:rPr>
          <w:rFonts w:hint="eastAsia" w:ascii="Times New Roman" w:hAnsi="Times New Roman" w:eastAsia="宋体" w:cs="Times New Roman"/>
          <w:color w:val="auto"/>
          <w:sz w:val="24"/>
          <w:szCs w:val="24"/>
          <w:u w:val="none"/>
        </w:rPr>
        <w:t>月编制了突发环境事件应急预案，</w:t>
      </w:r>
      <w:r>
        <w:rPr>
          <w:rFonts w:hint="eastAsia" w:ascii="Times New Roman" w:hAnsi="Times New Roman" w:eastAsia="宋体" w:cs="Times New Roman"/>
          <w:color w:val="auto"/>
          <w:sz w:val="24"/>
          <w:szCs w:val="24"/>
          <w:u w:val="none"/>
          <w:lang w:val="en-US" w:eastAsia="zh-CN"/>
        </w:rPr>
        <w:t>2023年2月对突发环境事件应急预案进行修编，</w:t>
      </w:r>
      <w:r>
        <w:rPr>
          <w:rFonts w:hint="eastAsia" w:ascii="Times New Roman" w:hAnsi="Times New Roman" w:eastAsia="宋体" w:cs="Times New Roman"/>
          <w:color w:val="auto"/>
          <w:sz w:val="24"/>
          <w:szCs w:val="24"/>
          <w:u w:val="none"/>
        </w:rPr>
        <w:t>并</w:t>
      </w:r>
      <w:r>
        <w:rPr>
          <w:rFonts w:hint="eastAsia" w:ascii="Times New Roman" w:hAnsi="Times New Roman" w:eastAsia="宋体" w:cs="Times New Roman"/>
          <w:color w:val="auto"/>
          <w:sz w:val="24"/>
          <w:szCs w:val="24"/>
          <w:u w:val="none"/>
          <w:lang w:val="en-US" w:eastAsia="zh-CN"/>
        </w:rPr>
        <w:t>在常德市生态环境保护综合行政执法支队进行备案</w:t>
      </w:r>
      <w:r>
        <w:rPr>
          <w:rFonts w:hint="eastAsia" w:ascii="Times New Roman" w:hAnsi="Times New Roman" w:eastAsia="宋体" w:cs="Times New Roman"/>
          <w:color w:val="auto"/>
          <w:sz w:val="24"/>
          <w:szCs w:val="24"/>
          <w:u w:val="none"/>
        </w:rPr>
        <w:t>（备案号：</w:t>
      </w:r>
      <w:r>
        <w:rPr>
          <w:rFonts w:ascii="Times New Roman" w:hAnsi="Times New Roman" w:eastAsia="宋体" w:cs="Times New Roman"/>
          <w:color w:val="auto"/>
          <w:sz w:val="24"/>
          <w:szCs w:val="24"/>
          <w:u w:val="none"/>
        </w:rPr>
        <w:t>4307</w:t>
      </w:r>
      <w:r>
        <w:rPr>
          <w:rFonts w:hint="eastAsia" w:ascii="Times New Roman" w:hAnsi="Times New Roman" w:eastAsia="宋体" w:cs="Times New Roman"/>
          <w:color w:val="auto"/>
          <w:sz w:val="24"/>
          <w:szCs w:val="24"/>
          <w:u w:val="none"/>
          <w:lang w:val="en-US" w:eastAsia="zh-CN"/>
        </w:rPr>
        <w:t>81-2023-012-H</w:t>
      </w:r>
      <w:r>
        <w:rPr>
          <w:rFonts w:hint="eastAsia" w:ascii="Times New Roman" w:hAnsi="Times New Roman" w:eastAsia="宋体" w:cs="Times New Roman"/>
          <w:color w:val="auto"/>
          <w:sz w:val="24"/>
          <w:szCs w:val="24"/>
          <w:u w:val="none"/>
        </w:rPr>
        <w:t>）。</w:t>
      </w:r>
    </w:p>
    <w:p w14:paraId="415555F4">
      <w:pPr>
        <w:spacing w:line="360" w:lineRule="auto"/>
        <w:ind w:firstLine="480" w:firstLineChars="200"/>
        <w:rPr>
          <w:rFonts w:ascii="Times New Roman" w:hAnsi="Times New Roman" w:eastAsia="宋体" w:cs="Times New Roman"/>
          <w:color w:val="auto"/>
          <w:sz w:val="24"/>
          <w:szCs w:val="24"/>
          <w:u w:val="none"/>
        </w:rPr>
      </w:pPr>
      <w:r>
        <w:rPr>
          <w:rFonts w:hint="eastAsia" w:ascii="Times New Roman" w:hAnsi="Times New Roman" w:eastAsia="宋体" w:cs="Times New Roman"/>
          <w:color w:val="auto"/>
          <w:sz w:val="24"/>
          <w:szCs w:val="24"/>
          <w:u w:val="none"/>
        </w:rPr>
        <w:t>企业现阶段</w:t>
      </w:r>
      <w:r>
        <w:rPr>
          <w:rFonts w:hint="eastAsia" w:ascii="Times New Roman" w:hAnsi="Times New Roman" w:eastAsia="宋体" w:cs="Times New Roman"/>
          <w:color w:val="auto"/>
          <w:sz w:val="24"/>
          <w:szCs w:val="24"/>
          <w:u w:val="none"/>
          <w:lang w:val="en-US" w:eastAsia="zh-CN"/>
        </w:rPr>
        <w:t>已</w:t>
      </w:r>
      <w:r>
        <w:rPr>
          <w:rFonts w:hint="eastAsia" w:ascii="Times New Roman" w:hAnsi="Times New Roman" w:eastAsia="宋体" w:cs="Times New Roman"/>
          <w:color w:val="auto"/>
          <w:sz w:val="24"/>
          <w:szCs w:val="24"/>
          <w:u w:val="none"/>
        </w:rPr>
        <w:t>建成</w:t>
      </w:r>
      <w:r>
        <w:rPr>
          <w:rFonts w:hint="eastAsia" w:ascii="Times New Roman" w:hAnsi="Times New Roman" w:eastAsia="宋体" w:cs="Times New Roman"/>
          <w:color w:val="auto"/>
          <w:sz w:val="24"/>
          <w:szCs w:val="24"/>
          <w:u w:val="none"/>
          <w:lang w:val="en-US" w:eastAsia="zh-CN"/>
        </w:rPr>
        <w:t>发酵车间一、发酵车间二、提取1车间、提取2车间、提取3车间、提取5车间、提取6车间、烘干车间</w:t>
      </w:r>
      <w:r>
        <w:rPr>
          <w:rFonts w:hint="eastAsia" w:ascii="Times New Roman" w:hAnsi="Times New Roman" w:eastAsia="宋体" w:cs="Times New Roman"/>
          <w:color w:val="auto"/>
          <w:sz w:val="24"/>
          <w:szCs w:val="24"/>
          <w:u w:val="none"/>
        </w:rPr>
        <w:t>，配套的公辅设施，废水、废气环保设施、噪声及固废的处置设施。</w:t>
      </w:r>
    </w:p>
    <w:p w14:paraId="66357631">
      <w:pPr>
        <w:spacing w:line="360" w:lineRule="auto"/>
        <w:ind w:firstLine="480" w:firstLineChars="200"/>
        <w:rPr>
          <w:rFonts w:ascii="Times New Roman" w:hAnsi="Times New Roman" w:eastAsia="宋体" w:cs="Times New Roman"/>
          <w:color w:val="auto"/>
          <w:sz w:val="24"/>
          <w:szCs w:val="24"/>
          <w:u w:val="none"/>
        </w:rPr>
        <w:sectPr>
          <w:headerReference r:id="rId5" w:type="default"/>
          <w:footerReference r:id="rId6" w:type="default"/>
          <w:pgSz w:w="11906" w:h="16838"/>
          <w:pgMar w:top="1440" w:right="1797" w:bottom="1440" w:left="1797" w:header="851" w:footer="992" w:gutter="0"/>
          <w:pgNumType w:fmt="numberInDash"/>
          <w:cols w:space="720" w:num="1"/>
          <w:docGrid w:linePitch="312" w:charSpace="0"/>
        </w:sectPr>
      </w:pPr>
      <w:r>
        <w:rPr>
          <w:rFonts w:hint="eastAsia" w:ascii="Times New Roman" w:hAnsi="Times New Roman" w:eastAsia="宋体" w:cs="Times New Roman"/>
          <w:color w:val="auto"/>
          <w:sz w:val="24"/>
          <w:szCs w:val="24"/>
          <w:u w:val="none"/>
        </w:rPr>
        <w:t>综上，企业现有工程环保手续履行情况见下表：</w:t>
      </w:r>
    </w:p>
    <w:p w14:paraId="4C1DE4C0">
      <w:pPr>
        <w:pStyle w:val="6"/>
        <w:bidi w:val="0"/>
      </w:pPr>
      <w:r>
        <w:rPr>
          <w:rFonts w:hint="eastAsia"/>
        </w:rPr>
        <w:t>表</w:t>
      </w:r>
      <w:r>
        <w:t>3.1</w:t>
      </w:r>
      <w:r>
        <w:rPr>
          <w:rFonts w:hint="eastAsia"/>
        </w:rPr>
        <w:t>.1</w:t>
      </w:r>
      <w:r>
        <w:t>-1    企业</w:t>
      </w:r>
      <w:r>
        <w:rPr>
          <w:rFonts w:hint="eastAsia"/>
        </w:rPr>
        <w:t>环保</w:t>
      </w:r>
      <w:r>
        <w:t>手续履行</w:t>
      </w:r>
      <w:r>
        <w:rPr>
          <w:rFonts w:hint="eastAsia"/>
        </w:rPr>
        <w:t>情况一览</w:t>
      </w:r>
      <w:r>
        <w:t>表</w:t>
      </w:r>
    </w:p>
    <w:tbl>
      <w:tblPr>
        <w:tblStyle w:val="41"/>
        <w:tblW w:w="492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7"/>
        <w:gridCol w:w="2640"/>
        <w:gridCol w:w="2495"/>
        <w:gridCol w:w="2087"/>
        <w:gridCol w:w="2059"/>
        <w:gridCol w:w="1350"/>
        <w:gridCol w:w="2484"/>
      </w:tblGrid>
      <w:tr w14:paraId="38124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3" w:type="pct"/>
            <w:vAlign w:val="center"/>
          </w:tcPr>
          <w:p w14:paraId="31DD8277">
            <w:pPr>
              <w:jc w:val="center"/>
              <w:rPr>
                <w:rFonts w:ascii="Times New Roman" w:hAnsi="Times New Roman" w:eastAsia="宋体" w:cs="Times New Roman"/>
                <w:b/>
                <w:bCs/>
                <w:i w:val="0"/>
                <w:iCs w:val="0"/>
                <w:color w:val="auto"/>
                <w:sz w:val="22"/>
                <w:szCs w:val="24"/>
                <w:u w:val="none"/>
              </w:rPr>
            </w:pPr>
            <w:r>
              <w:rPr>
                <w:rFonts w:hint="eastAsia" w:ascii="Times New Roman" w:hAnsi="Times New Roman" w:eastAsia="宋体" w:cs="Times New Roman"/>
                <w:b/>
                <w:bCs/>
                <w:i w:val="0"/>
                <w:iCs w:val="0"/>
                <w:color w:val="auto"/>
                <w:sz w:val="22"/>
                <w:szCs w:val="24"/>
                <w:u w:val="none"/>
              </w:rPr>
              <w:t>序号</w:t>
            </w:r>
          </w:p>
        </w:tc>
        <w:tc>
          <w:tcPr>
            <w:tcW w:w="945" w:type="pct"/>
            <w:vAlign w:val="center"/>
          </w:tcPr>
          <w:p w14:paraId="19E2CFD2">
            <w:pPr>
              <w:jc w:val="center"/>
              <w:rPr>
                <w:rFonts w:ascii="Times New Roman" w:hAnsi="Times New Roman" w:eastAsia="宋体" w:cs="Times New Roman"/>
                <w:b/>
                <w:bCs/>
                <w:i w:val="0"/>
                <w:iCs w:val="0"/>
                <w:color w:val="auto"/>
                <w:sz w:val="22"/>
                <w:szCs w:val="24"/>
                <w:u w:val="none"/>
              </w:rPr>
            </w:pPr>
            <w:r>
              <w:rPr>
                <w:rFonts w:hint="eastAsia" w:ascii="Times New Roman" w:hAnsi="Times New Roman" w:eastAsia="宋体" w:cs="Times New Roman"/>
                <w:b/>
                <w:bCs/>
                <w:i w:val="0"/>
                <w:iCs w:val="0"/>
                <w:color w:val="auto"/>
                <w:sz w:val="22"/>
                <w:szCs w:val="24"/>
                <w:u w:val="none"/>
              </w:rPr>
              <w:t>项目名称</w:t>
            </w:r>
          </w:p>
        </w:tc>
        <w:tc>
          <w:tcPr>
            <w:tcW w:w="893" w:type="pct"/>
            <w:vAlign w:val="center"/>
          </w:tcPr>
          <w:p w14:paraId="2D4B74CC">
            <w:pPr>
              <w:jc w:val="center"/>
              <w:rPr>
                <w:rFonts w:ascii="Times New Roman" w:hAnsi="Times New Roman" w:eastAsia="宋体" w:cs="Times New Roman"/>
                <w:b/>
                <w:bCs/>
                <w:i w:val="0"/>
                <w:iCs w:val="0"/>
                <w:color w:val="auto"/>
                <w:sz w:val="22"/>
                <w:szCs w:val="24"/>
                <w:u w:val="none"/>
              </w:rPr>
            </w:pPr>
            <w:r>
              <w:rPr>
                <w:rFonts w:hint="eastAsia" w:ascii="Times New Roman" w:hAnsi="Times New Roman" w:eastAsia="宋体" w:cs="Times New Roman"/>
                <w:b/>
                <w:bCs/>
                <w:i w:val="0"/>
                <w:iCs w:val="0"/>
                <w:color w:val="auto"/>
                <w:sz w:val="22"/>
                <w:szCs w:val="24"/>
                <w:u w:val="none"/>
              </w:rPr>
              <w:t>审批文号</w:t>
            </w:r>
          </w:p>
        </w:tc>
        <w:tc>
          <w:tcPr>
            <w:tcW w:w="747" w:type="pct"/>
            <w:vAlign w:val="center"/>
          </w:tcPr>
          <w:p w14:paraId="3EAF86DE">
            <w:pPr>
              <w:jc w:val="center"/>
              <w:rPr>
                <w:rFonts w:hint="default" w:ascii="Times New Roman" w:hAnsi="Times New Roman" w:eastAsia="宋体" w:cs="Times New Roman"/>
                <w:b/>
                <w:bCs/>
                <w:i w:val="0"/>
                <w:iCs w:val="0"/>
                <w:color w:val="auto"/>
                <w:sz w:val="22"/>
                <w:szCs w:val="24"/>
                <w:u w:val="none"/>
                <w:lang w:val="en-US" w:eastAsia="zh-CN"/>
              </w:rPr>
            </w:pPr>
            <w:r>
              <w:rPr>
                <w:rFonts w:hint="eastAsia" w:ascii="Times New Roman" w:hAnsi="Times New Roman" w:eastAsia="宋体" w:cs="Times New Roman"/>
                <w:b/>
                <w:bCs/>
                <w:i w:val="0"/>
                <w:iCs w:val="0"/>
                <w:color w:val="auto"/>
                <w:sz w:val="22"/>
                <w:szCs w:val="24"/>
                <w:u w:val="none"/>
                <w:lang w:val="en-US" w:eastAsia="zh-CN"/>
              </w:rPr>
              <w:t>批复产品</w:t>
            </w:r>
          </w:p>
        </w:tc>
        <w:tc>
          <w:tcPr>
            <w:tcW w:w="737" w:type="pct"/>
            <w:vAlign w:val="center"/>
          </w:tcPr>
          <w:p w14:paraId="33330677">
            <w:pPr>
              <w:jc w:val="center"/>
              <w:rPr>
                <w:rFonts w:hint="default" w:ascii="Times New Roman" w:hAnsi="Times New Roman" w:eastAsia="宋体" w:cs="Times New Roman"/>
                <w:b/>
                <w:bCs/>
                <w:i w:val="0"/>
                <w:iCs w:val="0"/>
                <w:color w:val="auto"/>
                <w:sz w:val="22"/>
                <w:szCs w:val="24"/>
                <w:u w:val="none"/>
                <w:lang w:val="en-US" w:eastAsia="zh-CN"/>
              </w:rPr>
            </w:pPr>
            <w:r>
              <w:rPr>
                <w:rFonts w:hint="eastAsia" w:ascii="Times New Roman" w:hAnsi="Times New Roman" w:eastAsia="宋体" w:cs="Times New Roman"/>
                <w:b/>
                <w:bCs/>
                <w:i w:val="0"/>
                <w:iCs w:val="0"/>
                <w:color w:val="auto"/>
                <w:sz w:val="22"/>
                <w:szCs w:val="24"/>
                <w:u w:val="none"/>
                <w:lang w:val="en-US" w:eastAsia="zh-CN"/>
              </w:rPr>
              <w:t>建设内容</w:t>
            </w:r>
          </w:p>
        </w:tc>
        <w:tc>
          <w:tcPr>
            <w:tcW w:w="483" w:type="pct"/>
            <w:vAlign w:val="center"/>
          </w:tcPr>
          <w:p w14:paraId="73D8CAF0">
            <w:pPr>
              <w:jc w:val="center"/>
              <w:rPr>
                <w:rFonts w:hint="default" w:ascii="Times New Roman" w:hAnsi="Times New Roman" w:eastAsia="宋体" w:cs="Times New Roman"/>
                <w:b/>
                <w:bCs/>
                <w:i w:val="0"/>
                <w:iCs w:val="0"/>
                <w:color w:val="auto"/>
                <w:sz w:val="22"/>
                <w:szCs w:val="24"/>
                <w:u w:val="none"/>
                <w:lang w:val="en-US" w:eastAsia="zh-CN"/>
              </w:rPr>
            </w:pPr>
            <w:r>
              <w:rPr>
                <w:rFonts w:hint="eastAsia" w:ascii="Times New Roman" w:hAnsi="Times New Roman" w:eastAsia="宋体" w:cs="Times New Roman"/>
                <w:b/>
                <w:bCs/>
                <w:i w:val="0"/>
                <w:iCs w:val="0"/>
                <w:color w:val="auto"/>
                <w:sz w:val="22"/>
                <w:szCs w:val="24"/>
                <w:u w:val="none"/>
                <w:lang w:val="en-US" w:eastAsia="zh-CN"/>
              </w:rPr>
              <w:t>实际生产产品产量</w:t>
            </w:r>
          </w:p>
        </w:tc>
        <w:tc>
          <w:tcPr>
            <w:tcW w:w="889" w:type="pct"/>
            <w:vAlign w:val="center"/>
          </w:tcPr>
          <w:p w14:paraId="42CC70DA">
            <w:pPr>
              <w:jc w:val="center"/>
              <w:rPr>
                <w:rFonts w:ascii="Times New Roman" w:hAnsi="Times New Roman" w:eastAsia="宋体" w:cs="Times New Roman"/>
                <w:b/>
                <w:bCs/>
                <w:i w:val="0"/>
                <w:iCs w:val="0"/>
                <w:color w:val="auto"/>
                <w:sz w:val="22"/>
                <w:szCs w:val="24"/>
                <w:u w:val="none"/>
              </w:rPr>
            </w:pPr>
            <w:r>
              <w:rPr>
                <w:rFonts w:hint="eastAsia" w:ascii="Times New Roman" w:hAnsi="Times New Roman" w:eastAsia="宋体" w:cs="Times New Roman"/>
                <w:b/>
                <w:bCs/>
                <w:i w:val="0"/>
                <w:iCs w:val="0"/>
                <w:color w:val="auto"/>
                <w:sz w:val="22"/>
                <w:szCs w:val="24"/>
                <w:u w:val="none"/>
              </w:rPr>
              <w:t>备注</w:t>
            </w:r>
          </w:p>
        </w:tc>
      </w:tr>
      <w:tr w14:paraId="4D5E0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3" w:type="pct"/>
            <w:vAlign w:val="center"/>
          </w:tcPr>
          <w:p w14:paraId="2FDF510B">
            <w:pPr>
              <w:jc w:val="center"/>
              <w:rPr>
                <w:rFonts w:hint="eastAsia" w:ascii="Times New Roman" w:hAnsi="Times New Roman" w:eastAsia="宋体" w:cs="Times New Roman"/>
                <w:i w:val="0"/>
                <w:iCs w:val="0"/>
                <w:color w:val="auto"/>
                <w:sz w:val="22"/>
                <w:szCs w:val="24"/>
                <w:u w:val="none"/>
                <w:lang w:val="en-US" w:eastAsia="zh-CN"/>
              </w:rPr>
            </w:pPr>
            <w:r>
              <w:rPr>
                <w:rFonts w:hint="eastAsia" w:ascii="Times New Roman" w:hAnsi="Times New Roman" w:eastAsia="宋体" w:cs="Times New Roman"/>
                <w:i w:val="0"/>
                <w:iCs w:val="0"/>
                <w:color w:val="auto"/>
                <w:sz w:val="22"/>
                <w:szCs w:val="24"/>
                <w:u w:val="none"/>
                <w:lang w:val="en-US" w:eastAsia="zh-CN"/>
              </w:rPr>
              <w:t>1</w:t>
            </w:r>
          </w:p>
        </w:tc>
        <w:tc>
          <w:tcPr>
            <w:tcW w:w="945" w:type="pct"/>
            <w:vAlign w:val="center"/>
          </w:tcPr>
          <w:p w14:paraId="2534DF33">
            <w:pPr>
              <w:jc w:val="center"/>
              <w:rPr>
                <w:rFonts w:ascii="Times New Roman" w:hAnsi="Times New Roman" w:eastAsia="宋体" w:cs="Times New Roman"/>
                <w:i w:val="0"/>
                <w:iCs w:val="0"/>
                <w:color w:val="auto"/>
                <w:sz w:val="22"/>
                <w:szCs w:val="24"/>
                <w:u w:val="none"/>
              </w:rPr>
            </w:pPr>
            <w:r>
              <w:rPr>
                <w:rFonts w:hint="eastAsia" w:ascii="Times New Roman" w:hAnsi="Times New Roman" w:eastAsia="宋体" w:cs="Times New Roman"/>
                <w:i w:val="0"/>
                <w:iCs w:val="0"/>
                <w:color w:val="auto"/>
                <w:sz w:val="22"/>
                <w:szCs w:val="24"/>
                <w:u w:val="none"/>
              </w:rPr>
              <w:t>年产10万标吨系列酶制剂生产线项目环境影响报告表</w:t>
            </w:r>
          </w:p>
        </w:tc>
        <w:tc>
          <w:tcPr>
            <w:tcW w:w="893" w:type="pct"/>
            <w:vAlign w:val="center"/>
          </w:tcPr>
          <w:p w14:paraId="786376F3">
            <w:pPr>
              <w:jc w:val="center"/>
              <w:rPr>
                <w:rFonts w:ascii="Times New Roman" w:hAnsi="Times New Roman" w:eastAsia="宋体" w:cs="Times New Roman"/>
                <w:i w:val="0"/>
                <w:iCs w:val="0"/>
                <w:color w:val="auto"/>
                <w:sz w:val="22"/>
                <w:szCs w:val="24"/>
                <w:u w:val="none"/>
              </w:rPr>
            </w:pPr>
            <w:r>
              <w:rPr>
                <w:rFonts w:hint="eastAsia" w:ascii="Times New Roman" w:hAnsi="Times New Roman" w:eastAsia="宋体" w:cs="Times New Roman"/>
                <w:i w:val="0"/>
                <w:iCs w:val="0"/>
                <w:color w:val="auto"/>
                <w:sz w:val="22"/>
                <w:szCs w:val="24"/>
                <w:u w:val="none"/>
              </w:rPr>
              <w:t>常环建〔2013〕158号</w:t>
            </w:r>
          </w:p>
        </w:tc>
        <w:tc>
          <w:tcPr>
            <w:tcW w:w="747" w:type="pct"/>
            <w:shd w:val="clear" w:color="auto" w:fill="auto"/>
            <w:vAlign w:val="center"/>
          </w:tcPr>
          <w:p w14:paraId="6C35A444">
            <w:pPr>
              <w:jc w:val="center"/>
              <w:rPr>
                <w:rFonts w:hint="eastAsia"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糖化酶5.5万t/a</w:t>
            </w:r>
          </w:p>
          <w:p w14:paraId="39C009F5">
            <w:pPr>
              <w:jc w:val="center"/>
              <w:rPr>
                <w:rFonts w:hint="eastAsia"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中温淀粉酶2万t/a</w:t>
            </w:r>
          </w:p>
          <w:p w14:paraId="4D5015FF">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高温淀粉酶2万t/a</w:t>
            </w:r>
          </w:p>
          <w:p w14:paraId="0FE8ADC9">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lang w:val="en-US" w:eastAsia="zh-CN"/>
              </w:rPr>
              <w:t>β-淀粉酶5千t/a</w:t>
            </w:r>
          </w:p>
        </w:tc>
        <w:tc>
          <w:tcPr>
            <w:tcW w:w="737" w:type="pct"/>
            <w:vAlign w:val="center"/>
          </w:tcPr>
          <w:p w14:paraId="29CEA61B">
            <w:pPr>
              <w:jc w:val="center"/>
              <w:rPr>
                <w:rFonts w:hint="default" w:ascii="Times New Roman" w:hAnsi="Times New Roman" w:eastAsia="宋体" w:cs="Times New Roman"/>
                <w:i w:val="0"/>
                <w:iCs w:val="0"/>
                <w:color w:val="auto"/>
                <w:sz w:val="22"/>
                <w:szCs w:val="24"/>
                <w:u w:val="none"/>
                <w:lang w:val="en-US" w:eastAsia="zh-CN"/>
              </w:rPr>
            </w:pPr>
            <w:r>
              <w:rPr>
                <w:rFonts w:hint="default" w:ascii="Times New Roman" w:hAnsi="Times New Roman" w:eastAsia="宋体" w:cs="Times New Roman"/>
                <w:i w:val="0"/>
                <w:iCs w:val="0"/>
                <w:color w:val="auto"/>
                <w:sz w:val="22"/>
                <w:szCs w:val="24"/>
                <w:u w:val="none"/>
                <w:lang w:val="en-US" w:eastAsia="zh-CN"/>
              </w:rPr>
              <w:t>年产 10 万标吨糖化酶生产线</w:t>
            </w:r>
          </w:p>
        </w:tc>
        <w:tc>
          <w:tcPr>
            <w:tcW w:w="483" w:type="pct"/>
            <w:vAlign w:val="center"/>
          </w:tcPr>
          <w:p w14:paraId="1F7C2E37">
            <w:pPr>
              <w:jc w:val="center"/>
              <w:rPr>
                <w:rFonts w:hint="eastAsia" w:ascii="Times New Roman" w:hAnsi="Times New Roman" w:eastAsia="宋体" w:cs="Times New Roman"/>
                <w:i w:val="0"/>
                <w:iCs w:val="0"/>
                <w:color w:val="auto"/>
                <w:sz w:val="22"/>
                <w:szCs w:val="24"/>
                <w:u w:val="none"/>
                <w:lang w:val="en-US" w:eastAsia="zh-CN"/>
              </w:rPr>
            </w:pPr>
            <w:r>
              <w:rPr>
                <w:rFonts w:hint="eastAsia" w:ascii="Times New Roman" w:hAnsi="Times New Roman" w:eastAsia="宋体" w:cs="Times New Roman"/>
                <w:i w:val="0"/>
                <w:iCs w:val="0"/>
                <w:color w:val="auto"/>
                <w:sz w:val="22"/>
                <w:szCs w:val="24"/>
                <w:u w:val="none"/>
                <w:lang w:val="en-US" w:eastAsia="zh-CN"/>
              </w:rPr>
              <w:t>0</w:t>
            </w:r>
          </w:p>
        </w:tc>
        <w:tc>
          <w:tcPr>
            <w:tcW w:w="889" w:type="pct"/>
            <w:vAlign w:val="center"/>
          </w:tcPr>
          <w:p w14:paraId="20F3FB8D">
            <w:pPr>
              <w:jc w:val="center"/>
              <w:rPr>
                <w:rFonts w:hint="default" w:ascii="Times New Roman" w:hAnsi="Times New Roman" w:eastAsia="宋体" w:cs="Times New Roman"/>
                <w:i w:val="0"/>
                <w:iCs w:val="0"/>
                <w:color w:val="auto"/>
                <w:sz w:val="22"/>
                <w:szCs w:val="24"/>
                <w:u w:val="none"/>
                <w:lang w:val="en-US" w:eastAsia="zh-CN"/>
              </w:rPr>
            </w:pPr>
            <w:r>
              <w:rPr>
                <w:rFonts w:hint="eastAsia" w:ascii="Times New Roman" w:hAnsi="Times New Roman" w:eastAsia="宋体" w:cs="Times New Roman"/>
                <w:i w:val="0"/>
                <w:iCs w:val="0"/>
                <w:color w:val="auto"/>
                <w:sz w:val="22"/>
                <w:szCs w:val="24"/>
                <w:u w:val="none"/>
                <w:lang w:val="en-US" w:eastAsia="zh-CN"/>
              </w:rPr>
              <w:t>已验收，验收文号：</w:t>
            </w:r>
            <w:r>
              <w:rPr>
                <w:rFonts w:hint="eastAsia" w:ascii="Times New Roman" w:hAnsi="Times New Roman" w:eastAsia="宋体" w:cs="Times New Roman"/>
                <w:i w:val="0"/>
                <w:iCs w:val="0"/>
                <w:color w:val="auto"/>
                <w:sz w:val="22"/>
                <w:szCs w:val="24"/>
                <w:u w:val="none"/>
              </w:rPr>
              <w:t>常环建〔2016〕63号</w:t>
            </w:r>
            <w:r>
              <w:rPr>
                <w:rFonts w:hint="eastAsia" w:ascii="Times New Roman" w:hAnsi="Times New Roman" w:eastAsia="宋体" w:cs="Times New Roman"/>
                <w:i w:val="0"/>
                <w:iCs w:val="0"/>
                <w:color w:val="auto"/>
                <w:sz w:val="22"/>
                <w:szCs w:val="24"/>
                <w:u w:val="none"/>
                <w:lang w:eastAsia="zh-CN"/>
              </w:rPr>
              <w:t>；</w:t>
            </w:r>
            <w:r>
              <w:rPr>
                <w:rFonts w:hint="eastAsia" w:ascii="Times New Roman" w:hAnsi="Times New Roman" w:eastAsia="宋体" w:cs="Times New Roman"/>
                <w:i w:val="0"/>
                <w:iCs w:val="0"/>
                <w:color w:val="auto"/>
                <w:sz w:val="22"/>
                <w:szCs w:val="24"/>
                <w:u w:val="none"/>
                <w:lang w:val="en-US" w:eastAsia="zh-CN"/>
              </w:rPr>
              <w:t>曾正式生产，现未生产，本次改扩建项目完成后，产能降为1万t/a糖化酶</w:t>
            </w:r>
          </w:p>
        </w:tc>
      </w:tr>
      <w:tr w14:paraId="152C7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3" w:type="pct"/>
            <w:vAlign w:val="center"/>
          </w:tcPr>
          <w:p w14:paraId="1E8BE85C">
            <w:pPr>
              <w:jc w:val="center"/>
              <w:rPr>
                <w:rFonts w:hint="default" w:ascii="Times New Roman" w:hAnsi="Times New Roman" w:eastAsia="宋体" w:cs="Times New Roman"/>
                <w:i w:val="0"/>
                <w:iCs w:val="0"/>
                <w:color w:val="auto"/>
                <w:sz w:val="22"/>
                <w:szCs w:val="24"/>
                <w:u w:val="none"/>
                <w:lang w:val="en-US" w:eastAsia="zh-CN"/>
              </w:rPr>
            </w:pPr>
            <w:r>
              <w:rPr>
                <w:rFonts w:hint="eastAsia" w:ascii="Times New Roman" w:hAnsi="Times New Roman" w:eastAsia="宋体" w:cs="Times New Roman"/>
                <w:i w:val="0"/>
                <w:iCs w:val="0"/>
                <w:color w:val="auto"/>
                <w:sz w:val="22"/>
                <w:szCs w:val="24"/>
                <w:u w:val="none"/>
                <w:lang w:val="en-US" w:eastAsia="zh-CN"/>
              </w:rPr>
              <w:t>2</w:t>
            </w:r>
          </w:p>
        </w:tc>
        <w:tc>
          <w:tcPr>
            <w:tcW w:w="945" w:type="pct"/>
            <w:vAlign w:val="center"/>
          </w:tcPr>
          <w:p w14:paraId="6F3F32BF">
            <w:pPr>
              <w:jc w:val="center"/>
              <w:rPr>
                <w:rFonts w:hint="eastAsia" w:ascii="Times New Roman" w:hAnsi="Times New Roman" w:eastAsia="宋体" w:cs="Times New Roman"/>
                <w:i w:val="0"/>
                <w:iCs w:val="0"/>
                <w:color w:val="auto"/>
                <w:sz w:val="22"/>
                <w:szCs w:val="24"/>
                <w:u w:val="none"/>
              </w:rPr>
            </w:pPr>
            <w:r>
              <w:rPr>
                <w:rFonts w:hint="eastAsia" w:ascii="Times New Roman" w:hAnsi="Times New Roman" w:eastAsia="宋体" w:cs="Times New Roman"/>
                <w:i w:val="0"/>
                <w:iCs w:val="0"/>
                <w:color w:val="auto"/>
                <w:sz w:val="22"/>
                <w:szCs w:val="24"/>
                <w:u w:val="none"/>
              </w:rPr>
              <w:t>年产20吨内酯环（A环降解物）生产线项目环境影响报告表</w:t>
            </w:r>
          </w:p>
        </w:tc>
        <w:tc>
          <w:tcPr>
            <w:tcW w:w="893" w:type="pct"/>
            <w:vAlign w:val="center"/>
          </w:tcPr>
          <w:p w14:paraId="20EA6D57">
            <w:pPr>
              <w:jc w:val="center"/>
              <w:rPr>
                <w:rFonts w:hint="eastAsia" w:ascii="Times New Roman" w:hAnsi="Times New Roman" w:eastAsia="宋体" w:cs="Times New Roman"/>
                <w:i w:val="0"/>
                <w:iCs w:val="0"/>
                <w:color w:val="auto"/>
                <w:sz w:val="22"/>
                <w:szCs w:val="24"/>
                <w:u w:val="none"/>
              </w:rPr>
            </w:pPr>
            <w:r>
              <w:rPr>
                <w:rFonts w:hint="eastAsia" w:ascii="Times New Roman" w:hAnsi="Times New Roman" w:eastAsia="宋体" w:cs="Times New Roman"/>
                <w:i w:val="0"/>
                <w:iCs w:val="0"/>
                <w:color w:val="auto"/>
                <w:sz w:val="22"/>
                <w:szCs w:val="24"/>
                <w:u w:val="none"/>
              </w:rPr>
              <w:t>常环建〔2015〕22号</w:t>
            </w:r>
          </w:p>
        </w:tc>
        <w:tc>
          <w:tcPr>
            <w:tcW w:w="747" w:type="pct"/>
            <w:shd w:val="clear" w:color="auto" w:fill="auto"/>
            <w:vAlign w:val="center"/>
          </w:tcPr>
          <w:p w14:paraId="1ED544FA">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i w:val="0"/>
                <w:iCs w:val="0"/>
                <w:color w:val="auto"/>
                <w:sz w:val="22"/>
                <w:szCs w:val="24"/>
                <w:u w:val="none"/>
              </w:rPr>
              <w:t>内酯环（A环降解物）</w:t>
            </w:r>
            <w:r>
              <w:rPr>
                <w:rFonts w:hint="eastAsia" w:ascii="Times New Roman" w:hAnsi="Times New Roman" w:eastAsia="宋体" w:cs="Times New Roman"/>
                <w:i w:val="0"/>
                <w:iCs w:val="0"/>
                <w:color w:val="auto"/>
                <w:sz w:val="22"/>
                <w:szCs w:val="24"/>
                <w:u w:val="none"/>
                <w:lang w:val="en-US" w:eastAsia="zh-CN"/>
              </w:rPr>
              <w:t>20t/a</w:t>
            </w:r>
          </w:p>
        </w:tc>
        <w:tc>
          <w:tcPr>
            <w:tcW w:w="737" w:type="pct"/>
            <w:vAlign w:val="center"/>
          </w:tcPr>
          <w:p w14:paraId="50F0ED87">
            <w:pPr>
              <w:jc w:val="center"/>
              <w:rPr>
                <w:rFonts w:ascii="Times New Roman" w:hAnsi="Times New Roman" w:eastAsia="宋体" w:cs="Times New Roman"/>
                <w:i w:val="0"/>
                <w:iCs w:val="0"/>
                <w:color w:val="auto"/>
                <w:sz w:val="22"/>
                <w:szCs w:val="24"/>
                <w:u w:val="none"/>
              </w:rPr>
            </w:pPr>
            <w:r>
              <w:rPr>
                <w:rFonts w:hint="eastAsia" w:ascii="Times New Roman" w:hAnsi="Times New Roman" w:eastAsia="宋体" w:cs="Times New Roman"/>
                <w:i w:val="0"/>
                <w:iCs w:val="0"/>
                <w:color w:val="auto"/>
                <w:sz w:val="22"/>
                <w:szCs w:val="24"/>
                <w:u w:val="none"/>
              </w:rPr>
              <w:t>年产20吨内酯环（A环降解物）生产线</w:t>
            </w:r>
          </w:p>
        </w:tc>
        <w:tc>
          <w:tcPr>
            <w:tcW w:w="483" w:type="pct"/>
            <w:vAlign w:val="center"/>
          </w:tcPr>
          <w:p w14:paraId="4B9E7E69">
            <w:pPr>
              <w:jc w:val="center"/>
              <w:rPr>
                <w:rFonts w:hint="eastAsia" w:ascii="Times New Roman" w:hAnsi="Times New Roman" w:eastAsia="宋体" w:cs="Times New Roman"/>
                <w:i w:val="0"/>
                <w:iCs w:val="0"/>
                <w:color w:val="auto"/>
                <w:sz w:val="22"/>
                <w:szCs w:val="24"/>
                <w:u w:val="none"/>
                <w:lang w:val="en-US" w:eastAsia="zh-CN"/>
              </w:rPr>
            </w:pPr>
            <w:r>
              <w:rPr>
                <w:rFonts w:hint="eastAsia" w:ascii="Times New Roman" w:hAnsi="Times New Roman" w:eastAsia="宋体" w:cs="Times New Roman"/>
                <w:i w:val="0"/>
                <w:iCs w:val="0"/>
                <w:color w:val="auto"/>
                <w:sz w:val="22"/>
                <w:szCs w:val="24"/>
                <w:u w:val="none"/>
                <w:lang w:val="en-US" w:eastAsia="zh-CN"/>
              </w:rPr>
              <w:t>0</w:t>
            </w:r>
          </w:p>
        </w:tc>
        <w:tc>
          <w:tcPr>
            <w:tcW w:w="889" w:type="pct"/>
            <w:vAlign w:val="center"/>
          </w:tcPr>
          <w:p w14:paraId="59285289">
            <w:pPr>
              <w:jc w:val="center"/>
              <w:rPr>
                <w:rFonts w:hint="default" w:ascii="Times New Roman" w:hAnsi="Times New Roman" w:eastAsia="宋体" w:cs="Times New Roman"/>
                <w:i w:val="0"/>
                <w:iCs w:val="0"/>
                <w:color w:val="auto"/>
                <w:sz w:val="22"/>
                <w:szCs w:val="24"/>
                <w:u w:val="none"/>
                <w:lang w:val="en-US" w:eastAsia="zh-CN"/>
              </w:rPr>
            </w:pPr>
            <w:r>
              <w:rPr>
                <w:rFonts w:hint="eastAsia" w:ascii="Times New Roman" w:hAnsi="Times New Roman" w:eastAsia="宋体" w:cs="Times New Roman"/>
                <w:i w:val="0"/>
                <w:iCs w:val="0"/>
                <w:color w:val="auto"/>
                <w:sz w:val="22"/>
                <w:szCs w:val="24"/>
                <w:u w:val="none"/>
                <w:lang w:val="en-US" w:eastAsia="zh-CN"/>
              </w:rPr>
              <w:t>已验收，验收文号：</w:t>
            </w:r>
            <w:r>
              <w:rPr>
                <w:rFonts w:hint="eastAsia" w:ascii="Times New Roman" w:hAnsi="Times New Roman" w:eastAsia="宋体" w:cs="Times New Roman"/>
                <w:i w:val="0"/>
                <w:iCs w:val="0"/>
                <w:color w:val="auto"/>
                <w:sz w:val="22"/>
                <w:szCs w:val="24"/>
                <w:u w:val="none"/>
              </w:rPr>
              <w:t>常环建〔2016〕63号</w:t>
            </w:r>
            <w:r>
              <w:rPr>
                <w:rFonts w:hint="eastAsia" w:ascii="Times New Roman" w:hAnsi="Times New Roman" w:eastAsia="宋体" w:cs="Times New Roman"/>
                <w:i w:val="0"/>
                <w:iCs w:val="0"/>
                <w:color w:val="auto"/>
                <w:sz w:val="22"/>
                <w:szCs w:val="24"/>
                <w:u w:val="none"/>
                <w:lang w:eastAsia="zh-CN"/>
              </w:rPr>
              <w:t>；</w:t>
            </w:r>
            <w:r>
              <w:rPr>
                <w:rFonts w:hint="eastAsia" w:ascii="Times New Roman" w:hAnsi="Times New Roman" w:eastAsia="宋体" w:cs="Times New Roman"/>
                <w:i w:val="0"/>
                <w:iCs w:val="0"/>
                <w:color w:val="auto"/>
                <w:sz w:val="22"/>
                <w:szCs w:val="24"/>
                <w:u w:val="none"/>
                <w:lang w:val="en-US" w:eastAsia="zh-CN"/>
              </w:rPr>
              <w:t>曾正式生产，现未生产，本次改扩建项目完成后不再生产</w:t>
            </w:r>
          </w:p>
        </w:tc>
      </w:tr>
      <w:tr w14:paraId="23B8E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3" w:type="pct"/>
            <w:vAlign w:val="center"/>
          </w:tcPr>
          <w:p w14:paraId="1D86621B">
            <w:pPr>
              <w:jc w:val="center"/>
              <w:rPr>
                <w:rFonts w:hint="default" w:ascii="Times New Roman" w:hAnsi="Times New Roman" w:eastAsia="宋体" w:cs="Times New Roman"/>
                <w:i w:val="0"/>
                <w:iCs w:val="0"/>
                <w:color w:val="auto"/>
                <w:sz w:val="22"/>
                <w:szCs w:val="24"/>
                <w:u w:val="none"/>
                <w:lang w:val="en-US" w:eastAsia="zh-CN"/>
              </w:rPr>
            </w:pPr>
            <w:r>
              <w:rPr>
                <w:rFonts w:hint="eastAsia" w:ascii="Times New Roman" w:hAnsi="Times New Roman" w:eastAsia="宋体" w:cs="Times New Roman"/>
                <w:i w:val="0"/>
                <w:iCs w:val="0"/>
                <w:color w:val="auto"/>
                <w:sz w:val="22"/>
                <w:szCs w:val="24"/>
                <w:u w:val="none"/>
                <w:lang w:val="en-US" w:eastAsia="zh-CN"/>
              </w:rPr>
              <w:t>3</w:t>
            </w:r>
          </w:p>
        </w:tc>
        <w:tc>
          <w:tcPr>
            <w:tcW w:w="945" w:type="pct"/>
            <w:vAlign w:val="center"/>
          </w:tcPr>
          <w:p w14:paraId="4DAB39FE">
            <w:pPr>
              <w:jc w:val="center"/>
              <w:rPr>
                <w:rFonts w:hint="eastAsia" w:ascii="Times New Roman" w:hAnsi="Times New Roman" w:eastAsia="宋体" w:cs="Times New Roman"/>
                <w:i w:val="0"/>
                <w:iCs w:val="0"/>
                <w:color w:val="auto"/>
                <w:sz w:val="22"/>
                <w:szCs w:val="24"/>
                <w:u w:val="none"/>
              </w:rPr>
            </w:pPr>
            <w:r>
              <w:rPr>
                <w:rFonts w:hint="eastAsia" w:ascii="Times New Roman" w:hAnsi="Times New Roman" w:eastAsia="宋体" w:cs="Times New Roman"/>
                <w:i w:val="0"/>
                <w:iCs w:val="0"/>
                <w:color w:val="auto"/>
                <w:sz w:val="22"/>
                <w:szCs w:val="24"/>
                <w:u w:val="none"/>
              </w:rPr>
              <w:t>年产50吨17a-羟基黄体酮中间体生产线项目环境影响报告书</w:t>
            </w:r>
          </w:p>
        </w:tc>
        <w:tc>
          <w:tcPr>
            <w:tcW w:w="893" w:type="pct"/>
            <w:vAlign w:val="center"/>
          </w:tcPr>
          <w:p w14:paraId="79EAC7D1">
            <w:pPr>
              <w:jc w:val="center"/>
              <w:rPr>
                <w:rFonts w:hint="eastAsia" w:ascii="Times New Roman" w:hAnsi="Times New Roman" w:eastAsia="宋体" w:cs="Times New Roman"/>
                <w:i w:val="0"/>
                <w:iCs w:val="0"/>
                <w:color w:val="auto"/>
                <w:sz w:val="22"/>
                <w:szCs w:val="24"/>
                <w:u w:val="none"/>
              </w:rPr>
            </w:pPr>
            <w:r>
              <w:rPr>
                <w:rFonts w:hint="eastAsia" w:ascii="Times New Roman" w:hAnsi="Times New Roman" w:eastAsia="宋体" w:cs="Times New Roman"/>
                <w:i w:val="0"/>
                <w:iCs w:val="0"/>
                <w:color w:val="auto"/>
                <w:sz w:val="22"/>
                <w:szCs w:val="24"/>
                <w:u w:val="none"/>
              </w:rPr>
              <w:t>常环建〔2017〕53号</w:t>
            </w:r>
          </w:p>
        </w:tc>
        <w:tc>
          <w:tcPr>
            <w:tcW w:w="747" w:type="pct"/>
            <w:shd w:val="clear" w:color="auto" w:fill="auto"/>
            <w:vAlign w:val="center"/>
          </w:tcPr>
          <w:p w14:paraId="3C54821D">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i w:val="0"/>
                <w:iCs w:val="0"/>
                <w:color w:val="auto"/>
                <w:sz w:val="22"/>
                <w:szCs w:val="24"/>
                <w:u w:val="none"/>
              </w:rPr>
              <w:t>17a-羟基黄体酮</w:t>
            </w:r>
            <w:r>
              <w:rPr>
                <w:rFonts w:hint="eastAsia" w:ascii="Times New Roman" w:hAnsi="Times New Roman" w:eastAsia="宋体" w:cs="Times New Roman"/>
                <w:i w:val="0"/>
                <w:iCs w:val="0"/>
                <w:color w:val="auto"/>
                <w:sz w:val="22"/>
                <w:szCs w:val="24"/>
                <w:u w:val="none"/>
                <w:lang w:val="en-US" w:eastAsia="zh-CN"/>
              </w:rPr>
              <w:t>中间体50t/a</w:t>
            </w:r>
          </w:p>
        </w:tc>
        <w:tc>
          <w:tcPr>
            <w:tcW w:w="737" w:type="pct"/>
            <w:vAlign w:val="center"/>
          </w:tcPr>
          <w:p w14:paraId="023DD96F">
            <w:pPr>
              <w:jc w:val="center"/>
              <w:rPr>
                <w:rFonts w:ascii="Times New Roman" w:hAnsi="Times New Roman" w:eastAsia="宋体" w:cs="Times New Roman"/>
                <w:i w:val="0"/>
                <w:iCs w:val="0"/>
                <w:color w:val="auto"/>
                <w:sz w:val="22"/>
                <w:szCs w:val="24"/>
                <w:u w:val="none"/>
              </w:rPr>
            </w:pPr>
            <w:r>
              <w:rPr>
                <w:rFonts w:hint="eastAsia" w:ascii="Times New Roman" w:hAnsi="Times New Roman" w:eastAsia="宋体" w:cs="Times New Roman"/>
                <w:i w:val="0"/>
                <w:iCs w:val="0"/>
                <w:color w:val="auto"/>
                <w:sz w:val="22"/>
                <w:szCs w:val="24"/>
                <w:u w:val="none"/>
                <w:lang w:val="en-US" w:eastAsia="zh-CN"/>
              </w:rPr>
              <w:t>年</w:t>
            </w:r>
            <w:r>
              <w:rPr>
                <w:rFonts w:hint="eastAsia" w:ascii="Times New Roman" w:hAnsi="Times New Roman" w:eastAsia="宋体" w:cs="Times New Roman"/>
                <w:i w:val="0"/>
                <w:iCs w:val="0"/>
                <w:color w:val="auto"/>
                <w:sz w:val="22"/>
                <w:szCs w:val="24"/>
                <w:u w:val="none"/>
              </w:rPr>
              <w:t>产50吨17a-羟基黄体酮中间体生产线</w:t>
            </w:r>
          </w:p>
        </w:tc>
        <w:tc>
          <w:tcPr>
            <w:tcW w:w="483" w:type="pct"/>
            <w:vAlign w:val="center"/>
          </w:tcPr>
          <w:p w14:paraId="75254B4C">
            <w:pPr>
              <w:jc w:val="center"/>
              <w:rPr>
                <w:rFonts w:hint="eastAsia" w:ascii="Times New Roman" w:hAnsi="Times New Roman" w:eastAsia="宋体" w:cs="Times New Roman"/>
                <w:i w:val="0"/>
                <w:iCs w:val="0"/>
                <w:color w:val="auto"/>
                <w:sz w:val="22"/>
                <w:szCs w:val="24"/>
                <w:u w:val="none"/>
                <w:lang w:val="en-US" w:eastAsia="zh-CN"/>
              </w:rPr>
            </w:pPr>
            <w:r>
              <w:rPr>
                <w:rFonts w:hint="eastAsia" w:ascii="Times New Roman" w:hAnsi="Times New Roman" w:eastAsia="宋体" w:cs="Times New Roman"/>
                <w:i w:val="0"/>
                <w:iCs w:val="0"/>
                <w:color w:val="auto"/>
                <w:sz w:val="22"/>
                <w:szCs w:val="24"/>
                <w:u w:val="none"/>
                <w:lang w:val="en-US" w:eastAsia="zh-CN"/>
              </w:rPr>
              <w:t>0</w:t>
            </w:r>
          </w:p>
        </w:tc>
        <w:tc>
          <w:tcPr>
            <w:tcW w:w="889" w:type="pct"/>
            <w:vAlign w:val="center"/>
          </w:tcPr>
          <w:p w14:paraId="62BB0EDC">
            <w:pPr>
              <w:jc w:val="center"/>
              <w:rPr>
                <w:rFonts w:hint="default" w:ascii="Times New Roman" w:hAnsi="Times New Roman" w:eastAsia="宋体" w:cs="Times New Roman"/>
                <w:i w:val="0"/>
                <w:iCs w:val="0"/>
                <w:color w:val="auto"/>
                <w:sz w:val="22"/>
                <w:szCs w:val="24"/>
                <w:u w:val="none"/>
                <w:lang w:val="en-US" w:eastAsia="zh-CN"/>
              </w:rPr>
            </w:pPr>
            <w:r>
              <w:rPr>
                <w:rFonts w:hint="eastAsia" w:ascii="Times New Roman" w:hAnsi="Times New Roman" w:eastAsia="宋体" w:cs="Times New Roman"/>
                <w:i w:val="0"/>
                <w:iCs w:val="0"/>
                <w:color w:val="auto"/>
                <w:sz w:val="22"/>
                <w:szCs w:val="24"/>
                <w:u w:val="none"/>
                <w:lang w:val="en-US" w:eastAsia="zh-CN"/>
              </w:rPr>
              <w:t>已验收，验收文号：</w:t>
            </w:r>
            <w:r>
              <w:rPr>
                <w:rFonts w:hint="eastAsia" w:ascii="Times New Roman" w:hAnsi="Times New Roman" w:eastAsia="宋体" w:cs="Times New Roman"/>
                <w:i w:val="0"/>
                <w:iCs w:val="0"/>
                <w:color w:val="auto"/>
                <w:sz w:val="22"/>
                <w:szCs w:val="24"/>
                <w:u w:val="none"/>
              </w:rPr>
              <w:t>常环验〔2019〕6号</w:t>
            </w:r>
            <w:r>
              <w:rPr>
                <w:rFonts w:hint="eastAsia" w:ascii="Times New Roman" w:hAnsi="Times New Roman" w:eastAsia="宋体" w:cs="Times New Roman"/>
                <w:i w:val="0"/>
                <w:iCs w:val="0"/>
                <w:color w:val="auto"/>
                <w:sz w:val="22"/>
                <w:szCs w:val="24"/>
                <w:u w:val="none"/>
                <w:lang w:eastAsia="zh-CN"/>
              </w:rPr>
              <w:t>；</w:t>
            </w:r>
            <w:r>
              <w:rPr>
                <w:rFonts w:hint="eastAsia" w:ascii="Times New Roman" w:hAnsi="Times New Roman" w:eastAsia="宋体" w:cs="Times New Roman"/>
                <w:i w:val="0"/>
                <w:iCs w:val="0"/>
                <w:color w:val="auto"/>
                <w:sz w:val="22"/>
                <w:szCs w:val="24"/>
                <w:u w:val="none"/>
                <w:lang w:val="en-US" w:eastAsia="zh-CN"/>
              </w:rPr>
              <w:t>曾正式生产，现生产线改建为年产2000吨泛酸钙饲料添加剂及2000吨丙氨酸食品添加剂生产线</w:t>
            </w:r>
          </w:p>
        </w:tc>
      </w:tr>
      <w:tr w14:paraId="4744C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3" w:type="pct"/>
            <w:vAlign w:val="center"/>
          </w:tcPr>
          <w:p w14:paraId="36DA9021">
            <w:pPr>
              <w:jc w:val="center"/>
              <w:rPr>
                <w:rFonts w:hint="default" w:ascii="Times New Roman" w:hAnsi="Times New Roman" w:eastAsia="宋体" w:cs="Times New Roman"/>
                <w:i w:val="0"/>
                <w:iCs w:val="0"/>
                <w:color w:val="auto"/>
                <w:sz w:val="22"/>
                <w:szCs w:val="24"/>
                <w:u w:val="none"/>
                <w:lang w:val="en-US" w:eastAsia="zh-CN"/>
              </w:rPr>
            </w:pPr>
            <w:r>
              <w:rPr>
                <w:rFonts w:hint="eastAsia" w:ascii="Times New Roman" w:hAnsi="Times New Roman" w:eastAsia="宋体" w:cs="Times New Roman"/>
                <w:i w:val="0"/>
                <w:iCs w:val="0"/>
                <w:color w:val="auto"/>
                <w:sz w:val="22"/>
                <w:szCs w:val="24"/>
                <w:u w:val="none"/>
                <w:lang w:val="en-US" w:eastAsia="zh-CN"/>
              </w:rPr>
              <w:t>4</w:t>
            </w:r>
          </w:p>
        </w:tc>
        <w:tc>
          <w:tcPr>
            <w:tcW w:w="945" w:type="pct"/>
            <w:vAlign w:val="center"/>
          </w:tcPr>
          <w:p w14:paraId="3FBA86F4">
            <w:pPr>
              <w:jc w:val="center"/>
              <w:rPr>
                <w:rFonts w:hint="eastAsia" w:ascii="Times New Roman" w:hAnsi="Times New Roman" w:eastAsia="宋体" w:cs="Times New Roman"/>
                <w:i w:val="0"/>
                <w:iCs w:val="0"/>
                <w:color w:val="auto"/>
                <w:sz w:val="22"/>
                <w:szCs w:val="24"/>
                <w:u w:val="none"/>
              </w:rPr>
            </w:pPr>
            <w:r>
              <w:rPr>
                <w:rFonts w:hint="eastAsia" w:ascii="Times New Roman" w:hAnsi="Times New Roman" w:eastAsia="宋体" w:cs="Times New Roman"/>
                <w:i w:val="0"/>
                <w:iCs w:val="0"/>
                <w:color w:val="auto"/>
                <w:sz w:val="22"/>
                <w:szCs w:val="24"/>
                <w:u w:val="none"/>
              </w:rPr>
              <w:t>腺苷中间体发酵产品生产线建设项目环境影响报告表</w:t>
            </w:r>
          </w:p>
        </w:tc>
        <w:tc>
          <w:tcPr>
            <w:tcW w:w="893" w:type="pct"/>
            <w:vAlign w:val="center"/>
          </w:tcPr>
          <w:p w14:paraId="30011A49">
            <w:pPr>
              <w:jc w:val="center"/>
              <w:rPr>
                <w:rFonts w:hint="eastAsia" w:ascii="Times New Roman" w:hAnsi="Times New Roman" w:eastAsia="宋体" w:cs="Times New Roman"/>
                <w:i w:val="0"/>
                <w:iCs w:val="0"/>
                <w:color w:val="auto"/>
                <w:sz w:val="22"/>
                <w:szCs w:val="24"/>
                <w:u w:val="none"/>
              </w:rPr>
            </w:pPr>
            <w:r>
              <w:rPr>
                <w:rFonts w:hint="eastAsia" w:ascii="Times New Roman" w:hAnsi="Times New Roman" w:eastAsia="宋体" w:cs="Times New Roman"/>
                <w:i w:val="0"/>
                <w:iCs w:val="0"/>
                <w:color w:val="auto"/>
                <w:sz w:val="22"/>
                <w:szCs w:val="24"/>
                <w:u w:val="none"/>
              </w:rPr>
              <w:t>津环评〔2018〕3号</w:t>
            </w:r>
          </w:p>
        </w:tc>
        <w:tc>
          <w:tcPr>
            <w:tcW w:w="747" w:type="pct"/>
            <w:shd w:val="clear" w:color="auto" w:fill="auto"/>
            <w:vAlign w:val="center"/>
          </w:tcPr>
          <w:p w14:paraId="5C5B1C71">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lang w:val="en-US" w:eastAsia="zh-CN"/>
              </w:rPr>
              <w:t>腺苷中间体300t/a</w:t>
            </w:r>
          </w:p>
        </w:tc>
        <w:tc>
          <w:tcPr>
            <w:tcW w:w="737" w:type="pct"/>
            <w:vAlign w:val="center"/>
          </w:tcPr>
          <w:p w14:paraId="4D4F827F">
            <w:pPr>
              <w:jc w:val="center"/>
              <w:rPr>
                <w:rFonts w:ascii="Times New Roman" w:hAnsi="Times New Roman" w:eastAsia="宋体" w:cs="Times New Roman"/>
                <w:i w:val="0"/>
                <w:iCs w:val="0"/>
                <w:color w:val="auto"/>
                <w:sz w:val="22"/>
                <w:szCs w:val="24"/>
                <w:u w:val="none"/>
              </w:rPr>
            </w:pPr>
            <w:r>
              <w:rPr>
                <w:rFonts w:hint="eastAsia" w:ascii="Times New Roman" w:hAnsi="Times New Roman" w:eastAsia="宋体" w:cs="Times New Roman"/>
                <w:i w:val="0"/>
                <w:iCs w:val="0"/>
                <w:color w:val="auto"/>
                <w:sz w:val="22"/>
                <w:szCs w:val="24"/>
                <w:u w:val="none"/>
              </w:rPr>
              <w:t>300吨/年腺苷中间体发酵产品生产线</w:t>
            </w:r>
          </w:p>
        </w:tc>
        <w:tc>
          <w:tcPr>
            <w:tcW w:w="483" w:type="pct"/>
            <w:vAlign w:val="center"/>
          </w:tcPr>
          <w:p w14:paraId="3ECB20D7">
            <w:pPr>
              <w:jc w:val="center"/>
              <w:rPr>
                <w:rFonts w:hint="eastAsia" w:ascii="Times New Roman" w:hAnsi="Times New Roman" w:eastAsia="宋体" w:cs="Times New Roman"/>
                <w:i w:val="0"/>
                <w:iCs w:val="0"/>
                <w:color w:val="auto"/>
                <w:sz w:val="22"/>
                <w:szCs w:val="24"/>
                <w:u w:val="none"/>
                <w:lang w:val="en-US" w:eastAsia="zh-CN"/>
              </w:rPr>
            </w:pPr>
            <w:r>
              <w:rPr>
                <w:rFonts w:hint="eastAsia" w:ascii="Times New Roman" w:hAnsi="Times New Roman" w:eastAsia="宋体" w:cs="Times New Roman"/>
                <w:i w:val="0"/>
                <w:iCs w:val="0"/>
                <w:color w:val="auto"/>
                <w:sz w:val="22"/>
                <w:szCs w:val="24"/>
                <w:u w:val="none"/>
                <w:lang w:val="en-US" w:eastAsia="zh-CN"/>
              </w:rPr>
              <w:t>0</w:t>
            </w:r>
          </w:p>
        </w:tc>
        <w:tc>
          <w:tcPr>
            <w:tcW w:w="889" w:type="pct"/>
            <w:vAlign w:val="center"/>
          </w:tcPr>
          <w:p w14:paraId="48E84399">
            <w:pPr>
              <w:jc w:val="center"/>
              <w:rPr>
                <w:rFonts w:hint="default" w:ascii="Times New Roman" w:hAnsi="Times New Roman" w:eastAsia="宋体" w:cs="Times New Roman"/>
                <w:i w:val="0"/>
                <w:iCs w:val="0"/>
                <w:color w:val="auto"/>
                <w:sz w:val="22"/>
                <w:szCs w:val="24"/>
                <w:u w:val="none"/>
                <w:lang w:val="en-US" w:eastAsia="zh-CN"/>
              </w:rPr>
            </w:pPr>
            <w:r>
              <w:rPr>
                <w:rFonts w:hint="eastAsia" w:ascii="Times New Roman" w:hAnsi="Times New Roman" w:eastAsia="宋体" w:cs="Times New Roman"/>
                <w:i w:val="0"/>
                <w:iCs w:val="0"/>
                <w:color w:val="auto"/>
                <w:sz w:val="22"/>
                <w:szCs w:val="24"/>
                <w:u w:val="none"/>
                <w:lang w:val="en-US" w:eastAsia="zh-CN"/>
              </w:rPr>
              <w:t>未验收，未生产</w:t>
            </w:r>
          </w:p>
        </w:tc>
      </w:tr>
      <w:tr w14:paraId="73CA5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3" w:type="pct"/>
            <w:vAlign w:val="center"/>
          </w:tcPr>
          <w:p w14:paraId="65E4F257">
            <w:pPr>
              <w:jc w:val="center"/>
              <w:rPr>
                <w:rFonts w:hint="default" w:ascii="Times New Roman" w:hAnsi="Times New Roman" w:eastAsia="宋体" w:cs="Times New Roman"/>
                <w:i w:val="0"/>
                <w:iCs w:val="0"/>
                <w:color w:val="auto"/>
                <w:sz w:val="22"/>
                <w:szCs w:val="24"/>
                <w:u w:val="none"/>
                <w:lang w:val="en-US" w:eastAsia="zh-CN"/>
              </w:rPr>
            </w:pPr>
            <w:r>
              <w:rPr>
                <w:rFonts w:hint="eastAsia" w:ascii="Times New Roman" w:hAnsi="Times New Roman" w:eastAsia="宋体" w:cs="Times New Roman"/>
                <w:i w:val="0"/>
                <w:iCs w:val="0"/>
                <w:color w:val="auto"/>
                <w:sz w:val="22"/>
                <w:szCs w:val="24"/>
                <w:u w:val="none"/>
                <w:lang w:val="en-US" w:eastAsia="zh-CN"/>
              </w:rPr>
              <w:t>5</w:t>
            </w:r>
          </w:p>
        </w:tc>
        <w:tc>
          <w:tcPr>
            <w:tcW w:w="945" w:type="pct"/>
            <w:vAlign w:val="center"/>
          </w:tcPr>
          <w:p w14:paraId="6FC4A242">
            <w:pPr>
              <w:jc w:val="center"/>
              <w:rPr>
                <w:rFonts w:hint="eastAsia" w:ascii="Times New Roman" w:hAnsi="Times New Roman" w:eastAsia="宋体" w:cs="Times New Roman"/>
                <w:i w:val="0"/>
                <w:iCs w:val="0"/>
                <w:color w:val="auto"/>
                <w:sz w:val="22"/>
                <w:szCs w:val="24"/>
                <w:u w:val="none"/>
              </w:rPr>
            </w:pPr>
            <w:r>
              <w:rPr>
                <w:rFonts w:hint="eastAsia" w:ascii="Times New Roman" w:hAnsi="Times New Roman" w:eastAsia="宋体" w:cs="Times New Roman"/>
                <w:i w:val="0"/>
                <w:iCs w:val="0"/>
                <w:color w:val="auto"/>
                <w:sz w:val="22"/>
                <w:szCs w:val="24"/>
                <w:u w:val="none"/>
              </w:rPr>
              <w:t>年产2000吨泛酸钙饲料添加剂及2000吨丙氨酸食品添加剂生产线项目环境影响报告表</w:t>
            </w:r>
          </w:p>
        </w:tc>
        <w:tc>
          <w:tcPr>
            <w:tcW w:w="893" w:type="pct"/>
            <w:vAlign w:val="center"/>
          </w:tcPr>
          <w:p w14:paraId="0055F6F9">
            <w:pPr>
              <w:jc w:val="center"/>
              <w:rPr>
                <w:rFonts w:hint="eastAsia" w:ascii="Times New Roman" w:hAnsi="Times New Roman" w:eastAsia="宋体" w:cs="Times New Roman"/>
                <w:i w:val="0"/>
                <w:iCs w:val="0"/>
                <w:color w:val="auto"/>
                <w:sz w:val="22"/>
                <w:szCs w:val="24"/>
                <w:u w:val="none"/>
              </w:rPr>
            </w:pPr>
            <w:r>
              <w:rPr>
                <w:rFonts w:hint="eastAsia" w:ascii="Times New Roman" w:hAnsi="Times New Roman" w:eastAsia="宋体" w:cs="Times New Roman"/>
                <w:i w:val="0"/>
                <w:iCs w:val="0"/>
                <w:color w:val="auto"/>
                <w:sz w:val="22"/>
                <w:szCs w:val="24"/>
                <w:u w:val="none"/>
              </w:rPr>
              <w:t>常环建（8）〔2020〕7号</w:t>
            </w:r>
          </w:p>
        </w:tc>
        <w:tc>
          <w:tcPr>
            <w:tcW w:w="747" w:type="pct"/>
            <w:shd w:val="clear" w:color="auto" w:fill="auto"/>
            <w:vAlign w:val="center"/>
          </w:tcPr>
          <w:p w14:paraId="3DD22808">
            <w:pPr>
              <w:jc w:val="center"/>
              <w:rPr>
                <w:rFonts w:hint="eastAsia" w:ascii="Times New Roman" w:hAnsi="Times New Roman" w:eastAsia="宋体" w:cs="Times New Roman"/>
                <w:i w:val="0"/>
                <w:iCs w:val="0"/>
                <w:color w:val="auto"/>
                <w:sz w:val="22"/>
                <w:szCs w:val="24"/>
                <w:u w:val="none"/>
                <w:lang w:val="en-US" w:eastAsia="zh-CN"/>
              </w:rPr>
            </w:pPr>
            <w:r>
              <w:rPr>
                <w:rFonts w:hint="eastAsia" w:ascii="Times New Roman" w:hAnsi="Times New Roman" w:eastAsia="宋体" w:cs="Times New Roman"/>
                <w:i w:val="0"/>
                <w:iCs w:val="0"/>
                <w:color w:val="auto"/>
                <w:sz w:val="22"/>
                <w:szCs w:val="24"/>
                <w:u w:val="none"/>
              </w:rPr>
              <w:t>泛酸钙饲料添加剂</w:t>
            </w:r>
            <w:r>
              <w:rPr>
                <w:rFonts w:hint="eastAsia" w:ascii="Times New Roman" w:hAnsi="Times New Roman" w:eastAsia="宋体" w:cs="Times New Roman"/>
                <w:i w:val="0"/>
                <w:iCs w:val="0"/>
                <w:color w:val="auto"/>
                <w:sz w:val="22"/>
                <w:szCs w:val="24"/>
                <w:u w:val="none"/>
                <w:lang w:val="en-US" w:eastAsia="zh-CN"/>
              </w:rPr>
              <w:t>2000t/a</w:t>
            </w:r>
          </w:p>
          <w:p w14:paraId="30CF1C99">
            <w:pPr>
              <w:jc w:val="center"/>
              <w:rPr>
                <w:rFonts w:hint="default" w:ascii="Times New Roman" w:hAnsi="Times New Roman" w:eastAsia="宋体" w:cs="Times New Roman"/>
                <w:i w:val="0"/>
                <w:iCs w:val="0"/>
                <w:color w:val="auto"/>
                <w:kern w:val="2"/>
                <w:sz w:val="22"/>
                <w:szCs w:val="24"/>
                <w:u w:val="none"/>
                <w:lang w:val="en-US" w:eastAsia="zh-CN" w:bidi="ar-SA"/>
              </w:rPr>
            </w:pPr>
            <w:r>
              <w:rPr>
                <w:rFonts w:hint="eastAsia" w:ascii="Times New Roman" w:hAnsi="Times New Roman" w:eastAsia="宋体" w:cs="Times New Roman"/>
                <w:i w:val="0"/>
                <w:iCs w:val="0"/>
                <w:color w:val="auto"/>
                <w:sz w:val="22"/>
                <w:szCs w:val="24"/>
                <w:u w:val="none"/>
              </w:rPr>
              <w:t>丙氨酸食品添加剂</w:t>
            </w:r>
            <w:r>
              <w:rPr>
                <w:rFonts w:hint="eastAsia" w:ascii="Times New Roman" w:hAnsi="Times New Roman" w:eastAsia="宋体" w:cs="Times New Roman"/>
                <w:i w:val="0"/>
                <w:iCs w:val="0"/>
                <w:color w:val="auto"/>
                <w:sz w:val="22"/>
                <w:szCs w:val="24"/>
                <w:u w:val="none"/>
                <w:lang w:val="en-US" w:eastAsia="zh-CN"/>
              </w:rPr>
              <w:t>2000t/a</w:t>
            </w:r>
          </w:p>
        </w:tc>
        <w:tc>
          <w:tcPr>
            <w:tcW w:w="737" w:type="pct"/>
            <w:vAlign w:val="center"/>
          </w:tcPr>
          <w:p w14:paraId="1CB4D9A5">
            <w:pPr>
              <w:jc w:val="center"/>
              <w:rPr>
                <w:rFonts w:hint="eastAsia" w:ascii="Times New Roman" w:hAnsi="Times New Roman" w:eastAsia="宋体" w:cs="Times New Roman"/>
                <w:i w:val="0"/>
                <w:iCs w:val="0"/>
                <w:color w:val="auto"/>
                <w:sz w:val="22"/>
                <w:szCs w:val="24"/>
                <w:u w:val="none"/>
                <w:lang w:eastAsia="zh-CN"/>
              </w:rPr>
            </w:pPr>
            <w:r>
              <w:rPr>
                <w:rFonts w:hint="eastAsia" w:ascii="Times New Roman" w:hAnsi="Times New Roman" w:eastAsia="宋体" w:cs="Times New Roman"/>
                <w:i w:val="0"/>
                <w:iCs w:val="0"/>
                <w:color w:val="auto"/>
                <w:sz w:val="22"/>
                <w:szCs w:val="24"/>
                <w:u w:val="none"/>
              </w:rPr>
              <w:t>年产 2000 吨泛酸钙饲料添加剂生产线</w:t>
            </w:r>
            <w:r>
              <w:rPr>
                <w:rFonts w:hint="eastAsia" w:ascii="Times New Roman" w:hAnsi="Times New Roman" w:eastAsia="宋体" w:cs="Times New Roman"/>
                <w:i w:val="0"/>
                <w:iCs w:val="0"/>
                <w:color w:val="auto"/>
                <w:sz w:val="22"/>
                <w:szCs w:val="24"/>
                <w:u w:val="none"/>
                <w:lang w:eastAsia="zh-CN"/>
              </w:rPr>
              <w:t>；2000 吨丙氨酸食品添加剂生产线</w:t>
            </w:r>
          </w:p>
        </w:tc>
        <w:tc>
          <w:tcPr>
            <w:tcW w:w="483" w:type="pct"/>
            <w:vAlign w:val="center"/>
          </w:tcPr>
          <w:p w14:paraId="48E9592E">
            <w:pPr>
              <w:jc w:val="center"/>
              <w:rPr>
                <w:rFonts w:hint="default" w:ascii="Times New Roman" w:hAnsi="Times New Roman" w:eastAsia="宋体" w:cs="Times New Roman"/>
                <w:i w:val="0"/>
                <w:iCs w:val="0"/>
                <w:color w:val="auto"/>
                <w:sz w:val="22"/>
                <w:szCs w:val="24"/>
                <w:u w:val="none"/>
                <w:lang w:val="en-US" w:eastAsia="zh-CN"/>
              </w:rPr>
            </w:pPr>
            <w:r>
              <w:rPr>
                <w:rFonts w:hint="eastAsia" w:ascii="Times New Roman" w:hAnsi="Times New Roman" w:eastAsia="宋体" w:cs="Times New Roman"/>
                <w:i w:val="0"/>
                <w:iCs w:val="0"/>
                <w:color w:val="auto"/>
                <w:sz w:val="22"/>
                <w:szCs w:val="24"/>
                <w:u w:val="none"/>
                <w:lang w:val="en-US" w:eastAsia="zh-CN"/>
              </w:rPr>
              <w:t>2023年生产泛酸钙393.87t</w:t>
            </w:r>
          </w:p>
        </w:tc>
        <w:tc>
          <w:tcPr>
            <w:tcW w:w="889" w:type="pct"/>
            <w:vAlign w:val="center"/>
          </w:tcPr>
          <w:p w14:paraId="01BD3529">
            <w:pPr>
              <w:jc w:val="center"/>
              <w:rPr>
                <w:rFonts w:hint="default" w:ascii="Times New Roman" w:hAnsi="Times New Roman" w:eastAsia="宋体" w:cs="Times New Roman"/>
                <w:i w:val="0"/>
                <w:iCs w:val="0"/>
                <w:color w:val="auto"/>
                <w:sz w:val="22"/>
                <w:szCs w:val="24"/>
                <w:u w:val="none"/>
                <w:lang w:val="en-US" w:eastAsia="zh-CN"/>
              </w:rPr>
            </w:pPr>
            <w:r>
              <w:rPr>
                <w:rFonts w:hint="eastAsia" w:ascii="Times New Roman" w:hAnsi="Times New Roman" w:eastAsia="宋体" w:cs="Times New Roman"/>
                <w:i w:val="0"/>
                <w:iCs w:val="0"/>
                <w:color w:val="auto"/>
                <w:sz w:val="22"/>
                <w:szCs w:val="24"/>
                <w:u w:val="none"/>
                <w:lang w:val="en-US" w:eastAsia="zh-CN"/>
              </w:rPr>
              <w:t>2023年6月10日</w:t>
            </w:r>
            <w:r>
              <w:rPr>
                <w:rFonts w:hint="eastAsia" w:ascii="Times New Roman" w:hAnsi="Times New Roman" w:eastAsia="宋体" w:cs="Times New Roman"/>
                <w:i w:val="0"/>
                <w:iCs w:val="0"/>
                <w:color w:val="auto"/>
                <w:sz w:val="22"/>
                <w:szCs w:val="24"/>
                <w:u w:val="none"/>
              </w:rPr>
              <w:t>企业自主验收</w:t>
            </w:r>
            <w:r>
              <w:rPr>
                <w:rFonts w:hint="eastAsia" w:ascii="Times New Roman" w:hAnsi="Times New Roman" w:eastAsia="宋体" w:cs="Times New Roman"/>
                <w:i w:val="0"/>
                <w:iCs w:val="0"/>
                <w:color w:val="auto"/>
                <w:sz w:val="22"/>
                <w:szCs w:val="24"/>
                <w:u w:val="none"/>
                <w:lang w:eastAsia="zh-CN"/>
              </w:rPr>
              <w:t>；</w:t>
            </w:r>
            <w:r>
              <w:rPr>
                <w:rFonts w:hint="eastAsia" w:ascii="Times New Roman" w:hAnsi="Times New Roman" w:eastAsia="宋体" w:cs="Times New Roman"/>
                <w:i w:val="0"/>
                <w:iCs w:val="0"/>
                <w:color w:val="auto"/>
                <w:sz w:val="22"/>
                <w:szCs w:val="24"/>
                <w:u w:val="none"/>
                <w:lang w:val="en-US" w:eastAsia="zh-CN"/>
              </w:rPr>
              <w:t>曾正式生产，本次改扩建项目完成后保留泛酸钙生产线，丙氨酸不再生产</w:t>
            </w:r>
          </w:p>
        </w:tc>
      </w:tr>
      <w:tr w14:paraId="44D97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3" w:type="pct"/>
            <w:vAlign w:val="center"/>
          </w:tcPr>
          <w:p w14:paraId="2AEA04C4">
            <w:pPr>
              <w:jc w:val="center"/>
              <w:rPr>
                <w:rFonts w:hint="default" w:ascii="Times New Roman" w:hAnsi="Times New Roman" w:eastAsia="宋体" w:cs="Times New Roman"/>
                <w:i w:val="0"/>
                <w:iCs w:val="0"/>
                <w:color w:val="auto"/>
                <w:sz w:val="22"/>
                <w:szCs w:val="24"/>
                <w:u w:val="none"/>
                <w:lang w:val="en-US" w:eastAsia="zh-CN"/>
              </w:rPr>
            </w:pPr>
            <w:r>
              <w:rPr>
                <w:rFonts w:hint="eastAsia" w:ascii="Times New Roman" w:hAnsi="Times New Roman" w:eastAsia="宋体" w:cs="Times New Roman"/>
                <w:i w:val="0"/>
                <w:iCs w:val="0"/>
                <w:color w:val="auto"/>
                <w:sz w:val="22"/>
                <w:szCs w:val="24"/>
                <w:u w:val="none"/>
                <w:lang w:val="en-US" w:eastAsia="zh-CN"/>
              </w:rPr>
              <w:t>6</w:t>
            </w:r>
          </w:p>
        </w:tc>
        <w:tc>
          <w:tcPr>
            <w:tcW w:w="945" w:type="pct"/>
            <w:vAlign w:val="center"/>
          </w:tcPr>
          <w:p w14:paraId="2A010330">
            <w:pPr>
              <w:jc w:val="center"/>
              <w:rPr>
                <w:rFonts w:hint="eastAsia" w:ascii="Times New Roman" w:hAnsi="Times New Roman" w:eastAsia="宋体" w:cs="Times New Roman"/>
                <w:i w:val="0"/>
                <w:iCs w:val="0"/>
                <w:color w:val="auto"/>
                <w:sz w:val="22"/>
                <w:szCs w:val="24"/>
                <w:u w:val="none"/>
              </w:rPr>
            </w:pPr>
            <w:r>
              <w:rPr>
                <w:rFonts w:hint="eastAsia" w:ascii="Times New Roman" w:hAnsi="Times New Roman" w:eastAsia="宋体" w:cs="Times New Roman"/>
                <w:i w:val="0"/>
                <w:iCs w:val="0"/>
                <w:color w:val="auto"/>
                <w:sz w:val="22"/>
                <w:szCs w:val="24"/>
                <w:u w:val="none"/>
              </w:rPr>
              <w:t>年产1500吨胞嘧啶中间体生产线项目环境影响报告书</w:t>
            </w:r>
          </w:p>
        </w:tc>
        <w:tc>
          <w:tcPr>
            <w:tcW w:w="893" w:type="pct"/>
            <w:vAlign w:val="center"/>
          </w:tcPr>
          <w:p w14:paraId="160A235E">
            <w:pPr>
              <w:jc w:val="center"/>
              <w:rPr>
                <w:rFonts w:hint="default" w:ascii="Times New Roman" w:hAnsi="Times New Roman" w:eastAsia="宋体" w:cs="Times New Roman"/>
                <w:i w:val="0"/>
                <w:iCs w:val="0"/>
                <w:color w:val="auto"/>
                <w:sz w:val="22"/>
                <w:szCs w:val="24"/>
                <w:u w:val="none"/>
                <w:lang w:val="en-US" w:eastAsia="zh-CN"/>
              </w:rPr>
            </w:pPr>
            <w:r>
              <w:rPr>
                <w:rFonts w:hint="eastAsia" w:ascii="Times New Roman" w:hAnsi="Times New Roman" w:eastAsia="宋体" w:cs="Times New Roman"/>
                <w:i w:val="0"/>
                <w:iCs w:val="0"/>
                <w:color w:val="auto"/>
                <w:sz w:val="22"/>
                <w:szCs w:val="24"/>
                <w:u w:val="none"/>
              </w:rPr>
              <w:t>常环建〔2022〕15号</w:t>
            </w:r>
            <w:r>
              <w:rPr>
                <w:rFonts w:hint="eastAsia" w:ascii="Times New Roman" w:hAnsi="Times New Roman" w:eastAsia="宋体" w:cs="Times New Roman"/>
                <w:i w:val="0"/>
                <w:iCs w:val="0"/>
                <w:color w:val="auto"/>
                <w:sz w:val="22"/>
                <w:szCs w:val="24"/>
                <w:u w:val="none"/>
                <w:lang w:eastAsia="zh-CN"/>
              </w:rPr>
              <w:t>、</w:t>
            </w:r>
            <w:r>
              <w:rPr>
                <w:rFonts w:hint="eastAsia" w:ascii="Times New Roman" w:hAnsi="Times New Roman" w:eastAsia="宋体" w:cs="Times New Roman"/>
                <w:i w:val="0"/>
                <w:iCs w:val="0"/>
                <w:color w:val="auto"/>
                <w:sz w:val="22"/>
                <w:szCs w:val="24"/>
                <w:u w:val="none"/>
                <w:lang w:val="en-US" w:eastAsia="zh-CN"/>
              </w:rPr>
              <w:t>常德市生态环境局关于调整《湖南龙腾生物科技有限公司</w:t>
            </w:r>
            <w:r>
              <w:rPr>
                <w:rFonts w:hint="eastAsia" w:ascii="Times New Roman" w:hAnsi="Times New Roman" w:eastAsia="宋体" w:cs="Times New Roman"/>
                <w:i w:val="0"/>
                <w:iCs w:val="0"/>
                <w:color w:val="auto"/>
                <w:sz w:val="22"/>
                <w:szCs w:val="24"/>
                <w:u w:val="none"/>
              </w:rPr>
              <w:t>年产1500吨胞嘧啶中间体生产线项目</w:t>
            </w:r>
            <w:r>
              <w:rPr>
                <w:rFonts w:hint="eastAsia" w:ascii="Times New Roman" w:hAnsi="Times New Roman" w:eastAsia="宋体" w:cs="Times New Roman"/>
                <w:i w:val="0"/>
                <w:iCs w:val="0"/>
                <w:color w:val="auto"/>
                <w:sz w:val="22"/>
                <w:szCs w:val="24"/>
                <w:u w:val="none"/>
                <w:lang w:val="en-US" w:eastAsia="zh-CN"/>
              </w:rPr>
              <w:t>》生产废水排放标准的通知</w:t>
            </w:r>
          </w:p>
        </w:tc>
        <w:tc>
          <w:tcPr>
            <w:tcW w:w="747" w:type="pct"/>
            <w:shd w:val="clear" w:color="auto" w:fill="auto"/>
            <w:vAlign w:val="center"/>
          </w:tcPr>
          <w:p w14:paraId="142D0D52">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i w:val="0"/>
                <w:iCs w:val="0"/>
                <w:color w:val="auto"/>
                <w:sz w:val="22"/>
                <w:szCs w:val="24"/>
                <w:u w:val="none"/>
              </w:rPr>
              <w:t>胞嘧啶中间体</w:t>
            </w:r>
            <w:r>
              <w:rPr>
                <w:rFonts w:hint="eastAsia" w:ascii="Times New Roman" w:hAnsi="Times New Roman" w:eastAsia="宋体" w:cs="Times New Roman"/>
                <w:i w:val="0"/>
                <w:iCs w:val="0"/>
                <w:color w:val="auto"/>
                <w:sz w:val="22"/>
                <w:szCs w:val="24"/>
                <w:u w:val="none"/>
                <w:lang w:val="en-US" w:eastAsia="zh-CN"/>
              </w:rPr>
              <w:t>1500t/a</w:t>
            </w:r>
          </w:p>
        </w:tc>
        <w:tc>
          <w:tcPr>
            <w:tcW w:w="737" w:type="pct"/>
            <w:vAlign w:val="center"/>
          </w:tcPr>
          <w:p w14:paraId="5E0A7FD1">
            <w:pPr>
              <w:jc w:val="center"/>
              <w:rPr>
                <w:rFonts w:ascii="Times New Roman" w:hAnsi="Times New Roman" w:eastAsia="宋体" w:cs="Times New Roman"/>
                <w:i w:val="0"/>
                <w:iCs w:val="0"/>
                <w:color w:val="auto"/>
                <w:sz w:val="22"/>
                <w:szCs w:val="24"/>
                <w:u w:val="none"/>
              </w:rPr>
            </w:pPr>
            <w:r>
              <w:rPr>
                <w:rFonts w:hint="eastAsia" w:ascii="Times New Roman" w:hAnsi="Times New Roman" w:eastAsia="宋体" w:cs="Times New Roman"/>
                <w:i w:val="0"/>
                <w:iCs w:val="0"/>
                <w:color w:val="auto"/>
                <w:sz w:val="22"/>
                <w:szCs w:val="24"/>
                <w:u w:val="none"/>
              </w:rPr>
              <w:t>年产1500吨胞嘧啶中间体生产线</w:t>
            </w:r>
          </w:p>
        </w:tc>
        <w:tc>
          <w:tcPr>
            <w:tcW w:w="483" w:type="pct"/>
            <w:vAlign w:val="center"/>
          </w:tcPr>
          <w:p w14:paraId="53437A68">
            <w:pPr>
              <w:jc w:val="center"/>
              <w:rPr>
                <w:rFonts w:hint="eastAsia" w:ascii="Times New Roman" w:hAnsi="Times New Roman" w:eastAsia="宋体" w:cs="Times New Roman"/>
                <w:i w:val="0"/>
                <w:iCs w:val="0"/>
                <w:color w:val="auto"/>
                <w:sz w:val="22"/>
                <w:szCs w:val="24"/>
                <w:u w:val="none"/>
                <w:lang w:val="en-US" w:eastAsia="zh-CN"/>
              </w:rPr>
            </w:pPr>
            <w:r>
              <w:rPr>
                <w:rFonts w:hint="eastAsia" w:ascii="Times New Roman" w:hAnsi="Times New Roman" w:eastAsia="宋体" w:cs="Times New Roman"/>
                <w:i w:val="0"/>
                <w:iCs w:val="0"/>
                <w:color w:val="auto"/>
                <w:sz w:val="22"/>
                <w:szCs w:val="24"/>
                <w:u w:val="none"/>
                <w:lang w:val="en-US" w:eastAsia="zh-CN"/>
              </w:rPr>
              <w:t>0</w:t>
            </w:r>
          </w:p>
        </w:tc>
        <w:tc>
          <w:tcPr>
            <w:tcW w:w="889" w:type="pct"/>
            <w:vAlign w:val="center"/>
          </w:tcPr>
          <w:p w14:paraId="7514BBA0">
            <w:pPr>
              <w:jc w:val="center"/>
              <w:rPr>
                <w:rFonts w:hint="default" w:ascii="Times New Roman" w:hAnsi="Times New Roman" w:eastAsia="宋体" w:cs="Times New Roman"/>
                <w:i w:val="0"/>
                <w:iCs w:val="0"/>
                <w:color w:val="auto"/>
                <w:sz w:val="22"/>
                <w:szCs w:val="24"/>
                <w:u w:val="none"/>
                <w:lang w:val="en-US"/>
              </w:rPr>
            </w:pPr>
            <w:r>
              <w:rPr>
                <w:rFonts w:hint="eastAsia" w:ascii="Times New Roman" w:hAnsi="Times New Roman" w:eastAsia="宋体" w:cs="Times New Roman"/>
                <w:i w:val="0"/>
                <w:iCs w:val="0"/>
                <w:color w:val="auto"/>
                <w:sz w:val="22"/>
                <w:szCs w:val="24"/>
                <w:u w:val="none"/>
                <w:lang w:val="en-US" w:eastAsia="zh-CN"/>
              </w:rPr>
              <w:t>未验收，未生产；本次改扩建项目依托胞嘧啶生产线改建，胞嘧啶不再生产</w:t>
            </w:r>
          </w:p>
        </w:tc>
      </w:tr>
      <w:tr w14:paraId="58E92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3" w:type="pct"/>
            <w:vAlign w:val="center"/>
          </w:tcPr>
          <w:p w14:paraId="36186ACC">
            <w:pPr>
              <w:jc w:val="center"/>
              <w:rPr>
                <w:rFonts w:hint="default" w:ascii="Times New Roman" w:hAnsi="Times New Roman" w:eastAsia="宋体" w:cs="Times New Roman"/>
                <w:i w:val="0"/>
                <w:iCs w:val="0"/>
                <w:color w:val="auto"/>
                <w:sz w:val="22"/>
                <w:szCs w:val="24"/>
                <w:u w:val="none"/>
                <w:lang w:val="en-US" w:eastAsia="zh-CN"/>
              </w:rPr>
            </w:pPr>
            <w:r>
              <w:rPr>
                <w:rFonts w:hint="eastAsia" w:ascii="Times New Roman" w:hAnsi="Times New Roman" w:eastAsia="宋体" w:cs="Times New Roman"/>
                <w:i w:val="0"/>
                <w:iCs w:val="0"/>
                <w:color w:val="auto"/>
                <w:sz w:val="22"/>
                <w:szCs w:val="24"/>
                <w:u w:val="none"/>
                <w:lang w:val="en-US" w:eastAsia="zh-CN"/>
              </w:rPr>
              <w:t>10</w:t>
            </w:r>
          </w:p>
        </w:tc>
        <w:tc>
          <w:tcPr>
            <w:tcW w:w="945" w:type="pct"/>
            <w:vAlign w:val="center"/>
          </w:tcPr>
          <w:p w14:paraId="61C5F66A">
            <w:pPr>
              <w:jc w:val="center"/>
              <w:rPr>
                <w:rFonts w:ascii="Times New Roman" w:hAnsi="Times New Roman" w:eastAsia="宋体" w:cs="Times New Roman"/>
                <w:i w:val="0"/>
                <w:iCs w:val="0"/>
                <w:color w:val="auto"/>
                <w:sz w:val="22"/>
                <w:szCs w:val="24"/>
                <w:u w:val="none"/>
              </w:rPr>
            </w:pPr>
            <w:r>
              <w:rPr>
                <w:rFonts w:hint="eastAsia" w:ascii="Times New Roman" w:hAnsi="Times New Roman" w:eastAsia="宋体" w:cs="Times New Roman"/>
                <w:i w:val="0"/>
                <w:iCs w:val="0"/>
                <w:color w:val="auto"/>
                <w:sz w:val="22"/>
                <w:szCs w:val="24"/>
                <w:u w:val="none"/>
              </w:rPr>
              <w:t>湖南龙腾生物科技有限公司排污许可证</w:t>
            </w:r>
          </w:p>
        </w:tc>
        <w:tc>
          <w:tcPr>
            <w:tcW w:w="893" w:type="pct"/>
            <w:vAlign w:val="center"/>
          </w:tcPr>
          <w:p w14:paraId="028B2657">
            <w:pPr>
              <w:jc w:val="center"/>
              <w:rPr>
                <w:rFonts w:ascii="Times New Roman" w:hAnsi="Times New Roman" w:eastAsia="宋体" w:cs="Times New Roman"/>
                <w:i w:val="0"/>
                <w:iCs w:val="0"/>
                <w:color w:val="auto"/>
                <w:sz w:val="22"/>
                <w:szCs w:val="24"/>
                <w:u w:val="none"/>
              </w:rPr>
            </w:pPr>
            <w:r>
              <w:rPr>
                <w:rFonts w:hint="eastAsia" w:ascii="Times New Roman" w:hAnsi="Times New Roman" w:eastAsia="宋体" w:cs="Times New Roman"/>
                <w:i w:val="0"/>
                <w:iCs w:val="0"/>
                <w:color w:val="auto"/>
                <w:sz w:val="22"/>
                <w:szCs w:val="24"/>
                <w:u w:val="none"/>
              </w:rPr>
              <w:t>91430781070592320U001P</w:t>
            </w:r>
          </w:p>
        </w:tc>
        <w:tc>
          <w:tcPr>
            <w:tcW w:w="747" w:type="pct"/>
            <w:vAlign w:val="center"/>
          </w:tcPr>
          <w:p w14:paraId="2F4A8550">
            <w:pPr>
              <w:jc w:val="center"/>
              <w:rPr>
                <w:rFonts w:ascii="Times New Roman" w:hAnsi="Times New Roman" w:eastAsia="宋体" w:cs="Times New Roman"/>
                <w:i w:val="0"/>
                <w:iCs w:val="0"/>
                <w:color w:val="auto"/>
                <w:sz w:val="22"/>
                <w:szCs w:val="24"/>
                <w:u w:val="none"/>
              </w:rPr>
            </w:pPr>
          </w:p>
        </w:tc>
        <w:tc>
          <w:tcPr>
            <w:tcW w:w="737" w:type="pct"/>
            <w:vAlign w:val="center"/>
          </w:tcPr>
          <w:p w14:paraId="14C244F5">
            <w:pPr>
              <w:jc w:val="center"/>
              <w:rPr>
                <w:rFonts w:ascii="Times New Roman" w:hAnsi="Times New Roman" w:eastAsia="宋体" w:cs="Times New Roman"/>
                <w:i w:val="0"/>
                <w:iCs w:val="0"/>
                <w:color w:val="auto"/>
                <w:sz w:val="22"/>
                <w:szCs w:val="24"/>
                <w:u w:val="none"/>
              </w:rPr>
            </w:pPr>
          </w:p>
        </w:tc>
        <w:tc>
          <w:tcPr>
            <w:tcW w:w="483" w:type="pct"/>
            <w:vAlign w:val="center"/>
          </w:tcPr>
          <w:p w14:paraId="76934B27">
            <w:pPr>
              <w:jc w:val="center"/>
              <w:rPr>
                <w:rFonts w:ascii="Times New Roman" w:hAnsi="Times New Roman" w:eastAsia="宋体" w:cs="Times New Roman"/>
                <w:i w:val="0"/>
                <w:iCs w:val="0"/>
                <w:color w:val="auto"/>
                <w:sz w:val="22"/>
                <w:szCs w:val="24"/>
                <w:u w:val="none"/>
              </w:rPr>
            </w:pPr>
          </w:p>
        </w:tc>
        <w:tc>
          <w:tcPr>
            <w:tcW w:w="889" w:type="pct"/>
            <w:vAlign w:val="center"/>
          </w:tcPr>
          <w:p w14:paraId="2234B09E">
            <w:pPr>
              <w:jc w:val="center"/>
              <w:rPr>
                <w:rFonts w:ascii="Times New Roman" w:hAnsi="Times New Roman" w:eastAsia="宋体" w:cs="Times New Roman"/>
                <w:i w:val="0"/>
                <w:iCs w:val="0"/>
                <w:color w:val="auto"/>
                <w:sz w:val="22"/>
                <w:szCs w:val="24"/>
                <w:u w:val="none"/>
              </w:rPr>
            </w:pPr>
          </w:p>
        </w:tc>
      </w:tr>
      <w:tr w14:paraId="20D54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3" w:type="pct"/>
            <w:vAlign w:val="center"/>
          </w:tcPr>
          <w:p w14:paraId="02877ECA">
            <w:pPr>
              <w:jc w:val="center"/>
              <w:rPr>
                <w:rFonts w:hint="default" w:ascii="Times New Roman" w:hAnsi="Times New Roman" w:eastAsia="宋体" w:cs="Times New Roman"/>
                <w:i w:val="0"/>
                <w:iCs w:val="0"/>
                <w:color w:val="auto"/>
                <w:sz w:val="22"/>
                <w:szCs w:val="24"/>
                <w:u w:val="none"/>
                <w:lang w:val="en-US" w:eastAsia="zh-CN"/>
              </w:rPr>
            </w:pPr>
            <w:r>
              <w:rPr>
                <w:rFonts w:hint="eastAsia" w:ascii="Times New Roman" w:hAnsi="Times New Roman" w:eastAsia="宋体" w:cs="Times New Roman"/>
                <w:i w:val="0"/>
                <w:iCs w:val="0"/>
                <w:color w:val="auto"/>
                <w:sz w:val="22"/>
                <w:szCs w:val="24"/>
                <w:u w:val="none"/>
                <w:lang w:val="en-US" w:eastAsia="zh-CN"/>
              </w:rPr>
              <w:t>11</w:t>
            </w:r>
          </w:p>
        </w:tc>
        <w:tc>
          <w:tcPr>
            <w:tcW w:w="945" w:type="pct"/>
            <w:vAlign w:val="center"/>
          </w:tcPr>
          <w:p w14:paraId="5F5582DD">
            <w:pPr>
              <w:jc w:val="center"/>
              <w:rPr>
                <w:rFonts w:ascii="Times New Roman" w:hAnsi="Times New Roman" w:eastAsia="宋体" w:cs="Times New Roman"/>
                <w:i w:val="0"/>
                <w:iCs w:val="0"/>
                <w:color w:val="auto"/>
                <w:sz w:val="22"/>
                <w:szCs w:val="24"/>
                <w:u w:val="none"/>
              </w:rPr>
            </w:pPr>
            <w:r>
              <w:rPr>
                <w:rFonts w:hint="eastAsia" w:ascii="Times New Roman" w:hAnsi="Times New Roman" w:eastAsia="宋体" w:cs="Times New Roman"/>
                <w:i w:val="0"/>
                <w:iCs w:val="0"/>
                <w:color w:val="auto"/>
                <w:sz w:val="22"/>
                <w:szCs w:val="24"/>
                <w:u w:val="none"/>
              </w:rPr>
              <w:t>湖南龙腾生物科技有限公司突发环境事件应急预案</w:t>
            </w:r>
          </w:p>
        </w:tc>
        <w:tc>
          <w:tcPr>
            <w:tcW w:w="893" w:type="pct"/>
            <w:vAlign w:val="center"/>
          </w:tcPr>
          <w:p w14:paraId="6E8A48E6">
            <w:pPr>
              <w:jc w:val="center"/>
              <w:rPr>
                <w:rFonts w:ascii="Times New Roman" w:hAnsi="Times New Roman" w:eastAsia="宋体" w:cs="Times New Roman"/>
                <w:i w:val="0"/>
                <w:iCs w:val="0"/>
                <w:color w:val="auto"/>
                <w:sz w:val="22"/>
                <w:szCs w:val="24"/>
                <w:u w:val="none"/>
              </w:rPr>
            </w:pPr>
            <w:r>
              <w:rPr>
                <w:rFonts w:hint="eastAsia" w:ascii="Times New Roman" w:hAnsi="Times New Roman" w:eastAsia="宋体" w:cs="Times New Roman"/>
                <w:i w:val="0"/>
                <w:iCs w:val="0"/>
                <w:color w:val="auto"/>
                <w:sz w:val="22"/>
                <w:szCs w:val="24"/>
                <w:u w:val="none"/>
              </w:rPr>
              <w:t>430781-2023-012-H</w:t>
            </w:r>
          </w:p>
        </w:tc>
        <w:tc>
          <w:tcPr>
            <w:tcW w:w="747" w:type="pct"/>
            <w:vAlign w:val="center"/>
          </w:tcPr>
          <w:p w14:paraId="4A1B9FFB">
            <w:pPr>
              <w:jc w:val="center"/>
              <w:rPr>
                <w:rFonts w:ascii="Times New Roman" w:hAnsi="Times New Roman" w:eastAsia="宋体" w:cs="Times New Roman"/>
                <w:i w:val="0"/>
                <w:iCs w:val="0"/>
                <w:color w:val="auto"/>
                <w:sz w:val="22"/>
                <w:szCs w:val="24"/>
                <w:u w:val="none"/>
              </w:rPr>
            </w:pPr>
          </w:p>
        </w:tc>
        <w:tc>
          <w:tcPr>
            <w:tcW w:w="737" w:type="pct"/>
            <w:vAlign w:val="center"/>
          </w:tcPr>
          <w:p w14:paraId="4BA0B2E4">
            <w:pPr>
              <w:jc w:val="center"/>
              <w:rPr>
                <w:rFonts w:ascii="Times New Roman" w:hAnsi="Times New Roman" w:eastAsia="宋体" w:cs="Times New Roman"/>
                <w:i w:val="0"/>
                <w:iCs w:val="0"/>
                <w:color w:val="auto"/>
                <w:sz w:val="22"/>
                <w:szCs w:val="24"/>
                <w:u w:val="none"/>
              </w:rPr>
            </w:pPr>
          </w:p>
        </w:tc>
        <w:tc>
          <w:tcPr>
            <w:tcW w:w="483" w:type="pct"/>
            <w:vAlign w:val="center"/>
          </w:tcPr>
          <w:p w14:paraId="3D49D195">
            <w:pPr>
              <w:jc w:val="center"/>
              <w:rPr>
                <w:rFonts w:ascii="Times New Roman" w:hAnsi="Times New Roman" w:eastAsia="宋体" w:cs="Times New Roman"/>
                <w:i w:val="0"/>
                <w:iCs w:val="0"/>
                <w:color w:val="auto"/>
                <w:sz w:val="22"/>
                <w:szCs w:val="24"/>
                <w:u w:val="none"/>
              </w:rPr>
            </w:pPr>
          </w:p>
        </w:tc>
        <w:tc>
          <w:tcPr>
            <w:tcW w:w="889" w:type="pct"/>
            <w:vAlign w:val="center"/>
          </w:tcPr>
          <w:p w14:paraId="751229A6">
            <w:pPr>
              <w:jc w:val="center"/>
              <w:rPr>
                <w:rFonts w:ascii="Times New Roman" w:hAnsi="Times New Roman" w:eastAsia="宋体" w:cs="Times New Roman"/>
                <w:i w:val="0"/>
                <w:iCs w:val="0"/>
                <w:color w:val="auto"/>
                <w:sz w:val="22"/>
                <w:szCs w:val="24"/>
                <w:u w:val="none"/>
              </w:rPr>
            </w:pPr>
          </w:p>
        </w:tc>
      </w:tr>
    </w:tbl>
    <w:p w14:paraId="7837C2E8">
      <w:pPr>
        <w:spacing w:line="360" w:lineRule="auto"/>
        <w:ind w:firstLine="480" w:firstLineChars="200"/>
        <w:rPr>
          <w:rFonts w:ascii="Times New Roman" w:hAnsi="Times New Roman" w:eastAsia="宋体" w:cs="Times New Roman"/>
          <w:i w:val="0"/>
          <w:iCs w:val="0"/>
          <w:color w:val="auto"/>
          <w:sz w:val="24"/>
          <w:szCs w:val="24"/>
          <w:u w:val="none"/>
        </w:rPr>
      </w:pPr>
      <w:r>
        <w:rPr>
          <w:rFonts w:hint="eastAsia" w:ascii="Times New Roman" w:hAnsi="Times New Roman" w:eastAsia="宋体" w:cs="Times New Roman"/>
          <w:i w:val="0"/>
          <w:iCs w:val="0"/>
          <w:color w:val="auto"/>
          <w:sz w:val="24"/>
          <w:szCs w:val="24"/>
          <w:u w:val="none"/>
        </w:rPr>
        <w:t>综上，本项目现有工程各项环保手续齐全。</w:t>
      </w:r>
    </w:p>
    <w:p w14:paraId="554376A8">
      <w:pPr>
        <w:spacing w:line="360" w:lineRule="auto"/>
        <w:ind w:firstLine="480" w:firstLineChars="200"/>
        <w:rPr>
          <w:rFonts w:ascii="Times New Roman" w:hAnsi="Times New Roman" w:eastAsia="宋体" w:cs="Times New Roman"/>
          <w:color w:val="FF0000"/>
          <w:sz w:val="24"/>
          <w:szCs w:val="24"/>
        </w:rPr>
        <w:sectPr>
          <w:headerReference r:id="rId7" w:type="default"/>
          <w:footerReference r:id="rId8" w:type="default"/>
          <w:pgSz w:w="16838" w:h="11906" w:orient="landscape"/>
          <w:pgMar w:top="1797" w:right="1440" w:bottom="1797" w:left="1440" w:header="851" w:footer="992" w:gutter="0"/>
          <w:pgNumType w:fmt="numberInDash"/>
          <w:cols w:space="720" w:num="1"/>
          <w:docGrid w:linePitch="312" w:charSpace="0"/>
        </w:sectPr>
      </w:pPr>
    </w:p>
    <w:p w14:paraId="27E8DD5C">
      <w:pPr>
        <w:pStyle w:val="4"/>
        <w:bidi w:val="0"/>
      </w:pPr>
      <w:r>
        <w:t>3.1.2</w:t>
      </w:r>
      <w:r>
        <w:rPr>
          <w:rFonts w:hint="eastAsia"/>
        </w:rPr>
        <w:t>现有工程排污许可证执行情况</w:t>
      </w:r>
    </w:p>
    <w:p w14:paraId="2B80EA50">
      <w:pPr>
        <w:spacing w:line="360" w:lineRule="auto"/>
        <w:ind w:firstLine="480" w:firstLineChars="200"/>
        <w:rPr>
          <w:rFonts w:ascii="Times New Roman" w:hAnsi="Times New Roman" w:eastAsia="宋体" w:cs="Times New Roman"/>
          <w:i w:val="0"/>
          <w:iCs w:val="0"/>
          <w:color w:val="auto"/>
          <w:sz w:val="24"/>
          <w:szCs w:val="24"/>
          <w:u w:val="none"/>
        </w:rPr>
      </w:pPr>
      <w:r>
        <w:rPr>
          <w:rFonts w:hint="eastAsia" w:ascii="Times New Roman" w:hAnsi="Times New Roman" w:eastAsia="宋体" w:cs="Times New Roman"/>
          <w:i w:val="0"/>
          <w:iCs w:val="0"/>
          <w:color w:val="auto"/>
          <w:sz w:val="24"/>
          <w:szCs w:val="24"/>
          <w:u w:val="none"/>
          <w:lang w:val="en-US" w:eastAsia="zh-CN"/>
        </w:rPr>
        <w:t>2017</w:t>
      </w:r>
      <w:r>
        <w:rPr>
          <w:rFonts w:hint="eastAsia" w:ascii="Times New Roman" w:hAnsi="Times New Roman" w:eastAsia="宋体" w:cs="Times New Roman"/>
          <w:i w:val="0"/>
          <w:iCs w:val="0"/>
          <w:color w:val="auto"/>
          <w:sz w:val="24"/>
          <w:szCs w:val="24"/>
          <w:u w:val="none"/>
        </w:rPr>
        <w:t>年</w:t>
      </w:r>
      <w:r>
        <w:rPr>
          <w:rFonts w:hint="eastAsia" w:ascii="Times New Roman" w:hAnsi="Times New Roman" w:eastAsia="宋体" w:cs="Times New Roman"/>
          <w:i w:val="0"/>
          <w:iCs w:val="0"/>
          <w:color w:val="auto"/>
          <w:sz w:val="24"/>
          <w:szCs w:val="24"/>
          <w:u w:val="none"/>
          <w:lang w:val="en-US" w:eastAsia="zh-CN"/>
        </w:rPr>
        <w:t>12</w:t>
      </w:r>
      <w:r>
        <w:rPr>
          <w:rFonts w:hint="eastAsia" w:ascii="Times New Roman" w:hAnsi="Times New Roman" w:eastAsia="宋体" w:cs="Times New Roman"/>
          <w:i w:val="0"/>
          <w:iCs w:val="0"/>
          <w:color w:val="auto"/>
          <w:sz w:val="24"/>
          <w:szCs w:val="24"/>
          <w:u w:val="none"/>
        </w:rPr>
        <w:t>月，湖南科益新生物医药有限公司申领了排污许可证，证书编号：91430781070592320U001P，管理类别：重点管理，2023年</w:t>
      </w:r>
      <w:r>
        <w:rPr>
          <w:rFonts w:hint="eastAsia" w:ascii="Times New Roman" w:hAnsi="Times New Roman" w:eastAsia="宋体" w:cs="Times New Roman"/>
          <w:i w:val="0"/>
          <w:iCs w:val="0"/>
          <w:color w:val="auto"/>
          <w:sz w:val="24"/>
          <w:szCs w:val="24"/>
          <w:u w:val="none"/>
          <w:lang w:val="en-US" w:eastAsia="zh-CN"/>
        </w:rPr>
        <w:t>3</w:t>
      </w:r>
      <w:r>
        <w:rPr>
          <w:rFonts w:hint="eastAsia" w:ascii="Times New Roman" w:hAnsi="Times New Roman" w:eastAsia="宋体" w:cs="Times New Roman"/>
          <w:i w:val="0"/>
          <w:iCs w:val="0"/>
          <w:color w:val="auto"/>
          <w:sz w:val="24"/>
          <w:szCs w:val="24"/>
          <w:u w:val="none"/>
        </w:rPr>
        <w:t>月</w:t>
      </w:r>
      <w:r>
        <w:rPr>
          <w:rFonts w:hint="eastAsia" w:ascii="Times New Roman" w:hAnsi="Times New Roman" w:eastAsia="宋体" w:cs="Times New Roman"/>
          <w:i w:val="0"/>
          <w:iCs w:val="0"/>
          <w:color w:val="auto"/>
          <w:sz w:val="24"/>
          <w:szCs w:val="24"/>
          <w:u w:val="none"/>
          <w:lang w:val="en-US" w:eastAsia="zh-CN"/>
        </w:rPr>
        <w:t>22</w:t>
      </w:r>
      <w:r>
        <w:rPr>
          <w:rFonts w:hint="eastAsia" w:ascii="Times New Roman" w:hAnsi="Times New Roman" w:eastAsia="宋体" w:cs="Times New Roman"/>
          <w:i w:val="0"/>
          <w:iCs w:val="0"/>
          <w:color w:val="auto"/>
          <w:sz w:val="24"/>
          <w:szCs w:val="24"/>
          <w:u w:val="none"/>
        </w:rPr>
        <w:t>号进行重新申请，</w:t>
      </w:r>
      <w:r>
        <w:rPr>
          <w:rFonts w:hint="eastAsia" w:ascii="Times New Roman" w:hAnsi="Times New Roman" w:eastAsia="宋体" w:cs="Times New Roman"/>
          <w:i w:val="0"/>
          <w:iCs w:val="0"/>
          <w:color w:val="auto"/>
          <w:sz w:val="24"/>
          <w:szCs w:val="24"/>
          <w:u w:val="none"/>
          <w:lang w:val="en-US" w:eastAsia="zh-CN"/>
        </w:rPr>
        <w:t>申请</w:t>
      </w:r>
      <w:r>
        <w:rPr>
          <w:rFonts w:hint="eastAsia" w:ascii="Times New Roman" w:hAnsi="Times New Roman" w:eastAsia="宋体" w:cs="Times New Roman"/>
          <w:i w:val="0"/>
          <w:iCs w:val="0"/>
          <w:color w:val="auto"/>
          <w:sz w:val="24"/>
          <w:szCs w:val="24"/>
          <w:u w:val="none"/>
        </w:rPr>
        <w:t>管理类别：重点管理</w:t>
      </w:r>
      <w:r>
        <w:rPr>
          <w:rFonts w:hint="eastAsia" w:ascii="Times New Roman" w:hAnsi="Times New Roman" w:eastAsia="宋体" w:cs="Times New Roman"/>
          <w:i w:val="0"/>
          <w:iCs w:val="0"/>
          <w:color w:val="auto"/>
          <w:sz w:val="24"/>
          <w:szCs w:val="24"/>
          <w:u w:val="none"/>
          <w:lang w:eastAsia="zh-CN"/>
        </w:rPr>
        <w:t>，</w:t>
      </w:r>
      <w:r>
        <w:rPr>
          <w:rFonts w:hint="eastAsia" w:ascii="Times New Roman" w:hAnsi="Times New Roman" w:eastAsia="宋体" w:cs="Times New Roman"/>
          <w:i w:val="0"/>
          <w:iCs w:val="0"/>
          <w:color w:val="auto"/>
          <w:sz w:val="24"/>
          <w:szCs w:val="24"/>
          <w:u w:val="none"/>
        </w:rPr>
        <w:t>有效期限：</w:t>
      </w:r>
      <w:r>
        <w:rPr>
          <w:rFonts w:hint="eastAsia" w:ascii="Times New Roman" w:hAnsi="Times New Roman" w:eastAsia="宋体" w:cs="Times New Roman"/>
          <w:color w:val="auto"/>
          <w:sz w:val="24"/>
          <w:szCs w:val="24"/>
          <w:u w:val="none"/>
        </w:rPr>
        <w:t>2023年</w:t>
      </w:r>
      <w:r>
        <w:rPr>
          <w:rFonts w:hint="eastAsia" w:ascii="Times New Roman" w:hAnsi="Times New Roman" w:eastAsia="宋体" w:cs="Times New Roman"/>
          <w:color w:val="auto"/>
          <w:sz w:val="24"/>
          <w:szCs w:val="24"/>
          <w:u w:val="none"/>
          <w:lang w:val="en-US" w:eastAsia="zh-CN"/>
        </w:rPr>
        <w:t>03</w:t>
      </w:r>
      <w:r>
        <w:rPr>
          <w:rFonts w:hint="eastAsia" w:ascii="Times New Roman" w:hAnsi="Times New Roman" w:eastAsia="宋体" w:cs="Times New Roman"/>
          <w:color w:val="auto"/>
          <w:sz w:val="24"/>
          <w:szCs w:val="24"/>
          <w:u w:val="none"/>
        </w:rPr>
        <w:t>月</w:t>
      </w:r>
      <w:r>
        <w:rPr>
          <w:rFonts w:hint="eastAsia" w:ascii="Times New Roman" w:hAnsi="Times New Roman" w:eastAsia="宋体" w:cs="Times New Roman"/>
          <w:color w:val="auto"/>
          <w:sz w:val="24"/>
          <w:szCs w:val="24"/>
          <w:u w:val="none"/>
          <w:lang w:val="en-US" w:eastAsia="zh-CN"/>
        </w:rPr>
        <w:t>17</w:t>
      </w:r>
      <w:r>
        <w:rPr>
          <w:rFonts w:hint="eastAsia" w:ascii="Times New Roman" w:hAnsi="Times New Roman" w:eastAsia="宋体" w:cs="Times New Roman"/>
          <w:color w:val="auto"/>
          <w:sz w:val="24"/>
          <w:szCs w:val="24"/>
          <w:u w:val="none"/>
        </w:rPr>
        <w:t>日至202</w:t>
      </w:r>
      <w:r>
        <w:rPr>
          <w:rFonts w:hint="eastAsia" w:ascii="Times New Roman" w:hAnsi="Times New Roman" w:eastAsia="宋体" w:cs="Times New Roman"/>
          <w:color w:val="auto"/>
          <w:sz w:val="24"/>
          <w:szCs w:val="24"/>
          <w:u w:val="none"/>
          <w:lang w:val="en-US" w:eastAsia="zh-CN"/>
        </w:rPr>
        <w:t>7</w:t>
      </w:r>
      <w:r>
        <w:rPr>
          <w:rFonts w:hint="eastAsia" w:ascii="Times New Roman" w:hAnsi="Times New Roman" w:eastAsia="宋体" w:cs="Times New Roman"/>
          <w:color w:val="auto"/>
          <w:sz w:val="24"/>
          <w:szCs w:val="24"/>
          <w:u w:val="none"/>
        </w:rPr>
        <w:t>年0</w:t>
      </w:r>
      <w:r>
        <w:rPr>
          <w:rFonts w:hint="eastAsia" w:ascii="Times New Roman" w:hAnsi="Times New Roman" w:eastAsia="宋体" w:cs="Times New Roman"/>
          <w:color w:val="auto"/>
          <w:sz w:val="24"/>
          <w:szCs w:val="24"/>
          <w:u w:val="none"/>
          <w:lang w:val="en-US" w:eastAsia="zh-CN"/>
        </w:rPr>
        <w:t>3</w:t>
      </w:r>
      <w:r>
        <w:rPr>
          <w:rFonts w:hint="eastAsia" w:ascii="Times New Roman" w:hAnsi="Times New Roman" w:eastAsia="宋体" w:cs="Times New Roman"/>
          <w:color w:val="auto"/>
          <w:sz w:val="24"/>
          <w:szCs w:val="24"/>
          <w:u w:val="none"/>
        </w:rPr>
        <w:t>月</w:t>
      </w:r>
      <w:r>
        <w:rPr>
          <w:rFonts w:hint="eastAsia" w:ascii="Times New Roman" w:hAnsi="Times New Roman" w:eastAsia="宋体" w:cs="Times New Roman"/>
          <w:color w:val="auto"/>
          <w:sz w:val="24"/>
          <w:szCs w:val="24"/>
          <w:u w:val="none"/>
          <w:lang w:val="en-US" w:eastAsia="zh-CN"/>
        </w:rPr>
        <w:t>16</w:t>
      </w:r>
      <w:r>
        <w:rPr>
          <w:rFonts w:hint="eastAsia" w:ascii="Times New Roman" w:hAnsi="Times New Roman" w:eastAsia="宋体" w:cs="Times New Roman"/>
          <w:color w:val="auto"/>
          <w:sz w:val="24"/>
          <w:szCs w:val="24"/>
          <w:u w:val="none"/>
        </w:rPr>
        <w:t>日止</w:t>
      </w:r>
      <w:r>
        <w:rPr>
          <w:rFonts w:hint="eastAsia" w:ascii="Times New Roman" w:hAnsi="Times New Roman" w:eastAsia="宋体" w:cs="Times New Roman"/>
          <w:i w:val="0"/>
          <w:iCs w:val="0"/>
          <w:color w:val="auto"/>
          <w:sz w:val="24"/>
          <w:szCs w:val="24"/>
          <w:u w:val="none"/>
        </w:rPr>
        <w:t>。</w:t>
      </w:r>
    </w:p>
    <w:p w14:paraId="0BA9DB61">
      <w:pPr>
        <w:spacing w:line="360" w:lineRule="auto"/>
        <w:ind w:firstLine="480" w:firstLineChars="200"/>
        <w:rPr>
          <w:rFonts w:ascii="Times New Roman" w:hAnsi="Times New Roman" w:eastAsia="宋体" w:cs="Times New Roman"/>
          <w:i w:val="0"/>
          <w:iCs w:val="0"/>
          <w:color w:val="auto"/>
          <w:sz w:val="24"/>
          <w:szCs w:val="24"/>
          <w:highlight w:val="green"/>
          <w:u w:val="none"/>
        </w:rPr>
      </w:pPr>
      <w:r>
        <w:rPr>
          <w:rFonts w:hint="eastAsia" w:ascii="Times New Roman" w:hAnsi="Times New Roman" w:eastAsia="宋体" w:cs="Times New Roman"/>
          <w:i w:val="0"/>
          <w:iCs w:val="0"/>
          <w:color w:val="auto"/>
          <w:sz w:val="24"/>
          <w:szCs w:val="24"/>
          <w:u w:val="none"/>
        </w:rPr>
        <w:t>按照已申领的排污许可证管理要求，企业对</w:t>
      </w:r>
      <w:r>
        <w:rPr>
          <w:rFonts w:hint="eastAsia" w:ascii="Times New Roman" w:hAnsi="Times New Roman" w:eastAsia="宋体" w:cs="Times New Roman"/>
          <w:i w:val="0"/>
          <w:iCs w:val="0"/>
          <w:color w:val="auto"/>
          <w:sz w:val="24"/>
          <w:szCs w:val="24"/>
          <w:u w:val="none"/>
          <w:lang w:val="en-US" w:eastAsia="zh-CN"/>
        </w:rPr>
        <w:t>废水排放口</w:t>
      </w:r>
      <w:r>
        <w:rPr>
          <w:rFonts w:hint="eastAsia" w:ascii="Times New Roman" w:hAnsi="Times New Roman" w:eastAsia="宋体" w:cs="Times New Roman"/>
          <w:i w:val="0"/>
          <w:iCs w:val="0"/>
          <w:color w:val="auto"/>
          <w:sz w:val="24"/>
          <w:szCs w:val="24"/>
          <w:u w:val="none"/>
        </w:rPr>
        <w:t>处安装了废</w:t>
      </w:r>
      <w:r>
        <w:rPr>
          <w:rFonts w:hint="eastAsia" w:ascii="Times New Roman" w:hAnsi="Times New Roman" w:eastAsia="宋体" w:cs="Times New Roman"/>
          <w:i w:val="0"/>
          <w:iCs w:val="0"/>
          <w:color w:val="auto"/>
          <w:sz w:val="24"/>
          <w:szCs w:val="24"/>
          <w:u w:val="none"/>
          <w:lang w:val="en-US" w:eastAsia="zh-CN"/>
        </w:rPr>
        <w:t>水</w:t>
      </w:r>
      <w:r>
        <w:rPr>
          <w:rFonts w:hint="eastAsia" w:ascii="Times New Roman" w:hAnsi="Times New Roman" w:eastAsia="宋体" w:cs="Times New Roman"/>
          <w:i w:val="0"/>
          <w:iCs w:val="0"/>
          <w:color w:val="auto"/>
          <w:sz w:val="24"/>
          <w:szCs w:val="24"/>
          <w:u w:val="none"/>
        </w:rPr>
        <w:t>在线监控装置，并与市生态环境局在线监管平台进行了联网，同时，自</w:t>
      </w:r>
      <w:r>
        <w:rPr>
          <w:rFonts w:hint="eastAsia" w:ascii="Times New Roman" w:hAnsi="Times New Roman" w:eastAsia="宋体" w:cs="Times New Roman"/>
          <w:i w:val="0"/>
          <w:iCs w:val="0"/>
          <w:color w:val="auto"/>
          <w:sz w:val="24"/>
          <w:szCs w:val="24"/>
          <w:u w:val="none"/>
          <w:lang w:val="en-US" w:eastAsia="zh-CN"/>
        </w:rPr>
        <w:t>2018</w:t>
      </w:r>
      <w:r>
        <w:rPr>
          <w:rFonts w:hint="eastAsia" w:ascii="Times New Roman" w:hAnsi="Times New Roman" w:eastAsia="宋体" w:cs="Times New Roman"/>
          <w:i w:val="0"/>
          <w:iCs w:val="0"/>
          <w:color w:val="auto"/>
          <w:sz w:val="24"/>
          <w:szCs w:val="24"/>
          <w:u w:val="none"/>
        </w:rPr>
        <w:t>年起，企业每季度以及每年定期上传了排污许可证执行报告与自行监测报告。</w:t>
      </w:r>
    </w:p>
    <w:p w14:paraId="0E51C353">
      <w:pPr>
        <w:spacing w:line="360" w:lineRule="auto"/>
        <w:ind w:firstLine="420" w:firstLineChars="200"/>
        <w:rPr>
          <w:rFonts w:ascii="Times New Roman" w:hAnsi="Times New Roman" w:eastAsia="宋体" w:cs="Times New Roman"/>
          <w:color w:val="FF0000"/>
          <w:sz w:val="24"/>
          <w:szCs w:val="24"/>
          <w:highlight w:val="green"/>
        </w:rPr>
      </w:pPr>
      <w:r>
        <w:drawing>
          <wp:inline distT="0" distB="0" distL="114300" distR="114300">
            <wp:extent cx="5261610" cy="2969260"/>
            <wp:effectExtent l="0" t="0" r="15240" b="254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8"/>
                    <a:stretch>
                      <a:fillRect/>
                    </a:stretch>
                  </pic:blipFill>
                  <pic:spPr>
                    <a:xfrm>
                      <a:off x="0" y="0"/>
                      <a:ext cx="5261610" cy="2969260"/>
                    </a:xfrm>
                    <a:prstGeom prst="rect">
                      <a:avLst/>
                    </a:prstGeom>
                    <a:noFill/>
                    <a:ln>
                      <a:noFill/>
                    </a:ln>
                  </pic:spPr>
                </pic:pic>
              </a:graphicData>
            </a:graphic>
          </wp:inline>
        </w:drawing>
      </w:r>
    </w:p>
    <w:p w14:paraId="71BF0BA2">
      <w:pPr>
        <w:pStyle w:val="6"/>
        <w:bidi w:val="0"/>
      </w:pPr>
      <w:r>
        <w:rPr>
          <w:rFonts w:hint="eastAsia"/>
        </w:rPr>
        <w:t>图3</w:t>
      </w:r>
      <w:r>
        <w:t>.1</w:t>
      </w:r>
      <w:r>
        <w:rPr>
          <w:rFonts w:hint="eastAsia"/>
        </w:rPr>
        <w:t>.2-</w:t>
      </w:r>
      <w:r>
        <w:t xml:space="preserve">1    </w:t>
      </w:r>
      <w:r>
        <w:rPr>
          <w:rFonts w:hint="eastAsia"/>
        </w:rPr>
        <w:t>排污许可执行报告公示截图</w:t>
      </w:r>
    </w:p>
    <w:p w14:paraId="492E46CE">
      <w:pPr>
        <w:pStyle w:val="4"/>
        <w:bidi w:val="0"/>
        <w:rPr>
          <w:rFonts w:hint="eastAsia"/>
        </w:rPr>
      </w:pPr>
      <w:r>
        <w:t>3.1.3</w:t>
      </w:r>
      <w:r>
        <w:rPr>
          <w:rFonts w:hint="eastAsia"/>
        </w:rPr>
        <w:t>环保督查、投诉和环境风险事故发生情况</w:t>
      </w:r>
    </w:p>
    <w:p w14:paraId="1EE5D555">
      <w:pPr>
        <w:pStyle w:val="5"/>
        <w:bidi w:val="0"/>
        <w:rPr>
          <w:rFonts w:hint="default" w:eastAsia="宋体"/>
          <w:lang w:val="en-US" w:eastAsia="zh-CN"/>
        </w:rPr>
      </w:pPr>
      <w:r>
        <w:rPr>
          <w:rFonts w:hint="eastAsia"/>
          <w:lang w:val="en-US" w:eastAsia="zh-CN"/>
        </w:rPr>
        <w:t>3.1.3.1环境风险事故</w:t>
      </w:r>
    </w:p>
    <w:p w14:paraId="76AF3C6E">
      <w:pPr>
        <w:spacing w:line="360" w:lineRule="auto"/>
        <w:ind w:firstLine="480" w:firstLineChars="200"/>
        <w:rPr>
          <w:rFonts w:hint="eastAsia" w:ascii="Times New Roman" w:hAnsi="Times New Roman" w:eastAsia="宋体" w:cs="Times New Roman"/>
          <w:color w:val="auto"/>
          <w:sz w:val="24"/>
          <w:szCs w:val="24"/>
          <w:u w:val="none"/>
        </w:rPr>
      </w:pPr>
      <w:r>
        <w:rPr>
          <w:rFonts w:hint="eastAsia" w:ascii="Times New Roman" w:hAnsi="Times New Roman" w:eastAsia="宋体" w:cs="Times New Roman"/>
          <w:color w:val="auto"/>
          <w:sz w:val="24"/>
          <w:szCs w:val="24"/>
          <w:u w:val="none"/>
        </w:rPr>
        <w:t>2020年5月1日晚上8时左右，提取三车间班长马建清从危化品仓库转运甲苯到提取三车间，在到达车间门口时，不慎将甲苯桶翻倒，导致甲苯泄漏在地面上，马建清迅速用水进行冲洗，冲洗废水顺地势流入到雨水管网，经雨水排口流入嘉山电排口，导致了嘉山电排口甲苯超标事故。</w:t>
      </w:r>
    </w:p>
    <w:p w14:paraId="7C1C5236">
      <w:pPr>
        <w:spacing w:line="360" w:lineRule="auto"/>
        <w:ind w:firstLine="480" w:firstLineChars="200"/>
        <w:rPr>
          <w:rFonts w:hint="eastAsia" w:ascii="Times New Roman" w:hAnsi="Times New Roman" w:eastAsia="宋体" w:cs="Times New Roman"/>
          <w:color w:val="auto"/>
          <w:sz w:val="24"/>
          <w:szCs w:val="24"/>
          <w:u w:val="none"/>
        </w:rPr>
      </w:pPr>
      <w:r>
        <w:rPr>
          <w:rFonts w:hint="eastAsia" w:ascii="Times New Roman" w:hAnsi="Times New Roman" w:eastAsia="宋体" w:cs="Times New Roman"/>
          <w:color w:val="auto"/>
          <w:sz w:val="24"/>
          <w:szCs w:val="24"/>
          <w:u w:val="none"/>
        </w:rPr>
        <w:t>经调查分析，这起事故发生的原因主要为：</w:t>
      </w:r>
    </w:p>
    <w:p w14:paraId="273E559A">
      <w:pPr>
        <w:spacing w:line="360" w:lineRule="auto"/>
        <w:ind w:firstLine="480" w:firstLineChars="200"/>
        <w:rPr>
          <w:rFonts w:hint="eastAsia" w:ascii="Times New Roman" w:hAnsi="Times New Roman" w:eastAsia="宋体" w:cs="Times New Roman"/>
          <w:color w:val="auto"/>
          <w:sz w:val="24"/>
          <w:szCs w:val="24"/>
          <w:u w:val="none"/>
        </w:rPr>
      </w:pPr>
      <w:r>
        <w:rPr>
          <w:rFonts w:hint="eastAsia" w:ascii="Times New Roman" w:hAnsi="Times New Roman" w:eastAsia="宋体" w:cs="Times New Roman"/>
          <w:color w:val="auto"/>
          <w:sz w:val="24"/>
          <w:szCs w:val="24"/>
          <w:u w:val="none"/>
        </w:rPr>
        <w:t>1、车间负责人对晚班的物料准备不足，晚班人员少，加上车间门口地面不平，夜间转运存在安全风险大；</w:t>
      </w:r>
    </w:p>
    <w:p w14:paraId="0B5A2E14">
      <w:pPr>
        <w:spacing w:line="360" w:lineRule="auto"/>
        <w:ind w:firstLine="480" w:firstLineChars="200"/>
        <w:rPr>
          <w:rFonts w:hint="eastAsia" w:ascii="Times New Roman" w:hAnsi="Times New Roman" w:eastAsia="宋体" w:cs="Times New Roman"/>
          <w:color w:val="auto"/>
          <w:sz w:val="24"/>
          <w:szCs w:val="24"/>
          <w:u w:val="none"/>
        </w:rPr>
      </w:pPr>
      <w:r>
        <w:rPr>
          <w:rFonts w:hint="eastAsia" w:ascii="Times New Roman" w:hAnsi="Times New Roman" w:eastAsia="宋体" w:cs="Times New Roman"/>
          <w:color w:val="auto"/>
          <w:sz w:val="24"/>
          <w:szCs w:val="24"/>
          <w:u w:val="none"/>
        </w:rPr>
        <w:t>2、班长马建清在甲苯泄漏在地上后既不向公司领导报告，也不向车间反映，而擅自作主将泄漏在地上的甲苯用水冲洗，主观上想隐瞒事故，逃避处罚；</w:t>
      </w:r>
    </w:p>
    <w:p w14:paraId="21E49846">
      <w:pPr>
        <w:spacing w:line="360" w:lineRule="auto"/>
        <w:ind w:firstLine="480" w:firstLineChars="200"/>
        <w:rPr>
          <w:rFonts w:hint="eastAsia" w:ascii="Times New Roman" w:hAnsi="Times New Roman" w:eastAsia="宋体" w:cs="Times New Roman"/>
          <w:color w:val="auto"/>
          <w:sz w:val="24"/>
          <w:szCs w:val="24"/>
          <w:u w:val="none"/>
        </w:rPr>
      </w:pPr>
      <w:r>
        <w:rPr>
          <w:rFonts w:hint="eastAsia" w:ascii="Times New Roman" w:hAnsi="Times New Roman" w:eastAsia="宋体" w:cs="Times New Roman"/>
          <w:color w:val="auto"/>
          <w:sz w:val="24"/>
          <w:szCs w:val="24"/>
          <w:u w:val="none"/>
        </w:rPr>
        <w:t>3、甲苯泄漏事故发生后，因班长马建清未向公司及车间领导报告，导致公司应急指挥部未能启动甲苯泄漏I级响应，而引发甲苯污染事故：</w:t>
      </w:r>
    </w:p>
    <w:p w14:paraId="6A9DEBDC">
      <w:pPr>
        <w:spacing w:line="360" w:lineRule="auto"/>
        <w:ind w:firstLine="480" w:firstLineChars="200"/>
        <w:rPr>
          <w:rFonts w:hint="eastAsia" w:ascii="Times New Roman" w:hAnsi="Times New Roman" w:eastAsia="宋体" w:cs="Times New Roman"/>
          <w:color w:val="auto"/>
          <w:sz w:val="24"/>
          <w:szCs w:val="24"/>
          <w:u w:val="none"/>
        </w:rPr>
      </w:pPr>
      <w:r>
        <w:rPr>
          <w:rFonts w:hint="eastAsia" w:ascii="Times New Roman" w:hAnsi="Times New Roman" w:eastAsia="宋体" w:cs="Times New Roman"/>
          <w:color w:val="auto"/>
          <w:sz w:val="24"/>
          <w:szCs w:val="24"/>
          <w:u w:val="none"/>
        </w:rPr>
        <w:t>4、车间对员工的安全生产教育培训及应对突发事件应急处置培训不到位；</w:t>
      </w:r>
    </w:p>
    <w:p w14:paraId="595AD7D2">
      <w:pPr>
        <w:spacing w:line="360" w:lineRule="auto"/>
        <w:ind w:firstLine="480" w:firstLineChars="200"/>
        <w:rPr>
          <w:rFonts w:hint="eastAsia" w:ascii="Times New Roman" w:hAnsi="Times New Roman" w:eastAsia="宋体" w:cs="Times New Roman"/>
          <w:color w:val="auto"/>
          <w:sz w:val="24"/>
          <w:szCs w:val="24"/>
          <w:u w:val="none"/>
        </w:rPr>
      </w:pPr>
      <w:r>
        <w:rPr>
          <w:rFonts w:hint="eastAsia" w:ascii="Times New Roman" w:hAnsi="Times New Roman" w:eastAsia="宋体" w:cs="Times New Roman"/>
          <w:color w:val="auto"/>
          <w:sz w:val="24"/>
          <w:szCs w:val="24"/>
          <w:u w:val="none"/>
        </w:rPr>
        <w:t>5、雨水排放口闸门晴天未关闭，闸门形同虚设，甲苯派漏事故发生后，不能将冲洗废水收集到初期雨水收集池，导致了此次甲苯泄漏污染事故。</w:t>
      </w:r>
    </w:p>
    <w:p w14:paraId="0CF847C2">
      <w:pPr>
        <w:spacing w:line="360" w:lineRule="auto"/>
        <w:ind w:firstLine="480" w:firstLineChars="200"/>
        <w:rPr>
          <w:rFonts w:hint="eastAsia" w:ascii="Times New Roman" w:hAnsi="Times New Roman" w:eastAsia="宋体" w:cs="Times New Roman"/>
          <w:color w:val="auto"/>
          <w:sz w:val="24"/>
          <w:szCs w:val="24"/>
          <w:u w:val="none"/>
        </w:rPr>
      </w:pPr>
      <w:r>
        <w:rPr>
          <w:rFonts w:hint="eastAsia" w:ascii="Times New Roman" w:hAnsi="Times New Roman" w:eastAsia="宋体" w:cs="Times New Roman"/>
          <w:color w:val="auto"/>
          <w:sz w:val="24"/>
          <w:szCs w:val="24"/>
          <w:u w:val="none"/>
        </w:rPr>
        <w:t>为防止甲苯泄漏事故再次发生，公司郑重承诺：</w:t>
      </w:r>
    </w:p>
    <w:p w14:paraId="0812C5CE">
      <w:pPr>
        <w:spacing w:line="360" w:lineRule="auto"/>
        <w:ind w:firstLine="480" w:firstLineChars="200"/>
        <w:rPr>
          <w:rFonts w:hint="eastAsia" w:ascii="Times New Roman" w:hAnsi="Times New Roman" w:eastAsia="宋体" w:cs="Times New Roman"/>
          <w:color w:val="auto"/>
          <w:sz w:val="24"/>
          <w:szCs w:val="24"/>
          <w:u w:val="none"/>
        </w:rPr>
      </w:pPr>
      <w:r>
        <w:rPr>
          <w:rFonts w:hint="eastAsia" w:ascii="Times New Roman" w:hAnsi="Times New Roman" w:eastAsia="宋体" w:cs="Times New Roman"/>
          <w:color w:val="auto"/>
          <w:sz w:val="24"/>
          <w:szCs w:val="24"/>
          <w:u w:val="none"/>
        </w:rPr>
        <w:t>一、调整产品结构，生产工艺中使用甲苯的内酯环（A环降解物）产品生产线不再生产，同时不再生产原料中含毒性较大的产品，包括17a-羟基黄体酮中间体生产线。</w:t>
      </w:r>
    </w:p>
    <w:p w14:paraId="4D4EE445">
      <w:pPr>
        <w:spacing w:line="360" w:lineRule="auto"/>
        <w:ind w:firstLine="480" w:firstLineChars="200"/>
        <w:rPr>
          <w:rFonts w:hint="eastAsia" w:ascii="Times New Roman" w:hAnsi="Times New Roman" w:eastAsia="宋体" w:cs="Times New Roman"/>
          <w:color w:val="auto"/>
          <w:sz w:val="24"/>
          <w:szCs w:val="24"/>
          <w:u w:val="none"/>
        </w:rPr>
      </w:pPr>
      <w:r>
        <w:rPr>
          <w:rFonts w:hint="eastAsia" w:ascii="Times New Roman" w:hAnsi="Times New Roman" w:eastAsia="宋体" w:cs="Times New Roman"/>
          <w:color w:val="auto"/>
          <w:sz w:val="24"/>
          <w:szCs w:val="24"/>
          <w:u w:val="none"/>
        </w:rPr>
        <w:t>二、加强员工的应急预案培训学习和应急演练培训，每年培训学习不低于两次，应急演练不低于两次。</w:t>
      </w:r>
    </w:p>
    <w:p w14:paraId="30FABDAA">
      <w:pPr>
        <w:spacing w:line="360" w:lineRule="auto"/>
        <w:ind w:firstLine="480" w:firstLineChars="200"/>
        <w:rPr>
          <w:rFonts w:hint="eastAsia" w:ascii="Times New Roman" w:hAnsi="Times New Roman" w:eastAsia="宋体" w:cs="Times New Roman"/>
          <w:color w:val="auto"/>
          <w:sz w:val="24"/>
          <w:szCs w:val="24"/>
          <w:u w:val="none"/>
        </w:rPr>
      </w:pPr>
      <w:r>
        <w:rPr>
          <w:rFonts w:hint="eastAsia" w:ascii="Times New Roman" w:hAnsi="Times New Roman" w:eastAsia="宋体" w:cs="Times New Roman"/>
          <w:color w:val="auto"/>
          <w:sz w:val="24"/>
          <w:szCs w:val="24"/>
          <w:u w:val="none"/>
        </w:rPr>
        <w:t>三、强化对雨水排口及初级雨水收集池、事故应急池等应急设施的管控，确保发生类似意外事故后能做到安全有序处置。</w:t>
      </w:r>
    </w:p>
    <w:p w14:paraId="0C10CFB9">
      <w:pPr>
        <w:pStyle w:val="5"/>
        <w:bidi w:val="0"/>
        <w:rPr>
          <w:rFonts w:hint="default" w:eastAsia="宋体"/>
          <w:color w:val="auto"/>
          <w:highlight w:val="none"/>
          <w:lang w:val="en-US" w:eastAsia="zh-CN"/>
        </w:rPr>
      </w:pPr>
      <w:r>
        <w:rPr>
          <w:rFonts w:hint="eastAsia"/>
          <w:color w:val="auto"/>
          <w:highlight w:val="none"/>
          <w:lang w:val="en-US" w:eastAsia="zh-CN"/>
        </w:rPr>
        <w:t>3.1.3.2环保督察、投诉</w:t>
      </w:r>
    </w:p>
    <w:p w14:paraId="366DCFA8">
      <w:pPr>
        <w:spacing w:line="360" w:lineRule="auto"/>
        <w:ind w:firstLine="480" w:firstLineChars="200"/>
        <w:rPr>
          <w:rFonts w:hint="eastAsia" w:ascii="Times New Roman" w:hAnsi="Times New Roman" w:eastAsia="宋体" w:cs="Times New Roman"/>
          <w:color w:val="auto"/>
          <w:sz w:val="24"/>
          <w:szCs w:val="24"/>
          <w:highlight w:val="none"/>
          <w:u w:val="none"/>
        </w:rPr>
      </w:pPr>
      <w:r>
        <w:rPr>
          <w:rFonts w:hint="eastAsia" w:ascii="Times New Roman" w:hAnsi="Times New Roman" w:eastAsia="宋体" w:cs="Times New Roman"/>
          <w:color w:val="auto"/>
          <w:sz w:val="24"/>
          <w:szCs w:val="24"/>
          <w:highlight w:val="none"/>
          <w:u w:val="none"/>
        </w:rPr>
        <w:t>2020年11月以来，湖南省生态环境厅、常德市生态环境局先后对湖南龙腾生物科技有限公司进行了多轮检查，津市高新区和常德市生态环境局津市分局组织相关环保专家对湖南龙腾生物科技有限公司的污水处理及废气治理、雨污分流、循环冷却水的收集与处理、污水及雨水管网、排放口等进行了多轮排查，并提出了环境问题整改意见交办函，2020年12月18日常德市生态环境局津市分局和津市高新技术产业开发管理委员会向湖南龙腾生物科技有限公司提出的整改意见交办函。针对交办函环保问题，湖南龙腾生物科技有限公司委托湖南泰景环保科技有限公司就《关于湖南龙腾生物科技有限公司整改意见交办函》厂区内的涉气、涉水问题编制技术改造方案，方案内容包括完善现有废气收集措施、对现有废气处理工艺设施进行技术升级改造，按方案实施改造后能有效的解决湖南龙腾生物科技有限公司废气达标排放问题。</w:t>
      </w:r>
    </w:p>
    <w:p w14:paraId="0F5F178B">
      <w:pPr>
        <w:spacing w:line="360" w:lineRule="auto"/>
        <w:ind w:firstLine="480" w:firstLineChars="200"/>
        <w:rPr>
          <w:rFonts w:hint="default" w:ascii="Times New Roman" w:hAnsi="Times New Roman" w:eastAsia="宋体" w:cs="Times New Roman"/>
          <w:color w:val="auto"/>
          <w:sz w:val="24"/>
          <w:szCs w:val="24"/>
          <w:highlight w:val="none"/>
          <w:u w:val="none"/>
          <w:lang w:val="en-US" w:eastAsia="zh-CN"/>
        </w:rPr>
      </w:pPr>
      <w:r>
        <w:rPr>
          <w:rFonts w:hint="eastAsia" w:ascii="Times New Roman" w:hAnsi="Times New Roman" w:eastAsia="宋体" w:cs="Times New Roman"/>
          <w:color w:val="auto"/>
          <w:sz w:val="24"/>
          <w:szCs w:val="24"/>
          <w:highlight w:val="none"/>
          <w:u w:val="none"/>
        </w:rPr>
        <w:t>湖南龙腾生物科技有限公司涉气环保问题整改项目已于2021年4月30日整改完成，</w:t>
      </w:r>
      <w:r>
        <w:rPr>
          <w:rFonts w:hint="eastAsia" w:ascii="Times New Roman" w:hAnsi="Times New Roman" w:eastAsia="宋体" w:cs="Times New Roman"/>
          <w:color w:val="auto"/>
          <w:sz w:val="24"/>
          <w:szCs w:val="24"/>
          <w:highlight w:val="none"/>
          <w:u w:val="none"/>
          <w:lang w:val="en-US" w:eastAsia="zh-CN"/>
        </w:rPr>
        <w:t>并于2021年5月6日通过“一企一策”环保整治工程验收，详见附件。</w:t>
      </w:r>
    </w:p>
    <w:p w14:paraId="4E16E6A5">
      <w:pPr>
        <w:pStyle w:val="4"/>
        <w:bidi w:val="0"/>
      </w:pPr>
      <w:r>
        <w:t>3.1.4</w:t>
      </w:r>
      <w:r>
        <w:rPr>
          <w:rFonts w:hint="eastAsia"/>
        </w:rPr>
        <w:t>现有工程项目组成</w:t>
      </w:r>
    </w:p>
    <w:p w14:paraId="5F9B15CA">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现有工程项目组成情况如下表所示：</w:t>
      </w:r>
    </w:p>
    <w:p w14:paraId="5B9FDC05">
      <w:pPr>
        <w:pStyle w:val="6"/>
        <w:bidi w:val="0"/>
      </w:pPr>
      <w:r>
        <w:rPr>
          <w:rFonts w:hint="eastAsia"/>
        </w:rPr>
        <w:t>表</w:t>
      </w:r>
      <w:r>
        <w:t>3.1</w:t>
      </w:r>
      <w:r>
        <w:rPr>
          <w:rFonts w:hint="eastAsia"/>
        </w:rPr>
        <w:t>.4</w:t>
      </w:r>
      <w:r>
        <w:t>-</w:t>
      </w:r>
      <w:r>
        <w:rPr>
          <w:rFonts w:hint="eastAsia"/>
        </w:rPr>
        <w:t>1</w:t>
      </w:r>
      <w:r>
        <w:t xml:space="preserve">   </w:t>
      </w:r>
      <w:r>
        <w:rPr>
          <w:rFonts w:hint="eastAsia"/>
        </w:rPr>
        <w:t xml:space="preserve"> 现有工程项目组成情况一览</w:t>
      </w:r>
      <w:r>
        <w:t>表</w:t>
      </w:r>
    </w:p>
    <w:tbl>
      <w:tblPr>
        <w:tblStyle w:val="4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4"/>
        <w:gridCol w:w="2084"/>
        <w:gridCol w:w="1210"/>
        <w:gridCol w:w="2181"/>
        <w:gridCol w:w="2330"/>
      </w:tblGrid>
      <w:tr w14:paraId="0D5BB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42" w:type="pct"/>
            <w:gridSpan w:val="2"/>
            <w:vAlign w:val="center"/>
          </w:tcPr>
          <w:p w14:paraId="1EC88C67">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项目组成</w:t>
            </w:r>
          </w:p>
        </w:tc>
        <w:tc>
          <w:tcPr>
            <w:tcW w:w="710" w:type="pct"/>
            <w:vAlign w:val="center"/>
          </w:tcPr>
          <w:p w14:paraId="0EBF0411">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面积（</w:t>
            </w:r>
            <w:r>
              <w:rPr>
                <w:rFonts w:hint="eastAsia" w:ascii="Times New Roman" w:hAnsi="Times New Roman" w:eastAsia="宋体" w:cs="Times New Roman"/>
                <w:color w:val="auto"/>
                <w:sz w:val="22"/>
                <w:szCs w:val="24"/>
                <w:lang w:eastAsia="zh-CN"/>
              </w:rPr>
              <w:t>m</w:t>
            </w:r>
            <w:r>
              <w:rPr>
                <w:rFonts w:hint="eastAsia" w:ascii="Times New Roman" w:hAnsi="Times New Roman" w:eastAsia="宋体" w:cs="Times New Roman"/>
                <w:color w:val="auto"/>
                <w:sz w:val="22"/>
                <w:szCs w:val="24"/>
                <w:vertAlign w:val="superscript"/>
                <w:lang w:eastAsia="zh-CN"/>
              </w:rPr>
              <w:t>2</w:t>
            </w:r>
            <w:r>
              <w:rPr>
                <w:rFonts w:hint="eastAsia" w:ascii="Times New Roman" w:hAnsi="Times New Roman" w:eastAsia="宋体" w:cs="Times New Roman"/>
                <w:color w:val="auto"/>
                <w:sz w:val="22"/>
                <w:szCs w:val="24"/>
              </w:rPr>
              <w:t>）</w:t>
            </w:r>
          </w:p>
        </w:tc>
        <w:tc>
          <w:tcPr>
            <w:tcW w:w="1280" w:type="pct"/>
            <w:vAlign w:val="center"/>
          </w:tcPr>
          <w:p w14:paraId="510BBFF0">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建筑功能</w:t>
            </w:r>
          </w:p>
        </w:tc>
        <w:tc>
          <w:tcPr>
            <w:tcW w:w="1366" w:type="pct"/>
            <w:vAlign w:val="center"/>
          </w:tcPr>
          <w:p w14:paraId="4ACF4A21">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备注</w:t>
            </w:r>
          </w:p>
        </w:tc>
      </w:tr>
      <w:tr w14:paraId="0F8DD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9" w:type="pct"/>
            <w:vMerge w:val="restart"/>
            <w:vAlign w:val="center"/>
          </w:tcPr>
          <w:p w14:paraId="134A971E">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主体工程</w:t>
            </w:r>
          </w:p>
        </w:tc>
        <w:tc>
          <w:tcPr>
            <w:tcW w:w="1223" w:type="pct"/>
            <w:vAlign w:val="center"/>
          </w:tcPr>
          <w:p w14:paraId="2F94238E">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发酵1车间</w:t>
            </w:r>
          </w:p>
        </w:tc>
        <w:tc>
          <w:tcPr>
            <w:tcW w:w="710" w:type="pct"/>
            <w:vAlign w:val="center"/>
          </w:tcPr>
          <w:p w14:paraId="6124C744">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2880</w:t>
            </w:r>
          </w:p>
        </w:tc>
        <w:tc>
          <w:tcPr>
            <w:tcW w:w="1280" w:type="pct"/>
            <w:vAlign w:val="center"/>
          </w:tcPr>
          <w:p w14:paraId="5AFD5CE2">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糖化酶发酵生产线和胞嘧啶中间体发酵生产线</w:t>
            </w:r>
          </w:p>
        </w:tc>
        <w:tc>
          <w:tcPr>
            <w:tcW w:w="1366" w:type="pct"/>
            <w:vAlign w:val="center"/>
          </w:tcPr>
          <w:p w14:paraId="44E13A7E">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保留年产1万吨糖化酶生产线；胞嘧啶不生产，胞嘧啶发酵生产线改为肌醇发酵生产线</w:t>
            </w:r>
          </w:p>
        </w:tc>
      </w:tr>
      <w:tr w14:paraId="4105C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9" w:type="pct"/>
            <w:vMerge w:val="continue"/>
            <w:vAlign w:val="center"/>
          </w:tcPr>
          <w:p w14:paraId="50BC332F">
            <w:pPr>
              <w:jc w:val="center"/>
              <w:rPr>
                <w:rFonts w:ascii="Times New Roman" w:hAnsi="Times New Roman" w:eastAsia="宋体" w:cs="Times New Roman"/>
                <w:color w:val="auto"/>
                <w:sz w:val="22"/>
                <w:szCs w:val="24"/>
              </w:rPr>
            </w:pPr>
          </w:p>
        </w:tc>
        <w:tc>
          <w:tcPr>
            <w:tcW w:w="1223" w:type="pct"/>
            <w:vAlign w:val="center"/>
          </w:tcPr>
          <w:p w14:paraId="220B4D81">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发酵2车间</w:t>
            </w:r>
          </w:p>
        </w:tc>
        <w:tc>
          <w:tcPr>
            <w:tcW w:w="710" w:type="pct"/>
            <w:vAlign w:val="center"/>
          </w:tcPr>
          <w:p w14:paraId="0EADCCA5">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2907.23</w:t>
            </w:r>
          </w:p>
        </w:tc>
        <w:tc>
          <w:tcPr>
            <w:tcW w:w="1280" w:type="pct"/>
            <w:vAlign w:val="center"/>
          </w:tcPr>
          <w:p w14:paraId="652414E8">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腺苷中间体生产线和泛酸钙发酵生产线</w:t>
            </w:r>
          </w:p>
        </w:tc>
        <w:tc>
          <w:tcPr>
            <w:tcW w:w="1366" w:type="pct"/>
            <w:vAlign w:val="center"/>
          </w:tcPr>
          <w:p w14:paraId="2938CF14">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保留腺苷中间体生产设备，腺苷中间体不生产；保留泛酸钙发酵生产线</w:t>
            </w:r>
          </w:p>
        </w:tc>
      </w:tr>
      <w:tr w14:paraId="45A4B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19" w:type="pct"/>
            <w:vMerge w:val="continue"/>
            <w:vAlign w:val="center"/>
          </w:tcPr>
          <w:p w14:paraId="57632026">
            <w:pPr>
              <w:jc w:val="center"/>
              <w:rPr>
                <w:rFonts w:ascii="Times New Roman" w:hAnsi="Times New Roman" w:eastAsia="宋体" w:cs="Times New Roman"/>
                <w:color w:val="auto"/>
                <w:sz w:val="22"/>
                <w:szCs w:val="24"/>
              </w:rPr>
            </w:pPr>
          </w:p>
        </w:tc>
        <w:tc>
          <w:tcPr>
            <w:tcW w:w="1223" w:type="pct"/>
            <w:vAlign w:val="center"/>
          </w:tcPr>
          <w:p w14:paraId="6468F420">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提取1车间</w:t>
            </w:r>
          </w:p>
        </w:tc>
        <w:tc>
          <w:tcPr>
            <w:tcW w:w="710" w:type="pct"/>
            <w:vAlign w:val="center"/>
          </w:tcPr>
          <w:p w14:paraId="226D301E">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907.33</w:t>
            </w:r>
          </w:p>
        </w:tc>
        <w:tc>
          <w:tcPr>
            <w:tcW w:w="1280" w:type="pct"/>
            <w:vAlign w:val="center"/>
          </w:tcPr>
          <w:p w14:paraId="22BDDF55">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lang w:val="en-US" w:eastAsia="zh-CN"/>
              </w:rPr>
              <w:t>糖化酶提取生产线和胞嘧啶中间体提取生产线</w:t>
            </w:r>
          </w:p>
        </w:tc>
        <w:tc>
          <w:tcPr>
            <w:tcW w:w="1366" w:type="pct"/>
            <w:vAlign w:val="center"/>
          </w:tcPr>
          <w:p w14:paraId="369F7DFA">
            <w:pPr>
              <w:jc w:val="center"/>
              <w:rPr>
                <w:rFonts w:hint="default" w:ascii="Times New Roman" w:hAnsi="Times New Roman" w:eastAsia="宋体" w:cs="Times New Roman"/>
                <w:color w:val="auto"/>
                <w:sz w:val="22"/>
                <w:szCs w:val="24"/>
                <w:lang w:val="en-US"/>
              </w:rPr>
            </w:pPr>
            <w:r>
              <w:rPr>
                <w:rFonts w:hint="eastAsia" w:ascii="Times New Roman" w:hAnsi="Times New Roman" w:eastAsia="宋体" w:cs="Times New Roman"/>
                <w:color w:val="auto"/>
                <w:sz w:val="22"/>
                <w:szCs w:val="24"/>
                <w:lang w:val="en-US" w:eastAsia="zh-CN"/>
              </w:rPr>
              <w:t>保留年产1万吨糖化酶生产线；胞嘧啶不生产，胞嘧啶提取生产线改为肌醇提取生产线</w:t>
            </w:r>
          </w:p>
        </w:tc>
      </w:tr>
      <w:tr w14:paraId="20C48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9" w:type="pct"/>
            <w:vMerge w:val="continue"/>
            <w:vAlign w:val="center"/>
          </w:tcPr>
          <w:p w14:paraId="20E0BAC4">
            <w:pPr>
              <w:jc w:val="center"/>
              <w:rPr>
                <w:rFonts w:ascii="Times New Roman" w:hAnsi="Times New Roman" w:eastAsia="宋体" w:cs="Times New Roman"/>
                <w:color w:val="auto"/>
                <w:sz w:val="22"/>
                <w:szCs w:val="24"/>
              </w:rPr>
            </w:pPr>
          </w:p>
        </w:tc>
        <w:tc>
          <w:tcPr>
            <w:tcW w:w="1223" w:type="pct"/>
            <w:vAlign w:val="center"/>
          </w:tcPr>
          <w:p w14:paraId="3C1F9D96">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提取2车间</w:t>
            </w:r>
          </w:p>
        </w:tc>
        <w:tc>
          <w:tcPr>
            <w:tcW w:w="710" w:type="pct"/>
            <w:vAlign w:val="center"/>
          </w:tcPr>
          <w:p w14:paraId="10771908">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1095.57</w:t>
            </w:r>
          </w:p>
        </w:tc>
        <w:tc>
          <w:tcPr>
            <w:tcW w:w="1280" w:type="pct"/>
            <w:vAlign w:val="center"/>
          </w:tcPr>
          <w:p w14:paraId="6637428F">
            <w:pPr>
              <w:jc w:val="center"/>
              <w:rPr>
                <w:rFonts w:hint="default" w:ascii="Times New Roman" w:hAnsi="Times New Roman" w:eastAsia="宋体" w:cs="Times New Roman"/>
                <w:color w:val="auto"/>
                <w:sz w:val="22"/>
                <w:szCs w:val="24"/>
                <w:lang w:val="en-US"/>
              </w:rPr>
            </w:pPr>
            <w:r>
              <w:rPr>
                <w:rFonts w:hint="eastAsia" w:ascii="Times New Roman" w:hAnsi="Times New Roman" w:eastAsia="宋体" w:cs="Times New Roman"/>
                <w:color w:val="auto"/>
                <w:sz w:val="22"/>
                <w:szCs w:val="24"/>
                <w:lang w:val="en-US" w:eastAsia="zh-CN"/>
              </w:rPr>
              <w:t>胞嘧啶中间体生产线和泛酸钙干燥生产线</w:t>
            </w:r>
          </w:p>
        </w:tc>
        <w:tc>
          <w:tcPr>
            <w:tcW w:w="1366" w:type="pct"/>
            <w:vAlign w:val="center"/>
          </w:tcPr>
          <w:p w14:paraId="4A7F152C">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胞嘧啶不生产，胞嘧啶生产线改为肌醇脱色生产线；保留泛酸钙干燥生产线</w:t>
            </w:r>
          </w:p>
        </w:tc>
      </w:tr>
      <w:tr w14:paraId="4D5CE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9" w:type="pct"/>
            <w:vMerge w:val="continue"/>
            <w:vAlign w:val="center"/>
          </w:tcPr>
          <w:p w14:paraId="2372E11C">
            <w:pPr>
              <w:jc w:val="center"/>
              <w:rPr>
                <w:rFonts w:ascii="Times New Roman" w:hAnsi="Times New Roman" w:eastAsia="宋体" w:cs="Times New Roman"/>
                <w:color w:val="auto"/>
                <w:sz w:val="22"/>
                <w:szCs w:val="24"/>
              </w:rPr>
            </w:pPr>
          </w:p>
        </w:tc>
        <w:tc>
          <w:tcPr>
            <w:tcW w:w="1223" w:type="pct"/>
            <w:vAlign w:val="center"/>
          </w:tcPr>
          <w:p w14:paraId="348942D6">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提取3车间</w:t>
            </w:r>
          </w:p>
        </w:tc>
        <w:tc>
          <w:tcPr>
            <w:tcW w:w="710" w:type="pct"/>
            <w:vAlign w:val="center"/>
          </w:tcPr>
          <w:p w14:paraId="4BCDD73F">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506.88</w:t>
            </w:r>
          </w:p>
        </w:tc>
        <w:tc>
          <w:tcPr>
            <w:tcW w:w="1280" w:type="pct"/>
            <w:vAlign w:val="center"/>
          </w:tcPr>
          <w:p w14:paraId="76BB3E13">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内酯环生产线</w:t>
            </w:r>
          </w:p>
        </w:tc>
        <w:tc>
          <w:tcPr>
            <w:tcW w:w="1366" w:type="pct"/>
            <w:vAlign w:val="center"/>
          </w:tcPr>
          <w:p w14:paraId="48E5E581">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内酯环不生产，内置环生产线改为液糖生产线</w:t>
            </w:r>
          </w:p>
        </w:tc>
      </w:tr>
      <w:tr w14:paraId="126B4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9" w:type="pct"/>
            <w:vMerge w:val="continue"/>
            <w:vAlign w:val="center"/>
          </w:tcPr>
          <w:p w14:paraId="3FEDE087">
            <w:pPr>
              <w:jc w:val="center"/>
              <w:rPr>
                <w:rFonts w:ascii="Times New Roman" w:hAnsi="Times New Roman" w:eastAsia="宋体" w:cs="Times New Roman"/>
                <w:color w:val="auto"/>
                <w:sz w:val="22"/>
                <w:szCs w:val="24"/>
              </w:rPr>
            </w:pPr>
          </w:p>
        </w:tc>
        <w:tc>
          <w:tcPr>
            <w:tcW w:w="1223" w:type="pct"/>
            <w:vAlign w:val="center"/>
          </w:tcPr>
          <w:p w14:paraId="3258B134">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提取5车间</w:t>
            </w:r>
          </w:p>
        </w:tc>
        <w:tc>
          <w:tcPr>
            <w:tcW w:w="710" w:type="pct"/>
            <w:vAlign w:val="center"/>
          </w:tcPr>
          <w:p w14:paraId="664536DE">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401.4</w:t>
            </w:r>
          </w:p>
        </w:tc>
        <w:tc>
          <w:tcPr>
            <w:tcW w:w="1280" w:type="pct"/>
            <w:vAlign w:val="center"/>
          </w:tcPr>
          <w:p w14:paraId="0AF61B71">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泛酸钙饲料添加剂生产线和丙氨酸食品添加剂生产线</w:t>
            </w:r>
          </w:p>
        </w:tc>
        <w:tc>
          <w:tcPr>
            <w:tcW w:w="1366" w:type="pct"/>
            <w:vAlign w:val="center"/>
          </w:tcPr>
          <w:p w14:paraId="53BDDC8F">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保留年产2000吨泛酸钙饲料添加剂提取生产线；丙氨酸不生产，保留其生产设备</w:t>
            </w:r>
          </w:p>
        </w:tc>
      </w:tr>
      <w:tr w14:paraId="499FC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9" w:type="pct"/>
            <w:vMerge w:val="continue"/>
            <w:vAlign w:val="center"/>
          </w:tcPr>
          <w:p w14:paraId="176E14A3">
            <w:pPr>
              <w:jc w:val="center"/>
              <w:rPr>
                <w:rFonts w:ascii="Times New Roman" w:hAnsi="Times New Roman" w:eastAsia="宋体" w:cs="Times New Roman"/>
                <w:color w:val="auto"/>
                <w:sz w:val="22"/>
                <w:szCs w:val="24"/>
              </w:rPr>
            </w:pPr>
          </w:p>
        </w:tc>
        <w:tc>
          <w:tcPr>
            <w:tcW w:w="1223" w:type="pct"/>
            <w:vAlign w:val="center"/>
          </w:tcPr>
          <w:p w14:paraId="075F1DA9">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提取6车间</w:t>
            </w:r>
          </w:p>
        </w:tc>
        <w:tc>
          <w:tcPr>
            <w:tcW w:w="710" w:type="pct"/>
            <w:vAlign w:val="center"/>
          </w:tcPr>
          <w:p w14:paraId="6CE7D645">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483.75</w:t>
            </w:r>
          </w:p>
        </w:tc>
        <w:tc>
          <w:tcPr>
            <w:tcW w:w="1280" w:type="pct"/>
            <w:vAlign w:val="center"/>
          </w:tcPr>
          <w:p w14:paraId="4EAC295C">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丙氨酸食品添加剂生产线和纯化水设备线</w:t>
            </w:r>
          </w:p>
        </w:tc>
        <w:tc>
          <w:tcPr>
            <w:tcW w:w="1366" w:type="pct"/>
            <w:vAlign w:val="center"/>
          </w:tcPr>
          <w:p w14:paraId="3D188D28">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丙氨酸不生产，丙氨酸生产线改为液糖生产线</w:t>
            </w:r>
          </w:p>
        </w:tc>
      </w:tr>
      <w:tr w14:paraId="4F101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9" w:type="pct"/>
            <w:vMerge w:val="continue"/>
            <w:vAlign w:val="center"/>
          </w:tcPr>
          <w:p w14:paraId="44C6FF0D">
            <w:pPr>
              <w:jc w:val="center"/>
              <w:rPr>
                <w:rFonts w:ascii="Times New Roman" w:hAnsi="Times New Roman" w:eastAsia="宋体" w:cs="Times New Roman"/>
                <w:color w:val="auto"/>
                <w:sz w:val="22"/>
                <w:szCs w:val="24"/>
              </w:rPr>
            </w:pPr>
          </w:p>
        </w:tc>
        <w:tc>
          <w:tcPr>
            <w:tcW w:w="1223" w:type="pct"/>
            <w:vAlign w:val="center"/>
          </w:tcPr>
          <w:p w14:paraId="04424F2E">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烘干车间</w:t>
            </w:r>
          </w:p>
        </w:tc>
        <w:tc>
          <w:tcPr>
            <w:tcW w:w="710" w:type="pct"/>
            <w:vAlign w:val="center"/>
          </w:tcPr>
          <w:p w14:paraId="3580805D">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346.86</w:t>
            </w:r>
          </w:p>
        </w:tc>
        <w:tc>
          <w:tcPr>
            <w:tcW w:w="1280" w:type="pct"/>
            <w:vAlign w:val="center"/>
          </w:tcPr>
          <w:p w14:paraId="1A5FB651">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烘干设备</w:t>
            </w:r>
          </w:p>
        </w:tc>
        <w:tc>
          <w:tcPr>
            <w:tcW w:w="1366" w:type="pct"/>
            <w:vAlign w:val="center"/>
          </w:tcPr>
          <w:p w14:paraId="72009EC3">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肌醇干燥工段依托烘干车间内烘干设备</w:t>
            </w:r>
          </w:p>
        </w:tc>
      </w:tr>
      <w:tr w14:paraId="56A23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9" w:type="pct"/>
            <w:vMerge w:val="continue"/>
            <w:vAlign w:val="center"/>
          </w:tcPr>
          <w:p w14:paraId="455E141D">
            <w:pPr>
              <w:jc w:val="center"/>
              <w:rPr>
                <w:rFonts w:ascii="Times New Roman" w:hAnsi="Times New Roman" w:eastAsia="宋体" w:cs="Times New Roman"/>
                <w:color w:val="auto"/>
                <w:sz w:val="22"/>
                <w:szCs w:val="24"/>
              </w:rPr>
            </w:pPr>
          </w:p>
        </w:tc>
        <w:tc>
          <w:tcPr>
            <w:tcW w:w="1223" w:type="pct"/>
            <w:vAlign w:val="center"/>
          </w:tcPr>
          <w:p w14:paraId="5CC8F845">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包衣车间</w:t>
            </w:r>
          </w:p>
        </w:tc>
        <w:tc>
          <w:tcPr>
            <w:tcW w:w="710" w:type="pct"/>
            <w:vAlign w:val="center"/>
          </w:tcPr>
          <w:p w14:paraId="66646E1D">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346.86</w:t>
            </w:r>
          </w:p>
        </w:tc>
        <w:tc>
          <w:tcPr>
            <w:tcW w:w="1280" w:type="pct"/>
            <w:vAlign w:val="center"/>
          </w:tcPr>
          <w:p w14:paraId="31544E69">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包装设备</w:t>
            </w:r>
          </w:p>
        </w:tc>
        <w:tc>
          <w:tcPr>
            <w:tcW w:w="1366" w:type="pct"/>
            <w:vAlign w:val="center"/>
          </w:tcPr>
          <w:p w14:paraId="21CC71EE">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停产</w:t>
            </w:r>
          </w:p>
        </w:tc>
      </w:tr>
      <w:tr w14:paraId="57717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19" w:type="pct"/>
            <w:vMerge w:val="restart"/>
            <w:vAlign w:val="center"/>
          </w:tcPr>
          <w:p w14:paraId="4F3D379A">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储运</w:t>
            </w:r>
          </w:p>
          <w:p w14:paraId="7A8ADE24">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工程</w:t>
            </w:r>
          </w:p>
        </w:tc>
        <w:tc>
          <w:tcPr>
            <w:tcW w:w="1223" w:type="pct"/>
            <w:vAlign w:val="center"/>
          </w:tcPr>
          <w:p w14:paraId="3C790B0E">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综合仓库</w:t>
            </w:r>
          </w:p>
        </w:tc>
        <w:tc>
          <w:tcPr>
            <w:tcW w:w="710" w:type="pct"/>
            <w:vAlign w:val="center"/>
          </w:tcPr>
          <w:p w14:paraId="0AA9FB38">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1686.19</w:t>
            </w:r>
          </w:p>
        </w:tc>
        <w:tc>
          <w:tcPr>
            <w:tcW w:w="1280" w:type="pct"/>
            <w:vAlign w:val="center"/>
          </w:tcPr>
          <w:p w14:paraId="37CDC366">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储存设备、包装物等</w:t>
            </w:r>
          </w:p>
        </w:tc>
        <w:tc>
          <w:tcPr>
            <w:tcW w:w="1366" w:type="pct"/>
            <w:vAlign w:val="center"/>
          </w:tcPr>
          <w:p w14:paraId="6BCDF65F">
            <w:pPr>
              <w:jc w:val="center"/>
              <w:rPr>
                <w:rFonts w:hint="eastAsia"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w:t>
            </w:r>
          </w:p>
        </w:tc>
      </w:tr>
      <w:tr w14:paraId="503F4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9" w:type="pct"/>
            <w:vMerge w:val="continue"/>
            <w:vAlign w:val="center"/>
          </w:tcPr>
          <w:p w14:paraId="37F961E4">
            <w:pPr>
              <w:jc w:val="center"/>
              <w:rPr>
                <w:rFonts w:ascii="Times New Roman" w:hAnsi="Times New Roman" w:eastAsia="宋体" w:cs="Times New Roman"/>
                <w:color w:val="auto"/>
                <w:sz w:val="22"/>
                <w:szCs w:val="24"/>
              </w:rPr>
            </w:pPr>
          </w:p>
        </w:tc>
        <w:tc>
          <w:tcPr>
            <w:tcW w:w="1223" w:type="pct"/>
            <w:vAlign w:val="center"/>
          </w:tcPr>
          <w:p w14:paraId="752D2B69">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五金仓库</w:t>
            </w:r>
          </w:p>
        </w:tc>
        <w:tc>
          <w:tcPr>
            <w:tcW w:w="710" w:type="pct"/>
            <w:vAlign w:val="center"/>
          </w:tcPr>
          <w:p w14:paraId="60E75533">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143.85</w:t>
            </w:r>
          </w:p>
        </w:tc>
        <w:tc>
          <w:tcPr>
            <w:tcW w:w="1280" w:type="pct"/>
            <w:vAlign w:val="center"/>
          </w:tcPr>
          <w:p w14:paraId="25BC81AF">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储存工具、零配件</w:t>
            </w:r>
          </w:p>
        </w:tc>
        <w:tc>
          <w:tcPr>
            <w:tcW w:w="1366" w:type="pct"/>
            <w:vAlign w:val="center"/>
          </w:tcPr>
          <w:p w14:paraId="4BC7EF97">
            <w:pPr>
              <w:jc w:val="center"/>
              <w:rPr>
                <w:rFonts w:hint="eastAsia"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w:t>
            </w:r>
          </w:p>
        </w:tc>
      </w:tr>
      <w:tr w14:paraId="39DB2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9" w:type="pct"/>
            <w:vMerge w:val="continue"/>
            <w:vAlign w:val="center"/>
          </w:tcPr>
          <w:p w14:paraId="265E054E">
            <w:pPr>
              <w:jc w:val="center"/>
              <w:rPr>
                <w:rFonts w:ascii="Times New Roman" w:hAnsi="Times New Roman" w:eastAsia="宋体" w:cs="Times New Roman"/>
                <w:color w:val="auto"/>
                <w:sz w:val="22"/>
                <w:szCs w:val="24"/>
              </w:rPr>
            </w:pPr>
          </w:p>
        </w:tc>
        <w:tc>
          <w:tcPr>
            <w:tcW w:w="1223" w:type="pct"/>
            <w:vAlign w:val="center"/>
          </w:tcPr>
          <w:p w14:paraId="7FFE4B70">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原料仓库</w:t>
            </w:r>
          </w:p>
        </w:tc>
        <w:tc>
          <w:tcPr>
            <w:tcW w:w="710" w:type="pct"/>
            <w:vAlign w:val="center"/>
          </w:tcPr>
          <w:p w14:paraId="59A0FA2D">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547.96</w:t>
            </w:r>
          </w:p>
        </w:tc>
        <w:tc>
          <w:tcPr>
            <w:tcW w:w="1280" w:type="pct"/>
            <w:vAlign w:val="center"/>
          </w:tcPr>
          <w:p w14:paraId="0FAA7F2B">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储存原料</w:t>
            </w:r>
          </w:p>
        </w:tc>
        <w:tc>
          <w:tcPr>
            <w:tcW w:w="1366" w:type="pct"/>
            <w:vAlign w:val="center"/>
          </w:tcPr>
          <w:p w14:paraId="1ADD60E7">
            <w:pPr>
              <w:jc w:val="center"/>
              <w:rPr>
                <w:rFonts w:hint="eastAsia"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w:t>
            </w:r>
          </w:p>
        </w:tc>
      </w:tr>
      <w:tr w14:paraId="1FD85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9" w:type="pct"/>
            <w:vMerge w:val="continue"/>
            <w:vAlign w:val="center"/>
          </w:tcPr>
          <w:p w14:paraId="287E8750">
            <w:pPr>
              <w:jc w:val="center"/>
              <w:rPr>
                <w:rFonts w:ascii="Times New Roman" w:hAnsi="Times New Roman" w:eastAsia="宋体" w:cs="Times New Roman"/>
                <w:color w:val="auto"/>
                <w:sz w:val="22"/>
                <w:szCs w:val="24"/>
              </w:rPr>
            </w:pPr>
          </w:p>
        </w:tc>
        <w:tc>
          <w:tcPr>
            <w:tcW w:w="1223" w:type="pct"/>
            <w:vAlign w:val="center"/>
          </w:tcPr>
          <w:p w14:paraId="1919DF35">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成品仓库</w:t>
            </w:r>
          </w:p>
        </w:tc>
        <w:tc>
          <w:tcPr>
            <w:tcW w:w="710" w:type="pct"/>
            <w:vAlign w:val="center"/>
          </w:tcPr>
          <w:p w14:paraId="1094B140">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422.3</w:t>
            </w:r>
          </w:p>
        </w:tc>
        <w:tc>
          <w:tcPr>
            <w:tcW w:w="1280" w:type="pct"/>
            <w:vAlign w:val="center"/>
          </w:tcPr>
          <w:p w14:paraId="1AD4D5D1">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储存成品</w:t>
            </w:r>
          </w:p>
        </w:tc>
        <w:tc>
          <w:tcPr>
            <w:tcW w:w="1366" w:type="pct"/>
            <w:vAlign w:val="center"/>
          </w:tcPr>
          <w:p w14:paraId="721B6400">
            <w:pPr>
              <w:jc w:val="center"/>
              <w:rPr>
                <w:rFonts w:hint="eastAsia"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w:t>
            </w:r>
          </w:p>
        </w:tc>
      </w:tr>
      <w:tr w14:paraId="4D08D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9" w:type="pct"/>
            <w:vMerge w:val="continue"/>
            <w:vAlign w:val="center"/>
          </w:tcPr>
          <w:p w14:paraId="48FDC265">
            <w:pPr>
              <w:jc w:val="center"/>
              <w:rPr>
                <w:rFonts w:ascii="Times New Roman" w:hAnsi="Times New Roman" w:eastAsia="宋体" w:cs="Times New Roman"/>
                <w:color w:val="auto"/>
                <w:sz w:val="22"/>
                <w:szCs w:val="24"/>
              </w:rPr>
            </w:pPr>
          </w:p>
        </w:tc>
        <w:tc>
          <w:tcPr>
            <w:tcW w:w="1223" w:type="pct"/>
            <w:vAlign w:val="center"/>
          </w:tcPr>
          <w:p w14:paraId="4A176CDD">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罐区</w:t>
            </w:r>
          </w:p>
        </w:tc>
        <w:tc>
          <w:tcPr>
            <w:tcW w:w="710" w:type="pct"/>
            <w:vAlign w:val="center"/>
          </w:tcPr>
          <w:p w14:paraId="7FB841C2">
            <w:pPr>
              <w:jc w:val="center"/>
              <w:rPr>
                <w:rFonts w:hint="eastAsia"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w:t>
            </w:r>
          </w:p>
        </w:tc>
        <w:tc>
          <w:tcPr>
            <w:tcW w:w="1280" w:type="pct"/>
            <w:vAlign w:val="center"/>
          </w:tcPr>
          <w:p w14:paraId="05E0621A">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1个40m</w:t>
            </w:r>
            <w:r>
              <w:rPr>
                <w:rFonts w:hint="eastAsia" w:ascii="Times New Roman" w:hAnsi="Times New Roman" w:eastAsia="宋体" w:cs="Times New Roman"/>
                <w:color w:val="auto"/>
                <w:sz w:val="22"/>
                <w:szCs w:val="24"/>
                <w:vertAlign w:val="superscript"/>
                <w:lang w:val="en-US" w:eastAsia="zh-CN"/>
              </w:rPr>
              <w:t>3</w:t>
            </w:r>
            <w:r>
              <w:rPr>
                <w:rFonts w:hint="eastAsia" w:ascii="Times New Roman" w:hAnsi="Times New Roman" w:eastAsia="宋体" w:cs="Times New Roman"/>
                <w:color w:val="auto"/>
                <w:sz w:val="22"/>
                <w:szCs w:val="24"/>
                <w:lang w:val="en-US" w:eastAsia="zh-CN"/>
              </w:rPr>
              <w:t>的氢氧化钠储罐，1个40m</w:t>
            </w:r>
            <w:r>
              <w:rPr>
                <w:rFonts w:hint="eastAsia" w:ascii="Times New Roman" w:hAnsi="Times New Roman" w:eastAsia="宋体" w:cs="Times New Roman"/>
                <w:color w:val="auto"/>
                <w:sz w:val="22"/>
                <w:szCs w:val="24"/>
                <w:vertAlign w:val="superscript"/>
                <w:lang w:val="en-US" w:eastAsia="zh-CN"/>
              </w:rPr>
              <w:t>3</w:t>
            </w:r>
            <w:r>
              <w:rPr>
                <w:rFonts w:hint="eastAsia" w:ascii="Times New Roman" w:hAnsi="Times New Roman" w:eastAsia="宋体" w:cs="Times New Roman"/>
                <w:color w:val="auto"/>
                <w:sz w:val="22"/>
                <w:szCs w:val="24"/>
                <w:lang w:val="en-US" w:eastAsia="zh-CN"/>
              </w:rPr>
              <w:t>的盐酸储罐，2个40m</w:t>
            </w:r>
            <w:r>
              <w:rPr>
                <w:rFonts w:hint="eastAsia" w:ascii="Times New Roman" w:hAnsi="Times New Roman" w:eastAsia="宋体" w:cs="Times New Roman"/>
                <w:color w:val="auto"/>
                <w:sz w:val="22"/>
                <w:szCs w:val="24"/>
                <w:vertAlign w:val="superscript"/>
                <w:lang w:val="en-US" w:eastAsia="zh-CN"/>
              </w:rPr>
              <w:t>3</w:t>
            </w:r>
            <w:r>
              <w:rPr>
                <w:rFonts w:hint="eastAsia" w:ascii="Times New Roman" w:hAnsi="Times New Roman" w:eastAsia="宋体" w:cs="Times New Roman"/>
                <w:color w:val="auto"/>
                <w:sz w:val="22"/>
                <w:szCs w:val="24"/>
                <w:lang w:val="en-US" w:eastAsia="zh-CN"/>
              </w:rPr>
              <w:t>氨水储罐</w:t>
            </w:r>
          </w:p>
        </w:tc>
        <w:tc>
          <w:tcPr>
            <w:tcW w:w="1366" w:type="pct"/>
            <w:vAlign w:val="center"/>
          </w:tcPr>
          <w:p w14:paraId="0C204522">
            <w:pPr>
              <w:jc w:val="center"/>
              <w:rPr>
                <w:rFonts w:hint="eastAsia"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w:t>
            </w:r>
          </w:p>
        </w:tc>
      </w:tr>
      <w:tr w14:paraId="7233B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9" w:type="pct"/>
            <w:vMerge w:val="restart"/>
            <w:vAlign w:val="center"/>
          </w:tcPr>
          <w:p w14:paraId="08F066C1">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公用工程</w:t>
            </w:r>
          </w:p>
        </w:tc>
        <w:tc>
          <w:tcPr>
            <w:tcW w:w="1223" w:type="pct"/>
            <w:vAlign w:val="center"/>
          </w:tcPr>
          <w:p w14:paraId="2ADD7A3C">
            <w:pPr>
              <w:jc w:val="center"/>
              <w:rPr>
                <w:rFonts w:hint="eastAsia"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办公楼</w:t>
            </w:r>
          </w:p>
        </w:tc>
        <w:tc>
          <w:tcPr>
            <w:tcW w:w="3357" w:type="pct"/>
            <w:gridSpan w:val="3"/>
            <w:vAlign w:val="center"/>
          </w:tcPr>
          <w:p w14:paraId="723157C0">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3层，建筑面积1195.08m</w:t>
            </w:r>
            <w:r>
              <w:rPr>
                <w:rFonts w:hint="eastAsia" w:ascii="Times New Roman" w:hAnsi="Times New Roman" w:eastAsia="宋体" w:cs="Times New Roman"/>
                <w:color w:val="auto"/>
                <w:sz w:val="22"/>
                <w:szCs w:val="24"/>
                <w:vertAlign w:val="superscript"/>
                <w:lang w:val="en-US" w:eastAsia="zh-CN"/>
              </w:rPr>
              <w:t>2</w:t>
            </w:r>
          </w:p>
        </w:tc>
      </w:tr>
      <w:tr w14:paraId="78E12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9" w:type="pct"/>
            <w:vMerge w:val="continue"/>
            <w:vAlign w:val="center"/>
          </w:tcPr>
          <w:p w14:paraId="40E53B06">
            <w:pPr>
              <w:jc w:val="center"/>
              <w:rPr>
                <w:rFonts w:hint="eastAsia" w:ascii="Times New Roman" w:hAnsi="Times New Roman" w:eastAsia="宋体" w:cs="Times New Roman"/>
                <w:color w:val="auto"/>
                <w:sz w:val="22"/>
                <w:szCs w:val="24"/>
              </w:rPr>
            </w:pPr>
          </w:p>
        </w:tc>
        <w:tc>
          <w:tcPr>
            <w:tcW w:w="1223" w:type="pct"/>
            <w:vAlign w:val="center"/>
          </w:tcPr>
          <w:p w14:paraId="1B39671C">
            <w:pPr>
              <w:jc w:val="center"/>
              <w:rPr>
                <w:rFonts w:hint="eastAsia"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宿舍楼</w:t>
            </w:r>
          </w:p>
        </w:tc>
        <w:tc>
          <w:tcPr>
            <w:tcW w:w="3357" w:type="pct"/>
            <w:gridSpan w:val="3"/>
            <w:vAlign w:val="center"/>
          </w:tcPr>
          <w:p w14:paraId="28DF09DC">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3层，建筑面积1022.73m</w:t>
            </w:r>
            <w:r>
              <w:rPr>
                <w:rFonts w:hint="eastAsia" w:ascii="Times New Roman" w:hAnsi="Times New Roman" w:eastAsia="宋体" w:cs="Times New Roman"/>
                <w:color w:val="auto"/>
                <w:sz w:val="22"/>
                <w:szCs w:val="24"/>
                <w:vertAlign w:val="superscript"/>
                <w:lang w:val="en-US" w:eastAsia="zh-CN"/>
              </w:rPr>
              <w:t>2</w:t>
            </w:r>
          </w:p>
        </w:tc>
      </w:tr>
      <w:tr w14:paraId="3AE50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9" w:type="pct"/>
            <w:vMerge w:val="continue"/>
            <w:vAlign w:val="center"/>
          </w:tcPr>
          <w:p w14:paraId="30F22ADA">
            <w:pPr>
              <w:jc w:val="center"/>
              <w:rPr>
                <w:rFonts w:hint="eastAsia" w:ascii="Times New Roman" w:hAnsi="Times New Roman" w:eastAsia="宋体" w:cs="Times New Roman"/>
                <w:color w:val="auto"/>
                <w:sz w:val="22"/>
                <w:szCs w:val="24"/>
              </w:rPr>
            </w:pPr>
          </w:p>
        </w:tc>
        <w:tc>
          <w:tcPr>
            <w:tcW w:w="1223" w:type="pct"/>
            <w:vAlign w:val="center"/>
          </w:tcPr>
          <w:p w14:paraId="4CCB5B41">
            <w:pPr>
              <w:jc w:val="center"/>
              <w:rPr>
                <w:rFonts w:hint="eastAsia"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配电房</w:t>
            </w:r>
          </w:p>
        </w:tc>
        <w:tc>
          <w:tcPr>
            <w:tcW w:w="3357" w:type="pct"/>
            <w:gridSpan w:val="3"/>
            <w:vAlign w:val="center"/>
          </w:tcPr>
          <w:p w14:paraId="049657CD">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1层，建筑面积866.45m</w:t>
            </w:r>
            <w:r>
              <w:rPr>
                <w:rFonts w:hint="eastAsia" w:ascii="Times New Roman" w:hAnsi="Times New Roman" w:eastAsia="宋体" w:cs="Times New Roman"/>
                <w:color w:val="auto"/>
                <w:sz w:val="22"/>
                <w:szCs w:val="24"/>
                <w:vertAlign w:val="superscript"/>
                <w:lang w:val="en-US" w:eastAsia="zh-CN"/>
              </w:rPr>
              <w:t>2</w:t>
            </w:r>
          </w:p>
        </w:tc>
      </w:tr>
      <w:tr w14:paraId="79848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9" w:type="pct"/>
            <w:vMerge w:val="continue"/>
            <w:vAlign w:val="center"/>
          </w:tcPr>
          <w:p w14:paraId="489C52E6">
            <w:pPr>
              <w:jc w:val="center"/>
              <w:rPr>
                <w:rFonts w:ascii="Times New Roman" w:hAnsi="Times New Roman" w:eastAsia="宋体" w:cs="Times New Roman"/>
                <w:color w:val="auto"/>
                <w:sz w:val="22"/>
                <w:szCs w:val="24"/>
              </w:rPr>
            </w:pPr>
          </w:p>
        </w:tc>
        <w:tc>
          <w:tcPr>
            <w:tcW w:w="1223" w:type="pct"/>
            <w:vAlign w:val="center"/>
          </w:tcPr>
          <w:p w14:paraId="30251793">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给水</w:t>
            </w:r>
          </w:p>
        </w:tc>
        <w:tc>
          <w:tcPr>
            <w:tcW w:w="3357" w:type="pct"/>
            <w:gridSpan w:val="3"/>
            <w:vAlign w:val="center"/>
          </w:tcPr>
          <w:p w14:paraId="1A0629F6">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由市政管网提供</w:t>
            </w:r>
          </w:p>
        </w:tc>
      </w:tr>
      <w:tr w14:paraId="2654C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9" w:type="pct"/>
            <w:vMerge w:val="continue"/>
            <w:vAlign w:val="center"/>
          </w:tcPr>
          <w:p w14:paraId="6C58B23B">
            <w:pPr>
              <w:jc w:val="center"/>
              <w:rPr>
                <w:rFonts w:ascii="Times New Roman" w:hAnsi="Times New Roman" w:eastAsia="宋体" w:cs="Times New Roman"/>
                <w:color w:val="auto"/>
                <w:sz w:val="22"/>
                <w:szCs w:val="24"/>
              </w:rPr>
            </w:pPr>
          </w:p>
        </w:tc>
        <w:tc>
          <w:tcPr>
            <w:tcW w:w="1223" w:type="pct"/>
            <w:vAlign w:val="center"/>
          </w:tcPr>
          <w:p w14:paraId="21BA676A">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排水</w:t>
            </w:r>
          </w:p>
        </w:tc>
        <w:tc>
          <w:tcPr>
            <w:tcW w:w="3357" w:type="pct"/>
            <w:gridSpan w:val="3"/>
            <w:vAlign w:val="center"/>
          </w:tcPr>
          <w:p w14:paraId="071E093B">
            <w:pPr>
              <w:jc w:val="center"/>
              <w:rPr>
                <w:rFonts w:hint="default" w:ascii="Times New Roman" w:hAnsi="Times New Roman" w:eastAsia="宋体" w:cs="Times New Roman"/>
                <w:color w:val="auto"/>
                <w:sz w:val="22"/>
                <w:szCs w:val="24"/>
                <w:lang w:val="en-US" w:eastAsia="zh-CN"/>
              </w:rPr>
            </w:pPr>
            <w:r>
              <w:rPr>
                <w:rFonts w:ascii="Times New Roman" w:hAnsi="Times New Roman" w:eastAsia="宋体" w:cs="Times New Roman"/>
                <w:color w:val="auto"/>
                <w:sz w:val="22"/>
                <w:szCs w:val="24"/>
              </w:rPr>
              <w:t>采用</w:t>
            </w:r>
            <w:r>
              <w:rPr>
                <w:rFonts w:hint="eastAsia" w:ascii="Times New Roman" w:hAnsi="Times New Roman" w:eastAsia="宋体" w:cs="Times New Roman"/>
                <w:color w:val="auto"/>
                <w:sz w:val="22"/>
                <w:szCs w:val="24"/>
                <w:lang w:val="en-US" w:eastAsia="zh-CN"/>
              </w:rPr>
              <w:t>雨</w:t>
            </w:r>
            <w:r>
              <w:rPr>
                <w:rFonts w:ascii="Times New Roman" w:hAnsi="Times New Roman" w:eastAsia="宋体" w:cs="Times New Roman"/>
                <w:color w:val="auto"/>
                <w:sz w:val="22"/>
                <w:szCs w:val="24"/>
              </w:rPr>
              <w:t>污分流排放体制，雨水、</w:t>
            </w:r>
            <w:r>
              <w:rPr>
                <w:rFonts w:hint="eastAsia" w:ascii="Times New Roman" w:hAnsi="Times New Roman" w:eastAsia="宋体" w:cs="Times New Roman"/>
                <w:color w:val="auto"/>
                <w:sz w:val="22"/>
                <w:szCs w:val="24"/>
              </w:rPr>
              <w:t>废水</w:t>
            </w:r>
            <w:r>
              <w:rPr>
                <w:rFonts w:ascii="Times New Roman" w:hAnsi="Times New Roman" w:eastAsia="宋体" w:cs="Times New Roman"/>
                <w:color w:val="auto"/>
                <w:sz w:val="22"/>
                <w:szCs w:val="24"/>
              </w:rPr>
              <w:t>分别排放。</w:t>
            </w:r>
            <w:r>
              <w:rPr>
                <w:rFonts w:hint="eastAsia" w:ascii="Times New Roman" w:hAnsi="Times New Roman" w:eastAsia="宋体" w:cs="Times New Roman"/>
                <w:color w:val="auto"/>
                <w:sz w:val="22"/>
                <w:szCs w:val="24"/>
                <w:lang w:val="en-US" w:eastAsia="zh-CN"/>
              </w:rPr>
              <w:t>生产</w:t>
            </w:r>
            <w:r>
              <w:rPr>
                <w:rFonts w:ascii="Times New Roman" w:hAnsi="Times New Roman" w:eastAsia="宋体" w:cs="Times New Roman"/>
                <w:color w:val="auto"/>
                <w:sz w:val="22"/>
                <w:szCs w:val="24"/>
              </w:rPr>
              <w:t>废水</w:t>
            </w:r>
            <w:r>
              <w:rPr>
                <w:rFonts w:hint="eastAsia" w:ascii="Times New Roman" w:hAnsi="Times New Roman" w:eastAsia="宋体" w:cs="Times New Roman"/>
                <w:color w:val="auto"/>
                <w:sz w:val="22"/>
                <w:szCs w:val="24"/>
                <w:lang w:val="en-US" w:eastAsia="zh-CN"/>
              </w:rPr>
              <w:t>和经化粪池预处理的生活废水</w:t>
            </w:r>
            <w:r>
              <w:rPr>
                <w:rFonts w:hint="eastAsia" w:ascii="Times New Roman" w:hAnsi="Times New Roman" w:eastAsia="宋体" w:cs="Times New Roman"/>
                <w:color w:val="auto"/>
                <w:sz w:val="22"/>
                <w:szCs w:val="24"/>
              </w:rPr>
              <w:t>经厂区废水站</w:t>
            </w:r>
            <w:r>
              <w:rPr>
                <w:rFonts w:ascii="Times New Roman" w:hAnsi="Times New Roman" w:eastAsia="宋体" w:cs="Times New Roman"/>
                <w:color w:val="auto"/>
                <w:sz w:val="22"/>
                <w:szCs w:val="24"/>
              </w:rPr>
              <w:t>处理后</w:t>
            </w:r>
            <w:r>
              <w:rPr>
                <w:rFonts w:hint="eastAsia" w:ascii="Times New Roman" w:hAnsi="Times New Roman" w:eastAsia="宋体" w:cs="Times New Roman"/>
                <w:color w:val="auto"/>
                <w:sz w:val="22"/>
                <w:szCs w:val="24"/>
              </w:rPr>
              <w:t>排入津市高新区工业污水处理厂，后期雨水排入</w:t>
            </w:r>
            <w:r>
              <w:rPr>
                <w:rFonts w:hint="eastAsia" w:ascii="Times New Roman" w:hAnsi="Times New Roman" w:eastAsia="宋体" w:cs="Times New Roman"/>
                <w:color w:val="auto"/>
                <w:sz w:val="22"/>
                <w:szCs w:val="24"/>
                <w:lang w:val="en-US" w:eastAsia="zh-CN"/>
              </w:rPr>
              <w:t>区域雨水管网</w:t>
            </w:r>
          </w:p>
        </w:tc>
      </w:tr>
      <w:tr w14:paraId="4014A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9" w:type="pct"/>
            <w:vMerge w:val="continue"/>
            <w:vAlign w:val="center"/>
          </w:tcPr>
          <w:p w14:paraId="1D62DEB5">
            <w:pPr>
              <w:jc w:val="center"/>
              <w:rPr>
                <w:rFonts w:ascii="Times New Roman" w:hAnsi="Times New Roman" w:eastAsia="宋体" w:cs="Times New Roman"/>
                <w:color w:val="auto"/>
                <w:sz w:val="22"/>
                <w:szCs w:val="24"/>
              </w:rPr>
            </w:pPr>
          </w:p>
        </w:tc>
        <w:tc>
          <w:tcPr>
            <w:tcW w:w="1223" w:type="pct"/>
            <w:vAlign w:val="center"/>
          </w:tcPr>
          <w:p w14:paraId="750696D3">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供电</w:t>
            </w:r>
          </w:p>
        </w:tc>
        <w:tc>
          <w:tcPr>
            <w:tcW w:w="3357" w:type="pct"/>
            <w:gridSpan w:val="3"/>
            <w:vAlign w:val="center"/>
          </w:tcPr>
          <w:p w14:paraId="18D50B06">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项目电源由区域电网供电</w:t>
            </w:r>
          </w:p>
        </w:tc>
      </w:tr>
      <w:tr w14:paraId="06638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9" w:type="pct"/>
            <w:vMerge w:val="continue"/>
            <w:vAlign w:val="center"/>
          </w:tcPr>
          <w:p w14:paraId="0B3DD1AC">
            <w:pPr>
              <w:jc w:val="center"/>
              <w:rPr>
                <w:rFonts w:ascii="Times New Roman" w:hAnsi="Times New Roman" w:eastAsia="宋体" w:cs="Times New Roman"/>
                <w:color w:val="auto"/>
                <w:sz w:val="22"/>
                <w:szCs w:val="24"/>
              </w:rPr>
            </w:pPr>
          </w:p>
        </w:tc>
        <w:tc>
          <w:tcPr>
            <w:tcW w:w="1223" w:type="pct"/>
            <w:vAlign w:val="center"/>
          </w:tcPr>
          <w:p w14:paraId="5DA16D07">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供热</w:t>
            </w:r>
          </w:p>
        </w:tc>
        <w:tc>
          <w:tcPr>
            <w:tcW w:w="3357" w:type="pct"/>
            <w:gridSpan w:val="3"/>
            <w:vAlign w:val="center"/>
          </w:tcPr>
          <w:p w14:paraId="14E09291">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企业生产所需热量由常德津市宁能热电有限公司供热锅炉供给</w:t>
            </w:r>
          </w:p>
        </w:tc>
      </w:tr>
      <w:tr w14:paraId="50C31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9" w:type="pct"/>
            <w:vMerge w:val="continue"/>
            <w:vAlign w:val="center"/>
          </w:tcPr>
          <w:p w14:paraId="77E94081">
            <w:pPr>
              <w:jc w:val="center"/>
              <w:rPr>
                <w:rFonts w:ascii="Times New Roman" w:hAnsi="Times New Roman" w:eastAsia="宋体" w:cs="Times New Roman"/>
                <w:color w:val="auto"/>
                <w:sz w:val="22"/>
                <w:szCs w:val="24"/>
              </w:rPr>
            </w:pPr>
          </w:p>
        </w:tc>
        <w:tc>
          <w:tcPr>
            <w:tcW w:w="1223" w:type="pct"/>
            <w:vAlign w:val="center"/>
          </w:tcPr>
          <w:p w14:paraId="4A5C8A93">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循环水系统</w:t>
            </w:r>
          </w:p>
        </w:tc>
        <w:tc>
          <w:tcPr>
            <w:tcW w:w="3357" w:type="pct"/>
            <w:gridSpan w:val="3"/>
            <w:vAlign w:val="center"/>
          </w:tcPr>
          <w:p w14:paraId="5B3D1107">
            <w:pPr>
              <w:jc w:val="center"/>
              <w:rPr>
                <w:rFonts w:hint="default" w:ascii="Times New Roman" w:hAnsi="Times New Roman" w:eastAsia="宋体" w:cs="Times New Roman"/>
                <w:color w:val="auto"/>
                <w:sz w:val="22"/>
                <w:szCs w:val="24"/>
                <w:vertAlign w:val="baseline"/>
                <w:lang w:val="en-US" w:eastAsia="zh-CN"/>
              </w:rPr>
            </w:pPr>
            <w:r>
              <w:rPr>
                <w:rFonts w:hint="eastAsia" w:ascii="Times New Roman" w:hAnsi="Times New Roman" w:eastAsia="宋体" w:cs="Times New Roman"/>
                <w:color w:val="auto"/>
                <w:sz w:val="22"/>
                <w:szCs w:val="24"/>
                <w:highlight w:val="none"/>
                <w:lang w:val="en-US" w:eastAsia="zh-CN"/>
              </w:rPr>
              <w:t>发酵循环水池1522.8m</w:t>
            </w:r>
            <w:r>
              <w:rPr>
                <w:rFonts w:hint="eastAsia" w:ascii="Times New Roman" w:hAnsi="Times New Roman" w:eastAsia="宋体" w:cs="Times New Roman"/>
                <w:color w:val="auto"/>
                <w:sz w:val="22"/>
                <w:szCs w:val="24"/>
                <w:highlight w:val="none"/>
                <w:vertAlign w:val="superscript"/>
                <w:lang w:val="en-US" w:eastAsia="zh-CN"/>
              </w:rPr>
              <w:t>3</w:t>
            </w:r>
            <w:r>
              <w:rPr>
                <w:rFonts w:hint="eastAsia" w:ascii="Times New Roman" w:hAnsi="Times New Roman" w:eastAsia="宋体" w:cs="Times New Roman"/>
                <w:color w:val="auto"/>
                <w:sz w:val="22"/>
                <w:szCs w:val="24"/>
                <w:highlight w:val="none"/>
                <w:vertAlign w:val="baseline"/>
                <w:lang w:val="en-US" w:eastAsia="zh-CN"/>
              </w:rPr>
              <w:t>，提取</w:t>
            </w:r>
            <w:r>
              <w:rPr>
                <w:rFonts w:hint="eastAsia" w:ascii="Times New Roman" w:hAnsi="Times New Roman" w:eastAsia="宋体" w:cs="Times New Roman"/>
                <w:color w:val="auto"/>
                <w:sz w:val="22"/>
                <w:szCs w:val="24"/>
                <w:highlight w:val="none"/>
                <w:lang w:val="en-US" w:eastAsia="zh-CN"/>
              </w:rPr>
              <w:t>循环水池1200m</w:t>
            </w:r>
            <w:r>
              <w:rPr>
                <w:rFonts w:hint="eastAsia" w:ascii="Times New Roman" w:hAnsi="Times New Roman" w:eastAsia="宋体" w:cs="Times New Roman"/>
                <w:color w:val="auto"/>
                <w:sz w:val="22"/>
                <w:szCs w:val="24"/>
                <w:highlight w:val="none"/>
                <w:vertAlign w:val="superscript"/>
                <w:lang w:val="en-US" w:eastAsia="zh-CN"/>
              </w:rPr>
              <w:t>3</w:t>
            </w:r>
            <w:r>
              <w:rPr>
                <w:rFonts w:hint="eastAsia" w:ascii="Times New Roman" w:hAnsi="Times New Roman" w:eastAsia="宋体" w:cs="Times New Roman"/>
                <w:color w:val="auto"/>
                <w:sz w:val="22"/>
                <w:szCs w:val="24"/>
                <w:highlight w:val="none"/>
                <w:vertAlign w:val="baseline"/>
                <w:lang w:val="en-US" w:eastAsia="zh-CN"/>
              </w:rPr>
              <w:t>，热水循环水池</w:t>
            </w:r>
            <w:r>
              <w:rPr>
                <w:rFonts w:hint="eastAsia" w:ascii="Times New Roman" w:hAnsi="Times New Roman" w:eastAsia="宋体" w:cs="Times New Roman"/>
                <w:color w:val="auto"/>
                <w:sz w:val="22"/>
                <w:szCs w:val="24"/>
                <w:highlight w:val="none"/>
                <w:lang w:val="en-US" w:eastAsia="zh-CN"/>
              </w:rPr>
              <w:t>1200m</w:t>
            </w:r>
            <w:r>
              <w:rPr>
                <w:rFonts w:hint="eastAsia" w:ascii="Times New Roman" w:hAnsi="Times New Roman" w:eastAsia="宋体" w:cs="Times New Roman"/>
                <w:color w:val="auto"/>
                <w:sz w:val="22"/>
                <w:szCs w:val="24"/>
                <w:highlight w:val="none"/>
                <w:vertAlign w:val="superscript"/>
                <w:lang w:val="en-US" w:eastAsia="zh-CN"/>
              </w:rPr>
              <w:t>3</w:t>
            </w:r>
          </w:p>
        </w:tc>
      </w:tr>
      <w:tr w14:paraId="358AD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9" w:type="pct"/>
            <w:vMerge w:val="restart"/>
            <w:vAlign w:val="center"/>
          </w:tcPr>
          <w:p w14:paraId="67FEFA6F">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环保工程</w:t>
            </w:r>
          </w:p>
        </w:tc>
        <w:tc>
          <w:tcPr>
            <w:tcW w:w="1223" w:type="pct"/>
            <w:vAlign w:val="center"/>
          </w:tcPr>
          <w:p w14:paraId="3BDA611F">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废气处理设施</w:t>
            </w:r>
          </w:p>
        </w:tc>
        <w:tc>
          <w:tcPr>
            <w:tcW w:w="3357" w:type="pct"/>
            <w:gridSpan w:val="3"/>
            <w:vAlign w:val="center"/>
          </w:tcPr>
          <w:p w14:paraId="1EDD9431">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厂区分别在发酵 1 车间、发酵 2 车间、提取车间设置独立的碱喷淋废气处理系统：工艺废气经车间外的碱喷淋塔预处理后，进入厂区统一设置的一套生物喷淋除臭系统处理；污水处理站及危废间恶臭经另一套碱</w:t>
            </w:r>
            <w:r>
              <w:rPr>
                <w:rFonts w:hint="eastAsia" w:ascii="Times New Roman" w:hAnsi="Times New Roman" w:eastAsia="宋体" w:cs="Times New Roman"/>
                <w:color w:val="auto"/>
                <w:sz w:val="22"/>
                <w:szCs w:val="24"/>
                <w:lang w:val="en-US" w:eastAsia="zh-CN"/>
              </w:rPr>
              <w:t>喷淋</w:t>
            </w:r>
            <w:r>
              <w:rPr>
                <w:rFonts w:hint="eastAsia" w:ascii="Times New Roman" w:hAnsi="Times New Roman" w:eastAsia="宋体" w:cs="Times New Roman"/>
                <w:color w:val="auto"/>
                <w:sz w:val="22"/>
                <w:szCs w:val="24"/>
              </w:rPr>
              <w:t>+生物混合喷淋系统处理。</w:t>
            </w:r>
          </w:p>
        </w:tc>
      </w:tr>
      <w:tr w14:paraId="06E7E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9" w:type="pct"/>
            <w:vMerge w:val="continue"/>
            <w:vAlign w:val="center"/>
          </w:tcPr>
          <w:p w14:paraId="1AB8376F">
            <w:pPr>
              <w:jc w:val="center"/>
              <w:rPr>
                <w:rFonts w:ascii="Times New Roman" w:hAnsi="Times New Roman" w:eastAsia="宋体" w:cs="Times New Roman"/>
                <w:color w:val="auto"/>
                <w:sz w:val="22"/>
                <w:szCs w:val="24"/>
              </w:rPr>
            </w:pPr>
          </w:p>
        </w:tc>
        <w:tc>
          <w:tcPr>
            <w:tcW w:w="1223" w:type="pct"/>
            <w:vAlign w:val="center"/>
          </w:tcPr>
          <w:p w14:paraId="2833573F">
            <w:pPr>
              <w:jc w:val="center"/>
              <w:rPr>
                <w:rFonts w:hint="eastAsia"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废水</w:t>
            </w:r>
          </w:p>
        </w:tc>
        <w:tc>
          <w:tcPr>
            <w:tcW w:w="3357" w:type="pct"/>
            <w:gridSpan w:val="3"/>
            <w:vAlign w:val="center"/>
          </w:tcPr>
          <w:p w14:paraId="1E60E96E">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lang w:val="en-US" w:eastAsia="zh-CN"/>
              </w:rPr>
              <w:t>生活废水经化粪池预处理后进入厂区污水处理系统，生产废水进入厂区污水处理系统处理后通过专管排入津市工业污水处理厂</w:t>
            </w:r>
          </w:p>
        </w:tc>
      </w:tr>
      <w:tr w14:paraId="6CAFC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9" w:type="pct"/>
            <w:vMerge w:val="continue"/>
            <w:vAlign w:val="center"/>
          </w:tcPr>
          <w:p w14:paraId="1BF7C01E">
            <w:pPr>
              <w:jc w:val="center"/>
              <w:rPr>
                <w:rFonts w:ascii="Times New Roman" w:hAnsi="Times New Roman" w:eastAsia="宋体" w:cs="Times New Roman"/>
                <w:color w:val="auto"/>
                <w:sz w:val="22"/>
                <w:szCs w:val="24"/>
              </w:rPr>
            </w:pPr>
          </w:p>
        </w:tc>
        <w:tc>
          <w:tcPr>
            <w:tcW w:w="1223" w:type="pct"/>
            <w:vAlign w:val="center"/>
          </w:tcPr>
          <w:p w14:paraId="0A91F17B">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雨水收集池</w:t>
            </w:r>
          </w:p>
        </w:tc>
        <w:tc>
          <w:tcPr>
            <w:tcW w:w="3357" w:type="pct"/>
            <w:gridSpan w:val="3"/>
            <w:vAlign w:val="center"/>
          </w:tcPr>
          <w:p w14:paraId="1BE9A01A">
            <w:pPr>
              <w:jc w:val="center"/>
              <w:rPr>
                <w:rFonts w:hint="default" w:ascii="Times New Roman" w:hAnsi="Times New Roman" w:eastAsia="宋体" w:cs="Times New Roman"/>
                <w:color w:val="auto"/>
                <w:sz w:val="22"/>
                <w:szCs w:val="24"/>
                <w:vertAlign w:val="baseline"/>
                <w:lang w:val="en-US" w:eastAsia="zh-CN"/>
              </w:rPr>
            </w:pPr>
            <w:r>
              <w:rPr>
                <w:rFonts w:hint="eastAsia" w:ascii="Times New Roman" w:hAnsi="Times New Roman" w:eastAsia="宋体" w:cs="Times New Roman"/>
                <w:color w:val="auto"/>
                <w:sz w:val="22"/>
                <w:szCs w:val="24"/>
                <w:lang w:val="en-US" w:eastAsia="zh-CN"/>
              </w:rPr>
              <w:t>300m</w:t>
            </w:r>
            <w:r>
              <w:rPr>
                <w:rFonts w:hint="eastAsia" w:ascii="Times New Roman" w:hAnsi="Times New Roman" w:eastAsia="宋体" w:cs="Times New Roman"/>
                <w:color w:val="auto"/>
                <w:sz w:val="22"/>
                <w:szCs w:val="24"/>
                <w:vertAlign w:val="superscript"/>
                <w:lang w:val="en-US" w:eastAsia="zh-CN"/>
              </w:rPr>
              <w:t>3</w:t>
            </w:r>
          </w:p>
        </w:tc>
      </w:tr>
      <w:tr w14:paraId="1382E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9" w:type="pct"/>
            <w:vMerge w:val="continue"/>
            <w:vAlign w:val="center"/>
          </w:tcPr>
          <w:p w14:paraId="1067223F">
            <w:pPr>
              <w:jc w:val="center"/>
              <w:rPr>
                <w:rFonts w:ascii="Times New Roman" w:hAnsi="Times New Roman" w:eastAsia="宋体" w:cs="Times New Roman"/>
                <w:color w:val="auto"/>
                <w:sz w:val="22"/>
                <w:szCs w:val="24"/>
              </w:rPr>
            </w:pPr>
          </w:p>
        </w:tc>
        <w:tc>
          <w:tcPr>
            <w:tcW w:w="1223" w:type="pct"/>
            <w:vAlign w:val="center"/>
          </w:tcPr>
          <w:p w14:paraId="54444804">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事故应急池</w:t>
            </w:r>
          </w:p>
        </w:tc>
        <w:tc>
          <w:tcPr>
            <w:tcW w:w="3357" w:type="pct"/>
            <w:gridSpan w:val="3"/>
            <w:vAlign w:val="center"/>
          </w:tcPr>
          <w:p w14:paraId="2B15C423">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370m</w:t>
            </w:r>
            <w:r>
              <w:rPr>
                <w:rFonts w:hint="eastAsia" w:ascii="Times New Roman" w:hAnsi="Times New Roman" w:eastAsia="宋体" w:cs="Times New Roman"/>
                <w:color w:val="auto"/>
                <w:sz w:val="22"/>
                <w:szCs w:val="24"/>
                <w:vertAlign w:val="superscript"/>
                <w:lang w:val="en-US" w:eastAsia="zh-CN"/>
              </w:rPr>
              <w:t>3</w:t>
            </w:r>
          </w:p>
        </w:tc>
      </w:tr>
      <w:tr w14:paraId="46CD1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9" w:type="pct"/>
            <w:vMerge w:val="continue"/>
            <w:vAlign w:val="center"/>
          </w:tcPr>
          <w:p w14:paraId="2EA7A5E5">
            <w:pPr>
              <w:jc w:val="center"/>
              <w:rPr>
                <w:rFonts w:ascii="Times New Roman" w:hAnsi="Times New Roman" w:eastAsia="宋体" w:cs="Times New Roman"/>
                <w:color w:val="auto"/>
                <w:sz w:val="22"/>
                <w:szCs w:val="24"/>
              </w:rPr>
            </w:pPr>
          </w:p>
        </w:tc>
        <w:tc>
          <w:tcPr>
            <w:tcW w:w="1223" w:type="pct"/>
            <w:vAlign w:val="center"/>
          </w:tcPr>
          <w:p w14:paraId="644016A6">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危废暂存间收集池</w:t>
            </w:r>
          </w:p>
        </w:tc>
        <w:tc>
          <w:tcPr>
            <w:tcW w:w="3357" w:type="pct"/>
            <w:gridSpan w:val="3"/>
            <w:vAlign w:val="center"/>
          </w:tcPr>
          <w:p w14:paraId="6EDC928E">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50m</w:t>
            </w:r>
            <w:r>
              <w:rPr>
                <w:rFonts w:hint="eastAsia" w:ascii="Times New Roman" w:hAnsi="Times New Roman" w:eastAsia="宋体" w:cs="Times New Roman"/>
                <w:color w:val="auto"/>
                <w:sz w:val="22"/>
                <w:szCs w:val="24"/>
                <w:vertAlign w:val="superscript"/>
                <w:lang w:val="en-US" w:eastAsia="zh-CN"/>
              </w:rPr>
              <w:t>3</w:t>
            </w:r>
          </w:p>
        </w:tc>
      </w:tr>
      <w:tr w14:paraId="4FB9C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9" w:type="pct"/>
            <w:vMerge w:val="continue"/>
            <w:vAlign w:val="center"/>
          </w:tcPr>
          <w:p w14:paraId="70EAB7F3">
            <w:pPr>
              <w:jc w:val="center"/>
              <w:rPr>
                <w:rFonts w:ascii="Times New Roman" w:hAnsi="Times New Roman" w:eastAsia="宋体" w:cs="Times New Roman"/>
                <w:color w:val="auto"/>
                <w:sz w:val="22"/>
                <w:szCs w:val="24"/>
              </w:rPr>
            </w:pPr>
          </w:p>
        </w:tc>
        <w:tc>
          <w:tcPr>
            <w:tcW w:w="1223" w:type="pct"/>
            <w:vAlign w:val="center"/>
          </w:tcPr>
          <w:p w14:paraId="1D63C632">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一般固废暂存间</w:t>
            </w:r>
          </w:p>
        </w:tc>
        <w:tc>
          <w:tcPr>
            <w:tcW w:w="3357" w:type="pct"/>
            <w:gridSpan w:val="3"/>
            <w:vAlign w:val="center"/>
          </w:tcPr>
          <w:p w14:paraId="1DC18F18">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420</w:t>
            </w:r>
            <w:r>
              <w:rPr>
                <w:rFonts w:hint="eastAsia" w:ascii="Times New Roman" w:hAnsi="Times New Roman" w:eastAsia="宋体" w:cs="Times New Roman"/>
                <w:color w:val="auto"/>
                <w:sz w:val="22"/>
                <w:szCs w:val="24"/>
                <w:lang w:eastAsia="zh-CN"/>
              </w:rPr>
              <w:t>m</w:t>
            </w:r>
            <w:r>
              <w:rPr>
                <w:rFonts w:hint="eastAsia" w:ascii="Times New Roman" w:hAnsi="Times New Roman" w:eastAsia="宋体" w:cs="Times New Roman"/>
                <w:color w:val="auto"/>
                <w:sz w:val="22"/>
                <w:szCs w:val="24"/>
                <w:vertAlign w:val="superscript"/>
                <w:lang w:eastAsia="zh-CN"/>
              </w:rPr>
              <w:t>2</w:t>
            </w:r>
          </w:p>
        </w:tc>
      </w:tr>
      <w:tr w14:paraId="6FE8B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9" w:type="pct"/>
            <w:vMerge w:val="continue"/>
            <w:vAlign w:val="center"/>
          </w:tcPr>
          <w:p w14:paraId="7FE1198C">
            <w:pPr>
              <w:jc w:val="center"/>
              <w:rPr>
                <w:rFonts w:ascii="Times New Roman" w:hAnsi="Times New Roman" w:eastAsia="宋体" w:cs="Times New Roman"/>
                <w:color w:val="auto"/>
                <w:sz w:val="22"/>
                <w:szCs w:val="24"/>
              </w:rPr>
            </w:pPr>
          </w:p>
        </w:tc>
        <w:tc>
          <w:tcPr>
            <w:tcW w:w="1223" w:type="pct"/>
            <w:vAlign w:val="center"/>
          </w:tcPr>
          <w:p w14:paraId="2675B6A6">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危废暂存间</w:t>
            </w:r>
          </w:p>
        </w:tc>
        <w:tc>
          <w:tcPr>
            <w:tcW w:w="3357" w:type="pct"/>
            <w:gridSpan w:val="3"/>
            <w:vAlign w:val="center"/>
          </w:tcPr>
          <w:p w14:paraId="0CECB501">
            <w:pPr>
              <w:jc w:val="center"/>
              <w:rPr>
                <w:rFonts w:hint="eastAsia" w:ascii="Times New Roman" w:hAnsi="Times New Roman" w:eastAsia="宋体" w:cs="Times New Roman"/>
                <w:color w:val="auto"/>
                <w:sz w:val="22"/>
                <w:szCs w:val="24"/>
                <w:lang w:eastAsia="zh-CN"/>
              </w:rPr>
            </w:pPr>
            <w:r>
              <w:rPr>
                <w:rFonts w:hint="eastAsia" w:ascii="Times New Roman" w:hAnsi="Times New Roman" w:eastAsia="宋体" w:cs="Times New Roman"/>
                <w:color w:val="auto"/>
                <w:sz w:val="22"/>
                <w:szCs w:val="24"/>
              </w:rPr>
              <w:t>面积70</w:t>
            </w:r>
            <w:r>
              <w:rPr>
                <w:rFonts w:hint="eastAsia" w:ascii="Times New Roman" w:hAnsi="Times New Roman" w:eastAsia="宋体" w:cs="Times New Roman"/>
                <w:color w:val="auto"/>
                <w:sz w:val="22"/>
                <w:szCs w:val="24"/>
                <w:lang w:eastAsia="zh-CN"/>
              </w:rPr>
              <w:t>m</w:t>
            </w:r>
            <w:r>
              <w:rPr>
                <w:rFonts w:hint="eastAsia" w:ascii="Times New Roman" w:hAnsi="Times New Roman" w:eastAsia="宋体" w:cs="Times New Roman"/>
                <w:color w:val="auto"/>
                <w:sz w:val="22"/>
                <w:szCs w:val="24"/>
                <w:vertAlign w:val="superscript"/>
                <w:lang w:eastAsia="zh-CN"/>
              </w:rPr>
              <w:t>2</w:t>
            </w:r>
          </w:p>
        </w:tc>
      </w:tr>
    </w:tbl>
    <w:p w14:paraId="2A55F548">
      <w:pPr>
        <w:spacing w:line="360" w:lineRule="auto"/>
        <w:ind w:firstLine="480" w:firstLineChars="200"/>
        <w:rPr>
          <w:rFonts w:ascii="Times New Roman" w:hAnsi="Times New Roman" w:eastAsia="宋体" w:cs="Times New Roman"/>
          <w:color w:val="FF0000"/>
          <w:sz w:val="24"/>
          <w:szCs w:val="24"/>
          <w:highlight w:val="green"/>
        </w:rPr>
      </w:pPr>
    </w:p>
    <w:tbl>
      <w:tblPr>
        <w:tblStyle w:val="27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14:paraId="6E28A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14:paraId="775A6D39">
            <w:pPr>
              <w:jc w:val="center"/>
              <w:rPr>
                <w:rFonts w:hint="eastAsia" w:ascii="Times New Roman" w:hAnsi="Times New Roman" w:eastAsia="宋体" w:cs="Times New Roman"/>
                <w:color w:val="auto"/>
                <w:kern w:val="0"/>
                <w:sz w:val="22"/>
                <w:szCs w:val="24"/>
                <w:highlight w:val="none"/>
                <w:lang w:eastAsia="zh-CN"/>
              </w:rPr>
            </w:pPr>
            <w:r>
              <w:rPr>
                <w:rFonts w:hint="eastAsia" w:ascii="Times New Roman" w:hAnsi="Times New Roman" w:eastAsia="宋体" w:cs="Times New Roman"/>
                <w:color w:val="auto"/>
                <w:kern w:val="0"/>
                <w:sz w:val="22"/>
                <w:szCs w:val="24"/>
                <w:highlight w:val="none"/>
                <w:lang w:eastAsia="zh-CN"/>
              </w:rPr>
              <w:drawing>
                <wp:inline distT="0" distB="0" distL="114300" distR="114300">
                  <wp:extent cx="2567305" cy="1924685"/>
                  <wp:effectExtent l="0" t="0" r="4445" b="18415"/>
                  <wp:docPr id="1" name="图片 1" descr="3e8b4ba1a5fb2d77495db3ce194fd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3e8b4ba1a5fb2d77495db3ce194fd53"/>
                          <pic:cNvPicPr>
                            <a:picLocks noChangeAspect="1"/>
                          </pic:cNvPicPr>
                        </pic:nvPicPr>
                        <pic:blipFill>
                          <a:blip r:embed="rId19"/>
                          <a:stretch>
                            <a:fillRect/>
                          </a:stretch>
                        </pic:blipFill>
                        <pic:spPr>
                          <a:xfrm>
                            <a:off x="0" y="0"/>
                            <a:ext cx="2567305" cy="1924685"/>
                          </a:xfrm>
                          <a:prstGeom prst="rect">
                            <a:avLst/>
                          </a:prstGeom>
                        </pic:spPr>
                      </pic:pic>
                    </a:graphicData>
                  </a:graphic>
                </wp:inline>
              </w:drawing>
            </w:r>
          </w:p>
        </w:tc>
        <w:tc>
          <w:tcPr>
            <w:tcW w:w="4261" w:type="dxa"/>
          </w:tcPr>
          <w:p w14:paraId="631D17D8">
            <w:pPr>
              <w:jc w:val="center"/>
              <w:rPr>
                <w:rFonts w:hint="eastAsia" w:ascii="Times New Roman" w:hAnsi="Times New Roman" w:eastAsia="宋体" w:cs="Times New Roman"/>
                <w:color w:val="auto"/>
                <w:kern w:val="0"/>
                <w:sz w:val="22"/>
                <w:szCs w:val="24"/>
                <w:highlight w:val="none"/>
                <w:lang w:eastAsia="zh-CN"/>
              </w:rPr>
            </w:pPr>
            <w:r>
              <w:rPr>
                <w:rFonts w:hint="eastAsia" w:ascii="Times New Roman" w:hAnsi="Times New Roman" w:eastAsia="宋体" w:cs="Times New Roman"/>
                <w:color w:val="auto"/>
                <w:kern w:val="0"/>
                <w:sz w:val="22"/>
                <w:szCs w:val="24"/>
                <w:highlight w:val="none"/>
                <w:lang w:eastAsia="zh-CN"/>
              </w:rPr>
              <w:drawing>
                <wp:inline distT="0" distB="0" distL="114300" distR="114300">
                  <wp:extent cx="2551430" cy="1912620"/>
                  <wp:effectExtent l="0" t="0" r="1270" b="11430"/>
                  <wp:docPr id="4" name="图片 4" descr="d1c03112f7bd6d07d990f69e4115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1c03112f7bd6d07d990f69e4115394"/>
                          <pic:cNvPicPr>
                            <a:picLocks noChangeAspect="1"/>
                          </pic:cNvPicPr>
                        </pic:nvPicPr>
                        <pic:blipFill>
                          <a:blip r:embed="rId20"/>
                          <a:stretch>
                            <a:fillRect/>
                          </a:stretch>
                        </pic:blipFill>
                        <pic:spPr>
                          <a:xfrm>
                            <a:off x="0" y="0"/>
                            <a:ext cx="2551430" cy="1912620"/>
                          </a:xfrm>
                          <a:prstGeom prst="rect">
                            <a:avLst/>
                          </a:prstGeom>
                        </pic:spPr>
                      </pic:pic>
                    </a:graphicData>
                  </a:graphic>
                </wp:inline>
              </w:drawing>
            </w:r>
          </w:p>
        </w:tc>
      </w:tr>
      <w:tr w14:paraId="69A84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14:paraId="28CCEB29">
            <w:pPr>
              <w:jc w:val="center"/>
              <w:rPr>
                <w:rFonts w:hint="default" w:ascii="Times New Roman" w:hAnsi="Times New Roman" w:eastAsia="宋体" w:cs="Times New Roman"/>
                <w:color w:val="auto"/>
                <w:kern w:val="0"/>
                <w:sz w:val="22"/>
                <w:szCs w:val="24"/>
                <w:highlight w:val="none"/>
                <w:lang w:val="en-US" w:eastAsia="zh-CN"/>
              </w:rPr>
            </w:pPr>
            <w:r>
              <w:rPr>
                <w:rFonts w:hint="eastAsia" w:ascii="Times New Roman" w:hAnsi="Times New Roman" w:eastAsia="宋体" w:cs="Times New Roman"/>
                <w:color w:val="auto"/>
                <w:kern w:val="0"/>
                <w:sz w:val="22"/>
                <w:szCs w:val="24"/>
                <w:highlight w:val="none"/>
                <w:lang w:val="en-US" w:eastAsia="zh-CN"/>
              </w:rPr>
              <w:t>提取5车间</w:t>
            </w:r>
          </w:p>
        </w:tc>
        <w:tc>
          <w:tcPr>
            <w:tcW w:w="4261" w:type="dxa"/>
          </w:tcPr>
          <w:p w14:paraId="58665A6F">
            <w:pPr>
              <w:jc w:val="center"/>
              <w:rPr>
                <w:rFonts w:hint="default" w:ascii="Times New Roman" w:hAnsi="Times New Roman" w:eastAsia="宋体" w:cs="Times New Roman"/>
                <w:color w:val="auto"/>
                <w:kern w:val="0"/>
                <w:sz w:val="22"/>
                <w:szCs w:val="24"/>
                <w:highlight w:val="none"/>
                <w:lang w:val="en-US" w:eastAsia="zh-CN"/>
              </w:rPr>
            </w:pPr>
            <w:r>
              <w:rPr>
                <w:rFonts w:hint="eastAsia" w:ascii="Times New Roman" w:hAnsi="Times New Roman" w:eastAsia="宋体" w:cs="Times New Roman"/>
                <w:color w:val="auto"/>
                <w:kern w:val="0"/>
                <w:sz w:val="22"/>
                <w:szCs w:val="24"/>
                <w:highlight w:val="none"/>
                <w:lang w:val="en-US" w:eastAsia="zh-CN"/>
              </w:rPr>
              <w:t>提取1车间</w:t>
            </w:r>
          </w:p>
        </w:tc>
      </w:tr>
      <w:tr w14:paraId="0D787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14:paraId="7891BE4A">
            <w:pPr>
              <w:jc w:val="center"/>
              <w:rPr>
                <w:rFonts w:hint="eastAsia" w:ascii="Times New Roman" w:hAnsi="Times New Roman" w:eastAsia="宋体" w:cs="Times New Roman"/>
                <w:color w:val="auto"/>
                <w:kern w:val="0"/>
                <w:sz w:val="22"/>
                <w:szCs w:val="24"/>
                <w:highlight w:val="none"/>
                <w:lang w:eastAsia="zh-CN"/>
              </w:rPr>
            </w:pPr>
            <w:r>
              <w:rPr>
                <w:rFonts w:hint="eastAsia" w:ascii="Times New Roman" w:hAnsi="Times New Roman" w:eastAsia="宋体" w:cs="Times New Roman"/>
                <w:color w:val="auto"/>
                <w:kern w:val="0"/>
                <w:sz w:val="22"/>
                <w:szCs w:val="24"/>
                <w:highlight w:val="none"/>
                <w:lang w:eastAsia="zh-CN"/>
              </w:rPr>
              <w:drawing>
                <wp:inline distT="0" distB="0" distL="114300" distR="114300">
                  <wp:extent cx="2551430" cy="1912620"/>
                  <wp:effectExtent l="0" t="0" r="1270" b="11430"/>
                  <wp:docPr id="5" name="图片 5" descr="82f2f11155a9ad5953ec0c486bc3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82f2f11155a9ad5953ec0c486bc3698"/>
                          <pic:cNvPicPr>
                            <a:picLocks noChangeAspect="1"/>
                          </pic:cNvPicPr>
                        </pic:nvPicPr>
                        <pic:blipFill>
                          <a:blip r:embed="rId21"/>
                          <a:stretch>
                            <a:fillRect/>
                          </a:stretch>
                        </pic:blipFill>
                        <pic:spPr>
                          <a:xfrm>
                            <a:off x="0" y="0"/>
                            <a:ext cx="2551430" cy="1912620"/>
                          </a:xfrm>
                          <a:prstGeom prst="rect">
                            <a:avLst/>
                          </a:prstGeom>
                        </pic:spPr>
                      </pic:pic>
                    </a:graphicData>
                  </a:graphic>
                </wp:inline>
              </w:drawing>
            </w:r>
          </w:p>
        </w:tc>
        <w:tc>
          <w:tcPr>
            <w:tcW w:w="4261" w:type="dxa"/>
          </w:tcPr>
          <w:p w14:paraId="0A3E275B">
            <w:pPr>
              <w:jc w:val="center"/>
              <w:rPr>
                <w:rFonts w:hint="eastAsia" w:ascii="Times New Roman" w:hAnsi="Times New Roman" w:eastAsia="宋体" w:cs="Times New Roman"/>
                <w:color w:val="auto"/>
                <w:kern w:val="0"/>
                <w:sz w:val="22"/>
                <w:szCs w:val="24"/>
                <w:highlight w:val="none"/>
                <w:lang w:eastAsia="zh-CN"/>
              </w:rPr>
            </w:pPr>
            <w:r>
              <w:rPr>
                <w:rFonts w:hint="eastAsia" w:ascii="Times New Roman" w:hAnsi="Times New Roman" w:eastAsia="宋体" w:cs="Times New Roman"/>
                <w:color w:val="auto"/>
                <w:kern w:val="0"/>
                <w:sz w:val="22"/>
                <w:szCs w:val="24"/>
                <w:highlight w:val="none"/>
                <w:lang w:eastAsia="zh-CN"/>
              </w:rPr>
              <w:drawing>
                <wp:inline distT="0" distB="0" distL="114300" distR="114300">
                  <wp:extent cx="2567305" cy="1924685"/>
                  <wp:effectExtent l="0" t="0" r="4445" b="18415"/>
                  <wp:docPr id="8" name="图片 8" descr="001295b73b0cc060f48c843931044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001295b73b0cc060f48c843931044c2"/>
                          <pic:cNvPicPr>
                            <a:picLocks noChangeAspect="1"/>
                          </pic:cNvPicPr>
                        </pic:nvPicPr>
                        <pic:blipFill>
                          <a:blip r:embed="rId22"/>
                          <a:stretch>
                            <a:fillRect/>
                          </a:stretch>
                        </pic:blipFill>
                        <pic:spPr>
                          <a:xfrm>
                            <a:off x="0" y="0"/>
                            <a:ext cx="2567305" cy="1924685"/>
                          </a:xfrm>
                          <a:prstGeom prst="rect">
                            <a:avLst/>
                          </a:prstGeom>
                        </pic:spPr>
                      </pic:pic>
                    </a:graphicData>
                  </a:graphic>
                </wp:inline>
              </w:drawing>
            </w:r>
          </w:p>
        </w:tc>
      </w:tr>
      <w:tr w14:paraId="44912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14:paraId="612B4C2B">
            <w:pPr>
              <w:jc w:val="center"/>
              <w:rPr>
                <w:rFonts w:hint="default" w:ascii="Times New Roman" w:hAnsi="Times New Roman" w:eastAsia="宋体" w:cs="Times New Roman"/>
                <w:color w:val="auto"/>
                <w:kern w:val="0"/>
                <w:sz w:val="22"/>
                <w:szCs w:val="24"/>
                <w:highlight w:val="none"/>
                <w:lang w:val="en-US" w:eastAsia="zh-CN"/>
              </w:rPr>
            </w:pPr>
            <w:r>
              <w:rPr>
                <w:rFonts w:hint="eastAsia" w:ascii="Times New Roman" w:hAnsi="Times New Roman" w:eastAsia="宋体" w:cs="Times New Roman"/>
                <w:color w:val="auto"/>
                <w:kern w:val="0"/>
                <w:sz w:val="22"/>
                <w:szCs w:val="24"/>
                <w:highlight w:val="none"/>
                <w:lang w:val="en-US" w:eastAsia="zh-CN"/>
              </w:rPr>
              <w:t>发酵1车间及车间外碱喷淋预处理设备</w:t>
            </w:r>
          </w:p>
        </w:tc>
        <w:tc>
          <w:tcPr>
            <w:tcW w:w="4261" w:type="dxa"/>
          </w:tcPr>
          <w:p w14:paraId="5515E8CF">
            <w:pPr>
              <w:jc w:val="center"/>
              <w:rPr>
                <w:rFonts w:hint="default" w:ascii="Times New Roman" w:hAnsi="Times New Roman" w:eastAsia="宋体" w:cs="Times New Roman"/>
                <w:color w:val="auto"/>
                <w:kern w:val="0"/>
                <w:sz w:val="22"/>
                <w:szCs w:val="24"/>
                <w:highlight w:val="none"/>
                <w:lang w:val="en-US" w:eastAsia="zh-CN"/>
              </w:rPr>
            </w:pPr>
            <w:r>
              <w:rPr>
                <w:rFonts w:hint="eastAsia" w:ascii="Times New Roman" w:hAnsi="Times New Roman" w:eastAsia="宋体" w:cs="Times New Roman"/>
                <w:color w:val="auto"/>
                <w:kern w:val="0"/>
                <w:sz w:val="22"/>
                <w:szCs w:val="24"/>
                <w:highlight w:val="none"/>
                <w:lang w:val="en-US" w:eastAsia="zh-CN"/>
              </w:rPr>
              <w:t>提取6车间</w:t>
            </w:r>
          </w:p>
        </w:tc>
      </w:tr>
      <w:tr w14:paraId="1865E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14:paraId="0FE6D88F">
            <w:pPr>
              <w:jc w:val="center"/>
              <w:rPr>
                <w:rFonts w:hint="eastAsia" w:ascii="Times New Roman" w:hAnsi="Times New Roman" w:eastAsia="宋体" w:cs="Times New Roman"/>
                <w:color w:val="auto"/>
                <w:kern w:val="0"/>
                <w:sz w:val="22"/>
                <w:szCs w:val="24"/>
                <w:highlight w:val="none"/>
                <w:lang w:eastAsia="zh-CN"/>
              </w:rPr>
            </w:pPr>
            <w:r>
              <w:rPr>
                <w:rFonts w:hint="eastAsia" w:ascii="Times New Roman" w:hAnsi="Times New Roman" w:eastAsia="宋体" w:cs="Times New Roman"/>
                <w:color w:val="auto"/>
                <w:kern w:val="0"/>
                <w:sz w:val="22"/>
                <w:szCs w:val="24"/>
                <w:highlight w:val="none"/>
                <w:lang w:eastAsia="zh-CN"/>
              </w:rPr>
              <w:drawing>
                <wp:inline distT="0" distB="0" distL="114300" distR="114300">
                  <wp:extent cx="2567305" cy="1924685"/>
                  <wp:effectExtent l="0" t="0" r="4445" b="18415"/>
                  <wp:docPr id="10" name="图片 10" descr="05196213cf6f2afdf2d6dd3a3007f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05196213cf6f2afdf2d6dd3a3007f4c"/>
                          <pic:cNvPicPr>
                            <a:picLocks noChangeAspect="1"/>
                          </pic:cNvPicPr>
                        </pic:nvPicPr>
                        <pic:blipFill>
                          <a:blip r:embed="rId23"/>
                          <a:stretch>
                            <a:fillRect/>
                          </a:stretch>
                        </pic:blipFill>
                        <pic:spPr>
                          <a:xfrm>
                            <a:off x="0" y="0"/>
                            <a:ext cx="2567305" cy="1924685"/>
                          </a:xfrm>
                          <a:prstGeom prst="rect">
                            <a:avLst/>
                          </a:prstGeom>
                        </pic:spPr>
                      </pic:pic>
                    </a:graphicData>
                  </a:graphic>
                </wp:inline>
              </w:drawing>
            </w:r>
          </w:p>
        </w:tc>
        <w:tc>
          <w:tcPr>
            <w:tcW w:w="4261" w:type="dxa"/>
          </w:tcPr>
          <w:p w14:paraId="260E948E">
            <w:pPr>
              <w:jc w:val="center"/>
              <w:rPr>
                <w:rFonts w:hint="eastAsia" w:ascii="Times New Roman" w:hAnsi="Times New Roman" w:eastAsia="宋体" w:cs="Times New Roman"/>
                <w:color w:val="auto"/>
                <w:kern w:val="0"/>
                <w:sz w:val="22"/>
                <w:szCs w:val="24"/>
                <w:highlight w:val="none"/>
                <w:lang w:eastAsia="zh-CN"/>
              </w:rPr>
            </w:pPr>
            <w:r>
              <w:rPr>
                <w:rFonts w:hint="eastAsia" w:ascii="Times New Roman" w:hAnsi="Times New Roman" w:eastAsia="宋体" w:cs="Times New Roman"/>
                <w:color w:val="auto"/>
                <w:kern w:val="0"/>
                <w:sz w:val="22"/>
                <w:szCs w:val="24"/>
                <w:highlight w:val="none"/>
                <w:lang w:eastAsia="zh-CN"/>
              </w:rPr>
              <w:drawing>
                <wp:inline distT="0" distB="0" distL="114300" distR="114300">
                  <wp:extent cx="2536190" cy="1901825"/>
                  <wp:effectExtent l="0" t="0" r="16510" b="3175"/>
                  <wp:docPr id="13" name="图片 13" descr="28ca49026111b42198cf7a657d1ed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28ca49026111b42198cf7a657d1ed5f"/>
                          <pic:cNvPicPr>
                            <a:picLocks noChangeAspect="1"/>
                          </pic:cNvPicPr>
                        </pic:nvPicPr>
                        <pic:blipFill>
                          <a:blip r:embed="rId24"/>
                          <a:stretch>
                            <a:fillRect/>
                          </a:stretch>
                        </pic:blipFill>
                        <pic:spPr>
                          <a:xfrm>
                            <a:off x="0" y="0"/>
                            <a:ext cx="2536190" cy="1901825"/>
                          </a:xfrm>
                          <a:prstGeom prst="rect">
                            <a:avLst/>
                          </a:prstGeom>
                        </pic:spPr>
                      </pic:pic>
                    </a:graphicData>
                  </a:graphic>
                </wp:inline>
              </w:drawing>
            </w:r>
          </w:p>
        </w:tc>
      </w:tr>
      <w:tr w14:paraId="7F43B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14:paraId="18029991">
            <w:pPr>
              <w:jc w:val="center"/>
              <w:rPr>
                <w:rFonts w:hint="default" w:ascii="Times New Roman" w:hAnsi="Times New Roman" w:eastAsia="宋体" w:cs="Times New Roman"/>
                <w:color w:val="auto"/>
                <w:kern w:val="0"/>
                <w:sz w:val="22"/>
                <w:szCs w:val="24"/>
                <w:highlight w:val="none"/>
                <w:lang w:val="en-US" w:eastAsia="zh-CN"/>
              </w:rPr>
            </w:pPr>
            <w:r>
              <w:rPr>
                <w:rFonts w:hint="eastAsia" w:ascii="Times New Roman" w:hAnsi="Times New Roman" w:eastAsia="宋体" w:cs="Times New Roman"/>
                <w:color w:val="auto"/>
                <w:kern w:val="0"/>
                <w:sz w:val="22"/>
                <w:szCs w:val="24"/>
                <w:highlight w:val="none"/>
                <w:lang w:val="en-US" w:eastAsia="zh-CN"/>
              </w:rPr>
              <w:t>提取6车间内纯水制备设备（检修中）</w:t>
            </w:r>
          </w:p>
        </w:tc>
        <w:tc>
          <w:tcPr>
            <w:tcW w:w="4261" w:type="dxa"/>
          </w:tcPr>
          <w:p w14:paraId="36CA058D">
            <w:pPr>
              <w:jc w:val="center"/>
              <w:rPr>
                <w:rFonts w:hint="default" w:ascii="Times New Roman" w:hAnsi="Times New Roman" w:eastAsia="宋体" w:cs="Times New Roman"/>
                <w:color w:val="auto"/>
                <w:kern w:val="0"/>
                <w:sz w:val="22"/>
                <w:szCs w:val="24"/>
                <w:highlight w:val="none"/>
                <w:lang w:val="en-US" w:eastAsia="zh-CN"/>
              </w:rPr>
            </w:pPr>
            <w:r>
              <w:rPr>
                <w:rFonts w:hint="eastAsia" w:ascii="Times New Roman" w:hAnsi="Times New Roman" w:eastAsia="宋体" w:cs="Times New Roman"/>
                <w:color w:val="auto"/>
                <w:kern w:val="0"/>
                <w:sz w:val="22"/>
                <w:szCs w:val="24"/>
                <w:highlight w:val="none"/>
                <w:lang w:val="en-US" w:eastAsia="zh-CN"/>
              </w:rPr>
              <w:t>提取2车间</w:t>
            </w:r>
          </w:p>
        </w:tc>
      </w:tr>
      <w:tr w14:paraId="17035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61" w:type="dxa"/>
          </w:tcPr>
          <w:p w14:paraId="64AB0DFF">
            <w:pPr>
              <w:jc w:val="center"/>
              <w:rPr>
                <w:rFonts w:hint="eastAsia" w:ascii="Times New Roman" w:hAnsi="Times New Roman" w:eastAsia="宋体" w:cs="Times New Roman"/>
                <w:color w:val="auto"/>
                <w:kern w:val="0"/>
                <w:sz w:val="22"/>
                <w:szCs w:val="24"/>
                <w:highlight w:val="none"/>
                <w:lang w:eastAsia="zh-CN"/>
              </w:rPr>
            </w:pPr>
            <w:r>
              <w:rPr>
                <w:rFonts w:hint="eastAsia" w:ascii="Times New Roman" w:hAnsi="Times New Roman" w:eastAsia="宋体" w:cs="Times New Roman"/>
                <w:color w:val="auto"/>
                <w:kern w:val="0"/>
                <w:sz w:val="22"/>
                <w:szCs w:val="24"/>
                <w:highlight w:val="none"/>
                <w:lang w:eastAsia="zh-CN"/>
              </w:rPr>
              <w:drawing>
                <wp:inline distT="0" distB="0" distL="114300" distR="114300">
                  <wp:extent cx="2567305" cy="1924685"/>
                  <wp:effectExtent l="0" t="0" r="4445" b="18415"/>
                  <wp:docPr id="16" name="图片 16" descr="d814cadf61e8709aaf32c38908fad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d814cadf61e8709aaf32c38908fad36"/>
                          <pic:cNvPicPr>
                            <a:picLocks noChangeAspect="1"/>
                          </pic:cNvPicPr>
                        </pic:nvPicPr>
                        <pic:blipFill>
                          <a:blip r:embed="rId25"/>
                          <a:stretch>
                            <a:fillRect/>
                          </a:stretch>
                        </pic:blipFill>
                        <pic:spPr>
                          <a:xfrm>
                            <a:off x="0" y="0"/>
                            <a:ext cx="2567305" cy="1924685"/>
                          </a:xfrm>
                          <a:prstGeom prst="rect">
                            <a:avLst/>
                          </a:prstGeom>
                        </pic:spPr>
                      </pic:pic>
                    </a:graphicData>
                  </a:graphic>
                </wp:inline>
              </w:drawing>
            </w:r>
          </w:p>
        </w:tc>
        <w:tc>
          <w:tcPr>
            <w:tcW w:w="4261" w:type="dxa"/>
          </w:tcPr>
          <w:p w14:paraId="1144C9EE">
            <w:pPr>
              <w:jc w:val="center"/>
              <w:rPr>
                <w:rFonts w:hint="eastAsia" w:ascii="Times New Roman" w:hAnsi="Times New Roman" w:eastAsia="宋体" w:cs="Times New Roman"/>
                <w:color w:val="auto"/>
                <w:kern w:val="0"/>
                <w:sz w:val="22"/>
                <w:szCs w:val="24"/>
                <w:highlight w:val="none"/>
                <w:lang w:eastAsia="zh-CN"/>
              </w:rPr>
            </w:pPr>
            <w:r>
              <w:rPr>
                <w:rFonts w:hint="eastAsia" w:ascii="Times New Roman" w:hAnsi="Times New Roman" w:eastAsia="宋体" w:cs="Times New Roman"/>
                <w:color w:val="auto"/>
                <w:kern w:val="0"/>
                <w:sz w:val="22"/>
                <w:szCs w:val="24"/>
                <w:highlight w:val="none"/>
                <w:lang w:eastAsia="zh-CN"/>
              </w:rPr>
              <w:drawing>
                <wp:inline distT="0" distB="0" distL="114300" distR="114300">
                  <wp:extent cx="2567305" cy="1924685"/>
                  <wp:effectExtent l="0" t="0" r="4445" b="18415"/>
                  <wp:docPr id="17" name="图片 17" descr="8c9318a6a957988a209a75b7583ef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8c9318a6a957988a209a75b7583ef85"/>
                          <pic:cNvPicPr>
                            <a:picLocks noChangeAspect="1"/>
                          </pic:cNvPicPr>
                        </pic:nvPicPr>
                        <pic:blipFill>
                          <a:blip r:embed="rId26"/>
                          <a:stretch>
                            <a:fillRect/>
                          </a:stretch>
                        </pic:blipFill>
                        <pic:spPr>
                          <a:xfrm>
                            <a:off x="0" y="0"/>
                            <a:ext cx="2567305" cy="1924685"/>
                          </a:xfrm>
                          <a:prstGeom prst="rect">
                            <a:avLst/>
                          </a:prstGeom>
                        </pic:spPr>
                      </pic:pic>
                    </a:graphicData>
                  </a:graphic>
                </wp:inline>
              </w:drawing>
            </w:r>
          </w:p>
        </w:tc>
      </w:tr>
      <w:tr w14:paraId="6A91E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14:paraId="77424B01">
            <w:pPr>
              <w:jc w:val="center"/>
              <w:rPr>
                <w:rFonts w:hint="default" w:ascii="Times New Roman" w:hAnsi="Times New Roman" w:eastAsia="宋体" w:cs="Times New Roman"/>
                <w:color w:val="auto"/>
                <w:kern w:val="0"/>
                <w:sz w:val="22"/>
                <w:szCs w:val="24"/>
                <w:highlight w:val="none"/>
                <w:lang w:val="en-US" w:eastAsia="zh-CN"/>
              </w:rPr>
            </w:pPr>
            <w:r>
              <w:rPr>
                <w:rFonts w:hint="eastAsia" w:ascii="Times New Roman" w:hAnsi="Times New Roman" w:eastAsia="宋体" w:cs="Times New Roman"/>
                <w:color w:val="auto"/>
                <w:kern w:val="0"/>
                <w:sz w:val="22"/>
                <w:szCs w:val="24"/>
                <w:highlight w:val="none"/>
                <w:lang w:val="en-US" w:eastAsia="zh-CN"/>
              </w:rPr>
              <w:t>污水站、危废间废气处理设施</w:t>
            </w:r>
          </w:p>
        </w:tc>
        <w:tc>
          <w:tcPr>
            <w:tcW w:w="4261" w:type="dxa"/>
          </w:tcPr>
          <w:p w14:paraId="45445C33">
            <w:pPr>
              <w:jc w:val="center"/>
              <w:rPr>
                <w:rFonts w:hint="default" w:ascii="Times New Roman" w:hAnsi="Times New Roman" w:eastAsia="宋体" w:cs="Times New Roman"/>
                <w:color w:val="auto"/>
                <w:kern w:val="0"/>
                <w:sz w:val="22"/>
                <w:szCs w:val="24"/>
                <w:highlight w:val="none"/>
                <w:lang w:val="en-US" w:eastAsia="zh-CN"/>
              </w:rPr>
            </w:pPr>
            <w:r>
              <w:rPr>
                <w:rFonts w:hint="eastAsia" w:ascii="Times New Roman" w:hAnsi="Times New Roman" w:eastAsia="宋体" w:cs="Times New Roman"/>
                <w:color w:val="auto"/>
                <w:kern w:val="0"/>
                <w:sz w:val="22"/>
                <w:szCs w:val="24"/>
                <w:highlight w:val="none"/>
                <w:lang w:val="en-US" w:eastAsia="zh-CN"/>
              </w:rPr>
              <w:t>盐酸、液碱储罐区</w:t>
            </w:r>
          </w:p>
        </w:tc>
      </w:tr>
      <w:tr w14:paraId="0EB80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14:paraId="7B576420">
            <w:pPr>
              <w:jc w:val="center"/>
              <w:rPr>
                <w:rFonts w:hint="eastAsia" w:ascii="Times New Roman" w:hAnsi="Times New Roman" w:eastAsia="宋体" w:cs="Times New Roman"/>
                <w:color w:val="auto"/>
                <w:kern w:val="0"/>
                <w:sz w:val="22"/>
                <w:szCs w:val="24"/>
                <w:highlight w:val="none"/>
                <w:lang w:eastAsia="zh-CN"/>
              </w:rPr>
            </w:pPr>
            <w:r>
              <w:rPr>
                <w:rFonts w:hint="eastAsia" w:ascii="Times New Roman" w:hAnsi="Times New Roman" w:eastAsia="宋体" w:cs="Times New Roman"/>
                <w:color w:val="auto"/>
                <w:kern w:val="0"/>
                <w:sz w:val="22"/>
                <w:szCs w:val="24"/>
                <w:highlight w:val="none"/>
                <w:lang w:eastAsia="zh-CN"/>
              </w:rPr>
              <w:drawing>
                <wp:inline distT="0" distB="0" distL="114300" distR="114300">
                  <wp:extent cx="2558415" cy="2937510"/>
                  <wp:effectExtent l="0" t="0" r="0" b="0"/>
                  <wp:docPr id="18" name="图片 18" descr="4e916e0bbd2c34c55ec9cad795a93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4e916e0bbd2c34c55ec9cad795a93fd"/>
                          <pic:cNvPicPr>
                            <a:picLocks noChangeAspect="1"/>
                          </pic:cNvPicPr>
                        </pic:nvPicPr>
                        <pic:blipFill>
                          <a:blip r:embed="rId27"/>
                          <a:srcRect t="13919"/>
                          <a:stretch>
                            <a:fillRect/>
                          </a:stretch>
                        </pic:blipFill>
                        <pic:spPr>
                          <a:xfrm>
                            <a:off x="0" y="0"/>
                            <a:ext cx="2558415" cy="2937510"/>
                          </a:xfrm>
                          <a:prstGeom prst="rect">
                            <a:avLst/>
                          </a:prstGeom>
                        </pic:spPr>
                      </pic:pic>
                    </a:graphicData>
                  </a:graphic>
                </wp:inline>
              </w:drawing>
            </w:r>
          </w:p>
        </w:tc>
        <w:tc>
          <w:tcPr>
            <w:tcW w:w="4261" w:type="dxa"/>
          </w:tcPr>
          <w:p w14:paraId="62A929DE">
            <w:pPr>
              <w:jc w:val="center"/>
              <w:rPr>
                <w:rFonts w:hint="eastAsia" w:ascii="Times New Roman" w:hAnsi="Times New Roman" w:eastAsia="宋体" w:cs="Times New Roman"/>
                <w:color w:val="auto"/>
                <w:kern w:val="0"/>
                <w:sz w:val="22"/>
                <w:szCs w:val="24"/>
                <w:highlight w:val="none"/>
                <w:lang w:eastAsia="zh-CN"/>
              </w:rPr>
            </w:pPr>
            <w:r>
              <w:rPr>
                <w:rFonts w:hint="eastAsia" w:ascii="Times New Roman" w:hAnsi="Times New Roman" w:eastAsia="宋体" w:cs="Times New Roman"/>
                <w:color w:val="auto"/>
                <w:kern w:val="0"/>
                <w:sz w:val="22"/>
                <w:szCs w:val="24"/>
                <w:highlight w:val="none"/>
                <w:lang w:eastAsia="zh-CN"/>
              </w:rPr>
              <w:drawing>
                <wp:inline distT="0" distB="0" distL="114300" distR="114300">
                  <wp:extent cx="2558415" cy="2785110"/>
                  <wp:effectExtent l="0" t="0" r="0" b="0"/>
                  <wp:docPr id="19" name="图片 19" descr="6f3e5c1b1f1ba0a387f766ba562f7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6f3e5c1b1f1ba0a387f766ba562f7da"/>
                          <pic:cNvPicPr>
                            <a:picLocks noChangeAspect="1"/>
                          </pic:cNvPicPr>
                        </pic:nvPicPr>
                        <pic:blipFill>
                          <a:blip r:embed="rId28"/>
                          <a:srcRect t="130" b="18255"/>
                          <a:stretch>
                            <a:fillRect/>
                          </a:stretch>
                        </pic:blipFill>
                        <pic:spPr>
                          <a:xfrm>
                            <a:off x="0" y="0"/>
                            <a:ext cx="2558415" cy="2785110"/>
                          </a:xfrm>
                          <a:prstGeom prst="rect">
                            <a:avLst/>
                          </a:prstGeom>
                        </pic:spPr>
                      </pic:pic>
                    </a:graphicData>
                  </a:graphic>
                </wp:inline>
              </w:drawing>
            </w:r>
          </w:p>
        </w:tc>
      </w:tr>
      <w:tr w14:paraId="7832A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14:paraId="45285B8C">
            <w:pPr>
              <w:jc w:val="center"/>
              <w:rPr>
                <w:rFonts w:hint="default" w:ascii="Times New Roman" w:hAnsi="Times New Roman" w:eastAsia="宋体" w:cs="Times New Roman"/>
                <w:color w:val="auto"/>
                <w:kern w:val="0"/>
                <w:sz w:val="22"/>
                <w:szCs w:val="24"/>
                <w:highlight w:val="none"/>
                <w:lang w:val="en-US" w:eastAsia="zh-CN"/>
              </w:rPr>
            </w:pPr>
            <w:r>
              <w:rPr>
                <w:rFonts w:hint="eastAsia" w:ascii="Times New Roman" w:hAnsi="Times New Roman" w:eastAsia="宋体" w:cs="Times New Roman"/>
                <w:color w:val="auto"/>
                <w:kern w:val="0"/>
                <w:sz w:val="22"/>
                <w:szCs w:val="24"/>
                <w:highlight w:val="none"/>
                <w:lang w:val="en-US" w:eastAsia="zh-CN"/>
              </w:rPr>
              <w:t>集中式生物除臭设备</w:t>
            </w:r>
          </w:p>
        </w:tc>
        <w:tc>
          <w:tcPr>
            <w:tcW w:w="4261" w:type="dxa"/>
          </w:tcPr>
          <w:p w14:paraId="384CDFCE">
            <w:pPr>
              <w:jc w:val="center"/>
              <w:rPr>
                <w:rFonts w:hint="default" w:ascii="Times New Roman" w:hAnsi="Times New Roman" w:eastAsia="宋体" w:cs="Times New Roman"/>
                <w:color w:val="auto"/>
                <w:kern w:val="0"/>
                <w:sz w:val="22"/>
                <w:szCs w:val="24"/>
                <w:highlight w:val="none"/>
                <w:lang w:val="en-US" w:eastAsia="zh-CN"/>
              </w:rPr>
            </w:pPr>
            <w:r>
              <w:rPr>
                <w:rFonts w:hint="eastAsia" w:ascii="Times New Roman" w:hAnsi="Times New Roman" w:eastAsia="宋体" w:cs="Times New Roman"/>
                <w:color w:val="auto"/>
                <w:kern w:val="0"/>
                <w:sz w:val="22"/>
                <w:szCs w:val="24"/>
                <w:highlight w:val="none"/>
                <w:lang w:val="en-US" w:eastAsia="zh-CN"/>
              </w:rPr>
              <w:t>危废暂存间</w:t>
            </w:r>
          </w:p>
        </w:tc>
      </w:tr>
    </w:tbl>
    <w:p w14:paraId="6247956B">
      <w:pPr>
        <w:pStyle w:val="6"/>
        <w:bidi w:val="0"/>
      </w:pPr>
      <w:r>
        <w:rPr>
          <w:rFonts w:hint="eastAsia"/>
        </w:rPr>
        <w:t>图3</w:t>
      </w:r>
      <w:r>
        <w:t>.1</w:t>
      </w:r>
      <w:r>
        <w:rPr>
          <w:rFonts w:hint="eastAsia"/>
        </w:rPr>
        <w:t>.4-</w:t>
      </w:r>
      <w:r>
        <w:t>1    已建项目厂内照片</w:t>
      </w:r>
    </w:p>
    <w:p w14:paraId="6C3930DB">
      <w:pPr>
        <w:pStyle w:val="4"/>
        <w:bidi w:val="0"/>
      </w:pPr>
      <w:r>
        <w:t>3.1.5</w:t>
      </w:r>
      <w:r>
        <w:rPr>
          <w:rFonts w:hint="eastAsia"/>
        </w:rPr>
        <w:t>现有工程产品方案</w:t>
      </w:r>
    </w:p>
    <w:p w14:paraId="691436AB">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val="en-US" w:eastAsia="zh-CN"/>
        </w:rPr>
        <w:t>湖南新合新生物科技有限公司六</w:t>
      </w:r>
      <w:r>
        <w:rPr>
          <w:rFonts w:hint="eastAsia" w:ascii="Times New Roman" w:hAnsi="Times New Roman" w:eastAsia="宋体" w:cs="Times New Roman"/>
          <w:color w:val="auto"/>
          <w:sz w:val="24"/>
          <w:szCs w:val="24"/>
        </w:rPr>
        <w:t>期环评中，共批复1</w:t>
      </w:r>
      <w:r>
        <w:rPr>
          <w:rFonts w:hint="eastAsia" w:ascii="Times New Roman" w:hAnsi="Times New Roman" w:eastAsia="宋体" w:cs="Times New Roman"/>
          <w:color w:val="auto"/>
          <w:sz w:val="24"/>
          <w:szCs w:val="24"/>
          <w:lang w:val="en-US" w:eastAsia="zh-CN"/>
        </w:rPr>
        <w:t>0</w:t>
      </w:r>
      <w:r>
        <w:rPr>
          <w:rFonts w:hint="eastAsia" w:ascii="Times New Roman" w:hAnsi="Times New Roman" w:eastAsia="宋体" w:cs="Times New Roman"/>
          <w:color w:val="auto"/>
          <w:sz w:val="24"/>
          <w:szCs w:val="24"/>
        </w:rPr>
        <w:t>个产品，其中一期4个产品</w:t>
      </w:r>
      <w:r>
        <w:rPr>
          <w:rFonts w:hint="eastAsia" w:ascii="Times New Roman" w:hAnsi="Times New Roman" w:eastAsia="宋体" w:cs="Times New Roman"/>
          <w:color w:val="auto"/>
          <w:sz w:val="24"/>
          <w:szCs w:val="24"/>
          <w:lang w:val="en-US" w:eastAsia="zh-CN"/>
        </w:rPr>
        <w:t>除糖化酶暂停生产外其余产品均不在生产</w:t>
      </w:r>
      <w:r>
        <w:rPr>
          <w:rFonts w:hint="eastAsia"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二期、三期、四期、六期批复的4个产品均未生产，</w:t>
      </w:r>
      <w:r>
        <w:rPr>
          <w:rFonts w:hint="eastAsia" w:ascii="Times New Roman" w:hAnsi="Times New Roman" w:eastAsia="宋体" w:cs="Times New Roman"/>
          <w:color w:val="auto"/>
          <w:sz w:val="24"/>
          <w:szCs w:val="24"/>
        </w:rPr>
        <w:t>根据2023年《排污许可证执行报告》，仅有</w:t>
      </w:r>
      <w:r>
        <w:rPr>
          <w:rFonts w:hint="eastAsia" w:ascii="Times New Roman" w:hAnsi="Times New Roman" w:eastAsia="宋体" w:cs="Times New Roman"/>
          <w:color w:val="auto"/>
          <w:sz w:val="24"/>
          <w:szCs w:val="24"/>
          <w:lang w:val="en-US" w:eastAsia="zh-CN"/>
        </w:rPr>
        <w:t>1</w:t>
      </w:r>
      <w:r>
        <w:rPr>
          <w:rFonts w:hint="eastAsia" w:ascii="Times New Roman" w:hAnsi="Times New Roman" w:eastAsia="宋体" w:cs="Times New Roman"/>
          <w:color w:val="auto"/>
          <w:sz w:val="24"/>
          <w:szCs w:val="24"/>
        </w:rPr>
        <w:t>个产品在生产，现有工程产品方案如下表所示，产品实际产量数据来源于《2023年排污许可证执行报告》：</w:t>
      </w:r>
    </w:p>
    <w:p w14:paraId="47823ABA">
      <w:pPr>
        <w:pStyle w:val="6"/>
        <w:bidi w:val="0"/>
      </w:pPr>
      <w:r>
        <w:rPr>
          <w:rFonts w:hint="eastAsia"/>
        </w:rPr>
        <w:t>表</w:t>
      </w:r>
      <w:r>
        <w:t>3.1</w:t>
      </w:r>
      <w:r>
        <w:rPr>
          <w:rFonts w:hint="eastAsia"/>
        </w:rPr>
        <w:t>.</w:t>
      </w:r>
      <w:r>
        <w:rPr>
          <w:rFonts w:hint="eastAsia"/>
          <w:lang w:val="en-US" w:eastAsia="zh-CN"/>
        </w:rPr>
        <w:t>5</w:t>
      </w:r>
      <w:r>
        <w:t>-</w:t>
      </w:r>
      <w:r>
        <w:rPr>
          <w:rFonts w:hint="eastAsia"/>
          <w:lang w:val="en-US" w:eastAsia="zh-CN"/>
        </w:rPr>
        <w:t>1</w:t>
      </w:r>
      <w:r>
        <w:t xml:space="preserve">    </w:t>
      </w:r>
      <w:r>
        <w:rPr>
          <w:rFonts w:hint="eastAsia"/>
        </w:rPr>
        <w:t>现有工程产品方案一览表</w:t>
      </w:r>
    </w:p>
    <w:tbl>
      <w:tblPr>
        <w:tblStyle w:val="41"/>
        <w:tblW w:w="4927" w:type="pct"/>
        <w:tblInd w:w="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814"/>
        <w:gridCol w:w="696"/>
        <w:gridCol w:w="1640"/>
        <w:gridCol w:w="1439"/>
        <w:gridCol w:w="2602"/>
      </w:tblGrid>
      <w:tr w14:paraId="208341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 w:hRule="atLeast"/>
        </w:trPr>
        <w:tc>
          <w:tcPr>
            <w:tcW w:w="3411" w:type="pct"/>
            <w:gridSpan w:val="4"/>
            <w:vAlign w:val="center"/>
          </w:tcPr>
          <w:p w14:paraId="611D5DD6">
            <w:pPr>
              <w:jc w:val="center"/>
              <w:rPr>
                <w:rFonts w:ascii="Times New Roman" w:hAnsi="Times New Roman" w:eastAsia="宋体" w:cs="Times New Roman"/>
                <w:color w:val="auto"/>
                <w:sz w:val="22"/>
                <w:szCs w:val="24"/>
                <w:lang w:eastAsia="en-US"/>
              </w:rPr>
            </w:pPr>
            <w:r>
              <w:rPr>
                <w:rFonts w:ascii="Times New Roman" w:hAnsi="Times New Roman" w:eastAsia="宋体" w:cs="Times New Roman"/>
                <w:color w:val="auto"/>
                <w:sz w:val="22"/>
                <w:szCs w:val="24"/>
                <w:lang w:eastAsia="en-US"/>
              </w:rPr>
              <w:t>环评设计情况</w:t>
            </w:r>
          </w:p>
        </w:tc>
        <w:tc>
          <w:tcPr>
            <w:tcW w:w="1588" w:type="pct"/>
            <w:vMerge w:val="restart"/>
            <w:tcBorders>
              <w:bottom w:val="nil"/>
            </w:tcBorders>
            <w:vAlign w:val="center"/>
          </w:tcPr>
          <w:p w14:paraId="14D3E84B">
            <w:pPr>
              <w:jc w:val="center"/>
              <w:rPr>
                <w:rFonts w:ascii="Times New Roman" w:hAnsi="Times New Roman" w:eastAsia="宋体" w:cs="Times New Roman"/>
                <w:color w:val="auto"/>
                <w:sz w:val="22"/>
                <w:szCs w:val="24"/>
                <w:lang w:eastAsia="en-US"/>
              </w:rPr>
            </w:pPr>
            <w:r>
              <w:rPr>
                <w:rFonts w:ascii="Times New Roman" w:hAnsi="Times New Roman" w:eastAsia="宋体" w:cs="Times New Roman"/>
                <w:color w:val="auto"/>
                <w:sz w:val="22"/>
                <w:szCs w:val="24"/>
                <w:lang w:eastAsia="en-US"/>
              </w:rPr>
              <w:t>实际生产运行情况</w:t>
            </w:r>
          </w:p>
        </w:tc>
      </w:tr>
      <w:tr w14:paraId="639326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4" w:hRule="atLeast"/>
        </w:trPr>
        <w:tc>
          <w:tcPr>
            <w:tcW w:w="1107" w:type="pct"/>
            <w:tcBorders>
              <w:bottom w:val="single" w:color="auto" w:sz="4" w:space="0"/>
            </w:tcBorders>
            <w:vAlign w:val="center"/>
          </w:tcPr>
          <w:p w14:paraId="667433BF">
            <w:pPr>
              <w:jc w:val="center"/>
              <w:rPr>
                <w:rFonts w:ascii="Times New Roman" w:hAnsi="Times New Roman" w:eastAsia="宋体" w:cs="Times New Roman"/>
                <w:color w:val="auto"/>
                <w:sz w:val="22"/>
                <w:szCs w:val="24"/>
                <w:lang w:eastAsia="en-US"/>
              </w:rPr>
            </w:pPr>
            <w:r>
              <w:rPr>
                <w:rFonts w:ascii="Times New Roman" w:hAnsi="Times New Roman" w:eastAsia="宋体" w:cs="Times New Roman"/>
                <w:color w:val="auto"/>
                <w:sz w:val="22"/>
                <w:szCs w:val="24"/>
                <w:lang w:eastAsia="en-US"/>
              </w:rPr>
              <w:t>产品分类</w:t>
            </w:r>
          </w:p>
        </w:tc>
        <w:tc>
          <w:tcPr>
            <w:tcW w:w="425" w:type="pct"/>
            <w:tcBorders>
              <w:bottom w:val="single" w:color="auto" w:sz="4" w:space="0"/>
            </w:tcBorders>
            <w:vAlign w:val="center"/>
          </w:tcPr>
          <w:p w14:paraId="12F21057">
            <w:pPr>
              <w:jc w:val="center"/>
              <w:rPr>
                <w:rFonts w:ascii="Times New Roman" w:hAnsi="Times New Roman" w:eastAsia="宋体" w:cs="Times New Roman"/>
                <w:color w:val="auto"/>
                <w:sz w:val="22"/>
                <w:szCs w:val="24"/>
                <w:lang w:eastAsia="en-US"/>
              </w:rPr>
            </w:pPr>
            <w:r>
              <w:rPr>
                <w:rFonts w:ascii="Times New Roman" w:hAnsi="Times New Roman" w:eastAsia="宋体" w:cs="Times New Roman"/>
                <w:color w:val="auto"/>
                <w:sz w:val="22"/>
                <w:szCs w:val="24"/>
                <w:lang w:eastAsia="en-US"/>
              </w:rPr>
              <w:t>序号</w:t>
            </w:r>
          </w:p>
        </w:tc>
        <w:tc>
          <w:tcPr>
            <w:tcW w:w="1001" w:type="pct"/>
            <w:vAlign w:val="center"/>
          </w:tcPr>
          <w:p w14:paraId="6B6986EF">
            <w:pPr>
              <w:jc w:val="center"/>
              <w:rPr>
                <w:rFonts w:ascii="Times New Roman" w:hAnsi="Times New Roman" w:eastAsia="宋体" w:cs="Times New Roman"/>
                <w:color w:val="auto"/>
                <w:sz w:val="22"/>
                <w:szCs w:val="24"/>
                <w:lang w:eastAsia="en-US"/>
              </w:rPr>
            </w:pPr>
            <w:r>
              <w:rPr>
                <w:rFonts w:ascii="Times New Roman" w:hAnsi="Times New Roman" w:eastAsia="宋体" w:cs="Times New Roman"/>
                <w:color w:val="auto"/>
                <w:sz w:val="22"/>
                <w:szCs w:val="24"/>
                <w:lang w:eastAsia="en-US"/>
              </w:rPr>
              <w:t>产品名称</w:t>
            </w:r>
          </w:p>
        </w:tc>
        <w:tc>
          <w:tcPr>
            <w:tcW w:w="877" w:type="pct"/>
            <w:vAlign w:val="center"/>
          </w:tcPr>
          <w:p w14:paraId="1B52B463">
            <w:pPr>
              <w:jc w:val="center"/>
              <w:rPr>
                <w:rFonts w:ascii="Times New Roman" w:hAnsi="Times New Roman" w:eastAsia="宋体" w:cs="Times New Roman"/>
                <w:color w:val="auto"/>
                <w:sz w:val="22"/>
                <w:szCs w:val="24"/>
                <w:lang w:eastAsia="en-US"/>
              </w:rPr>
            </w:pPr>
            <w:r>
              <w:rPr>
                <w:rFonts w:ascii="Times New Roman" w:hAnsi="Times New Roman" w:eastAsia="宋体" w:cs="Times New Roman"/>
                <w:color w:val="auto"/>
                <w:sz w:val="22"/>
                <w:szCs w:val="24"/>
                <w:lang w:eastAsia="en-US"/>
              </w:rPr>
              <w:t>年产量（t/a）</w:t>
            </w:r>
          </w:p>
        </w:tc>
        <w:tc>
          <w:tcPr>
            <w:tcW w:w="1588" w:type="pct"/>
            <w:vMerge w:val="continue"/>
            <w:tcBorders>
              <w:top w:val="nil"/>
            </w:tcBorders>
            <w:vAlign w:val="center"/>
          </w:tcPr>
          <w:p w14:paraId="5A394EDC">
            <w:pPr>
              <w:jc w:val="center"/>
              <w:rPr>
                <w:rFonts w:ascii="Times New Roman" w:hAnsi="Times New Roman" w:eastAsia="宋体" w:cs="Times New Roman"/>
                <w:color w:val="auto"/>
                <w:sz w:val="22"/>
                <w:szCs w:val="24"/>
                <w:lang w:eastAsia="en-US"/>
              </w:rPr>
            </w:pPr>
          </w:p>
        </w:tc>
      </w:tr>
      <w:tr w14:paraId="2061FD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2" w:hRule="atLeast"/>
        </w:trPr>
        <w:tc>
          <w:tcPr>
            <w:tcW w:w="1107" w:type="pct"/>
            <w:vMerge w:val="restart"/>
            <w:tcBorders>
              <w:top w:val="single" w:color="auto" w:sz="4" w:space="0"/>
              <w:left w:val="single" w:color="auto" w:sz="4" w:space="0"/>
              <w:bottom w:val="single" w:color="auto" w:sz="4" w:space="0"/>
              <w:right w:val="single" w:color="auto" w:sz="4" w:space="0"/>
            </w:tcBorders>
            <w:vAlign w:val="center"/>
          </w:tcPr>
          <w:p w14:paraId="1F3577D8">
            <w:pPr>
              <w:jc w:val="center"/>
              <w:rPr>
                <w:rFonts w:ascii="Times New Roman" w:hAnsi="Times New Roman" w:eastAsia="宋体" w:cs="Times New Roman"/>
                <w:color w:val="auto"/>
                <w:sz w:val="22"/>
                <w:szCs w:val="24"/>
                <w:lang w:eastAsia="en-US"/>
              </w:rPr>
            </w:pPr>
            <w:r>
              <w:rPr>
                <w:rFonts w:hint="eastAsia" w:ascii="Times New Roman" w:hAnsi="Times New Roman" w:eastAsia="宋体" w:cs="Times New Roman"/>
                <w:color w:val="auto"/>
                <w:sz w:val="22"/>
                <w:szCs w:val="24"/>
                <w:lang w:eastAsia="en-US"/>
              </w:rPr>
              <w:t>年产10万标吨系列酶制剂</w:t>
            </w:r>
          </w:p>
        </w:tc>
        <w:tc>
          <w:tcPr>
            <w:tcW w:w="425" w:type="pct"/>
            <w:tcBorders>
              <w:top w:val="single" w:color="auto" w:sz="4" w:space="0"/>
              <w:left w:val="single" w:color="auto" w:sz="4" w:space="0"/>
              <w:bottom w:val="single" w:color="auto" w:sz="4" w:space="0"/>
              <w:right w:val="single" w:color="auto" w:sz="4" w:space="0"/>
            </w:tcBorders>
            <w:vAlign w:val="center"/>
          </w:tcPr>
          <w:p w14:paraId="614349F2">
            <w:pPr>
              <w:jc w:val="center"/>
              <w:rPr>
                <w:rFonts w:ascii="Times New Roman" w:hAnsi="Times New Roman" w:eastAsia="宋体" w:cs="Times New Roman"/>
                <w:color w:val="auto"/>
                <w:sz w:val="22"/>
                <w:szCs w:val="24"/>
                <w:lang w:eastAsia="en-US"/>
              </w:rPr>
            </w:pPr>
            <w:r>
              <w:rPr>
                <w:rFonts w:ascii="Times New Roman" w:hAnsi="Times New Roman" w:eastAsia="宋体" w:cs="Times New Roman"/>
                <w:color w:val="auto"/>
                <w:sz w:val="22"/>
                <w:szCs w:val="24"/>
                <w:lang w:eastAsia="en-US"/>
              </w:rPr>
              <w:t>1</w:t>
            </w:r>
          </w:p>
        </w:tc>
        <w:tc>
          <w:tcPr>
            <w:tcW w:w="1001" w:type="pct"/>
            <w:tcBorders>
              <w:left w:val="single" w:color="auto" w:sz="4" w:space="0"/>
            </w:tcBorders>
            <w:vAlign w:val="center"/>
          </w:tcPr>
          <w:p w14:paraId="6D78B6C2">
            <w:pPr>
              <w:jc w:val="center"/>
              <w:rPr>
                <w:rFonts w:hint="eastAsia"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糖化酶</w:t>
            </w:r>
          </w:p>
        </w:tc>
        <w:tc>
          <w:tcPr>
            <w:tcW w:w="877" w:type="pct"/>
            <w:vAlign w:val="center"/>
          </w:tcPr>
          <w:p w14:paraId="5A5CB761">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5.5万</w:t>
            </w:r>
          </w:p>
        </w:tc>
        <w:tc>
          <w:tcPr>
            <w:tcW w:w="1588" w:type="pct"/>
            <w:vAlign w:val="center"/>
          </w:tcPr>
          <w:p w14:paraId="73B275E6">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暂未</w:t>
            </w:r>
            <w:r>
              <w:rPr>
                <w:rFonts w:hint="eastAsia" w:ascii="Times New Roman" w:hAnsi="Times New Roman" w:eastAsia="宋体" w:cs="Times New Roman"/>
                <w:color w:val="auto"/>
                <w:sz w:val="22"/>
                <w:szCs w:val="24"/>
              </w:rPr>
              <w:t>生产</w:t>
            </w:r>
            <w:r>
              <w:rPr>
                <w:rFonts w:hint="eastAsia" w:ascii="Times New Roman" w:hAnsi="Times New Roman" w:eastAsia="宋体" w:cs="Times New Roman"/>
                <w:color w:val="auto"/>
                <w:sz w:val="22"/>
                <w:szCs w:val="24"/>
                <w:lang w:eastAsia="zh-CN"/>
              </w:rPr>
              <w:t>，</w:t>
            </w:r>
            <w:r>
              <w:rPr>
                <w:rFonts w:hint="eastAsia" w:ascii="Times New Roman" w:hAnsi="Times New Roman" w:eastAsia="宋体" w:cs="Times New Roman"/>
                <w:color w:val="auto"/>
                <w:sz w:val="22"/>
                <w:szCs w:val="24"/>
                <w:lang w:val="en-US" w:eastAsia="zh-CN"/>
              </w:rPr>
              <w:t>将减产至1万t/a</w:t>
            </w:r>
          </w:p>
        </w:tc>
      </w:tr>
      <w:tr w14:paraId="748598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2" w:hRule="atLeast"/>
        </w:trPr>
        <w:tc>
          <w:tcPr>
            <w:tcW w:w="1107" w:type="pct"/>
            <w:vMerge w:val="continue"/>
            <w:tcBorders>
              <w:top w:val="single" w:color="auto" w:sz="4" w:space="0"/>
              <w:left w:val="single" w:color="auto" w:sz="4" w:space="0"/>
              <w:bottom w:val="single" w:color="auto" w:sz="4" w:space="0"/>
              <w:right w:val="single" w:color="auto" w:sz="4" w:space="0"/>
            </w:tcBorders>
            <w:vAlign w:val="center"/>
          </w:tcPr>
          <w:p w14:paraId="6A4EB3B0">
            <w:pPr>
              <w:jc w:val="center"/>
              <w:rPr>
                <w:rFonts w:ascii="Times New Roman" w:hAnsi="Times New Roman" w:eastAsia="宋体" w:cs="Times New Roman"/>
                <w:color w:val="auto"/>
                <w:sz w:val="22"/>
                <w:szCs w:val="24"/>
                <w:lang w:eastAsia="en-US"/>
              </w:rPr>
            </w:pPr>
          </w:p>
        </w:tc>
        <w:tc>
          <w:tcPr>
            <w:tcW w:w="425" w:type="pct"/>
            <w:tcBorders>
              <w:top w:val="single" w:color="auto" w:sz="4" w:space="0"/>
              <w:left w:val="single" w:color="auto" w:sz="4" w:space="0"/>
              <w:bottom w:val="single" w:color="auto" w:sz="4" w:space="0"/>
              <w:right w:val="single" w:color="auto" w:sz="4" w:space="0"/>
            </w:tcBorders>
            <w:vAlign w:val="center"/>
          </w:tcPr>
          <w:p w14:paraId="685043D9">
            <w:pPr>
              <w:jc w:val="center"/>
              <w:rPr>
                <w:rFonts w:ascii="Times New Roman" w:hAnsi="Times New Roman" w:eastAsia="宋体" w:cs="Times New Roman"/>
                <w:color w:val="auto"/>
                <w:sz w:val="22"/>
                <w:szCs w:val="24"/>
                <w:lang w:eastAsia="en-US"/>
              </w:rPr>
            </w:pPr>
            <w:r>
              <w:rPr>
                <w:rFonts w:ascii="Times New Roman" w:hAnsi="Times New Roman" w:eastAsia="宋体" w:cs="Times New Roman"/>
                <w:color w:val="auto"/>
                <w:sz w:val="22"/>
                <w:szCs w:val="24"/>
                <w:lang w:eastAsia="en-US"/>
              </w:rPr>
              <w:t>2</w:t>
            </w:r>
          </w:p>
        </w:tc>
        <w:tc>
          <w:tcPr>
            <w:tcW w:w="1001" w:type="pct"/>
            <w:tcBorders>
              <w:left w:val="single" w:color="auto" w:sz="4" w:space="0"/>
            </w:tcBorders>
            <w:vAlign w:val="center"/>
          </w:tcPr>
          <w:p w14:paraId="6A47BEA9">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中温淀粉酶</w:t>
            </w:r>
          </w:p>
        </w:tc>
        <w:tc>
          <w:tcPr>
            <w:tcW w:w="877" w:type="pct"/>
            <w:vAlign w:val="center"/>
          </w:tcPr>
          <w:p w14:paraId="480BC04B">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2万</w:t>
            </w:r>
          </w:p>
        </w:tc>
        <w:tc>
          <w:tcPr>
            <w:tcW w:w="1588" w:type="pct"/>
            <w:vAlign w:val="center"/>
          </w:tcPr>
          <w:p w14:paraId="0200D204">
            <w:pPr>
              <w:jc w:val="center"/>
              <w:rPr>
                <w:rFonts w:ascii="Times New Roman" w:hAnsi="Times New Roman" w:eastAsia="宋体" w:cs="Times New Roman"/>
                <w:color w:val="auto"/>
                <w:sz w:val="22"/>
                <w:szCs w:val="24"/>
                <w:lang w:eastAsia="en-US"/>
              </w:rPr>
            </w:pPr>
            <w:r>
              <w:rPr>
                <w:rFonts w:hint="eastAsia" w:ascii="Times New Roman" w:hAnsi="Times New Roman" w:eastAsia="宋体" w:cs="Times New Roman"/>
                <w:color w:val="auto"/>
                <w:sz w:val="22"/>
                <w:szCs w:val="24"/>
              </w:rPr>
              <w:t>不再生产</w:t>
            </w:r>
          </w:p>
        </w:tc>
      </w:tr>
      <w:tr w14:paraId="756FF5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2" w:hRule="atLeast"/>
        </w:trPr>
        <w:tc>
          <w:tcPr>
            <w:tcW w:w="1107" w:type="pct"/>
            <w:vMerge w:val="continue"/>
            <w:tcBorders>
              <w:top w:val="single" w:color="auto" w:sz="4" w:space="0"/>
              <w:left w:val="single" w:color="auto" w:sz="4" w:space="0"/>
              <w:bottom w:val="single" w:color="auto" w:sz="4" w:space="0"/>
              <w:right w:val="single" w:color="auto" w:sz="4" w:space="0"/>
            </w:tcBorders>
            <w:vAlign w:val="center"/>
          </w:tcPr>
          <w:p w14:paraId="443B374A">
            <w:pPr>
              <w:jc w:val="center"/>
              <w:rPr>
                <w:rFonts w:ascii="Times New Roman" w:hAnsi="Times New Roman" w:eastAsia="宋体" w:cs="Times New Roman"/>
                <w:color w:val="auto"/>
                <w:sz w:val="22"/>
                <w:szCs w:val="24"/>
                <w:lang w:eastAsia="en-US"/>
              </w:rPr>
            </w:pPr>
          </w:p>
        </w:tc>
        <w:tc>
          <w:tcPr>
            <w:tcW w:w="425" w:type="pct"/>
            <w:tcBorders>
              <w:top w:val="single" w:color="auto" w:sz="4" w:space="0"/>
              <w:left w:val="single" w:color="auto" w:sz="4" w:space="0"/>
              <w:bottom w:val="single" w:color="auto" w:sz="4" w:space="0"/>
              <w:right w:val="single" w:color="auto" w:sz="4" w:space="0"/>
            </w:tcBorders>
            <w:vAlign w:val="center"/>
          </w:tcPr>
          <w:p w14:paraId="2EC4F46A">
            <w:pPr>
              <w:jc w:val="center"/>
              <w:rPr>
                <w:rFonts w:ascii="Times New Roman" w:hAnsi="Times New Roman" w:eastAsia="宋体" w:cs="Times New Roman"/>
                <w:color w:val="auto"/>
                <w:sz w:val="22"/>
                <w:szCs w:val="24"/>
                <w:lang w:eastAsia="en-US"/>
              </w:rPr>
            </w:pPr>
            <w:r>
              <w:rPr>
                <w:rFonts w:ascii="Times New Roman" w:hAnsi="Times New Roman" w:eastAsia="宋体" w:cs="Times New Roman"/>
                <w:color w:val="auto"/>
                <w:sz w:val="22"/>
                <w:szCs w:val="24"/>
                <w:lang w:eastAsia="en-US"/>
              </w:rPr>
              <w:t>3</w:t>
            </w:r>
          </w:p>
        </w:tc>
        <w:tc>
          <w:tcPr>
            <w:tcW w:w="1001" w:type="pct"/>
            <w:tcBorders>
              <w:left w:val="single" w:color="auto" w:sz="4" w:space="0"/>
            </w:tcBorders>
            <w:vAlign w:val="center"/>
          </w:tcPr>
          <w:p w14:paraId="54E15AE0">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耐高温淀粉酶</w:t>
            </w:r>
          </w:p>
        </w:tc>
        <w:tc>
          <w:tcPr>
            <w:tcW w:w="877" w:type="pct"/>
            <w:vAlign w:val="center"/>
          </w:tcPr>
          <w:p w14:paraId="3671C68A">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2万</w:t>
            </w:r>
          </w:p>
        </w:tc>
        <w:tc>
          <w:tcPr>
            <w:tcW w:w="1588" w:type="pct"/>
            <w:vAlign w:val="center"/>
          </w:tcPr>
          <w:p w14:paraId="65186F3A">
            <w:pPr>
              <w:jc w:val="center"/>
              <w:rPr>
                <w:rFonts w:ascii="Times New Roman" w:hAnsi="Times New Roman" w:eastAsia="宋体" w:cs="Times New Roman"/>
                <w:color w:val="auto"/>
                <w:sz w:val="22"/>
                <w:szCs w:val="24"/>
                <w:lang w:eastAsia="en-US"/>
              </w:rPr>
            </w:pPr>
            <w:r>
              <w:rPr>
                <w:rFonts w:hint="eastAsia" w:ascii="Times New Roman" w:hAnsi="Times New Roman" w:eastAsia="宋体" w:cs="Times New Roman"/>
                <w:color w:val="auto"/>
                <w:sz w:val="22"/>
                <w:szCs w:val="24"/>
              </w:rPr>
              <w:t>不再生产</w:t>
            </w:r>
          </w:p>
        </w:tc>
      </w:tr>
      <w:tr w14:paraId="03229E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2" w:hRule="atLeast"/>
        </w:trPr>
        <w:tc>
          <w:tcPr>
            <w:tcW w:w="1107" w:type="pct"/>
            <w:vMerge w:val="continue"/>
            <w:tcBorders>
              <w:top w:val="single" w:color="auto" w:sz="4" w:space="0"/>
              <w:left w:val="single" w:color="auto" w:sz="4" w:space="0"/>
              <w:bottom w:val="single" w:color="auto" w:sz="4" w:space="0"/>
              <w:right w:val="single" w:color="auto" w:sz="4" w:space="0"/>
            </w:tcBorders>
            <w:vAlign w:val="center"/>
          </w:tcPr>
          <w:p w14:paraId="63303C51">
            <w:pPr>
              <w:jc w:val="center"/>
              <w:rPr>
                <w:rFonts w:ascii="Times New Roman" w:hAnsi="Times New Roman" w:eastAsia="宋体" w:cs="Times New Roman"/>
                <w:color w:val="auto"/>
                <w:sz w:val="22"/>
                <w:szCs w:val="24"/>
                <w:lang w:eastAsia="en-US"/>
              </w:rPr>
            </w:pPr>
          </w:p>
        </w:tc>
        <w:tc>
          <w:tcPr>
            <w:tcW w:w="425" w:type="pct"/>
            <w:tcBorders>
              <w:top w:val="single" w:color="auto" w:sz="4" w:space="0"/>
              <w:left w:val="single" w:color="auto" w:sz="4" w:space="0"/>
              <w:bottom w:val="single" w:color="auto" w:sz="4" w:space="0"/>
              <w:right w:val="single" w:color="auto" w:sz="4" w:space="0"/>
            </w:tcBorders>
            <w:vAlign w:val="center"/>
          </w:tcPr>
          <w:p w14:paraId="4C86ED3B">
            <w:pPr>
              <w:jc w:val="center"/>
              <w:rPr>
                <w:rFonts w:ascii="Times New Roman" w:hAnsi="Times New Roman" w:eastAsia="宋体" w:cs="Times New Roman"/>
                <w:color w:val="auto"/>
                <w:sz w:val="22"/>
                <w:szCs w:val="24"/>
                <w:lang w:eastAsia="en-US"/>
              </w:rPr>
            </w:pPr>
            <w:r>
              <w:rPr>
                <w:rFonts w:ascii="Times New Roman" w:hAnsi="Times New Roman" w:eastAsia="宋体" w:cs="Times New Roman"/>
                <w:color w:val="auto"/>
                <w:sz w:val="22"/>
                <w:szCs w:val="24"/>
                <w:lang w:eastAsia="en-US"/>
              </w:rPr>
              <w:t>4</w:t>
            </w:r>
          </w:p>
        </w:tc>
        <w:tc>
          <w:tcPr>
            <w:tcW w:w="1001" w:type="pct"/>
            <w:tcBorders>
              <w:left w:val="single" w:color="auto" w:sz="4" w:space="0"/>
            </w:tcBorders>
            <w:vAlign w:val="center"/>
          </w:tcPr>
          <w:p w14:paraId="6F47C94C">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β-淀粉酶</w:t>
            </w:r>
          </w:p>
        </w:tc>
        <w:tc>
          <w:tcPr>
            <w:tcW w:w="877" w:type="pct"/>
            <w:vAlign w:val="center"/>
          </w:tcPr>
          <w:p w14:paraId="6D6FAC33">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0.5万</w:t>
            </w:r>
          </w:p>
        </w:tc>
        <w:tc>
          <w:tcPr>
            <w:tcW w:w="1588" w:type="pct"/>
            <w:vAlign w:val="center"/>
          </w:tcPr>
          <w:p w14:paraId="330C8A4E">
            <w:pPr>
              <w:jc w:val="center"/>
              <w:rPr>
                <w:rFonts w:ascii="Times New Roman" w:hAnsi="Times New Roman" w:eastAsia="宋体" w:cs="Times New Roman"/>
                <w:color w:val="auto"/>
                <w:sz w:val="22"/>
                <w:szCs w:val="24"/>
                <w:lang w:eastAsia="en-US"/>
              </w:rPr>
            </w:pPr>
            <w:r>
              <w:rPr>
                <w:rFonts w:hint="eastAsia" w:ascii="Times New Roman" w:hAnsi="Times New Roman" w:eastAsia="宋体" w:cs="Times New Roman"/>
                <w:color w:val="auto"/>
                <w:sz w:val="22"/>
                <w:szCs w:val="24"/>
              </w:rPr>
              <w:t>不再生产</w:t>
            </w:r>
          </w:p>
        </w:tc>
      </w:tr>
      <w:tr w14:paraId="7543D9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2" w:hRule="atLeast"/>
        </w:trPr>
        <w:tc>
          <w:tcPr>
            <w:tcW w:w="1107" w:type="pct"/>
            <w:tcBorders>
              <w:top w:val="single" w:color="auto" w:sz="4" w:space="0"/>
              <w:left w:val="single" w:color="auto" w:sz="4" w:space="0"/>
              <w:bottom w:val="single" w:color="auto" w:sz="4" w:space="0"/>
              <w:right w:val="single" w:color="auto" w:sz="4" w:space="0"/>
            </w:tcBorders>
            <w:vAlign w:val="center"/>
          </w:tcPr>
          <w:p w14:paraId="622323D0">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20吨内酯环（A环降解物）</w:t>
            </w:r>
          </w:p>
        </w:tc>
        <w:tc>
          <w:tcPr>
            <w:tcW w:w="425" w:type="pct"/>
            <w:tcBorders>
              <w:top w:val="single" w:color="auto" w:sz="4" w:space="0"/>
              <w:left w:val="single" w:color="auto" w:sz="4" w:space="0"/>
              <w:bottom w:val="single" w:color="auto" w:sz="4" w:space="0"/>
              <w:right w:val="single" w:color="auto" w:sz="4" w:space="0"/>
            </w:tcBorders>
            <w:vAlign w:val="center"/>
          </w:tcPr>
          <w:p w14:paraId="7921D953">
            <w:pPr>
              <w:jc w:val="center"/>
              <w:rPr>
                <w:rFonts w:ascii="Times New Roman" w:hAnsi="Times New Roman" w:eastAsia="宋体" w:cs="Times New Roman"/>
                <w:color w:val="auto"/>
                <w:sz w:val="22"/>
                <w:szCs w:val="24"/>
                <w:lang w:eastAsia="en-US"/>
              </w:rPr>
            </w:pPr>
            <w:r>
              <w:rPr>
                <w:rFonts w:ascii="Times New Roman" w:hAnsi="Times New Roman" w:eastAsia="宋体" w:cs="Times New Roman"/>
                <w:color w:val="auto"/>
                <w:sz w:val="22"/>
                <w:szCs w:val="24"/>
                <w:lang w:eastAsia="en-US"/>
              </w:rPr>
              <w:t>1</w:t>
            </w:r>
          </w:p>
        </w:tc>
        <w:tc>
          <w:tcPr>
            <w:tcW w:w="1001" w:type="pct"/>
            <w:tcBorders>
              <w:left w:val="single" w:color="auto" w:sz="4" w:space="0"/>
            </w:tcBorders>
            <w:vAlign w:val="center"/>
          </w:tcPr>
          <w:p w14:paraId="229B322D">
            <w:pPr>
              <w:jc w:val="center"/>
              <w:rPr>
                <w:rFonts w:ascii="Times New Roman" w:hAnsi="Times New Roman" w:eastAsia="宋体" w:cs="Times New Roman"/>
                <w:color w:val="auto"/>
                <w:sz w:val="22"/>
                <w:szCs w:val="24"/>
                <w:lang w:eastAsia="en-US"/>
              </w:rPr>
            </w:pPr>
            <w:r>
              <w:rPr>
                <w:rFonts w:hint="eastAsia" w:ascii="Times New Roman" w:hAnsi="Times New Roman" w:eastAsia="宋体" w:cs="Times New Roman"/>
                <w:color w:val="auto"/>
                <w:sz w:val="22"/>
                <w:szCs w:val="24"/>
                <w:lang w:eastAsia="en-US"/>
              </w:rPr>
              <w:t>20吨内酯环（A环降解物）</w:t>
            </w:r>
          </w:p>
        </w:tc>
        <w:tc>
          <w:tcPr>
            <w:tcW w:w="877" w:type="pct"/>
            <w:vAlign w:val="center"/>
          </w:tcPr>
          <w:p w14:paraId="615BE45C">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20</w:t>
            </w:r>
          </w:p>
        </w:tc>
        <w:tc>
          <w:tcPr>
            <w:tcW w:w="1588" w:type="pct"/>
            <w:vAlign w:val="center"/>
          </w:tcPr>
          <w:p w14:paraId="4D41ED92">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lang w:val="en-US" w:eastAsia="zh-CN"/>
              </w:rPr>
              <w:t>不在</w:t>
            </w:r>
            <w:r>
              <w:rPr>
                <w:rFonts w:hint="eastAsia" w:ascii="Times New Roman" w:hAnsi="Times New Roman" w:eastAsia="宋体" w:cs="Times New Roman"/>
                <w:color w:val="auto"/>
                <w:sz w:val="22"/>
                <w:szCs w:val="24"/>
              </w:rPr>
              <w:t>生产</w:t>
            </w:r>
          </w:p>
        </w:tc>
      </w:tr>
      <w:tr w14:paraId="61761E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1107" w:type="pct"/>
            <w:tcBorders>
              <w:top w:val="single" w:color="auto" w:sz="4" w:space="0"/>
              <w:left w:val="single" w:color="auto" w:sz="4" w:space="0"/>
              <w:bottom w:val="single" w:color="auto" w:sz="4" w:space="0"/>
              <w:right w:val="single" w:color="auto" w:sz="4" w:space="0"/>
            </w:tcBorders>
            <w:vAlign w:val="center"/>
          </w:tcPr>
          <w:p w14:paraId="062264A2">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17a-羟基黄体酮中间体</w:t>
            </w:r>
          </w:p>
        </w:tc>
        <w:tc>
          <w:tcPr>
            <w:tcW w:w="425" w:type="pct"/>
            <w:tcBorders>
              <w:top w:val="single" w:color="auto" w:sz="4" w:space="0"/>
              <w:left w:val="single" w:color="auto" w:sz="4" w:space="0"/>
              <w:bottom w:val="single" w:color="auto" w:sz="4" w:space="0"/>
              <w:right w:val="single" w:color="auto" w:sz="4" w:space="0"/>
            </w:tcBorders>
            <w:vAlign w:val="center"/>
          </w:tcPr>
          <w:p w14:paraId="7B3715EF">
            <w:pPr>
              <w:jc w:val="center"/>
              <w:rPr>
                <w:rFonts w:hint="eastAsia"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1</w:t>
            </w:r>
          </w:p>
        </w:tc>
        <w:tc>
          <w:tcPr>
            <w:tcW w:w="1001" w:type="pct"/>
            <w:tcBorders>
              <w:left w:val="single" w:color="auto" w:sz="4" w:space="0"/>
            </w:tcBorders>
            <w:vAlign w:val="center"/>
          </w:tcPr>
          <w:p w14:paraId="2C3A41BD">
            <w:pPr>
              <w:jc w:val="center"/>
              <w:rPr>
                <w:rFonts w:ascii="Times New Roman" w:hAnsi="Times New Roman" w:eastAsia="宋体" w:cs="Times New Roman"/>
                <w:color w:val="auto"/>
                <w:sz w:val="22"/>
                <w:szCs w:val="24"/>
                <w:lang w:eastAsia="en-US"/>
              </w:rPr>
            </w:pPr>
            <w:r>
              <w:rPr>
                <w:rFonts w:hint="eastAsia" w:ascii="Times New Roman" w:hAnsi="Times New Roman" w:eastAsia="宋体" w:cs="Times New Roman"/>
                <w:color w:val="auto"/>
                <w:sz w:val="22"/>
                <w:szCs w:val="24"/>
                <w:lang w:eastAsia="en-US"/>
              </w:rPr>
              <w:t>17a-羟基黄体酮中间体</w:t>
            </w:r>
          </w:p>
        </w:tc>
        <w:tc>
          <w:tcPr>
            <w:tcW w:w="877" w:type="pct"/>
            <w:vAlign w:val="center"/>
          </w:tcPr>
          <w:p w14:paraId="45220BE4">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50</w:t>
            </w:r>
          </w:p>
        </w:tc>
        <w:tc>
          <w:tcPr>
            <w:tcW w:w="1588" w:type="pct"/>
            <w:vAlign w:val="center"/>
          </w:tcPr>
          <w:p w14:paraId="047E01F6">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不在生产</w:t>
            </w:r>
          </w:p>
        </w:tc>
      </w:tr>
      <w:tr w14:paraId="1A1776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1107" w:type="pct"/>
            <w:tcBorders>
              <w:top w:val="single" w:color="auto" w:sz="4" w:space="0"/>
              <w:left w:val="single" w:color="auto" w:sz="4" w:space="0"/>
              <w:bottom w:val="single" w:color="auto" w:sz="4" w:space="0"/>
              <w:right w:val="single" w:color="auto" w:sz="4" w:space="0"/>
            </w:tcBorders>
            <w:vAlign w:val="center"/>
          </w:tcPr>
          <w:p w14:paraId="7C7794BB">
            <w:pPr>
              <w:jc w:val="center"/>
              <w:rPr>
                <w:rFonts w:hint="eastAsia"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腺苷中间体发酵产品</w:t>
            </w:r>
          </w:p>
        </w:tc>
        <w:tc>
          <w:tcPr>
            <w:tcW w:w="425" w:type="pct"/>
            <w:tcBorders>
              <w:top w:val="single" w:color="auto" w:sz="4" w:space="0"/>
              <w:left w:val="single" w:color="auto" w:sz="4" w:space="0"/>
              <w:bottom w:val="single" w:color="auto" w:sz="4" w:space="0"/>
              <w:right w:val="single" w:color="auto" w:sz="4" w:space="0"/>
            </w:tcBorders>
            <w:vAlign w:val="center"/>
          </w:tcPr>
          <w:p w14:paraId="1A74C679">
            <w:pPr>
              <w:jc w:val="center"/>
              <w:rPr>
                <w:rFonts w:hint="eastAsia"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1</w:t>
            </w:r>
          </w:p>
        </w:tc>
        <w:tc>
          <w:tcPr>
            <w:tcW w:w="1001" w:type="pct"/>
            <w:tcBorders>
              <w:left w:val="single" w:color="auto" w:sz="4" w:space="0"/>
            </w:tcBorders>
            <w:vAlign w:val="center"/>
          </w:tcPr>
          <w:p w14:paraId="6687E0E3">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腺苷中间体</w:t>
            </w:r>
          </w:p>
        </w:tc>
        <w:tc>
          <w:tcPr>
            <w:tcW w:w="877" w:type="pct"/>
            <w:vAlign w:val="center"/>
          </w:tcPr>
          <w:p w14:paraId="311B0F24">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300</w:t>
            </w:r>
          </w:p>
        </w:tc>
        <w:tc>
          <w:tcPr>
            <w:tcW w:w="1588" w:type="pct"/>
            <w:vAlign w:val="center"/>
          </w:tcPr>
          <w:p w14:paraId="21220EBA">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暂未生产</w:t>
            </w:r>
          </w:p>
        </w:tc>
      </w:tr>
      <w:tr w14:paraId="011620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1107" w:type="pct"/>
            <w:vMerge w:val="restart"/>
            <w:tcBorders>
              <w:top w:val="single" w:color="auto" w:sz="4" w:space="0"/>
              <w:left w:val="single" w:color="auto" w:sz="4" w:space="0"/>
              <w:right w:val="single" w:color="auto" w:sz="4" w:space="0"/>
            </w:tcBorders>
            <w:vAlign w:val="center"/>
          </w:tcPr>
          <w:p w14:paraId="30EF6CC2">
            <w:pPr>
              <w:jc w:val="center"/>
              <w:rPr>
                <w:rFonts w:hint="eastAsia"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年产2000吨泛酸钙饲料添加剂及2000吨丙氨酸食品添加剂生产线</w:t>
            </w:r>
          </w:p>
        </w:tc>
        <w:tc>
          <w:tcPr>
            <w:tcW w:w="425" w:type="pct"/>
            <w:tcBorders>
              <w:top w:val="single" w:color="auto" w:sz="4" w:space="0"/>
              <w:left w:val="single" w:color="auto" w:sz="4" w:space="0"/>
              <w:bottom w:val="single" w:color="auto" w:sz="4" w:space="0"/>
              <w:right w:val="single" w:color="auto" w:sz="4" w:space="0"/>
            </w:tcBorders>
            <w:vAlign w:val="center"/>
          </w:tcPr>
          <w:p w14:paraId="21DED636">
            <w:pPr>
              <w:jc w:val="center"/>
              <w:rPr>
                <w:rFonts w:hint="eastAsia"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1</w:t>
            </w:r>
          </w:p>
        </w:tc>
        <w:tc>
          <w:tcPr>
            <w:tcW w:w="1001" w:type="pct"/>
            <w:tcBorders>
              <w:left w:val="single" w:color="auto" w:sz="4" w:space="0"/>
            </w:tcBorders>
            <w:vAlign w:val="center"/>
          </w:tcPr>
          <w:p w14:paraId="35C357B8">
            <w:pPr>
              <w:jc w:val="center"/>
              <w:rPr>
                <w:rFonts w:hint="eastAsia"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rPr>
              <w:t>泛酸钙饲料添加剂</w:t>
            </w:r>
          </w:p>
        </w:tc>
        <w:tc>
          <w:tcPr>
            <w:tcW w:w="877" w:type="pct"/>
            <w:vAlign w:val="center"/>
          </w:tcPr>
          <w:p w14:paraId="73F2488A">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2000</w:t>
            </w:r>
          </w:p>
        </w:tc>
        <w:tc>
          <w:tcPr>
            <w:tcW w:w="1588" w:type="pct"/>
            <w:vAlign w:val="center"/>
          </w:tcPr>
          <w:p w14:paraId="307F80D0">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生产中，393.87t/a</w:t>
            </w:r>
          </w:p>
        </w:tc>
      </w:tr>
      <w:tr w14:paraId="167D73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1107" w:type="pct"/>
            <w:vMerge w:val="continue"/>
            <w:tcBorders>
              <w:left w:val="single" w:color="auto" w:sz="4" w:space="0"/>
              <w:bottom w:val="single" w:color="auto" w:sz="4" w:space="0"/>
              <w:right w:val="single" w:color="auto" w:sz="4" w:space="0"/>
            </w:tcBorders>
            <w:vAlign w:val="center"/>
          </w:tcPr>
          <w:p w14:paraId="046E847F">
            <w:pPr>
              <w:jc w:val="center"/>
              <w:rPr>
                <w:rFonts w:hint="eastAsia" w:ascii="Times New Roman" w:hAnsi="Times New Roman" w:eastAsia="宋体" w:cs="Times New Roman"/>
                <w:color w:val="auto"/>
                <w:sz w:val="22"/>
                <w:szCs w:val="24"/>
              </w:rPr>
            </w:pPr>
          </w:p>
        </w:tc>
        <w:tc>
          <w:tcPr>
            <w:tcW w:w="425" w:type="pct"/>
            <w:tcBorders>
              <w:top w:val="single" w:color="auto" w:sz="4" w:space="0"/>
              <w:left w:val="single" w:color="auto" w:sz="4" w:space="0"/>
              <w:bottom w:val="single" w:color="auto" w:sz="4" w:space="0"/>
              <w:right w:val="single" w:color="auto" w:sz="4" w:space="0"/>
            </w:tcBorders>
            <w:vAlign w:val="center"/>
          </w:tcPr>
          <w:p w14:paraId="311F6185">
            <w:pPr>
              <w:jc w:val="center"/>
              <w:rPr>
                <w:rFonts w:hint="eastAsia"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2</w:t>
            </w:r>
          </w:p>
        </w:tc>
        <w:tc>
          <w:tcPr>
            <w:tcW w:w="1001" w:type="pct"/>
            <w:tcBorders>
              <w:left w:val="single" w:color="auto" w:sz="4" w:space="0"/>
            </w:tcBorders>
            <w:vAlign w:val="center"/>
          </w:tcPr>
          <w:p w14:paraId="009A0CEA">
            <w:pPr>
              <w:jc w:val="center"/>
              <w:rPr>
                <w:rFonts w:hint="eastAsia"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rPr>
              <w:t>丙氨酸食品添加剂</w:t>
            </w:r>
          </w:p>
        </w:tc>
        <w:tc>
          <w:tcPr>
            <w:tcW w:w="877" w:type="pct"/>
            <w:vAlign w:val="center"/>
          </w:tcPr>
          <w:p w14:paraId="1AF06673">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2000</w:t>
            </w:r>
          </w:p>
        </w:tc>
        <w:tc>
          <w:tcPr>
            <w:tcW w:w="1588" w:type="pct"/>
            <w:vAlign w:val="center"/>
          </w:tcPr>
          <w:p w14:paraId="7F824332">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暂未生产</w:t>
            </w:r>
          </w:p>
        </w:tc>
      </w:tr>
      <w:tr w14:paraId="4D9284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 w:hRule="atLeast"/>
        </w:trPr>
        <w:tc>
          <w:tcPr>
            <w:tcW w:w="1107" w:type="pct"/>
            <w:tcBorders>
              <w:top w:val="single" w:color="auto" w:sz="4" w:space="0"/>
              <w:left w:val="single" w:color="auto" w:sz="4" w:space="0"/>
              <w:bottom w:val="single" w:color="auto" w:sz="4" w:space="0"/>
              <w:right w:val="single" w:color="auto" w:sz="4" w:space="0"/>
            </w:tcBorders>
            <w:vAlign w:val="center"/>
          </w:tcPr>
          <w:p w14:paraId="1093BE89">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胞嘧啶中间体生产线</w:t>
            </w:r>
          </w:p>
        </w:tc>
        <w:tc>
          <w:tcPr>
            <w:tcW w:w="425" w:type="pct"/>
            <w:tcBorders>
              <w:top w:val="single" w:color="auto" w:sz="4" w:space="0"/>
              <w:left w:val="single" w:color="auto" w:sz="4" w:space="0"/>
              <w:bottom w:val="single" w:color="auto" w:sz="4" w:space="0"/>
              <w:right w:val="single" w:color="auto" w:sz="4" w:space="0"/>
            </w:tcBorders>
            <w:vAlign w:val="center"/>
          </w:tcPr>
          <w:p w14:paraId="0F0134E3">
            <w:pPr>
              <w:jc w:val="center"/>
              <w:rPr>
                <w:rFonts w:ascii="Times New Roman" w:hAnsi="Times New Roman" w:eastAsia="宋体" w:cs="Times New Roman"/>
                <w:color w:val="auto"/>
                <w:sz w:val="22"/>
                <w:szCs w:val="24"/>
                <w:lang w:eastAsia="en-US"/>
              </w:rPr>
            </w:pPr>
            <w:r>
              <w:rPr>
                <w:rFonts w:ascii="Times New Roman" w:hAnsi="Times New Roman" w:eastAsia="宋体" w:cs="Times New Roman"/>
                <w:color w:val="auto"/>
                <w:sz w:val="22"/>
                <w:szCs w:val="24"/>
                <w:lang w:eastAsia="en-US"/>
              </w:rPr>
              <w:t>1</w:t>
            </w:r>
          </w:p>
        </w:tc>
        <w:tc>
          <w:tcPr>
            <w:tcW w:w="1001" w:type="pct"/>
            <w:tcBorders>
              <w:left w:val="single" w:color="auto" w:sz="4" w:space="0"/>
            </w:tcBorders>
            <w:vAlign w:val="center"/>
          </w:tcPr>
          <w:p w14:paraId="3C5694E6">
            <w:pPr>
              <w:jc w:val="center"/>
              <w:rPr>
                <w:rFonts w:ascii="Times New Roman" w:hAnsi="Times New Roman" w:eastAsia="宋体" w:cs="Times New Roman"/>
                <w:color w:val="auto"/>
                <w:sz w:val="22"/>
                <w:szCs w:val="24"/>
                <w:lang w:eastAsia="en-US"/>
              </w:rPr>
            </w:pPr>
            <w:r>
              <w:rPr>
                <w:rFonts w:hint="eastAsia" w:ascii="Times New Roman" w:hAnsi="Times New Roman" w:eastAsia="宋体" w:cs="Times New Roman"/>
                <w:color w:val="auto"/>
                <w:sz w:val="22"/>
                <w:szCs w:val="24"/>
              </w:rPr>
              <w:t>胞嘧啶中间体</w:t>
            </w:r>
          </w:p>
        </w:tc>
        <w:tc>
          <w:tcPr>
            <w:tcW w:w="877" w:type="pct"/>
            <w:vAlign w:val="center"/>
          </w:tcPr>
          <w:p w14:paraId="4B501C3F">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1500</w:t>
            </w:r>
          </w:p>
        </w:tc>
        <w:tc>
          <w:tcPr>
            <w:tcW w:w="1588" w:type="pct"/>
            <w:vAlign w:val="center"/>
          </w:tcPr>
          <w:p w14:paraId="6D50BDE9">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暂未生产</w:t>
            </w:r>
          </w:p>
        </w:tc>
      </w:tr>
    </w:tbl>
    <w:p w14:paraId="26AAC063">
      <w:pPr>
        <w:pStyle w:val="4"/>
        <w:bidi w:val="0"/>
      </w:pPr>
      <w:r>
        <w:t>3.1.6</w:t>
      </w:r>
      <w:r>
        <w:rPr>
          <w:rFonts w:hint="eastAsia"/>
        </w:rPr>
        <w:t>现有工程原辅材料情况</w:t>
      </w:r>
    </w:p>
    <w:p w14:paraId="36F77DB5">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现有工程原辅材料情况（2023年实际使用情况）如下表所示</w:t>
      </w:r>
      <w:r>
        <w:rPr>
          <w:rFonts w:hint="eastAsia" w:ascii="Times New Roman" w:hAnsi="Times New Roman" w:eastAsia="宋体" w:cs="Times New Roman"/>
          <w:color w:val="auto"/>
          <w:sz w:val="24"/>
          <w:szCs w:val="24"/>
          <w:lang w:eastAsia="zh-CN"/>
        </w:rPr>
        <w:t>，数据来源于《2023年排污许可证执行报告》</w:t>
      </w:r>
      <w:r>
        <w:rPr>
          <w:rFonts w:hint="eastAsia" w:ascii="Times New Roman" w:hAnsi="Times New Roman" w:eastAsia="宋体" w:cs="Times New Roman"/>
          <w:color w:val="auto"/>
          <w:sz w:val="24"/>
          <w:szCs w:val="24"/>
        </w:rPr>
        <w:t>：</w:t>
      </w:r>
    </w:p>
    <w:p w14:paraId="4F9E48D1">
      <w:pPr>
        <w:pStyle w:val="6"/>
        <w:bidi w:val="0"/>
      </w:pPr>
      <w:r>
        <w:rPr>
          <w:rFonts w:hint="eastAsia"/>
        </w:rPr>
        <w:t>表</w:t>
      </w:r>
      <w:r>
        <w:t>3.1</w:t>
      </w:r>
      <w:r>
        <w:rPr>
          <w:rFonts w:hint="eastAsia"/>
        </w:rPr>
        <w:t>.6</w:t>
      </w:r>
      <w:r>
        <w:t>-</w:t>
      </w:r>
      <w:r>
        <w:rPr>
          <w:rFonts w:hint="eastAsia"/>
        </w:rPr>
        <w:t>1</w:t>
      </w:r>
      <w:r>
        <w:t xml:space="preserve">  </w:t>
      </w:r>
      <w:r>
        <w:rPr>
          <w:rFonts w:hint="eastAsia"/>
        </w:rPr>
        <w:t xml:space="preserve"> </w:t>
      </w:r>
      <w:r>
        <w:t xml:space="preserve"> </w:t>
      </w:r>
      <w:r>
        <w:rPr>
          <w:rFonts w:hint="eastAsia"/>
        </w:rPr>
        <w:t>2023年现有工程原辅材料实际年消耗一览表</w:t>
      </w:r>
    </w:p>
    <w:tbl>
      <w:tblPr>
        <w:tblStyle w:val="41"/>
        <w:tblW w:w="445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0" w:type="dxa"/>
          <w:bottom w:w="0" w:type="dxa"/>
          <w:right w:w="0" w:type="dxa"/>
        </w:tblCellMar>
      </w:tblPr>
      <w:tblGrid>
        <w:gridCol w:w="2596"/>
        <w:gridCol w:w="1519"/>
        <w:gridCol w:w="3292"/>
      </w:tblGrid>
      <w:tr w14:paraId="6A9D5C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3" w:hRule="atLeast"/>
          <w:jc w:val="center"/>
        </w:trPr>
        <w:tc>
          <w:tcPr>
            <w:tcW w:w="1752" w:type="pct"/>
            <w:vAlign w:val="center"/>
          </w:tcPr>
          <w:p w14:paraId="065C5F62">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原辅材料名称</w:t>
            </w:r>
          </w:p>
        </w:tc>
        <w:tc>
          <w:tcPr>
            <w:tcW w:w="1025" w:type="pct"/>
            <w:vAlign w:val="center"/>
          </w:tcPr>
          <w:p w14:paraId="20C3E3D5">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消耗量（t/a）</w:t>
            </w:r>
          </w:p>
        </w:tc>
        <w:tc>
          <w:tcPr>
            <w:tcW w:w="2221" w:type="pct"/>
            <w:vAlign w:val="center"/>
          </w:tcPr>
          <w:p w14:paraId="39877934">
            <w:pPr>
              <w:jc w:val="center"/>
              <w:rPr>
                <w:rFonts w:hint="eastAsia"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备注</w:t>
            </w:r>
          </w:p>
        </w:tc>
      </w:tr>
      <w:tr w14:paraId="18E4D7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93" w:hRule="atLeast"/>
          <w:jc w:val="center"/>
        </w:trPr>
        <w:tc>
          <w:tcPr>
            <w:tcW w:w="1752" w:type="pct"/>
            <w:vAlign w:val="center"/>
          </w:tcPr>
          <w:p w14:paraId="177BF3F5">
            <w:pPr>
              <w:jc w:val="center"/>
              <w:rPr>
                <w:rFonts w:hint="eastAsia"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玉米浆</w:t>
            </w:r>
          </w:p>
        </w:tc>
        <w:tc>
          <w:tcPr>
            <w:tcW w:w="1025" w:type="pct"/>
            <w:vAlign w:val="center"/>
          </w:tcPr>
          <w:p w14:paraId="094ACE55">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620.52</w:t>
            </w:r>
          </w:p>
        </w:tc>
        <w:tc>
          <w:tcPr>
            <w:tcW w:w="2221" w:type="pct"/>
            <w:vAlign w:val="center"/>
          </w:tcPr>
          <w:p w14:paraId="483B6CC9">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泛酸钙原料</w:t>
            </w:r>
          </w:p>
        </w:tc>
      </w:tr>
      <w:tr w14:paraId="3C1906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94" w:hRule="atLeast"/>
          <w:jc w:val="center"/>
        </w:trPr>
        <w:tc>
          <w:tcPr>
            <w:tcW w:w="1752" w:type="pct"/>
            <w:vAlign w:val="center"/>
          </w:tcPr>
          <w:p w14:paraId="307B9641">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葡萄糖</w:t>
            </w:r>
          </w:p>
        </w:tc>
        <w:tc>
          <w:tcPr>
            <w:tcW w:w="1025" w:type="pct"/>
            <w:vAlign w:val="center"/>
          </w:tcPr>
          <w:p w14:paraId="104016BB">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3858.55</w:t>
            </w:r>
          </w:p>
        </w:tc>
        <w:tc>
          <w:tcPr>
            <w:tcW w:w="2221" w:type="pct"/>
            <w:vAlign w:val="center"/>
          </w:tcPr>
          <w:p w14:paraId="53681745">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lang w:val="en-US" w:eastAsia="zh-CN"/>
              </w:rPr>
              <w:t>泛酸钙原料</w:t>
            </w:r>
          </w:p>
        </w:tc>
      </w:tr>
      <w:tr w14:paraId="2AFD7B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93" w:hRule="atLeast"/>
          <w:jc w:val="center"/>
        </w:trPr>
        <w:tc>
          <w:tcPr>
            <w:tcW w:w="1752" w:type="pct"/>
            <w:vAlign w:val="center"/>
          </w:tcPr>
          <w:p w14:paraId="6675CBAC">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DL-泛酸内酯</w:t>
            </w:r>
          </w:p>
        </w:tc>
        <w:tc>
          <w:tcPr>
            <w:tcW w:w="1025" w:type="pct"/>
            <w:vAlign w:val="center"/>
          </w:tcPr>
          <w:p w14:paraId="5013812C">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36.87</w:t>
            </w:r>
          </w:p>
        </w:tc>
        <w:tc>
          <w:tcPr>
            <w:tcW w:w="2221" w:type="pct"/>
            <w:vAlign w:val="center"/>
          </w:tcPr>
          <w:p w14:paraId="0BBD2E28">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泛酸钙辅料</w:t>
            </w:r>
          </w:p>
        </w:tc>
      </w:tr>
      <w:tr w14:paraId="31B3C3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93" w:hRule="atLeast"/>
          <w:jc w:val="center"/>
        </w:trPr>
        <w:tc>
          <w:tcPr>
            <w:tcW w:w="1752" w:type="pct"/>
            <w:vAlign w:val="center"/>
          </w:tcPr>
          <w:p w14:paraId="3A86A774">
            <w:pPr>
              <w:jc w:val="center"/>
              <w:rPr>
                <w:rFonts w:hint="eastAsia"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盐酸</w:t>
            </w:r>
          </w:p>
        </w:tc>
        <w:tc>
          <w:tcPr>
            <w:tcW w:w="1025" w:type="pct"/>
            <w:vAlign w:val="center"/>
          </w:tcPr>
          <w:p w14:paraId="5AD2EFAC">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366.6</w:t>
            </w:r>
          </w:p>
        </w:tc>
        <w:tc>
          <w:tcPr>
            <w:tcW w:w="2221" w:type="pct"/>
            <w:vAlign w:val="center"/>
          </w:tcPr>
          <w:p w14:paraId="72310D87">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lang w:val="en-US" w:eastAsia="zh-CN"/>
              </w:rPr>
              <w:t>泛酸钙辅料</w:t>
            </w:r>
          </w:p>
        </w:tc>
      </w:tr>
      <w:tr w14:paraId="365968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93" w:hRule="atLeast"/>
          <w:jc w:val="center"/>
        </w:trPr>
        <w:tc>
          <w:tcPr>
            <w:tcW w:w="1752" w:type="pct"/>
            <w:vAlign w:val="center"/>
          </w:tcPr>
          <w:p w14:paraId="0733756C">
            <w:pPr>
              <w:jc w:val="center"/>
              <w:rPr>
                <w:rFonts w:hint="eastAsia"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丙氨酸</w:t>
            </w:r>
          </w:p>
        </w:tc>
        <w:tc>
          <w:tcPr>
            <w:tcW w:w="1025" w:type="pct"/>
            <w:vAlign w:val="center"/>
          </w:tcPr>
          <w:p w14:paraId="5C2C7085">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64.708</w:t>
            </w:r>
          </w:p>
        </w:tc>
        <w:tc>
          <w:tcPr>
            <w:tcW w:w="2221" w:type="pct"/>
            <w:vAlign w:val="center"/>
          </w:tcPr>
          <w:p w14:paraId="42DBAE2F">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lang w:val="en-US" w:eastAsia="zh-CN"/>
              </w:rPr>
              <w:t>泛酸钙辅料</w:t>
            </w:r>
          </w:p>
        </w:tc>
      </w:tr>
      <w:tr w14:paraId="79EE0A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93" w:hRule="atLeast"/>
          <w:jc w:val="center"/>
        </w:trPr>
        <w:tc>
          <w:tcPr>
            <w:tcW w:w="1752" w:type="pct"/>
            <w:vAlign w:val="center"/>
          </w:tcPr>
          <w:p w14:paraId="0BDFCC63">
            <w:pPr>
              <w:jc w:val="center"/>
              <w:rPr>
                <w:rFonts w:hint="eastAsia"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硫酸铵</w:t>
            </w:r>
          </w:p>
        </w:tc>
        <w:tc>
          <w:tcPr>
            <w:tcW w:w="1025" w:type="pct"/>
            <w:vAlign w:val="center"/>
          </w:tcPr>
          <w:p w14:paraId="23B09D80">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18.3977</w:t>
            </w:r>
          </w:p>
        </w:tc>
        <w:tc>
          <w:tcPr>
            <w:tcW w:w="2221" w:type="pct"/>
            <w:vAlign w:val="center"/>
          </w:tcPr>
          <w:p w14:paraId="5B0DD55D">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lang w:val="en-US" w:eastAsia="zh-CN"/>
              </w:rPr>
              <w:t>泛酸钙辅料</w:t>
            </w:r>
          </w:p>
        </w:tc>
      </w:tr>
      <w:tr w14:paraId="0418DA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93" w:hRule="atLeast"/>
          <w:jc w:val="center"/>
        </w:trPr>
        <w:tc>
          <w:tcPr>
            <w:tcW w:w="1752" w:type="pct"/>
            <w:vAlign w:val="center"/>
          </w:tcPr>
          <w:p w14:paraId="1622A9D7">
            <w:pPr>
              <w:jc w:val="center"/>
              <w:rPr>
                <w:rFonts w:hint="eastAsia"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磷酸氢二钾</w:t>
            </w:r>
          </w:p>
        </w:tc>
        <w:tc>
          <w:tcPr>
            <w:tcW w:w="1025" w:type="pct"/>
            <w:vAlign w:val="center"/>
          </w:tcPr>
          <w:p w14:paraId="4ADA6689">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2.8809</w:t>
            </w:r>
          </w:p>
        </w:tc>
        <w:tc>
          <w:tcPr>
            <w:tcW w:w="2221" w:type="pct"/>
            <w:vAlign w:val="center"/>
          </w:tcPr>
          <w:p w14:paraId="0350A5FD">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lang w:val="en-US" w:eastAsia="zh-CN"/>
              </w:rPr>
              <w:t>泛酸钙辅料</w:t>
            </w:r>
          </w:p>
        </w:tc>
      </w:tr>
      <w:tr w14:paraId="765B56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93" w:hRule="atLeast"/>
          <w:jc w:val="center"/>
        </w:trPr>
        <w:tc>
          <w:tcPr>
            <w:tcW w:w="1752" w:type="pct"/>
            <w:vAlign w:val="center"/>
          </w:tcPr>
          <w:p w14:paraId="7E328A74">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硫酸镁</w:t>
            </w:r>
          </w:p>
        </w:tc>
        <w:tc>
          <w:tcPr>
            <w:tcW w:w="1025" w:type="pct"/>
            <w:vAlign w:val="center"/>
          </w:tcPr>
          <w:p w14:paraId="5A491FFA">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0.9284</w:t>
            </w:r>
          </w:p>
        </w:tc>
        <w:tc>
          <w:tcPr>
            <w:tcW w:w="2221" w:type="pct"/>
            <w:vAlign w:val="center"/>
          </w:tcPr>
          <w:p w14:paraId="7E33B984">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lang w:val="en-US" w:eastAsia="zh-CN"/>
              </w:rPr>
              <w:t>泛酸钙辅料</w:t>
            </w:r>
          </w:p>
        </w:tc>
      </w:tr>
      <w:tr w14:paraId="0C677C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93" w:hRule="atLeast"/>
          <w:jc w:val="center"/>
        </w:trPr>
        <w:tc>
          <w:tcPr>
            <w:tcW w:w="1752" w:type="pct"/>
            <w:vAlign w:val="center"/>
          </w:tcPr>
          <w:p w14:paraId="69DAE6F7">
            <w:pPr>
              <w:jc w:val="center"/>
              <w:rPr>
                <w:rFonts w:hint="eastAsia"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氢氧化钠</w:t>
            </w:r>
          </w:p>
        </w:tc>
        <w:tc>
          <w:tcPr>
            <w:tcW w:w="1025" w:type="pct"/>
            <w:vAlign w:val="center"/>
          </w:tcPr>
          <w:p w14:paraId="0DDB8D11">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35.223</w:t>
            </w:r>
          </w:p>
        </w:tc>
        <w:tc>
          <w:tcPr>
            <w:tcW w:w="2221" w:type="pct"/>
            <w:vAlign w:val="center"/>
          </w:tcPr>
          <w:p w14:paraId="21786192">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lang w:val="en-US" w:eastAsia="zh-CN"/>
              </w:rPr>
              <w:t>泛酸钙辅料</w:t>
            </w:r>
          </w:p>
        </w:tc>
      </w:tr>
      <w:tr w14:paraId="32F321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93" w:hRule="atLeast"/>
          <w:jc w:val="center"/>
        </w:trPr>
        <w:tc>
          <w:tcPr>
            <w:tcW w:w="1752" w:type="pct"/>
            <w:vAlign w:val="center"/>
          </w:tcPr>
          <w:p w14:paraId="36D6ECD6">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消泡剂</w:t>
            </w:r>
          </w:p>
        </w:tc>
        <w:tc>
          <w:tcPr>
            <w:tcW w:w="1025" w:type="pct"/>
            <w:vAlign w:val="center"/>
          </w:tcPr>
          <w:p w14:paraId="6E489658">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5.0013</w:t>
            </w:r>
          </w:p>
        </w:tc>
        <w:tc>
          <w:tcPr>
            <w:tcW w:w="2221" w:type="pct"/>
            <w:vAlign w:val="center"/>
          </w:tcPr>
          <w:p w14:paraId="1EC0BB37">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lang w:val="en-US" w:eastAsia="zh-CN"/>
              </w:rPr>
              <w:t>泛酸钙辅料</w:t>
            </w:r>
          </w:p>
        </w:tc>
      </w:tr>
      <w:tr w14:paraId="54F067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93" w:hRule="atLeast"/>
          <w:jc w:val="center"/>
        </w:trPr>
        <w:tc>
          <w:tcPr>
            <w:tcW w:w="1752" w:type="pct"/>
            <w:vAlign w:val="center"/>
          </w:tcPr>
          <w:p w14:paraId="25B3736C">
            <w:pPr>
              <w:jc w:val="center"/>
              <w:rPr>
                <w:rFonts w:hint="eastAsia"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淀粉</w:t>
            </w:r>
          </w:p>
        </w:tc>
        <w:tc>
          <w:tcPr>
            <w:tcW w:w="1025" w:type="pct"/>
            <w:vAlign w:val="center"/>
          </w:tcPr>
          <w:p w14:paraId="705FB339">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0.31</w:t>
            </w:r>
          </w:p>
        </w:tc>
        <w:tc>
          <w:tcPr>
            <w:tcW w:w="2221" w:type="pct"/>
            <w:vAlign w:val="center"/>
          </w:tcPr>
          <w:p w14:paraId="6BC4FB4C">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发酵废气处理设施药剂</w:t>
            </w:r>
          </w:p>
        </w:tc>
      </w:tr>
      <w:tr w14:paraId="5B383D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93" w:hRule="atLeast"/>
          <w:jc w:val="center"/>
        </w:trPr>
        <w:tc>
          <w:tcPr>
            <w:tcW w:w="1752" w:type="pct"/>
            <w:vAlign w:val="center"/>
          </w:tcPr>
          <w:p w14:paraId="3587580A">
            <w:pPr>
              <w:jc w:val="center"/>
              <w:rPr>
                <w:rFonts w:hint="eastAsia"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氢氧化钠</w:t>
            </w:r>
          </w:p>
        </w:tc>
        <w:tc>
          <w:tcPr>
            <w:tcW w:w="1025" w:type="pct"/>
            <w:vAlign w:val="center"/>
          </w:tcPr>
          <w:p w14:paraId="24493BD2">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2.012</w:t>
            </w:r>
          </w:p>
        </w:tc>
        <w:tc>
          <w:tcPr>
            <w:tcW w:w="2221" w:type="pct"/>
            <w:vAlign w:val="center"/>
          </w:tcPr>
          <w:p w14:paraId="0DEB067A">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lang w:val="en-US" w:eastAsia="zh-CN"/>
              </w:rPr>
              <w:t>发酵废气处理设施药剂</w:t>
            </w:r>
          </w:p>
        </w:tc>
      </w:tr>
      <w:tr w14:paraId="3F2222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93" w:hRule="atLeast"/>
          <w:jc w:val="center"/>
        </w:trPr>
        <w:tc>
          <w:tcPr>
            <w:tcW w:w="1752" w:type="pct"/>
            <w:vAlign w:val="center"/>
          </w:tcPr>
          <w:p w14:paraId="08045FD9">
            <w:pPr>
              <w:jc w:val="center"/>
              <w:rPr>
                <w:rFonts w:hint="eastAsia"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氢氧化钠</w:t>
            </w:r>
          </w:p>
        </w:tc>
        <w:tc>
          <w:tcPr>
            <w:tcW w:w="1025" w:type="pct"/>
            <w:vAlign w:val="center"/>
          </w:tcPr>
          <w:p w14:paraId="2ADDB637">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3.018</w:t>
            </w:r>
          </w:p>
        </w:tc>
        <w:tc>
          <w:tcPr>
            <w:tcW w:w="2221" w:type="pct"/>
            <w:vAlign w:val="center"/>
          </w:tcPr>
          <w:p w14:paraId="5F2BBD96">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废水处理站废气处理设施药剂</w:t>
            </w:r>
          </w:p>
        </w:tc>
      </w:tr>
      <w:tr w14:paraId="1F1DE1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93" w:hRule="atLeast"/>
          <w:jc w:val="center"/>
        </w:trPr>
        <w:tc>
          <w:tcPr>
            <w:tcW w:w="1752" w:type="pct"/>
            <w:vAlign w:val="center"/>
          </w:tcPr>
          <w:p w14:paraId="0C5DCE1B">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葡萄糖</w:t>
            </w:r>
          </w:p>
        </w:tc>
        <w:tc>
          <w:tcPr>
            <w:tcW w:w="1025" w:type="pct"/>
            <w:vAlign w:val="center"/>
          </w:tcPr>
          <w:p w14:paraId="05B89B82">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0.076</w:t>
            </w:r>
          </w:p>
        </w:tc>
        <w:tc>
          <w:tcPr>
            <w:tcW w:w="2221" w:type="pct"/>
            <w:vAlign w:val="center"/>
          </w:tcPr>
          <w:p w14:paraId="15BF5813">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lang w:val="en-US" w:eastAsia="zh-CN"/>
              </w:rPr>
              <w:t>废水处理站废气处理设施药剂</w:t>
            </w:r>
          </w:p>
        </w:tc>
      </w:tr>
      <w:tr w14:paraId="2F9745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94" w:hRule="atLeast"/>
          <w:jc w:val="center"/>
        </w:trPr>
        <w:tc>
          <w:tcPr>
            <w:tcW w:w="1752" w:type="pct"/>
            <w:vAlign w:val="center"/>
          </w:tcPr>
          <w:p w14:paraId="5BDC61EC">
            <w:pPr>
              <w:jc w:val="center"/>
              <w:rPr>
                <w:rFonts w:hint="eastAsia"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消泡剂</w:t>
            </w:r>
          </w:p>
        </w:tc>
        <w:tc>
          <w:tcPr>
            <w:tcW w:w="1025" w:type="pct"/>
            <w:vAlign w:val="center"/>
          </w:tcPr>
          <w:p w14:paraId="30A576D3">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0.003</w:t>
            </w:r>
          </w:p>
        </w:tc>
        <w:tc>
          <w:tcPr>
            <w:tcW w:w="2221" w:type="pct"/>
            <w:vAlign w:val="center"/>
          </w:tcPr>
          <w:p w14:paraId="452EFDE1">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lang w:val="en-US" w:eastAsia="zh-CN"/>
              </w:rPr>
              <w:t>废水处理站废气处理设施药剂</w:t>
            </w:r>
          </w:p>
        </w:tc>
      </w:tr>
      <w:tr w14:paraId="259277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94" w:hRule="atLeast"/>
          <w:jc w:val="center"/>
        </w:trPr>
        <w:tc>
          <w:tcPr>
            <w:tcW w:w="1752" w:type="pct"/>
            <w:vAlign w:val="center"/>
          </w:tcPr>
          <w:p w14:paraId="5408DCEE">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生物除臭剂</w:t>
            </w:r>
          </w:p>
        </w:tc>
        <w:tc>
          <w:tcPr>
            <w:tcW w:w="1025" w:type="pct"/>
            <w:vAlign w:val="center"/>
          </w:tcPr>
          <w:p w14:paraId="73106C07">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0.45</w:t>
            </w:r>
          </w:p>
        </w:tc>
        <w:tc>
          <w:tcPr>
            <w:tcW w:w="2221" w:type="pct"/>
            <w:vAlign w:val="center"/>
          </w:tcPr>
          <w:p w14:paraId="39BE723F">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lang w:val="en-US" w:eastAsia="zh-CN"/>
              </w:rPr>
              <w:t>废水处理站废气处理设施药剂</w:t>
            </w:r>
          </w:p>
        </w:tc>
      </w:tr>
      <w:tr w14:paraId="097B41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97" w:hRule="atLeast"/>
          <w:jc w:val="center"/>
        </w:trPr>
        <w:tc>
          <w:tcPr>
            <w:tcW w:w="1752" w:type="pct"/>
            <w:vAlign w:val="center"/>
          </w:tcPr>
          <w:p w14:paraId="0A856E6C">
            <w:pPr>
              <w:jc w:val="center"/>
              <w:rPr>
                <w:rFonts w:hint="eastAsia"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葡萄糖</w:t>
            </w:r>
          </w:p>
        </w:tc>
        <w:tc>
          <w:tcPr>
            <w:tcW w:w="1025" w:type="pct"/>
            <w:vAlign w:val="center"/>
          </w:tcPr>
          <w:p w14:paraId="3BE9E2D3">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10.26</w:t>
            </w:r>
          </w:p>
        </w:tc>
        <w:tc>
          <w:tcPr>
            <w:tcW w:w="2221" w:type="pct"/>
            <w:vAlign w:val="center"/>
          </w:tcPr>
          <w:p w14:paraId="5B9831CD">
            <w:pPr>
              <w:jc w:val="center"/>
              <w:rPr>
                <w:rFonts w:hint="default" w:ascii="Times New Roman" w:hAnsi="Times New Roman" w:eastAsia="宋体" w:cs="Times New Roman"/>
                <w:color w:val="auto"/>
                <w:sz w:val="22"/>
                <w:szCs w:val="24"/>
                <w:lang w:val="en-US"/>
              </w:rPr>
            </w:pPr>
            <w:r>
              <w:rPr>
                <w:rFonts w:hint="eastAsia" w:ascii="Times New Roman" w:hAnsi="Times New Roman" w:eastAsia="宋体" w:cs="Times New Roman"/>
                <w:color w:val="auto"/>
                <w:sz w:val="22"/>
                <w:szCs w:val="24"/>
                <w:lang w:val="en-US" w:eastAsia="zh-CN"/>
              </w:rPr>
              <w:t>废水处理站药剂</w:t>
            </w:r>
          </w:p>
        </w:tc>
      </w:tr>
      <w:tr w14:paraId="109B51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1" w:hRule="atLeast"/>
          <w:jc w:val="center"/>
        </w:trPr>
        <w:tc>
          <w:tcPr>
            <w:tcW w:w="1752" w:type="pct"/>
            <w:vAlign w:val="center"/>
          </w:tcPr>
          <w:p w14:paraId="2101081A">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片碱</w:t>
            </w:r>
          </w:p>
        </w:tc>
        <w:tc>
          <w:tcPr>
            <w:tcW w:w="1025" w:type="pct"/>
            <w:vAlign w:val="center"/>
          </w:tcPr>
          <w:p w14:paraId="3FA085DE">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13.035</w:t>
            </w:r>
          </w:p>
        </w:tc>
        <w:tc>
          <w:tcPr>
            <w:tcW w:w="2221" w:type="pct"/>
            <w:vAlign w:val="center"/>
          </w:tcPr>
          <w:p w14:paraId="109C4DCC">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lang w:val="en-US" w:eastAsia="zh-CN"/>
              </w:rPr>
              <w:t>废水处理站药剂</w:t>
            </w:r>
          </w:p>
        </w:tc>
      </w:tr>
      <w:tr w14:paraId="7D921C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3" w:hRule="atLeast"/>
          <w:jc w:val="center"/>
        </w:trPr>
        <w:tc>
          <w:tcPr>
            <w:tcW w:w="1752" w:type="pct"/>
            <w:shd w:val="clear" w:color="auto" w:fill="auto"/>
            <w:vAlign w:val="center"/>
          </w:tcPr>
          <w:p w14:paraId="0F3409BA">
            <w:pPr>
              <w:jc w:val="center"/>
              <w:rPr>
                <w:rFonts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rPr>
              <w:t>聚丙烯酰胺</w:t>
            </w:r>
          </w:p>
        </w:tc>
        <w:tc>
          <w:tcPr>
            <w:tcW w:w="1025" w:type="pct"/>
            <w:shd w:val="clear" w:color="auto" w:fill="auto"/>
            <w:vAlign w:val="center"/>
          </w:tcPr>
          <w:p w14:paraId="5A65DF50">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lang w:val="en-US" w:eastAsia="zh-CN"/>
              </w:rPr>
              <w:t>3.027</w:t>
            </w:r>
          </w:p>
        </w:tc>
        <w:tc>
          <w:tcPr>
            <w:tcW w:w="2221" w:type="pct"/>
            <w:shd w:val="clear" w:color="auto" w:fill="auto"/>
            <w:vAlign w:val="center"/>
          </w:tcPr>
          <w:p w14:paraId="7A12E7C0">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lang w:val="en-US" w:eastAsia="zh-CN"/>
              </w:rPr>
              <w:t>废水处理站药剂</w:t>
            </w:r>
          </w:p>
        </w:tc>
      </w:tr>
      <w:tr w14:paraId="4DDA32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93" w:hRule="atLeast"/>
          <w:jc w:val="center"/>
        </w:trPr>
        <w:tc>
          <w:tcPr>
            <w:tcW w:w="1752" w:type="pct"/>
            <w:shd w:val="clear" w:color="auto" w:fill="auto"/>
            <w:vAlign w:val="center"/>
          </w:tcPr>
          <w:p w14:paraId="11D81F4A">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kern w:val="2"/>
                <w:sz w:val="22"/>
                <w:szCs w:val="24"/>
                <w:lang w:val="en-US" w:eastAsia="zh-CN" w:bidi="ar-SA"/>
              </w:rPr>
              <w:t>聚合硫酸铁</w:t>
            </w:r>
          </w:p>
        </w:tc>
        <w:tc>
          <w:tcPr>
            <w:tcW w:w="1025" w:type="pct"/>
            <w:shd w:val="clear" w:color="auto" w:fill="auto"/>
            <w:vAlign w:val="center"/>
          </w:tcPr>
          <w:p w14:paraId="2B35220A">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kern w:val="2"/>
                <w:sz w:val="22"/>
                <w:szCs w:val="24"/>
                <w:lang w:val="en-US" w:eastAsia="zh-CN" w:bidi="ar-SA"/>
              </w:rPr>
              <w:t>12.9049</w:t>
            </w:r>
          </w:p>
        </w:tc>
        <w:tc>
          <w:tcPr>
            <w:tcW w:w="2221" w:type="pct"/>
            <w:shd w:val="clear" w:color="auto" w:fill="auto"/>
            <w:vAlign w:val="center"/>
          </w:tcPr>
          <w:p w14:paraId="6C876E75">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lang w:val="en-US" w:eastAsia="zh-CN"/>
              </w:rPr>
              <w:t>废水处理站药剂</w:t>
            </w:r>
          </w:p>
        </w:tc>
      </w:tr>
    </w:tbl>
    <w:p w14:paraId="6D2A32B6">
      <w:pPr>
        <w:pStyle w:val="4"/>
        <w:bidi w:val="0"/>
      </w:pPr>
      <w:r>
        <w:t>3.1.7</w:t>
      </w:r>
      <w:r>
        <w:rPr>
          <w:rFonts w:hint="eastAsia"/>
        </w:rPr>
        <w:t>现有工程设备清单</w:t>
      </w:r>
    </w:p>
    <w:p w14:paraId="06E851C1">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val="en-US" w:eastAsia="zh-CN"/>
        </w:rPr>
        <w:t>现有公司设施设备均保留，</w:t>
      </w:r>
      <w:r>
        <w:rPr>
          <w:rFonts w:hint="eastAsia" w:ascii="Times New Roman" w:hAnsi="Times New Roman" w:eastAsia="宋体" w:cs="Times New Roman"/>
          <w:color w:val="auto"/>
          <w:sz w:val="24"/>
          <w:szCs w:val="24"/>
        </w:rPr>
        <w:t>主要生产装置及设备如下表所示：</w:t>
      </w:r>
    </w:p>
    <w:p w14:paraId="2EA306C1">
      <w:pPr>
        <w:pStyle w:val="6"/>
        <w:bidi w:val="0"/>
        <w:rPr>
          <w:rFonts w:hint="default"/>
          <w:lang w:val="en-US" w:eastAsia="zh-CN"/>
        </w:rPr>
      </w:pPr>
      <w:r>
        <w:rPr>
          <w:rFonts w:hint="default"/>
          <w:lang w:val="en-US" w:eastAsia="zh-CN"/>
        </w:rPr>
        <w:t xml:space="preserve">表3.1.7-1 </w:t>
      </w:r>
      <w:r>
        <w:rPr>
          <w:rFonts w:hint="eastAsia"/>
          <w:lang w:val="en-US" w:eastAsia="zh-CN"/>
        </w:rPr>
        <w:t>主要生产设施及</w:t>
      </w:r>
      <w:r>
        <w:rPr>
          <w:rFonts w:hint="default"/>
          <w:lang w:val="en-US" w:eastAsia="zh-CN"/>
        </w:rPr>
        <w:t>环保设施一览表</w:t>
      </w:r>
    </w:p>
    <w:tbl>
      <w:tblPr>
        <w:tblStyle w:val="41"/>
        <w:tblW w:w="852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3708"/>
        <w:gridCol w:w="2672"/>
        <w:gridCol w:w="653"/>
        <w:gridCol w:w="1489"/>
      </w:tblGrid>
      <w:tr w14:paraId="27C427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00F219">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名称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0628B6">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型号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C8990D">
            <w:pPr>
              <w:keepNext w:val="0"/>
              <w:keepLines w:val="0"/>
              <w:widowControl/>
              <w:suppressLineNumbers w:val="0"/>
              <w:jc w:val="center"/>
              <w:textAlignment w:val="bottom"/>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数量</w:t>
            </w:r>
          </w:p>
        </w:tc>
        <w:tc>
          <w:tcPr>
            <w:tcW w:w="14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2DDBAB">
            <w:pPr>
              <w:keepNext w:val="0"/>
              <w:keepLines w:val="0"/>
              <w:widowControl/>
              <w:suppressLineNumbers w:val="0"/>
              <w:jc w:val="center"/>
              <w:textAlignment w:val="center"/>
              <w:rPr>
                <w:rFonts w:hint="eastAsia" w:ascii="宋体" w:hAnsi="宋体" w:eastAsia="宋体" w:cs="宋体"/>
                <w:i w:val="0"/>
                <w:iCs w:val="0"/>
                <w:color w:val="auto"/>
                <w:kern w:val="0"/>
                <w:sz w:val="22"/>
                <w:szCs w:val="22"/>
                <w:u w:val="none"/>
                <w:lang w:val="en-US" w:eastAsia="zh-CN" w:bidi="ar"/>
              </w:rPr>
            </w:pPr>
            <w:r>
              <w:rPr>
                <w:rFonts w:hint="eastAsia" w:ascii="宋体" w:hAnsi="宋体" w:eastAsia="宋体" w:cs="宋体"/>
                <w:i w:val="0"/>
                <w:iCs w:val="0"/>
                <w:color w:val="auto"/>
                <w:kern w:val="0"/>
                <w:sz w:val="22"/>
                <w:szCs w:val="22"/>
                <w:u w:val="none"/>
                <w:lang w:val="en-US" w:eastAsia="zh-CN" w:bidi="ar"/>
              </w:rPr>
              <w:t>单位</w:t>
            </w:r>
          </w:p>
        </w:tc>
      </w:tr>
      <w:tr w14:paraId="3FE78B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jc w:val="center"/>
        </w:trPr>
        <w:tc>
          <w:tcPr>
            <w:tcW w:w="8522"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563635">
            <w:pPr>
              <w:keepNext w:val="0"/>
              <w:keepLines w:val="0"/>
              <w:widowControl/>
              <w:suppressLineNumbers w:val="0"/>
              <w:jc w:val="center"/>
              <w:textAlignment w:val="center"/>
              <w:rPr>
                <w:rFonts w:hint="default" w:ascii="宋体" w:hAnsi="宋体" w:eastAsia="宋体" w:cs="宋体"/>
                <w:i w:val="0"/>
                <w:iCs w:val="0"/>
                <w:color w:val="auto"/>
                <w:kern w:val="0"/>
                <w:sz w:val="22"/>
                <w:szCs w:val="22"/>
                <w:u w:val="none"/>
                <w:lang w:val="en-US" w:eastAsia="zh-CN" w:bidi="ar"/>
              </w:rPr>
            </w:pPr>
            <w:r>
              <w:rPr>
                <w:rFonts w:hint="eastAsia" w:ascii="宋体" w:hAnsi="宋体" w:eastAsia="宋体" w:cs="宋体"/>
                <w:b/>
                <w:bCs/>
                <w:i w:val="0"/>
                <w:iCs w:val="0"/>
                <w:color w:val="auto"/>
                <w:kern w:val="0"/>
                <w:sz w:val="22"/>
                <w:szCs w:val="22"/>
                <w:u w:val="none"/>
                <w:lang w:val="en-US" w:eastAsia="zh-CN" w:bidi="ar"/>
              </w:rPr>
              <w:t>环保设施</w:t>
            </w:r>
          </w:p>
        </w:tc>
      </w:tr>
      <w:tr w14:paraId="20D382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74BBAF">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气浮机箱体</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C41C5B">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100m</w:t>
            </w:r>
            <w:r>
              <w:rPr>
                <w:rFonts w:hint="eastAsia" w:ascii="宋体" w:hAnsi="宋体" w:eastAsia="宋体" w:cs="宋体"/>
                <w:i w:val="0"/>
                <w:iCs w:val="0"/>
                <w:color w:val="auto"/>
                <w:kern w:val="0"/>
                <w:sz w:val="22"/>
                <w:szCs w:val="22"/>
                <w:u w:val="none"/>
                <w:vertAlign w:val="superscript"/>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C59531">
            <w:pPr>
              <w:keepNext w:val="0"/>
              <w:keepLines w:val="0"/>
              <w:widowControl/>
              <w:suppressLineNumbers w:val="0"/>
              <w:jc w:val="center"/>
              <w:textAlignment w:val="bottom"/>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14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846B9E">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r>
      <w:tr w14:paraId="488B1A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B2081D">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污泥低温干化一体机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B69BDC">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MTFL2400-86C</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1B788C">
            <w:pPr>
              <w:keepNext w:val="0"/>
              <w:keepLines w:val="0"/>
              <w:widowControl/>
              <w:suppressLineNumbers w:val="0"/>
              <w:jc w:val="center"/>
              <w:textAlignment w:val="bottom"/>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14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9E22E6">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套</w:t>
            </w:r>
          </w:p>
        </w:tc>
      </w:tr>
      <w:tr w14:paraId="6FC830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C8CB68">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电动闸板阀</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B41C4B">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DN400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733592">
            <w:pPr>
              <w:keepNext w:val="0"/>
              <w:keepLines w:val="0"/>
              <w:widowControl/>
              <w:suppressLineNumbers w:val="0"/>
              <w:jc w:val="center"/>
              <w:textAlignment w:val="bottom"/>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14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7D7D51">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r>
      <w:tr w14:paraId="2C5F44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EB678C">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电动闸板阀</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67E624">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DN400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CAD67B">
            <w:pPr>
              <w:keepNext w:val="0"/>
              <w:keepLines w:val="0"/>
              <w:widowControl/>
              <w:suppressLineNumbers w:val="0"/>
              <w:jc w:val="center"/>
              <w:textAlignment w:val="bottom"/>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14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B754C7">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r>
      <w:tr w14:paraId="69639A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B1C96F">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引水罐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5D8EA7">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?800*800mm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F27FC7">
            <w:pPr>
              <w:keepNext w:val="0"/>
              <w:keepLines w:val="0"/>
              <w:widowControl/>
              <w:suppressLineNumbers w:val="0"/>
              <w:jc w:val="center"/>
              <w:textAlignment w:val="bottom"/>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14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027F1C">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r>
      <w:tr w14:paraId="25A958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CF451B">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管道泵</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EAE3A5">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ISG80-160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A028AC">
            <w:pPr>
              <w:keepNext w:val="0"/>
              <w:keepLines w:val="0"/>
              <w:widowControl/>
              <w:suppressLineNumbers w:val="0"/>
              <w:jc w:val="center"/>
              <w:textAlignment w:val="bottom"/>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c>
          <w:tcPr>
            <w:tcW w:w="14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C5EB9D">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r>
      <w:tr w14:paraId="083F3C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0ECC62">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不锈钢管道泵</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EC1B28">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IHG50-160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3633DB">
            <w:pPr>
              <w:keepNext w:val="0"/>
              <w:keepLines w:val="0"/>
              <w:widowControl/>
              <w:suppressLineNumbers w:val="0"/>
              <w:jc w:val="center"/>
              <w:textAlignment w:val="bottom"/>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14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D46656">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r>
      <w:tr w14:paraId="376FFD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E83B1D">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不锈钢离心泵</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3C2DD0">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IH65-50-125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CABB54">
            <w:pPr>
              <w:keepNext w:val="0"/>
              <w:keepLines w:val="0"/>
              <w:widowControl/>
              <w:suppressLineNumbers w:val="0"/>
              <w:jc w:val="center"/>
              <w:textAlignment w:val="bottom"/>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c>
          <w:tcPr>
            <w:tcW w:w="14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91A4DE">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r>
      <w:tr w14:paraId="0DD13E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078997">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不绣钢离心泵</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DE9302">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IH80-65-160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3896FE">
            <w:pPr>
              <w:keepNext w:val="0"/>
              <w:keepLines w:val="0"/>
              <w:widowControl/>
              <w:suppressLineNumbers w:val="0"/>
              <w:jc w:val="center"/>
              <w:textAlignment w:val="bottom"/>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14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D36D43">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r>
      <w:tr w14:paraId="522607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6E08A2">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潜水排污泵</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4765B6">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WQ50-15-20-2.2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E39E33">
            <w:pPr>
              <w:keepNext w:val="0"/>
              <w:keepLines w:val="0"/>
              <w:widowControl/>
              <w:suppressLineNumbers w:val="0"/>
              <w:jc w:val="center"/>
              <w:textAlignment w:val="bottom"/>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14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9F0CB9">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r>
      <w:tr w14:paraId="14EBDF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5221B3">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水泵</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D22E11">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IH65-50-236-3KW</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58C7E9">
            <w:pPr>
              <w:keepNext w:val="0"/>
              <w:keepLines w:val="0"/>
              <w:widowControl/>
              <w:suppressLineNumbers w:val="0"/>
              <w:jc w:val="center"/>
              <w:textAlignment w:val="bottom"/>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c>
          <w:tcPr>
            <w:tcW w:w="14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16424B">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r>
      <w:tr w14:paraId="3D4292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6012FB">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水泵</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5085E3">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80FPZ-32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2380C5">
            <w:pPr>
              <w:keepNext w:val="0"/>
              <w:keepLines w:val="0"/>
              <w:widowControl/>
              <w:suppressLineNumbers w:val="0"/>
              <w:jc w:val="center"/>
              <w:textAlignment w:val="bottom"/>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w:t>
            </w:r>
          </w:p>
        </w:tc>
        <w:tc>
          <w:tcPr>
            <w:tcW w:w="14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5C68F2">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r>
      <w:tr w14:paraId="28E198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C0B7E1">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自吸无堵塞排污泵</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0908B8">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ZW100-80-20-7.5KW</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3C25BE">
            <w:pPr>
              <w:keepNext w:val="0"/>
              <w:keepLines w:val="0"/>
              <w:widowControl/>
              <w:suppressLineNumbers w:val="0"/>
              <w:jc w:val="center"/>
              <w:textAlignment w:val="bottom"/>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w:t>
            </w:r>
          </w:p>
        </w:tc>
        <w:tc>
          <w:tcPr>
            <w:tcW w:w="14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D11929">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r>
      <w:tr w14:paraId="53FFEB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36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57274C">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color w:val="auto"/>
                <w:sz w:val="22"/>
                <w:szCs w:val="22"/>
                <w:u w:val="none"/>
                <w:lang w:val="en-US" w:eastAsia="zh-CN" w:bidi="ar"/>
              </w:rPr>
              <w:t>废水储罐（排水沉淀桶）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2A3408">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80m</w:t>
            </w:r>
            <w:r>
              <w:rPr>
                <w:rFonts w:hint="eastAsia" w:ascii="宋体" w:hAnsi="宋体" w:eastAsia="宋体" w:cs="宋体"/>
                <w:i w:val="0"/>
                <w:iCs w:val="0"/>
                <w:color w:val="auto"/>
                <w:kern w:val="0"/>
                <w:sz w:val="22"/>
                <w:szCs w:val="22"/>
                <w:u w:val="none"/>
                <w:vertAlign w:val="superscript"/>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746084">
            <w:pPr>
              <w:keepNext w:val="0"/>
              <w:keepLines w:val="0"/>
              <w:widowControl/>
              <w:suppressLineNumbers w:val="0"/>
              <w:jc w:val="center"/>
              <w:textAlignment w:val="bottom"/>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c>
          <w:tcPr>
            <w:tcW w:w="14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CCBC2C">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r>
      <w:tr w14:paraId="555E7C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58918E">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污水罐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C1D348">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12m*2m*2m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76969D">
            <w:pPr>
              <w:keepNext w:val="0"/>
              <w:keepLines w:val="0"/>
              <w:widowControl/>
              <w:suppressLineNumbers w:val="0"/>
              <w:jc w:val="center"/>
              <w:textAlignment w:val="bottom"/>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14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36279B">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件</w:t>
            </w:r>
          </w:p>
        </w:tc>
      </w:tr>
      <w:tr w14:paraId="40FDA5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77FF73">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110m³污水罐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B1A4DF">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6*4m*8mm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6C0430">
            <w:pPr>
              <w:keepNext w:val="0"/>
              <w:keepLines w:val="0"/>
              <w:widowControl/>
              <w:suppressLineNumbers w:val="0"/>
              <w:jc w:val="center"/>
              <w:textAlignment w:val="bottom"/>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14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D4E8B8">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r>
      <w:tr w14:paraId="0E585D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5B4AE4">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27m³沉降罐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EC7EEF">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3*3*1.7m*6mm</w:t>
            </w:r>
            <w:r>
              <w:rPr>
                <w:rFonts w:hint="eastAsia" w:ascii="宋体" w:hAnsi="宋体" w:eastAsia="宋体" w:cs="宋体"/>
                <w:i w:val="0"/>
                <w:iCs w:val="0"/>
                <w:color w:val="auto"/>
                <w:kern w:val="0"/>
                <w:sz w:val="22"/>
                <w:szCs w:val="22"/>
                <w:u w:val="none"/>
                <w:vertAlign w:val="superscript"/>
                <w:lang w:val="en-US" w:eastAsia="zh-CN" w:bidi="ar"/>
              </w:rPr>
              <w:t>2</w:t>
            </w:r>
            <w:r>
              <w:rPr>
                <w:rFonts w:hint="eastAsia" w:ascii="宋体" w:hAnsi="宋体" w:eastAsia="宋体" w:cs="宋体"/>
                <w:i w:val="0"/>
                <w:iCs w:val="0"/>
                <w:color w:val="auto"/>
                <w:kern w:val="0"/>
                <w:sz w:val="22"/>
                <w:szCs w:val="22"/>
                <w:u w:val="none"/>
                <w:lang w:val="en-US" w:eastAsia="zh-CN" w:bidi="ar"/>
              </w:rPr>
              <w:t>7m</w:t>
            </w:r>
            <w:r>
              <w:rPr>
                <w:rFonts w:hint="eastAsia" w:ascii="宋体" w:hAnsi="宋体" w:eastAsia="宋体" w:cs="宋体"/>
                <w:i w:val="0"/>
                <w:iCs w:val="0"/>
                <w:color w:val="auto"/>
                <w:kern w:val="0"/>
                <w:sz w:val="22"/>
                <w:szCs w:val="22"/>
                <w:u w:val="none"/>
                <w:vertAlign w:val="superscript"/>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787B8E">
            <w:pPr>
              <w:keepNext w:val="0"/>
              <w:keepLines w:val="0"/>
              <w:widowControl/>
              <w:suppressLineNumbers w:val="0"/>
              <w:jc w:val="center"/>
              <w:textAlignment w:val="bottom"/>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14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79CFFB">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r>
      <w:tr w14:paraId="508712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5E80BA">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85m³污水罐</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20B663">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5*4.5m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AEB680">
            <w:pPr>
              <w:keepNext w:val="0"/>
              <w:keepLines w:val="0"/>
              <w:widowControl/>
              <w:suppressLineNumbers w:val="0"/>
              <w:jc w:val="center"/>
              <w:textAlignment w:val="bottom"/>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14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11E603">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r>
      <w:tr w14:paraId="3D40B4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DFFBEF">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废气塔（喷淋塔）</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257A87">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PTL-1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AF7FB1">
            <w:pPr>
              <w:keepNext w:val="0"/>
              <w:keepLines w:val="0"/>
              <w:widowControl/>
              <w:suppressLineNumbers w:val="0"/>
              <w:jc w:val="center"/>
              <w:textAlignment w:val="bottom"/>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14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300BE2">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r>
      <w:tr w14:paraId="317A86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4D3C95">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电磁流量计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586FD4">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DN50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FFFBA5">
            <w:pPr>
              <w:keepNext w:val="0"/>
              <w:keepLines w:val="0"/>
              <w:widowControl/>
              <w:suppressLineNumbers w:val="0"/>
              <w:jc w:val="center"/>
              <w:textAlignment w:val="bottom"/>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w:t>
            </w:r>
          </w:p>
        </w:tc>
        <w:tc>
          <w:tcPr>
            <w:tcW w:w="14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FD3355">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r>
      <w:tr w14:paraId="34DE46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A71732">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电磁流量计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1F02CE">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DN65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11F607">
            <w:pPr>
              <w:keepNext w:val="0"/>
              <w:keepLines w:val="0"/>
              <w:widowControl/>
              <w:suppressLineNumbers w:val="0"/>
              <w:jc w:val="center"/>
              <w:textAlignment w:val="bottom"/>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4</w:t>
            </w:r>
          </w:p>
        </w:tc>
        <w:tc>
          <w:tcPr>
            <w:tcW w:w="14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8FE215">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r>
      <w:tr w14:paraId="782A50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86D642">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电磁流量计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E9AC70">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DN80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2A154B">
            <w:pPr>
              <w:keepNext w:val="0"/>
              <w:keepLines w:val="0"/>
              <w:widowControl/>
              <w:suppressLineNumbers w:val="0"/>
              <w:jc w:val="center"/>
              <w:textAlignment w:val="bottom"/>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c>
          <w:tcPr>
            <w:tcW w:w="14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7FCB5">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r>
      <w:tr w14:paraId="1E1D0C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5A860D">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电磁流量计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EBBB7F">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DN100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073680">
            <w:pPr>
              <w:keepNext w:val="0"/>
              <w:keepLines w:val="0"/>
              <w:widowControl/>
              <w:suppressLineNumbers w:val="0"/>
              <w:jc w:val="center"/>
              <w:textAlignment w:val="bottom"/>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14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39D3D8">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r>
      <w:tr w14:paraId="560F3C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F38E96">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玻璃钢离心风机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79B6A4">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FTY-040CF</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E08B33">
            <w:pPr>
              <w:keepNext w:val="0"/>
              <w:keepLines w:val="0"/>
              <w:widowControl/>
              <w:suppressLineNumbers w:val="0"/>
              <w:jc w:val="center"/>
              <w:textAlignment w:val="bottom"/>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14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5D120A">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r>
      <w:tr w14:paraId="41FAE2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6D9CCA">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三叶型罗茨鼓风机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D00088">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3L3ZWC</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78A003">
            <w:pPr>
              <w:keepNext w:val="0"/>
              <w:keepLines w:val="0"/>
              <w:widowControl/>
              <w:suppressLineNumbers w:val="0"/>
              <w:jc w:val="center"/>
              <w:textAlignment w:val="bottom"/>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14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CA08C1">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r>
      <w:tr w14:paraId="12EE2A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493E45">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三叶罗茨鼓风机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9C34A9">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RH10032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33586E">
            <w:pPr>
              <w:keepNext w:val="0"/>
              <w:keepLines w:val="0"/>
              <w:widowControl/>
              <w:suppressLineNumbers w:val="0"/>
              <w:jc w:val="center"/>
              <w:textAlignment w:val="bottom"/>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14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F32737">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r>
      <w:tr w14:paraId="5AD0CF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16A30F">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风机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759E4F">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9-19-400A</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01AC0D">
            <w:pPr>
              <w:keepNext w:val="0"/>
              <w:keepLines w:val="0"/>
              <w:widowControl/>
              <w:suppressLineNumbers w:val="0"/>
              <w:jc w:val="center"/>
              <w:textAlignment w:val="bottom"/>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c>
          <w:tcPr>
            <w:tcW w:w="14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BB18BF">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套</w:t>
            </w:r>
          </w:p>
        </w:tc>
      </w:tr>
      <w:tr w14:paraId="225111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EFC313">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1号三叶型罗茨鼓风机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6F1CD7">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3L42WD</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BE79F8">
            <w:pPr>
              <w:keepNext w:val="0"/>
              <w:keepLines w:val="0"/>
              <w:widowControl/>
              <w:suppressLineNumbers w:val="0"/>
              <w:jc w:val="center"/>
              <w:textAlignment w:val="bottom"/>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14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693249">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r>
      <w:tr w14:paraId="3D12BD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240AF9">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罗茨鼓风机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1AE673">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3L42WD  30KW-4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63F5B6">
            <w:pPr>
              <w:keepNext w:val="0"/>
              <w:keepLines w:val="0"/>
              <w:widowControl/>
              <w:suppressLineNumbers w:val="0"/>
              <w:jc w:val="center"/>
              <w:textAlignment w:val="bottom"/>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14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10BC8E">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r>
      <w:tr w14:paraId="2A8A51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953933">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罗茨风机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994F72">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3L42WD（16.48m³/min)</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4AC9A6">
            <w:pPr>
              <w:keepNext w:val="0"/>
              <w:keepLines w:val="0"/>
              <w:widowControl/>
              <w:suppressLineNumbers w:val="0"/>
              <w:jc w:val="center"/>
              <w:textAlignment w:val="bottom"/>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5</w:t>
            </w:r>
          </w:p>
        </w:tc>
        <w:tc>
          <w:tcPr>
            <w:tcW w:w="14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FA4F4C">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r>
      <w:tr w14:paraId="71295D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1BBE50">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罗茨鼓风机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B6C872">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3L42WD  30KW-4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C9EFA4">
            <w:pPr>
              <w:keepNext w:val="0"/>
              <w:keepLines w:val="0"/>
              <w:widowControl/>
              <w:suppressLineNumbers w:val="0"/>
              <w:jc w:val="center"/>
              <w:textAlignment w:val="bottom"/>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14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51F8E5">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r>
      <w:tr w14:paraId="1FEA5E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4874F6">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罗茨风机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FB8716">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100A</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CEAC2B">
            <w:pPr>
              <w:keepNext w:val="0"/>
              <w:keepLines w:val="0"/>
              <w:widowControl/>
              <w:suppressLineNumbers w:val="0"/>
              <w:jc w:val="center"/>
              <w:textAlignment w:val="bottom"/>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14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F76647">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r>
      <w:tr w14:paraId="084391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0E5E81">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总氮水质在线分析仪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7B5F2F">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WQ1000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9E40B3">
            <w:pPr>
              <w:keepNext w:val="0"/>
              <w:keepLines w:val="0"/>
              <w:widowControl/>
              <w:suppressLineNumbers w:val="0"/>
              <w:jc w:val="center"/>
              <w:textAlignment w:val="bottom"/>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14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39B213">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r>
      <w:tr w14:paraId="2761FA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F2DEAB">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氨氮水质在线分析仪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FE611B">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WQ1000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16697B">
            <w:pPr>
              <w:keepNext w:val="0"/>
              <w:keepLines w:val="0"/>
              <w:widowControl/>
              <w:suppressLineNumbers w:val="0"/>
              <w:jc w:val="center"/>
              <w:textAlignment w:val="bottom"/>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14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A5D049">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r>
      <w:tr w14:paraId="254F31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05BD9D">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COD水质在线分析仪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B10786">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WQ1000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3DC896">
            <w:pPr>
              <w:keepNext w:val="0"/>
              <w:keepLines w:val="0"/>
              <w:widowControl/>
              <w:suppressLineNumbers w:val="0"/>
              <w:jc w:val="center"/>
              <w:textAlignment w:val="bottom"/>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14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539E5B">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r>
      <w:tr w14:paraId="17B288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C0AA48">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总磷水质在线分析仪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1D41CD">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WQ1000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32E0F3">
            <w:pPr>
              <w:keepNext w:val="0"/>
              <w:keepLines w:val="0"/>
              <w:widowControl/>
              <w:suppressLineNumbers w:val="0"/>
              <w:jc w:val="center"/>
              <w:textAlignment w:val="bottom"/>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14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23E564">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r>
      <w:tr w14:paraId="569E97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9D7D33">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智能水质采样器</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3661D8">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Smart  WQS2000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CC2307">
            <w:pPr>
              <w:keepNext w:val="0"/>
              <w:keepLines w:val="0"/>
              <w:widowControl/>
              <w:suppressLineNumbers w:val="0"/>
              <w:jc w:val="center"/>
              <w:textAlignment w:val="bottom"/>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14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7EFC18">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r>
      <w:tr w14:paraId="7414AC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C7C9F5">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环保监测数据采集传输仪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C4BEFB">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w5100HB－111型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DAE46C">
            <w:pPr>
              <w:keepNext w:val="0"/>
              <w:keepLines w:val="0"/>
              <w:widowControl/>
              <w:suppressLineNumbers w:val="0"/>
              <w:jc w:val="center"/>
              <w:textAlignment w:val="bottom"/>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14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8C2578">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r>
      <w:tr w14:paraId="1DC6D1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3F2744">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其他-超声明渠流量计</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04EE2B">
            <w:pPr>
              <w:jc w:val="center"/>
              <w:rPr>
                <w:rFonts w:hint="eastAsia" w:ascii="宋体" w:hAnsi="宋体" w:eastAsia="宋体" w:cs="宋体"/>
                <w:i w:val="0"/>
                <w:iCs w:val="0"/>
                <w:color w:val="auto"/>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23A8F5">
            <w:pPr>
              <w:keepNext w:val="0"/>
              <w:keepLines w:val="0"/>
              <w:widowControl/>
              <w:suppressLineNumbers w:val="0"/>
              <w:jc w:val="center"/>
              <w:textAlignment w:val="bottom"/>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14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A022A7">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套</w:t>
            </w:r>
          </w:p>
        </w:tc>
      </w:tr>
      <w:tr w14:paraId="697A84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6D6418">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废水在线监测设备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9571C3">
            <w:pPr>
              <w:jc w:val="center"/>
              <w:rPr>
                <w:rFonts w:hint="eastAsia" w:ascii="宋体" w:hAnsi="宋体" w:eastAsia="宋体" w:cs="宋体"/>
                <w:i w:val="0"/>
                <w:iCs w:val="0"/>
                <w:color w:val="auto"/>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9CD3EE">
            <w:pPr>
              <w:keepNext w:val="0"/>
              <w:keepLines w:val="0"/>
              <w:widowControl/>
              <w:suppressLineNumbers w:val="0"/>
              <w:jc w:val="center"/>
              <w:textAlignment w:val="bottom"/>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14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E46B8A">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套</w:t>
            </w:r>
          </w:p>
        </w:tc>
      </w:tr>
      <w:tr w14:paraId="585B28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CA5146">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恶臭废气治理治理系统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C756CA">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10000m</w:t>
            </w:r>
            <w:r>
              <w:rPr>
                <w:rFonts w:hint="eastAsia" w:ascii="宋体" w:hAnsi="宋体" w:eastAsia="宋体" w:cs="宋体"/>
                <w:i w:val="0"/>
                <w:iCs w:val="0"/>
                <w:color w:val="auto"/>
                <w:kern w:val="0"/>
                <w:sz w:val="22"/>
                <w:szCs w:val="22"/>
                <w:u w:val="none"/>
                <w:vertAlign w:val="superscript"/>
                <w:lang w:val="en-US" w:eastAsia="zh-CN" w:bidi="ar"/>
              </w:rPr>
              <w:t>3</w:t>
            </w:r>
            <w:r>
              <w:rPr>
                <w:rFonts w:hint="eastAsia" w:ascii="宋体" w:hAnsi="宋体" w:eastAsia="宋体" w:cs="宋体"/>
                <w:i w:val="0"/>
                <w:iCs w:val="0"/>
                <w:color w:val="auto"/>
                <w:kern w:val="0"/>
                <w:sz w:val="22"/>
                <w:szCs w:val="22"/>
                <w:u w:val="none"/>
                <w:lang w:val="en-US" w:eastAsia="zh-CN" w:bidi="ar"/>
              </w:rPr>
              <w:t>/h</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FC7E52">
            <w:pPr>
              <w:keepNext w:val="0"/>
              <w:keepLines w:val="0"/>
              <w:widowControl/>
              <w:suppressLineNumbers w:val="0"/>
              <w:jc w:val="center"/>
              <w:textAlignment w:val="bottom"/>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14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8E2F02">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套</w:t>
            </w:r>
          </w:p>
        </w:tc>
      </w:tr>
      <w:tr w14:paraId="11B993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3F1340">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污水恶臭废气处理系统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E2FFEC">
            <w:pPr>
              <w:jc w:val="center"/>
              <w:rPr>
                <w:rFonts w:hint="eastAsia" w:ascii="宋体" w:hAnsi="宋体" w:eastAsia="宋体" w:cs="宋体"/>
                <w:i w:val="0"/>
                <w:iCs w:val="0"/>
                <w:color w:val="auto"/>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DC5B73">
            <w:pPr>
              <w:keepNext w:val="0"/>
              <w:keepLines w:val="0"/>
              <w:widowControl/>
              <w:suppressLineNumbers w:val="0"/>
              <w:jc w:val="center"/>
              <w:textAlignment w:val="bottom"/>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14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143FCE">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r>
      <w:tr w14:paraId="52D2B3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2DA059">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玻璃钢喷淋塔</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393AD3">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∅1800*4000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36F95F">
            <w:pPr>
              <w:keepNext w:val="0"/>
              <w:keepLines w:val="0"/>
              <w:widowControl/>
              <w:suppressLineNumbers w:val="0"/>
              <w:jc w:val="center"/>
              <w:textAlignment w:val="bottom"/>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c>
          <w:tcPr>
            <w:tcW w:w="14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B7091D">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r>
      <w:tr w14:paraId="1F68AC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E07426">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玻璃钢喷淋塔</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9CF3EC">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∅1500*5000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2AACAF">
            <w:pPr>
              <w:keepNext w:val="0"/>
              <w:keepLines w:val="0"/>
              <w:widowControl/>
              <w:suppressLineNumbers w:val="0"/>
              <w:jc w:val="center"/>
              <w:textAlignment w:val="bottom"/>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c>
          <w:tcPr>
            <w:tcW w:w="14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3638AF">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r>
      <w:tr w14:paraId="70208D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8E2827">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压滤机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AF5A8F">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XMAZG150/1250-UB</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E7CF0F">
            <w:pPr>
              <w:keepNext w:val="0"/>
              <w:keepLines w:val="0"/>
              <w:widowControl/>
              <w:suppressLineNumbers w:val="0"/>
              <w:jc w:val="center"/>
              <w:textAlignment w:val="bottom"/>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2</w:t>
            </w:r>
          </w:p>
        </w:tc>
        <w:tc>
          <w:tcPr>
            <w:tcW w:w="14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62E5BB">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r>
      <w:tr w14:paraId="24540E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jc w:val="center"/>
        </w:trPr>
        <w:tc>
          <w:tcPr>
            <w:tcW w:w="8522"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1002C6">
            <w:pPr>
              <w:keepNext w:val="0"/>
              <w:keepLines w:val="0"/>
              <w:widowControl/>
              <w:suppressLineNumbers w:val="0"/>
              <w:jc w:val="center"/>
              <w:textAlignment w:val="center"/>
              <w:rPr>
                <w:rFonts w:hint="default" w:ascii="宋体" w:hAnsi="宋体" w:eastAsia="宋体" w:cs="宋体"/>
                <w:i w:val="0"/>
                <w:iCs w:val="0"/>
                <w:color w:val="auto"/>
                <w:kern w:val="0"/>
                <w:sz w:val="22"/>
                <w:szCs w:val="22"/>
                <w:u w:val="none"/>
                <w:lang w:val="en-US" w:eastAsia="zh-CN" w:bidi="ar"/>
              </w:rPr>
            </w:pPr>
            <w:r>
              <w:rPr>
                <w:rFonts w:hint="eastAsia" w:ascii="宋体" w:hAnsi="宋体" w:eastAsia="宋体" w:cs="宋体"/>
                <w:b/>
                <w:bCs/>
                <w:i w:val="0"/>
                <w:iCs w:val="0"/>
                <w:color w:val="auto"/>
                <w:kern w:val="0"/>
                <w:sz w:val="22"/>
                <w:szCs w:val="22"/>
                <w:u w:val="none"/>
                <w:lang w:val="en-US" w:eastAsia="zh-CN" w:bidi="ar"/>
              </w:rPr>
              <w:t>空压车间</w:t>
            </w:r>
          </w:p>
        </w:tc>
      </w:tr>
      <w:tr w14:paraId="542BCF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2E1D314">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低压空气压缩机（配件）</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836FCAF">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LW-40/2.2</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C753325">
            <w:pPr>
              <w:keepNext w:val="0"/>
              <w:keepLines w:val="0"/>
              <w:widowControl/>
              <w:suppressLineNumbers w:val="0"/>
              <w:jc w:val="center"/>
              <w:textAlignment w:val="bottom"/>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1</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5666181">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台</w:t>
            </w:r>
          </w:p>
        </w:tc>
      </w:tr>
      <w:tr w14:paraId="2A5DF0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D0C030C">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控制站（蒸汽流量计）</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92849CB">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SK-2-DN200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4F4B4A8">
            <w:pPr>
              <w:keepNext w:val="0"/>
              <w:keepLines w:val="0"/>
              <w:widowControl/>
              <w:suppressLineNumbers w:val="0"/>
              <w:jc w:val="center"/>
              <w:textAlignment w:val="bottom"/>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1</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530040F">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套</w:t>
            </w:r>
          </w:p>
        </w:tc>
      </w:tr>
      <w:tr w14:paraId="7768D9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6914304">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上活塞体（空压机）</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6FEED8E">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LW-40/2.2</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B60FA00">
            <w:pPr>
              <w:keepNext w:val="0"/>
              <w:keepLines w:val="0"/>
              <w:widowControl/>
              <w:suppressLineNumbers w:val="0"/>
              <w:jc w:val="center"/>
              <w:textAlignment w:val="bottom"/>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2</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8928127">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件</w:t>
            </w:r>
          </w:p>
        </w:tc>
      </w:tr>
      <w:tr w14:paraId="03F2B8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785A97B">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管道泵</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E4E6CF3">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ISG150-200B</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7CAF908">
            <w:pPr>
              <w:keepNext w:val="0"/>
              <w:keepLines w:val="0"/>
              <w:widowControl/>
              <w:suppressLineNumbers w:val="0"/>
              <w:jc w:val="center"/>
              <w:textAlignment w:val="bottom"/>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3</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AFD971A">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台</w:t>
            </w:r>
          </w:p>
        </w:tc>
      </w:tr>
      <w:tr w14:paraId="64D295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1D0F7E6">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变频器</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B987D95">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160kw</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90E226F">
            <w:pPr>
              <w:keepNext w:val="0"/>
              <w:keepLines w:val="0"/>
              <w:widowControl/>
              <w:suppressLineNumbers w:val="0"/>
              <w:jc w:val="center"/>
              <w:textAlignment w:val="bottom"/>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1</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6900A8D">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台</w:t>
            </w:r>
          </w:p>
        </w:tc>
      </w:tr>
      <w:tr w14:paraId="54D631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A673162">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进气阀总成</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E485BB7">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7160-VC-1623-30300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FB84790">
            <w:pPr>
              <w:keepNext w:val="0"/>
              <w:keepLines w:val="0"/>
              <w:widowControl/>
              <w:suppressLineNumbers w:val="0"/>
              <w:jc w:val="center"/>
              <w:textAlignment w:val="bottom"/>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1</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1920431">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套</w:t>
            </w:r>
          </w:p>
        </w:tc>
      </w:tr>
      <w:tr w14:paraId="67E2B5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20CC3BA">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等离子切割机</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047874E">
            <w:pPr>
              <w:jc w:val="center"/>
              <w:rPr>
                <w:rFonts w:hint="eastAsia" w:ascii="宋体" w:hAnsi="宋体" w:eastAsia="宋体" w:cs="宋体"/>
                <w:i w:val="0"/>
                <w:iCs w:val="0"/>
                <w:color w:val="auto"/>
                <w:kern w:val="2"/>
                <w:sz w:val="22"/>
                <w:szCs w:val="22"/>
                <w:u w:val="none"/>
                <w:lang w:val="en-US" w:eastAsia="zh-CN" w:bidi="ar-SA"/>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B430E48">
            <w:pPr>
              <w:keepNext w:val="0"/>
              <w:keepLines w:val="0"/>
              <w:widowControl/>
              <w:suppressLineNumbers w:val="0"/>
              <w:jc w:val="center"/>
              <w:textAlignment w:val="bottom"/>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1</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CDBA38C">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台</w:t>
            </w:r>
          </w:p>
        </w:tc>
      </w:tr>
      <w:tr w14:paraId="793619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1FCC146">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台钻</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4CBBBF9">
            <w:pPr>
              <w:jc w:val="center"/>
              <w:rPr>
                <w:rFonts w:hint="eastAsia" w:ascii="宋体" w:hAnsi="宋体" w:eastAsia="宋体" w:cs="宋体"/>
                <w:i w:val="0"/>
                <w:iCs w:val="0"/>
                <w:color w:val="auto"/>
                <w:kern w:val="2"/>
                <w:sz w:val="22"/>
                <w:szCs w:val="22"/>
                <w:u w:val="none"/>
                <w:lang w:val="en-US" w:eastAsia="zh-CN" w:bidi="ar-SA"/>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F4691DD">
            <w:pPr>
              <w:keepNext w:val="0"/>
              <w:keepLines w:val="0"/>
              <w:widowControl/>
              <w:suppressLineNumbers w:val="0"/>
              <w:jc w:val="center"/>
              <w:textAlignment w:val="bottom"/>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1</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2BE8682">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台</w:t>
            </w:r>
          </w:p>
        </w:tc>
      </w:tr>
      <w:tr w14:paraId="078392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F5B45AD">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柴油发电机组</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FA08603">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400GF4-396</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DC67128">
            <w:pPr>
              <w:keepNext w:val="0"/>
              <w:keepLines w:val="0"/>
              <w:widowControl/>
              <w:suppressLineNumbers w:val="0"/>
              <w:jc w:val="center"/>
              <w:textAlignment w:val="bottom"/>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1</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4786E25">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台</w:t>
            </w:r>
          </w:p>
        </w:tc>
      </w:tr>
      <w:tr w14:paraId="44141E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91E6031">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陆用柴油机</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F095A6E">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X6160Z-2</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BEB624D">
            <w:pPr>
              <w:keepNext w:val="0"/>
              <w:keepLines w:val="0"/>
              <w:widowControl/>
              <w:suppressLineNumbers w:val="0"/>
              <w:jc w:val="center"/>
              <w:textAlignment w:val="bottom"/>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1</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BFF66F7">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台</w:t>
            </w:r>
          </w:p>
        </w:tc>
      </w:tr>
      <w:tr w14:paraId="08460B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93EA0E7">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高速柴油机</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D87566F">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WD287TAD611</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9B6C862">
            <w:pPr>
              <w:keepNext w:val="0"/>
              <w:keepLines w:val="0"/>
              <w:widowControl/>
              <w:suppressLineNumbers w:val="0"/>
              <w:jc w:val="center"/>
              <w:textAlignment w:val="bottom"/>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1</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9D972E4">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台</w:t>
            </w:r>
          </w:p>
        </w:tc>
      </w:tr>
      <w:tr w14:paraId="7EF712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8EA124F">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金属封闭式环网开关柜(高压配电）</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24041CE">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XGN-12</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E16AD6E">
            <w:pPr>
              <w:keepNext w:val="0"/>
              <w:keepLines w:val="0"/>
              <w:widowControl/>
              <w:suppressLineNumbers w:val="0"/>
              <w:jc w:val="center"/>
              <w:textAlignment w:val="bottom"/>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6</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B5F643B">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台</w:t>
            </w:r>
          </w:p>
        </w:tc>
      </w:tr>
      <w:tr w14:paraId="723370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982B583">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1号变压器</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39AA1CE">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S11-1250KVA</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FABBA3F">
            <w:pPr>
              <w:keepNext w:val="0"/>
              <w:keepLines w:val="0"/>
              <w:widowControl/>
              <w:suppressLineNumbers w:val="0"/>
              <w:jc w:val="center"/>
              <w:textAlignment w:val="bottom"/>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1</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60E304D">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台</w:t>
            </w:r>
          </w:p>
        </w:tc>
      </w:tr>
      <w:tr w14:paraId="5B85A7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160581E">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2号变压器</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42CB14B">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S11-630KVA</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DEE8049">
            <w:pPr>
              <w:keepNext w:val="0"/>
              <w:keepLines w:val="0"/>
              <w:widowControl/>
              <w:suppressLineNumbers w:val="0"/>
              <w:jc w:val="center"/>
              <w:textAlignment w:val="bottom"/>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1</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B1372E8">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台</w:t>
            </w:r>
          </w:p>
        </w:tc>
      </w:tr>
      <w:tr w14:paraId="36AA37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48DAC59">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10KV中置出线柜</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437D94C">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KYN28</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7DB4B04">
            <w:pPr>
              <w:keepNext w:val="0"/>
              <w:keepLines w:val="0"/>
              <w:widowControl/>
              <w:suppressLineNumbers w:val="0"/>
              <w:jc w:val="center"/>
              <w:textAlignment w:val="bottom"/>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1</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DA143C1">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台</w:t>
            </w:r>
          </w:p>
        </w:tc>
      </w:tr>
      <w:tr w14:paraId="25AFE6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E070EE2">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变压器</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D168FAD">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S11-1600KVA</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C43F28E">
            <w:pPr>
              <w:keepNext w:val="0"/>
              <w:keepLines w:val="0"/>
              <w:widowControl/>
              <w:suppressLineNumbers w:val="0"/>
              <w:jc w:val="center"/>
              <w:textAlignment w:val="bottom"/>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1</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D06D8E8">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台</w:t>
            </w:r>
          </w:p>
        </w:tc>
      </w:tr>
      <w:tr w14:paraId="2BDDFE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8E74917">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软启动柜</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6510B43">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160KW</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C7527B9">
            <w:pPr>
              <w:keepNext w:val="0"/>
              <w:keepLines w:val="0"/>
              <w:widowControl/>
              <w:suppressLineNumbers w:val="0"/>
              <w:jc w:val="center"/>
              <w:textAlignment w:val="bottom"/>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1</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982DC81">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台</w:t>
            </w:r>
          </w:p>
        </w:tc>
      </w:tr>
      <w:tr w14:paraId="01B655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4CC81FA">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套丝机</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AEA8718">
            <w:pPr>
              <w:jc w:val="center"/>
              <w:rPr>
                <w:rFonts w:hint="eastAsia" w:ascii="宋体" w:hAnsi="宋体" w:eastAsia="宋体" w:cs="宋体"/>
                <w:i w:val="0"/>
                <w:iCs w:val="0"/>
                <w:color w:val="auto"/>
                <w:kern w:val="2"/>
                <w:sz w:val="22"/>
                <w:szCs w:val="22"/>
                <w:u w:val="none"/>
                <w:lang w:val="en-US" w:eastAsia="zh-CN" w:bidi="ar-SA"/>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A7908A4">
            <w:pPr>
              <w:keepNext w:val="0"/>
              <w:keepLines w:val="0"/>
              <w:widowControl/>
              <w:suppressLineNumbers w:val="0"/>
              <w:jc w:val="center"/>
              <w:textAlignment w:val="bottom"/>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1</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DF4D479">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套</w:t>
            </w:r>
          </w:p>
        </w:tc>
      </w:tr>
      <w:tr w14:paraId="298EFF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BB62154">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软启动柜</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FD2C791">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160KW</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3189274">
            <w:pPr>
              <w:keepNext w:val="0"/>
              <w:keepLines w:val="0"/>
              <w:widowControl/>
              <w:suppressLineNumbers w:val="0"/>
              <w:jc w:val="center"/>
              <w:textAlignment w:val="bottom"/>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1</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91BB93D">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台</w:t>
            </w:r>
          </w:p>
        </w:tc>
      </w:tr>
      <w:tr w14:paraId="750703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B514545">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电缆（配电室）</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E85F4CD">
            <w:pPr>
              <w:jc w:val="center"/>
              <w:rPr>
                <w:rFonts w:hint="eastAsia" w:ascii="宋体" w:hAnsi="宋体" w:eastAsia="宋体" w:cs="宋体"/>
                <w:i w:val="0"/>
                <w:iCs w:val="0"/>
                <w:color w:val="auto"/>
                <w:kern w:val="2"/>
                <w:sz w:val="22"/>
                <w:szCs w:val="22"/>
                <w:u w:val="none"/>
                <w:lang w:val="en-US" w:eastAsia="zh-CN" w:bidi="ar-SA"/>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A6EAC2D">
            <w:pPr>
              <w:keepNext w:val="0"/>
              <w:keepLines w:val="0"/>
              <w:widowControl/>
              <w:suppressLineNumbers w:val="0"/>
              <w:jc w:val="center"/>
              <w:textAlignment w:val="bottom"/>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1</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3B58CD0">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台</w:t>
            </w:r>
          </w:p>
        </w:tc>
      </w:tr>
      <w:tr w14:paraId="1302EB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C9C457D">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锅炉房</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5F114AC">
            <w:pPr>
              <w:jc w:val="center"/>
              <w:rPr>
                <w:rFonts w:hint="eastAsia" w:ascii="宋体" w:hAnsi="宋体" w:eastAsia="宋体" w:cs="宋体"/>
                <w:i w:val="0"/>
                <w:iCs w:val="0"/>
                <w:color w:val="auto"/>
                <w:kern w:val="2"/>
                <w:sz w:val="22"/>
                <w:szCs w:val="22"/>
                <w:u w:val="none"/>
                <w:lang w:val="en-US" w:eastAsia="zh-CN" w:bidi="ar-SA"/>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E42453B">
            <w:pPr>
              <w:keepNext w:val="0"/>
              <w:keepLines w:val="0"/>
              <w:widowControl/>
              <w:suppressLineNumbers w:val="0"/>
              <w:jc w:val="center"/>
              <w:textAlignment w:val="bottom"/>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1</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19FD86A">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栋</w:t>
            </w:r>
          </w:p>
        </w:tc>
      </w:tr>
      <w:tr w14:paraId="41C888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398B05D">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低压空气压缩机</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EC62F81">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LW-40/2.2</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D432BA1">
            <w:pPr>
              <w:keepNext w:val="0"/>
              <w:keepLines w:val="0"/>
              <w:widowControl/>
              <w:suppressLineNumbers w:val="0"/>
              <w:jc w:val="center"/>
              <w:textAlignment w:val="bottom"/>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5</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6F52D96">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台</w:t>
            </w:r>
          </w:p>
        </w:tc>
      </w:tr>
      <w:tr w14:paraId="5483C4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A0860DB">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多极水泵</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CEE483D">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40GDL6-12X12</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99E8164">
            <w:pPr>
              <w:keepNext w:val="0"/>
              <w:keepLines w:val="0"/>
              <w:widowControl/>
              <w:suppressLineNumbers w:val="0"/>
              <w:jc w:val="center"/>
              <w:textAlignment w:val="bottom"/>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3</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2EB0DF0">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台</w:t>
            </w:r>
          </w:p>
        </w:tc>
      </w:tr>
      <w:tr w14:paraId="5792A5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7B40661">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鼓风机</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6AF85B8">
            <w:pPr>
              <w:jc w:val="center"/>
              <w:rPr>
                <w:rFonts w:hint="eastAsia" w:ascii="宋体" w:hAnsi="宋体" w:eastAsia="宋体" w:cs="宋体"/>
                <w:i w:val="0"/>
                <w:iCs w:val="0"/>
                <w:color w:val="auto"/>
                <w:kern w:val="2"/>
                <w:sz w:val="22"/>
                <w:szCs w:val="22"/>
                <w:u w:val="none"/>
                <w:lang w:val="en-US" w:eastAsia="zh-CN" w:bidi="ar-SA"/>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28FBB06">
            <w:pPr>
              <w:keepNext w:val="0"/>
              <w:keepLines w:val="0"/>
              <w:widowControl/>
              <w:suppressLineNumbers w:val="0"/>
              <w:jc w:val="center"/>
              <w:textAlignment w:val="bottom"/>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2</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EF783E9">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台</w:t>
            </w:r>
          </w:p>
        </w:tc>
      </w:tr>
      <w:tr w14:paraId="3BA2D9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D43B5CC">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锅炉引风机</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7BEEF16">
            <w:pPr>
              <w:jc w:val="center"/>
              <w:rPr>
                <w:rFonts w:hint="eastAsia" w:ascii="宋体" w:hAnsi="宋体" w:eastAsia="宋体" w:cs="宋体"/>
                <w:i w:val="0"/>
                <w:iCs w:val="0"/>
                <w:color w:val="auto"/>
                <w:kern w:val="2"/>
                <w:sz w:val="22"/>
                <w:szCs w:val="22"/>
                <w:u w:val="none"/>
                <w:lang w:val="en-US" w:eastAsia="zh-CN" w:bidi="ar-SA"/>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7D31B4B">
            <w:pPr>
              <w:keepNext w:val="0"/>
              <w:keepLines w:val="0"/>
              <w:widowControl/>
              <w:suppressLineNumbers w:val="0"/>
              <w:jc w:val="center"/>
              <w:textAlignment w:val="bottom"/>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2</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D678924">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台</w:t>
            </w:r>
          </w:p>
        </w:tc>
      </w:tr>
      <w:tr w14:paraId="174251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3A5FA32">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水膜除尘</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6B3389B">
            <w:pPr>
              <w:jc w:val="center"/>
              <w:rPr>
                <w:rFonts w:hint="eastAsia" w:ascii="宋体" w:hAnsi="宋体" w:eastAsia="宋体" w:cs="宋体"/>
                <w:i w:val="0"/>
                <w:iCs w:val="0"/>
                <w:color w:val="auto"/>
                <w:kern w:val="2"/>
                <w:sz w:val="22"/>
                <w:szCs w:val="22"/>
                <w:u w:val="none"/>
                <w:lang w:val="en-US" w:eastAsia="zh-CN" w:bidi="ar-SA"/>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AAED90C">
            <w:pPr>
              <w:keepNext w:val="0"/>
              <w:keepLines w:val="0"/>
              <w:widowControl/>
              <w:suppressLineNumbers w:val="0"/>
              <w:jc w:val="center"/>
              <w:textAlignment w:val="bottom"/>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2</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4FF66DE">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套</w:t>
            </w:r>
          </w:p>
        </w:tc>
      </w:tr>
      <w:tr w14:paraId="634D9D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3A77F39">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移动式全无油润滑空气（低）压缩机</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19A5F22">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WW-1.0/0.25</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447BA66">
            <w:pPr>
              <w:keepNext w:val="0"/>
              <w:keepLines w:val="0"/>
              <w:widowControl/>
              <w:suppressLineNumbers w:val="0"/>
              <w:jc w:val="center"/>
              <w:textAlignment w:val="bottom"/>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1</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7E2F942">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台</w:t>
            </w:r>
          </w:p>
        </w:tc>
      </w:tr>
      <w:tr w14:paraId="328411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CDB5755">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移动式空压储气罐</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C409FA0">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1000L</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91FEFF1">
            <w:pPr>
              <w:keepNext w:val="0"/>
              <w:keepLines w:val="0"/>
              <w:widowControl/>
              <w:suppressLineNumbers w:val="0"/>
              <w:jc w:val="center"/>
              <w:textAlignment w:val="bottom"/>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1</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7AA500F">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台</w:t>
            </w:r>
          </w:p>
        </w:tc>
      </w:tr>
      <w:tr w14:paraId="33BE34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D20ACE6">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焊机、氧割</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5EBB924">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BX1-315-2</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0C6B932">
            <w:pPr>
              <w:keepNext w:val="0"/>
              <w:keepLines w:val="0"/>
              <w:widowControl/>
              <w:suppressLineNumbers w:val="0"/>
              <w:jc w:val="center"/>
              <w:textAlignment w:val="bottom"/>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1</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03E5A27">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套</w:t>
            </w:r>
          </w:p>
        </w:tc>
      </w:tr>
      <w:tr w14:paraId="7D4207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FE9A5DC">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台式钻床</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5ED526E">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Z4125</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942F46B">
            <w:pPr>
              <w:keepNext w:val="0"/>
              <w:keepLines w:val="0"/>
              <w:widowControl/>
              <w:suppressLineNumbers w:val="0"/>
              <w:jc w:val="center"/>
              <w:textAlignment w:val="bottom"/>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2</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B10EE73">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台</w:t>
            </w:r>
          </w:p>
        </w:tc>
      </w:tr>
      <w:tr w14:paraId="7DAF22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7A129AA">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车床</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B0A5AF7">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C6140H</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D500717">
            <w:pPr>
              <w:keepNext w:val="0"/>
              <w:keepLines w:val="0"/>
              <w:widowControl/>
              <w:suppressLineNumbers w:val="0"/>
              <w:jc w:val="center"/>
              <w:textAlignment w:val="bottom"/>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1</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51B4DB5">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台</w:t>
            </w:r>
          </w:p>
        </w:tc>
      </w:tr>
      <w:tr w14:paraId="243915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A1E5401">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硫酸储罐</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EC78168">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3T</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54EF1BD">
            <w:pPr>
              <w:keepNext w:val="0"/>
              <w:keepLines w:val="0"/>
              <w:widowControl/>
              <w:suppressLineNumbers w:val="0"/>
              <w:jc w:val="center"/>
              <w:textAlignment w:val="bottom"/>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1</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0AD95EE">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台</w:t>
            </w:r>
          </w:p>
        </w:tc>
      </w:tr>
      <w:tr w14:paraId="2A1908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C6DB0A5">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硫酸储罐</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B4F4C46">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1T</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BA39D48">
            <w:pPr>
              <w:keepNext w:val="0"/>
              <w:keepLines w:val="0"/>
              <w:widowControl/>
              <w:suppressLineNumbers w:val="0"/>
              <w:jc w:val="center"/>
              <w:textAlignment w:val="bottom"/>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1</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0D981B4">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台</w:t>
            </w:r>
          </w:p>
        </w:tc>
      </w:tr>
      <w:tr w14:paraId="3A6D13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50AEA41">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泵</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F1DDF9E">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15KW</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F98C0A9">
            <w:pPr>
              <w:keepNext w:val="0"/>
              <w:keepLines w:val="0"/>
              <w:widowControl/>
              <w:suppressLineNumbers w:val="0"/>
              <w:jc w:val="center"/>
              <w:textAlignment w:val="bottom"/>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2</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E110AEC">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台</w:t>
            </w:r>
          </w:p>
        </w:tc>
      </w:tr>
      <w:tr w14:paraId="3F3CB0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5B2FEBD">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泵</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C9BAEF9">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7.5KW</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7C7277F">
            <w:pPr>
              <w:keepNext w:val="0"/>
              <w:keepLines w:val="0"/>
              <w:widowControl/>
              <w:suppressLineNumbers w:val="0"/>
              <w:jc w:val="center"/>
              <w:textAlignment w:val="bottom"/>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1</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5F959CE">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台</w:t>
            </w:r>
          </w:p>
        </w:tc>
      </w:tr>
      <w:tr w14:paraId="544481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89221F9">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泵</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4BCE236">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4KW</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04F86B4">
            <w:pPr>
              <w:keepNext w:val="0"/>
              <w:keepLines w:val="0"/>
              <w:widowControl/>
              <w:suppressLineNumbers w:val="0"/>
              <w:jc w:val="center"/>
              <w:textAlignment w:val="bottom"/>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2</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17A24BC">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台</w:t>
            </w:r>
          </w:p>
        </w:tc>
      </w:tr>
      <w:tr w14:paraId="36422D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5FA5BB7">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泵</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1015F6A">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3KW</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C4050CB">
            <w:pPr>
              <w:keepNext w:val="0"/>
              <w:keepLines w:val="0"/>
              <w:widowControl/>
              <w:suppressLineNumbers w:val="0"/>
              <w:jc w:val="center"/>
              <w:textAlignment w:val="bottom"/>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2</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664DD3F">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台</w:t>
            </w:r>
          </w:p>
        </w:tc>
      </w:tr>
      <w:tr w14:paraId="5743F6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21E6B36">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泵</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6D11F48">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1.1KW</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F7B49FD">
            <w:pPr>
              <w:keepNext w:val="0"/>
              <w:keepLines w:val="0"/>
              <w:widowControl/>
              <w:suppressLineNumbers w:val="0"/>
              <w:jc w:val="center"/>
              <w:textAlignment w:val="bottom"/>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1</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875E512">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台</w:t>
            </w:r>
          </w:p>
        </w:tc>
      </w:tr>
      <w:tr w14:paraId="24B9F0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6962A14">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萃取罐</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46D8C65">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1#10m</w:t>
            </w:r>
            <w:r>
              <w:rPr>
                <w:rFonts w:hint="eastAsia" w:ascii="宋体" w:hAnsi="宋体" w:eastAsia="宋体" w:cs="宋体"/>
                <w:i w:val="0"/>
                <w:iCs w:val="0"/>
                <w:color w:val="auto"/>
                <w:kern w:val="0"/>
                <w:sz w:val="22"/>
                <w:szCs w:val="22"/>
                <w:u w:val="none"/>
                <w:vertAlign w:val="superscript"/>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48CA888">
            <w:pPr>
              <w:keepNext w:val="0"/>
              <w:keepLines w:val="0"/>
              <w:widowControl/>
              <w:suppressLineNumbers w:val="0"/>
              <w:jc w:val="center"/>
              <w:textAlignment w:val="bottom"/>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1</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9778173">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个</w:t>
            </w:r>
          </w:p>
        </w:tc>
      </w:tr>
      <w:tr w14:paraId="35395C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AB514AA">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萃取罐</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8A08839">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2#10m</w:t>
            </w:r>
            <w:r>
              <w:rPr>
                <w:rFonts w:hint="eastAsia" w:ascii="宋体" w:hAnsi="宋体" w:eastAsia="宋体" w:cs="宋体"/>
                <w:i w:val="0"/>
                <w:iCs w:val="0"/>
                <w:color w:val="auto"/>
                <w:kern w:val="0"/>
                <w:sz w:val="22"/>
                <w:szCs w:val="22"/>
                <w:u w:val="none"/>
                <w:vertAlign w:val="superscript"/>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3E1B78B">
            <w:pPr>
              <w:keepNext w:val="0"/>
              <w:keepLines w:val="0"/>
              <w:widowControl/>
              <w:suppressLineNumbers w:val="0"/>
              <w:jc w:val="center"/>
              <w:textAlignment w:val="bottom"/>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1</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3AE1D62">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个</w:t>
            </w:r>
          </w:p>
        </w:tc>
      </w:tr>
      <w:tr w14:paraId="54FF81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90E9394">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氟塑离心泵</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D0D88CC">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IHF40-25-125-YB3KW</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3D81A74">
            <w:pPr>
              <w:keepNext w:val="0"/>
              <w:keepLines w:val="0"/>
              <w:widowControl/>
              <w:suppressLineNumbers w:val="0"/>
              <w:jc w:val="center"/>
              <w:textAlignment w:val="bottom"/>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1</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75376AB">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台</w:t>
            </w:r>
          </w:p>
        </w:tc>
      </w:tr>
      <w:tr w14:paraId="15FCE2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0ED44B9">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涡街流量计</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9387183">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DV125</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74D5947">
            <w:pPr>
              <w:keepNext w:val="0"/>
              <w:keepLines w:val="0"/>
              <w:widowControl/>
              <w:suppressLineNumbers w:val="0"/>
              <w:jc w:val="center"/>
              <w:textAlignment w:val="bottom"/>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1</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DDBC473">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套</w:t>
            </w:r>
          </w:p>
        </w:tc>
      </w:tr>
      <w:tr w14:paraId="33A31D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FCBC766">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活塞体</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A793933">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LW-40/2.2</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A88C131">
            <w:pPr>
              <w:keepNext w:val="0"/>
              <w:keepLines w:val="0"/>
              <w:widowControl/>
              <w:suppressLineNumbers w:val="0"/>
              <w:jc w:val="center"/>
              <w:textAlignment w:val="bottom"/>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2</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DB695C7">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台</w:t>
            </w:r>
          </w:p>
        </w:tc>
      </w:tr>
      <w:tr w14:paraId="6952B7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D7902C6">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一级气缸体</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5CC911A">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LW-40/2.2</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E3E8B24">
            <w:pPr>
              <w:keepNext w:val="0"/>
              <w:keepLines w:val="0"/>
              <w:widowControl/>
              <w:suppressLineNumbers w:val="0"/>
              <w:jc w:val="center"/>
              <w:textAlignment w:val="bottom"/>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1</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DE41733">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台</w:t>
            </w:r>
          </w:p>
        </w:tc>
      </w:tr>
      <w:tr w14:paraId="381295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3D2FB73">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闪蒸防爆柜</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5C9FEAC">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SXG-4型</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29C69A9">
            <w:pPr>
              <w:keepNext w:val="0"/>
              <w:keepLines w:val="0"/>
              <w:widowControl/>
              <w:suppressLineNumbers w:val="0"/>
              <w:jc w:val="center"/>
              <w:textAlignment w:val="bottom"/>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1</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CB952E7">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台</w:t>
            </w:r>
          </w:p>
        </w:tc>
      </w:tr>
      <w:tr w14:paraId="1DC1CD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9080A74">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闪蒸防爆柜</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E9EAAEA">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SXG-6型</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25D6E70">
            <w:pPr>
              <w:keepNext w:val="0"/>
              <w:keepLines w:val="0"/>
              <w:widowControl/>
              <w:suppressLineNumbers w:val="0"/>
              <w:jc w:val="center"/>
              <w:textAlignment w:val="bottom"/>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1</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67FCB42">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台</w:t>
            </w:r>
          </w:p>
        </w:tc>
      </w:tr>
      <w:tr w14:paraId="4DCFE9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1317DA9">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电机</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9B0093A">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15KW</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FF4B2B5">
            <w:pPr>
              <w:keepNext w:val="0"/>
              <w:keepLines w:val="0"/>
              <w:widowControl/>
              <w:suppressLineNumbers w:val="0"/>
              <w:jc w:val="center"/>
              <w:textAlignment w:val="bottom"/>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1</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E100DB6">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台</w:t>
            </w:r>
          </w:p>
        </w:tc>
      </w:tr>
      <w:tr w14:paraId="2974D1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04D9179">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螺杆机主机</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48ED7AB">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F13-18.5</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7005E7D">
            <w:pPr>
              <w:keepNext w:val="0"/>
              <w:keepLines w:val="0"/>
              <w:widowControl/>
              <w:suppressLineNumbers w:val="0"/>
              <w:jc w:val="center"/>
              <w:textAlignment w:val="bottom"/>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1</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30361B2">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台</w:t>
            </w:r>
          </w:p>
        </w:tc>
      </w:tr>
      <w:tr w14:paraId="322135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6593108">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立式管道泵</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8B982EB">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IRG80-160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432A45B">
            <w:pPr>
              <w:keepNext w:val="0"/>
              <w:keepLines w:val="0"/>
              <w:widowControl/>
              <w:suppressLineNumbers w:val="0"/>
              <w:jc w:val="center"/>
              <w:textAlignment w:val="bottom"/>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1</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FF60B45">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台</w:t>
            </w:r>
          </w:p>
        </w:tc>
      </w:tr>
      <w:tr w14:paraId="423400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241DE42">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潜水泵</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416AFC2">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WQ150-180-15-15</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FD89923">
            <w:pPr>
              <w:keepNext w:val="0"/>
              <w:keepLines w:val="0"/>
              <w:widowControl/>
              <w:suppressLineNumbers w:val="0"/>
              <w:jc w:val="center"/>
              <w:textAlignment w:val="bottom"/>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1</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001B47C">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台</w:t>
            </w:r>
          </w:p>
        </w:tc>
      </w:tr>
      <w:tr w14:paraId="6F0CBA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F81F61C">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空调</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C62D3F0">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1.5P</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5BE4007">
            <w:pPr>
              <w:keepNext w:val="0"/>
              <w:keepLines w:val="0"/>
              <w:widowControl/>
              <w:suppressLineNumbers w:val="0"/>
              <w:jc w:val="center"/>
              <w:textAlignment w:val="bottom"/>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1</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D696F03">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台</w:t>
            </w:r>
          </w:p>
        </w:tc>
      </w:tr>
      <w:tr w14:paraId="57F6EF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FBBA29F">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水泵</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1561B0C">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IRG125-160B</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BA52568">
            <w:pPr>
              <w:keepNext w:val="0"/>
              <w:keepLines w:val="0"/>
              <w:widowControl/>
              <w:suppressLineNumbers w:val="0"/>
              <w:jc w:val="center"/>
              <w:textAlignment w:val="bottom"/>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1</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992E371">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台</w:t>
            </w:r>
          </w:p>
        </w:tc>
      </w:tr>
      <w:tr w14:paraId="6C83E3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F6F8E2E">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管道保温</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A28516C">
            <w:pPr>
              <w:jc w:val="center"/>
              <w:rPr>
                <w:rFonts w:hint="eastAsia" w:ascii="宋体" w:hAnsi="宋体" w:eastAsia="宋体" w:cs="宋体"/>
                <w:i w:val="0"/>
                <w:iCs w:val="0"/>
                <w:color w:val="auto"/>
                <w:kern w:val="2"/>
                <w:sz w:val="22"/>
                <w:szCs w:val="22"/>
                <w:u w:val="none"/>
                <w:lang w:val="en-US" w:eastAsia="zh-CN" w:bidi="ar-SA"/>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4687B02">
            <w:pPr>
              <w:keepNext w:val="0"/>
              <w:keepLines w:val="0"/>
              <w:widowControl/>
              <w:suppressLineNumbers w:val="0"/>
              <w:jc w:val="center"/>
              <w:textAlignment w:val="bottom"/>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1</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521A1CF">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台</w:t>
            </w:r>
          </w:p>
        </w:tc>
      </w:tr>
      <w:tr w14:paraId="7B710B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5AA28CC">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列管式蒸馏塔</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8819552">
            <w:pPr>
              <w:jc w:val="center"/>
              <w:rPr>
                <w:rFonts w:hint="eastAsia" w:ascii="宋体" w:hAnsi="宋体" w:eastAsia="宋体" w:cs="宋体"/>
                <w:i w:val="0"/>
                <w:iCs w:val="0"/>
                <w:color w:val="auto"/>
                <w:kern w:val="2"/>
                <w:sz w:val="22"/>
                <w:szCs w:val="22"/>
                <w:u w:val="none"/>
                <w:lang w:val="en-US" w:eastAsia="zh-CN" w:bidi="ar-SA"/>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1A0859A">
            <w:pPr>
              <w:keepNext w:val="0"/>
              <w:keepLines w:val="0"/>
              <w:widowControl/>
              <w:suppressLineNumbers w:val="0"/>
              <w:jc w:val="center"/>
              <w:textAlignment w:val="bottom"/>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1</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D9A8469">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台</w:t>
            </w:r>
          </w:p>
        </w:tc>
      </w:tr>
      <w:tr w14:paraId="4A6AF8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1DAE5B8">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立式不锈钢管道泵</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F5C8809">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IHG125-125A-11</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8F8C352">
            <w:pPr>
              <w:keepNext w:val="0"/>
              <w:keepLines w:val="0"/>
              <w:widowControl/>
              <w:suppressLineNumbers w:val="0"/>
              <w:jc w:val="center"/>
              <w:textAlignment w:val="bottom"/>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1</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B63D169">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台</w:t>
            </w:r>
          </w:p>
        </w:tc>
      </w:tr>
      <w:tr w14:paraId="15616A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918DAEB">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螺杆空压机</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44B719C">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37KW</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1C86E7D">
            <w:pPr>
              <w:keepNext w:val="0"/>
              <w:keepLines w:val="0"/>
              <w:widowControl/>
              <w:suppressLineNumbers w:val="0"/>
              <w:jc w:val="center"/>
              <w:textAlignment w:val="bottom"/>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1</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3CDB67B">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台</w:t>
            </w:r>
          </w:p>
        </w:tc>
      </w:tr>
      <w:tr w14:paraId="25EB63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853DACE">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管道泵</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ACFD715">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ISG150-315B  18.5KW</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0DCBE7D">
            <w:pPr>
              <w:keepNext w:val="0"/>
              <w:keepLines w:val="0"/>
              <w:widowControl/>
              <w:suppressLineNumbers w:val="0"/>
              <w:jc w:val="center"/>
              <w:textAlignment w:val="bottom"/>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1</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AB5AA33">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台</w:t>
            </w:r>
          </w:p>
        </w:tc>
      </w:tr>
      <w:tr w14:paraId="622BC2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BE98759">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管道泵</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4BC3859">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ISG100-125</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51982E2">
            <w:pPr>
              <w:keepNext w:val="0"/>
              <w:keepLines w:val="0"/>
              <w:widowControl/>
              <w:suppressLineNumbers w:val="0"/>
              <w:jc w:val="center"/>
              <w:textAlignment w:val="bottom"/>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1</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4E9D3B6">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台</w:t>
            </w:r>
          </w:p>
        </w:tc>
      </w:tr>
      <w:tr w14:paraId="30C71C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E75F171">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管道泵</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EAA3282">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IRG200-250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4EAC2DC">
            <w:pPr>
              <w:keepNext w:val="0"/>
              <w:keepLines w:val="0"/>
              <w:widowControl/>
              <w:suppressLineNumbers w:val="0"/>
              <w:jc w:val="center"/>
              <w:textAlignment w:val="bottom"/>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1</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A0BAF27">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台</w:t>
            </w:r>
          </w:p>
        </w:tc>
      </w:tr>
      <w:tr w14:paraId="24A060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E331801">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在线软启动器</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F8D5474">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37KW</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6DE6E90">
            <w:pPr>
              <w:keepNext w:val="0"/>
              <w:keepLines w:val="0"/>
              <w:widowControl/>
              <w:suppressLineNumbers w:val="0"/>
              <w:jc w:val="center"/>
              <w:textAlignment w:val="bottom"/>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1</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38E7148">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台</w:t>
            </w:r>
          </w:p>
        </w:tc>
      </w:tr>
      <w:tr w14:paraId="1D8C17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8DFFC6D">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蒸发器</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2E0A103">
            <w:pPr>
              <w:jc w:val="center"/>
              <w:rPr>
                <w:rFonts w:hint="eastAsia" w:ascii="宋体" w:hAnsi="宋体" w:eastAsia="宋体" w:cs="宋体"/>
                <w:i w:val="0"/>
                <w:iCs w:val="0"/>
                <w:color w:val="auto"/>
                <w:kern w:val="2"/>
                <w:sz w:val="22"/>
                <w:szCs w:val="22"/>
                <w:u w:val="none"/>
                <w:lang w:val="en-US" w:eastAsia="zh-CN" w:bidi="ar-SA"/>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171095D">
            <w:pPr>
              <w:keepNext w:val="0"/>
              <w:keepLines w:val="0"/>
              <w:widowControl/>
              <w:suppressLineNumbers w:val="0"/>
              <w:jc w:val="center"/>
              <w:textAlignment w:val="bottom"/>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1</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9456F79">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台</w:t>
            </w:r>
          </w:p>
        </w:tc>
      </w:tr>
      <w:tr w14:paraId="1F9400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2CD0797">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压缩机</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7C44FE3">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RC2-310B</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C406FA1">
            <w:pPr>
              <w:keepNext w:val="0"/>
              <w:keepLines w:val="0"/>
              <w:widowControl/>
              <w:suppressLineNumbers w:val="0"/>
              <w:jc w:val="center"/>
              <w:textAlignment w:val="bottom"/>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1</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A34D38D">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台</w:t>
            </w:r>
          </w:p>
        </w:tc>
      </w:tr>
      <w:tr w14:paraId="2FB4F4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B81EB3B">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方形逆流式冷却塔</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6DFA745">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LCN-500*1</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6267924">
            <w:pPr>
              <w:keepNext w:val="0"/>
              <w:keepLines w:val="0"/>
              <w:widowControl/>
              <w:suppressLineNumbers w:val="0"/>
              <w:jc w:val="center"/>
              <w:textAlignment w:val="bottom"/>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1</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BA17061">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台</w:t>
            </w:r>
          </w:p>
        </w:tc>
      </w:tr>
      <w:tr w14:paraId="73C8E3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551987A">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方形横流式冷却塔</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DC4E0C9">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LCH-250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4C6DEC0">
            <w:pPr>
              <w:keepNext w:val="0"/>
              <w:keepLines w:val="0"/>
              <w:widowControl/>
              <w:suppressLineNumbers w:val="0"/>
              <w:jc w:val="center"/>
              <w:textAlignment w:val="bottom"/>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1</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771C040">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台</w:t>
            </w:r>
          </w:p>
        </w:tc>
      </w:tr>
      <w:tr w14:paraId="4F6C33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DF79A19">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高效螺杆冷水机组</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E7C2C85">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30XW0702</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8EF1C46">
            <w:pPr>
              <w:keepNext w:val="0"/>
              <w:keepLines w:val="0"/>
              <w:widowControl/>
              <w:suppressLineNumbers w:val="0"/>
              <w:jc w:val="center"/>
              <w:textAlignment w:val="bottom"/>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1</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8855C18">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台</w:t>
            </w:r>
          </w:p>
        </w:tc>
      </w:tr>
      <w:tr w14:paraId="355DB8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57E5363">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降膜式中低温螺杆冷水机组</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2E6D5DA">
            <w:pPr>
              <w:jc w:val="center"/>
              <w:rPr>
                <w:rFonts w:hint="eastAsia" w:ascii="宋体" w:hAnsi="宋体" w:eastAsia="宋体" w:cs="宋体"/>
                <w:i w:val="0"/>
                <w:iCs w:val="0"/>
                <w:color w:val="auto"/>
                <w:kern w:val="2"/>
                <w:sz w:val="22"/>
                <w:szCs w:val="22"/>
                <w:u w:val="none"/>
                <w:lang w:val="en-US" w:eastAsia="zh-CN" w:bidi="ar-SA"/>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AE25086">
            <w:pPr>
              <w:keepNext w:val="0"/>
              <w:keepLines w:val="0"/>
              <w:widowControl/>
              <w:suppressLineNumbers w:val="0"/>
              <w:jc w:val="center"/>
              <w:textAlignment w:val="bottom"/>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1</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CBE1CDB">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台</w:t>
            </w:r>
          </w:p>
        </w:tc>
      </w:tr>
      <w:tr w14:paraId="1851D1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E8B7B11">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电子天平</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623BF4C">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PTX-JA510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6EB1CC4">
            <w:pPr>
              <w:keepNext w:val="0"/>
              <w:keepLines w:val="0"/>
              <w:widowControl/>
              <w:suppressLineNumbers w:val="0"/>
              <w:jc w:val="center"/>
              <w:textAlignment w:val="bottom"/>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1</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AD4FDA3">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台</w:t>
            </w:r>
          </w:p>
        </w:tc>
      </w:tr>
      <w:tr w14:paraId="4A02C6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35E9777">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酸度计（PH计）</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41B13B3">
            <w:pPr>
              <w:jc w:val="center"/>
              <w:rPr>
                <w:rFonts w:hint="eastAsia" w:ascii="宋体" w:hAnsi="宋体" w:eastAsia="宋体" w:cs="宋体"/>
                <w:i w:val="0"/>
                <w:iCs w:val="0"/>
                <w:color w:val="auto"/>
                <w:kern w:val="2"/>
                <w:sz w:val="22"/>
                <w:szCs w:val="22"/>
                <w:u w:val="none"/>
                <w:lang w:val="en-US" w:eastAsia="zh-CN" w:bidi="ar-SA"/>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72E8358">
            <w:pPr>
              <w:keepNext w:val="0"/>
              <w:keepLines w:val="0"/>
              <w:widowControl/>
              <w:suppressLineNumbers w:val="0"/>
              <w:jc w:val="center"/>
              <w:textAlignment w:val="bottom"/>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1</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6F71B9C">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台</w:t>
            </w:r>
          </w:p>
        </w:tc>
      </w:tr>
      <w:tr w14:paraId="05811D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E746E7D">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可见分光光度计</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9BB2FA0">
            <w:pPr>
              <w:jc w:val="center"/>
              <w:rPr>
                <w:rFonts w:hint="eastAsia" w:ascii="宋体" w:hAnsi="宋体" w:eastAsia="宋体" w:cs="宋体"/>
                <w:i w:val="0"/>
                <w:iCs w:val="0"/>
                <w:color w:val="auto"/>
                <w:kern w:val="2"/>
                <w:sz w:val="22"/>
                <w:szCs w:val="22"/>
                <w:u w:val="none"/>
                <w:lang w:val="en-US" w:eastAsia="zh-CN" w:bidi="ar-SA"/>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DABD0E4">
            <w:pPr>
              <w:keepNext w:val="0"/>
              <w:keepLines w:val="0"/>
              <w:widowControl/>
              <w:suppressLineNumbers w:val="0"/>
              <w:jc w:val="center"/>
              <w:textAlignment w:val="bottom"/>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1</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EDF448E">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台</w:t>
            </w:r>
          </w:p>
        </w:tc>
      </w:tr>
      <w:tr w14:paraId="36F4BB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4ED1CF6">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液氮罐</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EBDAD67">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YDS-30-80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164DD00">
            <w:pPr>
              <w:keepNext w:val="0"/>
              <w:keepLines w:val="0"/>
              <w:widowControl/>
              <w:suppressLineNumbers w:val="0"/>
              <w:jc w:val="center"/>
              <w:textAlignment w:val="bottom"/>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2</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F9C58E8">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台</w:t>
            </w:r>
          </w:p>
        </w:tc>
      </w:tr>
      <w:tr w14:paraId="14B897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DF38097">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干燥箱</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862647F">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ZXRD-B5210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21D5D8E">
            <w:pPr>
              <w:keepNext w:val="0"/>
              <w:keepLines w:val="0"/>
              <w:widowControl/>
              <w:suppressLineNumbers w:val="0"/>
              <w:jc w:val="center"/>
              <w:textAlignment w:val="bottom"/>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2</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36B0071">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台</w:t>
            </w:r>
          </w:p>
        </w:tc>
      </w:tr>
      <w:tr w14:paraId="0AA840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F79CE71">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恒温培养振荡器</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7D93367">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ZMYR-2102</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B4AFD31">
            <w:pPr>
              <w:keepNext w:val="0"/>
              <w:keepLines w:val="0"/>
              <w:widowControl/>
              <w:suppressLineNumbers w:val="0"/>
              <w:jc w:val="center"/>
              <w:textAlignment w:val="bottom"/>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1</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43A928A">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台</w:t>
            </w:r>
          </w:p>
        </w:tc>
      </w:tr>
      <w:tr w14:paraId="68C4C7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883200D">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生化培养箱</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64AEA0C">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250L RH</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1A20481">
            <w:pPr>
              <w:keepNext w:val="0"/>
              <w:keepLines w:val="0"/>
              <w:widowControl/>
              <w:suppressLineNumbers w:val="0"/>
              <w:jc w:val="center"/>
              <w:textAlignment w:val="bottom"/>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1</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C30D3CB">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台</w:t>
            </w:r>
          </w:p>
        </w:tc>
      </w:tr>
      <w:tr w14:paraId="727ADC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DA4480C">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灭菌锅</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7DAAC02">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YXQ MF21</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B99476F">
            <w:pPr>
              <w:keepNext w:val="0"/>
              <w:keepLines w:val="0"/>
              <w:widowControl/>
              <w:suppressLineNumbers w:val="0"/>
              <w:jc w:val="center"/>
              <w:textAlignment w:val="bottom"/>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1</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FA97186">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台</w:t>
            </w:r>
          </w:p>
        </w:tc>
      </w:tr>
      <w:tr w14:paraId="671B95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7CE3ADC">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阿贝折射仪</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010F34A">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WYA-2W(双目）</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3B8C373">
            <w:pPr>
              <w:keepNext w:val="0"/>
              <w:keepLines w:val="0"/>
              <w:widowControl/>
              <w:suppressLineNumbers w:val="0"/>
              <w:jc w:val="center"/>
              <w:textAlignment w:val="bottom"/>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1</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03811B3">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台</w:t>
            </w:r>
          </w:p>
        </w:tc>
      </w:tr>
      <w:tr w14:paraId="14A513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8E699AF">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紫外光度计</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153F080">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752N</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BCC65A2">
            <w:pPr>
              <w:keepNext w:val="0"/>
              <w:keepLines w:val="0"/>
              <w:widowControl/>
              <w:suppressLineNumbers w:val="0"/>
              <w:jc w:val="center"/>
              <w:textAlignment w:val="bottom"/>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1</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82FB808">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台</w:t>
            </w:r>
          </w:p>
        </w:tc>
      </w:tr>
      <w:tr w14:paraId="5206D8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0AE93A4">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台式高速离心机</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D96D984">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TG16</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E01BF63">
            <w:pPr>
              <w:keepNext w:val="0"/>
              <w:keepLines w:val="0"/>
              <w:widowControl/>
              <w:suppressLineNumbers w:val="0"/>
              <w:jc w:val="center"/>
              <w:textAlignment w:val="bottom"/>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1</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50D69B7">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台</w:t>
            </w:r>
          </w:p>
        </w:tc>
      </w:tr>
      <w:tr w14:paraId="6B6EA2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jc w:val="center"/>
        </w:trPr>
        <w:tc>
          <w:tcPr>
            <w:tcW w:w="8522"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7DE634">
            <w:pPr>
              <w:keepNext w:val="0"/>
              <w:keepLines w:val="0"/>
              <w:widowControl/>
              <w:suppressLineNumbers w:val="0"/>
              <w:jc w:val="center"/>
              <w:textAlignment w:val="center"/>
              <w:rPr>
                <w:rFonts w:hint="default" w:ascii="宋体" w:hAnsi="宋体" w:eastAsia="宋体" w:cs="宋体"/>
                <w:b/>
                <w:bCs/>
                <w:i w:val="0"/>
                <w:iCs w:val="0"/>
                <w:color w:val="auto"/>
                <w:kern w:val="0"/>
                <w:sz w:val="22"/>
                <w:szCs w:val="22"/>
                <w:u w:val="none"/>
                <w:lang w:val="en-US" w:eastAsia="zh-CN" w:bidi="ar"/>
              </w:rPr>
            </w:pPr>
            <w:r>
              <w:rPr>
                <w:rFonts w:hint="eastAsia" w:ascii="宋体" w:hAnsi="宋体" w:eastAsia="宋体" w:cs="宋体"/>
                <w:b/>
                <w:bCs/>
                <w:i w:val="0"/>
                <w:iCs w:val="0"/>
                <w:color w:val="auto"/>
                <w:kern w:val="0"/>
                <w:sz w:val="22"/>
                <w:szCs w:val="22"/>
                <w:u w:val="none"/>
                <w:lang w:val="en-US" w:eastAsia="zh-CN" w:bidi="ar"/>
              </w:rPr>
              <w:t>发酵1车间</w:t>
            </w:r>
          </w:p>
        </w:tc>
      </w:tr>
      <w:tr w14:paraId="3146D5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C9CACDB">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一级种子罐101</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8EF90CA">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1m</w:t>
            </w:r>
            <w:r>
              <w:rPr>
                <w:rFonts w:hint="eastAsia" w:ascii="宋体" w:hAnsi="宋体" w:eastAsia="宋体" w:cs="宋体"/>
                <w:i w:val="0"/>
                <w:iCs w:val="0"/>
                <w:color w:val="auto"/>
                <w:kern w:val="0"/>
                <w:sz w:val="22"/>
                <w:szCs w:val="22"/>
                <w:u w:val="none"/>
                <w:vertAlign w:val="superscript"/>
                <w:lang w:val="en-US" w:eastAsia="zh-CN" w:bidi="ar"/>
              </w:rPr>
              <w:t>3</w:t>
            </w:r>
            <w:r>
              <w:rPr>
                <w:rFonts w:hint="eastAsia" w:ascii="宋体" w:hAnsi="宋体" w:eastAsia="宋体" w:cs="宋体"/>
                <w:i w:val="0"/>
                <w:iCs w:val="0"/>
                <w:color w:val="auto"/>
                <w:kern w:val="0"/>
                <w:sz w:val="22"/>
                <w:szCs w:val="22"/>
                <w:u w:val="none"/>
                <w:lang w:val="en-US" w:eastAsia="zh-CN" w:bidi="ar"/>
              </w:rPr>
              <w:t>1000L</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A3D9E67">
            <w:pPr>
              <w:keepNext w:val="0"/>
              <w:keepLines w:val="0"/>
              <w:widowControl/>
              <w:suppressLineNumbers w:val="0"/>
              <w:jc w:val="center"/>
              <w:textAlignment w:val="bottom"/>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8</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4F83DD4">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台</w:t>
            </w:r>
          </w:p>
        </w:tc>
      </w:tr>
      <w:tr w14:paraId="3CB400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C6751ED">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二级种子罐301</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6008509">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10m</w:t>
            </w:r>
            <w:r>
              <w:rPr>
                <w:rFonts w:hint="eastAsia" w:ascii="宋体" w:hAnsi="宋体" w:eastAsia="宋体" w:cs="宋体"/>
                <w:i w:val="0"/>
                <w:iCs w:val="0"/>
                <w:color w:val="auto"/>
                <w:kern w:val="0"/>
                <w:sz w:val="22"/>
                <w:szCs w:val="22"/>
                <w:u w:val="none"/>
                <w:vertAlign w:val="superscript"/>
                <w:lang w:val="en-US" w:eastAsia="zh-CN" w:bidi="ar"/>
              </w:rPr>
              <w:t>3</w:t>
            </w:r>
            <w:r>
              <w:rPr>
                <w:rFonts w:hint="eastAsia" w:ascii="宋体" w:hAnsi="宋体" w:eastAsia="宋体" w:cs="宋体"/>
                <w:i w:val="0"/>
                <w:iCs w:val="0"/>
                <w:color w:val="auto"/>
                <w:kern w:val="0"/>
                <w:sz w:val="22"/>
                <w:szCs w:val="22"/>
                <w:u w:val="none"/>
                <w:lang w:val="en-US" w:eastAsia="zh-CN" w:bidi="ar"/>
              </w:rPr>
              <w:t>10000L</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E8DC815">
            <w:pPr>
              <w:keepNext w:val="0"/>
              <w:keepLines w:val="0"/>
              <w:widowControl/>
              <w:suppressLineNumbers w:val="0"/>
              <w:jc w:val="center"/>
              <w:textAlignment w:val="bottom"/>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1</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8E611D4">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台</w:t>
            </w:r>
          </w:p>
        </w:tc>
      </w:tr>
      <w:tr w14:paraId="72217E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B889421">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（种子）发酵罐401</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8F75288">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40m</w:t>
            </w:r>
            <w:r>
              <w:rPr>
                <w:rFonts w:hint="eastAsia" w:ascii="宋体" w:hAnsi="宋体" w:eastAsia="宋体" w:cs="宋体"/>
                <w:i w:val="0"/>
                <w:iCs w:val="0"/>
                <w:color w:val="auto"/>
                <w:kern w:val="0"/>
                <w:sz w:val="22"/>
                <w:szCs w:val="22"/>
                <w:u w:val="none"/>
                <w:vertAlign w:val="superscript"/>
                <w:lang w:val="en-US" w:eastAsia="zh-CN" w:bidi="ar"/>
              </w:rPr>
              <w:t>3</w:t>
            </w:r>
            <w:r>
              <w:rPr>
                <w:rFonts w:hint="eastAsia" w:ascii="宋体" w:hAnsi="宋体" w:eastAsia="宋体" w:cs="宋体"/>
                <w:i w:val="0"/>
                <w:iCs w:val="0"/>
                <w:color w:val="auto"/>
                <w:kern w:val="0"/>
                <w:sz w:val="22"/>
                <w:szCs w:val="22"/>
                <w:u w:val="none"/>
                <w:lang w:val="en-US" w:eastAsia="zh-CN" w:bidi="ar"/>
              </w:rPr>
              <w:t>40000L</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4610DB6">
            <w:pPr>
              <w:keepNext w:val="0"/>
              <w:keepLines w:val="0"/>
              <w:widowControl/>
              <w:suppressLineNumbers w:val="0"/>
              <w:jc w:val="center"/>
              <w:textAlignment w:val="bottom"/>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12</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8FBAD2E">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台</w:t>
            </w:r>
          </w:p>
        </w:tc>
      </w:tr>
      <w:tr w14:paraId="529CDF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D543020">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蒸汽过滤器</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631F635">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JPF-2</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B6465C2">
            <w:pPr>
              <w:keepNext w:val="0"/>
              <w:keepLines w:val="0"/>
              <w:widowControl/>
              <w:suppressLineNumbers w:val="0"/>
              <w:jc w:val="center"/>
              <w:textAlignment w:val="bottom"/>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29</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7411922">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个</w:t>
            </w:r>
          </w:p>
        </w:tc>
      </w:tr>
      <w:tr w14:paraId="0C9D0E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5C1DD93">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空气预过滤器</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9980038">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JPF-YUD-2(101)</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A84CD95">
            <w:pPr>
              <w:keepNext w:val="0"/>
              <w:keepLines w:val="0"/>
              <w:widowControl/>
              <w:suppressLineNumbers w:val="0"/>
              <w:jc w:val="center"/>
              <w:textAlignment w:val="bottom"/>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sz w:val="22"/>
                <w:szCs w:val="22"/>
                <w:u w:val="none"/>
                <w:lang w:val="en-US" w:eastAsia="zh-CN"/>
              </w:rPr>
              <w:t>29</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5A564E0">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个</w:t>
            </w:r>
          </w:p>
        </w:tc>
      </w:tr>
      <w:tr w14:paraId="107E15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BF1E75B">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储料罐</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8A55109">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3m</w:t>
            </w:r>
            <w:r>
              <w:rPr>
                <w:rFonts w:hint="eastAsia" w:ascii="宋体" w:hAnsi="宋体" w:eastAsia="宋体" w:cs="宋体"/>
                <w:i w:val="0"/>
                <w:iCs w:val="0"/>
                <w:color w:val="auto"/>
                <w:kern w:val="0"/>
                <w:sz w:val="22"/>
                <w:szCs w:val="22"/>
                <w:u w:val="none"/>
                <w:vertAlign w:val="superscript"/>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E95EC2D">
            <w:pPr>
              <w:keepNext w:val="0"/>
              <w:keepLines w:val="0"/>
              <w:widowControl/>
              <w:suppressLineNumbers w:val="0"/>
              <w:jc w:val="center"/>
              <w:textAlignment w:val="bottom"/>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2</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DA985AC">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台</w:t>
            </w:r>
          </w:p>
        </w:tc>
      </w:tr>
      <w:tr w14:paraId="09BE0A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89525FA">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储料罐</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0386942">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10m</w:t>
            </w:r>
            <w:r>
              <w:rPr>
                <w:rFonts w:hint="eastAsia" w:ascii="宋体" w:hAnsi="宋体" w:eastAsia="宋体" w:cs="宋体"/>
                <w:i w:val="0"/>
                <w:iCs w:val="0"/>
                <w:color w:val="auto"/>
                <w:kern w:val="0"/>
                <w:sz w:val="22"/>
                <w:szCs w:val="22"/>
                <w:u w:val="none"/>
                <w:vertAlign w:val="superscript"/>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73EFD5C">
            <w:pPr>
              <w:keepNext w:val="0"/>
              <w:keepLines w:val="0"/>
              <w:widowControl/>
              <w:suppressLineNumbers w:val="0"/>
              <w:jc w:val="center"/>
              <w:textAlignment w:val="bottom"/>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2</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4836D36">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台</w:t>
            </w:r>
          </w:p>
        </w:tc>
      </w:tr>
      <w:tr w14:paraId="4BAEE4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9712598">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储料罐</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CD42E20">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15m</w:t>
            </w:r>
            <w:r>
              <w:rPr>
                <w:rFonts w:hint="eastAsia" w:ascii="宋体" w:hAnsi="宋体" w:eastAsia="宋体" w:cs="宋体"/>
                <w:i w:val="0"/>
                <w:iCs w:val="0"/>
                <w:color w:val="auto"/>
                <w:kern w:val="0"/>
                <w:sz w:val="22"/>
                <w:szCs w:val="22"/>
                <w:u w:val="none"/>
                <w:vertAlign w:val="superscript"/>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C07B678">
            <w:pPr>
              <w:keepNext w:val="0"/>
              <w:keepLines w:val="0"/>
              <w:widowControl/>
              <w:suppressLineNumbers w:val="0"/>
              <w:jc w:val="center"/>
              <w:textAlignment w:val="bottom"/>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2</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AE6D9EA">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台</w:t>
            </w:r>
          </w:p>
        </w:tc>
      </w:tr>
      <w:tr w14:paraId="0F7884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00379F8">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空气精过滤器</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336DD56">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JPF-10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436341E">
            <w:pPr>
              <w:keepNext w:val="0"/>
              <w:keepLines w:val="0"/>
              <w:widowControl/>
              <w:suppressLineNumbers w:val="0"/>
              <w:jc w:val="center"/>
              <w:textAlignment w:val="bottom"/>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29</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A87CE8B">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个</w:t>
            </w:r>
          </w:p>
        </w:tc>
      </w:tr>
      <w:tr w14:paraId="53C361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F86AA0B">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螺杆式空气（高）压缩机</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5DBC7FF">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FB-4/6</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D734442">
            <w:pPr>
              <w:keepNext w:val="0"/>
              <w:keepLines w:val="0"/>
              <w:widowControl/>
              <w:suppressLineNumbers w:val="0"/>
              <w:jc w:val="center"/>
              <w:textAlignment w:val="bottom"/>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1</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54989FA">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台</w:t>
            </w:r>
          </w:p>
        </w:tc>
      </w:tr>
      <w:tr w14:paraId="3C4922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05CA53D">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螺杆式空压储气罐</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06CFDF5">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（圆柱）1000L</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8BA719E">
            <w:pPr>
              <w:keepNext w:val="0"/>
              <w:keepLines w:val="0"/>
              <w:widowControl/>
              <w:suppressLineNumbers w:val="0"/>
              <w:jc w:val="center"/>
              <w:textAlignment w:val="bottom"/>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1</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DF5A3A2">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台</w:t>
            </w:r>
          </w:p>
        </w:tc>
      </w:tr>
      <w:tr w14:paraId="194CA2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342CEEF">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空气总过滤器</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53029EE">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φ1800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04B025F">
            <w:pPr>
              <w:keepNext w:val="0"/>
              <w:keepLines w:val="0"/>
              <w:widowControl/>
              <w:suppressLineNumbers w:val="0"/>
              <w:jc w:val="center"/>
              <w:textAlignment w:val="bottom"/>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2</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02B7BE2">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个</w:t>
            </w:r>
          </w:p>
        </w:tc>
      </w:tr>
      <w:tr w14:paraId="2588F0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3172130">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蒸汽加热器</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E75BE16">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26㎡</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A12E911">
            <w:pPr>
              <w:keepNext w:val="0"/>
              <w:keepLines w:val="0"/>
              <w:widowControl/>
              <w:suppressLineNumbers w:val="0"/>
              <w:jc w:val="center"/>
              <w:textAlignment w:val="bottom"/>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2</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44AF2E2">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个</w:t>
            </w:r>
          </w:p>
        </w:tc>
      </w:tr>
      <w:tr w14:paraId="5E0260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F53F2C3">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油水分离器</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D72F977">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D600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D231A43">
            <w:pPr>
              <w:keepNext w:val="0"/>
              <w:keepLines w:val="0"/>
              <w:widowControl/>
              <w:suppressLineNumbers w:val="0"/>
              <w:jc w:val="center"/>
              <w:textAlignment w:val="bottom"/>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2</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F292CD8">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个</w:t>
            </w:r>
          </w:p>
        </w:tc>
      </w:tr>
      <w:tr w14:paraId="272EED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AC4118E">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旋风分离器</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D56F8F3">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D600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091F58F">
            <w:pPr>
              <w:keepNext w:val="0"/>
              <w:keepLines w:val="0"/>
              <w:widowControl/>
              <w:suppressLineNumbers w:val="0"/>
              <w:jc w:val="center"/>
              <w:textAlignment w:val="bottom"/>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4</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0D6811E">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个</w:t>
            </w:r>
          </w:p>
        </w:tc>
      </w:tr>
      <w:tr w14:paraId="279E10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DED95C6">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冷凝器</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3DE762F">
            <w:pPr>
              <w:jc w:val="center"/>
              <w:rPr>
                <w:rFonts w:hint="eastAsia" w:ascii="宋体" w:hAnsi="宋体" w:eastAsia="宋体" w:cs="宋体"/>
                <w:i w:val="0"/>
                <w:iCs w:val="0"/>
                <w:color w:val="auto"/>
                <w:kern w:val="2"/>
                <w:sz w:val="22"/>
                <w:szCs w:val="22"/>
                <w:u w:val="none"/>
                <w:lang w:val="en-US" w:eastAsia="zh-CN" w:bidi="ar-SA"/>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435ECE2">
            <w:pPr>
              <w:keepNext w:val="0"/>
              <w:keepLines w:val="0"/>
              <w:widowControl/>
              <w:suppressLineNumbers w:val="0"/>
              <w:jc w:val="center"/>
              <w:textAlignment w:val="bottom"/>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4</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2A78E5D">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个</w:t>
            </w:r>
          </w:p>
        </w:tc>
      </w:tr>
      <w:tr w14:paraId="28E2D2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2F7A45B">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玉米浆罐</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C479CD9">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30m</w:t>
            </w:r>
            <w:r>
              <w:rPr>
                <w:rFonts w:hint="eastAsia" w:ascii="宋体" w:hAnsi="宋体" w:eastAsia="宋体" w:cs="宋体"/>
                <w:i w:val="0"/>
                <w:iCs w:val="0"/>
                <w:color w:val="auto"/>
                <w:kern w:val="0"/>
                <w:sz w:val="22"/>
                <w:szCs w:val="22"/>
                <w:u w:val="none"/>
                <w:vertAlign w:val="superscript"/>
                <w:lang w:val="en-US" w:eastAsia="zh-CN" w:bidi="ar"/>
              </w:rPr>
              <w:t>3</w:t>
            </w:r>
            <w:r>
              <w:rPr>
                <w:rFonts w:hint="eastAsia" w:ascii="宋体" w:hAnsi="宋体" w:eastAsia="宋体" w:cs="宋体"/>
                <w:i w:val="0"/>
                <w:iCs w:val="0"/>
                <w:color w:val="auto"/>
                <w:kern w:val="0"/>
                <w:sz w:val="22"/>
                <w:szCs w:val="22"/>
                <w:u w:val="none"/>
                <w:lang w:val="en-US" w:eastAsia="zh-CN" w:bidi="ar"/>
              </w:rPr>
              <w:t>30000L</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B91D7C6">
            <w:pPr>
              <w:keepNext w:val="0"/>
              <w:keepLines w:val="0"/>
              <w:widowControl/>
              <w:suppressLineNumbers w:val="0"/>
              <w:jc w:val="center"/>
              <w:textAlignment w:val="bottom"/>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1</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BD3834F">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台</w:t>
            </w:r>
          </w:p>
        </w:tc>
      </w:tr>
      <w:tr w14:paraId="53D544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9224566">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大豆油罐</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021D72D">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30m</w:t>
            </w:r>
            <w:r>
              <w:rPr>
                <w:rFonts w:hint="eastAsia" w:ascii="宋体" w:hAnsi="宋体" w:eastAsia="宋体" w:cs="宋体"/>
                <w:i w:val="0"/>
                <w:iCs w:val="0"/>
                <w:color w:val="auto"/>
                <w:kern w:val="0"/>
                <w:sz w:val="22"/>
                <w:szCs w:val="22"/>
                <w:u w:val="none"/>
                <w:vertAlign w:val="superscript"/>
                <w:lang w:val="en-US" w:eastAsia="zh-CN" w:bidi="ar"/>
              </w:rPr>
              <w:t>3</w:t>
            </w:r>
            <w:r>
              <w:rPr>
                <w:rFonts w:hint="eastAsia" w:ascii="宋体" w:hAnsi="宋体" w:eastAsia="宋体" w:cs="宋体"/>
                <w:i w:val="0"/>
                <w:iCs w:val="0"/>
                <w:color w:val="auto"/>
                <w:kern w:val="0"/>
                <w:sz w:val="22"/>
                <w:szCs w:val="22"/>
                <w:u w:val="none"/>
                <w:lang w:val="en-US" w:eastAsia="zh-CN" w:bidi="ar"/>
              </w:rPr>
              <w:t>30000L</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0E876AA">
            <w:pPr>
              <w:keepNext w:val="0"/>
              <w:keepLines w:val="0"/>
              <w:widowControl/>
              <w:suppressLineNumbers w:val="0"/>
              <w:jc w:val="center"/>
              <w:textAlignment w:val="bottom"/>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1</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441B296">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台</w:t>
            </w:r>
          </w:p>
        </w:tc>
      </w:tr>
      <w:tr w14:paraId="1C2533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8085085">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种子配料罐</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2AD8389">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2m</w:t>
            </w:r>
            <w:r>
              <w:rPr>
                <w:rFonts w:hint="eastAsia" w:ascii="宋体" w:hAnsi="宋体" w:eastAsia="宋体" w:cs="宋体"/>
                <w:i w:val="0"/>
                <w:iCs w:val="0"/>
                <w:color w:val="auto"/>
                <w:kern w:val="0"/>
                <w:sz w:val="22"/>
                <w:szCs w:val="22"/>
                <w:u w:val="none"/>
                <w:vertAlign w:val="superscript"/>
                <w:lang w:val="en-US" w:eastAsia="zh-CN" w:bidi="ar"/>
              </w:rPr>
              <w:t>3</w:t>
            </w:r>
            <w:r>
              <w:rPr>
                <w:rFonts w:hint="eastAsia" w:ascii="宋体" w:hAnsi="宋体" w:eastAsia="宋体" w:cs="宋体"/>
                <w:i w:val="0"/>
                <w:iCs w:val="0"/>
                <w:color w:val="auto"/>
                <w:kern w:val="0"/>
                <w:sz w:val="22"/>
                <w:szCs w:val="22"/>
                <w:u w:val="none"/>
                <w:lang w:val="en-US" w:eastAsia="zh-CN" w:bidi="ar"/>
              </w:rPr>
              <w:t>2000L</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0AD01BB">
            <w:pPr>
              <w:keepNext w:val="0"/>
              <w:keepLines w:val="0"/>
              <w:widowControl/>
              <w:suppressLineNumbers w:val="0"/>
              <w:jc w:val="center"/>
              <w:textAlignment w:val="bottom"/>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1</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ACC6318">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台</w:t>
            </w:r>
          </w:p>
        </w:tc>
      </w:tr>
      <w:tr w14:paraId="037230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12E95DF">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液化配料罐2-1</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C3209A0">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12m</w:t>
            </w:r>
            <w:r>
              <w:rPr>
                <w:rFonts w:hint="eastAsia" w:ascii="宋体" w:hAnsi="宋体" w:eastAsia="宋体" w:cs="宋体"/>
                <w:i w:val="0"/>
                <w:iCs w:val="0"/>
                <w:color w:val="auto"/>
                <w:kern w:val="0"/>
                <w:sz w:val="22"/>
                <w:szCs w:val="22"/>
                <w:u w:val="none"/>
                <w:vertAlign w:val="superscript"/>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C8A5FD7">
            <w:pPr>
              <w:keepNext w:val="0"/>
              <w:keepLines w:val="0"/>
              <w:widowControl/>
              <w:suppressLineNumbers w:val="0"/>
              <w:jc w:val="center"/>
              <w:textAlignment w:val="bottom"/>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2</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C6199EE">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台</w:t>
            </w:r>
          </w:p>
        </w:tc>
      </w:tr>
      <w:tr w14:paraId="4D90D6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B9B113B">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IH化工离心泵</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90AB498">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1H65-50-160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30EF5C5">
            <w:pPr>
              <w:keepNext w:val="0"/>
              <w:keepLines w:val="0"/>
              <w:widowControl/>
              <w:suppressLineNumbers w:val="0"/>
              <w:jc w:val="center"/>
              <w:textAlignment w:val="bottom"/>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1</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5F1DB83">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台</w:t>
            </w:r>
          </w:p>
        </w:tc>
      </w:tr>
      <w:tr w14:paraId="3851F9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0550A0F">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IH-2化工泵</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5938E62">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1H65-50-160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2A44387">
            <w:pPr>
              <w:keepNext w:val="0"/>
              <w:keepLines w:val="0"/>
              <w:widowControl/>
              <w:suppressLineNumbers w:val="0"/>
              <w:jc w:val="center"/>
              <w:textAlignment w:val="bottom"/>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1</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84AAEA4">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台</w:t>
            </w:r>
          </w:p>
        </w:tc>
      </w:tr>
      <w:tr w14:paraId="1FBC76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7DAB149">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补料系统</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20BE562">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101A用</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AAA85D0">
            <w:pPr>
              <w:keepNext w:val="0"/>
              <w:keepLines w:val="0"/>
              <w:widowControl/>
              <w:suppressLineNumbers w:val="0"/>
              <w:jc w:val="center"/>
              <w:textAlignment w:val="bottom"/>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1</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BCDFB01">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台</w:t>
            </w:r>
          </w:p>
        </w:tc>
      </w:tr>
      <w:tr w14:paraId="1F3144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BF9F21C">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欣远PH数显仪</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DC5C215">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SD-217C</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61BE6C8">
            <w:pPr>
              <w:keepNext w:val="0"/>
              <w:keepLines w:val="0"/>
              <w:widowControl/>
              <w:suppressLineNumbers w:val="0"/>
              <w:jc w:val="center"/>
              <w:textAlignment w:val="bottom"/>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3</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77FED98">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套</w:t>
            </w:r>
          </w:p>
        </w:tc>
      </w:tr>
      <w:tr w14:paraId="60A1AF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2135C52">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水泵</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D4EB2EC">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IH65-50-160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1621706">
            <w:pPr>
              <w:keepNext w:val="0"/>
              <w:keepLines w:val="0"/>
              <w:widowControl/>
              <w:suppressLineNumbers w:val="0"/>
              <w:jc w:val="center"/>
              <w:textAlignment w:val="bottom"/>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1</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6F09F04">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台</w:t>
            </w:r>
          </w:p>
        </w:tc>
      </w:tr>
      <w:tr w14:paraId="73B2E1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4C25917">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补料控制系统</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57F9D4B">
            <w:pPr>
              <w:jc w:val="center"/>
              <w:rPr>
                <w:rFonts w:hint="eastAsia" w:ascii="宋体" w:hAnsi="宋体" w:eastAsia="宋体" w:cs="宋体"/>
                <w:i w:val="0"/>
                <w:iCs w:val="0"/>
                <w:color w:val="auto"/>
                <w:kern w:val="2"/>
                <w:sz w:val="22"/>
                <w:szCs w:val="22"/>
                <w:u w:val="none"/>
                <w:lang w:val="en-US" w:eastAsia="zh-CN" w:bidi="ar-SA"/>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8216B96">
            <w:pPr>
              <w:keepNext w:val="0"/>
              <w:keepLines w:val="0"/>
              <w:widowControl/>
              <w:suppressLineNumbers w:val="0"/>
              <w:jc w:val="center"/>
              <w:textAlignment w:val="bottom"/>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1</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65C1B1F">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套</w:t>
            </w:r>
          </w:p>
        </w:tc>
      </w:tr>
      <w:tr w14:paraId="27A2FC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2545C4A">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水泵</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775D453">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ISG80-160-7.5kw</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B7F57A3">
            <w:pPr>
              <w:keepNext w:val="0"/>
              <w:keepLines w:val="0"/>
              <w:widowControl/>
              <w:suppressLineNumbers w:val="0"/>
              <w:jc w:val="center"/>
              <w:textAlignment w:val="bottom"/>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1</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013A931">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台</w:t>
            </w:r>
          </w:p>
        </w:tc>
      </w:tr>
      <w:tr w14:paraId="638429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A473E1D">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水泵</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3460B78">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100-QW110-10-5.5</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B96697A">
            <w:pPr>
              <w:keepNext w:val="0"/>
              <w:keepLines w:val="0"/>
              <w:widowControl/>
              <w:suppressLineNumbers w:val="0"/>
              <w:jc w:val="center"/>
              <w:textAlignment w:val="bottom"/>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1</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D305396">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台</w:t>
            </w:r>
          </w:p>
        </w:tc>
      </w:tr>
      <w:tr w14:paraId="35510F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1228633">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螺杆空压机</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F40E7FF">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FG-22</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6B1B405">
            <w:pPr>
              <w:keepNext w:val="0"/>
              <w:keepLines w:val="0"/>
              <w:widowControl/>
              <w:suppressLineNumbers w:val="0"/>
              <w:jc w:val="center"/>
              <w:textAlignment w:val="bottom"/>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1</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B762927">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台</w:t>
            </w:r>
          </w:p>
        </w:tc>
      </w:tr>
      <w:tr w14:paraId="1AF0C4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2C3F4DE">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隔膜压滤机</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3865192">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XMYG120/1250-VB</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61DD4FC">
            <w:pPr>
              <w:keepNext w:val="0"/>
              <w:keepLines w:val="0"/>
              <w:widowControl/>
              <w:suppressLineNumbers w:val="0"/>
              <w:jc w:val="center"/>
              <w:textAlignment w:val="bottom"/>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1</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722D027">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台</w:t>
            </w:r>
          </w:p>
        </w:tc>
      </w:tr>
      <w:tr w14:paraId="092E41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9D73E94">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隔膜压滤机</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2A2D819">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XAWYG150/1250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486A4C0">
            <w:pPr>
              <w:keepNext w:val="0"/>
              <w:keepLines w:val="0"/>
              <w:widowControl/>
              <w:suppressLineNumbers w:val="0"/>
              <w:jc w:val="center"/>
              <w:textAlignment w:val="bottom"/>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1</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F8A6866">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台</w:t>
            </w:r>
          </w:p>
        </w:tc>
      </w:tr>
      <w:tr w14:paraId="43C83B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DE27FA7">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高压清洗机</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FE157E7">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3.0KW-4P-220V 55KG</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FF57770">
            <w:pPr>
              <w:keepNext w:val="0"/>
              <w:keepLines w:val="0"/>
              <w:widowControl/>
              <w:suppressLineNumbers w:val="0"/>
              <w:jc w:val="center"/>
              <w:textAlignment w:val="bottom"/>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1</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A0A1511">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台</w:t>
            </w:r>
          </w:p>
        </w:tc>
      </w:tr>
      <w:tr w14:paraId="177EA0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B6A701D">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螺杆空压机</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D9ACCFD">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37KW</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448F4FA">
            <w:pPr>
              <w:keepNext w:val="0"/>
              <w:keepLines w:val="0"/>
              <w:widowControl/>
              <w:suppressLineNumbers w:val="0"/>
              <w:jc w:val="center"/>
              <w:textAlignment w:val="bottom"/>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1</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2D69516">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台</w:t>
            </w:r>
          </w:p>
        </w:tc>
      </w:tr>
      <w:tr w14:paraId="22C7AB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5A39490">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玉米浆搅拌系统</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80755CF">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15KW</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77C13C6">
            <w:pPr>
              <w:keepNext w:val="0"/>
              <w:keepLines w:val="0"/>
              <w:widowControl/>
              <w:suppressLineNumbers w:val="0"/>
              <w:jc w:val="center"/>
              <w:textAlignment w:val="bottom"/>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2</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E346FE6">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台</w:t>
            </w:r>
          </w:p>
        </w:tc>
      </w:tr>
      <w:tr w14:paraId="392827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FCCF420">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皮带轮</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B88CC0B">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∅400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9EA28F4">
            <w:pPr>
              <w:keepNext w:val="0"/>
              <w:keepLines w:val="0"/>
              <w:widowControl/>
              <w:suppressLineNumbers w:val="0"/>
              <w:jc w:val="center"/>
              <w:textAlignment w:val="bottom"/>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1</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95E3534">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个</w:t>
            </w:r>
          </w:p>
        </w:tc>
      </w:tr>
      <w:tr w14:paraId="4BE64F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5A5E397">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(种子）发酵罐410盘管改造</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2C751D7">
            <w:pPr>
              <w:jc w:val="center"/>
              <w:rPr>
                <w:rFonts w:hint="eastAsia" w:ascii="宋体" w:hAnsi="宋体" w:eastAsia="宋体" w:cs="宋体"/>
                <w:i w:val="0"/>
                <w:iCs w:val="0"/>
                <w:color w:val="auto"/>
                <w:kern w:val="2"/>
                <w:sz w:val="22"/>
                <w:szCs w:val="22"/>
                <w:u w:val="none"/>
                <w:lang w:val="en-US" w:eastAsia="zh-CN" w:bidi="ar-SA"/>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C801E74">
            <w:pPr>
              <w:keepNext w:val="0"/>
              <w:keepLines w:val="0"/>
              <w:widowControl/>
              <w:suppressLineNumbers w:val="0"/>
              <w:jc w:val="center"/>
              <w:textAlignment w:val="bottom"/>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1</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7775D1D">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项</w:t>
            </w:r>
          </w:p>
        </w:tc>
      </w:tr>
      <w:tr w14:paraId="0910AE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8522"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264495">
            <w:pPr>
              <w:keepNext w:val="0"/>
              <w:keepLines w:val="0"/>
              <w:widowControl/>
              <w:suppressLineNumbers w:val="0"/>
              <w:jc w:val="center"/>
              <w:textAlignment w:val="center"/>
              <w:rPr>
                <w:rFonts w:hint="default" w:ascii="宋体" w:hAnsi="宋体" w:eastAsia="宋体" w:cs="宋体"/>
                <w:i w:val="0"/>
                <w:iCs w:val="0"/>
                <w:color w:val="auto"/>
                <w:kern w:val="0"/>
                <w:sz w:val="22"/>
                <w:szCs w:val="22"/>
                <w:u w:val="none"/>
                <w:lang w:val="en-US" w:eastAsia="zh-CN" w:bidi="ar"/>
              </w:rPr>
            </w:pPr>
            <w:r>
              <w:rPr>
                <w:rFonts w:hint="eastAsia" w:ascii="宋体" w:hAnsi="宋体" w:eastAsia="宋体" w:cs="宋体"/>
                <w:b/>
                <w:bCs/>
                <w:i w:val="0"/>
                <w:iCs w:val="0"/>
                <w:color w:val="auto"/>
                <w:kern w:val="0"/>
                <w:sz w:val="22"/>
                <w:szCs w:val="22"/>
                <w:u w:val="none"/>
                <w:lang w:val="en-US" w:eastAsia="zh-CN" w:bidi="ar"/>
              </w:rPr>
              <w:t>发酵2车间</w:t>
            </w:r>
          </w:p>
        </w:tc>
      </w:tr>
      <w:tr w14:paraId="01777F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DC1C87">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资产名称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ECC1A9">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规格型号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F153D2">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数量</w:t>
            </w:r>
          </w:p>
        </w:tc>
        <w:tc>
          <w:tcPr>
            <w:tcW w:w="14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0DAEE7">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单位</w:t>
            </w:r>
          </w:p>
        </w:tc>
      </w:tr>
      <w:tr w14:paraId="58075E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57D15D1">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离心泵</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EB95597">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IS100-80-160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CFC1C8D">
            <w:pPr>
              <w:keepNext w:val="0"/>
              <w:keepLines w:val="0"/>
              <w:widowControl/>
              <w:suppressLineNumbers w:val="0"/>
              <w:jc w:val="center"/>
              <w:textAlignment w:val="bottom"/>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1</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44F69AA">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台</w:t>
            </w:r>
          </w:p>
        </w:tc>
      </w:tr>
      <w:tr w14:paraId="27AFE9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501200A">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潜水排污泵</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34FDFBA">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WQ150-180-30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59E897C">
            <w:pPr>
              <w:keepNext w:val="0"/>
              <w:keepLines w:val="0"/>
              <w:widowControl/>
              <w:suppressLineNumbers w:val="0"/>
              <w:jc w:val="center"/>
              <w:textAlignment w:val="bottom"/>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1</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14A680E">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台</w:t>
            </w:r>
          </w:p>
        </w:tc>
      </w:tr>
      <w:tr w14:paraId="213244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1E79983">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梅特勒PH电极</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9173E09">
            <w:pPr>
              <w:jc w:val="center"/>
              <w:rPr>
                <w:rFonts w:hint="eastAsia" w:ascii="宋体" w:hAnsi="宋体" w:eastAsia="宋体" w:cs="宋体"/>
                <w:i w:val="0"/>
                <w:iCs w:val="0"/>
                <w:color w:val="auto"/>
                <w:kern w:val="2"/>
                <w:sz w:val="22"/>
                <w:szCs w:val="22"/>
                <w:u w:val="none"/>
                <w:lang w:val="en-US" w:eastAsia="zh-CN" w:bidi="ar-SA"/>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CF2F986">
            <w:pPr>
              <w:keepNext w:val="0"/>
              <w:keepLines w:val="0"/>
              <w:widowControl/>
              <w:suppressLineNumbers w:val="0"/>
              <w:jc w:val="center"/>
              <w:textAlignment w:val="bottom"/>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3</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5DD76CE">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只</w:t>
            </w:r>
          </w:p>
        </w:tc>
      </w:tr>
      <w:tr w14:paraId="4DCD15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095477A">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方形横流式冷却塔</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B33A6DB">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LCH-300*2</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B02FEB3">
            <w:pPr>
              <w:keepNext w:val="0"/>
              <w:keepLines w:val="0"/>
              <w:widowControl/>
              <w:suppressLineNumbers w:val="0"/>
              <w:jc w:val="center"/>
              <w:textAlignment w:val="bottom"/>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2</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C463904">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台</w:t>
            </w:r>
          </w:p>
        </w:tc>
      </w:tr>
      <w:tr w14:paraId="02C5F7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EAEC881">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方形逆流式冷却塔</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D7D166C">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LCN-500*1</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888D1DE">
            <w:pPr>
              <w:keepNext w:val="0"/>
              <w:keepLines w:val="0"/>
              <w:widowControl/>
              <w:suppressLineNumbers w:val="0"/>
              <w:jc w:val="center"/>
              <w:textAlignment w:val="bottom"/>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2</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A26779E">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台</w:t>
            </w:r>
          </w:p>
        </w:tc>
      </w:tr>
      <w:tr w14:paraId="2C6B03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3B5B6AA">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电磁流量计</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498A9D4">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DN65</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6EAFC02">
            <w:pPr>
              <w:keepNext w:val="0"/>
              <w:keepLines w:val="0"/>
              <w:widowControl/>
              <w:suppressLineNumbers w:val="0"/>
              <w:jc w:val="center"/>
              <w:textAlignment w:val="bottom"/>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1</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0AC1426">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台</w:t>
            </w:r>
          </w:p>
        </w:tc>
      </w:tr>
      <w:tr w14:paraId="1F518C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6CD084A">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管道泵</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038EC34">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IHG50-160(I)</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0132057">
            <w:pPr>
              <w:keepNext w:val="0"/>
              <w:keepLines w:val="0"/>
              <w:widowControl/>
              <w:suppressLineNumbers w:val="0"/>
              <w:jc w:val="center"/>
              <w:textAlignment w:val="bottom"/>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3</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8E4DAAF">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台</w:t>
            </w:r>
          </w:p>
        </w:tc>
      </w:tr>
      <w:tr w14:paraId="6FF309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A86F194">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管道泵</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C8E4720">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ISG125-200A</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799288E">
            <w:pPr>
              <w:keepNext w:val="0"/>
              <w:keepLines w:val="0"/>
              <w:widowControl/>
              <w:suppressLineNumbers w:val="0"/>
              <w:jc w:val="center"/>
              <w:textAlignment w:val="bottom"/>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8</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31D6529">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台</w:t>
            </w:r>
          </w:p>
        </w:tc>
      </w:tr>
      <w:tr w14:paraId="527C2B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41D206D">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配电设备</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8A4E2F2">
            <w:pPr>
              <w:jc w:val="center"/>
              <w:rPr>
                <w:rFonts w:hint="eastAsia" w:ascii="宋体" w:hAnsi="宋体" w:eastAsia="宋体" w:cs="宋体"/>
                <w:i w:val="0"/>
                <w:iCs w:val="0"/>
                <w:color w:val="auto"/>
                <w:kern w:val="2"/>
                <w:sz w:val="22"/>
                <w:szCs w:val="22"/>
                <w:u w:val="none"/>
                <w:lang w:val="en-US" w:eastAsia="zh-CN" w:bidi="ar-SA"/>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3588578">
            <w:pPr>
              <w:keepNext w:val="0"/>
              <w:keepLines w:val="0"/>
              <w:widowControl/>
              <w:suppressLineNumbers w:val="0"/>
              <w:jc w:val="center"/>
              <w:textAlignment w:val="bottom"/>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1</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86CB0F0">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台</w:t>
            </w:r>
          </w:p>
        </w:tc>
      </w:tr>
      <w:tr w14:paraId="2EB48A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7855574">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变频器</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C947031">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250KW</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85DA9D9">
            <w:pPr>
              <w:keepNext w:val="0"/>
              <w:keepLines w:val="0"/>
              <w:widowControl/>
              <w:suppressLineNumbers w:val="0"/>
              <w:jc w:val="center"/>
              <w:textAlignment w:val="bottom"/>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1</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7809ADE">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台</w:t>
            </w:r>
          </w:p>
        </w:tc>
      </w:tr>
      <w:tr w14:paraId="017341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A4CBB7F">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溶氧膜</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5F29502">
            <w:pPr>
              <w:jc w:val="center"/>
              <w:rPr>
                <w:rFonts w:hint="eastAsia" w:ascii="宋体" w:hAnsi="宋体" w:eastAsia="宋体" w:cs="宋体"/>
                <w:i w:val="0"/>
                <w:iCs w:val="0"/>
                <w:color w:val="auto"/>
                <w:kern w:val="2"/>
                <w:sz w:val="22"/>
                <w:szCs w:val="22"/>
                <w:u w:val="none"/>
                <w:lang w:val="en-US" w:eastAsia="zh-CN" w:bidi="ar-SA"/>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27D16F7">
            <w:pPr>
              <w:keepNext w:val="0"/>
              <w:keepLines w:val="0"/>
              <w:widowControl/>
              <w:suppressLineNumbers w:val="0"/>
              <w:jc w:val="center"/>
              <w:textAlignment w:val="bottom"/>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2</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686C9CC">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套</w:t>
            </w:r>
          </w:p>
        </w:tc>
      </w:tr>
      <w:tr w14:paraId="573908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A9B23B6">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default" w:ascii="宋体" w:hAnsi="宋体" w:eastAsia="宋体" w:cs="宋体"/>
                <w:i w:val="0"/>
                <w:iCs w:val="0"/>
                <w:color w:val="auto"/>
                <w:kern w:val="0"/>
                <w:sz w:val="22"/>
                <w:szCs w:val="22"/>
                <w:u w:val="none"/>
                <w:lang w:eastAsia="zh-CN" w:bidi="ar"/>
              </w:rPr>
              <w:t xml:space="preserve"> </w:t>
            </w:r>
            <w:r>
              <w:rPr>
                <w:rFonts w:hint="eastAsia" w:ascii="宋体" w:hAnsi="宋体" w:eastAsia="宋体" w:cs="宋体"/>
                <w:i w:val="0"/>
                <w:iCs w:val="0"/>
                <w:color w:val="auto"/>
                <w:kern w:val="0"/>
                <w:sz w:val="22"/>
                <w:szCs w:val="22"/>
                <w:u w:val="none"/>
                <w:lang w:val="en-US" w:eastAsia="zh-CN" w:bidi="ar"/>
              </w:rPr>
              <w:t>流量传感器</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DEED38C">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DN50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17D7B70">
            <w:pPr>
              <w:keepNext w:val="0"/>
              <w:keepLines w:val="0"/>
              <w:widowControl/>
              <w:suppressLineNumbers w:val="0"/>
              <w:jc w:val="center"/>
              <w:textAlignment w:val="bottom"/>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1</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3CD1D02">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支</w:t>
            </w:r>
          </w:p>
        </w:tc>
      </w:tr>
      <w:tr w14:paraId="176B892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D764496">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流量传感器</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75A5AF0">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DN25</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2779869">
            <w:pPr>
              <w:keepNext w:val="0"/>
              <w:keepLines w:val="0"/>
              <w:widowControl/>
              <w:suppressLineNumbers w:val="0"/>
              <w:jc w:val="center"/>
              <w:textAlignment w:val="bottom"/>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2</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7598A5D">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支</w:t>
            </w:r>
          </w:p>
        </w:tc>
      </w:tr>
      <w:tr w14:paraId="0A3A43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9778F5A">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温度传感器</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A726F98">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0-100℃     L=300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9D85B76">
            <w:pPr>
              <w:keepNext w:val="0"/>
              <w:keepLines w:val="0"/>
              <w:widowControl/>
              <w:suppressLineNumbers w:val="0"/>
              <w:jc w:val="center"/>
              <w:textAlignment w:val="bottom"/>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4</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5514739">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套</w:t>
            </w:r>
          </w:p>
        </w:tc>
      </w:tr>
      <w:tr w14:paraId="7378EA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03A4D5A">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离心泵</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E14ABA4">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50m</w:t>
            </w:r>
            <w:r>
              <w:rPr>
                <w:rFonts w:hint="eastAsia" w:ascii="宋体" w:hAnsi="宋体" w:eastAsia="宋体" w:cs="宋体"/>
                <w:i w:val="0"/>
                <w:iCs w:val="0"/>
                <w:color w:val="auto"/>
                <w:kern w:val="0"/>
                <w:sz w:val="22"/>
                <w:szCs w:val="22"/>
                <w:u w:val="none"/>
                <w:vertAlign w:val="superscript"/>
                <w:lang w:val="en-US" w:eastAsia="zh-CN" w:bidi="ar"/>
              </w:rPr>
              <w:t>3</w:t>
            </w:r>
            <w:r>
              <w:rPr>
                <w:rFonts w:hint="eastAsia" w:ascii="宋体" w:hAnsi="宋体" w:eastAsia="宋体" w:cs="宋体"/>
                <w:i w:val="0"/>
                <w:iCs w:val="0"/>
                <w:color w:val="auto"/>
                <w:kern w:val="0"/>
                <w:sz w:val="22"/>
                <w:szCs w:val="22"/>
                <w:u w:val="none"/>
                <w:lang w:val="en-US" w:eastAsia="zh-CN" w:bidi="ar"/>
              </w:rPr>
              <w:t>/h</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019E003">
            <w:pPr>
              <w:keepNext w:val="0"/>
              <w:keepLines w:val="0"/>
              <w:widowControl/>
              <w:suppressLineNumbers w:val="0"/>
              <w:jc w:val="center"/>
              <w:textAlignment w:val="bottom"/>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1</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760B458">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台</w:t>
            </w:r>
          </w:p>
        </w:tc>
      </w:tr>
      <w:tr w14:paraId="71AF03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2201FB3">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离心泵</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3963C7A">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20m</w:t>
            </w:r>
            <w:r>
              <w:rPr>
                <w:rFonts w:hint="eastAsia" w:ascii="宋体" w:hAnsi="宋体" w:eastAsia="宋体" w:cs="宋体"/>
                <w:i w:val="0"/>
                <w:iCs w:val="0"/>
                <w:color w:val="auto"/>
                <w:kern w:val="0"/>
                <w:sz w:val="22"/>
                <w:szCs w:val="22"/>
                <w:u w:val="none"/>
                <w:vertAlign w:val="superscript"/>
                <w:lang w:val="en-US" w:eastAsia="zh-CN" w:bidi="ar"/>
              </w:rPr>
              <w:t>3</w:t>
            </w:r>
            <w:r>
              <w:rPr>
                <w:rFonts w:hint="eastAsia" w:ascii="宋体" w:hAnsi="宋体" w:eastAsia="宋体" w:cs="宋体"/>
                <w:i w:val="0"/>
                <w:iCs w:val="0"/>
                <w:color w:val="auto"/>
                <w:kern w:val="0"/>
                <w:sz w:val="22"/>
                <w:szCs w:val="22"/>
                <w:u w:val="none"/>
                <w:lang w:val="en-US" w:eastAsia="zh-CN" w:bidi="ar"/>
              </w:rPr>
              <w:t>/h</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B0EDB4F">
            <w:pPr>
              <w:keepNext w:val="0"/>
              <w:keepLines w:val="0"/>
              <w:widowControl/>
              <w:suppressLineNumbers w:val="0"/>
              <w:jc w:val="center"/>
              <w:textAlignment w:val="bottom"/>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1</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9A524D7">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台</w:t>
            </w:r>
          </w:p>
        </w:tc>
      </w:tr>
      <w:tr w14:paraId="11B494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16718C7">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空气流量计玻璃管</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2B495B3">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500-2500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7FF5B69">
            <w:pPr>
              <w:keepNext w:val="0"/>
              <w:keepLines w:val="0"/>
              <w:widowControl/>
              <w:suppressLineNumbers w:val="0"/>
              <w:jc w:val="center"/>
              <w:textAlignment w:val="bottom"/>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2</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7D7122F">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台</w:t>
            </w:r>
          </w:p>
        </w:tc>
      </w:tr>
      <w:tr w14:paraId="7BE3BD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8488C4B">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磁性翻柱液位计</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CBDF203">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WLW-1OOAB</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DDF4AC9">
            <w:pPr>
              <w:keepNext w:val="0"/>
              <w:keepLines w:val="0"/>
              <w:widowControl/>
              <w:suppressLineNumbers w:val="0"/>
              <w:jc w:val="center"/>
              <w:textAlignment w:val="bottom"/>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1</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0818E2E">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台</w:t>
            </w:r>
          </w:p>
        </w:tc>
      </w:tr>
      <w:tr w14:paraId="19B77E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7757F2E">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不锈钢隔膜阀</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E2F993B">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DN80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D7EB7C1">
            <w:pPr>
              <w:keepNext w:val="0"/>
              <w:keepLines w:val="0"/>
              <w:widowControl/>
              <w:suppressLineNumbers w:val="0"/>
              <w:jc w:val="center"/>
              <w:textAlignment w:val="bottom"/>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1</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D7FB756">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台</w:t>
            </w:r>
          </w:p>
        </w:tc>
      </w:tr>
      <w:tr w14:paraId="68E241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85B0486">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20³发酵罐</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41F92A3">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2200*5000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7EC997B">
            <w:pPr>
              <w:keepNext w:val="0"/>
              <w:keepLines w:val="0"/>
              <w:widowControl/>
              <w:suppressLineNumbers w:val="0"/>
              <w:jc w:val="center"/>
              <w:textAlignment w:val="bottom"/>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1</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0E19DCF">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台</w:t>
            </w:r>
          </w:p>
        </w:tc>
      </w:tr>
      <w:tr w14:paraId="33D6F7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76B9CC2">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12³种子罐</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21F7DB9">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1900*4200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B71E3CB">
            <w:pPr>
              <w:keepNext w:val="0"/>
              <w:keepLines w:val="0"/>
              <w:widowControl/>
              <w:suppressLineNumbers w:val="0"/>
              <w:jc w:val="center"/>
              <w:textAlignment w:val="bottom"/>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4</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DE1DD55">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台</w:t>
            </w:r>
          </w:p>
        </w:tc>
      </w:tr>
      <w:tr w14:paraId="3CC8B6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7158C03">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1.2³种子罐</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DA91D8A">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1m</w:t>
            </w:r>
            <w:r>
              <w:rPr>
                <w:rFonts w:hint="eastAsia" w:ascii="宋体" w:hAnsi="宋体" w:eastAsia="宋体" w:cs="宋体"/>
                <w:i w:val="0"/>
                <w:iCs w:val="0"/>
                <w:color w:val="auto"/>
                <w:kern w:val="0"/>
                <w:sz w:val="22"/>
                <w:szCs w:val="22"/>
                <w:u w:val="none"/>
                <w:vertAlign w:val="superscript"/>
                <w:lang w:val="en-US" w:eastAsia="zh-CN" w:bidi="ar"/>
              </w:rPr>
              <w:t>3</w:t>
            </w:r>
            <w:r>
              <w:rPr>
                <w:rFonts w:hint="eastAsia" w:ascii="宋体" w:hAnsi="宋体" w:eastAsia="宋体" w:cs="宋体"/>
                <w:i w:val="0"/>
                <w:iCs w:val="0"/>
                <w:color w:val="auto"/>
                <w:kern w:val="0"/>
                <w:sz w:val="22"/>
                <w:szCs w:val="22"/>
                <w:u w:val="none"/>
                <w:lang w:val="en-US" w:eastAsia="zh-CN" w:bidi="ar"/>
              </w:rPr>
              <w:t xml:space="preserve">  1000L</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813B416">
            <w:pPr>
              <w:keepNext w:val="0"/>
              <w:keepLines w:val="0"/>
              <w:widowControl/>
              <w:suppressLineNumbers w:val="0"/>
              <w:jc w:val="center"/>
              <w:textAlignment w:val="bottom"/>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3</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F9B3243">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台</w:t>
            </w:r>
          </w:p>
        </w:tc>
      </w:tr>
      <w:tr w14:paraId="585709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C51A4EC">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60³发酵罐</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77CBC78">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60m</w:t>
            </w:r>
            <w:r>
              <w:rPr>
                <w:rFonts w:hint="eastAsia" w:ascii="宋体" w:hAnsi="宋体" w:eastAsia="宋体" w:cs="宋体"/>
                <w:i w:val="0"/>
                <w:iCs w:val="0"/>
                <w:color w:val="auto"/>
                <w:kern w:val="0"/>
                <w:sz w:val="22"/>
                <w:szCs w:val="22"/>
                <w:u w:val="none"/>
                <w:vertAlign w:val="superscript"/>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9A9EA7B">
            <w:pPr>
              <w:keepNext w:val="0"/>
              <w:keepLines w:val="0"/>
              <w:widowControl/>
              <w:suppressLineNumbers w:val="0"/>
              <w:jc w:val="center"/>
              <w:textAlignment w:val="bottom"/>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6</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705DD09">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台</w:t>
            </w:r>
          </w:p>
        </w:tc>
      </w:tr>
      <w:tr w14:paraId="346AA7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95EBC0C">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水泵</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909E869">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100-QW110-10-5.5</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890BCA7">
            <w:pPr>
              <w:keepNext w:val="0"/>
              <w:keepLines w:val="0"/>
              <w:widowControl/>
              <w:suppressLineNumbers w:val="0"/>
              <w:jc w:val="center"/>
              <w:textAlignment w:val="bottom"/>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2</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C271774">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台</w:t>
            </w:r>
          </w:p>
        </w:tc>
      </w:tr>
      <w:tr w14:paraId="1AF89A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48CB80B">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5³配料罐</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9B818CA">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5m</w:t>
            </w:r>
            <w:r>
              <w:rPr>
                <w:rFonts w:hint="eastAsia" w:ascii="宋体" w:hAnsi="宋体" w:eastAsia="宋体" w:cs="宋体"/>
                <w:i w:val="0"/>
                <w:iCs w:val="0"/>
                <w:color w:val="auto"/>
                <w:kern w:val="0"/>
                <w:sz w:val="22"/>
                <w:szCs w:val="22"/>
                <w:u w:val="none"/>
                <w:vertAlign w:val="superscript"/>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580E98B">
            <w:pPr>
              <w:keepNext w:val="0"/>
              <w:keepLines w:val="0"/>
              <w:widowControl/>
              <w:suppressLineNumbers w:val="0"/>
              <w:jc w:val="center"/>
              <w:textAlignment w:val="bottom"/>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1</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7023978">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台</w:t>
            </w:r>
          </w:p>
        </w:tc>
      </w:tr>
      <w:tr w14:paraId="70E09A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DEEE4C5">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水泵</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7D093F5">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ISG80-160-7.5kw</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1E2B27A">
            <w:pPr>
              <w:keepNext w:val="0"/>
              <w:keepLines w:val="0"/>
              <w:widowControl/>
              <w:suppressLineNumbers w:val="0"/>
              <w:jc w:val="center"/>
              <w:textAlignment w:val="bottom"/>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1</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ABDF0BC">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台</w:t>
            </w:r>
          </w:p>
        </w:tc>
      </w:tr>
      <w:tr w14:paraId="569321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28C16D4">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过滤器</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21E86DD">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400型</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6553116">
            <w:pPr>
              <w:keepNext w:val="0"/>
              <w:keepLines w:val="0"/>
              <w:widowControl/>
              <w:suppressLineNumbers w:val="0"/>
              <w:jc w:val="center"/>
              <w:textAlignment w:val="bottom"/>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1</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DF781B6">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台</w:t>
            </w:r>
          </w:p>
        </w:tc>
      </w:tr>
      <w:tr w14:paraId="3101E7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B941D76">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引水罐</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EF765ED">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?800*800mm</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4648BAE">
            <w:pPr>
              <w:keepNext w:val="0"/>
              <w:keepLines w:val="0"/>
              <w:widowControl/>
              <w:suppressLineNumbers w:val="0"/>
              <w:jc w:val="center"/>
              <w:textAlignment w:val="bottom"/>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1</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FEA8D5D">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台</w:t>
            </w:r>
          </w:p>
        </w:tc>
      </w:tr>
      <w:tr w14:paraId="6B1F99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CAAF67B">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陶瓷超滤膜</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FC5E1E1">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FLD-UF-156</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D3B617A">
            <w:pPr>
              <w:keepNext w:val="0"/>
              <w:keepLines w:val="0"/>
              <w:widowControl/>
              <w:suppressLineNumbers w:val="0"/>
              <w:jc w:val="center"/>
              <w:textAlignment w:val="bottom"/>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1</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F6B957F">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台</w:t>
            </w:r>
          </w:p>
        </w:tc>
      </w:tr>
      <w:tr w14:paraId="43BBF3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E116772">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电磁流量计</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CE5509D">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DN65</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2D6A0DC">
            <w:pPr>
              <w:keepNext w:val="0"/>
              <w:keepLines w:val="0"/>
              <w:widowControl/>
              <w:suppressLineNumbers w:val="0"/>
              <w:jc w:val="center"/>
              <w:textAlignment w:val="bottom"/>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1</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60EF5AB">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台</w:t>
            </w:r>
          </w:p>
        </w:tc>
      </w:tr>
      <w:tr w14:paraId="14495A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A5FFE3E">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陶瓷膜过滤设备</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EF6510D">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MFA-C-15700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61A3F12">
            <w:pPr>
              <w:keepNext w:val="0"/>
              <w:keepLines w:val="0"/>
              <w:widowControl/>
              <w:suppressLineNumbers w:val="0"/>
              <w:jc w:val="center"/>
              <w:textAlignment w:val="bottom"/>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1</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0D6CE4C">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套</w:t>
            </w:r>
          </w:p>
        </w:tc>
      </w:tr>
      <w:tr w14:paraId="377F53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EC2BB55">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高压清洗机</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268909D">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3.0KW-4P-220V 55KG</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C2488DD">
            <w:pPr>
              <w:keepNext w:val="0"/>
              <w:keepLines w:val="0"/>
              <w:widowControl/>
              <w:suppressLineNumbers w:val="0"/>
              <w:jc w:val="center"/>
              <w:textAlignment w:val="bottom"/>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1</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F03A2B8">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台</w:t>
            </w:r>
          </w:p>
        </w:tc>
      </w:tr>
      <w:tr w14:paraId="2FAA01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7420589">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降膜式冷水机组</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895AEF4">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GFCW1300D</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E0CDB9B">
            <w:pPr>
              <w:keepNext w:val="0"/>
              <w:keepLines w:val="0"/>
              <w:widowControl/>
              <w:suppressLineNumbers w:val="0"/>
              <w:jc w:val="center"/>
              <w:textAlignment w:val="bottom"/>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1</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DDD027E">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套</w:t>
            </w:r>
          </w:p>
        </w:tc>
      </w:tr>
      <w:tr w14:paraId="762C59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E93515D">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电机</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44B2FC4">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YE2315-110-8KW</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03803F2">
            <w:pPr>
              <w:keepNext w:val="0"/>
              <w:keepLines w:val="0"/>
              <w:widowControl/>
              <w:suppressLineNumbers w:val="0"/>
              <w:jc w:val="center"/>
              <w:textAlignment w:val="bottom"/>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1</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FFD31FB">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台</w:t>
            </w:r>
          </w:p>
        </w:tc>
      </w:tr>
      <w:tr w14:paraId="0DB7B8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54C7912">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皮带轮</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924DA7D">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∅400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7E23935">
            <w:pPr>
              <w:keepNext w:val="0"/>
              <w:keepLines w:val="0"/>
              <w:widowControl/>
              <w:suppressLineNumbers w:val="0"/>
              <w:jc w:val="center"/>
              <w:textAlignment w:val="bottom"/>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1</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9CF3054">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个</w:t>
            </w:r>
          </w:p>
        </w:tc>
      </w:tr>
      <w:tr w14:paraId="307058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8522"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4CEB5A">
            <w:pPr>
              <w:keepNext w:val="0"/>
              <w:keepLines w:val="0"/>
              <w:widowControl/>
              <w:suppressLineNumbers w:val="0"/>
              <w:jc w:val="center"/>
              <w:textAlignment w:val="center"/>
              <w:rPr>
                <w:rFonts w:hint="default" w:ascii="宋体" w:hAnsi="宋体" w:eastAsia="宋体" w:cs="宋体"/>
                <w:b/>
                <w:bCs/>
                <w:i w:val="0"/>
                <w:iCs w:val="0"/>
                <w:color w:val="auto"/>
                <w:kern w:val="0"/>
                <w:sz w:val="22"/>
                <w:szCs w:val="22"/>
                <w:u w:val="none"/>
                <w:lang w:val="en-US" w:eastAsia="zh-CN" w:bidi="ar"/>
              </w:rPr>
            </w:pPr>
            <w:r>
              <w:rPr>
                <w:rFonts w:hint="eastAsia" w:ascii="宋体" w:hAnsi="宋体" w:eastAsia="宋体" w:cs="宋体"/>
                <w:b/>
                <w:bCs/>
                <w:i w:val="0"/>
                <w:iCs w:val="0"/>
                <w:color w:val="auto"/>
                <w:kern w:val="0"/>
                <w:sz w:val="22"/>
                <w:szCs w:val="22"/>
                <w:u w:val="none"/>
                <w:lang w:val="en-US" w:eastAsia="zh-CN" w:bidi="ar"/>
              </w:rPr>
              <w:t>包衣车间</w:t>
            </w:r>
          </w:p>
        </w:tc>
      </w:tr>
      <w:tr w14:paraId="42EBDB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267DCDB">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双锥回转真空干燥机</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44F1B15">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SZG-3000型</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BF1B89E">
            <w:pPr>
              <w:keepNext w:val="0"/>
              <w:keepLines w:val="0"/>
              <w:widowControl/>
              <w:suppressLineNumbers w:val="0"/>
              <w:jc w:val="center"/>
              <w:textAlignment w:val="bottom"/>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2</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7E46001">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套</w:t>
            </w:r>
          </w:p>
        </w:tc>
      </w:tr>
      <w:tr w14:paraId="13F7D2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CC5A81D">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无油立式真空泵</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AB18A47">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WLW-1OOAB</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BD8C3A2">
            <w:pPr>
              <w:keepNext w:val="0"/>
              <w:keepLines w:val="0"/>
              <w:widowControl/>
              <w:suppressLineNumbers w:val="0"/>
              <w:jc w:val="center"/>
              <w:textAlignment w:val="bottom"/>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6</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EB4B2AC">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台</w:t>
            </w:r>
          </w:p>
        </w:tc>
      </w:tr>
      <w:tr w14:paraId="599CA5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4EE819D">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模块</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2AF3DB1">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235-0KD22-0XA8</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2A39399">
            <w:pPr>
              <w:keepNext w:val="0"/>
              <w:keepLines w:val="0"/>
              <w:widowControl/>
              <w:suppressLineNumbers w:val="0"/>
              <w:jc w:val="center"/>
              <w:textAlignment w:val="bottom"/>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2</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271BD08">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台</w:t>
            </w:r>
          </w:p>
        </w:tc>
      </w:tr>
      <w:tr w14:paraId="313BC3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B169E84">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压力比例阀</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9FDB733">
            <w:pPr>
              <w:jc w:val="center"/>
              <w:rPr>
                <w:rFonts w:hint="eastAsia" w:ascii="宋体" w:hAnsi="宋体" w:eastAsia="宋体" w:cs="宋体"/>
                <w:i w:val="0"/>
                <w:iCs w:val="0"/>
                <w:color w:val="auto"/>
                <w:kern w:val="2"/>
                <w:sz w:val="22"/>
                <w:szCs w:val="22"/>
                <w:u w:val="none"/>
                <w:lang w:val="en-US" w:eastAsia="zh-CN" w:bidi="ar-SA"/>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662618B">
            <w:pPr>
              <w:keepNext w:val="0"/>
              <w:keepLines w:val="0"/>
              <w:widowControl/>
              <w:suppressLineNumbers w:val="0"/>
              <w:jc w:val="center"/>
              <w:textAlignment w:val="bottom"/>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1</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DD5C613">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台</w:t>
            </w:r>
          </w:p>
        </w:tc>
      </w:tr>
      <w:tr w14:paraId="4467F7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8522"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386060">
            <w:pPr>
              <w:keepNext w:val="0"/>
              <w:keepLines w:val="0"/>
              <w:widowControl/>
              <w:suppressLineNumbers w:val="0"/>
              <w:jc w:val="center"/>
              <w:textAlignment w:val="center"/>
              <w:rPr>
                <w:rFonts w:hint="default" w:ascii="宋体" w:hAnsi="宋体" w:eastAsia="宋体" w:cs="宋体"/>
                <w:i w:val="0"/>
                <w:iCs w:val="0"/>
                <w:color w:val="auto"/>
                <w:kern w:val="0"/>
                <w:sz w:val="22"/>
                <w:szCs w:val="22"/>
                <w:u w:val="none"/>
                <w:lang w:val="en-US" w:eastAsia="zh-CN" w:bidi="ar"/>
              </w:rPr>
            </w:pPr>
            <w:r>
              <w:rPr>
                <w:rFonts w:hint="eastAsia" w:ascii="宋体" w:hAnsi="宋体" w:eastAsia="宋体" w:cs="宋体"/>
                <w:b/>
                <w:bCs/>
                <w:i w:val="0"/>
                <w:iCs w:val="0"/>
                <w:color w:val="auto"/>
                <w:kern w:val="0"/>
                <w:sz w:val="22"/>
                <w:szCs w:val="22"/>
                <w:u w:val="none"/>
                <w:lang w:val="en-US" w:eastAsia="zh-CN" w:bidi="ar"/>
              </w:rPr>
              <w:t>提取2车间</w:t>
            </w:r>
          </w:p>
        </w:tc>
      </w:tr>
      <w:tr w14:paraId="0DC59E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216483C">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气动隔膜泵</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E8A7541">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QBY-50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19F5343">
            <w:pPr>
              <w:keepNext w:val="0"/>
              <w:keepLines w:val="0"/>
              <w:widowControl/>
              <w:suppressLineNumbers w:val="0"/>
              <w:jc w:val="center"/>
              <w:textAlignment w:val="bottom"/>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2</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DB3EDFB">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台</w:t>
            </w:r>
          </w:p>
        </w:tc>
      </w:tr>
      <w:tr w14:paraId="330052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3125FA">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电磁流量计</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600F66A">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DJLJ-DN50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167C0DA">
            <w:pPr>
              <w:keepNext w:val="0"/>
              <w:keepLines w:val="0"/>
              <w:widowControl/>
              <w:suppressLineNumbers w:val="0"/>
              <w:jc w:val="center"/>
              <w:textAlignment w:val="bottom"/>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1</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8CD26DF">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台</w:t>
            </w:r>
          </w:p>
        </w:tc>
      </w:tr>
      <w:tr w14:paraId="5D01A6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67BC02">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管道离心泵（立式管道泵）</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56504E7">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IHGB100-100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702E23B">
            <w:pPr>
              <w:keepNext w:val="0"/>
              <w:keepLines w:val="0"/>
              <w:widowControl/>
              <w:suppressLineNumbers w:val="0"/>
              <w:jc w:val="center"/>
              <w:textAlignment w:val="bottom"/>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2</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8D2C508">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台</w:t>
            </w:r>
          </w:p>
        </w:tc>
      </w:tr>
      <w:tr w14:paraId="1AAF7A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6B0B30">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隔膜压滤机</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8BAD770">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XMAYG120/1250-VR</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2B7C9AA">
            <w:pPr>
              <w:keepNext w:val="0"/>
              <w:keepLines w:val="0"/>
              <w:widowControl/>
              <w:suppressLineNumbers w:val="0"/>
              <w:jc w:val="center"/>
              <w:textAlignment w:val="bottom"/>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3</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A2179AB">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台</w:t>
            </w:r>
          </w:p>
        </w:tc>
      </w:tr>
      <w:tr w14:paraId="633916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A9679B5">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无油立式真空泵</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F893F02">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WLW-1OOAB</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68ECC4F">
            <w:pPr>
              <w:keepNext w:val="0"/>
              <w:keepLines w:val="0"/>
              <w:widowControl/>
              <w:suppressLineNumbers w:val="0"/>
              <w:jc w:val="center"/>
              <w:textAlignment w:val="bottom"/>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1</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54F4912">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台</w:t>
            </w:r>
          </w:p>
        </w:tc>
      </w:tr>
      <w:tr w14:paraId="5B9645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ED45212">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管道泵</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9B35AA8">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100GW85-10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456163B">
            <w:pPr>
              <w:keepNext w:val="0"/>
              <w:keepLines w:val="0"/>
              <w:widowControl/>
              <w:suppressLineNumbers w:val="0"/>
              <w:jc w:val="center"/>
              <w:textAlignment w:val="bottom"/>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2</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7C907D1">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台</w:t>
            </w:r>
          </w:p>
        </w:tc>
      </w:tr>
      <w:tr w14:paraId="405AB0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5F0ACC7">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气动隔膜阀</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9323A53">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DN25</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D6F155A">
            <w:pPr>
              <w:keepNext w:val="0"/>
              <w:keepLines w:val="0"/>
              <w:widowControl/>
              <w:suppressLineNumbers w:val="0"/>
              <w:jc w:val="center"/>
              <w:textAlignment w:val="bottom"/>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5</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2DE5ECA">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台</w:t>
            </w:r>
          </w:p>
        </w:tc>
      </w:tr>
      <w:tr w14:paraId="5E0F22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4820B32">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盐析池</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74F3EC4">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28m</w:t>
            </w:r>
            <w:r>
              <w:rPr>
                <w:rFonts w:hint="eastAsia" w:ascii="宋体" w:hAnsi="宋体" w:eastAsia="宋体" w:cs="宋体"/>
                <w:i w:val="0"/>
                <w:iCs w:val="0"/>
                <w:color w:val="auto"/>
                <w:kern w:val="0"/>
                <w:sz w:val="22"/>
                <w:szCs w:val="22"/>
                <w:u w:val="none"/>
                <w:vertAlign w:val="superscript"/>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CA89685">
            <w:pPr>
              <w:keepNext w:val="0"/>
              <w:keepLines w:val="0"/>
              <w:widowControl/>
              <w:suppressLineNumbers w:val="0"/>
              <w:jc w:val="center"/>
              <w:textAlignment w:val="bottom"/>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3</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3368770">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个</w:t>
            </w:r>
          </w:p>
        </w:tc>
      </w:tr>
      <w:tr w14:paraId="3D320B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DF0EBF3">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盐析池</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6D5DCCF">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17m</w:t>
            </w:r>
            <w:r>
              <w:rPr>
                <w:rFonts w:hint="eastAsia" w:ascii="宋体" w:hAnsi="宋体" w:eastAsia="宋体" w:cs="宋体"/>
                <w:i w:val="0"/>
                <w:iCs w:val="0"/>
                <w:color w:val="auto"/>
                <w:kern w:val="0"/>
                <w:sz w:val="22"/>
                <w:szCs w:val="22"/>
                <w:u w:val="none"/>
                <w:vertAlign w:val="superscript"/>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9226C82">
            <w:pPr>
              <w:keepNext w:val="0"/>
              <w:keepLines w:val="0"/>
              <w:widowControl/>
              <w:suppressLineNumbers w:val="0"/>
              <w:jc w:val="center"/>
              <w:textAlignment w:val="bottom"/>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3</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DEB6621">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个</w:t>
            </w:r>
          </w:p>
        </w:tc>
      </w:tr>
      <w:tr w14:paraId="7D6ABD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AA87ACB">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无油、有油立式真空泵</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666B146">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WLW(100AB)</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22B84D7">
            <w:pPr>
              <w:keepNext w:val="0"/>
              <w:keepLines w:val="0"/>
              <w:widowControl/>
              <w:suppressLineNumbers w:val="0"/>
              <w:jc w:val="center"/>
              <w:textAlignment w:val="bottom"/>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2</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4B96464">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台</w:t>
            </w:r>
          </w:p>
        </w:tc>
      </w:tr>
      <w:tr w14:paraId="131F87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1079690">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收集罐</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1A24DA6">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5m</w:t>
            </w:r>
            <w:r>
              <w:rPr>
                <w:rFonts w:hint="eastAsia" w:ascii="宋体" w:hAnsi="宋体" w:eastAsia="宋体" w:cs="宋体"/>
                <w:i w:val="0"/>
                <w:iCs w:val="0"/>
                <w:color w:val="auto"/>
                <w:kern w:val="0"/>
                <w:sz w:val="22"/>
                <w:szCs w:val="22"/>
                <w:u w:val="none"/>
                <w:vertAlign w:val="superscript"/>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82F89D3">
            <w:pPr>
              <w:keepNext w:val="0"/>
              <w:keepLines w:val="0"/>
              <w:widowControl/>
              <w:suppressLineNumbers w:val="0"/>
              <w:jc w:val="center"/>
              <w:textAlignment w:val="bottom"/>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1</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3F1F574">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台</w:t>
            </w:r>
          </w:p>
        </w:tc>
      </w:tr>
      <w:tr w14:paraId="45E070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9CB3E4D">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泵</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2CB5204">
            <w:pPr>
              <w:jc w:val="center"/>
              <w:rPr>
                <w:rFonts w:hint="eastAsia" w:ascii="宋体" w:hAnsi="宋体" w:eastAsia="宋体" w:cs="宋体"/>
                <w:i w:val="0"/>
                <w:iCs w:val="0"/>
                <w:color w:val="auto"/>
                <w:kern w:val="2"/>
                <w:sz w:val="22"/>
                <w:szCs w:val="22"/>
                <w:u w:val="none"/>
                <w:lang w:val="en-US" w:eastAsia="zh-CN" w:bidi="ar-SA"/>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9151D4A">
            <w:pPr>
              <w:keepNext w:val="0"/>
              <w:keepLines w:val="0"/>
              <w:widowControl/>
              <w:suppressLineNumbers w:val="0"/>
              <w:jc w:val="center"/>
              <w:textAlignment w:val="bottom"/>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1</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E50638A">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台</w:t>
            </w:r>
          </w:p>
        </w:tc>
      </w:tr>
      <w:tr w14:paraId="4F718E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8A6A8EF">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不绣钢泵（离心）</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1DE4742">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IH80-65-160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2D0B256">
            <w:pPr>
              <w:keepNext w:val="0"/>
              <w:keepLines w:val="0"/>
              <w:widowControl/>
              <w:suppressLineNumbers w:val="0"/>
              <w:jc w:val="center"/>
              <w:textAlignment w:val="bottom"/>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1</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954DB5A">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台</w:t>
            </w:r>
          </w:p>
        </w:tc>
      </w:tr>
      <w:tr w14:paraId="22ACBF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366AC04">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无油立式真空泵</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C3E1AA7">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WLW-1OOAB</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1AFC799">
            <w:pPr>
              <w:keepNext w:val="0"/>
              <w:keepLines w:val="0"/>
              <w:widowControl/>
              <w:suppressLineNumbers w:val="0"/>
              <w:jc w:val="center"/>
              <w:textAlignment w:val="bottom"/>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1</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74C8289">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台</w:t>
            </w:r>
          </w:p>
        </w:tc>
      </w:tr>
      <w:tr w14:paraId="2E3294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596E768">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涡街流量计</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11353BD">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DN125</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0EBEF43">
            <w:pPr>
              <w:keepNext w:val="0"/>
              <w:keepLines w:val="0"/>
              <w:widowControl/>
              <w:suppressLineNumbers w:val="0"/>
              <w:jc w:val="center"/>
              <w:textAlignment w:val="bottom"/>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1</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170DC78">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套</w:t>
            </w:r>
          </w:p>
        </w:tc>
      </w:tr>
      <w:tr w14:paraId="3DAE5B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8075A6B">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浓水罐</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68C34C7">
            <w:pPr>
              <w:jc w:val="center"/>
              <w:rPr>
                <w:rFonts w:hint="eastAsia" w:ascii="宋体" w:hAnsi="宋体" w:eastAsia="宋体" w:cs="宋体"/>
                <w:i w:val="0"/>
                <w:iCs w:val="0"/>
                <w:color w:val="auto"/>
                <w:kern w:val="2"/>
                <w:sz w:val="22"/>
                <w:szCs w:val="22"/>
                <w:u w:val="none"/>
                <w:lang w:val="en-US" w:eastAsia="zh-CN" w:bidi="ar-SA"/>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8B3DC72">
            <w:pPr>
              <w:keepNext w:val="0"/>
              <w:keepLines w:val="0"/>
              <w:widowControl/>
              <w:suppressLineNumbers w:val="0"/>
              <w:jc w:val="center"/>
              <w:textAlignment w:val="bottom"/>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2</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3D8252C">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台</w:t>
            </w:r>
          </w:p>
        </w:tc>
      </w:tr>
      <w:tr w14:paraId="35C51C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95736BB">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压滤机</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2641024">
            <w:pPr>
              <w:jc w:val="center"/>
              <w:rPr>
                <w:rFonts w:hint="eastAsia" w:ascii="宋体" w:hAnsi="宋体" w:eastAsia="宋体" w:cs="宋体"/>
                <w:i w:val="0"/>
                <w:iCs w:val="0"/>
                <w:color w:val="auto"/>
                <w:kern w:val="2"/>
                <w:sz w:val="22"/>
                <w:szCs w:val="22"/>
                <w:u w:val="none"/>
                <w:lang w:val="en-US" w:eastAsia="zh-CN" w:bidi="ar-SA"/>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F5FCA09">
            <w:pPr>
              <w:keepNext w:val="0"/>
              <w:keepLines w:val="0"/>
              <w:widowControl/>
              <w:suppressLineNumbers w:val="0"/>
              <w:jc w:val="center"/>
              <w:textAlignment w:val="bottom"/>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1</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29D2B97">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台</w:t>
            </w:r>
          </w:p>
        </w:tc>
      </w:tr>
      <w:tr w14:paraId="6D42CC2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49D1286">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结晶罐</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E44C707">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20m</w:t>
            </w:r>
            <w:r>
              <w:rPr>
                <w:rFonts w:hint="eastAsia" w:ascii="宋体" w:hAnsi="宋体" w:eastAsia="宋体" w:cs="宋体"/>
                <w:i w:val="0"/>
                <w:iCs w:val="0"/>
                <w:color w:val="auto"/>
                <w:kern w:val="0"/>
                <w:sz w:val="22"/>
                <w:szCs w:val="22"/>
                <w:u w:val="none"/>
                <w:vertAlign w:val="superscript"/>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1C49777">
            <w:pPr>
              <w:keepNext w:val="0"/>
              <w:keepLines w:val="0"/>
              <w:widowControl/>
              <w:suppressLineNumbers w:val="0"/>
              <w:jc w:val="center"/>
              <w:textAlignment w:val="bottom"/>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16</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A2A43D7">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台</w:t>
            </w:r>
          </w:p>
        </w:tc>
      </w:tr>
      <w:tr w14:paraId="1AAA20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71AE999">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不锈钢管道泵</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D8F62A0">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IHGB80-200A</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3ED3206">
            <w:pPr>
              <w:keepNext w:val="0"/>
              <w:keepLines w:val="0"/>
              <w:widowControl/>
              <w:suppressLineNumbers w:val="0"/>
              <w:jc w:val="center"/>
              <w:textAlignment w:val="bottom"/>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2</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7F055A4">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台</w:t>
            </w:r>
          </w:p>
        </w:tc>
      </w:tr>
      <w:tr w14:paraId="61EF40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362E364">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管道离心泵（立式管道泵）</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A21BE33">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IHGB100-100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0164496">
            <w:pPr>
              <w:keepNext w:val="0"/>
              <w:keepLines w:val="0"/>
              <w:widowControl/>
              <w:suppressLineNumbers w:val="0"/>
              <w:jc w:val="center"/>
              <w:textAlignment w:val="bottom"/>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2</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95FB780">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台</w:t>
            </w:r>
          </w:p>
        </w:tc>
      </w:tr>
      <w:tr w14:paraId="5A1445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B9EC2CE">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平板式离心机</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1BB5F93">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PSB-1000型</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FD6EED9">
            <w:pPr>
              <w:keepNext w:val="0"/>
              <w:keepLines w:val="0"/>
              <w:widowControl/>
              <w:suppressLineNumbers w:val="0"/>
              <w:jc w:val="center"/>
              <w:textAlignment w:val="bottom"/>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2</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3B65EDC">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台</w:t>
            </w:r>
          </w:p>
        </w:tc>
      </w:tr>
      <w:tr w14:paraId="1FD822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81B5AC4">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压力喷雾干燥机</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AF53380">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YPG-300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CC8FABA">
            <w:pPr>
              <w:keepNext w:val="0"/>
              <w:keepLines w:val="0"/>
              <w:widowControl/>
              <w:suppressLineNumbers w:val="0"/>
              <w:jc w:val="center"/>
              <w:textAlignment w:val="bottom"/>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1</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8E8C2C2">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台</w:t>
            </w:r>
          </w:p>
        </w:tc>
      </w:tr>
      <w:tr w14:paraId="226BFE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A1BB321">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均质机</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851D666">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25MPa500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31CC1EF">
            <w:pPr>
              <w:keepNext w:val="0"/>
              <w:keepLines w:val="0"/>
              <w:widowControl/>
              <w:suppressLineNumbers w:val="0"/>
              <w:jc w:val="center"/>
              <w:textAlignment w:val="bottom"/>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1</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2299522">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台</w:t>
            </w:r>
          </w:p>
        </w:tc>
      </w:tr>
      <w:tr w14:paraId="2DFDE5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76C0AE3">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旋风分离器</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645F69B">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∅400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95A896B">
            <w:pPr>
              <w:keepNext w:val="0"/>
              <w:keepLines w:val="0"/>
              <w:widowControl/>
              <w:suppressLineNumbers w:val="0"/>
              <w:jc w:val="center"/>
              <w:textAlignment w:val="bottom"/>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1</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159B10E">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套</w:t>
            </w:r>
          </w:p>
        </w:tc>
      </w:tr>
      <w:tr w14:paraId="543373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D4964FA">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蒸汽换热器</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A047DE0">
            <w:pPr>
              <w:jc w:val="center"/>
              <w:rPr>
                <w:rFonts w:hint="eastAsia" w:ascii="宋体" w:hAnsi="宋体" w:eastAsia="宋体" w:cs="宋体"/>
                <w:i w:val="0"/>
                <w:iCs w:val="0"/>
                <w:color w:val="auto"/>
                <w:kern w:val="2"/>
                <w:sz w:val="22"/>
                <w:szCs w:val="22"/>
                <w:u w:val="none"/>
                <w:lang w:val="en-US" w:eastAsia="zh-CN" w:bidi="ar-SA"/>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497B721">
            <w:pPr>
              <w:keepNext w:val="0"/>
              <w:keepLines w:val="0"/>
              <w:widowControl/>
              <w:suppressLineNumbers w:val="0"/>
              <w:jc w:val="center"/>
              <w:textAlignment w:val="bottom"/>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1</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EE14194">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台</w:t>
            </w:r>
          </w:p>
        </w:tc>
      </w:tr>
      <w:tr w14:paraId="5EC5BA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6CE9A21">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不锈钢离心泵</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3A4B84A">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IH65-50-125</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97618B0">
            <w:pPr>
              <w:keepNext w:val="0"/>
              <w:keepLines w:val="0"/>
              <w:widowControl/>
              <w:suppressLineNumbers w:val="0"/>
              <w:jc w:val="center"/>
              <w:textAlignment w:val="bottom"/>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1</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2CA4027">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台</w:t>
            </w:r>
          </w:p>
        </w:tc>
      </w:tr>
      <w:tr w14:paraId="574A31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3C2D457">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电磁流量计</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7720E11">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DN65</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9F9F476">
            <w:pPr>
              <w:keepNext w:val="0"/>
              <w:keepLines w:val="0"/>
              <w:widowControl/>
              <w:suppressLineNumbers w:val="0"/>
              <w:jc w:val="center"/>
              <w:textAlignment w:val="bottom"/>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1</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329C7F4">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台</w:t>
            </w:r>
          </w:p>
        </w:tc>
      </w:tr>
      <w:tr w14:paraId="2ED65D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493480F">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袋式过滤器</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1F95FA9">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H-MBF032F*DF40EAXC</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5FB315D">
            <w:pPr>
              <w:keepNext w:val="0"/>
              <w:keepLines w:val="0"/>
              <w:widowControl/>
              <w:suppressLineNumbers w:val="0"/>
              <w:jc w:val="center"/>
              <w:textAlignment w:val="bottom"/>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1</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0DF4B1C">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台</w:t>
            </w:r>
          </w:p>
        </w:tc>
      </w:tr>
      <w:tr w14:paraId="2643C4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BDD4125">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罗茨真空泵</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F8C302C">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150L/S</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FEE72F4">
            <w:pPr>
              <w:keepNext w:val="0"/>
              <w:keepLines w:val="0"/>
              <w:widowControl/>
              <w:suppressLineNumbers w:val="0"/>
              <w:jc w:val="center"/>
              <w:textAlignment w:val="bottom"/>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3</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3F9C122">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台</w:t>
            </w:r>
          </w:p>
        </w:tc>
      </w:tr>
      <w:tr w14:paraId="54A535D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4A27524">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列管冷凝器</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9562E77">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25m²</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6DB227D">
            <w:pPr>
              <w:keepNext w:val="0"/>
              <w:keepLines w:val="0"/>
              <w:widowControl/>
              <w:suppressLineNumbers w:val="0"/>
              <w:jc w:val="center"/>
              <w:textAlignment w:val="bottom"/>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2</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FB8B89B">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台</w:t>
            </w:r>
          </w:p>
        </w:tc>
      </w:tr>
      <w:tr w14:paraId="29393F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B43185A">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气动隔膜泵</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A5951F2">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QBY-50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4B08C23">
            <w:pPr>
              <w:keepNext w:val="0"/>
              <w:keepLines w:val="0"/>
              <w:widowControl/>
              <w:suppressLineNumbers w:val="0"/>
              <w:jc w:val="center"/>
              <w:textAlignment w:val="bottom"/>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1</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6A06BC6">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台</w:t>
            </w:r>
          </w:p>
        </w:tc>
      </w:tr>
      <w:tr w14:paraId="395B35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261D19F">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手动液压车</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B2E64E0">
            <w:pPr>
              <w:jc w:val="center"/>
              <w:rPr>
                <w:rFonts w:hint="eastAsia" w:ascii="宋体" w:hAnsi="宋体" w:eastAsia="宋体" w:cs="宋体"/>
                <w:i w:val="0"/>
                <w:iCs w:val="0"/>
                <w:color w:val="auto"/>
                <w:kern w:val="2"/>
                <w:sz w:val="22"/>
                <w:szCs w:val="22"/>
                <w:u w:val="none"/>
                <w:lang w:val="en-US" w:eastAsia="zh-CN" w:bidi="ar-SA"/>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A4B785F">
            <w:pPr>
              <w:keepNext w:val="0"/>
              <w:keepLines w:val="0"/>
              <w:widowControl/>
              <w:suppressLineNumbers w:val="0"/>
              <w:jc w:val="center"/>
              <w:textAlignment w:val="bottom"/>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1</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B31273E">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台</w:t>
            </w:r>
          </w:p>
        </w:tc>
      </w:tr>
      <w:tr w14:paraId="34AE44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8126F10">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气动隔膜泵</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E521105">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QBY-50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4ED1E6E">
            <w:pPr>
              <w:keepNext w:val="0"/>
              <w:keepLines w:val="0"/>
              <w:widowControl/>
              <w:suppressLineNumbers w:val="0"/>
              <w:jc w:val="center"/>
              <w:textAlignment w:val="bottom"/>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3</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60F94DA">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台</w:t>
            </w:r>
          </w:p>
        </w:tc>
      </w:tr>
      <w:tr w14:paraId="407988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4F8FBFE">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平板全自动下卸料离心机</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FE52DC0">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PGZ1250(304)</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A26E9E5">
            <w:pPr>
              <w:keepNext w:val="0"/>
              <w:keepLines w:val="0"/>
              <w:widowControl/>
              <w:suppressLineNumbers w:val="0"/>
              <w:jc w:val="center"/>
              <w:textAlignment w:val="bottom"/>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2</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A2EB0DA">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台</w:t>
            </w:r>
          </w:p>
        </w:tc>
      </w:tr>
      <w:tr w14:paraId="4F5204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705A46B">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手动拉板隔膜压滤机</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FCE1478">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XMAYG60/1000-30u</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B89458F">
            <w:pPr>
              <w:keepNext w:val="0"/>
              <w:keepLines w:val="0"/>
              <w:widowControl/>
              <w:suppressLineNumbers w:val="0"/>
              <w:jc w:val="center"/>
              <w:textAlignment w:val="bottom"/>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2</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511F817">
            <w:pPr>
              <w:keepNext w:val="0"/>
              <w:keepLines w:val="0"/>
              <w:widowControl/>
              <w:suppressLineNumbers w:val="0"/>
              <w:jc w:val="center"/>
              <w:textAlignment w:val="center"/>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auto"/>
                <w:kern w:val="0"/>
                <w:sz w:val="22"/>
                <w:szCs w:val="22"/>
                <w:u w:val="none"/>
                <w:lang w:val="en-US" w:eastAsia="zh-CN" w:bidi="ar"/>
              </w:rPr>
              <w:t>台</w:t>
            </w:r>
          </w:p>
        </w:tc>
      </w:tr>
      <w:tr w14:paraId="1AF5E1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8522"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42EA67">
            <w:pPr>
              <w:keepNext w:val="0"/>
              <w:keepLines w:val="0"/>
              <w:widowControl/>
              <w:suppressLineNumbers w:val="0"/>
              <w:jc w:val="center"/>
              <w:textAlignment w:val="center"/>
              <w:rPr>
                <w:rFonts w:hint="default" w:ascii="宋体" w:hAnsi="宋体" w:eastAsia="宋体" w:cs="宋体"/>
                <w:b/>
                <w:bCs/>
                <w:i w:val="0"/>
                <w:iCs w:val="0"/>
                <w:color w:val="auto"/>
                <w:kern w:val="0"/>
                <w:sz w:val="22"/>
                <w:szCs w:val="22"/>
                <w:u w:val="none"/>
                <w:lang w:val="en-US" w:eastAsia="zh-CN" w:bidi="ar"/>
              </w:rPr>
            </w:pPr>
            <w:r>
              <w:rPr>
                <w:rFonts w:hint="eastAsia" w:ascii="宋体" w:hAnsi="宋体" w:eastAsia="宋体" w:cs="宋体"/>
                <w:b/>
                <w:bCs/>
                <w:i w:val="0"/>
                <w:iCs w:val="0"/>
                <w:color w:val="auto"/>
                <w:kern w:val="0"/>
                <w:sz w:val="22"/>
                <w:szCs w:val="22"/>
                <w:u w:val="none"/>
                <w:lang w:val="en-US" w:eastAsia="zh-CN" w:bidi="ar"/>
              </w:rPr>
              <w:t>提取6车间</w:t>
            </w:r>
          </w:p>
        </w:tc>
      </w:tr>
      <w:tr w14:paraId="7FF6CF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30C6A59">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不锈钢工具柜</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05A4369">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900*430*900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0EF7145">
            <w:pPr>
              <w:widowControl/>
              <w:jc w:val="center"/>
              <w:textAlignment w:val="bottom"/>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1</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9DE37D4">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件</w:t>
            </w:r>
          </w:p>
        </w:tc>
      </w:tr>
      <w:tr w14:paraId="5DE57D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81004AB">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纳滤膜</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8586C0A">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SS-NF5-8040P</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62C79BB">
            <w:pPr>
              <w:widowControl/>
              <w:jc w:val="center"/>
              <w:textAlignment w:val="bottom"/>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8</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FE03465">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支</w:t>
            </w:r>
          </w:p>
        </w:tc>
      </w:tr>
      <w:tr w14:paraId="075B9E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A852F06">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立式管道泵</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771E4AF">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IRG80-160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36E9CAE">
            <w:pPr>
              <w:widowControl/>
              <w:jc w:val="center"/>
              <w:textAlignment w:val="bottom"/>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2</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BFC8BFD">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台</w:t>
            </w:r>
          </w:p>
        </w:tc>
      </w:tr>
      <w:tr w14:paraId="325739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B1EC093">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耐腐泵</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5BEDA0F">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IHF50-32-125/3K</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D8DD6CE">
            <w:pPr>
              <w:widowControl/>
              <w:jc w:val="center"/>
              <w:textAlignment w:val="bottom"/>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11</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6C21C6E">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台</w:t>
            </w:r>
          </w:p>
        </w:tc>
      </w:tr>
      <w:tr w14:paraId="72C740F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7254898">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气动隔膜泵</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A660BC1">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QBY-50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5B1C864">
            <w:pPr>
              <w:widowControl/>
              <w:jc w:val="center"/>
              <w:textAlignment w:val="bottom"/>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1</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86F1614">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台</w:t>
            </w:r>
          </w:p>
        </w:tc>
      </w:tr>
      <w:tr w14:paraId="1ECF22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E686BD1">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电磁流量计</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A13A6E7">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DJLD-DN50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B903E45">
            <w:pPr>
              <w:widowControl/>
              <w:jc w:val="center"/>
              <w:textAlignment w:val="bottom"/>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2</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E6F51F1">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台</w:t>
            </w:r>
          </w:p>
        </w:tc>
      </w:tr>
      <w:tr w14:paraId="356199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FEBE5E5">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管道泵</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F503459">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IHG50-160(I)</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0AEE757">
            <w:pPr>
              <w:widowControl/>
              <w:jc w:val="center"/>
              <w:textAlignment w:val="bottom"/>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1</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104809D">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台</w:t>
            </w:r>
          </w:p>
        </w:tc>
      </w:tr>
      <w:tr w14:paraId="3B55F1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AA2896D">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设备密封</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3C08C85">
            <w:pPr>
              <w:jc w:val="center"/>
              <w:rPr>
                <w:rFonts w:hint="eastAsia" w:ascii="宋体" w:hAnsi="宋体" w:eastAsia="宋体" w:cs="宋体"/>
                <w:kern w:val="2"/>
                <w:sz w:val="22"/>
                <w:szCs w:val="22"/>
                <w:lang w:val="en-US" w:eastAsia="zh-CN" w:bidi="ar-SA"/>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C4F3F98">
            <w:pPr>
              <w:widowControl/>
              <w:jc w:val="center"/>
              <w:textAlignment w:val="bottom"/>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1</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6529ECB">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台</w:t>
            </w:r>
          </w:p>
        </w:tc>
      </w:tr>
      <w:tr w14:paraId="29CA33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5D9A2C9">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列管冷凝器</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5FD12C5">
            <w:pPr>
              <w:jc w:val="center"/>
              <w:rPr>
                <w:rFonts w:hint="eastAsia" w:ascii="宋体" w:hAnsi="宋体" w:eastAsia="宋体" w:cs="宋体"/>
                <w:kern w:val="2"/>
                <w:sz w:val="22"/>
                <w:szCs w:val="22"/>
                <w:lang w:val="en-US" w:eastAsia="zh-CN" w:bidi="ar-SA"/>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8501403">
            <w:pPr>
              <w:widowControl/>
              <w:jc w:val="center"/>
              <w:textAlignment w:val="bottom"/>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1</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E655613">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台</w:t>
            </w:r>
          </w:p>
        </w:tc>
      </w:tr>
      <w:tr w14:paraId="4FA21A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528D483">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纳滤膜</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FCDE333">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SS-NF5-8040P</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F93F9A0">
            <w:pPr>
              <w:widowControl/>
              <w:jc w:val="center"/>
              <w:textAlignment w:val="bottom"/>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9</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268B3D3">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支</w:t>
            </w:r>
          </w:p>
        </w:tc>
      </w:tr>
      <w:tr w14:paraId="400407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2697113">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液压可调吊机</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A6CE011">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DTS495-60-8</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DA255F4">
            <w:pPr>
              <w:widowControl/>
              <w:jc w:val="center"/>
              <w:textAlignment w:val="bottom"/>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1</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2EA5085">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台</w:t>
            </w:r>
          </w:p>
        </w:tc>
      </w:tr>
      <w:tr w14:paraId="64C9B8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10CE99C">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立式管道泵</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A76BA96">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IRG80-160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AAAAC05">
            <w:pPr>
              <w:widowControl/>
              <w:jc w:val="center"/>
              <w:textAlignment w:val="bottom"/>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2</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1933173">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台</w:t>
            </w:r>
          </w:p>
        </w:tc>
      </w:tr>
      <w:tr w14:paraId="11C405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1635828">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超滤器</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F7F4E20">
            <w:pPr>
              <w:jc w:val="center"/>
              <w:rPr>
                <w:rFonts w:hint="eastAsia" w:ascii="宋体" w:hAnsi="宋体" w:eastAsia="宋体" w:cs="宋体"/>
                <w:kern w:val="2"/>
                <w:sz w:val="22"/>
                <w:szCs w:val="22"/>
                <w:lang w:val="en-US" w:eastAsia="zh-CN" w:bidi="ar-SA"/>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C304D4E">
            <w:pPr>
              <w:widowControl/>
              <w:jc w:val="center"/>
              <w:textAlignment w:val="bottom"/>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1</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DE633A0">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套</w:t>
            </w:r>
          </w:p>
        </w:tc>
      </w:tr>
      <w:tr w14:paraId="5FD4F6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D4D24B8">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超滤器</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A34647A">
            <w:pPr>
              <w:jc w:val="center"/>
              <w:rPr>
                <w:rFonts w:hint="eastAsia" w:ascii="宋体" w:hAnsi="宋体" w:eastAsia="宋体" w:cs="宋体"/>
                <w:kern w:val="2"/>
                <w:sz w:val="22"/>
                <w:szCs w:val="22"/>
                <w:lang w:val="en-US" w:eastAsia="zh-CN" w:bidi="ar-SA"/>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8BEFA46">
            <w:pPr>
              <w:widowControl/>
              <w:jc w:val="center"/>
              <w:textAlignment w:val="bottom"/>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1</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84C2550">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套</w:t>
            </w:r>
          </w:p>
        </w:tc>
      </w:tr>
      <w:tr w14:paraId="39D816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12532F2">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离子交换柱</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80E9EB1">
            <w:pPr>
              <w:jc w:val="center"/>
              <w:rPr>
                <w:rFonts w:hint="eastAsia" w:ascii="宋体" w:hAnsi="宋体" w:eastAsia="宋体" w:cs="宋体"/>
                <w:kern w:val="2"/>
                <w:sz w:val="22"/>
                <w:szCs w:val="22"/>
                <w:lang w:val="en-US" w:eastAsia="zh-CN" w:bidi="ar-SA"/>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20F4A3A">
            <w:pPr>
              <w:widowControl/>
              <w:jc w:val="center"/>
              <w:textAlignment w:val="bottom"/>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6</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B9EAF39">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支</w:t>
            </w:r>
          </w:p>
        </w:tc>
      </w:tr>
      <w:tr w14:paraId="43E3FF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C864E44">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反渗透纯净水机</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E0C9CB4">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JSH-CS-4*4</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89603C0">
            <w:pPr>
              <w:widowControl/>
              <w:jc w:val="center"/>
              <w:textAlignment w:val="bottom"/>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1</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631E215">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套</w:t>
            </w:r>
          </w:p>
        </w:tc>
      </w:tr>
      <w:tr w14:paraId="380FBB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2350D69">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玻璃钢储罐</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3BDFEC7">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DN1200*1300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C6617E6">
            <w:pPr>
              <w:widowControl/>
              <w:jc w:val="center"/>
              <w:textAlignment w:val="bottom"/>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2</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317BBE3">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台</w:t>
            </w:r>
          </w:p>
        </w:tc>
      </w:tr>
      <w:tr w14:paraId="679B53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D922E8E">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精密数字温度计</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27082BF">
            <w:pPr>
              <w:jc w:val="center"/>
              <w:rPr>
                <w:rFonts w:hint="eastAsia" w:ascii="宋体" w:hAnsi="宋体" w:eastAsia="宋体" w:cs="宋体"/>
                <w:kern w:val="2"/>
                <w:sz w:val="22"/>
                <w:szCs w:val="22"/>
                <w:lang w:val="en-US" w:eastAsia="zh-CN" w:bidi="ar-SA"/>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2AC204E">
            <w:pPr>
              <w:widowControl/>
              <w:jc w:val="center"/>
              <w:textAlignment w:val="bottom"/>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14</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8427207">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块</w:t>
            </w:r>
          </w:p>
        </w:tc>
      </w:tr>
      <w:tr w14:paraId="3F41D6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D5841CB">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极水罐</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EAB296B">
            <w:pPr>
              <w:jc w:val="center"/>
              <w:rPr>
                <w:rFonts w:hint="eastAsia" w:ascii="宋体" w:hAnsi="宋体" w:eastAsia="宋体" w:cs="宋体"/>
                <w:kern w:val="2"/>
                <w:sz w:val="22"/>
                <w:szCs w:val="22"/>
                <w:lang w:val="en-US" w:eastAsia="zh-CN" w:bidi="ar-SA"/>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FCFB4A9">
            <w:pPr>
              <w:widowControl/>
              <w:jc w:val="center"/>
              <w:textAlignment w:val="bottom"/>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1</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4A59DF3">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台</w:t>
            </w:r>
          </w:p>
        </w:tc>
      </w:tr>
      <w:tr w14:paraId="0D2447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37312F0">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浓水罐</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7201DA1">
            <w:pPr>
              <w:jc w:val="center"/>
              <w:rPr>
                <w:rFonts w:hint="eastAsia" w:ascii="宋体" w:hAnsi="宋体" w:eastAsia="宋体" w:cs="宋体"/>
                <w:kern w:val="2"/>
                <w:sz w:val="22"/>
                <w:szCs w:val="22"/>
                <w:lang w:val="en-US" w:eastAsia="zh-CN" w:bidi="ar-SA"/>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B7CA924">
            <w:pPr>
              <w:widowControl/>
              <w:jc w:val="center"/>
              <w:textAlignment w:val="bottom"/>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1</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02888EC">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台</w:t>
            </w:r>
          </w:p>
        </w:tc>
      </w:tr>
      <w:tr w14:paraId="755BE3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9A58B19">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浓水罐</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542F3F2">
            <w:pPr>
              <w:jc w:val="center"/>
              <w:rPr>
                <w:rFonts w:hint="eastAsia" w:ascii="宋体" w:hAnsi="宋体" w:eastAsia="宋体" w:cs="宋体"/>
                <w:kern w:val="2"/>
                <w:sz w:val="22"/>
                <w:szCs w:val="22"/>
                <w:lang w:val="en-US" w:eastAsia="zh-CN" w:bidi="ar-SA"/>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968231B">
            <w:pPr>
              <w:widowControl/>
              <w:jc w:val="center"/>
              <w:textAlignment w:val="bottom"/>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1</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8DD712A">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台</w:t>
            </w:r>
          </w:p>
        </w:tc>
      </w:tr>
      <w:tr w14:paraId="054B79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6B4B407">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卷式纳滤膜设备</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926B8B7">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NFA-84S-48/12</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9139416">
            <w:pPr>
              <w:widowControl/>
              <w:jc w:val="center"/>
              <w:textAlignment w:val="bottom"/>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1</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974DEC0">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套</w:t>
            </w:r>
          </w:p>
        </w:tc>
      </w:tr>
      <w:tr w14:paraId="2F3398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0109D7B">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PP离子交换柱</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EF290F2">
            <w:pPr>
              <w:jc w:val="center"/>
              <w:rPr>
                <w:rFonts w:hint="eastAsia" w:ascii="宋体" w:hAnsi="宋体" w:eastAsia="宋体" w:cs="宋体"/>
                <w:kern w:val="2"/>
                <w:sz w:val="22"/>
                <w:szCs w:val="22"/>
                <w:lang w:val="en-US" w:eastAsia="zh-CN" w:bidi="ar-SA"/>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B16FFA8">
            <w:pPr>
              <w:widowControl/>
              <w:jc w:val="center"/>
              <w:textAlignment w:val="bottom"/>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4</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29C9171">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台</w:t>
            </w:r>
          </w:p>
        </w:tc>
      </w:tr>
      <w:tr w14:paraId="520751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AE2BE38">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一级反渗透系统</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AD3405C">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FID-RO-15</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B8A1875">
            <w:pPr>
              <w:widowControl/>
              <w:jc w:val="center"/>
              <w:textAlignment w:val="bottom"/>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1</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A17118F">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套</w:t>
            </w:r>
          </w:p>
        </w:tc>
      </w:tr>
      <w:tr w14:paraId="619969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8387A9F">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电渗析系统</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2555F59">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40160-250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98627C3">
            <w:pPr>
              <w:widowControl/>
              <w:jc w:val="center"/>
              <w:textAlignment w:val="bottom"/>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1</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AC01ECA">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套</w:t>
            </w:r>
          </w:p>
        </w:tc>
      </w:tr>
      <w:tr w14:paraId="784CA0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0C6DB75">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板式换热器</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16D7A01">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BR02K-10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DA6905C">
            <w:pPr>
              <w:widowControl/>
              <w:jc w:val="center"/>
              <w:textAlignment w:val="bottom"/>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1</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7575D45">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台</w:t>
            </w:r>
          </w:p>
        </w:tc>
      </w:tr>
      <w:tr w14:paraId="5D0D50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BD2F813">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板式换热器</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6168911">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BR04K-40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2A1AB55">
            <w:pPr>
              <w:widowControl/>
              <w:jc w:val="center"/>
              <w:textAlignment w:val="bottom"/>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1</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4C1B804">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台</w:t>
            </w:r>
          </w:p>
        </w:tc>
      </w:tr>
      <w:tr w14:paraId="523973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D27D250">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玻璃钢储罐</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31B4F9C">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DN2800X3800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2B6B12D">
            <w:pPr>
              <w:widowControl/>
              <w:jc w:val="center"/>
              <w:textAlignment w:val="bottom"/>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1</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F72DDDD">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台</w:t>
            </w:r>
          </w:p>
        </w:tc>
      </w:tr>
      <w:tr w14:paraId="46A0AC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53F635A">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玻璃钢储罐</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38F3B27">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DN2800X3800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67C8829">
            <w:pPr>
              <w:widowControl/>
              <w:jc w:val="center"/>
              <w:textAlignment w:val="bottom"/>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1</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46E2186">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台</w:t>
            </w:r>
          </w:p>
        </w:tc>
      </w:tr>
      <w:tr w14:paraId="55E308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855D22E">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大反应罐</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14B0511">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20</w:t>
            </w:r>
            <w:r>
              <w:rPr>
                <w:rFonts w:hint="eastAsia" w:ascii="宋体" w:hAnsi="宋体" w:eastAsia="宋体" w:cs="宋体"/>
                <w:kern w:val="0"/>
                <w:sz w:val="22"/>
                <w:lang w:eastAsia="zh-CN" w:bidi="ar"/>
              </w:rPr>
              <w:t>m</w:t>
            </w:r>
            <w:r>
              <w:rPr>
                <w:rFonts w:hint="eastAsia" w:ascii="宋体" w:hAnsi="宋体" w:eastAsia="宋体" w:cs="宋体"/>
                <w:kern w:val="0"/>
                <w:sz w:val="22"/>
                <w:vertAlign w:val="superscript"/>
                <w:lang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E4F1CF4">
            <w:pPr>
              <w:widowControl/>
              <w:jc w:val="center"/>
              <w:textAlignment w:val="bottom"/>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5</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DD64FB4">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台</w:t>
            </w:r>
          </w:p>
        </w:tc>
      </w:tr>
      <w:tr w14:paraId="37B65A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22ECC91">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真空泵</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4017F70">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2BW6121</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606760F">
            <w:pPr>
              <w:widowControl/>
              <w:jc w:val="center"/>
              <w:textAlignment w:val="bottom"/>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2</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3AD3316">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台</w:t>
            </w:r>
          </w:p>
        </w:tc>
      </w:tr>
      <w:tr w14:paraId="12207C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51D8D6C">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回收罐（卧）</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32CA054">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3</w:t>
            </w:r>
            <w:r>
              <w:rPr>
                <w:rFonts w:hint="eastAsia" w:ascii="宋体" w:hAnsi="宋体" w:eastAsia="宋体" w:cs="宋体"/>
                <w:kern w:val="0"/>
                <w:sz w:val="22"/>
                <w:lang w:eastAsia="zh-CN" w:bidi="ar"/>
              </w:rPr>
              <w:t>m</w:t>
            </w:r>
            <w:r>
              <w:rPr>
                <w:rFonts w:hint="eastAsia" w:ascii="宋体" w:hAnsi="宋体" w:eastAsia="宋体" w:cs="宋体"/>
                <w:kern w:val="0"/>
                <w:sz w:val="22"/>
                <w:vertAlign w:val="superscript"/>
                <w:lang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5E3F19D">
            <w:pPr>
              <w:widowControl/>
              <w:jc w:val="center"/>
              <w:textAlignment w:val="bottom"/>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2</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2C606EA">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个</w:t>
            </w:r>
          </w:p>
        </w:tc>
      </w:tr>
      <w:tr w14:paraId="1E9278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E5F110F">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液环闭环真空机组</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36338AD">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2BW6121</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B2A5B9C">
            <w:pPr>
              <w:widowControl/>
              <w:jc w:val="center"/>
              <w:textAlignment w:val="bottom"/>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2</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AFE8CDB">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套</w:t>
            </w:r>
          </w:p>
        </w:tc>
      </w:tr>
      <w:tr w14:paraId="491739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E11A6D8">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管道泵</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B7E18B2">
            <w:pPr>
              <w:jc w:val="center"/>
              <w:rPr>
                <w:rFonts w:hint="eastAsia" w:ascii="宋体" w:hAnsi="宋体" w:eastAsia="宋体" w:cs="宋体"/>
                <w:kern w:val="2"/>
                <w:sz w:val="22"/>
                <w:szCs w:val="22"/>
                <w:lang w:val="en-US" w:eastAsia="zh-CN" w:bidi="ar-SA"/>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479988A">
            <w:pPr>
              <w:widowControl/>
              <w:jc w:val="center"/>
              <w:textAlignment w:val="bottom"/>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7</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41218E8">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台</w:t>
            </w:r>
          </w:p>
        </w:tc>
      </w:tr>
      <w:tr w14:paraId="5F3EC3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07A7678">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水泵</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91459AC">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65FPZ-28-4KW</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934593F">
            <w:pPr>
              <w:widowControl/>
              <w:jc w:val="center"/>
              <w:textAlignment w:val="bottom"/>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4</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6B1A46A">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台</w:t>
            </w:r>
          </w:p>
        </w:tc>
      </w:tr>
      <w:tr w14:paraId="596656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668A234">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水泵</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E9748FC">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IHGB50-160-YB4kw</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A9EFF81">
            <w:pPr>
              <w:widowControl/>
              <w:jc w:val="center"/>
              <w:textAlignment w:val="bottom"/>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3</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0E032A0">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台</w:t>
            </w:r>
          </w:p>
        </w:tc>
      </w:tr>
      <w:tr w14:paraId="6D745B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23D5514">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水泵</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7429039">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IH65-50-125-3KW</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6D76500">
            <w:pPr>
              <w:widowControl/>
              <w:jc w:val="center"/>
              <w:textAlignment w:val="bottom"/>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3</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0C34A04">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台</w:t>
            </w:r>
          </w:p>
        </w:tc>
      </w:tr>
      <w:tr w14:paraId="78AD46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F8FEE35">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袋式过滤器</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667A5B4">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H-MBF032F*DF40EAXC</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06A80A0">
            <w:pPr>
              <w:widowControl/>
              <w:jc w:val="center"/>
              <w:textAlignment w:val="bottom"/>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1</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998667C">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台</w:t>
            </w:r>
          </w:p>
        </w:tc>
      </w:tr>
      <w:tr w14:paraId="5C7C86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19C4BCF">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纳滤膜</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FA7FFF7">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SS-NF5-8040P</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AF7790C">
            <w:pPr>
              <w:widowControl/>
              <w:jc w:val="center"/>
              <w:textAlignment w:val="bottom"/>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1</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50C540B">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支</w:t>
            </w:r>
          </w:p>
        </w:tc>
      </w:tr>
      <w:tr w14:paraId="34D547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5979823">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电渗析系统</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7ECB4D8">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40160-250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D9C2FFE">
            <w:pPr>
              <w:widowControl/>
              <w:jc w:val="center"/>
              <w:textAlignment w:val="bottom"/>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1</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4A1E82E">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台</w:t>
            </w:r>
          </w:p>
        </w:tc>
      </w:tr>
      <w:tr w14:paraId="136D83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5FD4E45">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电渗析系统</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8BCDE87">
            <w:pPr>
              <w:jc w:val="center"/>
              <w:rPr>
                <w:rFonts w:hint="eastAsia" w:ascii="宋体" w:hAnsi="宋体" w:eastAsia="宋体" w:cs="宋体"/>
                <w:kern w:val="2"/>
                <w:sz w:val="22"/>
                <w:szCs w:val="22"/>
                <w:lang w:val="en-US" w:eastAsia="zh-CN" w:bidi="ar-SA"/>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723B943">
            <w:pPr>
              <w:widowControl/>
              <w:jc w:val="center"/>
              <w:textAlignment w:val="bottom"/>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1</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368B540">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台</w:t>
            </w:r>
          </w:p>
        </w:tc>
      </w:tr>
      <w:tr w14:paraId="714550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480C132">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离交柱</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3B10D1F">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1000*6000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18056E7">
            <w:pPr>
              <w:widowControl/>
              <w:jc w:val="center"/>
              <w:textAlignment w:val="bottom"/>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7</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D5C6016">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台</w:t>
            </w:r>
          </w:p>
        </w:tc>
      </w:tr>
      <w:tr w14:paraId="4C91FA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D3795AF">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氟塑料衬里离心泵</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DABE1E4">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IHF65-50-125</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30E8782">
            <w:pPr>
              <w:widowControl/>
              <w:jc w:val="center"/>
              <w:textAlignment w:val="bottom"/>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3</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48995A4">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台</w:t>
            </w:r>
          </w:p>
        </w:tc>
      </w:tr>
      <w:tr w14:paraId="295E1C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37BD3EB">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不锈钢管道泵</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66E1CEE">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IHG50-160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7A78D86">
            <w:pPr>
              <w:widowControl/>
              <w:jc w:val="center"/>
              <w:textAlignment w:val="bottom"/>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5</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F4442B8">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台</w:t>
            </w:r>
          </w:p>
        </w:tc>
      </w:tr>
      <w:tr w14:paraId="0E579F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32FE764">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耐腐泵</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00B103A">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IHF50-32-125/3K</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EC0D4CA">
            <w:pPr>
              <w:widowControl/>
              <w:jc w:val="center"/>
              <w:textAlignment w:val="bottom"/>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10</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69619A2">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台</w:t>
            </w:r>
          </w:p>
        </w:tc>
      </w:tr>
      <w:tr w14:paraId="00E1B3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C2B86A3">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不锈钢离心泵</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A12B276">
            <w:pPr>
              <w:jc w:val="center"/>
              <w:rPr>
                <w:rFonts w:hint="eastAsia" w:ascii="宋体" w:hAnsi="宋体" w:eastAsia="宋体" w:cs="宋体"/>
                <w:kern w:val="2"/>
                <w:sz w:val="22"/>
                <w:szCs w:val="22"/>
                <w:lang w:val="en-US" w:eastAsia="zh-CN" w:bidi="ar-SA"/>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11AD962">
            <w:pPr>
              <w:widowControl/>
              <w:jc w:val="center"/>
              <w:textAlignment w:val="bottom"/>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4</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1FB39DD">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台</w:t>
            </w:r>
          </w:p>
        </w:tc>
      </w:tr>
      <w:tr w14:paraId="7D9CF0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89D6174">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水环式真空泵</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7886E56">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2BW6161</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0E293AC">
            <w:pPr>
              <w:widowControl/>
              <w:jc w:val="center"/>
              <w:textAlignment w:val="bottom"/>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2</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38AD465">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件</w:t>
            </w:r>
          </w:p>
        </w:tc>
      </w:tr>
      <w:tr w14:paraId="791C11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A5B3156">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纯化水设备</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D1F13A1">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FLD-RO-15</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BBD9898">
            <w:pPr>
              <w:widowControl/>
              <w:jc w:val="center"/>
              <w:textAlignment w:val="bottom"/>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1</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9875935">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套</w:t>
            </w:r>
          </w:p>
        </w:tc>
      </w:tr>
      <w:tr w14:paraId="7A6E0C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727C98B">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卷式纳滤膜设备</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61500CE">
            <w:pPr>
              <w:jc w:val="center"/>
              <w:rPr>
                <w:rFonts w:hint="eastAsia" w:ascii="宋体" w:hAnsi="宋体" w:eastAsia="宋体" w:cs="宋体"/>
                <w:kern w:val="2"/>
                <w:sz w:val="22"/>
                <w:szCs w:val="22"/>
                <w:lang w:val="en-US" w:eastAsia="zh-CN" w:bidi="ar-SA"/>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92CAB77">
            <w:pPr>
              <w:widowControl/>
              <w:jc w:val="center"/>
              <w:textAlignment w:val="bottom"/>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2</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1970A10">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套</w:t>
            </w:r>
          </w:p>
        </w:tc>
      </w:tr>
      <w:tr w14:paraId="127DF6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AFF74B9">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螺旋板式换热器</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7636EC1">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DD2213E">
            <w:pPr>
              <w:widowControl/>
              <w:jc w:val="center"/>
              <w:textAlignment w:val="bottom"/>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2</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AF6232F">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台</w:t>
            </w:r>
          </w:p>
        </w:tc>
      </w:tr>
      <w:tr w14:paraId="464CC1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F4DBC83">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膜芯</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5E7636F">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8040-DL-50C</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99CE750">
            <w:pPr>
              <w:widowControl/>
              <w:jc w:val="center"/>
              <w:textAlignment w:val="bottom"/>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48</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B91FDB6">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支</w:t>
            </w:r>
          </w:p>
        </w:tc>
      </w:tr>
      <w:tr w14:paraId="03E8A3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BE56F9E">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气动隔膜泵</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80C81E8">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QBY-50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542B0BE">
            <w:pPr>
              <w:widowControl/>
              <w:jc w:val="center"/>
              <w:textAlignment w:val="bottom"/>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1</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AFAC121">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台</w:t>
            </w:r>
          </w:p>
        </w:tc>
      </w:tr>
      <w:tr w14:paraId="734BA4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4F84D09">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化工泵</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F195531">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IHF50-32-125</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7DE0D04">
            <w:pPr>
              <w:widowControl/>
              <w:jc w:val="center"/>
              <w:textAlignment w:val="bottom"/>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1</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6BED33D">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台</w:t>
            </w:r>
          </w:p>
        </w:tc>
      </w:tr>
      <w:tr w14:paraId="3CCC9A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jc w:val="center"/>
        </w:trPr>
        <w:tc>
          <w:tcPr>
            <w:tcW w:w="8522"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F91549">
            <w:pPr>
              <w:keepNext w:val="0"/>
              <w:keepLines w:val="0"/>
              <w:widowControl/>
              <w:suppressLineNumbers w:val="0"/>
              <w:jc w:val="center"/>
              <w:textAlignment w:val="center"/>
              <w:rPr>
                <w:rFonts w:hint="default" w:ascii="宋体" w:hAnsi="宋体" w:eastAsia="宋体" w:cs="宋体"/>
                <w:b/>
                <w:bCs/>
                <w:i w:val="0"/>
                <w:iCs w:val="0"/>
                <w:color w:val="auto"/>
                <w:kern w:val="0"/>
                <w:sz w:val="22"/>
                <w:szCs w:val="22"/>
                <w:u w:val="none"/>
                <w:lang w:val="en-US" w:eastAsia="zh-CN" w:bidi="ar"/>
              </w:rPr>
            </w:pPr>
            <w:r>
              <w:rPr>
                <w:rFonts w:hint="eastAsia" w:ascii="宋体" w:hAnsi="宋体" w:eastAsia="宋体" w:cs="宋体"/>
                <w:b/>
                <w:bCs/>
                <w:i w:val="0"/>
                <w:iCs w:val="0"/>
                <w:color w:val="auto"/>
                <w:kern w:val="0"/>
                <w:sz w:val="22"/>
                <w:szCs w:val="22"/>
                <w:u w:val="none"/>
                <w:lang w:val="en-US" w:eastAsia="zh-CN" w:bidi="ar"/>
              </w:rPr>
              <w:t>提取3车间</w:t>
            </w:r>
          </w:p>
        </w:tc>
      </w:tr>
      <w:tr w14:paraId="4AE62D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DF8394C">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减速机</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C2C990B">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BLD14-17-7.5</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BE85798">
            <w:pPr>
              <w:widowControl/>
              <w:jc w:val="center"/>
              <w:textAlignment w:val="bottom"/>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1</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A84C39E">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台</w:t>
            </w:r>
          </w:p>
        </w:tc>
      </w:tr>
      <w:tr w14:paraId="5483C3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7A17639">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立式管道泵</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63FDF2F">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IRG80-160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FDAB741">
            <w:pPr>
              <w:widowControl/>
              <w:jc w:val="center"/>
              <w:textAlignment w:val="bottom"/>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2</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E71C6E2">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台</w:t>
            </w:r>
          </w:p>
        </w:tc>
      </w:tr>
      <w:tr w14:paraId="40E350D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025CD92">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气动隔膜泵</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85E6383">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QBY-50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8F7DA86">
            <w:pPr>
              <w:widowControl/>
              <w:jc w:val="center"/>
              <w:textAlignment w:val="bottom"/>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1</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FCE6D1A">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台</w:t>
            </w:r>
          </w:p>
        </w:tc>
      </w:tr>
      <w:tr w14:paraId="68FEC6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F38C1B4">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搪瓷锚式搅拌</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F3546BB">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3000L</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E24C686">
            <w:pPr>
              <w:widowControl/>
              <w:jc w:val="center"/>
              <w:textAlignment w:val="bottom"/>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2</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F54E679">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根</w:t>
            </w:r>
          </w:p>
        </w:tc>
      </w:tr>
      <w:tr w14:paraId="4CBC52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0ED34A1">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搪瓷锚式搅拌</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B8830A0">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5000L</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659016E">
            <w:pPr>
              <w:widowControl/>
              <w:jc w:val="center"/>
              <w:textAlignment w:val="bottom"/>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1</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5074F8B">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根</w:t>
            </w:r>
          </w:p>
        </w:tc>
      </w:tr>
      <w:tr w14:paraId="5878C6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C6A721D">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无油立式真空泵</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90D526D">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WLW-1OOAB</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B32EF6E">
            <w:pPr>
              <w:widowControl/>
              <w:jc w:val="center"/>
              <w:textAlignment w:val="bottom"/>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1</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59BC146">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台</w:t>
            </w:r>
          </w:p>
        </w:tc>
      </w:tr>
      <w:tr w14:paraId="1AD8F0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DC83162">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卧式盐酸储罐</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22F14A5">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DN3000*6200 40</w:t>
            </w:r>
            <w:r>
              <w:rPr>
                <w:rFonts w:hint="eastAsia" w:ascii="宋体" w:hAnsi="宋体" w:eastAsia="宋体" w:cs="宋体"/>
                <w:kern w:val="0"/>
                <w:sz w:val="22"/>
                <w:lang w:eastAsia="zh-CN" w:bidi="ar"/>
              </w:rPr>
              <w:t>m</w:t>
            </w:r>
            <w:r>
              <w:rPr>
                <w:rFonts w:hint="eastAsia" w:ascii="宋体" w:hAnsi="宋体" w:eastAsia="宋体" w:cs="宋体"/>
                <w:kern w:val="0"/>
                <w:sz w:val="22"/>
                <w:vertAlign w:val="superscript"/>
                <w:lang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FEC622D">
            <w:pPr>
              <w:widowControl/>
              <w:jc w:val="center"/>
              <w:textAlignment w:val="bottom"/>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2</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EF9D09D">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台</w:t>
            </w:r>
          </w:p>
        </w:tc>
      </w:tr>
      <w:tr w14:paraId="26A266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687CD41">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搪瓷锚式搅拌</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ACBEDC6">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5000L</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A7AC9E6">
            <w:pPr>
              <w:widowControl/>
              <w:jc w:val="center"/>
              <w:textAlignment w:val="bottom"/>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1</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A1BEBF7">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根</w:t>
            </w:r>
          </w:p>
        </w:tc>
      </w:tr>
      <w:tr w14:paraId="5BCDEC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1542FCE">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减速机</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02AD60E">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BLD14-17-7.5</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08B244C">
            <w:pPr>
              <w:widowControl/>
              <w:jc w:val="center"/>
              <w:textAlignment w:val="bottom"/>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3</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F10EC1D">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台</w:t>
            </w:r>
          </w:p>
        </w:tc>
      </w:tr>
      <w:tr w14:paraId="591515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03D08BD">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絮凝罐</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39FC9D8">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40</w:t>
            </w:r>
            <w:r>
              <w:rPr>
                <w:rFonts w:hint="eastAsia" w:ascii="宋体" w:hAnsi="宋体" w:eastAsia="宋体" w:cs="宋体"/>
                <w:kern w:val="0"/>
                <w:sz w:val="22"/>
                <w:lang w:eastAsia="zh-CN" w:bidi="ar"/>
              </w:rPr>
              <w:t>m</w:t>
            </w:r>
            <w:r>
              <w:rPr>
                <w:rFonts w:hint="eastAsia" w:ascii="宋体" w:hAnsi="宋体" w:eastAsia="宋体" w:cs="宋体"/>
                <w:kern w:val="0"/>
                <w:sz w:val="22"/>
                <w:vertAlign w:val="superscript"/>
                <w:lang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5102594">
            <w:pPr>
              <w:widowControl/>
              <w:jc w:val="center"/>
              <w:textAlignment w:val="bottom"/>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3</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1AF7704">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个</w:t>
            </w:r>
          </w:p>
        </w:tc>
      </w:tr>
      <w:tr w14:paraId="3C9DB9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63E9241">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反应釜</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977F80D">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5m³</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098AC0F">
            <w:pPr>
              <w:widowControl/>
              <w:jc w:val="center"/>
              <w:textAlignment w:val="bottom"/>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3</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CCA34AB">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个</w:t>
            </w:r>
          </w:p>
        </w:tc>
      </w:tr>
      <w:tr w14:paraId="7CF2E9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112AAF9">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反应釜</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4D11B81">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3m³</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1DD100A">
            <w:pPr>
              <w:widowControl/>
              <w:jc w:val="center"/>
              <w:textAlignment w:val="bottom"/>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5</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16B0A05">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个</w:t>
            </w:r>
          </w:p>
        </w:tc>
      </w:tr>
      <w:tr w14:paraId="665057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701CC1E">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反应釜</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C21546C">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2m³</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D2D423F">
            <w:pPr>
              <w:widowControl/>
              <w:jc w:val="center"/>
              <w:textAlignment w:val="bottom"/>
              <w:rPr>
                <w:rFonts w:hint="eastAsia" w:ascii="宋体" w:hAnsi="宋体" w:eastAsia="宋体" w:cs="宋体"/>
                <w:kern w:val="2"/>
                <w:sz w:val="22"/>
                <w:szCs w:val="22"/>
                <w:lang w:val="en-US" w:eastAsia="zh-CN" w:bidi="ar-SA"/>
              </w:rPr>
            </w:pPr>
            <w:r>
              <w:rPr>
                <w:rFonts w:hint="eastAsia" w:ascii="宋体" w:hAnsi="宋体" w:eastAsia="宋体" w:cs="宋体"/>
                <w:sz w:val="22"/>
              </w:rPr>
              <w:t>3</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4F33342">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个</w:t>
            </w:r>
          </w:p>
        </w:tc>
      </w:tr>
      <w:tr w14:paraId="0812C8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EE34E22">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应急溶剂罐</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49AB1C4">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40</w:t>
            </w:r>
            <w:r>
              <w:rPr>
                <w:rFonts w:hint="eastAsia" w:ascii="宋体" w:hAnsi="宋体" w:eastAsia="宋体" w:cs="宋体"/>
                <w:kern w:val="0"/>
                <w:sz w:val="22"/>
                <w:lang w:eastAsia="zh-CN" w:bidi="ar"/>
              </w:rPr>
              <w:t>m</w:t>
            </w:r>
            <w:r>
              <w:rPr>
                <w:rFonts w:hint="eastAsia" w:ascii="宋体" w:hAnsi="宋体" w:eastAsia="宋体" w:cs="宋体"/>
                <w:kern w:val="0"/>
                <w:sz w:val="22"/>
                <w:vertAlign w:val="superscript"/>
                <w:lang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B96025C">
            <w:pPr>
              <w:widowControl/>
              <w:jc w:val="center"/>
              <w:textAlignment w:val="bottom"/>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1</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1C184B7">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个</w:t>
            </w:r>
          </w:p>
        </w:tc>
      </w:tr>
      <w:tr w14:paraId="626836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6BFAF67">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（无名称）溶剂罐</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E0B357A">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40</w:t>
            </w:r>
            <w:r>
              <w:rPr>
                <w:rFonts w:hint="eastAsia" w:ascii="宋体" w:hAnsi="宋体" w:eastAsia="宋体" w:cs="宋体"/>
                <w:kern w:val="0"/>
                <w:sz w:val="22"/>
                <w:lang w:eastAsia="zh-CN" w:bidi="ar"/>
              </w:rPr>
              <w:t>m</w:t>
            </w:r>
            <w:r>
              <w:rPr>
                <w:rFonts w:hint="eastAsia" w:ascii="宋体" w:hAnsi="宋体" w:eastAsia="宋体" w:cs="宋体"/>
                <w:kern w:val="0"/>
                <w:sz w:val="22"/>
                <w:vertAlign w:val="superscript"/>
                <w:lang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659431E">
            <w:pPr>
              <w:widowControl/>
              <w:jc w:val="center"/>
              <w:textAlignment w:val="bottom"/>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1</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64E19C1">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个</w:t>
            </w:r>
          </w:p>
        </w:tc>
      </w:tr>
      <w:tr w14:paraId="03D0D4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AEB98E8">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螺旋板冷凝器</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4B14AB2">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D9B1CAA">
            <w:pPr>
              <w:widowControl/>
              <w:jc w:val="center"/>
              <w:textAlignment w:val="bottom"/>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10</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E055395">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台</w:t>
            </w:r>
          </w:p>
        </w:tc>
      </w:tr>
      <w:tr w14:paraId="504180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72E9A03">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螺旋板冷凝器</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B1C4695">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50EAFC1">
            <w:pPr>
              <w:widowControl/>
              <w:jc w:val="center"/>
              <w:textAlignment w:val="bottom"/>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6</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83765DD">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台</w:t>
            </w:r>
          </w:p>
        </w:tc>
      </w:tr>
      <w:tr w14:paraId="451501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F4D4E58">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螺旋板冷凝器</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9C40C9A">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16㎡</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C5AC4E2">
            <w:pPr>
              <w:widowControl/>
              <w:jc w:val="center"/>
              <w:textAlignment w:val="bottom"/>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6</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DEA3F6C">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台</w:t>
            </w:r>
          </w:p>
        </w:tc>
      </w:tr>
      <w:tr w14:paraId="49F902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DFBA711">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恒海洗涤机</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A77AB7F">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XPG-100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53B2E85">
            <w:pPr>
              <w:widowControl/>
              <w:jc w:val="center"/>
              <w:textAlignment w:val="bottom"/>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1</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3BA9779">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台</w:t>
            </w:r>
          </w:p>
        </w:tc>
      </w:tr>
      <w:tr w14:paraId="266277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50D6649">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1#真空泵</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489404F">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WLW(100AB)无油</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A2E9B86">
            <w:pPr>
              <w:widowControl/>
              <w:jc w:val="center"/>
              <w:textAlignment w:val="bottom"/>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2</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9D39231">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台</w:t>
            </w:r>
          </w:p>
        </w:tc>
      </w:tr>
      <w:tr w14:paraId="6ECB50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D6B87D0">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2#储气罐</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AED5118">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1.5</w:t>
            </w:r>
            <w:r>
              <w:rPr>
                <w:rFonts w:hint="eastAsia" w:ascii="宋体" w:hAnsi="宋体" w:eastAsia="宋体" w:cs="宋体"/>
                <w:kern w:val="0"/>
                <w:sz w:val="22"/>
                <w:lang w:eastAsia="zh-CN" w:bidi="ar"/>
              </w:rPr>
              <w:t>m</w:t>
            </w:r>
            <w:r>
              <w:rPr>
                <w:rFonts w:hint="eastAsia" w:ascii="宋体" w:hAnsi="宋体" w:eastAsia="宋体" w:cs="宋体"/>
                <w:kern w:val="0"/>
                <w:sz w:val="22"/>
                <w:vertAlign w:val="superscript"/>
                <w:lang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31A6C89">
            <w:pPr>
              <w:widowControl/>
              <w:jc w:val="center"/>
              <w:textAlignment w:val="bottom"/>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2</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10F9BB2">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个</w:t>
            </w:r>
          </w:p>
        </w:tc>
      </w:tr>
      <w:tr w14:paraId="513B63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B49A0D4">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螺旋板冷凝器</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77A320E">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（蓝色）10㎡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14308AC">
            <w:pPr>
              <w:widowControl/>
              <w:jc w:val="center"/>
              <w:textAlignment w:val="bottom"/>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2</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CE5CBD4">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个</w:t>
            </w:r>
          </w:p>
        </w:tc>
      </w:tr>
      <w:tr w14:paraId="385656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CE715A5">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溶剂回收罐</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F4EBD6E">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3</w:t>
            </w:r>
            <w:r>
              <w:rPr>
                <w:rFonts w:hint="eastAsia" w:ascii="宋体" w:hAnsi="宋体" w:eastAsia="宋体" w:cs="宋体"/>
                <w:kern w:val="0"/>
                <w:sz w:val="22"/>
                <w:lang w:eastAsia="zh-CN" w:bidi="ar"/>
              </w:rPr>
              <w:t>m</w:t>
            </w:r>
            <w:r>
              <w:rPr>
                <w:rFonts w:hint="eastAsia" w:ascii="宋体" w:hAnsi="宋体" w:eastAsia="宋体" w:cs="宋体"/>
                <w:kern w:val="0"/>
                <w:sz w:val="22"/>
                <w:vertAlign w:val="superscript"/>
                <w:lang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5AE796A">
            <w:pPr>
              <w:widowControl/>
              <w:jc w:val="center"/>
              <w:textAlignment w:val="bottom"/>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4</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87C21CD">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台</w:t>
            </w:r>
          </w:p>
        </w:tc>
      </w:tr>
      <w:tr w14:paraId="74B213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0FE881B">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溶剂回收罐</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6CE7DC2">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3</w:t>
            </w:r>
            <w:r>
              <w:rPr>
                <w:rFonts w:hint="eastAsia" w:ascii="宋体" w:hAnsi="宋体" w:eastAsia="宋体" w:cs="宋体"/>
                <w:kern w:val="0"/>
                <w:sz w:val="22"/>
                <w:lang w:eastAsia="zh-CN" w:bidi="ar"/>
              </w:rPr>
              <w:t>m</w:t>
            </w:r>
            <w:r>
              <w:rPr>
                <w:rFonts w:hint="eastAsia" w:ascii="宋体" w:hAnsi="宋体" w:eastAsia="宋体" w:cs="宋体"/>
                <w:kern w:val="0"/>
                <w:sz w:val="22"/>
                <w:vertAlign w:val="superscript"/>
                <w:lang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0421B84">
            <w:pPr>
              <w:widowControl/>
              <w:jc w:val="center"/>
              <w:textAlignment w:val="bottom"/>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3</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A94CE21">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台</w:t>
            </w:r>
          </w:p>
        </w:tc>
      </w:tr>
      <w:tr w14:paraId="1B12B9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6007520">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污水泵</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5D2E378">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50FPZ</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86D9EB0">
            <w:pPr>
              <w:widowControl/>
              <w:jc w:val="center"/>
              <w:textAlignment w:val="bottom"/>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1</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09F65BE">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台</w:t>
            </w:r>
          </w:p>
        </w:tc>
      </w:tr>
      <w:tr w14:paraId="130200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AEA88F3">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浓缩罐</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6DC8E8C">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（蓝色）10</w:t>
            </w:r>
            <w:r>
              <w:rPr>
                <w:rFonts w:hint="eastAsia" w:ascii="宋体" w:hAnsi="宋体" w:eastAsia="宋体" w:cs="宋体"/>
                <w:kern w:val="0"/>
                <w:sz w:val="22"/>
                <w:lang w:eastAsia="zh-CN" w:bidi="ar"/>
              </w:rPr>
              <w:t>m</w:t>
            </w:r>
            <w:r>
              <w:rPr>
                <w:rFonts w:hint="eastAsia" w:ascii="宋体" w:hAnsi="宋体" w:eastAsia="宋体" w:cs="宋体"/>
                <w:kern w:val="0"/>
                <w:sz w:val="22"/>
                <w:vertAlign w:val="superscript"/>
                <w:lang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0AD9C01">
            <w:pPr>
              <w:widowControl/>
              <w:jc w:val="center"/>
              <w:textAlignment w:val="bottom"/>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1</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DAE252D">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个</w:t>
            </w:r>
          </w:p>
        </w:tc>
      </w:tr>
      <w:tr w14:paraId="6D05E3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C19EE97">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回收罐</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CEC5387">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3</w:t>
            </w:r>
            <w:r>
              <w:rPr>
                <w:rFonts w:hint="eastAsia" w:ascii="宋体" w:hAnsi="宋体" w:eastAsia="宋体" w:cs="宋体"/>
                <w:kern w:val="0"/>
                <w:sz w:val="22"/>
                <w:lang w:eastAsia="zh-CN" w:bidi="ar"/>
              </w:rPr>
              <w:t>m</w:t>
            </w:r>
            <w:r>
              <w:rPr>
                <w:rFonts w:hint="eastAsia" w:ascii="宋体" w:hAnsi="宋体" w:eastAsia="宋体" w:cs="宋体"/>
                <w:kern w:val="0"/>
                <w:sz w:val="22"/>
                <w:vertAlign w:val="superscript"/>
                <w:lang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B7DE386">
            <w:pPr>
              <w:widowControl/>
              <w:jc w:val="center"/>
              <w:textAlignment w:val="bottom"/>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2</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7162D27">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个</w:t>
            </w:r>
          </w:p>
        </w:tc>
      </w:tr>
      <w:tr w14:paraId="1972D9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AF8DDEC">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冷凝器</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1B04027">
            <w:pPr>
              <w:jc w:val="center"/>
              <w:rPr>
                <w:rFonts w:hint="eastAsia" w:ascii="宋体" w:hAnsi="宋体" w:eastAsia="宋体" w:cs="宋体"/>
                <w:kern w:val="2"/>
                <w:sz w:val="22"/>
                <w:szCs w:val="22"/>
                <w:lang w:val="en-US" w:eastAsia="zh-CN" w:bidi="ar-SA"/>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28A63BA">
            <w:pPr>
              <w:widowControl/>
              <w:jc w:val="center"/>
              <w:textAlignment w:val="bottom"/>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2</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EE47A97">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个</w:t>
            </w:r>
          </w:p>
        </w:tc>
      </w:tr>
      <w:tr w14:paraId="3A685B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4796E38">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不绣钢立式管道泵</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E1C8892">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IHG100-160A</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067A7CA">
            <w:pPr>
              <w:widowControl/>
              <w:jc w:val="center"/>
              <w:textAlignment w:val="bottom"/>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1</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13078DE">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套</w:t>
            </w:r>
          </w:p>
        </w:tc>
      </w:tr>
      <w:tr w14:paraId="3D14F6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64C2F12">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三晶变频器</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28445BA">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8000B-30KW</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BE8426B">
            <w:pPr>
              <w:widowControl/>
              <w:jc w:val="center"/>
              <w:textAlignment w:val="bottom"/>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2</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6E7F07F">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台</w:t>
            </w:r>
          </w:p>
        </w:tc>
      </w:tr>
      <w:tr w14:paraId="199F23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2772D7C">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搅拌机</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B670D75">
            <w:pPr>
              <w:jc w:val="center"/>
              <w:rPr>
                <w:rFonts w:hint="eastAsia" w:ascii="宋体" w:hAnsi="宋体" w:eastAsia="宋体" w:cs="宋体"/>
                <w:kern w:val="2"/>
                <w:sz w:val="22"/>
                <w:szCs w:val="22"/>
                <w:lang w:val="en-US" w:eastAsia="zh-CN" w:bidi="ar-SA"/>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EF3AB50">
            <w:pPr>
              <w:widowControl/>
              <w:jc w:val="center"/>
              <w:textAlignment w:val="bottom"/>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1</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0AA4F4E">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台</w:t>
            </w:r>
          </w:p>
        </w:tc>
      </w:tr>
      <w:tr w14:paraId="61C690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08DD408">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防爆小吊机</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DB9E8CC">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CXS050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9E55C86">
            <w:pPr>
              <w:widowControl/>
              <w:jc w:val="center"/>
              <w:textAlignment w:val="bottom"/>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1</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27586C6">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台</w:t>
            </w:r>
          </w:p>
        </w:tc>
      </w:tr>
      <w:tr w14:paraId="378DB4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3756BE2">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管道安装</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C0D4B59">
            <w:pPr>
              <w:jc w:val="center"/>
              <w:rPr>
                <w:rFonts w:hint="eastAsia" w:ascii="宋体" w:hAnsi="宋体" w:eastAsia="宋体" w:cs="宋体"/>
                <w:kern w:val="2"/>
                <w:sz w:val="22"/>
                <w:szCs w:val="22"/>
                <w:lang w:val="en-US" w:eastAsia="zh-CN" w:bidi="ar-SA"/>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D41DFE6">
            <w:pPr>
              <w:widowControl/>
              <w:jc w:val="center"/>
              <w:textAlignment w:val="bottom"/>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1</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51BCAF9">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台</w:t>
            </w:r>
          </w:p>
        </w:tc>
      </w:tr>
      <w:tr w14:paraId="080850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2ADE8C3">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三晶变频器</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277A365">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11RW</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E93A48E">
            <w:pPr>
              <w:widowControl/>
              <w:jc w:val="center"/>
              <w:textAlignment w:val="bottom"/>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2</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B898A4C">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台</w:t>
            </w:r>
          </w:p>
        </w:tc>
      </w:tr>
      <w:tr w14:paraId="687928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877748F">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减速电机</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8EC4E87">
            <w:pPr>
              <w:jc w:val="center"/>
              <w:rPr>
                <w:rFonts w:hint="eastAsia" w:ascii="宋体" w:hAnsi="宋体" w:eastAsia="宋体" w:cs="宋体"/>
                <w:kern w:val="2"/>
                <w:sz w:val="22"/>
                <w:szCs w:val="22"/>
                <w:lang w:val="en-US" w:eastAsia="zh-CN" w:bidi="ar-SA"/>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8C84754">
            <w:pPr>
              <w:widowControl/>
              <w:jc w:val="center"/>
              <w:textAlignment w:val="bottom"/>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1</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641E5DD">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套</w:t>
            </w:r>
          </w:p>
        </w:tc>
      </w:tr>
      <w:tr w14:paraId="648BD6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98D5702">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电机</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17A8F50">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YBBP-7.5/8</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74201F3">
            <w:pPr>
              <w:widowControl/>
              <w:jc w:val="center"/>
              <w:textAlignment w:val="bottom"/>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2</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948E6A6">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台</w:t>
            </w:r>
          </w:p>
        </w:tc>
      </w:tr>
      <w:tr w14:paraId="2E4774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7BC01C4">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化工泵</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CAC3124">
            <w:pPr>
              <w:jc w:val="center"/>
              <w:rPr>
                <w:rFonts w:hint="eastAsia" w:ascii="宋体" w:hAnsi="宋体" w:eastAsia="宋体" w:cs="宋体"/>
                <w:kern w:val="2"/>
                <w:sz w:val="22"/>
                <w:szCs w:val="22"/>
                <w:lang w:val="en-US" w:eastAsia="zh-CN" w:bidi="ar-SA"/>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606D67E">
            <w:pPr>
              <w:widowControl/>
              <w:jc w:val="center"/>
              <w:textAlignment w:val="bottom"/>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1</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8FFF5EE">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台</w:t>
            </w:r>
          </w:p>
        </w:tc>
      </w:tr>
      <w:tr w14:paraId="0815AD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F366D7C">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平板式离心机</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0441157">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PSB-1000型</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3D5AF1D">
            <w:pPr>
              <w:widowControl/>
              <w:jc w:val="center"/>
              <w:textAlignment w:val="bottom"/>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1</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DA5A24B">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台</w:t>
            </w:r>
          </w:p>
        </w:tc>
      </w:tr>
      <w:tr w14:paraId="4CC5BD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B011C87">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平板式离心机</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44AF675">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PSB-1000型</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C05F14B">
            <w:pPr>
              <w:widowControl/>
              <w:jc w:val="center"/>
              <w:textAlignment w:val="bottom"/>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1</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AF5A86F">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台</w:t>
            </w:r>
          </w:p>
        </w:tc>
      </w:tr>
      <w:tr w14:paraId="49CACD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3906BF7">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列管式蒸馏塔</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21BBBBF">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7AA639C">
            <w:pPr>
              <w:widowControl/>
              <w:jc w:val="center"/>
              <w:textAlignment w:val="bottom"/>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3</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AD4B7F3">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台</w:t>
            </w:r>
          </w:p>
        </w:tc>
      </w:tr>
      <w:tr w14:paraId="031609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E7593B6">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立式不锈钢管道泵</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FCFCE72">
            <w:pPr>
              <w:jc w:val="center"/>
              <w:rPr>
                <w:rFonts w:hint="eastAsia" w:ascii="宋体" w:hAnsi="宋体" w:eastAsia="宋体" w:cs="宋体"/>
                <w:kern w:val="2"/>
                <w:sz w:val="22"/>
                <w:szCs w:val="22"/>
                <w:lang w:val="en-US" w:eastAsia="zh-CN" w:bidi="ar-SA"/>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7816F5B">
            <w:pPr>
              <w:widowControl/>
              <w:jc w:val="center"/>
              <w:textAlignment w:val="bottom"/>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3</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06A36DE">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台</w:t>
            </w:r>
          </w:p>
        </w:tc>
      </w:tr>
      <w:tr w14:paraId="00F4BA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A4B93EB">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化工离心泵</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6034D77">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IH65-50-125</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2CBA1C5">
            <w:pPr>
              <w:widowControl/>
              <w:jc w:val="center"/>
              <w:textAlignment w:val="bottom"/>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11</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909CE13">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台</w:t>
            </w:r>
          </w:p>
        </w:tc>
      </w:tr>
      <w:tr w14:paraId="019183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93B1FF6">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化工离心泵</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00DC9FD">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IH100-80-125</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383AFB5">
            <w:pPr>
              <w:widowControl/>
              <w:jc w:val="center"/>
              <w:textAlignment w:val="bottom"/>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1</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C1662D8">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台</w:t>
            </w:r>
          </w:p>
        </w:tc>
      </w:tr>
      <w:tr w14:paraId="46376D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2D6DA19">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立式管道泵</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C14188B">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IRG80-160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617AFFA">
            <w:pPr>
              <w:widowControl/>
              <w:jc w:val="center"/>
              <w:textAlignment w:val="bottom"/>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2</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0B9CEC9">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台</w:t>
            </w:r>
          </w:p>
        </w:tc>
      </w:tr>
      <w:tr w14:paraId="29B165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8B13809">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真空泵（活塞式）</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756CB05">
            <w:pPr>
              <w:jc w:val="center"/>
              <w:rPr>
                <w:rFonts w:hint="eastAsia" w:ascii="宋体" w:hAnsi="宋体" w:eastAsia="宋体" w:cs="宋体"/>
                <w:kern w:val="2"/>
                <w:sz w:val="22"/>
                <w:szCs w:val="22"/>
                <w:lang w:val="en-US" w:eastAsia="zh-CN" w:bidi="ar-SA"/>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3A40400">
            <w:pPr>
              <w:widowControl/>
              <w:jc w:val="center"/>
              <w:textAlignment w:val="bottom"/>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1</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84AA97A">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台</w:t>
            </w:r>
          </w:p>
        </w:tc>
      </w:tr>
      <w:tr w14:paraId="484787D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D47C948">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列管式蒸馏塔</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D691A1D">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10m³</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F5AEB7A">
            <w:pPr>
              <w:widowControl/>
              <w:jc w:val="center"/>
              <w:textAlignment w:val="bottom"/>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2</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114C54C">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台</w:t>
            </w:r>
          </w:p>
        </w:tc>
      </w:tr>
      <w:tr w14:paraId="224920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325ADF0">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管道保温（TQ3车间）</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525AEF9">
            <w:pPr>
              <w:jc w:val="center"/>
              <w:rPr>
                <w:rFonts w:hint="eastAsia" w:ascii="宋体" w:hAnsi="宋体" w:eastAsia="宋体" w:cs="宋体"/>
                <w:kern w:val="2"/>
                <w:sz w:val="22"/>
                <w:szCs w:val="22"/>
                <w:lang w:val="en-US" w:eastAsia="zh-CN" w:bidi="ar-SA"/>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57A151D">
            <w:pPr>
              <w:widowControl/>
              <w:jc w:val="center"/>
              <w:textAlignment w:val="bottom"/>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1</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AD24B9A">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台</w:t>
            </w:r>
          </w:p>
        </w:tc>
      </w:tr>
      <w:tr w14:paraId="31A7F2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97D7E88">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立式不锈钢管道泵</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0114EE0">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IHG50-160(I)-4</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73F08D3">
            <w:pPr>
              <w:widowControl/>
              <w:jc w:val="center"/>
              <w:textAlignment w:val="bottom"/>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1</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6E26843">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台</w:t>
            </w:r>
          </w:p>
        </w:tc>
      </w:tr>
      <w:tr w14:paraId="617FC9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512E524">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管道离心泵（立式管道泵）</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46387E2">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IHGB100-100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E514C36">
            <w:pPr>
              <w:widowControl/>
              <w:jc w:val="center"/>
              <w:textAlignment w:val="bottom"/>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1</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84C5E84">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台</w:t>
            </w:r>
          </w:p>
        </w:tc>
      </w:tr>
      <w:tr w14:paraId="466339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E5CF27A">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螺旋板式换热器</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ED18388">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15㎡</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8561AD4">
            <w:pPr>
              <w:widowControl/>
              <w:jc w:val="center"/>
              <w:textAlignment w:val="bottom"/>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1</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F163216">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台</w:t>
            </w:r>
          </w:p>
        </w:tc>
      </w:tr>
      <w:tr w14:paraId="0B996A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E492BBE">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搪瓷锚式搅拌</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11FBDE3">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5000L</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1287DCD">
            <w:pPr>
              <w:widowControl/>
              <w:jc w:val="center"/>
              <w:textAlignment w:val="bottom"/>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1</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93E2CF9">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根</w:t>
            </w:r>
          </w:p>
        </w:tc>
      </w:tr>
      <w:tr w14:paraId="24CB77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B82EDAA">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摆线针减速机</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2A41796">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BLB13-17-7.5KW</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D343F54">
            <w:pPr>
              <w:widowControl/>
              <w:jc w:val="center"/>
              <w:textAlignment w:val="bottom"/>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1</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E0BB242">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台</w:t>
            </w:r>
          </w:p>
        </w:tc>
      </w:tr>
      <w:tr w14:paraId="7E689D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C05505D">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变频器</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FAEB616">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18.5KW</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2D85955">
            <w:pPr>
              <w:widowControl/>
              <w:jc w:val="center"/>
              <w:textAlignment w:val="bottom"/>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1</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EDD9BF6">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台</w:t>
            </w:r>
          </w:p>
        </w:tc>
      </w:tr>
      <w:tr w14:paraId="53393C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8965D25">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搪玻璃反应釜</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10641FB">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3000L</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A6E26F1">
            <w:pPr>
              <w:widowControl/>
              <w:jc w:val="center"/>
              <w:textAlignment w:val="bottom"/>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1</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D06B33D">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台</w:t>
            </w:r>
          </w:p>
        </w:tc>
      </w:tr>
      <w:tr w14:paraId="597400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jc w:val="center"/>
        </w:trPr>
        <w:tc>
          <w:tcPr>
            <w:tcW w:w="8522"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462186">
            <w:pPr>
              <w:keepNext w:val="0"/>
              <w:keepLines w:val="0"/>
              <w:widowControl/>
              <w:suppressLineNumbers w:val="0"/>
              <w:jc w:val="center"/>
              <w:textAlignment w:val="center"/>
              <w:rPr>
                <w:rFonts w:hint="default" w:ascii="宋体" w:hAnsi="宋体" w:eastAsia="宋体" w:cs="宋体"/>
                <w:b/>
                <w:bCs/>
                <w:i w:val="0"/>
                <w:iCs w:val="0"/>
                <w:color w:val="auto"/>
                <w:kern w:val="0"/>
                <w:sz w:val="22"/>
                <w:szCs w:val="22"/>
                <w:u w:val="none"/>
                <w:lang w:val="en-US" w:eastAsia="zh-CN" w:bidi="ar"/>
              </w:rPr>
            </w:pPr>
            <w:r>
              <w:rPr>
                <w:rFonts w:hint="eastAsia" w:ascii="宋体" w:hAnsi="宋体" w:eastAsia="宋体" w:cs="宋体"/>
                <w:b/>
                <w:bCs/>
                <w:i w:val="0"/>
                <w:iCs w:val="0"/>
                <w:color w:val="auto"/>
                <w:kern w:val="0"/>
                <w:sz w:val="22"/>
                <w:szCs w:val="22"/>
                <w:u w:val="none"/>
                <w:lang w:val="en-US" w:eastAsia="zh-CN" w:bidi="ar"/>
              </w:rPr>
              <w:t>提取5车间</w:t>
            </w:r>
          </w:p>
        </w:tc>
      </w:tr>
      <w:tr w14:paraId="58BCC7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95009AF">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气动隔膜泵</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53334D8">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QBY-50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258FDD5">
            <w:pPr>
              <w:widowControl/>
              <w:jc w:val="center"/>
              <w:textAlignment w:val="bottom"/>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7</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E1F39E8">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台</w:t>
            </w:r>
          </w:p>
        </w:tc>
      </w:tr>
      <w:tr w14:paraId="04B904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5609E06">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减速机</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632FEB1">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BLD14-17-7.5</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A4944BD">
            <w:pPr>
              <w:widowControl/>
              <w:jc w:val="center"/>
              <w:textAlignment w:val="bottom"/>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1</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BB91764">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台</w:t>
            </w:r>
          </w:p>
        </w:tc>
      </w:tr>
      <w:tr w14:paraId="790660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B8A3957">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抽滤槽</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31A0C6D">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750L</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9A1299A">
            <w:pPr>
              <w:widowControl/>
              <w:jc w:val="center"/>
              <w:textAlignment w:val="bottom"/>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1</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4A7A6A4">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台</w:t>
            </w:r>
          </w:p>
        </w:tc>
      </w:tr>
      <w:tr w14:paraId="4E0B76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FCE9054">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抽滤槽</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3A647F8">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750L</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12B10E6">
            <w:pPr>
              <w:widowControl/>
              <w:jc w:val="center"/>
              <w:textAlignment w:val="bottom"/>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1</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238265D">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台</w:t>
            </w:r>
          </w:p>
        </w:tc>
      </w:tr>
      <w:tr w14:paraId="667856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CF369EC">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管道离心泵（立式管道泵）</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66527A2">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IHGB100-100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7EC0A9F">
            <w:pPr>
              <w:widowControl/>
              <w:jc w:val="center"/>
              <w:textAlignment w:val="bottom"/>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1</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C4B30B4">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台</w:t>
            </w:r>
          </w:p>
        </w:tc>
      </w:tr>
      <w:tr w14:paraId="2AF7E2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E2C4164">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分水罐</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4350B55">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38</w:t>
            </w:r>
            <w:r>
              <w:rPr>
                <w:rFonts w:hint="eastAsia" w:ascii="宋体" w:hAnsi="宋体" w:eastAsia="宋体" w:cs="宋体"/>
                <w:kern w:val="0"/>
                <w:sz w:val="22"/>
                <w:lang w:eastAsia="zh-CN" w:bidi="ar"/>
              </w:rPr>
              <w:t>m</w:t>
            </w:r>
            <w:r>
              <w:rPr>
                <w:rFonts w:hint="eastAsia" w:ascii="宋体" w:hAnsi="宋体" w:eastAsia="宋体" w:cs="宋体"/>
                <w:kern w:val="0"/>
                <w:sz w:val="22"/>
                <w:vertAlign w:val="superscript"/>
                <w:lang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57BC859">
            <w:pPr>
              <w:widowControl/>
              <w:jc w:val="center"/>
              <w:textAlignment w:val="bottom"/>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2</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3FC9857">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个</w:t>
            </w:r>
          </w:p>
        </w:tc>
      </w:tr>
      <w:tr w14:paraId="1CB914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34A691D">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转料泵</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E5EA41A">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100-65-200A</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1A69014">
            <w:pPr>
              <w:widowControl/>
              <w:jc w:val="center"/>
              <w:textAlignment w:val="bottom"/>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1</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31415EC">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台</w:t>
            </w:r>
          </w:p>
        </w:tc>
      </w:tr>
      <w:tr w14:paraId="628107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5C61D5F">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反应釜</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57F2C64">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5000L</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910036B">
            <w:pPr>
              <w:widowControl/>
              <w:jc w:val="center"/>
              <w:textAlignment w:val="bottom"/>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2</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BDF8B4B">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个</w:t>
            </w:r>
          </w:p>
        </w:tc>
      </w:tr>
      <w:tr w14:paraId="7C3FD1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C249AEB">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反应釜</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AFF43AB">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5</w:t>
            </w:r>
            <w:r>
              <w:rPr>
                <w:rFonts w:hint="eastAsia" w:ascii="宋体" w:hAnsi="宋体" w:eastAsia="宋体" w:cs="宋体"/>
                <w:kern w:val="0"/>
                <w:sz w:val="22"/>
                <w:lang w:eastAsia="zh-CN" w:bidi="ar"/>
              </w:rPr>
              <w:t>m</w:t>
            </w:r>
            <w:r>
              <w:rPr>
                <w:rFonts w:hint="eastAsia" w:ascii="宋体" w:hAnsi="宋体" w:eastAsia="宋体" w:cs="宋体"/>
                <w:kern w:val="0"/>
                <w:sz w:val="22"/>
                <w:vertAlign w:val="superscript"/>
                <w:lang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28BEE5E">
            <w:pPr>
              <w:widowControl/>
              <w:jc w:val="center"/>
              <w:textAlignment w:val="bottom"/>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2</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A2CFF15">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个</w:t>
            </w:r>
          </w:p>
        </w:tc>
      </w:tr>
      <w:tr w14:paraId="341C4B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EA6BCDC">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反应釜</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0B166F2">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K3000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0B1532D">
            <w:pPr>
              <w:widowControl/>
              <w:jc w:val="center"/>
              <w:textAlignment w:val="bottom"/>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1</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CB00477">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个</w:t>
            </w:r>
          </w:p>
        </w:tc>
      </w:tr>
      <w:tr w14:paraId="59D395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8933FE2">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反应釜</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396CFAA">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3000L</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DAB0B9F">
            <w:pPr>
              <w:widowControl/>
              <w:jc w:val="center"/>
              <w:textAlignment w:val="bottom"/>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1</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D801410">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个</w:t>
            </w:r>
          </w:p>
        </w:tc>
      </w:tr>
      <w:tr w14:paraId="6F8193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1DED7A3">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反应釜</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DDDAC64">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F110 3</w:t>
            </w:r>
            <w:r>
              <w:rPr>
                <w:rFonts w:hint="eastAsia" w:ascii="宋体" w:hAnsi="宋体" w:eastAsia="宋体" w:cs="宋体"/>
                <w:kern w:val="0"/>
                <w:sz w:val="22"/>
                <w:lang w:eastAsia="zh-CN" w:bidi="ar"/>
              </w:rPr>
              <w:t>m</w:t>
            </w:r>
            <w:r>
              <w:rPr>
                <w:rFonts w:hint="eastAsia" w:ascii="宋体" w:hAnsi="宋体" w:eastAsia="宋体" w:cs="宋体"/>
                <w:kern w:val="0"/>
                <w:sz w:val="22"/>
                <w:vertAlign w:val="superscript"/>
                <w:lang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B80454B">
            <w:pPr>
              <w:widowControl/>
              <w:jc w:val="center"/>
              <w:textAlignment w:val="bottom"/>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1</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D68A528">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个</w:t>
            </w:r>
          </w:p>
        </w:tc>
      </w:tr>
      <w:tr w14:paraId="294537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C00111D">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反应釜</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2716C21">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2000L</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77CA9EF">
            <w:pPr>
              <w:widowControl/>
              <w:jc w:val="center"/>
              <w:textAlignment w:val="bottom"/>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3</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4A0FD40">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个</w:t>
            </w:r>
          </w:p>
        </w:tc>
      </w:tr>
      <w:tr w14:paraId="697FE6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7BF7886">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浓缩罐</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6C872D2">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10</w:t>
            </w:r>
            <w:r>
              <w:rPr>
                <w:rFonts w:hint="eastAsia" w:ascii="宋体" w:hAnsi="宋体" w:eastAsia="宋体" w:cs="宋体"/>
                <w:kern w:val="0"/>
                <w:sz w:val="22"/>
                <w:lang w:eastAsia="zh-CN" w:bidi="ar"/>
              </w:rPr>
              <w:t>m</w:t>
            </w:r>
            <w:r>
              <w:rPr>
                <w:rFonts w:hint="eastAsia" w:ascii="宋体" w:hAnsi="宋体" w:eastAsia="宋体" w:cs="宋体"/>
                <w:kern w:val="0"/>
                <w:sz w:val="22"/>
                <w:vertAlign w:val="superscript"/>
                <w:lang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E9A5016">
            <w:pPr>
              <w:widowControl/>
              <w:jc w:val="center"/>
              <w:textAlignment w:val="bottom"/>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1</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46A97F0">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个</w:t>
            </w:r>
          </w:p>
        </w:tc>
      </w:tr>
      <w:tr w14:paraId="20944A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10BC3CF">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萃取中转罐</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C5F0343">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10</w:t>
            </w:r>
            <w:r>
              <w:rPr>
                <w:rFonts w:hint="eastAsia" w:ascii="宋体" w:hAnsi="宋体" w:eastAsia="宋体" w:cs="宋体"/>
                <w:kern w:val="0"/>
                <w:sz w:val="22"/>
                <w:lang w:eastAsia="zh-CN" w:bidi="ar"/>
              </w:rPr>
              <w:t>m</w:t>
            </w:r>
            <w:r>
              <w:rPr>
                <w:rFonts w:hint="eastAsia" w:ascii="宋体" w:hAnsi="宋体" w:eastAsia="宋体" w:cs="宋体"/>
                <w:kern w:val="0"/>
                <w:sz w:val="22"/>
                <w:vertAlign w:val="superscript"/>
                <w:lang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D1671B1">
            <w:pPr>
              <w:widowControl/>
              <w:jc w:val="center"/>
              <w:textAlignment w:val="bottom"/>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1</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348076F">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个</w:t>
            </w:r>
          </w:p>
        </w:tc>
      </w:tr>
      <w:tr w14:paraId="257978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D2BF951">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储料罐</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1B9F73D">
            <w:pPr>
              <w:jc w:val="center"/>
              <w:rPr>
                <w:rFonts w:hint="eastAsia" w:ascii="宋体" w:hAnsi="宋体" w:eastAsia="宋体" w:cs="宋体"/>
                <w:kern w:val="2"/>
                <w:sz w:val="22"/>
                <w:szCs w:val="22"/>
                <w:lang w:val="en-US" w:eastAsia="zh-CN" w:bidi="ar-SA"/>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5996CEE">
            <w:pPr>
              <w:widowControl/>
              <w:jc w:val="center"/>
              <w:textAlignment w:val="bottom"/>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1</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9D7DE85">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台</w:t>
            </w:r>
          </w:p>
        </w:tc>
      </w:tr>
      <w:tr w14:paraId="489816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737872E">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过滤器</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F2F4CFE">
            <w:pPr>
              <w:jc w:val="center"/>
              <w:rPr>
                <w:rFonts w:hint="eastAsia" w:ascii="宋体" w:hAnsi="宋体" w:eastAsia="宋体" w:cs="宋体"/>
                <w:kern w:val="2"/>
                <w:sz w:val="22"/>
                <w:szCs w:val="22"/>
                <w:lang w:val="en-US" w:eastAsia="zh-CN" w:bidi="ar-SA"/>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4979D51">
            <w:pPr>
              <w:widowControl/>
              <w:jc w:val="center"/>
              <w:textAlignment w:val="bottom"/>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1</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94688B2">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台</w:t>
            </w:r>
          </w:p>
        </w:tc>
      </w:tr>
      <w:tr w14:paraId="124E08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935612D">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过滤器</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405025A">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0.5</w:t>
            </w:r>
            <w:r>
              <w:rPr>
                <w:rFonts w:hint="eastAsia" w:ascii="宋体" w:hAnsi="宋体" w:eastAsia="宋体" w:cs="宋体"/>
                <w:kern w:val="0"/>
                <w:sz w:val="22"/>
                <w:lang w:eastAsia="zh-CN" w:bidi="ar"/>
              </w:rPr>
              <w:t>m</w:t>
            </w:r>
            <w:r>
              <w:rPr>
                <w:rFonts w:hint="eastAsia" w:ascii="宋体" w:hAnsi="宋体" w:eastAsia="宋体" w:cs="宋体"/>
                <w:kern w:val="0"/>
                <w:sz w:val="22"/>
                <w:vertAlign w:val="superscript"/>
                <w:lang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4494604">
            <w:pPr>
              <w:widowControl/>
              <w:jc w:val="center"/>
              <w:textAlignment w:val="bottom"/>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2</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FB9BAC9">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台</w:t>
            </w:r>
          </w:p>
        </w:tc>
      </w:tr>
      <w:tr w14:paraId="17833B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B234609">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过滤器</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C154830">
            <w:pPr>
              <w:jc w:val="center"/>
              <w:rPr>
                <w:rFonts w:hint="eastAsia" w:ascii="宋体" w:hAnsi="宋体" w:eastAsia="宋体" w:cs="宋体"/>
                <w:kern w:val="2"/>
                <w:sz w:val="22"/>
                <w:szCs w:val="22"/>
                <w:lang w:val="en-US" w:eastAsia="zh-CN" w:bidi="ar-SA"/>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AC2F96C">
            <w:pPr>
              <w:widowControl/>
              <w:jc w:val="center"/>
              <w:textAlignment w:val="bottom"/>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4</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C08C148">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台</w:t>
            </w:r>
          </w:p>
        </w:tc>
      </w:tr>
      <w:tr w14:paraId="327D22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42189A4">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盐水罐</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9A80835">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30</w:t>
            </w:r>
            <w:r>
              <w:rPr>
                <w:rFonts w:hint="eastAsia" w:ascii="宋体" w:hAnsi="宋体" w:eastAsia="宋体" w:cs="宋体"/>
                <w:kern w:val="0"/>
                <w:sz w:val="22"/>
                <w:lang w:eastAsia="zh-CN" w:bidi="ar"/>
              </w:rPr>
              <w:t>m</w:t>
            </w:r>
            <w:r>
              <w:rPr>
                <w:rFonts w:hint="eastAsia" w:ascii="宋体" w:hAnsi="宋体" w:eastAsia="宋体" w:cs="宋体"/>
                <w:kern w:val="0"/>
                <w:sz w:val="22"/>
                <w:vertAlign w:val="superscript"/>
                <w:lang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6C97B77">
            <w:pPr>
              <w:widowControl/>
              <w:jc w:val="center"/>
              <w:textAlignment w:val="bottom"/>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1</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6C38EB0">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台</w:t>
            </w:r>
          </w:p>
        </w:tc>
      </w:tr>
      <w:tr w14:paraId="639460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EA15C95">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2#油回收罐</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5076298">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10</w:t>
            </w:r>
            <w:r>
              <w:rPr>
                <w:rFonts w:hint="eastAsia" w:ascii="宋体" w:hAnsi="宋体" w:eastAsia="宋体" w:cs="宋体"/>
                <w:kern w:val="0"/>
                <w:sz w:val="22"/>
                <w:lang w:eastAsia="zh-CN" w:bidi="ar"/>
              </w:rPr>
              <w:t>m</w:t>
            </w:r>
            <w:r>
              <w:rPr>
                <w:rFonts w:hint="eastAsia" w:ascii="宋体" w:hAnsi="宋体" w:eastAsia="宋体" w:cs="宋体"/>
                <w:kern w:val="0"/>
                <w:sz w:val="22"/>
                <w:vertAlign w:val="superscript"/>
                <w:lang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A7AE736">
            <w:pPr>
              <w:widowControl/>
              <w:jc w:val="center"/>
              <w:textAlignment w:val="bottom"/>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1</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E31F9B2">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台</w:t>
            </w:r>
          </w:p>
        </w:tc>
      </w:tr>
      <w:tr w14:paraId="79BCAF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852C5BA">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无油、有油立式真空泵</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542CA12">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WLW-100AB</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AD1216C">
            <w:pPr>
              <w:widowControl/>
              <w:jc w:val="center"/>
              <w:textAlignment w:val="bottom"/>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2</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500883A">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台</w:t>
            </w:r>
          </w:p>
        </w:tc>
      </w:tr>
      <w:tr w14:paraId="06647E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2B64810">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真空储气罐</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8359A9F">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1m³</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C45E8B7">
            <w:pPr>
              <w:widowControl/>
              <w:jc w:val="center"/>
              <w:textAlignment w:val="bottom"/>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5</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5CBC2FA">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台</w:t>
            </w:r>
          </w:p>
        </w:tc>
      </w:tr>
      <w:tr w14:paraId="7BEB6F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13D86BC">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冷凝器</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A89C7C8">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（支架）10㎡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14F6DEC">
            <w:pPr>
              <w:widowControl/>
              <w:jc w:val="center"/>
              <w:textAlignment w:val="bottom"/>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2</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54228EA">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台</w:t>
            </w:r>
          </w:p>
        </w:tc>
      </w:tr>
      <w:tr w14:paraId="4B8125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477DC00">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溶剂回收罐</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E326586">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106# 1</w:t>
            </w:r>
            <w:r>
              <w:rPr>
                <w:rFonts w:hint="eastAsia" w:ascii="宋体" w:hAnsi="宋体" w:eastAsia="宋体" w:cs="宋体"/>
                <w:kern w:val="0"/>
                <w:sz w:val="22"/>
                <w:lang w:eastAsia="zh-CN" w:bidi="ar"/>
              </w:rPr>
              <w:t>m</w:t>
            </w:r>
            <w:r>
              <w:rPr>
                <w:rFonts w:hint="eastAsia" w:ascii="宋体" w:hAnsi="宋体" w:eastAsia="宋体" w:cs="宋体"/>
                <w:kern w:val="0"/>
                <w:sz w:val="22"/>
                <w:vertAlign w:val="superscript"/>
                <w:lang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B04466C">
            <w:pPr>
              <w:widowControl/>
              <w:jc w:val="center"/>
              <w:textAlignment w:val="bottom"/>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1</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6D4DE3C">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台</w:t>
            </w:r>
          </w:p>
        </w:tc>
      </w:tr>
      <w:tr w14:paraId="4CA567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B898324">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溶剂回收罐</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8A2A261">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105# 1</w:t>
            </w:r>
            <w:r>
              <w:rPr>
                <w:rFonts w:hint="eastAsia" w:ascii="宋体" w:hAnsi="宋体" w:eastAsia="宋体" w:cs="宋体"/>
                <w:kern w:val="0"/>
                <w:sz w:val="22"/>
                <w:lang w:eastAsia="zh-CN" w:bidi="ar"/>
              </w:rPr>
              <w:t>m</w:t>
            </w:r>
            <w:r>
              <w:rPr>
                <w:rFonts w:hint="eastAsia" w:ascii="宋体" w:hAnsi="宋体" w:eastAsia="宋体" w:cs="宋体"/>
                <w:kern w:val="0"/>
                <w:sz w:val="22"/>
                <w:vertAlign w:val="superscript"/>
                <w:lang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6206748">
            <w:pPr>
              <w:widowControl/>
              <w:jc w:val="center"/>
              <w:textAlignment w:val="bottom"/>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1</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26A5F05">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台</w:t>
            </w:r>
          </w:p>
        </w:tc>
      </w:tr>
      <w:tr w14:paraId="6D894D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53536AB">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溶剂回收罐</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BDDB9B3">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2</w:t>
            </w:r>
            <w:r>
              <w:rPr>
                <w:rFonts w:hint="eastAsia" w:ascii="宋体" w:hAnsi="宋体" w:eastAsia="宋体" w:cs="宋体"/>
                <w:kern w:val="0"/>
                <w:sz w:val="22"/>
                <w:lang w:eastAsia="zh-CN" w:bidi="ar"/>
              </w:rPr>
              <w:t>m</w:t>
            </w:r>
            <w:r>
              <w:rPr>
                <w:rFonts w:hint="eastAsia" w:ascii="宋体" w:hAnsi="宋体" w:eastAsia="宋体" w:cs="宋体"/>
                <w:kern w:val="0"/>
                <w:sz w:val="22"/>
                <w:vertAlign w:val="superscript"/>
                <w:lang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ABD3FFC">
            <w:pPr>
              <w:widowControl/>
              <w:jc w:val="center"/>
              <w:textAlignment w:val="bottom"/>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5</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7526A6F">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台</w:t>
            </w:r>
          </w:p>
        </w:tc>
      </w:tr>
      <w:tr w14:paraId="28358D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399FC4F">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溶剂回收罐</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6F5B3BC">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103# 2</w:t>
            </w:r>
            <w:r>
              <w:rPr>
                <w:rFonts w:hint="eastAsia" w:ascii="宋体" w:hAnsi="宋体" w:eastAsia="宋体" w:cs="宋体"/>
                <w:kern w:val="0"/>
                <w:sz w:val="22"/>
                <w:lang w:eastAsia="zh-CN" w:bidi="ar"/>
              </w:rPr>
              <w:t>m</w:t>
            </w:r>
            <w:r>
              <w:rPr>
                <w:rFonts w:hint="eastAsia" w:ascii="宋体" w:hAnsi="宋体" w:eastAsia="宋体" w:cs="宋体"/>
                <w:kern w:val="0"/>
                <w:sz w:val="22"/>
                <w:vertAlign w:val="superscript"/>
                <w:lang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0A0377A">
            <w:pPr>
              <w:widowControl/>
              <w:jc w:val="center"/>
              <w:textAlignment w:val="bottom"/>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1</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02DABF6">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台</w:t>
            </w:r>
          </w:p>
        </w:tc>
      </w:tr>
      <w:tr w14:paraId="58AE8B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BEE0594">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溶剂回收罐</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2821108">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107# 3</w:t>
            </w:r>
            <w:r>
              <w:rPr>
                <w:rFonts w:hint="eastAsia" w:ascii="宋体" w:hAnsi="宋体" w:eastAsia="宋体" w:cs="宋体"/>
                <w:kern w:val="0"/>
                <w:sz w:val="22"/>
                <w:lang w:eastAsia="zh-CN" w:bidi="ar"/>
              </w:rPr>
              <w:t>m</w:t>
            </w:r>
            <w:r>
              <w:rPr>
                <w:rFonts w:hint="eastAsia" w:ascii="宋体" w:hAnsi="宋体" w:eastAsia="宋体" w:cs="宋体"/>
                <w:kern w:val="0"/>
                <w:sz w:val="22"/>
                <w:vertAlign w:val="superscript"/>
                <w:lang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44E02D4">
            <w:pPr>
              <w:widowControl/>
              <w:jc w:val="center"/>
              <w:textAlignment w:val="bottom"/>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1</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7FCBC3D">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台</w:t>
            </w:r>
          </w:p>
        </w:tc>
      </w:tr>
      <w:tr w14:paraId="318594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7FE3D84">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溶剂回收罐</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8EDDC50">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10</w:t>
            </w:r>
            <w:r>
              <w:rPr>
                <w:rFonts w:hint="eastAsia" w:ascii="宋体" w:hAnsi="宋体" w:eastAsia="宋体" w:cs="宋体"/>
                <w:kern w:val="0"/>
                <w:sz w:val="22"/>
                <w:lang w:eastAsia="zh-CN" w:bidi="ar"/>
              </w:rPr>
              <w:t>m</w:t>
            </w:r>
            <w:r>
              <w:rPr>
                <w:rFonts w:hint="eastAsia" w:ascii="宋体" w:hAnsi="宋体" w:eastAsia="宋体" w:cs="宋体"/>
                <w:kern w:val="0"/>
                <w:sz w:val="22"/>
                <w:vertAlign w:val="superscript"/>
                <w:lang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4432C44">
            <w:pPr>
              <w:widowControl/>
              <w:jc w:val="center"/>
              <w:textAlignment w:val="bottom"/>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1</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C7C5CDF">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台</w:t>
            </w:r>
          </w:p>
        </w:tc>
      </w:tr>
      <w:tr w14:paraId="65347A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AEFF853">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溶剂回收罐</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147EB97">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10</w:t>
            </w:r>
            <w:r>
              <w:rPr>
                <w:rFonts w:hint="eastAsia" w:ascii="宋体" w:hAnsi="宋体" w:eastAsia="宋体" w:cs="宋体"/>
                <w:kern w:val="0"/>
                <w:sz w:val="22"/>
                <w:lang w:eastAsia="zh-CN" w:bidi="ar"/>
              </w:rPr>
              <w:t>m</w:t>
            </w:r>
            <w:r>
              <w:rPr>
                <w:rFonts w:hint="eastAsia" w:ascii="宋体" w:hAnsi="宋体" w:eastAsia="宋体" w:cs="宋体"/>
                <w:kern w:val="0"/>
                <w:sz w:val="22"/>
                <w:vertAlign w:val="superscript"/>
                <w:lang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6BE5F74">
            <w:pPr>
              <w:widowControl/>
              <w:jc w:val="center"/>
              <w:textAlignment w:val="bottom"/>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1</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1EF9ABA">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台</w:t>
            </w:r>
          </w:p>
        </w:tc>
      </w:tr>
      <w:tr w14:paraId="1A0D6D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40FE8F4">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溶剂回收罐</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17CA677">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5</w:t>
            </w:r>
            <w:r>
              <w:rPr>
                <w:rFonts w:hint="eastAsia" w:ascii="宋体" w:hAnsi="宋体" w:eastAsia="宋体" w:cs="宋体"/>
                <w:kern w:val="0"/>
                <w:sz w:val="22"/>
                <w:lang w:eastAsia="zh-CN" w:bidi="ar"/>
              </w:rPr>
              <w:t>m</w:t>
            </w:r>
            <w:r>
              <w:rPr>
                <w:rFonts w:hint="eastAsia" w:ascii="宋体" w:hAnsi="宋体" w:eastAsia="宋体" w:cs="宋体"/>
                <w:kern w:val="0"/>
                <w:sz w:val="22"/>
                <w:vertAlign w:val="superscript"/>
                <w:lang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211FF89">
            <w:pPr>
              <w:widowControl/>
              <w:jc w:val="center"/>
              <w:textAlignment w:val="bottom"/>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4</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736484B">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台</w:t>
            </w:r>
          </w:p>
        </w:tc>
      </w:tr>
      <w:tr w14:paraId="0B9F64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4563F4C">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分料罐</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0B3DECF">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15</w:t>
            </w:r>
            <w:r>
              <w:rPr>
                <w:rFonts w:hint="eastAsia" w:ascii="宋体" w:hAnsi="宋体" w:eastAsia="宋体" w:cs="宋体"/>
                <w:kern w:val="0"/>
                <w:sz w:val="22"/>
                <w:lang w:eastAsia="zh-CN" w:bidi="ar"/>
              </w:rPr>
              <w:t>m</w:t>
            </w:r>
            <w:r>
              <w:rPr>
                <w:rFonts w:hint="eastAsia" w:ascii="宋体" w:hAnsi="宋体" w:eastAsia="宋体" w:cs="宋体"/>
                <w:kern w:val="0"/>
                <w:sz w:val="22"/>
                <w:vertAlign w:val="superscript"/>
                <w:lang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A259C0D">
            <w:pPr>
              <w:widowControl/>
              <w:jc w:val="center"/>
              <w:textAlignment w:val="bottom"/>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1</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7A0DE2C">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台</w:t>
            </w:r>
          </w:p>
        </w:tc>
      </w:tr>
      <w:tr w14:paraId="54450F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FA8F11C">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螺旋板冷凝器（圆桶）</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3E735CA">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1C9499B">
            <w:pPr>
              <w:widowControl/>
              <w:jc w:val="center"/>
              <w:textAlignment w:val="bottom"/>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9</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2AAF7A1">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个</w:t>
            </w:r>
          </w:p>
        </w:tc>
      </w:tr>
      <w:tr w14:paraId="7A5CC8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9219B07">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螺旋板冷凝器（圆桶）</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FCAD1EA">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16㎡</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C92E52B">
            <w:pPr>
              <w:widowControl/>
              <w:jc w:val="center"/>
              <w:textAlignment w:val="bottom"/>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4</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E535C17">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个</w:t>
            </w:r>
          </w:p>
        </w:tc>
      </w:tr>
      <w:tr w14:paraId="3BBB33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FEEE650">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螺旋板冷凝器（圆桶）</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E1B6459">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43DD8E5">
            <w:pPr>
              <w:widowControl/>
              <w:jc w:val="center"/>
              <w:textAlignment w:val="bottom"/>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7</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B5E9A32">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个</w:t>
            </w:r>
          </w:p>
        </w:tc>
      </w:tr>
      <w:tr w14:paraId="68ED14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2AB2B5E">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旋转闪蒸干燥机</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AD5CCE6">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SXG-6</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082A7A7">
            <w:pPr>
              <w:widowControl/>
              <w:jc w:val="center"/>
              <w:textAlignment w:val="bottom"/>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1</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0702734">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套</w:t>
            </w:r>
          </w:p>
        </w:tc>
      </w:tr>
      <w:tr w14:paraId="3CEC4C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23768F9">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冰机电脑板</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4EFBEF4">
            <w:pPr>
              <w:jc w:val="center"/>
              <w:rPr>
                <w:rFonts w:hint="eastAsia" w:ascii="宋体" w:hAnsi="宋体" w:eastAsia="宋体" w:cs="宋体"/>
                <w:kern w:val="2"/>
                <w:sz w:val="22"/>
                <w:szCs w:val="22"/>
                <w:lang w:val="en-US" w:eastAsia="zh-CN" w:bidi="ar-SA"/>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6B3E1F4">
            <w:pPr>
              <w:widowControl/>
              <w:jc w:val="center"/>
              <w:textAlignment w:val="bottom"/>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1</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CFD3D0B">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个</w:t>
            </w:r>
          </w:p>
        </w:tc>
      </w:tr>
      <w:tr w14:paraId="3D67CD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53A05BF">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不锈钢管道泵</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2C135FC">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IHG80-160-7.5KW</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28F891F">
            <w:pPr>
              <w:widowControl/>
              <w:jc w:val="center"/>
              <w:textAlignment w:val="bottom"/>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1</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005E271">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套</w:t>
            </w:r>
          </w:p>
        </w:tc>
      </w:tr>
      <w:tr w14:paraId="531AA103">
        <w:tblPrEx>
          <w:shd w:val="clear" w:color="auto" w:fill="auto"/>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DF2BC6E">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螺杆(空压）机</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84693D1">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FB-15/0.8</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044FA8D">
            <w:pPr>
              <w:widowControl/>
              <w:jc w:val="center"/>
              <w:textAlignment w:val="bottom"/>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1</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E893F3E">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台</w:t>
            </w:r>
          </w:p>
        </w:tc>
      </w:tr>
      <w:tr w14:paraId="2D7147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B34390F">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储气罐</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43A79DF">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C-06/0.8</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CE736BF">
            <w:pPr>
              <w:widowControl/>
              <w:jc w:val="center"/>
              <w:textAlignment w:val="bottom"/>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1</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1BA1FF7">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个</w:t>
            </w:r>
          </w:p>
        </w:tc>
      </w:tr>
      <w:tr w14:paraId="4C17D3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2426B0E">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低温水冷螺杆式冷水机</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C531AB8">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KRS-275ml</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39B4547">
            <w:pPr>
              <w:widowControl/>
              <w:jc w:val="center"/>
              <w:textAlignment w:val="bottom"/>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1</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6422D83">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台</w:t>
            </w:r>
          </w:p>
        </w:tc>
      </w:tr>
      <w:tr w14:paraId="614F1E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51F2CA3">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圆形玻璃钢冷却塔</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8677545">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KL-200RT</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160B81A">
            <w:pPr>
              <w:widowControl/>
              <w:jc w:val="center"/>
              <w:textAlignment w:val="bottom"/>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1</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6094F63">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台</w:t>
            </w:r>
          </w:p>
        </w:tc>
      </w:tr>
      <w:tr w14:paraId="6401EA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4B8C02C">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冷却泵（立式管道）</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05AD63B">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IHG125-160(B) 15KW</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0FC9C36">
            <w:pPr>
              <w:widowControl/>
              <w:jc w:val="center"/>
              <w:textAlignment w:val="bottom"/>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1</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19CF379">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台</w:t>
            </w:r>
          </w:p>
        </w:tc>
      </w:tr>
      <w:tr w14:paraId="3A97FB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3ECEE9D">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冰水泵</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065C3D7">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DN125     11KW</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7FB60DB">
            <w:pPr>
              <w:widowControl/>
              <w:jc w:val="center"/>
              <w:textAlignment w:val="bottom"/>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1</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0485354">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台</w:t>
            </w:r>
          </w:p>
        </w:tc>
      </w:tr>
      <w:tr w14:paraId="762AD2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10BA9DB">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管道离心泵</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26AA386">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IHGB50-160-YB4kw</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D96A335">
            <w:pPr>
              <w:widowControl/>
              <w:jc w:val="center"/>
              <w:textAlignment w:val="bottom"/>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2</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E0B6C10">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台</w:t>
            </w:r>
          </w:p>
        </w:tc>
      </w:tr>
      <w:tr w14:paraId="4EE41E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9875B53">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水泵</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87798A5">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IHG150-125A</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1D1F2DC">
            <w:pPr>
              <w:widowControl/>
              <w:jc w:val="center"/>
              <w:textAlignment w:val="bottom"/>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1</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29E5C0F">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台</w:t>
            </w:r>
          </w:p>
        </w:tc>
      </w:tr>
      <w:tr w14:paraId="67FEF4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86A2EA0">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盐水缸</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85CDEC8">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56立方</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29CCFA7">
            <w:pPr>
              <w:widowControl/>
              <w:jc w:val="center"/>
              <w:textAlignment w:val="bottom"/>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1</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5F47118">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台</w:t>
            </w:r>
          </w:p>
        </w:tc>
      </w:tr>
      <w:tr w14:paraId="0E1170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F77150A">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干燥机</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67660DA">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DZG-1000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9A4A063">
            <w:pPr>
              <w:widowControl/>
              <w:jc w:val="center"/>
              <w:textAlignment w:val="bottom"/>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1</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B6E1557">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台</w:t>
            </w:r>
          </w:p>
        </w:tc>
      </w:tr>
      <w:tr w14:paraId="696788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D21C5FC">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高压喷雾泵</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136E0C6">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7.5KW</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3F97FEF">
            <w:pPr>
              <w:widowControl/>
              <w:jc w:val="center"/>
              <w:textAlignment w:val="bottom"/>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1</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6FA115C">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台</w:t>
            </w:r>
          </w:p>
        </w:tc>
      </w:tr>
      <w:tr w14:paraId="14711A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370A3A5">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螺杆空压机</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6998CF3">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37KW</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3823AC8">
            <w:pPr>
              <w:widowControl/>
              <w:jc w:val="center"/>
              <w:textAlignment w:val="bottom"/>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1</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30BDB4C">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台</w:t>
            </w:r>
          </w:p>
        </w:tc>
      </w:tr>
      <w:tr w14:paraId="2AC159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AD75F5C">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螺旋板式换热器</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4FAACB1">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0EB2276">
            <w:pPr>
              <w:widowControl/>
              <w:jc w:val="center"/>
              <w:textAlignment w:val="bottom"/>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5</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2ED7E9E">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台</w:t>
            </w:r>
          </w:p>
        </w:tc>
      </w:tr>
      <w:tr w14:paraId="4F44D9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jc w:val="center"/>
        </w:trPr>
        <w:tc>
          <w:tcPr>
            <w:tcW w:w="8522"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54E15B">
            <w:pPr>
              <w:keepNext w:val="0"/>
              <w:keepLines w:val="0"/>
              <w:widowControl/>
              <w:suppressLineNumbers w:val="0"/>
              <w:jc w:val="center"/>
              <w:textAlignment w:val="center"/>
              <w:rPr>
                <w:rFonts w:hint="default" w:ascii="宋体" w:hAnsi="宋体" w:eastAsia="宋体" w:cs="宋体"/>
                <w:b/>
                <w:bCs/>
                <w:i w:val="0"/>
                <w:iCs w:val="0"/>
                <w:color w:val="auto"/>
                <w:kern w:val="0"/>
                <w:sz w:val="22"/>
                <w:szCs w:val="22"/>
                <w:u w:val="none"/>
                <w:lang w:val="en-US" w:eastAsia="zh-CN" w:bidi="ar"/>
              </w:rPr>
            </w:pPr>
            <w:r>
              <w:rPr>
                <w:rFonts w:hint="eastAsia" w:ascii="宋体" w:hAnsi="宋体" w:eastAsia="宋体" w:cs="宋体"/>
                <w:b/>
                <w:bCs/>
                <w:i w:val="0"/>
                <w:iCs w:val="0"/>
                <w:color w:val="auto"/>
                <w:kern w:val="0"/>
                <w:sz w:val="22"/>
                <w:szCs w:val="22"/>
                <w:u w:val="none"/>
                <w:lang w:val="en-US" w:eastAsia="zh-CN" w:bidi="ar"/>
              </w:rPr>
              <w:t>提取1车间</w:t>
            </w:r>
          </w:p>
        </w:tc>
      </w:tr>
      <w:tr w14:paraId="18C70B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677923F">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不锈钢工具柜</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120B069">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900*430*900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021EACF">
            <w:pPr>
              <w:widowControl/>
              <w:jc w:val="center"/>
              <w:textAlignment w:val="bottom"/>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1</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E1E782C">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件</w:t>
            </w:r>
          </w:p>
        </w:tc>
      </w:tr>
      <w:tr w14:paraId="4AD570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7AB5A59">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聚丙烯压滤板</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CC8C928">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1000*1000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1A16908">
            <w:pPr>
              <w:widowControl/>
              <w:jc w:val="center"/>
              <w:textAlignment w:val="bottom"/>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5</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27FD0A4">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块</w:t>
            </w:r>
          </w:p>
        </w:tc>
      </w:tr>
      <w:tr w14:paraId="6B4E26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0F5752E">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减速机</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23628D8">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BLD14-17-7.5</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3A84A0A">
            <w:pPr>
              <w:widowControl/>
              <w:jc w:val="center"/>
              <w:textAlignment w:val="bottom"/>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2</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9BDB3D0">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台</w:t>
            </w:r>
          </w:p>
        </w:tc>
      </w:tr>
      <w:tr w14:paraId="5C356B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4B4728D">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环链电动葫芦</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A86F016">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HBD02-02</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F247577">
            <w:pPr>
              <w:widowControl/>
              <w:jc w:val="center"/>
              <w:textAlignment w:val="bottom"/>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1</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69C57AA">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台</w:t>
            </w:r>
          </w:p>
        </w:tc>
      </w:tr>
      <w:tr w14:paraId="28C88A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109314D">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聚丙烯压滤板</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6726844">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1000*1000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E53C5C2">
            <w:pPr>
              <w:widowControl/>
              <w:jc w:val="center"/>
              <w:textAlignment w:val="bottom"/>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13</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793E564">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块</w:t>
            </w:r>
          </w:p>
        </w:tc>
      </w:tr>
      <w:tr w14:paraId="6BDA5A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6040B7B">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电磁流量计</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2B60A29">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DJLD-DN65</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66B0B4B">
            <w:pPr>
              <w:widowControl/>
              <w:jc w:val="center"/>
              <w:textAlignment w:val="bottom"/>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1</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057F669">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台</w:t>
            </w:r>
          </w:p>
        </w:tc>
      </w:tr>
      <w:tr w14:paraId="63FB1D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79ED10B">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絮凝罐</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8CD0599">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50</w:t>
            </w:r>
            <w:r>
              <w:rPr>
                <w:rFonts w:hint="eastAsia" w:ascii="宋体" w:hAnsi="宋体" w:eastAsia="宋体" w:cs="宋体"/>
                <w:kern w:val="0"/>
                <w:sz w:val="22"/>
                <w:lang w:eastAsia="zh-CN" w:bidi="ar"/>
              </w:rPr>
              <w:t>m</w:t>
            </w:r>
            <w:r>
              <w:rPr>
                <w:rFonts w:hint="eastAsia" w:ascii="宋体" w:hAnsi="宋体" w:eastAsia="宋体" w:cs="宋体"/>
                <w:kern w:val="0"/>
                <w:sz w:val="22"/>
                <w:vertAlign w:val="superscript"/>
                <w:lang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D2DA442">
            <w:pPr>
              <w:widowControl/>
              <w:jc w:val="center"/>
              <w:textAlignment w:val="bottom"/>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2</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6550394">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台</w:t>
            </w:r>
          </w:p>
        </w:tc>
      </w:tr>
      <w:tr w14:paraId="108C53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934687A">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恒海洗涤机</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83B7E18">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XPG-150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FDED340">
            <w:pPr>
              <w:widowControl/>
              <w:jc w:val="center"/>
              <w:textAlignment w:val="bottom"/>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1</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380C8CE">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台</w:t>
            </w:r>
          </w:p>
        </w:tc>
      </w:tr>
      <w:tr w14:paraId="009C46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B75E574">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增强聚丙烯压滤机</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3349194">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X10AWG100/1000-UK 100</w:t>
            </w:r>
            <w:r>
              <w:rPr>
                <w:rFonts w:hint="eastAsia" w:ascii="宋体" w:hAnsi="宋体" w:eastAsia="宋体" w:cs="宋体"/>
                <w:kern w:val="0"/>
                <w:sz w:val="22"/>
                <w:lang w:eastAsia="zh-CN" w:bidi="ar"/>
              </w:rPr>
              <w:t>m</w:t>
            </w:r>
            <w:r>
              <w:rPr>
                <w:rFonts w:hint="eastAsia" w:ascii="宋体" w:hAnsi="宋体" w:eastAsia="宋体" w:cs="宋体"/>
                <w:kern w:val="0"/>
                <w:sz w:val="22"/>
                <w:vertAlign w:val="superscript"/>
                <w:lang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EC84202">
            <w:pPr>
              <w:widowControl/>
              <w:jc w:val="center"/>
              <w:textAlignment w:val="bottom"/>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2</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3B17F7E">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台</w:t>
            </w:r>
          </w:p>
        </w:tc>
      </w:tr>
      <w:tr w14:paraId="1D2482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D487F52">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料液储罐</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7639A40">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18</w:t>
            </w:r>
            <w:r>
              <w:rPr>
                <w:rFonts w:hint="eastAsia" w:ascii="宋体" w:hAnsi="宋体" w:eastAsia="宋体" w:cs="宋体"/>
                <w:kern w:val="0"/>
                <w:sz w:val="22"/>
                <w:lang w:eastAsia="zh-CN" w:bidi="ar"/>
              </w:rPr>
              <w:t>m</w:t>
            </w:r>
            <w:r>
              <w:rPr>
                <w:rFonts w:hint="eastAsia" w:ascii="宋体" w:hAnsi="宋体" w:eastAsia="宋体" w:cs="宋体"/>
                <w:kern w:val="0"/>
                <w:sz w:val="22"/>
                <w:vertAlign w:val="superscript"/>
                <w:lang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F9C754A">
            <w:pPr>
              <w:widowControl/>
              <w:jc w:val="center"/>
              <w:textAlignment w:val="bottom"/>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4</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FE88640">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台</w:t>
            </w:r>
          </w:p>
        </w:tc>
      </w:tr>
      <w:tr w14:paraId="76EC5E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B78AFFA">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料液储罐</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B77A4CB">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12</w:t>
            </w:r>
            <w:r>
              <w:rPr>
                <w:rFonts w:hint="eastAsia" w:ascii="宋体" w:hAnsi="宋体" w:eastAsia="宋体" w:cs="宋体"/>
                <w:kern w:val="0"/>
                <w:sz w:val="22"/>
                <w:lang w:eastAsia="zh-CN" w:bidi="ar"/>
              </w:rPr>
              <w:t>m</w:t>
            </w:r>
            <w:r>
              <w:rPr>
                <w:rFonts w:hint="eastAsia" w:ascii="宋体" w:hAnsi="宋体" w:eastAsia="宋体" w:cs="宋体"/>
                <w:kern w:val="0"/>
                <w:sz w:val="22"/>
                <w:vertAlign w:val="superscript"/>
                <w:lang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17E7FD5">
            <w:pPr>
              <w:widowControl/>
              <w:jc w:val="center"/>
              <w:textAlignment w:val="bottom"/>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4</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0D8DD53">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台</w:t>
            </w:r>
          </w:p>
        </w:tc>
      </w:tr>
      <w:tr w14:paraId="0DC913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B114272">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料液储罐</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23D7B46">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10</w:t>
            </w:r>
            <w:r>
              <w:rPr>
                <w:rFonts w:hint="eastAsia" w:ascii="宋体" w:hAnsi="宋体" w:eastAsia="宋体" w:cs="宋体"/>
                <w:kern w:val="0"/>
                <w:sz w:val="22"/>
                <w:lang w:eastAsia="zh-CN" w:bidi="ar"/>
              </w:rPr>
              <w:t>m</w:t>
            </w:r>
            <w:r>
              <w:rPr>
                <w:rFonts w:hint="eastAsia" w:ascii="宋体" w:hAnsi="宋体" w:eastAsia="宋体" w:cs="宋体"/>
                <w:kern w:val="0"/>
                <w:sz w:val="22"/>
                <w:vertAlign w:val="superscript"/>
                <w:lang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949ED56">
            <w:pPr>
              <w:widowControl/>
              <w:jc w:val="center"/>
              <w:textAlignment w:val="bottom"/>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1</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6B5C226">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台</w:t>
            </w:r>
          </w:p>
        </w:tc>
      </w:tr>
      <w:tr w14:paraId="2A958F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B89725B">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料液储罐</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27F8C7A">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12</w:t>
            </w:r>
            <w:r>
              <w:rPr>
                <w:rFonts w:hint="eastAsia" w:ascii="宋体" w:hAnsi="宋体" w:eastAsia="宋体" w:cs="宋体"/>
                <w:kern w:val="0"/>
                <w:sz w:val="22"/>
                <w:lang w:eastAsia="zh-CN" w:bidi="ar"/>
              </w:rPr>
              <w:t>m</w:t>
            </w:r>
            <w:r>
              <w:rPr>
                <w:rFonts w:hint="eastAsia" w:ascii="宋体" w:hAnsi="宋体" w:eastAsia="宋体" w:cs="宋体"/>
                <w:kern w:val="0"/>
                <w:sz w:val="22"/>
                <w:vertAlign w:val="superscript"/>
                <w:lang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22CBA40">
            <w:pPr>
              <w:widowControl/>
              <w:jc w:val="center"/>
              <w:textAlignment w:val="bottom"/>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1</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E107F04">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台</w:t>
            </w:r>
          </w:p>
        </w:tc>
      </w:tr>
      <w:tr w14:paraId="43161F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62704D7">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料液储罐</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0A31C75">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15</w:t>
            </w:r>
            <w:r>
              <w:rPr>
                <w:rFonts w:hint="eastAsia" w:ascii="宋体" w:hAnsi="宋体" w:eastAsia="宋体" w:cs="宋体"/>
                <w:kern w:val="0"/>
                <w:sz w:val="22"/>
                <w:lang w:eastAsia="zh-CN" w:bidi="ar"/>
              </w:rPr>
              <w:t>m</w:t>
            </w:r>
            <w:r>
              <w:rPr>
                <w:rFonts w:hint="eastAsia" w:ascii="宋体" w:hAnsi="宋体" w:eastAsia="宋体" w:cs="宋体"/>
                <w:kern w:val="0"/>
                <w:sz w:val="22"/>
                <w:vertAlign w:val="superscript"/>
                <w:lang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B34CDCA">
            <w:pPr>
              <w:widowControl/>
              <w:jc w:val="center"/>
              <w:textAlignment w:val="bottom"/>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1</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41DECD7">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台</w:t>
            </w:r>
          </w:p>
        </w:tc>
      </w:tr>
      <w:tr w14:paraId="64A971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81AECAF">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料液储罐</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6061E2C">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3</w:t>
            </w:r>
            <w:r>
              <w:rPr>
                <w:rFonts w:hint="eastAsia" w:ascii="宋体" w:hAnsi="宋体" w:eastAsia="宋体" w:cs="宋体"/>
                <w:kern w:val="0"/>
                <w:sz w:val="22"/>
                <w:lang w:eastAsia="zh-CN" w:bidi="ar"/>
              </w:rPr>
              <w:t>m</w:t>
            </w:r>
            <w:r>
              <w:rPr>
                <w:rFonts w:hint="eastAsia" w:ascii="宋体" w:hAnsi="宋体" w:eastAsia="宋体" w:cs="宋体"/>
                <w:kern w:val="0"/>
                <w:sz w:val="22"/>
                <w:vertAlign w:val="superscript"/>
                <w:lang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E77616C">
            <w:pPr>
              <w:widowControl/>
              <w:jc w:val="center"/>
              <w:textAlignment w:val="bottom"/>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1</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34A635E">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台</w:t>
            </w:r>
          </w:p>
        </w:tc>
      </w:tr>
      <w:tr w14:paraId="696550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7A00C76">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储气罐</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F8C9DAF">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1.0</w:t>
            </w:r>
            <w:r>
              <w:rPr>
                <w:rFonts w:hint="eastAsia" w:ascii="宋体" w:hAnsi="宋体" w:eastAsia="宋体" w:cs="宋体"/>
                <w:kern w:val="0"/>
                <w:sz w:val="22"/>
                <w:lang w:eastAsia="zh-CN" w:bidi="ar"/>
              </w:rPr>
              <w:t>m</w:t>
            </w:r>
            <w:r>
              <w:rPr>
                <w:rFonts w:hint="eastAsia" w:ascii="宋体" w:hAnsi="宋体" w:eastAsia="宋体" w:cs="宋体"/>
                <w:kern w:val="0"/>
                <w:sz w:val="22"/>
                <w:vertAlign w:val="superscript"/>
                <w:lang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98BB644">
            <w:pPr>
              <w:widowControl/>
              <w:jc w:val="center"/>
              <w:textAlignment w:val="bottom"/>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1</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6FCC6CB">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台</w:t>
            </w:r>
          </w:p>
        </w:tc>
      </w:tr>
      <w:tr w14:paraId="0651F7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12B7E99">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泵</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715B2E2">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100-65-200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2C7D633">
            <w:pPr>
              <w:widowControl/>
              <w:jc w:val="center"/>
              <w:textAlignment w:val="bottom"/>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1</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B4DEA77">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台</w:t>
            </w:r>
          </w:p>
        </w:tc>
      </w:tr>
      <w:tr w14:paraId="5ED57F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DD150A2">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不绣钢泵</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60172A4">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IH65-50-125</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D443E84">
            <w:pPr>
              <w:widowControl/>
              <w:jc w:val="center"/>
              <w:textAlignment w:val="bottom"/>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1</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78325BD">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个</w:t>
            </w:r>
          </w:p>
        </w:tc>
      </w:tr>
      <w:tr w14:paraId="789405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A671FFA">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电磁流量计</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1FF2FF5">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DN50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ED15256">
            <w:pPr>
              <w:widowControl/>
              <w:jc w:val="center"/>
              <w:textAlignment w:val="bottom"/>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1</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F030720">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台</w:t>
            </w:r>
          </w:p>
        </w:tc>
      </w:tr>
      <w:tr w14:paraId="296CAC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0B4E8EC">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陶瓷超滤膜</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7B63AFA">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FLD-UF-70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52B5DAB">
            <w:pPr>
              <w:widowControl/>
              <w:jc w:val="center"/>
              <w:textAlignment w:val="bottom"/>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1</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1A810D9">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台</w:t>
            </w:r>
          </w:p>
        </w:tc>
      </w:tr>
      <w:tr w14:paraId="5D0652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53EF685">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电磁流量计</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E9A164D">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DN50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4D45481">
            <w:pPr>
              <w:widowControl/>
              <w:jc w:val="center"/>
              <w:textAlignment w:val="bottom"/>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1</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44DC1E6">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台</w:t>
            </w:r>
          </w:p>
        </w:tc>
      </w:tr>
      <w:tr w14:paraId="632F3C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AC4F041">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不锈钢离心泵</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27B8BDF">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IH65-50-125</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D21B323">
            <w:pPr>
              <w:widowControl/>
              <w:jc w:val="center"/>
              <w:textAlignment w:val="bottom"/>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2</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520A9F4">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台</w:t>
            </w:r>
          </w:p>
        </w:tc>
      </w:tr>
      <w:tr w14:paraId="5CE210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3EBBB2B">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气动隔膜泵</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6610AE2">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QBY-50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CA007B2">
            <w:pPr>
              <w:widowControl/>
              <w:jc w:val="center"/>
              <w:textAlignment w:val="bottom"/>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1</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5969618">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台</w:t>
            </w:r>
          </w:p>
        </w:tc>
      </w:tr>
      <w:tr w14:paraId="66F9BF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9E5138F">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气动隔膜泵</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81257BB">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QBY-50</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86F098D">
            <w:pPr>
              <w:widowControl/>
              <w:jc w:val="center"/>
              <w:textAlignment w:val="bottom"/>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1</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2168B4C">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台</w:t>
            </w:r>
          </w:p>
        </w:tc>
      </w:tr>
      <w:tr w14:paraId="3CA7C7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055E62B">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控制柜</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75094DF">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XL</w:t>
            </w:r>
          </w:p>
        </w:tc>
        <w:tc>
          <w:tcPr>
            <w:tcW w:w="0" w:type="auto"/>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43F36BD">
            <w:pPr>
              <w:widowControl/>
              <w:jc w:val="center"/>
              <w:textAlignment w:val="bottom"/>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1</w:t>
            </w:r>
          </w:p>
        </w:tc>
        <w:tc>
          <w:tcPr>
            <w:tcW w:w="149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A4DC60D">
            <w:pPr>
              <w:widowControl/>
              <w:jc w:val="center"/>
              <w:textAlignment w:val="center"/>
              <w:rPr>
                <w:rFonts w:hint="eastAsia" w:ascii="宋体" w:hAnsi="宋体" w:eastAsia="宋体" w:cs="宋体"/>
                <w:kern w:val="2"/>
                <w:sz w:val="22"/>
                <w:szCs w:val="22"/>
                <w:lang w:val="en-US" w:eastAsia="zh-CN" w:bidi="ar-SA"/>
              </w:rPr>
            </w:pPr>
            <w:r>
              <w:rPr>
                <w:rFonts w:hint="eastAsia" w:ascii="宋体" w:hAnsi="宋体" w:eastAsia="宋体" w:cs="宋体"/>
                <w:kern w:val="0"/>
                <w:sz w:val="22"/>
                <w:lang w:bidi="ar"/>
              </w:rPr>
              <w:t>台</w:t>
            </w:r>
          </w:p>
        </w:tc>
      </w:tr>
    </w:tbl>
    <w:p w14:paraId="27037023">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对照《淘汰落后生产能力、工艺和产品的目录》《高耗能落后机电设备（产品）淘汰目录》，厂区内无落后生产设备。</w:t>
      </w:r>
    </w:p>
    <w:p w14:paraId="49F1BE97">
      <w:pPr>
        <w:pStyle w:val="4"/>
        <w:bidi w:val="0"/>
      </w:pPr>
      <w:r>
        <w:t>3.1.</w:t>
      </w:r>
      <w:r>
        <w:rPr>
          <w:rFonts w:hint="eastAsia"/>
        </w:rPr>
        <w:t>10现有工程工艺流程及产污环节</w:t>
      </w:r>
    </w:p>
    <w:p w14:paraId="5A297275">
      <w:pPr>
        <w:pStyle w:val="5"/>
        <w:bidi w:val="0"/>
        <w:rPr>
          <w:rFonts w:hint="eastAsia" w:eastAsia="宋体"/>
          <w:lang w:val="en-US" w:eastAsia="zh-CN"/>
        </w:rPr>
      </w:pPr>
      <w:bookmarkStart w:id="175" w:name="_Toc512062590"/>
      <w:bookmarkStart w:id="176" w:name="_Toc512576921"/>
      <w:r>
        <w:rPr>
          <w:rFonts w:hint="eastAsia"/>
        </w:rPr>
        <w:t>3.1.10.1</w:t>
      </w:r>
      <w:bookmarkEnd w:id="175"/>
      <w:bookmarkEnd w:id="176"/>
      <w:r>
        <w:rPr>
          <w:rFonts w:hint="eastAsia"/>
          <w:lang w:val="en-US" w:eastAsia="zh-CN"/>
        </w:rPr>
        <w:t>糖化酶</w:t>
      </w:r>
    </w:p>
    <w:p w14:paraId="4CAE6E55">
      <w:pPr>
        <w:widowControl/>
        <w:spacing w:line="360" w:lineRule="auto"/>
        <w:ind w:firstLine="480" w:firstLineChars="200"/>
        <w:jc w:val="left"/>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糖化酶生产工艺流程及产排污环节如下图所示。</w:t>
      </w:r>
    </w:p>
    <w:p w14:paraId="68B7FF76">
      <w:pPr>
        <w:widowControl/>
        <w:spacing w:line="360" w:lineRule="auto"/>
        <w:jc w:val="left"/>
        <w:rPr>
          <w:rFonts w:hint="eastAsia" w:ascii="Times New Roman" w:hAnsi="Times New Roman" w:eastAsia="宋体" w:cs="Times New Roman"/>
          <w:color w:val="FF0000"/>
          <w:sz w:val="24"/>
          <w:szCs w:val="24"/>
          <w:lang w:val="en-US" w:eastAsia="zh-CN"/>
        </w:rPr>
      </w:pPr>
      <w:r>
        <w:drawing>
          <wp:inline distT="0" distB="0" distL="114300" distR="114300">
            <wp:extent cx="5269230" cy="4805680"/>
            <wp:effectExtent l="0" t="0" r="7620" b="13970"/>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29"/>
                    <a:stretch>
                      <a:fillRect/>
                    </a:stretch>
                  </pic:blipFill>
                  <pic:spPr>
                    <a:xfrm>
                      <a:off x="0" y="0"/>
                      <a:ext cx="5269230" cy="4805680"/>
                    </a:xfrm>
                    <a:prstGeom prst="rect">
                      <a:avLst/>
                    </a:prstGeom>
                    <a:noFill/>
                    <a:ln>
                      <a:noFill/>
                    </a:ln>
                  </pic:spPr>
                </pic:pic>
              </a:graphicData>
            </a:graphic>
          </wp:inline>
        </w:drawing>
      </w:r>
    </w:p>
    <w:p w14:paraId="0481A3D4">
      <w:pPr>
        <w:pStyle w:val="6"/>
        <w:bidi w:val="0"/>
        <w:rPr>
          <w:rFonts w:hint="default"/>
          <w:lang w:val="en-US" w:eastAsia="zh-CN"/>
        </w:rPr>
      </w:pPr>
      <w:r>
        <w:rPr>
          <w:rFonts w:hint="eastAsia"/>
          <w:lang w:val="en-US" w:eastAsia="zh-CN"/>
        </w:rPr>
        <w:t>图3.1.10-1 糖化酶生产工艺及产污环节图</w:t>
      </w:r>
    </w:p>
    <w:p w14:paraId="3A333689">
      <w:pPr>
        <w:widowControl/>
        <w:spacing w:line="360" w:lineRule="auto"/>
        <w:ind w:firstLine="482" w:firstLineChars="200"/>
        <w:jc w:val="left"/>
        <w:rPr>
          <w:rFonts w:hint="default"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工艺描述</w:t>
      </w:r>
    </w:p>
    <w:p w14:paraId="03485B6A">
      <w:pPr>
        <w:widowControl/>
        <w:spacing w:line="360" w:lineRule="auto"/>
        <w:ind w:firstLine="480" w:firstLineChars="200"/>
        <w:jc w:val="left"/>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培养基：淀粉18%，豆饼粉4%，玉米浆2.5%。</w:t>
      </w:r>
    </w:p>
    <w:p w14:paraId="314E20DD">
      <w:pPr>
        <w:widowControl/>
        <w:spacing w:line="360" w:lineRule="auto"/>
        <w:ind w:firstLine="480" w:firstLineChars="200"/>
        <w:jc w:val="left"/>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三级发酵培养：菌种(48h)→一级种子罐(48h)→二级种子罐(24h)→发酵罐(150h)</w:t>
      </w:r>
    </w:p>
    <w:p w14:paraId="0B01AF9C">
      <w:pPr>
        <w:widowControl/>
        <w:spacing w:line="360" w:lineRule="auto"/>
        <w:ind w:firstLine="480" w:firstLineChars="200"/>
        <w:jc w:val="left"/>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培养条件：通风量0.5-0.8V/V/M 温度32+1℃ PH值4.0±0.1(液氨流加控制)。</w:t>
      </w:r>
    </w:p>
    <w:p w14:paraId="5CFA1ACD">
      <w:pPr>
        <w:widowControl/>
        <w:spacing w:line="360" w:lineRule="auto"/>
        <w:ind w:firstLine="480" w:firstLineChars="200"/>
        <w:jc w:val="left"/>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提取工艺：</w:t>
      </w:r>
    </w:p>
    <w:p w14:paraId="53EFB274">
      <w:pPr>
        <w:widowControl/>
        <w:spacing w:line="360" w:lineRule="auto"/>
        <w:ind w:firstLine="480" w:firstLineChars="200"/>
        <w:jc w:val="left"/>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液体酶：发酵液加入2%硅澡土，2%珍珠岩，用20%的稀硫酸调pH值3.5-4.0，絮凝1h后板框压滤，待清酶液通过超滤4-5倍，加入防腐剂、盐10%、苯甲酸钠3%、山梨酸钾1.5%，制得10万u/m1液体酶。压滤后的酶渣，经干燥，做固体酶的填充料</w:t>
      </w:r>
    </w:p>
    <w:p w14:paraId="6AE30F6A">
      <w:pPr>
        <w:widowControl/>
        <w:spacing w:line="360" w:lineRule="auto"/>
        <w:ind w:firstLine="480" w:firstLineChars="200"/>
        <w:jc w:val="left"/>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固体酶：发酵液经米糠吸附后，烘干(40℃+2℃)，粉碎(60目)，得10万u/g的酶粉。</w:t>
      </w:r>
    </w:p>
    <w:p w14:paraId="21732010">
      <w:pPr>
        <w:pStyle w:val="5"/>
        <w:bidi w:val="0"/>
        <w:spacing w:before="0" w:after="0" w:line="240" w:lineRule="auto"/>
      </w:pPr>
      <w:bookmarkStart w:id="177" w:name="_Toc512576928"/>
      <w:bookmarkStart w:id="178" w:name="_Toc512062596"/>
      <w:bookmarkStart w:id="179" w:name="_Toc512062597"/>
      <w:bookmarkStart w:id="180" w:name="_Toc512576930"/>
      <w:r>
        <w:rPr>
          <w:rFonts w:hint="eastAsia"/>
        </w:rPr>
        <w:t>3.1.10.</w:t>
      </w:r>
      <w:bookmarkEnd w:id="177"/>
      <w:bookmarkEnd w:id="178"/>
      <w:r>
        <w:rPr>
          <w:rFonts w:hint="eastAsia"/>
          <w:lang w:val="en-US" w:eastAsia="zh-CN"/>
        </w:rPr>
        <w:t>2</w:t>
      </w:r>
      <w:r>
        <w:rPr>
          <w:rFonts w:hint="eastAsia"/>
        </w:rPr>
        <w:t>泛酸钙饲料添加剂</w:t>
      </w:r>
    </w:p>
    <w:p w14:paraId="33A06546">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泛酸钙饲料添加剂生产工艺流程及产排污环节如下图所示。</w:t>
      </w:r>
    </w:p>
    <w:p w14:paraId="3E34045B">
      <w:pPr>
        <w:spacing w:line="360" w:lineRule="auto"/>
        <w:jc w:val="center"/>
      </w:pPr>
      <w:r>
        <w:drawing>
          <wp:inline distT="0" distB="0" distL="114300" distR="114300">
            <wp:extent cx="4679950" cy="5295900"/>
            <wp:effectExtent l="0" t="0" r="6350" b="0"/>
            <wp:docPr id="2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3"/>
                    <pic:cNvPicPr>
                      <a:picLocks noChangeAspect="1"/>
                    </pic:cNvPicPr>
                  </pic:nvPicPr>
                  <pic:blipFill>
                    <a:blip r:embed="rId30"/>
                    <a:stretch>
                      <a:fillRect/>
                    </a:stretch>
                  </pic:blipFill>
                  <pic:spPr>
                    <a:xfrm>
                      <a:off x="0" y="0"/>
                      <a:ext cx="4679950" cy="5295900"/>
                    </a:xfrm>
                    <a:prstGeom prst="rect">
                      <a:avLst/>
                    </a:prstGeom>
                    <a:noFill/>
                    <a:ln>
                      <a:noFill/>
                    </a:ln>
                  </pic:spPr>
                </pic:pic>
              </a:graphicData>
            </a:graphic>
          </wp:inline>
        </w:drawing>
      </w:r>
    </w:p>
    <w:p w14:paraId="7A8689A9">
      <w:pPr>
        <w:pStyle w:val="6"/>
        <w:bidi w:val="0"/>
        <w:rPr>
          <w:rFonts w:hint="eastAsia"/>
          <w:lang w:val="en-US" w:eastAsia="zh-CN"/>
        </w:rPr>
      </w:pPr>
      <w:r>
        <w:rPr>
          <w:rFonts w:hint="eastAsia"/>
          <w:lang w:val="en-US" w:eastAsia="zh-CN"/>
        </w:rPr>
        <w:t>图3.1.10-2 泛酸钙饲料添加剂生产工艺及产污环节图</w:t>
      </w:r>
    </w:p>
    <w:p w14:paraId="2B3878BB">
      <w:pPr>
        <w:spacing w:line="360" w:lineRule="auto"/>
        <w:ind w:firstLine="482" w:firstLineChars="200"/>
        <w:rPr>
          <w:rFonts w:hint="default"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工艺描述</w:t>
      </w:r>
    </w:p>
    <w:p w14:paraId="771009A8">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1</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rPr>
        <w:t>配料灭菌</w:t>
      </w:r>
    </w:p>
    <w:p w14:paraId="07CD4DBF">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菌种为外购，是大肠杆菌的一种，在公司内无菌室筛选、诱导，得此菌株，灭菌为三路蒸汽直接通入罐体中灭菌，蒸汽冷凝形成水进入物料，为保证菌体量采用三级发酵。按工艺通知，备好种子空罐，加水至工艺值，将葡萄糖、玉米浆等无机盐，搅拌混合后，开始灭菌，灭菌温度121-125℃，灭菌压力</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rPr>
        <w:t>0.1±0.01MPa灭菌时间30min</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rPr>
        <w:t>罐压力0.05+0.01MPa，灭后PH6.8-7.0，培养温度30℃+0.5℃，培养时间</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rPr>
        <w:t>10-15hr</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rPr>
        <w:t>种子罐原料为葡萄糖、玉米浆、硫酸铵、碳酸钙、消泡剂等，发酵罐加水至工艺值，灭菌时间一样，原料包括葡萄糖、玉米浆、丙氨酸、DL-泛酸内脂、消泡剂等，灭后PH6.7-6.9。</w:t>
      </w:r>
    </w:p>
    <w:p w14:paraId="7A1A9F91">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2</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rPr>
        <w:t>发酵</w:t>
      </w:r>
    </w:p>
    <w:p w14:paraId="036B2C91">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泛酸钙:种子罐移种至发酵罐后，发酵培养温度控制在38℃+0.5℃，整个发酵过程采用全自动控制技术和补料技术，发酵过程稳定，使发酵周期控制在50hr以内，发酵液放罐浓度达到100mg/m以上，发酵过程不断通入无菌气，保证菌株对溶氧的需求。</w:t>
      </w:r>
    </w:p>
    <w:p w14:paraId="03D1E928">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3</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rPr>
        <w:t>陶瓷膜过滤</w:t>
      </w:r>
    </w:p>
    <w:p w14:paraId="60D5AAA6">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发酵结束，为防止染菌发酵液升温至90℃保温30min 灭活，为保证陶瓷膜过滤通量发酵液降温至 40℃过陶瓷膜，经过过滤将菌体等杂质与发酵液分离，过滤完加水60吨</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rPr>
        <w:t>彻底洗出陶瓷膜及菌渣残留的产品</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rPr>
        <w:t>使菌渣液产品残留在1g</w:t>
      </w:r>
      <w:r>
        <w:rPr>
          <w:rFonts w:hint="eastAsia" w:ascii="Times New Roman" w:hAnsi="Times New Roman" w:eastAsia="宋体" w:cs="Times New Roman"/>
          <w:color w:val="auto"/>
          <w:sz w:val="24"/>
          <w:szCs w:val="24"/>
          <w:lang w:val="en-US" w:eastAsia="zh-CN"/>
        </w:rPr>
        <w:t>/L</w:t>
      </w:r>
      <w:r>
        <w:rPr>
          <w:rFonts w:hint="eastAsia" w:ascii="Times New Roman" w:hAnsi="Times New Roman" w:eastAsia="宋体" w:cs="Times New Roman"/>
          <w:color w:val="auto"/>
          <w:sz w:val="24"/>
          <w:szCs w:val="24"/>
        </w:rPr>
        <w:t>以下，菌渣液过板框压榨至含干固40-50%的菌渣滤饼做饲料蛋白出售，压滤清液和陶瓷膜清液合并中转罐。</w:t>
      </w:r>
    </w:p>
    <w:p w14:paraId="314B8862">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4</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rPr>
        <w:t>纳滤</w:t>
      </w:r>
    </w:p>
    <w:p w14:paraId="5F8CE54E">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陶瓷膜过滤后发酵清液体积达到了107.2吨</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rPr>
        <w:t>为减少体积吨位</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rPr>
        <w:t>节约设备成</w:t>
      </w:r>
      <w:r>
        <w:rPr>
          <w:rFonts w:hint="eastAsia" w:ascii="Times New Roman" w:hAnsi="Times New Roman" w:eastAsia="宋体" w:cs="Times New Roman"/>
          <w:color w:val="auto"/>
          <w:sz w:val="24"/>
          <w:szCs w:val="24"/>
          <w:lang w:val="en-US" w:eastAsia="zh-CN"/>
        </w:rPr>
        <w:t>本，</w:t>
      </w:r>
      <w:r>
        <w:rPr>
          <w:rFonts w:hint="eastAsia" w:ascii="Times New Roman" w:hAnsi="Times New Roman" w:eastAsia="宋体" w:cs="Times New Roman"/>
          <w:color w:val="auto"/>
          <w:sz w:val="24"/>
          <w:szCs w:val="24"/>
        </w:rPr>
        <w:t>纳滤采用膜芯DW30-8084，过滤压力30bar，使其纳滤浓缩后体积降33吨，产生废水73.2吨，浓缩了3.2倍。</w:t>
      </w:r>
    </w:p>
    <w:p w14:paraId="7BAD5340">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5</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rPr>
        <w:t>电渗析</w:t>
      </w:r>
    </w:p>
    <w:p w14:paraId="4EFEF81F">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为彻底去掉产品的盐分，纳滤截留液加入98%浓硫酸(加入体积比1.5%)，加纯水20T稀释，调节PH2.8以下，进行电渗析脱盐循环，脱至淡水测电导率2800-3000US/cm时，基本无盐分，浓水测单位控制在1g以下，压差0.01MPa产生废水15吨。</w:t>
      </w:r>
    </w:p>
    <w:p w14:paraId="660E043B">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6</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rPr>
        <w:t>离交</w:t>
      </w:r>
    </w:p>
    <w:p w14:paraId="05A490EF">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为彻底去掉产品的有机杂质，通过离子交换技术，加纯水100T，过流液通过阳柱和阴柱时，PH值先由中性逐渐变碱性至10左右，再下降至中性，最后变成酸性，这时有机杂质完全被吸附，开始收集过流液，取样测单位控制在0.5g</w:t>
      </w:r>
      <w:r>
        <w:rPr>
          <w:rFonts w:hint="eastAsia"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rPr>
        <w:t>L以下，产生废水91吨。</w:t>
      </w:r>
    </w:p>
    <w:p w14:paraId="320201C0">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7</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rPr>
        <w:t>浓缩</w:t>
      </w:r>
    </w:p>
    <w:p w14:paraId="06BD6C48">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离交上柱后水体积还有47吨左右，采用双效浓缩，浓缩温度控制在55-60℃浓缩至单位 350-380g，单效浓缩至5吨，浓缩时间20-25hr，使浓缩液水分控制在 20%左右，降温析晶12-18hr至-15℃，产生蒸汽冷凝水42吨。</w:t>
      </w:r>
    </w:p>
    <w:p w14:paraId="03C76163">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8</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rPr>
        <w:t>离心、干燥、成品</w:t>
      </w:r>
    </w:p>
    <w:p w14:paraId="73E96753">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经过降温析晶后的产品在离心机中离心，离心产生的废水通过管道流出进入沉淀池，沉淀24hr后，上层废水打入污水处理站，甩干产品干燥失重控制在35%以下，采用真空干燥技术80℃烘干，使成品干湿控制在1%以下，干燥尾气成水蒸汽，手工包装，将包装好的物料放置于待检区，检测合格入库。</w:t>
      </w:r>
    </w:p>
    <w:bookmarkEnd w:id="179"/>
    <w:bookmarkEnd w:id="180"/>
    <w:p w14:paraId="0C3FF8E6">
      <w:pPr>
        <w:pStyle w:val="4"/>
        <w:bidi w:val="0"/>
      </w:pPr>
      <w:r>
        <w:t>3.1.</w:t>
      </w:r>
      <w:r>
        <w:rPr>
          <w:rFonts w:hint="eastAsia"/>
        </w:rPr>
        <w:t>11现有工程污染产生及排放情况</w:t>
      </w:r>
    </w:p>
    <w:p w14:paraId="0D3C5A30">
      <w:pPr>
        <w:pStyle w:val="5"/>
        <w:bidi w:val="0"/>
      </w:pPr>
      <w:r>
        <w:t>3.1.</w:t>
      </w:r>
      <w:r>
        <w:rPr>
          <w:rFonts w:hint="eastAsia"/>
        </w:rPr>
        <w:t>11</w:t>
      </w:r>
      <w:r>
        <w:t>.1</w:t>
      </w:r>
      <w:r>
        <w:rPr>
          <w:rFonts w:hint="eastAsia"/>
        </w:rPr>
        <w:t>废气</w:t>
      </w:r>
    </w:p>
    <w:p w14:paraId="5F5C939D">
      <w:pPr>
        <w:spacing w:line="360" w:lineRule="auto"/>
        <w:ind w:firstLine="240" w:firstLineChars="1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1、大气污染防治措施</w:t>
      </w:r>
    </w:p>
    <w:p w14:paraId="7D97E65E">
      <w:pPr>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fldChar w:fldCharType="begin"/>
      </w:r>
      <w:r>
        <w:rPr>
          <w:rFonts w:ascii="Times New Roman" w:hAnsi="Times New Roman" w:eastAsia="宋体" w:cs="Times New Roman"/>
          <w:color w:val="auto"/>
          <w:sz w:val="24"/>
          <w:szCs w:val="24"/>
        </w:rPr>
        <w:instrText xml:space="preserve"> </w:instrText>
      </w:r>
      <w:r>
        <w:rPr>
          <w:rFonts w:hint="eastAsia" w:ascii="Times New Roman" w:hAnsi="Times New Roman" w:eastAsia="宋体" w:cs="Times New Roman"/>
          <w:color w:val="auto"/>
          <w:sz w:val="24"/>
          <w:szCs w:val="24"/>
        </w:rPr>
        <w:instrText xml:space="preserve">= 1 \* GB3</w:instrText>
      </w:r>
      <w:r>
        <w:rPr>
          <w:rFonts w:ascii="Times New Roman" w:hAnsi="Times New Roman" w:eastAsia="宋体" w:cs="Times New Roman"/>
          <w:color w:val="auto"/>
          <w:sz w:val="24"/>
          <w:szCs w:val="24"/>
        </w:rPr>
        <w:instrText xml:space="preserve"> </w:instrText>
      </w:r>
      <w:r>
        <w:rPr>
          <w:rFonts w:ascii="Times New Roman" w:hAnsi="Times New Roman" w:eastAsia="宋体" w:cs="Times New Roman"/>
          <w:color w:val="auto"/>
          <w:sz w:val="24"/>
          <w:szCs w:val="24"/>
        </w:rPr>
        <w:fldChar w:fldCharType="separate"/>
      </w:r>
      <w:r>
        <w:rPr>
          <w:rFonts w:hint="eastAsia" w:ascii="Times New Roman" w:hAnsi="Times New Roman" w:eastAsia="宋体" w:cs="Times New Roman"/>
          <w:color w:val="auto"/>
          <w:sz w:val="24"/>
          <w:szCs w:val="24"/>
        </w:rPr>
        <w:t>①</w:t>
      </w:r>
      <w:r>
        <w:rPr>
          <w:rFonts w:ascii="Times New Roman" w:hAnsi="Times New Roman" w:eastAsia="宋体" w:cs="Times New Roman"/>
          <w:color w:val="auto"/>
          <w:sz w:val="24"/>
          <w:szCs w:val="24"/>
        </w:rPr>
        <w:fldChar w:fldCharType="end"/>
      </w:r>
      <w:r>
        <w:rPr>
          <w:rFonts w:hint="eastAsia" w:ascii="Times New Roman" w:hAnsi="Times New Roman" w:eastAsia="宋体" w:cs="Times New Roman"/>
          <w:color w:val="auto"/>
          <w:sz w:val="24"/>
          <w:szCs w:val="24"/>
        </w:rPr>
        <w:t>有组织废气</w:t>
      </w:r>
    </w:p>
    <w:p w14:paraId="6F23802E">
      <w:pPr>
        <w:spacing w:line="360" w:lineRule="auto"/>
        <w:ind w:firstLine="480" w:firstLineChars="200"/>
        <w:rPr>
          <w:rFonts w:hint="eastAsia" w:ascii="Times New Roman" w:hAnsi="Times New Roman" w:eastAsia="宋体" w:cs="Times New Roman"/>
          <w:color w:val="FF0000"/>
          <w:sz w:val="24"/>
          <w:szCs w:val="24"/>
          <w:u w:val="none"/>
          <w:lang w:val="en-US" w:eastAsia="zh-CN"/>
        </w:rPr>
      </w:pPr>
      <w:r>
        <w:rPr>
          <w:rFonts w:hint="eastAsia" w:ascii="Times New Roman" w:hAnsi="Times New Roman" w:eastAsia="宋体" w:cs="Times New Roman"/>
          <w:color w:val="auto"/>
          <w:sz w:val="24"/>
          <w:szCs w:val="24"/>
        </w:rPr>
        <w:t>厂区</w:t>
      </w:r>
      <w:r>
        <w:rPr>
          <w:rFonts w:ascii="Times New Roman" w:hAnsi="Times New Roman" w:eastAsia="宋体" w:cs="Times New Roman"/>
          <w:color w:val="auto"/>
          <w:sz w:val="24"/>
          <w:szCs w:val="24"/>
        </w:rPr>
        <w:t>产生的有组织废气主要是</w:t>
      </w:r>
      <w:r>
        <w:rPr>
          <w:rFonts w:hint="eastAsia" w:ascii="Times New Roman" w:hAnsi="Times New Roman" w:eastAsia="宋体" w:cs="Times New Roman"/>
          <w:color w:val="auto"/>
          <w:sz w:val="24"/>
          <w:szCs w:val="24"/>
          <w:lang w:val="en-US" w:eastAsia="zh-CN"/>
        </w:rPr>
        <w:t>各生产线产生的发酵废气、生产废气、干燥废气和污水处理站产生的恶臭、危废暂存间产生的恶臭</w:t>
      </w:r>
      <w:r>
        <w:rPr>
          <w:rFonts w:ascii="Times New Roman" w:hAnsi="Times New Roman" w:eastAsia="宋体" w:cs="Times New Roman"/>
          <w:color w:val="auto"/>
          <w:sz w:val="24"/>
          <w:szCs w:val="24"/>
        </w:rPr>
        <w:t>。</w:t>
      </w:r>
    </w:p>
    <w:p w14:paraId="32A1B711">
      <w:pPr>
        <w:numPr>
          <w:ilvl w:val="0"/>
          <w:numId w:val="0"/>
        </w:numPr>
        <w:spacing w:line="360" w:lineRule="auto"/>
        <w:ind w:firstLine="720" w:firstLineChars="300"/>
        <w:rPr>
          <w:rFonts w:hint="eastAsia" w:ascii="Times New Roman" w:hAnsi="Times New Roman" w:eastAsia="宋体" w:cs="Times New Roman"/>
          <w:color w:val="auto"/>
          <w:sz w:val="24"/>
          <w:szCs w:val="24"/>
          <w:highlight w:val="none"/>
          <w:u w:val="none"/>
          <w:lang w:val="en-US" w:eastAsia="zh-CN"/>
        </w:rPr>
      </w:pPr>
      <w:r>
        <w:rPr>
          <w:rFonts w:hint="eastAsia" w:ascii="Times New Roman" w:hAnsi="Times New Roman" w:eastAsia="宋体" w:cs="Times New Roman"/>
          <w:color w:val="auto"/>
          <w:sz w:val="24"/>
          <w:szCs w:val="24"/>
          <w:u w:val="none"/>
          <w:lang w:val="en-US" w:eastAsia="zh-CN"/>
        </w:rPr>
        <w:t>①发酵1车间</w:t>
      </w:r>
      <w:r>
        <w:rPr>
          <w:rFonts w:ascii="Times New Roman" w:hAnsi="Times New Roman" w:eastAsia="宋体" w:cs="Times New Roman"/>
          <w:color w:val="auto"/>
          <w:sz w:val="24"/>
          <w:szCs w:val="24"/>
          <w:u w:val="none"/>
        </w:rPr>
        <w:t>：</w:t>
      </w:r>
      <w:r>
        <w:rPr>
          <w:rFonts w:hint="eastAsia" w:ascii="Times New Roman" w:hAnsi="Times New Roman" w:eastAsia="宋体" w:cs="Times New Roman"/>
          <w:color w:val="auto"/>
          <w:sz w:val="24"/>
          <w:szCs w:val="24"/>
          <w:u w:val="none"/>
          <w:lang w:val="en-US" w:eastAsia="zh-CN"/>
        </w:rPr>
        <w:t>发酵1车间设置一套碱喷淋预处理系统，</w:t>
      </w:r>
      <w:r>
        <w:rPr>
          <w:rFonts w:hint="eastAsia" w:ascii="Times New Roman" w:hAnsi="Times New Roman" w:eastAsia="宋体" w:cs="Times New Roman"/>
          <w:color w:val="auto"/>
          <w:sz w:val="24"/>
          <w:szCs w:val="24"/>
          <w:highlight w:val="none"/>
          <w:u w:val="none"/>
          <w:lang w:val="en-US" w:eastAsia="zh-CN"/>
        </w:rPr>
        <w:t>处理废气风量为20000m</w:t>
      </w:r>
      <w:r>
        <w:rPr>
          <w:rFonts w:hint="eastAsia" w:ascii="Times New Roman" w:hAnsi="Times New Roman" w:eastAsia="宋体" w:cs="Times New Roman"/>
          <w:color w:val="auto"/>
          <w:sz w:val="24"/>
          <w:szCs w:val="24"/>
          <w:highlight w:val="none"/>
          <w:u w:val="none"/>
          <w:vertAlign w:val="superscript"/>
          <w:lang w:val="en-US" w:eastAsia="zh-CN"/>
        </w:rPr>
        <w:t>3</w:t>
      </w:r>
      <w:r>
        <w:rPr>
          <w:rFonts w:hint="eastAsia" w:ascii="Times New Roman" w:hAnsi="Times New Roman" w:eastAsia="宋体" w:cs="Times New Roman"/>
          <w:color w:val="auto"/>
          <w:sz w:val="24"/>
          <w:szCs w:val="24"/>
          <w:highlight w:val="none"/>
          <w:u w:val="none"/>
          <w:lang w:val="en-US" w:eastAsia="zh-CN"/>
        </w:rPr>
        <w:t>/h，发酵1车间内发酵废气经碱喷淋系统预处理后进入集中式生物除臭处理设施进一步处理，集中式生物除臭处理设施设计处理风量65000m</w:t>
      </w:r>
      <w:r>
        <w:rPr>
          <w:rFonts w:hint="eastAsia" w:ascii="Times New Roman" w:hAnsi="Times New Roman" w:eastAsia="宋体" w:cs="Times New Roman"/>
          <w:color w:val="auto"/>
          <w:sz w:val="24"/>
          <w:szCs w:val="24"/>
          <w:highlight w:val="none"/>
          <w:u w:val="none"/>
          <w:vertAlign w:val="superscript"/>
          <w:lang w:val="en-US" w:eastAsia="zh-CN"/>
        </w:rPr>
        <w:t>3</w:t>
      </w:r>
      <w:r>
        <w:rPr>
          <w:rFonts w:hint="eastAsia" w:ascii="Times New Roman" w:hAnsi="Times New Roman" w:eastAsia="宋体" w:cs="Times New Roman"/>
          <w:color w:val="auto"/>
          <w:sz w:val="24"/>
          <w:szCs w:val="24"/>
          <w:highlight w:val="none"/>
          <w:u w:val="none"/>
          <w:lang w:val="en-US" w:eastAsia="zh-CN"/>
        </w:rPr>
        <w:t>/h，尾气经21m高DA001排气筒排放，内径1.2m。</w:t>
      </w:r>
    </w:p>
    <w:p w14:paraId="07EE7A62">
      <w:pPr>
        <w:numPr>
          <w:ilvl w:val="0"/>
          <w:numId w:val="0"/>
        </w:numPr>
        <w:spacing w:line="360" w:lineRule="auto"/>
        <w:ind w:firstLine="720" w:firstLineChars="300"/>
        <w:rPr>
          <w:rFonts w:hint="default" w:ascii="Times New Roman" w:hAnsi="Times New Roman" w:eastAsia="宋体" w:cs="Times New Roman"/>
          <w:color w:val="auto"/>
          <w:sz w:val="24"/>
          <w:szCs w:val="24"/>
          <w:highlight w:val="none"/>
          <w:u w:val="none"/>
          <w:lang w:val="en-US" w:eastAsia="zh-CN"/>
        </w:rPr>
      </w:pPr>
      <w:r>
        <w:rPr>
          <w:rFonts w:hint="eastAsia" w:ascii="Times New Roman" w:hAnsi="Times New Roman" w:eastAsia="宋体" w:cs="Times New Roman"/>
          <w:color w:val="auto"/>
          <w:sz w:val="24"/>
          <w:szCs w:val="24"/>
          <w:highlight w:val="none"/>
          <w:u w:val="none"/>
          <w:lang w:val="en-US" w:eastAsia="zh-CN"/>
        </w:rPr>
        <w:t>②发酵2车间：发酵2车间设置一套碱喷淋预处理系统，处理废气风量为20000m</w:t>
      </w:r>
      <w:r>
        <w:rPr>
          <w:rFonts w:hint="eastAsia" w:ascii="Times New Roman" w:hAnsi="Times New Roman" w:eastAsia="宋体" w:cs="Times New Roman"/>
          <w:color w:val="auto"/>
          <w:sz w:val="24"/>
          <w:szCs w:val="24"/>
          <w:highlight w:val="none"/>
          <w:u w:val="none"/>
          <w:vertAlign w:val="superscript"/>
          <w:lang w:val="en-US" w:eastAsia="zh-CN"/>
        </w:rPr>
        <w:t>3</w:t>
      </w:r>
      <w:r>
        <w:rPr>
          <w:rFonts w:hint="eastAsia" w:ascii="Times New Roman" w:hAnsi="Times New Roman" w:eastAsia="宋体" w:cs="Times New Roman"/>
          <w:color w:val="auto"/>
          <w:sz w:val="24"/>
          <w:szCs w:val="24"/>
          <w:highlight w:val="none"/>
          <w:u w:val="none"/>
          <w:lang w:val="en-US" w:eastAsia="zh-CN"/>
        </w:rPr>
        <w:t>/h，发酵2车间内发酵管培养尾气经气液分离器处理后和发酵罐消毒尾气进入碱喷淋系统预处理后，进入集中式生物除臭处理设施进一步处理，集中式生物除臭处理设施设计处理风量65000m</w:t>
      </w:r>
      <w:r>
        <w:rPr>
          <w:rFonts w:hint="eastAsia" w:ascii="Times New Roman" w:hAnsi="Times New Roman" w:eastAsia="宋体" w:cs="Times New Roman"/>
          <w:color w:val="auto"/>
          <w:sz w:val="24"/>
          <w:szCs w:val="24"/>
          <w:highlight w:val="none"/>
          <w:u w:val="none"/>
          <w:vertAlign w:val="superscript"/>
          <w:lang w:val="en-US" w:eastAsia="zh-CN"/>
        </w:rPr>
        <w:t>3</w:t>
      </w:r>
      <w:r>
        <w:rPr>
          <w:rFonts w:hint="eastAsia" w:ascii="Times New Roman" w:hAnsi="Times New Roman" w:eastAsia="宋体" w:cs="Times New Roman"/>
          <w:color w:val="auto"/>
          <w:sz w:val="24"/>
          <w:szCs w:val="24"/>
          <w:highlight w:val="none"/>
          <w:u w:val="none"/>
          <w:lang w:val="en-US" w:eastAsia="zh-CN"/>
        </w:rPr>
        <w:t>/h，尾气经21m高DA001排气筒排放，内径1.2m。</w:t>
      </w:r>
    </w:p>
    <w:p w14:paraId="275EAD4D">
      <w:pPr>
        <w:numPr>
          <w:ilvl w:val="0"/>
          <w:numId w:val="0"/>
        </w:numPr>
        <w:spacing w:line="360" w:lineRule="auto"/>
        <w:ind w:firstLine="720" w:firstLineChars="300"/>
        <w:rPr>
          <w:rFonts w:hint="eastAsia" w:ascii="Times New Roman" w:hAnsi="Times New Roman" w:eastAsia="宋体" w:cs="Times New Roman"/>
          <w:color w:val="auto"/>
          <w:sz w:val="24"/>
          <w:szCs w:val="24"/>
          <w:highlight w:val="none"/>
          <w:u w:val="none"/>
          <w:lang w:val="en-US" w:eastAsia="zh-CN"/>
        </w:rPr>
      </w:pPr>
      <w:r>
        <w:rPr>
          <w:rFonts w:hint="eastAsia" w:ascii="Times New Roman" w:hAnsi="Times New Roman" w:eastAsia="宋体" w:cs="Times New Roman"/>
          <w:color w:val="auto"/>
          <w:sz w:val="24"/>
          <w:szCs w:val="24"/>
          <w:highlight w:val="none"/>
          <w:u w:val="none"/>
          <w:lang w:val="en-US" w:eastAsia="zh-CN"/>
        </w:rPr>
        <w:t>③提取1车间、提取2车间、提取3车间、提取5车间、提取6车间：生产废气经碱喷淋+集中式生物除臭处理设施处理，集中式生物除臭处理设施设计处理风量65000m</w:t>
      </w:r>
      <w:r>
        <w:rPr>
          <w:rFonts w:hint="eastAsia" w:ascii="Times New Roman" w:hAnsi="Times New Roman" w:eastAsia="宋体" w:cs="Times New Roman"/>
          <w:color w:val="auto"/>
          <w:sz w:val="24"/>
          <w:szCs w:val="24"/>
          <w:highlight w:val="none"/>
          <w:u w:val="none"/>
          <w:vertAlign w:val="superscript"/>
          <w:lang w:val="en-US" w:eastAsia="zh-CN"/>
        </w:rPr>
        <w:t>3</w:t>
      </w:r>
      <w:r>
        <w:rPr>
          <w:rFonts w:hint="eastAsia" w:ascii="Times New Roman" w:hAnsi="Times New Roman" w:eastAsia="宋体" w:cs="Times New Roman"/>
          <w:color w:val="auto"/>
          <w:sz w:val="24"/>
          <w:szCs w:val="24"/>
          <w:highlight w:val="none"/>
          <w:u w:val="none"/>
          <w:lang w:val="en-US" w:eastAsia="zh-CN"/>
        </w:rPr>
        <w:t>/h，尾气经21m高DA001排气筒排放，内径1.2m。</w:t>
      </w:r>
    </w:p>
    <w:p w14:paraId="321E5D50">
      <w:pPr>
        <w:numPr>
          <w:ilvl w:val="0"/>
          <w:numId w:val="0"/>
        </w:numPr>
        <w:spacing w:line="360" w:lineRule="auto"/>
        <w:ind w:firstLine="720" w:firstLineChars="300"/>
        <w:rPr>
          <w:rFonts w:hint="eastAsia" w:ascii="Times New Roman" w:hAnsi="Times New Roman" w:eastAsia="宋体" w:cs="Times New Roman"/>
          <w:color w:val="auto"/>
          <w:sz w:val="24"/>
          <w:szCs w:val="24"/>
          <w:highlight w:val="none"/>
          <w:u w:val="none"/>
          <w:lang w:val="en-US" w:eastAsia="zh-CN"/>
        </w:rPr>
      </w:pPr>
      <w:r>
        <w:rPr>
          <w:rFonts w:hint="eastAsia" w:ascii="Times New Roman" w:hAnsi="Times New Roman" w:eastAsia="宋体" w:cs="Times New Roman"/>
          <w:color w:val="auto"/>
          <w:sz w:val="24"/>
          <w:szCs w:val="24"/>
          <w:highlight w:val="none"/>
          <w:u w:val="none"/>
          <w:lang w:val="en-US" w:eastAsia="zh-CN"/>
        </w:rPr>
        <w:t>④提取5车间：干燥废气经旋风分离+水膜除尘处理，处理废气风量为5000m</w:t>
      </w:r>
      <w:r>
        <w:rPr>
          <w:rFonts w:hint="eastAsia" w:ascii="Times New Roman" w:hAnsi="Times New Roman" w:eastAsia="宋体" w:cs="Times New Roman"/>
          <w:color w:val="auto"/>
          <w:sz w:val="24"/>
          <w:szCs w:val="24"/>
          <w:highlight w:val="none"/>
          <w:u w:val="none"/>
          <w:vertAlign w:val="superscript"/>
          <w:lang w:val="en-US" w:eastAsia="zh-CN"/>
        </w:rPr>
        <w:t>3</w:t>
      </w:r>
      <w:r>
        <w:rPr>
          <w:rFonts w:hint="eastAsia" w:ascii="Times New Roman" w:hAnsi="Times New Roman" w:eastAsia="宋体" w:cs="Times New Roman"/>
          <w:color w:val="auto"/>
          <w:sz w:val="24"/>
          <w:szCs w:val="24"/>
          <w:highlight w:val="none"/>
          <w:u w:val="none"/>
          <w:lang w:val="en-US" w:eastAsia="zh-CN"/>
        </w:rPr>
        <w:t>/h，尾气经15m高DA003排气筒排放，内径0.3m。</w:t>
      </w:r>
    </w:p>
    <w:p w14:paraId="428DC699">
      <w:pPr>
        <w:numPr>
          <w:ilvl w:val="0"/>
          <w:numId w:val="0"/>
        </w:numPr>
        <w:spacing w:line="360" w:lineRule="auto"/>
        <w:ind w:firstLine="720" w:firstLineChars="300"/>
        <w:rPr>
          <w:rFonts w:hint="default" w:ascii="Times New Roman" w:hAnsi="Times New Roman" w:eastAsia="宋体" w:cs="Times New Roman"/>
          <w:color w:val="auto"/>
          <w:sz w:val="24"/>
          <w:szCs w:val="24"/>
          <w:u w:val="none"/>
          <w:lang w:val="en-US" w:eastAsia="zh-CN"/>
        </w:rPr>
      </w:pPr>
      <w:r>
        <w:rPr>
          <w:rFonts w:hint="eastAsia" w:ascii="Times New Roman" w:hAnsi="Times New Roman" w:eastAsia="宋体" w:cs="Times New Roman"/>
          <w:color w:val="auto"/>
          <w:sz w:val="24"/>
          <w:szCs w:val="24"/>
          <w:u w:val="none"/>
          <w:lang w:val="en-US" w:eastAsia="zh-CN"/>
        </w:rPr>
        <w:t>⑤污水处理站、危废暂存间：</w:t>
      </w:r>
      <w:r>
        <w:rPr>
          <w:rFonts w:ascii="Times New Roman" w:hAnsi="Times New Roman" w:eastAsia="宋体" w:cs="Times New Roman"/>
          <w:color w:val="auto"/>
          <w:sz w:val="24"/>
          <w:szCs w:val="24"/>
          <w:u w:val="none"/>
        </w:rPr>
        <w:t>污水处理站运行过程中会产生恶臭，生产车间发酵工序产生的发酵滤饼及残渣存放暂存间会产生恶臭，主要污染物因子为氨、硫化氢，</w:t>
      </w:r>
      <w:r>
        <w:rPr>
          <w:rFonts w:hint="eastAsia" w:ascii="Times New Roman" w:hAnsi="Times New Roman" w:eastAsia="宋体" w:cs="Times New Roman"/>
          <w:color w:val="auto"/>
          <w:sz w:val="24"/>
          <w:szCs w:val="24"/>
          <w:u w:val="none"/>
          <w:lang w:val="en-US" w:eastAsia="zh-CN"/>
        </w:rPr>
        <w:t>恶臭气体通过引风机导入碱喷淋塔+水喷淋塔+生物除臭处理设施，</w:t>
      </w:r>
      <w:r>
        <w:rPr>
          <w:rFonts w:hint="eastAsia" w:ascii="Times New Roman" w:hAnsi="Times New Roman" w:eastAsia="宋体" w:cs="Times New Roman"/>
          <w:color w:val="auto"/>
          <w:sz w:val="24"/>
          <w:szCs w:val="24"/>
          <w:highlight w:val="none"/>
          <w:u w:val="none"/>
          <w:lang w:val="en-US" w:eastAsia="zh-CN"/>
        </w:rPr>
        <w:t>处理废气风量为10000m</w:t>
      </w:r>
      <w:r>
        <w:rPr>
          <w:rFonts w:hint="eastAsia" w:ascii="Times New Roman" w:hAnsi="Times New Roman" w:eastAsia="宋体" w:cs="Times New Roman"/>
          <w:color w:val="auto"/>
          <w:sz w:val="24"/>
          <w:szCs w:val="24"/>
          <w:highlight w:val="none"/>
          <w:u w:val="none"/>
          <w:vertAlign w:val="superscript"/>
          <w:lang w:val="en-US" w:eastAsia="zh-CN"/>
        </w:rPr>
        <w:t>3</w:t>
      </w:r>
      <w:r>
        <w:rPr>
          <w:rFonts w:hint="eastAsia" w:ascii="Times New Roman" w:hAnsi="Times New Roman" w:eastAsia="宋体" w:cs="Times New Roman"/>
          <w:color w:val="auto"/>
          <w:sz w:val="24"/>
          <w:szCs w:val="24"/>
          <w:highlight w:val="none"/>
          <w:u w:val="none"/>
          <w:lang w:val="en-US" w:eastAsia="zh-CN"/>
        </w:rPr>
        <w:t>/h，</w:t>
      </w:r>
      <w:r>
        <w:rPr>
          <w:rFonts w:hint="eastAsia" w:ascii="Times New Roman" w:hAnsi="Times New Roman" w:eastAsia="宋体" w:cs="Times New Roman"/>
          <w:color w:val="auto"/>
          <w:sz w:val="24"/>
          <w:szCs w:val="24"/>
          <w:u w:val="none"/>
          <w:lang w:val="en-US" w:eastAsia="zh-CN"/>
        </w:rPr>
        <w:t>尾气经20m高DA002排气筒排放，内径0.6m。</w:t>
      </w:r>
    </w:p>
    <w:p w14:paraId="1EA66DA6">
      <w:pPr>
        <w:spacing w:line="360" w:lineRule="auto"/>
        <w:ind w:firstLine="480" w:firstLineChars="200"/>
        <w:rPr>
          <w:rFonts w:ascii="Times New Roman" w:hAnsi="Times New Roman" w:eastAsia="宋体" w:cs="Times New Roman"/>
          <w:color w:val="auto"/>
          <w:sz w:val="24"/>
          <w:szCs w:val="24"/>
          <w:u w:val="none"/>
        </w:rPr>
      </w:pPr>
      <w:r>
        <w:rPr>
          <w:rFonts w:ascii="Times New Roman" w:hAnsi="Times New Roman" w:eastAsia="宋体" w:cs="Times New Roman"/>
          <w:color w:val="auto"/>
          <w:sz w:val="24"/>
          <w:szCs w:val="24"/>
          <w:u w:val="none"/>
        </w:rPr>
        <w:t>废气产生及治理措施见表</w:t>
      </w:r>
      <w:r>
        <w:rPr>
          <w:rFonts w:ascii="Times New Roman" w:hAnsi="Times New Roman" w:eastAsia="宋体" w:cs="Times New Roman"/>
          <w:color w:val="auto"/>
          <w:kern w:val="0"/>
          <w:sz w:val="24"/>
          <w:szCs w:val="24"/>
          <w:u w:val="none"/>
        </w:rPr>
        <w:t>3.1.</w:t>
      </w:r>
      <w:r>
        <w:rPr>
          <w:rFonts w:hint="eastAsia" w:ascii="Times New Roman" w:hAnsi="Times New Roman" w:eastAsia="宋体" w:cs="Times New Roman"/>
          <w:color w:val="auto"/>
          <w:kern w:val="0"/>
          <w:sz w:val="24"/>
          <w:szCs w:val="24"/>
          <w:u w:val="none"/>
        </w:rPr>
        <w:t>11</w:t>
      </w:r>
      <w:r>
        <w:rPr>
          <w:rFonts w:ascii="Times New Roman" w:hAnsi="Times New Roman" w:eastAsia="宋体" w:cs="Times New Roman"/>
          <w:color w:val="auto"/>
          <w:sz w:val="24"/>
          <w:szCs w:val="24"/>
          <w:u w:val="none"/>
        </w:rPr>
        <w:t>-</w:t>
      </w:r>
      <w:r>
        <w:rPr>
          <w:rFonts w:hint="eastAsia" w:ascii="Times New Roman" w:hAnsi="Times New Roman" w:eastAsia="宋体" w:cs="Times New Roman"/>
          <w:color w:val="auto"/>
          <w:sz w:val="24"/>
          <w:szCs w:val="24"/>
          <w:u w:val="none"/>
        </w:rPr>
        <w:t>1</w:t>
      </w:r>
      <w:r>
        <w:rPr>
          <w:rFonts w:ascii="Times New Roman" w:hAnsi="Times New Roman" w:eastAsia="宋体" w:cs="Times New Roman"/>
          <w:color w:val="auto"/>
          <w:sz w:val="24"/>
          <w:szCs w:val="24"/>
          <w:u w:val="none"/>
        </w:rPr>
        <w:t>。</w:t>
      </w:r>
    </w:p>
    <w:p w14:paraId="71C92E80">
      <w:pPr>
        <w:pStyle w:val="6"/>
        <w:bidi w:val="0"/>
      </w:pPr>
      <w:r>
        <w:t>表3.1.</w:t>
      </w:r>
      <w:r>
        <w:rPr>
          <w:rFonts w:hint="eastAsia"/>
        </w:rPr>
        <w:t>11</w:t>
      </w:r>
      <w:r>
        <w:t>-</w:t>
      </w:r>
      <w:r>
        <w:rPr>
          <w:rFonts w:hint="eastAsia"/>
        </w:rPr>
        <w:t>1</w:t>
      </w:r>
      <w:r>
        <w:t xml:space="preserve">  </w:t>
      </w:r>
      <w:r>
        <w:rPr>
          <w:rFonts w:hint="eastAsia"/>
        </w:rPr>
        <w:t xml:space="preserve"> </w:t>
      </w:r>
      <w:r>
        <w:t xml:space="preserve"> 废气产生及治理措施</w:t>
      </w:r>
    </w:p>
    <w:tbl>
      <w:tblPr>
        <w:tblStyle w:val="41"/>
        <w:tblW w:w="5209" w:type="pct"/>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243"/>
        <w:gridCol w:w="2855"/>
        <w:gridCol w:w="3170"/>
        <w:gridCol w:w="858"/>
        <w:gridCol w:w="538"/>
      </w:tblGrid>
      <w:tr w14:paraId="37115D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717" w:type="pct"/>
            <w:tcBorders>
              <w:top w:val="single" w:color="auto" w:sz="4" w:space="0"/>
              <w:left w:val="single" w:color="auto" w:sz="4" w:space="0"/>
              <w:bottom w:val="single" w:color="auto" w:sz="4" w:space="0"/>
              <w:right w:val="single" w:color="auto" w:sz="4" w:space="0"/>
            </w:tcBorders>
            <w:vAlign w:val="center"/>
          </w:tcPr>
          <w:p w14:paraId="4E09E35A">
            <w:pPr>
              <w:pStyle w:val="52"/>
              <w:bidi w:val="0"/>
            </w:pPr>
            <w:r>
              <w:t>污染源</w:t>
            </w:r>
          </w:p>
        </w:tc>
        <w:tc>
          <w:tcPr>
            <w:tcW w:w="1647" w:type="pct"/>
            <w:tcBorders>
              <w:top w:val="single" w:color="auto" w:sz="4" w:space="0"/>
              <w:left w:val="single" w:color="auto" w:sz="4" w:space="0"/>
              <w:bottom w:val="single" w:color="auto" w:sz="4" w:space="0"/>
              <w:right w:val="single" w:color="auto" w:sz="4" w:space="0"/>
            </w:tcBorders>
            <w:vAlign w:val="center"/>
          </w:tcPr>
          <w:p w14:paraId="6C63E176">
            <w:pPr>
              <w:pStyle w:val="52"/>
              <w:bidi w:val="0"/>
            </w:pPr>
            <w:r>
              <w:t>主要污染物</w:t>
            </w:r>
          </w:p>
        </w:tc>
        <w:tc>
          <w:tcPr>
            <w:tcW w:w="1829" w:type="pct"/>
            <w:tcBorders>
              <w:top w:val="single" w:color="auto" w:sz="4" w:space="0"/>
              <w:left w:val="single" w:color="auto" w:sz="4" w:space="0"/>
              <w:bottom w:val="single" w:color="auto" w:sz="4" w:space="0"/>
              <w:right w:val="single" w:color="auto" w:sz="4" w:space="0"/>
            </w:tcBorders>
            <w:vAlign w:val="center"/>
          </w:tcPr>
          <w:p w14:paraId="4ECD700A">
            <w:pPr>
              <w:pStyle w:val="52"/>
              <w:bidi w:val="0"/>
            </w:pPr>
            <w:r>
              <w:t>治理措施及去向</w:t>
            </w:r>
          </w:p>
        </w:tc>
        <w:tc>
          <w:tcPr>
            <w:tcW w:w="495" w:type="pct"/>
            <w:tcBorders>
              <w:top w:val="single" w:color="auto" w:sz="4" w:space="0"/>
              <w:left w:val="single" w:color="auto" w:sz="4" w:space="0"/>
              <w:bottom w:val="single" w:color="auto" w:sz="4" w:space="0"/>
              <w:right w:val="single" w:color="auto" w:sz="4" w:space="0"/>
            </w:tcBorders>
            <w:vAlign w:val="center"/>
          </w:tcPr>
          <w:p w14:paraId="2DE99D37">
            <w:pPr>
              <w:pStyle w:val="52"/>
              <w:bidi w:val="0"/>
            </w:pPr>
            <w:r>
              <w:t>排气筒</w:t>
            </w:r>
            <w:r>
              <w:rPr>
                <w:rFonts w:hint="eastAsia"/>
              </w:rPr>
              <w:t>编号</w:t>
            </w:r>
          </w:p>
        </w:tc>
        <w:tc>
          <w:tcPr>
            <w:tcW w:w="310" w:type="pct"/>
            <w:tcBorders>
              <w:top w:val="single" w:color="auto" w:sz="4" w:space="0"/>
              <w:left w:val="single" w:color="auto" w:sz="4" w:space="0"/>
              <w:bottom w:val="single" w:color="auto" w:sz="4" w:space="0"/>
              <w:right w:val="single" w:color="auto" w:sz="4" w:space="0"/>
            </w:tcBorders>
            <w:vAlign w:val="center"/>
          </w:tcPr>
          <w:p w14:paraId="764102B2">
            <w:pPr>
              <w:pStyle w:val="52"/>
              <w:bidi w:val="0"/>
            </w:pPr>
            <w:r>
              <w:t>排放形式</w:t>
            </w:r>
          </w:p>
        </w:tc>
      </w:tr>
      <w:tr w14:paraId="55D2BD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717" w:type="pct"/>
            <w:tcBorders>
              <w:top w:val="single" w:color="auto" w:sz="4" w:space="0"/>
              <w:left w:val="single" w:color="auto" w:sz="4" w:space="0"/>
              <w:bottom w:val="single" w:color="auto" w:sz="4" w:space="0"/>
              <w:right w:val="single" w:color="auto" w:sz="4" w:space="0"/>
            </w:tcBorders>
            <w:vAlign w:val="center"/>
          </w:tcPr>
          <w:p w14:paraId="304E13B6">
            <w:pPr>
              <w:pStyle w:val="52"/>
              <w:bidi w:val="0"/>
              <w:rPr>
                <w:rFonts w:hint="default"/>
                <w:lang w:val="en-US" w:eastAsia="zh-CN"/>
              </w:rPr>
            </w:pPr>
            <w:r>
              <w:rPr>
                <w:rFonts w:hint="eastAsia"/>
                <w:lang w:val="en-US" w:eastAsia="zh-CN"/>
              </w:rPr>
              <w:t>发酵1车间</w:t>
            </w:r>
          </w:p>
        </w:tc>
        <w:tc>
          <w:tcPr>
            <w:tcW w:w="1647" w:type="pct"/>
            <w:tcBorders>
              <w:top w:val="single" w:color="auto" w:sz="4" w:space="0"/>
              <w:left w:val="single" w:color="auto" w:sz="4" w:space="0"/>
              <w:bottom w:val="single" w:color="auto" w:sz="4" w:space="0"/>
              <w:right w:val="single" w:color="auto" w:sz="4" w:space="0"/>
            </w:tcBorders>
            <w:shd w:val="clear" w:color="auto" w:fill="auto"/>
            <w:vAlign w:val="center"/>
          </w:tcPr>
          <w:p w14:paraId="3E56FE31">
            <w:pPr>
              <w:pStyle w:val="52"/>
              <w:bidi w:val="0"/>
              <w:rPr>
                <w:rFonts w:hint="default"/>
                <w:lang w:val="en-US" w:eastAsia="zh-CN"/>
              </w:rPr>
            </w:pPr>
            <w:r>
              <w:rPr>
                <w:rFonts w:hint="eastAsia"/>
                <w:lang w:val="en-US" w:eastAsia="zh-CN"/>
              </w:rPr>
              <w:t>颗粒物、臭气浓度、氨（氨气）、、硫化氢、非甲烷总烃</w:t>
            </w:r>
          </w:p>
        </w:tc>
        <w:tc>
          <w:tcPr>
            <w:tcW w:w="1829" w:type="pct"/>
            <w:vMerge w:val="restart"/>
            <w:tcBorders>
              <w:top w:val="single" w:color="auto" w:sz="4" w:space="0"/>
              <w:left w:val="single" w:color="auto" w:sz="4" w:space="0"/>
              <w:right w:val="single" w:color="auto" w:sz="4" w:space="0"/>
            </w:tcBorders>
            <w:vAlign w:val="center"/>
          </w:tcPr>
          <w:p w14:paraId="2A6265CF">
            <w:pPr>
              <w:pStyle w:val="52"/>
              <w:bidi w:val="0"/>
            </w:pPr>
            <w:r>
              <w:rPr>
                <w:rFonts w:hint="eastAsia"/>
                <w:lang w:val="en-US" w:eastAsia="zh-CN"/>
              </w:rPr>
              <w:t>生产</w:t>
            </w:r>
            <w:r>
              <w:rPr>
                <w:rFonts w:hint="eastAsia"/>
              </w:rPr>
              <w:t>车间</w:t>
            </w:r>
            <w:r>
              <w:rPr>
                <w:rFonts w:hint="eastAsia"/>
                <w:lang w:val="en-US" w:eastAsia="zh-CN"/>
              </w:rPr>
              <w:t>产生的发酵废气、生产废气经厂房外碱喷淋系统预处理后，进入集中式生物除臭处理设施处理，</w:t>
            </w:r>
            <w:r>
              <w:rPr>
                <w:rFonts w:hint="eastAsia"/>
              </w:rPr>
              <w:t>尾气经2</w:t>
            </w:r>
            <w:r>
              <w:rPr>
                <w:rFonts w:hint="eastAsia"/>
                <w:lang w:val="en-US" w:eastAsia="zh-CN"/>
              </w:rPr>
              <w:t>1</w:t>
            </w:r>
            <w:r>
              <w:rPr>
                <w:rFonts w:hint="eastAsia"/>
              </w:rPr>
              <w:t>m高DA001排气筒排放</w:t>
            </w:r>
          </w:p>
        </w:tc>
        <w:tc>
          <w:tcPr>
            <w:tcW w:w="495" w:type="pct"/>
            <w:vMerge w:val="restart"/>
            <w:tcBorders>
              <w:top w:val="single" w:color="auto" w:sz="4" w:space="0"/>
              <w:left w:val="single" w:color="auto" w:sz="4" w:space="0"/>
              <w:right w:val="single" w:color="auto" w:sz="4" w:space="0"/>
            </w:tcBorders>
            <w:vAlign w:val="center"/>
          </w:tcPr>
          <w:p w14:paraId="415E1EA9">
            <w:pPr>
              <w:pStyle w:val="52"/>
              <w:bidi w:val="0"/>
            </w:pPr>
            <w:r>
              <w:rPr>
                <w:rFonts w:hint="eastAsia"/>
              </w:rPr>
              <w:t>DA001</w:t>
            </w:r>
          </w:p>
        </w:tc>
        <w:tc>
          <w:tcPr>
            <w:tcW w:w="310" w:type="pct"/>
            <w:vMerge w:val="restart"/>
            <w:tcBorders>
              <w:top w:val="single" w:color="auto" w:sz="4" w:space="0"/>
              <w:left w:val="single" w:color="auto" w:sz="4" w:space="0"/>
              <w:right w:val="single" w:color="auto" w:sz="4" w:space="0"/>
            </w:tcBorders>
            <w:vAlign w:val="center"/>
          </w:tcPr>
          <w:p w14:paraId="52CB218B">
            <w:pPr>
              <w:pStyle w:val="52"/>
              <w:bidi w:val="0"/>
            </w:pPr>
            <w:r>
              <w:t>有组织排放</w:t>
            </w:r>
          </w:p>
          <w:p w14:paraId="61F0CF64">
            <w:pPr>
              <w:pStyle w:val="52"/>
              <w:bidi w:val="0"/>
            </w:pPr>
          </w:p>
        </w:tc>
      </w:tr>
      <w:tr w14:paraId="0EC830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717" w:type="pct"/>
            <w:tcBorders>
              <w:top w:val="single" w:color="auto" w:sz="4" w:space="0"/>
              <w:left w:val="single" w:color="auto" w:sz="4" w:space="0"/>
              <w:bottom w:val="single" w:color="auto" w:sz="4" w:space="0"/>
              <w:right w:val="single" w:color="auto" w:sz="4" w:space="0"/>
            </w:tcBorders>
            <w:vAlign w:val="center"/>
          </w:tcPr>
          <w:p w14:paraId="320E91C8">
            <w:pPr>
              <w:pStyle w:val="52"/>
              <w:bidi w:val="0"/>
            </w:pPr>
            <w:r>
              <w:rPr>
                <w:rFonts w:hint="eastAsia"/>
                <w:lang w:val="en-US" w:eastAsia="zh-CN"/>
              </w:rPr>
              <w:t>提取1车间</w:t>
            </w:r>
          </w:p>
        </w:tc>
        <w:tc>
          <w:tcPr>
            <w:tcW w:w="1647" w:type="pct"/>
            <w:tcBorders>
              <w:top w:val="single" w:color="auto" w:sz="4" w:space="0"/>
              <w:left w:val="single" w:color="auto" w:sz="4" w:space="0"/>
              <w:bottom w:val="single" w:color="auto" w:sz="4" w:space="0"/>
              <w:right w:val="single" w:color="auto" w:sz="4" w:space="0"/>
            </w:tcBorders>
            <w:vAlign w:val="center"/>
          </w:tcPr>
          <w:p w14:paraId="0111E135">
            <w:pPr>
              <w:pStyle w:val="52"/>
              <w:bidi w:val="0"/>
              <w:rPr>
                <w:rFonts w:hint="default"/>
                <w:lang w:val="en-US"/>
              </w:rPr>
            </w:pPr>
            <w:r>
              <w:rPr>
                <w:rFonts w:hint="eastAsia"/>
                <w:lang w:val="en-US" w:eastAsia="zh-CN"/>
              </w:rPr>
              <w:t>颗粒物、臭气浓度、氨（氨气）、、硫化氢、非甲烷总烃</w:t>
            </w:r>
          </w:p>
        </w:tc>
        <w:tc>
          <w:tcPr>
            <w:tcW w:w="1829" w:type="pct"/>
            <w:vMerge w:val="continue"/>
            <w:tcBorders>
              <w:left w:val="single" w:color="auto" w:sz="4" w:space="0"/>
              <w:right w:val="single" w:color="auto" w:sz="4" w:space="0"/>
            </w:tcBorders>
            <w:vAlign w:val="center"/>
          </w:tcPr>
          <w:p w14:paraId="1162E3BA">
            <w:pPr>
              <w:pStyle w:val="52"/>
              <w:bidi w:val="0"/>
            </w:pPr>
          </w:p>
        </w:tc>
        <w:tc>
          <w:tcPr>
            <w:tcW w:w="495" w:type="pct"/>
            <w:vMerge w:val="continue"/>
            <w:tcBorders>
              <w:left w:val="single" w:color="auto" w:sz="4" w:space="0"/>
              <w:right w:val="single" w:color="auto" w:sz="4" w:space="0"/>
            </w:tcBorders>
            <w:vAlign w:val="center"/>
          </w:tcPr>
          <w:p w14:paraId="3C22FF99">
            <w:pPr>
              <w:pStyle w:val="52"/>
              <w:bidi w:val="0"/>
            </w:pPr>
          </w:p>
        </w:tc>
        <w:tc>
          <w:tcPr>
            <w:tcW w:w="310" w:type="pct"/>
            <w:vMerge w:val="continue"/>
            <w:tcBorders>
              <w:left w:val="single" w:color="auto" w:sz="4" w:space="0"/>
              <w:right w:val="single" w:color="auto" w:sz="4" w:space="0"/>
            </w:tcBorders>
            <w:vAlign w:val="center"/>
          </w:tcPr>
          <w:p w14:paraId="0C50CA2F">
            <w:pPr>
              <w:pStyle w:val="52"/>
              <w:bidi w:val="0"/>
            </w:pPr>
          </w:p>
        </w:tc>
      </w:tr>
      <w:tr w14:paraId="2D649E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717" w:type="pct"/>
            <w:vMerge w:val="restart"/>
            <w:tcBorders>
              <w:top w:val="single" w:color="auto" w:sz="4" w:space="0"/>
              <w:left w:val="single" w:color="auto" w:sz="4" w:space="0"/>
              <w:right w:val="single" w:color="auto" w:sz="4" w:space="0"/>
            </w:tcBorders>
            <w:vAlign w:val="center"/>
          </w:tcPr>
          <w:p w14:paraId="7619B986">
            <w:pPr>
              <w:pStyle w:val="52"/>
              <w:bidi w:val="0"/>
            </w:pPr>
            <w:r>
              <w:rPr>
                <w:rFonts w:hint="eastAsia"/>
                <w:lang w:val="en-US" w:eastAsia="zh-CN"/>
              </w:rPr>
              <w:t>提取5车间</w:t>
            </w:r>
          </w:p>
        </w:tc>
        <w:tc>
          <w:tcPr>
            <w:tcW w:w="1647" w:type="pct"/>
            <w:tcBorders>
              <w:top w:val="single" w:color="auto" w:sz="4" w:space="0"/>
              <w:left w:val="single" w:color="auto" w:sz="4" w:space="0"/>
              <w:bottom w:val="single" w:color="auto" w:sz="4" w:space="0"/>
              <w:right w:val="single" w:color="auto" w:sz="4" w:space="0"/>
            </w:tcBorders>
            <w:vAlign w:val="center"/>
          </w:tcPr>
          <w:p w14:paraId="7F543114">
            <w:pPr>
              <w:pStyle w:val="52"/>
              <w:bidi w:val="0"/>
            </w:pPr>
            <w:r>
              <w:rPr>
                <w:rFonts w:hint="eastAsia"/>
                <w:lang w:val="en-US" w:eastAsia="zh-CN"/>
              </w:rPr>
              <w:t>颗粒物、臭气浓度、氨（氨气）、非甲烷总烃、硫化氢</w:t>
            </w:r>
          </w:p>
        </w:tc>
        <w:tc>
          <w:tcPr>
            <w:tcW w:w="1829" w:type="pct"/>
            <w:vMerge w:val="continue"/>
            <w:tcBorders>
              <w:left w:val="single" w:color="auto" w:sz="4" w:space="0"/>
              <w:bottom w:val="single" w:color="auto" w:sz="4" w:space="0"/>
              <w:right w:val="single" w:color="auto" w:sz="4" w:space="0"/>
            </w:tcBorders>
            <w:vAlign w:val="center"/>
          </w:tcPr>
          <w:p w14:paraId="2750668E">
            <w:pPr>
              <w:pStyle w:val="52"/>
              <w:bidi w:val="0"/>
            </w:pPr>
          </w:p>
        </w:tc>
        <w:tc>
          <w:tcPr>
            <w:tcW w:w="495" w:type="pct"/>
            <w:vMerge w:val="continue"/>
            <w:tcBorders>
              <w:left w:val="single" w:color="auto" w:sz="4" w:space="0"/>
              <w:right w:val="single" w:color="auto" w:sz="4" w:space="0"/>
            </w:tcBorders>
            <w:vAlign w:val="center"/>
          </w:tcPr>
          <w:p w14:paraId="7AFE8B38">
            <w:pPr>
              <w:pStyle w:val="52"/>
              <w:bidi w:val="0"/>
            </w:pPr>
          </w:p>
        </w:tc>
        <w:tc>
          <w:tcPr>
            <w:tcW w:w="310" w:type="pct"/>
            <w:vMerge w:val="continue"/>
            <w:tcBorders>
              <w:left w:val="single" w:color="auto" w:sz="4" w:space="0"/>
              <w:right w:val="single" w:color="auto" w:sz="4" w:space="0"/>
            </w:tcBorders>
            <w:vAlign w:val="center"/>
          </w:tcPr>
          <w:p w14:paraId="2105C434">
            <w:pPr>
              <w:pStyle w:val="52"/>
              <w:bidi w:val="0"/>
            </w:pPr>
          </w:p>
        </w:tc>
      </w:tr>
      <w:tr w14:paraId="62500E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717" w:type="pct"/>
            <w:vMerge w:val="continue"/>
            <w:tcBorders>
              <w:left w:val="single" w:color="auto" w:sz="4" w:space="0"/>
              <w:bottom w:val="single" w:color="auto" w:sz="4" w:space="0"/>
              <w:right w:val="single" w:color="auto" w:sz="4" w:space="0"/>
            </w:tcBorders>
            <w:vAlign w:val="center"/>
          </w:tcPr>
          <w:p w14:paraId="14C5A400">
            <w:pPr>
              <w:pStyle w:val="52"/>
              <w:bidi w:val="0"/>
            </w:pPr>
          </w:p>
        </w:tc>
        <w:tc>
          <w:tcPr>
            <w:tcW w:w="1647" w:type="pct"/>
            <w:tcBorders>
              <w:top w:val="single" w:color="auto" w:sz="4" w:space="0"/>
              <w:left w:val="single" w:color="auto" w:sz="4" w:space="0"/>
              <w:bottom w:val="single" w:color="auto" w:sz="4" w:space="0"/>
              <w:right w:val="single" w:color="auto" w:sz="4" w:space="0"/>
            </w:tcBorders>
            <w:vAlign w:val="center"/>
          </w:tcPr>
          <w:p w14:paraId="297D3F12">
            <w:pPr>
              <w:pStyle w:val="52"/>
              <w:bidi w:val="0"/>
            </w:pPr>
            <w:r>
              <w:rPr>
                <w:rFonts w:hint="eastAsia"/>
              </w:rPr>
              <w:t>颗粒物</w:t>
            </w:r>
            <w:r>
              <w:rPr>
                <w:rFonts w:hint="eastAsia"/>
                <w:lang w:eastAsia="zh-CN"/>
              </w:rPr>
              <w:t>、</w:t>
            </w:r>
            <w:r>
              <w:rPr>
                <w:rFonts w:hint="eastAsia"/>
              </w:rPr>
              <w:t>臭气浓度</w:t>
            </w:r>
            <w:r>
              <w:rPr>
                <w:rFonts w:hint="eastAsia"/>
                <w:lang w:eastAsia="zh-CN"/>
              </w:rPr>
              <w:t>、</w:t>
            </w:r>
            <w:r>
              <w:rPr>
                <w:rFonts w:hint="eastAsia"/>
              </w:rPr>
              <w:t>氨（氨气</w:t>
            </w:r>
            <w:r>
              <w:rPr>
                <w:rFonts w:hint="eastAsia"/>
                <w:lang w:eastAsia="zh-CN"/>
              </w:rPr>
              <w:t>）、</w:t>
            </w:r>
            <w:r>
              <w:rPr>
                <w:rFonts w:hint="eastAsia"/>
              </w:rPr>
              <w:t>硫化氢</w:t>
            </w:r>
          </w:p>
        </w:tc>
        <w:tc>
          <w:tcPr>
            <w:tcW w:w="1829" w:type="pct"/>
            <w:tcBorders>
              <w:top w:val="single" w:color="auto" w:sz="4" w:space="0"/>
              <w:left w:val="single" w:color="auto" w:sz="4" w:space="0"/>
              <w:bottom w:val="single" w:color="auto" w:sz="4" w:space="0"/>
              <w:right w:val="single" w:color="auto" w:sz="4" w:space="0"/>
            </w:tcBorders>
            <w:vAlign w:val="center"/>
          </w:tcPr>
          <w:p w14:paraId="36412E3A">
            <w:pPr>
              <w:pStyle w:val="52"/>
              <w:bidi w:val="0"/>
              <w:rPr>
                <w:rFonts w:hint="default"/>
                <w:lang w:val="en-US" w:eastAsia="zh-CN"/>
              </w:rPr>
            </w:pPr>
            <w:r>
              <w:rPr>
                <w:rFonts w:hint="eastAsia"/>
                <w:lang w:val="en-US" w:eastAsia="zh-CN"/>
              </w:rPr>
              <w:t>干燥废气经旋风分离+水膜除尘处理，尾气经15m高DA003排气筒排放</w:t>
            </w:r>
          </w:p>
        </w:tc>
        <w:tc>
          <w:tcPr>
            <w:tcW w:w="495" w:type="pct"/>
            <w:tcBorders>
              <w:left w:val="single" w:color="auto" w:sz="4" w:space="0"/>
              <w:right w:val="single" w:color="auto" w:sz="4" w:space="0"/>
            </w:tcBorders>
            <w:vAlign w:val="center"/>
          </w:tcPr>
          <w:p w14:paraId="28A4D835">
            <w:pPr>
              <w:pStyle w:val="52"/>
              <w:bidi w:val="0"/>
              <w:rPr>
                <w:rFonts w:hint="default"/>
                <w:lang w:val="en-US" w:eastAsia="zh-CN"/>
              </w:rPr>
            </w:pPr>
            <w:r>
              <w:rPr>
                <w:rFonts w:hint="eastAsia"/>
                <w:lang w:val="en-US" w:eastAsia="zh-CN"/>
              </w:rPr>
              <w:t>DA003</w:t>
            </w:r>
          </w:p>
        </w:tc>
        <w:tc>
          <w:tcPr>
            <w:tcW w:w="310" w:type="pct"/>
            <w:vMerge w:val="continue"/>
            <w:tcBorders>
              <w:left w:val="single" w:color="auto" w:sz="4" w:space="0"/>
              <w:right w:val="single" w:color="auto" w:sz="4" w:space="0"/>
            </w:tcBorders>
            <w:vAlign w:val="center"/>
          </w:tcPr>
          <w:p w14:paraId="56A33B4A">
            <w:pPr>
              <w:pStyle w:val="52"/>
              <w:bidi w:val="0"/>
            </w:pPr>
          </w:p>
        </w:tc>
      </w:tr>
      <w:tr w14:paraId="6A6A34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1" w:hRule="atLeast"/>
        </w:trPr>
        <w:tc>
          <w:tcPr>
            <w:tcW w:w="717" w:type="pct"/>
            <w:tcBorders>
              <w:top w:val="single" w:color="auto" w:sz="4" w:space="0"/>
              <w:left w:val="single" w:color="auto" w:sz="4" w:space="0"/>
              <w:bottom w:val="single" w:color="auto" w:sz="4" w:space="0"/>
              <w:right w:val="single" w:color="auto" w:sz="4" w:space="0"/>
            </w:tcBorders>
            <w:vAlign w:val="center"/>
          </w:tcPr>
          <w:p w14:paraId="0C43E7C8">
            <w:pPr>
              <w:pStyle w:val="52"/>
              <w:bidi w:val="0"/>
            </w:pPr>
            <w:r>
              <w:t>污水处理站</w:t>
            </w:r>
          </w:p>
        </w:tc>
        <w:tc>
          <w:tcPr>
            <w:tcW w:w="1647" w:type="pct"/>
            <w:tcBorders>
              <w:top w:val="single" w:color="auto" w:sz="4" w:space="0"/>
              <w:left w:val="single" w:color="auto" w:sz="4" w:space="0"/>
              <w:bottom w:val="single" w:color="auto" w:sz="4" w:space="0"/>
              <w:right w:val="single" w:color="auto" w:sz="4" w:space="0"/>
            </w:tcBorders>
            <w:vAlign w:val="center"/>
          </w:tcPr>
          <w:p w14:paraId="241F8AB2">
            <w:pPr>
              <w:pStyle w:val="52"/>
              <w:bidi w:val="0"/>
            </w:pPr>
            <w:r>
              <w:rPr>
                <w:rFonts w:hint="eastAsia"/>
                <w:lang w:val="en-US" w:eastAsia="zh-CN"/>
              </w:rPr>
              <w:t>臭气浓度、</w:t>
            </w:r>
            <w:r>
              <w:t>氨</w:t>
            </w:r>
            <w:r>
              <w:rPr>
                <w:rFonts w:hint="eastAsia"/>
              </w:rPr>
              <w:t>（氨气</w:t>
            </w:r>
            <w:r>
              <w:rPr>
                <w:rFonts w:hint="eastAsia"/>
                <w:lang w:eastAsia="zh-CN"/>
              </w:rPr>
              <w:t>）</w:t>
            </w:r>
            <w:r>
              <w:t>、硫化氢</w:t>
            </w:r>
          </w:p>
        </w:tc>
        <w:tc>
          <w:tcPr>
            <w:tcW w:w="1829" w:type="pct"/>
            <w:vMerge w:val="restart"/>
            <w:tcBorders>
              <w:top w:val="single" w:color="auto" w:sz="4" w:space="0"/>
              <w:left w:val="single" w:color="auto" w:sz="4" w:space="0"/>
              <w:right w:val="single" w:color="auto" w:sz="4" w:space="0"/>
            </w:tcBorders>
            <w:vAlign w:val="center"/>
          </w:tcPr>
          <w:p w14:paraId="69189A7D">
            <w:pPr>
              <w:pStyle w:val="52"/>
              <w:bidi w:val="0"/>
              <w:rPr>
                <w:rFonts w:hint="default"/>
                <w:lang w:val="en-US" w:eastAsia="zh-CN"/>
              </w:rPr>
            </w:pPr>
            <w:r>
              <w:rPr>
                <w:rFonts w:hint="eastAsia"/>
                <w:lang w:val="en-US" w:eastAsia="zh-CN"/>
              </w:rPr>
              <w:t>构筑物全封闭，产生的恶臭气体经引风机导入碱喷淋塔+水喷淋塔+生物除臭处理设施处理，尾气经20m高排气筒DA002排放</w:t>
            </w:r>
          </w:p>
        </w:tc>
        <w:tc>
          <w:tcPr>
            <w:tcW w:w="495" w:type="pct"/>
            <w:vMerge w:val="restart"/>
            <w:tcBorders>
              <w:left w:val="single" w:color="auto" w:sz="4" w:space="0"/>
              <w:right w:val="single" w:color="auto" w:sz="4" w:space="0"/>
            </w:tcBorders>
            <w:vAlign w:val="center"/>
          </w:tcPr>
          <w:p w14:paraId="3E67BD9B">
            <w:pPr>
              <w:pStyle w:val="52"/>
              <w:bidi w:val="0"/>
              <w:rPr>
                <w:rFonts w:hint="default"/>
                <w:lang w:val="en-US" w:eastAsia="zh-CN"/>
              </w:rPr>
            </w:pPr>
            <w:r>
              <w:rPr>
                <w:rFonts w:hint="eastAsia"/>
                <w:lang w:val="en-US" w:eastAsia="zh-CN"/>
              </w:rPr>
              <w:t>DA002</w:t>
            </w:r>
          </w:p>
        </w:tc>
        <w:tc>
          <w:tcPr>
            <w:tcW w:w="310" w:type="pct"/>
            <w:vMerge w:val="continue"/>
            <w:tcBorders>
              <w:left w:val="single" w:color="auto" w:sz="4" w:space="0"/>
              <w:right w:val="single" w:color="auto" w:sz="4" w:space="0"/>
            </w:tcBorders>
            <w:vAlign w:val="center"/>
          </w:tcPr>
          <w:p w14:paraId="2CE1B85B">
            <w:pPr>
              <w:pStyle w:val="52"/>
              <w:bidi w:val="0"/>
            </w:pPr>
          </w:p>
        </w:tc>
      </w:tr>
      <w:tr w14:paraId="67E3A6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717" w:type="pct"/>
            <w:tcBorders>
              <w:top w:val="single" w:color="auto" w:sz="4" w:space="0"/>
              <w:left w:val="single" w:color="auto" w:sz="4" w:space="0"/>
              <w:bottom w:val="single" w:color="auto" w:sz="4" w:space="0"/>
              <w:right w:val="single" w:color="auto" w:sz="4" w:space="0"/>
            </w:tcBorders>
            <w:vAlign w:val="center"/>
          </w:tcPr>
          <w:p w14:paraId="0776A4B6">
            <w:pPr>
              <w:pStyle w:val="52"/>
              <w:bidi w:val="0"/>
            </w:pPr>
            <w:r>
              <w:t>危废暂存间</w:t>
            </w:r>
          </w:p>
        </w:tc>
        <w:tc>
          <w:tcPr>
            <w:tcW w:w="1647" w:type="pct"/>
            <w:tcBorders>
              <w:top w:val="single" w:color="auto" w:sz="4" w:space="0"/>
              <w:left w:val="single" w:color="auto" w:sz="4" w:space="0"/>
              <w:bottom w:val="single" w:color="auto" w:sz="4" w:space="0"/>
              <w:right w:val="single" w:color="auto" w:sz="4" w:space="0"/>
            </w:tcBorders>
            <w:vAlign w:val="center"/>
          </w:tcPr>
          <w:p w14:paraId="6D99905D">
            <w:pPr>
              <w:pStyle w:val="52"/>
              <w:bidi w:val="0"/>
              <w:rPr>
                <w:rFonts w:hint="default"/>
                <w:lang w:val="en-US" w:eastAsia="zh-CN"/>
              </w:rPr>
            </w:pPr>
            <w:r>
              <w:rPr>
                <w:rFonts w:hint="eastAsia"/>
                <w:lang w:val="en-US" w:eastAsia="zh-CN"/>
              </w:rPr>
              <w:t>臭气浓度、</w:t>
            </w:r>
            <w:r>
              <w:t>氨</w:t>
            </w:r>
            <w:r>
              <w:rPr>
                <w:rFonts w:hint="eastAsia"/>
              </w:rPr>
              <w:t>（氨气</w:t>
            </w:r>
            <w:r>
              <w:rPr>
                <w:rFonts w:hint="eastAsia"/>
                <w:lang w:eastAsia="zh-CN"/>
              </w:rPr>
              <w:t>）</w:t>
            </w:r>
            <w:r>
              <w:t>、硫化氢</w:t>
            </w:r>
            <w:r>
              <w:rPr>
                <w:rFonts w:hint="eastAsia"/>
                <w:lang w:eastAsia="zh-CN"/>
              </w:rPr>
              <w:t>、</w:t>
            </w:r>
            <w:r>
              <w:rPr>
                <w:rFonts w:hint="eastAsia"/>
                <w:lang w:val="en-US" w:eastAsia="zh-CN"/>
              </w:rPr>
              <w:t>非甲烷总烃</w:t>
            </w:r>
          </w:p>
        </w:tc>
        <w:tc>
          <w:tcPr>
            <w:tcW w:w="1829" w:type="pct"/>
            <w:vMerge w:val="continue"/>
            <w:tcBorders>
              <w:left w:val="single" w:color="auto" w:sz="4" w:space="0"/>
              <w:bottom w:val="single" w:color="auto" w:sz="4" w:space="0"/>
              <w:right w:val="single" w:color="auto" w:sz="4" w:space="0"/>
            </w:tcBorders>
            <w:vAlign w:val="center"/>
          </w:tcPr>
          <w:p w14:paraId="37442D1B">
            <w:pPr>
              <w:pStyle w:val="52"/>
              <w:bidi w:val="0"/>
            </w:pPr>
          </w:p>
        </w:tc>
        <w:tc>
          <w:tcPr>
            <w:tcW w:w="495" w:type="pct"/>
            <w:vMerge w:val="continue"/>
            <w:tcBorders>
              <w:left w:val="single" w:color="auto" w:sz="4" w:space="0"/>
              <w:right w:val="single" w:color="auto" w:sz="4" w:space="0"/>
            </w:tcBorders>
            <w:vAlign w:val="center"/>
          </w:tcPr>
          <w:p w14:paraId="3F1E36F1">
            <w:pPr>
              <w:pStyle w:val="52"/>
              <w:bidi w:val="0"/>
            </w:pPr>
          </w:p>
        </w:tc>
        <w:tc>
          <w:tcPr>
            <w:tcW w:w="310" w:type="pct"/>
            <w:vMerge w:val="continue"/>
            <w:tcBorders>
              <w:left w:val="single" w:color="auto" w:sz="4" w:space="0"/>
              <w:right w:val="single" w:color="auto" w:sz="4" w:space="0"/>
            </w:tcBorders>
            <w:vAlign w:val="center"/>
          </w:tcPr>
          <w:p w14:paraId="052E9A57">
            <w:pPr>
              <w:pStyle w:val="52"/>
              <w:bidi w:val="0"/>
            </w:pPr>
          </w:p>
        </w:tc>
      </w:tr>
    </w:tbl>
    <w:p w14:paraId="6FBD458E">
      <w:pPr>
        <w:spacing w:line="360" w:lineRule="auto"/>
        <w:ind w:firstLine="480" w:firstLineChars="2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废气处理工艺流程见下图：</w:t>
      </w:r>
    </w:p>
    <w:p w14:paraId="120AF85F">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drawing>
          <wp:inline distT="0" distB="0" distL="114300" distR="114300">
            <wp:extent cx="5100320" cy="4454525"/>
            <wp:effectExtent l="0" t="0" r="5080" b="3175"/>
            <wp:docPr id="34" name="图片 34" descr="5f58c89ac1edcbeb295abd82753b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5f58c89ac1edcbeb295abd82753b409"/>
                    <pic:cNvPicPr>
                      <a:picLocks noChangeAspect="1"/>
                    </pic:cNvPicPr>
                  </pic:nvPicPr>
                  <pic:blipFill>
                    <a:blip r:embed="rId31"/>
                    <a:srcRect l="3773" t="2472" r="1663" b="8841"/>
                    <a:stretch>
                      <a:fillRect/>
                    </a:stretch>
                  </pic:blipFill>
                  <pic:spPr>
                    <a:xfrm>
                      <a:off x="0" y="0"/>
                      <a:ext cx="5100320" cy="4454525"/>
                    </a:xfrm>
                    <a:prstGeom prst="rect">
                      <a:avLst/>
                    </a:prstGeom>
                  </pic:spPr>
                </pic:pic>
              </a:graphicData>
            </a:graphic>
          </wp:inline>
        </w:drawing>
      </w:r>
    </w:p>
    <w:p w14:paraId="237E5007">
      <w:pPr>
        <w:pStyle w:val="6"/>
        <w:bidi w:val="0"/>
        <w:rPr>
          <w:rFonts w:hint="default"/>
          <w:lang w:val="en-US" w:eastAsia="zh-CN"/>
        </w:rPr>
      </w:pPr>
      <w:r>
        <w:rPr>
          <w:rFonts w:hint="eastAsia"/>
          <w:lang w:val="en-US" w:eastAsia="zh-CN"/>
        </w:rPr>
        <w:t>图3.1.11-1 车间废气处理工艺流程图</w:t>
      </w:r>
    </w:p>
    <w:p w14:paraId="71E7A8D2">
      <w:pPr>
        <w:spacing w:line="360" w:lineRule="auto"/>
        <w:rPr>
          <w:color w:val="auto"/>
        </w:rPr>
      </w:pPr>
      <w:r>
        <w:rPr>
          <w:color w:val="auto"/>
        </w:rPr>
        <w:drawing>
          <wp:inline distT="0" distB="0" distL="114300" distR="114300">
            <wp:extent cx="5272405" cy="2556510"/>
            <wp:effectExtent l="0" t="0" r="4445" b="15240"/>
            <wp:docPr id="36" name="图片 37" descr="16100891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7" descr="1610089173(1)"/>
                    <pic:cNvPicPr>
                      <a:picLocks noChangeAspect="1"/>
                    </pic:cNvPicPr>
                  </pic:nvPicPr>
                  <pic:blipFill>
                    <a:blip r:embed="rId32"/>
                    <a:stretch>
                      <a:fillRect/>
                    </a:stretch>
                  </pic:blipFill>
                  <pic:spPr>
                    <a:xfrm>
                      <a:off x="0" y="0"/>
                      <a:ext cx="5272405" cy="2556510"/>
                    </a:xfrm>
                    <a:prstGeom prst="rect">
                      <a:avLst/>
                    </a:prstGeom>
                    <a:noFill/>
                    <a:ln>
                      <a:noFill/>
                    </a:ln>
                  </pic:spPr>
                </pic:pic>
              </a:graphicData>
            </a:graphic>
          </wp:inline>
        </w:drawing>
      </w:r>
    </w:p>
    <w:p w14:paraId="4A84BFDE">
      <w:pPr>
        <w:pStyle w:val="6"/>
        <w:bidi w:val="0"/>
        <w:rPr>
          <w:rFonts w:hint="default"/>
          <w:lang w:val="en-US" w:eastAsia="zh-CN"/>
        </w:rPr>
      </w:pPr>
      <w:r>
        <w:rPr>
          <w:rFonts w:hint="eastAsia"/>
          <w:lang w:val="en-US" w:eastAsia="zh-CN"/>
        </w:rPr>
        <w:t>图3.1.11-2 污水站废气处理工艺流程图</w:t>
      </w:r>
    </w:p>
    <w:p w14:paraId="5E283540">
      <w:pPr>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fldChar w:fldCharType="begin"/>
      </w:r>
      <w:r>
        <w:rPr>
          <w:rFonts w:ascii="Times New Roman" w:hAnsi="Times New Roman" w:eastAsia="宋体" w:cs="Times New Roman"/>
          <w:color w:val="auto"/>
          <w:sz w:val="24"/>
          <w:szCs w:val="24"/>
        </w:rPr>
        <w:instrText xml:space="preserve"> </w:instrText>
      </w:r>
      <w:r>
        <w:rPr>
          <w:rFonts w:hint="eastAsia" w:ascii="Times New Roman" w:hAnsi="Times New Roman" w:eastAsia="宋体" w:cs="Times New Roman"/>
          <w:color w:val="auto"/>
          <w:sz w:val="24"/>
          <w:szCs w:val="24"/>
        </w:rPr>
        <w:instrText xml:space="preserve">= 2 \* GB3</w:instrText>
      </w:r>
      <w:r>
        <w:rPr>
          <w:rFonts w:ascii="Times New Roman" w:hAnsi="Times New Roman" w:eastAsia="宋体" w:cs="Times New Roman"/>
          <w:color w:val="auto"/>
          <w:sz w:val="24"/>
          <w:szCs w:val="24"/>
        </w:rPr>
        <w:instrText xml:space="preserve"> </w:instrText>
      </w:r>
      <w:r>
        <w:rPr>
          <w:rFonts w:ascii="Times New Roman" w:hAnsi="Times New Roman" w:eastAsia="宋体" w:cs="Times New Roman"/>
          <w:color w:val="auto"/>
          <w:sz w:val="24"/>
          <w:szCs w:val="24"/>
        </w:rPr>
        <w:fldChar w:fldCharType="separate"/>
      </w:r>
      <w:r>
        <w:rPr>
          <w:rFonts w:hint="eastAsia" w:ascii="Times New Roman" w:hAnsi="Times New Roman" w:eastAsia="宋体" w:cs="Times New Roman"/>
          <w:color w:val="auto"/>
          <w:sz w:val="24"/>
          <w:szCs w:val="24"/>
        </w:rPr>
        <w:t>②</w:t>
      </w:r>
      <w:r>
        <w:rPr>
          <w:rFonts w:ascii="Times New Roman" w:hAnsi="Times New Roman" w:eastAsia="宋体" w:cs="Times New Roman"/>
          <w:color w:val="auto"/>
          <w:sz w:val="24"/>
          <w:szCs w:val="24"/>
        </w:rPr>
        <w:fldChar w:fldCharType="end"/>
      </w:r>
      <w:r>
        <w:rPr>
          <w:rFonts w:hint="eastAsia" w:ascii="Times New Roman" w:hAnsi="Times New Roman" w:eastAsia="宋体" w:cs="Times New Roman"/>
          <w:color w:val="auto"/>
          <w:sz w:val="24"/>
          <w:szCs w:val="24"/>
        </w:rPr>
        <w:t>无组织废气</w:t>
      </w:r>
    </w:p>
    <w:p w14:paraId="478FB22A">
      <w:pPr>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本项目无组织废气主要少量逸散的</w:t>
      </w:r>
      <w:r>
        <w:rPr>
          <w:rFonts w:hint="eastAsia" w:ascii="Times New Roman" w:hAnsi="Times New Roman" w:eastAsia="宋体" w:cs="Times New Roman"/>
          <w:color w:val="auto"/>
          <w:sz w:val="24"/>
          <w:szCs w:val="24"/>
          <w:lang w:val="en-US" w:eastAsia="zh-CN"/>
        </w:rPr>
        <w:t>发酵废气、生产废气</w:t>
      </w:r>
      <w:r>
        <w:rPr>
          <w:rFonts w:ascii="Times New Roman" w:hAnsi="Times New Roman" w:eastAsia="宋体" w:cs="Times New Roman"/>
          <w:color w:val="auto"/>
          <w:sz w:val="24"/>
          <w:szCs w:val="24"/>
        </w:rPr>
        <w:t>、恶臭</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粉尘</w:t>
      </w:r>
      <w:r>
        <w:rPr>
          <w:rFonts w:ascii="Times New Roman" w:hAnsi="Times New Roman" w:eastAsia="宋体" w:cs="Times New Roman"/>
          <w:color w:val="auto"/>
          <w:sz w:val="24"/>
          <w:szCs w:val="24"/>
        </w:rPr>
        <w:t>。</w:t>
      </w:r>
    </w:p>
    <w:p w14:paraId="6EB2CDE5">
      <w:pPr>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（1）逸散的</w:t>
      </w:r>
      <w:r>
        <w:rPr>
          <w:rFonts w:hint="eastAsia" w:ascii="Times New Roman" w:hAnsi="Times New Roman" w:eastAsia="宋体" w:cs="Times New Roman"/>
          <w:color w:val="auto"/>
          <w:sz w:val="24"/>
          <w:szCs w:val="24"/>
          <w:lang w:val="en-US" w:eastAsia="zh-CN"/>
        </w:rPr>
        <w:t>发酵废气、生产废气</w:t>
      </w:r>
      <w:r>
        <w:rPr>
          <w:rFonts w:ascii="Times New Roman" w:hAnsi="Times New Roman" w:eastAsia="宋体" w:cs="Times New Roman"/>
          <w:color w:val="auto"/>
          <w:sz w:val="24"/>
          <w:szCs w:val="24"/>
        </w:rPr>
        <w:t>：生产车间</w:t>
      </w:r>
      <w:r>
        <w:rPr>
          <w:rFonts w:hint="eastAsia" w:ascii="Times New Roman" w:hAnsi="Times New Roman" w:eastAsia="宋体" w:cs="Times New Roman"/>
          <w:color w:val="auto"/>
          <w:sz w:val="24"/>
          <w:szCs w:val="24"/>
          <w:lang w:val="en-US" w:eastAsia="zh-CN"/>
        </w:rPr>
        <w:t>封闭，</w:t>
      </w:r>
      <w:r>
        <w:rPr>
          <w:rFonts w:ascii="Times New Roman" w:hAnsi="Times New Roman" w:eastAsia="宋体" w:cs="Times New Roman"/>
          <w:color w:val="auto"/>
          <w:sz w:val="24"/>
          <w:szCs w:val="24"/>
        </w:rPr>
        <w:t>产生的少量逸散废气通过空气流动自由扩散，周边绿化带吸收。</w:t>
      </w:r>
    </w:p>
    <w:p w14:paraId="5C91C5D2">
      <w:pPr>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（2）恶臭：</w:t>
      </w:r>
      <w:r>
        <w:rPr>
          <w:rFonts w:hint="eastAsia" w:ascii="Times New Roman" w:hAnsi="Times New Roman" w:eastAsia="宋体" w:cs="Times New Roman"/>
          <w:color w:val="auto"/>
          <w:sz w:val="24"/>
          <w:szCs w:val="24"/>
          <w:lang w:val="en-US" w:eastAsia="zh-CN"/>
        </w:rPr>
        <w:t>危废暂存间、</w:t>
      </w:r>
      <w:r>
        <w:rPr>
          <w:rFonts w:ascii="Times New Roman" w:hAnsi="Times New Roman" w:eastAsia="宋体" w:cs="Times New Roman"/>
          <w:color w:val="auto"/>
          <w:sz w:val="24"/>
          <w:szCs w:val="24"/>
        </w:rPr>
        <w:t>污水处理系统会产生恶臭，</w:t>
      </w:r>
      <w:r>
        <w:rPr>
          <w:rFonts w:hint="eastAsia" w:ascii="Times New Roman" w:hAnsi="Times New Roman" w:eastAsia="宋体" w:cs="Times New Roman"/>
          <w:color w:val="auto"/>
          <w:sz w:val="24"/>
          <w:szCs w:val="24"/>
          <w:lang w:val="en-US" w:eastAsia="zh-CN"/>
        </w:rPr>
        <w:t>构筑物均封闭，</w:t>
      </w:r>
      <w:r>
        <w:rPr>
          <w:rFonts w:ascii="Times New Roman" w:hAnsi="Times New Roman" w:eastAsia="宋体" w:cs="Times New Roman"/>
          <w:color w:val="auto"/>
          <w:sz w:val="24"/>
          <w:szCs w:val="24"/>
        </w:rPr>
        <w:t>产生少量逸散废气，主要污染物因子为臭气浓度，通过空气流动自由扩散。</w:t>
      </w:r>
    </w:p>
    <w:p w14:paraId="5F5EFE67">
      <w:pPr>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（3）粉尘：</w:t>
      </w:r>
      <w:r>
        <w:rPr>
          <w:rFonts w:hint="eastAsia" w:ascii="Times New Roman" w:hAnsi="Times New Roman" w:eastAsia="宋体" w:cs="Times New Roman"/>
          <w:color w:val="auto"/>
          <w:sz w:val="24"/>
          <w:szCs w:val="24"/>
          <w:lang w:val="en-US" w:eastAsia="zh-CN"/>
        </w:rPr>
        <w:t>投料过程及原料储存</w:t>
      </w:r>
      <w:r>
        <w:rPr>
          <w:rFonts w:ascii="Times New Roman" w:hAnsi="Times New Roman" w:eastAsia="宋体" w:cs="Times New Roman"/>
          <w:color w:val="auto"/>
          <w:sz w:val="24"/>
          <w:szCs w:val="24"/>
        </w:rPr>
        <w:t>产生的粉尘，</w:t>
      </w:r>
      <w:r>
        <w:rPr>
          <w:rFonts w:hint="eastAsia" w:ascii="Times New Roman" w:hAnsi="Times New Roman" w:eastAsia="宋体" w:cs="Times New Roman"/>
          <w:color w:val="auto"/>
          <w:sz w:val="24"/>
          <w:szCs w:val="24"/>
          <w:lang w:val="en-US" w:eastAsia="zh-CN"/>
        </w:rPr>
        <w:t>投料过程中原料经管道</w:t>
      </w:r>
      <w:r>
        <w:rPr>
          <w:rFonts w:ascii="Times New Roman" w:hAnsi="Times New Roman" w:eastAsia="宋体" w:cs="Times New Roman"/>
          <w:color w:val="auto"/>
          <w:sz w:val="24"/>
          <w:szCs w:val="24"/>
        </w:rPr>
        <w:t>经</w:t>
      </w:r>
      <w:r>
        <w:rPr>
          <w:rFonts w:hint="eastAsia" w:ascii="Times New Roman" w:hAnsi="Times New Roman" w:eastAsia="宋体" w:cs="Times New Roman"/>
          <w:color w:val="auto"/>
          <w:sz w:val="24"/>
          <w:szCs w:val="24"/>
          <w:lang w:val="en-US" w:eastAsia="zh-CN"/>
        </w:rPr>
        <w:t>输送，投料放料过程均不打开罐盖，仅产生极少量投料粉尘无组织排放，原料储存库房封闭，减少原料储存粉尘逸散</w:t>
      </w:r>
      <w:r>
        <w:rPr>
          <w:rFonts w:ascii="Times New Roman" w:hAnsi="Times New Roman" w:eastAsia="宋体" w:cs="Times New Roman"/>
          <w:color w:val="auto"/>
          <w:sz w:val="24"/>
          <w:szCs w:val="24"/>
        </w:rPr>
        <w:t>。</w:t>
      </w:r>
    </w:p>
    <w:p w14:paraId="2BC1CEFD">
      <w:pPr>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无组织废气产生及治理措施见表</w:t>
      </w:r>
      <w:r>
        <w:rPr>
          <w:rFonts w:ascii="Times New Roman" w:hAnsi="Times New Roman" w:eastAsia="宋体" w:cs="Times New Roman"/>
          <w:color w:val="auto"/>
          <w:kern w:val="0"/>
          <w:sz w:val="24"/>
          <w:szCs w:val="24"/>
        </w:rPr>
        <w:t>3.1.</w:t>
      </w:r>
      <w:r>
        <w:rPr>
          <w:rFonts w:hint="eastAsia" w:ascii="Times New Roman" w:hAnsi="Times New Roman" w:eastAsia="宋体" w:cs="Times New Roman"/>
          <w:color w:val="auto"/>
          <w:kern w:val="0"/>
          <w:sz w:val="24"/>
          <w:szCs w:val="24"/>
        </w:rPr>
        <w:t>11</w:t>
      </w:r>
      <w:r>
        <w:rPr>
          <w:rFonts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rPr>
        <w:t>2</w:t>
      </w:r>
      <w:r>
        <w:rPr>
          <w:rFonts w:ascii="Times New Roman" w:hAnsi="Times New Roman" w:eastAsia="宋体" w:cs="Times New Roman"/>
          <w:color w:val="auto"/>
          <w:sz w:val="24"/>
          <w:szCs w:val="24"/>
        </w:rPr>
        <w:t>。</w:t>
      </w:r>
    </w:p>
    <w:p w14:paraId="452E7D0D">
      <w:pPr>
        <w:pStyle w:val="6"/>
        <w:bidi w:val="0"/>
      </w:pPr>
      <w:r>
        <w:t>表3.1.</w:t>
      </w:r>
      <w:r>
        <w:rPr>
          <w:rFonts w:hint="eastAsia"/>
        </w:rPr>
        <w:t>11</w:t>
      </w:r>
      <w:r>
        <w:t>-</w:t>
      </w:r>
      <w:r>
        <w:rPr>
          <w:rFonts w:hint="eastAsia"/>
        </w:rPr>
        <w:t>2</w:t>
      </w:r>
      <w:r>
        <w:t xml:space="preserve">  </w:t>
      </w:r>
      <w:r>
        <w:rPr>
          <w:rFonts w:hint="eastAsia"/>
        </w:rPr>
        <w:t xml:space="preserve"> </w:t>
      </w:r>
      <w:r>
        <w:t xml:space="preserve"> 无组织废气产生及治理措施</w:t>
      </w:r>
    </w:p>
    <w:tbl>
      <w:tblPr>
        <w:tblStyle w:val="41"/>
        <w:tblW w:w="4998" w:type="pct"/>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338"/>
        <w:gridCol w:w="1826"/>
        <w:gridCol w:w="3950"/>
        <w:gridCol w:w="1199"/>
      </w:tblGrid>
      <w:tr w14:paraId="11EB32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4" w:hRule="atLeast"/>
        </w:trPr>
        <w:tc>
          <w:tcPr>
            <w:tcW w:w="805" w:type="pct"/>
            <w:tcBorders>
              <w:top w:val="single" w:color="auto" w:sz="4" w:space="0"/>
              <w:left w:val="single" w:color="auto" w:sz="4" w:space="0"/>
              <w:bottom w:val="single" w:color="auto" w:sz="4" w:space="0"/>
              <w:right w:val="single" w:color="auto" w:sz="4" w:space="0"/>
            </w:tcBorders>
            <w:vAlign w:val="center"/>
          </w:tcPr>
          <w:p w14:paraId="23803DF5">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污染源</w:t>
            </w:r>
          </w:p>
        </w:tc>
        <w:tc>
          <w:tcPr>
            <w:tcW w:w="1098" w:type="pct"/>
            <w:tcBorders>
              <w:top w:val="single" w:color="auto" w:sz="4" w:space="0"/>
              <w:left w:val="single" w:color="auto" w:sz="4" w:space="0"/>
              <w:bottom w:val="single" w:color="auto" w:sz="4" w:space="0"/>
              <w:right w:val="single" w:color="auto" w:sz="4" w:space="0"/>
            </w:tcBorders>
            <w:vAlign w:val="center"/>
          </w:tcPr>
          <w:p w14:paraId="09D59881">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主要污染物</w:t>
            </w:r>
          </w:p>
        </w:tc>
        <w:tc>
          <w:tcPr>
            <w:tcW w:w="2375" w:type="pct"/>
            <w:tcBorders>
              <w:top w:val="single" w:color="auto" w:sz="4" w:space="0"/>
              <w:left w:val="single" w:color="auto" w:sz="4" w:space="0"/>
              <w:bottom w:val="single" w:color="auto" w:sz="4" w:space="0"/>
              <w:right w:val="single" w:color="auto" w:sz="4" w:space="0"/>
            </w:tcBorders>
            <w:vAlign w:val="center"/>
          </w:tcPr>
          <w:p w14:paraId="62483EB0">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治理措施及去向</w:t>
            </w:r>
          </w:p>
        </w:tc>
        <w:tc>
          <w:tcPr>
            <w:tcW w:w="721" w:type="pct"/>
            <w:tcBorders>
              <w:top w:val="single" w:color="auto" w:sz="4" w:space="0"/>
              <w:left w:val="single" w:color="auto" w:sz="4" w:space="0"/>
              <w:bottom w:val="single" w:color="auto" w:sz="4" w:space="0"/>
              <w:right w:val="single" w:color="auto" w:sz="4" w:space="0"/>
            </w:tcBorders>
            <w:vAlign w:val="center"/>
          </w:tcPr>
          <w:p w14:paraId="0899DE20">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排放形式</w:t>
            </w:r>
          </w:p>
        </w:tc>
      </w:tr>
      <w:tr w14:paraId="5CDF71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3" w:hRule="atLeast"/>
        </w:trPr>
        <w:tc>
          <w:tcPr>
            <w:tcW w:w="805" w:type="pct"/>
            <w:tcBorders>
              <w:top w:val="single" w:color="auto" w:sz="4" w:space="0"/>
              <w:left w:val="single" w:color="auto" w:sz="4" w:space="0"/>
              <w:bottom w:val="single" w:color="auto" w:sz="4" w:space="0"/>
              <w:right w:val="single" w:color="auto" w:sz="4" w:space="0"/>
            </w:tcBorders>
            <w:vAlign w:val="center"/>
          </w:tcPr>
          <w:p w14:paraId="070090D8">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生产车间</w:t>
            </w:r>
          </w:p>
        </w:tc>
        <w:tc>
          <w:tcPr>
            <w:tcW w:w="1098" w:type="pct"/>
            <w:tcBorders>
              <w:top w:val="single" w:color="auto" w:sz="4" w:space="0"/>
              <w:left w:val="single" w:color="auto" w:sz="4" w:space="0"/>
              <w:bottom w:val="single" w:color="auto" w:sz="4" w:space="0"/>
              <w:right w:val="single" w:color="auto" w:sz="4" w:space="0"/>
            </w:tcBorders>
            <w:vAlign w:val="center"/>
          </w:tcPr>
          <w:p w14:paraId="3BC1549C">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发酵废气、生产废气</w:t>
            </w:r>
          </w:p>
        </w:tc>
        <w:tc>
          <w:tcPr>
            <w:tcW w:w="2375" w:type="pct"/>
            <w:tcBorders>
              <w:top w:val="single" w:color="auto" w:sz="4" w:space="0"/>
              <w:left w:val="single" w:color="auto" w:sz="4" w:space="0"/>
              <w:bottom w:val="single" w:color="auto" w:sz="4" w:space="0"/>
              <w:right w:val="single" w:color="auto" w:sz="4" w:space="0"/>
            </w:tcBorders>
            <w:vAlign w:val="center"/>
          </w:tcPr>
          <w:p w14:paraId="02D7A99C">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少部分逸散废气，通过空气流动自由扩散，周边绿化带吸收</w:t>
            </w:r>
          </w:p>
        </w:tc>
        <w:tc>
          <w:tcPr>
            <w:tcW w:w="721" w:type="pct"/>
            <w:tcBorders>
              <w:top w:val="single" w:color="auto" w:sz="4" w:space="0"/>
              <w:left w:val="single" w:color="auto" w:sz="4" w:space="0"/>
              <w:bottom w:val="single" w:color="auto" w:sz="4" w:space="0"/>
              <w:right w:val="single" w:color="auto" w:sz="4" w:space="0"/>
            </w:tcBorders>
            <w:vAlign w:val="center"/>
          </w:tcPr>
          <w:p w14:paraId="26927D58">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无组织排放</w:t>
            </w:r>
          </w:p>
        </w:tc>
      </w:tr>
      <w:tr w14:paraId="0E2C84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6" w:hRule="atLeast"/>
        </w:trPr>
        <w:tc>
          <w:tcPr>
            <w:tcW w:w="805" w:type="pct"/>
            <w:tcBorders>
              <w:top w:val="single" w:color="auto" w:sz="4" w:space="0"/>
              <w:left w:val="single" w:color="auto" w:sz="4" w:space="0"/>
              <w:bottom w:val="single" w:color="auto" w:sz="4" w:space="0"/>
              <w:right w:val="single" w:color="auto" w:sz="4" w:space="0"/>
            </w:tcBorders>
            <w:vAlign w:val="center"/>
          </w:tcPr>
          <w:p w14:paraId="0307FA98">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危废暂存间、污水处理站</w:t>
            </w:r>
          </w:p>
        </w:tc>
        <w:tc>
          <w:tcPr>
            <w:tcW w:w="1098" w:type="pct"/>
            <w:tcBorders>
              <w:top w:val="single" w:color="auto" w:sz="4" w:space="0"/>
              <w:left w:val="single" w:color="auto" w:sz="4" w:space="0"/>
              <w:bottom w:val="single" w:color="auto" w:sz="4" w:space="0"/>
              <w:right w:val="single" w:color="auto" w:sz="4" w:space="0"/>
            </w:tcBorders>
            <w:vAlign w:val="center"/>
          </w:tcPr>
          <w:p w14:paraId="64254CFE">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lang w:val="en-US" w:eastAsia="zh-CN"/>
              </w:rPr>
              <w:t>臭气浓度、</w:t>
            </w:r>
            <w:r>
              <w:rPr>
                <w:rFonts w:ascii="Times New Roman" w:hAnsi="Times New Roman" w:eastAsia="宋体" w:cs="Times New Roman"/>
                <w:color w:val="auto"/>
                <w:sz w:val="22"/>
                <w:szCs w:val="24"/>
              </w:rPr>
              <w:t>硫化氢、氨</w:t>
            </w:r>
          </w:p>
        </w:tc>
        <w:tc>
          <w:tcPr>
            <w:tcW w:w="2375" w:type="pct"/>
            <w:tcBorders>
              <w:top w:val="single" w:color="auto" w:sz="4" w:space="0"/>
              <w:left w:val="single" w:color="auto" w:sz="4" w:space="0"/>
              <w:bottom w:val="single" w:color="auto" w:sz="4" w:space="0"/>
              <w:right w:val="single" w:color="auto" w:sz="4" w:space="0"/>
            </w:tcBorders>
            <w:vAlign w:val="center"/>
          </w:tcPr>
          <w:p w14:paraId="060799D3">
            <w:pPr>
              <w:jc w:val="both"/>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lang w:val="en-US" w:eastAsia="zh-CN"/>
              </w:rPr>
              <w:t>构筑物封闭</w:t>
            </w:r>
            <w:r>
              <w:rPr>
                <w:rFonts w:ascii="Times New Roman" w:hAnsi="Times New Roman" w:eastAsia="宋体" w:cs="Times New Roman"/>
                <w:color w:val="auto"/>
                <w:sz w:val="22"/>
                <w:szCs w:val="24"/>
              </w:rPr>
              <w:t>，产生少量的逸散废气随空气流动，自由扩散</w:t>
            </w:r>
          </w:p>
        </w:tc>
        <w:tc>
          <w:tcPr>
            <w:tcW w:w="721" w:type="pct"/>
            <w:tcBorders>
              <w:top w:val="single" w:color="auto" w:sz="4" w:space="0"/>
              <w:left w:val="single" w:color="auto" w:sz="4" w:space="0"/>
              <w:bottom w:val="single" w:color="auto" w:sz="4" w:space="0"/>
              <w:right w:val="single" w:color="auto" w:sz="4" w:space="0"/>
            </w:tcBorders>
            <w:vAlign w:val="center"/>
          </w:tcPr>
          <w:p w14:paraId="6CA4ED32">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无组织排放</w:t>
            </w:r>
          </w:p>
        </w:tc>
      </w:tr>
      <w:tr w14:paraId="1C0F0E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1" w:hRule="atLeast"/>
        </w:trPr>
        <w:tc>
          <w:tcPr>
            <w:tcW w:w="805" w:type="pct"/>
            <w:tcBorders>
              <w:top w:val="single" w:color="auto" w:sz="4" w:space="0"/>
              <w:left w:val="single" w:color="auto" w:sz="4" w:space="0"/>
              <w:bottom w:val="single" w:color="auto" w:sz="4" w:space="0"/>
              <w:right w:val="single" w:color="auto" w:sz="4" w:space="0"/>
            </w:tcBorders>
            <w:vAlign w:val="center"/>
          </w:tcPr>
          <w:p w14:paraId="5CD7E400">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投料罐、原料仓库</w:t>
            </w:r>
          </w:p>
        </w:tc>
        <w:tc>
          <w:tcPr>
            <w:tcW w:w="1098" w:type="pct"/>
            <w:tcBorders>
              <w:top w:val="single" w:color="auto" w:sz="4" w:space="0"/>
              <w:left w:val="single" w:color="auto" w:sz="4" w:space="0"/>
              <w:bottom w:val="single" w:color="auto" w:sz="4" w:space="0"/>
              <w:right w:val="single" w:color="auto" w:sz="4" w:space="0"/>
            </w:tcBorders>
            <w:vAlign w:val="center"/>
          </w:tcPr>
          <w:p w14:paraId="6152C78A">
            <w:pPr>
              <w:jc w:val="center"/>
              <w:rPr>
                <w:rFonts w:hint="eastAsia"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颗粒物</w:t>
            </w:r>
          </w:p>
        </w:tc>
        <w:tc>
          <w:tcPr>
            <w:tcW w:w="2375" w:type="pct"/>
            <w:tcBorders>
              <w:top w:val="single" w:color="auto" w:sz="4" w:space="0"/>
              <w:left w:val="single" w:color="auto" w:sz="4" w:space="0"/>
              <w:bottom w:val="single" w:color="auto" w:sz="4" w:space="0"/>
              <w:right w:val="single" w:color="auto" w:sz="4" w:space="0"/>
            </w:tcBorders>
            <w:vAlign w:val="center"/>
          </w:tcPr>
          <w:p w14:paraId="3FBDD66B">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lang w:val="en-US" w:eastAsia="zh-CN"/>
              </w:rPr>
              <w:t>原料罐及仓库均封闭，</w:t>
            </w:r>
            <w:r>
              <w:rPr>
                <w:rFonts w:ascii="Times New Roman" w:hAnsi="Times New Roman" w:eastAsia="宋体" w:cs="Times New Roman"/>
                <w:color w:val="auto"/>
                <w:sz w:val="22"/>
                <w:szCs w:val="24"/>
              </w:rPr>
              <w:t>少部分逸散废气随空气流动，周边绿化带吸收</w:t>
            </w:r>
          </w:p>
        </w:tc>
        <w:tc>
          <w:tcPr>
            <w:tcW w:w="721" w:type="pct"/>
            <w:tcBorders>
              <w:top w:val="single" w:color="auto" w:sz="4" w:space="0"/>
              <w:left w:val="single" w:color="auto" w:sz="4" w:space="0"/>
              <w:bottom w:val="single" w:color="auto" w:sz="4" w:space="0"/>
              <w:right w:val="single" w:color="auto" w:sz="4" w:space="0"/>
            </w:tcBorders>
            <w:vAlign w:val="center"/>
          </w:tcPr>
          <w:p w14:paraId="70D7A62D">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无组织排放</w:t>
            </w:r>
          </w:p>
        </w:tc>
      </w:tr>
    </w:tbl>
    <w:p w14:paraId="6EB94DD3">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2、达标排放情况</w:t>
      </w:r>
    </w:p>
    <w:p w14:paraId="492AC9F2">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本次环评收集了</w:t>
      </w:r>
      <w:r>
        <w:rPr>
          <w:rFonts w:ascii="Times New Roman" w:hAnsi="Times New Roman" w:eastAsia="宋体" w:cs="Times New Roman"/>
          <w:color w:val="auto"/>
          <w:sz w:val="24"/>
          <w:szCs w:val="24"/>
        </w:rPr>
        <w:t>202</w:t>
      </w:r>
      <w:r>
        <w:rPr>
          <w:rFonts w:hint="eastAsia" w:ascii="Times New Roman" w:hAnsi="Times New Roman" w:eastAsia="宋体" w:cs="Times New Roman"/>
          <w:color w:val="auto"/>
          <w:sz w:val="24"/>
          <w:szCs w:val="24"/>
          <w:lang w:val="en-US" w:eastAsia="zh-CN"/>
        </w:rPr>
        <w:t>4</w:t>
      </w:r>
      <w:r>
        <w:rPr>
          <w:rFonts w:hint="eastAsia" w:ascii="Times New Roman" w:hAnsi="Times New Roman" w:eastAsia="宋体" w:cs="Times New Roman"/>
          <w:color w:val="auto"/>
          <w:sz w:val="24"/>
          <w:szCs w:val="24"/>
        </w:rPr>
        <w:t>年委托监测数据。本次环评对厂区污染物达标排放情况及污染物排放量核算，以常规监测报告结果</w:t>
      </w:r>
      <w:r>
        <w:rPr>
          <w:rFonts w:hint="eastAsia" w:ascii="Times New Roman" w:hAnsi="Times New Roman" w:eastAsia="宋体" w:cs="Times New Roman"/>
          <w:color w:val="auto"/>
          <w:sz w:val="24"/>
          <w:szCs w:val="24"/>
          <w:lang w:val="en-US" w:eastAsia="zh-CN"/>
        </w:rPr>
        <w:t>及《2023年年度执行报告》</w:t>
      </w:r>
      <w:r>
        <w:rPr>
          <w:rFonts w:hint="eastAsia" w:ascii="Times New Roman" w:hAnsi="Times New Roman" w:eastAsia="宋体" w:cs="Times New Roman"/>
          <w:color w:val="auto"/>
          <w:sz w:val="24"/>
          <w:szCs w:val="24"/>
        </w:rPr>
        <w:t>为依据。</w:t>
      </w:r>
    </w:p>
    <w:p w14:paraId="09921C8A">
      <w:pPr>
        <w:jc w:val="center"/>
        <w:rPr>
          <w:rFonts w:ascii="Times New Roman" w:hAnsi="Times New Roman" w:eastAsia="宋体" w:cs="Times New Roman"/>
          <w:b/>
          <w:bCs/>
          <w:color w:val="auto"/>
          <w:sz w:val="22"/>
          <w:szCs w:val="24"/>
        </w:rPr>
      </w:pPr>
      <w:r>
        <w:rPr>
          <w:rStyle w:val="56"/>
          <w:rFonts w:hint="eastAsia"/>
        </w:rPr>
        <w:t>表</w:t>
      </w:r>
      <w:r>
        <w:rPr>
          <w:rStyle w:val="56"/>
        </w:rPr>
        <w:t>3.1.</w:t>
      </w:r>
      <w:r>
        <w:rPr>
          <w:rStyle w:val="56"/>
          <w:rFonts w:hint="eastAsia"/>
        </w:rPr>
        <w:t>11-3</w:t>
      </w:r>
      <w:r>
        <w:rPr>
          <w:rStyle w:val="56"/>
        </w:rPr>
        <w:t xml:space="preserve">    </w:t>
      </w:r>
      <w:r>
        <w:rPr>
          <w:rStyle w:val="56"/>
          <w:rFonts w:hint="eastAsia"/>
          <w:lang w:val="en-US" w:eastAsia="zh-CN"/>
        </w:rPr>
        <w:t>常规委托</w:t>
      </w:r>
      <w:r>
        <w:rPr>
          <w:rStyle w:val="56"/>
          <w:rFonts w:hint="eastAsia"/>
        </w:rPr>
        <w:t xml:space="preserve">监测数据结果一览表 </w:t>
      </w:r>
      <w:r>
        <w:rPr>
          <w:rFonts w:ascii="Times New Roman" w:hAnsi="Times New Roman" w:eastAsia="宋体" w:cs="Times New Roman"/>
          <w:b/>
          <w:bCs/>
          <w:color w:val="auto"/>
          <w:sz w:val="22"/>
          <w:szCs w:val="24"/>
        </w:rPr>
        <w:t xml:space="preserve"> </w:t>
      </w:r>
    </w:p>
    <w:tbl>
      <w:tblPr>
        <w:tblStyle w:val="41"/>
        <w:tblW w:w="4986" w:type="pct"/>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628"/>
        <w:gridCol w:w="1201"/>
        <w:gridCol w:w="2192"/>
        <w:gridCol w:w="989"/>
        <w:gridCol w:w="987"/>
        <w:gridCol w:w="1083"/>
        <w:gridCol w:w="1213"/>
      </w:tblGrid>
      <w:tr w14:paraId="29BF30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79" w:type="pct"/>
            <w:vMerge w:val="restart"/>
            <w:tcBorders>
              <w:left w:val="single" w:color="auto" w:sz="4" w:space="0"/>
              <w:right w:val="single" w:color="auto" w:sz="4" w:space="0"/>
            </w:tcBorders>
            <w:shd w:val="clear" w:color="auto" w:fill="auto"/>
            <w:vAlign w:val="center"/>
          </w:tcPr>
          <w:p w14:paraId="287C62AE">
            <w:pPr>
              <w:jc w:val="center"/>
              <w:rPr>
                <w:rFonts w:hint="eastAsia" w:ascii="Times New Roman" w:hAnsi="Times New Roman" w:eastAsia="宋体" w:cs="Times New Roman"/>
                <w:b/>
                <w:bCs/>
                <w:color w:val="auto"/>
                <w:kern w:val="2"/>
                <w:sz w:val="18"/>
                <w:szCs w:val="18"/>
                <w:lang w:val="en-US" w:eastAsia="zh-CN" w:bidi="ar-SA"/>
              </w:rPr>
            </w:pPr>
            <w:r>
              <w:rPr>
                <w:rFonts w:ascii="Times New Roman" w:hAnsi="Times New Roman" w:eastAsia="宋体" w:cs="Times New Roman"/>
                <w:b/>
                <w:bCs/>
                <w:color w:val="auto"/>
                <w:sz w:val="18"/>
                <w:szCs w:val="18"/>
                <w:lang w:eastAsia="en-US"/>
              </w:rPr>
              <w:t>采样点位</w:t>
            </w:r>
          </w:p>
        </w:tc>
        <w:tc>
          <w:tcPr>
            <w:tcW w:w="2045" w:type="pct"/>
            <w:gridSpan w:val="2"/>
            <w:vMerge w:val="restart"/>
            <w:tcBorders>
              <w:top w:val="single" w:color="auto" w:sz="4" w:space="0"/>
              <w:left w:val="single" w:color="auto" w:sz="4" w:space="0"/>
              <w:right w:val="single" w:color="auto" w:sz="4" w:space="0"/>
            </w:tcBorders>
            <w:shd w:val="clear" w:color="auto" w:fill="auto"/>
            <w:vAlign w:val="center"/>
          </w:tcPr>
          <w:p w14:paraId="7C8DA11A">
            <w:pPr>
              <w:jc w:val="center"/>
              <w:rPr>
                <w:rFonts w:hint="eastAsia" w:ascii="Times New Roman" w:hAnsi="Times New Roman" w:eastAsia="宋体" w:cs="Times New Roman"/>
                <w:color w:val="auto"/>
                <w:kern w:val="2"/>
                <w:sz w:val="21"/>
                <w:szCs w:val="21"/>
                <w:lang w:val="en-US" w:eastAsia="en-US" w:bidi="ar-SA"/>
              </w:rPr>
            </w:pPr>
            <w:r>
              <w:rPr>
                <w:rFonts w:ascii="Times New Roman" w:hAnsi="Times New Roman" w:eastAsia="宋体" w:cs="Times New Roman"/>
                <w:b/>
                <w:bCs/>
                <w:color w:val="auto"/>
                <w:sz w:val="18"/>
                <w:szCs w:val="18"/>
                <w:lang w:eastAsia="en-US"/>
              </w:rPr>
              <w:t>检测项目</w:t>
            </w:r>
          </w:p>
        </w:tc>
        <w:tc>
          <w:tcPr>
            <w:tcW w:w="2575" w:type="pct"/>
            <w:gridSpan w:val="4"/>
            <w:tcBorders>
              <w:top w:val="single" w:color="auto" w:sz="4" w:space="0"/>
              <w:left w:val="single" w:color="auto" w:sz="4" w:space="0"/>
              <w:bottom w:val="single" w:color="auto" w:sz="4" w:space="0"/>
              <w:right w:val="single" w:color="auto" w:sz="4" w:space="0"/>
            </w:tcBorders>
            <w:shd w:val="clear" w:color="auto" w:fill="auto"/>
            <w:vAlign w:val="center"/>
          </w:tcPr>
          <w:p w14:paraId="4335705E">
            <w:pPr>
              <w:jc w:val="center"/>
              <w:rPr>
                <w:rFonts w:hint="eastAsia" w:ascii="Times New Roman" w:hAnsi="Times New Roman" w:eastAsia="宋体" w:cs="Times New Roman"/>
                <w:color w:val="auto"/>
                <w:kern w:val="2"/>
                <w:sz w:val="18"/>
                <w:szCs w:val="18"/>
                <w:lang w:val="en-US" w:eastAsia="zh-CN" w:bidi="ar-SA"/>
              </w:rPr>
            </w:pPr>
            <w:r>
              <w:rPr>
                <w:rFonts w:ascii="Times New Roman" w:hAnsi="Times New Roman" w:eastAsia="宋体" w:cs="Times New Roman"/>
                <w:b/>
                <w:bCs/>
                <w:color w:val="auto"/>
                <w:sz w:val="18"/>
                <w:szCs w:val="18"/>
                <w:lang w:eastAsia="en-US"/>
              </w:rPr>
              <w:t>采样时间及检测结果</w:t>
            </w:r>
          </w:p>
        </w:tc>
      </w:tr>
      <w:tr w14:paraId="6AB3F5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79" w:type="pct"/>
            <w:vMerge w:val="continue"/>
            <w:tcBorders>
              <w:left w:val="single" w:color="auto" w:sz="4" w:space="0"/>
              <w:right w:val="single" w:color="auto" w:sz="4" w:space="0"/>
            </w:tcBorders>
            <w:shd w:val="clear" w:color="auto" w:fill="auto"/>
            <w:vAlign w:val="center"/>
          </w:tcPr>
          <w:p w14:paraId="1C6B4B44">
            <w:pPr>
              <w:jc w:val="center"/>
              <w:rPr>
                <w:rFonts w:hint="eastAsia" w:ascii="Times New Roman" w:hAnsi="Times New Roman" w:eastAsia="宋体" w:cs="Times New Roman"/>
                <w:color w:val="auto"/>
                <w:sz w:val="18"/>
                <w:szCs w:val="18"/>
                <w:lang w:val="en-US" w:eastAsia="zh-CN"/>
              </w:rPr>
            </w:pPr>
          </w:p>
        </w:tc>
        <w:tc>
          <w:tcPr>
            <w:tcW w:w="2045" w:type="pct"/>
            <w:gridSpan w:val="2"/>
            <w:vMerge w:val="continue"/>
            <w:tcBorders>
              <w:left w:val="single" w:color="auto" w:sz="4" w:space="0"/>
              <w:right w:val="single" w:color="auto" w:sz="4" w:space="0"/>
            </w:tcBorders>
            <w:shd w:val="clear" w:color="auto" w:fill="auto"/>
            <w:vAlign w:val="center"/>
          </w:tcPr>
          <w:p w14:paraId="1734F215">
            <w:pPr>
              <w:jc w:val="center"/>
              <w:rPr>
                <w:rFonts w:hint="default" w:ascii="Times New Roman" w:hAnsi="Times New Roman" w:eastAsia="宋体" w:cs="Times New Roman"/>
                <w:color w:val="auto"/>
                <w:kern w:val="2"/>
                <w:sz w:val="21"/>
                <w:szCs w:val="21"/>
                <w:lang w:val="en-US" w:eastAsia="en-US" w:bidi="ar-SA"/>
              </w:rPr>
            </w:pPr>
          </w:p>
        </w:tc>
        <w:tc>
          <w:tcPr>
            <w:tcW w:w="2575" w:type="pct"/>
            <w:gridSpan w:val="4"/>
            <w:tcBorders>
              <w:top w:val="single" w:color="auto" w:sz="4" w:space="0"/>
              <w:left w:val="single" w:color="auto" w:sz="4" w:space="0"/>
              <w:bottom w:val="single" w:color="auto" w:sz="4" w:space="0"/>
              <w:right w:val="single" w:color="auto" w:sz="4" w:space="0"/>
            </w:tcBorders>
            <w:shd w:val="clear" w:color="auto" w:fill="auto"/>
            <w:vAlign w:val="center"/>
          </w:tcPr>
          <w:p w14:paraId="0C7E73A0">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b/>
                <w:bCs/>
                <w:color w:val="auto"/>
                <w:sz w:val="18"/>
                <w:szCs w:val="18"/>
                <w:lang w:val="en-US" w:eastAsia="zh-CN"/>
              </w:rPr>
              <w:t>2024.1.5</w:t>
            </w:r>
          </w:p>
        </w:tc>
      </w:tr>
      <w:tr w14:paraId="511EA2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79" w:type="pct"/>
            <w:vMerge w:val="continue"/>
            <w:tcBorders>
              <w:left w:val="single" w:color="auto" w:sz="4" w:space="0"/>
              <w:right w:val="single" w:color="auto" w:sz="4" w:space="0"/>
            </w:tcBorders>
            <w:shd w:val="clear" w:color="auto" w:fill="auto"/>
            <w:vAlign w:val="center"/>
          </w:tcPr>
          <w:p w14:paraId="1D45CF43">
            <w:pPr>
              <w:jc w:val="center"/>
              <w:rPr>
                <w:rFonts w:hint="eastAsia" w:ascii="Times New Roman" w:hAnsi="Times New Roman" w:eastAsia="宋体" w:cs="Times New Roman"/>
                <w:color w:val="auto"/>
                <w:sz w:val="18"/>
                <w:szCs w:val="18"/>
                <w:lang w:val="en-US" w:eastAsia="zh-CN"/>
              </w:rPr>
            </w:pPr>
          </w:p>
        </w:tc>
        <w:tc>
          <w:tcPr>
            <w:tcW w:w="2045" w:type="pct"/>
            <w:gridSpan w:val="2"/>
            <w:vMerge w:val="continue"/>
            <w:tcBorders>
              <w:left w:val="single" w:color="auto" w:sz="4" w:space="0"/>
              <w:bottom w:val="single" w:color="auto" w:sz="4" w:space="0"/>
              <w:right w:val="single" w:color="auto" w:sz="4" w:space="0"/>
            </w:tcBorders>
            <w:shd w:val="clear" w:color="auto" w:fill="auto"/>
            <w:vAlign w:val="center"/>
          </w:tcPr>
          <w:p w14:paraId="64F30D7E">
            <w:pPr>
              <w:jc w:val="center"/>
              <w:rPr>
                <w:rFonts w:hint="eastAsia" w:ascii="Times New Roman" w:hAnsi="Times New Roman" w:eastAsia="宋体" w:cs="Times New Roman"/>
                <w:b/>
                <w:bCs/>
                <w:color w:val="auto"/>
                <w:kern w:val="2"/>
                <w:sz w:val="18"/>
                <w:szCs w:val="18"/>
                <w:lang w:val="en-US" w:eastAsia="en-US" w:bidi="ar-SA"/>
              </w:rPr>
            </w:pPr>
          </w:p>
        </w:tc>
        <w:tc>
          <w:tcPr>
            <w:tcW w:w="596" w:type="pct"/>
            <w:tcBorders>
              <w:top w:val="single" w:color="auto" w:sz="4" w:space="0"/>
              <w:left w:val="single" w:color="auto" w:sz="4" w:space="0"/>
              <w:bottom w:val="single" w:color="auto" w:sz="4" w:space="0"/>
              <w:right w:val="single" w:color="auto" w:sz="4" w:space="0"/>
            </w:tcBorders>
            <w:shd w:val="clear" w:color="auto" w:fill="auto"/>
            <w:vAlign w:val="center"/>
          </w:tcPr>
          <w:p w14:paraId="05A5B6EA">
            <w:pPr>
              <w:jc w:val="center"/>
              <w:rPr>
                <w:rFonts w:hint="eastAsia" w:ascii="Times New Roman" w:hAnsi="Times New Roman" w:eastAsia="宋体" w:cs="Times New Roman"/>
                <w:b/>
                <w:bCs/>
                <w:color w:val="auto"/>
                <w:kern w:val="2"/>
                <w:sz w:val="18"/>
                <w:szCs w:val="18"/>
                <w:lang w:val="en-US" w:eastAsia="zh-CN" w:bidi="ar-SA"/>
              </w:rPr>
            </w:pPr>
            <w:r>
              <w:rPr>
                <w:rFonts w:ascii="Times New Roman" w:hAnsi="Times New Roman" w:eastAsia="宋体" w:cs="Times New Roman"/>
                <w:b/>
                <w:bCs/>
                <w:color w:val="auto"/>
                <w:sz w:val="18"/>
                <w:szCs w:val="18"/>
                <w:lang w:eastAsia="en-US"/>
              </w:rPr>
              <w:t>第一次</w:t>
            </w:r>
          </w:p>
        </w:tc>
        <w:tc>
          <w:tcPr>
            <w:tcW w:w="595" w:type="pct"/>
            <w:tcBorders>
              <w:top w:val="single" w:color="auto" w:sz="4" w:space="0"/>
              <w:left w:val="single" w:color="auto" w:sz="4" w:space="0"/>
              <w:bottom w:val="single" w:color="auto" w:sz="4" w:space="0"/>
              <w:right w:val="single" w:color="auto" w:sz="4" w:space="0"/>
            </w:tcBorders>
            <w:shd w:val="clear" w:color="auto" w:fill="auto"/>
            <w:vAlign w:val="center"/>
          </w:tcPr>
          <w:p w14:paraId="7AA15F6A">
            <w:pPr>
              <w:jc w:val="center"/>
              <w:rPr>
                <w:rFonts w:hint="eastAsia" w:ascii="Times New Roman" w:hAnsi="Times New Roman" w:eastAsia="宋体" w:cs="Times New Roman"/>
                <w:b/>
                <w:bCs/>
                <w:color w:val="auto"/>
                <w:kern w:val="2"/>
                <w:sz w:val="18"/>
                <w:szCs w:val="18"/>
                <w:lang w:val="en-US" w:eastAsia="zh-CN" w:bidi="ar-SA"/>
              </w:rPr>
            </w:pPr>
            <w:r>
              <w:rPr>
                <w:rFonts w:ascii="Times New Roman" w:hAnsi="Times New Roman" w:eastAsia="宋体" w:cs="Times New Roman"/>
                <w:b/>
                <w:bCs/>
                <w:color w:val="auto"/>
                <w:sz w:val="18"/>
                <w:szCs w:val="18"/>
                <w:lang w:eastAsia="en-US"/>
              </w:rPr>
              <w:t>第二次</w:t>
            </w:r>
          </w:p>
        </w:tc>
        <w:tc>
          <w:tcPr>
            <w:tcW w:w="653" w:type="pct"/>
            <w:tcBorders>
              <w:top w:val="single" w:color="auto" w:sz="4" w:space="0"/>
              <w:left w:val="single" w:color="auto" w:sz="4" w:space="0"/>
              <w:bottom w:val="single" w:color="auto" w:sz="4" w:space="0"/>
              <w:right w:val="single" w:color="auto" w:sz="4" w:space="0"/>
            </w:tcBorders>
            <w:shd w:val="clear" w:color="auto" w:fill="auto"/>
            <w:vAlign w:val="center"/>
          </w:tcPr>
          <w:p w14:paraId="46EBEB37">
            <w:pPr>
              <w:jc w:val="center"/>
              <w:rPr>
                <w:rFonts w:hint="eastAsia" w:ascii="Times New Roman" w:hAnsi="Times New Roman" w:eastAsia="宋体" w:cs="Times New Roman"/>
                <w:b/>
                <w:bCs/>
                <w:color w:val="auto"/>
                <w:kern w:val="2"/>
                <w:sz w:val="18"/>
                <w:szCs w:val="18"/>
                <w:lang w:val="en-US" w:eastAsia="zh-CN" w:bidi="ar-SA"/>
              </w:rPr>
            </w:pPr>
            <w:r>
              <w:rPr>
                <w:rFonts w:ascii="Times New Roman" w:hAnsi="Times New Roman" w:eastAsia="宋体" w:cs="Times New Roman"/>
                <w:b/>
                <w:bCs/>
                <w:color w:val="auto"/>
                <w:sz w:val="18"/>
                <w:szCs w:val="18"/>
                <w:lang w:eastAsia="en-US"/>
              </w:rPr>
              <w:t>第三次</w:t>
            </w:r>
          </w:p>
        </w:tc>
        <w:tc>
          <w:tcPr>
            <w:tcW w:w="730" w:type="pct"/>
            <w:tcBorders>
              <w:top w:val="single" w:color="auto" w:sz="4" w:space="0"/>
              <w:left w:val="single" w:color="auto" w:sz="4" w:space="0"/>
              <w:bottom w:val="single" w:color="auto" w:sz="4" w:space="0"/>
              <w:right w:val="single" w:color="auto" w:sz="4" w:space="0"/>
            </w:tcBorders>
            <w:shd w:val="clear" w:color="auto" w:fill="auto"/>
            <w:vAlign w:val="center"/>
          </w:tcPr>
          <w:p w14:paraId="4B77AB59">
            <w:pPr>
              <w:jc w:val="center"/>
              <w:rPr>
                <w:rFonts w:hint="eastAsia" w:ascii="Times New Roman" w:hAnsi="Times New Roman" w:eastAsia="宋体" w:cs="Times New Roman"/>
                <w:b/>
                <w:bCs/>
                <w:color w:val="auto"/>
                <w:kern w:val="2"/>
                <w:sz w:val="18"/>
                <w:szCs w:val="18"/>
                <w:lang w:val="en-US" w:eastAsia="zh-CN" w:bidi="ar-SA"/>
              </w:rPr>
            </w:pPr>
            <w:r>
              <w:rPr>
                <w:rFonts w:hint="eastAsia" w:ascii="Times New Roman" w:hAnsi="Times New Roman" w:eastAsia="宋体" w:cs="Times New Roman"/>
                <w:b/>
                <w:bCs/>
                <w:color w:val="auto"/>
                <w:sz w:val="18"/>
                <w:szCs w:val="18"/>
                <w:lang w:val="en-US" w:eastAsia="zh-CN"/>
              </w:rPr>
              <w:t>标准值</w:t>
            </w:r>
          </w:p>
        </w:tc>
      </w:tr>
      <w:tr w14:paraId="2C293C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79" w:type="pct"/>
            <w:vMerge w:val="restart"/>
            <w:tcBorders>
              <w:left w:val="single" w:color="auto" w:sz="4" w:space="0"/>
              <w:right w:val="single" w:color="auto" w:sz="4" w:space="0"/>
            </w:tcBorders>
            <w:shd w:val="clear" w:color="auto" w:fill="auto"/>
            <w:vAlign w:val="center"/>
          </w:tcPr>
          <w:p w14:paraId="074B73E5">
            <w:pPr>
              <w:jc w:val="center"/>
              <w:rPr>
                <w:rFonts w:ascii="Times New Roman" w:hAnsi="Times New Roman" w:eastAsia="宋体" w:cs="Times New Roman"/>
                <w:color w:val="auto"/>
                <w:kern w:val="2"/>
                <w:sz w:val="18"/>
                <w:szCs w:val="18"/>
                <w:lang w:val="en-US" w:eastAsia="en-US" w:bidi="ar-SA"/>
              </w:rPr>
            </w:pPr>
            <w:r>
              <w:rPr>
                <w:rFonts w:hint="eastAsia" w:ascii="Times New Roman" w:hAnsi="Times New Roman" w:eastAsia="宋体" w:cs="Times New Roman"/>
                <w:color w:val="auto"/>
                <w:sz w:val="18"/>
                <w:szCs w:val="18"/>
                <w:lang w:val="en-US" w:eastAsia="zh-CN"/>
              </w:rPr>
              <w:t>DA001车间废气处理设施出口</w:t>
            </w:r>
          </w:p>
        </w:tc>
        <w:tc>
          <w:tcPr>
            <w:tcW w:w="724" w:type="pct"/>
            <w:tcBorders>
              <w:top w:val="single" w:color="auto" w:sz="4" w:space="0"/>
              <w:left w:val="single" w:color="auto" w:sz="4" w:space="0"/>
              <w:bottom w:val="single" w:color="auto" w:sz="4" w:space="0"/>
              <w:right w:val="single" w:color="auto" w:sz="4" w:space="0"/>
            </w:tcBorders>
            <w:shd w:val="clear" w:color="auto" w:fill="auto"/>
            <w:vAlign w:val="center"/>
          </w:tcPr>
          <w:p w14:paraId="1CE9C66E">
            <w:pPr>
              <w:jc w:val="center"/>
              <w:rPr>
                <w:rFonts w:hint="eastAsia" w:ascii="Times New Roman" w:hAnsi="Times New Roman" w:eastAsia="宋体" w:cs="Times New Roman"/>
                <w:color w:val="auto"/>
                <w:kern w:val="2"/>
                <w:sz w:val="18"/>
                <w:szCs w:val="18"/>
                <w:lang w:val="en-US" w:eastAsia="zh-CN" w:bidi="ar-SA"/>
              </w:rPr>
            </w:pPr>
            <w:r>
              <w:rPr>
                <w:rFonts w:ascii="Times New Roman" w:hAnsi="Times New Roman" w:eastAsia="宋体" w:cs="Times New Roman"/>
                <w:color w:val="auto"/>
                <w:sz w:val="18"/>
                <w:szCs w:val="18"/>
                <w:lang w:eastAsia="en-US"/>
              </w:rPr>
              <w:t>烟气流量</w:t>
            </w:r>
          </w:p>
        </w:tc>
        <w:tc>
          <w:tcPr>
            <w:tcW w:w="1320" w:type="pct"/>
            <w:tcBorders>
              <w:top w:val="single" w:color="auto" w:sz="4" w:space="0"/>
              <w:left w:val="single" w:color="auto" w:sz="4" w:space="0"/>
              <w:bottom w:val="single" w:color="auto" w:sz="4" w:space="0"/>
              <w:right w:val="single" w:color="auto" w:sz="4" w:space="0"/>
            </w:tcBorders>
            <w:shd w:val="clear" w:color="auto" w:fill="auto"/>
            <w:vAlign w:val="center"/>
          </w:tcPr>
          <w:p w14:paraId="0E3A9017">
            <w:pPr>
              <w:jc w:val="center"/>
              <w:rPr>
                <w:rFonts w:hint="eastAsia" w:ascii="Times New Roman" w:hAnsi="Times New Roman" w:eastAsia="宋体" w:cs="Times New Roman"/>
                <w:color w:val="auto"/>
                <w:kern w:val="2"/>
                <w:sz w:val="18"/>
                <w:szCs w:val="18"/>
                <w:lang w:val="en-US" w:eastAsia="zh-CN" w:bidi="ar-SA"/>
              </w:rPr>
            </w:pPr>
            <w:r>
              <w:rPr>
                <w:rFonts w:ascii="Times New Roman" w:hAnsi="Times New Roman" w:eastAsia="宋体" w:cs="Times New Roman"/>
                <w:color w:val="auto"/>
                <w:sz w:val="18"/>
                <w:szCs w:val="18"/>
                <w:lang w:eastAsia="en-US"/>
              </w:rPr>
              <w:t>（N•</w:t>
            </w:r>
            <w:r>
              <w:rPr>
                <w:rFonts w:hint="eastAsia" w:ascii="Times New Roman" w:hAnsi="Times New Roman" w:eastAsia="宋体" w:cs="Times New Roman"/>
                <w:color w:val="auto"/>
                <w:sz w:val="18"/>
                <w:szCs w:val="18"/>
                <w:lang w:eastAsia="zh-CN"/>
              </w:rPr>
              <w:t>m</w:t>
            </w:r>
            <w:r>
              <w:rPr>
                <w:rFonts w:hint="eastAsia" w:ascii="Times New Roman" w:hAnsi="Times New Roman" w:eastAsia="宋体" w:cs="Times New Roman"/>
                <w:color w:val="auto"/>
                <w:sz w:val="18"/>
                <w:szCs w:val="18"/>
                <w:vertAlign w:val="superscript"/>
                <w:lang w:eastAsia="zh-CN"/>
              </w:rPr>
              <w:t>3</w:t>
            </w:r>
            <w:r>
              <w:rPr>
                <w:rFonts w:ascii="Times New Roman" w:hAnsi="Times New Roman" w:eastAsia="宋体" w:cs="Times New Roman"/>
                <w:color w:val="auto"/>
                <w:sz w:val="18"/>
                <w:szCs w:val="18"/>
                <w:lang w:eastAsia="en-US"/>
              </w:rPr>
              <w:t>/h）</w:t>
            </w:r>
          </w:p>
        </w:tc>
        <w:tc>
          <w:tcPr>
            <w:tcW w:w="596" w:type="pct"/>
            <w:tcBorders>
              <w:top w:val="single" w:color="auto" w:sz="4" w:space="0"/>
              <w:left w:val="single" w:color="auto" w:sz="4" w:space="0"/>
              <w:bottom w:val="single" w:color="auto" w:sz="4" w:space="0"/>
              <w:right w:val="single" w:color="auto" w:sz="4" w:space="0"/>
            </w:tcBorders>
            <w:shd w:val="clear" w:color="auto" w:fill="auto"/>
            <w:vAlign w:val="center"/>
          </w:tcPr>
          <w:p w14:paraId="216F3DFA">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39319</w:t>
            </w:r>
          </w:p>
        </w:tc>
        <w:tc>
          <w:tcPr>
            <w:tcW w:w="595" w:type="pct"/>
            <w:tcBorders>
              <w:top w:val="single" w:color="auto" w:sz="4" w:space="0"/>
              <w:left w:val="single" w:color="auto" w:sz="4" w:space="0"/>
              <w:bottom w:val="single" w:color="auto" w:sz="4" w:space="0"/>
              <w:right w:val="single" w:color="auto" w:sz="4" w:space="0"/>
            </w:tcBorders>
            <w:shd w:val="clear" w:color="auto" w:fill="auto"/>
            <w:vAlign w:val="center"/>
          </w:tcPr>
          <w:p w14:paraId="58F60D9C">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39058</w:t>
            </w:r>
          </w:p>
        </w:tc>
        <w:tc>
          <w:tcPr>
            <w:tcW w:w="653" w:type="pct"/>
            <w:tcBorders>
              <w:top w:val="single" w:color="auto" w:sz="4" w:space="0"/>
              <w:left w:val="single" w:color="auto" w:sz="4" w:space="0"/>
              <w:bottom w:val="single" w:color="auto" w:sz="4" w:space="0"/>
              <w:right w:val="single" w:color="auto" w:sz="4" w:space="0"/>
            </w:tcBorders>
            <w:shd w:val="clear" w:color="auto" w:fill="auto"/>
            <w:vAlign w:val="center"/>
          </w:tcPr>
          <w:p w14:paraId="7C9ED7E3">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40400</w:t>
            </w:r>
          </w:p>
        </w:tc>
        <w:tc>
          <w:tcPr>
            <w:tcW w:w="730" w:type="pct"/>
            <w:tcBorders>
              <w:top w:val="single" w:color="auto" w:sz="4" w:space="0"/>
              <w:left w:val="single" w:color="auto" w:sz="4" w:space="0"/>
              <w:bottom w:val="single" w:color="auto" w:sz="4" w:space="0"/>
              <w:right w:val="single" w:color="auto" w:sz="4" w:space="0"/>
            </w:tcBorders>
            <w:shd w:val="clear" w:color="auto" w:fill="auto"/>
            <w:vAlign w:val="center"/>
          </w:tcPr>
          <w:p w14:paraId="2ED31115">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w:t>
            </w:r>
          </w:p>
        </w:tc>
      </w:tr>
      <w:tr w14:paraId="7B46D0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79" w:type="pct"/>
            <w:vMerge w:val="continue"/>
            <w:tcBorders>
              <w:left w:val="single" w:color="auto" w:sz="4" w:space="0"/>
              <w:right w:val="single" w:color="auto" w:sz="4" w:space="0"/>
            </w:tcBorders>
            <w:vAlign w:val="center"/>
          </w:tcPr>
          <w:p w14:paraId="6267C3FF">
            <w:pPr>
              <w:jc w:val="center"/>
              <w:rPr>
                <w:rFonts w:ascii="Times New Roman" w:hAnsi="Times New Roman" w:eastAsia="宋体" w:cs="Times New Roman"/>
                <w:color w:val="auto"/>
                <w:szCs w:val="21"/>
                <w:lang w:eastAsia="en-US"/>
              </w:rPr>
            </w:pPr>
          </w:p>
        </w:tc>
        <w:tc>
          <w:tcPr>
            <w:tcW w:w="724" w:type="pct"/>
            <w:vMerge w:val="restart"/>
            <w:tcBorders>
              <w:top w:val="single" w:color="auto" w:sz="4" w:space="0"/>
              <w:left w:val="single" w:color="auto" w:sz="4" w:space="0"/>
              <w:right w:val="single" w:color="auto" w:sz="4" w:space="0"/>
            </w:tcBorders>
            <w:shd w:val="clear" w:color="auto" w:fill="auto"/>
            <w:vAlign w:val="center"/>
          </w:tcPr>
          <w:p w14:paraId="1C92C430">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颗粒物</w:t>
            </w:r>
          </w:p>
        </w:tc>
        <w:tc>
          <w:tcPr>
            <w:tcW w:w="1320" w:type="pct"/>
            <w:tcBorders>
              <w:top w:val="single" w:color="auto" w:sz="4" w:space="0"/>
              <w:left w:val="single" w:color="auto" w:sz="4" w:space="0"/>
              <w:bottom w:val="single" w:color="auto" w:sz="4" w:space="0"/>
              <w:right w:val="single" w:color="auto" w:sz="4" w:space="0"/>
            </w:tcBorders>
            <w:shd w:val="clear" w:color="auto" w:fill="auto"/>
            <w:vAlign w:val="center"/>
          </w:tcPr>
          <w:p w14:paraId="3ED18FDB">
            <w:pPr>
              <w:jc w:val="center"/>
              <w:rPr>
                <w:rFonts w:hint="eastAsia" w:ascii="Times New Roman" w:hAnsi="Times New Roman" w:eastAsia="宋体" w:cs="Times New Roman"/>
                <w:color w:val="auto"/>
                <w:kern w:val="2"/>
                <w:sz w:val="18"/>
                <w:szCs w:val="18"/>
                <w:lang w:val="en-US" w:eastAsia="zh-CN" w:bidi="ar-SA"/>
              </w:rPr>
            </w:pPr>
            <w:r>
              <w:rPr>
                <w:rFonts w:ascii="Times New Roman" w:hAnsi="Times New Roman" w:eastAsia="宋体" w:cs="Times New Roman"/>
                <w:color w:val="auto"/>
                <w:sz w:val="18"/>
                <w:szCs w:val="18"/>
                <w:lang w:eastAsia="en-US"/>
              </w:rPr>
              <w:t>排放浓度（mg/</w:t>
            </w:r>
            <w:r>
              <w:rPr>
                <w:rFonts w:hint="eastAsia" w:ascii="Times New Roman" w:hAnsi="Times New Roman" w:eastAsia="宋体" w:cs="Times New Roman"/>
                <w:color w:val="auto"/>
                <w:sz w:val="18"/>
                <w:szCs w:val="18"/>
                <w:lang w:eastAsia="zh-CN"/>
              </w:rPr>
              <w:t>m</w:t>
            </w:r>
            <w:r>
              <w:rPr>
                <w:rFonts w:hint="eastAsia" w:ascii="Times New Roman" w:hAnsi="Times New Roman" w:eastAsia="宋体" w:cs="Times New Roman"/>
                <w:color w:val="auto"/>
                <w:sz w:val="18"/>
                <w:szCs w:val="18"/>
                <w:vertAlign w:val="superscript"/>
                <w:lang w:eastAsia="zh-CN"/>
              </w:rPr>
              <w:t>3</w:t>
            </w:r>
            <w:r>
              <w:rPr>
                <w:rFonts w:ascii="Times New Roman" w:hAnsi="Times New Roman" w:eastAsia="宋体" w:cs="Times New Roman"/>
                <w:color w:val="auto"/>
                <w:sz w:val="18"/>
                <w:szCs w:val="18"/>
                <w:lang w:eastAsia="en-US"/>
              </w:rPr>
              <w:t>）</w:t>
            </w:r>
          </w:p>
        </w:tc>
        <w:tc>
          <w:tcPr>
            <w:tcW w:w="596" w:type="pct"/>
            <w:tcBorders>
              <w:top w:val="single" w:color="auto" w:sz="4" w:space="0"/>
              <w:left w:val="single" w:color="auto" w:sz="4" w:space="0"/>
              <w:bottom w:val="single" w:color="auto" w:sz="4" w:space="0"/>
              <w:right w:val="single" w:color="auto" w:sz="4" w:space="0"/>
            </w:tcBorders>
            <w:shd w:val="clear" w:color="auto" w:fill="auto"/>
            <w:vAlign w:val="center"/>
          </w:tcPr>
          <w:p w14:paraId="4DC247F2">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8.9</w:t>
            </w:r>
          </w:p>
        </w:tc>
        <w:tc>
          <w:tcPr>
            <w:tcW w:w="595" w:type="pct"/>
            <w:tcBorders>
              <w:top w:val="single" w:color="auto" w:sz="4" w:space="0"/>
              <w:left w:val="single" w:color="auto" w:sz="4" w:space="0"/>
              <w:bottom w:val="single" w:color="auto" w:sz="4" w:space="0"/>
              <w:right w:val="single" w:color="auto" w:sz="4" w:space="0"/>
            </w:tcBorders>
            <w:shd w:val="clear" w:color="auto" w:fill="auto"/>
            <w:vAlign w:val="center"/>
          </w:tcPr>
          <w:p w14:paraId="6EE754CB">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8.6</w:t>
            </w:r>
          </w:p>
        </w:tc>
        <w:tc>
          <w:tcPr>
            <w:tcW w:w="653" w:type="pct"/>
            <w:tcBorders>
              <w:top w:val="single" w:color="auto" w:sz="4" w:space="0"/>
              <w:left w:val="single" w:color="auto" w:sz="4" w:space="0"/>
              <w:bottom w:val="single" w:color="auto" w:sz="4" w:space="0"/>
              <w:right w:val="single" w:color="auto" w:sz="4" w:space="0"/>
            </w:tcBorders>
            <w:shd w:val="clear" w:color="auto" w:fill="auto"/>
            <w:vAlign w:val="center"/>
          </w:tcPr>
          <w:p w14:paraId="253EDFD5">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8.9</w:t>
            </w:r>
          </w:p>
        </w:tc>
        <w:tc>
          <w:tcPr>
            <w:tcW w:w="730" w:type="pct"/>
            <w:tcBorders>
              <w:top w:val="single" w:color="auto" w:sz="4" w:space="0"/>
              <w:left w:val="single" w:color="auto" w:sz="4" w:space="0"/>
              <w:bottom w:val="single" w:color="auto" w:sz="4" w:space="0"/>
              <w:right w:val="single" w:color="auto" w:sz="4" w:space="0"/>
            </w:tcBorders>
            <w:shd w:val="clear" w:color="auto" w:fill="auto"/>
            <w:vAlign w:val="center"/>
          </w:tcPr>
          <w:p w14:paraId="31B76C97">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30</w:t>
            </w:r>
          </w:p>
        </w:tc>
      </w:tr>
      <w:tr w14:paraId="24D451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79" w:type="pct"/>
            <w:vMerge w:val="continue"/>
            <w:tcBorders>
              <w:left w:val="single" w:color="auto" w:sz="4" w:space="0"/>
              <w:right w:val="single" w:color="auto" w:sz="4" w:space="0"/>
            </w:tcBorders>
            <w:vAlign w:val="center"/>
          </w:tcPr>
          <w:p w14:paraId="77538641">
            <w:pPr>
              <w:jc w:val="center"/>
              <w:rPr>
                <w:rFonts w:ascii="Times New Roman" w:hAnsi="Times New Roman" w:eastAsia="宋体" w:cs="Times New Roman"/>
                <w:color w:val="auto"/>
                <w:szCs w:val="21"/>
                <w:lang w:eastAsia="en-US"/>
              </w:rPr>
            </w:pPr>
          </w:p>
        </w:tc>
        <w:tc>
          <w:tcPr>
            <w:tcW w:w="724" w:type="pct"/>
            <w:vMerge w:val="continue"/>
            <w:tcBorders>
              <w:left w:val="single" w:color="auto" w:sz="4" w:space="0"/>
              <w:bottom w:val="single" w:color="auto" w:sz="4" w:space="0"/>
              <w:right w:val="single" w:color="auto" w:sz="4" w:space="0"/>
            </w:tcBorders>
            <w:shd w:val="clear" w:color="auto" w:fill="auto"/>
            <w:vAlign w:val="center"/>
          </w:tcPr>
          <w:p w14:paraId="751CD031">
            <w:pPr>
              <w:jc w:val="center"/>
              <w:rPr>
                <w:rFonts w:hint="eastAsia" w:ascii="Times New Roman" w:hAnsi="Times New Roman" w:eastAsia="宋体" w:cs="Times New Roman"/>
                <w:color w:val="auto"/>
                <w:kern w:val="2"/>
                <w:sz w:val="21"/>
                <w:szCs w:val="21"/>
                <w:lang w:val="en-US" w:eastAsia="zh-CN" w:bidi="ar-SA"/>
              </w:rPr>
            </w:pPr>
          </w:p>
        </w:tc>
        <w:tc>
          <w:tcPr>
            <w:tcW w:w="1320" w:type="pct"/>
            <w:tcBorders>
              <w:top w:val="single" w:color="auto" w:sz="4" w:space="0"/>
              <w:left w:val="single" w:color="auto" w:sz="4" w:space="0"/>
              <w:bottom w:val="single" w:color="auto" w:sz="4" w:space="0"/>
              <w:right w:val="single" w:color="auto" w:sz="4" w:space="0"/>
            </w:tcBorders>
            <w:shd w:val="clear" w:color="auto" w:fill="auto"/>
            <w:vAlign w:val="center"/>
          </w:tcPr>
          <w:p w14:paraId="683A5986">
            <w:pPr>
              <w:jc w:val="center"/>
              <w:rPr>
                <w:rFonts w:hint="eastAsia" w:ascii="Times New Roman" w:hAnsi="Times New Roman" w:eastAsia="宋体" w:cs="Times New Roman"/>
                <w:color w:val="auto"/>
                <w:kern w:val="2"/>
                <w:sz w:val="18"/>
                <w:szCs w:val="18"/>
                <w:lang w:val="en-US" w:eastAsia="zh-CN" w:bidi="ar-SA"/>
              </w:rPr>
            </w:pPr>
            <w:r>
              <w:rPr>
                <w:rFonts w:ascii="Times New Roman" w:hAnsi="Times New Roman" w:eastAsia="宋体" w:cs="Times New Roman"/>
                <w:color w:val="auto"/>
                <w:sz w:val="18"/>
                <w:szCs w:val="18"/>
                <w:lang w:eastAsia="en-US"/>
              </w:rPr>
              <w:t>排放速率（kg/h）</w:t>
            </w:r>
          </w:p>
        </w:tc>
        <w:tc>
          <w:tcPr>
            <w:tcW w:w="596" w:type="pct"/>
            <w:tcBorders>
              <w:top w:val="single" w:color="auto" w:sz="4" w:space="0"/>
              <w:left w:val="single" w:color="auto" w:sz="4" w:space="0"/>
              <w:bottom w:val="single" w:color="auto" w:sz="4" w:space="0"/>
              <w:right w:val="single" w:color="auto" w:sz="4" w:space="0"/>
            </w:tcBorders>
            <w:shd w:val="clear" w:color="auto" w:fill="auto"/>
            <w:vAlign w:val="center"/>
          </w:tcPr>
          <w:p w14:paraId="43766FCF">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0.35</w:t>
            </w:r>
          </w:p>
        </w:tc>
        <w:tc>
          <w:tcPr>
            <w:tcW w:w="595" w:type="pct"/>
            <w:tcBorders>
              <w:top w:val="single" w:color="auto" w:sz="4" w:space="0"/>
              <w:left w:val="single" w:color="auto" w:sz="4" w:space="0"/>
              <w:bottom w:val="single" w:color="auto" w:sz="4" w:space="0"/>
              <w:right w:val="single" w:color="auto" w:sz="4" w:space="0"/>
            </w:tcBorders>
            <w:shd w:val="clear" w:color="auto" w:fill="auto"/>
            <w:vAlign w:val="center"/>
          </w:tcPr>
          <w:p w14:paraId="67C98A84">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0.34</w:t>
            </w:r>
          </w:p>
        </w:tc>
        <w:tc>
          <w:tcPr>
            <w:tcW w:w="653" w:type="pct"/>
            <w:tcBorders>
              <w:top w:val="single" w:color="auto" w:sz="4" w:space="0"/>
              <w:left w:val="single" w:color="auto" w:sz="4" w:space="0"/>
              <w:bottom w:val="single" w:color="auto" w:sz="4" w:space="0"/>
              <w:right w:val="single" w:color="auto" w:sz="4" w:space="0"/>
            </w:tcBorders>
            <w:shd w:val="clear" w:color="auto" w:fill="auto"/>
            <w:vAlign w:val="center"/>
          </w:tcPr>
          <w:p w14:paraId="5BDBCAB6">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0.36</w:t>
            </w:r>
          </w:p>
        </w:tc>
        <w:tc>
          <w:tcPr>
            <w:tcW w:w="730" w:type="pct"/>
            <w:tcBorders>
              <w:top w:val="single" w:color="auto" w:sz="4" w:space="0"/>
              <w:left w:val="single" w:color="auto" w:sz="4" w:space="0"/>
              <w:bottom w:val="single" w:color="auto" w:sz="4" w:space="0"/>
              <w:right w:val="single" w:color="auto" w:sz="4" w:space="0"/>
            </w:tcBorders>
            <w:shd w:val="clear" w:color="auto" w:fill="auto"/>
            <w:vAlign w:val="center"/>
          </w:tcPr>
          <w:p w14:paraId="785AFFB4">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w:t>
            </w:r>
          </w:p>
        </w:tc>
      </w:tr>
      <w:tr w14:paraId="1A40EA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79" w:type="pct"/>
            <w:vMerge w:val="continue"/>
            <w:tcBorders>
              <w:left w:val="single" w:color="auto" w:sz="4" w:space="0"/>
              <w:right w:val="single" w:color="auto" w:sz="4" w:space="0"/>
            </w:tcBorders>
            <w:vAlign w:val="center"/>
          </w:tcPr>
          <w:p w14:paraId="65AAA0FA">
            <w:pPr>
              <w:jc w:val="center"/>
              <w:rPr>
                <w:rFonts w:ascii="Times New Roman" w:hAnsi="Times New Roman" w:eastAsia="宋体" w:cs="Times New Roman"/>
                <w:color w:val="auto"/>
                <w:szCs w:val="21"/>
                <w:lang w:eastAsia="en-US"/>
              </w:rPr>
            </w:pPr>
          </w:p>
        </w:tc>
        <w:tc>
          <w:tcPr>
            <w:tcW w:w="724" w:type="pct"/>
            <w:vMerge w:val="restart"/>
            <w:tcBorders>
              <w:top w:val="single" w:color="auto" w:sz="4" w:space="0"/>
              <w:left w:val="single" w:color="auto" w:sz="4" w:space="0"/>
              <w:right w:val="single" w:color="auto" w:sz="4" w:space="0"/>
            </w:tcBorders>
            <w:shd w:val="clear" w:color="auto" w:fill="auto"/>
            <w:vAlign w:val="center"/>
          </w:tcPr>
          <w:p w14:paraId="2D714C36">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VOCs</w:t>
            </w:r>
          </w:p>
        </w:tc>
        <w:tc>
          <w:tcPr>
            <w:tcW w:w="1320" w:type="pct"/>
            <w:tcBorders>
              <w:top w:val="single" w:color="auto" w:sz="4" w:space="0"/>
              <w:left w:val="single" w:color="auto" w:sz="4" w:space="0"/>
              <w:bottom w:val="single" w:color="auto" w:sz="4" w:space="0"/>
              <w:right w:val="single" w:color="auto" w:sz="4" w:space="0"/>
            </w:tcBorders>
            <w:shd w:val="clear" w:color="auto" w:fill="auto"/>
            <w:vAlign w:val="center"/>
          </w:tcPr>
          <w:p w14:paraId="15AD8B97">
            <w:pPr>
              <w:jc w:val="center"/>
              <w:rPr>
                <w:rFonts w:hint="eastAsia" w:ascii="Times New Roman" w:hAnsi="Times New Roman" w:eastAsia="宋体" w:cs="Times New Roman"/>
                <w:color w:val="auto"/>
                <w:kern w:val="2"/>
                <w:sz w:val="18"/>
                <w:szCs w:val="18"/>
                <w:lang w:val="en-US" w:eastAsia="zh-CN" w:bidi="ar-SA"/>
              </w:rPr>
            </w:pPr>
            <w:r>
              <w:rPr>
                <w:rFonts w:ascii="Times New Roman" w:hAnsi="Times New Roman" w:eastAsia="宋体" w:cs="Times New Roman"/>
                <w:color w:val="auto"/>
                <w:sz w:val="18"/>
                <w:szCs w:val="18"/>
                <w:lang w:eastAsia="en-US"/>
              </w:rPr>
              <w:t>排放浓度（mg/</w:t>
            </w:r>
            <w:r>
              <w:rPr>
                <w:rFonts w:hint="eastAsia" w:ascii="Times New Roman" w:hAnsi="Times New Roman" w:eastAsia="宋体" w:cs="Times New Roman"/>
                <w:color w:val="auto"/>
                <w:sz w:val="18"/>
                <w:szCs w:val="18"/>
                <w:lang w:eastAsia="zh-CN"/>
              </w:rPr>
              <w:t>m</w:t>
            </w:r>
            <w:r>
              <w:rPr>
                <w:rFonts w:hint="eastAsia" w:ascii="Times New Roman" w:hAnsi="Times New Roman" w:eastAsia="宋体" w:cs="Times New Roman"/>
                <w:color w:val="auto"/>
                <w:sz w:val="18"/>
                <w:szCs w:val="18"/>
                <w:vertAlign w:val="superscript"/>
                <w:lang w:eastAsia="zh-CN"/>
              </w:rPr>
              <w:t>3</w:t>
            </w:r>
            <w:r>
              <w:rPr>
                <w:rFonts w:ascii="Times New Roman" w:hAnsi="Times New Roman" w:eastAsia="宋体" w:cs="Times New Roman"/>
                <w:color w:val="auto"/>
                <w:sz w:val="18"/>
                <w:szCs w:val="18"/>
                <w:lang w:eastAsia="en-US"/>
              </w:rPr>
              <w:t>）</w:t>
            </w:r>
          </w:p>
        </w:tc>
        <w:tc>
          <w:tcPr>
            <w:tcW w:w="596" w:type="pct"/>
            <w:tcBorders>
              <w:top w:val="single" w:color="auto" w:sz="4" w:space="0"/>
              <w:left w:val="single" w:color="auto" w:sz="4" w:space="0"/>
              <w:bottom w:val="single" w:color="auto" w:sz="4" w:space="0"/>
              <w:right w:val="single" w:color="auto" w:sz="4" w:space="0"/>
            </w:tcBorders>
            <w:shd w:val="clear" w:color="auto" w:fill="auto"/>
            <w:vAlign w:val="center"/>
          </w:tcPr>
          <w:p w14:paraId="17ACDCA7">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0.17</w:t>
            </w:r>
          </w:p>
        </w:tc>
        <w:tc>
          <w:tcPr>
            <w:tcW w:w="595" w:type="pct"/>
            <w:tcBorders>
              <w:top w:val="single" w:color="auto" w:sz="4" w:space="0"/>
              <w:left w:val="single" w:color="auto" w:sz="4" w:space="0"/>
              <w:bottom w:val="single" w:color="auto" w:sz="4" w:space="0"/>
              <w:right w:val="single" w:color="auto" w:sz="4" w:space="0"/>
            </w:tcBorders>
            <w:shd w:val="clear" w:color="auto" w:fill="auto"/>
            <w:vAlign w:val="center"/>
          </w:tcPr>
          <w:p w14:paraId="2A988C2C">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0.11</w:t>
            </w:r>
          </w:p>
        </w:tc>
        <w:tc>
          <w:tcPr>
            <w:tcW w:w="653" w:type="pct"/>
            <w:tcBorders>
              <w:top w:val="single" w:color="auto" w:sz="4" w:space="0"/>
              <w:left w:val="single" w:color="auto" w:sz="4" w:space="0"/>
              <w:bottom w:val="single" w:color="auto" w:sz="4" w:space="0"/>
              <w:right w:val="single" w:color="auto" w:sz="4" w:space="0"/>
            </w:tcBorders>
            <w:shd w:val="clear" w:color="auto" w:fill="auto"/>
            <w:vAlign w:val="center"/>
          </w:tcPr>
          <w:p w14:paraId="391CE05D">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0.10</w:t>
            </w:r>
          </w:p>
        </w:tc>
        <w:tc>
          <w:tcPr>
            <w:tcW w:w="730" w:type="pct"/>
            <w:tcBorders>
              <w:top w:val="single" w:color="auto" w:sz="4" w:space="0"/>
              <w:left w:val="single" w:color="auto" w:sz="4" w:space="0"/>
              <w:bottom w:val="single" w:color="auto" w:sz="4" w:space="0"/>
              <w:right w:val="single" w:color="auto" w:sz="4" w:space="0"/>
            </w:tcBorders>
            <w:shd w:val="clear" w:color="auto" w:fill="auto"/>
            <w:vAlign w:val="center"/>
          </w:tcPr>
          <w:p w14:paraId="32B77B3D">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40</w:t>
            </w:r>
          </w:p>
        </w:tc>
      </w:tr>
      <w:tr w14:paraId="09909E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79" w:type="pct"/>
            <w:vMerge w:val="continue"/>
            <w:tcBorders>
              <w:left w:val="single" w:color="auto" w:sz="4" w:space="0"/>
              <w:right w:val="single" w:color="auto" w:sz="4" w:space="0"/>
            </w:tcBorders>
            <w:vAlign w:val="center"/>
          </w:tcPr>
          <w:p w14:paraId="3DFE92F0">
            <w:pPr>
              <w:jc w:val="center"/>
              <w:rPr>
                <w:rFonts w:ascii="Times New Roman" w:hAnsi="Times New Roman" w:eastAsia="宋体" w:cs="Times New Roman"/>
                <w:color w:val="auto"/>
                <w:szCs w:val="21"/>
                <w:lang w:eastAsia="en-US"/>
              </w:rPr>
            </w:pPr>
          </w:p>
        </w:tc>
        <w:tc>
          <w:tcPr>
            <w:tcW w:w="724" w:type="pct"/>
            <w:vMerge w:val="continue"/>
            <w:tcBorders>
              <w:left w:val="single" w:color="auto" w:sz="4" w:space="0"/>
              <w:bottom w:val="single" w:color="auto" w:sz="4" w:space="0"/>
              <w:right w:val="single" w:color="auto" w:sz="4" w:space="0"/>
            </w:tcBorders>
            <w:vAlign w:val="center"/>
          </w:tcPr>
          <w:p w14:paraId="03DEB48F">
            <w:pPr>
              <w:jc w:val="center"/>
              <w:rPr>
                <w:rFonts w:hint="eastAsia" w:ascii="Times New Roman" w:hAnsi="Times New Roman" w:eastAsia="宋体" w:cs="Times New Roman"/>
                <w:color w:val="auto"/>
                <w:szCs w:val="21"/>
                <w:lang w:val="en-US" w:eastAsia="zh-CN"/>
              </w:rPr>
            </w:pPr>
          </w:p>
        </w:tc>
        <w:tc>
          <w:tcPr>
            <w:tcW w:w="1320" w:type="pct"/>
            <w:tcBorders>
              <w:top w:val="single" w:color="auto" w:sz="4" w:space="0"/>
              <w:left w:val="single" w:color="auto" w:sz="4" w:space="0"/>
              <w:bottom w:val="single" w:color="auto" w:sz="4" w:space="0"/>
              <w:right w:val="single" w:color="auto" w:sz="4" w:space="0"/>
            </w:tcBorders>
            <w:shd w:val="clear" w:color="auto" w:fill="auto"/>
            <w:vAlign w:val="center"/>
          </w:tcPr>
          <w:p w14:paraId="5E32BBC7">
            <w:pPr>
              <w:jc w:val="center"/>
              <w:rPr>
                <w:rFonts w:hint="eastAsia" w:ascii="Times New Roman" w:hAnsi="Times New Roman" w:eastAsia="宋体" w:cs="Times New Roman"/>
                <w:color w:val="auto"/>
                <w:kern w:val="2"/>
                <w:sz w:val="18"/>
                <w:szCs w:val="18"/>
                <w:lang w:val="en-US" w:eastAsia="zh-CN" w:bidi="ar-SA"/>
              </w:rPr>
            </w:pPr>
            <w:r>
              <w:rPr>
                <w:rFonts w:ascii="Times New Roman" w:hAnsi="Times New Roman" w:eastAsia="宋体" w:cs="Times New Roman"/>
                <w:color w:val="auto"/>
                <w:sz w:val="18"/>
                <w:szCs w:val="18"/>
                <w:lang w:eastAsia="en-US"/>
              </w:rPr>
              <w:t>排放速率（kg/h）</w:t>
            </w:r>
          </w:p>
        </w:tc>
        <w:tc>
          <w:tcPr>
            <w:tcW w:w="596" w:type="pct"/>
            <w:tcBorders>
              <w:top w:val="single" w:color="auto" w:sz="4" w:space="0"/>
              <w:left w:val="single" w:color="auto" w:sz="4" w:space="0"/>
              <w:bottom w:val="single" w:color="auto" w:sz="4" w:space="0"/>
              <w:right w:val="single" w:color="auto" w:sz="4" w:space="0"/>
            </w:tcBorders>
            <w:shd w:val="clear" w:color="auto" w:fill="auto"/>
            <w:vAlign w:val="center"/>
          </w:tcPr>
          <w:p w14:paraId="4D17CD6A">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0.0067</w:t>
            </w:r>
          </w:p>
        </w:tc>
        <w:tc>
          <w:tcPr>
            <w:tcW w:w="595" w:type="pct"/>
            <w:tcBorders>
              <w:top w:val="single" w:color="auto" w:sz="4" w:space="0"/>
              <w:left w:val="single" w:color="auto" w:sz="4" w:space="0"/>
              <w:bottom w:val="single" w:color="auto" w:sz="4" w:space="0"/>
              <w:right w:val="single" w:color="auto" w:sz="4" w:space="0"/>
            </w:tcBorders>
            <w:shd w:val="clear" w:color="auto" w:fill="auto"/>
            <w:vAlign w:val="center"/>
          </w:tcPr>
          <w:p w14:paraId="659BCFD8">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0.0043</w:t>
            </w:r>
          </w:p>
        </w:tc>
        <w:tc>
          <w:tcPr>
            <w:tcW w:w="653" w:type="pct"/>
            <w:tcBorders>
              <w:top w:val="single" w:color="auto" w:sz="4" w:space="0"/>
              <w:left w:val="single" w:color="auto" w:sz="4" w:space="0"/>
              <w:bottom w:val="single" w:color="auto" w:sz="4" w:space="0"/>
              <w:right w:val="single" w:color="auto" w:sz="4" w:space="0"/>
            </w:tcBorders>
            <w:shd w:val="clear" w:color="auto" w:fill="auto"/>
            <w:vAlign w:val="center"/>
          </w:tcPr>
          <w:p w14:paraId="75C13D07">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0.0040</w:t>
            </w:r>
          </w:p>
        </w:tc>
        <w:tc>
          <w:tcPr>
            <w:tcW w:w="730" w:type="pct"/>
            <w:tcBorders>
              <w:top w:val="single" w:color="auto" w:sz="4" w:space="0"/>
              <w:left w:val="single" w:color="auto" w:sz="4" w:space="0"/>
              <w:bottom w:val="single" w:color="auto" w:sz="4" w:space="0"/>
              <w:right w:val="single" w:color="auto" w:sz="4" w:space="0"/>
            </w:tcBorders>
            <w:shd w:val="clear" w:color="auto" w:fill="auto"/>
            <w:vAlign w:val="center"/>
          </w:tcPr>
          <w:p w14:paraId="1480C60E">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w:t>
            </w:r>
          </w:p>
        </w:tc>
      </w:tr>
      <w:tr w14:paraId="0AAEC6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79" w:type="pct"/>
            <w:vMerge w:val="continue"/>
            <w:tcBorders>
              <w:left w:val="single" w:color="auto" w:sz="4" w:space="0"/>
              <w:right w:val="single" w:color="auto" w:sz="4" w:space="0"/>
            </w:tcBorders>
            <w:vAlign w:val="center"/>
          </w:tcPr>
          <w:p w14:paraId="4DC8C89B">
            <w:pPr>
              <w:jc w:val="center"/>
              <w:rPr>
                <w:rFonts w:ascii="Times New Roman" w:hAnsi="Times New Roman" w:eastAsia="宋体" w:cs="Times New Roman"/>
                <w:color w:val="auto"/>
                <w:szCs w:val="21"/>
                <w:lang w:eastAsia="en-US"/>
              </w:rPr>
            </w:pPr>
          </w:p>
        </w:tc>
        <w:tc>
          <w:tcPr>
            <w:tcW w:w="724" w:type="pct"/>
            <w:vMerge w:val="restart"/>
            <w:tcBorders>
              <w:top w:val="single" w:color="auto" w:sz="4" w:space="0"/>
              <w:left w:val="single" w:color="auto" w:sz="4" w:space="0"/>
              <w:right w:val="single" w:color="auto" w:sz="4" w:space="0"/>
            </w:tcBorders>
            <w:shd w:val="clear" w:color="auto" w:fill="auto"/>
            <w:vAlign w:val="center"/>
          </w:tcPr>
          <w:p w14:paraId="3B483771">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氨</w:t>
            </w:r>
          </w:p>
        </w:tc>
        <w:tc>
          <w:tcPr>
            <w:tcW w:w="1320" w:type="pct"/>
            <w:tcBorders>
              <w:top w:val="single" w:color="auto" w:sz="4" w:space="0"/>
              <w:left w:val="single" w:color="auto" w:sz="4" w:space="0"/>
              <w:bottom w:val="single" w:color="auto" w:sz="4" w:space="0"/>
              <w:right w:val="single" w:color="auto" w:sz="4" w:space="0"/>
            </w:tcBorders>
            <w:shd w:val="clear" w:color="auto" w:fill="auto"/>
            <w:vAlign w:val="center"/>
          </w:tcPr>
          <w:p w14:paraId="767B4361">
            <w:pPr>
              <w:jc w:val="center"/>
              <w:rPr>
                <w:rFonts w:hint="eastAsia" w:ascii="Times New Roman" w:hAnsi="Times New Roman" w:eastAsia="宋体" w:cs="Times New Roman"/>
                <w:color w:val="auto"/>
                <w:kern w:val="2"/>
                <w:sz w:val="18"/>
                <w:szCs w:val="18"/>
                <w:lang w:val="en-US" w:eastAsia="zh-CN" w:bidi="ar-SA"/>
              </w:rPr>
            </w:pPr>
            <w:r>
              <w:rPr>
                <w:rFonts w:ascii="Times New Roman" w:hAnsi="Times New Roman" w:eastAsia="宋体" w:cs="Times New Roman"/>
                <w:color w:val="auto"/>
                <w:sz w:val="18"/>
                <w:szCs w:val="18"/>
                <w:lang w:eastAsia="en-US"/>
              </w:rPr>
              <w:t>排放浓度（mg/</w:t>
            </w:r>
            <w:r>
              <w:rPr>
                <w:rFonts w:hint="eastAsia" w:ascii="Times New Roman" w:hAnsi="Times New Roman" w:eastAsia="宋体" w:cs="Times New Roman"/>
                <w:color w:val="auto"/>
                <w:sz w:val="18"/>
                <w:szCs w:val="18"/>
                <w:lang w:eastAsia="zh-CN"/>
              </w:rPr>
              <w:t>m</w:t>
            </w:r>
            <w:r>
              <w:rPr>
                <w:rFonts w:hint="eastAsia" w:ascii="Times New Roman" w:hAnsi="Times New Roman" w:eastAsia="宋体" w:cs="Times New Roman"/>
                <w:color w:val="auto"/>
                <w:sz w:val="18"/>
                <w:szCs w:val="18"/>
                <w:vertAlign w:val="superscript"/>
                <w:lang w:eastAsia="zh-CN"/>
              </w:rPr>
              <w:t>3</w:t>
            </w:r>
            <w:r>
              <w:rPr>
                <w:rFonts w:ascii="Times New Roman" w:hAnsi="Times New Roman" w:eastAsia="宋体" w:cs="Times New Roman"/>
                <w:color w:val="auto"/>
                <w:sz w:val="18"/>
                <w:szCs w:val="18"/>
                <w:lang w:eastAsia="en-US"/>
              </w:rPr>
              <w:t>）</w:t>
            </w:r>
          </w:p>
        </w:tc>
        <w:tc>
          <w:tcPr>
            <w:tcW w:w="596" w:type="pct"/>
            <w:tcBorders>
              <w:top w:val="single" w:color="auto" w:sz="4" w:space="0"/>
              <w:left w:val="single" w:color="auto" w:sz="4" w:space="0"/>
              <w:bottom w:val="single" w:color="auto" w:sz="4" w:space="0"/>
              <w:right w:val="single" w:color="auto" w:sz="4" w:space="0"/>
            </w:tcBorders>
            <w:shd w:val="clear" w:color="auto" w:fill="auto"/>
            <w:vAlign w:val="center"/>
          </w:tcPr>
          <w:p w14:paraId="793F0861">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0.966</w:t>
            </w:r>
          </w:p>
        </w:tc>
        <w:tc>
          <w:tcPr>
            <w:tcW w:w="595" w:type="pct"/>
            <w:tcBorders>
              <w:top w:val="single" w:color="auto" w:sz="4" w:space="0"/>
              <w:left w:val="single" w:color="auto" w:sz="4" w:space="0"/>
              <w:bottom w:val="single" w:color="auto" w:sz="4" w:space="0"/>
              <w:right w:val="single" w:color="auto" w:sz="4" w:space="0"/>
            </w:tcBorders>
            <w:shd w:val="clear" w:color="auto" w:fill="auto"/>
            <w:vAlign w:val="center"/>
          </w:tcPr>
          <w:p w14:paraId="07E9FFFB">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0.958</w:t>
            </w:r>
          </w:p>
        </w:tc>
        <w:tc>
          <w:tcPr>
            <w:tcW w:w="653" w:type="pct"/>
            <w:tcBorders>
              <w:top w:val="single" w:color="auto" w:sz="4" w:space="0"/>
              <w:left w:val="single" w:color="auto" w:sz="4" w:space="0"/>
              <w:bottom w:val="single" w:color="auto" w:sz="4" w:space="0"/>
              <w:right w:val="single" w:color="auto" w:sz="4" w:space="0"/>
            </w:tcBorders>
            <w:shd w:val="clear" w:color="auto" w:fill="auto"/>
            <w:vAlign w:val="center"/>
          </w:tcPr>
          <w:p w14:paraId="47178A0D">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0.998</w:t>
            </w:r>
          </w:p>
        </w:tc>
        <w:tc>
          <w:tcPr>
            <w:tcW w:w="730" w:type="pct"/>
            <w:tcBorders>
              <w:top w:val="single" w:color="auto" w:sz="4" w:space="0"/>
              <w:left w:val="single" w:color="auto" w:sz="4" w:space="0"/>
              <w:bottom w:val="single" w:color="auto" w:sz="4" w:space="0"/>
              <w:right w:val="single" w:color="auto" w:sz="4" w:space="0"/>
            </w:tcBorders>
            <w:shd w:val="clear" w:color="auto" w:fill="auto"/>
            <w:vAlign w:val="center"/>
          </w:tcPr>
          <w:p w14:paraId="3A3F106B">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30</w:t>
            </w:r>
          </w:p>
        </w:tc>
      </w:tr>
      <w:tr w14:paraId="23CB64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79" w:type="pct"/>
            <w:vMerge w:val="continue"/>
            <w:tcBorders>
              <w:left w:val="single" w:color="auto" w:sz="4" w:space="0"/>
              <w:right w:val="single" w:color="auto" w:sz="4" w:space="0"/>
            </w:tcBorders>
            <w:vAlign w:val="center"/>
          </w:tcPr>
          <w:p w14:paraId="1841218A">
            <w:pPr>
              <w:jc w:val="center"/>
              <w:rPr>
                <w:rFonts w:ascii="Times New Roman" w:hAnsi="Times New Roman" w:eastAsia="宋体" w:cs="Times New Roman"/>
                <w:color w:val="auto"/>
                <w:szCs w:val="21"/>
                <w:lang w:eastAsia="en-US"/>
              </w:rPr>
            </w:pPr>
          </w:p>
        </w:tc>
        <w:tc>
          <w:tcPr>
            <w:tcW w:w="724" w:type="pct"/>
            <w:vMerge w:val="continue"/>
            <w:tcBorders>
              <w:left w:val="single" w:color="auto" w:sz="4" w:space="0"/>
              <w:bottom w:val="single" w:color="auto" w:sz="4" w:space="0"/>
              <w:right w:val="single" w:color="auto" w:sz="4" w:space="0"/>
            </w:tcBorders>
            <w:vAlign w:val="center"/>
          </w:tcPr>
          <w:p w14:paraId="4B3DEDEA">
            <w:pPr>
              <w:jc w:val="center"/>
              <w:rPr>
                <w:rFonts w:hint="eastAsia" w:ascii="Times New Roman" w:hAnsi="Times New Roman" w:eastAsia="宋体" w:cs="Times New Roman"/>
                <w:color w:val="auto"/>
                <w:szCs w:val="21"/>
                <w:lang w:val="en-US" w:eastAsia="zh-CN"/>
              </w:rPr>
            </w:pPr>
          </w:p>
        </w:tc>
        <w:tc>
          <w:tcPr>
            <w:tcW w:w="1320" w:type="pct"/>
            <w:tcBorders>
              <w:top w:val="single" w:color="auto" w:sz="4" w:space="0"/>
              <w:left w:val="single" w:color="auto" w:sz="4" w:space="0"/>
              <w:bottom w:val="single" w:color="auto" w:sz="4" w:space="0"/>
              <w:right w:val="single" w:color="auto" w:sz="4" w:space="0"/>
            </w:tcBorders>
            <w:shd w:val="clear" w:color="auto" w:fill="auto"/>
            <w:vAlign w:val="center"/>
          </w:tcPr>
          <w:p w14:paraId="695686FF">
            <w:pPr>
              <w:jc w:val="center"/>
              <w:rPr>
                <w:rFonts w:hint="eastAsia" w:ascii="Times New Roman" w:hAnsi="Times New Roman" w:eastAsia="宋体" w:cs="Times New Roman"/>
                <w:color w:val="auto"/>
                <w:kern w:val="2"/>
                <w:sz w:val="18"/>
                <w:szCs w:val="18"/>
                <w:lang w:val="en-US" w:eastAsia="zh-CN" w:bidi="ar-SA"/>
              </w:rPr>
            </w:pPr>
            <w:r>
              <w:rPr>
                <w:rFonts w:ascii="Times New Roman" w:hAnsi="Times New Roman" w:eastAsia="宋体" w:cs="Times New Roman"/>
                <w:color w:val="auto"/>
                <w:sz w:val="18"/>
                <w:szCs w:val="18"/>
                <w:lang w:eastAsia="en-US"/>
              </w:rPr>
              <w:t>排放速率（kg/h）</w:t>
            </w:r>
          </w:p>
        </w:tc>
        <w:tc>
          <w:tcPr>
            <w:tcW w:w="596" w:type="pct"/>
            <w:tcBorders>
              <w:top w:val="single" w:color="auto" w:sz="4" w:space="0"/>
              <w:left w:val="single" w:color="auto" w:sz="4" w:space="0"/>
              <w:bottom w:val="single" w:color="auto" w:sz="4" w:space="0"/>
              <w:right w:val="single" w:color="auto" w:sz="4" w:space="0"/>
            </w:tcBorders>
            <w:shd w:val="clear" w:color="auto" w:fill="auto"/>
            <w:vAlign w:val="center"/>
          </w:tcPr>
          <w:p w14:paraId="2C5A88FB">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0.038</w:t>
            </w:r>
          </w:p>
        </w:tc>
        <w:tc>
          <w:tcPr>
            <w:tcW w:w="595" w:type="pct"/>
            <w:tcBorders>
              <w:top w:val="single" w:color="auto" w:sz="4" w:space="0"/>
              <w:left w:val="single" w:color="auto" w:sz="4" w:space="0"/>
              <w:bottom w:val="single" w:color="auto" w:sz="4" w:space="0"/>
              <w:right w:val="single" w:color="auto" w:sz="4" w:space="0"/>
            </w:tcBorders>
            <w:shd w:val="clear" w:color="auto" w:fill="auto"/>
            <w:vAlign w:val="center"/>
          </w:tcPr>
          <w:p w14:paraId="1E6D0F42">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0.037</w:t>
            </w:r>
          </w:p>
        </w:tc>
        <w:tc>
          <w:tcPr>
            <w:tcW w:w="653" w:type="pct"/>
            <w:tcBorders>
              <w:top w:val="single" w:color="auto" w:sz="4" w:space="0"/>
              <w:left w:val="single" w:color="auto" w:sz="4" w:space="0"/>
              <w:bottom w:val="single" w:color="auto" w:sz="4" w:space="0"/>
              <w:right w:val="single" w:color="auto" w:sz="4" w:space="0"/>
            </w:tcBorders>
            <w:shd w:val="clear" w:color="auto" w:fill="auto"/>
            <w:vAlign w:val="center"/>
          </w:tcPr>
          <w:p w14:paraId="45F5BE85">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0.040</w:t>
            </w:r>
          </w:p>
        </w:tc>
        <w:tc>
          <w:tcPr>
            <w:tcW w:w="730" w:type="pct"/>
            <w:tcBorders>
              <w:top w:val="single" w:color="auto" w:sz="4" w:space="0"/>
              <w:left w:val="single" w:color="auto" w:sz="4" w:space="0"/>
              <w:bottom w:val="single" w:color="auto" w:sz="4" w:space="0"/>
              <w:right w:val="single" w:color="auto" w:sz="4" w:space="0"/>
            </w:tcBorders>
            <w:shd w:val="clear" w:color="auto" w:fill="auto"/>
            <w:vAlign w:val="center"/>
          </w:tcPr>
          <w:p w14:paraId="46A70D87">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w:t>
            </w:r>
          </w:p>
        </w:tc>
      </w:tr>
      <w:tr w14:paraId="578B96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79" w:type="pct"/>
            <w:vMerge w:val="continue"/>
            <w:tcBorders>
              <w:left w:val="single" w:color="auto" w:sz="4" w:space="0"/>
              <w:right w:val="single" w:color="auto" w:sz="4" w:space="0"/>
            </w:tcBorders>
            <w:vAlign w:val="center"/>
          </w:tcPr>
          <w:p w14:paraId="105E74B6">
            <w:pPr>
              <w:jc w:val="center"/>
              <w:rPr>
                <w:rFonts w:ascii="Times New Roman" w:hAnsi="Times New Roman" w:eastAsia="宋体" w:cs="Times New Roman"/>
                <w:color w:val="auto"/>
                <w:szCs w:val="21"/>
                <w:lang w:eastAsia="en-US"/>
              </w:rPr>
            </w:pPr>
          </w:p>
        </w:tc>
        <w:tc>
          <w:tcPr>
            <w:tcW w:w="724" w:type="pct"/>
            <w:vMerge w:val="restart"/>
            <w:tcBorders>
              <w:top w:val="single" w:color="auto" w:sz="4" w:space="0"/>
              <w:left w:val="single" w:color="auto" w:sz="4" w:space="0"/>
              <w:right w:val="single" w:color="auto" w:sz="4" w:space="0"/>
            </w:tcBorders>
            <w:shd w:val="clear" w:color="auto" w:fill="auto"/>
            <w:vAlign w:val="center"/>
          </w:tcPr>
          <w:p w14:paraId="1264D4DA">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硫化氢</w:t>
            </w:r>
          </w:p>
        </w:tc>
        <w:tc>
          <w:tcPr>
            <w:tcW w:w="1320" w:type="pct"/>
            <w:tcBorders>
              <w:top w:val="single" w:color="auto" w:sz="4" w:space="0"/>
              <w:left w:val="single" w:color="auto" w:sz="4" w:space="0"/>
              <w:bottom w:val="single" w:color="auto" w:sz="4" w:space="0"/>
              <w:right w:val="single" w:color="auto" w:sz="4" w:space="0"/>
            </w:tcBorders>
            <w:shd w:val="clear" w:color="auto" w:fill="auto"/>
            <w:vAlign w:val="center"/>
          </w:tcPr>
          <w:p w14:paraId="763496F9">
            <w:pPr>
              <w:jc w:val="center"/>
              <w:rPr>
                <w:rFonts w:hint="eastAsia" w:ascii="Times New Roman" w:hAnsi="Times New Roman" w:eastAsia="宋体" w:cs="Times New Roman"/>
                <w:color w:val="auto"/>
                <w:kern w:val="2"/>
                <w:sz w:val="18"/>
                <w:szCs w:val="18"/>
                <w:lang w:val="en-US" w:eastAsia="zh-CN" w:bidi="ar-SA"/>
              </w:rPr>
            </w:pPr>
            <w:r>
              <w:rPr>
                <w:rFonts w:ascii="Times New Roman" w:hAnsi="Times New Roman" w:eastAsia="宋体" w:cs="Times New Roman"/>
                <w:color w:val="auto"/>
                <w:sz w:val="18"/>
                <w:szCs w:val="18"/>
                <w:lang w:eastAsia="en-US"/>
              </w:rPr>
              <w:t>排放浓度（mg/</w:t>
            </w:r>
            <w:r>
              <w:rPr>
                <w:rFonts w:hint="eastAsia" w:ascii="Times New Roman" w:hAnsi="Times New Roman" w:eastAsia="宋体" w:cs="Times New Roman"/>
                <w:color w:val="auto"/>
                <w:sz w:val="18"/>
                <w:szCs w:val="18"/>
                <w:lang w:eastAsia="zh-CN"/>
              </w:rPr>
              <w:t>m</w:t>
            </w:r>
            <w:r>
              <w:rPr>
                <w:rFonts w:hint="eastAsia" w:ascii="Times New Roman" w:hAnsi="Times New Roman" w:eastAsia="宋体" w:cs="Times New Roman"/>
                <w:color w:val="auto"/>
                <w:sz w:val="18"/>
                <w:szCs w:val="18"/>
                <w:vertAlign w:val="superscript"/>
                <w:lang w:eastAsia="zh-CN"/>
              </w:rPr>
              <w:t>3</w:t>
            </w:r>
            <w:r>
              <w:rPr>
                <w:rFonts w:ascii="Times New Roman" w:hAnsi="Times New Roman" w:eastAsia="宋体" w:cs="Times New Roman"/>
                <w:color w:val="auto"/>
                <w:sz w:val="18"/>
                <w:szCs w:val="18"/>
                <w:lang w:eastAsia="en-US"/>
              </w:rPr>
              <w:t>）</w:t>
            </w:r>
          </w:p>
        </w:tc>
        <w:tc>
          <w:tcPr>
            <w:tcW w:w="596" w:type="pct"/>
            <w:tcBorders>
              <w:top w:val="single" w:color="auto" w:sz="4" w:space="0"/>
              <w:left w:val="single" w:color="auto" w:sz="4" w:space="0"/>
              <w:bottom w:val="single" w:color="auto" w:sz="4" w:space="0"/>
              <w:right w:val="single" w:color="auto" w:sz="4" w:space="0"/>
            </w:tcBorders>
            <w:shd w:val="clear" w:color="auto" w:fill="auto"/>
            <w:vAlign w:val="center"/>
          </w:tcPr>
          <w:p w14:paraId="768EFFD9">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0.013</w:t>
            </w:r>
          </w:p>
        </w:tc>
        <w:tc>
          <w:tcPr>
            <w:tcW w:w="595" w:type="pct"/>
            <w:tcBorders>
              <w:top w:val="single" w:color="auto" w:sz="4" w:space="0"/>
              <w:left w:val="single" w:color="auto" w:sz="4" w:space="0"/>
              <w:bottom w:val="single" w:color="auto" w:sz="4" w:space="0"/>
              <w:right w:val="single" w:color="auto" w:sz="4" w:space="0"/>
            </w:tcBorders>
            <w:shd w:val="clear" w:color="auto" w:fill="auto"/>
            <w:vAlign w:val="center"/>
          </w:tcPr>
          <w:p w14:paraId="03B03826">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0.015</w:t>
            </w:r>
          </w:p>
        </w:tc>
        <w:tc>
          <w:tcPr>
            <w:tcW w:w="653" w:type="pct"/>
            <w:tcBorders>
              <w:top w:val="single" w:color="auto" w:sz="4" w:space="0"/>
              <w:left w:val="single" w:color="auto" w:sz="4" w:space="0"/>
              <w:bottom w:val="single" w:color="auto" w:sz="4" w:space="0"/>
              <w:right w:val="single" w:color="auto" w:sz="4" w:space="0"/>
            </w:tcBorders>
            <w:shd w:val="clear" w:color="auto" w:fill="auto"/>
            <w:vAlign w:val="center"/>
          </w:tcPr>
          <w:p w14:paraId="13330382">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0.019</w:t>
            </w:r>
          </w:p>
        </w:tc>
        <w:tc>
          <w:tcPr>
            <w:tcW w:w="730" w:type="pct"/>
            <w:tcBorders>
              <w:top w:val="single" w:color="auto" w:sz="4" w:space="0"/>
              <w:left w:val="single" w:color="auto" w:sz="4" w:space="0"/>
              <w:bottom w:val="single" w:color="auto" w:sz="4" w:space="0"/>
              <w:right w:val="single" w:color="auto" w:sz="4" w:space="0"/>
            </w:tcBorders>
            <w:shd w:val="clear" w:color="auto" w:fill="auto"/>
            <w:vAlign w:val="center"/>
          </w:tcPr>
          <w:p w14:paraId="48DEF135">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w:t>
            </w:r>
          </w:p>
        </w:tc>
      </w:tr>
      <w:tr w14:paraId="0AC9A4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79" w:type="pct"/>
            <w:vMerge w:val="continue"/>
            <w:tcBorders>
              <w:left w:val="single" w:color="auto" w:sz="4" w:space="0"/>
              <w:right w:val="single" w:color="auto" w:sz="4" w:space="0"/>
            </w:tcBorders>
            <w:vAlign w:val="center"/>
          </w:tcPr>
          <w:p w14:paraId="4C1CCED2">
            <w:pPr>
              <w:jc w:val="center"/>
              <w:rPr>
                <w:rFonts w:ascii="Times New Roman" w:hAnsi="Times New Roman" w:eastAsia="宋体" w:cs="Times New Roman"/>
                <w:color w:val="auto"/>
                <w:szCs w:val="21"/>
                <w:lang w:eastAsia="en-US"/>
              </w:rPr>
            </w:pPr>
          </w:p>
        </w:tc>
        <w:tc>
          <w:tcPr>
            <w:tcW w:w="724" w:type="pct"/>
            <w:vMerge w:val="continue"/>
            <w:tcBorders>
              <w:left w:val="single" w:color="auto" w:sz="4" w:space="0"/>
              <w:bottom w:val="single" w:color="auto" w:sz="4" w:space="0"/>
              <w:right w:val="single" w:color="auto" w:sz="4" w:space="0"/>
            </w:tcBorders>
            <w:vAlign w:val="center"/>
          </w:tcPr>
          <w:p w14:paraId="670E20F8">
            <w:pPr>
              <w:jc w:val="center"/>
              <w:rPr>
                <w:rFonts w:hint="eastAsia" w:ascii="Times New Roman" w:hAnsi="Times New Roman" w:eastAsia="宋体" w:cs="Times New Roman"/>
                <w:color w:val="auto"/>
                <w:szCs w:val="21"/>
                <w:lang w:val="en-US" w:eastAsia="zh-CN"/>
              </w:rPr>
            </w:pPr>
          </w:p>
        </w:tc>
        <w:tc>
          <w:tcPr>
            <w:tcW w:w="1320" w:type="pct"/>
            <w:tcBorders>
              <w:top w:val="single" w:color="auto" w:sz="4" w:space="0"/>
              <w:left w:val="single" w:color="auto" w:sz="4" w:space="0"/>
              <w:bottom w:val="single" w:color="auto" w:sz="4" w:space="0"/>
              <w:right w:val="single" w:color="auto" w:sz="4" w:space="0"/>
            </w:tcBorders>
            <w:shd w:val="clear" w:color="auto" w:fill="auto"/>
            <w:vAlign w:val="center"/>
          </w:tcPr>
          <w:p w14:paraId="68E35CAF">
            <w:pPr>
              <w:jc w:val="center"/>
              <w:rPr>
                <w:rFonts w:hint="eastAsia" w:ascii="Times New Roman" w:hAnsi="Times New Roman" w:eastAsia="宋体" w:cs="Times New Roman"/>
                <w:color w:val="auto"/>
                <w:kern w:val="2"/>
                <w:sz w:val="18"/>
                <w:szCs w:val="18"/>
                <w:lang w:val="en-US" w:eastAsia="zh-CN" w:bidi="ar-SA"/>
              </w:rPr>
            </w:pPr>
            <w:r>
              <w:rPr>
                <w:rFonts w:ascii="Times New Roman" w:hAnsi="Times New Roman" w:eastAsia="宋体" w:cs="Times New Roman"/>
                <w:color w:val="auto"/>
                <w:sz w:val="18"/>
                <w:szCs w:val="18"/>
                <w:lang w:eastAsia="en-US"/>
              </w:rPr>
              <w:t>排放速率（kg/h）</w:t>
            </w:r>
          </w:p>
        </w:tc>
        <w:tc>
          <w:tcPr>
            <w:tcW w:w="596" w:type="pct"/>
            <w:tcBorders>
              <w:top w:val="single" w:color="auto" w:sz="4" w:space="0"/>
              <w:left w:val="single" w:color="auto" w:sz="4" w:space="0"/>
              <w:bottom w:val="single" w:color="auto" w:sz="4" w:space="0"/>
              <w:right w:val="single" w:color="auto" w:sz="4" w:space="0"/>
            </w:tcBorders>
            <w:shd w:val="clear" w:color="auto" w:fill="auto"/>
            <w:vAlign w:val="center"/>
          </w:tcPr>
          <w:p w14:paraId="0DF70E01">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0.00051</w:t>
            </w:r>
          </w:p>
        </w:tc>
        <w:tc>
          <w:tcPr>
            <w:tcW w:w="595" w:type="pct"/>
            <w:tcBorders>
              <w:top w:val="single" w:color="auto" w:sz="4" w:space="0"/>
              <w:left w:val="single" w:color="auto" w:sz="4" w:space="0"/>
              <w:bottom w:val="single" w:color="auto" w:sz="4" w:space="0"/>
              <w:right w:val="single" w:color="auto" w:sz="4" w:space="0"/>
            </w:tcBorders>
            <w:shd w:val="clear" w:color="auto" w:fill="auto"/>
            <w:vAlign w:val="center"/>
          </w:tcPr>
          <w:p w14:paraId="3BA3B69D">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0.00058</w:t>
            </w:r>
          </w:p>
        </w:tc>
        <w:tc>
          <w:tcPr>
            <w:tcW w:w="653" w:type="pct"/>
            <w:tcBorders>
              <w:top w:val="single" w:color="auto" w:sz="4" w:space="0"/>
              <w:left w:val="single" w:color="auto" w:sz="4" w:space="0"/>
              <w:bottom w:val="single" w:color="auto" w:sz="4" w:space="0"/>
              <w:right w:val="single" w:color="auto" w:sz="4" w:space="0"/>
            </w:tcBorders>
            <w:shd w:val="clear" w:color="auto" w:fill="auto"/>
            <w:vAlign w:val="center"/>
          </w:tcPr>
          <w:p w14:paraId="38B35A83">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0.00077</w:t>
            </w:r>
          </w:p>
        </w:tc>
        <w:tc>
          <w:tcPr>
            <w:tcW w:w="730" w:type="pct"/>
            <w:tcBorders>
              <w:top w:val="single" w:color="auto" w:sz="4" w:space="0"/>
              <w:left w:val="single" w:color="auto" w:sz="4" w:space="0"/>
              <w:bottom w:val="single" w:color="auto" w:sz="4" w:space="0"/>
              <w:right w:val="single" w:color="auto" w:sz="4" w:space="0"/>
            </w:tcBorders>
            <w:shd w:val="clear" w:color="auto" w:fill="auto"/>
            <w:vAlign w:val="center"/>
          </w:tcPr>
          <w:p w14:paraId="3BD7EE10">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0.58</w:t>
            </w:r>
          </w:p>
        </w:tc>
      </w:tr>
      <w:tr w14:paraId="2FDCDC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79" w:type="pct"/>
            <w:vMerge w:val="continue"/>
            <w:tcBorders>
              <w:left w:val="single" w:color="auto" w:sz="4" w:space="0"/>
              <w:right w:val="single" w:color="auto" w:sz="4" w:space="0"/>
            </w:tcBorders>
            <w:vAlign w:val="center"/>
          </w:tcPr>
          <w:p w14:paraId="51DC39C6">
            <w:pPr>
              <w:jc w:val="center"/>
              <w:rPr>
                <w:rFonts w:ascii="Times New Roman" w:hAnsi="Times New Roman" w:eastAsia="宋体" w:cs="Times New Roman"/>
                <w:color w:val="auto"/>
                <w:szCs w:val="21"/>
                <w:lang w:eastAsia="en-US"/>
              </w:rPr>
            </w:pPr>
          </w:p>
        </w:tc>
        <w:tc>
          <w:tcPr>
            <w:tcW w:w="724" w:type="pct"/>
            <w:vMerge w:val="restart"/>
            <w:tcBorders>
              <w:top w:val="single" w:color="auto" w:sz="4" w:space="0"/>
              <w:left w:val="single" w:color="auto" w:sz="4" w:space="0"/>
              <w:right w:val="single" w:color="auto" w:sz="4" w:space="0"/>
            </w:tcBorders>
            <w:shd w:val="clear" w:color="auto" w:fill="auto"/>
            <w:vAlign w:val="center"/>
          </w:tcPr>
          <w:p w14:paraId="4F498E3D">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sz w:val="18"/>
                <w:szCs w:val="18"/>
                <w:lang w:val="en-US" w:eastAsia="zh-CN"/>
              </w:rPr>
              <w:t>非甲烷总烃</w:t>
            </w:r>
          </w:p>
        </w:tc>
        <w:tc>
          <w:tcPr>
            <w:tcW w:w="1320" w:type="pct"/>
            <w:tcBorders>
              <w:top w:val="single" w:color="auto" w:sz="4" w:space="0"/>
              <w:left w:val="single" w:color="auto" w:sz="4" w:space="0"/>
              <w:bottom w:val="single" w:color="auto" w:sz="4" w:space="0"/>
              <w:right w:val="single" w:color="auto" w:sz="4" w:space="0"/>
            </w:tcBorders>
            <w:shd w:val="clear" w:color="auto" w:fill="auto"/>
            <w:vAlign w:val="center"/>
          </w:tcPr>
          <w:p w14:paraId="3DD42EC3">
            <w:pPr>
              <w:jc w:val="center"/>
              <w:rPr>
                <w:rFonts w:hint="eastAsia" w:ascii="Times New Roman" w:hAnsi="Times New Roman" w:eastAsia="宋体" w:cs="Times New Roman"/>
                <w:color w:val="auto"/>
                <w:kern w:val="2"/>
                <w:sz w:val="18"/>
                <w:szCs w:val="18"/>
                <w:lang w:val="en-US" w:eastAsia="zh-CN" w:bidi="ar-SA"/>
              </w:rPr>
            </w:pPr>
            <w:r>
              <w:rPr>
                <w:rFonts w:ascii="Times New Roman" w:hAnsi="Times New Roman" w:eastAsia="宋体" w:cs="Times New Roman"/>
                <w:color w:val="auto"/>
                <w:sz w:val="18"/>
                <w:szCs w:val="18"/>
                <w:lang w:eastAsia="en-US"/>
              </w:rPr>
              <w:t>排放浓度（mg/</w:t>
            </w:r>
            <w:r>
              <w:rPr>
                <w:rFonts w:hint="eastAsia" w:ascii="Times New Roman" w:hAnsi="Times New Roman" w:eastAsia="宋体" w:cs="Times New Roman"/>
                <w:color w:val="auto"/>
                <w:sz w:val="18"/>
                <w:szCs w:val="18"/>
                <w:lang w:eastAsia="zh-CN"/>
              </w:rPr>
              <w:t>m</w:t>
            </w:r>
            <w:r>
              <w:rPr>
                <w:rFonts w:hint="eastAsia" w:ascii="Times New Roman" w:hAnsi="Times New Roman" w:eastAsia="宋体" w:cs="Times New Roman"/>
                <w:color w:val="auto"/>
                <w:sz w:val="18"/>
                <w:szCs w:val="18"/>
                <w:vertAlign w:val="superscript"/>
                <w:lang w:eastAsia="zh-CN"/>
              </w:rPr>
              <w:t>3</w:t>
            </w:r>
            <w:r>
              <w:rPr>
                <w:rFonts w:ascii="Times New Roman" w:hAnsi="Times New Roman" w:eastAsia="宋体" w:cs="Times New Roman"/>
                <w:color w:val="auto"/>
                <w:sz w:val="18"/>
                <w:szCs w:val="18"/>
                <w:lang w:eastAsia="en-US"/>
              </w:rPr>
              <w:t>）</w:t>
            </w:r>
          </w:p>
        </w:tc>
        <w:tc>
          <w:tcPr>
            <w:tcW w:w="596" w:type="pct"/>
            <w:tcBorders>
              <w:top w:val="single" w:color="auto" w:sz="4" w:space="0"/>
              <w:left w:val="single" w:color="auto" w:sz="4" w:space="0"/>
              <w:bottom w:val="single" w:color="auto" w:sz="4" w:space="0"/>
              <w:right w:val="single" w:color="auto" w:sz="4" w:space="0"/>
            </w:tcBorders>
            <w:shd w:val="clear" w:color="auto" w:fill="auto"/>
            <w:vAlign w:val="center"/>
          </w:tcPr>
          <w:p w14:paraId="0E2DF9AC">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3.20</w:t>
            </w:r>
          </w:p>
        </w:tc>
        <w:tc>
          <w:tcPr>
            <w:tcW w:w="595" w:type="pct"/>
            <w:tcBorders>
              <w:top w:val="single" w:color="auto" w:sz="4" w:space="0"/>
              <w:left w:val="single" w:color="auto" w:sz="4" w:space="0"/>
              <w:bottom w:val="single" w:color="auto" w:sz="4" w:space="0"/>
              <w:right w:val="single" w:color="auto" w:sz="4" w:space="0"/>
            </w:tcBorders>
            <w:shd w:val="clear" w:color="auto" w:fill="auto"/>
            <w:vAlign w:val="center"/>
          </w:tcPr>
          <w:p w14:paraId="4C8D9694">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2.64</w:t>
            </w:r>
          </w:p>
        </w:tc>
        <w:tc>
          <w:tcPr>
            <w:tcW w:w="653" w:type="pct"/>
            <w:tcBorders>
              <w:top w:val="single" w:color="auto" w:sz="4" w:space="0"/>
              <w:left w:val="single" w:color="auto" w:sz="4" w:space="0"/>
              <w:bottom w:val="single" w:color="auto" w:sz="4" w:space="0"/>
              <w:right w:val="single" w:color="auto" w:sz="4" w:space="0"/>
            </w:tcBorders>
            <w:shd w:val="clear" w:color="auto" w:fill="auto"/>
            <w:vAlign w:val="center"/>
          </w:tcPr>
          <w:p w14:paraId="55F31868">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2.63</w:t>
            </w:r>
          </w:p>
        </w:tc>
        <w:tc>
          <w:tcPr>
            <w:tcW w:w="730" w:type="pct"/>
            <w:tcBorders>
              <w:top w:val="single" w:color="auto" w:sz="4" w:space="0"/>
              <w:left w:val="single" w:color="auto" w:sz="4" w:space="0"/>
              <w:bottom w:val="single" w:color="auto" w:sz="4" w:space="0"/>
              <w:right w:val="single" w:color="auto" w:sz="4" w:space="0"/>
            </w:tcBorders>
            <w:shd w:val="clear" w:color="auto" w:fill="auto"/>
            <w:vAlign w:val="center"/>
          </w:tcPr>
          <w:p w14:paraId="4BC5C2F7">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100</w:t>
            </w:r>
          </w:p>
        </w:tc>
      </w:tr>
      <w:tr w14:paraId="072538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79" w:type="pct"/>
            <w:vMerge w:val="continue"/>
            <w:tcBorders>
              <w:left w:val="single" w:color="auto" w:sz="4" w:space="0"/>
              <w:right w:val="single" w:color="auto" w:sz="4" w:space="0"/>
            </w:tcBorders>
            <w:vAlign w:val="center"/>
          </w:tcPr>
          <w:p w14:paraId="442B03F7">
            <w:pPr>
              <w:jc w:val="center"/>
              <w:rPr>
                <w:rFonts w:ascii="Times New Roman" w:hAnsi="Times New Roman" w:eastAsia="宋体" w:cs="Times New Roman"/>
                <w:color w:val="auto"/>
                <w:szCs w:val="21"/>
                <w:lang w:eastAsia="en-US"/>
              </w:rPr>
            </w:pPr>
          </w:p>
        </w:tc>
        <w:tc>
          <w:tcPr>
            <w:tcW w:w="724" w:type="pct"/>
            <w:vMerge w:val="continue"/>
            <w:tcBorders>
              <w:left w:val="single" w:color="auto" w:sz="4" w:space="0"/>
              <w:bottom w:val="single" w:color="auto" w:sz="4" w:space="0"/>
              <w:right w:val="single" w:color="auto" w:sz="4" w:space="0"/>
            </w:tcBorders>
            <w:vAlign w:val="center"/>
          </w:tcPr>
          <w:p w14:paraId="77919466">
            <w:pPr>
              <w:jc w:val="center"/>
              <w:rPr>
                <w:rFonts w:hint="eastAsia" w:ascii="Times New Roman" w:hAnsi="Times New Roman" w:eastAsia="宋体" w:cs="Times New Roman"/>
                <w:color w:val="auto"/>
                <w:szCs w:val="21"/>
                <w:lang w:val="en-US" w:eastAsia="zh-CN"/>
              </w:rPr>
            </w:pPr>
          </w:p>
        </w:tc>
        <w:tc>
          <w:tcPr>
            <w:tcW w:w="1320" w:type="pct"/>
            <w:tcBorders>
              <w:top w:val="single" w:color="auto" w:sz="4" w:space="0"/>
              <w:left w:val="single" w:color="auto" w:sz="4" w:space="0"/>
              <w:bottom w:val="single" w:color="auto" w:sz="4" w:space="0"/>
              <w:right w:val="single" w:color="auto" w:sz="4" w:space="0"/>
            </w:tcBorders>
            <w:shd w:val="clear" w:color="auto" w:fill="auto"/>
            <w:vAlign w:val="center"/>
          </w:tcPr>
          <w:p w14:paraId="15979DEA">
            <w:pPr>
              <w:jc w:val="center"/>
              <w:rPr>
                <w:rFonts w:hint="eastAsia" w:ascii="Times New Roman" w:hAnsi="Times New Roman" w:eastAsia="宋体" w:cs="Times New Roman"/>
                <w:color w:val="auto"/>
                <w:kern w:val="2"/>
                <w:sz w:val="18"/>
                <w:szCs w:val="18"/>
                <w:lang w:val="en-US" w:eastAsia="zh-CN" w:bidi="ar-SA"/>
              </w:rPr>
            </w:pPr>
            <w:r>
              <w:rPr>
                <w:rFonts w:ascii="Times New Roman" w:hAnsi="Times New Roman" w:eastAsia="宋体" w:cs="Times New Roman"/>
                <w:color w:val="auto"/>
                <w:sz w:val="18"/>
                <w:szCs w:val="18"/>
                <w:lang w:eastAsia="en-US"/>
              </w:rPr>
              <w:t>排放速率（kg/h）</w:t>
            </w:r>
          </w:p>
        </w:tc>
        <w:tc>
          <w:tcPr>
            <w:tcW w:w="596" w:type="pct"/>
            <w:tcBorders>
              <w:top w:val="single" w:color="auto" w:sz="4" w:space="0"/>
              <w:left w:val="single" w:color="auto" w:sz="4" w:space="0"/>
              <w:bottom w:val="single" w:color="auto" w:sz="4" w:space="0"/>
              <w:right w:val="single" w:color="auto" w:sz="4" w:space="0"/>
            </w:tcBorders>
            <w:shd w:val="clear" w:color="auto" w:fill="auto"/>
            <w:vAlign w:val="center"/>
          </w:tcPr>
          <w:p w14:paraId="4BA3500D">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0.12</w:t>
            </w:r>
          </w:p>
        </w:tc>
        <w:tc>
          <w:tcPr>
            <w:tcW w:w="595" w:type="pct"/>
            <w:tcBorders>
              <w:top w:val="single" w:color="auto" w:sz="4" w:space="0"/>
              <w:left w:val="single" w:color="auto" w:sz="4" w:space="0"/>
              <w:bottom w:val="single" w:color="auto" w:sz="4" w:space="0"/>
              <w:right w:val="single" w:color="auto" w:sz="4" w:space="0"/>
            </w:tcBorders>
            <w:shd w:val="clear" w:color="auto" w:fill="auto"/>
            <w:vAlign w:val="center"/>
          </w:tcPr>
          <w:p w14:paraId="53CB51F2">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0.10</w:t>
            </w:r>
          </w:p>
        </w:tc>
        <w:tc>
          <w:tcPr>
            <w:tcW w:w="653" w:type="pct"/>
            <w:tcBorders>
              <w:top w:val="single" w:color="auto" w:sz="4" w:space="0"/>
              <w:left w:val="single" w:color="auto" w:sz="4" w:space="0"/>
              <w:bottom w:val="single" w:color="auto" w:sz="4" w:space="0"/>
              <w:right w:val="single" w:color="auto" w:sz="4" w:space="0"/>
            </w:tcBorders>
            <w:shd w:val="clear" w:color="auto" w:fill="auto"/>
            <w:vAlign w:val="center"/>
          </w:tcPr>
          <w:p w14:paraId="4E9C0D60">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0.11</w:t>
            </w:r>
          </w:p>
        </w:tc>
        <w:tc>
          <w:tcPr>
            <w:tcW w:w="730" w:type="pct"/>
            <w:tcBorders>
              <w:top w:val="single" w:color="auto" w:sz="4" w:space="0"/>
              <w:left w:val="single" w:color="auto" w:sz="4" w:space="0"/>
              <w:bottom w:val="single" w:color="auto" w:sz="4" w:space="0"/>
              <w:right w:val="single" w:color="auto" w:sz="4" w:space="0"/>
            </w:tcBorders>
            <w:shd w:val="clear" w:color="auto" w:fill="auto"/>
            <w:vAlign w:val="center"/>
          </w:tcPr>
          <w:p w14:paraId="1D147885">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w:t>
            </w:r>
          </w:p>
        </w:tc>
      </w:tr>
      <w:tr w14:paraId="0B6473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79" w:type="pct"/>
            <w:vMerge w:val="restart"/>
            <w:tcBorders>
              <w:left w:val="single" w:color="auto" w:sz="4" w:space="0"/>
              <w:right w:val="single" w:color="auto" w:sz="4" w:space="0"/>
            </w:tcBorders>
            <w:shd w:val="clear" w:color="auto" w:fill="auto"/>
            <w:vAlign w:val="center"/>
          </w:tcPr>
          <w:p w14:paraId="62E7D71F">
            <w:pPr>
              <w:jc w:val="center"/>
              <w:rPr>
                <w:rFonts w:hint="default" w:ascii="Times New Roman" w:hAnsi="Times New Roman" w:eastAsia="宋体" w:cs="Times New Roman"/>
                <w:color w:val="auto"/>
                <w:kern w:val="2"/>
                <w:sz w:val="18"/>
                <w:szCs w:val="18"/>
                <w:lang w:val="en-US" w:eastAsia="en-US" w:bidi="ar-SA"/>
              </w:rPr>
            </w:pPr>
            <w:r>
              <w:rPr>
                <w:rFonts w:hint="eastAsia" w:ascii="Times New Roman" w:hAnsi="Times New Roman" w:eastAsia="宋体" w:cs="Times New Roman"/>
                <w:color w:val="auto"/>
                <w:sz w:val="18"/>
                <w:szCs w:val="18"/>
                <w:lang w:val="en-US" w:eastAsia="zh-CN"/>
              </w:rPr>
              <w:t>DA002污水处理站废气出口</w:t>
            </w:r>
          </w:p>
        </w:tc>
        <w:tc>
          <w:tcPr>
            <w:tcW w:w="724" w:type="pct"/>
            <w:tcBorders>
              <w:top w:val="single" w:color="auto" w:sz="4" w:space="0"/>
              <w:left w:val="single" w:color="auto" w:sz="4" w:space="0"/>
              <w:bottom w:val="single" w:color="auto" w:sz="4" w:space="0"/>
              <w:right w:val="single" w:color="auto" w:sz="4" w:space="0"/>
            </w:tcBorders>
            <w:shd w:val="clear" w:color="auto" w:fill="auto"/>
            <w:vAlign w:val="center"/>
          </w:tcPr>
          <w:p w14:paraId="6E140C78">
            <w:pPr>
              <w:jc w:val="center"/>
              <w:rPr>
                <w:rFonts w:hint="eastAsia" w:ascii="Times New Roman" w:hAnsi="Times New Roman" w:eastAsia="宋体" w:cs="Times New Roman"/>
                <w:color w:val="auto"/>
                <w:kern w:val="2"/>
                <w:sz w:val="18"/>
                <w:szCs w:val="18"/>
                <w:lang w:val="en-US" w:eastAsia="zh-CN" w:bidi="ar-SA"/>
              </w:rPr>
            </w:pPr>
            <w:r>
              <w:rPr>
                <w:rFonts w:ascii="Times New Roman" w:hAnsi="Times New Roman" w:eastAsia="宋体" w:cs="Times New Roman"/>
                <w:color w:val="auto"/>
                <w:sz w:val="18"/>
                <w:szCs w:val="18"/>
                <w:lang w:eastAsia="en-US"/>
              </w:rPr>
              <w:t>烟气流量</w:t>
            </w:r>
          </w:p>
        </w:tc>
        <w:tc>
          <w:tcPr>
            <w:tcW w:w="1320" w:type="pct"/>
            <w:tcBorders>
              <w:top w:val="single" w:color="auto" w:sz="4" w:space="0"/>
              <w:left w:val="single" w:color="auto" w:sz="4" w:space="0"/>
              <w:bottom w:val="single" w:color="auto" w:sz="4" w:space="0"/>
              <w:right w:val="single" w:color="auto" w:sz="4" w:space="0"/>
            </w:tcBorders>
            <w:shd w:val="clear" w:color="auto" w:fill="auto"/>
            <w:vAlign w:val="center"/>
          </w:tcPr>
          <w:p w14:paraId="4FE20241">
            <w:pPr>
              <w:jc w:val="center"/>
              <w:rPr>
                <w:rFonts w:hint="eastAsia" w:ascii="Times New Roman" w:hAnsi="Times New Roman" w:eastAsia="宋体" w:cs="Times New Roman"/>
                <w:color w:val="auto"/>
                <w:kern w:val="2"/>
                <w:sz w:val="18"/>
                <w:szCs w:val="18"/>
                <w:lang w:val="en-US" w:eastAsia="zh-CN" w:bidi="ar-SA"/>
              </w:rPr>
            </w:pPr>
            <w:r>
              <w:rPr>
                <w:rFonts w:ascii="Times New Roman" w:hAnsi="Times New Roman" w:eastAsia="宋体" w:cs="Times New Roman"/>
                <w:color w:val="auto"/>
                <w:sz w:val="18"/>
                <w:szCs w:val="18"/>
                <w:lang w:eastAsia="en-US"/>
              </w:rPr>
              <w:t>（N•</w:t>
            </w:r>
            <w:r>
              <w:rPr>
                <w:rFonts w:hint="eastAsia" w:ascii="Times New Roman" w:hAnsi="Times New Roman" w:eastAsia="宋体" w:cs="Times New Roman"/>
                <w:color w:val="auto"/>
                <w:sz w:val="18"/>
                <w:szCs w:val="18"/>
                <w:lang w:eastAsia="zh-CN"/>
              </w:rPr>
              <w:t>m</w:t>
            </w:r>
            <w:r>
              <w:rPr>
                <w:rFonts w:hint="eastAsia" w:ascii="Times New Roman" w:hAnsi="Times New Roman" w:eastAsia="宋体" w:cs="Times New Roman"/>
                <w:color w:val="auto"/>
                <w:sz w:val="18"/>
                <w:szCs w:val="18"/>
                <w:vertAlign w:val="superscript"/>
                <w:lang w:eastAsia="zh-CN"/>
              </w:rPr>
              <w:t>3</w:t>
            </w:r>
            <w:r>
              <w:rPr>
                <w:rFonts w:ascii="Times New Roman" w:hAnsi="Times New Roman" w:eastAsia="宋体" w:cs="Times New Roman"/>
                <w:color w:val="auto"/>
                <w:sz w:val="18"/>
                <w:szCs w:val="18"/>
                <w:lang w:eastAsia="en-US"/>
              </w:rPr>
              <w:t>/h）</w:t>
            </w:r>
          </w:p>
        </w:tc>
        <w:tc>
          <w:tcPr>
            <w:tcW w:w="596" w:type="pct"/>
            <w:tcBorders>
              <w:top w:val="single" w:color="auto" w:sz="4" w:space="0"/>
              <w:left w:val="single" w:color="auto" w:sz="4" w:space="0"/>
              <w:bottom w:val="single" w:color="auto" w:sz="4" w:space="0"/>
              <w:right w:val="single" w:color="auto" w:sz="4" w:space="0"/>
            </w:tcBorders>
            <w:shd w:val="clear" w:color="auto" w:fill="auto"/>
            <w:vAlign w:val="center"/>
          </w:tcPr>
          <w:p w14:paraId="3F3306D6">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4132</w:t>
            </w:r>
          </w:p>
        </w:tc>
        <w:tc>
          <w:tcPr>
            <w:tcW w:w="595" w:type="pct"/>
            <w:tcBorders>
              <w:top w:val="single" w:color="auto" w:sz="4" w:space="0"/>
              <w:left w:val="single" w:color="auto" w:sz="4" w:space="0"/>
              <w:bottom w:val="single" w:color="auto" w:sz="4" w:space="0"/>
              <w:right w:val="single" w:color="auto" w:sz="4" w:space="0"/>
            </w:tcBorders>
            <w:shd w:val="clear" w:color="auto" w:fill="auto"/>
            <w:vAlign w:val="center"/>
          </w:tcPr>
          <w:p w14:paraId="0659BA24">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4217</w:t>
            </w:r>
          </w:p>
        </w:tc>
        <w:tc>
          <w:tcPr>
            <w:tcW w:w="653" w:type="pct"/>
            <w:tcBorders>
              <w:top w:val="single" w:color="auto" w:sz="4" w:space="0"/>
              <w:left w:val="single" w:color="auto" w:sz="4" w:space="0"/>
              <w:bottom w:val="single" w:color="auto" w:sz="4" w:space="0"/>
              <w:right w:val="single" w:color="auto" w:sz="4" w:space="0"/>
            </w:tcBorders>
            <w:shd w:val="clear" w:color="auto" w:fill="auto"/>
            <w:vAlign w:val="center"/>
          </w:tcPr>
          <w:p w14:paraId="000CD354">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4265</w:t>
            </w:r>
          </w:p>
        </w:tc>
        <w:tc>
          <w:tcPr>
            <w:tcW w:w="730" w:type="pct"/>
            <w:tcBorders>
              <w:top w:val="single" w:color="auto" w:sz="4" w:space="0"/>
              <w:left w:val="single" w:color="auto" w:sz="4" w:space="0"/>
              <w:bottom w:val="single" w:color="auto" w:sz="4" w:space="0"/>
              <w:right w:val="single" w:color="auto" w:sz="4" w:space="0"/>
            </w:tcBorders>
            <w:shd w:val="clear" w:color="auto" w:fill="auto"/>
            <w:vAlign w:val="center"/>
          </w:tcPr>
          <w:p w14:paraId="71BB62A6">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w:t>
            </w:r>
          </w:p>
        </w:tc>
      </w:tr>
      <w:tr w14:paraId="14B5F1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79" w:type="pct"/>
            <w:vMerge w:val="continue"/>
            <w:tcBorders>
              <w:left w:val="single" w:color="auto" w:sz="4" w:space="0"/>
              <w:right w:val="single" w:color="auto" w:sz="4" w:space="0"/>
            </w:tcBorders>
            <w:vAlign w:val="center"/>
          </w:tcPr>
          <w:p w14:paraId="71617843">
            <w:pPr>
              <w:jc w:val="center"/>
              <w:rPr>
                <w:rFonts w:ascii="Times New Roman" w:hAnsi="Times New Roman" w:eastAsia="宋体" w:cs="Times New Roman"/>
                <w:color w:val="auto"/>
                <w:szCs w:val="21"/>
                <w:lang w:eastAsia="en-US"/>
              </w:rPr>
            </w:pPr>
          </w:p>
        </w:tc>
        <w:tc>
          <w:tcPr>
            <w:tcW w:w="724" w:type="pct"/>
            <w:vMerge w:val="restart"/>
            <w:tcBorders>
              <w:top w:val="single" w:color="auto" w:sz="4" w:space="0"/>
              <w:left w:val="single" w:color="auto" w:sz="4" w:space="0"/>
              <w:right w:val="single" w:color="auto" w:sz="4" w:space="0"/>
            </w:tcBorders>
            <w:shd w:val="clear" w:color="auto" w:fill="auto"/>
            <w:vAlign w:val="center"/>
          </w:tcPr>
          <w:p w14:paraId="796A182A">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氨</w:t>
            </w:r>
          </w:p>
        </w:tc>
        <w:tc>
          <w:tcPr>
            <w:tcW w:w="1320" w:type="pct"/>
            <w:tcBorders>
              <w:top w:val="single" w:color="auto" w:sz="4" w:space="0"/>
              <w:left w:val="single" w:color="auto" w:sz="4" w:space="0"/>
              <w:bottom w:val="single" w:color="auto" w:sz="4" w:space="0"/>
              <w:right w:val="single" w:color="auto" w:sz="4" w:space="0"/>
            </w:tcBorders>
            <w:shd w:val="clear" w:color="auto" w:fill="auto"/>
            <w:vAlign w:val="center"/>
          </w:tcPr>
          <w:p w14:paraId="74A236C6">
            <w:pPr>
              <w:jc w:val="center"/>
              <w:rPr>
                <w:rFonts w:hint="eastAsia" w:ascii="Times New Roman" w:hAnsi="Times New Roman" w:eastAsia="宋体" w:cs="Times New Roman"/>
                <w:color w:val="auto"/>
                <w:kern w:val="2"/>
                <w:sz w:val="18"/>
                <w:szCs w:val="18"/>
                <w:lang w:val="en-US" w:eastAsia="zh-CN" w:bidi="ar-SA"/>
              </w:rPr>
            </w:pPr>
            <w:r>
              <w:rPr>
                <w:rFonts w:ascii="Times New Roman" w:hAnsi="Times New Roman" w:eastAsia="宋体" w:cs="Times New Roman"/>
                <w:color w:val="auto"/>
                <w:sz w:val="18"/>
                <w:szCs w:val="18"/>
                <w:lang w:eastAsia="en-US"/>
              </w:rPr>
              <w:t>排放浓度（mg/</w:t>
            </w:r>
            <w:r>
              <w:rPr>
                <w:rFonts w:hint="eastAsia" w:ascii="Times New Roman" w:hAnsi="Times New Roman" w:eastAsia="宋体" w:cs="Times New Roman"/>
                <w:color w:val="auto"/>
                <w:sz w:val="18"/>
                <w:szCs w:val="18"/>
                <w:lang w:eastAsia="zh-CN"/>
              </w:rPr>
              <w:t>m</w:t>
            </w:r>
            <w:r>
              <w:rPr>
                <w:rFonts w:hint="eastAsia" w:ascii="Times New Roman" w:hAnsi="Times New Roman" w:eastAsia="宋体" w:cs="Times New Roman"/>
                <w:color w:val="auto"/>
                <w:sz w:val="18"/>
                <w:szCs w:val="18"/>
                <w:vertAlign w:val="superscript"/>
                <w:lang w:eastAsia="zh-CN"/>
              </w:rPr>
              <w:t>3</w:t>
            </w:r>
            <w:r>
              <w:rPr>
                <w:rFonts w:ascii="Times New Roman" w:hAnsi="Times New Roman" w:eastAsia="宋体" w:cs="Times New Roman"/>
                <w:color w:val="auto"/>
                <w:sz w:val="18"/>
                <w:szCs w:val="18"/>
                <w:lang w:eastAsia="en-US"/>
              </w:rPr>
              <w:t>）</w:t>
            </w:r>
          </w:p>
        </w:tc>
        <w:tc>
          <w:tcPr>
            <w:tcW w:w="596" w:type="pct"/>
            <w:tcBorders>
              <w:top w:val="single" w:color="auto" w:sz="4" w:space="0"/>
              <w:left w:val="single" w:color="auto" w:sz="4" w:space="0"/>
              <w:bottom w:val="single" w:color="auto" w:sz="4" w:space="0"/>
              <w:right w:val="single" w:color="auto" w:sz="4" w:space="0"/>
            </w:tcBorders>
            <w:shd w:val="clear" w:color="auto" w:fill="auto"/>
            <w:vAlign w:val="center"/>
          </w:tcPr>
          <w:p w14:paraId="7A372787">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0.908</w:t>
            </w:r>
          </w:p>
        </w:tc>
        <w:tc>
          <w:tcPr>
            <w:tcW w:w="595" w:type="pct"/>
            <w:tcBorders>
              <w:top w:val="single" w:color="auto" w:sz="4" w:space="0"/>
              <w:left w:val="single" w:color="auto" w:sz="4" w:space="0"/>
              <w:bottom w:val="single" w:color="auto" w:sz="4" w:space="0"/>
              <w:right w:val="single" w:color="auto" w:sz="4" w:space="0"/>
            </w:tcBorders>
            <w:shd w:val="clear" w:color="auto" w:fill="auto"/>
            <w:vAlign w:val="center"/>
          </w:tcPr>
          <w:p w14:paraId="5B8B672A">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0.944</w:t>
            </w:r>
          </w:p>
        </w:tc>
        <w:tc>
          <w:tcPr>
            <w:tcW w:w="653" w:type="pct"/>
            <w:tcBorders>
              <w:top w:val="single" w:color="auto" w:sz="4" w:space="0"/>
              <w:left w:val="single" w:color="auto" w:sz="4" w:space="0"/>
              <w:bottom w:val="single" w:color="auto" w:sz="4" w:space="0"/>
              <w:right w:val="single" w:color="auto" w:sz="4" w:space="0"/>
            </w:tcBorders>
            <w:shd w:val="clear" w:color="auto" w:fill="auto"/>
            <w:vAlign w:val="center"/>
          </w:tcPr>
          <w:p w14:paraId="27278078">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0.990</w:t>
            </w:r>
          </w:p>
        </w:tc>
        <w:tc>
          <w:tcPr>
            <w:tcW w:w="730" w:type="pct"/>
            <w:tcBorders>
              <w:top w:val="single" w:color="auto" w:sz="4" w:space="0"/>
              <w:left w:val="single" w:color="auto" w:sz="4" w:space="0"/>
              <w:bottom w:val="single" w:color="auto" w:sz="4" w:space="0"/>
              <w:right w:val="single" w:color="auto" w:sz="4" w:space="0"/>
            </w:tcBorders>
            <w:shd w:val="clear" w:color="auto" w:fill="auto"/>
            <w:vAlign w:val="center"/>
          </w:tcPr>
          <w:p w14:paraId="726D9261">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30</w:t>
            </w:r>
          </w:p>
        </w:tc>
      </w:tr>
      <w:tr w14:paraId="1CEF35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79" w:type="pct"/>
            <w:vMerge w:val="continue"/>
            <w:tcBorders>
              <w:left w:val="single" w:color="auto" w:sz="4" w:space="0"/>
              <w:right w:val="single" w:color="auto" w:sz="4" w:space="0"/>
            </w:tcBorders>
            <w:vAlign w:val="center"/>
          </w:tcPr>
          <w:p w14:paraId="7E839CD1">
            <w:pPr>
              <w:jc w:val="center"/>
              <w:rPr>
                <w:rFonts w:ascii="Times New Roman" w:hAnsi="Times New Roman" w:eastAsia="宋体" w:cs="Times New Roman"/>
                <w:color w:val="auto"/>
                <w:szCs w:val="21"/>
                <w:lang w:eastAsia="en-US"/>
              </w:rPr>
            </w:pPr>
          </w:p>
        </w:tc>
        <w:tc>
          <w:tcPr>
            <w:tcW w:w="724" w:type="pct"/>
            <w:vMerge w:val="continue"/>
            <w:tcBorders>
              <w:left w:val="single" w:color="auto" w:sz="4" w:space="0"/>
              <w:bottom w:val="single" w:color="auto" w:sz="4" w:space="0"/>
              <w:right w:val="single" w:color="auto" w:sz="4" w:space="0"/>
            </w:tcBorders>
            <w:vAlign w:val="center"/>
          </w:tcPr>
          <w:p w14:paraId="2A68071B">
            <w:pPr>
              <w:jc w:val="center"/>
              <w:rPr>
                <w:rFonts w:hint="eastAsia" w:ascii="Times New Roman" w:hAnsi="Times New Roman" w:eastAsia="宋体" w:cs="Times New Roman"/>
                <w:color w:val="auto"/>
                <w:szCs w:val="21"/>
                <w:lang w:val="en-US" w:eastAsia="zh-CN"/>
              </w:rPr>
            </w:pPr>
          </w:p>
        </w:tc>
        <w:tc>
          <w:tcPr>
            <w:tcW w:w="1320" w:type="pct"/>
            <w:tcBorders>
              <w:top w:val="single" w:color="auto" w:sz="4" w:space="0"/>
              <w:left w:val="single" w:color="auto" w:sz="4" w:space="0"/>
              <w:bottom w:val="single" w:color="auto" w:sz="4" w:space="0"/>
              <w:right w:val="single" w:color="auto" w:sz="4" w:space="0"/>
            </w:tcBorders>
            <w:shd w:val="clear" w:color="auto" w:fill="auto"/>
            <w:vAlign w:val="center"/>
          </w:tcPr>
          <w:p w14:paraId="741E06E3">
            <w:pPr>
              <w:jc w:val="center"/>
              <w:rPr>
                <w:rFonts w:hint="eastAsia" w:ascii="Times New Roman" w:hAnsi="Times New Roman" w:eastAsia="宋体" w:cs="Times New Roman"/>
                <w:color w:val="auto"/>
                <w:kern w:val="2"/>
                <w:sz w:val="18"/>
                <w:szCs w:val="18"/>
                <w:lang w:val="en-US" w:eastAsia="zh-CN" w:bidi="ar-SA"/>
              </w:rPr>
            </w:pPr>
            <w:r>
              <w:rPr>
                <w:rFonts w:ascii="Times New Roman" w:hAnsi="Times New Roman" w:eastAsia="宋体" w:cs="Times New Roman"/>
                <w:color w:val="auto"/>
                <w:sz w:val="18"/>
                <w:szCs w:val="18"/>
                <w:lang w:eastAsia="en-US"/>
              </w:rPr>
              <w:t>排放速率（kg/h）</w:t>
            </w:r>
          </w:p>
        </w:tc>
        <w:tc>
          <w:tcPr>
            <w:tcW w:w="596" w:type="pct"/>
            <w:tcBorders>
              <w:top w:val="single" w:color="auto" w:sz="4" w:space="0"/>
              <w:left w:val="single" w:color="auto" w:sz="4" w:space="0"/>
              <w:bottom w:val="single" w:color="auto" w:sz="4" w:space="0"/>
              <w:right w:val="single" w:color="auto" w:sz="4" w:space="0"/>
            </w:tcBorders>
            <w:shd w:val="clear" w:color="auto" w:fill="auto"/>
            <w:vAlign w:val="center"/>
          </w:tcPr>
          <w:p w14:paraId="53AF16A9">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0.0038</w:t>
            </w:r>
          </w:p>
        </w:tc>
        <w:tc>
          <w:tcPr>
            <w:tcW w:w="595" w:type="pct"/>
            <w:tcBorders>
              <w:top w:val="single" w:color="auto" w:sz="4" w:space="0"/>
              <w:left w:val="single" w:color="auto" w:sz="4" w:space="0"/>
              <w:bottom w:val="single" w:color="auto" w:sz="4" w:space="0"/>
              <w:right w:val="single" w:color="auto" w:sz="4" w:space="0"/>
            </w:tcBorders>
            <w:shd w:val="clear" w:color="auto" w:fill="auto"/>
            <w:vAlign w:val="center"/>
          </w:tcPr>
          <w:p w14:paraId="5A79F7B7">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0.004</w:t>
            </w:r>
          </w:p>
        </w:tc>
        <w:tc>
          <w:tcPr>
            <w:tcW w:w="653" w:type="pct"/>
            <w:tcBorders>
              <w:top w:val="single" w:color="auto" w:sz="4" w:space="0"/>
              <w:left w:val="single" w:color="auto" w:sz="4" w:space="0"/>
              <w:bottom w:val="single" w:color="auto" w:sz="4" w:space="0"/>
              <w:right w:val="single" w:color="auto" w:sz="4" w:space="0"/>
            </w:tcBorders>
            <w:shd w:val="clear" w:color="auto" w:fill="auto"/>
            <w:vAlign w:val="center"/>
          </w:tcPr>
          <w:p w14:paraId="48735EBF">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0.0042</w:t>
            </w:r>
          </w:p>
        </w:tc>
        <w:tc>
          <w:tcPr>
            <w:tcW w:w="730" w:type="pct"/>
            <w:tcBorders>
              <w:top w:val="single" w:color="auto" w:sz="4" w:space="0"/>
              <w:left w:val="single" w:color="auto" w:sz="4" w:space="0"/>
              <w:bottom w:val="single" w:color="auto" w:sz="4" w:space="0"/>
              <w:right w:val="single" w:color="auto" w:sz="4" w:space="0"/>
            </w:tcBorders>
            <w:shd w:val="clear" w:color="auto" w:fill="auto"/>
            <w:vAlign w:val="center"/>
          </w:tcPr>
          <w:p w14:paraId="719AD392">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w:t>
            </w:r>
          </w:p>
        </w:tc>
      </w:tr>
      <w:tr w14:paraId="00AAAE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79" w:type="pct"/>
            <w:vMerge w:val="continue"/>
            <w:tcBorders>
              <w:left w:val="single" w:color="auto" w:sz="4" w:space="0"/>
              <w:right w:val="single" w:color="auto" w:sz="4" w:space="0"/>
            </w:tcBorders>
            <w:vAlign w:val="center"/>
          </w:tcPr>
          <w:p w14:paraId="143AC35F">
            <w:pPr>
              <w:jc w:val="center"/>
              <w:rPr>
                <w:rFonts w:ascii="Times New Roman" w:hAnsi="Times New Roman" w:eastAsia="宋体" w:cs="Times New Roman"/>
                <w:color w:val="auto"/>
                <w:szCs w:val="21"/>
                <w:lang w:eastAsia="en-US"/>
              </w:rPr>
            </w:pPr>
          </w:p>
        </w:tc>
        <w:tc>
          <w:tcPr>
            <w:tcW w:w="724" w:type="pct"/>
            <w:vMerge w:val="restart"/>
            <w:tcBorders>
              <w:top w:val="single" w:color="auto" w:sz="4" w:space="0"/>
              <w:left w:val="single" w:color="auto" w:sz="4" w:space="0"/>
              <w:right w:val="single" w:color="auto" w:sz="4" w:space="0"/>
            </w:tcBorders>
            <w:shd w:val="clear" w:color="auto" w:fill="auto"/>
            <w:vAlign w:val="center"/>
          </w:tcPr>
          <w:p w14:paraId="5DBC70BB">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sz w:val="18"/>
                <w:szCs w:val="18"/>
                <w:lang w:val="en-US" w:eastAsia="zh-CN"/>
              </w:rPr>
              <w:t>VOCs</w:t>
            </w:r>
          </w:p>
        </w:tc>
        <w:tc>
          <w:tcPr>
            <w:tcW w:w="1320" w:type="pct"/>
            <w:tcBorders>
              <w:top w:val="single" w:color="auto" w:sz="4" w:space="0"/>
              <w:left w:val="single" w:color="auto" w:sz="4" w:space="0"/>
              <w:bottom w:val="single" w:color="auto" w:sz="4" w:space="0"/>
              <w:right w:val="single" w:color="auto" w:sz="4" w:space="0"/>
            </w:tcBorders>
            <w:shd w:val="clear" w:color="auto" w:fill="auto"/>
            <w:vAlign w:val="center"/>
          </w:tcPr>
          <w:p w14:paraId="071FC934">
            <w:pPr>
              <w:jc w:val="center"/>
              <w:rPr>
                <w:rFonts w:hint="eastAsia" w:ascii="Times New Roman" w:hAnsi="Times New Roman" w:eastAsia="宋体" w:cs="Times New Roman"/>
                <w:color w:val="auto"/>
                <w:kern w:val="2"/>
                <w:sz w:val="18"/>
                <w:szCs w:val="18"/>
                <w:lang w:val="en-US" w:eastAsia="zh-CN" w:bidi="ar-SA"/>
              </w:rPr>
            </w:pPr>
            <w:r>
              <w:rPr>
                <w:rFonts w:ascii="Times New Roman" w:hAnsi="Times New Roman" w:eastAsia="宋体" w:cs="Times New Roman"/>
                <w:color w:val="auto"/>
                <w:sz w:val="18"/>
                <w:szCs w:val="18"/>
                <w:lang w:eastAsia="en-US"/>
              </w:rPr>
              <w:t>排放浓度（mg/</w:t>
            </w:r>
            <w:r>
              <w:rPr>
                <w:rFonts w:hint="eastAsia" w:ascii="Times New Roman" w:hAnsi="Times New Roman" w:eastAsia="宋体" w:cs="Times New Roman"/>
                <w:color w:val="auto"/>
                <w:sz w:val="18"/>
                <w:szCs w:val="18"/>
                <w:lang w:eastAsia="zh-CN"/>
              </w:rPr>
              <w:t>m</w:t>
            </w:r>
            <w:r>
              <w:rPr>
                <w:rFonts w:hint="eastAsia" w:ascii="Times New Roman" w:hAnsi="Times New Roman" w:eastAsia="宋体" w:cs="Times New Roman"/>
                <w:color w:val="auto"/>
                <w:sz w:val="18"/>
                <w:szCs w:val="18"/>
                <w:vertAlign w:val="superscript"/>
                <w:lang w:eastAsia="zh-CN"/>
              </w:rPr>
              <w:t>3）</w:t>
            </w:r>
          </w:p>
        </w:tc>
        <w:tc>
          <w:tcPr>
            <w:tcW w:w="596" w:type="pct"/>
            <w:tcBorders>
              <w:top w:val="single" w:color="auto" w:sz="4" w:space="0"/>
              <w:left w:val="single" w:color="auto" w:sz="4" w:space="0"/>
              <w:bottom w:val="single" w:color="auto" w:sz="4" w:space="0"/>
              <w:right w:val="single" w:color="auto" w:sz="4" w:space="0"/>
            </w:tcBorders>
            <w:shd w:val="clear" w:color="auto" w:fill="auto"/>
            <w:vAlign w:val="center"/>
          </w:tcPr>
          <w:p w14:paraId="0686E915">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0.54</w:t>
            </w:r>
          </w:p>
        </w:tc>
        <w:tc>
          <w:tcPr>
            <w:tcW w:w="595" w:type="pct"/>
            <w:tcBorders>
              <w:top w:val="single" w:color="auto" w:sz="4" w:space="0"/>
              <w:left w:val="single" w:color="auto" w:sz="4" w:space="0"/>
              <w:bottom w:val="single" w:color="auto" w:sz="4" w:space="0"/>
              <w:right w:val="single" w:color="auto" w:sz="4" w:space="0"/>
            </w:tcBorders>
            <w:shd w:val="clear" w:color="auto" w:fill="auto"/>
            <w:vAlign w:val="center"/>
          </w:tcPr>
          <w:p w14:paraId="79ACC1D2">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0.42</w:t>
            </w:r>
          </w:p>
        </w:tc>
        <w:tc>
          <w:tcPr>
            <w:tcW w:w="653" w:type="pct"/>
            <w:tcBorders>
              <w:top w:val="single" w:color="auto" w:sz="4" w:space="0"/>
              <w:left w:val="single" w:color="auto" w:sz="4" w:space="0"/>
              <w:bottom w:val="single" w:color="auto" w:sz="4" w:space="0"/>
              <w:right w:val="single" w:color="auto" w:sz="4" w:space="0"/>
            </w:tcBorders>
            <w:shd w:val="clear" w:color="auto" w:fill="auto"/>
            <w:vAlign w:val="center"/>
          </w:tcPr>
          <w:p w14:paraId="5CEC8AE8">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0.45</w:t>
            </w:r>
          </w:p>
        </w:tc>
        <w:tc>
          <w:tcPr>
            <w:tcW w:w="730" w:type="pct"/>
            <w:tcBorders>
              <w:top w:val="single" w:color="auto" w:sz="4" w:space="0"/>
              <w:left w:val="single" w:color="auto" w:sz="4" w:space="0"/>
              <w:bottom w:val="single" w:color="auto" w:sz="4" w:space="0"/>
              <w:right w:val="single" w:color="auto" w:sz="4" w:space="0"/>
            </w:tcBorders>
            <w:shd w:val="clear" w:color="auto" w:fill="auto"/>
            <w:vAlign w:val="center"/>
          </w:tcPr>
          <w:p w14:paraId="7D6EEC3F">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100</w:t>
            </w:r>
          </w:p>
        </w:tc>
      </w:tr>
      <w:tr w14:paraId="6FD515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79" w:type="pct"/>
            <w:vMerge w:val="continue"/>
            <w:tcBorders>
              <w:left w:val="single" w:color="auto" w:sz="4" w:space="0"/>
              <w:right w:val="single" w:color="auto" w:sz="4" w:space="0"/>
            </w:tcBorders>
            <w:vAlign w:val="center"/>
          </w:tcPr>
          <w:p w14:paraId="4319EAA5">
            <w:pPr>
              <w:jc w:val="center"/>
              <w:rPr>
                <w:rFonts w:ascii="Times New Roman" w:hAnsi="Times New Roman" w:eastAsia="宋体" w:cs="Times New Roman"/>
                <w:color w:val="auto"/>
                <w:szCs w:val="21"/>
                <w:lang w:eastAsia="en-US"/>
              </w:rPr>
            </w:pPr>
          </w:p>
        </w:tc>
        <w:tc>
          <w:tcPr>
            <w:tcW w:w="724" w:type="pct"/>
            <w:vMerge w:val="continue"/>
            <w:tcBorders>
              <w:left w:val="single" w:color="auto" w:sz="4" w:space="0"/>
              <w:bottom w:val="single" w:color="auto" w:sz="4" w:space="0"/>
              <w:right w:val="single" w:color="auto" w:sz="4" w:space="0"/>
            </w:tcBorders>
            <w:vAlign w:val="center"/>
          </w:tcPr>
          <w:p w14:paraId="248B14AB">
            <w:pPr>
              <w:jc w:val="center"/>
              <w:rPr>
                <w:rFonts w:hint="eastAsia" w:ascii="Times New Roman" w:hAnsi="Times New Roman" w:eastAsia="宋体" w:cs="Times New Roman"/>
                <w:color w:val="auto"/>
                <w:szCs w:val="21"/>
                <w:lang w:val="en-US" w:eastAsia="zh-CN"/>
              </w:rPr>
            </w:pPr>
          </w:p>
        </w:tc>
        <w:tc>
          <w:tcPr>
            <w:tcW w:w="1320" w:type="pct"/>
            <w:tcBorders>
              <w:top w:val="single" w:color="auto" w:sz="4" w:space="0"/>
              <w:left w:val="single" w:color="auto" w:sz="4" w:space="0"/>
              <w:bottom w:val="single" w:color="auto" w:sz="4" w:space="0"/>
              <w:right w:val="single" w:color="auto" w:sz="4" w:space="0"/>
            </w:tcBorders>
            <w:shd w:val="clear" w:color="auto" w:fill="auto"/>
            <w:vAlign w:val="center"/>
          </w:tcPr>
          <w:p w14:paraId="3A824FA5">
            <w:pPr>
              <w:jc w:val="center"/>
              <w:rPr>
                <w:rFonts w:hint="eastAsia" w:ascii="Times New Roman" w:hAnsi="Times New Roman" w:eastAsia="宋体" w:cs="Times New Roman"/>
                <w:color w:val="auto"/>
                <w:kern w:val="2"/>
                <w:sz w:val="18"/>
                <w:szCs w:val="18"/>
                <w:lang w:val="en-US" w:eastAsia="zh-CN" w:bidi="ar-SA"/>
              </w:rPr>
            </w:pPr>
            <w:r>
              <w:rPr>
                <w:rFonts w:ascii="Times New Roman" w:hAnsi="Times New Roman" w:eastAsia="宋体" w:cs="Times New Roman"/>
                <w:color w:val="auto"/>
                <w:sz w:val="18"/>
                <w:szCs w:val="18"/>
                <w:lang w:eastAsia="en-US"/>
              </w:rPr>
              <w:t>排放速率（kg/h）</w:t>
            </w:r>
          </w:p>
        </w:tc>
        <w:tc>
          <w:tcPr>
            <w:tcW w:w="596" w:type="pct"/>
            <w:tcBorders>
              <w:top w:val="single" w:color="auto" w:sz="4" w:space="0"/>
              <w:left w:val="single" w:color="auto" w:sz="4" w:space="0"/>
              <w:bottom w:val="single" w:color="auto" w:sz="4" w:space="0"/>
              <w:right w:val="single" w:color="auto" w:sz="4" w:space="0"/>
            </w:tcBorders>
            <w:shd w:val="clear" w:color="auto" w:fill="auto"/>
            <w:vAlign w:val="center"/>
          </w:tcPr>
          <w:p w14:paraId="3F70C2EB">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0.0020</w:t>
            </w:r>
          </w:p>
        </w:tc>
        <w:tc>
          <w:tcPr>
            <w:tcW w:w="595" w:type="pct"/>
            <w:tcBorders>
              <w:top w:val="single" w:color="auto" w:sz="4" w:space="0"/>
              <w:left w:val="single" w:color="auto" w:sz="4" w:space="0"/>
              <w:bottom w:val="single" w:color="auto" w:sz="4" w:space="0"/>
              <w:right w:val="single" w:color="auto" w:sz="4" w:space="0"/>
            </w:tcBorders>
            <w:shd w:val="clear" w:color="auto" w:fill="auto"/>
            <w:vAlign w:val="center"/>
          </w:tcPr>
          <w:p w14:paraId="0E0BA810">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0.0018</w:t>
            </w:r>
          </w:p>
        </w:tc>
        <w:tc>
          <w:tcPr>
            <w:tcW w:w="653" w:type="pct"/>
            <w:tcBorders>
              <w:top w:val="single" w:color="auto" w:sz="4" w:space="0"/>
              <w:left w:val="single" w:color="auto" w:sz="4" w:space="0"/>
              <w:bottom w:val="single" w:color="auto" w:sz="4" w:space="0"/>
              <w:right w:val="single" w:color="auto" w:sz="4" w:space="0"/>
            </w:tcBorders>
            <w:shd w:val="clear" w:color="auto" w:fill="auto"/>
            <w:vAlign w:val="center"/>
          </w:tcPr>
          <w:p w14:paraId="1FA77A2A">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0.0019</w:t>
            </w:r>
          </w:p>
        </w:tc>
        <w:tc>
          <w:tcPr>
            <w:tcW w:w="730" w:type="pct"/>
            <w:tcBorders>
              <w:top w:val="single" w:color="auto" w:sz="4" w:space="0"/>
              <w:left w:val="single" w:color="auto" w:sz="4" w:space="0"/>
              <w:bottom w:val="single" w:color="auto" w:sz="4" w:space="0"/>
              <w:right w:val="single" w:color="auto" w:sz="4" w:space="0"/>
            </w:tcBorders>
            <w:shd w:val="clear" w:color="auto" w:fill="auto"/>
            <w:vAlign w:val="center"/>
          </w:tcPr>
          <w:p w14:paraId="2352872E">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w:t>
            </w:r>
          </w:p>
        </w:tc>
      </w:tr>
      <w:tr w14:paraId="1E40FE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79" w:type="pct"/>
            <w:vMerge w:val="continue"/>
            <w:tcBorders>
              <w:left w:val="single" w:color="auto" w:sz="4" w:space="0"/>
              <w:right w:val="single" w:color="auto" w:sz="4" w:space="0"/>
            </w:tcBorders>
            <w:vAlign w:val="center"/>
          </w:tcPr>
          <w:p w14:paraId="7C159E5B">
            <w:pPr>
              <w:jc w:val="center"/>
              <w:rPr>
                <w:rFonts w:ascii="Times New Roman" w:hAnsi="Times New Roman" w:eastAsia="宋体" w:cs="Times New Roman"/>
                <w:color w:val="auto"/>
                <w:szCs w:val="21"/>
                <w:lang w:eastAsia="en-US"/>
              </w:rPr>
            </w:pPr>
          </w:p>
        </w:tc>
        <w:tc>
          <w:tcPr>
            <w:tcW w:w="724" w:type="pct"/>
            <w:vMerge w:val="restart"/>
            <w:tcBorders>
              <w:top w:val="single" w:color="auto" w:sz="4" w:space="0"/>
              <w:left w:val="single" w:color="auto" w:sz="4" w:space="0"/>
              <w:right w:val="single" w:color="auto" w:sz="4" w:space="0"/>
            </w:tcBorders>
            <w:shd w:val="clear" w:color="auto" w:fill="auto"/>
            <w:vAlign w:val="center"/>
          </w:tcPr>
          <w:p w14:paraId="18731C0D">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硫化氢</w:t>
            </w:r>
          </w:p>
        </w:tc>
        <w:tc>
          <w:tcPr>
            <w:tcW w:w="1320" w:type="pct"/>
            <w:tcBorders>
              <w:top w:val="single" w:color="auto" w:sz="4" w:space="0"/>
              <w:left w:val="single" w:color="auto" w:sz="4" w:space="0"/>
              <w:bottom w:val="single" w:color="auto" w:sz="4" w:space="0"/>
              <w:right w:val="single" w:color="auto" w:sz="4" w:space="0"/>
            </w:tcBorders>
            <w:shd w:val="clear" w:color="auto" w:fill="auto"/>
            <w:vAlign w:val="center"/>
          </w:tcPr>
          <w:p w14:paraId="1D0DD362">
            <w:pPr>
              <w:jc w:val="center"/>
              <w:rPr>
                <w:rFonts w:hint="eastAsia" w:ascii="Times New Roman" w:hAnsi="Times New Roman" w:eastAsia="宋体" w:cs="Times New Roman"/>
                <w:color w:val="auto"/>
                <w:kern w:val="2"/>
                <w:sz w:val="18"/>
                <w:szCs w:val="18"/>
                <w:lang w:val="en-US" w:eastAsia="zh-CN" w:bidi="ar-SA"/>
              </w:rPr>
            </w:pPr>
            <w:r>
              <w:rPr>
                <w:rFonts w:ascii="Times New Roman" w:hAnsi="Times New Roman" w:eastAsia="宋体" w:cs="Times New Roman"/>
                <w:color w:val="auto"/>
                <w:sz w:val="18"/>
                <w:szCs w:val="18"/>
                <w:lang w:eastAsia="en-US"/>
              </w:rPr>
              <w:t>排放浓度（mg/</w:t>
            </w:r>
            <w:r>
              <w:rPr>
                <w:rFonts w:hint="eastAsia" w:ascii="Times New Roman" w:hAnsi="Times New Roman" w:eastAsia="宋体" w:cs="Times New Roman"/>
                <w:color w:val="auto"/>
                <w:sz w:val="18"/>
                <w:szCs w:val="18"/>
                <w:lang w:eastAsia="zh-CN"/>
              </w:rPr>
              <w:t>m</w:t>
            </w:r>
            <w:r>
              <w:rPr>
                <w:rFonts w:hint="eastAsia" w:ascii="Times New Roman" w:hAnsi="Times New Roman" w:eastAsia="宋体" w:cs="Times New Roman"/>
                <w:color w:val="auto"/>
                <w:sz w:val="18"/>
                <w:szCs w:val="18"/>
                <w:vertAlign w:val="superscript"/>
                <w:lang w:eastAsia="zh-CN"/>
              </w:rPr>
              <w:t>3</w:t>
            </w:r>
            <w:r>
              <w:rPr>
                <w:rFonts w:ascii="Times New Roman" w:hAnsi="Times New Roman" w:eastAsia="宋体" w:cs="Times New Roman"/>
                <w:color w:val="auto"/>
                <w:sz w:val="18"/>
                <w:szCs w:val="18"/>
                <w:lang w:eastAsia="en-US"/>
              </w:rPr>
              <w:t>）</w:t>
            </w:r>
          </w:p>
        </w:tc>
        <w:tc>
          <w:tcPr>
            <w:tcW w:w="596" w:type="pct"/>
            <w:tcBorders>
              <w:top w:val="single" w:color="auto" w:sz="4" w:space="0"/>
              <w:left w:val="single" w:color="auto" w:sz="4" w:space="0"/>
              <w:bottom w:val="single" w:color="auto" w:sz="4" w:space="0"/>
              <w:right w:val="single" w:color="auto" w:sz="4" w:space="0"/>
            </w:tcBorders>
            <w:shd w:val="clear" w:color="auto" w:fill="auto"/>
            <w:vAlign w:val="center"/>
          </w:tcPr>
          <w:p w14:paraId="2394A89A">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0.333</w:t>
            </w:r>
          </w:p>
        </w:tc>
        <w:tc>
          <w:tcPr>
            <w:tcW w:w="595" w:type="pct"/>
            <w:tcBorders>
              <w:top w:val="single" w:color="auto" w:sz="4" w:space="0"/>
              <w:left w:val="single" w:color="auto" w:sz="4" w:space="0"/>
              <w:bottom w:val="single" w:color="auto" w:sz="4" w:space="0"/>
              <w:right w:val="single" w:color="auto" w:sz="4" w:space="0"/>
            </w:tcBorders>
            <w:shd w:val="clear" w:color="auto" w:fill="auto"/>
            <w:vAlign w:val="center"/>
          </w:tcPr>
          <w:p w14:paraId="519D37AD">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0.285</w:t>
            </w:r>
          </w:p>
        </w:tc>
        <w:tc>
          <w:tcPr>
            <w:tcW w:w="653" w:type="pct"/>
            <w:tcBorders>
              <w:top w:val="single" w:color="auto" w:sz="4" w:space="0"/>
              <w:left w:val="single" w:color="auto" w:sz="4" w:space="0"/>
              <w:bottom w:val="single" w:color="auto" w:sz="4" w:space="0"/>
              <w:right w:val="single" w:color="auto" w:sz="4" w:space="0"/>
            </w:tcBorders>
            <w:shd w:val="clear" w:color="auto" w:fill="auto"/>
            <w:vAlign w:val="center"/>
          </w:tcPr>
          <w:p w14:paraId="5A5D0E8C">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0.298</w:t>
            </w:r>
          </w:p>
        </w:tc>
        <w:tc>
          <w:tcPr>
            <w:tcW w:w="730" w:type="pct"/>
            <w:tcBorders>
              <w:top w:val="single" w:color="auto" w:sz="4" w:space="0"/>
              <w:left w:val="single" w:color="auto" w:sz="4" w:space="0"/>
              <w:bottom w:val="single" w:color="auto" w:sz="4" w:space="0"/>
              <w:right w:val="single" w:color="auto" w:sz="4" w:space="0"/>
            </w:tcBorders>
            <w:shd w:val="clear" w:color="auto" w:fill="auto"/>
            <w:vAlign w:val="center"/>
          </w:tcPr>
          <w:p w14:paraId="154E3172">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5</w:t>
            </w:r>
          </w:p>
        </w:tc>
      </w:tr>
      <w:tr w14:paraId="0CD960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79" w:type="pct"/>
            <w:vMerge w:val="continue"/>
            <w:tcBorders>
              <w:left w:val="single" w:color="auto" w:sz="4" w:space="0"/>
              <w:right w:val="single" w:color="auto" w:sz="4" w:space="0"/>
            </w:tcBorders>
            <w:vAlign w:val="center"/>
          </w:tcPr>
          <w:p w14:paraId="53C666FC">
            <w:pPr>
              <w:jc w:val="center"/>
              <w:rPr>
                <w:rFonts w:ascii="Times New Roman" w:hAnsi="Times New Roman" w:eastAsia="宋体" w:cs="Times New Roman"/>
                <w:color w:val="auto"/>
                <w:szCs w:val="21"/>
                <w:lang w:eastAsia="en-US"/>
              </w:rPr>
            </w:pPr>
          </w:p>
        </w:tc>
        <w:tc>
          <w:tcPr>
            <w:tcW w:w="724" w:type="pct"/>
            <w:vMerge w:val="continue"/>
            <w:tcBorders>
              <w:left w:val="single" w:color="auto" w:sz="4" w:space="0"/>
              <w:bottom w:val="single" w:color="auto" w:sz="4" w:space="0"/>
              <w:right w:val="single" w:color="auto" w:sz="4" w:space="0"/>
            </w:tcBorders>
            <w:vAlign w:val="center"/>
          </w:tcPr>
          <w:p w14:paraId="181B419C">
            <w:pPr>
              <w:jc w:val="center"/>
              <w:rPr>
                <w:rFonts w:hint="eastAsia" w:ascii="Times New Roman" w:hAnsi="Times New Roman" w:eastAsia="宋体" w:cs="Times New Roman"/>
                <w:color w:val="auto"/>
                <w:szCs w:val="21"/>
                <w:lang w:val="en-US" w:eastAsia="zh-CN"/>
              </w:rPr>
            </w:pPr>
          </w:p>
        </w:tc>
        <w:tc>
          <w:tcPr>
            <w:tcW w:w="1320" w:type="pct"/>
            <w:tcBorders>
              <w:top w:val="single" w:color="auto" w:sz="4" w:space="0"/>
              <w:left w:val="single" w:color="auto" w:sz="4" w:space="0"/>
              <w:bottom w:val="single" w:color="auto" w:sz="4" w:space="0"/>
              <w:right w:val="single" w:color="auto" w:sz="4" w:space="0"/>
            </w:tcBorders>
            <w:shd w:val="clear" w:color="auto" w:fill="auto"/>
            <w:vAlign w:val="center"/>
          </w:tcPr>
          <w:p w14:paraId="6F073420">
            <w:pPr>
              <w:jc w:val="center"/>
              <w:rPr>
                <w:rFonts w:hint="eastAsia" w:ascii="Times New Roman" w:hAnsi="Times New Roman" w:eastAsia="宋体" w:cs="Times New Roman"/>
                <w:color w:val="auto"/>
                <w:kern w:val="2"/>
                <w:sz w:val="18"/>
                <w:szCs w:val="18"/>
                <w:lang w:val="en-US" w:eastAsia="zh-CN" w:bidi="ar-SA"/>
              </w:rPr>
            </w:pPr>
            <w:r>
              <w:rPr>
                <w:rFonts w:ascii="Times New Roman" w:hAnsi="Times New Roman" w:eastAsia="宋体" w:cs="Times New Roman"/>
                <w:color w:val="auto"/>
                <w:sz w:val="18"/>
                <w:szCs w:val="18"/>
                <w:lang w:eastAsia="en-US"/>
              </w:rPr>
              <w:t>排放速率（kg/h）</w:t>
            </w:r>
          </w:p>
        </w:tc>
        <w:tc>
          <w:tcPr>
            <w:tcW w:w="596" w:type="pct"/>
            <w:tcBorders>
              <w:top w:val="single" w:color="auto" w:sz="4" w:space="0"/>
              <w:left w:val="single" w:color="auto" w:sz="4" w:space="0"/>
              <w:bottom w:val="single" w:color="auto" w:sz="4" w:space="0"/>
              <w:right w:val="single" w:color="auto" w:sz="4" w:space="0"/>
            </w:tcBorders>
            <w:shd w:val="clear" w:color="auto" w:fill="auto"/>
            <w:vAlign w:val="center"/>
          </w:tcPr>
          <w:p w14:paraId="39D08C4C">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0.0014</w:t>
            </w:r>
          </w:p>
        </w:tc>
        <w:tc>
          <w:tcPr>
            <w:tcW w:w="595" w:type="pct"/>
            <w:tcBorders>
              <w:top w:val="single" w:color="auto" w:sz="4" w:space="0"/>
              <w:left w:val="single" w:color="auto" w:sz="4" w:space="0"/>
              <w:bottom w:val="single" w:color="auto" w:sz="4" w:space="0"/>
              <w:right w:val="single" w:color="auto" w:sz="4" w:space="0"/>
            </w:tcBorders>
            <w:shd w:val="clear" w:color="auto" w:fill="auto"/>
            <w:vAlign w:val="center"/>
          </w:tcPr>
          <w:p w14:paraId="5F96C472">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0.0012</w:t>
            </w:r>
          </w:p>
        </w:tc>
        <w:tc>
          <w:tcPr>
            <w:tcW w:w="653" w:type="pct"/>
            <w:tcBorders>
              <w:top w:val="single" w:color="auto" w:sz="4" w:space="0"/>
              <w:left w:val="single" w:color="auto" w:sz="4" w:space="0"/>
              <w:bottom w:val="single" w:color="auto" w:sz="4" w:space="0"/>
              <w:right w:val="single" w:color="auto" w:sz="4" w:space="0"/>
            </w:tcBorders>
            <w:shd w:val="clear" w:color="auto" w:fill="auto"/>
            <w:vAlign w:val="center"/>
          </w:tcPr>
          <w:p w14:paraId="2C7219B1">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0.0013</w:t>
            </w:r>
          </w:p>
        </w:tc>
        <w:tc>
          <w:tcPr>
            <w:tcW w:w="730" w:type="pct"/>
            <w:tcBorders>
              <w:top w:val="single" w:color="auto" w:sz="4" w:space="0"/>
              <w:left w:val="single" w:color="auto" w:sz="4" w:space="0"/>
              <w:bottom w:val="single" w:color="auto" w:sz="4" w:space="0"/>
              <w:right w:val="single" w:color="auto" w:sz="4" w:space="0"/>
            </w:tcBorders>
            <w:shd w:val="clear" w:color="auto" w:fill="auto"/>
            <w:vAlign w:val="center"/>
          </w:tcPr>
          <w:p w14:paraId="15C22DF3">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w:t>
            </w:r>
          </w:p>
        </w:tc>
      </w:tr>
      <w:tr w14:paraId="4D9E40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79" w:type="pct"/>
            <w:vMerge w:val="restart"/>
            <w:tcBorders>
              <w:left w:val="single" w:color="auto" w:sz="4" w:space="0"/>
              <w:right w:val="single" w:color="auto" w:sz="4" w:space="0"/>
            </w:tcBorders>
            <w:shd w:val="clear" w:color="auto" w:fill="auto"/>
            <w:vAlign w:val="center"/>
          </w:tcPr>
          <w:p w14:paraId="35F65A2E">
            <w:pPr>
              <w:jc w:val="center"/>
              <w:rPr>
                <w:rFonts w:hint="eastAsia" w:ascii="Times New Roman" w:hAnsi="Times New Roman" w:eastAsia="宋体" w:cs="Times New Roman"/>
                <w:b/>
                <w:bCs/>
                <w:color w:val="auto"/>
                <w:kern w:val="2"/>
                <w:sz w:val="18"/>
                <w:szCs w:val="18"/>
                <w:lang w:val="en-US" w:eastAsia="zh-CN" w:bidi="ar-SA"/>
              </w:rPr>
            </w:pPr>
            <w:r>
              <w:rPr>
                <w:rFonts w:ascii="Times New Roman" w:hAnsi="Times New Roman" w:eastAsia="宋体" w:cs="Times New Roman"/>
                <w:b/>
                <w:bCs/>
                <w:color w:val="auto"/>
                <w:sz w:val="18"/>
                <w:szCs w:val="18"/>
                <w:lang w:eastAsia="en-US"/>
              </w:rPr>
              <w:t>采样点位</w:t>
            </w:r>
          </w:p>
        </w:tc>
        <w:tc>
          <w:tcPr>
            <w:tcW w:w="2045" w:type="pct"/>
            <w:gridSpan w:val="2"/>
            <w:vMerge w:val="restart"/>
            <w:tcBorders>
              <w:top w:val="single" w:color="auto" w:sz="4" w:space="0"/>
              <w:left w:val="single" w:color="auto" w:sz="4" w:space="0"/>
              <w:right w:val="single" w:color="auto" w:sz="4" w:space="0"/>
            </w:tcBorders>
            <w:shd w:val="clear" w:color="auto" w:fill="auto"/>
            <w:vAlign w:val="center"/>
          </w:tcPr>
          <w:p w14:paraId="3726F3B7">
            <w:pPr>
              <w:jc w:val="center"/>
              <w:rPr>
                <w:rFonts w:hint="eastAsia" w:ascii="Times New Roman" w:hAnsi="Times New Roman" w:eastAsia="宋体" w:cs="Times New Roman"/>
                <w:color w:val="auto"/>
                <w:kern w:val="2"/>
                <w:sz w:val="21"/>
                <w:szCs w:val="21"/>
                <w:lang w:val="en-US" w:eastAsia="en-US" w:bidi="ar-SA"/>
              </w:rPr>
            </w:pPr>
            <w:r>
              <w:rPr>
                <w:rFonts w:ascii="Times New Roman" w:hAnsi="Times New Roman" w:eastAsia="宋体" w:cs="Times New Roman"/>
                <w:b/>
                <w:bCs/>
                <w:color w:val="auto"/>
                <w:sz w:val="18"/>
                <w:szCs w:val="18"/>
                <w:lang w:eastAsia="en-US"/>
              </w:rPr>
              <w:t>检测项目</w:t>
            </w:r>
          </w:p>
        </w:tc>
        <w:tc>
          <w:tcPr>
            <w:tcW w:w="2575" w:type="pct"/>
            <w:gridSpan w:val="4"/>
            <w:tcBorders>
              <w:top w:val="single" w:color="auto" w:sz="4" w:space="0"/>
              <w:left w:val="single" w:color="auto" w:sz="4" w:space="0"/>
              <w:bottom w:val="single" w:color="auto" w:sz="4" w:space="0"/>
              <w:right w:val="single" w:color="auto" w:sz="4" w:space="0"/>
            </w:tcBorders>
            <w:shd w:val="clear" w:color="auto" w:fill="auto"/>
            <w:vAlign w:val="center"/>
          </w:tcPr>
          <w:p w14:paraId="25A6B4C0">
            <w:pPr>
              <w:jc w:val="center"/>
              <w:rPr>
                <w:rFonts w:hint="eastAsia" w:ascii="Times New Roman" w:hAnsi="Times New Roman" w:eastAsia="宋体" w:cs="Times New Roman"/>
                <w:color w:val="auto"/>
                <w:kern w:val="2"/>
                <w:sz w:val="18"/>
                <w:szCs w:val="18"/>
                <w:lang w:val="en-US" w:eastAsia="zh-CN" w:bidi="ar-SA"/>
              </w:rPr>
            </w:pPr>
            <w:r>
              <w:rPr>
                <w:rFonts w:ascii="Times New Roman" w:hAnsi="Times New Roman" w:eastAsia="宋体" w:cs="Times New Roman"/>
                <w:b/>
                <w:bCs/>
                <w:color w:val="auto"/>
                <w:sz w:val="18"/>
                <w:szCs w:val="18"/>
                <w:lang w:eastAsia="en-US"/>
              </w:rPr>
              <w:t>采样时间及检测结果</w:t>
            </w:r>
          </w:p>
        </w:tc>
      </w:tr>
      <w:tr w14:paraId="45FB93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79" w:type="pct"/>
            <w:vMerge w:val="continue"/>
            <w:tcBorders>
              <w:left w:val="single" w:color="auto" w:sz="4" w:space="0"/>
              <w:right w:val="single" w:color="auto" w:sz="4" w:space="0"/>
            </w:tcBorders>
            <w:shd w:val="clear" w:color="auto" w:fill="auto"/>
            <w:vAlign w:val="center"/>
          </w:tcPr>
          <w:p w14:paraId="495606F8">
            <w:pPr>
              <w:jc w:val="center"/>
              <w:rPr>
                <w:rFonts w:hint="eastAsia" w:ascii="Times New Roman" w:hAnsi="Times New Roman" w:eastAsia="宋体" w:cs="Times New Roman"/>
                <w:color w:val="auto"/>
                <w:sz w:val="18"/>
                <w:szCs w:val="18"/>
                <w:lang w:val="en-US" w:eastAsia="zh-CN"/>
              </w:rPr>
            </w:pPr>
          </w:p>
        </w:tc>
        <w:tc>
          <w:tcPr>
            <w:tcW w:w="2045" w:type="pct"/>
            <w:gridSpan w:val="2"/>
            <w:vMerge w:val="continue"/>
            <w:tcBorders>
              <w:left w:val="single" w:color="auto" w:sz="4" w:space="0"/>
              <w:right w:val="single" w:color="auto" w:sz="4" w:space="0"/>
            </w:tcBorders>
            <w:shd w:val="clear" w:color="auto" w:fill="auto"/>
            <w:vAlign w:val="center"/>
          </w:tcPr>
          <w:p w14:paraId="106D7F9F">
            <w:pPr>
              <w:jc w:val="center"/>
              <w:rPr>
                <w:rFonts w:hint="default" w:ascii="Times New Roman" w:hAnsi="Times New Roman" w:eastAsia="宋体" w:cs="Times New Roman"/>
                <w:color w:val="auto"/>
                <w:kern w:val="2"/>
                <w:sz w:val="21"/>
                <w:szCs w:val="21"/>
                <w:lang w:val="en-US" w:eastAsia="en-US" w:bidi="ar-SA"/>
              </w:rPr>
            </w:pPr>
          </w:p>
        </w:tc>
        <w:tc>
          <w:tcPr>
            <w:tcW w:w="2575" w:type="pct"/>
            <w:gridSpan w:val="4"/>
            <w:tcBorders>
              <w:top w:val="single" w:color="auto" w:sz="4" w:space="0"/>
              <w:left w:val="single" w:color="auto" w:sz="4" w:space="0"/>
              <w:bottom w:val="single" w:color="auto" w:sz="4" w:space="0"/>
              <w:right w:val="single" w:color="auto" w:sz="4" w:space="0"/>
            </w:tcBorders>
            <w:shd w:val="clear" w:color="auto" w:fill="auto"/>
            <w:vAlign w:val="center"/>
          </w:tcPr>
          <w:p w14:paraId="13ADA341">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b/>
                <w:bCs/>
                <w:color w:val="auto"/>
                <w:sz w:val="18"/>
                <w:szCs w:val="18"/>
                <w:lang w:val="en-US" w:eastAsia="zh-CN"/>
              </w:rPr>
              <w:t>2024.1.28</w:t>
            </w:r>
          </w:p>
        </w:tc>
      </w:tr>
      <w:tr w14:paraId="6D6521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79" w:type="pct"/>
            <w:vMerge w:val="continue"/>
            <w:tcBorders>
              <w:left w:val="single" w:color="auto" w:sz="4" w:space="0"/>
              <w:right w:val="single" w:color="auto" w:sz="4" w:space="0"/>
            </w:tcBorders>
            <w:shd w:val="clear" w:color="auto" w:fill="auto"/>
            <w:vAlign w:val="center"/>
          </w:tcPr>
          <w:p w14:paraId="01F13B58">
            <w:pPr>
              <w:jc w:val="center"/>
              <w:rPr>
                <w:rFonts w:hint="eastAsia" w:ascii="Times New Roman" w:hAnsi="Times New Roman" w:eastAsia="宋体" w:cs="Times New Roman"/>
                <w:color w:val="auto"/>
                <w:sz w:val="18"/>
                <w:szCs w:val="18"/>
                <w:lang w:val="en-US" w:eastAsia="zh-CN"/>
              </w:rPr>
            </w:pPr>
          </w:p>
        </w:tc>
        <w:tc>
          <w:tcPr>
            <w:tcW w:w="2045" w:type="pct"/>
            <w:gridSpan w:val="2"/>
            <w:vMerge w:val="continue"/>
            <w:tcBorders>
              <w:left w:val="single" w:color="auto" w:sz="4" w:space="0"/>
              <w:bottom w:val="single" w:color="auto" w:sz="4" w:space="0"/>
              <w:right w:val="single" w:color="auto" w:sz="4" w:space="0"/>
            </w:tcBorders>
            <w:shd w:val="clear" w:color="auto" w:fill="auto"/>
            <w:vAlign w:val="center"/>
          </w:tcPr>
          <w:p w14:paraId="30BD5924">
            <w:pPr>
              <w:jc w:val="center"/>
              <w:rPr>
                <w:rFonts w:hint="eastAsia" w:ascii="Times New Roman" w:hAnsi="Times New Roman" w:eastAsia="宋体" w:cs="Times New Roman"/>
                <w:b/>
                <w:bCs/>
                <w:color w:val="auto"/>
                <w:kern w:val="2"/>
                <w:sz w:val="18"/>
                <w:szCs w:val="18"/>
                <w:lang w:val="en-US" w:eastAsia="en-US" w:bidi="ar-SA"/>
              </w:rPr>
            </w:pPr>
          </w:p>
        </w:tc>
        <w:tc>
          <w:tcPr>
            <w:tcW w:w="596" w:type="pct"/>
            <w:tcBorders>
              <w:top w:val="single" w:color="auto" w:sz="4" w:space="0"/>
              <w:left w:val="single" w:color="auto" w:sz="4" w:space="0"/>
              <w:bottom w:val="single" w:color="auto" w:sz="4" w:space="0"/>
              <w:right w:val="single" w:color="auto" w:sz="4" w:space="0"/>
            </w:tcBorders>
            <w:shd w:val="clear" w:color="auto" w:fill="auto"/>
            <w:vAlign w:val="center"/>
          </w:tcPr>
          <w:p w14:paraId="48FD5019">
            <w:pPr>
              <w:jc w:val="center"/>
              <w:rPr>
                <w:rFonts w:hint="eastAsia" w:ascii="Times New Roman" w:hAnsi="Times New Roman" w:eastAsia="宋体" w:cs="Times New Roman"/>
                <w:b/>
                <w:bCs/>
                <w:color w:val="auto"/>
                <w:kern w:val="2"/>
                <w:sz w:val="18"/>
                <w:szCs w:val="18"/>
                <w:lang w:val="en-US" w:eastAsia="zh-CN" w:bidi="ar-SA"/>
              </w:rPr>
            </w:pPr>
            <w:r>
              <w:rPr>
                <w:rFonts w:ascii="Times New Roman" w:hAnsi="Times New Roman" w:eastAsia="宋体" w:cs="Times New Roman"/>
                <w:b/>
                <w:bCs/>
                <w:color w:val="auto"/>
                <w:sz w:val="18"/>
                <w:szCs w:val="18"/>
                <w:lang w:eastAsia="en-US"/>
              </w:rPr>
              <w:t>第一次</w:t>
            </w:r>
          </w:p>
        </w:tc>
        <w:tc>
          <w:tcPr>
            <w:tcW w:w="595" w:type="pct"/>
            <w:tcBorders>
              <w:top w:val="single" w:color="auto" w:sz="4" w:space="0"/>
              <w:left w:val="single" w:color="auto" w:sz="4" w:space="0"/>
              <w:bottom w:val="single" w:color="auto" w:sz="4" w:space="0"/>
              <w:right w:val="single" w:color="auto" w:sz="4" w:space="0"/>
            </w:tcBorders>
            <w:shd w:val="clear" w:color="auto" w:fill="auto"/>
            <w:vAlign w:val="center"/>
          </w:tcPr>
          <w:p w14:paraId="36AEE4C1">
            <w:pPr>
              <w:jc w:val="center"/>
              <w:rPr>
                <w:rFonts w:hint="eastAsia" w:ascii="Times New Roman" w:hAnsi="Times New Roman" w:eastAsia="宋体" w:cs="Times New Roman"/>
                <w:b/>
                <w:bCs/>
                <w:color w:val="auto"/>
                <w:kern w:val="2"/>
                <w:sz w:val="18"/>
                <w:szCs w:val="18"/>
                <w:lang w:val="en-US" w:eastAsia="zh-CN" w:bidi="ar-SA"/>
              </w:rPr>
            </w:pPr>
            <w:r>
              <w:rPr>
                <w:rFonts w:ascii="Times New Roman" w:hAnsi="Times New Roman" w:eastAsia="宋体" w:cs="Times New Roman"/>
                <w:b/>
                <w:bCs/>
                <w:color w:val="auto"/>
                <w:sz w:val="18"/>
                <w:szCs w:val="18"/>
                <w:lang w:eastAsia="en-US"/>
              </w:rPr>
              <w:t>第二次</w:t>
            </w:r>
          </w:p>
        </w:tc>
        <w:tc>
          <w:tcPr>
            <w:tcW w:w="653" w:type="pct"/>
            <w:tcBorders>
              <w:top w:val="single" w:color="auto" w:sz="4" w:space="0"/>
              <w:left w:val="single" w:color="auto" w:sz="4" w:space="0"/>
              <w:bottom w:val="single" w:color="auto" w:sz="4" w:space="0"/>
              <w:right w:val="single" w:color="auto" w:sz="4" w:space="0"/>
            </w:tcBorders>
            <w:shd w:val="clear" w:color="auto" w:fill="auto"/>
            <w:vAlign w:val="center"/>
          </w:tcPr>
          <w:p w14:paraId="4E21312F">
            <w:pPr>
              <w:jc w:val="center"/>
              <w:rPr>
                <w:rFonts w:hint="eastAsia" w:ascii="Times New Roman" w:hAnsi="Times New Roman" w:eastAsia="宋体" w:cs="Times New Roman"/>
                <w:b/>
                <w:bCs/>
                <w:color w:val="auto"/>
                <w:kern w:val="2"/>
                <w:sz w:val="18"/>
                <w:szCs w:val="18"/>
                <w:lang w:val="en-US" w:eastAsia="zh-CN" w:bidi="ar-SA"/>
              </w:rPr>
            </w:pPr>
            <w:r>
              <w:rPr>
                <w:rFonts w:ascii="Times New Roman" w:hAnsi="Times New Roman" w:eastAsia="宋体" w:cs="Times New Roman"/>
                <w:b/>
                <w:bCs/>
                <w:color w:val="auto"/>
                <w:sz w:val="18"/>
                <w:szCs w:val="18"/>
                <w:lang w:eastAsia="en-US"/>
              </w:rPr>
              <w:t>第三次</w:t>
            </w:r>
          </w:p>
        </w:tc>
        <w:tc>
          <w:tcPr>
            <w:tcW w:w="730" w:type="pct"/>
            <w:tcBorders>
              <w:top w:val="single" w:color="auto" w:sz="4" w:space="0"/>
              <w:left w:val="single" w:color="auto" w:sz="4" w:space="0"/>
              <w:bottom w:val="single" w:color="auto" w:sz="4" w:space="0"/>
              <w:right w:val="single" w:color="auto" w:sz="4" w:space="0"/>
            </w:tcBorders>
            <w:shd w:val="clear" w:color="auto" w:fill="auto"/>
            <w:vAlign w:val="center"/>
          </w:tcPr>
          <w:p w14:paraId="5AB7246D">
            <w:pPr>
              <w:jc w:val="center"/>
              <w:rPr>
                <w:rFonts w:hint="eastAsia" w:ascii="Times New Roman" w:hAnsi="Times New Roman" w:eastAsia="宋体" w:cs="Times New Roman"/>
                <w:b/>
                <w:bCs/>
                <w:color w:val="auto"/>
                <w:kern w:val="2"/>
                <w:sz w:val="18"/>
                <w:szCs w:val="18"/>
                <w:lang w:val="en-US" w:eastAsia="zh-CN" w:bidi="ar-SA"/>
              </w:rPr>
            </w:pPr>
            <w:r>
              <w:rPr>
                <w:rFonts w:hint="eastAsia" w:ascii="Times New Roman" w:hAnsi="Times New Roman" w:eastAsia="宋体" w:cs="Times New Roman"/>
                <w:b/>
                <w:bCs/>
                <w:color w:val="auto"/>
                <w:sz w:val="18"/>
                <w:szCs w:val="18"/>
                <w:lang w:val="en-US" w:eastAsia="zh-CN"/>
              </w:rPr>
              <w:t>标准值</w:t>
            </w:r>
          </w:p>
        </w:tc>
      </w:tr>
      <w:tr w14:paraId="412B68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79" w:type="pct"/>
            <w:vMerge w:val="restart"/>
            <w:tcBorders>
              <w:left w:val="single" w:color="auto" w:sz="4" w:space="0"/>
              <w:right w:val="single" w:color="auto" w:sz="4" w:space="0"/>
            </w:tcBorders>
            <w:shd w:val="clear" w:color="auto" w:fill="auto"/>
            <w:vAlign w:val="center"/>
          </w:tcPr>
          <w:p w14:paraId="3EDE8E2A">
            <w:pPr>
              <w:jc w:val="center"/>
              <w:rPr>
                <w:rFonts w:ascii="Times New Roman" w:hAnsi="Times New Roman" w:eastAsia="宋体" w:cs="Times New Roman"/>
                <w:color w:val="auto"/>
                <w:kern w:val="2"/>
                <w:sz w:val="18"/>
                <w:szCs w:val="18"/>
                <w:lang w:val="en-US" w:eastAsia="en-US" w:bidi="ar-SA"/>
              </w:rPr>
            </w:pPr>
            <w:r>
              <w:rPr>
                <w:rFonts w:hint="eastAsia" w:ascii="Times New Roman" w:hAnsi="Times New Roman" w:eastAsia="宋体" w:cs="Times New Roman"/>
                <w:color w:val="auto"/>
                <w:sz w:val="18"/>
                <w:szCs w:val="18"/>
                <w:lang w:val="en-US" w:eastAsia="zh-CN"/>
              </w:rPr>
              <w:t>DA003干燥废气排气筒出口</w:t>
            </w:r>
          </w:p>
        </w:tc>
        <w:tc>
          <w:tcPr>
            <w:tcW w:w="724" w:type="pct"/>
            <w:tcBorders>
              <w:top w:val="single" w:color="auto" w:sz="4" w:space="0"/>
              <w:left w:val="single" w:color="auto" w:sz="4" w:space="0"/>
              <w:bottom w:val="single" w:color="auto" w:sz="4" w:space="0"/>
              <w:right w:val="single" w:color="auto" w:sz="4" w:space="0"/>
            </w:tcBorders>
            <w:shd w:val="clear" w:color="auto" w:fill="auto"/>
            <w:vAlign w:val="center"/>
          </w:tcPr>
          <w:p w14:paraId="528F1389">
            <w:pPr>
              <w:jc w:val="center"/>
              <w:rPr>
                <w:rFonts w:hint="eastAsia" w:ascii="Times New Roman" w:hAnsi="Times New Roman" w:eastAsia="宋体" w:cs="Times New Roman"/>
                <w:color w:val="auto"/>
                <w:kern w:val="2"/>
                <w:sz w:val="18"/>
                <w:szCs w:val="18"/>
                <w:lang w:val="en-US" w:eastAsia="zh-CN" w:bidi="ar-SA"/>
              </w:rPr>
            </w:pPr>
            <w:r>
              <w:rPr>
                <w:rFonts w:ascii="Times New Roman" w:hAnsi="Times New Roman" w:eastAsia="宋体" w:cs="Times New Roman"/>
                <w:color w:val="auto"/>
                <w:sz w:val="18"/>
                <w:szCs w:val="18"/>
                <w:lang w:eastAsia="en-US"/>
              </w:rPr>
              <w:t>烟气流量</w:t>
            </w:r>
          </w:p>
        </w:tc>
        <w:tc>
          <w:tcPr>
            <w:tcW w:w="1320" w:type="pct"/>
            <w:tcBorders>
              <w:top w:val="single" w:color="auto" w:sz="4" w:space="0"/>
              <w:left w:val="single" w:color="auto" w:sz="4" w:space="0"/>
              <w:bottom w:val="single" w:color="auto" w:sz="4" w:space="0"/>
              <w:right w:val="single" w:color="auto" w:sz="4" w:space="0"/>
            </w:tcBorders>
            <w:shd w:val="clear" w:color="auto" w:fill="auto"/>
            <w:vAlign w:val="center"/>
          </w:tcPr>
          <w:p w14:paraId="413F68D8">
            <w:pPr>
              <w:jc w:val="center"/>
              <w:rPr>
                <w:rFonts w:hint="eastAsia" w:ascii="Times New Roman" w:hAnsi="Times New Roman" w:eastAsia="宋体" w:cs="Times New Roman"/>
                <w:color w:val="auto"/>
                <w:kern w:val="2"/>
                <w:sz w:val="18"/>
                <w:szCs w:val="18"/>
                <w:lang w:val="en-US" w:eastAsia="zh-CN" w:bidi="ar-SA"/>
              </w:rPr>
            </w:pPr>
            <w:r>
              <w:rPr>
                <w:rFonts w:ascii="Times New Roman" w:hAnsi="Times New Roman" w:eastAsia="宋体" w:cs="Times New Roman"/>
                <w:color w:val="auto"/>
                <w:sz w:val="18"/>
                <w:szCs w:val="18"/>
                <w:lang w:eastAsia="en-US"/>
              </w:rPr>
              <w:t>（N•</w:t>
            </w:r>
            <w:r>
              <w:rPr>
                <w:rFonts w:hint="eastAsia" w:ascii="Times New Roman" w:hAnsi="Times New Roman" w:eastAsia="宋体" w:cs="Times New Roman"/>
                <w:color w:val="auto"/>
                <w:sz w:val="18"/>
                <w:szCs w:val="18"/>
                <w:lang w:eastAsia="zh-CN"/>
              </w:rPr>
              <w:t>m</w:t>
            </w:r>
            <w:r>
              <w:rPr>
                <w:rFonts w:hint="eastAsia" w:ascii="Times New Roman" w:hAnsi="Times New Roman" w:eastAsia="宋体" w:cs="Times New Roman"/>
                <w:color w:val="auto"/>
                <w:sz w:val="18"/>
                <w:szCs w:val="18"/>
                <w:vertAlign w:val="superscript"/>
                <w:lang w:eastAsia="zh-CN"/>
              </w:rPr>
              <w:t>3</w:t>
            </w:r>
            <w:r>
              <w:rPr>
                <w:rFonts w:ascii="Times New Roman" w:hAnsi="Times New Roman" w:eastAsia="宋体" w:cs="Times New Roman"/>
                <w:color w:val="auto"/>
                <w:sz w:val="18"/>
                <w:szCs w:val="18"/>
                <w:lang w:eastAsia="en-US"/>
              </w:rPr>
              <w:t>/h）</w:t>
            </w:r>
          </w:p>
        </w:tc>
        <w:tc>
          <w:tcPr>
            <w:tcW w:w="596" w:type="pct"/>
            <w:tcBorders>
              <w:top w:val="single" w:color="auto" w:sz="4" w:space="0"/>
              <w:left w:val="single" w:color="auto" w:sz="4" w:space="0"/>
              <w:bottom w:val="single" w:color="auto" w:sz="4" w:space="0"/>
              <w:right w:val="single" w:color="auto" w:sz="4" w:space="0"/>
            </w:tcBorders>
            <w:shd w:val="clear" w:color="auto" w:fill="auto"/>
            <w:vAlign w:val="center"/>
          </w:tcPr>
          <w:p w14:paraId="65519952">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3387</w:t>
            </w:r>
          </w:p>
        </w:tc>
        <w:tc>
          <w:tcPr>
            <w:tcW w:w="595" w:type="pct"/>
            <w:tcBorders>
              <w:top w:val="single" w:color="auto" w:sz="4" w:space="0"/>
              <w:left w:val="single" w:color="auto" w:sz="4" w:space="0"/>
              <w:bottom w:val="single" w:color="auto" w:sz="4" w:space="0"/>
              <w:right w:val="single" w:color="auto" w:sz="4" w:space="0"/>
            </w:tcBorders>
            <w:shd w:val="clear" w:color="auto" w:fill="auto"/>
            <w:vAlign w:val="center"/>
          </w:tcPr>
          <w:p w14:paraId="577C3BF0">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3400</w:t>
            </w:r>
          </w:p>
        </w:tc>
        <w:tc>
          <w:tcPr>
            <w:tcW w:w="653" w:type="pct"/>
            <w:tcBorders>
              <w:top w:val="single" w:color="auto" w:sz="4" w:space="0"/>
              <w:left w:val="single" w:color="auto" w:sz="4" w:space="0"/>
              <w:bottom w:val="single" w:color="auto" w:sz="4" w:space="0"/>
              <w:right w:val="single" w:color="auto" w:sz="4" w:space="0"/>
            </w:tcBorders>
            <w:shd w:val="clear" w:color="auto" w:fill="auto"/>
            <w:vAlign w:val="center"/>
          </w:tcPr>
          <w:p w14:paraId="367F63C7">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3420</w:t>
            </w:r>
          </w:p>
        </w:tc>
        <w:tc>
          <w:tcPr>
            <w:tcW w:w="730" w:type="pct"/>
            <w:tcBorders>
              <w:top w:val="single" w:color="auto" w:sz="4" w:space="0"/>
              <w:left w:val="single" w:color="auto" w:sz="4" w:space="0"/>
              <w:bottom w:val="single" w:color="auto" w:sz="4" w:space="0"/>
              <w:right w:val="single" w:color="auto" w:sz="4" w:space="0"/>
            </w:tcBorders>
            <w:shd w:val="clear" w:color="auto" w:fill="auto"/>
            <w:vAlign w:val="center"/>
          </w:tcPr>
          <w:p w14:paraId="6D49836A">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w:t>
            </w:r>
          </w:p>
        </w:tc>
      </w:tr>
      <w:tr w14:paraId="351E31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79" w:type="pct"/>
            <w:vMerge w:val="continue"/>
            <w:tcBorders>
              <w:left w:val="single" w:color="auto" w:sz="4" w:space="0"/>
              <w:right w:val="single" w:color="auto" w:sz="4" w:space="0"/>
            </w:tcBorders>
            <w:vAlign w:val="center"/>
          </w:tcPr>
          <w:p w14:paraId="40B08C52">
            <w:pPr>
              <w:jc w:val="center"/>
              <w:rPr>
                <w:rFonts w:ascii="Times New Roman" w:hAnsi="Times New Roman" w:eastAsia="宋体" w:cs="Times New Roman"/>
                <w:color w:val="auto"/>
                <w:szCs w:val="21"/>
                <w:lang w:eastAsia="en-US"/>
              </w:rPr>
            </w:pPr>
          </w:p>
        </w:tc>
        <w:tc>
          <w:tcPr>
            <w:tcW w:w="724" w:type="pct"/>
            <w:vMerge w:val="restart"/>
            <w:tcBorders>
              <w:top w:val="single" w:color="auto" w:sz="4" w:space="0"/>
              <w:left w:val="single" w:color="auto" w:sz="4" w:space="0"/>
              <w:right w:val="single" w:color="auto" w:sz="4" w:space="0"/>
            </w:tcBorders>
            <w:shd w:val="clear" w:color="auto" w:fill="auto"/>
            <w:vAlign w:val="center"/>
          </w:tcPr>
          <w:p w14:paraId="5E427449">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氨</w:t>
            </w:r>
          </w:p>
        </w:tc>
        <w:tc>
          <w:tcPr>
            <w:tcW w:w="1320" w:type="pct"/>
            <w:tcBorders>
              <w:top w:val="single" w:color="auto" w:sz="4" w:space="0"/>
              <w:left w:val="single" w:color="auto" w:sz="4" w:space="0"/>
              <w:bottom w:val="single" w:color="auto" w:sz="4" w:space="0"/>
              <w:right w:val="single" w:color="auto" w:sz="4" w:space="0"/>
            </w:tcBorders>
            <w:shd w:val="clear" w:color="auto" w:fill="auto"/>
            <w:vAlign w:val="center"/>
          </w:tcPr>
          <w:p w14:paraId="3ED311AE">
            <w:pPr>
              <w:jc w:val="center"/>
              <w:rPr>
                <w:rFonts w:hint="eastAsia" w:ascii="Times New Roman" w:hAnsi="Times New Roman" w:eastAsia="宋体" w:cs="Times New Roman"/>
                <w:color w:val="auto"/>
                <w:kern w:val="2"/>
                <w:sz w:val="18"/>
                <w:szCs w:val="18"/>
                <w:lang w:val="en-US" w:eastAsia="zh-CN" w:bidi="ar-SA"/>
              </w:rPr>
            </w:pPr>
            <w:r>
              <w:rPr>
                <w:rFonts w:ascii="Times New Roman" w:hAnsi="Times New Roman" w:eastAsia="宋体" w:cs="Times New Roman"/>
                <w:color w:val="auto"/>
                <w:sz w:val="18"/>
                <w:szCs w:val="18"/>
                <w:lang w:eastAsia="en-US"/>
              </w:rPr>
              <w:t>排放浓度（mg/</w:t>
            </w:r>
            <w:r>
              <w:rPr>
                <w:rFonts w:hint="eastAsia" w:ascii="Times New Roman" w:hAnsi="Times New Roman" w:eastAsia="宋体" w:cs="Times New Roman"/>
                <w:color w:val="auto"/>
                <w:sz w:val="18"/>
                <w:szCs w:val="18"/>
                <w:lang w:eastAsia="zh-CN"/>
              </w:rPr>
              <w:t>m</w:t>
            </w:r>
            <w:r>
              <w:rPr>
                <w:rFonts w:hint="eastAsia" w:ascii="Times New Roman" w:hAnsi="Times New Roman" w:eastAsia="宋体" w:cs="Times New Roman"/>
                <w:color w:val="auto"/>
                <w:sz w:val="18"/>
                <w:szCs w:val="18"/>
                <w:vertAlign w:val="superscript"/>
                <w:lang w:eastAsia="zh-CN"/>
              </w:rPr>
              <w:t>3</w:t>
            </w:r>
            <w:r>
              <w:rPr>
                <w:rFonts w:ascii="Times New Roman" w:hAnsi="Times New Roman" w:eastAsia="宋体" w:cs="Times New Roman"/>
                <w:color w:val="auto"/>
                <w:sz w:val="18"/>
                <w:szCs w:val="18"/>
                <w:lang w:eastAsia="en-US"/>
              </w:rPr>
              <w:t>）</w:t>
            </w:r>
          </w:p>
        </w:tc>
        <w:tc>
          <w:tcPr>
            <w:tcW w:w="596" w:type="pct"/>
            <w:tcBorders>
              <w:top w:val="single" w:color="auto" w:sz="4" w:space="0"/>
              <w:left w:val="single" w:color="auto" w:sz="4" w:space="0"/>
              <w:bottom w:val="single" w:color="auto" w:sz="4" w:space="0"/>
              <w:right w:val="single" w:color="auto" w:sz="4" w:space="0"/>
            </w:tcBorders>
            <w:shd w:val="clear" w:color="auto" w:fill="auto"/>
            <w:vAlign w:val="center"/>
          </w:tcPr>
          <w:p w14:paraId="33076857">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1.06</w:t>
            </w:r>
          </w:p>
        </w:tc>
        <w:tc>
          <w:tcPr>
            <w:tcW w:w="595" w:type="pct"/>
            <w:tcBorders>
              <w:top w:val="single" w:color="auto" w:sz="4" w:space="0"/>
              <w:left w:val="single" w:color="auto" w:sz="4" w:space="0"/>
              <w:bottom w:val="single" w:color="auto" w:sz="4" w:space="0"/>
              <w:right w:val="single" w:color="auto" w:sz="4" w:space="0"/>
            </w:tcBorders>
            <w:shd w:val="clear" w:color="auto" w:fill="auto"/>
            <w:vAlign w:val="center"/>
          </w:tcPr>
          <w:p w14:paraId="717BD990">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0.98</w:t>
            </w:r>
          </w:p>
        </w:tc>
        <w:tc>
          <w:tcPr>
            <w:tcW w:w="653" w:type="pct"/>
            <w:tcBorders>
              <w:top w:val="single" w:color="auto" w:sz="4" w:space="0"/>
              <w:left w:val="single" w:color="auto" w:sz="4" w:space="0"/>
              <w:bottom w:val="single" w:color="auto" w:sz="4" w:space="0"/>
              <w:right w:val="single" w:color="auto" w:sz="4" w:space="0"/>
            </w:tcBorders>
            <w:shd w:val="clear" w:color="auto" w:fill="auto"/>
            <w:vAlign w:val="center"/>
          </w:tcPr>
          <w:p w14:paraId="034744D8">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1.05</w:t>
            </w:r>
          </w:p>
        </w:tc>
        <w:tc>
          <w:tcPr>
            <w:tcW w:w="730" w:type="pct"/>
            <w:tcBorders>
              <w:top w:val="single" w:color="auto" w:sz="4" w:space="0"/>
              <w:left w:val="single" w:color="auto" w:sz="4" w:space="0"/>
              <w:bottom w:val="single" w:color="auto" w:sz="4" w:space="0"/>
              <w:right w:val="single" w:color="auto" w:sz="4" w:space="0"/>
            </w:tcBorders>
            <w:shd w:val="clear" w:color="auto" w:fill="auto"/>
            <w:vAlign w:val="center"/>
          </w:tcPr>
          <w:p w14:paraId="062C74EB">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30</w:t>
            </w:r>
          </w:p>
        </w:tc>
      </w:tr>
      <w:tr w14:paraId="004CD3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79" w:type="pct"/>
            <w:vMerge w:val="continue"/>
            <w:tcBorders>
              <w:left w:val="single" w:color="auto" w:sz="4" w:space="0"/>
              <w:right w:val="single" w:color="auto" w:sz="4" w:space="0"/>
            </w:tcBorders>
            <w:vAlign w:val="center"/>
          </w:tcPr>
          <w:p w14:paraId="12D0000B">
            <w:pPr>
              <w:jc w:val="center"/>
              <w:rPr>
                <w:rFonts w:ascii="Times New Roman" w:hAnsi="Times New Roman" w:eastAsia="宋体" w:cs="Times New Roman"/>
                <w:color w:val="auto"/>
                <w:szCs w:val="21"/>
                <w:lang w:eastAsia="en-US"/>
              </w:rPr>
            </w:pPr>
          </w:p>
        </w:tc>
        <w:tc>
          <w:tcPr>
            <w:tcW w:w="724" w:type="pct"/>
            <w:vMerge w:val="continue"/>
            <w:tcBorders>
              <w:left w:val="single" w:color="auto" w:sz="4" w:space="0"/>
              <w:bottom w:val="single" w:color="auto" w:sz="4" w:space="0"/>
              <w:right w:val="single" w:color="auto" w:sz="4" w:space="0"/>
            </w:tcBorders>
            <w:vAlign w:val="center"/>
          </w:tcPr>
          <w:p w14:paraId="70AB66D1">
            <w:pPr>
              <w:jc w:val="center"/>
              <w:rPr>
                <w:rFonts w:hint="eastAsia" w:ascii="Times New Roman" w:hAnsi="Times New Roman" w:eastAsia="宋体" w:cs="Times New Roman"/>
                <w:color w:val="auto"/>
                <w:szCs w:val="21"/>
                <w:lang w:val="en-US" w:eastAsia="zh-CN"/>
              </w:rPr>
            </w:pPr>
          </w:p>
        </w:tc>
        <w:tc>
          <w:tcPr>
            <w:tcW w:w="1320" w:type="pct"/>
            <w:tcBorders>
              <w:top w:val="single" w:color="auto" w:sz="4" w:space="0"/>
              <w:left w:val="single" w:color="auto" w:sz="4" w:space="0"/>
              <w:bottom w:val="single" w:color="auto" w:sz="4" w:space="0"/>
              <w:right w:val="single" w:color="auto" w:sz="4" w:space="0"/>
            </w:tcBorders>
            <w:shd w:val="clear" w:color="auto" w:fill="auto"/>
            <w:vAlign w:val="center"/>
          </w:tcPr>
          <w:p w14:paraId="56BE4676">
            <w:pPr>
              <w:jc w:val="center"/>
              <w:rPr>
                <w:rFonts w:hint="eastAsia" w:ascii="Times New Roman" w:hAnsi="Times New Roman" w:eastAsia="宋体" w:cs="Times New Roman"/>
                <w:color w:val="auto"/>
                <w:kern w:val="2"/>
                <w:sz w:val="18"/>
                <w:szCs w:val="18"/>
                <w:lang w:val="en-US" w:eastAsia="zh-CN" w:bidi="ar-SA"/>
              </w:rPr>
            </w:pPr>
            <w:r>
              <w:rPr>
                <w:rFonts w:ascii="Times New Roman" w:hAnsi="Times New Roman" w:eastAsia="宋体" w:cs="Times New Roman"/>
                <w:color w:val="auto"/>
                <w:sz w:val="18"/>
                <w:szCs w:val="18"/>
                <w:lang w:eastAsia="en-US"/>
              </w:rPr>
              <w:t>排放速率（kg/h）</w:t>
            </w:r>
          </w:p>
        </w:tc>
        <w:tc>
          <w:tcPr>
            <w:tcW w:w="596" w:type="pct"/>
            <w:tcBorders>
              <w:top w:val="single" w:color="auto" w:sz="4" w:space="0"/>
              <w:left w:val="single" w:color="auto" w:sz="4" w:space="0"/>
              <w:bottom w:val="single" w:color="auto" w:sz="4" w:space="0"/>
              <w:right w:val="single" w:color="auto" w:sz="4" w:space="0"/>
            </w:tcBorders>
            <w:shd w:val="clear" w:color="auto" w:fill="auto"/>
            <w:vAlign w:val="center"/>
          </w:tcPr>
          <w:p w14:paraId="15E54412">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0.0036</w:t>
            </w:r>
          </w:p>
        </w:tc>
        <w:tc>
          <w:tcPr>
            <w:tcW w:w="595" w:type="pct"/>
            <w:tcBorders>
              <w:top w:val="single" w:color="auto" w:sz="4" w:space="0"/>
              <w:left w:val="single" w:color="auto" w:sz="4" w:space="0"/>
              <w:bottom w:val="single" w:color="auto" w:sz="4" w:space="0"/>
              <w:right w:val="single" w:color="auto" w:sz="4" w:space="0"/>
            </w:tcBorders>
            <w:shd w:val="clear" w:color="auto" w:fill="auto"/>
            <w:vAlign w:val="center"/>
          </w:tcPr>
          <w:p w14:paraId="54CF76F2">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0.0033</w:t>
            </w:r>
          </w:p>
        </w:tc>
        <w:tc>
          <w:tcPr>
            <w:tcW w:w="653" w:type="pct"/>
            <w:tcBorders>
              <w:top w:val="single" w:color="auto" w:sz="4" w:space="0"/>
              <w:left w:val="single" w:color="auto" w:sz="4" w:space="0"/>
              <w:bottom w:val="single" w:color="auto" w:sz="4" w:space="0"/>
              <w:right w:val="single" w:color="auto" w:sz="4" w:space="0"/>
            </w:tcBorders>
            <w:shd w:val="clear" w:color="auto" w:fill="auto"/>
            <w:vAlign w:val="center"/>
          </w:tcPr>
          <w:p w14:paraId="331FD4D9">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0.0036</w:t>
            </w:r>
          </w:p>
        </w:tc>
        <w:tc>
          <w:tcPr>
            <w:tcW w:w="730" w:type="pct"/>
            <w:tcBorders>
              <w:top w:val="single" w:color="auto" w:sz="4" w:space="0"/>
              <w:left w:val="single" w:color="auto" w:sz="4" w:space="0"/>
              <w:bottom w:val="single" w:color="auto" w:sz="4" w:space="0"/>
              <w:right w:val="single" w:color="auto" w:sz="4" w:space="0"/>
            </w:tcBorders>
            <w:shd w:val="clear" w:color="auto" w:fill="auto"/>
            <w:vAlign w:val="center"/>
          </w:tcPr>
          <w:p w14:paraId="1936FE5C">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w:t>
            </w:r>
          </w:p>
        </w:tc>
      </w:tr>
      <w:tr w14:paraId="74EE2C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79" w:type="pct"/>
            <w:vMerge w:val="continue"/>
            <w:tcBorders>
              <w:left w:val="single" w:color="auto" w:sz="4" w:space="0"/>
              <w:right w:val="single" w:color="auto" w:sz="4" w:space="0"/>
            </w:tcBorders>
            <w:vAlign w:val="center"/>
          </w:tcPr>
          <w:p w14:paraId="663A2D32">
            <w:pPr>
              <w:jc w:val="center"/>
              <w:rPr>
                <w:rFonts w:ascii="Times New Roman" w:hAnsi="Times New Roman" w:eastAsia="宋体" w:cs="Times New Roman"/>
                <w:color w:val="auto"/>
                <w:szCs w:val="21"/>
                <w:lang w:eastAsia="en-US"/>
              </w:rPr>
            </w:pPr>
          </w:p>
        </w:tc>
        <w:tc>
          <w:tcPr>
            <w:tcW w:w="724" w:type="pct"/>
            <w:vMerge w:val="restart"/>
            <w:tcBorders>
              <w:top w:val="single" w:color="auto" w:sz="4" w:space="0"/>
              <w:left w:val="single" w:color="auto" w:sz="4" w:space="0"/>
              <w:right w:val="single" w:color="auto" w:sz="4" w:space="0"/>
            </w:tcBorders>
            <w:shd w:val="clear" w:color="auto" w:fill="auto"/>
            <w:vAlign w:val="center"/>
          </w:tcPr>
          <w:p w14:paraId="7DDD751F">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TVOC</w:t>
            </w:r>
          </w:p>
        </w:tc>
        <w:tc>
          <w:tcPr>
            <w:tcW w:w="1320" w:type="pct"/>
            <w:tcBorders>
              <w:top w:val="single" w:color="auto" w:sz="4" w:space="0"/>
              <w:left w:val="single" w:color="auto" w:sz="4" w:space="0"/>
              <w:bottom w:val="single" w:color="auto" w:sz="4" w:space="0"/>
              <w:right w:val="single" w:color="auto" w:sz="4" w:space="0"/>
            </w:tcBorders>
            <w:shd w:val="clear" w:color="auto" w:fill="auto"/>
            <w:vAlign w:val="center"/>
          </w:tcPr>
          <w:p w14:paraId="6C8E3F41">
            <w:pPr>
              <w:jc w:val="center"/>
              <w:rPr>
                <w:rFonts w:hint="eastAsia" w:ascii="Times New Roman" w:hAnsi="Times New Roman" w:eastAsia="宋体" w:cs="Times New Roman"/>
                <w:color w:val="auto"/>
                <w:kern w:val="2"/>
                <w:sz w:val="18"/>
                <w:szCs w:val="18"/>
                <w:lang w:val="en-US" w:eastAsia="zh-CN" w:bidi="ar-SA"/>
              </w:rPr>
            </w:pPr>
            <w:r>
              <w:rPr>
                <w:rFonts w:ascii="Times New Roman" w:hAnsi="Times New Roman" w:eastAsia="宋体" w:cs="Times New Roman"/>
                <w:color w:val="auto"/>
                <w:sz w:val="18"/>
                <w:szCs w:val="18"/>
                <w:lang w:eastAsia="en-US"/>
              </w:rPr>
              <w:t>排放浓度（mg/</w:t>
            </w:r>
            <w:r>
              <w:rPr>
                <w:rFonts w:hint="eastAsia" w:ascii="Times New Roman" w:hAnsi="Times New Roman" w:eastAsia="宋体" w:cs="Times New Roman"/>
                <w:color w:val="auto"/>
                <w:sz w:val="18"/>
                <w:szCs w:val="18"/>
                <w:lang w:eastAsia="zh-CN"/>
              </w:rPr>
              <w:t>m</w:t>
            </w:r>
            <w:r>
              <w:rPr>
                <w:rFonts w:hint="eastAsia" w:ascii="Times New Roman" w:hAnsi="Times New Roman" w:eastAsia="宋体" w:cs="Times New Roman"/>
                <w:color w:val="auto"/>
                <w:sz w:val="18"/>
                <w:szCs w:val="18"/>
                <w:vertAlign w:val="superscript"/>
                <w:lang w:eastAsia="zh-CN"/>
              </w:rPr>
              <w:t>3</w:t>
            </w:r>
            <w:r>
              <w:rPr>
                <w:rFonts w:ascii="Times New Roman" w:hAnsi="Times New Roman" w:eastAsia="宋体" w:cs="Times New Roman"/>
                <w:color w:val="auto"/>
                <w:sz w:val="18"/>
                <w:szCs w:val="18"/>
                <w:lang w:eastAsia="en-US"/>
              </w:rPr>
              <w:t>）</w:t>
            </w:r>
          </w:p>
        </w:tc>
        <w:tc>
          <w:tcPr>
            <w:tcW w:w="596" w:type="pct"/>
            <w:tcBorders>
              <w:top w:val="single" w:color="auto" w:sz="4" w:space="0"/>
              <w:left w:val="single" w:color="auto" w:sz="4" w:space="0"/>
              <w:bottom w:val="single" w:color="auto" w:sz="4" w:space="0"/>
              <w:right w:val="single" w:color="auto" w:sz="4" w:space="0"/>
            </w:tcBorders>
            <w:shd w:val="clear" w:color="auto" w:fill="auto"/>
            <w:vAlign w:val="center"/>
          </w:tcPr>
          <w:p w14:paraId="5A687446">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0.011</w:t>
            </w:r>
          </w:p>
        </w:tc>
        <w:tc>
          <w:tcPr>
            <w:tcW w:w="595" w:type="pct"/>
            <w:tcBorders>
              <w:top w:val="single" w:color="auto" w:sz="4" w:space="0"/>
              <w:left w:val="single" w:color="auto" w:sz="4" w:space="0"/>
              <w:bottom w:val="single" w:color="auto" w:sz="4" w:space="0"/>
              <w:right w:val="single" w:color="auto" w:sz="4" w:space="0"/>
            </w:tcBorders>
            <w:shd w:val="clear" w:color="auto" w:fill="auto"/>
            <w:vAlign w:val="center"/>
          </w:tcPr>
          <w:p w14:paraId="19326445">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0.015</w:t>
            </w:r>
          </w:p>
        </w:tc>
        <w:tc>
          <w:tcPr>
            <w:tcW w:w="653" w:type="pct"/>
            <w:tcBorders>
              <w:top w:val="single" w:color="auto" w:sz="4" w:space="0"/>
              <w:left w:val="single" w:color="auto" w:sz="4" w:space="0"/>
              <w:bottom w:val="single" w:color="auto" w:sz="4" w:space="0"/>
              <w:right w:val="single" w:color="auto" w:sz="4" w:space="0"/>
            </w:tcBorders>
            <w:shd w:val="clear" w:color="auto" w:fill="auto"/>
            <w:vAlign w:val="center"/>
          </w:tcPr>
          <w:p w14:paraId="586C08A2">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0.014</w:t>
            </w:r>
          </w:p>
        </w:tc>
        <w:tc>
          <w:tcPr>
            <w:tcW w:w="730" w:type="pct"/>
            <w:tcBorders>
              <w:top w:val="single" w:color="auto" w:sz="4" w:space="0"/>
              <w:left w:val="single" w:color="auto" w:sz="4" w:space="0"/>
              <w:bottom w:val="single" w:color="auto" w:sz="4" w:space="0"/>
              <w:right w:val="single" w:color="auto" w:sz="4" w:space="0"/>
            </w:tcBorders>
            <w:shd w:val="clear" w:color="auto" w:fill="auto"/>
            <w:vAlign w:val="center"/>
          </w:tcPr>
          <w:p w14:paraId="7B7EE2DA">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40</w:t>
            </w:r>
          </w:p>
        </w:tc>
      </w:tr>
      <w:tr w14:paraId="5909D0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79" w:type="pct"/>
            <w:vMerge w:val="continue"/>
            <w:tcBorders>
              <w:left w:val="single" w:color="auto" w:sz="4" w:space="0"/>
              <w:right w:val="single" w:color="auto" w:sz="4" w:space="0"/>
            </w:tcBorders>
            <w:vAlign w:val="center"/>
          </w:tcPr>
          <w:p w14:paraId="0A38E95C">
            <w:pPr>
              <w:jc w:val="center"/>
              <w:rPr>
                <w:rFonts w:ascii="Times New Roman" w:hAnsi="Times New Roman" w:eastAsia="宋体" w:cs="Times New Roman"/>
                <w:color w:val="auto"/>
                <w:szCs w:val="21"/>
                <w:lang w:eastAsia="en-US"/>
              </w:rPr>
            </w:pPr>
          </w:p>
        </w:tc>
        <w:tc>
          <w:tcPr>
            <w:tcW w:w="724" w:type="pct"/>
            <w:vMerge w:val="continue"/>
            <w:tcBorders>
              <w:left w:val="single" w:color="auto" w:sz="4" w:space="0"/>
              <w:bottom w:val="single" w:color="auto" w:sz="4" w:space="0"/>
              <w:right w:val="single" w:color="auto" w:sz="4" w:space="0"/>
            </w:tcBorders>
            <w:vAlign w:val="center"/>
          </w:tcPr>
          <w:p w14:paraId="7ED5DD8D">
            <w:pPr>
              <w:jc w:val="center"/>
              <w:rPr>
                <w:rFonts w:hint="eastAsia" w:ascii="Times New Roman" w:hAnsi="Times New Roman" w:eastAsia="宋体" w:cs="Times New Roman"/>
                <w:color w:val="auto"/>
                <w:szCs w:val="21"/>
                <w:lang w:val="en-US" w:eastAsia="zh-CN"/>
              </w:rPr>
            </w:pPr>
          </w:p>
        </w:tc>
        <w:tc>
          <w:tcPr>
            <w:tcW w:w="1320" w:type="pct"/>
            <w:tcBorders>
              <w:top w:val="single" w:color="auto" w:sz="4" w:space="0"/>
              <w:left w:val="single" w:color="auto" w:sz="4" w:space="0"/>
              <w:bottom w:val="single" w:color="auto" w:sz="4" w:space="0"/>
              <w:right w:val="single" w:color="auto" w:sz="4" w:space="0"/>
            </w:tcBorders>
            <w:shd w:val="clear" w:color="auto" w:fill="auto"/>
            <w:vAlign w:val="center"/>
          </w:tcPr>
          <w:p w14:paraId="00E99177">
            <w:pPr>
              <w:jc w:val="center"/>
              <w:rPr>
                <w:rFonts w:hint="eastAsia" w:ascii="Times New Roman" w:hAnsi="Times New Roman" w:eastAsia="宋体" w:cs="Times New Roman"/>
                <w:color w:val="auto"/>
                <w:kern w:val="2"/>
                <w:sz w:val="18"/>
                <w:szCs w:val="18"/>
                <w:lang w:val="en-US" w:eastAsia="zh-CN" w:bidi="ar-SA"/>
              </w:rPr>
            </w:pPr>
            <w:r>
              <w:rPr>
                <w:rFonts w:ascii="Times New Roman" w:hAnsi="Times New Roman" w:eastAsia="宋体" w:cs="Times New Roman"/>
                <w:color w:val="auto"/>
                <w:sz w:val="18"/>
                <w:szCs w:val="18"/>
                <w:lang w:eastAsia="en-US"/>
              </w:rPr>
              <w:t>排放速率（kg/h）</w:t>
            </w:r>
          </w:p>
        </w:tc>
        <w:tc>
          <w:tcPr>
            <w:tcW w:w="596" w:type="pct"/>
            <w:tcBorders>
              <w:top w:val="single" w:color="auto" w:sz="4" w:space="0"/>
              <w:left w:val="single" w:color="auto" w:sz="4" w:space="0"/>
              <w:bottom w:val="single" w:color="auto" w:sz="4" w:space="0"/>
              <w:right w:val="single" w:color="auto" w:sz="4" w:space="0"/>
            </w:tcBorders>
            <w:shd w:val="clear" w:color="auto" w:fill="auto"/>
            <w:vAlign w:val="center"/>
          </w:tcPr>
          <w:p w14:paraId="54A29D25">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0.000037</w:t>
            </w:r>
          </w:p>
        </w:tc>
        <w:tc>
          <w:tcPr>
            <w:tcW w:w="595" w:type="pct"/>
            <w:tcBorders>
              <w:top w:val="single" w:color="auto" w:sz="4" w:space="0"/>
              <w:left w:val="single" w:color="auto" w:sz="4" w:space="0"/>
              <w:bottom w:val="single" w:color="auto" w:sz="4" w:space="0"/>
              <w:right w:val="single" w:color="auto" w:sz="4" w:space="0"/>
            </w:tcBorders>
            <w:shd w:val="clear" w:color="auto" w:fill="auto"/>
            <w:vAlign w:val="center"/>
          </w:tcPr>
          <w:p w14:paraId="37F05BC5">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0.000051</w:t>
            </w:r>
          </w:p>
        </w:tc>
        <w:tc>
          <w:tcPr>
            <w:tcW w:w="653" w:type="pct"/>
            <w:tcBorders>
              <w:top w:val="single" w:color="auto" w:sz="4" w:space="0"/>
              <w:left w:val="single" w:color="auto" w:sz="4" w:space="0"/>
              <w:bottom w:val="single" w:color="auto" w:sz="4" w:space="0"/>
              <w:right w:val="single" w:color="auto" w:sz="4" w:space="0"/>
            </w:tcBorders>
            <w:shd w:val="clear" w:color="auto" w:fill="auto"/>
            <w:vAlign w:val="center"/>
          </w:tcPr>
          <w:p w14:paraId="43980823">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0.000048</w:t>
            </w:r>
          </w:p>
        </w:tc>
        <w:tc>
          <w:tcPr>
            <w:tcW w:w="730" w:type="pct"/>
            <w:tcBorders>
              <w:top w:val="single" w:color="auto" w:sz="4" w:space="0"/>
              <w:left w:val="single" w:color="auto" w:sz="4" w:space="0"/>
              <w:bottom w:val="single" w:color="auto" w:sz="4" w:space="0"/>
              <w:right w:val="single" w:color="auto" w:sz="4" w:space="0"/>
            </w:tcBorders>
            <w:shd w:val="clear" w:color="auto" w:fill="auto"/>
            <w:vAlign w:val="center"/>
          </w:tcPr>
          <w:p w14:paraId="6D2AE3B2">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w:t>
            </w:r>
          </w:p>
        </w:tc>
      </w:tr>
      <w:tr w14:paraId="045BEC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79" w:type="pct"/>
            <w:vMerge w:val="continue"/>
            <w:tcBorders>
              <w:left w:val="single" w:color="auto" w:sz="4" w:space="0"/>
              <w:right w:val="single" w:color="auto" w:sz="4" w:space="0"/>
            </w:tcBorders>
            <w:vAlign w:val="center"/>
          </w:tcPr>
          <w:p w14:paraId="460ED742">
            <w:pPr>
              <w:jc w:val="center"/>
              <w:rPr>
                <w:rFonts w:ascii="Times New Roman" w:hAnsi="Times New Roman" w:eastAsia="宋体" w:cs="Times New Roman"/>
                <w:color w:val="auto"/>
                <w:szCs w:val="21"/>
                <w:lang w:eastAsia="en-US"/>
              </w:rPr>
            </w:pPr>
          </w:p>
        </w:tc>
        <w:tc>
          <w:tcPr>
            <w:tcW w:w="724" w:type="pct"/>
            <w:vMerge w:val="restart"/>
            <w:tcBorders>
              <w:top w:val="single" w:color="auto" w:sz="4" w:space="0"/>
              <w:left w:val="single" w:color="auto" w:sz="4" w:space="0"/>
              <w:right w:val="single" w:color="auto" w:sz="4" w:space="0"/>
            </w:tcBorders>
            <w:shd w:val="clear" w:color="auto" w:fill="auto"/>
            <w:vAlign w:val="center"/>
          </w:tcPr>
          <w:p w14:paraId="3AED61DC">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硫化氢</w:t>
            </w:r>
          </w:p>
        </w:tc>
        <w:tc>
          <w:tcPr>
            <w:tcW w:w="1320" w:type="pct"/>
            <w:tcBorders>
              <w:top w:val="single" w:color="auto" w:sz="4" w:space="0"/>
              <w:left w:val="single" w:color="auto" w:sz="4" w:space="0"/>
              <w:bottom w:val="single" w:color="auto" w:sz="4" w:space="0"/>
              <w:right w:val="single" w:color="auto" w:sz="4" w:space="0"/>
            </w:tcBorders>
            <w:shd w:val="clear" w:color="auto" w:fill="auto"/>
            <w:vAlign w:val="center"/>
          </w:tcPr>
          <w:p w14:paraId="37D5614F">
            <w:pPr>
              <w:jc w:val="center"/>
              <w:rPr>
                <w:rFonts w:hint="eastAsia" w:ascii="Times New Roman" w:hAnsi="Times New Roman" w:eastAsia="宋体" w:cs="Times New Roman"/>
                <w:color w:val="auto"/>
                <w:kern w:val="2"/>
                <w:sz w:val="18"/>
                <w:szCs w:val="18"/>
                <w:lang w:val="en-US" w:eastAsia="zh-CN" w:bidi="ar-SA"/>
              </w:rPr>
            </w:pPr>
            <w:r>
              <w:rPr>
                <w:rFonts w:ascii="Times New Roman" w:hAnsi="Times New Roman" w:eastAsia="宋体" w:cs="Times New Roman"/>
                <w:color w:val="auto"/>
                <w:sz w:val="18"/>
                <w:szCs w:val="18"/>
                <w:lang w:eastAsia="en-US"/>
              </w:rPr>
              <w:t>排放浓度（mg/</w:t>
            </w:r>
            <w:r>
              <w:rPr>
                <w:rFonts w:hint="eastAsia" w:ascii="Times New Roman" w:hAnsi="Times New Roman" w:eastAsia="宋体" w:cs="Times New Roman"/>
                <w:color w:val="auto"/>
                <w:sz w:val="18"/>
                <w:szCs w:val="18"/>
                <w:lang w:eastAsia="zh-CN"/>
              </w:rPr>
              <w:t>m</w:t>
            </w:r>
            <w:r>
              <w:rPr>
                <w:rFonts w:hint="eastAsia" w:ascii="Times New Roman" w:hAnsi="Times New Roman" w:eastAsia="宋体" w:cs="Times New Roman"/>
                <w:color w:val="auto"/>
                <w:sz w:val="18"/>
                <w:szCs w:val="18"/>
                <w:vertAlign w:val="superscript"/>
                <w:lang w:eastAsia="zh-CN"/>
              </w:rPr>
              <w:t>3</w:t>
            </w:r>
            <w:r>
              <w:rPr>
                <w:rFonts w:ascii="Times New Roman" w:hAnsi="Times New Roman" w:eastAsia="宋体" w:cs="Times New Roman"/>
                <w:color w:val="auto"/>
                <w:sz w:val="18"/>
                <w:szCs w:val="18"/>
                <w:lang w:eastAsia="en-US"/>
              </w:rPr>
              <w:t>）</w:t>
            </w:r>
          </w:p>
        </w:tc>
        <w:tc>
          <w:tcPr>
            <w:tcW w:w="596" w:type="pct"/>
            <w:tcBorders>
              <w:top w:val="single" w:color="auto" w:sz="4" w:space="0"/>
              <w:left w:val="single" w:color="auto" w:sz="4" w:space="0"/>
              <w:bottom w:val="single" w:color="auto" w:sz="4" w:space="0"/>
              <w:right w:val="single" w:color="auto" w:sz="4" w:space="0"/>
            </w:tcBorders>
            <w:shd w:val="clear" w:color="auto" w:fill="auto"/>
            <w:vAlign w:val="center"/>
          </w:tcPr>
          <w:p w14:paraId="1CF99FC3">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0.023</w:t>
            </w:r>
          </w:p>
        </w:tc>
        <w:tc>
          <w:tcPr>
            <w:tcW w:w="595" w:type="pct"/>
            <w:tcBorders>
              <w:top w:val="single" w:color="auto" w:sz="4" w:space="0"/>
              <w:left w:val="single" w:color="auto" w:sz="4" w:space="0"/>
              <w:bottom w:val="single" w:color="auto" w:sz="4" w:space="0"/>
              <w:right w:val="single" w:color="auto" w:sz="4" w:space="0"/>
            </w:tcBorders>
            <w:shd w:val="clear" w:color="auto" w:fill="auto"/>
            <w:vAlign w:val="center"/>
          </w:tcPr>
          <w:p w14:paraId="578506DE">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0.026</w:t>
            </w:r>
          </w:p>
        </w:tc>
        <w:tc>
          <w:tcPr>
            <w:tcW w:w="653" w:type="pct"/>
            <w:tcBorders>
              <w:top w:val="single" w:color="auto" w:sz="4" w:space="0"/>
              <w:left w:val="single" w:color="auto" w:sz="4" w:space="0"/>
              <w:bottom w:val="single" w:color="auto" w:sz="4" w:space="0"/>
              <w:right w:val="single" w:color="auto" w:sz="4" w:space="0"/>
            </w:tcBorders>
            <w:shd w:val="clear" w:color="auto" w:fill="auto"/>
            <w:vAlign w:val="center"/>
          </w:tcPr>
          <w:p w14:paraId="4D17FE24">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0.022</w:t>
            </w:r>
          </w:p>
        </w:tc>
        <w:tc>
          <w:tcPr>
            <w:tcW w:w="730" w:type="pct"/>
            <w:tcBorders>
              <w:top w:val="single" w:color="auto" w:sz="4" w:space="0"/>
              <w:left w:val="single" w:color="auto" w:sz="4" w:space="0"/>
              <w:bottom w:val="single" w:color="auto" w:sz="4" w:space="0"/>
              <w:right w:val="single" w:color="auto" w:sz="4" w:space="0"/>
            </w:tcBorders>
            <w:shd w:val="clear" w:color="auto" w:fill="auto"/>
            <w:vAlign w:val="center"/>
          </w:tcPr>
          <w:p w14:paraId="43EA3B6F">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w:t>
            </w:r>
          </w:p>
        </w:tc>
      </w:tr>
      <w:tr w14:paraId="210C84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79" w:type="pct"/>
            <w:vMerge w:val="continue"/>
            <w:tcBorders>
              <w:left w:val="single" w:color="auto" w:sz="4" w:space="0"/>
              <w:right w:val="single" w:color="auto" w:sz="4" w:space="0"/>
            </w:tcBorders>
            <w:vAlign w:val="center"/>
          </w:tcPr>
          <w:p w14:paraId="276A4294">
            <w:pPr>
              <w:jc w:val="center"/>
              <w:rPr>
                <w:rFonts w:ascii="Times New Roman" w:hAnsi="Times New Roman" w:eastAsia="宋体" w:cs="Times New Roman"/>
                <w:color w:val="auto"/>
                <w:szCs w:val="21"/>
                <w:lang w:eastAsia="en-US"/>
              </w:rPr>
            </w:pPr>
          </w:p>
        </w:tc>
        <w:tc>
          <w:tcPr>
            <w:tcW w:w="724" w:type="pct"/>
            <w:vMerge w:val="continue"/>
            <w:tcBorders>
              <w:left w:val="single" w:color="auto" w:sz="4" w:space="0"/>
              <w:bottom w:val="single" w:color="auto" w:sz="4" w:space="0"/>
              <w:right w:val="single" w:color="auto" w:sz="4" w:space="0"/>
            </w:tcBorders>
            <w:vAlign w:val="center"/>
          </w:tcPr>
          <w:p w14:paraId="11643BC8">
            <w:pPr>
              <w:jc w:val="center"/>
              <w:rPr>
                <w:rFonts w:hint="eastAsia" w:ascii="Times New Roman" w:hAnsi="Times New Roman" w:eastAsia="宋体" w:cs="Times New Roman"/>
                <w:color w:val="auto"/>
                <w:szCs w:val="21"/>
                <w:lang w:val="en-US" w:eastAsia="zh-CN"/>
              </w:rPr>
            </w:pPr>
          </w:p>
        </w:tc>
        <w:tc>
          <w:tcPr>
            <w:tcW w:w="1320" w:type="pct"/>
            <w:tcBorders>
              <w:top w:val="single" w:color="auto" w:sz="4" w:space="0"/>
              <w:left w:val="single" w:color="auto" w:sz="4" w:space="0"/>
              <w:bottom w:val="single" w:color="auto" w:sz="4" w:space="0"/>
              <w:right w:val="single" w:color="auto" w:sz="4" w:space="0"/>
            </w:tcBorders>
            <w:shd w:val="clear" w:color="auto" w:fill="auto"/>
            <w:vAlign w:val="center"/>
          </w:tcPr>
          <w:p w14:paraId="2E6E045E">
            <w:pPr>
              <w:jc w:val="center"/>
              <w:rPr>
                <w:rFonts w:hint="eastAsia" w:ascii="Times New Roman" w:hAnsi="Times New Roman" w:eastAsia="宋体" w:cs="Times New Roman"/>
                <w:color w:val="auto"/>
                <w:kern w:val="2"/>
                <w:sz w:val="18"/>
                <w:szCs w:val="18"/>
                <w:lang w:val="en-US" w:eastAsia="zh-CN" w:bidi="ar-SA"/>
              </w:rPr>
            </w:pPr>
            <w:r>
              <w:rPr>
                <w:rFonts w:ascii="Times New Roman" w:hAnsi="Times New Roman" w:eastAsia="宋体" w:cs="Times New Roman"/>
                <w:color w:val="auto"/>
                <w:sz w:val="18"/>
                <w:szCs w:val="18"/>
                <w:lang w:eastAsia="en-US"/>
              </w:rPr>
              <w:t>排放速率（kg/h）</w:t>
            </w:r>
          </w:p>
        </w:tc>
        <w:tc>
          <w:tcPr>
            <w:tcW w:w="596" w:type="pct"/>
            <w:tcBorders>
              <w:top w:val="single" w:color="auto" w:sz="4" w:space="0"/>
              <w:left w:val="single" w:color="auto" w:sz="4" w:space="0"/>
              <w:bottom w:val="single" w:color="auto" w:sz="4" w:space="0"/>
              <w:right w:val="single" w:color="auto" w:sz="4" w:space="0"/>
            </w:tcBorders>
            <w:shd w:val="clear" w:color="auto" w:fill="auto"/>
            <w:vAlign w:val="center"/>
          </w:tcPr>
          <w:p w14:paraId="205E705D">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0.000078</w:t>
            </w:r>
          </w:p>
        </w:tc>
        <w:tc>
          <w:tcPr>
            <w:tcW w:w="595" w:type="pct"/>
            <w:tcBorders>
              <w:top w:val="single" w:color="auto" w:sz="4" w:space="0"/>
              <w:left w:val="single" w:color="auto" w:sz="4" w:space="0"/>
              <w:bottom w:val="single" w:color="auto" w:sz="4" w:space="0"/>
              <w:right w:val="single" w:color="auto" w:sz="4" w:space="0"/>
            </w:tcBorders>
            <w:shd w:val="clear" w:color="auto" w:fill="auto"/>
            <w:vAlign w:val="center"/>
          </w:tcPr>
          <w:p w14:paraId="64811460">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0.000088</w:t>
            </w:r>
          </w:p>
        </w:tc>
        <w:tc>
          <w:tcPr>
            <w:tcW w:w="653" w:type="pct"/>
            <w:tcBorders>
              <w:top w:val="single" w:color="auto" w:sz="4" w:space="0"/>
              <w:left w:val="single" w:color="auto" w:sz="4" w:space="0"/>
              <w:bottom w:val="single" w:color="auto" w:sz="4" w:space="0"/>
              <w:right w:val="single" w:color="auto" w:sz="4" w:space="0"/>
            </w:tcBorders>
            <w:shd w:val="clear" w:color="auto" w:fill="auto"/>
            <w:vAlign w:val="center"/>
          </w:tcPr>
          <w:p w14:paraId="6646F583">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0.000075</w:t>
            </w:r>
          </w:p>
        </w:tc>
        <w:tc>
          <w:tcPr>
            <w:tcW w:w="730" w:type="pct"/>
            <w:tcBorders>
              <w:top w:val="single" w:color="auto" w:sz="4" w:space="0"/>
              <w:left w:val="single" w:color="auto" w:sz="4" w:space="0"/>
              <w:bottom w:val="single" w:color="auto" w:sz="4" w:space="0"/>
              <w:right w:val="single" w:color="auto" w:sz="4" w:space="0"/>
            </w:tcBorders>
            <w:shd w:val="clear" w:color="auto" w:fill="auto"/>
            <w:vAlign w:val="center"/>
          </w:tcPr>
          <w:p w14:paraId="586CC1B7">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0.33</w:t>
            </w:r>
          </w:p>
        </w:tc>
      </w:tr>
      <w:tr w14:paraId="4619F5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79" w:type="pct"/>
            <w:vMerge w:val="continue"/>
            <w:tcBorders>
              <w:left w:val="single" w:color="auto" w:sz="4" w:space="0"/>
              <w:right w:val="single" w:color="auto" w:sz="4" w:space="0"/>
            </w:tcBorders>
            <w:vAlign w:val="center"/>
          </w:tcPr>
          <w:p w14:paraId="6B0FE06B">
            <w:pPr>
              <w:jc w:val="center"/>
              <w:rPr>
                <w:rFonts w:ascii="Times New Roman" w:hAnsi="Times New Roman" w:eastAsia="宋体" w:cs="Times New Roman"/>
                <w:color w:val="auto"/>
                <w:szCs w:val="21"/>
                <w:lang w:eastAsia="en-US"/>
              </w:rPr>
            </w:pPr>
          </w:p>
        </w:tc>
        <w:tc>
          <w:tcPr>
            <w:tcW w:w="724" w:type="pct"/>
            <w:vMerge w:val="restart"/>
            <w:tcBorders>
              <w:top w:val="single" w:color="auto" w:sz="4" w:space="0"/>
              <w:left w:val="single" w:color="auto" w:sz="4" w:space="0"/>
              <w:right w:val="single" w:color="auto" w:sz="4" w:space="0"/>
            </w:tcBorders>
            <w:shd w:val="clear" w:color="auto" w:fill="auto"/>
            <w:vAlign w:val="center"/>
          </w:tcPr>
          <w:p w14:paraId="10ECB65B">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颗粒物</w:t>
            </w:r>
          </w:p>
        </w:tc>
        <w:tc>
          <w:tcPr>
            <w:tcW w:w="1320" w:type="pct"/>
            <w:tcBorders>
              <w:top w:val="single" w:color="auto" w:sz="4" w:space="0"/>
              <w:left w:val="single" w:color="auto" w:sz="4" w:space="0"/>
              <w:bottom w:val="single" w:color="auto" w:sz="4" w:space="0"/>
              <w:right w:val="single" w:color="auto" w:sz="4" w:space="0"/>
            </w:tcBorders>
            <w:shd w:val="clear" w:color="auto" w:fill="auto"/>
            <w:vAlign w:val="center"/>
          </w:tcPr>
          <w:p w14:paraId="6A41705D">
            <w:pPr>
              <w:jc w:val="center"/>
              <w:rPr>
                <w:rFonts w:hint="eastAsia" w:ascii="Times New Roman" w:hAnsi="Times New Roman" w:eastAsia="宋体" w:cs="Times New Roman"/>
                <w:color w:val="auto"/>
                <w:kern w:val="2"/>
                <w:sz w:val="18"/>
                <w:szCs w:val="18"/>
                <w:lang w:val="en-US" w:eastAsia="zh-CN" w:bidi="ar-SA"/>
              </w:rPr>
            </w:pPr>
            <w:r>
              <w:rPr>
                <w:rFonts w:ascii="Times New Roman" w:hAnsi="Times New Roman" w:eastAsia="宋体" w:cs="Times New Roman"/>
                <w:color w:val="auto"/>
                <w:sz w:val="18"/>
                <w:szCs w:val="18"/>
                <w:lang w:eastAsia="en-US"/>
              </w:rPr>
              <w:t>排放浓度（mg/</w:t>
            </w:r>
            <w:r>
              <w:rPr>
                <w:rFonts w:hint="eastAsia" w:ascii="Times New Roman" w:hAnsi="Times New Roman" w:eastAsia="宋体" w:cs="Times New Roman"/>
                <w:color w:val="auto"/>
                <w:sz w:val="18"/>
                <w:szCs w:val="18"/>
                <w:lang w:eastAsia="zh-CN"/>
              </w:rPr>
              <w:t>m</w:t>
            </w:r>
            <w:r>
              <w:rPr>
                <w:rFonts w:hint="eastAsia" w:ascii="Times New Roman" w:hAnsi="Times New Roman" w:eastAsia="宋体" w:cs="Times New Roman"/>
                <w:color w:val="auto"/>
                <w:sz w:val="18"/>
                <w:szCs w:val="18"/>
                <w:vertAlign w:val="superscript"/>
                <w:lang w:eastAsia="zh-CN"/>
              </w:rPr>
              <w:t>3</w:t>
            </w:r>
            <w:r>
              <w:rPr>
                <w:rFonts w:ascii="Times New Roman" w:hAnsi="Times New Roman" w:eastAsia="宋体" w:cs="Times New Roman"/>
                <w:color w:val="auto"/>
                <w:sz w:val="18"/>
                <w:szCs w:val="18"/>
                <w:lang w:eastAsia="en-US"/>
              </w:rPr>
              <w:t>）</w:t>
            </w:r>
          </w:p>
        </w:tc>
        <w:tc>
          <w:tcPr>
            <w:tcW w:w="596" w:type="pct"/>
            <w:tcBorders>
              <w:top w:val="single" w:color="auto" w:sz="4" w:space="0"/>
              <w:left w:val="single" w:color="auto" w:sz="4" w:space="0"/>
              <w:bottom w:val="single" w:color="auto" w:sz="4" w:space="0"/>
              <w:right w:val="single" w:color="auto" w:sz="4" w:space="0"/>
            </w:tcBorders>
            <w:shd w:val="clear" w:color="auto" w:fill="auto"/>
            <w:vAlign w:val="center"/>
          </w:tcPr>
          <w:p w14:paraId="50321D4E">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11.4</w:t>
            </w:r>
          </w:p>
        </w:tc>
        <w:tc>
          <w:tcPr>
            <w:tcW w:w="595" w:type="pct"/>
            <w:tcBorders>
              <w:top w:val="single" w:color="auto" w:sz="4" w:space="0"/>
              <w:left w:val="single" w:color="auto" w:sz="4" w:space="0"/>
              <w:bottom w:val="single" w:color="auto" w:sz="4" w:space="0"/>
              <w:right w:val="single" w:color="auto" w:sz="4" w:space="0"/>
            </w:tcBorders>
            <w:shd w:val="clear" w:color="auto" w:fill="auto"/>
            <w:vAlign w:val="center"/>
          </w:tcPr>
          <w:p w14:paraId="28C917C1">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10.8</w:t>
            </w:r>
          </w:p>
        </w:tc>
        <w:tc>
          <w:tcPr>
            <w:tcW w:w="653" w:type="pct"/>
            <w:tcBorders>
              <w:top w:val="single" w:color="auto" w:sz="4" w:space="0"/>
              <w:left w:val="single" w:color="auto" w:sz="4" w:space="0"/>
              <w:bottom w:val="single" w:color="auto" w:sz="4" w:space="0"/>
              <w:right w:val="single" w:color="auto" w:sz="4" w:space="0"/>
            </w:tcBorders>
            <w:shd w:val="clear" w:color="auto" w:fill="auto"/>
            <w:vAlign w:val="center"/>
          </w:tcPr>
          <w:p w14:paraId="2028E63B">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10.5</w:t>
            </w:r>
          </w:p>
        </w:tc>
        <w:tc>
          <w:tcPr>
            <w:tcW w:w="730" w:type="pct"/>
            <w:tcBorders>
              <w:top w:val="single" w:color="auto" w:sz="4" w:space="0"/>
              <w:left w:val="single" w:color="auto" w:sz="4" w:space="0"/>
              <w:bottom w:val="single" w:color="auto" w:sz="4" w:space="0"/>
              <w:right w:val="single" w:color="auto" w:sz="4" w:space="0"/>
            </w:tcBorders>
            <w:shd w:val="clear" w:color="auto" w:fill="auto"/>
            <w:vAlign w:val="center"/>
          </w:tcPr>
          <w:p w14:paraId="520AB9A8">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30</w:t>
            </w:r>
          </w:p>
        </w:tc>
      </w:tr>
      <w:tr w14:paraId="2D740A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79" w:type="pct"/>
            <w:vMerge w:val="continue"/>
            <w:tcBorders>
              <w:left w:val="single" w:color="auto" w:sz="4" w:space="0"/>
              <w:right w:val="single" w:color="auto" w:sz="4" w:space="0"/>
            </w:tcBorders>
            <w:vAlign w:val="center"/>
          </w:tcPr>
          <w:p w14:paraId="4DA582A6">
            <w:pPr>
              <w:jc w:val="center"/>
              <w:rPr>
                <w:rFonts w:ascii="Times New Roman" w:hAnsi="Times New Roman" w:eastAsia="宋体" w:cs="Times New Roman"/>
                <w:color w:val="auto"/>
                <w:szCs w:val="21"/>
                <w:lang w:eastAsia="en-US"/>
              </w:rPr>
            </w:pPr>
          </w:p>
        </w:tc>
        <w:tc>
          <w:tcPr>
            <w:tcW w:w="724" w:type="pct"/>
            <w:vMerge w:val="continue"/>
            <w:tcBorders>
              <w:left w:val="single" w:color="auto" w:sz="4" w:space="0"/>
              <w:bottom w:val="single" w:color="auto" w:sz="4" w:space="0"/>
              <w:right w:val="single" w:color="auto" w:sz="4" w:space="0"/>
            </w:tcBorders>
            <w:vAlign w:val="center"/>
          </w:tcPr>
          <w:p w14:paraId="041099C6">
            <w:pPr>
              <w:jc w:val="center"/>
              <w:rPr>
                <w:rFonts w:hint="eastAsia" w:ascii="Times New Roman" w:hAnsi="Times New Roman" w:eastAsia="宋体" w:cs="Times New Roman"/>
                <w:color w:val="auto"/>
                <w:szCs w:val="21"/>
                <w:lang w:val="en-US" w:eastAsia="zh-CN"/>
              </w:rPr>
            </w:pPr>
          </w:p>
        </w:tc>
        <w:tc>
          <w:tcPr>
            <w:tcW w:w="1320" w:type="pct"/>
            <w:tcBorders>
              <w:top w:val="single" w:color="auto" w:sz="4" w:space="0"/>
              <w:left w:val="single" w:color="auto" w:sz="4" w:space="0"/>
              <w:bottom w:val="single" w:color="auto" w:sz="4" w:space="0"/>
              <w:right w:val="single" w:color="auto" w:sz="4" w:space="0"/>
            </w:tcBorders>
            <w:shd w:val="clear" w:color="auto" w:fill="auto"/>
            <w:vAlign w:val="center"/>
          </w:tcPr>
          <w:p w14:paraId="300E6600">
            <w:pPr>
              <w:jc w:val="center"/>
              <w:rPr>
                <w:rFonts w:hint="eastAsia" w:ascii="Times New Roman" w:hAnsi="Times New Roman" w:eastAsia="宋体" w:cs="Times New Roman"/>
                <w:color w:val="auto"/>
                <w:kern w:val="2"/>
                <w:sz w:val="18"/>
                <w:szCs w:val="18"/>
                <w:lang w:val="en-US" w:eastAsia="zh-CN" w:bidi="ar-SA"/>
              </w:rPr>
            </w:pPr>
            <w:r>
              <w:rPr>
                <w:rFonts w:ascii="Times New Roman" w:hAnsi="Times New Roman" w:eastAsia="宋体" w:cs="Times New Roman"/>
                <w:color w:val="auto"/>
                <w:sz w:val="18"/>
                <w:szCs w:val="18"/>
                <w:lang w:eastAsia="en-US"/>
              </w:rPr>
              <w:t>排放速率（kg/h）</w:t>
            </w:r>
          </w:p>
        </w:tc>
        <w:tc>
          <w:tcPr>
            <w:tcW w:w="596" w:type="pct"/>
            <w:tcBorders>
              <w:top w:val="single" w:color="auto" w:sz="4" w:space="0"/>
              <w:left w:val="single" w:color="auto" w:sz="4" w:space="0"/>
              <w:bottom w:val="single" w:color="auto" w:sz="4" w:space="0"/>
              <w:right w:val="single" w:color="auto" w:sz="4" w:space="0"/>
            </w:tcBorders>
            <w:shd w:val="clear" w:color="auto" w:fill="auto"/>
            <w:vAlign w:val="center"/>
          </w:tcPr>
          <w:p w14:paraId="131B9687">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0.039</w:t>
            </w:r>
          </w:p>
        </w:tc>
        <w:tc>
          <w:tcPr>
            <w:tcW w:w="595" w:type="pct"/>
            <w:tcBorders>
              <w:top w:val="single" w:color="auto" w:sz="4" w:space="0"/>
              <w:left w:val="single" w:color="auto" w:sz="4" w:space="0"/>
              <w:bottom w:val="single" w:color="auto" w:sz="4" w:space="0"/>
              <w:right w:val="single" w:color="auto" w:sz="4" w:space="0"/>
            </w:tcBorders>
            <w:shd w:val="clear" w:color="auto" w:fill="auto"/>
            <w:vAlign w:val="center"/>
          </w:tcPr>
          <w:p w14:paraId="0E85EA34">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0.037</w:t>
            </w:r>
          </w:p>
        </w:tc>
        <w:tc>
          <w:tcPr>
            <w:tcW w:w="653" w:type="pct"/>
            <w:tcBorders>
              <w:top w:val="single" w:color="auto" w:sz="4" w:space="0"/>
              <w:left w:val="single" w:color="auto" w:sz="4" w:space="0"/>
              <w:bottom w:val="single" w:color="auto" w:sz="4" w:space="0"/>
              <w:right w:val="single" w:color="auto" w:sz="4" w:space="0"/>
            </w:tcBorders>
            <w:shd w:val="clear" w:color="auto" w:fill="auto"/>
            <w:vAlign w:val="center"/>
          </w:tcPr>
          <w:p w14:paraId="5EFBE876">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0.036</w:t>
            </w:r>
          </w:p>
        </w:tc>
        <w:tc>
          <w:tcPr>
            <w:tcW w:w="730" w:type="pct"/>
            <w:tcBorders>
              <w:top w:val="single" w:color="auto" w:sz="4" w:space="0"/>
              <w:left w:val="single" w:color="auto" w:sz="4" w:space="0"/>
              <w:bottom w:val="single" w:color="auto" w:sz="4" w:space="0"/>
              <w:right w:val="single" w:color="auto" w:sz="4" w:space="0"/>
            </w:tcBorders>
            <w:shd w:val="clear" w:color="auto" w:fill="auto"/>
            <w:vAlign w:val="center"/>
          </w:tcPr>
          <w:p w14:paraId="1A14A77A">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w:t>
            </w:r>
          </w:p>
        </w:tc>
      </w:tr>
      <w:tr w14:paraId="1A388C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79" w:type="pct"/>
            <w:vMerge w:val="restart"/>
            <w:tcBorders>
              <w:left w:val="single" w:color="auto" w:sz="4" w:space="0"/>
              <w:right w:val="single" w:color="auto" w:sz="4" w:space="0"/>
            </w:tcBorders>
            <w:shd w:val="clear" w:color="auto" w:fill="auto"/>
            <w:vAlign w:val="center"/>
          </w:tcPr>
          <w:p w14:paraId="0D048C1D">
            <w:pPr>
              <w:jc w:val="center"/>
              <w:rPr>
                <w:rFonts w:hint="eastAsia" w:ascii="Times New Roman" w:hAnsi="Times New Roman" w:eastAsia="宋体" w:cs="Times New Roman"/>
                <w:b/>
                <w:bCs/>
                <w:color w:val="auto"/>
                <w:kern w:val="2"/>
                <w:sz w:val="18"/>
                <w:szCs w:val="18"/>
                <w:lang w:val="en-US" w:eastAsia="en-US" w:bidi="ar-SA"/>
              </w:rPr>
            </w:pPr>
            <w:r>
              <w:rPr>
                <w:rFonts w:ascii="Times New Roman" w:hAnsi="Times New Roman" w:eastAsia="宋体" w:cs="Times New Roman"/>
                <w:b/>
                <w:bCs/>
                <w:color w:val="auto"/>
                <w:sz w:val="18"/>
                <w:szCs w:val="18"/>
                <w:lang w:eastAsia="en-US"/>
              </w:rPr>
              <w:t>采样点位</w:t>
            </w:r>
          </w:p>
        </w:tc>
        <w:tc>
          <w:tcPr>
            <w:tcW w:w="2045" w:type="pct"/>
            <w:gridSpan w:val="2"/>
            <w:vMerge w:val="restart"/>
            <w:tcBorders>
              <w:top w:val="single" w:color="auto" w:sz="4" w:space="0"/>
              <w:left w:val="single" w:color="auto" w:sz="4" w:space="0"/>
              <w:right w:val="single" w:color="auto" w:sz="4" w:space="0"/>
            </w:tcBorders>
            <w:shd w:val="clear" w:color="auto" w:fill="auto"/>
            <w:vAlign w:val="center"/>
          </w:tcPr>
          <w:p w14:paraId="67C07E40">
            <w:pPr>
              <w:jc w:val="center"/>
              <w:rPr>
                <w:rFonts w:hint="eastAsia" w:ascii="Times New Roman" w:hAnsi="Times New Roman" w:eastAsia="宋体" w:cs="Times New Roman"/>
                <w:color w:val="auto"/>
                <w:kern w:val="2"/>
                <w:sz w:val="18"/>
                <w:szCs w:val="18"/>
                <w:lang w:val="en-US" w:eastAsia="zh-CN" w:bidi="ar-SA"/>
              </w:rPr>
            </w:pPr>
            <w:r>
              <w:rPr>
                <w:rFonts w:ascii="Times New Roman" w:hAnsi="Times New Roman" w:eastAsia="宋体" w:cs="Times New Roman"/>
                <w:b/>
                <w:bCs/>
                <w:color w:val="auto"/>
                <w:sz w:val="18"/>
                <w:szCs w:val="18"/>
                <w:lang w:eastAsia="en-US"/>
              </w:rPr>
              <w:t>检测项目</w:t>
            </w:r>
          </w:p>
        </w:tc>
        <w:tc>
          <w:tcPr>
            <w:tcW w:w="2575" w:type="pct"/>
            <w:gridSpan w:val="4"/>
            <w:tcBorders>
              <w:top w:val="single" w:color="auto" w:sz="4" w:space="0"/>
              <w:left w:val="single" w:color="auto" w:sz="4" w:space="0"/>
              <w:bottom w:val="single" w:color="auto" w:sz="4" w:space="0"/>
              <w:right w:val="single" w:color="auto" w:sz="4" w:space="0"/>
            </w:tcBorders>
            <w:shd w:val="clear" w:color="auto" w:fill="auto"/>
            <w:vAlign w:val="center"/>
          </w:tcPr>
          <w:p w14:paraId="1F307025">
            <w:pPr>
              <w:jc w:val="center"/>
              <w:rPr>
                <w:rFonts w:hint="eastAsia" w:ascii="Times New Roman" w:hAnsi="Times New Roman" w:eastAsia="宋体" w:cs="Times New Roman"/>
                <w:color w:val="auto"/>
                <w:kern w:val="2"/>
                <w:sz w:val="21"/>
                <w:szCs w:val="21"/>
                <w:lang w:val="en-US" w:eastAsia="zh-CN" w:bidi="ar-SA"/>
              </w:rPr>
            </w:pPr>
            <w:r>
              <w:rPr>
                <w:rFonts w:ascii="Times New Roman" w:hAnsi="Times New Roman" w:eastAsia="宋体" w:cs="Times New Roman"/>
                <w:b/>
                <w:bCs/>
                <w:color w:val="auto"/>
                <w:sz w:val="18"/>
                <w:szCs w:val="18"/>
                <w:lang w:eastAsia="en-US"/>
              </w:rPr>
              <w:t>采样时间及检测结果</w:t>
            </w:r>
          </w:p>
        </w:tc>
      </w:tr>
      <w:tr w14:paraId="12B312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79" w:type="pct"/>
            <w:vMerge w:val="continue"/>
            <w:tcBorders>
              <w:left w:val="single" w:color="auto" w:sz="4" w:space="0"/>
              <w:right w:val="single" w:color="auto" w:sz="4" w:space="0"/>
            </w:tcBorders>
            <w:vAlign w:val="center"/>
          </w:tcPr>
          <w:p w14:paraId="04F42F9C">
            <w:pPr>
              <w:jc w:val="center"/>
              <w:rPr>
                <w:rFonts w:ascii="Times New Roman" w:hAnsi="Times New Roman" w:eastAsia="宋体" w:cs="Times New Roman"/>
                <w:color w:val="auto"/>
                <w:szCs w:val="21"/>
                <w:lang w:eastAsia="en-US"/>
              </w:rPr>
            </w:pPr>
          </w:p>
        </w:tc>
        <w:tc>
          <w:tcPr>
            <w:tcW w:w="2045" w:type="pct"/>
            <w:gridSpan w:val="2"/>
            <w:vMerge w:val="continue"/>
            <w:tcBorders>
              <w:left w:val="single" w:color="auto" w:sz="4" w:space="0"/>
              <w:right w:val="single" w:color="auto" w:sz="4" w:space="0"/>
            </w:tcBorders>
            <w:vAlign w:val="center"/>
          </w:tcPr>
          <w:p w14:paraId="0C697419">
            <w:pPr>
              <w:jc w:val="center"/>
              <w:rPr>
                <w:rFonts w:hint="eastAsia" w:ascii="Times New Roman" w:hAnsi="Times New Roman" w:eastAsia="宋体" w:cs="Times New Roman"/>
                <w:color w:val="auto"/>
                <w:kern w:val="2"/>
                <w:sz w:val="18"/>
                <w:szCs w:val="18"/>
                <w:lang w:val="en-US" w:eastAsia="zh-CN" w:bidi="ar-SA"/>
              </w:rPr>
            </w:pPr>
          </w:p>
        </w:tc>
        <w:tc>
          <w:tcPr>
            <w:tcW w:w="2575" w:type="pct"/>
            <w:gridSpan w:val="4"/>
            <w:tcBorders>
              <w:top w:val="single" w:color="auto" w:sz="4" w:space="0"/>
              <w:left w:val="single" w:color="auto" w:sz="4" w:space="0"/>
              <w:bottom w:val="single" w:color="auto" w:sz="4" w:space="0"/>
              <w:right w:val="single" w:color="auto" w:sz="4" w:space="0"/>
            </w:tcBorders>
            <w:shd w:val="clear" w:color="auto" w:fill="auto"/>
            <w:vAlign w:val="center"/>
          </w:tcPr>
          <w:p w14:paraId="417E6A41">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b/>
                <w:bCs/>
                <w:color w:val="auto"/>
                <w:sz w:val="18"/>
                <w:szCs w:val="18"/>
                <w:lang w:val="en-US" w:eastAsia="zh-CN"/>
              </w:rPr>
              <w:t>2024.2.28</w:t>
            </w:r>
          </w:p>
        </w:tc>
      </w:tr>
      <w:tr w14:paraId="039409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79" w:type="pct"/>
            <w:vMerge w:val="continue"/>
            <w:tcBorders>
              <w:left w:val="single" w:color="auto" w:sz="4" w:space="0"/>
              <w:right w:val="single" w:color="auto" w:sz="4" w:space="0"/>
            </w:tcBorders>
            <w:vAlign w:val="center"/>
          </w:tcPr>
          <w:p w14:paraId="74FDADB7">
            <w:pPr>
              <w:jc w:val="center"/>
              <w:rPr>
                <w:rFonts w:ascii="Times New Roman" w:hAnsi="Times New Roman" w:eastAsia="宋体" w:cs="Times New Roman"/>
                <w:color w:val="auto"/>
                <w:szCs w:val="21"/>
                <w:lang w:eastAsia="en-US"/>
              </w:rPr>
            </w:pPr>
          </w:p>
        </w:tc>
        <w:tc>
          <w:tcPr>
            <w:tcW w:w="2045" w:type="pct"/>
            <w:gridSpan w:val="2"/>
            <w:vMerge w:val="continue"/>
            <w:tcBorders>
              <w:left w:val="single" w:color="auto" w:sz="4" w:space="0"/>
              <w:bottom w:val="single" w:color="auto" w:sz="4" w:space="0"/>
              <w:right w:val="single" w:color="auto" w:sz="4" w:space="0"/>
            </w:tcBorders>
            <w:shd w:val="clear" w:color="auto" w:fill="auto"/>
            <w:vAlign w:val="center"/>
          </w:tcPr>
          <w:p w14:paraId="1FE33BC2">
            <w:pPr>
              <w:jc w:val="center"/>
              <w:rPr>
                <w:rFonts w:hint="eastAsia" w:ascii="Times New Roman" w:hAnsi="Times New Roman" w:eastAsia="宋体" w:cs="Times New Roman"/>
                <w:b/>
                <w:bCs/>
                <w:color w:val="auto"/>
                <w:kern w:val="2"/>
                <w:sz w:val="18"/>
                <w:szCs w:val="18"/>
                <w:lang w:val="en-US" w:eastAsia="zh-CN" w:bidi="ar-SA"/>
              </w:rPr>
            </w:pPr>
          </w:p>
        </w:tc>
        <w:tc>
          <w:tcPr>
            <w:tcW w:w="596" w:type="pct"/>
            <w:tcBorders>
              <w:top w:val="single" w:color="auto" w:sz="4" w:space="0"/>
              <w:left w:val="single" w:color="auto" w:sz="4" w:space="0"/>
              <w:bottom w:val="single" w:color="auto" w:sz="4" w:space="0"/>
              <w:right w:val="single" w:color="auto" w:sz="4" w:space="0"/>
            </w:tcBorders>
            <w:shd w:val="clear" w:color="auto" w:fill="auto"/>
            <w:vAlign w:val="center"/>
          </w:tcPr>
          <w:p w14:paraId="1D66BF27">
            <w:pPr>
              <w:jc w:val="center"/>
              <w:rPr>
                <w:rFonts w:hint="eastAsia" w:ascii="Times New Roman" w:hAnsi="Times New Roman" w:eastAsia="宋体" w:cs="Times New Roman"/>
                <w:b/>
                <w:bCs/>
                <w:color w:val="auto"/>
                <w:kern w:val="2"/>
                <w:sz w:val="18"/>
                <w:szCs w:val="18"/>
                <w:lang w:val="en-US" w:eastAsia="zh-CN" w:bidi="ar-SA"/>
              </w:rPr>
            </w:pPr>
            <w:r>
              <w:rPr>
                <w:rFonts w:ascii="Times New Roman" w:hAnsi="Times New Roman" w:eastAsia="宋体" w:cs="Times New Roman"/>
                <w:b/>
                <w:bCs/>
                <w:color w:val="auto"/>
                <w:sz w:val="18"/>
                <w:szCs w:val="18"/>
                <w:lang w:eastAsia="en-US"/>
              </w:rPr>
              <w:t>第一次</w:t>
            </w:r>
          </w:p>
        </w:tc>
        <w:tc>
          <w:tcPr>
            <w:tcW w:w="595" w:type="pct"/>
            <w:tcBorders>
              <w:top w:val="single" w:color="auto" w:sz="4" w:space="0"/>
              <w:left w:val="single" w:color="auto" w:sz="4" w:space="0"/>
              <w:bottom w:val="single" w:color="auto" w:sz="4" w:space="0"/>
              <w:right w:val="single" w:color="auto" w:sz="4" w:space="0"/>
            </w:tcBorders>
            <w:shd w:val="clear" w:color="auto" w:fill="auto"/>
            <w:vAlign w:val="center"/>
          </w:tcPr>
          <w:p w14:paraId="0E404A67">
            <w:pPr>
              <w:jc w:val="center"/>
              <w:rPr>
                <w:rFonts w:hint="eastAsia" w:ascii="Times New Roman" w:hAnsi="Times New Roman" w:eastAsia="宋体" w:cs="Times New Roman"/>
                <w:b/>
                <w:bCs/>
                <w:color w:val="auto"/>
                <w:kern w:val="2"/>
                <w:sz w:val="18"/>
                <w:szCs w:val="18"/>
                <w:lang w:val="en-US" w:eastAsia="zh-CN" w:bidi="ar-SA"/>
              </w:rPr>
            </w:pPr>
            <w:r>
              <w:rPr>
                <w:rFonts w:ascii="Times New Roman" w:hAnsi="Times New Roman" w:eastAsia="宋体" w:cs="Times New Roman"/>
                <w:b/>
                <w:bCs/>
                <w:color w:val="auto"/>
                <w:sz w:val="18"/>
                <w:szCs w:val="18"/>
                <w:lang w:eastAsia="en-US"/>
              </w:rPr>
              <w:t>第二次</w:t>
            </w:r>
          </w:p>
        </w:tc>
        <w:tc>
          <w:tcPr>
            <w:tcW w:w="653" w:type="pct"/>
            <w:tcBorders>
              <w:top w:val="single" w:color="auto" w:sz="4" w:space="0"/>
              <w:left w:val="single" w:color="auto" w:sz="4" w:space="0"/>
              <w:bottom w:val="single" w:color="auto" w:sz="4" w:space="0"/>
              <w:right w:val="single" w:color="auto" w:sz="4" w:space="0"/>
            </w:tcBorders>
            <w:shd w:val="clear" w:color="auto" w:fill="auto"/>
            <w:vAlign w:val="center"/>
          </w:tcPr>
          <w:p w14:paraId="0483C6B5">
            <w:pPr>
              <w:jc w:val="center"/>
              <w:rPr>
                <w:rFonts w:hint="eastAsia" w:ascii="Times New Roman" w:hAnsi="Times New Roman" w:eastAsia="宋体" w:cs="Times New Roman"/>
                <w:b/>
                <w:bCs/>
                <w:color w:val="auto"/>
                <w:kern w:val="2"/>
                <w:sz w:val="18"/>
                <w:szCs w:val="18"/>
                <w:lang w:val="en-US" w:eastAsia="zh-CN" w:bidi="ar-SA"/>
              </w:rPr>
            </w:pPr>
            <w:r>
              <w:rPr>
                <w:rFonts w:ascii="Times New Roman" w:hAnsi="Times New Roman" w:eastAsia="宋体" w:cs="Times New Roman"/>
                <w:b/>
                <w:bCs/>
                <w:color w:val="auto"/>
                <w:sz w:val="18"/>
                <w:szCs w:val="18"/>
                <w:lang w:eastAsia="en-US"/>
              </w:rPr>
              <w:t>第三次</w:t>
            </w:r>
          </w:p>
        </w:tc>
        <w:tc>
          <w:tcPr>
            <w:tcW w:w="730" w:type="pct"/>
            <w:tcBorders>
              <w:top w:val="single" w:color="auto" w:sz="4" w:space="0"/>
              <w:left w:val="single" w:color="auto" w:sz="4" w:space="0"/>
              <w:bottom w:val="single" w:color="auto" w:sz="4" w:space="0"/>
              <w:right w:val="single" w:color="auto" w:sz="4" w:space="0"/>
            </w:tcBorders>
            <w:shd w:val="clear" w:color="auto" w:fill="auto"/>
            <w:vAlign w:val="center"/>
          </w:tcPr>
          <w:p w14:paraId="1427CDE3">
            <w:pPr>
              <w:jc w:val="center"/>
              <w:rPr>
                <w:rFonts w:hint="eastAsia" w:ascii="Times New Roman" w:hAnsi="Times New Roman" w:eastAsia="宋体" w:cs="Times New Roman"/>
                <w:b/>
                <w:bCs/>
                <w:color w:val="auto"/>
                <w:kern w:val="2"/>
                <w:sz w:val="18"/>
                <w:szCs w:val="18"/>
                <w:lang w:val="en-US" w:eastAsia="zh-CN" w:bidi="ar-SA"/>
              </w:rPr>
            </w:pPr>
            <w:r>
              <w:rPr>
                <w:rFonts w:hint="eastAsia" w:ascii="Times New Roman" w:hAnsi="Times New Roman" w:eastAsia="宋体" w:cs="Times New Roman"/>
                <w:b/>
                <w:bCs/>
                <w:color w:val="auto"/>
                <w:sz w:val="18"/>
                <w:szCs w:val="18"/>
                <w:lang w:val="en-US" w:eastAsia="zh-CN"/>
              </w:rPr>
              <w:t>标准值</w:t>
            </w:r>
          </w:p>
        </w:tc>
      </w:tr>
      <w:tr w14:paraId="573E95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79" w:type="pct"/>
            <w:vMerge w:val="restart"/>
            <w:tcBorders>
              <w:left w:val="single" w:color="auto" w:sz="4" w:space="0"/>
              <w:right w:val="single" w:color="auto" w:sz="4" w:space="0"/>
            </w:tcBorders>
            <w:shd w:val="clear" w:color="auto" w:fill="auto"/>
            <w:vAlign w:val="center"/>
          </w:tcPr>
          <w:p w14:paraId="7B97B15A">
            <w:pPr>
              <w:jc w:val="center"/>
              <w:rPr>
                <w:rFonts w:ascii="Times New Roman" w:hAnsi="Times New Roman" w:eastAsia="宋体" w:cs="Times New Roman"/>
                <w:color w:val="auto"/>
                <w:kern w:val="2"/>
                <w:sz w:val="18"/>
                <w:szCs w:val="18"/>
                <w:lang w:val="en-US" w:eastAsia="en-US" w:bidi="ar-SA"/>
              </w:rPr>
            </w:pPr>
            <w:r>
              <w:rPr>
                <w:rFonts w:hint="eastAsia" w:ascii="Times New Roman" w:hAnsi="Times New Roman" w:eastAsia="宋体" w:cs="Times New Roman"/>
                <w:color w:val="auto"/>
                <w:sz w:val="18"/>
                <w:szCs w:val="18"/>
                <w:lang w:val="en-US" w:eastAsia="zh-CN"/>
              </w:rPr>
              <w:t>DA001车间废气处理设施出口</w:t>
            </w:r>
          </w:p>
        </w:tc>
        <w:tc>
          <w:tcPr>
            <w:tcW w:w="724" w:type="pct"/>
            <w:tcBorders>
              <w:top w:val="single" w:color="auto" w:sz="4" w:space="0"/>
              <w:left w:val="single" w:color="auto" w:sz="4" w:space="0"/>
              <w:bottom w:val="single" w:color="auto" w:sz="4" w:space="0"/>
              <w:right w:val="single" w:color="auto" w:sz="4" w:space="0"/>
            </w:tcBorders>
            <w:shd w:val="clear" w:color="auto" w:fill="auto"/>
            <w:vAlign w:val="center"/>
          </w:tcPr>
          <w:p w14:paraId="2ACDFB71">
            <w:pPr>
              <w:jc w:val="center"/>
              <w:rPr>
                <w:rFonts w:hint="eastAsia" w:ascii="Times New Roman" w:hAnsi="Times New Roman" w:eastAsia="宋体" w:cs="Times New Roman"/>
                <w:color w:val="auto"/>
                <w:kern w:val="2"/>
                <w:sz w:val="18"/>
                <w:szCs w:val="18"/>
                <w:lang w:val="en-US" w:eastAsia="zh-CN" w:bidi="ar-SA"/>
              </w:rPr>
            </w:pPr>
            <w:r>
              <w:rPr>
                <w:rFonts w:ascii="Times New Roman" w:hAnsi="Times New Roman" w:eastAsia="宋体" w:cs="Times New Roman"/>
                <w:color w:val="auto"/>
                <w:sz w:val="18"/>
                <w:szCs w:val="18"/>
                <w:lang w:eastAsia="en-US"/>
              </w:rPr>
              <w:t>烟气流量</w:t>
            </w:r>
          </w:p>
        </w:tc>
        <w:tc>
          <w:tcPr>
            <w:tcW w:w="1320" w:type="pct"/>
            <w:tcBorders>
              <w:top w:val="single" w:color="auto" w:sz="4" w:space="0"/>
              <w:left w:val="single" w:color="auto" w:sz="4" w:space="0"/>
              <w:bottom w:val="single" w:color="auto" w:sz="4" w:space="0"/>
              <w:right w:val="single" w:color="auto" w:sz="4" w:space="0"/>
            </w:tcBorders>
            <w:shd w:val="clear" w:color="auto" w:fill="auto"/>
            <w:vAlign w:val="center"/>
          </w:tcPr>
          <w:p w14:paraId="074C7860">
            <w:pPr>
              <w:jc w:val="center"/>
              <w:rPr>
                <w:rFonts w:hint="eastAsia" w:ascii="Times New Roman" w:hAnsi="Times New Roman" w:eastAsia="宋体" w:cs="Times New Roman"/>
                <w:color w:val="auto"/>
                <w:kern w:val="2"/>
                <w:sz w:val="18"/>
                <w:szCs w:val="18"/>
                <w:lang w:val="en-US" w:eastAsia="zh-CN" w:bidi="ar-SA"/>
              </w:rPr>
            </w:pPr>
            <w:r>
              <w:rPr>
                <w:rFonts w:ascii="Times New Roman" w:hAnsi="Times New Roman" w:eastAsia="宋体" w:cs="Times New Roman"/>
                <w:color w:val="auto"/>
                <w:sz w:val="18"/>
                <w:szCs w:val="18"/>
                <w:lang w:eastAsia="en-US"/>
              </w:rPr>
              <w:t>（N•</w:t>
            </w:r>
            <w:r>
              <w:rPr>
                <w:rFonts w:hint="eastAsia" w:ascii="Times New Roman" w:hAnsi="Times New Roman" w:eastAsia="宋体" w:cs="Times New Roman"/>
                <w:color w:val="auto"/>
                <w:sz w:val="18"/>
                <w:szCs w:val="18"/>
                <w:lang w:eastAsia="zh-CN"/>
              </w:rPr>
              <w:t>m</w:t>
            </w:r>
            <w:r>
              <w:rPr>
                <w:rFonts w:hint="eastAsia" w:ascii="Times New Roman" w:hAnsi="Times New Roman" w:eastAsia="宋体" w:cs="Times New Roman"/>
                <w:color w:val="auto"/>
                <w:sz w:val="18"/>
                <w:szCs w:val="18"/>
                <w:vertAlign w:val="superscript"/>
                <w:lang w:eastAsia="zh-CN"/>
              </w:rPr>
              <w:t>3</w:t>
            </w:r>
            <w:r>
              <w:rPr>
                <w:rFonts w:ascii="Times New Roman" w:hAnsi="Times New Roman" w:eastAsia="宋体" w:cs="Times New Roman"/>
                <w:color w:val="auto"/>
                <w:sz w:val="18"/>
                <w:szCs w:val="18"/>
                <w:lang w:eastAsia="en-US"/>
              </w:rPr>
              <w:t>/h）</w:t>
            </w:r>
          </w:p>
        </w:tc>
        <w:tc>
          <w:tcPr>
            <w:tcW w:w="596" w:type="pct"/>
            <w:tcBorders>
              <w:top w:val="single" w:color="auto" w:sz="4" w:space="0"/>
              <w:left w:val="single" w:color="auto" w:sz="4" w:space="0"/>
              <w:bottom w:val="single" w:color="auto" w:sz="4" w:space="0"/>
              <w:right w:val="single" w:color="auto" w:sz="4" w:space="0"/>
            </w:tcBorders>
            <w:shd w:val="clear" w:color="auto" w:fill="auto"/>
            <w:vAlign w:val="center"/>
          </w:tcPr>
          <w:p w14:paraId="083F539C">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23852</w:t>
            </w:r>
          </w:p>
        </w:tc>
        <w:tc>
          <w:tcPr>
            <w:tcW w:w="595" w:type="pct"/>
            <w:tcBorders>
              <w:top w:val="single" w:color="auto" w:sz="4" w:space="0"/>
              <w:left w:val="single" w:color="auto" w:sz="4" w:space="0"/>
              <w:bottom w:val="single" w:color="auto" w:sz="4" w:space="0"/>
              <w:right w:val="single" w:color="auto" w:sz="4" w:space="0"/>
            </w:tcBorders>
            <w:shd w:val="clear" w:color="auto" w:fill="auto"/>
            <w:vAlign w:val="center"/>
          </w:tcPr>
          <w:p w14:paraId="583DC870">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24179</w:t>
            </w:r>
          </w:p>
        </w:tc>
        <w:tc>
          <w:tcPr>
            <w:tcW w:w="653" w:type="pct"/>
            <w:tcBorders>
              <w:top w:val="single" w:color="auto" w:sz="4" w:space="0"/>
              <w:left w:val="single" w:color="auto" w:sz="4" w:space="0"/>
              <w:bottom w:val="single" w:color="auto" w:sz="4" w:space="0"/>
              <w:right w:val="single" w:color="auto" w:sz="4" w:space="0"/>
            </w:tcBorders>
            <w:shd w:val="clear" w:color="auto" w:fill="auto"/>
            <w:vAlign w:val="center"/>
          </w:tcPr>
          <w:p w14:paraId="5C376114">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24512</w:t>
            </w:r>
          </w:p>
        </w:tc>
        <w:tc>
          <w:tcPr>
            <w:tcW w:w="730" w:type="pct"/>
            <w:tcBorders>
              <w:top w:val="single" w:color="auto" w:sz="4" w:space="0"/>
              <w:left w:val="single" w:color="auto" w:sz="4" w:space="0"/>
              <w:bottom w:val="single" w:color="auto" w:sz="4" w:space="0"/>
              <w:right w:val="single" w:color="auto" w:sz="4" w:space="0"/>
            </w:tcBorders>
            <w:shd w:val="clear" w:color="auto" w:fill="auto"/>
            <w:vAlign w:val="center"/>
          </w:tcPr>
          <w:p w14:paraId="7C8C2465">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w:t>
            </w:r>
          </w:p>
        </w:tc>
      </w:tr>
      <w:tr w14:paraId="5E2024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79" w:type="pct"/>
            <w:vMerge w:val="continue"/>
            <w:tcBorders>
              <w:left w:val="single" w:color="auto" w:sz="4" w:space="0"/>
              <w:right w:val="single" w:color="auto" w:sz="4" w:space="0"/>
            </w:tcBorders>
            <w:vAlign w:val="center"/>
          </w:tcPr>
          <w:p w14:paraId="2CA2114C">
            <w:pPr>
              <w:jc w:val="center"/>
              <w:rPr>
                <w:rFonts w:ascii="Times New Roman" w:hAnsi="Times New Roman" w:eastAsia="宋体" w:cs="Times New Roman"/>
                <w:color w:val="auto"/>
                <w:szCs w:val="21"/>
                <w:lang w:eastAsia="en-US"/>
              </w:rPr>
            </w:pPr>
          </w:p>
        </w:tc>
        <w:tc>
          <w:tcPr>
            <w:tcW w:w="724" w:type="pct"/>
            <w:vMerge w:val="restart"/>
            <w:tcBorders>
              <w:top w:val="single" w:color="auto" w:sz="4" w:space="0"/>
              <w:left w:val="single" w:color="auto" w:sz="4" w:space="0"/>
              <w:right w:val="single" w:color="auto" w:sz="4" w:space="0"/>
            </w:tcBorders>
            <w:shd w:val="clear" w:color="auto" w:fill="auto"/>
            <w:vAlign w:val="center"/>
          </w:tcPr>
          <w:p w14:paraId="7DBE11E1">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颗粒物</w:t>
            </w:r>
          </w:p>
        </w:tc>
        <w:tc>
          <w:tcPr>
            <w:tcW w:w="1320" w:type="pct"/>
            <w:tcBorders>
              <w:top w:val="single" w:color="auto" w:sz="4" w:space="0"/>
              <w:left w:val="single" w:color="auto" w:sz="4" w:space="0"/>
              <w:bottom w:val="single" w:color="auto" w:sz="4" w:space="0"/>
              <w:right w:val="single" w:color="auto" w:sz="4" w:space="0"/>
            </w:tcBorders>
            <w:shd w:val="clear" w:color="auto" w:fill="auto"/>
            <w:vAlign w:val="center"/>
          </w:tcPr>
          <w:p w14:paraId="7D4C9191">
            <w:pPr>
              <w:jc w:val="center"/>
              <w:rPr>
                <w:rFonts w:hint="eastAsia" w:ascii="Times New Roman" w:hAnsi="Times New Roman" w:eastAsia="宋体" w:cs="Times New Roman"/>
                <w:color w:val="auto"/>
                <w:kern w:val="2"/>
                <w:sz w:val="18"/>
                <w:szCs w:val="18"/>
                <w:lang w:val="en-US" w:eastAsia="zh-CN" w:bidi="ar-SA"/>
              </w:rPr>
            </w:pPr>
            <w:r>
              <w:rPr>
                <w:rFonts w:ascii="Times New Roman" w:hAnsi="Times New Roman" w:eastAsia="宋体" w:cs="Times New Roman"/>
                <w:color w:val="auto"/>
                <w:sz w:val="18"/>
                <w:szCs w:val="18"/>
                <w:lang w:eastAsia="en-US"/>
              </w:rPr>
              <w:t>排放浓度（mg/</w:t>
            </w:r>
            <w:r>
              <w:rPr>
                <w:rFonts w:hint="eastAsia" w:ascii="Times New Roman" w:hAnsi="Times New Roman" w:eastAsia="宋体" w:cs="Times New Roman"/>
                <w:color w:val="auto"/>
                <w:sz w:val="18"/>
                <w:szCs w:val="18"/>
                <w:lang w:eastAsia="zh-CN"/>
              </w:rPr>
              <w:t>m</w:t>
            </w:r>
            <w:r>
              <w:rPr>
                <w:rFonts w:hint="eastAsia" w:ascii="Times New Roman" w:hAnsi="Times New Roman" w:eastAsia="宋体" w:cs="Times New Roman"/>
                <w:color w:val="auto"/>
                <w:sz w:val="18"/>
                <w:szCs w:val="18"/>
                <w:vertAlign w:val="superscript"/>
                <w:lang w:eastAsia="zh-CN"/>
              </w:rPr>
              <w:t>3</w:t>
            </w:r>
            <w:r>
              <w:rPr>
                <w:rFonts w:ascii="Times New Roman" w:hAnsi="Times New Roman" w:eastAsia="宋体" w:cs="Times New Roman"/>
                <w:color w:val="auto"/>
                <w:sz w:val="18"/>
                <w:szCs w:val="18"/>
                <w:lang w:eastAsia="en-US"/>
              </w:rPr>
              <w:t>）</w:t>
            </w:r>
          </w:p>
        </w:tc>
        <w:tc>
          <w:tcPr>
            <w:tcW w:w="596" w:type="pct"/>
            <w:tcBorders>
              <w:top w:val="single" w:color="auto" w:sz="4" w:space="0"/>
              <w:left w:val="single" w:color="auto" w:sz="4" w:space="0"/>
              <w:bottom w:val="single" w:color="auto" w:sz="4" w:space="0"/>
              <w:right w:val="single" w:color="auto" w:sz="4" w:space="0"/>
            </w:tcBorders>
            <w:shd w:val="clear" w:color="auto" w:fill="auto"/>
            <w:vAlign w:val="center"/>
          </w:tcPr>
          <w:p w14:paraId="0BFD518A">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9.4</w:t>
            </w:r>
          </w:p>
        </w:tc>
        <w:tc>
          <w:tcPr>
            <w:tcW w:w="595" w:type="pct"/>
            <w:tcBorders>
              <w:top w:val="single" w:color="auto" w:sz="4" w:space="0"/>
              <w:left w:val="single" w:color="auto" w:sz="4" w:space="0"/>
              <w:bottom w:val="single" w:color="auto" w:sz="4" w:space="0"/>
              <w:right w:val="single" w:color="auto" w:sz="4" w:space="0"/>
            </w:tcBorders>
            <w:shd w:val="clear" w:color="auto" w:fill="auto"/>
            <w:vAlign w:val="center"/>
          </w:tcPr>
          <w:p w14:paraId="2DA767C3">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8.1</w:t>
            </w:r>
          </w:p>
        </w:tc>
        <w:tc>
          <w:tcPr>
            <w:tcW w:w="653" w:type="pct"/>
            <w:tcBorders>
              <w:top w:val="single" w:color="auto" w:sz="4" w:space="0"/>
              <w:left w:val="single" w:color="auto" w:sz="4" w:space="0"/>
              <w:bottom w:val="single" w:color="auto" w:sz="4" w:space="0"/>
              <w:right w:val="single" w:color="auto" w:sz="4" w:space="0"/>
            </w:tcBorders>
            <w:shd w:val="clear" w:color="auto" w:fill="auto"/>
            <w:vAlign w:val="center"/>
          </w:tcPr>
          <w:p w14:paraId="3641F9BB">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8.7</w:t>
            </w:r>
          </w:p>
        </w:tc>
        <w:tc>
          <w:tcPr>
            <w:tcW w:w="730" w:type="pct"/>
            <w:tcBorders>
              <w:top w:val="single" w:color="auto" w:sz="4" w:space="0"/>
              <w:left w:val="single" w:color="auto" w:sz="4" w:space="0"/>
              <w:bottom w:val="single" w:color="auto" w:sz="4" w:space="0"/>
              <w:right w:val="single" w:color="auto" w:sz="4" w:space="0"/>
            </w:tcBorders>
            <w:shd w:val="clear" w:color="auto" w:fill="auto"/>
            <w:vAlign w:val="center"/>
          </w:tcPr>
          <w:p w14:paraId="34462841">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30</w:t>
            </w:r>
          </w:p>
        </w:tc>
      </w:tr>
      <w:tr w14:paraId="745EB9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79" w:type="pct"/>
            <w:vMerge w:val="continue"/>
            <w:tcBorders>
              <w:left w:val="single" w:color="auto" w:sz="4" w:space="0"/>
              <w:right w:val="single" w:color="auto" w:sz="4" w:space="0"/>
            </w:tcBorders>
            <w:vAlign w:val="center"/>
          </w:tcPr>
          <w:p w14:paraId="342BFC1B">
            <w:pPr>
              <w:jc w:val="center"/>
              <w:rPr>
                <w:rFonts w:ascii="Times New Roman" w:hAnsi="Times New Roman" w:eastAsia="宋体" w:cs="Times New Roman"/>
                <w:color w:val="auto"/>
                <w:szCs w:val="21"/>
                <w:lang w:eastAsia="en-US"/>
              </w:rPr>
            </w:pPr>
          </w:p>
        </w:tc>
        <w:tc>
          <w:tcPr>
            <w:tcW w:w="724" w:type="pct"/>
            <w:vMerge w:val="continue"/>
            <w:tcBorders>
              <w:left w:val="single" w:color="auto" w:sz="4" w:space="0"/>
              <w:bottom w:val="single" w:color="auto" w:sz="4" w:space="0"/>
              <w:right w:val="single" w:color="auto" w:sz="4" w:space="0"/>
            </w:tcBorders>
            <w:vAlign w:val="center"/>
          </w:tcPr>
          <w:p w14:paraId="302E8FF2">
            <w:pPr>
              <w:jc w:val="center"/>
              <w:rPr>
                <w:rFonts w:hint="eastAsia" w:ascii="Times New Roman" w:hAnsi="Times New Roman" w:eastAsia="宋体" w:cs="Times New Roman"/>
                <w:color w:val="auto"/>
                <w:szCs w:val="21"/>
                <w:lang w:val="en-US" w:eastAsia="zh-CN"/>
              </w:rPr>
            </w:pPr>
          </w:p>
        </w:tc>
        <w:tc>
          <w:tcPr>
            <w:tcW w:w="1320" w:type="pct"/>
            <w:tcBorders>
              <w:top w:val="single" w:color="auto" w:sz="4" w:space="0"/>
              <w:left w:val="single" w:color="auto" w:sz="4" w:space="0"/>
              <w:bottom w:val="single" w:color="auto" w:sz="4" w:space="0"/>
              <w:right w:val="single" w:color="auto" w:sz="4" w:space="0"/>
            </w:tcBorders>
            <w:shd w:val="clear" w:color="auto" w:fill="auto"/>
            <w:vAlign w:val="center"/>
          </w:tcPr>
          <w:p w14:paraId="3DDD1C77">
            <w:pPr>
              <w:jc w:val="center"/>
              <w:rPr>
                <w:rFonts w:hint="eastAsia" w:ascii="Times New Roman" w:hAnsi="Times New Roman" w:eastAsia="宋体" w:cs="Times New Roman"/>
                <w:color w:val="auto"/>
                <w:kern w:val="2"/>
                <w:sz w:val="18"/>
                <w:szCs w:val="18"/>
                <w:lang w:val="en-US" w:eastAsia="zh-CN" w:bidi="ar-SA"/>
              </w:rPr>
            </w:pPr>
            <w:r>
              <w:rPr>
                <w:rFonts w:ascii="Times New Roman" w:hAnsi="Times New Roman" w:eastAsia="宋体" w:cs="Times New Roman"/>
                <w:color w:val="auto"/>
                <w:sz w:val="18"/>
                <w:szCs w:val="18"/>
                <w:lang w:eastAsia="en-US"/>
              </w:rPr>
              <w:t>排放速率（kg/h）</w:t>
            </w:r>
          </w:p>
        </w:tc>
        <w:tc>
          <w:tcPr>
            <w:tcW w:w="596" w:type="pct"/>
            <w:tcBorders>
              <w:top w:val="single" w:color="auto" w:sz="4" w:space="0"/>
              <w:left w:val="single" w:color="auto" w:sz="4" w:space="0"/>
              <w:bottom w:val="single" w:color="auto" w:sz="4" w:space="0"/>
              <w:right w:val="single" w:color="auto" w:sz="4" w:space="0"/>
            </w:tcBorders>
            <w:shd w:val="clear" w:color="auto" w:fill="auto"/>
            <w:vAlign w:val="center"/>
          </w:tcPr>
          <w:p w14:paraId="32845940">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0.22</w:t>
            </w:r>
          </w:p>
        </w:tc>
        <w:tc>
          <w:tcPr>
            <w:tcW w:w="595" w:type="pct"/>
            <w:tcBorders>
              <w:top w:val="single" w:color="auto" w:sz="4" w:space="0"/>
              <w:left w:val="single" w:color="auto" w:sz="4" w:space="0"/>
              <w:bottom w:val="single" w:color="auto" w:sz="4" w:space="0"/>
              <w:right w:val="single" w:color="auto" w:sz="4" w:space="0"/>
            </w:tcBorders>
            <w:shd w:val="clear" w:color="auto" w:fill="auto"/>
            <w:vAlign w:val="center"/>
          </w:tcPr>
          <w:p w14:paraId="5879FA44">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0.20</w:t>
            </w:r>
          </w:p>
        </w:tc>
        <w:tc>
          <w:tcPr>
            <w:tcW w:w="653" w:type="pct"/>
            <w:tcBorders>
              <w:top w:val="single" w:color="auto" w:sz="4" w:space="0"/>
              <w:left w:val="single" w:color="auto" w:sz="4" w:space="0"/>
              <w:bottom w:val="single" w:color="auto" w:sz="4" w:space="0"/>
              <w:right w:val="single" w:color="auto" w:sz="4" w:space="0"/>
            </w:tcBorders>
            <w:shd w:val="clear" w:color="auto" w:fill="auto"/>
            <w:vAlign w:val="center"/>
          </w:tcPr>
          <w:p w14:paraId="439351AD">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0.21</w:t>
            </w:r>
          </w:p>
        </w:tc>
        <w:tc>
          <w:tcPr>
            <w:tcW w:w="730" w:type="pct"/>
            <w:tcBorders>
              <w:top w:val="single" w:color="auto" w:sz="4" w:space="0"/>
              <w:left w:val="single" w:color="auto" w:sz="4" w:space="0"/>
              <w:bottom w:val="single" w:color="auto" w:sz="4" w:space="0"/>
              <w:right w:val="single" w:color="auto" w:sz="4" w:space="0"/>
            </w:tcBorders>
            <w:shd w:val="clear" w:color="auto" w:fill="auto"/>
            <w:vAlign w:val="center"/>
          </w:tcPr>
          <w:p w14:paraId="1E96BA52">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w:t>
            </w:r>
          </w:p>
        </w:tc>
      </w:tr>
      <w:tr w14:paraId="739E83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79" w:type="pct"/>
            <w:vMerge w:val="continue"/>
            <w:tcBorders>
              <w:left w:val="single" w:color="auto" w:sz="4" w:space="0"/>
              <w:right w:val="single" w:color="auto" w:sz="4" w:space="0"/>
            </w:tcBorders>
            <w:vAlign w:val="center"/>
          </w:tcPr>
          <w:p w14:paraId="1906EBF2">
            <w:pPr>
              <w:jc w:val="center"/>
              <w:rPr>
                <w:rFonts w:ascii="Times New Roman" w:hAnsi="Times New Roman" w:eastAsia="宋体" w:cs="Times New Roman"/>
                <w:color w:val="auto"/>
                <w:szCs w:val="21"/>
                <w:lang w:eastAsia="en-US"/>
              </w:rPr>
            </w:pPr>
          </w:p>
        </w:tc>
        <w:tc>
          <w:tcPr>
            <w:tcW w:w="724" w:type="pct"/>
            <w:vMerge w:val="restart"/>
            <w:tcBorders>
              <w:top w:val="single" w:color="auto" w:sz="4" w:space="0"/>
              <w:left w:val="single" w:color="auto" w:sz="4" w:space="0"/>
              <w:right w:val="single" w:color="auto" w:sz="4" w:space="0"/>
            </w:tcBorders>
            <w:shd w:val="clear" w:color="auto" w:fill="auto"/>
            <w:vAlign w:val="center"/>
          </w:tcPr>
          <w:p w14:paraId="71CA2C9C">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TVOC</w:t>
            </w:r>
          </w:p>
        </w:tc>
        <w:tc>
          <w:tcPr>
            <w:tcW w:w="1320" w:type="pct"/>
            <w:tcBorders>
              <w:top w:val="single" w:color="auto" w:sz="4" w:space="0"/>
              <w:left w:val="single" w:color="auto" w:sz="4" w:space="0"/>
              <w:bottom w:val="single" w:color="auto" w:sz="4" w:space="0"/>
              <w:right w:val="single" w:color="auto" w:sz="4" w:space="0"/>
            </w:tcBorders>
            <w:shd w:val="clear" w:color="auto" w:fill="auto"/>
            <w:vAlign w:val="center"/>
          </w:tcPr>
          <w:p w14:paraId="2AB3C5D4">
            <w:pPr>
              <w:jc w:val="center"/>
              <w:rPr>
                <w:rFonts w:hint="eastAsia" w:ascii="Times New Roman" w:hAnsi="Times New Roman" w:eastAsia="宋体" w:cs="Times New Roman"/>
                <w:color w:val="auto"/>
                <w:kern w:val="2"/>
                <w:sz w:val="18"/>
                <w:szCs w:val="18"/>
                <w:lang w:val="en-US" w:eastAsia="zh-CN" w:bidi="ar-SA"/>
              </w:rPr>
            </w:pPr>
            <w:r>
              <w:rPr>
                <w:rFonts w:ascii="Times New Roman" w:hAnsi="Times New Roman" w:eastAsia="宋体" w:cs="Times New Roman"/>
                <w:color w:val="auto"/>
                <w:sz w:val="18"/>
                <w:szCs w:val="18"/>
                <w:lang w:eastAsia="en-US"/>
              </w:rPr>
              <w:t>排放浓度（mg/</w:t>
            </w:r>
            <w:r>
              <w:rPr>
                <w:rFonts w:hint="eastAsia" w:ascii="Times New Roman" w:hAnsi="Times New Roman" w:eastAsia="宋体" w:cs="Times New Roman"/>
                <w:color w:val="auto"/>
                <w:sz w:val="18"/>
                <w:szCs w:val="18"/>
                <w:lang w:eastAsia="zh-CN"/>
              </w:rPr>
              <w:t>m</w:t>
            </w:r>
            <w:r>
              <w:rPr>
                <w:rFonts w:hint="eastAsia" w:ascii="Times New Roman" w:hAnsi="Times New Roman" w:eastAsia="宋体" w:cs="Times New Roman"/>
                <w:color w:val="auto"/>
                <w:sz w:val="18"/>
                <w:szCs w:val="18"/>
                <w:vertAlign w:val="superscript"/>
                <w:lang w:eastAsia="zh-CN"/>
              </w:rPr>
              <w:t>3</w:t>
            </w:r>
            <w:r>
              <w:rPr>
                <w:rFonts w:ascii="Times New Roman" w:hAnsi="Times New Roman" w:eastAsia="宋体" w:cs="Times New Roman"/>
                <w:color w:val="auto"/>
                <w:sz w:val="18"/>
                <w:szCs w:val="18"/>
                <w:lang w:eastAsia="en-US"/>
              </w:rPr>
              <w:t>）</w:t>
            </w:r>
          </w:p>
        </w:tc>
        <w:tc>
          <w:tcPr>
            <w:tcW w:w="596" w:type="pct"/>
            <w:tcBorders>
              <w:top w:val="single" w:color="auto" w:sz="4" w:space="0"/>
              <w:left w:val="single" w:color="auto" w:sz="4" w:space="0"/>
              <w:bottom w:val="single" w:color="auto" w:sz="4" w:space="0"/>
              <w:right w:val="single" w:color="auto" w:sz="4" w:space="0"/>
            </w:tcBorders>
            <w:shd w:val="clear" w:color="auto" w:fill="auto"/>
            <w:vAlign w:val="center"/>
          </w:tcPr>
          <w:p w14:paraId="4C56C418">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0.546</w:t>
            </w:r>
          </w:p>
        </w:tc>
        <w:tc>
          <w:tcPr>
            <w:tcW w:w="595" w:type="pct"/>
            <w:tcBorders>
              <w:top w:val="single" w:color="auto" w:sz="4" w:space="0"/>
              <w:left w:val="single" w:color="auto" w:sz="4" w:space="0"/>
              <w:bottom w:val="single" w:color="auto" w:sz="4" w:space="0"/>
              <w:right w:val="single" w:color="auto" w:sz="4" w:space="0"/>
            </w:tcBorders>
            <w:shd w:val="clear" w:color="auto" w:fill="auto"/>
            <w:vAlign w:val="center"/>
          </w:tcPr>
          <w:p w14:paraId="4C4D7170">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0.955</w:t>
            </w:r>
          </w:p>
        </w:tc>
        <w:tc>
          <w:tcPr>
            <w:tcW w:w="653" w:type="pct"/>
            <w:tcBorders>
              <w:top w:val="single" w:color="auto" w:sz="4" w:space="0"/>
              <w:left w:val="single" w:color="auto" w:sz="4" w:space="0"/>
              <w:bottom w:val="single" w:color="auto" w:sz="4" w:space="0"/>
              <w:right w:val="single" w:color="auto" w:sz="4" w:space="0"/>
            </w:tcBorders>
            <w:shd w:val="clear" w:color="auto" w:fill="auto"/>
            <w:vAlign w:val="center"/>
          </w:tcPr>
          <w:p w14:paraId="698C966C">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1.49</w:t>
            </w:r>
          </w:p>
        </w:tc>
        <w:tc>
          <w:tcPr>
            <w:tcW w:w="730" w:type="pct"/>
            <w:tcBorders>
              <w:top w:val="single" w:color="auto" w:sz="4" w:space="0"/>
              <w:left w:val="single" w:color="auto" w:sz="4" w:space="0"/>
              <w:bottom w:val="single" w:color="auto" w:sz="4" w:space="0"/>
              <w:right w:val="single" w:color="auto" w:sz="4" w:space="0"/>
            </w:tcBorders>
            <w:shd w:val="clear" w:color="auto" w:fill="auto"/>
            <w:vAlign w:val="center"/>
          </w:tcPr>
          <w:p w14:paraId="492D29D0">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40</w:t>
            </w:r>
          </w:p>
        </w:tc>
      </w:tr>
      <w:tr w14:paraId="5C468F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79" w:type="pct"/>
            <w:vMerge w:val="continue"/>
            <w:tcBorders>
              <w:left w:val="single" w:color="auto" w:sz="4" w:space="0"/>
              <w:right w:val="single" w:color="auto" w:sz="4" w:space="0"/>
            </w:tcBorders>
            <w:vAlign w:val="center"/>
          </w:tcPr>
          <w:p w14:paraId="2BBB561C">
            <w:pPr>
              <w:jc w:val="center"/>
              <w:rPr>
                <w:rFonts w:ascii="Times New Roman" w:hAnsi="Times New Roman" w:eastAsia="宋体" w:cs="Times New Roman"/>
                <w:color w:val="auto"/>
                <w:szCs w:val="21"/>
                <w:lang w:eastAsia="en-US"/>
              </w:rPr>
            </w:pPr>
          </w:p>
        </w:tc>
        <w:tc>
          <w:tcPr>
            <w:tcW w:w="724" w:type="pct"/>
            <w:vMerge w:val="continue"/>
            <w:tcBorders>
              <w:left w:val="single" w:color="auto" w:sz="4" w:space="0"/>
              <w:bottom w:val="single" w:color="auto" w:sz="4" w:space="0"/>
              <w:right w:val="single" w:color="auto" w:sz="4" w:space="0"/>
            </w:tcBorders>
            <w:vAlign w:val="center"/>
          </w:tcPr>
          <w:p w14:paraId="684FC4BD">
            <w:pPr>
              <w:jc w:val="center"/>
              <w:rPr>
                <w:rFonts w:hint="eastAsia" w:ascii="Times New Roman" w:hAnsi="Times New Roman" w:eastAsia="宋体" w:cs="Times New Roman"/>
                <w:color w:val="auto"/>
                <w:szCs w:val="21"/>
                <w:lang w:val="en-US" w:eastAsia="zh-CN"/>
              </w:rPr>
            </w:pPr>
          </w:p>
        </w:tc>
        <w:tc>
          <w:tcPr>
            <w:tcW w:w="1320" w:type="pct"/>
            <w:tcBorders>
              <w:top w:val="single" w:color="auto" w:sz="4" w:space="0"/>
              <w:left w:val="single" w:color="auto" w:sz="4" w:space="0"/>
              <w:bottom w:val="single" w:color="auto" w:sz="4" w:space="0"/>
              <w:right w:val="single" w:color="auto" w:sz="4" w:space="0"/>
            </w:tcBorders>
            <w:shd w:val="clear" w:color="auto" w:fill="auto"/>
            <w:vAlign w:val="center"/>
          </w:tcPr>
          <w:p w14:paraId="3986E358">
            <w:pPr>
              <w:jc w:val="center"/>
              <w:rPr>
                <w:rFonts w:hint="eastAsia" w:ascii="Times New Roman" w:hAnsi="Times New Roman" w:eastAsia="宋体" w:cs="Times New Roman"/>
                <w:color w:val="auto"/>
                <w:kern w:val="2"/>
                <w:sz w:val="18"/>
                <w:szCs w:val="18"/>
                <w:lang w:val="en-US" w:eastAsia="zh-CN" w:bidi="ar-SA"/>
              </w:rPr>
            </w:pPr>
            <w:r>
              <w:rPr>
                <w:rFonts w:ascii="Times New Roman" w:hAnsi="Times New Roman" w:eastAsia="宋体" w:cs="Times New Roman"/>
                <w:color w:val="auto"/>
                <w:sz w:val="18"/>
                <w:szCs w:val="18"/>
                <w:lang w:eastAsia="en-US"/>
              </w:rPr>
              <w:t>排放速率（kg/h）</w:t>
            </w:r>
          </w:p>
        </w:tc>
        <w:tc>
          <w:tcPr>
            <w:tcW w:w="596" w:type="pct"/>
            <w:tcBorders>
              <w:top w:val="single" w:color="auto" w:sz="4" w:space="0"/>
              <w:left w:val="single" w:color="auto" w:sz="4" w:space="0"/>
              <w:bottom w:val="single" w:color="auto" w:sz="4" w:space="0"/>
              <w:right w:val="single" w:color="auto" w:sz="4" w:space="0"/>
            </w:tcBorders>
            <w:shd w:val="clear" w:color="auto" w:fill="auto"/>
            <w:vAlign w:val="center"/>
          </w:tcPr>
          <w:p w14:paraId="07894F97">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0.013</w:t>
            </w:r>
          </w:p>
        </w:tc>
        <w:tc>
          <w:tcPr>
            <w:tcW w:w="595" w:type="pct"/>
            <w:tcBorders>
              <w:top w:val="single" w:color="auto" w:sz="4" w:space="0"/>
              <w:left w:val="single" w:color="auto" w:sz="4" w:space="0"/>
              <w:bottom w:val="single" w:color="auto" w:sz="4" w:space="0"/>
              <w:right w:val="single" w:color="auto" w:sz="4" w:space="0"/>
            </w:tcBorders>
            <w:shd w:val="clear" w:color="auto" w:fill="auto"/>
            <w:vAlign w:val="center"/>
          </w:tcPr>
          <w:p w14:paraId="148F2CEC">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0.023</w:t>
            </w:r>
          </w:p>
        </w:tc>
        <w:tc>
          <w:tcPr>
            <w:tcW w:w="653" w:type="pct"/>
            <w:tcBorders>
              <w:top w:val="single" w:color="auto" w:sz="4" w:space="0"/>
              <w:left w:val="single" w:color="auto" w:sz="4" w:space="0"/>
              <w:bottom w:val="single" w:color="auto" w:sz="4" w:space="0"/>
              <w:right w:val="single" w:color="auto" w:sz="4" w:space="0"/>
            </w:tcBorders>
            <w:shd w:val="clear" w:color="auto" w:fill="auto"/>
            <w:vAlign w:val="center"/>
          </w:tcPr>
          <w:p w14:paraId="796A7687">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0.036</w:t>
            </w:r>
          </w:p>
        </w:tc>
        <w:tc>
          <w:tcPr>
            <w:tcW w:w="730" w:type="pct"/>
            <w:tcBorders>
              <w:top w:val="single" w:color="auto" w:sz="4" w:space="0"/>
              <w:left w:val="single" w:color="auto" w:sz="4" w:space="0"/>
              <w:bottom w:val="single" w:color="auto" w:sz="4" w:space="0"/>
              <w:right w:val="single" w:color="auto" w:sz="4" w:space="0"/>
            </w:tcBorders>
            <w:shd w:val="clear" w:color="auto" w:fill="auto"/>
            <w:vAlign w:val="center"/>
          </w:tcPr>
          <w:p w14:paraId="7D42307A">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w:t>
            </w:r>
          </w:p>
        </w:tc>
      </w:tr>
      <w:tr w14:paraId="57730B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79" w:type="pct"/>
            <w:vMerge w:val="continue"/>
            <w:tcBorders>
              <w:left w:val="single" w:color="auto" w:sz="4" w:space="0"/>
              <w:right w:val="single" w:color="auto" w:sz="4" w:space="0"/>
            </w:tcBorders>
            <w:vAlign w:val="center"/>
          </w:tcPr>
          <w:p w14:paraId="4A12B7A8">
            <w:pPr>
              <w:jc w:val="center"/>
              <w:rPr>
                <w:rFonts w:ascii="Times New Roman" w:hAnsi="Times New Roman" w:eastAsia="宋体" w:cs="Times New Roman"/>
                <w:color w:val="auto"/>
                <w:szCs w:val="21"/>
                <w:lang w:eastAsia="en-US"/>
              </w:rPr>
            </w:pPr>
          </w:p>
        </w:tc>
        <w:tc>
          <w:tcPr>
            <w:tcW w:w="724" w:type="pct"/>
            <w:vMerge w:val="restart"/>
            <w:tcBorders>
              <w:top w:val="single" w:color="auto" w:sz="4" w:space="0"/>
              <w:left w:val="single" w:color="auto" w:sz="4" w:space="0"/>
              <w:right w:val="single" w:color="auto" w:sz="4" w:space="0"/>
            </w:tcBorders>
            <w:shd w:val="clear" w:color="auto" w:fill="auto"/>
            <w:vAlign w:val="center"/>
          </w:tcPr>
          <w:p w14:paraId="14316BFB">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氨</w:t>
            </w:r>
          </w:p>
        </w:tc>
        <w:tc>
          <w:tcPr>
            <w:tcW w:w="1320" w:type="pct"/>
            <w:tcBorders>
              <w:top w:val="single" w:color="auto" w:sz="4" w:space="0"/>
              <w:left w:val="single" w:color="auto" w:sz="4" w:space="0"/>
              <w:bottom w:val="single" w:color="auto" w:sz="4" w:space="0"/>
              <w:right w:val="single" w:color="auto" w:sz="4" w:space="0"/>
            </w:tcBorders>
            <w:shd w:val="clear" w:color="auto" w:fill="auto"/>
            <w:vAlign w:val="center"/>
          </w:tcPr>
          <w:p w14:paraId="039B9473">
            <w:pPr>
              <w:jc w:val="center"/>
              <w:rPr>
                <w:rFonts w:hint="eastAsia" w:ascii="Times New Roman" w:hAnsi="Times New Roman" w:eastAsia="宋体" w:cs="Times New Roman"/>
                <w:color w:val="auto"/>
                <w:kern w:val="2"/>
                <w:sz w:val="18"/>
                <w:szCs w:val="18"/>
                <w:lang w:val="en-US" w:eastAsia="zh-CN" w:bidi="ar-SA"/>
              </w:rPr>
            </w:pPr>
            <w:r>
              <w:rPr>
                <w:rFonts w:ascii="Times New Roman" w:hAnsi="Times New Roman" w:eastAsia="宋体" w:cs="Times New Roman"/>
                <w:color w:val="auto"/>
                <w:sz w:val="18"/>
                <w:szCs w:val="18"/>
                <w:lang w:eastAsia="en-US"/>
              </w:rPr>
              <w:t>排放浓度（mg/</w:t>
            </w:r>
            <w:r>
              <w:rPr>
                <w:rFonts w:hint="eastAsia" w:ascii="Times New Roman" w:hAnsi="Times New Roman" w:eastAsia="宋体" w:cs="Times New Roman"/>
                <w:color w:val="auto"/>
                <w:sz w:val="18"/>
                <w:szCs w:val="18"/>
                <w:lang w:eastAsia="zh-CN"/>
              </w:rPr>
              <w:t>m</w:t>
            </w:r>
            <w:r>
              <w:rPr>
                <w:rFonts w:hint="eastAsia" w:ascii="Times New Roman" w:hAnsi="Times New Roman" w:eastAsia="宋体" w:cs="Times New Roman"/>
                <w:color w:val="auto"/>
                <w:sz w:val="18"/>
                <w:szCs w:val="18"/>
                <w:vertAlign w:val="superscript"/>
                <w:lang w:eastAsia="zh-CN"/>
              </w:rPr>
              <w:t>3</w:t>
            </w:r>
            <w:r>
              <w:rPr>
                <w:rFonts w:ascii="Times New Roman" w:hAnsi="Times New Roman" w:eastAsia="宋体" w:cs="Times New Roman"/>
                <w:color w:val="auto"/>
                <w:sz w:val="18"/>
                <w:szCs w:val="18"/>
                <w:lang w:eastAsia="en-US"/>
              </w:rPr>
              <w:t>）</w:t>
            </w:r>
          </w:p>
        </w:tc>
        <w:tc>
          <w:tcPr>
            <w:tcW w:w="596" w:type="pct"/>
            <w:tcBorders>
              <w:top w:val="single" w:color="auto" w:sz="4" w:space="0"/>
              <w:left w:val="single" w:color="auto" w:sz="4" w:space="0"/>
              <w:bottom w:val="single" w:color="auto" w:sz="4" w:space="0"/>
              <w:right w:val="single" w:color="auto" w:sz="4" w:space="0"/>
            </w:tcBorders>
            <w:shd w:val="clear" w:color="auto" w:fill="auto"/>
            <w:vAlign w:val="center"/>
          </w:tcPr>
          <w:p w14:paraId="257C6F2A">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1.02</w:t>
            </w:r>
          </w:p>
        </w:tc>
        <w:tc>
          <w:tcPr>
            <w:tcW w:w="595" w:type="pct"/>
            <w:tcBorders>
              <w:top w:val="single" w:color="auto" w:sz="4" w:space="0"/>
              <w:left w:val="single" w:color="auto" w:sz="4" w:space="0"/>
              <w:bottom w:val="single" w:color="auto" w:sz="4" w:space="0"/>
              <w:right w:val="single" w:color="auto" w:sz="4" w:space="0"/>
            </w:tcBorders>
            <w:shd w:val="clear" w:color="auto" w:fill="auto"/>
            <w:vAlign w:val="center"/>
          </w:tcPr>
          <w:p w14:paraId="234C7408">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0.92</w:t>
            </w:r>
          </w:p>
        </w:tc>
        <w:tc>
          <w:tcPr>
            <w:tcW w:w="653" w:type="pct"/>
            <w:tcBorders>
              <w:top w:val="single" w:color="auto" w:sz="4" w:space="0"/>
              <w:left w:val="single" w:color="auto" w:sz="4" w:space="0"/>
              <w:bottom w:val="single" w:color="auto" w:sz="4" w:space="0"/>
              <w:right w:val="single" w:color="auto" w:sz="4" w:space="0"/>
            </w:tcBorders>
            <w:shd w:val="clear" w:color="auto" w:fill="auto"/>
            <w:vAlign w:val="center"/>
          </w:tcPr>
          <w:p w14:paraId="7A8F9723">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0.95</w:t>
            </w:r>
          </w:p>
        </w:tc>
        <w:tc>
          <w:tcPr>
            <w:tcW w:w="730" w:type="pct"/>
            <w:tcBorders>
              <w:top w:val="single" w:color="auto" w:sz="4" w:space="0"/>
              <w:left w:val="single" w:color="auto" w:sz="4" w:space="0"/>
              <w:bottom w:val="single" w:color="auto" w:sz="4" w:space="0"/>
              <w:right w:val="single" w:color="auto" w:sz="4" w:space="0"/>
            </w:tcBorders>
            <w:shd w:val="clear" w:color="auto" w:fill="auto"/>
            <w:vAlign w:val="center"/>
          </w:tcPr>
          <w:p w14:paraId="42648E91">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30</w:t>
            </w:r>
          </w:p>
        </w:tc>
      </w:tr>
      <w:tr w14:paraId="6536A4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79" w:type="pct"/>
            <w:vMerge w:val="continue"/>
            <w:tcBorders>
              <w:left w:val="single" w:color="auto" w:sz="4" w:space="0"/>
              <w:right w:val="single" w:color="auto" w:sz="4" w:space="0"/>
            </w:tcBorders>
            <w:vAlign w:val="center"/>
          </w:tcPr>
          <w:p w14:paraId="4D12FC30">
            <w:pPr>
              <w:jc w:val="center"/>
              <w:rPr>
                <w:rFonts w:ascii="Times New Roman" w:hAnsi="Times New Roman" w:eastAsia="宋体" w:cs="Times New Roman"/>
                <w:color w:val="auto"/>
                <w:szCs w:val="21"/>
                <w:lang w:eastAsia="en-US"/>
              </w:rPr>
            </w:pPr>
          </w:p>
        </w:tc>
        <w:tc>
          <w:tcPr>
            <w:tcW w:w="724" w:type="pct"/>
            <w:vMerge w:val="continue"/>
            <w:tcBorders>
              <w:left w:val="single" w:color="auto" w:sz="4" w:space="0"/>
              <w:bottom w:val="single" w:color="auto" w:sz="4" w:space="0"/>
              <w:right w:val="single" w:color="auto" w:sz="4" w:space="0"/>
            </w:tcBorders>
            <w:vAlign w:val="center"/>
          </w:tcPr>
          <w:p w14:paraId="28D848FE">
            <w:pPr>
              <w:jc w:val="center"/>
              <w:rPr>
                <w:rFonts w:hint="eastAsia" w:ascii="Times New Roman" w:hAnsi="Times New Roman" w:eastAsia="宋体" w:cs="Times New Roman"/>
                <w:color w:val="auto"/>
                <w:szCs w:val="21"/>
                <w:lang w:val="en-US" w:eastAsia="zh-CN"/>
              </w:rPr>
            </w:pPr>
          </w:p>
        </w:tc>
        <w:tc>
          <w:tcPr>
            <w:tcW w:w="1320" w:type="pct"/>
            <w:tcBorders>
              <w:top w:val="single" w:color="auto" w:sz="4" w:space="0"/>
              <w:left w:val="single" w:color="auto" w:sz="4" w:space="0"/>
              <w:bottom w:val="single" w:color="auto" w:sz="4" w:space="0"/>
              <w:right w:val="single" w:color="auto" w:sz="4" w:space="0"/>
            </w:tcBorders>
            <w:shd w:val="clear" w:color="auto" w:fill="auto"/>
            <w:vAlign w:val="center"/>
          </w:tcPr>
          <w:p w14:paraId="5AC1A5F8">
            <w:pPr>
              <w:jc w:val="center"/>
              <w:rPr>
                <w:rFonts w:hint="eastAsia" w:ascii="Times New Roman" w:hAnsi="Times New Roman" w:eastAsia="宋体" w:cs="Times New Roman"/>
                <w:color w:val="auto"/>
                <w:kern w:val="2"/>
                <w:sz w:val="18"/>
                <w:szCs w:val="18"/>
                <w:lang w:val="en-US" w:eastAsia="zh-CN" w:bidi="ar-SA"/>
              </w:rPr>
            </w:pPr>
            <w:r>
              <w:rPr>
                <w:rFonts w:ascii="Times New Roman" w:hAnsi="Times New Roman" w:eastAsia="宋体" w:cs="Times New Roman"/>
                <w:color w:val="auto"/>
                <w:sz w:val="18"/>
                <w:szCs w:val="18"/>
                <w:lang w:eastAsia="en-US"/>
              </w:rPr>
              <w:t>排放速率（kg/h）</w:t>
            </w:r>
          </w:p>
        </w:tc>
        <w:tc>
          <w:tcPr>
            <w:tcW w:w="596" w:type="pct"/>
            <w:tcBorders>
              <w:top w:val="single" w:color="auto" w:sz="4" w:space="0"/>
              <w:left w:val="single" w:color="auto" w:sz="4" w:space="0"/>
              <w:bottom w:val="single" w:color="auto" w:sz="4" w:space="0"/>
              <w:right w:val="single" w:color="auto" w:sz="4" w:space="0"/>
            </w:tcBorders>
            <w:shd w:val="clear" w:color="auto" w:fill="auto"/>
            <w:vAlign w:val="center"/>
          </w:tcPr>
          <w:p w14:paraId="2ACC69DE">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0.024</w:t>
            </w:r>
          </w:p>
        </w:tc>
        <w:tc>
          <w:tcPr>
            <w:tcW w:w="595" w:type="pct"/>
            <w:tcBorders>
              <w:top w:val="single" w:color="auto" w:sz="4" w:space="0"/>
              <w:left w:val="single" w:color="auto" w:sz="4" w:space="0"/>
              <w:bottom w:val="single" w:color="auto" w:sz="4" w:space="0"/>
              <w:right w:val="single" w:color="auto" w:sz="4" w:space="0"/>
            </w:tcBorders>
            <w:shd w:val="clear" w:color="auto" w:fill="auto"/>
            <w:vAlign w:val="center"/>
          </w:tcPr>
          <w:p w14:paraId="06A45AAE">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0.022</w:t>
            </w:r>
          </w:p>
        </w:tc>
        <w:tc>
          <w:tcPr>
            <w:tcW w:w="653" w:type="pct"/>
            <w:tcBorders>
              <w:top w:val="single" w:color="auto" w:sz="4" w:space="0"/>
              <w:left w:val="single" w:color="auto" w:sz="4" w:space="0"/>
              <w:bottom w:val="single" w:color="auto" w:sz="4" w:space="0"/>
              <w:right w:val="single" w:color="auto" w:sz="4" w:space="0"/>
            </w:tcBorders>
            <w:shd w:val="clear" w:color="auto" w:fill="auto"/>
            <w:vAlign w:val="center"/>
          </w:tcPr>
          <w:p w14:paraId="70125CD8">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0.023</w:t>
            </w:r>
          </w:p>
        </w:tc>
        <w:tc>
          <w:tcPr>
            <w:tcW w:w="730" w:type="pct"/>
            <w:tcBorders>
              <w:top w:val="single" w:color="auto" w:sz="4" w:space="0"/>
              <w:left w:val="single" w:color="auto" w:sz="4" w:space="0"/>
              <w:bottom w:val="single" w:color="auto" w:sz="4" w:space="0"/>
              <w:right w:val="single" w:color="auto" w:sz="4" w:space="0"/>
            </w:tcBorders>
            <w:shd w:val="clear" w:color="auto" w:fill="auto"/>
            <w:vAlign w:val="center"/>
          </w:tcPr>
          <w:p w14:paraId="598B10B7">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w:t>
            </w:r>
          </w:p>
        </w:tc>
      </w:tr>
      <w:tr w14:paraId="315E49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79" w:type="pct"/>
            <w:vMerge w:val="continue"/>
            <w:tcBorders>
              <w:left w:val="single" w:color="auto" w:sz="4" w:space="0"/>
              <w:right w:val="single" w:color="auto" w:sz="4" w:space="0"/>
            </w:tcBorders>
            <w:vAlign w:val="center"/>
          </w:tcPr>
          <w:p w14:paraId="5D134C2F">
            <w:pPr>
              <w:jc w:val="center"/>
              <w:rPr>
                <w:rFonts w:ascii="Times New Roman" w:hAnsi="Times New Roman" w:eastAsia="宋体" w:cs="Times New Roman"/>
                <w:color w:val="auto"/>
                <w:szCs w:val="21"/>
                <w:lang w:eastAsia="en-US"/>
              </w:rPr>
            </w:pPr>
          </w:p>
        </w:tc>
        <w:tc>
          <w:tcPr>
            <w:tcW w:w="724" w:type="pct"/>
            <w:vMerge w:val="restart"/>
            <w:tcBorders>
              <w:top w:val="single" w:color="auto" w:sz="4" w:space="0"/>
              <w:left w:val="single" w:color="auto" w:sz="4" w:space="0"/>
              <w:right w:val="single" w:color="auto" w:sz="4" w:space="0"/>
            </w:tcBorders>
            <w:shd w:val="clear" w:color="auto" w:fill="auto"/>
            <w:vAlign w:val="center"/>
          </w:tcPr>
          <w:p w14:paraId="3CA17089">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硫化氢</w:t>
            </w:r>
          </w:p>
        </w:tc>
        <w:tc>
          <w:tcPr>
            <w:tcW w:w="1320" w:type="pct"/>
            <w:tcBorders>
              <w:top w:val="single" w:color="auto" w:sz="4" w:space="0"/>
              <w:left w:val="single" w:color="auto" w:sz="4" w:space="0"/>
              <w:bottom w:val="single" w:color="auto" w:sz="4" w:space="0"/>
              <w:right w:val="single" w:color="auto" w:sz="4" w:space="0"/>
            </w:tcBorders>
            <w:shd w:val="clear" w:color="auto" w:fill="auto"/>
            <w:vAlign w:val="center"/>
          </w:tcPr>
          <w:p w14:paraId="3556C0EA">
            <w:pPr>
              <w:jc w:val="center"/>
              <w:rPr>
                <w:rFonts w:hint="eastAsia" w:ascii="Times New Roman" w:hAnsi="Times New Roman" w:eastAsia="宋体" w:cs="Times New Roman"/>
                <w:color w:val="auto"/>
                <w:kern w:val="2"/>
                <w:sz w:val="18"/>
                <w:szCs w:val="18"/>
                <w:lang w:val="en-US" w:eastAsia="zh-CN" w:bidi="ar-SA"/>
              </w:rPr>
            </w:pPr>
            <w:r>
              <w:rPr>
                <w:rFonts w:ascii="Times New Roman" w:hAnsi="Times New Roman" w:eastAsia="宋体" w:cs="Times New Roman"/>
                <w:color w:val="auto"/>
                <w:sz w:val="18"/>
                <w:szCs w:val="18"/>
                <w:lang w:eastAsia="en-US"/>
              </w:rPr>
              <w:t>排放浓度（mg/</w:t>
            </w:r>
            <w:r>
              <w:rPr>
                <w:rFonts w:hint="eastAsia" w:ascii="Times New Roman" w:hAnsi="Times New Roman" w:eastAsia="宋体" w:cs="Times New Roman"/>
                <w:color w:val="auto"/>
                <w:sz w:val="18"/>
                <w:szCs w:val="18"/>
                <w:lang w:eastAsia="zh-CN"/>
              </w:rPr>
              <w:t>m</w:t>
            </w:r>
            <w:r>
              <w:rPr>
                <w:rFonts w:hint="eastAsia" w:ascii="Times New Roman" w:hAnsi="Times New Roman" w:eastAsia="宋体" w:cs="Times New Roman"/>
                <w:color w:val="auto"/>
                <w:sz w:val="18"/>
                <w:szCs w:val="18"/>
                <w:vertAlign w:val="superscript"/>
                <w:lang w:eastAsia="zh-CN"/>
              </w:rPr>
              <w:t>3</w:t>
            </w:r>
            <w:r>
              <w:rPr>
                <w:rFonts w:ascii="Times New Roman" w:hAnsi="Times New Roman" w:eastAsia="宋体" w:cs="Times New Roman"/>
                <w:color w:val="auto"/>
                <w:sz w:val="18"/>
                <w:szCs w:val="18"/>
                <w:lang w:eastAsia="en-US"/>
              </w:rPr>
              <w:t>）</w:t>
            </w:r>
          </w:p>
        </w:tc>
        <w:tc>
          <w:tcPr>
            <w:tcW w:w="596" w:type="pct"/>
            <w:tcBorders>
              <w:top w:val="single" w:color="auto" w:sz="4" w:space="0"/>
              <w:left w:val="single" w:color="auto" w:sz="4" w:space="0"/>
              <w:bottom w:val="single" w:color="auto" w:sz="4" w:space="0"/>
              <w:right w:val="single" w:color="auto" w:sz="4" w:space="0"/>
            </w:tcBorders>
            <w:shd w:val="clear" w:color="auto" w:fill="auto"/>
            <w:vAlign w:val="center"/>
          </w:tcPr>
          <w:p w14:paraId="550933A1">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0.003</w:t>
            </w:r>
          </w:p>
        </w:tc>
        <w:tc>
          <w:tcPr>
            <w:tcW w:w="595" w:type="pct"/>
            <w:tcBorders>
              <w:top w:val="single" w:color="auto" w:sz="4" w:space="0"/>
              <w:left w:val="single" w:color="auto" w:sz="4" w:space="0"/>
              <w:bottom w:val="single" w:color="auto" w:sz="4" w:space="0"/>
              <w:right w:val="single" w:color="auto" w:sz="4" w:space="0"/>
            </w:tcBorders>
            <w:shd w:val="clear" w:color="auto" w:fill="auto"/>
            <w:vAlign w:val="center"/>
          </w:tcPr>
          <w:p w14:paraId="058A3DF7">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0.004</w:t>
            </w:r>
          </w:p>
        </w:tc>
        <w:tc>
          <w:tcPr>
            <w:tcW w:w="653" w:type="pct"/>
            <w:tcBorders>
              <w:top w:val="single" w:color="auto" w:sz="4" w:space="0"/>
              <w:left w:val="single" w:color="auto" w:sz="4" w:space="0"/>
              <w:bottom w:val="single" w:color="auto" w:sz="4" w:space="0"/>
              <w:right w:val="single" w:color="auto" w:sz="4" w:space="0"/>
            </w:tcBorders>
            <w:shd w:val="clear" w:color="auto" w:fill="auto"/>
            <w:vAlign w:val="center"/>
          </w:tcPr>
          <w:p w14:paraId="0F636D68">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0.002</w:t>
            </w:r>
          </w:p>
        </w:tc>
        <w:tc>
          <w:tcPr>
            <w:tcW w:w="730" w:type="pct"/>
            <w:tcBorders>
              <w:top w:val="single" w:color="auto" w:sz="4" w:space="0"/>
              <w:left w:val="single" w:color="auto" w:sz="4" w:space="0"/>
              <w:bottom w:val="single" w:color="auto" w:sz="4" w:space="0"/>
              <w:right w:val="single" w:color="auto" w:sz="4" w:space="0"/>
            </w:tcBorders>
            <w:shd w:val="clear" w:color="auto" w:fill="auto"/>
            <w:vAlign w:val="center"/>
          </w:tcPr>
          <w:p w14:paraId="03E2C3E1">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w:t>
            </w:r>
          </w:p>
        </w:tc>
      </w:tr>
      <w:tr w14:paraId="1414AD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79" w:type="pct"/>
            <w:vMerge w:val="continue"/>
            <w:tcBorders>
              <w:left w:val="single" w:color="auto" w:sz="4" w:space="0"/>
              <w:right w:val="single" w:color="auto" w:sz="4" w:space="0"/>
            </w:tcBorders>
            <w:vAlign w:val="center"/>
          </w:tcPr>
          <w:p w14:paraId="648261DC">
            <w:pPr>
              <w:jc w:val="center"/>
              <w:rPr>
                <w:rFonts w:ascii="Times New Roman" w:hAnsi="Times New Roman" w:eastAsia="宋体" w:cs="Times New Roman"/>
                <w:color w:val="auto"/>
                <w:szCs w:val="21"/>
                <w:lang w:eastAsia="en-US"/>
              </w:rPr>
            </w:pPr>
          </w:p>
        </w:tc>
        <w:tc>
          <w:tcPr>
            <w:tcW w:w="724" w:type="pct"/>
            <w:vMerge w:val="continue"/>
            <w:tcBorders>
              <w:left w:val="single" w:color="auto" w:sz="4" w:space="0"/>
              <w:bottom w:val="single" w:color="auto" w:sz="4" w:space="0"/>
              <w:right w:val="single" w:color="auto" w:sz="4" w:space="0"/>
            </w:tcBorders>
            <w:vAlign w:val="center"/>
          </w:tcPr>
          <w:p w14:paraId="709A3A87">
            <w:pPr>
              <w:jc w:val="center"/>
              <w:rPr>
                <w:rFonts w:hint="eastAsia" w:ascii="Times New Roman" w:hAnsi="Times New Roman" w:eastAsia="宋体" w:cs="Times New Roman"/>
                <w:color w:val="auto"/>
                <w:szCs w:val="21"/>
                <w:lang w:val="en-US" w:eastAsia="zh-CN"/>
              </w:rPr>
            </w:pPr>
          </w:p>
        </w:tc>
        <w:tc>
          <w:tcPr>
            <w:tcW w:w="1320" w:type="pct"/>
            <w:tcBorders>
              <w:top w:val="single" w:color="auto" w:sz="4" w:space="0"/>
              <w:left w:val="single" w:color="auto" w:sz="4" w:space="0"/>
              <w:bottom w:val="single" w:color="auto" w:sz="4" w:space="0"/>
              <w:right w:val="single" w:color="auto" w:sz="4" w:space="0"/>
            </w:tcBorders>
            <w:shd w:val="clear" w:color="auto" w:fill="auto"/>
            <w:vAlign w:val="center"/>
          </w:tcPr>
          <w:p w14:paraId="7F97302D">
            <w:pPr>
              <w:jc w:val="center"/>
              <w:rPr>
                <w:rFonts w:hint="eastAsia" w:ascii="Times New Roman" w:hAnsi="Times New Roman" w:eastAsia="宋体" w:cs="Times New Roman"/>
                <w:color w:val="auto"/>
                <w:kern w:val="2"/>
                <w:sz w:val="18"/>
                <w:szCs w:val="18"/>
                <w:lang w:val="en-US" w:eastAsia="zh-CN" w:bidi="ar-SA"/>
              </w:rPr>
            </w:pPr>
            <w:r>
              <w:rPr>
                <w:rFonts w:ascii="Times New Roman" w:hAnsi="Times New Roman" w:eastAsia="宋体" w:cs="Times New Roman"/>
                <w:color w:val="auto"/>
                <w:sz w:val="18"/>
                <w:szCs w:val="18"/>
                <w:lang w:eastAsia="en-US"/>
              </w:rPr>
              <w:t>排放速率（kg/h）</w:t>
            </w:r>
          </w:p>
        </w:tc>
        <w:tc>
          <w:tcPr>
            <w:tcW w:w="596" w:type="pct"/>
            <w:tcBorders>
              <w:top w:val="single" w:color="auto" w:sz="4" w:space="0"/>
              <w:left w:val="single" w:color="auto" w:sz="4" w:space="0"/>
              <w:bottom w:val="single" w:color="auto" w:sz="4" w:space="0"/>
              <w:right w:val="single" w:color="auto" w:sz="4" w:space="0"/>
            </w:tcBorders>
            <w:shd w:val="clear" w:color="auto" w:fill="auto"/>
            <w:vAlign w:val="center"/>
          </w:tcPr>
          <w:p w14:paraId="0EB853A8">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0.000072</w:t>
            </w:r>
          </w:p>
        </w:tc>
        <w:tc>
          <w:tcPr>
            <w:tcW w:w="595" w:type="pct"/>
            <w:tcBorders>
              <w:top w:val="single" w:color="auto" w:sz="4" w:space="0"/>
              <w:left w:val="single" w:color="auto" w:sz="4" w:space="0"/>
              <w:bottom w:val="single" w:color="auto" w:sz="4" w:space="0"/>
              <w:right w:val="single" w:color="auto" w:sz="4" w:space="0"/>
            </w:tcBorders>
            <w:shd w:val="clear" w:color="auto" w:fill="auto"/>
            <w:vAlign w:val="center"/>
          </w:tcPr>
          <w:p w14:paraId="081913F3">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0.000097</w:t>
            </w:r>
          </w:p>
        </w:tc>
        <w:tc>
          <w:tcPr>
            <w:tcW w:w="653" w:type="pct"/>
            <w:tcBorders>
              <w:top w:val="single" w:color="auto" w:sz="4" w:space="0"/>
              <w:left w:val="single" w:color="auto" w:sz="4" w:space="0"/>
              <w:bottom w:val="single" w:color="auto" w:sz="4" w:space="0"/>
              <w:right w:val="single" w:color="auto" w:sz="4" w:space="0"/>
            </w:tcBorders>
            <w:shd w:val="clear" w:color="auto" w:fill="auto"/>
            <w:vAlign w:val="center"/>
          </w:tcPr>
          <w:p w14:paraId="503EDC9A">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0.000049</w:t>
            </w:r>
          </w:p>
        </w:tc>
        <w:tc>
          <w:tcPr>
            <w:tcW w:w="730" w:type="pct"/>
            <w:tcBorders>
              <w:top w:val="single" w:color="auto" w:sz="4" w:space="0"/>
              <w:left w:val="single" w:color="auto" w:sz="4" w:space="0"/>
              <w:bottom w:val="single" w:color="auto" w:sz="4" w:space="0"/>
              <w:right w:val="single" w:color="auto" w:sz="4" w:space="0"/>
            </w:tcBorders>
            <w:shd w:val="clear" w:color="auto" w:fill="auto"/>
            <w:vAlign w:val="center"/>
          </w:tcPr>
          <w:p w14:paraId="3EB327CC">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0.58</w:t>
            </w:r>
          </w:p>
        </w:tc>
      </w:tr>
      <w:tr w14:paraId="45F7FC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79" w:type="pct"/>
            <w:vMerge w:val="continue"/>
            <w:tcBorders>
              <w:left w:val="single" w:color="auto" w:sz="4" w:space="0"/>
              <w:right w:val="single" w:color="auto" w:sz="4" w:space="0"/>
            </w:tcBorders>
            <w:vAlign w:val="center"/>
          </w:tcPr>
          <w:p w14:paraId="507D1F95">
            <w:pPr>
              <w:jc w:val="center"/>
              <w:rPr>
                <w:rFonts w:ascii="Times New Roman" w:hAnsi="Times New Roman" w:eastAsia="宋体" w:cs="Times New Roman"/>
                <w:color w:val="auto"/>
                <w:szCs w:val="21"/>
                <w:lang w:eastAsia="en-US"/>
              </w:rPr>
            </w:pPr>
          </w:p>
        </w:tc>
        <w:tc>
          <w:tcPr>
            <w:tcW w:w="724" w:type="pct"/>
            <w:vMerge w:val="restart"/>
            <w:tcBorders>
              <w:top w:val="single" w:color="auto" w:sz="4" w:space="0"/>
              <w:left w:val="single" w:color="auto" w:sz="4" w:space="0"/>
              <w:right w:val="single" w:color="auto" w:sz="4" w:space="0"/>
            </w:tcBorders>
            <w:shd w:val="clear" w:color="auto" w:fill="auto"/>
            <w:vAlign w:val="center"/>
          </w:tcPr>
          <w:p w14:paraId="27BBF699">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sz w:val="18"/>
                <w:szCs w:val="18"/>
                <w:lang w:val="en-US" w:eastAsia="zh-CN"/>
              </w:rPr>
              <w:t>非甲烷总烃</w:t>
            </w:r>
          </w:p>
        </w:tc>
        <w:tc>
          <w:tcPr>
            <w:tcW w:w="1320" w:type="pct"/>
            <w:tcBorders>
              <w:top w:val="single" w:color="auto" w:sz="4" w:space="0"/>
              <w:left w:val="single" w:color="auto" w:sz="4" w:space="0"/>
              <w:bottom w:val="single" w:color="auto" w:sz="4" w:space="0"/>
              <w:right w:val="single" w:color="auto" w:sz="4" w:space="0"/>
            </w:tcBorders>
            <w:shd w:val="clear" w:color="auto" w:fill="auto"/>
            <w:vAlign w:val="center"/>
          </w:tcPr>
          <w:p w14:paraId="063AF021">
            <w:pPr>
              <w:jc w:val="center"/>
              <w:rPr>
                <w:rFonts w:hint="eastAsia" w:ascii="Times New Roman" w:hAnsi="Times New Roman" w:eastAsia="宋体" w:cs="Times New Roman"/>
                <w:color w:val="auto"/>
                <w:kern w:val="2"/>
                <w:sz w:val="18"/>
                <w:szCs w:val="18"/>
                <w:lang w:val="en-US" w:eastAsia="zh-CN" w:bidi="ar-SA"/>
              </w:rPr>
            </w:pPr>
            <w:r>
              <w:rPr>
                <w:rFonts w:ascii="Times New Roman" w:hAnsi="Times New Roman" w:eastAsia="宋体" w:cs="Times New Roman"/>
                <w:color w:val="auto"/>
                <w:sz w:val="18"/>
                <w:szCs w:val="18"/>
                <w:lang w:eastAsia="en-US"/>
              </w:rPr>
              <w:t>排放浓度（mg/</w:t>
            </w:r>
            <w:r>
              <w:rPr>
                <w:rFonts w:hint="eastAsia" w:ascii="Times New Roman" w:hAnsi="Times New Roman" w:eastAsia="宋体" w:cs="Times New Roman"/>
                <w:color w:val="auto"/>
                <w:sz w:val="18"/>
                <w:szCs w:val="18"/>
                <w:lang w:eastAsia="zh-CN"/>
              </w:rPr>
              <w:t>m</w:t>
            </w:r>
            <w:r>
              <w:rPr>
                <w:rFonts w:hint="eastAsia" w:ascii="Times New Roman" w:hAnsi="Times New Roman" w:eastAsia="宋体" w:cs="Times New Roman"/>
                <w:color w:val="auto"/>
                <w:sz w:val="18"/>
                <w:szCs w:val="18"/>
                <w:vertAlign w:val="superscript"/>
                <w:lang w:eastAsia="zh-CN"/>
              </w:rPr>
              <w:t>3</w:t>
            </w:r>
            <w:r>
              <w:rPr>
                <w:rFonts w:ascii="Times New Roman" w:hAnsi="Times New Roman" w:eastAsia="宋体" w:cs="Times New Roman"/>
                <w:color w:val="auto"/>
                <w:sz w:val="18"/>
                <w:szCs w:val="18"/>
                <w:lang w:eastAsia="en-US"/>
              </w:rPr>
              <w:t>）</w:t>
            </w:r>
          </w:p>
        </w:tc>
        <w:tc>
          <w:tcPr>
            <w:tcW w:w="596" w:type="pct"/>
            <w:tcBorders>
              <w:top w:val="single" w:color="auto" w:sz="4" w:space="0"/>
              <w:left w:val="single" w:color="auto" w:sz="4" w:space="0"/>
              <w:bottom w:val="single" w:color="auto" w:sz="4" w:space="0"/>
              <w:right w:val="single" w:color="auto" w:sz="4" w:space="0"/>
            </w:tcBorders>
            <w:shd w:val="clear" w:color="auto" w:fill="auto"/>
            <w:vAlign w:val="center"/>
          </w:tcPr>
          <w:p w14:paraId="608C22CF">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0.54</w:t>
            </w:r>
          </w:p>
        </w:tc>
        <w:tc>
          <w:tcPr>
            <w:tcW w:w="595" w:type="pct"/>
            <w:tcBorders>
              <w:top w:val="single" w:color="auto" w:sz="4" w:space="0"/>
              <w:left w:val="single" w:color="auto" w:sz="4" w:space="0"/>
              <w:bottom w:val="single" w:color="auto" w:sz="4" w:space="0"/>
              <w:right w:val="single" w:color="auto" w:sz="4" w:space="0"/>
            </w:tcBorders>
            <w:shd w:val="clear" w:color="auto" w:fill="auto"/>
            <w:vAlign w:val="center"/>
          </w:tcPr>
          <w:p w14:paraId="2EFC56AB">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0.31</w:t>
            </w:r>
          </w:p>
        </w:tc>
        <w:tc>
          <w:tcPr>
            <w:tcW w:w="653" w:type="pct"/>
            <w:tcBorders>
              <w:top w:val="single" w:color="auto" w:sz="4" w:space="0"/>
              <w:left w:val="single" w:color="auto" w:sz="4" w:space="0"/>
              <w:bottom w:val="single" w:color="auto" w:sz="4" w:space="0"/>
              <w:right w:val="single" w:color="auto" w:sz="4" w:space="0"/>
            </w:tcBorders>
            <w:shd w:val="clear" w:color="auto" w:fill="auto"/>
            <w:vAlign w:val="center"/>
          </w:tcPr>
          <w:p w14:paraId="629864C5">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0.47</w:t>
            </w:r>
          </w:p>
        </w:tc>
        <w:tc>
          <w:tcPr>
            <w:tcW w:w="730" w:type="pct"/>
            <w:tcBorders>
              <w:top w:val="single" w:color="auto" w:sz="4" w:space="0"/>
              <w:left w:val="single" w:color="auto" w:sz="4" w:space="0"/>
              <w:bottom w:val="single" w:color="auto" w:sz="4" w:space="0"/>
              <w:right w:val="single" w:color="auto" w:sz="4" w:space="0"/>
            </w:tcBorders>
            <w:shd w:val="clear" w:color="auto" w:fill="auto"/>
            <w:vAlign w:val="center"/>
          </w:tcPr>
          <w:p w14:paraId="63E55545">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100</w:t>
            </w:r>
          </w:p>
        </w:tc>
      </w:tr>
      <w:tr w14:paraId="4BF503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79" w:type="pct"/>
            <w:vMerge w:val="continue"/>
            <w:tcBorders>
              <w:left w:val="single" w:color="auto" w:sz="4" w:space="0"/>
              <w:right w:val="single" w:color="auto" w:sz="4" w:space="0"/>
            </w:tcBorders>
            <w:vAlign w:val="center"/>
          </w:tcPr>
          <w:p w14:paraId="103C47DD">
            <w:pPr>
              <w:jc w:val="center"/>
              <w:rPr>
                <w:rFonts w:ascii="Times New Roman" w:hAnsi="Times New Roman" w:eastAsia="宋体" w:cs="Times New Roman"/>
                <w:color w:val="auto"/>
                <w:szCs w:val="21"/>
                <w:lang w:eastAsia="en-US"/>
              </w:rPr>
            </w:pPr>
          </w:p>
        </w:tc>
        <w:tc>
          <w:tcPr>
            <w:tcW w:w="724" w:type="pct"/>
            <w:vMerge w:val="continue"/>
            <w:tcBorders>
              <w:left w:val="single" w:color="auto" w:sz="4" w:space="0"/>
              <w:bottom w:val="single" w:color="auto" w:sz="4" w:space="0"/>
              <w:right w:val="single" w:color="auto" w:sz="4" w:space="0"/>
            </w:tcBorders>
            <w:vAlign w:val="center"/>
          </w:tcPr>
          <w:p w14:paraId="26485B1E">
            <w:pPr>
              <w:jc w:val="center"/>
              <w:rPr>
                <w:rFonts w:hint="eastAsia" w:ascii="Times New Roman" w:hAnsi="Times New Roman" w:eastAsia="宋体" w:cs="Times New Roman"/>
                <w:color w:val="auto"/>
                <w:szCs w:val="21"/>
                <w:lang w:val="en-US" w:eastAsia="zh-CN"/>
              </w:rPr>
            </w:pPr>
          </w:p>
        </w:tc>
        <w:tc>
          <w:tcPr>
            <w:tcW w:w="1320" w:type="pct"/>
            <w:tcBorders>
              <w:top w:val="single" w:color="auto" w:sz="4" w:space="0"/>
              <w:left w:val="single" w:color="auto" w:sz="4" w:space="0"/>
              <w:bottom w:val="single" w:color="auto" w:sz="4" w:space="0"/>
              <w:right w:val="single" w:color="auto" w:sz="4" w:space="0"/>
            </w:tcBorders>
            <w:shd w:val="clear" w:color="auto" w:fill="auto"/>
            <w:vAlign w:val="center"/>
          </w:tcPr>
          <w:p w14:paraId="37612DC2">
            <w:pPr>
              <w:jc w:val="center"/>
              <w:rPr>
                <w:rFonts w:hint="eastAsia" w:ascii="Times New Roman" w:hAnsi="Times New Roman" w:eastAsia="宋体" w:cs="Times New Roman"/>
                <w:color w:val="auto"/>
                <w:kern w:val="2"/>
                <w:sz w:val="18"/>
                <w:szCs w:val="18"/>
                <w:lang w:val="en-US" w:eastAsia="zh-CN" w:bidi="ar-SA"/>
              </w:rPr>
            </w:pPr>
            <w:r>
              <w:rPr>
                <w:rFonts w:ascii="Times New Roman" w:hAnsi="Times New Roman" w:eastAsia="宋体" w:cs="Times New Roman"/>
                <w:color w:val="auto"/>
                <w:sz w:val="18"/>
                <w:szCs w:val="18"/>
                <w:lang w:eastAsia="en-US"/>
              </w:rPr>
              <w:t>排放速率（kg/h）</w:t>
            </w:r>
          </w:p>
        </w:tc>
        <w:tc>
          <w:tcPr>
            <w:tcW w:w="596" w:type="pct"/>
            <w:tcBorders>
              <w:top w:val="single" w:color="auto" w:sz="4" w:space="0"/>
              <w:left w:val="single" w:color="auto" w:sz="4" w:space="0"/>
              <w:bottom w:val="single" w:color="auto" w:sz="4" w:space="0"/>
              <w:right w:val="single" w:color="auto" w:sz="4" w:space="0"/>
            </w:tcBorders>
            <w:shd w:val="clear" w:color="auto" w:fill="auto"/>
            <w:vAlign w:val="center"/>
          </w:tcPr>
          <w:p w14:paraId="0CEAEFEE">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0.013</w:t>
            </w:r>
          </w:p>
        </w:tc>
        <w:tc>
          <w:tcPr>
            <w:tcW w:w="595" w:type="pct"/>
            <w:tcBorders>
              <w:top w:val="single" w:color="auto" w:sz="4" w:space="0"/>
              <w:left w:val="single" w:color="auto" w:sz="4" w:space="0"/>
              <w:bottom w:val="single" w:color="auto" w:sz="4" w:space="0"/>
              <w:right w:val="single" w:color="auto" w:sz="4" w:space="0"/>
            </w:tcBorders>
            <w:shd w:val="clear" w:color="auto" w:fill="auto"/>
            <w:vAlign w:val="center"/>
          </w:tcPr>
          <w:p w14:paraId="282EC532">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0.0075</w:t>
            </w:r>
          </w:p>
        </w:tc>
        <w:tc>
          <w:tcPr>
            <w:tcW w:w="653" w:type="pct"/>
            <w:tcBorders>
              <w:top w:val="single" w:color="auto" w:sz="4" w:space="0"/>
              <w:left w:val="single" w:color="auto" w:sz="4" w:space="0"/>
              <w:bottom w:val="single" w:color="auto" w:sz="4" w:space="0"/>
              <w:right w:val="single" w:color="auto" w:sz="4" w:space="0"/>
            </w:tcBorders>
            <w:shd w:val="clear" w:color="auto" w:fill="auto"/>
            <w:vAlign w:val="center"/>
          </w:tcPr>
          <w:p w14:paraId="1820DF4F">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0.012</w:t>
            </w:r>
          </w:p>
        </w:tc>
        <w:tc>
          <w:tcPr>
            <w:tcW w:w="730" w:type="pct"/>
            <w:tcBorders>
              <w:top w:val="single" w:color="auto" w:sz="4" w:space="0"/>
              <w:left w:val="single" w:color="auto" w:sz="4" w:space="0"/>
              <w:bottom w:val="single" w:color="auto" w:sz="4" w:space="0"/>
              <w:right w:val="single" w:color="auto" w:sz="4" w:space="0"/>
            </w:tcBorders>
            <w:shd w:val="clear" w:color="auto" w:fill="auto"/>
            <w:vAlign w:val="center"/>
          </w:tcPr>
          <w:p w14:paraId="0C54B87F">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w:t>
            </w:r>
          </w:p>
        </w:tc>
      </w:tr>
      <w:tr w14:paraId="1A0ECA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79" w:type="pct"/>
            <w:vMerge w:val="restart"/>
            <w:tcBorders>
              <w:left w:val="single" w:color="auto" w:sz="4" w:space="0"/>
              <w:right w:val="single" w:color="auto" w:sz="4" w:space="0"/>
            </w:tcBorders>
            <w:shd w:val="clear" w:color="auto" w:fill="auto"/>
            <w:vAlign w:val="center"/>
          </w:tcPr>
          <w:p w14:paraId="437A01D2">
            <w:pPr>
              <w:jc w:val="center"/>
              <w:rPr>
                <w:rFonts w:hint="default" w:ascii="Times New Roman" w:hAnsi="Times New Roman" w:eastAsia="宋体" w:cs="Times New Roman"/>
                <w:color w:val="auto"/>
                <w:kern w:val="2"/>
                <w:sz w:val="18"/>
                <w:szCs w:val="18"/>
                <w:lang w:val="en-US" w:eastAsia="en-US" w:bidi="ar-SA"/>
              </w:rPr>
            </w:pPr>
            <w:r>
              <w:rPr>
                <w:rFonts w:hint="eastAsia" w:ascii="Times New Roman" w:hAnsi="Times New Roman" w:eastAsia="宋体" w:cs="Times New Roman"/>
                <w:color w:val="auto"/>
                <w:sz w:val="18"/>
                <w:szCs w:val="18"/>
                <w:lang w:val="en-US" w:eastAsia="zh-CN"/>
              </w:rPr>
              <w:t>DA002污水处理站废气出口</w:t>
            </w:r>
          </w:p>
        </w:tc>
        <w:tc>
          <w:tcPr>
            <w:tcW w:w="724" w:type="pct"/>
            <w:tcBorders>
              <w:top w:val="single" w:color="auto" w:sz="4" w:space="0"/>
              <w:left w:val="single" w:color="auto" w:sz="4" w:space="0"/>
              <w:bottom w:val="single" w:color="auto" w:sz="4" w:space="0"/>
              <w:right w:val="single" w:color="auto" w:sz="4" w:space="0"/>
            </w:tcBorders>
            <w:shd w:val="clear" w:color="auto" w:fill="auto"/>
            <w:vAlign w:val="center"/>
          </w:tcPr>
          <w:p w14:paraId="68D8E1D6">
            <w:pPr>
              <w:jc w:val="center"/>
              <w:rPr>
                <w:rFonts w:hint="eastAsia" w:ascii="Times New Roman" w:hAnsi="Times New Roman" w:eastAsia="宋体" w:cs="Times New Roman"/>
                <w:color w:val="auto"/>
                <w:kern w:val="2"/>
                <w:sz w:val="18"/>
                <w:szCs w:val="18"/>
                <w:lang w:val="en-US" w:eastAsia="zh-CN" w:bidi="ar-SA"/>
              </w:rPr>
            </w:pPr>
            <w:r>
              <w:rPr>
                <w:rFonts w:ascii="Times New Roman" w:hAnsi="Times New Roman" w:eastAsia="宋体" w:cs="Times New Roman"/>
                <w:color w:val="auto"/>
                <w:sz w:val="18"/>
                <w:szCs w:val="18"/>
                <w:lang w:eastAsia="en-US"/>
              </w:rPr>
              <w:t>烟气流量</w:t>
            </w:r>
          </w:p>
        </w:tc>
        <w:tc>
          <w:tcPr>
            <w:tcW w:w="1320" w:type="pct"/>
            <w:tcBorders>
              <w:top w:val="single" w:color="auto" w:sz="4" w:space="0"/>
              <w:left w:val="single" w:color="auto" w:sz="4" w:space="0"/>
              <w:bottom w:val="single" w:color="auto" w:sz="4" w:space="0"/>
              <w:right w:val="single" w:color="auto" w:sz="4" w:space="0"/>
            </w:tcBorders>
            <w:shd w:val="clear" w:color="auto" w:fill="auto"/>
            <w:vAlign w:val="center"/>
          </w:tcPr>
          <w:p w14:paraId="3C8674DA">
            <w:pPr>
              <w:jc w:val="center"/>
              <w:rPr>
                <w:rFonts w:hint="eastAsia" w:ascii="Times New Roman" w:hAnsi="Times New Roman" w:eastAsia="宋体" w:cs="Times New Roman"/>
                <w:color w:val="auto"/>
                <w:kern w:val="2"/>
                <w:sz w:val="18"/>
                <w:szCs w:val="18"/>
                <w:lang w:val="en-US" w:eastAsia="zh-CN" w:bidi="ar-SA"/>
              </w:rPr>
            </w:pPr>
            <w:r>
              <w:rPr>
                <w:rFonts w:ascii="Times New Roman" w:hAnsi="Times New Roman" w:eastAsia="宋体" w:cs="Times New Roman"/>
                <w:color w:val="auto"/>
                <w:sz w:val="18"/>
                <w:szCs w:val="18"/>
                <w:lang w:eastAsia="en-US"/>
              </w:rPr>
              <w:t>（N•</w:t>
            </w:r>
            <w:r>
              <w:rPr>
                <w:rFonts w:hint="eastAsia" w:ascii="Times New Roman" w:hAnsi="Times New Roman" w:eastAsia="宋体" w:cs="Times New Roman"/>
                <w:color w:val="auto"/>
                <w:sz w:val="18"/>
                <w:szCs w:val="18"/>
                <w:lang w:eastAsia="zh-CN"/>
              </w:rPr>
              <w:t>m</w:t>
            </w:r>
            <w:r>
              <w:rPr>
                <w:rFonts w:hint="eastAsia" w:ascii="Times New Roman" w:hAnsi="Times New Roman" w:eastAsia="宋体" w:cs="Times New Roman"/>
                <w:color w:val="auto"/>
                <w:sz w:val="18"/>
                <w:szCs w:val="18"/>
                <w:vertAlign w:val="superscript"/>
                <w:lang w:eastAsia="zh-CN"/>
              </w:rPr>
              <w:t>3</w:t>
            </w:r>
            <w:r>
              <w:rPr>
                <w:rFonts w:ascii="Times New Roman" w:hAnsi="Times New Roman" w:eastAsia="宋体" w:cs="Times New Roman"/>
                <w:color w:val="auto"/>
                <w:sz w:val="18"/>
                <w:szCs w:val="18"/>
                <w:lang w:eastAsia="en-US"/>
              </w:rPr>
              <w:t>/h）</w:t>
            </w:r>
          </w:p>
        </w:tc>
        <w:tc>
          <w:tcPr>
            <w:tcW w:w="596" w:type="pct"/>
            <w:tcBorders>
              <w:top w:val="single" w:color="auto" w:sz="4" w:space="0"/>
              <w:left w:val="single" w:color="auto" w:sz="4" w:space="0"/>
              <w:bottom w:val="single" w:color="auto" w:sz="4" w:space="0"/>
              <w:right w:val="single" w:color="auto" w:sz="4" w:space="0"/>
            </w:tcBorders>
            <w:shd w:val="clear" w:color="auto" w:fill="auto"/>
            <w:vAlign w:val="center"/>
          </w:tcPr>
          <w:p w14:paraId="1FE0A239">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3415</w:t>
            </w:r>
          </w:p>
        </w:tc>
        <w:tc>
          <w:tcPr>
            <w:tcW w:w="595" w:type="pct"/>
            <w:tcBorders>
              <w:top w:val="single" w:color="auto" w:sz="4" w:space="0"/>
              <w:left w:val="single" w:color="auto" w:sz="4" w:space="0"/>
              <w:bottom w:val="single" w:color="auto" w:sz="4" w:space="0"/>
              <w:right w:val="single" w:color="auto" w:sz="4" w:space="0"/>
            </w:tcBorders>
            <w:shd w:val="clear" w:color="auto" w:fill="auto"/>
            <w:vAlign w:val="center"/>
          </w:tcPr>
          <w:p w14:paraId="3CD4BC8E">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3420</w:t>
            </w:r>
          </w:p>
        </w:tc>
        <w:tc>
          <w:tcPr>
            <w:tcW w:w="653" w:type="pct"/>
            <w:tcBorders>
              <w:top w:val="single" w:color="auto" w:sz="4" w:space="0"/>
              <w:left w:val="single" w:color="auto" w:sz="4" w:space="0"/>
              <w:bottom w:val="single" w:color="auto" w:sz="4" w:space="0"/>
              <w:right w:val="single" w:color="auto" w:sz="4" w:space="0"/>
            </w:tcBorders>
            <w:shd w:val="clear" w:color="auto" w:fill="auto"/>
            <w:vAlign w:val="center"/>
          </w:tcPr>
          <w:p w14:paraId="4785D32F">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3442</w:t>
            </w:r>
          </w:p>
        </w:tc>
        <w:tc>
          <w:tcPr>
            <w:tcW w:w="730" w:type="pct"/>
            <w:tcBorders>
              <w:top w:val="single" w:color="auto" w:sz="4" w:space="0"/>
              <w:left w:val="single" w:color="auto" w:sz="4" w:space="0"/>
              <w:bottom w:val="single" w:color="auto" w:sz="4" w:space="0"/>
              <w:right w:val="single" w:color="auto" w:sz="4" w:space="0"/>
            </w:tcBorders>
            <w:shd w:val="clear" w:color="auto" w:fill="auto"/>
            <w:vAlign w:val="center"/>
          </w:tcPr>
          <w:p w14:paraId="195DFBF3">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w:t>
            </w:r>
          </w:p>
        </w:tc>
      </w:tr>
      <w:tr w14:paraId="06E960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79" w:type="pct"/>
            <w:vMerge w:val="continue"/>
            <w:tcBorders>
              <w:left w:val="single" w:color="auto" w:sz="4" w:space="0"/>
              <w:right w:val="single" w:color="auto" w:sz="4" w:space="0"/>
            </w:tcBorders>
            <w:vAlign w:val="center"/>
          </w:tcPr>
          <w:p w14:paraId="298BC9EC">
            <w:pPr>
              <w:jc w:val="center"/>
              <w:rPr>
                <w:rFonts w:ascii="Times New Roman" w:hAnsi="Times New Roman" w:eastAsia="宋体" w:cs="Times New Roman"/>
                <w:color w:val="auto"/>
                <w:szCs w:val="21"/>
                <w:lang w:eastAsia="en-US"/>
              </w:rPr>
            </w:pPr>
          </w:p>
        </w:tc>
        <w:tc>
          <w:tcPr>
            <w:tcW w:w="724" w:type="pct"/>
            <w:vMerge w:val="restart"/>
            <w:tcBorders>
              <w:top w:val="single" w:color="auto" w:sz="4" w:space="0"/>
              <w:left w:val="single" w:color="auto" w:sz="4" w:space="0"/>
              <w:right w:val="single" w:color="auto" w:sz="4" w:space="0"/>
            </w:tcBorders>
            <w:shd w:val="clear" w:color="auto" w:fill="auto"/>
            <w:vAlign w:val="center"/>
          </w:tcPr>
          <w:p w14:paraId="7E9B9521">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氨</w:t>
            </w:r>
          </w:p>
        </w:tc>
        <w:tc>
          <w:tcPr>
            <w:tcW w:w="1320" w:type="pct"/>
            <w:tcBorders>
              <w:top w:val="single" w:color="auto" w:sz="4" w:space="0"/>
              <w:left w:val="single" w:color="auto" w:sz="4" w:space="0"/>
              <w:bottom w:val="single" w:color="auto" w:sz="4" w:space="0"/>
              <w:right w:val="single" w:color="auto" w:sz="4" w:space="0"/>
            </w:tcBorders>
            <w:shd w:val="clear" w:color="auto" w:fill="auto"/>
            <w:vAlign w:val="center"/>
          </w:tcPr>
          <w:p w14:paraId="2AFBFABB">
            <w:pPr>
              <w:jc w:val="center"/>
              <w:rPr>
                <w:rFonts w:hint="eastAsia" w:ascii="Times New Roman" w:hAnsi="Times New Roman" w:eastAsia="宋体" w:cs="Times New Roman"/>
                <w:color w:val="auto"/>
                <w:kern w:val="2"/>
                <w:sz w:val="18"/>
                <w:szCs w:val="18"/>
                <w:lang w:val="en-US" w:eastAsia="zh-CN" w:bidi="ar-SA"/>
              </w:rPr>
            </w:pPr>
            <w:r>
              <w:rPr>
                <w:rFonts w:ascii="Times New Roman" w:hAnsi="Times New Roman" w:eastAsia="宋体" w:cs="Times New Roman"/>
                <w:color w:val="auto"/>
                <w:sz w:val="18"/>
                <w:szCs w:val="18"/>
                <w:lang w:eastAsia="en-US"/>
              </w:rPr>
              <w:t>排放浓度（mg/</w:t>
            </w:r>
            <w:r>
              <w:rPr>
                <w:rFonts w:hint="eastAsia" w:ascii="Times New Roman" w:hAnsi="Times New Roman" w:eastAsia="宋体" w:cs="Times New Roman"/>
                <w:color w:val="auto"/>
                <w:sz w:val="18"/>
                <w:szCs w:val="18"/>
                <w:lang w:eastAsia="zh-CN"/>
              </w:rPr>
              <w:t>m</w:t>
            </w:r>
            <w:r>
              <w:rPr>
                <w:rFonts w:hint="eastAsia" w:ascii="Times New Roman" w:hAnsi="Times New Roman" w:eastAsia="宋体" w:cs="Times New Roman"/>
                <w:color w:val="auto"/>
                <w:sz w:val="18"/>
                <w:szCs w:val="18"/>
                <w:vertAlign w:val="superscript"/>
                <w:lang w:eastAsia="zh-CN"/>
              </w:rPr>
              <w:t>3</w:t>
            </w:r>
            <w:r>
              <w:rPr>
                <w:rFonts w:ascii="Times New Roman" w:hAnsi="Times New Roman" w:eastAsia="宋体" w:cs="Times New Roman"/>
                <w:color w:val="auto"/>
                <w:sz w:val="18"/>
                <w:szCs w:val="18"/>
                <w:lang w:eastAsia="en-US"/>
              </w:rPr>
              <w:t>）</w:t>
            </w:r>
          </w:p>
        </w:tc>
        <w:tc>
          <w:tcPr>
            <w:tcW w:w="596" w:type="pct"/>
            <w:tcBorders>
              <w:top w:val="single" w:color="auto" w:sz="4" w:space="0"/>
              <w:left w:val="single" w:color="auto" w:sz="4" w:space="0"/>
              <w:bottom w:val="single" w:color="auto" w:sz="4" w:space="0"/>
              <w:right w:val="single" w:color="auto" w:sz="4" w:space="0"/>
            </w:tcBorders>
            <w:shd w:val="clear" w:color="auto" w:fill="auto"/>
            <w:vAlign w:val="center"/>
          </w:tcPr>
          <w:p w14:paraId="6C0C4165">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1.06</w:t>
            </w:r>
          </w:p>
        </w:tc>
        <w:tc>
          <w:tcPr>
            <w:tcW w:w="595" w:type="pct"/>
            <w:tcBorders>
              <w:top w:val="single" w:color="auto" w:sz="4" w:space="0"/>
              <w:left w:val="single" w:color="auto" w:sz="4" w:space="0"/>
              <w:bottom w:val="single" w:color="auto" w:sz="4" w:space="0"/>
              <w:right w:val="single" w:color="auto" w:sz="4" w:space="0"/>
            </w:tcBorders>
            <w:shd w:val="clear" w:color="auto" w:fill="auto"/>
            <w:vAlign w:val="center"/>
          </w:tcPr>
          <w:p w14:paraId="4BF95993">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0.98</w:t>
            </w:r>
          </w:p>
        </w:tc>
        <w:tc>
          <w:tcPr>
            <w:tcW w:w="653" w:type="pct"/>
            <w:tcBorders>
              <w:top w:val="single" w:color="auto" w:sz="4" w:space="0"/>
              <w:left w:val="single" w:color="auto" w:sz="4" w:space="0"/>
              <w:bottom w:val="single" w:color="auto" w:sz="4" w:space="0"/>
              <w:right w:val="single" w:color="auto" w:sz="4" w:space="0"/>
            </w:tcBorders>
            <w:shd w:val="clear" w:color="auto" w:fill="auto"/>
            <w:vAlign w:val="center"/>
          </w:tcPr>
          <w:p w14:paraId="41ED7074">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1.05</w:t>
            </w:r>
          </w:p>
        </w:tc>
        <w:tc>
          <w:tcPr>
            <w:tcW w:w="730" w:type="pct"/>
            <w:tcBorders>
              <w:top w:val="single" w:color="auto" w:sz="4" w:space="0"/>
              <w:left w:val="single" w:color="auto" w:sz="4" w:space="0"/>
              <w:bottom w:val="single" w:color="auto" w:sz="4" w:space="0"/>
              <w:right w:val="single" w:color="auto" w:sz="4" w:space="0"/>
            </w:tcBorders>
            <w:shd w:val="clear" w:color="auto" w:fill="auto"/>
            <w:vAlign w:val="center"/>
          </w:tcPr>
          <w:p w14:paraId="457F82C9">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30</w:t>
            </w:r>
          </w:p>
        </w:tc>
      </w:tr>
      <w:tr w14:paraId="49F050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79" w:type="pct"/>
            <w:vMerge w:val="continue"/>
            <w:tcBorders>
              <w:left w:val="single" w:color="auto" w:sz="4" w:space="0"/>
              <w:right w:val="single" w:color="auto" w:sz="4" w:space="0"/>
            </w:tcBorders>
          </w:tcPr>
          <w:p w14:paraId="4F22AE84">
            <w:pPr>
              <w:jc w:val="center"/>
              <w:rPr>
                <w:rFonts w:ascii="Times New Roman" w:hAnsi="Times New Roman" w:eastAsia="宋体" w:cs="Times New Roman"/>
                <w:color w:val="auto"/>
                <w:szCs w:val="21"/>
                <w:lang w:eastAsia="en-US"/>
              </w:rPr>
            </w:pPr>
          </w:p>
        </w:tc>
        <w:tc>
          <w:tcPr>
            <w:tcW w:w="724" w:type="pct"/>
            <w:vMerge w:val="continue"/>
            <w:tcBorders>
              <w:left w:val="single" w:color="auto" w:sz="4" w:space="0"/>
              <w:right w:val="single" w:color="auto" w:sz="4" w:space="0"/>
            </w:tcBorders>
          </w:tcPr>
          <w:p w14:paraId="40CA5CD9">
            <w:pPr>
              <w:jc w:val="center"/>
              <w:rPr>
                <w:rFonts w:hint="eastAsia" w:ascii="Times New Roman" w:hAnsi="Times New Roman" w:eastAsia="宋体" w:cs="Times New Roman"/>
                <w:color w:val="auto"/>
                <w:szCs w:val="21"/>
                <w:lang w:val="en-US" w:eastAsia="zh-CN"/>
              </w:rPr>
            </w:pPr>
          </w:p>
        </w:tc>
        <w:tc>
          <w:tcPr>
            <w:tcW w:w="1320" w:type="pct"/>
            <w:shd w:val="clear" w:color="auto" w:fill="auto"/>
            <w:vAlign w:val="center"/>
          </w:tcPr>
          <w:p w14:paraId="67253C0A">
            <w:pPr>
              <w:jc w:val="center"/>
              <w:rPr>
                <w:rFonts w:hint="eastAsia" w:ascii="Times New Roman" w:hAnsi="Times New Roman" w:eastAsia="宋体" w:cs="Times New Roman"/>
                <w:color w:val="auto"/>
                <w:kern w:val="2"/>
                <w:sz w:val="18"/>
                <w:szCs w:val="18"/>
                <w:lang w:val="en-US" w:eastAsia="zh-CN" w:bidi="ar-SA"/>
              </w:rPr>
            </w:pPr>
            <w:r>
              <w:rPr>
                <w:rFonts w:ascii="Times New Roman" w:hAnsi="Times New Roman" w:eastAsia="宋体" w:cs="Times New Roman"/>
                <w:color w:val="auto"/>
                <w:sz w:val="18"/>
                <w:szCs w:val="18"/>
                <w:lang w:eastAsia="en-US"/>
              </w:rPr>
              <w:t>排放速率（kg/h）</w:t>
            </w:r>
          </w:p>
        </w:tc>
        <w:tc>
          <w:tcPr>
            <w:tcW w:w="596" w:type="pct"/>
            <w:shd w:val="clear" w:color="auto" w:fill="auto"/>
            <w:vAlign w:val="center"/>
          </w:tcPr>
          <w:p w14:paraId="5E6E8824">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0.0036</w:t>
            </w:r>
          </w:p>
        </w:tc>
        <w:tc>
          <w:tcPr>
            <w:tcW w:w="595" w:type="pct"/>
            <w:shd w:val="clear" w:color="auto" w:fill="auto"/>
            <w:vAlign w:val="center"/>
          </w:tcPr>
          <w:p w14:paraId="150D51DB">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0.0034</w:t>
            </w:r>
          </w:p>
        </w:tc>
        <w:tc>
          <w:tcPr>
            <w:tcW w:w="653" w:type="pct"/>
            <w:shd w:val="clear" w:color="auto" w:fill="auto"/>
            <w:vAlign w:val="center"/>
          </w:tcPr>
          <w:p w14:paraId="4D39C88B">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0.0036</w:t>
            </w:r>
          </w:p>
        </w:tc>
        <w:tc>
          <w:tcPr>
            <w:tcW w:w="730" w:type="pct"/>
            <w:shd w:val="clear" w:color="auto" w:fill="auto"/>
            <w:vAlign w:val="center"/>
          </w:tcPr>
          <w:p w14:paraId="2B439871">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w:t>
            </w:r>
          </w:p>
        </w:tc>
      </w:tr>
      <w:tr w14:paraId="1B2184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79" w:type="pct"/>
            <w:vMerge w:val="continue"/>
            <w:tcBorders>
              <w:left w:val="single" w:color="auto" w:sz="4" w:space="0"/>
              <w:right w:val="single" w:color="auto" w:sz="4" w:space="0"/>
            </w:tcBorders>
          </w:tcPr>
          <w:p w14:paraId="0F031D57">
            <w:pPr>
              <w:jc w:val="center"/>
              <w:rPr>
                <w:rFonts w:ascii="Times New Roman" w:hAnsi="Times New Roman" w:eastAsia="宋体" w:cs="Times New Roman"/>
                <w:color w:val="auto"/>
                <w:szCs w:val="21"/>
                <w:lang w:eastAsia="en-US"/>
              </w:rPr>
            </w:pPr>
          </w:p>
        </w:tc>
        <w:tc>
          <w:tcPr>
            <w:tcW w:w="724" w:type="pct"/>
            <w:vMerge w:val="restart"/>
            <w:shd w:val="clear" w:color="auto" w:fill="auto"/>
            <w:vAlign w:val="center"/>
          </w:tcPr>
          <w:p w14:paraId="5DCD41E7">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TVOC</w:t>
            </w:r>
          </w:p>
        </w:tc>
        <w:tc>
          <w:tcPr>
            <w:tcW w:w="1320" w:type="pct"/>
            <w:shd w:val="clear" w:color="auto" w:fill="auto"/>
            <w:vAlign w:val="center"/>
          </w:tcPr>
          <w:p w14:paraId="4352922C">
            <w:pPr>
              <w:jc w:val="center"/>
              <w:rPr>
                <w:rFonts w:hint="eastAsia" w:ascii="Times New Roman" w:hAnsi="Times New Roman" w:eastAsia="宋体" w:cs="Times New Roman"/>
                <w:color w:val="auto"/>
                <w:kern w:val="2"/>
                <w:sz w:val="18"/>
                <w:szCs w:val="18"/>
                <w:lang w:val="en-US" w:eastAsia="zh-CN" w:bidi="ar-SA"/>
              </w:rPr>
            </w:pPr>
            <w:r>
              <w:rPr>
                <w:rFonts w:ascii="Times New Roman" w:hAnsi="Times New Roman" w:eastAsia="宋体" w:cs="Times New Roman"/>
                <w:color w:val="auto"/>
                <w:sz w:val="18"/>
                <w:szCs w:val="18"/>
                <w:lang w:eastAsia="en-US"/>
              </w:rPr>
              <w:t>排放浓度（mg/</w:t>
            </w:r>
            <w:r>
              <w:rPr>
                <w:rFonts w:hint="eastAsia" w:ascii="Times New Roman" w:hAnsi="Times New Roman" w:eastAsia="宋体" w:cs="Times New Roman"/>
                <w:color w:val="auto"/>
                <w:sz w:val="18"/>
                <w:szCs w:val="18"/>
                <w:lang w:eastAsia="zh-CN"/>
              </w:rPr>
              <w:t>m</w:t>
            </w:r>
            <w:r>
              <w:rPr>
                <w:rFonts w:hint="eastAsia" w:ascii="Times New Roman" w:hAnsi="Times New Roman" w:eastAsia="宋体" w:cs="Times New Roman"/>
                <w:color w:val="auto"/>
                <w:sz w:val="18"/>
                <w:szCs w:val="18"/>
                <w:vertAlign w:val="superscript"/>
                <w:lang w:eastAsia="zh-CN"/>
              </w:rPr>
              <w:t>3）</w:t>
            </w:r>
          </w:p>
        </w:tc>
        <w:tc>
          <w:tcPr>
            <w:tcW w:w="596" w:type="pct"/>
            <w:shd w:val="clear" w:color="auto" w:fill="auto"/>
            <w:vAlign w:val="center"/>
          </w:tcPr>
          <w:p w14:paraId="6007AC6D">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0.091</w:t>
            </w:r>
          </w:p>
        </w:tc>
        <w:tc>
          <w:tcPr>
            <w:tcW w:w="595" w:type="pct"/>
            <w:shd w:val="clear" w:color="auto" w:fill="auto"/>
            <w:vAlign w:val="center"/>
          </w:tcPr>
          <w:p w14:paraId="7A5924D1">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1.78</w:t>
            </w:r>
          </w:p>
        </w:tc>
        <w:tc>
          <w:tcPr>
            <w:tcW w:w="653" w:type="pct"/>
            <w:shd w:val="clear" w:color="auto" w:fill="auto"/>
            <w:vAlign w:val="center"/>
          </w:tcPr>
          <w:p w14:paraId="3E34DDAE">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2.83</w:t>
            </w:r>
          </w:p>
        </w:tc>
        <w:tc>
          <w:tcPr>
            <w:tcW w:w="730" w:type="pct"/>
            <w:shd w:val="clear" w:color="auto" w:fill="auto"/>
            <w:vAlign w:val="center"/>
          </w:tcPr>
          <w:p w14:paraId="47FA05F7">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100</w:t>
            </w:r>
          </w:p>
        </w:tc>
      </w:tr>
      <w:tr w14:paraId="618062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79" w:type="pct"/>
            <w:vMerge w:val="continue"/>
            <w:tcBorders>
              <w:left w:val="single" w:color="auto" w:sz="4" w:space="0"/>
              <w:right w:val="single" w:color="auto" w:sz="4" w:space="0"/>
            </w:tcBorders>
          </w:tcPr>
          <w:p w14:paraId="2AEC8097">
            <w:pPr>
              <w:jc w:val="center"/>
              <w:rPr>
                <w:rFonts w:ascii="Times New Roman" w:hAnsi="Times New Roman" w:eastAsia="宋体" w:cs="Times New Roman"/>
                <w:color w:val="auto"/>
                <w:szCs w:val="21"/>
                <w:lang w:eastAsia="en-US"/>
              </w:rPr>
            </w:pPr>
          </w:p>
        </w:tc>
        <w:tc>
          <w:tcPr>
            <w:tcW w:w="724" w:type="pct"/>
            <w:vMerge w:val="continue"/>
          </w:tcPr>
          <w:p w14:paraId="73713766">
            <w:pPr>
              <w:jc w:val="center"/>
              <w:rPr>
                <w:rFonts w:hint="eastAsia" w:ascii="Times New Roman" w:hAnsi="Times New Roman" w:eastAsia="宋体" w:cs="Times New Roman"/>
                <w:color w:val="auto"/>
                <w:szCs w:val="21"/>
                <w:lang w:val="en-US" w:eastAsia="zh-CN"/>
              </w:rPr>
            </w:pPr>
          </w:p>
        </w:tc>
        <w:tc>
          <w:tcPr>
            <w:tcW w:w="1320" w:type="pct"/>
            <w:shd w:val="clear" w:color="auto" w:fill="auto"/>
            <w:vAlign w:val="center"/>
          </w:tcPr>
          <w:p w14:paraId="07B0513A">
            <w:pPr>
              <w:jc w:val="center"/>
              <w:rPr>
                <w:rFonts w:hint="eastAsia" w:ascii="Times New Roman" w:hAnsi="Times New Roman" w:eastAsia="宋体" w:cs="Times New Roman"/>
                <w:color w:val="auto"/>
                <w:kern w:val="2"/>
                <w:sz w:val="18"/>
                <w:szCs w:val="18"/>
                <w:lang w:val="en-US" w:eastAsia="zh-CN" w:bidi="ar-SA"/>
              </w:rPr>
            </w:pPr>
            <w:r>
              <w:rPr>
                <w:rFonts w:ascii="Times New Roman" w:hAnsi="Times New Roman" w:eastAsia="宋体" w:cs="Times New Roman"/>
                <w:color w:val="auto"/>
                <w:sz w:val="18"/>
                <w:szCs w:val="18"/>
                <w:lang w:eastAsia="en-US"/>
              </w:rPr>
              <w:t>排放速率（kg/h）</w:t>
            </w:r>
          </w:p>
        </w:tc>
        <w:tc>
          <w:tcPr>
            <w:tcW w:w="596" w:type="pct"/>
            <w:shd w:val="clear" w:color="auto" w:fill="auto"/>
            <w:vAlign w:val="center"/>
          </w:tcPr>
          <w:p w14:paraId="3215E2F6">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0.00031</w:t>
            </w:r>
          </w:p>
        </w:tc>
        <w:tc>
          <w:tcPr>
            <w:tcW w:w="595" w:type="pct"/>
            <w:shd w:val="clear" w:color="auto" w:fill="auto"/>
            <w:vAlign w:val="center"/>
          </w:tcPr>
          <w:p w14:paraId="19FFE60E">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0.0061</w:t>
            </w:r>
          </w:p>
        </w:tc>
        <w:tc>
          <w:tcPr>
            <w:tcW w:w="653" w:type="pct"/>
            <w:shd w:val="clear" w:color="auto" w:fill="auto"/>
            <w:vAlign w:val="center"/>
          </w:tcPr>
          <w:p w14:paraId="028FC7B1">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0.0097</w:t>
            </w:r>
          </w:p>
        </w:tc>
        <w:tc>
          <w:tcPr>
            <w:tcW w:w="730" w:type="pct"/>
            <w:shd w:val="clear" w:color="auto" w:fill="auto"/>
            <w:vAlign w:val="center"/>
          </w:tcPr>
          <w:p w14:paraId="58394503">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w:t>
            </w:r>
          </w:p>
        </w:tc>
      </w:tr>
      <w:tr w14:paraId="4686A7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79" w:type="pct"/>
            <w:vMerge w:val="continue"/>
            <w:tcBorders>
              <w:left w:val="single" w:color="auto" w:sz="4" w:space="0"/>
              <w:right w:val="single" w:color="auto" w:sz="4" w:space="0"/>
            </w:tcBorders>
          </w:tcPr>
          <w:p w14:paraId="6A7A84F3">
            <w:pPr>
              <w:jc w:val="center"/>
              <w:rPr>
                <w:rFonts w:ascii="Times New Roman" w:hAnsi="Times New Roman" w:eastAsia="宋体" w:cs="Times New Roman"/>
                <w:color w:val="auto"/>
                <w:szCs w:val="21"/>
                <w:lang w:eastAsia="en-US"/>
              </w:rPr>
            </w:pPr>
          </w:p>
        </w:tc>
        <w:tc>
          <w:tcPr>
            <w:tcW w:w="724" w:type="pct"/>
            <w:vMerge w:val="restart"/>
            <w:shd w:val="clear" w:color="auto" w:fill="auto"/>
            <w:vAlign w:val="center"/>
          </w:tcPr>
          <w:p w14:paraId="437AA367">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硫化氢</w:t>
            </w:r>
          </w:p>
        </w:tc>
        <w:tc>
          <w:tcPr>
            <w:tcW w:w="1320" w:type="pct"/>
            <w:shd w:val="clear" w:color="auto" w:fill="auto"/>
            <w:vAlign w:val="center"/>
          </w:tcPr>
          <w:p w14:paraId="459F9E54">
            <w:pPr>
              <w:jc w:val="center"/>
              <w:rPr>
                <w:rFonts w:hint="eastAsia" w:ascii="Times New Roman" w:hAnsi="Times New Roman" w:eastAsia="宋体" w:cs="Times New Roman"/>
                <w:color w:val="auto"/>
                <w:kern w:val="2"/>
                <w:sz w:val="18"/>
                <w:szCs w:val="18"/>
                <w:lang w:val="en-US" w:eastAsia="zh-CN" w:bidi="ar-SA"/>
              </w:rPr>
            </w:pPr>
            <w:r>
              <w:rPr>
                <w:rFonts w:ascii="Times New Roman" w:hAnsi="Times New Roman" w:eastAsia="宋体" w:cs="Times New Roman"/>
                <w:color w:val="auto"/>
                <w:sz w:val="18"/>
                <w:szCs w:val="18"/>
                <w:lang w:eastAsia="en-US"/>
              </w:rPr>
              <w:t>排放浓度（mg/</w:t>
            </w:r>
            <w:r>
              <w:rPr>
                <w:rFonts w:hint="eastAsia" w:ascii="Times New Roman" w:hAnsi="Times New Roman" w:eastAsia="宋体" w:cs="Times New Roman"/>
                <w:color w:val="auto"/>
                <w:sz w:val="18"/>
                <w:szCs w:val="18"/>
                <w:lang w:eastAsia="zh-CN"/>
              </w:rPr>
              <w:t>m</w:t>
            </w:r>
            <w:r>
              <w:rPr>
                <w:rFonts w:hint="eastAsia" w:ascii="Times New Roman" w:hAnsi="Times New Roman" w:eastAsia="宋体" w:cs="Times New Roman"/>
                <w:color w:val="auto"/>
                <w:sz w:val="18"/>
                <w:szCs w:val="18"/>
                <w:vertAlign w:val="superscript"/>
                <w:lang w:eastAsia="zh-CN"/>
              </w:rPr>
              <w:t>3</w:t>
            </w:r>
            <w:r>
              <w:rPr>
                <w:rFonts w:ascii="Times New Roman" w:hAnsi="Times New Roman" w:eastAsia="宋体" w:cs="Times New Roman"/>
                <w:color w:val="auto"/>
                <w:sz w:val="18"/>
                <w:szCs w:val="18"/>
                <w:lang w:eastAsia="en-US"/>
              </w:rPr>
              <w:t>）</w:t>
            </w:r>
          </w:p>
        </w:tc>
        <w:tc>
          <w:tcPr>
            <w:tcW w:w="596" w:type="pct"/>
            <w:shd w:val="clear" w:color="auto" w:fill="auto"/>
            <w:vAlign w:val="center"/>
          </w:tcPr>
          <w:p w14:paraId="6A08B37C">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1.02</w:t>
            </w:r>
          </w:p>
        </w:tc>
        <w:tc>
          <w:tcPr>
            <w:tcW w:w="595" w:type="pct"/>
            <w:shd w:val="clear" w:color="auto" w:fill="auto"/>
            <w:vAlign w:val="center"/>
          </w:tcPr>
          <w:p w14:paraId="21E3EAD8">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0.84</w:t>
            </w:r>
          </w:p>
        </w:tc>
        <w:tc>
          <w:tcPr>
            <w:tcW w:w="653" w:type="pct"/>
            <w:shd w:val="clear" w:color="auto" w:fill="auto"/>
            <w:vAlign w:val="center"/>
          </w:tcPr>
          <w:p w14:paraId="6F173CB0">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1.07</w:t>
            </w:r>
          </w:p>
        </w:tc>
        <w:tc>
          <w:tcPr>
            <w:tcW w:w="730" w:type="pct"/>
            <w:shd w:val="clear" w:color="auto" w:fill="auto"/>
            <w:vAlign w:val="center"/>
          </w:tcPr>
          <w:p w14:paraId="3A64FC3F">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5</w:t>
            </w:r>
          </w:p>
        </w:tc>
      </w:tr>
      <w:tr w14:paraId="64A0AF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79" w:type="pct"/>
            <w:vMerge w:val="continue"/>
            <w:tcBorders>
              <w:left w:val="single" w:color="auto" w:sz="4" w:space="0"/>
              <w:right w:val="single" w:color="auto" w:sz="4" w:space="0"/>
            </w:tcBorders>
          </w:tcPr>
          <w:p w14:paraId="7EB96A2D">
            <w:pPr>
              <w:jc w:val="center"/>
              <w:rPr>
                <w:rFonts w:ascii="Times New Roman" w:hAnsi="Times New Roman" w:eastAsia="宋体" w:cs="Times New Roman"/>
                <w:color w:val="auto"/>
                <w:szCs w:val="21"/>
                <w:lang w:eastAsia="en-US"/>
              </w:rPr>
            </w:pPr>
          </w:p>
        </w:tc>
        <w:tc>
          <w:tcPr>
            <w:tcW w:w="724" w:type="pct"/>
            <w:vMerge w:val="continue"/>
          </w:tcPr>
          <w:p w14:paraId="55128716">
            <w:pPr>
              <w:jc w:val="center"/>
              <w:rPr>
                <w:rFonts w:hint="eastAsia" w:ascii="Times New Roman" w:hAnsi="Times New Roman" w:eastAsia="宋体" w:cs="Times New Roman"/>
                <w:color w:val="auto"/>
                <w:szCs w:val="21"/>
                <w:lang w:val="en-US" w:eastAsia="zh-CN"/>
              </w:rPr>
            </w:pPr>
          </w:p>
        </w:tc>
        <w:tc>
          <w:tcPr>
            <w:tcW w:w="1320" w:type="pct"/>
            <w:shd w:val="clear" w:color="auto" w:fill="auto"/>
            <w:vAlign w:val="center"/>
          </w:tcPr>
          <w:p w14:paraId="7BF8C71B">
            <w:pPr>
              <w:jc w:val="center"/>
              <w:rPr>
                <w:rFonts w:hint="eastAsia" w:ascii="Times New Roman" w:hAnsi="Times New Roman" w:eastAsia="宋体" w:cs="Times New Roman"/>
                <w:color w:val="auto"/>
                <w:kern w:val="2"/>
                <w:sz w:val="18"/>
                <w:szCs w:val="18"/>
                <w:lang w:val="en-US" w:eastAsia="zh-CN" w:bidi="ar-SA"/>
              </w:rPr>
            </w:pPr>
            <w:r>
              <w:rPr>
                <w:rFonts w:ascii="Times New Roman" w:hAnsi="Times New Roman" w:eastAsia="宋体" w:cs="Times New Roman"/>
                <w:color w:val="auto"/>
                <w:sz w:val="18"/>
                <w:szCs w:val="18"/>
                <w:lang w:eastAsia="en-US"/>
              </w:rPr>
              <w:t>排放速率（kg/h）</w:t>
            </w:r>
          </w:p>
        </w:tc>
        <w:tc>
          <w:tcPr>
            <w:tcW w:w="596" w:type="pct"/>
            <w:shd w:val="clear" w:color="auto" w:fill="auto"/>
            <w:vAlign w:val="center"/>
          </w:tcPr>
          <w:p w14:paraId="4A7D05EE">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0.0035</w:t>
            </w:r>
          </w:p>
        </w:tc>
        <w:tc>
          <w:tcPr>
            <w:tcW w:w="595" w:type="pct"/>
            <w:shd w:val="clear" w:color="auto" w:fill="auto"/>
            <w:vAlign w:val="center"/>
          </w:tcPr>
          <w:p w14:paraId="2F7E20D3">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0.0029</w:t>
            </w:r>
          </w:p>
        </w:tc>
        <w:tc>
          <w:tcPr>
            <w:tcW w:w="653" w:type="pct"/>
            <w:shd w:val="clear" w:color="auto" w:fill="auto"/>
            <w:vAlign w:val="center"/>
          </w:tcPr>
          <w:p w14:paraId="06D08525">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0.0037</w:t>
            </w:r>
          </w:p>
        </w:tc>
        <w:tc>
          <w:tcPr>
            <w:tcW w:w="730" w:type="pct"/>
            <w:shd w:val="clear" w:color="auto" w:fill="auto"/>
            <w:vAlign w:val="center"/>
          </w:tcPr>
          <w:p w14:paraId="4320AB20">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w:t>
            </w:r>
          </w:p>
        </w:tc>
      </w:tr>
      <w:tr w14:paraId="7F6C97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79" w:type="pct"/>
            <w:vMerge w:val="restart"/>
            <w:shd w:val="clear" w:color="auto" w:fill="auto"/>
            <w:vAlign w:val="center"/>
          </w:tcPr>
          <w:p w14:paraId="3CD46732">
            <w:pPr>
              <w:jc w:val="center"/>
              <w:rPr>
                <w:rFonts w:ascii="Times New Roman" w:hAnsi="Times New Roman" w:eastAsia="宋体" w:cs="Times New Roman"/>
                <w:color w:val="auto"/>
                <w:kern w:val="2"/>
                <w:sz w:val="18"/>
                <w:szCs w:val="18"/>
                <w:lang w:val="en-US" w:eastAsia="en-US" w:bidi="ar-SA"/>
              </w:rPr>
            </w:pPr>
            <w:r>
              <w:rPr>
                <w:rFonts w:hint="eastAsia" w:ascii="Times New Roman" w:hAnsi="Times New Roman" w:eastAsia="宋体" w:cs="Times New Roman"/>
                <w:color w:val="auto"/>
                <w:sz w:val="18"/>
                <w:szCs w:val="18"/>
                <w:lang w:val="en-US" w:eastAsia="zh-CN"/>
              </w:rPr>
              <w:t>DA003干燥废气排气筒出口</w:t>
            </w:r>
          </w:p>
        </w:tc>
        <w:tc>
          <w:tcPr>
            <w:tcW w:w="724" w:type="pct"/>
            <w:shd w:val="clear" w:color="auto" w:fill="auto"/>
            <w:vAlign w:val="center"/>
          </w:tcPr>
          <w:p w14:paraId="1E131702">
            <w:pPr>
              <w:jc w:val="center"/>
              <w:rPr>
                <w:rFonts w:hint="eastAsia" w:ascii="Times New Roman" w:hAnsi="Times New Roman" w:eastAsia="宋体" w:cs="Times New Roman"/>
                <w:color w:val="auto"/>
                <w:kern w:val="2"/>
                <w:sz w:val="18"/>
                <w:szCs w:val="18"/>
                <w:lang w:val="en-US" w:eastAsia="zh-CN" w:bidi="ar-SA"/>
              </w:rPr>
            </w:pPr>
            <w:r>
              <w:rPr>
                <w:rFonts w:ascii="Times New Roman" w:hAnsi="Times New Roman" w:eastAsia="宋体" w:cs="Times New Roman"/>
                <w:color w:val="auto"/>
                <w:sz w:val="18"/>
                <w:szCs w:val="18"/>
                <w:lang w:eastAsia="en-US"/>
              </w:rPr>
              <w:t>烟气流量</w:t>
            </w:r>
          </w:p>
        </w:tc>
        <w:tc>
          <w:tcPr>
            <w:tcW w:w="1320" w:type="pct"/>
            <w:shd w:val="clear" w:color="auto" w:fill="auto"/>
            <w:vAlign w:val="center"/>
          </w:tcPr>
          <w:p w14:paraId="02AEE1D6">
            <w:pPr>
              <w:jc w:val="center"/>
              <w:rPr>
                <w:rFonts w:hint="eastAsia" w:ascii="Times New Roman" w:hAnsi="Times New Roman" w:eastAsia="宋体" w:cs="Times New Roman"/>
                <w:color w:val="auto"/>
                <w:kern w:val="2"/>
                <w:sz w:val="18"/>
                <w:szCs w:val="18"/>
                <w:lang w:val="en-US" w:eastAsia="en-US" w:bidi="ar-SA"/>
              </w:rPr>
            </w:pPr>
            <w:r>
              <w:rPr>
                <w:rFonts w:ascii="Times New Roman" w:hAnsi="Times New Roman" w:eastAsia="宋体" w:cs="Times New Roman"/>
                <w:color w:val="auto"/>
                <w:sz w:val="18"/>
                <w:szCs w:val="18"/>
                <w:lang w:eastAsia="en-US"/>
              </w:rPr>
              <w:t>（N•</w:t>
            </w:r>
            <w:r>
              <w:rPr>
                <w:rFonts w:hint="eastAsia" w:ascii="Times New Roman" w:hAnsi="Times New Roman" w:eastAsia="宋体" w:cs="Times New Roman"/>
                <w:color w:val="auto"/>
                <w:sz w:val="18"/>
                <w:szCs w:val="18"/>
                <w:lang w:eastAsia="zh-CN"/>
              </w:rPr>
              <w:t>m</w:t>
            </w:r>
            <w:r>
              <w:rPr>
                <w:rFonts w:hint="eastAsia" w:ascii="Times New Roman" w:hAnsi="Times New Roman" w:eastAsia="宋体" w:cs="Times New Roman"/>
                <w:color w:val="auto"/>
                <w:sz w:val="18"/>
                <w:szCs w:val="18"/>
                <w:vertAlign w:val="superscript"/>
                <w:lang w:eastAsia="zh-CN"/>
              </w:rPr>
              <w:t>3</w:t>
            </w:r>
            <w:r>
              <w:rPr>
                <w:rFonts w:ascii="Times New Roman" w:hAnsi="Times New Roman" w:eastAsia="宋体" w:cs="Times New Roman"/>
                <w:color w:val="auto"/>
                <w:sz w:val="18"/>
                <w:szCs w:val="18"/>
                <w:lang w:eastAsia="en-US"/>
              </w:rPr>
              <w:t>/h）</w:t>
            </w:r>
          </w:p>
        </w:tc>
        <w:tc>
          <w:tcPr>
            <w:tcW w:w="596" w:type="pct"/>
            <w:shd w:val="clear" w:color="auto" w:fill="auto"/>
            <w:vAlign w:val="center"/>
          </w:tcPr>
          <w:p w14:paraId="6E68AB01">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1393</w:t>
            </w:r>
          </w:p>
        </w:tc>
        <w:tc>
          <w:tcPr>
            <w:tcW w:w="595" w:type="pct"/>
            <w:shd w:val="clear" w:color="auto" w:fill="auto"/>
            <w:vAlign w:val="center"/>
          </w:tcPr>
          <w:p w14:paraId="431DFE5D">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1397</w:t>
            </w:r>
          </w:p>
        </w:tc>
        <w:tc>
          <w:tcPr>
            <w:tcW w:w="653" w:type="pct"/>
            <w:shd w:val="clear" w:color="auto" w:fill="auto"/>
            <w:vAlign w:val="center"/>
          </w:tcPr>
          <w:p w14:paraId="35F8819C">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1403</w:t>
            </w:r>
          </w:p>
        </w:tc>
        <w:tc>
          <w:tcPr>
            <w:tcW w:w="730" w:type="pct"/>
            <w:shd w:val="clear" w:color="auto" w:fill="auto"/>
            <w:vAlign w:val="center"/>
          </w:tcPr>
          <w:p w14:paraId="07188BAC">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w:t>
            </w:r>
          </w:p>
        </w:tc>
      </w:tr>
      <w:tr w14:paraId="1FBF2F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79" w:type="pct"/>
            <w:vMerge w:val="continue"/>
          </w:tcPr>
          <w:p w14:paraId="10DE70CC">
            <w:pPr>
              <w:jc w:val="center"/>
              <w:rPr>
                <w:rFonts w:ascii="Times New Roman" w:hAnsi="Times New Roman" w:eastAsia="宋体" w:cs="Times New Roman"/>
                <w:color w:val="auto"/>
                <w:szCs w:val="21"/>
                <w:lang w:eastAsia="en-US"/>
              </w:rPr>
            </w:pPr>
          </w:p>
        </w:tc>
        <w:tc>
          <w:tcPr>
            <w:tcW w:w="724" w:type="pct"/>
            <w:vMerge w:val="restart"/>
            <w:shd w:val="clear" w:color="auto" w:fill="auto"/>
            <w:vAlign w:val="center"/>
          </w:tcPr>
          <w:p w14:paraId="6C9D6F2C">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颗粒物</w:t>
            </w:r>
          </w:p>
        </w:tc>
        <w:tc>
          <w:tcPr>
            <w:tcW w:w="1320" w:type="pct"/>
            <w:shd w:val="clear" w:color="auto" w:fill="auto"/>
            <w:vAlign w:val="center"/>
          </w:tcPr>
          <w:p w14:paraId="5A3D3297">
            <w:pPr>
              <w:jc w:val="center"/>
              <w:rPr>
                <w:rFonts w:hint="eastAsia" w:ascii="Times New Roman" w:hAnsi="Times New Roman" w:eastAsia="宋体" w:cs="Times New Roman"/>
                <w:color w:val="auto"/>
                <w:kern w:val="2"/>
                <w:sz w:val="18"/>
                <w:szCs w:val="18"/>
                <w:lang w:val="en-US" w:eastAsia="en-US" w:bidi="ar-SA"/>
              </w:rPr>
            </w:pPr>
            <w:r>
              <w:rPr>
                <w:rFonts w:ascii="Times New Roman" w:hAnsi="Times New Roman" w:eastAsia="宋体" w:cs="Times New Roman"/>
                <w:color w:val="auto"/>
                <w:sz w:val="18"/>
                <w:szCs w:val="18"/>
                <w:lang w:eastAsia="en-US"/>
              </w:rPr>
              <w:t>排放浓度（mg/</w:t>
            </w:r>
            <w:r>
              <w:rPr>
                <w:rFonts w:hint="eastAsia" w:ascii="Times New Roman" w:hAnsi="Times New Roman" w:eastAsia="宋体" w:cs="Times New Roman"/>
                <w:color w:val="auto"/>
                <w:sz w:val="18"/>
                <w:szCs w:val="18"/>
                <w:lang w:eastAsia="zh-CN"/>
              </w:rPr>
              <w:t>m</w:t>
            </w:r>
            <w:r>
              <w:rPr>
                <w:rFonts w:hint="eastAsia" w:ascii="Times New Roman" w:hAnsi="Times New Roman" w:eastAsia="宋体" w:cs="Times New Roman"/>
                <w:color w:val="auto"/>
                <w:sz w:val="18"/>
                <w:szCs w:val="18"/>
                <w:vertAlign w:val="superscript"/>
                <w:lang w:eastAsia="zh-CN"/>
              </w:rPr>
              <w:t>3</w:t>
            </w:r>
            <w:r>
              <w:rPr>
                <w:rFonts w:ascii="Times New Roman" w:hAnsi="Times New Roman" w:eastAsia="宋体" w:cs="Times New Roman"/>
                <w:color w:val="auto"/>
                <w:sz w:val="18"/>
                <w:szCs w:val="18"/>
                <w:lang w:eastAsia="en-US"/>
              </w:rPr>
              <w:t>）</w:t>
            </w:r>
          </w:p>
        </w:tc>
        <w:tc>
          <w:tcPr>
            <w:tcW w:w="596" w:type="pct"/>
            <w:shd w:val="clear" w:color="auto" w:fill="auto"/>
            <w:vAlign w:val="center"/>
          </w:tcPr>
          <w:p w14:paraId="274CA6C0">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9.9</w:t>
            </w:r>
          </w:p>
        </w:tc>
        <w:tc>
          <w:tcPr>
            <w:tcW w:w="595" w:type="pct"/>
            <w:shd w:val="clear" w:color="auto" w:fill="auto"/>
            <w:vAlign w:val="center"/>
          </w:tcPr>
          <w:p w14:paraId="0DA774ED">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9.6</w:t>
            </w:r>
          </w:p>
        </w:tc>
        <w:tc>
          <w:tcPr>
            <w:tcW w:w="653" w:type="pct"/>
            <w:shd w:val="clear" w:color="auto" w:fill="auto"/>
            <w:vAlign w:val="center"/>
          </w:tcPr>
          <w:p w14:paraId="519A445F">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10.1</w:t>
            </w:r>
          </w:p>
        </w:tc>
        <w:tc>
          <w:tcPr>
            <w:tcW w:w="730" w:type="pct"/>
            <w:shd w:val="clear" w:color="auto" w:fill="auto"/>
            <w:vAlign w:val="center"/>
          </w:tcPr>
          <w:p w14:paraId="5752C2F1">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30</w:t>
            </w:r>
          </w:p>
        </w:tc>
      </w:tr>
      <w:tr w14:paraId="6B5B94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79" w:type="pct"/>
            <w:vMerge w:val="continue"/>
          </w:tcPr>
          <w:p w14:paraId="7ABA9C79">
            <w:pPr>
              <w:jc w:val="center"/>
              <w:rPr>
                <w:rFonts w:ascii="Times New Roman" w:hAnsi="Times New Roman" w:eastAsia="宋体" w:cs="Times New Roman"/>
                <w:color w:val="auto"/>
                <w:szCs w:val="21"/>
                <w:lang w:eastAsia="en-US"/>
              </w:rPr>
            </w:pPr>
          </w:p>
        </w:tc>
        <w:tc>
          <w:tcPr>
            <w:tcW w:w="724" w:type="pct"/>
            <w:vMerge w:val="continue"/>
          </w:tcPr>
          <w:p w14:paraId="72DDBEAD">
            <w:pPr>
              <w:jc w:val="center"/>
              <w:rPr>
                <w:rFonts w:hint="eastAsia" w:ascii="Times New Roman" w:hAnsi="Times New Roman" w:eastAsia="宋体" w:cs="Times New Roman"/>
                <w:color w:val="auto"/>
                <w:szCs w:val="21"/>
                <w:lang w:val="en-US" w:eastAsia="zh-CN"/>
              </w:rPr>
            </w:pPr>
          </w:p>
        </w:tc>
        <w:tc>
          <w:tcPr>
            <w:tcW w:w="1320" w:type="pct"/>
            <w:shd w:val="clear" w:color="auto" w:fill="auto"/>
            <w:vAlign w:val="center"/>
          </w:tcPr>
          <w:p w14:paraId="7E034D4C">
            <w:pPr>
              <w:jc w:val="center"/>
              <w:rPr>
                <w:rFonts w:hint="eastAsia" w:ascii="Times New Roman" w:hAnsi="Times New Roman" w:eastAsia="宋体" w:cs="Times New Roman"/>
                <w:color w:val="auto"/>
                <w:kern w:val="2"/>
                <w:sz w:val="18"/>
                <w:szCs w:val="18"/>
                <w:lang w:val="en-US" w:eastAsia="en-US" w:bidi="ar-SA"/>
              </w:rPr>
            </w:pPr>
            <w:r>
              <w:rPr>
                <w:rFonts w:ascii="Times New Roman" w:hAnsi="Times New Roman" w:eastAsia="宋体" w:cs="Times New Roman"/>
                <w:color w:val="auto"/>
                <w:sz w:val="18"/>
                <w:szCs w:val="18"/>
                <w:lang w:eastAsia="en-US"/>
              </w:rPr>
              <w:t>排放速率（kg/h）</w:t>
            </w:r>
          </w:p>
        </w:tc>
        <w:tc>
          <w:tcPr>
            <w:tcW w:w="596" w:type="pct"/>
            <w:shd w:val="clear" w:color="auto" w:fill="auto"/>
            <w:vAlign w:val="center"/>
          </w:tcPr>
          <w:p w14:paraId="69E5AFEE">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0.01</w:t>
            </w:r>
          </w:p>
        </w:tc>
        <w:tc>
          <w:tcPr>
            <w:tcW w:w="595" w:type="pct"/>
            <w:shd w:val="clear" w:color="auto" w:fill="auto"/>
            <w:vAlign w:val="center"/>
          </w:tcPr>
          <w:p w14:paraId="3D15A2F2">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0.01</w:t>
            </w:r>
          </w:p>
        </w:tc>
        <w:tc>
          <w:tcPr>
            <w:tcW w:w="653" w:type="pct"/>
            <w:shd w:val="clear" w:color="auto" w:fill="auto"/>
            <w:vAlign w:val="center"/>
          </w:tcPr>
          <w:p w14:paraId="7AD35FE9">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0.01</w:t>
            </w:r>
          </w:p>
        </w:tc>
        <w:tc>
          <w:tcPr>
            <w:tcW w:w="730" w:type="pct"/>
            <w:shd w:val="clear" w:color="auto" w:fill="auto"/>
            <w:vAlign w:val="center"/>
          </w:tcPr>
          <w:p w14:paraId="5D44D116">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w:t>
            </w:r>
          </w:p>
        </w:tc>
      </w:tr>
      <w:tr w14:paraId="444889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79" w:type="pct"/>
            <w:vMerge w:val="continue"/>
          </w:tcPr>
          <w:p w14:paraId="55330072">
            <w:pPr>
              <w:jc w:val="center"/>
              <w:rPr>
                <w:rFonts w:ascii="Times New Roman" w:hAnsi="Times New Roman" w:eastAsia="宋体" w:cs="Times New Roman"/>
                <w:color w:val="auto"/>
                <w:szCs w:val="21"/>
                <w:lang w:eastAsia="en-US"/>
              </w:rPr>
            </w:pPr>
          </w:p>
        </w:tc>
        <w:tc>
          <w:tcPr>
            <w:tcW w:w="724" w:type="pct"/>
            <w:vMerge w:val="restart"/>
            <w:shd w:val="clear" w:color="auto" w:fill="auto"/>
            <w:vAlign w:val="center"/>
          </w:tcPr>
          <w:p w14:paraId="7E1888E1">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TVOC</w:t>
            </w:r>
          </w:p>
        </w:tc>
        <w:tc>
          <w:tcPr>
            <w:tcW w:w="1320" w:type="pct"/>
            <w:shd w:val="clear" w:color="auto" w:fill="auto"/>
            <w:vAlign w:val="center"/>
          </w:tcPr>
          <w:p w14:paraId="4212F804">
            <w:pPr>
              <w:jc w:val="center"/>
              <w:rPr>
                <w:rFonts w:hint="eastAsia" w:ascii="Times New Roman" w:hAnsi="Times New Roman" w:eastAsia="宋体" w:cs="Times New Roman"/>
                <w:color w:val="auto"/>
                <w:kern w:val="2"/>
                <w:sz w:val="18"/>
                <w:szCs w:val="18"/>
                <w:lang w:val="en-US" w:eastAsia="en-US" w:bidi="ar-SA"/>
              </w:rPr>
            </w:pPr>
            <w:r>
              <w:rPr>
                <w:rFonts w:ascii="Times New Roman" w:hAnsi="Times New Roman" w:eastAsia="宋体" w:cs="Times New Roman"/>
                <w:color w:val="auto"/>
                <w:sz w:val="18"/>
                <w:szCs w:val="18"/>
                <w:lang w:eastAsia="en-US"/>
              </w:rPr>
              <w:t>排放浓度（mg/</w:t>
            </w:r>
            <w:r>
              <w:rPr>
                <w:rFonts w:hint="eastAsia" w:ascii="Times New Roman" w:hAnsi="Times New Roman" w:eastAsia="宋体" w:cs="Times New Roman"/>
                <w:color w:val="auto"/>
                <w:sz w:val="18"/>
                <w:szCs w:val="18"/>
                <w:lang w:eastAsia="zh-CN"/>
              </w:rPr>
              <w:t>m</w:t>
            </w:r>
            <w:r>
              <w:rPr>
                <w:rFonts w:hint="eastAsia" w:ascii="Times New Roman" w:hAnsi="Times New Roman" w:eastAsia="宋体" w:cs="Times New Roman"/>
                <w:color w:val="auto"/>
                <w:sz w:val="18"/>
                <w:szCs w:val="18"/>
                <w:vertAlign w:val="superscript"/>
                <w:lang w:eastAsia="zh-CN"/>
              </w:rPr>
              <w:t>3</w:t>
            </w:r>
            <w:r>
              <w:rPr>
                <w:rFonts w:ascii="Times New Roman" w:hAnsi="Times New Roman" w:eastAsia="宋体" w:cs="Times New Roman"/>
                <w:color w:val="auto"/>
                <w:sz w:val="18"/>
                <w:szCs w:val="18"/>
                <w:lang w:eastAsia="en-US"/>
              </w:rPr>
              <w:t>）</w:t>
            </w:r>
          </w:p>
        </w:tc>
        <w:tc>
          <w:tcPr>
            <w:tcW w:w="596" w:type="pct"/>
            <w:shd w:val="clear" w:color="auto" w:fill="auto"/>
            <w:vAlign w:val="center"/>
          </w:tcPr>
          <w:p w14:paraId="52C15D89">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0.021</w:t>
            </w:r>
          </w:p>
        </w:tc>
        <w:tc>
          <w:tcPr>
            <w:tcW w:w="595" w:type="pct"/>
            <w:shd w:val="clear" w:color="auto" w:fill="auto"/>
            <w:vAlign w:val="center"/>
          </w:tcPr>
          <w:p w14:paraId="4C3A16B1">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0.091</w:t>
            </w:r>
          </w:p>
        </w:tc>
        <w:tc>
          <w:tcPr>
            <w:tcW w:w="653" w:type="pct"/>
            <w:shd w:val="clear" w:color="auto" w:fill="auto"/>
            <w:vAlign w:val="center"/>
          </w:tcPr>
          <w:p w14:paraId="0608F933">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0.029</w:t>
            </w:r>
          </w:p>
        </w:tc>
        <w:tc>
          <w:tcPr>
            <w:tcW w:w="730" w:type="pct"/>
            <w:shd w:val="clear" w:color="auto" w:fill="auto"/>
            <w:vAlign w:val="center"/>
          </w:tcPr>
          <w:p w14:paraId="02B0734A">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40</w:t>
            </w:r>
          </w:p>
        </w:tc>
      </w:tr>
      <w:tr w14:paraId="41D609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79" w:type="pct"/>
            <w:vMerge w:val="continue"/>
          </w:tcPr>
          <w:p w14:paraId="61069BC5">
            <w:pPr>
              <w:jc w:val="center"/>
              <w:rPr>
                <w:rFonts w:ascii="Times New Roman" w:hAnsi="Times New Roman" w:eastAsia="宋体" w:cs="Times New Roman"/>
                <w:color w:val="auto"/>
                <w:szCs w:val="21"/>
                <w:lang w:eastAsia="en-US"/>
              </w:rPr>
            </w:pPr>
          </w:p>
        </w:tc>
        <w:tc>
          <w:tcPr>
            <w:tcW w:w="724" w:type="pct"/>
            <w:vMerge w:val="continue"/>
          </w:tcPr>
          <w:p w14:paraId="713D91A3">
            <w:pPr>
              <w:jc w:val="center"/>
              <w:rPr>
                <w:rFonts w:hint="eastAsia" w:ascii="Times New Roman" w:hAnsi="Times New Roman" w:eastAsia="宋体" w:cs="Times New Roman"/>
                <w:color w:val="auto"/>
                <w:szCs w:val="21"/>
                <w:lang w:val="en-US" w:eastAsia="zh-CN"/>
              </w:rPr>
            </w:pPr>
          </w:p>
        </w:tc>
        <w:tc>
          <w:tcPr>
            <w:tcW w:w="1320" w:type="pct"/>
            <w:shd w:val="clear" w:color="auto" w:fill="auto"/>
            <w:vAlign w:val="center"/>
          </w:tcPr>
          <w:p w14:paraId="264E9F58">
            <w:pPr>
              <w:jc w:val="center"/>
              <w:rPr>
                <w:rFonts w:hint="eastAsia" w:ascii="Times New Roman" w:hAnsi="Times New Roman" w:eastAsia="宋体" w:cs="Times New Roman"/>
                <w:color w:val="auto"/>
                <w:kern w:val="2"/>
                <w:sz w:val="18"/>
                <w:szCs w:val="18"/>
                <w:lang w:val="en-US" w:eastAsia="en-US" w:bidi="ar-SA"/>
              </w:rPr>
            </w:pPr>
            <w:r>
              <w:rPr>
                <w:rFonts w:ascii="Times New Roman" w:hAnsi="Times New Roman" w:eastAsia="宋体" w:cs="Times New Roman"/>
                <w:color w:val="auto"/>
                <w:sz w:val="18"/>
                <w:szCs w:val="18"/>
                <w:lang w:eastAsia="en-US"/>
              </w:rPr>
              <w:t>排放速率（kg/h）</w:t>
            </w:r>
          </w:p>
        </w:tc>
        <w:tc>
          <w:tcPr>
            <w:tcW w:w="596" w:type="pct"/>
            <w:shd w:val="clear" w:color="auto" w:fill="auto"/>
            <w:vAlign w:val="center"/>
          </w:tcPr>
          <w:p w14:paraId="4EE5CCEF">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0.000029</w:t>
            </w:r>
          </w:p>
        </w:tc>
        <w:tc>
          <w:tcPr>
            <w:tcW w:w="595" w:type="pct"/>
            <w:shd w:val="clear" w:color="auto" w:fill="auto"/>
            <w:vAlign w:val="center"/>
          </w:tcPr>
          <w:p w14:paraId="55351D28">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0.00013</w:t>
            </w:r>
          </w:p>
        </w:tc>
        <w:tc>
          <w:tcPr>
            <w:tcW w:w="653" w:type="pct"/>
            <w:shd w:val="clear" w:color="auto" w:fill="auto"/>
            <w:vAlign w:val="center"/>
          </w:tcPr>
          <w:p w14:paraId="33143C42">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0.000041</w:t>
            </w:r>
          </w:p>
        </w:tc>
        <w:tc>
          <w:tcPr>
            <w:tcW w:w="730" w:type="pct"/>
            <w:shd w:val="clear" w:color="auto" w:fill="auto"/>
            <w:vAlign w:val="center"/>
          </w:tcPr>
          <w:p w14:paraId="27E66104">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w:t>
            </w:r>
          </w:p>
        </w:tc>
      </w:tr>
      <w:tr w14:paraId="32C5D2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79" w:type="pct"/>
            <w:vMerge w:val="continue"/>
          </w:tcPr>
          <w:p w14:paraId="51B90960">
            <w:pPr>
              <w:jc w:val="center"/>
              <w:rPr>
                <w:rFonts w:ascii="Times New Roman" w:hAnsi="Times New Roman" w:eastAsia="宋体" w:cs="Times New Roman"/>
                <w:color w:val="auto"/>
                <w:szCs w:val="21"/>
                <w:lang w:eastAsia="en-US"/>
              </w:rPr>
            </w:pPr>
          </w:p>
        </w:tc>
        <w:tc>
          <w:tcPr>
            <w:tcW w:w="724" w:type="pct"/>
            <w:vMerge w:val="restart"/>
            <w:shd w:val="clear" w:color="auto" w:fill="auto"/>
            <w:vAlign w:val="center"/>
          </w:tcPr>
          <w:p w14:paraId="486880F3">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氨</w:t>
            </w:r>
          </w:p>
        </w:tc>
        <w:tc>
          <w:tcPr>
            <w:tcW w:w="1320" w:type="pct"/>
            <w:shd w:val="clear" w:color="auto" w:fill="auto"/>
            <w:vAlign w:val="center"/>
          </w:tcPr>
          <w:p w14:paraId="0F3E592A">
            <w:pPr>
              <w:jc w:val="center"/>
              <w:rPr>
                <w:rFonts w:hint="eastAsia" w:ascii="Times New Roman" w:hAnsi="Times New Roman" w:eastAsia="宋体" w:cs="Times New Roman"/>
                <w:color w:val="auto"/>
                <w:kern w:val="2"/>
                <w:sz w:val="18"/>
                <w:szCs w:val="18"/>
                <w:lang w:val="en-US" w:eastAsia="en-US" w:bidi="ar-SA"/>
              </w:rPr>
            </w:pPr>
            <w:r>
              <w:rPr>
                <w:rFonts w:ascii="Times New Roman" w:hAnsi="Times New Roman" w:eastAsia="宋体" w:cs="Times New Roman"/>
                <w:color w:val="auto"/>
                <w:sz w:val="18"/>
                <w:szCs w:val="18"/>
                <w:lang w:eastAsia="en-US"/>
              </w:rPr>
              <w:t>排放浓度（mg/</w:t>
            </w:r>
            <w:r>
              <w:rPr>
                <w:rFonts w:hint="eastAsia" w:ascii="Times New Roman" w:hAnsi="Times New Roman" w:eastAsia="宋体" w:cs="Times New Roman"/>
                <w:color w:val="auto"/>
                <w:sz w:val="18"/>
                <w:szCs w:val="18"/>
                <w:lang w:eastAsia="zh-CN"/>
              </w:rPr>
              <w:t>m</w:t>
            </w:r>
            <w:r>
              <w:rPr>
                <w:rFonts w:hint="eastAsia" w:ascii="Times New Roman" w:hAnsi="Times New Roman" w:eastAsia="宋体" w:cs="Times New Roman"/>
                <w:color w:val="auto"/>
                <w:sz w:val="18"/>
                <w:szCs w:val="18"/>
                <w:vertAlign w:val="superscript"/>
                <w:lang w:eastAsia="zh-CN"/>
              </w:rPr>
              <w:t>3</w:t>
            </w:r>
            <w:r>
              <w:rPr>
                <w:rFonts w:ascii="Times New Roman" w:hAnsi="Times New Roman" w:eastAsia="宋体" w:cs="Times New Roman"/>
                <w:color w:val="auto"/>
                <w:sz w:val="18"/>
                <w:szCs w:val="18"/>
                <w:lang w:eastAsia="en-US"/>
              </w:rPr>
              <w:t>）</w:t>
            </w:r>
          </w:p>
        </w:tc>
        <w:tc>
          <w:tcPr>
            <w:tcW w:w="596" w:type="pct"/>
            <w:shd w:val="clear" w:color="auto" w:fill="auto"/>
            <w:vAlign w:val="center"/>
          </w:tcPr>
          <w:p w14:paraId="4FD59D6C">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1.04</w:t>
            </w:r>
          </w:p>
        </w:tc>
        <w:tc>
          <w:tcPr>
            <w:tcW w:w="595" w:type="pct"/>
            <w:shd w:val="clear" w:color="auto" w:fill="auto"/>
            <w:vAlign w:val="center"/>
          </w:tcPr>
          <w:p w14:paraId="739AF7EF">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0.97</w:t>
            </w:r>
          </w:p>
        </w:tc>
        <w:tc>
          <w:tcPr>
            <w:tcW w:w="653" w:type="pct"/>
            <w:shd w:val="clear" w:color="auto" w:fill="auto"/>
            <w:vAlign w:val="center"/>
          </w:tcPr>
          <w:p w14:paraId="70E76545">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0.98</w:t>
            </w:r>
          </w:p>
        </w:tc>
        <w:tc>
          <w:tcPr>
            <w:tcW w:w="730" w:type="pct"/>
            <w:shd w:val="clear" w:color="auto" w:fill="auto"/>
            <w:vAlign w:val="center"/>
          </w:tcPr>
          <w:p w14:paraId="651A6D6C">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30</w:t>
            </w:r>
          </w:p>
        </w:tc>
      </w:tr>
      <w:tr w14:paraId="31E675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79" w:type="pct"/>
            <w:vMerge w:val="continue"/>
          </w:tcPr>
          <w:p w14:paraId="288B7013">
            <w:pPr>
              <w:jc w:val="center"/>
              <w:rPr>
                <w:rFonts w:ascii="Times New Roman" w:hAnsi="Times New Roman" w:eastAsia="宋体" w:cs="Times New Roman"/>
                <w:color w:val="auto"/>
                <w:szCs w:val="21"/>
                <w:lang w:eastAsia="en-US"/>
              </w:rPr>
            </w:pPr>
          </w:p>
        </w:tc>
        <w:tc>
          <w:tcPr>
            <w:tcW w:w="724" w:type="pct"/>
            <w:vMerge w:val="continue"/>
          </w:tcPr>
          <w:p w14:paraId="7971602C">
            <w:pPr>
              <w:jc w:val="center"/>
              <w:rPr>
                <w:rFonts w:hint="eastAsia" w:ascii="Times New Roman" w:hAnsi="Times New Roman" w:eastAsia="宋体" w:cs="Times New Roman"/>
                <w:color w:val="auto"/>
                <w:szCs w:val="21"/>
                <w:lang w:val="en-US" w:eastAsia="zh-CN"/>
              </w:rPr>
            </w:pPr>
          </w:p>
        </w:tc>
        <w:tc>
          <w:tcPr>
            <w:tcW w:w="1320" w:type="pct"/>
            <w:shd w:val="clear" w:color="auto" w:fill="auto"/>
            <w:vAlign w:val="center"/>
          </w:tcPr>
          <w:p w14:paraId="22D5B344">
            <w:pPr>
              <w:jc w:val="center"/>
              <w:rPr>
                <w:rFonts w:hint="eastAsia" w:ascii="Times New Roman" w:hAnsi="Times New Roman" w:eastAsia="宋体" w:cs="Times New Roman"/>
                <w:color w:val="auto"/>
                <w:kern w:val="2"/>
                <w:sz w:val="18"/>
                <w:szCs w:val="18"/>
                <w:lang w:val="en-US" w:eastAsia="en-US" w:bidi="ar-SA"/>
              </w:rPr>
            </w:pPr>
            <w:r>
              <w:rPr>
                <w:rFonts w:ascii="Times New Roman" w:hAnsi="Times New Roman" w:eastAsia="宋体" w:cs="Times New Roman"/>
                <w:color w:val="auto"/>
                <w:sz w:val="18"/>
                <w:szCs w:val="18"/>
                <w:lang w:eastAsia="en-US"/>
              </w:rPr>
              <w:t>排放速率（kg/h）</w:t>
            </w:r>
          </w:p>
        </w:tc>
        <w:tc>
          <w:tcPr>
            <w:tcW w:w="596" w:type="pct"/>
            <w:shd w:val="clear" w:color="auto" w:fill="auto"/>
            <w:vAlign w:val="center"/>
          </w:tcPr>
          <w:p w14:paraId="0F233890">
            <w:pPr>
              <w:tabs>
                <w:tab w:val="left" w:pos="531"/>
              </w:tabs>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0.0014</w:t>
            </w:r>
          </w:p>
        </w:tc>
        <w:tc>
          <w:tcPr>
            <w:tcW w:w="595" w:type="pct"/>
            <w:shd w:val="clear" w:color="auto" w:fill="auto"/>
            <w:vAlign w:val="center"/>
          </w:tcPr>
          <w:p w14:paraId="2DDC08E5">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0.0014</w:t>
            </w:r>
          </w:p>
        </w:tc>
        <w:tc>
          <w:tcPr>
            <w:tcW w:w="653" w:type="pct"/>
            <w:shd w:val="clear" w:color="auto" w:fill="auto"/>
            <w:vAlign w:val="center"/>
          </w:tcPr>
          <w:p w14:paraId="3F0507FA">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0.0014</w:t>
            </w:r>
          </w:p>
        </w:tc>
        <w:tc>
          <w:tcPr>
            <w:tcW w:w="730" w:type="pct"/>
            <w:shd w:val="clear" w:color="auto" w:fill="auto"/>
            <w:vAlign w:val="center"/>
          </w:tcPr>
          <w:p w14:paraId="4FA93AD6">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w:t>
            </w:r>
          </w:p>
        </w:tc>
      </w:tr>
      <w:tr w14:paraId="6C390B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79" w:type="pct"/>
            <w:vMerge w:val="continue"/>
          </w:tcPr>
          <w:p w14:paraId="053FDC29">
            <w:pPr>
              <w:jc w:val="center"/>
              <w:rPr>
                <w:rFonts w:ascii="Times New Roman" w:hAnsi="Times New Roman" w:eastAsia="宋体" w:cs="Times New Roman"/>
                <w:color w:val="auto"/>
                <w:szCs w:val="21"/>
                <w:lang w:eastAsia="en-US"/>
              </w:rPr>
            </w:pPr>
          </w:p>
        </w:tc>
        <w:tc>
          <w:tcPr>
            <w:tcW w:w="724" w:type="pct"/>
            <w:vMerge w:val="restart"/>
            <w:shd w:val="clear" w:color="auto" w:fill="auto"/>
            <w:vAlign w:val="center"/>
          </w:tcPr>
          <w:p w14:paraId="3FC29EB2">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硫化氢</w:t>
            </w:r>
          </w:p>
        </w:tc>
        <w:tc>
          <w:tcPr>
            <w:tcW w:w="1320" w:type="pct"/>
            <w:shd w:val="clear" w:color="auto" w:fill="auto"/>
            <w:vAlign w:val="center"/>
          </w:tcPr>
          <w:p w14:paraId="586E5F1D">
            <w:pPr>
              <w:jc w:val="center"/>
              <w:rPr>
                <w:rFonts w:hint="eastAsia" w:ascii="Times New Roman" w:hAnsi="Times New Roman" w:eastAsia="宋体" w:cs="Times New Roman"/>
                <w:color w:val="auto"/>
                <w:kern w:val="2"/>
                <w:sz w:val="18"/>
                <w:szCs w:val="18"/>
                <w:lang w:val="en-US" w:eastAsia="en-US" w:bidi="ar-SA"/>
              </w:rPr>
            </w:pPr>
            <w:r>
              <w:rPr>
                <w:rFonts w:ascii="Times New Roman" w:hAnsi="Times New Roman" w:eastAsia="宋体" w:cs="Times New Roman"/>
                <w:color w:val="auto"/>
                <w:sz w:val="18"/>
                <w:szCs w:val="18"/>
                <w:lang w:eastAsia="en-US"/>
              </w:rPr>
              <w:t>排放浓度（mg/</w:t>
            </w:r>
            <w:r>
              <w:rPr>
                <w:rFonts w:hint="eastAsia" w:ascii="Times New Roman" w:hAnsi="Times New Roman" w:eastAsia="宋体" w:cs="Times New Roman"/>
                <w:color w:val="auto"/>
                <w:sz w:val="18"/>
                <w:szCs w:val="18"/>
                <w:lang w:eastAsia="zh-CN"/>
              </w:rPr>
              <w:t>m</w:t>
            </w:r>
            <w:r>
              <w:rPr>
                <w:rFonts w:hint="eastAsia" w:ascii="Times New Roman" w:hAnsi="Times New Roman" w:eastAsia="宋体" w:cs="Times New Roman"/>
                <w:color w:val="auto"/>
                <w:sz w:val="18"/>
                <w:szCs w:val="18"/>
                <w:vertAlign w:val="superscript"/>
                <w:lang w:eastAsia="zh-CN"/>
              </w:rPr>
              <w:t>3</w:t>
            </w:r>
            <w:r>
              <w:rPr>
                <w:rFonts w:ascii="Times New Roman" w:hAnsi="Times New Roman" w:eastAsia="宋体" w:cs="Times New Roman"/>
                <w:color w:val="auto"/>
                <w:sz w:val="18"/>
                <w:szCs w:val="18"/>
                <w:lang w:eastAsia="en-US"/>
              </w:rPr>
              <w:t>）</w:t>
            </w:r>
          </w:p>
        </w:tc>
        <w:tc>
          <w:tcPr>
            <w:tcW w:w="596" w:type="pct"/>
            <w:shd w:val="clear" w:color="auto" w:fill="auto"/>
            <w:vAlign w:val="center"/>
          </w:tcPr>
          <w:p w14:paraId="7D651605">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0.007</w:t>
            </w:r>
          </w:p>
        </w:tc>
        <w:tc>
          <w:tcPr>
            <w:tcW w:w="595" w:type="pct"/>
            <w:shd w:val="clear" w:color="auto" w:fill="auto"/>
            <w:vAlign w:val="center"/>
          </w:tcPr>
          <w:p w14:paraId="127F0B2E">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0.004</w:t>
            </w:r>
          </w:p>
        </w:tc>
        <w:tc>
          <w:tcPr>
            <w:tcW w:w="653" w:type="pct"/>
            <w:shd w:val="clear" w:color="auto" w:fill="auto"/>
            <w:vAlign w:val="center"/>
          </w:tcPr>
          <w:p w14:paraId="60D92506">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0.011</w:t>
            </w:r>
          </w:p>
        </w:tc>
        <w:tc>
          <w:tcPr>
            <w:tcW w:w="730" w:type="pct"/>
            <w:shd w:val="clear" w:color="auto" w:fill="auto"/>
            <w:vAlign w:val="center"/>
          </w:tcPr>
          <w:p w14:paraId="02E6F28E">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w:t>
            </w:r>
          </w:p>
        </w:tc>
      </w:tr>
      <w:tr w14:paraId="605E32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79" w:type="pct"/>
            <w:vMerge w:val="continue"/>
          </w:tcPr>
          <w:p w14:paraId="43038478">
            <w:pPr>
              <w:jc w:val="center"/>
              <w:rPr>
                <w:rFonts w:ascii="Times New Roman" w:hAnsi="Times New Roman" w:eastAsia="宋体" w:cs="Times New Roman"/>
                <w:color w:val="auto"/>
                <w:szCs w:val="21"/>
                <w:lang w:eastAsia="en-US"/>
              </w:rPr>
            </w:pPr>
          </w:p>
        </w:tc>
        <w:tc>
          <w:tcPr>
            <w:tcW w:w="724" w:type="pct"/>
            <w:vMerge w:val="continue"/>
          </w:tcPr>
          <w:p w14:paraId="51FE965A">
            <w:pPr>
              <w:jc w:val="center"/>
              <w:rPr>
                <w:rFonts w:hint="eastAsia" w:ascii="Times New Roman" w:hAnsi="Times New Roman" w:eastAsia="宋体" w:cs="Times New Roman"/>
                <w:color w:val="auto"/>
                <w:szCs w:val="21"/>
                <w:lang w:val="en-US" w:eastAsia="zh-CN"/>
              </w:rPr>
            </w:pPr>
          </w:p>
        </w:tc>
        <w:tc>
          <w:tcPr>
            <w:tcW w:w="1320" w:type="pct"/>
            <w:shd w:val="clear" w:color="auto" w:fill="auto"/>
            <w:vAlign w:val="center"/>
          </w:tcPr>
          <w:p w14:paraId="145A1B26">
            <w:pPr>
              <w:jc w:val="center"/>
              <w:rPr>
                <w:rFonts w:hint="eastAsia" w:ascii="Times New Roman" w:hAnsi="Times New Roman" w:eastAsia="宋体" w:cs="Times New Roman"/>
                <w:color w:val="auto"/>
                <w:kern w:val="2"/>
                <w:sz w:val="18"/>
                <w:szCs w:val="18"/>
                <w:lang w:val="en-US" w:eastAsia="en-US" w:bidi="ar-SA"/>
              </w:rPr>
            </w:pPr>
            <w:r>
              <w:rPr>
                <w:rFonts w:ascii="Times New Roman" w:hAnsi="Times New Roman" w:eastAsia="宋体" w:cs="Times New Roman"/>
                <w:color w:val="auto"/>
                <w:sz w:val="18"/>
                <w:szCs w:val="18"/>
                <w:lang w:eastAsia="en-US"/>
              </w:rPr>
              <w:t>排放速率（kg/h）</w:t>
            </w:r>
          </w:p>
        </w:tc>
        <w:tc>
          <w:tcPr>
            <w:tcW w:w="596" w:type="pct"/>
            <w:shd w:val="clear" w:color="auto" w:fill="auto"/>
            <w:vAlign w:val="center"/>
          </w:tcPr>
          <w:p w14:paraId="51D185A7">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0.0000098</w:t>
            </w:r>
          </w:p>
        </w:tc>
        <w:tc>
          <w:tcPr>
            <w:tcW w:w="595" w:type="pct"/>
            <w:shd w:val="clear" w:color="auto" w:fill="auto"/>
            <w:vAlign w:val="center"/>
          </w:tcPr>
          <w:p w14:paraId="49D2B1DD">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0.0000056</w:t>
            </w:r>
          </w:p>
        </w:tc>
        <w:tc>
          <w:tcPr>
            <w:tcW w:w="653" w:type="pct"/>
            <w:shd w:val="clear" w:color="auto" w:fill="auto"/>
            <w:vAlign w:val="center"/>
          </w:tcPr>
          <w:p w14:paraId="32F4AD12">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0.000015</w:t>
            </w:r>
          </w:p>
        </w:tc>
        <w:tc>
          <w:tcPr>
            <w:tcW w:w="730" w:type="pct"/>
            <w:shd w:val="clear" w:color="auto" w:fill="auto"/>
            <w:vAlign w:val="center"/>
          </w:tcPr>
          <w:p w14:paraId="686D0919">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0.33</w:t>
            </w:r>
          </w:p>
        </w:tc>
      </w:tr>
      <w:tr w14:paraId="32DA05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79" w:type="pct"/>
            <w:vMerge w:val="restart"/>
            <w:shd w:val="clear" w:color="auto" w:fill="auto"/>
            <w:vAlign w:val="center"/>
          </w:tcPr>
          <w:p w14:paraId="77FA995F">
            <w:pPr>
              <w:jc w:val="center"/>
              <w:rPr>
                <w:rFonts w:hint="eastAsia" w:ascii="Times New Roman" w:hAnsi="Times New Roman" w:eastAsia="宋体" w:cs="Times New Roman"/>
                <w:b/>
                <w:bCs/>
                <w:color w:val="auto"/>
                <w:kern w:val="2"/>
                <w:sz w:val="18"/>
                <w:szCs w:val="18"/>
                <w:lang w:val="en-US" w:eastAsia="en-US" w:bidi="ar-SA"/>
              </w:rPr>
            </w:pPr>
            <w:r>
              <w:rPr>
                <w:rFonts w:ascii="Times New Roman" w:hAnsi="Times New Roman" w:eastAsia="宋体" w:cs="Times New Roman"/>
                <w:b/>
                <w:bCs/>
                <w:color w:val="auto"/>
                <w:sz w:val="18"/>
                <w:szCs w:val="18"/>
                <w:lang w:eastAsia="en-US"/>
              </w:rPr>
              <w:t>采样点位</w:t>
            </w:r>
          </w:p>
        </w:tc>
        <w:tc>
          <w:tcPr>
            <w:tcW w:w="2045" w:type="pct"/>
            <w:gridSpan w:val="2"/>
            <w:vMerge w:val="restart"/>
            <w:shd w:val="clear" w:color="auto" w:fill="auto"/>
            <w:vAlign w:val="center"/>
          </w:tcPr>
          <w:p w14:paraId="4E417E63">
            <w:pPr>
              <w:jc w:val="center"/>
              <w:rPr>
                <w:rFonts w:hint="eastAsia" w:ascii="Times New Roman" w:hAnsi="Times New Roman" w:eastAsia="宋体" w:cs="Times New Roman"/>
                <w:color w:val="auto"/>
                <w:kern w:val="2"/>
                <w:sz w:val="21"/>
                <w:szCs w:val="21"/>
                <w:lang w:val="en-US" w:eastAsia="en-US" w:bidi="ar-SA"/>
              </w:rPr>
            </w:pPr>
            <w:r>
              <w:rPr>
                <w:rFonts w:ascii="Times New Roman" w:hAnsi="Times New Roman" w:eastAsia="宋体" w:cs="Times New Roman"/>
                <w:b/>
                <w:bCs/>
                <w:color w:val="auto"/>
                <w:sz w:val="18"/>
                <w:szCs w:val="18"/>
                <w:lang w:eastAsia="en-US"/>
              </w:rPr>
              <w:t>检测项目</w:t>
            </w:r>
          </w:p>
        </w:tc>
        <w:tc>
          <w:tcPr>
            <w:tcW w:w="2575" w:type="pct"/>
            <w:gridSpan w:val="4"/>
            <w:shd w:val="clear" w:color="auto" w:fill="auto"/>
            <w:vAlign w:val="center"/>
          </w:tcPr>
          <w:p w14:paraId="6110EC42">
            <w:pPr>
              <w:jc w:val="center"/>
              <w:rPr>
                <w:rFonts w:hint="eastAsia" w:ascii="Times New Roman" w:hAnsi="Times New Roman" w:eastAsia="宋体" w:cs="Times New Roman"/>
                <w:color w:val="auto"/>
                <w:kern w:val="2"/>
                <w:sz w:val="18"/>
                <w:szCs w:val="18"/>
                <w:lang w:val="en-US" w:eastAsia="zh-CN" w:bidi="ar-SA"/>
              </w:rPr>
            </w:pPr>
            <w:r>
              <w:rPr>
                <w:rFonts w:ascii="Times New Roman" w:hAnsi="Times New Roman" w:eastAsia="宋体" w:cs="Times New Roman"/>
                <w:b/>
                <w:bCs/>
                <w:color w:val="auto"/>
                <w:sz w:val="18"/>
                <w:szCs w:val="18"/>
                <w:lang w:eastAsia="en-US"/>
              </w:rPr>
              <w:t>采样时间及检测结果</w:t>
            </w:r>
          </w:p>
        </w:tc>
      </w:tr>
      <w:tr w14:paraId="40DD29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79" w:type="pct"/>
            <w:vMerge w:val="continue"/>
          </w:tcPr>
          <w:p w14:paraId="2EE44F4A">
            <w:pPr>
              <w:jc w:val="center"/>
              <w:rPr>
                <w:rFonts w:ascii="Times New Roman" w:hAnsi="Times New Roman" w:eastAsia="宋体" w:cs="Times New Roman"/>
                <w:color w:val="auto"/>
                <w:szCs w:val="21"/>
                <w:lang w:eastAsia="en-US"/>
              </w:rPr>
            </w:pPr>
          </w:p>
        </w:tc>
        <w:tc>
          <w:tcPr>
            <w:tcW w:w="2045" w:type="pct"/>
            <w:gridSpan w:val="2"/>
            <w:vMerge w:val="continue"/>
          </w:tcPr>
          <w:p w14:paraId="39219FF2">
            <w:pPr>
              <w:jc w:val="center"/>
              <w:rPr>
                <w:rFonts w:hint="default" w:ascii="Times New Roman" w:hAnsi="Times New Roman" w:eastAsia="宋体" w:cs="Times New Roman"/>
                <w:color w:val="auto"/>
                <w:kern w:val="2"/>
                <w:sz w:val="21"/>
                <w:szCs w:val="21"/>
                <w:lang w:val="en-US" w:eastAsia="en-US" w:bidi="ar-SA"/>
              </w:rPr>
            </w:pPr>
          </w:p>
        </w:tc>
        <w:tc>
          <w:tcPr>
            <w:tcW w:w="2575" w:type="pct"/>
            <w:gridSpan w:val="4"/>
            <w:shd w:val="clear" w:color="auto" w:fill="auto"/>
            <w:vAlign w:val="center"/>
          </w:tcPr>
          <w:p w14:paraId="2CEF3B01">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b/>
                <w:bCs/>
                <w:color w:val="auto"/>
                <w:sz w:val="18"/>
                <w:szCs w:val="18"/>
                <w:lang w:val="en-US" w:eastAsia="zh-CN"/>
              </w:rPr>
              <w:t>2024.3.7</w:t>
            </w:r>
          </w:p>
        </w:tc>
      </w:tr>
      <w:tr w14:paraId="4DF5BB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79" w:type="pct"/>
            <w:vMerge w:val="continue"/>
          </w:tcPr>
          <w:p w14:paraId="5D75EEBA">
            <w:pPr>
              <w:jc w:val="center"/>
              <w:rPr>
                <w:rFonts w:ascii="Times New Roman" w:hAnsi="Times New Roman" w:eastAsia="宋体" w:cs="Times New Roman"/>
                <w:color w:val="auto"/>
                <w:szCs w:val="21"/>
                <w:lang w:eastAsia="en-US"/>
              </w:rPr>
            </w:pPr>
          </w:p>
        </w:tc>
        <w:tc>
          <w:tcPr>
            <w:tcW w:w="2045" w:type="pct"/>
            <w:gridSpan w:val="2"/>
            <w:vMerge w:val="continue"/>
            <w:shd w:val="clear" w:color="auto" w:fill="auto"/>
            <w:vAlign w:val="center"/>
          </w:tcPr>
          <w:p w14:paraId="37B02EEE">
            <w:pPr>
              <w:jc w:val="center"/>
              <w:rPr>
                <w:rFonts w:hint="eastAsia" w:ascii="Times New Roman" w:hAnsi="Times New Roman" w:eastAsia="宋体" w:cs="Times New Roman"/>
                <w:b/>
                <w:bCs/>
                <w:color w:val="auto"/>
                <w:kern w:val="2"/>
                <w:sz w:val="18"/>
                <w:szCs w:val="18"/>
                <w:lang w:val="en-US" w:eastAsia="en-US" w:bidi="ar-SA"/>
              </w:rPr>
            </w:pPr>
          </w:p>
        </w:tc>
        <w:tc>
          <w:tcPr>
            <w:tcW w:w="596" w:type="pct"/>
            <w:shd w:val="clear" w:color="auto" w:fill="auto"/>
            <w:vAlign w:val="center"/>
          </w:tcPr>
          <w:p w14:paraId="6E24A039">
            <w:pPr>
              <w:jc w:val="center"/>
              <w:rPr>
                <w:rFonts w:hint="eastAsia" w:ascii="Times New Roman" w:hAnsi="Times New Roman" w:eastAsia="宋体" w:cs="Times New Roman"/>
                <w:b/>
                <w:bCs/>
                <w:color w:val="auto"/>
                <w:kern w:val="2"/>
                <w:sz w:val="18"/>
                <w:szCs w:val="18"/>
                <w:lang w:val="en-US" w:eastAsia="zh-CN" w:bidi="ar-SA"/>
              </w:rPr>
            </w:pPr>
            <w:r>
              <w:rPr>
                <w:rFonts w:ascii="Times New Roman" w:hAnsi="Times New Roman" w:eastAsia="宋体" w:cs="Times New Roman"/>
                <w:b/>
                <w:bCs/>
                <w:color w:val="auto"/>
                <w:sz w:val="18"/>
                <w:szCs w:val="18"/>
                <w:lang w:eastAsia="en-US"/>
              </w:rPr>
              <w:t>第一次</w:t>
            </w:r>
          </w:p>
        </w:tc>
        <w:tc>
          <w:tcPr>
            <w:tcW w:w="595" w:type="pct"/>
            <w:shd w:val="clear" w:color="auto" w:fill="auto"/>
            <w:vAlign w:val="center"/>
          </w:tcPr>
          <w:p w14:paraId="7ADD5385">
            <w:pPr>
              <w:jc w:val="center"/>
              <w:rPr>
                <w:rFonts w:hint="eastAsia" w:ascii="Times New Roman" w:hAnsi="Times New Roman" w:eastAsia="宋体" w:cs="Times New Roman"/>
                <w:b/>
                <w:bCs/>
                <w:color w:val="auto"/>
                <w:kern w:val="2"/>
                <w:sz w:val="18"/>
                <w:szCs w:val="18"/>
                <w:lang w:val="en-US" w:eastAsia="zh-CN" w:bidi="ar-SA"/>
              </w:rPr>
            </w:pPr>
            <w:r>
              <w:rPr>
                <w:rFonts w:ascii="Times New Roman" w:hAnsi="Times New Roman" w:eastAsia="宋体" w:cs="Times New Roman"/>
                <w:b/>
                <w:bCs/>
                <w:color w:val="auto"/>
                <w:sz w:val="18"/>
                <w:szCs w:val="18"/>
                <w:lang w:eastAsia="en-US"/>
              </w:rPr>
              <w:t>第二次</w:t>
            </w:r>
          </w:p>
        </w:tc>
        <w:tc>
          <w:tcPr>
            <w:tcW w:w="653" w:type="pct"/>
            <w:shd w:val="clear" w:color="auto" w:fill="auto"/>
            <w:vAlign w:val="center"/>
          </w:tcPr>
          <w:p w14:paraId="55472F6E">
            <w:pPr>
              <w:jc w:val="center"/>
              <w:rPr>
                <w:rFonts w:hint="eastAsia" w:ascii="Times New Roman" w:hAnsi="Times New Roman" w:eastAsia="宋体" w:cs="Times New Roman"/>
                <w:b/>
                <w:bCs/>
                <w:color w:val="auto"/>
                <w:kern w:val="2"/>
                <w:sz w:val="18"/>
                <w:szCs w:val="18"/>
                <w:lang w:val="en-US" w:eastAsia="zh-CN" w:bidi="ar-SA"/>
              </w:rPr>
            </w:pPr>
            <w:r>
              <w:rPr>
                <w:rFonts w:ascii="Times New Roman" w:hAnsi="Times New Roman" w:eastAsia="宋体" w:cs="Times New Roman"/>
                <w:b/>
                <w:bCs/>
                <w:color w:val="auto"/>
                <w:sz w:val="18"/>
                <w:szCs w:val="18"/>
                <w:lang w:eastAsia="en-US"/>
              </w:rPr>
              <w:t>第三次</w:t>
            </w:r>
          </w:p>
        </w:tc>
        <w:tc>
          <w:tcPr>
            <w:tcW w:w="730" w:type="pct"/>
            <w:shd w:val="clear" w:color="auto" w:fill="auto"/>
            <w:vAlign w:val="center"/>
          </w:tcPr>
          <w:p w14:paraId="6D20EA07">
            <w:pPr>
              <w:jc w:val="center"/>
              <w:rPr>
                <w:rFonts w:hint="eastAsia" w:ascii="Times New Roman" w:hAnsi="Times New Roman" w:eastAsia="宋体" w:cs="Times New Roman"/>
                <w:b/>
                <w:bCs/>
                <w:color w:val="auto"/>
                <w:kern w:val="2"/>
                <w:sz w:val="18"/>
                <w:szCs w:val="18"/>
                <w:lang w:val="en-US" w:eastAsia="zh-CN" w:bidi="ar-SA"/>
              </w:rPr>
            </w:pPr>
            <w:r>
              <w:rPr>
                <w:rFonts w:hint="eastAsia" w:ascii="Times New Roman" w:hAnsi="Times New Roman" w:eastAsia="宋体" w:cs="Times New Roman"/>
                <w:b/>
                <w:bCs/>
                <w:color w:val="auto"/>
                <w:sz w:val="18"/>
                <w:szCs w:val="18"/>
                <w:lang w:val="en-US" w:eastAsia="zh-CN"/>
              </w:rPr>
              <w:t>标准值</w:t>
            </w:r>
          </w:p>
        </w:tc>
      </w:tr>
      <w:tr w14:paraId="0F0A6A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79" w:type="pct"/>
            <w:vMerge w:val="restart"/>
            <w:shd w:val="clear" w:color="auto" w:fill="auto"/>
            <w:vAlign w:val="center"/>
          </w:tcPr>
          <w:p w14:paraId="5A99CC2C">
            <w:pPr>
              <w:jc w:val="center"/>
              <w:rPr>
                <w:rFonts w:ascii="Times New Roman" w:hAnsi="Times New Roman" w:eastAsia="宋体" w:cs="Times New Roman"/>
                <w:color w:val="auto"/>
                <w:kern w:val="2"/>
                <w:sz w:val="18"/>
                <w:szCs w:val="18"/>
                <w:lang w:val="en-US" w:eastAsia="en-US" w:bidi="ar-SA"/>
              </w:rPr>
            </w:pPr>
            <w:r>
              <w:rPr>
                <w:rFonts w:hint="eastAsia" w:ascii="Times New Roman" w:hAnsi="Times New Roman" w:eastAsia="宋体" w:cs="Times New Roman"/>
                <w:color w:val="auto"/>
                <w:sz w:val="18"/>
                <w:szCs w:val="18"/>
                <w:lang w:val="en-US" w:eastAsia="zh-CN"/>
              </w:rPr>
              <w:t>DA001车间废气处理设施出口</w:t>
            </w:r>
          </w:p>
        </w:tc>
        <w:tc>
          <w:tcPr>
            <w:tcW w:w="724" w:type="pct"/>
            <w:shd w:val="clear" w:color="auto" w:fill="auto"/>
            <w:vAlign w:val="center"/>
          </w:tcPr>
          <w:p w14:paraId="74D642AA">
            <w:pPr>
              <w:jc w:val="center"/>
              <w:rPr>
                <w:rFonts w:hint="eastAsia" w:ascii="Times New Roman" w:hAnsi="Times New Roman" w:eastAsia="宋体" w:cs="Times New Roman"/>
                <w:color w:val="auto"/>
                <w:kern w:val="2"/>
                <w:sz w:val="18"/>
                <w:szCs w:val="18"/>
                <w:lang w:val="en-US" w:eastAsia="zh-CN" w:bidi="ar-SA"/>
              </w:rPr>
            </w:pPr>
            <w:r>
              <w:rPr>
                <w:rFonts w:ascii="Times New Roman" w:hAnsi="Times New Roman" w:eastAsia="宋体" w:cs="Times New Roman"/>
                <w:color w:val="auto"/>
                <w:sz w:val="18"/>
                <w:szCs w:val="18"/>
                <w:lang w:eastAsia="en-US"/>
              </w:rPr>
              <w:t>烟气流量</w:t>
            </w:r>
          </w:p>
        </w:tc>
        <w:tc>
          <w:tcPr>
            <w:tcW w:w="1320" w:type="pct"/>
            <w:shd w:val="clear" w:color="auto" w:fill="auto"/>
            <w:vAlign w:val="center"/>
          </w:tcPr>
          <w:p w14:paraId="2CF93133">
            <w:pPr>
              <w:jc w:val="center"/>
              <w:rPr>
                <w:rFonts w:hint="eastAsia" w:ascii="Times New Roman" w:hAnsi="Times New Roman" w:eastAsia="宋体" w:cs="Times New Roman"/>
                <w:color w:val="auto"/>
                <w:kern w:val="2"/>
                <w:sz w:val="18"/>
                <w:szCs w:val="18"/>
                <w:lang w:val="en-US" w:eastAsia="en-US" w:bidi="ar-SA"/>
              </w:rPr>
            </w:pPr>
            <w:r>
              <w:rPr>
                <w:rFonts w:ascii="Times New Roman" w:hAnsi="Times New Roman" w:eastAsia="宋体" w:cs="Times New Roman"/>
                <w:color w:val="auto"/>
                <w:sz w:val="18"/>
                <w:szCs w:val="18"/>
                <w:lang w:eastAsia="en-US"/>
              </w:rPr>
              <w:t>（N•</w:t>
            </w:r>
            <w:r>
              <w:rPr>
                <w:rFonts w:hint="eastAsia" w:ascii="Times New Roman" w:hAnsi="Times New Roman" w:eastAsia="宋体" w:cs="Times New Roman"/>
                <w:color w:val="auto"/>
                <w:sz w:val="18"/>
                <w:szCs w:val="18"/>
                <w:lang w:eastAsia="zh-CN"/>
              </w:rPr>
              <w:t>m</w:t>
            </w:r>
            <w:r>
              <w:rPr>
                <w:rFonts w:hint="eastAsia" w:ascii="Times New Roman" w:hAnsi="Times New Roman" w:eastAsia="宋体" w:cs="Times New Roman"/>
                <w:color w:val="auto"/>
                <w:sz w:val="18"/>
                <w:szCs w:val="18"/>
                <w:vertAlign w:val="superscript"/>
                <w:lang w:eastAsia="zh-CN"/>
              </w:rPr>
              <w:t>3</w:t>
            </w:r>
            <w:r>
              <w:rPr>
                <w:rFonts w:ascii="Times New Roman" w:hAnsi="Times New Roman" w:eastAsia="宋体" w:cs="Times New Roman"/>
                <w:color w:val="auto"/>
                <w:sz w:val="18"/>
                <w:szCs w:val="18"/>
                <w:lang w:eastAsia="en-US"/>
              </w:rPr>
              <w:t>/h）</w:t>
            </w:r>
          </w:p>
        </w:tc>
        <w:tc>
          <w:tcPr>
            <w:tcW w:w="596" w:type="pct"/>
            <w:shd w:val="clear" w:color="auto" w:fill="auto"/>
            <w:vAlign w:val="center"/>
          </w:tcPr>
          <w:p w14:paraId="7F34AFC8">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26480</w:t>
            </w:r>
          </w:p>
        </w:tc>
        <w:tc>
          <w:tcPr>
            <w:tcW w:w="595" w:type="pct"/>
            <w:shd w:val="clear" w:color="auto" w:fill="auto"/>
            <w:vAlign w:val="center"/>
          </w:tcPr>
          <w:p w14:paraId="57163D2B">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26449</w:t>
            </w:r>
          </w:p>
        </w:tc>
        <w:tc>
          <w:tcPr>
            <w:tcW w:w="653" w:type="pct"/>
            <w:shd w:val="clear" w:color="auto" w:fill="auto"/>
            <w:vAlign w:val="center"/>
          </w:tcPr>
          <w:p w14:paraId="7D0BCA3E">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25771</w:t>
            </w:r>
          </w:p>
        </w:tc>
        <w:tc>
          <w:tcPr>
            <w:tcW w:w="730" w:type="pct"/>
            <w:shd w:val="clear" w:color="auto" w:fill="auto"/>
            <w:vAlign w:val="center"/>
          </w:tcPr>
          <w:p w14:paraId="2C6B7D08">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w:t>
            </w:r>
          </w:p>
        </w:tc>
      </w:tr>
      <w:tr w14:paraId="497A03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79" w:type="pct"/>
            <w:vMerge w:val="continue"/>
          </w:tcPr>
          <w:p w14:paraId="1835F824">
            <w:pPr>
              <w:jc w:val="center"/>
              <w:rPr>
                <w:rFonts w:ascii="Times New Roman" w:hAnsi="Times New Roman" w:eastAsia="宋体" w:cs="Times New Roman"/>
                <w:color w:val="auto"/>
                <w:szCs w:val="21"/>
                <w:lang w:eastAsia="en-US"/>
              </w:rPr>
            </w:pPr>
          </w:p>
        </w:tc>
        <w:tc>
          <w:tcPr>
            <w:tcW w:w="724" w:type="pct"/>
            <w:vMerge w:val="restart"/>
            <w:shd w:val="clear" w:color="auto" w:fill="auto"/>
            <w:vAlign w:val="center"/>
          </w:tcPr>
          <w:p w14:paraId="5DC000C7">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颗粒物</w:t>
            </w:r>
          </w:p>
        </w:tc>
        <w:tc>
          <w:tcPr>
            <w:tcW w:w="1320" w:type="pct"/>
            <w:shd w:val="clear" w:color="auto" w:fill="auto"/>
            <w:vAlign w:val="center"/>
          </w:tcPr>
          <w:p w14:paraId="7688E3AB">
            <w:pPr>
              <w:jc w:val="center"/>
              <w:rPr>
                <w:rFonts w:hint="eastAsia" w:ascii="Times New Roman" w:hAnsi="Times New Roman" w:eastAsia="宋体" w:cs="Times New Roman"/>
                <w:color w:val="auto"/>
                <w:kern w:val="2"/>
                <w:sz w:val="18"/>
                <w:szCs w:val="18"/>
                <w:lang w:val="en-US" w:eastAsia="en-US" w:bidi="ar-SA"/>
              </w:rPr>
            </w:pPr>
            <w:r>
              <w:rPr>
                <w:rFonts w:ascii="Times New Roman" w:hAnsi="Times New Roman" w:eastAsia="宋体" w:cs="Times New Roman"/>
                <w:color w:val="auto"/>
                <w:sz w:val="18"/>
                <w:szCs w:val="18"/>
                <w:lang w:eastAsia="en-US"/>
              </w:rPr>
              <w:t>排放浓度（mg/</w:t>
            </w:r>
            <w:r>
              <w:rPr>
                <w:rFonts w:hint="eastAsia" w:ascii="Times New Roman" w:hAnsi="Times New Roman" w:eastAsia="宋体" w:cs="Times New Roman"/>
                <w:color w:val="auto"/>
                <w:sz w:val="18"/>
                <w:szCs w:val="18"/>
                <w:lang w:eastAsia="zh-CN"/>
              </w:rPr>
              <w:t>m</w:t>
            </w:r>
            <w:r>
              <w:rPr>
                <w:rFonts w:hint="eastAsia" w:ascii="Times New Roman" w:hAnsi="Times New Roman" w:eastAsia="宋体" w:cs="Times New Roman"/>
                <w:color w:val="auto"/>
                <w:sz w:val="18"/>
                <w:szCs w:val="18"/>
                <w:vertAlign w:val="superscript"/>
                <w:lang w:eastAsia="zh-CN"/>
              </w:rPr>
              <w:t>3</w:t>
            </w:r>
            <w:r>
              <w:rPr>
                <w:rFonts w:ascii="Times New Roman" w:hAnsi="Times New Roman" w:eastAsia="宋体" w:cs="Times New Roman"/>
                <w:color w:val="auto"/>
                <w:sz w:val="18"/>
                <w:szCs w:val="18"/>
                <w:lang w:eastAsia="en-US"/>
              </w:rPr>
              <w:t>）</w:t>
            </w:r>
          </w:p>
        </w:tc>
        <w:tc>
          <w:tcPr>
            <w:tcW w:w="596" w:type="pct"/>
            <w:shd w:val="clear" w:color="auto" w:fill="auto"/>
            <w:vAlign w:val="center"/>
          </w:tcPr>
          <w:p w14:paraId="75EB8AD6">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9.1</w:t>
            </w:r>
          </w:p>
        </w:tc>
        <w:tc>
          <w:tcPr>
            <w:tcW w:w="595" w:type="pct"/>
            <w:shd w:val="clear" w:color="auto" w:fill="auto"/>
            <w:vAlign w:val="center"/>
          </w:tcPr>
          <w:p w14:paraId="28DC3B25">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8.4</w:t>
            </w:r>
          </w:p>
        </w:tc>
        <w:tc>
          <w:tcPr>
            <w:tcW w:w="653" w:type="pct"/>
            <w:shd w:val="clear" w:color="auto" w:fill="auto"/>
            <w:vAlign w:val="center"/>
          </w:tcPr>
          <w:p w14:paraId="732DBA53">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8.8</w:t>
            </w:r>
          </w:p>
        </w:tc>
        <w:tc>
          <w:tcPr>
            <w:tcW w:w="730" w:type="pct"/>
            <w:shd w:val="clear" w:color="auto" w:fill="auto"/>
            <w:vAlign w:val="center"/>
          </w:tcPr>
          <w:p w14:paraId="26269AA7">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30</w:t>
            </w:r>
          </w:p>
        </w:tc>
      </w:tr>
      <w:tr w14:paraId="507A6D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79" w:type="pct"/>
            <w:vMerge w:val="continue"/>
          </w:tcPr>
          <w:p w14:paraId="72A8AEE9">
            <w:pPr>
              <w:jc w:val="center"/>
              <w:rPr>
                <w:rFonts w:ascii="Times New Roman" w:hAnsi="Times New Roman" w:eastAsia="宋体" w:cs="Times New Roman"/>
                <w:color w:val="auto"/>
                <w:szCs w:val="21"/>
                <w:lang w:eastAsia="en-US"/>
              </w:rPr>
            </w:pPr>
          </w:p>
        </w:tc>
        <w:tc>
          <w:tcPr>
            <w:tcW w:w="724" w:type="pct"/>
            <w:vMerge w:val="continue"/>
          </w:tcPr>
          <w:p w14:paraId="17DA68BB">
            <w:pPr>
              <w:jc w:val="center"/>
              <w:rPr>
                <w:rFonts w:hint="eastAsia" w:ascii="Times New Roman" w:hAnsi="Times New Roman" w:eastAsia="宋体" w:cs="Times New Roman"/>
                <w:color w:val="auto"/>
                <w:szCs w:val="21"/>
                <w:lang w:val="en-US" w:eastAsia="zh-CN"/>
              </w:rPr>
            </w:pPr>
          </w:p>
        </w:tc>
        <w:tc>
          <w:tcPr>
            <w:tcW w:w="1320" w:type="pct"/>
            <w:shd w:val="clear" w:color="auto" w:fill="auto"/>
            <w:vAlign w:val="center"/>
          </w:tcPr>
          <w:p w14:paraId="296F7BD3">
            <w:pPr>
              <w:jc w:val="center"/>
              <w:rPr>
                <w:rFonts w:hint="eastAsia" w:ascii="Times New Roman" w:hAnsi="Times New Roman" w:eastAsia="宋体" w:cs="Times New Roman"/>
                <w:color w:val="auto"/>
                <w:kern w:val="2"/>
                <w:sz w:val="18"/>
                <w:szCs w:val="18"/>
                <w:lang w:val="en-US" w:eastAsia="en-US" w:bidi="ar-SA"/>
              </w:rPr>
            </w:pPr>
            <w:r>
              <w:rPr>
                <w:rFonts w:ascii="Times New Roman" w:hAnsi="Times New Roman" w:eastAsia="宋体" w:cs="Times New Roman"/>
                <w:color w:val="auto"/>
                <w:sz w:val="18"/>
                <w:szCs w:val="18"/>
                <w:lang w:eastAsia="en-US"/>
              </w:rPr>
              <w:t>排放速率（kg/h）</w:t>
            </w:r>
          </w:p>
        </w:tc>
        <w:tc>
          <w:tcPr>
            <w:tcW w:w="596" w:type="pct"/>
            <w:shd w:val="clear" w:color="auto" w:fill="auto"/>
            <w:vAlign w:val="center"/>
          </w:tcPr>
          <w:p w14:paraId="31875A71">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0.24</w:t>
            </w:r>
          </w:p>
        </w:tc>
        <w:tc>
          <w:tcPr>
            <w:tcW w:w="595" w:type="pct"/>
            <w:shd w:val="clear" w:color="auto" w:fill="auto"/>
            <w:vAlign w:val="center"/>
          </w:tcPr>
          <w:p w14:paraId="076CB338">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0.22</w:t>
            </w:r>
          </w:p>
        </w:tc>
        <w:tc>
          <w:tcPr>
            <w:tcW w:w="653" w:type="pct"/>
            <w:shd w:val="clear" w:color="auto" w:fill="auto"/>
            <w:vAlign w:val="center"/>
          </w:tcPr>
          <w:p w14:paraId="5A7AF856">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0.22</w:t>
            </w:r>
          </w:p>
        </w:tc>
        <w:tc>
          <w:tcPr>
            <w:tcW w:w="730" w:type="pct"/>
            <w:shd w:val="clear" w:color="auto" w:fill="auto"/>
            <w:vAlign w:val="center"/>
          </w:tcPr>
          <w:p w14:paraId="30A0EF5A">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w:t>
            </w:r>
          </w:p>
        </w:tc>
      </w:tr>
      <w:tr w14:paraId="5E514E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79" w:type="pct"/>
            <w:vMerge w:val="continue"/>
          </w:tcPr>
          <w:p w14:paraId="12128430">
            <w:pPr>
              <w:jc w:val="center"/>
              <w:rPr>
                <w:rFonts w:ascii="Times New Roman" w:hAnsi="Times New Roman" w:eastAsia="宋体" w:cs="Times New Roman"/>
                <w:color w:val="auto"/>
                <w:szCs w:val="21"/>
                <w:lang w:eastAsia="en-US"/>
              </w:rPr>
            </w:pPr>
          </w:p>
        </w:tc>
        <w:tc>
          <w:tcPr>
            <w:tcW w:w="724" w:type="pct"/>
            <w:vMerge w:val="restart"/>
            <w:shd w:val="clear" w:color="auto" w:fill="auto"/>
            <w:vAlign w:val="center"/>
          </w:tcPr>
          <w:p w14:paraId="02A61BC1">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TVOC</w:t>
            </w:r>
          </w:p>
        </w:tc>
        <w:tc>
          <w:tcPr>
            <w:tcW w:w="1320" w:type="pct"/>
            <w:shd w:val="clear" w:color="auto" w:fill="auto"/>
            <w:vAlign w:val="center"/>
          </w:tcPr>
          <w:p w14:paraId="38A265AC">
            <w:pPr>
              <w:jc w:val="center"/>
              <w:rPr>
                <w:rFonts w:hint="eastAsia" w:ascii="Times New Roman" w:hAnsi="Times New Roman" w:eastAsia="宋体" w:cs="Times New Roman"/>
                <w:color w:val="auto"/>
                <w:kern w:val="2"/>
                <w:sz w:val="18"/>
                <w:szCs w:val="18"/>
                <w:lang w:val="en-US" w:eastAsia="en-US" w:bidi="ar-SA"/>
              </w:rPr>
            </w:pPr>
            <w:r>
              <w:rPr>
                <w:rFonts w:ascii="Times New Roman" w:hAnsi="Times New Roman" w:eastAsia="宋体" w:cs="Times New Roman"/>
                <w:color w:val="auto"/>
                <w:sz w:val="18"/>
                <w:szCs w:val="18"/>
                <w:lang w:eastAsia="en-US"/>
              </w:rPr>
              <w:t>排放浓度（mg/</w:t>
            </w:r>
            <w:r>
              <w:rPr>
                <w:rFonts w:hint="eastAsia" w:ascii="Times New Roman" w:hAnsi="Times New Roman" w:eastAsia="宋体" w:cs="Times New Roman"/>
                <w:color w:val="auto"/>
                <w:sz w:val="18"/>
                <w:szCs w:val="18"/>
                <w:lang w:eastAsia="zh-CN"/>
              </w:rPr>
              <w:t>m</w:t>
            </w:r>
            <w:r>
              <w:rPr>
                <w:rFonts w:hint="eastAsia" w:ascii="Times New Roman" w:hAnsi="Times New Roman" w:eastAsia="宋体" w:cs="Times New Roman"/>
                <w:color w:val="auto"/>
                <w:sz w:val="18"/>
                <w:szCs w:val="18"/>
                <w:vertAlign w:val="superscript"/>
                <w:lang w:eastAsia="zh-CN"/>
              </w:rPr>
              <w:t>3</w:t>
            </w:r>
            <w:r>
              <w:rPr>
                <w:rFonts w:ascii="Times New Roman" w:hAnsi="Times New Roman" w:eastAsia="宋体" w:cs="Times New Roman"/>
                <w:color w:val="auto"/>
                <w:sz w:val="18"/>
                <w:szCs w:val="18"/>
                <w:lang w:eastAsia="en-US"/>
              </w:rPr>
              <w:t>）</w:t>
            </w:r>
          </w:p>
        </w:tc>
        <w:tc>
          <w:tcPr>
            <w:tcW w:w="596" w:type="pct"/>
            <w:shd w:val="clear" w:color="auto" w:fill="auto"/>
            <w:vAlign w:val="center"/>
          </w:tcPr>
          <w:p w14:paraId="097DFAF7">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1.07</w:t>
            </w:r>
          </w:p>
        </w:tc>
        <w:tc>
          <w:tcPr>
            <w:tcW w:w="595" w:type="pct"/>
            <w:shd w:val="clear" w:color="auto" w:fill="auto"/>
            <w:vAlign w:val="center"/>
          </w:tcPr>
          <w:p w14:paraId="76F57F05">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0.268</w:t>
            </w:r>
          </w:p>
        </w:tc>
        <w:tc>
          <w:tcPr>
            <w:tcW w:w="653" w:type="pct"/>
            <w:shd w:val="clear" w:color="auto" w:fill="auto"/>
            <w:vAlign w:val="center"/>
          </w:tcPr>
          <w:p w14:paraId="178875E6">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0.803</w:t>
            </w:r>
          </w:p>
        </w:tc>
        <w:tc>
          <w:tcPr>
            <w:tcW w:w="730" w:type="pct"/>
            <w:shd w:val="clear" w:color="auto" w:fill="auto"/>
            <w:vAlign w:val="center"/>
          </w:tcPr>
          <w:p w14:paraId="33315F4F">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40</w:t>
            </w:r>
          </w:p>
        </w:tc>
      </w:tr>
      <w:tr w14:paraId="058B5E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79" w:type="pct"/>
            <w:vMerge w:val="continue"/>
          </w:tcPr>
          <w:p w14:paraId="216A74E5">
            <w:pPr>
              <w:jc w:val="center"/>
              <w:rPr>
                <w:rFonts w:ascii="Times New Roman" w:hAnsi="Times New Roman" w:eastAsia="宋体" w:cs="Times New Roman"/>
                <w:color w:val="auto"/>
                <w:szCs w:val="21"/>
                <w:lang w:eastAsia="en-US"/>
              </w:rPr>
            </w:pPr>
          </w:p>
        </w:tc>
        <w:tc>
          <w:tcPr>
            <w:tcW w:w="724" w:type="pct"/>
            <w:vMerge w:val="continue"/>
          </w:tcPr>
          <w:p w14:paraId="66A6AEA3">
            <w:pPr>
              <w:jc w:val="center"/>
              <w:rPr>
                <w:rFonts w:hint="eastAsia" w:ascii="Times New Roman" w:hAnsi="Times New Roman" w:eastAsia="宋体" w:cs="Times New Roman"/>
                <w:color w:val="auto"/>
                <w:szCs w:val="21"/>
                <w:lang w:val="en-US" w:eastAsia="zh-CN"/>
              </w:rPr>
            </w:pPr>
          </w:p>
        </w:tc>
        <w:tc>
          <w:tcPr>
            <w:tcW w:w="1320" w:type="pct"/>
            <w:shd w:val="clear" w:color="auto" w:fill="auto"/>
            <w:vAlign w:val="center"/>
          </w:tcPr>
          <w:p w14:paraId="2B9A7AEB">
            <w:pPr>
              <w:jc w:val="center"/>
              <w:rPr>
                <w:rFonts w:hint="eastAsia" w:ascii="Times New Roman" w:hAnsi="Times New Roman" w:eastAsia="宋体" w:cs="Times New Roman"/>
                <w:color w:val="auto"/>
                <w:kern w:val="2"/>
                <w:sz w:val="18"/>
                <w:szCs w:val="18"/>
                <w:lang w:val="en-US" w:eastAsia="en-US" w:bidi="ar-SA"/>
              </w:rPr>
            </w:pPr>
            <w:r>
              <w:rPr>
                <w:rFonts w:ascii="Times New Roman" w:hAnsi="Times New Roman" w:eastAsia="宋体" w:cs="Times New Roman"/>
                <w:color w:val="auto"/>
                <w:sz w:val="18"/>
                <w:szCs w:val="18"/>
                <w:lang w:eastAsia="en-US"/>
              </w:rPr>
              <w:t>排放速率（kg/h）</w:t>
            </w:r>
          </w:p>
        </w:tc>
        <w:tc>
          <w:tcPr>
            <w:tcW w:w="596" w:type="pct"/>
            <w:shd w:val="clear" w:color="auto" w:fill="auto"/>
            <w:vAlign w:val="center"/>
          </w:tcPr>
          <w:p w14:paraId="74414F7D">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0.028</w:t>
            </w:r>
          </w:p>
        </w:tc>
        <w:tc>
          <w:tcPr>
            <w:tcW w:w="595" w:type="pct"/>
            <w:shd w:val="clear" w:color="auto" w:fill="auto"/>
            <w:vAlign w:val="center"/>
          </w:tcPr>
          <w:p w14:paraId="7AAB3C0E">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0.0071</w:t>
            </w:r>
          </w:p>
        </w:tc>
        <w:tc>
          <w:tcPr>
            <w:tcW w:w="653" w:type="pct"/>
            <w:shd w:val="clear" w:color="auto" w:fill="auto"/>
            <w:vAlign w:val="center"/>
          </w:tcPr>
          <w:p w14:paraId="4AD2B75D">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0.021</w:t>
            </w:r>
          </w:p>
        </w:tc>
        <w:tc>
          <w:tcPr>
            <w:tcW w:w="730" w:type="pct"/>
            <w:shd w:val="clear" w:color="auto" w:fill="auto"/>
            <w:vAlign w:val="center"/>
          </w:tcPr>
          <w:p w14:paraId="1AD46411">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w:t>
            </w:r>
          </w:p>
        </w:tc>
      </w:tr>
      <w:tr w14:paraId="3EB644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79" w:type="pct"/>
            <w:vMerge w:val="continue"/>
          </w:tcPr>
          <w:p w14:paraId="12C05E73">
            <w:pPr>
              <w:jc w:val="center"/>
              <w:rPr>
                <w:rFonts w:ascii="Times New Roman" w:hAnsi="Times New Roman" w:eastAsia="宋体" w:cs="Times New Roman"/>
                <w:color w:val="auto"/>
                <w:szCs w:val="21"/>
                <w:lang w:eastAsia="en-US"/>
              </w:rPr>
            </w:pPr>
          </w:p>
        </w:tc>
        <w:tc>
          <w:tcPr>
            <w:tcW w:w="724" w:type="pct"/>
            <w:vMerge w:val="restart"/>
            <w:shd w:val="clear" w:color="auto" w:fill="auto"/>
            <w:vAlign w:val="center"/>
          </w:tcPr>
          <w:p w14:paraId="0358C901">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氨</w:t>
            </w:r>
          </w:p>
        </w:tc>
        <w:tc>
          <w:tcPr>
            <w:tcW w:w="1320" w:type="pct"/>
            <w:shd w:val="clear" w:color="auto" w:fill="auto"/>
            <w:vAlign w:val="center"/>
          </w:tcPr>
          <w:p w14:paraId="644F00FD">
            <w:pPr>
              <w:jc w:val="center"/>
              <w:rPr>
                <w:rFonts w:hint="eastAsia" w:ascii="Times New Roman" w:hAnsi="Times New Roman" w:eastAsia="宋体" w:cs="Times New Roman"/>
                <w:color w:val="auto"/>
                <w:kern w:val="2"/>
                <w:sz w:val="18"/>
                <w:szCs w:val="18"/>
                <w:lang w:val="en-US" w:eastAsia="en-US" w:bidi="ar-SA"/>
              </w:rPr>
            </w:pPr>
            <w:r>
              <w:rPr>
                <w:rFonts w:ascii="Times New Roman" w:hAnsi="Times New Roman" w:eastAsia="宋体" w:cs="Times New Roman"/>
                <w:color w:val="auto"/>
                <w:sz w:val="18"/>
                <w:szCs w:val="18"/>
                <w:lang w:eastAsia="en-US"/>
              </w:rPr>
              <w:t>排放浓度（mg/</w:t>
            </w:r>
            <w:r>
              <w:rPr>
                <w:rFonts w:hint="eastAsia" w:ascii="Times New Roman" w:hAnsi="Times New Roman" w:eastAsia="宋体" w:cs="Times New Roman"/>
                <w:color w:val="auto"/>
                <w:sz w:val="18"/>
                <w:szCs w:val="18"/>
                <w:lang w:eastAsia="zh-CN"/>
              </w:rPr>
              <w:t>m</w:t>
            </w:r>
            <w:r>
              <w:rPr>
                <w:rFonts w:hint="eastAsia" w:ascii="Times New Roman" w:hAnsi="Times New Roman" w:eastAsia="宋体" w:cs="Times New Roman"/>
                <w:color w:val="auto"/>
                <w:sz w:val="18"/>
                <w:szCs w:val="18"/>
                <w:vertAlign w:val="superscript"/>
                <w:lang w:eastAsia="zh-CN"/>
              </w:rPr>
              <w:t>3</w:t>
            </w:r>
            <w:r>
              <w:rPr>
                <w:rFonts w:ascii="Times New Roman" w:hAnsi="Times New Roman" w:eastAsia="宋体" w:cs="Times New Roman"/>
                <w:color w:val="auto"/>
                <w:sz w:val="18"/>
                <w:szCs w:val="18"/>
                <w:lang w:eastAsia="en-US"/>
              </w:rPr>
              <w:t>）</w:t>
            </w:r>
          </w:p>
        </w:tc>
        <w:tc>
          <w:tcPr>
            <w:tcW w:w="596" w:type="pct"/>
            <w:shd w:val="clear" w:color="auto" w:fill="auto"/>
            <w:vAlign w:val="center"/>
          </w:tcPr>
          <w:p w14:paraId="05814741">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1.04</w:t>
            </w:r>
          </w:p>
        </w:tc>
        <w:tc>
          <w:tcPr>
            <w:tcW w:w="595" w:type="pct"/>
            <w:shd w:val="clear" w:color="auto" w:fill="auto"/>
            <w:vAlign w:val="center"/>
          </w:tcPr>
          <w:p w14:paraId="4F01C9C9">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1.04</w:t>
            </w:r>
          </w:p>
        </w:tc>
        <w:tc>
          <w:tcPr>
            <w:tcW w:w="653" w:type="pct"/>
            <w:shd w:val="clear" w:color="auto" w:fill="auto"/>
            <w:vAlign w:val="center"/>
          </w:tcPr>
          <w:p w14:paraId="1FAF1DD0">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1.07</w:t>
            </w:r>
          </w:p>
        </w:tc>
        <w:tc>
          <w:tcPr>
            <w:tcW w:w="730" w:type="pct"/>
            <w:shd w:val="clear" w:color="auto" w:fill="auto"/>
            <w:vAlign w:val="center"/>
          </w:tcPr>
          <w:p w14:paraId="429CABD9">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30</w:t>
            </w:r>
          </w:p>
        </w:tc>
      </w:tr>
      <w:tr w14:paraId="473339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79" w:type="pct"/>
            <w:vMerge w:val="continue"/>
          </w:tcPr>
          <w:p w14:paraId="616DDD77">
            <w:pPr>
              <w:jc w:val="center"/>
              <w:rPr>
                <w:rFonts w:ascii="Times New Roman" w:hAnsi="Times New Roman" w:eastAsia="宋体" w:cs="Times New Roman"/>
                <w:color w:val="auto"/>
                <w:szCs w:val="21"/>
                <w:lang w:eastAsia="en-US"/>
              </w:rPr>
            </w:pPr>
          </w:p>
        </w:tc>
        <w:tc>
          <w:tcPr>
            <w:tcW w:w="724" w:type="pct"/>
            <w:vMerge w:val="continue"/>
          </w:tcPr>
          <w:p w14:paraId="7F0A7C03">
            <w:pPr>
              <w:jc w:val="center"/>
              <w:rPr>
                <w:rFonts w:hint="eastAsia" w:ascii="Times New Roman" w:hAnsi="Times New Roman" w:eastAsia="宋体" w:cs="Times New Roman"/>
                <w:color w:val="auto"/>
                <w:szCs w:val="21"/>
                <w:lang w:val="en-US" w:eastAsia="zh-CN"/>
              </w:rPr>
            </w:pPr>
          </w:p>
        </w:tc>
        <w:tc>
          <w:tcPr>
            <w:tcW w:w="1320" w:type="pct"/>
            <w:shd w:val="clear" w:color="auto" w:fill="auto"/>
            <w:vAlign w:val="center"/>
          </w:tcPr>
          <w:p w14:paraId="3EB7859A">
            <w:pPr>
              <w:jc w:val="center"/>
              <w:rPr>
                <w:rFonts w:hint="eastAsia" w:ascii="Times New Roman" w:hAnsi="Times New Roman" w:eastAsia="宋体" w:cs="Times New Roman"/>
                <w:color w:val="auto"/>
                <w:kern w:val="2"/>
                <w:sz w:val="18"/>
                <w:szCs w:val="18"/>
                <w:lang w:val="en-US" w:eastAsia="en-US" w:bidi="ar-SA"/>
              </w:rPr>
            </w:pPr>
            <w:r>
              <w:rPr>
                <w:rFonts w:ascii="Times New Roman" w:hAnsi="Times New Roman" w:eastAsia="宋体" w:cs="Times New Roman"/>
                <w:color w:val="auto"/>
                <w:sz w:val="18"/>
                <w:szCs w:val="18"/>
                <w:lang w:eastAsia="en-US"/>
              </w:rPr>
              <w:t>排放速率（kg/h）</w:t>
            </w:r>
          </w:p>
        </w:tc>
        <w:tc>
          <w:tcPr>
            <w:tcW w:w="596" w:type="pct"/>
            <w:shd w:val="clear" w:color="auto" w:fill="auto"/>
            <w:vAlign w:val="center"/>
          </w:tcPr>
          <w:p w14:paraId="1B0C1DAE">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0.028</w:t>
            </w:r>
          </w:p>
        </w:tc>
        <w:tc>
          <w:tcPr>
            <w:tcW w:w="595" w:type="pct"/>
            <w:shd w:val="clear" w:color="auto" w:fill="auto"/>
            <w:vAlign w:val="center"/>
          </w:tcPr>
          <w:p w14:paraId="3A9B4CAF">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0.028</w:t>
            </w:r>
          </w:p>
        </w:tc>
        <w:tc>
          <w:tcPr>
            <w:tcW w:w="653" w:type="pct"/>
            <w:shd w:val="clear" w:color="auto" w:fill="auto"/>
            <w:vAlign w:val="center"/>
          </w:tcPr>
          <w:p w14:paraId="45FEBF87">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0.028</w:t>
            </w:r>
          </w:p>
        </w:tc>
        <w:tc>
          <w:tcPr>
            <w:tcW w:w="730" w:type="pct"/>
            <w:shd w:val="clear" w:color="auto" w:fill="auto"/>
            <w:vAlign w:val="center"/>
          </w:tcPr>
          <w:p w14:paraId="67CD16B8">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w:t>
            </w:r>
          </w:p>
        </w:tc>
      </w:tr>
      <w:tr w14:paraId="22F88B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79" w:type="pct"/>
            <w:vMerge w:val="continue"/>
          </w:tcPr>
          <w:p w14:paraId="1F9A0F69">
            <w:pPr>
              <w:jc w:val="center"/>
              <w:rPr>
                <w:rFonts w:ascii="Times New Roman" w:hAnsi="Times New Roman" w:eastAsia="宋体" w:cs="Times New Roman"/>
                <w:color w:val="auto"/>
                <w:szCs w:val="21"/>
                <w:lang w:eastAsia="en-US"/>
              </w:rPr>
            </w:pPr>
          </w:p>
        </w:tc>
        <w:tc>
          <w:tcPr>
            <w:tcW w:w="724" w:type="pct"/>
            <w:vMerge w:val="restart"/>
            <w:shd w:val="clear" w:color="auto" w:fill="auto"/>
            <w:vAlign w:val="center"/>
          </w:tcPr>
          <w:p w14:paraId="1E0EE975">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硫化氢</w:t>
            </w:r>
          </w:p>
        </w:tc>
        <w:tc>
          <w:tcPr>
            <w:tcW w:w="1320" w:type="pct"/>
            <w:shd w:val="clear" w:color="auto" w:fill="auto"/>
            <w:vAlign w:val="center"/>
          </w:tcPr>
          <w:p w14:paraId="3FD8D745">
            <w:pPr>
              <w:jc w:val="center"/>
              <w:rPr>
                <w:rFonts w:hint="eastAsia" w:ascii="Times New Roman" w:hAnsi="Times New Roman" w:eastAsia="宋体" w:cs="Times New Roman"/>
                <w:color w:val="auto"/>
                <w:kern w:val="2"/>
                <w:sz w:val="18"/>
                <w:szCs w:val="18"/>
                <w:lang w:val="en-US" w:eastAsia="en-US" w:bidi="ar-SA"/>
              </w:rPr>
            </w:pPr>
            <w:r>
              <w:rPr>
                <w:rFonts w:ascii="Times New Roman" w:hAnsi="Times New Roman" w:eastAsia="宋体" w:cs="Times New Roman"/>
                <w:color w:val="auto"/>
                <w:sz w:val="18"/>
                <w:szCs w:val="18"/>
                <w:lang w:eastAsia="en-US"/>
              </w:rPr>
              <w:t>排放浓度（mg/</w:t>
            </w:r>
            <w:r>
              <w:rPr>
                <w:rFonts w:hint="eastAsia" w:ascii="Times New Roman" w:hAnsi="Times New Roman" w:eastAsia="宋体" w:cs="Times New Roman"/>
                <w:color w:val="auto"/>
                <w:sz w:val="18"/>
                <w:szCs w:val="18"/>
                <w:lang w:eastAsia="zh-CN"/>
              </w:rPr>
              <w:t>m</w:t>
            </w:r>
            <w:r>
              <w:rPr>
                <w:rFonts w:hint="eastAsia" w:ascii="Times New Roman" w:hAnsi="Times New Roman" w:eastAsia="宋体" w:cs="Times New Roman"/>
                <w:color w:val="auto"/>
                <w:sz w:val="18"/>
                <w:szCs w:val="18"/>
                <w:vertAlign w:val="superscript"/>
                <w:lang w:eastAsia="zh-CN"/>
              </w:rPr>
              <w:t>3</w:t>
            </w:r>
            <w:r>
              <w:rPr>
                <w:rFonts w:ascii="Times New Roman" w:hAnsi="Times New Roman" w:eastAsia="宋体" w:cs="Times New Roman"/>
                <w:color w:val="auto"/>
                <w:sz w:val="18"/>
                <w:szCs w:val="18"/>
                <w:lang w:eastAsia="en-US"/>
              </w:rPr>
              <w:t>）</w:t>
            </w:r>
          </w:p>
        </w:tc>
        <w:tc>
          <w:tcPr>
            <w:tcW w:w="596" w:type="pct"/>
            <w:shd w:val="clear" w:color="auto" w:fill="auto"/>
            <w:vAlign w:val="center"/>
          </w:tcPr>
          <w:p w14:paraId="1022C19E">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0.030</w:t>
            </w:r>
          </w:p>
        </w:tc>
        <w:tc>
          <w:tcPr>
            <w:tcW w:w="595" w:type="pct"/>
            <w:shd w:val="clear" w:color="auto" w:fill="auto"/>
            <w:vAlign w:val="center"/>
          </w:tcPr>
          <w:p w14:paraId="0C3E3E0F">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0.045</w:t>
            </w:r>
          </w:p>
        </w:tc>
        <w:tc>
          <w:tcPr>
            <w:tcW w:w="653" w:type="pct"/>
            <w:shd w:val="clear" w:color="auto" w:fill="auto"/>
            <w:vAlign w:val="center"/>
          </w:tcPr>
          <w:p w14:paraId="16FBC2ED">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0.020</w:t>
            </w:r>
          </w:p>
        </w:tc>
        <w:tc>
          <w:tcPr>
            <w:tcW w:w="730" w:type="pct"/>
            <w:shd w:val="clear" w:color="auto" w:fill="auto"/>
            <w:vAlign w:val="center"/>
          </w:tcPr>
          <w:p w14:paraId="6595CD5E">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w:t>
            </w:r>
          </w:p>
        </w:tc>
      </w:tr>
      <w:tr w14:paraId="5BE27D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79" w:type="pct"/>
            <w:vMerge w:val="continue"/>
          </w:tcPr>
          <w:p w14:paraId="4DBDFF77">
            <w:pPr>
              <w:jc w:val="center"/>
              <w:rPr>
                <w:rFonts w:ascii="Times New Roman" w:hAnsi="Times New Roman" w:eastAsia="宋体" w:cs="Times New Roman"/>
                <w:color w:val="auto"/>
                <w:szCs w:val="21"/>
                <w:lang w:eastAsia="en-US"/>
              </w:rPr>
            </w:pPr>
          </w:p>
        </w:tc>
        <w:tc>
          <w:tcPr>
            <w:tcW w:w="724" w:type="pct"/>
            <w:vMerge w:val="continue"/>
          </w:tcPr>
          <w:p w14:paraId="632EF84C">
            <w:pPr>
              <w:jc w:val="center"/>
              <w:rPr>
                <w:rFonts w:hint="eastAsia" w:ascii="Times New Roman" w:hAnsi="Times New Roman" w:eastAsia="宋体" w:cs="Times New Roman"/>
                <w:color w:val="auto"/>
                <w:szCs w:val="21"/>
                <w:lang w:val="en-US" w:eastAsia="zh-CN"/>
              </w:rPr>
            </w:pPr>
          </w:p>
        </w:tc>
        <w:tc>
          <w:tcPr>
            <w:tcW w:w="1320" w:type="pct"/>
            <w:shd w:val="clear" w:color="auto" w:fill="auto"/>
            <w:vAlign w:val="center"/>
          </w:tcPr>
          <w:p w14:paraId="593DAEE6">
            <w:pPr>
              <w:jc w:val="center"/>
              <w:rPr>
                <w:rFonts w:hint="eastAsia" w:ascii="Times New Roman" w:hAnsi="Times New Roman" w:eastAsia="宋体" w:cs="Times New Roman"/>
                <w:color w:val="auto"/>
                <w:kern w:val="2"/>
                <w:sz w:val="18"/>
                <w:szCs w:val="18"/>
                <w:lang w:val="en-US" w:eastAsia="en-US" w:bidi="ar-SA"/>
              </w:rPr>
            </w:pPr>
            <w:r>
              <w:rPr>
                <w:rFonts w:ascii="Times New Roman" w:hAnsi="Times New Roman" w:eastAsia="宋体" w:cs="Times New Roman"/>
                <w:color w:val="auto"/>
                <w:sz w:val="18"/>
                <w:szCs w:val="18"/>
                <w:lang w:eastAsia="en-US"/>
              </w:rPr>
              <w:t>排放速率（kg/h）</w:t>
            </w:r>
          </w:p>
        </w:tc>
        <w:tc>
          <w:tcPr>
            <w:tcW w:w="596" w:type="pct"/>
            <w:shd w:val="clear" w:color="auto" w:fill="auto"/>
            <w:vAlign w:val="center"/>
          </w:tcPr>
          <w:p w14:paraId="0ADE068A">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0.00079</w:t>
            </w:r>
          </w:p>
        </w:tc>
        <w:tc>
          <w:tcPr>
            <w:tcW w:w="595" w:type="pct"/>
            <w:shd w:val="clear" w:color="auto" w:fill="auto"/>
            <w:vAlign w:val="center"/>
          </w:tcPr>
          <w:p w14:paraId="4350B88D">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0.0012</w:t>
            </w:r>
          </w:p>
        </w:tc>
        <w:tc>
          <w:tcPr>
            <w:tcW w:w="653" w:type="pct"/>
            <w:shd w:val="clear" w:color="auto" w:fill="auto"/>
            <w:vAlign w:val="center"/>
          </w:tcPr>
          <w:p w14:paraId="2A1CDAF1">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0.00052</w:t>
            </w:r>
          </w:p>
        </w:tc>
        <w:tc>
          <w:tcPr>
            <w:tcW w:w="730" w:type="pct"/>
            <w:shd w:val="clear" w:color="auto" w:fill="auto"/>
            <w:vAlign w:val="center"/>
          </w:tcPr>
          <w:p w14:paraId="07097DB2">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0.58</w:t>
            </w:r>
          </w:p>
        </w:tc>
      </w:tr>
      <w:tr w14:paraId="55CD59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79" w:type="pct"/>
            <w:vMerge w:val="continue"/>
          </w:tcPr>
          <w:p w14:paraId="6A4C5505">
            <w:pPr>
              <w:jc w:val="center"/>
              <w:rPr>
                <w:rFonts w:ascii="Times New Roman" w:hAnsi="Times New Roman" w:eastAsia="宋体" w:cs="Times New Roman"/>
                <w:color w:val="auto"/>
                <w:szCs w:val="21"/>
                <w:lang w:eastAsia="en-US"/>
              </w:rPr>
            </w:pPr>
          </w:p>
        </w:tc>
        <w:tc>
          <w:tcPr>
            <w:tcW w:w="724" w:type="pct"/>
            <w:vMerge w:val="restart"/>
            <w:shd w:val="clear" w:color="auto" w:fill="auto"/>
            <w:vAlign w:val="center"/>
          </w:tcPr>
          <w:p w14:paraId="25D712BE">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sz w:val="18"/>
                <w:szCs w:val="18"/>
                <w:lang w:val="en-US" w:eastAsia="zh-CN"/>
              </w:rPr>
              <w:t>非甲烷总烃</w:t>
            </w:r>
          </w:p>
        </w:tc>
        <w:tc>
          <w:tcPr>
            <w:tcW w:w="1320" w:type="pct"/>
            <w:shd w:val="clear" w:color="auto" w:fill="auto"/>
            <w:vAlign w:val="center"/>
          </w:tcPr>
          <w:p w14:paraId="2C375D41">
            <w:pPr>
              <w:jc w:val="center"/>
              <w:rPr>
                <w:rFonts w:hint="eastAsia" w:ascii="Times New Roman" w:hAnsi="Times New Roman" w:eastAsia="宋体" w:cs="Times New Roman"/>
                <w:color w:val="auto"/>
                <w:kern w:val="2"/>
                <w:sz w:val="18"/>
                <w:szCs w:val="18"/>
                <w:lang w:val="en-US" w:eastAsia="en-US" w:bidi="ar-SA"/>
              </w:rPr>
            </w:pPr>
            <w:r>
              <w:rPr>
                <w:rFonts w:ascii="Times New Roman" w:hAnsi="Times New Roman" w:eastAsia="宋体" w:cs="Times New Roman"/>
                <w:color w:val="auto"/>
                <w:sz w:val="18"/>
                <w:szCs w:val="18"/>
                <w:lang w:eastAsia="en-US"/>
              </w:rPr>
              <w:t>排放浓度（mg/</w:t>
            </w:r>
            <w:r>
              <w:rPr>
                <w:rFonts w:hint="eastAsia" w:ascii="Times New Roman" w:hAnsi="Times New Roman" w:eastAsia="宋体" w:cs="Times New Roman"/>
                <w:color w:val="auto"/>
                <w:sz w:val="18"/>
                <w:szCs w:val="18"/>
                <w:lang w:eastAsia="zh-CN"/>
              </w:rPr>
              <w:t>m</w:t>
            </w:r>
            <w:r>
              <w:rPr>
                <w:rFonts w:hint="eastAsia" w:ascii="Times New Roman" w:hAnsi="Times New Roman" w:eastAsia="宋体" w:cs="Times New Roman"/>
                <w:color w:val="auto"/>
                <w:sz w:val="18"/>
                <w:szCs w:val="18"/>
                <w:vertAlign w:val="superscript"/>
                <w:lang w:eastAsia="zh-CN"/>
              </w:rPr>
              <w:t>3</w:t>
            </w:r>
            <w:r>
              <w:rPr>
                <w:rFonts w:ascii="Times New Roman" w:hAnsi="Times New Roman" w:eastAsia="宋体" w:cs="Times New Roman"/>
                <w:color w:val="auto"/>
                <w:sz w:val="18"/>
                <w:szCs w:val="18"/>
                <w:lang w:eastAsia="en-US"/>
              </w:rPr>
              <w:t>）</w:t>
            </w:r>
          </w:p>
        </w:tc>
        <w:tc>
          <w:tcPr>
            <w:tcW w:w="596" w:type="pct"/>
            <w:shd w:val="clear" w:color="auto" w:fill="auto"/>
            <w:vAlign w:val="center"/>
          </w:tcPr>
          <w:p w14:paraId="2E022AAA">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0.52</w:t>
            </w:r>
          </w:p>
        </w:tc>
        <w:tc>
          <w:tcPr>
            <w:tcW w:w="595" w:type="pct"/>
            <w:shd w:val="clear" w:color="auto" w:fill="auto"/>
            <w:vAlign w:val="center"/>
          </w:tcPr>
          <w:p w14:paraId="60D9C211">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0.26</w:t>
            </w:r>
          </w:p>
        </w:tc>
        <w:tc>
          <w:tcPr>
            <w:tcW w:w="653" w:type="pct"/>
            <w:shd w:val="clear" w:color="auto" w:fill="auto"/>
            <w:vAlign w:val="center"/>
          </w:tcPr>
          <w:p w14:paraId="22B88F66">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0.37</w:t>
            </w:r>
          </w:p>
        </w:tc>
        <w:tc>
          <w:tcPr>
            <w:tcW w:w="730" w:type="pct"/>
            <w:shd w:val="clear" w:color="auto" w:fill="auto"/>
            <w:vAlign w:val="center"/>
          </w:tcPr>
          <w:p w14:paraId="5171332B">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100</w:t>
            </w:r>
          </w:p>
        </w:tc>
      </w:tr>
      <w:tr w14:paraId="27A6B4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79" w:type="pct"/>
            <w:vMerge w:val="continue"/>
          </w:tcPr>
          <w:p w14:paraId="3CB609DE">
            <w:pPr>
              <w:jc w:val="center"/>
              <w:rPr>
                <w:rFonts w:ascii="Times New Roman" w:hAnsi="Times New Roman" w:eastAsia="宋体" w:cs="Times New Roman"/>
                <w:color w:val="auto"/>
                <w:szCs w:val="21"/>
                <w:lang w:eastAsia="en-US"/>
              </w:rPr>
            </w:pPr>
          </w:p>
        </w:tc>
        <w:tc>
          <w:tcPr>
            <w:tcW w:w="724" w:type="pct"/>
            <w:vMerge w:val="continue"/>
          </w:tcPr>
          <w:p w14:paraId="6269E1C8">
            <w:pPr>
              <w:jc w:val="center"/>
              <w:rPr>
                <w:rFonts w:hint="eastAsia" w:ascii="Times New Roman" w:hAnsi="Times New Roman" w:eastAsia="宋体" w:cs="Times New Roman"/>
                <w:color w:val="auto"/>
                <w:szCs w:val="21"/>
                <w:lang w:val="en-US" w:eastAsia="zh-CN"/>
              </w:rPr>
            </w:pPr>
          </w:p>
        </w:tc>
        <w:tc>
          <w:tcPr>
            <w:tcW w:w="1320" w:type="pct"/>
            <w:shd w:val="clear" w:color="auto" w:fill="auto"/>
            <w:vAlign w:val="center"/>
          </w:tcPr>
          <w:p w14:paraId="4C14A098">
            <w:pPr>
              <w:jc w:val="center"/>
              <w:rPr>
                <w:rFonts w:hint="eastAsia" w:ascii="Times New Roman" w:hAnsi="Times New Roman" w:eastAsia="宋体" w:cs="Times New Roman"/>
                <w:color w:val="auto"/>
                <w:kern w:val="2"/>
                <w:sz w:val="18"/>
                <w:szCs w:val="18"/>
                <w:lang w:val="en-US" w:eastAsia="en-US" w:bidi="ar-SA"/>
              </w:rPr>
            </w:pPr>
            <w:r>
              <w:rPr>
                <w:rFonts w:ascii="Times New Roman" w:hAnsi="Times New Roman" w:eastAsia="宋体" w:cs="Times New Roman"/>
                <w:color w:val="auto"/>
                <w:sz w:val="18"/>
                <w:szCs w:val="18"/>
                <w:lang w:eastAsia="en-US"/>
              </w:rPr>
              <w:t>排放速率（kg/h）</w:t>
            </w:r>
          </w:p>
        </w:tc>
        <w:tc>
          <w:tcPr>
            <w:tcW w:w="596" w:type="pct"/>
            <w:shd w:val="clear" w:color="auto" w:fill="auto"/>
            <w:vAlign w:val="center"/>
          </w:tcPr>
          <w:p w14:paraId="40573091">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0.014</w:t>
            </w:r>
          </w:p>
        </w:tc>
        <w:tc>
          <w:tcPr>
            <w:tcW w:w="595" w:type="pct"/>
            <w:shd w:val="clear" w:color="auto" w:fill="auto"/>
            <w:vAlign w:val="center"/>
          </w:tcPr>
          <w:p w14:paraId="338995D6">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0.0069</w:t>
            </w:r>
          </w:p>
        </w:tc>
        <w:tc>
          <w:tcPr>
            <w:tcW w:w="653" w:type="pct"/>
            <w:shd w:val="clear" w:color="auto" w:fill="auto"/>
            <w:vAlign w:val="center"/>
          </w:tcPr>
          <w:p w14:paraId="5878BBC0">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0.0095</w:t>
            </w:r>
          </w:p>
        </w:tc>
        <w:tc>
          <w:tcPr>
            <w:tcW w:w="730" w:type="pct"/>
            <w:shd w:val="clear" w:color="auto" w:fill="auto"/>
            <w:vAlign w:val="center"/>
          </w:tcPr>
          <w:p w14:paraId="41C40F94">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w:t>
            </w:r>
          </w:p>
        </w:tc>
      </w:tr>
      <w:tr w14:paraId="466DF6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79" w:type="pct"/>
            <w:vMerge w:val="restart"/>
            <w:shd w:val="clear" w:color="auto" w:fill="auto"/>
            <w:vAlign w:val="center"/>
          </w:tcPr>
          <w:p w14:paraId="3567D33E">
            <w:pPr>
              <w:jc w:val="center"/>
              <w:rPr>
                <w:rFonts w:hint="default" w:ascii="Times New Roman" w:hAnsi="Times New Roman" w:eastAsia="宋体" w:cs="Times New Roman"/>
                <w:color w:val="auto"/>
                <w:kern w:val="2"/>
                <w:sz w:val="18"/>
                <w:szCs w:val="18"/>
                <w:lang w:val="en-US" w:eastAsia="en-US" w:bidi="ar-SA"/>
              </w:rPr>
            </w:pPr>
            <w:r>
              <w:rPr>
                <w:rFonts w:hint="eastAsia" w:ascii="Times New Roman" w:hAnsi="Times New Roman" w:eastAsia="宋体" w:cs="Times New Roman"/>
                <w:color w:val="auto"/>
                <w:sz w:val="18"/>
                <w:szCs w:val="18"/>
                <w:lang w:val="en-US" w:eastAsia="zh-CN"/>
              </w:rPr>
              <w:t>DA002污水处理站废气出口</w:t>
            </w:r>
          </w:p>
        </w:tc>
        <w:tc>
          <w:tcPr>
            <w:tcW w:w="724" w:type="pct"/>
            <w:shd w:val="clear" w:color="auto" w:fill="auto"/>
            <w:vAlign w:val="center"/>
          </w:tcPr>
          <w:p w14:paraId="43C70742">
            <w:pPr>
              <w:jc w:val="center"/>
              <w:rPr>
                <w:rFonts w:hint="eastAsia" w:ascii="Times New Roman" w:hAnsi="Times New Roman" w:eastAsia="宋体" w:cs="Times New Roman"/>
                <w:color w:val="auto"/>
                <w:kern w:val="2"/>
                <w:sz w:val="18"/>
                <w:szCs w:val="18"/>
                <w:lang w:val="en-US" w:eastAsia="zh-CN" w:bidi="ar-SA"/>
              </w:rPr>
            </w:pPr>
            <w:r>
              <w:rPr>
                <w:rFonts w:ascii="Times New Roman" w:hAnsi="Times New Roman" w:eastAsia="宋体" w:cs="Times New Roman"/>
                <w:color w:val="auto"/>
                <w:sz w:val="18"/>
                <w:szCs w:val="18"/>
                <w:lang w:eastAsia="en-US"/>
              </w:rPr>
              <w:t>烟气流量</w:t>
            </w:r>
          </w:p>
        </w:tc>
        <w:tc>
          <w:tcPr>
            <w:tcW w:w="1320" w:type="pct"/>
            <w:shd w:val="clear" w:color="auto" w:fill="auto"/>
            <w:vAlign w:val="center"/>
          </w:tcPr>
          <w:p w14:paraId="61A2489B">
            <w:pPr>
              <w:jc w:val="center"/>
              <w:rPr>
                <w:rFonts w:hint="eastAsia" w:ascii="Times New Roman" w:hAnsi="Times New Roman" w:eastAsia="宋体" w:cs="Times New Roman"/>
                <w:color w:val="auto"/>
                <w:kern w:val="2"/>
                <w:sz w:val="18"/>
                <w:szCs w:val="18"/>
                <w:lang w:val="en-US" w:eastAsia="en-US" w:bidi="ar-SA"/>
              </w:rPr>
            </w:pPr>
            <w:r>
              <w:rPr>
                <w:rFonts w:ascii="Times New Roman" w:hAnsi="Times New Roman" w:eastAsia="宋体" w:cs="Times New Roman"/>
                <w:color w:val="auto"/>
                <w:sz w:val="18"/>
                <w:szCs w:val="18"/>
                <w:lang w:eastAsia="en-US"/>
              </w:rPr>
              <w:t>（N•</w:t>
            </w:r>
            <w:r>
              <w:rPr>
                <w:rFonts w:hint="eastAsia" w:ascii="Times New Roman" w:hAnsi="Times New Roman" w:eastAsia="宋体" w:cs="Times New Roman"/>
                <w:color w:val="auto"/>
                <w:sz w:val="18"/>
                <w:szCs w:val="18"/>
                <w:lang w:eastAsia="zh-CN"/>
              </w:rPr>
              <w:t>m</w:t>
            </w:r>
            <w:r>
              <w:rPr>
                <w:rFonts w:hint="eastAsia" w:ascii="Times New Roman" w:hAnsi="Times New Roman" w:eastAsia="宋体" w:cs="Times New Roman"/>
                <w:color w:val="auto"/>
                <w:sz w:val="18"/>
                <w:szCs w:val="18"/>
                <w:vertAlign w:val="superscript"/>
                <w:lang w:eastAsia="zh-CN"/>
              </w:rPr>
              <w:t>3</w:t>
            </w:r>
            <w:r>
              <w:rPr>
                <w:rFonts w:ascii="Times New Roman" w:hAnsi="Times New Roman" w:eastAsia="宋体" w:cs="Times New Roman"/>
                <w:color w:val="auto"/>
                <w:sz w:val="18"/>
                <w:szCs w:val="18"/>
                <w:lang w:eastAsia="en-US"/>
              </w:rPr>
              <w:t>/h）</w:t>
            </w:r>
          </w:p>
        </w:tc>
        <w:tc>
          <w:tcPr>
            <w:tcW w:w="596" w:type="pct"/>
            <w:shd w:val="clear" w:color="auto" w:fill="auto"/>
            <w:vAlign w:val="center"/>
          </w:tcPr>
          <w:p w14:paraId="42CA84F4">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2359</w:t>
            </w:r>
          </w:p>
        </w:tc>
        <w:tc>
          <w:tcPr>
            <w:tcW w:w="595" w:type="pct"/>
            <w:shd w:val="clear" w:color="auto" w:fill="auto"/>
            <w:vAlign w:val="center"/>
          </w:tcPr>
          <w:p w14:paraId="03254F03">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2639</w:t>
            </w:r>
          </w:p>
        </w:tc>
        <w:tc>
          <w:tcPr>
            <w:tcW w:w="653" w:type="pct"/>
            <w:shd w:val="clear" w:color="auto" w:fill="auto"/>
            <w:vAlign w:val="center"/>
          </w:tcPr>
          <w:p w14:paraId="7C64CA9D">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2694</w:t>
            </w:r>
          </w:p>
        </w:tc>
        <w:tc>
          <w:tcPr>
            <w:tcW w:w="730" w:type="pct"/>
            <w:shd w:val="clear" w:color="auto" w:fill="auto"/>
            <w:vAlign w:val="center"/>
          </w:tcPr>
          <w:p w14:paraId="06B61CBC">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w:t>
            </w:r>
          </w:p>
        </w:tc>
      </w:tr>
      <w:tr w14:paraId="20398A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79" w:type="pct"/>
            <w:vMerge w:val="continue"/>
          </w:tcPr>
          <w:p w14:paraId="19E87BBD">
            <w:pPr>
              <w:jc w:val="center"/>
              <w:rPr>
                <w:rFonts w:ascii="Times New Roman" w:hAnsi="Times New Roman" w:eastAsia="宋体" w:cs="Times New Roman"/>
                <w:color w:val="auto"/>
                <w:szCs w:val="21"/>
                <w:lang w:eastAsia="en-US"/>
              </w:rPr>
            </w:pPr>
          </w:p>
        </w:tc>
        <w:tc>
          <w:tcPr>
            <w:tcW w:w="724" w:type="pct"/>
            <w:vMerge w:val="restart"/>
            <w:shd w:val="clear" w:color="auto" w:fill="auto"/>
            <w:vAlign w:val="center"/>
          </w:tcPr>
          <w:p w14:paraId="7D688FC2">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氨</w:t>
            </w:r>
          </w:p>
        </w:tc>
        <w:tc>
          <w:tcPr>
            <w:tcW w:w="1320" w:type="pct"/>
            <w:shd w:val="clear" w:color="auto" w:fill="auto"/>
            <w:vAlign w:val="center"/>
          </w:tcPr>
          <w:p w14:paraId="326AE381">
            <w:pPr>
              <w:jc w:val="center"/>
              <w:rPr>
                <w:rFonts w:hint="eastAsia" w:ascii="Times New Roman" w:hAnsi="Times New Roman" w:eastAsia="宋体" w:cs="Times New Roman"/>
                <w:color w:val="auto"/>
                <w:kern w:val="2"/>
                <w:sz w:val="18"/>
                <w:szCs w:val="18"/>
                <w:lang w:val="en-US" w:eastAsia="en-US" w:bidi="ar-SA"/>
              </w:rPr>
            </w:pPr>
            <w:r>
              <w:rPr>
                <w:rFonts w:ascii="Times New Roman" w:hAnsi="Times New Roman" w:eastAsia="宋体" w:cs="Times New Roman"/>
                <w:color w:val="auto"/>
                <w:sz w:val="18"/>
                <w:szCs w:val="18"/>
                <w:lang w:eastAsia="en-US"/>
              </w:rPr>
              <w:t>排放浓度（mg/</w:t>
            </w:r>
            <w:r>
              <w:rPr>
                <w:rFonts w:hint="eastAsia" w:ascii="Times New Roman" w:hAnsi="Times New Roman" w:eastAsia="宋体" w:cs="Times New Roman"/>
                <w:color w:val="auto"/>
                <w:sz w:val="18"/>
                <w:szCs w:val="18"/>
                <w:lang w:eastAsia="zh-CN"/>
              </w:rPr>
              <w:t>m</w:t>
            </w:r>
            <w:r>
              <w:rPr>
                <w:rFonts w:hint="eastAsia" w:ascii="Times New Roman" w:hAnsi="Times New Roman" w:eastAsia="宋体" w:cs="Times New Roman"/>
                <w:color w:val="auto"/>
                <w:sz w:val="18"/>
                <w:szCs w:val="18"/>
                <w:vertAlign w:val="superscript"/>
                <w:lang w:eastAsia="zh-CN"/>
              </w:rPr>
              <w:t>3</w:t>
            </w:r>
            <w:r>
              <w:rPr>
                <w:rFonts w:ascii="Times New Roman" w:hAnsi="Times New Roman" w:eastAsia="宋体" w:cs="Times New Roman"/>
                <w:color w:val="auto"/>
                <w:sz w:val="18"/>
                <w:szCs w:val="18"/>
                <w:lang w:eastAsia="en-US"/>
              </w:rPr>
              <w:t>）</w:t>
            </w:r>
          </w:p>
        </w:tc>
        <w:tc>
          <w:tcPr>
            <w:tcW w:w="596" w:type="pct"/>
            <w:shd w:val="clear" w:color="auto" w:fill="auto"/>
            <w:vAlign w:val="center"/>
          </w:tcPr>
          <w:p w14:paraId="7478A9A9">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1.07</w:t>
            </w:r>
          </w:p>
        </w:tc>
        <w:tc>
          <w:tcPr>
            <w:tcW w:w="595" w:type="pct"/>
            <w:shd w:val="clear" w:color="auto" w:fill="auto"/>
            <w:vAlign w:val="center"/>
          </w:tcPr>
          <w:p w14:paraId="4A65029C">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0.99</w:t>
            </w:r>
          </w:p>
        </w:tc>
        <w:tc>
          <w:tcPr>
            <w:tcW w:w="653" w:type="pct"/>
            <w:shd w:val="clear" w:color="auto" w:fill="auto"/>
            <w:vAlign w:val="center"/>
          </w:tcPr>
          <w:p w14:paraId="49F903F2">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1.06</w:t>
            </w:r>
          </w:p>
        </w:tc>
        <w:tc>
          <w:tcPr>
            <w:tcW w:w="730" w:type="pct"/>
            <w:shd w:val="clear" w:color="auto" w:fill="auto"/>
            <w:vAlign w:val="center"/>
          </w:tcPr>
          <w:p w14:paraId="13088FA2">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30</w:t>
            </w:r>
          </w:p>
        </w:tc>
      </w:tr>
      <w:tr w14:paraId="5FEA3B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79" w:type="pct"/>
            <w:vMerge w:val="continue"/>
          </w:tcPr>
          <w:p w14:paraId="2163566C">
            <w:pPr>
              <w:jc w:val="center"/>
              <w:rPr>
                <w:rFonts w:ascii="Times New Roman" w:hAnsi="Times New Roman" w:eastAsia="宋体" w:cs="Times New Roman"/>
                <w:color w:val="auto"/>
                <w:szCs w:val="21"/>
                <w:lang w:eastAsia="en-US"/>
              </w:rPr>
            </w:pPr>
          </w:p>
        </w:tc>
        <w:tc>
          <w:tcPr>
            <w:tcW w:w="724" w:type="pct"/>
            <w:vMerge w:val="continue"/>
          </w:tcPr>
          <w:p w14:paraId="39227C43">
            <w:pPr>
              <w:jc w:val="center"/>
              <w:rPr>
                <w:rFonts w:hint="eastAsia" w:ascii="Times New Roman" w:hAnsi="Times New Roman" w:eastAsia="宋体" w:cs="Times New Roman"/>
                <w:color w:val="auto"/>
                <w:szCs w:val="21"/>
                <w:lang w:val="en-US" w:eastAsia="zh-CN"/>
              </w:rPr>
            </w:pPr>
          </w:p>
        </w:tc>
        <w:tc>
          <w:tcPr>
            <w:tcW w:w="1320" w:type="pct"/>
            <w:shd w:val="clear" w:color="auto" w:fill="auto"/>
            <w:vAlign w:val="center"/>
          </w:tcPr>
          <w:p w14:paraId="265A89B2">
            <w:pPr>
              <w:jc w:val="center"/>
              <w:rPr>
                <w:rFonts w:hint="eastAsia" w:ascii="Times New Roman" w:hAnsi="Times New Roman" w:eastAsia="宋体" w:cs="Times New Roman"/>
                <w:color w:val="auto"/>
                <w:kern w:val="2"/>
                <w:sz w:val="18"/>
                <w:szCs w:val="18"/>
                <w:lang w:val="en-US" w:eastAsia="en-US" w:bidi="ar-SA"/>
              </w:rPr>
            </w:pPr>
            <w:r>
              <w:rPr>
                <w:rFonts w:ascii="Times New Roman" w:hAnsi="Times New Roman" w:eastAsia="宋体" w:cs="Times New Roman"/>
                <w:color w:val="auto"/>
                <w:sz w:val="18"/>
                <w:szCs w:val="18"/>
                <w:lang w:eastAsia="en-US"/>
              </w:rPr>
              <w:t>排放速率（kg/h）</w:t>
            </w:r>
          </w:p>
        </w:tc>
        <w:tc>
          <w:tcPr>
            <w:tcW w:w="596" w:type="pct"/>
            <w:shd w:val="clear" w:color="auto" w:fill="auto"/>
            <w:vAlign w:val="center"/>
          </w:tcPr>
          <w:p w14:paraId="6A669B27">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0.0025</w:t>
            </w:r>
          </w:p>
        </w:tc>
        <w:tc>
          <w:tcPr>
            <w:tcW w:w="595" w:type="pct"/>
            <w:shd w:val="clear" w:color="auto" w:fill="auto"/>
            <w:vAlign w:val="center"/>
          </w:tcPr>
          <w:p w14:paraId="00D39ED8">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0.0026</w:t>
            </w:r>
          </w:p>
        </w:tc>
        <w:tc>
          <w:tcPr>
            <w:tcW w:w="653" w:type="pct"/>
            <w:shd w:val="clear" w:color="auto" w:fill="auto"/>
            <w:vAlign w:val="center"/>
          </w:tcPr>
          <w:p w14:paraId="1FC678AB">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0.0028</w:t>
            </w:r>
          </w:p>
        </w:tc>
        <w:tc>
          <w:tcPr>
            <w:tcW w:w="730" w:type="pct"/>
            <w:shd w:val="clear" w:color="auto" w:fill="auto"/>
            <w:vAlign w:val="center"/>
          </w:tcPr>
          <w:p w14:paraId="49237A78">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w:t>
            </w:r>
          </w:p>
        </w:tc>
      </w:tr>
      <w:tr w14:paraId="1D01DA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79" w:type="pct"/>
            <w:vMerge w:val="continue"/>
          </w:tcPr>
          <w:p w14:paraId="28BB5B58">
            <w:pPr>
              <w:jc w:val="center"/>
              <w:rPr>
                <w:rFonts w:ascii="Times New Roman" w:hAnsi="Times New Roman" w:eastAsia="宋体" w:cs="Times New Roman"/>
                <w:color w:val="auto"/>
                <w:szCs w:val="21"/>
                <w:lang w:eastAsia="en-US"/>
              </w:rPr>
            </w:pPr>
          </w:p>
        </w:tc>
        <w:tc>
          <w:tcPr>
            <w:tcW w:w="724" w:type="pct"/>
            <w:vMerge w:val="restart"/>
            <w:shd w:val="clear" w:color="auto" w:fill="auto"/>
            <w:vAlign w:val="center"/>
          </w:tcPr>
          <w:p w14:paraId="6D24F2B6">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TVOC</w:t>
            </w:r>
          </w:p>
        </w:tc>
        <w:tc>
          <w:tcPr>
            <w:tcW w:w="1320" w:type="pct"/>
            <w:shd w:val="clear" w:color="auto" w:fill="auto"/>
            <w:vAlign w:val="center"/>
          </w:tcPr>
          <w:p w14:paraId="5A2F54A0">
            <w:pPr>
              <w:jc w:val="center"/>
              <w:rPr>
                <w:rFonts w:hint="eastAsia" w:ascii="Times New Roman" w:hAnsi="Times New Roman" w:eastAsia="宋体" w:cs="Times New Roman"/>
                <w:color w:val="auto"/>
                <w:kern w:val="2"/>
                <w:sz w:val="18"/>
                <w:szCs w:val="18"/>
                <w:lang w:val="en-US" w:eastAsia="en-US" w:bidi="ar-SA"/>
              </w:rPr>
            </w:pPr>
            <w:r>
              <w:rPr>
                <w:rFonts w:ascii="Times New Roman" w:hAnsi="Times New Roman" w:eastAsia="宋体" w:cs="Times New Roman"/>
                <w:color w:val="auto"/>
                <w:sz w:val="18"/>
                <w:szCs w:val="18"/>
                <w:lang w:eastAsia="en-US"/>
              </w:rPr>
              <w:t>排放浓度（mg/</w:t>
            </w:r>
            <w:r>
              <w:rPr>
                <w:rFonts w:hint="eastAsia" w:ascii="Times New Roman" w:hAnsi="Times New Roman" w:eastAsia="宋体" w:cs="Times New Roman"/>
                <w:color w:val="auto"/>
                <w:sz w:val="18"/>
                <w:szCs w:val="18"/>
                <w:lang w:eastAsia="zh-CN"/>
              </w:rPr>
              <w:t>m</w:t>
            </w:r>
            <w:r>
              <w:rPr>
                <w:rFonts w:hint="eastAsia" w:ascii="Times New Roman" w:hAnsi="Times New Roman" w:eastAsia="宋体" w:cs="Times New Roman"/>
                <w:color w:val="auto"/>
                <w:sz w:val="18"/>
                <w:szCs w:val="18"/>
                <w:vertAlign w:val="superscript"/>
                <w:lang w:eastAsia="zh-CN"/>
              </w:rPr>
              <w:t>3）</w:t>
            </w:r>
          </w:p>
        </w:tc>
        <w:tc>
          <w:tcPr>
            <w:tcW w:w="596" w:type="pct"/>
            <w:shd w:val="clear" w:color="auto" w:fill="auto"/>
            <w:vAlign w:val="center"/>
          </w:tcPr>
          <w:p w14:paraId="7432143E">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0.084</w:t>
            </w:r>
          </w:p>
        </w:tc>
        <w:tc>
          <w:tcPr>
            <w:tcW w:w="595" w:type="pct"/>
            <w:shd w:val="clear" w:color="auto" w:fill="auto"/>
            <w:vAlign w:val="center"/>
          </w:tcPr>
          <w:p w14:paraId="2AB9A8B4">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0.109</w:t>
            </w:r>
          </w:p>
        </w:tc>
        <w:tc>
          <w:tcPr>
            <w:tcW w:w="653" w:type="pct"/>
            <w:shd w:val="clear" w:color="auto" w:fill="auto"/>
            <w:vAlign w:val="center"/>
          </w:tcPr>
          <w:p w14:paraId="66AF63E0">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0.206</w:t>
            </w:r>
          </w:p>
        </w:tc>
        <w:tc>
          <w:tcPr>
            <w:tcW w:w="730" w:type="pct"/>
            <w:shd w:val="clear" w:color="auto" w:fill="auto"/>
            <w:vAlign w:val="center"/>
          </w:tcPr>
          <w:p w14:paraId="42EF6A69">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100</w:t>
            </w:r>
          </w:p>
        </w:tc>
      </w:tr>
      <w:tr w14:paraId="721923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79" w:type="pct"/>
            <w:vMerge w:val="continue"/>
          </w:tcPr>
          <w:p w14:paraId="42953595">
            <w:pPr>
              <w:jc w:val="center"/>
              <w:rPr>
                <w:rFonts w:ascii="Times New Roman" w:hAnsi="Times New Roman" w:eastAsia="宋体" w:cs="Times New Roman"/>
                <w:color w:val="auto"/>
                <w:szCs w:val="21"/>
                <w:lang w:eastAsia="en-US"/>
              </w:rPr>
            </w:pPr>
          </w:p>
        </w:tc>
        <w:tc>
          <w:tcPr>
            <w:tcW w:w="724" w:type="pct"/>
            <w:vMerge w:val="continue"/>
          </w:tcPr>
          <w:p w14:paraId="4642D5C8">
            <w:pPr>
              <w:jc w:val="center"/>
              <w:rPr>
                <w:rFonts w:hint="eastAsia" w:ascii="Times New Roman" w:hAnsi="Times New Roman" w:eastAsia="宋体" w:cs="Times New Roman"/>
                <w:color w:val="auto"/>
                <w:szCs w:val="21"/>
                <w:lang w:val="en-US" w:eastAsia="zh-CN"/>
              </w:rPr>
            </w:pPr>
          </w:p>
        </w:tc>
        <w:tc>
          <w:tcPr>
            <w:tcW w:w="1320" w:type="pct"/>
            <w:shd w:val="clear" w:color="auto" w:fill="auto"/>
            <w:vAlign w:val="center"/>
          </w:tcPr>
          <w:p w14:paraId="7E826024">
            <w:pPr>
              <w:jc w:val="center"/>
              <w:rPr>
                <w:rFonts w:hint="eastAsia" w:ascii="Times New Roman" w:hAnsi="Times New Roman" w:eastAsia="宋体" w:cs="Times New Roman"/>
                <w:color w:val="auto"/>
                <w:kern w:val="2"/>
                <w:sz w:val="18"/>
                <w:szCs w:val="18"/>
                <w:lang w:val="en-US" w:eastAsia="en-US" w:bidi="ar-SA"/>
              </w:rPr>
            </w:pPr>
            <w:r>
              <w:rPr>
                <w:rFonts w:ascii="Times New Roman" w:hAnsi="Times New Roman" w:eastAsia="宋体" w:cs="Times New Roman"/>
                <w:color w:val="auto"/>
                <w:sz w:val="18"/>
                <w:szCs w:val="18"/>
                <w:lang w:eastAsia="en-US"/>
              </w:rPr>
              <w:t>排放速率（kg/h）</w:t>
            </w:r>
          </w:p>
        </w:tc>
        <w:tc>
          <w:tcPr>
            <w:tcW w:w="596" w:type="pct"/>
            <w:shd w:val="clear" w:color="auto" w:fill="auto"/>
            <w:vAlign w:val="center"/>
          </w:tcPr>
          <w:p w14:paraId="72AF0027">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0.00020</w:t>
            </w:r>
          </w:p>
        </w:tc>
        <w:tc>
          <w:tcPr>
            <w:tcW w:w="595" w:type="pct"/>
            <w:shd w:val="clear" w:color="auto" w:fill="auto"/>
            <w:vAlign w:val="center"/>
          </w:tcPr>
          <w:p w14:paraId="78BF7D2F">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0.00029</w:t>
            </w:r>
          </w:p>
        </w:tc>
        <w:tc>
          <w:tcPr>
            <w:tcW w:w="653" w:type="pct"/>
            <w:shd w:val="clear" w:color="auto" w:fill="auto"/>
            <w:vAlign w:val="center"/>
          </w:tcPr>
          <w:p w14:paraId="7213829B">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0.00055</w:t>
            </w:r>
          </w:p>
        </w:tc>
        <w:tc>
          <w:tcPr>
            <w:tcW w:w="730" w:type="pct"/>
            <w:shd w:val="clear" w:color="auto" w:fill="auto"/>
            <w:vAlign w:val="center"/>
          </w:tcPr>
          <w:p w14:paraId="599DF39B">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w:t>
            </w:r>
          </w:p>
        </w:tc>
      </w:tr>
      <w:tr w14:paraId="04D11D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79" w:type="pct"/>
            <w:vMerge w:val="continue"/>
          </w:tcPr>
          <w:p w14:paraId="683461A8">
            <w:pPr>
              <w:jc w:val="center"/>
              <w:rPr>
                <w:rFonts w:ascii="Times New Roman" w:hAnsi="Times New Roman" w:eastAsia="宋体" w:cs="Times New Roman"/>
                <w:color w:val="auto"/>
                <w:szCs w:val="21"/>
                <w:lang w:eastAsia="en-US"/>
              </w:rPr>
            </w:pPr>
          </w:p>
        </w:tc>
        <w:tc>
          <w:tcPr>
            <w:tcW w:w="724" w:type="pct"/>
            <w:vMerge w:val="restart"/>
            <w:shd w:val="clear" w:color="auto" w:fill="auto"/>
            <w:vAlign w:val="center"/>
          </w:tcPr>
          <w:p w14:paraId="363D68EB">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硫化氢</w:t>
            </w:r>
          </w:p>
        </w:tc>
        <w:tc>
          <w:tcPr>
            <w:tcW w:w="1320" w:type="pct"/>
            <w:shd w:val="clear" w:color="auto" w:fill="auto"/>
            <w:vAlign w:val="center"/>
          </w:tcPr>
          <w:p w14:paraId="77D98991">
            <w:pPr>
              <w:jc w:val="center"/>
              <w:rPr>
                <w:rFonts w:hint="eastAsia" w:ascii="Times New Roman" w:hAnsi="Times New Roman" w:eastAsia="宋体" w:cs="Times New Roman"/>
                <w:color w:val="auto"/>
                <w:kern w:val="2"/>
                <w:sz w:val="18"/>
                <w:szCs w:val="18"/>
                <w:lang w:val="en-US" w:eastAsia="en-US" w:bidi="ar-SA"/>
              </w:rPr>
            </w:pPr>
            <w:r>
              <w:rPr>
                <w:rFonts w:ascii="Times New Roman" w:hAnsi="Times New Roman" w:eastAsia="宋体" w:cs="Times New Roman"/>
                <w:color w:val="auto"/>
                <w:sz w:val="18"/>
                <w:szCs w:val="18"/>
                <w:lang w:eastAsia="en-US"/>
              </w:rPr>
              <w:t>排放浓度（mg/</w:t>
            </w:r>
            <w:r>
              <w:rPr>
                <w:rFonts w:hint="eastAsia" w:ascii="Times New Roman" w:hAnsi="Times New Roman" w:eastAsia="宋体" w:cs="Times New Roman"/>
                <w:color w:val="auto"/>
                <w:sz w:val="18"/>
                <w:szCs w:val="18"/>
                <w:lang w:eastAsia="zh-CN"/>
              </w:rPr>
              <w:t>m</w:t>
            </w:r>
            <w:r>
              <w:rPr>
                <w:rFonts w:hint="eastAsia" w:ascii="Times New Roman" w:hAnsi="Times New Roman" w:eastAsia="宋体" w:cs="Times New Roman"/>
                <w:color w:val="auto"/>
                <w:sz w:val="18"/>
                <w:szCs w:val="18"/>
                <w:vertAlign w:val="superscript"/>
                <w:lang w:eastAsia="zh-CN"/>
              </w:rPr>
              <w:t>3</w:t>
            </w:r>
            <w:r>
              <w:rPr>
                <w:rFonts w:ascii="Times New Roman" w:hAnsi="Times New Roman" w:eastAsia="宋体" w:cs="Times New Roman"/>
                <w:color w:val="auto"/>
                <w:sz w:val="18"/>
                <w:szCs w:val="18"/>
                <w:lang w:eastAsia="en-US"/>
              </w:rPr>
              <w:t>）</w:t>
            </w:r>
          </w:p>
        </w:tc>
        <w:tc>
          <w:tcPr>
            <w:tcW w:w="596" w:type="pct"/>
            <w:shd w:val="clear" w:color="auto" w:fill="auto"/>
            <w:vAlign w:val="center"/>
          </w:tcPr>
          <w:p w14:paraId="416D31D6">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0.045</w:t>
            </w:r>
          </w:p>
        </w:tc>
        <w:tc>
          <w:tcPr>
            <w:tcW w:w="595" w:type="pct"/>
            <w:shd w:val="clear" w:color="auto" w:fill="auto"/>
            <w:vAlign w:val="center"/>
          </w:tcPr>
          <w:p w14:paraId="352D69D5">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0.046</w:t>
            </w:r>
          </w:p>
        </w:tc>
        <w:tc>
          <w:tcPr>
            <w:tcW w:w="653" w:type="pct"/>
            <w:shd w:val="clear" w:color="auto" w:fill="auto"/>
            <w:vAlign w:val="center"/>
          </w:tcPr>
          <w:p w14:paraId="7F57D291">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0.052</w:t>
            </w:r>
          </w:p>
        </w:tc>
        <w:tc>
          <w:tcPr>
            <w:tcW w:w="730" w:type="pct"/>
            <w:shd w:val="clear" w:color="auto" w:fill="auto"/>
            <w:vAlign w:val="center"/>
          </w:tcPr>
          <w:p w14:paraId="6854AB71">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5</w:t>
            </w:r>
          </w:p>
        </w:tc>
      </w:tr>
      <w:tr w14:paraId="6EB1AE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79" w:type="pct"/>
            <w:vMerge w:val="continue"/>
          </w:tcPr>
          <w:p w14:paraId="2C7C4CCB">
            <w:pPr>
              <w:jc w:val="center"/>
              <w:rPr>
                <w:rFonts w:ascii="Times New Roman" w:hAnsi="Times New Roman" w:eastAsia="宋体" w:cs="Times New Roman"/>
                <w:color w:val="auto"/>
                <w:szCs w:val="21"/>
                <w:lang w:eastAsia="en-US"/>
              </w:rPr>
            </w:pPr>
          </w:p>
        </w:tc>
        <w:tc>
          <w:tcPr>
            <w:tcW w:w="724" w:type="pct"/>
            <w:vMerge w:val="continue"/>
          </w:tcPr>
          <w:p w14:paraId="4F590816">
            <w:pPr>
              <w:jc w:val="center"/>
              <w:rPr>
                <w:rFonts w:hint="eastAsia" w:ascii="Times New Roman" w:hAnsi="Times New Roman" w:eastAsia="宋体" w:cs="Times New Roman"/>
                <w:color w:val="auto"/>
                <w:szCs w:val="21"/>
                <w:lang w:val="en-US" w:eastAsia="zh-CN"/>
              </w:rPr>
            </w:pPr>
          </w:p>
        </w:tc>
        <w:tc>
          <w:tcPr>
            <w:tcW w:w="1320" w:type="pct"/>
            <w:shd w:val="clear" w:color="auto" w:fill="auto"/>
            <w:vAlign w:val="center"/>
          </w:tcPr>
          <w:p w14:paraId="0D0EE62B">
            <w:pPr>
              <w:jc w:val="center"/>
              <w:rPr>
                <w:rFonts w:hint="eastAsia" w:ascii="Times New Roman" w:hAnsi="Times New Roman" w:eastAsia="宋体" w:cs="Times New Roman"/>
                <w:color w:val="auto"/>
                <w:kern w:val="2"/>
                <w:sz w:val="18"/>
                <w:szCs w:val="18"/>
                <w:lang w:val="en-US" w:eastAsia="en-US" w:bidi="ar-SA"/>
              </w:rPr>
            </w:pPr>
            <w:r>
              <w:rPr>
                <w:rFonts w:ascii="Times New Roman" w:hAnsi="Times New Roman" w:eastAsia="宋体" w:cs="Times New Roman"/>
                <w:color w:val="auto"/>
                <w:sz w:val="18"/>
                <w:szCs w:val="18"/>
                <w:lang w:eastAsia="en-US"/>
              </w:rPr>
              <w:t>排放速率（kg/h）</w:t>
            </w:r>
          </w:p>
        </w:tc>
        <w:tc>
          <w:tcPr>
            <w:tcW w:w="596" w:type="pct"/>
            <w:shd w:val="clear" w:color="auto" w:fill="auto"/>
            <w:vAlign w:val="center"/>
          </w:tcPr>
          <w:p w14:paraId="1BA3D56F">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0.000011</w:t>
            </w:r>
          </w:p>
        </w:tc>
        <w:tc>
          <w:tcPr>
            <w:tcW w:w="595" w:type="pct"/>
            <w:shd w:val="clear" w:color="auto" w:fill="auto"/>
            <w:vAlign w:val="center"/>
          </w:tcPr>
          <w:p w14:paraId="279A90FC">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0.00012</w:t>
            </w:r>
          </w:p>
        </w:tc>
        <w:tc>
          <w:tcPr>
            <w:tcW w:w="653" w:type="pct"/>
            <w:shd w:val="clear" w:color="auto" w:fill="auto"/>
            <w:vAlign w:val="center"/>
          </w:tcPr>
          <w:p w14:paraId="6A115B41">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0.00014</w:t>
            </w:r>
          </w:p>
        </w:tc>
        <w:tc>
          <w:tcPr>
            <w:tcW w:w="730" w:type="pct"/>
            <w:shd w:val="clear" w:color="auto" w:fill="auto"/>
            <w:vAlign w:val="center"/>
          </w:tcPr>
          <w:p w14:paraId="5084F4EA">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w:t>
            </w:r>
          </w:p>
        </w:tc>
      </w:tr>
      <w:tr w14:paraId="5D5C17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79" w:type="pct"/>
            <w:vMerge w:val="restart"/>
            <w:shd w:val="clear" w:color="auto" w:fill="auto"/>
            <w:vAlign w:val="center"/>
          </w:tcPr>
          <w:p w14:paraId="5A83255B">
            <w:pPr>
              <w:jc w:val="center"/>
              <w:rPr>
                <w:rFonts w:ascii="Times New Roman" w:hAnsi="Times New Roman" w:eastAsia="宋体" w:cs="Times New Roman"/>
                <w:color w:val="auto"/>
                <w:kern w:val="2"/>
                <w:sz w:val="18"/>
                <w:szCs w:val="18"/>
                <w:lang w:val="en-US" w:eastAsia="en-US" w:bidi="ar-SA"/>
              </w:rPr>
            </w:pPr>
            <w:r>
              <w:rPr>
                <w:rFonts w:hint="eastAsia" w:ascii="Times New Roman" w:hAnsi="Times New Roman" w:eastAsia="宋体" w:cs="Times New Roman"/>
                <w:color w:val="auto"/>
                <w:sz w:val="18"/>
                <w:szCs w:val="18"/>
                <w:lang w:val="en-US" w:eastAsia="zh-CN"/>
              </w:rPr>
              <w:t>DA003干燥废气排气筒出口</w:t>
            </w:r>
          </w:p>
        </w:tc>
        <w:tc>
          <w:tcPr>
            <w:tcW w:w="724" w:type="pct"/>
            <w:shd w:val="clear" w:color="auto" w:fill="auto"/>
            <w:vAlign w:val="center"/>
          </w:tcPr>
          <w:p w14:paraId="39DE875E">
            <w:pPr>
              <w:jc w:val="center"/>
              <w:rPr>
                <w:rFonts w:hint="eastAsia" w:ascii="Times New Roman" w:hAnsi="Times New Roman" w:eastAsia="宋体" w:cs="Times New Roman"/>
                <w:color w:val="auto"/>
                <w:kern w:val="2"/>
                <w:sz w:val="18"/>
                <w:szCs w:val="18"/>
                <w:lang w:val="en-US" w:eastAsia="zh-CN" w:bidi="ar-SA"/>
              </w:rPr>
            </w:pPr>
            <w:r>
              <w:rPr>
                <w:rFonts w:ascii="Times New Roman" w:hAnsi="Times New Roman" w:eastAsia="宋体" w:cs="Times New Roman"/>
                <w:color w:val="auto"/>
                <w:sz w:val="18"/>
                <w:szCs w:val="18"/>
                <w:lang w:eastAsia="en-US"/>
              </w:rPr>
              <w:t>烟气流量</w:t>
            </w:r>
          </w:p>
        </w:tc>
        <w:tc>
          <w:tcPr>
            <w:tcW w:w="1320" w:type="pct"/>
            <w:shd w:val="clear" w:color="auto" w:fill="auto"/>
            <w:vAlign w:val="center"/>
          </w:tcPr>
          <w:p w14:paraId="138689FC">
            <w:pPr>
              <w:jc w:val="center"/>
              <w:rPr>
                <w:rFonts w:hint="eastAsia" w:ascii="Times New Roman" w:hAnsi="Times New Roman" w:eastAsia="宋体" w:cs="Times New Roman"/>
                <w:color w:val="auto"/>
                <w:kern w:val="2"/>
                <w:sz w:val="18"/>
                <w:szCs w:val="18"/>
                <w:lang w:val="en-US" w:eastAsia="en-US" w:bidi="ar-SA"/>
              </w:rPr>
            </w:pPr>
            <w:r>
              <w:rPr>
                <w:rFonts w:ascii="Times New Roman" w:hAnsi="Times New Roman" w:eastAsia="宋体" w:cs="Times New Roman"/>
                <w:color w:val="auto"/>
                <w:sz w:val="18"/>
                <w:szCs w:val="18"/>
                <w:lang w:eastAsia="en-US"/>
              </w:rPr>
              <w:t>（N•</w:t>
            </w:r>
            <w:r>
              <w:rPr>
                <w:rFonts w:hint="eastAsia" w:ascii="Times New Roman" w:hAnsi="Times New Roman" w:eastAsia="宋体" w:cs="Times New Roman"/>
                <w:color w:val="auto"/>
                <w:sz w:val="18"/>
                <w:szCs w:val="18"/>
                <w:lang w:eastAsia="zh-CN"/>
              </w:rPr>
              <w:t>m</w:t>
            </w:r>
            <w:r>
              <w:rPr>
                <w:rFonts w:hint="eastAsia" w:ascii="Times New Roman" w:hAnsi="Times New Roman" w:eastAsia="宋体" w:cs="Times New Roman"/>
                <w:color w:val="auto"/>
                <w:sz w:val="18"/>
                <w:szCs w:val="18"/>
                <w:vertAlign w:val="superscript"/>
                <w:lang w:eastAsia="zh-CN"/>
              </w:rPr>
              <w:t>3</w:t>
            </w:r>
            <w:r>
              <w:rPr>
                <w:rFonts w:ascii="Times New Roman" w:hAnsi="Times New Roman" w:eastAsia="宋体" w:cs="Times New Roman"/>
                <w:color w:val="auto"/>
                <w:sz w:val="18"/>
                <w:szCs w:val="18"/>
                <w:lang w:eastAsia="en-US"/>
              </w:rPr>
              <w:t>/h）</w:t>
            </w:r>
          </w:p>
        </w:tc>
        <w:tc>
          <w:tcPr>
            <w:tcW w:w="596" w:type="pct"/>
            <w:shd w:val="clear" w:color="auto" w:fill="auto"/>
            <w:vAlign w:val="center"/>
          </w:tcPr>
          <w:p w14:paraId="2342DD02">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4089</w:t>
            </w:r>
          </w:p>
        </w:tc>
        <w:tc>
          <w:tcPr>
            <w:tcW w:w="595" w:type="pct"/>
            <w:shd w:val="clear" w:color="auto" w:fill="auto"/>
            <w:vAlign w:val="center"/>
          </w:tcPr>
          <w:p w14:paraId="64B945DF">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4377</w:t>
            </w:r>
          </w:p>
        </w:tc>
        <w:tc>
          <w:tcPr>
            <w:tcW w:w="653" w:type="pct"/>
            <w:shd w:val="clear" w:color="auto" w:fill="auto"/>
            <w:vAlign w:val="center"/>
          </w:tcPr>
          <w:p w14:paraId="26853343">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3833</w:t>
            </w:r>
          </w:p>
        </w:tc>
        <w:tc>
          <w:tcPr>
            <w:tcW w:w="730" w:type="pct"/>
            <w:shd w:val="clear" w:color="auto" w:fill="auto"/>
            <w:vAlign w:val="center"/>
          </w:tcPr>
          <w:p w14:paraId="2BC57971">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w:t>
            </w:r>
          </w:p>
        </w:tc>
      </w:tr>
      <w:tr w14:paraId="6FBBA2D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79" w:type="pct"/>
            <w:vMerge w:val="continue"/>
          </w:tcPr>
          <w:p w14:paraId="43BC46C1">
            <w:pPr>
              <w:jc w:val="center"/>
              <w:rPr>
                <w:rFonts w:ascii="Times New Roman" w:hAnsi="Times New Roman" w:eastAsia="宋体" w:cs="Times New Roman"/>
                <w:color w:val="auto"/>
                <w:szCs w:val="21"/>
                <w:lang w:eastAsia="en-US"/>
              </w:rPr>
            </w:pPr>
          </w:p>
        </w:tc>
        <w:tc>
          <w:tcPr>
            <w:tcW w:w="724" w:type="pct"/>
            <w:vMerge w:val="restart"/>
            <w:shd w:val="clear" w:color="auto" w:fill="auto"/>
            <w:vAlign w:val="center"/>
          </w:tcPr>
          <w:p w14:paraId="5A034D74">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颗粒物</w:t>
            </w:r>
          </w:p>
        </w:tc>
        <w:tc>
          <w:tcPr>
            <w:tcW w:w="1320" w:type="pct"/>
            <w:shd w:val="clear" w:color="auto" w:fill="auto"/>
            <w:vAlign w:val="center"/>
          </w:tcPr>
          <w:p w14:paraId="7E8BCE3C">
            <w:pPr>
              <w:jc w:val="center"/>
              <w:rPr>
                <w:rFonts w:hint="eastAsia" w:ascii="Times New Roman" w:hAnsi="Times New Roman" w:eastAsia="宋体" w:cs="Times New Roman"/>
                <w:color w:val="auto"/>
                <w:kern w:val="2"/>
                <w:sz w:val="18"/>
                <w:szCs w:val="18"/>
                <w:lang w:val="en-US" w:eastAsia="en-US" w:bidi="ar-SA"/>
              </w:rPr>
            </w:pPr>
            <w:r>
              <w:rPr>
                <w:rFonts w:ascii="Times New Roman" w:hAnsi="Times New Roman" w:eastAsia="宋体" w:cs="Times New Roman"/>
                <w:color w:val="auto"/>
                <w:sz w:val="18"/>
                <w:szCs w:val="18"/>
                <w:lang w:eastAsia="en-US"/>
              </w:rPr>
              <w:t>排放浓度（mg/</w:t>
            </w:r>
            <w:r>
              <w:rPr>
                <w:rFonts w:hint="eastAsia" w:ascii="Times New Roman" w:hAnsi="Times New Roman" w:eastAsia="宋体" w:cs="Times New Roman"/>
                <w:color w:val="auto"/>
                <w:sz w:val="18"/>
                <w:szCs w:val="18"/>
                <w:lang w:eastAsia="zh-CN"/>
              </w:rPr>
              <w:t>m</w:t>
            </w:r>
            <w:r>
              <w:rPr>
                <w:rFonts w:hint="eastAsia" w:ascii="Times New Roman" w:hAnsi="Times New Roman" w:eastAsia="宋体" w:cs="Times New Roman"/>
                <w:color w:val="auto"/>
                <w:sz w:val="18"/>
                <w:szCs w:val="18"/>
                <w:vertAlign w:val="superscript"/>
                <w:lang w:eastAsia="zh-CN"/>
              </w:rPr>
              <w:t>3</w:t>
            </w:r>
            <w:r>
              <w:rPr>
                <w:rFonts w:ascii="Times New Roman" w:hAnsi="Times New Roman" w:eastAsia="宋体" w:cs="Times New Roman"/>
                <w:color w:val="auto"/>
                <w:sz w:val="18"/>
                <w:szCs w:val="18"/>
                <w:lang w:eastAsia="en-US"/>
              </w:rPr>
              <w:t>）</w:t>
            </w:r>
          </w:p>
        </w:tc>
        <w:tc>
          <w:tcPr>
            <w:tcW w:w="596" w:type="pct"/>
            <w:shd w:val="clear" w:color="auto" w:fill="auto"/>
            <w:vAlign w:val="center"/>
          </w:tcPr>
          <w:p w14:paraId="3D218A57">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9.6</w:t>
            </w:r>
          </w:p>
        </w:tc>
        <w:tc>
          <w:tcPr>
            <w:tcW w:w="595" w:type="pct"/>
            <w:shd w:val="clear" w:color="auto" w:fill="auto"/>
            <w:vAlign w:val="center"/>
          </w:tcPr>
          <w:p w14:paraId="4AD0DD77">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8.2</w:t>
            </w:r>
          </w:p>
        </w:tc>
        <w:tc>
          <w:tcPr>
            <w:tcW w:w="653" w:type="pct"/>
            <w:shd w:val="clear" w:color="auto" w:fill="auto"/>
            <w:vAlign w:val="center"/>
          </w:tcPr>
          <w:p w14:paraId="079337F9">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10.7</w:t>
            </w:r>
          </w:p>
        </w:tc>
        <w:tc>
          <w:tcPr>
            <w:tcW w:w="730" w:type="pct"/>
            <w:shd w:val="clear" w:color="auto" w:fill="auto"/>
            <w:vAlign w:val="center"/>
          </w:tcPr>
          <w:p w14:paraId="7025247E">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30</w:t>
            </w:r>
          </w:p>
        </w:tc>
      </w:tr>
      <w:tr w14:paraId="753250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79" w:type="pct"/>
            <w:vMerge w:val="continue"/>
          </w:tcPr>
          <w:p w14:paraId="296F9846">
            <w:pPr>
              <w:jc w:val="center"/>
              <w:rPr>
                <w:rFonts w:ascii="Times New Roman" w:hAnsi="Times New Roman" w:eastAsia="宋体" w:cs="Times New Roman"/>
                <w:color w:val="auto"/>
                <w:szCs w:val="21"/>
                <w:lang w:eastAsia="en-US"/>
              </w:rPr>
            </w:pPr>
          </w:p>
        </w:tc>
        <w:tc>
          <w:tcPr>
            <w:tcW w:w="724" w:type="pct"/>
            <w:vMerge w:val="continue"/>
          </w:tcPr>
          <w:p w14:paraId="2265DF84">
            <w:pPr>
              <w:jc w:val="center"/>
              <w:rPr>
                <w:rFonts w:hint="eastAsia" w:ascii="Times New Roman" w:hAnsi="Times New Roman" w:eastAsia="宋体" w:cs="Times New Roman"/>
                <w:color w:val="auto"/>
                <w:szCs w:val="21"/>
                <w:lang w:val="en-US" w:eastAsia="zh-CN"/>
              </w:rPr>
            </w:pPr>
          </w:p>
        </w:tc>
        <w:tc>
          <w:tcPr>
            <w:tcW w:w="1320" w:type="pct"/>
            <w:shd w:val="clear" w:color="auto" w:fill="auto"/>
            <w:vAlign w:val="center"/>
          </w:tcPr>
          <w:p w14:paraId="02CBFFD7">
            <w:pPr>
              <w:jc w:val="center"/>
              <w:rPr>
                <w:rFonts w:hint="eastAsia" w:ascii="Times New Roman" w:hAnsi="Times New Roman" w:eastAsia="宋体" w:cs="Times New Roman"/>
                <w:color w:val="auto"/>
                <w:kern w:val="2"/>
                <w:sz w:val="18"/>
                <w:szCs w:val="18"/>
                <w:lang w:val="en-US" w:eastAsia="en-US" w:bidi="ar-SA"/>
              </w:rPr>
            </w:pPr>
            <w:r>
              <w:rPr>
                <w:rFonts w:ascii="Times New Roman" w:hAnsi="Times New Roman" w:eastAsia="宋体" w:cs="Times New Roman"/>
                <w:color w:val="auto"/>
                <w:sz w:val="18"/>
                <w:szCs w:val="18"/>
                <w:lang w:eastAsia="en-US"/>
              </w:rPr>
              <w:t>排放速率（kg/h）</w:t>
            </w:r>
          </w:p>
        </w:tc>
        <w:tc>
          <w:tcPr>
            <w:tcW w:w="596" w:type="pct"/>
            <w:shd w:val="clear" w:color="auto" w:fill="auto"/>
            <w:vAlign w:val="center"/>
          </w:tcPr>
          <w:p w14:paraId="4D64E1F4">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0.039</w:t>
            </w:r>
          </w:p>
        </w:tc>
        <w:tc>
          <w:tcPr>
            <w:tcW w:w="595" w:type="pct"/>
            <w:shd w:val="clear" w:color="auto" w:fill="auto"/>
            <w:vAlign w:val="center"/>
          </w:tcPr>
          <w:p w14:paraId="7F18185D">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0.036</w:t>
            </w:r>
          </w:p>
        </w:tc>
        <w:tc>
          <w:tcPr>
            <w:tcW w:w="653" w:type="pct"/>
            <w:shd w:val="clear" w:color="auto" w:fill="auto"/>
            <w:vAlign w:val="center"/>
          </w:tcPr>
          <w:p w14:paraId="38E153B0">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0.041</w:t>
            </w:r>
          </w:p>
        </w:tc>
        <w:tc>
          <w:tcPr>
            <w:tcW w:w="730" w:type="pct"/>
            <w:shd w:val="clear" w:color="auto" w:fill="auto"/>
            <w:vAlign w:val="center"/>
          </w:tcPr>
          <w:p w14:paraId="1A379805">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w:t>
            </w:r>
          </w:p>
        </w:tc>
      </w:tr>
      <w:tr w14:paraId="10411D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79" w:type="pct"/>
            <w:vMerge w:val="continue"/>
          </w:tcPr>
          <w:p w14:paraId="0ABF71C9">
            <w:pPr>
              <w:jc w:val="center"/>
              <w:rPr>
                <w:rFonts w:ascii="Times New Roman" w:hAnsi="Times New Roman" w:eastAsia="宋体" w:cs="Times New Roman"/>
                <w:color w:val="auto"/>
                <w:szCs w:val="21"/>
                <w:lang w:eastAsia="en-US"/>
              </w:rPr>
            </w:pPr>
          </w:p>
        </w:tc>
        <w:tc>
          <w:tcPr>
            <w:tcW w:w="724" w:type="pct"/>
            <w:vMerge w:val="restart"/>
            <w:shd w:val="clear" w:color="auto" w:fill="auto"/>
            <w:vAlign w:val="center"/>
          </w:tcPr>
          <w:p w14:paraId="0F81F802">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TVOC</w:t>
            </w:r>
          </w:p>
        </w:tc>
        <w:tc>
          <w:tcPr>
            <w:tcW w:w="1320" w:type="pct"/>
            <w:shd w:val="clear" w:color="auto" w:fill="auto"/>
            <w:vAlign w:val="center"/>
          </w:tcPr>
          <w:p w14:paraId="52215CC0">
            <w:pPr>
              <w:jc w:val="center"/>
              <w:rPr>
                <w:rFonts w:hint="eastAsia" w:ascii="Times New Roman" w:hAnsi="Times New Roman" w:eastAsia="宋体" w:cs="Times New Roman"/>
                <w:color w:val="auto"/>
                <w:kern w:val="2"/>
                <w:sz w:val="18"/>
                <w:szCs w:val="18"/>
                <w:lang w:val="en-US" w:eastAsia="en-US" w:bidi="ar-SA"/>
              </w:rPr>
            </w:pPr>
            <w:r>
              <w:rPr>
                <w:rFonts w:ascii="Times New Roman" w:hAnsi="Times New Roman" w:eastAsia="宋体" w:cs="Times New Roman"/>
                <w:color w:val="auto"/>
                <w:sz w:val="18"/>
                <w:szCs w:val="18"/>
                <w:lang w:eastAsia="en-US"/>
              </w:rPr>
              <w:t>排放浓度（mg/</w:t>
            </w:r>
            <w:r>
              <w:rPr>
                <w:rFonts w:hint="eastAsia" w:ascii="Times New Roman" w:hAnsi="Times New Roman" w:eastAsia="宋体" w:cs="Times New Roman"/>
                <w:color w:val="auto"/>
                <w:sz w:val="18"/>
                <w:szCs w:val="18"/>
                <w:lang w:eastAsia="zh-CN"/>
              </w:rPr>
              <w:t>m</w:t>
            </w:r>
            <w:r>
              <w:rPr>
                <w:rFonts w:hint="eastAsia" w:ascii="Times New Roman" w:hAnsi="Times New Roman" w:eastAsia="宋体" w:cs="Times New Roman"/>
                <w:color w:val="auto"/>
                <w:sz w:val="18"/>
                <w:szCs w:val="18"/>
                <w:vertAlign w:val="superscript"/>
                <w:lang w:eastAsia="zh-CN"/>
              </w:rPr>
              <w:t>3</w:t>
            </w:r>
            <w:r>
              <w:rPr>
                <w:rFonts w:ascii="Times New Roman" w:hAnsi="Times New Roman" w:eastAsia="宋体" w:cs="Times New Roman"/>
                <w:color w:val="auto"/>
                <w:sz w:val="18"/>
                <w:szCs w:val="18"/>
                <w:lang w:eastAsia="en-US"/>
              </w:rPr>
              <w:t>）</w:t>
            </w:r>
          </w:p>
        </w:tc>
        <w:tc>
          <w:tcPr>
            <w:tcW w:w="596" w:type="pct"/>
            <w:shd w:val="clear" w:color="auto" w:fill="auto"/>
            <w:vAlign w:val="center"/>
          </w:tcPr>
          <w:p w14:paraId="30A8F9E2">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0.055</w:t>
            </w:r>
          </w:p>
        </w:tc>
        <w:tc>
          <w:tcPr>
            <w:tcW w:w="595" w:type="pct"/>
            <w:shd w:val="clear" w:color="auto" w:fill="auto"/>
            <w:vAlign w:val="center"/>
          </w:tcPr>
          <w:p w14:paraId="76C69721">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0.051</w:t>
            </w:r>
          </w:p>
        </w:tc>
        <w:tc>
          <w:tcPr>
            <w:tcW w:w="653" w:type="pct"/>
            <w:shd w:val="clear" w:color="auto" w:fill="auto"/>
            <w:vAlign w:val="center"/>
          </w:tcPr>
          <w:p w14:paraId="2959BA85">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0.012</w:t>
            </w:r>
          </w:p>
        </w:tc>
        <w:tc>
          <w:tcPr>
            <w:tcW w:w="730" w:type="pct"/>
            <w:shd w:val="clear" w:color="auto" w:fill="auto"/>
            <w:vAlign w:val="center"/>
          </w:tcPr>
          <w:p w14:paraId="608AD7AF">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40</w:t>
            </w:r>
          </w:p>
        </w:tc>
      </w:tr>
      <w:tr w14:paraId="0F1DE3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79" w:type="pct"/>
            <w:vMerge w:val="continue"/>
          </w:tcPr>
          <w:p w14:paraId="44F7FA34">
            <w:pPr>
              <w:jc w:val="center"/>
              <w:rPr>
                <w:rFonts w:ascii="Times New Roman" w:hAnsi="Times New Roman" w:eastAsia="宋体" w:cs="Times New Roman"/>
                <w:color w:val="auto"/>
                <w:szCs w:val="21"/>
                <w:lang w:eastAsia="en-US"/>
              </w:rPr>
            </w:pPr>
          </w:p>
        </w:tc>
        <w:tc>
          <w:tcPr>
            <w:tcW w:w="724" w:type="pct"/>
            <w:vMerge w:val="continue"/>
          </w:tcPr>
          <w:p w14:paraId="2856FC13">
            <w:pPr>
              <w:jc w:val="center"/>
              <w:rPr>
                <w:rFonts w:hint="eastAsia" w:ascii="Times New Roman" w:hAnsi="Times New Roman" w:eastAsia="宋体" w:cs="Times New Roman"/>
                <w:color w:val="auto"/>
                <w:szCs w:val="21"/>
                <w:lang w:val="en-US" w:eastAsia="zh-CN"/>
              </w:rPr>
            </w:pPr>
          </w:p>
        </w:tc>
        <w:tc>
          <w:tcPr>
            <w:tcW w:w="1320" w:type="pct"/>
            <w:shd w:val="clear" w:color="auto" w:fill="auto"/>
            <w:vAlign w:val="center"/>
          </w:tcPr>
          <w:p w14:paraId="49B6294D">
            <w:pPr>
              <w:jc w:val="center"/>
              <w:rPr>
                <w:rFonts w:hint="eastAsia" w:ascii="Times New Roman" w:hAnsi="Times New Roman" w:eastAsia="宋体" w:cs="Times New Roman"/>
                <w:color w:val="auto"/>
                <w:kern w:val="2"/>
                <w:sz w:val="18"/>
                <w:szCs w:val="18"/>
                <w:lang w:val="en-US" w:eastAsia="en-US" w:bidi="ar-SA"/>
              </w:rPr>
            </w:pPr>
            <w:r>
              <w:rPr>
                <w:rFonts w:ascii="Times New Roman" w:hAnsi="Times New Roman" w:eastAsia="宋体" w:cs="Times New Roman"/>
                <w:color w:val="auto"/>
                <w:sz w:val="18"/>
                <w:szCs w:val="18"/>
                <w:lang w:eastAsia="en-US"/>
              </w:rPr>
              <w:t>排放速率（kg/h）</w:t>
            </w:r>
          </w:p>
        </w:tc>
        <w:tc>
          <w:tcPr>
            <w:tcW w:w="596" w:type="pct"/>
            <w:shd w:val="clear" w:color="auto" w:fill="auto"/>
            <w:vAlign w:val="center"/>
          </w:tcPr>
          <w:p w14:paraId="5103F571">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0.00022</w:t>
            </w:r>
          </w:p>
        </w:tc>
        <w:tc>
          <w:tcPr>
            <w:tcW w:w="595" w:type="pct"/>
            <w:shd w:val="clear" w:color="auto" w:fill="auto"/>
            <w:vAlign w:val="center"/>
          </w:tcPr>
          <w:p w14:paraId="55AF0938">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0.00022</w:t>
            </w:r>
          </w:p>
        </w:tc>
        <w:tc>
          <w:tcPr>
            <w:tcW w:w="653" w:type="pct"/>
            <w:shd w:val="clear" w:color="auto" w:fill="auto"/>
            <w:vAlign w:val="center"/>
          </w:tcPr>
          <w:p w14:paraId="673EB30F">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0.000046</w:t>
            </w:r>
          </w:p>
        </w:tc>
        <w:tc>
          <w:tcPr>
            <w:tcW w:w="730" w:type="pct"/>
            <w:shd w:val="clear" w:color="auto" w:fill="auto"/>
            <w:vAlign w:val="center"/>
          </w:tcPr>
          <w:p w14:paraId="22E3CA7B">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w:t>
            </w:r>
          </w:p>
        </w:tc>
      </w:tr>
      <w:tr w14:paraId="64BFB0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79" w:type="pct"/>
            <w:vMerge w:val="continue"/>
          </w:tcPr>
          <w:p w14:paraId="50D874C8">
            <w:pPr>
              <w:jc w:val="center"/>
              <w:rPr>
                <w:rFonts w:ascii="Times New Roman" w:hAnsi="Times New Roman" w:eastAsia="宋体" w:cs="Times New Roman"/>
                <w:color w:val="auto"/>
                <w:szCs w:val="21"/>
                <w:lang w:eastAsia="en-US"/>
              </w:rPr>
            </w:pPr>
          </w:p>
        </w:tc>
        <w:tc>
          <w:tcPr>
            <w:tcW w:w="724" w:type="pct"/>
            <w:vMerge w:val="restart"/>
            <w:shd w:val="clear" w:color="auto" w:fill="auto"/>
            <w:vAlign w:val="center"/>
          </w:tcPr>
          <w:p w14:paraId="44D3F9CE">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氨</w:t>
            </w:r>
          </w:p>
        </w:tc>
        <w:tc>
          <w:tcPr>
            <w:tcW w:w="1320" w:type="pct"/>
            <w:shd w:val="clear" w:color="auto" w:fill="auto"/>
            <w:vAlign w:val="center"/>
          </w:tcPr>
          <w:p w14:paraId="3C9BFB1E">
            <w:pPr>
              <w:jc w:val="center"/>
              <w:rPr>
                <w:rFonts w:hint="eastAsia" w:ascii="Times New Roman" w:hAnsi="Times New Roman" w:eastAsia="宋体" w:cs="Times New Roman"/>
                <w:color w:val="auto"/>
                <w:kern w:val="2"/>
                <w:sz w:val="18"/>
                <w:szCs w:val="18"/>
                <w:lang w:val="en-US" w:eastAsia="en-US" w:bidi="ar-SA"/>
              </w:rPr>
            </w:pPr>
            <w:r>
              <w:rPr>
                <w:rFonts w:ascii="Times New Roman" w:hAnsi="Times New Roman" w:eastAsia="宋体" w:cs="Times New Roman"/>
                <w:color w:val="auto"/>
                <w:sz w:val="18"/>
                <w:szCs w:val="18"/>
                <w:lang w:eastAsia="en-US"/>
              </w:rPr>
              <w:t>排放浓度（mg/</w:t>
            </w:r>
            <w:r>
              <w:rPr>
                <w:rFonts w:hint="eastAsia" w:ascii="Times New Roman" w:hAnsi="Times New Roman" w:eastAsia="宋体" w:cs="Times New Roman"/>
                <w:color w:val="auto"/>
                <w:sz w:val="18"/>
                <w:szCs w:val="18"/>
                <w:lang w:eastAsia="zh-CN"/>
              </w:rPr>
              <w:t>m</w:t>
            </w:r>
            <w:r>
              <w:rPr>
                <w:rFonts w:hint="eastAsia" w:ascii="Times New Roman" w:hAnsi="Times New Roman" w:eastAsia="宋体" w:cs="Times New Roman"/>
                <w:color w:val="auto"/>
                <w:sz w:val="18"/>
                <w:szCs w:val="18"/>
                <w:vertAlign w:val="superscript"/>
                <w:lang w:eastAsia="zh-CN"/>
              </w:rPr>
              <w:t>3</w:t>
            </w:r>
            <w:r>
              <w:rPr>
                <w:rFonts w:ascii="Times New Roman" w:hAnsi="Times New Roman" w:eastAsia="宋体" w:cs="Times New Roman"/>
                <w:color w:val="auto"/>
                <w:sz w:val="18"/>
                <w:szCs w:val="18"/>
                <w:lang w:eastAsia="en-US"/>
              </w:rPr>
              <w:t>）</w:t>
            </w:r>
          </w:p>
        </w:tc>
        <w:tc>
          <w:tcPr>
            <w:tcW w:w="596" w:type="pct"/>
            <w:shd w:val="clear" w:color="auto" w:fill="auto"/>
            <w:vAlign w:val="center"/>
          </w:tcPr>
          <w:p w14:paraId="25B33D3B">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1.04</w:t>
            </w:r>
          </w:p>
        </w:tc>
        <w:tc>
          <w:tcPr>
            <w:tcW w:w="595" w:type="pct"/>
            <w:shd w:val="clear" w:color="auto" w:fill="auto"/>
            <w:vAlign w:val="center"/>
          </w:tcPr>
          <w:p w14:paraId="6DE1B828">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1.11</w:t>
            </w:r>
          </w:p>
        </w:tc>
        <w:tc>
          <w:tcPr>
            <w:tcW w:w="653" w:type="pct"/>
            <w:shd w:val="clear" w:color="auto" w:fill="auto"/>
            <w:vAlign w:val="center"/>
          </w:tcPr>
          <w:p w14:paraId="1D177AA3">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1.11</w:t>
            </w:r>
          </w:p>
        </w:tc>
        <w:tc>
          <w:tcPr>
            <w:tcW w:w="730" w:type="pct"/>
            <w:shd w:val="clear" w:color="auto" w:fill="auto"/>
            <w:vAlign w:val="center"/>
          </w:tcPr>
          <w:p w14:paraId="095F65DD">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30</w:t>
            </w:r>
          </w:p>
        </w:tc>
      </w:tr>
      <w:tr w14:paraId="5162B9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79" w:type="pct"/>
            <w:vMerge w:val="continue"/>
          </w:tcPr>
          <w:p w14:paraId="58CEF5BC">
            <w:pPr>
              <w:jc w:val="center"/>
              <w:rPr>
                <w:rFonts w:ascii="Times New Roman" w:hAnsi="Times New Roman" w:eastAsia="宋体" w:cs="Times New Roman"/>
                <w:color w:val="auto"/>
                <w:szCs w:val="21"/>
                <w:lang w:eastAsia="en-US"/>
              </w:rPr>
            </w:pPr>
          </w:p>
        </w:tc>
        <w:tc>
          <w:tcPr>
            <w:tcW w:w="724" w:type="pct"/>
            <w:vMerge w:val="continue"/>
          </w:tcPr>
          <w:p w14:paraId="0B3D7A41">
            <w:pPr>
              <w:jc w:val="center"/>
              <w:rPr>
                <w:rFonts w:hint="eastAsia" w:ascii="Times New Roman" w:hAnsi="Times New Roman" w:eastAsia="宋体" w:cs="Times New Roman"/>
                <w:color w:val="auto"/>
                <w:szCs w:val="21"/>
                <w:lang w:val="en-US" w:eastAsia="zh-CN"/>
              </w:rPr>
            </w:pPr>
          </w:p>
        </w:tc>
        <w:tc>
          <w:tcPr>
            <w:tcW w:w="1320" w:type="pct"/>
            <w:shd w:val="clear" w:color="auto" w:fill="auto"/>
            <w:vAlign w:val="center"/>
          </w:tcPr>
          <w:p w14:paraId="61AEA2B5">
            <w:pPr>
              <w:jc w:val="center"/>
              <w:rPr>
                <w:rFonts w:hint="eastAsia" w:ascii="Times New Roman" w:hAnsi="Times New Roman" w:eastAsia="宋体" w:cs="Times New Roman"/>
                <w:color w:val="auto"/>
                <w:kern w:val="2"/>
                <w:sz w:val="18"/>
                <w:szCs w:val="18"/>
                <w:lang w:val="en-US" w:eastAsia="en-US" w:bidi="ar-SA"/>
              </w:rPr>
            </w:pPr>
            <w:r>
              <w:rPr>
                <w:rFonts w:ascii="Times New Roman" w:hAnsi="Times New Roman" w:eastAsia="宋体" w:cs="Times New Roman"/>
                <w:color w:val="auto"/>
                <w:sz w:val="18"/>
                <w:szCs w:val="18"/>
                <w:lang w:eastAsia="en-US"/>
              </w:rPr>
              <w:t>排放速率（kg/h）</w:t>
            </w:r>
          </w:p>
        </w:tc>
        <w:tc>
          <w:tcPr>
            <w:tcW w:w="596" w:type="pct"/>
            <w:shd w:val="clear" w:color="auto" w:fill="auto"/>
            <w:vAlign w:val="center"/>
          </w:tcPr>
          <w:p w14:paraId="4858B5DC">
            <w:pPr>
              <w:tabs>
                <w:tab w:val="left" w:pos="531"/>
              </w:tabs>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0.0043</w:t>
            </w:r>
          </w:p>
        </w:tc>
        <w:tc>
          <w:tcPr>
            <w:tcW w:w="595" w:type="pct"/>
            <w:shd w:val="clear" w:color="auto" w:fill="auto"/>
            <w:vAlign w:val="center"/>
          </w:tcPr>
          <w:p w14:paraId="56D508FA">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0.0049</w:t>
            </w:r>
          </w:p>
        </w:tc>
        <w:tc>
          <w:tcPr>
            <w:tcW w:w="653" w:type="pct"/>
            <w:shd w:val="clear" w:color="auto" w:fill="auto"/>
            <w:vAlign w:val="center"/>
          </w:tcPr>
          <w:p w14:paraId="5AFB5F85">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0.0043</w:t>
            </w:r>
          </w:p>
        </w:tc>
        <w:tc>
          <w:tcPr>
            <w:tcW w:w="730" w:type="pct"/>
            <w:shd w:val="clear" w:color="auto" w:fill="auto"/>
            <w:vAlign w:val="center"/>
          </w:tcPr>
          <w:p w14:paraId="161AD51B">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w:t>
            </w:r>
          </w:p>
        </w:tc>
      </w:tr>
      <w:tr w14:paraId="3EC9A9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79" w:type="pct"/>
            <w:vMerge w:val="continue"/>
          </w:tcPr>
          <w:p w14:paraId="1E69268A">
            <w:pPr>
              <w:jc w:val="center"/>
              <w:rPr>
                <w:rFonts w:ascii="Times New Roman" w:hAnsi="Times New Roman" w:eastAsia="宋体" w:cs="Times New Roman"/>
                <w:color w:val="auto"/>
                <w:szCs w:val="21"/>
                <w:lang w:eastAsia="en-US"/>
              </w:rPr>
            </w:pPr>
          </w:p>
        </w:tc>
        <w:tc>
          <w:tcPr>
            <w:tcW w:w="724" w:type="pct"/>
            <w:vMerge w:val="restart"/>
            <w:shd w:val="clear" w:color="auto" w:fill="auto"/>
            <w:vAlign w:val="center"/>
          </w:tcPr>
          <w:p w14:paraId="1479124E">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硫化氢</w:t>
            </w:r>
          </w:p>
        </w:tc>
        <w:tc>
          <w:tcPr>
            <w:tcW w:w="1320" w:type="pct"/>
            <w:shd w:val="clear" w:color="auto" w:fill="auto"/>
            <w:vAlign w:val="center"/>
          </w:tcPr>
          <w:p w14:paraId="652D4AF8">
            <w:pPr>
              <w:jc w:val="center"/>
              <w:rPr>
                <w:rFonts w:hint="eastAsia" w:ascii="Times New Roman" w:hAnsi="Times New Roman" w:eastAsia="宋体" w:cs="Times New Roman"/>
                <w:color w:val="auto"/>
                <w:kern w:val="2"/>
                <w:sz w:val="18"/>
                <w:szCs w:val="18"/>
                <w:lang w:val="en-US" w:eastAsia="en-US" w:bidi="ar-SA"/>
              </w:rPr>
            </w:pPr>
            <w:r>
              <w:rPr>
                <w:rFonts w:ascii="Times New Roman" w:hAnsi="Times New Roman" w:eastAsia="宋体" w:cs="Times New Roman"/>
                <w:color w:val="auto"/>
                <w:sz w:val="18"/>
                <w:szCs w:val="18"/>
                <w:lang w:eastAsia="en-US"/>
              </w:rPr>
              <w:t>排放浓度（mg/</w:t>
            </w:r>
            <w:r>
              <w:rPr>
                <w:rFonts w:hint="eastAsia" w:ascii="Times New Roman" w:hAnsi="Times New Roman" w:eastAsia="宋体" w:cs="Times New Roman"/>
                <w:color w:val="auto"/>
                <w:sz w:val="18"/>
                <w:szCs w:val="18"/>
                <w:lang w:eastAsia="zh-CN"/>
              </w:rPr>
              <w:t>m</w:t>
            </w:r>
            <w:r>
              <w:rPr>
                <w:rFonts w:hint="eastAsia" w:ascii="Times New Roman" w:hAnsi="Times New Roman" w:eastAsia="宋体" w:cs="Times New Roman"/>
                <w:color w:val="auto"/>
                <w:sz w:val="18"/>
                <w:szCs w:val="18"/>
                <w:vertAlign w:val="superscript"/>
                <w:lang w:eastAsia="zh-CN"/>
              </w:rPr>
              <w:t>3</w:t>
            </w:r>
            <w:r>
              <w:rPr>
                <w:rFonts w:ascii="Times New Roman" w:hAnsi="Times New Roman" w:eastAsia="宋体" w:cs="Times New Roman"/>
                <w:color w:val="auto"/>
                <w:sz w:val="18"/>
                <w:szCs w:val="18"/>
                <w:lang w:eastAsia="en-US"/>
              </w:rPr>
              <w:t>）</w:t>
            </w:r>
          </w:p>
        </w:tc>
        <w:tc>
          <w:tcPr>
            <w:tcW w:w="596" w:type="pct"/>
            <w:shd w:val="clear" w:color="auto" w:fill="auto"/>
            <w:vAlign w:val="center"/>
          </w:tcPr>
          <w:p w14:paraId="0EA3B053">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0.010</w:t>
            </w:r>
          </w:p>
        </w:tc>
        <w:tc>
          <w:tcPr>
            <w:tcW w:w="595" w:type="pct"/>
            <w:shd w:val="clear" w:color="auto" w:fill="auto"/>
            <w:vAlign w:val="center"/>
          </w:tcPr>
          <w:p w14:paraId="01D3D329">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0.011</w:t>
            </w:r>
          </w:p>
        </w:tc>
        <w:tc>
          <w:tcPr>
            <w:tcW w:w="653" w:type="pct"/>
            <w:shd w:val="clear" w:color="auto" w:fill="auto"/>
            <w:vAlign w:val="center"/>
          </w:tcPr>
          <w:p w14:paraId="49855E16">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0.008</w:t>
            </w:r>
          </w:p>
        </w:tc>
        <w:tc>
          <w:tcPr>
            <w:tcW w:w="730" w:type="pct"/>
            <w:shd w:val="clear" w:color="auto" w:fill="auto"/>
            <w:vAlign w:val="center"/>
          </w:tcPr>
          <w:p w14:paraId="3A126D62">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w:t>
            </w:r>
          </w:p>
        </w:tc>
      </w:tr>
      <w:tr w14:paraId="24A2D4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79" w:type="pct"/>
            <w:vMerge w:val="continue"/>
          </w:tcPr>
          <w:p w14:paraId="794F4280">
            <w:pPr>
              <w:jc w:val="center"/>
              <w:rPr>
                <w:rFonts w:ascii="Times New Roman" w:hAnsi="Times New Roman" w:eastAsia="宋体" w:cs="Times New Roman"/>
                <w:color w:val="auto"/>
                <w:szCs w:val="21"/>
                <w:lang w:eastAsia="en-US"/>
              </w:rPr>
            </w:pPr>
          </w:p>
        </w:tc>
        <w:tc>
          <w:tcPr>
            <w:tcW w:w="724" w:type="pct"/>
            <w:vMerge w:val="continue"/>
          </w:tcPr>
          <w:p w14:paraId="394376F8">
            <w:pPr>
              <w:jc w:val="center"/>
              <w:rPr>
                <w:rFonts w:hint="eastAsia" w:ascii="Times New Roman" w:hAnsi="Times New Roman" w:eastAsia="宋体" w:cs="Times New Roman"/>
                <w:color w:val="auto"/>
                <w:szCs w:val="21"/>
                <w:lang w:val="en-US" w:eastAsia="zh-CN"/>
              </w:rPr>
            </w:pPr>
          </w:p>
        </w:tc>
        <w:tc>
          <w:tcPr>
            <w:tcW w:w="1320" w:type="pct"/>
            <w:shd w:val="clear" w:color="auto" w:fill="auto"/>
            <w:vAlign w:val="center"/>
          </w:tcPr>
          <w:p w14:paraId="6E3F733E">
            <w:pPr>
              <w:jc w:val="center"/>
              <w:rPr>
                <w:rFonts w:hint="eastAsia" w:ascii="Times New Roman" w:hAnsi="Times New Roman" w:eastAsia="宋体" w:cs="Times New Roman"/>
                <w:color w:val="auto"/>
                <w:kern w:val="2"/>
                <w:sz w:val="18"/>
                <w:szCs w:val="18"/>
                <w:lang w:val="en-US" w:eastAsia="en-US" w:bidi="ar-SA"/>
              </w:rPr>
            </w:pPr>
            <w:r>
              <w:rPr>
                <w:rFonts w:ascii="Times New Roman" w:hAnsi="Times New Roman" w:eastAsia="宋体" w:cs="Times New Roman"/>
                <w:color w:val="auto"/>
                <w:sz w:val="18"/>
                <w:szCs w:val="18"/>
                <w:lang w:eastAsia="en-US"/>
              </w:rPr>
              <w:t>排放速率（kg/h）</w:t>
            </w:r>
          </w:p>
        </w:tc>
        <w:tc>
          <w:tcPr>
            <w:tcW w:w="596" w:type="pct"/>
            <w:shd w:val="clear" w:color="auto" w:fill="auto"/>
            <w:vAlign w:val="center"/>
          </w:tcPr>
          <w:p w14:paraId="6660D023">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0.000041</w:t>
            </w:r>
          </w:p>
        </w:tc>
        <w:tc>
          <w:tcPr>
            <w:tcW w:w="595" w:type="pct"/>
            <w:shd w:val="clear" w:color="auto" w:fill="auto"/>
            <w:vAlign w:val="center"/>
          </w:tcPr>
          <w:p w14:paraId="2CDBC149">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0.000048</w:t>
            </w:r>
          </w:p>
        </w:tc>
        <w:tc>
          <w:tcPr>
            <w:tcW w:w="653" w:type="pct"/>
            <w:shd w:val="clear" w:color="auto" w:fill="auto"/>
            <w:vAlign w:val="center"/>
          </w:tcPr>
          <w:p w14:paraId="0F7F0351">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0.000031</w:t>
            </w:r>
          </w:p>
        </w:tc>
        <w:tc>
          <w:tcPr>
            <w:tcW w:w="730" w:type="pct"/>
            <w:shd w:val="clear" w:color="auto" w:fill="auto"/>
            <w:vAlign w:val="center"/>
          </w:tcPr>
          <w:p w14:paraId="0B02B4BE">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0.33</w:t>
            </w:r>
          </w:p>
        </w:tc>
      </w:tr>
      <w:tr w14:paraId="512F27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79" w:type="pct"/>
            <w:vMerge w:val="restart"/>
            <w:shd w:val="clear" w:color="auto" w:fill="auto"/>
            <w:vAlign w:val="center"/>
          </w:tcPr>
          <w:p w14:paraId="58ADAE58">
            <w:pPr>
              <w:jc w:val="center"/>
              <w:rPr>
                <w:rFonts w:hint="eastAsia" w:ascii="Times New Roman" w:hAnsi="Times New Roman" w:eastAsia="宋体" w:cs="Times New Roman"/>
                <w:b/>
                <w:bCs/>
                <w:color w:val="auto"/>
                <w:kern w:val="2"/>
                <w:sz w:val="18"/>
                <w:szCs w:val="18"/>
                <w:lang w:val="en-US" w:eastAsia="en-US" w:bidi="ar-SA"/>
              </w:rPr>
            </w:pPr>
            <w:r>
              <w:rPr>
                <w:rFonts w:ascii="Times New Roman" w:hAnsi="Times New Roman" w:eastAsia="宋体" w:cs="Times New Roman"/>
                <w:b/>
                <w:bCs/>
                <w:color w:val="auto"/>
                <w:sz w:val="18"/>
                <w:szCs w:val="18"/>
                <w:lang w:eastAsia="en-US"/>
              </w:rPr>
              <w:t>采样点位</w:t>
            </w:r>
          </w:p>
        </w:tc>
        <w:tc>
          <w:tcPr>
            <w:tcW w:w="2045" w:type="pct"/>
            <w:gridSpan w:val="2"/>
            <w:vMerge w:val="restart"/>
            <w:shd w:val="clear" w:color="auto" w:fill="auto"/>
            <w:vAlign w:val="center"/>
          </w:tcPr>
          <w:p w14:paraId="0EE07DA4">
            <w:pPr>
              <w:jc w:val="center"/>
              <w:rPr>
                <w:rFonts w:hint="eastAsia" w:ascii="Times New Roman" w:hAnsi="Times New Roman" w:eastAsia="宋体" w:cs="Times New Roman"/>
                <w:color w:val="auto"/>
                <w:kern w:val="2"/>
                <w:sz w:val="18"/>
                <w:szCs w:val="18"/>
                <w:lang w:val="en-US" w:eastAsia="en-US" w:bidi="ar-SA"/>
              </w:rPr>
            </w:pPr>
            <w:r>
              <w:rPr>
                <w:rFonts w:ascii="Times New Roman" w:hAnsi="Times New Roman" w:eastAsia="宋体" w:cs="Times New Roman"/>
                <w:b/>
                <w:bCs/>
                <w:color w:val="auto"/>
                <w:sz w:val="18"/>
                <w:szCs w:val="18"/>
                <w:lang w:eastAsia="en-US"/>
              </w:rPr>
              <w:t>检测项目</w:t>
            </w:r>
          </w:p>
        </w:tc>
        <w:tc>
          <w:tcPr>
            <w:tcW w:w="2575" w:type="pct"/>
            <w:gridSpan w:val="4"/>
            <w:shd w:val="clear" w:color="auto" w:fill="auto"/>
            <w:vAlign w:val="center"/>
          </w:tcPr>
          <w:p w14:paraId="5BA29189">
            <w:pPr>
              <w:jc w:val="center"/>
              <w:rPr>
                <w:rFonts w:hint="eastAsia" w:ascii="Times New Roman" w:hAnsi="Times New Roman" w:eastAsia="宋体" w:cs="Times New Roman"/>
                <w:color w:val="auto"/>
                <w:kern w:val="2"/>
                <w:sz w:val="18"/>
                <w:szCs w:val="18"/>
                <w:lang w:val="en-US" w:eastAsia="zh-CN" w:bidi="ar-SA"/>
              </w:rPr>
            </w:pPr>
            <w:r>
              <w:rPr>
                <w:rFonts w:ascii="Times New Roman" w:hAnsi="Times New Roman" w:eastAsia="宋体" w:cs="Times New Roman"/>
                <w:b/>
                <w:bCs/>
                <w:color w:val="auto"/>
                <w:sz w:val="18"/>
                <w:szCs w:val="18"/>
                <w:lang w:eastAsia="en-US"/>
              </w:rPr>
              <w:t>采样时间及检测结果</w:t>
            </w:r>
          </w:p>
        </w:tc>
      </w:tr>
      <w:tr w14:paraId="0A997D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79" w:type="pct"/>
            <w:vMerge w:val="continue"/>
          </w:tcPr>
          <w:p w14:paraId="596E935C">
            <w:pPr>
              <w:jc w:val="center"/>
              <w:rPr>
                <w:rFonts w:ascii="Times New Roman" w:hAnsi="Times New Roman" w:eastAsia="宋体" w:cs="Times New Roman"/>
                <w:color w:val="auto"/>
                <w:szCs w:val="21"/>
                <w:lang w:eastAsia="en-US"/>
              </w:rPr>
            </w:pPr>
          </w:p>
        </w:tc>
        <w:tc>
          <w:tcPr>
            <w:tcW w:w="2045" w:type="pct"/>
            <w:gridSpan w:val="2"/>
            <w:vMerge w:val="continue"/>
          </w:tcPr>
          <w:p w14:paraId="467C95EA">
            <w:pPr>
              <w:jc w:val="center"/>
              <w:rPr>
                <w:rFonts w:hint="default" w:ascii="Times New Roman" w:hAnsi="Times New Roman" w:eastAsia="宋体" w:cs="Times New Roman"/>
                <w:color w:val="auto"/>
                <w:kern w:val="2"/>
                <w:sz w:val="18"/>
                <w:szCs w:val="18"/>
                <w:lang w:val="en-US" w:eastAsia="en-US" w:bidi="ar-SA"/>
              </w:rPr>
            </w:pPr>
          </w:p>
        </w:tc>
        <w:tc>
          <w:tcPr>
            <w:tcW w:w="2575" w:type="pct"/>
            <w:gridSpan w:val="4"/>
            <w:shd w:val="clear" w:color="auto" w:fill="auto"/>
            <w:vAlign w:val="center"/>
          </w:tcPr>
          <w:p w14:paraId="4D1B5F7B">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b/>
                <w:bCs/>
                <w:color w:val="auto"/>
                <w:sz w:val="18"/>
                <w:szCs w:val="18"/>
                <w:lang w:val="en-US" w:eastAsia="zh-CN"/>
              </w:rPr>
              <w:t>2024.4.16-4.17</w:t>
            </w:r>
          </w:p>
        </w:tc>
      </w:tr>
      <w:tr w14:paraId="1BE317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79" w:type="pct"/>
            <w:vMerge w:val="continue"/>
          </w:tcPr>
          <w:p w14:paraId="7AE0BC5B">
            <w:pPr>
              <w:jc w:val="center"/>
              <w:rPr>
                <w:rFonts w:ascii="Times New Roman" w:hAnsi="Times New Roman" w:eastAsia="宋体" w:cs="Times New Roman"/>
                <w:color w:val="auto"/>
                <w:szCs w:val="21"/>
                <w:lang w:eastAsia="en-US"/>
              </w:rPr>
            </w:pPr>
          </w:p>
        </w:tc>
        <w:tc>
          <w:tcPr>
            <w:tcW w:w="2045" w:type="pct"/>
            <w:gridSpan w:val="2"/>
            <w:vMerge w:val="continue"/>
            <w:shd w:val="clear" w:color="auto" w:fill="auto"/>
            <w:vAlign w:val="center"/>
          </w:tcPr>
          <w:p w14:paraId="1CB4236F">
            <w:pPr>
              <w:jc w:val="center"/>
              <w:rPr>
                <w:rFonts w:hint="eastAsia" w:ascii="Times New Roman" w:hAnsi="Times New Roman" w:eastAsia="宋体" w:cs="Times New Roman"/>
                <w:b/>
                <w:bCs/>
                <w:color w:val="auto"/>
                <w:kern w:val="2"/>
                <w:sz w:val="18"/>
                <w:szCs w:val="18"/>
                <w:lang w:val="en-US" w:eastAsia="en-US" w:bidi="ar-SA"/>
              </w:rPr>
            </w:pPr>
          </w:p>
        </w:tc>
        <w:tc>
          <w:tcPr>
            <w:tcW w:w="596" w:type="pct"/>
            <w:shd w:val="clear" w:color="auto" w:fill="auto"/>
            <w:vAlign w:val="center"/>
          </w:tcPr>
          <w:p w14:paraId="57FBF936">
            <w:pPr>
              <w:jc w:val="center"/>
              <w:rPr>
                <w:rFonts w:hint="eastAsia" w:ascii="Times New Roman" w:hAnsi="Times New Roman" w:eastAsia="宋体" w:cs="Times New Roman"/>
                <w:b/>
                <w:bCs/>
                <w:color w:val="auto"/>
                <w:kern w:val="2"/>
                <w:sz w:val="18"/>
                <w:szCs w:val="18"/>
                <w:lang w:val="en-US" w:eastAsia="zh-CN" w:bidi="ar-SA"/>
              </w:rPr>
            </w:pPr>
            <w:r>
              <w:rPr>
                <w:rFonts w:ascii="Times New Roman" w:hAnsi="Times New Roman" w:eastAsia="宋体" w:cs="Times New Roman"/>
                <w:b/>
                <w:bCs/>
                <w:color w:val="auto"/>
                <w:sz w:val="18"/>
                <w:szCs w:val="18"/>
                <w:lang w:eastAsia="en-US"/>
              </w:rPr>
              <w:t>第一次</w:t>
            </w:r>
          </w:p>
        </w:tc>
        <w:tc>
          <w:tcPr>
            <w:tcW w:w="595" w:type="pct"/>
            <w:shd w:val="clear" w:color="auto" w:fill="auto"/>
            <w:vAlign w:val="center"/>
          </w:tcPr>
          <w:p w14:paraId="37810630">
            <w:pPr>
              <w:jc w:val="center"/>
              <w:rPr>
                <w:rFonts w:hint="eastAsia" w:ascii="Times New Roman" w:hAnsi="Times New Roman" w:eastAsia="宋体" w:cs="Times New Roman"/>
                <w:b/>
                <w:bCs/>
                <w:color w:val="auto"/>
                <w:kern w:val="2"/>
                <w:sz w:val="18"/>
                <w:szCs w:val="18"/>
                <w:lang w:val="en-US" w:eastAsia="zh-CN" w:bidi="ar-SA"/>
              </w:rPr>
            </w:pPr>
            <w:r>
              <w:rPr>
                <w:rFonts w:ascii="Times New Roman" w:hAnsi="Times New Roman" w:eastAsia="宋体" w:cs="Times New Roman"/>
                <w:b/>
                <w:bCs/>
                <w:color w:val="auto"/>
                <w:sz w:val="18"/>
                <w:szCs w:val="18"/>
                <w:lang w:eastAsia="en-US"/>
              </w:rPr>
              <w:t>第二次</w:t>
            </w:r>
          </w:p>
        </w:tc>
        <w:tc>
          <w:tcPr>
            <w:tcW w:w="653" w:type="pct"/>
            <w:shd w:val="clear" w:color="auto" w:fill="auto"/>
            <w:vAlign w:val="center"/>
          </w:tcPr>
          <w:p w14:paraId="5E25570A">
            <w:pPr>
              <w:jc w:val="center"/>
              <w:rPr>
                <w:rFonts w:hint="eastAsia" w:ascii="Times New Roman" w:hAnsi="Times New Roman" w:eastAsia="宋体" w:cs="Times New Roman"/>
                <w:b/>
                <w:bCs/>
                <w:color w:val="auto"/>
                <w:kern w:val="2"/>
                <w:sz w:val="18"/>
                <w:szCs w:val="18"/>
                <w:lang w:val="en-US" w:eastAsia="zh-CN" w:bidi="ar-SA"/>
              </w:rPr>
            </w:pPr>
            <w:r>
              <w:rPr>
                <w:rFonts w:ascii="Times New Roman" w:hAnsi="Times New Roman" w:eastAsia="宋体" w:cs="Times New Roman"/>
                <w:b/>
                <w:bCs/>
                <w:color w:val="auto"/>
                <w:sz w:val="18"/>
                <w:szCs w:val="18"/>
                <w:lang w:eastAsia="en-US"/>
              </w:rPr>
              <w:t>第三次</w:t>
            </w:r>
          </w:p>
        </w:tc>
        <w:tc>
          <w:tcPr>
            <w:tcW w:w="730" w:type="pct"/>
            <w:shd w:val="clear" w:color="auto" w:fill="auto"/>
            <w:vAlign w:val="center"/>
          </w:tcPr>
          <w:p w14:paraId="5058AB7E">
            <w:pPr>
              <w:jc w:val="center"/>
              <w:rPr>
                <w:rFonts w:hint="eastAsia" w:ascii="Times New Roman" w:hAnsi="Times New Roman" w:eastAsia="宋体" w:cs="Times New Roman"/>
                <w:b/>
                <w:bCs/>
                <w:color w:val="auto"/>
                <w:kern w:val="2"/>
                <w:sz w:val="18"/>
                <w:szCs w:val="18"/>
                <w:lang w:val="en-US" w:eastAsia="zh-CN" w:bidi="ar-SA"/>
              </w:rPr>
            </w:pPr>
            <w:r>
              <w:rPr>
                <w:rFonts w:hint="eastAsia" w:ascii="Times New Roman" w:hAnsi="Times New Roman" w:eastAsia="宋体" w:cs="Times New Roman"/>
                <w:b/>
                <w:bCs/>
                <w:color w:val="auto"/>
                <w:sz w:val="18"/>
                <w:szCs w:val="18"/>
                <w:lang w:val="en-US" w:eastAsia="zh-CN"/>
              </w:rPr>
              <w:t>标准值</w:t>
            </w:r>
          </w:p>
        </w:tc>
      </w:tr>
      <w:tr w14:paraId="3654D1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79" w:type="pct"/>
            <w:vMerge w:val="restart"/>
            <w:shd w:val="clear" w:color="auto" w:fill="auto"/>
            <w:vAlign w:val="center"/>
          </w:tcPr>
          <w:p w14:paraId="24FA47F3">
            <w:pPr>
              <w:jc w:val="center"/>
              <w:rPr>
                <w:rFonts w:ascii="Times New Roman" w:hAnsi="Times New Roman" w:eastAsia="宋体" w:cs="Times New Roman"/>
                <w:color w:val="auto"/>
                <w:kern w:val="2"/>
                <w:sz w:val="18"/>
                <w:szCs w:val="18"/>
                <w:lang w:val="en-US" w:eastAsia="en-US" w:bidi="ar-SA"/>
              </w:rPr>
            </w:pPr>
            <w:r>
              <w:rPr>
                <w:rFonts w:hint="eastAsia" w:ascii="Times New Roman" w:hAnsi="Times New Roman" w:eastAsia="宋体" w:cs="Times New Roman"/>
                <w:color w:val="auto"/>
                <w:sz w:val="18"/>
                <w:szCs w:val="18"/>
                <w:lang w:val="en-US" w:eastAsia="zh-CN"/>
              </w:rPr>
              <w:t>DA001车间废气处理设施出口</w:t>
            </w:r>
          </w:p>
        </w:tc>
        <w:tc>
          <w:tcPr>
            <w:tcW w:w="724" w:type="pct"/>
            <w:shd w:val="clear" w:color="auto" w:fill="auto"/>
            <w:vAlign w:val="center"/>
          </w:tcPr>
          <w:p w14:paraId="4BFF8BE8">
            <w:pPr>
              <w:jc w:val="center"/>
              <w:rPr>
                <w:rFonts w:hint="eastAsia" w:ascii="Times New Roman" w:hAnsi="Times New Roman" w:eastAsia="宋体" w:cs="Times New Roman"/>
                <w:color w:val="auto"/>
                <w:kern w:val="2"/>
                <w:sz w:val="18"/>
                <w:szCs w:val="18"/>
                <w:lang w:val="en-US" w:eastAsia="zh-CN" w:bidi="ar-SA"/>
              </w:rPr>
            </w:pPr>
            <w:r>
              <w:rPr>
                <w:rFonts w:ascii="Times New Roman" w:hAnsi="Times New Roman" w:eastAsia="宋体" w:cs="Times New Roman"/>
                <w:color w:val="auto"/>
                <w:sz w:val="18"/>
                <w:szCs w:val="18"/>
                <w:lang w:eastAsia="en-US"/>
              </w:rPr>
              <w:t>烟气流量</w:t>
            </w:r>
          </w:p>
        </w:tc>
        <w:tc>
          <w:tcPr>
            <w:tcW w:w="1320" w:type="pct"/>
            <w:shd w:val="clear" w:color="auto" w:fill="auto"/>
            <w:vAlign w:val="center"/>
          </w:tcPr>
          <w:p w14:paraId="163DB3A2">
            <w:pPr>
              <w:jc w:val="center"/>
              <w:rPr>
                <w:rFonts w:hint="eastAsia" w:ascii="Times New Roman" w:hAnsi="Times New Roman" w:eastAsia="宋体" w:cs="Times New Roman"/>
                <w:color w:val="auto"/>
                <w:kern w:val="2"/>
                <w:sz w:val="18"/>
                <w:szCs w:val="18"/>
                <w:lang w:val="en-US" w:eastAsia="en-US" w:bidi="ar-SA"/>
              </w:rPr>
            </w:pPr>
            <w:r>
              <w:rPr>
                <w:rFonts w:ascii="Times New Roman" w:hAnsi="Times New Roman" w:eastAsia="宋体" w:cs="Times New Roman"/>
                <w:color w:val="auto"/>
                <w:sz w:val="18"/>
                <w:szCs w:val="18"/>
                <w:lang w:eastAsia="en-US"/>
              </w:rPr>
              <w:t>（N•</w:t>
            </w:r>
            <w:r>
              <w:rPr>
                <w:rFonts w:hint="eastAsia" w:ascii="Times New Roman" w:hAnsi="Times New Roman" w:eastAsia="宋体" w:cs="Times New Roman"/>
                <w:color w:val="auto"/>
                <w:sz w:val="18"/>
                <w:szCs w:val="18"/>
                <w:lang w:eastAsia="zh-CN"/>
              </w:rPr>
              <w:t>m</w:t>
            </w:r>
            <w:r>
              <w:rPr>
                <w:rFonts w:hint="eastAsia" w:ascii="Times New Roman" w:hAnsi="Times New Roman" w:eastAsia="宋体" w:cs="Times New Roman"/>
                <w:color w:val="auto"/>
                <w:sz w:val="18"/>
                <w:szCs w:val="18"/>
                <w:vertAlign w:val="superscript"/>
                <w:lang w:eastAsia="zh-CN"/>
              </w:rPr>
              <w:t>3</w:t>
            </w:r>
            <w:r>
              <w:rPr>
                <w:rFonts w:ascii="Times New Roman" w:hAnsi="Times New Roman" w:eastAsia="宋体" w:cs="Times New Roman"/>
                <w:color w:val="auto"/>
                <w:sz w:val="18"/>
                <w:szCs w:val="18"/>
                <w:lang w:eastAsia="en-US"/>
              </w:rPr>
              <w:t>/h）</w:t>
            </w:r>
          </w:p>
        </w:tc>
        <w:tc>
          <w:tcPr>
            <w:tcW w:w="596" w:type="pct"/>
            <w:shd w:val="clear" w:color="auto" w:fill="auto"/>
            <w:vAlign w:val="center"/>
          </w:tcPr>
          <w:p w14:paraId="5502BA9E">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28081</w:t>
            </w:r>
          </w:p>
        </w:tc>
        <w:tc>
          <w:tcPr>
            <w:tcW w:w="595" w:type="pct"/>
            <w:shd w:val="clear" w:color="auto" w:fill="auto"/>
            <w:vAlign w:val="center"/>
          </w:tcPr>
          <w:p w14:paraId="3D0FD812">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28420</w:t>
            </w:r>
          </w:p>
        </w:tc>
        <w:tc>
          <w:tcPr>
            <w:tcW w:w="653" w:type="pct"/>
            <w:shd w:val="clear" w:color="auto" w:fill="auto"/>
            <w:vAlign w:val="center"/>
          </w:tcPr>
          <w:p w14:paraId="428ACEBC">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28433</w:t>
            </w:r>
          </w:p>
        </w:tc>
        <w:tc>
          <w:tcPr>
            <w:tcW w:w="730" w:type="pct"/>
            <w:shd w:val="clear" w:color="auto" w:fill="auto"/>
            <w:vAlign w:val="center"/>
          </w:tcPr>
          <w:p w14:paraId="7BEE4973">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w:t>
            </w:r>
          </w:p>
        </w:tc>
      </w:tr>
      <w:tr w14:paraId="2AAEB1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79" w:type="pct"/>
            <w:vMerge w:val="continue"/>
          </w:tcPr>
          <w:p w14:paraId="568A8B95">
            <w:pPr>
              <w:jc w:val="center"/>
              <w:rPr>
                <w:rFonts w:ascii="Times New Roman" w:hAnsi="Times New Roman" w:eastAsia="宋体" w:cs="Times New Roman"/>
                <w:color w:val="auto"/>
                <w:szCs w:val="21"/>
                <w:lang w:eastAsia="en-US"/>
              </w:rPr>
            </w:pPr>
          </w:p>
        </w:tc>
        <w:tc>
          <w:tcPr>
            <w:tcW w:w="724" w:type="pct"/>
            <w:vMerge w:val="restart"/>
            <w:shd w:val="clear" w:color="auto" w:fill="auto"/>
            <w:vAlign w:val="center"/>
          </w:tcPr>
          <w:p w14:paraId="50520029">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颗粒物</w:t>
            </w:r>
          </w:p>
        </w:tc>
        <w:tc>
          <w:tcPr>
            <w:tcW w:w="1320" w:type="pct"/>
            <w:shd w:val="clear" w:color="auto" w:fill="auto"/>
            <w:vAlign w:val="center"/>
          </w:tcPr>
          <w:p w14:paraId="04D4CA88">
            <w:pPr>
              <w:jc w:val="center"/>
              <w:rPr>
                <w:rFonts w:hint="eastAsia" w:ascii="Times New Roman" w:hAnsi="Times New Roman" w:eastAsia="宋体" w:cs="Times New Roman"/>
                <w:color w:val="auto"/>
                <w:kern w:val="2"/>
                <w:sz w:val="18"/>
                <w:szCs w:val="18"/>
                <w:lang w:val="en-US" w:eastAsia="en-US" w:bidi="ar-SA"/>
              </w:rPr>
            </w:pPr>
            <w:r>
              <w:rPr>
                <w:rFonts w:ascii="Times New Roman" w:hAnsi="Times New Roman" w:eastAsia="宋体" w:cs="Times New Roman"/>
                <w:color w:val="auto"/>
                <w:sz w:val="18"/>
                <w:szCs w:val="18"/>
                <w:lang w:eastAsia="en-US"/>
              </w:rPr>
              <w:t>排放浓度（mg/</w:t>
            </w:r>
            <w:r>
              <w:rPr>
                <w:rFonts w:hint="eastAsia" w:ascii="Times New Roman" w:hAnsi="Times New Roman" w:eastAsia="宋体" w:cs="Times New Roman"/>
                <w:color w:val="auto"/>
                <w:sz w:val="18"/>
                <w:szCs w:val="18"/>
                <w:lang w:eastAsia="zh-CN"/>
              </w:rPr>
              <w:t>m</w:t>
            </w:r>
            <w:r>
              <w:rPr>
                <w:rFonts w:hint="eastAsia" w:ascii="Times New Roman" w:hAnsi="Times New Roman" w:eastAsia="宋体" w:cs="Times New Roman"/>
                <w:color w:val="auto"/>
                <w:sz w:val="18"/>
                <w:szCs w:val="18"/>
                <w:vertAlign w:val="superscript"/>
                <w:lang w:eastAsia="zh-CN"/>
              </w:rPr>
              <w:t>3</w:t>
            </w:r>
            <w:r>
              <w:rPr>
                <w:rFonts w:ascii="Times New Roman" w:hAnsi="Times New Roman" w:eastAsia="宋体" w:cs="Times New Roman"/>
                <w:color w:val="auto"/>
                <w:sz w:val="18"/>
                <w:szCs w:val="18"/>
                <w:lang w:eastAsia="en-US"/>
              </w:rPr>
              <w:t>）</w:t>
            </w:r>
          </w:p>
        </w:tc>
        <w:tc>
          <w:tcPr>
            <w:tcW w:w="596" w:type="pct"/>
            <w:shd w:val="clear" w:color="auto" w:fill="auto"/>
            <w:vAlign w:val="center"/>
          </w:tcPr>
          <w:p w14:paraId="426AD3E4">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10.3</w:t>
            </w:r>
          </w:p>
        </w:tc>
        <w:tc>
          <w:tcPr>
            <w:tcW w:w="595" w:type="pct"/>
            <w:shd w:val="clear" w:color="auto" w:fill="auto"/>
            <w:vAlign w:val="center"/>
          </w:tcPr>
          <w:p w14:paraId="63D3A145">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9.0</w:t>
            </w:r>
          </w:p>
        </w:tc>
        <w:tc>
          <w:tcPr>
            <w:tcW w:w="653" w:type="pct"/>
            <w:shd w:val="clear" w:color="auto" w:fill="auto"/>
            <w:vAlign w:val="center"/>
          </w:tcPr>
          <w:p w14:paraId="35FB23B8">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9.5</w:t>
            </w:r>
          </w:p>
        </w:tc>
        <w:tc>
          <w:tcPr>
            <w:tcW w:w="730" w:type="pct"/>
            <w:shd w:val="clear" w:color="auto" w:fill="auto"/>
            <w:vAlign w:val="center"/>
          </w:tcPr>
          <w:p w14:paraId="288E1CC9">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30</w:t>
            </w:r>
          </w:p>
        </w:tc>
      </w:tr>
      <w:tr w14:paraId="61E31C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79" w:type="pct"/>
            <w:vMerge w:val="continue"/>
          </w:tcPr>
          <w:p w14:paraId="1D9DFFC7">
            <w:pPr>
              <w:jc w:val="center"/>
              <w:rPr>
                <w:rFonts w:ascii="Times New Roman" w:hAnsi="Times New Roman" w:eastAsia="宋体" w:cs="Times New Roman"/>
                <w:color w:val="auto"/>
                <w:szCs w:val="21"/>
                <w:lang w:eastAsia="en-US"/>
              </w:rPr>
            </w:pPr>
          </w:p>
        </w:tc>
        <w:tc>
          <w:tcPr>
            <w:tcW w:w="724" w:type="pct"/>
            <w:vMerge w:val="continue"/>
          </w:tcPr>
          <w:p w14:paraId="27529E87">
            <w:pPr>
              <w:jc w:val="center"/>
              <w:rPr>
                <w:rFonts w:hint="eastAsia" w:ascii="Times New Roman" w:hAnsi="Times New Roman" w:eastAsia="宋体" w:cs="Times New Roman"/>
                <w:color w:val="auto"/>
                <w:szCs w:val="21"/>
                <w:lang w:val="en-US" w:eastAsia="zh-CN"/>
              </w:rPr>
            </w:pPr>
          </w:p>
        </w:tc>
        <w:tc>
          <w:tcPr>
            <w:tcW w:w="1320" w:type="pct"/>
            <w:shd w:val="clear" w:color="auto" w:fill="auto"/>
            <w:vAlign w:val="center"/>
          </w:tcPr>
          <w:p w14:paraId="2F5EC89B">
            <w:pPr>
              <w:jc w:val="center"/>
              <w:rPr>
                <w:rFonts w:hint="eastAsia" w:ascii="Times New Roman" w:hAnsi="Times New Roman" w:eastAsia="宋体" w:cs="Times New Roman"/>
                <w:color w:val="auto"/>
                <w:kern w:val="2"/>
                <w:sz w:val="18"/>
                <w:szCs w:val="18"/>
                <w:lang w:val="en-US" w:eastAsia="en-US" w:bidi="ar-SA"/>
              </w:rPr>
            </w:pPr>
            <w:r>
              <w:rPr>
                <w:rFonts w:ascii="Times New Roman" w:hAnsi="Times New Roman" w:eastAsia="宋体" w:cs="Times New Roman"/>
                <w:color w:val="auto"/>
                <w:sz w:val="18"/>
                <w:szCs w:val="18"/>
                <w:lang w:eastAsia="en-US"/>
              </w:rPr>
              <w:t>排放速率（kg/h）</w:t>
            </w:r>
          </w:p>
        </w:tc>
        <w:tc>
          <w:tcPr>
            <w:tcW w:w="596" w:type="pct"/>
            <w:shd w:val="clear" w:color="auto" w:fill="auto"/>
            <w:vAlign w:val="center"/>
          </w:tcPr>
          <w:p w14:paraId="4AE3DAB8">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0.029</w:t>
            </w:r>
          </w:p>
        </w:tc>
        <w:tc>
          <w:tcPr>
            <w:tcW w:w="595" w:type="pct"/>
            <w:shd w:val="clear" w:color="auto" w:fill="auto"/>
            <w:vAlign w:val="center"/>
          </w:tcPr>
          <w:p w14:paraId="68CD91B0">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0.25</w:t>
            </w:r>
          </w:p>
        </w:tc>
        <w:tc>
          <w:tcPr>
            <w:tcW w:w="653" w:type="pct"/>
            <w:shd w:val="clear" w:color="auto" w:fill="auto"/>
            <w:vAlign w:val="center"/>
          </w:tcPr>
          <w:p w14:paraId="05C6775C">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0.27</w:t>
            </w:r>
          </w:p>
        </w:tc>
        <w:tc>
          <w:tcPr>
            <w:tcW w:w="730" w:type="pct"/>
            <w:shd w:val="clear" w:color="auto" w:fill="auto"/>
            <w:vAlign w:val="center"/>
          </w:tcPr>
          <w:p w14:paraId="0D735F9F">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w:t>
            </w:r>
          </w:p>
        </w:tc>
      </w:tr>
      <w:tr w14:paraId="10F646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79" w:type="pct"/>
            <w:vMerge w:val="continue"/>
          </w:tcPr>
          <w:p w14:paraId="732D480A">
            <w:pPr>
              <w:jc w:val="center"/>
              <w:rPr>
                <w:rFonts w:ascii="Times New Roman" w:hAnsi="Times New Roman" w:eastAsia="宋体" w:cs="Times New Roman"/>
                <w:color w:val="auto"/>
                <w:szCs w:val="21"/>
                <w:lang w:eastAsia="en-US"/>
              </w:rPr>
            </w:pPr>
          </w:p>
        </w:tc>
        <w:tc>
          <w:tcPr>
            <w:tcW w:w="724" w:type="pct"/>
            <w:vMerge w:val="restart"/>
            <w:shd w:val="clear" w:color="auto" w:fill="auto"/>
            <w:vAlign w:val="center"/>
          </w:tcPr>
          <w:p w14:paraId="5529E705">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挥发性有机物</w:t>
            </w:r>
          </w:p>
        </w:tc>
        <w:tc>
          <w:tcPr>
            <w:tcW w:w="1320" w:type="pct"/>
            <w:shd w:val="clear" w:color="auto" w:fill="auto"/>
            <w:vAlign w:val="center"/>
          </w:tcPr>
          <w:p w14:paraId="67349DD5">
            <w:pPr>
              <w:jc w:val="center"/>
              <w:rPr>
                <w:rFonts w:hint="eastAsia" w:ascii="Times New Roman" w:hAnsi="Times New Roman" w:eastAsia="宋体" w:cs="Times New Roman"/>
                <w:color w:val="auto"/>
                <w:kern w:val="2"/>
                <w:sz w:val="18"/>
                <w:szCs w:val="18"/>
                <w:lang w:val="en-US" w:eastAsia="en-US" w:bidi="ar-SA"/>
              </w:rPr>
            </w:pPr>
            <w:r>
              <w:rPr>
                <w:rFonts w:ascii="Times New Roman" w:hAnsi="Times New Roman" w:eastAsia="宋体" w:cs="Times New Roman"/>
                <w:color w:val="auto"/>
                <w:sz w:val="18"/>
                <w:szCs w:val="18"/>
                <w:lang w:eastAsia="en-US"/>
              </w:rPr>
              <w:t>排放浓度（mg/</w:t>
            </w:r>
            <w:r>
              <w:rPr>
                <w:rFonts w:hint="eastAsia" w:ascii="Times New Roman" w:hAnsi="Times New Roman" w:eastAsia="宋体" w:cs="Times New Roman"/>
                <w:color w:val="auto"/>
                <w:sz w:val="18"/>
                <w:szCs w:val="18"/>
                <w:lang w:eastAsia="zh-CN"/>
              </w:rPr>
              <w:t>m</w:t>
            </w:r>
            <w:r>
              <w:rPr>
                <w:rFonts w:hint="eastAsia" w:ascii="Times New Roman" w:hAnsi="Times New Roman" w:eastAsia="宋体" w:cs="Times New Roman"/>
                <w:color w:val="auto"/>
                <w:sz w:val="18"/>
                <w:szCs w:val="18"/>
                <w:vertAlign w:val="superscript"/>
                <w:lang w:eastAsia="zh-CN"/>
              </w:rPr>
              <w:t>3</w:t>
            </w:r>
            <w:r>
              <w:rPr>
                <w:rFonts w:ascii="Times New Roman" w:hAnsi="Times New Roman" w:eastAsia="宋体" w:cs="Times New Roman"/>
                <w:color w:val="auto"/>
                <w:sz w:val="18"/>
                <w:szCs w:val="18"/>
                <w:lang w:eastAsia="en-US"/>
              </w:rPr>
              <w:t>）</w:t>
            </w:r>
          </w:p>
        </w:tc>
        <w:tc>
          <w:tcPr>
            <w:tcW w:w="596" w:type="pct"/>
            <w:shd w:val="clear" w:color="auto" w:fill="auto"/>
            <w:vAlign w:val="center"/>
          </w:tcPr>
          <w:p w14:paraId="1015E732">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3.06</w:t>
            </w:r>
          </w:p>
        </w:tc>
        <w:tc>
          <w:tcPr>
            <w:tcW w:w="595" w:type="pct"/>
            <w:shd w:val="clear" w:color="auto" w:fill="auto"/>
            <w:vAlign w:val="center"/>
          </w:tcPr>
          <w:p w14:paraId="48366D9B">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4.90</w:t>
            </w:r>
          </w:p>
        </w:tc>
        <w:tc>
          <w:tcPr>
            <w:tcW w:w="653" w:type="pct"/>
            <w:shd w:val="clear" w:color="auto" w:fill="auto"/>
            <w:vAlign w:val="center"/>
          </w:tcPr>
          <w:p w14:paraId="179EA654">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7.23</w:t>
            </w:r>
          </w:p>
        </w:tc>
        <w:tc>
          <w:tcPr>
            <w:tcW w:w="730" w:type="pct"/>
            <w:shd w:val="clear" w:color="auto" w:fill="auto"/>
            <w:vAlign w:val="center"/>
          </w:tcPr>
          <w:p w14:paraId="6D96DFBD">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40</w:t>
            </w:r>
          </w:p>
        </w:tc>
      </w:tr>
      <w:tr w14:paraId="51ACB1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79" w:type="pct"/>
            <w:vMerge w:val="continue"/>
          </w:tcPr>
          <w:p w14:paraId="0B4DB00F">
            <w:pPr>
              <w:jc w:val="center"/>
              <w:rPr>
                <w:rFonts w:ascii="Times New Roman" w:hAnsi="Times New Roman" w:eastAsia="宋体" w:cs="Times New Roman"/>
                <w:color w:val="auto"/>
                <w:szCs w:val="21"/>
                <w:lang w:eastAsia="en-US"/>
              </w:rPr>
            </w:pPr>
          </w:p>
        </w:tc>
        <w:tc>
          <w:tcPr>
            <w:tcW w:w="724" w:type="pct"/>
            <w:vMerge w:val="continue"/>
          </w:tcPr>
          <w:p w14:paraId="3680B49D">
            <w:pPr>
              <w:jc w:val="center"/>
              <w:rPr>
                <w:rFonts w:hint="eastAsia" w:ascii="Times New Roman" w:hAnsi="Times New Roman" w:eastAsia="宋体" w:cs="Times New Roman"/>
                <w:color w:val="auto"/>
                <w:szCs w:val="21"/>
                <w:lang w:val="en-US" w:eastAsia="zh-CN"/>
              </w:rPr>
            </w:pPr>
          </w:p>
        </w:tc>
        <w:tc>
          <w:tcPr>
            <w:tcW w:w="1320" w:type="pct"/>
            <w:shd w:val="clear" w:color="auto" w:fill="auto"/>
            <w:vAlign w:val="center"/>
          </w:tcPr>
          <w:p w14:paraId="3D5CFCD2">
            <w:pPr>
              <w:jc w:val="center"/>
              <w:rPr>
                <w:rFonts w:hint="eastAsia" w:ascii="Times New Roman" w:hAnsi="Times New Roman" w:eastAsia="宋体" w:cs="Times New Roman"/>
                <w:color w:val="auto"/>
                <w:kern w:val="2"/>
                <w:sz w:val="18"/>
                <w:szCs w:val="18"/>
                <w:lang w:val="en-US" w:eastAsia="en-US" w:bidi="ar-SA"/>
              </w:rPr>
            </w:pPr>
            <w:r>
              <w:rPr>
                <w:rFonts w:ascii="Times New Roman" w:hAnsi="Times New Roman" w:eastAsia="宋体" w:cs="Times New Roman"/>
                <w:color w:val="auto"/>
                <w:sz w:val="18"/>
                <w:szCs w:val="18"/>
                <w:lang w:eastAsia="en-US"/>
              </w:rPr>
              <w:t>排放速率（kg/h）</w:t>
            </w:r>
          </w:p>
        </w:tc>
        <w:tc>
          <w:tcPr>
            <w:tcW w:w="596" w:type="pct"/>
            <w:shd w:val="clear" w:color="auto" w:fill="auto"/>
            <w:vAlign w:val="center"/>
          </w:tcPr>
          <w:p w14:paraId="22B50C58">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0.086</w:t>
            </w:r>
          </w:p>
        </w:tc>
        <w:tc>
          <w:tcPr>
            <w:tcW w:w="595" w:type="pct"/>
            <w:shd w:val="clear" w:color="auto" w:fill="auto"/>
            <w:vAlign w:val="center"/>
          </w:tcPr>
          <w:p w14:paraId="44B6341D">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0.14</w:t>
            </w:r>
          </w:p>
        </w:tc>
        <w:tc>
          <w:tcPr>
            <w:tcW w:w="653" w:type="pct"/>
            <w:shd w:val="clear" w:color="auto" w:fill="auto"/>
            <w:vAlign w:val="center"/>
          </w:tcPr>
          <w:p w14:paraId="6F22CAEA">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0.21</w:t>
            </w:r>
          </w:p>
        </w:tc>
        <w:tc>
          <w:tcPr>
            <w:tcW w:w="730" w:type="pct"/>
            <w:shd w:val="clear" w:color="auto" w:fill="auto"/>
            <w:vAlign w:val="center"/>
          </w:tcPr>
          <w:p w14:paraId="5B6EAA49">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w:t>
            </w:r>
          </w:p>
        </w:tc>
      </w:tr>
      <w:tr w14:paraId="438267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79" w:type="pct"/>
            <w:vMerge w:val="continue"/>
          </w:tcPr>
          <w:p w14:paraId="17A85756">
            <w:pPr>
              <w:jc w:val="center"/>
              <w:rPr>
                <w:rFonts w:ascii="Times New Roman" w:hAnsi="Times New Roman" w:eastAsia="宋体" w:cs="Times New Roman"/>
                <w:color w:val="auto"/>
                <w:szCs w:val="21"/>
                <w:lang w:eastAsia="en-US"/>
              </w:rPr>
            </w:pPr>
          </w:p>
        </w:tc>
        <w:tc>
          <w:tcPr>
            <w:tcW w:w="724" w:type="pct"/>
            <w:vMerge w:val="restart"/>
            <w:shd w:val="clear" w:color="auto" w:fill="auto"/>
            <w:vAlign w:val="center"/>
          </w:tcPr>
          <w:p w14:paraId="70B5CD99">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氨</w:t>
            </w:r>
          </w:p>
        </w:tc>
        <w:tc>
          <w:tcPr>
            <w:tcW w:w="1320" w:type="pct"/>
            <w:shd w:val="clear" w:color="auto" w:fill="auto"/>
            <w:vAlign w:val="center"/>
          </w:tcPr>
          <w:p w14:paraId="3394C58B">
            <w:pPr>
              <w:jc w:val="center"/>
              <w:rPr>
                <w:rFonts w:hint="eastAsia" w:ascii="Times New Roman" w:hAnsi="Times New Roman" w:eastAsia="宋体" w:cs="Times New Roman"/>
                <w:color w:val="auto"/>
                <w:kern w:val="2"/>
                <w:sz w:val="18"/>
                <w:szCs w:val="18"/>
                <w:lang w:val="en-US" w:eastAsia="en-US" w:bidi="ar-SA"/>
              </w:rPr>
            </w:pPr>
            <w:r>
              <w:rPr>
                <w:rFonts w:ascii="Times New Roman" w:hAnsi="Times New Roman" w:eastAsia="宋体" w:cs="Times New Roman"/>
                <w:color w:val="auto"/>
                <w:sz w:val="18"/>
                <w:szCs w:val="18"/>
                <w:lang w:eastAsia="en-US"/>
              </w:rPr>
              <w:t>排放浓度（mg/</w:t>
            </w:r>
            <w:r>
              <w:rPr>
                <w:rFonts w:hint="eastAsia" w:ascii="Times New Roman" w:hAnsi="Times New Roman" w:eastAsia="宋体" w:cs="Times New Roman"/>
                <w:color w:val="auto"/>
                <w:sz w:val="18"/>
                <w:szCs w:val="18"/>
                <w:lang w:eastAsia="zh-CN"/>
              </w:rPr>
              <w:t>m</w:t>
            </w:r>
            <w:r>
              <w:rPr>
                <w:rFonts w:hint="eastAsia" w:ascii="Times New Roman" w:hAnsi="Times New Roman" w:eastAsia="宋体" w:cs="Times New Roman"/>
                <w:color w:val="auto"/>
                <w:sz w:val="18"/>
                <w:szCs w:val="18"/>
                <w:vertAlign w:val="superscript"/>
                <w:lang w:eastAsia="zh-CN"/>
              </w:rPr>
              <w:t>3</w:t>
            </w:r>
            <w:r>
              <w:rPr>
                <w:rFonts w:ascii="Times New Roman" w:hAnsi="Times New Roman" w:eastAsia="宋体" w:cs="Times New Roman"/>
                <w:color w:val="auto"/>
                <w:sz w:val="18"/>
                <w:szCs w:val="18"/>
                <w:lang w:eastAsia="en-US"/>
              </w:rPr>
              <w:t>）</w:t>
            </w:r>
          </w:p>
        </w:tc>
        <w:tc>
          <w:tcPr>
            <w:tcW w:w="596" w:type="pct"/>
            <w:shd w:val="clear" w:color="auto" w:fill="auto"/>
            <w:vAlign w:val="center"/>
          </w:tcPr>
          <w:p w14:paraId="4C6325C9">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1.12</w:t>
            </w:r>
          </w:p>
        </w:tc>
        <w:tc>
          <w:tcPr>
            <w:tcW w:w="595" w:type="pct"/>
            <w:shd w:val="clear" w:color="auto" w:fill="auto"/>
            <w:vAlign w:val="center"/>
          </w:tcPr>
          <w:p w14:paraId="65D5D90F">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1.15</w:t>
            </w:r>
          </w:p>
        </w:tc>
        <w:tc>
          <w:tcPr>
            <w:tcW w:w="653" w:type="pct"/>
            <w:shd w:val="clear" w:color="auto" w:fill="auto"/>
            <w:vAlign w:val="center"/>
          </w:tcPr>
          <w:p w14:paraId="22908DFC">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1.09</w:t>
            </w:r>
          </w:p>
        </w:tc>
        <w:tc>
          <w:tcPr>
            <w:tcW w:w="730" w:type="pct"/>
            <w:shd w:val="clear" w:color="auto" w:fill="auto"/>
            <w:vAlign w:val="center"/>
          </w:tcPr>
          <w:p w14:paraId="21C4AF74">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30</w:t>
            </w:r>
          </w:p>
        </w:tc>
      </w:tr>
      <w:tr w14:paraId="60A9F2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79" w:type="pct"/>
            <w:vMerge w:val="continue"/>
          </w:tcPr>
          <w:p w14:paraId="2645DF34">
            <w:pPr>
              <w:jc w:val="center"/>
              <w:rPr>
                <w:rFonts w:ascii="Times New Roman" w:hAnsi="Times New Roman" w:eastAsia="宋体" w:cs="Times New Roman"/>
                <w:color w:val="auto"/>
                <w:szCs w:val="21"/>
                <w:lang w:eastAsia="en-US"/>
              </w:rPr>
            </w:pPr>
          </w:p>
        </w:tc>
        <w:tc>
          <w:tcPr>
            <w:tcW w:w="724" w:type="pct"/>
            <w:vMerge w:val="continue"/>
          </w:tcPr>
          <w:p w14:paraId="029167E1">
            <w:pPr>
              <w:jc w:val="center"/>
              <w:rPr>
                <w:rFonts w:hint="eastAsia" w:ascii="Times New Roman" w:hAnsi="Times New Roman" w:eastAsia="宋体" w:cs="Times New Roman"/>
                <w:color w:val="auto"/>
                <w:szCs w:val="21"/>
                <w:lang w:val="en-US" w:eastAsia="zh-CN"/>
              </w:rPr>
            </w:pPr>
          </w:p>
        </w:tc>
        <w:tc>
          <w:tcPr>
            <w:tcW w:w="1320" w:type="pct"/>
            <w:shd w:val="clear" w:color="auto" w:fill="auto"/>
            <w:vAlign w:val="center"/>
          </w:tcPr>
          <w:p w14:paraId="4B77E481">
            <w:pPr>
              <w:jc w:val="center"/>
              <w:rPr>
                <w:rFonts w:hint="eastAsia" w:ascii="Times New Roman" w:hAnsi="Times New Roman" w:eastAsia="宋体" w:cs="Times New Roman"/>
                <w:color w:val="auto"/>
                <w:kern w:val="2"/>
                <w:sz w:val="18"/>
                <w:szCs w:val="18"/>
                <w:lang w:val="en-US" w:eastAsia="en-US" w:bidi="ar-SA"/>
              </w:rPr>
            </w:pPr>
            <w:r>
              <w:rPr>
                <w:rFonts w:ascii="Times New Roman" w:hAnsi="Times New Roman" w:eastAsia="宋体" w:cs="Times New Roman"/>
                <w:color w:val="auto"/>
                <w:sz w:val="18"/>
                <w:szCs w:val="18"/>
                <w:lang w:eastAsia="en-US"/>
              </w:rPr>
              <w:t>排放速率（kg/h）</w:t>
            </w:r>
          </w:p>
        </w:tc>
        <w:tc>
          <w:tcPr>
            <w:tcW w:w="596" w:type="pct"/>
            <w:shd w:val="clear" w:color="auto" w:fill="auto"/>
            <w:vAlign w:val="center"/>
          </w:tcPr>
          <w:p w14:paraId="43F6F308">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0.31</w:t>
            </w:r>
          </w:p>
        </w:tc>
        <w:tc>
          <w:tcPr>
            <w:tcW w:w="595" w:type="pct"/>
            <w:shd w:val="clear" w:color="auto" w:fill="auto"/>
            <w:vAlign w:val="center"/>
          </w:tcPr>
          <w:p w14:paraId="7D02FEA5">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0.033</w:t>
            </w:r>
          </w:p>
        </w:tc>
        <w:tc>
          <w:tcPr>
            <w:tcW w:w="653" w:type="pct"/>
            <w:shd w:val="clear" w:color="auto" w:fill="auto"/>
            <w:vAlign w:val="center"/>
          </w:tcPr>
          <w:p w14:paraId="647137E3">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0.031</w:t>
            </w:r>
          </w:p>
        </w:tc>
        <w:tc>
          <w:tcPr>
            <w:tcW w:w="730" w:type="pct"/>
            <w:shd w:val="clear" w:color="auto" w:fill="auto"/>
            <w:vAlign w:val="center"/>
          </w:tcPr>
          <w:p w14:paraId="257B6F4D">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w:t>
            </w:r>
          </w:p>
        </w:tc>
      </w:tr>
      <w:tr w14:paraId="5E8544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79" w:type="pct"/>
            <w:vMerge w:val="continue"/>
          </w:tcPr>
          <w:p w14:paraId="23C197AB">
            <w:pPr>
              <w:jc w:val="center"/>
              <w:rPr>
                <w:rFonts w:ascii="Times New Roman" w:hAnsi="Times New Roman" w:eastAsia="宋体" w:cs="Times New Roman"/>
                <w:color w:val="auto"/>
                <w:szCs w:val="21"/>
                <w:lang w:eastAsia="en-US"/>
              </w:rPr>
            </w:pPr>
          </w:p>
        </w:tc>
        <w:tc>
          <w:tcPr>
            <w:tcW w:w="724" w:type="pct"/>
            <w:vMerge w:val="restart"/>
            <w:shd w:val="clear" w:color="auto" w:fill="auto"/>
            <w:vAlign w:val="center"/>
          </w:tcPr>
          <w:p w14:paraId="093CC574">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硫化氢</w:t>
            </w:r>
          </w:p>
        </w:tc>
        <w:tc>
          <w:tcPr>
            <w:tcW w:w="1320" w:type="pct"/>
            <w:shd w:val="clear" w:color="auto" w:fill="auto"/>
            <w:vAlign w:val="center"/>
          </w:tcPr>
          <w:p w14:paraId="60D04465">
            <w:pPr>
              <w:jc w:val="center"/>
              <w:rPr>
                <w:rFonts w:hint="eastAsia" w:ascii="Times New Roman" w:hAnsi="Times New Roman" w:eastAsia="宋体" w:cs="Times New Roman"/>
                <w:color w:val="auto"/>
                <w:kern w:val="2"/>
                <w:sz w:val="18"/>
                <w:szCs w:val="18"/>
                <w:lang w:val="en-US" w:eastAsia="en-US" w:bidi="ar-SA"/>
              </w:rPr>
            </w:pPr>
            <w:r>
              <w:rPr>
                <w:rFonts w:ascii="Times New Roman" w:hAnsi="Times New Roman" w:eastAsia="宋体" w:cs="Times New Roman"/>
                <w:color w:val="auto"/>
                <w:sz w:val="18"/>
                <w:szCs w:val="18"/>
                <w:lang w:eastAsia="en-US"/>
              </w:rPr>
              <w:t>排放浓度（mg/</w:t>
            </w:r>
            <w:r>
              <w:rPr>
                <w:rFonts w:hint="eastAsia" w:ascii="Times New Roman" w:hAnsi="Times New Roman" w:eastAsia="宋体" w:cs="Times New Roman"/>
                <w:color w:val="auto"/>
                <w:sz w:val="18"/>
                <w:szCs w:val="18"/>
                <w:lang w:eastAsia="zh-CN"/>
              </w:rPr>
              <w:t>m</w:t>
            </w:r>
            <w:r>
              <w:rPr>
                <w:rFonts w:hint="eastAsia" w:ascii="Times New Roman" w:hAnsi="Times New Roman" w:eastAsia="宋体" w:cs="Times New Roman"/>
                <w:color w:val="auto"/>
                <w:sz w:val="18"/>
                <w:szCs w:val="18"/>
                <w:vertAlign w:val="superscript"/>
                <w:lang w:eastAsia="zh-CN"/>
              </w:rPr>
              <w:t>3</w:t>
            </w:r>
            <w:r>
              <w:rPr>
                <w:rFonts w:ascii="Times New Roman" w:hAnsi="Times New Roman" w:eastAsia="宋体" w:cs="Times New Roman"/>
                <w:color w:val="auto"/>
                <w:sz w:val="18"/>
                <w:szCs w:val="18"/>
                <w:lang w:eastAsia="en-US"/>
              </w:rPr>
              <w:t>）</w:t>
            </w:r>
          </w:p>
        </w:tc>
        <w:tc>
          <w:tcPr>
            <w:tcW w:w="596" w:type="pct"/>
            <w:shd w:val="clear" w:color="auto" w:fill="auto"/>
            <w:vAlign w:val="center"/>
          </w:tcPr>
          <w:p w14:paraId="1FB8E73A">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0.010</w:t>
            </w:r>
          </w:p>
        </w:tc>
        <w:tc>
          <w:tcPr>
            <w:tcW w:w="595" w:type="pct"/>
            <w:shd w:val="clear" w:color="auto" w:fill="auto"/>
            <w:vAlign w:val="center"/>
          </w:tcPr>
          <w:p w14:paraId="3B5702D8">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0.012</w:t>
            </w:r>
          </w:p>
        </w:tc>
        <w:tc>
          <w:tcPr>
            <w:tcW w:w="653" w:type="pct"/>
            <w:shd w:val="clear" w:color="auto" w:fill="auto"/>
            <w:vAlign w:val="center"/>
          </w:tcPr>
          <w:p w14:paraId="6BDDD140">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0.013</w:t>
            </w:r>
          </w:p>
        </w:tc>
        <w:tc>
          <w:tcPr>
            <w:tcW w:w="730" w:type="pct"/>
            <w:shd w:val="clear" w:color="auto" w:fill="auto"/>
            <w:vAlign w:val="center"/>
          </w:tcPr>
          <w:p w14:paraId="00E47962">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w:t>
            </w:r>
          </w:p>
        </w:tc>
      </w:tr>
      <w:tr w14:paraId="1155E0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79" w:type="pct"/>
            <w:vMerge w:val="continue"/>
          </w:tcPr>
          <w:p w14:paraId="731F1AB7">
            <w:pPr>
              <w:jc w:val="center"/>
              <w:rPr>
                <w:rFonts w:ascii="Times New Roman" w:hAnsi="Times New Roman" w:eastAsia="宋体" w:cs="Times New Roman"/>
                <w:color w:val="auto"/>
                <w:szCs w:val="21"/>
                <w:lang w:eastAsia="en-US"/>
              </w:rPr>
            </w:pPr>
          </w:p>
        </w:tc>
        <w:tc>
          <w:tcPr>
            <w:tcW w:w="724" w:type="pct"/>
            <w:vMerge w:val="continue"/>
          </w:tcPr>
          <w:p w14:paraId="0A379DCC">
            <w:pPr>
              <w:jc w:val="center"/>
              <w:rPr>
                <w:rFonts w:hint="eastAsia" w:ascii="Times New Roman" w:hAnsi="Times New Roman" w:eastAsia="宋体" w:cs="Times New Roman"/>
                <w:color w:val="auto"/>
                <w:szCs w:val="21"/>
                <w:lang w:val="en-US" w:eastAsia="zh-CN"/>
              </w:rPr>
            </w:pPr>
          </w:p>
        </w:tc>
        <w:tc>
          <w:tcPr>
            <w:tcW w:w="1320" w:type="pct"/>
            <w:shd w:val="clear" w:color="auto" w:fill="auto"/>
            <w:vAlign w:val="center"/>
          </w:tcPr>
          <w:p w14:paraId="30B1B58E">
            <w:pPr>
              <w:jc w:val="center"/>
              <w:rPr>
                <w:rFonts w:hint="eastAsia" w:ascii="Times New Roman" w:hAnsi="Times New Roman" w:eastAsia="宋体" w:cs="Times New Roman"/>
                <w:color w:val="auto"/>
                <w:kern w:val="2"/>
                <w:sz w:val="18"/>
                <w:szCs w:val="18"/>
                <w:lang w:val="en-US" w:eastAsia="en-US" w:bidi="ar-SA"/>
              </w:rPr>
            </w:pPr>
            <w:r>
              <w:rPr>
                <w:rFonts w:ascii="Times New Roman" w:hAnsi="Times New Roman" w:eastAsia="宋体" w:cs="Times New Roman"/>
                <w:color w:val="auto"/>
                <w:sz w:val="18"/>
                <w:szCs w:val="18"/>
                <w:lang w:eastAsia="en-US"/>
              </w:rPr>
              <w:t>排放速率（kg/h）</w:t>
            </w:r>
          </w:p>
        </w:tc>
        <w:tc>
          <w:tcPr>
            <w:tcW w:w="596" w:type="pct"/>
            <w:shd w:val="clear" w:color="auto" w:fill="auto"/>
            <w:vAlign w:val="center"/>
          </w:tcPr>
          <w:p w14:paraId="1A622576">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0.00028</w:t>
            </w:r>
          </w:p>
        </w:tc>
        <w:tc>
          <w:tcPr>
            <w:tcW w:w="595" w:type="pct"/>
            <w:shd w:val="clear" w:color="auto" w:fill="auto"/>
            <w:vAlign w:val="center"/>
          </w:tcPr>
          <w:p w14:paraId="49D3DAFE">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0.00034</w:t>
            </w:r>
          </w:p>
        </w:tc>
        <w:tc>
          <w:tcPr>
            <w:tcW w:w="653" w:type="pct"/>
            <w:shd w:val="clear" w:color="auto" w:fill="auto"/>
            <w:vAlign w:val="center"/>
          </w:tcPr>
          <w:p w14:paraId="5A7885CB">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0.00037</w:t>
            </w:r>
          </w:p>
        </w:tc>
        <w:tc>
          <w:tcPr>
            <w:tcW w:w="730" w:type="pct"/>
            <w:shd w:val="clear" w:color="auto" w:fill="auto"/>
            <w:vAlign w:val="center"/>
          </w:tcPr>
          <w:p w14:paraId="7F5AB506">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0.58</w:t>
            </w:r>
          </w:p>
        </w:tc>
      </w:tr>
      <w:tr w14:paraId="29EE88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79" w:type="pct"/>
            <w:vMerge w:val="continue"/>
          </w:tcPr>
          <w:p w14:paraId="3B6282EA">
            <w:pPr>
              <w:jc w:val="center"/>
              <w:rPr>
                <w:rFonts w:ascii="Times New Roman" w:hAnsi="Times New Roman" w:eastAsia="宋体" w:cs="Times New Roman"/>
                <w:color w:val="auto"/>
                <w:szCs w:val="21"/>
                <w:lang w:eastAsia="en-US"/>
              </w:rPr>
            </w:pPr>
          </w:p>
        </w:tc>
        <w:tc>
          <w:tcPr>
            <w:tcW w:w="724" w:type="pct"/>
            <w:vMerge w:val="restart"/>
            <w:shd w:val="clear" w:color="auto" w:fill="auto"/>
            <w:vAlign w:val="center"/>
          </w:tcPr>
          <w:p w14:paraId="550C51A6">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sz w:val="18"/>
                <w:szCs w:val="18"/>
                <w:lang w:val="en-US" w:eastAsia="zh-CN"/>
              </w:rPr>
              <w:t>非甲烷总烃</w:t>
            </w:r>
          </w:p>
        </w:tc>
        <w:tc>
          <w:tcPr>
            <w:tcW w:w="1320" w:type="pct"/>
            <w:shd w:val="clear" w:color="auto" w:fill="auto"/>
            <w:vAlign w:val="center"/>
          </w:tcPr>
          <w:p w14:paraId="1297F841">
            <w:pPr>
              <w:jc w:val="center"/>
              <w:rPr>
                <w:rFonts w:hint="eastAsia" w:ascii="Times New Roman" w:hAnsi="Times New Roman" w:eastAsia="宋体" w:cs="Times New Roman"/>
                <w:color w:val="auto"/>
                <w:kern w:val="2"/>
                <w:sz w:val="18"/>
                <w:szCs w:val="18"/>
                <w:lang w:val="en-US" w:eastAsia="en-US" w:bidi="ar-SA"/>
              </w:rPr>
            </w:pPr>
            <w:r>
              <w:rPr>
                <w:rFonts w:ascii="Times New Roman" w:hAnsi="Times New Roman" w:eastAsia="宋体" w:cs="Times New Roman"/>
                <w:color w:val="auto"/>
                <w:sz w:val="18"/>
                <w:szCs w:val="18"/>
                <w:lang w:eastAsia="en-US"/>
              </w:rPr>
              <w:t>排放浓度（mg/</w:t>
            </w:r>
            <w:r>
              <w:rPr>
                <w:rFonts w:hint="eastAsia" w:ascii="Times New Roman" w:hAnsi="Times New Roman" w:eastAsia="宋体" w:cs="Times New Roman"/>
                <w:color w:val="auto"/>
                <w:sz w:val="18"/>
                <w:szCs w:val="18"/>
                <w:lang w:eastAsia="zh-CN"/>
              </w:rPr>
              <w:t>m</w:t>
            </w:r>
            <w:r>
              <w:rPr>
                <w:rFonts w:hint="eastAsia" w:ascii="Times New Roman" w:hAnsi="Times New Roman" w:eastAsia="宋体" w:cs="Times New Roman"/>
                <w:color w:val="auto"/>
                <w:sz w:val="18"/>
                <w:szCs w:val="18"/>
                <w:vertAlign w:val="superscript"/>
                <w:lang w:eastAsia="zh-CN"/>
              </w:rPr>
              <w:t>3</w:t>
            </w:r>
            <w:r>
              <w:rPr>
                <w:rFonts w:ascii="Times New Roman" w:hAnsi="Times New Roman" w:eastAsia="宋体" w:cs="Times New Roman"/>
                <w:color w:val="auto"/>
                <w:sz w:val="18"/>
                <w:szCs w:val="18"/>
                <w:lang w:eastAsia="en-US"/>
              </w:rPr>
              <w:t>）</w:t>
            </w:r>
          </w:p>
        </w:tc>
        <w:tc>
          <w:tcPr>
            <w:tcW w:w="596" w:type="pct"/>
            <w:shd w:val="clear" w:color="auto" w:fill="auto"/>
            <w:vAlign w:val="center"/>
          </w:tcPr>
          <w:p w14:paraId="2B37D045">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32.5</w:t>
            </w:r>
          </w:p>
        </w:tc>
        <w:tc>
          <w:tcPr>
            <w:tcW w:w="595" w:type="pct"/>
            <w:shd w:val="clear" w:color="auto" w:fill="auto"/>
            <w:vAlign w:val="center"/>
          </w:tcPr>
          <w:p w14:paraId="67B36E85">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30.4</w:t>
            </w:r>
          </w:p>
        </w:tc>
        <w:tc>
          <w:tcPr>
            <w:tcW w:w="653" w:type="pct"/>
            <w:shd w:val="clear" w:color="auto" w:fill="auto"/>
            <w:vAlign w:val="center"/>
          </w:tcPr>
          <w:p w14:paraId="27771ED2">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30.6</w:t>
            </w:r>
          </w:p>
        </w:tc>
        <w:tc>
          <w:tcPr>
            <w:tcW w:w="730" w:type="pct"/>
            <w:shd w:val="clear" w:color="auto" w:fill="auto"/>
            <w:vAlign w:val="center"/>
          </w:tcPr>
          <w:p w14:paraId="2F26DA3D">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100</w:t>
            </w:r>
          </w:p>
        </w:tc>
      </w:tr>
      <w:tr w14:paraId="2D2341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79" w:type="pct"/>
            <w:vMerge w:val="continue"/>
          </w:tcPr>
          <w:p w14:paraId="5E1A222A">
            <w:pPr>
              <w:jc w:val="center"/>
              <w:rPr>
                <w:rFonts w:ascii="Times New Roman" w:hAnsi="Times New Roman" w:eastAsia="宋体" w:cs="Times New Roman"/>
                <w:color w:val="auto"/>
                <w:szCs w:val="21"/>
                <w:lang w:eastAsia="en-US"/>
              </w:rPr>
            </w:pPr>
          </w:p>
        </w:tc>
        <w:tc>
          <w:tcPr>
            <w:tcW w:w="724" w:type="pct"/>
            <w:vMerge w:val="continue"/>
          </w:tcPr>
          <w:p w14:paraId="468212BA">
            <w:pPr>
              <w:jc w:val="center"/>
              <w:rPr>
                <w:rFonts w:hint="eastAsia" w:ascii="Times New Roman" w:hAnsi="Times New Roman" w:eastAsia="宋体" w:cs="Times New Roman"/>
                <w:color w:val="auto"/>
                <w:szCs w:val="21"/>
                <w:lang w:val="en-US" w:eastAsia="zh-CN"/>
              </w:rPr>
            </w:pPr>
          </w:p>
        </w:tc>
        <w:tc>
          <w:tcPr>
            <w:tcW w:w="1320" w:type="pct"/>
            <w:shd w:val="clear" w:color="auto" w:fill="auto"/>
            <w:vAlign w:val="center"/>
          </w:tcPr>
          <w:p w14:paraId="145D2AAC">
            <w:pPr>
              <w:jc w:val="center"/>
              <w:rPr>
                <w:rFonts w:hint="eastAsia" w:ascii="Times New Roman" w:hAnsi="Times New Roman" w:eastAsia="宋体" w:cs="Times New Roman"/>
                <w:color w:val="auto"/>
                <w:kern w:val="2"/>
                <w:sz w:val="18"/>
                <w:szCs w:val="18"/>
                <w:lang w:val="en-US" w:eastAsia="en-US" w:bidi="ar-SA"/>
              </w:rPr>
            </w:pPr>
            <w:r>
              <w:rPr>
                <w:rFonts w:ascii="Times New Roman" w:hAnsi="Times New Roman" w:eastAsia="宋体" w:cs="Times New Roman"/>
                <w:color w:val="auto"/>
                <w:sz w:val="18"/>
                <w:szCs w:val="18"/>
                <w:lang w:eastAsia="en-US"/>
              </w:rPr>
              <w:t>排放速率（kg/h）</w:t>
            </w:r>
          </w:p>
        </w:tc>
        <w:tc>
          <w:tcPr>
            <w:tcW w:w="596" w:type="pct"/>
            <w:shd w:val="clear" w:color="auto" w:fill="auto"/>
            <w:vAlign w:val="center"/>
          </w:tcPr>
          <w:p w14:paraId="2CDF0B1C">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0.91</w:t>
            </w:r>
          </w:p>
        </w:tc>
        <w:tc>
          <w:tcPr>
            <w:tcW w:w="595" w:type="pct"/>
            <w:shd w:val="clear" w:color="auto" w:fill="auto"/>
            <w:vAlign w:val="center"/>
          </w:tcPr>
          <w:p w14:paraId="332D0D47">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0.86</w:t>
            </w:r>
          </w:p>
        </w:tc>
        <w:tc>
          <w:tcPr>
            <w:tcW w:w="653" w:type="pct"/>
            <w:shd w:val="clear" w:color="auto" w:fill="auto"/>
            <w:vAlign w:val="center"/>
          </w:tcPr>
          <w:p w14:paraId="32B3FE56">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0.87</w:t>
            </w:r>
          </w:p>
        </w:tc>
        <w:tc>
          <w:tcPr>
            <w:tcW w:w="730" w:type="pct"/>
            <w:shd w:val="clear" w:color="auto" w:fill="auto"/>
            <w:vAlign w:val="center"/>
          </w:tcPr>
          <w:p w14:paraId="7C765738">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w:t>
            </w:r>
          </w:p>
        </w:tc>
      </w:tr>
      <w:tr w14:paraId="0A7B9D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79" w:type="pct"/>
            <w:vMerge w:val="restart"/>
            <w:shd w:val="clear" w:color="auto" w:fill="auto"/>
            <w:vAlign w:val="center"/>
          </w:tcPr>
          <w:p w14:paraId="092C3580">
            <w:pPr>
              <w:jc w:val="center"/>
              <w:rPr>
                <w:rFonts w:hint="default" w:ascii="Times New Roman" w:hAnsi="Times New Roman" w:eastAsia="宋体" w:cs="Times New Roman"/>
                <w:color w:val="auto"/>
                <w:kern w:val="2"/>
                <w:sz w:val="18"/>
                <w:szCs w:val="18"/>
                <w:lang w:val="en-US" w:eastAsia="en-US" w:bidi="ar-SA"/>
              </w:rPr>
            </w:pPr>
            <w:r>
              <w:rPr>
                <w:rFonts w:hint="eastAsia" w:ascii="Times New Roman" w:hAnsi="Times New Roman" w:eastAsia="宋体" w:cs="Times New Roman"/>
                <w:color w:val="auto"/>
                <w:sz w:val="18"/>
                <w:szCs w:val="18"/>
                <w:lang w:val="en-US" w:eastAsia="zh-CN"/>
              </w:rPr>
              <w:t>DA002污水处理站废气出口</w:t>
            </w:r>
          </w:p>
        </w:tc>
        <w:tc>
          <w:tcPr>
            <w:tcW w:w="724" w:type="pct"/>
            <w:shd w:val="clear" w:color="auto" w:fill="auto"/>
            <w:vAlign w:val="center"/>
          </w:tcPr>
          <w:p w14:paraId="6FAA7886">
            <w:pPr>
              <w:jc w:val="center"/>
              <w:rPr>
                <w:rFonts w:hint="eastAsia" w:ascii="Times New Roman" w:hAnsi="Times New Roman" w:eastAsia="宋体" w:cs="Times New Roman"/>
                <w:color w:val="auto"/>
                <w:kern w:val="2"/>
                <w:sz w:val="18"/>
                <w:szCs w:val="18"/>
                <w:lang w:val="en-US" w:eastAsia="zh-CN" w:bidi="ar-SA"/>
              </w:rPr>
            </w:pPr>
            <w:r>
              <w:rPr>
                <w:rFonts w:ascii="Times New Roman" w:hAnsi="Times New Roman" w:eastAsia="宋体" w:cs="Times New Roman"/>
                <w:color w:val="auto"/>
                <w:sz w:val="18"/>
                <w:szCs w:val="18"/>
                <w:lang w:eastAsia="en-US"/>
              </w:rPr>
              <w:t>烟气流量</w:t>
            </w:r>
          </w:p>
        </w:tc>
        <w:tc>
          <w:tcPr>
            <w:tcW w:w="1320" w:type="pct"/>
            <w:shd w:val="clear" w:color="auto" w:fill="auto"/>
            <w:vAlign w:val="center"/>
          </w:tcPr>
          <w:p w14:paraId="13212F6C">
            <w:pPr>
              <w:jc w:val="center"/>
              <w:rPr>
                <w:rFonts w:hint="eastAsia" w:ascii="Times New Roman" w:hAnsi="Times New Roman" w:eastAsia="宋体" w:cs="Times New Roman"/>
                <w:color w:val="auto"/>
                <w:kern w:val="2"/>
                <w:sz w:val="18"/>
                <w:szCs w:val="18"/>
                <w:lang w:val="en-US" w:eastAsia="en-US" w:bidi="ar-SA"/>
              </w:rPr>
            </w:pPr>
            <w:r>
              <w:rPr>
                <w:rFonts w:ascii="Times New Roman" w:hAnsi="Times New Roman" w:eastAsia="宋体" w:cs="Times New Roman"/>
                <w:color w:val="auto"/>
                <w:sz w:val="18"/>
                <w:szCs w:val="18"/>
                <w:lang w:eastAsia="en-US"/>
              </w:rPr>
              <w:t>（N•</w:t>
            </w:r>
            <w:r>
              <w:rPr>
                <w:rFonts w:hint="eastAsia" w:ascii="Times New Roman" w:hAnsi="Times New Roman" w:eastAsia="宋体" w:cs="Times New Roman"/>
                <w:color w:val="auto"/>
                <w:sz w:val="18"/>
                <w:szCs w:val="18"/>
                <w:lang w:eastAsia="zh-CN"/>
              </w:rPr>
              <w:t>m</w:t>
            </w:r>
            <w:r>
              <w:rPr>
                <w:rFonts w:hint="eastAsia" w:ascii="Times New Roman" w:hAnsi="Times New Roman" w:eastAsia="宋体" w:cs="Times New Roman"/>
                <w:color w:val="auto"/>
                <w:sz w:val="18"/>
                <w:szCs w:val="18"/>
                <w:vertAlign w:val="superscript"/>
                <w:lang w:eastAsia="zh-CN"/>
              </w:rPr>
              <w:t>3</w:t>
            </w:r>
            <w:r>
              <w:rPr>
                <w:rFonts w:ascii="Times New Roman" w:hAnsi="Times New Roman" w:eastAsia="宋体" w:cs="Times New Roman"/>
                <w:color w:val="auto"/>
                <w:sz w:val="18"/>
                <w:szCs w:val="18"/>
                <w:lang w:eastAsia="en-US"/>
              </w:rPr>
              <w:t>/h）</w:t>
            </w:r>
          </w:p>
        </w:tc>
        <w:tc>
          <w:tcPr>
            <w:tcW w:w="596" w:type="pct"/>
            <w:shd w:val="clear" w:color="auto" w:fill="auto"/>
            <w:vAlign w:val="center"/>
          </w:tcPr>
          <w:p w14:paraId="4E688DE0">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3143</w:t>
            </w:r>
          </w:p>
        </w:tc>
        <w:tc>
          <w:tcPr>
            <w:tcW w:w="595" w:type="pct"/>
            <w:shd w:val="clear" w:color="auto" w:fill="auto"/>
            <w:vAlign w:val="center"/>
          </w:tcPr>
          <w:p w14:paraId="2A0575DC">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3145</w:t>
            </w:r>
          </w:p>
        </w:tc>
        <w:tc>
          <w:tcPr>
            <w:tcW w:w="653" w:type="pct"/>
            <w:shd w:val="clear" w:color="auto" w:fill="auto"/>
            <w:vAlign w:val="center"/>
          </w:tcPr>
          <w:p w14:paraId="5C4ECC79">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3100</w:t>
            </w:r>
          </w:p>
        </w:tc>
        <w:tc>
          <w:tcPr>
            <w:tcW w:w="730" w:type="pct"/>
            <w:shd w:val="clear" w:color="auto" w:fill="auto"/>
            <w:vAlign w:val="center"/>
          </w:tcPr>
          <w:p w14:paraId="62E74A6D">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w:t>
            </w:r>
          </w:p>
        </w:tc>
      </w:tr>
      <w:tr w14:paraId="6EDB43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79" w:type="pct"/>
            <w:vMerge w:val="continue"/>
          </w:tcPr>
          <w:p w14:paraId="3A141F2F">
            <w:pPr>
              <w:jc w:val="center"/>
              <w:rPr>
                <w:rFonts w:ascii="Times New Roman" w:hAnsi="Times New Roman" w:eastAsia="宋体" w:cs="Times New Roman"/>
                <w:color w:val="auto"/>
                <w:szCs w:val="21"/>
                <w:lang w:eastAsia="en-US"/>
              </w:rPr>
            </w:pPr>
          </w:p>
        </w:tc>
        <w:tc>
          <w:tcPr>
            <w:tcW w:w="724" w:type="pct"/>
            <w:vMerge w:val="restart"/>
            <w:shd w:val="clear" w:color="auto" w:fill="auto"/>
            <w:vAlign w:val="center"/>
          </w:tcPr>
          <w:p w14:paraId="0CE4BD08">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氨</w:t>
            </w:r>
          </w:p>
        </w:tc>
        <w:tc>
          <w:tcPr>
            <w:tcW w:w="1320" w:type="pct"/>
            <w:shd w:val="clear" w:color="auto" w:fill="auto"/>
            <w:vAlign w:val="center"/>
          </w:tcPr>
          <w:p w14:paraId="7C1F05EC">
            <w:pPr>
              <w:jc w:val="center"/>
              <w:rPr>
                <w:rFonts w:hint="eastAsia" w:ascii="Times New Roman" w:hAnsi="Times New Roman" w:eastAsia="宋体" w:cs="Times New Roman"/>
                <w:color w:val="auto"/>
                <w:kern w:val="2"/>
                <w:sz w:val="18"/>
                <w:szCs w:val="18"/>
                <w:lang w:val="en-US" w:eastAsia="en-US" w:bidi="ar-SA"/>
              </w:rPr>
            </w:pPr>
            <w:r>
              <w:rPr>
                <w:rFonts w:ascii="Times New Roman" w:hAnsi="Times New Roman" w:eastAsia="宋体" w:cs="Times New Roman"/>
                <w:color w:val="auto"/>
                <w:sz w:val="18"/>
                <w:szCs w:val="18"/>
                <w:lang w:eastAsia="en-US"/>
              </w:rPr>
              <w:t>排放浓度（mg/</w:t>
            </w:r>
            <w:r>
              <w:rPr>
                <w:rFonts w:hint="eastAsia" w:ascii="Times New Roman" w:hAnsi="Times New Roman" w:eastAsia="宋体" w:cs="Times New Roman"/>
                <w:color w:val="auto"/>
                <w:sz w:val="18"/>
                <w:szCs w:val="18"/>
                <w:lang w:eastAsia="zh-CN"/>
              </w:rPr>
              <w:t>m</w:t>
            </w:r>
            <w:r>
              <w:rPr>
                <w:rFonts w:hint="eastAsia" w:ascii="Times New Roman" w:hAnsi="Times New Roman" w:eastAsia="宋体" w:cs="Times New Roman"/>
                <w:color w:val="auto"/>
                <w:sz w:val="18"/>
                <w:szCs w:val="18"/>
                <w:vertAlign w:val="superscript"/>
                <w:lang w:eastAsia="zh-CN"/>
              </w:rPr>
              <w:t>3</w:t>
            </w:r>
            <w:r>
              <w:rPr>
                <w:rFonts w:ascii="Times New Roman" w:hAnsi="Times New Roman" w:eastAsia="宋体" w:cs="Times New Roman"/>
                <w:color w:val="auto"/>
                <w:sz w:val="18"/>
                <w:szCs w:val="18"/>
                <w:lang w:eastAsia="en-US"/>
              </w:rPr>
              <w:t>）</w:t>
            </w:r>
          </w:p>
        </w:tc>
        <w:tc>
          <w:tcPr>
            <w:tcW w:w="596" w:type="pct"/>
            <w:shd w:val="clear" w:color="auto" w:fill="auto"/>
            <w:vAlign w:val="center"/>
          </w:tcPr>
          <w:p w14:paraId="5A2EDF18">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1.03</w:t>
            </w:r>
          </w:p>
        </w:tc>
        <w:tc>
          <w:tcPr>
            <w:tcW w:w="595" w:type="pct"/>
            <w:shd w:val="clear" w:color="auto" w:fill="auto"/>
            <w:vAlign w:val="center"/>
          </w:tcPr>
          <w:p w14:paraId="1883EB8E">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1.11</w:t>
            </w:r>
          </w:p>
        </w:tc>
        <w:tc>
          <w:tcPr>
            <w:tcW w:w="653" w:type="pct"/>
            <w:shd w:val="clear" w:color="auto" w:fill="auto"/>
            <w:vAlign w:val="center"/>
          </w:tcPr>
          <w:p w14:paraId="7921E2CB">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1.10</w:t>
            </w:r>
          </w:p>
        </w:tc>
        <w:tc>
          <w:tcPr>
            <w:tcW w:w="730" w:type="pct"/>
            <w:shd w:val="clear" w:color="auto" w:fill="auto"/>
            <w:vAlign w:val="center"/>
          </w:tcPr>
          <w:p w14:paraId="7C7F5EC8">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30</w:t>
            </w:r>
          </w:p>
        </w:tc>
      </w:tr>
      <w:tr w14:paraId="1B01A8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79" w:type="pct"/>
            <w:vMerge w:val="continue"/>
          </w:tcPr>
          <w:p w14:paraId="1B4D2B4A">
            <w:pPr>
              <w:jc w:val="center"/>
              <w:rPr>
                <w:rFonts w:ascii="Times New Roman" w:hAnsi="Times New Roman" w:eastAsia="宋体" w:cs="Times New Roman"/>
                <w:color w:val="auto"/>
                <w:szCs w:val="21"/>
                <w:lang w:eastAsia="en-US"/>
              </w:rPr>
            </w:pPr>
          </w:p>
        </w:tc>
        <w:tc>
          <w:tcPr>
            <w:tcW w:w="724" w:type="pct"/>
            <w:vMerge w:val="continue"/>
          </w:tcPr>
          <w:p w14:paraId="1BD3E09B">
            <w:pPr>
              <w:jc w:val="center"/>
              <w:rPr>
                <w:rFonts w:hint="eastAsia" w:ascii="Times New Roman" w:hAnsi="Times New Roman" w:eastAsia="宋体" w:cs="Times New Roman"/>
                <w:color w:val="auto"/>
                <w:szCs w:val="21"/>
                <w:lang w:val="en-US" w:eastAsia="zh-CN"/>
              </w:rPr>
            </w:pPr>
          </w:p>
        </w:tc>
        <w:tc>
          <w:tcPr>
            <w:tcW w:w="1320" w:type="pct"/>
            <w:shd w:val="clear" w:color="auto" w:fill="auto"/>
            <w:vAlign w:val="center"/>
          </w:tcPr>
          <w:p w14:paraId="7B1C8E98">
            <w:pPr>
              <w:jc w:val="center"/>
              <w:rPr>
                <w:rFonts w:hint="eastAsia" w:ascii="Times New Roman" w:hAnsi="Times New Roman" w:eastAsia="宋体" w:cs="Times New Roman"/>
                <w:color w:val="auto"/>
                <w:kern w:val="2"/>
                <w:sz w:val="18"/>
                <w:szCs w:val="18"/>
                <w:lang w:val="en-US" w:eastAsia="en-US" w:bidi="ar-SA"/>
              </w:rPr>
            </w:pPr>
            <w:r>
              <w:rPr>
                <w:rFonts w:ascii="Times New Roman" w:hAnsi="Times New Roman" w:eastAsia="宋体" w:cs="Times New Roman"/>
                <w:color w:val="auto"/>
                <w:sz w:val="18"/>
                <w:szCs w:val="18"/>
                <w:lang w:eastAsia="en-US"/>
              </w:rPr>
              <w:t>排放速率（kg/h）</w:t>
            </w:r>
          </w:p>
        </w:tc>
        <w:tc>
          <w:tcPr>
            <w:tcW w:w="596" w:type="pct"/>
            <w:shd w:val="clear" w:color="auto" w:fill="auto"/>
            <w:vAlign w:val="center"/>
          </w:tcPr>
          <w:p w14:paraId="7F19BA6F">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0.0032</w:t>
            </w:r>
          </w:p>
        </w:tc>
        <w:tc>
          <w:tcPr>
            <w:tcW w:w="595" w:type="pct"/>
            <w:shd w:val="clear" w:color="auto" w:fill="auto"/>
            <w:vAlign w:val="center"/>
          </w:tcPr>
          <w:p w14:paraId="251E84BA">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0.0035</w:t>
            </w:r>
          </w:p>
        </w:tc>
        <w:tc>
          <w:tcPr>
            <w:tcW w:w="653" w:type="pct"/>
            <w:shd w:val="clear" w:color="auto" w:fill="auto"/>
            <w:vAlign w:val="center"/>
          </w:tcPr>
          <w:p w14:paraId="7E9F276F">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0.0034</w:t>
            </w:r>
          </w:p>
        </w:tc>
        <w:tc>
          <w:tcPr>
            <w:tcW w:w="730" w:type="pct"/>
            <w:shd w:val="clear" w:color="auto" w:fill="auto"/>
            <w:vAlign w:val="center"/>
          </w:tcPr>
          <w:p w14:paraId="1DC36231">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w:t>
            </w:r>
          </w:p>
        </w:tc>
      </w:tr>
      <w:tr w14:paraId="7AF02A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79" w:type="pct"/>
            <w:vMerge w:val="continue"/>
          </w:tcPr>
          <w:p w14:paraId="6B09290E">
            <w:pPr>
              <w:jc w:val="center"/>
              <w:rPr>
                <w:rFonts w:ascii="Times New Roman" w:hAnsi="Times New Roman" w:eastAsia="宋体" w:cs="Times New Roman"/>
                <w:color w:val="auto"/>
                <w:szCs w:val="21"/>
                <w:lang w:eastAsia="en-US"/>
              </w:rPr>
            </w:pPr>
          </w:p>
        </w:tc>
        <w:tc>
          <w:tcPr>
            <w:tcW w:w="724" w:type="pct"/>
            <w:vMerge w:val="restart"/>
            <w:shd w:val="clear" w:color="auto" w:fill="auto"/>
            <w:vAlign w:val="center"/>
          </w:tcPr>
          <w:p w14:paraId="0D937063">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挥发性有机物</w:t>
            </w:r>
          </w:p>
        </w:tc>
        <w:tc>
          <w:tcPr>
            <w:tcW w:w="1320" w:type="pct"/>
            <w:shd w:val="clear" w:color="auto" w:fill="auto"/>
            <w:vAlign w:val="center"/>
          </w:tcPr>
          <w:p w14:paraId="689C05CA">
            <w:pPr>
              <w:jc w:val="center"/>
              <w:rPr>
                <w:rFonts w:hint="eastAsia" w:ascii="Times New Roman" w:hAnsi="Times New Roman" w:eastAsia="宋体" w:cs="Times New Roman"/>
                <w:color w:val="auto"/>
                <w:kern w:val="2"/>
                <w:sz w:val="18"/>
                <w:szCs w:val="18"/>
                <w:lang w:val="en-US" w:eastAsia="en-US" w:bidi="ar-SA"/>
              </w:rPr>
            </w:pPr>
            <w:r>
              <w:rPr>
                <w:rFonts w:ascii="Times New Roman" w:hAnsi="Times New Roman" w:eastAsia="宋体" w:cs="Times New Roman"/>
                <w:color w:val="auto"/>
                <w:sz w:val="18"/>
                <w:szCs w:val="18"/>
                <w:lang w:eastAsia="en-US"/>
              </w:rPr>
              <w:t>排放浓度（mg/</w:t>
            </w:r>
            <w:r>
              <w:rPr>
                <w:rFonts w:hint="eastAsia" w:ascii="Times New Roman" w:hAnsi="Times New Roman" w:eastAsia="宋体" w:cs="Times New Roman"/>
                <w:color w:val="auto"/>
                <w:sz w:val="18"/>
                <w:szCs w:val="18"/>
                <w:lang w:eastAsia="zh-CN"/>
              </w:rPr>
              <w:t>m</w:t>
            </w:r>
            <w:r>
              <w:rPr>
                <w:rFonts w:hint="eastAsia" w:ascii="Times New Roman" w:hAnsi="Times New Roman" w:eastAsia="宋体" w:cs="Times New Roman"/>
                <w:color w:val="auto"/>
                <w:sz w:val="18"/>
                <w:szCs w:val="18"/>
                <w:vertAlign w:val="superscript"/>
                <w:lang w:eastAsia="zh-CN"/>
              </w:rPr>
              <w:t>3）</w:t>
            </w:r>
          </w:p>
        </w:tc>
        <w:tc>
          <w:tcPr>
            <w:tcW w:w="596" w:type="pct"/>
            <w:shd w:val="clear" w:color="auto" w:fill="auto"/>
            <w:vAlign w:val="center"/>
          </w:tcPr>
          <w:p w14:paraId="680D2728">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11.2</w:t>
            </w:r>
          </w:p>
        </w:tc>
        <w:tc>
          <w:tcPr>
            <w:tcW w:w="595" w:type="pct"/>
            <w:shd w:val="clear" w:color="auto" w:fill="auto"/>
            <w:vAlign w:val="center"/>
          </w:tcPr>
          <w:p w14:paraId="301857B7">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7.36</w:t>
            </w:r>
          </w:p>
        </w:tc>
        <w:tc>
          <w:tcPr>
            <w:tcW w:w="653" w:type="pct"/>
            <w:shd w:val="clear" w:color="auto" w:fill="auto"/>
            <w:vAlign w:val="center"/>
          </w:tcPr>
          <w:p w14:paraId="38E4AB14">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19.9</w:t>
            </w:r>
          </w:p>
        </w:tc>
        <w:tc>
          <w:tcPr>
            <w:tcW w:w="730" w:type="pct"/>
            <w:shd w:val="clear" w:color="auto" w:fill="auto"/>
            <w:vAlign w:val="center"/>
          </w:tcPr>
          <w:p w14:paraId="09943C7F">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100</w:t>
            </w:r>
          </w:p>
        </w:tc>
      </w:tr>
      <w:tr w14:paraId="0A50D0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79" w:type="pct"/>
            <w:vMerge w:val="continue"/>
          </w:tcPr>
          <w:p w14:paraId="29AB1573">
            <w:pPr>
              <w:jc w:val="center"/>
              <w:rPr>
                <w:rFonts w:ascii="Times New Roman" w:hAnsi="Times New Roman" w:eastAsia="宋体" w:cs="Times New Roman"/>
                <w:color w:val="auto"/>
                <w:szCs w:val="21"/>
                <w:lang w:eastAsia="en-US"/>
              </w:rPr>
            </w:pPr>
          </w:p>
        </w:tc>
        <w:tc>
          <w:tcPr>
            <w:tcW w:w="724" w:type="pct"/>
            <w:vMerge w:val="continue"/>
          </w:tcPr>
          <w:p w14:paraId="586EDBB8">
            <w:pPr>
              <w:jc w:val="center"/>
              <w:rPr>
                <w:rFonts w:hint="eastAsia" w:ascii="Times New Roman" w:hAnsi="Times New Roman" w:eastAsia="宋体" w:cs="Times New Roman"/>
                <w:color w:val="auto"/>
                <w:szCs w:val="21"/>
                <w:lang w:val="en-US" w:eastAsia="zh-CN"/>
              </w:rPr>
            </w:pPr>
          </w:p>
        </w:tc>
        <w:tc>
          <w:tcPr>
            <w:tcW w:w="1320" w:type="pct"/>
            <w:shd w:val="clear" w:color="auto" w:fill="auto"/>
            <w:vAlign w:val="center"/>
          </w:tcPr>
          <w:p w14:paraId="6768D5A2">
            <w:pPr>
              <w:jc w:val="center"/>
              <w:rPr>
                <w:rFonts w:hint="eastAsia" w:ascii="Times New Roman" w:hAnsi="Times New Roman" w:eastAsia="宋体" w:cs="Times New Roman"/>
                <w:color w:val="auto"/>
                <w:kern w:val="2"/>
                <w:sz w:val="18"/>
                <w:szCs w:val="18"/>
                <w:lang w:val="en-US" w:eastAsia="en-US" w:bidi="ar-SA"/>
              </w:rPr>
            </w:pPr>
            <w:r>
              <w:rPr>
                <w:rFonts w:ascii="Times New Roman" w:hAnsi="Times New Roman" w:eastAsia="宋体" w:cs="Times New Roman"/>
                <w:color w:val="auto"/>
                <w:sz w:val="18"/>
                <w:szCs w:val="18"/>
                <w:lang w:eastAsia="en-US"/>
              </w:rPr>
              <w:t>排放速率（kg/h）</w:t>
            </w:r>
          </w:p>
        </w:tc>
        <w:tc>
          <w:tcPr>
            <w:tcW w:w="596" w:type="pct"/>
            <w:shd w:val="clear" w:color="auto" w:fill="auto"/>
            <w:vAlign w:val="center"/>
          </w:tcPr>
          <w:p w14:paraId="52FA3BEE">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0.035</w:t>
            </w:r>
          </w:p>
        </w:tc>
        <w:tc>
          <w:tcPr>
            <w:tcW w:w="595" w:type="pct"/>
            <w:shd w:val="clear" w:color="auto" w:fill="auto"/>
            <w:vAlign w:val="center"/>
          </w:tcPr>
          <w:p w14:paraId="5FC993EE">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0.023</w:t>
            </w:r>
          </w:p>
        </w:tc>
        <w:tc>
          <w:tcPr>
            <w:tcW w:w="653" w:type="pct"/>
            <w:shd w:val="clear" w:color="auto" w:fill="auto"/>
            <w:vAlign w:val="center"/>
          </w:tcPr>
          <w:p w14:paraId="3A2D6234">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0.061</w:t>
            </w:r>
          </w:p>
        </w:tc>
        <w:tc>
          <w:tcPr>
            <w:tcW w:w="730" w:type="pct"/>
            <w:shd w:val="clear" w:color="auto" w:fill="auto"/>
            <w:vAlign w:val="center"/>
          </w:tcPr>
          <w:p w14:paraId="5E81F780">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w:t>
            </w:r>
          </w:p>
        </w:tc>
      </w:tr>
      <w:tr w14:paraId="20077F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79" w:type="pct"/>
            <w:vMerge w:val="continue"/>
          </w:tcPr>
          <w:p w14:paraId="44787105">
            <w:pPr>
              <w:jc w:val="center"/>
              <w:rPr>
                <w:rFonts w:ascii="Times New Roman" w:hAnsi="Times New Roman" w:eastAsia="宋体" w:cs="Times New Roman"/>
                <w:color w:val="auto"/>
                <w:szCs w:val="21"/>
                <w:lang w:eastAsia="en-US"/>
              </w:rPr>
            </w:pPr>
          </w:p>
        </w:tc>
        <w:tc>
          <w:tcPr>
            <w:tcW w:w="724" w:type="pct"/>
            <w:vMerge w:val="restart"/>
            <w:shd w:val="clear" w:color="auto" w:fill="auto"/>
            <w:vAlign w:val="center"/>
          </w:tcPr>
          <w:p w14:paraId="0218C0AA">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硫化氢</w:t>
            </w:r>
          </w:p>
        </w:tc>
        <w:tc>
          <w:tcPr>
            <w:tcW w:w="1320" w:type="pct"/>
            <w:shd w:val="clear" w:color="auto" w:fill="auto"/>
            <w:vAlign w:val="center"/>
          </w:tcPr>
          <w:p w14:paraId="383DC225">
            <w:pPr>
              <w:jc w:val="center"/>
              <w:rPr>
                <w:rFonts w:hint="eastAsia" w:ascii="Times New Roman" w:hAnsi="Times New Roman" w:eastAsia="宋体" w:cs="Times New Roman"/>
                <w:color w:val="auto"/>
                <w:kern w:val="2"/>
                <w:sz w:val="18"/>
                <w:szCs w:val="18"/>
                <w:lang w:val="en-US" w:eastAsia="en-US" w:bidi="ar-SA"/>
              </w:rPr>
            </w:pPr>
            <w:r>
              <w:rPr>
                <w:rFonts w:ascii="Times New Roman" w:hAnsi="Times New Roman" w:eastAsia="宋体" w:cs="Times New Roman"/>
                <w:color w:val="auto"/>
                <w:sz w:val="18"/>
                <w:szCs w:val="18"/>
                <w:lang w:eastAsia="en-US"/>
              </w:rPr>
              <w:t>排放浓度（mg/</w:t>
            </w:r>
            <w:r>
              <w:rPr>
                <w:rFonts w:hint="eastAsia" w:ascii="Times New Roman" w:hAnsi="Times New Roman" w:eastAsia="宋体" w:cs="Times New Roman"/>
                <w:color w:val="auto"/>
                <w:sz w:val="18"/>
                <w:szCs w:val="18"/>
                <w:lang w:eastAsia="zh-CN"/>
              </w:rPr>
              <w:t>m</w:t>
            </w:r>
            <w:r>
              <w:rPr>
                <w:rFonts w:hint="eastAsia" w:ascii="Times New Roman" w:hAnsi="Times New Roman" w:eastAsia="宋体" w:cs="Times New Roman"/>
                <w:color w:val="auto"/>
                <w:sz w:val="18"/>
                <w:szCs w:val="18"/>
                <w:vertAlign w:val="superscript"/>
                <w:lang w:eastAsia="zh-CN"/>
              </w:rPr>
              <w:t>3</w:t>
            </w:r>
            <w:r>
              <w:rPr>
                <w:rFonts w:ascii="Times New Roman" w:hAnsi="Times New Roman" w:eastAsia="宋体" w:cs="Times New Roman"/>
                <w:color w:val="auto"/>
                <w:sz w:val="18"/>
                <w:szCs w:val="18"/>
                <w:lang w:eastAsia="en-US"/>
              </w:rPr>
              <w:t>）</w:t>
            </w:r>
          </w:p>
        </w:tc>
        <w:tc>
          <w:tcPr>
            <w:tcW w:w="596" w:type="pct"/>
            <w:shd w:val="clear" w:color="auto" w:fill="auto"/>
            <w:vAlign w:val="center"/>
          </w:tcPr>
          <w:p w14:paraId="19E97B79">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0.011</w:t>
            </w:r>
          </w:p>
        </w:tc>
        <w:tc>
          <w:tcPr>
            <w:tcW w:w="595" w:type="pct"/>
            <w:shd w:val="clear" w:color="auto" w:fill="auto"/>
            <w:vAlign w:val="center"/>
          </w:tcPr>
          <w:p w14:paraId="371E2FAE">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0.014</w:t>
            </w:r>
          </w:p>
        </w:tc>
        <w:tc>
          <w:tcPr>
            <w:tcW w:w="653" w:type="pct"/>
            <w:shd w:val="clear" w:color="auto" w:fill="auto"/>
            <w:vAlign w:val="center"/>
          </w:tcPr>
          <w:p w14:paraId="7E85A935">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0.011</w:t>
            </w:r>
          </w:p>
        </w:tc>
        <w:tc>
          <w:tcPr>
            <w:tcW w:w="730" w:type="pct"/>
            <w:shd w:val="clear" w:color="auto" w:fill="auto"/>
            <w:vAlign w:val="center"/>
          </w:tcPr>
          <w:p w14:paraId="24DF930E">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5</w:t>
            </w:r>
          </w:p>
        </w:tc>
      </w:tr>
      <w:tr w14:paraId="3BF6C3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79" w:type="pct"/>
            <w:vMerge w:val="continue"/>
          </w:tcPr>
          <w:p w14:paraId="2F179C20">
            <w:pPr>
              <w:jc w:val="center"/>
              <w:rPr>
                <w:rFonts w:ascii="Times New Roman" w:hAnsi="Times New Roman" w:eastAsia="宋体" w:cs="Times New Roman"/>
                <w:color w:val="auto"/>
                <w:szCs w:val="21"/>
                <w:lang w:eastAsia="en-US"/>
              </w:rPr>
            </w:pPr>
          </w:p>
        </w:tc>
        <w:tc>
          <w:tcPr>
            <w:tcW w:w="724" w:type="pct"/>
            <w:vMerge w:val="continue"/>
          </w:tcPr>
          <w:p w14:paraId="52BD4BCD">
            <w:pPr>
              <w:jc w:val="center"/>
              <w:rPr>
                <w:rFonts w:hint="eastAsia" w:ascii="Times New Roman" w:hAnsi="Times New Roman" w:eastAsia="宋体" w:cs="Times New Roman"/>
                <w:color w:val="auto"/>
                <w:szCs w:val="21"/>
                <w:lang w:val="en-US" w:eastAsia="zh-CN"/>
              </w:rPr>
            </w:pPr>
          </w:p>
        </w:tc>
        <w:tc>
          <w:tcPr>
            <w:tcW w:w="1320" w:type="pct"/>
            <w:shd w:val="clear" w:color="auto" w:fill="auto"/>
            <w:vAlign w:val="center"/>
          </w:tcPr>
          <w:p w14:paraId="485E9822">
            <w:pPr>
              <w:jc w:val="center"/>
              <w:rPr>
                <w:rFonts w:hint="eastAsia" w:ascii="Times New Roman" w:hAnsi="Times New Roman" w:eastAsia="宋体" w:cs="Times New Roman"/>
                <w:color w:val="auto"/>
                <w:kern w:val="2"/>
                <w:sz w:val="18"/>
                <w:szCs w:val="18"/>
                <w:lang w:val="en-US" w:eastAsia="en-US" w:bidi="ar-SA"/>
              </w:rPr>
            </w:pPr>
            <w:r>
              <w:rPr>
                <w:rFonts w:ascii="Times New Roman" w:hAnsi="Times New Roman" w:eastAsia="宋体" w:cs="Times New Roman"/>
                <w:color w:val="auto"/>
                <w:sz w:val="18"/>
                <w:szCs w:val="18"/>
                <w:lang w:eastAsia="en-US"/>
              </w:rPr>
              <w:t>排放速率（kg/h）</w:t>
            </w:r>
          </w:p>
        </w:tc>
        <w:tc>
          <w:tcPr>
            <w:tcW w:w="596" w:type="pct"/>
            <w:shd w:val="clear" w:color="auto" w:fill="auto"/>
            <w:vAlign w:val="center"/>
          </w:tcPr>
          <w:p w14:paraId="02851641">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0.000035</w:t>
            </w:r>
          </w:p>
        </w:tc>
        <w:tc>
          <w:tcPr>
            <w:tcW w:w="595" w:type="pct"/>
            <w:shd w:val="clear" w:color="auto" w:fill="auto"/>
            <w:vAlign w:val="center"/>
          </w:tcPr>
          <w:p w14:paraId="39079592">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0.000044</w:t>
            </w:r>
          </w:p>
        </w:tc>
        <w:tc>
          <w:tcPr>
            <w:tcW w:w="653" w:type="pct"/>
            <w:shd w:val="clear" w:color="auto" w:fill="auto"/>
            <w:vAlign w:val="center"/>
          </w:tcPr>
          <w:p w14:paraId="75F105B6">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0.000034</w:t>
            </w:r>
          </w:p>
        </w:tc>
        <w:tc>
          <w:tcPr>
            <w:tcW w:w="730" w:type="pct"/>
            <w:shd w:val="clear" w:color="auto" w:fill="auto"/>
            <w:vAlign w:val="center"/>
          </w:tcPr>
          <w:p w14:paraId="0C56A78E">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w:t>
            </w:r>
          </w:p>
        </w:tc>
      </w:tr>
      <w:tr w14:paraId="17DA20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79" w:type="pct"/>
            <w:vMerge w:val="continue"/>
          </w:tcPr>
          <w:p w14:paraId="1C8DD863">
            <w:pPr>
              <w:jc w:val="center"/>
              <w:rPr>
                <w:rFonts w:ascii="Times New Roman" w:hAnsi="Times New Roman" w:eastAsia="宋体" w:cs="Times New Roman"/>
                <w:color w:val="auto"/>
                <w:szCs w:val="21"/>
                <w:lang w:eastAsia="en-US"/>
              </w:rPr>
            </w:pPr>
          </w:p>
        </w:tc>
        <w:tc>
          <w:tcPr>
            <w:tcW w:w="724" w:type="pct"/>
            <w:shd w:val="clear" w:color="auto" w:fill="auto"/>
            <w:vAlign w:val="top"/>
          </w:tcPr>
          <w:p w14:paraId="5C7AD42F">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臭气浓度</w:t>
            </w:r>
          </w:p>
        </w:tc>
        <w:tc>
          <w:tcPr>
            <w:tcW w:w="1320" w:type="pct"/>
            <w:shd w:val="clear" w:color="auto" w:fill="auto"/>
            <w:vAlign w:val="center"/>
          </w:tcPr>
          <w:p w14:paraId="0C753F7E">
            <w:pPr>
              <w:jc w:val="center"/>
              <w:rPr>
                <w:rFonts w:hint="eastAsia" w:ascii="Times New Roman" w:hAnsi="Times New Roman" w:eastAsia="宋体" w:cs="Times New Roman"/>
                <w:color w:val="auto"/>
                <w:kern w:val="2"/>
                <w:sz w:val="18"/>
                <w:szCs w:val="18"/>
                <w:lang w:val="en-US" w:eastAsia="en-US" w:bidi="ar-SA"/>
              </w:rPr>
            </w:pPr>
            <w:r>
              <w:rPr>
                <w:rFonts w:hint="eastAsia" w:ascii="Times New Roman" w:hAnsi="Times New Roman" w:eastAsia="宋体" w:cs="Times New Roman"/>
                <w:color w:val="auto"/>
                <w:sz w:val="18"/>
                <w:szCs w:val="18"/>
                <w:lang w:val="en-US" w:eastAsia="zh-CN"/>
              </w:rPr>
              <w:t>无量纲</w:t>
            </w:r>
          </w:p>
        </w:tc>
        <w:tc>
          <w:tcPr>
            <w:tcW w:w="596" w:type="pct"/>
            <w:shd w:val="clear" w:color="auto" w:fill="auto"/>
            <w:vAlign w:val="center"/>
          </w:tcPr>
          <w:p w14:paraId="71A7E2A0">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630</w:t>
            </w:r>
          </w:p>
        </w:tc>
        <w:tc>
          <w:tcPr>
            <w:tcW w:w="595" w:type="pct"/>
            <w:shd w:val="clear" w:color="auto" w:fill="auto"/>
            <w:vAlign w:val="center"/>
          </w:tcPr>
          <w:p w14:paraId="2ED10597">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549</w:t>
            </w:r>
          </w:p>
        </w:tc>
        <w:tc>
          <w:tcPr>
            <w:tcW w:w="653" w:type="pct"/>
            <w:shd w:val="clear" w:color="auto" w:fill="auto"/>
            <w:vAlign w:val="center"/>
          </w:tcPr>
          <w:p w14:paraId="2BD4060E">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851</w:t>
            </w:r>
          </w:p>
        </w:tc>
        <w:tc>
          <w:tcPr>
            <w:tcW w:w="730" w:type="pct"/>
            <w:shd w:val="clear" w:color="auto" w:fill="auto"/>
            <w:vAlign w:val="center"/>
          </w:tcPr>
          <w:p w14:paraId="67522B47">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2000</w:t>
            </w:r>
          </w:p>
        </w:tc>
      </w:tr>
      <w:tr w14:paraId="459483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79" w:type="pct"/>
            <w:vMerge w:val="restart"/>
            <w:shd w:val="clear" w:color="auto" w:fill="auto"/>
            <w:vAlign w:val="center"/>
          </w:tcPr>
          <w:p w14:paraId="0EA57B2C">
            <w:pPr>
              <w:jc w:val="center"/>
              <w:rPr>
                <w:rFonts w:ascii="Times New Roman" w:hAnsi="Times New Roman" w:eastAsia="宋体" w:cs="Times New Roman"/>
                <w:color w:val="auto"/>
                <w:kern w:val="2"/>
                <w:sz w:val="18"/>
                <w:szCs w:val="18"/>
                <w:lang w:val="en-US" w:eastAsia="en-US" w:bidi="ar-SA"/>
              </w:rPr>
            </w:pPr>
            <w:r>
              <w:rPr>
                <w:rFonts w:hint="eastAsia" w:ascii="Times New Roman" w:hAnsi="Times New Roman" w:eastAsia="宋体" w:cs="Times New Roman"/>
                <w:color w:val="auto"/>
                <w:sz w:val="18"/>
                <w:szCs w:val="18"/>
                <w:lang w:val="en-US" w:eastAsia="zh-CN"/>
              </w:rPr>
              <w:t>DA003干燥废气排气筒出口</w:t>
            </w:r>
          </w:p>
        </w:tc>
        <w:tc>
          <w:tcPr>
            <w:tcW w:w="724" w:type="pct"/>
            <w:shd w:val="clear" w:color="auto" w:fill="auto"/>
            <w:vAlign w:val="center"/>
          </w:tcPr>
          <w:p w14:paraId="1B34D363">
            <w:pPr>
              <w:jc w:val="center"/>
              <w:rPr>
                <w:rFonts w:hint="eastAsia" w:ascii="Times New Roman" w:hAnsi="Times New Roman" w:eastAsia="宋体" w:cs="Times New Roman"/>
                <w:color w:val="auto"/>
                <w:kern w:val="2"/>
                <w:sz w:val="18"/>
                <w:szCs w:val="18"/>
                <w:lang w:val="en-US" w:eastAsia="zh-CN" w:bidi="ar-SA"/>
              </w:rPr>
            </w:pPr>
            <w:r>
              <w:rPr>
                <w:rFonts w:ascii="Times New Roman" w:hAnsi="Times New Roman" w:eastAsia="宋体" w:cs="Times New Roman"/>
                <w:color w:val="auto"/>
                <w:sz w:val="18"/>
                <w:szCs w:val="18"/>
                <w:lang w:eastAsia="en-US"/>
              </w:rPr>
              <w:t>烟气流量</w:t>
            </w:r>
          </w:p>
        </w:tc>
        <w:tc>
          <w:tcPr>
            <w:tcW w:w="1320" w:type="pct"/>
            <w:shd w:val="clear" w:color="auto" w:fill="auto"/>
            <w:vAlign w:val="center"/>
          </w:tcPr>
          <w:p w14:paraId="56EA5D95">
            <w:pPr>
              <w:jc w:val="center"/>
              <w:rPr>
                <w:rFonts w:hint="eastAsia" w:ascii="Times New Roman" w:hAnsi="Times New Roman" w:eastAsia="宋体" w:cs="Times New Roman"/>
                <w:color w:val="auto"/>
                <w:kern w:val="2"/>
                <w:sz w:val="18"/>
                <w:szCs w:val="18"/>
                <w:lang w:val="en-US" w:eastAsia="en-US" w:bidi="ar-SA"/>
              </w:rPr>
            </w:pPr>
            <w:r>
              <w:rPr>
                <w:rFonts w:ascii="Times New Roman" w:hAnsi="Times New Roman" w:eastAsia="宋体" w:cs="Times New Roman"/>
                <w:color w:val="auto"/>
                <w:sz w:val="18"/>
                <w:szCs w:val="18"/>
                <w:lang w:eastAsia="en-US"/>
              </w:rPr>
              <w:t>（N•</w:t>
            </w:r>
            <w:r>
              <w:rPr>
                <w:rFonts w:hint="eastAsia" w:ascii="Times New Roman" w:hAnsi="Times New Roman" w:eastAsia="宋体" w:cs="Times New Roman"/>
                <w:color w:val="auto"/>
                <w:sz w:val="18"/>
                <w:szCs w:val="18"/>
                <w:lang w:eastAsia="zh-CN"/>
              </w:rPr>
              <w:t>m</w:t>
            </w:r>
            <w:r>
              <w:rPr>
                <w:rFonts w:hint="eastAsia" w:ascii="Times New Roman" w:hAnsi="Times New Roman" w:eastAsia="宋体" w:cs="Times New Roman"/>
                <w:color w:val="auto"/>
                <w:sz w:val="18"/>
                <w:szCs w:val="18"/>
                <w:vertAlign w:val="superscript"/>
                <w:lang w:eastAsia="zh-CN"/>
              </w:rPr>
              <w:t>3</w:t>
            </w:r>
            <w:r>
              <w:rPr>
                <w:rFonts w:ascii="Times New Roman" w:hAnsi="Times New Roman" w:eastAsia="宋体" w:cs="Times New Roman"/>
                <w:color w:val="auto"/>
                <w:sz w:val="18"/>
                <w:szCs w:val="18"/>
                <w:lang w:eastAsia="en-US"/>
              </w:rPr>
              <w:t>/h）</w:t>
            </w:r>
          </w:p>
        </w:tc>
        <w:tc>
          <w:tcPr>
            <w:tcW w:w="596" w:type="pct"/>
            <w:shd w:val="clear" w:color="auto" w:fill="auto"/>
            <w:vAlign w:val="center"/>
          </w:tcPr>
          <w:p w14:paraId="45D65196">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4230</w:t>
            </w:r>
          </w:p>
        </w:tc>
        <w:tc>
          <w:tcPr>
            <w:tcW w:w="595" w:type="pct"/>
            <w:shd w:val="clear" w:color="auto" w:fill="auto"/>
            <w:vAlign w:val="center"/>
          </w:tcPr>
          <w:p w14:paraId="34BA9472">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4199</w:t>
            </w:r>
          </w:p>
        </w:tc>
        <w:tc>
          <w:tcPr>
            <w:tcW w:w="653" w:type="pct"/>
            <w:shd w:val="clear" w:color="auto" w:fill="auto"/>
            <w:vAlign w:val="center"/>
          </w:tcPr>
          <w:p w14:paraId="5414D852">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4107</w:t>
            </w:r>
          </w:p>
        </w:tc>
        <w:tc>
          <w:tcPr>
            <w:tcW w:w="730" w:type="pct"/>
            <w:shd w:val="clear" w:color="auto" w:fill="auto"/>
            <w:vAlign w:val="center"/>
          </w:tcPr>
          <w:p w14:paraId="687C8FA2">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w:t>
            </w:r>
          </w:p>
        </w:tc>
      </w:tr>
      <w:tr w14:paraId="3E5AD2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79" w:type="pct"/>
            <w:vMerge w:val="continue"/>
          </w:tcPr>
          <w:p w14:paraId="5DC3BB28">
            <w:pPr>
              <w:jc w:val="center"/>
              <w:rPr>
                <w:rFonts w:ascii="Times New Roman" w:hAnsi="Times New Roman" w:eastAsia="宋体" w:cs="Times New Roman"/>
                <w:color w:val="auto"/>
                <w:szCs w:val="21"/>
                <w:lang w:eastAsia="en-US"/>
              </w:rPr>
            </w:pPr>
          </w:p>
        </w:tc>
        <w:tc>
          <w:tcPr>
            <w:tcW w:w="724" w:type="pct"/>
            <w:vMerge w:val="restart"/>
            <w:shd w:val="clear" w:color="auto" w:fill="auto"/>
            <w:vAlign w:val="center"/>
          </w:tcPr>
          <w:p w14:paraId="28E28787">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颗粒物</w:t>
            </w:r>
          </w:p>
        </w:tc>
        <w:tc>
          <w:tcPr>
            <w:tcW w:w="1320" w:type="pct"/>
            <w:shd w:val="clear" w:color="auto" w:fill="auto"/>
            <w:vAlign w:val="center"/>
          </w:tcPr>
          <w:p w14:paraId="01AE3FDC">
            <w:pPr>
              <w:jc w:val="center"/>
              <w:rPr>
                <w:rFonts w:hint="eastAsia" w:ascii="Times New Roman" w:hAnsi="Times New Roman" w:eastAsia="宋体" w:cs="Times New Roman"/>
                <w:color w:val="auto"/>
                <w:kern w:val="2"/>
                <w:sz w:val="18"/>
                <w:szCs w:val="18"/>
                <w:lang w:val="en-US" w:eastAsia="en-US" w:bidi="ar-SA"/>
              </w:rPr>
            </w:pPr>
            <w:r>
              <w:rPr>
                <w:rFonts w:ascii="Times New Roman" w:hAnsi="Times New Roman" w:eastAsia="宋体" w:cs="Times New Roman"/>
                <w:color w:val="auto"/>
                <w:sz w:val="18"/>
                <w:szCs w:val="18"/>
                <w:lang w:eastAsia="en-US"/>
              </w:rPr>
              <w:t>排放浓度（mg/</w:t>
            </w:r>
            <w:r>
              <w:rPr>
                <w:rFonts w:hint="eastAsia" w:ascii="Times New Roman" w:hAnsi="Times New Roman" w:eastAsia="宋体" w:cs="Times New Roman"/>
                <w:color w:val="auto"/>
                <w:sz w:val="18"/>
                <w:szCs w:val="18"/>
                <w:lang w:eastAsia="zh-CN"/>
              </w:rPr>
              <w:t>m</w:t>
            </w:r>
            <w:r>
              <w:rPr>
                <w:rFonts w:hint="eastAsia" w:ascii="Times New Roman" w:hAnsi="Times New Roman" w:eastAsia="宋体" w:cs="Times New Roman"/>
                <w:color w:val="auto"/>
                <w:sz w:val="18"/>
                <w:szCs w:val="18"/>
                <w:vertAlign w:val="superscript"/>
                <w:lang w:eastAsia="zh-CN"/>
              </w:rPr>
              <w:t>3</w:t>
            </w:r>
            <w:r>
              <w:rPr>
                <w:rFonts w:ascii="Times New Roman" w:hAnsi="Times New Roman" w:eastAsia="宋体" w:cs="Times New Roman"/>
                <w:color w:val="auto"/>
                <w:sz w:val="18"/>
                <w:szCs w:val="18"/>
                <w:lang w:eastAsia="en-US"/>
              </w:rPr>
              <w:t>）</w:t>
            </w:r>
          </w:p>
        </w:tc>
        <w:tc>
          <w:tcPr>
            <w:tcW w:w="596" w:type="pct"/>
            <w:shd w:val="clear" w:color="auto" w:fill="auto"/>
            <w:vAlign w:val="center"/>
          </w:tcPr>
          <w:p w14:paraId="5C92E3B7">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8.4</w:t>
            </w:r>
          </w:p>
        </w:tc>
        <w:tc>
          <w:tcPr>
            <w:tcW w:w="595" w:type="pct"/>
            <w:shd w:val="clear" w:color="auto" w:fill="auto"/>
            <w:vAlign w:val="center"/>
          </w:tcPr>
          <w:p w14:paraId="7D36B7DC">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9.7</w:t>
            </w:r>
          </w:p>
        </w:tc>
        <w:tc>
          <w:tcPr>
            <w:tcW w:w="653" w:type="pct"/>
            <w:shd w:val="clear" w:color="auto" w:fill="auto"/>
            <w:vAlign w:val="center"/>
          </w:tcPr>
          <w:p w14:paraId="6A840F1D">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9.7</w:t>
            </w:r>
          </w:p>
        </w:tc>
        <w:tc>
          <w:tcPr>
            <w:tcW w:w="730" w:type="pct"/>
            <w:shd w:val="clear" w:color="auto" w:fill="auto"/>
            <w:vAlign w:val="center"/>
          </w:tcPr>
          <w:p w14:paraId="5628A2D4">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30</w:t>
            </w:r>
          </w:p>
        </w:tc>
      </w:tr>
      <w:tr w14:paraId="531A7C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79" w:type="pct"/>
            <w:vMerge w:val="continue"/>
          </w:tcPr>
          <w:p w14:paraId="2E6D8A90">
            <w:pPr>
              <w:jc w:val="center"/>
              <w:rPr>
                <w:rFonts w:ascii="Times New Roman" w:hAnsi="Times New Roman" w:eastAsia="宋体" w:cs="Times New Roman"/>
                <w:color w:val="auto"/>
                <w:szCs w:val="21"/>
                <w:lang w:eastAsia="en-US"/>
              </w:rPr>
            </w:pPr>
          </w:p>
        </w:tc>
        <w:tc>
          <w:tcPr>
            <w:tcW w:w="724" w:type="pct"/>
            <w:vMerge w:val="continue"/>
          </w:tcPr>
          <w:p w14:paraId="5BFC01A1">
            <w:pPr>
              <w:jc w:val="center"/>
              <w:rPr>
                <w:rFonts w:hint="eastAsia" w:ascii="Times New Roman" w:hAnsi="Times New Roman" w:eastAsia="宋体" w:cs="Times New Roman"/>
                <w:color w:val="auto"/>
                <w:szCs w:val="21"/>
                <w:lang w:val="en-US" w:eastAsia="zh-CN"/>
              </w:rPr>
            </w:pPr>
          </w:p>
        </w:tc>
        <w:tc>
          <w:tcPr>
            <w:tcW w:w="1320" w:type="pct"/>
            <w:shd w:val="clear" w:color="auto" w:fill="auto"/>
            <w:vAlign w:val="center"/>
          </w:tcPr>
          <w:p w14:paraId="01D7D6A4">
            <w:pPr>
              <w:jc w:val="center"/>
              <w:rPr>
                <w:rFonts w:hint="eastAsia" w:ascii="Times New Roman" w:hAnsi="Times New Roman" w:eastAsia="宋体" w:cs="Times New Roman"/>
                <w:color w:val="auto"/>
                <w:kern w:val="2"/>
                <w:sz w:val="18"/>
                <w:szCs w:val="18"/>
                <w:lang w:val="en-US" w:eastAsia="en-US" w:bidi="ar-SA"/>
              </w:rPr>
            </w:pPr>
            <w:r>
              <w:rPr>
                <w:rFonts w:ascii="Times New Roman" w:hAnsi="Times New Roman" w:eastAsia="宋体" w:cs="Times New Roman"/>
                <w:color w:val="auto"/>
                <w:sz w:val="18"/>
                <w:szCs w:val="18"/>
                <w:lang w:eastAsia="en-US"/>
              </w:rPr>
              <w:t>排放速率（kg/h）</w:t>
            </w:r>
          </w:p>
        </w:tc>
        <w:tc>
          <w:tcPr>
            <w:tcW w:w="596" w:type="pct"/>
            <w:shd w:val="clear" w:color="auto" w:fill="auto"/>
            <w:vAlign w:val="center"/>
          </w:tcPr>
          <w:p w14:paraId="331A42C4">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0.04</w:t>
            </w:r>
          </w:p>
        </w:tc>
        <w:tc>
          <w:tcPr>
            <w:tcW w:w="595" w:type="pct"/>
            <w:shd w:val="clear" w:color="auto" w:fill="auto"/>
            <w:vAlign w:val="center"/>
          </w:tcPr>
          <w:p w14:paraId="674BCE19">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0.04</w:t>
            </w:r>
          </w:p>
        </w:tc>
        <w:tc>
          <w:tcPr>
            <w:tcW w:w="653" w:type="pct"/>
            <w:shd w:val="clear" w:color="auto" w:fill="auto"/>
            <w:vAlign w:val="center"/>
          </w:tcPr>
          <w:p w14:paraId="31BEF9B7">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0.04</w:t>
            </w:r>
          </w:p>
        </w:tc>
        <w:tc>
          <w:tcPr>
            <w:tcW w:w="730" w:type="pct"/>
            <w:shd w:val="clear" w:color="auto" w:fill="auto"/>
            <w:vAlign w:val="center"/>
          </w:tcPr>
          <w:p w14:paraId="4ED572EE">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w:t>
            </w:r>
          </w:p>
        </w:tc>
      </w:tr>
      <w:tr w14:paraId="16E170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79" w:type="pct"/>
            <w:vMerge w:val="continue"/>
          </w:tcPr>
          <w:p w14:paraId="00427A30">
            <w:pPr>
              <w:jc w:val="center"/>
              <w:rPr>
                <w:rFonts w:ascii="Times New Roman" w:hAnsi="Times New Roman" w:eastAsia="宋体" w:cs="Times New Roman"/>
                <w:color w:val="auto"/>
                <w:szCs w:val="21"/>
                <w:lang w:eastAsia="en-US"/>
              </w:rPr>
            </w:pPr>
          </w:p>
        </w:tc>
        <w:tc>
          <w:tcPr>
            <w:tcW w:w="724" w:type="pct"/>
            <w:vMerge w:val="restart"/>
            <w:shd w:val="clear" w:color="auto" w:fill="auto"/>
            <w:vAlign w:val="center"/>
          </w:tcPr>
          <w:p w14:paraId="7AE923FD">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挥发性有机物</w:t>
            </w:r>
          </w:p>
        </w:tc>
        <w:tc>
          <w:tcPr>
            <w:tcW w:w="1320" w:type="pct"/>
            <w:shd w:val="clear" w:color="auto" w:fill="auto"/>
            <w:vAlign w:val="center"/>
          </w:tcPr>
          <w:p w14:paraId="4917B5B6">
            <w:pPr>
              <w:jc w:val="center"/>
              <w:rPr>
                <w:rFonts w:hint="eastAsia" w:ascii="Times New Roman" w:hAnsi="Times New Roman" w:eastAsia="宋体" w:cs="Times New Roman"/>
                <w:color w:val="auto"/>
                <w:kern w:val="2"/>
                <w:sz w:val="18"/>
                <w:szCs w:val="18"/>
                <w:lang w:val="en-US" w:eastAsia="en-US" w:bidi="ar-SA"/>
              </w:rPr>
            </w:pPr>
            <w:r>
              <w:rPr>
                <w:rFonts w:ascii="Times New Roman" w:hAnsi="Times New Roman" w:eastAsia="宋体" w:cs="Times New Roman"/>
                <w:color w:val="auto"/>
                <w:sz w:val="18"/>
                <w:szCs w:val="18"/>
                <w:lang w:eastAsia="en-US"/>
              </w:rPr>
              <w:t>排放浓度（mg/</w:t>
            </w:r>
            <w:r>
              <w:rPr>
                <w:rFonts w:hint="eastAsia" w:ascii="Times New Roman" w:hAnsi="Times New Roman" w:eastAsia="宋体" w:cs="Times New Roman"/>
                <w:color w:val="auto"/>
                <w:sz w:val="18"/>
                <w:szCs w:val="18"/>
                <w:lang w:eastAsia="zh-CN"/>
              </w:rPr>
              <w:t>m</w:t>
            </w:r>
            <w:r>
              <w:rPr>
                <w:rFonts w:hint="eastAsia" w:ascii="Times New Roman" w:hAnsi="Times New Roman" w:eastAsia="宋体" w:cs="Times New Roman"/>
                <w:color w:val="auto"/>
                <w:sz w:val="18"/>
                <w:szCs w:val="18"/>
                <w:vertAlign w:val="superscript"/>
                <w:lang w:eastAsia="zh-CN"/>
              </w:rPr>
              <w:t>3</w:t>
            </w:r>
            <w:r>
              <w:rPr>
                <w:rFonts w:ascii="Times New Roman" w:hAnsi="Times New Roman" w:eastAsia="宋体" w:cs="Times New Roman"/>
                <w:color w:val="auto"/>
                <w:sz w:val="18"/>
                <w:szCs w:val="18"/>
                <w:lang w:eastAsia="en-US"/>
              </w:rPr>
              <w:t>）</w:t>
            </w:r>
          </w:p>
        </w:tc>
        <w:tc>
          <w:tcPr>
            <w:tcW w:w="596" w:type="pct"/>
            <w:shd w:val="clear" w:color="auto" w:fill="auto"/>
            <w:vAlign w:val="center"/>
          </w:tcPr>
          <w:p w14:paraId="0DF57F0E">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0.711</w:t>
            </w:r>
          </w:p>
        </w:tc>
        <w:tc>
          <w:tcPr>
            <w:tcW w:w="595" w:type="pct"/>
            <w:shd w:val="clear" w:color="auto" w:fill="auto"/>
            <w:vAlign w:val="center"/>
          </w:tcPr>
          <w:p w14:paraId="3F0EE8C0">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5.58</w:t>
            </w:r>
          </w:p>
        </w:tc>
        <w:tc>
          <w:tcPr>
            <w:tcW w:w="653" w:type="pct"/>
            <w:shd w:val="clear" w:color="auto" w:fill="auto"/>
            <w:vAlign w:val="center"/>
          </w:tcPr>
          <w:p w14:paraId="26E19FAC">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6.78</w:t>
            </w:r>
          </w:p>
        </w:tc>
        <w:tc>
          <w:tcPr>
            <w:tcW w:w="730" w:type="pct"/>
            <w:shd w:val="clear" w:color="auto" w:fill="auto"/>
            <w:vAlign w:val="center"/>
          </w:tcPr>
          <w:p w14:paraId="6CB9A341">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40</w:t>
            </w:r>
          </w:p>
        </w:tc>
      </w:tr>
      <w:tr w14:paraId="1F72B4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79" w:type="pct"/>
            <w:vMerge w:val="continue"/>
          </w:tcPr>
          <w:p w14:paraId="7008BE09">
            <w:pPr>
              <w:jc w:val="center"/>
              <w:rPr>
                <w:rFonts w:ascii="Times New Roman" w:hAnsi="Times New Roman" w:eastAsia="宋体" w:cs="Times New Roman"/>
                <w:color w:val="auto"/>
                <w:szCs w:val="21"/>
                <w:lang w:eastAsia="en-US"/>
              </w:rPr>
            </w:pPr>
          </w:p>
        </w:tc>
        <w:tc>
          <w:tcPr>
            <w:tcW w:w="724" w:type="pct"/>
            <w:vMerge w:val="continue"/>
          </w:tcPr>
          <w:p w14:paraId="25CA940E">
            <w:pPr>
              <w:jc w:val="center"/>
              <w:rPr>
                <w:rFonts w:hint="eastAsia" w:ascii="Times New Roman" w:hAnsi="Times New Roman" w:eastAsia="宋体" w:cs="Times New Roman"/>
                <w:color w:val="auto"/>
                <w:szCs w:val="21"/>
                <w:lang w:val="en-US" w:eastAsia="zh-CN"/>
              </w:rPr>
            </w:pPr>
          </w:p>
        </w:tc>
        <w:tc>
          <w:tcPr>
            <w:tcW w:w="1320" w:type="pct"/>
            <w:shd w:val="clear" w:color="auto" w:fill="auto"/>
            <w:vAlign w:val="center"/>
          </w:tcPr>
          <w:p w14:paraId="16D80F84">
            <w:pPr>
              <w:jc w:val="center"/>
              <w:rPr>
                <w:rFonts w:hint="eastAsia" w:ascii="Times New Roman" w:hAnsi="Times New Roman" w:eastAsia="宋体" w:cs="Times New Roman"/>
                <w:color w:val="auto"/>
                <w:kern w:val="2"/>
                <w:sz w:val="18"/>
                <w:szCs w:val="18"/>
                <w:lang w:val="en-US" w:eastAsia="en-US" w:bidi="ar-SA"/>
              </w:rPr>
            </w:pPr>
            <w:r>
              <w:rPr>
                <w:rFonts w:ascii="Times New Roman" w:hAnsi="Times New Roman" w:eastAsia="宋体" w:cs="Times New Roman"/>
                <w:color w:val="auto"/>
                <w:sz w:val="18"/>
                <w:szCs w:val="18"/>
                <w:lang w:eastAsia="en-US"/>
              </w:rPr>
              <w:t>排放速率（kg/h）</w:t>
            </w:r>
          </w:p>
        </w:tc>
        <w:tc>
          <w:tcPr>
            <w:tcW w:w="596" w:type="pct"/>
            <w:shd w:val="clear" w:color="auto" w:fill="auto"/>
            <w:vAlign w:val="center"/>
          </w:tcPr>
          <w:p w14:paraId="7912C84D">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0.0030</w:t>
            </w:r>
          </w:p>
        </w:tc>
        <w:tc>
          <w:tcPr>
            <w:tcW w:w="595" w:type="pct"/>
            <w:shd w:val="clear" w:color="auto" w:fill="auto"/>
            <w:vAlign w:val="center"/>
          </w:tcPr>
          <w:p w14:paraId="3354CB2D">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0.023</w:t>
            </w:r>
          </w:p>
        </w:tc>
        <w:tc>
          <w:tcPr>
            <w:tcW w:w="653" w:type="pct"/>
            <w:shd w:val="clear" w:color="auto" w:fill="auto"/>
            <w:vAlign w:val="center"/>
          </w:tcPr>
          <w:p w14:paraId="4BB19932">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0.028</w:t>
            </w:r>
          </w:p>
        </w:tc>
        <w:tc>
          <w:tcPr>
            <w:tcW w:w="730" w:type="pct"/>
            <w:shd w:val="clear" w:color="auto" w:fill="auto"/>
            <w:vAlign w:val="center"/>
          </w:tcPr>
          <w:p w14:paraId="04F52168">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w:t>
            </w:r>
          </w:p>
        </w:tc>
      </w:tr>
      <w:tr w14:paraId="775B07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79" w:type="pct"/>
            <w:vMerge w:val="continue"/>
          </w:tcPr>
          <w:p w14:paraId="057CB968">
            <w:pPr>
              <w:jc w:val="center"/>
              <w:rPr>
                <w:rFonts w:ascii="Times New Roman" w:hAnsi="Times New Roman" w:eastAsia="宋体" w:cs="Times New Roman"/>
                <w:color w:val="auto"/>
                <w:szCs w:val="21"/>
                <w:lang w:eastAsia="en-US"/>
              </w:rPr>
            </w:pPr>
          </w:p>
        </w:tc>
        <w:tc>
          <w:tcPr>
            <w:tcW w:w="724" w:type="pct"/>
            <w:vMerge w:val="restart"/>
            <w:shd w:val="clear" w:color="auto" w:fill="auto"/>
            <w:vAlign w:val="center"/>
          </w:tcPr>
          <w:p w14:paraId="00531C5F">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氨</w:t>
            </w:r>
          </w:p>
        </w:tc>
        <w:tc>
          <w:tcPr>
            <w:tcW w:w="1320" w:type="pct"/>
            <w:shd w:val="clear" w:color="auto" w:fill="auto"/>
            <w:vAlign w:val="center"/>
          </w:tcPr>
          <w:p w14:paraId="181C10DA">
            <w:pPr>
              <w:jc w:val="center"/>
              <w:rPr>
                <w:rFonts w:hint="eastAsia" w:ascii="Times New Roman" w:hAnsi="Times New Roman" w:eastAsia="宋体" w:cs="Times New Roman"/>
                <w:color w:val="auto"/>
                <w:kern w:val="2"/>
                <w:sz w:val="18"/>
                <w:szCs w:val="18"/>
                <w:lang w:val="en-US" w:eastAsia="en-US" w:bidi="ar-SA"/>
              </w:rPr>
            </w:pPr>
            <w:r>
              <w:rPr>
                <w:rFonts w:ascii="Times New Roman" w:hAnsi="Times New Roman" w:eastAsia="宋体" w:cs="Times New Roman"/>
                <w:color w:val="auto"/>
                <w:sz w:val="18"/>
                <w:szCs w:val="18"/>
                <w:lang w:eastAsia="en-US"/>
              </w:rPr>
              <w:t>排放浓度（mg/</w:t>
            </w:r>
            <w:r>
              <w:rPr>
                <w:rFonts w:hint="eastAsia" w:ascii="Times New Roman" w:hAnsi="Times New Roman" w:eastAsia="宋体" w:cs="Times New Roman"/>
                <w:color w:val="auto"/>
                <w:sz w:val="18"/>
                <w:szCs w:val="18"/>
                <w:lang w:eastAsia="zh-CN"/>
              </w:rPr>
              <w:t>m</w:t>
            </w:r>
            <w:r>
              <w:rPr>
                <w:rFonts w:hint="eastAsia" w:ascii="Times New Roman" w:hAnsi="Times New Roman" w:eastAsia="宋体" w:cs="Times New Roman"/>
                <w:color w:val="auto"/>
                <w:sz w:val="18"/>
                <w:szCs w:val="18"/>
                <w:vertAlign w:val="superscript"/>
                <w:lang w:eastAsia="zh-CN"/>
              </w:rPr>
              <w:t>3</w:t>
            </w:r>
            <w:r>
              <w:rPr>
                <w:rFonts w:ascii="Times New Roman" w:hAnsi="Times New Roman" w:eastAsia="宋体" w:cs="Times New Roman"/>
                <w:color w:val="auto"/>
                <w:sz w:val="18"/>
                <w:szCs w:val="18"/>
                <w:lang w:eastAsia="en-US"/>
              </w:rPr>
              <w:t>）</w:t>
            </w:r>
          </w:p>
        </w:tc>
        <w:tc>
          <w:tcPr>
            <w:tcW w:w="596" w:type="pct"/>
            <w:shd w:val="clear" w:color="auto" w:fill="auto"/>
            <w:vAlign w:val="center"/>
          </w:tcPr>
          <w:p w14:paraId="55936EE9">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1.07</w:t>
            </w:r>
          </w:p>
        </w:tc>
        <w:tc>
          <w:tcPr>
            <w:tcW w:w="595" w:type="pct"/>
            <w:shd w:val="clear" w:color="auto" w:fill="auto"/>
            <w:vAlign w:val="center"/>
          </w:tcPr>
          <w:p w14:paraId="6C2B5E6E">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1.12</w:t>
            </w:r>
          </w:p>
        </w:tc>
        <w:tc>
          <w:tcPr>
            <w:tcW w:w="653" w:type="pct"/>
            <w:shd w:val="clear" w:color="auto" w:fill="auto"/>
            <w:vAlign w:val="center"/>
          </w:tcPr>
          <w:p w14:paraId="6DEE8FF9">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1.10</w:t>
            </w:r>
          </w:p>
        </w:tc>
        <w:tc>
          <w:tcPr>
            <w:tcW w:w="730" w:type="pct"/>
            <w:shd w:val="clear" w:color="auto" w:fill="auto"/>
            <w:vAlign w:val="center"/>
          </w:tcPr>
          <w:p w14:paraId="3D217DEF">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30</w:t>
            </w:r>
          </w:p>
        </w:tc>
      </w:tr>
      <w:tr w14:paraId="48E6A3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79" w:type="pct"/>
            <w:vMerge w:val="continue"/>
          </w:tcPr>
          <w:p w14:paraId="6F97F86A">
            <w:pPr>
              <w:jc w:val="center"/>
              <w:rPr>
                <w:rFonts w:ascii="Times New Roman" w:hAnsi="Times New Roman" w:eastAsia="宋体" w:cs="Times New Roman"/>
                <w:color w:val="auto"/>
                <w:szCs w:val="21"/>
                <w:lang w:eastAsia="en-US"/>
              </w:rPr>
            </w:pPr>
          </w:p>
        </w:tc>
        <w:tc>
          <w:tcPr>
            <w:tcW w:w="724" w:type="pct"/>
            <w:vMerge w:val="continue"/>
          </w:tcPr>
          <w:p w14:paraId="3E7D334B">
            <w:pPr>
              <w:jc w:val="center"/>
              <w:rPr>
                <w:rFonts w:hint="eastAsia" w:ascii="Times New Roman" w:hAnsi="Times New Roman" w:eastAsia="宋体" w:cs="Times New Roman"/>
                <w:color w:val="auto"/>
                <w:szCs w:val="21"/>
                <w:lang w:val="en-US" w:eastAsia="zh-CN"/>
              </w:rPr>
            </w:pPr>
          </w:p>
        </w:tc>
        <w:tc>
          <w:tcPr>
            <w:tcW w:w="1320" w:type="pct"/>
            <w:shd w:val="clear" w:color="auto" w:fill="auto"/>
            <w:vAlign w:val="center"/>
          </w:tcPr>
          <w:p w14:paraId="22172A2E">
            <w:pPr>
              <w:jc w:val="center"/>
              <w:rPr>
                <w:rFonts w:hint="eastAsia" w:ascii="Times New Roman" w:hAnsi="Times New Roman" w:eastAsia="宋体" w:cs="Times New Roman"/>
                <w:color w:val="auto"/>
                <w:kern w:val="2"/>
                <w:sz w:val="18"/>
                <w:szCs w:val="18"/>
                <w:lang w:val="en-US" w:eastAsia="en-US" w:bidi="ar-SA"/>
              </w:rPr>
            </w:pPr>
            <w:r>
              <w:rPr>
                <w:rFonts w:ascii="Times New Roman" w:hAnsi="Times New Roman" w:eastAsia="宋体" w:cs="Times New Roman"/>
                <w:color w:val="auto"/>
                <w:sz w:val="18"/>
                <w:szCs w:val="18"/>
                <w:lang w:eastAsia="en-US"/>
              </w:rPr>
              <w:t>排放速率（kg/h）</w:t>
            </w:r>
          </w:p>
        </w:tc>
        <w:tc>
          <w:tcPr>
            <w:tcW w:w="596" w:type="pct"/>
            <w:shd w:val="clear" w:color="auto" w:fill="auto"/>
            <w:vAlign w:val="center"/>
          </w:tcPr>
          <w:p w14:paraId="10E9255A">
            <w:pPr>
              <w:tabs>
                <w:tab w:val="left" w:pos="531"/>
              </w:tabs>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0.0045</w:t>
            </w:r>
          </w:p>
        </w:tc>
        <w:tc>
          <w:tcPr>
            <w:tcW w:w="595" w:type="pct"/>
            <w:shd w:val="clear" w:color="auto" w:fill="auto"/>
            <w:vAlign w:val="center"/>
          </w:tcPr>
          <w:p w14:paraId="03A5CCAE">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0.0047</w:t>
            </w:r>
          </w:p>
        </w:tc>
        <w:tc>
          <w:tcPr>
            <w:tcW w:w="653" w:type="pct"/>
            <w:shd w:val="clear" w:color="auto" w:fill="auto"/>
            <w:vAlign w:val="center"/>
          </w:tcPr>
          <w:p w14:paraId="6ED7011D">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0.0045</w:t>
            </w:r>
          </w:p>
        </w:tc>
        <w:tc>
          <w:tcPr>
            <w:tcW w:w="730" w:type="pct"/>
            <w:shd w:val="clear" w:color="auto" w:fill="auto"/>
            <w:vAlign w:val="center"/>
          </w:tcPr>
          <w:p w14:paraId="1DB908B9">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w:t>
            </w:r>
          </w:p>
        </w:tc>
      </w:tr>
      <w:tr w14:paraId="65DF34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79" w:type="pct"/>
            <w:vMerge w:val="continue"/>
          </w:tcPr>
          <w:p w14:paraId="43493DD5">
            <w:pPr>
              <w:jc w:val="center"/>
              <w:rPr>
                <w:rFonts w:ascii="Times New Roman" w:hAnsi="Times New Roman" w:eastAsia="宋体" w:cs="Times New Roman"/>
                <w:color w:val="auto"/>
                <w:szCs w:val="21"/>
                <w:lang w:eastAsia="en-US"/>
              </w:rPr>
            </w:pPr>
          </w:p>
        </w:tc>
        <w:tc>
          <w:tcPr>
            <w:tcW w:w="724" w:type="pct"/>
            <w:vMerge w:val="restart"/>
            <w:shd w:val="clear" w:color="auto" w:fill="auto"/>
            <w:vAlign w:val="center"/>
          </w:tcPr>
          <w:p w14:paraId="710BDB29">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硫化氢</w:t>
            </w:r>
          </w:p>
        </w:tc>
        <w:tc>
          <w:tcPr>
            <w:tcW w:w="1320" w:type="pct"/>
            <w:shd w:val="clear" w:color="auto" w:fill="auto"/>
            <w:vAlign w:val="center"/>
          </w:tcPr>
          <w:p w14:paraId="51B3F749">
            <w:pPr>
              <w:jc w:val="center"/>
              <w:rPr>
                <w:rFonts w:hint="eastAsia" w:ascii="Times New Roman" w:hAnsi="Times New Roman" w:eastAsia="宋体" w:cs="Times New Roman"/>
                <w:color w:val="auto"/>
                <w:kern w:val="2"/>
                <w:sz w:val="18"/>
                <w:szCs w:val="18"/>
                <w:lang w:val="en-US" w:eastAsia="en-US" w:bidi="ar-SA"/>
              </w:rPr>
            </w:pPr>
            <w:r>
              <w:rPr>
                <w:rFonts w:ascii="Times New Roman" w:hAnsi="Times New Roman" w:eastAsia="宋体" w:cs="Times New Roman"/>
                <w:color w:val="auto"/>
                <w:sz w:val="18"/>
                <w:szCs w:val="18"/>
                <w:lang w:eastAsia="en-US"/>
              </w:rPr>
              <w:t>排放浓度（mg/</w:t>
            </w:r>
            <w:r>
              <w:rPr>
                <w:rFonts w:hint="eastAsia" w:ascii="Times New Roman" w:hAnsi="Times New Roman" w:eastAsia="宋体" w:cs="Times New Roman"/>
                <w:color w:val="auto"/>
                <w:sz w:val="18"/>
                <w:szCs w:val="18"/>
                <w:lang w:eastAsia="zh-CN"/>
              </w:rPr>
              <w:t>m</w:t>
            </w:r>
            <w:r>
              <w:rPr>
                <w:rFonts w:hint="eastAsia" w:ascii="Times New Roman" w:hAnsi="Times New Roman" w:eastAsia="宋体" w:cs="Times New Roman"/>
                <w:color w:val="auto"/>
                <w:sz w:val="18"/>
                <w:szCs w:val="18"/>
                <w:vertAlign w:val="superscript"/>
                <w:lang w:eastAsia="zh-CN"/>
              </w:rPr>
              <w:t>3</w:t>
            </w:r>
            <w:r>
              <w:rPr>
                <w:rFonts w:ascii="Times New Roman" w:hAnsi="Times New Roman" w:eastAsia="宋体" w:cs="Times New Roman"/>
                <w:color w:val="auto"/>
                <w:sz w:val="18"/>
                <w:szCs w:val="18"/>
                <w:lang w:eastAsia="en-US"/>
              </w:rPr>
              <w:t>）</w:t>
            </w:r>
          </w:p>
        </w:tc>
        <w:tc>
          <w:tcPr>
            <w:tcW w:w="596" w:type="pct"/>
            <w:shd w:val="clear" w:color="auto" w:fill="auto"/>
            <w:vAlign w:val="center"/>
          </w:tcPr>
          <w:p w14:paraId="34896820">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0.024</w:t>
            </w:r>
          </w:p>
        </w:tc>
        <w:tc>
          <w:tcPr>
            <w:tcW w:w="595" w:type="pct"/>
            <w:shd w:val="clear" w:color="auto" w:fill="auto"/>
            <w:vAlign w:val="center"/>
          </w:tcPr>
          <w:p w14:paraId="18D8D241">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0.032</w:t>
            </w:r>
          </w:p>
        </w:tc>
        <w:tc>
          <w:tcPr>
            <w:tcW w:w="653" w:type="pct"/>
            <w:shd w:val="clear" w:color="auto" w:fill="auto"/>
            <w:vAlign w:val="center"/>
          </w:tcPr>
          <w:p w14:paraId="1A8C4A87">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0.062</w:t>
            </w:r>
          </w:p>
        </w:tc>
        <w:tc>
          <w:tcPr>
            <w:tcW w:w="730" w:type="pct"/>
            <w:shd w:val="clear" w:color="auto" w:fill="auto"/>
            <w:vAlign w:val="center"/>
          </w:tcPr>
          <w:p w14:paraId="5DEBE643">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w:t>
            </w:r>
          </w:p>
        </w:tc>
      </w:tr>
      <w:tr w14:paraId="0467D6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79" w:type="pct"/>
            <w:vMerge w:val="continue"/>
          </w:tcPr>
          <w:p w14:paraId="4B01EC2F">
            <w:pPr>
              <w:jc w:val="center"/>
              <w:rPr>
                <w:rFonts w:ascii="Times New Roman" w:hAnsi="Times New Roman" w:eastAsia="宋体" w:cs="Times New Roman"/>
                <w:color w:val="auto"/>
                <w:szCs w:val="21"/>
                <w:lang w:eastAsia="en-US"/>
              </w:rPr>
            </w:pPr>
          </w:p>
        </w:tc>
        <w:tc>
          <w:tcPr>
            <w:tcW w:w="724" w:type="pct"/>
            <w:vMerge w:val="continue"/>
          </w:tcPr>
          <w:p w14:paraId="38D70A58">
            <w:pPr>
              <w:jc w:val="center"/>
              <w:rPr>
                <w:rFonts w:hint="eastAsia" w:ascii="Times New Roman" w:hAnsi="Times New Roman" w:eastAsia="宋体" w:cs="Times New Roman"/>
                <w:color w:val="auto"/>
                <w:szCs w:val="21"/>
                <w:lang w:val="en-US" w:eastAsia="zh-CN"/>
              </w:rPr>
            </w:pPr>
          </w:p>
        </w:tc>
        <w:tc>
          <w:tcPr>
            <w:tcW w:w="1320" w:type="pct"/>
            <w:shd w:val="clear" w:color="auto" w:fill="auto"/>
            <w:vAlign w:val="center"/>
          </w:tcPr>
          <w:p w14:paraId="6343A4F5">
            <w:pPr>
              <w:jc w:val="center"/>
              <w:rPr>
                <w:rFonts w:hint="eastAsia" w:ascii="Times New Roman" w:hAnsi="Times New Roman" w:eastAsia="宋体" w:cs="Times New Roman"/>
                <w:color w:val="auto"/>
                <w:kern w:val="2"/>
                <w:sz w:val="18"/>
                <w:szCs w:val="18"/>
                <w:lang w:val="en-US" w:eastAsia="en-US" w:bidi="ar-SA"/>
              </w:rPr>
            </w:pPr>
            <w:r>
              <w:rPr>
                <w:rFonts w:ascii="Times New Roman" w:hAnsi="Times New Roman" w:eastAsia="宋体" w:cs="Times New Roman"/>
                <w:color w:val="auto"/>
                <w:sz w:val="18"/>
                <w:szCs w:val="18"/>
                <w:lang w:eastAsia="en-US"/>
              </w:rPr>
              <w:t>排放速率（kg/h）</w:t>
            </w:r>
          </w:p>
        </w:tc>
        <w:tc>
          <w:tcPr>
            <w:tcW w:w="596" w:type="pct"/>
            <w:shd w:val="clear" w:color="auto" w:fill="auto"/>
            <w:vAlign w:val="center"/>
          </w:tcPr>
          <w:p w14:paraId="6CE62CD7">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0.00010</w:t>
            </w:r>
          </w:p>
        </w:tc>
        <w:tc>
          <w:tcPr>
            <w:tcW w:w="595" w:type="pct"/>
            <w:shd w:val="clear" w:color="auto" w:fill="auto"/>
            <w:vAlign w:val="center"/>
          </w:tcPr>
          <w:p w14:paraId="2C54EDF2">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0.00013</w:t>
            </w:r>
          </w:p>
        </w:tc>
        <w:tc>
          <w:tcPr>
            <w:tcW w:w="653" w:type="pct"/>
            <w:shd w:val="clear" w:color="auto" w:fill="auto"/>
            <w:vAlign w:val="center"/>
          </w:tcPr>
          <w:p w14:paraId="4F445112">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0.00025</w:t>
            </w:r>
          </w:p>
        </w:tc>
        <w:tc>
          <w:tcPr>
            <w:tcW w:w="730" w:type="pct"/>
            <w:shd w:val="clear" w:color="auto" w:fill="auto"/>
            <w:vAlign w:val="center"/>
          </w:tcPr>
          <w:p w14:paraId="76C69A38">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0.33</w:t>
            </w:r>
          </w:p>
        </w:tc>
      </w:tr>
      <w:tr w14:paraId="0D1CC2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79" w:type="pct"/>
            <w:vMerge w:val="continue"/>
          </w:tcPr>
          <w:p w14:paraId="72F82949">
            <w:pPr>
              <w:jc w:val="center"/>
              <w:rPr>
                <w:rFonts w:ascii="Times New Roman" w:hAnsi="Times New Roman" w:eastAsia="宋体" w:cs="Times New Roman"/>
                <w:color w:val="auto"/>
                <w:szCs w:val="21"/>
                <w:lang w:eastAsia="en-US"/>
              </w:rPr>
            </w:pPr>
          </w:p>
        </w:tc>
        <w:tc>
          <w:tcPr>
            <w:tcW w:w="724" w:type="pct"/>
          </w:tcPr>
          <w:p w14:paraId="52FD1175">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臭气浓度</w:t>
            </w:r>
          </w:p>
        </w:tc>
        <w:tc>
          <w:tcPr>
            <w:tcW w:w="1320" w:type="pct"/>
            <w:shd w:val="clear" w:color="auto" w:fill="auto"/>
            <w:vAlign w:val="center"/>
          </w:tcPr>
          <w:p w14:paraId="58CB6C97">
            <w:pPr>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无量纲</w:t>
            </w:r>
          </w:p>
        </w:tc>
        <w:tc>
          <w:tcPr>
            <w:tcW w:w="596" w:type="pct"/>
            <w:shd w:val="clear" w:color="auto" w:fill="auto"/>
            <w:vAlign w:val="center"/>
          </w:tcPr>
          <w:p w14:paraId="09231C95">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724</w:t>
            </w:r>
          </w:p>
        </w:tc>
        <w:tc>
          <w:tcPr>
            <w:tcW w:w="595" w:type="pct"/>
            <w:shd w:val="clear" w:color="auto" w:fill="auto"/>
            <w:vAlign w:val="center"/>
          </w:tcPr>
          <w:p w14:paraId="472030DC">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416</w:t>
            </w:r>
          </w:p>
        </w:tc>
        <w:tc>
          <w:tcPr>
            <w:tcW w:w="653" w:type="pct"/>
            <w:shd w:val="clear" w:color="auto" w:fill="auto"/>
            <w:vAlign w:val="center"/>
          </w:tcPr>
          <w:p w14:paraId="7FB63B65">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549</w:t>
            </w:r>
          </w:p>
        </w:tc>
        <w:tc>
          <w:tcPr>
            <w:tcW w:w="730" w:type="pct"/>
            <w:shd w:val="clear" w:color="auto" w:fill="auto"/>
            <w:vAlign w:val="center"/>
          </w:tcPr>
          <w:p w14:paraId="2539ECAC">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2000</w:t>
            </w:r>
          </w:p>
        </w:tc>
      </w:tr>
      <w:tr w14:paraId="672EA4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79" w:type="pct"/>
            <w:vMerge w:val="restart"/>
            <w:shd w:val="clear" w:color="auto" w:fill="auto"/>
            <w:vAlign w:val="center"/>
          </w:tcPr>
          <w:p w14:paraId="41B879B0">
            <w:pPr>
              <w:jc w:val="center"/>
              <w:rPr>
                <w:rFonts w:hint="eastAsia" w:ascii="Times New Roman" w:hAnsi="Times New Roman" w:eastAsia="宋体" w:cs="Times New Roman"/>
                <w:b/>
                <w:bCs/>
                <w:color w:val="auto"/>
                <w:kern w:val="2"/>
                <w:sz w:val="18"/>
                <w:szCs w:val="18"/>
                <w:lang w:val="en-US" w:eastAsia="en-US" w:bidi="ar-SA"/>
              </w:rPr>
            </w:pPr>
            <w:r>
              <w:rPr>
                <w:rFonts w:ascii="Times New Roman" w:hAnsi="Times New Roman" w:eastAsia="宋体" w:cs="Times New Roman"/>
                <w:b/>
                <w:bCs/>
                <w:color w:val="auto"/>
                <w:sz w:val="18"/>
                <w:szCs w:val="18"/>
                <w:lang w:eastAsia="en-US"/>
              </w:rPr>
              <w:t>采样点位</w:t>
            </w:r>
          </w:p>
        </w:tc>
        <w:tc>
          <w:tcPr>
            <w:tcW w:w="2045" w:type="pct"/>
            <w:gridSpan w:val="2"/>
            <w:vMerge w:val="restart"/>
            <w:shd w:val="clear" w:color="auto" w:fill="auto"/>
            <w:vAlign w:val="center"/>
          </w:tcPr>
          <w:p w14:paraId="62CF9E82">
            <w:pPr>
              <w:jc w:val="center"/>
              <w:rPr>
                <w:rFonts w:hint="eastAsia" w:ascii="Times New Roman" w:hAnsi="Times New Roman" w:eastAsia="宋体" w:cs="Times New Roman"/>
                <w:color w:val="auto"/>
                <w:kern w:val="2"/>
                <w:sz w:val="18"/>
                <w:szCs w:val="18"/>
                <w:lang w:val="en-US" w:eastAsia="en-US" w:bidi="ar-SA"/>
              </w:rPr>
            </w:pPr>
            <w:r>
              <w:rPr>
                <w:rFonts w:ascii="Times New Roman" w:hAnsi="Times New Roman" w:eastAsia="宋体" w:cs="Times New Roman"/>
                <w:b/>
                <w:bCs/>
                <w:color w:val="auto"/>
                <w:sz w:val="18"/>
                <w:szCs w:val="18"/>
                <w:lang w:eastAsia="en-US"/>
              </w:rPr>
              <w:t>检测项目</w:t>
            </w:r>
          </w:p>
        </w:tc>
        <w:tc>
          <w:tcPr>
            <w:tcW w:w="2575" w:type="pct"/>
            <w:gridSpan w:val="4"/>
            <w:shd w:val="clear" w:color="auto" w:fill="auto"/>
            <w:vAlign w:val="center"/>
          </w:tcPr>
          <w:p w14:paraId="2F113008">
            <w:pPr>
              <w:jc w:val="center"/>
              <w:rPr>
                <w:rFonts w:hint="eastAsia" w:ascii="Times New Roman" w:hAnsi="Times New Roman" w:eastAsia="宋体" w:cs="Times New Roman"/>
                <w:color w:val="auto"/>
                <w:kern w:val="2"/>
                <w:sz w:val="18"/>
                <w:szCs w:val="18"/>
                <w:lang w:val="en-US" w:eastAsia="zh-CN" w:bidi="ar-SA"/>
              </w:rPr>
            </w:pPr>
            <w:r>
              <w:rPr>
                <w:rFonts w:ascii="Times New Roman" w:hAnsi="Times New Roman" w:eastAsia="宋体" w:cs="Times New Roman"/>
                <w:b/>
                <w:bCs/>
                <w:color w:val="auto"/>
                <w:sz w:val="18"/>
                <w:szCs w:val="18"/>
                <w:lang w:eastAsia="en-US"/>
              </w:rPr>
              <w:t>采样时间及检测结果</w:t>
            </w:r>
          </w:p>
        </w:tc>
      </w:tr>
      <w:tr w14:paraId="3BECF2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79" w:type="pct"/>
            <w:vMerge w:val="continue"/>
          </w:tcPr>
          <w:p w14:paraId="29F4C941">
            <w:pPr>
              <w:jc w:val="center"/>
              <w:rPr>
                <w:rFonts w:ascii="Times New Roman" w:hAnsi="Times New Roman" w:eastAsia="宋体" w:cs="Times New Roman"/>
                <w:color w:val="auto"/>
                <w:szCs w:val="21"/>
                <w:lang w:eastAsia="en-US"/>
              </w:rPr>
            </w:pPr>
          </w:p>
        </w:tc>
        <w:tc>
          <w:tcPr>
            <w:tcW w:w="2045" w:type="pct"/>
            <w:gridSpan w:val="2"/>
            <w:vMerge w:val="continue"/>
          </w:tcPr>
          <w:p w14:paraId="24392A1E">
            <w:pPr>
              <w:jc w:val="center"/>
              <w:rPr>
                <w:rFonts w:hint="default" w:ascii="Times New Roman" w:hAnsi="Times New Roman" w:eastAsia="宋体" w:cs="Times New Roman"/>
                <w:color w:val="auto"/>
                <w:kern w:val="2"/>
                <w:sz w:val="18"/>
                <w:szCs w:val="18"/>
                <w:lang w:val="en-US" w:eastAsia="en-US" w:bidi="ar-SA"/>
              </w:rPr>
            </w:pPr>
          </w:p>
        </w:tc>
        <w:tc>
          <w:tcPr>
            <w:tcW w:w="2575" w:type="pct"/>
            <w:gridSpan w:val="4"/>
            <w:shd w:val="clear" w:color="auto" w:fill="auto"/>
            <w:vAlign w:val="center"/>
          </w:tcPr>
          <w:p w14:paraId="290F6F47">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b/>
                <w:bCs/>
                <w:color w:val="auto"/>
                <w:sz w:val="18"/>
                <w:szCs w:val="18"/>
                <w:lang w:val="en-US" w:eastAsia="zh-CN"/>
              </w:rPr>
              <w:t>2024.5.7</w:t>
            </w:r>
          </w:p>
        </w:tc>
      </w:tr>
      <w:tr w14:paraId="3A1408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79" w:type="pct"/>
            <w:vMerge w:val="continue"/>
          </w:tcPr>
          <w:p w14:paraId="32F13C49">
            <w:pPr>
              <w:jc w:val="center"/>
              <w:rPr>
                <w:rFonts w:ascii="Times New Roman" w:hAnsi="Times New Roman" w:eastAsia="宋体" w:cs="Times New Roman"/>
                <w:color w:val="auto"/>
                <w:szCs w:val="21"/>
                <w:lang w:eastAsia="en-US"/>
              </w:rPr>
            </w:pPr>
          </w:p>
        </w:tc>
        <w:tc>
          <w:tcPr>
            <w:tcW w:w="2045" w:type="pct"/>
            <w:gridSpan w:val="2"/>
            <w:vMerge w:val="continue"/>
            <w:shd w:val="clear" w:color="auto" w:fill="auto"/>
            <w:vAlign w:val="center"/>
          </w:tcPr>
          <w:p w14:paraId="578D30B7">
            <w:pPr>
              <w:jc w:val="center"/>
              <w:rPr>
                <w:rFonts w:hint="eastAsia" w:ascii="Times New Roman" w:hAnsi="Times New Roman" w:eastAsia="宋体" w:cs="Times New Roman"/>
                <w:b/>
                <w:bCs/>
                <w:color w:val="auto"/>
                <w:kern w:val="2"/>
                <w:sz w:val="18"/>
                <w:szCs w:val="18"/>
                <w:lang w:val="en-US" w:eastAsia="en-US" w:bidi="ar-SA"/>
              </w:rPr>
            </w:pPr>
          </w:p>
        </w:tc>
        <w:tc>
          <w:tcPr>
            <w:tcW w:w="596" w:type="pct"/>
            <w:shd w:val="clear" w:color="auto" w:fill="auto"/>
            <w:vAlign w:val="center"/>
          </w:tcPr>
          <w:p w14:paraId="1D1C86A5">
            <w:pPr>
              <w:jc w:val="center"/>
              <w:rPr>
                <w:rFonts w:hint="eastAsia" w:ascii="Times New Roman" w:hAnsi="Times New Roman" w:eastAsia="宋体" w:cs="Times New Roman"/>
                <w:b/>
                <w:bCs/>
                <w:color w:val="auto"/>
                <w:kern w:val="2"/>
                <w:sz w:val="18"/>
                <w:szCs w:val="18"/>
                <w:lang w:val="en-US" w:eastAsia="zh-CN" w:bidi="ar-SA"/>
              </w:rPr>
            </w:pPr>
            <w:r>
              <w:rPr>
                <w:rFonts w:ascii="Times New Roman" w:hAnsi="Times New Roman" w:eastAsia="宋体" w:cs="Times New Roman"/>
                <w:b/>
                <w:bCs/>
                <w:color w:val="auto"/>
                <w:sz w:val="18"/>
                <w:szCs w:val="18"/>
                <w:lang w:eastAsia="en-US"/>
              </w:rPr>
              <w:t>第一次</w:t>
            </w:r>
          </w:p>
        </w:tc>
        <w:tc>
          <w:tcPr>
            <w:tcW w:w="595" w:type="pct"/>
            <w:shd w:val="clear" w:color="auto" w:fill="auto"/>
            <w:vAlign w:val="center"/>
          </w:tcPr>
          <w:p w14:paraId="73FC63A9">
            <w:pPr>
              <w:jc w:val="center"/>
              <w:rPr>
                <w:rFonts w:hint="eastAsia" w:ascii="Times New Roman" w:hAnsi="Times New Roman" w:eastAsia="宋体" w:cs="Times New Roman"/>
                <w:b/>
                <w:bCs/>
                <w:color w:val="auto"/>
                <w:kern w:val="2"/>
                <w:sz w:val="18"/>
                <w:szCs w:val="18"/>
                <w:lang w:val="en-US" w:eastAsia="zh-CN" w:bidi="ar-SA"/>
              </w:rPr>
            </w:pPr>
            <w:r>
              <w:rPr>
                <w:rFonts w:ascii="Times New Roman" w:hAnsi="Times New Roman" w:eastAsia="宋体" w:cs="Times New Roman"/>
                <w:b/>
                <w:bCs/>
                <w:color w:val="auto"/>
                <w:sz w:val="18"/>
                <w:szCs w:val="18"/>
                <w:lang w:eastAsia="en-US"/>
              </w:rPr>
              <w:t>第二次</w:t>
            </w:r>
          </w:p>
        </w:tc>
        <w:tc>
          <w:tcPr>
            <w:tcW w:w="653" w:type="pct"/>
            <w:shd w:val="clear" w:color="auto" w:fill="auto"/>
            <w:vAlign w:val="center"/>
          </w:tcPr>
          <w:p w14:paraId="00BE7F92">
            <w:pPr>
              <w:jc w:val="center"/>
              <w:rPr>
                <w:rFonts w:hint="eastAsia" w:ascii="Times New Roman" w:hAnsi="Times New Roman" w:eastAsia="宋体" w:cs="Times New Roman"/>
                <w:b/>
                <w:bCs/>
                <w:color w:val="auto"/>
                <w:kern w:val="2"/>
                <w:sz w:val="18"/>
                <w:szCs w:val="18"/>
                <w:lang w:val="en-US" w:eastAsia="zh-CN" w:bidi="ar-SA"/>
              </w:rPr>
            </w:pPr>
            <w:r>
              <w:rPr>
                <w:rFonts w:ascii="Times New Roman" w:hAnsi="Times New Roman" w:eastAsia="宋体" w:cs="Times New Roman"/>
                <w:b/>
                <w:bCs/>
                <w:color w:val="auto"/>
                <w:sz w:val="18"/>
                <w:szCs w:val="18"/>
                <w:lang w:eastAsia="en-US"/>
              </w:rPr>
              <w:t>第三次</w:t>
            </w:r>
          </w:p>
        </w:tc>
        <w:tc>
          <w:tcPr>
            <w:tcW w:w="730" w:type="pct"/>
            <w:shd w:val="clear" w:color="auto" w:fill="auto"/>
            <w:vAlign w:val="center"/>
          </w:tcPr>
          <w:p w14:paraId="3192E488">
            <w:pPr>
              <w:jc w:val="center"/>
              <w:rPr>
                <w:rFonts w:hint="eastAsia" w:ascii="Times New Roman" w:hAnsi="Times New Roman" w:eastAsia="宋体" w:cs="Times New Roman"/>
                <w:b/>
                <w:bCs/>
                <w:color w:val="auto"/>
                <w:kern w:val="2"/>
                <w:sz w:val="18"/>
                <w:szCs w:val="18"/>
                <w:lang w:val="en-US" w:eastAsia="zh-CN" w:bidi="ar-SA"/>
              </w:rPr>
            </w:pPr>
            <w:r>
              <w:rPr>
                <w:rFonts w:hint="eastAsia" w:ascii="Times New Roman" w:hAnsi="Times New Roman" w:eastAsia="宋体" w:cs="Times New Roman"/>
                <w:b/>
                <w:bCs/>
                <w:color w:val="auto"/>
                <w:sz w:val="18"/>
                <w:szCs w:val="18"/>
                <w:lang w:val="en-US" w:eastAsia="zh-CN"/>
              </w:rPr>
              <w:t>标准值</w:t>
            </w:r>
          </w:p>
        </w:tc>
      </w:tr>
      <w:tr w14:paraId="3B3B8E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79" w:type="pct"/>
            <w:vMerge w:val="restart"/>
            <w:shd w:val="clear" w:color="auto" w:fill="auto"/>
            <w:vAlign w:val="center"/>
          </w:tcPr>
          <w:p w14:paraId="5B6FAA94">
            <w:pPr>
              <w:jc w:val="center"/>
              <w:rPr>
                <w:rFonts w:ascii="Times New Roman" w:hAnsi="Times New Roman" w:eastAsia="宋体" w:cs="Times New Roman"/>
                <w:color w:val="auto"/>
                <w:kern w:val="2"/>
                <w:sz w:val="18"/>
                <w:szCs w:val="18"/>
                <w:lang w:val="en-US" w:eastAsia="en-US" w:bidi="ar-SA"/>
              </w:rPr>
            </w:pPr>
            <w:r>
              <w:rPr>
                <w:rFonts w:hint="eastAsia" w:ascii="Times New Roman" w:hAnsi="Times New Roman" w:eastAsia="宋体" w:cs="Times New Roman"/>
                <w:color w:val="auto"/>
                <w:sz w:val="18"/>
                <w:szCs w:val="18"/>
                <w:lang w:val="en-US" w:eastAsia="zh-CN"/>
              </w:rPr>
              <w:t>DA001车间废气处理设施出口</w:t>
            </w:r>
          </w:p>
        </w:tc>
        <w:tc>
          <w:tcPr>
            <w:tcW w:w="724" w:type="pct"/>
            <w:shd w:val="clear" w:color="auto" w:fill="auto"/>
            <w:vAlign w:val="center"/>
          </w:tcPr>
          <w:p w14:paraId="4BD6766C">
            <w:pPr>
              <w:jc w:val="center"/>
              <w:rPr>
                <w:rFonts w:hint="eastAsia" w:ascii="Times New Roman" w:hAnsi="Times New Roman" w:eastAsia="宋体" w:cs="Times New Roman"/>
                <w:color w:val="auto"/>
                <w:kern w:val="2"/>
                <w:sz w:val="18"/>
                <w:szCs w:val="18"/>
                <w:lang w:val="en-US" w:eastAsia="zh-CN" w:bidi="ar-SA"/>
              </w:rPr>
            </w:pPr>
            <w:r>
              <w:rPr>
                <w:rFonts w:ascii="Times New Roman" w:hAnsi="Times New Roman" w:eastAsia="宋体" w:cs="Times New Roman"/>
                <w:color w:val="auto"/>
                <w:sz w:val="18"/>
                <w:szCs w:val="18"/>
                <w:lang w:eastAsia="en-US"/>
              </w:rPr>
              <w:t>烟气流量</w:t>
            </w:r>
          </w:p>
        </w:tc>
        <w:tc>
          <w:tcPr>
            <w:tcW w:w="1320" w:type="pct"/>
            <w:shd w:val="clear" w:color="auto" w:fill="auto"/>
            <w:vAlign w:val="center"/>
          </w:tcPr>
          <w:p w14:paraId="611DABDE">
            <w:pPr>
              <w:jc w:val="center"/>
              <w:rPr>
                <w:rFonts w:hint="eastAsia" w:ascii="Times New Roman" w:hAnsi="Times New Roman" w:eastAsia="宋体" w:cs="Times New Roman"/>
                <w:color w:val="auto"/>
                <w:kern w:val="2"/>
                <w:sz w:val="18"/>
                <w:szCs w:val="18"/>
                <w:lang w:val="en-US" w:eastAsia="en-US" w:bidi="ar-SA"/>
              </w:rPr>
            </w:pPr>
            <w:r>
              <w:rPr>
                <w:rFonts w:ascii="Times New Roman" w:hAnsi="Times New Roman" w:eastAsia="宋体" w:cs="Times New Roman"/>
                <w:color w:val="auto"/>
                <w:sz w:val="18"/>
                <w:szCs w:val="18"/>
                <w:lang w:eastAsia="en-US"/>
              </w:rPr>
              <w:t>（N•</w:t>
            </w:r>
            <w:r>
              <w:rPr>
                <w:rFonts w:hint="eastAsia" w:ascii="Times New Roman" w:hAnsi="Times New Roman" w:eastAsia="宋体" w:cs="Times New Roman"/>
                <w:color w:val="auto"/>
                <w:sz w:val="18"/>
                <w:szCs w:val="18"/>
                <w:lang w:eastAsia="zh-CN"/>
              </w:rPr>
              <w:t>m</w:t>
            </w:r>
            <w:r>
              <w:rPr>
                <w:rFonts w:hint="eastAsia" w:ascii="Times New Roman" w:hAnsi="Times New Roman" w:eastAsia="宋体" w:cs="Times New Roman"/>
                <w:color w:val="auto"/>
                <w:sz w:val="18"/>
                <w:szCs w:val="18"/>
                <w:vertAlign w:val="superscript"/>
                <w:lang w:eastAsia="zh-CN"/>
              </w:rPr>
              <w:t>3</w:t>
            </w:r>
            <w:r>
              <w:rPr>
                <w:rFonts w:ascii="Times New Roman" w:hAnsi="Times New Roman" w:eastAsia="宋体" w:cs="Times New Roman"/>
                <w:color w:val="auto"/>
                <w:sz w:val="18"/>
                <w:szCs w:val="18"/>
                <w:lang w:eastAsia="en-US"/>
              </w:rPr>
              <w:t>/h）</w:t>
            </w:r>
          </w:p>
        </w:tc>
        <w:tc>
          <w:tcPr>
            <w:tcW w:w="596" w:type="pct"/>
            <w:shd w:val="clear" w:color="auto" w:fill="auto"/>
            <w:vAlign w:val="center"/>
          </w:tcPr>
          <w:p w14:paraId="30A005B6">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25725</w:t>
            </w:r>
          </w:p>
        </w:tc>
        <w:tc>
          <w:tcPr>
            <w:tcW w:w="595" w:type="pct"/>
            <w:shd w:val="clear" w:color="auto" w:fill="auto"/>
            <w:vAlign w:val="center"/>
          </w:tcPr>
          <w:p w14:paraId="457973BE">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26579</w:t>
            </w:r>
          </w:p>
        </w:tc>
        <w:tc>
          <w:tcPr>
            <w:tcW w:w="653" w:type="pct"/>
            <w:shd w:val="clear" w:color="auto" w:fill="auto"/>
            <w:vAlign w:val="center"/>
          </w:tcPr>
          <w:p w14:paraId="728E2EB4">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27377</w:t>
            </w:r>
          </w:p>
        </w:tc>
        <w:tc>
          <w:tcPr>
            <w:tcW w:w="730" w:type="pct"/>
            <w:shd w:val="clear" w:color="auto" w:fill="auto"/>
            <w:vAlign w:val="center"/>
          </w:tcPr>
          <w:p w14:paraId="52CA1575">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w:t>
            </w:r>
          </w:p>
        </w:tc>
      </w:tr>
      <w:tr w14:paraId="5C0533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79" w:type="pct"/>
            <w:vMerge w:val="continue"/>
          </w:tcPr>
          <w:p w14:paraId="0216501A">
            <w:pPr>
              <w:jc w:val="center"/>
              <w:rPr>
                <w:rFonts w:ascii="Times New Roman" w:hAnsi="Times New Roman" w:eastAsia="宋体" w:cs="Times New Roman"/>
                <w:color w:val="auto"/>
                <w:szCs w:val="21"/>
                <w:lang w:eastAsia="en-US"/>
              </w:rPr>
            </w:pPr>
          </w:p>
        </w:tc>
        <w:tc>
          <w:tcPr>
            <w:tcW w:w="724" w:type="pct"/>
            <w:vMerge w:val="restart"/>
            <w:shd w:val="clear" w:color="auto" w:fill="auto"/>
            <w:vAlign w:val="center"/>
          </w:tcPr>
          <w:p w14:paraId="3BE1C96D">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颗粒物</w:t>
            </w:r>
          </w:p>
        </w:tc>
        <w:tc>
          <w:tcPr>
            <w:tcW w:w="1320" w:type="pct"/>
            <w:shd w:val="clear" w:color="auto" w:fill="auto"/>
            <w:vAlign w:val="center"/>
          </w:tcPr>
          <w:p w14:paraId="49509E45">
            <w:pPr>
              <w:jc w:val="center"/>
              <w:rPr>
                <w:rFonts w:hint="eastAsia" w:ascii="Times New Roman" w:hAnsi="Times New Roman" w:eastAsia="宋体" w:cs="Times New Roman"/>
                <w:color w:val="auto"/>
                <w:kern w:val="2"/>
                <w:sz w:val="18"/>
                <w:szCs w:val="18"/>
                <w:lang w:val="en-US" w:eastAsia="en-US" w:bidi="ar-SA"/>
              </w:rPr>
            </w:pPr>
            <w:r>
              <w:rPr>
                <w:rFonts w:ascii="Times New Roman" w:hAnsi="Times New Roman" w:eastAsia="宋体" w:cs="Times New Roman"/>
                <w:color w:val="auto"/>
                <w:sz w:val="18"/>
                <w:szCs w:val="18"/>
                <w:lang w:eastAsia="en-US"/>
              </w:rPr>
              <w:t>排放浓度（mg/</w:t>
            </w:r>
            <w:r>
              <w:rPr>
                <w:rFonts w:hint="eastAsia" w:ascii="Times New Roman" w:hAnsi="Times New Roman" w:eastAsia="宋体" w:cs="Times New Roman"/>
                <w:color w:val="auto"/>
                <w:sz w:val="18"/>
                <w:szCs w:val="18"/>
                <w:lang w:eastAsia="zh-CN"/>
              </w:rPr>
              <w:t>m</w:t>
            </w:r>
            <w:r>
              <w:rPr>
                <w:rFonts w:hint="eastAsia" w:ascii="Times New Roman" w:hAnsi="Times New Roman" w:eastAsia="宋体" w:cs="Times New Roman"/>
                <w:color w:val="auto"/>
                <w:sz w:val="18"/>
                <w:szCs w:val="18"/>
                <w:vertAlign w:val="superscript"/>
                <w:lang w:eastAsia="zh-CN"/>
              </w:rPr>
              <w:t>3</w:t>
            </w:r>
            <w:r>
              <w:rPr>
                <w:rFonts w:ascii="Times New Roman" w:hAnsi="Times New Roman" w:eastAsia="宋体" w:cs="Times New Roman"/>
                <w:color w:val="auto"/>
                <w:sz w:val="18"/>
                <w:szCs w:val="18"/>
                <w:lang w:eastAsia="en-US"/>
              </w:rPr>
              <w:t>）</w:t>
            </w:r>
          </w:p>
        </w:tc>
        <w:tc>
          <w:tcPr>
            <w:tcW w:w="596" w:type="pct"/>
            <w:shd w:val="clear" w:color="auto" w:fill="auto"/>
            <w:vAlign w:val="center"/>
          </w:tcPr>
          <w:p w14:paraId="4E611C17">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6.9</w:t>
            </w:r>
          </w:p>
        </w:tc>
        <w:tc>
          <w:tcPr>
            <w:tcW w:w="595" w:type="pct"/>
            <w:shd w:val="clear" w:color="auto" w:fill="auto"/>
            <w:vAlign w:val="center"/>
          </w:tcPr>
          <w:p w14:paraId="671F06DA">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7.8</w:t>
            </w:r>
          </w:p>
        </w:tc>
        <w:tc>
          <w:tcPr>
            <w:tcW w:w="653" w:type="pct"/>
            <w:shd w:val="clear" w:color="auto" w:fill="auto"/>
            <w:vAlign w:val="center"/>
          </w:tcPr>
          <w:p w14:paraId="0B5283B8">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9.1</w:t>
            </w:r>
          </w:p>
        </w:tc>
        <w:tc>
          <w:tcPr>
            <w:tcW w:w="730" w:type="pct"/>
            <w:shd w:val="clear" w:color="auto" w:fill="auto"/>
            <w:vAlign w:val="center"/>
          </w:tcPr>
          <w:p w14:paraId="2CD4076F">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30</w:t>
            </w:r>
          </w:p>
        </w:tc>
      </w:tr>
      <w:tr w14:paraId="428749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79" w:type="pct"/>
            <w:vMerge w:val="continue"/>
          </w:tcPr>
          <w:p w14:paraId="098C2679">
            <w:pPr>
              <w:jc w:val="center"/>
              <w:rPr>
                <w:rFonts w:ascii="Times New Roman" w:hAnsi="Times New Roman" w:eastAsia="宋体" w:cs="Times New Roman"/>
                <w:color w:val="auto"/>
                <w:szCs w:val="21"/>
                <w:lang w:eastAsia="en-US"/>
              </w:rPr>
            </w:pPr>
          </w:p>
        </w:tc>
        <w:tc>
          <w:tcPr>
            <w:tcW w:w="724" w:type="pct"/>
            <w:vMerge w:val="continue"/>
          </w:tcPr>
          <w:p w14:paraId="10F1DED5">
            <w:pPr>
              <w:jc w:val="center"/>
              <w:rPr>
                <w:rFonts w:hint="eastAsia" w:ascii="Times New Roman" w:hAnsi="Times New Roman" w:eastAsia="宋体" w:cs="Times New Roman"/>
                <w:color w:val="auto"/>
                <w:szCs w:val="21"/>
                <w:lang w:val="en-US" w:eastAsia="zh-CN"/>
              </w:rPr>
            </w:pPr>
          </w:p>
        </w:tc>
        <w:tc>
          <w:tcPr>
            <w:tcW w:w="1320" w:type="pct"/>
            <w:shd w:val="clear" w:color="auto" w:fill="auto"/>
            <w:vAlign w:val="center"/>
          </w:tcPr>
          <w:p w14:paraId="1F36933A">
            <w:pPr>
              <w:jc w:val="center"/>
              <w:rPr>
                <w:rFonts w:hint="eastAsia" w:ascii="Times New Roman" w:hAnsi="Times New Roman" w:eastAsia="宋体" w:cs="Times New Roman"/>
                <w:color w:val="auto"/>
                <w:kern w:val="2"/>
                <w:sz w:val="18"/>
                <w:szCs w:val="18"/>
                <w:lang w:val="en-US" w:eastAsia="en-US" w:bidi="ar-SA"/>
              </w:rPr>
            </w:pPr>
            <w:r>
              <w:rPr>
                <w:rFonts w:ascii="Times New Roman" w:hAnsi="Times New Roman" w:eastAsia="宋体" w:cs="Times New Roman"/>
                <w:color w:val="auto"/>
                <w:sz w:val="18"/>
                <w:szCs w:val="18"/>
                <w:lang w:eastAsia="en-US"/>
              </w:rPr>
              <w:t>排放速率（kg/h）</w:t>
            </w:r>
          </w:p>
        </w:tc>
        <w:tc>
          <w:tcPr>
            <w:tcW w:w="596" w:type="pct"/>
            <w:shd w:val="clear" w:color="auto" w:fill="auto"/>
            <w:vAlign w:val="center"/>
          </w:tcPr>
          <w:p w14:paraId="35CF7AAD">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0.18</w:t>
            </w:r>
          </w:p>
        </w:tc>
        <w:tc>
          <w:tcPr>
            <w:tcW w:w="595" w:type="pct"/>
            <w:shd w:val="clear" w:color="auto" w:fill="auto"/>
            <w:vAlign w:val="center"/>
          </w:tcPr>
          <w:p w14:paraId="6EB4D257">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0.21</w:t>
            </w:r>
          </w:p>
        </w:tc>
        <w:tc>
          <w:tcPr>
            <w:tcW w:w="653" w:type="pct"/>
            <w:shd w:val="clear" w:color="auto" w:fill="auto"/>
            <w:vAlign w:val="center"/>
          </w:tcPr>
          <w:p w14:paraId="1A9D3CE5">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0.25</w:t>
            </w:r>
          </w:p>
        </w:tc>
        <w:tc>
          <w:tcPr>
            <w:tcW w:w="730" w:type="pct"/>
            <w:shd w:val="clear" w:color="auto" w:fill="auto"/>
            <w:vAlign w:val="center"/>
          </w:tcPr>
          <w:p w14:paraId="394D5745">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w:t>
            </w:r>
          </w:p>
        </w:tc>
      </w:tr>
      <w:tr w14:paraId="46FB1D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79" w:type="pct"/>
            <w:vMerge w:val="continue"/>
          </w:tcPr>
          <w:p w14:paraId="5B810FB4">
            <w:pPr>
              <w:jc w:val="center"/>
              <w:rPr>
                <w:rFonts w:ascii="Times New Roman" w:hAnsi="Times New Roman" w:eastAsia="宋体" w:cs="Times New Roman"/>
                <w:color w:val="auto"/>
                <w:szCs w:val="21"/>
                <w:lang w:eastAsia="en-US"/>
              </w:rPr>
            </w:pPr>
          </w:p>
        </w:tc>
        <w:tc>
          <w:tcPr>
            <w:tcW w:w="724" w:type="pct"/>
            <w:vMerge w:val="restart"/>
            <w:shd w:val="clear" w:color="auto" w:fill="auto"/>
            <w:vAlign w:val="center"/>
          </w:tcPr>
          <w:p w14:paraId="15F0B9E8">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挥发性有机物</w:t>
            </w:r>
          </w:p>
        </w:tc>
        <w:tc>
          <w:tcPr>
            <w:tcW w:w="1320" w:type="pct"/>
            <w:shd w:val="clear" w:color="auto" w:fill="auto"/>
            <w:vAlign w:val="center"/>
          </w:tcPr>
          <w:p w14:paraId="39968874">
            <w:pPr>
              <w:jc w:val="center"/>
              <w:rPr>
                <w:rFonts w:hint="eastAsia" w:ascii="Times New Roman" w:hAnsi="Times New Roman" w:eastAsia="宋体" w:cs="Times New Roman"/>
                <w:color w:val="auto"/>
                <w:kern w:val="2"/>
                <w:sz w:val="18"/>
                <w:szCs w:val="18"/>
                <w:lang w:val="en-US" w:eastAsia="en-US" w:bidi="ar-SA"/>
              </w:rPr>
            </w:pPr>
            <w:r>
              <w:rPr>
                <w:rFonts w:ascii="Times New Roman" w:hAnsi="Times New Roman" w:eastAsia="宋体" w:cs="Times New Roman"/>
                <w:color w:val="auto"/>
                <w:sz w:val="18"/>
                <w:szCs w:val="18"/>
                <w:lang w:eastAsia="en-US"/>
              </w:rPr>
              <w:t>排放浓度（mg/</w:t>
            </w:r>
            <w:r>
              <w:rPr>
                <w:rFonts w:hint="eastAsia" w:ascii="Times New Roman" w:hAnsi="Times New Roman" w:eastAsia="宋体" w:cs="Times New Roman"/>
                <w:color w:val="auto"/>
                <w:sz w:val="18"/>
                <w:szCs w:val="18"/>
                <w:lang w:eastAsia="zh-CN"/>
              </w:rPr>
              <w:t>m</w:t>
            </w:r>
            <w:r>
              <w:rPr>
                <w:rFonts w:hint="eastAsia" w:ascii="Times New Roman" w:hAnsi="Times New Roman" w:eastAsia="宋体" w:cs="Times New Roman"/>
                <w:color w:val="auto"/>
                <w:sz w:val="18"/>
                <w:szCs w:val="18"/>
                <w:vertAlign w:val="superscript"/>
                <w:lang w:eastAsia="zh-CN"/>
              </w:rPr>
              <w:t>3</w:t>
            </w:r>
            <w:r>
              <w:rPr>
                <w:rFonts w:ascii="Times New Roman" w:hAnsi="Times New Roman" w:eastAsia="宋体" w:cs="Times New Roman"/>
                <w:color w:val="auto"/>
                <w:sz w:val="18"/>
                <w:szCs w:val="18"/>
                <w:lang w:eastAsia="en-US"/>
              </w:rPr>
              <w:t>）</w:t>
            </w:r>
          </w:p>
        </w:tc>
        <w:tc>
          <w:tcPr>
            <w:tcW w:w="596" w:type="pct"/>
            <w:shd w:val="clear" w:color="auto" w:fill="auto"/>
            <w:vAlign w:val="center"/>
          </w:tcPr>
          <w:p w14:paraId="4744DCB3">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5.20</w:t>
            </w:r>
          </w:p>
        </w:tc>
        <w:tc>
          <w:tcPr>
            <w:tcW w:w="595" w:type="pct"/>
            <w:shd w:val="clear" w:color="auto" w:fill="auto"/>
            <w:vAlign w:val="center"/>
          </w:tcPr>
          <w:p w14:paraId="694F90CF">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11.3</w:t>
            </w:r>
          </w:p>
        </w:tc>
        <w:tc>
          <w:tcPr>
            <w:tcW w:w="653" w:type="pct"/>
            <w:shd w:val="clear" w:color="auto" w:fill="auto"/>
            <w:vAlign w:val="center"/>
          </w:tcPr>
          <w:p w14:paraId="23042DC8">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10.5</w:t>
            </w:r>
          </w:p>
        </w:tc>
        <w:tc>
          <w:tcPr>
            <w:tcW w:w="730" w:type="pct"/>
            <w:shd w:val="clear" w:color="auto" w:fill="auto"/>
            <w:vAlign w:val="center"/>
          </w:tcPr>
          <w:p w14:paraId="7115C6DA">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40</w:t>
            </w:r>
          </w:p>
        </w:tc>
      </w:tr>
      <w:tr w14:paraId="0536EE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79" w:type="pct"/>
            <w:vMerge w:val="continue"/>
          </w:tcPr>
          <w:p w14:paraId="729FFFBB">
            <w:pPr>
              <w:jc w:val="center"/>
              <w:rPr>
                <w:rFonts w:ascii="Times New Roman" w:hAnsi="Times New Roman" w:eastAsia="宋体" w:cs="Times New Roman"/>
                <w:color w:val="auto"/>
                <w:szCs w:val="21"/>
                <w:lang w:eastAsia="en-US"/>
              </w:rPr>
            </w:pPr>
          </w:p>
        </w:tc>
        <w:tc>
          <w:tcPr>
            <w:tcW w:w="724" w:type="pct"/>
            <w:vMerge w:val="continue"/>
          </w:tcPr>
          <w:p w14:paraId="1A6DDE39">
            <w:pPr>
              <w:jc w:val="center"/>
              <w:rPr>
                <w:rFonts w:hint="eastAsia" w:ascii="Times New Roman" w:hAnsi="Times New Roman" w:eastAsia="宋体" w:cs="Times New Roman"/>
                <w:color w:val="auto"/>
                <w:szCs w:val="21"/>
                <w:lang w:val="en-US" w:eastAsia="zh-CN"/>
              </w:rPr>
            </w:pPr>
          </w:p>
        </w:tc>
        <w:tc>
          <w:tcPr>
            <w:tcW w:w="1320" w:type="pct"/>
            <w:shd w:val="clear" w:color="auto" w:fill="auto"/>
            <w:vAlign w:val="center"/>
          </w:tcPr>
          <w:p w14:paraId="0A55CE7F">
            <w:pPr>
              <w:jc w:val="center"/>
              <w:rPr>
                <w:rFonts w:hint="eastAsia" w:ascii="Times New Roman" w:hAnsi="Times New Roman" w:eastAsia="宋体" w:cs="Times New Roman"/>
                <w:color w:val="auto"/>
                <w:kern w:val="2"/>
                <w:sz w:val="18"/>
                <w:szCs w:val="18"/>
                <w:lang w:val="en-US" w:eastAsia="en-US" w:bidi="ar-SA"/>
              </w:rPr>
            </w:pPr>
            <w:r>
              <w:rPr>
                <w:rFonts w:ascii="Times New Roman" w:hAnsi="Times New Roman" w:eastAsia="宋体" w:cs="Times New Roman"/>
                <w:color w:val="auto"/>
                <w:sz w:val="18"/>
                <w:szCs w:val="18"/>
                <w:lang w:eastAsia="en-US"/>
              </w:rPr>
              <w:t>排放速率（kg/h）</w:t>
            </w:r>
          </w:p>
        </w:tc>
        <w:tc>
          <w:tcPr>
            <w:tcW w:w="596" w:type="pct"/>
            <w:shd w:val="clear" w:color="auto" w:fill="auto"/>
            <w:vAlign w:val="center"/>
          </w:tcPr>
          <w:p w14:paraId="71501B23">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0.13</w:t>
            </w:r>
          </w:p>
        </w:tc>
        <w:tc>
          <w:tcPr>
            <w:tcW w:w="595" w:type="pct"/>
            <w:shd w:val="clear" w:color="auto" w:fill="auto"/>
            <w:vAlign w:val="center"/>
          </w:tcPr>
          <w:p w14:paraId="2F9E6F75">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0.30</w:t>
            </w:r>
          </w:p>
        </w:tc>
        <w:tc>
          <w:tcPr>
            <w:tcW w:w="653" w:type="pct"/>
            <w:shd w:val="clear" w:color="auto" w:fill="auto"/>
            <w:vAlign w:val="center"/>
          </w:tcPr>
          <w:p w14:paraId="3DB96495">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0.29</w:t>
            </w:r>
          </w:p>
        </w:tc>
        <w:tc>
          <w:tcPr>
            <w:tcW w:w="730" w:type="pct"/>
            <w:shd w:val="clear" w:color="auto" w:fill="auto"/>
            <w:vAlign w:val="center"/>
          </w:tcPr>
          <w:p w14:paraId="010014A6">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w:t>
            </w:r>
          </w:p>
        </w:tc>
      </w:tr>
      <w:tr w14:paraId="3B7DED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79" w:type="pct"/>
            <w:vMerge w:val="continue"/>
          </w:tcPr>
          <w:p w14:paraId="00D9E3EA">
            <w:pPr>
              <w:jc w:val="center"/>
              <w:rPr>
                <w:rFonts w:ascii="Times New Roman" w:hAnsi="Times New Roman" w:eastAsia="宋体" w:cs="Times New Roman"/>
                <w:color w:val="auto"/>
                <w:szCs w:val="21"/>
                <w:lang w:eastAsia="en-US"/>
              </w:rPr>
            </w:pPr>
          </w:p>
        </w:tc>
        <w:tc>
          <w:tcPr>
            <w:tcW w:w="724" w:type="pct"/>
            <w:vMerge w:val="restart"/>
            <w:shd w:val="clear" w:color="auto" w:fill="auto"/>
            <w:vAlign w:val="center"/>
          </w:tcPr>
          <w:p w14:paraId="50F29C08">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氨</w:t>
            </w:r>
          </w:p>
        </w:tc>
        <w:tc>
          <w:tcPr>
            <w:tcW w:w="1320" w:type="pct"/>
            <w:shd w:val="clear" w:color="auto" w:fill="auto"/>
            <w:vAlign w:val="center"/>
          </w:tcPr>
          <w:p w14:paraId="1040BBA4">
            <w:pPr>
              <w:jc w:val="center"/>
              <w:rPr>
                <w:rFonts w:hint="eastAsia" w:ascii="Times New Roman" w:hAnsi="Times New Roman" w:eastAsia="宋体" w:cs="Times New Roman"/>
                <w:color w:val="auto"/>
                <w:kern w:val="2"/>
                <w:sz w:val="18"/>
                <w:szCs w:val="18"/>
                <w:lang w:val="en-US" w:eastAsia="en-US" w:bidi="ar-SA"/>
              </w:rPr>
            </w:pPr>
            <w:r>
              <w:rPr>
                <w:rFonts w:ascii="Times New Roman" w:hAnsi="Times New Roman" w:eastAsia="宋体" w:cs="Times New Roman"/>
                <w:color w:val="auto"/>
                <w:sz w:val="18"/>
                <w:szCs w:val="18"/>
                <w:lang w:eastAsia="en-US"/>
              </w:rPr>
              <w:t>排放浓度（mg/</w:t>
            </w:r>
            <w:r>
              <w:rPr>
                <w:rFonts w:hint="eastAsia" w:ascii="Times New Roman" w:hAnsi="Times New Roman" w:eastAsia="宋体" w:cs="Times New Roman"/>
                <w:color w:val="auto"/>
                <w:sz w:val="18"/>
                <w:szCs w:val="18"/>
                <w:lang w:eastAsia="zh-CN"/>
              </w:rPr>
              <w:t>m</w:t>
            </w:r>
            <w:r>
              <w:rPr>
                <w:rFonts w:hint="eastAsia" w:ascii="Times New Roman" w:hAnsi="Times New Roman" w:eastAsia="宋体" w:cs="Times New Roman"/>
                <w:color w:val="auto"/>
                <w:sz w:val="18"/>
                <w:szCs w:val="18"/>
                <w:vertAlign w:val="superscript"/>
                <w:lang w:eastAsia="zh-CN"/>
              </w:rPr>
              <w:t>3</w:t>
            </w:r>
            <w:r>
              <w:rPr>
                <w:rFonts w:ascii="Times New Roman" w:hAnsi="Times New Roman" w:eastAsia="宋体" w:cs="Times New Roman"/>
                <w:color w:val="auto"/>
                <w:sz w:val="18"/>
                <w:szCs w:val="18"/>
                <w:lang w:eastAsia="en-US"/>
              </w:rPr>
              <w:t>）</w:t>
            </w:r>
          </w:p>
        </w:tc>
        <w:tc>
          <w:tcPr>
            <w:tcW w:w="596" w:type="pct"/>
            <w:shd w:val="clear" w:color="auto" w:fill="auto"/>
            <w:vAlign w:val="center"/>
          </w:tcPr>
          <w:p w14:paraId="7C40F42E">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0.92</w:t>
            </w:r>
          </w:p>
        </w:tc>
        <w:tc>
          <w:tcPr>
            <w:tcW w:w="595" w:type="pct"/>
            <w:shd w:val="clear" w:color="auto" w:fill="auto"/>
            <w:vAlign w:val="center"/>
          </w:tcPr>
          <w:p w14:paraId="17D75676">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0.89</w:t>
            </w:r>
          </w:p>
        </w:tc>
        <w:tc>
          <w:tcPr>
            <w:tcW w:w="653" w:type="pct"/>
            <w:shd w:val="clear" w:color="auto" w:fill="auto"/>
            <w:vAlign w:val="center"/>
          </w:tcPr>
          <w:p w14:paraId="69DF85C3">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0.99</w:t>
            </w:r>
          </w:p>
        </w:tc>
        <w:tc>
          <w:tcPr>
            <w:tcW w:w="730" w:type="pct"/>
            <w:shd w:val="clear" w:color="auto" w:fill="auto"/>
            <w:vAlign w:val="center"/>
          </w:tcPr>
          <w:p w14:paraId="266DAEE9">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30</w:t>
            </w:r>
          </w:p>
        </w:tc>
      </w:tr>
      <w:tr w14:paraId="52310D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79" w:type="pct"/>
            <w:vMerge w:val="continue"/>
          </w:tcPr>
          <w:p w14:paraId="506045BB">
            <w:pPr>
              <w:jc w:val="center"/>
              <w:rPr>
                <w:rFonts w:ascii="Times New Roman" w:hAnsi="Times New Roman" w:eastAsia="宋体" w:cs="Times New Roman"/>
                <w:color w:val="auto"/>
                <w:szCs w:val="21"/>
                <w:lang w:eastAsia="en-US"/>
              </w:rPr>
            </w:pPr>
          </w:p>
        </w:tc>
        <w:tc>
          <w:tcPr>
            <w:tcW w:w="724" w:type="pct"/>
            <w:vMerge w:val="continue"/>
          </w:tcPr>
          <w:p w14:paraId="5B6BFD9D">
            <w:pPr>
              <w:jc w:val="center"/>
              <w:rPr>
                <w:rFonts w:hint="eastAsia" w:ascii="Times New Roman" w:hAnsi="Times New Roman" w:eastAsia="宋体" w:cs="Times New Roman"/>
                <w:color w:val="auto"/>
                <w:szCs w:val="21"/>
                <w:lang w:val="en-US" w:eastAsia="zh-CN"/>
              </w:rPr>
            </w:pPr>
          </w:p>
        </w:tc>
        <w:tc>
          <w:tcPr>
            <w:tcW w:w="1320" w:type="pct"/>
            <w:shd w:val="clear" w:color="auto" w:fill="auto"/>
            <w:vAlign w:val="center"/>
          </w:tcPr>
          <w:p w14:paraId="243834B0">
            <w:pPr>
              <w:jc w:val="center"/>
              <w:rPr>
                <w:rFonts w:hint="eastAsia" w:ascii="Times New Roman" w:hAnsi="Times New Roman" w:eastAsia="宋体" w:cs="Times New Roman"/>
                <w:color w:val="auto"/>
                <w:kern w:val="2"/>
                <w:sz w:val="18"/>
                <w:szCs w:val="18"/>
                <w:lang w:val="en-US" w:eastAsia="en-US" w:bidi="ar-SA"/>
              </w:rPr>
            </w:pPr>
            <w:r>
              <w:rPr>
                <w:rFonts w:ascii="Times New Roman" w:hAnsi="Times New Roman" w:eastAsia="宋体" w:cs="Times New Roman"/>
                <w:color w:val="auto"/>
                <w:sz w:val="18"/>
                <w:szCs w:val="18"/>
                <w:lang w:eastAsia="en-US"/>
              </w:rPr>
              <w:t>排放速率（kg/h）</w:t>
            </w:r>
          </w:p>
        </w:tc>
        <w:tc>
          <w:tcPr>
            <w:tcW w:w="596" w:type="pct"/>
            <w:shd w:val="clear" w:color="auto" w:fill="auto"/>
            <w:vAlign w:val="center"/>
          </w:tcPr>
          <w:p w14:paraId="230598EF">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0.024</w:t>
            </w:r>
          </w:p>
        </w:tc>
        <w:tc>
          <w:tcPr>
            <w:tcW w:w="595" w:type="pct"/>
            <w:shd w:val="clear" w:color="auto" w:fill="auto"/>
            <w:vAlign w:val="center"/>
          </w:tcPr>
          <w:p w14:paraId="4A391F9A">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0.024</w:t>
            </w:r>
          </w:p>
        </w:tc>
        <w:tc>
          <w:tcPr>
            <w:tcW w:w="653" w:type="pct"/>
            <w:shd w:val="clear" w:color="auto" w:fill="auto"/>
            <w:vAlign w:val="center"/>
          </w:tcPr>
          <w:p w14:paraId="2C48DD17">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0.027</w:t>
            </w:r>
          </w:p>
        </w:tc>
        <w:tc>
          <w:tcPr>
            <w:tcW w:w="730" w:type="pct"/>
            <w:shd w:val="clear" w:color="auto" w:fill="auto"/>
            <w:vAlign w:val="center"/>
          </w:tcPr>
          <w:p w14:paraId="25419A69">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w:t>
            </w:r>
          </w:p>
        </w:tc>
      </w:tr>
      <w:tr w14:paraId="25A3BB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79" w:type="pct"/>
            <w:vMerge w:val="continue"/>
          </w:tcPr>
          <w:p w14:paraId="339F9105">
            <w:pPr>
              <w:jc w:val="center"/>
              <w:rPr>
                <w:rFonts w:ascii="Times New Roman" w:hAnsi="Times New Roman" w:eastAsia="宋体" w:cs="Times New Roman"/>
                <w:color w:val="auto"/>
                <w:szCs w:val="21"/>
                <w:lang w:eastAsia="en-US"/>
              </w:rPr>
            </w:pPr>
          </w:p>
        </w:tc>
        <w:tc>
          <w:tcPr>
            <w:tcW w:w="724" w:type="pct"/>
            <w:vMerge w:val="restart"/>
            <w:shd w:val="clear" w:color="auto" w:fill="auto"/>
            <w:vAlign w:val="center"/>
          </w:tcPr>
          <w:p w14:paraId="7A738A5B">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硫化氢</w:t>
            </w:r>
          </w:p>
        </w:tc>
        <w:tc>
          <w:tcPr>
            <w:tcW w:w="1320" w:type="pct"/>
            <w:shd w:val="clear" w:color="auto" w:fill="auto"/>
            <w:vAlign w:val="center"/>
          </w:tcPr>
          <w:p w14:paraId="1EAF02C2">
            <w:pPr>
              <w:jc w:val="center"/>
              <w:rPr>
                <w:rFonts w:hint="eastAsia" w:ascii="Times New Roman" w:hAnsi="Times New Roman" w:eastAsia="宋体" w:cs="Times New Roman"/>
                <w:color w:val="auto"/>
                <w:kern w:val="2"/>
                <w:sz w:val="18"/>
                <w:szCs w:val="18"/>
                <w:lang w:val="en-US" w:eastAsia="en-US" w:bidi="ar-SA"/>
              </w:rPr>
            </w:pPr>
            <w:r>
              <w:rPr>
                <w:rFonts w:ascii="Times New Roman" w:hAnsi="Times New Roman" w:eastAsia="宋体" w:cs="Times New Roman"/>
                <w:color w:val="auto"/>
                <w:sz w:val="18"/>
                <w:szCs w:val="18"/>
                <w:lang w:eastAsia="en-US"/>
              </w:rPr>
              <w:t>排放浓度（mg/</w:t>
            </w:r>
            <w:r>
              <w:rPr>
                <w:rFonts w:hint="eastAsia" w:ascii="Times New Roman" w:hAnsi="Times New Roman" w:eastAsia="宋体" w:cs="Times New Roman"/>
                <w:color w:val="auto"/>
                <w:sz w:val="18"/>
                <w:szCs w:val="18"/>
                <w:lang w:eastAsia="zh-CN"/>
              </w:rPr>
              <w:t>m</w:t>
            </w:r>
            <w:r>
              <w:rPr>
                <w:rFonts w:hint="eastAsia" w:ascii="Times New Roman" w:hAnsi="Times New Roman" w:eastAsia="宋体" w:cs="Times New Roman"/>
                <w:color w:val="auto"/>
                <w:sz w:val="18"/>
                <w:szCs w:val="18"/>
                <w:vertAlign w:val="superscript"/>
                <w:lang w:eastAsia="zh-CN"/>
              </w:rPr>
              <w:t>3</w:t>
            </w:r>
            <w:r>
              <w:rPr>
                <w:rFonts w:ascii="Times New Roman" w:hAnsi="Times New Roman" w:eastAsia="宋体" w:cs="Times New Roman"/>
                <w:color w:val="auto"/>
                <w:sz w:val="18"/>
                <w:szCs w:val="18"/>
                <w:lang w:eastAsia="en-US"/>
              </w:rPr>
              <w:t>）</w:t>
            </w:r>
          </w:p>
        </w:tc>
        <w:tc>
          <w:tcPr>
            <w:tcW w:w="596" w:type="pct"/>
            <w:shd w:val="clear" w:color="auto" w:fill="auto"/>
            <w:vAlign w:val="center"/>
          </w:tcPr>
          <w:p w14:paraId="3CC4DD1F">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0.029</w:t>
            </w:r>
          </w:p>
        </w:tc>
        <w:tc>
          <w:tcPr>
            <w:tcW w:w="595" w:type="pct"/>
            <w:shd w:val="clear" w:color="auto" w:fill="auto"/>
            <w:vAlign w:val="center"/>
          </w:tcPr>
          <w:p w14:paraId="5DA92B21">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0.090</w:t>
            </w:r>
          </w:p>
        </w:tc>
        <w:tc>
          <w:tcPr>
            <w:tcW w:w="653" w:type="pct"/>
            <w:shd w:val="clear" w:color="auto" w:fill="auto"/>
            <w:vAlign w:val="center"/>
          </w:tcPr>
          <w:p w14:paraId="057D23D2">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0.035</w:t>
            </w:r>
          </w:p>
        </w:tc>
        <w:tc>
          <w:tcPr>
            <w:tcW w:w="730" w:type="pct"/>
            <w:shd w:val="clear" w:color="auto" w:fill="auto"/>
            <w:vAlign w:val="center"/>
          </w:tcPr>
          <w:p w14:paraId="0044765F">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w:t>
            </w:r>
          </w:p>
        </w:tc>
      </w:tr>
      <w:tr w14:paraId="3263AE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79" w:type="pct"/>
            <w:vMerge w:val="continue"/>
          </w:tcPr>
          <w:p w14:paraId="339E0A81">
            <w:pPr>
              <w:jc w:val="center"/>
              <w:rPr>
                <w:rFonts w:ascii="Times New Roman" w:hAnsi="Times New Roman" w:eastAsia="宋体" w:cs="Times New Roman"/>
                <w:color w:val="auto"/>
                <w:szCs w:val="21"/>
                <w:lang w:eastAsia="en-US"/>
              </w:rPr>
            </w:pPr>
          </w:p>
        </w:tc>
        <w:tc>
          <w:tcPr>
            <w:tcW w:w="724" w:type="pct"/>
            <w:vMerge w:val="continue"/>
          </w:tcPr>
          <w:p w14:paraId="224F7A1B">
            <w:pPr>
              <w:jc w:val="center"/>
              <w:rPr>
                <w:rFonts w:hint="eastAsia" w:ascii="Times New Roman" w:hAnsi="Times New Roman" w:eastAsia="宋体" w:cs="Times New Roman"/>
                <w:color w:val="auto"/>
                <w:szCs w:val="21"/>
                <w:lang w:val="en-US" w:eastAsia="zh-CN"/>
              </w:rPr>
            </w:pPr>
          </w:p>
        </w:tc>
        <w:tc>
          <w:tcPr>
            <w:tcW w:w="1320" w:type="pct"/>
            <w:shd w:val="clear" w:color="auto" w:fill="auto"/>
            <w:vAlign w:val="center"/>
          </w:tcPr>
          <w:p w14:paraId="239326BA">
            <w:pPr>
              <w:jc w:val="center"/>
              <w:rPr>
                <w:rFonts w:hint="eastAsia" w:ascii="Times New Roman" w:hAnsi="Times New Roman" w:eastAsia="宋体" w:cs="Times New Roman"/>
                <w:color w:val="auto"/>
                <w:kern w:val="2"/>
                <w:sz w:val="18"/>
                <w:szCs w:val="18"/>
                <w:lang w:val="en-US" w:eastAsia="en-US" w:bidi="ar-SA"/>
              </w:rPr>
            </w:pPr>
            <w:r>
              <w:rPr>
                <w:rFonts w:ascii="Times New Roman" w:hAnsi="Times New Roman" w:eastAsia="宋体" w:cs="Times New Roman"/>
                <w:color w:val="auto"/>
                <w:sz w:val="18"/>
                <w:szCs w:val="18"/>
                <w:lang w:eastAsia="en-US"/>
              </w:rPr>
              <w:t>排放速率（kg/h）</w:t>
            </w:r>
          </w:p>
        </w:tc>
        <w:tc>
          <w:tcPr>
            <w:tcW w:w="596" w:type="pct"/>
            <w:shd w:val="clear" w:color="auto" w:fill="auto"/>
            <w:vAlign w:val="center"/>
          </w:tcPr>
          <w:p w14:paraId="41A60DFF">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0.00075</w:t>
            </w:r>
          </w:p>
        </w:tc>
        <w:tc>
          <w:tcPr>
            <w:tcW w:w="595" w:type="pct"/>
            <w:shd w:val="clear" w:color="auto" w:fill="auto"/>
            <w:vAlign w:val="center"/>
          </w:tcPr>
          <w:p w14:paraId="5C0276F3">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0.0024</w:t>
            </w:r>
          </w:p>
        </w:tc>
        <w:tc>
          <w:tcPr>
            <w:tcW w:w="653" w:type="pct"/>
            <w:shd w:val="clear" w:color="auto" w:fill="auto"/>
            <w:vAlign w:val="center"/>
          </w:tcPr>
          <w:p w14:paraId="49231B02">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0.00096</w:t>
            </w:r>
          </w:p>
        </w:tc>
        <w:tc>
          <w:tcPr>
            <w:tcW w:w="730" w:type="pct"/>
            <w:shd w:val="clear" w:color="auto" w:fill="auto"/>
            <w:vAlign w:val="center"/>
          </w:tcPr>
          <w:p w14:paraId="3F236125">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0.58</w:t>
            </w:r>
          </w:p>
        </w:tc>
      </w:tr>
      <w:tr w14:paraId="4C84E7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79" w:type="pct"/>
            <w:vMerge w:val="continue"/>
          </w:tcPr>
          <w:p w14:paraId="6A412E77">
            <w:pPr>
              <w:jc w:val="center"/>
              <w:rPr>
                <w:rFonts w:ascii="Times New Roman" w:hAnsi="Times New Roman" w:eastAsia="宋体" w:cs="Times New Roman"/>
                <w:color w:val="auto"/>
                <w:szCs w:val="21"/>
                <w:lang w:eastAsia="en-US"/>
              </w:rPr>
            </w:pPr>
          </w:p>
        </w:tc>
        <w:tc>
          <w:tcPr>
            <w:tcW w:w="724" w:type="pct"/>
            <w:vMerge w:val="restart"/>
            <w:shd w:val="clear" w:color="auto" w:fill="auto"/>
            <w:vAlign w:val="center"/>
          </w:tcPr>
          <w:p w14:paraId="09FB0894">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sz w:val="18"/>
                <w:szCs w:val="18"/>
                <w:lang w:val="en-US" w:eastAsia="zh-CN"/>
              </w:rPr>
              <w:t>非甲烷总烃</w:t>
            </w:r>
          </w:p>
        </w:tc>
        <w:tc>
          <w:tcPr>
            <w:tcW w:w="1320" w:type="pct"/>
            <w:shd w:val="clear" w:color="auto" w:fill="auto"/>
            <w:vAlign w:val="center"/>
          </w:tcPr>
          <w:p w14:paraId="5EEE7BE5">
            <w:pPr>
              <w:jc w:val="center"/>
              <w:rPr>
                <w:rFonts w:hint="eastAsia" w:ascii="Times New Roman" w:hAnsi="Times New Roman" w:eastAsia="宋体" w:cs="Times New Roman"/>
                <w:color w:val="auto"/>
                <w:kern w:val="2"/>
                <w:sz w:val="18"/>
                <w:szCs w:val="18"/>
                <w:lang w:val="en-US" w:eastAsia="en-US" w:bidi="ar-SA"/>
              </w:rPr>
            </w:pPr>
            <w:r>
              <w:rPr>
                <w:rFonts w:ascii="Times New Roman" w:hAnsi="Times New Roman" w:eastAsia="宋体" w:cs="Times New Roman"/>
                <w:color w:val="auto"/>
                <w:sz w:val="18"/>
                <w:szCs w:val="18"/>
                <w:lang w:eastAsia="en-US"/>
              </w:rPr>
              <w:t>排放浓度（mg/</w:t>
            </w:r>
            <w:r>
              <w:rPr>
                <w:rFonts w:hint="eastAsia" w:ascii="Times New Roman" w:hAnsi="Times New Roman" w:eastAsia="宋体" w:cs="Times New Roman"/>
                <w:color w:val="auto"/>
                <w:sz w:val="18"/>
                <w:szCs w:val="18"/>
                <w:lang w:eastAsia="zh-CN"/>
              </w:rPr>
              <w:t>m</w:t>
            </w:r>
            <w:r>
              <w:rPr>
                <w:rFonts w:hint="eastAsia" w:ascii="Times New Roman" w:hAnsi="Times New Roman" w:eastAsia="宋体" w:cs="Times New Roman"/>
                <w:color w:val="auto"/>
                <w:sz w:val="18"/>
                <w:szCs w:val="18"/>
                <w:vertAlign w:val="superscript"/>
                <w:lang w:eastAsia="zh-CN"/>
              </w:rPr>
              <w:t>3</w:t>
            </w:r>
            <w:r>
              <w:rPr>
                <w:rFonts w:ascii="Times New Roman" w:hAnsi="Times New Roman" w:eastAsia="宋体" w:cs="Times New Roman"/>
                <w:color w:val="auto"/>
                <w:sz w:val="18"/>
                <w:szCs w:val="18"/>
                <w:lang w:eastAsia="en-US"/>
              </w:rPr>
              <w:t>）</w:t>
            </w:r>
          </w:p>
        </w:tc>
        <w:tc>
          <w:tcPr>
            <w:tcW w:w="596" w:type="pct"/>
            <w:shd w:val="clear" w:color="auto" w:fill="auto"/>
            <w:vAlign w:val="center"/>
          </w:tcPr>
          <w:p w14:paraId="236C3F84">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1.94</w:t>
            </w:r>
          </w:p>
        </w:tc>
        <w:tc>
          <w:tcPr>
            <w:tcW w:w="595" w:type="pct"/>
            <w:shd w:val="clear" w:color="auto" w:fill="auto"/>
            <w:vAlign w:val="center"/>
          </w:tcPr>
          <w:p w14:paraId="3A9921AE">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2.02</w:t>
            </w:r>
          </w:p>
        </w:tc>
        <w:tc>
          <w:tcPr>
            <w:tcW w:w="653" w:type="pct"/>
            <w:shd w:val="clear" w:color="auto" w:fill="auto"/>
            <w:vAlign w:val="center"/>
          </w:tcPr>
          <w:p w14:paraId="203A9215">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1.89</w:t>
            </w:r>
          </w:p>
        </w:tc>
        <w:tc>
          <w:tcPr>
            <w:tcW w:w="730" w:type="pct"/>
            <w:shd w:val="clear" w:color="auto" w:fill="auto"/>
            <w:vAlign w:val="center"/>
          </w:tcPr>
          <w:p w14:paraId="4C0DF508">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100</w:t>
            </w:r>
          </w:p>
        </w:tc>
      </w:tr>
      <w:tr w14:paraId="552CA0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79" w:type="pct"/>
            <w:vMerge w:val="continue"/>
          </w:tcPr>
          <w:p w14:paraId="5F0F9293">
            <w:pPr>
              <w:jc w:val="center"/>
              <w:rPr>
                <w:rFonts w:ascii="Times New Roman" w:hAnsi="Times New Roman" w:eastAsia="宋体" w:cs="Times New Roman"/>
                <w:color w:val="auto"/>
                <w:szCs w:val="21"/>
                <w:lang w:eastAsia="en-US"/>
              </w:rPr>
            </w:pPr>
          </w:p>
        </w:tc>
        <w:tc>
          <w:tcPr>
            <w:tcW w:w="724" w:type="pct"/>
            <w:vMerge w:val="continue"/>
          </w:tcPr>
          <w:p w14:paraId="6A8779AD">
            <w:pPr>
              <w:jc w:val="center"/>
              <w:rPr>
                <w:rFonts w:hint="eastAsia" w:ascii="Times New Roman" w:hAnsi="Times New Roman" w:eastAsia="宋体" w:cs="Times New Roman"/>
                <w:color w:val="auto"/>
                <w:szCs w:val="21"/>
                <w:lang w:val="en-US" w:eastAsia="zh-CN"/>
              </w:rPr>
            </w:pPr>
          </w:p>
        </w:tc>
        <w:tc>
          <w:tcPr>
            <w:tcW w:w="1320" w:type="pct"/>
            <w:shd w:val="clear" w:color="auto" w:fill="auto"/>
            <w:vAlign w:val="center"/>
          </w:tcPr>
          <w:p w14:paraId="31F5CB9B">
            <w:pPr>
              <w:jc w:val="center"/>
              <w:rPr>
                <w:rFonts w:hint="eastAsia" w:ascii="Times New Roman" w:hAnsi="Times New Roman" w:eastAsia="宋体" w:cs="Times New Roman"/>
                <w:color w:val="auto"/>
                <w:kern w:val="2"/>
                <w:sz w:val="18"/>
                <w:szCs w:val="18"/>
                <w:lang w:val="en-US" w:eastAsia="en-US" w:bidi="ar-SA"/>
              </w:rPr>
            </w:pPr>
            <w:r>
              <w:rPr>
                <w:rFonts w:ascii="Times New Roman" w:hAnsi="Times New Roman" w:eastAsia="宋体" w:cs="Times New Roman"/>
                <w:color w:val="auto"/>
                <w:sz w:val="18"/>
                <w:szCs w:val="18"/>
                <w:lang w:eastAsia="en-US"/>
              </w:rPr>
              <w:t>排放速率（kg/h）</w:t>
            </w:r>
          </w:p>
        </w:tc>
        <w:tc>
          <w:tcPr>
            <w:tcW w:w="596" w:type="pct"/>
            <w:shd w:val="clear" w:color="auto" w:fill="auto"/>
            <w:vAlign w:val="center"/>
          </w:tcPr>
          <w:p w14:paraId="230221AE">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0.050</w:t>
            </w:r>
          </w:p>
        </w:tc>
        <w:tc>
          <w:tcPr>
            <w:tcW w:w="595" w:type="pct"/>
            <w:shd w:val="clear" w:color="auto" w:fill="auto"/>
            <w:vAlign w:val="center"/>
          </w:tcPr>
          <w:p w14:paraId="1294CF1D">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0.054</w:t>
            </w:r>
          </w:p>
        </w:tc>
        <w:tc>
          <w:tcPr>
            <w:tcW w:w="653" w:type="pct"/>
            <w:shd w:val="clear" w:color="auto" w:fill="auto"/>
            <w:vAlign w:val="center"/>
          </w:tcPr>
          <w:p w14:paraId="64746C1D">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0.052</w:t>
            </w:r>
          </w:p>
        </w:tc>
        <w:tc>
          <w:tcPr>
            <w:tcW w:w="730" w:type="pct"/>
            <w:shd w:val="clear" w:color="auto" w:fill="auto"/>
            <w:vAlign w:val="center"/>
          </w:tcPr>
          <w:p w14:paraId="13777B37">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w:t>
            </w:r>
          </w:p>
        </w:tc>
      </w:tr>
      <w:tr w14:paraId="583E85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79" w:type="pct"/>
            <w:vMerge w:val="restart"/>
            <w:shd w:val="clear" w:color="auto" w:fill="auto"/>
            <w:vAlign w:val="center"/>
          </w:tcPr>
          <w:p w14:paraId="2E8A55A0">
            <w:pPr>
              <w:jc w:val="center"/>
              <w:rPr>
                <w:rFonts w:hint="default" w:ascii="Times New Roman" w:hAnsi="Times New Roman" w:eastAsia="宋体" w:cs="Times New Roman"/>
                <w:color w:val="auto"/>
                <w:kern w:val="2"/>
                <w:sz w:val="18"/>
                <w:szCs w:val="18"/>
                <w:lang w:val="en-US" w:eastAsia="en-US" w:bidi="ar-SA"/>
              </w:rPr>
            </w:pPr>
            <w:r>
              <w:rPr>
                <w:rFonts w:hint="eastAsia" w:ascii="Times New Roman" w:hAnsi="Times New Roman" w:eastAsia="宋体" w:cs="Times New Roman"/>
                <w:color w:val="auto"/>
                <w:sz w:val="18"/>
                <w:szCs w:val="18"/>
                <w:lang w:val="en-US" w:eastAsia="zh-CN"/>
              </w:rPr>
              <w:t>DA002污水处理站废气出口</w:t>
            </w:r>
          </w:p>
        </w:tc>
        <w:tc>
          <w:tcPr>
            <w:tcW w:w="724" w:type="pct"/>
            <w:shd w:val="clear" w:color="auto" w:fill="auto"/>
            <w:vAlign w:val="center"/>
          </w:tcPr>
          <w:p w14:paraId="1991D593">
            <w:pPr>
              <w:jc w:val="center"/>
              <w:rPr>
                <w:rFonts w:hint="eastAsia" w:ascii="Times New Roman" w:hAnsi="Times New Roman" w:eastAsia="宋体" w:cs="Times New Roman"/>
                <w:color w:val="auto"/>
                <w:kern w:val="2"/>
                <w:sz w:val="18"/>
                <w:szCs w:val="18"/>
                <w:lang w:val="en-US" w:eastAsia="zh-CN" w:bidi="ar-SA"/>
              </w:rPr>
            </w:pPr>
            <w:r>
              <w:rPr>
                <w:rFonts w:ascii="Times New Roman" w:hAnsi="Times New Roman" w:eastAsia="宋体" w:cs="Times New Roman"/>
                <w:color w:val="auto"/>
                <w:sz w:val="18"/>
                <w:szCs w:val="18"/>
                <w:lang w:eastAsia="en-US"/>
              </w:rPr>
              <w:t>烟气流量</w:t>
            </w:r>
          </w:p>
        </w:tc>
        <w:tc>
          <w:tcPr>
            <w:tcW w:w="1320" w:type="pct"/>
            <w:shd w:val="clear" w:color="auto" w:fill="auto"/>
            <w:vAlign w:val="center"/>
          </w:tcPr>
          <w:p w14:paraId="55C3472B">
            <w:pPr>
              <w:jc w:val="center"/>
              <w:rPr>
                <w:rFonts w:hint="eastAsia" w:ascii="Times New Roman" w:hAnsi="Times New Roman" w:eastAsia="宋体" w:cs="Times New Roman"/>
                <w:color w:val="auto"/>
                <w:kern w:val="2"/>
                <w:sz w:val="18"/>
                <w:szCs w:val="18"/>
                <w:lang w:val="en-US" w:eastAsia="en-US" w:bidi="ar-SA"/>
              </w:rPr>
            </w:pPr>
            <w:r>
              <w:rPr>
                <w:rFonts w:ascii="Times New Roman" w:hAnsi="Times New Roman" w:eastAsia="宋体" w:cs="Times New Roman"/>
                <w:color w:val="auto"/>
                <w:sz w:val="18"/>
                <w:szCs w:val="18"/>
                <w:lang w:eastAsia="en-US"/>
              </w:rPr>
              <w:t>（N•</w:t>
            </w:r>
            <w:r>
              <w:rPr>
                <w:rFonts w:hint="eastAsia" w:ascii="Times New Roman" w:hAnsi="Times New Roman" w:eastAsia="宋体" w:cs="Times New Roman"/>
                <w:color w:val="auto"/>
                <w:sz w:val="18"/>
                <w:szCs w:val="18"/>
                <w:lang w:eastAsia="zh-CN"/>
              </w:rPr>
              <w:t>m</w:t>
            </w:r>
            <w:r>
              <w:rPr>
                <w:rFonts w:hint="eastAsia" w:ascii="Times New Roman" w:hAnsi="Times New Roman" w:eastAsia="宋体" w:cs="Times New Roman"/>
                <w:color w:val="auto"/>
                <w:sz w:val="18"/>
                <w:szCs w:val="18"/>
                <w:vertAlign w:val="superscript"/>
                <w:lang w:eastAsia="zh-CN"/>
              </w:rPr>
              <w:t>3</w:t>
            </w:r>
            <w:r>
              <w:rPr>
                <w:rFonts w:ascii="Times New Roman" w:hAnsi="Times New Roman" w:eastAsia="宋体" w:cs="Times New Roman"/>
                <w:color w:val="auto"/>
                <w:sz w:val="18"/>
                <w:szCs w:val="18"/>
                <w:lang w:eastAsia="en-US"/>
              </w:rPr>
              <w:t>/h）</w:t>
            </w:r>
          </w:p>
        </w:tc>
        <w:tc>
          <w:tcPr>
            <w:tcW w:w="596" w:type="pct"/>
            <w:shd w:val="clear" w:color="auto" w:fill="auto"/>
            <w:vAlign w:val="center"/>
          </w:tcPr>
          <w:p w14:paraId="55696E9E">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4538</w:t>
            </w:r>
          </w:p>
        </w:tc>
        <w:tc>
          <w:tcPr>
            <w:tcW w:w="595" w:type="pct"/>
            <w:shd w:val="clear" w:color="auto" w:fill="auto"/>
            <w:vAlign w:val="center"/>
          </w:tcPr>
          <w:p w14:paraId="2E656537">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4450</w:t>
            </w:r>
          </w:p>
        </w:tc>
        <w:tc>
          <w:tcPr>
            <w:tcW w:w="653" w:type="pct"/>
            <w:shd w:val="clear" w:color="auto" w:fill="auto"/>
            <w:vAlign w:val="center"/>
          </w:tcPr>
          <w:p w14:paraId="0BF1FA13">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4394</w:t>
            </w:r>
          </w:p>
        </w:tc>
        <w:tc>
          <w:tcPr>
            <w:tcW w:w="730" w:type="pct"/>
            <w:shd w:val="clear" w:color="auto" w:fill="auto"/>
            <w:vAlign w:val="center"/>
          </w:tcPr>
          <w:p w14:paraId="5CDED399">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w:t>
            </w:r>
          </w:p>
        </w:tc>
      </w:tr>
      <w:tr w14:paraId="5D0A92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79" w:type="pct"/>
            <w:vMerge w:val="continue"/>
          </w:tcPr>
          <w:p w14:paraId="42C722FE">
            <w:pPr>
              <w:jc w:val="center"/>
              <w:rPr>
                <w:rFonts w:ascii="Times New Roman" w:hAnsi="Times New Roman" w:eastAsia="宋体" w:cs="Times New Roman"/>
                <w:color w:val="auto"/>
                <w:szCs w:val="21"/>
                <w:lang w:eastAsia="en-US"/>
              </w:rPr>
            </w:pPr>
          </w:p>
        </w:tc>
        <w:tc>
          <w:tcPr>
            <w:tcW w:w="724" w:type="pct"/>
            <w:vMerge w:val="restart"/>
            <w:shd w:val="clear" w:color="auto" w:fill="auto"/>
            <w:vAlign w:val="center"/>
          </w:tcPr>
          <w:p w14:paraId="44D4CDCF">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挥发性有机物</w:t>
            </w:r>
          </w:p>
        </w:tc>
        <w:tc>
          <w:tcPr>
            <w:tcW w:w="1320" w:type="pct"/>
            <w:shd w:val="clear" w:color="auto" w:fill="auto"/>
            <w:vAlign w:val="center"/>
          </w:tcPr>
          <w:p w14:paraId="4B749DBE">
            <w:pPr>
              <w:jc w:val="center"/>
              <w:rPr>
                <w:rFonts w:hint="eastAsia" w:ascii="Times New Roman" w:hAnsi="Times New Roman" w:eastAsia="宋体" w:cs="Times New Roman"/>
                <w:color w:val="auto"/>
                <w:kern w:val="2"/>
                <w:sz w:val="18"/>
                <w:szCs w:val="18"/>
                <w:lang w:val="en-US" w:eastAsia="en-US" w:bidi="ar-SA"/>
              </w:rPr>
            </w:pPr>
            <w:r>
              <w:rPr>
                <w:rFonts w:ascii="Times New Roman" w:hAnsi="Times New Roman" w:eastAsia="宋体" w:cs="Times New Roman"/>
                <w:color w:val="auto"/>
                <w:sz w:val="18"/>
                <w:szCs w:val="18"/>
                <w:lang w:eastAsia="en-US"/>
              </w:rPr>
              <w:t>排放浓度（mg/</w:t>
            </w:r>
            <w:r>
              <w:rPr>
                <w:rFonts w:hint="eastAsia" w:ascii="Times New Roman" w:hAnsi="Times New Roman" w:eastAsia="宋体" w:cs="Times New Roman"/>
                <w:color w:val="auto"/>
                <w:sz w:val="18"/>
                <w:szCs w:val="18"/>
                <w:lang w:eastAsia="zh-CN"/>
              </w:rPr>
              <w:t>m</w:t>
            </w:r>
            <w:r>
              <w:rPr>
                <w:rFonts w:hint="eastAsia" w:ascii="Times New Roman" w:hAnsi="Times New Roman" w:eastAsia="宋体" w:cs="Times New Roman"/>
                <w:color w:val="auto"/>
                <w:sz w:val="18"/>
                <w:szCs w:val="18"/>
                <w:vertAlign w:val="superscript"/>
                <w:lang w:eastAsia="zh-CN"/>
              </w:rPr>
              <w:t>3</w:t>
            </w:r>
            <w:r>
              <w:rPr>
                <w:rFonts w:ascii="Times New Roman" w:hAnsi="Times New Roman" w:eastAsia="宋体" w:cs="Times New Roman"/>
                <w:color w:val="auto"/>
                <w:sz w:val="18"/>
                <w:szCs w:val="18"/>
                <w:lang w:eastAsia="en-US"/>
              </w:rPr>
              <w:t>）</w:t>
            </w:r>
          </w:p>
        </w:tc>
        <w:tc>
          <w:tcPr>
            <w:tcW w:w="596" w:type="pct"/>
            <w:shd w:val="clear" w:color="auto" w:fill="auto"/>
            <w:vAlign w:val="center"/>
          </w:tcPr>
          <w:p w14:paraId="7CE83B67">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3.58</w:t>
            </w:r>
          </w:p>
        </w:tc>
        <w:tc>
          <w:tcPr>
            <w:tcW w:w="595" w:type="pct"/>
            <w:shd w:val="clear" w:color="auto" w:fill="auto"/>
            <w:vAlign w:val="center"/>
          </w:tcPr>
          <w:p w14:paraId="14E0F9F1">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4.97</w:t>
            </w:r>
          </w:p>
        </w:tc>
        <w:tc>
          <w:tcPr>
            <w:tcW w:w="653" w:type="pct"/>
            <w:shd w:val="clear" w:color="auto" w:fill="auto"/>
            <w:vAlign w:val="center"/>
          </w:tcPr>
          <w:p w14:paraId="12B92D36">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0.134</w:t>
            </w:r>
          </w:p>
        </w:tc>
        <w:tc>
          <w:tcPr>
            <w:tcW w:w="730" w:type="pct"/>
            <w:shd w:val="clear" w:color="auto" w:fill="auto"/>
            <w:vAlign w:val="center"/>
          </w:tcPr>
          <w:p w14:paraId="1B72327F">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100</w:t>
            </w:r>
          </w:p>
        </w:tc>
      </w:tr>
      <w:tr w14:paraId="375A98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79" w:type="pct"/>
            <w:vMerge w:val="continue"/>
          </w:tcPr>
          <w:p w14:paraId="6073C280">
            <w:pPr>
              <w:jc w:val="center"/>
              <w:rPr>
                <w:rFonts w:ascii="Times New Roman" w:hAnsi="Times New Roman" w:eastAsia="宋体" w:cs="Times New Roman"/>
                <w:color w:val="auto"/>
                <w:szCs w:val="21"/>
                <w:lang w:eastAsia="en-US"/>
              </w:rPr>
            </w:pPr>
          </w:p>
        </w:tc>
        <w:tc>
          <w:tcPr>
            <w:tcW w:w="724" w:type="pct"/>
            <w:vMerge w:val="continue"/>
          </w:tcPr>
          <w:p w14:paraId="66526805">
            <w:pPr>
              <w:jc w:val="center"/>
              <w:rPr>
                <w:rFonts w:hint="eastAsia" w:ascii="Times New Roman" w:hAnsi="Times New Roman" w:eastAsia="宋体" w:cs="Times New Roman"/>
                <w:color w:val="auto"/>
                <w:szCs w:val="21"/>
                <w:lang w:val="en-US" w:eastAsia="zh-CN"/>
              </w:rPr>
            </w:pPr>
          </w:p>
        </w:tc>
        <w:tc>
          <w:tcPr>
            <w:tcW w:w="1320" w:type="pct"/>
            <w:shd w:val="clear" w:color="auto" w:fill="auto"/>
            <w:vAlign w:val="center"/>
          </w:tcPr>
          <w:p w14:paraId="7657ECB9">
            <w:pPr>
              <w:jc w:val="center"/>
              <w:rPr>
                <w:rFonts w:hint="eastAsia" w:ascii="Times New Roman" w:hAnsi="Times New Roman" w:eastAsia="宋体" w:cs="Times New Roman"/>
                <w:color w:val="auto"/>
                <w:kern w:val="2"/>
                <w:sz w:val="18"/>
                <w:szCs w:val="18"/>
                <w:lang w:val="en-US" w:eastAsia="en-US" w:bidi="ar-SA"/>
              </w:rPr>
            </w:pPr>
            <w:r>
              <w:rPr>
                <w:rFonts w:ascii="Times New Roman" w:hAnsi="Times New Roman" w:eastAsia="宋体" w:cs="Times New Roman"/>
                <w:color w:val="auto"/>
                <w:sz w:val="18"/>
                <w:szCs w:val="18"/>
                <w:lang w:eastAsia="en-US"/>
              </w:rPr>
              <w:t>排放速率（kg/h）</w:t>
            </w:r>
          </w:p>
        </w:tc>
        <w:tc>
          <w:tcPr>
            <w:tcW w:w="596" w:type="pct"/>
            <w:shd w:val="clear" w:color="auto" w:fill="auto"/>
            <w:vAlign w:val="center"/>
          </w:tcPr>
          <w:p w14:paraId="734A39B0">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0.0162</w:t>
            </w:r>
          </w:p>
        </w:tc>
        <w:tc>
          <w:tcPr>
            <w:tcW w:w="595" w:type="pct"/>
            <w:shd w:val="clear" w:color="auto" w:fill="auto"/>
            <w:vAlign w:val="center"/>
          </w:tcPr>
          <w:p w14:paraId="103CF389">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0.0221</w:t>
            </w:r>
          </w:p>
        </w:tc>
        <w:tc>
          <w:tcPr>
            <w:tcW w:w="653" w:type="pct"/>
            <w:shd w:val="clear" w:color="auto" w:fill="auto"/>
            <w:vAlign w:val="center"/>
          </w:tcPr>
          <w:p w14:paraId="733C8CB8">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0.0006</w:t>
            </w:r>
          </w:p>
        </w:tc>
        <w:tc>
          <w:tcPr>
            <w:tcW w:w="730" w:type="pct"/>
            <w:shd w:val="clear" w:color="auto" w:fill="auto"/>
            <w:vAlign w:val="center"/>
          </w:tcPr>
          <w:p w14:paraId="2F22E631">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w:t>
            </w:r>
          </w:p>
        </w:tc>
      </w:tr>
      <w:tr w14:paraId="76C6DF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79" w:type="pct"/>
            <w:vMerge w:val="continue"/>
          </w:tcPr>
          <w:p w14:paraId="327FF7BB">
            <w:pPr>
              <w:jc w:val="center"/>
              <w:rPr>
                <w:rFonts w:ascii="Times New Roman" w:hAnsi="Times New Roman" w:eastAsia="宋体" w:cs="Times New Roman"/>
                <w:color w:val="auto"/>
                <w:szCs w:val="21"/>
                <w:lang w:eastAsia="en-US"/>
              </w:rPr>
            </w:pPr>
          </w:p>
        </w:tc>
        <w:tc>
          <w:tcPr>
            <w:tcW w:w="724" w:type="pct"/>
            <w:vMerge w:val="restart"/>
            <w:shd w:val="clear" w:color="auto" w:fill="auto"/>
            <w:vAlign w:val="center"/>
          </w:tcPr>
          <w:p w14:paraId="1E248898">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氨</w:t>
            </w:r>
          </w:p>
        </w:tc>
        <w:tc>
          <w:tcPr>
            <w:tcW w:w="1320" w:type="pct"/>
            <w:shd w:val="clear" w:color="auto" w:fill="auto"/>
            <w:vAlign w:val="center"/>
          </w:tcPr>
          <w:p w14:paraId="24EEF032">
            <w:pPr>
              <w:jc w:val="center"/>
              <w:rPr>
                <w:rFonts w:hint="eastAsia" w:ascii="Times New Roman" w:hAnsi="Times New Roman" w:eastAsia="宋体" w:cs="Times New Roman"/>
                <w:color w:val="auto"/>
                <w:kern w:val="2"/>
                <w:sz w:val="18"/>
                <w:szCs w:val="18"/>
                <w:lang w:val="en-US" w:eastAsia="en-US" w:bidi="ar-SA"/>
              </w:rPr>
            </w:pPr>
            <w:r>
              <w:rPr>
                <w:rFonts w:ascii="Times New Roman" w:hAnsi="Times New Roman" w:eastAsia="宋体" w:cs="Times New Roman"/>
                <w:color w:val="auto"/>
                <w:sz w:val="18"/>
                <w:szCs w:val="18"/>
                <w:lang w:eastAsia="en-US"/>
              </w:rPr>
              <w:t>排放浓度（mg/</w:t>
            </w:r>
            <w:r>
              <w:rPr>
                <w:rFonts w:hint="eastAsia" w:ascii="Times New Roman" w:hAnsi="Times New Roman" w:eastAsia="宋体" w:cs="Times New Roman"/>
                <w:color w:val="auto"/>
                <w:sz w:val="18"/>
                <w:szCs w:val="18"/>
                <w:lang w:eastAsia="zh-CN"/>
              </w:rPr>
              <w:t>m</w:t>
            </w:r>
            <w:r>
              <w:rPr>
                <w:rFonts w:hint="eastAsia" w:ascii="Times New Roman" w:hAnsi="Times New Roman" w:eastAsia="宋体" w:cs="Times New Roman"/>
                <w:color w:val="auto"/>
                <w:sz w:val="18"/>
                <w:szCs w:val="18"/>
                <w:vertAlign w:val="superscript"/>
                <w:lang w:eastAsia="zh-CN"/>
              </w:rPr>
              <w:t>3）</w:t>
            </w:r>
          </w:p>
        </w:tc>
        <w:tc>
          <w:tcPr>
            <w:tcW w:w="596" w:type="pct"/>
            <w:shd w:val="clear" w:color="auto" w:fill="auto"/>
            <w:vAlign w:val="center"/>
          </w:tcPr>
          <w:p w14:paraId="44A00A23">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0.90</w:t>
            </w:r>
          </w:p>
        </w:tc>
        <w:tc>
          <w:tcPr>
            <w:tcW w:w="595" w:type="pct"/>
            <w:shd w:val="clear" w:color="auto" w:fill="auto"/>
            <w:vAlign w:val="center"/>
          </w:tcPr>
          <w:p w14:paraId="4AFBA76F">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0.93</w:t>
            </w:r>
          </w:p>
        </w:tc>
        <w:tc>
          <w:tcPr>
            <w:tcW w:w="653" w:type="pct"/>
            <w:shd w:val="clear" w:color="auto" w:fill="auto"/>
            <w:vAlign w:val="center"/>
          </w:tcPr>
          <w:p w14:paraId="1973C10B">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0.99</w:t>
            </w:r>
          </w:p>
        </w:tc>
        <w:tc>
          <w:tcPr>
            <w:tcW w:w="730" w:type="pct"/>
            <w:shd w:val="clear" w:color="auto" w:fill="auto"/>
            <w:vAlign w:val="center"/>
          </w:tcPr>
          <w:p w14:paraId="2D8F6082">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30</w:t>
            </w:r>
          </w:p>
        </w:tc>
      </w:tr>
      <w:tr w14:paraId="1DF7B9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79" w:type="pct"/>
            <w:vMerge w:val="continue"/>
          </w:tcPr>
          <w:p w14:paraId="33F2AFC1">
            <w:pPr>
              <w:jc w:val="center"/>
              <w:rPr>
                <w:rFonts w:ascii="Times New Roman" w:hAnsi="Times New Roman" w:eastAsia="宋体" w:cs="Times New Roman"/>
                <w:color w:val="auto"/>
                <w:szCs w:val="21"/>
                <w:lang w:eastAsia="en-US"/>
              </w:rPr>
            </w:pPr>
          </w:p>
        </w:tc>
        <w:tc>
          <w:tcPr>
            <w:tcW w:w="724" w:type="pct"/>
            <w:vMerge w:val="continue"/>
          </w:tcPr>
          <w:p w14:paraId="2AC1FDD9">
            <w:pPr>
              <w:jc w:val="center"/>
              <w:rPr>
                <w:rFonts w:hint="eastAsia" w:ascii="Times New Roman" w:hAnsi="Times New Roman" w:eastAsia="宋体" w:cs="Times New Roman"/>
                <w:color w:val="auto"/>
                <w:szCs w:val="21"/>
                <w:lang w:val="en-US" w:eastAsia="zh-CN"/>
              </w:rPr>
            </w:pPr>
          </w:p>
        </w:tc>
        <w:tc>
          <w:tcPr>
            <w:tcW w:w="1320" w:type="pct"/>
            <w:shd w:val="clear" w:color="auto" w:fill="auto"/>
            <w:vAlign w:val="center"/>
          </w:tcPr>
          <w:p w14:paraId="67BA4923">
            <w:pPr>
              <w:jc w:val="center"/>
              <w:rPr>
                <w:rFonts w:hint="eastAsia" w:ascii="Times New Roman" w:hAnsi="Times New Roman" w:eastAsia="宋体" w:cs="Times New Roman"/>
                <w:color w:val="auto"/>
                <w:kern w:val="2"/>
                <w:sz w:val="18"/>
                <w:szCs w:val="18"/>
                <w:lang w:val="en-US" w:eastAsia="en-US" w:bidi="ar-SA"/>
              </w:rPr>
            </w:pPr>
            <w:r>
              <w:rPr>
                <w:rFonts w:ascii="Times New Roman" w:hAnsi="Times New Roman" w:eastAsia="宋体" w:cs="Times New Roman"/>
                <w:color w:val="auto"/>
                <w:sz w:val="18"/>
                <w:szCs w:val="18"/>
                <w:lang w:eastAsia="en-US"/>
              </w:rPr>
              <w:t>排放速率（kg/h）</w:t>
            </w:r>
          </w:p>
        </w:tc>
        <w:tc>
          <w:tcPr>
            <w:tcW w:w="596" w:type="pct"/>
            <w:shd w:val="clear" w:color="auto" w:fill="auto"/>
            <w:vAlign w:val="center"/>
          </w:tcPr>
          <w:p w14:paraId="74171914">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0.004</w:t>
            </w:r>
          </w:p>
        </w:tc>
        <w:tc>
          <w:tcPr>
            <w:tcW w:w="595" w:type="pct"/>
            <w:shd w:val="clear" w:color="auto" w:fill="auto"/>
            <w:vAlign w:val="center"/>
          </w:tcPr>
          <w:p w14:paraId="4507FA8C">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0.004</w:t>
            </w:r>
          </w:p>
        </w:tc>
        <w:tc>
          <w:tcPr>
            <w:tcW w:w="653" w:type="pct"/>
            <w:shd w:val="clear" w:color="auto" w:fill="auto"/>
            <w:vAlign w:val="center"/>
          </w:tcPr>
          <w:p w14:paraId="143D56BC">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0.004</w:t>
            </w:r>
          </w:p>
        </w:tc>
        <w:tc>
          <w:tcPr>
            <w:tcW w:w="730" w:type="pct"/>
            <w:shd w:val="clear" w:color="auto" w:fill="auto"/>
            <w:vAlign w:val="center"/>
          </w:tcPr>
          <w:p w14:paraId="7C7B14C3">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w:t>
            </w:r>
          </w:p>
        </w:tc>
      </w:tr>
      <w:tr w14:paraId="4951C7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79" w:type="pct"/>
            <w:vMerge w:val="continue"/>
          </w:tcPr>
          <w:p w14:paraId="23E66D35">
            <w:pPr>
              <w:jc w:val="center"/>
              <w:rPr>
                <w:rFonts w:ascii="Times New Roman" w:hAnsi="Times New Roman" w:eastAsia="宋体" w:cs="Times New Roman"/>
                <w:color w:val="auto"/>
                <w:szCs w:val="21"/>
                <w:lang w:eastAsia="en-US"/>
              </w:rPr>
            </w:pPr>
          </w:p>
        </w:tc>
        <w:tc>
          <w:tcPr>
            <w:tcW w:w="724" w:type="pct"/>
            <w:vMerge w:val="restart"/>
            <w:shd w:val="clear" w:color="auto" w:fill="auto"/>
            <w:vAlign w:val="center"/>
          </w:tcPr>
          <w:p w14:paraId="5F17AA71">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硫化氢</w:t>
            </w:r>
          </w:p>
        </w:tc>
        <w:tc>
          <w:tcPr>
            <w:tcW w:w="1320" w:type="pct"/>
            <w:shd w:val="clear" w:color="auto" w:fill="auto"/>
            <w:vAlign w:val="center"/>
          </w:tcPr>
          <w:p w14:paraId="51C534CF">
            <w:pPr>
              <w:jc w:val="center"/>
              <w:rPr>
                <w:rFonts w:hint="eastAsia" w:ascii="Times New Roman" w:hAnsi="Times New Roman" w:eastAsia="宋体" w:cs="Times New Roman"/>
                <w:color w:val="auto"/>
                <w:kern w:val="2"/>
                <w:sz w:val="18"/>
                <w:szCs w:val="18"/>
                <w:lang w:val="en-US" w:eastAsia="en-US" w:bidi="ar-SA"/>
              </w:rPr>
            </w:pPr>
            <w:r>
              <w:rPr>
                <w:rFonts w:ascii="Times New Roman" w:hAnsi="Times New Roman" w:eastAsia="宋体" w:cs="Times New Roman"/>
                <w:color w:val="auto"/>
                <w:sz w:val="18"/>
                <w:szCs w:val="18"/>
                <w:lang w:eastAsia="en-US"/>
              </w:rPr>
              <w:t>排放浓度（mg/</w:t>
            </w:r>
            <w:r>
              <w:rPr>
                <w:rFonts w:hint="eastAsia" w:ascii="Times New Roman" w:hAnsi="Times New Roman" w:eastAsia="宋体" w:cs="Times New Roman"/>
                <w:color w:val="auto"/>
                <w:sz w:val="18"/>
                <w:szCs w:val="18"/>
                <w:lang w:eastAsia="zh-CN"/>
              </w:rPr>
              <w:t>m</w:t>
            </w:r>
            <w:r>
              <w:rPr>
                <w:rFonts w:hint="eastAsia" w:ascii="Times New Roman" w:hAnsi="Times New Roman" w:eastAsia="宋体" w:cs="Times New Roman"/>
                <w:color w:val="auto"/>
                <w:sz w:val="18"/>
                <w:szCs w:val="18"/>
                <w:vertAlign w:val="superscript"/>
                <w:lang w:eastAsia="zh-CN"/>
              </w:rPr>
              <w:t>3</w:t>
            </w:r>
            <w:r>
              <w:rPr>
                <w:rFonts w:ascii="Times New Roman" w:hAnsi="Times New Roman" w:eastAsia="宋体" w:cs="Times New Roman"/>
                <w:color w:val="auto"/>
                <w:sz w:val="18"/>
                <w:szCs w:val="18"/>
                <w:lang w:eastAsia="en-US"/>
              </w:rPr>
              <w:t>）</w:t>
            </w:r>
          </w:p>
        </w:tc>
        <w:tc>
          <w:tcPr>
            <w:tcW w:w="596" w:type="pct"/>
            <w:shd w:val="clear" w:color="auto" w:fill="auto"/>
            <w:vAlign w:val="center"/>
          </w:tcPr>
          <w:p w14:paraId="43361C62">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0.027</w:t>
            </w:r>
          </w:p>
        </w:tc>
        <w:tc>
          <w:tcPr>
            <w:tcW w:w="595" w:type="pct"/>
            <w:shd w:val="clear" w:color="auto" w:fill="auto"/>
            <w:vAlign w:val="center"/>
          </w:tcPr>
          <w:p w14:paraId="030302B8">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0.020</w:t>
            </w:r>
          </w:p>
        </w:tc>
        <w:tc>
          <w:tcPr>
            <w:tcW w:w="653" w:type="pct"/>
            <w:shd w:val="clear" w:color="auto" w:fill="auto"/>
            <w:vAlign w:val="center"/>
          </w:tcPr>
          <w:p w14:paraId="01DC863D">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0.109</w:t>
            </w:r>
          </w:p>
        </w:tc>
        <w:tc>
          <w:tcPr>
            <w:tcW w:w="730" w:type="pct"/>
            <w:shd w:val="clear" w:color="auto" w:fill="auto"/>
            <w:vAlign w:val="center"/>
          </w:tcPr>
          <w:p w14:paraId="6DACD074">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5</w:t>
            </w:r>
          </w:p>
        </w:tc>
      </w:tr>
      <w:tr w14:paraId="39902E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79" w:type="pct"/>
            <w:vMerge w:val="continue"/>
          </w:tcPr>
          <w:p w14:paraId="18E4B1AC">
            <w:pPr>
              <w:jc w:val="center"/>
              <w:rPr>
                <w:rFonts w:ascii="Times New Roman" w:hAnsi="Times New Roman" w:eastAsia="宋体" w:cs="Times New Roman"/>
                <w:color w:val="auto"/>
                <w:szCs w:val="21"/>
                <w:lang w:eastAsia="en-US"/>
              </w:rPr>
            </w:pPr>
          </w:p>
        </w:tc>
        <w:tc>
          <w:tcPr>
            <w:tcW w:w="724" w:type="pct"/>
            <w:vMerge w:val="continue"/>
          </w:tcPr>
          <w:p w14:paraId="245C0B1B">
            <w:pPr>
              <w:jc w:val="center"/>
              <w:rPr>
                <w:rFonts w:hint="eastAsia" w:ascii="Times New Roman" w:hAnsi="Times New Roman" w:eastAsia="宋体" w:cs="Times New Roman"/>
                <w:color w:val="auto"/>
                <w:szCs w:val="21"/>
                <w:lang w:val="en-US" w:eastAsia="zh-CN"/>
              </w:rPr>
            </w:pPr>
          </w:p>
        </w:tc>
        <w:tc>
          <w:tcPr>
            <w:tcW w:w="1320" w:type="pct"/>
            <w:shd w:val="clear" w:color="auto" w:fill="auto"/>
            <w:vAlign w:val="center"/>
          </w:tcPr>
          <w:p w14:paraId="63D455D0">
            <w:pPr>
              <w:jc w:val="center"/>
              <w:rPr>
                <w:rFonts w:hint="eastAsia" w:ascii="Times New Roman" w:hAnsi="Times New Roman" w:eastAsia="宋体" w:cs="Times New Roman"/>
                <w:color w:val="auto"/>
                <w:kern w:val="2"/>
                <w:sz w:val="18"/>
                <w:szCs w:val="18"/>
                <w:lang w:val="en-US" w:eastAsia="en-US" w:bidi="ar-SA"/>
              </w:rPr>
            </w:pPr>
            <w:r>
              <w:rPr>
                <w:rFonts w:ascii="Times New Roman" w:hAnsi="Times New Roman" w:eastAsia="宋体" w:cs="Times New Roman"/>
                <w:color w:val="auto"/>
                <w:sz w:val="18"/>
                <w:szCs w:val="18"/>
                <w:lang w:eastAsia="en-US"/>
              </w:rPr>
              <w:t>排放速率（kg/h）</w:t>
            </w:r>
          </w:p>
        </w:tc>
        <w:tc>
          <w:tcPr>
            <w:tcW w:w="596" w:type="pct"/>
            <w:shd w:val="clear" w:color="auto" w:fill="auto"/>
            <w:vAlign w:val="center"/>
          </w:tcPr>
          <w:p w14:paraId="75EDB03C">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0.00012</w:t>
            </w:r>
          </w:p>
        </w:tc>
        <w:tc>
          <w:tcPr>
            <w:tcW w:w="595" w:type="pct"/>
            <w:shd w:val="clear" w:color="auto" w:fill="auto"/>
            <w:vAlign w:val="center"/>
          </w:tcPr>
          <w:p w14:paraId="39765B03">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0.000089</w:t>
            </w:r>
          </w:p>
        </w:tc>
        <w:tc>
          <w:tcPr>
            <w:tcW w:w="653" w:type="pct"/>
            <w:shd w:val="clear" w:color="auto" w:fill="auto"/>
            <w:vAlign w:val="center"/>
          </w:tcPr>
          <w:p w14:paraId="7DE8742E">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0.00048</w:t>
            </w:r>
          </w:p>
        </w:tc>
        <w:tc>
          <w:tcPr>
            <w:tcW w:w="730" w:type="pct"/>
            <w:shd w:val="clear" w:color="auto" w:fill="auto"/>
            <w:vAlign w:val="center"/>
          </w:tcPr>
          <w:p w14:paraId="3297194A">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w:t>
            </w:r>
          </w:p>
        </w:tc>
      </w:tr>
      <w:tr w14:paraId="3EBC71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79" w:type="pct"/>
            <w:vMerge w:val="restart"/>
            <w:shd w:val="clear" w:color="auto" w:fill="auto"/>
            <w:vAlign w:val="center"/>
          </w:tcPr>
          <w:p w14:paraId="55B05035">
            <w:pPr>
              <w:jc w:val="center"/>
              <w:rPr>
                <w:rFonts w:ascii="Times New Roman" w:hAnsi="Times New Roman" w:eastAsia="宋体" w:cs="Times New Roman"/>
                <w:color w:val="auto"/>
                <w:kern w:val="2"/>
                <w:sz w:val="18"/>
                <w:szCs w:val="18"/>
                <w:lang w:val="en-US" w:eastAsia="en-US" w:bidi="ar-SA"/>
              </w:rPr>
            </w:pPr>
            <w:r>
              <w:rPr>
                <w:rFonts w:hint="eastAsia" w:ascii="Times New Roman" w:hAnsi="Times New Roman" w:eastAsia="宋体" w:cs="Times New Roman"/>
                <w:color w:val="auto"/>
                <w:sz w:val="18"/>
                <w:szCs w:val="18"/>
                <w:lang w:val="en-US" w:eastAsia="zh-CN"/>
              </w:rPr>
              <w:t>DA003干燥废气排气筒出口</w:t>
            </w:r>
          </w:p>
        </w:tc>
        <w:tc>
          <w:tcPr>
            <w:tcW w:w="724" w:type="pct"/>
            <w:shd w:val="clear" w:color="auto" w:fill="auto"/>
            <w:vAlign w:val="center"/>
          </w:tcPr>
          <w:p w14:paraId="04163E97">
            <w:pPr>
              <w:jc w:val="center"/>
              <w:rPr>
                <w:rFonts w:hint="eastAsia" w:ascii="Times New Roman" w:hAnsi="Times New Roman" w:eastAsia="宋体" w:cs="Times New Roman"/>
                <w:color w:val="auto"/>
                <w:kern w:val="2"/>
                <w:sz w:val="18"/>
                <w:szCs w:val="18"/>
                <w:lang w:val="en-US" w:eastAsia="zh-CN" w:bidi="ar-SA"/>
              </w:rPr>
            </w:pPr>
            <w:r>
              <w:rPr>
                <w:rFonts w:ascii="Times New Roman" w:hAnsi="Times New Roman" w:eastAsia="宋体" w:cs="Times New Roman"/>
                <w:color w:val="auto"/>
                <w:sz w:val="18"/>
                <w:szCs w:val="18"/>
                <w:lang w:eastAsia="en-US"/>
              </w:rPr>
              <w:t>烟气流量</w:t>
            </w:r>
          </w:p>
        </w:tc>
        <w:tc>
          <w:tcPr>
            <w:tcW w:w="1320" w:type="pct"/>
            <w:shd w:val="clear" w:color="auto" w:fill="auto"/>
            <w:vAlign w:val="center"/>
          </w:tcPr>
          <w:p w14:paraId="3200ACAC">
            <w:pPr>
              <w:jc w:val="center"/>
              <w:rPr>
                <w:rFonts w:hint="eastAsia" w:ascii="Times New Roman" w:hAnsi="Times New Roman" w:eastAsia="宋体" w:cs="Times New Roman"/>
                <w:color w:val="auto"/>
                <w:kern w:val="2"/>
                <w:sz w:val="18"/>
                <w:szCs w:val="18"/>
                <w:lang w:val="en-US" w:eastAsia="en-US" w:bidi="ar-SA"/>
              </w:rPr>
            </w:pPr>
            <w:r>
              <w:rPr>
                <w:rFonts w:ascii="Times New Roman" w:hAnsi="Times New Roman" w:eastAsia="宋体" w:cs="Times New Roman"/>
                <w:color w:val="auto"/>
                <w:sz w:val="18"/>
                <w:szCs w:val="18"/>
                <w:lang w:eastAsia="en-US"/>
              </w:rPr>
              <w:t>（N•</w:t>
            </w:r>
            <w:r>
              <w:rPr>
                <w:rFonts w:hint="eastAsia" w:ascii="Times New Roman" w:hAnsi="Times New Roman" w:eastAsia="宋体" w:cs="Times New Roman"/>
                <w:color w:val="auto"/>
                <w:sz w:val="18"/>
                <w:szCs w:val="18"/>
                <w:lang w:eastAsia="zh-CN"/>
              </w:rPr>
              <w:t>m</w:t>
            </w:r>
            <w:r>
              <w:rPr>
                <w:rFonts w:hint="eastAsia" w:ascii="Times New Roman" w:hAnsi="Times New Roman" w:eastAsia="宋体" w:cs="Times New Roman"/>
                <w:color w:val="auto"/>
                <w:sz w:val="18"/>
                <w:szCs w:val="18"/>
                <w:vertAlign w:val="superscript"/>
                <w:lang w:eastAsia="zh-CN"/>
              </w:rPr>
              <w:t>3</w:t>
            </w:r>
            <w:r>
              <w:rPr>
                <w:rFonts w:ascii="Times New Roman" w:hAnsi="Times New Roman" w:eastAsia="宋体" w:cs="Times New Roman"/>
                <w:color w:val="auto"/>
                <w:sz w:val="18"/>
                <w:szCs w:val="18"/>
                <w:lang w:eastAsia="en-US"/>
              </w:rPr>
              <w:t>/h）</w:t>
            </w:r>
          </w:p>
        </w:tc>
        <w:tc>
          <w:tcPr>
            <w:tcW w:w="596" w:type="pct"/>
            <w:shd w:val="clear" w:color="auto" w:fill="auto"/>
            <w:vAlign w:val="center"/>
          </w:tcPr>
          <w:p w14:paraId="4FE65751">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1618</w:t>
            </w:r>
          </w:p>
        </w:tc>
        <w:tc>
          <w:tcPr>
            <w:tcW w:w="595" w:type="pct"/>
            <w:shd w:val="clear" w:color="auto" w:fill="auto"/>
            <w:vAlign w:val="center"/>
          </w:tcPr>
          <w:p w14:paraId="76619B3C">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1672</w:t>
            </w:r>
          </w:p>
        </w:tc>
        <w:tc>
          <w:tcPr>
            <w:tcW w:w="653" w:type="pct"/>
            <w:shd w:val="clear" w:color="auto" w:fill="auto"/>
            <w:vAlign w:val="center"/>
          </w:tcPr>
          <w:p w14:paraId="250D7D5E">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1686</w:t>
            </w:r>
          </w:p>
        </w:tc>
        <w:tc>
          <w:tcPr>
            <w:tcW w:w="730" w:type="pct"/>
            <w:shd w:val="clear" w:color="auto" w:fill="auto"/>
            <w:vAlign w:val="center"/>
          </w:tcPr>
          <w:p w14:paraId="050A5385">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w:t>
            </w:r>
          </w:p>
        </w:tc>
      </w:tr>
      <w:tr w14:paraId="518007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79" w:type="pct"/>
            <w:vMerge w:val="continue"/>
          </w:tcPr>
          <w:p w14:paraId="1E18284F">
            <w:pPr>
              <w:jc w:val="center"/>
              <w:rPr>
                <w:rFonts w:ascii="Times New Roman" w:hAnsi="Times New Roman" w:eastAsia="宋体" w:cs="Times New Roman"/>
                <w:color w:val="auto"/>
                <w:szCs w:val="21"/>
                <w:lang w:eastAsia="en-US"/>
              </w:rPr>
            </w:pPr>
          </w:p>
        </w:tc>
        <w:tc>
          <w:tcPr>
            <w:tcW w:w="724" w:type="pct"/>
            <w:vMerge w:val="restart"/>
            <w:shd w:val="clear" w:color="auto" w:fill="auto"/>
            <w:vAlign w:val="center"/>
          </w:tcPr>
          <w:p w14:paraId="08896535">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颗粒物</w:t>
            </w:r>
          </w:p>
        </w:tc>
        <w:tc>
          <w:tcPr>
            <w:tcW w:w="1320" w:type="pct"/>
            <w:shd w:val="clear" w:color="auto" w:fill="auto"/>
            <w:vAlign w:val="center"/>
          </w:tcPr>
          <w:p w14:paraId="331F962D">
            <w:pPr>
              <w:jc w:val="center"/>
              <w:rPr>
                <w:rFonts w:hint="eastAsia" w:ascii="Times New Roman" w:hAnsi="Times New Roman" w:eastAsia="宋体" w:cs="Times New Roman"/>
                <w:color w:val="auto"/>
                <w:kern w:val="2"/>
                <w:sz w:val="18"/>
                <w:szCs w:val="18"/>
                <w:lang w:val="en-US" w:eastAsia="en-US" w:bidi="ar-SA"/>
              </w:rPr>
            </w:pPr>
            <w:r>
              <w:rPr>
                <w:rFonts w:ascii="Times New Roman" w:hAnsi="Times New Roman" w:eastAsia="宋体" w:cs="Times New Roman"/>
                <w:color w:val="auto"/>
                <w:sz w:val="18"/>
                <w:szCs w:val="18"/>
                <w:lang w:eastAsia="en-US"/>
              </w:rPr>
              <w:t>排放浓度（mg/</w:t>
            </w:r>
            <w:r>
              <w:rPr>
                <w:rFonts w:hint="eastAsia" w:ascii="Times New Roman" w:hAnsi="Times New Roman" w:eastAsia="宋体" w:cs="Times New Roman"/>
                <w:color w:val="auto"/>
                <w:sz w:val="18"/>
                <w:szCs w:val="18"/>
                <w:lang w:eastAsia="zh-CN"/>
              </w:rPr>
              <w:t>m</w:t>
            </w:r>
            <w:r>
              <w:rPr>
                <w:rFonts w:hint="eastAsia" w:ascii="Times New Roman" w:hAnsi="Times New Roman" w:eastAsia="宋体" w:cs="Times New Roman"/>
                <w:color w:val="auto"/>
                <w:sz w:val="18"/>
                <w:szCs w:val="18"/>
                <w:vertAlign w:val="superscript"/>
                <w:lang w:eastAsia="zh-CN"/>
              </w:rPr>
              <w:t>3</w:t>
            </w:r>
            <w:r>
              <w:rPr>
                <w:rFonts w:ascii="Times New Roman" w:hAnsi="Times New Roman" w:eastAsia="宋体" w:cs="Times New Roman"/>
                <w:color w:val="auto"/>
                <w:sz w:val="18"/>
                <w:szCs w:val="18"/>
                <w:lang w:eastAsia="en-US"/>
              </w:rPr>
              <w:t>）</w:t>
            </w:r>
          </w:p>
        </w:tc>
        <w:tc>
          <w:tcPr>
            <w:tcW w:w="596" w:type="pct"/>
            <w:shd w:val="clear" w:color="auto" w:fill="auto"/>
            <w:vAlign w:val="center"/>
          </w:tcPr>
          <w:p w14:paraId="436BEAEE">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17.5</w:t>
            </w:r>
          </w:p>
        </w:tc>
        <w:tc>
          <w:tcPr>
            <w:tcW w:w="595" w:type="pct"/>
            <w:shd w:val="clear" w:color="auto" w:fill="auto"/>
            <w:vAlign w:val="center"/>
          </w:tcPr>
          <w:p w14:paraId="6B2554DF">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17.8</w:t>
            </w:r>
          </w:p>
        </w:tc>
        <w:tc>
          <w:tcPr>
            <w:tcW w:w="653" w:type="pct"/>
            <w:shd w:val="clear" w:color="auto" w:fill="auto"/>
            <w:vAlign w:val="center"/>
          </w:tcPr>
          <w:p w14:paraId="051EE936">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18.5</w:t>
            </w:r>
          </w:p>
        </w:tc>
        <w:tc>
          <w:tcPr>
            <w:tcW w:w="730" w:type="pct"/>
            <w:shd w:val="clear" w:color="auto" w:fill="auto"/>
            <w:vAlign w:val="center"/>
          </w:tcPr>
          <w:p w14:paraId="7FFE42FB">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30</w:t>
            </w:r>
          </w:p>
        </w:tc>
      </w:tr>
      <w:tr w14:paraId="621EB5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79" w:type="pct"/>
            <w:vMerge w:val="continue"/>
          </w:tcPr>
          <w:p w14:paraId="62F87AE4">
            <w:pPr>
              <w:jc w:val="center"/>
              <w:rPr>
                <w:rFonts w:ascii="Times New Roman" w:hAnsi="Times New Roman" w:eastAsia="宋体" w:cs="Times New Roman"/>
                <w:color w:val="auto"/>
                <w:szCs w:val="21"/>
                <w:lang w:eastAsia="en-US"/>
              </w:rPr>
            </w:pPr>
          </w:p>
        </w:tc>
        <w:tc>
          <w:tcPr>
            <w:tcW w:w="724" w:type="pct"/>
            <w:vMerge w:val="continue"/>
          </w:tcPr>
          <w:p w14:paraId="3EC62B4A">
            <w:pPr>
              <w:jc w:val="center"/>
              <w:rPr>
                <w:rFonts w:hint="eastAsia" w:ascii="Times New Roman" w:hAnsi="Times New Roman" w:eastAsia="宋体" w:cs="Times New Roman"/>
                <w:color w:val="auto"/>
                <w:szCs w:val="21"/>
                <w:lang w:val="en-US" w:eastAsia="zh-CN"/>
              </w:rPr>
            </w:pPr>
          </w:p>
        </w:tc>
        <w:tc>
          <w:tcPr>
            <w:tcW w:w="1320" w:type="pct"/>
            <w:shd w:val="clear" w:color="auto" w:fill="auto"/>
            <w:vAlign w:val="center"/>
          </w:tcPr>
          <w:p w14:paraId="5C567CA4">
            <w:pPr>
              <w:jc w:val="center"/>
              <w:rPr>
                <w:rFonts w:hint="eastAsia" w:ascii="Times New Roman" w:hAnsi="Times New Roman" w:eastAsia="宋体" w:cs="Times New Roman"/>
                <w:color w:val="auto"/>
                <w:kern w:val="2"/>
                <w:sz w:val="18"/>
                <w:szCs w:val="18"/>
                <w:lang w:val="en-US" w:eastAsia="en-US" w:bidi="ar-SA"/>
              </w:rPr>
            </w:pPr>
            <w:r>
              <w:rPr>
                <w:rFonts w:ascii="Times New Roman" w:hAnsi="Times New Roman" w:eastAsia="宋体" w:cs="Times New Roman"/>
                <w:color w:val="auto"/>
                <w:sz w:val="18"/>
                <w:szCs w:val="18"/>
                <w:lang w:eastAsia="en-US"/>
              </w:rPr>
              <w:t>排放速率（kg/h）</w:t>
            </w:r>
          </w:p>
        </w:tc>
        <w:tc>
          <w:tcPr>
            <w:tcW w:w="596" w:type="pct"/>
            <w:shd w:val="clear" w:color="auto" w:fill="auto"/>
            <w:vAlign w:val="center"/>
          </w:tcPr>
          <w:p w14:paraId="065C9EF1">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0.03</w:t>
            </w:r>
          </w:p>
        </w:tc>
        <w:tc>
          <w:tcPr>
            <w:tcW w:w="595" w:type="pct"/>
            <w:shd w:val="clear" w:color="auto" w:fill="auto"/>
            <w:vAlign w:val="center"/>
          </w:tcPr>
          <w:p w14:paraId="496F5D3B">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0.03</w:t>
            </w:r>
          </w:p>
        </w:tc>
        <w:tc>
          <w:tcPr>
            <w:tcW w:w="653" w:type="pct"/>
            <w:shd w:val="clear" w:color="auto" w:fill="auto"/>
            <w:vAlign w:val="center"/>
          </w:tcPr>
          <w:p w14:paraId="5DC33855">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0.03</w:t>
            </w:r>
          </w:p>
        </w:tc>
        <w:tc>
          <w:tcPr>
            <w:tcW w:w="730" w:type="pct"/>
            <w:shd w:val="clear" w:color="auto" w:fill="auto"/>
            <w:vAlign w:val="center"/>
          </w:tcPr>
          <w:p w14:paraId="30942052">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w:t>
            </w:r>
          </w:p>
        </w:tc>
      </w:tr>
      <w:tr w14:paraId="2EC430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79" w:type="pct"/>
            <w:vMerge w:val="continue"/>
          </w:tcPr>
          <w:p w14:paraId="4F0771C5">
            <w:pPr>
              <w:jc w:val="center"/>
              <w:rPr>
                <w:rFonts w:ascii="Times New Roman" w:hAnsi="Times New Roman" w:eastAsia="宋体" w:cs="Times New Roman"/>
                <w:color w:val="auto"/>
                <w:szCs w:val="21"/>
                <w:lang w:eastAsia="en-US"/>
              </w:rPr>
            </w:pPr>
          </w:p>
        </w:tc>
        <w:tc>
          <w:tcPr>
            <w:tcW w:w="724" w:type="pct"/>
            <w:vMerge w:val="restart"/>
            <w:shd w:val="clear" w:color="auto" w:fill="auto"/>
            <w:vAlign w:val="center"/>
          </w:tcPr>
          <w:p w14:paraId="74D37897">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挥发性有机物</w:t>
            </w:r>
          </w:p>
        </w:tc>
        <w:tc>
          <w:tcPr>
            <w:tcW w:w="1320" w:type="pct"/>
            <w:shd w:val="clear" w:color="auto" w:fill="auto"/>
            <w:vAlign w:val="center"/>
          </w:tcPr>
          <w:p w14:paraId="37BFF0F4">
            <w:pPr>
              <w:jc w:val="center"/>
              <w:rPr>
                <w:rFonts w:hint="eastAsia" w:ascii="Times New Roman" w:hAnsi="Times New Roman" w:eastAsia="宋体" w:cs="Times New Roman"/>
                <w:color w:val="auto"/>
                <w:kern w:val="2"/>
                <w:sz w:val="18"/>
                <w:szCs w:val="18"/>
                <w:lang w:val="en-US" w:eastAsia="en-US" w:bidi="ar-SA"/>
              </w:rPr>
            </w:pPr>
            <w:r>
              <w:rPr>
                <w:rFonts w:ascii="Times New Roman" w:hAnsi="Times New Roman" w:eastAsia="宋体" w:cs="Times New Roman"/>
                <w:color w:val="auto"/>
                <w:sz w:val="18"/>
                <w:szCs w:val="18"/>
                <w:lang w:eastAsia="en-US"/>
              </w:rPr>
              <w:t>排放浓度（mg/</w:t>
            </w:r>
            <w:r>
              <w:rPr>
                <w:rFonts w:hint="eastAsia" w:ascii="Times New Roman" w:hAnsi="Times New Roman" w:eastAsia="宋体" w:cs="Times New Roman"/>
                <w:color w:val="auto"/>
                <w:sz w:val="18"/>
                <w:szCs w:val="18"/>
                <w:lang w:eastAsia="zh-CN"/>
              </w:rPr>
              <w:t>m</w:t>
            </w:r>
            <w:r>
              <w:rPr>
                <w:rFonts w:hint="eastAsia" w:ascii="Times New Roman" w:hAnsi="Times New Roman" w:eastAsia="宋体" w:cs="Times New Roman"/>
                <w:color w:val="auto"/>
                <w:sz w:val="18"/>
                <w:szCs w:val="18"/>
                <w:vertAlign w:val="superscript"/>
                <w:lang w:eastAsia="zh-CN"/>
              </w:rPr>
              <w:t>3</w:t>
            </w:r>
            <w:r>
              <w:rPr>
                <w:rFonts w:ascii="Times New Roman" w:hAnsi="Times New Roman" w:eastAsia="宋体" w:cs="Times New Roman"/>
                <w:color w:val="auto"/>
                <w:sz w:val="18"/>
                <w:szCs w:val="18"/>
                <w:lang w:eastAsia="en-US"/>
              </w:rPr>
              <w:t>）</w:t>
            </w:r>
          </w:p>
        </w:tc>
        <w:tc>
          <w:tcPr>
            <w:tcW w:w="596" w:type="pct"/>
            <w:shd w:val="clear" w:color="auto" w:fill="auto"/>
            <w:vAlign w:val="center"/>
          </w:tcPr>
          <w:p w14:paraId="6A71D849">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0.298</w:t>
            </w:r>
          </w:p>
        </w:tc>
        <w:tc>
          <w:tcPr>
            <w:tcW w:w="595" w:type="pct"/>
            <w:shd w:val="clear" w:color="auto" w:fill="auto"/>
            <w:vAlign w:val="center"/>
          </w:tcPr>
          <w:p w14:paraId="5291B16F">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0.292</w:t>
            </w:r>
          </w:p>
        </w:tc>
        <w:tc>
          <w:tcPr>
            <w:tcW w:w="653" w:type="pct"/>
            <w:shd w:val="clear" w:color="auto" w:fill="auto"/>
            <w:vAlign w:val="center"/>
          </w:tcPr>
          <w:p w14:paraId="671E7A87">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0.345</w:t>
            </w:r>
          </w:p>
        </w:tc>
        <w:tc>
          <w:tcPr>
            <w:tcW w:w="730" w:type="pct"/>
            <w:shd w:val="clear" w:color="auto" w:fill="auto"/>
            <w:vAlign w:val="center"/>
          </w:tcPr>
          <w:p w14:paraId="70C0039D">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40</w:t>
            </w:r>
          </w:p>
        </w:tc>
      </w:tr>
      <w:tr w14:paraId="0639D2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79" w:type="pct"/>
            <w:vMerge w:val="continue"/>
          </w:tcPr>
          <w:p w14:paraId="6CBC8CAC">
            <w:pPr>
              <w:jc w:val="center"/>
              <w:rPr>
                <w:rFonts w:ascii="Times New Roman" w:hAnsi="Times New Roman" w:eastAsia="宋体" w:cs="Times New Roman"/>
                <w:color w:val="auto"/>
                <w:szCs w:val="21"/>
                <w:lang w:eastAsia="en-US"/>
              </w:rPr>
            </w:pPr>
          </w:p>
        </w:tc>
        <w:tc>
          <w:tcPr>
            <w:tcW w:w="724" w:type="pct"/>
            <w:vMerge w:val="continue"/>
          </w:tcPr>
          <w:p w14:paraId="1C5BFA93">
            <w:pPr>
              <w:jc w:val="center"/>
              <w:rPr>
                <w:rFonts w:hint="eastAsia" w:ascii="Times New Roman" w:hAnsi="Times New Roman" w:eastAsia="宋体" w:cs="Times New Roman"/>
                <w:color w:val="auto"/>
                <w:szCs w:val="21"/>
                <w:lang w:val="en-US" w:eastAsia="zh-CN"/>
              </w:rPr>
            </w:pPr>
          </w:p>
        </w:tc>
        <w:tc>
          <w:tcPr>
            <w:tcW w:w="1320" w:type="pct"/>
            <w:shd w:val="clear" w:color="auto" w:fill="auto"/>
            <w:vAlign w:val="center"/>
          </w:tcPr>
          <w:p w14:paraId="3C90756B">
            <w:pPr>
              <w:jc w:val="center"/>
              <w:rPr>
                <w:rFonts w:hint="eastAsia" w:ascii="Times New Roman" w:hAnsi="Times New Roman" w:eastAsia="宋体" w:cs="Times New Roman"/>
                <w:color w:val="auto"/>
                <w:kern w:val="2"/>
                <w:sz w:val="18"/>
                <w:szCs w:val="18"/>
                <w:lang w:val="en-US" w:eastAsia="en-US" w:bidi="ar-SA"/>
              </w:rPr>
            </w:pPr>
            <w:r>
              <w:rPr>
                <w:rFonts w:ascii="Times New Roman" w:hAnsi="Times New Roman" w:eastAsia="宋体" w:cs="Times New Roman"/>
                <w:color w:val="auto"/>
                <w:sz w:val="18"/>
                <w:szCs w:val="18"/>
                <w:lang w:eastAsia="en-US"/>
              </w:rPr>
              <w:t>排放速率（kg/h）</w:t>
            </w:r>
          </w:p>
        </w:tc>
        <w:tc>
          <w:tcPr>
            <w:tcW w:w="596" w:type="pct"/>
            <w:shd w:val="clear" w:color="auto" w:fill="auto"/>
            <w:vAlign w:val="center"/>
          </w:tcPr>
          <w:p w14:paraId="6E0921D5">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0.00048</w:t>
            </w:r>
          </w:p>
        </w:tc>
        <w:tc>
          <w:tcPr>
            <w:tcW w:w="595" w:type="pct"/>
            <w:shd w:val="clear" w:color="auto" w:fill="auto"/>
            <w:vAlign w:val="center"/>
          </w:tcPr>
          <w:p w14:paraId="07752751">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0.00049</w:t>
            </w:r>
          </w:p>
        </w:tc>
        <w:tc>
          <w:tcPr>
            <w:tcW w:w="653" w:type="pct"/>
            <w:shd w:val="clear" w:color="auto" w:fill="auto"/>
            <w:vAlign w:val="center"/>
          </w:tcPr>
          <w:p w14:paraId="65277C31">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0.00058</w:t>
            </w:r>
          </w:p>
        </w:tc>
        <w:tc>
          <w:tcPr>
            <w:tcW w:w="730" w:type="pct"/>
            <w:shd w:val="clear" w:color="auto" w:fill="auto"/>
            <w:vAlign w:val="center"/>
          </w:tcPr>
          <w:p w14:paraId="05611B6D">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w:t>
            </w:r>
          </w:p>
        </w:tc>
      </w:tr>
      <w:tr w14:paraId="571AA7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79" w:type="pct"/>
            <w:vMerge w:val="continue"/>
          </w:tcPr>
          <w:p w14:paraId="7CD1DD20">
            <w:pPr>
              <w:jc w:val="center"/>
              <w:rPr>
                <w:rFonts w:ascii="Times New Roman" w:hAnsi="Times New Roman" w:eastAsia="宋体" w:cs="Times New Roman"/>
                <w:color w:val="auto"/>
                <w:szCs w:val="21"/>
                <w:lang w:eastAsia="en-US"/>
              </w:rPr>
            </w:pPr>
          </w:p>
        </w:tc>
        <w:tc>
          <w:tcPr>
            <w:tcW w:w="724" w:type="pct"/>
            <w:vMerge w:val="restart"/>
            <w:shd w:val="clear" w:color="auto" w:fill="auto"/>
            <w:vAlign w:val="center"/>
          </w:tcPr>
          <w:p w14:paraId="56FDD926">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氨</w:t>
            </w:r>
          </w:p>
        </w:tc>
        <w:tc>
          <w:tcPr>
            <w:tcW w:w="1320" w:type="pct"/>
            <w:shd w:val="clear" w:color="auto" w:fill="auto"/>
            <w:vAlign w:val="center"/>
          </w:tcPr>
          <w:p w14:paraId="6852A96C">
            <w:pPr>
              <w:jc w:val="center"/>
              <w:rPr>
                <w:rFonts w:hint="eastAsia" w:ascii="Times New Roman" w:hAnsi="Times New Roman" w:eastAsia="宋体" w:cs="Times New Roman"/>
                <w:color w:val="auto"/>
                <w:kern w:val="2"/>
                <w:sz w:val="18"/>
                <w:szCs w:val="18"/>
                <w:lang w:val="en-US" w:eastAsia="en-US" w:bidi="ar-SA"/>
              </w:rPr>
            </w:pPr>
            <w:r>
              <w:rPr>
                <w:rFonts w:ascii="Times New Roman" w:hAnsi="Times New Roman" w:eastAsia="宋体" w:cs="Times New Roman"/>
                <w:color w:val="auto"/>
                <w:sz w:val="18"/>
                <w:szCs w:val="18"/>
                <w:lang w:eastAsia="en-US"/>
              </w:rPr>
              <w:t>排放浓度（mg/</w:t>
            </w:r>
            <w:r>
              <w:rPr>
                <w:rFonts w:hint="eastAsia" w:ascii="Times New Roman" w:hAnsi="Times New Roman" w:eastAsia="宋体" w:cs="Times New Roman"/>
                <w:color w:val="auto"/>
                <w:sz w:val="18"/>
                <w:szCs w:val="18"/>
                <w:lang w:eastAsia="zh-CN"/>
              </w:rPr>
              <w:t>m</w:t>
            </w:r>
            <w:r>
              <w:rPr>
                <w:rFonts w:hint="eastAsia" w:ascii="Times New Roman" w:hAnsi="Times New Roman" w:eastAsia="宋体" w:cs="Times New Roman"/>
                <w:color w:val="auto"/>
                <w:sz w:val="18"/>
                <w:szCs w:val="18"/>
                <w:vertAlign w:val="superscript"/>
                <w:lang w:eastAsia="zh-CN"/>
              </w:rPr>
              <w:t>3</w:t>
            </w:r>
            <w:r>
              <w:rPr>
                <w:rFonts w:ascii="Times New Roman" w:hAnsi="Times New Roman" w:eastAsia="宋体" w:cs="Times New Roman"/>
                <w:color w:val="auto"/>
                <w:sz w:val="18"/>
                <w:szCs w:val="18"/>
                <w:lang w:eastAsia="en-US"/>
              </w:rPr>
              <w:t>）</w:t>
            </w:r>
          </w:p>
        </w:tc>
        <w:tc>
          <w:tcPr>
            <w:tcW w:w="596" w:type="pct"/>
            <w:shd w:val="clear" w:color="auto" w:fill="auto"/>
            <w:vAlign w:val="center"/>
          </w:tcPr>
          <w:p w14:paraId="6A4AA815">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0.93</w:t>
            </w:r>
          </w:p>
        </w:tc>
        <w:tc>
          <w:tcPr>
            <w:tcW w:w="595" w:type="pct"/>
            <w:shd w:val="clear" w:color="auto" w:fill="auto"/>
            <w:vAlign w:val="center"/>
          </w:tcPr>
          <w:p w14:paraId="15C47F7E">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0.95</w:t>
            </w:r>
          </w:p>
        </w:tc>
        <w:tc>
          <w:tcPr>
            <w:tcW w:w="653" w:type="pct"/>
            <w:shd w:val="clear" w:color="auto" w:fill="auto"/>
            <w:vAlign w:val="center"/>
          </w:tcPr>
          <w:p w14:paraId="38C7084F">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1.00</w:t>
            </w:r>
          </w:p>
        </w:tc>
        <w:tc>
          <w:tcPr>
            <w:tcW w:w="730" w:type="pct"/>
            <w:shd w:val="clear" w:color="auto" w:fill="auto"/>
            <w:vAlign w:val="center"/>
          </w:tcPr>
          <w:p w14:paraId="6BF40410">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30</w:t>
            </w:r>
          </w:p>
        </w:tc>
      </w:tr>
      <w:tr w14:paraId="46C77E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79" w:type="pct"/>
            <w:vMerge w:val="continue"/>
          </w:tcPr>
          <w:p w14:paraId="521D2C99">
            <w:pPr>
              <w:jc w:val="center"/>
              <w:rPr>
                <w:rFonts w:ascii="Times New Roman" w:hAnsi="Times New Roman" w:eastAsia="宋体" w:cs="Times New Roman"/>
                <w:color w:val="auto"/>
                <w:szCs w:val="21"/>
                <w:lang w:eastAsia="en-US"/>
              </w:rPr>
            </w:pPr>
          </w:p>
        </w:tc>
        <w:tc>
          <w:tcPr>
            <w:tcW w:w="724" w:type="pct"/>
            <w:vMerge w:val="continue"/>
          </w:tcPr>
          <w:p w14:paraId="4B32938E">
            <w:pPr>
              <w:jc w:val="center"/>
              <w:rPr>
                <w:rFonts w:hint="eastAsia" w:ascii="Times New Roman" w:hAnsi="Times New Roman" w:eastAsia="宋体" w:cs="Times New Roman"/>
                <w:color w:val="auto"/>
                <w:szCs w:val="21"/>
                <w:lang w:val="en-US" w:eastAsia="zh-CN"/>
              </w:rPr>
            </w:pPr>
          </w:p>
        </w:tc>
        <w:tc>
          <w:tcPr>
            <w:tcW w:w="1320" w:type="pct"/>
            <w:shd w:val="clear" w:color="auto" w:fill="auto"/>
            <w:vAlign w:val="center"/>
          </w:tcPr>
          <w:p w14:paraId="7C9ADB1C">
            <w:pPr>
              <w:jc w:val="center"/>
              <w:rPr>
                <w:rFonts w:hint="eastAsia" w:ascii="Times New Roman" w:hAnsi="Times New Roman" w:eastAsia="宋体" w:cs="Times New Roman"/>
                <w:color w:val="auto"/>
                <w:kern w:val="2"/>
                <w:sz w:val="18"/>
                <w:szCs w:val="18"/>
                <w:lang w:val="en-US" w:eastAsia="en-US" w:bidi="ar-SA"/>
              </w:rPr>
            </w:pPr>
            <w:r>
              <w:rPr>
                <w:rFonts w:ascii="Times New Roman" w:hAnsi="Times New Roman" w:eastAsia="宋体" w:cs="Times New Roman"/>
                <w:color w:val="auto"/>
                <w:sz w:val="18"/>
                <w:szCs w:val="18"/>
                <w:lang w:eastAsia="en-US"/>
              </w:rPr>
              <w:t>排放速率（kg/h）</w:t>
            </w:r>
          </w:p>
        </w:tc>
        <w:tc>
          <w:tcPr>
            <w:tcW w:w="596" w:type="pct"/>
            <w:shd w:val="clear" w:color="auto" w:fill="auto"/>
            <w:vAlign w:val="center"/>
          </w:tcPr>
          <w:p w14:paraId="3659BFA0">
            <w:pPr>
              <w:tabs>
                <w:tab w:val="left" w:pos="531"/>
              </w:tabs>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0.0015</w:t>
            </w:r>
          </w:p>
        </w:tc>
        <w:tc>
          <w:tcPr>
            <w:tcW w:w="595" w:type="pct"/>
            <w:shd w:val="clear" w:color="auto" w:fill="auto"/>
            <w:vAlign w:val="center"/>
          </w:tcPr>
          <w:p w14:paraId="1129782A">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0.0016</w:t>
            </w:r>
          </w:p>
        </w:tc>
        <w:tc>
          <w:tcPr>
            <w:tcW w:w="653" w:type="pct"/>
            <w:shd w:val="clear" w:color="auto" w:fill="auto"/>
            <w:vAlign w:val="center"/>
          </w:tcPr>
          <w:p w14:paraId="58A8111B">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0.0017</w:t>
            </w:r>
          </w:p>
        </w:tc>
        <w:tc>
          <w:tcPr>
            <w:tcW w:w="730" w:type="pct"/>
            <w:shd w:val="clear" w:color="auto" w:fill="auto"/>
            <w:vAlign w:val="center"/>
          </w:tcPr>
          <w:p w14:paraId="04B57CA5">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w:t>
            </w:r>
          </w:p>
        </w:tc>
      </w:tr>
      <w:tr w14:paraId="5E5317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79" w:type="pct"/>
            <w:vMerge w:val="continue"/>
          </w:tcPr>
          <w:p w14:paraId="693802CA">
            <w:pPr>
              <w:jc w:val="center"/>
              <w:rPr>
                <w:rFonts w:ascii="Times New Roman" w:hAnsi="Times New Roman" w:eastAsia="宋体" w:cs="Times New Roman"/>
                <w:color w:val="auto"/>
                <w:szCs w:val="21"/>
                <w:lang w:eastAsia="en-US"/>
              </w:rPr>
            </w:pPr>
          </w:p>
        </w:tc>
        <w:tc>
          <w:tcPr>
            <w:tcW w:w="724" w:type="pct"/>
            <w:vMerge w:val="restart"/>
            <w:shd w:val="clear" w:color="auto" w:fill="auto"/>
            <w:vAlign w:val="center"/>
          </w:tcPr>
          <w:p w14:paraId="0C03602E">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硫化氢</w:t>
            </w:r>
          </w:p>
        </w:tc>
        <w:tc>
          <w:tcPr>
            <w:tcW w:w="1320" w:type="pct"/>
            <w:shd w:val="clear" w:color="auto" w:fill="auto"/>
            <w:vAlign w:val="center"/>
          </w:tcPr>
          <w:p w14:paraId="1E285756">
            <w:pPr>
              <w:jc w:val="center"/>
              <w:rPr>
                <w:rFonts w:hint="eastAsia" w:ascii="Times New Roman" w:hAnsi="Times New Roman" w:eastAsia="宋体" w:cs="Times New Roman"/>
                <w:color w:val="auto"/>
                <w:kern w:val="2"/>
                <w:sz w:val="18"/>
                <w:szCs w:val="18"/>
                <w:lang w:val="en-US" w:eastAsia="en-US" w:bidi="ar-SA"/>
              </w:rPr>
            </w:pPr>
            <w:r>
              <w:rPr>
                <w:rFonts w:ascii="Times New Roman" w:hAnsi="Times New Roman" w:eastAsia="宋体" w:cs="Times New Roman"/>
                <w:color w:val="auto"/>
                <w:sz w:val="18"/>
                <w:szCs w:val="18"/>
                <w:lang w:eastAsia="en-US"/>
              </w:rPr>
              <w:t>排放浓度（mg/</w:t>
            </w:r>
            <w:r>
              <w:rPr>
                <w:rFonts w:hint="eastAsia" w:ascii="Times New Roman" w:hAnsi="Times New Roman" w:eastAsia="宋体" w:cs="Times New Roman"/>
                <w:color w:val="auto"/>
                <w:sz w:val="18"/>
                <w:szCs w:val="18"/>
                <w:lang w:eastAsia="zh-CN"/>
              </w:rPr>
              <w:t>m</w:t>
            </w:r>
            <w:r>
              <w:rPr>
                <w:rFonts w:hint="eastAsia" w:ascii="Times New Roman" w:hAnsi="Times New Roman" w:eastAsia="宋体" w:cs="Times New Roman"/>
                <w:color w:val="auto"/>
                <w:sz w:val="18"/>
                <w:szCs w:val="18"/>
                <w:vertAlign w:val="superscript"/>
                <w:lang w:eastAsia="zh-CN"/>
              </w:rPr>
              <w:t>3</w:t>
            </w:r>
            <w:r>
              <w:rPr>
                <w:rFonts w:ascii="Times New Roman" w:hAnsi="Times New Roman" w:eastAsia="宋体" w:cs="Times New Roman"/>
                <w:color w:val="auto"/>
                <w:sz w:val="18"/>
                <w:szCs w:val="18"/>
                <w:lang w:eastAsia="en-US"/>
              </w:rPr>
              <w:t>）</w:t>
            </w:r>
          </w:p>
        </w:tc>
        <w:tc>
          <w:tcPr>
            <w:tcW w:w="596" w:type="pct"/>
            <w:shd w:val="clear" w:color="auto" w:fill="auto"/>
            <w:vAlign w:val="center"/>
          </w:tcPr>
          <w:p w14:paraId="25EB476C">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0.092</w:t>
            </w:r>
          </w:p>
        </w:tc>
        <w:tc>
          <w:tcPr>
            <w:tcW w:w="595" w:type="pct"/>
            <w:shd w:val="clear" w:color="auto" w:fill="auto"/>
            <w:vAlign w:val="center"/>
          </w:tcPr>
          <w:p w14:paraId="50191B0A">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0.058</w:t>
            </w:r>
          </w:p>
        </w:tc>
        <w:tc>
          <w:tcPr>
            <w:tcW w:w="653" w:type="pct"/>
            <w:shd w:val="clear" w:color="auto" w:fill="auto"/>
            <w:vAlign w:val="center"/>
          </w:tcPr>
          <w:p w14:paraId="5B277067">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0.061</w:t>
            </w:r>
          </w:p>
        </w:tc>
        <w:tc>
          <w:tcPr>
            <w:tcW w:w="730" w:type="pct"/>
            <w:shd w:val="clear" w:color="auto" w:fill="auto"/>
            <w:vAlign w:val="center"/>
          </w:tcPr>
          <w:p w14:paraId="70EA6E9C">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w:t>
            </w:r>
          </w:p>
        </w:tc>
      </w:tr>
      <w:tr w14:paraId="7A1BA1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c>
          <w:tcPr>
            <w:tcW w:w="379" w:type="pct"/>
            <w:vMerge w:val="continue"/>
          </w:tcPr>
          <w:p w14:paraId="14E6550B">
            <w:pPr>
              <w:jc w:val="center"/>
              <w:rPr>
                <w:rFonts w:ascii="Times New Roman" w:hAnsi="Times New Roman" w:eastAsia="宋体" w:cs="Times New Roman"/>
                <w:color w:val="auto"/>
                <w:szCs w:val="21"/>
                <w:lang w:eastAsia="en-US"/>
              </w:rPr>
            </w:pPr>
          </w:p>
        </w:tc>
        <w:tc>
          <w:tcPr>
            <w:tcW w:w="724" w:type="pct"/>
            <w:vMerge w:val="continue"/>
          </w:tcPr>
          <w:p w14:paraId="7E886A9D">
            <w:pPr>
              <w:jc w:val="center"/>
              <w:rPr>
                <w:rFonts w:hint="eastAsia" w:ascii="Times New Roman" w:hAnsi="Times New Roman" w:eastAsia="宋体" w:cs="Times New Roman"/>
                <w:color w:val="auto"/>
                <w:szCs w:val="21"/>
                <w:lang w:val="en-US" w:eastAsia="zh-CN"/>
              </w:rPr>
            </w:pPr>
          </w:p>
        </w:tc>
        <w:tc>
          <w:tcPr>
            <w:tcW w:w="1320" w:type="pct"/>
            <w:shd w:val="clear" w:color="auto" w:fill="auto"/>
            <w:vAlign w:val="center"/>
          </w:tcPr>
          <w:p w14:paraId="2226D158">
            <w:pPr>
              <w:jc w:val="center"/>
              <w:rPr>
                <w:rFonts w:hint="eastAsia" w:ascii="Times New Roman" w:hAnsi="Times New Roman" w:eastAsia="宋体" w:cs="Times New Roman"/>
                <w:color w:val="auto"/>
                <w:kern w:val="2"/>
                <w:sz w:val="18"/>
                <w:szCs w:val="18"/>
                <w:lang w:val="en-US" w:eastAsia="en-US" w:bidi="ar-SA"/>
              </w:rPr>
            </w:pPr>
            <w:r>
              <w:rPr>
                <w:rFonts w:ascii="Times New Roman" w:hAnsi="Times New Roman" w:eastAsia="宋体" w:cs="Times New Roman"/>
                <w:color w:val="auto"/>
                <w:sz w:val="18"/>
                <w:szCs w:val="18"/>
                <w:lang w:eastAsia="en-US"/>
              </w:rPr>
              <w:t>排放速率（kg/h）</w:t>
            </w:r>
          </w:p>
        </w:tc>
        <w:tc>
          <w:tcPr>
            <w:tcW w:w="596" w:type="pct"/>
            <w:shd w:val="clear" w:color="auto" w:fill="auto"/>
            <w:vAlign w:val="center"/>
          </w:tcPr>
          <w:p w14:paraId="2CBCA235">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0.00015</w:t>
            </w:r>
          </w:p>
        </w:tc>
        <w:tc>
          <w:tcPr>
            <w:tcW w:w="595" w:type="pct"/>
            <w:shd w:val="clear" w:color="auto" w:fill="auto"/>
            <w:vAlign w:val="center"/>
          </w:tcPr>
          <w:p w14:paraId="566EB041">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0.000097</w:t>
            </w:r>
          </w:p>
        </w:tc>
        <w:tc>
          <w:tcPr>
            <w:tcW w:w="653" w:type="pct"/>
            <w:shd w:val="clear" w:color="auto" w:fill="auto"/>
            <w:vAlign w:val="center"/>
          </w:tcPr>
          <w:p w14:paraId="06E4E9A0">
            <w:pPr>
              <w:jc w:val="center"/>
              <w:rPr>
                <w:rFonts w:hint="default"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0.00010</w:t>
            </w:r>
          </w:p>
        </w:tc>
        <w:tc>
          <w:tcPr>
            <w:tcW w:w="730" w:type="pct"/>
            <w:shd w:val="clear" w:color="auto" w:fill="auto"/>
            <w:vAlign w:val="center"/>
          </w:tcPr>
          <w:p w14:paraId="5D7BA384">
            <w:pPr>
              <w:jc w:val="center"/>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0.33</w:t>
            </w:r>
          </w:p>
        </w:tc>
      </w:tr>
    </w:tbl>
    <w:p w14:paraId="5308977C">
      <w:pPr>
        <w:widowControl/>
        <w:spacing w:line="360" w:lineRule="auto"/>
        <w:ind w:firstLine="480" w:firstLineChars="200"/>
        <w:jc w:val="left"/>
        <w:rPr>
          <w:rFonts w:ascii="Times New Roman" w:hAnsi="Times New Roman" w:eastAsia="宋体" w:cs="Times New Roman"/>
          <w:color w:val="auto"/>
          <w:sz w:val="24"/>
          <w:szCs w:val="20"/>
        </w:rPr>
      </w:pPr>
    </w:p>
    <w:p w14:paraId="24628004">
      <w:pPr>
        <w:widowControl/>
        <w:spacing w:line="360" w:lineRule="auto"/>
        <w:ind w:firstLine="480" w:firstLineChars="200"/>
        <w:jc w:val="left"/>
        <w:rPr>
          <w:rFonts w:ascii="Times New Roman" w:hAnsi="Times New Roman" w:eastAsia="宋体" w:cs="Times New Roman"/>
          <w:color w:val="auto"/>
          <w:sz w:val="24"/>
          <w:szCs w:val="20"/>
        </w:rPr>
      </w:pPr>
      <w:r>
        <w:rPr>
          <w:rFonts w:hint="eastAsia" w:ascii="Times New Roman" w:hAnsi="Times New Roman" w:eastAsia="宋体" w:cs="Times New Roman"/>
          <w:color w:val="auto"/>
          <w:sz w:val="24"/>
          <w:szCs w:val="20"/>
        </w:rPr>
        <w:t>本项目收集了</w:t>
      </w:r>
      <w:r>
        <w:rPr>
          <w:rFonts w:hint="eastAsia" w:ascii="Times New Roman" w:hAnsi="Times New Roman" w:eastAsia="宋体" w:cs="Times New Roman"/>
          <w:color w:val="auto"/>
          <w:sz w:val="24"/>
          <w:szCs w:val="20"/>
          <w:lang w:val="en-US" w:eastAsia="zh-CN"/>
        </w:rPr>
        <w:t>建设单位2024年</w:t>
      </w:r>
      <w:r>
        <w:rPr>
          <w:rFonts w:hint="eastAsia" w:ascii="Times New Roman" w:hAnsi="Times New Roman" w:eastAsia="宋体" w:cs="Times New Roman"/>
          <w:color w:val="auto"/>
          <w:sz w:val="24"/>
          <w:szCs w:val="20"/>
        </w:rPr>
        <w:t>对厂界四周无组织的监测数据，具体见表</w:t>
      </w:r>
      <w:r>
        <w:rPr>
          <w:rFonts w:ascii="Times New Roman" w:hAnsi="Times New Roman" w:eastAsia="宋体" w:cs="Times New Roman"/>
          <w:color w:val="auto"/>
          <w:sz w:val="24"/>
          <w:szCs w:val="24"/>
        </w:rPr>
        <w:t>3.1.</w:t>
      </w:r>
      <w:r>
        <w:rPr>
          <w:rFonts w:hint="eastAsia" w:ascii="Times New Roman" w:hAnsi="Times New Roman" w:eastAsia="宋体" w:cs="Times New Roman"/>
          <w:color w:val="auto"/>
          <w:sz w:val="24"/>
          <w:szCs w:val="24"/>
        </w:rPr>
        <w:t>11-</w:t>
      </w:r>
      <w:r>
        <w:rPr>
          <w:rFonts w:hint="eastAsia" w:ascii="Times New Roman" w:hAnsi="Times New Roman" w:eastAsia="宋体" w:cs="Times New Roman"/>
          <w:color w:val="auto"/>
          <w:sz w:val="24"/>
          <w:szCs w:val="24"/>
          <w:lang w:val="en-US" w:eastAsia="zh-CN"/>
        </w:rPr>
        <w:t>4</w:t>
      </w:r>
      <w:r>
        <w:rPr>
          <w:rFonts w:hint="eastAsia" w:ascii="Times New Roman" w:hAnsi="Times New Roman" w:eastAsia="宋体" w:cs="Times New Roman"/>
          <w:color w:val="auto"/>
          <w:sz w:val="24"/>
          <w:szCs w:val="20"/>
        </w:rPr>
        <w:t>。</w:t>
      </w:r>
    </w:p>
    <w:p w14:paraId="71D5E102">
      <w:pPr>
        <w:pStyle w:val="6"/>
        <w:bidi w:val="0"/>
      </w:pPr>
      <w:r>
        <w:rPr>
          <w:rFonts w:hint="eastAsia"/>
        </w:rPr>
        <w:t>表3.1.11-</w:t>
      </w:r>
      <w:r>
        <w:rPr>
          <w:rFonts w:hint="eastAsia"/>
          <w:lang w:val="en-US" w:eastAsia="zh-CN"/>
        </w:rPr>
        <w:t>3</w:t>
      </w:r>
      <w:r>
        <w:rPr>
          <w:rFonts w:hint="eastAsia"/>
        </w:rPr>
        <w:t xml:space="preserve">    现有工程厂区无组织废气</w:t>
      </w:r>
      <w:r>
        <w:rPr>
          <w:rFonts w:hint="eastAsia"/>
          <w:lang w:val="en-US" w:eastAsia="zh-CN"/>
        </w:rPr>
        <w:t>委托</w:t>
      </w:r>
      <w:r>
        <w:rPr>
          <w:rFonts w:hint="eastAsia"/>
        </w:rPr>
        <w:t>监测数据</w:t>
      </w:r>
    </w:p>
    <w:tbl>
      <w:tblPr>
        <w:tblStyle w:val="41"/>
        <w:tblW w:w="5075"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1057"/>
        <w:gridCol w:w="2201"/>
        <w:gridCol w:w="1187"/>
        <w:gridCol w:w="1363"/>
        <w:gridCol w:w="1322"/>
        <w:gridCol w:w="1311"/>
      </w:tblGrid>
      <w:tr w14:paraId="2EF204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626" w:type="pct"/>
            <w:vMerge w:val="restart"/>
            <w:tcBorders>
              <w:left w:val="single" w:color="auto" w:sz="4" w:space="0"/>
              <w:right w:val="single" w:color="auto" w:sz="4" w:space="0"/>
            </w:tcBorders>
            <w:shd w:val="clear" w:color="auto" w:fill="auto"/>
            <w:vAlign w:val="center"/>
          </w:tcPr>
          <w:p w14:paraId="3B6E8C59">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检测</w:t>
            </w:r>
          </w:p>
          <w:p w14:paraId="62449435">
            <w:pPr>
              <w:jc w:val="center"/>
              <w:rPr>
                <w:rFonts w:ascii="Times New Roman" w:hAnsi="Times New Roman" w:eastAsia="宋体" w:cs="Times New Roman"/>
                <w:color w:val="auto"/>
                <w:kern w:val="2"/>
                <w:sz w:val="22"/>
                <w:szCs w:val="24"/>
                <w:lang w:val="en-US" w:eastAsia="zh-CN" w:bidi="ar-SA"/>
              </w:rPr>
            </w:pPr>
            <w:r>
              <w:rPr>
                <w:rFonts w:ascii="Times New Roman" w:hAnsi="Times New Roman" w:eastAsia="宋体" w:cs="Times New Roman"/>
                <w:color w:val="auto"/>
                <w:sz w:val="22"/>
                <w:szCs w:val="24"/>
              </w:rPr>
              <w:t>点位</w:t>
            </w:r>
          </w:p>
        </w:tc>
        <w:tc>
          <w:tcPr>
            <w:tcW w:w="1303" w:type="pct"/>
            <w:vMerge w:val="restart"/>
            <w:tcBorders>
              <w:top w:val="single" w:color="auto" w:sz="4" w:space="0"/>
              <w:left w:val="single" w:color="auto" w:sz="4" w:space="0"/>
              <w:right w:val="single" w:color="auto" w:sz="4" w:space="0"/>
            </w:tcBorders>
            <w:shd w:val="clear" w:color="auto" w:fill="auto"/>
            <w:vAlign w:val="center"/>
          </w:tcPr>
          <w:p w14:paraId="4950A235">
            <w:pPr>
              <w:jc w:val="center"/>
              <w:rPr>
                <w:rFonts w:hint="eastAsia" w:ascii="Times New Roman" w:hAnsi="Times New Roman" w:eastAsia="宋体" w:cs="Times New Roman"/>
                <w:color w:val="auto"/>
                <w:kern w:val="2"/>
                <w:sz w:val="22"/>
                <w:szCs w:val="24"/>
                <w:lang w:val="en-US" w:eastAsia="zh-CN" w:bidi="ar-SA"/>
              </w:rPr>
            </w:pPr>
            <w:r>
              <w:rPr>
                <w:rFonts w:ascii="Times New Roman" w:hAnsi="Times New Roman" w:eastAsia="宋体" w:cs="Times New Roman"/>
                <w:color w:val="auto"/>
                <w:sz w:val="22"/>
                <w:szCs w:val="24"/>
              </w:rPr>
              <w:t>检测项目</w:t>
            </w:r>
          </w:p>
        </w:tc>
        <w:tc>
          <w:tcPr>
            <w:tcW w:w="2293"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3AD99FCB">
            <w:pPr>
              <w:jc w:val="center"/>
              <w:rPr>
                <w:rFonts w:hint="eastAsia" w:ascii="Times New Roman" w:hAnsi="Times New Roman" w:eastAsia="宋体" w:cs="Times New Roman"/>
                <w:color w:val="auto"/>
                <w:sz w:val="22"/>
                <w:szCs w:val="24"/>
                <w:lang w:val="en-US" w:eastAsia="zh-CN"/>
              </w:rPr>
            </w:pPr>
            <w:r>
              <w:rPr>
                <w:rFonts w:ascii="Times New Roman" w:hAnsi="Times New Roman" w:eastAsia="宋体" w:cs="Times New Roman"/>
                <w:color w:val="auto"/>
                <w:sz w:val="22"/>
                <w:szCs w:val="24"/>
              </w:rPr>
              <w:t>检测结果</w:t>
            </w:r>
          </w:p>
        </w:tc>
        <w:tc>
          <w:tcPr>
            <w:tcW w:w="776" w:type="pct"/>
            <w:vMerge w:val="restart"/>
            <w:tcBorders>
              <w:top w:val="single" w:color="auto" w:sz="4" w:space="0"/>
              <w:left w:val="single" w:color="auto" w:sz="4" w:space="0"/>
              <w:right w:val="single" w:color="auto" w:sz="4" w:space="0"/>
            </w:tcBorders>
            <w:vAlign w:val="center"/>
          </w:tcPr>
          <w:p w14:paraId="1EEEF509">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参考标准</w:t>
            </w:r>
          </w:p>
          <w:p w14:paraId="0D2B359E">
            <w:pPr>
              <w:jc w:val="center"/>
              <w:rPr>
                <w:rFonts w:hint="eastAsia" w:ascii="Times New Roman" w:hAnsi="Times New Roman" w:eastAsia="宋体" w:cs="Times New Roman"/>
                <w:color w:val="auto"/>
                <w:sz w:val="22"/>
                <w:szCs w:val="24"/>
                <w:lang w:val="en-US" w:eastAsia="zh-CN"/>
              </w:rPr>
            </w:pPr>
            <w:r>
              <w:rPr>
                <w:rFonts w:ascii="Times New Roman" w:hAnsi="Times New Roman" w:eastAsia="宋体" w:cs="Times New Roman"/>
                <w:color w:val="auto"/>
                <w:sz w:val="22"/>
                <w:szCs w:val="24"/>
              </w:rPr>
              <w:t>（mg</w:t>
            </w:r>
            <w:r>
              <w:rPr>
                <w:rFonts w:hint="eastAsia" w:ascii="Times New Roman" w:hAnsi="Times New Roman" w:eastAsia="宋体" w:cs="Times New Roman"/>
                <w:color w:val="auto"/>
                <w:sz w:val="22"/>
                <w:szCs w:val="24"/>
              </w:rPr>
              <w:t>/</w:t>
            </w:r>
            <w:r>
              <w:rPr>
                <w:rFonts w:hint="eastAsia" w:ascii="Times New Roman" w:hAnsi="Times New Roman" w:eastAsia="宋体" w:cs="Times New Roman"/>
                <w:color w:val="auto"/>
                <w:sz w:val="22"/>
                <w:szCs w:val="24"/>
                <w:lang w:eastAsia="zh-CN"/>
              </w:rPr>
              <w:t>m</w:t>
            </w:r>
            <w:r>
              <w:rPr>
                <w:rFonts w:hint="eastAsia" w:ascii="Times New Roman" w:hAnsi="Times New Roman" w:eastAsia="宋体" w:cs="Times New Roman"/>
                <w:color w:val="auto"/>
                <w:sz w:val="22"/>
                <w:szCs w:val="24"/>
                <w:vertAlign w:val="superscript"/>
                <w:lang w:eastAsia="zh-CN"/>
              </w:rPr>
              <w:t>3</w:t>
            </w:r>
            <w:r>
              <w:rPr>
                <w:rFonts w:ascii="Times New Roman" w:hAnsi="Times New Roman" w:eastAsia="宋体" w:cs="Times New Roman"/>
                <w:color w:val="auto"/>
                <w:sz w:val="22"/>
                <w:szCs w:val="24"/>
              </w:rPr>
              <w:t>）</w:t>
            </w:r>
          </w:p>
        </w:tc>
      </w:tr>
      <w:tr w14:paraId="2DAD1A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626" w:type="pct"/>
            <w:vMerge w:val="continue"/>
            <w:tcBorders>
              <w:left w:val="single" w:color="auto" w:sz="4" w:space="0"/>
              <w:right w:val="single" w:color="auto" w:sz="4" w:space="0"/>
            </w:tcBorders>
            <w:vAlign w:val="center"/>
          </w:tcPr>
          <w:p w14:paraId="33B2864C">
            <w:pPr>
              <w:jc w:val="center"/>
              <w:rPr>
                <w:rFonts w:ascii="Times New Roman" w:hAnsi="Times New Roman" w:eastAsia="宋体" w:cs="Times New Roman"/>
                <w:color w:val="auto"/>
                <w:sz w:val="22"/>
                <w:szCs w:val="24"/>
              </w:rPr>
            </w:pPr>
          </w:p>
        </w:tc>
        <w:tc>
          <w:tcPr>
            <w:tcW w:w="1303" w:type="pct"/>
            <w:vMerge w:val="continue"/>
            <w:tcBorders>
              <w:left w:val="single" w:color="auto" w:sz="4" w:space="0"/>
              <w:right w:val="single" w:color="auto" w:sz="4" w:space="0"/>
            </w:tcBorders>
            <w:shd w:val="clear" w:color="auto" w:fill="auto"/>
            <w:vAlign w:val="center"/>
          </w:tcPr>
          <w:p w14:paraId="74298A61">
            <w:pPr>
              <w:jc w:val="center"/>
              <w:rPr>
                <w:rFonts w:hint="eastAsia" w:ascii="Times New Roman" w:hAnsi="Times New Roman" w:eastAsia="宋体" w:cs="Times New Roman"/>
                <w:color w:val="auto"/>
                <w:sz w:val="22"/>
                <w:szCs w:val="24"/>
                <w:lang w:val="en-US" w:eastAsia="zh-CN"/>
              </w:rPr>
            </w:pPr>
          </w:p>
        </w:tc>
        <w:tc>
          <w:tcPr>
            <w:tcW w:w="2293"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7362719C">
            <w:pPr>
              <w:jc w:val="center"/>
              <w:rPr>
                <w:rFonts w:hint="eastAsia" w:ascii="Times New Roman" w:hAnsi="Times New Roman" w:eastAsia="宋体" w:cs="Times New Roman"/>
                <w:color w:val="auto"/>
                <w:sz w:val="22"/>
                <w:szCs w:val="24"/>
                <w:lang w:val="en-US" w:eastAsia="zh-CN"/>
              </w:rPr>
            </w:pPr>
            <w:r>
              <w:rPr>
                <w:rFonts w:ascii="Times New Roman" w:hAnsi="Times New Roman" w:eastAsia="宋体" w:cs="Times New Roman"/>
                <w:color w:val="auto"/>
                <w:sz w:val="22"/>
                <w:szCs w:val="24"/>
              </w:rPr>
              <w:t>202</w:t>
            </w:r>
            <w:r>
              <w:rPr>
                <w:rFonts w:hint="eastAsia" w:ascii="Times New Roman" w:hAnsi="Times New Roman" w:eastAsia="宋体" w:cs="Times New Roman"/>
                <w:color w:val="auto"/>
                <w:sz w:val="22"/>
                <w:szCs w:val="24"/>
                <w:lang w:val="en-US" w:eastAsia="zh-CN"/>
              </w:rPr>
              <w:t>4</w:t>
            </w:r>
            <w:r>
              <w:rPr>
                <w:rFonts w:ascii="Times New Roman" w:hAnsi="Times New Roman" w:eastAsia="宋体" w:cs="Times New Roman"/>
                <w:color w:val="auto"/>
                <w:sz w:val="22"/>
                <w:szCs w:val="24"/>
              </w:rPr>
              <w:t>年</w:t>
            </w:r>
            <w:r>
              <w:rPr>
                <w:rFonts w:hint="eastAsia" w:ascii="Times New Roman" w:hAnsi="Times New Roman" w:eastAsia="宋体" w:cs="Times New Roman"/>
                <w:color w:val="auto"/>
                <w:sz w:val="22"/>
                <w:szCs w:val="24"/>
                <w:lang w:val="en-US" w:eastAsia="zh-CN"/>
              </w:rPr>
              <w:t>5</w:t>
            </w:r>
            <w:r>
              <w:rPr>
                <w:rFonts w:ascii="Times New Roman" w:hAnsi="Times New Roman" w:eastAsia="宋体" w:cs="Times New Roman"/>
                <w:color w:val="auto"/>
                <w:sz w:val="22"/>
                <w:szCs w:val="24"/>
              </w:rPr>
              <w:t>月</w:t>
            </w:r>
            <w:r>
              <w:rPr>
                <w:rFonts w:hint="eastAsia" w:ascii="Times New Roman" w:hAnsi="Times New Roman" w:eastAsia="宋体" w:cs="Times New Roman"/>
                <w:color w:val="auto"/>
                <w:sz w:val="22"/>
                <w:szCs w:val="24"/>
                <w:lang w:val="en-US" w:eastAsia="zh-CN"/>
              </w:rPr>
              <w:t>7</w:t>
            </w:r>
            <w:r>
              <w:rPr>
                <w:rFonts w:ascii="Times New Roman" w:hAnsi="Times New Roman" w:eastAsia="宋体" w:cs="Times New Roman"/>
                <w:color w:val="auto"/>
                <w:sz w:val="22"/>
                <w:szCs w:val="24"/>
              </w:rPr>
              <w:t>日</w:t>
            </w:r>
          </w:p>
        </w:tc>
        <w:tc>
          <w:tcPr>
            <w:tcW w:w="776" w:type="pct"/>
            <w:vMerge w:val="continue"/>
            <w:tcBorders>
              <w:left w:val="single" w:color="auto" w:sz="4" w:space="0"/>
              <w:right w:val="single" w:color="auto" w:sz="4" w:space="0"/>
            </w:tcBorders>
            <w:vAlign w:val="center"/>
          </w:tcPr>
          <w:p w14:paraId="481F0626">
            <w:pPr>
              <w:jc w:val="center"/>
              <w:rPr>
                <w:rFonts w:hint="eastAsia" w:ascii="Times New Roman" w:hAnsi="Times New Roman" w:eastAsia="宋体" w:cs="Times New Roman"/>
                <w:color w:val="auto"/>
                <w:sz w:val="22"/>
                <w:szCs w:val="24"/>
                <w:lang w:val="en-US" w:eastAsia="zh-CN"/>
              </w:rPr>
            </w:pPr>
          </w:p>
        </w:tc>
      </w:tr>
      <w:tr w14:paraId="1AB106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626" w:type="pct"/>
            <w:vMerge w:val="continue"/>
            <w:tcBorders>
              <w:left w:val="single" w:color="auto" w:sz="4" w:space="0"/>
              <w:right w:val="single" w:color="auto" w:sz="4" w:space="0"/>
            </w:tcBorders>
            <w:vAlign w:val="center"/>
          </w:tcPr>
          <w:p w14:paraId="6E916173">
            <w:pPr>
              <w:jc w:val="center"/>
              <w:rPr>
                <w:rFonts w:ascii="Times New Roman" w:hAnsi="Times New Roman" w:eastAsia="宋体" w:cs="Times New Roman"/>
                <w:color w:val="auto"/>
                <w:sz w:val="22"/>
                <w:szCs w:val="24"/>
              </w:rPr>
            </w:pPr>
          </w:p>
        </w:tc>
        <w:tc>
          <w:tcPr>
            <w:tcW w:w="1303" w:type="pct"/>
            <w:vMerge w:val="continue"/>
            <w:tcBorders>
              <w:left w:val="single" w:color="auto" w:sz="4" w:space="0"/>
              <w:bottom w:val="single" w:color="auto" w:sz="4" w:space="0"/>
              <w:right w:val="single" w:color="auto" w:sz="4" w:space="0"/>
            </w:tcBorders>
            <w:shd w:val="clear" w:color="auto" w:fill="auto"/>
            <w:vAlign w:val="center"/>
          </w:tcPr>
          <w:p w14:paraId="0EC08FDE">
            <w:pPr>
              <w:jc w:val="center"/>
              <w:rPr>
                <w:rFonts w:hint="eastAsia" w:ascii="Times New Roman" w:hAnsi="Times New Roman" w:eastAsia="宋体" w:cs="Times New Roman"/>
                <w:color w:val="auto"/>
                <w:sz w:val="22"/>
                <w:szCs w:val="24"/>
                <w:lang w:val="en-US" w:eastAsia="zh-CN"/>
              </w:rPr>
            </w:pPr>
          </w:p>
        </w:tc>
        <w:tc>
          <w:tcPr>
            <w:tcW w:w="703" w:type="pct"/>
            <w:tcBorders>
              <w:top w:val="single" w:color="auto" w:sz="4" w:space="0"/>
              <w:left w:val="single" w:color="auto" w:sz="4" w:space="0"/>
              <w:bottom w:val="single" w:color="auto" w:sz="4" w:space="0"/>
              <w:right w:val="single" w:color="auto" w:sz="4" w:space="0"/>
            </w:tcBorders>
            <w:shd w:val="clear" w:color="auto" w:fill="auto"/>
            <w:vAlign w:val="center"/>
          </w:tcPr>
          <w:p w14:paraId="780EED7B">
            <w:pPr>
              <w:jc w:val="center"/>
              <w:rPr>
                <w:rFonts w:hint="eastAsia" w:ascii="Times New Roman" w:hAnsi="Times New Roman" w:eastAsia="宋体" w:cs="Times New Roman"/>
                <w:color w:val="auto"/>
                <w:kern w:val="2"/>
                <w:sz w:val="22"/>
                <w:szCs w:val="24"/>
                <w:lang w:val="en-US" w:eastAsia="zh-CN" w:bidi="ar-SA"/>
              </w:rPr>
            </w:pPr>
            <w:r>
              <w:rPr>
                <w:rFonts w:ascii="Times New Roman" w:hAnsi="Times New Roman" w:eastAsia="宋体" w:cs="Times New Roman"/>
                <w:color w:val="auto"/>
                <w:sz w:val="22"/>
                <w:szCs w:val="24"/>
              </w:rPr>
              <w:t>第一次</w:t>
            </w:r>
          </w:p>
        </w:tc>
        <w:tc>
          <w:tcPr>
            <w:tcW w:w="807" w:type="pct"/>
            <w:tcBorders>
              <w:top w:val="single" w:color="auto" w:sz="4" w:space="0"/>
              <w:left w:val="single" w:color="auto" w:sz="4" w:space="0"/>
              <w:bottom w:val="single" w:color="auto" w:sz="4" w:space="0"/>
              <w:right w:val="single" w:color="auto" w:sz="4" w:space="0"/>
            </w:tcBorders>
            <w:shd w:val="clear" w:color="auto" w:fill="auto"/>
            <w:vAlign w:val="center"/>
          </w:tcPr>
          <w:p w14:paraId="22154F37">
            <w:pPr>
              <w:jc w:val="center"/>
              <w:rPr>
                <w:rFonts w:hint="eastAsia" w:ascii="Times New Roman" w:hAnsi="Times New Roman" w:eastAsia="宋体" w:cs="Times New Roman"/>
                <w:color w:val="auto"/>
                <w:kern w:val="2"/>
                <w:sz w:val="22"/>
                <w:szCs w:val="24"/>
                <w:lang w:val="en-US" w:eastAsia="zh-CN" w:bidi="ar-SA"/>
              </w:rPr>
            </w:pPr>
            <w:r>
              <w:rPr>
                <w:rFonts w:ascii="Times New Roman" w:hAnsi="Times New Roman" w:eastAsia="宋体" w:cs="Times New Roman"/>
                <w:color w:val="auto"/>
                <w:sz w:val="22"/>
                <w:szCs w:val="24"/>
              </w:rPr>
              <w:t>第二次</w:t>
            </w:r>
          </w:p>
        </w:tc>
        <w:tc>
          <w:tcPr>
            <w:tcW w:w="783" w:type="pct"/>
            <w:tcBorders>
              <w:top w:val="single" w:color="auto" w:sz="4" w:space="0"/>
              <w:left w:val="single" w:color="auto" w:sz="4" w:space="0"/>
              <w:bottom w:val="single" w:color="auto" w:sz="4" w:space="0"/>
              <w:right w:val="single" w:color="auto" w:sz="4" w:space="0"/>
            </w:tcBorders>
            <w:shd w:val="clear" w:color="auto" w:fill="auto"/>
            <w:vAlign w:val="center"/>
          </w:tcPr>
          <w:p w14:paraId="7203D92F">
            <w:pPr>
              <w:jc w:val="center"/>
              <w:rPr>
                <w:rFonts w:hint="eastAsia" w:ascii="Times New Roman" w:hAnsi="Times New Roman" w:eastAsia="宋体" w:cs="Times New Roman"/>
                <w:color w:val="auto"/>
                <w:kern w:val="2"/>
                <w:sz w:val="22"/>
                <w:szCs w:val="24"/>
                <w:lang w:val="en-US" w:eastAsia="zh-CN" w:bidi="ar-SA"/>
              </w:rPr>
            </w:pPr>
            <w:r>
              <w:rPr>
                <w:rFonts w:ascii="Times New Roman" w:hAnsi="Times New Roman" w:eastAsia="宋体" w:cs="Times New Roman"/>
                <w:color w:val="auto"/>
                <w:sz w:val="22"/>
                <w:szCs w:val="24"/>
              </w:rPr>
              <w:t>第三次</w:t>
            </w:r>
          </w:p>
        </w:tc>
        <w:tc>
          <w:tcPr>
            <w:tcW w:w="776" w:type="pct"/>
            <w:vMerge w:val="continue"/>
            <w:tcBorders>
              <w:left w:val="single" w:color="auto" w:sz="4" w:space="0"/>
              <w:bottom w:val="single" w:color="auto" w:sz="4" w:space="0"/>
              <w:right w:val="single" w:color="auto" w:sz="4" w:space="0"/>
            </w:tcBorders>
            <w:vAlign w:val="center"/>
          </w:tcPr>
          <w:p w14:paraId="46613CBC">
            <w:pPr>
              <w:jc w:val="center"/>
              <w:rPr>
                <w:rFonts w:hint="eastAsia" w:ascii="Times New Roman" w:hAnsi="Times New Roman" w:eastAsia="宋体" w:cs="Times New Roman"/>
                <w:color w:val="auto"/>
                <w:sz w:val="22"/>
                <w:szCs w:val="24"/>
                <w:lang w:val="en-US" w:eastAsia="zh-CN"/>
              </w:rPr>
            </w:pPr>
          </w:p>
        </w:tc>
      </w:tr>
      <w:tr w14:paraId="13CA76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626" w:type="pct"/>
            <w:vMerge w:val="restart"/>
            <w:tcBorders>
              <w:left w:val="single" w:color="auto" w:sz="4" w:space="0"/>
              <w:right w:val="single" w:color="auto" w:sz="4" w:space="0"/>
            </w:tcBorders>
            <w:shd w:val="clear" w:color="auto" w:fill="auto"/>
            <w:vAlign w:val="center"/>
          </w:tcPr>
          <w:p w14:paraId="77BA9115">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Q1</w:t>
            </w:r>
          </w:p>
          <w:p w14:paraId="7D6FBCFC">
            <w:pPr>
              <w:jc w:val="center"/>
              <w:rPr>
                <w:rFonts w:ascii="Times New Roman" w:hAnsi="Times New Roman" w:eastAsia="宋体" w:cs="Times New Roman"/>
                <w:color w:val="auto"/>
                <w:kern w:val="2"/>
                <w:sz w:val="22"/>
                <w:szCs w:val="24"/>
                <w:lang w:val="en-US" w:eastAsia="zh-CN" w:bidi="ar-SA"/>
              </w:rPr>
            </w:pPr>
            <w:r>
              <w:rPr>
                <w:rFonts w:ascii="Times New Roman" w:hAnsi="Times New Roman" w:eastAsia="宋体" w:cs="Times New Roman"/>
                <w:color w:val="auto"/>
                <w:sz w:val="22"/>
                <w:szCs w:val="24"/>
              </w:rPr>
              <w:t>厂界东</w:t>
            </w:r>
          </w:p>
        </w:tc>
        <w:tc>
          <w:tcPr>
            <w:tcW w:w="1303" w:type="pct"/>
            <w:tcBorders>
              <w:top w:val="single" w:color="auto" w:sz="4" w:space="0"/>
              <w:left w:val="single" w:color="auto" w:sz="4" w:space="0"/>
              <w:bottom w:val="single" w:color="auto" w:sz="4" w:space="0"/>
              <w:right w:val="single" w:color="auto" w:sz="4" w:space="0"/>
            </w:tcBorders>
            <w:shd w:val="clear" w:color="auto" w:fill="auto"/>
            <w:vAlign w:val="center"/>
          </w:tcPr>
          <w:p w14:paraId="3B0F1455">
            <w:pPr>
              <w:jc w:val="center"/>
              <w:rPr>
                <w:rFonts w:hint="eastAsia"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kern w:val="2"/>
                <w:sz w:val="22"/>
                <w:szCs w:val="24"/>
                <w:lang w:val="en-US" w:eastAsia="zh-CN" w:bidi="ar-SA"/>
              </w:rPr>
              <w:t>氨</w:t>
            </w:r>
          </w:p>
        </w:tc>
        <w:tc>
          <w:tcPr>
            <w:tcW w:w="703" w:type="pct"/>
            <w:tcBorders>
              <w:top w:val="single" w:color="auto" w:sz="4" w:space="0"/>
              <w:left w:val="single" w:color="auto" w:sz="4" w:space="0"/>
              <w:bottom w:val="single" w:color="auto" w:sz="4" w:space="0"/>
              <w:right w:val="single" w:color="auto" w:sz="4" w:space="0"/>
            </w:tcBorders>
            <w:shd w:val="clear" w:color="auto" w:fill="auto"/>
            <w:vAlign w:val="center"/>
          </w:tcPr>
          <w:p w14:paraId="751429FC">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kern w:val="2"/>
                <w:sz w:val="22"/>
                <w:szCs w:val="24"/>
                <w:lang w:val="en-US" w:eastAsia="zh-CN" w:bidi="ar-SA"/>
              </w:rPr>
              <w:t>0.170</w:t>
            </w:r>
          </w:p>
        </w:tc>
        <w:tc>
          <w:tcPr>
            <w:tcW w:w="807" w:type="pct"/>
            <w:tcBorders>
              <w:top w:val="single" w:color="auto" w:sz="4" w:space="0"/>
              <w:left w:val="single" w:color="auto" w:sz="4" w:space="0"/>
              <w:bottom w:val="single" w:color="auto" w:sz="4" w:space="0"/>
              <w:right w:val="single" w:color="auto" w:sz="4" w:space="0"/>
            </w:tcBorders>
            <w:shd w:val="clear" w:color="auto" w:fill="auto"/>
            <w:vAlign w:val="center"/>
          </w:tcPr>
          <w:p w14:paraId="67A539DC">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kern w:val="2"/>
                <w:sz w:val="22"/>
                <w:szCs w:val="24"/>
                <w:lang w:val="en-US" w:eastAsia="zh-CN" w:bidi="ar-SA"/>
              </w:rPr>
              <w:t>0.163</w:t>
            </w:r>
          </w:p>
        </w:tc>
        <w:tc>
          <w:tcPr>
            <w:tcW w:w="783" w:type="pct"/>
            <w:tcBorders>
              <w:top w:val="single" w:color="auto" w:sz="4" w:space="0"/>
              <w:left w:val="single" w:color="auto" w:sz="4" w:space="0"/>
              <w:bottom w:val="single" w:color="auto" w:sz="4" w:space="0"/>
              <w:right w:val="single" w:color="auto" w:sz="4" w:space="0"/>
            </w:tcBorders>
            <w:shd w:val="clear" w:color="auto" w:fill="auto"/>
            <w:vAlign w:val="center"/>
          </w:tcPr>
          <w:p w14:paraId="4E5ADF93">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kern w:val="2"/>
                <w:sz w:val="22"/>
                <w:szCs w:val="24"/>
                <w:lang w:val="en-US" w:eastAsia="zh-CN" w:bidi="ar-SA"/>
              </w:rPr>
              <w:t>0.173</w:t>
            </w:r>
          </w:p>
        </w:tc>
        <w:tc>
          <w:tcPr>
            <w:tcW w:w="776" w:type="pct"/>
            <w:tcBorders>
              <w:top w:val="single" w:color="auto" w:sz="4" w:space="0"/>
              <w:left w:val="single" w:color="auto" w:sz="4" w:space="0"/>
              <w:bottom w:val="single" w:color="auto" w:sz="4" w:space="0"/>
              <w:right w:val="single" w:color="auto" w:sz="4" w:space="0"/>
            </w:tcBorders>
            <w:shd w:val="clear" w:color="auto" w:fill="auto"/>
            <w:vAlign w:val="center"/>
          </w:tcPr>
          <w:p w14:paraId="3986FEB9">
            <w:pPr>
              <w:jc w:val="center"/>
              <w:rPr>
                <w:rFonts w:hint="eastAsia"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lang w:val="en-US" w:eastAsia="zh-CN"/>
              </w:rPr>
              <w:t>1.5</w:t>
            </w:r>
          </w:p>
        </w:tc>
      </w:tr>
      <w:tr w14:paraId="606546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626" w:type="pct"/>
            <w:vMerge w:val="continue"/>
            <w:tcBorders>
              <w:left w:val="single" w:color="auto" w:sz="4" w:space="0"/>
              <w:right w:val="single" w:color="auto" w:sz="4" w:space="0"/>
            </w:tcBorders>
            <w:vAlign w:val="center"/>
          </w:tcPr>
          <w:p w14:paraId="2BB6DBBC">
            <w:pPr>
              <w:jc w:val="center"/>
              <w:rPr>
                <w:rFonts w:ascii="Times New Roman" w:hAnsi="Times New Roman" w:eastAsia="宋体" w:cs="Times New Roman"/>
                <w:color w:val="auto"/>
                <w:sz w:val="22"/>
                <w:szCs w:val="24"/>
              </w:rPr>
            </w:pPr>
          </w:p>
        </w:tc>
        <w:tc>
          <w:tcPr>
            <w:tcW w:w="1303" w:type="pct"/>
            <w:tcBorders>
              <w:top w:val="single" w:color="auto" w:sz="4" w:space="0"/>
              <w:left w:val="single" w:color="auto" w:sz="4" w:space="0"/>
              <w:bottom w:val="single" w:color="auto" w:sz="4" w:space="0"/>
              <w:right w:val="single" w:color="auto" w:sz="4" w:space="0"/>
            </w:tcBorders>
            <w:shd w:val="clear" w:color="auto" w:fill="auto"/>
            <w:vAlign w:val="center"/>
          </w:tcPr>
          <w:p w14:paraId="05F71483">
            <w:pPr>
              <w:jc w:val="center"/>
              <w:rPr>
                <w:rFonts w:hint="eastAsia"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kern w:val="2"/>
                <w:sz w:val="22"/>
                <w:szCs w:val="24"/>
                <w:lang w:val="en-US" w:eastAsia="zh-CN" w:bidi="ar-SA"/>
              </w:rPr>
              <w:t>臭气浓度（无量纲）</w:t>
            </w:r>
          </w:p>
        </w:tc>
        <w:tc>
          <w:tcPr>
            <w:tcW w:w="703" w:type="pct"/>
            <w:tcBorders>
              <w:top w:val="single" w:color="auto" w:sz="4" w:space="0"/>
              <w:left w:val="single" w:color="auto" w:sz="4" w:space="0"/>
              <w:bottom w:val="single" w:color="auto" w:sz="4" w:space="0"/>
              <w:right w:val="single" w:color="auto" w:sz="4" w:space="0"/>
            </w:tcBorders>
            <w:shd w:val="clear" w:color="auto" w:fill="auto"/>
            <w:vAlign w:val="center"/>
          </w:tcPr>
          <w:p w14:paraId="45A7E998">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kern w:val="2"/>
                <w:sz w:val="22"/>
                <w:szCs w:val="24"/>
                <w:lang w:val="en-US" w:eastAsia="zh-CN" w:bidi="ar-SA"/>
              </w:rPr>
              <w:t>14</w:t>
            </w:r>
          </w:p>
        </w:tc>
        <w:tc>
          <w:tcPr>
            <w:tcW w:w="807" w:type="pct"/>
            <w:tcBorders>
              <w:top w:val="single" w:color="auto" w:sz="4" w:space="0"/>
              <w:left w:val="single" w:color="auto" w:sz="4" w:space="0"/>
              <w:bottom w:val="single" w:color="auto" w:sz="4" w:space="0"/>
              <w:right w:val="single" w:color="auto" w:sz="4" w:space="0"/>
            </w:tcBorders>
            <w:shd w:val="clear" w:color="auto" w:fill="auto"/>
            <w:vAlign w:val="center"/>
          </w:tcPr>
          <w:p w14:paraId="5E96F265">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kern w:val="2"/>
                <w:sz w:val="22"/>
                <w:szCs w:val="24"/>
                <w:lang w:val="en-US" w:eastAsia="zh-CN" w:bidi="ar-SA"/>
              </w:rPr>
              <w:t>16</w:t>
            </w:r>
          </w:p>
        </w:tc>
        <w:tc>
          <w:tcPr>
            <w:tcW w:w="783" w:type="pct"/>
            <w:tcBorders>
              <w:top w:val="single" w:color="auto" w:sz="4" w:space="0"/>
              <w:left w:val="single" w:color="auto" w:sz="4" w:space="0"/>
              <w:bottom w:val="single" w:color="auto" w:sz="4" w:space="0"/>
              <w:right w:val="single" w:color="auto" w:sz="4" w:space="0"/>
            </w:tcBorders>
            <w:shd w:val="clear" w:color="auto" w:fill="auto"/>
            <w:vAlign w:val="center"/>
          </w:tcPr>
          <w:p w14:paraId="03FB129D">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kern w:val="2"/>
                <w:sz w:val="22"/>
                <w:szCs w:val="24"/>
                <w:lang w:val="en-US" w:eastAsia="zh-CN" w:bidi="ar-SA"/>
              </w:rPr>
              <w:t>12</w:t>
            </w:r>
          </w:p>
        </w:tc>
        <w:tc>
          <w:tcPr>
            <w:tcW w:w="776" w:type="pct"/>
            <w:tcBorders>
              <w:top w:val="single" w:color="auto" w:sz="4" w:space="0"/>
              <w:left w:val="single" w:color="auto" w:sz="4" w:space="0"/>
              <w:bottom w:val="single" w:color="auto" w:sz="4" w:space="0"/>
              <w:right w:val="single" w:color="auto" w:sz="4" w:space="0"/>
            </w:tcBorders>
            <w:shd w:val="clear" w:color="auto" w:fill="auto"/>
            <w:vAlign w:val="center"/>
          </w:tcPr>
          <w:p w14:paraId="1E607618">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lang w:val="en-US" w:eastAsia="zh-CN"/>
              </w:rPr>
              <w:t>20</w:t>
            </w:r>
          </w:p>
        </w:tc>
      </w:tr>
      <w:tr w14:paraId="5CB826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626" w:type="pct"/>
            <w:vMerge w:val="continue"/>
            <w:tcBorders>
              <w:left w:val="single" w:color="auto" w:sz="4" w:space="0"/>
              <w:right w:val="single" w:color="auto" w:sz="4" w:space="0"/>
            </w:tcBorders>
            <w:vAlign w:val="center"/>
          </w:tcPr>
          <w:p w14:paraId="0873C284">
            <w:pPr>
              <w:jc w:val="center"/>
              <w:rPr>
                <w:rFonts w:ascii="Times New Roman" w:hAnsi="Times New Roman" w:eastAsia="宋体" w:cs="Times New Roman"/>
                <w:color w:val="auto"/>
                <w:sz w:val="22"/>
                <w:szCs w:val="24"/>
              </w:rPr>
            </w:pPr>
          </w:p>
        </w:tc>
        <w:tc>
          <w:tcPr>
            <w:tcW w:w="1303" w:type="pct"/>
            <w:tcBorders>
              <w:top w:val="single" w:color="auto" w:sz="4" w:space="0"/>
              <w:left w:val="single" w:color="auto" w:sz="4" w:space="0"/>
              <w:bottom w:val="single" w:color="auto" w:sz="4" w:space="0"/>
              <w:right w:val="single" w:color="auto" w:sz="4" w:space="0"/>
            </w:tcBorders>
            <w:shd w:val="clear" w:color="auto" w:fill="auto"/>
            <w:vAlign w:val="center"/>
          </w:tcPr>
          <w:p w14:paraId="2967CC59">
            <w:pPr>
              <w:jc w:val="center"/>
              <w:rPr>
                <w:rFonts w:hint="eastAsia"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kern w:val="2"/>
                <w:sz w:val="22"/>
                <w:szCs w:val="24"/>
                <w:lang w:val="en-US" w:eastAsia="zh-CN" w:bidi="ar-SA"/>
              </w:rPr>
              <w:t>硫化氢</w:t>
            </w:r>
          </w:p>
        </w:tc>
        <w:tc>
          <w:tcPr>
            <w:tcW w:w="703" w:type="pct"/>
            <w:tcBorders>
              <w:top w:val="single" w:color="auto" w:sz="4" w:space="0"/>
              <w:left w:val="single" w:color="auto" w:sz="4" w:space="0"/>
              <w:bottom w:val="single" w:color="auto" w:sz="4" w:space="0"/>
              <w:right w:val="single" w:color="auto" w:sz="4" w:space="0"/>
            </w:tcBorders>
            <w:shd w:val="clear" w:color="auto" w:fill="auto"/>
            <w:vAlign w:val="center"/>
          </w:tcPr>
          <w:p w14:paraId="36F4E752">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kern w:val="2"/>
                <w:sz w:val="22"/>
                <w:szCs w:val="24"/>
                <w:lang w:val="en-US" w:eastAsia="zh-CN" w:bidi="ar-SA"/>
              </w:rPr>
              <w:t>0.003</w:t>
            </w:r>
          </w:p>
        </w:tc>
        <w:tc>
          <w:tcPr>
            <w:tcW w:w="807" w:type="pct"/>
            <w:tcBorders>
              <w:top w:val="single" w:color="auto" w:sz="4" w:space="0"/>
              <w:left w:val="single" w:color="auto" w:sz="4" w:space="0"/>
              <w:bottom w:val="single" w:color="auto" w:sz="4" w:space="0"/>
              <w:right w:val="single" w:color="auto" w:sz="4" w:space="0"/>
            </w:tcBorders>
            <w:shd w:val="clear" w:color="auto" w:fill="auto"/>
            <w:vAlign w:val="center"/>
          </w:tcPr>
          <w:p w14:paraId="3DBDB2DC">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kern w:val="2"/>
                <w:sz w:val="22"/>
                <w:szCs w:val="24"/>
                <w:lang w:val="en-US" w:eastAsia="zh-CN" w:bidi="ar-SA"/>
              </w:rPr>
              <w:t>0.003</w:t>
            </w:r>
          </w:p>
        </w:tc>
        <w:tc>
          <w:tcPr>
            <w:tcW w:w="783" w:type="pct"/>
            <w:tcBorders>
              <w:top w:val="single" w:color="auto" w:sz="4" w:space="0"/>
              <w:left w:val="single" w:color="auto" w:sz="4" w:space="0"/>
              <w:bottom w:val="single" w:color="auto" w:sz="4" w:space="0"/>
              <w:right w:val="single" w:color="auto" w:sz="4" w:space="0"/>
            </w:tcBorders>
            <w:shd w:val="clear" w:color="auto" w:fill="auto"/>
            <w:vAlign w:val="center"/>
          </w:tcPr>
          <w:p w14:paraId="67B41C1B">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kern w:val="2"/>
                <w:sz w:val="22"/>
                <w:szCs w:val="24"/>
                <w:lang w:val="en-US" w:eastAsia="zh-CN" w:bidi="ar-SA"/>
              </w:rPr>
              <w:t>0.004</w:t>
            </w:r>
          </w:p>
        </w:tc>
        <w:tc>
          <w:tcPr>
            <w:tcW w:w="776" w:type="pct"/>
            <w:tcBorders>
              <w:top w:val="single" w:color="auto" w:sz="4" w:space="0"/>
              <w:left w:val="single" w:color="auto" w:sz="4" w:space="0"/>
              <w:bottom w:val="single" w:color="auto" w:sz="4" w:space="0"/>
              <w:right w:val="single" w:color="auto" w:sz="4" w:space="0"/>
            </w:tcBorders>
            <w:shd w:val="clear" w:color="auto" w:fill="auto"/>
            <w:vAlign w:val="center"/>
          </w:tcPr>
          <w:p w14:paraId="14F52CD4">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lang w:val="en-US" w:eastAsia="zh-CN"/>
              </w:rPr>
              <w:t>0.06</w:t>
            </w:r>
          </w:p>
        </w:tc>
      </w:tr>
      <w:tr w14:paraId="7C29D3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626" w:type="pct"/>
            <w:vMerge w:val="continue"/>
            <w:tcBorders>
              <w:left w:val="single" w:color="auto" w:sz="4" w:space="0"/>
              <w:right w:val="single" w:color="auto" w:sz="4" w:space="0"/>
            </w:tcBorders>
            <w:vAlign w:val="center"/>
          </w:tcPr>
          <w:p w14:paraId="7A7DE3EA">
            <w:pPr>
              <w:jc w:val="center"/>
              <w:rPr>
                <w:rFonts w:ascii="Times New Roman" w:hAnsi="Times New Roman" w:eastAsia="宋体" w:cs="Times New Roman"/>
                <w:color w:val="auto"/>
                <w:sz w:val="22"/>
                <w:szCs w:val="24"/>
              </w:rPr>
            </w:pPr>
          </w:p>
        </w:tc>
        <w:tc>
          <w:tcPr>
            <w:tcW w:w="1303" w:type="pct"/>
            <w:tcBorders>
              <w:top w:val="single" w:color="auto" w:sz="4" w:space="0"/>
              <w:left w:val="single" w:color="auto" w:sz="4" w:space="0"/>
              <w:bottom w:val="single" w:color="auto" w:sz="4" w:space="0"/>
              <w:right w:val="single" w:color="auto" w:sz="4" w:space="0"/>
            </w:tcBorders>
            <w:shd w:val="clear" w:color="auto" w:fill="auto"/>
            <w:vAlign w:val="center"/>
          </w:tcPr>
          <w:p w14:paraId="50585658">
            <w:pPr>
              <w:jc w:val="center"/>
              <w:rPr>
                <w:rFonts w:hint="eastAsia"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kern w:val="2"/>
                <w:sz w:val="22"/>
                <w:szCs w:val="24"/>
                <w:lang w:val="en-US" w:eastAsia="zh-CN" w:bidi="ar-SA"/>
              </w:rPr>
              <w:t>非甲烷总烃</w:t>
            </w:r>
          </w:p>
        </w:tc>
        <w:tc>
          <w:tcPr>
            <w:tcW w:w="703" w:type="pct"/>
            <w:tcBorders>
              <w:top w:val="single" w:color="auto" w:sz="4" w:space="0"/>
              <w:left w:val="single" w:color="auto" w:sz="4" w:space="0"/>
              <w:bottom w:val="single" w:color="auto" w:sz="4" w:space="0"/>
              <w:right w:val="single" w:color="auto" w:sz="4" w:space="0"/>
            </w:tcBorders>
            <w:shd w:val="clear" w:color="auto" w:fill="auto"/>
            <w:vAlign w:val="center"/>
          </w:tcPr>
          <w:p w14:paraId="45E67CDF">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kern w:val="2"/>
                <w:sz w:val="22"/>
                <w:szCs w:val="24"/>
                <w:lang w:val="en-US" w:eastAsia="zh-CN" w:bidi="ar-SA"/>
              </w:rPr>
              <w:t>1.41</w:t>
            </w:r>
          </w:p>
        </w:tc>
        <w:tc>
          <w:tcPr>
            <w:tcW w:w="807" w:type="pct"/>
            <w:tcBorders>
              <w:top w:val="single" w:color="auto" w:sz="4" w:space="0"/>
              <w:left w:val="single" w:color="auto" w:sz="4" w:space="0"/>
              <w:bottom w:val="single" w:color="auto" w:sz="4" w:space="0"/>
              <w:right w:val="single" w:color="auto" w:sz="4" w:space="0"/>
            </w:tcBorders>
            <w:shd w:val="clear" w:color="auto" w:fill="auto"/>
            <w:vAlign w:val="center"/>
          </w:tcPr>
          <w:p w14:paraId="4D88B901">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kern w:val="2"/>
                <w:sz w:val="22"/>
                <w:szCs w:val="24"/>
                <w:lang w:val="en-US" w:eastAsia="zh-CN" w:bidi="ar-SA"/>
              </w:rPr>
              <w:t>1.22</w:t>
            </w:r>
          </w:p>
        </w:tc>
        <w:tc>
          <w:tcPr>
            <w:tcW w:w="783" w:type="pct"/>
            <w:tcBorders>
              <w:top w:val="single" w:color="auto" w:sz="4" w:space="0"/>
              <w:left w:val="single" w:color="auto" w:sz="4" w:space="0"/>
              <w:bottom w:val="single" w:color="auto" w:sz="4" w:space="0"/>
              <w:right w:val="single" w:color="auto" w:sz="4" w:space="0"/>
            </w:tcBorders>
            <w:shd w:val="clear" w:color="auto" w:fill="auto"/>
            <w:vAlign w:val="center"/>
          </w:tcPr>
          <w:p w14:paraId="7B07DBB4">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kern w:val="2"/>
                <w:sz w:val="22"/>
                <w:szCs w:val="24"/>
                <w:lang w:val="en-US" w:eastAsia="zh-CN" w:bidi="ar-SA"/>
              </w:rPr>
              <w:t>1.42</w:t>
            </w:r>
          </w:p>
        </w:tc>
        <w:tc>
          <w:tcPr>
            <w:tcW w:w="776" w:type="pct"/>
            <w:tcBorders>
              <w:top w:val="single" w:color="auto" w:sz="4" w:space="0"/>
              <w:left w:val="single" w:color="auto" w:sz="4" w:space="0"/>
              <w:bottom w:val="single" w:color="auto" w:sz="4" w:space="0"/>
              <w:right w:val="single" w:color="auto" w:sz="4" w:space="0"/>
            </w:tcBorders>
            <w:shd w:val="clear" w:color="auto" w:fill="auto"/>
            <w:vAlign w:val="center"/>
          </w:tcPr>
          <w:p w14:paraId="705BD09E">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lang w:val="en-US" w:eastAsia="zh-CN"/>
              </w:rPr>
              <w:t>4.0</w:t>
            </w:r>
          </w:p>
        </w:tc>
      </w:tr>
      <w:tr w14:paraId="3FA6E1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626" w:type="pct"/>
            <w:vMerge w:val="restart"/>
            <w:tcBorders>
              <w:left w:val="single" w:color="auto" w:sz="4" w:space="0"/>
              <w:right w:val="single" w:color="auto" w:sz="4" w:space="0"/>
            </w:tcBorders>
            <w:shd w:val="clear" w:color="auto" w:fill="auto"/>
            <w:vAlign w:val="center"/>
          </w:tcPr>
          <w:p w14:paraId="7E561981">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Q</w:t>
            </w:r>
            <w:r>
              <w:rPr>
                <w:rFonts w:hint="eastAsia" w:ascii="Times New Roman" w:hAnsi="Times New Roman" w:eastAsia="宋体" w:cs="Times New Roman"/>
                <w:color w:val="auto"/>
                <w:sz w:val="22"/>
                <w:szCs w:val="24"/>
              </w:rPr>
              <w:t>2</w:t>
            </w:r>
          </w:p>
          <w:p w14:paraId="0549568C">
            <w:pPr>
              <w:jc w:val="center"/>
              <w:rPr>
                <w:rFonts w:ascii="Times New Roman" w:hAnsi="Times New Roman" w:eastAsia="宋体" w:cs="Times New Roman"/>
                <w:color w:val="auto"/>
                <w:kern w:val="2"/>
                <w:sz w:val="22"/>
                <w:szCs w:val="24"/>
                <w:lang w:val="en-US" w:eastAsia="zh-CN" w:bidi="ar-SA"/>
              </w:rPr>
            </w:pPr>
            <w:r>
              <w:rPr>
                <w:rFonts w:ascii="Times New Roman" w:hAnsi="Times New Roman" w:eastAsia="宋体" w:cs="Times New Roman"/>
                <w:color w:val="auto"/>
                <w:sz w:val="22"/>
                <w:szCs w:val="24"/>
              </w:rPr>
              <w:t>厂界</w:t>
            </w:r>
            <w:r>
              <w:rPr>
                <w:rFonts w:hint="eastAsia" w:ascii="Times New Roman" w:hAnsi="Times New Roman" w:eastAsia="宋体" w:cs="Times New Roman"/>
                <w:color w:val="auto"/>
                <w:sz w:val="22"/>
                <w:szCs w:val="24"/>
              </w:rPr>
              <w:t>南</w:t>
            </w:r>
          </w:p>
        </w:tc>
        <w:tc>
          <w:tcPr>
            <w:tcW w:w="1303" w:type="pct"/>
            <w:tcBorders>
              <w:top w:val="single" w:color="auto" w:sz="4" w:space="0"/>
              <w:left w:val="single" w:color="auto" w:sz="4" w:space="0"/>
              <w:bottom w:val="single" w:color="auto" w:sz="4" w:space="0"/>
              <w:right w:val="single" w:color="auto" w:sz="4" w:space="0"/>
            </w:tcBorders>
            <w:shd w:val="clear" w:color="auto" w:fill="auto"/>
            <w:vAlign w:val="center"/>
          </w:tcPr>
          <w:p w14:paraId="6B5C3B15">
            <w:pPr>
              <w:jc w:val="center"/>
              <w:rPr>
                <w:rFonts w:hint="eastAsia"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kern w:val="2"/>
                <w:sz w:val="22"/>
                <w:szCs w:val="24"/>
                <w:lang w:val="en-US" w:eastAsia="zh-CN" w:bidi="ar-SA"/>
              </w:rPr>
              <w:t>氨</w:t>
            </w:r>
          </w:p>
        </w:tc>
        <w:tc>
          <w:tcPr>
            <w:tcW w:w="703" w:type="pct"/>
            <w:tcBorders>
              <w:top w:val="single" w:color="auto" w:sz="4" w:space="0"/>
              <w:left w:val="single" w:color="auto" w:sz="4" w:space="0"/>
              <w:bottom w:val="single" w:color="auto" w:sz="4" w:space="0"/>
              <w:right w:val="single" w:color="auto" w:sz="4" w:space="0"/>
            </w:tcBorders>
            <w:shd w:val="clear" w:color="auto" w:fill="auto"/>
            <w:vAlign w:val="center"/>
          </w:tcPr>
          <w:p w14:paraId="4B2971ED">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kern w:val="2"/>
                <w:sz w:val="22"/>
                <w:szCs w:val="24"/>
                <w:lang w:val="en-US" w:eastAsia="zh-CN" w:bidi="ar-SA"/>
              </w:rPr>
              <w:t>0.205</w:t>
            </w:r>
          </w:p>
        </w:tc>
        <w:tc>
          <w:tcPr>
            <w:tcW w:w="807" w:type="pct"/>
            <w:tcBorders>
              <w:top w:val="single" w:color="auto" w:sz="4" w:space="0"/>
              <w:left w:val="single" w:color="auto" w:sz="4" w:space="0"/>
              <w:bottom w:val="single" w:color="auto" w:sz="4" w:space="0"/>
              <w:right w:val="single" w:color="auto" w:sz="4" w:space="0"/>
            </w:tcBorders>
            <w:shd w:val="clear" w:color="auto" w:fill="auto"/>
            <w:vAlign w:val="center"/>
          </w:tcPr>
          <w:p w14:paraId="7A87BB8F">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kern w:val="2"/>
                <w:sz w:val="22"/>
                <w:szCs w:val="24"/>
                <w:lang w:val="en-US" w:eastAsia="zh-CN" w:bidi="ar-SA"/>
              </w:rPr>
              <w:t>0.203</w:t>
            </w:r>
          </w:p>
        </w:tc>
        <w:tc>
          <w:tcPr>
            <w:tcW w:w="783" w:type="pct"/>
            <w:tcBorders>
              <w:top w:val="single" w:color="auto" w:sz="4" w:space="0"/>
              <w:left w:val="single" w:color="auto" w:sz="4" w:space="0"/>
              <w:bottom w:val="single" w:color="auto" w:sz="4" w:space="0"/>
              <w:right w:val="single" w:color="auto" w:sz="4" w:space="0"/>
            </w:tcBorders>
            <w:shd w:val="clear" w:color="auto" w:fill="auto"/>
            <w:vAlign w:val="center"/>
          </w:tcPr>
          <w:p w14:paraId="12D3DDFB">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kern w:val="2"/>
                <w:sz w:val="22"/>
                <w:szCs w:val="24"/>
                <w:lang w:val="en-US" w:eastAsia="zh-CN" w:bidi="ar-SA"/>
              </w:rPr>
              <w:t>0.196</w:t>
            </w:r>
          </w:p>
        </w:tc>
        <w:tc>
          <w:tcPr>
            <w:tcW w:w="776" w:type="pct"/>
            <w:tcBorders>
              <w:top w:val="single" w:color="auto" w:sz="4" w:space="0"/>
              <w:left w:val="single" w:color="auto" w:sz="4" w:space="0"/>
              <w:bottom w:val="single" w:color="auto" w:sz="4" w:space="0"/>
              <w:right w:val="single" w:color="auto" w:sz="4" w:space="0"/>
            </w:tcBorders>
            <w:shd w:val="clear" w:color="auto" w:fill="auto"/>
            <w:vAlign w:val="center"/>
          </w:tcPr>
          <w:p w14:paraId="728CD53B">
            <w:pPr>
              <w:jc w:val="center"/>
              <w:rPr>
                <w:rFonts w:hint="eastAsia"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lang w:val="en-US" w:eastAsia="zh-CN"/>
              </w:rPr>
              <w:t>1.5</w:t>
            </w:r>
          </w:p>
        </w:tc>
      </w:tr>
      <w:tr w14:paraId="6CF98C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626" w:type="pct"/>
            <w:vMerge w:val="continue"/>
            <w:tcBorders>
              <w:left w:val="single" w:color="auto" w:sz="4" w:space="0"/>
              <w:right w:val="single" w:color="auto" w:sz="4" w:space="0"/>
            </w:tcBorders>
            <w:vAlign w:val="center"/>
          </w:tcPr>
          <w:p w14:paraId="10B5B896">
            <w:pPr>
              <w:jc w:val="center"/>
              <w:rPr>
                <w:rFonts w:ascii="Times New Roman" w:hAnsi="Times New Roman" w:eastAsia="宋体" w:cs="Times New Roman"/>
                <w:color w:val="auto"/>
                <w:sz w:val="22"/>
                <w:szCs w:val="24"/>
              </w:rPr>
            </w:pPr>
          </w:p>
        </w:tc>
        <w:tc>
          <w:tcPr>
            <w:tcW w:w="1303" w:type="pct"/>
            <w:tcBorders>
              <w:top w:val="single" w:color="auto" w:sz="4" w:space="0"/>
              <w:left w:val="single" w:color="auto" w:sz="4" w:space="0"/>
              <w:bottom w:val="single" w:color="auto" w:sz="4" w:space="0"/>
              <w:right w:val="single" w:color="auto" w:sz="4" w:space="0"/>
            </w:tcBorders>
            <w:shd w:val="clear" w:color="auto" w:fill="auto"/>
            <w:vAlign w:val="center"/>
          </w:tcPr>
          <w:p w14:paraId="2C51B0B3">
            <w:pPr>
              <w:jc w:val="center"/>
              <w:rPr>
                <w:rFonts w:hint="eastAsia"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kern w:val="2"/>
                <w:sz w:val="22"/>
                <w:szCs w:val="24"/>
                <w:lang w:val="en-US" w:eastAsia="zh-CN" w:bidi="ar-SA"/>
              </w:rPr>
              <w:t>臭气浓度（无量纲）</w:t>
            </w:r>
          </w:p>
        </w:tc>
        <w:tc>
          <w:tcPr>
            <w:tcW w:w="703" w:type="pct"/>
            <w:tcBorders>
              <w:top w:val="single" w:color="auto" w:sz="4" w:space="0"/>
              <w:left w:val="single" w:color="auto" w:sz="4" w:space="0"/>
              <w:bottom w:val="single" w:color="auto" w:sz="4" w:space="0"/>
              <w:right w:val="single" w:color="auto" w:sz="4" w:space="0"/>
            </w:tcBorders>
            <w:shd w:val="clear" w:color="auto" w:fill="auto"/>
            <w:vAlign w:val="center"/>
          </w:tcPr>
          <w:p w14:paraId="0BB57044">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kern w:val="2"/>
                <w:sz w:val="22"/>
                <w:szCs w:val="24"/>
                <w:lang w:val="en-US" w:eastAsia="zh-CN" w:bidi="ar-SA"/>
              </w:rPr>
              <w:t>13</w:t>
            </w:r>
          </w:p>
        </w:tc>
        <w:tc>
          <w:tcPr>
            <w:tcW w:w="807" w:type="pct"/>
            <w:tcBorders>
              <w:top w:val="single" w:color="auto" w:sz="4" w:space="0"/>
              <w:left w:val="single" w:color="auto" w:sz="4" w:space="0"/>
              <w:bottom w:val="single" w:color="auto" w:sz="4" w:space="0"/>
              <w:right w:val="single" w:color="auto" w:sz="4" w:space="0"/>
            </w:tcBorders>
            <w:shd w:val="clear" w:color="auto" w:fill="auto"/>
            <w:vAlign w:val="center"/>
          </w:tcPr>
          <w:p w14:paraId="30741140">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kern w:val="2"/>
                <w:sz w:val="22"/>
                <w:szCs w:val="24"/>
                <w:lang w:val="en-US" w:eastAsia="zh-CN" w:bidi="ar-SA"/>
              </w:rPr>
              <w:t>14</w:t>
            </w:r>
          </w:p>
        </w:tc>
        <w:tc>
          <w:tcPr>
            <w:tcW w:w="783" w:type="pct"/>
            <w:tcBorders>
              <w:top w:val="single" w:color="auto" w:sz="4" w:space="0"/>
              <w:left w:val="single" w:color="auto" w:sz="4" w:space="0"/>
              <w:bottom w:val="single" w:color="auto" w:sz="4" w:space="0"/>
              <w:right w:val="single" w:color="auto" w:sz="4" w:space="0"/>
            </w:tcBorders>
            <w:shd w:val="clear" w:color="auto" w:fill="auto"/>
            <w:vAlign w:val="center"/>
          </w:tcPr>
          <w:p w14:paraId="30BC580B">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kern w:val="2"/>
                <w:sz w:val="22"/>
                <w:szCs w:val="24"/>
                <w:lang w:val="en-US" w:eastAsia="zh-CN" w:bidi="ar-SA"/>
              </w:rPr>
              <w:t>12</w:t>
            </w:r>
          </w:p>
        </w:tc>
        <w:tc>
          <w:tcPr>
            <w:tcW w:w="776" w:type="pct"/>
            <w:tcBorders>
              <w:top w:val="single" w:color="auto" w:sz="4" w:space="0"/>
              <w:left w:val="single" w:color="auto" w:sz="4" w:space="0"/>
              <w:bottom w:val="single" w:color="auto" w:sz="4" w:space="0"/>
              <w:right w:val="single" w:color="auto" w:sz="4" w:space="0"/>
            </w:tcBorders>
            <w:shd w:val="clear" w:color="auto" w:fill="auto"/>
            <w:vAlign w:val="center"/>
          </w:tcPr>
          <w:p w14:paraId="509D16B5">
            <w:pPr>
              <w:jc w:val="center"/>
              <w:rPr>
                <w:rFonts w:hint="eastAsia"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lang w:val="en-US" w:eastAsia="zh-CN"/>
              </w:rPr>
              <w:t>20</w:t>
            </w:r>
          </w:p>
        </w:tc>
      </w:tr>
      <w:tr w14:paraId="2AABF3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626" w:type="pct"/>
            <w:vMerge w:val="continue"/>
            <w:tcBorders>
              <w:left w:val="single" w:color="auto" w:sz="4" w:space="0"/>
              <w:right w:val="single" w:color="auto" w:sz="4" w:space="0"/>
            </w:tcBorders>
            <w:vAlign w:val="center"/>
          </w:tcPr>
          <w:p w14:paraId="582C7084">
            <w:pPr>
              <w:jc w:val="center"/>
              <w:rPr>
                <w:rFonts w:ascii="Times New Roman" w:hAnsi="Times New Roman" w:eastAsia="宋体" w:cs="Times New Roman"/>
                <w:color w:val="auto"/>
                <w:sz w:val="22"/>
                <w:szCs w:val="24"/>
              </w:rPr>
            </w:pPr>
          </w:p>
        </w:tc>
        <w:tc>
          <w:tcPr>
            <w:tcW w:w="1303" w:type="pct"/>
            <w:tcBorders>
              <w:top w:val="single" w:color="auto" w:sz="4" w:space="0"/>
              <w:left w:val="single" w:color="auto" w:sz="4" w:space="0"/>
              <w:bottom w:val="single" w:color="auto" w:sz="4" w:space="0"/>
              <w:right w:val="single" w:color="auto" w:sz="4" w:space="0"/>
            </w:tcBorders>
            <w:shd w:val="clear" w:color="auto" w:fill="auto"/>
            <w:vAlign w:val="center"/>
          </w:tcPr>
          <w:p w14:paraId="4E1D6662">
            <w:pPr>
              <w:jc w:val="center"/>
              <w:rPr>
                <w:rFonts w:hint="eastAsia"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kern w:val="2"/>
                <w:sz w:val="22"/>
                <w:szCs w:val="24"/>
                <w:lang w:val="en-US" w:eastAsia="zh-CN" w:bidi="ar-SA"/>
              </w:rPr>
              <w:t>硫化氢</w:t>
            </w:r>
          </w:p>
        </w:tc>
        <w:tc>
          <w:tcPr>
            <w:tcW w:w="703" w:type="pct"/>
            <w:tcBorders>
              <w:top w:val="single" w:color="auto" w:sz="4" w:space="0"/>
              <w:left w:val="single" w:color="auto" w:sz="4" w:space="0"/>
              <w:bottom w:val="single" w:color="auto" w:sz="4" w:space="0"/>
              <w:right w:val="single" w:color="auto" w:sz="4" w:space="0"/>
            </w:tcBorders>
            <w:shd w:val="clear" w:color="auto" w:fill="auto"/>
            <w:vAlign w:val="center"/>
          </w:tcPr>
          <w:p w14:paraId="30104E34">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kern w:val="2"/>
                <w:sz w:val="22"/>
                <w:szCs w:val="24"/>
                <w:lang w:val="en-US" w:eastAsia="zh-CN" w:bidi="ar-SA"/>
              </w:rPr>
              <w:t>0.003</w:t>
            </w:r>
          </w:p>
        </w:tc>
        <w:tc>
          <w:tcPr>
            <w:tcW w:w="807" w:type="pct"/>
            <w:tcBorders>
              <w:top w:val="single" w:color="auto" w:sz="4" w:space="0"/>
              <w:left w:val="single" w:color="auto" w:sz="4" w:space="0"/>
              <w:bottom w:val="single" w:color="auto" w:sz="4" w:space="0"/>
              <w:right w:val="single" w:color="auto" w:sz="4" w:space="0"/>
            </w:tcBorders>
            <w:shd w:val="clear" w:color="auto" w:fill="auto"/>
            <w:vAlign w:val="center"/>
          </w:tcPr>
          <w:p w14:paraId="661F373A">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kern w:val="2"/>
                <w:sz w:val="22"/>
                <w:szCs w:val="24"/>
                <w:lang w:val="en-US" w:eastAsia="zh-CN" w:bidi="ar-SA"/>
              </w:rPr>
              <w:t>0.004</w:t>
            </w:r>
          </w:p>
        </w:tc>
        <w:tc>
          <w:tcPr>
            <w:tcW w:w="783" w:type="pct"/>
            <w:tcBorders>
              <w:top w:val="single" w:color="auto" w:sz="4" w:space="0"/>
              <w:left w:val="single" w:color="auto" w:sz="4" w:space="0"/>
              <w:bottom w:val="single" w:color="auto" w:sz="4" w:space="0"/>
              <w:right w:val="single" w:color="auto" w:sz="4" w:space="0"/>
            </w:tcBorders>
            <w:shd w:val="clear" w:color="auto" w:fill="auto"/>
            <w:vAlign w:val="center"/>
          </w:tcPr>
          <w:p w14:paraId="0738801F">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kern w:val="2"/>
                <w:sz w:val="22"/>
                <w:szCs w:val="24"/>
                <w:lang w:val="en-US" w:eastAsia="zh-CN" w:bidi="ar-SA"/>
              </w:rPr>
              <w:t>0.005</w:t>
            </w:r>
          </w:p>
        </w:tc>
        <w:tc>
          <w:tcPr>
            <w:tcW w:w="776" w:type="pct"/>
            <w:tcBorders>
              <w:top w:val="single" w:color="auto" w:sz="4" w:space="0"/>
              <w:left w:val="single" w:color="auto" w:sz="4" w:space="0"/>
              <w:bottom w:val="single" w:color="auto" w:sz="4" w:space="0"/>
              <w:right w:val="single" w:color="auto" w:sz="4" w:space="0"/>
            </w:tcBorders>
            <w:shd w:val="clear" w:color="auto" w:fill="auto"/>
            <w:vAlign w:val="center"/>
          </w:tcPr>
          <w:p w14:paraId="1006E96E">
            <w:pPr>
              <w:jc w:val="center"/>
              <w:rPr>
                <w:rFonts w:hint="eastAsia"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lang w:val="en-US" w:eastAsia="zh-CN"/>
              </w:rPr>
              <w:t>0.06</w:t>
            </w:r>
          </w:p>
        </w:tc>
      </w:tr>
      <w:tr w14:paraId="458B84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626" w:type="pct"/>
            <w:vMerge w:val="continue"/>
            <w:tcBorders>
              <w:left w:val="single" w:color="auto" w:sz="4" w:space="0"/>
              <w:right w:val="single" w:color="auto" w:sz="4" w:space="0"/>
            </w:tcBorders>
          </w:tcPr>
          <w:p w14:paraId="2F7081F4">
            <w:pPr>
              <w:jc w:val="center"/>
              <w:rPr>
                <w:rFonts w:ascii="Times New Roman" w:hAnsi="Times New Roman" w:eastAsia="宋体" w:cs="Times New Roman"/>
                <w:color w:val="auto"/>
                <w:sz w:val="22"/>
                <w:szCs w:val="24"/>
              </w:rPr>
            </w:pPr>
          </w:p>
        </w:tc>
        <w:tc>
          <w:tcPr>
            <w:tcW w:w="0" w:type="auto"/>
            <w:shd w:val="clear" w:color="auto" w:fill="auto"/>
            <w:vAlign w:val="center"/>
          </w:tcPr>
          <w:p w14:paraId="3E62170F">
            <w:pPr>
              <w:jc w:val="center"/>
              <w:rPr>
                <w:rFonts w:hint="eastAsia"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kern w:val="2"/>
                <w:sz w:val="22"/>
                <w:szCs w:val="24"/>
                <w:lang w:val="en-US" w:eastAsia="zh-CN" w:bidi="ar-SA"/>
              </w:rPr>
              <w:t>非甲烷总烃</w:t>
            </w:r>
          </w:p>
        </w:tc>
        <w:tc>
          <w:tcPr>
            <w:tcW w:w="0" w:type="auto"/>
            <w:shd w:val="clear" w:color="auto" w:fill="auto"/>
            <w:vAlign w:val="center"/>
          </w:tcPr>
          <w:p w14:paraId="3B8211C7">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kern w:val="2"/>
                <w:sz w:val="22"/>
                <w:szCs w:val="24"/>
                <w:lang w:val="en-US" w:eastAsia="zh-CN" w:bidi="ar-SA"/>
              </w:rPr>
              <w:t>1.59</w:t>
            </w:r>
          </w:p>
        </w:tc>
        <w:tc>
          <w:tcPr>
            <w:tcW w:w="0" w:type="auto"/>
            <w:shd w:val="clear" w:color="auto" w:fill="auto"/>
            <w:vAlign w:val="center"/>
          </w:tcPr>
          <w:p w14:paraId="7B16E242">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kern w:val="2"/>
                <w:sz w:val="22"/>
                <w:szCs w:val="24"/>
                <w:lang w:val="en-US" w:eastAsia="zh-CN" w:bidi="ar-SA"/>
              </w:rPr>
              <w:t>1.43</w:t>
            </w:r>
          </w:p>
        </w:tc>
        <w:tc>
          <w:tcPr>
            <w:tcW w:w="0" w:type="auto"/>
            <w:shd w:val="clear" w:color="auto" w:fill="auto"/>
            <w:vAlign w:val="center"/>
          </w:tcPr>
          <w:p w14:paraId="1FF7176B">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kern w:val="2"/>
                <w:sz w:val="22"/>
                <w:szCs w:val="24"/>
                <w:lang w:val="en-US" w:eastAsia="zh-CN" w:bidi="ar-SA"/>
              </w:rPr>
              <w:t>1.50</w:t>
            </w:r>
          </w:p>
        </w:tc>
        <w:tc>
          <w:tcPr>
            <w:tcW w:w="0" w:type="auto"/>
            <w:shd w:val="clear" w:color="auto" w:fill="auto"/>
            <w:vAlign w:val="center"/>
          </w:tcPr>
          <w:p w14:paraId="47CF1BBD">
            <w:pPr>
              <w:jc w:val="center"/>
              <w:rPr>
                <w:rFonts w:hint="eastAsia"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lang w:val="en-US" w:eastAsia="zh-CN"/>
              </w:rPr>
              <w:t>4.0</w:t>
            </w:r>
          </w:p>
        </w:tc>
      </w:tr>
      <w:tr w14:paraId="7BB07F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626" w:type="pct"/>
            <w:vMerge w:val="restart"/>
            <w:shd w:val="clear" w:color="auto" w:fill="auto"/>
            <w:vAlign w:val="center"/>
          </w:tcPr>
          <w:p w14:paraId="5F7EB639">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Q</w:t>
            </w:r>
            <w:r>
              <w:rPr>
                <w:rFonts w:hint="eastAsia" w:ascii="Times New Roman" w:hAnsi="Times New Roman" w:eastAsia="宋体" w:cs="Times New Roman"/>
                <w:color w:val="auto"/>
                <w:sz w:val="22"/>
                <w:szCs w:val="24"/>
              </w:rPr>
              <w:t>3</w:t>
            </w:r>
          </w:p>
          <w:p w14:paraId="38970A24">
            <w:pPr>
              <w:jc w:val="center"/>
              <w:rPr>
                <w:rFonts w:ascii="Times New Roman" w:hAnsi="Times New Roman" w:eastAsia="宋体" w:cs="Times New Roman"/>
                <w:color w:val="auto"/>
                <w:kern w:val="2"/>
                <w:sz w:val="22"/>
                <w:szCs w:val="24"/>
                <w:lang w:val="en-US" w:eastAsia="zh-CN" w:bidi="ar-SA"/>
              </w:rPr>
            </w:pPr>
            <w:r>
              <w:rPr>
                <w:rFonts w:ascii="Times New Roman" w:hAnsi="Times New Roman" w:eastAsia="宋体" w:cs="Times New Roman"/>
                <w:color w:val="auto"/>
                <w:sz w:val="22"/>
                <w:szCs w:val="24"/>
              </w:rPr>
              <w:t>厂界</w:t>
            </w:r>
            <w:r>
              <w:rPr>
                <w:rFonts w:hint="eastAsia" w:ascii="Times New Roman" w:hAnsi="Times New Roman" w:eastAsia="宋体" w:cs="Times New Roman"/>
                <w:color w:val="auto"/>
                <w:sz w:val="22"/>
                <w:szCs w:val="24"/>
              </w:rPr>
              <w:t>西</w:t>
            </w:r>
          </w:p>
        </w:tc>
        <w:tc>
          <w:tcPr>
            <w:tcW w:w="0" w:type="auto"/>
            <w:shd w:val="clear" w:color="auto" w:fill="auto"/>
            <w:vAlign w:val="center"/>
          </w:tcPr>
          <w:p w14:paraId="0C8BDC8E">
            <w:pPr>
              <w:jc w:val="center"/>
              <w:rPr>
                <w:rFonts w:hint="eastAsia"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kern w:val="2"/>
                <w:sz w:val="22"/>
                <w:szCs w:val="24"/>
                <w:lang w:val="en-US" w:eastAsia="zh-CN" w:bidi="ar-SA"/>
              </w:rPr>
              <w:t>氨</w:t>
            </w:r>
          </w:p>
        </w:tc>
        <w:tc>
          <w:tcPr>
            <w:tcW w:w="0" w:type="auto"/>
            <w:shd w:val="clear" w:color="auto" w:fill="auto"/>
            <w:vAlign w:val="center"/>
          </w:tcPr>
          <w:p w14:paraId="139CF6EC">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kern w:val="2"/>
                <w:sz w:val="22"/>
                <w:szCs w:val="24"/>
                <w:lang w:val="en-US" w:eastAsia="zh-CN" w:bidi="ar-SA"/>
              </w:rPr>
              <w:t>0.173</w:t>
            </w:r>
          </w:p>
        </w:tc>
        <w:tc>
          <w:tcPr>
            <w:tcW w:w="0" w:type="auto"/>
            <w:shd w:val="clear" w:color="auto" w:fill="auto"/>
            <w:vAlign w:val="center"/>
          </w:tcPr>
          <w:p w14:paraId="66297748">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kern w:val="2"/>
                <w:sz w:val="22"/>
                <w:szCs w:val="24"/>
                <w:lang w:val="en-US" w:eastAsia="zh-CN" w:bidi="ar-SA"/>
              </w:rPr>
              <w:t>0.167</w:t>
            </w:r>
          </w:p>
        </w:tc>
        <w:tc>
          <w:tcPr>
            <w:tcW w:w="0" w:type="auto"/>
            <w:shd w:val="clear" w:color="auto" w:fill="auto"/>
            <w:vAlign w:val="center"/>
          </w:tcPr>
          <w:p w14:paraId="0D097ADD">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kern w:val="2"/>
                <w:sz w:val="22"/>
                <w:szCs w:val="24"/>
                <w:lang w:val="en-US" w:eastAsia="zh-CN" w:bidi="ar-SA"/>
              </w:rPr>
              <w:t>0.174</w:t>
            </w:r>
          </w:p>
        </w:tc>
        <w:tc>
          <w:tcPr>
            <w:tcW w:w="0" w:type="auto"/>
            <w:shd w:val="clear" w:color="auto" w:fill="auto"/>
            <w:vAlign w:val="center"/>
          </w:tcPr>
          <w:p w14:paraId="2EC0A702">
            <w:pPr>
              <w:jc w:val="center"/>
              <w:rPr>
                <w:rFonts w:hint="eastAsia"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lang w:val="en-US" w:eastAsia="zh-CN"/>
              </w:rPr>
              <w:t>1.5</w:t>
            </w:r>
          </w:p>
        </w:tc>
      </w:tr>
      <w:tr w14:paraId="3BFD5B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626" w:type="pct"/>
            <w:vMerge w:val="continue"/>
          </w:tcPr>
          <w:p w14:paraId="5463EADC">
            <w:pPr>
              <w:jc w:val="center"/>
              <w:rPr>
                <w:rFonts w:ascii="Times New Roman" w:hAnsi="Times New Roman" w:eastAsia="宋体" w:cs="Times New Roman"/>
                <w:color w:val="auto"/>
                <w:sz w:val="22"/>
                <w:szCs w:val="24"/>
              </w:rPr>
            </w:pPr>
          </w:p>
        </w:tc>
        <w:tc>
          <w:tcPr>
            <w:tcW w:w="0" w:type="auto"/>
            <w:shd w:val="clear" w:color="auto" w:fill="auto"/>
            <w:vAlign w:val="center"/>
          </w:tcPr>
          <w:p w14:paraId="45A71B10">
            <w:pPr>
              <w:jc w:val="center"/>
              <w:rPr>
                <w:rFonts w:hint="eastAsia"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kern w:val="2"/>
                <w:sz w:val="22"/>
                <w:szCs w:val="24"/>
                <w:lang w:val="en-US" w:eastAsia="zh-CN" w:bidi="ar-SA"/>
              </w:rPr>
              <w:t>臭气浓度（无量纲）</w:t>
            </w:r>
          </w:p>
        </w:tc>
        <w:tc>
          <w:tcPr>
            <w:tcW w:w="0" w:type="auto"/>
            <w:shd w:val="clear" w:color="auto" w:fill="auto"/>
            <w:vAlign w:val="center"/>
          </w:tcPr>
          <w:p w14:paraId="5F50B606">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kern w:val="2"/>
                <w:sz w:val="22"/>
                <w:szCs w:val="24"/>
                <w:lang w:val="en-US" w:eastAsia="zh-CN" w:bidi="ar-SA"/>
              </w:rPr>
              <w:t>13</w:t>
            </w:r>
          </w:p>
        </w:tc>
        <w:tc>
          <w:tcPr>
            <w:tcW w:w="0" w:type="auto"/>
            <w:shd w:val="clear" w:color="auto" w:fill="auto"/>
            <w:vAlign w:val="center"/>
          </w:tcPr>
          <w:p w14:paraId="7CC75E60">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kern w:val="2"/>
                <w:sz w:val="22"/>
                <w:szCs w:val="24"/>
                <w:lang w:val="en-US" w:eastAsia="zh-CN" w:bidi="ar-SA"/>
              </w:rPr>
              <w:t>16</w:t>
            </w:r>
          </w:p>
        </w:tc>
        <w:tc>
          <w:tcPr>
            <w:tcW w:w="0" w:type="auto"/>
            <w:shd w:val="clear" w:color="auto" w:fill="auto"/>
            <w:vAlign w:val="center"/>
          </w:tcPr>
          <w:p w14:paraId="44665D78">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kern w:val="2"/>
                <w:sz w:val="22"/>
                <w:szCs w:val="24"/>
                <w:lang w:val="en-US" w:eastAsia="zh-CN" w:bidi="ar-SA"/>
              </w:rPr>
              <w:t>14</w:t>
            </w:r>
          </w:p>
        </w:tc>
        <w:tc>
          <w:tcPr>
            <w:tcW w:w="0" w:type="auto"/>
            <w:shd w:val="clear" w:color="auto" w:fill="auto"/>
            <w:vAlign w:val="center"/>
          </w:tcPr>
          <w:p w14:paraId="7A5A91BE">
            <w:pPr>
              <w:jc w:val="center"/>
              <w:rPr>
                <w:rFonts w:hint="eastAsia"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lang w:val="en-US" w:eastAsia="zh-CN"/>
              </w:rPr>
              <w:t>20</w:t>
            </w:r>
          </w:p>
        </w:tc>
      </w:tr>
      <w:tr w14:paraId="775E5E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626" w:type="pct"/>
            <w:vMerge w:val="continue"/>
          </w:tcPr>
          <w:p w14:paraId="165A6F53">
            <w:pPr>
              <w:jc w:val="center"/>
              <w:rPr>
                <w:rFonts w:ascii="Times New Roman" w:hAnsi="Times New Roman" w:eastAsia="宋体" w:cs="Times New Roman"/>
                <w:color w:val="auto"/>
                <w:sz w:val="22"/>
                <w:szCs w:val="24"/>
              </w:rPr>
            </w:pPr>
          </w:p>
        </w:tc>
        <w:tc>
          <w:tcPr>
            <w:tcW w:w="0" w:type="auto"/>
            <w:shd w:val="clear" w:color="auto" w:fill="auto"/>
            <w:vAlign w:val="center"/>
          </w:tcPr>
          <w:p w14:paraId="098F7D07">
            <w:pPr>
              <w:jc w:val="center"/>
              <w:rPr>
                <w:rFonts w:hint="eastAsia"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kern w:val="2"/>
                <w:sz w:val="22"/>
                <w:szCs w:val="24"/>
                <w:lang w:val="en-US" w:eastAsia="zh-CN" w:bidi="ar-SA"/>
              </w:rPr>
              <w:t>硫化氢</w:t>
            </w:r>
          </w:p>
        </w:tc>
        <w:tc>
          <w:tcPr>
            <w:tcW w:w="0" w:type="auto"/>
            <w:shd w:val="clear" w:color="auto" w:fill="auto"/>
            <w:vAlign w:val="center"/>
          </w:tcPr>
          <w:p w14:paraId="3A59E148">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kern w:val="2"/>
                <w:sz w:val="22"/>
                <w:szCs w:val="24"/>
                <w:lang w:val="en-US" w:eastAsia="zh-CN" w:bidi="ar-SA"/>
              </w:rPr>
              <w:t>0.003</w:t>
            </w:r>
          </w:p>
        </w:tc>
        <w:tc>
          <w:tcPr>
            <w:tcW w:w="0" w:type="auto"/>
            <w:shd w:val="clear" w:color="auto" w:fill="auto"/>
            <w:vAlign w:val="center"/>
          </w:tcPr>
          <w:p w14:paraId="7A8C3609">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kern w:val="2"/>
                <w:sz w:val="22"/>
                <w:szCs w:val="24"/>
                <w:lang w:val="en-US" w:eastAsia="zh-CN" w:bidi="ar-SA"/>
              </w:rPr>
              <w:t>0.002</w:t>
            </w:r>
          </w:p>
        </w:tc>
        <w:tc>
          <w:tcPr>
            <w:tcW w:w="0" w:type="auto"/>
            <w:shd w:val="clear" w:color="auto" w:fill="auto"/>
            <w:vAlign w:val="center"/>
          </w:tcPr>
          <w:p w14:paraId="5582487A">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kern w:val="2"/>
                <w:sz w:val="22"/>
                <w:szCs w:val="24"/>
                <w:lang w:val="en-US" w:eastAsia="zh-CN" w:bidi="ar-SA"/>
              </w:rPr>
              <w:t>0.002</w:t>
            </w:r>
          </w:p>
        </w:tc>
        <w:tc>
          <w:tcPr>
            <w:tcW w:w="0" w:type="auto"/>
            <w:shd w:val="clear" w:color="auto" w:fill="auto"/>
            <w:vAlign w:val="center"/>
          </w:tcPr>
          <w:p w14:paraId="052DA82A">
            <w:pPr>
              <w:jc w:val="center"/>
              <w:rPr>
                <w:rFonts w:hint="eastAsia"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lang w:val="en-US" w:eastAsia="zh-CN"/>
              </w:rPr>
              <w:t>0.06</w:t>
            </w:r>
          </w:p>
        </w:tc>
      </w:tr>
      <w:tr w14:paraId="2F3193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626" w:type="pct"/>
            <w:vMerge w:val="continue"/>
          </w:tcPr>
          <w:p w14:paraId="35A71E6A">
            <w:pPr>
              <w:jc w:val="center"/>
              <w:rPr>
                <w:rFonts w:ascii="Times New Roman" w:hAnsi="Times New Roman" w:eastAsia="宋体" w:cs="Times New Roman"/>
                <w:color w:val="auto"/>
                <w:sz w:val="22"/>
                <w:szCs w:val="24"/>
              </w:rPr>
            </w:pPr>
          </w:p>
        </w:tc>
        <w:tc>
          <w:tcPr>
            <w:tcW w:w="0" w:type="auto"/>
            <w:shd w:val="clear" w:color="auto" w:fill="auto"/>
            <w:vAlign w:val="center"/>
          </w:tcPr>
          <w:p w14:paraId="602075FB">
            <w:pPr>
              <w:jc w:val="center"/>
              <w:rPr>
                <w:rFonts w:hint="eastAsia"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kern w:val="2"/>
                <w:sz w:val="22"/>
                <w:szCs w:val="24"/>
                <w:lang w:val="en-US" w:eastAsia="zh-CN" w:bidi="ar-SA"/>
              </w:rPr>
              <w:t>非甲烷总烃</w:t>
            </w:r>
          </w:p>
        </w:tc>
        <w:tc>
          <w:tcPr>
            <w:tcW w:w="0" w:type="auto"/>
            <w:shd w:val="clear" w:color="auto" w:fill="auto"/>
            <w:vAlign w:val="center"/>
          </w:tcPr>
          <w:p w14:paraId="4BCFB3C8">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kern w:val="2"/>
                <w:sz w:val="22"/>
                <w:szCs w:val="24"/>
                <w:lang w:val="en-US" w:eastAsia="zh-CN" w:bidi="ar-SA"/>
              </w:rPr>
              <w:t>1.13</w:t>
            </w:r>
          </w:p>
        </w:tc>
        <w:tc>
          <w:tcPr>
            <w:tcW w:w="0" w:type="auto"/>
            <w:shd w:val="clear" w:color="auto" w:fill="auto"/>
            <w:vAlign w:val="center"/>
          </w:tcPr>
          <w:p w14:paraId="4B06CB71">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kern w:val="2"/>
                <w:sz w:val="22"/>
                <w:szCs w:val="24"/>
                <w:lang w:val="en-US" w:eastAsia="zh-CN" w:bidi="ar-SA"/>
              </w:rPr>
              <w:t>1.30</w:t>
            </w:r>
          </w:p>
        </w:tc>
        <w:tc>
          <w:tcPr>
            <w:tcW w:w="0" w:type="auto"/>
            <w:shd w:val="clear" w:color="auto" w:fill="auto"/>
            <w:vAlign w:val="center"/>
          </w:tcPr>
          <w:p w14:paraId="0FD50838">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kern w:val="2"/>
                <w:sz w:val="22"/>
                <w:szCs w:val="24"/>
                <w:lang w:val="en-US" w:eastAsia="zh-CN" w:bidi="ar-SA"/>
              </w:rPr>
              <w:t>1.42</w:t>
            </w:r>
          </w:p>
        </w:tc>
        <w:tc>
          <w:tcPr>
            <w:tcW w:w="0" w:type="auto"/>
            <w:shd w:val="clear" w:color="auto" w:fill="auto"/>
            <w:vAlign w:val="center"/>
          </w:tcPr>
          <w:p w14:paraId="58EE248A">
            <w:pPr>
              <w:jc w:val="center"/>
              <w:rPr>
                <w:rFonts w:hint="eastAsia"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lang w:val="en-US" w:eastAsia="zh-CN"/>
              </w:rPr>
              <w:t>4.0</w:t>
            </w:r>
          </w:p>
        </w:tc>
      </w:tr>
      <w:tr w14:paraId="5EE3E0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626" w:type="pct"/>
            <w:vMerge w:val="restart"/>
            <w:shd w:val="clear" w:color="auto" w:fill="auto"/>
            <w:vAlign w:val="center"/>
          </w:tcPr>
          <w:p w14:paraId="7D7C4CC4">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Q</w:t>
            </w:r>
            <w:r>
              <w:rPr>
                <w:rFonts w:hint="eastAsia" w:ascii="Times New Roman" w:hAnsi="Times New Roman" w:eastAsia="宋体" w:cs="Times New Roman"/>
                <w:color w:val="auto"/>
                <w:sz w:val="22"/>
                <w:szCs w:val="24"/>
              </w:rPr>
              <w:t>4</w:t>
            </w:r>
          </w:p>
          <w:p w14:paraId="711842F9">
            <w:pPr>
              <w:jc w:val="center"/>
              <w:rPr>
                <w:rFonts w:ascii="Times New Roman" w:hAnsi="Times New Roman" w:eastAsia="宋体" w:cs="Times New Roman"/>
                <w:color w:val="auto"/>
                <w:kern w:val="2"/>
                <w:sz w:val="22"/>
                <w:szCs w:val="24"/>
                <w:lang w:val="en-US" w:eastAsia="zh-CN" w:bidi="ar-SA"/>
              </w:rPr>
            </w:pPr>
            <w:r>
              <w:rPr>
                <w:rFonts w:ascii="Times New Roman" w:hAnsi="Times New Roman" w:eastAsia="宋体" w:cs="Times New Roman"/>
                <w:color w:val="auto"/>
                <w:sz w:val="22"/>
                <w:szCs w:val="24"/>
              </w:rPr>
              <w:t>厂界</w:t>
            </w:r>
            <w:r>
              <w:rPr>
                <w:rFonts w:hint="eastAsia" w:ascii="Times New Roman" w:hAnsi="Times New Roman" w:eastAsia="宋体" w:cs="Times New Roman"/>
                <w:color w:val="auto"/>
                <w:sz w:val="22"/>
                <w:szCs w:val="24"/>
              </w:rPr>
              <w:t>北</w:t>
            </w:r>
          </w:p>
        </w:tc>
        <w:tc>
          <w:tcPr>
            <w:tcW w:w="0" w:type="auto"/>
            <w:shd w:val="clear" w:color="auto" w:fill="auto"/>
            <w:vAlign w:val="center"/>
          </w:tcPr>
          <w:p w14:paraId="05D10DD4">
            <w:pPr>
              <w:jc w:val="center"/>
              <w:rPr>
                <w:rFonts w:hint="eastAsia"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kern w:val="2"/>
                <w:sz w:val="22"/>
                <w:szCs w:val="24"/>
                <w:lang w:val="en-US" w:eastAsia="zh-CN" w:bidi="ar-SA"/>
              </w:rPr>
              <w:t>氨</w:t>
            </w:r>
          </w:p>
        </w:tc>
        <w:tc>
          <w:tcPr>
            <w:tcW w:w="0" w:type="auto"/>
            <w:shd w:val="clear" w:color="auto" w:fill="auto"/>
            <w:vAlign w:val="center"/>
          </w:tcPr>
          <w:p w14:paraId="0190C700">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kern w:val="2"/>
                <w:sz w:val="22"/>
                <w:szCs w:val="24"/>
                <w:lang w:val="en-US" w:eastAsia="zh-CN" w:bidi="ar-SA"/>
              </w:rPr>
              <w:t>0.144</w:t>
            </w:r>
          </w:p>
        </w:tc>
        <w:tc>
          <w:tcPr>
            <w:tcW w:w="0" w:type="auto"/>
            <w:shd w:val="clear" w:color="auto" w:fill="auto"/>
            <w:vAlign w:val="center"/>
          </w:tcPr>
          <w:p w14:paraId="45A06C2D">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kern w:val="2"/>
                <w:sz w:val="22"/>
                <w:szCs w:val="24"/>
                <w:lang w:val="en-US" w:eastAsia="zh-CN" w:bidi="ar-SA"/>
              </w:rPr>
              <w:t>0.147</w:t>
            </w:r>
          </w:p>
        </w:tc>
        <w:tc>
          <w:tcPr>
            <w:tcW w:w="0" w:type="auto"/>
            <w:shd w:val="clear" w:color="auto" w:fill="auto"/>
            <w:vAlign w:val="center"/>
          </w:tcPr>
          <w:p w14:paraId="0E1E3AFB">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kern w:val="2"/>
                <w:sz w:val="22"/>
                <w:szCs w:val="24"/>
                <w:lang w:val="en-US" w:eastAsia="zh-CN" w:bidi="ar-SA"/>
              </w:rPr>
              <w:t>0.155</w:t>
            </w:r>
          </w:p>
        </w:tc>
        <w:tc>
          <w:tcPr>
            <w:tcW w:w="0" w:type="auto"/>
            <w:shd w:val="clear" w:color="auto" w:fill="auto"/>
            <w:vAlign w:val="center"/>
          </w:tcPr>
          <w:p w14:paraId="1D84B243">
            <w:pPr>
              <w:jc w:val="center"/>
              <w:rPr>
                <w:rFonts w:hint="eastAsia"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lang w:val="en-US" w:eastAsia="zh-CN"/>
              </w:rPr>
              <w:t>1.5</w:t>
            </w:r>
          </w:p>
        </w:tc>
      </w:tr>
      <w:tr w14:paraId="6629DE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626" w:type="pct"/>
            <w:vMerge w:val="continue"/>
          </w:tcPr>
          <w:p w14:paraId="1D136A33">
            <w:pPr>
              <w:jc w:val="center"/>
              <w:rPr>
                <w:rFonts w:ascii="Times New Roman" w:hAnsi="Times New Roman" w:eastAsia="宋体" w:cs="Times New Roman"/>
                <w:color w:val="auto"/>
                <w:sz w:val="22"/>
                <w:szCs w:val="24"/>
              </w:rPr>
            </w:pPr>
          </w:p>
        </w:tc>
        <w:tc>
          <w:tcPr>
            <w:tcW w:w="0" w:type="auto"/>
            <w:shd w:val="clear" w:color="auto" w:fill="auto"/>
            <w:vAlign w:val="center"/>
          </w:tcPr>
          <w:p w14:paraId="20FA1B90">
            <w:pPr>
              <w:jc w:val="center"/>
              <w:rPr>
                <w:rFonts w:hint="eastAsia"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kern w:val="2"/>
                <w:sz w:val="22"/>
                <w:szCs w:val="24"/>
                <w:lang w:val="en-US" w:eastAsia="zh-CN" w:bidi="ar-SA"/>
              </w:rPr>
              <w:t>臭气浓度（无量纲）</w:t>
            </w:r>
          </w:p>
        </w:tc>
        <w:tc>
          <w:tcPr>
            <w:tcW w:w="0" w:type="auto"/>
            <w:shd w:val="clear" w:color="auto" w:fill="auto"/>
            <w:vAlign w:val="center"/>
          </w:tcPr>
          <w:p w14:paraId="54181F85">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kern w:val="2"/>
                <w:sz w:val="22"/>
                <w:szCs w:val="24"/>
                <w:lang w:val="en-US" w:eastAsia="zh-CN" w:bidi="ar-SA"/>
              </w:rPr>
              <w:t>12</w:t>
            </w:r>
          </w:p>
        </w:tc>
        <w:tc>
          <w:tcPr>
            <w:tcW w:w="0" w:type="auto"/>
            <w:shd w:val="clear" w:color="auto" w:fill="auto"/>
            <w:vAlign w:val="center"/>
          </w:tcPr>
          <w:p w14:paraId="507A9CA9">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kern w:val="2"/>
                <w:sz w:val="22"/>
                <w:szCs w:val="24"/>
                <w:lang w:val="en-US" w:eastAsia="zh-CN" w:bidi="ar-SA"/>
              </w:rPr>
              <w:t>12</w:t>
            </w:r>
          </w:p>
        </w:tc>
        <w:tc>
          <w:tcPr>
            <w:tcW w:w="0" w:type="auto"/>
            <w:shd w:val="clear" w:color="auto" w:fill="auto"/>
            <w:vAlign w:val="center"/>
          </w:tcPr>
          <w:p w14:paraId="55321C5A">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kern w:val="2"/>
                <w:sz w:val="22"/>
                <w:szCs w:val="24"/>
                <w:lang w:val="en-US" w:eastAsia="zh-CN" w:bidi="ar-SA"/>
              </w:rPr>
              <w:t>11</w:t>
            </w:r>
          </w:p>
        </w:tc>
        <w:tc>
          <w:tcPr>
            <w:tcW w:w="0" w:type="auto"/>
            <w:shd w:val="clear" w:color="auto" w:fill="auto"/>
            <w:vAlign w:val="center"/>
          </w:tcPr>
          <w:p w14:paraId="356BA81B">
            <w:pPr>
              <w:jc w:val="center"/>
              <w:rPr>
                <w:rFonts w:hint="eastAsia"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lang w:val="en-US" w:eastAsia="zh-CN"/>
              </w:rPr>
              <w:t>20</w:t>
            </w:r>
          </w:p>
        </w:tc>
      </w:tr>
      <w:tr w14:paraId="354C29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626" w:type="pct"/>
            <w:vMerge w:val="continue"/>
          </w:tcPr>
          <w:p w14:paraId="2A4005E7">
            <w:pPr>
              <w:jc w:val="center"/>
              <w:rPr>
                <w:rFonts w:ascii="Times New Roman" w:hAnsi="Times New Roman" w:eastAsia="宋体" w:cs="Times New Roman"/>
                <w:color w:val="auto"/>
                <w:sz w:val="22"/>
                <w:szCs w:val="24"/>
              </w:rPr>
            </w:pPr>
          </w:p>
        </w:tc>
        <w:tc>
          <w:tcPr>
            <w:tcW w:w="0" w:type="auto"/>
            <w:shd w:val="clear" w:color="auto" w:fill="auto"/>
            <w:vAlign w:val="center"/>
          </w:tcPr>
          <w:p w14:paraId="794FD489">
            <w:pPr>
              <w:jc w:val="center"/>
              <w:rPr>
                <w:rFonts w:hint="eastAsia"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kern w:val="2"/>
                <w:sz w:val="22"/>
                <w:szCs w:val="24"/>
                <w:lang w:val="en-US" w:eastAsia="zh-CN" w:bidi="ar-SA"/>
              </w:rPr>
              <w:t>硫化氢</w:t>
            </w:r>
          </w:p>
        </w:tc>
        <w:tc>
          <w:tcPr>
            <w:tcW w:w="0" w:type="auto"/>
            <w:shd w:val="clear" w:color="auto" w:fill="auto"/>
            <w:vAlign w:val="center"/>
          </w:tcPr>
          <w:p w14:paraId="7985C4DA">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kern w:val="2"/>
                <w:sz w:val="22"/>
                <w:szCs w:val="24"/>
                <w:lang w:val="en-US" w:eastAsia="zh-CN" w:bidi="ar-SA"/>
              </w:rPr>
              <w:t>0.002</w:t>
            </w:r>
          </w:p>
        </w:tc>
        <w:tc>
          <w:tcPr>
            <w:tcW w:w="0" w:type="auto"/>
            <w:shd w:val="clear" w:color="auto" w:fill="auto"/>
            <w:vAlign w:val="center"/>
          </w:tcPr>
          <w:p w14:paraId="31C9D692">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kern w:val="2"/>
                <w:sz w:val="22"/>
                <w:szCs w:val="24"/>
                <w:lang w:val="en-US" w:eastAsia="zh-CN" w:bidi="ar-SA"/>
              </w:rPr>
              <w:t>0.002</w:t>
            </w:r>
          </w:p>
        </w:tc>
        <w:tc>
          <w:tcPr>
            <w:tcW w:w="0" w:type="auto"/>
            <w:shd w:val="clear" w:color="auto" w:fill="auto"/>
            <w:vAlign w:val="center"/>
          </w:tcPr>
          <w:p w14:paraId="713ADA35">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kern w:val="2"/>
                <w:sz w:val="22"/>
                <w:szCs w:val="24"/>
                <w:lang w:val="en-US" w:eastAsia="zh-CN" w:bidi="ar-SA"/>
              </w:rPr>
              <w:t>0.002</w:t>
            </w:r>
          </w:p>
        </w:tc>
        <w:tc>
          <w:tcPr>
            <w:tcW w:w="0" w:type="auto"/>
            <w:shd w:val="clear" w:color="auto" w:fill="auto"/>
            <w:vAlign w:val="center"/>
          </w:tcPr>
          <w:p w14:paraId="6F164C8D">
            <w:pPr>
              <w:jc w:val="center"/>
              <w:rPr>
                <w:rFonts w:hint="eastAsia"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lang w:val="en-US" w:eastAsia="zh-CN"/>
              </w:rPr>
              <w:t>0.06</w:t>
            </w:r>
          </w:p>
        </w:tc>
      </w:tr>
      <w:tr w14:paraId="676D22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626" w:type="pct"/>
            <w:vMerge w:val="continue"/>
          </w:tcPr>
          <w:p w14:paraId="1F976C16">
            <w:pPr>
              <w:jc w:val="center"/>
              <w:rPr>
                <w:rFonts w:ascii="Times New Roman" w:hAnsi="Times New Roman" w:eastAsia="宋体" w:cs="Times New Roman"/>
                <w:color w:val="auto"/>
                <w:sz w:val="22"/>
                <w:szCs w:val="24"/>
              </w:rPr>
            </w:pPr>
          </w:p>
        </w:tc>
        <w:tc>
          <w:tcPr>
            <w:tcW w:w="0" w:type="auto"/>
            <w:shd w:val="clear" w:color="auto" w:fill="auto"/>
            <w:vAlign w:val="center"/>
          </w:tcPr>
          <w:p w14:paraId="35E39C79">
            <w:pPr>
              <w:jc w:val="center"/>
              <w:rPr>
                <w:rFonts w:hint="eastAsia"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kern w:val="2"/>
                <w:sz w:val="22"/>
                <w:szCs w:val="24"/>
                <w:lang w:val="en-US" w:eastAsia="zh-CN" w:bidi="ar-SA"/>
              </w:rPr>
              <w:t>非甲烷总烃</w:t>
            </w:r>
          </w:p>
        </w:tc>
        <w:tc>
          <w:tcPr>
            <w:tcW w:w="0" w:type="auto"/>
            <w:shd w:val="clear" w:color="auto" w:fill="auto"/>
            <w:vAlign w:val="center"/>
          </w:tcPr>
          <w:p w14:paraId="0A42104B">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kern w:val="2"/>
                <w:sz w:val="22"/>
                <w:szCs w:val="24"/>
                <w:lang w:val="en-US" w:eastAsia="zh-CN" w:bidi="ar-SA"/>
              </w:rPr>
              <w:t>1.02</w:t>
            </w:r>
          </w:p>
        </w:tc>
        <w:tc>
          <w:tcPr>
            <w:tcW w:w="0" w:type="auto"/>
            <w:shd w:val="clear" w:color="auto" w:fill="auto"/>
            <w:vAlign w:val="center"/>
          </w:tcPr>
          <w:p w14:paraId="642E9AED">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kern w:val="2"/>
                <w:sz w:val="22"/>
                <w:szCs w:val="24"/>
                <w:lang w:val="en-US" w:eastAsia="zh-CN" w:bidi="ar-SA"/>
              </w:rPr>
              <w:t>0.77</w:t>
            </w:r>
          </w:p>
        </w:tc>
        <w:tc>
          <w:tcPr>
            <w:tcW w:w="0" w:type="auto"/>
            <w:shd w:val="clear" w:color="auto" w:fill="auto"/>
            <w:vAlign w:val="center"/>
          </w:tcPr>
          <w:p w14:paraId="2B933B88">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kern w:val="2"/>
                <w:sz w:val="22"/>
                <w:szCs w:val="24"/>
                <w:lang w:val="en-US" w:eastAsia="zh-CN" w:bidi="ar-SA"/>
              </w:rPr>
              <w:t>1.03</w:t>
            </w:r>
          </w:p>
        </w:tc>
        <w:tc>
          <w:tcPr>
            <w:tcW w:w="0" w:type="auto"/>
            <w:shd w:val="clear" w:color="auto" w:fill="auto"/>
            <w:vAlign w:val="center"/>
          </w:tcPr>
          <w:p w14:paraId="67B6F30A">
            <w:pPr>
              <w:jc w:val="center"/>
              <w:rPr>
                <w:rFonts w:hint="eastAsia"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lang w:val="en-US" w:eastAsia="zh-CN"/>
              </w:rPr>
              <w:t>4.0</w:t>
            </w:r>
          </w:p>
        </w:tc>
      </w:tr>
    </w:tbl>
    <w:p w14:paraId="24F1AE47">
      <w:pPr>
        <w:spacing w:line="360" w:lineRule="auto"/>
        <w:ind w:firstLine="480" w:firstLineChars="200"/>
        <w:rPr>
          <w:rFonts w:ascii="Times New Roman" w:hAnsi="Times New Roman" w:eastAsia="宋体" w:cs="Times New Roman"/>
          <w:color w:val="FF0000"/>
          <w:sz w:val="24"/>
          <w:szCs w:val="24"/>
        </w:rPr>
      </w:pPr>
    </w:p>
    <w:p w14:paraId="7269E155">
      <w:pPr>
        <w:spacing w:line="360" w:lineRule="auto"/>
        <w:ind w:firstLine="480" w:firstLineChars="200"/>
        <w:rPr>
          <w:rFonts w:ascii="Times New Roman" w:hAnsi="Times New Roman" w:eastAsia="宋体" w:cs="Times New Roman"/>
          <w:color w:val="auto"/>
          <w:kern w:val="0"/>
          <w:sz w:val="24"/>
          <w:szCs w:val="24"/>
          <w:lang w:bidi="ar"/>
        </w:rPr>
      </w:pPr>
      <w:r>
        <w:rPr>
          <w:rFonts w:hint="eastAsia" w:ascii="Times New Roman" w:hAnsi="Times New Roman" w:eastAsia="宋体" w:cs="Times New Roman"/>
          <w:color w:val="auto"/>
          <w:sz w:val="24"/>
          <w:szCs w:val="24"/>
        </w:rPr>
        <w:t>由上表可知，臭气浓度、氨和硫化氢满足《恶臭污染物排放标准》（GB14554-93）表1无组织排放限值要求，</w:t>
      </w:r>
      <w:r>
        <w:rPr>
          <w:rFonts w:hint="eastAsia" w:ascii="Times New Roman" w:hAnsi="Times New Roman" w:eastAsia="宋体" w:cs="Times New Roman"/>
          <w:color w:val="auto"/>
          <w:kern w:val="0"/>
          <w:sz w:val="24"/>
          <w:szCs w:val="24"/>
          <w:lang w:bidi="ar"/>
        </w:rPr>
        <w:t>非甲烷总烃满足《</w:t>
      </w:r>
      <w:r>
        <w:rPr>
          <w:rFonts w:hint="eastAsia" w:ascii="Times New Roman" w:hAnsi="Times New Roman" w:eastAsia="宋体" w:cs="Times New Roman"/>
          <w:color w:val="auto"/>
          <w:kern w:val="0"/>
          <w:sz w:val="24"/>
          <w:szCs w:val="24"/>
          <w:lang w:val="en-US" w:eastAsia="zh-CN" w:bidi="ar"/>
        </w:rPr>
        <w:t>大气污染物综合排放标准</w:t>
      </w:r>
      <w:r>
        <w:rPr>
          <w:rFonts w:hint="eastAsia" w:ascii="Times New Roman" w:hAnsi="Times New Roman" w:eastAsia="宋体" w:cs="Times New Roman"/>
          <w:color w:val="auto"/>
          <w:kern w:val="0"/>
          <w:sz w:val="24"/>
          <w:szCs w:val="24"/>
          <w:lang w:bidi="ar"/>
        </w:rPr>
        <w:t>》（GB</w:t>
      </w:r>
      <w:r>
        <w:rPr>
          <w:rFonts w:hint="eastAsia" w:ascii="Times New Roman" w:hAnsi="Times New Roman" w:eastAsia="宋体" w:cs="Times New Roman"/>
          <w:color w:val="auto"/>
          <w:kern w:val="0"/>
          <w:sz w:val="24"/>
          <w:szCs w:val="24"/>
          <w:lang w:val="en-US" w:eastAsia="zh-CN" w:bidi="ar"/>
        </w:rPr>
        <w:t>16297-1996</w:t>
      </w:r>
      <w:r>
        <w:rPr>
          <w:rFonts w:hint="eastAsia" w:ascii="Times New Roman" w:hAnsi="Times New Roman" w:eastAsia="宋体" w:cs="Times New Roman"/>
          <w:color w:val="auto"/>
          <w:kern w:val="0"/>
          <w:sz w:val="24"/>
          <w:szCs w:val="24"/>
          <w:lang w:bidi="ar"/>
        </w:rPr>
        <w:t>）无组织排放限值要求。</w:t>
      </w:r>
    </w:p>
    <w:p w14:paraId="62F66792">
      <w:pPr>
        <w:pStyle w:val="5"/>
        <w:bidi w:val="0"/>
      </w:pPr>
      <w:r>
        <w:t>3.1.</w:t>
      </w:r>
      <w:r>
        <w:rPr>
          <w:rFonts w:hint="eastAsia"/>
        </w:rPr>
        <w:t>11</w:t>
      </w:r>
      <w:r>
        <w:t>.2</w:t>
      </w:r>
      <w:r>
        <w:rPr>
          <w:rFonts w:hint="eastAsia"/>
        </w:rPr>
        <w:t>废水</w:t>
      </w:r>
    </w:p>
    <w:p w14:paraId="21F0493F">
      <w:pPr>
        <w:spacing w:line="360" w:lineRule="auto"/>
        <w:ind w:firstLine="480" w:firstLineChars="200"/>
        <w:rPr>
          <w:rFonts w:ascii="Times New Roman" w:hAnsi="Times New Roman" w:eastAsia="宋体" w:cs="Times New Roman"/>
          <w:color w:val="auto"/>
          <w:sz w:val="24"/>
          <w:szCs w:val="24"/>
          <w:u w:val="none"/>
        </w:rPr>
      </w:pPr>
      <w:r>
        <w:rPr>
          <w:rFonts w:ascii="Times New Roman" w:hAnsi="Times New Roman" w:eastAsia="宋体" w:cs="Times New Roman"/>
          <w:color w:val="auto"/>
          <w:sz w:val="24"/>
          <w:szCs w:val="24"/>
          <w:u w:val="none"/>
        </w:rPr>
        <w:t>企业厂区实行雨污分流制，雨水经厂区内雨水沟收集后进入园区雨水管网，初期雨水经收集后进入厂区内的初期雨水收集池（</w:t>
      </w:r>
      <w:r>
        <w:rPr>
          <w:rFonts w:hint="eastAsia" w:ascii="Times New Roman" w:hAnsi="Times New Roman" w:eastAsia="宋体" w:cs="Times New Roman"/>
          <w:color w:val="auto"/>
          <w:sz w:val="24"/>
          <w:szCs w:val="24"/>
          <w:u w:val="none"/>
          <w:lang w:val="en-US" w:eastAsia="zh-CN"/>
        </w:rPr>
        <w:t>300</w:t>
      </w:r>
      <w:r>
        <w:rPr>
          <w:rFonts w:hint="eastAsia" w:ascii="Times New Roman" w:hAnsi="Times New Roman" w:eastAsia="宋体" w:cs="Times New Roman"/>
          <w:color w:val="auto"/>
          <w:sz w:val="24"/>
          <w:szCs w:val="24"/>
          <w:u w:val="none"/>
          <w:lang w:eastAsia="zh-CN"/>
        </w:rPr>
        <w:t>m</w:t>
      </w:r>
      <w:r>
        <w:rPr>
          <w:rFonts w:hint="eastAsia" w:ascii="Times New Roman" w:hAnsi="Times New Roman" w:eastAsia="宋体" w:cs="Times New Roman"/>
          <w:color w:val="auto"/>
          <w:sz w:val="24"/>
          <w:szCs w:val="24"/>
          <w:u w:val="none"/>
          <w:vertAlign w:val="superscript"/>
          <w:lang w:eastAsia="zh-CN"/>
        </w:rPr>
        <w:t>3</w:t>
      </w:r>
      <w:r>
        <w:rPr>
          <w:rFonts w:ascii="Times New Roman" w:hAnsi="Times New Roman" w:eastAsia="宋体" w:cs="Times New Roman"/>
          <w:color w:val="auto"/>
          <w:sz w:val="24"/>
          <w:szCs w:val="24"/>
          <w:u w:val="none"/>
        </w:rPr>
        <w:t>）。废水主要由生活污水、废气处理设施废水、生产工艺废水和初期雨水。经调查，企业202</w:t>
      </w:r>
      <w:r>
        <w:rPr>
          <w:rFonts w:hint="eastAsia" w:ascii="Times New Roman" w:hAnsi="Times New Roman" w:eastAsia="宋体" w:cs="Times New Roman"/>
          <w:color w:val="auto"/>
          <w:sz w:val="24"/>
          <w:szCs w:val="24"/>
          <w:u w:val="none"/>
        </w:rPr>
        <w:t>3年</w:t>
      </w:r>
      <w:r>
        <w:rPr>
          <w:rFonts w:ascii="Times New Roman" w:hAnsi="Times New Roman" w:eastAsia="宋体" w:cs="Times New Roman"/>
          <w:color w:val="auto"/>
          <w:sz w:val="24"/>
          <w:szCs w:val="24"/>
          <w:u w:val="none"/>
        </w:rPr>
        <w:t>污水处理站排水量约</w:t>
      </w:r>
      <w:r>
        <w:rPr>
          <w:rFonts w:hint="eastAsia" w:ascii="Times New Roman" w:hAnsi="Times New Roman" w:eastAsia="宋体" w:cs="Times New Roman"/>
          <w:color w:val="auto"/>
          <w:sz w:val="24"/>
          <w:szCs w:val="24"/>
          <w:u w:val="none"/>
          <w:lang w:val="en-US" w:eastAsia="zh-CN"/>
        </w:rPr>
        <w:t>10641.718</w:t>
      </w:r>
      <w:r>
        <w:rPr>
          <w:rFonts w:ascii="Times New Roman" w:hAnsi="Times New Roman" w:eastAsia="宋体" w:cs="Times New Roman"/>
          <w:color w:val="auto"/>
          <w:sz w:val="24"/>
          <w:szCs w:val="24"/>
          <w:u w:val="none"/>
        </w:rPr>
        <w:t>t/</w:t>
      </w:r>
      <w:r>
        <w:rPr>
          <w:rFonts w:hint="eastAsia" w:ascii="Times New Roman" w:hAnsi="Times New Roman" w:eastAsia="宋体" w:cs="Times New Roman"/>
          <w:color w:val="auto"/>
          <w:sz w:val="24"/>
          <w:szCs w:val="24"/>
          <w:u w:val="none"/>
          <w:lang w:val="en-US" w:eastAsia="zh-CN"/>
        </w:rPr>
        <w:t>a</w:t>
      </w:r>
      <w:r>
        <w:rPr>
          <w:rFonts w:ascii="Times New Roman" w:hAnsi="Times New Roman" w:eastAsia="宋体" w:cs="Times New Roman"/>
          <w:color w:val="auto"/>
          <w:sz w:val="24"/>
          <w:szCs w:val="24"/>
          <w:u w:val="none"/>
        </w:rPr>
        <w:t>。</w:t>
      </w:r>
    </w:p>
    <w:p w14:paraId="1A36BD5F">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kern w:val="0"/>
          <w:sz w:val="24"/>
          <w:szCs w:val="24"/>
          <w:u w:val="none"/>
          <w:lang w:bidi="ar"/>
        </w:rPr>
        <w:t>厂内污水管网均为明管，厂区外污水管网采用“一企一管”排入津市高新区工业污水处理厂</w:t>
      </w:r>
      <w:r>
        <w:rPr>
          <w:rFonts w:ascii="Times New Roman" w:hAnsi="Times New Roman" w:eastAsia="宋体" w:cs="Times New Roman"/>
          <w:color w:val="auto"/>
          <w:kern w:val="0"/>
          <w:sz w:val="24"/>
          <w:szCs w:val="24"/>
          <w:u w:val="none"/>
        </w:rPr>
        <w:t>（二期）</w:t>
      </w:r>
      <w:r>
        <w:rPr>
          <w:rFonts w:hint="eastAsia" w:ascii="Times New Roman" w:hAnsi="Times New Roman" w:eastAsia="宋体" w:cs="Times New Roman"/>
          <w:color w:val="auto"/>
          <w:kern w:val="0"/>
          <w:sz w:val="24"/>
          <w:szCs w:val="24"/>
          <w:u w:val="none"/>
          <w:lang w:bidi="ar"/>
        </w:rPr>
        <w:t>。</w:t>
      </w:r>
      <w:r>
        <w:rPr>
          <w:rFonts w:ascii="Times New Roman" w:hAnsi="Times New Roman" w:eastAsia="宋体" w:cs="Times New Roman"/>
          <w:color w:val="auto"/>
          <w:sz w:val="24"/>
          <w:szCs w:val="24"/>
          <w:u w:val="none"/>
        </w:rPr>
        <w:t>废</w:t>
      </w:r>
      <w:r>
        <w:rPr>
          <w:rFonts w:ascii="Times New Roman" w:hAnsi="Times New Roman" w:eastAsia="宋体" w:cs="Times New Roman"/>
          <w:color w:val="auto"/>
          <w:sz w:val="24"/>
          <w:szCs w:val="24"/>
        </w:rPr>
        <w:t>水产生及治理措施见表</w:t>
      </w:r>
      <w:r>
        <w:rPr>
          <w:rFonts w:ascii="Times New Roman" w:hAnsi="Times New Roman" w:eastAsia="宋体" w:cs="Times New Roman"/>
          <w:color w:val="auto"/>
          <w:kern w:val="0"/>
          <w:sz w:val="24"/>
          <w:szCs w:val="24"/>
        </w:rPr>
        <w:t>3.1.</w:t>
      </w:r>
      <w:r>
        <w:rPr>
          <w:rFonts w:hint="eastAsia" w:ascii="Times New Roman" w:hAnsi="Times New Roman" w:eastAsia="宋体" w:cs="Times New Roman"/>
          <w:color w:val="auto"/>
          <w:kern w:val="0"/>
          <w:sz w:val="24"/>
          <w:szCs w:val="24"/>
        </w:rPr>
        <w:t>11</w:t>
      </w:r>
      <w:r>
        <w:rPr>
          <w:rFonts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rPr>
        <w:t>7</w:t>
      </w:r>
      <w:r>
        <w:rPr>
          <w:rFonts w:ascii="Times New Roman" w:hAnsi="Times New Roman" w:eastAsia="宋体" w:cs="Times New Roman"/>
          <w:color w:val="auto"/>
          <w:sz w:val="24"/>
          <w:szCs w:val="24"/>
        </w:rPr>
        <w:t>。</w:t>
      </w:r>
    </w:p>
    <w:p w14:paraId="410BA3ED">
      <w:pPr>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废水产生及治理措施见表</w:t>
      </w:r>
      <w:r>
        <w:rPr>
          <w:rFonts w:ascii="Times New Roman" w:hAnsi="Times New Roman" w:eastAsia="宋体" w:cs="Times New Roman"/>
          <w:color w:val="auto"/>
          <w:kern w:val="0"/>
          <w:sz w:val="24"/>
          <w:szCs w:val="24"/>
        </w:rPr>
        <w:t>3.1.</w:t>
      </w:r>
      <w:r>
        <w:rPr>
          <w:rFonts w:hint="eastAsia" w:ascii="Times New Roman" w:hAnsi="Times New Roman" w:eastAsia="宋体" w:cs="Times New Roman"/>
          <w:color w:val="auto"/>
          <w:kern w:val="0"/>
          <w:sz w:val="24"/>
          <w:szCs w:val="24"/>
        </w:rPr>
        <w:t>11</w:t>
      </w:r>
      <w:r>
        <w:rPr>
          <w:rFonts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rPr>
        <w:t>7</w:t>
      </w:r>
      <w:r>
        <w:rPr>
          <w:rFonts w:ascii="Times New Roman" w:hAnsi="Times New Roman" w:eastAsia="宋体" w:cs="Times New Roman"/>
          <w:color w:val="auto"/>
          <w:sz w:val="24"/>
          <w:szCs w:val="24"/>
        </w:rPr>
        <w:t>。</w:t>
      </w:r>
    </w:p>
    <w:p w14:paraId="769CA0B3">
      <w:pPr>
        <w:pStyle w:val="6"/>
        <w:bidi w:val="0"/>
      </w:pPr>
      <w:r>
        <w:t>表</w:t>
      </w:r>
      <w:r>
        <w:rPr>
          <w:rFonts w:hint="eastAsia"/>
        </w:rPr>
        <w:t>3.1.11</w:t>
      </w:r>
      <w:r>
        <w:t>-</w:t>
      </w:r>
      <w:r>
        <w:rPr>
          <w:rFonts w:hint="eastAsia"/>
          <w:lang w:val="en-US" w:eastAsia="zh-CN"/>
        </w:rPr>
        <w:t>4</w:t>
      </w:r>
      <w:r>
        <w:t xml:space="preserve">    废水产生及治理措施</w:t>
      </w:r>
    </w:p>
    <w:tbl>
      <w:tblPr>
        <w:tblStyle w:val="41"/>
        <w:tblW w:w="4945"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307"/>
        <w:gridCol w:w="2180"/>
        <w:gridCol w:w="874"/>
        <w:gridCol w:w="2060"/>
        <w:gridCol w:w="1804"/>
      </w:tblGrid>
      <w:tr w14:paraId="39AC6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0" w:hRule="atLeast"/>
        </w:trPr>
        <w:tc>
          <w:tcPr>
            <w:tcW w:w="794" w:type="pct"/>
            <w:vAlign w:val="center"/>
          </w:tcPr>
          <w:p w14:paraId="71CDD88D">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废水种类</w:t>
            </w:r>
          </w:p>
        </w:tc>
        <w:tc>
          <w:tcPr>
            <w:tcW w:w="1325" w:type="pct"/>
            <w:vAlign w:val="center"/>
          </w:tcPr>
          <w:p w14:paraId="0337B412">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污染物种类</w:t>
            </w:r>
          </w:p>
        </w:tc>
        <w:tc>
          <w:tcPr>
            <w:tcW w:w="531" w:type="pct"/>
            <w:vAlign w:val="center"/>
          </w:tcPr>
          <w:p w14:paraId="0B03D555">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排放</w:t>
            </w:r>
          </w:p>
          <w:p w14:paraId="2D1BE519">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规律</w:t>
            </w:r>
          </w:p>
        </w:tc>
        <w:tc>
          <w:tcPr>
            <w:tcW w:w="1252" w:type="pct"/>
            <w:vAlign w:val="center"/>
          </w:tcPr>
          <w:p w14:paraId="2230B8A9">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治理设施</w:t>
            </w:r>
          </w:p>
        </w:tc>
        <w:tc>
          <w:tcPr>
            <w:tcW w:w="1096" w:type="pct"/>
            <w:vAlign w:val="center"/>
          </w:tcPr>
          <w:p w14:paraId="4228FE31">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去向</w:t>
            </w:r>
          </w:p>
        </w:tc>
      </w:tr>
      <w:tr w14:paraId="4A042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7" w:hRule="atLeast"/>
        </w:trPr>
        <w:tc>
          <w:tcPr>
            <w:tcW w:w="794" w:type="pct"/>
            <w:vAlign w:val="center"/>
          </w:tcPr>
          <w:p w14:paraId="26D01343">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生活废水</w:t>
            </w:r>
          </w:p>
        </w:tc>
        <w:tc>
          <w:tcPr>
            <w:tcW w:w="1325" w:type="pct"/>
            <w:vAlign w:val="center"/>
          </w:tcPr>
          <w:p w14:paraId="1B5DA400">
            <w:pPr>
              <w:jc w:val="center"/>
              <w:rPr>
                <w:rFonts w:hint="default" w:ascii="Times New Roman" w:hAnsi="Times New Roman" w:eastAsia="宋体" w:cs="Times New Roman"/>
                <w:color w:val="auto"/>
                <w:sz w:val="22"/>
                <w:szCs w:val="24"/>
                <w:lang w:val="en-US" w:eastAsia="zh-CN"/>
              </w:rPr>
            </w:pPr>
            <w:r>
              <w:rPr>
                <w:rFonts w:ascii="Times New Roman" w:hAnsi="Times New Roman" w:eastAsia="宋体" w:cs="Times New Roman"/>
                <w:color w:val="auto"/>
                <w:sz w:val="22"/>
                <w:szCs w:val="24"/>
              </w:rPr>
              <w:t>悬浮物、化学需氧量、氨氮</w:t>
            </w:r>
            <w:r>
              <w:rPr>
                <w:rFonts w:hint="eastAsia" w:ascii="Times New Roman" w:hAnsi="Times New Roman" w:eastAsia="宋体" w:cs="Times New Roman"/>
                <w:color w:val="auto"/>
                <w:sz w:val="22"/>
                <w:szCs w:val="24"/>
                <w:lang w:eastAsia="zh-CN"/>
              </w:rPr>
              <w:t>、</w:t>
            </w:r>
            <w:r>
              <w:rPr>
                <w:rFonts w:hint="eastAsia" w:ascii="Times New Roman" w:hAnsi="Times New Roman" w:eastAsia="宋体" w:cs="Times New Roman"/>
                <w:color w:val="auto"/>
                <w:sz w:val="22"/>
                <w:szCs w:val="24"/>
                <w:lang w:val="en-US" w:eastAsia="zh-CN"/>
              </w:rPr>
              <w:t>悬浮物等</w:t>
            </w:r>
          </w:p>
        </w:tc>
        <w:tc>
          <w:tcPr>
            <w:tcW w:w="531" w:type="pct"/>
            <w:vAlign w:val="center"/>
          </w:tcPr>
          <w:p w14:paraId="72694C58">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间断</w:t>
            </w:r>
          </w:p>
        </w:tc>
        <w:tc>
          <w:tcPr>
            <w:tcW w:w="1252" w:type="pct"/>
            <w:vAlign w:val="center"/>
          </w:tcPr>
          <w:p w14:paraId="4CA2BC96">
            <w:pPr>
              <w:jc w:val="center"/>
              <w:rPr>
                <w:rFonts w:hint="eastAsia" w:ascii="Times New Roman" w:hAnsi="Times New Roman" w:eastAsia="宋体" w:cs="Times New Roman"/>
                <w:color w:val="auto"/>
                <w:sz w:val="22"/>
                <w:szCs w:val="24"/>
                <w:lang w:val="en-US" w:eastAsia="zh-CN"/>
              </w:rPr>
            </w:pPr>
            <w:r>
              <w:rPr>
                <w:rFonts w:ascii="Times New Roman" w:hAnsi="Times New Roman" w:eastAsia="宋体" w:cs="Times New Roman"/>
                <w:color w:val="auto"/>
                <w:sz w:val="22"/>
                <w:szCs w:val="24"/>
              </w:rPr>
              <w:t>经化粪池预处理后进入厂内污水处理站</w:t>
            </w:r>
            <w:r>
              <w:rPr>
                <w:rFonts w:hint="eastAsia" w:ascii="Times New Roman" w:hAnsi="Times New Roman" w:eastAsia="宋体" w:cs="Times New Roman"/>
                <w:color w:val="auto"/>
                <w:sz w:val="22"/>
                <w:szCs w:val="24"/>
                <w:lang w:val="en-US" w:eastAsia="zh-CN"/>
              </w:rPr>
              <w:t xml:space="preserve"> </w:t>
            </w:r>
          </w:p>
        </w:tc>
        <w:tc>
          <w:tcPr>
            <w:tcW w:w="1096" w:type="pct"/>
            <w:vMerge w:val="restart"/>
            <w:vAlign w:val="center"/>
          </w:tcPr>
          <w:p w14:paraId="1A29A0A2">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出水经专管排入</w:t>
            </w:r>
            <w:r>
              <w:rPr>
                <w:rFonts w:hint="eastAsia" w:ascii="Times New Roman" w:hAnsi="Times New Roman" w:eastAsia="宋体" w:cs="Times New Roman"/>
                <w:color w:val="auto"/>
                <w:sz w:val="22"/>
                <w:szCs w:val="24"/>
              </w:rPr>
              <w:t>津市高新区工业污水处理厂</w:t>
            </w:r>
            <w:r>
              <w:rPr>
                <w:rFonts w:ascii="Times New Roman" w:hAnsi="Times New Roman" w:eastAsia="宋体" w:cs="Times New Roman"/>
                <w:color w:val="auto"/>
                <w:sz w:val="22"/>
                <w:szCs w:val="24"/>
              </w:rPr>
              <w:t>，由</w:t>
            </w:r>
            <w:r>
              <w:rPr>
                <w:rFonts w:hint="eastAsia" w:ascii="Times New Roman" w:hAnsi="Times New Roman" w:eastAsia="宋体" w:cs="Times New Roman"/>
                <w:color w:val="auto"/>
                <w:sz w:val="22"/>
                <w:szCs w:val="24"/>
              </w:rPr>
              <w:t>津市高新区工业污水处理厂</w:t>
            </w:r>
            <w:r>
              <w:rPr>
                <w:rFonts w:ascii="Times New Roman" w:hAnsi="Times New Roman" w:eastAsia="宋体" w:cs="Times New Roman"/>
                <w:color w:val="auto"/>
                <w:sz w:val="22"/>
                <w:szCs w:val="24"/>
              </w:rPr>
              <w:t>深度处理后排至澧水</w:t>
            </w:r>
          </w:p>
        </w:tc>
      </w:tr>
      <w:tr w14:paraId="64741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8" w:hRule="atLeast"/>
        </w:trPr>
        <w:tc>
          <w:tcPr>
            <w:tcW w:w="794" w:type="pct"/>
            <w:vAlign w:val="center"/>
          </w:tcPr>
          <w:p w14:paraId="2C003EA8">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废气处理设施废水</w:t>
            </w:r>
          </w:p>
        </w:tc>
        <w:tc>
          <w:tcPr>
            <w:tcW w:w="1325" w:type="pct"/>
            <w:vAlign w:val="center"/>
          </w:tcPr>
          <w:p w14:paraId="174C6A89">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生化需氧量、化学需氧量、氨氮</w:t>
            </w:r>
            <w:r>
              <w:rPr>
                <w:rFonts w:hint="eastAsia" w:ascii="Times New Roman" w:hAnsi="Times New Roman" w:eastAsia="宋体" w:cs="Times New Roman"/>
                <w:color w:val="auto"/>
                <w:sz w:val="22"/>
                <w:szCs w:val="24"/>
                <w:lang w:eastAsia="zh-CN"/>
              </w:rPr>
              <w:t>、</w:t>
            </w:r>
            <w:r>
              <w:rPr>
                <w:rFonts w:hint="eastAsia" w:ascii="Times New Roman" w:hAnsi="Times New Roman" w:eastAsia="宋体" w:cs="Times New Roman"/>
                <w:color w:val="auto"/>
                <w:sz w:val="22"/>
                <w:szCs w:val="24"/>
                <w:lang w:val="en-US" w:eastAsia="zh-CN"/>
              </w:rPr>
              <w:t>总磷、总氮</w:t>
            </w:r>
            <w:r>
              <w:rPr>
                <w:rFonts w:ascii="Times New Roman" w:hAnsi="Times New Roman" w:eastAsia="宋体" w:cs="Times New Roman"/>
                <w:color w:val="auto"/>
                <w:sz w:val="22"/>
                <w:szCs w:val="24"/>
              </w:rPr>
              <w:t>等</w:t>
            </w:r>
          </w:p>
        </w:tc>
        <w:tc>
          <w:tcPr>
            <w:tcW w:w="531" w:type="pct"/>
            <w:vAlign w:val="center"/>
          </w:tcPr>
          <w:p w14:paraId="699FB60D">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间断</w:t>
            </w:r>
          </w:p>
        </w:tc>
        <w:tc>
          <w:tcPr>
            <w:tcW w:w="1252" w:type="pct"/>
            <w:vMerge w:val="restart"/>
            <w:vAlign w:val="center"/>
          </w:tcPr>
          <w:p w14:paraId="2F17F7FA">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进入厂内污水处理站</w:t>
            </w:r>
          </w:p>
        </w:tc>
        <w:tc>
          <w:tcPr>
            <w:tcW w:w="1096" w:type="pct"/>
            <w:vMerge w:val="continue"/>
            <w:vAlign w:val="center"/>
          </w:tcPr>
          <w:p w14:paraId="4590F0D6">
            <w:pPr>
              <w:spacing w:line="360" w:lineRule="auto"/>
              <w:ind w:firstLine="420" w:firstLineChars="200"/>
              <w:jc w:val="center"/>
              <w:rPr>
                <w:rFonts w:ascii="Arial" w:hAnsi="Times New Roman" w:eastAsia="宋体" w:cs="Times New Roman"/>
                <w:color w:val="auto"/>
                <w:szCs w:val="24"/>
              </w:rPr>
            </w:pPr>
          </w:p>
        </w:tc>
      </w:tr>
      <w:tr w14:paraId="063DA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4" w:hRule="atLeast"/>
        </w:trPr>
        <w:tc>
          <w:tcPr>
            <w:tcW w:w="794" w:type="pct"/>
            <w:vAlign w:val="center"/>
          </w:tcPr>
          <w:p w14:paraId="53F164B5">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生产废水</w:t>
            </w:r>
          </w:p>
        </w:tc>
        <w:tc>
          <w:tcPr>
            <w:tcW w:w="1325" w:type="pct"/>
            <w:vAlign w:val="center"/>
          </w:tcPr>
          <w:p w14:paraId="2422A492">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生化需氧量、化学需氧量</w:t>
            </w:r>
            <w:r>
              <w:rPr>
                <w:rFonts w:hint="eastAsia" w:ascii="Times New Roman" w:hAnsi="Times New Roman" w:eastAsia="宋体" w:cs="Times New Roman"/>
                <w:color w:val="auto"/>
                <w:sz w:val="22"/>
                <w:szCs w:val="24"/>
                <w:lang w:eastAsia="zh-CN"/>
              </w:rPr>
              <w:t>、</w:t>
            </w:r>
            <w:r>
              <w:rPr>
                <w:rFonts w:hint="eastAsia" w:ascii="Times New Roman" w:hAnsi="Times New Roman" w:eastAsia="宋体" w:cs="Times New Roman"/>
                <w:color w:val="auto"/>
                <w:sz w:val="22"/>
                <w:szCs w:val="24"/>
                <w:lang w:val="en-US" w:eastAsia="zh-CN"/>
              </w:rPr>
              <w:t>总磷、总氮、悬浮物</w:t>
            </w:r>
            <w:r>
              <w:rPr>
                <w:rFonts w:ascii="Times New Roman" w:hAnsi="Times New Roman" w:eastAsia="宋体" w:cs="Times New Roman"/>
                <w:color w:val="auto"/>
                <w:sz w:val="22"/>
                <w:szCs w:val="24"/>
              </w:rPr>
              <w:t>等</w:t>
            </w:r>
          </w:p>
        </w:tc>
        <w:tc>
          <w:tcPr>
            <w:tcW w:w="531" w:type="pct"/>
            <w:vAlign w:val="center"/>
          </w:tcPr>
          <w:p w14:paraId="60104C07">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间断</w:t>
            </w:r>
          </w:p>
        </w:tc>
        <w:tc>
          <w:tcPr>
            <w:tcW w:w="1252" w:type="pct"/>
            <w:vMerge w:val="continue"/>
            <w:vAlign w:val="center"/>
          </w:tcPr>
          <w:p w14:paraId="6C41A452">
            <w:pPr>
              <w:jc w:val="center"/>
              <w:rPr>
                <w:rFonts w:ascii="Times New Roman" w:hAnsi="Times New Roman" w:eastAsia="宋体" w:cs="Times New Roman"/>
                <w:color w:val="auto"/>
                <w:sz w:val="22"/>
                <w:szCs w:val="24"/>
              </w:rPr>
            </w:pPr>
          </w:p>
        </w:tc>
        <w:tc>
          <w:tcPr>
            <w:tcW w:w="1096" w:type="pct"/>
            <w:vMerge w:val="continue"/>
            <w:vAlign w:val="center"/>
          </w:tcPr>
          <w:p w14:paraId="2D49E0B1">
            <w:pPr>
              <w:spacing w:line="360" w:lineRule="auto"/>
              <w:ind w:firstLine="420" w:firstLineChars="200"/>
              <w:jc w:val="center"/>
              <w:rPr>
                <w:rFonts w:ascii="Arial" w:hAnsi="Times New Roman" w:eastAsia="宋体" w:cs="Times New Roman"/>
                <w:color w:val="auto"/>
                <w:szCs w:val="24"/>
              </w:rPr>
            </w:pPr>
          </w:p>
        </w:tc>
      </w:tr>
      <w:tr w14:paraId="2D011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9" w:hRule="atLeast"/>
        </w:trPr>
        <w:tc>
          <w:tcPr>
            <w:tcW w:w="794" w:type="pct"/>
            <w:vAlign w:val="center"/>
          </w:tcPr>
          <w:p w14:paraId="60B1107B">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初期雨水</w:t>
            </w:r>
          </w:p>
        </w:tc>
        <w:tc>
          <w:tcPr>
            <w:tcW w:w="1325" w:type="pct"/>
            <w:vAlign w:val="center"/>
          </w:tcPr>
          <w:p w14:paraId="3105FBB2">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化学需氧量、氨氮</w:t>
            </w:r>
          </w:p>
        </w:tc>
        <w:tc>
          <w:tcPr>
            <w:tcW w:w="531" w:type="pct"/>
            <w:vAlign w:val="center"/>
          </w:tcPr>
          <w:p w14:paraId="4D9596C8">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间断</w:t>
            </w:r>
          </w:p>
        </w:tc>
        <w:tc>
          <w:tcPr>
            <w:tcW w:w="1252" w:type="pct"/>
            <w:vAlign w:val="center"/>
          </w:tcPr>
          <w:p w14:paraId="7EC65C8E">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厂内污水处理站</w:t>
            </w:r>
          </w:p>
        </w:tc>
        <w:tc>
          <w:tcPr>
            <w:tcW w:w="1096" w:type="pct"/>
            <w:vMerge w:val="continue"/>
            <w:vAlign w:val="center"/>
          </w:tcPr>
          <w:p w14:paraId="1AD9B4FD">
            <w:pPr>
              <w:spacing w:line="360" w:lineRule="auto"/>
              <w:ind w:firstLine="420" w:firstLineChars="200"/>
              <w:jc w:val="center"/>
              <w:rPr>
                <w:rFonts w:ascii="Arial" w:hAnsi="Times New Roman" w:eastAsia="宋体" w:cs="Times New Roman"/>
                <w:color w:val="auto"/>
                <w:szCs w:val="24"/>
              </w:rPr>
            </w:pPr>
          </w:p>
        </w:tc>
      </w:tr>
    </w:tbl>
    <w:p w14:paraId="1E9E5699">
      <w:pPr>
        <w:rPr>
          <w:rFonts w:ascii="Calibri" w:hAnsi="Calibri" w:eastAsia="宋体" w:cs="Times New Roman"/>
          <w:color w:val="FF0000"/>
          <w:szCs w:val="24"/>
        </w:rPr>
      </w:pPr>
    </w:p>
    <w:p w14:paraId="7BDDE212">
      <w:pPr>
        <w:spacing w:line="360" w:lineRule="auto"/>
        <w:rPr>
          <w:rFonts w:ascii="Times New Roman" w:hAnsi="Times New Roman" w:eastAsia="宋体" w:cs="Times New Roman"/>
          <w:sz w:val="24"/>
          <w:szCs w:val="24"/>
        </w:rPr>
      </w:pPr>
      <w:r>
        <w:rPr>
          <w:rFonts w:ascii="Times New Roman" w:hAnsi="Times New Roman" w:eastAsia="宋体" w:cs="Times New Roman"/>
          <w:sz w:val="24"/>
          <w:szCs w:val="24"/>
        </w:rPr>
        <mc:AlternateContent>
          <mc:Choice Requires="wpc">
            <w:drawing>
              <wp:inline distT="0" distB="0" distL="0" distR="0">
                <wp:extent cx="5274310" cy="3917315"/>
                <wp:effectExtent l="0" t="0" r="21590" b="0"/>
                <wp:docPr id="711737680" name="画布 102"/>
                <wp:cNvGraphicFramePr/>
                <a:graphic xmlns:a="http://schemas.openxmlformats.org/drawingml/2006/main">
                  <a:graphicData uri="http://schemas.microsoft.com/office/word/2010/wordprocessingCanvas">
                    <wpc:wpc>
                      <wpc:bg>
                        <a:noFill/>
                      </wpc:bg>
                      <wpc:whole>
                        <a:ln>
                          <a:noFill/>
                        </a:ln>
                      </wpc:whole>
                      <wps:wsp>
                        <wps:cNvPr id="1321769098" name="直接连接符 4"/>
                        <wps:cNvCnPr>
                          <a:cxnSpLocks noChangeShapeType="1"/>
                        </wps:cNvCnPr>
                        <wps:spPr bwMode="auto">
                          <a:xfrm>
                            <a:off x="125730" y="1550035"/>
                            <a:ext cx="580390" cy="2540"/>
                          </a:xfrm>
                          <a:prstGeom prst="line">
                            <a:avLst/>
                          </a:prstGeom>
                          <a:noFill/>
                          <a:ln w="6350" cmpd="sng">
                            <a:solidFill>
                              <a:srgbClr val="000000"/>
                            </a:solidFill>
                            <a:miter lim="800000"/>
                            <a:tailEnd type="triangle" w="med" len="med"/>
                          </a:ln>
                          <a:effectLst/>
                        </wps:spPr>
                        <wps:bodyPr/>
                      </wps:wsp>
                      <wps:wsp>
                        <wps:cNvPr id="1568053968" name="直接连接符 11"/>
                        <wps:cNvCnPr>
                          <a:cxnSpLocks noChangeShapeType="1"/>
                        </wps:cNvCnPr>
                        <wps:spPr bwMode="auto">
                          <a:xfrm flipH="1" flipV="1">
                            <a:off x="1433830" y="1595120"/>
                            <a:ext cx="2540" cy="337820"/>
                          </a:xfrm>
                          <a:prstGeom prst="line">
                            <a:avLst/>
                          </a:prstGeom>
                          <a:noFill/>
                          <a:ln w="6350" cmpd="sng">
                            <a:solidFill>
                              <a:srgbClr val="000000"/>
                            </a:solidFill>
                            <a:miter lim="800000"/>
                          </a:ln>
                          <a:effectLst/>
                        </wps:spPr>
                        <wps:bodyPr/>
                      </wps:wsp>
                      <wps:wsp>
                        <wps:cNvPr id="524661502" name="矩形 28"/>
                        <wps:cNvSpPr>
                          <a:spLocks noChangeArrowheads="1"/>
                        </wps:cNvSpPr>
                        <wps:spPr bwMode="auto">
                          <a:xfrm>
                            <a:off x="2034540" y="1788795"/>
                            <a:ext cx="1349375" cy="294640"/>
                          </a:xfrm>
                          <a:prstGeom prst="rect">
                            <a:avLst/>
                          </a:prstGeom>
                          <a:noFill/>
                          <a:ln>
                            <a:noFill/>
                          </a:ln>
                          <a:effectLst/>
                        </wps:spPr>
                        <wps:txbx>
                          <w:txbxContent>
                            <w:p w14:paraId="3776A3E6">
                              <w:pPr>
                                <w:jc w:val="center"/>
                                <w:rPr>
                                  <w:rFonts w:hint="default" w:eastAsiaTheme="minorEastAsia"/>
                                  <w:color w:val="000000"/>
                                  <w:lang w:val="en-US" w:eastAsia="zh-CN"/>
                                </w:rPr>
                              </w:pPr>
                              <w:r>
                                <w:rPr>
                                  <w:rFonts w:hint="eastAsia"/>
                                  <w:color w:val="000000"/>
                                  <w:lang w:val="en-US" w:eastAsia="zh-CN"/>
                                </w:rPr>
                                <w:t>绿化用水4109.869</w:t>
                              </w:r>
                            </w:p>
                          </w:txbxContent>
                        </wps:txbx>
                        <wps:bodyPr rot="0" vert="horz" wrap="square" lIns="91440" tIns="45720" rIns="91440" bIns="45720" anchor="ctr" anchorCtr="0" upright="1">
                          <a:noAutofit/>
                        </wps:bodyPr>
                      </wps:wsp>
                      <wps:wsp>
                        <wps:cNvPr id="1405238518" name="曲线连接符 68"/>
                        <wps:cNvCnPr>
                          <a:cxnSpLocks noChangeShapeType="1"/>
                        </wps:cNvCnPr>
                        <wps:spPr bwMode="auto">
                          <a:xfrm flipV="1">
                            <a:off x="2123440" y="2355850"/>
                            <a:ext cx="266700" cy="156845"/>
                          </a:xfrm>
                          <a:prstGeom prst="curvedConnector3">
                            <a:avLst>
                              <a:gd name="adj1" fmla="val 50236"/>
                            </a:avLst>
                          </a:prstGeom>
                          <a:noFill/>
                          <a:ln w="6350" cmpd="sng">
                            <a:solidFill>
                              <a:srgbClr val="000000"/>
                            </a:solidFill>
                            <a:miter lim="800000"/>
                            <a:tailEnd type="triangle" w="med" len="med"/>
                          </a:ln>
                          <a:effectLst/>
                        </wps:spPr>
                        <wps:bodyPr/>
                      </wps:wsp>
                      <wps:wsp>
                        <wps:cNvPr id="764521985" name="矩形 69"/>
                        <wps:cNvSpPr>
                          <a:spLocks noChangeArrowheads="1"/>
                        </wps:cNvSpPr>
                        <wps:spPr bwMode="auto">
                          <a:xfrm>
                            <a:off x="2285365" y="2118360"/>
                            <a:ext cx="982345" cy="299085"/>
                          </a:xfrm>
                          <a:prstGeom prst="rect">
                            <a:avLst/>
                          </a:prstGeom>
                          <a:noFill/>
                          <a:ln>
                            <a:noFill/>
                          </a:ln>
                          <a:effectLst/>
                        </wps:spPr>
                        <wps:txbx>
                          <w:txbxContent>
                            <w:p w14:paraId="49BF0381">
                              <w:pPr>
                                <w:jc w:val="center"/>
                                <w:rPr>
                                  <w:rFonts w:hint="default" w:eastAsiaTheme="minorEastAsia"/>
                                  <w:color w:val="000000"/>
                                  <w:lang w:val="en-US" w:eastAsia="zh-CN"/>
                                </w:rPr>
                              </w:pPr>
                              <w:r>
                                <w:rPr>
                                  <w:rFonts w:hint="eastAsia"/>
                                  <w:color w:val="000000"/>
                                </w:rPr>
                                <w:t>损耗</w:t>
                              </w:r>
                              <w:r>
                                <w:rPr>
                                  <w:rFonts w:hint="eastAsia"/>
                                  <w:color w:val="000000"/>
                                  <w:lang w:val="en-US" w:eastAsia="zh-CN"/>
                                </w:rPr>
                                <w:t>1192.23</w:t>
                              </w:r>
                            </w:p>
                          </w:txbxContent>
                        </wps:txbx>
                        <wps:bodyPr rot="0" vert="horz" wrap="square" lIns="91440" tIns="45720" rIns="91440" bIns="45720" anchor="ctr" anchorCtr="0" upright="1">
                          <a:noAutofit/>
                        </wps:bodyPr>
                      </wps:wsp>
                      <wps:wsp>
                        <wps:cNvPr id="1744823100" name="矩形 83"/>
                        <wps:cNvSpPr>
                          <a:spLocks noChangeArrowheads="1"/>
                        </wps:cNvSpPr>
                        <wps:spPr bwMode="auto">
                          <a:xfrm>
                            <a:off x="4398645" y="1259205"/>
                            <a:ext cx="875665" cy="490220"/>
                          </a:xfrm>
                          <a:prstGeom prst="rect">
                            <a:avLst/>
                          </a:prstGeom>
                          <a:noFill/>
                          <a:ln w="12700" cmpd="sng">
                            <a:solidFill>
                              <a:srgbClr val="000000"/>
                            </a:solidFill>
                            <a:miter lim="800000"/>
                          </a:ln>
                          <a:effectLst/>
                        </wps:spPr>
                        <wps:txbx>
                          <w:txbxContent>
                            <w:p w14:paraId="6BCBBA85">
                              <w:pPr>
                                <w:jc w:val="center"/>
                                <w:rPr>
                                  <w:rFonts w:ascii="Calibri" w:hAnsi="Calibri"/>
                                  <w:color w:val="000000"/>
                                </w:rPr>
                              </w:pPr>
                              <w:r>
                                <w:rPr>
                                  <w:rFonts w:hint="eastAsia" w:ascii="Calibri" w:hAnsi="Calibri"/>
                                  <w:color w:val="000000"/>
                                </w:rPr>
                                <w:t>企业自建污水处理站</w:t>
                              </w:r>
                            </w:p>
                          </w:txbxContent>
                        </wps:txbx>
                        <wps:bodyPr rot="0" vert="horz" wrap="square" lIns="91440" tIns="45720" rIns="91440" bIns="45720" anchor="ctr" anchorCtr="0" upright="1">
                          <a:noAutofit/>
                        </wps:bodyPr>
                      </wps:wsp>
                      <wps:wsp>
                        <wps:cNvPr id="1832003744" name="直接连接符 84"/>
                        <wps:cNvCnPr>
                          <a:cxnSpLocks noChangeShapeType="1"/>
                        </wps:cNvCnPr>
                        <wps:spPr bwMode="auto">
                          <a:xfrm>
                            <a:off x="4959350" y="1811020"/>
                            <a:ext cx="4445" cy="1432560"/>
                          </a:xfrm>
                          <a:prstGeom prst="line">
                            <a:avLst/>
                          </a:prstGeom>
                          <a:noFill/>
                          <a:ln w="6350" cmpd="sng">
                            <a:solidFill>
                              <a:srgbClr val="000000"/>
                            </a:solidFill>
                            <a:miter lim="800000"/>
                            <a:tailEnd type="triangle" w="med" len="med"/>
                          </a:ln>
                          <a:effectLst/>
                        </wps:spPr>
                        <wps:bodyPr/>
                      </wps:wsp>
                      <wps:wsp>
                        <wps:cNvPr id="66" name="矩形 2"/>
                        <wps:cNvSpPr>
                          <a:spLocks noChangeArrowheads="1"/>
                        </wps:cNvSpPr>
                        <wps:spPr bwMode="auto">
                          <a:xfrm>
                            <a:off x="1738630" y="465455"/>
                            <a:ext cx="777875" cy="294640"/>
                          </a:xfrm>
                          <a:prstGeom prst="rect">
                            <a:avLst/>
                          </a:prstGeom>
                          <a:noFill/>
                          <a:ln w="12700" cmpd="sng">
                            <a:solidFill>
                              <a:srgbClr val="000000"/>
                            </a:solidFill>
                            <a:miter lim="800000"/>
                          </a:ln>
                          <a:effectLst/>
                        </wps:spPr>
                        <wps:txbx>
                          <w:txbxContent>
                            <w:p w14:paraId="7FC04CE5">
                              <w:pPr>
                                <w:jc w:val="center"/>
                                <w:rPr>
                                  <w:rFonts w:hint="default" w:ascii="Calibri" w:hAnsi="Calibri" w:eastAsiaTheme="minorEastAsia"/>
                                  <w:color w:val="000000"/>
                                  <w:lang w:val="en-US" w:eastAsia="zh-CN"/>
                                </w:rPr>
                              </w:pPr>
                              <w:r>
                                <w:rPr>
                                  <w:rFonts w:hint="eastAsia" w:ascii="Calibri" w:hAnsi="Calibri"/>
                                  <w:color w:val="000000"/>
                                  <w:lang w:val="en-US" w:eastAsia="zh-CN"/>
                                </w:rPr>
                                <w:t>生活用水</w:t>
                              </w:r>
                            </w:p>
                          </w:txbxContent>
                        </wps:txbx>
                        <wps:bodyPr rot="0" vert="horz" wrap="square" lIns="91440" tIns="45720" rIns="91440" bIns="45720" anchor="ctr" anchorCtr="0" upright="1">
                          <a:noAutofit/>
                        </wps:bodyPr>
                      </wps:wsp>
                      <wps:wsp>
                        <wps:cNvPr id="67" name="直接连接符 11"/>
                        <wps:cNvCnPr>
                          <a:cxnSpLocks noChangeShapeType="1"/>
                        </wps:cNvCnPr>
                        <wps:spPr bwMode="auto">
                          <a:xfrm>
                            <a:off x="706120" y="626110"/>
                            <a:ext cx="1036955" cy="0"/>
                          </a:xfrm>
                          <a:prstGeom prst="line">
                            <a:avLst/>
                          </a:prstGeom>
                          <a:noFill/>
                          <a:ln w="6350" cmpd="sng">
                            <a:solidFill>
                              <a:srgbClr val="000000"/>
                            </a:solidFill>
                            <a:miter lim="800000"/>
                          </a:ln>
                          <a:effectLst/>
                        </wps:spPr>
                        <wps:bodyPr/>
                      </wps:wsp>
                      <wps:wsp>
                        <wps:cNvPr id="70" name="矩形 28"/>
                        <wps:cNvSpPr>
                          <a:spLocks noChangeArrowheads="1"/>
                        </wps:cNvSpPr>
                        <wps:spPr bwMode="auto">
                          <a:xfrm>
                            <a:off x="897890" y="317500"/>
                            <a:ext cx="692150" cy="294640"/>
                          </a:xfrm>
                          <a:prstGeom prst="rect">
                            <a:avLst/>
                          </a:prstGeom>
                          <a:noFill/>
                          <a:ln>
                            <a:noFill/>
                          </a:ln>
                          <a:effectLst/>
                        </wps:spPr>
                        <wps:txbx>
                          <w:txbxContent>
                            <w:p w14:paraId="6641E420">
                              <w:pPr>
                                <w:jc w:val="center"/>
                                <w:rPr>
                                  <w:rFonts w:hint="default" w:eastAsiaTheme="minorEastAsia"/>
                                  <w:color w:val="000000"/>
                                  <w:lang w:val="en-US" w:eastAsia="zh-CN"/>
                                </w:rPr>
                              </w:pPr>
                              <w:r>
                                <w:rPr>
                                  <w:rFonts w:hint="eastAsia"/>
                                  <w:color w:val="000000"/>
                                  <w:lang w:val="en-US" w:eastAsia="zh-CN"/>
                                </w:rPr>
                                <w:t>7266</w:t>
                              </w:r>
                            </w:p>
                          </w:txbxContent>
                        </wps:txbx>
                        <wps:bodyPr rot="0" vert="horz" wrap="square" lIns="91440" tIns="45720" rIns="91440" bIns="45720" anchor="ctr" anchorCtr="0" upright="1">
                          <a:noAutofit/>
                        </wps:bodyPr>
                      </wps:wsp>
                      <wps:wsp>
                        <wps:cNvPr id="72" name="曲线连接符 68"/>
                        <wps:cNvCnPr>
                          <a:cxnSpLocks noChangeShapeType="1"/>
                        </wps:cNvCnPr>
                        <wps:spPr bwMode="auto">
                          <a:xfrm flipV="1">
                            <a:off x="2058670" y="318135"/>
                            <a:ext cx="266700" cy="156845"/>
                          </a:xfrm>
                          <a:prstGeom prst="curvedConnector3">
                            <a:avLst>
                              <a:gd name="adj1" fmla="val 50236"/>
                            </a:avLst>
                          </a:prstGeom>
                          <a:noFill/>
                          <a:ln w="6350" cmpd="sng">
                            <a:solidFill>
                              <a:srgbClr val="000000"/>
                            </a:solidFill>
                            <a:miter lim="800000"/>
                            <a:tailEnd type="triangle" w="med" len="med"/>
                          </a:ln>
                          <a:effectLst/>
                        </wps:spPr>
                        <wps:bodyPr/>
                      </wps:wsp>
                      <wps:wsp>
                        <wps:cNvPr id="102" name="矩形 69"/>
                        <wps:cNvSpPr>
                          <a:spLocks noChangeArrowheads="1"/>
                        </wps:cNvSpPr>
                        <wps:spPr bwMode="auto">
                          <a:xfrm>
                            <a:off x="2362200" y="24130"/>
                            <a:ext cx="852805" cy="299085"/>
                          </a:xfrm>
                          <a:prstGeom prst="rect">
                            <a:avLst/>
                          </a:prstGeom>
                          <a:noFill/>
                          <a:ln>
                            <a:noFill/>
                          </a:ln>
                          <a:effectLst/>
                        </wps:spPr>
                        <wps:txbx>
                          <w:txbxContent>
                            <w:p w14:paraId="50F74D27">
                              <w:pPr>
                                <w:jc w:val="center"/>
                                <w:rPr>
                                  <w:rFonts w:hint="default" w:eastAsiaTheme="minorEastAsia"/>
                                  <w:color w:val="000000"/>
                                  <w:lang w:val="en-US" w:eastAsia="zh-CN"/>
                                </w:rPr>
                              </w:pPr>
                              <w:r>
                                <w:rPr>
                                  <w:rFonts w:hint="eastAsia"/>
                                  <w:color w:val="000000"/>
                                </w:rPr>
                                <w:t>损耗</w:t>
                              </w:r>
                              <w:r>
                                <w:rPr>
                                  <w:rFonts w:hint="eastAsia"/>
                                  <w:color w:val="000000"/>
                                  <w:lang w:val="en-US" w:eastAsia="zh-CN"/>
                                </w:rPr>
                                <w:t>1453.2</w:t>
                              </w:r>
                            </w:p>
                          </w:txbxContent>
                        </wps:txbx>
                        <wps:bodyPr rot="0" vert="horz" wrap="square" lIns="91440" tIns="45720" rIns="91440" bIns="45720" anchor="ctr" anchorCtr="0" upright="1">
                          <a:noAutofit/>
                        </wps:bodyPr>
                      </wps:wsp>
                      <wps:wsp>
                        <wps:cNvPr id="133" name="直接连接符 4"/>
                        <wps:cNvCnPr>
                          <a:cxnSpLocks noChangeShapeType="1"/>
                        </wps:cNvCnPr>
                        <wps:spPr bwMode="auto">
                          <a:xfrm flipV="1">
                            <a:off x="2517775" y="651510"/>
                            <a:ext cx="630555" cy="4445"/>
                          </a:xfrm>
                          <a:prstGeom prst="line">
                            <a:avLst/>
                          </a:prstGeom>
                          <a:noFill/>
                          <a:ln w="6350" cmpd="sng">
                            <a:solidFill>
                              <a:srgbClr val="000000"/>
                            </a:solidFill>
                            <a:miter lim="800000"/>
                            <a:tailEnd type="triangle" w="med" len="med"/>
                          </a:ln>
                          <a:effectLst/>
                        </wps:spPr>
                        <wps:bodyPr/>
                      </wps:wsp>
                      <wps:wsp>
                        <wps:cNvPr id="134" name="矩形 2"/>
                        <wps:cNvSpPr>
                          <a:spLocks noChangeArrowheads="1"/>
                        </wps:cNvSpPr>
                        <wps:spPr bwMode="auto">
                          <a:xfrm>
                            <a:off x="3158490" y="482600"/>
                            <a:ext cx="1079500" cy="294640"/>
                          </a:xfrm>
                          <a:prstGeom prst="rect">
                            <a:avLst/>
                          </a:prstGeom>
                          <a:noFill/>
                          <a:ln w="12700" cmpd="sng">
                            <a:solidFill>
                              <a:srgbClr val="000000"/>
                            </a:solidFill>
                            <a:miter lim="800000"/>
                          </a:ln>
                          <a:effectLst/>
                        </wps:spPr>
                        <wps:txbx>
                          <w:txbxContent>
                            <w:p w14:paraId="5A2A8C62">
                              <w:pPr>
                                <w:jc w:val="center"/>
                                <w:rPr>
                                  <w:rFonts w:hint="default" w:ascii="Calibri" w:hAnsi="Calibri" w:eastAsiaTheme="minorEastAsia"/>
                                  <w:color w:val="000000"/>
                                  <w:lang w:val="en-US" w:eastAsia="zh-CN"/>
                                </w:rPr>
                              </w:pPr>
                              <w:r>
                                <w:rPr>
                                  <w:rFonts w:hint="eastAsia" w:ascii="Calibri" w:hAnsi="Calibri"/>
                                  <w:color w:val="000000"/>
                                  <w:lang w:val="en-US" w:eastAsia="zh-CN"/>
                                </w:rPr>
                                <w:t>隔油池+化粪池</w:t>
                              </w:r>
                            </w:p>
                          </w:txbxContent>
                        </wps:txbx>
                        <wps:bodyPr rot="0" vert="horz" wrap="square" lIns="91440" tIns="45720" rIns="91440" bIns="45720" anchor="ctr" anchorCtr="0" upright="1">
                          <a:noAutofit/>
                        </wps:bodyPr>
                      </wps:wsp>
                      <wps:wsp>
                        <wps:cNvPr id="135" name="矩形 28"/>
                        <wps:cNvSpPr>
                          <a:spLocks noChangeArrowheads="1"/>
                        </wps:cNvSpPr>
                        <wps:spPr bwMode="auto">
                          <a:xfrm>
                            <a:off x="2517140" y="344170"/>
                            <a:ext cx="692150" cy="294640"/>
                          </a:xfrm>
                          <a:prstGeom prst="rect">
                            <a:avLst/>
                          </a:prstGeom>
                          <a:noFill/>
                          <a:ln>
                            <a:noFill/>
                          </a:ln>
                          <a:effectLst/>
                        </wps:spPr>
                        <wps:txbx>
                          <w:txbxContent>
                            <w:p w14:paraId="2E0ED59B">
                              <w:pPr>
                                <w:jc w:val="center"/>
                                <w:rPr>
                                  <w:rFonts w:hint="default" w:eastAsiaTheme="minorEastAsia"/>
                                  <w:color w:val="000000"/>
                                  <w:lang w:val="en-US" w:eastAsia="zh-CN"/>
                                </w:rPr>
                              </w:pPr>
                              <w:r>
                                <w:rPr>
                                  <w:rFonts w:hint="eastAsia"/>
                                  <w:color w:val="000000"/>
                                  <w:lang w:val="en-US" w:eastAsia="zh-CN"/>
                                </w:rPr>
                                <w:t>5812.8</w:t>
                              </w:r>
                            </w:p>
                          </w:txbxContent>
                        </wps:txbx>
                        <wps:bodyPr rot="0" vert="horz" wrap="square" lIns="91440" tIns="45720" rIns="91440" bIns="45720" anchor="ctr" anchorCtr="0" upright="1">
                          <a:noAutofit/>
                        </wps:bodyPr>
                      </wps:wsp>
                      <wps:wsp>
                        <wps:cNvPr id="136" name="矩形 2"/>
                        <wps:cNvSpPr>
                          <a:spLocks noChangeArrowheads="1"/>
                        </wps:cNvSpPr>
                        <wps:spPr bwMode="auto">
                          <a:xfrm>
                            <a:off x="907415" y="1270635"/>
                            <a:ext cx="1140460" cy="294640"/>
                          </a:xfrm>
                          <a:prstGeom prst="rect">
                            <a:avLst/>
                          </a:prstGeom>
                          <a:noFill/>
                          <a:ln w="12700" cmpd="sng">
                            <a:solidFill>
                              <a:srgbClr val="000000"/>
                            </a:solidFill>
                            <a:miter lim="800000"/>
                          </a:ln>
                          <a:effectLst/>
                        </wps:spPr>
                        <wps:txbx>
                          <w:txbxContent>
                            <w:p w14:paraId="67B77C65">
                              <w:pPr>
                                <w:jc w:val="center"/>
                                <w:rPr>
                                  <w:rFonts w:hint="default" w:ascii="Calibri" w:hAnsi="Calibri" w:eastAsiaTheme="minorEastAsia"/>
                                  <w:color w:val="000000"/>
                                  <w:lang w:val="en-US" w:eastAsia="zh-CN"/>
                                </w:rPr>
                              </w:pPr>
                              <w:r>
                                <w:rPr>
                                  <w:rFonts w:hint="eastAsia" w:ascii="Calibri" w:hAnsi="Calibri"/>
                                  <w:color w:val="000000"/>
                                  <w:lang w:val="en-US" w:eastAsia="zh-CN"/>
                                </w:rPr>
                                <w:t>冷凝水4184.869</w:t>
                              </w:r>
                            </w:p>
                          </w:txbxContent>
                        </wps:txbx>
                        <wps:bodyPr rot="0" vert="horz" wrap="square" lIns="91440" tIns="45720" rIns="91440" bIns="45720" anchor="ctr" anchorCtr="0" upright="1">
                          <a:noAutofit/>
                        </wps:bodyPr>
                      </wps:wsp>
                      <wps:wsp>
                        <wps:cNvPr id="137" name="直接连接符 11"/>
                        <wps:cNvCnPr>
                          <a:cxnSpLocks noChangeShapeType="1"/>
                        </wps:cNvCnPr>
                        <wps:spPr bwMode="auto">
                          <a:xfrm flipV="1">
                            <a:off x="4542155" y="1751330"/>
                            <a:ext cx="0" cy="929005"/>
                          </a:xfrm>
                          <a:prstGeom prst="line">
                            <a:avLst/>
                          </a:prstGeom>
                          <a:noFill/>
                          <a:ln w="6350" cmpd="sng">
                            <a:solidFill>
                              <a:srgbClr val="000000"/>
                            </a:solidFill>
                            <a:miter lim="800000"/>
                          </a:ln>
                          <a:effectLst/>
                        </wps:spPr>
                        <wps:bodyPr/>
                      </wps:wsp>
                      <wps:wsp>
                        <wps:cNvPr id="138" name="直接连接符 4"/>
                        <wps:cNvCnPr>
                          <a:cxnSpLocks noChangeShapeType="1"/>
                        </wps:cNvCnPr>
                        <wps:spPr bwMode="auto">
                          <a:xfrm flipV="1">
                            <a:off x="2058670" y="1417955"/>
                            <a:ext cx="630555" cy="4445"/>
                          </a:xfrm>
                          <a:prstGeom prst="line">
                            <a:avLst/>
                          </a:prstGeom>
                          <a:noFill/>
                          <a:ln w="6350" cmpd="sng">
                            <a:solidFill>
                              <a:srgbClr val="000000"/>
                            </a:solidFill>
                            <a:miter lim="800000"/>
                            <a:tailEnd type="triangle" w="med" len="med"/>
                          </a:ln>
                          <a:effectLst/>
                        </wps:spPr>
                        <wps:bodyPr/>
                      </wps:wsp>
                      <wps:wsp>
                        <wps:cNvPr id="139" name="矩形 2"/>
                        <wps:cNvSpPr>
                          <a:spLocks noChangeArrowheads="1"/>
                        </wps:cNvSpPr>
                        <wps:spPr bwMode="auto">
                          <a:xfrm>
                            <a:off x="2699385" y="1296670"/>
                            <a:ext cx="1055370" cy="294640"/>
                          </a:xfrm>
                          <a:prstGeom prst="rect">
                            <a:avLst/>
                          </a:prstGeom>
                          <a:noFill/>
                          <a:ln w="12700" cmpd="sng">
                            <a:solidFill>
                              <a:srgbClr val="000000"/>
                            </a:solidFill>
                            <a:miter lim="800000"/>
                          </a:ln>
                          <a:effectLst/>
                        </wps:spPr>
                        <wps:txbx>
                          <w:txbxContent>
                            <w:p w14:paraId="2A2210B4">
                              <w:pPr>
                                <w:jc w:val="center"/>
                                <w:rPr>
                                  <w:rFonts w:hint="default" w:ascii="Calibri" w:hAnsi="Calibri" w:eastAsiaTheme="minorEastAsia"/>
                                  <w:color w:val="000000"/>
                                  <w:lang w:val="en-US" w:eastAsia="zh-CN"/>
                                </w:rPr>
                              </w:pPr>
                              <w:r>
                                <w:rPr>
                                  <w:rFonts w:hint="eastAsia" w:ascii="Calibri" w:hAnsi="Calibri"/>
                                  <w:color w:val="000000"/>
                                  <w:lang w:val="en-US" w:eastAsia="zh-CN"/>
                                </w:rPr>
                                <w:t>废气处理用水</w:t>
                              </w:r>
                            </w:p>
                          </w:txbxContent>
                        </wps:txbx>
                        <wps:bodyPr rot="0" vert="horz" wrap="square" lIns="91440" tIns="45720" rIns="91440" bIns="45720" anchor="ctr" anchorCtr="0" upright="1">
                          <a:noAutofit/>
                        </wps:bodyPr>
                      </wps:wsp>
                      <wps:wsp>
                        <wps:cNvPr id="140" name="曲线连接符 68"/>
                        <wps:cNvCnPr>
                          <a:cxnSpLocks noChangeShapeType="1"/>
                        </wps:cNvCnPr>
                        <wps:spPr bwMode="auto">
                          <a:xfrm flipV="1">
                            <a:off x="3106420" y="1141095"/>
                            <a:ext cx="266700" cy="156845"/>
                          </a:xfrm>
                          <a:prstGeom prst="curvedConnector3">
                            <a:avLst>
                              <a:gd name="adj1" fmla="val 50236"/>
                            </a:avLst>
                          </a:prstGeom>
                          <a:noFill/>
                          <a:ln w="6350" cmpd="sng">
                            <a:solidFill>
                              <a:srgbClr val="000000"/>
                            </a:solidFill>
                            <a:miter lim="800000"/>
                            <a:tailEnd type="triangle" w="med" len="med"/>
                          </a:ln>
                          <a:effectLst/>
                        </wps:spPr>
                        <wps:bodyPr/>
                      </wps:wsp>
                      <wps:wsp>
                        <wps:cNvPr id="141" name="矩形 69"/>
                        <wps:cNvSpPr>
                          <a:spLocks noChangeArrowheads="1"/>
                        </wps:cNvSpPr>
                        <wps:spPr bwMode="auto">
                          <a:xfrm>
                            <a:off x="3244850" y="924560"/>
                            <a:ext cx="852805" cy="299085"/>
                          </a:xfrm>
                          <a:prstGeom prst="rect">
                            <a:avLst/>
                          </a:prstGeom>
                          <a:noFill/>
                          <a:ln>
                            <a:noFill/>
                          </a:ln>
                          <a:effectLst/>
                        </wps:spPr>
                        <wps:txbx>
                          <w:txbxContent>
                            <w:p w14:paraId="633562C2">
                              <w:pPr>
                                <w:jc w:val="center"/>
                                <w:rPr>
                                  <w:rFonts w:hint="default" w:eastAsiaTheme="minorEastAsia"/>
                                  <w:color w:val="000000"/>
                                  <w:lang w:val="en-US" w:eastAsia="zh-CN"/>
                                </w:rPr>
                              </w:pPr>
                              <w:r>
                                <w:rPr>
                                  <w:rFonts w:hint="eastAsia"/>
                                  <w:color w:val="000000"/>
                                </w:rPr>
                                <w:t>损耗</w:t>
                              </w:r>
                              <w:r>
                                <w:rPr>
                                  <w:rFonts w:hint="eastAsia"/>
                                  <w:color w:val="000000"/>
                                  <w:lang w:val="en-US" w:eastAsia="zh-CN"/>
                                </w:rPr>
                                <w:t>15</w:t>
                              </w:r>
                            </w:p>
                          </w:txbxContent>
                        </wps:txbx>
                        <wps:bodyPr rot="0" vert="horz" wrap="square" lIns="91440" tIns="45720" rIns="91440" bIns="45720" anchor="ctr" anchorCtr="0" upright="1">
                          <a:noAutofit/>
                        </wps:bodyPr>
                      </wps:wsp>
                      <wps:wsp>
                        <wps:cNvPr id="142" name="矩形 2"/>
                        <wps:cNvSpPr>
                          <a:spLocks noChangeArrowheads="1"/>
                        </wps:cNvSpPr>
                        <wps:spPr bwMode="auto">
                          <a:xfrm>
                            <a:off x="1859915" y="2508885"/>
                            <a:ext cx="822325" cy="294640"/>
                          </a:xfrm>
                          <a:prstGeom prst="rect">
                            <a:avLst/>
                          </a:prstGeom>
                          <a:noFill/>
                          <a:ln w="12700" cmpd="sng">
                            <a:solidFill>
                              <a:srgbClr val="000000"/>
                            </a:solidFill>
                            <a:miter lim="800000"/>
                          </a:ln>
                          <a:effectLst/>
                        </wps:spPr>
                        <wps:txbx>
                          <w:txbxContent>
                            <w:p w14:paraId="41D8AC4E">
                              <w:pPr>
                                <w:jc w:val="center"/>
                                <w:rPr>
                                  <w:rFonts w:hint="default" w:ascii="Calibri" w:hAnsi="Calibri" w:eastAsiaTheme="minorEastAsia"/>
                                  <w:color w:val="000000"/>
                                  <w:lang w:val="en-US" w:eastAsia="zh-CN"/>
                                </w:rPr>
                              </w:pPr>
                              <w:r>
                                <w:rPr>
                                  <w:rFonts w:hint="eastAsia" w:ascii="Calibri" w:hAnsi="Calibri"/>
                                  <w:color w:val="000000"/>
                                  <w:lang w:val="en-US" w:eastAsia="zh-CN"/>
                                </w:rPr>
                                <w:t>生产用水</w:t>
                              </w:r>
                            </w:p>
                          </w:txbxContent>
                        </wps:txbx>
                        <wps:bodyPr rot="0" vert="horz" wrap="square" lIns="91440" tIns="45720" rIns="91440" bIns="45720" anchor="ctr" anchorCtr="0" upright="1">
                          <a:noAutofit/>
                        </wps:bodyPr>
                      </wps:wsp>
                      <wps:wsp>
                        <wps:cNvPr id="143" name="直接连接符 11"/>
                        <wps:cNvCnPr>
                          <a:cxnSpLocks noChangeShapeType="1"/>
                        </wps:cNvCnPr>
                        <wps:spPr bwMode="auto">
                          <a:xfrm flipV="1">
                            <a:off x="706755" y="2635250"/>
                            <a:ext cx="1142365" cy="8255"/>
                          </a:xfrm>
                          <a:prstGeom prst="line">
                            <a:avLst/>
                          </a:prstGeom>
                          <a:noFill/>
                          <a:ln w="6350" cmpd="sng">
                            <a:solidFill>
                              <a:srgbClr val="000000"/>
                            </a:solidFill>
                            <a:miter lim="800000"/>
                          </a:ln>
                          <a:effectLst/>
                        </wps:spPr>
                        <wps:bodyPr/>
                      </wps:wsp>
                      <wps:wsp>
                        <wps:cNvPr id="144" name="直接连接符 4"/>
                        <wps:cNvCnPr>
                          <a:cxnSpLocks noChangeShapeType="1"/>
                        </wps:cNvCnPr>
                        <wps:spPr bwMode="auto">
                          <a:xfrm>
                            <a:off x="1433195" y="1924685"/>
                            <a:ext cx="589280" cy="6350"/>
                          </a:xfrm>
                          <a:prstGeom prst="line">
                            <a:avLst/>
                          </a:prstGeom>
                          <a:noFill/>
                          <a:ln w="6350" cmpd="sng">
                            <a:solidFill>
                              <a:srgbClr val="000000"/>
                            </a:solidFill>
                            <a:miter lim="800000"/>
                            <a:tailEnd type="triangle" w="med" len="med"/>
                          </a:ln>
                          <a:effectLst/>
                        </wps:spPr>
                        <wps:bodyPr/>
                      </wps:wsp>
                      <wps:wsp>
                        <wps:cNvPr id="145" name="矩形 28"/>
                        <wps:cNvSpPr>
                          <a:spLocks noChangeArrowheads="1"/>
                        </wps:cNvSpPr>
                        <wps:spPr bwMode="auto">
                          <a:xfrm>
                            <a:off x="958850" y="2309495"/>
                            <a:ext cx="692150" cy="294640"/>
                          </a:xfrm>
                          <a:prstGeom prst="rect">
                            <a:avLst/>
                          </a:prstGeom>
                          <a:noFill/>
                          <a:ln>
                            <a:noFill/>
                          </a:ln>
                          <a:effectLst/>
                        </wps:spPr>
                        <wps:txbx>
                          <w:txbxContent>
                            <w:p w14:paraId="4F13E0A7">
                              <w:pPr>
                                <w:jc w:val="center"/>
                                <w:rPr>
                                  <w:rFonts w:hint="default" w:eastAsiaTheme="minorEastAsia"/>
                                  <w:color w:val="000000"/>
                                  <w:lang w:val="en-US" w:eastAsia="zh-CN"/>
                                </w:rPr>
                              </w:pPr>
                              <w:r>
                                <w:rPr>
                                  <w:rFonts w:hint="eastAsia"/>
                                  <w:color w:val="000000"/>
                                  <w:lang w:val="en-US" w:eastAsia="zh-CN"/>
                                </w:rPr>
                                <w:t>5961.148</w:t>
                              </w:r>
                            </w:p>
                          </w:txbxContent>
                        </wps:txbx>
                        <wps:bodyPr rot="0" vert="horz" wrap="square" lIns="91440" tIns="45720" rIns="91440" bIns="45720" anchor="ctr" anchorCtr="0" upright="1">
                          <a:noAutofit/>
                        </wps:bodyPr>
                      </wps:wsp>
                      <wps:wsp>
                        <wps:cNvPr id="146" name="直接连接符 4"/>
                        <wps:cNvCnPr>
                          <a:cxnSpLocks noChangeShapeType="1"/>
                        </wps:cNvCnPr>
                        <wps:spPr bwMode="auto">
                          <a:xfrm flipV="1">
                            <a:off x="2707640" y="2680335"/>
                            <a:ext cx="1851660" cy="1905"/>
                          </a:xfrm>
                          <a:prstGeom prst="line">
                            <a:avLst/>
                          </a:prstGeom>
                          <a:noFill/>
                          <a:ln w="6350" cmpd="sng">
                            <a:solidFill>
                              <a:srgbClr val="000000"/>
                            </a:solidFill>
                            <a:miter lim="800000"/>
                            <a:tailEnd type="triangle" w="med" len="med"/>
                          </a:ln>
                          <a:effectLst/>
                        </wps:spPr>
                        <wps:bodyPr/>
                      </wps:wsp>
                      <wps:wsp>
                        <wps:cNvPr id="147" name="矩形 28"/>
                        <wps:cNvSpPr>
                          <a:spLocks noChangeArrowheads="1"/>
                        </wps:cNvSpPr>
                        <wps:spPr bwMode="auto">
                          <a:xfrm>
                            <a:off x="3270885" y="2275205"/>
                            <a:ext cx="692150" cy="294640"/>
                          </a:xfrm>
                          <a:prstGeom prst="rect">
                            <a:avLst/>
                          </a:prstGeom>
                          <a:noFill/>
                          <a:ln>
                            <a:noFill/>
                          </a:ln>
                          <a:effectLst/>
                        </wps:spPr>
                        <wps:txbx>
                          <w:txbxContent>
                            <w:p w14:paraId="345375FA">
                              <w:pPr>
                                <w:jc w:val="center"/>
                                <w:rPr>
                                  <w:rFonts w:hint="default" w:eastAsiaTheme="minorEastAsia"/>
                                  <w:color w:val="000000"/>
                                  <w:lang w:val="en-US" w:eastAsia="zh-CN"/>
                                </w:rPr>
                              </w:pPr>
                              <w:r>
                                <w:rPr>
                                  <w:rFonts w:hint="eastAsia"/>
                                  <w:color w:val="000000"/>
                                  <w:lang w:val="en-US" w:eastAsia="zh-CN"/>
                                </w:rPr>
                                <w:t>4768.918</w:t>
                              </w:r>
                            </w:p>
                          </w:txbxContent>
                        </wps:txbx>
                        <wps:bodyPr rot="0" vert="horz" wrap="square" lIns="91440" tIns="45720" rIns="91440" bIns="45720" anchor="ctr" anchorCtr="0" upright="1">
                          <a:noAutofit/>
                        </wps:bodyPr>
                      </wps:wsp>
                      <wps:wsp>
                        <wps:cNvPr id="148" name="直接连接符 4"/>
                        <wps:cNvCnPr>
                          <a:cxnSpLocks noChangeShapeType="1"/>
                        </wps:cNvCnPr>
                        <wps:spPr bwMode="auto">
                          <a:xfrm>
                            <a:off x="3790315" y="1487170"/>
                            <a:ext cx="589280" cy="6350"/>
                          </a:xfrm>
                          <a:prstGeom prst="line">
                            <a:avLst/>
                          </a:prstGeom>
                          <a:noFill/>
                          <a:ln w="6350" cmpd="sng">
                            <a:solidFill>
                              <a:srgbClr val="000000"/>
                            </a:solidFill>
                            <a:miter lim="800000"/>
                            <a:tailEnd type="triangle" w="med" len="med"/>
                          </a:ln>
                          <a:effectLst/>
                        </wps:spPr>
                        <wps:bodyPr/>
                      </wps:wsp>
                      <wps:wsp>
                        <wps:cNvPr id="149" name="矩形 28"/>
                        <wps:cNvSpPr>
                          <a:spLocks noChangeArrowheads="1"/>
                        </wps:cNvSpPr>
                        <wps:spPr bwMode="auto">
                          <a:xfrm>
                            <a:off x="3755390" y="1166495"/>
                            <a:ext cx="692150" cy="294640"/>
                          </a:xfrm>
                          <a:prstGeom prst="rect">
                            <a:avLst/>
                          </a:prstGeom>
                          <a:noFill/>
                          <a:ln>
                            <a:noFill/>
                          </a:ln>
                          <a:effectLst/>
                        </wps:spPr>
                        <wps:txbx>
                          <w:txbxContent>
                            <w:p w14:paraId="5D964EC1">
                              <w:pPr>
                                <w:jc w:val="center"/>
                                <w:rPr>
                                  <w:rFonts w:hint="default" w:eastAsiaTheme="minorEastAsia"/>
                                  <w:color w:val="000000"/>
                                  <w:lang w:val="en-US" w:eastAsia="zh-CN"/>
                                </w:rPr>
                              </w:pPr>
                              <w:r>
                                <w:rPr>
                                  <w:rFonts w:hint="eastAsia"/>
                                  <w:color w:val="000000"/>
                                  <w:lang w:val="en-US" w:eastAsia="zh-CN"/>
                                </w:rPr>
                                <w:t>60</w:t>
                              </w:r>
                            </w:p>
                          </w:txbxContent>
                        </wps:txbx>
                        <wps:bodyPr rot="0" vert="horz" wrap="square" lIns="91440" tIns="45720" rIns="91440" bIns="45720" anchor="ctr" anchorCtr="0" upright="1">
                          <a:noAutofit/>
                        </wps:bodyPr>
                      </wps:wsp>
                      <wps:wsp>
                        <wps:cNvPr id="150" name="矩形 28"/>
                        <wps:cNvSpPr>
                          <a:spLocks noChangeArrowheads="1"/>
                        </wps:cNvSpPr>
                        <wps:spPr bwMode="auto">
                          <a:xfrm>
                            <a:off x="2041525" y="1132205"/>
                            <a:ext cx="692150" cy="294640"/>
                          </a:xfrm>
                          <a:prstGeom prst="rect">
                            <a:avLst/>
                          </a:prstGeom>
                          <a:noFill/>
                          <a:ln>
                            <a:noFill/>
                          </a:ln>
                          <a:effectLst/>
                        </wps:spPr>
                        <wps:txbx>
                          <w:txbxContent>
                            <w:p w14:paraId="7959D182">
                              <w:pPr>
                                <w:jc w:val="center"/>
                                <w:rPr>
                                  <w:rFonts w:hint="default" w:eastAsiaTheme="minorEastAsia"/>
                                  <w:color w:val="000000"/>
                                  <w:lang w:val="en-US" w:eastAsia="zh-CN"/>
                                </w:rPr>
                              </w:pPr>
                              <w:r>
                                <w:rPr>
                                  <w:rFonts w:hint="eastAsia"/>
                                  <w:color w:val="000000"/>
                                  <w:lang w:val="en-US" w:eastAsia="zh-CN"/>
                                </w:rPr>
                                <w:t>75</w:t>
                              </w:r>
                            </w:p>
                          </w:txbxContent>
                        </wps:txbx>
                        <wps:bodyPr rot="0" vert="horz" wrap="square" lIns="91440" tIns="45720" rIns="91440" bIns="45720" anchor="ctr" anchorCtr="0" upright="1">
                          <a:noAutofit/>
                        </wps:bodyPr>
                      </wps:wsp>
                      <wps:wsp>
                        <wps:cNvPr id="151" name="直接连接符 11"/>
                        <wps:cNvCnPr>
                          <a:cxnSpLocks noChangeShapeType="1"/>
                        </wps:cNvCnPr>
                        <wps:spPr bwMode="auto">
                          <a:xfrm>
                            <a:off x="4249420" y="638810"/>
                            <a:ext cx="552450" cy="6985"/>
                          </a:xfrm>
                          <a:prstGeom prst="line">
                            <a:avLst/>
                          </a:prstGeom>
                          <a:noFill/>
                          <a:ln w="6350" cmpd="sng">
                            <a:solidFill>
                              <a:srgbClr val="000000"/>
                            </a:solidFill>
                            <a:miter lim="800000"/>
                          </a:ln>
                          <a:effectLst/>
                        </wps:spPr>
                        <wps:bodyPr/>
                      </wps:wsp>
                      <wps:wsp>
                        <wps:cNvPr id="152" name="直接连接符 84"/>
                        <wps:cNvCnPr>
                          <a:cxnSpLocks noChangeShapeType="1"/>
                        </wps:cNvCnPr>
                        <wps:spPr bwMode="auto">
                          <a:xfrm flipH="1">
                            <a:off x="4787265" y="636905"/>
                            <a:ext cx="6350" cy="634365"/>
                          </a:xfrm>
                          <a:prstGeom prst="line">
                            <a:avLst/>
                          </a:prstGeom>
                          <a:noFill/>
                          <a:ln w="6350" cmpd="sng">
                            <a:solidFill>
                              <a:srgbClr val="000000"/>
                            </a:solidFill>
                            <a:miter lim="800000"/>
                            <a:tailEnd type="triangle" w="med" len="med"/>
                          </a:ln>
                          <a:effectLst/>
                        </wps:spPr>
                        <wps:bodyPr/>
                      </wps:wsp>
                      <wps:wsp>
                        <wps:cNvPr id="153" name="矩形 28"/>
                        <wps:cNvSpPr>
                          <a:spLocks noChangeArrowheads="1"/>
                        </wps:cNvSpPr>
                        <wps:spPr bwMode="auto">
                          <a:xfrm>
                            <a:off x="4344670" y="300990"/>
                            <a:ext cx="692150" cy="294640"/>
                          </a:xfrm>
                          <a:prstGeom prst="rect">
                            <a:avLst/>
                          </a:prstGeom>
                          <a:noFill/>
                          <a:ln>
                            <a:noFill/>
                          </a:ln>
                          <a:effectLst/>
                        </wps:spPr>
                        <wps:txbx>
                          <w:txbxContent>
                            <w:p w14:paraId="5F016E0D">
                              <w:pPr>
                                <w:jc w:val="center"/>
                                <w:rPr>
                                  <w:rFonts w:hint="default" w:eastAsiaTheme="minorEastAsia"/>
                                  <w:color w:val="000000"/>
                                  <w:lang w:val="en-US" w:eastAsia="zh-CN"/>
                                </w:rPr>
                              </w:pPr>
                              <w:r>
                                <w:rPr>
                                  <w:rFonts w:hint="eastAsia"/>
                                  <w:color w:val="000000"/>
                                  <w:lang w:val="en-US" w:eastAsia="zh-CN"/>
                                </w:rPr>
                                <w:t>5812.8</w:t>
                              </w:r>
                            </w:p>
                          </w:txbxContent>
                        </wps:txbx>
                        <wps:bodyPr rot="0" vert="horz" wrap="square" lIns="91440" tIns="45720" rIns="91440" bIns="45720" anchor="ctr" anchorCtr="0" upright="1">
                          <a:noAutofit/>
                        </wps:bodyPr>
                      </wps:wsp>
                      <wps:wsp>
                        <wps:cNvPr id="154" name="矩形 28"/>
                        <wps:cNvSpPr>
                          <a:spLocks noChangeArrowheads="1"/>
                        </wps:cNvSpPr>
                        <wps:spPr bwMode="auto">
                          <a:xfrm>
                            <a:off x="4145915" y="2889885"/>
                            <a:ext cx="769620" cy="294640"/>
                          </a:xfrm>
                          <a:prstGeom prst="rect">
                            <a:avLst/>
                          </a:prstGeom>
                          <a:noFill/>
                          <a:ln>
                            <a:noFill/>
                          </a:ln>
                          <a:effectLst/>
                        </wps:spPr>
                        <wps:txbx>
                          <w:txbxContent>
                            <w:p w14:paraId="44DB097B">
                              <w:pPr>
                                <w:jc w:val="center"/>
                                <w:rPr>
                                  <w:rFonts w:hint="default" w:eastAsiaTheme="minorEastAsia"/>
                                  <w:color w:val="000000"/>
                                  <w:lang w:val="en-US" w:eastAsia="zh-CN"/>
                                </w:rPr>
                              </w:pPr>
                              <w:r>
                                <w:rPr>
                                  <w:rFonts w:hint="eastAsia"/>
                                  <w:color w:val="000000"/>
                                  <w:lang w:val="en-US" w:eastAsia="zh-CN"/>
                                </w:rPr>
                                <w:t>10641.718</w:t>
                              </w:r>
                            </w:p>
                          </w:txbxContent>
                        </wps:txbx>
                        <wps:bodyPr rot="0" vert="horz" wrap="square" lIns="91440" tIns="45720" rIns="91440" bIns="45720" anchor="ctr" anchorCtr="0" upright="1">
                          <a:noAutofit/>
                        </wps:bodyPr>
                      </wps:wsp>
                      <wps:wsp>
                        <wps:cNvPr id="155" name="直接连接符 11"/>
                        <wps:cNvCnPr>
                          <a:cxnSpLocks noChangeShapeType="1"/>
                        </wps:cNvCnPr>
                        <wps:spPr bwMode="auto">
                          <a:xfrm flipH="1" flipV="1">
                            <a:off x="707390" y="629920"/>
                            <a:ext cx="7620" cy="2021840"/>
                          </a:xfrm>
                          <a:prstGeom prst="line">
                            <a:avLst/>
                          </a:prstGeom>
                          <a:noFill/>
                          <a:ln w="6350" cmpd="sng">
                            <a:solidFill>
                              <a:srgbClr val="000000"/>
                            </a:solidFill>
                            <a:miter lim="800000"/>
                          </a:ln>
                          <a:effectLst/>
                        </wps:spPr>
                        <wps:bodyPr/>
                      </wps:wsp>
                      <wps:wsp>
                        <wps:cNvPr id="156" name="矩形 28"/>
                        <wps:cNvSpPr>
                          <a:spLocks noChangeArrowheads="1"/>
                        </wps:cNvSpPr>
                        <wps:spPr bwMode="auto">
                          <a:xfrm>
                            <a:off x="0" y="1193165"/>
                            <a:ext cx="795655" cy="294640"/>
                          </a:xfrm>
                          <a:prstGeom prst="rect">
                            <a:avLst/>
                          </a:prstGeom>
                          <a:noFill/>
                          <a:ln>
                            <a:noFill/>
                          </a:ln>
                          <a:effectLst/>
                        </wps:spPr>
                        <wps:txbx>
                          <w:txbxContent>
                            <w:p w14:paraId="68774D59">
                              <w:pPr>
                                <w:jc w:val="center"/>
                                <w:rPr>
                                  <w:rFonts w:hint="default" w:eastAsiaTheme="minorEastAsia"/>
                                  <w:color w:val="000000"/>
                                  <w:lang w:val="en-US" w:eastAsia="zh-CN"/>
                                </w:rPr>
                              </w:pPr>
                              <w:r>
                                <w:rPr>
                                  <w:rFonts w:hint="eastAsia"/>
                                  <w:color w:val="000000"/>
                                  <w:lang w:val="en-US" w:eastAsia="zh-CN"/>
                                </w:rPr>
                                <w:t>13227.148</w:t>
                              </w:r>
                            </w:p>
                          </w:txbxContent>
                        </wps:txbx>
                        <wps:bodyPr rot="0" vert="horz" wrap="square" lIns="91440" tIns="45720" rIns="91440" bIns="45720" anchor="ctr" anchorCtr="0" upright="1">
                          <a:noAutofit/>
                        </wps:bodyPr>
                      </wps:wsp>
                      <wps:wsp>
                        <wps:cNvPr id="157" name="矩形 83"/>
                        <wps:cNvSpPr>
                          <a:spLocks noChangeArrowheads="1"/>
                        </wps:cNvSpPr>
                        <wps:spPr bwMode="auto">
                          <a:xfrm>
                            <a:off x="4244340" y="3305810"/>
                            <a:ext cx="1029970" cy="550545"/>
                          </a:xfrm>
                          <a:prstGeom prst="rect">
                            <a:avLst/>
                          </a:prstGeom>
                          <a:noFill/>
                          <a:ln w="12700" cmpd="sng">
                            <a:solidFill>
                              <a:srgbClr val="000000"/>
                            </a:solidFill>
                            <a:miter lim="800000"/>
                          </a:ln>
                          <a:effectLst/>
                        </wps:spPr>
                        <wps:txbx>
                          <w:txbxContent>
                            <w:p w14:paraId="5B383320">
                              <w:pPr>
                                <w:jc w:val="center"/>
                                <w:rPr>
                                  <w:rFonts w:hint="default" w:ascii="Calibri" w:hAnsi="Calibri" w:eastAsiaTheme="minorEastAsia"/>
                                  <w:color w:val="000000"/>
                                  <w:lang w:val="en-US" w:eastAsia="zh-CN"/>
                                </w:rPr>
                              </w:pPr>
                              <w:r>
                                <w:rPr>
                                  <w:rFonts w:hint="eastAsia" w:ascii="Calibri" w:hAnsi="Calibri"/>
                                  <w:color w:val="000000"/>
                                  <w:lang w:val="en-US" w:eastAsia="zh-CN"/>
                                </w:rPr>
                                <w:t>高新区工业污水处理厂</w:t>
                              </w:r>
                            </w:p>
                          </w:txbxContent>
                        </wps:txbx>
                        <wps:bodyPr rot="0" vert="horz" wrap="square" lIns="91440" tIns="45720" rIns="91440" bIns="45720" anchor="ctr" anchorCtr="0" upright="1">
                          <a:noAutofit/>
                        </wps:bodyPr>
                      </wps:wsp>
                    </wpc:wpc>
                  </a:graphicData>
                </a:graphic>
              </wp:inline>
            </w:drawing>
          </mc:Choice>
          <mc:Fallback>
            <w:pict>
              <v:group id="画布 102" o:spid="_x0000_s1026" o:spt="203" style="height:308.45pt;width:415.3pt;" coordsize="5274310,3917315" editas="canvas" o:gfxdata="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">
                <o:lock v:ext="edit" aspectratio="f"/>
                <v:shape id="画布 102" o:spid="_x0000_s1026" style="position:absolute;left:0;top:0;height:3917315;width:5274310;" filled="f" stroked="f" coordsize="21600,21600" o:gfxdata="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">
                  <v:fill on="f" focussize="0,0"/>
                  <v:stroke on="f"/>
                  <v:imagedata o:title=""/>
                  <o:lock v:ext="edit" aspectratio="f"/>
                </v:shape>
                <v:line id="直接连接符 4" o:spid="_x0000_s1026" o:spt="20" style="position:absolute;left:125730;top:1550035;height:2540;width:580390;" filled="f" stroked="t" coordsize="21600,21600" o:gfxdata="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D5W&#10;77DVAAAABQEAAA8AAAAAAAAAAQAgAAAAIgAAAGRycy9kb3ducmV2LnhtbFBLAQIUABQAAAAIAIdO&#10;4kBXMImvJgIAABQEAAAOAAAAAAAAAAEAIAAAACQBAABkcnMvZTJvRG9jLnhtbFBLBQYAAAAABgAG&#10;AFkBAAC8BQAAAAA=&#10;">
                  <v:fill on="f" focussize="0,0"/>
                  <v:stroke weight="0.5pt" color="#000000" miterlimit="8" joinstyle="miter" endarrow="block"/>
                  <v:imagedata o:title=""/>
                  <o:lock v:ext="edit" aspectratio="f"/>
                </v:line>
                <v:line id="直接连接符 11" o:spid="_x0000_s1026" o:spt="20" style="position:absolute;left:1433830;top:1595120;flip:x y;height:337820;width:2540;" filled="f" stroked="t" coordsize="21600,21600" o:gfxdata="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JXgaXbVAAAABQEAAA8AAAAA&#10;AAAAAQAgAAAAIgAAAGRycy9kb3ducmV2LnhtbFBLAQIUABQAAAAIAIdO4kCPopigFwIAAPwDAAAO&#10;AAAAAAAAAAEAIAAAACQBAABkcnMvZTJvRG9jLnhtbFBLBQYAAAAABgAGAFkBAACtBQAAAAA=&#10;">
                  <v:fill on="f" focussize="0,0"/>
                  <v:stroke weight="0.5pt" color="#000000" miterlimit="8" joinstyle="miter"/>
                  <v:imagedata o:title=""/>
                  <o:lock v:ext="edit" aspectratio="f"/>
                </v:line>
                <v:rect id="矩形 28" o:spid="_x0000_s1026" o:spt="1" style="position:absolute;left:2034540;top:1788795;height:294640;width:1349375;v-text-anchor:middle;" filled="f" stroked="f" coordsize="21600,21600" o:gfxdata="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BeHD89EA&#10;AAAFAQAADwAAAAAAAAABACAAAAAiAAAAZHJzL2Rvd25yZXYueG1sUEsBAhQAFAAAAAgAh07iQO5A&#10;RekmAgAALQQAAA4AAAAAAAAAAQAgAAAAIAEAAGRycy9lMm9Eb2MueG1sUEsFBgAAAAAGAAYAWQEA&#10;ALgFAAAAAA==&#10;">
                  <v:fill on="f" focussize="0,0"/>
                  <v:stroke on="f"/>
                  <v:imagedata o:title=""/>
                  <o:lock v:ext="edit" aspectratio="f"/>
                  <v:textbox>
                    <w:txbxContent>
                      <w:p w14:paraId="3776A3E6">
                        <w:pPr>
                          <w:jc w:val="center"/>
                          <w:rPr>
                            <w:rFonts w:hint="default" w:eastAsiaTheme="minorEastAsia"/>
                            <w:color w:val="000000"/>
                            <w:lang w:val="en-US" w:eastAsia="zh-CN"/>
                          </w:rPr>
                        </w:pPr>
                        <w:r>
                          <w:rPr>
                            <w:rFonts w:hint="eastAsia"/>
                            <w:color w:val="000000"/>
                            <w:lang w:val="en-US" w:eastAsia="zh-CN"/>
                          </w:rPr>
                          <w:t>绿化用水4109.869</w:t>
                        </w:r>
                      </w:p>
                    </w:txbxContent>
                  </v:textbox>
                </v:rect>
                <v:shape id="曲线连接符 68" o:spid="_x0000_s1026" o:spt="38" type="#_x0000_t38" style="position:absolute;left:2123440;top:2355850;flip:y;height:156845;width:266700;" filled="f" stroked="t" coordsize="21600,21600" o:gfxdata="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tHL1AdUAAAAFAQAADwAA&#10;AAAAAAABACAAAAAiAAAAZHJzL2Rvd25yZXYueG1sUEsBAhQAFAAAAAgAh07iQGPyC2VSAgAAWwQA&#10;AA4AAAAAAAAAAQAgAAAAJAEAAGRycy9lMm9Eb2MueG1sUEsFBgAAAAAGAAYAWQEAAOgFAAAAAA==&#10;" adj="10851">
                  <v:fill on="f" focussize="0,0"/>
                  <v:stroke weight="0.5pt" color="#000000" miterlimit="8" joinstyle="miter" endarrow="block"/>
                  <v:imagedata o:title=""/>
                  <o:lock v:ext="edit" aspectratio="f"/>
                </v:shape>
                <v:rect id="矩形 69" o:spid="_x0000_s1026" o:spt="1" style="position:absolute;left:2285365;top:2118360;height:299085;width:982345;v-text-anchor:middle;" filled="f" stroked="f" coordsize="21600,21600" o:gfxdata="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BeHD89EAAAAF&#10;AQAADwAAAAAAAAABACAAAAAiAAAAZHJzL2Rvd25yZXYueG1sUEsBAhQAFAAAAAgAh07iQJa14Ygj&#10;AgAALAQAAA4AAAAAAAAAAQAgAAAAIAEAAGRycy9lMm9Eb2MueG1sUEsFBgAAAAAGAAYAWQEAALUF&#10;AAAAAA==&#10;">
                  <v:fill on="f" focussize="0,0"/>
                  <v:stroke on="f"/>
                  <v:imagedata o:title=""/>
                  <o:lock v:ext="edit" aspectratio="f"/>
                  <v:textbox>
                    <w:txbxContent>
                      <w:p w14:paraId="49BF0381">
                        <w:pPr>
                          <w:jc w:val="center"/>
                          <w:rPr>
                            <w:rFonts w:hint="default" w:eastAsiaTheme="minorEastAsia"/>
                            <w:color w:val="000000"/>
                            <w:lang w:val="en-US" w:eastAsia="zh-CN"/>
                          </w:rPr>
                        </w:pPr>
                        <w:r>
                          <w:rPr>
                            <w:rFonts w:hint="eastAsia"/>
                            <w:color w:val="000000"/>
                          </w:rPr>
                          <w:t>损耗</w:t>
                        </w:r>
                        <w:r>
                          <w:rPr>
                            <w:rFonts w:hint="eastAsia"/>
                            <w:color w:val="000000"/>
                            <w:lang w:val="en-US" w:eastAsia="zh-CN"/>
                          </w:rPr>
                          <w:t>1192.23</w:t>
                        </w:r>
                      </w:p>
                    </w:txbxContent>
                  </v:textbox>
                </v:rect>
                <v:rect id="矩形 83" o:spid="_x0000_s1026" o:spt="1" style="position:absolute;left:4398645;top:1259205;height:490220;width:875665;v-text-anchor:middle;" filled="f" stroked="t" coordsize="21600,21600" o:gfxdata="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HrZBI7VAAAABQEAAA8A&#10;AAAAAAAAAQAgAAAAIgAAAGRycy9kb3ducmV2LnhtbFBLAQIUABQAAAAIAIdO4kDJd1T3UwIAAIIE&#10;AAAOAAAAAAAAAAEAIAAAACQBAABkcnMvZTJvRG9jLnhtbFBLBQYAAAAABgAGAFkBAADpBQAAAAA=&#10;">
                  <v:fill on="f" focussize="0,0"/>
                  <v:stroke weight="1pt" color="#000000" miterlimit="8" joinstyle="miter"/>
                  <v:imagedata o:title=""/>
                  <o:lock v:ext="edit" aspectratio="f"/>
                  <v:textbox>
                    <w:txbxContent>
                      <w:p w14:paraId="6BCBBA85">
                        <w:pPr>
                          <w:jc w:val="center"/>
                          <w:rPr>
                            <w:rFonts w:ascii="Calibri" w:hAnsi="Calibri"/>
                            <w:color w:val="000000"/>
                          </w:rPr>
                        </w:pPr>
                        <w:r>
                          <w:rPr>
                            <w:rFonts w:hint="eastAsia" w:ascii="Calibri" w:hAnsi="Calibri"/>
                            <w:color w:val="000000"/>
                          </w:rPr>
                          <w:t>企业自建污水处理站</w:t>
                        </w:r>
                      </w:p>
                    </w:txbxContent>
                  </v:textbox>
                </v:rect>
                <v:line id="直接连接符 84" o:spid="_x0000_s1026" o:spt="20" style="position:absolute;left:4959350;top:1811020;height:1432560;width:4445;" filled="f" stroked="t" coordsize="21600,21600" o:gfxdata="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Plbv&#10;sNUAAAAFAQAADwAAAAAAAAABACAAAAAiAAAAZHJzL2Rvd25yZXYueG1sUEsBAhQAFAAAAAgAh07i&#10;QOtQUyMlAgAAFwQAAA4AAAAAAAAAAQAgAAAAJAEAAGRycy9lMm9Eb2MueG1sUEsFBgAAAAAGAAYA&#10;WQEAALsFAAAAAA==&#10;">
                  <v:fill on="f" focussize="0,0"/>
                  <v:stroke weight="0.5pt" color="#000000" miterlimit="8" joinstyle="miter" endarrow="block"/>
                  <v:imagedata o:title=""/>
                  <o:lock v:ext="edit" aspectratio="f"/>
                </v:line>
                <v:rect id="矩形 2" o:spid="_x0000_s1026" o:spt="1" style="position:absolute;left:1738630;top:465455;height:294640;width:777875;v-text-anchor:middle;" filled="f" stroked="t" coordsize="21600,21600" o:gfxdata="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B62QSO1QAAAAUBAAAPAAAAAAAA&#10;AAEAIAAAACIAAABkcnMvZG93bnJldi54bWxQSwECFAAUAAAACACHTuJA0xsIuE4CAAB4BAAADgAA&#10;AAAAAAABACAAAAAkAQAAZHJzL2Uyb0RvYy54bWxQSwUGAAAAAAYABgBZAQAA5AUAAAAA&#10;">
                  <v:fill on="f" focussize="0,0"/>
                  <v:stroke weight="1pt" color="#000000" miterlimit="8" joinstyle="miter"/>
                  <v:imagedata o:title=""/>
                  <o:lock v:ext="edit" aspectratio="f"/>
                  <v:textbox>
                    <w:txbxContent>
                      <w:p w14:paraId="7FC04CE5">
                        <w:pPr>
                          <w:jc w:val="center"/>
                          <w:rPr>
                            <w:rFonts w:hint="default" w:ascii="Calibri" w:hAnsi="Calibri" w:eastAsiaTheme="minorEastAsia"/>
                            <w:color w:val="000000"/>
                            <w:lang w:val="en-US" w:eastAsia="zh-CN"/>
                          </w:rPr>
                        </w:pPr>
                        <w:r>
                          <w:rPr>
                            <w:rFonts w:hint="eastAsia" w:ascii="Calibri" w:hAnsi="Calibri"/>
                            <w:color w:val="000000"/>
                            <w:lang w:val="en-US" w:eastAsia="zh-CN"/>
                          </w:rPr>
                          <w:t>生活用水</w:t>
                        </w:r>
                      </w:p>
                    </w:txbxContent>
                  </v:textbox>
                </v:rect>
                <v:line id="直接连接符 11" o:spid="_x0000_s1026" o:spt="20" style="position:absolute;left:706120;top:626110;height:0;width:1036955;" filled="f" stroked="t" coordsize="21600,21600" o:gfxdata="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YQ2g10wAAAAUBAAAPAAAAAAAAAAEAIAAAACIAAABkcnMvZG93bnJl&#10;di54bWxQSwECFAAUAAAACACHTuJAqgIrHwICAADcAwAADgAAAAAAAAABACAAAAAiAQAAZHJzL2Uy&#10;b0RvYy54bWxQSwUGAAAAAAYABgBZAQAAlgUAAAAA&#10;">
                  <v:fill on="f" focussize="0,0"/>
                  <v:stroke weight="0.5pt" color="#000000" miterlimit="8" joinstyle="miter"/>
                  <v:imagedata o:title=""/>
                  <o:lock v:ext="edit" aspectratio="f"/>
                </v:line>
                <v:rect id="矩形 28" o:spid="_x0000_s1026" o:spt="1" style="position:absolute;left:897890;top:317500;height:294640;width:692150;v-text-anchor:middle;" filled="f" stroked="f" coordsize="21600,21600" o:gfxdata="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BeHD89EAAAAFAQAADwAA&#10;AAAAAAABACAAAAAiAAAAZHJzL2Rvd25yZXYueG1sUEsBAhQAFAAAAAgAh07iQDvooMsdAgAAIwQA&#10;AA4AAAAAAAAAAQAgAAAAIAEAAGRycy9lMm9Eb2MueG1sUEsFBgAAAAAGAAYAWQEAAK8FAAAAAA==&#10;">
                  <v:fill on="f" focussize="0,0"/>
                  <v:stroke on="f"/>
                  <v:imagedata o:title=""/>
                  <o:lock v:ext="edit" aspectratio="f"/>
                  <v:textbox>
                    <w:txbxContent>
                      <w:p w14:paraId="6641E420">
                        <w:pPr>
                          <w:jc w:val="center"/>
                          <w:rPr>
                            <w:rFonts w:hint="default" w:eastAsiaTheme="minorEastAsia"/>
                            <w:color w:val="000000"/>
                            <w:lang w:val="en-US" w:eastAsia="zh-CN"/>
                          </w:rPr>
                        </w:pPr>
                        <w:r>
                          <w:rPr>
                            <w:rFonts w:hint="eastAsia"/>
                            <w:color w:val="000000"/>
                            <w:lang w:val="en-US" w:eastAsia="zh-CN"/>
                          </w:rPr>
                          <w:t>7266</w:t>
                        </w:r>
                      </w:p>
                    </w:txbxContent>
                  </v:textbox>
                </v:rect>
                <v:shape id="曲线连接符 68" o:spid="_x0000_s1026" o:spt="38" type="#_x0000_t38" style="position:absolute;left:2058670;top:318135;flip:y;height:156845;width:266700;" filled="f" stroked="t" coordsize="21600,21600" o:gfxdata="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LRy9QHVAAAABQEAAA8AAAAAAAAA&#10;AQAgAAAAIgAAAGRycy9kb3ducmV2LnhtbFBLAQIUABQAAAAIAIdO4kA6s7AfTQIAAFIEAAAOAAAA&#10;AAAAAAEAIAAAACQBAABkcnMvZTJvRG9jLnhtbFBLBQYAAAAABgAGAFkBAADjBQAAAAA=&#10;" adj="10851">
                  <v:fill on="f" focussize="0,0"/>
                  <v:stroke weight="0.5pt" color="#000000" miterlimit="8" joinstyle="miter" endarrow="block"/>
                  <v:imagedata o:title=""/>
                  <o:lock v:ext="edit" aspectratio="f"/>
                </v:shape>
                <v:rect id="矩形 69" o:spid="_x0000_s1026" o:spt="1" style="position:absolute;left:2362200;top:24130;height:299085;width:852805;v-text-anchor:middle;" filled="f" stroked="f" coordsize="21600,21600" o:gfxdata="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BeHD89EAAAAFAQAADwAA&#10;AAAAAAABACAAAAAiAAAAZHJzL2Rvd25yZXYueG1sUEsBAhQAFAAAAAgAh07iQAmjYngdAgAAJAQA&#10;AA4AAAAAAAAAAQAgAAAAIAEAAGRycy9lMm9Eb2MueG1sUEsFBgAAAAAGAAYAWQEAAK8FAAAAAA==&#10;">
                  <v:fill on="f" focussize="0,0"/>
                  <v:stroke on="f"/>
                  <v:imagedata o:title=""/>
                  <o:lock v:ext="edit" aspectratio="f"/>
                  <v:textbox>
                    <w:txbxContent>
                      <w:p w14:paraId="50F74D27">
                        <w:pPr>
                          <w:jc w:val="center"/>
                          <w:rPr>
                            <w:rFonts w:hint="default" w:eastAsiaTheme="minorEastAsia"/>
                            <w:color w:val="000000"/>
                            <w:lang w:val="en-US" w:eastAsia="zh-CN"/>
                          </w:rPr>
                        </w:pPr>
                        <w:r>
                          <w:rPr>
                            <w:rFonts w:hint="eastAsia"/>
                            <w:color w:val="000000"/>
                          </w:rPr>
                          <w:t>损耗</w:t>
                        </w:r>
                        <w:r>
                          <w:rPr>
                            <w:rFonts w:hint="eastAsia"/>
                            <w:color w:val="000000"/>
                            <w:lang w:val="en-US" w:eastAsia="zh-CN"/>
                          </w:rPr>
                          <w:t>1453.2</w:t>
                        </w:r>
                      </w:p>
                    </w:txbxContent>
                  </v:textbox>
                </v:rect>
                <v:line id="直接连接符 4" o:spid="_x0000_s1026" o:spt="20" style="position:absolute;left:2517775;top:651510;flip:y;height:4445;width:630555;" filled="f" stroked="t" coordsize="21600,21600" o:gfxdata="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C&#10;5Qcm1wAAAAUBAAAPAAAAAAAAAAEAIAAAACIAAABkcnMvZG93bnJldi54bWxQSwECFAAUAAAACACH&#10;TuJAihpp5CUCAAAXBAAADgAAAAAAAAABACAAAAAmAQAAZHJzL2Uyb0RvYy54bWxQSwUGAAAAAAYA&#10;BgBZAQAAvQUAAAAA&#10;">
                  <v:fill on="f" focussize="0,0"/>
                  <v:stroke weight="0.5pt" color="#000000" miterlimit="8" joinstyle="miter" endarrow="block"/>
                  <v:imagedata o:title=""/>
                  <o:lock v:ext="edit" aspectratio="f"/>
                </v:line>
                <v:rect id="矩形 2" o:spid="_x0000_s1026" o:spt="1" style="position:absolute;left:3158490;top:482600;height:294640;width:1079500;v-text-anchor:middle;" filled="f" stroked="t" coordsize="21600,21600" o:gfxdata="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etkEjtUAAAAFAQAADwAAAAAAAAAB&#10;ACAAAAAiAAAAZHJzL2Rvd25yZXYueG1sUEsBAhQAFAAAAAgAh07iQFDcPvhMAgAAegQAAA4AAAAA&#10;AAAAAQAgAAAAJAEAAGRycy9lMm9Eb2MueG1sUEsFBgAAAAAGAAYAWQEAAOIFAAAAAA==&#10;">
                  <v:fill on="f" focussize="0,0"/>
                  <v:stroke weight="1pt" color="#000000" miterlimit="8" joinstyle="miter"/>
                  <v:imagedata o:title=""/>
                  <o:lock v:ext="edit" aspectratio="f"/>
                  <v:textbox>
                    <w:txbxContent>
                      <w:p w14:paraId="5A2A8C62">
                        <w:pPr>
                          <w:jc w:val="center"/>
                          <w:rPr>
                            <w:rFonts w:hint="default" w:ascii="Calibri" w:hAnsi="Calibri" w:eastAsiaTheme="minorEastAsia"/>
                            <w:color w:val="000000"/>
                            <w:lang w:val="en-US" w:eastAsia="zh-CN"/>
                          </w:rPr>
                        </w:pPr>
                        <w:r>
                          <w:rPr>
                            <w:rFonts w:hint="eastAsia" w:ascii="Calibri" w:hAnsi="Calibri"/>
                            <w:color w:val="000000"/>
                            <w:lang w:val="en-US" w:eastAsia="zh-CN"/>
                          </w:rPr>
                          <w:t>隔油池+化粪池</w:t>
                        </w:r>
                      </w:p>
                    </w:txbxContent>
                  </v:textbox>
                </v:rect>
                <v:rect id="矩形 28" o:spid="_x0000_s1026" o:spt="1" style="position:absolute;left:2517140;top:344170;height:294640;width:692150;v-text-anchor:middle;" filled="f" stroked="f" coordsize="21600,21600" o:gfxdata="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BeHD89EAAAAFAQAADwAA&#10;AAAAAAABACAAAAAiAAAAZHJzL2Rvd25yZXYueG1sUEsBAhQAFAAAAAgAh07iQI5SwdMdAgAAJQQA&#10;AA4AAAAAAAAAAQAgAAAAIAEAAGRycy9lMm9Eb2MueG1sUEsFBgAAAAAGAAYAWQEAAK8FAAAAAA==&#10;">
                  <v:fill on="f" focussize="0,0"/>
                  <v:stroke on="f"/>
                  <v:imagedata o:title=""/>
                  <o:lock v:ext="edit" aspectratio="f"/>
                  <v:textbox>
                    <w:txbxContent>
                      <w:p w14:paraId="2E0ED59B">
                        <w:pPr>
                          <w:jc w:val="center"/>
                          <w:rPr>
                            <w:rFonts w:hint="default" w:eastAsiaTheme="minorEastAsia"/>
                            <w:color w:val="000000"/>
                            <w:lang w:val="en-US" w:eastAsia="zh-CN"/>
                          </w:rPr>
                        </w:pPr>
                        <w:r>
                          <w:rPr>
                            <w:rFonts w:hint="eastAsia"/>
                            <w:color w:val="000000"/>
                            <w:lang w:val="en-US" w:eastAsia="zh-CN"/>
                          </w:rPr>
                          <w:t>5812.8</w:t>
                        </w:r>
                      </w:p>
                    </w:txbxContent>
                  </v:textbox>
                </v:rect>
                <v:rect id="矩形 2" o:spid="_x0000_s1026" o:spt="1" style="position:absolute;left:907415;top:1270635;height:294640;width:1140460;v-text-anchor:middle;" filled="f" stroked="t" coordsize="21600,21600" o:gfxdata="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etkEjtUAAAAFAQAADwAAAAAAAAAB&#10;ACAAAAAiAAAAZHJzL2Rvd25yZXYueG1sUEsBAhQAFAAAAAgAh07iQGR44OtMAgAAegQAAA4AAAAA&#10;AAAAAQAgAAAAJAEAAGRycy9lMm9Eb2MueG1sUEsFBgAAAAAGAAYAWQEAAOIFAAAAAA==&#10;">
                  <v:fill on="f" focussize="0,0"/>
                  <v:stroke weight="1pt" color="#000000" miterlimit="8" joinstyle="miter"/>
                  <v:imagedata o:title=""/>
                  <o:lock v:ext="edit" aspectratio="f"/>
                  <v:textbox>
                    <w:txbxContent>
                      <w:p w14:paraId="67B77C65">
                        <w:pPr>
                          <w:jc w:val="center"/>
                          <w:rPr>
                            <w:rFonts w:hint="default" w:ascii="Calibri" w:hAnsi="Calibri" w:eastAsiaTheme="minorEastAsia"/>
                            <w:color w:val="000000"/>
                            <w:lang w:val="en-US" w:eastAsia="zh-CN"/>
                          </w:rPr>
                        </w:pPr>
                        <w:r>
                          <w:rPr>
                            <w:rFonts w:hint="eastAsia" w:ascii="Calibri" w:hAnsi="Calibri"/>
                            <w:color w:val="000000"/>
                            <w:lang w:val="en-US" w:eastAsia="zh-CN"/>
                          </w:rPr>
                          <w:t>冷凝水4184.869</w:t>
                        </w:r>
                      </w:p>
                    </w:txbxContent>
                  </v:textbox>
                </v:rect>
                <v:line id="直接连接符 11" o:spid="_x0000_s1026" o:spt="20" style="position:absolute;left:4542155;top:1751330;flip:y;height:929005;width:0;" filled="f" stroked="t" coordsize="21600,21600" o:gfxdata="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z16nAtUAAAAFAQAADwAAAAAAAAABACAAAAAiAAAA&#10;ZHJzL2Rvd25yZXYueG1sUEsBAhQAFAAAAAgAh07iQOdFQAwKAgAA6AMAAA4AAAAAAAAAAQAgAAAA&#10;JAEAAGRycy9lMm9Eb2MueG1sUEsFBgAAAAAGAAYAWQEAAKAFAAAAAA==&#10;">
                  <v:fill on="f" focussize="0,0"/>
                  <v:stroke weight="0.5pt" color="#000000" miterlimit="8" joinstyle="miter"/>
                  <v:imagedata o:title=""/>
                  <o:lock v:ext="edit" aspectratio="f"/>
                </v:line>
                <v:line id="直接连接符 4" o:spid="_x0000_s1026" o:spt="20" style="position:absolute;left:2058670;top:1417955;flip:y;height:4445;width:630555;" filled="f" stroked="t" coordsize="21600,21600" o:gfxdata="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wuUHJtcAAAAFAQAADwAAAAAAAAABACAAAAAiAAAAZHJzL2Rvd25yZXYueG1sUEsBAhQAFAAAAAgA&#10;h07iQCP3TusmAgAAGAQAAA4AAAAAAAAAAQAgAAAAJgEAAGRycy9lMm9Eb2MueG1sUEsFBgAAAAAG&#10;AAYAWQEAAL4FAAAAAA==&#10;">
                  <v:fill on="f" focussize="0,0"/>
                  <v:stroke weight="0.5pt" color="#000000" miterlimit="8" joinstyle="miter" endarrow="block"/>
                  <v:imagedata o:title=""/>
                  <o:lock v:ext="edit" aspectratio="f"/>
                </v:line>
                <v:rect id="矩形 2" o:spid="_x0000_s1026" o:spt="1" style="position:absolute;left:2699385;top:1296670;height:294640;width:1055370;v-text-anchor:middle;" filled="f" stroked="t" coordsize="21600,21600" o:gfxdata="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HrZBI7VAAAABQEAAA8AAAAAAAAA&#10;AQAgAAAAIgAAAGRycy9kb3ducmV2LnhtbFBLAQIUABQAAAAIAIdO4kAq/f/5TQIAAHsEAAAOAAAA&#10;AAAAAAEAIAAAACQBAABkcnMvZTJvRG9jLnhtbFBLBQYAAAAABgAGAFkBAADjBQAAAAA=&#10;">
                  <v:fill on="f" focussize="0,0"/>
                  <v:stroke weight="1pt" color="#000000" miterlimit="8" joinstyle="miter"/>
                  <v:imagedata o:title=""/>
                  <o:lock v:ext="edit" aspectratio="f"/>
                  <v:textbox>
                    <w:txbxContent>
                      <w:p w14:paraId="2A2210B4">
                        <w:pPr>
                          <w:jc w:val="center"/>
                          <w:rPr>
                            <w:rFonts w:hint="default" w:ascii="Calibri" w:hAnsi="Calibri" w:eastAsiaTheme="minorEastAsia"/>
                            <w:color w:val="000000"/>
                            <w:lang w:val="en-US" w:eastAsia="zh-CN"/>
                          </w:rPr>
                        </w:pPr>
                        <w:r>
                          <w:rPr>
                            <w:rFonts w:hint="eastAsia" w:ascii="Calibri" w:hAnsi="Calibri"/>
                            <w:color w:val="000000"/>
                            <w:lang w:val="en-US" w:eastAsia="zh-CN"/>
                          </w:rPr>
                          <w:t>废气处理用水</w:t>
                        </w:r>
                      </w:p>
                    </w:txbxContent>
                  </v:textbox>
                </v:rect>
                <v:shape id="曲线连接符 68" o:spid="_x0000_s1026" o:spt="38" type="#_x0000_t38" style="position:absolute;left:3106420;top:1141095;flip:y;height:156845;width:266700;" filled="f" stroked="t" coordsize="21600,21600" o:gfxdata="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C0cvUB1QAAAAUBAAAPAAAAAAAA&#10;AAEAIAAAACIAAABkcnMvZG93bnJldi54bWxQSwECFAAUAAAACACHTuJA1CU5o04CAABUBAAADgAA&#10;AAAAAAABACAAAAAkAQAAZHJzL2Uyb0RvYy54bWxQSwUGAAAAAAYABgBZAQAA5AUAAAAA&#10;" adj="10851">
                  <v:fill on="f" focussize="0,0"/>
                  <v:stroke weight="0.5pt" color="#000000" miterlimit="8" joinstyle="miter" endarrow="block"/>
                  <v:imagedata o:title=""/>
                  <o:lock v:ext="edit" aspectratio="f"/>
                </v:shape>
                <v:rect id="矩形 69" o:spid="_x0000_s1026" o:spt="1" style="position:absolute;left:3244850;top:924560;height:299085;width:852805;v-text-anchor:middle;" filled="f" stroked="f" coordsize="21600,21600" o:gfxdata="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BeHD89EAAAAFAQAA&#10;DwAAAAAAAAABACAAAAAiAAAAZHJzL2Rvd25yZXYueG1sUEsBAhQAFAAAAAgAh07iQAchfG8gAgAA&#10;JQQAAA4AAAAAAAAAAQAgAAAAIAEAAGRycy9lMm9Eb2MueG1sUEsFBgAAAAAGAAYAWQEAALIFAAAA&#10;AA==&#10;">
                  <v:fill on="f" focussize="0,0"/>
                  <v:stroke on="f"/>
                  <v:imagedata o:title=""/>
                  <o:lock v:ext="edit" aspectratio="f"/>
                  <v:textbox>
                    <w:txbxContent>
                      <w:p w14:paraId="633562C2">
                        <w:pPr>
                          <w:jc w:val="center"/>
                          <w:rPr>
                            <w:rFonts w:hint="default" w:eastAsiaTheme="minorEastAsia"/>
                            <w:color w:val="000000"/>
                            <w:lang w:val="en-US" w:eastAsia="zh-CN"/>
                          </w:rPr>
                        </w:pPr>
                        <w:r>
                          <w:rPr>
                            <w:rFonts w:hint="eastAsia"/>
                            <w:color w:val="000000"/>
                          </w:rPr>
                          <w:t>损耗</w:t>
                        </w:r>
                        <w:r>
                          <w:rPr>
                            <w:rFonts w:hint="eastAsia"/>
                            <w:color w:val="000000"/>
                            <w:lang w:val="en-US" w:eastAsia="zh-CN"/>
                          </w:rPr>
                          <w:t>15</w:t>
                        </w:r>
                      </w:p>
                    </w:txbxContent>
                  </v:textbox>
                </v:rect>
                <v:rect id="矩形 2" o:spid="_x0000_s1026" o:spt="1" style="position:absolute;left:1859915;top:2508885;height:294640;width:822325;v-text-anchor:middle;" filled="f" stroked="t" coordsize="21600,21600" o:gfxdata="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HrZBI7VAAAABQEAAA8AAAAAAAAA&#10;AQAgAAAAIgAAAGRycy9kb3ducmV2LnhtbFBLAQIUABQAAAAIAIdO4kBaeFnoTQIAAHoEAAAOAAAA&#10;AAAAAAEAIAAAACQBAABkcnMvZTJvRG9jLnhtbFBLBQYAAAAABgAGAFkBAADjBQAAAAA=&#10;">
                  <v:fill on="f" focussize="0,0"/>
                  <v:stroke weight="1pt" color="#000000" miterlimit="8" joinstyle="miter"/>
                  <v:imagedata o:title=""/>
                  <o:lock v:ext="edit" aspectratio="f"/>
                  <v:textbox>
                    <w:txbxContent>
                      <w:p w14:paraId="41D8AC4E">
                        <w:pPr>
                          <w:jc w:val="center"/>
                          <w:rPr>
                            <w:rFonts w:hint="default" w:ascii="Calibri" w:hAnsi="Calibri" w:eastAsiaTheme="minorEastAsia"/>
                            <w:color w:val="000000"/>
                            <w:lang w:val="en-US" w:eastAsia="zh-CN"/>
                          </w:rPr>
                        </w:pPr>
                        <w:r>
                          <w:rPr>
                            <w:rFonts w:hint="eastAsia" w:ascii="Calibri" w:hAnsi="Calibri"/>
                            <w:color w:val="000000"/>
                            <w:lang w:val="en-US" w:eastAsia="zh-CN"/>
                          </w:rPr>
                          <w:t>生产用水</w:t>
                        </w:r>
                      </w:p>
                    </w:txbxContent>
                  </v:textbox>
                </v:rect>
                <v:line id="直接连接符 11" o:spid="_x0000_s1026" o:spt="20" style="position:absolute;left:706755;top:2635250;flip:y;height:8255;width:1142365;" filled="f" stroked="t" coordsize="21600,21600" o:gfxdata="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z16nAtUAAAAFAQAADwAAAAAAAAABACAAAAAiAAAA&#10;ZHJzL2Rvd25yZXYueG1sUEsBAhQAFAAAAAgAh07iQIoM35YKAgAA6wMAAA4AAAAAAAAAAQAgAAAA&#10;JAEAAGRycy9lMm9Eb2MueG1sUEsFBgAAAAAGAAYAWQEAAKAFAAAAAA==&#10;">
                  <v:fill on="f" focussize="0,0"/>
                  <v:stroke weight="0.5pt" color="#000000" miterlimit="8" joinstyle="miter"/>
                  <v:imagedata o:title=""/>
                  <o:lock v:ext="edit" aspectratio="f"/>
                </v:line>
                <v:line id="直接连接符 4" o:spid="_x0000_s1026" o:spt="20" style="position:absolute;left:1433195;top:1924685;height:6350;width:589280;" filled="f" stroked="t" coordsize="21600,21600" o:gfxdata="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D5W77DVAAAABQEA&#10;AA8AAAAAAAAAAQAgAAAAIgAAAGRycy9kb3ducmV2LnhtbFBLAQIUABQAAAAIAIdO4kDvMVXaHQIA&#10;AA4EAAAOAAAAAAAAAAEAIAAAACQBAABkcnMvZTJvRG9jLnhtbFBLBQYAAAAABgAGAFkBAACzBQAA&#10;AAA=&#10;">
                  <v:fill on="f" focussize="0,0"/>
                  <v:stroke weight="0.5pt" color="#000000" miterlimit="8" joinstyle="miter" endarrow="block"/>
                  <v:imagedata o:title=""/>
                  <o:lock v:ext="edit" aspectratio="f"/>
                </v:line>
                <v:rect id="矩形 28" o:spid="_x0000_s1026" o:spt="1" style="position:absolute;left:958850;top:2309495;height:294640;width:692150;v-text-anchor:middle;" filled="f" stroked="f" coordsize="21600,21600" o:gfxdata="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F4cPz0QAAAAUBAAAP&#10;AAAAAAAAAAEAIAAAACIAAABkcnMvZG93bnJldi54bWxQSwECFAAUAAAACACHTuJA8yht8x8CAAAl&#10;BAAADgAAAAAAAAABACAAAAAgAQAAZHJzL2Uyb0RvYy54bWxQSwUGAAAAAAYABgBZAQAAsQUAAAAA&#10;">
                  <v:fill on="f" focussize="0,0"/>
                  <v:stroke on="f"/>
                  <v:imagedata o:title=""/>
                  <o:lock v:ext="edit" aspectratio="f"/>
                  <v:textbox>
                    <w:txbxContent>
                      <w:p w14:paraId="4F13E0A7">
                        <w:pPr>
                          <w:jc w:val="center"/>
                          <w:rPr>
                            <w:rFonts w:hint="default" w:eastAsiaTheme="minorEastAsia"/>
                            <w:color w:val="000000"/>
                            <w:lang w:val="en-US" w:eastAsia="zh-CN"/>
                          </w:rPr>
                        </w:pPr>
                        <w:r>
                          <w:rPr>
                            <w:rFonts w:hint="eastAsia"/>
                            <w:color w:val="000000"/>
                            <w:lang w:val="en-US" w:eastAsia="zh-CN"/>
                          </w:rPr>
                          <w:t>5961.148</w:t>
                        </w:r>
                      </w:p>
                    </w:txbxContent>
                  </v:textbox>
                </v:rect>
                <v:line id="直接连接符 4" o:spid="_x0000_s1026" o:spt="20" style="position:absolute;left:2707640;top:2680335;flip:y;height:1905;width:1851660;" filled="f" stroked="t" coordsize="21600,21600" o:gfxdata="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C5Qcm1wAAAAUBAAAPAAAAAAAAAAEAIAAAACIAAABkcnMvZG93bnJldi54bWxQSwECFAAUAAAA&#10;CACHTuJAIq1WmCgCAAAZBAAADgAAAAAAAAABACAAAAAmAQAAZHJzL2Uyb0RvYy54bWxQSwUGAAAA&#10;AAYABgBZAQAAwAUAAAAA&#10;">
                  <v:fill on="f" focussize="0,0"/>
                  <v:stroke weight="0.5pt" color="#000000" miterlimit="8" joinstyle="miter" endarrow="block"/>
                  <v:imagedata o:title=""/>
                  <o:lock v:ext="edit" aspectratio="f"/>
                </v:line>
                <v:rect id="矩形 28" o:spid="_x0000_s1026" o:spt="1" style="position:absolute;left:3270885;top:2275205;height:294640;width:692150;v-text-anchor:middle;" filled="f" stroked="f" coordsize="21600,21600" o:gfxdata="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AXhw/PRAAAABQEA&#10;AA8AAAAAAAAAAQAgAAAAIgAAAGRycy9kb3ducmV2LnhtbFBLAQIUABQAAAAIAIdO4kAmMsH2IQIA&#10;ACYEAAAOAAAAAAAAAAEAIAAAACABAABkcnMvZTJvRG9jLnhtbFBLBQYAAAAABgAGAFkBAACzBQAA&#10;AAA=&#10;">
                  <v:fill on="f" focussize="0,0"/>
                  <v:stroke on="f"/>
                  <v:imagedata o:title=""/>
                  <o:lock v:ext="edit" aspectratio="f"/>
                  <v:textbox>
                    <w:txbxContent>
                      <w:p w14:paraId="345375FA">
                        <w:pPr>
                          <w:jc w:val="center"/>
                          <w:rPr>
                            <w:rFonts w:hint="default" w:eastAsiaTheme="minorEastAsia"/>
                            <w:color w:val="000000"/>
                            <w:lang w:val="en-US" w:eastAsia="zh-CN"/>
                          </w:rPr>
                        </w:pPr>
                        <w:r>
                          <w:rPr>
                            <w:rFonts w:hint="eastAsia"/>
                            <w:color w:val="000000"/>
                            <w:lang w:val="en-US" w:eastAsia="zh-CN"/>
                          </w:rPr>
                          <w:t>4768.918</w:t>
                        </w:r>
                      </w:p>
                    </w:txbxContent>
                  </v:textbox>
                </v:rect>
                <v:line id="直接连接符 4" o:spid="_x0000_s1026" o:spt="20" style="position:absolute;left:3790315;top:1487170;height:6350;width:589280;" filled="f" stroked="t" coordsize="21600,21600" o:gfxdata="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Vu+w1QAAAAUB&#10;AAAPAAAAAAAAAAEAIAAAACIAAABkcnMvZG93bnJldi54bWxQSwECFAAUAAAACACHTuJAb5WMKx4C&#10;AAAOBAAADgAAAAAAAAABACAAAAAkAQAAZHJzL2Uyb0RvYy54bWxQSwUGAAAAAAYABgBZAQAAtAUA&#10;AAAA&#10;">
                  <v:fill on="f" focussize="0,0"/>
                  <v:stroke weight="0.5pt" color="#000000" miterlimit="8" joinstyle="miter" endarrow="block"/>
                  <v:imagedata o:title=""/>
                  <o:lock v:ext="edit" aspectratio="f"/>
                </v:line>
                <v:rect id="矩形 28" o:spid="_x0000_s1026" o:spt="1" style="position:absolute;left:3755390;top:1166495;height:294640;width:692150;v-text-anchor:middle;" filled="f" stroked="f" coordsize="21600,21600" o:gfxdata="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AXhw/PRAAAABQEA&#10;AA8AAAAAAAAAAQAgAAAAIgAAAGRycy9kb3ducmV2LnhtbFBLAQIUABQAAAAIAIdO4kDu6sivIQIA&#10;ACYEAAAOAAAAAAAAAAEAIAAAACABAABkcnMvZTJvRG9jLnhtbFBLBQYAAAAABgAGAFkBAACzBQAA&#10;AAA=&#10;">
                  <v:fill on="f" focussize="0,0"/>
                  <v:stroke on="f"/>
                  <v:imagedata o:title=""/>
                  <o:lock v:ext="edit" aspectratio="f"/>
                  <v:textbox>
                    <w:txbxContent>
                      <w:p w14:paraId="5D964EC1">
                        <w:pPr>
                          <w:jc w:val="center"/>
                          <w:rPr>
                            <w:rFonts w:hint="default" w:eastAsiaTheme="minorEastAsia"/>
                            <w:color w:val="000000"/>
                            <w:lang w:val="en-US" w:eastAsia="zh-CN"/>
                          </w:rPr>
                        </w:pPr>
                        <w:r>
                          <w:rPr>
                            <w:rFonts w:hint="eastAsia"/>
                            <w:color w:val="000000"/>
                            <w:lang w:val="en-US" w:eastAsia="zh-CN"/>
                          </w:rPr>
                          <w:t>60</w:t>
                        </w:r>
                      </w:p>
                    </w:txbxContent>
                  </v:textbox>
                </v:rect>
                <v:rect id="矩形 28" o:spid="_x0000_s1026" o:spt="1" style="position:absolute;left:2041525;top:1132205;height:294640;width:692150;v-text-anchor:middle;" filled="f" stroked="f" coordsize="21600,21600" o:gfxdata="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F4cPz0QAAAAUBAAAP&#10;AAAAAAAAAAEAIAAAACIAAABkcnMvZG93bnJldi54bWxQSwECFAAUAAAACACHTuJAwIo0cR8CAAAm&#10;BAAADgAAAAAAAAABACAAAAAgAQAAZHJzL2Uyb0RvYy54bWxQSwUGAAAAAAYABgBZAQAAsQUAAAAA&#10;">
                  <v:fill on="f" focussize="0,0"/>
                  <v:stroke on="f"/>
                  <v:imagedata o:title=""/>
                  <o:lock v:ext="edit" aspectratio="f"/>
                  <v:textbox>
                    <w:txbxContent>
                      <w:p w14:paraId="7959D182">
                        <w:pPr>
                          <w:jc w:val="center"/>
                          <w:rPr>
                            <w:rFonts w:hint="default" w:eastAsiaTheme="minorEastAsia"/>
                            <w:color w:val="000000"/>
                            <w:lang w:val="en-US" w:eastAsia="zh-CN"/>
                          </w:rPr>
                        </w:pPr>
                        <w:r>
                          <w:rPr>
                            <w:rFonts w:hint="eastAsia"/>
                            <w:color w:val="000000"/>
                            <w:lang w:val="en-US" w:eastAsia="zh-CN"/>
                          </w:rPr>
                          <w:t>75</w:t>
                        </w:r>
                      </w:p>
                    </w:txbxContent>
                  </v:textbox>
                </v:rect>
                <v:line id="直接连接符 11" o:spid="_x0000_s1026" o:spt="20" style="position:absolute;left:4249420;top:638810;height:6985;width:552450;" filled="f" stroked="t" coordsize="21600,21600" o:gfxdata="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YQ2g10wAAAAUBAAAPAAAAAAAAAAEAIAAAACIAAABkcnMvZG93bnJl&#10;di54bWxQSwECFAAUAAAACACHTuJAzV9bfAICAADgAwAADgAAAAAAAAABACAAAAAiAQAAZHJzL2Uy&#10;b0RvYy54bWxQSwUGAAAAAAYABgBZAQAAlgUAAAAA&#10;">
                  <v:fill on="f" focussize="0,0"/>
                  <v:stroke weight="0.5pt" color="#000000" miterlimit="8" joinstyle="miter"/>
                  <v:imagedata o:title=""/>
                  <o:lock v:ext="edit" aspectratio="f"/>
                </v:line>
                <v:line id="直接连接符 84" o:spid="_x0000_s1026" o:spt="20" style="position:absolute;left:4787265;top:636905;flip:x;height:634365;width:6350;" filled="f" stroked="t" coordsize="21600,21600" o:gfxdata="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wuUH&#10;JtcAAAAFAQAADwAAAAAAAAABACAAAAAiAAAAZHJzL2Rvd25yZXYueG1sUEsBAhQAFAAAAAgAh07i&#10;QLDuTPwjAgAAGAQAAA4AAAAAAAAAAQAgAAAAJgEAAGRycy9lMm9Eb2MueG1sUEsFBgAAAAAGAAYA&#10;WQEAALsFAAAAAA==&#10;">
                  <v:fill on="f" focussize="0,0"/>
                  <v:stroke weight="0.5pt" color="#000000" miterlimit="8" joinstyle="miter" endarrow="block"/>
                  <v:imagedata o:title=""/>
                  <o:lock v:ext="edit" aspectratio="f"/>
                </v:line>
                <v:rect id="矩形 28" o:spid="_x0000_s1026" o:spt="1" style="position:absolute;left:4344670;top:300990;height:294640;width:692150;v-text-anchor:middle;" filled="f" stroked="f" coordsize="21600,21600" o:gfxdata="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F4cPz0QAAAAUBAAAP&#10;AAAAAAAAAAEAIAAAACIAAABkcnMvZG93bnJldi54bWxQSwECFAAUAAAACACHTuJAp9sQIh8CAAAl&#10;BAAADgAAAAAAAAABACAAAAAgAQAAZHJzL2Uyb0RvYy54bWxQSwUGAAAAAAYABgBZAQAAsQUAAAAA&#10;">
                  <v:fill on="f" focussize="0,0"/>
                  <v:stroke on="f"/>
                  <v:imagedata o:title=""/>
                  <o:lock v:ext="edit" aspectratio="f"/>
                  <v:textbox>
                    <w:txbxContent>
                      <w:p w14:paraId="5F016E0D">
                        <w:pPr>
                          <w:jc w:val="center"/>
                          <w:rPr>
                            <w:rFonts w:hint="default" w:eastAsiaTheme="minorEastAsia"/>
                            <w:color w:val="000000"/>
                            <w:lang w:val="en-US" w:eastAsia="zh-CN"/>
                          </w:rPr>
                        </w:pPr>
                        <w:r>
                          <w:rPr>
                            <w:rFonts w:hint="eastAsia"/>
                            <w:color w:val="000000"/>
                            <w:lang w:val="en-US" w:eastAsia="zh-CN"/>
                          </w:rPr>
                          <w:t>5812.8</w:t>
                        </w:r>
                      </w:p>
                    </w:txbxContent>
                  </v:textbox>
                </v:rect>
                <v:rect id="矩形 28" o:spid="_x0000_s1026" o:spt="1" style="position:absolute;left:4145915;top:2889885;height:294640;width:769620;v-text-anchor:middle;" filled="f" stroked="f" coordsize="21600,21600" o:gfxdata="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AXhw/PRAAAABQEA&#10;AA8AAAAAAAAAAQAgAAAAIgAAAGRycy9kb3ducmV2LnhtbFBLAQIUABQAAAAIAIdO4kCUjQv1IQIA&#10;ACYEAAAOAAAAAAAAAAEAIAAAACABAABkcnMvZTJvRG9jLnhtbFBLBQYAAAAABgAGAFkBAACzBQAA&#10;AAA=&#10;">
                  <v:fill on="f" focussize="0,0"/>
                  <v:stroke on="f"/>
                  <v:imagedata o:title=""/>
                  <o:lock v:ext="edit" aspectratio="f"/>
                  <v:textbox>
                    <w:txbxContent>
                      <w:p w14:paraId="44DB097B">
                        <w:pPr>
                          <w:jc w:val="center"/>
                          <w:rPr>
                            <w:rFonts w:hint="default" w:eastAsiaTheme="minorEastAsia"/>
                            <w:color w:val="000000"/>
                            <w:lang w:val="en-US" w:eastAsia="zh-CN"/>
                          </w:rPr>
                        </w:pPr>
                        <w:r>
                          <w:rPr>
                            <w:rFonts w:hint="eastAsia"/>
                            <w:color w:val="000000"/>
                            <w:lang w:val="en-US" w:eastAsia="zh-CN"/>
                          </w:rPr>
                          <w:t>10641.718</w:t>
                        </w:r>
                      </w:p>
                    </w:txbxContent>
                  </v:textbox>
                </v:rect>
                <v:line id="直接连接符 11" o:spid="_x0000_s1026" o:spt="20" style="position:absolute;left:707390;top:629920;flip:x y;height:2021840;width:7620;" filled="f" stroked="t" coordsize="21600,21600" o:gfxdata="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leBpdtUAAAAFAQAADwAAAAAAAAABACAA&#10;AAAiAAAAZHJzL2Rvd25yZXYueG1sUEsBAhQAFAAAAAgAh07iQB1hhUcQAgAA9AMAAA4AAAAAAAAA&#10;AQAgAAAAJAEAAGRycy9lMm9Eb2MueG1sUEsFBgAAAAAGAAYAWQEAAKYFAAAAAA==&#10;">
                  <v:fill on="f" focussize="0,0"/>
                  <v:stroke weight="0.5pt" color="#000000" miterlimit="8" joinstyle="miter"/>
                  <v:imagedata o:title=""/>
                  <o:lock v:ext="edit" aspectratio="f"/>
                </v:line>
                <v:rect id="矩形 28" o:spid="_x0000_s1026" o:spt="1" style="position:absolute;left:0;top:1193165;height:294640;width:795655;v-text-anchor:middle;" filled="f" stroked="f" coordsize="21600,21600" o:gfxdata="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AXhw/PRAAAABQEAAA8AAAAA&#10;AAAAAQAgAAAAIgAAAGRycy9kb3ducmV2LnhtbFBLAQIUABQAAAAIAIdO4kDTmzMpGwIAACAEAAAO&#10;AAAAAAAAAAEAIAAAACABAABkcnMvZTJvRG9jLnhtbFBLBQYAAAAABgAGAFkBAACtBQAAAAA=&#10;">
                  <v:fill on="f" focussize="0,0"/>
                  <v:stroke on="f"/>
                  <v:imagedata o:title=""/>
                  <o:lock v:ext="edit" aspectratio="f"/>
                  <v:textbox>
                    <w:txbxContent>
                      <w:p w14:paraId="68774D59">
                        <w:pPr>
                          <w:jc w:val="center"/>
                          <w:rPr>
                            <w:rFonts w:hint="default" w:eastAsiaTheme="minorEastAsia"/>
                            <w:color w:val="000000"/>
                            <w:lang w:val="en-US" w:eastAsia="zh-CN"/>
                          </w:rPr>
                        </w:pPr>
                        <w:r>
                          <w:rPr>
                            <w:rFonts w:hint="eastAsia"/>
                            <w:color w:val="000000"/>
                            <w:lang w:val="en-US" w:eastAsia="zh-CN"/>
                          </w:rPr>
                          <w:t>13227.148</w:t>
                        </w:r>
                      </w:p>
                    </w:txbxContent>
                  </v:textbox>
                </v:rect>
                <v:rect id="矩形 83" o:spid="_x0000_s1026" o:spt="1" style="position:absolute;left:4244340;top:3305810;height:550545;width:1029970;v-text-anchor:middle;" filled="f" stroked="t" coordsize="21600,21600" o:gfxdata="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HrZBI7VAAAABQEAAA8AAAAAAAAA&#10;AQAgAAAAIgAAAGRycy9kb3ducmV2LnhtbFBLAQIUABQAAAAIAIdO4kAZLgNXTQIAAHwEAAAOAAAA&#10;AAAAAAEAIAAAACQBAABkcnMvZTJvRG9jLnhtbFBLBQYAAAAABgAGAFkBAADjBQAAAAA=&#10;">
                  <v:fill on="f" focussize="0,0"/>
                  <v:stroke weight="1pt" color="#000000" miterlimit="8" joinstyle="miter"/>
                  <v:imagedata o:title=""/>
                  <o:lock v:ext="edit" aspectratio="f"/>
                  <v:textbox>
                    <w:txbxContent>
                      <w:p w14:paraId="5B383320">
                        <w:pPr>
                          <w:jc w:val="center"/>
                          <w:rPr>
                            <w:rFonts w:hint="default" w:ascii="Calibri" w:hAnsi="Calibri" w:eastAsiaTheme="minorEastAsia"/>
                            <w:color w:val="000000"/>
                            <w:lang w:val="en-US" w:eastAsia="zh-CN"/>
                          </w:rPr>
                        </w:pPr>
                        <w:r>
                          <w:rPr>
                            <w:rFonts w:hint="eastAsia" w:ascii="Calibri" w:hAnsi="Calibri"/>
                            <w:color w:val="000000"/>
                            <w:lang w:val="en-US" w:eastAsia="zh-CN"/>
                          </w:rPr>
                          <w:t>高新区工业污水处理厂</w:t>
                        </w:r>
                      </w:p>
                    </w:txbxContent>
                  </v:textbox>
                </v:rect>
                <w10:wrap type="none"/>
                <w10:anchorlock/>
              </v:group>
            </w:pict>
          </mc:Fallback>
        </mc:AlternateContent>
      </w:r>
    </w:p>
    <w:p w14:paraId="71FC2811">
      <w:pPr>
        <w:pStyle w:val="6"/>
        <w:bidi w:val="0"/>
        <w:rPr>
          <w:rFonts w:hint="default"/>
          <w:lang w:val="en-US" w:eastAsia="zh-CN"/>
        </w:rPr>
      </w:pPr>
      <w:r>
        <w:rPr>
          <w:rFonts w:hint="eastAsia"/>
          <w:lang w:val="en-US" w:eastAsia="zh-CN"/>
        </w:rPr>
        <w:t>图 现有工程水平衡 单位：m3/a</w:t>
      </w:r>
    </w:p>
    <w:p w14:paraId="5F0022B8">
      <w:pPr>
        <w:spacing w:line="360" w:lineRule="auto"/>
        <w:ind w:firstLine="482" w:firstLineChars="200"/>
        <w:rPr>
          <w:rFonts w:ascii="Times New Roman" w:hAnsi="Times New Roman" w:eastAsia="宋体" w:cs="Times New Roman"/>
          <w:color w:val="auto"/>
          <w:sz w:val="24"/>
          <w:szCs w:val="24"/>
        </w:rPr>
      </w:pPr>
      <w:r>
        <w:rPr>
          <w:rFonts w:hint="eastAsia" w:ascii="Times New Roman" w:hAnsi="Times New Roman" w:eastAsia="宋体" w:cs="Times New Roman"/>
          <w:b/>
          <w:bCs/>
          <w:color w:val="auto"/>
          <w:sz w:val="24"/>
          <w:szCs w:val="24"/>
          <w:lang w:val="en-US" w:eastAsia="zh-CN"/>
        </w:rPr>
        <w:t>污水处理站处理工艺</w:t>
      </w:r>
    </w:p>
    <w:p w14:paraId="2340C4E3">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企业厂区内建设有一个污水处理站，</w:t>
      </w:r>
      <w:r>
        <w:rPr>
          <w:rFonts w:hint="eastAsia" w:ascii="Times New Roman" w:hAnsi="Times New Roman" w:eastAsia="宋体" w:cs="Times New Roman"/>
          <w:color w:val="auto"/>
          <w:sz w:val="24"/>
          <w:szCs w:val="24"/>
          <w:lang w:val="en-US" w:eastAsia="zh-CN"/>
        </w:rPr>
        <w:t>用于处理</w:t>
      </w:r>
      <w:r>
        <w:rPr>
          <w:rFonts w:hint="eastAsia" w:ascii="Times New Roman" w:hAnsi="Times New Roman" w:eastAsia="宋体" w:cs="Times New Roman"/>
          <w:color w:val="auto"/>
          <w:sz w:val="24"/>
          <w:szCs w:val="24"/>
        </w:rPr>
        <w:t>厂区</w:t>
      </w:r>
      <w:r>
        <w:rPr>
          <w:rFonts w:hint="eastAsia" w:ascii="Times New Roman" w:hAnsi="Times New Roman" w:eastAsia="宋体" w:cs="Times New Roman"/>
          <w:color w:val="auto"/>
          <w:sz w:val="24"/>
          <w:szCs w:val="24"/>
          <w:lang w:val="en-US" w:eastAsia="zh-CN"/>
        </w:rPr>
        <w:t>内</w:t>
      </w:r>
      <w:r>
        <w:rPr>
          <w:rFonts w:hint="eastAsia" w:ascii="Times New Roman" w:hAnsi="Times New Roman" w:eastAsia="宋体" w:cs="Times New Roman"/>
          <w:color w:val="auto"/>
          <w:sz w:val="24"/>
          <w:szCs w:val="24"/>
        </w:rPr>
        <w:t>废水，设计处理能力为</w:t>
      </w:r>
      <w:r>
        <w:rPr>
          <w:rFonts w:hint="eastAsia" w:ascii="Times New Roman" w:hAnsi="Times New Roman" w:eastAsia="宋体" w:cs="Times New Roman"/>
          <w:color w:val="auto"/>
          <w:sz w:val="24"/>
          <w:szCs w:val="24"/>
          <w:lang w:val="en-US" w:eastAsia="zh-CN"/>
        </w:rPr>
        <w:t>800</w:t>
      </w:r>
      <w:r>
        <w:rPr>
          <w:rFonts w:hint="eastAsia" w:ascii="Times New Roman" w:hAnsi="Times New Roman" w:eastAsia="宋体" w:cs="Times New Roman"/>
          <w:color w:val="auto"/>
          <w:sz w:val="24"/>
          <w:szCs w:val="24"/>
          <w:lang w:eastAsia="zh-CN"/>
        </w:rPr>
        <w:t>m</w:t>
      </w:r>
      <w:r>
        <w:rPr>
          <w:rFonts w:hint="eastAsia" w:ascii="Times New Roman" w:hAnsi="Times New Roman" w:eastAsia="宋体" w:cs="Times New Roman"/>
          <w:color w:val="auto"/>
          <w:sz w:val="24"/>
          <w:szCs w:val="24"/>
          <w:vertAlign w:val="superscript"/>
          <w:lang w:eastAsia="zh-CN"/>
        </w:rPr>
        <w:t>3</w:t>
      </w:r>
      <w:r>
        <w:rPr>
          <w:rFonts w:hint="eastAsia" w:ascii="Times New Roman" w:hAnsi="Times New Roman" w:eastAsia="宋体" w:cs="Times New Roman"/>
          <w:color w:val="auto"/>
          <w:sz w:val="24"/>
          <w:szCs w:val="24"/>
        </w:rPr>
        <w:t>/d，污水处理站处理系统采用“物化+厌氧+A/O+气浮”处理工艺，出水经专管排入津市高新区工业污水处理厂，由津市高新区工业污水处理厂深度处理后排至澧水。</w:t>
      </w:r>
    </w:p>
    <w:p w14:paraId="5AEE8190">
      <w:pPr>
        <w:spacing w:line="360" w:lineRule="auto"/>
        <w:ind w:firstLine="480" w:firstLineChars="2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各种废水由专用管道泵入污水站贮存池进行收集，贮存池废水由提升泵泵入物化反应沉淀池，</w:t>
      </w:r>
      <w:r>
        <w:rPr>
          <w:rFonts w:hint="eastAsia" w:ascii="Times New Roman" w:hAnsi="Times New Roman" w:eastAsia="宋体" w:cs="Times New Roman"/>
          <w:color w:val="auto"/>
          <w:sz w:val="24"/>
          <w:szCs w:val="24"/>
          <w:highlight w:val="none"/>
          <w:lang w:val="en-US" w:eastAsia="zh-CN"/>
        </w:rPr>
        <w:t>上清液自流进入一级气浮机二次泥水分离，</w:t>
      </w:r>
      <w:r>
        <w:rPr>
          <w:rFonts w:hint="eastAsia" w:ascii="Times New Roman" w:hAnsi="Times New Roman" w:eastAsia="宋体" w:cs="Times New Roman"/>
          <w:color w:val="auto"/>
          <w:sz w:val="24"/>
          <w:szCs w:val="24"/>
        </w:rPr>
        <w:t>初步去除废水中易沉降的部分SS和少量COD，</w:t>
      </w:r>
      <w:r>
        <w:rPr>
          <w:rFonts w:hint="eastAsia" w:ascii="Times New Roman" w:hAnsi="Times New Roman" w:eastAsia="宋体" w:cs="Times New Roman"/>
          <w:color w:val="auto"/>
          <w:sz w:val="24"/>
          <w:szCs w:val="24"/>
          <w:lang w:val="en-US" w:eastAsia="zh-CN"/>
        </w:rPr>
        <w:t>上清液由泵泵入调配池进行盐度、PH 调节，调节后废水由泵泵入厌氧 UASB，</w:t>
      </w:r>
      <w:r>
        <w:rPr>
          <w:rFonts w:hint="eastAsia" w:ascii="Times New Roman" w:hAnsi="Times New Roman" w:eastAsia="宋体" w:cs="Times New Roman"/>
          <w:color w:val="auto"/>
          <w:sz w:val="24"/>
          <w:szCs w:val="24"/>
        </w:rPr>
        <w:t>污染物在厌氧微生物的作用下吸收、分解，达到污染物初步去除，同时提高废水的可生化性。</w:t>
      </w:r>
      <w:r>
        <w:rPr>
          <w:rFonts w:hint="eastAsia" w:ascii="Times New Roman" w:hAnsi="Times New Roman" w:eastAsia="宋体" w:cs="Times New Roman"/>
          <w:color w:val="auto"/>
          <w:sz w:val="24"/>
          <w:szCs w:val="24"/>
          <w:lang w:val="en-US" w:eastAsia="zh-CN"/>
        </w:rPr>
        <w:t>厌氧出水直流进入二期好氧池进行好氧硝化反应，经好氧硝化反应的废水再由泵抽入一期A/O池，进行硝化、反硝化反应，然后经沉淀池沉淀后抽入沉淀桶进一步沉淀，沉淀后废水经</w:t>
      </w:r>
      <w:r>
        <w:rPr>
          <w:rFonts w:hint="eastAsia" w:ascii="Times New Roman" w:hAnsi="Times New Roman" w:eastAsia="宋体" w:cs="Times New Roman"/>
          <w:color w:val="auto"/>
          <w:sz w:val="24"/>
          <w:szCs w:val="24"/>
        </w:rPr>
        <w:t>专管排入津市高新区工业污水处理厂</w:t>
      </w:r>
      <w:r>
        <w:rPr>
          <w:rFonts w:hint="eastAsia" w:ascii="Times New Roman" w:hAnsi="Times New Roman" w:eastAsia="宋体" w:cs="Times New Roman"/>
          <w:color w:val="auto"/>
          <w:sz w:val="24"/>
          <w:szCs w:val="24"/>
          <w:lang w:val="en-US" w:eastAsia="zh-CN"/>
        </w:rPr>
        <w:t>进一步处理。</w:t>
      </w:r>
      <w:r>
        <w:rPr>
          <w:rFonts w:hint="eastAsia" w:ascii="Times New Roman" w:hAnsi="Times New Roman" w:eastAsia="宋体" w:cs="Times New Roman"/>
          <w:color w:val="auto"/>
          <w:sz w:val="24"/>
          <w:szCs w:val="24"/>
        </w:rPr>
        <w:t>主要处理工艺流程图</w:t>
      </w:r>
      <w:r>
        <w:rPr>
          <w:rFonts w:hint="eastAsia" w:ascii="Times New Roman" w:hAnsi="Times New Roman" w:eastAsia="宋体" w:cs="Times New Roman"/>
          <w:color w:val="auto"/>
          <w:sz w:val="24"/>
          <w:szCs w:val="24"/>
          <w:lang w:val="en-US" w:eastAsia="zh-CN"/>
        </w:rPr>
        <w:t>如下：</w:t>
      </w:r>
    </w:p>
    <w:p w14:paraId="5EDED995">
      <w:pPr>
        <w:spacing w:line="360" w:lineRule="auto"/>
        <w:rPr>
          <w:sz w:val="24"/>
        </w:rPr>
      </w:pPr>
      <w:r>
        <w:rPr>
          <w:sz w:val="24"/>
        </w:rPr>
        <mc:AlternateContent>
          <mc:Choice Requires="wps">
            <w:drawing>
              <wp:anchor distT="0" distB="0" distL="114300" distR="114300" simplePos="0" relativeHeight="251680768" behindDoc="0" locked="0" layoutInCell="1" allowOverlap="1">
                <wp:simplePos x="0" y="0"/>
                <wp:positionH relativeFrom="column">
                  <wp:posOffset>2260600</wp:posOffset>
                </wp:positionH>
                <wp:positionV relativeFrom="paragraph">
                  <wp:posOffset>1901190</wp:posOffset>
                </wp:positionV>
                <wp:extent cx="254000" cy="0"/>
                <wp:effectExtent l="0" t="48895" r="12700" b="65405"/>
                <wp:wrapNone/>
                <wp:docPr id="61" name="直接箭头连接符 61"/>
                <wp:cNvGraphicFramePr/>
                <a:graphic xmlns:a="http://schemas.openxmlformats.org/drawingml/2006/main">
                  <a:graphicData uri="http://schemas.microsoft.com/office/word/2010/wordprocessingShape">
                    <wps:wsp>
                      <wps:cNvCnPr/>
                      <wps:spPr>
                        <a:xfrm>
                          <a:off x="0" y="0"/>
                          <a:ext cx="254000" cy="0"/>
                        </a:xfrm>
                        <a:prstGeom prst="straightConnector1">
                          <a:avLst/>
                        </a:prstGeom>
                        <a:ln w="9525">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78pt;margin-top:149.7pt;height:0pt;width:20pt;z-index:251680768;mso-width-relative:page;mso-height-relative:page;" filled="f" stroked="t" coordsize="21600,21600" o:gfxdata="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BH98LPYAAAACwEAAA8AAAAAAAAAAQAgAAAAIgAAAGRycy9kb3ducmV2LnhtbFBL&#10;AQIUABQAAAAIAIdO4kDxkdKM9gEAAMgDAAAOAAAAAAAAAAEAIAAAACcBAABkcnMvZTJvRG9jLnht&#10;bFBLBQYAAAAABgAGAFkBAACPBQAAAAA=&#10;">
                <v:fill on="f" focussize="0,0"/>
                <v:stroke color="#000000 [3213]" joinstyle="round" endarrow="open"/>
                <v:imagedata o:title=""/>
                <o:lock v:ext="edit" aspectratio="f"/>
              </v:shape>
            </w:pict>
          </mc:Fallback>
        </mc:AlternateContent>
      </w:r>
      <w:r>
        <w:rPr>
          <w:sz w:val="24"/>
        </w:rPr>
        <mc:AlternateContent>
          <mc:Choice Requires="wps">
            <w:drawing>
              <wp:anchor distT="0" distB="0" distL="114300" distR="114300" simplePos="0" relativeHeight="251679744" behindDoc="0" locked="0" layoutInCell="1" allowOverlap="1">
                <wp:simplePos x="0" y="0"/>
                <wp:positionH relativeFrom="column">
                  <wp:posOffset>1147445</wp:posOffset>
                </wp:positionH>
                <wp:positionV relativeFrom="paragraph">
                  <wp:posOffset>1915160</wp:posOffset>
                </wp:positionV>
                <wp:extent cx="254000" cy="0"/>
                <wp:effectExtent l="0" t="48895" r="12700" b="65405"/>
                <wp:wrapNone/>
                <wp:docPr id="59" name="直接箭头连接符 59"/>
                <wp:cNvGraphicFramePr/>
                <a:graphic xmlns:a="http://schemas.openxmlformats.org/drawingml/2006/main">
                  <a:graphicData uri="http://schemas.microsoft.com/office/word/2010/wordprocessingShape">
                    <wps:wsp>
                      <wps:cNvCnPr/>
                      <wps:spPr>
                        <a:xfrm>
                          <a:off x="0" y="0"/>
                          <a:ext cx="254000" cy="0"/>
                        </a:xfrm>
                        <a:prstGeom prst="straightConnector1">
                          <a:avLst/>
                        </a:prstGeom>
                        <a:ln w="9525">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90.35pt;margin-top:150.8pt;height:0pt;width:20pt;z-index:251679744;mso-width-relative:page;mso-height-relative:page;" filled="f" stroked="t" coordsize="21600,21600" o:gfxdata="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5sQK11gAAAAsBAAAPAAAAAAAAAAEAIAAAACIAAABkcnMvZG93bnJldi54bWxQSwEC&#10;FAAUAAAACACHTuJA3dLO5PYBAADIAwAADgAAAAAAAAABACAAAAAlAQAAZHJzL2Uyb0RvYy54bWxQ&#10;SwUGAAAAAAYABgBZAQAAjQUAAAAA&#10;">
                <v:fill on="f" focussize="0,0"/>
                <v:stroke color="#000000 [3213]" joinstyle="round" endarrow="open"/>
                <v:imagedata o:title=""/>
                <o:lock v:ext="edit" aspectratio="f"/>
              </v:shape>
            </w:pict>
          </mc:Fallback>
        </mc:AlternateContent>
      </w:r>
      <w:r>
        <w:rPr>
          <w:sz w:val="24"/>
        </w:rPr>
        <mc:AlternateContent>
          <mc:Choice Requires="wps">
            <w:drawing>
              <wp:anchor distT="0" distB="0" distL="114300" distR="114300" simplePos="0" relativeHeight="251678720" behindDoc="0" locked="0" layoutInCell="1" allowOverlap="1">
                <wp:simplePos x="0" y="0"/>
                <wp:positionH relativeFrom="column">
                  <wp:posOffset>796290</wp:posOffset>
                </wp:positionH>
                <wp:positionV relativeFrom="paragraph">
                  <wp:posOffset>1466215</wp:posOffset>
                </wp:positionV>
                <wp:extent cx="3810" cy="238125"/>
                <wp:effectExtent l="47625" t="0" r="62865" b="9525"/>
                <wp:wrapNone/>
                <wp:docPr id="58" name="直接箭头连接符 58"/>
                <wp:cNvGraphicFramePr/>
                <a:graphic xmlns:a="http://schemas.openxmlformats.org/drawingml/2006/main">
                  <a:graphicData uri="http://schemas.microsoft.com/office/word/2010/wordprocessingShape">
                    <wps:wsp>
                      <wps:cNvCnPr/>
                      <wps:spPr>
                        <a:xfrm flipH="1">
                          <a:off x="0" y="0"/>
                          <a:ext cx="3810" cy="238125"/>
                        </a:xfrm>
                        <a:prstGeom prst="straightConnector1">
                          <a:avLst/>
                        </a:prstGeom>
                        <a:ln w="9525">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62.7pt;margin-top:115.45pt;height:18.75pt;width:0.3pt;z-index:251678720;mso-width-relative:page;mso-height-relative:page;" filled="f" stroked="t" coordsize="21600,21600" o:gfxdata="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mRMQb2AAAAAsBAAAPAAAAAAAAAAEAIAAAACIAAABkcnMvZG93&#10;bnJldi54bWxQSwECFAAUAAAACACHTuJAvOADEwACAADVAwAADgAAAAAAAAABACAAAAAnAQAAZHJz&#10;L2Uyb0RvYy54bWxQSwUGAAAAAAYABgBZAQAAmQUAAAAA&#10;">
                <v:fill on="f" focussize="0,0"/>
                <v:stroke color="#000000 [3213]" joinstyle="round" endarrow="open"/>
                <v:imagedata o:title=""/>
                <o:lock v:ext="edit" aspectratio="f"/>
              </v:shape>
            </w:pict>
          </mc:Fallback>
        </mc:AlternateContent>
      </w:r>
      <w:r>
        <w:rPr>
          <w:sz w:val="24"/>
        </w:rPr>
        <mc:AlternateContent>
          <mc:Choice Requires="wps">
            <w:drawing>
              <wp:anchor distT="0" distB="0" distL="114300" distR="114300" simplePos="0" relativeHeight="251677696" behindDoc="0" locked="0" layoutInCell="1" allowOverlap="1">
                <wp:simplePos x="0" y="0"/>
                <wp:positionH relativeFrom="column">
                  <wp:posOffset>812800</wp:posOffset>
                </wp:positionH>
                <wp:positionV relativeFrom="paragraph">
                  <wp:posOffset>950595</wp:posOffset>
                </wp:positionV>
                <wp:extent cx="9525" cy="223520"/>
                <wp:effectExtent l="43180" t="0" r="61595" b="5080"/>
                <wp:wrapNone/>
                <wp:docPr id="57" name="直接箭头连接符 57"/>
                <wp:cNvGraphicFramePr/>
                <a:graphic xmlns:a="http://schemas.openxmlformats.org/drawingml/2006/main">
                  <a:graphicData uri="http://schemas.microsoft.com/office/word/2010/wordprocessingShape">
                    <wps:wsp>
                      <wps:cNvCnPr/>
                      <wps:spPr>
                        <a:xfrm>
                          <a:off x="0" y="0"/>
                          <a:ext cx="9525" cy="223520"/>
                        </a:xfrm>
                        <a:prstGeom prst="straightConnector1">
                          <a:avLst/>
                        </a:prstGeom>
                        <a:ln w="9525">
                          <a:solidFill>
                            <a:schemeClr val="tx1"/>
                          </a:solidFill>
                          <a:prstDash val="dash"/>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64pt;margin-top:74.85pt;height:17.6pt;width:0.75pt;z-index:251677696;mso-width-relative:page;mso-height-relative:page;" filled="f" stroked="t" coordsize="21600,21600" o:gfxdata="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0fE4J2AAAAAsBAAAPAAAAAAAAAAEAIAAAACIAAABkcnMvZG93bnJldi54bWxQ&#10;SwECFAAUAAAACACHTuJA7dQr0fcBAADKAwAADgAAAAAAAAABACAAAAAnAQAAZHJzL2Uyb0RvYy54&#10;bWxQSwUGAAAAAAYABgBZAQAAkAUAAAAA&#10;">
                <v:fill on="f" focussize="0,0"/>
                <v:stroke color="#000000 [3213]" joinstyle="round" dashstyle="dash" endarrow="open"/>
                <v:imagedata o:title=""/>
                <o:lock v:ext="edit" aspectratio="f"/>
              </v:shape>
            </w:pict>
          </mc:Fallback>
        </mc:AlternateContent>
      </w:r>
      <w:r>
        <w:rPr>
          <w:sz w:val="24"/>
        </w:rPr>
        <mc:AlternateContent>
          <mc:Choice Requires="wps">
            <w:drawing>
              <wp:anchor distT="0" distB="0" distL="114300" distR="114300" simplePos="0" relativeHeight="251676672" behindDoc="0" locked="0" layoutInCell="1" allowOverlap="1">
                <wp:simplePos x="0" y="0"/>
                <wp:positionH relativeFrom="column">
                  <wp:posOffset>1221740</wp:posOffset>
                </wp:positionH>
                <wp:positionV relativeFrom="paragraph">
                  <wp:posOffset>1268095</wp:posOffset>
                </wp:positionV>
                <wp:extent cx="281305" cy="4445"/>
                <wp:effectExtent l="0" t="46355" r="4445" b="63500"/>
                <wp:wrapNone/>
                <wp:docPr id="55" name="直接箭头连接符 55"/>
                <wp:cNvGraphicFramePr/>
                <a:graphic xmlns:a="http://schemas.openxmlformats.org/drawingml/2006/main">
                  <a:graphicData uri="http://schemas.microsoft.com/office/word/2010/wordprocessingShape">
                    <wps:wsp>
                      <wps:cNvCnPr/>
                      <wps:spPr>
                        <a:xfrm flipH="1">
                          <a:off x="0" y="0"/>
                          <a:ext cx="281305" cy="4445"/>
                        </a:xfrm>
                        <a:prstGeom prst="straightConnector1">
                          <a:avLst/>
                        </a:prstGeom>
                        <a:ln w="9525">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96.2pt;margin-top:99.85pt;height:0.35pt;width:22.15pt;z-index:251676672;mso-width-relative:page;mso-height-relative:page;" filled="f" stroked="t" coordsize="21600,21600" o:gfxdata="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HvmpEtcAAAALAQAADwAAAAAAAAABACAAAAAiAAAAZHJzL2Rv&#10;d25yZXYueG1sUEsBAhQAFAAAAAgAh07iQBC/3yQCAgAA1QMAAA4AAAAAAAAAAQAgAAAAJgEAAGRy&#10;cy9lMm9Eb2MueG1sUEsFBgAAAAAGAAYAWQEAAJoFAAAAAA==&#10;">
                <v:fill on="f" focussize="0,0"/>
                <v:stroke color="#000000 [3213]" joinstyle="round" endarrow="open"/>
                <v:imagedata o:title=""/>
                <o:lock v:ext="edit" aspectratio="f"/>
              </v:shape>
            </w:pict>
          </mc:Fallback>
        </mc:AlternateContent>
      </w:r>
      <w:r>
        <w:rPr>
          <w:sz w:val="24"/>
        </w:rPr>
        <mc:AlternateContent>
          <mc:Choice Requires="wps">
            <w:drawing>
              <wp:anchor distT="0" distB="0" distL="114300" distR="114300" simplePos="0" relativeHeight="251675648" behindDoc="0" locked="0" layoutInCell="1" allowOverlap="1">
                <wp:simplePos x="0" y="0"/>
                <wp:positionH relativeFrom="column">
                  <wp:posOffset>2122170</wp:posOffset>
                </wp:positionH>
                <wp:positionV relativeFrom="paragraph">
                  <wp:posOffset>1244600</wp:posOffset>
                </wp:positionV>
                <wp:extent cx="226695" cy="7620"/>
                <wp:effectExtent l="0" t="46355" r="1905" b="60325"/>
                <wp:wrapNone/>
                <wp:docPr id="54" name="直接箭头连接符 54"/>
                <wp:cNvGraphicFramePr/>
                <a:graphic xmlns:a="http://schemas.openxmlformats.org/drawingml/2006/main">
                  <a:graphicData uri="http://schemas.microsoft.com/office/word/2010/wordprocessingShape">
                    <wps:wsp>
                      <wps:cNvCnPr/>
                      <wps:spPr>
                        <a:xfrm flipH="1" flipV="1">
                          <a:off x="0" y="0"/>
                          <a:ext cx="226695" cy="7620"/>
                        </a:xfrm>
                        <a:prstGeom prst="straightConnector1">
                          <a:avLst/>
                        </a:prstGeom>
                        <a:ln w="9525">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 y;margin-left:167.1pt;margin-top:98pt;height:0.6pt;width:17.85pt;z-index:251675648;mso-width-relative:page;mso-height-relative:page;" filled="f" stroked="t" coordsize="21600,21600" o:gfxdata="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crNyJNgAAAALAQAADwAAAAAAAAABACAAAAAiAAAA&#10;ZHJzL2Rvd25yZXYueG1sUEsBAhQAFAAAAAgAh07iQNbiVn0HAgAA3wMAAA4AAAAAAAAAAQAgAAAA&#10;JwEAAGRycy9lMm9Eb2MueG1sUEsFBgAAAAAGAAYAWQEAAKAFAAAAAA==&#10;">
                <v:fill on="f" focussize="0,0"/>
                <v:stroke color="#000000 [3213]" joinstyle="round" endarrow="open"/>
                <v:imagedata o:title=""/>
                <o:lock v:ext="edit" aspectratio="f"/>
              </v:shape>
            </w:pict>
          </mc:Fallback>
        </mc:AlternateContent>
      </w:r>
      <w:r>
        <w:rPr>
          <w:sz w:val="24"/>
        </w:rPr>
        <mc:AlternateContent>
          <mc:Choice Requires="wps">
            <w:drawing>
              <wp:anchor distT="0" distB="0" distL="114300" distR="114300" simplePos="0" relativeHeight="251674624" behindDoc="0" locked="0" layoutInCell="1" allowOverlap="1">
                <wp:simplePos x="0" y="0"/>
                <wp:positionH relativeFrom="column">
                  <wp:posOffset>3305810</wp:posOffset>
                </wp:positionH>
                <wp:positionV relativeFrom="paragraph">
                  <wp:posOffset>1219835</wp:posOffset>
                </wp:positionV>
                <wp:extent cx="244475" cy="9525"/>
                <wp:effectExtent l="0" t="43180" r="3175" b="61595"/>
                <wp:wrapNone/>
                <wp:docPr id="53" name="直接箭头连接符 53"/>
                <wp:cNvGraphicFramePr/>
                <a:graphic xmlns:a="http://schemas.openxmlformats.org/drawingml/2006/main">
                  <a:graphicData uri="http://schemas.microsoft.com/office/word/2010/wordprocessingShape">
                    <wps:wsp>
                      <wps:cNvCnPr/>
                      <wps:spPr>
                        <a:xfrm flipH="1">
                          <a:off x="0" y="0"/>
                          <a:ext cx="244475" cy="9525"/>
                        </a:xfrm>
                        <a:prstGeom prst="straightConnector1">
                          <a:avLst/>
                        </a:prstGeom>
                        <a:ln w="9525">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260.3pt;margin-top:96.05pt;height:0.75pt;width:19.25pt;z-index:251674624;mso-width-relative:page;mso-height-relative:page;" filled="f" stroked="t" coordsize="21600,21600" o:gfxdata="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MweLx2AAAAAsBAAAPAAAAAAAAAAEAIAAAACIAAABkcnMvZG93&#10;bnJldi54bWxQSwECFAAUAAAACACHTuJA4iamUQACAADVAwAADgAAAAAAAAABACAAAAAnAQAAZHJz&#10;L2Uyb0RvYy54bWxQSwUGAAAAAAYABgBZAQAAmQUAAAAA&#10;">
                <v:fill on="f" focussize="0,0"/>
                <v:stroke color="#000000 [3213]" joinstyle="round" endarrow="open"/>
                <v:imagedata o:title=""/>
                <o:lock v:ext="edit" aspectratio="f"/>
              </v:shape>
            </w:pict>
          </mc:Fallback>
        </mc:AlternateContent>
      </w:r>
      <w:r>
        <w:rPr>
          <w:sz w:val="24"/>
        </w:rPr>
        <mc:AlternateContent>
          <mc:Choice Requires="wps">
            <w:drawing>
              <wp:anchor distT="0" distB="0" distL="114300" distR="114300" simplePos="0" relativeHeight="251672576" behindDoc="0" locked="0" layoutInCell="1" allowOverlap="1">
                <wp:simplePos x="0" y="0"/>
                <wp:positionH relativeFrom="column">
                  <wp:posOffset>4448175</wp:posOffset>
                </wp:positionH>
                <wp:positionV relativeFrom="paragraph">
                  <wp:posOffset>1184910</wp:posOffset>
                </wp:positionV>
                <wp:extent cx="262890" cy="3810"/>
                <wp:effectExtent l="0" t="46355" r="3810" b="64135"/>
                <wp:wrapNone/>
                <wp:docPr id="48" name="直接箭头连接符 48"/>
                <wp:cNvGraphicFramePr/>
                <a:graphic xmlns:a="http://schemas.openxmlformats.org/drawingml/2006/main">
                  <a:graphicData uri="http://schemas.microsoft.com/office/word/2010/wordprocessingShape">
                    <wps:wsp>
                      <wps:cNvCnPr/>
                      <wps:spPr>
                        <a:xfrm flipH="1">
                          <a:off x="0" y="0"/>
                          <a:ext cx="262890" cy="3810"/>
                        </a:xfrm>
                        <a:prstGeom prst="straightConnector1">
                          <a:avLst/>
                        </a:prstGeom>
                        <a:ln w="9525">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350.25pt;margin-top:93.3pt;height:0.3pt;width:20.7pt;z-index:251672576;mso-width-relative:page;mso-height-relative:page;" filled="f" stroked="t" coordsize="21600,21600" o:gfxdata="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&#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3gmSVNkAAAALAQAADwAAAAAAAAABACAAAAAiAAAAZHJz&#10;L2Rvd25yZXYueG1sUEsBAhQAFAAAAAgAh07iQF/f4TYDAgAA1QMAAA4AAAAAAAAAAQAgAAAAKAEA&#10;AGRycy9lMm9Eb2MueG1sUEsFBgAAAAAGAAYAWQEAAJ0FAAAAAA==&#10;">
                <v:fill on="f" focussize="0,0"/>
                <v:stroke color="#000000 [3213]" joinstyle="round" endarrow="open"/>
                <v:imagedata o:title=""/>
                <o:lock v:ext="edit" aspectratio="f"/>
              </v:shape>
            </w:pict>
          </mc:Fallback>
        </mc:AlternateContent>
      </w:r>
      <w:r>
        <w:rPr>
          <w:sz w:val="24"/>
        </w:rPr>
        <mc:AlternateContent>
          <mc:Choice Requires="wps">
            <w:drawing>
              <wp:anchor distT="0" distB="0" distL="114300" distR="114300" simplePos="0" relativeHeight="251673600" behindDoc="0" locked="0" layoutInCell="1" allowOverlap="1">
                <wp:simplePos x="0" y="0"/>
                <wp:positionH relativeFrom="column">
                  <wp:posOffset>4910455</wp:posOffset>
                </wp:positionH>
                <wp:positionV relativeFrom="paragraph">
                  <wp:posOffset>583565</wp:posOffset>
                </wp:positionV>
                <wp:extent cx="5715" cy="454025"/>
                <wp:effectExtent l="44450" t="0" r="64135" b="3175"/>
                <wp:wrapNone/>
                <wp:docPr id="49" name="直接箭头连接符 49"/>
                <wp:cNvGraphicFramePr/>
                <a:graphic xmlns:a="http://schemas.openxmlformats.org/drawingml/2006/main">
                  <a:graphicData uri="http://schemas.microsoft.com/office/word/2010/wordprocessingShape">
                    <wps:wsp>
                      <wps:cNvCnPr/>
                      <wps:spPr>
                        <a:xfrm>
                          <a:off x="0" y="0"/>
                          <a:ext cx="5715" cy="454025"/>
                        </a:xfrm>
                        <a:prstGeom prst="straightConnector1">
                          <a:avLst/>
                        </a:prstGeom>
                        <a:ln w="9525">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386.65pt;margin-top:45.95pt;height:35.75pt;width:0.45pt;z-index:251673600;mso-width-relative:page;mso-height-relative:page;" filled="f" stroked="t" coordsize="21600,21600" o:gfxdata="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Ip3QYHZAAAACgEAAA8AAAAAAAAAAQAgAAAAIgAAAGRycy9kb3ducmV2&#10;LnhtbFBLAQIUABQAAAAIAIdO4kChKsJD+wEAAMsDAAAOAAAAAAAAAAEAIAAAACgBAABkcnMvZTJv&#10;RG9jLnhtbFBLBQYAAAAABgAGAFkBAACVBQAAAAA=&#10;">
                <v:fill on="f" focussize="0,0"/>
                <v:stroke color="#000000 [3213]" joinstyle="round" endarrow="open"/>
                <v:imagedata o:title=""/>
                <o:lock v:ext="edit" aspectratio="f"/>
              </v:shape>
            </w:pict>
          </mc:Fallback>
        </mc:AlternateContent>
      </w:r>
      <w:r>
        <w:rPr>
          <w:sz w:val="24"/>
        </w:rPr>
        <mc:AlternateContent>
          <mc:Choice Requires="wps">
            <w:drawing>
              <wp:anchor distT="0" distB="0" distL="114300" distR="114300" simplePos="0" relativeHeight="251669504" behindDoc="0" locked="0" layoutInCell="1" allowOverlap="1">
                <wp:simplePos x="0" y="0"/>
                <wp:positionH relativeFrom="column">
                  <wp:posOffset>4331970</wp:posOffset>
                </wp:positionH>
                <wp:positionV relativeFrom="paragraph">
                  <wp:posOffset>400685</wp:posOffset>
                </wp:positionV>
                <wp:extent cx="254000" cy="0"/>
                <wp:effectExtent l="0" t="48895" r="12700" b="65405"/>
                <wp:wrapNone/>
                <wp:docPr id="45" name="直接箭头连接符 45"/>
                <wp:cNvGraphicFramePr/>
                <a:graphic xmlns:a="http://schemas.openxmlformats.org/drawingml/2006/main">
                  <a:graphicData uri="http://schemas.microsoft.com/office/word/2010/wordprocessingShape">
                    <wps:wsp>
                      <wps:cNvCnPr/>
                      <wps:spPr>
                        <a:xfrm>
                          <a:off x="0" y="0"/>
                          <a:ext cx="254000" cy="0"/>
                        </a:xfrm>
                        <a:prstGeom prst="straightConnector1">
                          <a:avLst/>
                        </a:prstGeom>
                        <a:ln w="9525">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341.1pt;margin-top:31.55pt;height:0pt;width:20pt;z-index:251669504;mso-width-relative:page;mso-height-relative:page;" filled="f" stroked="t" coordsize="21600,21600" o:gfxdata="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KERwc1gAAAAkBAAAPAAAAAAAAAAEAIAAAACIAAABkcnMvZG93bnJldi54bWxQSwEC&#10;FAAUAAAACACHTuJAYJfOaPYBAADIAwAADgAAAAAAAAABACAAAAAlAQAAZHJzL2Uyb0RvYy54bWxQ&#10;SwUGAAAAAAYABgBZAQAAjQUAAAAA&#10;">
                <v:fill on="f" focussize="0,0"/>
                <v:stroke color="#000000 [3213]" joinstyle="round" endarrow="open"/>
                <v:imagedata o:title=""/>
                <o:lock v:ext="edit" aspectratio="f"/>
              </v:shape>
            </w:pict>
          </mc:Fallback>
        </mc:AlternateContent>
      </w:r>
      <w:r>
        <w:rPr>
          <w:sz w:val="24"/>
        </w:rPr>
        <mc:AlternateContent>
          <mc:Choice Requires="wps">
            <w:drawing>
              <wp:anchor distT="0" distB="0" distL="114300" distR="114300" simplePos="0" relativeHeight="251670528" behindDoc="0" locked="0" layoutInCell="1" allowOverlap="1">
                <wp:simplePos x="0" y="0"/>
                <wp:positionH relativeFrom="column">
                  <wp:posOffset>3324860</wp:posOffset>
                </wp:positionH>
                <wp:positionV relativeFrom="paragraph">
                  <wp:posOffset>410210</wp:posOffset>
                </wp:positionV>
                <wp:extent cx="254000" cy="0"/>
                <wp:effectExtent l="0" t="48895" r="12700" b="65405"/>
                <wp:wrapNone/>
                <wp:docPr id="46" name="直接箭头连接符 46"/>
                <wp:cNvGraphicFramePr/>
                <a:graphic xmlns:a="http://schemas.openxmlformats.org/drawingml/2006/main">
                  <a:graphicData uri="http://schemas.microsoft.com/office/word/2010/wordprocessingShape">
                    <wps:wsp>
                      <wps:cNvCnPr/>
                      <wps:spPr>
                        <a:xfrm>
                          <a:off x="0" y="0"/>
                          <a:ext cx="254000" cy="0"/>
                        </a:xfrm>
                        <a:prstGeom prst="straightConnector1">
                          <a:avLst/>
                        </a:prstGeom>
                        <a:ln w="9525">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261.8pt;margin-top:32.3pt;height:0pt;width:20pt;z-index:251670528;mso-width-relative:page;mso-height-relative:page;" filled="f" stroked="t" coordsize="21600,21600" o:gfxdata="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Kp3P5fWAAAACQEAAA8AAAAAAAAAAQAgAAAAIgAAAGRycy9kb3ducmV2LnhtbFBL&#10;AQIUABQAAAAIAIdO4kAJQD9P+AEAAMgDAAAOAAAAAAAAAAEAIAAAACUBAABkcnMvZTJvRG9jLnht&#10;bFBLBQYAAAAABgAGAFkBAACPBQAAAAA=&#10;">
                <v:fill on="f" focussize="0,0"/>
                <v:stroke color="#000000 [3213]" joinstyle="round" endarrow="open"/>
                <v:imagedata o:title=""/>
                <o:lock v:ext="edit" aspectratio="f"/>
              </v:shape>
            </w:pict>
          </mc:Fallback>
        </mc:AlternateContent>
      </w:r>
      <w:r>
        <w:rPr>
          <w:sz w:val="24"/>
        </w:rPr>
        <mc:AlternateContent>
          <mc:Choice Requires="wps">
            <w:drawing>
              <wp:anchor distT="0" distB="0" distL="114300" distR="114300" simplePos="0" relativeHeight="251671552" behindDoc="0" locked="0" layoutInCell="1" allowOverlap="1">
                <wp:simplePos x="0" y="0"/>
                <wp:positionH relativeFrom="column">
                  <wp:posOffset>1517015</wp:posOffset>
                </wp:positionH>
                <wp:positionV relativeFrom="paragraph">
                  <wp:posOffset>387985</wp:posOffset>
                </wp:positionV>
                <wp:extent cx="254000" cy="0"/>
                <wp:effectExtent l="0" t="48895" r="12700" b="65405"/>
                <wp:wrapNone/>
                <wp:docPr id="47" name="直接箭头连接符 47"/>
                <wp:cNvGraphicFramePr/>
                <a:graphic xmlns:a="http://schemas.openxmlformats.org/drawingml/2006/main">
                  <a:graphicData uri="http://schemas.microsoft.com/office/word/2010/wordprocessingShape">
                    <wps:wsp>
                      <wps:cNvCnPr/>
                      <wps:spPr>
                        <a:xfrm>
                          <a:off x="0" y="0"/>
                          <a:ext cx="254000" cy="0"/>
                        </a:xfrm>
                        <a:prstGeom prst="straightConnector1">
                          <a:avLst/>
                        </a:prstGeom>
                        <a:ln w="9525">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19.45pt;margin-top:30.55pt;height:0pt;width:20pt;z-index:251671552;mso-width-relative:page;mso-height-relative:page;" filled="f" stroked="t" coordsize="21600,21600" o:gfxdata="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EyviUjWAAAACQEAAA8AAAAAAAAAAQAgAAAAIgAAAGRycy9kb3ducmV2LnhtbFBL&#10;AQIUABQAAAAIAIdO4kARD7/k+AEAAMgDAAAOAAAAAAAAAAEAIAAAACUBAABkcnMvZTJvRG9jLnht&#10;bFBLBQYAAAAABgAGAFkBAACPBQAAAAA=&#10;">
                <v:fill on="f" focussize="0,0"/>
                <v:stroke color="#000000 [3213]" joinstyle="round" endarrow="open"/>
                <v:imagedata o:title=""/>
                <o:lock v:ext="edit" aspectratio="f"/>
              </v:shape>
            </w:pict>
          </mc:Fallback>
        </mc:AlternateContent>
      </w:r>
      <w:r>
        <w:rPr>
          <w:sz w:val="24"/>
        </w:rPr>
        <mc:AlternateContent>
          <mc:Choice Requires="wps">
            <w:drawing>
              <wp:anchor distT="0" distB="0" distL="114300" distR="114300" simplePos="0" relativeHeight="251668480" behindDoc="0" locked="0" layoutInCell="1" allowOverlap="1">
                <wp:simplePos x="0" y="0"/>
                <wp:positionH relativeFrom="column">
                  <wp:posOffset>605790</wp:posOffset>
                </wp:positionH>
                <wp:positionV relativeFrom="paragraph">
                  <wp:posOffset>413385</wp:posOffset>
                </wp:positionV>
                <wp:extent cx="254000" cy="0"/>
                <wp:effectExtent l="0" t="48895" r="12700" b="65405"/>
                <wp:wrapNone/>
                <wp:docPr id="31" name="直接箭头连接符 31"/>
                <wp:cNvGraphicFramePr/>
                <a:graphic xmlns:a="http://schemas.openxmlformats.org/drawingml/2006/main">
                  <a:graphicData uri="http://schemas.microsoft.com/office/word/2010/wordprocessingShape">
                    <wps:wsp>
                      <wps:cNvCnPr/>
                      <wps:spPr>
                        <a:xfrm>
                          <a:off x="1820545" y="1327785"/>
                          <a:ext cx="254000" cy="0"/>
                        </a:xfrm>
                        <a:prstGeom prst="straightConnector1">
                          <a:avLst/>
                        </a:prstGeom>
                        <a:ln w="9525">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47.7pt;margin-top:32.55pt;height:0pt;width:20pt;z-index:251668480;mso-width-relative:page;mso-height-relative:page;" filled="f" stroked="t" coordsize="21600,21600" o:gfxdata="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2jov9dUAAAAIAQAADwAAAAAAAAABACAAAAAiAAAAZHJz&#10;L2Rvd25yZXYueG1sUEsBAhQAFAAAAAgAh07iQC4qsAwHAgAA1AMAAA4AAAAAAAAAAQAgAAAAJAEA&#10;AGRycy9lMm9Eb2MueG1sUEsFBgAAAAAGAAYAWQEAAJ0FAAAAAA==&#10;">
                <v:fill on="f" focussize="0,0"/>
                <v:stroke color="#000000 [3213]" joinstyle="round" endarrow="open"/>
                <v:imagedata o:title=""/>
                <o:lock v:ext="edit" aspectratio="f"/>
              </v:shape>
            </w:pict>
          </mc:Fallback>
        </mc:AlternateContent>
      </w:r>
      <w:r>
        <w:rPr>
          <w:sz w:val="24"/>
        </w:rPr>
        <mc:AlternateContent>
          <mc:Choice Requires="wpc">
            <w:drawing>
              <wp:inline distT="0" distB="0" distL="114300" distR="114300">
                <wp:extent cx="5274310" cy="1998980"/>
                <wp:effectExtent l="0" t="0" r="2540" b="19685"/>
                <wp:docPr id="14" name="画布 14"/>
                <wp:cNvGraphicFramePr/>
                <a:graphic xmlns:a="http://schemas.openxmlformats.org/drawingml/2006/main">
                  <a:graphicData uri="http://schemas.microsoft.com/office/word/2010/wordprocessingCanvas">
                    <wpc:wpc>
                      <wpc:bg/>
                      <wpc:whole/>
                      <wps:wsp>
                        <wps:cNvPr id="15" name="矩形 15"/>
                        <wps:cNvSpPr/>
                        <wps:spPr>
                          <a:xfrm>
                            <a:off x="161290" y="364490"/>
                            <a:ext cx="563880" cy="238125"/>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0" name="文本框 30"/>
                        <wps:cNvSpPr txBox="1"/>
                        <wps:spPr>
                          <a:xfrm>
                            <a:off x="161290" y="221615"/>
                            <a:ext cx="492760" cy="27749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25751674">
                              <w:pPr>
                                <w:rPr>
                                  <w:rFonts w:hint="eastAsia" w:eastAsiaTheme="minorEastAsia"/>
                                  <w:lang w:val="en-US" w:eastAsia="zh-CN"/>
                                </w:rPr>
                              </w:pPr>
                              <w:r>
                                <w:rPr>
                                  <w:rFonts w:hint="eastAsia"/>
                                  <w:lang w:val="en-US" w:eastAsia="zh-CN"/>
                                </w:rPr>
                                <w:t>废水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2" name="文本框 32"/>
                        <wps:cNvSpPr txBox="1"/>
                        <wps:spPr>
                          <a:xfrm>
                            <a:off x="179705" y="179705"/>
                            <a:ext cx="492760" cy="27749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24DE17E3">
                              <w:pPr>
                                <w:rPr>
                                  <w:rFonts w:hint="eastAsia" w:eastAsiaTheme="minorEastAsia"/>
                                  <w:lang w:val="en-US" w:eastAsia="zh-CN"/>
                                </w:rPr>
                              </w:pPr>
                              <w:r>
                                <w:rPr>
                                  <w:rFonts w:hint="eastAsia"/>
                                  <w:lang w:val="en-US" w:eastAsia="zh-CN"/>
                                </w:rPr>
                                <w:t>废水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3" name="文本框 33"/>
                        <wps:cNvSpPr txBox="1"/>
                        <wps:spPr>
                          <a:xfrm>
                            <a:off x="871220" y="212725"/>
                            <a:ext cx="619125" cy="277495"/>
                          </a:xfrm>
                          <a:prstGeom prst="rect">
                            <a:avLst/>
                          </a:prstGeom>
                          <a:solidFill>
                            <a:schemeClr val="lt1"/>
                          </a:solid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14:paraId="64B53F23">
                              <w:pPr>
                                <w:rPr>
                                  <w:rFonts w:hint="default" w:eastAsiaTheme="minorEastAsia"/>
                                  <w:lang w:val="en-US" w:eastAsia="zh-CN"/>
                                </w:rPr>
                              </w:pPr>
                              <w:r>
                                <w:rPr>
                                  <w:rFonts w:hint="eastAsia"/>
                                  <w:lang w:val="en-US" w:eastAsia="zh-CN"/>
                                </w:rPr>
                                <w:t>贮存池</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8" name="文本框 38"/>
                        <wps:cNvSpPr txBox="1"/>
                        <wps:spPr>
                          <a:xfrm>
                            <a:off x="2362200" y="1061085"/>
                            <a:ext cx="944245" cy="277495"/>
                          </a:xfrm>
                          <a:prstGeom prst="rect">
                            <a:avLst/>
                          </a:prstGeom>
                          <a:solidFill>
                            <a:schemeClr val="lt1"/>
                          </a:solid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14:paraId="55CA1710">
                              <w:pPr>
                                <w:rPr>
                                  <w:rFonts w:hint="default" w:eastAsiaTheme="minorEastAsia"/>
                                  <w:lang w:val="en-US" w:eastAsia="zh-CN"/>
                                </w:rPr>
                              </w:pPr>
                              <w:r>
                                <w:rPr>
                                  <w:rFonts w:hint="eastAsia"/>
                                  <w:lang w:val="en-US" w:eastAsia="zh-CN"/>
                                </w:rPr>
                                <w:t>一期A/O池</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9" name="文本框 39"/>
                        <wps:cNvSpPr txBox="1"/>
                        <wps:spPr>
                          <a:xfrm>
                            <a:off x="3547110" y="1014730"/>
                            <a:ext cx="902970" cy="277495"/>
                          </a:xfrm>
                          <a:prstGeom prst="rect">
                            <a:avLst/>
                          </a:prstGeom>
                          <a:solidFill>
                            <a:schemeClr val="lt1"/>
                          </a:solid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14:paraId="2FFE8E28">
                              <w:pPr>
                                <w:rPr>
                                  <w:rFonts w:hint="default" w:eastAsiaTheme="minorEastAsia"/>
                                  <w:lang w:val="en-US" w:eastAsia="zh-CN"/>
                                </w:rPr>
                              </w:pPr>
                              <w:r>
                                <w:rPr>
                                  <w:rFonts w:hint="eastAsia"/>
                                  <w:lang w:val="en-US" w:eastAsia="zh-CN"/>
                                </w:rPr>
                                <w:t>二期好氧池</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0" name="文本框 40"/>
                        <wps:cNvSpPr txBox="1"/>
                        <wps:spPr>
                          <a:xfrm>
                            <a:off x="4715510" y="993140"/>
                            <a:ext cx="500380" cy="277495"/>
                          </a:xfrm>
                          <a:prstGeom prst="rect">
                            <a:avLst/>
                          </a:prstGeom>
                          <a:solidFill>
                            <a:schemeClr val="lt1"/>
                          </a:solid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14:paraId="00A1D5C3">
                              <w:pPr>
                                <w:rPr>
                                  <w:rFonts w:hint="default" w:eastAsiaTheme="minorEastAsia"/>
                                  <w:lang w:val="en-US" w:eastAsia="zh-CN"/>
                                </w:rPr>
                              </w:pPr>
                              <w:r>
                                <w:rPr>
                                  <w:rFonts w:hint="eastAsia"/>
                                  <w:lang w:val="en-US" w:eastAsia="zh-CN"/>
                                </w:rPr>
                                <w:t>UASB</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1" name="文本框 41"/>
                        <wps:cNvSpPr txBox="1"/>
                        <wps:spPr>
                          <a:xfrm>
                            <a:off x="4569460" y="215900"/>
                            <a:ext cx="619125" cy="277495"/>
                          </a:xfrm>
                          <a:prstGeom prst="rect">
                            <a:avLst/>
                          </a:prstGeom>
                          <a:solidFill>
                            <a:schemeClr val="lt1"/>
                          </a:solid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14:paraId="108B99D7">
                              <w:pPr>
                                <w:rPr>
                                  <w:rFonts w:hint="default" w:eastAsiaTheme="minorEastAsia"/>
                                  <w:lang w:val="en-US" w:eastAsia="zh-CN"/>
                                </w:rPr>
                              </w:pPr>
                              <w:r>
                                <w:rPr>
                                  <w:rFonts w:hint="eastAsia"/>
                                  <w:lang w:val="en-US" w:eastAsia="zh-CN"/>
                                </w:rPr>
                                <w:t>调配池</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2" name="文本框 42"/>
                        <wps:cNvSpPr txBox="1"/>
                        <wps:spPr>
                          <a:xfrm>
                            <a:off x="3575050" y="210185"/>
                            <a:ext cx="739140" cy="277495"/>
                          </a:xfrm>
                          <a:prstGeom prst="rect">
                            <a:avLst/>
                          </a:prstGeom>
                          <a:solidFill>
                            <a:schemeClr val="lt1"/>
                          </a:solid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14:paraId="66126420">
                              <w:pPr>
                                <w:rPr>
                                  <w:rFonts w:hint="default" w:eastAsiaTheme="minorEastAsia"/>
                                  <w:lang w:val="en-US" w:eastAsia="zh-CN"/>
                                </w:rPr>
                              </w:pPr>
                              <w:r>
                                <w:rPr>
                                  <w:rFonts w:hint="eastAsia"/>
                                  <w:lang w:val="en-US" w:eastAsia="zh-CN"/>
                                </w:rPr>
                                <w:t>一级气浮</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3" name="文本框 43"/>
                        <wps:cNvSpPr txBox="1"/>
                        <wps:spPr>
                          <a:xfrm>
                            <a:off x="1767205" y="203200"/>
                            <a:ext cx="1547495" cy="277495"/>
                          </a:xfrm>
                          <a:prstGeom prst="rect">
                            <a:avLst/>
                          </a:prstGeom>
                          <a:solidFill>
                            <a:schemeClr val="lt1"/>
                          </a:solid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14:paraId="54BD041E">
                              <w:pPr>
                                <w:rPr>
                                  <w:rFonts w:hint="default" w:eastAsiaTheme="minorEastAsia"/>
                                  <w:lang w:val="en-US" w:eastAsia="zh-CN"/>
                                </w:rPr>
                              </w:pPr>
                              <w:r>
                                <w:rPr>
                                  <w:rFonts w:hint="eastAsia"/>
                                  <w:lang w:val="en-US" w:eastAsia="zh-CN"/>
                                </w:rPr>
                                <w:t>物化反应沉淀池预处理</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0" name="文本框 50"/>
                        <wps:cNvSpPr txBox="1"/>
                        <wps:spPr>
                          <a:xfrm>
                            <a:off x="505460" y="1727835"/>
                            <a:ext cx="619125" cy="277495"/>
                          </a:xfrm>
                          <a:prstGeom prst="rect">
                            <a:avLst/>
                          </a:prstGeom>
                          <a:solidFill>
                            <a:schemeClr val="lt1"/>
                          </a:solid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14:paraId="04F62FFF">
                              <w:pPr>
                                <w:rPr>
                                  <w:rFonts w:hint="default" w:eastAsiaTheme="minorEastAsia"/>
                                  <w:lang w:val="en-US" w:eastAsia="zh-CN"/>
                                </w:rPr>
                              </w:pPr>
                              <w:r>
                                <w:rPr>
                                  <w:rFonts w:hint="eastAsia"/>
                                  <w:lang w:val="en-US" w:eastAsia="zh-CN"/>
                                </w:rPr>
                                <w:t>沉淀罐</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1" name="文本框 51"/>
                        <wps:cNvSpPr txBox="1"/>
                        <wps:spPr>
                          <a:xfrm>
                            <a:off x="443230" y="1125855"/>
                            <a:ext cx="769620" cy="277495"/>
                          </a:xfrm>
                          <a:prstGeom prst="rect">
                            <a:avLst/>
                          </a:prstGeom>
                          <a:solidFill>
                            <a:schemeClr val="lt1"/>
                          </a:solid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14:paraId="1520E600">
                              <w:pPr>
                                <w:rPr>
                                  <w:rFonts w:hint="default" w:eastAsiaTheme="minorEastAsia"/>
                                  <w:lang w:val="en-US" w:eastAsia="zh-CN"/>
                                </w:rPr>
                              </w:pPr>
                              <w:r>
                                <w:rPr>
                                  <w:rFonts w:hint="eastAsia"/>
                                  <w:lang w:val="en-US" w:eastAsia="zh-CN"/>
                                </w:rPr>
                                <w:t>后置气浮</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2" name="文本框 52"/>
                        <wps:cNvSpPr txBox="1"/>
                        <wps:spPr>
                          <a:xfrm>
                            <a:off x="1509395" y="1080135"/>
                            <a:ext cx="619125" cy="277495"/>
                          </a:xfrm>
                          <a:prstGeom prst="rect">
                            <a:avLst/>
                          </a:prstGeom>
                          <a:solidFill>
                            <a:schemeClr val="lt1"/>
                          </a:solid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14:paraId="3E78BF76">
                              <w:pPr>
                                <w:rPr>
                                  <w:rFonts w:hint="default" w:eastAsiaTheme="minorEastAsia"/>
                                  <w:lang w:val="en-US" w:eastAsia="zh-CN"/>
                                </w:rPr>
                              </w:pPr>
                              <w:r>
                                <w:rPr>
                                  <w:rFonts w:hint="eastAsia"/>
                                  <w:lang w:val="en-US" w:eastAsia="zh-CN"/>
                                </w:rPr>
                                <w:t>沉淀桶</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6" name="文本框 56"/>
                        <wps:cNvSpPr txBox="1"/>
                        <wps:spPr>
                          <a:xfrm>
                            <a:off x="0" y="640080"/>
                            <a:ext cx="1697990" cy="27749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5B7A7F1D">
                              <w:pPr>
                                <w:rPr>
                                  <w:rFonts w:hint="default" w:eastAsiaTheme="minorEastAsia"/>
                                  <w:lang w:val="en-US" w:eastAsia="zh-CN"/>
                                </w:rPr>
                              </w:pPr>
                              <w:r>
                                <w:rPr>
                                  <w:rFonts w:hint="eastAsia"/>
                                  <w:lang w:val="en-US" w:eastAsia="zh-CN"/>
                                </w:rPr>
                                <w:t>聚合硫酸铁、聚丙烯酰胺</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0" name="文本框 60"/>
                        <wps:cNvSpPr txBox="1"/>
                        <wps:spPr>
                          <a:xfrm>
                            <a:off x="1443355" y="1704975"/>
                            <a:ext cx="882015" cy="27749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19D59D35">
                              <w:pPr>
                                <w:rPr>
                                  <w:rFonts w:hint="default" w:eastAsiaTheme="minorEastAsia"/>
                                  <w:lang w:val="en-US" w:eastAsia="zh-CN"/>
                                </w:rPr>
                              </w:pPr>
                              <w:r>
                                <w:rPr>
                                  <w:rFonts w:hint="eastAsia"/>
                                  <w:lang w:val="en-US" w:eastAsia="zh-CN"/>
                                </w:rPr>
                                <w:t>废水总排口</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2" name="文本框 62"/>
                        <wps:cNvSpPr txBox="1"/>
                        <wps:spPr>
                          <a:xfrm>
                            <a:off x="2545080" y="1671955"/>
                            <a:ext cx="2078990" cy="27749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158F19B8">
                              <w:pPr>
                                <w:rPr>
                                  <w:rFonts w:hint="default" w:eastAsiaTheme="minorEastAsia"/>
                                  <w:lang w:val="en-US" w:eastAsia="zh-CN"/>
                                </w:rPr>
                              </w:pPr>
                              <w:r>
                                <w:rPr>
                                  <w:rFonts w:hint="eastAsia" w:ascii="Times New Roman" w:hAnsi="Times New Roman" w:eastAsia="宋体" w:cs="Times New Roman"/>
                                  <w:color w:val="auto"/>
                                  <w:sz w:val="24"/>
                                  <w:szCs w:val="24"/>
                                </w:rPr>
                                <w:t>津市高新区工业污水处理厂</w:t>
                              </w:r>
                            </w:p>
                          </w:txbxContent>
                        </wps:txbx>
                        <wps:bodyPr rot="0" spcFirstLastPara="0" vertOverflow="overflow" horzOverflow="overflow" vert="horz" wrap="square" lIns="91440" tIns="45720" rIns="91440" bIns="45720" numCol="1" spcCol="0" rtlCol="0" fromWordArt="0" anchor="t" anchorCtr="0" forceAA="0" compatLnSpc="1">
                          <a:noAutofit/>
                        </wps:bodyPr>
                      </wps:wsp>
                    </wpc:wpc>
                  </a:graphicData>
                </a:graphic>
              </wp:inline>
            </w:drawing>
          </mc:Choice>
          <mc:Fallback>
            <w:pict>
              <v:group id="_x0000_s1026" o:spid="_x0000_s1026" o:spt="203" style="height:157.4pt;width:415.3pt;" coordsize="5274310,1998980" editas="canvas" o:gfxdata="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">
                <o:lock v:ext="edit" aspectratio="f"/>
                <v:shape id="_x0000_s1026" o:spid="_x0000_s1026" style="position:absolute;left:0;top:0;height:1998980;width:5274310;" filled="f" stroked="f" coordsize="21600,21600" o:gfxdata="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">
                  <v:fill on="f" focussize="0,0"/>
                  <v:stroke on="f"/>
                  <v:imagedata o:title=""/>
                  <o:lock v:ext="edit" aspectratio="f"/>
                </v:shape>
                <v:rect id="_x0000_s1026" o:spid="_x0000_s1026" o:spt="1" style="position:absolute;left:161290;top:364490;height:238125;width:563880;v-text-anchor:middle;" filled="f" stroked="f" coordsize="21600,21600" o:gfxdata="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CaSYPh1QAAAAUBAAAP&#10;AAAAAAAAAAEAIAAAACIAAABkcnMvZG93bnJldi54bWxQSwECFAAUAAAACACHTuJAx52HflQCAACW&#10;BAAADgAAAAAAAAABACAAAAAkAQAAZHJzL2Uyb0RvYy54bWxQSwUGAAAAAAYABgBZAQAA6gUAAAAA&#10;">
                  <v:fill on="f" focussize="0,0"/>
                  <v:stroke on="f" weight="2pt"/>
                  <v:imagedata o:title=""/>
                  <o:lock v:ext="edit" aspectratio="f"/>
                </v:rect>
                <v:shape id="_x0000_s1026" o:spid="_x0000_s1026" o:spt="202" type="#_x0000_t202" style="position:absolute;left:161290;top:221615;height:277495;width:492760;" fillcolor="#FFFFFF [3201]" filled="t" stroked="f" coordsize="21600,21600" o:gfxdata="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M/3eYXSAAAABQEA&#10;AA8AAAAAAAAAAQAgAAAAIgAAAGRycy9kb3ducmV2LnhtbFBLAQIUABQAAAAIAIdO4kBes6O7WQIA&#10;AJoEAAAOAAAAAAAAAAEAIAAAACEBAABkcnMvZTJvRG9jLnhtbFBLBQYAAAAABgAGAFkBAADsBQAA&#10;AAA=&#10;">
                  <v:fill on="t" focussize="0,0"/>
                  <v:stroke on="f" weight="0.5pt"/>
                  <v:imagedata o:title=""/>
                  <o:lock v:ext="edit" aspectratio="f"/>
                  <v:textbox>
                    <w:txbxContent>
                      <w:p w14:paraId="25751674">
                        <w:pPr>
                          <w:rPr>
                            <w:rFonts w:hint="eastAsia" w:eastAsiaTheme="minorEastAsia"/>
                            <w:lang w:val="en-US" w:eastAsia="zh-CN"/>
                          </w:rPr>
                        </w:pPr>
                        <w:r>
                          <w:rPr>
                            <w:rFonts w:hint="eastAsia"/>
                            <w:lang w:val="en-US" w:eastAsia="zh-CN"/>
                          </w:rPr>
                          <w:t>废水</w:t>
                        </w:r>
                      </w:p>
                    </w:txbxContent>
                  </v:textbox>
                </v:shape>
                <v:shape id="_x0000_s1026" o:spid="_x0000_s1026" o:spt="202" type="#_x0000_t202" style="position:absolute;left:179705;top:179705;height:277495;width:492760;" fillcolor="#FFFFFF [3201]" filled="t" stroked="f" coordsize="21600,21600" o:gfxdata="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DP93mF0gAAAAUBAAAPAAAA&#10;AAAAAAEAIAAAACIAAABkcnMvZG93bnJldi54bWxQSwECFAAUAAAACACHTuJAVDqJYFQCAACaBAAA&#10;DgAAAAAAAAABACAAAAAhAQAAZHJzL2Uyb0RvYy54bWxQSwUGAAAAAAYABgBZAQAA5wUAAAAA&#10;">
                  <v:fill on="t" focussize="0,0"/>
                  <v:stroke on="f" weight="0.5pt"/>
                  <v:imagedata o:title=""/>
                  <o:lock v:ext="edit" aspectratio="f"/>
                  <v:textbox>
                    <w:txbxContent>
                      <w:p w14:paraId="24DE17E3">
                        <w:pPr>
                          <w:rPr>
                            <w:rFonts w:hint="eastAsia" w:eastAsiaTheme="minorEastAsia"/>
                            <w:lang w:val="en-US" w:eastAsia="zh-CN"/>
                          </w:rPr>
                        </w:pPr>
                        <w:r>
                          <w:rPr>
                            <w:rFonts w:hint="eastAsia"/>
                            <w:lang w:val="en-US" w:eastAsia="zh-CN"/>
                          </w:rPr>
                          <w:t>废水</w:t>
                        </w:r>
                      </w:p>
                    </w:txbxContent>
                  </v:textbox>
                </v:shape>
                <v:shape id="_x0000_s1026" o:spid="_x0000_s1026" o:spt="202" type="#_x0000_t202" style="position:absolute;left:871220;top:212725;height:277495;width:619125;" fillcolor="#FFFFFF [3201]" filled="t" stroked="t" coordsize="21600,21600" o:gfxdata="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Ndcz&#10;VtIAAAAFAQAADwAAAAAAAAABACAAAAAiAAAAZHJzL2Rvd25yZXYueG1sUEsBAhQAFAAAAAgAh07i&#10;QApko9JhAgAAwwQAAA4AAAAAAAAAAQAgAAAAIQEAAGRycy9lMm9Eb2MueG1sUEsFBgAAAAAGAAYA&#10;WQEAAPQFAAAAAA==&#10;">
                  <v:fill on="t" focussize="0,0"/>
                  <v:stroke weight="0.5pt" color="#000000 [3213]" joinstyle="round"/>
                  <v:imagedata o:title=""/>
                  <o:lock v:ext="edit" aspectratio="f"/>
                  <v:textbox>
                    <w:txbxContent>
                      <w:p w14:paraId="64B53F23">
                        <w:pPr>
                          <w:rPr>
                            <w:rFonts w:hint="default" w:eastAsiaTheme="minorEastAsia"/>
                            <w:lang w:val="en-US" w:eastAsia="zh-CN"/>
                          </w:rPr>
                        </w:pPr>
                        <w:r>
                          <w:rPr>
                            <w:rFonts w:hint="eastAsia"/>
                            <w:lang w:val="en-US" w:eastAsia="zh-CN"/>
                          </w:rPr>
                          <w:t>贮存池</w:t>
                        </w:r>
                      </w:p>
                    </w:txbxContent>
                  </v:textbox>
                </v:shape>
                <v:shape id="_x0000_s1026" o:spid="_x0000_s1026" o:spt="202" type="#_x0000_t202" style="position:absolute;left:2362200;top:1061085;height:277495;width:944245;" fillcolor="#FFFFFF [3201]" filled="t" stroked="t" coordsize="21600,21600" o:gfxdata="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NdczVtIAAAAFAQAADwAAAAAAAAABACAAAAAiAAAAZHJzL2Rvd25yZXYueG1sUEsBAhQAFAAAAAgA&#10;h07iQJInFipkAgAAxQQAAA4AAAAAAAAAAQAgAAAAIQEAAGRycy9lMm9Eb2MueG1sUEsFBgAAAAAG&#10;AAYAWQEAAPcFAAAAAA==&#10;">
                  <v:fill on="t" focussize="0,0"/>
                  <v:stroke weight="0.5pt" color="#000000 [3213]" joinstyle="round"/>
                  <v:imagedata o:title=""/>
                  <o:lock v:ext="edit" aspectratio="f"/>
                  <v:textbox>
                    <w:txbxContent>
                      <w:p w14:paraId="55CA1710">
                        <w:pPr>
                          <w:rPr>
                            <w:rFonts w:hint="default" w:eastAsiaTheme="minorEastAsia"/>
                            <w:lang w:val="en-US" w:eastAsia="zh-CN"/>
                          </w:rPr>
                        </w:pPr>
                        <w:r>
                          <w:rPr>
                            <w:rFonts w:hint="eastAsia"/>
                            <w:lang w:val="en-US" w:eastAsia="zh-CN"/>
                          </w:rPr>
                          <w:t>一期A/O池</w:t>
                        </w:r>
                      </w:p>
                    </w:txbxContent>
                  </v:textbox>
                </v:shape>
                <v:shape id="_x0000_s1026" o:spid="_x0000_s1026" o:spt="202" type="#_x0000_t202" style="position:absolute;left:3547110;top:1014730;height:277495;width:902970;" fillcolor="#FFFFFF [3201]" filled="t" stroked="t" coordsize="21600,21600" o:gfxdata="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Ndcz&#10;VtIAAAAFAQAADwAAAAAAAAABACAAAAAiAAAAZHJzL2Rvd25yZXYueG1sUEsBAhQAFAAAAAgAh07i&#10;QGxtMeZhAgAAxQQAAA4AAAAAAAAAAQAgAAAAIQEAAGRycy9lMm9Eb2MueG1sUEsFBgAAAAAGAAYA&#10;WQEAAPQFAAAAAA==&#10;">
                  <v:fill on="t" focussize="0,0"/>
                  <v:stroke weight="0.5pt" color="#000000 [3213]" joinstyle="round"/>
                  <v:imagedata o:title=""/>
                  <o:lock v:ext="edit" aspectratio="f"/>
                  <v:textbox>
                    <w:txbxContent>
                      <w:p w14:paraId="2FFE8E28">
                        <w:pPr>
                          <w:rPr>
                            <w:rFonts w:hint="default" w:eastAsiaTheme="minorEastAsia"/>
                            <w:lang w:val="en-US" w:eastAsia="zh-CN"/>
                          </w:rPr>
                        </w:pPr>
                        <w:r>
                          <w:rPr>
                            <w:rFonts w:hint="eastAsia"/>
                            <w:lang w:val="en-US" w:eastAsia="zh-CN"/>
                          </w:rPr>
                          <w:t>二期好氧池</w:t>
                        </w:r>
                      </w:p>
                    </w:txbxContent>
                  </v:textbox>
                </v:shape>
                <v:shape id="_x0000_s1026" o:spid="_x0000_s1026" o:spt="202" type="#_x0000_t202" style="position:absolute;left:4715510;top:993140;height:277495;width:500380;" fillcolor="#FFFFFF [3201]" filled="t" stroked="t" coordsize="21600,21600" o:gfxdata="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11zNW&#10;0gAAAAUBAAAPAAAAAAAAAAEAIAAAACIAAABkcnMvZG93bnJldi54bWxQSwECFAAUAAAACACHTuJA&#10;V3vlNGACAADEBAAADgAAAAAAAAABACAAAAAhAQAAZHJzL2Uyb0RvYy54bWxQSwUGAAAAAAYABgBZ&#10;AQAA8wUAAAAA&#10;">
                  <v:fill on="t" focussize="0,0"/>
                  <v:stroke weight="0.5pt" color="#000000 [3213]" joinstyle="round"/>
                  <v:imagedata o:title=""/>
                  <o:lock v:ext="edit" aspectratio="f"/>
                  <v:textbox>
                    <w:txbxContent>
                      <w:p w14:paraId="00A1D5C3">
                        <w:pPr>
                          <w:rPr>
                            <w:rFonts w:hint="default" w:eastAsiaTheme="minorEastAsia"/>
                            <w:lang w:val="en-US" w:eastAsia="zh-CN"/>
                          </w:rPr>
                        </w:pPr>
                        <w:r>
                          <w:rPr>
                            <w:rFonts w:hint="eastAsia"/>
                            <w:lang w:val="en-US" w:eastAsia="zh-CN"/>
                          </w:rPr>
                          <w:t>UASB</w:t>
                        </w:r>
                      </w:p>
                    </w:txbxContent>
                  </v:textbox>
                </v:shape>
                <v:shape id="_x0000_s1026" o:spid="_x0000_s1026" o:spt="202" type="#_x0000_t202" style="position:absolute;left:4569460;top:215900;height:277495;width:619125;" fillcolor="#FFFFFF [3201]" filled="t" stroked="t" coordsize="21600,21600" o:gfxdata="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DXXM1bS&#10;AAAABQEAAA8AAAAAAAAAAQAgAAAAIgAAAGRycy9kb3ducmV2LnhtbFBLAQIUABQAAAAIAIdO4kB1&#10;3HnwXwIAAMQEAAAOAAAAAAAAAAEAIAAAACEBAABkcnMvZTJvRG9jLnhtbFBLBQYAAAAABgAGAFkB&#10;AADyBQAAAAA=&#10;">
                  <v:fill on="t" focussize="0,0"/>
                  <v:stroke weight="0.5pt" color="#000000 [3213]" joinstyle="round"/>
                  <v:imagedata o:title=""/>
                  <o:lock v:ext="edit" aspectratio="f"/>
                  <v:textbox>
                    <w:txbxContent>
                      <w:p w14:paraId="108B99D7">
                        <w:pPr>
                          <w:rPr>
                            <w:rFonts w:hint="default" w:eastAsiaTheme="minorEastAsia"/>
                            <w:lang w:val="en-US" w:eastAsia="zh-CN"/>
                          </w:rPr>
                        </w:pPr>
                        <w:r>
                          <w:rPr>
                            <w:rFonts w:hint="eastAsia"/>
                            <w:lang w:val="en-US" w:eastAsia="zh-CN"/>
                          </w:rPr>
                          <w:t>调配池</w:t>
                        </w:r>
                      </w:p>
                    </w:txbxContent>
                  </v:textbox>
                </v:shape>
                <v:shape id="_x0000_s1026" o:spid="_x0000_s1026" o:spt="202" type="#_x0000_t202" style="position:absolute;left:3575050;top:210185;height:277495;width:739140;" fillcolor="#FFFFFF [3201]" filled="t" stroked="t" coordsize="21600,21600" o:gfxdata="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NdczVtIA&#10;AAAFAQAADwAAAAAAAAABACAAAAAiAAAAZHJzL2Rvd25yZXYueG1sUEsBAhQAFAAAAAgAh07iQBNF&#10;cg1eAgAAxAQAAA4AAAAAAAAAAQAgAAAAIQEAAGRycy9lMm9Eb2MueG1sUEsFBgAAAAAGAAYAWQEA&#10;APEFAAAAAA==&#10;">
                  <v:fill on="t" focussize="0,0"/>
                  <v:stroke weight="0.5pt" color="#000000 [3213]" joinstyle="round"/>
                  <v:imagedata o:title=""/>
                  <o:lock v:ext="edit" aspectratio="f"/>
                  <v:textbox>
                    <w:txbxContent>
                      <w:p w14:paraId="66126420">
                        <w:pPr>
                          <w:rPr>
                            <w:rFonts w:hint="default" w:eastAsiaTheme="minorEastAsia"/>
                            <w:lang w:val="en-US" w:eastAsia="zh-CN"/>
                          </w:rPr>
                        </w:pPr>
                        <w:r>
                          <w:rPr>
                            <w:rFonts w:hint="eastAsia"/>
                            <w:lang w:val="en-US" w:eastAsia="zh-CN"/>
                          </w:rPr>
                          <w:t>一级气浮</w:t>
                        </w:r>
                      </w:p>
                    </w:txbxContent>
                  </v:textbox>
                </v:shape>
                <v:shape id="_x0000_s1026" o:spid="_x0000_s1026" o:spt="202" type="#_x0000_t202" style="position:absolute;left:1767205;top:203200;height:277495;width:1547495;" fillcolor="#FFFFFF [3201]" filled="t" stroked="t" coordsize="21600,21600" o:gfxdata="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DXXM1bS&#10;AAAABQEAAA8AAAAAAAAAAQAgAAAAIgAAAGRycy9kb3ducmV2LnhtbFBLAQIUABQAAAAIAIdO4kAl&#10;+qkGXwIAAMUEAAAOAAAAAAAAAAEAIAAAACEBAABkcnMvZTJvRG9jLnhtbFBLBQYAAAAABgAGAFkB&#10;AADyBQAAAAA=&#10;">
                  <v:fill on="t" focussize="0,0"/>
                  <v:stroke weight="0.5pt" color="#000000 [3213]" joinstyle="round"/>
                  <v:imagedata o:title=""/>
                  <o:lock v:ext="edit" aspectratio="f"/>
                  <v:textbox>
                    <w:txbxContent>
                      <w:p w14:paraId="54BD041E">
                        <w:pPr>
                          <w:rPr>
                            <w:rFonts w:hint="default" w:eastAsiaTheme="minorEastAsia"/>
                            <w:lang w:val="en-US" w:eastAsia="zh-CN"/>
                          </w:rPr>
                        </w:pPr>
                        <w:r>
                          <w:rPr>
                            <w:rFonts w:hint="eastAsia"/>
                            <w:lang w:val="en-US" w:eastAsia="zh-CN"/>
                          </w:rPr>
                          <w:t>物化反应沉淀池预处理</w:t>
                        </w:r>
                      </w:p>
                    </w:txbxContent>
                  </v:textbox>
                </v:shape>
                <v:shape id="_x0000_s1026" o:spid="_x0000_s1026" o:spt="202" type="#_x0000_t202" style="position:absolute;left:505460;top:1727835;height:277495;width:619125;" fillcolor="#FFFFFF [3201]" filled="t" stroked="t" coordsize="21600,21600" o:gfxdata="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DXXM1bS&#10;AAAABQEAAA8AAAAAAAAAAQAgAAAAIgAAAGRycy9kb3ducmV2LnhtbFBLAQIUABQAAAAIAIdO4kDR&#10;tI7QXwIAAMQEAAAOAAAAAAAAAAEAIAAAACEBAABkcnMvZTJvRG9jLnhtbFBLBQYAAAAABgAGAFkB&#10;AADyBQAAAAA=&#10;">
                  <v:fill on="t" focussize="0,0"/>
                  <v:stroke weight="0.5pt" color="#000000 [3213]" joinstyle="round"/>
                  <v:imagedata o:title=""/>
                  <o:lock v:ext="edit" aspectratio="f"/>
                  <v:textbox>
                    <w:txbxContent>
                      <w:p w14:paraId="04F62FFF">
                        <w:pPr>
                          <w:rPr>
                            <w:rFonts w:hint="default" w:eastAsiaTheme="minorEastAsia"/>
                            <w:lang w:val="en-US" w:eastAsia="zh-CN"/>
                          </w:rPr>
                        </w:pPr>
                        <w:r>
                          <w:rPr>
                            <w:rFonts w:hint="eastAsia"/>
                            <w:lang w:val="en-US" w:eastAsia="zh-CN"/>
                          </w:rPr>
                          <w:t>沉淀罐</w:t>
                        </w:r>
                      </w:p>
                    </w:txbxContent>
                  </v:textbox>
                </v:shape>
                <v:shape id="_x0000_s1026" o:spid="_x0000_s1026" o:spt="202" type="#_x0000_t202" style="position:absolute;left:443230;top:1125855;height:277495;width:769620;" fillcolor="#FFFFFF [3201]" filled="t" stroked="t" coordsize="21600,21600" o:gfxdata="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A1&#10;1zNW0gAAAAUBAAAPAAAAAAAAAAEAIAAAACIAAABkcnMvZG93bnJldi54bWxQSwECFAAUAAAACACH&#10;TuJAgpZyB2MCAADEBAAADgAAAAAAAAABACAAAAAhAQAAZHJzL2Uyb0RvYy54bWxQSwUGAAAAAAYA&#10;BgBZAQAA9gUAAAAA&#10;">
                  <v:fill on="t" focussize="0,0"/>
                  <v:stroke weight="0.5pt" color="#000000 [3213]" joinstyle="round"/>
                  <v:imagedata o:title=""/>
                  <o:lock v:ext="edit" aspectratio="f"/>
                  <v:textbox>
                    <w:txbxContent>
                      <w:p w14:paraId="1520E600">
                        <w:pPr>
                          <w:rPr>
                            <w:rFonts w:hint="default" w:eastAsiaTheme="minorEastAsia"/>
                            <w:lang w:val="en-US" w:eastAsia="zh-CN"/>
                          </w:rPr>
                        </w:pPr>
                        <w:r>
                          <w:rPr>
                            <w:rFonts w:hint="eastAsia"/>
                            <w:lang w:val="en-US" w:eastAsia="zh-CN"/>
                          </w:rPr>
                          <w:t>后置气浮</w:t>
                        </w:r>
                      </w:p>
                    </w:txbxContent>
                  </v:textbox>
                </v:shape>
                <v:shape id="_x0000_s1026" o:spid="_x0000_s1026" o:spt="202" type="#_x0000_t202" style="position:absolute;left:1509395;top:1080135;height:277495;width:619125;" fillcolor="#FFFFFF [3201]" filled="t" stroked="t" coordsize="21600,21600" o:gfxdata="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Ndcz&#10;VtIAAAAFAQAADwAAAAAAAAABACAAAAAiAAAAZHJzL2Rvd25yZXYueG1sUEsBAhQAFAAAAAgAh07i&#10;QBStYqRhAgAAxQQAAA4AAAAAAAAAAQAgAAAAIQEAAGRycy9lMm9Eb2MueG1sUEsFBgAAAAAGAAYA&#10;WQEAAPQFAAAAAA==&#10;">
                  <v:fill on="t" focussize="0,0"/>
                  <v:stroke weight="0.5pt" color="#000000 [3213]" joinstyle="round"/>
                  <v:imagedata o:title=""/>
                  <o:lock v:ext="edit" aspectratio="f"/>
                  <v:textbox>
                    <w:txbxContent>
                      <w:p w14:paraId="3E78BF76">
                        <w:pPr>
                          <w:rPr>
                            <w:rFonts w:hint="default" w:eastAsiaTheme="minorEastAsia"/>
                            <w:lang w:val="en-US" w:eastAsia="zh-CN"/>
                          </w:rPr>
                        </w:pPr>
                        <w:r>
                          <w:rPr>
                            <w:rFonts w:hint="eastAsia"/>
                            <w:lang w:val="en-US" w:eastAsia="zh-CN"/>
                          </w:rPr>
                          <w:t>沉淀桶</w:t>
                        </w:r>
                      </w:p>
                    </w:txbxContent>
                  </v:textbox>
                </v:shape>
                <v:shape id="_x0000_s1026" o:spid="_x0000_s1026" o:spt="202" type="#_x0000_t202" style="position:absolute;left:0;top:640080;height:277495;width:1697990;" fillcolor="#FFFFFF [3201]" filled="t" stroked="f" coordsize="21600,21600" o:gfxdata="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M/3eYXSAAAABQEAAA8A&#10;AAAAAAAAAQAgAAAAIgAAAGRycy9kb3ducmV2LnhtbFBLAQIUABQAAAAIAIdO4kDl/yJzVgIAAJYE&#10;AAAOAAAAAAAAAAEAIAAAACEBAABkcnMvZTJvRG9jLnhtbFBLBQYAAAAABgAGAFkBAADpBQAAAAA=&#10;">
                  <v:fill on="t" focussize="0,0"/>
                  <v:stroke on="f" weight="0.5pt"/>
                  <v:imagedata o:title=""/>
                  <o:lock v:ext="edit" aspectratio="f"/>
                  <v:textbox>
                    <w:txbxContent>
                      <w:p w14:paraId="5B7A7F1D">
                        <w:pPr>
                          <w:rPr>
                            <w:rFonts w:hint="default" w:eastAsiaTheme="minorEastAsia"/>
                            <w:lang w:val="en-US" w:eastAsia="zh-CN"/>
                          </w:rPr>
                        </w:pPr>
                        <w:r>
                          <w:rPr>
                            <w:rFonts w:hint="eastAsia"/>
                            <w:lang w:val="en-US" w:eastAsia="zh-CN"/>
                          </w:rPr>
                          <w:t>聚合硫酸铁、聚丙烯酰胺</w:t>
                        </w:r>
                      </w:p>
                    </w:txbxContent>
                  </v:textbox>
                </v:shape>
                <v:shape id="_x0000_s1026" o:spid="_x0000_s1026" o:spt="202" type="#_x0000_t202" style="position:absolute;left:1443355;top:1704975;height:277495;width:882015;" fillcolor="#FFFFFF [3201]" filled="t" stroked="f" coordsize="21600,21600" o:gfxdata="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DP93mF0gAAAAUB&#10;AAAPAAAAAAAAAAEAIAAAACIAAABkcnMvZG93bnJldi54bWxQSwECFAAUAAAACACHTuJAaDjI0VoC&#10;AACcBAAADgAAAAAAAAABACAAAAAhAQAAZHJzL2Uyb0RvYy54bWxQSwUGAAAAAAYABgBZAQAA7QUA&#10;AAAA&#10;">
                  <v:fill on="t" focussize="0,0"/>
                  <v:stroke on="f" weight="0.5pt"/>
                  <v:imagedata o:title=""/>
                  <o:lock v:ext="edit" aspectratio="f"/>
                  <v:textbox>
                    <w:txbxContent>
                      <w:p w14:paraId="19D59D35">
                        <w:pPr>
                          <w:rPr>
                            <w:rFonts w:hint="default" w:eastAsiaTheme="minorEastAsia"/>
                            <w:lang w:val="en-US" w:eastAsia="zh-CN"/>
                          </w:rPr>
                        </w:pPr>
                        <w:r>
                          <w:rPr>
                            <w:rFonts w:hint="eastAsia"/>
                            <w:lang w:val="en-US" w:eastAsia="zh-CN"/>
                          </w:rPr>
                          <w:t>废水总排口</w:t>
                        </w:r>
                      </w:p>
                    </w:txbxContent>
                  </v:textbox>
                </v:shape>
                <v:shape id="_x0000_s1026" o:spid="_x0000_s1026" o:spt="202" type="#_x0000_t202" style="position:absolute;left:2545080;top:1671955;height:277495;width:2078990;" fillcolor="#FFFFFF [3201]" filled="t" stroked="f" coordsize="21600,21600" o:gfxdata="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P93mF0gAA&#10;AAUBAAAPAAAAAAAAAAEAIAAAACIAAABkcnMvZG93bnJldi54bWxQSwECFAAUAAAACACHTuJA4wtI&#10;k10CAACdBAAADgAAAAAAAAABACAAAAAhAQAAZHJzL2Uyb0RvYy54bWxQSwUGAAAAAAYABgBZAQAA&#10;8AUAAAAA&#10;">
                  <v:fill on="t" focussize="0,0"/>
                  <v:stroke on="f" weight="0.5pt"/>
                  <v:imagedata o:title=""/>
                  <o:lock v:ext="edit" aspectratio="f"/>
                  <v:textbox>
                    <w:txbxContent>
                      <w:p w14:paraId="158F19B8">
                        <w:pPr>
                          <w:rPr>
                            <w:rFonts w:hint="default" w:eastAsiaTheme="minorEastAsia"/>
                            <w:lang w:val="en-US" w:eastAsia="zh-CN"/>
                          </w:rPr>
                        </w:pPr>
                        <w:r>
                          <w:rPr>
                            <w:rFonts w:hint="eastAsia" w:ascii="Times New Roman" w:hAnsi="Times New Roman" w:eastAsia="宋体" w:cs="Times New Roman"/>
                            <w:color w:val="auto"/>
                            <w:sz w:val="24"/>
                            <w:szCs w:val="24"/>
                          </w:rPr>
                          <w:t>津市高新区工业污水处理厂</w:t>
                        </w:r>
                      </w:p>
                    </w:txbxContent>
                  </v:textbox>
                </v:shape>
                <w10:wrap type="none"/>
                <w10:anchorlock/>
              </v:group>
            </w:pict>
          </mc:Fallback>
        </mc:AlternateContent>
      </w:r>
    </w:p>
    <w:p w14:paraId="505789E9">
      <w:pPr>
        <w:spacing w:line="360" w:lineRule="auto"/>
        <w:rPr>
          <w:rFonts w:hint="eastAsia"/>
          <w:sz w:val="24"/>
          <w:lang w:val="en-US" w:eastAsia="zh-CN"/>
        </w:rPr>
      </w:pPr>
    </w:p>
    <w:p w14:paraId="4EBECDF1">
      <w:pPr>
        <w:pStyle w:val="6"/>
        <w:bidi w:val="0"/>
      </w:pPr>
      <w:r>
        <w:rPr>
          <w:rFonts w:hint="eastAsia"/>
        </w:rPr>
        <w:t>图3.1.11-</w:t>
      </w:r>
      <w:r>
        <w:rPr>
          <w:rFonts w:hint="eastAsia"/>
          <w:lang w:val="en-US" w:eastAsia="zh-CN"/>
        </w:rPr>
        <w:t>3</w:t>
      </w:r>
      <w:r>
        <w:rPr>
          <w:rFonts w:hint="eastAsia"/>
        </w:rPr>
        <w:t xml:space="preserve">   污水处理站（综合污水处理系统）工艺流程图</w:t>
      </w:r>
    </w:p>
    <w:p w14:paraId="08EF62C2">
      <w:pPr>
        <w:spacing w:line="360" w:lineRule="auto"/>
        <w:ind w:firstLine="480" w:firstLineChars="200"/>
        <w:rPr>
          <w:rFonts w:ascii="Times New Roman" w:hAnsi="Times New Roman" w:eastAsia="宋体" w:cs="Times New Roman"/>
          <w:color w:val="auto"/>
          <w:sz w:val="24"/>
          <w:szCs w:val="24"/>
          <w:u w:val="none"/>
        </w:rPr>
      </w:pPr>
      <w:r>
        <w:rPr>
          <w:rFonts w:hint="eastAsia" w:ascii="Times New Roman" w:hAnsi="Times New Roman" w:eastAsia="宋体" w:cs="Times New Roman"/>
          <w:color w:val="auto"/>
          <w:sz w:val="24"/>
          <w:szCs w:val="24"/>
          <w:u w:val="none"/>
        </w:rPr>
        <w:t>本次环评</w:t>
      </w:r>
      <w:r>
        <w:rPr>
          <w:rFonts w:hint="eastAsia" w:ascii="Times New Roman" w:hAnsi="Times New Roman" w:eastAsia="宋体" w:cs="Times New Roman"/>
          <w:color w:val="auto"/>
          <w:sz w:val="24"/>
          <w:szCs w:val="24"/>
          <w:u w:val="none"/>
          <w:lang w:val="en-US" w:eastAsia="zh-CN"/>
        </w:rPr>
        <w:t>收集了2024年</w:t>
      </w:r>
      <w:r>
        <w:rPr>
          <w:rFonts w:hint="eastAsia" w:ascii="Times New Roman" w:hAnsi="Times New Roman" w:eastAsia="宋体" w:cs="Times New Roman"/>
          <w:color w:val="auto"/>
          <w:sz w:val="24"/>
          <w:szCs w:val="24"/>
          <w:u w:val="none"/>
        </w:rPr>
        <w:t>厂区废水总排口</w:t>
      </w:r>
      <w:r>
        <w:rPr>
          <w:rFonts w:hint="eastAsia" w:ascii="Times New Roman" w:hAnsi="Times New Roman" w:eastAsia="宋体" w:cs="Times New Roman"/>
          <w:color w:val="auto"/>
          <w:sz w:val="24"/>
          <w:szCs w:val="24"/>
          <w:u w:val="none"/>
          <w:lang w:val="en-US" w:eastAsia="zh-CN"/>
        </w:rPr>
        <w:t>常规监测</w:t>
      </w:r>
      <w:r>
        <w:rPr>
          <w:rFonts w:hint="eastAsia" w:ascii="Times New Roman" w:hAnsi="Times New Roman" w:eastAsia="宋体" w:cs="Times New Roman"/>
          <w:color w:val="auto"/>
          <w:sz w:val="24"/>
          <w:szCs w:val="24"/>
          <w:u w:val="none"/>
        </w:rPr>
        <w:t>数据</w:t>
      </w:r>
      <w:r>
        <w:rPr>
          <w:rFonts w:hint="eastAsia" w:ascii="Times New Roman" w:hAnsi="Times New Roman" w:eastAsia="宋体" w:cs="Times New Roman"/>
          <w:color w:val="auto"/>
          <w:sz w:val="24"/>
          <w:szCs w:val="24"/>
          <w:u w:val="none"/>
          <w:lang w:val="en-US" w:eastAsia="zh-CN"/>
        </w:rPr>
        <w:t>及五期项目验收监测数据</w:t>
      </w:r>
      <w:r>
        <w:rPr>
          <w:rFonts w:hint="eastAsia" w:ascii="Times New Roman" w:hAnsi="Times New Roman" w:eastAsia="宋体" w:cs="Times New Roman"/>
          <w:color w:val="auto"/>
          <w:sz w:val="24"/>
          <w:szCs w:val="24"/>
          <w:u w:val="none"/>
        </w:rPr>
        <w:t>如下表所示：</w:t>
      </w:r>
    </w:p>
    <w:p w14:paraId="62AC5589">
      <w:pPr>
        <w:pStyle w:val="6"/>
        <w:bidi w:val="0"/>
      </w:pPr>
      <w:r>
        <w:rPr>
          <w:rFonts w:hint="eastAsia"/>
        </w:rPr>
        <w:t>表3.1.11-</w:t>
      </w:r>
      <w:r>
        <w:rPr>
          <w:rFonts w:hint="eastAsia"/>
          <w:lang w:val="en-US" w:eastAsia="zh-CN"/>
        </w:rPr>
        <w:t>5</w:t>
      </w:r>
      <w:r>
        <w:t xml:space="preserve">    </w:t>
      </w:r>
      <w:r>
        <w:rPr>
          <w:rFonts w:hint="eastAsia"/>
        </w:rPr>
        <w:t>厂区</w:t>
      </w:r>
      <w:r>
        <w:rPr>
          <w:rFonts w:hint="eastAsia"/>
          <w:lang w:val="en-US" w:eastAsia="zh-CN"/>
        </w:rPr>
        <w:t>污水处理站出口</w:t>
      </w:r>
      <w:r>
        <w:rPr>
          <w:rFonts w:hint="eastAsia"/>
        </w:rPr>
        <w:t xml:space="preserve">污染物验收监测结果一览表 </w:t>
      </w:r>
      <w:r>
        <w:t xml:space="preserve"> </w:t>
      </w:r>
      <w:r>
        <w:rPr>
          <w:rFonts w:hint="eastAsia"/>
        </w:rPr>
        <w:t>单位：</w:t>
      </w:r>
      <w:r>
        <w:t>mg/L</w:t>
      </w:r>
    </w:p>
    <w:tbl>
      <w:tblPr>
        <w:tblStyle w:val="41"/>
        <w:tblW w:w="5078" w:type="pct"/>
        <w:tblInd w:w="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303"/>
        <w:gridCol w:w="1312"/>
        <w:gridCol w:w="914"/>
        <w:gridCol w:w="914"/>
        <w:gridCol w:w="914"/>
        <w:gridCol w:w="914"/>
        <w:gridCol w:w="941"/>
        <w:gridCol w:w="565"/>
        <w:gridCol w:w="669"/>
      </w:tblGrid>
      <w:tr w14:paraId="1ACC36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4" w:hRule="atLeast"/>
        </w:trPr>
        <w:tc>
          <w:tcPr>
            <w:tcW w:w="771" w:type="pct"/>
            <w:vMerge w:val="restart"/>
            <w:tcBorders>
              <w:top w:val="single" w:color="auto" w:sz="4" w:space="0"/>
              <w:left w:val="single" w:color="auto" w:sz="4" w:space="0"/>
              <w:right w:val="single" w:color="auto" w:sz="4" w:space="0"/>
            </w:tcBorders>
            <w:vAlign w:val="center"/>
          </w:tcPr>
          <w:p w14:paraId="0102D377">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检测点位</w:t>
            </w:r>
          </w:p>
        </w:tc>
        <w:tc>
          <w:tcPr>
            <w:tcW w:w="776" w:type="pct"/>
            <w:vMerge w:val="restart"/>
            <w:tcBorders>
              <w:top w:val="single" w:color="auto" w:sz="4" w:space="0"/>
              <w:left w:val="single" w:color="auto" w:sz="4" w:space="0"/>
              <w:bottom w:val="single" w:color="auto" w:sz="4" w:space="0"/>
              <w:right w:val="single" w:color="auto" w:sz="4" w:space="0"/>
            </w:tcBorders>
            <w:vAlign w:val="center"/>
          </w:tcPr>
          <w:p w14:paraId="0CD388A7">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检测项目</w:t>
            </w:r>
          </w:p>
        </w:tc>
        <w:tc>
          <w:tcPr>
            <w:tcW w:w="2721" w:type="pct"/>
            <w:gridSpan w:val="5"/>
            <w:tcBorders>
              <w:top w:val="single" w:color="auto" w:sz="4" w:space="0"/>
              <w:left w:val="single" w:color="auto" w:sz="4" w:space="0"/>
              <w:bottom w:val="single" w:color="auto" w:sz="4" w:space="0"/>
              <w:right w:val="single" w:color="auto" w:sz="4" w:space="0"/>
            </w:tcBorders>
            <w:vAlign w:val="center"/>
          </w:tcPr>
          <w:p w14:paraId="2A2E2F2F">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采样时间及检测结果</w:t>
            </w:r>
          </w:p>
        </w:tc>
        <w:tc>
          <w:tcPr>
            <w:tcW w:w="334" w:type="pct"/>
            <w:vMerge w:val="restart"/>
            <w:tcBorders>
              <w:top w:val="single" w:color="auto" w:sz="4" w:space="0"/>
              <w:left w:val="single" w:color="auto" w:sz="4" w:space="0"/>
              <w:bottom w:val="single" w:color="auto" w:sz="4" w:space="0"/>
              <w:right w:val="single" w:color="auto" w:sz="4" w:space="0"/>
            </w:tcBorders>
            <w:vAlign w:val="center"/>
          </w:tcPr>
          <w:p w14:paraId="48D4E09C">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标准</w:t>
            </w:r>
          </w:p>
          <w:p w14:paraId="29B9A5E7">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限值</w:t>
            </w:r>
          </w:p>
        </w:tc>
        <w:tc>
          <w:tcPr>
            <w:tcW w:w="395" w:type="pct"/>
            <w:vMerge w:val="restart"/>
            <w:tcBorders>
              <w:top w:val="single" w:color="auto" w:sz="4" w:space="0"/>
              <w:left w:val="single" w:color="auto" w:sz="4" w:space="0"/>
              <w:bottom w:val="single" w:color="auto" w:sz="4" w:space="0"/>
              <w:right w:val="single" w:color="auto" w:sz="4" w:space="0"/>
            </w:tcBorders>
            <w:vAlign w:val="center"/>
          </w:tcPr>
          <w:p w14:paraId="521E519A">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达标情</w:t>
            </w:r>
          </w:p>
          <w:p w14:paraId="702D741C">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况</w:t>
            </w:r>
          </w:p>
        </w:tc>
      </w:tr>
      <w:tr w14:paraId="3CDEF6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771" w:type="pct"/>
            <w:vMerge w:val="continue"/>
            <w:tcBorders>
              <w:left w:val="single" w:color="auto" w:sz="4" w:space="0"/>
              <w:right w:val="single" w:color="auto" w:sz="4" w:space="0"/>
            </w:tcBorders>
            <w:vAlign w:val="center"/>
          </w:tcPr>
          <w:p w14:paraId="1069EE10">
            <w:pPr>
              <w:jc w:val="center"/>
              <w:rPr>
                <w:rFonts w:ascii="Times New Roman" w:hAnsi="Times New Roman" w:eastAsia="宋体" w:cs="Times New Roman"/>
                <w:color w:val="auto"/>
                <w:sz w:val="22"/>
                <w:szCs w:val="24"/>
              </w:rPr>
            </w:pPr>
          </w:p>
        </w:tc>
        <w:tc>
          <w:tcPr>
            <w:tcW w:w="776" w:type="pct"/>
            <w:vMerge w:val="continue"/>
            <w:tcBorders>
              <w:top w:val="single" w:color="auto" w:sz="4" w:space="0"/>
              <w:left w:val="single" w:color="auto" w:sz="4" w:space="0"/>
              <w:bottom w:val="single" w:color="auto" w:sz="4" w:space="0"/>
              <w:right w:val="single" w:color="auto" w:sz="4" w:space="0"/>
            </w:tcBorders>
            <w:vAlign w:val="center"/>
          </w:tcPr>
          <w:p w14:paraId="6F802242">
            <w:pPr>
              <w:jc w:val="center"/>
              <w:rPr>
                <w:rFonts w:ascii="Times New Roman" w:hAnsi="Times New Roman" w:eastAsia="宋体" w:cs="Times New Roman"/>
                <w:color w:val="auto"/>
                <w:sz w:val="22"/>
                <w:szCs w:val="24"/>
              </w:rPr>
            </w:pPr>
          </w:p>
        </w:tc>
        <w:tc>
          <w:tcPr>
            <w:tcW w:w="2721" w:type="pct"/>
            <w:gridSpan w:val="5"/>
            <w:tcBorders>
              <w:top w:val="single" w:color="auto" w:sz="4" w:space="0"/>
              <w:left w:val="single" w:color="auto" w:sz="4" w:space="0"/>
              <w:bottom w:val="single" w:color="auto" w:sz="4" w:space="0"/>
              <w:right w:val="single" w:color="auto" w:sz="4" w:space="0"/>
            </w:tcBorders>
            <w:vAlign w:val="center"/>
          </w:tcPr>
          <w:p w14:paraId="4ADEA684">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2023.5.12</w:t>
            </w:r>
          </w:p>
        </w:tc>
        <w:tc>
          <w:tcPr>
            <w:tcW w:w="334" w:type="pct"/>
            <w:vMerge w:val="continue"/>
            <w:tcBorders>
              <w:top w:val="single" w:color="auto" w:sz="4" w:space="0"/>
              <w:left w:val="single" w:color="auto" w:sz="4" w:space="0"/>
              <w:bottom w:val="single" w:color="auto" w:sz="4" w:space="0"/>
              <w:right w:val="single" w:color="auto" w:sz="4" w:space="0"/>
            </w:tcBorders>
            <w:vAlign w:val="center"/>
          </w:tcPr>
          <w:p w14:paraId="5AA6F376">
            <w:pPr>
              <w:jc w:val="center"/>
              <w:rPr>
                <w:rFonts w:ascii="Times New Roman" w:hAnsi="Times New Roman" w:eastAsia="宋体" w:cs="Times New Roman"/>
                <w:color w:val="auto"/>
                <w:sz w:val="22"/>
                <w:szCs w:val="24"/>
              </w:rPr>
            </w:pPr>
          </w:p>
        </w:tc>
        <w:tc>
          <w:tcPr>
            <w:tcW w:w="395" w:type="pct"/>
            <w:vMerge w:val="continue"/>
            <w:tcBorders>
              <w:top w:val="single" w:color="auto" w:sz="4" w:space="0"/>
              <w:left w:val="single" w:color="auto" w:sz="4" w:space="0"/>
              <w:bottom w:val="single" w:color="auto" w:sz="4" w:space="0"/>
              <w:right w:val="single" w:color="auto" w:sz="4" w:space="0"/>
            </w:tcBorders>
            <w:vAlign w:val="center"/>
          </w:tcPr>
          <w:p w14:paraId="51D6EA15">
            <w:pPr>
              <w:jc w:val="center"/>
              <w:rPr>
                <w:rFonts w:ascii="Times New Roman" w:hAnsi="Times New Roman" w:eastAsia="宋体" w:cs="Times New Roman"/>
                <w:color w:val="auto"/>
                <w:sz w:val="22"/>
                <w:szCs w:val="24"/>
              </w:rPr>
            </w:pPr>
          </w:p>
        </w:tc>
      </w:tr>
      <w:tr w14:paraId="0D8C87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771" w:type="pct"/>
            <w:vMerge w:val="continue"/>
            <w:tcBorders>
              <w:left w:val="single" w:color="auto" w:sz="4" w:space="0"/>
              <w:bottom w:val="single" w:color="auto" w:sz="4" w:space="0"/>
              <w:right w:val="single" w:color="auto" w:sz="4" w:space="0"/>
            </w:tcBorders>
            <w:vAlign w:val="center"/>
          </w:tcPr>
          <w:p w14:paraId="78C1F982">
            <w:pPr>
              <w:jc w:val="center"/>
              <w:rPr>
                <w:rFonts w:ascii="Times New Roman" w:hAnsi="Times New Roman" w:eastAsia="宋体" w:cs="Times New Roman"/>
                <w:color w:val="auto"/>
                <w:sz w:val="22"/>
                <w:szCs w:val="24"/>
              </w:rPr>
            </w:pPr>
          </w:p>
        </w:tc>
        <w:tc>
          <w:tcPr>
            <w:tcW w:w="776" w:type="pct"/>
            <w:vMerge w:val="continue"/>
            <w:tcBorders>
              <w:top w:val="single" w:color="auto" w:sz="4" w:space="0"/>
              <w:left w:val="single" w:color="auto" w:sz="4" w:space="0"/>
              <w:bottom w:val="single" w:color="auto" w:sz="4" w:space="0"/>
              <w:right w:val="single" w:color="auto" w:sz="4" w:space="0"/>
            </w:tcBorders>
            <w:vAlign w:val="center"/>
          </w:tcPr>
          <w:p w14:paraId="07F1E342">
            <w:pPr>
              <w:jc w:val="center"/>
              <w:rPr>
                <w:rFonts w:ascii="Times New Roman" w:hAnsi="Times New Roman" w:eastAsia="宋体" w:cs="Times New Roman"/>
                <w:color w:val="auto"/>
                <w:sz w:val="22"/>
                <w:szCs w:val="24"/>
              </w:rPr>
            </w:pPr>
          </w:p>
        </w:tc>
        <w:tc>
          <w:tcPr>
            <w:tcW w:w="541" w:type="pct"/>
            <w:tcBorders>
              <w:top w:val="single" w:color="auto" w:sz="4" w:space="0"/>
              <w:left w:val="single" w:color="auto" w:sz="4" w:space="0"/>
              <w:bottom w:val="single" w:color="auto" w:sz="4" w:space="0"/>
              <w:right w:val="single" w:color="auto" w:sz="4" w:space="0"/>
            </w:tcBorders>
            <w:vAlign w:val="center"/>
          </w:tcPr>
          <w:p w14:paraId="448DD65B">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第一次</w:t>
            </w:r>
          </w:p>
        </w:tc>
        <w:tc>
          <w:tcPr>
            <w:tcW w:w="541" w:type="pct"/>
            <w:tcBorders>
              <w:top w:val="single" w:color="auto" w:sz="4" w:space="0"/>
              <w:left w:val="single" w:color="auto" w:sz="4" w:space="0"/>
              <w:bottom w:val="single" w:color="auto" w:sz="4" w:space="0"/>
              <w:right w:val="single" w:color="auto" w:sz="4" w:space="0"/>
            </w:tcBorders>
            <w:vAlign w:val="center"/>
          </w:tcPr>
          <w:p w14:paraId="10652AB7">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第二次</w:t>
            </w:r>
          </w:p>
        </w:tc>
        <w:tc>
          <w:tcPr>
            <w:tcW w:w="541" w:type="pct"/>
            <w:tcBorders>
              <w:top w:val="single" w:color="auto" w:sz="4" w:space="0"/>
              <w:left w:val="single" w:color="auto" w:sz="4" w:space="0"/>
              <w:bottom w:val="single" w:color="auto" w:sz="4" w:space="0"/>
              <w:right w:val="single" w:color="auto" w:sz="4" w:space="0"/>
            </w:tcBorders>
            <w:vAlign w:val="center"/>
          </w:tcPr>
          <w:p w14:paraId="1424772A">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第三次</w:t>
            </w:r>
          </w:p>
        </w:tc>
        <w:tc>
          <w:tcPr>
            <w:tcW w:w="541" w:type="pct"/>
            <w:tcBorders>
              <w:top w:val="single" w:color="auto" w:sz="4" w:space="0"/>
              <w:left w:val="single" w:color="auto" w:sz="4" w:space="0"/>
              <w:bottom w:val="single" w:color="auto" w:sz="4" w:space="0"/>
              <w:right w:val="single" w:color="auto" w:sz="4" w:space="0"/>
            </w:tcBorders>
            <w:vAlign w:val="center"/>
          </w:tcPr>
          <w:p w14:paraId="55FC4113">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第四次</w:t>
            </w:r>
          </w:p>
        </w:tc>
        <w:tc>
          <w:tcPr>
            <w:tcW w:w="557" w:type="pct"/>
            <w:tcBorders>
              <w:top w:val="single" w:color="auto" w:sz="4" w:space="0"/>
              <w:left w:val="single" w:color="auto" w:sz="4" w:space="0"/>
              <w:bottom w:val="single" w:color="auto" w:sz="4" w:space="0"/>
              <w:right w:val="single" w:color="auto" w:sz="4" w:space="0"/>
            </w:tcBorders>
            <w:vAlign w:val="center"/>
          </w:tcPr>
          <w:p w14:paraId="4959664B">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lang w:val="en-US" w:eastAsia="zh-CN"/>
              </w:rPr>
              <w:t>最大</w:t>
            </w:r>
            <w:r>
              <w:rPr>
                <w:rFonts w:ascii="Times New Roman" w:hAnsi="Times New Roman" w:eastAsia="宋体" w:cs="Times New Roman"/>
                <w:color w:val="auto"/>
                <w:sz w:val="22"/>
                <w:szCs w:val="24"/>
              </w:rPr>
              <w:t>值</w:t>
            </w:r>
          </w:p>
        </w:tc>
        <w:tc>
          <w:tcPr>
            <w:tcW w:w="334" w:type="pct"/>
            <w:vMerge w:val="continue"/>
            <w:tcBorders>
              <w:top w:val="single" w:color="auto" w:sz="4" w:space="0"/>
              <w:left w:val="single" w:color="auto" w:sz="4" w:space="0"/>
              <w:bottom w:val="single" w:color="auto" w:sz="4" w:space="0"/>
              <w:right w:val="single" w:color="auto" w:sz="4" w:space="0"/>
            </w:tcBorders>
            <w:vAlign w:val="center"/>
          </w:tcPr>
          <w:p w14:paraId="05B636C6">
            <w:pPr>
              <w:jc w:val="center"/>
              <w:rPr>
                <w:rFonts w:ascii="Times New Roman" w:hAnsi="Times New Roman" w:eastAsia="宋体" w:cs="Times New Roman"/>
                <w:color w:val="auto"/>
                <w:sz w:val="22"/>
                <w:szCs w:val="24"/>
              </w:rPr>
            </w:pPr>
          </w:p>
        </w:tc>
        <w:tc>
          <w:tcPr>
            <w:tcW w:w="395" w:type="pct"/>
            <w:vMerge w:val="continue"/>
            <w:tcBorders>
              <w:top w:val="single" w:color="auto" w:sz="4" w:space="0"/>
              <w:left w:val="single" w:color="auto" w:sz="4" w:space="0"/>
              <w:bottom w:val="single" w:color="auto" w:sz="4" w:space="0"/>
              <w:right w:val="single" w:color="auto" w:sz="4" w:space="0"/>
            </w:tcBorders>
            <w:vAlign w:val="center"/>
          </w:tcPr>
          <w:p w14:paraId="3A5FF025">
            <w:pPr>
              <w:jc w:val="center"/>
              <w:rPr>
                <w:rFonts w:ascii="Times New Roman" w:hAnsi="Times New Roman" w:eastAsia="宋体" w:cs="Times New Roman"/>
                <w:color w:val="auto"/>
                <w:sz w:val="22"/>
                <w:szCs w:val="24"/>
              </w:rPr>
            </w:pPr>
          </w:p>
        </w:tc>
      </w:tr>
      <w:tr w14:paraId="700C90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771" w:type="pct"/>
            <w:vMerge w:val="restart"/>
            <w:tcBorders>
              <w:top w:val="single" w:color="auto" w:sz="4" w:space="0"/>
              <w:left w:val="single" w:color="auto" w:sz="4" w:space="0"/>
              <w:right w:val="single" w:color="auto" w:sz="4" w:space="0"/>
            </w:tcBorders>
            <w:vAlign w:val="center"/>
          </w:tcPr>
          <w:p w14:paraId="12EEE1A9">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污水处理站出口</w:t>
            </w:r>
          </w:p>
        </w:tc>
        <w:tc>
          <w:tcPr>
            <w:tcW w:w="776" w:type="pct"/>
            <w:tcBorders>
              <w:top w:val="single" w:color="auto" w:sz="4" w:space="0"/>
              <w:left w:val="single" w:color="auto" w:sz="4" w:space="0"/>
              <w:bottom w:val="single" w:color="auto" w:sz="4" w:space="0"/>
              <w:right w:val="single" w:color="auto" w:sz="4" w:space="0"/>
            </w:tcBorders>
            <w:vAlign w:val="center"/>
          </w:tcPr>
          <w:p w14:paraId="200DC65B">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pH 值（无量纲）</w:t>
            </w:r>
          </w:p>
        </w:tc>
        <w:tc>
          <w:tcPr>
            <w:tcW w:w="541" w:type="pct"/>
            <w:tcBorders>
              <w:top w:val="single" w:color="auto" w:sz="4" w:space="0"/>
              <w:left w:val="single" w:color="auto" w:sz="4" w:space="0"/>
              <w:bottom w:val="single" w:color="auto" w:sz="4" w:space="0"/>
              <w:right w:val="single" w:color="auto" w:sz="4" w:space="0"/>
            </w:tcBorders>
            <w:vAlign w:val="center"/>
          </w:tcPr>
          <w:p w14:paraId="4B7F4E59">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7.2</w:t>
            </w:r>
          </w:p>
        </w:tc>
        <w:tc>
          <w:tcPr>
            <w:tcW w:w="541" w:type="pct"/>
            <w:tcBorders>
              <w:top w:val="single" w:color="auto" w:sz="4" w:space="0"/>
              <w:left w:val="single" w:color="auto" w:sz="4" w:space="0"/>
              <w:bottom w:val="single" w:color="auto" w:sz="4" w:space="0"/>
              <w:right w:val="single" w:color="auto" w:sz="4" w:space="0"/>
            </w:tcBorders>
            <w:vAlign w:val="center"/>
          </w:tcPr>
          <w:p w14:paraId="6DED9C7F">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7.3</w:t>
            </w:r>
          </w:p>
        </w:tc>
        <w:tc>
          <w:tcPr>
            <w:tcW w:w="541" w:type="pct"/>
            <w:tcBorders>
              <w:top w:val="single" w:color="auto" w:sz="4" w:space="0"/>
              <w:left w:val="single" w:color="auto" w:sz="4" w:space="0"/>
              <w:bottom w:val="single" w:color="auto" w:sz="4" w:space="0"/>
              <w:right w:val="single" w:color="auto" w:sz="4" w:space="0"/>
            </w:tcBorders>
            <w:vAlign w:val="center"/>
          </w:tcPr>
          <w:p w14:paraId="4F99B11E">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7.0</w:t>
            </w:r>
          </w:p>
        </w:tc>
        <w:tc>
          <w:tcPr>
            <w:tcW w:w="541" w:type="pct"/>
            <w:tcBorders>
              <w:top w:val="single" w:color="auto" w:sz="4" w:space="0"/>
              <w:left w:val="single" w:color="auto" w:sz="4" w:space="0"/>
              <w:bottom w:val="single" w:color="auto" w:sz="4" w:space="0"/>
              <w:right w:val="single" w:color="auto" w:sz="4" w:space="0"/>
            </w:tcBorders>
            <w:vAlign w:val="center"/>
          </w:tcPr>
          <w:p w14:paraId="562CA4D6">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7.2</w:t>
            </w:r>
          </w:p>
        </w:tc>
        <w:tc>
          <w:tcPr>
            <w:tcW w:w="557" w:type="pct"/>
            <w:tcBorders>
              <w:top w:val="single" w:color="auto" w:sz="4" w:space="0"/>
              <w:left w:val="single" w:color="auto" w:sz="4" w:space="0"/>
              <w:bottom w:val="single" w:color="auto" w:sz="4" w:space="0"/>
              <w:right w:val="single" w:color="auto" w:sz="4" w:space="0"/>
            </w:tcBorders>
            <w:vAlign w:val="center"/>
          </w:tcPr>
          <w:p w14:paraId="09BC96E3">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7.3</w:t>
            </w:r>
          </w:p>
        </w:tc>
        <w:tc>
          <w:tcPr>
            <w:tcW w:w="334" w:type="pct"/>
            <w:tcBorders>
              <w:top w:val="single" w:color="auto" w:sz="4" w:space="0"/>
              <w:left w:val="single" w:color="auto" w:sz="4" w:space="0"/>
              <w:bottom w:val="single" w:color="auto" w:sz="4" w:space="0"/>
              <w:right w:val="single" w:color="auto" w:sz="4" w:space="0"/>
            </w:tcBorders>
            <w:vAlign w:val="center"/>
          </w:tcPr>
          <w:p w14:paraId="22F54095">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6~9</w:t>
            </w:r>
          </w:p>
        </w:tc>
        <w:tc>
          <w:tcPr>
            <w:tcW w:w="395" w:type="pct"/>
            <w:tcBorders>
              <w:top w:val="single" w:color="auto" w:sz="4" w:space="0"/>
              <w:left w:val="single" w:color="auto" w:sz="4" w:space="0"/>
              <w:bottom w:val="single" w:color="auto" w:sz="4" w:space="0"/>
              <w:right w:val="single" w:color="auto" w:sz="4" w:space="0"/>
            </w:tcBorders>
            <w:vAlign w:val="center"/>
          </w:tcPr>
          <w:p w14:paraId="35BB5DDC">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达标</w:t>
            </w:r>
          </w:p>
        </w:tc>
      </w:tr>
      <w:tr w14:paraId="6EF060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771" w:type="pct"/>
            <w:vMerge w:val="continue"/>
            <w:tcBorders>
              <w:left w:val="single" w:color="auto" w:sz="4" w:space="0"/>
              <w:right w:val="single" w:color="auto" w:sz="4" w:space="0"/>
            </w:tcBorders>
            <w:vAlign w:val="center"/>
          </w:tcPr>
          <w:p w14:paraId="6D7F72B8">
            <w:pPr>
              <w:jc w:val="center"/>
              <w:rPr>
                <w:rFonts w:ascii="Times New Roman" w:hAnsi="Times New Roman" w:eastAsia="宋体" w:cs="Times New Roman"/>
                <w:color w:val="auto"/>
                <w:sz w:val="22"/>
                <w:szCs w:val="24"/>
              </w:rPr>
            </w:pPr>
          </w:p>
        </w:tc>
        <w:tc>
          <w:tcPr>
            <w:tcW w:w="776" w:type="pct"/>
            <w:tcBorders>
              <w:top w:val="single" w:color="auto" w:sz="4" w:space="0"/>
              <w:left w:val="single" w:color="auto" w:sz="4" w:space="0"/>
              <w:bottom w:val="single" w:color="auto" w:sz="4" w:space="0"/>
              <w:right w:val="single" w:color="auto" w:sz="4" w:space="0"/>
            </w:tcBorders>
            <w:vAlign w:val="center"/>
          </w:tcPr>
          <w:p w14:paraId="4F10C600">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化学需氧量</w:t>
            </w:r>
          </w:p>
        </w:tc>
        <w:tc>
          <w:tcPr>
            <w:tcW w:w="541" w:type="pct"/>
            <w:tcBorders>
              <w:top w:val="single" w:color="auto" w:sz="4" w:space="0"/>
              <w:left w:val="single" w:color="auto" w:sz="4" w:space="0"/>
              <w:bottom w:val="single" w:color="auto" w:sz="4" w:space="0"/>
              <w:right w:val="single" w:color="auto" w:sz="4" w:space="0"/>
            </w:tcBorders>
            <w:vAlign w:val="center"/>
          </w:tcPr>
          <w:p w14:paraId="5188BD93">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357</w:t>
            </w:r>
          </w:p>
        </w:tc>
        <w:tc>
          <w:tcPr>
            <w:tcW w:w="541" w:type="pct"/>
            <w:tcBorders>
              <w:top w:val="single" w:color="auto" w:sz="4" w:space="0"/>
              <w:left w:val="single" w:color="auto" w:sz="4" w:space="0"/>
              <w:bottom w:val="single" w:color="auto" w:sz="4" w:space="0"/>
              <w:right w:val="single" w:color="auto" w:sz="4" w:space="0"/>
            </w:tcBorders>
            <w:vAlign w:val="center"/>
          </w:tcPr>
          <w:p w14:paraId="05DD8680">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342</w:t>
            </w:r>
          </w:p>
        </w:tc>
        <w:tc>
          <w:tcPr>
            <w:tcW w:w="541" w:type="pct"/>
            <w:tcBorders>
              <w:top w:val="single" w:color="auto" w:sz="4" w:space="0"/>
              <w:left w:val="single" w:color="auto" w:sz="4" w:space="0"/>
              <w:bottom w:val="single" w:color="auto" w:sz="4" w:space="0"/>
              <w:right w:val="single" w:color="auto" w:sz="4" w:space="0"/>
            </w:tcBorders>
            <w:vAlign w:val="center"/>
          </w:tcPr>
          <w:p w14:paraId="1E7D84AA">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355</w:t>
            </w:r>
          </w:p>
        </w:tc>
        <w:tc>
          <w:tcPr>
            <w:tcW w:w="541" w:type="pct"/>
            <w:tcBorders>
              <w:top w:val="single" w:color="auto" w:sz="4" w:space="0"/>
              <w:left w:val="single" w:color="auto" w:sz="4" w:space="0"/>
              <w:bottom w:val="single" w:color="auto" w:sz="4" w:space="0"/>
              <w:right w:val="single" w:color="auto" w:sz="4" w:space="0"/>
            </w:tcBorders>
            <w:vAlign w:val="center"/>
          </w:tcPr>
          <w:p w14:paraId="50572F05">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345</w:t>
            </w:r>
          </w:p>
        </w:tc>
        <w:tc>
          <w:tcPr>
            <w:tcW w:w="557" w:type="pct"/>
            <w:tcBorders>
              <w:top w:val="single" w:color="auto" w:sz="4" w:space="0"/>
              <w:left w:val="single" w:color="auto" w:sz="4" w:space="0"/>
              <w:bottom w:val="single" w:color="auto" w:sz="4" w:space="0"/>
              <w:right w:val="single" w:color="auto" w:sz="4" w:space="0"/>
            </w:tcBorders>
            <w:vAlign w:val="center"/>
          </w:tcPr>
          <w:p w14:paraId="3BB3B4AC">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357</w:t>
            </w:r>
          </w:p>
        </w:tc>
        <w:tc>
          <w:tcPr>
            <w:tcW w:w="334" w:type="pct"/>
            <w:tcBorders>
              <w:top w:val="single" w:color="auto" w:sz="4" w:space="0"/>
              <w:left w:val="single" w:color="auto" w:sz="4" w:space="0"/>
              <w:bottom w:val="single" w:color="auto" w:sz="4" w:space="0"/>
              <w:right w:val="single" w:color="auto" w:sz="4" w:space="0"/>
            </w:tcBorders>
            <w:vAlign w:val="center"/>
          </w:tcPr>
          <w:p w14:paraId="78270CDD">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450</w:t>
            </w:r>
          </w:p>
        </w:tc>
        <w:tc>
          <w:tcPr>
            <w:tcW w:w="395" w:type="pct"/>
            <w:tcBorders>
              <w:top w:val="single" w:color="auto" w:sz="4" w:space="0"/>
              <w:left w:val="single" w:color="auto" w:sz="4" w:space="0"/>
              <w:bottom w:val="single" w:color="auto" w:sz="4" w:space="0"/>
              <w:right w:val="single" w:color="auto" w:sz="4" w:space="0"/>
            </w:tcBorders>
            <w:vAlign w:val="center"/>
          </w:tcPr>
          <w:p w14:paraId="0D256716">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达标</w:t>
            </w:r>
          </w:p>
        </w:tc>
      </w:tr>
      <w:tr w14:paraId="4E2272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771" w:type="pct"/>
            <w:vMerge w:val="continue"/>
            <w:tcBorders>
              <w:left w:val="single" w:color="auto" w:sz="4" w:space="0"/>
              <w:right w:val="single" w:color="auto" w:sz="4" w:space="0"/>
            </w:tcBorders>
            <w:vAlign w:val="center"/>
          </w:tcPr>
          <w:p w14:paraId="07F7E95B">
            <w:pPr>
              <w:jc w:val="center"/>
              <w:rPr>
                <w:rFonts w:ascii="Times New Roman" w:hAnsi="Times New Roman" w:eastAsia="宋体" w:cs="Times New Roman"/>
                <w:color w:val="auto"/>
                <w:sz w:val="22"/>
                <w:szCs w:val="24"/>
              </w:rPr>
            </w:pPr>
          </w:p>
        </w:tc>
        <w:tc>
          <w:tcPr>
            <w:tcW w:w="776" w:type="pct"/>
            <w:tcBorders>
              <w:top w:val="single" w:color="auto" w:sz="4" w:space="0"/>
              <w:left w:val="single" w:color="auto" w:sz="4" w:space="0"/>
              <w:bottom w:val="single" w:color="auto" w:sz="4" w:space="0"/>
              <w:right w:val="single" w:color="auto" w:sz="4" w:space="0"/>
            </w:tcBorders>
            <w:vAlign w:val="center"/>
          </w:tcPr>
          <w:p w14:paraId="5A6C23AC">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五日生化需氧</w:t>
            </w:r>
          </w:p>
        </w:tc>
        <w:tc>
          <w:tcPr>
            <w:tcW w:w="541" w:type="pct"/>
            <w:tcBorders>
              <w:top w:val="single" w:color="auto" w:sz="4" w:space="0"/>
              <w:left w:val="single" w:color="auto" w:sz="4" w:space="0"/>
              <w:bottom w:val="single" w:color="auto" w:sz="4" w:space="0"/>
              <w:right w:val="single" w:color="auto" w:sz="4" w:space="0"/>
            </w:tcBorders>
            <w:vAlign w:val="center"/>
          </w:tcPr>
          <w:p w14:paraId="01A174ED">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93.2</w:t>
            </w:r>
          </w:p>
        </w:tc>
        <w:tc>
          <w:tcPr>
            <w:tcW w:w="541" w:type="pct"/>
            <w:tcBorders>
              <w:top w:val="single" w:color="auto" w:sz="4" w:space="0"/>
              <w:left w:val="single" w:color="auto" w:sz="4" w:space="0"/>
              <w:bottom w:val="single" w:color="auto" w:sz="4" w:space="0"/>
              <w:right w:val="single" w:color="auto" w:sz="4" w:space="0"/>
            </w:tcBorders>
            <w:vAlign w:val="center"/>
          </w:tcPr>
          <w:p w14:paraId="2A0F49BE">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96.2</w:t>
            </w:r>
          </w:p>
        </w:tc>
        <w:tc>
          <w:tcPr>
            <w:tcW w:w="541" w:type="pct"/>
            <w:tcBorders>
              <w:top w:val="single" w:color="auto" w:sz="4" w:space="0"/>
              <w:left w:val="single" w:color="auto" w:sz="4" w:space="0"/>
              <w:bottom w:val="single" w:color="auto" w:sz="4" w:space="0"/>
              <w:right w:val="single" w:color="auto" w:sz="4" w:space="0"/>
            </w:tcBorders>
            <w:vAlign w:val="center"/>
          </w:tcPr>
          <w:p w14:paraId="278CC6DB">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87.1</w:t>
            </w:r>
          </w:p>
        </w:tc>
        <w:tc>
          <w:tcPr>
            <w:tcW w:w="541" w:type="pct"/>
            <w:tcBorders>
              <w:top w:val="single" w:color="auto" w:sz="4" w:space="0"/>
              <w:left w:val="single" w:color="auto" w:sz="4" w:space="0"/>
              <w:bottom w:val="single" w:color="auto" w:sz="4" w:space="0"/>
              <w:right w:val="single" w:color="auto" w:sz="4" w:space="0"/>
            </w:tcBorders>
            <w:vAlign w:val="center"/>
          </w:tcPr>
          <w:p w14:paraId="5EB593D0">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89.1</w:t>
            </w:r>
          </w:p>
        </w:tc>
        <w:tc>
          <w:tcPr>
            <w:tcW w:w="557" w:type="pct"/>
            <w:tcBorders>
              <w:top w:val="single" w:color="auto" w:sz="4" w:space="0"/>
              <w:left w:val="single" w:color="auto" w:sz="4" w:space="0"/>
              <w:bottom w:val="single" w:color="auto" w:sz="4" w:space="0"/>
              <w:right w:val="single" w:color="auto" w:sz="4" w:space="0"/>
            </w:tcBorders>
            <w:vAlign w:val="center"/>
          </w:tcPr>
          <w:p w14:paraId="76F4895C">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96.2</w:t>
            </w:r>
          </w:p>
        </w:tc>
        <w:tc>
          <w:tcPr>
            <w:tcW w:w="334" w:type="pct"/>
            <w:tcBorders>
              <w:top w:val="single" w:color="auto" w:sz="4" w:space="0"/>
              <w:left w:val="single" w:color="auto" w:sz="4" w:space="0"/>
              <w:bottom w:val="single" w:color="auto" w:sz="4" w:space="0"/>
              <w:right w:val="single" w:color="auto" w:sz="4" w:space="0"/>
            </w:tcBorders>
            <w:vAlign w:val="center"/>
          </w:tcPr>
          <w:p w14:paraId="1E467B12">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250</w:t>
            </w:r>
          </w:p>
        </w:tc>
        <w:tc>
          <w:tcPr>
            <w:tcW w:w="395" w:type="pct"/>
            <w:tcBorders>
              <w:top w:val="single" w:color="auto" w:sz="4" w:space="0"/>
              <w:left w:val="single" w:color="auto" w:sz="4" w:space="0"/>
              <w:bottom w:val="single" w:color="auto" w:sz="4" w:space="0"/>
              <w:right w:val="single" w:color="auto" w:sz="4" w:space="0"/>
            </w:tcBorders>
            <w:vAlign w:val="center"/>
          </w:tcPr>
          <w:p w14:paraId="10EC23B4">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达标</w:t>
            </w:r>
          </w:p>
        </w:tc>
      </w:tr>
      <w:tr w14:paraId="7A72C1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771" w:type="pct"/>
            <w:vMerge w:val="continue"/>
            <w:tcBorders>
              <w:left w:val="single" w:color="auto" w:sz="4" w:space="0"/>
              <w:right w:val="single" w:color="auto" w:sz="4" w:space="0"/>
            </w:tcBorders>
            <w:vAlign w:val="center"/>
          </w:tcPr>
          <w:p w14:paraId="1B3D39D4">
            <w:pPr>
              <w:jc w:val="center"/>
              <w:rPr>
                <w:rFonts w:ascii="Times New Roman" w:hAnsi="Times New Roman" w:eastAsia="宋体" w:cs="Times New Roman"/>
                <w:color w:val="auto"/>
                <w:sz w:val="22"/>
                <w:szCs w:val="24"/>
              </w:rPr>
            </w:pPr>
          </w:p>
        </w:tc>
        <w:tc>
          <w:tcPr>
            <w:tcW w:w="776" w:type="pct"/>
            <w:tcBorders>
              <w:top w:val="single" w:color="auto" w:sz="4" w:space="0"/>
              <w:left w:val="single" w:color="auto" w:sz="4" w:space="0"/>
              <w:bottom w:val="single" w:color="auto" w:sz="4" w:space="0"/>
              <w:right w:val="single" w:color="auto" w:sz="4" w:space="0"/>
            </w:tcBorders>
            <w:vAlign w:val="center"/>
          </w:tcPr>
          <w:p w14:paraId="23EE2C6C">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悬浮物</w:t>
            </w:r>
          </w:p>
        </w:tc>
        <w:tc>
          <w:tcPr>
            <w:tcW w:w="541" w:type="pct"/>
            <w:tcBorders>
              <w:top w:val="single" w:color="auto" w:sz="4" w:space="0"/>
              <w:left w:val="single" w:color="auto" w:sz="4" w:space="0"/>
              <w:bottom w:val="single" w:color="auto" w:sz="4" w:space="0"/>
              <w:right w:val="single" w:color="auto" w:sz="4" w:space="0"/>
            </w:tcBorders>
            <w:vAlign w:val="center"/>
          </w:tcPr>
          <w:p w14:paraId="032AF74A">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12</w:t>
            </w:r>
          </w:p>
        </w:tc>
        <w:tc>
          <w:tcPr>
            <w:tcW w:w="541" w:type="pct"/>
            <w:tcBorders>
              <w:top w:val="single" w:color="auto" w:sz="4" w:space="0"/>
              <w:left w:val="single" w:color="auto" w:sz="4" w:space="0"/>
              <w:bottom w:val="single" w:color="auto" w:sz="4" w:space="0"/>
              <w:right w:val="single" w:color="auto" w:sz="4" w:space="0"/>
            </w:tcBorders>
            <w:vAlign w:val="center"/>
          </w:tcPr>
          <w:p w14:paraId="225D935F">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11</w:t>
            </w:r>
          </w:p>
        </w:tc>
        <w:tc>
          <w:tcPr>
            <w:tcW w:w="541" w:type="pct"/>
            <w:tcBorders>
              <w:top w:val="single" w:color="auto" w:sz="4" w:space="0"/>
              <w:left w:val="single" w:color="auto" w:sz="4" w:space="0"/>
              <w:bottom w:val="single" w:color="auto" w:sz="4" w:space="0"/>
              <w:right w:val="single" w:color="auto" w:sz="4" w:space="0"/>
            </w:tcBorders>
            <w:vAlign w:val="center"/>
          </w:tcPr>
          <w:p w14:paraId="7AEB73E9">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13</w:t>
            </w:r>
          </w:p>
        </w:tc>
        <w:tc>
          <w:tcPr>
            <w:tcW w:w="541" w:type="pct"/>
            <w:tcBorders>
              <w:top w:val="single" w:color="auto" w:sz="4" w:space="0"/>
              <w:left w:val="single" w:color="auto" w:sz="4" w:space="0"/>
              <w:bottom w:val="single" w:color="auto" w:sz="4" w:space="0"/>
              <w:right w:val="single" w:color="auto" w:sz="4" w:space="0"/>
            </w:tcBorders>
            <w:vAlign w:val="center"/>
          </w:tcPr>
          <w:p w14:paraId="35CA9EAB">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12</w:t>
            </w:r>
          </w:p>
        </w:tc>
        <w:tc>
          <w:tcPr>
            <w:tcW w:w="557" w:type="pct"/>
            <w:tcBorders>
              <w:top w:val="single" w:color="auto" w:sz="4" w:space="0"/>
              <w:left w:val="single" w:color="auto" w:sz="4" w:space="0"/>
              <w:bottom w:val="single" w:color="auto" w:sz="4" w:space="0"/>
              <w:right w:val="single" w:color="auto" w:sz="4" w:space="0"/>
            </w:tcBorders>
            <w:vAlign w:val="center"/>
          </w:tcPr>
          <w:p w14:paraId="3935C4B0">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13</w:t>
            </w:r>
          </w:p>
        </w:tc>
        <w:tc>
          <w:tcPr>
            <w:tcW w:w="334" w:type="pct"/>
            <w:tcBorders>
              <w:top w:val="single" w:color="auto" w:sz="4" w:space="0"/>
              <w:left w:val="single" w:color="auto" w:sz="4" w:space="0"/>
              <w:bottom w:val="single" w:color="auto" w:sz="4" w:space="0"/>
              <w:right w:val="single" w:color="auto" w:sz="4" w:space="0"/>
            </w:tcBorders>
            <w:vAlign w:val="center"/>
          </w:tcPr>
          <w:p w14:paraId="5EC7611D">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300</w:t>
            </w:r>
          </w:p>
        </w:tc>
        <w:tc>
          <w:tcPr>
            <w:tcW w:w="395" w:type="pct"/>
            <w:tcBorders>
              <w:top w:val="single" w:color="auto" w:sz="4" w:space="0"/>
              <w:left w:val="single" w:color="auto" w:sz="4" w:space="0"/>
              <w:bottom w:val="single" w:color="auto" w:sz="4" w:space="0"/>
              <w:right w:val="single" w:color="auto" w:sz="4" w:space="0"/>
            </w:tcBorders>
            <w:vAlign w:val="center"/>
          </w:tcPr>
          <w:p w14:paraId="21E572D3">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达标</w:t>
            </w:r>
          </w:p>
        </w:tc>
      </w:tr>
      <w:tr w14:paraId="125186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771" w:type="pct"/>
            <w:vMerge w:val="continue"/>
            <w:tcBorders>
              <w:left w:val="single" w:color="auto" w:sz="4" w:space="0"/>
              <w:right w:val="single" w:color="auto" w:sz="4" w:space="0"/>
            </w:tcBorders>
            <w:vAlign w:val="center"/>
          </w:tcPr>
          <w:p w14:paraId="274AB498">
            <w:pPr>
              <w:jc w:val="center"/>
              <w:rPr>
                <w:rFonts w:ascii="Times New Roman" w:hAnsi="Times New Roman" w:eastAsia="宋体" w:cs="Times New Roman"/>
                <w:color w:val="auto"/>
                <w:sz w:val="22"/>
                <w:szCs w:val="24"/>
              </w:rPr>
            </w:pPr>
          </w:p>
        </w:tc>
        <w:tc>
          <w:tcPr>
            <w:tcW w:w="776" w:type="pct"/>
            <w:tcBorders>
              <w:top w:val="single" w:color="auto" w:sz="4" w:space="0"/>
              <w:left w:val="single" w:color="auto" w:sz="4" w:space="0"/>
              <w:bottom w:val="single" w:color="auto" w:sz="4" w:space="0"/>
              <w:right w:val="single" w:color="auto" w:sz="4" w:space="0"/>
            </w:tcBorders>
            <w:vAlign w:val="center"/>
          </w:tcPr>
          <w:p w14:paraId="2281D1E1">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氨氮</w:t>
            </w:r>
          </w:p>
        </w:tc>
        <w:tc>
          <w:tcPr>
            <w:tcW w:w="541" w:type="pct"/>
            <w:tcBorders>
              <w:top w:val="single" w:color="auto" w:sz="4" w:space="0"/>
              <w:left w:val="single" w:color="auto" w:sz="4" w:space="0"/>
              <w:bottom w:val="single" w:color="auto" w:sz="4" w:space="0"/>
              <w:right w:val="single" w:color="auto" w:sz="4" w:space="0"/>
            </w:tcBorders>
            <w:vAlign w:val="center"/>
          </w:tcPr>
          <w:p w14:paraId="695D6EEA">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15.5</w:t>
            </w:r>
          </w:p>
        </w:tc>
        <w:tc>
          <w:tcPr>
            <w:tcW w:w="541" w:type="pct"/>
            <w:tcBorders>
              <w:top w:val="single" w:color="auto" w:sz="4" w:space="0"/>
              <w:left w:val="single" w:color="auto" w:sz="4" w:space="0"/>
              <w:bottom w:val="single" w:color="auto" w:sz="4" w:space="0"/>
              <w:right w:val="single" w:color="auto" w:sz="4" w:space="0"/>
            </w:tcBorders>
            <w:vAlign w:val="center"/>
          </w:tcPr>
          <w:p w14:paraId="40750078">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16.2</w:t>
            </w:r>
          </w:p>
        </w:tc>
        <w:tc>
          <w:tcPr>
            <w:tcW w:w="541" w:type="pct"/>
            <w:tcBorders>
              <w:top w:val="single" w:color="auto" w:sz="4" w:space="0"/>
              <w:left w:val="single" w:color="auto" w:sz="4" w:space="0"/>
              <w:bottom w:val="single" w:color="auto" w:sz="4" w:space="0"/>
              <w:right w:val="single" w:color="auto" w:sz="4" w:space="0"/>
            </w:tcBorders>
            <w:vAlign w:val="center"/>
          </w:tcPr>
          <w:p w14:paraId="639FBFED">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14.7</w:t>
            </w:r>
          </w:p>
        </w:tc>
        <w:tc>
          <w:tcPr>
            <w:tcW w:w="541" w:type="pct"/>
            <w:tcBorders>
              <w:top w:val="single" w:color="auto" w:sz="4" w:space="0"/>
              <w:left w:val="single" w:color="auto" w:sz="4" w:space="0"/>
              <w:bottom w:val="single" w:color="auto" w:sz="4" w:space="0"/>
              <w:right w:val="single" w:color="auto" w:sz="4" w:space="0"/>
            </w:tcBorders>
            <w:vAlign w:val="center"/>
          </w:tcPr>
          <w:p w14:paraId="0292DA1E">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15.2</w:t>
            </w:r>
          </w:p>
        </w:tc>
        <w:tc>
          <w:tcPr>
            <w:tcW w:w="557" w:type="pct"/>
            <w:tcBorders>
              <w:top w:val="single" w:color="auto" w:sz="4" w:space="0"/>
              <w:left w:val="single" w:color="auto" w:sz="4" w:space="0"/>
              <w:bottom w:val="single" w:color="auto" w:sz="4" w:space="0"/>
              <w:right w:val="single" w:color="auto" w:sz="4" w:space="0"/>
            </w:tcBorders>
            <w:vAlign w:val="center"/>
          </w:tcPr>
          <w:p w14:paraId="56C65D68">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16.2</w:t>
            </w:r>
          </w:p>
        </w:tc>
        <w:tc>
          <w:tcPr>
            <w:tcW w:w="334" w:type="pct"/>
            <w:tcBorders>
              <w:top w:val="single" w:color="auto" w:sz="4" w:space="0"/>
              <w:left w:val="single" w:color="auto" w:sz="4" w:space="0"/>
              <w:bottom w:val="single" w:color="auto" w:sz="4" w:space="0"/>
              <w:right w:val="single" w:color="auto" w:sz="4" w:space="0"/>
            </w:tcBorders>
            <w:vAlign w:val="center"/>
          </w:tcPr>
          <w:p w14:paraId="12FA3494">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35</w:t>
            </w:r>
          </w:p>
        </w:tc>
        <w:tc>
          <w:tcPr>
            <w:tcW w:w="395" w:type="pct"/>
            <w:tcBorders>
              <w:top w:val="single" w:color="auto" w:sz="4" w:space="0"/>
              <w:left w:val="single" w:color="auto" w:sz="4" w:space="0"/>
              <w:bottom w:val="single" w:color="auto" w:sz="4" w:space="0"/>
              <w:right w:val="single" w:color="auto" w:sz="4" w:space="0"/>
            </w:tcBorders>
            <w:vAlign w:val="center"/>
          </w:tcPr>
          <w:p w14:paraId="23BFDB6C">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达标</w:t>
            </w:r>
          </w:p>
        </w:tc>
      </w:tr>
      <w:tr w14:paraId="22D3D4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771" w:type="pct"/>
            <w:vMerge w:val="continue"/>
            <w:tcBorders>
              <w:left w:val="single" w:color="auto" w:sz="4" w:space="0"/>
              <w:right w:val="single" w:color="auto" w:sz="4" w:space="0"/>
            </w:tcBorders>
            <w:vAlign w:val="center"/>
          </w:tcPr>
          <w:p w14:paraId="38A6BAC1">
            <w:pPr>
              <w:jc w:val="center"/>
              <w:rPr>
                <w:rFonts w:ascii="Times New Roman" w:hAnsi="Times New Roman" w:eastAsia="宋体" w:cs="Times New Roman"/>
                <w:color w:val="auto"/>
                <w:sz w:val="22"/>
                <w:szCs w:val="24"/>
              </w:rPr>
            </w:pPr>
          </w:p>
        </w:tc>
        <w:tc>
          <w:tcPr>
            <w:tcW w:w="776" w:type="pct"/>
            <w:tcBorders>
              <w:top w:val="single" w:color="auto" w:sz="4" w:space="0"/>
              <w:left w:val="single" w:color="auto" w:sz="4" w:space="0"/>
              <w:bottom w:val="single" w:color="auto" w:sz="4" w:space="0"/>
              <w:right w:val="single" w:color="auto" w:sz="4" w:space="0"/>
            </w:tcBorders>
            <w:vAlign w:val="center"/>
          </w:tcPr>
          <w:p w14:paraId="255B41D5">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色度（倍）</w:t>
            </w:r>
          </w:p>
        </w:tc>
        <w:tc>
          <w:tcPr>
            <w:tcW w:w="541" w:type="pct"/>
            <w:tcBorders>
              <w:top w:val="single" w:color="auto" w:sz="4" w:space="0"/>
              <w:left w:val="single" w:color="auto" w:sz="4" w:space="0"/>
              <w:bottom w:val="single" w:color="auto" w:sz="4" w:space="0"/>
              <w:right w:val="single" w:color="auto" w:sz="4" w:space="0"/>
            </w:tcBorders>
            <w:vAlign w:val="center"/>
          </w:tcPr>
          <w:p w14:paraId="38F94D8A">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8</w:t>
            </w:r>
          </w:p>
        </w:tc>
        <w:tc>
          <w:tcPr>
            <w:tcW w:w="541" w:type="pct"/>
            <w:tcBorders>
              <w:top w:val="single" w:color="auto" w:sz="4" w:space="0"/>
              <w:left w:val="single" w:color="auto" w:sz="4" w:space="0"/>
              <w:bottom w:val="single" w:color="auto" w:sz="4" w:space="0"/>
              <w:right w:val="single" w:color="auto" w:sz="4" w:space="0"/>
            </w:tcBorders>
            <w:vAlign w:val="center"/>
          </w:tcPr>
          <w:p w14:paraId="4F2073B5">
            <w:pPr>
              <w:jc w:val="center"/>
              <w:rPr>
                <w:rFonts w:hint="eastAsia"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8</w:t>
            </w:r>
          </w:p>
        </w:tc>
        <w:tc>
          <w:tcPr>
            <w:tcW w:w="541" w:type="pct"/>
            <w:tcBorders>
              <w:top w:val="single" w:color="auto" w:sz="4" w:space="0"/>
              <w:left w:val="single" w:color="auto" w:sz="4" w:space="0"/>
              <w:bottom w:val="single" w:color="auto" w:sz="4" w:space="0"/>
              <w:right w:val="single" w:color="auto" w:sz="4" w:space="0"/>
            </w:tcBorders>
            <w:vAlign w:val="center"/>
          </w:tcPr>
          <w:p w14:paraId="2B03D905">
            <w:pPr>
              <w:jc w:val="center"/>
              <w:rPr>
                <w:rFonts w:hint="eastAsia"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8</w:t>
            </w:r>
          </w:p>
        </w:tc>
        <w:tc>
          <w:tcPr>
            <w:tcW w:w="541" w:type="pct"/>
            <w:tcBorders>
              <w:top w:val="single" w:color="auto" w:sz="4" w:space="0"/>
              <w:left w:val="single" w:color="auto" w:sz="4" w:space="0"/>
              <w:bottom w:val="single" w:color="auto" w:sz="4" w:space="0"/>
              <w:right w:val="single" w:color="auto" w:sz="4" w:space="0"/>
            </w:tcBorders>
            <w:vAlign w:val="center"/>
          </w:tcPr>
          <w:p w14:paraId="4DA96EBB">
            <w:pPr>
              <w:jc w:val="center"/>
              <w:rPr>
                <w:rFonts w:hint="eastAsia"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8</w:t>
            </w:r>
          </w:p>
        </w:tc>
        <w:tc>
          <w:tcPr>
            <w:tcW w:w="557" w:type="pct"/>
            <w:tcBorders>
              <w:top w:val="single" w:color="auto" w:sz="4" w:space="0"/>
              <w:left w:val="single" w:color="auto" w:sz="4" w:space="0"/>
              <w:bottom w:val="single" w:color="auto" w:sz="4" w:space="0"/>
              <w:right w:val="single" w:color="auto" w:sz="4" w:space="0"/>
            </w:tcBorders>
            <w:vAlign w:val="center"/>
          </w:tcPr>
          <w:p w14:paraId="7809D492">
            <w:pPr>
              <w:jc w:val="center"/>
              <w:rPr>
                <w:rFonts w:hint="eastAsia"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8</w:t>
            </w:r>
          </w:p>
        </w:tc>
        <w:tc>
          <w:tcPr>
            <w:tcW w:w="334" w:type="pct"/>
            <w:tcBorders>
              <w:top w:val="single" w:color="auto" w:sz="4" w:space="0"/>
              <w:left w:val="single" w:color="auto" w:sz="4" w:space="0"/>
              <w:bottom w:val="single" w:color="auto" w:sz="4" w:space="0"/>
              <w:right w:val="single" w:color="auto" w:sz="4" w:space="0"/>
            </w:tcBorders>
            <w:vAlign w:val="center"/>
          </w:tcPr>
          <w:p w14:paraId="2C2CE0AC">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60</w:t>
            </w:r>
          </w:p>
        </w:tc>
        <w:tc>
          <w:tcPr>
            <w:tcW w:w="395" w:type="pct"/>
            <w:tcBorders>
              <w:top w:val="single" w:color="auto" w:sz="4" w:space="0"/>
              <w:left w:val="single" w:color="auto" w:sz="4" w:space="0"/>
              <w:bottom w:val="single" w:color="auto" w:sz="4" w:space="0"/>
              <w:right w:val="single" w:color="auto" w:sz="4" w:space="0"/>
            </w:tcBorders>
            <w:vAlign w:val="center"/>
          </w:tcPr>
          <w:p w14:paraId="50B3F53C">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达标</w:t>
            </w:r>
          </w:p>
        </w:tc>
      </w:tr>
      <w:tr w14:paraId="611DD5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771" w:type="pct"/>
            <w:vMerge w:val="continue"/>
            <w:tcBorders>
              <w:left w:val="single" w:color="auto" w:sz="4" w:space="0"/>
              <w:right w:val="single" w:color="auto" w:sz="4" w:space="0"/>
            </w:tcBorders>
            <w:vAlign w:val="center"/>
          </w:tcPr>
          <w:p w14:paraId="4EF9515F">
            <w:pPr>
              <w:jc w:val="center"/>
              <w:rPr>
                <w:rFonts w:ascii="Times New Roman" w:hAnsi="Times New Roman" w:eastAsia="宋体" w:cs="Times New Roman"/>
                <w:color w:val="auto"/>
                <w:sz w:val="22"/>
                <w:szCs w:val="24"/>
              </w:rPr>
            </w:pPr>
          </w:p>
        </w:tc>
        <w:tc>
          <w:tcPr>
            <w:tcW w:w="776" w:type="pct"/>
            <w:tcBorders>
              <w:top w:val="single" w:color="auto" w:sz="4" w:space="0"/>
              <w:left w:val="single" w:color="auto" w:sz="4" w:space="0"/>
              <w:bottom w:val="single" w:color="auto" w:sz="4" w:space="0"/>
              <w:right w:val="single" w:color="auto" w:sz="4" w:space="0"/>
            </w:tcBorders>
            <w:vAlign w:val="center"/>
          </w:tcPr>
          <w:p w14:paraId="4A3CB736">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总磷</w:t>
            </w:r>
          </w:p>
        </w:tc>
        <w:tc>
          <w:tcPr>
            <w:tcW w:w="541" w:type="pct"/>
            <w:tcBorders>
              <w:top w:val="single" w:color="auto" w:sz="4" w:space="0"/>
              <w:left w:val="single" w:color="auto" w:sz="4" w:space="0"/>
              <w:bottom w:val="single" w:color="auto" w:sz="4" w:space="0"/>
              <w:right w:val="single" w:color="auto" w:sz="4" w:space="0"/>
            </w:tcBorders>
            <w:vAlign w:val="center"/>
          </w:tcPr>
          <w:p w14:paraId="164D74DA">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3.77</w:t>
            </w:r>
          </w:p>
        </w:tc>
        <w:tc>
          <w:tcPr>
            <w:tcW w:w="541" w:type="pct"/>
            <w:tcBorders>
              <w:top w:val="single" w:color="auto" w:sz="4" w:space="0"/>
              <w:left w:val="single" w:color="auto" w:sz="4" w:space="0"/>
              <w:bottom w:val="single" w:color="auto" w:sz="4" w:space="0"/>
              <w:right w:val="single" w:color="auto" w:sz="4" w:space="0"/>
            </w:tcBorders>
            <w:vAlign w:val="center"/>
          </w:tcPr>
          <w:p w14:paraId="348887B1">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3.88</w:t>
            </w:r>
          </w:p>
        </w:tc>
        <w:tc>
          <w:tcPr>
            <w:tcW w:w="541" w:type="pct"/>
            <w:tcBorders>
              <w:top w:val="single" w:color="auto" w:sz="4" w:space="0"/>
              <w:left w:val="single" w:color="auto" w:sz="4" w:space="0"/>
              <w:bottom w:val="single" w:color="auto" w:sz="4" w:space="0"/>
              <w:right w:val="single" w:color="auto" w:sz="4" w:space="0"/>
            </w:tcBorders>
            <w:vAlign w:val="center"/>
          </w:tcPr>
          <w:p w14:paraId="74CA697D">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3.84</w:t>
            </w:r>
          </w:p>
        </w:tc>
        <w:tc>
          <w:tcPr>
            <w:tcW w:w="541" w:type="pct"/>
            <w:tcBorders>
              <w:top w:val="single" w:color="auto" w:sz="4" w:space="0"/>
              <w:left w:val="single" w:color="auto" w:sz="4" w:space="0"/>
              <w:bottom w:val="single" w:color="auto" w:sz="4" w:space="0"/>
              <w:right w:val="single" w:color="auto" w:sz="4" w:space="0"/>
            </w:tcBorders>
            <w:vAlign w:val="center"/>
          </w:tcPr>
          <w:p w14:paraId="143DD899">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3.95</w:t>
            </w:r>
          </w:p>
        </w:tc>
        <w:tc>
          <w:tcPr>
            <w:tcW w:w="557" w:type="pct"/>
            <w:tcBorders>
              <w:top w:val="single" w:color="auto" w:sz="4" w:space="0"/>
              <w:left w:val="single" w:color="auto" w:sz="4" w:space="0"/>
              <w:bottom w:val="single" w:color="auto" w:sz="4" w:space="0"/>
              <w:right w:val="single" w:color="auto" w:sz="4" w:space="0"/>
            </w:tcBorders>
            <w:vAlign w:val="center"/>
          </w:tcPr>
          <w:p w14:paraId="23AB268C">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3.95</w:t>
            </w:r>
          </w:p>
        </w:tc>
        <w:tc>
          <w:tcPr>
            <w:tcW w:w="334" w:type="pct"/>
            <w:tcBorders>
              <w:top w:val="single" w:color="auto" w:sz="4" w:space="0"/>
              <w:left w:val="single" w:color="auto" w:sz="4" w:space="0"/>
              <w:bottom w:val="single" w:color="auto" w:sz="4" w:space="0"/>
              <w:right w:val="single" w:color="auto" w:sz="4" w:space="0"/>
            </w:tcBorders>
            <w:vAlign w:val="center"/>
          </w:tcPr>
          <w:p w14:paraId="77F28ED7">
            <w:pPr>
              <w:jc w:val="center"/>
              <w:rPr>
                <w:rFonts w:hint="eastAsia"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4</w:t>
            </w:r>
          </w:p>
        </w:tc>
        <w:tc>
          <w:tcPr>
            <w:tcW w:w="395" w:type="pct"/>
            <w:tcBorders>
              <w:top w:val="single" w:color="auto" w:sz="4" w:space="0"/>
              <w:left w:val="single" w:color="auto" w:sz="4" w:space="0"/>
              <w:bottom w:val="single" w:color="auto" w:sz="4" w:space="0"/>
              <w:right w:val="single" w:color="auto" w:sz="4" w:space="0"/>
            </w:tcBorders>
            <w:vAlign w:val="center"/>
          </w:tcPr>
          <w:p w14:paraId="2F5EC0F9">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达标</w:t>
            </w:r>
          </w:p>
        </w:tc>
      </w:tr>
      <w:tr w14:paraId="76ABE0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771" w:type="pct"/>
            <w:vMerge w:val="continue"/>
            <w:tcBorders>
              <w:left w:val="single" w:color="auto" w:sz="4" w:space="0"/>
              <w:right w:val="single" w:color="auto" w:sz="4" w:space="0"/>
            </w:tcBorders>
            <w:vAlign w:val="center"/>
          </w:tcPr>
          <w:p w14:paraId="27A31BA4">
            <w:pPr>
              <w:jc w:val="center"/>
              <w:rPr>
                <w:rFonts w:ascii="Times New Roman" w:hAnsi="Times New Roman" w:eastAsia="宋体" w:cs="Times New Roman"/>
                <w:color w:val="auto"/>
                <w:sz w:val="22"/>
                <w:szCs w:val="24"/>
              </w:rPr>
            </w:pPr>
          </w:p>
        </w:tc>
        <w:tc>
          <w:tcPr>
            <w:tcW w:w="776" w:type="pct"/>
            <w:tcBorders>
              <w:top w:val="single" w:color="auto" w:sz="4" w:space="0"/>
              <w:left w:val="single" w:color="auto" w:sz="4" w:space="0"/>
              <w:bottom w:val="single" w:color="auto" w:sz="4" w:space="0"/>
              <w:right w:val="single" w:color="auto" w:sz="4" w:space="0"/>
            </w:tcBorders>
            <w:vAlign w:val="center"/>
          </w:tcPr>
          <w:p w14:paraId="3688A0F1">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总氮</w:t>
            </w:r>
          </w:p>
        </w:tc>
        <w:tc>
          <w:tcPr>
            <w:tcW w:w="541" w:type="pct"/>
            <w:tcBorders>
              <w:top w:val="single" w:color="auto" w:sz="4" w:space="0"/>
              <w:left w:val="single" w:color="auto" w:sz="4" w:space="0"/>
              <w:bottom w:val="single" w:color="auto" w:sz="4" w:space="0"/>
              <w:right w:val="single" w:color="auto" w:sz="4" w:space="0"/>
            </w:tcBorders>
            <w:vAlign w:val="center"/>
          </w:tcPr>
          <w:p w14:paraId="329316B7">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28.6</w:t>
            </w:r>
          </w:p>
        </w:tc>
        <w:tc>
          <w:tcPr>
            <w:tcW w:w="541" w:type="pct"/>
            <w:tcBorders>
              <w:top w:val="single" w:color="auto" w:sz="4" w:space="0"/>
              <w:left w:val="single" w:color="auto" w:sz="4" w:space="0"/>
              <w:bottom w:val="single" w:color="auto" w:sz="4" w:space="0"/>
              <w:right w:val="single" w:color="auto" w:sz="4" w:space="0"/>
            </w:tcBorders>
            <w:vAlign w:val="center"/>
          </w:tcPr>
          <w:p w14:paraId="4FDB4A2A">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25.5</w:t>
            </w:r>
          </w:p>
        </w:tc>
        <w:tc>
          <w:tcPr>
            <w:tcW w:w="541" w:type="pct"/>
            <w:tcBorders>
              <w:top w:val="single" w:color="auto" w:sz="4" w:space="0"/>
              <w:left w:val="single" w:color="auto" w:sz="4" w:space="0"/>
              <w:bottom w:val="single" w:color="auto" w:sz="4" w:space="0"/>
              <w:right w:val="single" w:color="auto" w:sz="4" w:space="0"/>
            </w:tcBorders>
            <w:vAlign w:val="center"/>
          </w:tcPr>
          <w:p w14:paraId="2AB90560">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25.3</w:t>
            </w:r>
          </w:p>
        </w:tc>
        <w:tc>
          <w:tcPr>
            <w:tcW w:w="541" w:type="pct"/>
            <w:tcBorders>
              <w:top w:val="single" w:color="auto" w:sz="4" w:space="0"/>
              <w:left w:val="single" w:color="auto" w:sz="4" w:space="0"/>
              <w:bottom w:val="single" w:color="auto" w:sz="4" w:space="0"/>
              <w:right w:val="single" w:color="auto" w:sz="4" w:space="0"/>
            </w:tcBorders>
            <w:vAlign w:val="center"/>
          </w:tcPr>
          <w:p w14:paraId="170FFEBB">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26.2</w:t>
            </w:r>
          </w:p>
        </w:tc>
        <w:tc>
          <w:tcPr>
            <w:tcW w:w="557" w:type="pct"/>
            <w:tcBorders>
              <w:top w:val="single" w:color="auto" w:sz="4" w:space="0"/>
              <w:left w:val="single" w:color="auto" w:sz="4" w:space="0"/>
              <w:bottom w:val="single" w:color="auto" w:sz="4" w:space="0"/>
              <w:right w:val="single" w:color="auto" w:sz="4" w:space="0"/>
            </w:tcBorders>
            <w:vAlign w:val="center"/>
          </w:tcPr>
          <w:p w14:paraId="5BAC1104">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28.6</w:t>
            </w:r>
          </w:p>
        </w:tc>
        <w:tc>
          <w:tcPr>
            <w:tcW w:w="334" w:type="pct"/>
            <w:tcBorders>
              <w:top w:val="single" w:color="auto" w:sz="4" w:space="0"/>
              <w:left w:val="single" w:color="auto" w:sz="4" w:space="0"/>
              <w:bottom w:val="single" w:color="auto" w:sz="4" w:space="0"/>
              <w:right w:val="single" w:color="auto" w:sz="4" w:space="0"/>
            </w:tcBorders>
            <w:vAlign w:val="center"/>
          </w:tcPr>
          <w:p w14:paraId="7315B26C">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40</w:t>
            </w:r>
          </w:p>
        </w:tc>
        <w:tc>
          <w:tcPr>
            <w:tcW w:w="395" w:type="pct"/>
            <w:tcBorders>
              <w:top w:val="single" w:color="auto" w:sz="4" w:space="0"/>
              <w:left w:val="single" w:color="auto" w:sz="4" w:space="0"/>
              <w:bottom w:val="single" w:color="auto" w:sz="4" w:space="0"/>
              <w:right w:val="single" w:color="auto" w:sz="4" w:space="0"/>
            </w:tcBorders>
            <w:vAlign w:val="center"/>
          </w:tcPr>
          <w:p w14:paraId="226ACFA0">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达标</w:t>
            </w:r>
          </w:p>
        </w:tc>
      </w:tr>
      <w:tr w14:paraId="1140B3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771" w:type="pct"/>
            <w:vMerge w:val="continue"/>
            <w:tcBorders>
              <w:left w:val="single" w:color="auto" w:sz="4" w:space="0"/>
              <w:bottom w:val="single" w:color="auto" w:sz="4" w:space="0"/>
              <w:right w:val="single" w:color="auto" w:sz="4" w:space="0"/>
            </w:tcBorders>
            <w:vAlign w:val="center"/>
          </w:tcPr>
          <w:p w14:paraId="563AA9B6">
            <w:pPr>
              <w:jc w:val="center"/>
              <w:rPr>
                <w:rFonts w:ascii="Times New Roman" w:hAnsi="Times New Roman" w:eastAsia="宋体" w:cs="Times New Roman"/>
                <w:color w:val="auto"/>
                <w:sz w:val="22"/>
                <w:szCs w:val="24"/>
              </w:rPr>
            </w:pPr>
          </w:p>
        </w:tc>
        <w:tc>
          <w:tcPr>
            <w:tcW w:w="776" w:type="pct"/>
            <w:tcBorders>
              <w:top w:val="single" w:color="auto" w:sz="4" w:space="0"/>
              <w:left w:val="single" w:color="auto" w:sz="4" w:space="0"/>
              <w:bottom w:val="single" w:color="auto" w:sz="4" w:space="0"/>
              <w:right w:val="single" w:color="auto" w:sz="4" w:space="0"/>
            </w:tcBorders>
            <w:vAlign w:val="center"/>
          </w:tcPr>
          <w:p w14:paraId="4365F060">
            <w:pPr>
              <w:jc w:val="center"/>
              <w:rPr>
                <w:rFonts w:hint="eastAsia"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总氰化物</w:t>
            </w:r>
          </w:p>
        </w:tc>
        <w:tc>
          <w:tcPr>
            <w:tcW w:w="541" w:type="pct"/>
            <w:tcBorders>
              <w:top w:val="single" w:color="auto" w:sz="4" w:space="0"/>
              <w:left w:val="single" w:color="auto" w:sz="4" w:space="0"/>
              <w:bottom w:val="single" w:color="auto" w:sz="4" w:space="0"/>
              <w:right w:val="single" w:color="auto" w:sz="4" w:space="0"/>
            </w:tcBorders>
            <w:vAlign w:val="center"/>
          </w:tcPr>
          <w:p w14:paraId="38C36D8A">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ND</w:t>
            </w:r>
          </w:p>
        </w:tc>
        <w:tc>
          <w:tcPr>
            <w:tcW w:w="541" w:type="pct"/>
            <w:tcBorders>
              <w:top w:val="single" w:color="auto" w:sz="4" w:space="0"/>
              <w:left w:val="single" w:color="auto" w:sz="4" w:space="0"/>
              <w:bottom w:val="single" w:color="auto" w:sz="4" w:space="0"/>
              <w:right w:val="single" w:color="auto" w:sz="4" w:space="0"/>
            </w:tcBorders>
            <w:vAlign w:val="center"/>
          </w:tcPr>
          <w:p w14:paraId="3C4E18BB">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ND</w:t>
            </w:r>
          </w:p>
        </w:tc>
        <w:tc>
          <w:tcPr>
            <w:tcW w:w="541" w:type="pct"/>
            <w:tcBorders>
              <w:top w:val="single" w:color="auto" w:sz="4" w:space="0"/>
              <w:left w:val="single" w:color="auto" w:sz="4" w:space="0"/>
              <w:bottom w:val="single" w:color="auto" w:sz="4" w:space="0"/>
              <w:right w:val="single" w:color="auto" w:sz="4" w:space="0"/>
            </w:tcBorders>
            <w:vAlign w:val="center"/>
          </w:tcPr>
          <w:p w14:paraId="1B17905B">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ND</w:t>
            </w:r>
          </w:p>
        </w:tc>
        <w:tc>
          <w:tcPr>
            <w:tcW w:w="541" w:type="pct"/>
            <w:tcBorders>
              <w:top w:val="single" w:color="auto" w:sz="4" w:space="0"/>
              <w:left w:val="single" w:color="auto" w:sz="4" w:space="0"/>
              <w:bottom w:val="single" w:color="auto" w:sz="4" w:space="0"/>
              <w:right w:val="single" w:color="auto" w:sz="4" w:space="0"/>
            </w:tcBorders>
            <w:vAlign w:val="center"/>
          </w:tcPr>
          <w:p w14:paraId="7209C567">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ND</w:t>
            </w:r>
          </w:p>
        </w:tc>
        <w:tc>
          <w:tcPr>
            <w:tcW w:w="557" w:type="pct"/>
            <w:tcBorders>
              <w:top w:val="single" w:color="auto" w:sz="4" w:space="0"/>
              <w:left w:val="single" w:color="auto" w:sz="4" w:space="0"/>
              <w:bottom w:val="single" w:color="auto" w:sz="4" w:space="0"/>
              <w:right w:val="single" w:color="auto" w:sz="4" w:space="0"/>
            </w:tcBorders>
            <w:vAlign w:val="center"/>
          </w:tcPr>
          <w:p w14:paraId="7BE6F228">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w:t>
            </w:r>
          </w:p>
        </w:tc>
        <w:tc>
          <w:tcPr>
            <w:tcW w:w="334" w:type="pct"/>
            <w:tcBorders>
              <w:top w:val="single" w:color="auto" w:sz="4" w:space="0"/>
              <w:left w:val="single" w:color="auto" w:sz="4" w:space="0"/>
              <w:bottom w:val="single" w:color="auto" w:sz="4" w:space="0"/>
              <w:right w:val="single" w:color="auto" w:sz="4" w:space="0"/>
            </w:tcBorders>
            <w:vAlign w:val="center"/>
          </w:tcPr>
          <w:p w14:paraId="65E4DE8B">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0.5</w:t>
            </w:r>
          </w:p>
        </w:tc>
        <w:tc>
          <w:tcPr>
            <w:tcW w:w="395" w:type="pct"/>
            <w:tcBorders>
              <w:top w:val="single" w:color="auto" w:sz="4" w:space="0"/>
              <w:left w:val="single" w:color="auto" w:sz="4" w:space="0"/>
              <w:bottom w:val="single" w:color="auto" w:sz="4" w:space="0"/>
              <w:right w:val="single" w:color="auto" w:sz="4" w:space="0"/>
            </w:tcBorders>
            <w:vAlign w:val="center"/>
          </w:tcPr>
          <w:p w14:paraId="183A57A2">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达标</w:t>
            </w:r>
          </w:p>
        </w:tc>
      </w:tr>
      <w:tr w14:paraId="1AFE66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3" w:hRule="atLeast"/>
        </w:trPr>
        <w:tc>
          <w:tcPr>
            <w:tcW w:w="771" w:type="pct"/>
            <w:vMerge w:val="restart"/>
            <w:tcBorders>
              <w:top w:val="single" w:color="auto" w:sz="4" w:space="0"/>
              <w:left w:val="single" w:color="auto" w:sz="4" w:space="0"/>
              <w:right w:val="single" w:color="auto" w:sz="4" w:space="0"/>
            </w:tcBorders>
            <w:shd w:val="clear" w:color="auto" w:fill="auto"/>
            <w:vAlign w:val="center"/>
          </w:tcPr>
          <w:p w14:paraId="5D0E6AA8">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lang w:val="en-US" w:eastAsia="zh-CN"/>
              </w:rPr>
              <w:t>检测点位</w:t>
            </w:r>
          </w:p>
        </w:tc>
        <w:tc>
          <w:tcPr>
            <w:tcW w:w="776" w:type="pct"/>
            <w:vMerge w:val="restart"/>
            <w:tcBorders>
              <w:top w:val="single" w:color="auto" w:sz="4" w:space="0"/>
              <w:left w:val="single" w:color="auto" w:sz="4" w:space="0"/>
              <w:right w:val="single" w:color="auto" w:sz="4" w:space="0"/>
            </w:tcBorders>
            <w:shd w:val="clear" w:color="auto" w:fill="auto"/>
            <w:vAlign w:val="center"/>
          </w:tcPr>
          <w:p w14:paraId="4946C725">
            <w:pPr>
              <w:jc w:val="center"/>
              <w:rPr>
                <w:rFonts w:ascii="Times New Roman" w:hAnsi="Times New Roman" w:eastAsia="宋体" w:cs="Times New Roman"/>
                <w:color w:val="auto"/>
                <w:kern w:val="2"/>
                <w:sz w:val="22"/>
                <w:szCs w:val="24"/>
                <w:lang w:val="en-US" w:eastAsia="zh-CN" w:bidi="ar-SA"/>
              </w:rPr>
            </w:pPr>
            <w:r>
              <w:rPr>
                <w:rFonts w:ascii="Times New Roman" w:hAnsi="Times New Roman" w:eastAsia="宋体" w:cs="Times New Roman"/>
                <w:color w:val="auto"/>
                <w:sz w:val="22"/>
                <w:szCs w:val="24"/>
              </w:rPr>
              <w:t>检测项目</w:t>
            </w:r>
          </w:p>
        </w:tc>
        <w:tc>
          <w:tcPr>
            <w:tcW w:w="2721" w:type="pct"/>
            <w:gridSpan w:val="5"/>
            <w:tcBorders>
              <w:top w:val="single" w:color="auto" w:sz="4" w:space="0"/>
              <w:left w:val="single" w:color="auto" w:sz="4" w:space="0"/>
              <w:bottom w:val="single" w:color="auto" w:sz="4" w:space="0"/>
              <w:right w:val="single" w:color="auto" w:sz="4" w:space="0"/>
            </w:tcBorders>
            <w:shd w:val="clear" w:color="auto" w:fill="auto"/>
            <w:vAlign w:val="center"/>
          </w:tcPr>
          <w:p w14:paraId="5B496ED3">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采样时间及检测结果</w:t>
            </w:r>
          </w:p>
        </w:tc>
        <w:tc>
          <w:tcPr>
            <w:tcW w:w="334" w:type="pct"/>
            <w:vMerge w:val="restart"/>
            <w:tcBorders>
              <w:top w:val="single" w:color="auto" w:sz="4" w:space="0"/>
              <w:left w:val="single" w:color="auto" w:sz="4" w:space="0"/>
              <w:right w:val="single" w:color="auto" w:sz="4" w:space="0"/>
            </w:tcBorders>
            <w:shd w:val="clear" w:color="auto" w:fill="auto"/>
            <w:vAlign w:val="center"/>
          </w:tcPr>
          <w:p w14:paraId="140EC683">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标准</w:t>
            </w:r>
          </w:p>
          <w:p w14:paraId="13B4FA60">
            <w:pPr>
              <w:jc w:val="center"/>
              <w:rPr>
                <w:rFonts w:ascii="Times New Roman" w:hAnsi="Times New Roman" w:eastAsia="宋体" w:cs="Times New Roman"/>
                <w:color w:val="auto"/>
                <w:kern w:val="2"/>
                <w:sz w:val="22"/>
                <w:szCs w:val="24"/>
                <w:lang w:val="en-US" w:eastAsia="zh-CN" w:bidi="ar-SA"/>
              </w:rPr>
            </w:pPr>
            <w:r>
              <w:rPr>
                <w:rFonts w:ascii="Times New Roman" w:hAnsi="Times New Roman" w:eastAsia="宋体" w:cs="Times New Roman"/>
                <w:color w:val="auto"/>
                <w:sz w:val="22"/>
                <w:szCs w:val="24"/>
              </w:rPr>
              <w:t>限值</w:t>
            </w:r>
          </w:p>
        </w:tc>
        <w:tc>
          <w:tcPr>
            <w:tcW w:w="395" w:type="pct"/>
            <w:vMerge w:val="restart"/>
            <w:tcBorders>
              <w:top w:val="single" w:color="auto" w:sz="4" w:space="0"/>
              <w:left w:val="single" w:color="auto" w:sz="4" w:space="0"/>
              <w:right w:val="single" w:color="auto" w:sz="4" w:space="0"/>
            </w:tcBorders>
            <w:shd w:val="clear" w:color="auto" w:fill="auto"/>
            <w:vAlign w:val="center"/>
          </w:tcPr>
          <w:p w14:paraId="63892975">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达标情</w:t>
            </w:r>
          </w:p>
          <w:p w14:paraId="4EFA0C22">
            <w:pPr>
              <w:jc w:val="center"/>
              <w:rPr>
                <w:rFonts w:ascii="Times New Roman" w:hAnsi="Times New Roman" w:eastAsia="宋体" w:cs="Times New Roman"/>
                <w:color w:val="auto"/>
                <w:kern w:val="2"/>
                <w:sz w:val="22"/>
                <w:szCs w:val="24"/>
                <w:lang w:val="en-US" w:eastAsia="zh-CN" w:bidi="ar-SA"/>
              </w:rPr>
            </w:pPr>
            <w:r>
              <w:rPr>
                <w:rFonts w:ascii="Times New Roman" w:hAnsi="Times New Roman" w:eastAsia="宋体" w:cs="Times New Roman"/>
                <w:color w:val="auto"/>
                <w:sz w:val="22"/>
                <w:szCs w:val="24"/>
              </w:rPr>
              <w:t>况</w:t>
            </w:r>
          </w:p>
        </w:tc>
      </w:tr>
      <w:tr w14:paraId="37E285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771" w:type="pct"/>
            <w:vMerge w:val="continue"/>
            <w:tcBorders>
              <w:left w:val="single" w:color="auto" w:sz="4" w:space="0"/>
              <w:right w:val="single" w:color="auto" w:sz="4" w:space="0"/>
            </w:tcBorders>
            <w:vAlign w:val="center"/>
          </w:tcPr>
          <w:p w14:paraId="317C3ACF">
            <w:pPr>
              <w:jc w:val="center"/>
              <w:rPr>
                <w:rFonts w:ascii="Times New Roman" w:hAnsi="Times New Roman" w:eastAsia="宋体" w:cs="Times New Roman"/>
                <w:color w:val="auto"/>
                <w:sz w:val="22"/>
                <w:szCs w:val="24"/>
              </w:rPr>
            </w:pPr>
          </w:p>
        </w:tc>
        <w:tc>
          <w:tcPr>
            <w:tcW w:w="776" w:type="pct"/>
            <w:vMerge w:val="continue"/>
            <w:tcBorders>
              <w:left w:val="single" w:color="auto" w:sz="4" w:space="0"/>
              <w:right w:val="single" w:color="auto" w:sz="4" w:space="0"/>
            </w:tcBorders>
            <w:vAlign w:val="center"/>
          </w:tcPr>
          <w:p w14:paraId="19C519E4">
            <w:pPr>
              <w:jc w:val="center"/>
              <w:rPr>
                <w:rFonts w:ascii="Times New Roman" w:hAnsi="Times New Roman" w:eastAsia="宋体" w:cs="Times New Roman"/>
                <w:color w:val="auto"/>
                <w:sz w:val="22"/>
                <w:szCs w:val="24"/>
              </w:rPr>
            </w:pPr>
          </w:p>
        </w:tc>
        <w:tc>
          <w:tcPr>
            <w:tcW w:w="2721" w:type="pct"/>
            <w:gridSpan w:val="5"/>
            <w:tcBorders>
              <w:top w:val="single" w:color="auto" w:sz="4" w:space="0"/>
              <w:left w:val="single" w:color="auto" w:sz="4" w:space="0"/>
              <w:bottom w:val="single" w:color="auto" w:sz="4" w:space="0"/>
              <w:right w:val="single" w:color="auto" w:sz="4" w:space="0"/>
            </w:tcBorders>
            <w:shd w:val="clear" w:color="auto" w:fill="auto"/>
            <w:vAlign w:val="center"/>
          </w:tcPr>
          <w:p w14:paraId="5D1AA561">
            <w:pPr>
              <w:jc w:val="center"/>
              <w:rPr>
                <w:rFonts w:hint="default" w:ascii="Times New Roman" w:hAnsi="Times New Roman" w:eastAsia="宋体" w:cs="Times New Roman"/>
                <w:color w:val="auto"/>
                <w:sz w:val="22"/>
                <w:szCs w:val="24"/>
                <w:lang w:val="en-US"/>
              </w:rPr>
            </w:pPr>
            <w:r>
              <w:rPr>
                <w:rFonts w:hint="eastAsia" w:ascii="Times New Roman" w:hAnsi="Times New Roman" w:eastAsia="宋体" w:cs="Times New Roman"/>
                <w:color w:val="auto"/>
                <w:sz w:val="22"/>
                <w:szCs w:val="24"/>
                <w:lang w:val="en-US" w:eastAsia="zh-CN"/>
              </w:rPr>
              <w:t>2023.5.13</w:t>
            </w:r>
          </w:p>
        </w:tc>
        <w:tc>
          <w:tcPr>
            <w:tcW w:w="334" w:type="pct"/>
            <w:vMerge w:val="continue"/>
            <w:tcBorders>
              <w:left w:val="single" w:color="auto" w:sz="4" w:space="0"/>
              <w:right w:val="single" w:color="auto" w:sz="4" w:space="0"/>
            </w:tcBorders>
            <w:vAlign w:val="center"/>
          </w:tcPr>
          <w:p w14:paraId="62475BB8">
            <w:pPr>
              <w:jc w:val="center"/>
              <w:rPr>
                <w:rFonts w:ascii="Times New Roman" w:hAnsi="Times New Roman" w:eastAsia="宋体" w:cs="Times New Roman"/>
                <w:color w:val="auto"/>
                <w:sz w:val="22"/>
                <w:szCs w:val="24"/>
              </w:rPr>
            </w:pPr>
          </w:p>
        </w:tc>
        <w:tc>
          <w:tcPr>
            <w:tcW w:w="395" w:type="pct"/>
            <w:vMerge w:val="continue"/>
            <w:tcBorders>
              <w:left w:val="single" w:color="auto" w:sz="4" w:space="0"/>
              <w:right w:val="single" w:color="auto" w:sz="4" w:space="0"/>
            </w:tcBorders>
            <w:vAlign w:val="center"/>
          </w:tcPr>
          <w:p w14:paraId="669687BF">
            <w:pPr>
              <w:jc w:val="center"/>
              <w:rPr>
                <w:rFonts w:ascii="Times New Roman" w:hAnsi="Times New Roman" w:eastAsia="宋体" w:cs="Times New Roman"/>
                <w:color w:val="auto"/>
                <w:sz w:val="22"/>
                <w:szCs w:val="24"/>
              </w:rPr>
            </w:pPr>
          </w:p>
        </w:tc>
      </w:tr>
      <w:tr w14:paraId="37B704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771" w:type="pct"/>
            <w:vMerge w:val="continue"/>
            <w:tcBorders>
              <w:left w:val="single" w:color="auto" w:sz="4" w:space="0"/>
              <w:bottom w:val="single" w:color="auto" w:sz="4" w:space="0"/>
              <w:right w:val="single" w:color="auto" w:sz="4" w:space="0"/>
            </w:tcBorders>
            <w:vAlign w:val="center"/>
          </w:tcPr>
          <w:p w14:paraId="7A230786">
            <w:pPr>
              <w:jc w:val="center"/>
              <w:rPr>
                <w:rFonts w:ascii="Times New Roman" w:hAnsi="Times New Roman" w:eastAsia="宋体" w:cs="Times New Roman"/>
                <w:color w:val="auto"/>
                <w:sz w:val="22"/>
                <w:szCs w:val="24"/>
              </w:rPr>
            </w:pPr>
          </w:p>
        </w:tc>
        <w:tc>
          <w:tcPr>
            <w:tcW w:w="776" w:type="pct"/>
            <w:vMerge w:val="continue"/>
            <w:tcBorders>
              <w:left w:val="single" w:color="auto" w:sz="4" w:space="0"/>
              <w:bottom w:val="single" w:color="auto" w:sz="4" w:space="0"/>
              <w:right w:val="single" w:color="auto" w:sz="4" w:space="0"/>
            </w:tcBorders>
            <w:vAlign w:val="center"/>
          </w:tcPr>
          <w:p w14:paraId="1FF9CEAA">
            <w:pPr>
              <w:jc w:val="center"/>
              <w:rPr>
                <w:rFonts w:ascii="Times New Roman" w:hAnsi="Times New Roman" w:eastAsia="宋体" w:cs="Times New Roman"/>
                <w:color w:val="auto"/>
                <w:sz w:val="22"/>
                <w:szCs w:val="24"/>
              </w:rPr>
            </w:pPr>
          </w:p>
        </w:tc>
        <w:tc>
          <w:tcPr>
            <w:tcW w:w="541" w:type="pct"/>
            <w:tcBorders>
              <w:top w:val="single" w:color="auto" w:sz="4" w:space="0"/>
              <w:left w:val="single" w:color="auto" w:sz="4" w:space="0"/>
              <w:bottom w:val="single" w:color="auto" w:sz="4" w:space="0"/>
              <w:right w:val="single" w:color="auto" w:sz="4" w:space="0"/>
            </w:tcBorders>
            <w:shd w:val="clear" w:color="auto" w:fill="auto"/>
            <w:vAlign w:val="center"/>
          </w:tcPr>
          <w:p w14:paraId="4D7A23FA">
            <w:pPr>
              <w:jc w:val="center"/>
              <w:rPr>
                <w:rFonts w:ascii="Times New Roman" w:hAnsi="Times New Roman" w:eastAsia="宋体" w:cs="Times New Roman"/>
                <w:color w:val="auto"/>
                <w:kern w:val="2"/>
                <w:sz w:val="22"/>
                <w:szCs w:val="24"/>
                <w:lang w:val="en-US" w:eastAsia="zh-CN" w:bidi="ar-SA"/>
              </w:rPr>
            </w:pPr>
            <w:r>
              <w:rPr>
                <w:rFonts w:ascii="Times New Roman" w:hAnsi="Times New Roman" w:eastAsia="宋体" w:cs="Times New Roman"/>
                <w:color w:val="auto"/>
                <w:sz w:val="22"/>
                <w:szCs w:val="24"/>
              </w:rPr>
              <w:t>第一次</w:t>
            </w:r>
          </w:p>
        </w:tc>
        <w:tc>
          <w:tcPr>
            <w:tcW w:w="541" w:type="pct"/>
            <w:tcBorders>
              <w:top w:val="single" w:color="auto" w:sz="4" w:space="0"/>
              <w:left w:val="single" w:color="auto" w:sz="4" w:space="0"/>
              <w:bottom w:val="single" w:color="auto" w:sz="4" w:space="0"/>
              <w:right w:val="single" w:color="auto" w:sz="4" w:space="0"/>
            </w:tcBorders>
            <w:shd w:val="clear" w:color="auto" w:fill="auto"/>
            <w:vAlign w:val="center"/>
          </w:tcPr>
          <w:p w14:paraId="61C30DF4">
            <w:pPr>
              <w:jc w:val="center"/>
              <w:rPr>
                <w:rFonts w:ascii="Times New Roman" w:hAnsi="Times New Roman" w:eastAsia="宋体" w:cs="Times New Roman"/>
                <w:color w:val="auto"/>
                <w:kern w:val="2"/>
                <w:sz w:val="22"/>
                <w:szCs w:val="24"/>
                <w:lang w:val="en-US" w:eastAsia="zh-CN" w:bidi="ar-SA"/>
              </w:rPr>
            </w:pPr>
            <w:r>
              <w:rPr>
                <w:rFonts w:ascii="Times New Roman" w:hAnsi="Times New Roman" w:eastAsia="宋体" w:cs="Times New Roman"/>
                <w:color w:val="auto"/>
                <w:sz w:val="22"/>
                <w:szCs w:val="24"/>
              </w:rPr>
              <w:t>第二次</w:t>
            </w:r>
          </w:p>
        </w:tc>
        <w:tc>
          <w:tcPr>
            <w:tcW w:w="541" w:type="pct"/>
            <w:tcBorders>
              <w:top w:val="single" w:color="auto" w:sz="4" w:space="0"/>
              <w:left w:val="single" w:color="auto" w:sz="4" w:space="0"/>
              <w:bottom w:val="single" w:color="auto" w:sz="4" w:space="0"/>
              <w:right w:val="single" w:color="auto" w:sz="4" w:space="0"/>
            </w:tcBorders>
            <w:shd w:val="clear" w:color="auto" w:fill="auto"/>
            <w:vAlign w:val="center"/>
          </w:tcPr>
          <w:p w14:paraId="12FB2535">
            <w:pPr>
              <w:jc w:val="center"/>
              <w:rPr>
                <w:rFonts w:ascii="Times New Roman" w:hAnsi="Times New Roman" w:eastAsia="宋体" w:cs="Times New Roman"/>
                <w:color w:val="auto"/>
                <w:kern w:val="2"/>
                <w:sz w:val="22"/>
                <w:szCs w:val="24"/>
                <w:lang w:val="en-US" w:eastAsia="zh-CN" w:bidi="ar-SA"/>
              </w:rPr>
            </w:pPr>
            <w:r>
              <w:rPr>
                <w:rFonts w:ascii="Times New Roman" w:hAnsi="Times New Roman" w:eastAsia="宋体" w:cs="Times New Roman"/>
                <w:color w:val="auto"/>
                <w:sz w:val="22"/>
                <w:szCs w:val="24"/>
              </w:rPr>
              <w:t>第三次</w:t>
            </w:r>
          </w:p>
        </w:tc>
        <w:tc>
          <w:tcPr>
            <w:tcW w:w="541" w:type="pct"/>
            <w:tcBorders>
              <w:top w:val="single" w:color="auto" w:sz="4" w:space="0"/>
              <w:left w:val="single" w:color="auto" w:sz="4" w:space="0"/>
              <w:bottom w:val="single" w:color="auto" w:sz="4" w:space="0"/>
              <w:right w:val="single" w:color="auto" w:sz="4" w:space="0"/>
            </w:tcBorders>
            <w:shd w:val="clear" w:color="auto" w:fill="auto"/>
            <w:vAlign w:val="center"/>
          </w:tcPr>
          <w:p w14:paraId="47CF1461">
            <w:pPr>
              <w:jc w:val="center"/>
              <w:rPr>
                <w:rFonts w:ascii="Times New Roman" w:hAnsi="Times New Roman" w:eastAsia="宋体" w:cs="Times New Roman"/>
                <w:color w:val="auto"/>
                <w:kern w:val="2"/>
                <w:sz w:val="22"/>
                <w:szCs w:val="24"/>
                <w:lang w:val="en-US" w:eastAsia="zh-CN" w:bidi="ar-SA"/>
              </w:rPr>
            </w:pPr>
            <w:r>
              <w:rPr>
                <w:rFonts w:ascii="Times New Roman" w:hAnsi="Times New Roman" w:eastAsia="宋体" w:cs="Times New Roman"/>
                <w:color w:val="auto"/>
                <w:sz w:val="22"/>
                <w:szCs w:val="24"/>
              </w:rPr>
              <w:t>第四次</w:t>
            </w:r>
          </w:p>
        </w:tc>
        <w:tc>
          <w:tcPr>
            <w:tcW w:w="557" w:type="pct"/>
            <w:tcBorders>
              <w:top w:val="single" w:color="auto" w:sz="4" w:space="0"/>
              <w:left w:val="single" w:color="auto" w:sz="4" w:space="0"/>
              <w:bottom w:val="single" w:color="auto" w:sz="4" w:space="0"/>
              <w:right w:val="single" w:color="auto" w:sz="4" w:space="0"/>
            </w:tcBorders>
            <w:shd w:val="clear" w:color="auto" w:fill="auto"/>
            <w:vAlign w:val="center"/>
          </w:tcPr>
          <w:p w14:paraId="6E4DBAEE">
            <w:pPr>
              <w:jc w:val="center"/>
              <w:rPr>
                <w:rFonts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lang w:val="en-US" w:eastAsia="zh-CN"/>
              </w:rPr>
              <w:t>最大</w:t>
            </w:r>
            <w:r>
              <w:rPr>
                <w:rFonts w:ascii="Times New Roman" w:hAnsi="Times New Roman" w:eastAsia="宋体" w:cs="Times New Roman"/>
                <w:color w:val="auto"/>
                <w:sz w:val="22"/>
                <w:szCs w:val="24"/>
              </w:rPr>
              <w:t>值</w:t>
            </w:r>
          </w:p>
        </w:tc>
        <w:tc>
          <w:tcPr>
            <w:tcW w:w="334" w:type="pct"/>
            <w:vMerge w:val="continue"/>
            <w:tcBorders>
              <w:left w:val="single" w:color="auto" w:sz="4" w:space="0"/>
              <w:bottom w:val="single" w:color="auto" w:sz="4" w:space="0"/>
              <w:right w:val="single" w:color="auto" w:sz="4" w:space="0"/>
            </w:tcBorders>
            <w:vAlign w:val="center"/>
          </w:tcPr>
          <w:p w14:paraId="370939AB">
            <w:pPr>
              <w:jc w:val="center"/>
              <w:rPr>
                <w:rFonts w:ascii="Times New Roman" w:hAnsi="Times New Roman" w:eastAsia="宋体" w:cs="Times New Roman"/>
                <w:color w:val="auto"/>
                <w:sz w:val="22"/>
                <w:szCs w:val="24"/>
              </w:rPr>
            </w:pPr>
          </w:p>
        </w:tc>
        <w:tc>
          <w:tcPr>
            <w:tcW w:w="395" w:type="pct"/>
            <w:vMerge w:val="continue"/>
            <w:tcBorders>
              <w:left w:val="single" w:color="auto" w:sz="4" w:space="0"/>
              <w:bottom w:val="single" w:color="auto" w:sz="4" w:space="0"/>
              <w:right w:val="single" w:color="auto" w:sz="4" w:space="0"/>
            </w:tcBorders>
            <w:vAlign w:val="center"/>
          </w:tcPr>
          <w:p w14:paraId="77F61CAD">
            <w:pPr>
              <w:jc w:val="center"/>
              <w:rPr>
                <w:rFonts w:ascii="Times New Roman" w:hAnsi="Times New Roman" w:eastAsia="宋体" w:cs="Times New Roman"/>
                <w:color w:val="auto"/>
                <w:sz w:val="22"/>
                <w:szCs w:val="24"/>
              </w:rPr>
            </w:pPr>
          </w:p>
        </w:tc>
      </w:tr>
      <w:tr w14:paraId="421405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771" w:type="pct"/>
            <w:vMerge w:val="restart"/>
            <w:tcBorders>
              <w:top w:val="single" w:color="auto" w:sz="4" w:space="0"/>
              <w:left w:val="single" w:color="auto" w:sz="4" w:space="0"/>
              <w:right w:val="single" w:color="auto" w:sz="4" w:space="0"/>
            </w:tcBorders>
            <w:vAlign w:val="center"/>
          </w:tcPr>
          <w:p w14:paraId="14D660C5">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lang w:val="en-US" w:eastAsia="zh-CN"/>
              </w:rPr>
              <w:t>污水处理站出口</w:t>
            </w:r>
          </w:p>
        </w:tc>
        <w:tc>
          <w:tcPr>
            <w:tcW w:w="776" w:type="pct"/>
            <w:tcBorders>
              <w:top w:val="single" w:color="auto" w:sz="4" w:space="0"/>
              <w:left w:val="single" w:color="auto" w:sz="4" w:space="0"/>
              <w:bottom w:val="single" w:color="auto" w:sz="4" w:space="0"/>
              <w:right w:val="single" w:color="auto" w:sz="4" w:space="0"/>
            </w:tcBorders>
            <w:shd w:val="clear" w:color="auto" w:fill="auto"/>
            <w:vAlign w:val="center"/>
          </w:tcPr>
          <w:p w14:paraId="1AB7A4AC">
            <w:pPr>
              <w:jc w:val="center"/>
              <w:rPr>
                <w:rFonts w:ascii="Times New Roman" w:hAnsi="Times New Roman" w:eastAsia="宋体" w:cs="Times New Roman"/>
                <w:color w:val="auto"/>
                <w:kern w:val="2"/>
                <w:sz w:val="22"/>
                <w:szCs w:val="24"/>
                <w:lang w:val="en-US" w:eastAsia="zh-CN" w:bidi="ar-SA"/>
              </w:rPr>
            </w:pPr>
            <w:r>
              <w:rPr>
                <w:rFonts w:ascii="Times New Roman" w:hAnsi="Times New Roman" w:eastAsia="宋体" w:cs="Times New Roman"/>
                <w:color w:val="auto"/>
                <w:sz w:val="22"/>
                <w:szCs w:val="24"/>
              </w:rPr>
              <w:t>pH 值（无量纲）</w:t>
            </w:r>
          </w:p>
        </w:tc>
        <w:tc>
          <w:tcPr>
            <w:tcW w:w="541" w:type="pct"/>
            <w:tcBorders>
              <w:top w:val="single" w:color="auto" w:sz="4" w:space="0"/>
              <w:left w:val="single" w:color="auto" w:sz="4" w:space="0"/>
              <w:bottom w:val="single" w:color="auto" w:sz="4" w:space="0"/>
              <w:right w:val="single" w:color="auto" w:sz="4" w:space="0"/>
            </w:tcBorders>
            <w:vAlign w:val="center"/>
          </w:tcPr>
          <w:p w14:paraId="12352D49">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7.2</w:t>
            </w:r>
          </w:p>
        </w:tc>
        <w:tc>
          <w:tcPr>
            <w:tcW w:w="541" w:type="pct"/>
            <w:tcBorders>
              <w:top w:val="single" w:color="auto" w:sz="4" w:space="0"/>
              <w:left w:val="single" w:color="auto" w:sz="4" w:space="0"/>
              <w:bottom w:val="single" w:color="auto" w:sz="4" w:space="0"/>
              <w:right w:val="single" w:color="auto" w:sz="4" w:space="0"/>
            </w:tcBorders>
            <w:vAlign w:val="center"/>
          </w:tcPr>
          <w:p w14:paraId="1D1708FC">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7.4</w:t>
            </w:r>
          </w:p>
        </w:tc>
        <w:tc>
          <w:tcPr>
            <w:tcW w:w="541" w:type="pct"/>
            <w:tcBorders>
              <w:top w:val="single" w:color="auto" w:sz="4" w:space="0"/>
              <w:left w:val="single" w:color="auto" w:sz="4" w:space="0"/>
              <w:bottom w:val="single" w:color="auto" w:sz="4" w:space="0"/>
              <w:right w:val="single" w:color="auto" w:sz="4" w:space="0"/>
            </w:tcBorders>
            <w:vAlign w:val="center"/>
          </w:tcPr>
          <w:p w14:paraId="17C07F9F">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7.0</w:t>
            </w:r>
          </w:p>
        </w:tc>
        <w:tc>
          <w:tcPr>
            <w:tcW w:w="541" w:type="pct"/>
            <w:tcBorders>
              <w:top w:val="single" w:color="auto" w:sz="4" w:space="0"/>
              <w:left w:val="single" w:color="auto" w:sz="4" w:space="0"/>
              <w:bottom w:val="single" w:color="auto" w:sz="4" w:space="0"/>
              <w:right w:val="single" w:color="auto" w:sz="4" w:space="0"/>
            </w:tcBorders>
            <w:vAlign w:val="center"/>
          </w:tcPr>
          <w:p w14:paraId="4EECA298">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7.0</w:t>
            </w:r>
          </w:p>
        </w:tc>
        <w:tc>
          <w:tcPr>
            <w:tcW w:w="557" w:type="pct"/>
            <w:tcBorders>
              <w:top w:val="single" w:color="auto" w:sz="4" w:space="0"/>
              <w:left w:val="single" w:color="auto" w:sz="4" w:space="0"/>
              <w:bottom w:val="single" w:color="auto" w:sz="4" w:space="0"/>
              <w:right w:val="single" w:color="auto" w:sz="4" w:space="0"/>
            </w:tcBorders>
            <w:vAlign w:val="center"/>
          </w:tcPr>
          <w:p w14:paraId="67268505">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7.4</w:t>
            </w:r>
          </w:p>
        </w:tc>
        <w:tc>
          <w:tcPr>
            <w:tcW w:w="334" w:type="pct"/>
            <w:tcBorders>
              <w:top w:val="single" w:color="auto" w:sz="4" w:space="0"/>
              <w:left w:val="single" w:color="auto" w:sz="4" w:space="0"/>
              <w:bottom w:val="single" w:color="auto" w:sz="4" w:space="0"/>
              <w:right w:val="single" w:color="auto" w:sz="4" w:space="0"/>
            </w:tcBorders>
            <w:shd w:val="clear" w:color="auto" w:fill="auto"/>
            <w:vAlign w:val="center"/>
          </w:tcPr>
          <w:p w14:paraId="4BCA0EEC">
            <w:pPr>
              <w:jc w:val="center"/>
              <w:rPr>
                <w:rFonts w:ascii="Times New Roman" w:hAnsi="Times New Roman" w:eastAsia="宋体" w:cs="Times New Roman"/>
                <w:color w:val="auto"/>
                <w:kern w:val="2"/>
                <w:sz w:val="22"/>
                <w:szCs w:val="24"/>
                <w:lang w:val="en-US" w:eastAsia="zh-CN" w:bidi="ar-SA"/>
              </w:rPr>
            </w:pPr>
            <w:r>
              <w:rPr>
                <w:rFonts w:ascii="Times New Roman" w:hAnsi="Times New Roman" w:eastAsia="宋体" w:cs="Times New Roman"/>
                <w:color w:val="auto"/>
                <w:sz w:val="22"/>
                <w:szCs w:val="24"/>
              </w:rPr>
              <w:t>6~9</w:t>
            </w:r>
          </w:p>
        </w:tc>
        <w:tc>
          <w:tcPr>
            <w:tcW w:w="395" w:type="pct"/>
            <w:tcBorders>
              <w:top w:val="single" w:color="auto" w:sz="4" w:space="0"/>
              <w:left w:val="single" w:color="auto" w:sz="4" w:space="0"/>
              <w:bottom w:val="single" w:color="auto" w:sz="4" w:space="0"/>
              <w:right w:val="single" w:color="auto" w:sz="4" w:space="0"/>
            </w:tcBorders>
            <w:vAlign w:val="center"/>
          </w:tcPr>
          <w:p w14:paraId="21AB421D">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达标</w:t>
            </w:r>
          </w:p>
        </w:tc>
      </w:tr>
      <w:tr w14:paraId="3D7CBC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771" w:type="pct"/>
            <w:vMerge w:val="continue"/>
            <w:tcBorders>
              <w:left w:val="single" w:color="auto" w:sz="4" w:space="0"/>
              <w:right w:val="single" w:color="auto" w:sz="4" w:space="0"/>
            </w:tcBorders>
            <w:vAlign w:val="center"/>
          </w:tcPr>
          <w:p w14:paraId="4382092C">
            <w:pPr>
              <w:jc w:val="center"/>
              <w:rPr>
                <w:rFonts w:ascii="Times New Roman" w:hAnsi="Times New Roman" w:eastAsia="宋体" w:cs="Times New Roman"/>
                <w:color w:val="auto"/>
                <w:sz w:val="22"/>
                <w:szCs w:val="24"/>
              </w:rPr>
            </w:pPr>
          </w:p>
        </w:tc>
        <w:tc>
          <w:tcPr>
            <w:tcW w:w="776" w:type="pct"/>
            <w:tcBorders>
              <w:top w:val="single" w:color="auto" w:sz="4" w:space="0"/>
              <w:left w:val="single" w:color="auto" w:sz="4" w:space="0"/>
              <w:bottom w:val="single" w:color="auto" w:sz="4" w:space="0"/>
              <w:right w:val="single" w:color="auto" w:sz="4" w:space="0"/>
            </w:tcBorders>
            <w:shd w:val="clear" w:color="auto" w:fill="auto"/>
            <w:vAlign w:val="center"/>
          </w:tcPr>
          <w:p w14:paraId="2EADA873">
            <w:pPr>
              <w:jc w:val="center"/>
              <w:rPr>
                <w:rFonts w:ascii="Times New Roman" w:hAnsi="Times New Roman" w:eastAsia="宋体" w:cs="Times New Roman"/>
                <w:color w:val="auto"/>
                <w:kern w:val="2"/>
                <w:sz w:val="22"/>
                <w:szCs w:val="24"/>
                <w:lang w:val="en-US" w:eastAsia="zh-CN" w:bidi="ar-SA"/>
              </w:rPr>
            </w:pPr>
            <w:r>
              <w:rPr>
                <w:rFonts w:ascii="Times New Roman" w:hAnsi="Times New Roman" w:eastAsia="宋体" w:cs="Times New Roman"/>
                <w:color w:val="auto"/>
                <w:sz w:val="22"/>
                <w:szCs w:val="24"/>
              </w:rPr>
              <w:t>化学需氧量</w:t>
            </w:r>
          </w:p>
        </w:tc>
        <w:tc>
          <w:tcPr>
            <w:tcW w:w="541" w:type="pct"/>
            <w:tcBorders>
              <w:top w:val="single" w:color="auto" w:sz="4" w:space="0"/>
              <w:left w:val="single" w:color="auto" w:sz="4" w:space="0"/>
              <w:bottom w:val="single" w:color="auto" w:sz="4" w:space="0"/>
              <w:right w:val="single" w:color="auto" w:sz="4" w:space="0"/>
            </w:tcBorders>
            <w:vAlign w:val="center"/>
          </w:tcPr>
          <w:p w14:paraId="57241141">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360</w:t>
            </w:r>
          </w:p>
        </w:tc>
        <w:tc>
          <w:tcPr>
            <w:tcW w:w="541" w:type="pct"/>
            <w:tcBorders>
              <w:top w:val="single" w:color="auto" w:sz="4" w:space="0"/>
              <w:left w:val="single" w:color="auto" w:sz="4" w:space="0"/>
              <w:bottom w:val="single" w:color="auto" w:sz="4" w:space="0"/>
              <w:right w:val="single" w:color="auto" w:sz="4" w:space="0"/>
            </w:tcBorders>
            <w:vAlign w:val="center"/>
          </w:tcPr>
          <w:p w14:paraId="1DB6BD69">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348</w:t>
            </w:r>
          </w:p>
        </w:tc>
        <w:tc>
          <w:tcPr>
            <w:tcW w:w="541" w:type="pct"/>
            <w:tcBorders>
              <w:top w:val="single" w:color="auto" w:sz="4" w:space="0"/>
              <w:left w:val="single" w:color="auto" w:sz="4" w:space="0"/>
              <w:bottom w:val="single" w:color="auto" w:sz="4" w:space="0"/>
              <w:right w:val="single" w:color="auto" w:sz="4" w:space="0"/>
            </w:tcBorders>
            <w:vAlign w:val="center"/>
          </w:tcPr>
          <w:p w14:paraId="068D33F9">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344</w:t>
            </w:r>
          </w:p>
        </w:tc>
        <w:tc>
          <w:tcPr>
            <w:tcW w:w="541" w:type="pct"/>
            <w:tcBorders>
              <w:top w:val="single" w:color="auto" w:sz="4" w:space="0"/>
              <w:left w:val="single" w:color="auto" w:sz="4" w:space="0"/>
              <w:bottom w:val="single" w:color="auto" w:sz="4" w:space="0"/>
              <w:right w:val="single" w:color="auto" w:sz="4" w:space="0"/>
            </w:tcBorders>
            <w:vAlign w:val="center"/>
          </w:tcPr>
          <w:p w14:paraId="720F8E3A">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353</w:t>
            </w:r>
          </w:p>
        </w:tc>
        <w:tc>
          <w:tcPr>
            <w:tcW w:w="557" w:type="pct"/>
            <w:tcBorders>
              <w:top w:val="single" w:color="auto" w:sz="4" w:space="0"/>
              <w:left w:val="single" w:color="auto" w:sz="4" w:space="0"/>
              <w:bottom w:val="single" w:color="auto" w:sz="4" w:space="0"/>
              <w:right w:val="single" w:color="auto" w:sz="4" w:space="0"/>
            </w:tcBorders>
            <w:vAlign w:val="center"/>
          </w:tcPr>
          <w:p w14:paraId="59D03ECE">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360</w:t>
            </w:r>
          </w:p>
        </w:tc>
        <w:tc>
          <w:tcPr>
            <w:tcW w:w="334" w:type="pct"/>
            <w:tcBorders>
              <w:top w:val="single" w:color="auto" w:sz="4" w:space="0"/>
              <w:left w:val="single" w:color="auto" w:sz="4" w:space="0"/>
              <w:bottom w:val="single" w:color="auto" w:sz="4" w:space="0"/>
              <w:right w:val="single" w:color="auto" w:sz="4" w:space="0"/>
            </w:tcBorders>
            <w:shd w:val="clear" w:color="auto" w:fill="auto"/>
            <w:vAlign w:val="center"/>
          </w:tcPr>
          <w:p w14:paraId="250648DE">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lang w:val="en-US" w:eastAsia="zh-CN"/>
              </w:rPr>
              <w:t>450</w:t>
            </w:r>
          </w:p>
        </w:tc>
        <w:tc>
          <w:tcPr>
            <w:tcW w:w="395" w:type="pct"/>
            <w:tcBorders>
              <w:top w:val="single" w:color="auto" w:sz="4" w:space="0"/>
              <w:left w:val="single" w:color="auto" w:sz="4" w:space="0"/>
              <w:bottom w:val="single" w:color="auto" w:sz="4" w:space="0"/>
              <w:right w:val="single" w:color="auto" w:sz="4" w:space="0"/>
            </w:tcBorders>
            <w:vAlign w:val="center"/>
          </w:tcPr>
          <w:p w14:paraId="7D2632EE">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达标</w:t>
            </w:r>
          </w:p>
        </w:tc>
      </w:tr>
      <w:tr w14:paraId="3DFD89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771" w:type="pct"/>
            <w:vMerge w:val="continue"/>
            <w:tcBorders>
              <w:left w:val="single" w:color="auto" w:sz="4" w:space="0"/>
              <w:right w:val="single" w:color="auto" w:sz="4" w:space="0"/>
            </w:tcBorders>
            <w:vAlign w:val="center"/>
          </w:tcPr>
          <w:p w14:paraId="7292DF4C">
            <w:pPr>
              <w:jc w:val="center"/>
              <w:rPr>
                <w:rFonts w:ascii="Times New Roman" w:hAnsi="Times New Roman" w:eastAsia="宋体" w:cs="Times New Roman"/>
                <w:color w:val="auto"/>
                <w:sz w:val="22"/>
                <w:szCs w:val="24"/>
              </w:rPr>
            </w:pPr>
          </w:p>
        </w:tc>
        <w:tc>
          <w:tcPr>
            <w:tcW w:w="776" w:type="pct"/>
            <w:tcBorders>
              <w:top w:val="single" w:color="auto" w:sz="4" w:space="0"/>
              <w:left w:val="single" w:color="auto" w:sz="4" w:space="0"/>
              <w:bottom w:val="single" w:color="auto" w:sz="4" w:space="0"/>
              <w:right w:val="single" w:color="auto" w:sz="4" w:space="0"/>
            </w:tcBorders>
            <w:shd w:val="clear" w:color="auto" w:fill="auto"/>
            <w:vAlign w:val="center"/>
          </w:tcPr>
          <w:p w14:paraId="473A5EFD">
            <w:pPr>
              <w:jc w:val="center"/>
              <w:rPr>
                <w:rFonts w:ascii="Times New Roman" w:hAnsi="Times New Roman" w:eastAsia="宋体" w:cs="Times New Roman"/>
                <w:color w:val="auto"/>
                <w:kern w:val="2"/>
                <w:sz w:val="22"/>
                <w:szCs w:val="24"/>
                <w:lang w:val="en-US" w:eastAsia="zh-CN" w:bidi="ar-SA"/>
              </w:rPr>
            </w:pPr>
            <w:r>
              <w:rPr>
                <w:rFonts w:ascii="Times New Roman" w:hAnsi="Times New Roman" w:eastAsia="宋体" w:cs="Times New Roman"/>
                <w:color w:val="auto"/>
                <w:sz w:val="22"/>
                <w:szCs w:val="24"/>
              </w:rPr>
              <w:t>五日生化需氧</w:t>
            </w:r>
          </w:p>
        </w:tc>
        <w:tc>
          <w:tcPr>
            <w:tcW w:w="541" w:type="pct"/>
            <w:tcBorders>
              <w:top w:val="single" w:color="auto" w:sz="4" w:space="0"/>
              <w:left w:val="single" w:color="auto" w:sz="4" w:space="0"/>
              <w:bottom w:val="single" w:color="auto" w:sz="4" w:space="0"/>
              <w:right w:val="single" w:color="auto" w:sz="4" w:space="0"/>
            </w:tcBorders>
            <w:vAlign w:val="center"/>
          </w:tcPr>
          <w:p w14:paraId="255AFC55">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99.3</w:t>
            </w:r>
          </w:p>
        </w:tc>
        <w:tc>
          <w:tcPr>
            <w:tcW w:w="541" w:type="pct"/>
            <w:tcBorders>
              <w:top w:val="single" w:color="auto" w:sz="4" w:space="0"/>
              <w:left w:val="single" w:color="auto" w:sz="4" w:space="0"/>
              <w:bottom w:val="single" w:color="auto" w:sz="4" w:space="0"/>
              <w:right w:val="single" w:color="auto" w:sz="4" w:space="0"/>
            </w:tcBorders>
            <w:vAlign w:val="center"/>
          </w:tcPr>
          <w:p w14:paraId="2E8F1C5A">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87.7</w:t>
            </w:r>
          </w:p>
        </w:tc>
        <w:tc>
          <w:tcPr>
            <w:tcW w:w="541" w:type="pct"/>
            <w:tcBorders>
              <w:top w:val="single" w:color="auto" w:sz="4" w:space="0"/>
              <w:left w:val="single" w:color="auto" w:sz="4" w:space="0"/>
              <w:bottom w:val="single" w:color="auto" w:sz="4" w:space="0"/>
              <w:right w:val="single" w:color="auto" w:sz="4" w:space="0"/>
            </w:tcBorders>
            <w:vAlign w:val="center"/>
          </w:tcPr>
          <w:p w14:paraId="433F6982">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95.9</w:t>
            </w:r>
          </w:p>
        </w:tc>
        <w:tc>
          <w:tcPr>
            <w:tcW w:w="541" w:type="pct"/>
            <w:tcBorders>
              <w:top w:val="single" w:color="auto" w:sz="4" w:space="0"/>
              <w:left w:val="single" w:color="auto" w:sz="4" w:space="0"/>
              <w:bottom w:val="single" w:color="auto" w:sz="4" w:space="0"/>
              <w:right w:val="single" w:color="auto" w:sz="4" w:space="0"/>
            </w:tcBorders>
            <w:vAlign w:val="center"/>
          </w:tcPr>
          <w:p w14:paraId="72BF7EA2">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93.2</w:t>
            </w:r>
          </w:p>
        </w:tc>
        <w:tc>
          <w:tcPr>
            <w:tcW w:w="557" w:type="pct"/>
            <w:tcBorders>
              <w:top w:val="single" w:color="auto" w:sz="4" w:space="0"/>
              <w:left w:val="single" w:color="auto" w:sz="4" w:space="0"/>
              <w:bottom w:val="single" w:color="auto" w:sz="4" w:space="0"/>
              <w:right w:val="single" w:color="auto" w:sz="4" w:space="0"/>
            </w:tcBorders>
            <w:vAlign w:val="center"/>
          </w:tcPr>
          <w:p w14:paraId="376A07F6">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99.3</w:t>
            </w:r>
          </w:p>
        </w:tc>
        <w:tc>
          <w:tcPr>
            <w:tcW w:w="334" w:type="pct"/>
            <w:tcBorders>
              <w:top w:val="single" w:color="auto" w:sz="4" w:space="0"/>
              <w:left w:val="single" w:color="auto" w:sz="4" w:space="0"/>
              <w:bottom w:val="single" w:color="auto" w:sz="4" w:space="0"/>
              <w:right w:val="single" w:color="auto" w:sz="4" w:space="0"/>
            </w:tcBorders>
            <w:shd w:val="clear" w:color="auto" w:fill="auto"/>
            <w:vAlign w:val="center"/>
          </w:tcPr>
          <w:p w14:paraId="79C02CA0">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lang w:val="en-US" w:eastAsia="zh-CN"/>
              </w:rPr>
              <w:t>250</w:t>
            </w:r>
          </w:p>
        </w:tc>
        <w:tc>
          <w:tcPr>
            <w:tcW w:w="395" w:type="pct"/>
            <w:tcBorders>
              <w:top w:val="single" w:color="auto" w:sz="4" w:space="0"/>
              <w:left w:val="single" w:color="auto" w:sz="4" w:space="0"/>
              <w:bottom w:val="single" w:color="auto" w:sz="4" w:space="0"/>
              <w:right w:val="single" w:color="auto" w:sz="4" w:space="0"/>
            </w:tcBorders>
            <w:vAlign w:val="center"/>
          </w:tcPr>
          <w:p w14:paraId="5C7CE22C">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达标</w:t>
            </w:r>
          </w:p>
        </w:tc>
      </w:tr>
      <w:tr w14:paraId="59AC17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771" w:type="pct"/>
            <w:vMerge w:val="continue"/>
            <w:tcBorders>
              <w:left w:val="single" w:color="auto" w:sz="4" w:space="0"/>
              <w:right w:val="single" w:color="auto" w:sz="4" w:space="0"/>
            </w:tcBorders>
            <w:vAlign w:val="center"/>
          </w:tcPr>
          <w:p w14:paraId="220E84B3">
            <w:pPr>
              <w:jc w:val="center"/>
              <w:rPr>
                <w:rFonts w:ascii="Times New Roman" w:hAnsi="Times New Roman" w:eastAsia="宋体" w:cs="Times New Roman"/>
                <w:color w:val="auto"/>
                <w:sz w:val="22"/>
                <w:szCs w:val="24"/>
              </w:rPr>
            </w:pPr>
          </w:p>
        </w:tc>
        <w:tc>
          <w:tcPr>
            <w:tcW w:w="776" w:type="pct"/>
            <w:tcBorders>
              <w:top w:val="single" w:color="auto" w:sz="4" w:space="0"/>
              <w:left w:val="single" w:color="auto" w:sz="4" w:space="0"/>
              <w:bottom w:val="single" w:color="auto" w:sz="4" w:space="0"/>
              <w:right w:val="single" w:color="auto" w:sz="4" w:space="0"/>
            </w:tcBorders>
            <w:shd w:val="clear" w:color="auto" w:fill="auto"/>
            <w:vAlign w:val="center"/>
          </w:tcPr>
          <w:p w14:paraId="21A8387B">
            <w:pPr>
              <w:jc w:val="center"/>
              <w:rPr>
                <w:rFonts w:ascii="Times New Roman" w:hAnsi="Times New Roman" w:eastAsia="宋体" w:cs="Times New Roman"/>
                <w:color w:val="auto"/>
                <w:kern w:val="2"/>
                <w:sz w:val="22"/>
                <w:szCs w:val="24"/>
                <w:lang w:val="en-US" w:eastAsia="zh-CN" w:bidi="ar-SA"/>
              </w:rPr>
            </w:pPr>
            <w:r>
              <w:rPr>
                <w:rFonts w:ascii="Times New Roman" w:hAnsi="Times New Roman" w:eastAsia="宋体" w:cs="Times New Roman"/>
                <w:color w:val="auto"/>
                <w:sz w:val="22"/>
                <w:szCs w:val="24"/>
              </w:rPr>
              <w:t>悬浮物</w:t>
            </w:r>
          </w:p>
        </w:tc>
        <w:tc>
          <w:tcPr>
            <w:tcW w:w="541" w:type="pct"/>
            <w:tcBorders>
              <w:top w:val="single" w:color="auto" w:sz="4" w:space="0"/>
              <w:left w:val="single" w:color="auto" w:sz="4" w:space="0"/>
              <w:bottom w:val="single" w:color="auto" w:sz="4" w:space="0"/>
              <w:right w:val="single" w:color="auto" w:sz="4" w:space="0"/>
            </w:tcBorders>
            <w:vAlign w:val="center"/>
          </w:tcPr>
          <w:p w14:paraId="4D8B876C">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12</w:t>
            </w:r>
          </w:p>
        </w:tc>
        <w:tc>
          <w:tcPr>
            <w:tcW w:w="541" w:type="pct"/>
            <w:tcBorders>
              <w:top w:val="single" w:color="auto" w:sz="4" w:space="0"/>
              <w:left w:val="single" w:color="auto" w:sz="4" w:space="0"/>
              <w:bottom w:val="single" w:color="auto" w:sz="4" w:space="0"/>
              <w:right w:val="single" w:color="auto" w:sz="4" w:space="0"/>
            </w:tcBorders>
            <w:vAlign w:val="center"/>
          </w:tcPr>
          <w:p w14:paraId="7CD711AC">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11</w:t>
            </w:r>
          </w:p>
        </w:tc>
        <w:tc>
          <w:tcPr>
            <w:tcW w:w="541" w:type="pct"/>
            <w:tcBorders>
              <w:top w:val="single" w:color="auto" w:sz="4" w:space="0"/>
              <w:left w:val="single" w:color="auto" w:sz="4" w:space="0"/>
              <w:bottom w:val="single" w:color="auto" w:sz="4" w:space="0"/>
              <w:right w:val="single" w:color="auto" w:sz="4" w:space="0"/>
            </w:tcBorders>
            <w:vAlign w:val="center"/>
          </w:tcPr>
          <w:p w14:paraId="61CDF2B6">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13</w:t>
            </w:r>
          </w:p>
        </w:tc>
        <w:tc>
          <w:tcPr>
            <w:tcW w:w="541" w:type="pct"/>
            <w:tcBorders>
              <w:top w:val="single" w:color="auto" w:sz="4" w:space="0"/>
              <w:left w:val="single" w:color="auto" w:sz="4" w:space="0"/>
              <w:bottom w:val="single" w:color="auto" w:sz="4" w:space="0"/>
              <w:right w:val="single" w:color="auto" w:sz="4" w:space="0"/>
            </w:tcBorders>
            <w:vAlign w:val="center"/>
          </w:tcPr>
          <w:p w14:paraId="34E51A71">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11</w:t>
            </w:r>
          </w:p>
        </w:tc>
        <w:tc>
          <w:tcPr>
            <w:tcW w:w="557" w:type="pct"/>
            <w:tcBorders>
              <w:top w:val="single" w:color="auto" w:sz="4" w:space="0"/>
              <w:left w:val="single" w:color="auto" w:sz="4" w:space="0"/>
              <w:bottom w:val="single" w:color="auto" w:sz="4" w:space="0"/>
              <w:right w:val="single" w:color="auto" w:sz="4" w:space="0"/>
            </w:tcBorders>
            <w:vAlign w:val="center"/>
          </w:tcPr>
          <w:p w14:paraId="54343139">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13</w:t>
            </w:r>
          </w:p>
        </w:tc>
        <w:tc>
          <w:tcPr>
            <w:tcW w:w="334" w:type="pct"/>
            <w:tcBorders>
              <w:top w:val="single" w:color="auto" w:sz="4" w:space="0"/>
              <w:left w:val="single" w:color="auto" w:sz="4" w:space="0"/>
              <w:bottom w:val="single" w:color="auto" w:sz="4" w:space="0"/>
              <w:right w:val="single" w:color="auto" w:sz="4" w:space="0"/>
            </w:tcBorders>
            <w:shd w:val="clear" w:color="auto" w:fill="auto"/>
            <w:vAlign w:val="center"/>
          </w:tcPr>
          <w:p w14:paraId="71513F2E">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lang w:val="en-US" w:eastAsia="zh-CN"/>
              </w:rPr>
              <w:t>300</w:t>
            </w:r>
          </w:p>
        </w:tc>
        <w:tc>
          <w:tcPr>
            <w:tcW w:w="395" w:type="pct"/>
            <w:tcBorders>
              <w:top w:val="single" w:color="auto" w:sz="4" w:space="0"/>
              <w:left w:val="single" w:color="auto" w:sz="4" w:space="0"/>
              <w:bottom w:val="single" w:color="auto" w:sz="4" w:space="0"/>
              <w:right w:val="single" w:color="auto" w:sz="4" w:space="0"/>
            </w:tcBorders>
            <w:vAlign w:val="center"/>
          </w:tcPr>
          <w:p w14:paraId="54F1C1FE">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达标</w:t>
            </w:r>
          </w:p>
        </w:tc>
      </w:tr>
      <w:tr w14:paraId="30189E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771" w:type="pct"/>
            <w:vMerge w:val="continue"/>
            <w:tcBorders>
              <w:left w:val="single" w:color="auto" w:sz="4" w:space="0"/>
              <w:right w:val="single" w:color="auto" w:sz="4" w:space="0"/>
            </w:tcBorders>
            <w:vAlign w:val="center"/>
          </w:tcPr>
          <w:p w14:paraId="66D55669">
            <w:pPr>
              <w:jc w:val="center"/>
              <w:rPr>
                <w:rFonts w:ascii="Times New Roman" w:hAnsi="Times New Roman" w:eastAsia="宋体" w:cs="Times New Roman"/>
                <w:color w:val="auto"/>
                <w:sz w:val="22"/>
                <w:szCs w:val="24"/>
              </w:rPr>
            </w:pPr>
          </w:p>
        </w:tc>
        <w:tc>
          <w:tcPr>
            <w:tcW w:w="776" w:type="pct"/>
            <w:tcBorders>
              <w:top w:val="single" w:color="auto" w:sz="4" w:space="0"/>
              <w:left w:val="single" w:color="auto" w:sz="4" w:space="0"/>
              <w:bottom w:val="single" w:color="auto" w:sz="4" w:space="0"/>
              <w:right w:val="single" w:color="auto" w:sz="4" w:space="0"/>
            </w:tcBorders>
            <w:shd w:val="clear" w:color="auto" w:fill="auto"/>
            <w:vAlign w:val="center"/>
          </w:tcPr>
          <w:p w14:paraId="1C663328">
            <w:pPr>
              <w:jc w:val="center"/>
              <w:rPr>
                <w:rFonts w:ascii="Times New Roman" w:hAnsi="Times New Roman" w:eastAsia="宋体" w:cs="Times New Roman"/>
                <w:color w:val="auto"/>
                <w:kern w:val="2"/>
                <w:sz w:val="22"/>
                <w:szCs w:val="24"/>
                <w:lang w:val="en-US" w:eastAsia="zh-CN" w:bidi="ar-SA"/>
              </w:rPr>
            </w:pPr>
            <w:r>
              <w:rPr>
                <w:rFonts w:ascii="Times New Roman" w:hAnsi="Times New Roman" w:eastAsia="宋体" w:cs="Times New Roman"/>
                <w:color w:val="auto"/>
                <w:sz w:val="22"/>
                <w:szCs w:val="24"/>
              </w:rPr>
              <w:t>氨氮</w:t>
            </w:r>
          </w:p>
        </w:tc>
        <w:tc>
          <w:tcPr>
            <w:tcW w:w="541" w:type="pct"/>
            <w:tcBorders>
              <w:top w:val="single" w:color="auto" w:sz="4" w:space="0"/>
              <w:left w:val="single" w:color="auto" w:sz="4" w:space="0"/>
              <w:bottom w:val="single" w:color="auto" w:sz="4" w:space="0"/>
              <w:right w:val="single" w:color="auto" w:sz="4" w:space="0"/>
            </w:tcBorders>
            <w:vAlign w:val="center"/>
          </w:tcPr>
          <w:p w14:paraId="17C53497">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12.6</w:t>
            </w:r>
          </w:p>
        </w:tc>
        <w:tc>
          <w:tcPr>
            <w:tcW w:w="541" w:type="pct"/>
            <w:tcBorders>
              <w:top w:val="single" w:color="auto" w:sz="4" w:space="0"/>
              <w:left w:val="single" w:color="auto" w:sz="4" w:space="0"/>
              <w:bottom w:val="single" w:color="auto" w:sz="4" w:space="0"/>
              <w:right w:val="single" w:color="auto" w:sz="4" w:space="0"/>
            </w:tcBorders>
            <w:vAlign w:val="center"/>
          </w:tcPr>
          <w:p w14:paraId="037F3B08">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13.3</w:t>
            </w:r>
          </w:p>
        </w:tc>
        <w:tc>
          <w:tcPr>
            <w:tcW w:w="541" w:type="pct"/>
            <w:tcBorders>
              <w:top w:val="single" w:color="auto" w:sz="4" w:space="0"/>
              <w:left w:val="single" w:color="auto" w:sz="4" w:space="0"/>
              <w:bottom w:val="single" w:color="auto" w:sz="4" w:space="0"/>
              <w:right w:val="single" w:color="auto" w:sz="4" w:space="0"/>
            </w:tcBorders>
            <w:vAlign w:val="center"/>
          </w:tcPr>
          <w:p w14:paraId="430861E5">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13.8</w:t>
            </w:r>
          </w:p>
        </w:tc>
        <w:tc>
          <w:tcPr>
            <w:tcW w:w="541" w:type="pct"/>
            <w:tcBorders>
              <w:top w:val="single" w:color="auto" w:sz="4" w:space="0"/>
              <w:left w:val="single" w:color="auto" w:sz="4" w:space="0"/>
              <w:bottom w:val="single" w:color="auto" w:sz="4" w:space="0"/>
              <w:right w:val="single" w:color="auto" w:sz="4" w:space="0"/>
            </w:tcBorders>
            <w:vAlign w:val="center"/>
          </w:tcPr>
          <w:p w14:paraId="33A06CAD">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13.2</w:t>
            </w:r>
          </w:p>
        </w:tc>
        <w:tc>
          <w:tcPr>
            <w:tcW w:w="557" w:type="pct"/>
            <w:tcBorders>
              <w:top w:val="single" w:color="auto" w:sz="4" w:space="0"/>
              <w:left w:val="single" w:color="auto" w:sz="4" w:space="0"/>
              <w:bottom w:val="single" w:color="auto" w:sz="4" w:space="0"/>
              <w:right w:val="single" w:color="auto" w:sz="4" w:space="0"/>
            </w:tcBorders>
            <w:vAlign w:val="center"/>
          </w:tcPr>
          <w:p w14:paraId="2C760490">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13.8</w:t>
            </w:r>
          </w:p>
        </w:tc>
        <w:tc>
          <w:tcPr>
            <w:tcW w:w="334" w:type="pct"/>
            <w:tcBorders>
              <w:top w:val="single" w:color="auto" w:sz="4" w:space="0"/>
              <w:left w:val="single" w:color="auto" w:sz="4" w:space="0"/>
              <w:bottom w:val="single" w:color="auto" w:sz="4" w:space="0"/>
              <w:right w:val="single" w:color="auto" w:sz="4" w:space="0"/>
            </w:tcBorders>
            <w:shd w:val="clear" w:color="auto" w:fill="auto"/>
            <w:vAlign w:val="center"/>
          </w:tcPr>
          <w:p w14:paraId="4699C860">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lang w:val="en-US" w:eastAsia="zh-CN"/>
              </w:rPr>
              <w:t>35</w:t>
            </w:r>
          </w:p>
        </w:tc>
        <w:tc>
          <w:tcPr>
            <w:tcW w:w="395" w:type="pct"/>
            <w:tcBorders>
              <w:top w:val="single" w:color="auto" w:sz="4" w:space="0"/>
              <w:left w:val="single" w:color="auto" w:sz="4" w:space="0"/>
              <w:bottom w:val="single" w:color="auto" w:sz="4" w:space="0"/>
              <w:right w:val="single" w:color="auto" w:sz="4" w:space="0"/>
            </w:tcBorders>
            <w:vAlign w:val="center"/>
          </w:tcPr>
          <w:p w14:paraId="14A8F055">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达标</w:t>
            </w:r>
          </w:p>
        </w:tc>
      </w:tr>
      <w:tr w14:paraId="21F702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771" w:type="pct"/>
            <w:vMerge w:val="continue"/>
            <w:tcBorders>
              <w:left w:val="single" w:color="auto" w:sz="4" w:space="0"/>
              <w:right w:val="single" w:color="auto" w:sz="4" w:space="0"/>
            </w:tcBorders>
            <w:vAlign w:val="center"/>
          </w:tcPr>
          <w:p w14:paraId="7621E7CB">
            <w:pPr>
              <w:jc w:val="center"/>
              <w:rPr>
                <w:rFonts w:ascii="Times New Roman" w:hAnsi="Times New Roman" w:eastAsia="宋体" w:cs="Times New Roman"/>
                <w:color w:val="auto"/>
                <w:sz w:val="22"/>
                <w:szCs w:val="24"/>
              </w:rPr>
            </w:pPr>
          </w:p>
        </w:tc>
        <w:tc>
          <w:tcPr>
            <w:tcW w:w="776" w:type="pct"/>
            <w:tcBorders>
              <w:top w:val="single" w:color="auto" w:sz="4" w:space="0"/>
              <w:left w:val="single" w:color="auto" w:sz="4" w:space="0"/>
              <w:bottom w:val="single" w:color="auto" w:sz="4" w:space="0"/>
              <w:right w:val="single" w:color="auto" w:sz="4" w:space="0"/>
            </w:tcBorders>
            <w:shd w:val="clear" w:color="auto" w:fill="auto"/>
            <w:vAlign w:val="center"/>
          </w:tcPr>
          <w:p w14:paraId="46323A9A">
            <w:pPr>
              <w:jc w:val="center"/>
              <w:rPr>
                <w:rFonts w:ascii="Times New Roman" w:hAnsi="Times New Roman" w:eastAsia="宋体" w:cs="Times New Roman"/>
                <w:color w:val="auto"/>
                <w:kern w:val="2"/>
                <w:sz w:val="22"/>
                <w:szCs w:val="24"/>
                <w:lang w:val="en-US" w:eastAsia="zh-CN" w:bidi="ar-SA"/>
              </w:rPr>
            </w:pPr>
            <w:r>
              <w:rPr>
                <w:rFonts w:ascii="Times New Roman" w:hAnsi="Times New Roman" w:eastAsia="宋体" w:cs="Times New Roman"/>
                <w:color w:val="auto"/>
                <w:sz w:val="22"/>
                <w:szCs w:val="24"/>
              </w:rPr>
              <w:t>色度（倍）</w:t>
            </w:r>
          </w:p>
        </w:tc>
        <w:tc>
          <w:tcPr>
            <w:tcW w:w="541" w:type="pct"/>
            <w:tcBorders>
              <w:top w:val="single" w:color="auto" w:sz="4" w:space="0"/>
              <w:left w:val="single" w:color="auto" w:sz="4" w:space="0"/>
              <w:bottom w:val="single" w:color="auto" w:sz="4" w:space="0"/>
              <w:right w:val="single" w:color="auto" w:sz="4" w:space="0"/>
            </w:tcBorders>
            <w:vAlign w:val="center"/>
          </w:tcPr>
          <w:p w14:paraId="0FFF0F4C">
            <w:pPr>
              <w:jc w:val="center"/>
              <w:rPr>
                <w:rFonts w:hint="eastAsia"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8</w:t>
            </w:r>
          </w:p>
        </w:tc>
        <w:tc>
          <w:tcPr>
            <w:tcW w:w="541" w:type="pct"/>
            <w:tcBorders>
              <w:top w:val="single" w:color="auto" w:sz="4" w:space="0"/>
              <w:left w:val="single" w:color="auto" w:sz="4" w:space="0"/>
              <w:bottom w:val="single" w:color="auto" w:sz="4" w:space="0"/>
              <w:right w:val="single" w:color="auto" w:sz="4" w:space="0"/>
            </w:tcBorders>
            <w:vAlign w:val="center"/>
          </w:tcPr>
          <w:p w14:paraId="46FA98EC">
            <w:pPr>
              <w:jc w:val="center"/>
              <w:rPr>
                <w:rFonts w:hint="eastAsia"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8</w:t>
            </w:r>
          </w:p>
        </w:tc>
        <w:tc>
          <w:tcPr>
            <w:tcW w:w="541" w:type="pct"/>
            <w:tcBorders>
              <w:top w:val="single" w:color="auto" w:sz="4" w:space="0"/>
              <w:left w:val="single" w:color="auto" w:sz="4" w:space="0"/>
              <w:bottom w:val="single" w:color="auto" w:sz="4" w:space="0"/>
              <w:right w:val="single" w:color="auto" w:sz="4" w:space="0"/>
            </w:tcBorders>
            <w:vAlign w:val="center"/>
          </w:tcPr>
          <w:p w14:paraId="16C9660F">
            <w:pPr>
              <w:jc w:val="center"/>
              <w:rPr>
                <w:rFonts w:hint="eastAsia"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8</w:t>
            </w:r>
          </w:p>
        </w:tc>
        <w:tc>
          <w:tcPr>
            <w:tcW w:w="541" w:type="pct"/>
            <w:tcBorders>
              <w:top w:val="single" w:color="auto" w:sz="4" w:space="0"/>
              <w:left w:val="single" w:color="auto" w:sz="4" w:space="0"/>
              <w:bottom w:val="single" w:color="auto" w:sz="4" w:space="0"/>
              <w:right w:val="single" w:color="auto" w:sz="4" w:space="0"/>
            </w:tcBorders>
            <w:vAlign w:val="center"/>
          </w:tcPr>
          <w:p w14:paraId="475D1C80">
            <w:pPr>
              <w:jc w:val="center"/>
              <w:rPr>
                <w:rFonts w:hint="eastAsia"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8</w:t>
            </w:r>
          </w:p>
        </w:tc>
        <w:tc>
          <w:tcPr>
            <w:tcW w:w="557" w:type="pct"/>
            <w:tcBorders>
              <w:top w:val="single" w:color="auto" w:sz="4" w:space="0"/>
              <w:left w:val="single" w:color="auto" w:sz="4" w:space="0"/>
              <w:bottom w:val="single" w:color="auto" w:sz="4" w:space="0"/>
              <w:right w:val="single" w:color="auto" w:sz="4" w:space="0"/>
            </w:tcBorders>
            <w:vAlign w:val="center"/>
          </w:tcPr>
          <w:p w14:paraId="5A1B262D">
            <w:pPr>
              <w:jc w:val="center"/>
              <w:rPr>
                <w:rFonts w:hint="eastAsia"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8</w:t>
            </w:r>
          </w:p>
        </w:tc>
        <w:tc>
          <w:tcPr>
            <w:tcW w:w="334" w:type="pct"/>
            <w:tcBorders>
              <w:top w:val="single" w:color="auto" w:sz="4" w:space="0"/>
              <w:left w:val="single" w:color="auto" w:sz="4" w:space="0"/>
              <w:bottom w:val="single" w:color="auto" w:sz="4" w:space="0"/>
              <w:right w:val="single" w:color="auto" w:sz="4" w:space="0"/>
            </w:tcBorders>
            <w:shd w:val="clear" w:color="auto" w:fill="auto"/>
            <w:vAlign w:val="center"/>
          </w:tcPr>
          <w:p w14:paraId="5E9477B8">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lang w:val="en-US" w:eastAsia="zh-CN"/>
              </w:rPr>
              <w:t>60</w:t>
            </w:r>
          </w:p>
        </w:tc>
        <w:tc>
          <w:tcPr>
            <w:tcW w:w="395" w:type="pct"/>
            <w:tcBorders>
              <w:top w:val="single" w:color="auto" w:sz="4" w:space="0"/>
              <w:left w:val="single" w:color="auto" w:sz="4" w:space="0"/>
              <w:bottom w:val="single" w:color="auto" w:sz="4" w:space="0"/>
              <w:right w:val="single" w:color="auto" w:sz="4" w:space="0"/>
            </w:tcBorders>
            <w:vAlign w:val="center"/>
          </w:tcPr>
          <w:p w14:paraId="00C1B2DA">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达标</w:t>
            </w:r>
          </w:p>
        </w:tc>
      </w:tr>
      <w:tr w14:paraId="778585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8" w:hRule="atLeast"/>
        </w:trPr>
        <w:tc>
          <w:tcPr>
            <w:tcW w:w="771" w:type="pct"/>
            <w:vMerge w:val="continue"/>
            <w:tcBorders>
              <w:left w:val="single" w:color="auto" w:sz="4" w:space="0"/>
              <w:right w:val="single" w:color="auto" w:sz="4" w:space="0"/>
            </w:tcBorders>
            <w:vAlign w:val="center"/>
          </w:tcPr>
          <w:p w14:paraId="38894681">
            <w:pPr>
              <w:jc w:val="center"/>
              <w:rPr>
                <w:rFonts w:ascii="Times New Roman" w:hAnsi="Times New Roman" w:eastAsia="宋体" w:cs="Times New Roman"/>
                <w:color w:val="auto"/>
                <w:sz w:val="22"/>
                <w:szCs w:val="24"/>
              </w:rPr>
            </w:pPr>
          </w:p>
        </w:tc>
        <w:tc>
          <w:tcPr>
            <w:tcW w:w="776" w:type="pct"/>
            <w:tcBorders>
              <w:top w:val="single" w:color="auto" w:sz="4" w:space="0"/>
              <w:left w:val="single" w:color="auto" w:sz="4" w:space="0"/>
              <w:bottom w:val="single" w:color="auto" w:sz="4" w:space="0"/>
              <w:right w:val="single" w:color="auto" w:sz="4" w:space="0"/>
            </w:tcBorders>
            <w:shd w:val="clear" w:color="auto" w:fill="auto"/>
            <w:vAlign w:val="center"/>
          </w:tcPr>
          <w:p w14:paraId="3B9C33B3">
            <w:pPr>
              <w:jc w:val="center"/>
              <w:rPr>
                <w:rFonts w:ascii="Times New Roman" w:hAnsi="Times New Roman" w:eastAsia="宋体" w:cs="Times New Roman"/>
                <w:color w:val="auto"/>
                <w:kern w:val="2"/>
                <w:sz w:val="22"/>
                <w:szCs w:val="24"/>
                <w:lang w:val="en-US" w:eastAsia="zh-CN" w:bidi="ar-SA"/>
              </w:rPr>
            </w:pPr>
            <w:r>
              <w:rPr>
                <w:rFonts w:ascii="Times New Roman" w:hAnsi="Times New Roman" w:eastAsia="宋体" w:cs="Times New Roman"/>
                <w:color w:val="auto"/>
                <w:sz w:val="22"/>
                <w:szCs w:val="24"/>
              </w:rPr>
              <w:t>总磷</w:t>
            </w:r>
          </w:p>
        </w:tc>
        <w:tc>
          <w:tcPr>
            <w:tcW w:w="541" w:type="pct"/>
            <w:tcBorders>
              <w:top w:val="single" w:color="auto" w:sz="4" w:space="0"/>
              <w:left w:val="single" w:color="auto" w:sz="4" w:space="0"/>
              <w:bottom w:val="single" w:color="auto" w:sz="4" w:space="0"/>
              <w:right w:val="single" w:color="auto" w:sz="4" w:space="0"/>
            </w:tcBorders>
            <w:vAlign w:val="center"/>
          </w:tcPr>
          <w:p w14:paraId="72782554">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3.88</w:t>
            </w:r>
          </w:p>
        </w:tc>
        <w:tc>
          <w:tcPr>
            <w:tcW w:w="541" w:type="pct"/>
            <w:tcBorders>
              <w:top w:val="single" w:color="auto" w:sz="4" w:space="0"/>
              <w:left w:val="single" w:color="auto" w:sz="4" w:space="0"/>
              <w:bottom w:val="single" w:color="auto" w:sz="4" w:space="0"/>
              <w:right w:val="single" w:color="auto" w:sz="4" w:space="0"/>
            </w:tcBorders>
            <w:vAlign w:val="center"/>
          </w:tcPr>
          <w:p w14:paraId="063CF66A">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3.78</w:t>
            </w:r>
          </w:p>
        </w:tc>
        <w:tc>
          <w:tcPr>
            <w:tcW w:w="541" w:type="pct"/>
            <w:tcBorders>
              <w:top w:val="single" w:color="auto" w:sz="4" w:space="0"/>
              <w:left w:val="single" w:color="auto" w:sz="4" w:space="0"/>
              <w:bottom w:val="single" w:color="auto" w:sz="4" w:space="0"/>
              <w:right w:val="single" w:color="auto" w:sz="4" w:space="0"/>
            </w:tcBorders>
            <w:vAlign w:val="center"/>
          </w:tcPr>
          <w:p w14:paraId="6BC5ED63">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3.96</w:t>
            </w:r>
          </w:p>
        </w:tc>
        <w:tc>
          <w:tcPr>
            <w:tcW w:w="541" w:type="pct"/>
            <w:tcBorders>
              <w:top w:val="single" w:color="auto" w:sz="4" w:space="0"/>
              <w:left w:val="single" w:color="auto" w:sz="4" w:space="0"/>
              <w:bottom w:val="single" w:color="auto" w:sz="4" w:space="0"/>
              <w:right w:val="single" w:color="auto" w:sz="4" w:space="0"/>
            </w:tcBorders>
            <w:vAlign w:val="center"/>
          </w:tcPr>
          <w:p w14:paraId="2330E79A">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.3.79</w:t>
            </w:r>
          </w:p>
        </w:tc>
        <w:tc>
          <w:tcPr>
            <w:tcW w:w="557" w:type="pct"/>
            <w:tcBorders>
              <w:top w:val="single" w:color="auto" w:sz="4" w:space="0"/>
              <w:left w:val="single" w:color="auto" w:sz="4" w:space="0"/>
              <w:bottom w:val="single" w:color="auto" w:sz="4" w:space="0"/>
              <w:right w:val="single" w:color="auto" w:sz="4" w:space="0"/>
            </w:tcBorders>
            <w:vAlign w:val="center"/>
          </w:tcPr>
          <w:p w14:paraId="2631C382">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3.96</w:t>
            </w:r>
          </w:p>
        </w:tc>
        <w:tc>
          <w:tcPr>
            <w:tcW w:w="334" w:type="pct"/>
            <w:tcBorders>
              <w:top w:val="single" w:color="auto" w:sz="4" w:space="0"/>
              <w:left w:val="single" w:color="auto" w:sz="4" w:space="0"/>
              <w:bottom w:val="single" w:color="auto" w:sz="4" w:space="0"/>
              <w:right w:val="single" w:color="auto" w:sz="4" w:space="0"/>
            </w:tcBorders>
            <w:shd w:val="clear" w:color="auto" w:fill="auto"/>
            <w:vAlign w:val="center"/>
          </w:tcPr>
          <w:p w14:paraId="5E260D6B">
            <w:pPr>
              <w:jc w:val="center"/>
              <w:rPr>
                <w:rFonts w:hint="eastAsia"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lang w:val="en-US" w:eastAsia="zh-CN"/>
              </w:rPr>
              <w:t>4</w:t>
            </w:r>
          </w:p>
        </w:tc>
        <w:tc>
          <w:tcPr>
            <w:tcW w:w="395" w:type="pct"/>
            <w:tcBorders>
              <w:top w:val="single" w:color="auto" w:sz="4" w:space="0"/>
              <w:left w:val="single" w:color="auto" w:sz="4" w:space="0"/>
              <w:bottom w:val="single" w:color="auto" w:sz="4" w:space="0"/>
              <w:right w:val="single" w:color="auto" w:sz="4" w:space="0"/>
            </w:tcBorders>
            <w:vAlign w:val="center"/>
          </w:tcPr>
          <w:p w14:paraId="74DDAEBD">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达标</w:t>
            </w:r>
          </w:p>
        </w:tc>
      </w:tr>
      <w:tr w14:paraId="01148B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2" w:hRule="atLeast"/>
        </w:trPr>
        <w:tc>
          <w:tcPr>
            <w:tcW w:w="771" w:type="pct"/>
            <w:vMerge w:val="continue"/>
            <w:tcBorders>
              <w:left w:val="single" w:color="auto" w:sz="4" w:space="0"/>
              <w:right w:val="single" w:color="auto" w:sz="4" w:space="0"/>
            </w:tcBorders>
            <w:vAlign w:val="center"/>
          </w:tcPr>
          <w:p w14:paraId="6EC5B18D">
            <w:pPr>
              <w:jc w:val="center"/>
              <w:rPr>
                <w:rFonts w:ascii="Times New Roman" w:hAnsi="Times New Roman" w:eastAsia="宋体" w:cs="Times New Roman"/>
                <w:color w:val="auto"/>
                <w:sz w:val="22"/>
                <w:szCs w:val="24"/>
              </w:rPr>
            </w:pPr>
          </w:p>
        </w:tc>
        <w:tc>
          <w:tcPr>
            <w:tcW w:w="776" w:type="pct"/>
            <w:tcBorders>
              <w:top w:val="single" w:color="auto" w:sz="4" w:space="0"/>
              <w:left w:val="single" w:color="auto" w:sz="4" w:space="0"/>
              <w:bottom w:val="single" w:color="auto" w:sz="4" w:space="0"/>
              <w:right w:val="single" w:color="auto" w:sz="4" w:space="0"/>
            </w:tcBorders>
            <w:shd w:val="clear" w:color="auto" w:fill="auto"/>
            <w:vAlign w:val="center"/>
          </w:tcPr>
          <w:p w14:paraId="64E109BB">
            <w:pPr>
              <w:jc w:val="center"/>
              <w:rPr>
                <w:rFonts w:ascii="Times New Roman" w:hAnsi="Times New Roman" w:eastAsia="宋体" w:cs="Times New Roman"/>
                <w:color w:val="auto"/>
                <w:kern w:val="2"/>
                <w:sz w:val="22"/>
                <w:szCs w:val="24"/>
                <w:lang w:val="en-US" w:eastAsia="zh-CN" w:bidi="ar-SA"/>
              </w:rPr>
            </w:pPr>
            <w:r>
              <w:rPr>
                <w:rFonts w:ascii="Times New Roman" w:hAnsi="Times New Roman" w:eastAsia="宋体" w:cs="Times New Roman"/>
                <w:color w:val="auto"/>
                <w:sz w:val="22"/>
                <w:szCs w:val="24"/>
              </w:rPr>
              <w:t>总氮</w:t>
            </w:r>
          </w:p>
        </w:tc>
        <w:tc>
          <w:tcPr>
            <w:tcW w:w="541" w:type="pct"/>
            <w:tcBorders>
              <w:top w:val="single" w:color="auto" w:sz="4" w:space="0"/>
              <w:left w:val="single" w:color="auto" w:sz="4" w:space="0"/>
              <w:bottom w:val="single" w:color="auto" w:sz="4" w:space="0"/>
              <w:right w:val="single" w:color="auto" w:sz="4" w:space="0"/>
            </w:tcBorders>
            <w:vAlign w:val="center"/>
          </w:tcPr>
          <w:p w14:paraId="283F37E2">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25.1</w:t>
            </w:r>
          </w:p>
        </w:tc>
        <w:tc>
          <w:tcPr>
            <w:tcW w:w="541" w:type="pct"/>
            <w:tcBorders>
              <w:top w:val="single" w:color="auto" w:sz="4" w:space="0"/>
              <w:left w:val="single" w:color="auto" w:sz="4" w:space="0"/>
              <w:bottom w:val="single" w:color="auto" w:sz="4" w:space="0"/>
              <w:right w:val="single" w:color="auto" w:sz="4" w:space="0"/>
            </w:tcBorders>
            <w:vAlign w:val="center"/>
          </w:tcPr>
          <w:p w14:paraId="1C4F90A0">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21.4</w:t>
            </w:r>
          </w:p>
        </w:tc>
        <w:tc>
          <w:tcPr>
            <w:tcW w:w="541" w:type="pct"/>
            <w:tcBorders>
              <w:top w:val="single" w:color="auto" w:sz="4" w:space="0"/>
              <w:left w:val="single" w:color="auto" w:sz="4" w:space="0"/>
              <w:bottom w:val="single" w:color="auto" w:sz="4" w:space="0"/>
              <w:right w:val="single" w:color="auto" w:sz="4" w:space="0"/>
            </w:tcBorders>
            <w:vAlign w:val="center"/>
          </w:tcPr>
          <w:p w14:paraId="336C1474">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20.9</w:t>
            </w:r>
          </w:p>
        </w:tc>
        <w:tc>
          <w:tcPr>
            <w:tcW w:w="541" w:type="pct"/>
            <w:tcBorders>
              <w:top w:val="single" w:color="auto" w:sz="4" w:space="0"/>
              <w:left w:val="single" w:color="auto" w:sz="4" w:space="0"/>
              <w:bottom w:val="single" w:color="auto" w:sz="4" w:space="0"/>
              <w:right w:val="single" w:color="auto" w:sz="4" w:space="0"/>
            </w:tcBorders>
            <w:vAlign w:val="center"/>
          </w:tcPr>
          <w:p w14:paraId="5459872C">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21.1</w:t>
            </w:r>
          </w:p>
        </w:tc>
        <w:tc>
          <w:tcPr>
            <w:tcW w:w="557" w:type="pct"/>
            <w:tcBorders>
              <w:top w:val="single" w:color="auto" w:sz="4" w:space="0"/>
              <w:left w:val="single" w:color="auto" w:sz="4" w:space="0"/>
              <w:bottom w:val="single" w:color="auto" w:sz="4" w:space="0"/>
              <w:right w:val="single" w:color="auto" w:sz="4" w:space="0"/>
            </w:tcBorders>
            <w:vAlign w:val="center"/>
          </w:tcPr>
          <w:p w14:paraId="09A38572">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25.1</w:t>
            </w:r>
          </w:p>
        </w:tc>
        <w:tc>
          <w:tcPr>
            <w:tcW w:w="334" w:type="pct"/>
            <w:tcBorders>
              <w:top w:val="single" w:color="auto" w:sz="4" w:space="0"/>
              <w:left w:val="single" w:color="auto" w:sz="4" w:space="0"/>
              <w:bottom w:val="single" w:color="auto" w:sz="4" w:space="0"/>
              <w:right w:val="single" w:color="auto" w:sz="4" w:space="0"/>
            </w:tcBorders>
            <w:shd w:val="clear" w:color="auto" w:fill="auto"/>
            <w:vAlign w:val="center"/>
          </w:tcPr>
          <w:p w14:paraId="61430D73">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lang w:val="en-US" w:eastAsia="zh-CN"/>
              </w:rPr>
              <w:t>40</w:t>
            </w:r>
          </w:p>
        </w:tc>
        <w:tc>
          <w:tcPr>
            <w:tcW w:w="395" w:type="pct"/>
            <w:tcBorders>
              <w:top w:val="single" w:color="auto" w:sz="4" w:space="0"/>
              <w:left w:val="single" w:color="auto" w:sz="4" w:space="0"/>
              <w:bottom w:val="single" w:color="auto" w:sz="4" w:space="0"/>
              <w:right w:val="single" w:color="auto" w:sz="4" w:space="0"/>
            </w:tcBorders>
            <w:vAlign w:val="center"/>
          </w:tcPr>
          <w:p w14:paraId="6467E6F7">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达标</w:t>
            </w:r>
          </w:p>
        </w:tc>
      </w:tr>
      <w:tr w14:paraId="4168D5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6" w:hRule="atLeast"/>
        </w:trPr>
        <w:tc>
          <w:tcPr>
            <w:tcW w:w="771" w:type="pct"/>
            <w:vMerge w:val="continue"/>
            <w:tcBorders>
              <w:left w:val="single" w:color="auto" w:sz="4" w:space="0"/>
              <w:bottom w:val="single" w:color="auto" w:sz="4" w:space="0"/>
              <w:right w:val="single" w:color="auto" w:sz="4" w:space="0"/>
            </w:tcBorders>
            <w:vAlign w:val="center"/>
          </w:tcPr>
          <w:p w14:paraId="0909302F">
            <w:pPr>
              <w:jc w:val="center"/>
              <w:rPr>
                <w:rFonts w:ascii="Times New Roman" w:hAnsi="Times New Roman" w:eastAsia="宋体" w:cs="Times New Roman"/>
                <w:color w:val="auto"/>
                <w:sz w:val="22"/>
                <w:szCs w:val="24"/>
              </w:rPr>
            </w:pPr>
          </w:p>
        </w:tc>
        <w:tc>
          <w:tcPr>
            <w:tcW w:w="776" w:type="pct"/>
            <w:tcBorders>
              <w:top w:val="single" w:color="auto" w:sz="4" w:space="0"/>
              <w:left w:val="single" w:color="auto" w:sz="4" w:space="0"/>
              <w:bottom w:val="single" w:color="auto" w:sz="4" w:space="0"/>
              <w:right w:val="single" w:color="auto" w:sz="4" w:space="0"/>
            </w:tcBorders>
            <w:shd w:val="clear" w:color="auto" w:fill="auto"/>
            <w:vAlign w:val="center"/>
          </w:tcPr>
          <w:p w14:paraId="49BB8696">
            <w:pPr>
              <w:jc w:val="center"/>
              <w:rPr>
                <w:rFonts w:hint="eastAsia"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lang w:val="en-US" w:eastAsia="zh-CN"/>
              </w:rPr>
              <w:t>总氰化物</w:t>
            </w:r>
          </w:p>
        </w:tc>
        <w:tc>
          <w:tcPr>
            <w:tcW w:w="541" w:type="pct"/>
            <w:tcBorders>
              <w:top w:val="single" w:color="auto" w:sz="4" w:space="0"/>
              <w:left w:val="single" w:color="auto" w:sz="4" w:space="0"/>
              <w:bottom w:val="single" w:color="auto" w:sz="4" w:space="0"/>
              <w:right w:val="single" w:color="auto" w:sz="4" w:space="0"/>
            </w:tcBorders>
            <w:shd w:val="clear" w:color="auto" w:fill="auto"/>
            <w:vAlign w:val="center"/>
          </w:tcPr>
          <w:p w14:paraId="3A27061E">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lang w:val="en-US" w:eastAsia="zh-CN"/>
              </w:rPr>
              <w:t>ND</w:t>
            </w:r>
          </w:p>
        </w:tc>
        <w:tc>
          <w:tcPr>
            <w:tcW w:w="541" w:type="pct"/>
            <w:tcBorders>
              <w:top w:val="single" w:color="auto" w:sz="4" w:space="0"/>
              <w:left w:val="single" w:color="auto" w:sz="4" w:space="0"/>
              <w:bottom w:val="single" w:color="auto" w:sz="4" w:space="0"/>
              <w:right w:val="single" w:color="auto" w:sz="4" w:space="0"/>
            </w:tcBorders>
            <w:shd w:val="clear" w:color="auto" w:fill="auto"/>
            <w:vAlign w:val="center"/>
          </w:tcPr>
          <w:p w14:paraId="062271FC">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lang w:val="en-US" w:eastAsia="zh-CN"/>
              </w:rPr>
              <w:t>ND</w:t>
            </w:r>
          </w:p>
        </w:tc>
        <w:tc>
          <w:tcPr>
            <w:tcW w:w="541" w:type="pct"/>
            <w:tcBorders>
              <w:top w:val="single" w:color="auto" w:sz="4" w:space="0"/>
              <w:left w:val="single" w:color="auto" w:sz="4" w:space="0"/>
              <w:bottom w:val="single" w:color="auto" w:sz="4" w:space="0"/>
              <w:right w:val="single" w:color="auto" w:sz="4" w:space="0"/>
            </w:tcBorders>
            <w:shd w:val="clear" w:color="auto" w:fill="auto"/>
            <w:vAlign w:val="center"/>
          </w:tcPr>
          <w:p w14:paraId="727B9627">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lang w:val="en-US" w:eastAsia="zh-CN"/>
              </w:rPr>
              <w:t>ND</w:t>
            </w:r>
          </w:p>
        </w:tc>
        <w:tc>
          <w:tcPr>
            <w:tcW w:w="541" w:type="pct"/>
            <w:tcBorders>
              <w:top w:val="single" w:color="auto" w:sz="4" w:space="0"/>
              <w:left w:val="single" w:color="auto" w:sz="4" w:space="0"/>
              <w:bottom w:val="single" w:color="auto" w:sz="4" w:space="0"/>
              <w:right w:val="single" w:color="auto" w:sz="4" w:space="0"/>
            </w:tcBorders>
            <w:shd w:val="clear" w:color="auto" w:fill="auto"/>
            <w:vAlign w:val="center"/>
          </w:tcPr>
          <w:p w14:paraId="0A3C4C8F">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lang w:val="en-US" w:eastAsia="zh-CN"/>
              </w:rPr>
              <w:t>ND</w:t>
            </w:r>
          </w:p>
        </w:tc>
        <w:tc>
          <w:tcPr>
            <w:tcW w:w="557" w:type="pct"/>
            <w:tcBorders>
              <w:top w:val="single" w:color="auto" w:sz="4" w:space="0"/>
              <w:left w:val="single" w:color="auto" w:sz="4" w:space="0"/>
              <w:bottom w:val="single" w:color="auto" w:sz="4" w:space="0"/>
              <w:right w:val="single" w:color="auto" w:sz="4" w:space="0"/>
            </w:tcBorders>
            <w:shd w:val="clear" w:color="auto" w:fill="auto"/>
            <w:vAlign w:val="center"/>
          </w:tcPr>
          <w:p w14:paraId="4651BD20">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lang w:val="en-US" w:eastAsia="zh-CN"/>
              </w:rPr>
              <w:t>/</w:t>
            </w:r>
          </w:p>
        </w:tc>
        <w:tc>
          <w:tcPr>
            <w:tcW w:w="334" w:type="pct"/>
            <w:tcBorders>
              <w:top w:val="single" w:color="auto" w:sz="4" w:space="0"/>
              <w:left w:val="single" w:color="auto" w:sz="4" w:space="0"/>
              <w:bottom w:val="single" w:color="auto" w:sz="4" w:space="0"/>
              <w:right w:val="single" w:color="auto" w:sz="4" w:space="0"/>
            </w:tcBorders>
            <w:shd w:val="clear" w:color="auto" w:fill="auto"/>
            <w:vAlign w:val="center"/>
          </w:tcPr>
          <w:p w14:paraId="48D150C9">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lang w:val="en-US" w:eastAsia="zh-CN"/>
              </w:rPr>
              <w:t>0.5</w:t>
            </w:r>
          </w:p>
        </w:tc>
        <w:tc>
          <w:tcPr>
            <w:tcW w:w="395" w:type="pct"/>
            <w:tcBorders>
              <w:top w:val="single" w:color="auto" w:sz="4" w:space="0"/>
              <w:left w:val="single" w:color="auto" w:sz="4" w:space="0"/>
              <w:bottom w:val="single" w:color="auto" w:sz="4" w:space="0"/>
              <w:right w:val="single" w:color="auto" w:sz="4" w:space="0"/>
            </w:tcBorders>
            <w:vAlign w:val="center"/>
          </w:tcPr>
          <w:p w14:paraId="211518E5">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达标</w:t>
            </w:r>
          </w:p>
        </w:tc>
      </w:tr>
    </w:tbl>
    <w:p w14:paraId="6DE37235">
      <w:pPr>
        <w:pStyle w:val="6"/>
        <w:bidi w:val="0"/>
      </w:pPr>
      <w:r>
        <w:rPr>
          <w:rFonts w:hint="eastAsia"/>
        </w:rPr>
        <w:t>表3.1.11-</w:t>
      </w:r>
      <w:r>
        <w:rPr>
          <w:rFonts w:hint="eastAsia"/>
          <w:lang w:val="en-US" w:eastAsia="zh-CN"/>
        </w:rPr>
        <w:t>6</w:t>
      </w:r>
      <w:r>
        <w:t xml:space="preserve">   </w:t>
      </w:r>
      <w:r>
        <w:rPr>
          <w:rFonts w:hint="eastAsia"/>
        </w:rPr>
        <w:t xml:space="preserve">厂区废水总排口污染物常规监测结果一览表 </w:t>
      </w:r>
      <w:r>
        <w:t xml:space="preserve"> </w:t>
      </w:r>
      <w:r>
        <w:rPr>
          <w:rFonts w:hint="eastAsia"/>
        </w:rPr>
        <w:t>单位：</w:t>
      </w:r>
      <w:r>
        <w:t>mg/L</w:t>
      </w:r>
    </w:p>
    <w:tbl>
      <w:tblPr>
        <w:tblStyle w:val="41"/>
        <w:tblW w:w="5120" w:type="pct"/>
        <w:tblInd w:w="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243"/>
        <w:gridCol w:w="2321"/>
        <w:gridCol w:w="1158"/>
        <w:gridCol w:w="1231"/>
        <w:gridCol w:w="1276"/>
        <w:gridCol w:w="1287"/>
      </w:tblGrid>
      <w:tr w14:paraId="3F533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 w:hRule="atLeast"/>
        </w:trPr>
        <w:tc>
          <w:tcPr>
            <w:tcW w:w="730" w:type="pct"/>
            <w:vMerge w:val="restart"/>
            <w:shd w:val="clear" w:color="auto" w:fill="auto"/>
            <w:vAlign w:val="center"/>
          </w:tcPr>
          <w:p w14:paraId="6E773743">
            <w:pPr>
              <w:jc w:val="center"/>
              <w:rPr>
                <w:rFonts w:ascii="Times New Roman" w:hAnsi="Times New Roman" w:eastAsia="宋体" w:cs="Times New Roman"/>
                <w:color w:val="auto"/>
                <w:kern w:val="2"/>
                <w:sz w:val="22"/>
                <w:szCs w:val="24"/>
                <w:lang w:val="en-US" w:eastAsia="zh-CN" w:bidi="ar-SA"/>
              </w:rPr>
            </w:pPr>
            <w:r>
              <w:rPr>
                <w:rFonts w:ascii="Times New Roman" w:hAnsi="Times New Roman" w:eastAsia="宋体" w:cs="Times New Roman"/>
                <w:color w:val="auto"/>
                <w:sz w:val="22"/>
                <w:szCs w:val="24"/>
              </w:rPr>
              <w:t>检测点位</w:t>
            </w:r>
          </w:p>
        </w:tc>
        <w:tc>
          <w:tcPr>
            <w:tcW w:w="1363" w:type="pct"/>
            <w:vMerge w:val="restart"/>
            <w:shd w:val="clear" w:color="auto" w:fill="auto"/>
            <w:vAlign w:val="center"/>
          </w:tcPr>
          <w:p w14:paraId="48ACF8D6">
            <w:pPr>
              <w:jc w:val="center"/>
              <w:rPr>
                <w:rFonts w:ascii="Times New Roman" w:hAnsi="Times New Roman" w:eastAsia="宋体" w:cs="Times New Roman"/>
                <w:color w:val="auto"/>
                <w:kern w:val="2"/>
                <w:sz w:val="22"/>
                <w:szCs w:val="24"/>
                <w:lang w:val="en-US" w:eastAsia="zh-CN" w:bidi="ar-SA"/>
              </w:rPr>
            </w:pPr>
            <w:r>
              <w:rPr>
                <w:rFonts w:ascii="Times New Roman" w:hAnsi="Times New Roman" w:eastAsia="宋体" w:cs="Times New Roman"/>
                <w:color w:val="auto"/>
                <w:sz w:val="22"/>
                <w:szCs w:val="24"/>
              </w:rPr>
              <w:t>检测项目</w:t>
            </w:r>
          </w:p>
        </w:tc>
        <w:tc>
          <w:tcPr>
            <w:tcW w:w="2152" w:type="pct"/>
            <w:gridSpan w:val="3"/>
            <w:shd w:val="clear" w:color="auto" w:fill="auto"/>
            <w:vAlign w:val="center"/>
          </w:tcPr>
          <w:p w14:paraId="1072F832">
            <w:pPr>
              <w:jc w:val="center"/>
              <w:rPr>
                <w:rFonts w:hint="eastAsia" w:ascii="Times New Roman" w:hAnsi="Times New Roman" w:eastAsia="宋体" w:cs="Times New Roman"/>
                <w:color w:val="auto"/>
                <w:sz w:val="22"/>
                <w:szCs w:val="24"/>
                <w:lang w:val="en-US" w:eastAsia="zh-CN"/>
              </w:rPr>
            </w:pPr>
            <w:r>
              <w:rPr>
                <w:rFonts w:ascii="Times New Roman" w:hAnsi="Times New Roman" w:eastAsia="宋体" w:cs="Times New Roman"/>
                <w:color w:val="auto"/>
                <w:sz w:val="22"/>
                <w:szCs w:val="24"/>
              </w:rPr>
              <w:t>检测结果</w:t>
            </w:r>
          </w:p>
        </w:tc>
        <w:tc>
          <w:tcPr>
            <w:tcW w:w="754" w:type="pct"/>
            <w:vMerge w:val="restart"/>
            <w:vAlign w:val="center"/>
          </w:tcPr>
          <w:p w14:paraId="5E7FD3EF">
            <w:pPr>
              <w:jc w:val="center"/>
              <w:rPr>
                <w:rFonts w:hint="eastAsia" w:ascii="Times New Roman" w:hAnsi="Times New Roman" w:eastAsia="宋体" w:cs="Times New Roman"/>
                <w:color w:val="auto"/>
                <w:sz w:val="22"/>
                <w:szCs w:val="24"/>
                <w:lang w:val="en-US" w:eastAsia="zh-CN"/>
              </w:rPr>
            </w:pPr>
            <w:r>
              <w:rPr>
                <w:rFonts w:ascii="Times New Roman" w:hAnsi="Times New Roman" w:eastAsia="宋体" w:cs="Times New Roman"/>
                <w:color w:val="auto"/>
                <w:sz w:val="22"/>
                <w:szCs w:val="24"/>
              </w:rPr>
              <w:t>参考标准值</w:t>
            </w:r>
          </w:p>
        </w:tc>
      </w:tr>
      <w:tr w14:paraId="254BE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 w:hRule="atLeast"/>
        </w:trPr>
        <w:tc>
          <w:tcPr>
            <w:tcW w:w="730" w:type="pct"/>
            <w:vMerge w:val="continue"/>
            <w:vAlign w:val="center"/>
          </w:tcPr>
          <w:p w14:paraId="561E091C">
            <w:pPr>
              <w:jc w:val="center"/>
              <w:rPr>
                <w:rFonts w:ascii="Times New Roman" w:hAnsi="Times New Roman" w:eastAsia="宋体" w:cs="Times New Roman"/>
                <w:color w:val="auto"/>
                <w:sz w:val="22"/>
                <w:szCs w:val="24"/>
              </w:rPr>
            </w:pPr>
          </w:p>
        </w:tc>
        <w:tc>
          <w:tcPr>
            <w:tcW w:w="1363" w:type="pct"/>
            <w:vMerge w:val="continue"/>
            <w:shd w:val="clear" w:color="auto" w:fill="auto"/>
            <w:vAlign w:val="center"/>
          </w:tcPr>
          <w:p w14:paraId="1B1AE5D9">
            <w:pPr>
              <w:jc w:val="center"/>
              <w:rPr>
                <w:rFonts w:ascii="Times New Roman" w:hAnsi="Times New Roman" w:eastAsia="宋体" w:cs="Times New Roman"/>
                <w:color w:val="auto"/>
                <w:sz w:val="22"/>
                <w:szCs w:val="24"/>
              </w:rPr>
            </w:pPr>
          </w:p>
        </w:tc>
        <w:tc>
          <w:tcPr>
            <w:tcW w:w="2152" w:type="pct"/>
            <w:gridSpan w:val="3"/>
            <w:shd w:val="clear" w:color="auto" w:fill="auto"/>
            <w:vAlign w:val="center"/>
          </w:tcPr>
          <w:p w14:paraId="13430E8D">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2024.1.2</w:t>
            </w:r>
          </w:p>
        </w:tc>
        <w:tc>
          <w:tcPr>
            <w:tcW w:w="754" w:type="pct"/>
            <w:vMerge w:val="continue"/>
            <w:vAlign w:val="center"/>
          </w:tcPr>
          <w:p w14:paraId="2742103D">
            <w:pPr>
              <w:jc w:val="center"/>
              <w:rPr>
                <w:rFonts w:hint="eastAsia" w:ascii="Times New Roman" w:hAnsi="Times New Roman" w:eastAsia="宋体" w:cs="Times New Roman"/>
                <w:color w:val="auto"/>
                <w:sz w:val="22"/>
                <w:szCs w:val="24"/>
                <w:lang w:val="en-US" w:eastAsia="zh-CN"/>
              </w:rPr>
            </w:pPr>
          </w:p>
        </w:tc>
      </w:tr>
      <w:tr w14:paraId="13414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 w:hRule="atLeast"/>
        </w:trPr>
        <w:tc>
          <w:tcPr>
            <w:tcW w:w="730" w:type="pct"/>
            <w:vMerge w:val="continue"/>
            <w:vAlign w:val="center"/>
          </w:tcPr>
          <w:p w14:paraId="4F205253">
            <w:pPr>
              <w:jc w:val="center"/>
              <w:rPr>
                <w:rFonts w:ascii="Times New Roman" w:hAnsi="Times New Roman" w:eastAsia="宋体" w:cs="Times New Roman"/>
                <w:color w:val="auto"/>
                <w:sz w:val="22"/>
                <w:szCs w:val="24"/>
              </w:rPr>
            </w:pPr>
          </w:p>
        </w:tc>
        <w:tc>
          <w:tcPr>
            <w:tcW w:w="1363" w:type="pct"/>
            <w:vMerge w:val="continue"/>
            <w:shd w:val="clear" w:color="auto" w:fill="auto"/>
            <w:vAlign w:val="center"/>
          </w:tcPr>
          <w:p w14:paraId="782FD046">
            <w:pPr>
              <w:jc w:val="center"/>
              <w:rPr>
                <w:rFonts w:ascii="Times New Roman" w:hAnsi="Times New Roman" w:eastAsia="宋体" w:cs="Times New Roman"/>
                <w:color w:val="auto"/>
                <w:sz w:val="22"/>
                <w:szCs w:val="24"/>
              </w:rPr>
            </w:pPr>
          </w:p>
        </w:tc>
        <w:tc>
          <w:tcPr>
            <w:tcW w:w="680" w:type="pct"/>
            <w:shd w:val="clear" w:color="auto" w:fill="auto"/>
            <w:vAlign w:val="center"/>
          </w:tcPr>
          <w:p w14:paraId="18A0B5ED">
            <w:pPr>
              <w:jc w:val="center"/>
              <w:rPr>
                <w:rFonts w:hint="eastAsia" w:ascii="Times New Roman" w:hAnsi="Times New Roman" w:eastAsia="宋体" w:cs="Times New Roman"/>
                <w:color w:val="auto"/>
                <w:kern w:val="2"/>
                <w:sz w:val="22"/>
                <w:szCs w:val="24"/>
                <w:lang w:val="en-US" w:eastAsia="zh-CN" w:bidi="ar-SA"/>
              </w:rPr>
            </w:pPr>
            <w:r>
              <w:rPr>
                <w:rFonts w:ascii="Times New Roman" w:hAnsi="Times New Roman" w:eastAsia="宋体" w:cs="Times New Roman"/>
                <w:color w:val="auto"/>
                <w:sz w:val="22"/>
                <w:szCs w:val="24"/>
              </w:rPr>
              <w:t>第一次</w:t>
            </w:r>
          </w:p>
        </w:tc>
        <w:tc>
          <w:tcPr>
            <w:tcW w:w="723" w:type="pct"/>
            <w:shd w:val="clear" w:color="auto" w:fill="auto"/>
            <w:vAlign w:val="center"/>
          </w:tcPr>
          <w:p w14:paraId="577A9169">
            <w:pPr>
              <w:jc w:val="center"/>
              <w:rPr>
                <w:rFonts w:hint="eastAsia" w:ascii="Times New Roman" w:hAnsi="Times New Roman" w:eastAsia="宋体" w:cs="Times New Roman"/>
                <w:color w:val="auto"/>
                <w:kern w:val="2"/>
                <w:sz w:val="22"/>
                <w:szCs w:val="24"/>
                <w:lang w:val="en-US" w:eastAsia="zh-CN" w:bidi="ar-SA"/>
              </w:rPr>
            </w:pPr>
            <w:r>
              <w:rPr>
                <w:rFonts w:ascii="Times New Roman" w:hAnsi="Times New Roman" w:eastAsia="宋体" w:cs="Times New Roman"/>
                <w:color w:val="auto"/>
                <w:sz w:val="22"/>
                <w:szCs w:val="24"/>
              </w:rPr>
              <w:t>第二次</w:t>
            </w:r>
          </w:p>
        </w:tc>
        <w:tc>
          <w:tcPr>
            <w:tcW w:w="748" w:type="pct"/>
            <w:shd w:val="clear" w:color="auto" w:fill="auto"/>
            <w:vAlign w:val="center"/>
          </w:tcPr>
          <w:p w14:paraId="5F65D2F1">
            <w:pPr>
              <w:jc w:val="center"/>
              <w:rPr>
                <w:rFonts w:hint="eastAsia" w:ascii="Times New Roman" w:hAnsi="Times New Roman" w:eastAsia="宋体" w:cs="Times New Roman"/>
                <w:color w:val="auto"/>
                <w:kern w:val="2"/>
                <w:sz w:val="22"/>
                <w:szCs w:val="24"/>
                <w:lang w:val="en-US" w:eastAsia="zh-CN" w:bidi="ar-SA"/>
              </w:rPr>
            </w:pPr>
            <w:r>
              <w:rPr>
                <w:rFonts w:ascii="Times New Roman" w:hAnsi="Times New Roman" w:eastAsia="宋体" w:cs="Times New Roman"/>
                <w:color w:val="auto"/>
                <w:sz w:val="22"/>
                <w:szCs w:val="24"/>
              </w:rPr>
              <w:t>第三次</w:t>
            </w:r>
          </w:p>
        </w:tc>
        <w:tc>
          <w:tcPr>
            <w:tcW w:w="754" w:type="pct"/>
            <w:vMerge w:val="continue"/>
            <w:vAlign w:val="center"/>
          </w:tcPr>
          <w:p w14:paraId="2DBF395B">
            <w:pPr>
              <w:jc w:val="center"/>
              <w:rPr>
                <w:rFonts w:hint="eastAsia" w:ascii="Times New Roman" w:hAnsi="Times New Roman" w:eastAsia="宋体" w:cs="Times New Roman"/>
                <w:color w:val="auto"/>
                <w:sz w:val="22"/>
                <w:szCs w:val="24"/>
                <w:lang w:val="en-US" w:eastAsia="zh-CN"/>
              </w:rPr>
            </w:pPr>
          </w:p>
        </w:tc>
      </w:tr>
      <w:tr w14:paraId="5C718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 w:hRule="atLeast"/>
        </w:trPr>
        <w:tc>
          <w:tcPr>
            <w:tcW w:w="730" w:type="pct"/>
            <w:vMerge w:val="restart"/>
            <w:shd w:val="clear" w:color="auto" w:fill="auto"/>
            <w:vAlign w:val="center"/>
          </w:tcPr>
          <w:p w14:paraId="24626211">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废水总排口</w:t>
            </w:r>
          </w:p>
          <w:p w14:paraId="16896673">
            <w:pPr>
              <w:jc w:val="center"/>
              <w:rPr>
                <w:rFonts w:ascii="Times New Roman" w:hAnsi="Times New Roman" w:eastAsia="宋体" w:cs="Times New Roman"/>
                <w:color w:val="auto"/>
                <w:kern w:val="2"/>
                <w:sz w:val="22"/>
                <w:szCs w:val="24"/>
                <w:lang w:val="en-US" w:eastAsia="zh-CN" w:bidi="ar-SA"/>
              </w:rPr>
            </w:pPr>
            <w:r>
              <w:rPr>
                <w:rFonts w:ascii="Times New Roman" w:hAnsi="Times New Roman" w:eastAsia="宋体" w:cs="Times New Roman"/>
                <w:color w:val="auto"/>
                <w:sz w:val="22"/>
                <w:szCs w:val="24"/>
              </w:rPr>
              <w:t>(DW001)</w:t>
            </w:r>
          </w:p>
        </w:tc>
        <w:tc>
          <w:tcPr>
            <w:tcW w:w="1363" w:type="pct"/>
            <w:shd w:val="clear" w:color="auto" w:fill="auto"/>
            <w:vAlign w:val="center"/>
          </w:tcPr>
          <w:p w14:paraId="04206AFC">
            <w:pPr>
              <w:jc w:val="center"/>
              <w:rPr>
                <w:rFonts w:ascii="Times New Roman" w:hAnsi="Times New Roman" w:eastAsia="宋体" w:cs="Times New Roman"/>
                <w:color w:val="auto"/>
                <w:kern w:val="2"/>
                <w:sz w:val="22"/>
                <w:szCs w:val="24"/>
                <w:lang w:val="en-US" w:eastAsia="zh-CN" w:bidi="ar-SA"/>
              </w:rPr>
            </w:pPr>
            <w:r>
              <w:rPr>
                <w:rFonts w:ascii="Times New Roman" w:hAnsi="Times New Roman" w:eastAsia="宋体" w:cs="Times New Roman"/>
                <w:color w:val="auto"/>
                <w:sz w:val="22"/>
                <w:szCs w:val="24"/>
              </w:rPr>
              <w:t>pH值(无量纲)</w:t>
            </w:r>
          </w:p>
        </w:tc>
        <w:tc>
          <w:tcPr>
            <w:tcW w:w="680" w:type="pct"/>
            <w:shd w:val="clear" w:color="auto" w:fill="auto"/>
            <w:vAlign w:val="center"/>
          </w:tcPr>
          <w:p w14:paraId="226FED39">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kern w:val="2"/>
                <w:sz w:val="22"/>
                <w:szCs w:val="24"/>
                <w:lang w:val="en-US" w:eastAsia="zh-CN" w:bidi="ar-SA"/>
              </w:rPr>
              <w:t>6.9</w:t>
            </w:r>
          </w:p>
        </w:tc>
        <w:tc>
          <w:tcPr>
            <w:tcW w:w="723" w:type="pct"/>
            <w:shd w:val="clear" w:color="auto" w:fill="auto"/>
            <w:vAlign w:val="center"/>
          </w:tcPr>
          <w:p w14:paraId="757B3F95">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kern w:val="2"/>
                <w:sz w:val="22"/>
                <w:szCs w:val="24"/>
                <w:lang w:val="en-US" w:eastAsia="zh-CN" w:bidi="ar-SA"/>
              </w:rPr>
              <w:t>7.3</w:t>
            </w:r>
          </w:p>
        </w:tc>
        <w:tc>
          <w:tcPr>
            <w:tcW w:w="748" w:type="pct"/>
            <w:shd w:val="clear" w:color="auto" w:fill="auto"/>
            <w:vAlign w:val="center"/>
          </w:tcPr>
          <w:p w14:paraId="589B763E">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kern w:val="2"/>
                <w:sz w:val="22"/>
                <w:szCs w:val="24"/>
                <w:lang w:val="en-US" w:eastAsia="zh-CN" w:bidi="ar-SA"/>
              </w:rPr>
              <w:t>7.0</w:t>
            </w:r>
          </w:p>
        </w:tc>
        <w:tc>
          <w:tcPr>
            <w:tcW w:w="754" w:type="pct"/>
            <w:shd w:val="clear" w:color="auto" w:fill="auto"/>
            <w:vAlign w:val="center"/>
          </w:tcPr>
          <w:p w14:paraId="6E03061E">
            <w:pPr>
              <w:jc w:val="center"/>
              <w:rPr>
                <w:rFonts w:hint="eastAsia"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lang w:val="en-US" w:eastAsia="zh-CN"/>
              </w:rPr>
              <w:t>6-9</w:t>
            </w:r>
          </w:p>
        </w:tc>
      </w:tr>
      <w:tr w14:paraId="6AF43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 w:hRule="atLeast"/>
        </w:trPr>
        <w:tc>
          <w:tcPr>
            <w:tcW w:w="730" w:type="pct"/>
            <w:vMerge w:val="continue"/>
            <w:vAlign w:val="center"/>
          </w:tcPr>
          <w:p w14:paraId="09BEB743">
            <w:pPr>
              <w:jc w:val="center"/>
              <w:rPr>
                <w:rFonts w:ascii="Times New Roman" w:hAnsi="Times New Roman" w:eastAsia="宋体" w:cs="Times New Roman"/>
                <w:color w:val="auto"/>
                <w:sz w:val="22"/>
                <w:szCs w:val="24"/>
              </w:rPr>
            </w:pPr>
          </w:p>
        </w:tc>
        <w:tc>
          <w:tcPr>
            <w:tcW w:w="1363" w:type="pct"/>
            <w:shd w:val="clear" w:color="auto" w:fill="auto"/>
            <w:vAlign w:val="center"/>
          </w:tcPr>
          <w:p w14:paraId="1F654E3D">
            <w:pPr>
              <w:jc w:val="center"/>
              <w:rPr>
                <w:rFonts w:ascii="Times New Roman" w:hAnsi="Times New Roman" w:eastAsia="宋体" w:cs="Times New Roman"/>
                <w:color w:val="auto"/>
                <w:kern w:val="2"/>
                <w:sz w:val="22"/>
                <w:szCs w:val="24"/>
                <w:lang w:val="en-US" w:eastAsia="zh-CN" w:bidi="ar-SA"/>
              </w:rPr>
            </w:pPr>
            <w:r>
              <w:rPr>
                <w:rFonts w:ascii="Times New Roman" w:hAnsi="Times New Roman" w:eastAsia="宋体" w:cs="Times New Roman"/>
                <w:color w:val="auto"/>
                <w:sz w:val="22"/>
                <w:szCs w:val="24"/>
              </w:rPr>
              <w:t>化学需氧量</w:t>
            </w:r>
          </w:p>
        </w:tc>
        <w:tc>
          <w:tcPr>
            <w:tcW w:w="680" w:type="pct"/>
            <w:shd w:val="clear" w:color="auto" w:fill="auto"/>
            <w:vAlign w:val="center"/>
          </w:tcPr>
          <w:p w14:paraId="226308E1">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kern w:val="2"/>
                <w:sz w:val="22"/>
                <w:szCs w:val="24"/>
                <w:lang w:val="en-US" w:eastAsia="zh-CN" w:bidi="ar-SA"/>
              </w:rPr>
              <w:t>18</w:t>
            </w:r>
          </w:p>
        </w:tc>
        <w:tc>
          <w:tcPr>
            <w:tcW w:w="723" w:type="pct"/>
            <w:shd w:val="clear" w:color="auto" w:fill="auto"/>
            <w:vAlign w:val="center"/>
          </w:tcPr>
          <w:p w14:paraId="1BB54793">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kern w:val="2"/>
                <w:sz w:val="22"/>
                <w:szCs w:val="24"/>
                <w:lang w:val="en-US" w:eastAsia="zh-CN" w:bidi="ar-SA"/>
              </w:rPr>
              <w:t>20</w:t>
            </w:r>
          </w:p>
        </w:tc>
        <w:tc>
          <w:tcPr>
            <w:tcW w:w="748" w:type="pct"/>
            <w:shd w:val="clear" w:color="auto" w:fill="auto"/>
            <w:vAlign w:val="center"/>
          </w:tcPr>
          <w:p w14:paraId="417D4D76">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kern w:val="2"/>
                <w:sz w:val="22"/>
                <w:szCs w:val="24"/>
                <w:lang w:val="en-US" w:eastAsia="zh-CN" w:bidi="ar-SA"/>
              </w:rPr>
              <w:t>19</w:t>
            </w:r>
          </w:p>
        </w:tc>
        <w:tc>
          <w:tcPr>
            <w:tcW w:w="754" w:type="pct"/>
            <w:shd w:val="clear" w:color="auto" w:fill="auto"/>
            <w:vAlign w:val="center"/>
          </w:tcPr>
          <w:p w14:paraId="3789E168">
            <w:pPr>
              <w:jc w:val="center"/>
              <w:rPr>
                <w:rFonts w:hint="eastAsia"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lang w:val="en-US" w:eastAsia="zh-CN"/>
              </w:rPr>
              <w:t>450</w:t>
            </w:r>
          </w:p>
        </w:tc>
      </w:tr>
      <w:tr w14:paraId="49C75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 w:hRule="atLeast"/>
        </w:trPr>
        <w:tc>
          <w:tcPr>
            <w:tcW w:w="730" w:type="pct"/>
            <w:vMerge w:val="continue"/>
            <w:vAlign w:val="center"/>
          </w:tcPr>
          <w:p w14:paraId="7693A2F5">
            <w:pPr>
              <w:jc w:val="center"/>
              <w:rPr>
                <w:rFonts w:ascii="Times New Roman" w:hAnsi="Times New Roman" w:eastAsia="宋体" w:cs="Times New Roman"/>
                <w:color w:val="auto"/>
                <w:sz w:val="22"/>
                <w:szCs w:val="24"/>
              </w:rPr>
            </w:pPr>
          </w:p>
        </w:tc>
        <w:tc>
          <w:tcPr>
            <w:tcW w:w="1363" w:type="pct"/>
            <w:shd w:val="clear" w:color="auto" w:fill="auto"/>
            <w:vAlign w:val="center"/>
          </w:tcPr>
          <w:p w14:paraId="1BF0B491">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kern w:val="2"/>
                <w:sz w:val="22"/>
                <w:szCs w:val="24"/>
                <w:lang w:val="en-US" w:eastAsia="zh-CN" w:bidi="ar-SA"/>
              </w:rPr>
              <w:t>五日生化需氧量</w:t>
            </w:r>
          </w:p>
        </w:tc>
        <w:tc>
          <w:tcPr>
            <w:tcW w:w="680" w:type="pct"/>
            <w:shd w:val="clear" w:color="auto" w:fill="auto"/>
            <w:vAlign w:val="center"/>
          </w:tcPr>
          <w:p w14:paraId="07853AF0">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kern w:val="2"/>
                <w:sz w:val="22"/>
                <w:szCs w:val="24"/>
                <w:lang w:val="en-US" w:eastAsia="zh-CN" w:bidi="ar-SA"/>
              </w:rPr>
              <w:t>5.1</w:t>
            </w:r>
          </w:p>
        </w:tc>
        <w:tc>
          <w:tcPr>
            <w:tcW w:w="723" w:type="pct"/>
            <w:shd w:val="clear" w:color="auto" w:fill="auto"/>
            <w:vAlign w:val="center"/>
          </w:tcPr>
          <w:p w14:paraId="2647F448">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kern w:val="2"/>
                <w:sz w:val="22"/>
                <w:szCs w:val="24"/>
                <w:lang w:val="en-US" w:eastAsia="zh-CN" w:bidi="ar-SA"/>
              </w:rPr>
              <w:t>5.3</w:t>
            </w:r>
          </w:p>
        </w:tc>
        <w:tc>
          <w:tcPr>
            <w:tcW w:w="748" w:type="pct"/>
            <w:shd w:val="clear" w:color="auto" w:fill="auto"/>
            <w:vAlign w:val="center"/>
          </w:tcPr>
          <w:p w14:paraId="7A5B6FFA">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kern w:val="2"/>
                <w:sz w:val="22"/>
                <w:szCs w:val="24"/>
                <w:lang w:val="en-US" w:eastAsia="zh-CN" w:bidi="ar-SA"/>
              </w:rPr>
              <w:t>5.8</w:t>
            </w:r>
          </w:p>
        </w:tc>
        <w:tc>
          <w:tcPr>
            <w:tcW w:w="754" w:type="pct"/>
            <w:shd w:val="clear" w:color="auto" w:fill="auto"/>
            <w:vAlign w:val="center"/>
          </w:tcPr>
          <w:p w14:paraId="708ECF14">
            <w:pPr>
              <w:jc w:val="center"/>
              <w:rPr>
                <w:rFonts w:hint="eastAsia"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kern w:val="2"/>
                <w:sz w:val="22"/>
                <w:szCs w:val="24"/>
                <w:lang w:val="en-US" w:eastAsia="zh-CN" w:bidi="ar-SA"/>
              </w:rPr>
              <w:t>250</w:t>
            </w:r>
          </w:p>
        </w:tc>
      </w:tr>
      <w:tr w14:paraId="11DC6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 w:hRule="atLeast"/>
        </w:trPr>
        <w:tc>
          <w:tcPr>
            <w:tcW w:w="730" w:type="pct"/>
            <w:vMerge w:val="continue"/>
            <w:vAlign w:val="center"/>
          </w:tcPr>
          <w:p w14:paraId="6566630C">
            <w:pPr>
              <w:jc w:val="center"/>
              <w:rPr>
                <w:rFonts w:ascii="Times New Roman" w:hAnsi="Times New Roman" w:eastAsia="宋体" w:cs="Times New Roman"/>
                <w:color w:val="auto"/>
                <w:sz w:val="22"/>
                <w:szCs w:val="24"/>
              </w:rPr>
            </w:pPr>
          </w:p>
        </w:tc>
        <w:tc>
          <w:tcPr>
            <w:tcW w:w="1363" w:type="pct"/>
            <w:shd w:val="clear" w:color="auto" w:fill="auto"/>
            <w:vAlign w:val="center"/>
          </w:tcPr>
          <w:p w14:paraId="30F04EE7">
            <w:pPr>
              <w:jc w:val="center"/>
              <w:rPr>
                <w:rFonts w:ascii="Times New Roman" w:hAnsi="Times New Roman" w:eastAsia="宋体" w:cs="Times New Roman"/>
                <w:color w:val="auto"/>
                <w:kern w:val="2"/>
                <w:sz w:val="22"/>
                <w:szCs w:val="24"/>
                <w:lang w:val="en-US" w:eastAsia="zh-CN" w:bidi="ar-SA"/>
              </w:rPr>
            </w:pPr>
            <w:r>
              <w:rPr>
                <w:rFonts w:ascii="Times New Roman" w:hAnsi="Times New Roman" w:eastAsia="宋体" w:cs="Times New Roman"/>
                <w:color w:val="auto"/>
                <w:sz w:val="22"/>
                <w:szCs w:val="24"/>
              </w:rPr>
              <w:t>氨氮</w:t>
            </w:r>
          </w:p>
        </w:tc>
        <w:tc>
          <w:tcPr>
            <w:tcW w:w="680" w:type="pct"/>
            <w:shd w:val="clear" w:color="auto" w:fill="auto"/>
            <w:vAlign w:val="center"/>
          </w:tcPr>
          <w:p w14:paraId="1FABE864">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kern w:val="2"/>
                <w:sz w:val="22"/>
                <w:szCs w:val="24"/>
                <w:lang w:val="en-US" w:eastAsia="zh-CN" w:bidi="ar-SA"/>
              </w:rPr>
              <w:t>1.81</w:t>
            </w:r>
          </w:p>
        </w:tc>
        <w:tc>
          <w:tcPr>
            <w:tcW w:w="723" w:type="pct"/>
            <w:shd w:val="clear" w:color="auto" w:fill="auto"/>
            <w:vAlign w:val="center"/>
          </w:tcPr>
          <w:p w14:paraId="07608EAF">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kern w:val="2"/>
                <w:sz w:val="22"/>
                <w:szCs w:val="24"/>
                <w:lang w:val="en-US" w:eastAsia="zh-CN" w:bidi="ar-SA"/>
              </w:rPr>
              <w:t>1.87</w:t>
            </w:r>
          </w:p>
        </w:tc>
        <w:tc>
          <w:tcPr>
            <w:tcW w:w="748" w:type="pct"/>
            <w:shd w:val="clear" w:color="auto" w:fill="auto"/>
            <w:vAlign w:val="center"/>
          </w:tcPr>
          <w:p w14:paraId="20DA0631">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kern w:val="2"/>
                <w:sz w:val="22"/>
                <w:szCs w:val="24"/>
                <w:lang w:val="en-US" w:eastAsia="zh-CN" w:bidi="ar-SA"/>
              </w:rPr>
              <w:t>1.92</w:t>
            </w:r>
          </w:p>
        </w:tc>
        <w:tc>
          <w:tcPr>
            <w:tcW w:w="754" w:type="pct"/>
            <w:shd w:val="clear" w:color="auto" w:fill="auto"/>
            <w:vAlign w:val="center"/>
          </w:tcPr>
          <w:p w14:paraId="1A04543B">
            <w:pPr>
              <w:jc w:val="center"/>
              <w:rPr>
                <w:rFonts w:hint="eastAsia"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lang w:val="en-US" w:eastAsia="zh-CN"/>
              </w:rPr>
              <w:t>35</w:t>
            </w:r>
          </w:p>
        </w:tc>
      </w:tr>
      <w:tr w14:paraId="5EBDC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 w:hRule="atLeast"/>
        </w:trPr>
        <w:tc>
          <w:tcPr>
            <w:tcW w:w="730" w:type="pct"/>
            <w:vMerge w:val="continue"/>
            <w:vAlign w:val="center"/>
          </w:tcPr>
          <w:p w14:paraId="231CA362">
            <w:pPr>
              <w:jc w:val="center"/>
              <w:rPr>
                <w:rFonts w:ascii="Times New Roman" w:hAnsi="Times New Roman" w:eastAsia="宋体" w:cs="Times New Roman"/>
                <w:color w:val="auto"/>
                <w:sz w:val="22"/>
                <w:szCs w:val="24"/>
              </w:rPr>
            </w:pPr>
          </w:p>
        </w:tc>
        <w:tc>
          <w:tcPr>
            <w:tcW w:w="1363" w:type="pct"/>
            <w:shd w:val="clear" w:color="auto" w:fill="auto"/>
            <w:vAlign w:val="center"/>
          </w:tcPr>
          <w:p w14:paraId="6EFD60D7">
            <w:pPr>
              <w:jc w:val="center"/>
              <w:rPr>
                <w:rFonts w:ascii="Times New Roman" w:hAnsi="Times New Roman" w:eastAsia="宋体" w:cs="Times New Roman"/>
                <w:color w:val="auto"/>
                <w:kern w:val="2"/>
                <w:sz w:val="22"/>
                <w:szCs w:val="24"/>
                <w:lang w:val="en-US" w:eastAsia="zh-CN" w:bidi="ar-SA"/>
              </w:rPr>
            </w:pPr>
            <w:r>
              <w:rPr>
                <w:rFonts w:ascii="Times New Roman" w:hAnsi="Times New Roman" w:eastAsia="宋体" w:cs="Times New Roman"/>
                <w:color w:val="auto"/>
                <w:sz w:val="22"/>
                <w:szCs w:val="24"/>
              </w:rPr>
              <w:t>总磷</w:t>
            </w:r>
          </w:p>
        </w:tc>
        <w:tc>
          <w:tcPr>
            <w:tcW w:w="680" w:type="pct"/>
            <w:shd w:val="clear" w:color="auto" w:fill="auto"/>
            <w:vAlign w:val="center"/>
          </w:tcPr>
          <w:p w14:paraId="0AADA441">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kern w:val="2"/>
                <w:sz w:val="22"/>
                <w:szCs w:val="24"/>
                <w:lang w:val="en-US" w:eastAsia="zh-CN" w:bidi="ar-SA"/>
              </w:rPr>
              <w:t>0.44</w:t>
            </w:r>
          </w:p>
        </w:tc>
        <w:tc>
          <w:tcPr>
            <w:tcW w:w="723" w:type="pct"/>
            <w:shd w:val="clear" w:color="auto" w:fill="auto"/>
            <w:vAlign w:val="center"/>
          </w:tcPr>
          <w:p w14:paraId="3946CBBF">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kern w:val="2"/>
                <w:sz w:val="22"/>
                <w:szCs w:val="24"/>
                <w:lang w:val="en-US" w:eastAsia="zh-CN" w:bidi="ar-SA"/>
              </w:rPr>
              <w:t>0.43</w:t>
            </w:r>
          </w:p>
        </w:tc>
        <w:tc>
          <w:tcPr>
            <w:tcW w:w="748" w:type="pct"/>
            <w:shd w:val="clear" w:color="auto" w:fill="auto"/>
            <w:vAlign w:val="center"/>
          </w:tcPr>
          <w:p w14:paraId="10D77ADF">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kern w:val="2"/>
                <w:sz w:val="22"/>
                <w:szCs w:val="24"/>
                <w:lang w:val="en-US" w:eastAsia="zh-CN" w:bidi="ar-SA"/>
              </w:rPr>
              <w:t>0.45</w:t>
            </w:r>
          </w:p>
        </w:tc>
        <w:tc>
          <w:tcPr>
            <w:tcW w:w="754" w:type="pct"/>
            <w:shd w:val="clear" w:color="auto" w:fill="auto"/>
            <w:vAlign w:val="center"/>
          </w:tcPr>
          <w:p w14:paraId="5FFBB7EA">
            <w:pPr>
              <w:jc w:val="center"/>
              <w:rPr>
                <w:rFonts w:hint="eastAsia"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lang w:val="en-US" w:eastAsia="zh-CN"/>
              </w:rPr>
              <w:t>4.0</w:t>
            </w:r>
          </w:p>
        </w:tc>
      </w:tr>
      <w:tr w14:paraId="1FF0A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 w:hRule="atLeast"/>
        </w:trPr>
        <w:tc>
          <w:tcPr>
            <w:tcW w:w="730" w:type="pct"/>
            <w:vMerge w:val="continue"/>
            <w:vAlign w:val="center"/>
          </w:tcPr>
          <w:p w14:paraId="44C0EE39">
            <w:pPr>
              <w:jc w:val="center"/>
              <w:rPr>
                <w:rFonts w:ascii="Times New Roman" w:hAnsi="Times New Roman" w:eastAsia="宋体" w:cs="Times New Roman"/>
                <w:color w:val="auto"/>
                <w:sz w:val="22"/>
                <w:szCs w:val="24"/>
              </w:rPr>
            </w:pPr>
          </w:p>
        </w:tc>
        <w:tc>
          <w:tcPr>
            <w:tcW w:w="1363" w:type="pct"/>
            <w:shd w:val="clear" w:color="auto" w:fill="auto"/>
            <w:vAlign w:val="center"/>
          </w:tcPr>
          <w:p w14:paraId="44AF61A6">
            <w:pPr>
              <w:jc w:val="center"/>
              <w:rPr>
                <w:rFonts w:ascii="Times New Roman" w:hAnsi="Times New Roman" w:eastAsia="宋体" w:cs="Times New Roman"/>
                <w:color w:val="auto"/>
                <w:kern w:val="2"/>
                <w:sz w:val="22"/>
                <w:szCs w:val="24"/>
                <w:lang w:val="en-US" w:eastAsia="zh-CN" w:bidi="ar-SA"/>
              </w:rPr>
            </w:pPr>
            <w:r>
              <w:rPr>
                <w:rFonts w:ascii="Times New Roman" w:hAnsi="Times New Roman" w:eastAsia="宋体" w:cs="Times New Roman"/>
                <w:color w:val="auto"/>
                <w:sz w:val="22"/>
                <w:szCs w:val="24"/>
              </w:rPr>
              <w:t>总氮</w:t>
            </w:r>
          </w:p>
        </w:tc>
        <w:tc>
          <w:tcPr>
            <w:tcW w:w="680" w:type="pct"/>
            <w:shd w:val="clear" w:color="auto" w:fill="auto"/>
            <w:vAlign w:val="center"/>
          </w:tcPr>
          <w:p w14:paraId="3AF52497">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kern w:val="2"/>
                <w:sz w:val="22"/>
                <w:szCs w:val="24"/>
                <w:lang w:val="en-US" w:eastAsia="zh-CN" w:bidi="ar-SA"/>
              </w:rPr>
              <w:t>6.46</w:t>
            </w:r>
          </w:p>
        </w:tc>
        <w:tc>
          <w:tcPr>
            <w:tcW w:w="723" w:type="pct"/>
            <w:shd w:val="clear" w:color="auto" w:fill="auto"/>
            <w:vAlign w:val="center"/>
          </w:tcPr>
          <w:p w14:paraId="0FD07807">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kern w:val="2"/>
                <w:sz w:val="22"/>
                <w:szCs w:val="24"/>
                <w:lang w:val="en-US" w:eastAsia="zh-CN" w:bidi="ar-SA"/>
              </w:rPr>
              <w:t>6.63</w:t>
            </w:r>
          </w:p>
        </w:tc>
        <w:tc>
          <w:tcPr>
            <w:tcW w:w="748" w:type="pct"/>
            <w:shd w:val="clear" w:color="auto" w:fill="auto"/>
            <w:vAlign w:val="center"/>
          </w:tcPr>
          <w:p w14:paraId="60E21A4F">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kern w:val="2"/>
                <w:sz w:val="22"/>
                <w:szCs w:val="24"/>
                <w:lang w:val="en-US" w:eastAsia="zh-CN" w:bidi="ar-SA"/>
              </w:rPr>
              <w:t>6.55</w:t>
            </w:r>
          </w:p>
        </w:tc>
        <w:tc>
          <w:tcPr>
            <w:tcW w:w="754" w:type="pct"/>
            <w:shd w:val="clear" w:color="auto" w:fill="auto"/>
            <w:vAlign w:val="center"/>
          </w:tcPr>
          <w:p w14:paraId="70A6E2D3">
            <w:pPr>
              <w:jc w:val="center"/>
              <w:rPr>
                <w:rFonts w:hint="eastAsia"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lang w:val="en-US" w:eastAsia="zh-CN"/>
              </w:rPr>
              <w:t>40</w:t>
            </w:r>
          </w:p>
        </w:tc>
      </w:tr>
      <w:tr w14:paraId="3C21C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 w:hRule="atLeast"/>
        </w:trPr>
        <w:tc>
          <w:tcPr>
            <w:tcW w:w="730" w:type="pct"/>
            <w:vMerge w:val="continue"/>
            <w:vAlign w:val="center"/>
          </w:tcPr>
          <w:p w14:paraId="18E21D3F">
            <w:pPr>
              <w:jc w:val="center"/>
              <w:rPr>
                <w:rFonts w:ascii="Times New Roman" w:hAnsi="Times New Roman" w:eastAsia="宋体" w:cs="Times New Roman"/>
                <w:color w:val="auto"/>
                <w:sz w:val="22"/>
                <w:szCs w:val="24"/>
              </w:rPr>
            </w:pPr>
          </w:p>
        </w:tc>
        <w:tc>
          <w:tcPr>
            <w:tcW w:w="1363" w:type="pct"/>
            <w:shd w:val="clear" w:color="auto" w:fill="auto"/>
            <w:vAlign w:val="center"/>
          </w:tcPr>
          <w:p w14:paraId="423D96C9">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lang w:val="en-US" w:eastAsia="zh-CN"/>
              </w:rPr>
              <w:t>总氰化物</w:t>
            </w:r>
          </w:p>
        </w:tc>
        <w:tc>
          <w:tcPr>
            <w:tcW w:w="680" w:type="pct"/>
            <w:shd w:val="clear" w:color="auto" w:fill="auto"/>
            <w:vAlign w:val="center"/>
          </w:tcPr>
          <w:p w14:paraId="510167B4">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kern w:val="2"/>
                <w:sz w:val="22"/>
                <w:szCs w:val="24"/>
                <w:lang w:val="en-US" w:eastAsia="zh-CN" w:bidi="ar-SA"/>
              </w:rPr>
              <w:t>ND</w:t>
            </w:r>
          </w:p>
        </w:tc>
        <w:tc>
          <w:tcPr>
            <w:tcW w:w="723" w:type="pct"/>
            <w:shd w:val="clear" w:color="auto" w:fill="auto"/>
            <w:vAlign w:val="center"/>
          </w:tcPr>
          <w:p w14:paraId="13D5E72A">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kern w:val="2"/>
                <w:sz w:val="22"/>
                <w:szCs w:val="24"/>
                <w:lang w:val="en-US" w:eastAsia="zh-CN" w:bidi="ar-SA"/>
              </w:rPr>
              <w:t>ND</w:t>
            </w:r>
          </w:p>
        </w:tc>
        <w:tc>
          <w:tcPr>
            <w:tcW w:w="748" w:type="pct"/>
            <w:shd w:val="clear" w:color="auto" w:fill="auto"/>
            <w:vAlign w:val="center"/>
          </w:tcPr>
          <w:p w14:paraId="6F42E7B1">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kern w:val="2"/>
                <w:sz w:val="22"/>
                <w:szCs w:val="24"/>
                <w:lang w:val="en-US" w:eastAsia="zh-CN" w:bidi="ar-SA"/>
              </w:rPr>
              <w:t>ND</w:t>
            </w:r>
          </w:p>
        </w:tc>
        <w:tc>
          <w:tcPr>
            <w:tcW w:w="754" w:type="pct"/>
            <w:shd w:val="clear" w:color="auto" w:fill="auto"/>
            <w:vAlign w:val="center"/>
          </w:tcPr>
          <w:p w14:paraId="49EE7EAA">
            <w:pPr>
              <w:jc w:val="center"/>
              <w:rPr>
                <w:rFonts w:hint="eastAsia"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lang w:val="en-US" w:eastAsia="zh-CN"/>
              </w:rPr>
              <w:t>0.5</w:t>
            </w:r>
          </w:p>
        </w:tc>
      </w:tr>
      <w:tr w14:paraId="352C7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 w:hRule="atLeast"/>
        </w:trPr>
        <w:tc>
          <w:tcPr>
            <w:tcW w:w="730" w:type="pct"/>
            <w:vMerge w:val="continue"/>
            <w:vAlign w:val="center"/>
          </w:tcPr>
          <w:p w14:paraId="11B39ABA">
            <w:pPr>
              <w:jc w:val="center"/>
              <w:rPr>
                <w:rFonts w:ascii="Times New Roman" w:hAnsi="Times New Roman" w:eastAsia="宋体" w:cs="Times New Roman"/>
                <w:color w:val="auto"/>
                <w:sz w:val="22"/>
                <w:szCs w:val="24"/>
              </w:rPr>
            </w:pPr>
          </w:p>
        </w:tc>
        <w:tc>
          <w:tcPr>
            <w:tcW w:w="1363" w:type="pct"/>
            <w:shd w:val="clear" w:color="auto" w:fill="auto"/>
            <w:vAlign w:val="center"/>
          </w:tcPr>
          <w:p w14:paraId="33AFD4CC">
            <w:pPr>
              <w:jc w:val="center"/>
              <w:rPr>
                <w:rFonts w:hint="eastAsia"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lang w:val="en-US" w:eastAsia="zh-CN"/>
              </w:rPr>
              <w:t>悬浮物</w:t>
            </w:r>
          </w:p>
        </w:tc>
        <w:tc>
          <w:tcPr>
            <w:tcW w:w="680" w:type="pct"/>
            <w:shd w:val="clear" w:color="auto" w:fill="auto"/>
            <w:vAlign w:val="center"/>
          </w:tcPr>
          <w:p w14:paraId="4CA4C881">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kern w:val="2"/>
                <w:sz w:val="22"/>
                <w:szCs w:val="24"/>
                <w:lang w:val="en-US" w:eastAsia="zh-CN" w:bidi="ar-SA"/>
              </w:rPr>
              <w:t>16</w:t>
            </w:r>
          </w:p>
        </w:tc>
        <w:tc>
          <w:tcPr>
            <w:tcW w:w="723" w:type="pct"/>
            <w:shd w:val="clear" w:color="auto" w:fill="auto"/>
            <w:vAlign w:val="center"/>
          </w:tcPr>
          <w:p w14:paraId="3692142D">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kern w:val="2"/>
                <w:sz w:val="22"/>
                <w:szCs w:val="24"/>
                <w:lang w:val="en-US" w:eastAsia="zh-CN" w:bidi="ar-SA"/>
              </w:rPr>
              <w:t>17</w:t>
            </w:r>
          </w:p>
        </w:tc>
        <w:tc>
          <w:tcPr>
            <w:tcW w:w="748" w:type="pct"/>
            <w:shd w:val="clear" w:color="auto" w:fill="auto"/>
            <w:vAlign w:val="center"/>
          </w:tcPr>
          <w:p w14:paraId="5F329AA6">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kern w:val="2"/>
                <w:sz w:val="22"/>
                <w:szCs w:val="24"/>
                <w:lang w:val="en-US" w:eastAsia="zh-CN" w:bidi="ar-SA"/>
              </w:rPr>
              <w:t>10</w:t>
            </w:r>
          </w:p>
        </w:tc>
        <w:tc>
          <w:tcPr>
            <w:tcW w:w="754" w:type="pct"/>
            <w:shd w:val="clear" w:color="auto" w:fill="auto"/>
            <w:vAlign w:val="center"/>
          </w:tcPr>
          <w:p w14:paraId="1B34FB4E">
            <w:pPr>
              <w:jc w:val="center"/>
              <w:rPr>
                <w:rFonts w:hint="eastAsia"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lang w:val="en-US" w:eastAsia="zh-CN"/>
              </w:rPr>
              <w:t>300</w:t>
            </w:r>
          </w:p>
        </w:tc>
      </w:tr>
      <w:tr w14:paraId="378D7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 w:hRule="atLeast"/>
        </w:trPr>
        <w:tc>
          <w:tcPr>
            <w:tcW w:w="730" w:type="pct"/>
            <w:vMerge w:val="continue"/>
            <w:vAlign w:val="center"/>
          </w:tcPr>
          <w:p w14:paraId="652E56A0">
            <w:pPr>
              <w:jc w:val="center"/>
              <w:rPr>
                <w:rFonts w:ascii="Times New Roman" w:hAnsi="Times New Roman" w:eastAsia="宋体" w:cs="Times New Roman"/>
                <w:color w:val="auto"/>
                <w:sz w:val="22"/>
                <w:szCs w:val="24"/>
              </w:rPr>
            </w:pPr>
          </w:p>
        </w:tc>
        <w:tc>
          <w:tcPr>
            <w:tcW w:w="1363" w:type="pct"/>
            <w:shd w:val="clear" w:color="auto" w:fill="auto"/>
            <w:vAlign w:val="center"/>
          </w:tcPr>
          <w:p w14:paraId="062F9488">
            <w:pPr>
              <w:jc w:val="center"/>
              <w:rPr>
                <w:rFonts w:hint="eastAsia"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lang w:val="en-US" w:eastAsia="zh-CN"/>
              </w:rPr>
              <w:t>色度（稀释倍数）</w:t>
            </w:r>
          </w:p>
        </w:tc>
        <w:tc>
          <w:tcPr>
            <w:tcW w:w="680" w:type="pct"/>
            <w:shd w:val="clear" w:color="auto" w:fill="auto"/>
            <w:vAlign w:val="center"/>
          </w:tcPr>
          <w:p w14:paraId="79BE7E87">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kern w:val="2"/>
                <w:sz w:val="22"/>
                <w:szCs w:val="24"/>
                <w:lang w:val="en-US" w:eastAsia="zh-CN" w:bidi="ar-SA"/>
              </w:rPr>
              <w:t>4</w:t>
            </w:r>
          </w:p>
        </w:tc>
        <w:tc>
          <w:tcPr>
            <w:tcW w:w="723" w:type="pct"/>
            <w:shd w:val="clear" w:color="auto" w:fill="auto"/>
            <w:vAlign w:val="center"/>
          </w:tcPr>
          <w:p w14:paraId="6A603A2B">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kern w:val="2"/>
                <w:sz w:val="22"/>
                <w:szCs w:val="24"/>
                <w:lang w:val="en-US" w:eastAsia="zh-CN" w:bidi="ar-SA"/>
              </w:rPr>
              <w:t>4</w:t>
            </w:r>
          </w:p>
        </w:tc>
        <w:tc>
          <w:tcPr>
            <w:tcW w:w="748" w:type="pct"/>
            <w:shd w:val="clear" w:color="auto" w:fill="auto"/>
            <w:vAlign w:val="center"/>
          </w:tcPr>
          <w:p w14:paraId="6EA9B8D8">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kern w:val="2"/>
                <w:sz w:val="22"/>
                <w:szCs w:val="24"/>
                <w:lang w:val="en-US" w:eastAsia="zh-CN" w:bidi="ar-SA"/>
              </w:rPr>
              <w:t>4</w:t>
            </w:r>
          </w:p>
        </w:tc>
        <w:tc>
          <w:tcPr>
            <w:tcW w:w="754" w:type="pct"/>
            <w:shd w:val="clear" w:color="auto" w:fill="auto"/>
            <w:vAlign w:val="center"/>
          </w:tcPr>
          <w:p w14:paraId="48F92B1A">
            <w:pPr>
              <w:jc w:val="center"/>
              <w:rPr>
                <w:rFonts w:hint="eastAsia"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lang w:val="en-US" w:eastAsia="zh-CN"/>
              </w:rPr>
              <w:t>60</w:t>
            </w:r>
          </w:p>
        </w:tc>
      </w:tr>
      <w:tr w14:paraId="52884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 w:hRule="atLeast"/>
        </w:trPr>
        <w:tc>
          <w:tcPr>
            <w:tcW w:w="730" w:type="pct"/>
            <w:vMerge w:val="continue"/>
            <w:vAlign w:val="center"/>
          </w:tcPr>
          <w:p w14:paraId="28D16B5F">
            <w:pPr>
              <w:jc w:val="center"/>
              <w:rPr>
                <w:rFonts w:ascii="Times New Roman" w:hAnsi="Times New Roman" w:eastAsia="宋体" w:cs="Times New Roman"/>
                <w:color w:val="auto"/>
                <w:sz w:val="22"/>
                <w:szCs w:val="24"/>
              </w:rPr>
            </w:pPr>
          </w:p>
        </w:tc>
        <w:tc>
          <w:tcPr>
            <w:tcW w:w="1363" w:type="pct"/>
            <w:shd w:val="clear" w:color="auto" w:fill="auto"/>
            <w:vAlign w:val="center"/>
          </w:tcPr>
          <w:p w14:paraId="2CD24528">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lang w:val="en-US" w:eastAsia="zh-CN"/>
              </w:rPr>
              <w:t>总锌</w:t>
            </w:r>
          </w:p>
        </w:tc>
        <w:tc>
          <w:tcPr>
            <w:tcW w:w="680" w:type="pct"/>
            <w:shd w:val="clear" w:color="auto" w:fill="auto"/>
            <w:vAlign w:val="center"/>
          </w:tcPr>
          <w:p w14:paraId="29C1B6B7">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kern w:val="2"/>
                <w:sz w:val="22"/>
                <w:szCs w:val="24"/>
                <w:lang w:val="en-US" w:eastAsia="zh-CN" w:bidi="ar-SA"/>
              </w:rPr>
              <w:t>0.0104</w:t>
            </w:r>
          </w:p>
        </w:tc>
        <w:tc>
          <w:tcPr>
            <w:tcW w:w="723" w:type="pct"/>
            <w:shd w:val="clear" w:color="auto" w:fill="auto"/>
            <w:vAlign w:val="center"/>
          </w:tcPr>
          <w:p w14:paraId="69367787">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kern w:val="2"/>
                <w:sz w:val="22"/>
                <w:szCs w:val="24"/>
                <w:lang w:val="en-US" w:eastAsia="zh-CN" w:bidi="ar-SA"/>
              </w:rPr>
              <w:t>0.0134</w:t>
            </w:r>
          </w:p>
        </w:tc>
        <w:tc>
          <w:tcPr>
            <w:tcW w:w="748" w:type="pct"/>
            <w:shd w:val="clear" w:color="auto" w:fill="auto"/>
            <w:vAlign w:val="center"/>
          </w:tcPr>
          <w:p w14:paraId="6881301A">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kern w:val="2"/>
                <w:sz w:val="22"/>
                <w:szCs w:val="24"/>
                <w:lang w:val="en-US" w:eastAsia="zh-CN" w:bidi="ar-SA"/>
              </w:rPr>
              <w:t>0.0098</w:t>
            </w:r>
          </w:p>
        </w:tc>
        <w:tc>
          <w:tcPr>
            <w:tcW w:w="754" w:type="pct"/>
            <w:shd w:val="clear" w:color="auto" w:fill="auto"/>
            <w:vAlign w:val="center"/>
          </w:tcPr>
          <w:p w14:paraId="44D2B79B">
            <w:pPr>
              <w:jc w:val="center"/>
              <w:rPr>
                <w:rFonts w:hint="eastAsia"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lang w:val="en-US" w:eastAsia="zh-CN"/>
              </w:rPr>
              <w:t>3.0</w:t>
            </w:r>
          </w:p>
        </w:tc>
      </w:tr>
      <w:tr w14:paraId="62FDF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 w:hRule="atLeast"/>
        </w:trPr>
        <w:tc>
          <w:tcPr>
            <w:tcW w:w="730" w:type="pct"/>
            <w:vMerge w:val="continue"/>
            <w:vAlign w:val="center"/>
          </w:tcPr>
          <w:p w14:paraId="2747A20F">
            <w:pPr>
              <w:jc w:val="center"/>
              <w:rPr>
                <w:rFonts w:ascii="Times New Roman" w:hAnsi="Times New Roman" w:eastAsia="宋体" w:cs="Times New Roman"/>
                <w:color w:val="auto"/>
                <w:sz w:val="22"/>
                <w:szCs w:val="24"/>
              </w:rPr>
            </w:pPr>
          </w:p>
        </w:tc>
        <w:tc>
          <w:tcPr>
            <w:tcW w:w="1363" w:type="pct"/>
            <w:shd w:val="clear" w:color="auto" w:fill="auto"/>
            <w:vAlign w:val="center"/>
          </w:tcPr>
          <w:p w14:paraId="2502E078">
            <w:pPr>
              <w:jc w:val="center"/>
              <w:rPr>
                <w:rFonts w:hint="eastAsia"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lang w:val="en-US" w:eastAsia="zh-CN"/>
              </w:rPr>
              <w:t>甲苯</w:t>
            </w:r>
          </w:p>
        </w:tc>
        <w:tc>
          <w:tcPr>
            <w:tcW w:w="680" w:type="pct"/>
            <w:shd w:val="clear" w:color="auto" w:fill="auto"/>
            <w:vAlign w:val="center"/>
          </w:tcPr>
          <w:p w14:paraId="694D294E">
            <w:pPr>
              <w:jc w:val="center"/>
              <w:rPr>
                <w:rFonts w:hint="eastAsia"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kern w:val="2"/>
                <w:sz w:val="22"/>
                <w:szCs w:val="24"/>
                <w:lang w:val="en-US" w:eastAsia="zh-CN" w:bidi="ar-SA"/>
              </w:rPr>
              <w:t>ND</w:t>
            </w:r>
          </w:p>
        </w:tc>
        <w:tc>
          <w:tcPr>
            <w:tcW w:w="723" w:type="pct"/>
            <w:shd w:val="clear" w:color="auto" w:fill="auto"/>
            <w:vAlign w:val="center"/>
          </w:tcPr>
          <w:p w14:paraId="6AA4B0CC">
            <w:pPr>
              <w:jc w:val="center"/>
              <w:rPr>
                <w:rFonts w:hint="eastAsia"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kern w:val="2"/>
                <w:sz w:val="22"/>
                <w:szCs w:val="24"/>
                <w:lang w:val="en-US" w:eastAsia="zh-CN" w:bidi="ar-SA"/>
              </w:rPr>
              <w:t>ND</w:t>
            </w:r>
          </w:p>
        </w:tc>
        <w:tc>
          <w:tcPr>
            <w:tcW w:w="748" w:type="pct"/>
            <w:shd w:val="clear" w:color="auto" w:fill="auto"/>
            <w:vAlign w:val="center"/>
          </w:tcPr>
          <w:p w14:paraId="3A81D38D">
            <w:pPr>
              <w:jc w:val="center"/>
              <w:rPr>
                <w:rFonts w:hint="eastAsia"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kern w:val="2"/>
                <w:sz w:val="22"/>
                <w:szCs w:val="24"/>
                <w:lang w:val="en-US" w:eastAsia="zh-CN" w:bidi="ar-SA"/>
              </w:rPr>
              <w:t>ND</w:t>
            </w:r>
          </w:p>
        </w:tc>
        <w:tc>
          <w:tcPr>
            <w:tcW w:w="754" w:type="pct"/>
            <w:shd w:val="clear" w:color="auto" w:fill="auto"/>
            <w:vAlign w:val="center"/>
          </w:tcPr>
          <w:p w14:paraId="4412EF85">
            <w:pPr>
              <w:jc w:val="center"/>
              <w:rPr>
                <w:rFonts w:hint="eastAsia"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lang w:val="en-US" w:eastAsia="zh-CN"/>
              </w:rPr>
              <w:t>0.5</w:t>
            </w:r>
          </w:p>
        </w:tc>
      </w:tr>
      <w:tr w14:paraId="73CA1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 w:hRule="atLeast"/>
        </w:trPr>
        <w:tc>
          <w:tcPr>
            <w:tcW w:w="730" w:type="pct"/>
            <w:vMerge w:val="continue"/>
            <w:vAlign w:val="center"/>
          </w:tcPr>
          <w:p w14:paraId="37299C1A">
            <w:pPr>
              <w:jc w:val="center"/>
              <w:rPr>
                <w:rFonts w:ascii="Times New Roman" w:hAnsi="Times New Roman" w:eastAsia="宋体" w:cs="Times New Roman"/>
                <w:color w:val="auto"/>
                <w:sz w:val="22"/>
                <w:szCs w:val="24"/>
              </w:rPr>
            </w:pPr>
          </w:p>
        </w:tc>
        <w:tc>
          <w:tcPr>
            <w:tcW w:w="1363" w:type="pct"/>
            <w:shd w:val="clear" w:color="auto" w:fill="auto"/>
            <w:vAlign w:val="center"/>
          </w:tcPr>
          <w:p w14:paraId="00C4C6F2">
            <w:pPr>
              <w:jc w:val="center"/>
              <w:rPr>
                <w:rFonts w:hint="eastAsia"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lang w:val="en-US" w:eastAsia="zh-CN"/>
              </w:rPr>
              <w:t>总有机碳</w:t>
            </w:r>
          </w:p>
        </w:tc>
        <w:tc>
          <w:tcPr>
            <w:tcW w:w="680" w:type="pct"/>
            <w:shd w:val="clear" w:color="auto" w:fill="auto"/>
            <w:vAlign w:val="center"/>
          </w:tcPr>
          <w:p w14:paraId="16C4EA01">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kern w:val="2"/>
                <w:sz w:val="22"/>
                <w:szCs w:val="24"/>
                <w:lang w:val="en-US" w:eastAsia="zh-CN" w:bidi="ar-SA"/>
              </w:rPr>
              <w:t>24.0</w:t>
            </w:r>
          </w:p>
        </w:tc>
        <w:tc>
          <w:tcPr>
            <w:tcW w:w="723" w:type="pct"/>
            <w:shd w:val="clear" w:color="auto" w:fill="auto"/>
            <w:vAlign w:val="center"/>
          </w:tcPr>
          <w:p w14:paraId="39DF3790">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kern w:val="2"/>
                <w:sz w:val="22"/>
                <w:szCs w:val="24"/>
                <w:lang w:val="en-US" w:eastAsia="zh-CN" w:bidi="ar-SA"/>
              </w:rPr>
              <w:t>22.1</w:t>
            </w:r>
          </w:p>
        </w:tc>
        <w:tc>
          <w:tcPr>
            <w:tcW w:w="748" w:type="pct"/>
            <w:shd w:val="clear" w:color="auto" w:fill="auto"/>
            <w:vAlign w:val="center"/>
          </w:tcPr>
          <w:p w14:paraId="360BC9F5">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kern w:val="2"/>
                <w:sz w:val="22"/>
                <w:szCs w:val="24"/>
                <w:lang w:val="en-US" w:eastAsia="zh-CN" w:bidi="ar-SA"/>
              </w:rPr>
              <w:t>24.1</w:t>
            </w:r>
          </w:p>
        </w:tc>
        <w:tc>
          <w:tcPr>
            <w:tcW w:w="754" w:type="pct"/>
            <w:shd w:val="clear" w:color="auto" w:fill="auto"/>
            <w:vAlign w:val="center"/>
          </w:tcPr>
          <w:p w14:paraId="3381F4C5">
            <w:pPr>
              <w:jc w:val="center"/>
              <w:rPr>
                <w:rFonts w:hint="eastAsia"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lang w:val="en-US" w:eastAsia="zh-CN"/>
              </w:rPr>
              <w:t>40</w:t>
            </w:r>
          </w:p>
        </w:tc>
      </w:tr>
      <w:tr w14:paraId="1A0A2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 w:hRule="atLeast"/>
        </w:trPr>
        <w:tc>
          <w:tcPr>
            <w:tcW w:w="730" w:type="pct"/>
            <w:vMerge w:val="continue"/>
            <w:vAlign w:val="center"/>
          </w:tcPr>
          <w:p w14:paraId="06A9F727">
            <w:pPr>
              <w:jc w:val="center"/>
              <w:rPr>
                <w:rFonts w:ascii="Times New Roman" w:hAnsi="Times New Roman" w:eastAsia="宋体" w:cs="Times New Roman"/>
                <w:color w:val="auto"/>
                <w:sz w:val="22"/>
                <w:szCs w:val="24"/>
              </w:rPr>
            </w:pPr>
          </w:p>
        </w:tc>
        <w:tc>
          <w:tcPr>
            <w:tcW w:w="1363" w:type="pct"/>
            <w:shd w:val="clear" w:color="auto" w:fill="auto"/>
            <w:vAlign w:val="center"/>
          </w:tcPr>
          <w:p w14:paraId="70292A6C">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lang w:val="en-US" w:eastAsia="zh-CN"/>
              </w:rPr>
              <w:t>急性毒性</w:t>
            </w:r>
          </w:p>
        </w:tc>
        <w:tc>
          <w:tcPr>
            <w:tcW w:w="680" w:type="pct"/>
            <w:shd w:val="clear" w:color="auto" w:fill="auto"/>
            <w:vAlign w:val="center"/>
          </w:tcPr>
          <w:p w14:paraId="71328868">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kern w:val="2"/>
                <w:sz w:val="22"/>
                <w:szCs w:val="24"/>
                <w:lang w:val="en-US" w:eastAsia="zh-CN" w:bidi="ar-SA"/>
              </w:rPr>
              <w:t>0.034</w:t>
            </w:r>
          </w:p>
        </w:tc>
        <w:tc>
          <w:tcPr>
            <w:tcW w:w="723" w:type="pct"/>
            <w:shd w:val="clear" w:color="auto" w:fill="auto"/>
            <w:vAlign w:val="center"/>
          </w:tcPr>
          <w:p w14:paraId="1AF6B578">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kern w:val="2"/>
                <w:sz w:val="22"/>
                <w:szCs w:val="24"/>
                <w:lang w:val="en-US" w:eastAsia="zh-CN" w:bidi="ar-SA"/>
              </w:rPr>
              <w:t>0.033</w:t>
            </w:r>
          </w:p>
        </w:tc>
        <w:tc>
          <w:tcPr>
            <w:tcW w:w="748" w:type="pct"/>
            <w:shd w:val="clear" w:color="auto" w:fill="auto"/>
            <w:vAlign w:val="center"/>
          </w:tcPr>
          <w:p w14:paraId="4BB2F03A">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kern w:val="2"/>
                <w:sz w:val="22"/>
                <w:szCs w:val="24"/>
                <w:lang w:val="en-US" w:eastAsia="zh-CN" w:bidi="ar-SA"/>
              </w:rPr>
              <w:t>0.034</w:t>
            </w:r>
          </w:p>
        </w:tc>
        <w:tc>
          <w:tcPr>
            <w:tcW w:w="754" w:type="pct"/>
            <w:shd w:val="clear" w:color="auto" w:fill="auto"/>
            <w:vAlign w:val="center"/>
          </w:tcPr>
          <w:p w14:paraId="5EBBF687">
            <w:pPr>
              <w:jc w:val="center"/>
              <w:rPr>
                <w:rFonts w:hint="eastAsia"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lang w:val="en-US" w:eastAsia="zh-CN"/>
              </w:rPr>
              <w:t>0.07</w:t>
            </w:r>
          </w:p>
        </w:tc>
      </w:tr>
      <w:tr w14:paraId="49457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 w:hRule="atLeast"/>
        </w:trPr>
        <w:tc>
          <w:tcPr>
            <w:tcW w:w="730" w:type="pct"/>
            <w:vMerge w:val="restart"/>
            <w:shd w:val="clear" w:color="auto" w:fill="auto"/>
            <w:vAlign w:val="center"/>
          </w:tcPr>
          <w:p w14:paraId="4748B40A">
            <w:pPr>
              <w:jc w:val="center"/>
              <w:rPr>
                <w:rFonts w:ascii="Times New Roman" w:hAnsi="Times New Roman" w:eastAsia="宋体" w:cs="Times New Roman"/>
                <w:color w:val="auto"/>
                <w:kern w:val="2"/>
                <w:sz w:val="22"/>
                <w:szCs w:val="24"/>
                <w:lang w:val="en-US" w:eastAsia="zh-CN" w:bidi="ar-SA"/>
              </w:rPr>
            </w:pPr>
            <w:r>
              <w:rPr>
                <w:rFonts w:ascii="Times New Roman" w:hAnsi="Times New Roman" w:eastAsia="宋体" w:cs="Times New Roman"/>
                <w:color w:val="auto"/>
                <w:sz w:val="22"/>
                <w:szCs w:val="24"/>
              </w:rPr>
              <w:t>检测点位</w:t>
            </w:r>
          </w:p>
        </w:tc>
        <w:tc>
          <w:tcPr>
            <w:tcW w:w="1363" w:type="pct"/>
            <w:vMerge w:val="restart"/>
            <w:shd w:val="clear" w:color="auto" w:fill="auto"/>
            <w:vAlign w:val="center"/>
          </w:tcPr>
          <w:p w14:paraId="2BDA20A9">
            <w:pPr>
              <w:jc w:val="center"/>
              <w:rPr>
                <w:rFonts w:hint="eastAsia" w:ascii="Times New Roman" w:hAnsi="Times New Roman" w:eastAsia="宋体" w:cs="Times New Roman"/>
                <w:color w:val="auto"/>
                <w:kern w:val="2"/>
                <w:sz w:val="22"/>
                <w:szCs w:val="24"/>
                <w:lang w:val="en-US" w:eastAsia="zh-CN" w:bidi="ar-SA"/>
              </w:rPr>
            </w:pPr>
            <w:r>
              <w:rPr>
                <w:rFonts w:ascii="Times New Roman" w:hAnsi="Times New Roman" w:eastAsia="宋体" w:cs="Times New Roman"/>
                <w:color w:val="auto"/>
                <w:sz w:val="22"/>
                <w:szCs w:val="24"/>
              </w:rPr>
              <w:t>检测项目</w:t>
            </w:r>
          </w:p>
        </w:tc>
        <w:tc>
          <w:tcPr>
            <w:tcW w:w="2152" w:type="pct"/>
            <w:gridSpan w:val="3"/>
            <w:shd w:val="clear" w:color="auto" w:fill="auto"/>
            <w:vAlign w:val="center"/>
          </w:tcPr>
          <w:p w14:paraId="4826E31B">
            <w:pPr>
              <w:jc w:val="center"/>
              <w:rPr>
                <w:rFonts w:hint="eastAsia" w:ascii="Times New Roman" w:hAnsi="Times New Roman" w:eastAsia="宋体" w:cs="Times New Roman"/>
                <w:color w:val="auto"/>
                <w:sz w:val="22"/>
                <w:szCs w:val="24"/>
                <w:lang w:val="en-US" w:eastAsia="zh-CN"/>
              </w:rPr>
            </w:pPr>
            <w:r>
              <w:rPr>
                <w:rFonts w:ascii="Times New Roman" w:hAnsi="Times New Roman" w:eastAsia="宋体" w:cs="Times New Roman"/>
                <w:color w:val="auto"/>
                <w:sz w:val="22"/>
                <w:szCs w:val="24"/>
              </w:rPr>
              <w:t>检测结果</w:t>
            </w:r>
          </w:p>
        </w:tc>
        <w:tc>
          <w:tcPr>
            <w:tcW w:w="754" w:type="pct"/>
            <w:vMerge w:val="restart"/>
            <w:vAlign w:val="center"/>
          </w:tcPr>
          <w:p w14:paraId="51533398">
            <w:pPr>
              <w:jc w:val="center"/>
              <w:rPr>
                <w:rFonts w:hint="eastAsia" w:ascii="Times New Roman" w:hAnsi="Times New Roman" w:eastAsia="宋体" w:cs="Times New Roman"/>
                <w:color w:val="auto"/>
                <w:sz w:val="22"/>
                <w:szCs w:val="24"/>
                <w:lang w:val="en-US" w:eastAsia="zh-CN"/>
              </w:rPr>
            </w:pPr>
            <w:r>
              <w:rPr>
                <w:rFonts w:ascii="Times New Roman" w:hAnsi="Times New Roman" w:eastAsia="宋体" w:cs="Times New Roman"/>
                <w:color w:val="auto"/>
                <w:sz w:val="22"/>
                <w:szCs w:val="24"/>
              </w:rPr>
              <w:t>参考标准值</w:t>
            </w:r>
          </w:p>
        </w:tc>
      </w:tr>
      <w:tr w14:paraId="07C46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 w:hRule="atLeast"/>
        </w:trPr>
        <w:tc>
          <w:tcPr>
            <w:tcW w:w="730" w:type="pct"/>
            <w:vMerge w:val="continue"/>
            <w:vAlign w:val="center"/>
          </w:tcPr>
          <w:p w14:paraId="526F349C">
            <w:pPr>
              <w:jc w:val="center"/>
              <w:rPr>
                <w:rFonts w:ascii="Times New Roman" w:hAnsi="Times New Roman" w:eastAsia="宋体" w:cs="Times New Roman"/>
                <w:color w:val="auto"/>
                <w:sz w:val="22"/>
                <w:szCs w:val="24"/>
              </w:rPr>
            </w:pPr>
          </w:p>
        </w:tc>
        <w:tc>
          <w:tcPr>
            <w:tcW w:w="1363" w:type="pct"/>
            <w:vMerge w:val="continue"/>
            <w:shd w:val="clear" w:color="auto" w:fill="auto"/>
            <w:vAlign w:val="center"/>
          </w:tcPr>
          <w:p w14:paraId="08992EBA">
            <w:pPr>
              <w:jc w:val="center"/>
              <w:rPr>
                <w:rFonts w:ascii="Times New Roman" w:hAnsi="Times New Roman" w:eastAsia="宋体" w:cs="Times New Roman"/>
                <w:color w:val="auto"/>
                <w:sz w:val="22"/>
                <w:szCs w:val="24"/>
              </w:rPr>
            </w:pPr>
          </w:p>
        </w:tc>
        <w:tc>
          <w:tcPr>
            <w:tcW w:w="2152" w:type="pct"/>
            <w:gridSpan w:val="3"/>
            <w:shd w:val="clear" w:color="auto" w:fill="auto"/>
            <w:vAlign w:val="center"/>
          </w:tcPr>
          <w:p w14:paraId="16F9CD91">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2024.2.28</w:t>
            </w:r>
          </w:p>
        </w:tc>
        <w:tc>
          <w:tcPr>
            <w:tcW w:w="754" w:type="pct"/>
            <w:vMerge w:val="continue"/>
            <w:vAlign w:val="center"/>
          </w:tcPr>
          <w:p w14:paraId="1AA088F7">
            <w:pPr>
              <w:jc w:val="center"/>
              <w:rPr>
                <w:rFonts w:hint="eastAsia" w:ascii="Times New Roman" w:hAnsi="Times New Roman" w:eastAsia="宋体" w:cs="Times New Roman"/>
                <w:color w:val="auto"/>
                <w:sz w:val="22"/>
                <w:szCs w:val="24"/>
                <w:lang w:val="en-US" w:eastAsia="zh-CN"/>
              </w:rPr>
            </w:pPr>
          </w:p>
        </w:tc>
      </w:tr>
      <w:tr w14:paraId="7764C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 w:hRule="atLeast"/>
        </w:trPr>
        <w:tc>
          <w:tcPr>
            <w:tcW w:w="730" w:type="pct"/>
            <w:vMerge w:val="continue"/>
            <w:vAlign w:val="center"/>
          </w:tcPr>
          <w:p w14:paraId="3C7B368A">
            <w:pPr>
              <w:jc w:val="center"/>
              <w:rPr>
                <w:rFonts w:ascii="Times New Roman" w:hAnsi="Times New Roman" w:eastAsia="宋体" w:cs="Times New Roman"/>
                <w:color w:val="auto"/>
                <w:sz w:val="22"/>
                <w:szCs w:val="24"/>
              </w:rPr>
            </w:pPr>
          </w:p>
        </w:tc>
        <w:tc>
          <w:tcPr>
            <w:tcW w:w="1363" w:type="pct"/>
            <w:vMerge w:val="continue"/>
            <w:shd w:val="clear" w:color="auto" w:fill="auto"/>
            <w:vAlign w:val="center"/>
          </w:tcPr>
          <w:p w14:paraId="62EB1F71">
            <w:pPr>
              <w:jc w:val="center"/>
              <w:rPr>
                <w:rFonts w:ascii="Times New Roman" w:hAnsi="Times New Roman" w:eastAsia="宋体" w:cs="Times New Roman"/>
                <w:color w:val="auto"/>
                <w:sz w:val="22"/>
                <w:szCs w:val="24"/>
              </w:rPr>
            </w:pPr>
          </w:p>
        </w:tc>
        <w:tc>
          <w:tcPr>
            <w:tcW w:w="680" w:type="pct"/>
            <w:shd w:val="clear" w:color="auto" w:fill="auto"/>
            <w:vAlign w:val="center"/>
          </w:tcPr>
          <w:p w14:paraId="3B01D87D">
            <w:pPr>
              <w:jc w:val="center"/>
              <w:rPr>
                <w:rFonts w:hint="eastAsia" w:ascii="Times New Roman" w:hAnsi="Times New Roman" w:eastAsia="宋体" w:cs="Times New Roman"/>
                <w:color w:val="auto"/>
                <w:kern w:val="2"/>
                <w:sz w:val="22"/>
                <w:szCs w:val="24"/>
                <w:lang w:val="en-US" w:eastAsia="zh-CN" w:bidi="ar-SA"/>
              </w:rPr>
            </w:pPr>
            <w:r>
              <w:rPr>
                <w:rFonts w:ascii="Times New Roman" w:hAnsi="Times New Roman" w:eastAsia="宋体" w:cs="Times New Roman"/>
                <w:color w:val="auto"/>
                <w:sz w:val="22"/>
                <w:szCs w:val="24"/>
              </w:rPr>
              <w:t>第一次</w:t>
            </w:r>
          </w:p>
        </w:tc>
        <w:tc>
          <w:tcPr>
            <w:tcW w:w="723" w:type="pct"/>
            <w:shd w:val="clear" w:color="auto" w:fill="auto"/>
            <w:vAlign w:val="center"/>
          </w:tcPr>
          <w:p w14:paraId="2B0B819B">
            <w:pPr>
              <w:jc w:val="center"/>
              <w:rPr>
                <w:rFonts w:hint="eastAsia" w:ascii="Times New Roman" w:hAnsi="Times New Roman" w:eastAsia="宋体" w:cs="Times New Roman"/>
                <w:color w:val="auto"/>
                <w:kern w:val="2"/>
                <w:sz w:val="22"/>
                <w:szCs w:val="24"/>
                <w:lang w:val="en-US" w:eastAsia="zh-CN" w:bidi="ar-SA"/>
              </w:rPr>
            </w:pPr>
            <w:r>
              <w:rPr>
                <w:rFonts w:ascii="Times New Roman" w:hAnsi="Times New Roman" w:eastAsia="宋体" w:cs="Times New Roman"/>
                <w:color w:val="auto"/>
                <w:sz w:val="22"/>
                <w:szCs w:val="24"/>
              </w:rPr>
              <w:t>第二次</w:t>
            </w:r>
          </w:p>
        </w:tc>
        <w:tc>
          <w:tcPr>
            <w:tcW w:w="748" w:type="pct"/>
            <w:shd w:val="clear" w:color="auto" w:fill="auto"/>
            <w:vAlign w:val="center"/>
          </w:tcPr>
          <w:p w14:paraId="56411FE7">
            <w:pPr>
              <w:jc w:val="center"/>
              <w:rPr>
                <w:rFonts w:hint="eastAsia" w:ascii="Times New Roman" w:hAnsi="Times New Roman" w:eastAsia="宋体" w:cs="Times New Roman"/>
                <w:color w:val="auto"/>
                <w:kern w:val="2"/>
                <w:sz w:val="22"/>
                <w:szCs w:val="24"/>
                <w:lang w:val="en-US" w:eastAsia="zh-CN" w:bidi="ar-SA"/>
              </w:rPr>
            </w:pPr>
            <w:r>
              <w:rPr>
                <w:rFonts w:ascii="Times New Roman" w:hAnsi="Times New Roman" w:eastAsia="宋体" w:cs="Times New Roman"/>
                <w:color w:val="auto"/>
                <w:sz w:val="22"/>
                <w:szCs w:val="24"/>
              </w:rPr>
              <w:t>第三次</w:t>
            </w:r>
          </w:p>
        </w:tc>
        <w:tc>
          <w:tcPr>
            <w:tcW w:w="754" w:type="pct"/>
            <w:vMerge w:val="continue"/>
            <w:vAlign w:val="center"/>
          </w:tcPr>
          <w:p w14:paraId="266460EB">
            <w:pPr>
              <w:jc w:val="center"/>
              <w:rPr>
                <w:rFonts w:hint="eastAsia" w:ascii="Times New Roman" w:hAnsi="Times New Roman" w:eastAsia="宋体" w:cs="Times New Roman"/>
                <w:color w:val="auto"/>
                <w:sz w:val="22"/>
                <w:szCs w:val="24"/>
                <w:lang w:val="en-US" w:eastAsia="zh-CN"/>
              </w:rPr>
            </w:pPr>
          </w:p>
        </w:tc>
      </w:tr>
      <w:tr w14:paraId="2262E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 w:hRule="atLeast"/>
        </w:trPr>
        <w:tc>
          <w:tcPr>
            <w:tcW w:w="730" w:type="pct"/>
            <w:vMerge w:val="restart"/>
            <w:shd w:val="clear" w:color="auto" w:fill="auto"/>
            <w:vAlign w:val="center"/>
          </w:tcPr>
          <w:p w14:paraId="4AB4E815">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废水总排口</w:t>
            </w:r>
          </w:p>
          <w:p w14:paraId="74C273FE">
            <w:pPr>
              <w:jc w:val="center"/>
              <w:rPr>
                <w:rFonts w:ascii="Times New Roman" w:hAnsi="Times New Roman" w:eastAsia="宋体" w:cs="Times New Roman"/>
                <w:color w:val="auto"/>
                <w:kern w:val="2"/>
                <w:sz w:val="22"/>
                <w:szCs w:val="24"/>
                <w:lang w:val="en-US" w:eastAsia="zh-CN" w:bidi="ar-SA"/>
              </w:rPr>
            </w:pPr>
            <w:r>
              <w:rPr>
                <w:rFonts w:ascii="Times New Roman" w:hAnsi="Times New Roman" w:eastAsia="宋体" w:cs="Times New Roman"/>
                <w:color w:val="auto"/>
                <w:sz w:val="22"/>
                <w:szCs w:val="24"/>
              </w:rPr>
              <w:t>(DW001)</w:t>
            </w:r>
          </w:p>
        </w:tc>
        <w:tc>
          <w:tcPr>
            <w:tcW w:w="1363" w:type="pct"/>
            <w:shd w:val="clear" w:color="auto" w:fill="auto"/>
            <w:vAlign w:val="center"/>
          </w:tcPr>
          <w:p w14:paraId="7BC98AA2">
            <w:pPr>
              <w:jc w:val="center"/>
              <w:rPr>
                <w:rFonts w:hint="default" w:ascii="Times New Roman" w:hAnsi="Times New Roman" w:eastAsia="宋体" w:cs="Times New Roman"/>
                <w:color w:val="auto"/>
                <w:kern w:val="2"/>
                <w:sz w:val="22"/>
                <w:szCs w:val="24"/>
                <w:lang w:val="en-US" w:eastAsia="zh-CN" w:bidi="ar-SA"/>
              </w:rPr>
            </w:pPr>
            <w:r>
              <w:rPr>
                <w:rFonts w:ascii="Times New Roman" w:hAnsi="Times New Roman" w:eastAsia="宋体" w:cs="Times New Roman"/>
                <w:color w:val="auto"/>
                <w:sz w:val="22"/>
                <w:szCs w:val="24"/>
              </w:rPr>
              <w:t>pH值(无量纲)</w:t>
            </w:r>
          </w:p>
        </w:tc>
        <w:tc>
          <w:tcPr>
            <w:tcW w:w="680" w:type="pct"/>
            <w:shd w:val="clear" w:color="auto" w:fill="auto"/>
            <w:vAlign w:val="center"/>
          </w:tcPr>
          <w:p w14:paraId="63D48B05">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kern w:val="2"/>
                <w:sz w:val="22"/>
                <w:szCs w:val="24"/>
                <w:lang w:val="en-US" w:eastAsia="zh-CN" w:bidi="ar-SA"/>
              </w:rPr>
              <w:t>7.0</w:t>
            </w:r>
          </w:p>
        </w:tc>
        <w:tc>
          <w:tcPr>
            <w:tcW w:w="723" w:type="pct"/>
            <w:shd w:val="clear" w:color="auto" w:fill="auto"/>
            <w:vAlign w:val="center"/>
          </w:tcPr>
          <w:p w14:paraId="06EB553D">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kern w:val="2"/>
                <w:sz w:val="22"/>
                <w:szCs w:val="24"/>
                <w:lang w:val="en-US" w:eastAsia="zh-CN" w:bidi="ar-SA"/>
              </w:rPr>
              <w:t>7.1</w:t>
            </w:r>
          </w:p>
        </w:tc>
        <w:tc>
          <w:tcPr>
            <w:tcW w:w="748" w:type="pct"/>
            <w:shd w:val="clear" w:color="auto" w:fill="auto"/>
            <w:vAlign w:val="center"/>
          </w:tcPr>
          <w:p w14:paraId="2D4741E3">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kern w:val="2"/>
                <w:sz w:val="22"/>
                <w:szCs w:val="24"/>
                <w:lang w:val="en-US" w:eastAsia="zh-CN" w:bidi="ar-SA"/>
              </w:rPr>
              <w:t>7.2</w:t>
            </w:r>
          </w:p>
        </w:tc>
        <w:tc>
          <w:tcPr>
            <w:tcW w:w="754" w:type="pct"/>
            <w:shd w:val="clear" w:color="auto" w:fill="auto"/>
            <w:vAlign w:val="center"/>
          </w:tcPr>
          <w:p w14:paraId="7C8BF173">
            <w:pPr>
              <w:jc w:val="center"/>
              <w:rPr>
                <w:rFonts w:hint="eastAsia"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lang w:val="en-US" w:eastAsia="zh-CN"/>
              </w:rPr>
              <w:t>6-9</w:t>
            </w:r>
          </w:p>
        </w:tc>
      </w:tr>
      <w:tr w14:paraId="09334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 w:hRule="atLeast"/>
        </w:trPr>
        <w:tc>
          <w:tcPr>
            <w:tcW w:w="730" w:type="pct"/>
            <w:vMerge w:val="continue"/>
            <w:vAlign w:val="center"/>
          </w:tcPr>
          <w:p w14:paraId="191651A5">
            <w:pPr>
              <w:jc w:val="center"/>
              <w:rPr>
                <w:rFonts w:ascii="Times New Roman" w:hAnsi="Times New Roman" w:eastAsia="宋体" w:cs="Times New Roman"/>
                <w:color w:val="auto"/>
                <w:sz w:val="22"/>
                <w:szCs w:val="24"/>
              </w:rPr>
            </w:pPr>
          </w:p>
        </w:tc>
        <w:tc>
          <w:tcPr>
            <w:tcW w:w="1363" w:type="pct"/>
            <w:shd w:val="clear" w:color="auto" w:fill="auto"/>
            <w:vAlign w:val="center"/>
          </w:tcPr>
          <w:p w14:paraId="54B948D6">
            <w:pPr>
              <w:jc w:val="center"/>
              <w:rPr>
                <w:rFonts w:hint="eastAsia" w:ascii="Times New Roman" w:hAnsi="Times New Roman" w:eastAsia="宋体" w:cs="Times New Roman"/>
                <w:color w:val="auto"/>
                <w:kern w:val="2"/>
                <w:sz w:val="22"/>
                <w:szCs w:val="24"/>
                <w:lang w:val="en-US" w:eastAsia="zh-CN" w:bidi="ar-SA"/>
              </w:rPr>
            </w:pPr>
            <w:r>
              <w:rPr>
                <w:rFonts w:ascii="Times New Roman" w:hAnsi="Times New Roman" w:eastAsia="宋体" w:cs="Times New Roman"/>
                <w:color w:val="auto"/>
                <w:sz w:val="22"/>
                <w:szCs w:val="24"/>
              </w:rPr>
              <w:t>化学需氧量</w:t>
            </w:r>
          </w:p>
        </w:tc>
        <w:tc>
          <w:tcPr>
            <w:tcW w:w="680" w:type="pct"/>
            <w:shd w:val="clear" w:color="auto" w:fill="auto"/>
            <w:vAlign w:val="center"/>
          </w:tcPr>
          <w:p w14:paraId="7A1F0DFC">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kern w:val="2"/>
                <w:sz w:val="22"/>
                <w:szCs w:val="24"/>
                <w:lang w:val="en-US" w:eastAsia="zh-CN" w:bidi="ar-SA"/>
              </w:rPr>
              <w:t>33</w:t>
            </w:r>
          </w:p>
        </w:tc>
        <w:tc>
          <w:tcPr>
            <w:tcW w:w="723" w:type="pct"/>
            <w:shd w:val="clear" w:color="auto" w:fill="auto"/>
            <w:vAlign w:val="center"/>
          </w:tcPr>
          <w:p w14:paraId="743EE5D3">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kern w:val="2"/>
                <w:sz w:val="22"/>
                <w:szCs w:val="24"/>
                <w:lang w:val="en-US" w:eastAsia="zh-CN" w:bidi="ar-SA"/>
              </w:rPr>
              <w:t>28</w:t>
            </w:r>
          </w:p>
        </w:tc>
        <w:tc>
          <w:tcPr>
            <w:tcW w:w="748" w:type="pct"/>
            <w:shd w:val="clear" w:color="auto" w:fill="auto"/>
            <w:vAlign w:val="center"/>
          </w:tcPr>
          <w:p w14:paraId="0703D286">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kern w:val="2"/>
                <w:sz w:val="22"/>
                <w:szCs w:val="24"/>
                <w:lang w:val="en-US" w:eastAsia="zh-CN" w:bidi="ar-SA"/>
              </w:rPr>
              <w:t>29</w:t>
            </w:r>
          </w:p>
        </w:tc>
        <w:tc>
          <w:tcPr>
            <w:tcW w:w="754" w:type="pct"/>
            <w:shd w:val="clear" w:color="auto" w:fill="auto"/>
            <w:vAlign w:val="center"/>
          </w:tcPr>
          <w:p w14:paraId="14D01850">
            <w:pPr>
              <w:jc w:val="center"/>
              <w:rPr>
                <w:rFonts w:hint="eastAsia"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lang w:val="en-US" w:eastAsia="zh-CN"/>
              </w:rPr>
              <w:t>450</w:t>
            </w:r>
          </w:p>
        </w:tc>
      </w:tr>
      <w:tr w14:paraId="4CCD5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 w:hRule="atLeast"/>
        </w:trPr>
        <w:tc>
          <w:tcPr>
            <w:tcW w:w="730" w:type="pct"/>
            <w:vMerge w:val="continue"/>
            <w:vAlign w:val="center"/>
          </w:tcPr>
          <w:p w14:paraId="2BCA23D9">
            <w:pPr>
              <w:jc w:val="center"/>
              <w:rPr>
                <w:rFonts w:ascii="Times New Roman" w:hAnsi="Times New Roman" w:eastAsia="宋体" w:cs="Times New Roman"/>
                <w:color w:val="auto"/>
                <w:sz w:val="22"/>
                <w:szCs w:val="24"/>
              </w:rPr>
            </w:pPr>
          </w:p>
        </w:tc>
        <w:tc>
          <w:tcPr>
            <w:tcW w:w="1363" w:type="pct"/>
            <w:shd w:val="clear" w:color="auto" w:fill="auto"/>
            <w:vAlign w:val="center"/>
          </w:tcPr>
          <w:p w14:paraId="2915EECE">
            <w:pPr>
              <w:jc w:val="center"/>
              <w:rPr>
                <w:rFonts w:hint="eastAsia" w:ascii="Times New Roman" w:hAnsi="Times New Roman" w:eastAsia="宋体" w:cs="Times New Roman"/>
                <w:color w:val="auto"/>
                <w:kern w:val="2"/>
                <w:sz w:val="22"/>
                <w:szCs w:val="24"/>
                <w:lang w:val="en-US" w:eastAsia="zh-CN" w:bidi="ar-SA"/>
              </w:rPr>
            </w:pPr>
            <w:r>
              <w:rPr>
                <w:rFonts w:ascii="Times New Roman" w:hAnsi="Times New Roman" w:eastAsia="宋体" w:cs="Times New Roman"/>
                <w:color w:val="auto"/>
                <w:sz w:val="22"/>
                <w:szCs w:val="24"/>
              </w:rPr>
              <w:t>氨氮</w:t>
            </w:r>
          </w:p>
        </w:tc>
        <w:tc>
          <w:tcPr>
            <w:tcW w:w="680" w:type="pct"/>
            <w:shd w:val="clear" w:color="auto" w:fill="auto"/>
            <w:vAlign w:val="center"/>
          </w:tcPr>
          <w:p w14:paraId="5ADF3174">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kern w:val="2"/>
                <w:sz w:val="22"/>
                <w:szCs w:val="24"/>
                <w:lang w:val="en-US" w:eastAsia="zh-CN" w:bidi="ar-SA"/>
              </w:rPr>
              <w:t>0.905</w:t>
            </w:r>
          </w:p>
        </w:tc>
        <w:tc>
          <w:tcPr>
            <w:tcW w:w="723" w:type="pct"/>
            <w:shd w:val="clear" w:color="auto" w:fill="auto"/>
            <w:vAlign w:val="center"/>
          </w:tcPr>
          <w:p w14:paraId="2D08448D">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kern w:val="2"/>
                <w:sz w:val="22"/>
                <w:szCs w:val="24"/>
                <w:lang w:val="en-US" w:eastAsia="zh-CN" w:bidi="ar-SA"/>
              </w:rPr>
              <w:t>0.949</w:t>
            </w:r>
          </w:p>
        </w:tc>
        <w:tc>
          <w:tcPr>
            <w:tcW w:w="748" w:type="pct"/>
            <w:shd w:val="clear" w:color="auto" w:fill="auto"/>
            <w:vAlign w:val="center"/>
          </w:tcPr>
          <w:p w14:paraId="1AE6B659">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kern w:val="2"/>
                <w:sz w:val="22"/>
                <w:szCs w:val="24"/>
                <w:lang w:val="en-US" w:eastAsia="zh-CN" w:bidi="ar-SA"/>
              </w:rPr>
              <w:t>0.950</w:t>
            </w:r>
          </w:p>
        </w:tc>
        <w:tc>
          <w:tcPr>
            <w:tcW w:w="754" w:type="pct"/>
            <w:shd w:val="clear" w:color="auto" w:fill="auto"/>
            <w:vAlign w:val="center"/>
          </w:tcPr>
          <w:p w14:paraId="23E8FAFD">
            <w:pPr>
              <w:jc w:val="center"/>
              <w:rPr>
                <w:rFonts w:hint="eastAsia"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lang w:val="en-US" w:eastAsia="zh-CN"/>
              </w:rPr>
              <w:t>35</w:t>
            </w:r>
          </w:p>
        </w:tc>
      </w:tr>
      <w:tr w14:paraId="6C29F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 w:hRule="atLeast"/>
        </w:trPr>
        <w:tc>
          <w:tcPr>
            <w:tcW w:w="730" w:type="pct"/>
            <w:vMerge w:val="continue"/>
            <w:vAlign w:val="center"/>
          </w:tcPr>
          <w:p w14:paraId="5BE8AB60">
            <w:pPr>
              <w:jc w:val="center"/>
              <w:rPr>
                <w:rFonts w:ascii="Times New Roman" w:hAnsi="Times New Roman" w:eastAsia="宋体" w:cs="Times New Roman"/>
                <w:color w:val="auto"/>
                <w:sz w:val="22"/>
                <w:szCs w:val="24"/>
              </w:rPr>
            </w:pPr>
          </w:p>
        </w:tc>
        <w:tc>
          <w:tcPr>
            <w:tcW w:w="1363" w:type="pct"/>
            <w:shd w:val="clear" w:color="auto" w:fill="auto"/>
            <w:vAlign w:val="center"/>
          </w:tcPr>
          <w:p w14:paraId="43B75272">
            <w:pPr>
              <w:jc w:val="center"/>
              <w:rPr>
                <w:rFonts w:hint="default" w:ascii="Times New Roman" w:hAnsi="Times New Roman" w:eastAsia="宋体" w:cs="Times New Roman"/>
                <w:color w:val="auto"/>
                <w:kern w:val="2"/>
                <w:sz w:val="22"/>
                <w:szCs w:val="24"/>
                <w:lang w:val="en-US" w:eastAsia="zh-CN" w:bidi="ar-SA"/>
              </w:rPr>
            </w:pPr>
            <w:r>
              <w:rPr>
                <w:rFonts w:ascii="Times New Roman" w:hAnsi="Times New Roman" w:eastAsia="宋体" w:cs="Times New Roman"/>
                <w:color w:val="auto"/>
                <w:sz w:val="22"/>
                <w:szCs w:val="24"/>
              </w:rPr>
              <w:t>总磷</w:t>
            </w:r>
          </w:p>
        </w:tc>
        <w:tc>
          <w:tcPr>
            <w:tcW w:w="680" w:type="pct"/>
            <w:shd w:val="clear" w:color="auto" w:fill="auto"/>
            <w:vAlign w:val="center"/>
          </w:tcPr>
          <w:p w14:paraId="651FEACE">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kern w:val="2"/>
                <w:sz w:val="22"/>
                <w:szCs w:val="24"/>
                <w:lang w:val="en-US" w:eastAsia="zh-CN" w:bidi="ar-SA"/>
              </w:rPr>
              <w:t>0.09</w:t>
            </w:r>
          </w:p>
        </w:tc>
        <w:tc>
          <w:tcPr>
            <w:tcW w:w="723" w:type="pct"/>
            <w:shd w:val="clear" w:color="auto" w:fill="auto"/>
            <w:vAlign w:val="center"/>
          </w:tcPr>
          <w:p w14:paraId="0AD301ED">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kern w:val="2"/>
                <w:sz w:val="22"/>
                <w:szCs w:val="24"/>
                <w:lang w:val="en-US" w:eastAsia="zh-CN" w:bidi="ar-SA"/>
              </w:rPr>
              <w:t>0.08</w:t>
            </w:r>
          </w:p>
        </w:tc>
        <w:tc>
          <w:tcPr>
            <w:tcW w:w="748" w:type="pct"/>
            <w:shd w:val="clear" w:color="auto" w:fill="auto"/>
            <w:vAlign w:val="center"/>
          </w:tcPr>
          <w:p w14:paraId="6F32867C">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kern w:val="2"/>
                <w:sz w:val="22"/>
                <w:szCs w:val="24"/>
                <w:lang w:val="en-US" w:eastAsia="zh-CN" w:bidi="ar-SA"/>
              </w:rPr>
              <w:t>0.1</w:t>
            </w:r>
          </w:p>
        </w:tc>
        <w:tc>
          <w:tcPr>
            <w:tcW w:w="754" w:type="pct"/>
            <w:shd w:val="clear" w:color="auto" w:fill="auto"/>
            <w:vAlign w:val="center"/>
          </w:tcPr>
          <w:p w14:paraId="40A3CD6A">
            <w:pPr>
              <w:jc w:val="center"/>
              <w:rPr>
                <w:rFonts w:hint="eastAsia"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lang w:val="en-US" w:eastAsia="zh-CN"/>
              </w:rPr>
              <w:t>4.0</w:t>
            </w:r>
          </w:p>
        </w:tc>
      </w:tr>
      <w:tr w14:paraId="30FB9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 w:hRule="atLeast"/>
        </w:trPr>
        <w:tc>
          <w:tcPr>
            <w:tcW w:w="730" w:type="pct"/>
            <w:vMerge w:val="continue"/>
            <w:vAlign w:val="center"/>
          </w:tcPr>
          <w:p w14:paraId="5A056F72">
            <w:pPr>
              <w:jc w:val="center"/>
              <w:rPr>
                <w:rFonts w:ascii="Times New Roman" w:hAnsi="Times New Roman" w:eastAsia="宋体" w:cs="Times New Roman"/>
                <w:color w:val="auto"/>
                <w:sz w:val="22"/>
                <w:szCs w:val="24"/>
              </w:rPr>
            </w:pPr>
          </w:p>
        </w:tc>
        <w:tc>
          <w:tcPr>
            <w:tcW w:w="1363" w:type="pct"/>
            <w:shd w:val="clear" w:color="auto" w:fill="auto"/>
            <w:vAlign w:val="center"/>
          </w:tcPr>
          <w:p w14:paraId="2A19FCEA">
            <w:pPr>
              <w:jc w:val="center"/>
              <w:rPr>
                <w:rFonts w:hint="eastAsia" w:ascii="Times New Roman" w:hAnsi="Times New Roman" w:eastAsia="宋体" w:cs="Times New Roman"/>
                <w:color w:val="auto"/>
                <w:kern w:val="2"/>
                <w:sz w:val="22"/>
                <w:szCs w:val="24"/>
                <w:lang w:val="en-US" w:eastAsia="zh-CN" w:bidi="ar-SA"/>
              </w:rPr>
            </w:pPr>
            <w:r>
              <w:rPr>
                <w:rFonts w:ascii="Times New Roman" w:hAnsi="Times New Roman" w:eastAsia="宋体" w:cs="Times New Roman"/>
                <w:color w:val="auto"/>
                <w:sz w:val="22"/>
                <w:szCs w:val="24"/>
              </w:rPr>
              <w:t>总氮</w:t>
            </w:r>
          </w:p>
        </w:tc>
        <w:tc>
          <w:tcPr>
            <w:tcW w:w="680" w:type="pct"/>
            <w:shd w:val="clear" w:color="auto" w:fill="auto"/>
            <w:vAlign w:val="center"/>
          </w:tcPr>
          <w:p w14:paraId="6A3E17C8">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kern w:val="2"/>
                <w:sz w:val="22"/>
                <w:szCs w:val="24"/>
                <w:lang w:val="en-US" w:eastAsia="zh-CN" w:bidi="ar-SA"/>
              </w:rPr>
              <w:t>4.27</w:t>
            </w:r>
          </w:p>
        </w:tc>
        <w:tc>
          <w:tcPr>
            <w:tcW w:w="723" w:type="pct"/>
            <w:shd w:val="clear" w:color="auto" w:fill="auto"/>
            <w:vAlign w:val="center"/>
          </w:tcPr>
          <w:p w14:paraId="157DD55D">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kern w:val="2"/>
                <w:sz w:val="22"/>
                <w:szCs w:val="24"/>
                <w:lang w:val="en-US" w:eastAsia="zh-CN" w:bidi="ar-SA"/>
              </w:rPr>
              <w:t>4.21</w:t>
            </w:r>
          </w:p>
        </w:tc>
        <w:tc>
          <w:tcPr>
            <w:tcW w:w="748" w:type="pct"/>
            <w:shd w:val="clear" w:color="auto" w:fill="auto"/>
            <w:vAlign w:val="center"/>
          </w:tcPr>
          <w:p w14:paraId="5EA62BCF">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kern w:val="2"/>
                <w:sz w:val="22"/>
                <w:szCs w:val="24"/>
                <w:lang w:val="en-US" w:eastAsia="zh-CN" w:bidi="ar-SA"/>
              </w:rPr>
              <w:t>4.36</w:t>
            </w:r>
          </w:p>
        </w:tc>
        <w:tc>
          <w:tcPr>
            <w:tcW w:w="754" w:type="pct"/>
            <w:shd w:val="clear" w:color="auto" w:fill="auto"/>
            <w:vAlign w:val="center"/>
          </w:tcPr>
          <w:p w14:paraId="4BF862EF">
            <w:pPr>
              <w:jc w:val="center"/>
              <w:rPr>
                <w:rFonts w:hint="eastAsia"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lang w:val="en-US" w:eastAsia="zh-CN"/>
              </w:rPr>
              <w:t>40</w:t>
            </w:r>
          </w:p>
        </w:tc>
      </w:tr>
      <w:tr w14:paraId="3BC67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 w:hRule="atLeast"/>
        </w:trPr>
        <w:tc>
          <w:tcPr>
            <w:tcW w:w="730" w:type="pct"/>
            <w:vMerge w:val="restart"/>
            <w:shd w:val="clear" w:color="auto" w:fill="auto"/>
            <w:vAlign w:val="center"/>
          </w:tcPr>
          <w:p w14:paraId="0DCBA41D">
            <w:pPr>
              <w:jc w:val="center"/>
              <w:rPr>
                <w:rFonts w:ascii="Times New Roman" w:hAnsi="Times New Roman" w:eastAsia="宋体" w:cs="Times New Roman"/>
                <w:color w:val="auto"/>
                <w:kern w:val="2"/>
                <w:sz w:val="22"/>
                <w:szCs w:val="24"/>
                <w:lang w:val="en-US" w:eastAsia="zh-CN" w:bidi="ar-SA"/>
              </w:rPr>
            </w:pPr>
            <w:r>
              <w:rPr>
                <w:rFonts w:ascii="Times New Roman" w:hAnsi="Times New Roman" w:eastAsia="宋体" w:cs="Times New Roman"/>
                <w:color w:val="auto"/>
                <w:sz w:val="22"/>
                <w:szCs w:val="24"/>
              </w:rPr>
              <w:t>检测点位</w:t>
            </w:r>
          </w:p>
        </w:tc>
        <w:tc>
          <w:tcPr>
            <w:tcW w:w="1363" w:type="pct"/>
            <w:vMerge w:val="restart"/>
            <w:shd w:val="clear" w:color="auto" w:fill="auto"/>
            <w:vAlign w:val="center"/>
          </w:tcPr>
          <w:p w14:paraId="317FED2A">
            <w:pPr>
              <w:jc w:val="center"/>
              <w:rPr>
                <w:rFonts w:hint="eastAsia" w:ascii="Times New Roman" w:hAnsi="Times New Roman" w:eastAsia="宋体" w:cs="Times New Roman"/>
                <w:color w:val="auto"/>
                <w:kern w:val="2"/>
                <w:sz w:val="22"/>
                <w:szCs w:val="24"/>
                <w:lang w:val="en-US" w:eastAsia="zh-CN" w:bidi="ar-SA"/>
              </w:rPr>
            </w:pPr>
            <w:r>
              <w:rPr>
                <w:rFonts w:ascii="Times New Roman" w:hAnsi="Times New Roman" w:eastAsia="宋体" w:cs="Times New Roman"/>
                <w:color w:val="auto"/>
                <w:sz w:val="22"/>
                <w:szCs w:val="24"/>
              </w:rPr>
              <w:t>检测项目</w:t>
            </w:r>
          </w:p>
        </w:tc>
        <w:tc>
          <w:tcPr>
            <w:tcW w:w="2152" w:type="pct"/>
            <w:gridSpan w:val="3"/>
            <w:shd w:val="clear" w:color="auto" w:fill="auto"/>
            <w:vAlign w:val="center"/>
          </w:tcPr>
          <w:p w14:paraId="3A9F3B23">
            <w:pPr>
              <w:jc w:val="center"/>
              <w:rPr>
                <w:rFonts w:hint="eastAsia" w:ascii="Times New Roman" w:hAnsi="Times New Roman" w:eastAsia="宋体" w:cs="Times New Roman"/>
                <w:color w:val="auto"/>
                <w:sz w:val="22"/>
                <w:szCs w:val="24"/>
                <w:lang w:val="en-US" w:eastAsia="zh-CN"/>
              </w:rPr>
            </w:pPr>
            <w:r>
              <w:rPr>
                <w:rFonts w:ascii="Times New Roman" w:hAnsi="Times New Roman" w:eastAsia="宋体" w:cs="Times New Roman"/>
                <w:color w:val="auto"/>
                <w:sz w:val="22"/>
                <w:szCs w:val="24"/>
              </w:rPr>
              <w:t>检测结果</w:t>
            </w:r>
          </w:p>
        </w:tc>
        <w:tc>
          <w:tcPr>
            <w:tcW w:w="754" w:type="pct"/>
            <w:vMerge w:val="restart"/>
            <w:vAlign w:val="center"/>
          </w:tcPr>
          <w:p w14:paraId="30E66F83">
            <w:pPr>
              <w:jc w:val="center"/>
              <w:rPr>
                <w:rFonts w:hint="eastAsia" w:ascii="Times New Roman" w:hAnsi="Times New Roman" w:eastAsia="宋体" w:cs="Times New Roman"/>
                <w:color w:val="auto"/>
                <w:sz w:val="22"/>
                <w:szCs w:val="24"/>
                <w:lang w:val="en-US" w:eastAsia="zh-CN"/>
              </w:rPr>
            </w:pPr>
            <w:r>
              <w:rPr>
                <w:rFonts w:ascii="Times New Roman" w:hAnsi="Times New Roman" w:eastAsia="宋体" w:cs="Times New Roman"/>
                <w:color w:val="auto"/>
                <w:sz w:val="22"/>
                <w:szCs w:val="24"/>
              </w:rPr>
              <w:t>参考标准值</w:t>
            </w:r>
          </w:p>
        </w:tc>
      </w:tr>
      <w:tr w14:paraId="7BC6A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 w:hRule="atLeast"/>
        </w:trPr>
        <w:tc>
          <w:tcPr>
            <w:tcW w:w="730" w:type="pct"/>
            <w:vMerge w:val="continue"/>
            <w:vAlign w:val="center"/>
          </w:tcPr>
          <w:p w14:paraId="2C7105CA">
            <w:pPr>
              <w:jc w:val="center"/>
              <w:rPr>
                <w:rFonts w:ascii="Times New Roman" w:hAnsi="Times New Roman" w:eastAsia="宋体" w:cs="Times New Roman"/>
                <w:color w:val="auto"/>
                <w:sz w:val="22"/>
                <w:szCs w:val="24"/>
              </w:rPr>
            </w:pPr>
          </w:p>
        </w:tc>
        <w:tc>
          <w:tcPr>
            <w:tcW w:w="1363" w:type="pct"/>
            <w:vMerge w:val="continue"/>
            <w:shd w:val="clear" w:color="auto" w:fill="auto"/>
            <w:vAlign w:val="center"/>
          </w:tcPr>
          <w:p w14:paraId="1E018FC0">
            <w:pPr>
              <w:jc w:val="center"/>
              <w:rPr>
                <w:rFonts w:ascii="Times New Roman" w:hAnsi="Times New Roman" w:eastAsia="宋体" w:cs="Times New Roman"/>
                <w:color w:val="auto"/>
                <w:sz w:val="22"/>
                <w:szCs w:val="24"/>
              </w:rPr>
            </w:pPr>
          </w:p>
        </w:tc>
        <w:tc>
          <w:tcPr>
            <w:tcW w:w="2152" w:type="pct"/>
            <w:gridSpan w:val="3"/>
            <w:shd w:val="clear" w:color="auto" w:fill="auto"/>
            <w:vAlign w:val="center"/>
          </w:tcPr>
          <w:p w14:paraId="25197CEB">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2024.3.7</w:t>
            </w:r>
          </w:p>
        </w:tc>
        <w:tc>
          <w:tcPr>
            <w:tcW w:w="754" w:type="pct"/>
            <w:vMerge w:val="continue"/>
            <w:vAlign w:val="center"/>
          </w:tcPr>
          <w:p w14:paraId="30C211BB">
            <w:pPr>
              <w:jc w:val="center"/>
              <w:rPr>
                <w:rFonts w:hint="eastAsia" w:ascii="Times New Roman" w:hAnsi="Times New Roman" w:eastAsia="宋体" w:cs="Times New Roman"/>
                <w:color w:val="auto"/>
                <w:sz w:val="22"/>
                <w:szCs w:val="24"/>
                <w:lang w:val="en-US" w:eastAsia="zh-CN"/>
              </w:rPr>
            </w:pPr>
          </w:p>
        </w:tc>
      </w:tr>
      <w:tr w14:paraId="3A1E4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 w:hRule="atLeast"/>
        </w:trPr>
        <w:tc>
          <w:tcPr>
            <w:tcW w:w="730" w:type="pct"/>
            <w:vMerge w:val="continue"/>
            <w:vAlign w:val="center"/>
          </w:tcPr>
          <w:p w14:paraId="2EF6BCD8">
            <w:pPr>
              <w:jc w:val="center"/>
              <w:rPr>
                <w:rFonts w:ascii="Times New Roman" w:hAnsi="Times New Roman" w:eastAsia="宋体" w:cs="Times New Roman"/>
                <w:color w:val="auto"/>
                <w:sz w:val="22"/>
                <w:szCs w:val="24"/>
              </w:rPr>
            </w:pPr>
          </w:p>
        </w:tc>
        <w:tc>
          <w:tcPr>
            <w:tcW w:w="1363" w:type="pct"/>
            <w:vMerge w:val="continue"/>
            <w:shd w:val="clear" w:color="auto" w:fill="auto"/>
            <w:vAlign w:val="center"/>
          </w:tcPr>
          <w:p w14:paraId="17D789D9">
            <w:pPr>
              <w:jc w:val="center"/>
              <w:rPr>
                <w:rFonts w:ascii="Times New Roman" w:hAnsi="Times New Roman" w:eastAsia="宋体" w:cs="Times New Roman"/>
                <w:color w:val="auto"/>
                <w:sz w:val="22"/>
                <w:szCs w:val="24"/>
              </w:rPr>
            </w:pPr>
          </w:p>
        </w:tc>
        <w:tc>
          <w:tcPr>
            <w:tcW w:w="680" w:type="pct"/>
            <w:shd w:val="clear" w:color="auto" w:fill="auto"/>
            <w:vAlign w:val="center"/>
          </w:tcPr>
          <w:p w14:paraId="34708699">
            <w:pPr>
              <w:jc w:val="center"/>
              <w:rPr>
                <w:rFonts w:hint="eastAsia" w:ascii="Times New Roman" w:hAnsi="Times New Roman" w:eastAsia="宋体" w:cs="Times New Roman"/>
                <w:color w:val="auto"/>
                <w:kern w:val="2"/>
                <w:sz w:val="22"/>
                <w:szCs w:val="24"/>
                <w:lang w:val="en-US" w:eastAsia="zh-CN" w:bidi="ar-SA"/>
              </w:rPr>
            </w:pPr>
            <w:r>
              <w:rPr>
                <w:rFonts w:ascii="Times New Roman" w:hAnsi="Times New Roman" w:eastAsia="宋体" w:cs="Times New Roman"/>
                <w:color w:val="auto"/>
                <w:sz w:val="22"/>
                <w:szCs w:val="24"/>
              </w:rPr>
              <w:t>第一次</w:t>
            </w:r>
          </w:p>
        </w:tc>
        <w:tc>
          <w:tcPr>
            <w:tcW w:w="723" w:type="pct"/>
            <w:shd w:val="clear" w:color="auto" w:fill="auto"/>
            <w:vAlign w:val="center"/>
          </w:tcPr>
          <w:p w14:paraId="1356547D">
            <w:pPr>
              <w:jc w:val="center"/>
              <w:rPr>
                <w:rFonts w:hint="eastAsia" w:ascii="Times New Roman" w:hAnsi="Times New Roman" w:eastAsia="宋体" w:cs="Times New Roman"/>
                <w:color w:val="auto"/>
                <w:kern w:val="2"/>
                <w:sz w:val="22"/>
                <w:szCs w:val="24"/>
                <w:lang w:val="en-US" w:eastAsia="zh-CN" w:bidi="ar-SA"/>
              </w:rPr>
            </w:pPr>
            <w:r>
              <w:rPr>
                <w:rFonts w:ascii="Times New Roman" w:hAnsi="Times New Roman" w:eastAsia="宋体" w:cs="Times New Roman"/>
                <w:color w:val="auto"/>
                <w:sz w:val="22"/>
                <w:szCs w:val="24"/>
              </w:rPr>
              <w:t>第二次</w:t>
            </w:r>
          </w:p>
        </w:tc>
        <w:tc>
          <w:tcPr>
            <w:tcW w:w="748" w:type="pct"/>
            <w:shd w:val="clear" w:color="auto" w:fill="auto"/>
            <w:vAlign w:val="center"/>
          </w:tcPr>
          <w:p w14:paraId="5700201B">
            <w:pPr>
              <w:jc w:val="center"/>
              <w:rPr>
                <w:rFonts w:hint="eastAsia" w:ascii="Times New Roman" w:hAnsi="Times New Roman" w:eastAsia="宋体" w:cs="Times New Roman"/>
                <w:color w:val="auto"/>
                <w:kern w:val="2"/>
                <w:sz w:val="22"/>
                <w:szCs w:val="24"/>
                <w:lang w:val="en-US" w:eastAsia="zh-CN" w:bidi="ar-SA"/>
              </w:rPr>
            </w:pPr>
            <w:r>
              <w:rPr>
                <w:rFonts w:ascii="Times New Roman" w:hAnsi="Times New Roman" w:eastAsia="宋体" w:cs="Times New Roman"/>
                <w:color w:val="auto"/>
                <w:sz w:val="22"/>
                <w:szCs w:val="24"/>
              </w:rPr>
              <w:t>第三次</w:t>
            </w:r>
          </w:p>
        </w:tc>
        <w:tc>
          <w:tcPr>
            <w:tcW w:w="754" w:type="pct"/>
            <w:vMerge w:val="continue"/>
            <w:vAlign w:val="center"/>
          </w:tcPr>
          <w:p w14:paraId="5DE4048F">
            <w:pPr>
              <w:jc w:val="center"/>
              <w:rPr>
                <w:rFonts w:hint="eastAsia" w:ascii="Times New Roman" w:hAnsi="Times New Roman" w:eastAsia="宋体" w:cs="Times New Roman"/>
                <w:color w:val="auto"/>
                <w:sz w:val="22"/>
                <w:szCs w:val="24"/>
                <w:lang w:val="en-US" w:eastAsia="zh-CN"/>
              </w:rPr>
            </w:pPr>
          </w:p>
        </w:tc>
      </w:tr>
      <w:tr w14:paraId="2C9EE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 w:hRule="atLeast"/>
        </w:trPr>
        <w:tc>
          <w:tcPr>
            <w:tcW w:w="730" w:type="pct"/>
            <w:vMerge w:val="restart"/>
            <w:shd w:val="clear" w:color="auto" w:fill="auto"/>
            <w:vAlign w:val="center"/>
          </w:tcPr>
          <w:p w14:paraId="5309F620">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废水总排口</w:t>
            </w:r>
          </w:p>
          <w:p w14:paraId="6197CD90">
            <w:pPr>
              <w:jc w:val="center"/>
              <w:rPr>
                <w:rFonts w:ascii="Times New Roman" w:hAnsi="Times New Roman" w:eastAsia="宋体" w:cs="Times New Roman"/>
                <w:color w:val="auto"/>
                <w:kern w:val="2"/>
                <w:sz w:val="22"/>
                <w:szCs w:val="24"/>
                <w:lang w:val="en-US" w:eastAsia="zh-CN" w:bidi="ar-SA"/>
              </w:rPr>
            </w:pPr>
            <w:r>
              <w:rPr>
                <w:rFonts w:ascii="Times New Roman" w:hAnsi="Times New Roman" w:eastAsia="宋体" w:cs="Times New Roman"/>
                <w:color w:val="auto"/>
                <w:sz w:val="22"/>
                <w:szCs w:val="24"/>
              </w:rPr>
              <w:t>(DW001)</w:t>
            </w:r>
          </w:p>
        </w:tc>
        <w:tc>
          <w:tcPr>
            <w:tcW w:w="1363" w:type="pct"/>
            <w:shd w:val="clear" w:color="auto" w:fill="auto"/>
            <w:vAlign w:val="center"/>
          </w:tcPr>
          <w:p w14:paraId="4E7261B8">
            <w:pPr>
              <w:jc w:val="center"/>
              <w:rPr>
                <w:rFonts w:hint="default" w:ascii="Times New Roman" w:hAnsi="Times New Roman" w:eastAsia="宋体" w:cs="Times New Roman"/>
                <w:color w:val="auto"/>
                <w:kern w:val="2"/>
                <w:sz w:val="22"/>
                <w:szCs w:val="24"/>
                <w:lang w:val="en-US" w:eastAsia="zh-CN" w:bidi="ar-SA"/>
              </w:rPr>
            </w:pPr>
            <w:r>
              <w:rPr>
                <w:rFonts w:ascii="Times New Roman" w:hAnsi="Times New Roman" w:eastAsia="宋体" w:cs="Times New Roman"/>
                <w:color w:val="auto"/>
                <w:sz w:val="22"/>
                <w:szCs w:val="24"/>
              </w:rPr>
              <w:t>pH值(无量纲)</w:t>
            </w:r>
          </w:p>
        </w:tc>
        <w:tc>
          <w:tcPr>
            <w:tcW w:w="680" w:type="pct"/>
            <w:shd w:val="clear" w:color="auto" w:fill="auto"/>
            <w:vAlign w:val="center"/>
          </w:tcPr>
          <w:p w14:paraId="12149FBA">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kern w:val="2"/>
                <w:sz w:val="22"/>
                <w:szCs w:val="24"/>
                <w:lang w:val="en-US" w:eastAsia="zh-CN" w:bidi="ar-SA"/>
              </w:rPr>
              <w:t>7.1</w:t>
            </w:r>
          </w:p>
        </w:tc>
        <w:tc>
          <w:tcPr>
            <w:tcW w:w="723" w:type="pct"/>
            <w:shd w:val="clear" w:color="auto" w:fill="auto"/>
            <w:vAlign w:val="center"/>
          </w:tcPr>
          <w:p w14:paraId="75FC94AA">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kern w:val="2"/>
                <w:sz w:val="22"/>
                <w:szCs w:val="24"/>
                <w:lang w:val="en-US" w:eastAsia="zh-CN" w:bidi="ar-SA"/>
              </w:rPr>
              <w:t>7.0</w:t>
            </w:r>
          </w:p>
        </w:tc>
        <w:tc>
          <w:tcPr>
            <w:tcW w:w="748" w:type="pct"/>
            <w:shd w:val="clear" w:color="auto" w:fill="auto"/>
            <w:vAlign w:val="center"/>
          </w:tcPr>
          <w:p w14:paraId="548DEA71">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kern w:val="2"/>
                <w:sz w:val="22"/>
                <w:szCs w:val="24"/>
                <w:lang w:val="en-US" w:eastAsia="zh-CN" w:bidi="ar-SA"/>
              </w:rPr>
              <w:t>6.9</w:t>
            </w:r>
          </w:p>
        </w:tc>
        <w:tc>
          <w:tcPr>
            <w:tcW w:w="754" w:type="pct"/>
            <w:shd w:val="clear" w:color="auto" w:fill="auto"/>
            <w:vAlign w:val="center"/>
          </w:tcPr>
          <w:p w14:paraId="49B60B7F">
            <w:pPr>
              <w:jc w:val="center"/>
              <w:rPr>
                <w:rFonts w:hint="eastAsia"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lang w:val="en-US" w:eastAsia="zh-CN"/>
              </w:rPr>
              <w:t>6-9</w:t>
            </w:r>
          </w:p>
        </w:tc>
      </w:tr>
      <w:tr w14:paraId="4E990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 w:hRule="atLeast"/>
        </w:trPr>
        <w:tc>
          <w:tcPr>
            <w:tcW w:w="730" w:type="pct"/>
            <w:vMerge w:val="continue"/>
            <w:vAlign w:val="center"/>
          </w:tcPr>
          <w:p w14:paraId="0A7BC8A1">
            <w:pPr>
              <w:jc w:val="center"/>
              <w:rPr>
                <w:rFonts w:ascii="Times New Roman" w:hAnsi="Times New Roman" w:eastAsia="宋体" w:cs="Times New Roman"/>
                <w:color w:val="auto"/>
                <w:sz w:val="22"/>
                <w:szCs w:val="24"/>
              </w:rPr>
            </w:pPr>
          </w:p>
        </w:tc>
        <w:tc>
          <w:tcPr>
            <w:tcW w:w="1363" w:type="pct"/>
            <w:shd w:val="clear" w:color="auto" w:fill="auto"/>
            <w:vAlign w:val="center"/>
          </w:tcPr>
          <w:p w14:paraId="2A28A742">
            <w:pPr>
              <w:jc w:val="center"/>
              <w:rPr>
                <w:rFonts w:hint="eastAsia" w:ascii="Times New Roman" w:hAnsi="Times New Roman" w:eastAsia="宋体" w:cs="Times New Roman"/>
                <w:color w:val="auto"/>
                <w:kern w:val="2"/>
                <w:sz w:val="22"/>
                <w:szCs w:val="24"/>
                <w:lang w:val="en-US" w:eastAsia="zh-CN" w:bidi="ar-SA"/>
              </w:rPr>
            </w:pPr>
            <w:r>
              <w:rPr>
                <w:rFonts w:ascii="Times New Roman" w:hAnsi="Times New Roman" w:eastAsia="宋体" w:cs="Times New Roman"/>
                <w:color w:val="auto"/>
                <w:sz w:val="22"/>
                <w:szCs w:val="24"/>
              </w:rPr>
              <w:t>化学需氧量</w:t>
            </w:r>
          </w:p>
        </w:tc>
        <w:tc>
          <w:tcPr>
            <w:tcW w:w="680" w:type="pct"/>
            <w:shd w:val="clear" w:color="auto" w:fill="auto"/>
            <w:vAlign w:val="center"/>
          </w:tcPr>
          <w:p w14:paraId="2ED996FC">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kern w:val="2"/>
                <w:sz w:val="22"/>
                <w:szCs w:val="24"/>
                <w:lang w:val="en-US" w:eastAsia="zh-CN" w:bidi="ar-SA"/>
              </w:rPr>
              <w:t>27</w:t>
            </w:r>
          </w:p>
        </w:tc>
        <w:tc>
          <w:tcPr>
            <w:tcW w:w="723" w:type="pct"/>
            <w:shd w:val="clear" w:color="auto" w:fill="auto"/>
            <w:vAlign w:val="center"/>
          </w:tcPr>
          <w:p w14:paraId="25DB2184">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kern w:val="2"/>
                <w:sz w:val="22"/>
                <w:szCs w:val="24"/>
                <w:lang w:val="en-US" w:eastAsia="zh-CN" w:bidi="ar-SA"/>
              </w:rPr>
              <w:t>26</w:t>
            </w:r>
          </w:p>
        </w:tc>
        <w:tc>
          <w:tcPr>
            <w:tcW w:w="748" w:type="pct"/>
            <w:shd w:val="clear" w:color="auto" w:fill="auto"/>
            <w:vAlign w:val="center"/>
          </w:tcPr>
          <w:p w14:paraId="75D60337">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kern w:val="2"/>
                <w:sz w:val="22"/>
                <w:szCs w:val="24"/>
                <w:lang w:val="en-US" w:eastAsia="zh-CN" w:bidi="ar-SA"/>
              </w:rPr>
              <w:t>29</w:t>
            </w:r>
          </w:p>
        </w:tc>
        <w:tc>
          <w:tcPr>
            <w:tcW w:w="754" w:type="pct"/>
            <w:shd w:val="clear" w:color="auto" w:fill="auto"/>
            <w:vAlign w:val="center"/>
          </w:tcPr>
          <w:p w14:paraId="06FFB682">
            <w:pPr>
              <w:jc w:val="center"/>
              <w:rPr>
                <w:rFonts w:hint="eastAsia"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lang w:val="en-US" w:eastAsia="zh-CN"/>
              </w:rPr>
              <w:t>450</w:t>
            </w:r>
          </w:p>
        </w:tc>
      </w:tr>
      <w:tr w14:paraId="2F935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 w:hRule="atLeast"/>
        </w:trPr>
        <w:tc>
          <w:tcPr>
            <w:tcW w:w="730" w:type="pct"/>
            <w:vMerge w:val="continue"/>
            <w:vAlign w:val="center"/>
          </w:tcPr>
          <w:p w14:paraId="282F1915">
            <w:pPr>
              <w:jc w:val="center"/>
              <w:rPr>
                <w:rFonts w:ascii="Times New Roman" w:hAnsi="Times New Roman" w:eastAsia="宋体" w:cs="Times New Roman"/>
                <w:color w:val="auto"/>
                <w:sz w:val="22"/>
                <w:szCs w:val="24"/>
              </w:rPr>
            </w:pPr>
          </w:p>
        </w:tc>
        <w:tc>
          <w:tcPr>
            <w:tcW w:w="1363" w:type="pct"/>
            <w:shd w:val="clear" w:color="auto" w:fill="auto"/>
            <w:vAlign w:val="center"/>
          </w:tcPr>
          <w:p w14:paraId="0F27B94A">
            <w:pPr>
              <w:jc w:val="center"/>
              <w:rPr>
                <w:rFonts w:hint="eastAsia" w:ascii="Times New Roman" w:hAnsi="Times New Roman" w:eastAsia="宋体" w:cs="Times New Roman"/>
                <w:color w:val="auto"/>
                <w:kern w:val="2"/>
                <w:sz w:val="22"/>
                <w:szCs w:val="24"/>
                <w:lang w:val="en-US" w:eastAsia="zh-CN" w:bidi="ar-SA"/>
              </w:rPr>
            </w:pPr>
            <w:r>
              <w:rPr>
                <w:rFonts w:ascii="Times New Roman" w:hAnsi="Times New Roman" w:eastAsia="宋体" w:cs="Times New Roman"/>
                <w:color w:val="auto"/>
                <w:sz w:val="22"/>
                <w:szCs w:val="24"/>
              </w:rPr>
              <w:t>氨氮</w:t>
            </w:r>
          </w:p>
        </w:tc>
        <w:tc>
          <w:tcPr>
            <w:tcW w:w="680" w:type="pct"/>
            <w:shd w:val="clear" w:color="auto" w:fill="auto"/>
            <w:vAlign w:val="center"/>
          </w:tcPr>
          <w:p w14:paraId="5BC28543">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kern w:val="2"/>
                <w:sz w:val="22"/>
                <w:szCs w:val="24"/>
                <w:lang w:val="en-US" w:eastAsia="zh-CN" w:bidi="ar-SA"/>
              </w:rPr>
              <w:t>0.580</w:t>
            </w:r>
          </w:p>
        </w:tc>
        <w:tc>
          <w:tcPr>
            <w:tcW w:w="723" w:type="pct"/>
            <w:shd w:val="clear" w:color="auto" w:fill="auto"/>
            <w:vAlign w:val="center"/>
          </w:tcPr>
          <w:p w14:paraId="3BFDCD92">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kern w:val="2"/>
                <w:sz w:val="22"/>
                <w:szCs w:val="24"/>
                <w:lang w:val="en-US" w:eastAsia="zh-CN" w:bidi="ar-SA"/>
              </w:rPr>
              <w:t>0.588</w:t>
            </w:r>
          </w:p>
        </w:tc>
        <w:tc>
          <w:tcPr>
            <w:tcW w:w="748" w:type="pct"/>
            <w:shd w:val="clear" w:color="auto" w:fill="auto"/>
            <w:vAlign w:val="center"/>
          </w:tcPr>
          <w:p w14:paraId="39184A94">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kern w:val="2"/>
                <w:sz w:val="22"/>
                <w:szCs w:val="24"/>
                <w:lang w:val="en-US" w:eastAsia="zh-CN" w:bidi="ar-SA"/>
              </w:rPr>
              <w:t>0.550</w:t>
            </w:r>
          </w:p>
        </w:tc>
        <w:tc>
          <w:tcPr>
            <w:tcW w:w="754" w:type="pct"/>
            <w:shd w:val="clear" w:color="auto" w:fill="auto"/>
            <w:vAlign w:val="center"/>
          </w:tcPr>
          <w:p w14:paraId="6078252F">
            <w:pPr>
              <w:jc w:val="center"/>
              <w:rPr>
                <w:rFonts w:hint="eastAsia"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lang w:val="en-US" w:eastAsia="zh-CN"/>
              </w:rPr>
              <w:t>35</w:t>
            </w:r>
          </w:p>
        </w:tc>
      </w:tr>
      <w:tr w14:paraId="5F56E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 w:hRule="atLeast"/>
        </w:trPr>
        <w:tc>
          <w:tcPr>
            <w:tcW w:w="730" w:type="pct"/>
            <w:vMerge w:val="continue"/>
            <w:vAlign w:val="center"/>
          </w:tcPr>
          <w:p w14:paraId="10ABD927">
            <w:pPr>
              <w:jc w:val="center"/>
              <w:rPr>
                <w:rFonts w:ascii="Times New Roman" w:hAnsi="Times New Roman" w:eastAsia="宋体" w:cs="Times New Roman"/>
                <w:color w:val="auto"/>
                <w:sz w:val="22"/>
                <w:szCs w:val="24"/>
              </w:rPr>
            </w:pPr>
          </w:p>
        </w:tc>
        <w:tc>
          <w:tcPr>
            <w:tcW w:w="1363" w:type="pct"/>
            <w:shd w:val="clear" w:color="auto" w:fill="auto"/>
            <w:vAlign w:val="center"/>
          </w:tcPr>
          <w:p w14:paraId="22E7E764">
            <w:pPr>
              <w:jc w:val="center"/>
              <w:rPr>
                <w:rFonts w:hint="default" w:ascii="Times New Roman" w:hAnsi="Times New Roman" w:eastAsia="宋体" w:cs="Times New Roman"/>
                <w:color w:val="auto"/>
                <w:kern w:val="2"/>
                <w:sz w:val="22"/>
                <w:szCs w:val="24"/>
                <w:lang w:val="en-US" w:eastAsia="zh-CN" w:bidi="ar-SA"/>
              </w:rPr>
            </w:pPr>
            <w:r>
              <w:rPr>
                <w:rFonts w:ascii="Times New Roman" w:hAnsi="Times New Roman" w:eastAsia="宋体" w:cs="Times New Roman"/>
                <w:color w:val="auto"/>
                <w:sz w:val="22"/>
                <w:szCs w:val="24"/>
              </w:rPr>
              <w:t>总磷</w:t>
            </w:r>
          </w:p>
        </w:tc>
        <w:tc>
          <w:tcPr>
            <w:tcW w:w="680" w:type="pct"/>
            <w:shd w:val="clear" w:color="auto" w:fill="auto"/>
            <w:vAlign w:val="center"/>
          </w:tcPr>
          <w:p w14:paraId="163A523A">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kern w:val="2"/>
                <w:sz w:val="22"/>
                <w:szCs w:val="24"/>
                <w:lang w:val="en-US" w:eastAsia="zh-CN" w:bidi="ar-SA"/>
              </w:rPr>
              <w:t>0.69</w:t>
            </w:r>
          </w:p>
        </w:tc>
        <w:tc>
          <w:tcPr>
            <w:tcW w:w="723" w:type="pct"/>
            <w:shd w:val="clear" w:color="auto" w:fill="auto"/>
            <w:vAlign w:val="center"/>
          </w:tcPr>
          <w:p w14:paraId="2BFC9C1A">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kern w:val="2"/>
                <w:sz w:val="22"/>
                <w:szCs w:val="24"/>
                <w:lang w:val="en-US" w:eastAsia="zh-CN" w:bidi="ar-SA"/>
              </w:rPr>
              <w:t>0.67</w:t>
            </w:r>
          </w:p>
        </w:tc>
        <w:tc>
          <w:tcPr>
            <w:tcW w:w="748" w:type="pct"/>
            <w:shd w:val="clear" w:color="auto" w:fill="auto"/>
            <w:vAlign w:val="center"/>
          </w:tcPr>
          <w:p w14:paraId="12D87F02">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kern w:val="2"/>
                <w:sz w:val="22"/>
                <w:szCs w:val="24"/>
                <w:lang w:val="en-US" w:eastAsia="zh-CN" w:bidi="ar-SA"/>
              </w:rPr>
              <w:t>0.66</w:t>
            </w:r>
          </w:p>
        </w:tc>
        <w:tc>
          <w:tcPr>
            <w:tcW w:w="754" w:type="pct"/>
            <w:shd w:val="clear" w:color="auto" w:fill="auto"/>
            <w:vAlign w:val="center"/>
          </w:tcPr>
          <w:p w14:paraId="1DE166E9">
            <w:pPr>
              <w:jc w:val="center"/>
              <w:rPr>
                <w:rFonts w:hint="eastAsia"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lang w:val="en-US" w:eastAsia="zh-CN"/>
              </w:rPr>
              <w:t>4.0</w:t>
            </w:r>
          </w:p>
        </w:tc>
      </w:tr>
      <w:tr w14:paraId="7C235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 w:hRule="atLeast"/>
        </w:trPr>
        <w:tc>
          <w:tcPr>
            <w:tcW w:w="730" w:type="pct"/>
            <w:vMerge w:val="continue"/>
            <w:vAlign w:val="center"/>
          </w:tcPr>
          <w:p w14:paraId="32CC44C9">
            <w:pPr>
              <w:jc w:val="center"/>
              <w:rPr>
                <w:rFonts w:ascii="Times New Roman" w:hAnsi="Times New Roman" w:eastAsia="宋体" w:cs="Times New Roman"/>
                <w:color w:val="auto"/>
                <w:sz w:val="22"/>
                <w:szCs w:val="24"/>
              </w:rPr>
            </w:pPr>
          </w:p>
        </w:tc>
        <w:tc>
          <w:tcPr>
            <w:tcW w:w="1363" w:type="pct"/>
            <w:shd w:val="clear" w:color="auto" w:fill="auto"/>
            <w:vAlign w:val="center"/>
          </w:tcPr>
          <w:p w14:paraId="4DFF3863">
            <w:pPr>
              <w:jc w:val="center"/>
              <w:rPr>
                <w:rFonts w:hint="eastAsia" w:ascii="Times New Roman" w:hAnsi="Times New Roman" w:eastAsia="宋体" w:cs="Times New Roman"/>
                <w:color w:val="auto"/>
                <w:kern w:val="2"/>
                <w:sz w:val="22"/>
                <w:szCs w:val="24"/>
                <w:lang w:val="en-US" w:eastAsia="zh-CN" w:bidi="ar-SA"/>
              </w:rPr>
            </w:pPr>
            <w:r>
              <w:rPr>
                <w:rFonts w:ascii="Times New Roman" w:hAnsi="Times New Roman" w:eastAsia="宋体" w:cs="Times New Roman"/>
                <w:color w:val="auto"/>
                <w:sz w:val="22"/>
                <w:szCs w:val="24"/>
              </w:rPr>
              <w:t>总氮</w:t>
            </w:r>
          </w:p>
        </w:tc>
        <w:tc>
          <w:tcPr>
            <w:tcW w:w="680" w:type="pct"/>
            <w:shd w:val="clear" w:color="auto" w:fill="auto"/>
            <w:vAlign w:val="center"/>
          </w:tcPr>
          <w:p w14:paraId="293C4AA8">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kern w:val="2"/>
                <w:sz w:val="22"/>
                <w:szCs w:val="24"/>
                <w:lang w:val="en-US" w:eastAsia="zh-CN" w:bidi="ar-SA"/>
              </w:rPr>
              <w:t>13.3</w:t>
            </w:r>
          </w:p>
        </w:tc>
        <w:tc>
          <w:tcPr>
            <w:tcW w:w="723" w:type="pct"/>
            <w:shd w:val="clear" w:color="auto" w:fill="auto"/>
            <w:vAlign w:val="center"/>
          </w:tcPr>
          <w:p w14:paraId="685C6E65">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kern w:val="2"/>
                <w:sz w:val="22"/>
                <w:szCs w:val="24"/>
                <w:lang w:val="en-US" w:eastAsia="zh-CN" w:bidi="ar-SA"/>
              </w:rPr>
              <w:t>12.8</w:t>
            </w:r>
          </w:p>
        </w:tc>
        <w:tc>
          <w:tcPr>
            <w:tcW w:w="748" w:type="pct"/>
            <w:shd w:val="clear" w:color="auto" w:fill="auto"/>
            <w:vAlign w:val="center"/>
          </w:tcPr>
          <w:p w14:paraId="505E762C">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kern w:val="2"/>
                <w:sz w:val="22"/>
                <w:szCs w:val="24"/>
                <w:lang w:val="en-US" w:eastAsia="zh-CN" w:bidi="ar-SA"/>
              </w:rPr>
              <w:t>13.1</w:t>
            </w:r>
          </w:p>
        </w:tc>
        <w:tc>
          <w:tcPr>
            <w:tcW w:w="754" w:type="pct"/>
            <w:shd w:val="clear" w:color="auto" w:fill="auto"/>
            <w:vAlign w:val="center"/>
          </w:tcPr>
          <w:p w14:paraId="5D902C0C">
            <w:pPr>
              <w:jc w:val="center"/>
              <w:rPr>
                <w:rFonts w:hint="eastAsia"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lang w:val="en-US" w:eastAsia="zh-CN"/>
              </w:rPr>
              <w:t>40</w:t>
            </w:r>
          </w:p>
        </w:tc>
      </w:tr>
      <w:tr w14:paraId="0041B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 w:hRule="atLeast"/>
        </w:trPr>
        <w:tc>
          <w:tcPr>
            <w:tcW w:w="730" w:type="pct"/>
            <w:vMerge w:val="restart"/>
            <w:shd w:val="clear" w:color="auto" w:fill="auto"/>
            <w:vAlign w:val="center"/>
          </w:tcPr>
          <w:p w14:paraId="4CEEBAF1">
            <w:pPr>
              <w:jc w:val="center"/>
              <w:rPr>
                <w:rFonts w:ascii="Times New Roman" w:hAnsi="Times New Roman" w:eastAsia="宋体" w:cs="Times New Roman"/>
                <w:color w:val="auto"/>
                <w:kern w:val="2"/>
                <w:sz w:val="22"/>
                <w:szCs w:val="24"/>
                <w:lang w:val="en-US" w:eastAsia="zh-CN" w:bidi="ar-SA"/>
              </w:rPr>
            </w:pPr>
            <w:r>
              <w:rPr>
                <w:rFonts w:ascii="Times New Roman" w:hAnsi="Times New Roman" w:eastAsia="宋体" w:cs="Times New Roman"/>
                <w:color w:val="auto"/>
                <w:sz w:val="22"/>
                <w:szCs w:val="24"/>
              </w:rPr>
              <w:t>检测点位</w:t>
            </w:r>
          </w:p>
        </w:tc>
        <w:tc>
          <w:tcPr>
            <w:tcW w:w="1363" w:type="pct"/>
            <w:vMerge w:val="restart"/>
            <w:shd w:val="clear" w:color="auto" w:fill="auto"/>
            <w:vAlign w:val="center"/>
          </w:tcPr>
          <w:p w14:paraId="470B1FD5">
            <w:pPr>
              <w:jc w:val="center"/>
              <w:rPr>
                <w:rFonts w:ascii="Times New Roman" w:hAnsi="Times New Roman" w:eastAsia="宋体" w:cs="Times New Roman"/>
                <w:color w:val="auto"/>
                <w:kern w:val="2"/>
                <w:sz w:val="22"/>
                <w:szCs w:val="24"/>
                <w:lang w:val="en-US" w:eastAsia="zh-CN" w:bidi="ar-SA"/>
              </w:rPr>
            </w:pPr>
            <w:r>
              <w:rPr>
                <w:rFonts w:ascii="Times New Roman" w:hAnsi="Times New Roman" w:eastAsia="宋体" w:cs="Times New Roman"/>
                <w:color w:val="auto"/>
                <w:sz w:val="22"/>
                <w:szCs w:val="24"/>
              </w:rPr>
              <w:t>检测项目</w:t>
            </w:r>
          </w:p>
        </w:tc>
        <w:tc>
          <w:tcPr>
            <w:tcW w:w="2152" w:type="pct"/>
            <w:gridSpan w:val="3"/>
            <w:shd w:val="clear" w:color="auto" w:fill="auto"/>
            <w:vAlign w:val="center"/>
          </w:tcPr>
          <w:p w14:paraId="156E0EA3">
            <w:pPr>
              <w:jc w:val="center"/>
              <w:rPr>
                <w:rFonts w:hint="eastAsia" w:ascii="Times New Roman" w:hAnsi="Times New Roman" w:eastAsia="宋体" w:cs="Times New Roman"/>
                <w:color w:val="auto"/>
                <w:sz w:val="22"/>
                <w:szCs w:val="24"/>
                <w:lang w:val="en-US" w:eastAsia="zh-CN"/>
              </w:rPr>
            </w:pPr>
            <w:r>
              <w:rPr>
                <w:rFonts w:ascii="Times New Roman" w:hAnsi="Times New Roman" w:eastAsia="宋体" w:cs="Times New Roman"/>
                <w:color w:val="auto"/>
                <w:sz w:val="22"/>
                <w:szCs w:val="24"/>
              </w:rPr>
              <w:t>检测结果</w:t>
            </w:r>
          </w:p>
        </w:tc>
        <w:tc>
          <w:tcPr>
            <w:tcW w:w="754" w:type="pct"/>
            <w:vMerge w:val="restart"/>
            <w:vAlign w:val="center"/>
          </w:tcPr>
          <w:p w14:paraId="5404757E">
            <w:pPr>
              <w:jc w:val="center"/>
              <w:rPr>
                <w:rFonts w:hint="eastAsia" w:ascii="Times New Roman" w:hAnsi="Times New Roman" w:eastAsia="宋体" w:cs="Times New Roman"/>
                <w:color w:val="auto"/>
                <w:sz w:val="22"/>
                <w:szCs w:val="24"/>
                <w:lang w:val="en-US" w:eastAsia="zh-CN"/>
              </w:rPr>
            </w:pPr>
            <w:r>
              <w:rPr>
                <w:rFonts w:ascii="Times New Roman" w:hAnsi="Times New Roman" w:eastAsia="宋体" w:cs="Times New Roman"/>
                <w:color w:val="auto"/>
                <w:sz w:val="22"/>
                <w:szCs w:val="24"/>
              </w:rPr>
              <w:t>参考标准值</w:t>
            </w:r>
          </w:p>
        </w:tc>
      </w:tr>
      <w:tr w14:paraId="616C4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 w:hRule="atLeast"/>
        </w:trPr>
        <w:tc>
          <w:tcPr>
            <w:tcW w:w="730" w:type="pct"/>
            <w:vMerge w:val="continue"/>
            <w:vAlign w:val="center"/>
          </w:tcPr>
          <w:p w14:paraId="2C11AC37">
            <w:pPr>
              <w:jc w:val="center"/>
              <w:rPr>
                <w:rFonts w:ascii="Times New Roman" w:hAnsi="Times New Roman" w:eastAsia="宋体" w:cs="Times New Roman"/>
                <w:color w:val="auto"/>
                <w:sz w:val="22"/>
                <w:szCs w:val="24"/>
              </w:rPr>
            </w:pPr>
          </w:p>
        </w:tc>
        <w:tc>
          <w:tcPr>
            <w:tcW w:w="1363" w:type="pct"/>
            <w:vMerge w:val="continue"/>
            <w:shd w:val="clear" w:color="auto" w:fill="auto"/>
            <w:vAlign w:val="center"/>
          </w:tcPr>
          <w:p w14:paraId="651445B5">
            <w:pPr>
              <w:jc w:val="center"/>
              <w:rPr>
                <w:rFonts w:ascii="Times New Roman" w:hAnsi="Times New Roman" w:eastAsia="宋体" w:cs="Times New Roman"/>
                <w:color w:val="auto"/>
                <w:sz w:val="22"/>
                <w:szCs w:val="24"/>
              </w:rPr>
            </w:pPr>
          </w:p>
        </w:tc>
        <w:tc>
          <w:tcPr>
            <w:tcW w:w="2152" w:type="pct"/>
            <w:gridSpan w:val="3"/>
            <w:shd w:val="clear" w:color="auto" w:fill="auto"/>
            <w:vAlign w:val="center"/>
          </w:tcPr>
          <w:p w14:paraId="2C97713D">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2024.4.17</w:t>
            </w:r>
          </w:p>
        </w:tc>
        <w:tc>
          <w:tcPr>
            <w:tcW w:w="754" w:type="pct"/>
            <w:vMerge w:val="continue"/>
            <w:vAlign w:val="center"/>
          </w:tcPr>
          <w:p w14:paraId="38086966">
            <w:pPr>
              <w:jc w:val="center"/>
              <w:rPr>
                <w:rFonts w:hint="eastAsia" w:ascii="Times New Roman" w:hAnsi="Times New Roman" w:eastAsia="宋体" w:cs="Times New Roman"/>
                <w:color w:val="auto"/>
                <w:sz w:val="22"/>
                <w:szCs w:val="24"/>
                <w:lang w:val="en-US" w:eastAsia="zh-CN"/>
              </w:rPr>
            </w:pPr>
          </w:p>
        </w:tc>
      </w:tr>
      <w:tr w14:paraId="4FA38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 w:hRule="atLeast"/>
        </w:trPr>
        <w:tc>
          <w:tcPr>
            <w:tcW w:w="730" w:type="pct"/>
            <w:vMerge w:val="continue"/>
            <w:vAlign w:val="center"/>
          </w:tcPr>
          <w:p w14:paraId="75311F5D">
            <w:pPr>
              <w:jc w:val="center"/>
              <w:rPr>
                <w:rFonts w:ascii="Times New Roman" w:hAnsi="Times New Roman" w:eastAsia="宋体" w:cs="Times New Roman"/>
                <w:color w:val="auto"/>
                <w:sz w:val="22"/>
                <w:szCs w:val="24"/>
              </w:rPr>
            </w:pPr>
          </w:p>
        </w:tc>
        <w:tc>
          <w:tcPr>
            <w:tcW w:w="1363" w:type="pct"/>
            <w:vMerge w:val="continue"/>
            <w:shd w:val="clear" w:color="auto" w:fill="auto"/>
            <w:vAlign w:val="center"/>
          </w:tcPr>
          <w:p w14:paraId="26D04144">
            <w:pPr>
              <w:jc w:val="center"/>
              <w:rPr>
                <w:rFonts w:ascii="Times New Roman" w:hAnsi="Times New Roman" w:eastAsia="宋体" w:cs="Times New Roman"/>
                <w:color w:val="auto"/>
                <w:sz w:val="22"/>
                <w:szCs w:val="24"/>
              </w:rPr>
            </w:pPr>
          </w:p>
        </w:tc>
        <w:tc>
          <w:tcPr>
            <w:tcW w:w="680" w:type="pct"/>
            <w:shd w:val="clear" w:color="auto" w:fill="auto"/>
            <w:vAlign w:val="center"/>
          </w:tcPr>
          <w:p w14:paraId="518ECA69">
            <w:pPr>
              <w:jc w:val="center"/>
              <w:rPr>
                <w:rFonts w:hint="eastAsia" w:ascii="Times New Roman" w:hAnsi="Times New Roman" w:eastAsia="宋体" w:cs="Times New Roman"/>
                <w:color w:val="auto"/>
                <w:kern w:val="2"/>
                <w:sz w:val="22"/>
                <w:szCs w:val="24"/>
                <w:lang w:val="en-US" w:eastAsia="zh-CN" w:bidi="ar-SA"/>
              </w:rPr>
            </w:pPr>
            <w:r>
              <w:rPr>
                <w:rFonts w:ascii="Times New Roman" w:hAnsi="Times New Roman" w:eastAsia="宋体" w:cs="Times New Roman"/>
                <w:color w:val="auto"/>
                <w:sz w:val="22"/>
                <w:szCs w:val="24"/>
              </w:rPr>
              <w:t>第一次</w:t>
            </w:r>
          </w:p>
        </w:tc>
        <w:tc>
          <w:tcPr>
            <w:tcW w:w="723" w:type="pct"/>
            <w:shd w:val="clear" w:color="auto" w:fill="auto"/>
            <w:vAlign w:val="center"/>
          </w:tcPr>
          <w:p w14:paraId="03430A9B">
            <w:pPr>
              <w:jc w:val="center"/>
              <w:rPr>
                <w:rFonts w:hint="eastAsia" w:ascii="Times New Roman" w:hAnsi="Times New Roman" w:eastAsia="宋体" w:cs="Times New Roman"/>
                <w:color w:val="auto"/>
                <w:kern w:val="2"/>
                <w:sz w:val="22"/>
                <w:szCs w:val="24"/>
                <w:lang w:val="en-US" w:eastAsia="zh-CN" w:bidi="ar-SA"/>
              </w:rPr>
            </w:pPr>
            <w:r>
              <w:rPr>
                <w:rFonts w:ascii="Times New Roman" w:hAnsi="Times New Roman" w:eastAsia="宋体" w:cs="Times New Roman"/>
                <w:color w:val="auto"/>
                <w:sz w:val="22"/>
                <w:szCs w:val="24"/>
              </w:rPr>
              <w:t>第二次</w:t>
            </w:r>
          </w:p>
        </w:tc>
        <w:tc>
          <w:tcPr>
            <w:tcW w:w="748" w:type="pct"/>
            <w:shd w:val="clear" w:color="auto" w:fill="auto"/>
            <w:vAlign w:val="center"/>
          </w:tcPr>
          <w:p w14:paraId="3F775A62">
            <w:pPr>
              <w:jc w:val="center"/>
              <w:rPr>
                <w:rFonts w:hint="eastAsia" w:ascii="Times New Roman" w:hAnsi="Times New Roman" w:eastAsia="宋体" w:cs="Times New Roman"/>
                <w:color w:val="auto"/>
                <w:kern w:val="2"/>
                <w:sz w:val="22"/>
                <w:szCs w:val="24"/>
                <w:lang w:val="en-US" w:eastAsia="zh-CN" w:bidi="ar-SA"/>
              </w:rPr>
            </w:pPr>
            <w:r>
              <w:rPr>
                <w:rFonts w:ascii="Times New Roman" w:hAnsi="Times New Roman" w:eastAsia="宋体" w:cs="Times New Roman"/>
                <w:color w:val="auto"/>
                <w:sz w:val="22"/>
                <w:szCs w:val="24"/>
              </w:rPr>
              <w:t>第三次</w:t>
            </w:r>
          </w:p>
        </w:tc>
        <w:tc>
          <w:tcPr>
            <w:tcW w:w="754" w:type="pct"/>
            <w:vMerge w:val="continue"/>
            <w:vAlign w:val="center"/>
          </w:tcPr>
          <w:p w14:paraId="101DC522">
            <w:pPr>
              <w:jc w:val="center"/>
              <w:rPr>
                <w:rFonts w:hint="eastAsia" w:ascii="Times New Roman" w:hAnsi="Times New Roman" w:eastAsia="宋体" w:cs="Times New Roman"/>
                <w:color w:val="auto"/>
                <w:sz w:val="22"/>
                <w:szCs w:val="24"/>
                <w:lang w:val="en-US" w:eastAsia="zh-CN"/>
              </w:rPr>
            </w:pPr>
          </w:p>
        </w:tc>
      </w:tr>
      <w:tr w14:paraId="01009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 w:hRule="atLeast"/>
        </w:trPr>
        <w:tc>
          <w:tcPr>
            <w:tcW w:w="730" w:type="pct"/>
            <w:vMerge w:val="restart"/>
            <w:shd w:val="clear" w:color="auto" w:fill="auto"/>
            <w:vAlign w:val="center"/>
          </w:tcPr>
          <w:p w14:paraId="406F5DE9">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废水总排口</w:t>
            </w:r>
          </w:p>
          <w:p w14:paraId="36A69A63">
            <w:pPr>
              <w:jc w:val="center"/>
              <w:rPr>
                <w:rFonts w:ascii="Times New Roman" w:hAnsi="Times New Roman" w:eastAsia="宋体" w:cs="Times New Roman"/>
                <w:color w:val="auto"/>
                <w:kern w:val="2"/>
                <w:sz w:val="22"/>
                <w:szCs w:val="24"/>
                <w:lang w:val="en-US" w:eastAsia="zh-CN" w:bidi="ar-SA"/>
              </w:rPr>
            </w:pPr>
            <w:r>
              <w:rPr>
                <w:rFonts w:ascii="Times New Roman" w:hAnsi="Times New Roman" w:eastAsia="宋体" w:cs="Times New Roman"/>
                <w:color w:val="auto"/>
                <w:sz w:val="22"/>
                <w:szCs w:val="24"/>
              </w:rPr>
              <w:t>(DW001)</w:t>
            </w:r>
          </w:p>
        </w:tc>
        <w:tc>
          <w:tcPr>
            <w:tcW w:w="1363" w:type="pct"/>
            <w:shd w:val="clear" w:color="auto" w:fill="auto"/>
            <w:vAlign w:val="center"/>
          </w:tcPr>
          <w:p w14:paraId="6F5BC357">
            <w:pPr>
              <w:jc w:val="center"/>
              <w:rPr>
                <w:rFonts w:ascii="Times New Roman" w:hAnsi="Times New Roman" w:eastAsia="宋体" w:cs="Times New Roman"/>
                <w:color w:val="auto"/>
                <w:kern w:val="2"/>
                <w:sz w:val="22"/>
                <w:szCs w:val="24"/>
                <w:lang w:val="en-US" w:eastAsia="zh-CN" w:bidi="ar-SA"/>
              </w:rPr>
            </w:pPr>
            <w:r>
              <w:rPr>
                <w:rFonts w:ascii="Times New Roman" w:hAnsi="Times New Roman" w:eastAsia="宋体" w:cs="Times New Roman"/>
                <w:color w:val="auto"/>
                <w:sz w:val="22"/>
                <w:szCs w:val="24"/>
              </w:rPr>
              <w:t>pH值(无量纲)</w:t>
            </w:r>
          </w:p>
        </w:tc>
        <w:tc>
          <w:tcPr>
            <w:tcW w:w="680" w:type="pct"/>
            <w:shd w:val="clear" w:color="auto" w:fill="auto"/>
            <w:vAlign w:val="center"/>
          </w:tcPr>
          <w:p w14:paraId="22F4BC18">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kern w:val="2"/>
                <w:sz w:val="22"/>
                <w:szCs w:val="24"/>
                <w:lang w:val="en-US" w:eastAsia="zh-CN" w:bidi="ar-SA"/>
              </w:rPr>
              <w:t>6.9</w:t>
            </w:r>
          </w:p>
        </w:tc>
        <w:tc>
          <w:tcPr>
            <w:tcW w:w="723" w:type="pct"/>
            <w:shd w:val="clear" w:color="auto" w:fill="auto"/>
            <w:vAlign w:val="center"/>
          </w:tcPr>
          <w:p w14:paraId="223A4621">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kern w:val="2"/>
                <w:sz w:val="22"/>
                <w:szCs w:val="24"/>
                <w:lang w:val="en-US" w:eastAsia="zh-CN" w:bidi="ar-SA"/>
              </w:rPr>
              <w:t>7.0</w:t>
            </w:r>
          </w:p>
        </w:tc>
        <w:tc>
          <w:tcPr>
            <w:tcW w:w="748" w:type="pct"/>
            <w:shd w:val="clear" w:color="auto" w:fill="auto"/>
            <w:vAlign w:val="center"/>
          </w:tcPr>
          <w:p w14:paraId="43B01245">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kern w:val="2"/>
                <w:sz w:val="22"/>
                <w:szCs w:val="24"/>
                <w:lang w:val="en-US" w:eastAsia="zh-CN" w:bidi="ar-SA"/>
              </w:rPr>
              <w:t>6.9</w:t>
            </w:r>
          </w:p>
        </w:tc>
        <w:tc>
          <w:tcPr>
            <w:tcW w:w="754" w:type="pct"/>
            <w:shd w:val="clear" w:color="auto" w:fill="auto"/>
            <w:vAlign w:val="center"/>
          </w:tcPr>
          <w:p w14:paraId="47C3C990">
            <w:pPr>
              <w:jc w:val="center"/>
              <w:rPr>
                <w:rFonts w:hint="eastAsia"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lang w:val="en-US" w:eastAsia="zh-CN"/>
              </w:rPr>
              <w:t>6-9</w:t>
            </w:r>
          </w:p>
        </w:tc>
      </w:tr>
      <w:tr w14:paraId="6137F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 w:hRule="atLeast"/>
        </w:trPr>
        <w:tc>
          <w:tcPr>
            <w:tcW w:w="730" w:type="pct"/>
            <w:vMerge w:val="continue"/>
            <w:vAlign w:val="center"/>
          </w:tcPr>
          <w:p w14:paraId="04DE33D4">
            <w:pPr>
              <w:jc w:val="center"/>
              <w:rPr>
                <w:rFonts w:ascii="Times New Roman" w:hAnsi="Times New Roman" w:eastAsia="宋体" w:cs="Times New Roman"/>
                <w:color w:val="auto"/>
                <w:sz w:val="22"/>
                <w:szCs w:val="24"/>
              </w:rPr>
            </w:pPr>
          </w:p>
        </w:tc>
        <w:tc>
          <w:tcPr>
            <w:tcW w:w="1363" w:type="pct"/>
            <w:shd w:val="clear" w:color="auto" w:fill="auto"/>
            <w:vAlign w:val="center"/>
          </w:tcPr>
          <w:p w14:paraId="724031B2">
            <w:pPr>
              <w:jc w:val="center"/>
              <w:rPr>
                <w:rFonts w:ascii="Times New Roman" w:hAnsi="Times New Roman" w:eastAsia="宋体" w:cs="Times New Roman"/>
                <w:color w:val="auto"/>
                <w:kern w:val="2"/>
                <w:sz w:val="22"/>
                <w:szCs w:val="24"/>
                <w:lang w:val="en-US" w:eastAsia="zh-CN" w:bidi="ar-SA"/>
              </w:rPr>
            </w:pPr>
            <w:r>
              <w:rPr>
                <w:rFonts w:ascii="Times New Roman" w:hAnsi="Times New Roman" w:eastAsia="宋体" w:cs="Times New Roman"/>
                <w:color w:val="auto"/>
                <w:sz w:val="22"/>
                <w:szCs w:val="24"/>
              </w:rPr>
              <w:t>化学需氧量</w:t>
            </w:r>
          </w:p>
        </w:tc>
        <w:tc>
          <w:tcPr>
            <w:tcW w:w="680" w:type="pct"/>
            <w:shd w:val="clear" w:color="auto" w:fill="auto"/>
            <w:vAlign w:val="center"/>
          </w:tcPr>
          <w:p w14:paraId="297130E8">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kern w:val="2"/>
                <w:sz w:val="22"/>
                <w:szCs w:val="24"/>
                <w:lang w:val="en-US" w:eastAsia="zh-CN" w:bidi="ar-SA"/>
              </w:rPr>
              <w:t>130</w:t>
            </w:r>
          </w:p>
        </w:tc>
        <w:tc>
          <w:tcPr>
            <w:tcW w:w="723" w:type="pct"/>
            <w:shd w:val="clear" w:color="auto" w:fill="auto"/>
            <w:vAlign w:val="center"/>
          </w:tcPr>
          <w:p w14:paraId="6D38D0B9">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kern w:val="2"/>
                <w:sz w:val="22"/>
                <w:szCs w:val="24"/>
                <w:lang w:val="en-US" w:eastAsia="zh-CN" w:bidi="ar-SA"/>
              </w:rPr>
              <w:t>133</w:t>
            </w:r>
          </w:p>
        </w:tc>
        <w:tc>
          <w:tcPr>
            <w:tcW w:w="748" w:type="pct"/>
            <w:shd w:val="clear" w:color="auto" w:fill="auto"/>
            <w:vAlign w:val="center"/>
          </w:tcPr>
          <w:p w14:paraId="6E1981E6">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kern w:val="2"/>
                <w:sz w:val="22"/>
                <w:szCs w:val="24"/>
                <w:lang w:val="en-US" w:eastAsia="zh-CN" w:bidi="ar-SA"/>
              </w:rPr>
              <w:t>127</w:t>
            </w:r>
          </w:p>
        </w:tc>
        <w:tc>
          <w:tcPr>
            <w:tcW w:w="754" w:type="pct"/>
            <w:shd w:val="clear" w:color="auto" w:fill="auto"/>
            <w:vAlign w:val="center"/>
          </w:tcPr>
          <w:p w14:paraId="68691298">
            <w:pPr>
              <w:jc w:val="center"/>
              <w:rPr>
                <w:rFonts w:hint="eastAsia"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lang w:val="en-US" w:eastAsia="zh-CN"/>
              </w:rPr>
              <w:t>450</w:t>
            </w:r>
          </w:p>
        </w:tc>
      </w:tr>
      <w:tr w14:paraId="04350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 w:hRule="atLeast"/>
        </w:trPr>
        <w:tc>
          <w:tcPr>
            <w:tcW w:w="730" w:type="pct"/>
            <w:vMerge w:val="continue"/>
            <w:vAlign w:val="center"/>
          </w:tcPr>
          <w:p w14:paraId="3366DA21">
            <w:pPr>
              <w:jc w:val="center"/>
              <w:rPr>
                <w:rFonts w:ascii="Times New Roman" w:hAnsi="Times New Roman" w:eastAsia="宋体" w:cs="Times New Roman"/>
                <w:color w:val="auto"/>
                <w:sz w:val="22"/>
                <w:szCs w:val="24"/>
              </w:rPr>
            </w:pPr>
          </w:p>
        </w:tc>
        <w:tc>
          <w:tcPr>
            <w:tcW w:w="1363" w:type="pct"/>
            <w:shd w:val="clear" w:color="auto" w:fill="auto"/>
            <w:vAlign w:val="center"/>
          </w:tcPr>
          <w:p w14:paraId="1A220BE2">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kern w:val="2"/>
                <w:sz w:val="22"/>
                <w:szCs w:val="24"/>
                <w:lang w:val="en-US" w:eastAsia="zh-CN" w:bidi="ar-SA"/>
              </w:rPr>
              <w:t>五日生化需氧量</w:t>
            </w:r>
          </w:p>
        </w:tc>
        <w:tc>
          <w:tcPr>
            <w:tcW w:w="680" w:type="pct"/>
            <w:shd w:val="clear" w:color="auto" w:fill="auto"/>
            <w:vAlign w:val="center"/>
          </w:tcPr>
          <w:p w14:paraId="201EB7E3">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kern w:val="2"/>
                <w:sz w:val="22"/>
                <w:szCs w:val="24"/>
                <w:lang w:val="en-US" w:eastAsia="zh-CN" w:bidi="ar-SA"/>
              </w:rPr>
              <w:t>45.8</w:t>
            </w:r>
          </w:p>
        </w:tc>
        <w:tc>
          <w:tcPr>
            <w:tcW w:w="723" w:type="pct"/>
            <w:shd w:val="clear" w:color="auto" w:fill="auto"/>
            <w:vAlign w:val="center"/>
          </w:tcPr>
          <w:p w14:paraId="6D353ED4">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kern w:val="2"/>
                <w:sz w:val="22"/>
                <w:szCs w:val="24"/>
                <w:lang w:val="en-US" w:eastAsia="zh-CN" w:bidi="ar-SA"/>
              </w:rPr>
              <w:t>47.3</w:t>
            </w:r>
          </w:p>
        </w:tc>
        <w:tc>
          <w:tcPr>
            <w:tcW w:w="748" w:type="pct"/>
            <w:shd w:val="clear" w:color="auto" w:fill="auto"/>
            <w:vAlign w:val="center"/>
          </w:tcPr>
          <w:p w14:paraId="7EBB3DD3">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kern w:val="2"/>
                <w:sz w:val="22"/>
                <w:szCs w:val="24"/>
                <w:lang w:val="en-US" w:eastAsia="zh-CN" w:bidi="ar-SA"/>
              </w:rPr>
              <w:t>45.4</w:t>
            </w:r>
          </w:p>
        </w:tc>
        <w:tc>
          <w:tcPr>
            <w:tcW w:w="754" w:type="pct"/>
            <w:shd w:val="clear" w:color="auto" w:fill="auto"/>
            <w:vAlign w:val="center"/>
          </w:tcPr>
          <w:p w14:paraId="5A55FCC6">
            <w:pPr>
              <w:jc w:val="center"/>
              <w:rPr>
                <w:rFonts w:hint="eastAsia"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kern w:val="2"/>
                <w:sz w:val="22"/>
                <w:szCs w:val="24"/>
                <w:lang w:val="en-US" w:eastAsia="zh-CN" w:bidi="ar-SA"/>
              </w:rPr>
              <w:t>250</w:t>
            </w:r>
          </w:p>
        </w:tc>
      </w:tr>
      <w:tr w14:paraId="46696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 w:hRule="atLeast"/>
        </w:trPr>
        <w:tc>
          <w:tcPr>
            <w:tcW w:w="730" w:type="pct"/>
            <w:vMerge w:val="continue"/>
            <w:vAlign w:val="center"/>
          </w:tcPr>
          <w:p w14:paraId="78CE2D83">
            <w:pPr>
              <w:jc w:val="center"/>
              <w:rPr>
                <w:rFonts w:ascii="Times New Roman" w:hAnsi="Times New Roman" w:eastAsia="宋体" w:cs="Times New Roman"/>
                <w:color w:val="auto"/>
                <w:sz w:val="22"/>
                <w:szCs w:val="24"/>
              </w:rPr>
            </w:pPr>
          </w:p>
        </w:tc>
        <w:tc>
          <w:tcPr>
            <w:tcW w:w="1363" w:type="pct"/>
            <w:shd w:val="clear" w:color="auto" w:fill="auto"/>
            <w:vAlign w:val="center"/>
          </w:tcPr>
          <w:p w14:paraId="0E53BB62">
            <w:pPr>
              <w:jc w:val="center"/>
              <w:rPr>
                <w:rFonts w:ascii="Times New Roman" w:hAnsi="Times New Roman" w:eastAsia="宋体" w:cs="Times New Roman"/>
                <w:color w:val="auto"/>
                <w:kern w:val="2"/>
                <w:sz w:val="22"/>
                <w:szCs w:val="24"/>
                <w:lang w:val="en-US" w:eastAsia="zh-CN" w:bidi="ar-SA"/>
              </w:rPr>
            </w:pPr>
            <w:r>
              <w:rPr>
                <w:rFonts w:ascii="Times New Roman" w:hAnsi="Times New Roman" w:eastAsia="宋体" w:cs="Times New Roman"/>
                <w:color w:val="auto"/>
                <w:sz w:val="22"/>
                <w:szCs w:val="24"/>
              </w:rPr>
              <w:t>氨氮</w:t>
            </w:r>
          </w:p>
        </w:tc>
        <w:tc>
          <w:tcPr>
            <w:tcW w:w="680" w:type="pct"/>
            <w:shd w:val="clear" w:color="auto" w:fill="auto"/>
            <w:vAlign w:val="center"/>
          </w:tcPr>
          <w:p w14:paraId="693D8ABD">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kern w:val="2"/>
                <w:sz w:val="22"/>
                <w:szCs w:val="24"/>
                <w:lang w:val="en-US" w:eastAsia="zh-CN" w:bidi="ar-SA"/>
              </w:rPr>
              <w:t>11.3</w:t>
            </w:r>
          </w:p>
        </w:tc>
        <w:tc>
          <w:tcPr>
            <w:tcW w:w="723" w:type="pct"/>
            <w:shd w:val="clear" w:color="auto" w:fill="auto"/>
            <w:vAlign w:val="center"/>
          </w:tcPr>
          <w:p w14:paraId="664518CA">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kern w:val="2"/>
                <w:sz w:val="22"/>
                <w:szCs w:val="24"/>
                <w:lang w:val="en-US" w:eastAsia="zh-CN" w:bidi="ar-SA"/>
              </w:rPr>
              <w:t>11.5</w:t>
            </w:r>
          </w:p>
        </w:tc>
        <w:tc>
          <w:tcPr>
            <w:tcW w:w="748" w:type="pct"/>
            <w:shd w:val="clear" w:color="auto" w:fill="auto"/>
            <w:vAlign w:val="center"/>
          </w:tcPr>
          <w:p w14:paraId="7BF4385A">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kern w:val="2"/>
                <w:sz w:val="22"/>
                <w:szCs w:val="24"/>
                <w:lang w:val="en-US" w:eastAsia="zh-CN" w:bidi="ar-SA"/>
              </w:rPr>
              <w:t>10.8</w:t>
            </w:r>
          </w:p>
        </w:tc>
        <w:tc>
          <w:tcPr>
            <w:tcW w:w="754" w:type="pct"/>
            <w:shd w:val="clear" w:color="auto" w:fill="auto"/>
            <w:vAlign w:val="center"/>
          </w:tcPr>
          <w:p w14:paraId="080365E6">
            <w:pPr>
              <w:jc w:val="center"/>
              <w:rPr>
                <w:rFonts w:hint="eastAsia"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lang w:val="en-US" w:eastAsia="zh-CN"/>
              </w:rPr>
              <w:t>35</w:t>
            </w:r>
          </w:p>
        </w:tc>
      </w:tr>
      <w:tr w14:paraId="13A27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 w:hRule="atLeast"/>
        </w:trPr>
        <w:tc>
          <w:tcPr>
            <w:tcW w:w="730" w:type="pct"/>
            <w:vMerge w:val="continue"/>
            <w:vAlign w:val="center"/>
          </w:tcPr>
          <w:p w14:paraId="6E48BBAA">
            <w:pPr>
              <w:jc w:val="center"/>
              <w:rPr>
                <w:rFonts w:ascii="Times New Roman" w:hAnsi="Times New Roman" w:eastAsia="宋体" w:cs="Times New Roman"/>
                <w:color w:val="auto"/>
                <w:sz w:val="22"/>
                <w:szCs w:val="24"/>
              </w:rPr>
            </w:pPr>
          </w:p>
        </w:tc>
        <w:tc>
          <w:tcPr>
            <w:tcW w:w="1363" w:type="pct"/>
            <w:shd w:val="clear" w:color="auto" w:fill="auto"/>
            <w:vAlign w:val="center"/>
          </w:tcPr>
          <w:p w14:paraId="3039349A">
            <w:pPr>
              <w:jc w:val="center"/>
              <w:rPr>
                <w:rFonts w:ascii="Times New Roman" w:hAnsi="Times New Roman" w:eastAsia="宋体" w:cs="Times New Roman"/>
                <w:color w:val="auto"/>
                <w:kern w:val="2"/>
                <w:sz w:val="22"/>
                <w:szCs w:val="24"/>
                <w:lang w:val="en-US" w:eastAsia="zh-CN" w:bidi="ar-SA"/>
              </w:rPr>
            </w:pPr>
            <w:r>
              <w:rPr>
                <w:rFonts w:ascii="Times New Roman" w:hAnsi="Times New Roman" w:eastAsia="宋体" w:cs="Times New Roman"/>
                <w:color w:val="auto"/>
                <w:sz w:val="22"/>
                <w:szCs w:val="24"/>
              </w:rPr>
              <w:t>总磷</w:t>
            </w:r>
          </w:p>
        </w:tc>
        <w:tc>
          <w:tcPr>
            <w:tcW w:w="680" w:type="pct"/>
            <w:shd w:val="clear" w:color="auto" w:fill="auto"/>
            <w:vAlign w:val="center"/>
          </w:tcPr>
          <w:p w14:paraId="515F2858">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kern w:val="2"/>
                <w:sz w:val="22"/>
                <w:szCs w:val="24"/>
                <w:lang w:val="en-US" w:eastAsia="zh-CN" w:bidi="ar-SA"/>
              </w:rPr>
              <w:t>0.82</w:t>
            </w:r>
          </w:p>
        </w:tc>
        <w:tc>
          <w:tcPr>
            <w:tcW w:w="723" w:type="pct"/>
            <w:shd w:val="clear" w:color="auto" w:fill="auto"/>
            <w:vAlign w:val="center"/>
          </w:tcPr>
          <w:p w14:paraId="11207098">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kern w:val="2"/>
                <w:sz w:val="22"/>
                <w:szCs w:val="24"/>
                <w:lang w:val="en-US" w:eastAsia="zh-CN" w:bidi="ar-SA"/>
              </w:rPr>
              <w:t>0.78</w:t>
            </w:r>
          </w:p>
        </w:tc>
        <w:tc>
          <w:tcPr>
            <w:tcW w:w="748" w:type="pct"/>
            <w:shd w:val="clear" w:color="auto" w:fill="auto"/>
            <w:vAlign w:val="center"/>
          </w:tcPr>
          <w:p w14:paraId="6929FA9E">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kern w:val="2"/>
                <w:sz w:val="22"/>
                <w:szCs w:val="24"/>
                <w:lang w:val="en-US" w:eastAsia="zh-CN" w:bidi="ar-SA"/>
              </w:rPr>
              <w:t>0.85</w:t>
            </w:r>
          </w:p>
        </w:tc>
        <w:tc>
          <w:tcPr>
            <w:tcW w:w="754" w:type="pct"/>
            <w:shd w:val="clear" w:color="auto" w:fill="auto"/>
            <w:vAlign w:val="center"/>
          </w:tcPr>
          <w:p w14:paraId="6C7C4ABB">
            <w:pPr>
              <w:jc w:val="center"/>
              <w:rPr>
                <w:rFonts w:hint="eastAsia"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lang w:val="en-US" w:eastAsia="zh-CN"/>
              </w:rPr>
              <w:t>4.0</w:t>
            </w:r>
          </w:p>
        </w:tc>
      </w:tr>
      <w:tr w14:paraId="5E4E4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 w:hRule="atLeast"/>
        </w:trPr>
        <w:tc>
          <w:tcPr>
            <w:tcW w:w="730" w:type="pct"/>
            <w:vMerge w:val="continue"/>
            <w:vAlign w:val="center"/>
          </w:tcPr>
          <w:p w14:paraId="358A6C5E">
            <w:pPr>
              <w:jc w:val="center"/>
              <w:rPr>
                <w:rFonts w:ascii="Times New Roman" w:hAnsi="Times New Roman" w:eastAsia="宋体" w:cs="Times New Roman"/>
                <w:color w:val="auto"/>
                <w:sz w:val="22"/>
                <w:szCs w:val="24"/>
              </w:rPr>
            </w:pPr>
          </w:p>
        </w:tc>
        <w:tc>
          <w:tcPr>
            <w:tcW w:w="1363" w:type="pct"/>
            <w:shd w:val="clear" w:color="auto" w:fill="auto"/>
            <w:vAlign w:val="center"/>
          </w:tcPr>
          <w:p w14:paraId="163D239D">
            <w:pPr>
              <w:jc w:val="center"/>
              <w:rPr>
                <w:rFonts w:ascii="Times New Roman" w:hAnsi="Times New Roman" w:eastAsia="宋体" w:cs="Times New Roman"/>
                <w:color w:val="auto"/>
                <w:kern w:val="2"/>
                <w:sz w:val="22"/>
                <w:szCs w:val="24"/>
                <w:lang w:val="en-US" w:eastAsia="zh-CN" w:bidi="ar-SA"/>
              </w:rPr>
            </w:pPr>
            <w:r>
              <w:rPr>
                <w:rFonts w:ascii="Times New Roman" w:hAnsi="Times New Roman" w:eastAsia="宋体" w:cs="Times New Roman"/>
                <w:color w:val="auto"/>
                <w:sz w:val="22"/>
                <w:szCs w:val="24"/>
              </w:rPr>
              <w:t>总氮</w:t>
            </w:r>
          </w:p>
        </w:tc>
        <w:tc>
          <w:tcPr>
            <w:tcW w:w="680" w:type="pct"/>
            <w:shd w:val="clear" w:color="auto" w:fill="auto"/>
            <w:vAlign w:val="center"/>
          </w:tcPr>
          <w:p w14:paraId="737F2B81">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kern w:val="2"/>
                <w:sz w:val="22"/>
                <w:szCs w:val="24"/>
                <w:lang w:val="en-US" w:eastAsia="zh-CN" w:bidi="ar-SA"/>
              </w:rPr>
              <w:t>29.6</w:t>
            </w:r>
          </w:p>
        </w:tc>
        <w:tc>
          <w:tcPr>
            <w:tcW w:w="723" w:type="pct"/>
            <w:shd w:val="clear" w:color="auto" w:fill="auto"/>
            <w:vAlign w:val="center"/>
          </w:tcPr>
          <w:p w14:paraId="4E5CC708">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kern w:val="2"/>
                <w:sz w:val="22"/>
                <w:szCs w:val="24"/>
                <w:lang w:val="en-US" w:eastAsia="zh-CN" w:bidi="ar-SA"/>
              </w:rPr>
              <w:t>28.7</w:t>
            </w:r>
          </w:p>
        </w:tc>
        <w:tc>
          <w:tcPr>
            <w:tcW w:w="748" w:type="pct"/>
            <w:shd w:val="clear" w:color="auto" w:fill="auto"/>
            <w:vAlign w:val="center"/>
          </w:tcPr>
          <w:p w14:paraId="600180D8">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kern w:val="2"/>
                <w:sz w:val="22"/>
                <w:szCs w:val="24"/>
                <w:lang w:val="en-US" w:eastAsia="zh-CN" w:bidi="ar-SA"/>
              </w:rPr>
              <w:t>27.7</w:t>
            </w:r>
          </w:p>
        </w:tc>
        <w:tc>
          <w:tcPr>
            <w:tcW w:w="754" w:type="pct"/>
            <w:shd w:val="clear" w:color="auto" w:fill="auto"/>
            <w:vAlign w:val="center"/>
          </w:tcPr>
          <w:p w14:paraId="1165605A">
            <w:pPr>
              <w:jc w:val="center"/>
              <w:rPr>
                <w:rFonts w:hint="eastAsia"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lang w:val="en-US" w:eastAsia="zh-CN"/>
              </w:rPr>
              <w:t>40</w:t>
            </w:r>
          </w:p>
        </w:tc>
      </w:tr>
      <w:tr w14:paraId="7C068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 w:hRule="atLeast"/>
        </w:trPr>
        <w:tc>
          <w:tcPr>
            <w:tcW w:w="730" w:type="pct"/>
            <w:vMerge w:val="continue"/>
            <w:vAlign w:val="center"/>
          </w:tcPr>
          <w:p w14:paraId="6C84B24B">
            <w:pPr>
              <w:jc w:val="center"/>
              <w:rPr>
                <w:rFonts w:ascii="Times New Roman" w:hAnsi="Times New Roman" w:eastAsia="宋体" w:cs="Times New Roman"/>
                <w:color w:val="auto"/>
                <w:sz w:val="22"/>
                <w:szCs w:val="24"/>
              </w:rPr>
            </w:pPr>
          </w:p>
        </w:tc>
        <w:tc>
          <w:tcPr>
            <w:tcW w:w="1363" w:type="pct"/>
            <w:shd w:val="clear" w:color="auto" w:fill="auto"/>
            <w:vAlign w:val="center"/>
          </w:tcPr>
          <w:p w14:paraId="66D2FFEB">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lang w:val="en-US" w:eastAsia="zh-CN"/>
              </w:rPr>
              <w:t>总氰化物</w:t>
            </w:r>
          </w:p>
        </w:tc>
        <w:tc>
          <w:tcPr>
            <w:tcW w:w="680" w:type="pct"/>
            <w:shd w:val="clear" w:color="auto" w:fill="auto"/>
            <w:vAlign w:val="center"/>
          </w:tcPr>
          <w:p w14:paraId="123CEE3A">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kern w:val="2"/>
                <w:sz w:val="22"/>
                <w:szCs w:val="24"/>
                <w:lang w:val="en-US" w:eastAsia="zh-CN" w:bidi="ar-SA"/>
              </w:rPr>
              <w:t>0.034</w:t>
            </w:r>
          </w:p>
        </w:tc>
        <w:tc>
          <w:tcPr>
            <w:tcW w:w="723" w:type="pct"/>
            <w:shd w:val="clear" w:color="auto" w:fill="auto"/>
            <w:vAlign w:val="center"/>
          </w:tcPr>
          <w:p w14:paraId="31CC7252">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kern w:val="2"/>
                <w:sz w:val="22"/>
                <w:szCs w:val="24"/>
                <w:lang w:val="en-US" w:eastAsia="zh-CN" w:bidi="ar-SA"/>
              </w:rPr>
              <w:t>0.032</w:t>
            </w:r>
          </w:p>
        </w:tc>
        <w:tc>
          <w:tcPr>
            <w:tcW w:w="748" w:type="pct"/>
            <w:shd w:val="clear" w:color="auto" w:fill="auto"/>
            <w:vAlign w:val="center"/>
          </w:tcPr>
          <w:p w14:paraId="32449B9B">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kern w:val="2"/>
                <w:sz w:val="22"/>
                <w:szCs w:val="24"/>
                <w:lang w:val="en-US" w:eastAsia="zh-CN" w:bidi="ar-SA"/>
              </w:rPr>
              <w:t>0.033</w:t>
            </w:r>
          </w:p>
        </w:tc>
        <w:tc>
          <w:tcPr>
            <w:tcW w:w="754" w:type="pct"/>
            <w:shd w:val="clear" w:color="auto" w:fill="auto"/>
            <w:vAlign w:val="center"/>
          </w:tcPr>
          <w:p w14:paraId="62A8393D">
            <w:pPr>
              <w:jc w:val="center"/>
              <w:rPr>
                <w:rFonts w:hint="eastAsia"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lang w:val="en-US" w:eastAsia="zh-CN"/>
              </w:rPr>
              <w:t>0.5</w:t>
            </w:r>
          </w:p>
        </w:tc>
      </w:tr>
      <w:tr w14:paraId="57261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 w:hRule="atLeast"/>
        </w:trPr>
        <w:tc>
          <w:tcPr>
            <w:tcW w:w="730" w:type="pct"/>
            <w:vMerge w:val="continue"/>
            <w:vAlign w:val="center"/>
          </w:tcPr>
          <w:p w14:paraId="4B0EF360">
            <w:pPr>
              <w:jc w:val="center"/>
              <w:rPr>
                <w:rFonts w:ascii="Times New Roman" w:hAnsi="Times New Roman" w:eastAsia="宋体" w:cs="Times New Roman"/>
                <w:color w:val="auto"/>
                <w:sz w:val="22"/>
                <w:szCs w:val="24"/>
              </w:rPr>
            </w:pPr>
          </w:p>
        </w:tc>
        <w:tc>
          <w:tcPr>
            <w:tcW w:w="1363" w:type="pct"/>
            <w:shd w:val="clear" w:color="auto" w:fill="auto"/>
            <w:vAlign w:val="center"/>
          </w:tcPr>
          <w:p w14:paraId="7E235A5C">
            <w:pPr>
              <w:jc w:val="center"/>
              <w:rPr>
                <w:rFonts w:hint="eastAsia"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lang w:val="en-US" w:eastAsia="zh-CN"/>
              </w:rPr>
              <w:t>悬浮物</w:t>
            </w:r>
          </w:p>
        </w:tc>
        <w:tc>
          <w:tcPr>
            <w:tcW w:w="680" w:type="pct"/>
            <w:shd w:val="clear" w:color="auto" w:fill="auto"/>
            <w:vAlign w:val="center"/>
          </w:tcPr>
          <w:p w14:paraId="475CD498">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kern w:val="2"/>
                <w:sz w:val="22"/>
                <w:szCs w:val="24"/>
                <w:lang w:val="en-US" w:eastAsia="zh-CN" w:bidi="ar-SA"/>
              </w:rPr>
              <w:t>19</w:t>
            </w:r>
          </w:p>
        </w:tc>
        <w:tc>
          <w:tcPr>
            <w:tcW w:w="723" w:type="pct"/>
            <w:shd w:val="clear" w:color="auto" w:fill="auto"/>
            <w:vAlign w:val="center"/>
          </w:tcPr>
          <w:p w14:paraId="7585313F">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kern w:val="2"/>
                <w:sz w:val="22"/>
                <w:szCs w:val="24"/>
                <w:lang w:val="en-US" w:eastAsia="zh-CN" w:bidi="ar-SA"/>
              </w:rPr>
              <w:t>20</w:t>
            </w:r>
          </w:p>
        </w:tc>
        <w:tc>
          <w:tcPr>
            <w:tcW w:w="748" w:type="pct"/>
            <w:shd w:val="clear" w:color="auto" w:fill="auto"/>
            <w:vAlign w:val="center"/>
          </w:tcPr>
          <w:p w14:paraId="7DAE7359">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kern w:val="2"/>
                <w:sz w:val="22"/>
                <w:szCs w:val="24"/>
                <w:lang w:val="en-US" w:eastAsia="zh-CN" w:bidi="ar-SA"/>
              </w:rPr>
              <w:t>18</w:t>
            </w:r>
          </w:p>
        </w:tc>
        <w:tc>
          <w:tcPr>
            <w:tcW w:w="754" w:type="pct"/>
            <w:shd w:val="clear" w:color="auto" w:fill="auto"/>
            <w:vAlign w:val="center"/>
          </w:tcPr>
          <w:p w14:paraId="7CEA667F">
            <w:pPr>
              <w:jc w:val="center"/>
              <w:rPr>
                <w:rFonts w:hint="eastAsia"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lang w:val="en-US" w:eastAsia="zh-CN"/>
              </w:rPr>
              <w:t>300</w:t>
            </w:r>
          </w:p>
        </w:tc>
      </w:tr>
      <w:tr w14:paraId="24502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 w:hRule="atLeast"/>
        </w:trPr>
        <w:tc>
          <w:tcPr>
            <w:tcW w:w="730" w:type="pct"/>
            <w:vMerge w:val="continue"/>
            <w:vAlign w:val="center"/>
          </w:tcPr>
          <w:p w14:paraId="33F7828B">
            <w:pPr>
              <w:jc w:val="center"/>
              <w:rPr>
                <w:rFonts w:ascii="Times New Roman" w:hAnsi="Times New Roman" w:eastAsia="宋体" w:cs="Times New Roman"/>
                <w:color w:val="auto"/>
                <w:sz w:val="22"/>
                <w:szCs w:val="24"/>
              </w:rPr>
            </w:pPr>
          </w:p>
        </w:tc>
        <w:tc>
          <w:tcPr>
            <w:tcW w:w="1363" w:type="pct"/>
            <w:shd w:val="clear" w:color="auto" w:fill="auto"/>
            <w:vAlign w:val="center"/>
          </w:tcPr>
          <w:p w14:paraId="3D0F8E14">
            <w:pPr>
              <w:jc w:val="center"/>
              <w:rPr>
                <w:rFonts w:hint="eastAsia"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lang w:val="en-US" w:eastAsia="zh-CN"/>
              </w:rPr>
              <w:t>色度（稀释倍数）</w:t>
            </w:r>
          </w:p>
        </w:tc>
        <w:tc>
          <w:tcPr>
            <w:tcW w:w="680" w:type="pct"/>
            <w:shd w:val="clear" w:color="auto" w:fill="auto"/>
            <w:vAlign w:val="center"/>
          </w:tcPr>
          <w:p w14:paraId="0060CF00">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kern w:val="2"/>
                <w:sz w:val="22"/>
                <w:szCs w:val="24"/>
                <w:lang w:val="en-US" w:eastAsia="zh-CN" w:bidi="ar-SA"/>
              </w:rPr>
              <w:t>6</w:t>
            </w:r>
          </w:p>
        </w:tc>
        <w:tc>
          <w:tcPr>
            <w:tcW w:w="723" w:type="pct"/>
            <w:shd w:val="clear" w:color="auto" w:fill="auto"/>
            <w:vAlign w:val="center"/>
          </w:tcPr>
          <w:p w14:paraId="2BD940F9">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kern w:val="2"/>
                <w:sz w:val="22"/>
                <w:szCs w:val="24"/>
                <w:lang w:val="en-US" w:eastAsia="zh-CN" w:bidi="ar-SA"/>
              </w:rPr>
              <w:t>6</w:t>
            </w:r>
          </w:p>
        </w:tc>
        <w:tc>
          <w:tcPr>
            <w:tcW w:w="748" w:type="pct"/>
            <w:shd w:val="clear" w:color="auto" w:fill="auto"/>
            <w:vAlign w:val="center"/>
          </w:tcPr>
          <w:p w14:paraId="6EBFF5DC">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kern w:val="2"/>
                <w:sz w:val="22"/>
                <w:szCs w:val="24"/>
                <w:lang w:val="en-US" w:eastAsia="zh-CN" w:bidi="ar-SA"/>
              </w:rPr>
              <w:t>6</w:t>
            </w:r>
          </w:p>
        </w:tc>
        <w:tc>
          <w:tcPr>
            <w:tcW w:w="754" w:type="pct"/>
            <w:shd w:val="clear" w:color="auto" w:fill="auto"/>
            <w:vAlign w:val="center"/>
          </w:tcPr>
          <w:p w14:paraId="35F212BC">
            <w:pPr>
              <w:jc w:val="center"/>
              <w:rPr>
                <w:rFonts w:hint="eastAsia"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lang w:val="en-US" w:eastAsia="zh-CN"/>
              </w:rPr>
              <w:t>60</w:t>
            </w:r>
          </w:p>
        </w:tc>
      </w:tr>
      <w:tr w14:paraId="3191C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 w:hRule="atLeast"/>
        </w:trPr>
        <w:tc>
          <w:tcPr>
            <w:tcW w:w="730" w:type="pct"/>
            <w:vMerge w:val="continue"/>
            <w:vAlign w:val="center"/>
          </w:tcPr>
          <w:p w14:paraId="0D5AA564">
            <w:pPr>
              <w:jc w:val="center"/>
              <w:rPr>
                <w:rFonts w:ascii="Times New Roman" w:hAnsi="Times New Roman" w:eastAsia="宋体" w:cs="Times New Roman"/>
                <w:color w:val="auto"/>
                <w:sz w:val="22"/>
                <w:szCs w:val="24"/>
              </w:rPr>
            </w:pPr>
          </w:p>
        </w:tc>
        <w:tc>
          <w:tcPr>
            <w:tcW w:w="1363" w:type="pct"/>
            <w:shd w:val="clear" w:color="auto" w:fill="auto"/>
            <w:vAlign w:val="center"/>
          </w:tcPr>
          <w:p w14:paraId="7701D86D">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lang w:val="en-US" w:eastAsia="zh-CN"/>
              </w:rPr>
              <w:t>总锌</w:t>
            </w:r>
          </w:p>
        </w:tc>
        <w:tc>
          <w:tcPr>
            <w:tcW w:w="680" w:type="pct"/>
            <w:shd w:val="clear" w:color="auto" w:fill="auto"/>
            <w:vAlign w:val="center"/>
          </w:tcPr>
          <w:p w14:paraId="64911C98">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kern w:val="2"/>
                <w:sz w:val="22"/>
                <w:szCs w:val="24"/>
                <w:lang w:val="en-US" w:eastAsia="zh-CN" w:bidi="ar-SA"/>
              </w:rPr>
              <w:t>0.00238</w:t>
            </w:r>
          </w:p>
        </w:tc>
        <w:tc>
          <w:tcPr>
            <w:tcW w:w="723" w:type="pct"/>
            <w:shd w:val="clear" w:color="auto" w:fill="auto"/>
            <w:vAlign w:val="center"/>
          </w:tcPr>
          <w:p w14:paraId="4C8A80CF">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kern w:val="2"/>
                <w:sz w:val="22"/>
                <w:szCs w:val="24"/>
                <w:lang w:val="en-US" w:eastAsia="zh-CN" w:bidi="ar-SA"/>
              </w:rPr>
              <w:t>0.00225</w:t>
            </w:r>
          </w:p>
        </w:tc>
        <w:tc>
          <w:tcPr>
            <w:tcW w:w="748" w:type="pct"/>
            <w:shd w:val="clear" w:color="auto" w:fill="auto"/>
            <w:vAlign w:val="center"/>
          </w:tcPr>
          <w:p w14:paraId="6D8DEA10">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kern w:val="2"/>
                <w:sz w:val="22"/>
                <w:szCs w:val="24"/>
                <w:lang w:val="en-US" w:eastAsia="zh-CN" w:bidi="ar-SA"/>
              </w:rPr>
              <w:t>0.00214</w:t>
            </w:r>
          </w:p>
        </w:tc>
        <w:tc>
          <w:tcPr>
            <w:tcW w:w="754" w:type="pct"/>
            <w:shd w:val="clear" w:color="auto" w:fill="auto"/>
            <w:vAlign w:val="center"/>
          </w:tcPr>
          <w:p w14:paraId="6FF83EC2">
            <w:pPr>
              <w:jc w:val="center"/>
              <w:rPr>
                <w:rFonts w:hint="eastAsia"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lang w:val="en-US" w:eastAsia="zh-CN"/>
              </w:rPr>
              <w:t>3.0</w:t>
            </w:r>
          </w:p>
        </w:tc>
      </w:tr>
      <w:tr w14:paraId="2A7B1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 w:hRule="atLeast"/>
        </w:trPr>
        <w:tc>
          <w:tcPr>
            <w:tcW w:w="730" w:type="pct"/>
            <w:vMerge w:val="continue"/>
            <w:vAlign w:val="center"/>
          </w:tcPr>
          <w:p w14:paraId="1D357CE4">
            <w:pPr>
              <w:jc w:val="center"/>
              <w:rPr>
                <w:rFonts w:ascii="Times New Roman" w:hAnsi="Times New Roman" w:eastAsia="宋体" w:cs="Times New Roman"/>
                <w:color w:val="auto"/>
                <w:sz w:val="22"/>
                <w:szCs w:val="24"/>
              </w:rPr>
            </w:pPr>
          </w:p>
        </w:tc>
        <w:tc>
          <w:tcPr>
            <w:tcW w:w="1363" w:type="pct"/>
            <w:shd w:val="clear" w:color="auto" w:fill="auto"/>
            <w:vAlign w:val="center"/>
          </w:tcPr>
          <w:p w14:paraId="30915328">
            <w:pPr>
              <w:jc w:val="center"/>
              <w:rPr>
                <w:rFonts w:hint="eastAsia"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lang w:val="en-US" w:eastAsia="zh-CN"/>
              </w:rPr>
              <w:t>甲苯</w:t>
            </w:r>
          </w:p>
        </w:tc>
        <w:tc>
          <w:tcPr>
            <w:tcW w:w="680" w:type="pct"/>
            <w:shd w:val="clear" w:color="auto" w:fill="auto"/>
            <w:vAlign w:val="center"/>
          </w:tcPr>
          <w:p w14:paraId="311C7AEF">
            <w:pPr>
              <w:jc w:val="center"/>
              <w:rPr>
                <w:rFonts w:hint="eastAsia"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kern w:val="2"/>
                <w:sz w:val="22"/>
                <w:szCs w:val="24"/>
                <w:lang w:val="en-US" w:eastAsia="zh-CN" w:bidi="ar-SA"/>
              </w:rPr>
              <w:t>ND</w:t>
            </w:r>
          </w:p>
        </w:tc>
        <w:tc>
          <w:tcPr>
            <w:tcW w:w="723" w:type="pct"/>
            <w:shd w:val="clear" w:color="auto" w:fill="auto"/>
            <w:vAlign w:val="center"/>
          </w:tcPr>
          <w:p w14:paraId="202A5748">
            <w:pPr>
              <w:jc w:val="center"/>
              <w:rPr>
                <w:rFonts w:hint="eastAsia"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kern w:val="2"/>
                <w:sz w:val="22"/>
                <w:szCs w:val="24"/>
                <w:lang w:val="en-US" w:eastAsia="zh-CN" w:bidi="ar-SA"/>
              </w:rPr>
              <w:t>ND</w:t>
            </w:r>
          </w:p>
        </w:tc>
        <w:tc>
          <w:tcPr>
            <w:tcW w:w="748" w:type="pct"/>
            <w:shd w:val="clear" w:color="auto" w:fill="auto"/>
            <w:vAlign w:val="center"/>
          </w:tcPr>
          <w:p w14:paraId="56F464F7">
            <w:pPr>
              <w:jc w:val="center"/>
              <w:rPr>
                <w:rFonts w:hint="eastAsia"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kern w:val="2"/>
                <w:sz w:val="22"/>
                <w:szCs w:val="24"/>
                <w:lang w:val="en-US" w:eastAsia="zh-CN" w:bidi="ar-SA"/>
              </w:rPr>
              <w:t>ND</w:t>
            </w:r>
          </w:p>
        </w:tc>
        <w:tc>
          <w:tcPr>
            <w:tcW w:w="754" w:type="pct"/>
            <w:shd w:val="clear" w:color="auto" w:fill="auto"/>
            <w:vAlign w:val="center"/>
          </w:tcPr>
          <w:p w14:paraId="3A569436">
            <w:pPr>
              <w:jc w:val="center"/>
              <w:rPr>
                <w:rFonts w:hint="eastAsia"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lang w:val="en-US" w:eastAsia="zh-CN"/>
              </w:rPr>
              <w:t>0.5</w:t>
            </w:r>
          </w:p>
        </w:tc>
      </w:tr>
      <w:tr w14:paraId="3F7FA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 w:hRule="atLeast"/>
        </w:trPr>
        <w:tc>
          <w:tcPr>
            <w:tcW w:w="730" w:type="pct"/>
            <w:vMerge w:val="continue"/>
            <w:vAlign w:val="center"/>
          </w:tcPr>
          <w:p w14:paraId="2641A573">
            <w:pPr>
              <w:jc w:val="center"/>
              <w:rPr>
                <w:rFonts w:ascii="Times New Roman" w:hAnsi="Times New Roman" w:eastAsia="宋体" w:cs="Times New Roman"/>
                <w:color w:val="auto"/>
                <w:sz w:val="22"/>
                <w:szCs w:val="24"/>
              </w:rPr>
            </w:pPr>
          </w:p>
        </w:tc>
        <w:tc>
          <w:tcPr>
            <w:tcW w:w="1363" w:type="pct"/>
            <w:shd w:val="clear" w:color="auto" w:fill="auto"/>
            <w:vAlign w:val="center"/>
          </w:tcPr>
          <w:p w14:paraId="46150128">
            <w:pPr>
              <w:jc w:val="center"/>
              <w:rPr>
                <w:rFonts w:hint="eastAsia"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lang w:val="en-US" w:eastAsia="zh-CN"/>
              </w:rPr>
              <w:t>总有机碳</w:t>
            </w:r>
          </w:p>
        </w:tc>
        <w:tc>
          <w:tcPr>
            <w:tcW w:w="680" w:type="pct"/>
            <w:shd w:val="clear" w:color="auto" w:fill="auto"/>
            <w:vAlign w:val="center"/>
          </w:tcPr>
          <w:p w14:paraId="6743852E">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kern w:val="2"/>
                <w:sz w:val="22"/>
                <w:szCs w:val="24"/>
                <w:lang w:val="en-US" w:eastAsia="zh-CN" w:bidi="ar-SA"/>
              </w:rPr>
              <w:t>6.2</w:t>
            </w:r>
          </w:p>
        </w:tc>
        <w:tc>
          <w:tcPr>
            <w:tcW w:w="723" w:type="pct"/>
            <w:shd w:val="clear" w:color="auto" w:fill="auto"/>
            <w:vAlign w:val="center"/>
          </w:tcPr>
          <w:p w14:paraId="1E642184">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kern w:val="2"/>
                <w:sz w:val="22"/>
                <w:szCs w:val="24"/>
                <w:lang w:val="en-US" w:eastAsia="zh-CN" w:bidi="ar-SA"/>
              </w:rPr>
              <w:t>6.4</w:t>
            </w:r>
          </w:p>
        </w:tc>
        <w:tc>
          <w:tcPr>
            <w:tcW w:w="748" w:type="pct"/>
            <w:shd w:val="clear" w:color="auto" w:fill="auto"/>
            <w:vAlign w:val="center"/>
          </w:tcPr>
          <w:p w14:paraId="213A3FB9">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kern w:val="2"/>
                <w:sz w:val="22"/>
                <w:szCs w:val="24"/>
                <w:lang w:val="en-US" w:eastAsia="zh-CN" w:bidi="ar-SA"/>
              </w:rPr>
              <w:t>8.2</w:t>
            </w:r>
          </w:p>
        </w:tc>
        <w:tc>
          <w:tcPr>
            <w:tcW w:w="754" w:type="pct"/>
            <w:shd w:val="clear" w:color="auto" w:fill="auto"/>
            <w:vAlign w:val="center"/>
          </w:tcPr>
          <w:p w14:paraId="626E35ED">
            <w:pPr>
              <w:jc w:val="center"/>
              <w:rPr>
                <w:rFonts w:hint="eastAsia"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lang w:val="en-US" w:eastAsia="zh-CN"/>
              </w:rPr>
              <w:t>40</w:t>
            </w:r>
          </w:p>
        </w:tc>
      </w:tr>
      <w:tr w14:paraId="41F50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 w:hRule="atLeast"/>
        </w:trPr>
        <w:tc>
          <w:tcPr>
            <w:tcW w:w="730" w:type="pct"/>
            <w:vMerge w:val="continue"/>
            <w:vAlign w:val="center"/>
          </w:tcPr>
          <w:p w14:paraId="3292D29A">
            <w:pPr>
              <w:jc w:val="center"/>
              <w:rPr>
                <w:rFonts w:ascii="Times New Roman" w:hAnsi="Times New Roman" w:eastAsia="宋体" w:cs="Times New Roman"/>
                <w:color w:val="auto"/>
                <w:sz w:val="22"/>
                <w:szCs w:val="24"/>
              </w:rPr>
            </w:pPr>
          </w:p>
        </w:tc>
        <w:tc>
          <w:tcPr>
            <w:tcW w:w="1363" w:type="pct"/>
            <w:shd w:val="clear" w:color="auto" w:fill="auto"/>
            <w:vAlign w:val="center"/>
          </w:tcPr>
          <w:p w14:paraId="0BD9C7FA">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lang w:val="en-US" w:eastAsia="zh-CN"/>
              </w:rPr>
              <w:t>急性毒性</w:t>
            </w:r>
          </w:p>
        </w:tc>
        <w:tc>
          <w:tcPr>
            <w:tcW w:w="680" w:type="pct"/>
            <w:shd w:val="clear" w:color="auto" w:fill="auto"/>
            <w:vAlign w:val="center"/>
          </w:tcPr>
          <w:p w14:paraId="771F4B5C">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kern w:val="2"/>
                <w:sz w:val="22"/>
                <w:szCs w:val="24"/>
                <w:lang w:val="en-US" w:eastAsia="zh-CN" w:bidi="ar-SA"/>
              </w:rPr>
              <w:t>0.043</w:t>
            </w:r>
          </w:p>
        </w:tc>
        <w:tc>
          <w:tcPr>
            <w:tcW w:w="723" w:type="pct"/>
            <w:shd w:val="clear" w:color="auto" w:fill="auto"/>
            <w:vAlign w:val="center"/>
          </w:tcPr>
          <w:p w14:paraId="6CC9ADE9">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kern w:val="2"/>
                <w:sz w:val="22"/>
                <w:szCs w:val="24"/>
                <w:lang w:val="en-US" w:eastAsia="zh-CN" w:bidi="ar-SA"/>
              </w:rPr>
              <w:t>0.044</w:t>
            </w:r>
          </w:p>
        </w:tc>
        <w:tc>
          <w:tcPr>
            <w:tcW w:w="748" w:type="pct"/>
            <w:shd w:val="clear" w:color="auto" w:fill="auto"/>
            <w:vAlign w:val="center"/>
          </w:tcPr>
          <w:p w14:paraId="2F859AC6">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kern w:val="2"/>
                <w:sz w:val="22"/>
                <w:szCs w:val="24"/>
                <w:lang w:val="en-US" w:eastAsia="zh-CN" w:bidi="ar-SA"/>
              </w:rPr>
              <w:t>0.042</w:t>
            </w:r>
          </w:p>
        </w:tc>
        <w:tc>
          <w:tcPr>
            <w:tcW w:w="754" w:type="pct"/>
            <w:shd w:val="clear" w:color="auto" w:fill="auto"/>
            <w:vAlign w:val="center"/>
          </w:tcPr>
          <w:p w14:paraId="2954362E">
            <w:pPr>
              <w:jc w:val="center"/>
              <w:rPr>
                <w:rFonts w:hint="eastAsia"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lang w:val="en-US" w:eastAsia="zh-CN"/>
              </w:rPr>
              <w:t>0.07</w:t>
            </w:r>
          </w:p>
        </w:tc>
      </w:tr>
      <w:tr w14:paraId="71A34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 w:hRule="atLeast"/>
        </w:trPr>
        <w:tc>
          <w:tcPr>
            <w:tcW w:w="730" w:type="pct"/>
            <w:vMerge w:val="restart"/>
            <w:shd w:val="clear" w:color="auto" w:fill="auto"/>
            <w:vAlign w:val="center"/>
          </w:tcPr>
          <w:p w14:paraId="7BFA1CCA">
            <w:pPr>
              <w:jc w:val="center"/>
              <w:rPr>
                <w:rFonts w:ascii="Times New Roman" w:hAnsi="Times New Roman" w:eastAsia="宋体" w:cs="Times New Roman"/>
                <w:color w:val="auto"/>
                <w:kern w:val="2"/>
                <w:sz w:val="22"/>
                <w:szCs w:val="24"/>
                <w:lang w:val="en-US" w:eastAsia="zh-CN" w:bidi="ar-SA"/>
              </w:rPr>
            </w:pPr>
            <w:r>
              <w:rPr>
                <w:rFonts w:ascii="Times New Roman" w:hAnsi="Times New Roman" w:eastAsia="宋体" w:cs="Times New Roman"/>
                <w:color w:val="auto"/>
                <w:sz w:val="22"/>
                <w:szCs w:val="24"/>
              </w:rPr>
              <w:t>检测点位</w:t>
            </w:r>
          </w:p>
        </w:tc>
        <w:tc>
          <w:tcPr>
            <w:tcW w:w="1363" w:type="pct"/>
            <w:vMerge w:val="restart"/>
            <w:shd w:val="clear" w:color="auto" w:fill="auto"/>
            <w:vAlign w:val="center"/>
          </w:tcPr>
          <w:p w14:paraId="6204FD1C">
            <w:pPr>
              <w:jc w:val="center"/>
              <w:rPr>
                <w:rFonts w:hint="eastAsia" w:ascii="Times New Roman" w:hAnsi="Times New Roman" w:eastAsia="宋体" w:cs="Times New Roman"/>
                <w:color w:val="auto"/>
                <w:kern w:val="2"/>
                <w:sz w:val="22"/>
                <w:szCs w:val="24"/>
                <w:lang w:val="en-US" w:eastAsia="zh-CN" w:bidi="ar-SA"/>
              </w:rPr>
            </w:pPr>
            <w:r>
              <w:rPr>
                <w:rFonts w:ascii="Times New Roman" w:hAnsi="Times New Roman" w:eastAsia="宋体" w:cs="Times New Roman"/>
                <w:color w:val="auto"/>
                <w:sz w:val="22"/>
                <w:szCs w:val="24"/>
              </w:rPr>
              <w:t>检测项目</w:t>
            </w:r>
          </w:p>
        </w:tc>
        <w:tc>
          <w:tcPr>
            <w:tcW w:w="2152" w:type="pct"/>
            <w:gridSpan w:val="3"/>
            <w:shd w:val="clear" w:color="auto" w:fill="auto"/>
            <w:vAlign w:val="center"/>
          </w:tcPr>
          <w:p w14:paraId="06677E0B">
            <w:pPr>
              <w:jc w:val="center"/>
              <w:rPr>
                <w:rFonts w:hint="eastAsia" w:ascii="Times New Roman" w:hAnsi="Times New Roman" w:eastAsia="宋体" w:cs="Times New Roman"/>
                <w:color w:val="auto"/>
                <w:sz w:val="22"/>
                <w:szCs w:val="24"/>
                <w:lang w:val="en-US" w:eastAsia="zh-CN"/>
              </w:rPr>
            </w:pPr>
            <w:r>
              <w:rPr>
                <w:rFonts w:ascii="Times New Roman" w:hAnsi="Times New Roman" w:eastAsia="宋体" w:cs="Times New Roman"/>
                <w:color w:val="auto"/>
                <w:sz w:val="22"/>
                <w:szCs w:val="24"/>
              </w:rPr>
              <w:t>检测结果</w:t>
            </w:r>
          </w:p>
        </w:tc>
        <w:tc>
          <w:tcPr>
            <w:tcW w:w="754" w:type="pct"/>
            <w:vMerge w:val="restart"/>
            <w:vAlign w:val="center"/>
          </w:tcPr>
          <w:p w14:paraId="4C7FD095">
            <w:pPr>
              <w:jc w:val="center"/>
              <w:rPr>
                <w:rFonts w:hint="eastAsia" w:ascii="Times New Roman" w:hAnsi="Times New Roman" w:eastAsia="宋体" w:cs="Times New Roman"/>
                <w:color w:val="auto"/>
                <w:sz w:val="22"/>
                <w:szCs w:val="24"/>
                <w:lang w:val="en-US" w:eastAsia="zh-CN"/>
              </w:rPr>
            </w:pPr>
            <w:r>
              <w:rPr>
                <w:rFonts w:ascii="Times New Roman" w:hAnsi="Times New Roman" w:eastAsia="宋体" w:cs="Times New Roman"/>
                <w:color w:val="auto"/>
                <w:sz w:val="22"/>
                <w:szCs w:val="24"/>
              </w:rPr>
              <w:t>参考标准值</w:t>
            </w:r>
          </w:p>
        </w:tc>
      </w:tr>
      <w:tr w14:paraId="743DE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 w:hRule="atLeast"/>
        </w:trPr>
        <w:tc>
          <w:tcPr>
            <w:tcW w:w="730" w:type="pct"/>
            <w:vMerge w:val="continue"/>
            <w:vAlign w:val="center"/>
          </w:tcPr>
          <w:p w14:paraId="7ACE4721">
            <w:pPr>
              <w:jc w:val="center"/>
              <w:rPr>
                <w:rFonts w:ascii="Times New Roman" w:hAnsi="Times New Roman" w:eastAsia="宋体" w:cs="Times New Roman"/>
                <w:color w:val="auto"/>
                <w:sz w:val="22"/>
                <w:szCs w:val="24"/>
              </w:rPr>
            </w:pPr>
          </w:p>
        </w:tc>
        <w:tc>
          <w:tcPr>
            <w:tcW w:w="1363" w:type="pct"/>
            <w:vMerge w:val="continue"/>
            <w:shd w:val="clear" w:color="auto" w:fill="auto"/>
            <w:vAlign w:val="center"/>
          </w:tcPr>
          <w:p w14:paraId="49CB0A2A">
            <w:pPr>
              <w:jc w:val="center"/>
              <w:rPr>
                <w:rFonts w:ascii="Times New Roman" w:hAnsi="Times New Roman" w:eastAsia="宋体" w:cs="Times New Roman"/>
                <w:color w:val="auto"/>
                <w:sz w:val="22"/>
                <w:szCs w:val="24"/>
              </w:rPr>
            </w:pPr>
          </w:p>
        </w:tc>
        <w:tc>
          <w:tcPr>
            <w:tcW w:w="2152" w:type="pct"/>
            <w:gridSpan w:val="3"/>
            <w:shd w:val="clear" w:color="auto" w:fill="auto"/>
            <w:vAlign w:val="center"/>
          </w:tcPr>
          <w:p w14:paraId="17AE7BBA">
            <w:pPr>
              <w:jc w:val="center"/>
              <w:rPr>
                <w:rFonts w:hint="eastAsia"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2024.5.7</w:t>
            </w:r>
          </w:p>
        </w:tc>
        <w:tc>
          <w:tcPr>
            <w:tcW w:w="754" w:type="pct"/>
            <w:vMerge w:val="continue"/>
            <w:vAlign w:val="center"/>
          </w:tcPr>
          <w:p w14:paraId="7FE0BA8E">
            <w:pPr>
              <w:jc w:val="center"/>
              <w:rPr>
                <w:rFonts w:hint="eastAsia" w:ascii="Times New Roman" w:hAnsi="Times New Roman" w:eastAsia="宋体" w:cs="Times New Roman"/>
                <w:color w:val="auto"/>
                <w:sz w:val="22"/>
                <w:szCs w:val="24"/>
                <w:lang w:val="en-US" w:eastAsia="zh-CN"/>
              </w:rPr>
            </w:pPr>
          </w:p>
        </w:tc>
      </w:tr>
      <w:tr w14:paraId="2817A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 w:hRule="atLeast"/>
        </w:trPr>
        <w:tc>
          <w:tcPr>
            <w:tcW w:w="730" w:type="pct"/>
            <w:vMerge w:val="continue"/>
            <w:vAlign w:val="center"/>
          </w:tcPr>
          <w:p w14:paraId="55E8630C">
            <w:pPr>
              <w:jc w:val="center"/>
              <w:rPr>
                <w:rFonts w:ascii="Times New Roman" w:hAnsi="Times New Roman" w:eastAsia="宋体" w:cs="Times New Roman"/>
                <w:color w:val="auto"/>
                <w:sz w:val="22"/>
                <w:szCs w:val="24"/>
              </w:rPr>
            </w:pPr>
          </w:p>
        </w:tc>
        <w:tc>
          <w:tcPr>
            <w:tcW w:w="1363" w:type="pct"/>
            <w:vMerge w:val="continue"/>
            <w:shd w:val="clear" w:color="auto" w:fill="auto"/>
            <w:vAlign w:val="center"/>
          </w:tcPr>
          <w:p w14:paraId="72A989D6">
            <w:pPr>
              <w:jc w:val="center"/>
              <w:rPr>
                <w:rFonts w:ascii="Times New Roman" w:hAnsi="Times New Roman" w:eastAsia="宋体" w:cs="Times New Roman"/>
                <w:color w:val="auto"/>
                <w:sz w:val="22"/>
                <w:szCs w:val="24"/>
              </w:rPr>
            </w:pPr>
          </w:p>
        </w:tc>
        <w:tc>
          <w:tcPr>
            <w:tcW w:w="680" w:type="pct"/>
            <w:shd w:val="clear" w:color="auto" w:fill="auto"/>
            <w:vAlign w:val="center"/>
          </w:tcPr>
          <w:p w14:paraId="520E5E96">
            <w:pPr>
              <w:jc w:val="center"/>
              <w:rPr>
                <w:rFonts w:hint="eastAsia" w:ascii="Times New Roman" w:hAnsi="Times New Roman" w:eastAsia="宋体" w:cs="Times New Roman"/>
                <w:color w:val="auto"/>
                <w:kern w:val="2"/>
                <w:sz w:val="22"/>
                <w:szCs w:val="24"/>
                <w:lang w:val="en-US" w:eastAsia="zh-CN" w:bidi="ar-SA"/>
              </w:rPr>
            </w:pPr>
            <w:r>
              <w:rPr>
                <w:rFonts w:ascii="Times New Roman" w:hAnsi="Times New Roman" w:eastAsia="宋体" w:cs="Times New Roman"/>
                <w:color w:val="auto"/>
                <w:sz w:val="22"/>
                <w:szCs w:val="24"/>
              </w:rPr>
              <w:t>第一次</w:t>
            </w:r>
          </w:p>
        </w:tc>
        <w:tc>
          <w:tcPr>
            <w:tcW w:w="723" w:type="pct"/>
            <w:shd w:val="clear" w:color="auto" w:fill="auto"/>
            <w:vAlign w:val="center"/>
          </w:tcPr>
          <w:p w14:paraId="6AD09AED">
            <w:pPr>
              <w:jc w:val="center"/>
              <w:rPr>
                <w:rFonts w:hint="eastAsia" w:ascii="Times New Roman" w:hAnsi="Times New Roman" w:eastAsia="宋体" w:cs="Times New Roman"/>
                <w:color w:val="auto"/>
                <w:kern w:val="2"/>
                <w:sz w:val="22"/>
                <w:szCs w:val="24"/>
                <w:lang w:val="en-US" w:eastAsia="zh-CN" w:bidi="ar-SA"/>
              </w:rPr>
            </w:pPr>
            <w:r>
              <w:rPr>
                <w:rFonts w:ascii="Times New Roman" w:hAnsi="Times New Roman" w:eastAsia="宋体" w:cs="Times New Roman"/>
                <w:color w:val="auto"/>
                <w:sz w:val="22"/>
                <w:szCs w:val="24"/>
              </w:rPr>
              <w:t>第二次</w:t>
            </w:r>
          </w:p>
        </w:tc>
        <w:tc>
          <w:tcPr>
            <w:tcW w:w="748" w:type="pct"/>
            <w:shd w:val="clear" w:color="auto" w:fill="auto"/>
            <w:vAlign w:val="center"/>
          </w:tcPr>
          <w:p w14:paraId="42E9D277">
            <w:pPr>
              <w:jc w:val="center"/>
              <w:rPr>
                <w:rFonts w:hint="eastAsia" w:ascii="Times New Roman" w:hAnsi="Times New Roman" w:eastAsia="宋体" w:cs="Times New Roman"/>
                <w:color w:val="auto"/>
                <w:kern w:val="2"/>
                <w:sz w:val="22"/>
                <w:szCs w:val="24"/>
                <w:lang w:val="en-US" w:eastAsia="zh-CN" w:bidi="ar-SA"/>
              </w:rPr>
            </w:pPr>
            <w:r>
              <w:rPr>
                <w:rFonts w:ascii="Times New Roman" w:hAnsi="Times New Roman" w:eastAsia="宋体" w:cs="Times New Roman"/>
                <w:color w:val="auto"/>
                <w:sz w:val="22"/>
                <w:szCs w:val="24"/>
              </w:rPr>
              <w:t>第三次</w:t>
            </w:r>
          </w:p>
        </w:tc>
        <w:tc>
          <w:tcPr>
            <w:tcW w:w="754" w:type="pct"/>
            <w:vMerge w:val="continue"/>
            <w:vAlign w:val="center"/>
          </w:tcPr>
          <w:p w14:paraId="7531F6D3">
            <w:pPr>
              <w:jc w:val="center"/>
              <w:rPr>
                <w:rFonts w:hint="eastAsia" w:ascii="Times New Roman" w:hAnsi="Times New Roman" w:eastAsia="宋体" w:cs="Times New Roman"/>
                <w:color w:val="auto"/>
                <w:sz w:val="22"/>
                <w:szCs w:val="24"/>
                <w:lang w:val="en-US" w:eastAsia="zh-CN"/>
              </w:rPr>
            </w:pPr>
          </w:p>
        </w:tc>
      </w:tr>
      <w:tr w14:paraId="09994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 w:hRule="atLeast"/>
        </w:trPr>
        <w:tc>
          <w:tcPr>
            <w:tcW w:w="730" w:type="pct"/>
            <w:vMerge w:val="restart"/>
            <w:shd w:val="clear" w:color="auto" w:fill="auto"/>
            <w:vAlign w:val="center"/>
          </w:tcPr>
          <w:p w14:paraId="1EF99B1F">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废水总排口</w:t>
            </w:r>
          </w:p>
          <w:p w14:paraId="5C3E5478">
            <w:pPr>
              <w:jc w:val="center"/>
              <w:rPr>
                <w:rFonts w:ascii="Times New Roman" w:hAnsi="Times New Roman" w:eastAsia="宋体" w:cs="Times New Roman"/>
                <w:color w:val="auto"/>
                <w:kern w:val="2"/>
                <w:sz w:val="22"/>
                <w:szCs w:val="24"/>
                <w:lang w:val="en-US" w:eastAsia="zh-CN" w:bidi="ar-SA"/>
              </w:rPr>
            </w:pPr>
            <w:r>
              <w:rPr>
                <w:rFonts w:ascii="Times New Roman" w:hAnsi="Times New Roman" w:eastAsia="宋体" w:cs="Times New Roman"/>
                <w:color w:val="auto"/>
                <w:sz w:val="22"/>
                <w:szCs w:val="24"/>
              </w:rPr>
              <w:t>(DW001)</w:t>
            </w:r>
          </w:p>
        </w:tc>
        <w:tc>
          <w:tcPr>
            <w:tcW w:w="1363" w:type="pct"/>
            <w:shd w:val="clear" w:color="auto" w:fill="auto"/>
            <w:vAlign w:val="center"/>
          </w:tcPr>
          <w:p w14:paraId="5E8BB2F2">
            <w:pPr>
              <w:jc w:val="center"/>
              <w:rPr>
                <w:rFonts w:hint="default" w:ascii="Times New Roman" w:hAnsi="Times New Roman" w:eastAsia="宋体" w:cs="Times New Roman"/>
                <w:color w:val="auto"/>
                <w:kern w:val="2"/>
                <w:sz w:val="22"/>
                <w:szCs w:val="24"/>
                <w:lang w:val="en-US" w:eastAsia="zh-CN" w:bidi="ar-SA"/>
              </w:rPr>
            </w:pPr>
            <w:r>
              <w:rPr>
                <w:rFonts w:ascii="Times New Roman" w:hAnsi="Times New Roman" w:eastAsia="宋体" w:cs="Times New Roman"/>
                <w:color w:val="auto"/>
                <w:sz w:val="22"/>
                <w:szCs w:val="24"/>
              </w:rPr>
              <w:t>pH值(无量纲)</w:t>
            </w:r>
          </w:p>
        </w:tc>
        <w:tc>
          <w:tcPr>
            <w:tcW w:w="680" w:type="pct"/>
            <w:shd w:val="clear" w:color="auto" w:fill="auto"/>
            <w:vAlign w:val="center"/>
          </w:tcPr>
          <w:p w14:paraId="3D26674A">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kern w:val="2"/>
                <w:sz w:val="22"/>
                <w:szCs w:val="24"/>
                <w:lang w:val="en-US" w:eastAsia="zh-CN" w:bidi="ar-SA"/>
              </w:rPr>
              <w:t>7.0</w:t>
            </w:r>
          </w:p>
        </w:tc>
        <w:tc>
          <w:tcPr>
            <w:tcW w:w="723" w:type="pct"/>
            <w:shd w:val="clear" w:color="auto" w:fill="auto"/>
            <w:vAlign w:val="center"/>
          </w:tcPr>
          <w:p w14:paraId="0C2FDE34">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kern w:val="2"/>
                <w:sz w:val="22"/>
                <w:szCs w:val="24"/>
                <w:lang w:val="en-US" w:eastAsia="zh-CN" w:bidi="ar-SA"/>
              </w:rPr>
              <w:t>6.9</w:t>
            </w:r>
          </w:p>
        </w:tc>
        <w:tc>
          <w:tcPr>
            <w:tcW w:w="748" w:type="pct"/>
            <w:shd w:val="clear" w:color="auto" w:fill="auto"/>
            <w:vAlign w:val="center"/>
          </w:tcPr>
          <w:p w14:paraId="64A273D2">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kern w:val="2"/>
                <w:sz w:val="22"/>
                <w:szCs w:val="24"/>
                <w:lang w:val="en-US" w:eastAsia="zh-CN" w:bidi="ar-SA"/>
              </w:rPr>
              <w:t>7.2</w:t>
            </w:r>
          </w:p>
        </w:tc>
        <w:tc>
          <w:tcPr>
            <w:tcW w:w="754" w:type="pct"/>
            <w:shd w:val="clear" w:color="auto" w:fill="auto"/>
            <w:vAlign w:val="center"/>
          </w:tcPr>
          <w:p w14:paraId="74DB475C">
            <w:pPr>
              <w:jc w:val="center"/>
              <w:rPr>
                <w:rFonts w:hint="eastAsia"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lang w:val="en-US" w:eastAsia="zh-CN"/>
              </w:rPr>
              <w:t>6-9</w:t>
            </w:r>
          </w:p>
        </w:tc>
      </w:tr>
      <w:tr w14:paraId="18E40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 w:hRule="atLeast"/>
        </w:trPr>
        <w:tc>
          <w:tcPr>
            <w:tcW w:w="730" w:type="pct"/>
            <w:vMerge w:val="continue"/>
            <w:vAlign w:val="center"/>
          </w:tcPr>
          <w:p w14:paraId="78FAEA36">
            <w:pPr>
              <w:jc w:val="center"/>
              <w:rPr>
                <w:rFonts w:ascii="Times New Roman" w:hAnsi="Times New Roman" w:eastAsia="宋体" w:cs="Times New Roman"/>
                <w:color w:val="auto"/>
                <w:sz w:val="22"/>
                <w:szCs w:val="24"/>
              </w:rPr>
            </w:pPr>
          </w:p>
        </w:tc>
        <w:tc>
          <w:tcPr>
            <w:tcW w:w="1363" w:type="pct"/>
            <w:shd w:val="clear" w:color="auto" w:fill="auto"/>
            <w:vAlign w:val="center"/>
          </w:tcPr>
          <w:p w14:paraId="7E433FAB">
            <w:pPr>
              <w:jc w:val="center"/>
              <w:rPr>
                <w:rFonts w:hint="eastAsia" w:ascii="Times New Roman" w:hAnsi="Times New Roman" w:eastAsia="宋体" w:cs="Times New Roman"/>
                <w:color w:val="auto"/>
                <w:kern w:val="2"/>
                <w:sz w:val="22"/>
                <w:szCs w:val="24"/>
                <w:lang w:val="en-US" w:eastAsia="zh-CN" w:bidi="ar-SA"/>
              </w:rPr>
            </w:pPr>
            <w:r>
              <w:rPr>
                <w:rFonts w:ascii="Times New Roman" w:hAnsi="Times New Roman" w:eastAsia="宋体" w:cs="Times New Roman"/>
                <w:color w:val="auto"/>
                <w:sz w:val="22"/>
                <w:szCs w:val="24"/>
              </w:rPr>
              <w:t>化学需氧量</w:t>
            </w:r>
          </w:p>
        </w:tc>
        <w:tc>
          <w:tcPr>
            <w:tcW w:w="680" w:type="pct"/>
            <w:shd w:val="clear" w:color="auto" w:fill="auto"/>
            <w:vAlign w:val="center"/>
          </w:tcPr>
          <w:p w14:paraId="0EBE7D29">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kern w:val="2"/>
                <w:sz w:val="22"/>
                <w:szCs w:val="24"/>
                <w:lang w:val="en-US" w:eastAsia="zh-CN" w:bidi="ar-SA"/>
              </w:rPr>
              <w:t>418</w:t>
            </w:r>
          </w:p>
        </w:tc>
        <w:tc>
          <w:tcPr>
            <w:tcW w:w="723" w:type="pct"/>
            <w:shd w:val="clear" w:color="auto" w:fill="auto"/>
            <w:vAlign w:val="center"/>
          </w:tcPr>
          <w:p w14:paraId="319200FC">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kern w:val="2"/>
                <w:sz w:val="22"/>
                <w:szCs w:val="24"/>
                <w:lang w:val="en-US" w:eastAsia="zh-CN" w:bidi="ar-SA"/>
              </w:rPr>
              <w:t>421</w:t>
            </w:r>
          </w:p>
        </w:tc>
        <w:tc>
          <w:tcPr>
            <w:tcW w:w="748" w:type="pct"/>
            <w:shd w:val="clear" w:color="auto" w:fill="auto"/>
            <w:vAlign w:val="center"/>
          </w:tcPr>
          <w:p w14:paraId="1DE47EF0">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kern w:val="2"/>
                <w:sz w:val="22"/>
                <w:szCs w:val="24"/>
                <w:lang w:val="en-US" w:eastAsia="zh-CN" w:bidi="ar-SA"/>
              </w:rPr>
              <w:t>427</w:t>
            </w:r>
          </w:p>
        </w:tc>
        <w:tc>
          <w:tcPr>
            <w:tcW w:w="754" w:type="pct"/>
            <w:shd w:val="clear" w:color="auto" w:fill="auto"/>
            <w:vAlign w:val="center"/>
          </w:tcPr>
          <w:p w14:paraId="420FE051">
            <w:pPr>
              <w:jc w:val="center"/>
              <w:rPr>
                <w:rFonts w:hint="eastAsia"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lang w:val="en-US" w:eastAsia="zh-CN"/>
              </w:rPr>
              <w:t>450</w:t>
            </w:r>
          </w:p>
        </w:tc>
      </w:tr>
      <w:tr w14:paraId="3E01F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 w:hRule="atLeast"/>
        </w:trPr>
        <w:tc>
          <w:tcPr>
            <w:tcW w:w="730" w:type="pct"/>
            <w:vMerge w:val="continue"/>
            <w:vAlign w:val="center"/>
          </w:tcPr>
          <w:p w14:paraId="787065E1">
            <w:pPr>
              <w:jc w:val="center"/>
              <w:rPr>
                <w:rFonts w:ascii="Times New Roman" w:hAnsi="Times New Roman" w:eastAsia="宋体" w:cs="Times New Roman"/>
                <w:color w:val="auto"/>
                <w:sz w:val="22"/>
                <w:szCs w:val="24"/>
              </w:rPr>
            </w:pPr>
          </w:p>
        </w:tc>
        <w:tc>
          <w:tcPr>
            <w:tcW w:w="1363" w:type="pct"/>
            <w:shd w:val="clear" w:color="auto" w:fill="auto"/>
            <w:vAlign w:val="center"/>
          </w:tcPr>
          <w:p w14:paraId="2BC66D25">
            <w:pPr>
              <w:jc w:val="center"/>
              <w:rPr>
                <w:rFonts w:hint="eastAsia" w:ascii="Times New Roman" w:hAnsi="Times New Roman" w:eastAsia="宋体" w:cs="Times New Roman"/>
                <w:color w:val="auto"/>
                <w:kern w:val="2"/>
                <w:sz w:val="22"/>
                <w:szCs w:val="24"/>
                <w:lang w:val="en-US" w:eastAsia="zh-CN" w:bidi="ar-SA"/>
              </w:rPr>
            </w:pPr>
            <w:r>
              <w:rPr>
                <w:rFonts w:ascii="Times New Roman" w:hAnsi="Times New Roman" w:eastAsia="宋体" w:cs="Times New Roman"/>
                <w:color w:val="auto"/>
                <w:sz w:val="22"/>
                <w:szCs w:val="24"/>
              </w:rPr>
              <w:t>氨氮</w:t>
            </w:r>
          </w:p>
        </w:tc>
        <w:tc>
          <w:tcPr>
            <w:tcW w:w="680" w:type="pct"/>
            <w:shd w:val="clear" w:color="auto" w:fill="auto"/>
            <w:vAlign w:val="center"/>
          </w:tcPr>
          <w:p w14:paraId="11649571">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kern w:val="2"/>
                <w:sz w:val="22"/>
                <w:szCs w:val="24"/>
                <w:lang w:val="en-US" w:eastAsia="zh-CN" w:bidi="ar-SA"/>
              </w:rPr>
              <w:t>3.34</w:t>
            </w:r>
          </w:p>
        </w:tc>
        <w:tc>
          <w:tcPr>
            <w:tcW w:w="723" w:type="pct"/>
            <w:shd w:val="clear" w:color="auto" w:fill="auto"/>
            <w:vAlign w:val="center"/>
          </w:tcPr>
          <w:p w14:paraId="78393DBB">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kern w:val="2"/>
                <w:sz w:val="22"/>
                <w:szCs w:val="24"/>
                <w:lang w:val="en-US" w:eastAsia="zh-CN" w:bidi="ar-SA"/>
              </w:rPr>
              <w:t>3.28</w:t>
            </w:r>
          </w:p>
        </w:tc>
        <w:tc>
          <w:tcPr>
            <w:tcW w:w="748" w:type="pct"/>
            <w:shd w:val="clear" w:color="auto" w:fill="auto"/>
            <w:vAlign w:val="center"/>
          </w:tcPr>
          <w:p w14:paraId="452B9B98">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kern w:val="2"/>
                <w:sz w:val="22"/>
                <w:szCs w:val="24"/>
                <w:lang w:val="en-US" w:eastAsia="zh-CN" w:bidi="ar-SA"/>
              </w:rPr>
              <w:t>3.60</w:t>
            </w:r>
          </w:p>
        </w:tc>
        <w:tc>
          <w:tcPr>
            <w:tcW w:w="754" w:type="pct"/>
            <w:shd w:val="clear" w:color="auto" w:fill="auto"/>
            <w:vAlign w:val="center"/>
          </w:tcPr>
          <w:p w14:paraId="6D6F3ED6">
            <w:pPr>
              <w:jc w:val="center"/>
              <w:rPr>
                <w:rFonts w:hint="eastAsia"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lang w:val="en-US" w:eastAsia="zh-CN"/>
              </w:rPr>
              <w:t>35</w:t>
            </w:r>
          </w:p>
        </w:tc>
      </w:tr>
      <w:tr w14:paraId="38684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 w:hRule="atLeast"/>
        </w:trPr>
        <w:tc>
          <w:tcPr>
            <w:tcW w:w="730" w:type="pct"/>
            <w:vMerge w:val="continue"/>
            <w:vAlign w:val="center"/>
          </w:tcPr>
          <w:p w14:paraId="73EEC1F9">
            <w:pPr>
              <w:jc w:val="center"/>
              <w:rPr>
                <w:rFonts w:ascii="Times New Roman" w:hAnsi="Times New Roman" w:eastAsia="宋体" w:cs="Times New Roman"/>
                <w:color w:val="auto"/>
                <w:sz w:val="22"/>
                <w:szCs w:val="24"/>
              </w:rPr>
            </w:pPr>
          </w:p>
        </w:tc>
        <w:tc>
          <w:tcPr>
            <w:tcW w:w="1363" w:type="pct"/>
            <w:shd w:val="clear" w:color="auto" w:fill="auto"/>
            <w:vAlign w:val="center"/>
          </w:tcPr>
          <w:p w14:paraId="75EF4C64">
            <w:pPr>
              <w:jc w:val="center"/>
              <w:rPr>
                <w:rFonts w:hint="default" w:ascii="Times New Roman" w:hAnsi="Times New Roman" w:eastAsia="宋体" w:cs="Times New Roman"/>
                <w:color w:val="auto"/>
                <w:kern w:val="2"/>
                <w:sz w:val="22"/>
                <w:szCs w:val="24"/>
                <w:lang w:val="en-US" w:eastAsia="zh-CN" w:bidi="ar-SA"/>
              </w:rPr>
            </w:pPr>
            <w:r>
              <w:rPr>
                <w:rFonts w:ascii="Times New Roman" w:hAnsi="Times New Roman" w:eastAsia="宋体" w:cs="Times New Roman"/>
                <w:color w:val="auto"/>
                <w:sz w:val="22"/>
                <w:szCs w:val="24"/>
              </w:rPr>
              <w:t>总磷</w:t>
            </w:r>
          </w:p>
        </w:tc>
        <w:tc>
          <w:tcPr>
            <w:tcW w:w="680" w:type="pct"/>
            <w:shd w:val="clear" w:color="auto" w:fill="auto"/>
            <w:vAlign w:val="center"/>
          </w:tcPr>
          <w:p w14:paraId="6C42487D">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kern w:val="2"/>
                <w:sz w:val="22"/>
                <w:szCs w:val="24"/>
                <w:lang w:val="en-US" w:eastAsia="zh-CN" w:bidi="ar-SA"/>
              </w:rPr>
              <w:t>0.55</w:t>
            </w:r>
          </w:p>
        </w:tc>
        <w:tc>
          <w:tcPr>
            <w:tcW w:w="723" w:type="pct"/>
            <w:shd w:val="clear" w:color="auto" w:fill="auto"/>
            <w:vAlign w:val="center"/>
          </w:tcPr>
          <w:p w14:paraId="20334E96">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kern w:val="2"/>
                <w:sz w:val="22"/>
                <w:szCs w:val="24"/>
                <w:lang w:val="en-US" w:eastAsia="zh-CN" w:bidi="ar-SA"/>
              </w:rPr>
              <w:t>0.54</w:t>
            </w:r>
          </w:p>
        </w:tc>
        <w:tc>
          <w:tcPr>
            <w:tcW w:w="748" w:type="pct"/>
            <w:shd w:val="clear" w:color="auto" w:fill="auto"/>
            <w:vAlign w:val="center"/>
          </w:tcPr>
          <w:p w14:paraId="05E17A33">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kern w:val="2"/>
                <w:sz w:val="22"/>
                <w:szCs w:val="24"/>
                <w:lang w:val="en-US" w:eastAsia="zh-CN" w:bidi="ar-SA"/>
              </w:rPr>
              <w:t>0.56</w:t>
            </w:r>
          </w:p>
        </w:tc>
        <w:tc>
          <w:tcPr>
            <w:tcW w:w="754" w:type="pct"/>
            <w:shd w:val="clear" w:color="auto" w:fill="auto"/>
            <w:vAlign w:val="center"/>
          </w:tcPr>
          <w:p w14:paraId="7F6514A2">
            <w:pPr>
              <w:jc w:val="center"/>
              <w:rPr>
                <w:rFonts w:hint="eastAsia"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lang w:val="en-US" w:eastAsia="zh-CN"/>
              </w:rPr>
              <w:t>4.0</w:t>
            </w:r>
          </w:p>
        </w:tc>
      </w:tr>
      <w:tr w14:paraId="084A6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 w:hRule="atLeast"/>
        </w:trPr>
        <w:tc>
          <w:tcPr>
            <w:tcW w:w="730" w:type="pct"/>
            <w:vMerge w:val="continue"/>
            <w:vAlign w:val="center"/>
          </w:tcPr>
          <w:p w14:paraId="688AD5B0">
            <w:pPr>
              <w:jc w:val="center"/>
              <w:rPr>
                <w:rFonts w:ascii="Times New Roman" w:hAnsi="Times New Roman" w:eastAsia="宋体" w:cs="Times New Roman"/>
                <w:color w:val="auto"/>
                <w:sz w:val="22"/>
                <w:szCs w:val="24"/>
              </w:rPr>
            </w:pPr>
          </w:p>
        </w:tc>
        <w:tc>
          <w:tcPr>
            <w:tcW w:w="1363" w:type="pct"/>
            <w:shd w:val="clear" w:color="auto" w:fill="auto"/>
            <w:vAlign w:val="center"/>
          </w:tcPr>
          <w:p w14:paraId="09059BB4">
            <w:pPr>
              <w:jc w:val="center"/>
              <w:rPr>
                <w:rFonts w:hint="eastAsia" w:ascii="Times New Roman" w:hAnsi="Times New Roman" w:eastAsia="宋体" w:cs="Times New Roman"/>
                <w:color w:val="auto"/>
                <w:kern w:val="2"/>
                <w:sz w:val="22"/>
                <w:szCs w:val="24"/>
                <w:lang w:val="en-US" w:eastAsia="zh-CN" w:bidi="ar-SA"/>
              </w:rPr>
            </w:pPr>
            <w:r>
              <w:rPr>
                <w:rFonts w:ascii="Times New Roman" w:hAnsi="Times New Roman" w:eastAsia="宋体" w:cs="Times New Roman"/>
                <w:color w:val="auto"/>
                <w:sz w:val="22"/>
                <w:szCs w:val="24"/>
              </w:rPr>
              <w:t>总氮</w:t>
            </w:r>
          </w:p>
        </w:tc>
        <w:tc>
          <w:tcPr>
            <w:tcW w:w="680" w:type="pct"/>
            <w:shd w:val="clear" w:color="auto" w:fill="auto"/>
            <w:vAlign w:val="center"/>
          </w:tcPr>
          <w:p w14:paraId="06C91988">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kern w:val="2"/>
                <w:sz w:val="22"/>
                <w:szCs w:val="24"/>
                <w:lang w:val="en-US" w:eastAsia="zh-CN" w:bidi="ar-SA"/>
              </w:rPr>
              <w:t>27.1</w:t>
            </w:r>
          </w:p>
        </w:tc>
        <w:tc>
          <w:tcPr>
            <w:tcW w:w="723" w:type="pct"/>
            <w:shd w:val="clear" w:color="auto" w:fill="auto"/>
            <w:vAlign w:val="center"/>
          </w:tcPr>
          <w:p w14:paraId="04EF04F2">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kern w:val="2"/>
                <w:sz w:val="22"/>
                <w:szCs w:val="24"/>
                <w:lang w:val="en-US" w:eastAsia="zh-CN" w:bidi="ar-SA"/>
              </w:rPr>
              <w:t>25.0</w:t>
            </w:r>
          </w:p>
        </w:tc>
        <w:tc>
          <w:tcPr>
            <w:tcW w:w="748" w:type="pct"/>
            <w:shd w:val="clear" w:color="auto" w:fill="auto"/>
            <w:vAlign w:val="center"/>
          </w:tcPr>
          <w:p w14:paraId="71C54FA1">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kern w:val="2"/>
                <w:sz w:val="22"/>
                <w:szCs w:val="24"/>
                <w:lang w:val="en-US" w:eastAsia="zh-CN" w:bidi="ar-SA"/>
              </w:rPr>
              <w:t>26.4</w:t>
            </w:r>
          </w:p>
        </w:tc>
        <w:tc>
          <w:tcPr>
            <w:tcW w:w="754" w:type="pct"/>
            <w:shd w:val="clear" w:color="auto" w:fill="auto"/>
            <w:vAlign w:val="center"/>
          </w:tcPr>
          <w:p w14:paraId="1BE9CD0E">
            <w:pPr>
              <w:jc w:val="center"/>
              <w:rPr>
                <w:rFonts w:hint="eastAsia"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lang w:val="en-US" w:eastAsia="zh-CN"/>
              </w:rPr>
              <w:t>40</w:t>
            </w:r>
          </w:p>
        </w:tc>
      </w:tr>
      <w:tr w14:paraId="46BA6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 w:hRule="atLeast"/>
        </w:trPr>
        <w:tc>
          <w:tcPr>
            <w:tcW w:w="5000" w:type="pct"/>
            <w:gridSpan w:val="6"/>
            <w:vAlign w:val="center"/>
          </w:tcPr>
          <w:p w14:paraId="79798A45">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备注：标准值参考《</w:t>
            </w:r>
            <w:r>
              <w:rPr>
                <w:rFonts w:hint="eastAsia" w:ascii="Times New Roman" w:hAnsi="Times New Roman" w:eastAsia="宋体" w:cs="Times New Roman"/>
                <w:color w:val="auto"/>
                <w:sz w:val="22"/>
                <w:szCs w:val="24"/>
                <w:lang w:val="en-US" w:eastAsia="zh-CN"/>
              </w:rPr>
              <w:t>湖南龙腾生物科技有限公司</w:t>
            </w:r>
            <w:r>
              <w:rPr>
                <w:rFonts w:ascii="Times New Roman" w:hAnsi="Times New Roman" w:eastAsia="宋体" w:cs="Times New Roman"/>
                <w:color w:val="auto"/>
                <w:sz w:val="22"/>
                <w:szCs w:val="24"/>
              </w:rPr>
              <w:t>排污许可证》废水污染物排放许可限值。</w:t>
            </w:r>
          </w:p>
        </w:tc>
      </w:tr>
    </w:tbl>
    <w:p w14:paraId="176995E8">
      <w:pPr>
        <w:pStyle w:val="5"/>
        <w:bidi w:val="0"/>
      </w:pPr>
      <w:r>
        <w:t>3.1.</w:t>
      </w:r>
      <w:r>
        <w:rPr>
          <w:rFonts w:hint="eastAsia"/>
        </w:rPr>
        <w:t>11</w:t>
      </w:r>
      <w:r>
        <w:t>.3</w:t>
      </w:r>
      <w:r>
        <w:rPr>
          <w:rFonts w:hint="eastAsia"/>
        </w:rPr>
        <w:t>固废</w:t>
      </w:r>
    </w:p>
    <w:p w14:paraId="48A89B14">
      <w:pPr>
        <w:spacing w:line="360" w:lineRule="auto"/>
        <w:ind w:firstLine="480" w:firstLineChars="200"/>
        <w:rPr>
          <w:rFonts w:ascii="Times New Roman" w:hAnsi="Times New Roman" w:eastAsia="宋体" w:cs="Times New Roman"/>
          <w:color w:val="auto"/>
          <w:sz w:val="24"/>
          <w:szCs w:val="24"/>
          <w:highlight w:val="none"/>
          <w:u w:val="none"/>
        </w:rPr>
      </w:pPr>
      <w:r>
        <w:rPr>
          <w:rFonts w:ascii="Times New Roman" w:hAnsi="Times New Roman" w:eastAsia="宋体" w:cs="Times New Roman"/>
          <w:color w:val="auto"/>
          <w:sz w:val="24"/>
          <w:szCs w:val="24"/>
          <w:highlight w:val="none"/>
          <w:u w:val="none"/>
        </w:rPr>
        <w:t>固废产生及治理措施见表</w:t>
      </w:r>
      <w:r>
        <w:rPr>
          <w:rFonts w:hint="eastAsia" w:ascii="Times New Roman" w:hAnsi="Times New Roman" w:eastAsia="宋体" w:cs="Times New Roman"/>
          <w:color w:val="auto"/>
          <w:sz w:val="24"/>
          <w:szCs w:val="24"/>
          <w:highlight w:val="none"/>
          <w:u w:val="none"/>
        </w:rPr>
        <w:t>3.1.11-10</w:t>
      </w:r>
      <w:r>
        <w:rPr>
          <w:rFonts w:ascii="Times New Roman" w:hAnsi="Times New Roman" w:eastAsia="宋体" w:cs="Times New Roman"/>
          <w:color w:val="auto"/>
          <w:sz w:val="24"/>
          <w:szCs w:val="24"/>
          <w:highlight w:val="none"/>
          <w:u w:val="none"/>
        </w:rPr>
        <w:t>。</w:t>
      </w:r>
    </w:p>
    <w:p w14:paraId="07523825">
      <w:pPr>
        <w:pStyle w:val="6"/>
        <w:bidi w:val="0"/>
      </w:pPr>
      <w:r>
        <w:t>表</w:t>
      </w:r>
      <w:r>
        <w:rPr>
          <w:rFonts w:hint="eastAsia"/>
        </w:rPr>
        <w:t>3.1.11-</w:t>
      </w:r>
      <w:r>
        <w:rPr>
          <w:rFonts w:hint="eastAsia"/>
          <w:lang w:val="en-US" w:eastAsia="zh-CN"/>
        </w:rPr>
        <w:t>7</w:t>
      </w:r>
      <w:r>
        <w:t xml:space="preserve">  </w:t>
      </w:r>
      <w:r>
        <w:rPr>
          <w:rFonts w:hint="eastAsia"/>
        </w:rPr>
        <w:t xml:space="preserve"> </w:t>
      </w:r>
      <w:r>
        <w:t xml:space="preserve"> 固体废弃物的产生及处理措施</w:t>
      </w:r>
    </w:p>
    <w:tbl>
      <w:tblPr>
        <w:tblStyle w:val="41"/>
        <w:tblW w:w="0" w:type="auto"/>
        <w:tblInd w:w="0" w:type="dxa"/>
        <w:tblLayout w:type="autofit"/>
        <w:tblCellMar>
          <w:top w:w="0" w:type="dxa"/>
          <w:left w:w="108" w:type="dxa"/>
          <w:bottom w:w="0" w:type="dxa"/>
          <w:right w:w="108" w:type="dxa"/>
        </w:tblCellMar>
      </w:tblPr>
      <w:tblGrid>
        <w:gridCol w:w="1920"/>
        <w:gridCol w:w="1193"/>
        <w:gridCol w:w="1942"/>
        <w:gridCol w:w="1243"/>
        <w:gridCol w:w="2224"/>
      </w:tblGrid>
      <w:tr w14:paraId="74493188">
        <w:tblPrEx>
          <w:tblCellMar>
            <w:top w:w="0" w:type="dxa"/>
            <w:left w:w="108" w:type="dxa"/>
            <w:bottom w:w="0" w:type="dxa"/>
            <w:right w:w="108" w:type="dxa"/>
          </w:tblCellMar>
        </w:tblPrEx>
        <w:trPr>
          <w:trHeight w:val="495" w:hRule="atLeast"/>
        </w:trPr>
        <w:tc>
          <w:tcPr>
            <w:tcW w:w="0" w:type="auto"/>
            <w:tcBorders>
              <w:top w:val="single" w:color="auto" w:sz="4" w:space="0"/>
              <w:left w:val="single" w:color="auto" w:sz="4" w:space="0"/>
              <w:bottom w:val="single" w:color="auto" w:sz="4" w:space="0"/>
              <w:right w:val="single" w:color="auto" w:sz="4" w:space="0"/>
            </w:tcBorders>
            <w:vAlign w:val="center"/>
          </w:tcPr>
          <w:p w14:paraId="784089CD">
            <w:pPr>
              <w:jc w:val="center"/>
              <w:rPr>
                <w:rFonts w:ascii="Times New Roman" w:hAnsi="Times New Roman" w:eastAsia="宋体" w:cs="Times New Roman"/>
                <w:color w:val="auto"/>
                <w:sz w:val="22"/>
                <w:szCs w:val="24"/>
                <w:highlight w:val="none"/>
              </w:rPr>
            </w:pPr>
            <w:r>
              <w:rPr>
                <w:rFonts w:hint="eastAsia" w:ascii="Times New Roman" w:hAnsi="Times New Roman" w:eastAsia="宋体" w:cs="Times New Roman"/>
                <w:color w:val="auto"/>
                <w:sz w:val="22"/>
                <w:szCs w:val="24"/>
                <w:highlight w:val="none"/>
              </w:rPr>
              <w:t>项目</w:t>
            </w:r>
          </w:p>
        </w:tc>
        <w:tc>
          <w:tcPr>
            <w:tcW w:w="0" w:type="auto"/>
            <w:tcBorders>
              <w:top w:val="single" w:color="auto" w:sz="4" w:space="0"/>
              <w:left w:val="single" w:color="auto" w:sz="4" w:space="0"/>
              <w:bottom w:val="single" w:color="auto" w:sz="4" w:space="0"/>
              <w:right w:val="single" w:color="auto" w:sz="4" w:space="0"/>
            </w:tcBorders>
            <w:vAlign w:val="center"/>
          </w:tcPr>
          <w:p w14:paraId="5EF37DAC">
            <w:pPr>
              <w:jc w:val="center"/>
              <w:rPr>
                <w:rFonts w:ascii="Times New Roman" w:hAnsi="Times New Roman" w:eastAsia="宋体" w:cs="Times New Roman"/>
                <w:color w:val="auto"/>
                <w:sz w:val="22"/>
                <w:szCs w:val="24"/>
                <w:highlight w:val="none"/>
              </w:rPr>
            </w:pPr>
            <w:r>
              <w:rPr>
                <w:rFonts w:hint="eastAsia" w:ascii="Times New Roman" w:hAnsi="Times New Roman" w:eastAsia="宋体" w:cs="Times New Roman"/>
                <w:color w:val="auto"/>
                <w:sz w:val="22"/>
                <w:szCs w:val="24"/>
                <w:highlight w:val="none"/>
              </w:rPr>
              <w:t>产生量（t）</w:t>
            </w:r>
          </w:p>
        </w:tc>
        <w:tc>
          <w:tcPr>
            <w:tcW w:w="0" w:type="auto"/>
            <w:tcBorders>
              <w:top w:val="single" w:color="auto" w:sz="4" w:space="0"/>
              <w:left w:val="single" w:color="auto" w:sz="4" w:space="0"/>
              <w:bottom w:val="single" w:color="auto" w:sz="4" w:space="0"/>
              <w:right w:val="single" w:color="auto" w:sz="4" w:space="0"/>
            </w:tcBorders>
            <w:vAlign w:val="center"/>
          </w:tcPr>
          <w:p w14:paraId="3E292798">
            <w:pPr>
              <w:jc w:val="center"/>
              <w:rPr>
                <w:rFonts w:ascii="Times New Roman" w:hAnsi="Times New Roman" w:eastAsia="宋体" w:cs="Times New Roman"/>
                <w:color w:val="auto"/>
                <w:sz w:val="22"/>
                <w:szCs w:val="24"/>
                <w:highlight w:val="none"/>
              </w:rPr>
            </w:pPr>
            <w:r>
              <w:rPr>
                <w:rFonts w:hint="eastAsia" w:ascii="Times New Roman" w:hAnsi="Times New Roman" w:eastAsia="宋体" w:cs="Times New Roman"/>
                <w:color w:val="auto"/>
                <w:sz w:val="22"/>
                <w:szCs w:val="24"/>
                <w:highlight w:val="none"/>
              </w:rPr>
              <w:t>主要成分</w:t>
            </w:r>
          </w:p>
        </w:tc>
        <w:tc>
          <w:tcPr>
            <w:tcW w:w="0" w:type="auto"/>
            <w:tcBorders>
              <w:top w:val="single" w:color="auto" w:sz="4" w:space="0"/>
              <w:left w:val="single" w:color="auto" w:sz="4" w:space="0"/>
              <w:bottom w:val="single" w:color="auto" w:sz="4" w:space="0"/>
              <w:right w:val="single" w:color="auto" w:sz="4" w:space="0"/>
            </w:tcBorders>
            <w:vAlign w:val="center"/>
          </w:tcPr>
          <w:p w14:paraId="4BE0D293">
            <w:pPr>
              <w:jc w:val="center"/>
              <w:rPr>
                <w:rFonts w:ascii="Times New Roman" w:hAnsi="Times New Roman" w:eastAsia="宋体" w:cs="Times New Roman"/>
                <w:color w:val="auto"/>
                <w:sz w:val="22"/>
                <w:szCs w:val="24"/>
                <w:highlight w:val="none"/>
              </w:rPr>
            </w:pPr>
            <w:r>
              <w:rPr>
                <w:rFonts w:hint="eastAsia" w:ascii="Times New Roman" w:hAnsi="Times New Roman" w:eastAsia="宋体" w:cs="Times New Roman"/>
                <w:color w:val="auto"/>
                <w:sz w:val="22"/>
                <w:szCs w:val="24"/>
                <w:highlight w:val="none"/>
              </w:rPr>
              <w:t>危险废物</w:t>
            </w:r>
          </w:p>
          <w:p w14:paraId="0AFB41E0">
            <w:pPr>
              <w:jc w:val="center"/>
              <w:rPr>
                <w:rFonts w:ascii="Times New Roman" w:hAnsi="Times New Roman" w:eastAsia="宋体" w:cs="Times New Roman"/>
                <w:color w:val="auto"/>
                <w:sz w:val="22"/>
                <w:szCs w:val="24"/>
                <w:highlight w:val="none"/>
              </w:rPr>
            </w:pPr>
            <w:r>
              <w:rPr>
                <w:rFonts w:hint="eastAsia" w:ascii="Times New Roman" w:hAnsi="Times New Roman" w:eastAsia="宋体" w:cs="Times New Roman"/>
                <w:color w:val="auto"/>
                <w:sz w:val="22"/>
                <w:szCs w:val="24"/>
                <w:highlight w:val="none"/>
              </w:rPr>
              <w:t>代码</w:t>
            </w:r>
          </w:p>
        </w:tc>
        <w:tc>
          <w:tcPr>
            <w:tcW w:w="2224" w:type="dxa"/>
            <w:tcBorders>
              <w:top w:val="single" w:color="auto" w:sz="4" w:space="0"/>
              <w:left w:val="single" w:color="auto" w:sz="4" w:space="0"/>
              <w:bottom w:val="single" w:color="auto" w:sz="4" w:space="0"/>
              <w:right w:val="single" w:color="auto" w:sz="4" w:space="0"/>
            </w:tcBorders>
            <w:vAlign w:val="center"/>
          </w:tcPr>
          <w:p w14:paraId="641AD423">
            <w:pPr>
              <w:jc w:val="center"/>
              <w:rPr>
                <w:rFonts w:ascii="Times New Roman" w:hAnsi="Times New Roman" w:eastAsia="宋体" w:cs="Times New Roman"/>
                <w:color w:val="auto"/>
                <w:sz w:val="22"/>
                <w:szCs w:val="24"/>
                <w:highlight w:val="none"/>
              </w:rPr>
            </w:pPr>
            <w:r>
              <w:rPr>
                <w:rFonts w:hint="eastAsia" w:ascii="Times New Roman" w:hAnsi="Times New Roman" w:eastAsia="宋体" w:cs="Times New Roman"/>
                <w:color w:val="auto"/>
                <w:sz w:val="22"/>
                <w:szCs w:val="24"/>
                <w:highlight w:val="none"/>
              </w:rPr>
              <w:t>处置措施</w:t>
            </w:r>
          </w:p>
        </w:tc>
      </w:tr>
      <w:tr w14:paraId="22FD376F">
        <w:tblPrEx>
          <w:tblCellMar>
            <w:top w:w="0" w:type="dxa"/>
            <w:left w:w="108" w:type="dxa"/>
            <w:bottom w:w="0" w:type="dxa"/>
            <w:right w:w="108" w:type="dxa"/>
          </w:tblCellMar>
        </w:tblPrEx>
        <w:trPr>
          <w:trHeight w:val="285" w:hRule="atLeast"/>
        </w:trPr>
        <w:tc>
          <w:tcPr>
            <w:tcW w:w="0" w:type="auto"/>
            <w:tcBorders>
              <w:top w:val="single" w:color="auto" w:sz="4" w:space="0"/>
              <w:left w:val="single" w:color="auto" w:sz="4" w:space="0"/>
              <w:bottom w:val="single" w:color="auto" w:sz="4" w:space="0"/>
              <w:right w:val="single" w:color="auto" w:sz="4" w:space="0"/>
            </w:tcBorders>
            <w:vAlign w:val="center"/>
          </w:tcPr>
          <w:p w14:paraId="22B0FF57">
            <w:pPr>
              <w:jc w:val="center"/>
              <w:rPr>
                <w:rFonts w:ascii="Times New Roman" w:hAnsi="Times New Roman" w:eastAsia="宋体" w:cs="Times New Roman"/>
                <w:color w:val="auto"/>
                <w:sz w:val="22"/>
                <w:szCs w:val="24"/>
                <w:highlight w:val="none"/>
              </w:rPr>
            </w:pPr>
            <w:r>
              <w:rPr>
                <w:rFonts w:hint="eastAsia" w:ascii="Times New Roman" w:hAnsi="Times New Roman" w:eastAsia="宋体" w:cs="Times New Roman"/>
                <w:color w:val="auto"/>
                <w:sz w:val="22"/>
                <w:szCs w:val="24"/>
                <w:highlight w:val="none"/>
              </w:rPr>
              <w:t>实验室废液</w:t>
            </w:r>
          </w:p>
        </w:tc>
        <w:tc>
          <w:tcPr>
            <w:tcW w:w="0" w:type="auto"/>
            <w:tcBorders>
              <w:top w:val="single" w:color="auto" w:sz="4" w:space="0"/>
              <w:left w:val="single" w:color="auto" w:sz="4" w:space="0"/>
              <w:bottom w:val="single" w:color="auto" w:sz="4" w:space="0"/>
              <w:right w:val="single" w:color="auto" w:sz="4" w:space="0"/>
            </w:tcBorders>
            <w:vAlign w:val="center"/>
          </w:tcPr>
          <w:p w14:paraId="7B40616D">
            <w:pPr>
              <w:jc w:val="center"/>
              <w:rPr>
                <w:rFonts w:hint="default" w:ascii="Times New Roman" w:hAnsi="Times New Roman" w:eastAsia="宋体" w:cs="Times New Roman"/>
                <w:color w:val="auto"/>
                <w:sz w:val="22"/>
                <w:szCs w:val="24"/>
                <w:highlight w:val="none"/>
                <w:lang w:val="en-US" w:eastAsia="zh-CN"/>
              </w:rPr>
            </w:pPr>
            <w:r>
              <w:rPr>
                <w:rFonts w:hint="eastAsia" w:ascii="Times New Roman" w:hAnsi="Times New Roman" w:eastAsia="宋体" w:cs="Times New Roman"/>
                <w:color w:val="auto"/>
                <w:sz w:val="22"/>
                <w:szCs w:val="24"/>
                <w:highlight w:val="none"/>
                <w:lang w:val="en-US" w:eastAsia="zh-CN"/>
              </w:rPr>
              <w:t>1.185</w:t>
            </w:r>
          </w:p>
        </w:tc>
        <w:tc>
          <w:tcPr>
            <w:tcW w:w="0" w:type="auto"/>
            <w:tcBorders>
              <w:top w:val="single" w:color="auto" w:sz="4" w:space="0"/>
              <w:left w:val="single" w:color="auto" w:sz="4" w:space="0"/>
              <w:bottom w:val="single" w:color="auto" w:sz="4" w:space="0"/>
              <w:right w:val="single" w:color="auto" w:sz="4" w:space="0"/>
            </w:tcBorders>
            <w:vAlign w:val="center"/>
          </w:tcPr>
          <w:p w14:paraId="6FE694F8">
            <w:pPr>
              <w:jc w:val="center"/>
              <w:rPr>
                <w:rFonts w:ascii="Times New Roman" w:hAnsi="Times New Roman" w:eastAsia="宋体" w:cs="Times New Roman"/>
                <w:color w:val="auto"/>
                <w:sz w:val="22"/>
                <w:szCs w:val="24"/>
                <w:highlight w:val="none"/>
              </w:rPr>
            </w:pPr>
            <w:r>
              <w:rPr>
                <w:rFonts w:hint="eastAsia" w:ascii="Times New Roman" w:hAnsi="Times New Roman" w:eastAsia="宋体" w:cs="Times New Roman"/>
                <w:color w:val="auto"/>
                <w:sz w:val="22"/>
                <w:szCs w:val="24"/>
                <w:highlight w:val="none"/>
              </w:rPr>
              <w:t>酸碱、有机溶剂</w:t>
            </w:r>
          </w:p>
        </w:tc>
        <w:tc>
          <w:tcPr>
            <w:tcW w:w="0" w:type="auto"/>
            <w:tcBorders>
              <w:top w:val="single" w:color="auto" w:sz="4" w:space="0"/>
              <w:left w:val="single" w:color="auto" w:sz="4" w:space="0"/>
              <w:bottom w:val="single" w:color="auto" w:sz="4" w:space="0"/>
              <w:right w:val="single" w:color="auto" w:sz="4" w:space="0"/>
            </w:tcBorders>
            <w:vAlign w:val="center"/>
          </w:tcPr>
          <w:p w14:paraId="7BEDF064">
            <w:pPr>
              <w:jc w:val="center"/>
              <w:rPr>
                <w:rFonts w:hint="default" w:ascii="Times New Roman" w:hAnsi="Times New Roman" w:eastAsia="宋体" w:cs="Times New Roman"/>
                <w:color w:val="auto"/>
                <w:sz w:val="22"/>
                <w:szCs w:val="24"/>
                <w:highlight w:val="none"/>
                <w:lang w:val="en-US" w:eastAsia="zh-CN"/>
              </w:rPr>
            </w:pPr>
            <w:r>
              <w:rPr>
                <w:rFonts w:hint="eastAsia" w:ascii="Times New Roman" w:hAnsi="Times New Roman" w:eastAsia="宋体" w:cs="Times New Roman"/>
                <w:color w:val="auto"/>
                <w:sz w:val="22"/>
                <w:szCs w:val="24"/>
                <w:highlight w:val="none"/>
              </w:rPr>
              <w:t>900-</w:t>
            </w:r>
            <w:r>
              <w:rPr>
                <w:rFonts w:hint="eastAsia" w:ascii="Times New Roman" w:hAnsi="Times New Roman" w:eastAsia="宋体" w:cs="Times New Roman"/>
                <w:color w:val="auto"/>
                <w:sz w:val="22"/>
                <w:szCs w:val="24"/>
                <w:highlight w:val="none"/>
                <w:lang w:val="en-US" w:eastAsia="zh-CN"/>
              </w:rPr>
              <w:t>047</w:t>
            </w:r>
            <w:r>
              <w:rPr>
                <w:rFonts w:hint="eastAsia" w:ascii="Times New Roman" w:hAnsi="Times New Roman" w:eastAsia="宋体" w:cs="Times New Roman"/>
                <w:color w:val="auto"/>
                <w:sz w:val="22"/>
                <w:szCs w:val="24"/>
                <w:highlight w:val="none"/>
              </w:rPr>
              <w:t>-</w:t>
            </w:r>
            <w:r>
              <w:rPr>
                <w:rFonts w:hint="eastAsia" w:ascii="Times New Roman" w:hAnsi="Times New Roman" w:eastAsia="宋体" w:cs="Times New Roman"/>
                <w:color w:val="auto"/>
                <w:sz w:val="22"/>
                <w:szCs w:val="24"/>
                <w:highlight w:val="none"/>
                <w:lang w:val="en-US" w:eastAsia="zh-CN"/>
              </w:rPr>
              <w:t>49</w:t>
            </w:r>
          </w:p>
        </w:tc>
        <w:tc>
          <w:tcPr>
            <w:tcW w:w="2224" w:type="dxa"/>
            <w:tcBorders>
              <w:top w:val="single" w:color="auto" w:sz="4" w:space="0"/>
              <w:left w:val="single" w:color="auto" w:sz="4" w:space="0"/>
              <w:bottom w:val="single" w:color="auto" w:sz="4" w:space="0"/>
              <w:right w:val="single" w:color="auto" w:sz="4" w:space="0"/>
            </w:tcBorders>
            <w:vAlign w:val="center"/>
          </w:tcPr>
          <w:p w14:paraId="722C27BB">
            <w:pPr>
              <w:jc w:val="center"/>
              <w:rPr>
                <w:rFonts w:ascii="Times New Roman" w:hAnsi="Times New Roman" w:eastAsia="宋体" w:cs="Times New Roman"/>
                <w:color w:val="auto"/>
                <w:sz w:val="22"/>
                <w:szCs w:val="24"/>
                <w:highlight w:val="none"/>
              </w:rPr>
            </w:pPr>
            <w:r>
              <w:rPr>
                <w:rFonts w:hint="eastAsia" w:ascii="Times New Roman" w:hAnsi="Times New Roman" w:eastAsia="宋体" w:cs="Times New Roman"/>
                <w:color w:val="auto"/>
                <w:sz w:val="22"/>
                <w:szCs w:val="24"/>
                <w:highlight w:val="none"/>
              </w:rPr>
              <w:t>暂存危废间</w:t>
            </w:r>
            <w:r>
              <w:rPr>
                <w:rFonts w:hint="eastAsia" w:ascii="Times New Roman" w:hAnsi="Times New Roman" w:eastAsia="宋体" w:cs="Times New Roman"/>
                <w:color w:val="auto"/>
                <w:sz w:val="22"/>
                <w:szCs w:val="24"/>
                <w:highlight w:val="none"/>
                <w:lang w:eastAsia="zh-CN"/>
              </w:rPr>
              <w:t>，</w:t>
            </w:r>
            <w:r>
              <w:rPr>
                <w:rFonts w:hint="eastAsia" w:ascii="Times New Roman" w:hAnsi="Times New Roman" w:eastAsia="宋体" w:cs="Times New Roman"/>
                <w:color w:val="auto"/>
                <w:sz w:val="22"/>
                <w:szCs w:val="24"/>
                <w:highlight w:val="none"/>
              </w:rPr>
              <w:t>定期交由科瑞</w:t>
            </w:r>
            <w:r>
              <w:rPr>
                <w:rFonts w:hint="eastAsia" w:ascii="Times New Roman" w:hAnsi="Times New Roman" w:eastAsia="宋体" w:cs="Times New Roman"/>
                <w:color w:val="auto"/>
                <w:sz w:val="22"/>
                <w:szCs w:val="24"/>
                <w:highlight w:val="none"/>
                <w:lang w:eastAsia="zh-CN"/>
              </w:rPr>
              <w:t>、</w:t>
            </w:r>
            <w:r>
              <w:rPr>
                <w:rFonts w:hint="eastAsia" w:ascii="Times New Roman" w:hAnsi="Times New Roman" w:eastAsia="宋体" w:cs="Times New Roman"/>
                <w:color w:val="auto"/>
                <w:sz w:val="22"/>
                <w:szCs w:val="24"/>
                <w:highlight w:val="none"/>
              </w:rPr>
              <w:t>瀚洋处置</w:t>
            </w:r>
          </w:p>
        </w:tc>
      </w:tr>
      <w:tr w14:paraId="54C93E87">
        <w:tblPrEx>
          <w:tblCellMar>
            <w:top w:w="0" w:type="dxa"/>
            <w:left w:w="108" w:type="dxa"/>
            <w:bottom w:w="0" w:type="dxa"/>
            <w:right w:w="108" w:type="dxa"/>
          </w:tblCellMar>
        </w:tblPrEx>
        <w:trPr>
          <w:trHeight w:val="285" w:hRule="atLeast"/>
        </w:trPr>
        <w:tc>
          <w:tcPr>
            <w:tcW w:w="0" w:type="auto"/>
            <w:tcBorders>
              <w:top w:val="single" w:color="auto" w:sz="4" w:space="0"/>
              <w:left w:val="single" w:color="auto" w:sz="4" w:space="0"/>
              <w:bottom w:val="single" w:color="auto" w:sz="4" w:space="0"/>
              <w:right w:val="single" w:color="auto" w:sz="4" w:space="0"/>
            </w:tcBorders>
            <w:vAlign w:val="center"/>
          </w:tcPr>
          <w:p w14:paraId="5D731671">
            <w:pPr>
              <w:jc w:val="center"/>
              <w:rPr>
                <w:rFonts w:hint="eastAsia" w:ascii="Times New Roman" w:hAnsi="Times New Roman" w:eastAsia="宋体" w:cs="Times New Roman"/>
                <w:color w:val="auto"/>
                <w:sz w:val="22"/>
                <w:szCs w:val="24"/>
                <w:highlight w:val="none"/>
                <w:lang w:val="en-US" w:eastAsia="zh-CN"/>
              </w:rPr>
            </w:pPr>
            <w:r>
              <w:rPr>
                <w:rFonts w:hint="eastAsia" w:ascii="Times New Roman" w:hAnsi="Times New Roman" w:eastAsia="宋体" w:cs="Times New Roman"/>
                <w:color w:val="auto"/>
                <w:sz w:val="22"/>
                <w:szCs w:val="24"/>
                <w:highlight w:val="none"/>
                <w:lang w:val="en-US" w:eastAsia="zh-CN"/>
              </w:rPr>
              <w:t>废包装物</w:t>
            </w:r>
          </w:p>
        </w:tc>
        <w:tc>
          <w:tcPr>
            <w:tcW w:w="0" w:type="auto"/>
            <w:tcBorders>
              <w:top w:val="single" w:color="auto" w:sz="4" w:space="0"/>
              <w:left w:val="single" w:color="auto" w:sz="4" w:space="0"/>
              <w:bottom w:val="single" w:color="auto" w:sz="4" w:space="0"/>
              <w:right w:val="single" w:color="auto" w:sz="4" w:space="0"/>
            </w:tcBorders>
            <w:vAlign w:val="center"/>
          </w:tcPr>
          <w:p w14:paraId="31AC191F">
            <w:pPr>
              <w:jc w:val="center"/>
              <w:rPr>
                <w:rFonts w:hint="default" w:ascii="Times New Roman" w:hAnsi="Times New Roman" w:eastAsia="宋体" w:cs="Times New Roman"/>
                <w:color w:val="auto"/>
                <w:sz w:val="22"/>
                <w:szCs w:val="24"/>
                <w:highlight w:val="none"/>
                <w:lang w:val="en-US" w:eastAsia="zh-CN"/>
              </w:rPr>
            </w:pPr>
            <w:r>
              <w:rPr>
                <w:rFonts w:hint="eastAsia" w:ascii="Times New Roman" w:hAnsi="Times New Roman" w:eastAsia="宋体" w:cs="Times New Roman"/>
                <w:color w:val="auto"/>
                <w:sz w:val="22"/>
                <w:szCs w:val="24"/>
                <w:highlight w:val="none"/>
                <w:lang w:val="en-US" w:eastAsia="zh-CN"/>
              </w:rPr>
              <w:t>0.807</w:t>
            </w:r>
          </w:p>
        </w:tc>
        <w:tc>
          <w:tcPr>
            <w:tcW w:w="0" w:type="auto"/>
            <w:tcBorders>
              <w:top w:val="single" w:color="auto" w:sz="4" w:space="0"/>
              <w:left w:val="single" w:color="auto" w:sz="4" w:space="0"/>
              <w:bottom w:val="single" w:color="auto" w:sz="4" w:space="0"/>
              <w:right w:val="single" w:color="auto" w:sz="4" w:space="0"/>
            </w:tcBorders>
            <w:vAlign w:val="center"/>
          </w:tcPr>
          <w:p w14:paraId="732CA669">
            <w:pPr>
              <w:jc w:val="center"/>
              <w:rPr>
                <w:rFonts w:hint="eastAsia" w:ascii="Times New Roman" w:hAnsi="Times New Roman" w:eastAsia="宋体" w:cs="Times New Roman"/>
                <w:color w:val="auto"/>
                <w:sz w:val="22"/>
                <w:szCs w:val="24"/>
                <w:highlight w:val="none"/>
              </w:rPr>
            </w:pPr>
            <w:r>
              <w:rPr>
                <w:rFonts w:hint="eastAsia" w:ascii="Times New Roman" w:hAnsi="Times New Roman" w:eastAsia="宋体" w:cs="Times New Roman"/>
                <w:color w:val="auto"/>
                <w:sz w:val="22"/>
                <w:szCs w:val="24"/>
                <w:highlight w:val="none"/>
              </w:rPr>
              <w:t>粘有药品或粘有有机溶剂的包装物</w:t>
            </w:r>
          </w:p>
        </w:tc>
        <w:tc>
          <w:tcPr>
            <w:tcW w:w="0" w:type="auto"/>
            <w:tcBorders>
              <w:top w:val="single" w:color="auto" w:sz="4" w:space="0"/>
              <w:left w:val="single" w:color="auto" w:sz="4" w:space="0"/>
              <w:bottom w:val="single" w:color="auto" w:sz="4" w:space="0"/>
              <w:right w:val="single" w:color="auto" w:sz="4" w:space="0"/>
            </w:tcBorders>
            <w:vAlign w:val="center"/>
          </w:tcPr>
          <w:p w14:paraId="3163F88A">
            <w:pPr>
              <w:jc w:val="center"/>
              <w:rPr>
                <w:rFonts w:hint="default" w:ascii="Times New Roman" w:hAnsi="Times New Roman" w:eastAsia="宋体" w:cs="Times New Roman"/>
                <w:color w:val="auto"/>
                <w:sz w:val="22"/>
                <w:szCs w:val="24"/>
                <w:highlight w:val="none"/>
                <w:lang w:val="en-US" w:eastAsia="zh-CN"/>
              </w:rPr>
            </w:pPr>
            <w:r>
              <w:rPr>
                <w:rFonts w:hint="eastAsia" w:ascii="Times New Roman" w:hAnsi="Times New Roman" w:eastAsia="宋体" w:cs="Times New Roman"/>
                <w:color w:val="auto"/>
                <w:sz w:val="22"/>
                <w:szCs w:val="24"/>
                <w:highlight w:val="none"/>
                <w:lang w:val="en-US" w:eastAsia="zh-CN"/>
              </w:rPr>
              <w:t>900-041-49</w:t>
            </w:r>
          </w:p>
        </w:tc>
        <w:tc>
          <w:tcPr>
            <w:tcW w:w="2224" w:type="dxa"/>
            <w:tcBorders>
              <w:top w:val="single" w:color="auto" w:sz="4" w:space="0"/>
              <w:left w:val="single" w:color="auto" w:sz="4" w:space="0"/>
              <w:bottom w:val="single" w:color="auto" w:sz="4" w:space="0"/>
              <w:right w:val="single" w:color="auto" w:sz="4" w:space="0"/>
            </w:tcBorders>
            <w:vAlign w:val="center"/>
          </w:tcPr>
          <w:p w14:paraId="692377A9">
            <w:pPr>
              <w:jc w:val="center"/>
              <w:rPr>
                <w:rFonts w:hint="eastAsia" w:ascii="Times New Roman" w:hAnsi="Times New Roman" w:eastAsia="宋体" w:cs="Times New Roman"/>
                <w:color w:val="auto"/>
                <w:sz w:val="22"/>
                <w:szCs w:val="24"/>
                <w:highlight w:val="none"/>
              </w:rPr>
            </w:pPr>
            <w:r>
              <w:rPr>
                <w:rFonts w:hint="eastAsia" w:ascii="Times New Roman" w:hAnsi="Times New Roman" w:eastAsia="宋体" w:cs="Times New Roman"/>
                <w:color w:val="auto"/>
                <w:sz w:val="22"/>
                <w:szCs w:val="24"/>
                <w:highlight w:val="none"/>
              </w:rPr>
              <w:t>暂存危废间</w:t>
            </w:r>
            <w:r>
              <w:rPr>
                <w:rFonts w:hint="eastAsia" w:ascii="Times New Roman" w:hAnsi="Times New Roman" w:eastAsia="宋体" w:cs="Times New Roman"/>
                <w:color w:val="auto"/>
                <w:sz w:val="22"/>
                <w:szCs w:val="24"/>
                <w:highlight w:val="none"/>
                <w:lang w:eastAsia="zh-CN"/>
              </w:rPr>
              <w:t>，</w:t>
            </w:r>
            <w:r>
              <w:rPr>
                <w:rFonts w:hint="eastAsia" w:ascii="Times New Roman" w:hAnsi="Times New Roman" w:eastAsia="宋体" w:cs="Times New Roman"/>
                <w:color w:val="auto"/>
                <w:sz w:val="22"/>
                <w:szCs w:val="24"/>
                <w:highlight w:val="none"/>
              </w:rPr>
              <w:t>定期交由瀚洋处置</w:t>
            </w:r>
          </w:p>
        </w:tc>
      </w:tr>
      <w:tr w14:paraId="0A5C3DE7">
        <w:tblPrEx>
          <w:tblCellMar>
            <w:top w:w="0" w:type="dxa"/>
            <w:left w:w="108" w:type="dxa"/>
            <w:bottom w:w="0" w:type="dxa"/>
            <w:right w:w="108" w:type="dxa"/>
          </w:tblCellMar>
        </w:tblPrEx>
        <w:trPr>
          <w:trHeight w:val="285" w:hRule="atLeast"/>
        </w:trPr>
        <w:tc>
          <w:tcPr>
            <w:tcW w:w="0" w:type="auto"/>
            <w:tcBorders>
              <w:top w:val="single" w:color="auto" w:sz="4" w:space="0"/>
              <w:left w:val="single" w:color="auto" w:sz="4" w:space="0"/>
              <w:bottom w:val="single" w:color="auto" w:sz="4" w:space="0"/>
              <w:right w:val="single" w:color="auto" w:sz="4" w:space="0"/>
            </w:tcBorders>
            <w:vAlign w:val="center"/>
          </w:tcPr>
          <w:p w14:paraId="5309B62D">
            <w:pPr>
              <w:jc w:val="center"/>
              <w:rPr>
                <w:rFonts w:hint="eastAsia" w:ascii="Times New Roman" w:hAnsi="Times New Roman" w:eastAsia="宋体" w:cs="Times New Roman"/>
                <w:color w:val="auto"/>
                <w:sz w:val="22"/>
                <w:szCs w:val="24"/>
                <w:highlight w:val="none"/>
                <w:lang w:val="en-US" w:eastAsia="zh-CN"/>
              </w:rPr>
            </w:pPr>
            <w:r>
              <w:rPr>
                <w:rFonts w:hint="eastAsia" w:ascii="Times New Roman" w:hAnsi="Times New Roman" w:eastAsia="宋体" w:cs="Times New Roman"/>
                <w:color w:val="auto"/>
                <w:sz w:val="22"/>
                <w:szCs w:val="24"/>
                <w:highlight w:val="none"/>
                <w:lang w:val="en-US" w:eastAsia="zh-CN"/>
              </w:rPr>
              <w:t>废矿物油</w:t>
            </w:r>
          </w:p>
        </w:tc>
        <w:tc>
          <w:tcPr>
            <w:tcW w:w="0" w:type="auto"/>
            <w:tcBorders>
              <w:top w:val="single" w:color="auto" w:sz="4" w:space="0"/>
              <w:left w:val="single" w:color="auto" w:sz="4" w:space="0"/>
              <w:bottom w:val="single" w:color="auto" w:sz="4" w:space="0"/>
              <w:right w:val="single" w:color="auto" w:sz="4" w:space="0"/>
            </w:tcBorders>
            <w:vAlign w:val="center"/>
          </w:tcPr>
          <w:p w14:paraId="2DF5F5BE">
            <w:pPr>
              <w:jc w:val="center"/>
              <w:rPr>
                <w:rFonts w:hint="default" w:ascii="Times New Roman" w:hAnsi="Times New Roman" w:eastAsia="宋体" w:cs="Times New Roman"/>
                <w:color w:val="auto"/>
                <w:sz w:val="22"/>
                <w:szCs w:val="24"/>
                <w:highlight w:val="none"/>
                <w:lang w:val="en-US" w:eastAsia="zh-CN"/>
              </w:rPr>
            </w:pPr>
            <w:r>
              <w:rPr>
                <w:rFonts w:hint="eastAsia" w:ascii="Times New Roman" w:hAnsi="Times New Roman" w:eastAsia="宋体" w:cs="Times New Roman"/>
                <w:color w:val="auto"/>
                <w:sz w:val="22"/>
                <w:szCs w:val="24"/>
                <w:highlight w:val="none"/>
                <w:lang w:val="en-US" w:eastAsia="zh-CN"/>
              </w:rPr>
              <w:t>0.167</w:t>
            </w:r>
          </w:p>
        </w:tc>
        <w:tc>
          <w:tcPr>
            <w:tcW w:w="0" w:type="auto"/>
            <w:tcBorders>
              <w:top w:val="single" w:color="auto" w:sz="4" w:space="0"/>
              <w:left w:val="single" w:color="auto" w:sz="4" w:space="0"/>
              <w:bottom w:val="single" w:color="auto" w:sz="4" w:space="0"/>
              <w:right w:val="single" w:color="auto" w:sz="4" w:space="0"/>
            </w:tcBorders>
            <w:vAlign w:val="center"/>
          </w:tcPr>
          <w:p w14:paraId="167B9249">
            <w:pPr>
              <w:jc w:val="center"/>
              <w:rPr>
                <w:rFonts w:hint="default" w:ascii="Times New Roman" w:hAnsi="Times New Roman" w:eastAsia="宋体" w:cs="Times New Roman"/>
                <w:color w:val="auto"/>
                <w:sz w:val="22"/>
                <w:szCs w:val="24"/>
                <w:highlight w:val="none"/>
                <w:lang w:val="en-US" w:eastAsia="zh-CN"/>
              </w:rPr>
            </w:pPr>
            <w:r>
              <w:rPr>
                <w:rFonts w:hint="eastAsia" w:ascii="Times New Roman" w:hAnsi="Times New Roman" w:eastAsia="宋体" w:cs="Times New Roman"/>
                <w:color w:val="auto"/>
                <w:sz w:val="22"/>
                <w:szCs w:val="24"/>
                <w:highlight w:val="none"/>
                <w:lang w:val="en-US" w:eastAsia="zh-CN"/>
              </w:rPr>
              <w:t>矿物油类</w:t>
            </w:r>
          </w:p>
        </w:tc>
        <w:tc>
          <w:tcPr>
            <w:tcW w:w="0" w:type="auto"/>
            <w:tcBorders>
              <w:top w:val="single" w:color="auto" w:sz="4" w:space="0"/>
              <w:left w:val="single" w:color="auto" w:sz="4" w:space="0"/>
              <w:bottom w:val="single" w:color="auto" w:sz="4" w:space="0"/>
              <w:right w:val="single" w:color="auto" w:sz="4" w:space="0"/>
            </w:tcBorders>
            <w:vAlign w:val="center"/>
          </w:tcPr>
          <w:p w14:paraId="6AB0CEE0">
            <w:pPr>
              <w:jc w:val="center"/>
              <w:rPr>
                <w:rFonts w:hint="default" w:ascii="Times New Roman" w:hAnsi="Times New Roman" w:eastAsia="宋体" w:cs="Times New Roman"/>
                <w:color w:val="auto"/>
                <w:sz w:val="22"/>
                <w:szCs w:val="24"/>
                <w:highlight w:val="none"/>
                <w:lang w:val="en-US" w:eastAsia="zh-CN"/>
              </w:rPr>
            </w:pPr>
            <w:r>
              <w:rPr>
                <w:rFonts w:hint="eastAsia" w:ascii="Times New Roman" w:hAnsi="Times New Roman" w:eastAsia="宋体" w:cs="Times New Roman"/>
                <w:color w:val="auto"/>
                <w:sz w:val="22"/>
                <w:szCs w:val="24"/>
                <w:highlight w:val="none"/>
                <w:lang w:val="en-US" w:eastAsia="zh-CN"/>
              </w:rPr>
              <w:t>900-249-08</w:t>
            </w:r>
          </w:p>
        </w:tc>
        <w:tc>
          <w:tcPr>
            <w:tcW w:w="2224" w:type="dxa"/>
            <w:tcBorders>
              <w:top w:val="single" w:color="auto" w:sz="4" w:space="0"/>
              <w:left w:val="single" w:color="auto" w:sz="4" w:space="0"/>
              <w:bottom w:val="single" w:color="auto" w:sz="4" w:space="0"/>
              <w:right w:val="single" w:color="auto" w:sz="4" w:space="0"/>
            </w:tcBorders>
            <w:vAlign w:val="center"/>
          </w:tcPr>
          <w:p w14:paraId="2BC60F67">
            <w:pPr>
              <w:jc w:val="center"/>
              <w:rPr>
                <w:rFonts w:hint="eastAsia" w:ascii="Times New Roman" w:hAnsi="Times New Roman" w:eastAsia="宋体" w:cs="Times New Roman"/>
                <w:color w:val="auto"/>
                <w:sz w:val="22"/>
                <w:szCs w:val="24"/>
                <w:highlight w:val="none"/>
              </w:rPr>
            </w:pPr>
            <w:r>
              <w:rPr>
                <w:rFonts w:hint="eastAsia" w:ascii="Times New Roman" w:hAnsi="Times New Roman" w:eastAsia="宋体" w:cs="Times New Roman"/>
                <w:color w:val="auto"/>
                <w:sz w:val="22"/>
                <w:szCs w:val="24"/>
                <w:highlight w:val="none"/>
              </w:rPr>
              <w:t>暂存危废间</w:t>
            </w:r>
            <w:r>
              <w:rPr>
                <w:rFonts w:hint="eastAsia" w:ascii="Times New Roman" w:hAnsi="Times New Roman" w:eastAsia="宋体" w:cs="Times New Roman"/>
                <w:color w:val="auto"/>
                <w:sz w:val="22"/>
                <w:szCs w:val="24"/>
                <w:highlight w:val="none"/>
                <w:lang w:eastAsia="zh-CN"/>
              </w:rPr>
              <w:t>，</w:t>
            </w:r>
            <w:r>
              <w:rPr>
                <w:rFonts w:hint="eastAsia" w:ascii="Times New Roman" w:hAnsi="Times New Roman" w:eastAsia="宋体" w:cs="Times New Roman"/>
                <w:color w:val="auto"/>
                <w:sz w:val="22"/>
                <w:szCs w:val="24"/>
                <w:highlight w:val="none"/>
              </w:rPr>
              <w:t>定期交由瀚洋处置</w:t>
            </w:r>
          </w:p>
        </w:tc>
      </w:tr>
      <w:tr w14:paraId="34E6121F">
        <w:tblPrEx>
          <w:tblCellMar>
            <w:top w:w="0" w:type="dxa"/>
            <w:left w:w="108" w:type="dxa"/>
            <w:bottom w:w="0" w:type="dxa"/>
            <w:right w:w="108" w:type="dxa"/>
          </w:tblCellMar>
        </w:tblPrEx>
        <w:trPr>
          <w:trHeight w:val="285" w:hRule="atLeast"/>
        </w:trPr>
        <w:tc>
          <w:tcPr>
            <w:tcW w:w="0" w:type="auto"/>
            <w:tcBorders>
              <w:top w:val="single" w:color="auto" w:sz="4" w:space="0"/>
              <w:left w:val="single" w:color="auto" w:sz="4" w:space="0"/>
              <w:bottom w:val="single" w:color="auto" w:sz="4" w:space="0"/>
              <w:right w:val="single" w:color="auto" w:sz="4" w:space="0"/>
            </w:tcBorders>
            <w:vAlign w:val="center"/>
          </w:tcPr>
          <w:p w14:paraId="6B47ADBF">
            <w:pPr>
              <w:jc w:val="center"/>
              <w:rPr>
                <w:rFonts w:hint="default" w:ascii="Times New Roman" w:hAnsi="Times New Roman" w:eastAsia="宋体" w:cs="Times New Roman"/>
                <w:color w:val="auto"/>
                <w:sz w:val="22"/>
                <w:szCs w:val="24"/>
                <w:highlight w:val="none"/>
                <w:lang w:val="en-US" w:eastAsia="zh-CN"/>
              </w:rPr>
            </w:pPr>
            <w:r>
              <w:rPr>
                <w:rFonts w:hint="eastAsia" w:ascii="Times New Roman" w:hAnsi="Times New Roman" w:eastAsia="宋体" w:cs="Times New Roman"/>
                <w:color w:val="auto"/>
                <w:sz w:val="22"/>
                <w:szCs w:val="24"/>
                <w:highlight w:val="none"/>
                <w:lang w:val="en-US" w:eastAsia="zh-CN"/>
              </w:rPr>
              <w:t>釜残液</w:t>
            </w:r>
          </w:p>
        </w:tc>
        <w:tc>
          <w:tcPr>
            <w:tcW w:w="0" w:type="auto"/>
            <w:tcBorders>
              <w:top w:val="single" w:color="auto" w:sz="4" w:space="0"/>
              <w:left w:val="single" w:color="auto" w:sz="4" w:space="0"/>
              <w:bottom w:val="single" w:color="auto" w:sz="4" w:space="0"/>
              <w:right w:val="single" w:color="auto" w:sz="4" w:space="0"/>
            </w:tcBorders>
            <w:vAlign w:val="center"/>
          </w:tcPr>
          <w:p w14:paraId="4DA5433D">
            <w:pPr>
              <w:jc w:val="center"/>
              <w:rPr>
                <w:rFonts w:hint="default" w:ascii="Times New Roman" w:hAnsi="Times New Roman" w:eastAsia="宋体" w:cs="Times New Roman"/>
                <w:color w:val="auto"/>
                <w:sz w:val="22"/>
                <w:szCs w:val="24"/>
                <w:highlight w:val="none"/>
                <w:lang w:val="en-US" w:eastAsia="zh-CN"/>
              </w:rPr>
            </w:pPr>
            <w:r>
              <w:rPr>
                <w:rFonts w:hint="eastAsia" w:ascii="Times New Roman" w:hAnsi="Times New Roman" w:eastAsia="宋体" w:cs="Times New Roman"/>
                <w:color w:val="auto"/>
                <w:sz w:val="22"/>
                <w:szCs w:val="24"/>
                <w:highlight w:val="none"/>
                <w:lang w:val="en-US" w:eastAsia="zh-CN"/>
              </w:rPr>
              <w:t>59.293</w:t>
            </w:r>
          </w:p>
        </w:tc>
        <w:tc>
          <w:tcPr>
            <w:tcW w:w="0" w:type="auto"/>
            <w:tcBorders>
              <w:top w:val="single" w:color="auto" w:sz="4" w:space="0"/>
              <w:left w:val="single" w:color="auto" w:sz="4" w:space="0"/>
              <w:bottom w:val="single" w:color="auto" w:sz="4" w:space="0"/>
              <w:right w:val="single" w:color="auto" w:sz="4" w:space="0"/>
            </w:tcBorders>
            <w:vAlign w:val="center"/>
          </w:tcPr>
          <w:p w14:paraId="7D831011">
            <w:pPr>
              <w:jc w:val="center"/>
              <w:rPr>
                <w:rFonts w:hint="eastAsia" w:ascii="Times New Roman" w:hAnsi="Times New Roman" w:eastAsia="宋体" w:cs="Times New Roman"/>
                <w:color w:val="auto"/>
                <w:sz w:val="22"/>
                <w:szCs w:val="24"/>
                <w:highlight w:val="none"/>
              </w:rPr>
            </w:pPr>
            <w:r>
              <w:rPr>
                <w:rFonts w:hint="eastAsia" w:ascii="Times New Roman" w:hAnsi="Times New Roman" w:eastAsia="宋体" w:cs="Times New Roman"/>
                <w:color w:val="auto"/>
                <w:sz w:val="22"/>
                <w:szCs w:val="24"/>
                <w:highlight w:val="none"/>
              </w:rPr>
              <w:t>有机溶剂、水、盐分、未反应物</w:t>
            </w:r>
          </w:p>
        </w:tc>
        <w:tc>
          <w:tcPr>
            <w:tcW w:w="0" w:type="auto"/>
            <w:tcBorders>
              <w:top w:val="single" w:color="auto" w:sz="4" w:space="0"/>
              <w:left w:val="single" w:color="auto" w:sz="4" w:space="0"/>
              <w:bottom w:val="single" w:color="auto" w:sz="4" w:space="0"/>
              <w:right w:val="single" w:color="auto" w:sz="4" w:space="0"/>
            </w:tcBorders>
            <w:vAlign w:val="center"/>
          </w:tcPr>
          <w:p w14:paraId="7666F8E8">
            <w:pPr>
              <w:jc w:val="center"/>
              <w:rPr>
                <w:rFonts w:hint="default" w:ascii="Times New Roman" w:hAnsi="Times New Roman" w:eastAsia="宋体" w:cs="Times New Roman"/>
                <w:color w:val="auto"/>
                <w:sz w:val="22"/>
                <w:szCs w:val="24"/>
                <w:highlight w:val="none"/>
                <w:lang w:val="en-US" w:eastAsia="zh-CN"/>
              </w:rPr>
            </w:pPr>
            <w:r>
              <w:rPr>
                <w:rFonts w:hint="eastAsia" w:ascii="Times New Roman" w:hAnsi="Times New Roman" w:eastAsia="宋体" w:cs="Times New Roman"/>
                <w:color w:val="auto"/>
                <w:sz w:val="22"/>
                <w:szCs w:val="24"/>
                <w:highlight w:val="none"/>
                <w:lang w:val="en-US" w:eastAsia="zh-CN"/>
              </w:rPr>
              <w:t>276-002-02</w:t>
            </w:r>
          </w:p>
        </w:tc>
        <w:tc>
          <w:tcPr>
            <w:tcW w:w="2224" w:type="dxa"/>
            <w:tcBorders>
              <w:top w:val="single" w:color="auto" w:sz="4" w:space="0"/>
              <w:left w:val="single" w:color="auto" w:sz="4" w:space="0"/>
              <w:bottom w:val="single" w:color="auto" w:sz="4" w:space="0"/>
              <w:right w:val="single" w:color="auto" w:sz="4" w:space="0"/>
            </w:tcBorders>
            <w:vAlign w:val="center"/>
          </w:tcPr>
          <w:p w14:paraId="25B20D8E">
            <w:pPr>
              <w:jc w:val="center"/>
              <w:rPr>
                <w:rFonts w:hint="eastAsia" w:ascii="Times New Roman" w:hAnsi="Times New Roman" w:eastAsia="宋体" w:cs="Times New Roman"/>
                <w:color w:val="auto"/>
                <w:sz w:val="22"/>
                <w:szCs w:val="24"/>
                <w:highlight w:val="none"/>
              </w:rPr>
            </w:pPr>
            <w:r>
              <w:rPr>
                <w:rFonts w:hint="eastAsia" w:ascii="Times New Roman" w:hAnsi="Times New Roman" w:eastAsia="宋体" w:cs="Times New Roman"/>
                <w:color w:val="auto"/>
                <w:sz w:val="22"/>
                <w:szCs w:val="24"/>
                <w:highlight w:val="none"/>
              </w:rPr>
              <w:t>暂存危废间</w:t>
            </w:r>
            <w:r>
              <w:rPr>
                <w:rFonts w:hint="eastAsia" w:ascii="Times New Roman" w:hAnsi="Times New Roman" w:eastAsia="宋体" w:cs="Times New Roman"/>
                <w:color w:val="auto"/>
                <w:sz w:val="22"/>
                <w:szCs w:val="24"/>
                <w:highlight w:val="none"/>
                <w:lang w:eastAsia="zh-CN"/>
              </w:rPr>
              <w:t>，</w:t>
            </w:r>
            <w:r>
              <w:rPr>
                <w:rFonts w:hint="eastAsia" w:ascii="Times New Roman" w:hAnsi="Times New Roman" w:eastAsia="宋体" w:cs="Times New Roman"/>
                <w:color w:val="auto"/>
                <w:sz w:val="22"/>
                <w:szCs w:val="24"/>
                <w:highlight w:val="none"/>
              </w:rPr>
              <w:t>定期交由瀚洋处置</w:t>
            </w:r>
          </w:p>
        </w:tc>
      </w:tr>
      <w:tr w14:paraId="22C269C0">
        <w:tblPrEx>
          <w:tblCellMar>
            <w:top w:w="0" w:type="dxa"/>
            <w:left w:w="108" w:type="dxa"/>
            <w:bottom w:w="0" w:type="dxa"/>
            <w:right w:w="108" w:type="dxa"/>
          </w:tblCellMar>
        </w:tblPrEx>
        <w:trPr>
          <w:trHeight w:val="285" w:hRule="atLeast"/>
        </w:trPr>
        <w:tc>
          <w:tcPr>
            <w:tcW w:w="0" w:type="auto"/>
            <w:tcBorders>
              <w:top w:val="single" w:color="auto" w:sz="4" w:space="0"/>
              <w:left w:val="single" w:color="auto" w:sz="4" w:space="0"/>
              <w:bottom w:val="single" w:color="auto" w:sz="4" w:space="0"/>
              <w:right w:val="single" w:color="auto" w:sz="4" w:space="0"/>
            </w:tcBorders>
            <w:vAlign w:val="center"/>
          </w:tcPr>
          <w:p w14:paraId="7B1326E3">
            <w:pPr>
              <w:jc w:val="center"/>
              <w:rPr>
                <w:rFonts w:hint="default" w:ascii="Times New Roman" w:hAnsi="Times New Roman" w:eastAsia="宋体" w:cs="Times New Roman"/>
                <w:color w:val="auto"/>
                <w:sz w:val="22"/>
                <w:szCs w:val="24"/>
                <w:highlight w:val="none"/>
                <w:lang w:val="en-US" w:eastAsia="zh-CN"/>
              </w:rPr>
            </w:pPr>
            <w:r>
              <w:rPr>
                <w:rFonts w:hint="eastAsia" w:ascii="Times New Roman" w:hAnsi="Times New Roman" w:eastAsia="宋体" w:cs="Times New Roman"/>
                <w:color w:val="auto"/>
                <w:sz w:val="22"/>
                <w:szCs w:val="24"/>
                <w:highlight w:val="none"/>
                <w:lang w:val="en-US" w:eastAsia="zh-CN"/>
              </w:rPr>
              <w:t>污泥及泛酸钙生产过程中产生的滤饼</w:t>
            </w:r>
          </w:p>
        </w:tc>
        <w:tc>
          <w:tcPr>
            <w:tcW w:w="0" w:type="auto"/>
            <w:tcBorders>
              <w:top w:val="single" w:color="auto" w:sz="4" w:space="0"/>
              <w:left w:val="single" w:color="auto" w:sz="4" w:space="0"/>
              <w:bottom w:val="single" w:color="auto" w:sz="4" w:space="0"/>
              <w:right w:val="single" w:color="auto" w:sz="4" w:space="0"/>
            </w:tcBorders>
            <w:vAlign w:val="center"/>
          </w:tcPr>
          <w:p w14:paraId="464A5894">
            <w:pPr>
              <w:jc w:val="center"/>
              <w:rPr>
                <w:rFonts w:hint="default" w:ascii="Times New Roman" w:hAnsi="Times New Roman" w:eastAsia="宋体" w:cs="Times New Roman"/>
                <w:color w:val="auto"/>
                <w:sz w:val="22"/>
                <w:szCs w:val="24"/>
                <w:highlight w:val="none"/>
                <w:lang w:val="en-US" w:eastAsia="zh-CN"/>
              </w:rPr>
            </w:pPr>
            <w:r>
              <w:rPr>
                <w:rFonts w:hint="eastAsia" w:ascii="Times New Roman" w:hAnsi="Times New Roman" w:eastAsia="宋体" w:cs="Times New Roman"/>
                <w:color w:val="auto"/>
                <w:sz w:val="22"/>
                <w:szCs w:val="24"/>
                <w:highlight w:val="none"/>
                <w:lang w:val="en-US" w:eastAsia="zh-CN"/>
              </w:rPr>
              <w:t>1248.89</w:t>
            </w:r>
          </w:p>
        </w:tc>
        <w:tc>
          <w:tcPr>
            <w:tcW w:w="0" w:type="auto"/>
            <w:tcBorders>
              <w:top w:val="single" w:color="auto" w:sz="4" w:space="0"/>
              <w:left w:val="single" w:color="auto" w:sz="4" w:space="0"/>
              <w:bottom w:val="single" w:color="auto" w:sz="4" w:space="0"/>
              <w:right w:val="single" w:color="auto" w:sz="4" w:space="0"/>
            </w:tcBorders>
            <w:vAlign w:val="center"/>
          </w:tcPr>
          <w:p w14:paraId="07D167F3">
            <w:pPr>
              <w:jc w:val="center"/>
              <w:rPr>
                <w:rFonts w:hint="default" w:ascii="Times New Roman" w:hAnsi="Times New Roman" w:eastAsia="宋体" w:cs="Times New Roman"/>
                <w:color w:val="auto"/>
                <w:sz w:val="22"/>
                <w:szCs w:val="24"/>
                <w:highlight w:val="none"/>
                <w:lang w:val="en-US" w:eastAsia="zh-CN"/>
              </w:rPr>
            </w:pPr>
            <w:r>
              <w:rPr>
                <w:rFonts w:hint="eastAsia" w:ascii="Times New Roman" w:hAnsi="Times New Roman" w:eastAsia="宋体" w:cs="Times New Roman"/>
                <w:color w:val="auto"/>
                <w:sz w:val="22"/>
                <w:szCs w:val="24"/>
                <w:highlight w:val="none"/>
                <w:lang w:val="en-US" w:eastAsia="zh-CN"/>
              </w:rPr>
              <w:t>水、活性污泥、菌渣</w:t>
            </w:r>
          </w:p>
        </w:tc>
        <w:tc>
          <w:tcPr>
            <w:tcW w:w="0" w:type="auto"/>
            <w:tcBorders>
              <w:top w:val="single" w:color="auto" w:sz="4" w:space="0"/>
              <w:left w:val="single" w:color="auto" w:sz="4" w:space="0"/>
              <w:bottom w:val="single" w:color="auto" w:sz="4" w:space="0"/>
              <w:right w:val="single" w:color="auto" w:sz="4" w:space="0"/>
            </w:tcBorders>
            <w:vAlign w:val="center"/>
          </w:tcPr>
          <w:p w14:paraId="0EE00EAA">
            <w:pPr>
              <w:jc w:val="center"/>
              <w:rPr>
                <w:rFonts w:hint="default" w:ascii="Times New Roman" w:hAnsi="Times New Roman" w:eastAsia="宋体" w:cs="Times New Roman"/>
                <w:color w:val="auto"/>
                <w:sz w:val="22"/>
                <w:szCs w:val="24"/>
                <w:highlight w:val="none"/>
                <w:lang w:val="en-US" w:eastAsia="zh-CN"/>
              </w:rPr>
            </w:pPr>
            <w:r>
              <w:rPr>
                <w:rFonts w:hint="eastAsia" w:ascii="Times New Roman" w:hAnsi="Times New Roman" w:eastAsia="宋体" w:cs="Times New Roman"/>
                <w:color w:val="auto"/>
                <w:sz w:val="22"/>
                <w:szCs w:val="24"/>
                <w:highlight w:val="none"/>
                <w:lang w:val="en-US" w:eastAsia="zh-CN"/>
              </w:rPr>
              <w:t>一般固废</w:t>
            </w:r>
          </w:p>
        </w:tc>
        <w:tc>
          <w:tcPr>
            <w:tcW w:w="2224" w:type="dxa"/>
            <w:tcBorders>
              <w:top w:val="single" w:color="auto" w:sz="4" w:space="0"/>
              <w:left w:val="single" w:color="auto" w:sz="4" w:space="0"/>
              <w:bottom w:val="single" w:color="auto" w:sz="4" w:space="0"/>
              <w:right w:val="single" w:color="auto" w:sz="4" w:space="0"/>
            </w:tcBorders>
            <w:vAlign w:val="center"/>
          </w:tcPr>
          <w:p w14:paraId="1899367E">
            <w:pPr>
              <w:jc w:val="center"/>
              <w:rPr>
                <w:rFonts w:hint="default" w:ascii="Times New Roman" w:hAnsi="Times New Roman" w:eastAsia="宋体" w:cs="Times New Roman"/>
                <w:color w:val="auto"/>
                <w:sz w:val="22"/>
                <w:szCs w:val="24"/>
                <w:highlight w:val="none"/>
                <w:lang w:val="en-US" w:eastAsia="zh-CN"/>
              </w:rPr>
            </w:pPr>
            <w:r>
              <w:rPr>
                <w:rFonts w:hint="eastAsia" w:ascii="Times New Roman" w:hAnsi="Times New Roman" w:eastAsia="宋体" w:cs="Times New Roman"/>
                <w:color w:val="auto"/>
                <w:sz w:val="22"/>
                <w:szCs w:val="24"/>
                <w:highlight w:val="none"/>
                <w:lang w:val="en-US" w:eastAsia="zh-CN"/>
              </w:rPr>
              <w:t xml:space="preserve">外售 </w:t>
            </w:r>
          </w:p>
        </w:tc>
      </w:tr>
      <w:tr w14:paraId="163B4177">
        <w:tblPrEx>
          <w:tblCellMar>
            <w:top w:w="0" w:type="dxa"/>
            <w:left w:w="108" w:type="dxa"/>
            <w:bottom w:w="0" w:type="dxa"/>
            <w:right w:w="108" w:type="dxa"/>
          </w:tblCellMar>
        </w:tblPrEx>
        <w:trPr>
          <w:trHeight w:val="285" w:hRule="atLeast"/>
        </w:trPr>
        <w:tc>
          <w:tcPr>
            <w:tcW w:w="0" w:type="auto"/>
            <w:tcBorders>
              <w:top w:val="single" w:color="auto" w:sz="4" w:space="0"/>
              <w:left w:val="single" w:color="auto" w:sz="4" w:space="0"/>
              <w:bottom w:val="single" w:color="auto" w:sz="4" w:space="0"/>
              <w:right w:val="single" w:color="auto" w:sz="4" w:space="0"/>
            </w:tcBorders>
            <w:vAlign w:val="center"/>
          </w:tcPr>
          <w:p w14:paraId="50C9D552">
            <w:pPr>
              <w:jc w:val="center"/>
              <w:rPr>
                <w:rFonts w:ascii="Times New Roman" w:hAnsi="Times New Roman" w:eastAsia="宋体" w:cs="Times New Roman"/>
                <w:color w:val="auto"/>
                <w:sz w:val="22"/>
                <w:szCs w:val="24"/>
                <w:highlight w:val="none"/>
              </w:rPr>
            </w:pPr>
            <w:r>
              <w:rPr>
                <w:rFonts w:hint="eastAsia" w:ascii="Times New Roman" w:hAnsi="Times New Roman" w:eastAsia="宋体" w:cs="Times New Roman"/>
                <w:color w:val="auto"/>
                <w:sz w:val="22"/>
                <w:szCs w:val="24"/>
                <w:highlight w:val="none"/>
              </w:rPr>
              <w:t>合计</w:t>
            </w:r>
          </w:p>
        </w:tc>
        <w:tc>
          <w:tcPr>
            <w:tcW w:w="0" w:type="auto"/>
            <w:tcBorders>
              <w:top w:val="single" w:color="auto" w:sz="4" w:space="0"/>
              <w:left w:val="single" w:color="auto" w:sz="4" w:space="0"/>
              <w:bottom w:val="single" w:color="auto" w:sz="4" w:space="0"/>
              <w:right w:val="single" w:color="auto" w:sz="4" w:space="0"/>
            </w:tcBorders>
            <w:vAlign w:val="center"/>
          </w:tcPr>
          <w:p w14:paraId="6A099350">
            <w:pPr>
              <w:jc w:val="center"/>
              <w:rPr>
                <w:rFonts w:hint="default" w:ascii="Times New Roman" w:hAnsi="Times New Roman" w:eastAsia="宋体" w:cs="Times New Roman"/>
                <w:color w:val="auto"/>
                <w:sz w:val="22"/>
                <w:szCs w:val="24"/>
                <w:highlight w:val="none"/>
                <w:lang w:val="en-US" w:eastAsia="zh-CN"/>
              </w:rPr>
            </w:pPr>
            <w:r>
              <w:rPr>
                <w:rFonts w:hint="eastAsia" w:ascii="Times New Roman" w:hAnsi="Times New Roman" w:eastAsia="宋体" w:cs="Times New Roman"/>
                <w:color w:val="auto"/>
                <w:sz w:val="22"/>
                <w:szCs w:val="24"/>
                <w:highlight w:val="none"/>
                <w:lang w:val="en-US" w:eastAsia="zh-CN"/>
              </w:rPr>
              <w:t>1310.342</w:t>
            </w:r>
          </w:p>
        </w:tc>
        <w:tc>
          <w:tcPr>
            <w:tcW w:w="0" w:type="auto"/>
            <w:tcBorders>
              <w:top w:val="single" w:color="auto" w:sz="4" w:space="0"/>
              <w:left w:val="single" w:color="auto" w:sz="4" w:space="0"/>
              <w:bottom w:val="single" w:color="auto" w:sz="4" w:space="0"/>
              <w:right w:val="single" w:color="auto" w:sz="4" w:space="0"/>
            </w:tcBorders>
            <w:vAlign w:val="center"/>
          </w:tcPr>
          <w:p w14:paraId="0C654CD1">
            <w:pPr>
              <w:jc w:val="center"/>
              <w:rPr>
                <w:rFonts w:ascii="Times New Roman" w:hAnsi="Times New Roman" w:eastAsia="宋体" w:cs="Times New Roman"/>
                <w:color w:val="auto"/>
                <w:sz w:val="22"/>
                <w:szCs w:val="24"/>
                <w:highlight w:val="none"/>
              </w:rPr>
            </w:pPr>
          </w:p>
        </w:tc>
        <w:tc>
          <w:tcPr>
            <w:tcW w:w="0" w:type="auto"/>
            <w:tcBorders>
              <w:top w:val="single" w:color="auto" w:sz="4" w:space="0"/>
              <w:left w:val="single" w:color="auto" w:sz="4" w:space="0"/>
              <w:bottom w:val="single" w:color="auto" w:sz="4" w:space="0"/>
              <w:right w:val="single" w:color="auto" w:sz="4" w:space="0"/>
            </w:tcBorders>
            <w:vAlign w:val="center"/>
          </w:tcPr>
          <w:p w14:paraId="25409EDB">
            <w:pPr>
              <w:jc w:val="center"/>
              <w:rPr>
                <w:rFonts w:ascii="Times New Roman" w:hAnsi="Times New Roman" w:eastAsia="宋体" w:cs="Times New Roman"/>
                <w:color w:val="auto"/>
                <w:sz w:val="22"/>
                <w:szCs w:val="24"/>
                <w:highlight w:val="none"/>
              </w:rPr>
            </w:pPr>
          </w:p>
        </w:tc>
        <w:tc>
          <w:tcPr>
            <w:tcW w:w="2224" w:type="dxa"/>
            <w:tcBorders>
              <w:top w:val="single" w:color="auto" w:sz="4" w:space="0"/>
              <w:left w:val="single" w:color="auto" w:sz="4" w:space="0"/>
              <w:bottom w:val="single" w:color="auto" w:sz="4" w:space="0"/>
              <w:right w:val="single" w:color="auto" w:sz="4" w:space="0"/>
            </w:tcBorders>
            <w:vAlign w:val="center"/>
          </w:tcPr>
          <w:p w14:paraId="3B1B027D">
            <w:pPr>
              <w:jc w:val="center"/>
              <w:rPr>
                <w:rFonts w:ascii="Times New Roman" w:hAnsi="Times New Roman" w:eastAsia="宋体" w:cs="Times New Roman"/>
                <w:color w:val="auto"/>
                <w:sz w:val="22"/>
                <w:szCs w:val="24"/>
                <w:highlight w:val="none"/>
              </w:rPr>
            </w:pPr>
          </w:p>
        </w:tc>
      </w:tr>
    </w:tbl>
    <w:p w14:paraId="7A4B33B7">
      <w:pPr>
        <w:jc w:val="center"/>
        <w:rPr>
          <w:rFonts w:ascii="Times New Roman" w:hAnsi="Times New Roman" w:eastAsia="宋体" w:cs="Times New Roman"/>
          <w:color w:val="FF0000"/>
          <w:sz w:val="22"/>
          <w:szCs w:val="24"/>
        </w:rPr>
      </w:pPr>
    </w:p>
    <w:p w14:paraId="320BEA3E">
      <w:pPr>
        <w:pStyle w:val="5"/>
        <w:bidi w:val="0"/>
      </w:pPr>
      <w:r>
        <w:t>3.1.</w:t>
      </w:r>
      <w:r>
        <w:rPr>
          <w:rFonts w:hint="eastAsia"/>
        </w:rPr>
        <w:t>11</w:t>
      </w:r>
      <w:r>
        <w:t>.4</w:t>
      </w:r>
      <w:r>
        <w:rPr>
          <w:rFonts w:hint="eastAsia"/>
          <w:lang w:val="en-US" w:eastAsia="zh-CN"/>
        </w:rPr>
        <w:tab/>
      </w:r>
      <w:r>
        <w:rPr>
          <w:rFonts w:hint="eastAsia"/>
        </w:rPr>
        <w:t>噪声</w:t>
      </w:r>
    </w:p>
    <w:p w14:paraId="0E26229F">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项目噪声主要来源于生产车间各类</w:t>
      </w:r>
      <w:r>
        <w:rPr>
          <w:rFonts w:hint="eastAsia" w:ascii="Times New Roman" w:hAnsi="Times New Roman" w:eastAsia="宋体" w:cs="Times New Roman"/>
          <w:color w:val="auto"/>
          <w:sz w:val="24"/>
          <w:szCs w:val="24"/>
          <w:lang w:val="en-US" w:eastAsia="zh-CN"/>
        </w:rPr>
        <w:t>生产设备</w:t>
      </w:r>
      <w:r>
        <w:rPr>
          <w:rFonts w:hint="eastAsia" w:ascii="Times New Roman" w:hAnsi="Times New Roman" w:eastAsia="宋体" w:cs="Times New Roman"/>
          <w:color w:val="auto"/>
          <w:sz w:val="24"/>
          <w:szCs w:val="24"/>
        </w:rPr>
        <w:t>，以及作为公用工程的空压机组，通过优先低噪声设备，设置隔声厂房墙体和合理布局、厂房周边绿化隔声带等方式进行消音降噪。根据现场调查了解可知：项目选用了噪声较低的优质设备，从源头上降低了噪声的产生，同时对设备采取了相应的减振措施，还建有厂房对设备噪声进行隔声处理。</w:t>
      </w:r>
    </w:p>
    <w:p w14:paraId="680AD5EC">
      <w:pPr>
        <w:pStyle w:val="6"/>
        <w:bidi w:val="0"/>
      </w:pPr>
      <w:r>
        <w:rPr>
          <w:rFonts w:hint="eastAsia"/>
        </w:rPr>
        <w:t>表3.1.11-</w:t>
      </w:r>
      <w:r>
        <w:rPr>
          <w:rFonts w:hint="eastAsia"/>
          <w:lang w:val="en-US" w:eastAsia="zh-CN"/>
        </w:rPr>
        <w:t>8</w:t>
      </w:r>
      <w:r>
        <w:t xml:space="preserve"> </w:t>
      </w:r>
      <w:r>
        <w:rPr>
          <w:rFonts w:hint="eastAsia"/>
        </w:rPr>
        <w:t xml:space="preserve">   厂界噪声常规监测结果一览表 </w:t>
      </w:r>
      <w:r>
        <w:t xml:space="preserve"> </w:t>
      </w:r>
      <w:r>
        <w:rPr>
          <w:rFonts w:hint="eastAsia"/>
        </w:rPr>
        <w:t>单位：</w:t>
      </w:r>
      <w:r>
        <w:t>mg/L</w:t>
      </w:r>
    </w:p>
    <w:tbl>
      <w:tblPr>
        <w:tblStyle w:val="41"/>
        <w:tblW w:w="5001" w:type="pct"/>
        <w:tblInd w:w="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220"/>
        <w:gridCol w:w="1458"/>
        <w:gridCol w:w="1126"/>
        <w:gridCol w:w="1721"/>
        <w:gridCol w:w="1683"/>
        <w:gridCol w:w="1106"/>
      </w:tblGrid>
      <w:tr w14:paraId="106E47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734" w:type="pct"/>
            <w:vMerge w:val="restart"/>
            <w:tcBorders>
              <w:bottom w:val="nil"/>
            </w:tcBorders>
            <w:vAlign w:val="center"/>
          </w:tcPr>
          <w:p w14:paraId="02BDA65D">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检测时间</w:t>
            </w:r>
          </w:p>
        </w:tc>
        <w:tc>
          <w:tcPr>
            <w:tcW w:w="1554" w:type="pct"/>
            <w:gridSpan w:val="2"/>
            <w:vMerge w:val="restart"/>
            <w:tcBorders>
              <w:bottom w:val="nil"/>
            </w:tcBorders>
            <w:vAlign w:val="center"/>
          </w:tcPr>
          <w:p w14:paraId="40A3F947">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检测点位</w:t>
            </w:r>
          </w:p>
        </w:tc>
        <w:tc>
          <w:tcPr>
            <w:tcW w:w="2047" w:type="pct"/>
            <w:gridSpan w:val="2"/>
            <w:vAlign w:val="center"/>
          </w:tcPr>
          <w:p w14:paraId="6D9EFB2C">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检测结果</w:t>
            </w:r>
          </w:p>
        </w:tc>
        <w:tc>
          <w:tcPr>
            <w:tcW w:w="663" w:type="pct"/>
            <w:vMerge w:val="restart"/>
            <w:tcBorders>
              <w:bottom w:val="nil"/>
            </w:tcBorders>
            <w:vAlign w:val="center"/>
          </w:tcPr>
          <w:p w14:paraId="0716CAC9">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主要声源</w:t>
            </w:r>
          </w:p>
        </w:tc>
      </w:tr>
      <w:tr w14:paraId="4F97D1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734" w:type="pct"/>
            <w:vMerge w:val="continue"/>
            <w:tcBorders>
              <w:top w:val="nil"/>
            </w:tcBorders>
            <w:vAlign w:val="center"/>
          </w:tcPr>
          <w:p w14:paraId="71CC1C2E">
            <w:pPr>
              <w:jc w:val="center"/>
              <w:rPr>
                <w:rFonts w:ascii="Times New Roman" w:hAnsi="Times New Roman" w:eastAsia="宋体" w:cs="Times New Roman"/>
                <w:color w:val="auto"/>
                <w:sz w:val="22"/>
                <w:szCs w:val="24"/>
              </w:rPr>
            </w:pPr>
          </w:p>
        </w:tc>
        <w:tc>
          <w:tcPr>
            <w:tcW w:w="1554" w:type="pct"/>
            <w:gridSpan w:val="2"/>
            <w:vMerge w:val="continue"/>
            <w:tcBorders>
              <w:top w:val="nil"/>
            </w:tcBorders>
            <w:vAlign w:val="center"/>
          </w:tcPr>
          <w:p w14:paraId="3E621329">
            <w:pPr>
              <w:jc w:val="center"/>
              <w:rPr>
                <w:rFonts w:ascii="Times New Roman" w:hAnsi="Times New Roman" w:eastAsia="宋体" w:cs="Times New Roman"/>
                <w:color w:val="auto"/>
                <w:sz w:val="22"/>
                <w:szCs w:val="24"/>
              </w:rPr>
            </w:pPr>
          </w:p>
        </w:tc>
        <w:tc>
          <w:tcPr>
            <w:tcW w:w="1035" w:type="pct"/>
            <w:vAlign w:val="center"/>
          </w:tcPr>
          <w:p w14:paraId="5385EEE0">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Leq</w:t>
            </w:r>
          </w:p>
        </w:tc>
        <w:tc>
          <w:tcPr>
            <w:tcW w:w="1012" w:type="pct"/>
            <w:vAlign w:val="center"/>
          </w:tcPr>
          <w:p w14:paraId="5429DF31">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SD</w:t>
            </w:r>
          </w:p>
        </w:tc>
        <w:tc>
          <w:tcPr>
            <w:tcW w:w="663" w:type="pct"/>
            <w:vMerge w:val="continue"/>
            <w:tcBorders>
              <w:top w:val="nil"/>
            </w:tcBorders>
            <w:vAlign w:val="center"/>
          </w:tcPr>
          <w:p w14:paraId="65643024">
            <w:pPr>
              <w:jc w:val="center"/>
              <w:rPr>
                <w:rFonts w:ascii="Times New Roman" w:hAnsi="Times New Roman" w:eastAsia="宋体" w:cs="Times New Roman"/>
                <w:color w:val="auto"/>
                <w:sz w:val="22"/>
                <w:szCs w:val="24"/>
              </w:rPr>
            </w:pPr>
          </w:p>
        </w:tc>
      </w:tr>
      <w:tr w14:paraId="106E1C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734" w:type="pct"/>
            <w:vMerge w:val="restart"/>
            <w:tcBorders>
              <w:bottom w:val="nil"/>
            </w:tcBorders>
            <w:vAlign w:val="center"/>
          </w:tcPr>
          <w:p w14:paraId="0E3A2434">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2024年04月16日</w:t>
            </w:r>
          </w:p>
        </w:tc>
        <w:tc>
          <w:tcPr>
            <w:tcW w:w="877" w:type="pct"/>
            <w:vMerge w:val="restart"/>
            <w:tcBorders>
              <w:bottom w:val="nil"/>
            </w:tcBorders>
            <w:vAlign w:val="center"/>
          </w:tcPr>
          <w:p w14:paraId="678B96A3">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Z1</w:t>
            </w:r>
          </w:p>
          <w:p w14:paraId="711ECA72">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厂界外东侧</w:t>
            </w:r>
          </w:p>
        </w:tc>
        <w:tc>
          <w:tcPr>
            <w:tcW w:w="676" w:type="pct"/>
            <w:vAlign w:val="center"/>
          </w:tcPr>
          <w:p w14:paraId="45497272">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昼</w:t>
            </w:r>
          </w:p>
        </w:tc>
        <w:tc>
          <w:tcPr>
            <w:tcW w:w="1035" w:type="pct"/>
            <w:vAlign w:val="center"/>
          </w:tcPr>
          <w:p w14:paraId="2DB86325">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54.2</w:t>
            </w:r>
          </w:p>
        </w:tc>
        <w:tc>
          <w:tcPr>
            <w:tcW w:w="1012" w:type="pct"/>
            <w:vAlign w:val="center"/>
          </w:tcPr>
          <w:p w14:paraId="15C05338">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2.2</w:t>
            </w:r>
          </w:p>
        </w:tc>
        <w:tc>
          <w:tcPr>
            <w:tcW w:w="663" w:type="pct"/>
            <w:vAlign w:val="center"/>
          </w:tcPr>
          <w:p w14:paraId="0E45377B">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机械</w:t>
            </w:r>
          </w:p>
        </w:tc>
      </w:tr>
      <w:tr w14:paraId="534C2D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734" w:type="pct"/>
            <w:vMerge w:val="continue"/>
            <w:tcBorders>
              <w:top w:val="nil"/>
              <w:bottom w:val="nil"/>
            </w:tcBorders>
            <w:vAlign w:val="center"/>
          </w:tcPr>
          <w:p w14:paraId="6B4D6078">
            <w:pPr>
              <w:jc w:val="center"/>
              <w:rPr>
                <w:rFonts w:ascii="Times New Roman" w:hAnsi="Times New Roman" w:eastAsia="宋体" w:cs="Times New Roman"/>
                <w:color w:val="auto"/>
                <w:sz w:val="22"/>
                <w:szCs w:val="24"/>
              </w:rPr>
            </w:pPr>
          </w:p>
        </w:tc>
        <w:tc>
          <w:tcPr>
            <w:tcW w:w="877" w:type="pct"/>
            <w:vMerge w:val="continue"/>
            <w:tcBorders>
              <w:top w:val="nil"/>
            </w:tcBorders>
            <w:vAlign w:val="center"/>
          </w:tcPr>
          <w:p w14:paraId="127AD1D5">
            <w:pPr>
              <w:jc w:val="center"/>
              <w:rPr>
                <w:rFonts w:ascii="Times New Roman" w:hAnsi="Times New Roman" w:eastAsia="宋体" w:cs="Times New Roman"/>
                <w:color w:val="auto"/>
                <w:sz w:val="22"/>
                <w:szCs w:val="24"/>
              </w:rPr>
            </w:pPr>
          </w:p>
        </w:tc>
        <w:tc>
          <w:tcPr>
            <w:tcW w:w="676" w:type="pct"/>
            <w:vAlign w:val="center"/>
          </w:tcPr>
          <w:p w14:paraId="0CD0A423">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夜</w:t>
            </w:r>
          </w:p>
        </w:tc>
        <w:tc>
          <w:tcPr>
            <w:tcW w:w="1035" w:type="pct"/>
            <w:vAlign w:val="center"/>
          </w:tcPr>
          <w:p w14:paraId="3B357854">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49.1</w:t>
            </w:r>
          </w:p>
        </w:tc>
        <w:tc>
          <w:tcPr>
            <w:tcW w:w="1012" w:type="pct"/>
            <w:vAlign w:val="center"/>
          </w:tcPr>
          <w:p w14:paraId="0D560F67">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3.3</w:t>
            </w:r>
          </w:p>
        </w:tc>
        <w:tc>
          <w:tcPr>
            <w:tcW w:w="663" w:type="pct"/>
            <w:vAlign w:val="center"/>
          </w:tcPr>
          <w:p w14:paraId="39999093">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机械</w:t>
            </w:r>
          </w:p>
        </w:tc>
      </w:tr>
      <w:tr w14:paraId="434A9B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734" w:type="pct"/>
            <w:vMerge w:val="continue"/>
            <w:tcBorders>
              <w:top w:val="nil"/>
              <w:bottom w:val="nil"/>
            </w:tcBorders>
            <w:vAlign w:val="center"/>
          </w:tcPr>
          <w:p w14:paraId="2C68F070">
            <w:pPr>
              <w:jc w:val="center"/>
              <w:rPr>
                <w:rFonts w:ascii="Times New Roman" w:hAnsi="Times New Roman" w:eastAsia="宋体" w:cs="Times New Roman"/>
                <w:color w:val="auto"/>
                <w:sz w:val="22"/>
                <w:szCs w:val="24"/>
              </w:rPr>
            </w:pPr>
          </w:p>
        </w:tc>
        <w:tc>
          <w:tcPr>
            <w:tcW w:w="877" w:type="pct"/>
            <w:vMerge w:val="restart"/>
            <w:tcBorders>
              <w:bottom w:val="nil"/>
            </w:tcBorders>
            <w:vAlign w:val="center"/>
          </w:tcPr>
          <w:p w14:paraId="50DCD2AD">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Z2</w:t>
            </w:r>
          </w:p>
          <w:p w14:paraId="428B1675">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厂界外南侧</w:t>
            </w:r>
          </w:p>
        </w:tc>
        <w:tc>
          <w:tcPr>
            <w:tcW w:w="676" w:type="pct"/>
            <w:vAlign w:val="center"/>
          </w:tcPr>
          <w:p w14:paraId="6CE957A6">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昼</w:t>
            </w:r>
          </w:p>
        </w:tc>
        <w:tc>
          <w:tcPr>
            <w:tcW w:w="1035" w:type="pct"/>
            <w:vAlign w:val="center"/>
          </w:tcPr>
          <w:p w14:paraId="4ED470A4">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56.6</w:t>
            </w:r>
          </w:p>
        </w:tc>
        <w:tc>
          <w:tcPr>
            <w:tcW w:w="1012" w:type="pct"/>
            <w:vAlign w:val="center"/>
          </w:tcPr>
          <w:p w14:paraId="46F22ECD">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4.3</w:t>
            </w:r>
          </w:p>
        </w:tc>
        <w:tc>
          <w:tcPr>
            <w:tcW w:w="663" w:type="pct"/>
            <w:vAlign w:val="center"/>
          </w:tcPr>
          <w:p w14:paraId="53FA458A">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机械</w:t>
            </w:r>
          </w:p>
        </w:tc>
      </w:tr>
      <w:tr w14:paraId="39D888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734" w:type="pct"/>
            <w:vMerge w:val="continue"/>
            <w:tcBorders>
              <w:top w:val="nil"/>
              <w:bottom w:val="nil"/>
            </w:tcBorders>
            <w:vAlign w:val="center"/>
          </w:tcPr>
          <w:p w14:paraId="203D15BC">
            <w:pPr>
              <w:jc w:val="center"/>
              <w:rPr>
                <w:rFonts w:ascii="Times New Roman" w:hAnsi="Times New Roman" w:eastAsia="宋体" w:cs="Times New Roman"/>
                <w:color w:val="auto"/>
                <w:sz w:val="22"/>
                <w:szCs w:val="24"/>
              </w:rPr>
            </w:pPr>
          </w:p>
        </w:tc>
        <w:tc>
          <w:tcPr>
            <w:tcW w:w="877" w:type="pct"/>
            <w:vMerge w:val="continue"/>
            <w:tcBorders>
              <w:top w:val="nil"/>
            </w:tcBorders>
            <w:vAlign w:val="center"/>
          </w:tcPr>
          <w:p w14:paraId="62778DA9">
            <w:pPr>
              <w:jc w:val="center"/>
              <w:rPr>
                <w:rFonts w:ascii="Times New Roman" w:hAnsi="Times New Roman" w:eastAsia="宋体" w:cs="Times New Roman"/>
                <w:color w:val="auto"/>
                <w:sz w:val="22"/>
                <w:szCs w:val="24"/>
              </w:rPr>
            </w:pPr>
          </w:p>
        </w:tc>
        <w:tc>
          <w:tcPr>
            <w:tcW w:w="676" w:type="pct"/>
            <w:vAlign w:val="center"/>
          </w:tcPr>
          <w:p w14:paraId="1F82675C">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夜</w:t>
            </w:r>
          </w:p>
        </w:tc>
        <w:tc>
          <w:tcPr>
            <w:tcW w:w="1035" w:type="pct"/>
            <w:vAlign w:val="center"/>
          </w:tcPr>
          <w:p w14:paraId="68C3FB87">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46.7</w:t>
            </w:r>
          </w:p>
        </w:tc>
        <w:tc>
          <w:tcPr>
            <w:tcW w:w="1012" w:type="pct"/>
            <w:vAlign w:val="center"/>
          </w:tcPr>
          <w:p w14:paraId="41955258">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2.6</w:t>
            </w:r>
          </w:p>
        </w:tc>
        <w:tc>
          <w:tcPr>
            <w:tcW w:w="663" w:type="pct"/>
            <w:vAlign w:val="center"/>
          </w:tcPr>
          <w:p w14:paraId="1884CDD1">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机械</w:t>
            </w:r>
          </w:p>
        </w:tc>
      </w:tr>
      <w:tr w14:paraId="5DEAD0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734" w:type="pct"/>
            <w:vMerge w:val="continue"/>
            <w:tcBorders>
              <w:top w:val="nil"/>
              <w:bottom w:val="nil"/>
            </w:tcBorders>
            <w:vAlign w:val="center"/>
          </w:tcPr>
          <w:p w14:paraId="42EE9626">
            <w:pPr>
              <w:jc w:val="center"/>
              <w:rPr>
                <w:rFonts w:ascii="Times New Roman" w:hAnsi="Times New Roman" w:eastAsia="宋体" w:cs="Times New Roman"/>
                <w:color w:val="auto"/>
                <w:sz w:val="22"/>
                <w:szCs w:val="24"/>
              </w:rPr>
            </w:pPr>
          </w:p>
        </w:tc>
        <w:tc>
          <w:tcPr>
            <w:tcW w:w="877" w:type="pct"/>
            <w:vMerge w:val="restart"/>
            <w:tcBorders>
              <w:bottom w:val="nil"/>
            </w:tcBorders>
            <w:vAlign w:val="center"/>
          </w:tcPr>
          <w:p w14:paraId="5603066C">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Z3</w:t>
            </w:r>
          </w:p>
          <w:p w14:paraId="4D1A362C">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厂界外西侧</w:t>
            </w:r>
          </w:p>
        </w:tc>
        <w:tc>
          <w:tcPr>
            <w:tcW w:w="676" w:type="pct"/>
            <w:vAlign w:val="center"/>
          </w:tcPr>
          <w:p w14:paraId="019D2721">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昼</w:t>
            </w:r>
          </w:p>
        </w:tc>
        <w:tc>
          <w:tcPr>
            <w:tcW w:w="1035" w:type="pct"/>
            <w:vAlign w:val="center"/>
          </w:tcPr>
          <w:p w14:paraId="04F2DB1C">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59.3</w:t>
            </w:r>
          </w:p>
        </w:tc>
        <w:tc>
          <w:tcPr>
            <w:tcW w:w="1012" w:type="pct"/>
            <w:vAlign w:val="center"/>
          </w:tcPr>
          <w:p w14:paraId="73CC6489">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4.2</w:t>
            </w:r>
          </w:p>
        </w:tc>
        <w:tc>
          <w:tcPr>
            <w:tcW w:w="663" w:type="pct"/>
            <w:vAlign w:val="center"/>
          </w:tcPr>
          <w:p w14:paraId="0339DD48">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机械</w:t>
            </w:r>
          </w:p>
        </w:tc>
      </w:tr>
      <w:tr w14:paraId="0D93EA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734" w:type="pct"/>
            <w:vMerge w:val="continue"/>
            <w:tcBorders>
              <w:top w:val="nil"/>
              <w:bottom w:val="nil"/>
            </w:tcBorders>
            <w:vAlign w:val="center"/>
          </w:tcPr>
          <w:p w14:paraId="145FB4AF">
            <w:pPr>
              <w:jc w:val="center"/>
              <w:rPr>
                <w:rFonts w:ascii="Times New Roman" w:hAnsi="Times New Roman" w:eastAsia="宋体" w:cs="Times New Roman"/>
                <w:color w:val="auto"/>
                <w:sz w:val="22"/>
                <w:szCs w:val="24"/>
              </w:rPr>
            </w:pPr>
          </w:p>
        </w:tc>
        <w:tc>
          <w:tcPr>
            <w:tcW w:w="877" w:type="pct"/>
            <w:vMerge w:val="continue"/>
            <w:tcBorders>
              <w:top w:val="nil"/>
            </w:tcBorders>
            <w:vAlign w:val="center"/>
          </w:tcPr>
          <w:p w14:paraId="36A347FC">
            <w:pPr>
              <w:jc w:val="center"/>
              <w:rPr>
                <w:rFonts w:ascii="Times New Roman" w:hAnsi="Times New Roman" w:eastAsia="宋体" w:cs="Times New Roman"/>
                <w:color w:val="auto"/>
                <w:sz w:val="22"/>
                <w:szCs w:val="24"/>
              </w:rPr>
            </w:pPr>
          </w:p>
        </w:tc>
        <w:tc>
          <w:tcPr>
            <w:tcW w:w="676" w:type="pct"/>
            <w:vAlign w:val="center"/>
          </w:tcPr>
          <w:p w14:paraId="310D610B">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夜</w:t>
            </w:r>
          </w:p>
        </w:tc>
        <w:tc>
          <w:tcPr>
            <w:tcW w:w="1035" w:type="pct"/>
            <w:vAlign w:val="center"/>
          </w:tcPr>
          <w:p w14:paraId="6950BC4F">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49.8</w:t>
            </w:r>
          </w:p>
        </w:tc>
        <w:tc>
          <w:tcPr>
            <w:tcW w:w="1012" w:type="pct"/>
            <w:vAlign w:val="center"/>
          </w:tcPr>
          <w:p w14:paraId="59551051">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3.5</w:t>
            </w:r>
          </w:p>
        </w:tc>
        <w:tc>
          <w:tcPr>
            <w:tcW w:w="663" w:type="pct"/>
            <w:vAlign w:val="center"/>
          </w:tcPr>
          <w:p w14:paraId="2F5FE9AA">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机械</w:t>
            </w:r>
          </w:p>
        </w:tc>
      </w:tr>
      <w:tr w14:paraId="797FEA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734" w:type="pct"/>
            <w:vMerge w:val="continue"/>
            <w:tcBorders>
              <w:top w:val="nil"/>
              <w:bottom w:val="nil"/>
            </w:tcBorders>
            <w:vAlign w:val="center"/>
          </w:tcPr>
          <w:p w14:paraId="7E92AFD3">
            <w:pPr>
              <w:jc w:val="center"/>
              <w:rPr>
                <w:rFonts w:ascii="Times New Roman" w:hAnsi="Times New Roman" w:eastAsia="宋体" w:cs="Times New Roman"/>
                <w:color w:val="auto"/>
                <w:sz w:val="22"/>
                <w:szCs w:val="24"/>
              </w:rPr>
            </w:pPr>
          </w:p>
        </w:tc>
        <w:tc>
          <w:tcPr>
            <w:tcW w:w="877" w:type="pct"/>
            <w:vMerge w:val="restart"/>
            <w:tcBorders>
              <w:bottom w:val="nil"/>
            </w:tcBorders>
            <w:vAlign w:val="center"/>
          </w:tcPr>
          <w:p w14:paraId="5C701AC6">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Z4</w:t>
            </w:r>
          </w:p>
          <w:p w14:paraId="53C01823">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厂界外北侧</w:t>
            </w:r>
          </w:p>
        </w:tc>
        <w:tc>
          <w:tcPr>
            <w:tcW w:w="676" w:type="pct"/>
            <w:vAlign w:val="center"/>
          </w:tcPr>
          <w:p w14:paraId="0B6ADA5F">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昼</w:t>
            </w:r>
          </w:p>
        </w:tc>
        <w:tc>
          <w:tcPr>
            <w:tcW w:w="1035" w:type="pct"/>
            <w:vAlign w:val="center"/>
          </w:tcPr>
          <w:p w14:paraId="1D483852">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54.3</w:t>
            </w:r>
          </w:p>
        </w:tc>
        <w:tc>
          <w:tcPr>
            <w:tcW w:w="1012" w:type="pct"/>
            <w:vAlign w:val="center"/>
          </w:tcPr>
          <w:p w14:paraId="76A5520A">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1.7</w:t>
            </w:r>
          </w:p>
        </w:tc>
        <w:tc>
          <w:tcPr>
            <w:tcW w:w="663" w:type="pct"/>
            <w:vAlign w:val="center"/>
          </w:tcPr>
          <w:p w14:paraId="3F4948F0">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机械</w:t>
            </w:r>
          </w:p>
        </w:tc>
      </w:tr>
      <w:tr w14:paraId="38EAF1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734" w:type="pct"/>
            <w:vMerge w:val="continue"/>
            <w:tcBorders>
              <w:top w:val="nil"/>
            </w:tcBorders>
            <w:vAlign w:val="center"/>
          </w:tcPr>
          <w:p w14:paraId="3B426D15">
            <w:pPr>
              <w:jc w:val="center"/>
              <w:rPr>
                <w:rFonts w:ascii="Times New Roman" w:hAnsi="Times New Roman" w:eastAsia="宋体" w:cs="Times New Roman"/>
                <w:color w:val="auto"/>
                <w:sz w:val="22"/>
                <w:szCs w:val="24"/>
              </w:rPr>
            </w:pPr>
          </w:p>
        </w:tc>
        <w:tc>
          <w:tcPr>
            <w:tcW w:w="877" w:type="pct"/>
            <w:vMerge w:val="continue"/>
            <w:tcBorders>
              <w:top w:val="nil"/>
            </w:tcBorders>
            <w:vAlign w:val="center"/>
          </w:tcPr>
          <w:p w14:paraId="7E5F8462">
            <w:pPr>
              <w:jc w:val="center"/>
              <w:rPr>
                <w:rFonts w:ascii="Times New Roman" w:hAnsi="Times New Roman" w:eastAsia="宋体" w:cs="Times New Roman"/>
                <w:color w:val="auto"/>
                <w:sz w:val="22"/>
                <w:szCs w:val="24"/>
              </w:rPr>
            </w:pPr>
          </w:p>
        </w:tc>
        <w:tc>
          <w:tcPr>
            <w:tcW w:w="676" w:type="pct"/>
            <w:vAlign w:val="center"/>
          </w:tcPr>
          <w:p w14:paraId="4A45008B">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夜</w:t>
            </w:r>
          </w:p>
        </w:tc>
        <w:tc>
          <w:tcPr>
            <w:tcW w:w="1035" w:type="pct"/>
            <w:vAlign w:val="center"/>
          </w:tcPr>
          <w:p w14:paraId="5432BF58">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47.9</w:t>
            </w:r>
          </w:p>
        </w:tc>
        <w:tc>
          <w:tcPr>
            <w:tcW w:w="1012" w:type="pct"/>
            <w:vAlign w:val="center"/>
          </w:tcPr>
          <w:p w14:paraId="39E36D8F">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1.5</w:t>
            </w:r>
          </w:p>
        </w:tc>
        <w:tc>
          <w:tcPr>
            <w:tcW w:w="663" w:type="pct"/>
            <w:vAlign w:val="center"/>
          </w:tcPr>
          <w:p w14:paraId="64EED193">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机械</w:t>
            </w:r>
          </w:p>
        </w:tc>
      </w:tr>
      <w:tr w14:paraId="0F6FD6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 w:hRule="atLeast"/>
        </w:trPr>
        <w:tc>
          <w:tcPr>
            <w:tcW w:w="5000" w:type="pct"/>
            <w:gridSpan w:val="6"/>
            <w:vAlign w:val="center"/>
          </w:tcPr>
          <w:p w14:paraId="283835AC">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备注：检测期间气象参数：天气(阴),风向(东),风速</w:t>
            </w:r>
            <w:r>
              <w:rPr>
                <w:rFonts w:hint="eastAsia" w:ascii="Times New Roman" w:hAnsi="Times New Roman" w:eastAsia="宋体" w:cs="Times New Roman"/>
                <w:color w:val="auto"/>
                <w:sz w:val="22"/>
                <w:szCs w:val="24"/>
                <w:lang w:val="en-US" w:eastAsia="zh-CN"/>
              </w:rPr>
              <w:t>2.0</w:t>
            </w:r>
            <w:r>
              <w:rPr>
                <w:rFonts w:ascii="Times New Roman" w:hAnsi="Times New Roman" w:eastAsia="宋体" w:cs="Times New Roman"/>
                <w:color w:val="auto"/>
                <w:sz w:val="22"/>
                <w:szCs w:val="24"/>
              </w:rPr>
              <w:t>m/s)。</w:t>
            </w:r>
          </w:p>
        </w:tc>
      </w:tr>
    </w:tbl>
    <w:p w14:paraId="508051B4">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以上监测结果表明，</w:t>
      </w:r>
      <w:r>
        <w:rPr>
          <w:rFonts w:ascii="Times New Roman" w:hAnsi="Times New Roman" w:eastAsia="宋体" w:cs="Times New Roman"/>
          <w:color w:val="auto"/>
          <w:sz w:val="24"/>
          <w:szCs w:val="24"/>
        </w:rPr>
        <w:t>项目厂界东、西、南、北侧噪声均满足《工业企业厂界环境噪声排放标准》（GB12348-2008）</w:t>
      </w:r>
      <w:r>
        <w:rPr>
          <w:rFonts w:hint="eastAsia" w:ascii="Times New Roman" w:hAnsi="Times New Roman" w:eastAsia="宋体" w:cs="Times New Roman"/>
          <w:color w:val="auto"/>
          <w:sz w:val="24"/>
          <w:szCs w:val="24"/>
        </w:rPr>
        <w:t>3</w:t>
      </w:r>
      <w:r>
        <w:rPr>
          <w:rFonts w:ascii="Times New Roman" w:hAnsi="Times New Roman" w:eastAsia="宋体" w:cs="Times New Roman"/>
          <w:color w:val="auto"/>
          <w:sz w:val="24"/>
          <w:szCs w:val="24"/>
        </w:rPr>
        <w:t>类标准限值。</w:t>
      </w:r>
    </w:p>
    <w:p w14:paraId="65CB5A01">
      <w:pPr>
        <w:pStyle w:val="5"/>
        <w:bidi w:val="0"/>
      </w:pPr>
      <w:r>
        <w:t>3.1.</w:t>
      </w:r>
      <w:r>
        <w:rPr>
          <w:rFonts w:hint="eastAsia"/>
        </w:rPr>
        <w:t>11</w:t>
      </w:r>
      <w:r>
        <w:t>.5环境风险防范设施</w:t>
      </w:r>
    </w:p>
    <w:p w14:paraId="4548BC9E">
      <w:pPr>
        <w:spacing w:line="360" w:lineRule="auto"/>
        <w:ind w:firstLine="480" w:firstLineChars="200"/>
        <w:rPr>
          <w:rFonts w:ascii="Times New Roman" w:hAnsi="Times New Roman" w:eastAsia="宋体" w:cs="Times New Roman"/>
          <w:color w:val="auto"/>
          <w:sz w:val="24"/>
          <w:szCs w:val="24"/>
          <w:u w:val="none"/>
        </w:rPr>
      </w:pPr>
      <w:r>
        <w:rPr>
          <w:rFonts w:hint="eastAsia" w:ascii="Times New Roman" w:hAnsi="Times New Roman" w:eastAsia="宋体" w:cs="Times New Roman"/>
          <w:color w:val="auto"/>
          <w:sz w:val="24"/>
          <w:szCs w:val="24"/>
          <w:u w:val="none"/>
        </w:rPr>
        <w:t>企业重视环境风险管理，为了加强环境风险事故防范和应急处置能力，定期开展应急演练及人员培训。</w:t>
      </w:r>
    </w:p>
    <w:p w14:paraId="1278D497">
      <w:pPr>
        <w:spacing w:line="360" w:lineRule="auto"/>
        <w:ind w:firstLine="480" w:firstLineChars="200"/>
        <w:rPr>
          <w:rFonts w:ascii="Times New Roman" w:hAnsi="Times New Roman" w:eastAsia="宋体" w:cs="Times New Roman"/>
          <w:color w:val="auto"/>
          <w:sz w:val="24"/>
          <w:szCs w:val="24"/>
          <w:u w:val="none"/>
        </w:rPr>
      </w:pPr>
      <w:r>
        <w:rPr>
          <w:rFonts w:hint="eastAsia" w:ascii="Times New Roman" w:hAnsi="Times New Roman" w:eastAsia="宋体" w:cs="Times New Roman"/>
          <w:color w:val="auto"/>
          <w:sz w:val="24"/>
          <w:szCs w:val="24"/>
          <w:u w:val="none"/>
        </w:rPr>
        <w:t>根据《环境影响评价技术导则-地下水环境》（HJ610-2016），厂区防渗区域划分为重点污染防渗区、一般污染防渗区和简单防渗区，厂区总体已按要求进行了分区防渗。</w:t>
      </w:r>
    </w:p>
    <w:p w14:paraId="40805A81">
      <w:pPr>
        <w:spacing w:line="360" w:lineRule="auto"/>
        <w:ind w:firstLine="480" w:firstLineChars="200"/>
        <w:rPr>
          <w:rFonts w:ascii="Times New Roman" w:hAnsi="Times New Roman" w:eastAsia="宋体" w:cs="Times New Roman"/>
          <w:color w:val="auto"/>
          <w:sz w:val="24"/>
          <w:szCs w:val="24"/>
          <w:u w:val="none"/>
        </w:rPr>
      </w:pPr>
      <w:r>
        <w:rPr>
          <w:rFonts w:hint="eastAsia" w:ascii="Times New Roman" w:hAnsi="Times New Roman" w:eastAsia="宋体" w:cs="Times New Roman"/>
          <w:color w:val="auto"/>
          <w:sz w:val="24"/>
          <w:szCs w:val="24"/>
          <w:u w:val="none"/>
        </w:rPr>
        <w:t>建设单位于20</w:t>
      </w:r>
      <w:r>
        <w:rPr>
          <w:rFonts w:hint="eastAsia" w:ascii="Times New Roman" w:hAnsi="Times New Roman" w:eastAsia="宋体" w:cs="Times New Roman"/>
          <w:color w:val="auto"/>
          <w:sz w:val="24"/>
          <w:szCs w:val="24"/>
          <w:u w:val="none"/>
          <w:lang w:val="en-US" w:eastAsia="zh-CN"/>
        </w:rPr>
        <w:t>18</w:t>
      </w:r>
      <w:r>
        <w:rPr>
          <w:rFonts w:hint="eastAsia" w:ascii="Times New Roman" w:hAnsi="Times New Roman" w:eastAsia="宋体" w:cs="Times New Roman"/>
          <w:color w:val="auto"/>
          <w:sz w:val="24"/>
          <w:szCs w:val="24"/>
          <w:u w:val="none"/>
        </w:rPr>
        <w:t>年</w:t>
      </w:r>
      <w:r>
        <w:rPr>
          <w:rFonts w:hint="eastAsia" w:ascii="Times New Roman" w:hAnsi="Times New Roman" w:eastAsia="宋体" w:cs="Times New Roman"/>
          <w:color w:val="auto"/>
          <w:sz w:val="24"/>
          <w:szCs w:val="24"/>
          <w:u w:val="none"/>
          <w:lang w:val="en-US" w:eastAsia="zh-CN"/>
        </w:rPr>
        <w:t>12</w:t>
      </w:r>
      <w:r>
        <w:rPr>
          <w:rFonts w:hint="eastAsia" w:ascii="Times New Roman" w:hAnsi="Times New Roman" w:eastAsia="宋体" w:cs="Times New Roman"/>
          <w:color w:val="auto"/>
          <w:sz w:val="24"/>
          <w:szCs w:val="24"/>
          <w:u w:val="none"/>
        </w:rPr>
        <w:t>月编制完成了突发环境事件应急预案，分别在常德市生态环境津市分局（备案号：4307</w:t>
      </w:r>
      <w:r>
        <w:rPr>
          <w:rFonts w:hint="eastAsia" w:ascii="Times New Roman" w:hAnsi="Times New Roman" w:eastAsia="宋体" w:cs="Times New Roman"/>
          <w:color w:val="auto"/>
          <w:sz w:val="24"/>
          <w:szCs w:val="24"/>
          <w:u w:val="none"/>
          <w:lang w:val="en-US" w:eastAsia="zh-CN"/>
        </w:rPr>
        <w:t>81-2019-002-M</w:t>
      </w:r>
      <w:r>
        <w:rPr>
          <w:rFonts w:hint="eastAsia" w:ascii="Times New Roman" w:hAnsi="Times New Roman" w:eastAsia="宋体" w:cs="Times New Roman"/>
          <w:color w:val="auto"/>
          <w:sz w:val="24"/>
          <w:szCs w:val="24"/>
          <w:u w:val="none"/>
        </w:rPr>
        <w:t>）及常德市</w:t>
      </w:r>
      <w:r>
        <w:rPr>
          <w:rFonts w:hint="eastAsia" w:ascii="Times New Roman" w:hAnsi="Times New Roman" w:eastAsia="宋体" w:cs="Times New Roman"/>
          <w:color w:val="auto"/>
          <w:sz w:val="24"/>
          <w:szCs w:val="24"/>
          <w:u w:val="none"/>
          <w:lang w:val="en-US" w:eastAsia="zh-CN"/>
        </w:rPr>
        <w:t>环境应急与事故调查中心</w:t>
      </w:r>
      <w:r>
        <w:rPr>
          <w:rFonts w:hint="eastAsia" w:ascii="Times New Roman" w:hAnsi="Times New Roman" w:eastAsia="宋体" w:cs="Times New Roman"/>
          <w:color w:val="auto"/>
          <w:sz w:val="24"/>
          <w:szCs w:val="24"/>
          <w:u w:val="none"/>
        </w:rPr>
        <w:t>备案（备案号：4307</w:t>
      </w:r>
      <w:r>
        <w:rPr>
          <w:rFonts w:hint="eastAsia" w:ascii="Times New Roman" w:hAnsi="Times New Roman" w:eastAsia="宋体" w:cs="Times New Roman"/>
          <w:color w:val="auto"/>
          <w:sz w:val="24"/>
          <w:szCs w:val="24"/>
          <w:u w:val="none"/>
          <w:lang w:val="en-US" w:eastAsia="zh-CN"/>
        </w:rPr>
        <w:t>81-2019-002-M</w:t>
      </w:r>
      <w:r>
        <w:rPr>
          <w:rFonts w:hint="eastAsia" w:ascii="Times New Roman" w:hAnsi="Times New Roman" w:eastAsia="宋体" w:cs="Times New Roman"/>
          <w:color w:val="auto"/>
          <w:sz w:val="24"/>
          <w:szCs w:val="24"/>
          <w:u w:val="none"/>
        </w:rPr>
        <w:t>）。2023年2月对突发环境</w:t>
      </w:r>
      <w:r>
        <w:rPr>
          <w:rFonts w:hint="eastAsia" w:ascii="Times New Roman" w:hAnsi="Times New Roman" w:eastAsia="宋体" w:cs="Times New Roman"/>
          <w:color w:val="auto"/>
          <w:sz w:val="24"/>
          <w:szCs w:val="24"/>
          <w:u w:val="none"/>
          <w:lang w:val="en-US" w:eastAsia="zh-CN"/>
        </w:rPr>
        <w:t>事件</w:t>
      </w:r>
      <w:r>
        <w:rPr>
          <w:rFonts w:hint="eastAsia" w:ascii="Times New Roman" w:hAnsi="Times New Roman" w:eastAsia="宋体" w:cs="Times New Roman"/>
          <w:color w:val="auto"/>
          <w:sz w:val="24"/>
          <w:szCs w:val="24"/>
          <w:u w:val="none"/>
        </w:rPr>
        <w:t>应急预案进行修编，并在常德市生态环境保护综合行政执法支队进行备案（备案号：430781-2023-012-H）</w:t>
      </w:r>
    </w:p>
    <w:p w14:paraId="171CE2CE">
      <w:pPr>
        <w:spacing w:line="360" w:lineRule="auto"/>
        <w:ind w:firstLine="480" w:firstLineChars="200"/>
        <w:rPr>
          <w:rFonts w:ascii="Times New Roman" w:hAnsi="Times New Roman" w:eastAsia="宋体" w:cs="Times New Roman"/>
          <w:color w:val="auto"/>
          <w:sz w:val="24"/>
          <w:szCs w:val="24"/>
          <w:u w:val="none"/>
        </w:rPr>
      </w:pPr>
      <w:r>
        <w:rPr>
          <w:rFonts w:hint="eastAsia" w:ascii="Times New Roman" w:hAnsi="Times New Roman" w:eastAsia="宋体" w:cs="Times New Roman"/>
          <w:color w:val="auto"/>
          <w:sz w:val="24"/>
          <w:szCs w:val="24"/>
          <w:u w:val="none"/>
        </w:rPr>
        <w:t>建设单位对于厂内突发环境事件风险防范主要措施如下：</w:t>
      </w:r>
      <w:r>
        <w:rPr>
          <w:rFonts w:hint="eastAsia" w:ascii="Times New Roman" w:hAnsi="Times New Roman" w:eastAsia="宋体" w:cs="Times New Roman"/>
          <w:color w:val="auto"/>
          <w:sz w:val="24"/>
          <w:szCs w:val="24"/>
          <w:u w:val="none"/>
          <w:lang w:val="en-US" w:eastAsia="zh-CN"/>
        </w:rPr>
        <w:t>氨水、盐酸、液碱储</w:t>
      </w:r>
      <w:r>
        <w:rPr>
          <w:rFonts w:hint="eastAsia" w:ascii="Times New Roman" w:hAnsi="Times New Roman" w:eastAsia="宋体" w:cs="Times New Roman"/>
          <w:color w:val="auto"/>
          <w:sz w:val="24"/>
          <w:szCs w:val="24"/>
          <w:u w:val="none"/>
        </w:rPr>
        <w:t>罐区设置了围堰</w:t>
      </w:r>
      <w:r>
        <w:rPr>
          <w:rFonts w:hint="eastAsia" w:ascii="Times New Roman" w:hAnsi="Times New Roman" w:eastAsia="宋体" w:cs="Times New Roman"/>
          <w:color w:val="auto"/>
          <w:sz w:val="24"/>
          <w:szCs w:val="24"/>
          <w:u w:val="none"/>
          <w:lang w:val="en-US" w:eastAsia="zh-CN"/>
        </w:rPr>
        <w:t>和收集井</w:t>
      </w:r>
      <w:r>
        <w:rPr>
          <w:rFonts w:hint="eastAsia" w:ascii="Times New Roman" w:hAnsi="Times New Roman" w:eastAsia="宋体" w:cs="Times New Roman"/>
          <w:color w:val="auto"/>
          <w:sz w:val="24"/>
          <w:szCs w:val="24"/>
          <w:u w:val="none"/>
        </w:rPr>
        <w:t>，并做了防渗</w:t>
      </w:r>
      <w:r>
        <w:rPr>
          <w:rFonts w:hint="eastAsia" w:ascii="Times New Roman" w:hAnsi="Times New Roman" w:eastAsia="宋体" w:cs="Times New Roman"/>
          <w:color w:val="auto"/>
          <w:sz w:val="24"/>
          <w:szCs w:val="24"/>
          <w:u w:val="none"/>
          <w:lang w:val="en-US" w:eastAsia="zh-CN"/>
        </w:rPr>
        <w:t>措施</w:t>
      </w:r>
      <w:r>
        <w:rPr>
          <w:rFonts w:hint="eastAsia" w:ascii="Times New Roman" w:hAnsi="Times New Roman" w:eastAsia="宋体" w:cs="Times New Roman"/>
          <w:color w:val="auto"/>
          <w:sz w:val="24"/>
          <w:szCs w:val="24"/>
          <w:u w:val="none"/>
        </w:rPr>
        <w:t>；</w:t>
      </w:r>
      <w:r>
        <w:rPr>
          <w:rFonts w:hint="eastAsia" w:ascii="Times New Roman" w:hAnsi="Times New Roman" w:eastAsia="宋体" w:cs="Times New Roman"/>
          <w:color w:val="auto"/>
          <w:sz w:val="24"/>
          <w:szCs w:val="24"/>
          <w:u w:val="none"/>
          <w:lang w:val="en-US" w:eastAsia="zh-CN"/>
        </w:rPr>
        <w:t>生产车间为重点防渗区，内设有地沟，生产车间外设地沟和收集池</w:t>
      </w:r>
      <w:r>
        <w:rPr>
          <w:rFonts w:hint="eastAsia" w:ascii="Times New Roman" w:hAnsi="Times New Roman" w:eastAsia="宋体" w:cs="Times New Roman"/>
          <w:color w:val="auto"/>
          <w:sz w:val="24"/>
          <w:szCs w:val="24"/>
          <w:u w:val="none"/>
        </w:rPr>
        <w:t>；在污水处理站内设置有1个</w:t>
      </w:r>
      <w:r>
        <w:rPr>
          <w:rFonts w:hint="eastAsia" w:ascii="Times New Roman" w:hAnsi="Times New Roman" w:eastAsia="宋体" w:cs="Times New Roman"/>
          <w:color w:val="auto"/>
          <w:sz w:val="24"/>
          <w:szCs w:val="24"/>
          <w:u w:val="none"/>
          <w:lang w:val="en-US" w:eastAsia="zh-CN"/>
        </w:rPr>
        <w:t>370</w:t>
      </w:r>
      <w:r>
        <w:rPr>
          <w:rFonts w:hint="eastAsia" w:ascii="Times New Roman" w:hAnsi="Times New Roman" w:eastAsia="宋体" w:cs="Times New Roman"/>
          <w:color w:val="auto"/>
          <w:sz w:val="24"/>
          <w:szCs w:val="24"/>
          <w:u w:val="none"/>
          <w:lang w:eastAsia="zh-CN"/>
        </w:rPr>
        <w:t>m</w:t>
      </w:r>
      <w:r>
        <w:rPr>
          <w:rFonts w:hint="eastAsia" w:ascii="Times New Roman" w:hAnsi="Times New Roman" w:eastAsia="宋体" w:cs="Times New Roman"/>
          <w:color w:val="auto"/>
          <w:sz w:val="24"/>
          <w:szCs w:val="24"/>
          <w:u w:val="none"/>
          <w:vertAlign w:val="superscript"/>
          <w:lang w:eastAsia="zh-CN"/>
        </w:rPr>
        <w:t>3</w:t>
      </w:r>
      <w:r>
        <w:rPr>
          <w:rFonts w:hint="eastAsia" w:ascii="Times New Roman" w:hAnsi="Times New Roman" w:eastAsia="宋体" w:cs="Times New Roman"/>
          <w:color w:val="auto"/>
          <w:sz w:val="24"/>
          <w:szCs w:val="24"/>
          <w:u w:val="none"/>
          <w:vertAlign w:val="superscript"/>
        </w:rPr>
        <w:t xml:space="preserve"> </w:t>
      </w:r>
      <w:r>
        <w:rPr>
          <w:rFonts w:hint="eastAsia" w:ascii="Times New Roman" w:hAnsi="Times New Roman" w:eastAsia="宋体" w:cs="Times New Roman"/>
          <w:color w:val="auto"/>
          <w:sz w:val="24"/>
          <w:szCs w:val="24"/>
          <w:u w:val="none"/>
        </w:rPr>
        <w:t>的事故应急池；厂区设置了一个容积为</w:t>
      </w:r>
      <w:r>
        <w:rPr>
          <w:rFonts w:hint="eastAsia" w:ascii="Times New Roman" w:hAnsi="Times New Roman" w:eastAsia="宋体" w:cs="Times New Roman"/>
          <w:color w:val="auto"/>
          <w:sz w:val="24"/>
          <w:szCs w:val="24"/>
          <w:u w:val="none"/>
          <w:lang w:val="en-US" w:eastAsia="zh-CN"/>
        </w:rPr>
        <w:t>300</w:t>
      </w:r>
      <w:r>
        <w:rPr>
          <w:rFonts w:hint="eastAsia" w:ascii="Times New Roman" w:hAnsi="Times New Roman" w:eastAsia="宋体" w:cs="Times New Roman"/>
          <w:color w:val="auto"/>
          <w:sz w:val="24"/>
          <w:szCs w:val="24"/>
          <w:u w:val="none"/>
          <w:lang w:eastAsia="zh-CN"/>
        </w:rPr>
        <w:t>m</w:t>
      </w:r>
      <w:r>
        <w:rPr>
          <w:rFonts w:hint="eastAsia" w:ascii="Times New Roman" w:hAnsi="Times New Roman" w:eastAsia="宋体" w:cs="Times New Roman"/>
          <w:color w:val="auto"/>
          <w:sz w:val="24"/>
          <w:szCs w:val="24"/>
          <w:u w:val="none"/>
          <w:vertAlign w:val="superscript"/>
          <w:lang w:eastAsia="zh-CN"/>
        </w:rPr>
        <w:t>3</w:t>
      </w:r>
      <w:r>
        <w:rPr>
          <w:rFonts w:hint="eastAsia" w:ascii="Times New Roman" w:hAnsi="Times New Roman" w:eastAsia="宋体" w:cs="Times New Roman"/>
          <w:color w:val="auto"/>
          <w:sz w:val="24"/>
          <w:szCs w:val="24"/>
          <w:u w:val="none"/>
        </w:rPr>
        <w:t>初期雨水收集池，经收集的初期雨水可泵入污水处理站内处理。车间内设有室内消火栓及移动式泡沫灭火器</w:t>
      </w:r>
      <w:r>
        <w:rPr>
          <w:rFonts w:hint="eastAsia" w:ascii="Times New Roman" w:hAnsi="Times New Roman" w:eastAsia="宋体" w:cs="Times New Roman"/>
          <w:color w:val="auto"/>
          <w:sz w:val="24"/>
          <w:szCs w:val="24"/>
          <w:u w:val="none"/>
          <w:lang w:eastAsia="zh-CN"/>
        </w:rPr>
        <w:t>。</w:t>
      </w:r>
      <w:r>
        <w:rPr>
          <w:rFonts w:hint="eastAsia" w:ascii="Times New Roman" w:hAnsi="Times New Roman" w:eastAsia="宋体" w:cs="Times New Roman"/>
          <w:color w:val="auto"/>
          <w:sz w:val="24"/>
          <w:szCs w:val="24"/>
          <w:u w:val="none"/>
        </w:rPr>
        <w:t>在反应区罐体发生因罐体、阀门、管道破损而导致其中料液发生泄漏时可收集</w:t>
      </w:r>
      <w:r>
        <w:rPr>
          <w:rFonts w:hint="eastAsia" w:ascii="Times New Roman" w:hAnsi="Times New Roman" w:eastAsia="宋体" w:cs="Times New Roman"/>
          <w:color w:val="auto"/>
          <w:sz w:val="24"/>
          <w:szCs w:val="24"/>
          <w:u w:val="none"/>
          <w:lang w:val="en-US" w:eastAsia="zh-CN"/>
        </w:rPr>
        <w:t>至车间外收集井</w:t>
      </w:r>
      <w:r>
        <w:rPr>
          <w:rFonts w:hint="eastAsia" w:ascii="Times New Roman" w:hAnsi="Times New Roman" w:eastAsia="宋体" w:cs="Times New Roman"/>
          <w:color w:val="auto"/>
          <w:sz w:val="24"/>
          <w:szCs w:val="24"/>
          <w:u w:val="none"/>
        </w:rPr>
        <w:t>。按要求设置了危废暂存间，危废暂存间</w:t>
      </w:r>
      <w:r>
        <w:rPr>
          <w:rFonts w:hint="eastAsia" w:ascii="Times New Roman" w:hAnsi="Times New Roman" w:eastAsia="宋体" w:cs="Times New Roman"/>
          <w:color w:val="auto"/>
          <w:sz w:val="24"/>
          <w:szCs w:val="24"/>
          <w:u w:val="none"/>
          <w:lang w:val="en-US" w:eastAsia="zh-CN"/>
        </w:rPr>
        <w:t>为重点</w:t>
      </w:r>
      <w:r>
        <w:rPr>
          <w:rFonts w:hint="eastAsia" w:ascii="Times New Roman" w:hAnsi="Times New Roman" w:eastAsia="宋体" w:cs="Times New Roman"/>
          <w:color w:val="auto"/>
          <w:sz w:val="24"/>
          <w:szCs w:val="24"/>
          <w:u w:val="none"/>
        </w:rPr>
        <w:t>防渗</w:t>
      </w:r>
      <w:r>
        <w:rPr>
          <w:rFonts w:hint="eastAsia" w:ascii="Times New Roman" w:hAnsi="Times New Roman" w:eastAsia="宋体" w:cs="Times New Roman"/>
          <w:color w:val="auto"/>
          <w:sz w:val="24"/>
          <w:szCs w:val="24"/>
          <w:u w:val="none"/>
          <w:lang w:eastAsia="zh-CN"/>
        </w:rPr>
        <w:t>。</w:t>
      </w:r>
      <w:r>
        <w:rPr>
          <w:rFonts w:hint="eastAsia" w:ascii="Times New Roman" w:hAnsi="Times New Roman" w:eastAsia="宋体" w:cs="Times New Roman"/>
          <w:color w:val="auto"/>
          <w:sz w:val="24"/>
          <w:szCs w:val="24"/>
          <w:u w:val="none"/>
          <w:lang w:val="en-US" w:eastAsia="zh-CN"/>
        </w:rPr>
        <w:t>氨水储罐区设置一套泄露报警装置及喷淋装置</w:t>
      </w:r>
      <w:r>
        <w:rPr>
          <w:rFonts w:hint="eastAsia" w:ascii="Times New Roman" w:hAnsi="Times New Roman" w:eastAsia="宋体" w:cs="Times New Roman"/>
          <w:color w:val="auto"/>
          <w:sz w:val="24"/>
          <w:szCs w:val="24"/>
          <w:u w:val="none"/>
        </w:rPr>
        <w:t>。</w:t>
      </w:r>
    </w:p>
    <w:p w14:paraId="4FDB089D">
      <w:pPr>
        <w:pStyle w:val="5"/>
        <w:bidi w:val="0"/>
      </w:pPr>
      <w:r>
        <w:rPr>
          <w:rFonts w:hint="eastAsia"/>
        </w:rPr>
        <w:t>3.1.11.</w:t>
      </w:r>
      <w:r>
        <w:rPr>
          <w:rFonts w:hint="eastAsia"/>
          <w:lang w:val="en-US" w:eastAsia="zh-CN"/>
        </w:rPr>
        <w:t>6</w:t>
      </w:r>
      <w:r>
        <w:rPr>
          <w:rFonts w:hint="eastAsia"/>
        </w:rPr>
        <w:t>危险废物暂存间</w:t>
      </w:r>
    </w:p>
    <w:p w14:paraId="20E65BFC">
      <w:pPr>
        <w:spacing w:line="360" w:lineRule="auto"/>
        <w:ind w:firstLine="480" w:firstLineChars="200"/>
        <w:rPr>
          <w:rFonts w:ascii="Times New Roman" w:hAnsi="Times New Roman" w:eastAsia="宋体" w:cs="Times New Roman"/>
          <w:color w:val="auto"/>
          <w:sz w:val="24"/>
          <w:szCs w:val="24"/>
          <w:u w:val="none"/>
        </w:rPr>
      </w:pPr>
      <w:r>
        <w:rPr>
          <w:rFonts w:ascii="Times New Roman" w:hAnsi="Times New Roman" w:eastAsia="宋体" w:cs="Times New Roman"/>
          <w:color w:val="auto"/>
          <w:sz w:val="24"/>
          <w:szCs w:val="24"/>
          <w:u w:val="none"/>
        </w:rPr>
        <w:t>危废暂存间</w:t>
      </w:r>
      <w:r>
        <w:rPr>
          <w:rFonts w:hint="eastAsia" w:ascii="Times New Roman" w:hAnsi="Times New Roman" w:eastAsia="宋体" w:cs="Times New Roman"/>
          <w:color w:val="auto"/>
          <w:sz w:val="24"/>
          <w:szCs w:val="24"/>
          <w:u w:val="none"/>
        </w:rPr>
        <w:t>位于污水处理站东北部</w:t>
      </w:r>
      <w:r>
        <w:rPr>
          <w:rFonts w:ascii="Times New Roman" w:hAnsi="Times New Roman" w:eastAsia="宋体" w:cs="Times New Roman"/>
          <w:color w:val="auto"/>
          <w:sz w:val="24"/>
          <w:szCs w:val="24"/>
          <w:u w:val="none"/>
        </w:rPr>
        <w:t>，危废暂存间面积70</w:t>
      </w:r>
      <w:r>
        <w:rPr>
          <w:rFonts w:hint="eastAsia" w:ascii="Times New Roman" w:hAnsi="Times New Roman" w:eastAsia="宋体" w:cs="Times New Roman"/>
          <w:color w:val="auto"/>
          <w:sz w:val="24"/>
          <w:szCs w:val="24"/>
          <w:u w:val="none"/>
          <w:lang w:eastAsia="zh-CN"/>
        </w:rPr>
        <w:t>m</w:t>
      </w:r>
      <w:r>
        <w:rPr>
          <w:rFonts w:hint="eastAsia" w:ascii="Times New Roman" w:hAnsi="Times New Roman" w:eastAsia="宋体" w:cs="Times New Roman"/>
          <w:color w:val="auto"/>
          <w:sz w:val="24"/>
          <w:szCs w:val="24"/>
          <w:u w:val="none"/>
          <w:vertAlign w:val="superscript"/>
          <w:lang w:eastAsia="zh-CN"/>
        </w:rPr>
        <w:t>2</w:t>
      </w:r>
      <w:r>
        <w:rPr>
          <w:rFonts w:ascii="Times New Roman" w:hAnsi="Times New Roman" w:eastAsia="宋体" w:cs="Times New Roman"/>
          <w:color w:val="auto"/>
          <w:sz w:val="24"/>
          <w:szCs w:val="24"/>
          <w:u w:val="none"/>
        </w:rPr>
        <w:t>。</w:t>
      </w:r>
    </w:p>
    <w:p w14:paraId="40638A12">
      <w:pPr>
        <w:spacing w:line="360" w:lineRule="auto"/>
        <w:ind w:firstLine="480" w:firstLineChars="200"/>
        <w:rPr>
          <w:rFonts w:ascii="Times New Roman" w:hAnsi="Times New Roman" w:eastAsia="宋体" w:cs="Times New Roman"/>
          <w:color w:val="auto"/>
          <w:sz w:val="24"/>
          <w:szCs w:val="24"/>
          <w:u w:val="none"/>
        </w:rPr>
      </w:pPr>
      <w:r>
        <w:rPr>
          <w:rFonts w:hint="eastAsia" w:ascii="Times New Roman" w:hAnsi="Times New Roman" w:eastAsia="宋体" w:cs="Times New Roman"/>
          <w:color w:val="auto"/>
          <w:kern w:val="0"/>
          <w:sz w:val="24"/>
          <w:szCs w:val="24"/>
          <w:u w:val="none"/>
          <w:lang w:val="en-US" w:eastAsia="zh-CN"/>
        </w:rPr>
        <w:t>新合新生物科技有限</w:t>
      </w:r>
      <w:r>
        <w:rPr>
          <w:rFonts w:ascii="Times New Roman" w:hAnsi="Times New Roman" w:eastAsia="宋体" w:cs="Times New Roman"/>
          <w:color w:val="auto"/>
          <w:kern w:val="0"/>
          <w:sz w:val="24"/>
          <w:szCs w:val="24"/>
          <w:u w:val="none"/>
        </w:rPr>
        <w:t>公司厂区内已设置了一座危废暂存间，位于厂区西</w:t>
      </w:r>
      <w:r>
        <w:rPr>
          <w:rFonts w:hint="eastAsia" w:ascii="Times New Roman" w:hAnsi="Times New Roman" w:eastAsia="宋体" w:cs="Times New Roman"/>
          <w:color w:val="auto"/>
          <w:kern w:val="0"/>
          <w:sz w:val="24"/>
          <w:szCs w:val="24"/>
          <w:u w:val="none"/>
        </w:rPr>
        <w:t>南侧（污水处理站东北侧）</w:t>
      </w:r>
      <w:r>
        <w:rPr>
          <w:rFonts w:ascii="Times New Roman" w:hAnsi="Times New Roman" w:eastAsia="宋体" w:cs="Times New Roman"/>
          <w:color w:val="auto"/>
          <w:kern w:val="0"/>
          <w:sz w:val="24"/>
          <w:szCs w:val="24"/>
          <w:u w:val="none"/>
        </w:rPr>
        <w:t>，面积为70</w:t>
      </w:r>
      <w:r>
        <w:rPr>
          <w:rFonts w:hint="eastAsia" w:ascii="Times New Roman" w:hAnsi="Times New Roman" w:eastAsia="宋体" w:cs="Times New Roman"/>
          <w:color w:val="auto"/>
          <w:kern w:val="0"/>
          <w:sz w:val="24"/>
          <w:szCs w:val="24"/>
          <w:u w:val="none"/>
          <w:lang w:eastAsia="zh-CN"/>
        </w:rPr>
        <w:t>m</w:t>
      </w:r>
      <w:r>
        <w:rPr>
          <w:rFonts w:hint="eastAsia" w:ascii="Times New Roman" w:hAnsi="Times New Roman" w:eastAsia="宋体" w:cs="Times New Roman"/>
          <w:color w:val="auto"/>
          <w:kern w:val="0"/>
          <w:sz w:val="24"/>
          <w:szCs w:val="24"/>
          <w:u w:val="none"/>
          <w:vertAlign w:val="superscript"/>
          <w:lang w:eastAsia="zh-CN"/>
        </w:rPr>
        <w:t>2</w:t>
      </w:r>
      <w:r>
        <w:rPr>
          <w:rFonts w:ascii="Times New Roman" w:hAnsi="Times New Roman" w:eastAsia="宋体" w:cs="Times New Roman"/>
          <w:color w:val="auto"/>
          <w:kern w:val="0"/>
          <w:sz w:val="24"/>
          <w:szCs w:val="24"/>
          <w:u w:val="none"/>
        </w:rPr>
        <w:t>，</w:t>
      </w:r>
      <w:r>
        <w:rPr>
          <w:rFonts w:ascii="Times New Roman" w:hAnsi="Times New Roman" w:eastAsia="宋体" w:cs="Times New Roman"/>
          <w:color w:val="auto"/>
          <w:sz w:val="24"/>
          <w:szCs w:val="24"/>
          <w:u w:val="none"/>
        </w:rPr>
        <w:t>危险废物为临时堆存，</w:t>
      </w:r>
      <w:r>
        <w:rPr>
          <w:rFonts w:hint="eastAsia" w:ascii="Times New Roman" w:hAnsi="Times New Roman" w:eastAsia="宋体" w:cs="Times New Roman"/>
          <w:color w:val="auto"/>
          <w:sz w:val="24"/>
          <w:szCs w:val="24"/>
          <w:u w:val="none"/>
        </w:rPr>
        <w:t>危废暂存间</w:t>
      </w:r>
      <w:r>
        <w:rPr>
          <w:rFonts w:hint="eastAsia" w:ascii="Times New Roman" w:hAnsi="Times New Roman" w:eastAsia="宋体" w:cs="Times New Roman"/>
          <w:color w:val="auto"/>
          <w:sz w:val="24"/>
          <w:szCs w:val="24"/>
          <w:u w:val="none"/>
          <w:lang w:val="en-US" w:eastAsia="zh-CN"/>
        </w:rPr>
        <w:t>为重点防渗区</w:t>
      </w:r>
      <w:r>
        <w:rPr>
          <w:rFonts w:hint="eastAsia" w:ascii="Times New Roman" w:hAnsi="Times New Roman" w:eastAsia="宋体" w:cs="Times New Roman"/>
          <w:color w:val="auto"/>
          <w:sz w:val="24"/>
          <w:szCs w:val="24"/>
          <w:u w:val="none"/>
        </w:rPr>
        <w:t>，</w:t>
      </w:r>
      <w:r>
        <w:rPr>
          <w:rFonts w:hint="eastAsia" w:ascii="Times New Roman" w:hAnsi="Times New Roman" w:eastAsia="宋体" w:cs="Times New Roman"/>
          <w:color w:val="auto"/>
          <w:sz w:val="24"/>
          <w:szCs w:val="24"/>
          <w:u w:val="none"/>
          <w:lang w:val="en-US" w:eastAsia="zh-CN"/>
        </w:rPr>
        <w:t>采用环氧树脂防渗，</w:t>
      </w:r>
      <w:r>
        <w:rPr>
          <w:rFonts w:hint="eastAsia" w:ascii="Times New Roman" w:hAnsi="Times New Roman" w:eastAsia="宋体" w:cs="Times New Roman"/>
          <w:color w:val="auto"/>
          <w:sz w:val="24"/>
          <w:szCs w:val="24"/>
          <w:u w:val="none"/>
        </w:rPr>
        <w:t>防渗性能等效于6.0m厚渗透系数为1.0×10</w:t>
      </w:r>
      <w:r>
        <w:rPr>
          <w:rFonts w:hint="eastAsia" w:ascii="Times New Roman" w:hAnsi="Times New Roman" w:eastAsia="宋体" w:cs="Times New Roman"/>
          <w:color w:val="auto"/>
          <w:sz w:val="24"/>
          <w:szCs w:val="24"/>
          <w:u w:val="none"/>
          <w:vertAlign w:val="superscript"/>
        </w:rPr>
        <w:t>-7</w:t>
      </w:r>
      <w:r>
        <w:rPr>
          <w:rFonts w:hint="eastAsia" w:ascii="Times New Roman" w:hAnsi="Times New Roman" w:eastAsia="宋体" w:cs="Times New Roman"/>
          <w:color w:val="auto"/>
          <w:sz w:val="24"/>
          <w:szCs w:val="24"/>
          <w:u w:val="none"/>
        </w:rPr>
        <w:t>cm/s的黏土层的防渗性能，危废间废气通过</w:t>
      </w:r>
      <w:r>
        <w:rPr>
          <w:rFonts w:hint="eastAsia" w:ascii="Times New Roman" w:hAnsi="Times New Roman" w:eastAsia="宋体" w:cs="Times New Roman"/>
          <w:color w:val="auto"/>
          <w:sz w:val="24"/>
          <w:szCs w:val="24"/>
          <w:u w:val="none"/>
          <w:lang w:val="en-US" w:eastAsia="zh-CN"/>
        </w:rPr>
        <w:t>引风机导入碱喷淋塔+水喷淋塔+生物除臭设施</w:t>
      </w:r>
      <w:r>
        <w:rPr>
          <w:rFonts w:hint="eastAsia" w:ascii="Times New Roman" w:hAnsi="Times New Roman" w:eastAsia="宋体" w:cs="Times New Roman"/>
          <w:color w:val="auto"/>
          <w:sz w:val="24"/>
          <w:szCs w:val="24"/>
          <w:u w:val="none"/>
        </w:rPr>
        <w:t>处置</w:t>
      </w:r>
      <w:r>
        <w:rPr>
          <w:rFonts w:ascii="Times New Roman" w:hAnsi="Times New Roman" w:eastAsia="宋体" w:cs="Times New Roman"/>
          <w:color w:val="auto"/>
          <w:sz w:val="24"/>
          <w:szCs w:val="24"/>
          <w:u w:val="none"/>
        </w:rPr>
        <w:t>。</w:t>
      </w:r>
    </w:p>
    <w:p w14:paraId="45B49EDE">
      <w:pPr>
        <w:widowControl/>
        <w:spacing w:line="360" w:lineRule="auto"/>
        <w:ind w:firstLine="480" w:firstLineChars="200"/>
        <w:jc w:val="left"/>
        <w:rPr>
          <w:rFonts w:ascii="Times New Roman" w:hAnsi="Times New Roman" w:eastAsia="宋体" w:cs="Times New Roman"/>
          <w:color w:val="auto"/>
          <w:kern w:val="0"/>
          <w:sz w:val="24"/>
          <w:szCs w:val="24"/>
          <w:highlight w:val="yellow"/>
          <w:u w:val="none"/>
        </w:rPr>
      </w:pPr>
      <w:r>
        <w:rPr>
          <w:rFonts w:hint="eastAsia" w:ascii="Times New Roman" w:hAnsi="Times New Roman" w:eastAsia="宋体" w:cs="Times New Roman"/>
          <w:color w:val="auto"/>
          <w:kern w:val="0"/>
          <w:sz w:val="24"/>
          <w:szCs w:val="24"/>
          <w:u w:val="none"/>
        </w:rPr>
        <w:t>同时，对比危险废物暂存种类，现有工程危险废物暂存间分区及暂存情况如下：</w:t>
      </w:r>
    </w:p>
    <w:p w14:paraId="3D3F8BAE">
      <w:pPr>
        <w:widowControl/>
        <w:jc w:val="center"/>
        <w:rPr>
          <w:rFonts w:ascii="Times New Roman" w:hAnsi="Times New Roman" w:eastAsia="宋体" w:cs="Times New Roman"/>
          <w:b/>
          <w:bCs/>
          <w:color w:val="auto"/>
          <w:kern w:val="0"/>
          <w:szCs w:val="21"/>
          <w:highlight w:val="none"/>
          <w:u w:val="none"/>
        </w:rPr>
      </w:pPr>
      <w:r>
        <w:rPr>
          <w:rFonts w:hint="eastAsia" w:ascii="Times New Roman" w:hAnsi="Times New Roman" w:eastAsia="宋体" w:cs="Times New Roman"/>
          <w:b/>
          <w:bCs/>
          <w:color w:val="auto"/>
          <w:kern w:val="0"/>
          <w:szCs w:val="21"/>
          <w:highlight w:val="none"/>
          <w:u w:val="none"/>
        </w:rPr>
        <w:t>表3.1.11-1</w:t>
      </w:r>
      <w:r>
        <w:rPr>
          <w:rFonts w:hint="eastAsia" w:ascii="Times New Roman" w:hAnsi="Times New Roman" w:eastAsia="宋体" w:cs="Times New Roman"/>
          <w:b/>
          <w:bCs/>
          <w:color w:val="auto"/>
          <w:kern w:val="0"/>
          <w:szCs w:val="21"/>
          <w:highlight w:val="none"/>
          <w:u w:val="none"/>
          <w:lang w:val="en-US" w:eastAsia="zh-CN"/>
        </w:rPr>
        <w:t>2</w:t>
      </w:r>
      <w:r>
        <w:rPr>
          <w:rFonts w:hint="eastAsia" w:ascii="Times New Roman" w:hAnsi="Times New Roman" w:eastAsia="宋体" w:cs="Times New Roman"/>
          <w:b/>
          <w:bCs/>
          <w:color w:val="auto"/>
          <w:kern w:val="0"/>
          <w:szCs w:val="21"/>
          <w:highlight w:val="none"/>
          <w:u w:val="none"/>
        </w:rPr>
        <w:t xml:space="preserve">    </w:t>
      </w:r>
      <w:r>
        <w:rPr>
          <w:rFonts w:hint="eastAsia" w:ascii="Times New Roman" w:hAnsi="Times New Roman" w:eastAsia="宋体" w:cs="Times New Roman"/>
          <w:b/>
          <w:bCs/>
          <w:color w:val="auto"/>
          <w:kern w:val="0"/>
          <w:szCs w:val="21"/>
          <w:highlight w:val="none"/>
          <w:u w:val="none"/>
          <w:lang w:val="en-US" w:eastAsia="zh-CN"/>
        </w:rPr>
        <w:t>现有工程</w:t>
      </w:r>
      <w:r>
        <w:rPr>
          <w:rFonts w:hint="eastAsia" w:ascii="Times New Roman" w:hAnsi="Times New Roman" w:eastAsia="宋体" w:cs="Times New Roman"/>
          <w:b/>
          <w:bCs/>
          <w:color w:val="auto"/>
          <w:kern w:val="0"/>
          <w:szCs w:val="21"/>
          <w:highlight w:val="none"/>
          <w:u w:val="none"/>
        </w:rPr>
        <w:t>危险废物暂存间分区及暂存情况一览表</w:t>
      </w:r>
    </w:p>
    <w:tbl>
      <w:tblPr>
        <w:tblStyle w:val="4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3"/>
        <w:gridCol w:w="1201"/>
        <w:gridCol w:w="1485"/>
        <w:gridCol w:w="1530"/>
        <w:gridCol w:w="1081"/>
        <w:gridCol w:w="1455"/>
        <w:gridCol w:w="1117"/>
      </w:tblGrid>
      <w:tr w14:paraId="635E0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3" w:type="pct"/>
            <w:vAlign w:val="center"/>
          </w:tcPr>
          <w:p w14:paraId="49DE74AB">
            <w:pPr>
              <w:widowControl/>
              <w:jc w:val="center"/>
              <w:rPr>
                <w:rFonts w:ascii="Times New Roman" w:hAnsi="Times New Roman" w:eastAsia="宋体" w:cs="Times New Roman"/>
                <w:b/>
                <w:bCs/>
                <w:color w:val="auto"/>
                <w:kern w:val="0"/>
                <w:szCs w:val="21"/>
                <w:highlight w:val="none"/>
                <w:u w:val="none"/>
              </w:rPr>
            </w:pPr>
            <w:r>
              <w:rPr>
                <w:rFonts w:hint="eastAsia" w:ascii="Times New Roman" w:hAnsi="Times New Roman" w:eastAsia="宋体" w:cs="Times New Roman"/>
                <w:b/>
                <w:bCs/>
                <w:color w:val="auto"/>
                <w:kern w:val="0"/>
                <w:szCs w:val="21"/>
                <w:highlight w:val="none"/>
                <w:u w:val="none"/>
              </w:rPr>
              <w:t>序号</w:t>
            </w:r>
          </w:p>
        </w:tc>
        <w:tc>
          <w:tcPr>
            <w:tcW w:w="704" w:type="pct"/>
            <w:vAlign w:val="center"/>
          </w:tcPr>
          <w:p w14:paraId="762E9185">
            <w:pPr>
              <w:widowControl/>
              <w:jc w:val="center"/>
              <w:rPr>
                <w:rFonts w:ascii="Times New Roman" w:hAnsi="Times New Roman" w:eastAsia="宋体" w:cs="Times New Roman"/>
                <w:b/>
                <w:bCs/>
                <w:color w:val="auto"/>
                <w:kern w:val="0"/>
                <w:szCs w:val="21"/>
                <w:highlight w:val="none"/>
                <w:u w:val="none"/>
              </w:rPr>
            </w:pPr>
            <w:r>
              <w:rPr>
                <w:rFonts w:hint="eastAsia" w:ascii="Times New Roman" w:hAnsi="Times New Roman" w:eastAsia="宋体" w:cs="Times New Roman"/>
                <w:b/>
                <w:bCs/>
                <w:color w:val="auto"/>
                <w:kern w:val="0"/>
                <w:szCs w:val="21"/>
                <w:highlight w:val="none"/>
                <w:u w:val="none"/>
              </w:rPr>
              <w:t>贮存分区</w:t>
            </w:r>
          </w:p>
        </w:tc>
        <w:tc>
          <w:tcPr>
            <w:tcW w:w="871" w:type="pct"/>
            <w:vAlign w:val="center"/>
          </w:tcPr>
          <w:p w14:paraId="73918D81">
            <w:pPr>
              <w:widowControl/>
              <w:jc w:val="center"/>
              <w:rPr>
                <w:rFonts w:hint="default" w:ascii="Times New Roman" w:hAnsi="Times New Roman" w:eastAsia="宋体" w:cs="Times New Roman"/>
                <w:b/>
                <w:bCs/>
                <w:color w:val="auto"/>
                <w:kern w:val="0"/>
                <w:szCs w:val="21"/>
                <w:highlight w:val="none"/>
                <w:u w:val="none"/>
                <w:lang w:val="en-US" w:eastAsia="zh-CN"/>
              </w:rPr>
            </w:pPr>
            <w:r>
              <w:rPr>
                <w:rFonts w:hint="eastAsia" w:ascii="Times New Roman" w:hAnsi="Times New Roman" w:eastAsia="宋体" w:cs="Times New Roman"/>
                <w:b/>
                <w:bCs/>
                <w:color w:val="auto"/>
                <w:kern w:val="0"/>
                <w:szCs w:val="21"/>
                <w:highlight w:val="none"/>
                <w:u w:val="none"/>
              </w:rPr>
              <w:t>危险废物</w:t>
            </w:r>
            <w:r>
              <w:rPr>
                <w:rFonts w:hint="eastAsia" w:ascii="Times New Roman" w:hAnsi="Times New Roman" w:eastAsia="宋体" w:cs="Times New Roman"/>
                <w:b/>
                <w:bCs/>
                <w:color w:val="auto"/>
                <w:kern w:val="0"/>
                <w:szCs w:val="21"/>
                <w:highlight w:val="none"/>
                <w:u w:val="none"/>
                <w:lang w:val="en-US" w:eastAsia="zh-CN"/>
              </w:rPr>
              <w:t>产生环节</w:t>
            </w:r>
          </w:p>
        </w:tc>
        <w:tc>
          <w:tcPr>
            <w:tcW w:w="897" w:type="pct"/>
            <w:vAlign w:val="center"/>
          </w:tcPr>
          <w:p w14:paraId="31EE872C">
            <w:pPr>
              <w:widowControl/>
              <w:jc w:val="center"/>
              <w:rPr>
                <w:rFonts w:ascii="Times New Roman" w:hAnsi="Times New Roman" w:eastAsia="宋体" w:cs="Times New Roman"/>
                <w:b/>
                <w:bCs/>
                <w:color w:val="auto"/>
                <w:kern w:val="0"/>
                <w:szCs w:val="21"/>
                <w:highlight w:val="none"/>
                <w:u w:val="none"/>
              </w:rPr>
            </w:pPr>
            <w:r>
              <w:rPr>
                <w:rFonts w:hint="eastAsia" w:ascii="Times New Roman" w:hAnsi="Times New Roman" w:eastAsia="宋体" w:cs="Times New Roman"/>
                <w:b/>
                <w:bCs/>
                <w:color w:val="auto"/>
                <w:kern w:val="0"/>
                <w:szCs w:val="21"/>
                <w:highlight w:val="none"/>
                <w:u w:val="none"/>
              </w:rPr>
              <w:t>占地面积（</w:t>
            </w:r>
            <w:r>
              <w:rPr>
                <w:rFonts w:hint="eastAsia" w:ascii="Times New Roman" w:hAnsi="Times New Roman" w:eastAsia="宋体" w:cs="Times New Roman"/>
                <w:b/>
                <w:bCs/>
                <w:color w:val="auto"/>
                <w:kern w:val="0"/>
                <w:szCs w:val="21"/>
                <w:highlight w:val="none"/>
                <w:u w:val="none"/>
                <w:lang w:eastAsia="zh-CN"/>
              </w:rPr>
              <w:t>m</w:t>
            </w:r>
            <w:r>
              <w:rPr>
                <w:rFonts w:hint="eastAsia" w:ascii="Times New Roman" w:hAnsi="Times New Roman" w:eastAsia="宋体" w:cs="Times New Roman"/>
                <w:b/>
                <w:bCs/>
                <w:color w:val="auto"/>
                <w:kern w:val="0"/>
                <w:szCs w:val="21"/>
                <w:highlight w:val="none"/>
                <w:u w:val="none"/>
                <w:vertAlign w:val="superscript"/>
                <w:lang w:eastAsia="zh-CN"/>
              </w:rPr>
              <w:t>2</w:t>
            </w:r>
            <w:r>
              <w:rPr>
                <w:rFonts w:hint="eastAsia" w:ascii="Times New Roman" w:hAnsi="Times New Roman" w:eastAsia="宋体" w:cs="Times New Roman"/>
                <w:b/>
                <w:bCs/>
                <w:color w:val="auto"/>
                <w:kern w:val="0"/>
                <w:szCs w:val="21"/>
                <w:highlight w:val="none"/>
                <w:u w:val="none"/>
              </w:rPr>
              <w:t>）</w:t>
            </w:r>
          </w:p>
        </w:tc>
        <w:tc>
          <w:tcPr>
            <w:tcW w:w="634" w:type="pct"/>
            <w:vAlign w:val="center"/>
          </w:tcPr>
          <w:p w14:paraId="26C47FD3">
            <w:pPr>
              <w:widowControl/>
              <w:jc w:val="center"/>
              <w:rPr>
                <w:rFonts w:ascii="Times New Roman" w:hAnsi="Times New Roman" w:eastAsia="宋体" w:cs="Times New Roman"/>
                <w:b/>
                <w:bCs/>
                <w:color w:val="auto"/>
                <w:kern w:val="0"/>
                <w:szCs w:val="21"/>
                <w:highlight w:val="none"/>
                <w:u w:val="none"/>
              </w:rPr>
            </w:pPr>
            <w:r>
              <w:rPr>
                <w:rFonts w:hint="eastAsia" w:ascii="Times New Roman" w:hAnsi="Times New Roman" w:eastAsia="宋体" w:cs="Times New Roman"/>
                <w:b/>
                <w:bCs/>
                <w:color w:val="auto"/>
                <w:kern w:val="0"/>
                <w:szCs w:val="21"/>
                <w:highlight w:val="none"/>
                <w:u w:val="none"/>
              </w:rPr>
              <w:t>贮存方式</w:t>
            </w:r>
          </w:p>
        </w:tc>
        <w:tc>
          <w:tcPr>
            <w:tcW w:w="853" w:type="pct"/>
            <w:vAlign w:val="center"/>
          </w:tcPr>
          <w:p w14:paraId="5B687726">
            <w:pPr>
              <w:widowControl/>
              <w:jc w:val="center"/>
              <w:rPr>
                <w:rFonts w:ascii="Times New Roman" w:hAnsi="Times New Roman" w:eastAsia="宋体" w:cs="Times New Roman"/>
                <w:b/>
                <w:bCs/>
                <w:color w:val="auto"/>
                <w:kern w:val="0"/>
                <w:szCs w:val="21"/>
                <w:highlight w:val="none"/>
                <w:u w:val="none"/>
              </w:rPr>
            </w:pPr>
            <w:r>
              <w:rPr>
                <w:rFonts w:hint="eastAsia" w:ascii="Times New Roman" w:hAnsi="Times New Roman" w:eastAsia="宋体" w:cs="Times New Roman"/>
                <w:b/>
                <w:bCs/>
                <w:color w:val="auto"/>
                <w:kern w:val="0"/>
                <w:szCs w:val="21"/>
                <w:highlight w:val="none"/>
                <w:u w:val="none"/>
              </w:rPr>
              <w:t>贮存能力（t）</w:t>
            </w:r>
          </w:p>
        </w:tc>
        <w:tc>
          <w:tcPr>
            <w:tcW w:w="655" w:type="pct"/>
            <w:vAlign w:val="center"/>
          </w:tcPr>
          <w:p w14:paraId="51AFE12B">
            <w:pPr>
              <w:widowControl/>
              <w:jc w:val="center"/>
              <w:rPr>
                <w:rFonts w:ascii="Times New Roman" w:hAnsi="Times New Roman" w:eastAsia="宋体" w:cs="Times New Roman"/>
                <w:b/>
                <w:bCs/>
                <w:color w:val="auto"/>
                <w:kern w:val="0"/>
                <w:szCs w:val="21"/>
                <w:highlight w:val="none"/>
                <w:u w:val="none"/>
              </w:rPr>
            </w:pPr>
            <w:r>
              <w:rPr>
                <w:rFonts w:hint="eastAsia" w:ascii="Times New Roman" w:hAnsi="Times New Roman" w:eastAsia="宋体" w:cs="Times New Roman"/>
                <w:b/>
                <w:bCs/>
                <w:color w:val="auto"/>
                <w:kern w:val="0"/>
                <w:szCs w:val="21"/>
                <w:highlight w:val="none"/>
                <w:u w:val="none"/>
              </w:rPr>
              <w:t>贮存周期</w:t>
            </w:r>
          </w:p>
        </w:tc>
      </w:tr>
      <w:tr w14:paraId="46AC0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3" w:type="pct"/>
            <w:vAlign w:val="center"/>
          </w:tcPr>
          <w:p w14:paraId="29F8C2B9">
            <w:pPr>
              <w:widowControl/>
              <w:jc w:val="center"/>
              <w:rPr>
                <w:rFonts w:hint="eastAsia" w:ascii="Times New Roman" w:hAnsi="Times New Roman" w:eastAsia="宋体" w:cs="Times New Roman"/>
                <w:color w:val="auto"/>
                <w:kern w:val="0"/>
                <w:szCs w:val="21"/>
                <w:highlight w:val="none"/>
                <w:u w:val="none"/>
                <w:lang w:val="en-US" w:eastAsia="zh-CN"/>
              </w:rPr>
            </w:pPr>
            <w:r>
              <w:rPr>
                <w:rFonts w:hint="eastAsia" w:ascii="Times New Roman" w:hAnsi="Times New Roman" w:eastAsia="宋体" w:cs="Times New Roman"/>
                <w:color w:val="auto"/>
                <w:kern w:val="0"/>
                <w:szCs w:val="21"/>
                <w:highlight w:val="none"/>
                <w:u w:val="none"/>
                <w:lang w:val="en-US" w:eastAsia="zh-CN"/>
              </w:rPr>
              <w:t>1</w:t>
            </w:r>
          </w:p>
        </w:tc>
        <w:tc>
          <w:tcPr>
            <w:tcW w:w="704" w:type="pct"/>
            <w:vAlign w:val="center"/>
          </w:tcPr>
          <w:p w14:paraId="4752EC9A">
            <w:pPr>
              <w:widowControl/>
              <w:jc w:val="center"/>
              <w:rPr>
                <w:rFonts w:ascii="Times New Roman" w:hAnsi="Times New Roman" w:eastAsia="宋体" w:cs="Times New Roman"/>
                <w:color w:val="auto"/>
                <w:kern w:val="0"/>
                <w:szCs w:val="21"/>
                <w:highlight w:val="none"/>
                <w:u w:val="none"/>
              </w:rPr>
            </w:pPr>
            <w:r>
              <w:rPr>
                <w:rFonts w:hint="eastAsia" w:ascii="Times New Roman" w:hAnsi="Times New Roman" w:eastAsia="宋体" w:cs="Times New Roman"/>
                <w:color w:val="auto"/>
                <w:kern w:val="0"/>
                <w:szCs w:val="21"/>
                <w:highlight w:val="none"/>
                <w:u w:val="none"/>
                <w:lang w:val="en-US" w:eastAsia="zh-CN"/>
              </w:rPr>
              <w:t>废包装物</w:t>
            </w:r>
            <w:r>
              <w:rPr>
                <w:rFonts w:hint="eastAsia" w:ascii="Times New Roman" w:hAnsi="Times New Roman" w:eastAsia="宋体" w:cs="Times New Roman"/>
                <w:color w:val="auto"/>
                <w:kern w:val="0"/>
                <w:szCs w:val="21"/>
                <w:highlight w:val="none"/>
                <w:u w:val="none"/>
              </w:rPr>
              <w:t>贮存区</w:t>
            </w:r>
          </w:p>
        </w:tc>
        <w:tc>
          <w:tcPr>
            <w:tcW w:w="871" w:type="pct"/>
            <w:vAlign w:val="center"/>
          </w:tcPr>
          <w:p w14:paraId="534BAF07">
            <w:pPr>
              <w:widowControl/>
              <w:jc w:val="center"/>
              <w:rPr>
                <w:rFonts w:hint="default" w:ascii="Times New Roman" w:hAnsi="Times New Roman" w:eastAsia="宋体" w:cs="Times New Roman"/>
                <w:color w:val="auto"/>
                <w:kern w:val="0"/>
                <w:szCs w:val="21"/>
                <w:highlight w:val="none"/>
                <w:u w:val="none"/>
                <w:lang w:val="en-US" w:eastAsia="zh-CN"/>
              </w:rPr>
            </w:pPr>
            <w:r>
              <w:rPr>
                <w:rFonts w:hint="eastAsia" w:ascii="Times New Roman" w:hAnsi="Times New Roman" w:eastAsia="宋体" w:cs="Times New Roman"/>
                <w:color w:val="auto"/>
                <w:kern w:val="0"/>
                <w:szCs w:val="21"/>
                <w:highlight w:val="none"/>
                <w:u w:val="none"/>
                <w:lang w:val="en-US" w:eastAsia="zh-CN"/>
              </w:rPr>
              <w:t>发酵、提取车间PH调节</w:t>
            </w:r>
          </w:p>
        </w:tc>
        <w:tc>
          <w:tcPr>
            <w:tcW w:w="897" w:type="pct"/>
            <w:vAlign w:val="center"/>
          </w:tcPr>
          <w:p w14:paraId="19868CA4">
            <w:pPr>
              <w:widowControl/>
              <w:jc w:val="center"/>
              <w:rPr>
                <w:rFonts w:hint="default" w:ascii="Times New Roman" w:hAnsi="Times New Roman" w:eastAsia="宋体" w:cs="Times New Roman"/>
                <w:color w:val="auto"/>
                <w:kern w:val="0"/>
                <w:szCs w:val="21"/>
                <w:highlight w:val="none"/>
                <w:u w:val="none"/>
                <w:lang w:val="en-US" w:eastAsia="zh-CN"/>
              </w:rPr>
            </w:pPr>
            <w:r>
              <w:rPr>
                <w:rFonts w:hint="eastAsia" w:ascii="Times New Roman" w:hAnsi="Times New Roman" w:eastAsia="宋体" w:cs="Times New Roman"/>
                <w:color w:val="auto"/>
                <w:kern w:val="0"/>
                <w:szCs w:val="21"/>
                <w:highlight w:val="none"/>
                <w:u w:val="none"/>
                <w:lang w:val="en-US" w:eastAsia="zh-CN"/>
              </w:rPr>
              <w:t>12</w:t>
            </w:r>
          </w:p>
        </w:tc>
        <w:tc>
          <w:tcPr>
            <w:tcW w:w="634" w:type="pct"/>
            <w:vAlign w:val="center"/>
          </w:tcPr>
          <w:p w14:paraId="59CE3509">
            <w:pPr>
              <w:widowControl/>
              <w:jc w:val="center"/>
              <w:rPr>
                <w:rFonts w:hint="eastAsia" w:ascii="Times New Roman" w:hAnsi="Times New Roman" w:eastAsia="宋体" w:cs="Times New Roman"/>
                <w:color w:val="auto"/>
                <w:kern w:val="0"/>
                <w:szCs w:val="21"/>
                <w:highlight w:val="none"/>
                <w:u w:val="none"/>
                <w:lang w:val="en-US" w:eastAsia="zh-CN"/>
              </w:rPr>
            </w:pPr>
            <w:r>
              <w:rPr>
                <w:rFonts w:hint="eastAsia" w:ascii="Times New Roman" w:hAnsi="Times New Roman" w:eastAsia="宋体" w:cs="Times New Roman"/>
                <w:color w:val="auto"/>
                <w:kern w:val="0"/>
                <w:szCs w:val="21"/>
                <w:highlight w:val="none"/>
                <w:u w:val="none"/>
                <w:lang w:val="en-US" w:eastAsia="zh-CN"/>
              </w:rPr>
              <w:t>袋装</w:t>
            </w:r>
          </w:p>
        </w:tc>
        <w:tc>
          <w:tcPr>
            <w:tcW w:w="853" w:type="pct"/>
            <w:shd w:val="clear" w:color="auto" w:fill="auto"/>
            <w:vAlign w:val="center"/>
          </w:tcPr>
          <w:p w14:paraId="56D582B8">
            <w:pPr>
              <w:widowControl/>
              <w:jc w:val="center"/>
              <w:rPr>
                <w:rFonts w:hint="default" w:ascii="Times New Roman" w:hAnsi="Times New Roman" w:eastAsia="宋体" w:cs="Times New Roman"/>
                <w:color w:val="auto"/>
                <w:kern w:val="0"/>
                <w:sz w:val="21"/>
                <w:szCs w:val="21"/>
                <w:highlight w:val="none"/>
                <w:u w:val="none"/>
                <w:lang w:val="en-US" w:eastAsia="zh-CN" w:bidi="ar-SA"/>
              </w:rPr>
            </w:pPr>
            <w:r>
              <w:rPr>
                <w:rFonts w:hint="eastAsia" w:ascii="Times New Roman" w:hAnsi="Times New Roman" w:eastAsia="宋体" w:cs="Times New Roman"/>
                <w:color w:val="auto"/>
                <w:kern w:val="0"/>
                <w:szCs w:val="21"/>
                <w:highlight w:val="none"/>
                <w:u w:val="none"/>
                <w:lang w:val="en-US" w:eastAsia="zh-CN"/>
              </w:rPr>
              <w:t>1.5</w:t>
            </w:r>
          </w:p>
        </w:tc>
        <w:tc>
          <w:tcPr>
            <w:tcW w:w="655" w:type="pct"/>
            <w:shd w:val="clear" w:color="auto" w:fill="auto"/>
            <w:vAlign w:val="center"/>
          </w:tcPr>
          <w:p w14:paraId="5804AEA0">
            <w:pPr>
              <w:widowControl/>
              <w:jc w:val="center"/>
              <w:rPr>
                <w:rFonts w:hint="default" w:ascii="Times New Roman" w:hAnsi="Times New Roman" w:eastAsia="宋体" w:cs="Times New Roman"/>
                <w:color w:val="auto"/>
                <w:kern w:val="0"/>
                <w:sz w:val="21"/>
                <w:szCs w:val="21"/>
                <w:highlight w:val="none"/>
                <w:u w:val="none"/>
                <w:lang w:val="en-US" w:eastAsia="zh-CN" w:bidi="ar-SA"/>
              </w:rPr>
            </w:pPr>
            <w:r>
              <w:rPr>
                <w:rFonts w:hint="eastAsia" w:ascii="Times New Roman" w:hAnsi="Times New Roman" w:eastAsia="宋体" w:cs="Times New Roman"/>
                <w:color w:val="auto"/>
                <w:kern w:val="0"/>
                <w:szCs w:val="21"/>
                <w:highlight w:val="none"/>
                <w:u w:val="none"/>
                <w:lang w:val="en-US" w:eastAsia="zh-CN"/>
              </w:rPr>
              <w:t>3个月</w:t>
            </w:r>
          </w:p>
        </w:tc>
      </w:tr>
      <w:tr w14:paraId="087D2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3" w:type="pct"/>
            <w:vAlign w:val="center"/>
          </w:tcPr>
          <w:p w14:paraId="3CA91A55">
            <w:pPr>
              <w:widowControl/>
              <w:jc w:val="center"/>
              <w:rPr>
                <w:rFonts w:hint="eastAsia" w:ascii="Times New Roman" w:hAnsi="Times New Roman" w:eastAsia="宋体" w:cs="Times New Roman"/>
                <w:color w:val="auto"/>
                <w:kern w:val="0"/>
                <w:szCs w:val="21"/>
                <w:highlight w:val="none"/>
                <w:u w:val="none"/>
                <w:lang w:val="en-US" w:eastAsia="zh-CN"/>
              </w:rPr>
            </w:pPr>
            <w:r>
              <w:rPr>
                <w:rFonts w:hint="eastAsia" w:ascii="Times New Roman" w:hAnsi="Times New Roman" w:eastAsia="宋体" w:cs="Times New Roman"/>
                <w:color w:val="auto"/>
                <w:kern w:val="0"/>
                <w:szCs w:val="21"/>
                <w:highlight w:val="none"/>
                <w:u w:val="none"/>
                <w:lang w:val="en-US" w:eastAsia="zh-CN"/>
              </w:rPr>
              <w:t>2</w:t>
            </w:r>
          </w:p>
        </w:tc>
        <w:tc>
          <w:tcPr>
            <w:tcW w:w="704" w:type="pct"/>
            <w:vAlign w:val="center"/>
          </w:tcPr>
          <w:p w14:paraId="3E6412D5">
            <w:pPr>
              <w:widowControl/>
              <w:jc w:val="center"/>
              <w:rPr>
                <w:rFonts w:ascii="Times New Roman" w:hAnsi="Times New Roman" w:eastAsia="宋体" w:cs="Times New Roman"/>
                <w:color w:val="auto"/>
                <w:kern w:val="0"/>
                <w:szCs w:val="21"/>
                <w:highlight w:val="none"/>
                <w:u w:val="none"/>
              </w:rPr>
            </w:pPr>
            <w:r>
              <w:rPr>
                <w:rFonts w:hint="eastAsia" w:ascii="Times New Roman" w:hAnsi="Times New Roman" w:eastAsia="宋体" w:cs="Times New Roman"/>
                <w:color w:val="auto"/>
                <w:kern w:val="0"/>
                <w:szCs w:val="21"/>
                <w:highlight w:val="none"/>
                <w:u w:val="none"/>
                <w:lang w:val="en-US" w:eastAsia="zh-CN"/>
              </w:rPr>
              <w:t>废矿物油</w:t>
            </w:r>
            <w:r>
              <w:rPr>
                <w:rFonts w:hint="eastAsia" w:ascii="Times New Roman" w:hAnsi="Times New Roman" w:eastAsia="宋体" w:cs="Times New Roman"/>
                <w:color w:val="auto"/>
                <w:kern w:val="0"/>
                <w:szCs w:val="21"/>
                <w:highlight w:val="none"/>
                <w:u w:val="none"/>
              </w:rPr>
              <w:t>贮存区</w:t>
            </w:r>
          </w:p>
        </w:tc>
        <w:tc>
          <w:tcPr>
            <w:tcW w:w="871" w:type="pct"/>
            <w:vAlign w:val="center"/>
          </w:tcPr>
          <w:p w14:paraId="20335B0F">
            <w:pPr>
              <w:widowControl/>
              <w:jc w:val="center"/>
              <w:rPr>
                <w:rFonts w:hint="eastAsia" w:ascii="Times New Roman" w:hAnsi="Times New Roman" w:eastAsia="宋体" w:cs="Times New Roman"/>
                <w:color w:val="auto"/>
                <w:kern w:val="0"/>
                <w:szCs w:val="21"/>
                <w:highlight w:val="none"/>
                <w:u w:val="none"/>
                <w:lang w:val="en-US" w:eastAsia="zh-CN"/>
              </w:rPr>
            </w:pPr>
            <w:r>
              <w:rPr>
                <w:rFonts w:hint="eastAsia" w:ascii="Times New Roman" w:hAnsi="Times New Roman" w:eastAsia="宋体" w:cs="Times New Roman"/>
                <w:color w:val="auto"/>
                <w:kern w:val="0"/>
                <w:szCs w:val="21"/>
                <w:highlight w:val="none"/>
                <w:u w:val="none"/>
                <w:lang w:val="en-US" w:eastAsia="zh-CN"/>
              </w:rPr>
              <w:t>空压机</w:t>
            </w:r>
          </w:p>
        </w:tc>
        <w:tc>
          <w:tcPr>
            <w:tcW w:w="897" w:type="pct"/>
            <w:vAlign w:val="center"/>
          </w:tcPr>
          <w:p w14:paraId="6D391494">
            <w:pPr>
              <w:widowControl/>
              <w:jc w:val="center"/>
              <w:rPr>
                <w:rFonts w:hint="default" w:ascii="Times New Roman" w:hAnsi="Times New Roman" w:eastAsia="宋体" w:cs="Times New Roman"/>
                <w:color w:val="auto"/>
                <w:kern w:val="0"/>
                <w:szCs w:val="21"/>
                <w:highlight w:val="none"/>
                <w:u w:val="none"/>
                <w:lang w:val="en-US" w:eastAsia="zh-CN"/>
              </w:rPr>
            </w:pPr>
            <w:r>
              <w:rPr>
                <w:rFonts w:hint="eastAsia" w:ascii="Times New Roman" w:hAnsi="Times New Roman" w:eastAsia="宋体" w:cs="Times New Roman"/>
                <w:color w:val="auto"/>
                <w:kern w:val="0"/>
                <w:szCs w:val="21"/>
                <w:highlight w:val="none"/>
                <w:u w:val="none"/>
                <w:lang w:val="en-US" w:eastAsia="zh-CN"/>
              </w:rPr>
              <w:t>5</w:t>
            </w:r>
          </w:p>
        </w:tc>
        <w:tc>
          <w:tcPr>
            <w:tcW w:w="634" w:type="pct"/>
            <w:vAlign w:val="center"/>
          </w:tcPr>
          <w:p w14:paraId="41D77291">
            <w:pPr>
              <w:widowControl/>
              <w:jc w:val="center"/>
              <w:rPr>
                <w:rFonts w:hint="default" w:ascii="Times New Roman" w:hAnsi="Times New Roman" w:eastAsia="宋体" w:cs="Times New Roman"/>
                <w:color w:val="auto"/>
                <w:kern w:val="0"/>
                <w:szCs w:val="21"/>
                <w:highlight w:val="none"/>
                <w:u w:val="none"/>
                <w:lang w:val="en-US" w:eastAsia="zh-CN"/>
              </w:rPr>
            </w:pPr>
            <w:r>
              <w:rPr>
                <w:rFonts w:hint="eastAsia" w:ascii="Times New Roman" w:hAnsi="Times New Roman" w:eastAsia="宋体" w:cs="Times New Roman"/>
                <w:color w:val="auto"/>
                <w:kern w:val="0"/>
                <w:szCs w:val="21"/>
                <w:highlight w:val="none"/>
                <w:u w:val="none"/>
                <w:lang w:val="en-US" w:eastAsia="zh-CN"/>
              </w:rPr>
              <w:t>桶装</w:t>
            </w:r>
          </w:p>
        </w:tc>
        <w:tc>
          <w:tcPr>
            <w:tcW w:w="853" w:type="pct"/>
            <w:shd w:val="clear" w:color="auto" w:fill="auto"/>
            <w:vAlign w:val="center"/>
          </w:tcPr>
          <w:p w14:paraId="015307CF">
            <w:pPr>
              <w:widowControl/>
              <w:jc w:val="center"/>
              <w:rPr>
                <w:rFonts w:hint="default" w:ascii="Times New Roman" w:hAnsi="Times New Roman" w:eastAsia="宋体" w:cs="Times New Roman"/>
                <w:color w:val="auto"/>
                <w:kern w:val="0"/>
                <w:sz w:val="21"/>
                <w:szCs w:val="21"/>
                <w:highlight w:val="none"/>
                <w:u w:val="none"/>
                <w:lang w:val="en-US" w:eastAsia="zh-CN" w:bidi="ar-SA"/>
              </w:rPr>
            </w:pPr>
            <w:r>
              <w:rPr>
                <w:rFonts w:hint="eastAsia" w:ascii="Times New Roman" w:hAnsi="Times New Roman" w:eastAsia="宋体" w:cs="Times New Roman"/>
                <w:color w:val="auto"/>
                <w:kern w:val="0"/>
                <w:szCs w:val="21"/>
                <w:highlight w:val="none"/>
                <w:u w:val="none"/>
                <w:lang w:val="en-US" w:eastAsia="zh-CN"/>
              </w:rPr>
              <w:t>0.4</w:t>
            </w:r>
          </w:p>
        </w:tc>
        <w:tc>
          <w:tcPr>
            <w:tcW w:w="655" w:type="pct"/>
            <w:shd w:val="clear" w:color="auto" w:fill="auto"/>
            <w:vAlign w:val="center"/>
          </w:tcPr>
          <w:p w14:paraId="695F4F96">
            <w:pPr>
              <w:widowControl/>
              <w:jc w:val="center"/>
              <w:rPr>
                <w:rFonts w:hint="default" w:ascii="Times New Roman" w:hAnsi="Times New Roman" w:eastAsia="宋体" w:cs="Times New Roman"/>
                <w:color w:val="auto"/>
                <w:kern w:val="0"/>
                <w:sz w:val="21"/>
                <w:szCs w:val="21"/>
                <w:highlight w:val="none"/>
                <w:u w:val="none"/>
                <w:lang w:val="en-US" w:eastAsia="zh-CN" w:bidi="ar-SA"/>
              </w:rPr>
            </w:pPr>
            <w:r>
              <w:rPr>
                <w:rFonts w:hint="eastAsia" w:ascii="Times New Roman" w:hAnsi="Times New Roman" w:eastAsia="宋体" w:cs="Times New Roman"/>
                <w:color w:val="auto"/>
                <w:kern w:val="0"/>
                <w:szCs w:val="21"/>
                <w:highlight w:val="none"/>
                <w:u w:val="none"/>
                <w:lang w:val="en-US" w:eastAsia="zh-CN"/>
              </w:rPr>
              <w:t>4个月</w:t>
            </w:r>
          </w:p>
        </w:tc>
      </w:tr>
      <w:tr w14:paraId="1C901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3" w:type="pct"/>
            <w:vAlign w:val="center"/>
          </w:tcPr>
          <w:p w14:paraId="7A6FD88C">
            <w:pPr>
              <w:widowControl/>
              <w:jc w:val="center"/>
              <w:rPr>
                <w:rFonts w:hint="eastAsia" w:ascii="Times New Roman" w:hAnsi="Times New Roman" w:eastAsia="宋体" w:cs="Times New Roman"/>
                <w:color w:val="auto"/>
                <w:kern w:val="0"/>
                <w:szCs w:val="21"/>
                <w:highlight w:val="none"/>
                <w:u w:val="none"/>
                <w:lang w:val="en-US" w:eastAsia="zh-CN"/>
              </w:rPr>
            </w:pPr>
            <w:r>
              <w:rPr>
                <w:rFonts w:hint="eastAsia" w:ascii="Times New Roman" w:hAnsi="Times New Roman" w:eastAsia="宋体" w:cs="Times New Roman"/>
                <w:color w:val="auto"/>
                <w:kern w:val="0"/>
                <w:szCs w:val="21"/>
                <w:highlight w:val="none"/>
                <w:u w:val="none"/>
                <w:lang w:val="en-US" w:eastAsia="zh-CN"/>
              </w:rPr>
              <w:t>3</w:t>
            </w:r>
          </w:p>
        </w:tc>
        <w:tc>
          <w:tcPr>
            <w:tcW w:w="704" w:type="pct"/>
            <w:vAlign w:val="center"/>
          </w:tcPr>
          <w:p w14:paraId="2FD37C34">
            <w:pPr>
              <w:widowControl/>
              <w:jc w:val="center"/>
              <w:rPr>
                <w:rFonts w:ascii="Times New Roman" w:hAnsi="Times New Roman" w:eastAsia="宋体" w:cs="Times New Roman"/>
                <w:color w:val="auto"/>
                <w:kern w:val="0"/>
                <w:szCs w:val="21"/>
                <w:highlight w:val="none"/>
                <w:u w:val="none"/>
              </w:rPr>
            </w:pPr>
            <w:r>
              <w:rPr>
                <w:rFonts w:hint="eastAsia" w:ascii="Times New Roman" w:hAnsi="Times New Roman" w:eastAsia="宋体" w:cs="Times New Roman"/>
                <w:color w:val="auto"/>
                <w:kern w:val="0"/>
                <w:szCs w:val="21"/>
                <w:highlight w:val="none"/>
                <w:u w:val="none"/>
                <w:lang w:val="en-US" w:eastAsia="zh-CN"/>
              </w:rPr>
              <w:t>釜残液</w:t>
            </w:r>
            <w:r>
              <w:rPr>
                <w:rFonts w:hint="eastAsia" w:ascii="Times New Roman" w:hAnsi="Times New Roman" w:eastAsia="宋体" w:cs="Times New Roman"/>
                <w:color w:val="auto"/>
                <w:kern w:val="0"/>
                <w:szCs w:val="21"/>
                <w:highlight w:val="none"/>
                <w:u w:val="none"/>
              </w:rPr>
              <w:t>贮存区</w:t>
            </w:r>
          </w:p>
        </w:tc>
        <w:tc>
          <w:tcPr>
            <w:tcW w:w="871" w:type="pct"/>
            <w:vAlign w:val="center"/>
          </w:tcPr>
          <w:p w14:paraId="5F50AEC8">
            <w:pPr>
              <w:widowControl/>
              <w:jc w:val="center"/>
              <w:rPr>
                <w:rFonts w:hint="eastAsia" w:ascii="Times New Roman" w:hAnsi="Times New Roman" w:eastAsia="宋体" w:cs="Times New Roman"/>
                <w:color w:val="auto"/>
                <w:kern w:val="0"/>
                <w:szCs w:val="21"/>
                <w:highlight w:val="none"/>
                <w:u w:val="none"/>
                <w:lang w:val="en-US" w:eastAsia="zh-CN"/>
              </w:rPr>
            </w:pPr>
            <w:r>
              <w:rPr>
                <w:rFonts w:hint="eastAsia" w:ascii="Times New Roman" w:hAnsi="Times New Roman" w:eastAsia="宋体" w:cs="Times New Roman"/>
                <w:color w:val="auto"/>
                <w:kern w:val="0"/>
                <w:szCs w:val="21"/>
                <w:highlight w:val="none"/>
                <w:u w:val="none"/>
                <w:lang w:val="en-US" w:eastAsia="zh-CN"/>
              </w:rPr>
              <w:t>反应釜</w:t>
            </w:r>
          </w:p>
        </w:tc>
        <w:tc>
          <w:tcPr>
            <w:tcW w:w="897" w:type="pct"/>
            <w:vAlign w:val="center"/>
          </w:tcPr>
          <w:p w14:paraId="354E0AF8">
            <w:pPr>
              <w:widowControl/>
              <w:jc w:val="center"/>
              <w:rPr>
                <w:rFonts w:hint="default" w:ascii="Times New Roman" w:hAnsi="Times New Roman" w:eastAsia="宋体" w:cs="Times New Roman"/>
                <w:color w:val="auto"/>
                <w:kern w:val="0"/>
                <w:szCs w:val="21"/>
                <w:highlight w:val="none"/>
                <w:u w:val="none"/>
                <w:lang w:val="en-US" w:eastAsia="zh-CN"/>
              </w:rPr>
            </w:pPr>
            <w:r>
              <w:rPr>
                <w:rFonts w:hint="eastAsia" w:ascii="Times New Roman" w:hAnsi="Times New Roman" w:eastAsia="宋体" w:cs="Times New Roman"/>
                <w:color w:val="auto"/>
                <w:kern w:val="0"/>
                <w:szCs w:val="21"/>
                <w:highlight w:val="none"/>
                <w:u w:val="none"/>
                <w:lang w:val="en-US" w:eastAsia="zh-CN"/>
              </w:rPr>
              <w:t>38</w:t>
            </w:r>
          </w:p>
        </w:tc>
        <w:tc>
          <w:tcPr>
            <w:tcW w:w="634" w:type="pct"/>
            <w:vAlign w:val="center"/>
          </w:tcPr>
          <w:p w14:paraId="0E079D8B">
            <w:pPr>
              <w:widowControl/>
              <w:jc w:val="center"/>
              <w:rPr>
                <w:rFonts w:ascii="Times New Roman" w:hAnsi="Times New Roman" w:eastAsia="宋体" w:cs="Times New Roman"/>
                <w:color w:val="auto"/>
                <w:kern w:val="0"/>
                <w:szCs w:val="21"/>
                <w:highlight w:val="none"/>
                <w:u w:val="none"/>
              </w:rPr>
            </w:pPr>
            <w:r>
              <w:rPr>
                <w:rFonts w:hint="eastAsia" w:ascii="Times New Roman" w:hAnsi="Times New Roman" w:eastAsia="宋体" w:cs="Times New Roman"/>
                <w:color w:val="auto"/>
                <w:kern w:val="0"/>
                <w:szCs w:val="21"/>
                <w:highlight w:val="none"/>
                <w:u w:val="none"/>
                <w:lang w:val="en-US" w:eastAsia="zh-CN"/>
              </w:rPr>
              <w:t>桶装</w:t>
            </w:r>
          </w:p>
        </w:tc>
        <w:tc>
          <w:tcPr>
            <w:tcW w:w="853" w:type="pct"/>
            <w:shd w:val="clear" w:color="auto" w:fill="auto"/>
            <w:vAlign w:val="center"/>
          </w:tcPr>
          <w:p w14:paraId="5533A1FB">
            <w:pPr>
              <w:widowControl/>
              <w:jc w:val="center"/>
              <w:rPr>
                <w:rFonts w:hint="default" w:ascii="Times New Roman" w:hAnsi="Times New Roman" w:eastAsia="宋体" w:cs="Times New Roman"/>
                <w:color w:val="auto"/>
                <w:kern w:val="0"/>
                <w:sz w:val="21"/>
                <w:szCs w:val="21"/>
                <w:highlight w:val="none"/>
                <w:u w:val="none"/>
                <w:lang w:val="en-US" w:eastAsia="zh-CN" w:bidi="ar-SA"/>
              </w:rPr>
            </w:pPr>
            <w:r>
              <w:rPr>
                <w:rFonts w:hint="eastAsia" w:ascii="Times New Roman" w:hAnsi="Times New Roman" w:eastAsia="宋体" w:cs="Times New Roman"/>
                <w:color w:val="auto"/>
                <w:kern w:val="0"/>
                <w:szCs w:val="21"/>
                <w:highlight w:val="none"/>
                <w:u w:val="none"/>
                <w:lang w:val="en-US" w:eastAsia="zh-CN"/>
              </w:rPr>
              <w:t>15</w:t>
            </w:r>
          </w:p>
        </w:tc>
        <w:tc>
          <w:tcPr>
            <w:tcW w:w="655" w:type="pct"/>
            <w:shd w:val="clear" w:color="auto" w:fill="auto"/>
            <w:vAlign w:val="center"/>
          </w:tcPr>
          <w:p w14:paraId="38D9F4C6">
            <w:pPr>
              <w:widowControl/>
              <w:jc w:val="center"/>
              <w:rPr>
                <w:rFonts w:hint="default" w:ascii="Times New Roman" w:hAnsi="Times New Roman" w:eastAsia="宋体" w:cs="Times New Roman"/>
                <w:color w:val="auto"/>
                <w:kern w:val="0"/>
                <w:sz w:val="21"/>
                <w:szCs w:val="21"/>
                <w:highlight w:val="none"/>
                <w:u w:val="none"/>
                <w:lang w:val="en-US" w:eastAsia="zh-CN" w:bidi="ar-SA"/>
              </w:rPr>
            </w:pPr>
            <w:r>
              <w:rPr>
                <w:rFonts w:hint="eastAsia" w:ascii="Times New Roman" w:hAnsi="Times New Roman" w:eastAsia="宋体" w:cs="Times New Roman"/>
                <w:color w:val="auto"/>
                <w:kern w:val="0"/>
                <w:sz w:val="21"/>
                <w:szCs w:val="21"/>
                <w:highlight w:val="none"/>
                <w:u w:val="none"/>
                <w:lang w:val="en-US" w:eastAsia="zh-CN" w:bidi="ar-SA"/>
              </w:rPr>
              <w:t>15天</w:t>
            </w:r>
          </w:p>
        </w:tc>
      </w:tr>
      <w:tr w14:paraId="2470E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3" w:type="pct"/>
            <w:vAlign w:val="center"/>
          </w:tcPr>
          <w:p w14:paraId="23C35837">
            <w:pPr>
              <w:widowControl/>
              <w:jc w:val="center"/>
              <w:rPr>
                <w:rFonts w:hint="eastAsia" w:ascii="Times New Roman" w:hAnsi="Times New Roman" w:eastAsia="宋体" w:cs="Times New Roman"/>
                <w:color w:val="auto"/>
                <w:kern w:val="0"/>
                <w:szCs w:val="21"/>
                <w:highlight w:val="none"/>
                <w:u w:val="none"/>
                <w:lang w:val="en-US" w:eastAsia="zh-CN"/>
              </w:rPr>
            </w:pPr>
            <w:r>
              <w:rPr>
                <w:rFonts w:hint="eastAsia" w:ascii="Times New Roman" w:hAnsi="Times New Roman" w:eastAsia="宋体" w:cs="Times New Roman"/>
                <w:color w:val="auto"/>
                <w:kern w:val="0"/>
                <w:szCs w:val="21"/>
                <w:highlight w:val="none"/>
                <w:u w:val="none"/>
                <w:lang w:val="en-US" w:eastAsia="zh-CN"/>
              </w:rPr>
              <w:t>4</w:t>
            </w:r>
          </w:p>
        </w:tc>
        <w:tc>
          <w:tcPr>
            <w:tcW w:w="704" w:type="pct"/>
            <w:vAlign w:val="center"/>
          </w:tcPr>
          <w:p w14:paraId="4B2ADCF4">
            <w:pPr>
              <w:widowControl/>
              <w:jc w:val="center"/>
              <w:rPr>
                <w:rFonts w:hint="default" w:ascii="Times New Roman" w:hAnsi="Times New Roman" w:eastAsia="宋体" w:cs="Times New Roman"/>
                <w:color w:val="auto"/>
                <w:kern w:val="0"/>
                <w:szCs w:val="21"/>
                <w:highlight w:val="none"/>
                <w:u w:val="none"/>
                <w:lang w:val="en-US" w:eastAsia="zh-CN"/>
              </w:rPr>
            </w:pPr>
            <w:r>
              <w:rPr>
                <w:rFonts w:hint="eastAsia" w:ascii="Times New Roman" w:hAnsi="Times New Roman" w:eastAsia="宋体" w:cs="Times New Roman"/>
                <w:color w:val="auto"/>
                <w:kern w:val="0"/>
                <w:szCs w:val="21"/>
                <w:highlight w:val="none"/>
                <w:u w:val="none"/>
                <w:lang w:val="en-US" w:eastAsia="zh-CN"/>
              </w:rPr>
              <w:t>化验室废液贮存区</w:t>
            </w:r>
          </w:p>
        </w:tc>
        <w:tc>
          <w:tcPr>
            <w:tcW w:w="871" w:type="pct"/>
            <w:vAlign w:val="center"/>
          </w:tcPr>
          <w:p w14:paraId="75534D74">
            <w:pPr>
              <w:widowControl/>
              <w:jc w:val="center"/>
              <w:rPr>
                <w:rFonts w:hint="default" w:ascii="Times New Roman" w:hAnsi="Times New Roman" w:eastAsia="宋体" w:cs="Times New Roman"/>
                <w:color w:val="auto"/>
                <w:kern w:val="0"/>
                <w:szCs w:val="21"/>
                <w:highlight w:val="none"/>
                <w:u w:val="none"/>
                <w:lang w:val="en-US" w:eastAsia="zh-CN"/>
              </w:rPr>
            </w:pPr>
            <w:r>
              <w:rPr>
                <w:rFonts w:hint="eastAsia" w:ascii="Times New Roman" w:hAnsi="Times New Roman" w:eastAsia="宋体" w:cs="Times New Roman"/>
                <w:color w:val="auto"/>
                <w:kern w:val="0"/>
                <w:szCs w:val="21"/>
                <w:highlight w:val="none"/>
                <w:u w:val="none"/>
                <w:lang w:val="en-US" w:eastAsia="zh-CN"/>
              </w:rPr>
              <w:t>化验室、在线检测室</w:t>
            </w:r>
          </w:p>
        </w:tc>
        <w:tc>
          <w:tcPr>
            <w:tcW w:w="897" w:type="pct"/>
            <w:vAlign w:val="center"/>
          </w:tcPr>
          <w:p w14:paraId="4CEDEC72">
            <w:pPr>
              <w:widowControl/>
              <w:jc w:val="center"/>
              <w:rPr>
                <w:rFonts w:hint="default" w:ascii="Times New Roman" w:hAnsi="Times New Roman" w:eastAsia="宋体" w:cs="Times New Roman"/>
                <w:color w:val="auto"/>
                <w:kern w:val="0"/>
                <w:szCs w:val="21"/>
                <w:highlight w:val="none"/>
                <w:u w:val="none"/>
                <w:lang w:val="en-US" w:eastAsia="zh-CN"/>
              </w:rPr>
            </w:pPr>
            <w:r>
              <w:rPr>
                <w:rFonts w:hint="eastAsia" w:ascii="Times New Roman" w:hAnsi="Times New Roman" w:eastAsia="宋体" w:cs="Times New Roman"/>
                <w:color w:val="auto"/>
                <w:kern w:val="0"/>
                <w:szCs w:val="21"/>
                <w:highlight w:val="none"/>
                <w:u w:val="none"/>
                <w:lang w:val="en-US" w:eastAsia="zh-CN"/>
              </w:rPr>
              <w:t>5</w:t>
            </w:r>
          </w:p>
        </w:tc>
        <w:tc>
          <w:tcPr>
            <w:tcW w:w="634" w:type="pct"/>
            <w:vAlign w:val="center"/>
          </w:tcPr>
          <w:p w14:paraId="5481E47C">
            <w:pPr>
              <w:widowControl/>
              <w:jc w:val="center"/>
              <w:rPr>
                <w:rFonts w:hint="eastAsia" w:ascii="Times New Roman" w:hAnsi="Times New Roman" w:eastAsia="宋体" w:cs="Times New Roman"/>
                <w:color w:val="auto"/>
                <w:kern w:val="0"/>
                <w:szCs w:val="21"/>
                <w:highlight w:val="none"/>
                <w:u w:val="none"/>
              </w:rPr>
            </w:pPr>
            <w:r>
              <w:rPr>
                <w:rFonts w:hint="eastAsia" w:ascii="Times New Roman" w:hAnsi="Times New Roman" w:eastAsia="宋体" w:cs="Times New Roman"/>
                <w:color w:val="auto"/>
                <w:kern w:val="0"/>
                <w:szCs w:val="21"/>
                <w:highlight w:val="none"/>
                <w:u w:val="none"/>
                <w:lang w:val="en-US" w:eastAsia="zh-CN"/>
              </w:rPr>
              <w:t>桶装</w:t>
            </w:r>
          </w:p>
        </w:tc>
        <w:tc>
          <w:tcPr>
            <w:tcW w:w="853" w:type="pct"/>
            <w:shd w:val="clear" w:color="auto" w:fill="auto"/>
            <w:vAlign w:val="center"/>
          </w:tcPr>
          <w:p w14:paraId="6503D1A6">
            <w:pPr>
              <w:widowControl/>
              <w:jc w:val="center"/>
              <w:rPr>
                <w:rFonts w:hint="default" w:ascii="Times New Roman" w:hAnsi="Times New Roman" w:eastAsia="宋体" w:cs="Times New Roman"/>
                <w:color w:val="auto"/>
                <w:kern w:val="0"/>
                <w:sz w:val="21"/>
                <w:szCs w:val="21"/>
                <w:highlight w:val="none"/>
                <w:u w:val="none"/>
                <w:lang w:val="en-US" w:eastAsia="zh-CN" w:bidi="ar-SA"/>
              </w:rPr>
            </w:pPr>
            <w:r>
              <w:rPr>
                <w:rFonts w:hint="eastAsia" w:ascii="Times New Roman" w:hAnsi="Times New Roman" w:eastAsia="宋体" w:cs="Times New Roman"/>
                <w:color w:val="auto"/>
                <w:kern w:val="0"/>
                <w:szCs w:val="21"/>
                <w:highlight w:val="none"/>
                <w:u w:val="none"/>
                <w:lang w:val="en-US" w:eastAsia="zh-CN"/>
              </w:rPr>
              <w:t>1.6</w:t>
            </w:r>
          </w:p>
        </w:tc>
        <w:tc>
          <w:tcPr>
            <w:tcW w:w="655" w:type="pct"/>
            <w:shd w:val="clear" w:color="auto" w:fill="auto"/>
            <w:vAlign w:val="center"/>
          </w:tcPr>
          <w:p w14:paraId="094661C2">
            <w:pPr>
              <w:widowControl/>
              <w:jc w:val="center"/>
              <w:rPr>
                <w:rFonts w:hint="default" w:ascii="Times New Roman" w:hAnsi="Times New Roman" w:eastAsia="宋体" w:cs="Times New Roman"/>
                <w:color w:val="auto"/>
                <w:kern w:val="0"/>
                <w:sz w:val="21"/>
                <w:szCs w:val="21"/>
                <w:highlight w:val="none"/>
                <w:u w:val="none"/>
                <w:lang w:val="en-US" w:eastAsia="zh-CN" w:bidi="ar-SA"/>
              </w:rPr>
            </w:pPr>
            <w:r>
              <w:rPr>
                <w:rFonts w:hint="eastAsia" w:ascii="Times New Roman" w:hAnsi="Times New Roman" w:eastAsia="宋体" w:cs="Times New Roman"/>
                <w:color w:val="auto"/>
                <w:kern w:val="0"/>
                <w:szCs w:val="21"/>
                <w:highlight w:val="none"/>
                <w:u w:val="none"/>
                <w:lang w:val="en-US" w:eastAsia="zh-CN"/>
              </w:rPr>
              <w:t>3个月</w:t>
            </w:r>
          </w:p>
        </w:tc>
      </w:tr>
    </w:tbl>
    <w:p w14:paraId="406397E1">
      <w:pPr>
        <w:spacing w:line="360" w:lineRule="auto"/>
        <w:ind w:firstLine="480" w:firstLineChars="200"/>
        <w:rPr>
          <w:rFonts w:ascii="Times New Roman" w:hAnsi="Times New Roman" w:eastAsia="宋体" w:cs="Times New Roman"/>
          <w:color w:val="auto"/>
          <w:sz w:val="24"/>
          <w:szCs w:val="24"/>
          <w:u w:val="none"/>
        </w:rPr>
      </w:pPr>
    </w:p>
    <w:p w14:paraId="08A5681C">
      <w:pPr>
        <w:spacing w:line="360" w:lineRule="auto"/>
        <w:ind w:firstLine="480" w:firstLineChars="200"/>
        <w:rPr>
          <w:rFonts w:ascii="Times New Roman" w:hAnsi="Times New Roman" w:eastAsia="宋体" w:cs="Times New Roman"/>
          <w:color w:val="auto"/>
          <w:sz w:val="24"/>
          <w:szCs w:val="24"/>
          <w:u w:val="none"/>
        </w:rPr>
      </w:pPr>
      <w:r>
        <w:rPr>
          <w:rFonts w:ascii="Times New Roman" w:hAnsi="Times New Roman" w:eastAsia="宋体" w:cs="Times New Roman"/>
          <w:color w:val="auto"/>
          <w:sz w:val="24"/>
          <w:szCs w:val="24"/>
          <w:u w:val="none"/>
        </w:rPr>
        <w:t>危险废物的收集、运输、贮存、管理以及转运应严格按照《危险废物污染防治技术政策》（环发【2001】 199 号）、《危险废物转移联单管理办法》(国家环境保护总局令第5号）和《危险废物贮存污染控制标准》（GB18597- 001）实行，对危险废物外运采取防渗透、防泄漏、防中途流失措施，并落实安全管理责任，避免二次污染。</w:t>
      </w:r>
    </w:p>
    <w:tbl>
      <w:tblPr>
        <w:tblStyle w:val="263"/>
        <w:tblW w:w="821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364"/>
        <w:gridCol w:w="3853"/>
      </w:tblGrid>
      <w:tr w14:paraId="03D3C8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4" w:hRule="atLeast"/>
        </w:trPr>
        <w:tc>
          <w:tcPr>
            <w:tcW w:w="4364" w:type="dxa"/>
          </w:tcPr>
          <w:p w14:paraId="4C97B1B1">
            <w:pPr>
              <w:pStyle w:val="52"/>
              <w:autoSpaceDE w:val="0"/>
              <w:autoSpaceDN w:val="0"/>
              <w:bidi w:val="0"/>
              <w:rPr>
                <w:rFonts w:hint="eastAsia" w:eastAsia="宋体"/>
                <w:lang w:eastAsia="zh-CN"/>
              </w:rPr>
            </w:pPr>
            <w:r>
              <w:rPr>
                <w:rFonts w:hint="eastAsia" w:eastAsia="宋体"/>
                <w:lang w:eastAsia="zh-CN"/>
              </w:rPr>
              <w:drawing>
                <wp:inline distT="0" distB="0" distL="114300" distR="114300">
                  <wp:extent cx="2765425" cy="2967990"/>
                  <wp:effectExtent l="0" t="0" r="0" b="0"/>
                  <wp:docPr id="20" name="图片 20" descr="6f3e5c1b1f1ba0a387f766ba562f7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6f3e5c1b1f1ba0a387f766ba562f7da"/>
                          <pic:cNvPicPr>
                            <a:picLocks noChangeAspect="1"/>
                          </pic:cNvPicPr>
                        </pic:nvPicPr>
                        <pic:blipFill>
                          <a:blip r:embed="rId28"/>
                          <a:srcRect b="19539"/>
                          <a:stretch>
                            <a:fillRect/>
                          </a:stretch>
                        </pic:blipFill>
                        <pic:spPr>
                          <a:xfrm>
                            <a:off x="0" y="0"/>
                            <a:ext cx="2765425" cy="2967990"/>
                          </a:xfrm>
                          <a:prstGeom prst="rect">
                            <a:avLst/>
                          </a:prstGeom>
                        </pic:spPr>
                      </pic:pic>
                    </a:graphicData>
                  </a:graphic>
                </wp:inline>
              </w:drawing>
            </w:r>
          </w:p>
        </w:tc>
        <w:tc>
          <w:tcPr>
            <w:tcW w:w="3853" w:type="dxa"/>
          </w:tcPr>
          <w:p w14:paraId="7288C3FD">
            <w:pPr>
              <w:pStyle w:val="52"/>
              <w:autoSpaceDE w:val="0"/>
              <w:autoSpaceDN w:val="0"/>
              <w:bidi w:val="0"/>
              <w:rPr>
                <w:rFonts w:hint="eastAsia" w:eastAsia="宋体"/>
                <w:lang w:eastAsia="zh-CN"/>
              </w:rPr>
            </w:pPr>
            <w:r>
              <w:rPr>
                <w:rFonts w:hint="eastAsia" w:eastAsia="宋体"/>
                <w:lang w:eastAsia="zh-CN"/>
              </w:rPr>
              <w:drawing>
                <wp:inline distT="0" distB="0" distL="114300" distR="114300">
                  <wp:extent cx="2409190" cy="2902585"/>
                  <wp:effectExtent l="0" t="0" r="0" b="0"/>
                  <wp:docPr id="21" name="图片 21" descr="044536d3d885982dfb546943d7d5f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044536d3d885982dfb546943d7d5f4f"/>
                          <pic:cNvPicPr>
                            <a:picLocks noChangeAspect="1"/>
                          </pic:cNvPicPr>
                        </pic:nvPicPr>
                        <pic:blipFill>
                          <a:blip r:embed="rId33"/>
                          <a:srcRect t="21312" r="12882"/>
                          <a:stretch>
                            <a:fillRect/>
                          </a:stretch>
                        </pic:blipFill>
                        <pic:spPr>
                          <a:xfrm>
                            <a:off x="0" y="0"/>
                            <a:ext cx="2409190" cy="2902585"/>
                          </a:xfrm>
                          <a:prstGeom prst="rect">
                            <a:avLst/>
                          </a:prstGeom>
                        </pic:spPr>
                      </pic:pic>
                    </a:graphicData>
                  </a:graphic>
                </wp:inline>
              </w:drawing>
            </w:r>
          </w:p>
        </w:tc>
      </w:tr>
      <w:tr w14:paraId="09FA26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4364" w:type="dxa"/>
          </w:tcPr>
          <w:p w14:paraId="6EB83ADD">
            <w:pPr>
              <w:pStyle w:val="52"/>
              <w:autoSpaceDE w:val="0"/>
              <w:autoSpaceDN w:val="0"/>
              <w:bidi w:val="0"/>
              <w:rPr>
                <w:rFonts w:hint="default" w:eastAsia="宋体"/>
                <w:lang w:val="en-US" w:eastAsia="zh-CN"/>
              </w:rPr>
            </w:pPr>
            <w:r>
              <w:rPr>
                <w:rFonts w:hint="eastAsia"/>
                <w:lang w:val="en-US" w:eastAsia="zh-CN"/>
              </w:rPr>
              <w:t>危废暂存间外</w:t>
            </w:r>
          </w:p>
        </w:tc>
        <w:tc>
          <w:tcPr>
            <w:tcW w:w="3853" w:type="dxa"/>
          </w:tcPr>
          <w:p w14:paraId="2CB72B05">
            <w:pPr>
              <w:pStyle w:val="52"/>
              <w:autoSpaceDE w:val="0"/>
              <w:autoSpaceDN w:val="0"/>
              <w:bidi w:val="0"/>
              <w:rPr>
                <w:rFonts w:hint="default" w:eastAsia="宋体"/>
                <w:lang w:val="en-US" w:eastAsia="zh-CN"/>
              </w:rPr>
            </w:pPr>
            <w:r>
              <w:rPr>
                <w:rFonts w:hint="eastAsia"/>
                <w:lang w:val="en-US" w:eastAsia="zh-CN"/>
              </w:rPr>
              <w:t>危废暂存间制度牌</w:t>
            </w:r>
          </w:p>
        </w:tc>
      </w:tr>
      <w:tr w14:paraId="7F4066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4" w:hRule="atLeast"/>
        </w:trPr>
        <w:tc>
          <w:tcPr>
            <w:tcW w:w="4364" w:type="dxa"/>
          </w:tcPr>
          <w:p w14:paraId="5CAA75BD">
            <w:pPr>
              <w:pStyle w:val="52"/>
              <w:autoSpaceDE w:val="0"/>
              <w:autoSpaceDN w:val="0"/>
              <w:bidi w:val="0"/>
              <w:rPr>
                <w:rFonts w:hint="eastAsia" w:eastAsia="宋体"/>
                <w:lang w:eastAsia="zh-CN"/>
              </w:rPr>
            </w:pPr>
            <w:r>
              <w:rPr>
                <w:rFonts w:hint="eastAsia" w:eastAsia="宋体"/>
                <w:lang w:eastAsia="zh-CN"/>
              </w:rPr>
              <w:drawing>
                <wp:inline distT="0" distB="0" distL="114300" distR="114300">
                  <wp:extent cx="2762250" cy="2070735"/>
                  <wp:effectExtent l="0" t="0" r="0" b="5715"/>
                  <wp:docPr id="22" name="图片 22" descr="cc108d8cdfb8c17e2768fedafe098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c108d8cdfb8c17e2768fedafe098d3"/>
                          <pic:cNvPicPr>
                            <a:picLocks noChangeAspect="1"/>
                          </pic:cNvPicPr>
                        </pic:nvPicPr>
                        <pic:blipFill>
                          <a:blip r:embed="rId34"/>
                          <a:stretch>
                            <a:fillRect/>
                          </a:stretch>
                        </pic:blipFill>
                        <pic:spPr>
                          <a:xfrm>
                            <a:off x="0" y="0"/>
                            <a:ext cx="2762250" cy="2070735"/>
                          </a:xfrm>
                          <a:prstGeom prst="rect">
                            <a:avLst/>
                          </a:prstGeom>
                        </pic:spPr>
                      </pic:pic>
                    </a:graphicData>
                  </a:graphic>
                </wp:inline>
              </w:drawing>
            </w:r>
          </w:p>
        </w:tc>
        <w:tc>
          <w:tcPr>
            <w:tcW w:w="3853" w:type="dxa"/>
          </w:tcPr>
          <w:p w14:paraId="1273CB06">
            <w:pPr>
              <w:pStyle w:val="52"/>
              <w:autoSpaceDE w:val="0"/>
              <w:autoSpaceDN w:val="0"/>
              <w:bidi w:val="0"/>
              <w:rPr>
                <w:rFonts w:hint="eastAsia" w:eastAsia="宋体"/>
                <w:lang w:eastAsia="zh-CN"/>
              </w:rPr>
            </w:pPr>
            <w:r>
              <w:rPr>
                <w:rFonts w:hint="eastAsia" w:eastAsia="宋体"/>
                <w:lang w:eastAsia="zh-CN"/>
              </w:rPr>
              <w:drawing>
                <wp:inline distT="0" distB="0" distL="114300" distR="114300">
                  <wp:extent cx="2437765" cy="1827530"/>
                  <wp:effectExtent l="0" t="0" r="635" b="1270"/>
                  <wp:docPr id="23" name="图片 23" descr="82150cf11cf4530cf7c939568f732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82150cf11cf4530cf7c939568f7323c"/>
                          <pic:cNvPicPr>
                            <a:picLocks noChangeAspect="1"/>
                          </pic:cNvPicPr>
                        </pic:nvPicPr>
                        <pic:blipFill>
                          <a:blip r:embed="rId35"/>
                          <a:stretch>
                            <a:fillRect/>
                          </a:stretch>
                        </pic:blipFill>
                        <pic:spPr>
                          <a:xfrm>
                            <a:off x="0" y="0"/>
                            <a:ext cx="2437765" cy="1827530"/>
                          </a:xfrm>
                          <a:prstGeom prst="rect">
                            <a:avLst/>
                          </a:prstGeom>
                        </pic:spPr>
                      </pic:pic>
                    </a:graphicData>
                  </a:graphic>
                </wp:inline>
              </w:drawing>
            </w:r>
          </w:p>
        </w:tc>
      </w:tr>
      <w:tr w14:paraId="5F21CB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4364" w:type="dxa"/>
          </w:tcPr>
          <w:p w14:paraId="649E3F4B">
            <w:pPr>
              <w:pStyle w:val="52"/>
              <w:autoSpaceDE w:val="0"/>
              <w:autoSpaceDN w:val="0"/>
              <w:bidi w:val="0"/>
              <w:rPr>
                <w:rFonts w:hint="default" w:eastAsia="宋体"/>
                <w:lang w:val="en-US" w:eastAsia="zh-CN"/>
              </w:rPr>
            </w:pPr>
            <w:r>
              <w:rPr>
                <w:rFonts w:hint="eastAsia"/>
                <w:lang w:val="en-US" w:eastAsia="zh-CN"/>
              </w:rPr>
              <w:t>危废暂存间内分区</w:t>
            </w:r>
          </w:p>
        </w:tc>
        <w:tc>
          <w:tcPr>
            <w:tcW w:w="3853" w:type="dxa"/>
          </w:tcPr>
          <w:p w14:paraId="25EF0F11">
            <w:pPr>
              <w:pStyle w:val="52"/>
              <w:autoSpaceDE w:val="0"/>
              <w:autoSpaceDN w:val="0"/>
              <w:bidi w:val="0"/>
              <w:rPr>
                <w:rFonts w:hint="default" w:eastAsia="宋体"/>
                <w:lang w:val="en-US" w:eastAsia="zh-CN"/>
              </w:rPr>
            </w:pPr>
            <w:r>
              <w:rPr>
                <w:rFonts w:hint="eastAsia"/>
                <w:lang w:val="en-US" w:eastAsia="zh-CN"/>
              </w:rPr>
              <w:t>危废暂存间内集气系统</w:t>
            </w:r>
          </w:p>
        </w:tc>
      </w:tr>
    </w:tbl>
    <w:p w14:paraId="2D99F3A7">
      <w:pPr>
        <w:pStyle w:val="6"/>
        <w:bidi w:val="0"/>
        <w:rPr>
          <w:rFonts w:hint="default"/>
          <w:lang w:val="en-US" w:eastAsia="zh-CN"/>
        </w:rPr>
      </w:pPr>
      <w:r>
        <w:rPr>
          <w:rFonts w:hint="eastAsia"/>
          <w:lang w:val="en-US" w:eastAsia="zh-CN"/>
        </w:rPr>
        <w:t>图 危废暂存间现场照片</w:t>
      </w:r>
    </w:p>
    <w:p w14:paraId="5A441994">
      <w:pPr>
        <w:jc w:val="center"/>
        <w:rPr>
          <w:rFonts w:ascii="Times New Roman" w:hAnsi="Times New Roman" w:eastAsia="宋体" w:cs="Times New Roman"/>
          <w:b/>
          <w:bCs/>
          <w:color w:val="FF0000"/>
          <w:sz w:val="22"/>
          <w:szCs w:val="24"/>
          <w:u w:val="single"/>
        </w:rPr>
      </w:pPr>
    </w:p>
    <w:p w14:paraId="01962B5F">
      <w:pPr>
        <w:pStyle w:val="6"/>
        <w:bidi w:val="0"/>
      </w:pPr>
      <w:r>
        <w:rPr>
          <w:rFonts w:hint="eastAsia"/>
        </w:rPr>
        <w:t>表3.1.11-</w:t>
      </w:r>
      <w:r>
        <w:rPr>
          <w:rFonts w:hint="eastAsia"/>
          <w:lang w:val="en-US" w:eastAsia="zh-CN"/>
        </w:rPr>
        <w:t>9</w:t>
      </w:r>
      <w:r>
        <w:rPr>
          <w:rFonts w:hint="eastAsia"/>
        </w:rPr>
        <w:t xml:space="preserve">    与《危险废物贮存污染控制标准》（GB18597-2023）相符性分析</w:t>
      </w:r>
    </w:p>
    <w:tbl>
      <w:tblPr>
        <w:tblStyle w:val="4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4"/>
        <w:gridCol w:w="4472"/>
        <w:gridCol w:w="2330"/>
        <w:gridCol w:w="1246"/>
      </w:tblGrid>
      <w:tr w14:paraId="6BBD7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8" w:type="pct"/>
            <w:vAlign w:val="center"/>
          </w:tcPr>
          <w:p w14:paraId="790A7E80">
            <w:pPr>
              <w:jc w:val="center"/>
              <w:rPr>
                <w:rFonts w:ascii="Times New Roman" w:hAnsi="Times New Roman" w:eastAsia="宋体" w:cs="Times New Roman"/>
                <w:b/>
                <w:bCs/>
                <w:color w:val="auto"/>
                <w:sz w:val="22"/>
                <w:szCs w:val="24"/>
              </w:rPr>
            </w:pPr>
            <w:r>
              <w:rPr>
                <w:rFonts w:hint="eastAsia" w:ascii="Times New Roman" w:hAnsi="Times New Roman" w:eastAsia="宋体" w:cs="Times New Roman"/>
                <w:b/>
                <w:bCs/>
                <w:color w:val="auto"/>
                <w:sz w:val="22"/>
                <w:szCs w:val="24"/>
              </w:rPr>
              <w:t>序号</w:t>
            </w:r>
          </w:p>
        </w:tc>
        <w:tc>
          <w:tcPr>
            <w:tcW w:w="2624" w:type="pct"/>
            <w:vAlign w:val="center"/>
          </w:tcPr>
          <w:p w14:paraId="22A3EE09">
            <w:pPr>
              <w:jc w:val="center"/>
              <w:rPr>
                <w:rFonts w:ascii="Times New Roman" w:hAnsi="Times New Roman" w:eastAsia="宋体" w:cs="Times New Roman"/>
                <w:b/>
                <w:bCs/>
                <w:color w:val="auto"/>
                <w:sz w:val="22"/>
                <w:szCs w:val="24"/>
              </w:rPr>
            </w:pPr>
            <w:r>
              <w:rPr>
                <w:rFonts w:hint="eastAsia" w:ascii="Times New Roman" w:hAnsi="Times New Roman" w:eastAsia="宋体" w:cs="Times New Roman"/>
                <w:b/>
                <w:bCs/>
                <w:color w:val="auto"/>
                <w:sz w:val="22"/>
                <w:szCs w:val="24"/>
              </w:rPr>
              <w:t>《危险废物贮存污染控制标准》要求</w:t>
            </w:r>
          </w:p>
        </w:tc>
        <w:tc>
          <w:tcPr>
            <w:tcW w:w="1367" w:type="pct"/>
            <w:vAlign w:val="center"/>
          </w:tcPr>
          <w:p w14:paraId="05EFA61E">
            <w:pPr>
              <w:jc w:val="center"/>
              <w:rPr>
                <w:rFonts w:ascii="Times New Roman" w:hAnsi="Times New Roman" w:eastAsia="宋体" w:cs="Times New Roman"/>
                <w:b/>
                <w:bCs/>
                <w:color w:val="auto"/>
                <w:sz w:val="22"/>
                <w:szCs w:val="24"/>
              </w:rPr>
            </w:pPr>
            <w:r>
              <w:rPr>
                <w:rFonts w:hint="eastAsia" w:ascii="Times New Roman" w:hAnsi="Times New Roman" w:eastAsia="宋体" w:cs="Times New Roman"/>
                <w:b/>
                <w:bCs/>
                <w:color w:val="auto"/>
                <w:sz w:val="22"/>
                <w:szCs w:val="24"/>
              </w:rPr>
              <w:t>危废间建设情况</w:t>
            </w:r>
          </w:p>
        </w:tc>
        <w:tc>
          <w:tcPr>
            <w:tcW w:w="731" w:type="pct"/>
            <w:vAlign w:val="center"/>
          </w:tcPr>
          <w:p w14:paraId="55C46E04">
            <w:pPr>
              <w:jc w:val="center"/>
              <w:rPr>
                <w:rFonts w:ascii="Times New Roman" w:hAnsi="Times New Roman" w:eastAsia="宋体" w:cs="Times New Roman"/>
                <w:b/>
                <w:bCs/>
                <w:color w:val="auto"/>
                <w:sz w:val="22"/>
                <w:szCs w:val="24"/>
              </w:rPr>
            </w:pPr>
            <w:r>
              <w:rPr>
                <w:rFonts w:hint="eastAsia" w:ascii="Times New Roman" w:hAnsi="Times New Roman" w:eastAsia="宋体" w:cs="Times New Roman"/>
                <w:b/>
                <w:bCs/>
                <w:color w:val="auto"/>
                <w:sz w:val="22"/>
                <w:szCs w:val="24"/>
              </w:rPr>
              <w:t>是否符合相关要求</w:t>
            </w:r>
          </w:p>
        </w:tc>
      </w:tr>
      <w:tr w14:paraId="1B55A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8" w:type="pct"/>
            <w:vAlign w:val="center"/>
          </w:tcPr>
          <w:p w14:paraId="5E20E109">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1</w:t>
            </w:r>
          </w:p>
        </w:tc>
        <w:tc>
          <w:tcPr>
            <w:tcW w:w="2624" w:type="pct"/>
            <w:vAlign w:val="center"/>
          </w:tcPr>
          <w:p w14:paraId="2E65FBCC">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贮存设施应根据危险废物的形态、物理化学性质、包装形式和污染物迁移途径，采取必要的防风、防晒、防雨、防漏、防渗、防腐以及其他环境污染防治措施，不应露天堆放危险废物。</w:t>
            </w:r>
          </w:p>
        </w:tc>
        <w:tc>
          <w:tcPr>
            <w:tcW w:w="1367" w:type="pct"/>
            <w:vAlign w:val="center"/>
          </w:tcPr>
          <w:p w14:paraId="19799FAC">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危废暂存间地面进行防腐防渗处理</w:t>
            </w:r>
          </w:p>
        </w:tc>
        <w:tc>
          <w:tcPr>
            <w:tcW w:w="731" w:type="pct"/>
            <w:vAlign w:val="center"/>
          </w:tcPr>
          <w:p w14:paraId="69EF45CD">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符合</w:t>
            </w:r>
          </w:p>
        </w:tc>
      </w:tr>
      <w:tr w14:paraId="55166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8" w:type="pct"/>
            <w:vAlign w:val="center"/>
          </w:tcPr>
          <w:p w14:paraId="40ABD71F">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2</w:t>
            </w:r>
          </w:p>
        </w:tc>
        <w:tc>
          <w:tcPr>
            <w:tcW w:w="2624" w:type="pct"/>
            <w:vAlign w:val="center"/>
          </w:tcPr>
          <w:p w14:paraId="1B689455">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贮存设施应根据危险废物的类别、数量、形态、物理化学性质和污染防治等要求设置必要的贮存分区，避免不相容的危险废物接触、混合。</w:t>
            </w:r>
          </w:p>
        </w:tc>
        <w:tc>
          <w:tcPr>
            <w:tcW w:w="1367" w:type="pct"/>
            <w:vAlign w:val="center"/>
          </w:tcPr>
          <w:p w14:paraId="160F5314">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企业危废暂存间分为</w:t>
            </w:r>
            <w:r>
              <w:rPr>
                <w:rFonts w:hint="eastAsia" w:ascii="Times New Roman" w:hAnsi="Times New Roman" w:eastAsia="宋体" w:cs="Times New Roman"/>
                <w:color w:val="auto"/>
                <w:sz w:val="22"/>
                <w:szCs w:val="24"/>
                <w:lang w:val="en-US" w:eastAsia="zh-CN"/>
              </w:rPr>
              <w:t>四</w:t>
            </w:r>
            <w:r>
              <w:rPr>
                <w:rFonts w:hint="eastAsia" w:ascii="Times New Roman" w:hAnsi="Times New Roman" w:eastAsia="宋体" w:cs="Times New Roman"/>
                <w:color w:val="auto"/>
                <w:sz w:val="22"/>
                <w:szCs w:val="24"/>
              </w:rPr>
              <w:t>个区，液体危废暂存前按照要求采用符合标准的容器盛装密封后存于危险废物暂存间，固体危废暂存前也使用符合标准的容器盛装，禁止将不相容的危废存放在同意容器中。</w:t>
            </w:r>
          </w:p>
        </w:tc>
        <w:tc>
          <w:tcPr>
            <w:tcW w:w="731" w:type="pct"/>
            <w:vAlign w:val="center"/>
          </w:tcPr>
          <w:p w14:paraId="64F2E3B4">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符合</w:t>
            </w:r>
          </w:p>
        </w:tc>
      </w:tr>
      <w:tr w14:paraId="51F28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8" w:type="pct"/>
            <w:vAlign w:val="center"/>
          </w:tcPr>
          <w:p w14:paraId="5899CC83">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3</w:t>
            </w:r>
          </w:p>
        </w:tc>
        <w:tc>
          <w:tcPr>
            <w:tcW w:w="2624" w:type="pct"/>
            <w:vAlign w:val="center"/>
          </w:tcPr>
          <w:p w14:paraId="1F479748">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贮存设施或贮存分区内地面、墙面裙脚、堵截泄漏的围堰、接触危险废物的隔板和墙体等应采用坚固的材料建造，表面无裂缝。</w:t>
            </w:r>
          </w:p>
        </w:tc>
        <w:tc>
          <w:tcPr>
            <w:tcW w:w="1367" w:type="pct"/>
            <w:vAlign w:val="center"/>
          </w:tcPr>
          <w:p w14:paraId="188368E5">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经现场踏勘，</w:t>
            </w:r>
            <w:r>
              <w:rPr>
                <w:rFonts w:ascii="Times New Roman" w:hAnsi="Times New Roman" w:eastAsia="宋体" w:cs="Times New Roman"/>
                <w:color w:val="auto"/>
                <w:sz w:val="22"/>
                <w:szCs w:val="24"/>
              </w:rPr>
              <w:t>贮存设施或贮存分区内地面、墙面裙脚、堵截泄漏的围堰、接触危险废物的隔板和墙体等表面无裂缝。</w:t>
            </w:r>
          </w:p>
        </w:tc>
        <w:tc>
          <w:tcPr>
            <w:tcW w:w="731" w:type="pct"/>
            <w:vAlign w:val="center"/>
          </w:tcPr>
          <w:p w14:paraId="045BD477">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符合</w:t>
            </w:r>
          </w:p>
        </w:tc>
      </w:tr>
      <w:tr w14:paraId="485A0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8" w:type="pct"/>
            <w:vAlign w:val="center"/>
          </w:tcPr>
          <w:p w14:paraId="5F3282C3">
            <w:pPr>
              <w:jc w:val="center"/>
              <w:rPr>
                <w:rFonts w:ascii="Times New Roman" w:hAnsi="Times New Roman" w:eastAsia="宋体" w:cs="Times New Roman"/>
                <w:color w:val="auto"/>
                <w:sz w:val="22"/>
                <w:szCs w:val="24"/>
                <w:highlight w:val="none"/>
              </w:rPr>
            </w:pPr>
            <w:r>
              <w:rPr>
                <w:rFonts w:hint="eastAsia" w:ascii="Times New Roman" w:hAnsi="Times New Roman" w:eastAsia="宋体" w:cs="Times New Roman"/>
                <w:color w:val="auto"/>
                <w:sz w:val="22"/>
                <w:szCs w:val="24"/>
                <w:highlight w:val="none"/>
              </w:rPr>
              <w:t>4</w:t>
            </w:r>
          </w:p>
        </w:tc>
        <w:tc>
          <w:tcPr>
            <w:tcW w:w="2624" w:type="pct"/>
            <w:vAlign w:val="center"/>
          </w:tcPr>
          <w:p w14:paraId="2FCF6807">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贮存设施地面与裙脚应采取表面防渗措施;表面防渗材料应与所接触的物料或污染物相容，可采用抗渗混凝土、高密度聚乙烯膜、钠基膨润土防水毯或其他防渗性能等效的材料。贮存的危险废物直接接触地面的，还应进行基础防渗，防渗层为至少1m 厚黏土层(渗透系数不大于 10-”cms)，或至少2mm 厚高密度聚乙烯膜等人工防渗材料(渗透系数不大于 10-0cm/s)，或其他防渗性能等效的材料。</w:t>
            </w:r>
          </w:p>
        </w:tc>
        <w:tc>
          <w:tcPr>
            <w:tcW w:w="1367" w:type="pct"/>
            <w:vAlign w:val="center"/>
          </w:tcPr>
          <w:p w14:paraId="42D6B1AE">
            <w:pPr>
              <w:jc w:val="center"/>
              <w:rPr>
                <w:rFonts w:ascii="Times New Roman" w:hAnsi="Times New Roman" w:eastAsia="宋体" w:cs="Times New Roman"/>
                <w:color w:val="auto"/>
                <w:sz w:val="22"/>
                <w:szCs w:val="24"/>
                <w:highlight w:val="none"/>
              </w:rPr>
            </w:pPr>
            <w:r>
              <w:rPr>
                <w:rFonts w:ascii="Times New Roman" w:hAnsi="Times New Roman" w:eastAsia="宋体" w:cs="Times New Roman"/>
                <w:color w:val="auto"/>
                <w:sz w:val="22"/>
                <w:szCs w:val="24"/>
                <w:highlight w:val="none"/>
              </w:rPr>
              <w:t>危废暂存间地面用</w:t>
            </w:r>
            <w:r>
              <w:rPr>
                <w:rFonts w:hint="eastAsia" w:ascii="Times New Roman" w:hAnsi="Times New Roman" w:eastAsia="宋体" w:cs="Times New Roman"/>
                <w:color w:val="auto"/>
                <w:sz w:val="22"/>
                <w:szCs w:val="24"/>
                <w:highlight w:val="none"/>
                <w:lang w:val="en-US" w:eastAsia="zh-CN"/>
              </w:rPr>
              <w:t>混凝土+环氧树脂</w:t>
            </w:r>
            <w:r>
              <w:rPr>
                <w:rFonts w:ascii="Times New Roman" w:hAnsi="Times New Roman" w:eastAsia="宋体" w:cs="Times New Roman"/>
                <w:color w:val="auto"/>
                <w:sz w:val="22"/>
                <w:szCs w:val="24"/>
                <w:highlight w:val="none"/>
              </w:rPr>
              <w:t>进行防腐防渗处理</w:t>
            </w:r>
          </w:p>
        </w:tc>
        <w:tc>
          <w:tcPr>
            <w:tcW w:w="731" w:type="pct"/>
            <w:vAlign w:val="center"/>
          </w:tcPr>
          <w:p w14:paraId="416B3195">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符合</w:t>
            </w:r>
          </w:p>
        </w:tc>
      </w:tr>
      <w:tr w14:paraId="5F0E7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8" w:type="pct"/>
            <w:vAlign w:val="center"/>
          </w:tcPr>
          <w:p w14:paraId="407EFC70">
            <w:pPr>
              <w:jc w:val="center"/>
              <w:rPr>
                <w:rFonts w:ascii="Times New Roman" w:hAnsi="Times New Roman" w:eastAsia="宋体" w:cs="Times New Roman"/>
                <w:color w:val="auto"/>
                <w:sz w:val="22"/>
                <w:szCs w:val="24"/>
                <w:highlight w:val="none"/>
              </w:rPr>
            </w:pPr>
            <w:r>
              <w:rPr>
                <w:rFonts w:hint="eastAsia" w:ascii="Times New Roman" w:hAnsi="Times New Roman" w:eastAsia="宋体" w:cs="Times New Roman"/>
                <w:color w:val="auto"/>
                <w:sz w:val="22"/>
                <w:szCs w:val="24"/>
                <w:highlight w:val="none"/>
              </w:rPr>
              <w:t>5</w:t>
            </w:r>
          </w:p>
        </w:tc>
        <w:tc>
          <w:tcPr>
            <w:tcW w:w="2624" w:type="pct"/>
            <w:vAlign w:val="center"/>
          </w:tcPr>
          <w:p w14:paraId="62A71EF1">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同一贮存设施宜采用相同的防渗、防腐工艺(包括防渗、防腐结构或材料)，防渗、防腐材料应覆盖所有可能与废物及其渗滤液、渗漏液等接触的构筑物表面</w:t>
            </w:r>
            <w:r>
              <w:rPr>
                <w:rFonts w:hint="eastAsia" w:ascii="Times New Roman" w:hAnsi="Times New Roman" w:eastAsia="宋体" w:cs="Times New Roman"/>
                <w:color w:val="auto"/>
                <w:sz w:val="22"/>
                <w:szCs w:val="24"/>
              </w:rPr>
              <w:t>；</w:t>
            </w:r>
            <w:r>
              <w:rPr>
                <w:rFonts w:ascii="Times New Roman" w:hAnsi="Times New Roman" w:eastAsia="宋体" w:cs="Times New Roman"/>
                <w:color w:val="auto"/>
                <w:sz w:val="22"/>
                <w:szCs w:val="24"/>
              </w:rPr>
              <w:t>采用不同防渗、防腐工艺应分别建设贮存分区。</w:t>
            </w:r>
          </w:p>
        </w:tc>
        <w:tc>
          <w:tcPr>
            <w:tcW w:w="1367" w:type="pct"/>
            <w:vAlign w:val="center"/>
          </w:tcPr>
          <w:p w14:paraId="405ADD9D">
            <w:pPr>
              <w:jc w:val="center"/>
              <w:rPr>
                <w:rFonts w:ascii="Times New Roman" w:hAnsi="Times New Roman" w:eastAsia="宋体" w:cs="Times New Roman"/>
                <w:color w:val="auto"/>
                <w:sz w:val="22"/>
                <w:szCs w:val="24"/>
                <w:highlight w:val="none"/>
              </w:rPr>
            </w:pPr>
            <w:r>
              <w:rPr>
                <w:rFonts w:hint="eastAsia" w:ascii="Times New Roman" w:hAnsi="Times New Roman" w:eastAsia="宋体" w:cs="Times New Roman"/>
                <w:color w:val="auto"/>
                <w:sz w:val="22"/>
                <w:szCs w:val="24"/>
                <w:highlight w:val="none"/>
              </w:rPr>
              <w:t>企业危废暂存间均采用</w:t>
            </w:r>
            <w:r>
              <w:rPr>
                <w:rFonts w:hint="eastAsia" w:ascii="Times New Roman" w:hAnsi="Times New Roman" w:eastAsia="宋体" w:cs="Times New Roman"/>
                <w:color w:val="auto"/>
                <w:sz w:val="22"/>
                <w:szCs w:val="24"/>
                <w:highlight w:val="none"/>
                <w:lang w:val="en-US" w:eastAsia="zh-CN"/>
              </w:rPr>
              <w:t>环氧树脂</w:t>
            </w:r>
            <w:r>
              <w:rPr>
                <w:rFonts w:hint="eastAsia" w:ascii="Times New Roman" w:hAnsi="Times New Roman" w:eastAsia="宋体" w:cs="Times New Roman"/>
                <w:color w:val="auto"/>
                <w:sz w:val="22"/>
                <w:szCs w:val="24"/>
                <w:highlight w:val="none"/>
              </w:rPr>
              <w:t>，</w:t>
            </w:r>
            <w:r>
              <w:rPr>
                <w:rFonts w:ascii="Times New Roman" w:hAnsi="Times New Roman" w:eastAsia="宋体" w:cs="Times New Roman"/>
                <w:color w:val="auto"/>
                <w:sz w:val="22"/>
                <w:szCs w:val="24"/>
                <w:highlight w:val="none"/>
              </w:rPr>
              <w:t>防渗、防腐材料覆盖</w:t>
            </w:r>
            <w:r>
              <w:rPr>
                <w:rFonts w:hint="eastAsia" w:ascii="Times New Roman" w:hAnsi="Times New Roman" w:eastAsia="宋体" w:cs="Times New Roman"/>
                <w:color w:val="auto"/>
                <w:sz w:val="22"/>
                <w:szCs w:val="24"/>
                <w:highlight w:val="none"/>
              </w:rPr>
              <w:t>了</w:t>
            </w:r>
            <w:r>
              <w:rPr>
                <w:rFonts w:ascii="Times New Roman" w:hAnsi="Times New Roman" w:eastAsia="宋体" w:cs="Times New Roman"/>
                <w:color w:val="auto"/>
                <w:sz w:val="22"/>
                <w:szCs w:val="24"/>
                <w:highlight w:val="none"/>
              </w:rPr>
              <w:t>所有可能与废物及其渗滤液、渗漏液等接触的构筑物表面</w:t>
            </w:r>
          </w:p>
        </w:tc>
        <w:tc>
          <w:tcPr>
            <w:tcW w:w="731" w:type="pct"/>
            <w:vAlign w:val="center"/>
          </w:tcPr>
          <w:p w14:paraId="78F4B69C">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符合</w:t>
            </w:r>
          </w:p>
        </w:tc>
      </w:tr>
      <w:tr w14:paraId="42E53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8" w:type="pct"/>
            <w:vAlign w:val="center"/>
          </w:tcPr>
          <w:p w14:paraId="483A9F29">
            <w:pPr>
              <w:jc w:val="center"/>
              <w:rPr>
                <w:rFonts w:ascii="Times New Roman" w:hAnsi="Times New Roman" w:eastAsia="宋体" w:cs="Times New Roman"/>
                <w:color w:val="auto"/>
                <w:sz w:val="22"/>
                <w:szCs w:val="24"/>
                <w:highlight w:val="none"/>
              </w:rPr>
            </w:pPr>
            <w:r>
              <w:rPr>
                <w:rFonts w:hint="eastAsia" w:ascii="Times New Roman" w:hAnsi="Times New Roman" w:eastAsia="宋体" w:cs="Times New Roman"/>
                <w:color w:val="auto"/>
                <w:sz w:val="22"/>
                <w:szCs w:val="24"/>
                <w:highlight w:val="none"/>
              </w:rPr>
              <w:t>6</w:t>
            </w:r>
          </w:p>
        </w:tc>
        <w:tc>
          <w:tcPr>
            <w:tcW w:w="2624" w:type="pct"/>
            <w:vAlign w:val="center"/>
          </w:tcPr>
          <w:p w14:paraId="0BF8CF73">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贮存设施应采取技术和管理措施防止无关人员进入。</w:t>
            </w:r>
          </w:p>
        </w:tc>
        <w:tc>
          <w:tcPr>
            <w:tcW w:w="1367" w:type="pct"/>
            <w:vAlign w:val="center"/>
          </w:tcPr>
          <w:p w14:paraId="633B234D">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根据危废管理制度，危废暂存间日常均关闭管理，进入许经过审批才可开库。</w:t>
            </w:r>
          </w:p>
        </w:tc>
        <w:tc>
          <w:tcPr>
            <w:tcW w:w="731" w:type="pct"/>
            <w:vAlign w:val="center"/>
          </w:tcPr>
          <w:p w14:paraId="6EC62779">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符合</w:t>
            </w:r>
          </w:p>
        </w:tc>
      </w:tr>
    </w:tbl>
    <w:p w14:paraId="6ED711C8">
      <w:pPr>
        <w:pStyle w:val="5"/>
        <w:bidi w:val="0"/>
      </w:pPr>
      <w:r>
        <w:t>3.1.</w:t>
      </w:r>
      <w:r>
        <w:rPr>
          <w:rFonts w:hint="eastAsia"/>
        </w:rPr>
        <w:t>11</w:t>
      </w:r>
      <w:r>
        <w:t>.</w:t>
      </w:r>
      <w:r>
        <w:rPr>
          <w:rFonts w:hint="eastAsia"/>
          <w:lang w:val="en-US" w:eastAsia="zh-CN"/>
        </w:rPr>
        <w:t>7</w:t>
      </w:r>
      <w:r>
        <w:rPr>
          <w:rFonts w:hint="eastAsia"/>
        </w:rPr>
        <w:t>现有工程污染物实际排放量及总量控制</w:t>
      </w:r>
    </w:p>
    <w:p w14:paraId="554E79E9">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企业于</w:t>
      </w:r>
      <w:r>
        <w:rPr>
          <w:rFonts w:ascii="Times New Roman" w:hAnsi="Times New Roman" w:eastAsia="宋体" w:cs="Times New Roman"/>
          <w:color w:val="auto"/>
          <w:sz w:val="24"/>
          <w:szCs w:val="24"/>
        </w:rPr>
        <w:t>201</w:t>
      </w:r>
      <w:r>
        <w:rPr>
          <w:rFonts w:hint="eastAsia" w:ascii="Times New Roman" w:hAnsi="Times New Roman" w:eastAsia="宋体" w:cs="Times New Roman"/>
          <w:color w:val="auto"/>
          <w:sz w:val="24"/>
          <w:szCs w:val="24"/>
          <w:lang w:val="en-US" w:eastAsia="zh-CN"/>
        </w:rPr>
        <w:t>6</w:t>
      </w:r>
      <w:r>
        <w:rPr>
          <w:rFonts w:ascii="Times New Roman" w:hAnsi="Times New Roman" w:eastAsia="宋体" w:cs="Times New Roman"/>
          <w:color w:val="auto"/>
          <w:sz w:val="24"/>
          <w:szCs w:val="24"/>
        </w:rPr>
        <w:t>年</w:t>
      </w:r>
      <w:r>
        <w:rPr>
          <w:rFonts w:hint="eastAsia" w:ascii="Times New Roman" w:hAnsi="Times New Roman" w:eastAsia="宋体" w:cs="Times New Roman"/>
          <w:color w:val="auto"/>
          <w:sz w:val="24"/>
          <w:szCs w:val="24"/>
          <w:lang w:val="en-US" w:eastAsia="zh-CN"/>
        </w:rPr>
        <w:t>3</w:t>
      </w:r>
      <w:r>
        <w:rPr>
          <w:rFonts w:hint="eastAsia" w:ascii="Times New Roman" w:hAnsi="Times New Roman" w:eastAsia="宋体" w:cs="Times New Roman"/>
          <w:color w:val="auto"/>
          <w:sz w:val="24"/>
          <w:szCs w:val="24"/>
        </w:rPr>
        <w:t>月</w:t>
      </w:r>
      <w:r>
        <w:rPr>
          <w:rFonts w:hint="eastAsia" w:ascii="Times New Roman" w:hAnsi="Times New Roman" w:eastAsia="宋体" w:cs="Times New Roman"/>
          <w:color w:val="auto"/>
          <w:sz w:val="24"/>
          <w:szCs w:val="24"/>
          <w:lang w:val="en-US" w:eastAsia="zh-CN"/>
        </w:rPr>
        <w:t>23</w:t>
      </w:r>
      <w:r>
        <w:rPr>
          <w:rFonts w:hint="eastAsia" w:ascii="Times New Roman" w:hAnsi="Times New Roman" w:eastAsia="宋体" w:cs="Times New Roman"/>
          <w:color w:val="auto"/>
          <w:sz w:val="24"/>
          <w:szCs w:val="24"/>
        </w:rPr>
        <w:t>日</w:t>
      </w:r>
      <w:r>
        <w:rPr>
          <w:rFonts w:ascii="Times New Roman" w:hAnsi="Times New Roman" w:eastAsia="宋体" w:cs="Times New Roman"/>
          <w:color w:val="auto"/>
          <w:sz w:val="24"/>
          <w:szCs w:val="24"/>
        </w:rPr>
        <w:t>取得了排污权证，排污权证编号为（常）排污权证（201</w:t>
      </w:r>
      <w:r>
        <w:rPr>
          <w:rFonts w:hint="eastAsia" w:ascii="Times New Roman" w:hAnsi="Times New Roman" w:eastAsia="宋体" w:cs="Times New Roman"/>
          <w:color w:val="auto"/>
          <w:sz w:val="24"/>
          <w:szCs w:val="24"/>
          <w:lang w:val="en-US" w:eastAsia="zh-CN"/>
        </w:rPr>
        <w:t>6</w:t>
      </w:r>
      <w:r>
        <w:rPr>
          <w:rFonts w:ascii="Times New Roman" w:hAnsi="Times New Roman" w:eastAsia="宋体" w:cs="Times New Roman"/>
          <w:color w:val="auto"/>
          <w:sz w:val="24"/>
          <w:szCs w:val="24"/>
        </w:rPr>
        <w:t>）第</w:t>
      </w:r>
      <w:r>
        <w:rPr>
          <w:rFonts w:hint="eastAsia" w:ascii="Times New Roman" w:hAnsi="Times New Roman" w:eastAsia="宋体" w:cs="Times New Roman"/>
          <w:color w:val="auto"/>
          <w:sz w:val="24"/>
          <w:szCs w:val="24"/>
          <w:lang w:val="en-US" w:eastAsia="zh-CN"/>
        </w:rPr>
        <w:t>41</w:t>
      </w:r>
      <w:r>
        <w:rPr>
          <w:rFonts w:ascii="Times New Roman" w:hAnsi="Times New Roman" w:eastAsia="宋体" w:cs="Times New Roman"/>
          <w:color w:val="auto"/>
          <w:sz w:val="24"/>
          <w:szCs w:val="24"/>
        </w:rPr>
        <w:t>号，企业持有排污权指标为</w:t>
      </w:r>
      <w:r>
        <w:rPr>
          <w:rFonts w:hint="eastAsia" w:ascii="Times New Roman" w:hAnsi="Times New Roman" w:eastAsia="宋体" w:cs="Times New Roman"/>
          <w:color w:val="auto"/>
          <w:sz w:val="24"/>
          <w:szCs w:val="24"/>
        </w:rPr>
        <w:t>二氧化硫、氮氧化物、</w:t>
      </w:r>
      <w:r>
        <w:rPr>
          <w:rFonts w:ascii="Times New Roman" w:hAnsi="Times New Roman" w:eastAsia="宋体" w:cs="Times New Roman"/>
          <w:color w:val="auto"/>
          <w:sz w:val="24"/>
          <w:szCs w:val="24"/>
        </w:rPr>
        <w:t>化学需氧量和氨氮</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结合排污许可中许可量，</w:t>
      </w:r>
      <w:r>
        <w:rPr>
          <w:rFonts w:hint="eastAsia" w:ascii="Times New Roman" w:hAnsi="Times New Roman" w:eastAsia="宋体" w:cs="Times New Roman"/>
          <w:color w:val="auto"/>
          <w:sz w:val="24"/>
          <w:szCs w:val="24"/>
        </w:rPr>
        <w:t>企业已取得的总量情况如下表所示：</w:t>
      </w:r>
    </w:p>
    <w:p w14:paraId="3EA7C2B3">
      <w:pPr>
        <w:pStyle w:val="6"/>
        <w:bidi w:val="0"/>
      </w:pPr>
      <w:bookmarkStart w:id="181" w:name="_Toc8237"/>
      <w:bookmarkStart w:id="182" w:name="_Toc29318"/>
      <w:r>
        <w:t>表3.1</w:t>
      </w:r>
      <w:r>
        <w:rPr>
          <w:rFonts w:hint="eastAsia"/>
        </w:rPr>
        <w:t>.11</w:t>
      </w:r>
      <w:r>
        <w:t>-1</w:t>
      </w:r>
      <w:r>
        <w:rPr>
          <w:rFonts w:hint="eastAsia"/>
          <w:lang w:val="en-US" w:eastAsia="zh-CN"/>
        </w:rPr>
        <w:t>0</w:t>
      </w:r>
      <w:r>
        <w:t xml:space="preserve">  </w:t>
      </w:r>
      <w:r>
        <w:rPr>
          <w:rFonts w:hint="eastAsia"/>
        </w:rPr>
        <w:t xml:space="preserve"> </w:t>
      </w:r>
      <w:r>
        <w:t xml:space="preserve"> </w:t>
      </w:r>
      <w:r>
        <w:rPr>
          <w:rFonts w:hint="eastAsia"/>
        </w:rPr>
        <w:t>排污许可总量</w:t>
      </w:r>
      <w:r>
        <w:t>一览表</w:t>
      </w:r>
      <w:bookmarkEnd w:id="181"/>
      <w:bookmarkEnd w:id="182"/>
    </w:p>
    <w:tbl>
      <w:tblPr>
        <w:tblStyle w:val="41"/>
        <w:tblW w:w="8388" w:type="dxa"/>
        <w:tblInd w:w="1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458"/>
        <w:gridCol w:w="3733"/>
        <w:gridCol w:w="3197"/>
      </w:tblGrid>
      <w:tr w14:paraId="5F3B4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5191" w:type="dxa"/>
            <w:gridSpan w:val="2"/>
            <w:vAlign w:val="center"/>
          </w:tcPr>
          <w:p w14:paraId="44E52BD0">
            <w:pPr>
              <w:jc w:val="center"/>
              <w:rPr>
                <w:rFonts w:ascii="Times New Roman" w:hAnsi="Times New Roman" w:eastAsia="宋体" w:cs="Times New Roman"/>
                <w:color w:val="auto"/>
                <w:sz w:val="22"/>
                <w:szCs w:val="24"/>
                <w:lang w:eastAsia="en-US"/>
              </w:rPr>
            </w:pPr>
            <w:r>
              <w:rPr>
                <w:rFonts w:ascii="Times New Roman" w:hAnsi="Times New Roman" w:eastAsia="宋体" w:cs="Times New Roman"/>
                <w:color w:val="auto"/>
                <w:sz w:val="22"/>
                <w:szCs w:val="24"/>
                <w:lang w:eastAsia="en-US"/>
              </w:rPr>
              <w:t>项目</w:t>
            </w:r>
          </w:p>
        </w:tc>
        <w:tc>
          <w:tcPr>
            <w:tcW w:w="3197" w:type="dxa"/>
            <w:vAlign w:val="center"/>
          </w:tcPr>
          <w:p w14:paraId="26CE9BC9">
            <w:pPr>
              <w:jc w:val="center"/>
              <w:rPr>
                <w:rFonts w:ascii="Times New Roman" w:hAnsi="Times New Roman" w:eastAsia="宋体" w:cs="Times New Roman"/>
                <w:color w:val="auto"/>
                <w:sz w:val="22"/>
                <w:szCs w:val="24"/>
                <w:lang w:eastAsia="en-US"/>
              </w:rPr>
            </w:pPr>
            <w:r>
              <w:rPr>
                <w:rFonts w:hint="eastAsia" w:ascii="Times New Roman" w:hAnsi="Times New Roman" w:eastAsia="宋体" w:cs="Times New Roman"/>
                <w:color w:val="auto"/>
                <w:sz w:val="22"/>
                <w:szCs w:val="24"/>
                <w:lang w:val="en-US" w:eastAsia="zh-CN"/>
              </w:rPr>
              <w:t>指标数量</w:t>
            </w:r>
            <w:r>
              <w:rPr>
                <w:rFonts w:ascii="Times New Roman" w:hAnsi="Times New Roman" w:eastAsia="宋体" w:cs="Times New Roman"/>
                <w:color w:val="auto"/>
                <w:sz w:val="22"/>
                <w:szCs w:val="24"/>
                <w:lang w:eastAsia="en-US"/>
              </w:rPr>
              <w:t>（t/a）</w:t>
            </w:r>
          </w:p>
        </w:tc>
      </w:tr>
      <w:tr w14:paraId="6A7A9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458" w:type="dxa"/>
            <w:vMerge w:val="restart"/>
            <w:vAlign w:val="center"/>
          </w:tcPr>
          <w:p w14:paraId="7FAB1B51">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废气</w:t>
            </w:r>
          </w:p>
        </w:tc>
        <w:tc>
          <w:tcPr>
            <w:tcW w:w="3733" w:type="dxa"/>
            <w:shd w:val="clear" w:color="auto" w:fill="auto"/>
            <w:vAlign w:val="center"/>
          </w:tcPr>
          <w:p w14:paraId="6243E24B">
            <w:pPr>
              <w:jc w:val="center"/>
              <w:rPr>
                <w:rFonts w:ascii="Times New Roman" w:hAnsi="Times New Roman" w:eastAsia="宋体" w:cs="Times New Roman"/>
                <w:color w:val="auto"/>
                <w:kern w:val="2"/>
                <w:sz w:val="22"/>
                <w:szCs w:val="24"/>
                <w:lang w:val="en-US" w:eastAsia="en-US" w:bidi="ar-SA"/>
              </w:rPr>
            </w:pPr>
            <w:r>
              <w:rPr>
                <w:rFonts w:hint="eastAsia" w:ascii="Times New Roman" w:hAnsi="Times New Roman" w:eastAsia="宋体" w:cs="Times New Roman"/>
                <w:color w:val="auto"/>
                <w:sz w:val="22"/>
                <w:szCs w:val="24"/>
              </w:rPr>
              <w:t>S</w:t>
            </w:r>
            <w:r>
              <w:rPr>
                <w:rFonts w:ascii="Times New Roman" w:hAnsi="Times New Roman" w:eastAsia="宋体" w:cs="Times New Roman"/>
                <w:color w:val="auto"/>
                <w:sz w:val="22"/>
                <w:szCs w:val="24"/>
              </w:rPr>
              <w:t>O</w:t>
            </w:r>
            <w:r>
              <w:rPr>
                <w:rFonts w:ascii="Times New Roman" w:hAnsi="Times New Roman" w:eastAsia="宋体" w:cs="Times New Roman"/>
                <w:color w:val="auto"/>
                <w:sz w:val="22"/>
                <w:szCs w:val="24"/>
                <w:vertAlign w:val="subscript"/>
              </w:rPr>
              <w:t>2</w:t>
            </w:r>
          </w:p>
        </w:tc>
        <w:tc>
          <w:tcPr>
            <w:tcW w:w="3197" w:type="dxa"/>
            <w:vAlign w:val="center"/>
          </w:tcPr>
          <w:p w14:paraId="614D386D">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45.7</w:t>
            </w:r>
          </w:p>
        </w:tc>
      </w:tr>
      <w:tr w14:paraId="126CF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458" w:type="dxa"/>
            <w:vMerge w:val="continue"/>
            <w:vAlign w:val="center"/>
          </w:tcPr>
          <w:p w14:paraId="7D0BDE6E">
            <w:pPr>
              <w:jc w:val="center"/>
              <w:rPr>
                <w:rFonts w:ascii="Times New Roman" w:hAnsi="Times New Roman" w:eastAsia="宋体" w:cs="Times New Roman"/>
                <w:color w:val="auto"/>
                <w:sz w:val="22"/>
                <w:szCs w:val="24"/>
              </w:rPr>
            </w:pPr>
          </w:p>
        </w:tc>
        <w:tc>
          <w:tcPr>
            <w:tcW w:w="3733" w:type="dxa"/>
            <w:shd w:val="clear" w:color="auto" w:fill="auto"/>
            <w:vAlign w:val="center"/>
          </w:tcPr>
          <w:p w14:paraId="7CBC0403">
            <w:pPr>
              <w:jc w:val="center"/>
              <w:rPr>
                <w:rFonts w:hint="eastAsia" w:ascii="Times New Roman" w:hAnsi="Times New Roman" w:eastAsia="宋体" w:cs="Times New Roman"/>
                <w:color w:val="auto"/>
                <w:kern w:val="2"/>
                <w:sz w:val="22"/>
                <w:szCs w:val="24"/>
                <w:lang w:val="en-US" w:eastAsia="en-US" w:bidi="ar-SA"/>
              </w:rPr>
            </w:pPr>
            <w:r>
              <w:rPr>
                <w:rFonts w:hint="eastAsia" w:ascii="Times New Roman" w:hAnsi="Times New Roman" w:eastAsia="宋体" w:cs="Times New Roman"/>
                <w:color w:val="auto"/>
                <w:sz w:val="22"/>
                <w:szCs w:val="24"/>
              </w:rPr>
              <w:t>N</w:t>
            </w:r>
            <w:r>
              <w:rPr>
                <w:rFonts w:ascii="Times New Roman" w:hAnsi="Times New Roman" w:eastAsia="宋体" w:cs="Times New Roman"/>
                <w:color w:val="auto"/>
                <w:sz w:val="22"/>
                <w:szCs w:val="24"/>
              </w:rPr>
              <w:t>O</w:t>
            </w:r>
            <w:r>
              <w:rPr>
                <w:rFonts w:hint="eastAsia" w:ascii="Times New Roman" w:hAnsi="Times New Roman" w:eastAsia="宋体" w:cs="Times New Roman"/>
                <w:color w:val="auto"/>
                <w:sz w:val="22"/>
                <w:szCs w:val="24"/>
              </w:rPr>
              <w:t>x</w:t>
            </w:r>
          </w:p>
        </w:tc>
        <w:tc>
          <w:tcPr>
            <w:tcW w:w="3197" w:type="dxa"/>
            <w:shd w:val="clear" w:color="auto" w:fill="auto"/>
            <w:vAlign w:val="center"/>
          </w:tcPr>
          <w:p w14:paraId="1775803B">
            <w:pPr>
              <w:jc w:val="center"/>
              <w:rPr>
                <w:rFonts w:hint="eastAsia"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lang w:val="en-US" w:eastAsia="zh-CN"/>
              </w:rPr>
              <w:t>14.7</w:t>
            </w:r>
          </w:p>
        </w:tc>
      </w:tr>
      <w:tr w14:paraId="729F3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458" w:type="dxa"/>
            <w:vMerge w:val="continue"/>
            <w:vAlign w:val="center"/>
          </w:tcPr>
          <w:p w14:paraId="632D824D">
            <w:pPr>
              <w:jc w:val="center"/>
              <w:rPr>
                <w:rFonts w:ascii="Times New Roman" w:hAnsi="Times New Roman" w:eastAsia="宋体" w:cs="Times New Roman"/>
                <w:color w:val="auto"/>
                <w:sz w:val="22"/>
                <w:szCs w:val="24"/>
              </w:rPr>
            </w:pPr>
          </w:p>
        </w:tc>
        <w:tc>
          <w:tcPr>
            <w:tcW w:w="3733" w:type="dxa"/>
            <w:shd w:val="clear" w:color="auto" w:fill="auto"/>
            <w:vAlign w:val="center"/>
          </w:tcPr>
          <w:p w14:paraId="477AE346">
            <w:pPr>
              <w:jc w:val="center"/>
              <w:rPr>
                <w:rFonts w:hint="eastAsia"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lang w:val="en-US" w:eastAsia="zh-CN"/>
              </w:rPr>
              <w:t>总挥发性有机物（以非甲烷总烃计）</w:t>
            </w:r>
          </w:p>
        </w:tc>
        <w:tc>
          <w:tcPr>
            <w:tcW w:w="3197" w:type="dxa"/>
            <w:shd w:val="clear" w:color="auto" w:fill="auto"/>
            <w:vAlign w:val="center"/>
          </w:tcPr>
          <w:p w14:paraId="6CB25380">
            <w:pPr>
              <w:jc w:val="center"/>
              <w:rPr>
                <w:rFonts w:hint="eastAsia"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lang w:val="en-US" w:eastAsia="zh-CN"/>
              </w:rPr>
              <w:t>82.8</w:t>
            </w:r>
          </w:p>
        </w:tc>
      </w:tr>
      <w:tr w14:paraId="7DB01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458" w:type="dxa"/>
            <w:vMerge w:val="restart"/>
            <w:vAlign w:val="center"/>
          </w:tcPr>
          <w:p w14:paraId="61C8C1A4">
            <w:pPr>
              <w:jc w:val="center"/>
              <w:rPr>
                <w:rFonts w:ascii="Times New Roman" w:hAnsi="Times New Roman" w:eastAsia="宋体" w:cs="Times New Roman"/>
                <w:color w:val="auto"/>
                <w:sz w:val="22"/>
                <w:szCs w:val="24"/>
                <w:lang w:eastAsia="en-US"/>
              </w:rPr>
            </w:pPr>
            <w:r>
              <w:rPr>
                <w:rFonts w:ascii="Times New Roman" w:hAnsi="Times New Roman" w:eastAsia="宋体" w:cs="Times New Roman"/>
                <w:color w:val="auto"/>
                <w:sz w:val="22"/>
                <w:szCs w:val="24"/>
                <w:lang w:eastAsia="en-US"/>
              </w:rPr>
              <w:t>废水</w:t>
            </w:r>
          </w:p>
        </w:tc>
        <w:tc>
          <w:tcPr>
            <w:tcW w:w="3733" w:type="dxa"/>
            <w:vAlign w:val="center"/>
          </w:tcPr>
          <w:p w14:paraId="6DB9925B">
            <w:pPr>
              <w:jc w:val="center"/>
              <w:rPr>
                <w:rFonts w:ascii="Times New Roman" w:hAnsi="Times New Roman" w:eastAsia="宋体" w:cs="Times New Roman"/>
                <w:color w:val="auto"/>
                <w:sz w:val="22"/>
                <w:szCs w:val="24"/>
                <w:lang w:eastAsia="en-US"/>
              </w:rPr>
            </w:pPr>
            <w:r>
              <w:rPr>
                <w:rFonts w:ascii="Times New Roman" w:hAnsi="Times New Roman" w:eastAsia="宋体" w:cs="Times New Roman"/>
                <w:color w:val="auto"/>
                <w:sz w:val="22"/>
                <w:szCs w:val="24"/>
                <w:lang w:eastAsia="en-US"/>
              </w:rPr>
              <w:t>COD</w:t>
            </w:r>
          </w:p>
        </w:tc>
        <w:tc>
          <w:tcPr>
            <w:tcW w:w="3197" w:type="dxa"/>
            <w:vAlign w:val="center"/>
          </w:tcPr>
          <w:p w14:paraId="0330AED7">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12</w:t>
            </w:r>
          </w:p>
        </w:tc>
      </w:tr>
      <w:tr w14:paraId="6BFE1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458" w:type="dxa"/>
            <w:vMerge w:val="continue"/>
            <w:vAlign w:val="center"/>
          </w:tcPr>
          <w:p w14:paraId="66BABD2F">
            <w:pPr>
              <w:jc w:val="center"/>
              <w:rPr>
                <w:rFonts w:ascii="Times New Roman" w:hAnsi="Times New Roman" w:eastAsia="宋体" w:cs="Times New Roman"/>
                <w:color w:val="auto"/>
                <w:sz w:val="22"/>
                <w:szCs w:val="24"/>
                <w:lang w:eastAsia="en-US"/>
              </w:rPr>
            </w:pPr>
          </w:p>
        </w:tc>
        <w:tc>
          <w:tcPr>
            <w:tcW w:w="3733" w:type="dxa"/>
            <w:shd w:val="clear" w:color="auto" w:fill="auto"/>
            <w:vAlign w:val="center"/>
          </w:tcPr>
          <w:p w14:paraId="6C08BAE8">
            <w:pPr>
              <w:jc w:val="center"/>
              <w:rPr>
                <w:rFonts w:ascii="Times New Roman" w:hAnsi="Times New Roman" w:eastAsia="宋体" w:cs="Times New Roman"/>
                <w:color w:val="auto"/>
                <w:kern w:val="2"/>
                <w:sz w:val="22"/>
                <w:szCs w:val="24"/>
                <w:lang w:val="en-US" w:eastAsia="en-US" w:bidi="ar-SA"/>
              </w:rPr>
            </w:pPr>
            <w:r>
              <w:rPr>
                <w:rFonts w:ascii="Times New Roman" w:hAnsi="Times New Roman" w:eastAsia="宋体" w:cs="Times New Roman"/>
                <w:color w:val="auto"/>
                <w:sz w:val="22"/>
                <w:szCs w:val="24"/>
                <w:lang w:eastAsia="en-US"/>
              </w:rPr>
              <w:t>NH</w:t>
            </w:r>
            <w:r>
              <w:rPr>
                <w:rFonts w:ascii="Times New Roman" w:hAnsi="Times New Roman" w:eastAsia="宋体" w:cs="Times New Roman"/>
                <w:color w:val="auto"/>
                <w:sz w:val="22"/>
                <w:szCs w:val="24"/>
                <w:vertAlign w:val="subscript"/>
                <w:lang w:eastAsia="en-US"/>
              </w:rPr>
              <w:t>3</w:t>
            </w:r>
            <w:r>
              <w:rPr>
                <w:rFonts w:ascii="Times New Roman" w:hAnsi="Times New Roman" w:eastAsia="宋体" w:cs="Times New Roman"/>
                <w:color w:val="auto"/>
                <w:sz w:val="22"/>
                <w:szCs w:val="24"/>
                <w:lang w:eastAsia="en-US"/>
              </w:rPr>
              <w:t>-N</w:t>
            </w:r>
          </w:p>
        </w:tc>
        <w:tc>
          <w:tcPr>
            <w:tcW w:w="3197" w:type="dxa"/>
            <w:shd w:val="clear" w:color="auto" w:fill="auto"/>
            <w:vAlign w:val="center"/>
          </w:tcPr>
          <w:p w14:paraId="38CCC80C">
            <w:pPr>
              <w:jc w:val="center"/>
              <w:rPr>
                <w:rFonts w:hint="eastAsia"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lang w:val="en-US" w:eastAsia="zh-CN"/>
              </w:rPr>
              <w:t>1.39</w:t>
            </w:r>
          </w:p>
        </w:tc>
      </w:tr>
      <w:tr w14:paraId="01F58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458" w:type="dxa"/>
            <w:vMerge w:val="continue"/>
            <w:vAlign w:val="center"/>
          </w:tcPr>
          <w:p w14:paraId="5A0C4A4E">
            <w:pPr>
              <w:jc w:val="center"/>
              <w:rPr>
                <w:rFonts w:ascii="Times New Roman" w:hAnsi="Times New Roman" w:eastAsia="宋体" w:cs="Times New Roman"/>
                <w:color w:val="auto"/>
                <w:sz w:val="22"/>
                <w:szCs w:val="24"/>
                <w:lang w:eastAsia="en-US"/>
              </w:rPr>
            </w:pPr>
          </w:p>
        </w:tc>
        <w:tc>
          <w:tcPr>
            <w:tcW w:w="3733" w:type="dxa"/>
            <w:shd w:val="clear" w:color="auto" w:fill="auto"/>
            <w:vAlign w:val="center"/>
          </w:tcPr>
          <w:p w14:paraId="26C76147">
            <w:pPr>
              <w:jc w:val="center"/>
              <w:rPr>
                <w:rFonts w:hint="default" w:ascii="Times New Roman" w:hAnsi="Times New Roman" w:eastAsia="宋体" w:cs="Times New Roman"/>
                <w:color w:val="auto"/>
                <w:kern w:val="2"/>
                <w:sz w:val="22"/>
                <w:szCs w:val="24"/>
                <w:lang w:val="en-US" w:eastAsia="en-US" w:bidi="ar-SA"/>
              </w:rPr>
            </w:pPr>
            <w:r>
              <w:rPr>
                <w:rFonts w:hint="eastAsia" w:ascii="Times New Roman" w:hAnsi="Times New Roman" w:eastAsia="宋体" w:cs="Times New Roman"/>
                <w:color w:val="auto"/>
                <w:sz w:val="22"/>
                <w:szCs w:val="24"/>
                <w:lang w:val="en-US" w:eastAsia="zh-CN"/>
              </w:rPr>
              <w:t>总氮</w:t>
            </w:r>
          </w:p>
        </w:tc>
        <w:tc>
          <w:tcPr>
            <w:tcW w:w="3197" w:type="dxa"/>
            <w:shd w:val="clear" w:color="auto" w:fill="auto"/>
            <w:vAlign w:val="center"/>
          </w:tcPr>
          <w:p w14:paraId="27A1B9CD">
            <w:pPr>
              <w:jc w:val="center"/>
              <w:rPr>
                <w:rFonts w:hint="eastAsia"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lang w:val="en-US" w:eastAsia="zh-CN"/>
              </w:rPr>
              <w:t>19.2</w:t>
            </w:r>
          </w:p>
        </w:tc>
      </w:tr>
      <w:tr w14:paraId="744E7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458" w:type="dxa"/>
            <w:vMerge w:val="continue"/>
            <w:vAlign w:val="center"/>
          </w:tcPr>
          <w:p w14:paraId="6CB7A13D">
            <w:pPr>
              <w:jc w:val="center"/>
              <w:rPr>
                <w:rFonts w:ascii="Times New Roman" w:hAnsi="Times New Roman" w:eastAsia="宋体" w:cs="Times New Roman"/>
                <w:color w:val="auto"/>
                <w:sz w:val="22"/>
                <w:szCs w:val="24"/>
                <w:lang w:eastAsia="en-US"/>
              </w:rPr>
            </w:pPr>
          </w:p>
        </w:tc>
        <w:tc>
          <w:tcPr>
            <w:tcW w:w="3733" w:type="dxa"/>
            <w:shd w:val="clear" w:color="auto" w:fill="auto"/>
            <w:vAlign w:val="center"/>
          </w:tcPr>
          <w:p w14:paraId="24F8A13F">
            <w:pPr>
              <w:jc w:val="center"/>
              <w:rPr>
                <w:rFonts w:hint="eastAsia" w:ascii="Times New Roman" w:hAnsi="Times New Roman" w:eastAsia="宋体" w:cs="Times New Roman"/>
                <w:color w:val="auto"/>
                <w:kern w:val="2"/>
                <w:sz w:val="22"/>
                <w:szCs w:val="24"/>
                <w:lang w:val="en-US" w:eastAsia="en-US" w:bidi="ar-SA"/>
              </w:rPr>
            </w:pPr>
            <w:r>
              <w:rPr>
                <w:rFonts w:hint="eastAsia" w:ascii="Times New Roman" w:hAnsi="Times New Roman" w:eastAsia="宋体" w:cs="Times New Roman"/>
                <w:color w:val="auto"/>
                <w:sz w:val="22"/>
                <w:szCs w:val="24"/>
                <w:lang w:val="en-US" w:eastAsia="zh-CN"/>
              </w:rPr>
              <w:t>总磷</w:t>
            </w:r>
          </w:p>
        </w:tc>
        <w:tc>
          <w:tcPr>
            <w:tcW w:w="3197" w:type="dxa"/>
            <w:shd w:val="clear" w:color="auto" w:fill="auto"/>
            <w:vAlign w:val="center"/>
          </w:tcPr>
          <w:p w14:paraId="714EBA50">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lang w:val="en-US" w:eastAsia="zh-CN"/>
              </w:rPr>
              <w:t>1.92</w:t>
            </w:r>
          </w:p>
        </w:tc>
      </w:tr>
    </w:tbl>
    <w:p w14:paraId="20B53DE3">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企业现有工程实际仅进行了</w:t>
      </w:r>
      <w:r>
        <w:rPr>
          <w:rFonts w:hint="eastAsia" w:ascii="Times New Roman" w:hAnsi="Times New Roman" w:eastAsia="宋体" w:cs="Times New Roman"/>
          <w:color w:val="auto"/>
          <w:sz w:val="24"/>
          <w:szCs w:val="24"/>
          <w:lang w:val="en-US" w:eastAsia="zh-CN"/>
        </w:rPr>
        <w:t>泛酸钙饲料添加剂</w:t>
      </w:r>
      <w:r>
        <w:rPr>
          <w:rFonts w:hint="eastAsia" w:ascii="Times New Roman" w:hAnsi="Times New Roman" w:eastAsia="宋体" w:cs="Times New Roman"/>
          <w:color w:val="auto"/>
          <w:sz w:val="24"/>
          <w:szCs w:val="24"/>
        </w:rPr>
        <w:t>的生产，根据《排污许可年度执行报告（2023年）》，企业现有工程污染物实际排放情况如下表所示：</w:t>
      </w:r>
    </w:p>
    <w:p w14:paraId="6413E643">
      <w:pPr>
        <w:pStyle w:val="6"/>
        <w:bidi w:val="0"/>
      </w:pPr>
      <w:r>
        <w:rPr>
          <w:rFonts w:hint="eastAsia"/>
        </w:rPr>
        <w:t>表</w:t>
      </w:r>
      <w:r>
        <w:t>3.1</w:t>
      </w:r>
      <w:r>
        <w:rPr>
          <w:rFonts w:hint="eastAsia"/>
        </w:rPr>
        <w:t>.11</w:t>
      </w:r>
      <w:r>
        <w:t>-</w:t>
      </w:r>
      <w:r>
        <w:rPr>
          <w:rFonts w:hint="eastAsia"/>
        </w:rPr>
        <w:t>1</w:t>
      </w:r>
      <w:r>
        <w:rPr>
          <w:rFonts w:hint="eastAsia"/>
          <w:lang w:val="en-US" w:eastAsia="zh-CN"/>
        </w:rPr>
        <w:t>1</w:t>
      </w:r>
      <w:r>
        <w:t xml:space="preserve">  </w:t>
      </w:r>
      <w:r>
        <w:rPr>
          <w:rFonts w:hint="eastAsia"/>
        </w:rPr>
        <w:t xml:space="preserve"> </w:t>
      </w:r>
      <w:r>
        <w:t xml:space="preserve"> 现有工程污染物</w:t>
      </w:r>
      <w:r>
        <w:rPr>
          <w:rFonts w:hint="eastAsia"/>
        </w:rPr>
        <w:t>实际</w:t>
      </w:r>
      <w:r>
        <w:t xml:space="preserve">排放总量  </w:t>
      </w:r>
      <w:r>
        <w:rPr>
          <w:rFonts w:hint="eastAsia"/>
        </w:rPr>
        <w:t>单位：</w:t>
      </w:r>
      <w:r>
        <w:t>t/a</w:t>
      </w:r>
    </w:p>
    <w:tbl>
      <w:tblPr>
        <w:tblStyle w:val="41"/>
        <w:tblW w:w="491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2"/>
        <w:gridCol w:w="1027"/>
        <w:gridCol w:w="2034"/>
        <w:gridCol w:w="1340"/>
        <w:gridCol w:w="2230"/>
        <w:gridCol w:w="1131"/>
      </w:tblGrid>
      <w:tr w14:paraId="01360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93" w:type="pct"/>
            <w:gridSpan w:val="3"/>
            <w:vAlign w:val="center"/>
          </w:tcPr>
          <w:p w14:paraId="1DFC7D95">
            <w:pPr>
              <w:jc w:val="center"/>
              <w:rPr>
                <w:rFonts w:hint="eastAsia" w:ascii="Times New Roman" w:hAnsi="Times New Roman" w:eastAsia="宋体" w:cs="Times New Roman"/>
                <w:b/>
                <w:bCs/>
                <w:color w:val="auto"/>
                <w:sz w:val="22"/>
                <w:szCs w:val="24"/>
              </w:rPr>
            </w:pPr>
            <w:r>
              <w:rPr>
                <w:rFonts w:hint="eastAsia" w:ascii="Times New Roman" w:hAnsi="Times New Roman" w:eastAsia="宋体" w:cs="Times New Roman"/>
                <w:b/>
                <w:bCs/>
                <w:color w:val="auto"/>
                <w:sz w:val="22"/>
                <w:szCs w:val="24"/>
              </w:rPr>
              <w:t>污染物类型</w:t>
            </w:r>
          </w:p>
        </w:tc>
        <w:tc>
          <w:tcPr>
            <w:tcW w:w="800" w:type="pct"/>
            <w:vAlign w:val="center"/>
          </w:tcPr>
          <w:p w14:paraId="3691B185">
            <w:pPr>
              <w:jc w:val="center"/>
              <w:rPr>
                <w:rFonts w:ascii="Times New Roman" w:hAnsi="Times New Roman" w:eastAsia="宋体" w:cs="Times New Roman"/>
                <w:b/>
                <w:bCs/>
                <w:color w:val="auto"/>
                <w:sz w:val="22"/>
                <w:szCs w:val="24"/>
              </w:rPr>
            </w:pPr>
            <w:r>
              <w:rPr>
                <w:rFonts w:hint="eastAsia" w:ascii="Times New Roman" w:hAnsi="Times New Roman" w:eastAsia="宋体" w:cs="Times New Roman"/>
                <w:b/>
                <w:bCs/>
                <w:color w:val="auto"/>
                <w:sz w:val="22"/>
                <w:szCs w:val="24"/>
              </w:rPr>
              <w:t>许可总量</w:t>
            </w:r>
          </w:p>
        </w:tc>
        <w:tc>
          <w:tcPr>
            <w:tcW w:w="1331" w:type="pct"/>
            <w:vAlign w:val="center"/>
          </w:tcPr>
          <w:p w14:paraId="0E5414DC">
            <w:pPr>
              <w:jc w:val="center"/>
              <w:rPr>
                <w:rFonts w:ascii="Times New Roman" w:hAnsi="Times New Roman" w:eastAsia="宋体" w:cs="Times New Roman"/>
                <w:b/>
                <w:bCs/>
                <w:color w:val="auto"/>
                <w:sz w:val="22"/>
                <w:szCs w:val="24"/>
              </w:rPr>
            </w:pPr>
            <w:r>
              <w:rPr>
                <w:rFonts w:hint="eastAsia" w:ascii="Times New Roman" w:hAnsi="Times New Roman" w:eastAsia="宋体" w:cs="Times New Roman"/>
                <w:b/>
                <w:bCs/>
                <w:color w:val="auto"/>
                <w:sz w:val="22"/>
                <w:szCs w:val="24"/>
              </w:rPr>
              <w:t>现有工程实际排放量</w:t>
            </w:r>
          </w:p>
        </w:tc>
        <w:tc>
          <w:tcPr>
            <w:tcW w:w="675" w:type="pct"/>
            <w:vAlign w:val="center"/>
          </w:tcPr>
          <w:p w14:paraId="4AB0F1B8">
            <w:pPr>
              <w:jc w:val="center"/>
              <w:rPr>
                <w:rFonts w:ascii="Times New Roman" w:hAnsi="Times New Roman" w:eastAsia="宋体" w:cs="Times New Roman"/>
                <w:b/>
                <w:bCs/>
                <w:color w:val="auto"/>
                <w:sz w:val="22"/>
                <w:szCs w:val="24"/>
              </w:rPr>
            </w:pPr>
            <w:r>
              <w:rPr>
                <w:rFonts w:hint="eastAsia" w:ascii="Times New Roman" w:hAnsi="Times New Roman" w:eastAsia="宋体" w:cs="Times New Roman"/>
                <w:b/>
                <w:bCs/>
                <w:color w:val="auto"/>
                <w:sz w:val="22"/>
                <w:szCs w:val="24"/>
              </w:rPr>
              <w:t>备注</w:t>
            </w:r>
          </w:p>
        </w:tc>
      </w:tr>
      <w:tr w14:paraId="6E7DC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6" w:type="pct"/>
            <w:vMerge w:val="restart"/>
            <w:vAlign w:val="center"/>
          </w:tcPr>
          <w:p w14:paraId="111FA493">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废气</w:t>
            </w:r>
          </w:p>
        </w:tc>
        <w:tc>
          <w:tcPr>
            <w:tcW w:w="613" w:type="pct"/>
            <w:vMerge w:val="restart"/>
            <w:vAlign w:val="center"/>
          </w:tcPr>
          <w:p w14:paraId="3A34A8CF">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DA001</w:t>
            </w:r>
          </w:p>
        </w:tc>
        <w:tc>
          <w:tcPr>
            <w:tcW w:w="1213" w:type="pct"/>
            <w:vAlign w:val="center"/>
          </w:tcPr>
          <w:p w14:paraId="05F94EE2">
            <w:pPr>
              <w:jc w:val="center"/>
              <w:rPr>
                <w:rFonts w:hint="eastAsia"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氨（氨气）</w:t>
            </w:r>
          </w:p>
        </w:tc>
        <w:tc>
          <w:tcPr>
            <w:tcW w:w="800" w:type="pct"/>
            <w:vAlign w:val="center"/>
          </w:tcPr>
          <w:p w14:paraId="4853EAE9">
            <w:pPr>
              <w:jc w:val="center"/>
              <w:rPr>
                <w:rFonts w:hint="eastAsia"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w:t>
            </w:r>
          </w:p>
        </w:tc>
        <w:tc>
          <w:tcPr>
            <w:tcW w:w="1331" w:type="pct"/>
            <w:vAlign w:val="center"/>
          </w:tcPr>
          <w:p w14:paraId="5667D4AE">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0.4507</w:t>
            </w:r>
          </w:p>
        </w:tc>
        <w:tc>
          <w:tcPr>
            <w:tcW w:w="675" w:type="pct"/>
            <w:vMerge w:val="restart"/>
            <w:vAlign w:val="center"/>
          </w:tcPr>
          <w:p w14:paraId="68570C3F">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2023年</w:t>
            </w:r>
            <w:r>
              <w:rPr>
                <w:rFonts w:hint="eastAsia" w:ascii="Times New Roman" w:hAnsi="Times New Roman" w:eastAsia="宋体" w:cs="Times New Roman"/>
                <w:color w:val="auto"/>
                <w:sz w:val="22"/>
                <w:szCs w:val="24"/>
              </w:rPr>
              <w:t>执行报告年报</w:t>
            </w:r>
          </w:p>
        </w:tc>
      </w:tr>
      <w:tr w14:paraId="482F2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6" w:type="pct"/>
            <w:vMerge w:val="continue"/>
            <w:vAlign w:val="center"/>
          </w:tcPr>
          <w:p w14:paraId="69998F64">
            <w:pPr>
              <w:jc w:val="center"/>
              <w:rPr>
                <w:rFonts w:ascii="Times New Roman" w:hAnsi="Times New Roman" w:eastAsia="宋体" w:cs="Times New Roman"/>
                <w:color w:val="auto"/>
                <w:sz w:val="22"/>
                <w:szCs w:val="24"/>
              </w:rPr>
            </w:pPr>
          </w:p>
        </w:tc>
        <w:tc>
          <w:tcPr>
            <w:tcW w:w="613" w:type="pct"/>
            <w:vMerge w:val="continue"/>
            <w:vAlign w:val="center"/>
          </w:tcPr>
          <w:p w14:paraId="5EC53327">
            <w:pPr>
              <w:jc w:val="center"/>
              <w:rPr>
                <w:rFonts w:ascii="Times New Roman" w:hAnsi="Times New Roman" w:eastAsia="宋体" w:cs="Times New Roman"/>
                <w:color w:val="auto"/>
                <w:sz w:val="22"/>
                <w:szCs w:val="24"/>
              </w:rPr>
            </w:pPr>
          </w:p>
        </w:tc>
        <w:tc>
          <w:tcPr>
            <w:tcW w:w="1213" w:type="pct"/>
            <w:vAlign w:val="center"/>
          </w:tcPr>
          <w:p w14:paraId="431ED275">
            <w:pPr>
              <w:jc w:val="center"/>
              <w:rPr>
                <w:rFonts w:hint="eastAsia"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硫化氢</w:t>
            </w:r>
          </w:p>
        </w:tc>
        <w:tc>
          <w:tcPr>
            <w:tcW w:w="800" w:type="pct"/>
            <w:vAlign w:val="center"/>
          </w:tcPr>
          <w:p w14:paraId="107CB842">
            <w:pPr>
              <w:jc w:val="center"/>
              <w:rPr>
                <w:rFonts w:hint="eastAsia"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w:t>
            </w:r>
          </w:p>
        </w:tc>
        <w:tc>
          <w:tcPr>
            <w:tcW w:w="1331" w:type="pct"/>
            <w:vAlign w:val="center"/>
          </w:tcPr>
          <w:p w14:paraId="1BB58915">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0.018</w:t>
            </w:r>
          </w:p>
        </w:tc>
        <w:tc>
          <w:tcPr>
            <w:tcW w:w="675" w:type="pct"/>
            <w:vMerge w:val="continue"/>
            <w:vAlign w:val="center"/>
          </w:tcPr>
          <w:p w14:paraId="1E589A96">
            <w:pPr>
              <w:jc w:val="center"/>
              <w:rPr>
                <w:rFonts w:ascii="Times New Roman" w:hAnsi="Times New Roman" w:eastAsia="宋体" w:cs="Times New Roman"/>
                <w:color w:val="auto"/>
                <w:sz w:val="22"/>
                <w:szCs w:val="24"/>
              </w:rPr>
            </w:pPr>
          </w:p>
        </w:tc>
      </w:tr>
      <w:tr w14:paraId="69FDC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6" w:type="pct"/>
            <w:vMerge w:val="continue"/>
            <w:vAlign w:val="center"/>
          </w:tcPr>
          <w:p w14:paraId="2562DD5D">
            <w:pPr>
              <w:jc w:val="center"/>
              <w:rPr>
                <w:rFonts w:ascii="Times New Roman" w:hAnsi="Times New Roman" w:eastAsia="宋体" w:cs="Times New Roman"/>
                <w:color w:val="auto"/>
                <w:sz w:val="22"/>
                <w:szCs w:val="24"/>
              </w:rPr>
            </w:pPr>
          </w:p>
        </w:tc>
        <w:tc>
          <w:tcPr>
            <w:tcW w:w="613" w:type="pct"/>
            <w:vMerge w:val="continue"/>
            <w:vAlign w:val="center"/>
          </w:tcPr>
          <w:p w14:paraId="41BFD3CF">
            <w:pPr>
              <w:jc w:val="center"/>
              <w:rPr>
                <w:rFonts w:ascii="Times New Roman" w:hAnsi="Times New Roman" w:eastAsia="宋体" w:cs="Times New Roman"/>
                <w:color w:val="auto"/>
                <w:sz w:val="22"/>
                <w:szCs w:val="24"/>
              </w:rPr>
            </w:pPr>
          </w:p>
        </w:tc>
        <w:tc>
          <w:tcPr>
            <w:tcW w:w="1213" w:type="pct"/>
            <w:vAlign w:val="center"/>
          </w:tcPr>
          <w:p w14:paraId="2CBC4AD1">
            <w:pPr>
              <w:jc w:val="center"/>
              <w:rPr>
                <w:rFonts w:hint="eastAsia"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颗粒物</w:t>
            </w:r>
          </w:p>
        </w:tc>
        <w:tc>
          <w:tcPr>
            <w:tcW w:w="800" w:type="pct"/>
            <w:vAlign w:val="center"/>
          </w:tcPr>
          <w:p w14:paraId="0D193D94">
            <w:pPr>
              <w:jc w:val="center"/>
              <w:rPr>
                <w:rFonts w:hint="eastAsia"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w:t>
            </w:r>
          </w:p>
        </w:tc>
        <w:tc>
          <w:tcPr>
            <w:tcW w:w="1331" w:type="pct"/>
            <w:vAlign w:val="center"/>
          </w:tcPr>
          <w:p w14:paraId="4A962931">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3.1168</w:t>
            </w:r>
          </w:p>
        </w:tc>
        <w:tc>
          <w:tcPr>
            <w:tcW w:w="675" w:type="pct"/>
            <w:vMerge w:val="continue"/>
            <w:vAlign w:val="center"/>
          </w:tcPr>
          <w:p w14:paraId="55E6E88D">
            <w:pPr>
              <w:jc w:val="center"/>
              <w:rPr>
                <w:rFonts w:ascii="Times New Roman" w:hAnsi="Times New Roman" w:eastAsia="宋体" w:cs="Times New Roman"/>
                <w:color w:val="auto"/>
                <w:sz w:val="22"/>
                <w:szCs w:val="24"/>
              </w:rPr>
            </w:pPr>
          </w:p>
        </w:tc>
      </w:tr>
      <w:tr w14:paraId="4907E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6" w:type="pct"/>
            <w:vMerge w:val="continue"/>
            <w:vAlign w:val="center"/>
          </w:tcPr>
          <w:p w14:paraId="0D9D642C">
            <w:pPr>
              <w:jc w:val="center"/>
              <w:rPr>
                <w:rFonts w:ascii="Times New Roman" w:hAnsi="Times New Roman" w:eastAsia="宋体" w:cs="Times New Roman"/>
                <w:color w:val="auto"/>
                <w:sz w:val="22"/>
                <w:szCs w:val="24"/>
              </w:rPr>
            </w:pPr>
          </w:p>
        </w:tc>
        <w:tc>
          <w:tcPr>
            <w:tcW w:w="613" w:type="pct"/>
            <w:vMerge w:val="continue"/>
            <w:vAlign w:val="center"/>
          </w:tcPr>
          <w:p w14:paraId="6D02DB11">
            <w:pPr>
              <w:jc w:val="center"/>
              <w:rPr>
                <w:rFonts w:ascii="Times New Roman" w:hAnsi="Times New Roman" w:eastAsia="宋体" w:cs="Times New Roman"/>
                <w:color w:val="auto"/>
                <w:sz w:val="22"/>
                <w:szCs w:val="24"/>
              </w:rPr>
            </w:pPr>
          </w:p>
        </w:tc>
        <w:tc>
          <w:tcPr>
            <w:tcW w:w="1213" w:type="pct"/>
            <w:vAlign w:val="center"/>
          </w:tcPr>
          <w:p w14:paraId="3F721A6F">
            <w:pPr>
              <w:jc w:val="center"/>
              <w:rPr>
                <w:rFonts w:hint="eastAsia"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非甲烷总烃</w:t>
            </w:r>
          </w:p>
        </w:tc>
        <w:tc>
          <w:tcPr>
            <w:tcW w:w="800" w:type="pct"/>
            <w:vAlign w:val="center"/>
          </w:tcPr>
          <w:p w14:paraId="3186932D">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70.2</w:t>
            </w:r>
          </w:p>
        </w:tc>
        <w:tc>
          <w:tcPr>
            <w:tcW w:w="1331" w:type="pct"/>
            <w:vAlign w:val="center"/>
          </w:tcPr>
          <w:p w14:paraId="7E3BB1C5">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8.6855</w:t>
            </w:r>
          </w:p>
        </w:tc>
        <w:tc>
          <w:tcPr>
            <w:tcW w:w="675" w:type="pct"/>
            <w:vMerge w:val="continue"/>
            <w:vAlign w:val="center"/>
          </w:tcPr>
          <w:p w14:paraId="743CB605">
            <w:pPr>
              <w:jc w:val="center"/>
              <w:rPr>
                <w:rFonts w:ascii="Times New Roman" w:hAnsi="Times New Roman" w:eastAsia="宋体" w:cs="Times New Roman"/>
                <w:color w:val="auto"/>
                <w:sz w:val="22"/>
                <w:szCs w:val="24"/>
              </w:rPr>
            </w:pPr>
          </w:p>
        </w:tc>
      </w:tr>
      <w:tr w14:paraId="2E18C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6" w:type="pct"/>
            <w:vMerge w:val="continue"/>
            <w:vAlign w:val="center"/>
          </w:tcPr>
          <w:p w14:paraId="092CF276">
            <w:pPr>
              <w:jc w:val="center"/>
              <w:rPr>
                <w:rFonts w:ascii="Times New Roman" w:hAnsi="Times New Roman" w:eastAsia="宋体" w:cs="Times New Roman"/>
                <w:color w:val="auto"/>
                <w:sz w:val="22"/>
                <w:szCs w:val="24"/>
              </w:rPr>
            </w:pPr>
          </w:p>
        </w:tc>
        <w:tc>
          <w:tcPr>
            <w:tcW w:w="613" w:type="pct"/>
            <w:vMerge w:val="restart"/>
            <w:vAlign w:val="center"/>
          </w:tcPr>
          <w:p w14:paraId="4D2E88FA">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DA002</w:t>
            </w:r>
          </w:p>
        </w:tc>
        <w:tc>
          <w:tcPr>
            <w:tcW w:w="1213" w:type="pct"/>
            <w:shd w:val="clear" w:color="auto" w:fill="auto"/>
            <w:vAlign w:val="center"/>
          </w:tcPr>
          <w:p w14:paraId="33FF90EC">
            <w:pPr>
              <w:jc w:val="center"/>
              <w:rPr>
                <w:rFonts w:hint="eastAsia"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lang w:val="en-US" w:eastAsia="zh-CN"/>
              </w:rPr>
              <w:t>氨（氨气）</w:t>
            </w:r>
          </w:p>
        </w:tc>
        <w:tc>
          <w:tcPr>
            <w:tcW w:w="800" w:type="pct"/>
            <w:vAlign w:val="center"/>
          </w:tcPr>
          <w:p w14:paraId="61A7752A">
            <w:pPr>
              <w:jc w:val="center"/>
              <w:rPr>
                <w:rFonts w:hint="eastAsia"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w:t>
            </w:r>
          </w:p>
        </w:tc>
        <w:tc>
          <w:tcPr>
            <w:tcW w:w="1331" w:type="pct"/>
            <w:vAlign w:val="center"/>
          </w:tcPr>
          <w:p w14:paraId="75FA313D">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0.0284</w:t>
            </w:r>
          </w:p>
        </w:tc>
        <w:tc>
          <w:tcPr>
            <w:tcW w:w="675" w:type="pct"/>
            <w:vMerge w:val="continue"/>
            <w:vAlign w:val="center"/>
          </w:tcPr>
          <w:p w14:paraId="3F0BD854">
            <w:pPr>
              <w:jc w:val="center"/>
              <w:rPr>
                <w:rFonts w:ascii="Times New Roman" w:hAnsi="Times New Roman" w:eastAsia="宋体" w:cs="Times New Roman"/>
                <w:color w:val="auto"/>
                <w:sz w:val="22"/>
                <w:szCs w:val="24"/>
              </w:rPr>
            </w:pPr>
          </w:p>
        </w:tc>
      </w:tr>
      <w:tr w14:paraId="27350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6" w:type="pct"/>
            <w:vMerge w:val="continue"/>
            <w:vAlign w:val="center"/>
          </w:tcPr>
          <w:p w14:paraId="72F1ACC9">
            <w:pPr>
              <w:jc w:val="center"/>
              <w:rPr>
                <w:rFonts w:ascii="Times New Roman" w:hAnsi="Times New Roman" w:eastAsia="宋体" w:cs="Times New Roman"/>
                <w:color w:val="auto"/>
                <w:sz w:val="22"/>
                <w:szCs w:val="24"/>
              </w:rPr>
            </w:pPr>
          </w:p>
        </w:tc>
        <w:tc>
          <w:tcPr>
            <w:tcW w:w="613" w:type="pct"/>
            <w:vMerge w:val="continue"/>
            <w:vAlign w:val="center"/>
          </w:tcPr>
          <w:p w14:paraId="03FE8CF4">
            <w:pPr>
              <w:jc w:val="center"/>
              <w:rPr>
                <w:rFonts w:ascii="Times New Roman" w:hAnsi="Times New Roman" w:eastAsia="宋体" w:cs="Times New Roman"/>
                <w:color w:val="auto"/>
                <w:sz w:val="22"/>
                <w:szCs w:val="24"/>
              </w:rPr>
            </w:pPr>
          </w:p>
        </w:tc>
        <w:tc>
          <w:tcPr>
            <w:tcW w:w="1213" w:type="pct"/>
            <w:shd w:val="clear" w:color="auto" w:fill="auto"/>
            <w:vAlign w:val="center"/>
          </w:tcPr>
          <w:p w14:paraId="030A77F3">
            <w:pPr>
              <w:jc w:val="center"/>
              <w:rPr>
                <w:rFonts w:hint="eastAsia"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lang w:val="en-US" w:eastAsia="zh-CN"/>
              </w:rPr>
              <w:t>硫化氢</w:t>
            </w:r>
          </w:p>
        </w:tc>
        <w:tc>
          <w:tcPr>
            <w:tcW w:w="800" w:type="pct"/>
            <w:vAlign w:val="center"/>
          </w:tcPr>
          <w:p w14:paraId="1578E0BA">
            <w:pPr>
              <w:jc w:val="center"/>
              <w:rPr>
                <w:rFonts w:hint="eastAsia"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w:t>
            </w:r>
          </w:p>
        </w:tc>
        <w:tc>
          <w:tcPr>
            <w:tcW w:w="1331" w:type="pct"/>
            <w:vAlign w:val="center"/>
          </w:tcPr>
          <w:p w14:paraId="02685E03">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0.0024</w:t>
            </w:r>
          </w:p>
        </w:tc>
        <w:tc>
          <w:tcPr>
            <w:tcW w:w="675" w:type="pct"/>
            <w:vMerge w:val="continue"/>
            <w:vAlign w:val="center"/>
          </w:tcPr>
          <w:p w14:paraId="229F777D">
            <w:pPr>
              <w:jc w:val="center"/>
              <w:rPr>
                <w:rFonts w:ascii="Times New Roman" w:hAnsi="Times New Roman" w:eastAsia="宋体" w:cs="Times New Roman"/>
                <w:color w:val="auto"/>
                <w:sz w:val="22"/>
                <w:szCs w:val="24"/>
              </w:rPr>
            </w:pPr>
          </w:p>
        </w:tc>
      </w:tr>
      <w:tr w14:paraId="63755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6" w:type="pct"/>
            <w:vMerge w:val="continue"/>
            <w:vAlign w:val="center"/>
          </w:tcPr>
          <w:p w14:paraId="7079E0CD">
            <w:pPr>
              <w:jc w:val="center"/>
              <w:rPr>
                <w:rFonts w:ascii="Times New Roman" w:hAnsi="Times New Roman" w:eastAsia="宋体" w:cs="Times New Roman"/>
                <w:color w:val="auto"/>
                <w:sz w:val="22"/>
                <w:szCs w:val="24"/>
              </w:rPr>
            </w:pPr>
          </w:p>
        </w:tc>
        <w:tc>
          <w:tcPr>
            <w:tcW w:w="613" w:type="pct"/>
            <w:vMerge w:val="continue"/>
            <w:vAlign w:val="center"/>
          </w:tcPr>
          <w:p w14:paraId="0C77117D">
            <w:pPr>
              <w:jc w:val="center"/>
              <w:rPr>
                <w:rFonts w:ascii="Times New Roman" w:hAnsi="Times New Roman" w:eastAsia="宋体" w:cs="Times New Roman"/>
                <w:color w:val="auto"/>
                <w:sz w:val="22"/>
                <w:szCs w:val="24"/>
              </w:rPr>
            </w:pPr>
          </w:p>
        </w:tc>
        <w:tc>
          <w:tcPr>
            <w:tcW w:w="1213" w:type="pct"/>
            <w:shd w:val="clear" w:color="auto" w:fill="auto"/>
            <w:vAlign w:val="center"/>
          </w:tcPr>
          <w:p w14:paraId="3C39A50C">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kern w:val="2"/>
                <w:sz w:val="22"/>
                <w:szCs w:val="24"/>
                <w:lang w:val="en-US" w:eastAsia="zh-CN" w:bidi="ar-SA"/>
              </w:rPr>
              <w:t>非甲烷总烃</w:t>
            </w:r>
          </w:p>
        </w:tc>
        <w:tc>
          <w:tcPr>
            <w:tcW w:w="800" w:type="pct"/>
            <w:vAlign w:val="center"/>
          </w:tcPr>
          <w:p w14:paraId="58180AEA">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7.2</w:t>
            </w:r>
          </w:p>
        </w:tc>
        <w:tc>
          <w:tcPr>
            <w:tcW w:w="1331" w:type="pct"/>
            <w:vAlign w:val="center"/>
          </w:tcPr>
          <w:p w14:paraId="05ECDD55">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0.1083</w:t>
            </w:r>
          </w:p>
        </w:tc>
        <w:tc>
          <w:tcPr>
            <w:tcW w:w="675" w:type="pct"/>
            <w:vMerge w:val="continue"/>
            <w:vAlign w:val="center"/>
          </w:tcPr>
          <w:p w14:paraId="06078201">
            <w:pPr>
              <w:jc w:val="center"/>
              <w:rPr>
                <w:rFonts w:ascii="Times New Roman" w:hAnsi="Times New Roman" w:eastAsia="宋体" w:cs="Times New Roman"/>
                <w:color w:val="auto"/>
                <w:sz w:val="22"/>
                <w:szCs w:val="24"/>
              </w:rPr>
            </w:pPr>
          </w:p>
        </w:tc>
      </w:tr>
      <w:tr w14:paraId="2D7A0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366" w:type="pct"/>
            <w:vMerge w:val="continue"/>
            <w:vAlign w:val="center"/>
          </w:tcPr>
          <w:p w14:paraId="094D00FE">
            <w:pPr>
              <w:jc w:val="center"/>
              <w:rPr>
                <w:rFonts w:ascii="Times New Roman" w:hAnsi="Times New Roman" w:eastAsia="宋体" w:cs="Times New Roman"/>
                <w:color w:val="auto"/>
                <w:sz w:val="22"/>
                <w:szCs w:val="24"/>
              </w:rPr>
            </w:pPr>
          </w:p>
        </w:tc>
        <w:tc>
          <w:tcPr>
            <w:tcW w:w="613" w:type="pct"/>
            <w:vMerge w:val="restart"/>
            <w:vAlign w:val="center"/>
          </w:tcPr>
          <w:p w14:paraId="79D33C2F">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DA003</w:t>
            </w:r>
          </w:p>
        </w:tc>
        <w:tc>
          <w:tcPr>
            <w:tcW w:w="1213" w:type="pct"/>
            <w:shd w:val="clear" w:color="auto" w:fill="auto"/>
            <w:vAlign w:val="center"/>
          </w:tcPr>
          <w:p w14:paraId="5362C573">
            <w:pPr>
              <w:jc w:val="center"/>
              <w:rPr>
                <w:rFonts w:hint="eastAsia"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lang w:val="en-US" w:eastAsia="zh-CN"/>
              </w:rPr>
              <w:t>氨（氨气）</w:t>
            </w:r>
          </w:p>
        </w:tc>
        <w:tc>
          <w:tcPr>
            <w:tcW w:w="800" w:type="pct"/>
            <w:vAlign w:val="center"/>
          </w:tcPr>
          <w:p w14:paraId="756CAE7B">
            <w:pPr>
              <w:jc w:val="center"/>
              <w:rPr>
                <w:rFonts w:hint="eastAsia"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w:t>
            </w:r>
          </w:p>
        </w:tc>
        <w:tc>
          <w:tcPr>
            <w:tcW w:w="1331" w:type="pct"/>
            <w:vAlign w:val="center"/>
          </w:tcPr>
          <w:p w14:paraId="1B0F2603">
            <w:pPr>
              <w:jc w:val="center"/>
              <w:rPr>
                <w:rFonts w:hint="eastAsia"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0</w:t>
            </w:r>
          </w:p>
        </w:tc>
        <w:tc>
          <w:tcPr>
            <w:tcW w:w="675" w:type="pct"/>
            <w:vMerge w:val="continue"/>
            <w:vAlign w:val="center"/>
          </w:tcPr>
          <w:p w14:paraId="360FE423">
            <w:pPr>
              <w:jc w:val="center"/>
              <w:rPr>
                <w:rFonts w:ascii="Times New Roman" w:hAnsi="Times New Roman" w:eastAsia="宋体" w:cs="Times New Roman"/>
                <w:color w:val="auto"/>
                <w:sz w:val="22"/>
                <w:szCs w:val="24"/>
              </w:rPr>
            </w:pPr>
          </w:p>
        </w:tc>
      </w:tr>
      <w:tr w14:paraId="77021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6" w:type="pct"/>
            <w:vMerge w:val="continue"/>
            <w:vAlign w:val="center"/>
          </w:tcPr>
          <w:p w14:paraId="7682D02E">
            <w:pPr>
              <w:jc w:val="center"/>
              <w:rPr>
                <w:rFonts w:ascii="Times New Roman" w:hAnsi="Times New Roman" w:eastAsia="宋体" w:cs="Times New Roman"/>
                <w:color w:val="auto"/>
                <w:sz w:val="22"/>
                <w:szCs w:val="24"/>
              </w:rPr>
            </w:pPr>
          </w:p>
        </w:tc>
        <w:tc>
          <w:tcPr>
            <w:tcW w:w="613" w:type="pct"/>
            <w:vMerge w:val="continue"/>
            <w:vAlign w:val="center"/>
          </w:tcPr>
          <w:p w14:paraId="1D28C6CA">
            <w:pPr>
              <w:jc w:val="center"/>
              <w:rPr>
                <w:rFonts w:ascii="Times New Roman" w:hAnsi="Times New Roman" w:eastAsia="宋体" w:cs="Times New Roman"/>
                <w:color w:val="auto"/>
                <w:sz w:val="22"/>
                <w:szCs w:val="24"/>
              </w:rPr>
            </w:pPr>
          </w:p>
        </w:tc>
        <w:tc>
          <w:tcPr>
            <w:tcW w:w="1213" w:type="pct"/>
            <w:shd w:val="clear" w:color="auto" w:fill="auto"/>
            <w:vAlign w:val="center"/>
          </w:tcPr>
          <w:p w14:paraId="62DD0507">
            <w:pPr>
              <w:jc w:val="center"/>
              <w:rPr>
                <w:rFonts w:hint="eastAsia"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lang w:val="en-US" w:eastAsia="zh-CN"/>
              </w:rPr>
              <w:t>硫化氢</w:t>
            </w:r>
          </w:p>
        </w:tc>
        <w:tc>
          <w:tcPr>
            <w:tcW w:w="800" w:type="pct"/>
            <w:vAlign w:val="center"/>
          </w:tcPr>
          <w:p w14:paraId="3D95C457">
            <w:pPr>
              <w:jc w:val="center"/>
              <w:rPr>
                <w:rFonts w:hint="eastAsia"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w:t>
            </w:r>
          </w:p>
        </w:tc>
        <w:tc>
          <w:tcPr>
            <w:tcW w:w="1331" w:type="pct"/>
            <w:vAlign w:val="center"/>
          </w:tcPr>
          <w:p w14:paraId="795C985A">
            <w:pPr>
              <w:jc w:val="center"/>
              <w:rPr>
                <w:rFonts w:hint="eastAsia"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0</w:t>
            </w:r>
          </w:p>
        </w:tc>
        <w:tc>
          <w:tcPr>
            <w:tcW w:w="675" w:type="pct"/>
            <w:vMerge w:val="continue"/>
            <w:vAlign w:val="center"/>
          </w:tcPr>
          <w:p w14:paraId="2EAF7FD0">
            <w:pPr>
              <w:jc w:val="center"/>
              <w:rPr>
                <w:rFonts w:ascii="Times New Roman" w:hAnsi="Times New Roman" w:eastAsia="宋体" w:cs="Times New Roman"/>
                <w:color w:val="auto"/>
                <w:sz w:val="22"/>
                <w:szCs w:val="24"/>
              </w:rPr>
            </w:pPr>
          </w:p>
        </w:tc>
      </w:tr>
      <w:tr w14:paraId="3F286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6" w:type="pct"/>
            <w:vMerge w:val="continue"/>
            <w:vAlign w:val="center"/>
          </w:tcPr>
          <w:p w14:paraId="549D9C0F">
            <w:pPr>
              <w:jc w:val="center"/>
              <w:rPr>
                <w:rFonts w:ascii="Times New Roman" w:hAnsi="Times New Roman" w:eastAsia="宋体" w:cs="Times New Roman"/>
                <w:color w:val="auto"/>
                <w:sz w:val="22"/>
                <w:szCs w:val="24"/>
              </w:rPr>
            </w:pPr>
          </w:p>
        </w:tc>
        <w:tc>
          <w:tcPr>
            <w:tcW w:w="613" w:type="pct"/>
            <w:vMerge w:val="continue"/>
            <w:vAlign w:val="center"/>
          </w:tcPr>
          <w:p w14:paraId="7AEB2BD7">
            <w:pPr>
              <w:jc w:val="center"/>
              <w:rPr>
                <w:rFonts w:ascii="Times New Roman" w:hAnsi="Times New Roman" w:eastAsia="宋体" w:cs="Times New Roman"/>
                <w:color w:val="auto"/>
                <w:sz w:val="22"/>
                <w:szCs w:val="24"/>
              </w:rPr>
            </w:pPr>
          </w:p>
        </w:tc>
        <w:tc>
          <w:tcPr>
            <w:tcW w:w="1213" w:type="pct"/>
            <w:shd w:val="clear" w:color="auto" w:fill="auto"/>
            <w:vAlign w:val="center"/>
          </w:tcPr>
          <w:p w14:paraId="4B516BE9">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kern w:val="2"/>
                <w:sz w:val="22"/>
                <w:szCs w:val="24"/>
                <w:lang w:val="en-US" w:eastAsia="zh-CN" w:bidi="ar-SA"/>
              </w:rPr>
              <w:t>非甲烷总烃</w:t>
            </w:r>
          </w:p>
        </w:tc>
        <w:tc>
          <w:tcPr>
            <w:tcW w:w="800" w:type="pct"/>
            <w:vAlign w:val="center"/>
          </w:tcPr>
          <w:p w14:paraId="531DC971">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5.4</w:t>
            </w:r>
          </w:p>
        </w:tc>
        <w:tc>
          <w:tcPr>
            <w:tcW w:w="1331" w:type="pct"/>
            <w:vAlign w:val="center"/>
          </w:tcPr>
          <w:p w14:paraId="5C3FCC9B">
            <w:pPr>
              <w:jc w:val="center"/>
              <w:rPr>
                <w:rFonts w:hint="eastAsia"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0</w:t>
            </w:r>
          </w:p>
        </w:tc>
        <w:tc>
          <w:tcPr>
            <w:tcW w:w="675" w:type="pct"/>
            <w:vMerge w:val="continue"/>
            <w:vAlign w:val="center"/>
          </w:tcPr>
          <w:p w14:paraId="455EDCAB">
            <w:pPr>
              <w:jc w:val="center"/>
              <w:rPr>
                <w:rFonts w:ascii="Times New Roman" w:hAnsi="Times New Roman" w:eastAsia="宋体" w:cs="Times New Roman"/>
                <w:color w:val="auto"/>
                <w:sz w:val="22"/>
                <w:szCs w:val="24"/>
              </w:rPr>
            </w:pPr>
          </w:p>
        </w:tc>
      </w:tr>
      <w:tr w14:paraId="5358E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6" w:type="pct"/>
            <w:vMerge w:val="continue"/>
            <w:vAlign w:val="center"/>
          </w:tcPr>
          <w:p w14:paraId="473D3330">
            <w:pPr>
              <w:jc w:val="center"/>
              <w:rPr>
                <w:rFonts w:ascii="Times New Roman" w:hAnsi="Times New Roman" w:eastAsia="宋体" w:cs="Times New Roman"/>
                <w:color w:val="auto"/>
                <w:sz w:val="22"/>
                <w:szCs w:val="24"/>
              </w:rPr>
            </w:pPr>
          </w:p>
        </w:tc>
        <w:tc>
          <w:tcPr>
            <w:tcW w:w="613" w:type="pct"/>
            <w:vMerge w:val="continue"/>
            <w:vAlign w:val="center"/>
          </w:tcPr>
          <w:p w14:paraId="76BE0264">
            <w:pPr>
              <w:jc w:val="center"/>
              <w:rPr>
                <w:rFonts w:ascii="Times New Roman" w:hAnsi="Times New Roman" w:eastAsia="宋体" w:cs="Times New Roman"/>
                <w:color w:val="auto"/>
                <w:sz w:val="22"/>
                <w:szCs w:val="24"/>
              </w:rPr>
            </w:pPr>
          </w:p>
        </w:tc>
        <w:tc>
          <w:tcPr>
            <w:tcW w:w="1213" w:type="pct"/>
            <w:shd w:val="clear" w:color="auto" w:fill="auto"/>
            <w:vAlign w:val="center"/>
          </w:tcPr>
          <w:p w14:paraId="483A463E">
            <w:pPr>
              <w:jc w:val="center"/>
              <w:rPr>
                <w:rFonts w:hint="eastAsia"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lang w:val="en-US" w:eastAsia="zh-CN"/>
              </w:rPr>
              <w:t>颗粒物</w:t>
            </w:r>
          </w:p>
        </w:tc>
        <w:tc>
          <w:tcPr>
            <w:tcW w:w="800" w:type="pct"/>
            <w:vAlign w:val="center"/>
          </w:tcPr>
          <w:p w14:paraId="206971DF">
            <w:pPr>
              <w:jc w:val="center"/>
              <w:rPr>
                <w:rFonts w:hint="eastAsia"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w:t>
            </w:r>
          </w:p>
        </w:tc>
        <w:tc>
          <w:tcPr>
            <w:tcW w:w="1331" w:type="pct"/>
            <w:vAlign w:val="center"/>
          </w:tcPr>
          <w:p w14:paraId="23A00954">
            <w:pPr>
              <w:jc w:val="center"/>
              <w:rPr>
                <w:rFonts w:hint="eastAsia"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0</w:t>
            </w:r>
          </w:p>
        </w:tc>
        <w:tc>
          <w:tcPr>
            <w:tcW w:w="675" w:type="pct"/>
            <w:vMerge w:val="continue"/>
            <w:vAlign w:val="center"/>
          </w:tcPr>
          <w:p w14:paraId="69A3D80F">
            <w:pPr>
              <w:jc w:val="center"/>
              <w:rPr>
                <w:rFonts w:ascii="Times New Roman" w:hAnsi="Times New Roman" w:eastAsia="宋体" w:cs="Times New Roman"/>
                <w:color w:val="auto"/>
                <w:sz w:val="22"/>
                <w:szCs w:val="24"/>
              </w:rPr>
            </w:pPr>
          </w:p>
        </w:tc>
      </w:tr>
      <w:tr w14:paraId="51E96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6" w:type="pct"/>
            <w:vMerge w:val="continue"/>
            <w:vAlign w:val="center"/>
          </w:tcPr>
          <w:p w14:paraId="415DAE3A">
            <w:pPr>
              <w:jc w:val="center"/>
              <w:rPr>
                <w:rFonts w:ascii="Times New Roman" w:hAnsi="Times New Roman" w:eastAsia="宋体" w:cs="Times New Roman"/>
                <w:color w:val="auto"/>
                <w:sz w:val="22"/>
                <w:szCs w:val="24"/>
              </w:rPr>
            </w:pPr>
          </w:p>
        </w:tc>
        <w:tc>
          <w:tcPr>
            <w:tcW w:w="613" w:type="pct"/>
            <w:vMerge w:val="restart"/>
            <w:vAlign w:val="center"/>
          </w:tcPr>
          <w:p w14:paraId="030F234F">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全厂</w:t>
            </w:r>
          </w:p>
        </w:tc>
        <w:tc>
          <w:tcPr>
            <w:tcW w:w="1213" w:type="pct"/>
            <w:vAlign w:val="center"/>
          </w:tcPr>
          <w:p w14:paraId="0C5023BD">
            <w:pPr>
              <w:jc w:val="center"/>
              <w:rPr>
                <w:rFonts w:hint="eastAsia"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氨（氨气）</w:t>
            </w:r>
          </w:p>
        </w:tc>
        <w:tc>
          <w:tcPr>
            <w:tcW w:w="800" w:type="pct"/>
            <w:vAlign w:val="center"/>
          </w:tcPr>
          <w:p w14:paraId="1126E5A6">
            <w:pPr>
              <w:jc w:val="center"/>
              <w:rPr>
                <w:rFonts w:hint="eastAsia"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w:t>
            </w:r>
          </w:p>
        </w:tc>
        <w:tc>
          <w:tcPr>
            <w:tcW w:w="1331" w:type="pct"/>
            <w:vAlign w:val="center"/>
          </w:tcPr>
          <w:p w14:paraId="46CFBFE7">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0.4791</w:t>
            </w:r>
          </w:p>
        </w:tc>
        <w:tc>
          <w:tcPr>
            <w:tcW w:w="675" w:type="pct"/>
            <w:vMerge w:val="continue"/>
            <w:vAlign w:val="center"/>
          </w:tcPr>
          <w:p w14:paraId="0137EEFD">
            <w:pPr>
              <w:jc w:val="center"/>
              <w:rPr>
                <w:rFonts w:ascii="Times New Roman" w:hAnsi="Times New Roman" w:eastAsia="宋体" w:cs="Times New Roman"/>
                <w:color w:val="auto"/>
                <w:sz w:val="22"/>
                <w:szCs w:val="24"/>
              </w:rPr>
            </w:pPr>
          </w:p>
        </w:tc>
      </w:tr>
      <w:tr w14:paraId="24844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6" w:type="pct"/>
            <w:vMerge w:val="continue"/>
            <w:vAlign w:val="center"/>
          </w:tcPr>
          <w:p w14:paraId="7DF0D420">
            <w:pPr>
              <w:jc w:val="center"/>
              <w:rPr>
                <w:rFonts w:ascii="Times New Roman" w:hAnsi="Times New Roman" w:eastAsia="宋体" w:cs="Times New Roman"/>
                <w:color w:val="auto"/>
                <w:sz w:val="22"/>
                <w:szCs w:val="24"/>
              </w:rPr>
            </w:pPr>
          </w:p>
        </w:tc>
        <w:tc>
          <w:tcPr>
            <w:tcW w:w="613" w:type="pct"/>
            <w:vMerge w:val="continue"/>
            <w:vAlign w:val="center"/>
          </w:tcPr>
          <w:p w14:paraId="50A8099D">
            <w:pPr>
              <w:jc w:val="center"/>
              <w:rPr>
                <w:rFonts w:ascii="Times New Roman" w:hAnsi="Times New Roman" w:eastAsia="宋体" w:cs="Times New Roman"/>
                <w:color w:val="auto"/>
                <w:sz w:val="22"/>
                <w:szCs w:val="24"/>
              </w:rPr>
            </w:pPr>
          </w:p>
        </w:tc>
        <w:tc>
          <w:tcPr>
            <w:tcW w:w="1213" w:type="pct"/>
            <w:vAlign w:val="center"/>
          </w:tcPr>
          <w:p w14:paraId="542B921F">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N</w:t>
            </w:r>
            <w:r>
              <w:rPr>
                <w:rFonts w:ascii="Times New Roman" w:hAnsi="Times New Roman" w:eastAsia="宋体" w:cs="Times New Roman"/>
                <w:color w:val="auto"/>
                <w:sz w:val="22"/>
                <w:szCs w:val="24"/>
              </w:rPr>
              <w:t>O</w:t>
            </w:r>
            <w:r>
              <w:rPr>
                <w:rFonts w:hint="eastAsia" w:ascii="Times New Roman" w:hAnsi="Times New Roman" w:eastAsia="宋体" w:cs="Times New Roman"/>
                <w:color w:val="auto"/>
                <w:sz w:val="22"/>
                <w:szCs w:val="24"/>
              </w:rPr>
              <w:t>x</w:t>
            </w:r>
          </w:p>
        </w:tc>
        <w:tc>
          <w:tcPr>
            <w:tcW w:w="800" w:type="pct"/>
            <w:vAlign w:val="center"/>
          </w:tcPr>
          <w:p w14:paraId="6E87A3ED">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14.7</w:t>
            </w:r>
          </w:p>
        </w:tc>
        <w:tc>
          <w:tcPr>
            <w:tcW w:w="1331" w:type="pct"/>
            <w:vAlign w:val="center"/>
          </w:tcPr>
          <w:p w14:paraId="45781C2F">
            <w:pPr>
              <w:jc w:val="center"/>
              <w:rPr>
                <w:rFonts w:hint="eastAsia"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0</w:t>
            </w:r>
          </w:p>
        </w:tc>
        <w:tc>
          <w:tcPr>
            <w:tcW w:w="675" w:type="pct"/>
            <w:vMerge w:val="continue"/>
            <w:vAlign w:val="center"/>
          </w:tcPr>
          <w:p w14:paraId="799A1DC4">
            <w:pPr>
              <w:jc w:val="center"/>
              <w:rPr>
                <w:rFonts w:ascii="Times New Roman" w:hAnsi="Times New Roman" w:eastAsia="宋体" w:cs="Times New Roman"/>
                <w:color w:val="auto"/>
                <w:sz w:val="22"/>
                <w:szCs w:val="24"/>
              </w:rPr>
            </w:pPr>
          </w:p>
        </w:tc>
      </w:tr>
      <w:tr w14:paraId="6E855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6" w:type="pct"/>
            <w:vMerge w:val="continue"/>
            <w:vAlign w:val="center"/>
          </w:tcPr>
          <w:p w14:paraId="656708EC">
            <w:pPr>
              <w:jc w:val="center"/>
              <w:rPr>
                <w:rFonts w:ascii="Times New Roman" w:hAnsi="Times New Roman" w:eastAsia="宋体" w:cs="Times New Roman"/>
                <w:color w:val="auto"/>
                <w:sz w:val="22"/>
                <w:szCs w:val="24"/>
              </w:rPr>
            </w:pPr>
          </w:p>
        </w:tc>
        <w:tc>
          <w:tcPr>
            <w:tcW w:w="613" w:type="pct"/>
            <w:vMerge w:val="continue"/>
            <w:vAlign w:val="center"/>
          </w:tcPr>
          <w:p w14:paraId="334BCFD3">
            <w:pPr>
              <w:jc w:val="center"/>
              <w:rPr>
                <w:rFonts w:ascii="Times New Roman" w:hAnsi="Times New Roman" w:eastAsia="宋体" w:cs="Times New Roman"/>
                <w:color w:val="auto"/>
                <w:sz w:val="22"/>
                <w:szCs w:val="24"/>
              </w:rPr>
            </w:pPr>
          </w:p>
        </w:tc>
        <w:tc>
          <w:tcPr>
            <w:tcW w:w="1213" w:type="pct"/>
            <w:vAlign w:val="center"/>
          </w:tcPr>
          <w:p w14:paraId="204B7544">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S</w:t>
            </w:r>
            <w:r>
              <w:rPr>
                <w:rFonts w:ascii="Times New Roman" w:hAnsi="Times New Roman" w:eastAsia="宋体" w:cs="Times New Roman"/>
                <w:color w:val="auto"/>
                <w:sz w:val="22"/>
                <w:szCs w:val="24"/>
              </w:rPr>
              <w:t>O</w:t>
            </w:r>
            <w:r>
              <w:rPr>
                <w:rFonts w:ascii="Times New Roman" w:hAnsi="Times New Roman" w:eastAsia="宋体" w:cs="Times New Roman"/>
                <w:color w:val="auto"/>
                <w:sz w:val="22"/>
                <w:szCs w:val="24"/>
                <w:vertAlign w:val="subscript"/>
              </w:rPr>
              <w:t>2</w:t>
            </w:r>
          </w:p>
        </w:tc>
        <w:tc>
          <w:tcPr>
            <w:tcW w:w="800" w:type="pct"/>
            <w:vAlign w:val="center"/>
          </w:tcPr>
          <w:p w14:paraId="4FDD0D05">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45.7</w:t>
            </w:r>
          </w:p>
        </w:tc>
        <w:tc>
          <w:tcPr>
            <w:tcW w:w="1331" w:type="pct"/>
            <w:vAlign w:val="center"/>
          </w:tcPr>
          <w:p w14:paraId="02138BD0">
            <w:pPr>
              <w:jc w:val="center"/>
              <w:rPr>
                <w:rFonts w:hint="eastAsia"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0</w:t>
            </w:r>
          </w:p>
        </w:tc>
        <w:tc>
          <w:tcPr>
            <w:tcW w:w="675" w:type="pct"/>
            <w:vMerge w:val="continue"/>
            <w:vAlign w:val="center"/>
          </w:tcPr>
          <w:p w14:paraId="18903A48">
            <w:pPr>
              <w:jc w:val="center"/>
              <w:rPr>
                <w:rFonts w:ascii="Times New Roman" w:hAnsi="Times New Roman" w:eastAsia="宋体" w:cs="Times New Roman"/>
                <w:color w:val="auto"/>
                <w:sz w:val="22"/>
                <w:szCs w:val="24"/>
              </w:rPr>
            </w:pPr>
          </w:p>
        </w:tc>
      </w:tr>
      <w:tr w14:paraId="0098B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6" w:type="pct"/>
            <w:vMerge w:val="continue"/>
            <w:vAlign w:val="center"/>
          </w:tcPr>
          <w:p w14:paraId="4052F997">
            <w:pPr>
              <w:jc w:val="center"/>
              <w:rPr>
                <w:rFonts w:ascii="Times New Roman" w:hAnsi="Times New Roman" w:eastAsia="宋体" w:cs="Times New Roman"/>
                <w:color w:val="auto"/>
                <w:sz w:val="22"/>
                <w:szCs w:val="24"/>
              </w:rPr>
            </w:pPr>
          </w:p>
        </w:tc>
        <w:tc>
          <w:tcPr>
            <w:tcW w:w="613" w:type="pct"/>
            <w:vMerge w:val="continue"/>
            <w:vAlign w:val="center"/>
          </w:tcPr>
          <w:p w14:paraId="5D69B6E4">
            <w:pPr>
              <w:jc w:val="center"/>
              <w:rPr>
                <w:rFonts w:ascii="Times New Roman" w:hAnsi="Times New Roman" w:eastAsia="宋体" w:cs="Times New Roman"/>
                <w:color w:val="auto"/>
                <w:sz w:val="22"/>
                <w:szCs w:val="24"/>
              </w:rPr>
            </w:pPr>
          </w:p>
        </w:tc>
        <w:tc>
          <w:tcPr>
            <w:tcW w:w="1213" w:type="pct"/>
            <w:vAlign w:val="center"/>
          </w:tcPr>
          <w:p w14:paraId="78D88B68">
            <w:pPr>
              <w:jc w:val="center"/>
              <w:rPr>
                <w:rFonts w:hint="eastAsia"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硫化氢</w:t>
            </w:r>
          </w:p>
        </w:tc>
        <w:tc>
          <w:tcPr>
            <w:tcW w:w="800" w:type="pct"/>
            <w:vAlign w:val="center"/>
          </w:tcPr>
          <w:p w14:paraId="66907D15">
            <w:pPr>
              <w:jc w:val="center"/>
              <w:rPr>
                <w:rFonts w:hint="eastAsia"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w:t>
            </w:r>
          </w:p>
        </w:tc>
        <w:tc>
          <w:tcPr>
            <w:tcW w:w="1331" w:type="pct"/>
            <w:vAlign w:val="center"/>
          </w:tcPr>
          <w:p w14:paraId="6C2BD8C2">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0.0204</w:t>
            </w:r>
          </w:p>
        </w:tc>
        <w:tc>
          <w:tcPr>
            <w:tcW w:w="675" w:type="pct"/>
            <w:vMerge w:val="continue"/>
            <w:vAlign w:val="center"/>
          </w:tcPr>
          <w:p w14:paraId="39C2F81A">
            <w:pPr>
              <w:jc w:val="center"/>
              <w:rPr>
                <w:rFonts w:ascii="Times New Roman" w:hAnsi="Times New Roman" w:eastAsia="宋体" w:cs="Times New Roman"/>
                <w:color w:val="auto"/>
                <w:sz w:val="22"/>
                <w:szCs w:val="24"/>
              </w:rPr>
            </w:pPr>
          </w:p>
        </w:tc>
      </w:tr>
      <w:tr w14:paraId="29E6E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6" w:type="pct"/>
            <w:vMerge w:val="continue"/>
            <w:vAlign w:val="center"/>
          </w:tcPr>
          <w:p w14:paraId="1496B43E">
            <w:pPr>
              <w:jc w:val="center"/>
              <w:rPr>
                <w:rFonts w:ascii="Times New Roman" w:hAnsi="Times New Roman" w:eastAsia="宋体" w:cs="Times New Roman"/>
                <w:color w:val="auto"/>
                <w:sz w:val="22"/>
                <w:szCs w:val="24"/>
              </w:rPr>
            </w:pPr>
          </w:p>
        </w:tc>
        <w:tc>
          <w:tcPr>
            <w:tcW w:w="613" w:type="pct"/>
            <w:vMerge w:val="continue"/>
            <w:vAlign w:val="center"/>
          </w:tcPr>
          <w:p w14:paraId="0D8D382A">
            <w:pPr>
              <w:jc w:val="center"/>
              <w:rPr>
                <w:rFonts w:ascii="Times New Roman" w:hAnsi="Times New Roman" w:eastAsia="宋体" w:cs="Times New Roman"/>
                <w:color w:val="auto"/>
                <w:sz w:val="22"/>
                <w:szCs w:val="24"/>
              </w:rPr>
            </w:pPr>
          </w:p>
        </w:tc>
        <w:tc>
          <w:tcPr>
            <w:tcW w:w="1213" w:type="pct"/>
            <w:vAlign w:val="center"/>
          </w:tcPr>
          <w:p w14:paraId="4D24A393">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非甲烷总烃</w:t>
            </w:r>
          </w:p>
        </w:tc>
        <w:tc>
          <w:tcPr>
            <w:tcW w:w="800" w:type="pct"/>
            <w:vAlign w:val="center"/>
          </w:tcPr>
          <w:p w14:paraId="049D0380">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82.8</w:t>
            </w:r>
          </w:p>
        </w:tc>
        <w:tc>
          <w:tcPr>
            <w:tcW w:w="1331" w:type="pct"/>
            <w:vAlign w:val="center"/>
          </w:tcPr>
          <w:p w14:paraId="23CA74DE">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8.6855</w:t>
            </w:r>
          </w:p>
        </w:tc>
        <w:tc>
          <w:tcPr>
            <w:tcW w:w="675" w:type="pct"/>
            <w:vMerge w:val="continue"/>
            <w:vAlign w:val="center"/>
          </w:tcPr>
          <w:p w14:paraId="2E5E5665">
            <w:pPr>
              <w:jc w:val="center"/>
              <w:rPr>
                <w:rFonts w:ascii="Times New Roman" w:hAnsi="Times New Roman" w:eastAsia="宋体" w:cs="Times New Roman"/>
                <w:color w:val="auto"/>
                <w:sz w:val="22"/>
                <w:szCs w:val="24"/>
              </w:rPr>
            </w:pPr>
          </w:p>
        </w:tc>
      </w:tr>
      <w:tr w14:paraId="43EF7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6" w:type="pct"/>
            <w:vMerge w:val="continue"/>
            <w:vAlign w:val="center"/>
          </w:tcPr>
          <w:p w14:paraId="6EDD9D6E">
            <w:pPr>
              <w:jc w:val="center"/>
              <w:rPr>
                <w:rFonts w:ascii="Times New Roman" w:hAnsi="Times New Roman" w:eastAsia="宋体" w:cs="Times New Roman"/>
                <w:color w:val="auto"/>
                <w:sz w:val="22"/>
                <w:szCs w:val="24"/>
              </w:rPr>
            </w:pPr>
          </w:p>
        </w:tc>
        <w:tc>
          <w:tcPr>
            <w:tcW w:w="613" w:type="pct"/>
            <w:vMerge w:val="continue"/>
            <w:vAlign w:val="center"/>
          </w:tcPr>
          <w:p w14:paraId="61F8BE92">
            <w:pPr>
              <w:jc w:val="center"/>
              <w:rPr>
                <w:rFonts w:ascii="Times New Roman" w:hAnsi="Times New Roman" w:eastAsia="宋体" w:cs="Times New Roman"/>
                <w:color w:val="auto"/>
                <w:sz w:val="22"/>
                <w:szCs w:val="24"/>
              </w:rPr>
            </w:pPr>
          </w:p>
        </w:tc>
        <w:tc>
          <w:tcPr>
            <w:tcW w:w="1213" w:type="pct"/>
            <w:vAlign w:val="center"/>
          </w:tcPr>
          <w:p w14:paraId="6A520583">
            <w:pPr>
              <w:jc w:val="center"/>
              <w:rPr>
                <w:rFonts w:hint="eastAsia"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颗粒物</w:t>
            </w:r>
          </w:p>
        </w:tc>
        <w:tc>
          <w:tcPr>
            <w:tcW w:w="800" w:type="pct"/>
            <w:vAlign w:val="center"/>
          </w:tcPr>
          <w:p w14:paraId="67AA6D9F">
            <w:pPr>
              <w:jc w:val="center"/>
              <w:rPr>
                <w:rFonts w:hint="eastAsia"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w:t>
            </w:r>
          </w:p>
        </w:tc>
        <w:tc>
          <w:tcPr>
            <w:tcW w:w="1331" w:type="pct"/>
            <w:vAlign w:val="center"/>
          </w:tcPr>
          <w:p w14:paraId="103C5058">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3.1168</w:t>
            </w:r>
          </w:p>
        </w:tc>
        <w:tc>
          <w:tcPr>
            <w:tcW w:w="675" w:type="pct"/>
            <w:vMerge w:val="continue"/>
            <w:vAlign w:val="center"/>
          </w:tcPr>
          <w:p w14:paraId="74E302CD">
            <w:pPr>
              <w:jc w:val="center"/>
              <w:rPr>
                <w:rFonts w:ascii="Times New Roman" w:hAnsi="Times New Roman" w:eastAsia="宋体" w:cs="Times New Roman"/>
                <w:color w:val="auto"/>
                <w:sz w:val="22"/>
                <w:szCs w:val="24"/>
              </w:rPr>
            </w:pPr>
          </w:p>
        </w:tc>
      </w:tr>
      <w:tr w14:paraId="0F2A3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6" w:type="pct"/>
            <w:vMerge w:val="restart"/>
            <w:vAlign w:val="center"/>
          </w:tcPr>
          <w:p w14:paraId="5C48D3D4">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废水</w:t>
            </w:r>
          </w:p>
        </w:tc>
        <w:tc>
          <w:tcPr>
            <w:tcW w:w="613" w:type="pct"/>
            <w:vMerge w:val="restart"/>
            <w:vAlign w:val="center"/>
          </w:tcPr>
          <w:p w14:paraId="7344E7AA">
            <w:pPr>
              <w:jc w:val="center"/>
              <w:rPr>
                <w:rFonts w:hint="eastAsia"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全厂</w:t>
            </w:r>
          </w:p>
        </w:tc>
        <w:tc>
          <w:tcPr>
            <w:tcW w:w="1213" w:type="pct"/>
            <w:vAlign w:val="center"/>
          </w:tcPr>
          <w:p w14:paraId="70F34DB8">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悬浮物</w:t>
            </w:r>
          </w:p>
        </w:tc>
        <w:tc>
          <w:tcPr>
            <w:tcW w:w="800" w:type="pct"/>
            <w:vAlign w:val="center"/>
          </w:tcPr>
          <w:p w14:paraId="40F986A7">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w:t>
            </w:r>
          </w:p>
        </w:tc>
        <w:tc>
          <w:tcPr>
            <w:tcW w:w="1331" w:type="pct"/>
            <w:vAlign w:val="center"/>
          </w:tcPr>
          <w:p w14:paraId="3FAF836B">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0.559</w:t>
            </w:r>
          </w:p>
        </w:tc>
        <w:tc>
          <w:tcPr>
            <w:tcW w:w="675" w:type="pct"/>
            <w:vMerge w:val="continue"/>
            <w:vAlign w:val="center"/>
          </w:tcPr>
          <w:p w14:paraId="4B51760A">
            <w:pPr>
              <w:jc w:val="center"/>
              <w:rPr>
                <w:rFonts w:ascii="Times New Roman" w:hAnsi="Times New Roman" w:eastAsia="宋体" w:cs="Times New Roman"/>
                <w:color w:val="auto"/>
                <w:sz w:val="22"/>
                <w:szCs w:val="24"/>
              </w:rPr>
            </w:pPr>
          </w:p>
        </w:tc>
      </w:tr>
      <w:tr w14:paraId="32625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6" w:type="pct"/>
            <w:vMerge w:val="continue"/>
            <w:vAlign w:val="center"/>
          </w:tcPr>
          <w:p w14:paraId="60F83621">
            <w:pPr>
              <w:jc w:val="center"/>
              <w:rPr>
                <w:rFonts w:ascii="Times New Roman" w:hAnsi="Times New Roman" w:eastAsia="宋体" w:cs="Times New Roman"/>
                <w:color w:val="auto"/>
                <w:sz w:val="22"/>
                <w:szCs w:val="24"/>
              </w:rPr>
            </w:pPr>
          </w:p>
        </w:tc>
        <w:tc>
          <w:tcPr>
            <w:tcW w:w="613" w:type="pct"/>
            <w:vMerge w:val="continue"/>
            <w:vAlign w:val="center"/>
          </w:tcPr>
          <w:p w14:paraId="284F3096">
            <w:pPr>
              <w:jc w:val="center"/>
              <w:rPr>
                <w:rFonts w:ascii="Times New Roman" w:hAnsi="Times New Roman" w:eastAsia="宋体" w:cs="Times New Roman"/>
                <w:color w:val="auto"/>
                <w:sz w:val="22"/>
                <w:szCs w:val="24"/>
              </w:rPr>
            </w:pPr>
          </w:p>
        </w:tc>
        <w:tc>
          <w:tcPr>
            <w:tcW w:w="1213" w:type="pct"/>
            <w:vAlign w:val="center"/>
          </w:tcPr>
          <w:p w14:paraId="2F30D1FA">
            <w:pPr>
              <w:jc w:val="center"/>
              <w:rPr>
                <w:rFonts w:hint="eastAsia"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五日生化需氧量</w:t>
            </w:r>
          </w:p>
        </w:tc>
        <w:tc>
          <w:tcPr>
            <w:tcW w:w="800" w:type="pct"/>
            <w:vAlign w:val="center"/>
          </w:tcPr>
          <w:p w14:paraId="1EFEA0B2">
            <w:pPr>
              <w:jc w:val="center"/>
              <w:rPr>
                <w:rFonts w:hint="eastAsia"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w:t>
            </w:r>
          </w:p>
        </w:tc>
        <w:tc>
          <w:tcPr>
            <w:tcW w:w="1331" w:type="pct"/>
            <w:vAlign w:val="center"/>
          </w:tcPr>
          <w:p w14:paraId="72119636">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0.8174</w:t>
            </w:r>
          </w:p>
        </w:tc>
        <w:tc>
          <w:tcPr>
            <w:tcW w:w="675" w:type="pct"/>
            <w:vMerge w:val="continue"/>
            <w:vAlign w:val="center"/>
          </w:tcPr>
          <w:p w14:paraId="3BD88265">
            <w:pPr>
              <w:jc w:val="center"/>
              <w:rPr>
                <w:rFonts w:ascii="Times New Roman" w:hAnsi="Times New Roman" w:eastAsia="宋体" w:cs="Times New Roman"/>
                <w:color w:val="auto"/>
                <w:sz w:val="22"/>
                <w:szCs w:val="24"/>
              </w:rPr>
            </w:pPr>
          </w:p>
        </w:tc>
      </w:tr>
      <w:tr w14:paraId="115B8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6" w:type="pct"/>
            <w:vMerge w:val="continue"/>
            <w:vAlign w:val="center"/>
          </w:tcPr>
          <w:p w14:paraId="35F590AE">
            <w:pPr>
              <w:jc w:val="center"/>
              <w:rPr>
                <w:rFonts w:ascii="Times New Roman" w:hAnsi="Times New Roman" w:eastAsia="宋体" w:cs="Times New Roman"/>
                <w:color w:val="auto"/>
                <w:sz w:val="22"/>
                <w:szCs w:val="24"/>
              </w:rPr>
            </w:pPr>
          </w:p>
        </w:tc>
        <w:tc>
          <w:tcPr>
            <w:tcW w:w="613" w:type="pct"/>
            <w:vMerge w:val="continue"/>
            <w:vAlign w:val="center"/>
          </w:tcPr>
          <w:p w14:paraId="67EDBF74">
            <w:pPr>
              <w:jc w:val="center"/>
              <w:rPr>
                <w:rFonts w:ascii="Times New Roman" w:hAnsi="Times New Roman" w:eastAsia="宋体" w:cs="Times New Roman"/>
                <w:color w:val="auto"/>
                <w:sz w:val="22"/>
                <w:szCs w:val="24"/>
              </w:rPr>
            </w:pPr>
          </w:p>
        </w:tc>
        <w:tc>
          <w:tcPr>
            <w:tcW w:w="1213" w:type="pct"/>
            <w:vAlign w:val="center"/>
          </w:tcPr>
          <w:p w14:paraId="11CDD63C">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化学需氧量</w:t>
            </w:r>
          </w:p>
        </w:tc>
        <w:tc>
          <w:tcPr>
            <w:tcW w:w="800" w:type="pct"/>
            <w:vAlign w:val="center"/>
          </w:tcPr>
          <w:p w14:paraId="7338973C">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12</w:t>
            </w:r>
          </w:p>
        </w:tc>
        <w:tc>
          <w:tcPr>
            <w:tcW w:w="1331" w:type="pct"/>
            <w:vAlign w:val="center"/>
          </w:tcPr>
          <w:p w14:paraId="2417627A">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0.8638</w:t>
            </w:r>
          </w:p>
        </w:tc>
        <w:tc>
          <w:tcPr>
            <w:tcW w:w="675" w:type="pct"/>
            <w:vMerge w:val="continue"/>
            <w:vAlign w:val="center"/>
          </w:tcPr>
          <w:p w14:paraId="1D488674">
            <w:pPr>
              <w:jc w:val="center"/>
              <w:rPr>
                <w:rFonts w:ascii="Times New Roman" w:hAnsi="Times New Roman" w:eastAsia="宋体" w:cs="Times New Roman"/>
                <w:color w:val="auto"/>
                <w:sz w:val="22"/>
                <w:szCs w:val="24"/>
              </w:rPr>
            </w:pPr>
          </w:p>
        </w:tc>
      </w:tr>
      <w:tr w14:paraId="33E80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6" w:type="pct"/>
            <w:vMerge w:val="continue"/>
            <w:vAlign w:val="center"/>
          </w:tcPr>
          <w:p w14:paraId="71BB3930">
            <w:pPr>
              <w:jc w:val="center"/>
              <w:rPr>
                <w:rFonts w:ascii="Times New Roman" w:hAnsi="Times New Roman" w:eastAsia="宋体" w:cs="Times New Roman"/>
                <w:color w:val="auto"/>
                <w:sz w:val="22"/>
                <w:szCs w:val="24"/>
              </w:rPr>
            </w:pPr>
          </w:p>
        </w:tc>
        <w:tc>
          <w:tcPr>
            <w:tcW w:w="613" w:type="pct"/>
            <w:vMerge w:val="continue"/>
            <w:vAlign w:val="center"/>
          </w:tcPr>
          <w:p w14:paraId="1143F3F3">
            <w:pPr>
              <w:jc w:val="center"/>
              <w:rPr>
                <w:rFonts w:ascii="Times New Roman" w:hAnsi="Times New Roman" w:eastAsia="宋体" w:cs="Times New Roman"/>
                <w:color w:val="auto"/>
                <w:sz w:val="22"/>
                <w:szCs w:val="24"/>
              </w:rPr>
            </w:pPr>
          </w:p>
        </w:tc>
        <w:tc>
          <w:tcPr>
            <w:tcW w:w="1213" w:type="pct"/>
            <w:vAlign w:val="center"/>
          </w:tcPr>
          <w:p w14:paraId="5F616155">
            <w:pPr>
              <w:jc w:val="center"/>
              <w:rPr>
                <w:rFonts w:hint="eastAsia"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总有机碳</w:t>
            </w:r>
          </w:p>
        </w:tc>
        <w:tc>
          <w:tcPr>
            <w:tcW w:w="800" w:type="pct"/>
            <w:vAlign w:val="center"/>
          </w:tcPr>
          <w:p w14:paraId="5B943EAC">
            <w:pPr>
              <w:jc w:val="center"/>
              <w:rPr>
                <w:rFonts w:hint="eastAsia"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w:t>
            </w:r>
          </w:p>
        </w:tc>
        <w:tc>
          <w:tcPr>
            <w:tcW w:w="1331" w:type="pct"/>
            <w:vAlign w:val="center"/>
          </w:tcPr>
          <w:p w14:paraId="0FD8E2D1">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0.3065</w:t>
            </w:r>
          </w:p>
        </w:tc>
        <w:tc>
          <w:tcPr>
            <w:tcW w:w="675" w:type="pct"/>
            <w:vMerge w:val="continue"/>
            <w:vAlign w:val="center"/>
          </w:tcPr>
          <w:p w14:paraId="049ED0DF">
            <w:pPr>
              <w:jc w:val="center"/>
              <w:rPr>
                <w:rFonts w:ascii="Times New Roman" w:hAnsi="Times New Roman" w:eastAsia="宋体" w:cs="Times New Roman"/>
                <w:color w:val="auto"/>
                <w:sz w:val="22"/>
                <w:szCs w:val="24"/>
              </w:rPr>
            </w:pPr>
          </w:p>
        </w:tc>
      </w:tr>
      <w:tr w14:paraId="47C7F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6" w:type="pct"/>
            <w:vMerge w:val="continue"/>
            <w:vAlign w:val="center"/>
          </w:tcPr>
          <w:p w14:paraId="2872C1C5">
            <w:pPr>
              <w:jc w:val="center"/>
              <w:rPr>
                <w:rFonts w:ascii="Times New Roman" w:hAnsi="Times New Roman" w:eastAsia="宋体" w:cs="Times New Roman"/>
                <w:color w:val="auto"/>
                <w:sz w:val="22"/>
                <w:szCs w:val="24"/>
              </w:rPr>
            </w:pPr>
          </w:p>
        </w:tc>
        <w:tc>
          <w:tcPr>
            <w:tcW w:w="613" w:type="pct"/>
            <w:vMerge w:val="continue"/>
            <w:vAlign w:val="center"/>
          </w:tcPr>
          <w:p w14:paraId="2E3CF53F">
            <w:pPr>
              <w:jc w:val="center"/>
              <w:rPr>
                <w:rFonts w:ascii="Times New Roman" w:hAnsi="Times New Roman" w:eastAsia="宋体" w:cs="Times New Roman"/>
                <w:color w:val="auto"/>
                <w:sz w:val="22"/>
                <w:szCs w:val="24"/>
              </w:rPr>
            </w:pPr>
          </w:p>
        </w:tc>
        <w:tc>
          <w:tcPr>
            <w:tcW w:w="1213" w:type="pct"/>
            <w:vAlign w:val="center"/>
          </w:tcPr>
          <w:p w14:paraId="7C78602E">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总锌</w:t>
            </w:r>
          </w:p>
        </w:tc>
        <w:tc>
          <w:tcPr>
            <w:tcW w:w="800" w:type="pct"/>
            <w:vAlign w:val="center"/>
          </w:tcPr>
          <w:p w14:paraId="300D3E72">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w:t>
            </w:r>
          </w:p>
        </w:tc>
        <w:tc>
          <w:tcPr>
            <w:tcW w:w="1331" w:type="pct"/>
            <w:vAlign w:val="center"/>
          </w:tcPr>
          <w:p w14:paraId="3F979530">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0.0014</w:t>
            </w:r>
          </w:p>
        </w:tc>
        <w:tc>
          <w:tcPr>
            <w:tcW w:w="675" w:type="pct"/>
            <w:vMerge w:val="continue"/>
            <w:vAlign w:val="center"/>
          </w:tcPr>
          <w:p w14:paraId="470277B7">
            <w:pPr>
              <w:jc w:val="center"/>
              <w:rPr>
                <w:rFonts w:ascii="Times New Roman" w:hAnsi="Times New Roman" w:eastAsia="宋体" w:cs="Times New Roman"/>
                <w:color w:val="auto"/>
                <w:sz w:val="22"/>
                <w:szCs w:val="24"/>
              </w:rPr>
            </w:pPr>
          </w:p>
        </w:tc>
      </w:tr>
      <w:tr w14:paraId="76607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6" w:type="pct"/>
            <w:vMerge w:val="continue"/>
            <w:vAlign w:val="center"/>
          </w:tcPr>
          <w:p w14:paraId="406200A3">
            <w:pPr>
              <w:jc w:val="center"/>
              <w:rPr>
                <w:rFonts w:ascii="Times New Roman" w:hAnsi="Times New Roman" w:eastAsia="宋体" w:cs="Times New Roman"/>
                <w:color w:val="auto"/>
                <w:sz w:val="22"/>
                <w:szCs w:val="24"/>
              </w:rPr>
            </w:pPr>
          </w:p>
        </w:tc>
        <w:tc>
          <w:tcPr>
            <w:tcW w:w="613" w:type="pct"/>
            <w:vMerge w:val="continue"/>
            <w:vAlign w:val="center"/>
          </w:tcPr>
          <w:p w14:paraId="3D83BA87">
            <w:pPr>
              <w:jc w:val="center"/>
              <w:rPr>
                <w:rFonts w:ascii="Times New Roman" w:hAnsi="Times New Roman" w:eastAsia="宋体" w:cs="Times New Roman"/>
                <w:color w:val="auto"/>
                <w:sz w:val="22"/>
                <w:szCs w:val="24"/>
              </w:rPr>
            </w:pPr>
          </w:p>
        </w:tc>
        <w:tc>
          <w:tcPr>
            <w:tcW w:w="1213" w:type="pct"/>
            <w:vAlign w:val="center"/>
          </w:tcPr>
          <w:p w14:paraId="7E4B32F9">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总氮</w:t>
            </w:r>
          </w:p>
        </w:tc>
        <w:tc>
          <w:tcPr>
            <w:tcW w:w="800" w:type="pct"/>
            <w:vAlign w:val="center"/>
          </w:tcPr>
          <w:p w14:paraId="6F8D5473">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19.2</w:t>
            </w:r>
          </w:p>
        </w:tc>
        <w:tc>
          <w:tcPr>
            <w:tcW w:w="1331" w:type="pct"/>
            <w:vAlign w:val="center"/>
          </w:tcPr>
          <w:p w14:paraId="77AE3EDB">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0.1598</w:t>
            </w:r>
          </w:p>
        </w:tc>
        <w:tc>
          <w:tcPr>
            <w:tcW w:w="675" w:type="pct"/>
            <w:vMerge w:val="continue"/>
            <w:vAlign w:val="center"/>
          </w:tcPr>
          <w:p w14:paraId="7BA4897B">
            <w:pPr>
              <w:jc w:val="center"/>
              <w:rPr>
                <w:rFonts w:ascii="Times New Roman" w:hAnsi="Times New Roman" w:eastAsia="宋体" w:cs="Times New Roman"/>
                <w:color w:val="auto"/>
                <w:sz w:val="22"/>
                <w:szCs w:val="24"/>
              </w:rPr>
            </w:pPr>
          </w:p>
        </w:tc>
      </w:tr>
      <w:tr w14:paraId="6F255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6" w:type="pct"/>
            <w:vMerge w:val="continue"/>
            <w:vAlign w:val="center"/>
          </w:tcPr>
          <w:p w14:paraId="78C025E7">
            <w:pPr>
              <w:jc w:val="center"/>
              <w:rPr>
                <w:rFonts w:ascii="Times New Roman" w:hAnsi="Times New Roman" w:eastAsia="宋体" w:cs="Times New Roman"/>
                <w:color w:val="auto"/>
                <w:sz w:val="22"/>
                <w:szCs w:val="24"/>
              </w:rPr>
            </w:pPr>
          </w:p>
        </w:tc>
        <w:tc>
          <w:tcPr>
            <w:tcW w:w="613" w:type="pct"/>
            <w:vMerge w:val="continue"/>
            <w:vAlign w:val="center"/>
          </w:tcPr>
          <w:p w14:paraId="6D2FE112">
            <w:pPr>
              <w:jc w:val="center"/>
              <w:rPr>
                <w:rFonts w:ascii="Times New Roman" w:hAnsi="Times New Roman" w:eastAsia="宋体" w:cs="Times New Roman"/>
                <w:color w:val="auto"/>
                <w:sz w:val="22"/>
                <w:szCs w:val="24"/>
              </w:rPr>
            </w:pPr>
          </w:p>
        </w:tc>
        <w:tc>
          <w:tcPr>
            <w:tcW w:w="1213" w:type="pct"/>
            <w:vAlign w:val="center"/>
          </w:tcPr>
          <w:p w14:paraId="12F383C5">
            <w:pPr>
              <w:jc w:val="center"/>
              <w:rPr>
                <w:rFonts w:hint="eastAsia"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氨氮</w:t>
            </w:r>
          </w:p>
        </w:tc>
        <w:tc>
          <w:tcPr>
            <w:tcW w:w="800" w:type="pct"/>
            <w:vAlign w:val="center"/>
          </w:tcPr>
          <w:p w14:paraId="6BB382B1">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1.39</w:t>
            </w:r>
          </w:p>
        </w:tc>
        <w:tc>
          <w:tcPr>
            <w:tcW w:w="1331" w:type="pct"/>
            <w:vAlign w:val="center"/>
          </w:tcPr>
          <w:p w14:paraId="162BB615">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0.0443</w:t>
            </w:r>
          </w:p>
        </w:tc>
        <w:tc>
          <w:tcPr>
            <w:tcW w:w="675" w:type="pct"/>
            <w:vMerge w:val="continue"/>
            <w:vAlign w:val="center"/>
          </w:tcPr>
          <w:p w14:paraId="5BDE9A98">
            <w:pPr>
              <w:jc w:val="center"/>
              <w:rPr>
                <w:rFonts w:ascii="Times New Roman" w:hAnsi="Times New Roman" w:eastAsia="宋体" w:cs="Times New Roman"/>
                <w:color w:val="auto"/>
                <w:sz w:val="22"/>
                <w:szCs w:val="24"/>
              </w:rPr>
            </w:pPr>
          </w:p>
        </w:tc>
      </w:tr>
      <w:tr w14:paraId="3EB4D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6" w:type="pct"/>
            <w:vMerge w:val="continue"/>
            <w:vAlign w:val="center"/>
          </w:tcPr>
          <w:p w14:paraId="22BA768E">
            <w:pPr>
              <w:jc w:val="center"/>
              <w:rPr>
                <w:rFonts w:ascii="Times New Roman" w:hAnsi="Times New Roman" w:eastAsia="宋体" w:cs="Times New Roman"/>
                <w:color w:val="auto"/>
                <w:sz w:val="22"/>
                <w:szCs w:val="24"/>
              </w:rPr>
            </w:pPr>
          </w:p>
        </w:tc>
        <w:tc>
          <w:tcPr>
            <w:tcW w:w="613" w:type="pct"/>
            <w:vMerge w:val="continue"/>
            <w:vAlign w:val="center"/>
          </w:tcPr>
          <w:p w14:paraId="3C62A2AA">
            <w:pPr>
              <w:jc w:val="center"/>
              <w:rPr>
                <w:rFonts w:ascii="Times New Roman" w:hAnsi="Times New Roman" w:eastAsia="宋体" w:cs="Times New Roman"/>
                <w:color w:val="auto"/>
                <w:sz w:val="22"/>
                <w:szCs w:val="24"/>
              </w:rPr>
            </w:pPr>
          </w:p>
        </w:tc>
        <w:tc>
          <w:tcPr>
            <w:tcW w:w="1213" w:type="pct"/>
            <w:vAlign w:val="center"/>
          </w:tcPr>
          <w:p w14:paraId="3DE1CE9B">
            <w:pPr>
              <w:jc w:val="center"/>
              <w:rPr>
                <w:rFonts w:hint="eastAsia"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总磷</w:t>
            </w:r>
          </w:p>
        </w:tc>
        <w:tc>
          <w:tcPr>
            <w:tcW w:w="800" w:type="pct"/>
            <w:vAlign w:val="center"/>
          </w:tcPr>
          <w:p w14:paraId="53BE4FF1">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1.92</w:t>
            </w:r>
          </w:p>
        </w:tc>
        <w:tc>
          <w:tcPr>
            <w:tcW w:w="1331" w:type="pct"/>
            <w:vAlign w:val="center"/>
          </w:tcPr>
          <w:p w14:paraId="43AC6441">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0.0116</w:t>
            </w:r>
          </w:p>
        </w:tc>
        <w:tc>
          <w:tcPr>
            <w:tcW w:w="675" w:type="pct"/>
            <w:vMerge w:val="continue"/>
            <w:vAlign w:val="center"/>
          </w:tcPr>
          <w:p w14:paraId="25AFB688">
            <w:pPr>
              <w:jc w:val="center"/>
              <w:rPr>
                <w:rFonts w:ascii="Times New Roman" w:hAnsi="Times New Roman" w:eastAsia="宋体" w:cs="Times New Roman"/>
                <w:color w:val="auto"/>
                <w:sz w:val="22"/>
                <w:szCs w:val="24"/>
              </w:rPr>
            </w:pPr>
          </w:p>
        </w:tc>
      </w:tr>
    </w:tbl>
    <w:p w14:paraId="689BFD86">
      <w:pPr>
        <w:pStyle w:val="4"/>
        <w:bidi w:val="0"/>
        <w:spacing w:before="0" w:after="0" w:line="240" w:lineRule="auto"/>
      </w:pPr>
      <w:r>
        <w:t>3.1.</w:t>
      </w:r>
      <w:r>
        <w:rPr>
          <w:rFonts w:hint="eastAsia"/>
        </w:rPr>
        <w:t>12防护距离情况说明</w:t>
      </w:r>
    </w:p>
    <w:p w14:paraId="4359E9CD">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根据</w:t>
      </w:r>
      <w:r>
        <w:rPr>
          <w:rFonts w:hint="default" w:ascii="Times New Roman" w:hAnsi="Times New Roman" w:eastAsia="宋体" w:cs="Times New Roman"/>
          <w:color w:val="auto"/>
          <w:sz w:val="24"/>
          <w:szCs w:val="24"/>
          <w:lang w:val="en-US" w:eastAsia="zh-CN"/>
        </w:rPr>
        <w:t>常环建</w:t>
      </w:r>
      <w:r>
        <w:rPr>
          <w:rFonts w:hint="eastAsia" w:ascii="宋体" w:hAnsi="宋体" w:eastAsia="宋体" w:cs="宋体"/>
          <w:color w:val="auto"/>
          <w:sz w:val="24"/>
          <w:szCs w:val="24"/>
          <w:lang w:val="en-US" w:eastAsia="zh-CN"/>
        </w:rPr>
        <w:t>〔</w:t>
      </w:r>
      <w:r>
        <w:rPr>
          <w:rFonts w:hint="default" w:ascii="Times New Roman" w:hAnsi="Times New Roman" w:eastAsia="宋体" w:cs="Times New Roman"/>
          <w:color w:val="auto"/>
          <w:sz w:val="24"/>
          <w:szCs w:val="24"/>
          <w:lang w:val="en-US" w:eastAsia="zh-CN"/>
        </w:rPr>
        <w:t>2022</w:t>
      </w:r>
      <w:r>
        <w:rPr>
          <w:rFonts w:hint="eastAsia" w:ascii="宋体" w:hAnsi="宋体" w:eastAsia="宋体" w:cs="宋体"/>
          <w:color w:val="auto"/>
          <w:sz w:val="24"/>
          <w:szCs w:val="24"/>
          <w:lang w:val="en-US" w:eastAsia="zh-CN"/>
        </w:rPr>
        <w:t>〕</w:t>
      </w:r>
      <w:r>
        <w:rPr>
          <w:rFonts w:hint="default" w:ascii="Times New Roman" w:hAnsi="Times New Roman" w:eastAsia="宋体" w:cs="Times New Roman"/>
          <w:color w:val="auto"/>
          <w:sz w:val="24"/>
          <w:szCs w:val="24"/>
          <w:lang w:val="en-US" w:eastAsia="zh-CN"/>
        </w:rPr>
        <w:t>15 号</w:t>
      </w:r>
      <w:r>
        <w:rPr>
          <w:rFonts w:hint="eastAsia"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常德市生态环境局关于年产1500吨胞嘧啶中间体生产线项目环境影响报告书的批复</w:t>
      </w:r>
      <w:r>
        <w:rPr>
          <w:rFonts w:hint="eastAsia" w:ascii="Times New Roman" w:hAnsi="Times New Roman" w:eastAsia="宋体" w:cs="Times New Roman"/>
          <w:color w:val="auto"/>
          <w:sz w:val="24"/>
          <w:szCs w:val="24"/>
        </w:rPr>
        <w:t>》中要求：</w:t>
      </w:r>
      <w:r>
        <w:rPr>
          <w:rFonts w:hint="eastAsia" w:ascii="Times New Roman" w:hAnsi="Times New Roman" w:eastAsia="宋体" w:cs="Times New Roman"/>
          <w:color w:val="auto"/>
          <w:sz w:val="24"/>
          <w:szCs w:val="24"/>
          <w:lang w:val="en-US" w:eastAsia="zh-CN"/>
        </w:rPr>
        <w:t>厂界外延100m为大气环境防护距离</w:t>
      </w:r>
      <w:r>
        <w:rPr>
          <w:rFonts w:hint="eastAsia"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在此防护距离范围内当地有关部门不得规划住宅、学校、医院等大气环境敏感建筑物</w:t>
      </w:r>
      <w:r>
        <w:rPr>
          <w:rFonts w:hint="eastAsia" w:ascii="Times New Roman" w:hAnsi="Times New Roman" w:eastAsia="宋体" w:cs="Times New Roman"/>
          <w:color w:val="auto"/>
          <w:sz w:val="24"/>
          <w:szCs w:val="24"/>
        </w:rPr>
        <w:t>。</w:t>
      </w:r>
    </w:p>
    <w:p w14:paraId="6B6B3B6E">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根据现场探勘，企业环境防护距离内无学校、医院、居民住宅等环境敏感建筑，范围内建筑均为企业及污水处理厂，且企业在营业期间，无相关投诉问题。</w:t>
      </w:r>
    </w:p>
    <w:p w14:paraId="0BD3E2A0">
      <w:pPr>
        <w:spacing w:line="360" w:lineRule="auto"/>
        <w:jc w:val="center"/>
        <w:rPr>
          <w:color w:val="FF0000"/>
        </w:rPr>
      </w:pPr>
      <w:r>
        <w:drawing>
          <wp:inline distT="0" distB="0" distL="114300" distR="114300">
            <wp:extent cx="4507865" cy="3400425"/>
            <wp:effectExtent l="0" t="0" r="6985" b="9525"/>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36"/>
                    <a:srcRect l="9294" t="7104" r="6224" b="9177"/>
                    <a:stretch>
                      <a:fillRect/>
                    </a:stretch>
                  </pic:blipFill>
                  <pic:spPr>
                    <a:xfrm>
                      <a:off x="0" y="0"/>
                      <a:ext cx="4507865" cy="3400425"/>
                    </a:xfrm>
                    <a:prstGeom prst="rect">
                      <a:avLst/>
                    </a:prstGeom>
                    <a:noFill/>
                    <a:ln>
                      <a:noFill/>
                    </a:ln>
                  </pic:spPr>
                </pic:pic>
              </a:graphicData>
            </a:graphic>
          </wp:inline>
        </w:drawing>
      </w:r>
    </w:p>
    <w:p w14:paraId="5AA9CABF">
      <w:pPr>
        <w:pStyle w:val="6"/>
        <w:bidi w:val="0"/>
      </w:pPr>
      <w:r>
        <w:rPr>
          <w:rFonts w:hint="eastAsia"/>
        </w:rPr>
        <w:t>图</w:t>
      </w:r>
      <w:r>
        <w:t>3.1</w:t>
      </w:r>
      <w:r>
        <w:rPr>
          <w:rFonts w:hint="eastAsia"/>
        </w:rPr>
        <w:t>.12</w:t>
      </w:r>
      <w:r>
        <w:t>-</w:t>
      </w:r>
      <w:r>
        <w:rPr>
          <w:rFonts w:hint="eastAsia"/>
        </w:rPr>
        <w:t>1</w:t>
      </w:r>
      <w:r>
        <w:t xml:space="preserve">    现有工程</w:t>
      </w:r>
      <w:r>
        <w:rPr>
          <w:rFonts w:hint="eastAsia"/>
        </w:rPr>
        <w:t>防护距离建筑情况一览图</w:t>
      </w:r>
    </w:p>
    <w:p w14:paraId="3ED3EB30">
      <w:pPr>
        <w:keepNext/>
        <w:keepLines/>
        <w:spacing w:before="156" w:beforeLines="50" w:after="156" w:afterLines="50" w:line="360" w:lineRule="auto"/>
        <w:outlineLvl w:val="2"/>
        <w:rPr>
          <w:rFonts w:hint="eastAsia" w:ascii="Times New Roman" w:hAnsi="Times New Roman" w:eastAsia="宋体" w:cs="Times New Roman"/>
          <w:b/>
          <w:color w:val="auto"/>
          <w:kern w:val="0"/>
          <w:sz w:val="24"/>
          <w:szCs w:val="24"/>
          <w:lang w:val="en-US" w:eastAsia="zh-CN"/>
        </w:rPr>
      </w:pPr>
      <w:r>
        <w:rPr>
          <w:rFonts w:ascii="Times New Roman" w:hAnsi="Times New Roman" w:eastAsia="宋体" w:cs="Times New Roman"/>
          <w:b/>
          <w:color w:val="auto"/>
          <w:kern w:val="0"/>
          <w:sz w:val="24"/>
          <w:szCs w:val="24"/>
        </w:rPr>
        <w:t>3.1.1</w:t>
      </w:r>
      <w:r>
        <w:rPr>
          <w:rFonts w:hint="eastAsia" w:ascii="Times New Roman" w:hAnsi="Times New Roman" w:eastAsia="宋体" w:cs="Times New Roman"/>
          <w:b/>
          <w:color w:val="auto"/>
          <w:kern w:val="0"/>
          <w:sz w:val="24"/>
          <w:szCs w:val="24"/>
        </w:rPr>
        <w:t>3现有工程存在的环境问题</w:t>
      </w:r>
      <w:r>
        <w:rPr>
          <w:rFonts w:hint="eastAsia" w:ascii="Times New Roman" w:hAnsi="Times New Roman" w:eastAsia="宋体" w:cs="Times New Roman"/>
          <w:b/>
          <w:color w:val="auto"/>
          <w:kern w:val="0"/>
          <w:sz w:val="24"/>
          <w:szCs w:val="24"/>
          <w:lang w:val="en-US" w:eastAsia="zh-CN"/>
        </w:rPr>
        <w:t>及“以新带老”措施。</w:t>
      </w:r>
    </w:p>
    <w:p w14:paraId="62F25632">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结合现场调查，现有工程存在的主要环境问题及以新带老措施如下表所示：</w:t>
      </w:r>
    </w:p>
    <w:p w14:paraId="05E19A21">
      <w:pPr>
        <w:pStyle w:val="6"/>
        <w:bidi w:val="0"/>
      </w:pPr>
      <w:r>
        <w:rPr>
          <w:rFonts w:hint="eastAsia"/>
        </w:rPr>
        <w:t>表</w:t>
      </w:r>
      <w:r>
        <w:t>3.1</w:t>
      </w:r>
      <w:r>
        <w:rPr>
          <w:rFonts w:hint="eastAsia"/>
        </w:rPr>
        <w:t>.13</w:t>
      </w:r>
      <w:r>
        <w:t>-</w:t>
      </w:r>
      <w:r>
        <w:rPr>
          <w:rFonts w:hint="eastAsia"/>
        </w:rPr>
        <w:t>1</w:t>
      </w:r>
      <w:r>
        <w:t xml:space="preserve">    现有工程</w:t>
      </w:r>
      <w:r>
        <w:rPr>
          <w:rFonts w:hint="eastAsia"/>
        </w:rPr>
        <w:t>存在的环境问题及以新带老措施情况表</w:t>
      </w:r>
    </w:p>
    <w:tbl>
      <w:tblPr>
        <w:tblStyle w:val="4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2921"/>
        <w:gridCol w:w="2369"/>
        <w:gridCol w:w="2131"/>
      </w:tblGrid>
      <w:tr w14:paraId="3D02E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Align w:val="center"/>
          </w:tcPr>
          <w:p w14:paraId="3AE28EEC">
            <w:pPr>
              <w:jc w:val="center"/>
              <w:rPr>
                <w:rFonts w:ascii="Times New Roman" w:hAnsi="Times New Roman" w:eastAsia="宋体" w:cs="Times New Roman"/>
                <w:color w:val="auto"/>
                <w:sz w:val="22"/>
              </w:rPr>
            </w:pPr>
            <w:r>
              <w:rPr>
                <w:rFonts w:hint="eastAsia" w:ascii="Times New Roman" w:hAnsi="Times New Roman" w:eastAsia="宋体" w:cs="Times New Roman"/>
                <w:color w:val="auto"/>
                <w:sz w:val="22"/>
              </w:rPr>
              <w:t>序号</w:t>
            </w:r>
          </w:p>
        </w:tc>
        <w:tc>
          <w:tcPr>
            <w:tcW w:w="2921" w:type="dxa"/>
            <w:vAlign w:val="center"/>
          </w:tcPr>
          <w:p w14:paraId="2091D0A6">
            <w:pPr>
              <w:jc w:val="center"/>
              <w:rPr>
                <w:rFonts w:ascii="Times New Roman" w:hAnsi="Times New Roman" w:eastAsia="宋体" w:cs="Times New Roman"/>
                <w:color w:val="auto"/>
                <w:sz w:val="22"/>
              </w:rPr>
            </w:pPr>
            <w:r>
              <w:rPr>
                <w:rFonts w:hint="eastAsia" w:ascii="Times New Roman" w:hAnsi="Times New Roman" w:eastAsia="宋体" w:cs="Times New Roman"/>
                <w:color w:val="auto"/>
                <w:sz w:val="22"/>
              </w:rPr>
              <w:t>存在问题</w:t>
            </w:r>
          </w:p>
        </w:tc>
        <w:tc>
          <w:tcPr>
            <w:tcW w:w="2369" w:type="dxa"/>
            <w:vAlign w:val="center"/>
          </w:tcPr>
          <w:p w14:paraId="14FE2CC6">
            <w:pPr>
              <w:jc w:val="center"/>
              <w:rPr>
                <w:rFonts w:ascii="Times New Roman" w:hAnsi="Times New Roman" w:eastAsia="宋体" w:cs="Times New Roman"/>
                <w:color w:val="auto"/>
                <w:sz w:val="22"/>
              </w:rPr>
            </w:pPr>
            <w:r>
              <w:rPr>
                <w:rFonts w:hint="eastAsia" w:ascii="Times New Roman" w:hAnsi="Times New Roman" w:eastAsia="宋体" w:cs="Times New Roman"/>
                <w:color w:val="auto"/>
                <w:sz w:val="22"/>
              </w:rPr>
              <w:t>“以新带老”措施。整改建议</w:t>
            </w:r>
          </w:p>
        </w:tc>
        <w:tc>
          <w:tcPr>
            <w:tcW w:w="2131" w:type="dxa"/>
            <w:vAlign w:val="center"/>
          </w:tcPr>
          <w:p w14:paraId="760871CE">
            <w:pPr>
              <w:jc w:val="center"/>
              <w:rPr>
                <w:rFonts w:ascii="Times New Roman" w:hAnsi="Times New Roman" w:eastAsia="宋体" w:cs="Times New Roman"/>
                <w:color w:val="auto"/>
                <w:sz w:val="22"/>
              </w:rPr>
            </w:pPr>
            <w:r>
              <w:rPr>
                <w:rFonts w:hint="eastAsia" w:ascii="Times New Roman" w:hAnsi="Times New Roman" w:eastAsia="宋体" w:cs="Times New Roman"/>
                <w:color w:val="auto"/>
                <w:sz w:val="22"/>
              </w:rPr>
              <w:t>建议整改完成时间</w:t>
            </w:r>
          </w:p>
        </w:tc>
      </w:tr>
      <w:tr w14:paraId="21CDB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Align w:val="center"/>
          </w:tcPr>
          <w:p w14:paraId="34B5C6EA">
            <w:pPr>
              <w:jc w:val="center"/>
              <w:rPr>
                <w:rFonts w:ascii="Times New Roman" w:hAnsi="Times New Roman" w:eastAsia="宋体" w:cs="Times New Roman"/>
                <w:color w:val="auto"/>
                <w:sz w:val="22"/>
              </w:rPr>
            </w:pPr>
            <w:r>
              <w:rPr>
                <w:rFonts w:hint="eastAsia" w:ascii="Times New Roman" w:hAnsi="Times New Roman" w:eastAsia="宋体" w:cs="Times New Roman"/>
                <w:color w:val="auto"/>
                <w:sz w:val="22"/>
              </w:rPr>
              <w:t>1</w:t>
            </w:r>
          </w:p>
        </w:tc>
        <w:tc>
          <w:tcPr>
            <w:tcW w:w="2921" w:type="dxa"/>
            <w:vAlign w:val="center"/>
          </w:tcPr>
          <w:p w14:paraId="3C9CD121">
            <w:pPr>
              <w:jc w:val="center"/>
              <w:rPr>
                <w:rFonts w:hint="default" w:ascii="Times New Roman" w:hAnsi="Times New Roman" w:eastAsia="宋体" w:cs="Times New Roman"/>
                <w:color w:val="auto"/>
                <w:sz w:val="22"/>
                <w:lang w:val="en-US" w:eastAsia="zh-CN"/>
              </w:rPr>
            </w:pPr>
            <w:r>
              <w:rPr>
                <w:rFonts w:hint="eastAsia" w:ascii="Times New Roman" w:hAnsi="Times New Roman" w:eastAsia="宋体" w:cs="Times New Roman"/>
                <w:color w:val="auto"/>
                <w:sz w:val="22"/>
                <w:lang w:val="en-US" w:eastAsia="zh-CN"/>
              </w:rPr>
              <w:t>厂区一般固废仓库外堆放未入库的固体废物，现场查勘，一般固体废物管理欠缺，一般固废仓库存在破损</w:t>
            </w:r>
          </w:p>
        </w:tc>
        <w:tc>
          <w:tcPr>
            <w:tcW w:w="2369" w:type="dxa"/>
            <w:vAlign w:val="center"/>
          </w:tcPr>
          <w:p w14:paraId="670FBBD3">
            <w:pPr>
              <w:jc w:val="center"/>
              <w:rPr>
                <w:rFonts w:ascii="Times New Roman" w:hAnsi="Times New Roman" w:eastAsia="宋体" w:cs="Times New Roman"/>
                <w:color w:val="auto"/>
                <w:sz w:val="22"/>
              </w:rPr>
            </w:pPr>
            <w:r>
              <w:rPr>
                <w:rFonts w:hint="eastAsia" w:ascii="Times New Roman" w:hAnsi="Times New Roman" w:eastAsia="宋体" w:cs="Times New Roman"/>
                <w:color w:val="auto"/>
                <w:sz w:val="22"/>
                <w:lang w:val="en-US" w:eastAsia="zh-CN"/>
              </w:rPr>
              <w:t>建议及时清理暂存一般固废，及时维修，加强管理，杜绝固体废物未入库暂存的情况</w:t>
            </w:r>
          </w:p>
        </w:tc>
        <w:tc>
          <w:tcPr>
            <w:tcW w:w="2131" w:type="dxa"/>
            <w:vAlign w:val="center"/>
          </w:tcPr>
          <w:p w14:paraId="61A56983">
            <w:pPr>
              <w:jc w:val="center"/>
              <w:rPr>
                <w:rFonts w:ascii="Times New Roman" w:hAnsi="Times New Roman" w:eastAsia="宋体" w:cs="Times New Roman"/>
                <w:color w:val="auto"/>
                <w:sz w:val="22"/>
              </w:rPr>
            </w:pPr>
            <w:r>
              <w:rPr>
                <w:rFonts w:hint="eastAsia" w:ascii="Times New Roman" w:hAnsi="Times New Roman" w:eastAsia="宋体" w:cs="Times New Roman"/>
                <w:color w:val="auto"/>
                <w:sz w:val="22"/>
              </w:rPr>
              <w:t>与拟建工程完工进度一致</w:t>
            </w:r>
          </w:p>
        </w:tc>
      </w:tr>
      <w:tr w14:paraId="2EFD3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1" w:type="dxa"/>
            <w:vAlign w:val="center"/>
          </w:tcPr>
          <w:p w14:paraId="6C89FFD9">
            <w:pPr>
              <w:jc w:val="center"/>
              <w:rPr>
                <w:rFonts w:ascii="Times New Roman" w:hAnsi="Times New Roman" w:eastAsia="宋体" w:cs="Times New Roman"/>
                <w:color w:val="auto"/>
                <w:sz w:val="22"/>
              </w:rPr>
            </w:pPr>
            <w:r>
              <w:rPr>
                <w:rFonts w:hint="eastAsia" w:ascii="Times New Roman" w:hAnsi="Times New Roman" w:eastAsia="宋体" w:cs="Times New Roman"/>
                <w:color w:val="auto"/>
                <w:sz w:val="22"/>
              </w:rPr>
              <w:t>2</w:t>
            </w:r>
          </w:p>
        </w:tc>
        <w:tc>
          <w:tcPr>
            <w:tcW w:w="2921" w:type="dxa"/>
            <w:vAlign w:val="center"/>
          </w:tcPr>
          <w:p w14:paraId="0529268A">
            <w:pPr>
              <w:jc w:val="center"/>
              <w:rPr>
                <w:rFonts w:hint="default" w:ascii="Times New Roman" w:hAnsi="Times New Roman" w:eastAsia="宋体" w:cs="Times New Roman"/>
                <w:color w:val="auto"/>
                <w:sz w:val="22"/>
                <w:lang w:val="en-US" w:eastAsia="zh-CN"/>
              </w:rPr>
            </w:pPr>
            <w:r>
              <w:rPr>
                <w:rFonts w:hint="eastAsia" w:ascii="Times New Roman" w:hAnsi="Times New Roman" w:eastAsia="宋体" w:cs="Times New Roman"/>
                <w:color w:val="auto"/>
                <w:sz w:val="22"/>
                <w:lang w:val="en-US" w:eastAsia="zh-CN"/>
              </w:rPr>
              <w:t>污水处理站存在较明显恶臭</w:t>
            </w:r>
          </w:p>
        </w:tc>
        <w:tc>
          <w:tcPr>
            <w:tcW w:w="2369" w:type="dxa"/>
            <w:vAlign w:val="center"/>
          </w:tcPr>
          <w:p w14:paraId="16B8359B">
            <w:pPr>
              <w:jc w:val="center"/>
              <w:rPr>
                <w:rFonts w:ascii="Times New Roman" w:hAnsi="Times New Roman" w:eastAsia="宋体" w:cs="Times New Roman"/>
                <w:color w:val="auto"/>
                <w:sz w:val="22"/>
              </w:rPr>
            </w:pPr>
            <w:r>
              <w:rPr>
                <w:rFonts w:hint="eastAsia" w:ascii="Times New Roman" w:hAnsi="Times New Roman" w:eastAsia="宋体" w:cs="Times New Roman"/>
                <w:color w:val="auto"/>
                <w:sz w:val="22"/>
              </w:rPr>
              <w:t>建议对</w:t>
            </w:r>
            <w:r>
              <w:rPr>
                <w:rFonts w:hint="eastAsia" w:ascii="Times New Roman" w:hAnsi="Times New Roman" w:eastAsia="宋体" w:cs="Times New Roman"/>
                <w:color w:val="auto"/>
                <w:sz w:val="22"/>
                <w:lang w:val="en-US" w:eastAsia="zh-CN"/>
              </w:rPr>
              <w:t>污水处理站设施设备定期检修，及时跟换不合适的盖板，提高污水处理站的封闭性，减少恶臭气体的逸散</w:t>
            </w:r>
          </w:p>
        </w:tc>
        <w:tc>
          <w:tcPr>
            <w:tcW w:w="2131" w:type="dxa"/>
            <w:vAlign w:val="center"/>
          </w:tcPr>
          <w:p w14:paraId="33ED3B00">
            <w:pPr>
              <w:jc w:val="center"/>
              <w:rPr>
                <w:rFonts w:ascii="Times New Roman" w:hAnsi="Times New Roman" w:eastAsia="宋体" w:cs="Times New Roman"/>
                <w:color w:val="auto"/>
                <w:sz w:val="22"/>
              </w:rPr>
            </w:pPr>
            <w:r>
              <w:rPr>
                <w:rFonts w:hint="eastAsia" w:ascii="Times New Roman" w:hAnsi="Times New Roman" w:eastAsia="宋体" w:cs="Times New Roman"/>
                <w:color w:val="auto"/>
                <w:sz w:val="22"/>
              </w:rPr>
              <w:t>与拟建工程完工进度一致</w:t>
            </w:r>
          </w:p>
        </w:tc>
      </w:tr>
    </w:tbl>
    <w:p w14:paraId="2E50255D">
      <w:pPr>
        <w:keepNext/>
        <w:keepLines/>
        <w:spacing w:before="156" w:beforeLines="50" w:after="156" w:afterLines="50" w:line="360" w:lineRule="auto"/>
        <w:outlineLvl w:val="2"/>
        <w:rPr>
          <w:rFonts w:ascii="Times New Roman" w:hAnsi="Times New Roman" w:eastAsia="宋体" w:cs="Times New Roman"/>
          <w:b/>
          <w:color w:val="auto"/>
          <w:kern w:val="0"/>
          <w:sz w:val="24"/>
          <w:szCs w:val="24"/>
        </w:rPr>
      </w:pPr>
      <w:r>
        <w:rPr>
          <w:rFonts w:hint="eastAsia" w:ascii="Times New Roman" w:hAnsi="Times New Roman" w:eastAsia="宋体" w:cs="Times New Roman"/>
          <w:b/>
          <w:color w:val="auto"/>
          <w:kern w:val="0"/>
          <w:sz w:val="24"/>
          <w:szCs w:val="24"/>
        </w:rPr>
        <w:t>3.1.14“以新带老”措施及现有工程达产污染物排放情况</w:t>
      </w:r>
    </w:p>
    <w:p w14:paraId="53B619E1">
      <w:pPr>
        <w:spacing w:line="360" w:lineRule="auto"/>
        <w:ind w:firstLine="480" w:firstLineChars="200"/>
        <w:rPr>
          <w:rFonts w:hint="default" w:ascii="Times New Roman" w:hAnsi="Times New Roman" w:eastAsia="宋体" w:cs="宋体"/>
          <w:color w:val="auto"/>
          <w:sz w:val="24"/>
          <w:szCs w:val="24"/>
          <w:lang w:val="en-US" w:eastAsia="zh-CN"/>
        </w:rPr>
      </w:pPr>
      <w:r>
        <w:rPr>
          <w:rFonts w:hint="eastAsia" w:ascii="Times New Roman" w:hAnsi="Times New Roman" w:eastAsia="宋体" w:cs="宋体"/>
          <w:color w:val="auto"/>
          <w:sz w:val="24"/>
          <w:szCs w:val="24"/>
        </w:rPr>
        <w:t>本次改扩建工程后，原有工程产品</w:t>
      </w:r>
      <w:r>
        <w:rPr>
          <w:rFonts w:hint="eastAsia" w:ascii="Times New Roman" w:hAnsi="Times New Roman" w:eastAsia="宋体" w:cs="宋体"/>
          <w:color w:val="auto"/>
          <w:sz w:val="24"/>
          <w:szCs w:val="24"/>
          <w:lang w:val="en-US" w:eastAsia="zh-CN"/>
        </w:rPr>
        <w:t>仅保留糖化酶和泛酸钙饲料添加剂</w:t>
      </w:r>
      <w:r>
        <w:rPr>
          <w:rFonts w:hint="eastAsia" w:ascii="Times New Roman" w:hAnsi="Times New Roman" w:eastAsia="宋体" w:cs="宋体"/>
          <w:color w:val="auto"/>
          <w:sz w:val="24"/>
          <w:szCs w:val="24"/>
        </w:rPr>
        <w:t>，</w:t>
      </w:r>
      <w:r>
        <w:rPr>
          <w:rFonts w:hint="eastAsia" w:ascii="Times New Roman" w:hAnsi="Times New Roman" w:eastAsia="宋体" w:cs="宋体"/>
          <w:color w:val="auto"/>
          <w:sz w:val="24"/>
          <w:szCs w:val="24"/>
          <w:lang w:val="en-US" w:eastAsia="zh-CN"/>
        </w:rPr>
        <w:t>以新带老产品生产情况见下表</w:t>
      </w:r>
    </w:p>
    <w:p w14:paraId="0C0BB651">
      <w:pPr>
        <w:pStyle w:val="6"/>
        <w:bidi w:val="0"/>
      </w:pPr>
      <w:r>
        <w:rPr>
          <w:rFonts w:hint="eastAsia"/>
        </w:rPr>
        <w:t xml:space="preserve">表3.1.14-1    </w:t>
      </w:r>
      <w:r>
        <w:rPr>
          <w:rFonts w:hint="eastAsia"/>
          <w:lang w:val="en-US" w:eastAsia="zh-CN"/>
        </w:rPr>
        <w:t>以新带老</w:t>
      </w:r>
      <w:r>
        <w:rPr>
          <w:rFonts w:hint="eastAsia"/>
        </w:rPr>
        <w:t>取消产品情况一览表</w:t>
      </w:r>
    </w:p>
    <w:tbl>
      <w:tblPr>
        <w:tblStyle w:val="4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7"/>
        <w:gridCol w:w="2645"/>
        <w:gridCol w:w="1433"/>
        <w:gridCol w:w="1186"/>
        <w:gridCol w:w="2568"/>
      </w:tblGrid>
      <w:tr w14:paraId="42382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3" w:type="pct"/>
          </w:tcPr>
          <w:p w14:paraId="385DF248">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序号</w:t>
            </w:r>
          </w:p>
        </w:tc>
        <w:tc>
          <w:tcPr>
            <w:tcW w:w="1552" w:type="pct"/>
          </w:tcPr>
          <w:p w14:paraId="0724781F">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产品名称</w:t>
            </w:r>
          </w:p>
        </w:tc>
        <w:tc>
          <w:tcPr>
            <w:tcW w:w="841" w:type="pct"/>
          </w:tcPr>
          <w:p w14:paraId="1D20E713">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产量（t/a）</w:t>
            </w:r>
          </w:p>
        </w:tc>
        <w:tc>
          <w:tcPr>
            <w:tcW w:w="696" w:type="pct"/>
          </w:tcPr>
          <w:p w14:paraId="124D8505">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生产情况</w:t>
            </w:r>
          </w:p>
        </w:tc>
        <w:tc>
          <w:tcPr>
            <w:tcW w:w="1507" w:type="pct"/>
          </w:tcPr>
          <w:p w14:paraId="42F4BE5F">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备注</w:t>
            </w:r>
          </w:p>
        </w:tc>
      </w:tr>
      <w:tr w14:paraId="14135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3" w:type="pct"/>
          </w:tcPr>
          <w:p w14:paraId="00285D67">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1</w:t>
            </w:r>
          </w:p>
        </w:tc>
        <w:tc>
          <w:tcPr>
            <w:tcW w:w="1552" w:type="pct"/>
            <w:shd w:val="clear" w:color="auto" w:fill="auto"/>
            <w:vAlign w:val="center"/>
          </w:tcPr>
          <w:p w14:paraId="2793E90C">
            <w:pPr>
              <w:jc w:val="center"/>
              <w:rPr>
                <w:rFonts w:hint="eastAsia"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lang w:val="en-US" w:eastAsia="zh-CN"/>
              </w:rPr>
              <w:t>糖化酶</w:t>
            </w:r>
          </w:p>
        </w:tc>
        <w:tc>
          <w:tcPr>
            <w:tcW w:w="841" w:type="pct"/>
            <w:shd w:val="clear" w:color="auto" w:fill="auto"/>
            <w:vAlign w:val="center"/>
          </w:tcPr>
          <w:p w14:paraId="706046C7">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lang w:val="en-US" w:eastAsia="zh-CN"/>
              </w:rPr>
              <w:t>5.5万</w:t>
            </w:r>
          </w:p>
        </w:tc>
        <w:tc>
          <w:tcPr>
            <w:tcW w:w="696" w:type="pct"/>
          </w:tcPr>
          <w:p w14:paraId="38882B37">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未生产</w:t>
            </w:r>
          </w:p>
        </w:tc>
        <w:tc>
          <w:tcPr>
            <w:tcW w:w="1507" w:type="pct"/>
          </w:tcPr>
          <w:p w14:paraId="5AEEBE9C">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已验收，产量降为1万t/a</w:t>
            </w:r>
          </w:p>
        </w:tc>
      </w:tr>
      <w:tr w14:paraId="7194A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3" w:type="pct"/>
          </w:tcPr>
          <w:p w14:paraId="45842663">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2</w:t>
            </w:r>
          </w:p>
        </w:tc>
        <w:tc>
          <w:tcPr>
            <w:tcW w:w="1552" w:type="pct"/>
            <w:shd w:val="clear" w:color="auto" w:fill="auto"/>
            <w:vAlign w:val="center"/>
          </w:tcPr>
          <w:p w14:paraId="79C172C9">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lang w:val="en-US" w:eastAsia="zh-CN"/>
              </w:rPr>
              <w:t>中温淀粉酶</w:t>
            </w:r>
          </w:p>
        </w:tc>
        <w:tc>
          <w:tcPr>
            <w:tcW w:w="841" w:type="pct"/>
            <w:shd w:val="clear" w:color="auto" w:fill="auto"/>
            <w:vAlign w:val="center"/>
          </w:tcPr>
          <w:p w14:paraId="0D5D8C86">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lang w:val="en-US" w:eastAsia="zh-CN"/>
              </w:rPr>
              <w:t>2万</w:t>
            </w:r>
          </w:p>
        </w:tc>
        <w:tc>
          <w:tcPr>
            <w:tcW w:w="696" w:type="pct"/>
          </w:tcPr>
          <w:p w14:paraId="58E49BC3">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未生产</w:t>
            </w:r>
          </w:p>
        </w:tc>
        <w:tc>
          <w:tcPr>
            <w:tcW w:w="1507" w:type="pct"/>
          </w:tcPr>
          <w:p w14:paraId="553872B0">
            <w:pPr>
              <w:jc w:val="center"/>
              <w:rPr>
                <w:rFonts w:hint="eastAsia"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已验收，</w:t>
            </w:r>
            <w:r>
              <w:rPr>
                <w:rFonts w:hint="eastAsia" w:ascii="Times New Roman" w:hAnsi="Times New Roman" w:eastAsia="宋体" w:cs="Times New Roman"/>
                <w:color w:val="auto"/>
                <w:sz w:val="22"/>
                <w:szCs w:val="24"/>
              </w:rPr>
              <w:t>取消生产</w:t>
            </w:r>
          </w:p>
        </w:tc>
      </w:tr>
      <w:tr w14:paraId="04E78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3" w:type="pct"/>
          </w:tcPr>
          <w:p w14:paraId="6E7899AB">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3</w:t>
            </w:r>
          </w:p>
        </w:tc>
        <w:tc>
          <w:tcPr>
            <w:tcW w:w="1552" w:type="pct"/>
            <w:shd w:val="clear" w:color="auto" w:fill="auto"/>
            <w:vAlign w:val="center"/>
          </w:tcPr>
          <w:p w14:paraId="23AC3207">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lang w:val="en-US" w:eastAsia="zh-CN"/>
              </w:rPr>
              <w:t>耐高温淀粉酶</w:t>
            </w:r>
          </w:p>
        </w:tc>
        <w:tc>
          <w:tcPr>
            <w:tcW w:w="841" w:type="pct"/>
            <w:shd w:val="clear" w:color="auto" w:fill="auto"/>
            <w:vAlign w:val="center"/>
          </w:tcPr>
          <w:p w14:paraId="20080897">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lang w:val="en-US" w:eastAsia="zh-CN"/>
              </w:rPr>
              <w:t>2万</w:t>
            </w:r>
          </w:p>
        </w:tc>
        <w:tc>
          <w:tcPr>
            <w:tcW w:w="696" w:type="pct"/>
          </w:tcPr>
          <w:p w14:paraId="6F3E5EB9">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未生产</w:t>
            </w:r>
          </w:p>
        </w:tc>
        <w:tc>
          <w:tcPr>
            <w:tcW w:w="1507" w:type="pct"/>
          </w:tcPr>
          <w:p w14:paraId="46C4BF31">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lang w:val="en-US" w:eastAsia="zh-CN"/>
              </w:rPr>
              <w:t>已验收，</w:t>
            </w:r>
            <w:r>
              <w:rPr>
                <w:rFonts w:hint="eastAsia" w:ascii="Times New Roman" w:hAnsi="Times New Roman" w:eastAsia="宋体" w:cs="Times New Roman"/>
                <w:color w:val="auto"/>
                <w:sz w:val="22"/>
                <w:szCs w:val="24"/>
              </w:rPr>
              <w:t>取消生产</w:t>
            </w:r>
          </w:p>
        </w:tc>
      </w:tr>
      <w:tr w14:paraId="31D7E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3" w:type="pct"/>
          </w:tcPr>
          <w:p w14:paraId="416C7E33">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4</w:t>
            </w:r>
          </w:p>
        </w:tc>
        <w:tc>
          <w:tcPr>
            <w:tcW w:w="1552" w:type="pct"/>
            <w:shd w:val="clear" w:color="auto" w:fill="auto"/>
            <w:vAlign w:val="center"/>
          </w:tcPr>
          <w:p w14:paraId="7A325359">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lang w:val="en-US" w:eastAsia="zh-CN"/>
              </w:rPr>
              <w:t>β-淀粉酶</w:t>
            </w:r>
          </w:p>
        </w:tc>
        <w:tc>
          <w:tcPr>
            <w:tcW w:w="841" w:type="pct"/>
            <w:shd w:val="clear" w:color="auto" w:fill="auto"/>
            <w:vAlign w:val="center"/>
          </w:tcPr>
          <w:p w14:paraId="77B481F4">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lang w:val="en-US" w:eastAsia="zh-CN"/>
              </w:rPr>
              <w:t>0.5万</w:t>
            </w:r>
          </w:p>
        </w:tc>
        <w:tc>
          <w:tcPr>
            <w:tcW w:w="696" w:type="pct"/>
          </w:tcPr>
          <w:p w14:paraId="62EA5AF6">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未生产</w:t>
            </w:r>
          </w:p>
        </w:tc>
        <w:tc>
          <w:tcPr>
            <w:tcW w:w="1507" w:type="pct"/>
          </w:tcPr>
          <w:p w14:paraId="53B069CE">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lang w:val="en-US" w:eastAsia="zh-CN"/>
              </w:rPr>
              <w:t>已验收，</w:t>
            </w:r>
            <w:r>
              <w:rPr>
                <w:rFonts w:hint="eastAsia" w:ascii="Times New Roman" w:hAnsi="Times New Roman" w:eastAsia="宋体" w:cs="Times New Roman"/>
                <w:color w:val="auto"/>
                <w:sz w:val="22"/>
                <w:szCs w:val="24"/>
              </w:rPr>
              <w:t>取消生产</w:t>
            </w:r>
          </w:p>
        </w:tc>
      </w:tr>
      <w:tr w14:paraId="08C31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3" w:type="pct"/>
          </w:tcPr>
          <w:p w14:paraId="1456747C">
            <w:pPr>
              <w:jc w:val="center"/>
              <w:rPr>
                <w:rFonts w:hint="eastAsia"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5</w:t>
            </w:r>
          </w:p>
        </w:tc>
        <w:tc>
          <w:tcPr>
            <w:tcW w:w="1552" w:type="pct"/>
            <w:shd w:val="clear" w:color="auto" w:fill="auto"/>
            <w:vAlign w:val="center"/>
          </w:tcPr>
          <w:p w14:paraId="10E55F71">
            <w:pPr>
              <w:jc w:val="center"/>
              <w:rPr>
                <w:rFonts w:ascii="Times New Roman" w:hAnsi="Times New Roman" w:eastAsia="宋体" w:cs="Times New Roman"/>
                <w:color w:val="auto"/>
                <w:kern w:val="2"/>
                <w:sz w:val="22"/>
                <w:szCs w:val="24"/>
                <w:lang w:val="en-US" w:eastAsia="en-US" w:bidi="ar-SA"/>
              </w:rPr>
            </w:pPr>
            <w:r>
              <w:rPr>
                <w:rFonts w:hint="eastAsia" w:ascii="Times New Roman" w:hAnsi="Times New Roman" w:eastAsia="宋体" w:cs="Times New Roman"/>
                <w:color w:val="auto"/>
                <w:sz w:val="22"/>
                <w:szCs w:val="24"/>
                <w:lang w:eastAsia="en-US"/>
              </w:rPr>
              <w:t>20吨内酯环（A环降解物）</w:t>
            </w:r>
          </w:p>
        </w:tc>
        <w:tc>
          <w:tcPr>
            <w:tcW w:w="841" w:type="pct"/>
            <w:shd w:val="clear" w:color="auto" w:fill="auto"/>
            <w:vAlign w:val="center"/>
          </w:tcPr>
          <w:p w14:paraId="3793F6EE">
            <w:pPr>
              <w:jc w:val="center"/>
              <w:rPr>
                <w:rFonts w:hint="default" w:ascii="Times New Roman" w:hAnsi="Times New Roman" w:eastAsia="宋体" w:cs="Times New Roman"/>
                <w:color w:val="auto"/>
                <w:kern w:val="2"/>
                <w:sz w:val="22"/>
                <w:szCs w:val="24"/>
                <w:lang w:val="en-US" w:eastAsia="en-US" w:bidi="ar-SA"/>
              </w:rPr>
            </w:pPr>
            <w:r>
              <w:rPr>
                <w:rFonts w:hint="eastAsia" w:ascii="Times New Roman" w:hAnsi="Times New Roman" w:eastAsia="宋体" w:cs="Times New Roman"/>
                <w:color w:val="auto"/>
                <w:sz w:val="22"/>
                <w:szCs w:val="24"/>
                <w:lang w:val="en-US" w:eastAsia="zh-CN"/>
              </w:rPr>
              <w:t>20</w:t>
            </w:r>
          </w:p>
        </w:tc>
        <w:tc>
          <w:tcPr>
            <w:tcW w:w="696" w:type="pct"/>
            <w:shd w:val="clear" w:color="auto" w:fill="auto"/>
            <w:vAlign w:val="top"/>
          </w:tcPr>
          <w:p w14:paraId="5C341027">
            <w:pPr>
              <w:jc w:val="center"/>
              <w:rPr>
                <w:rFonts w:hint="eastAsia"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rPr>
              <w:t>未生产</w:t>
            </w:r>
          </w:p>
        </w:tc>
        <w:tc>
          <w:tcPr>
            <w:tcW w:w="1507" w:type="pct"/>
          </w:tcPr>
          <w:p w14:paraId="5058EFEB">
            <w:pPr>
              <w:jc w:val="center"/>
              <w:rPr>
                <w:rFonts w:hint="eastAsia"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lang w:val="en-US" w:eastAsia="zh-CN"/>
              </w:rPr>
              <w:t>已验收，</w:t>
            </w:r>
            <w:r>
              <w:rPr>
                <w:rFonts w:hint="eastAsia" w:ascii="Times New Roman" w:hAnsi="Times New Roman" w:eastAsia="宋体" w:cs="Times New Roman"/>
                <w:color w:val="auto"/>
                <w:sz w:val="22"/>
                <w:szCs w:val="24"/>
              </w:rPr>
              <w:t>取消生产</w:t>
            </w:r>
          </w:p>
        </w:tc>
      </w:tr>
      <w:tr w14:paraId="10CD5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3" w:type="pct"/>
          </w:tcPr>
          <w:p w14:paraId="255DD98C">
            <w:pPr>
              <w:jc w:val="center"/>
              <w:rPr>
                <w:rFonts w:hint="eastAsia"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6</w:t>
            </w:r>
          </w:p>
        </w:tc>
        <w:tc>
          <w:tcPr>
            <w:tcW w:w="1552" w:type="pct"/>
            <w:shd w:val="clear" w:color="auto" w:fill="auto"/>
            <w:vAlign w:val="center"/>
          </w:tcPr>
          <w:p w14:paraId="7A0D0169">
            <w:pPr>
              <w:jc w:val="center"/>
              <w:rPr>
                <w:rFonts w:ascii="Times New Roman" w:hAnsi="Times New Roman" w:eastAsia="宋体" w:cs="Times New Roman"/>
                <w:color w:val="auto"/>
                <w:kern w:val="2"/>
                <w:sz w:val="22"/>
                <w:szCs w:val="24"/>
                <w:lang w:val="en-US" w:eastAsia="en-US" w:bidi="ar-SA"/>
              </w:rPr>
            </w:pPr>
            <w:r>
              <w:rPr>
                <w:rFonts w:hint="eastAsia" w:ascii="Times New Roman" w:hAnsi="Times New Roman" w:eastAsia="宋体" w:cs="Times New Roman"/>
                <w:color w:val="auto"/>
                <w:sz w:val="22"/>
                <w:szCs w:val="24"/>
                <w:lang w:eastAsia="en-US"/>
              </w:rPr>
              <w:t>17a-羟基黄体酮中间体</w:t>
            </w:r>
          </w:p>
        </w:tc>
        <w:tc>
          <w:tcPr>
            <w:tcW w:w="841" w:type="pct"/>
            <w:shd w:val="clear" w:color="auto" w:fill="auto"/>
            <w:vAlign w:val="center"/>
          </w:tcPr>
          <w:p w14:paraId="6DB9D760">
            <w:pPr>
              <w:jc w:val="center"/>
              <w:rPr>
                <w:rFonts w:hint="default" w:ascii="Times New Roman" w:hAnsi="Times New Roman" w:eastAsia="宋体" w:cs="Times New Roman"/>
                <w:color w:val="auto"/>
                <w:kern w:val="2"/>
                <w:sz w:val="22"/>
                <w:szCs w:val="24"/>
                <w:lang w:val="en-US" w:eastAsia="en-US" w:bidi="ar-SA"/>
              </w:rPr>
            </w:pPr>
            <w:r>
              <w:rPr>
                <w:rFonts w:hint="eastAsia" w:ascii="Times New Roman" w:hAnsi="Times New Roman" w:eastAsia="宋体" w:cs="Times New Roman"/>
                <w:color w:val="auto"/>
                <w:sz w:val="22"/>
                <w:szCs w:val="24"/>
                <w:lang w:val="en-US" w:eastAsia="zh-CN"/>
              </w:rPr>
              <w:t>50</w:t>
            </w:r>
          </w:p>
        </w:tc>
        <w:tc>
          <w:tcPr>
            <w:tcW w:w="696" w:type="pct"/>
            <w:shd w:val="clear" w:color="auto" w:fill="auto"/>
            <w:vAlign w:val="top"/>
          </w:tcPr>
          <w:p w14:paraId="47CC8B73">
            <w:pPr>
              <w:jc w:val="center"/>
              <w:rPr>
                <w:rFonts w:hint="eastAsia"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rPr>
              <w:t>未生产</w:t>
            </w:r>
          </w:p>
        </w:tc>
        <w:tc>
          <w:tcPr>
            <w:tcW w:w="1507" w:type="pct"/>
          </w:tcPr>
          <w:p w14:paraId="32539E73">
            <w:pPr>
              <w:jc w:val="center"/>
              <w:rPr>
                <w:rFonts w:hint="eastAsia"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lang w:val="en-US" w:eastAsia="zh-CN"/>
              </w:rPr>
              <w:t>已验收，</w:t>
            </w:r>
            <w:r>
              <w:rPr>
                <w:rFonts w:hint="eastAsia" w:ascii="Times New Roman" w:hAnsi="Times New Roman" w:eastAsia="宋体" w:cs="Times New Roman"/>
                <w:color w:val="auto"/>
                <w:sz w:val="22"/>
                <w:szCs w:val="24"/>
              </w:rPr>
              <w:t>取消生产</w:t>
            </w:r>
          </w:p>
        </w:tc>
      </w:tr>
      <w:tr w14:paraId="20F2C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3" w:type="pct"/>
          </w:tcPr>
          <w:p w14:paraId="46D35A9E">
            <w:pPr>
              <w:jc w:val="center"/>
              <w:rPr>
                <w:rFonts w:hint="eastAsia"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7</w:t>
            </w:r>
          </w:p>
        </w:tc>
        <w:tc>
          <w:tcPr>
            <w:tcW w:w="1552" w:type="pct"/>
            <w:shd w:val="clear" w:color="auto" w:fill="auto"/>
            <w:vAlign w:val="center"/>
          </w:tcPr>
          <w:p w14:paraId="610C34FD">
            <w:pPr>
              <w:jc w:val="center"/>
              <w:rPr>
                <w:rFonts w:hint="default" w:ascii="Times New Roman" w:hAnsi="Times New Roman" w:eastAsia="宋体" w:cs="Times New Roman"/>
                <w:color w:val="auto"/>
                <w:kern w:val="2"/>
                <w:sz w:val="22"/>
                <w:szCs w:val="24"/>
                <w:lang w:val="en-US" w:eastAsia="en-US" w:bidi="ar-SA"/>
              </w:rPr>
            </w:pPr>
            <w:r>
              <w:rPr>
                <w:rFonts w:hint="eastAsia" w:ascii="Times New Roman" w:hAnsi="Times New Roman" w:eastAsia="宋体" w:cs="Times New Roman"/>
                <w:color w:val="auto"/>
                <w:sz w:val="22"/>
                <w:szCs w:val="24"/>
                <w:lang w:val="en-US" w:eastAsia="zh-CN"/>
              </w:rPr>
              <w:t>腺苷中间体</w:t>
            </w:r>
          </w:p>
        </w:tc>
        <w:tc>
          <w:tcPr>
            <w:tcW w:w="841" w:type="pct"/>
            <w:shd w:val="clear" w:color="auto" w:fill="auto"/>
            <w:vAlign w:val="center"/>
          </w:tcPr>
          <w:p w14:paraId="10A36361">
            <w:pPr>
              <w:jc w:val="center"/>
              <w:rPr>
                <w:rFonts w:hint="default" w:ascii="Times New Roman" w:hAnsi="Times New Roman" w:eastAsia="宋体" w:cs="Times New Roman"/>
                <w:color w:val="auto"/>
                <w:kern w:val="2"/>
                <w:sz w:val="22"/>
                <w:szCs w:val="24"/>
                <w:lang w:val="en-US" w:eastAsia="en-US" w:bidi="ar-SA"/>
              </w:rPr>
            </w:pPr>
            <w:r>
              <w:rPr>
                <w:rFonts w:hint="eastAsia" w:ascii="Times New Roman" w:hAnsi="Times New Roman" w:eastAsia="宋体" w:cs="Times New Roman"/>
                <w:color w:val="auto"/>
                <w:sz w:val="22"/>
                <w:szCs w:val="24"/>
                <w:lang w:val="en-US" w:eastAsia="zh-CN"/>
              </w:rPr>
              <w:t>300</w:t>
            </w:r>
          </w:p>
        </w:tc>
        <w:tc>
          <w:tcPr>
            <w:tcW w:w="696" w:type="pct"/>
            <w:shd w:val="clear" w:color="auto" w:fill="auto"/>
            <w:vAlign w:val="top"/>
          </w:tcPr>
          <w:p w14:paraId="34CA6CA8">
            <w:pPr>
              <w:jc w:val="center"/>
              <w:rPr>
                <w:rFonts w:hint="eastAsia"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rPr>
              <w:t>未生产</w:t>
            </w:r>
          </w:p>
        </w:tc>
        <w:tc>
          <w:tcPr>
            <w:tcW w:w="1507" w:type="pct"/>
          </w:tcPr>
          <w:p w14:paraId="08371405">
            <w:pPr>
              <w:jc w:val="center"/>
              <w:rPr>
                <w:rFonts w:hint="eastAsia"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未验收，</w:t>
            </w:r>
            <w:r>
              <w:rPr>
                <w:rFonts w:hint="eastAsia" w:ascii="Times New Roman" w:hAnsi="Times New Roman" w:eastAsia="宋体" w:cs="Times New Roman"/>
                <w:color w:val="auto"/>
                <w:sz w:val="22"/>
                <w:szCs w:val="24"/>
              </w:rPr>
              <w:t>取消生产</w:t>
            </w:r>
          </w:p>
        </w:tc>
      </w:tr>
      <w:tr w14:paraId="18972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3" w:type="pct"/>
          </w:tcPr>
          <w:p w14:paraId="3B9CA11E">
            <w:pPr>
              <w:jc w:val="center"/>
              <w:rPr>
                <w:rFonts w:hint="eastAsia"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8</w:t>
            </w:r>
          </w:p>
        </w:tc>
        <w:tc>
          <w:tcPr>
            <w:tcW w:w="1552" w:type="pct"/>
            <w:shd w:val="clear" w:color="auto" w:fill="auto"/>
            <w:vAlign w:val="center"/>
          </w:tcPr>
          <w:p w14:paraId="3177FF35">
            <w:pPr>
              <w:jc w:val="center"/>
              <w:rPr>
                <w:rFonts w:hint="eastAsia" w:ascii="Times New Roman" w:hAnsi="Times New Roman" w:eastAsia="宋体" w:cs="Times New Roman"/>
                <w:color w:val="auto"/>
                <w:kern w:val="2"/>
                <w:sz w:val="22"/>
                <w:szCs w:val="24"/>
                <w:lang w:val="en-US" w:eastAsia="en-US" w:bidi="ar-SA"/>
              </w:rPr>
            </w:pPr>
            <w:r>
              <w:rPr>
                <w:rFonts w:hint="eastAsia" w:ascii="Times New Roman" w:hAnsi="Times New Roman" w:eastAsia="宋体" w:cs="Times New Roman"/>
                <w:color w:val="auto"/>
                <w:sz w:val="22"/>
                <w:szCs w:val="24"/>
              </w:rPr>
              <w:t>丙氨酸食品添加剂</w:t>
            </w:r>
          </w:p>
        </w:tc>
        <w:tc>
          <w:tcPr>
            <w:tcW w:w="841" w:type="pct"/>
            <w:shd w:val="clear" w:color="auto" w:fill="auto"/>
            <w:vAlign w:val="center"/>
          </w:tcPr>
          <w:p w14:paraId="3D909079">
            <w:pPr>
              <w:jc w:val="center"/>
              <w:rPr>
                <w:rFonts w:hint="default" w:ascii="Times New Roman" w:hAnsi="Times New Roman" w:eastAsia="宋体" w:cs="Times New Roman"/>
                <w:color w:val="auto"/>
                <w:kern w:val="2"/>
                <w:sz w:val="22"/>
                <w:szCs w:val="24"/>
                <w:lang w:val="en-US" w:eastAsia="en-US" w:bidi="ar-SA"/>
              </w:rPr>
            </w:pPr>
            <w:r>
              <w:rPr>
                <w:rFonts w:hint="eastAsia" w:ascii="Times New Roman" w:hAnsi="Times New Roman" w:eastAsia="宋体" w:cs="Times New Roman"/>
                <w:color w:val="auto"/>
                <w:sz w:val="22"/>
                <w:szCs w:val="24"/>
                <w:lang w:val="en-US" w:eastAsia="zh-CN"/>
              </w:rPr>
              <w:t>2000</w:t>
            </w:r>
          </w:p>
        </w:tc>
        <w:tc>
          <w:tcPr>
            <w:tcW w:w="696" w:type="pct"/>
            <w:shd w:val="clear" w:color="auto" w:fill="auto"/>
            <w:vAlign w:val="top"/>
          </w:tcPr>
          <w:p w14:paraId="7FB140D9">
            <w:pPr>
              <w:jc w:val="center"/>
              <w:rPr>
                <w:rFonts w:hint="eastAsia"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rPr>
              <w:t>未生产</w:t>
            </w:r>
          </w:p>
        </w:tc>
        <w:tc>
          <w:tcPr>
            <w:tcW w:w="1507" w:type="pct"/>
          </w:tcPr>
          <w:p w14:paraId="24FB4594">
            <w:pPr>
              <w:jc w:val="center"/>
              <w:rPr>
                <w:rFonts w:hint="eastAsia"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lang w:val="en-US" w:eastAsia="zh-CN"/>
              </w:rPr>
              <w:t>已验收，</w:t>
            </w:r>
            <w:r>
              <w:rPr>
                <w:rFonts w:hint="eastAsia" w:ascii="Times New Roman" w:hAnsi="Times New Roman" w:eastAsia="宋体" w:cs="Times New Roman"/>
                <w:color w:val="auto"/>
                <w:sz w:val="22"/>
                <w:szCs w:val="24"/>
              </w:rPr>
              <w:t>取消生产</w:t>
            </w:r>
          </w:p>
        </w:tc>
      </w:tr>
      <w:tr w14:paraId="04C81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3" w:type="pct"/>
          </w:tcPr>
          <w:p w14:paraId="143C7A4E">
            <w:pPr>
              <w:jc w:val="center"/>
              <w:rPr>
                <w:rFonts w:hint="eastAsia"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9</w:t>
            </w:r>
          </w:p>
        </w:tc>
        <w:tc>
          <w:tcPr>
            <w:tcW w:w="1552" w:type="pct"/>
            <w:shd w:val="clear" w:color="auto" w:fill="auto"/>
            <w:vAlign w:val="center"/>
          </w:tcPr>
          <w:p w14:paraId="58C72C84">
            <w:pPr>
              <w:jc w:val="center"/>
              <w:rPr>
                <w:rFonts w:ascii="Times New Roman" w:hAnsi="Times New Roman" w:eastAsia="宋体" w:cs="Times New Roman"/>
                <w:color w:val="auto"/>
                <w:kern w:val="2"/>
                <w:sz w:val="22"/>
                <w:szCs w:val="24"/>
                <w:lang w:val="en-US" w:eastAsia="en-US" w:bidi="ar-SA"/>
              </w:rPr>
            </w:pPr>
            <w:r>
              <w:rPr>
                <w:rFonts w:hint="eastAsia" w:ascii="Times New Roman" w:hAnsi="Times New Roman" w:eastAsia="宋体" w:cs="Times New Roman"/>
                <w:color w:val="auto"/>
                <w:sz w:val="22"/>
                <w:szCs w:val="24"/>
              </w:rPr>
              <w:t>胞嘧啶中间体</w:t>
            </w:r>
          </w:p>
        </w:tc>
        <w:tc>
          <w:tcPr>
            <w:tcW w:w="841" w:type="pct"/>
            <w:shd w:val="clear" w:color="auto" w:fill="auto"/>
            <w:vAlign w:val="center"/>
          </w:tcPr>
          <w:p w14:paraId="20CAB89F">
            <w:pPr>
              <w:jc w:val="center"/>
              <w:rPr>
                <w:rFonts w:hint="default" w:ascii="Times New Roman" w:hAnsi="Times New Roman" w:eastAsia="宋体" w:cs="Times New Roman"/>
                <w:color w:val="auto"/>
                <w:kern w:val="2"/>
                <w:sz w:val="22"/>
                <w:szCs w:val="24"/>
                <w:lang w:val="en-US" w:eastAsia="en-US" w:bidi="ar-SA"/>
              </w:rPr>
            </w:pPr>
            <w:r>
              <w:rPr>
                <w:rFonts w:hint="eastAsia" w:ascii="Times New Roman" w:hAnsi="Times New Roman" w:eastAsia="宋体" w:cs="Times New Roman"/>
                <w:color w:val="auto"/>
                <w:sz w:val="22"/>
                <w:szCs w:val="24"/>
                <w:lang w:val="en-US" w:eastAsia="zh-CN"/>
              </w:rPr>
              <w:t>1500</w:t>
            </w:r>
          </w:p>
        </w:tc>
        <w:tc>
          <w:tcPr>
            <w:tcW w:w="696" w:type="pct"/>
          </w:tcPr>
          <w:p w14:paraId="1287A138">
            <w:pPr>
              <w:jc w:val="center"/>
              <w:rPr>
                <w:rFonts w:hint="eastAsia"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未生产</w:t>
            </w:r>
          </w:p>
        </w:tc>
        <w:tc>
          <w:tcPr>
            <w:tcW w:w="1507" w:type="pct"/>
          </w:tcPr>
          <w:p w14:paraId="6ADA52F0">
            <w:pPr>
              <w:jc w:val="center"/>
              <w:rPr>
                <w:rFonts w:hint="eastAsia"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lang w:val="en-US" w:eastAsia="zh-CN"/>
              </w:rPr>
              <w:t>未验收，</w:t>
            </w:r>
            <w:r>
              <w:rPr>
                <w:rFonts w:hint="eastAsia" w:ascii="Times New Roman" w:hAnsi="Times New Roman" w:eastAsia="宋体" w:cs="Times New Roman"/>
                <w:color w:val="auto"/>
                <w:sz w:val="22"/>
                <w:szCs w:val="24"/>
              </w:rPr>
              <w:t>取消生产</w:t>
            </w:r>
          </w:p>
        </w:tc>
      </w:tr>
    </w:tbl>
    <w:p w14:paraId="3C56A705">
      <w:pPr>
        <w:spacing w:line="360" w:lineRule="auto"/>
        <w:ind w:firstLine="480" w:firstLineChars="200"/>
        <w:rPr>
          <w:rFonts w:hint="eastAsia" w:ascii="Times New Roman" w:hAnsi="Times New Roman" w:eastAsia="宋体" w:cs="宋体"/>
          <w:color w:val="auto"/>
          <w:sz w:val="24"/>
          <w:szCs w:val="24"/>
          <w:u w:val="none"/>
          <w:lang w:eastAsia="zh-CN"/>
        </w:rPr>
      </w:pPr>
      <w:r>
        <w:rPr>
          <w:rFonts w:hint="eastAsia" w:ascii="Times New Roman" w:hAnsi="Times New Roman" w:eastAsia="宋体" w:cs="宋体"/>
          <w:color w:val="auto"/>
          <w:sz w:val="24"/>
          <w:szCs w:val="24"/>
          <w:u w:val="none"/>
        </w:rPr>
        <w:t>根据企业提供的《排污许可证执行报告年报（2023年）》，</w:t>
      </w:r>
      <w:r>
        <w:rPr>
          <w:rFonts w:hint="eastAsia" w:ascii="Times New Roman" w:hAnsi="Times New Roman" w:eastAsia="宋体" w:cs="宋体"/>
          <w:color w:val="auto"/>
          <w:sz w:val="24"/>
          <w:szCs w:val="24"/>
          <w:u w:val="none"/>
          <w:lang w:val="en-US" w:eastAsia="zh-CN"/>
        </w:rPr>
        <w:t>以及环评报告</w:t>
      </w:r>
      <w:r>
        <w:rPr>
          <w:rFonts w:hint="eastAsia" w:ascii="Times New Roman" w:hAnsi="Times New Roman" w:eastAsia="宋体" w:cs="宋体"/>
          <w:color w:val="auto"/>
          <w:sz w:val="24"/>
          <w:szCs w:val="24"/>
          <w:u w:val="none"/>
        </w:rPr>
        <w:t>核算保留产品的排放量</w:t>
      </w:r>
      <w:r>
        <w:rPr>
          <w:rFonts w:hint="eastAsia" w:ascii="Times New Roman" w:hAnsi="Times New Roman" w:eastAsia="宋体" w:cs="宋体"/>
          <w:color w:val="auto"/>
          <w:sz w:val="24"/>
          <w:szCs w:val="24"/>
          <w:u w:val="none"/>
          <w:lang w:eastAsia="zh-CN"/>
        </w:rPr>
        <w:t>，</w:t>
      </w:r>
      <w:r>
        <w:rPr>
          <w:rFonts w:hint="eastAsia" w:ascii="Times New Roman" w:hAnsi="Times New Roman" w:eastAsia="宋体" w:cs="宋体"/>
          <w:color w:val="auto"/>
          <w:sz w:val="24"/>
          <w:szCs w:val="24"/>
          <w:u w:val="none"/>
          <w:lang w:val="en-US" w:eastAsia="zh-CN"/>
        </w:rPr>
        <w:t>计算现有工程保留产品污染物排放量</w:t>
      </w:r>
      <w:r>
        <w:rPr>
          <w:rFonts w:hint="eastAsia" w:ascii="Times New Roman" w:hAnsi="Times New Roman" w:eastAsia="宋体" w:cs="宋体"/>
          <w:color w:val="auto"/>
          <w:sz w:val="24"/>
          <w:szCs w:val="24"/>
          <w:u w:val="none"/>
          <w:lang w:eastAsia="zh-CN"/>
        </w:rPr>
        <w:t>。</w:t>
      </w:r>
    </w:p>
    <w:p w14:paraId="06AD4A42">
      <w:pPr>
        <w:spacing w:line="360" w:lineRule="auto"/>
        <w:ind w:firstLine="480" w:firstLineChars="200"/>
        <w:rPr>
          <w:rFonts w:hint="eastAsia" w:ascii="Times New Roman" w:hAnsi="Times New Roman" w:eastAsia="宋体" w:cs="宋体"/>
          <w:color w:val="auto"/>
          <w:sz w:val="24"/>
          <w:szCs w:val="24"/>
          <w:u w:val="none"/>
          <w:lang w:val="en-US" w:eastAsia="zh-CN"/>
        </w:rPr>
      </w:pPr>
      <w:r>
        <w:rPr>
          <w:rFonts w:hint="eastAsia" w:ascii="Times New Roman" w:hAnsi="Times New Roman" w:eastAsia="宋体" w:cs="宋体"/>
          <w:color w:val="auto"/>
          <w:sz w:val="24"/>
          <w:szCs w:val="24"/>
          <w:u w:val="none"/>
          <w:lang w:val="en-US" w:eastAsia="zh-CN"/>
        </w:rPr>
        <w:t>2023年生产泛酸钙饲料添加剂393.87t，设计产能为2000t/a，根据</w:t>
      </w:r>
      <w:r>
        <w:rPr>
          <w:rFonts w:hint="eastAsia" w:ascii="Times New Roman" w:hAnsi="Times New Roman" w:eastAsia="宋体" w:cs="宋体"/>
          <w:color w:val="auto"/>
          <w:sz w:val="24"/>
          <w:szCs w:val="24"/>
          <w:u w:val="none"/>
        </w:rPr>
        <w:t>《排污许可证执行报告年报（2023年）》</w:t>
      </w:r>
      <w:r>
        <w:rPr>
          <w:rFonts w:hint="eastAsia" w:ascii="Times New Roman" w:hAnsi="Times New Roman" w:eastAsia="宋体" w:cs="宋体"/>
          <w:color w:val="auto"/>
          <w:sz w:val="24"/>
          <w:szCs w:val="24"/>
          <w:u w:val="none"/>
          <w:lang w:val="en-US" w:eastAsia="zh-CN"/>
        </w:rPr>
        <w:t>计算达产排放量如下表所示：</w:t>
      </w:r>
    </w:p>
    <w:p w14:paraId="2A31D988">
      <w:pPr>
        <w:pStyle w:val="6"/>
        <w:bidi w:val="0"/>
        <w:rPr>
          <w:rFonts w:hint="eastAsia"/>
          <w:lang w:val="en-US" w:eastAsia="zh-CN"/>
        </w:rPr>
      </w:pPr>
      <w:r>
        <w:rPr>
          <w:rFonts w:hint="eastAsia"/>
          <w:lang w:val="en-US" w:eastAsia="zh-CN"/>
        </w:rPr>
        <w:t>表</w:t>
      </w:r>
      <w:r>
        <w:rPr>
          <w:rFonts w:hint="eastAsia"/>
        </w:rPr>
        <w:t>3.1.14-</w:t>
      </w:r>
      <w:r>
        <w:rPr>
          <w:rFonts w:hint="eastAsia"/>
          <w:lang w:val="en-US" w:eastAsia="zh-CN"/>
        </w:rPr>
        <w:t>2 泛酸钙饲料添加剂达产污染物排放量一览表（单位：t/a）</w:t>
      </w:r>
    </w:p>
    <w:tbl>
      <w:tblPr>
        <w:tblStyle w:val="41"/>
        <w:tblW w:w="491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2"/>
        <w:gridCol w:w="1026"/>
        <w:gridCol w:w="2035"/>
        <w:gridCol w:w="2228"/>
        <w:gridCol w:w="2478"/>
      </w:tblGrid>
      <w:tr w14:paraId="64C5A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91" w:type="pct"/>
            <w:gridSpan w:val="3"/>
            <w:vAlign w:val="center"/>
          </w:tcPr>
          <w:p w14:paraId="740489C6">
            <w:pPr>
              <w:jc w:val="center"/>
              <w:rPr>
                <w:rFonts w:hint="eastAsia" w:ascii="Times New Roman" w:hAnsi="Times New Roman" w:eastAsia="宋体" w:cs="Times New Roman"/>
                <w:b/>
                <w:bCs/>
                <w:color w:val="auto"/>
                <w:sz w:val="22"/>
                <w:szCs w:val="24"/>
              </w:rPr>
            </w:pPr>
            <w:r>
              <w:rPr>
                <w:rFonts w:hint="eastAsia" w:ascii="Times New Roman" w:hAnsi="Times New Roman" w:eastAsia="宋体" w:cs="Times New Roman"/>
                <w:b/>
                <w:bCs/>
                <w:color w:val="auto"/>
                <w:sz w:val="22"/>
                <w:szCs w:val="24"/>
              </w:rPr>
              <w:t>污染物类型</w:t>
            </w:r>
          </w:p>
        </w:tc>
        <w:tc>
          <w:tcPr>
            <w:tcW w:w="1329" w:type="pct"/>
            <w:shd w:val="clear" w:color="auto" w:fill="auto"/>
            <w:vAlign w:val="center"/>
          </w:tcPr>
          <w:p w14:paraId="183B8750">
            <w:pPr>
              <w:jc w:val="center"/>
              <w:rPr>
                <w:rFonts w:hint="eastAsia" w:ascii="Times New Roman" w:hAnsi="Times New Roman" w:eastAsia="宋体" w:cs="Times New Roman"/>
                <w:b/>
                <w:bCs/>
                <w:color w:val="auto"/>
                <w:kern w:val="2"/>
                <w:sz w:val="22"/>
                <w:szCs w:val="24"/>
                <w:lang w:val="en-US" w:eastAsia="zh-CN" w:bidi="ar-SA"/>
              </w:rPr>
            </w:pPr>
            <w:r>
              <w:rPr>
                <w:rFonts w:hint="eastAsia" w:ascii="Times New Roman" w:hAnsi="Times New Roman" w:eastAsia="宋体" w:cs="Times New Roman"/>
                <w:b/>
                <w:bCs/>
                <w:color w:val="auto"/>
                <w:sz w:val="22"/>
                <w:szCs w:val="24"/>
              </w:rPr>
              <w:t>现有工程实际排放量</w:t>
            </w:r>
          </w:p>
        </w:tc>
        <w:tc>
          <w:tcPr>
            <w:tcW w:w="1478" w:type="pct"/>
            <w:vAlign w:val="center"/>
          </w:tcPr>
          <w:p w14:paraId="550FEDC9">
            <w:pPr>
              <w:jc w:val="center"/>
              <w:rPr>
                <w:rFonts w:hint="default" w:ascii="Times New Roman" w:hAnsi="Times New Roman" w:eastAsia="宋体" w:cs="Times New Roman"/>
                <w:b/>
                <w:bCs/>
                <w:color w:val="auto"/>
                <w:sz w:val="22"/>
                <w:szCs w:val="24"/>
                <w:lang w:val="en-US" w:eastAsia="zh-CN"/>
              </w:rPr>
            </w:pPr>
            <w:r>
              <w:rPr>
                <w:rFonts w:hint="eastAsia" w:ascii="Times New Roman" w:hAnsi="Times New Roman" w:eastAsia="宋体" w:cs="Times New Roman"/>
                <w:b/>
                <w:bCs/>
                <w:color w:val="auto"/>
                <w:sz w:val="22"/>
                <w:szCs w:val="24"/>
                <w:lang w:val="en-US" w:eastAsia="zh-CN"/>
              </w:rPr>
              <w:t>现有工程达产排放量</w:t>
            </w:r>
          </w:p>
        </w:tc>
      </w:tr>
      <w:tr w14:paraId="5DD82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5" w:type="pct"/>
            <w:vMerge w:val="restart"/>
            <w:vAlign w:val="center"/>
          </w:tcPr>
          <w:p w14:paraId="17B4348C">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废气</w:t>
            </w:r>
          </w:p>
        </w:tc>
        <w:tc>
          <w:tcPr>
            <w:tcW w:w="612" w:type="pct"/>
            <w:vMerge w:val="restart"/>
            <w:vAlign w:val="center"/>
          </w:tcPr>
          <w:p w14:paraId="384C0D95">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全厂</w:t>
            </w:r>
          </w:p>
        </w:tc>
        <w:tc>
          <w:tcPr>
            <w:tcW w:w="1214" w:type="pct"/>
            <w:vAlign w:val="center"/>
          </w:tcPr>
          <w:p w14:paraId="65E796AA">
            <w:pPr>
              <w:jc w:val="center"/>
              <w:rPr>
                <w:rFonts w:hint="eastAsia"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氨（氨气）</w:t>
            </w:r>
          </w:p>
        </w:tc>
        <w:tc>
          <w:tcPr>
            <w:tcW w:w="1329" w:type="pct"/>
            <w:shd w:val="clear" w:color="auto" w:fill="auto"/>
            <w:vAlign w:val="center"/>
          </w:tcPr>
          <w:p w14:paraId="4D249FF9">
            <w:pPr>
              <w:jc w:val="center"/>
              <w:rPr>
                <w:rFonts w:hint="eastAsia"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lang w:val="en-US" w:eastAsia="zh-CN"/>
              </w:rPr>
              <w:t>0.4791</w:t>
            </w:r>
          </w:p>
        </w:tc>
        <w:tc>
          <w:tcPr>
            <w:tcW w:w="1478" w:type="pct"/>
            <w:vAlign w:val="center"/>
          </w:tcPr>
          <w:p w14:paraId="25D631EC">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2.43</w:t>
            </w:r>
          </w:p>
        </w:tc>
      </w:tr>
      <w:tr w14:paraId="6D80F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5" w:type="pct"/>
            <w:vMerge w:val="continue"/>
            <w:vAlign w:val="center"/>
          </w:tcPr>
          <w:p w14:paraId="7CD03CCD">
            <w:pPr>
              <w:jc w:val="center"/>
              <w:rPr>
                <w:rFonts w:ascii="Times New Roman" w:hAnsi="Times New Roman" w:eastAsia="宋体" w:cs="Times New Roman"/>
                <w:color w:val="auto"/>
                <w:sz w:val="22"/>
                <w:szCs w:val="24"/>
              </w:rPr>
            </w:pPr>
          </w:p>
        </w:tc>
        <w:tc>
          <w:tcPr>
            <w:tcW w:w="612" w:type="pct"/>
            <w:vMerge w:val="continue"/>
            <w:vAlign w:val="center"/>
          </w:tcPr>
          <w:p w14:paraId="3C969D48">
            <w:pPr>
              <w:jc w:val="center"/>
              <w:rPr>
                <w:rFonts w:ascii="Times New Roman" w:hAnsi="Times New Roman" w:eastAsia="宋体" w:cs="Times New Roman"/>
                <w:color w:val="auto"/>
                <w:sz w:val="22"/>
                <w:szCs w:val="24"/>
              </w:rPr>
            </w:pPr>
          </w:p>
        </w:tc>
        <w:tc>
          <w:tcPr>
            <w:tcW w:w="1214" w:type="pct"/>
            <w:vAlign w:val="center"/>
          </w:tcPr>
          <w:p w14:paraId="328319B8">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N</w:t>
            </w:r>
            <w:r>
              <w:rPr>
                <w:rFonts w:ascii="Times New Roman" w:hAnsi="Times New Roman" w:eastAsia="宋体" w:cs="Times New Roman"/>
                <w:color w:val="auto"/>
                <w:sz w:val="22"/>
                <w:szCs w:val="24"/>
              </w:rPr>
              <w:t>O</w:t>
            </w:r>
            <w:r>
              <w:rPr>
                <w:rFonts w:hint="eastAsia" w:ascii="Times New Roman" w:hAnsi="Times New Roman" w:eastAsia="宋体" w:cs="Times New Roman"/>
                <w:color w:val="auto"/>
                <w:sz w:val="22"/>
                <w:szCs w:val="24"/>
              </w:rPr>
              <w:t>x</w:t>
            </w:r>
          </w:p>
        </w:tc>
        <w:tc>
          <w:tcPr>
            <w:tcW w:w="1329" w:type="pct"/>
            <w:shd w:val="clear" w:color="auto" w:fill="auto"/>
            <w:vAlign w:val="center"/>
          </w:tcPr>
          <w:p w14:paraId="6803A747">
            <w:pPr>
              <w:jc w:val="center"/>
              <w:rPr>
                <w:rFonts w:hint="eastAsia"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lang w:val="en-US" w:eastAsia="zh-CN"/>
              </w:rPr>
              <w:t>0</w:t>
            </w:r>
          </w:p>
        </w:tc>
        <w:tc>
          <w:tcPr>
            <w:tcW w:w="1478" w:type="pct"/>
            <w:vAlign w:val="center"/>
          </w:tcPr>
          <w:p w14:paraId="505E0779">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0</w:t>
            </w:r>
          </w:p>
        </w:tc>
      </w:tr>
      <w:tr w14:paraId="5FAD2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5" w:type="pct"/>
            <w:vMerge w:val="continue"/>
            <w:vAlign w:val="center"/>
          </w:tcPr>
          <w:p w14:paraId="61FA0BEA">
            <w:pPr>
              <w:jc w:val="center"/>
              <w:rPr>
                <w:rFonts w:ascii="Times New Roman" w:hAnsi="Times New Roman" w:eastAsia="宋体" w:cs="Times New Roman"/>
                <w:color w:val="auto"/>
                <w:sz w:val="22"/>
                <w:szCs w:val="24"/>
              </w:rPr>
            </w:pPr>
          </w:p>
        </w:tc>
        <w:tc>
          <w:tcPr>
            <w:tcW w:w="612" w:type="pct"/>
            <w:vMerge w:val="continue"/>
            <w:vAlign w:val="center"/>
          </w:tcPr>
          <w:p w14:paraId="04682204">
            <w:pPr>
              <w:jc w:val="center"/>
              <w:rPr>
                <w:rFonts w:ascii="Times New Roman" w:hAnsi="Times New Roman" w:eastAsia="宋体" w:cs="Times New Roman"/>
                <w:color w:val="auto"/>
                <w:sz w:val="22"/>
                <w:szCs w:val="24"/>
              </w:rPr>
            </w:pPr>
          </w:p>
        </w:tc>
        <w:tc>
          <w:tcPr>
            <w:tcW w:w="1214" w:type="pct"/>
            <w:vAlign w:val="center"/>
          </w:tcPr>
          <w:p w14:paraId="3B3E92FC">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S</w:t>
            </w:r>
            <w:r>
              <w:rPr>
                <w:rFonts w:ascii="Times New Roman" w:hAnsi="Times New Roman" w:eastAsia="宋体" w:cs="Times New Roman"/>
                <w:color w:val="auto"/>
                <w:sz w:val="22"/>
                <w:szCs w:val="24"/>
              </w:rPr>
              <w:t>O</w:t>
            </w:r>
            <w:r>
              <w:rPr>
                <w:rFonts w:ascii="Times New Roman" w:hAnsi="Times New Roman" w:eastAsia="宋体" w:cs="Times New Roman"/>
                <w:color w:val="auto"/>
                <w:sz w:val="22"/>
                <w:szCs w:val="24"/>
                <w:vertAlign w:val="subscript"/>
              </w:rPr>
              <w:t>2</w:t>
            </w:r>
          </w:p>
        </w:tc>
        <w:tc>
          <w:tcPr>
            <w:tcW w:w="1329" w:type="pct"/>
            <w:shd w:val="clear" w:color="auto" w:fill="auto"/>
            <w:vAlign w:val="center"/>
          </w:tcPr>
          <w:p w14:paraId="5FD5B000">
            <w:pPr>
              <w:jc w:val="center"/>
              <w:rPr>
                <w:rFonts w:hint="eastAsia"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lang w:val="en-US" w:eastAsia="zh-CN"/>
              </w:rPr>
              <w:t>0</w:t>
            </w:r>
          </w:p>
        </w:tc>
        <w:tc>
          <w:tcPr>
            <w:tcW w:w="1478" w:type="pct"/>
            <w:vAlign w:val="center"/>
          </w:tcPr>
          <w:p w14:paraId="06623151">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0</w:t>
            </w:r>
          </w:p>
        </w:tc>
      </w:tr>
      <w:tr w14:paraId="2D8E0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5" w:type="pct"/>
            <w:vMerge w:val="continue"/>
            <w:vAlign w:val="center"/>
          </w:tcPr>
          <w:p w14:paraId="3AE131F1">
            <w:pPr>
              <w:jc w:val="center"/>
              <w:rPr>
                <w:rFonts w:ascii="Times New Roman" w:hAnsi="Times New Roman" w:eastAsia="宋体" w:cs="Times New Roman"/>
                <w:color w:val="auto"/>
                <w:sz w:val="22"/>
                <w:szCs w:val="24"/>
              </w:rPr>
            </w:pPr>
          </w:p>
        </w:tc>
        <w:tc>
          <w:tcPr>
            <w:tcW w:w="612" w:type="pct"/>
            <w:vMerge w:val="continue"/>
            <w:vAlign w:val="center"/>
          </w:tcPr>
          <w:p w14:paraId="2E2B1653">
            <w:pPr>
              <w:jc w:val="center"/>
              <w:rPr>
                <w:rFonts w:ascii="Times New Roman" w:hAnsi="Times New Roman" w:eastAsia="宋体" w:cs="Times New Roman"/>
                <w:color w:val="auto"/>
                <w:sz w:val="22"/>
                <w:szCs w:val="24"/>
              </w:rPr>
            </w:pPr>
          </w:p>
        </w:tc>
        <w:tc>
          <w:tcPr>
            <w:tcW w:w="1214" w:type="pct"/>
            <w:vAlign w:val="center"/>
          </w:tcPr>
          <w:p w14:paraId="64FF63D0">
            <w:pPr>
              <w:jc w:val="center"/>
              <w:rPr>
                <w:rFonts w:hint="eastAsia"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硫化氢</w:t>
            </w:r>
          </w:p>
        </w:tc>
        <w:tc>
          <w:tcPr>
            <w:tcW w:w="1329" w:type="pct"/>
            <w:shd w:val="clear" w:color="auto" w:fill="auto"/>
            <w:vAlign w:val="center"/>
          </w:tcPr>
          <w:p w14:paraId="51480504">
            <w:pPr>
              <w:jc w:val="center"/>
              <w:rPr>
                <w:rFonts w:hint="eastAsia"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lang w:val="en-US" w:eastAsia="zh-CN"/>
              </w:rPr>
              <w:t>0.0204</w:t>
            </w:r>
          </w:p>
        </w:tc>
        <w:tc>
          <w:tcPr>
            <w:tcW w:w="1478" w:type="pct"/>
            <w:vAlign w:val="center"/>
          </w:tcPr>
          <w:p w14:paraId="2825075F">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0.104</w:t>
            </w:r>
          </w:p>
        </w:tc>
      </w:tr>
      <w:tr w14:paraId="114AB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5" w:type="pct"/>
            <w:vMerge w:val="continue"/>
            <w:vAlign w:val="center"/>
          </w:tcPr>
          <w:p w14:paraId="208696EC">
            <w:pPr>
              <w:jc w:val="center"/>
              <w:rPr>
                <w:rFonts w:ascii="Times New Roman" w:hAnsi="Times New Roman" w:eastAsia="宋体" w:cs="Times New Roman"/>
                <w:color w:val="auto"/>
                <w:sz w:val="22"/>
                <w:szCs w:val="24"/>
              </w:rPr>
            </w:pPr>
          </w:p>
        </w:tc>
        <w:tc>
          <w:tcPr>
            <w:tcW w:w="612" w:type="pct"/>
            <w:vMerge w:val="continue"/>
            <w:vAlign w:val="center"/>
          </w:tcPr>
          <w:p w14:paraId="0580793F">
            <w:pPr>
              <w:jc w:val="center"/>
              <w:rPr>
                <w:rFonts w:ascii="Times New Roman" w:hAnsi="Times New Roman" w:eastAsia="宋体" w:cs="Times New Roman"/>
                <w:color w:val="auto"/>
                <w:sz w:val="22"/>
                <w:szCs w:val="24"/>
              </w:rPr>
            </w:pPr>
          </w:p>
        </w:tc>
        <w:tc>
          <w:tcPr>
            <w:tcW w:w="1214" w:type="pct"/>
            <w:shd w:val="clear" w:color="auto" w:fill="auto"/>
            <w:vAlign w:val="center"/>
          </w:tcPr>
          <w:p w14:paraId="657D3EE9">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lang w:val="en-US" w:eastAsia="zh-CN"/>
              </w:rPr>
              <w:t>非甲烷总烃</w:t>
            </w:r>
          </w:p>
        </w:tc>
        <w:tc>
          <w:tcPr>
            <w:tcW w:w="1329" w:type="pct"/>
            <w:shd w:val="clear" w:color="auto" w:fill="auto"/>
            <w:vAlign w:val="center"/>
          </w:tcPr>
          <w:p w14:paraId="0D954065">
            <w:pPr>
              <w:jc w:val="center"/>
              <w:rPr>
                <w:rFonts w:hint="eastAsia"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lang w:val="en-US" w:eastAsia="zh-CN"/>
              </w:rPr>
              <w:t>8.6855</w:t>
            </w:r>
          </w:p>
        </w:tc>
        <w:tc>
          <w:tcPr>
            <w:tcW w:w="1478" w:type="pct"/>
            <w:shd w:val="clear" w:color="auto" w:fill="auto"/>
            <w:vAlign w:val="center"/>
          </w:tcPr>
          <w:p w14:paraId="19315B8C">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lang w:val="en-US" w:eastAsia="zh-CN"/>
              </w:rPr>
              <w:t>44.103</w:t>
            </w:r>
          </w:p>
        </w:tc>
      </w:tr>
      <w:tr w14:paraId="01215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5" w:type="pct"/>
            <w:vMerge w:val="continue"/>
            <w:vAlign w:val="center"/>
          </w:tcPr>
          <w:p w14:paraId="7C19C709">
            <w:pPr>
              <w:jc w:val="center"/>
              <w:rPr>
                <w:rFonts w:ascii="Times New Roman" w:hAnsi="Times New Roman" w:eastAsia="宋体" w:cs="Times New Roman"/>
                <w:color w:val="auto"/>
                <w:sz w:val="22"/>
                <w:szCs w:val="24"/>
              </w:rPr>
            </w:pPr>
          </w:p>
        </w:tc>
        <w:tc>
          <w:tcPr>
            <w:tcW w:w="612" w:type="pct"/>
            <w:vMerge w:val="continue"/>
            <w:vAlign w:val="center"/>
          </w:tcPr>
          <w:p w14:paraId="6968DECC">
            <w:pPr>
              <w:jc w:val="center"/>
              <w:rPr>
                <w:rFonts w:ascii="Times New Roman" w:hAnsi="Times New Roman" w:eastAsia="宋体" w:cs="Times New Roman"/>
                <w:color w:val="auto"/>
                <w:sz w:val="22"/>
                <w:szCs w:val="24"/>
              </w:rPr>
            </w:pPr>
          </w:p>
        </w:tc>
        <w:tc>
          <w:tcPr>
            <w:tcW w:w="1214" w:type="pct"/>
            <w:vAlign w:val="center"/>
          </w:tcPr>
          <w:p w14:paraId="5375612E">
            <w:pPr>
              <w:jc w:val="center"/>
              <w:rPr>
                <w:rFonts w:hint="eastAsia"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颗粒物</w:t>
            </w:r>
          </w:p>
        </w:tc>
        <w:tc>
          <w:tcPr>
            <w:tcW w:w="1329" w:type="pct"/>
            <w:shd w:val="clear" w:color="auto" w:fill="auto"/>
            <w:vAlign w:val="center"/>
          </w:tcPr>
          <w:p w14:paraId="02F6DA0B">
            <w:pPr>
              <w:jc w:val="center"/>
              <w:rPr>
                <w:rFonts w:hint="eastAsia"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lang w:val="en-US" w:eastAsia="zh-CN"/>
              </w:rPr>
              <w:t>3.1168</w:t>
            </w:r>
          </w:p>
        </w:tc>
        <w:tc>
          <w:tcPr>
            <w:tcW w:w="1478" w:type="pct"/>
            <w:vAlign w:val="center"/>
          </w:tcPr>
          <w:p w14:paraId="696C58B5">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15.83</w:t>
            </w:r>
          </w:p>
        </w:tc>
      </w:tr>
      <w:tr w14:paraId="327C7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5" w:type="pct"/>
            <w:vMerge w:val="restart"/>
            <w:vAlign w:val="center"/>
          </w:tcPr>
          <w:p w14:paraId="3BDCE92A">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废水</w:t>
            </w:r>
          </w:p>
        </w:tc>
        <w:tc>
          <w:tcPr>
            <w:tcW w:w="612" w:type="pct"/>
            <w:vMerge w:val="restart"/>
            <w:vAlign w:val="center"/>
          </w:tcPr>
          <w:p w14:paraId="599B855E">
            <w:pPr>
              <w:jc w:val="center"/>
              <w:rPr>
                <w:rFonts w:hint="eastAsia"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全厂</w:t>
            </w:r>
          </w:p>
        </w:tc>
        <w:tc>
          <w:tcPr>
            <w:tcW w:w="1214" w:type="pct"/>
            <w:vAlign w:val="center"/>
          </w:tcPr>
          <w:p w14:paraId="5608C7AC">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悬浮物</w:t>
            </w:r>
          </w:p>
        </w:tc>
        <w:tc>
          <w:tcPr>
            <w:tcW w:w="1329" w:type="pct"/>
            <w:shd w:val="clear" w:color="auto" w:fill="auto"/>
            <w:vAlign w:val="center"/>
          </w:tcPr>
          <w:p w14:paraId="21AB1298">
            <w:pPr>
              <w:jc w:val="center"/>
              <w:rPr>
                <w:rFonts w:hint="eastAsia"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lang w:val="en-US" w:eastAsia="zh-CN"/>
              </w:rPr>
              <w:t>0.559</w:t>
            </w:r>
          </w:p>
        </w:tc>
        <w:tc>
          <w:tcPr>
            <w:tcW w:w="1478" w:type="pct"/>
            <w:vAlign w:val="center"/>
          </w:tcPr>
          <w:p w14:paraId="0E5636EF">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2.84</w:t>
            </w:r>
          </w:p>
        </w:tc>
      </w:tr>
      <w:tr w14:paraId="747B6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5" w:type="pct"/>
            <w:vMerge w:val="continue"/>
            <w:vAlign w:val="center"/>
          </w:tcPr>
          <w:p w14:paraId="43F12193">
            <w:pPr>
              <w:jc w:val="center"/>
              <w:rPr>
                <w:rFonts w:ascii="Times New Roman" w:hAnsi="Times New Roman" w:eastAsia="宋体" w:cs="Times New Roman"/>
                <w:color w:val="auto"/>
                <w:sz w:val="22"/>
                <w:szCs w:val="24"/>
              </w:rPr>
            </w:pPr>
          </w:p>
        </w:tc>
        <w:tc>
          <w:tcPr>
            <w:tcW w:w="612" w:type="pct"/>
            <w:vMerge w:val="continue"/>
            <w:vAlign w:val="center"/>
          </w:tcPr>
          <w:p w14:paraId="208741B4">
            <w:pPr>
              <w:jc w:val="center"/>
              <w:rPr>
                <w:rFonts w:ascii="Times New Roman" w:hAnsi="Times New Roman" w:eastAsia="宋体" w:cs="Times New Roman"/>
                <w:color w:val="auto"/>
                <w:sz w:val="22"/>
                <w:szCs w:val="24"/>
              </w:rPr>
            </w:pPr>
          </w:p>
        </w:tc>
        <w:tc>
          <w:tcPr>
            <w:tcW w:w="1214" w:type="pct"/>
            <w:vAlign w:val="center"/>
          </w:tcPr>
          <w:p w14:paraId="61E62D9E">
            <w:pPr>
              <w:jc w:val="center"/>
              <w:rPr>
                <w:rFonts w:hint="eastAsia"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五日生化需氧量</w:t>
            </w:r>
          </w:p>
        </w:tc>
        <w:tc>
          <w:tcPr>
            <w:tcW w:w="1329" w:type="pct"/>
            <w:shd w:val="clear" w:color="auto" w:fill="auto"/>
            <w:vAlign w:val="center"/>
          </w:tcPr>
          <w:p w14:paraId="761E979E">
            <w:pPr>
              <w:jc w:val="center"/>
              <w:rPr>
                <w:rFonts w:hint="eastAsia"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lang w:val="en-US" w:eastAsia="zh-CN"/>
              </w:rPr>
              <w:t>0.8174</w:t>
            </w:r>
          </w:p>
        </w:tc>
        <w:tc>
          <w:tcPr>
            <w:tcW w:w="1478" w:type="pct"/>
            <w:vAlign w:val="center"/>
          </w:tcPr>
          <w:p w14:paraId="0FD4C2D8">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4.15</w:t>
            </w:r>
          </w:p>
        </w:tc>
      </w:tr>
      <w:tr w14:paraId="032D7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5" w:type="pct"/>
            <w:vMerge w:val="continue"/>
            <w:vAlign w:val="center"/>
          </w:tcPr>
          <w:p w14:paraId="2B203AEC">
            <w:pPr>
              <w:jc w:val="center"/>
              <w:rPr>
                <w:rFonts w:ascii="Times New Roman" w:hAnsi="Times New Roman" w:eastAsia="宋体" w:cs="Times New Roman"/>
                <w:color w:val="auto"/>
                <w:sz w:val="22"/>
                <w:szCs w:val="24"/>
              </w:rPr>
            </w:pPr>
          </w:p>
        </w:tc>
        <w:tc>
          <w:tcPr>
            <w:tcW w:w="612" w:type="pct"/>
            <w:vMerge w:val="continue"/>
            <w:vAlign w:val="center"/>
          </w:tcPr>
          <w:p w14:paraId="3B514D2E">
            <w:pPr>
              <w:jc w:val="center"/>
              <w:rPr>
                <w:rFonts w:ascii="Times New Roman" w:hAnsi="Times New Roman" w:eastAsia="宋体" w:cs="Times New Roman"/>
                <w:color w:val="auto"/>
                <w:sz w:val="22"/>
                <w:szCs w:val="24"/>
              </w:rPr>
            </w:pPr>
          </w:p>
        </w:tc>
        <w:tc>
          <w:tcPr>
            <w:tcW w:w="1214" w:type="pct"/>
            <w:vAlign w:val="center"/>
          </w:tcPr>
          <w:p w14:paraId="1761E57B">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化学需氧量</w:t>
            </w:r>
          </w:p>
        </w:tc>
        <w:tc>
          <w:tcPr>
            <w:tcW w:w="1329" w:type="pct"/>
            <w:shd w:val="clear" w:color="auto" w:fill="auto"/>
            <w:vAlign w:val="center"/>
          </w:tcPr>
          <w:p w14:paraId="369EA281">
            <w:pPr>
              <w:jc w:val="center"/>
              <w:rPr>
                <w:rFonts w:hint="eastAsia"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lang w:val="en-US" w:eastAsia="zh-CN"/>
              </w:rPr>
              <w:t>0.8638</w:t>
            </w:r>
          </w:p>
        </w:tc>
        <w:tc>
          <w:tcPr>
            <w:tcW w:w="1478" w:type="pct"/>
            <w:vAlign w:val="center"/>
          </w:tcPr>
          <w:p w14:paraId="404587A2">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4.39</w:t>
            </w:r>
          </w:p>
        </w:tc>
      </w:tr>
      <w:tr w14:paraId="2C117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5" w:type="pct"/>
            <w:vMerge w:val="continue"/>
            <w:vAlign w:val="center"/>
          </w:tcPr>
          <w:p w14:paraId="451871FA">
            <w:pPr>
              <w:jc w:val="center"/>
              <w:rPr>
                <w:rFonts w:ascii="Times New Roman" w:hAnsi="Times New Roman" w:eastAsia="宋体" w:cs="Times New Roman"/>
                <w:color w:val="auto"/>
                <w:sz w:val="22"/>
                <w:szCs w:val="24"/>
              </w:rPr>
            </w:pPr>
          </w:p>
        </w:tc>
        <w:tc>
          <w:tcPr>
            <w:tcW w:w="612" w:type="pct"/>
            <w:vMerge w:val="continue"/>
            <w:vAlign w:val="center"/>
          </w:tcPr>
          <w:p w14:paraId="4AAF7617">
            <w:pPr>
              <w:jc w:val="center"/>
              <w:rPr>
                <w:rFonts w:ascii="Times New Roman" w:hAnsi="Times New Roman" w:eastAsia="宋体" w:cs="Times New Roman"/>
                <w:color w:val="auto"/>
                <w:sz w:val="22"/>
                <w:szCs w:val="24"/>
              </w:rPr>
            </w:pPr>
          </w:p>
        </w:tc>
        <w:tc>
          <w:tcPr>
            <w:tcW w:w="1214" w:type="pct"/>
            <w:vAlign w:val="center"/>
          </w:tcPr>
          <w:p w14:paraId="30AB6A33">
            <w:pPr>
              <w:jc w:val="center"/>
              <w:rPr>
                <w:rFonts w:hint="eastAsia"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总有机碳</w:t>
            </w:r>
          </w:p>
        </w:tc>
        <w:tc>
          <w:tcPr>
            <w:tcW w:w="1329" w:type="pct"/>
            <w:shd w:val="clear" w:color="auto" w:fill="auto"/>
            <w:vAlign w:val="center"/>
          </w:tcPr>
          <w:p w14:paraId="5AE9EF49">
            <w:pPr>
              <w:jc w:val="center"/>
              <w:rPr>
                <w:rFonts w:hint="eastAsia"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lang w:val="en-US" w:eastAsia="zh-CN"/>
              </w:rPr>
              <w:t>0.3065</w:t>
            </w:r>
          </w:p>
        </w:tc>
        <w:tc>
          <w:tcPr>
            <w:tcW w:w="1478" w:type="pct"/>
            <w:vAlign w:val="center"/>
          </w:tcPr>
          <w:p w14:paraId="0FFB8B65">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1.56</w:t>
            </w:r>
          </w:p>
        </w:tc>
      </w:tr>
      <w:tr w14:paraId="27544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5" w:type="pct"/>
            <w:vMerge w:val="continue"/>
            <w:vAlign w:val="center"/>
          </w:tcPr>
          <w:p w14:paraId="12A2F146">
            <w:pPr>
              <w:jc w:val="center"/>
              <w:rPr>
                <w:rFonts w:ascii="Times New Roman" w:hAnsi="Times New Roman" w:eastAsia="宋体" w:cs="Times New Roman"/>
                <w:color w:val="auto"/>
                <w:sz w:val="22"/>
                <w:szCs w:val="24"/>
              </w:rPr>
            </w:pPr>
          </w:p>
        </w:tc>
        <w:tc>
          <w:tcPr>
            <w:tcW w:w="612" w:type="pct"/>
            <w:vMerge w:val="continue"/>
            <w:vAlign w:val="center"/>
          </w:tcPr>
          <w:p w14:paraId="5B24772C">
            <w:pPr>
              <w:jc w:val="center"/>
              <w:rPr>
                <w:rFonts w:ascii="Times New Roman" w:hAnsi="Times New Roman" w:eastAsia="宋体" w:cs="Times New Roman"/>
                <w:color w:val="auto"/>
                <w:sz w:val="22"/>
                <w:szCs w:val="24"/>
              </w:rPr>
            </w:pPr>
          </w:p>
        </w:tc>
        <w:tc>
          <w:tcPr>
            <w:tcW w:w="1214" w:type="pct"/>
            <w:vAlign w:val="center"/>
          </w:tcPr>
          <w:p w14:paraId="028ABF3C">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总锌</w:t>
            </w:r>
          </w:p>
        </w:tc>
        <w:tc>
          <w:tcPr>
            <w:tcW w:w="1329" w:type="pct"/>
            <w:shd w:val="clear" w:color="auto" w:fill="auto"/>
            <w:vAlign w:val="center"/>
          </w:tcPr>
          <w:p w14:paraId="6C0F1461">
            <w:pPr>
              <w:jc w:val="center"/>
              <w:rPr>
                <w:rFonts w:hint="eastAsia"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lang w:val="en-US" w:eastAsia="zh-CN"/>
              </w:rPr>
              <w:t>0.0014</w:t>
            </w:r>
          </w:p>
        </w:tc>
        <w:tc>
          <w:tcPr>
            <w:tcW w:w="1478" w:type="pct"/>
            <w:vAlign w:val="center"/>
          </w:tcPr>
          <w:p w14:paraId="04FC10B8">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0.007</w:t>
            </w:r>
          </w:p>
        </w:tc>
      </w:tr>
      <w:tr w14:paraId="0D8B3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5" w:type="pct"/>
            <w:vMerge w:val="continue"/>
            <w:vAlign w:val="center"/>
          </w:tcPr>
          <w:p w14:paraId="0D55785E">
            <w:pPr>
              <w:jc w:val="center"/>
              <w:rPr>
                <w:rFonts w:ascii="Times New Roman" w:hAnsi="Times New Roman" w:eastAsia="宋体" w:cs="Times New Roman"/>
                <w:color w:val="auto"/>
                <w:sz w:val="22"/>
                <w:szCs w:val="24"/>
              </w:rPr>
            </w:pPr>
          </w:p>
        </w:tc>
        <w:tc>
          <w:tcPr>
            <w:tcW w:w="612" w:type="pct"/>
            <w:vMerge w:val="continue"/>
            <w:vAlign w:val="center"/>
          </w:tcPr>
          <w:p w14:paraId="0F54AF78">
            <w:pPr>
              <w:jc w:val="center"/>
              <w:rPr>
                <w:rFonts w:ascii="Times New Roman" w:hAnsi="Times New Roman" w:eastAsia="宋体" w:cs="Times New Roman"/>
                <w:color w:val="auto"/>
                <w:sz w:val="22"/>
                <w:szCs w:val="24"/>
              </w:rPr>
            </w:pPr>
          </w:p>
        </w:tc>
        <w:tc>
          <w:tcPr>
            <w:tcW w:w="1214" w:type="pct"/>
            <w:vAlign w:val="center"/>
          </w:tcPr>
          <w:p w14:paraId="0EB75296">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总氮</w:t>
            </w:r>
          </w:p>
        </w:tc>
        <w:tc>
          <w:tcPr>
            <w:tcW w:w="1329" w:type="pct"/>
            <w:shd w:val="clear" w:color="auto" w:fill="auto"/>
            <w:vAlign w:val="center"/>
          </w:tcPr>
          <w:p w14:paraId="3C17E0D8">
            <w:pPr>
              <w:jc w:val="center"/>
              <w:rPr>
                <w:rFonts w:hint="eastAsia"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lang w:val="en-US" w:eastAsia="zh-CN"/>
              </w:rPr>
              <w:t>0.1598</w:t>
            </w:r>
          </w:p>
        </w:tc>
        <w:tc>
          <w:tcPr>
            <w:tcW w:w="1478" w:type="pct"/>
            <w:vAlign w:val="center"/>
          </w:tcPr>
          <w:p w14:paraId="4C39C334">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0.81</w:t>
            </w:r>
          </w:p>
        </w:tc>
      </w:tr>
      <w:tr w14:paraId="22045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5" w:type="pct"/>
            <w:vMerge w:val="continue"/>
            <w:vAlign w:val="center"/>
          </w:tcPr>
          <w:p w14:paraId="0F86414A">
            <w:pPr>
              <w:jc w:val="center"/>
              <w:rPr>
                <w:rFonts w:ascii="Times New Roman" w:hAnsi="Times New Roman" w:eastAsia="宋体" w:cs="Times New Roman"/>
                <w:color w:val="auto"/>
                <w:sz w:val="22"/>
                <w:szCs w:val="24"/>
              </w:rPr>
            </w:pPr>
          </w:p>
        </w:tc>
        <w:tc>
          <w:tcPr>
            <w:tcW w:w="612" w:type="pct"/>
            <w:vMerge w:val="continue"/>
            <w:vAlign w:val="center"/>
          </w:tcPr>
          <w:p w14:paraId="33B9DC28">
            <w:pPr>
              <w:jc w:val="center"/>
              <w:rPr>
                <w:rFonts w:ascii="Times New Roman" w:hAnsi="Times New Roman" w:eastAsia="宋体" w:cs="Times New Roman"/>
                <w:color w:val="auto"/>
                <w:sz w:val="22"/>
                <w:szCs w:val="24"/>
              </w:rPr>
            </w:pPr>
          </w:p>
        </w:tc>
        <w:tc>
          <w:tcPr>
            <w:tcW w:w="1214" w:type="pct"/>
            <w:vAlign w:val="center"/>
          </w:tcPr>
          <w:p w14:paraId="578A44B8">
            <w:pPr>
              <w:jc w:val="center"/>
              <w:rPr>
                <w:rFonts w:hint="eastAsia"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氨氮</w:t>
            </w:r>
          </w:p>
        </w:tc>
        <w:tc>
          <w:tcPr>
            <w:tcW w:w="1329" w:type="pct"/>
            <w:shd w:val="clear" w:color="auto" w:fill="auto"/>
            <w:vAlign w:val="center"/>
          </w:tcPr>
          <w:p w14:paraId="1367AFCB">
            <w:pPr>
              <w:jc w:val="center"/>
              <w:rPr>
                <w:rFonts w:hint="eastAsia"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lang w:val="en-US" w:eastAsia="zh-CN"/>
              </w:rPr>
              <w:t>0.0443</w:t>
            </w:r>
          </w:p>
        </w:tc>
        <w:tc>
          <w:tcPr>
            <w:tcW w:w="1478" w:type="pct"/>
            <w:vAlign w:val="center"/>
          </w:tcPr>
          <w:p w14:paraId="70ED7B1E">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0.22</w:t>
            </w:r>
          </w:p>
        </w:tc>
      </w:tr>
      <w:tr w14:paraId="6A685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5" w:type="pct"/>
            <w:vMerge w:val="continue"/>
            <w:vAlign w:val="center"/>
          </w:tcPr>
          <w:p w14:paraId="3DAD87FC">
            <w:pPr>
              <w:jc w:val="center"/>
              <w:rPr>
                <w:rFonts w:ascii="Times New Roman" w:hAnsi="Times New Roman" w:eastAsia="宋体" w:cs="Times New Roman"/>
                <w:color w:val="auto"/>
                <w:sz w:val="22"/>
                <w:szCs w:val="24"/>
              </w:rPr>
            </w:pPr>
          </w:p>
        </w:tc>
        <w:tc>
          <w:tcPr>
            <w:tcW w:w="612" w:type="pct"/>
            <w:vMerge w:val="continue"/>
            <w:vAlign w:val="center"/>
          </w:tcPr>
          <w:p w14:paraId="00D058CE">
            <w:pPr>
              <w:jc w:val="center"/>
              <w:rPr>
                <w:rFonts w:ascii="Times New Roman" w:hAnsi="Times New Roman" w:eastAsia="宋体" w:cs="Times New Roman"/>
                <w:color w:val="auto"/>
                <w:sz w:val="22"/>
                <w:szCs w:val="24"/>
              </w:rPr>
            </w:pPr>
          </w:p>
        </w:tc>
        <w:tc>
          <w:tcPr>
            <w:tcW w:w="1214" w:type="pct"/>
            <w:vAlign w:val="center"/>
          </w:tcPr>
          <w:p w14:paraId="5D291059">
            <w:pPr>
              <w:jc w:val="center"/>
              <w:rPr>
                <w:rFonts w:hint="eastAsia"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总磷</w:t>
            </w:r>
          </w:p>
        </w:tc>
        <w:tc>
          <w:tcPr>
            <w:tcW w:w="1329" w:type="pct"/>
            <w:shd w:val="clear" w:color="auto" w:fill="auto"/>
            <w:vAlign w:val="center"/>
          </w:tcPr>
          <w:p w14:paraId="4768A460">
            <w:pPr>
              <w:jc w:val="center"/>
              <w:rPr>
                <w:rFonts w:hint="eastAsia"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lang w:val="en-US" w:eastAsia="zh-CN"/>
              </w:rPr>
              <w:t>0.0116</w:t>
            </w:r>
          </w:p>
        </w:tc>
        <w:tc>
          <w:tcPr>
            <w:tcW w:w="1478" w:type="pct"/>
            <w:vAlign w:val="center"/>
          </w:tcPr>
          <w:p w14:paraId="3E6F7CBB">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0.06</w:t>
            </w:r>
          </w:p>
        </w:tc>
      </w:tr>
    </w:tbl>
    <w:p w14:paraId="448D0710">
      <w:pPr>
        <w:spacing w:line="360" w:lineRule="auto"/>
        <w:ind w:firstLine="480" w:firstLineChars="200"/>
        <w:rPr>
          <w:rFonts w:hint="eastAsia" w:ascii="Times New Roman" w:hAnsi="Times New Roman" w:eastAsia="宋体" w:cs="宋体"/>
          <w:color w:val="auto"/>
          <w:sz w:val="24"/>
          <w:szCs w:val="24"/>
          <w:u w:val="none"/>
          <w:lang w:val="en-US" w:eastAsia="zh-CN"/>
        </w:rPr>
      </w:pPr>
      <w:r>
        <w:rPr>
          <w:rFonts w:hint="eastAsia" w:ascii="Times New Roman" w:hAnsi="Times New Roman" w:eastAsia="宋体" w:cs="宋体"/>
          <w:color w:val="auto"/>
          <w:sz w:val="24"/>
          <w:szCs w:val="24"/>
          <w:u w:val="none"/>
          <w:lang w:val="en-US" w:eastAsia="zh-CN"/>
        </w:rPr>
        <w:t>根据</w:t>
      </w:r>
      <w:r>
        <w:rPr>
          <w:rFonts w:hint="eastAsia" w:ascii="Times New Roman" w:hAnsi="Times New Roman" w:eastAsia="宋体" w:cs="宋体"/>
          <w:color w:val="auto"/>
          <w:sz w:val="24"/>
          <w:szCs w:val="24"/>
          <w:u w:val="none"/>
          <w:lang w:eastAsia="zh-CN"/>
        </w:rPr>
        <w:t>《</w:t>
      </w:r>
      <w:r>
        <w:rPr>
          <w:rFonts w:hint="eastAsia" w:ascii="Times New Roman" w:hAnsi="Times New Roman" w:eastAsia="宋体" w:cs="宋体"/>
          <w:color w:val="auto"/>
          <w:sz w:val="24"/>
          <w:szCs w:val="24"/>
          <w:u w:val="none"/>
          <w:lang w:val="en-US" w:eastAsia="zh-CN"/>
        </w:rPr>
        <w:t>年产10万标吨系列酶制剂生产线项目环境影响报告表</w:t>
      </w:r>
      <w:r>
        <w:rPr>
          <w:rFonts w:hint="eastAsia" w:ascii="Times New Roman" w:hAnsi="Times New Roman" w:eastAsia="宋体" w:cs="宋体"/>
          <w:color w:val="auto"/>
          <w:sz w:val="24"/>
          <w:szCs w:val="24"/>
          <w:u w:val="none"/>
          <w:lang w:eastAsia="zh-CN"/>
        </w:rPr>
        <w:t>》</w:t>
      </w:r>
      <w:r>
        <w:rPr>
          <w:rFonts w:hint="eastAsia" w:ascii="Times New Roman" w:hAnsi="Times New Roman" w:eastAsia="宋体" w:cs="宋体"/>
          <w:color w:val="auto"/>
          <w:sz w:val="24"/>
          <w:szCs w:val="24"/>
          <w:u w:val="none"/>
          <w:lang w:val="en-US" w:eastAsia="zh-CN"/>
        </w:rPr>
        <w:t>中年产10万标吨酶制剂污染物排放量，核算产能降为1万标吨糖化酶后污染物排放量，现厂区已无燃煤锅炉，大气污染物无</w:t>
      </w:r>
      <w:r>
        <w:rPr>
          <w:rFonts w:hint="eastAsia" w:ascii="Times New Roman" w:hAnsi="Times New Roman" w:eastAsia="宋体" w:cs="Times New Roman"/>
          <w:color w:val="auto"/>
          <w:sz w:val="22"/>
          <w:szCs w:val="24"/>
        </w:rPr>
        <w:t>S</w:t>
      </w:r>
      <w:r>
        <w:rPr>
          <w:rFonts w:ascii="Times New Roman" w:hAnsi="Times New Roman" w:eastAsia="宋体" w:cs="Times New Roman"/>
          <w:color w:val="auto"/>
          <w:sz w:val="22"/>
          <w:szCs w:val="24"/>
        </w:rPr>
        <w:t>O</w:t>
      </w:r>
      <w:r>
        <w:rPr>
          <w:rFonts w:ascii="Times New Roman" w:hAnsi="Times New Roman" w:eastAsia="宋体" w:cs="Times New Roman"/>
          <w:color w:val="auto"/>
          <w:sz w:val="22"/>
          <w:szCs w:val="24"/>
          <w:vertAlign w:val="subscript"/>
        </w:rPr>
        <w:t>2</w:t>
      </w:r>
      <w:r>
        <w:rPr>
          <w:rFonts w:hint="eastAsia" w:ascii="Times New Roman" w:hAnsi="Times New Roman" w:eastAsia="宋体" w:cs="宋体"/>
          <w:color w:val="auto"/>
          <w:sz w:val="24"/>
          <w:szCs w:val="24"/>
          <w:u w:val="none"/>
          <w:lang w:val="en-US" w:eastAsia="zh-CN"/>
        </w:rPr>
        <w:t>和</w:t>
      </w:r>
      <w:r>
        <w:rPr>
          <w:rFonts w:hint="eastAsia" w:ascii="Times New Roman" w:hAnsi="Times New Roman" w:eastAsia="宋体" w:cs="Times New Roman"/>
          <w:color w:val="auto"/>
          <w:sz w:val="22"/>
          <w:szCs w:val="24"/>
        </w:rPr>
        <w:t>N</w:t>
      </w:r>
      <w:r>
        <w:rPr>
          <w:rFonts w:ascii="Times New Roman" w:hAnsi="Times New Roman" w:eastAsia="宋体" w:cs="Times New Roman"/>
          <w:color w:val="auto"/>
          <w:sz w:val="22"/>
          <w:szCs w:val="24"/>
        </w:rPr>
        <w:t>O</w:t>
      </w:r>
      <w:r>
        <w:rPr>
          <w:rFonts w:hint="eastAsia" w:ascii="Times New Roman" w:hAnsi="Times New Roman" w:eastAsia="宋体" w:cs="Times New Roman"/>
          <w:color w:val="auto"/>
          <w:sz w:val="22"/>
          <w:szCs w:val="24"/>
        </w:rPr>
        <w:t>x</w:t>
      </w:r>
      <w:r>
        <w:rPr>
          <w:rFonts w:hint="eastAsia" w:ascii="Times New Roman" w:hAnsi="Times New Roman" w:eastAsia="宋体" w:cs="Times New Roman"/>
          <w:color w:val="auto"/>
          <w:sz w:val="22"/>
          <w:szCs w:val="24"/>
          <w:lang w:eastAsia="zh-CN"/>
        </w:rPr>
        <w:t>。</w:t>
      </w:r>
      <w:r>
        <w:rPr>
          <w:rFonts w:hint="eastAsia" w:ascii="Times New Roman" w:hAnsi="Times New Roman" w:eastAsia="宋体" w:cs="宋体"/>
          <w:color w:val="auto"/>
          <w:sz w:val="24"/>
          <w:szCs w:val="24"/>
          <w:u w:val="none"/>
          <w:lang w:val="en-US" w:eastAsia="zh-CN"/>
        </w:rPr>
        <w:t>如下表所示：</w:t>
      </w:r>
    </w:p>
    <w:p w14:paraId="3687325E">
      <w:pPr>
        <w:pStyle w:val="6"/>
        <w:bidi w:val="0"/>
        <w:rPr>
          <w:rFonts w:hint="eastAsia"/>
          <w:lang w:val="en-US" w:eastAsia="zh-CN"/>
        </w:rPr>
      </w:pPr>
      <w:r>
        <w:rPr>
          <w:rFonts w:hint="eastAsia"/>
          <w:lang w:val="en-US" w:eastAsia="zh-CN"/>
        </w:rPr>
        <w:t>表</w:t>
      </w:r>
      <w:r>
        <w:rPr>
          <w:rFonts w:hint="eastAsia"/>
        </w:rPr>
        <w:t>3.1.14-</w:t>
      </w:r>
      <w:r>
        <w:rPr>
          <w:rFonts w:hint="eastAsia"/>
          <w:lang w:val="en-US" w:eastAsia="zh-CN"/>
        </w:rPr>
        <w:t>3 年产1万标吨糖化酶污染物排放量一览表（单位：t/a）</w:t>
      </w:r>
    </w:p>
    <w:tbl>
      <w:tblPr>
        <w:tblStyle w:val="41"/>
        <w:tblW w:w="491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
        <w:gridCol w:w="786"/>
        <w:gridCol w:w="2035"/>
        <w:gridCol w:w="2402"/>
        <w:gridCol w:w="2304"/>
      </w:tblGrid>
      <w:tr w14:paraId="3AA9B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91" w:type="pct"/>
            <w:gridSpan w:val="3"/>
            <w:vAlign w:val="center"/>
          </w:tcPr>
          <w:p w14:paraId="7F0963E0">
            <w:pPr>
              <w:jc w:val="center"/>
              <w:rPr>
                <w:rFonts w:hint="eastAsia" w:ascii="Times New Roman" w:hAnsi="Times New Roman" w:eastAsia="宋体" w:cs="Times New Roman"/>
                <w:b/>
                <w:bCs/>
                <w:color w:val="auto"/>
                <w:sz w:val="22"/>
                <w:szCs w:val="24"/>
              </w:rPr>
            </w:pPr>
            <w:r>
              <w:rPr>
                <w:rFonts w:hint="eastAsia" w:ascii="Times New Roman" w:hAnsi="Times New Roman" w:eastAsia="宋体" w:cs="Times New Roman"/>
                <w:b/>
                <w:bCs/>
                <w:color w:val="auto"/>
                <w:sz w:val="22"/>
                <w:szCs w:val="24"/>
              </w:rPr>
              <w:t>污染物类型</w:t>
            </w:r>
          </w:p>
        </w:tc>
        <w:tc>
          <w:tcPr>
            <w:tcW w:w="1433" w:type="pct"/>
            <w:shd w:val="clear" w:color="auto" w:fill="auto"/>
            <w:vAlign w:val="center"/>
          </w:tcPr>
          <w:p w14:paraId="18D5C96B">
            <w:pPr>
              <w:jc w:val="center"/>
              <w:rPr>
                <w:rFonts w:hint="eastAsia" w:ascii="Times New Roman" w:hAnsi="Times New Roman" w:eastAsia="宋体" w:cs="Times New Roman"/>
                <w:b/>
                <w:bCs/>
                <w:color w:val="auto"/>
                <w:kern w:val="2"/>
                <w:sz w:val="22"/>
                <w:szCs w:val="24"/>
                <w:lang w:val="en-US" w:eastAsia="zh-CN" w:bidi="ar-SA"/>
              </w:rPr>
            </w:pPr>
            <w:r>
              <w:rPr>
                <w:rFonts w:hint="eastAsia" w:ascii="Times New Roman" w:hAnsi="Times New Roman" w:eastAsia="宋体" w:cs="Times New Roman"/>
                <w:b/>
                <w:bCs/>
                <w:color w:val="auto"/>
                <w:sz w:val="22"/>
                <w:szCs w:val="24"/>
                <w:lang w:val="en-US" w:eastAsia="zh-CN"/>
              </w:rPr>
              <w:t>年产10万标吨</w:t>
            </w:r>
            <w:r>
              <w:rPr>
                <w:rFonts w:hint="eastAsia" w:ascii="Times New Roman" w:hAnsi="Times New Roman" w:eastAsia="宋体" w:cs="Times New Roman"/>
                <w:b/>
                <w:bCs/>
                <w:color w:val="auto"/>
                <w:sz w:val="22"/>
                <w:szCs w:val="24"/>
              </w:rPr>
              <w:t>排放量</w:t>
            </w:r>
          </w:p>
        </w:tc>
        <w:tc>
          <w:tcPr>
            <w:tcW w:w="1374" w:type="pct"/>
            <w:vAlign w:val="center"/>
          </w:tcPr>
          <w:p w14:paraId="0394941F">
            <w:pPr>
              <w:jc w:val="center"/>
              <w:rPr>
                <w:rFonts w:hint="default" w:ascii="Times New Roman" w:hAnsi="Times New Roman" w:eastAsia="宋体" w:cs="Times New Roman"/>
                <w:b/>
                <w:bCs/>
                <w:color w:val="auto"/>
                <w:sz w:val="22"/>
                <w:szCs w:val="24"/>
                <w:lang w:val="en-US" w:eastAsia="zh-CN"/>
              </w:rPr>
            </w:pPr>
            <w:r>
              <w:rPr>
                <w:rFonts w:hint="eastAsia" w:ascii="Times New Roman" w:hAnsi="Times New Roman" w:eastAsia="宋体" w:cs="Times New Roman"/>
                <w:b/>
                <w:bCs/>
                <w:color w:val="auto"/>
                <w:sz w:val="22"/>
                <w:szCs w:val="24"/>
                <w:lang w:val="en-US" w:eastAsia="zh-CN"/>
              </w:rPr>
              <w:t>年产1万标吨</w:t>
            </w:r>
            <w:r>
              <w:rPr>
                <w:rFonts w:hint="eastAsia" w:ascii="Times New Roman" w:hAnsi="Times New Roman" w:eastAsia="宋体" w:cs="Times New Roman"/>
                <w:b/>
                <w:bCs/>
                <w:color w:val="auto"/>
                <w:sz w:val="22"/>
                <w:szCs w:val="24"/>
              </w:rPr>
              <w:t>排放量</w:t>
            </w:r>
          </w:p>
        </w:tc>
      </w:tr>
      <w:tr w14:paraId="7F57A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8" w:type="pct"/>
            <w:shd w:val="clear" w:color="auto" w:fill="auto"/>
            <w:vAlign w:val="center"/>
          </w:tcPr>
          <w:p w14:paraId="6A63D280">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lang w:val="en-US" w:eastAsia="zh-CN"/>
              </w:rPr>
              <w:t>废气</w:t>
            </w:r>
          </w:p>
        </w:tc>
        <w:tc>
          <w:tcPr>
            <w:tcW w:w="469" w:type="pct"/>
            <w:shd w:val="clear" w:color="auto" w:fill="auto"/>
            <w:vAlign w:val="center"/>
          </w:tcPr>
          <w:p w14:paraId="2D704D44">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lang w:val="en-US" w:eastAsia="zh-CN"/>
              </w:rPr>
              <w:t>全厂</w:t>
            </w:r>
          </w:p>
        </w:tc>
        <w:tc>
          <w:tcPr>
            <w:tcW w:w="1214" w:type="pct"/>
            <w:shd w:val="clear" w:color="auto" w:fill="auto"/>
            <w:vAlign w:val="center"/>
          </w:tcPr>
          <w:p w14:paraId="2B945D97">
            <w:pPr>
              <w:jc w:val="center"/>
              <w:rPr>
                <w:rFonts w:hint="eastAsia"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lang w:val="en-US" w:eastAsia="zh-CN"/>
              </w:rPr>
              <w:t>颗粒物</w:t>
            </w:r>
          </w:p>
        </w:tc>
        <w:tc>
          <w:tcPr>
            <w:tcW w:w="1433" w:type="pct"/>
            <w:shd w:val="clear" w:color="auto" w:fill="auto"/>
            <w:vAlign w:val="center"/>
          </w:tcPr>
          <w:p w14:paraId="378C4D0B">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kern w:val="2"/>
                <w:sz w:val="22"/>
                <w:szCs w:val="24"/>
                <w:lang w:val="en-US" w:eastAsia="zh-CN" w:bidi="ar-SA"/>
              </w:rPr>
              <w:t>0.07</w:t>
            </w:r>
          </w:p>
        </w:tc>
        <w:tc>
          <w:tcPr>
            <w:tcW w:w="1374" w:type="pct"/>
            <w:shd w:val="clear" w:color="auto" w:fill="auto"/>
            <w:vAlign w:val="center"/>
          </w:tcPr>
          <w:p w14:paraId="3CC9146D">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lang w:val="en-US" w:eastAsia="zh-CN"/>
              </w:rPr>
              <w:t>0.007</w:t>
            </w:r>
          </w:p>
        </w:tc>
      </w:tr>
      <w:tr w14:paraId="78F35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8" w:type="pct"/>
            <w:vMerge w:val="restart"/>
            <w:vAlign w:val="center"/>
          </w:tcPr>
          <w:p w14:paraId="2AE182C5">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废水</w:t>
            </w:r>
          </w:p>
        </w:tc>
        <w:tc>
          <w:tcPr>
            <w:tcW w:w="469" w:type="pct"/>
            <w:vMerge w:val="restart"/>
            <w:vAlign w:val="center"/>
          </w:tcPr>
          <w:p w14:paraId="113889D9">
            <w:pPr>
              <w:jc w:val="center"/>
              <w:rPr>
                <w:rFonts w:hint="eastAsia"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全厂</w:t>
            </w:r>
          </w:p>
        </w:tc>
        <w:tc>
          <w:tcPr>
            <w:tcW w:w="1214" w:type="pct"/>
            <w:vAlign w:val="center"/>
          </w:tcPr>
          <w:p w14:paraId="5993C7B5">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悬浮物</w:t>
            </w:r>
          </w:p>
        </w:tc>
        <w:tc>
          <w:tcPr>
            <w:tcW w:w="1433" w:type="pct"/>
            <w:shd w:val="clear" w:color="auto" w:fill="auto"/>
            <w:vAlign w:val="center"/>
          </w:tcPr>
          <w:p w14:paraId="451903BD">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kern w:val="2"/>
                <w:sz w:val="22"/>
                <w:szCs w:val="24"/>
                <w:lang w:val="en-US" w:eastAsia="zh-CN" w:bidi="ar-SA"/>
              </w:rPr>
              <w:t>10.59</w:t>
            </w:r>
          </w:p>
        </w:tc>
        <w:tc>
          <w:tcPr>
            <w:tcW w:w="1374" w:type="pct"/>
            <w:vAlign w:val="center"/>
          </w:tcPr>
          <w:p w14:paraId="3845D63E">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1.059</w:t>
            </w:r>
          </w:p>
        </w:tc>
      </w:tr>
      <w:tr w14:paraId="00B81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8" w:type="pct"/>
            <w:vMerge w:val="continue"/>
            <w:vAlign w:val="center"/>
          </w:tcPr>
          <w:p w14:paraId="21710A27">
            <w:pPr>
              <w:jc w:val="center"/>
              <w:rPr>
                <w:rFonts w:ascii="Times New Roman" w:hAnsi="Times New Roman" w:eastAsia="宋体" w:cs="Times New Roman"/>
                <w:color w:val="auto"/>
                <w:sz w:val="22"/>
                <w:szCs w:val="24"/>
              </w:rPr>
            </w:pPr>
          </w:p>
        </w:tc>
        <w:tc>
          <w:tcPr>
            <w:tcW w:w="469" w:type="pct"/>
            <w:vMerge w:val="continue"/>
            <w:vAlign w:val="center"/>
          </w:tcPr>
          <w:p w14:paraId="74188C81">
            <w:pPr>
              <w:jc w:val="center"/>
              <w:rPr>
                <w:rFonts w:ascii="Times New Roman" w:hAnsi="Times New Roman" w:eastAsia="宋体" w:cs="Times New Roman"/>
                <w:color w:val="auto"/>
                <w:sz w:val="22"/>
                <w:szCs w:val="24"/>
              </w:rPr>
            </w:pPr>
          </w:p>
        </w:tc>
        <w:tc>
          <w:tcPr>
            <w:tcW w:w="1214" w:type="pct"/>
            <w:vAlign w:val="center"/>
          </w:tcPr>
          <w:p w14:paraId="5B982EE1">
            <w:pPr>
              <w:jc w:val="center"/>
              <w:rPr>
                <w:rFonts w:hint="eastAsia"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五日生化需氧量</w:t>
            </w:r>
          </w:p>
        </w:tc>
        <w:tc>
          <w:tcPr>
            <w:tcW w:w="1433" w:type="pct"/>
            <w:shd w:val="clear" w:color="auto" w:fill="auto"/>
            <w:vAlign w:val="center"/>
          </w:tcPr>
          <w:p w14:paraId="50C2F1DA">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kern w:val="2"/>
                <w:sz w:val="22"/>
                <w:szCs w:val="24"/>
                <w:lang w:val="en-US" w:eastAsia="zh-CN" w:bidi="ar-SA"/>
              </w:rPr>
              <w:t>5.78</w:t>
            </w:r>
          </w:p>
        </w:tc>
        <w:tc>
          <w:tcPr>
            <w:tcW w:w="1374" w:type="pct"/>
            <w:vAlign w:val="center"/>
          </w:tcPr>
          <w:p w14:paraId="7BE7EC41">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0.578</w:t>
            </w:r>
          </w:p>
        </w:tc>
      </w:tr>
      <w:tr w14:paraId="16BC1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8" w:type="pct"/>
            <w:vMerge w:val="continue"/>
            <w:vAlign w:val="center"/>
          </w:tcPr>
          <w:p w14:paraId="6D1A584C">
            <w:pPr>
              <w:jc w:val="center"/>
              <w:rPr>
                <w:rFonts w:ascii="Times New Roman" w:hAnsi="Times New Roman" w:eastAsia="宋体" w:cs="Times New Roman"/>
                <w:color w:val="auto"/>
                <w:sz w:val="22"/>
                <w:szCs w:val="24"/>
              </w:rPr>
            </w:pPr>
          </w:p>
        </w:tc>
        <w:tc>
          <w:tcPr>
            <w:tcW w:w="469" w:type="pct"/>
            <w:vMerge w:val="continue"/>
            <w:vAlign w:val="center"/>
          </w:tcPr>
          <w:p w14:paraId="1485D67A">
            <w:pPr>
              <w:jc w:val="center"/>
              <w:rPr>
                <w:rFonts w:ascii="Times New Roman" w:hAnsi="Times New Roman" w:eastAsia="宋体" w:cs="Times New Roman"/>
                <w:color w:val="auto"/>
                <w:sz w:val="22"/>
                <w:szCs w:val="24"/>
              </w:rPr>
            </w:pPr>
          </w:p>
        </w:tc>
        <w:tc>
          <w:tcPr>
            <w:tcW w:w="1214" w:type="pct"/>
            <w:vAlign w:val="center"/>
          </w:tcPr>
          <w:p w14:paraId="06C4944F">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化学需氧量</w:t>
            </w:r>
          </w:p>
        </w:tc>
        <w:tc>
          <w:tcPr>
            <w:tcW w:w="1433" w:type="pct"/>
            <w:shd w:val="clear" w:color="auto" w:fill="auto"/>
            <w:vAlign w:val="center"/>
          </w:tcPr>
          <w:p w14:paraId="5AA68F89">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kern w:val="2"/>
                <w:sz w:val="22"/>
                <w:szCs w:val="24"/>
                <w:lang w:val="en-US" w:eastAsia="zh-CN" w:bidi="ar-SA"/>
              </w:rPr>
              <w:t>12.52</w:t>
            </w:r>
          </w:p>
        </w:tc>
        <w:tc>
          <w:tcPr>
            <w:tcW w:w="1374" w:type="pct"/>
            <w:vAlign w:val="center"/>
          </w:tcPr>
          <w:p w14:paraId="3B05AE35">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1.252</w:t>
            </w:r>
          </w:p>
        </w:tc>
      </w:tr>
      <w:tr w14:paraId="01592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8" w:type="pct"/>
            <w:vMerge w:val="continue"/>
            <w:vAlign w:val="center"/>
          </w:tcPr>
          <w:p w14:paraId="49FB9618">
            <w:pPr>
              <w:jc w:val="center"/>
              <w:rPr>
                <w:rFonts w:ascii="Times New Roman" w:hAnsi="Times New Roman" w:eastAsia="宋体" w:cs="Times New Roman"/>
                <w:color w:val="auto"/>
                <w:sz w:val="22"/>
                <w:szCs w:val="24"/>
              </w:rPr>
            </w:pPr>
          </w:p>
        </w:tc>
        <w:tc>
          <w:tcPr>
            <w:tcW w:w="469" w:type="pct"/>
            <w:vMerge w:val="continue"/>
            <w:vAlign w:val="center"/>
          </w:tcPr>
          <w:p w14:paraId="40D143F6">
            <w:pPr>
              <w:jc w:val="center"/>
              <w:rPr>
                <w:rFonts w:ascii="Times New Roman" w:hAnsi="Times New Roman" w:eastAsia="宋体" w:cs="Times New Roman"/>
                <w:color w:val="auto"/>
                <w:sz w:val="22"/>
                <w:szCs w:val="24"/>
              </w:rPr>
            </w:pPr>
          </w:p>
        </w:tc>
        <w:tc>
          <w:tcPr>
            <w:tcW w:w="1214" w:type="pct"/>
            <w:vAlign w:val="center"/>
          </w:tcPr>
          <w:p w14:paraId="31F2B18C">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总磷</w:t>
            </w:r>
          </w:p>
        </w:tc>
        <w:tc>
          <w:tcPr>
            <w:tcW w:w="1433" w:type="pct"/>
            <w:shd w:val="clear" w:color="auto" w:fill="auto"/>
            <w:vAlign w:val="center"/>
          </w:tcPr>
          <w:p w14:paraId="76ADD0FC">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kern w:val="2"/>
                <w:sz w:val="22"/>
                <w:szCs w:val="24"/>
                <w:lang w:val="en-US" w:eastAsia="zh-CN" w:bidi="ar-SA"/>
              </w:rPr>
              <w:t>0.17</w:t>
            </w:r>
          </w:p>
        </w:tc>
        <w:tc>
          <w:tcPr>
            <w:tcW w:w="1374" w:type="pct"/>
            <w:vAlign w:val="center"/>
          </w:tcPr>
          <w:p w14:paraId="7A3F6370">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0.017</w:t>
            </w:r>
          </w:p>
        </w:tc>
      </w:tr>
      <w:tr w14:paraId="5FC77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8" w:type="pct"/>
            <w:vMerge w:val="continue"/>
            <w:vAlign w:val="center"/>
          </w:tcPr>
          <w:p w14:paraId="28994636">
            <w:pPr>
              <w:jc w:val="center"/>
              <w:rPr>
                <w:rFonts w:ascii="Times New Roman" w:hAnsi="Times New Roman" w:eastAsia="宋体" w:cs="Times New Roman"/>
                <w:color w:val="auto"/>
                <w:sz w:val="22"/>
                <w:szCs w:val="24"/>
              </w:rPr>
            </w:pPr>
          </w:p>
        </w:tc>
        <w:tc>
          <w:tcPr>
            <w:tcW w:w="469" w:type="pct"/>
            <w:vMerge w:val="continue"/>
            <w:vAlign w:val="center"/>
          </w:tcPr>
          <w:p w14:paraId="5BE9A37B">
            <w:pPr>
              <w:jc w:val="center"/>
              <w:rPr>
                <w:rFonts w:ascii="Times New Roman" w:hAnsi="Times New Roman" w:eastAsia="宋体" w:cs="Times New Roman"/>
                <w:color w:val="auto"/>
                <w:sz w:val="22"/>
                <w:szCs w:val="24"/>
              </w:rPr>
            </w:pPr>
          </w:p>
        </w:tc>
        <w:tc>
          <w:tcPr>
            <w:tcW w:w="1214" w:type="pct"/>
            <w:vAlign w:val="center"/>
          </w:tcPr>
          <w:p w14:paraId="0E5DB82B">
            <w:pPr>
              <w:jc w:val="center"/>
              <w:rPr>
                <w:rFonts w:hint="eastAsia"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氨氮</w:t>
            </w:r>
          </w:p>
        </w:tc>
        <w:tc>
          <w:tcPr>
            <w:tcW w:w="1433" w:type="pct"/>
            <w:shd w:val="clear" w:color="auto" w:fill="auto"/>
            <w:vAlign w:val="center"/>
          </w:tcPr>
          <w:p w14:paraId="6B7A989D">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kern w:val="2"/>
                <w:sz w:val="22"/>
                <w:szCs w:val="24"/>
                <w:lang w:val="en-US" w:eastAsia="zh-CN" w:bidi="ar-SA"/>
              </w:rPr>
              <w:t>1.14</w:t>
            </w:r>
          </w:p>
        </w:tc>
        <w:tc>
          <w:tcPr>
            <w:tcW w:w="1374" w:type="pct"/>
            <w:vAlign w:val="center"/>
          </w:tcPr>
          <w:p w14:paraId="4FBDA707">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0.114</w:t>
            </w:r>
          </w:p>
        </w:tc>
      </w:tr>
    </w:tbl>
    <w:p w14:paraId="17E23343">
      <w:pPr>
        <w:spacing w:line="360" w:lineRule="auto"/>
        <w:ind w:firstLine="480" w:firstLineChars="200"/>
        <w:rPr>
          <w:rFonts w:ascii="Times New Roman" w:hAnsi="Times New Roman" w:eastAsia="宋体" w:cs="宋体"/>
          <w:color w:val="auto"/>
          <w:sz w:val="24"/>
          <w:szCs w:val="24"/>
          <w:u w:val="none"/>
        </w:rPr>
      </w:pPr>
      <w:r>
        <w:rPr>
          <w:rFonts w:hint="eastAsia" w:ascii="Times New Roman" w:hAnsi="Times New Roman" w:eastAsia="宋体" w:cs="宋体"/>
          <w:color w:val="auto"/>
          <w:sz w:val="24"/>
          <w:szCs w:val="24"/>
          <w:u w:val="none"/>
        </w:rPr>
        <w:t>则现有工程保留产品全厂污染物排放情况如下表所示：</w:t>
      </w:r>
    </w:p>
    <w:p w14:paraId="17DD9124">
      <w:pPr>
        <w:pStyle w:val="6"/>
        <w:bidi w:val="0"/>
      </w:pPr>
      <w:r>
        <w:rPr>
          <w:rFonts w:hint="eastAsia"/>
        </w:rPr>
        <w:t>表3.1.14-</w:t>
      </w:r>
      <w:r>
        <w:rPr>
          <w:rFonts w:hint="eastAsia"/>
          <w:lang w:val="en-US" w:eastAsia="zh-CN"/>
        </w:rPr>
        <w:t>4</w:t>
      </w:r>
      <w:r>
        <w:rPr>
          <w:rFonts w:hint="eastAsia"/>
        </w:rPr>
        <w:t xml:space="preserve">    现有工程保留产品污染物排放量核算一览表</w:t>
      </w:r>
    </w:p>
    <w:tbl>
      <w:tblPr>
        <w:tblStyle w:val="27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47"/>
        <w:gridCol w:w="2287"/>
        <w:gridCol w:w="2294"/>
        <w:gridCol w:w="2294"/>
      </w:tblGrid>
      <w:tr w14:paraId="6A05B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6" w:type="pct"/>
            <w:vAlign w:val="center"/>
          </w:tcPr>
          <w:p w14:paraId="2A15D524">
            <w:pPr>
              <w:jc w:val="center"/>
              <w:rPr>
                <w:rFonts w:ascii="Times New Roman" w:hAnsi="Times New Roman" w:eastAsia="宋体" w:cs="Times New Roman"/>
                <w:color w:val="auto"/>
                <w:kern w:val="0"/>
                <w:sz w:val="22"/>
                <w:szCs w:val="24"/>
              </w:rPr>
            </w:pPr>
            <w:r>
              <w:rPr>
                <w:rFonts w:ascii="Times New Roman" w:hAnsi="Times New Roman" w:eastAsia="宋体" w:cs="Times New Roman"/>
                <w:color w:val="auto"/>
                <w:kern w:val="0"/>
                <w:sz w:val="22"/>
                <w:szCs w:val="24"/>
              </w:rPr>
              <w:t>排放源</w:t>
            </w:r>
          </w:p>
        </w:tc>
        <w:tc>
          <w:tcPr>
            <w:tcW w:w="1341" w:type="pct"/>
            <w:vAlign w:val="center"/>
          </w:tcPr>
          <w:p w14:paraId="229E8F5C">
            <w:pPr>
              <w:jc w:val="center"/>
              <w:rPr>
                <w:rFonts w:ascii="Times New Roman" w:hAnsi="Times New Roman" w:eastAsia="宋体" w:cs="Times New Roman"/>
                <w:color w:val="auto"/>
                <w:kern w:val="0"/>
                <w:sz w:val="22"/>
                <w:szCs w:val="24"/>
              </w:rPr>
            </w:pPr>
            <w:r>
              <w:rPr>
                <w:rFonts w:ascii="Times New Roman" w:hAnsi="Times New Roman" w:eastAsia="宋体" w:cs="Times New Roman"/>
                <w:color w:val="auto"/>
                <w:kern w:val="0"/>
                <w:sz w:val="22"/>
                <w:szCs w:val="24"/>
              </w:rPr>
              <w:t>污染源名称</w:t>
            </w:r>
          </w:p>
        </w:tc>
        <w:tc>
          <w:tcPr>
            <w:tcW w:w="1345" w:type="pct"/>
            <w:vAlign w:val="center"/>
          </w:tcPr>
          <w:p w14:paraId="37EE88A0">
            <w:pPr>
              <w:jc w:val="center"/>
              <w:rPr>
                <w:rFonts w:ascii="Times New Roman" w:hAnsi="Times New Roman" w:eastAsia="宋体" w:cs="Times New Roman"/>
                <w:color w:val="auto"/>
                <w:kern w:val="0"/>
                <w:sz w:val="22"/>
                <w:szCs w:val="24"/>
              </w:rPr>
            </w:pPr>
            <w:r>
              <w:rPr>
                <w:rFonts w:hint="eastAsia" w:ascii="Times New Roman" w:hAnsi="Times New Roman" w:eastAsia="宋体" w:cs="Times New Roman"/>
                <w:color w:val="auto"/>
                <w:kern w:val="0"/>
                <w:sz w:val="22"/>
                <w:szCs w:val="24"/>
              </w:rPr>
              <w:t>保留</w:t>
            </w:r>
            <w:r>
              <w:rPr>
                <w:rFonts w:hint="eastAsia" w:ascii="Times New Roman" w:hAnsi="Times New Roman" w:eastAsia="宋体" w:cs="Times New Roman"/>
                <w:color w:val="auto"/>
                <w:kern w:val="0"/>
                <w:sz w:val="22"/>
                <w:szCs w:val="24"/>
                <w:lang w:val="en-US" w:eastAsia="zh-CN"/>
              </w:rPr>
              <w:t>2</w:t>
            </w:r>
            <w:r>
              <w:rPr>
                <w:rFonts w:hint="eastAsia" w:ascii="Times New Roman" w:hAnsi="Times New Roman" w:eastAsia="宋体" w:cs="Times New Roman"/>
                <w:color w:val="auto"/>
                <w:kern w:val="0"/>
                <w:sz w:val="22"/>
                <w:szCs w:val="24"/>
              </w:rPr>
              <w:t>个产品排放量（t/a）</w:t>
            </w:r>
          </w:p>
        </w:tc>
        <w:tc>
          <w:tcPr>
            <w:tcW w:w="1345" w:type="pct"/>
            <w:vAlign w:val="center"/>
          </w:tcPr>
          <w:p w14:paraId="54FC318C">
            <w:pPr>
              <w:jc w:val="center"/>
              <w:rPr>
                <w:rFonts w:ascii="Times New Roman" w:hAnsi="Times New Roman" w:eastAsia="宋体" w:cs="Times New Roman"/>
                <w:color w:val="auto"/>
                <w:kern w:val="0"/>
                <w:sz w:val="22"/>
                <w:szCs w:val="24"/>
              </w:rPr>
            </w:pPr>
            <w:r>
              <w:rPr>
                <w:rFonts w:hint="eastAsia" w:ascii="Times New Roman" w:hAnsi="Times New Roman" w:eastAsia="宋体" w:cs="Times New Roman"/>
                <w:color w:val="auto"/>
                <w:kern w:val="0"/>
                <w:sz w:val="22"/>
                <w:szCs w:val="24"/>
              </w:rPr>
              <w:t>备注</w:t>
            </w:r>
          </w:p>
        </w:tc>
      </w:tr>
      <w:tr w14:paraId="7E82A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6" w:type="pct"/>
            <w:vMerge w:val="restart"/>
            <w:vAlign w:val="center"/>
          </w:tcPr>
          <w:p w14:paraId="78327E01">
            <w:pPr>
              <w:jc w:val="center"/>
              <w:rPr>
                <w:rFonts w:ascii="Times New Roman" w:hAnsi="Times New Roman" w:eastAsia="宋体" w:cs="Times New Roman"/>
                <w:color w:val="auto"/>
                <w:kern w:val="0"/>
                <w:sz w:val="22"/>
                <w:szCs w:val="24"/>
              </w:rPr>
            </w:pPr>
            <w:r>
              <w:rPr>
                <w:rFonts w:hint="eastAsia" w:ascii="Times New Roman" w:hAnsi="Times New Roman" w:eastAsia="宋体" w:cs="Times New Roman"/>
                <w:color w:val="auto"/>
                <w:kern w:val="0"/>
                <w:sz w:val="22"/>
                <w:szCs w:val="24"/>
              </w:rPr>
              <w:t>废气</w:t>
            </w:r>
          </w:p>
        </w:tc>
        <w:tc>
          <w:tcPr>
            <w:tcW w:w="1341" w:type="pct"/>
            <w:shd w:val="clear" w:color="auto" w:fill="auto"/>
            <w:vAlign w:val="center"/>
          </w:tcPr>
          <w:p w14:paraId="4418D33D">
            <w:pPr>
              <w:jc w:val="center"/>
              <w:rPr>
                <w:rFonts w:hint="eastAsia"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lang w:val="en-US" w:eastAsia="zh-CN"/>
              </w:rPr>
              <w:t>氨（氨气）</w:t>
            </w:r>
          </w:p>
        </w:tc>
        <w:tc>
          <w:tcPr>
            <w:tcW w:w="1345" w:type="pct"/>
            <w:shd w:val="clear" w:color="auto" w:fill="auto"/>
            <w:vAlign w:val="center"/>
          </w:tcPr>
          <w:p w14:paraId="076CB423">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lang w:val="en-US" w:eastAsia="zh-CN"/>
              </w:rPr>
              <w:t>2.43</w:t>
            </w:r>
          </w:p>
        </w:tc>
        <w:tc>
          <w:tcPr>
            <w:tcW w:w="1345" w:type="pct"/>
            <w:vMerge w:val="restart"/>
            <w:vAlign w:val="center"/>
          </w:tcPr>
          <w:p w14:paraId="7047688C">
            <w:pPr>
              <w:jc w:val="center"/>
              <w:rPr>
                <w:rFonts w:hint="default" w:ascii="Times New Roman" w:hAnsi="Times New Roman" w:eastAsia="宋体" w:cs="Times New Roman"/>
                <w:color w:val="auto"/>
                <w:kern w:val="0"/>
                <w:sz w:val="22"/>
                <w:szCs w:val="24"/>
                <w:lang w:val="en-US" w:eastAsia="zh-CN"/>
              </w:rPr>
            </w:pPr>
            <w:r>
              <w:rPr>
                <w:rFonts w:hint="eastAsia" w:ascii="Times New Roman" w:hAnsi="Times New Roman" w:eastAsia="宋体" w:cs="Times New Roman"/>
                <w:color w:val="auto"/>
                <w:kern w:val="0"/>
                <w:sz w:val="22"/>
                <w:szCs w:val="24"/>
                <w:lang w:val="en-US" w:eastAsia="zh-CN"/>
              </w:rPr>
              <w:t>保留2种产品的排放量总和</w:t>
            </w:r>
          </w:p>
        </w:tc>
      </w:tr>
      <w:tr w14:paraId="28644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66" w:type="pct"/>
            <w:vMerge w:val="continue"/>
            <w:vAlign w:val="center"/>
          </w:tcPr>
          <w:p w14:paraId="7297A31A">
            <w:pPr>
              <w:jc w:val="center"/>
              <w:rPr>
                <w:rFonts w:ascii="Times New Roman" w:hAnsi="Times New Roman" w:eastAsia="宋体" w:cs="Times New Roman"/>
                <w:color w:val="auto"/>
                <w:kern w:val="0"/>
                <w:sz w:val="22"/>
                <w:szCs w:val="24"/>
              </w:rPr>
            </w:pPr>
          </w:p>
        </w:tc>
        <w:tc>
          <w:tcPr>
            <w:tcW w:w="1341" w:type="pct"/>
            <w:shd w:val="clear" w:color="auto" w:fill="auto"/>
            <w:vAlign w:val="center"/>
          </w:tcPr>
          <w:p w14:paraId="3E5914DB">
            <w:pPr>
              <w:jc w:val="center"/>
              <w:rPr>
                <w:rFonts w:hint="eastAsia"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lang w:val="en-US" w:eastAsia="zh-CN"/>
              </w:rPr>
              <w:t>硫化氢</w:t>
            </w:r>
          </w:p>
        </w:tc>
        <w:tc>
          <w:tcPr>
            <w:tcW w:w="1345" w:type="pct"/>
            <w:shd w:val="clear" w:color="auto" w:fill="auto"/>
            <w:vAlign w:val="center"/>
          </w:tcPr>
          <w:p w14:paraId="7A81EB80">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lang w:val="en-US" w:eastAsia="zh-CN"/>
              </w:rPr>
              <w:t>0.104</w:t>
            </w:r>
          </w:p>
        </w:tc>
        <w:tc>
          <w:tcPr>
            <w:tcW w:w="1345" w:type="pct"/>
            <w:vMerge w:val="continue"/>
            <w:vAlign w:val="center"/>
          </w:tcPr>
          <w:p w14:paraId="65347473">
            <w:pPr>
              <w:jc w:val="center"/>
              <w:rPr>
                <w:rFonts w:ascii="Times New Roman" w:hAnsi="Times New Roman" w:eastAsia="宋体" w:cs="Times New Roman"/>
                <w:color w:val="auto"/>
                <w:kern w:val="0"/>
                <w:sz w:val="22"/>
                <w:szCs w:val="24"/>
              </w:rPr>
            </w:pPr>
          </w:p>
        </w:tc>
      </w:tr>
      <w:tr w14:paraId="5A16B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6" w:type="pct"/>
            <w:vMerge w:val="continue"/>
            <w:vAlign w:val="center"/>
          </w:tcPr>
          <w:p w14:paraId="2B560DCB">
            <w:pPr>
              <w:jc w:val="center"/>
              <w:rPr>
                <w:rFonts w:ascii="Times New Roman" w:hAnsi="Times New Roman" w:eastAsia="宋体" w:cs="Times New Roman"/>
                <w:color w:val="auto"/>
                <w:kern w:val="0"/>
                <w:sz w:val="22"/>
                <w:szCs w:val="24"/>
              </w:rPr>
            </w:pPr>
          </w:p>
        </w:tc>
        <w:tc>
          <w:tcPr>
            <w:tcW w:w="1341" w:type="pct"/>
            <w:shd w:val="clear" w:color="auto" w:fill="auto"/>
            <w:vAlign w:val="center"/>
          </w:tcPr>
          <w:p w14:paraId="1F5BDF91">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lang w:val="en-US" w:eastAsia="zh-CN"/>
              </w:rPr>
              <w:t>非甲烷总烃</w:t>
            </w:r>
          </w:p>
        </w:tc>
        <w:tc>
          <w:tcPr>
            <w:tcW w:w="1345" w:type="pct"/>
            <w:shd w:val="clear" w:color="auto" w:fill="auto"/>
            <w:vAlign w:val="center"/>
          </w:tcPr>
          <w:p w14:paraId="229C87B5">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lang w:val="en-US" w:eastAsia="zh-CN"/>
              </w:rPr>
              <w:t>44.103</w:t>
            </w:r>
          </w:p>
        </w:tc>
        <w:tc>
          <w:tcPr>
            <w:tcW w:w="1345" w:type="pct"/>
            <w:vMerge w:val="continue"/>
            <w:vAlign w:val="center"/>
          </w:tcPr>
          <w:p w14:paraId="6A0EEFE9">
            <w:pPr>
              <w:jc w:val="center"/>
              <w:rPr>
                <w:rFonts w:ascii="Times New Roman" w:hAnsi="Times New Roman" w:eastAsia="宋体" w:cs="Times New Roman"/>
                <w:color w:val="auto"/>
                <w:kern w:val="0"/>
                <w:sz w:val="22"/>
                <w:szCs w:val="24"/>
              </w:rPr>
            </w:pPr>
          </w:p>
        </w:tc>
      </w:tr>
      <w:tr w14:paraId="0BA1B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6" w:type="pct"/>
            <w:vMerge w:val="continue"/>
            <w:vAlign w:val="center"/>
          </w:tcPr>
          <w:p w14:paraId="33813665">
            <w:pPr>
              <w:jc w:val="center"/>
              <w:rPr>
                <w:rFonts w:ascii="Times New Roman" w:hAnsi="Times New Roman" w:eastAsia="宋体" w:cs="Times New Roman"/>
                <w:color w:val="auto"/>
                <w:kern w:val="0"/>
                <w:sz w:val="22"/>
                <w:szCs w:val="24"/>
              </w:rPr>
            </w:pPr>
          </w:p>
        </w:tc>
        <w:tc>
          <w:tcPr>
            <w:tcW w:w="1341" w:type="pct"/>
            <w:shd w:val="clear" w:color="auto" w:fill="auto"/>
            <w:vAlign w:val="center"/>
          </w:tcPr>
          <w:p w14:paraId="7F109A9A">
            <w:pPr>
              <w:jc w:val="center"/>
              <w:rPr>
                <w:rFonts w:hint="eastAsia"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lang w:val="en-US" w:eastAsia="zh-CN"/>
              </w:rPr>
              <w:t>颗粒物</w:t>
            </w:r>
          </w:p>
        </w:tc>
        <w:tc>
          <w:tcPr>
            <w:tcW w:w="1345" w:type="pct"/>
            <w:shd w:val="clear" w:color="auto" w:fill="auto"/>
            <w:vAlign w:val="center"/>
          </w:tcPr>
          <w:p w14:paraId="3B0804F3">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lang w:val="en-US" w:eastAsia="zh-CN"/>
              </w:rPr>
              <w:t>15.837</w:t>
            </w:r>
          </w:p>
        </w:tc>
        <w:tc>
          <w:tcPr>
            <w:tcW w:w="1345" w:type="pct"/>
            <w:vMerge w:val="continue"/>
            <w:vAlign w:val="center"/>
          </w:tcPr>
          <w:p w14:paraId="3DB2B39F">
            <w:pPr>
              <w:jc w:val="center"/>
              <w:rPr>
                <w:rFonts w:ascii="Times New Roman" w:hAnsi="Times New Roman" w:eastAsia="宋体" w:cs="Times New Roman"/>
                <w:color w:val="auto"/>
                <w:kern w:val="0"/>
                <w:sz w:val="22"/>
                <w:szCs w:val="24"/>
              </w:rPr>
            </w:pPr>
          </w:p>
        </w:tc>
      </w:tr>
      <w:tr w14:paraId="0DBF4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6" w:type="pct"/>
            <w:vMerge w:val="restart"/>
            <w:vAlign w:val="center"/>
          </w:tcPr>
          <w:p w14:paraId="73A76331">
            <w:pPr>
              <w:jc w:val="center"/>
              <w:rPr>
                <w:rFonts w:ascii="Times New Roman" w:hAnsi="Times New Roman" w:eastAsia="宋体" w:cs="Times New Roman"/>
                <w:color w:val="auto"/>
                <w:kern w:val="0"/>
                <w:sz w:val="22"/>
                <w:szCs w:val="24"/>
              </w:rPr>
            </w:pPr>
            <w:r>
              <w:rPr>
                <w:rFonts w:hint="eastAsia" w:ascii="Times New Roman" w:hAnsi="Times New Roman" w:eastAsia="宋体" w:cs="Times New Roman"/>
                <w:color w:val="auto"/>
                <w:kern w:val="0"/>
                <w:sz w:val="22"/>
                <w:szCs w:val="24"/>
              </w:rPr>
              <w:t>废水</w:t>
            </w:r>
          </w:p>
        </w:tc>
        <w:tc>
          <w:tcPr>
            <w:tcW w:w="1341" w:type="pct"/>
            <w:shd w:val="clear" w:color="auto" w:fill="auto"/>
            <w:vAlign w:val="center"/>
          </w:tcPr>
          <w:p w14:paraId="77953E5E">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lang w:val="en-US" w:eastAsia="zh-CN"/>
              </w:rPr>
              <w:t>悬浮物</w:t>
            </w:r>
          </w:p>
        </w:tc>
        <w:tc>
          <w:tcPr>
            <w:tcW w:w="1345" w:type="pct"/>
            <w:shd w:val="clear" w:color="auto" w:fill="auto"/>
            <w:vAlign w:val="center"/>
          </w:tcPr>
          <w:p w14:paraId="338687D2">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lang w:val="en-US" w:eastAsia="zh-CN"/>
              </w:rPr>
              <w:t>3.899</w:t>
            </w:r>
          </w:p>
        </w:tc>
        <w:tc>
          <w:tcPr>
            <w:tcW w:w="1345" w:type="pct"/>
            <w:vMerge w:val="continue"/>
            <w:vAlign w:val="center"/>
          </w:tcPr>
          <w:p w14:paraId="4B155DE1">
            <w:pPr>
              <w:jc w:val="center"/>
              <w:rPr>
                <w:rFonts w:hint="eastAsia" w:ascii="Times New Roman" w:hAnsi="Times New Roman" w:eastAsia="宋体" w:cs="Times New Roman"/>
                <w:color w:val="auto"/>
                <w:kern w:val="0"/>
                <w:sz w:val="22"/>
                <w:szCs w:val="24"/>
                <w:lang w:val="en-US" w:eastAsia="zh-CN"/>
              </w:rPr>
            </w:pPr>
          </w:p>
        </w:tc>
      </w:tr>
      <w:tr w14:paraId="53C6B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6" w:type="pct"/>
            <w:vMerge w:val="continue"/>
            <w:vAlign w:val="center"/>
          </w:tcPr>
          <w:p w14:paraId="7EBB2BB0">
            <w:pPr>
              <w:jc w:val="center"/>
              <w:rPr>
                <w:rFonts w:ascii="Times New Roman" w:hAnsi="Times New Roman" w:eastAsia="宋体" w:cs="Times New Roman"/>
                <w:color w:val="auto"/>
                <w:kern w:val="0"/>
                <w:sz w:val="22"/>
                <w:szCs w:val="24"/>
              </w:rPr>
            </w:pPr>
          </w:p>
        </w:tc>
        <w:tc>
          <w:tcPr>
            <w:tcW w:w="1341" w:type="pct"/>
            <w:shd w:val="clear" w:color="auto" w:fill="auto"/>
            <w:vAlign w:val="center"/>
          </w:tcPr>
          <w:p w14:paraId="02F769ED">
            <w:pPr>
              <w:jc w:val="center"/>
              <w:rPr>
                <w:rFonts w:hint="eastAsia"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lang w:val="en-US" w:eastAsia="zh-CN"/>
              </w:rPr>
              <w:t>五日生化需氧量</w:t>
            </w:r>
          </w:p>
        </w:tc>
        <w:tc>
          <w:tcPr>
            <w:tcW w:w="1345" w:type="pct"/>
            <w:shd w:val="clear" w:color="auto" w:fill="auto"/>
            <w:vAlign w:val="center"/>
          </w:tcPr>
          <w:p w14:paraId="07FA35FB">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lang w:val="en-US" w:eastAsia="zh-CN"/>
              </w:rPr>
              <w:t>4.728</w:t>
            </w:r>
          </w:p>
        </w:tc>
        <w:tc>
          <w:tcPr>
            <w:tcW w:w="1345" w:type="pct"/>
            <w:vMerge w:val="continue"/>
            <w:vAlign w:val="center"/>
          </w:tcPr>
          <w:p w14:paraId="63C03E20">
            <w:pPr>
              <w:jc w:val="center"/>
              <w:rPr>
                <w:rFonts w:ascii="Times New Roman" w:hAnsi="Times New Roman" w:eastAsia="宋体" w:cs="Times New Roman"/>
                <w:color w:val="auto"/>
                <w:kern w:val="0"/>
                <w:sz w:val="22"/>
                <w:szCs w:val="24"/>
              </w:rPr>
            </w:pPr>
          </w:p>
        </w:tc>
      </w:tr>
      <w:tr w14:paraId="6E9E9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6" w:type="pct"/>
            <w:vMerge w:val="continue"/>
            <w:vAlign w:val="center"/>
          </w:tcPr>
          <w:p w14:paraId="401DF514">
            <w:pPr>
              <w:jc w:val="center"/>
              <w:rPr>
                <w:rFonts w:ascii="Times New Roman" w:hAnsi="Times New Roman" w:eastAsia="宋体" w:cs="Times New Roman"/>
                <w:color w:val="auto"/>
                <w:kern w:val="0"/>
                <w:sz w:val="22"/>
                <w:szCs w:val="24"/>
              </w:rPr>
            </w:pPr>
          </w:p>
        </w:tc>
        <w:tc>
          <w:tcPr>
            <w:tcW w:w="1341" w:type="pct"/>
            <w:shd w:val="clear" w:color="auto" w:fill="auto"/>
            <w:vAlign w:val="center"/>
          </w:tcPr>
          <w:p w14:paraId="074F1B22">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lang w:val="en-US" w:eastAsia="zh-CN"/>
              </w:rPr>
              <w:t>化学需氧量</w:t>
            </w:r>
          </w:p>
        </w:tc>
        <w:tc>
          <w:tcPr>
            <w:tcW w:w="1345" w:type="pct"/>
            <w:shd w:val="clear" w:color="auto" w:fill="auto"/>
            <w:vAlign w:val="center"/>
          </w:tcPr>
          <w:p w14:paraId="6A58A7E1">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lang w:val="en-US" w:eastAsia="zh-CN"/>
              </w:rPr>
              <w:t>5.642</w:t>
            </w:r>
          </w:p>
        </w:tc>
        <w:tc>
          <w:tcPr>
            <w:tcW w:w="1345" w:type="pct"/>
            <w:vMerge w:val="continue"/>
            <w:vAlign w:val="center"/>
          </w:tcPr>
          <w:p w14:paraId="37D7302C">
            <w:pPr>
              <w:jc w:val="center"/>
              <w:rPr>
                <w:rFonts w:ascii="Times New Roman" w:hAnsi="Times New Roman" w:eastAsia="宋体" w:cs="Times New Roman"/>
                <w:color w:val="auto"/>
                <w:kern w:val="0"/>
                <w:sz w:val="22"/>
                <w:szCs w:val="24"/>
              </w:rPr>
            </w:pPr>
          </w:p>
        </w:tc>
      </w:tr>
      <w:tr w14:paraId="6C077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6" w:type="pct"/>
            <w:vMerge w:val="continue"/>
            <w:vAlign w:val="center"/>
          </w:tcPr>
          <w:p w14:paraId="70EF08E3">
            <w:pPr>
              <w:jc w:val="center"/>
              <w:rPr>
                <w:rFonts w:ascii="Times New Roman" w:hAnsi="Times New Roman" w:eastAsia="宋体" w:cs="Times New Roman"/>
                <w:color w:val="auto"/>
                <w:kern w:val="0"/>
                <w:sz w:val="22"/>
                <w:szCs w:val="24"/>
              </w:rPr>
            </w:pPr>
          </w:p>
        </w:tc>
        <w:tc>
          <w:tcPr>
            <w:tcW w:w="1341" w:type="pct"/>
            <w:shd w:val="clear" w:color="auto" w:fill="auto"/>
            <w:vAlign w:val="center"/>
          </w:tcPr>
          <w:p w14:paraId="7FDC6DEC">
            <w:pPr>
              <w:jc w:val="center"/>
              <w:rPr>
                <w:rFonts w:hint="eastAsia"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lang w:val="en-US" w:eastAsia="zh-CN"/>
              </w:rPr>
              <w:t>总有机碳</w:t>
            </w:r>
          </w:p>
        </w:tc>
        <w:tc>
          <w:tcPr>
            <w:tcW w:w="1345" w:type="pct"/>
            <w:shd w:val="clear" w:color="auto" w:fill="auto"/>
            <w:vAlign w:val="center"/>
          </w:tcPr>
          <w:p w14:paraId="6306B06C">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lang w:val="en-US" w:eastAsia="zh-CN"/>
              </w:rPr>
              <w:t>1.56</w:t>
            </w:r>
          </w:p>
        </w:tc>
        <w:tc>
          <w:tcPr>
            <w:tcW w:w="1345" w:type="pct"/>
            <w:vMerge w:val="continue"/>
            <w:vAlign w:val="center"/>
          </w:tcPr>
          <w:p w14:paraId="7A6F4011">
            <w:pPr>
              <w:jc w:val="center"/>
              <w:rPr>
                <w:rFonts w:ascii="Times New Roman" w:hAnsi="Times New Roman" w:eastAsia="宋体" w:cs="Times New Roman"/>
                <w:color w:val="auto"/>
                <w:kern w:val="0"/>
                <w:sz w:val="22"/>
                <w:szCs w:val="24"/>
              </w:rPr>
            </w:pPr>
          </w:p>
        </w:tc>
      </w:tr>
      <w:tr w14:paraId="3A14B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6" w:type="pct"/>
            <w:vMerge w:val="continue"/>
            <w:vAlign w:val="center"/>
          </w:tcPr>
          <w:p w14:paraId="25E13D1B">
            <w:pPr>
              <w:jc w:val="center"/>
              <w:rPr>
                <w:rFonts w:ascii="Times New Roman" w:hAnsi="Times New Roman" w:eastAsia="宋体" w:cs="Times New Roman"/>
                <w:color w:val="auto"/>
                <w:kern w:val="0"/>
                <w:sz w:val="22"/>
                <w:szCs w:val="24"/>
              </w:rPr>
            </w:pPr>
          </w:p>
        </w:tc>
        <w:tc>
          <w:tcPr>
            <w:tcW w:w="1341" w:type="pct"/>
            <w:shd w:val="clear" w:color="auto" w:fill="auto"/>
            <w:vAlign w:val="center"/>
          </w:tcPr>
          <w:p w14:paraId="0DED6939">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lang w:val="en-US" w:eastAsia="zh-CN"/>
              </w:rPr>
              <w:t>总锌</w:t>
            </w:r>
          </w:p>
        </w:tc>
        <w:tc>
          <w:tcPr>
            <w:tcW w:w="1345" w:type="pct"/>
            <w:shd w:val="clear" w:color="auto" w:fill="auto"/>
            <w:vAlign w:val="center"/>
          </w:tcPr>
          <w:p w14:paraId="6AE76F9B">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lang w:val="en-US" w:eastAsia="zh-CN"/>
              </w:rPr>
              <w:t>0.007</w:t>
            </w:r>
          </w:p>
        </w:tc>
        <w:tc>
          <w:tcPr>
            <w:tcW w:w="1345" w:type="pct"/>
            <w:vMerge w:val="continue"/>
            <w:vAlign w:val="center"/>
          </w:tcPr>
          <w:p w14:paraId="1823AC73">
            <w:pPr>
              <w:jc w:val="center"/>
              <w:rPr>
                <w:rFonts w:ascii="Times New Roman" w:hAnsi="Times New Roman" w:eastAsia="宋体" w:cs="Times New Roman"/>
                <w:color w:val="auto"/>
                <w:kern w:val="0"/>
                <w:sz w:val="22"/>
                <w:szCs w:val="24"/>
              </w:rPr>
            </w:pPr>
          </w:p>
        </w:tc>
      </w:tr>
      <w:tr w14:paraId="5EB3B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6" w:type="pct"/>
            <w:vMerge w:val="continue"/>
            <w:vAlign w:val="center"/>
          </w:tcPr>
          <w:p w14:paraId="21CA73AC">
            <w:pPr>
              <w:jc w:val="center"/>
              <w:rPr>
                <w:rFonts w:ascii="Times New Roman" w:hAnsi="Times New Roman" w:eastAsia="宋体" w:cs="Times New Roman"/>
                <w:color w:val="auto"/>
                <w:kern w:val="0"/>
                <w:sz w:val="22"/>
                <w:szCs w:val="24"/>
              </w:rPr>
            </w:pPr>
          </w:p>
        </w:tc>
        <w:tc>
          <w:tcPr>
            <w:tcW w:w="1341" w:type="pct"/>
            <w:shd w:val="clear" w:color="auto" w:fill="auto"/>
            <w:vAlign w:val="center"/>
          </w:tcPr>
          <w:p w14:paraId="50F8973E">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lang w:val="en-US" w:eastAsia="zh-CN"/>
              </w:rPr>
              <w:t>总氮</w:t>
            </w:r>
          </w:p>
        </w:tc>
        <w:tc>
          <w:tcPr>
            <w:tcW w:w="1345" w:type="pct"/>
            <w:shd w:val="clear" w:color="auto" w:fill="auto"/>
            <w:vAlign w:val="center"/>
          </w:tcPr>
          <w:p w14:paraId="1F5256B7">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lang w:val="en-US" w:eastAsia="zh-CN"/>
              </w:rPr>
              <w:t>0.81</w:t>
            </w:r>
          </w:p>
        </w:tc>
        <w:tc>
          <w:tcPr>
            <w:tcW w:w="1345" w:type="pct"/>
            <w:vMerge w:val="continue"/>
            <w:vAlign w:val="center"/>
          </w:tcPr>
          <w:p w14:paraId="72C786DD">
            <w:pPr>
              <w:jc w:val="center"/>
              <w:rPr>
                <w:rFonts w:ascii="Times New Roman" w:hAnsi="Times New Roman" w:eastAsia="宋体" w:cs="Times New Roman"/>
                <w:color w:val="auto"/>
                <w:kern w:val="0"/>
                <w:sz w:val="22"/>
                <w:szCs w:val="24"/>
              </w:rPr>
            </w:pPr>
          </w:p>
        </w:tc>
      </w:tr>
      <w:tr w14:paraId="6357D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6" w:type="pct"/>
            <w:vMerge w:val="continue"/>
            <w:vAlign w:val="center"/>
          </w:tcPr>
          <w:p w14:paraId="06E0EDCD">
            <w:pPr>
              <w:jc w:val="center"/>
              <w:rPr>
                <w:rFonts w:ascii="Times New Roman" w:hAnsi="Times New Roman" w:eastAsia="宋体" w:cs="Times New Roman"/>
                <w:color w:val="auto"/>
                <w:kern w:val="0"/>
                <w:sz w:val="22"/>
                <w:szCs w:val="24"/>
              </w:rPr>
            </w:pPr>
          </w:p>
        </w:tc>
        <w:tc>
          <w:tcPr>
            <w:tcW w:w="1341" w:type="pct"/>
            <w:shd w:val="clear" w:color="auto" w:fill="auto"/>
            <w:vAlign w:val="center"/>
          </w:tcPr>
          <w:p w14:paraId="65CEC265">
            <w:pPr>
              <w:jc w:val="center"/>
              <w:rPr>
                <w:rFonts w:hint="eastAsia"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lang w:val="en-US" w:eastAsia="zh-CN"/>
              </w:rPr>
              <w:t>氨氮</w:t>
            </w:r>
          </w:p>
        </w:tc>
        <w:tc>
          <w:tcPr>
            <w:tcW w:w="1345" w:type="pct"/>
            <w:shd w:val="clear" w:color="auto" w:fill="auto"/>
            <w:vAlign w:val="center"/>
          </w:tcPr>
          <w:p w14:paraId="5C23894D">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lang w:val="en-US" w:eastAsia="zh-CN"/>
              </w:rPr>
              <w:t>0.334</w:t>
            </w:r>
          </w:p>
        </w:tc>
        <w:tc>
          <w:tcPr>
            <w:tcW w:w="1345" w:type="pct"/>
            <w:vMerge w:val="continue"/>
            <w:vAlign w:val="center"/>
          </w:tcPr>
          <w:p w14:paraId="52F54EB2">
            <w:pPr>
              <w:jc w:val="center"/>
              <w:rPr>
                <w:rFonts w:ascii="Times New Roman" w:hAnsi="Times New Roman" w:eastAsia="宋体" w:cs="Times New Roman"/>
                <w:color w:val="auto"/>
                <w:kern w:val="0"/>
                <w:sz w:val="22"/>
                <w:szCs w:val="24"/>
              </w:rPr>
            </w:pPr>
          </w:p>
        </w:tc>
      </w:tr>
      <w:tr w14:paraId="29682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6" w:type="pct"/>
            <w:vMerge w:val="continue"/>
            <w:vAlign w:val="center"/>
          </w:tcPr>
          <w:p w14:paraId="452A7FF5">
            <w:pPr>
              <w:jc w:val="center"/>
              <w:rPr>
                <w:rFonts w:ascii="Times New Roman" w:hAnsi="Times New Roman" w:eastAsia="宋体" w:cs="Times New Roman"/>
                <w:color w:val="auto"/>
                <w:kern w:val="0"/>
                <w:sz w:val="22"/>
                <w:szCs w:val="24"/>
              </w:rPr>
            </w:pPr>
          </w:p>
        </w:tc>
        <w:tc>
          <w:tcPr>
            <w:tcW w:w="1341" w:type="pct"/>
            <w:shd w:val="clear" w:color="auto" w:fill="auto"/>
            <w:vAlign w:val="center"/>
          </w:tcPr>
          <w:p w14:paraId="0A2AD3BD">
            <w:pPr>
              <w:jc w:val="center"/>
              <w:rPr>
                <w:rFonts w:hint="eastAsia"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lang w:val="en-US" w:eastAsia="zh-CN"/>
              </w:rPr>
              <w:t>总磷</w:t>
            </w:r>
          </w:p>
        </w:tc>
        <w:tc>
          <w:tcPr>
            <w:tcW w:w="1345" w:type="pct"/>
            <w:shd w:val="clear" w:color="auto" w:fill="auto"/>
            <w:vAlign w:val="center"/>
          </w:tcPr>
          <w:p w14:paraId="20D52AA4">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lang w:val="en-US" w:eastAsia="zh-CN"/>
              </w:rPr>
              <w:t>0.077</w:t>
            </w:r>
          </w:p>
        </w:tc>
        <w:tc>
          <w:tcPr>
            <w:tcW w:w="1345" w:type="pct"/>
            <w:vMerge w:val="continue"/>
            <w:vAlign w:val="center"/>
          </w:tcPr>
          <w:p w14:paraId="4624B7B1">
            <w:pPr>
              <w:jc w:val="center"/>
              <w:rPr>
                <w:rFonts w:ascii="Times New Roman" w:hAnsi="Times New Roman" w:eastAsia="宋体" w:cs="Times New Roman"/>
                <w:color w:val="auto"/>
                <w:kern w:val="0"/>
                <w:sz w:val="22"/>
                <w:szCs w:val="24"/>
              </w:rPr>
            </w:pPr>
          </w:p>
        </w:tc>
      </w:tr>
      <w:tr w14:paraId="32767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6" w:type="pct"/>
            <w:vAlign w:val="center"/>
          </w:tcPr>
          <w:p w14:paraId="5769CBA4">
            <w:pPr>
              <w:jc w:val="center"/>
              <w:rPr>
                <w:rFonts w:ascii="Times New Roman" w:hAnsi="Times New Roman" w:eastAsia="宋体" w:cs="Times New Roman"/>
                <w:color w:val="auto"/>
                <w:kern w:val="0"/>
                <w:sz w:val="22"/>
                <w:szCs w:val="24"/>
              </w:rPr>
            </w:pPr>
            <w:r>
              <w:rPr>
                <w:rFonts w:hint="eastAsia" w:ascii="Times New Roman" w:hAnsi="Times New Roman" w:eastAsia="宋体" w:cs="Times New Roman"/>
                <w:color w:val="auto"/>
                <w:kern w:val="0"/>
                <w:sz w:val="22"/>
                <w:szCs w:val="24"/>
              </w:rPr>
              <w:t>一般工业固体废物</w:t>
            </w:r>
          </w:p>
        </w:tc>
        <w:tc>
          <w:tcPr>
            <w:tcW w:w="1341" w:type="pct"/>
            <w:vAlign w:val="center"/>
          </w:tcPr>
          <w:p w14:paraId="10B6271A">
            <w:pPr>
              <w:jc w:val="center"/>
              <w:rPr>
                <w:rFonts w:ascii="Times New Roman" w:hAnsi="Times New Roman" w:eastAsia="宋体" w:cs="Times New Roman"/>
                <w:color w:val="auto"/>
                <w:kern w:val="0"/>
                <w:sz w:val="22"/>
                <w:szCs w:val="24"/>
              </w:rPr>
            </w:pPr>
            <w:r>
              <w:rPr>
                <w:rFonts w:hint="eastAsia" w:ascii="Times New Roman" w:hAnsi="Times New Roman" w:eastAsia="宋体" w:cs="Times New Roman"/>
                <w:color w:val="auto"/>
                <w:sz w:val="22"/>
                <w:szCs w:val="24"/>
                <w:highlight w:val="none"/>
                <w:lang w:val="en-US" w:eastAsia="zh-CN"/>
              </w:rPr>
              <w:t>污泥及泛酸钙生产过程中产生的滤饼</w:t>
            </w:r>
          </w:p>
        </w:tc>
        <w:tc>
          <w:tcPr>
            <w:tcW w:w="1345" w:type="pct"/>
            <w:vAlign w:val="center"/>
          </w:tcPr>
          <w:p w14:paraId="3706BFBA">
            <w:pPr>
              <w:jc w:val="center"/>
              <w:rPr>
                <w:rFonts w:hint="default" w:ascii="Times New Roman" w:hAnsi="Times New Roman" w:eastAsia="宋体" w:cs="Times New Roman"/>
                <w:color w:val="auto"/>
                <w:kern w:val="0"/>
                <w:sz w:val="22"/>
                <w:szCs w:val="24"/>
                <w:lang w:val="en-US" w:eastAsia="zh-CN"/>
              </w:rPr>
            </w:pPr>
            <w:r>
              <w:rPr>
                <w:rFonts w:hint="eastAsia" w:ascii="Times New Roman" w:hAnsi="Times New Roman" w:eastAsia="宋体" w:cs="Times New Roman"/>
                <w:color w:val="auto"/>
                <w:kern w:val="0"/>
                <w:sz w:val="22"/>
                <w:szCs w:val="24"/>
                <w:lang w:val="en-US" w:eastAsia="zh-CN"/>
              </w:rPr>
              <w:t>6671.86</w:t>
            </w:r>
          </w:p>
        </w:tc>
        <w:tc>
          <w:tcPr>
            <w:tcW w:w="1345" w:type="pct"/>
            <w:vMerge w:val="restart"/>
            <w:vAlign w:val="center"/>
          </w:tcPr>
          <w:p w14:paraId="18F60DA7">
            <w:pPr>
              <w:jc w:val="center"/>
              <w:rPr>
                <w:rFonts w:hint="default" w:ascii="Times New Roman" w:hAnsi="Times New Roman" w:eastAsia="宋体" w:cs="Times New Roman"/>
                <w:color w:val="FF0000"/>
                <w:kern w:val="0"/>
                <w:sz w:val="22"/>
                <w:szCs w:val="24"/>
                <w:lang w:val="en-US" w:eastAsia="zh-CN"/>
              </w:rPr>
            </w:pPr>
            <w:r>
              <w:rPr>
                <w:rFonts w:hint="eastAsia" w:ascii="Times New Roman" w:hAnsi="Times New Roman" w:eastAsia="宋体" w:cs="Times New Roman"/>
                <w:color w:val="auto"/>
                <w:kern w:val="0"/>
                <w:sz w:val="22"/>
                <w:szCs w:val="24"/>
                <w:lang w:val="en-US" w:eastAsia="zh-CN"/>
              </w:rPr>
              <w:t>2023年生产泛酸钙393.87t，设计产能年产2000t，核算达产后固体废物产生情况</w:t>
            </w:r>
          </w:p>
        </w:tc>
      </w:tr>
      <w:tr w14:paraId="4A864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6" w:type="pct"/>
            <w:vMerge w:val="restart"/>
            <w:vAlign w:val="center"/>
          </w:tcPr>
          <w:p w14:paraId="0531E3DC">
            <w:pPr>
              <w:jc w:val="center"/>
              <w:rPr>
                <w:rFonts w:ascii="Times New Roman" w:hAnsi="Times New Roman" w:eastAsia="宋体" w:cs="Times New Roman"/>
                <w:color w:val="auto"/>
                <w:kern w:val="0"/>
                <w:sz w:val="22"/>
                <w:szCs w:val="24"/>
              </w:rPr>
            </w:pPr>
            <w:r>
              <w:rPr>
                <w:rFonts w:hint="eastAsia" w:ascii="Times New Roman" w:hAnsi="Times New Roman" w:eastAsia="宋体" w:cs="Times New Roman"/>
                <w:color w:val="auto"/>
                <w:kern w:val="0"/>
                <w:sz w:val="22"/>
                <w:szCs w:val="24"/>
              </w:rPr>
              <w:t>危险废物</w:t>
            </w:r>
          </w:p>
        </w:tc>
        <w:tc>
          <w:tcPr>
            <w:tcW w:w="1341" w:type="pct"/>
            <w:shd w:val="clear" w:color="auto" w:fill="auto"/>
            <w:vAlign w:val="center"/>
          </w:tcPr>
          <w:p w14:paraId="65FF19B4">
            <w:pPr>
              <w:jc w:val="center"/>
              <w:rPr>
                <w:rFonts w:ascii="Times New Roman" w:hAnsi="Times New Roman" w:eastAsia="宋体" w:cs="Times New Roman"/>
                <w:color w:val="auto"/>
                <w:kern w:val="2"/>
                <w:sz w:val="22"/>
                <w:szCs w:val="24"/>
                <w:highlight w:val="none"/>
                <w:lang w:val="en-US" w:eastAsia="zh-CN" w:bidi="ar-SA"/>
              </w:rPr>
            </w:pPr>
            <w:r>
              <w:rPr>
                <w:rFonts w:hint="eastAsia" w:ascii="Times New Roman" w:hAnsi="Times New Roman" w:eastAsia="宋体" w:cs="Times New Roman"/>
                <w:color w:val="auto"/>
                <w:sz w:val="22"/>
                <w:szCs w:val="24"/>
                <w:highlight w:val="none"/>
              </w:rPr>
              <w:t>实验室废液</w:t>
            </w:r>
          </w:p>
        </w:tc>
        <w:tc>
          <w:tcPr>
            <w:tcW w:w="1345" w:type="pct"/>
            <w:vAlign w:val="center"/>
          </w:tcPr>
          <w:p w14:paraId="068A03BB">
            <w:pPr>
              <w:jc w:val="center"/>
              <w:rPr>
                <w:rFonts w:hint="default" w:ascii="Times New Roman" w:hAnsi="Times New Roman" w:eastAsia="宋体" w:cs="Times New Roman"/>
                <w:color w:val="auto"/>
                <w:kern w:val="0"/>
                <w:sz w:val="22"/>
                <w:szCs w:val="24"/>
                <w:lang w:val="en-US" w:eastAsia="zh-CN"/>
              </w:rPr>
            </w:pPr>
            <w:r>
              <w:rPr>
                <w:rFonts w:hint="eastAsia" w:ascii="Times New Roman" w:hAnsi="Times New Roman" w:eastAsia="宋体" w:cs="Times New Roman"/>
                <w:color w:val="auto"/>
                <w:kern w:val="0"/>
                <w:sz w:val="22"/>
                <w:szCs w:val="24"/>
                <w:lang w:val="en-US" w:eastAsia="zh-CN"/>
              </w:rPr>
              <w:t>6.017</w:t>
            </w:r>
          </w:p>
        </w:tc>
        <w:tc>
          <w:tcPr>
            <w:tcW w:w="1345" w:type="pct"/>
            <w:vMerge w:val="continue"/>
            <w:vAlign w:val="center"/>
          </w:tcPr>
          <w:p w14:paraId="77BDE1A4">
            <w:pPr>
              <w:jc w:val="center"/>
              <w:rPr>
                <w:rFonts w:ascii="Times New Roman" w:hAnsi="Times New Roman" w:eastAsia="宋体" w:cs="Times New Roman"/>
                <w:color w:val="FF0000"/>
                <w:kern w:val="0"/>
                <w:sz w:val="22"/>
                <w:szCs w:val="24"/>
              </w:rPr>
            </w:pPr>
          </w:p>
        </w:tc>
      </w:tr>
      <w:tr w14:paraId="1DE35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6" w:type="pct"/>
            <w:vMerge w:val="continue"/>
            <w:vAlign w:val="center"/>
          </w:tcPr>
          <w:p w14:paraId="1B54D72C">
            <w:pPr>
              <w:jc w:val="center"/>
              <w:rPr>
                <w:rFonts w:ascii="Times New Roman" w:hAnsi="Times New Roman" w:eastAsia="宋体" w:cs="Times New Roman"/>
                <w:color w:val="auto"/>
                <w:kern w:val="0"/>
                <w:sz w:val="22"/>
                <w:szCs w:val="24"/>
              </w:rPr>
            </w:pPr>
          </w:p>
        </w:tc>
        <w:tc>
          <w:tcPr>
            <w:tcW w:w="1341" w:type="pct"/>
            <w:shd w:val="clear" w:color="auto" w:fill="auto"/>
            <w:vAlign w:val="center"/>
          </w:tcPr>
          <w:p w14:paraId="20CF644A">
            <w:pPr>
              <w:jc w:val="center"/>
              <w:rPr>
                <w:rFonts w:hint="eastAsia" w:ascii="Times New Roman" w:hAnsi="Times New Roman" w:eastAsia="宋体" w:cs="Times New Roman"/>
                <w:color w:val="auto"/>
                <w:kern w:val="2"/>
                <w:sz w:val="22"/>
                <w:szCs w:val="24"/>
                <w:highlight w:val="none"/>
                <w:lang w:val="en-US" w:eastAsia="zh-CN" w:bidi="ar-SA"/>
              </w:rPr>
            </w:pPr>
            <w:r>
              <w:rPr>
                <w:rFonts w:hint="eastAsia" w:ascii="Times New Roman" w:hAnsi="Times New Roman" w:eastAsia="宋体" w:cs="Times New Roman"/>
                <w:color w:val="auto"/>
                <w:sz w:val="22"/>
                <w:szCs w:val="24"/>
                <w:highlight w:val="none"/>
                <w:lang w:val="en-US" w:eastAsia="zh-CN"/>
              </w:rPr>
              <w:t>废包装物</w:t>
            </w:r>
          </w:p>
        </w:tc>
        <w:tc>
          <w:tcPr>
            <w:tcW w:w="1345" w:type="pct"/>
            <w:vAlign w:val="center"/>
          </w:tcPr>
          <w:p w14:paraId="4F47324A">
            <w:pPr>
              <w:jc w:val="center"/>
              <w:rPr>
                <w:rFonts w:hint="default" w:ascii="Times New Roman" w:hAnsi="Times New Roman" w:eastAsia="宋体" w:cs="Times New Roman"/>
                <w:color w:val="auto"/>
                <w:kern w:val="0"/>
                <w:sz w:val="22"/>
                <w:szCs w:val="24"/>
                <w:lang w:val="en-US" w:eastAsia="zh-CN"/>
              </w:rPr>
            </w:pPr>
            <w:r>
              <w:rPr>
                <w:rFonts w:hint="eastAsia" w:ascii="Times New Roman" w:hAnsi="Times New Roman" w:eastAsia="宋体" w:cs="Times New Roman"/>
                <w:color w:val="auto"/>
                <w:kern w:val="0"/>
                <w:sz w:val="22"/>
                <w:szCs w:val="24"/>
                <w:lang w:val="en-US" w:eastAsia="zh-CN"/>
              </w:rPr>
              <w:t>4.098</w:t>
            </w:r>
          </w:p>
        </w:tc>
        <w:tc>
          <w:tcPr>
            <w:tcW w:w="1345" w:type="pct"/>
            <w:vMerge w:val="continue"/>
          </w:tcPr>
          <w:p w14:paraId="79611EB1">
            <w:pPr>
              <w:jc w:val="center"/>
              <w:rPr>
                <w:rFonts w:ascii="Times New Roman" w:hAnsi="Times New Roman" w:eastAsia="宋体" w:cs="Times New Roman"/>
                <w:color w:val="FF0000"/>
                <w:kern w:val="0"/>
                <w:sz w:val="22"/>
                <w:szCs w:val="24"/>
              </w:rPr>
            </w:pPr>
          </w:p>
        </w:tc>
      </w:tr>
      <w:tr w14:paraId="3C117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66" w:type="pct"/>
            <w:vMerge w:val="continue"/>
            <w:vAlign w:val="center"/>
          </w:tcPr>
          <w:p w14:paraId="35680969">
            <w:pPr>
              <w:jc w:val="center"/>
              <w:rPr>
                <w:rFonts w:ascii="Times New Roman" w:hAnsi="Times New Roman" w:eastAsia="宋体" w:cs="Times New Roman"/>
                <w:color w:val="auto"/>
                <w:kern w:val="0"/>
                <w:sz w:val="22"/>
                <w:szCs w:val="24"/>
              </w:rPr>
            </w:pPr>
          </w:p>
        </w:tc>
        <w:tc>
          <w:tcPr>
            <w:tcW w:w="1341" w:type="pct"/>
            <w:shd w:val="clear" w:color="auto" w:fill="auto"/>
            <w:vAlign w:val="center"/>
          </w:tcPr>
          <w:p w14:paraId="733DC3D4">
            <w:pPr>
              <w:jc w:val="center"/>
              <w:rPr>
                <w:rFonts w:hint="eastAsia" w:ascii="Times New Roman" w:hAnsi="Times New Roman" w:eastAsia="宋体" w:cs="Times New Roman"/>
                <w:color w:val="auto"/>
                <w:kern w:val="2"/>
                <w:sz w:val="22"/>
                <w:szCs w:val="24"/>
                <w:highlight w:val="none"/>
                <w:lang w:val="en-US" w:eastAsia="zh-CN" w:bidi="ar-SA"/>
              </w:rPr>
            </w:pPr>
            <w:r>
              <w:rPr>
                <w:rFonts w:hint="eastAsia" w:ascii="Times New Roman" w:hAnsi="Times New Roman" w:eastAsia="宋体" w:cs="Times New Roman"/>
                <w:color w:val="auto"/>
                <w:sz w:val="22"/>
                <w:szCs w:val="24"/>
                <w:highlight w:val="none"/>
                <w:lang w:val="en-US" w:eastAsia="zh-CN"/>
              </w:rPr>
              <w:t>废矿物油</w:t>
            </w:r>
          </w:p>
        </w:tc>
        <w:tc>
          <w:tcPr>
            <w:tcW w:w="1345" w:type="pct"/>
            <w:vAlign w:val="center"/>
          </w:tcPr>
          <w:p w14:paraId="238E8F2F">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0.848</w:t>
            </w:r>
          </w:p>
        </w:tc>
        <w:tc>
          <w:tcPr>
            <w:tcW w:w="1345" w:type="pct"/>
            <w:vMerge w:val="continue"/>
          </w:tcPr>
          <w:p w14:paraId="2F17B898">
            <w:pPr>
              <w:jc w:val="center"/>
              <w:rPr>
                <w:rFonts w:ascii="Times New Roman" w:hAnsi="Times New Roman" w:eastAsia="宋体" w:cs="Times New Roman"/>
                <w:color w:val="FF0000"/>
                <w:kern w:val="0"/>
                <w:sz w:val="22"/>
                <w:szCs w:val="24"/>
              </w:rPr>
            </w:pPr>
          </w:p>
        </w:tc>
      </w:tr>
      <w:tr w14:paraId="51485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6" w:type="pct"/>
            <w:vMerge w:val="continue"/>
            <w:vAlign w:val="center"/>
          </w:tcPr>
          <w:p w14:paraId="0491EF4F">
            <w:pPr>
              <w:jc w:val="center"/>
              <w:rPr>
                <w:rFonts w:ascii="Times New Roman" w:hAnsi="Times New Roman" w:eastAsia="宋体" w:cs="Times New Roman"/>
                <w:color w:val="auto"/>
                <w:kern w:val="0"/>
                <w:sz w:val="22"/>
                <w:szCs w:val="24"/>
              </w:rPr>
            </w:pPr>
          </w:p>
        </w:tc>
        <w:tc>
          <w:tcPr>
            <w:tcW w:w="1341" w:type="pct"/>
            <w:shd w:val="clear" w:color="auto" w:fill="auto"/>
            <w:vAlign w:val="center"/>
          </w:tcPr>
          <w:p w14:paraId="6D964E69">
            <w:pPr>
              <w:jc w:val="center"/>
              <w:rPr>
                <w:rFonts w:hint="default" w:ascii="Times New Roman" w:hAnsi="Times New Roman" w:eastAsia="宋体" w:cs="Times New Roman"/>
                <w:color w:val="auto"/>
                <w:kern w:val="2"/>
                <w:sz w:val="22"/>
                <w:szCs w:val="24"/>
                <w:highlight w:val="none"/>
                <w:lang w:val="en-US" w:eastAsia="zh-CN" w:bidi="ar-SA"/>
              </w:rPr>
            </w:pPr>
            <w:r>
              <w:rPr>
                <w:rFonts w:hint="eastAsia" w:ascii="Times New Roman" w:hAnsi="Times New Roman" w:eastAsia="宋体" w:cs="Times New Roman"/>
                <w:color w:val="auto"/>
                <w:sz w:val="22"/>
                <w:szCs w:val="24"/>
                <w:highlight w:val="none"/>
                <w:lang w:val="en-US" w:eastAsia="zh-CN"/>
              </w:rPr>
              <w:t>釜残液</w:t>
            </w:r>
          </w:p>
        </w:tc>
        <w:tc>
          <w:tcPr>
            <w:tcW w:w="1345" w:type="pct"/>
            <w:vAlign w:val="center"/>
          </w:tcPr>
          <w:p w14:paraId="3A4B127F">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301.09</w:t>
            </w:r>
          </w:p>
        </w:tc>
        <w:tc>
          <w:tcPr>
            <w:tcW w:w="1345" w:type="pct"/>
            <w:vMerge w:val="continue"/>
          </w:tcPr>
          <w:p w14:paraId="6D1171D1">
            <w:pPr>
              <w:jc w:val="center"/>
              <w:rPr>
                <w:rFonts w:ascii="Times New Roman" w:hAnsi="Times New Roman" w:eastAsia="宋体" w:cs="Times New Roman"/>
                <w:color w:val="FF0000"/>
                <w:kern w:val="0"/>
                <w:sz w:val="22"/>
                <w:szCs w:val="24"/>
              </w:rPr>
            </w:pPr>
          </w:p>
        </w:tc>
      </w:tr>
      <w:tr w14:paraId="2F478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6" w:type="pct"/>
            <w:vAlign w:val="center"/>
          </w:tcPr>
          <w:p w14:paraId="7E2A8F6F">
            <w:pPr>
              <w:jc w:val="center"/>
              <w:rPr>
                <w:rFonts w:ascii="Times New Roman" w:hAnsi="Times New Roman" w:eastAsia="宋体" w:cs="Times New Roman"/>
                <w:color w:val="auto"/>
                <w:kern w:val="0"/>
                <w:sz w:val="22"/>
                <w:szCs w:val="24"/>
              </w:rPr>
            </w:pPr>
            <w:bookmarkStart w:id="183" w:name="_Toc146781128"/>
            <w:bookmarkStart w:id="184" w:name="_Toc13661"/>
            <w:bookmarkStart w:id="185" w:name="_Toc116571866"/>
            <w:r>
              <w:rPr>
                <w:rFonts w:hint="eastAsia" w:ascii="Times New Roman" w:hAnsi="Times New Roman" w:eastAsia="宋体" w:cs="Times New Roman"/>
                <w:color w:val="auto"/>
                <w:kern w:val="0"/>
                <w:sz w:val="22"/>
                <w:szCs w:val="24"/>
              </w:rPr>
              <w:t>一般工业固体废物</w:t>
            </w:r>
          </w:p>
        </w:tc>
        <w:tc>
          <w:tcPr>
            <w:tcW w:w="1341" w:type="pct"/>
            <w:shd w:val="clear" w:color="auto" w:fill="auto"/>
            <w:vAlign w:val="center"/>
          </w:tcPr>
          <w:p w14:paraId="4227A542">
            <w:pPr>
              <w:jc w:val="center"/>
              <w:rPr>
                <w:rFonts w:hint="default" w:ascii="Times New Roman" w:hAnsi="Times New Roman" w:eastAsia="宋体" w:cs="Times New Roman"/>
                <w:color w:val="auto"/>
                <w:sz w:val="22"/>
                <w:szCs w:val="24"/>
                <w:highlight w:val="none"/>
                <w:lang w:val="en-US" w:eastAsia="zh-CN"/>
              </w:rPr>
            </w:pPr>
            <w:r>
              <w:rPr>
                <w:rFonts w:hint="eastAsia" w:ascii="Times New Roman" w:hAnsi="Times New Roman" w:eastAsia="宋体" w:cs="Times New Roman"/>
                <w:color w:val="auto"/>
                <w:sz w:val="22"/>
                <w:szCs w:val="24"/>
                <w:highlight w:val="none"/>
                <w:lang w:val="en-US" w:eastAsia="zh-CN"/>
              </w:rPr>
              <w:t>生活垃圾</w:t>
            </w:r>
          </w:p>
        </w:tc>
        <w:tc>
          <w:tcPr>
            <w:tcW w:w="1345" w:type="pct"/>
            <w:vAlign w:val="center"/>
          </w:tcPr>
          <w:p w14:paraId="1C713D1E">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51.9</w:t>
            </w:r>
          </w:p>
        </w:tc>
        <w:tc>
          <w:tcPr>
            <w:tcW w:w="1345" w:type="pct"/>
          </w:tcPr>
          <w:p w14:paraId="2FC1F2D7">
            <w:pPr>
              <w:jc w:val="center"/>
              <w:rPr>
                <w:rFonts w:hint="default" w:ascii="Times New Roman" w:hAnsi="Times New Roman" w:eastAsia="宋体" w:cs="Times New Roman"/>
                <w:color w:val="FF0000"/>
                <w:kern w:val="0"/>
                <w:sz w:val="22"/>
                <w:szCs w:val="24"/>
                <w:lang w:val="en-US" w:eastAsia="zh-CN"/>
              </w:rPr>
            </w:pPr>
            <w:r>
              <w:rPr>
                <w:rFonts w:hint="eastAsia" w:ascii="Times New Roman" w:hAnsi="Times New Roman" w:eastAsia="宋体" w:cs="Times New Roman"/>
                <w:color w:val="auto"/>
                <w:kern w:val="0"/>
                <w:sz w:val="22"/>
                <w:szCs w:val="24"/>
                <w:lang w:val="en-US" w:eastAsia="zh-CN"/>
              </w:rPr>
              <w:t>2023年全厂员工173人，按照1kg/人·d的生活垃圾产生量核算</w:t>
            </w:r>
          </w:p>
        </w:tc>
      </w:tr>
    </w:tbl>
    <w:p w14:paraId="0B1AC7B3">
      <w:pPr>
        <w:pStyle w:val="3"/>
        <w:bidi w:val="0"/>
      </w:pPr>
      <w:bookmarkStart w:id="186" w:name="_Toc16267"/>
      <w:r>
        <w:t>3.2</w:t>
      </w:r>
      <w:r>
        <w:rPr>
          <w:rFonts w:hint="eastAsia"/>
        </w:rPr>
        <w:t>拟建工程概况</w:t>
      </w:r>
      <w:bookmarkEnd w:id="183"/>
      <w:bookmarkEnd w:id="184"/>
      <w:bookmarkEnd w:id="185"/>
      <w:bookmarkEnd w:id="186"/>
    </w:p>
    <w:p w14:paraId="1D6BC1EC">
      <w:pPr>
        <w:pStyle w:val="4"/>
        <w:bidi w:val="0"/>
      </w:pPr>
      <w:r>
        <w:t>3.2.1</w:t>
      </w:r>
      <w:r>
        <w:rPr>
          <w:rFonts w:hint="eastAsia"/>
        </w:rPr>
        <w:t>项目名称、建设单位、建设性质及建设地点</w:t>
      </w:r>
    </w:p>
    <w:p w14:paraId="49FB2E6F">
      <w:pPr>
        <w:spacing w:line="360" w:lineRule="auto"/>
        <w:ind w:firstLine="480" w:firstLineChars="200"/>
        <w:rPr>
          <w:rFonts w:hint="default" w:ascii="Times New Roman" w:hAnsi="Times New Roman" w:eastAsia="宋体" w:cs="Times New Roman"/>
          <w:color w:val="auto"/>
          <w:sz w:val="24"/>
          <w:szCs w:val="24"/>
          <w:lang w:val="en-US" w:eastAsia="zh-CN"/>
        </w:rPr>
      </w:pPr>
      <w:r>
        <w:rPr>
          <w:rFonts w:ascii="Times New Roman" w:hAnsi="Times New Roman" w:eastAsia="宋体" w:cs="Times New Roman"/>
          <w:color w:val="auto"/>
          <w:sz w:val="24"/>
          <w:szCs w:val="24"/>
        </w:rPr>
        <w:t>项目名称：</w:t>
      </w:r>
      <w:r>
        <w:rPr>
          <w:rFonts w:hint="eastAsia" w:ascii="Times New Roman" w:hAnsi="Times New Roman" w:eastAsia="宋体" w:cs="Times New Roman"/>
          <w:color w:val="auto"/>
          <w:sz w:val="24"/>
          <w:szCs w:val="24"/>
          <w:lang w:val="en-US" w:eastAsia="zh-CN"/>
        </w:rPr>
        <w:t>年产1000吨肌醇饲料添加剂及30000吨液糖生产线项目</w:t>
      </w:r>
    </w:p>
    <w:p w14:paraId="44313EE7">
      <w:pPr>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建设单位：湖南</w:t>
      </w:r>
      <w:r>
        <w:rPr>
          <w:rFonts w:hint="eastAsia" w:ascii="Times New Roman" w:hAnsi="Times New Roman" w:eastAsia="宋体" w:cs="Times New Roman"/>
          <w:color w:val="auto"/>
          <w:sz w:val="24"/>
          <w:szCs w:val="24"/>
          <w:lang w:val="en-US" w:eastAsia="zh-CN"/>
        </w:rPr>
        <w:t>新合新生物科技</w:t>
      </w:r>
      <w:r>
        <w:rPr>
          <w:rFonts w:ascii="Times New Roman" w:hAnsi="Times New Roman" w:eastAsia="宋体" w:cs="Times New Roman"/>
          <w:color w:val="auto"/>
          <w:sz w:val="24"/>
          <w:szCs w:val="24"/>
        </w:rPr>
        <w:t>有限公司</w:t>
      </w:r>
    </w:p>
    <w:p w14:paraId="3046F0F2">
      <w:pPr>
        <w:spacing w:line="360" w:lineRule="auto"/>
        <w:ind w:firstLine="480" w:firstLineChars="200"/>
        <w:rPr>
          <w:rFonts w:hint="default" w:ascii="Times New Roman" w:hAnsi="Times New Roman" w:eastAsia="宋体" w:cs="Times New Roman"/>
          <w:color w:val="auto"/>
          <w:sz w:val="24"/>
          <w:szCs w:val="24"/>
          <w:lang w:val="en-US" w:eastAsia="zh-CN"/>
        </w:rPr>
      </w:pPr>
      <w:r>
        <w:rPr>
          <w:rFonts w:ascii="Times New Roman" w:hAnsi="Times New Roman" w:eastAsia="宋体" w:cs="Times New Roman"/>
          <w:color w:val="auto"/>
          <w:sz w:val="24"/>
          <w:szCs w:val="24"/>
        </w:rPr>
        <w:t>法人代表：</w:t>
      </w:r>
      <w:r>
        <w:rPr>
          <w:rFonts w:hint="eastAsia" w:ascii="Times New Roman" w:hAnsi="Times New Roman" w:eastAsia="宋体" w:cs="Times New Roman"/>
          <w:color w:val="auto"/>
          <w:sz w:val="24"/>
          <w:szCs w:val="24"/>
          <w:lang w:val="en-US" w:eastAsia="zh-CN"/>
        </w:rPr>
        <w:t>孟祥兴</w:t>
      </w:r>
    </w:p>
    <w:p w14:paraId="2C964344">
      <w:pPr>
        <w:spacing w:line="360" w:lineRule="auto"/>
        <w:ind w:firstLine="480" w:firstLineChars="200"/>
        <w:rPr>
          <w:rFonts w:hint="default" w:ascii="Times New Roman" w:hAnsi="Times New Roman" w:eastAsia="宋体" w:cs="Times New Roman"/>
          <w:color w:val="auto"/>
          <w:sz w:val="24"/>
          <w:szCs w:val="24"/>
          <w:lang w:val="en-US" w:eastAsia="zh-CN"/>
        </w:rPr>
      </w:pPr>
      <w:r>
        <w:rPr>
          <w:rFonts w:ascii="Times New Roman" w:hAnsi="Times New Roman" w:eastAsia="宋体" w:cs="Times New Roman"/>
          <w:color w:val="auto"/>
          <w:sz w:val="24"/>
          <w:szCs w:val="24"/>
        </w:rPr>
        <w:t>建设地点：</w:t>
      </w:r>
      <w:r>
        <w:rPr>
          <w:rFonts w:hint="eastAsia" w:ascii="Times New Roman" w:hAnsi="Times New Roman" w:eastAsia="宋体" w:cs="Times New Roman"/>
          <w:color w:val="auto"/>
          <w:sz w:val="24"/>
          <w:szCs w:val="24"/>
          <w:lang w:val="en-US" w:eastAsia="zh-CN"/>
        </w:rPr>
        <w:t>津市高新区鸿翔路</w:t>
      </w:r>
    </w:p>
    <w:p w14:paraId="1B9F48E5">
      <w:pPr>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建设性质：</w:t>
      </w:r>
      <w:r>
        <w:rPr>
          <w:rFonts w:hint="eastAsia" w:ascii="Times New Roman" w:hAnsi="Times New Roman" w:eastAsia="宋体" w:cs="Times New Roman"/>
          <w:color w:val="auto"/>
          <w:sz w:val="24"/>
          <w:szCs w:val="24"/>
        </w:rPr>
        <w:t>改扩建</w:t>
      </w:r>
    </w:p>
    <w:p w14:paraId="48BC2DB7">
      <w:pPr>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总</w:t>
      </w:r>
      <w:r>
        <w:rPr>
          <w:rFonts w:hint="eastAsia" w:ascii="Times New Roman" w:hAnsi="Times New Roman" w:eastAsia="宋体" w:cs="Times New Roman"/>
          <w:color w:val="auto"/>
          <w:sz w:val="24"/>
          <w:szCs w:val="24"/>
        </w:rPr>
        <w:t xml:space="preserve"> </w:t>
      </w:r>
      <w:r>
        <w:rPr>
          <w:rFonts w:ascii="Times New Roman" w:hAnsi="Times New Roman" w:eastAsia="宋体" w:cs="Times New Roman"/>
          <w:color w:val="auto"/>
          <w:sz w:val="24"/>
          <w:szCs w:val="24"/>
        </w:rPr>
        <w:t>投</w:t>
      </w:r>
      <w:r>
        <w:rPr>
          <w:rFonts w:hint="eastAsia" w:ascii="Times New Roman" w:hAnsi="Times New Roman" w:eastAsia="宋体" w:cs="Times New Roman"/>
          <w:color w:val="auto"/>
          <w:sz w:val="24"/>
          <w:szCs w:val="24"/>
        </w:rPr>
        <w:t xml:space="preserve"> </w:t>
      </w:r>
      <w:r>
        <w:rPr>
          <w:rFonts w:ascii="Times New Roman" w:hAnsi="Times New Roman" w:eastAsia="宋体" w:cs="Times New Roman"/>
          <w:color w:val="auto"/>
          <w:sz w:val="24"/>
          <w:szCs w:val="24"/>
        </w:rPr>
        <w:t>资：</w:t>
      </w:r>
      <w:r>
        <w:rPr>
          <w:rFonts w:hint="eastAsia" w:ascii="Times New Roman" w:hAnsi="Times New Roman" w:eastAsia="宋体" w:cs="Times New Roman"/>
          <w:color w:val="auto"/>
          <w:sz w:val="24"/>
          <w:szCs w:val="24"/>
          <w:lang w:val="en-US" w:eastAsia="zh-CN"/>
        </w:rPr>
        <w:t>1000</w:t>
      </w:r>
      <w:r>
        <w:rPr>
          <w:rFonts w:ascii="Times New Roman" w:hAnsi="Times New Roman" w:eastAsia="宋体" w:cs="Times New Roman"/>
          <w:color w:val="auto"/>
          <w:sz w:val="24"/>
          <w:szCs w:val="24"/>
        </w:rPr>
        <w:t>万元</w:t>
      </w:r>
    </w:p>
    <w:p w14:paraId="7632ABFB">
      <w:pPr>
        <w:pStyle w:val="4"/>
        <w:bidi w:val="0"/>
      </w:pPr>
      <w:r>
        <w:t>3.2.2</w:t>
      </w:r>
      <w:r>
        <w:rPr>
          <w:rFonts w:hint="eastAsia"/>
        </w:rPr>
        <w:t>项目位置及周边关系</w:t>
      </w:r>
    </w:p>
    <w:p w14:paraId="10FCA89C">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项目建设地位于</w:t>
      </w:r>
      <w:r>
        <w:rPr>
          <w:color w:val="auto"/>
          <w:sz w:val="24"/>
        </w:rPr>
        <w:t>常德市津市</w:t>
      </w:r>
      <w:r>
        <w:rPr>
          <w:rFonts w:hint="eastAsia"/>
          <w:color w:val="auto"/>
          <w:sz w:val="24"/>
        </w:rPr>
        <w:t>孟姜女大道与</w:t>
      </w:r>
      <w:r>
        <w:rPr>
          <w:color w:val="auto"/>
          <w:sz w:val="24"/>
        </w:rPr>
        <w:t>鸿祥路</w:t>
      </w:r>
      <w:r>
        <w:rPr>
          <w:rFonts w:hint="eastAsia"/>
          <w:color w:val="auto"/>
          <w:sz w:val="24"/>
        </w:rPr>
        <w:t>交汇处东南角</w:t>
      </w:r>
      <w:r>
        <w:rPr>
          <w:rFonts w:hint="eastAsia" w:ascii="Times New Roman" w:hAnsi="Times New Roman" w:eastAsia="宋体" w:cs="Times New Roman"/>
          <w:color w:val="auto"/>
          <w:sz w:val="24"/>
          <w:szCs w:val="24"/>
        </w:rPr>
        <w:t>，</w:t>
      </w:r>
      <w:r>
        <w:rPr>
          <w:rFonts w:ascii="Times New Roman" w:hAnsi="Times New Roman" w:eastAsia="宋体" w:cs="Times New Roman"/>
          <w:color w:val="auto"/>
          <w:sz w:val="24"/>
          <w:szCs w:val="24"/>
        </w:rPr>
        <w:t>湖南</w:t>
      </w:r>
      <w:r>
        <w:rPr>
          <w:rFonts w:hint="eastAsia" w:ascii="Times New Roman" w:hAnsi="Times New Roman" w:eastAsia="宋体" w:cs="Times New Roman"/>
          <w:color w:val="auto"/>
          <w:sz w:val="24"/>
          <w:szCs w:val="24"/>
          <w:lang w:val="en-US" w:eastAsia="zh-CN"/>
        </w:rPr>
        <w:t>新合新生物科技</w:t>
      </w:r>
      <w:r>
        <w:rPr>
          <w:rFonts w:ascii="Times New Roman" w:hAnsi="Times New Roman" w:eastAsia="宋体" w:cs="Times New Roman"/>
          <w:color w:val="auto"/>
          <w:sz w:val="24"/>
          <w:szCs w:val="24"/>
        </w:rPr>
        <w:t>有限公司</w:t>
      </w:r>
      <w:r>
        <w:rPr>
          <w:rFonts w:hint="eastAsia" w:ascii="Times New Roman" w:hAnsi="Times New Roman" w:eastAsia="宋体" w:cs="Times New Roman"/>
          <w:color w:val="auto"/>
          <w:sz w:val="24"/>
          <w:szCs w:val="24"/>
          <w:lang w:val="en-US" w:eastAsia="zh-CN"/>
        </w:rPr>
        <w:t>现有厂区内</w:t>
      </w:r>
      <w:r>
        <w:rPr>
          <w:rFonts w:hint="eastAsia" w:ascii="Times New Roman" w:hAnsi="Times New Roman" w:eastAsia="宋体" w:cs="Times New Roman"/>
          <w:color w:val="auto"/>
          <w:sz w:val="24"/>
          <w:szCs w:val="24"/>
        </w:rPr>
        <w:t>。</w:t>
      </w:r>
    </w:p>
    <w:p w14:paraId="47DD15DA">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项目建设地块成梯形，</w:t>
      </w:r>
      <w:r>
        <w:rPr>
          <w:rFonts w:hint="eastAsia" w:ascii="Times New Roman" w:hAnsi="Times New Roman" w:eastAsia="宋体" w:cs="Times New Roman"/>
          <w:color w:val="auto"/>
          <w:sz w:val="24"/>
          <w:szCs w:val="24"/>
          <w:lang w:val="en-US" w:eastAsia="zh-CN"/>
        </w:rPr>
        <w:t>西</w:t>
      </w:r>
      <w:r>
        <w:rPr>
          <w:rFonts w:hint="eastAsia" w:ascii="Times New Roman" w:hAnsi="Times New Roman" w:eastAsia="宋体" w:cs="Times New Roman"/>
          <w:color w:val="auto"/>
          <w:sz w:val="24"/>
          <w:szCs w:val="24"/>
        </w:rPr>
        <w:t>临孟姜女大道，东南侧为开发区工业污水处理厂，</w:t>
      </w:r>
      <w:r>
        <w:rPr>
          <w:rFonts w:hint="eastAsia" w:ascii="Times New Roman" w:hAnsi="Times New Roman" w:eastAsia="宋体" w:cs="Times New Roman"/>
          <w:color w:val="auto"/>
          <w:sz w:val="24"/>
          <w:szCs w:val="24"/>
          <w:lang w:val="en-US" w:eastAsia="zh-CN"/>
        </w:rPr>
        <w:t>东北侧为湖南菲托葳植物资源有限公司</w:t>
      </w:r>
      <w:r>
        <w:rPr>
          <w:rFonts w:hint="eastAsia"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北</w:t>
      </w:r>
      <w:r>
        <w:rPr>
          <w:rFonts w:hint="eastAsia" w:ascii="Times New Roman" w:hAnsi="Times New Roman" w:eastAsia="宋体" w:cs="Times New Roman"/>
          <w:color w:val="auto"/>
          <w:sz w:val="24"/>
          <w:szCs w:val="24"/>
        </w:rPr>
        <w:t>侧紧邻</w:t>
      </w:r>
      <w:r>
        <w:rPr>
          <w:rFonts w:hint="eastAsia" w:ascii="Times New Roman" w:hAnsi="Times New Roman" w:eastAsia="宋体" w:cs="Times New Roman"/>
          <w:color w:val="auto"/>
          <w:sz w:val="24"/>
          <w:szCs w:val="24"/>
          <w:lang w:val="en-US" w:eastAsia="zh-CN"/>
        </w:rPr>
        <w:t>湖南鸿鹰生物科技有限公司</w:t>
      </w:r>
      <w:r>
        <w:rPr>
          <w:rFonts w:hint="eastAsia" w:ascii="Times New Roman" w:hAnsi="Times New Roman" w:eastAsia="宋体" w:cs="Times New Roman"/>
          <w:color w:val="auto"/>
          <w:sz w:val="24"/>
          <w:szCs w:val="24"/>
        </w:rPr>
        <w:t>。详见项目地理位置图及周边环境关系示意图。</w:t>
      </w:r>
    </w:p>
    <w:p w14:paraId="0F76F5E6">
      <w:pPr>
        <w:pStyle w:val="4"/>
        <w:bidi w:val="0"/>
      </w:pPr>
      <w:r>
        <w:t>3.2.3</w:t>
      </w:r>
      <w:r>
        <w:rPr>
          <w:rFonts w:hint="eastAsia"/>
        </w:rPr>
        <w:t>建设内容及规模</w:t>
      </w:r>
    </w:p>
    <w:p w14:paraId="61C4274F">
      <w:pPr>
        <w:spacing w:line="360" w:lineRule="auto"/>
        <w:ind w:firstLine="480" w:firstLineChars="200"/>
        <w:rPr>
          <w:rFonts w:ascii="Times New Roman" w:hAnsi="Times New Roman" w:eastAsia="宋体" w:cs="Times New Roman"/>
          <w:color w:val="auto"/>
          <w:sz w:val="24"/>
          <w:szCs w:val="24"/>
          <w:u w:val="none"/>
        </w:rPr>
      </w:pPr>
      <w:r>
        <w:rPr>
          <w:rFonts w:hint="eastAsia" w:ascii="Times New Roman" w:hAnsi="Times New Roman" w:eastAsia="宋体" w:cs="Times New Roman"/>
          <w:color w:val="auto"/>
          <w:sz w:val="24"/>
          <w:szCs w:val="24"/>
          <w:u w:val="none"/>
        </w:rPr>
        <w:t>本项目</w:t>
      </w:r>
      <w:bookmarkStart w:id="187" w:name="_Hlk126223758"/>
      <w:r>
        <w:rPr>
          <w:rFonts w:hint="eastAsia" w:ascii="Times New Roman" w:hAnsi="Times New Roman" w:eastAsia="宋体" w:cs="Times New Roman"/>
          <w:color w:val="auto"/>
          <w:sz w:val="24"/>
          <w:szCs w:val="24"/>
          <w:u w:val="none"/>
          <w:lang w:val="en-US" w:eastAsia="zh-CN"/>
        </w:rPr>
        <w:t>依托</w:t>
      </w:r>
      <w:r>
        <w:rPr>
          <w:rFonts w:ascii="Times New Roman" w:hAnsi="Times New Roman" w:eastAsia="宋体" w:cs="Times New Roman"/>
          <w:color w:val="auto"/>
          <w:sz w:val="24"/>
          <w:szCs w:val="24"/>
          <w:u w:val="none"/>
        </w:rPr>
        <w:t>湖南</w:t>
      </w:r>
      <w:r>
        <w:rPr>
          <w:rFonts w:hint="eastAsia" w:ascii="Times New Roman" w:hAnsi="Times New Roman" w:eastAsia="宋体" w:cs="Times New Roman"/>
          <w:color w:val="auto"/>
          <w:sz w:val="24"/>
          <w:szCs w:val="24"/>
          <w:u w:val="none"/>
          <w:lang w:val="en-US" w:eastAsia="zh-CN"/>
        </w:rPr>
        <w:t>新合新生物科技</w:t>
      </w:r>
      <w:r>
        <w:rPr>
          <w:rFonts w:ascii="Times New Roman" w:hAnsi="Times New Roman" w:eastAsia="宋体" w:cs="Times New Roman"/>
          <w:color w:val="auto"/>
          <w:sz w:val="24"/>
          <w:szCs w:val="24"/>
          <w:u w:val="none"/>
        </w:rPr>
        <w:t>有限公司</w:t>
      </w:r>
      <w:r>
        <w:rPr>
          <w:rFonts w:hint="eastAsia" w:ascii="Times New Roman" w:hAnsi="Times New Roman" w:eastAsia="宋体" w:cs="Times New Roman"/>
          <w:color w:val="auto"/>
          <w:sz w:val="24"/>
          <w:szCs w:val="24"/>
          <w:u w:val="none"/>
        </w:rPr>
        <w:t>现有</w:t>
      </w:r>
      <w:bookmarkEnd w:id="187"/>
      <w:r>
        <w:rPr>
          <w:rFonts w:hint="eastAsia" w:ascii="Times New Roman" w:hAnsi="Times New Roman" w:eastAsia="宋体" w:cs="Times New Roman"/>
          <w:color w:val="auto"/>
          <w:sz w:val="24"/>
          <w:szCs w:val="24"/>
          <w:u w:val="none"/>
          <w:lang w:val="en-US" w:eastAsia="zh-CN"/>
        </w:rPr>
        <w:t>厂房</w:t>
      </w:r>
      <w:r>
        <w:rPr>
          <w:rFonts w:hint="eastAsia" w:ascii="Times New Roman" w:hAnsi="Times New Roman" w:eastAsia="宋体" w:cs="Times New Roman"/>
          <w:color w:val="auto"/>
          <w:sz w:val="24"/>
          <w:szCs w:val="24"/>
          <w:u w:val="none"/>
        </w:rPr>
        <w:t>，不新增用地。详见下表：</w:t>
      </w:r>
    </w:p>
    <w:p w14:paraId="3D24E8BA">
      <w:pPr>
        <w:pStyle w:val="6"/>
        <w:bidi w:val="0"/>
      </w:pPr>
      <w:r>
        <w:rPr>
          <w:rFonts w:hint="eastAsia"/>
        </w:rPr>
        <w:t>表3</w:t>
      </w:r>
      <w:r>
        <w:t>.2</w:t>
      </w:r>
      <w:r>
        <w:rPr>
          <w:rFonts w:hint="eastAsia"/>
        </w:rPr>
        <w:t>.3-</w:t>
      </w:r>
      <w:r>
        <w:t xml:space="preserve">1    </w:t>
      </w:r>
      <w:r>
        <w:rPr>
          <w:rFonts w:hint="eastAsia"/>
        </w:rPr>
        <w:t>项目主要建设内容一览表</w:t>
      </w:r>
    </w:p>
    <w:tbl>
      <w:tblPr>
        <w:tblStyle w:val="4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8"/>
        <w:gridCol w:w="704"/>
        <w:gridCol w:w="1062"/>
        <w:gridCol w:w="1394"/>
        <w:gridCol w:w="3685"/>
        <w:gridCol w:w="949"/>
      </w:tblGrid>
      <w:tr w14:paraId="11CE8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427" w:type="pct"/>
            <w:vMerge w:val="restart"/>
            <w:vAlign w:val="center"/>
          </w:tcPr>
          <w:p w14:paraId="4C00F80B">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工程类别</w:t>
            </w:r>
          </w:p>
        </w:tc>
        <w:tc>
          <w:tcPr>
            <w:tcW w:w="1036" w:type="pct"/>
            <w:gridSpan w:val="2"/>
            <w:vAlign w:val="center"/>
          </w:tcPr>
          <w:p w14:paraId="5C389AFB">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工程名称</w:t>
            </w:r>
          </w:p>
        </w:tc>
        <w:tc>
          <w:tcPr>
            <w:tcW w:w="2979" w:type="pct"/>
            <w:gridSpan w:val="2"/>
            <w:vAlign w:val="center"/>
          </w:tcPr>
          <w:p w14:paraId="029E78FD">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主要建设内容</w:t>
            </w:r>
          </w:p>
        </w:tc>
        <w:tc>
          <w:tcPr>
            <w:tcW w:w="556" w:type="pct"/>
            <w:vAlign w:val="center"/>
          </w:tcPr>
          <w:p w14:paraId="1494214F">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备注</w:t>
            </w:r>
          </w:p>
        </w:tc>
      </w:tr>
      <w:tr w14:paraId="0E739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pct"/>
            <w:vMerge w:val="restart"/>
            <w:vAlign w:val="center"/>
          </w:tcPr>
          <w:p w14:paraId="0E7E8456">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主体工程</w:t>
            </w:r>
          </w:p>
        </w:tc>
        <w:tc>
          <w:tcPr>
            <w:tcW w:w="1036" w:type="pct"/>
            <w:gridSpan w:val="2"/>
            <w:vAlign w:val="center"/>
          </w:tcPr>
          <w:p w14:paraId="79A51CC9">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发酵1车间</w:t>
            </w:r>
          </w:p>
        </w:tc>
        <w:tc>
          <w:tcPr>
            <w:tcW w:w="2979" w:type="pct"/>
            <w:gridSpan w:val="2"/>
            <w:vAlign w:val="center"/>
          </w:tcPr>
          <w:p w14:paraId="324042C2">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占地面积2880m</w:t>
            </w:r>
            <w:r>
              <w:rPr>
                <w:rFonts w:hint="eastAsia" w:ascii="Times New Roman" w:hAnsi="Times New Roman" w:eastAsia="宋体" w:cs="Times New Roman"/>
                <w:color w:val="auto"/>
                <w:sz w:val="22"/>
                <w:szCs w:val="24"/>
                <w:vertAlign w:val="superscript"/>
                <w:lang w:val="en-US" w:eastAsia="zh-CN"/>
              </w:rPr>
              <w:t>2</w:t>
            </w:r>
            <w:r>
              <w:rPr>
                <w:rFonts w:hint="eastAsia" w:ascii="Times New Roman" w:hAnsi="Times New Roman" w:eastAsia="宋体" w:cs="Times New Roman"/>
                <w:color w:val="auto"/>
                <w:sz w:val="22"/>
                <w:szCs w:val="24"/>
                <w:lang w:val="en-US" w:eastAsia="zh-CN"/>
              </w:rPr>
              <w:t>，砖混结构，</w:t>
            </w:r>
            <w:r>
              <w:rPr>
                <w:rFonts w:hint="eastAsia" w:ascii="Times New Roman" w:hAnsi="Times New Roman" w:eastAsia="宋体" w:cs="Times New Roman"/>
                <w:color w:val="auto"/>
                <w:sz w:val="22"/>
                <w:szCs w:val="24"/>
              </w:rPr>
              <w:t>布置</w:t>
            </w:r>
            <w:r>
              <w:rPr>
                <w:rFonts w:hint="eastAsia" w:ascii="Times New Roman" w:hAnsi="Times New Roman" w:eastAsia="宋体" w:cs="Times New Roman"/>
                <w:color w:val="auto"/>
                <w:sz w:val="22"/>
                <w:szCs w:val="24"/>
                <w:lang w:val="en-US" w:eastAsia="zh-CN"/>
              </w:rPr>
              <w:t>肌醇饲料添加剂发酵生产线</w:t>
            </w:r>
            <w:r>
              <w:rPr>
                <w:rFonts w:hint="eastAsia" w:ascii="Times New Roman" w:hAnsi="Times New Roman" w:eastAsia="宋体" w:cs="Times New Roman"/>
                <w:color w:val="auto"/>
                <w:sz w:val="22"/>
                <w:szCs w:val="24"/>
              </w:rPr>
              <w:t>1条</w:t>
            </w:r>
            <w:r>
              <w:rPr>
                <w:rFonts w:hint="eastAsia" w:ascii="Times New Roman" w:hAnsi="Times New Roman" w:eastAsia="宋体" w:cs="Times New Roman"/>
                <w:color w:val="auto"/>
                <w:sz w:val="22"/>
                <w:szCs w:val="24"/>
                <w:lang w:eastAsia="zh-CN"/>
              </w:rPr>
              <w:t>，</w:t>
            </w:r>
            <w:r>
              <w:rPr>
                <w:rFonts w:hint="eastAsia" w:ascii="Times New Roman" w:hAnsi="Times New Roman" w:eastAsia="宋体" w:cs="Times New Roman"/>
                <w:color w:val="auto"/>
                <w:sz w:val="22"/>
                <w:szCs w:val="24"/>
              </w:rPr>
              <w:t>部分</w:t>
            </w:r>
            <w:r>
              <w:rPr>
                <w:rFonts w:hint="eastAsia" w:ascii="Times New Roman" w:hAnsi="Times New Roman" w:eastAsia="宋体" w:cs="Times New Roman"/>
                <w:color w:val="auto"/>
                <w:sz w:val="22"/>
                <w:szCs w:val="24"/>
                <w:lang w:val="en-US" w:eastAsia="zh-CN"/>
              </w:rPr>
              <w:t>生产设备</w:t>
            </w:r>
            <w:r>
              <w:rPr>
                <w:rFonts w:hint="eastAsia" w:ascii="Times New Roman" w:hAnsi="Times New Roman" w:eastAsia="宋体" w:cs="Times New Roman"/>
                <w:color w:val="auto"/>
                <w:sz w:val="22"/>
                <w:szCs w:val="24"/>
              </w:rPr>
              <w:t>依托现有</w:t>
            </w:r>
            <w:r>
              <w:rPr>
                <w:rFonts w:hint="eastAsia" w:ascii="Times New Roman" w:hAnsi="Times New Roman" w:eastAsia="宋体" w:cs="Times New Roman"/>
                <w:color w:val="auto"/>
                <w:sz w:val="22"/>
                <w:szCs w:val="24"/>
                <w:lang w:val="en-US" w:eastAsia="zh-CN"/>
              </w:rPr>
              <w:t>胞嘧啶发酵设备，</w:t>
            </w:r>
            <w:r>
              <w:rPr>
                <w:rFonts w:hint="eastAsia" w:ascii="Times New Roman" w:hAnsi="Times New Roman" w:eastAsia="宋体" w:cs="Times New Roman"/>
                <w:color w:val="auto"/>
                <w:sz w:val="22"/>
                <w:szCs w:val="24"/>
              </w:rPr>
              <w:t>同时新增部分设备，</w:t>
            </w:r>
          </w:p>
        </w:tc>
        <w:tc>
          <w:tcPr>
            <w:tcW w:w="556" w:type="pct"/>
            <w:vAlign w:val="center"/>
          </w:tcPr>
          <w:p w14:paraId="2A91B3F8">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依托</w:t>
            </w:r>
          </w:p>
        </w:tc>
      </w:tr>
      <w:tr w14:paraId="45C43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pct"/>
            <w:vMerge w:val="continue"/>
            <w:vAlign w:val="center"/>
          </w:tcPr>
          <w:p w14:paraId="01E10EDE">
            <w:pPr>
              <w:jc w:val="center"/>
              <w:rPr>
                <w:rFonts w:ascii="Times New Roman" w:hAnsi="Times New Roman" w:eastAsia="宋体" w:cs="Times New Roman"/>
                <w:color w:val="auto"/>
                <w:sz w:val="22"/>
                <w:szCs w:val="24"/>
              </w:rPr>
            </w:pPr>
          </w:p>
        </w:tc>
        <w:tc>
          <w:tcPr>
            <w:tcW w:w="1036" w:type="pct"/>
            <w:gridSpan w:val="2"/>
            <w:vAlign w:val="center"/>
          </w:tcPr>
          <w:p w14:paraId="6ECCE0C7">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提取1车间</w:t>
            </w:r>
          </w:p>
        </w:tc>
        <w:tc>
          <w:tcPr>
            <w:tcW w:w="2979" w:type="pct"/>
            <w:gridSpan w:val="2"/>
            <w:vAlign w:val="center"/>
          </w:tcPr>
          <w:p w14:paraId="7F2391C7">
            <w:pPr>
              <w:jc w:val="center"/>
              <w:rPr>
                <w:rFonts w:hint="eastAsia"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占地面积907.33m</w:t>
            </w:r>
            <w:r>
              <w:rPr>
                <w:rFonts w:hint="eastAsia" w:ascii="Times New Roman" w:hAnsi="Times New Roman" w:eastAsia="宋体" w:cs="Times New Roman"/>
                <w:color w:val="auto"/>
                <w:sz w:val="22"/>
                <w:szCs w:val="24"/>
                <w:vertAlign w:val="superscript"/>
                <w:lang w:val="en-US" w:eastAsia="zh-CN"/>
              </w:rPr>
              <w:t>3</w:t>
            </w:r>
            <w:r>
              <w:rPr>
                <w:rFonts w:hint="eastAsia" w:ascii="Times New Roman" w:hAnsi="Times New Roman" w:eastAsia="宋体" w:cs="Times New Roman"/>
                <w:color w:val="auto"/>
                <w:sz w:val="22"/>
                <w:szCs w:val="24"/>
                <w:lang w:val="en-US" w:eastAsia="zh-CN"/>
              </w:rPr>
              <w:t>，砖混结构，布置肌醇饲料添加剂提取生产线1条，</w:t>
            </w:r>
            <w:r>
              <w:rPr>
                <w:rFonts w:hint="eastAsia" w:ascii="Times New Roman" w:hAnsi="Times New Roman" w:eastAsia="宋体" w:cs="Times New Roman"/>
                <w:color w:val="auto"/>
                <w:sz w:val="22"/>
                <w:szCs w:val="24"/>
              </w:rPr>
              <w:t>部分</w:t>
            </w:r>
            <w:r>
              <w:rPr>
                <w:rFonts w:hint="eastAsia" w:ascii="Times New Roman" w:hAnsi="Times New Roman" w:eastAsia="宋体" w:cs="Times New Roman"/>
                <w:color w:val="auto"/>
                <w:sz w:val="22"/>
                <w:szCs w:val="24"/>
                <w:lang w:val="en-US" w:eastAsia="zh-CN"/>
              </w:rPr>
              <w:t>生产设备</w:t>
            </w:r>
            <w:r>
              <w:rPr>
                <w:rFonts w:hint="eastAsia" w:ascii="Times New Roman" w:hAnsi="Times New Roman" w:eastAsia="宋体" w:cs="Times New Roman"/>
                <w:color w:val="auto"/>
                <w:sz w:val="22"/>
                <w:szCs w:val="24"/>
              </w:rPr>
              <w:t>依托现有</w:t>
            </w:r>
            <w:r>
              <w:rPr>
                <w:rFonts w:hint="eastAsia" w:ascii="Times New Roman" w:hAnsi="Times New Roman" w:eastAsia="宋体" w:cs="Times New Roman"/>
                <w:color w:val="auto"/>
                <w:sz w:val="22"/>
                <w:szCs w:val="24"/>
                <w:lang w:val="en-US" w:eastAsia="zh-CN"/>
              </w:rPr>
              <w:t>胞嘧啶提取</w:t>
            </w:r>
            <w:r>
              <w:rPr>
                <w:rFonts w:hint="eastAsia" w:ascii="Times New Roman" w:hAnsi="Times New Roman" w:eastAsia="宋体" w:cs="Times New Roman"/>
                <w:color w:val="auto"/>
                <w:sz w:val="22"/>
                <w:szCs w:val="24"/>
              </w:rPr>
              <w:t>设备，同时新增部分设备</w:t>
            </w:r>
            <w:r>
              <w:rPr>
                <w:rFonts w:hint="eastAsia" w:ascii="Times New Roman" w:hAnsi="Times New Roman" w:eastAsia="宋体" w:cs="Times New Roman"/>
                <w:color w:val="auto"/>
                <w:sz w:val="22"/>
                <w:szCs w:val="24"/>
                <w:lang w:eastAsia="zh-CN"/>
              </w:rPr>
              <w:t>。</w:t>
            </w:r>
          </w:p>
        </w:tc>
        <w:tc>
          <w:tcPr>
            <w:tcW w:w="556" w:type="pct"/>
            <w:vAlign w:val="center"/>
          </w:tcPr>
          <w:p w14:paraId="4DA0E570">
            <w:pPr>
              <w:jc w:val="center"/>
              <w:rPr>
                <w:rFonts w:hint="eastAsia"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依托</w:t>
            </w:r>
          </w:p>
        </w:tc>
      </w:tr>
      <w:tr w14:paraId="768FF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pct"/>
            <w:vMerge w:val="continue"/>
            <w:vAlign w:val="center"/>
          </w:tcPr>
          <w:p w14:paraId="27E95B2D">
            <w:pPr>
              <w:jc w:val="center"/>
              <w:rPr>
                <w:rFonts w:ascii="Times New Roman" w:hAnsi="Times New Roman" w:eastAsia="宋体" w:cs="Times New Roman"/>
                <w:color w:val="auto"/>
                <w:sz w:val="22"/>
                <w:szCs w:val="24"/>
              </w:rPr>
            </w:pPr>
          </w:p>
        </w:tc>
        <w:tc>
          <w:tcPr>
            <w:tcW w:w="1036" w:type="pct"/>
            <w:gridSpan w:val="2"/>
            <w:vAlign w:val="center"/>
          </w:tcPr>
          <w:p w14:paraId="32041578">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提取2车间</w:t>
            </w:r>
          </w:p>
        </w:tc>
        <w:tc>
          <w:tcPr>
            <w:tcW w:w="2979" w:type="pct"/>
            <w:gridSpan w:val="2"/>
            <w:vAlign w:val="center"/>
          </w:tcPr>
          <w:p w14:paraId="0AE93396">
            <w:pPr>
              <w:jc w:val="center"/>
              <w:rPr>
                <w:rFonts w:hint="eastAsia" w:ascii="Times New Roman" w:hAnsi="Times New Roman" w:eastAsia="宋体" w:cs="Times New Roman"/>
                <w:color w:val="auto"/>
                <w:sz w:val="22"/>
                <w:szCs w:val="24"/>
                <w:lang w:eastAsia="zh-CN"/>
              </w:rPr>
            </w:pPr>
            <w:r>
              <w:rPr>
                <w:rFonts w:hint="eastAsia" w:ascii="Times New Roman" w:hAnsi="Times New Roman" w:eastAsia="宋体" w:cs="Times New Roman"/>
                <w:color w:val="auto"/>
                <w:sz w:val="22"/>
                <w:szCs w:val="24"/>
                <w:lang w:val="en-US" w:eastAsia="zh-CN"/>
              </w:rPr>
              <w:t>占地面积2907.23m</w:t>
            </w:r>
            <w:r>
              <w:rPr>
                <w:rFonts w:hint="eastAsia" w:ascii="Times New Roman" w:hAnsi="Times New Roman" w:eastAsia="宋体" w:cs="Times New Roman"/>
                <w:color w:val="auto"/>
                <w:sz w:val="22"/>
                <w:szCs w:val="24"/>
                <w:vertAlign w:val="superscript"/>
                <w:lang w:val="en-US" w:eastAsia="zh-CN"/>
              </w:rPr>
              <w:t>2</w:t>
            </w:r>
            <w:r>
              <w:rPr>
                <w:rFonts w:hint="eastAsia" w:ascii="Times New Roman" w:hAnsi="Times New Roman" w:eastAsia="宋体" w:cs="Times New Roman"/>
                <w:color w:val="auto"/>
                <w:sz w:val="22"/>
                <w:szCs w:val="24"/>
                <w:lang w:val="en-US" w:eastAsia="zh-CN"/>
              </w:rPr>
              <w:t>，砖混结构，</w:t>
            </w:r>
            <w:r>
              <w:rPr>
                <w:rFonts w:hint="eastAsia" w:ascii="Times New Roman" w:hAnsi="Times New Roman" w:eastAsia="宋体" w:cs="Times New Roman"/>
                <w:color w:val="auto"/>
                <w:sz w:val="22"/>
                <w:szCs w:val="24"/>
              </w:rPr>
              <w:t>布置</w:t>
            </w:r>
            <w:r>
              <w:rPr>
                <w:rFonts w:hint="eastAsia" w:ascii="Times New Roman" w:hAnsi="Times New Roman" w:eastAsia="宋体" w:cs="Times New Roman"/>
                <w:color w:val="auto"/>
                <w:sz w:val="22"/>
                <w:szCs w:val="24"/>
                <w:lang w:val="en-US" w:eastAsia="zh-CN"/>
              </w:rPr>
              <w:t>肌醇饲料添加剂脱色生产线</w:t>
            </w:r>
            <w:r>
              <w:rPr>
                <w:rFonts w:hint="eastAsia" w:ascii="Times New Roman" w:hAnsi="Times New Roman" w:eastAsia="宋体" w:cs="Times New Roman"/>
                <w:color w:val="auto"/>
                <w:sz w:val="22"/>
                <w:szCs w:val="24"/>
              </w:rPr>
              <w:t>1条</w:t>
            </w:r>
            <w:r>
              <w:rPr>
                <w:rFonts w:hint="eastAsia" w:ascii="Times New Roman" w:hAnsi="Times New Roman" w:eastAsia="宋体" w:cs="Times New Roman"/>
                <w:color w:val="auto"/>
                <w:sz w:val="22"/>
                <w:szCs w:val="24"/>
                <w:lang w:eastAsia="zh-CN"/>
              </w:rPr>
              <w:t>，</w:t>
            </w:r>
            <w:r>
              <w:rPr>
                <w:rFonts w:hint="eastAsia" w:ascii="Times New Roman" w:hAnsi="Times New Roman" w:eastAsia="宋体" w:cs="Times New Roman"/>
                <w:color w:val="auto"/>
                <w:sz w:val="22"/>
                <w:szCs w:val="24"/>
              </w:rPr>
              <w:t>部分</w:t>
            </w:r>
            <w:r>
              <w:rPr>
                <w:rFonts w:hint="eastAsia" w:ascii="Times New Roman" w:hAnsi="Times New Roman" w:eastAsia="宋体" w:cs="Times New Roman"/>
                <w:color w:val="auto"/>
                <w:sz w:val="22"/>
                <w:szCs w:val="24"/>
                <w:lang w:val="en-US" w:eastAsia="zh-CN"/>
              </w:rPr>
              <w:t>生产设备</w:t>
            </w:r>
            <w:r>
              <w:rPr>
                <w:rFonts w:hint="eastAsia" w:ascii="Times New Roman" w:hAnsi="Times New Roman" w:eastAsia="宋体" w:cs="Times New Roman"/>
                <w:color w:val="auto"/>
                <w:sz w:val="22"/>
                <w:szCs w:val="24"/>
              </w:rPr>
              <w:t>依托现有</w:t>
            </w:r>
            <w:r>
              <w:rPr>
                <w:rFonts w:hint="eastAsia" w:ascii="Times New Roman" w:hAnsi="Times New Roman" w:eastAsia="宋体" w:cs="Times New Roman"/>
                <w:color w:val="auto"/>
                <w:sz w:val="22"/>
                <w:szCs w:val="24"/>
                <w:lang w:val="en-US" w:eastAsia="zh-CN"/>
              </w:rPr>
              <w:t>胞嘧啶提取</w:t>
            </w:r>
            <w:r>
              <w:rPr>
                <w:rFonts w:hint="eastAsia" w:ascii="Times New Roman" w:hAnsi="Times New Roman" w:eastAsia="宋体" w:cs="Times New Roman"/>
                <w:color w:val="auto"/>
                <w:sz w:val="22"/>
                <w:szCs w:val="24"/>
              </w:rPr>
              <w:t>设备，同时新增部分设备</w:t>
            </w:r>
            <w:r>
              <w:rPr>
                <w:rFonts w:hint="eastAsia" w:ascii="Times New Roman" w:hAnsi="Times New Roman" w:eastAsia="宋体" w:cs="Times New Roman"/>
                <w:color w:val="auto"/>
                <w:sz w:val="22"/>
                <w:szCs w:val="24"/>
                <w:lang w:eastAsia="zh-CN"/>
              </w:rPr>
              <w:t>。</w:t>
            </w:r>
          </w:p>
        </w:tc>
        <w:tc>
          <w:tcPr>
            <w:tcW w:w="556" w:type="pct"/>
            <w:vAlign w:val="center"/>
          </w:tcPr>
          <w:p w14:paraId="2F6CA8AE">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依托</w:t>
            </w:r>
          </w:p>
        </w:tc>
      </w:tr>
      <w:tr w14:paraId="57B4D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pct"/>
            <w:vMerge w:val="continue"/>
            <w:vAlign w:val="center"/>
          </w:tcPr>
          <w:p w14:paraId="0BB5E587">
            <w:pPr>
              <w:jc w:val="center"/>
              <w:rPr>
                <w:rFonts w:ascii="Times New Roman" w:hAnsi="Times New Roman" w:eastAsia="宋体" w:cs="Times New Roman"/>
                <w:color w:val="auto"/>
                <w:sz w:val="22"/>
                <w:szCs w:val="24"/>
              </w:rPr>
            </w:pPr>
          </w:p>
        </w:tc>
        <w:tc>
          <w:tcPr>
            <w:tcW w:w="1036" w:type="pct"/>
            <w:gridSpan w:val="2"/>
            <w:vAlign w:val="center"/>
          </w:tcPr>
          <w:p w14:paraId="5C332344">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提取3车间</w:t>
            </w:r>
          </w:p>
        </w:tc>
        <w:tc>
          <w:tcPr>
            <w:tcW w:w="2979" w:type="pct"/>
            <w:gridSpan w:val="2"/>
            <w:vAlign w:val="center"/>
          </w:tcPr>
          <w:p w14:paraId="1934E089">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占地面积506.88m</w:t>
            </w:r>
            <w:r>
              <w:rPr>
                <w:rFonts w:hint="eastAsia" w:ascii="Times New Roman" w:hAnsi="Times New Roman" w:eastAsia="宋体" w:cs="Times New Roman"/>
                <w:color w:val="auto"/>
                <w:sz w:val="22"/>
                <w:szCs w:val="24"/>
                <w:vertAlign w:val="superscript"/>
                <w:lang w:val="en-US" w:eastAsia="zh-CN"/>
              </w:rPr>
              <w:t>2</w:t>
            </w:r>
            <w:r>
              <w:rPr>
                <w:rFonts w:hint="eastAsia" w:ascii="Times New Roman" w:hAnsi="Times New Roman" w:eastAsia="宋体" w:cs="Times New Roman"/>
                <w:color w:val="auto"/>
                <w:sz w:val="22"/>
                <w:szCs w:val="24"/>
                <w:lang w:val="en-US" w:eastAsia="zh-CN"/>
              </w:rPr>
              <w:t>，砖混结构，</w:t>
            </w:r>
            <w:r>
              <w:rPr>
                <w:rFonts w:hint="eastAsia" w:ascii="Times New Roman" w:hAnsi="Times New Roman" w:eastAsia="宋体" w:cs="Times New Roman"/>
                <w:color w:val="auto"/>
                <w:sz w:val="22"/>
                <w:szCs w:val="24"/>
              </w:rPr>
              <w:t>布置</w:t>
            </w:r>
            <w:r>
              <w:rPr>
                <w:rFonts w:hint="eastAsia" w:ascii="Times New Roman" w:hAnsi="Times New Roman" w:eastAsia="宋体" w:cs="Times New Roman"/>
                <w:color w:val="auto"/>
                <w:sz w:val="22"/>
                <w:szCs w:val="24"/>
                <w:lang w:val="en-US" w:eastAsia="zh-CN"/>
              </w:rPr>
              <w:t>液糖生产线1条，</w:t>
            </w:r>
            <w:r>
              <w:rPr>
                <w:rFonts w:hint="eastAsia" w:ascii="Times New Roman" w:hAnsi="Times New Roman" w:eastAsia="宋体" w:cs="Times New Roman"/>
                <w:color w:val="auto"/>
                <w:sz w:val="22"/>
                <w:szCs w:val="24"/>
              </w:rPr>
              <w:t>部分</w:t>
            </w:r>
            <w:r>
              <w:rPr>
                <w:rFonts w:hint="eastAsia" w:ascii="Times New Roman" w:hAnsi="Times New Roman" w:eastAsia="宋体" w:cs="Times New Roman"/>
                <w:color w:val="auto"/>
                <w:sz w:val="22"/>
                <w:szCs w:val="24"/>
                <w:lang w:val="en-US" w:eastAsia="zh-CN"/>
              </w:rPr>
              <w:t>生产设备</w:t>
            </w:r>
            <w:r>
              <w:rPr>
                <w:rFonts w:hint="eastAsia" w:ascii="Times New Roman" w:hAnsi="Times New Roman" w:eastAsia="宋体" w:cs="Times New Roman"/>
                <w:color w:val="auto"/>
                <w:sz w:val="22"/>
                <w:szCs w:val="24"/>
              </w:rPr>
              <w:t>依托现有设备，同时新增部分设备</w:t>
            </w:r>
          </w:p>
        </w:tc>
        <w:tc>
          <w:tcPr>
            <w:tcW w:w="556" w:type="pct"/>
            <w:vAlign w:val="center"/>
          </w:tcPr>
          <w:p w14:paraId="1C9693E8">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依托</w:t>
            </w:r>
          </w:p>
        </w:tc>
      </w:tr>
      <w:tr w14:paraId="2EA94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pct"/>
            <w:vMerge w:val="continue"/>
            <w:vAlign w:val="center"/>
          </w:tcPr>
          <w:p w14:paraId="50BE6B0E">
            <w:pPr>
              <w:jc w:val="center"/>
              <w:rPr>
                <w:rFonts w:ascii="Times New Roman" w:hAnsi="Times New Roman" w:eastAsia="宋体" w:cs="Times New Roman"/>
                <w:color w:val="auto"/>
                <w:sz w:val="22"/>
                <w:szCs w:val="24"/>
              </w:rPr>
            </w:pPr>
          </w:p>
        </w:tc>
        <w:tc>
          <w:tcPr>
            <w:tcW w:w="1036" w:type="pct"/>
            <w:gridSpan w:val="2"/>
            <w:vAlign w:val="center"/>
          </w:tcPr>
          <w:p w14:paraId="692346F9">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烘干车间</w:t>
            </w:r>
          </w:p>
        </w:tc>
        <w:tc>
          <w:tcPr>
            <w:tcW w:w="2979" w:type="pct"/>
            <w:gridSpan w:val="2"/>
            <w:vAlign w:val="center"/>
          </w:tcPr>
          <w:p w14:paraId="2E85D7BB">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占地面积346.86m</w:t>
            </w:r>
            <w:r>
              <w:rPr>
                <w:rFonts w:hint="eastAsia" w:ascii="Times New Roman" w:hAnsi="Times New Roman" w:eastAsia="宋体" w:cs="Times New Roman"/>
                <w:color w:val="auto"/>
                <w:sz w:val="22"/>
                <w:szCs w:val="24"/>
                <w:vertAlign w:val="superscript"/>
                <w:lang w:val="en-US" w:eastAsia="zh-CN"/>
              </w:rPr>
              <w:t>2</w:t>
            </w:r>
            <w:r>
              <w:rPr>
                <w:rFonts w:hint="eastAsia" w:ascii="Times New Roman" w:hAnsi="Times New Roman" w:eastAsia="宋体" w:cs="Times New Roman"/>
                <w:color w:val="auto"/>
                <w:sz w:val="22"/>
                <w:szCs w:val="24"/>
                <w:lang w:val="en-US" w:eastAsia="zh-CN"/>
              </w:rPr>
              <w:t>，砖混结构，布置肌醇饲料添加剂干燥生产线一条，</w:t>
            </w:r>
            <w:r>
              <w:rPr>
                <w:rFonts w:hint="eastAsia" w:ascii="Times New Roman" w:hAnsi="Times New Roman" w:eastAsia="宋体" w:cs="Times New Roman"/>
                <w:color w:val="auto"/>
                <w:sz w:val="22"/>
                <w:szCs w:val="24"/>
              </w:rPr>
              <w:t>部分</w:t>
            </w:r>
            <w:r>
              <w:rPr>
                <w:rFonts w:hint="eastAsia" w:ascii="Times New Roman" w:hAnsi="Times New Roman" w:eastAsia="宋体" w:cs="Times New Roman"/>
                <w:color w:val="auto"/>
                <w:sz w:val="22"/>
                <w:szCs w:val="24"/>
                <w:lang w:val="en-US" w:eastAsia="zh-CN"/>
              </w:rPr>
              <w:t>生产设备</w:t>
            </w:r>
            <w:r>
              <w:rPr>
                <w:rFonts w:hint="eastAsia" w:ascii="Times New Roman" w:hAnsi="Times New Roman" w:eastAsia="宋体" w:cs="Times New Roman"/>
                <w:color w:val="auto"/>
                <w:sz w:val="22"/>
                <w:szCs w:val="24"/>
              </w:rPr>
              <w:t>依托现有</w:t>
            </w:r>
            <w:r>
              <w:rPr>
                <w:rFonts w:hint="eastAsia" w:ascii="Times New Roman" w:hAnsi="Times New Roman" w:eastAsia="宋体" w:cs="Times New Roman"/>
                <w:color w:val="auto"/>
                <w:sz w:val="22"/>
                <w:szCs w:val="24"/>
                <w:lang w:val="en-US" w:eastAsia="zh-CN"/>
              </w:rPr>
              <w:t>干燥</w:t>
            </w:r>
            <w:r>
              <w:rPr>
                <w:rFonts w:hint="eastAsia" w:ascii="Times New Roman" w:hAnsi="Times New Roman" w:eastAsia="宋体" w:cs="Times New Roman"/>
                <w:color w:val="auto"/>
                <w:sz w:val="22"/>
                <w:szCs w:val="24"/>
              </w:rPr>
              <w:t>设备，同时新增部分设备</w:t>
            </w:r>
          </w:p>
        </w:tc>
        <w:tc>
          <w:tcPr>
            <w:tcW w:w="556" w:type="pct"/>
            <w:vAlign w:val="center"/>
          </w:tcPr>
          <w:p w14:paraId="143CDD84">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依托</w:t>
            </w:r>
          </w:p>
        </w:tc>
      </w:tr>
      <w:tr w14:paraId="4085B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pct"/>
            <w:vMerge w:val="continue"/>
            <w:vAlign w:val="center"/>
          </w:tcPr>
          <w:p w14:paraId="3A619D50">
            <w:pPr>
              <w:jc w:val="center"/>
              <w:rPr>
                <w:rFonts w:ascii="Times New Roman" w:hAnsi="Times New Roman" w:eastAsia="宋体" w:cs="Times New Roman"/>
                <w:color w:val="auto"/>
                <w:sz w:val="22"/>
                <w:szCs w:val="24"/>
              </w:rPr>
            </w:pPr>
          </w:p>
        </w:tc>
        <w:tc>
          <w:tcPr>
            <w:tcW w:w="1036" w:type="pct"/>
            <w:gridSpan w:val="2"/>
            <w:vAlign w:val="center"/>
          </w:tcPr>
          <w:p w14:paraId="341DC7F6">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提取6车间</w:t>
            </w:r>
          </w:p>
        </w:tc>
        <w:tc>
          <w:tcPr>
            <w:tcW w:w="2979" w:type="pct"/>
            <w:gridSpan w:val="2"/>
            <w:vAlign w:val="center"/>
          </w:tcPr>
          <w:p w14:paraId="421696DC">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lang w:val="en-US" w:eastAsia="zh-CN"/>
              </w:rPr>
              <w:t>占地面积483.75m</w:t>
            </w:r>
            <w:r>
              <w:rPr>
                <w:rFonts w:hint="eastAsia" w:ascii="Times New Roman" w:hAnsi="Times New Roman" w:eastAsia="宋体" w:cs="Times New Roman"/>
                <w:color w:val="auto"/>
                <w:sz w:val="22"/>
                <w:szCs w:val="24"/>
                <w:vertAlign w:val="superscript"/>
                <w:lang w:val="en-US" w:eastAsia="zh-CN"/>
              </w:rPr>
              <w:t>2</w:t>
            </w:r>
            <w:r>
              <w:rPr>
                <w:rFonts w:hint="eastAsia" w:ascii="Times New Roman" w:hAnsi="Times New Roman" w:eastAsia="宋体" w:cs="Times New Roman"/>
                <w:color w:val="auto"/>
                <w:sz w:val="22"/>
                <w:szCs w:val="24"/>
                <w:lang w:val="en-US" w:eastAsia="zh-CN"/>
              </w:rPr>
              <w:t>，砼结构，</w:t>
            </w:r>
            <w:r>
              <w:rPr>
                <w:rFonts w:hint="eastAsia" w:ascii="Times New Roman" w:hAnsi="Times New Roman" w:eastAsia="宋体" w:cs="Times New Roman"/>
                <w:color w:val="auto"/>
                <w:sz w:val="22"/>
                <w:szCs w:val="24"/>
              </w:rPr>
              <w:t>布置</w:t>
            </w:r>
            <w:r>
              <w:rPr>
                <w:rFonts w:hint="eastAsia" w:ascii="Times New Roman" w:hAnsi="Times New Roman" w:eastAsia="宋体" w:cs="Times New Roman"/>
                <w:color w:val="auto"/>
                <w:sz w:val="22"/>
                <w:szCs w:val="24"/>
                <w:lang w:val="en-US" w:eastAsia="zh-CN"/>
              </w:rPr>
              <w:t>液糖生产线1条，</w:t>
            </w:r>
            <w:r>
              <w:rPr>
                <w:rFonts w:hint="eastAsia" w:ascii="Times New Roman" w:hAnsi="Times New Roman" w:eastAsia="宋体" w:cs="Times New Roman"/>
                <w:color w:val="auto"/>
                <w:sz w:val="22"/>
                <w:szCs w:val="24"/>
              </w:rPr>
              <w:t>部分</w:t>
            </w:r>
            <w:r>
              <w:rPr>
                <w:rFonts w:hint="eastAsia" w:ascii="Times New Roman" w:hAnsi="Times New Roman" w:eastAsia="宋体" w:cs="Times New Roman"/>
                <w:color w:val="auto"/>
                <w:sz w:val="22"/>
                <w:szCs w:val="24"/>
                <w:lang w:val="en-US" w:eastAsia="zh-CN"/>
              </w:rPr>
              <w:t>生产设备</w:t>
            </w:r>
            <w:r>
              <w:rPr>
                <w:rFonts w:hint="eastAsia" w:ascii="Times New Roman" w:hAnsi="Times New Roman" w:eastAsia="宋体" w:cs="Times New Roman"/>
                <w:color w:val="auto"/>
                <w:sz w:val="22"/>
                <w:szCs w:val="24"/>
              </w:rPr>
              <w:t>依托现有设备，同时新增部分设备</w:t>
            </w:r>
          </w:p>
        </w:tc>
        <w:tc>
          <w:tcPr>
            <w:tcW w:w="556" w:type="pct"/>
            <w:vAlign w:val="center"/>
          </w:tcPr>
          <w:p w14:paraId="77A643D8">
            <w:pPr>
              <w:jc w:val="center"/>
              <w:rPr>
                <w:rFonts w:hint="eastAsia" w:ascii="Times New Roman" w:hAnsi="Times New Roman" w:eastAsia="宋体" w:cs="Times New Roman"/>
                <w:color w:val="auto"/>
                <w:sz w:val="22"/>
                <w:szCs w:val="24"/>
                <w:lang w:eastAsia="zh-CN"/>
              </w:rPr>
            </w:pPr>
            <w:r>
              <w:rPr>
                <w:rFonts w:hint="eastAsia" w:ascii="Times New Roman" w:hAnsi="Times New Roman" w:eastAsia="宋体" w:cs="Times New Roman"/>
                <w:color w:val="auto"/>
                <w:sz w:val="22"/>
                <w:szCs w:val="24"/>
                <w:lang w:val="en-US" w:eastAsia="zh-CN"/>
              </w:rPr>
              <w:t>依托</w:t>
            </w:r>
          </w:p>
        </w:tc>
      </w:tr>
      <w:tr w14:paraId="36A3F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pct"/>
            <w:vMerge w:val="restart"/>
            <w:vAlign w:val="center"/>
          </w:tcPr>
          <w:p w14:paraId="4AB8E80E">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储运工程</w:t>
            </w:r>
          </w:p>
        </w:tc>
        <w:tc>
          <w:tcPr>
            <w:tcW w:w="1036" w:type="pct"/>
            <w:gridSpan w:val="2"/>
            <w:shd w:val="clear" w:color="auto" w:fill="auto"/>
            <w:vAlign w:val="center"/>
          </w:tcPr>
          <w:p w14:paraId="0EA4458A">
            <w:pPr>
              <w:jc w:val="center"/>
              <w:rPr>
                <w:rFonts w:hint="eastAsia"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lang w:val="en-US" w:eastAsia="zh-CN"/>
              </w:rPr>
              <w:t>综合仓库</w:t>
            </w:r>
          </w:p>
        </w:tc>
        <w:tc>
          <w:tcPr>
            <w:tcW w:w="2979" w:type="pct"/>
            <w:gridSpan w:val="2"/>
            <w:vAlign w:val="center"/>
          </w:tcPr>
          <w:p w14:paraId="7E5AA848">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lang w:val="en-US" w:eastAsia="zh-CN"/>
              </w:rPr>
              <w:t>占地面积1686.19m</w:t>
            </w:r>
            <w:r>
              <w:rPr>
                <w:rFonts w:hint="eastAsia" w:ascii="Times New Roman" w:hAnsi="Times New Roman" w:eastAsia="宋体" w:cs="Times New Roman"/>
                <w:color w:val="auto"/>
                <w:sz w:val="22"/>
                <w:szCs w:val="24"/>
                <w:vertAlign w:val="superscript"/>
                <w:lang w:val="en-US" w:eastAsia="zh-CN"/>
              </w:rPr>
              <w:t>2</w:t>
            </w:r>
          </w:p>
        </w:tc>
        <w:tc>
          <w:tcPr>
            <w:tcW w:w="556" w:type="pct"/>
            <w:vAlign w:val="center"/>
          </w:tcPr>
          <w:p w14:paraId="631BBAF4">
            <w:pPr>
              <w:jc w:val="center"/>
              <w:rPr>
                <w:rFonts w:hint="eastAsia"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lang w:val="en-US" w:eastAsia="zh-CN"/>
              </w:rPr>
              <w:t>依托</w:t>
            </w:r>
          </w:p>
        </w:tc>
      </w:tr>
      <w:tr w14:paraId="49B32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pct"/>
            <w:vMerge w:val="continue"/>
            <w:vAlign w:val="center"/>
          </w:tcPr>
          <w:p w14:paraId="5E5EBB71">
            <w:pPr>
              <w:jc w:val="center"/>
              <w:rPr>
                <w:rFonts w:hint="eastAsia" w:ascii="Times New Roman" w:hAnsi="Times New Roman" w:eastAsia="宋体" w:cs="Times New Roman"/>
                <w:color w:val="auto"/>
                <w:sz w:val="22"/>
                <w:szCs w:val="24"/>
              </w:rPr>
            </w:pPr>
          </w:p>
        </w:tc>
        <w:tc>
          <w:tcPr>
            <w:tcW w:w="1036" w:type="pct"/>
            <w:gridSpan w:val="2"/>
            <w:shd w:val="clear" w:color="auto" w:fill="auto"/>
            <w:vAlign w:val="center"/>
          </w:tcPr>
          <w:p w14:paraId="1ADF9FA4">
            <w:pPr>
              <w:jc w:val="center"/>
              <w:rPr>
                <w:rFonts w:hint="eastAsia"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lang w:val="en-US" w:eastAsia="zh-CN"/>
              </w:rPr>
              <w:t>五金仓库</w:t>
            </w:r>
          </w:p>
        </w:tc>
        <w:tc>
          <w:tcPr>
            <w:tcW w:w="2979" w:type="pct"/>
            <w:gridSpan w:val="2"/>
            <w:vAlign w:val="center"/>
          </w:tcPr>
          <w:p w14:paraId="0E70757E">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lang w:val="en-US" w:eastAsia="zh-CN"/>
              </w:rPr>
              <w:t>占地面积143.85m</w:t>
            </w:r>
            <w:r>
              <w:rPr>
                <w:rFonts w:hint="eastAsia" w:ascii="Times New Roman" w:hAnsi="Times New Roman" w:eastAsia="宋体" w:cs="Times New Roman"/>
                <w:color w:val="auto"/>
                <w:sz w:val="22"/>
                <w:szCs w:val="24"/>
                <w:vertAlign w:val="superscript"/>
                <w:lang w:val="en-US" w:eastAsia="zh-CN"/>
              </w:rPr>
              <w:t>2</w:t>
            </w:r>
          </w:p>
        </w:tc>
        <w:tc>
          <w:tcPr>
            <w:tcW w:w="556" w:type="pct"/>
            <w:vAlign w:val="center"/>
          </w:tcPr>
          <w:p w14:paraId="3F7AB4DB">
            <w:pPr>
              <w:jc w:val="center"/>
              <w:rPr>
                <w:rFonts w:hint="eastAsia"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lang w:val="en-US" w:eastAsia="zh-CN"/>
              </w:rPr>
              <w:t>依托</w:t>
            </w:r>
          </w:p>
        </w:tc>
      </w:tr>
      <w:tr w14:paraId="34444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pct"/>
            <w:vMerge w:val="continue"/>
            <w:vAlign w:val="center"/>
          </w:tcPr>
          <w:p w14:paraId="39FC989B">
            <w:pPr>
              <w:jc w:val="center"/>
              <w:rPr>
                <w:rFonts w:hint="eastAsia" w:ascii="Times New Roman" w:hAnsi="Times New Roman" w:eastAsia="宋体" w:cs="Times New Roman"/>
                <w:color w:val="auto"/>
                <w:sz w:val="22"/>
                <w:szCs w:val="24"/>
              </w:rPr>
            </w:pPr>
          </w:p>
        </w:tc>
        <w:tc>
          <w:tcPr>
            <w:tcW w:w="1036" w:type="pct"/>
            <w:gridSpan w:val="2"/>
            <w:shd w:val="clear" w:color="auto" w:fill="auto"/>
            <w:vAlign w:val="center"/>
          </w:tcPr>
          <w:p w14:paraId="0DE79D0F">
            <w:pPr>
              <w:jc w:val="center"/>
              <w:rPr>
                <w:rFonts w:hint="eastAsia"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lang w:val="en-US" w:eastAsia="zh-CN"/>
              </w:rPr>
              <w:t>原料仓库</w:t>
            </w:r>
          </w:p>
        </w:tc>
        <w:tc>
          <w:tcPr>
            <w:tcW w:w="2979" w:type="pct"/>
            <w:gridSpan w:val="2"/>
            <w:vAlign w:val="center"/>
          </w:tcPr>
          <w:p w14:paraId="63AED8D2">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lang w:val="en-US" w:eastAsia="zh-CN"/>
              </w:rPr>
              <w:t>占地面积547.96m</w:t>
            </w:r>
            <w:r>
              <w:rPr>
                <w:rFonts w:hint="eastAsia" w:ascii="Times New Roman" w:hAnsi="Times New Roman" w:eastAsia="宋体" w:cs="Times New Roman"/>
                <w:color w:val="auto"/>
                <w:sz w:val="22"/>
                <w:szCs w:val="24"/>
                <w:vertAlign w:val="superscript"/>
                <w:lang w:val="en-US" w:eastAsia="zh-CN"/>
              </w:rPr>
              <w:t>2</w:t>
            </w:r>
          </w:p>
        </w:tc>
        <w:tc>
          <w:tcPr>
            <w:tcW w:w="556" w:type="pct"/>
            <w:vAlign w:val="center"/>
          </w:tcPr>
          <w:p w14:paraId="02F3FFE9">
            <w:pPr>
              <w:jc w:val="center"/>
              <w:rPr>
                <w:rFonts w:hint="eastAsia"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lang w:val="en-US" w:eastAsia="zh-CN"/>
              </w:rPr>
              <w:t>依托</w:t>
            </w:r>
          </w:p>
        </w:tc>
      </w:tr>
      <w:tr w14:paraId="2D5E4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pct"/>
            <w:vMerge w:val="continue"/>
            <w:vAlign w:val="center"/>
          </w:tcPr>
          <w:p w14:paraId="08E6688A">
            <w:pPr>
              <w:jc w:val="center"/>
              <w:rPr>
                <w:rFonts w:hint="eastAsia" w:ascii="Times New Roman" w:hAnsi="Times New Roman" w:eastAsia="宋体" w:cs="Times New Roman"/>
                <w:color w:val="auto"/>
                <w:sz w:val="22"/>
                <w:szCs w:val="24"/>
              </w:rPr>
            </w:pPr>
          </w:p>
        </w:tc>
        <w:tc>
          <w:tcPr>
            <w:tcW w:w="1036" w:type="pct"/>
            <w:gridSpan w:val="2"/>
            <w:shd w:val="clear" w:color="auto" w:fill="auto"/>
            <w:vAlign w:val="center"/>
          </w:tcPr>
          <w:p w14:paraId="12E4CF12">
            <w:pPr>
              <w:jc w:val="center"/>
              <w:rPr>
                <w:rFonts w:hint="eastAsia"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lang w:val="en-US" w:eastAsia="zh-CN"/>
              </w:rPr>
              <w:t>成品仓库</w:t>
            </w:r>
          </w:p>
        </w:tc>
        <w:tc>
          <w:tcPr>
            <w:tcW w:w="2979" w:type="pct"/>
            <w:gridSpan w:val="2"/>
            <w:vAlign w:val="center"/>
          </w:tcPr>
          <w:p w14:paraId="324AD286">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lang w:val="en-US" w:eastAsia="zh-CN"/>
              </w:rPr>
              <w:t>占地面积422.3m</w:t>
            </w:r>
            <w:r>
              <w:rPr>
                <w:rFonts w:hint="eastAsia" w:ascii="Times New Roman" w:hAnsi="Times New Roman" w:eastAsia="宋体" w:cs="Times New Roman"/>
                <w:color w:val="auto"/>
                <w:sz w:val="22"/>
                <w:szCs w:val="24"/>
                <w:vertAlign w:val="superscript"/>
                <w:lang w:val="en-US" w:eastAsia="zh-CN"/>
              </w:rPr>
              <w:t>2</w:t>
            </w:r>
          </w:p>
        </w:tc>
        <w:tc>
          <w:tcPr>
            <w:tcW w:w="556" w:type="pct"/>
            <w:vAlign w:val="center"/>
          </w:tcPr>
          <w:p w14:paraId="2D8EFA34">
            <w:pPr>
              <w:jc w:val="center"/>
              <w:rPr>
                <w:rFonts w:hint="eastAsia"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lang w:val="en-US" w:eastAsia="zh-CN"/>
              </w:rPr>
              <w:t>依托</w:t>
            </w:r>
          </w:p>
        </w:tc>
      </w:tr>
      <w:tr w14:paraId="22DD0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pct"/>
            <w:vMerge w:val="restart"/>
            <w:vAlign w:val="center"/>
          </w:tcPr>
          <w:p w14:paraId="0C0E2683">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公用工程</w:t>
            </w:r>
          </w:p>
          <w:p w14:paraId="5C1794FC">
            <w:pPr>
              <w:jc w:val="center"/>
              <w:rPr>
                <w:rFonts w:ascii="Times New Roman" w:hAnsi="Times New Roman" w:eastAsia="宋体" w:cs="Times New Roman"/>
                <w:color w:val="auto"/>
                <w:sz w:val="22"/>
                <w:szCs w:val="24"/>
              </w:rPr>
            </w:pPr>
          </w:p>
        </w:tc>
        <w:tc>
          <w:tcPr>
            <w:tcW w:w="1036" w:type="pct"/>
            <w:gridSpan w:val="2"/>
            <w:shd w:val="clear" w:color="auto" w:fill="auto"/>
            <w:vAlign w:val="center"/>
          </w:tcPr>
          <w:p w14:paraId="72E921CE">
            <w:pPr>
              <w:jc w:val="center"/>
              <w:rPr>
                <w:rFonts w:hint="eastAsia"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lang w:val="en-US" w:eastAsia="zh-CN"/>
              </w:rPr>
              <w:t>办公楼</w:t>
            </w:r>
          </w:p>
        </w:tc>
        <w:tc>
          <w:tcPr>
            <w:tcW w:w="2979" w:type="pct"/>
            <w:gridSpan w:val="2"/>
            <w:shd w:val="clear" w:color="auto" w:fill="auto"/>
            <w:vAlign w:val="center"/>
          </w:tcPr>
          <w:p w14:paraId="72DFE893">
            <w:pPr>
              <w:jc w:val="center"/>
              <w:rPr>
                <w:rFonts w:hint="eastAsia"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lang w:val="en-US" w:eastAsia="zh-CN"/>
              </w:rPr>
              <w:t>3层，建筑面积1195.08m</w:t>
            </w:r>
            <w:r>
              <w:rPr>
                <w:rFonts w:hint="eastAsia" w:ascii="Times New Roman" w:hAnsi="Times New Roman" w:eastAsia="宋体" w:cs="Times New Roman"/>
                <w:color w:val="auto"/>
                <w:sz w:val="22"/>
                <w:szCs w:val="24"/>
                <w:vertAlign w:val="superscript"/>
                <w:lang w:val="en-US" w:eastAsia="zh-CN"/>
              </w:rPr>
              <w:t>2</w:t>
            </w:r>
          </w:p>
        </w:tc>
        <w:tc>
          <w:tcPr>
            <w:tcW w:w="556" w:type="pct"/>
            <w:shd w:val="clear" w:color="auto" w:fill="auto"/>
            <w:vAlign w:val="center"/>
          </w:tcPr>
          <w:p w14:paraId="13686FB0">
            <w:pPr>
              <w:jc w:val="center"/>
              <w:rPr>
                <w:rFonts w:hint="eastAsia"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依托</w:t>
            </w:r>
          </w:p>
        </w:tc>
      </w:tr>
      <w:tr w14:paraId="504B8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pct"/>
            <w:vMerge w:val="continue"/>
            <w:vAlign w:val="center"/>
          </w:tcPr>
          <w:p w14:paraId="72FD3C04">
            <w:pPr>
              <w:jc w:val="center"/>
              <w:rPr>
                <w:rFonts w:hint="eastAsia" w:ascii="Times New Roman" w:hAnsi="Times New Roman" w:eastAsia="宋体" w:cs="Times New Roman"/>
                <w:color w:val="auto"/>
                <w:sz w:val="22"/>
                <w:szCs w:val="24"/>
              </w:rPr>
            </w:pPr>
          </w:p>
        </w:tc>
        <w:tc>
          <w:tcPr>
            <w:tcW w:w="1036" w:type="pct"/>
            <w:gridSpan w:val="2"/>
            <w:shd w:val="clear" w:color="auto" w:fill="auto"/>
            <w:vAlign w:val="center"/>
          </w:tcPr>
          <w:p w14:paraId="08517B13">
            <w:pPr>
              <w:jc w:val="center"/>
              <w:rPr>
                <w:rFonts w:hint="eastAsia"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lang w:val="en-US" w:eastAsia="zh-CN"/>
              </w:rPr>
              <w:t>宿舍楼</w:t>
            </w:r>
          </w:p>
        </w:tc>
        <w:tc>
          <w:tcPr>
            <w:tcW w:w="2979" w:type="pct"/>
            <w:gridSpan w:val="2"/>
            <w:shd w:val="clear" w:color="auto" w:fill="auto"/>
            <w:vAlign w:val="center"/>
          </w:tcPr>
          <w:p w14:paraId="2BDA6094">
            <w:pPr>
              <w:jc w:val="center"/>
              <w:rPr>
                <w:rFonts w:hint="eastAsia"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lang w:val="en-US" w:eastAsia="zh-CN"/>
              </w:rPr>
              <w:t>3层，建筑面积1022.73m</w:t>
            </w:r>
            <w:r>
              <w:rPr>
                <w:rFonts w:hint="eastAsia" w:ascii="Times New Roman" w:hAnsi="Times New Roman" w:eastAsia="宋体" w:cs="Times New Roman"/>
                <w:color w:val="auto"/>
                <w:sz w:val="22"/>
                <w:szCs w:val="24"/>
                <w:vertAlign w:val="superscript"/>
                <w:lang w:val="en-US" w:eastAsia="zh-CN"/>
              </w:rPr>
              <w:t>2</w:t>
            </w:r>
          </w:p>
        </w:tc>
        <w:tc>
          <w:tcPr>
            <w:tcW w:w="556" w:type="pct"/>
            <w:shd w:val="clear" w:color="auto" w:fill="auto"/>
            <w:vAlign w:val="center"/>
          </w:tcPr>
          <w:p w14:paraId="00D6E5A8">
            <w:pPr>
              <w:jc w:val="center"/>
              <w:rPr>
                <w:rFonts w:hint="eastAsia"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依托</w:t>
            </w:r>
          </w:p>
        </w:tc>
      </w:tr>
      <w:tr w14:paraId="417B5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pct"/>
            <w:vMerge w:val="continue"/>
            <w:vAlign w:val="center"/>
          </w:tcPr>
          <w:p w14:paraId="71A93B4E">
            <w:pPr>
              <w:jc w:val="center"/>
              <w:rPr>
                <w:rFonts w:hint="eastAsia" w:ascii="Times New Roman" w:hAnsi="Times New Roman" w:eastAsia="宋体" w:cs="Times New Roman"/>
                <w:color w:val="auto"/>
                <w:sz w:val="22"/>
                <w:szCs w:val="24"/>
              </w:rPr>
            </w:pPr>
          </w:p>
        </w:tc>
        <w:tc>
          <w:tcPr>
            <w:tcW w:w="1036" w:type="pct"/>
            <w:gridSpan w:val="2"/>
            <w:shd w:val="clear" w:color="auto" w:fill="auto"/>
            <w:vAlign w:val="center"/>
          </w:tcPr>
          <w:p w14:paraId="25BB573C">
            <w:pPr>
              <w:jc w:val="center"/>
              <w:rPr>
                <w:rFonts w:hint="eastAsia"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lang w:val="en-US" w:eastAsia="zh-CN"/>
              </w:rPr>
              <w:t>配电房</w:t>
            </w:r>
          </w:p>
        </w:tc>
        <w:tc>
          <w:tcPr>
            <w:tcW w:w="2979" w:type="pct"/>
            <w:gridSpan w:val="2"/>
            <w:shd w:val="clear" w:color="auto" w:fill="auto"/>
            <w:vAlign w:val="center"/>
          </w:tcPr>
          <w:p w14:paraId="4217A35B">
            <w:pPr>
              <w:jc w:val="center"/>
              <w:rPr>
                <w:rFonts w:hint="eastAsia"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lang w:val="en-US" w:eastAsia="zh-CN"/>
              </w:rPr>
              <w:t>1层，建筑面积866.45m</w:t>
            </w:r>
            <w:r>
              <w:rPr>
                <w:rFonts w:hint="eastAsia" w:ascii="Times New Roman" w:hAnsi="Times New Roman" w:eastAsia="宋体" w:cs="Times New Roman"/>
                <w:color w:val="auto"/>
                <w:sz w:val="22"/>
                <w:szCs w:val="24"/>
                <w:vertAlign w:val="superscript"/>
                <w:lang w:val="en-US" w:eastAsia="zh-CN"/>
              </w:rPr>
              <w:t>2</w:t>
            </w:r>
          </w:p>
        </w:tc>
        <w:tc>
          <w:tcPr>
            <w:tcW w:w="556" w:type="pct"/>
            <w:shd w:val="clear" w:color="auto" w:fill="auto"/>
            <w:vAlign w:val="center"/>
          </w:tcPr>
          <w:p w14:paraId="5245D180">
            <w:pPr>
              <w:jc w:val="center"/>
              <w:rPr>
                <w:rFonts w:hint="eastAsia"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依托</w:t>
            </w:r>
          </w:p>
        </w:tc>
      </w:tr>
      <w:tr w14:paraId="46008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pct"/>
            <w:vMerge w:val="continue"/>
            <w:vAlign w:val="center"/>
          </w:tcPr>
          <w:p w14:paraId="6F0C71C6">
            <w:pPr>
              <w:jc w:val="center"/>
              <w:rPr>
                <w:rFonts w:ascii="Times New Roman" w:hAnsi="Times New Roman" w:eastAsia="宋体" w:cs="Times New Roman"/>
                <w:color w:val="auto"/>
                <w:sz w:val="22"/>
                <w:szCs w:val="24"/>
              </w:rPr>
            </w:pPr>
          </w:p>
        </w:tc>
        <w:tc>
          <w:tcPr>
            <w:tcW w:w="1036" w:type="pct"/>
            <w:gridSpan w:val="2"/>
            <w:vAlign w:val="center"/>
          </w:tcPr>
          <w:p w14:paraId="4B75A041">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给水（依托）</w:t>
            </w:r>
          </w:p>
        </w:tc>
        <w:tc>
          <w:tcPr>
            <w:tcW w:w="3536" w:type="pct"/>
            <w:gridSpan w:val="3"/>
            <w:vAlign w:val="center"/>
          </w:tcPr>
          <w:p w14:paraId="7A91CA08">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工艺和生活用水由园区供水管网提供，水质水量能够满足项目需求。</w:t>
            </w:r>
          </w:p>
        </w:tc>
      </w:tr>
      <w:tr w14:paraId="277D6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pct"/>
            <w:vMerge w:val="continue"/>
            <w:vAlign w:val="center"/>
          </w:tcPr>
          <w:p w14:paraId="1E70CFFD">
            <w:pPr>
              <w:jc w:val="center"/>
              <w:rPr>
                <w:rFonts w:ascii="Times New Roman" w:hAnsi="Times New Roman" w:eastAsia="宋体" w:cs="Times New Roman"/>
                <w:color w:val="auto"/>
                <w:sz w:val="22"/>
                <w:szCs w:val="24"/>
              </w:rPr>
            </w:pPr>
          </w:p>
        </w:tc>
        <w:tc>
          <w:tcPr>
            <w:tcW w:w="1036" w:type="pct"/>
            <w:gridSpan w:val="2"/>
            <w:vAlign w:val="center"/>
          </w:tcPr>
          <w:p w14:paraId="68E7E2E4">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排水（依托）</w:t>
            </w:r>
          </w:p>
        </w:tc>
        <w:tc>
          <w:tcPr>
            <w:tcW w:w="3536" w:type="pct"/>
            <w:gridSpan w:val="3"/>
            <w:vAlign w:val="center"/>
          </w:tcPr>
          <w:p w14:paraId="22F837B2">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厂内已</w:t>
            </w:r>
            <w:r>
              <w:rPr>
                <w:rFonts w:ascii="Times New Roman" w:hAnsi="Times New Roman" w:eastAsia="宋体" w:cs="Times New Roman"/>
                <w:color w:val="auto"/>
                <w:sz w:val="22"/>
                <w:szCs w:val="24"/>
              </w:rPr>
              <w:t>采取</w:t>
            </w:r>
            <w:r>
              <w:rPr>
                <w:rFonts w:hint="eastAsia" w:ascii="Times New Roman" w:hAnsi="Times New Roman" w:eastAsia="宋体" w:cs="Times New Roman"/>
                <w:color w:val="auto"/>
                <w:sz w:val="22"/>
                <w:szCs w:val="24"/>
              </w:rPr>
              <w:t>“</w:t>
            </w:r>
            <w:r>
              <w:rPr>
                <w:rFonts w:ascii="Times New Roman" w:hAnsi="Times New Roman" w:eastAsia="宋体" w:cs="Times New Roman"/>
                <w:color w:val="auto"/>
                <w:sz w:val="22"/>
                <w:szCs w:val="24"/>
              </w:rPr>
              <w:t>雨污分流、污污分流</w:t>
            </w:r>
            <w:r>
              <w:rPr>
                <w:rFonts w:hint="eastAsia" w:ascii="Times New Roman" w:hAnsi="Times New Roman" w:eastAsia="宋体" w:cs="Times New Roman"/>
                <w:color w:val="auto"/>
                <w:sz w:val="22"/>
                <w:szCs w:val="24"/>
              </w:rPr>
              <w:t>”</w:t>
            </w:r>
            <w:r>
              <w:rPr>
                <w:rFonts w:ascii="Times New Roman" w:hAnsi="Times New Roman" w:eastAsia="宋体" w:cs="Times New Roman"/>
                <w:color w:val="auto"/>
                <w:sz w:val="22"/>
                <w:szCs w:val="24"/>
              </w:rPr>
              <w:t>的原则</w:t>
            </w:r>
            <w:r>
              <w:rPr>
                <w:rFonts w:hint="eastAsia" w:ascii="Times New Roman" w:hAnsi="Times New Roman" w:eastAsia="宋体" w:cs="Times New Roman"/>
                <w:color w:val="auto"/>
                <w:sz w:val="22"/>
                <w:szCs w:val="24"/>
              </w:rPr>
              <w:t>。生产废水及生活污水经处理达标后，“一企一管”外排津市工业园污水处理厂；初期雨水经收集后送厂内废水处理站处理，后期洁净雨水由雨水切换阀门外排园区后期雨水管网。</w:t>
            </w:r>
          </w:p>
        </w:tc>
      </w:tr>
      <w:tr w14:paraId="2C3B3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pct"/>
            <w:vMerge w:val="continue"/>
            <w:vAlign w:val="center"/>
          </w:tcPr>
          <w:p w14:paraId="11BC079F">
            <w:pPr>
              <w:jc w:val="center"/>
              <w:rPr>
                <w:rFonts w:ascii="Times New Roman" w:hAnsi="Times New Roman" w:eastAsia="宋体" w:cs="Times New Roman"/>
                <w:color w:val="auto"/>
                <w:sz w:val="22"/>
                <w:szCs w:val="24"/>
              </w:rPr>
            </w:pPr>
          </w:p>
        </w:tc>
        <w:tc>
          <w:tcPr>
            <w:tcW w:w="1036" w:type="pct"/>
            <w:gridSpan w:val="2"/>
            <w:vAlign w:val="center"/>
          </w:tcPr>
          <w:p w14:paraId="757D10A9">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供电（依托）</w:t>
            </w:r>
          </w:p>
        </w:tc>
        <w:tc>
          <w:tcPr>
            <w:tcW w:w="3536" w:type="pct"/>
            <w:gridSpan w:val="3"/>
            <w:vAlign w:val="center"/>
          </w:tcPr>
          <w:p w14:paraId="59F5228C">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项目电源由区域电网供电</w:t>
            </w:r>
          </w:p>
        </w:tc>
      </w:tr>
      <w:tr w14:paraId="649D2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pct"/>
            <w:vMerge w:val="continue"/>
            <w:vAlign w:val="center"/>
          </w:tcPr>
          <w:p w14:paraId="07B6FCFA">
            <w:pPr>
              <w:jc w:val="center"/>
              <w:rPr>
                <w:rFonts w:ascii="Times New Roman" w:hAnsi="Times New Roman" w:eastAsia="宋体" w:cs="Times New Roman"/>
                <w:color w:val="auto"/>
                <w:sz w:val="22"/>
                <w:szCs w:val="24"/>
              </w:rPr>
            </w:pPr>
          </w:p>
        </w:tc>
        <w:tc>
          <w:tcPr>
            <w:tcW w:w="1036" w:type="pct"/>
            <w:gridSpan w:val="2"/>
            <w:vAlign w:val="center"/>
          </w:tcPr>
          <w:p w14:paraId="1213AB23">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循环水（依托）</w:t>
            </w:r>
          </w:p>
        </w:tc>
        <w:tc>
          <w:tcPr>
            <w:tcW w:w="3536" w:type="pct"/>
            <w:gridSpan w:val="3"/>
            <w:vAlign w:val="center"/>
          </w:tcPr>
          <w:p w14:paraId="1799068E">
            <w:pPr>
              <w:jc w:val="center"/>
              <w:rPr>
                <w:rFonts w:hint="default" w:ascii="Times New Roman" w:hAnsi="Times New Roman" w:eastAsia="宋体" w:cs="Times New Roman"/>
                <w:color w:val="auto"/>
                <w:sz w:val="22"/>
                <w:szCs w:val="24"/>
                <w:vertAlign w:val="baseline"/>
                <w:lang w:val="en-US" w:eastAsia="zh-CN"/>
              </w:rPr>
            </w:pPr>
            <w:r>
              <w:rPr>
                <w:rFonts w:hint="eastAsia" w:ascii="Times New Roman" w:hAnsi="Times New Roman" w:eastAsia="宋体" w:cs="Times New Roman"/>
                <w:color w:val="auto"/>
                <w:sz w:val="22"/>
                <w:szCs w:val="24"/>
                <w:highlight w:val="none"/>
                <w:lang w:val="en-US" w:eastAsia="zh-CN"/>
              </w:rPr>
              <w:t>发酵循环水池1522.8m</w:t>
            </w:r>
            <w:r>
              <w:rPr>
                <w:rFonts w:hint="eastAsia" w:ascii="Times New Roman" w:hAnsi="Times New Roman" w:eastAsia="宋体" w:cs="Times New Roman"/>
                <w:color w:val="auto"/>
                <w:sz w:val="22"/>
                <w:szCs w:val="24"/>
                <w:highlight w:val="none"/>
                <w:vertAlign w:val="superscript"/>
                <w:lang w:val="en-US" w:eastAsia="zh-CN"/>
              </w:rPr>
              <w:t>3</w:t>
            </w:r>
            <w:r>
              <w:rPr>
                <w:rFonts w:hint="eastAsia" w:ascii="Times New Roman" w:hAnsi="Times New Roman" w:eastAsia="宋体" w:cs="Times New Roman"/>
                <w:color w:val="auto"/>
                <w:sz w:val="22"/>
                <w:szCs w:val="24"/>
                <w:highlight w:val="none"/>
                <w:vertAlign w:val="baseline"/>
                <w:lang w:val="en-US" w:eastAsia="zh-CN"/>
              </w:rPr>
              <w:t>，提取</w:t>
            </w:r>
            <w:r>
              <w:rPr>
                <w:rFonts w:hint="eastAsia" w:ascii="Times New Roman" w:hAnsi="Times New Roman" w:eastAsia="宋体" w:cs="Times New Roman"/>
                <w:color w:val="auto"/>
                <w:sz w:val="22"/>
                <w:szCs w:val="24"/>
                <w:highlight w:val="none"/>
                <w:lang w:val="en-US" w:eastAsia="zh-CN"/>
              </w:rPr>
              <w:t>循环水池1200m</w:t>
            </w:r>
            <w:r>
              <w:rPr>
                <w:rFonts w:hint="eastAsia" w:ascii="Times New Roman" w:hAnsi="Times New Roman" w:eastAsia="宋体" w:cs="Times New Roman"/>
                <w:color w:val="auto"/>
                <w:sz w:val="22"/>
                <w:szCs w:val="24"/>
                <w:highlight w:val="none"/>
                <w:vertAlign w:val="superscript"/>
                <w:lang w:val="en-US" w:eastAsia="zh-CN"/>
              </w:rPr>
              <w:t>3</w:t>
            </w:r>
            <w:r>
              <w:rPr>
                <w:rFonts w:hint="eastAsia" w:ascii="Times New Roman" w:hAnsi="Times New Roman" w:eastAsia="宋体" w:cs="Times New Roman"/>
                <w:color w:val="auto"/>
                <w:sz w:val="22"/>
                <w:szCs w:val="24"/>
                <w:highlight w:val="none"/>
                <w:vertAlign w:val="baseline"/>
                <w:lang w:val="en-US" w:eastAsia="zh-CN"/>
              </w:rPr>
              <w:t>，热水循环水池</w:t>
            </w:r>
            <w:r>
              <w:rPr>
                <w:rFonts w:hint="eastAsia" w:ascii="Times New Roman" w:hAnsi="Times New Roman" w:eastAsia="宋体" w:cs="Times New Roman"/>
                <w:color w:val="auto"/>
                <w:sz w:val="22"/>
                <w:szCs w:val="24"/>
                <w:highlight w:val="none"/>
                <w:lang w:val="en-US" w:eastAsia="zh-CN"/>
              </w:rPr>
              <w:t>1200m</w:t>
            </w:r>
            <w:r>
              <w:rPr>
                <w:rFonts w:hint="eastAsia" w:ascii="Times New Roman" w:hAnsi="Times New Roman" w:eastAsia="宋体" w:cs="Times New Roman"/>
                <w:color w:val="auto"/>
                <w:sz w:val="22"/>
                <w:szCs w:val="24"/>
                <w:highlight w:val="none"/>
                <w:vertAlign w:val="superscript"/>
                <w:lang w:val="en-US" w:eastAsia="zh-CN"/>
              </w:rPr>
              <w:t>3</w:t>
            </w:r>
          </w:p>
        </w:tc>
      </w:tr>
      <w:tr w14:paraId="164B7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427" w:type="pct"/>
            <w:vMerge w:val="continue"/>
            <w:vAlign w:val="center"/>
          </w:tcPr>
          <w:p w14:paraId="7C347CDE">
            <w:pPr>
              <w:jc w:val="center"/>
              <w:rPr>
                <w:rFonts w:ascii="Times New Roman" w:hAnsi="Times New Roman" w:eastAsia="宋体" w:cs="Times New Roman"/>
                <w:color w:val="auto"/>
                <w:sz w:val="22"/>
                <w:szCs w:val="24"/>
              </w:rPr>
            </w:pPr>
          </w:p>
        </w:tc>
        <w:tc>
          <w:tcPr>
            <w:tcW w:w="1036" w:type="pct"/>
            <w:gridSpan w:val="2"/>
            <w:vAlign w:val="center"/>
          </w:tcPr>
          <w:p w14:paraId="04A75CC5">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供热（依托）</w:t>
            </w:r>
          </w:p>
        </w:tc>
        <w:tc>
          <w:tcPr>
            <w:tcW w:w="3536" w:type="pct"/>
            <w:gridSpan w:val="3"/>
            <w:vAlign w:val="center"/>
          </w:tcPr>
          <w:p w14:paraId="239E9875">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由常德津市宁能热电有限公司</w:t>
            </w:r>
            <w:r>
              <w:rPr>
                <w:rFonts w:hint="eastAsia" w:ascii="Times New Roman" w:hAnsi="Times New Roman" w:eastAsia="宋体" w:cs="Times New Roman"/>
                <w:color w:val="auto"/>
                <w:sz w:val="22"/>
                <w:szCs w:val="24"/>
                <w:lang w:val="en-US" w:eastAsia="zh-CN"/>
              </w:rPr>
              <w:t>蒸汽</w:t>
            </w:r>
            <w:r>
              <w:rPr>
                <w:rFonts w:ascii="Times New Roman" w:hAnsi="Times New Roman" w:eastAsia="宋体" w:cs="Times New Roman"/>
                <w:color w:val="auto"/>
                <w:sz w:val="22"/>
                <w:szCs w:val="24"/>
              </w:rPr>
              <w:t>供给</w:t>
            </w:r>
          </w:p>
        </w:tc>
      </w:tr>
      <w:tr w14:paraId="476E3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pct"/>
            <w:vMerge w:val="restart"/>
            <w:vAlign w:val="center"/>
          </w:tcPr>
          <w:p w14:paraId="5A3A0995">
            <w:pPr>
              <w:jc w:val="center"/>
              <w:rPr>
                <w:rFonts w:ascii="Times New Roman" w:hAnsi="Times New Roman" w:eastAsia="宋体" w:cs="Times New Roman"/>
                <w:color w:val="auto"/>
                <w:sz w:val="22"/>
                <w:szCs w:val="24"/>
                <w:highlight w:val="none"/>
              </w:rPr>
            </w:pPr>
            <w:r>
              <w:rPr>
                <w:rFonts w:hint="eastAsia" w:ascii="Times New Roman" w:hAnsi="Times New Roman" w:eastAsia="宋体" w:cs="Times New Roman"/>
                <w:color w:val="auto"/>
                <w:sz w:val="22"/>
                <w:szCs w:val="24"/>
                <w:highlight w:val="none"/>
              </w:rPr>
              <w:t>环保工程</w:t>
            </w:r>
          </w:p>
        </w:tc>
        <w:tc>
          <w:tcPr>
            <w:tcW w:w="413" w:type="pct"/>
            <w:vMerge w:val="restart"/>
            <w:vAlign w:val="center"/>
          </w:tcPr>
          <w:p w14:paraId="7F8E7656">
            <w:pPr>
              <w:jc w:val="center"/>
              <w:rPr>
                <w:rFonts w:ascii="Times New Roman" w:hAnsi="Times New Roman" w:eastAsia="宋体" w:cs="Times New Roman"/>
                <w:color w:val="auto"/>
                <w:sz w:val="22"/>
                <w:szCs w:val="24"/>
                <w:highlight w:val="none"/>
              </w:rPr>
            </w:pPr>
            <w:r>
              <w:rPr>
                <w:rFonts w:hint="eastAsia" w:ascii="Times New Roman" w:hAnsi="Times New Roman" w:eastAsia="宋体" w:cs="Times New Roman"/>
                <w:color w:val="auto"/>
                <w:sz w:val="22"/>
                <w:szCs w:val="24"/>
                <w:highlight w:val="none"/>
              </w:rPr>
              <w:t>废气</w:t>
            </w:r>
          </w:p>
        </w:tc>
        <w:tc>
          <w:tcPr>
            <w:tcW w:w="623" w:type="pct"/>
            <w:vMerge w:val="restart"/>
            <w:vAlign w:val="center"/>
          </w:tcPr>
          <w:p w14:paraId="175EBFF3">
            <w:pPr>
              <w:jc w:val="center"/>
              <w:rPr>
                <w:rFonts w:ascii="Times New Roman" w:hAnsi="Times New Roman" w:eastAsia="宋体" w:cs="Times New Roman"/>
                <w:color w:val="auto"/>
                <w:sz w:val="22"/>
                <w:szCs w:val="24"/>
                <w:highlight w:val="none"/>
              </w:rPr>
            </w:pPr>
            <w:r>
              <w:rPr>
                <w:rFonts w:hint="eastAsia" w:ascii="Times New Roman" w:hAnsi="Times New Roman" w:eastAsia="宋体" w:cs="Times New Roman"/>
                <w:color w:val="auto"/>
                <w:sz w:val="22"/>
                <w:szCs w:val="24"/>
                <w:highlight w:val="none"/>
              </w:rPr>
              <w:t>有组织废气</w:t>
            </w:r>
          </w:p>
        </w:tc>
        <w:tc>
          <w:tcPr>
            <w:tcW w:w="817" w:type="pct"/>
            <w:vAlign w:val="center"/>
          </w:tcPr>
          <w:p w14:paraId="28F686C0">
            <w:pPr>
              <w:jc w:val="center"/>
              <w:rPr>
                <w:rFonts w:hint="default" w:ascii="Times New Roman" w:hAnsi="Times New Roman" w:eastAsia="宋体" w:cs="Times New Roman"/>
                <w:color w:val="auto"/>
                <w:sz w:val="22"/>
                <w:szCs w:val="24"/>
                <w:highlight w:val="none"/>
                <w:lang w:val="en-US" w:eastAsia="zh-CN"/>
              </w:rPr>
            </w:pPr>
            <w:r>
              <w:rPr>
                <w:rFonts w:hint="eastAsia" w:ascii="Times New Roman" w:hAnsi="Times New Roman" w:eastAsia="宋体" w:cs="Times New Roman"/>
                <w:color w:val="auto"/>
                <w:sz w:val="22"/>
                <w:szCs w:val="24"/>
                <w:highlight w:val="none"/>
                <w:lang w:val="en-US" w:eastAsia="zh-CN"/>
              </w:rPr>
              <w:t>发酵废气（依托）</w:t>
            </w:r>
          </w:p>
        </w:tc>
        <w:tc>
          <w:tcPr>
            <w:tcW w:w="2718" w:type="pct"/>
            <w:gridSpan w:val="2"/>
            <w:vAlign w:val="center"/>
          </w:tcPr>
          <w:p w14:paraId="149C3371">
            <w:pPr>
              <w:jc w:val="center"/>
              <w:rPr>
                <w:rFonts w:hint="default" w:ascii="Times New Roman" w:hAnsi="Times New Roman" w:eastAsia="宋体" w:cs="Times New Roman"/>
                <w:color w:val="auto"/>
                <w:sz w:val="22"/>
                <w:szCs w:val="24"/>
                <w:highlight w:val="none"/>
                <w:lang w:val="en-US"/>
              </w:rPr>
            </w:pPr>
            <w:r>
              <w:rPr>
                <w:rFonts w:hint="eastAsia" w:ascii="Times New Roman" w:hAnsi="Times New Roman" w:eastAsia="宋体" w:cs="Times New Roman"/>
                <w:color w:val="auto"/>
                <w:sz w:val="22"/>
                <w:szCs w:val="24"/>
                <w:highlight w:val="none"/>
                <w:lang w:val="en-US" w:eastAsia="zh-CN"/>
              </w:rPr>
              <w:t>发酵废气经碱喷淋预处理+集中式生物除臭处理设施处理达标后，尾气经21m高排气筒DA001排放，内径1.2m，风量65000m</w:t>
            </w:r>
            <w:r>
              <w:rPr>
                <w:rFonts w:hint="eastAsia" w:ascii="Times New Roman" w:hAnsi="Times New Roman" w:eastAsia="宋体" w:cs="Times New Roman"/>
                <w:color w:val="auto"/>
                <w:sz w:val="22"/>
                <w:szCs w:val="24"/>
                <w:highlight w:val="none"/>
                <w:vertAlign w:val="superscript"/>
                <w:lang w:val="en-US" w:eastAsia="zh-CN"/>
              </w:rPr>
              <w:t>3</w:t>
            </w:r>
            <w:r>
              <w:rPr>
                <w:rFonts w:hint="eastAsia" w:ascii="Times New Roman" w:hAnsi="Times New Roman" w:eastAsia="宋体" w:cs="Times New Roman"/>
                <w:color w:val="auto"/>
                <w:sz w:val="22"/>
                <w:szCs w:val="24"/>
                <w:highlight w:val="none"/>
                <w:lang w:val="en-US" w:eastAsia="zh-CN"/>
              </w:rPr>
              <w:t>/h</w:t>
            </w:r>
          </w:p>
        </w:tc>
      </w:tr>
      <w:tr w14:paraId="42E26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pct"/>
            <w:vMerge w:val="continue"/>
            <w:vAlign w:val="center"/>
          </w:tcPr>
          <w:p w14:paraId="29686ACF">
            <w:pPr>
              <w:jc w:val="center"/>
              <w:rPr>
                <w:rFonts w:hint="eastAsia" w:ascii="Times New Roman" w:hAnsi="Times New Roman" w:eastAsia="宋体" w:cs="Times New Roman"/>
                <w:color w:val="auto"/>
                <w:sz w:val="22"/>
                <w:szCs w:val="24"/>
                <w:highlight w:val="none"/>
              </w:rPr>
            </w:pPr>
          </w:p>
        </w:tc>
        <w:tc>
          <w:tcPr>
            <w:tcW w:w="413" w:type="pct"/>
            <w:vMerge w:val="continue"/>
            <w:vAlign w:val="center"/>
          </w:tcPr>
          <w:p w14:paraId="75861BB1">
            <w:pPr>
              <w:jc w:val="center"/>
              <w:rPr>
                <w:rFonts w:hint="eastAsia" w:ascii="Times New Roman" w:hAnsi="Times New Roman" w:eastAsia="宋体" w:cs="Times New Roman"/>
                <w:color w:val="auto"/>
                <w:sz w:val="22"/>
                <w:szCs w:val="24"/>
                <w:highlight w:val="none"/>
              </w:rPr>
            </w:pPr>
          </w:p>
        </w:tc>
        <w:tc>
          <w:tcPr>
            <w:tcW w:w="623" w:type="pct"/>
            <w:vMerge w:val="continue"/>
            <w:vAlign w:val="center"/>
          </w:tcPr>
          <w:p w14:paraId="7BE79E24">
            <w:pPr>
              <w:jc w:val="center"/>
              <w:rPr>
                <w:rFonts w:hint="eastAsia" w:ascii="Times New Roman" w:hAnsi="Times New Roman" w:eastAsia="宋体" w:cs="Times New Roman"/>
                <w:color w:val="auto"/>
                <w:sz w:val="22"/>
                <w:szCs w:val="24"/>
                <w:highlight w:val="none"/>
              </w:rPr>
            </w:pPr>
          </w:p>
        </w:tc>
        <w:tc>
          <w:tcPr>
            <w:tcW w:w="817" w:type="pct"/>
            <w:vAlign w:val="center"/>
          </w:tcPr>
          <w:p w14:paraId="4B0B0477">
            <w:pPr>
              <w:jc w:val="center"/>
              <w:rPr>
                <w:rFonts w:hint="default" w:ascii="Times New Roman" w:hAnsi="Times New Roman" w:eastAsia="宋体" w:cs="Times New Roman"/>
                <w:color w:val="auto"/>
                <w:sz w:val="22"/>
                <w:szCs w:val="24"/>
                <w:highlight w:val="none"/>
                <w:lang w:val="en-US" w:eastAsia="zh-CN"/>
              </w:rPr>
            </w:pPr>
            <w:r>
              <w:rPr>
                <w:rFonts w:hint="eastAsia" w:ascii="Times New Roman" w:hAnsi="Times New Roman" w:eastAsia="宋体" w:cs="Times New Roman"/>
                <w:color w:val="auto"/>
                <w:sz w:val="22"/>
                <w:szCs w:val="24"/>
                <w:highlight w:val="none"/>
                <w:lang w:val="en-US" w:eastAsia="zh-CN"/>
              </w:rPr>
              <w:t>干燥废气（依托）</w:t>
            </w:r>
          </w:p>
        </w:tc>
        <w:tc>
          <w:tcPr>
            <w:tcW w:w="2718" w:type="pct"/>
            <w:gridSpan w:val="2"/>
            <w:vAlign w:val="center"/>
          </w:tcPr>
          <w:p w14:paraId="21704A98">
            <w:pPr>
              <w:jc w:val="center"/>
              <w:rPr>
                <w:rFonts w:hint="eastAsia" w:ascii="Times New Roman" w:hAnsi="Times New Roman" w:eastAsia="宋体" w:cs="Times New Roman"/>
                <w:color w:val="auto"/>
                <w:sz w:val="22"/>
                <w:szCs w:val="24"/>
                <w:highlight w:val="none"/>
                <w:lang w:val="en-US" w:eastAsia="zh-CN"/>
              </w:rPr>
            </w:pPr>
            <w:r>
              <w:rPr>
                <w:rFonts w:hint="eastAsia" w:ascii="Times New Roman" w:hAnsi="Times New Roman" w:eastAsia="宋体" w:cs="Times New Roman"/>
                <w:color w:val="auto"/>
                <w:sz w:val="22"/>
                <w:szCs w:val="24"/>
                <w:highlight w:val="none"/>
                <w:lang w:val="en-US" w:eastAsia="zh-CN"/>
              </w:rPr>
              <w:t>发酵废气经碱喷淋+集中式生物除臭处理设施处理达标后，尾气经21m高排气筒DA001排放，内径1.2m，风量65000m</w:t>
            </w:r>
            <w:r>
              <w:rPr>
                <w:rFonts w:hint="eastAsia" w:ascii="Times New Roman" w:hAnsi="Times New Roman" w:eastAsia="宋体" w:cs="Times New Roman"/>
                <w:color w:val="auto"/>
                <w:sz w:val="22"/>
                <w:szCs w:val="24"/>
                <w:highlight w:val="none"/>
                <w:vertAlign w:val="superscript"/>
                <w:lang w:val="en-US" w:eastAsia="zh-CN"/>
              </w:rPr>
              <w:t>3</w:t>
            </w:r>
            <w:r>
              <w:rPr>
                <w:rFonts w:hint="eastAsia" w:ascii="Times New Roman" w:hAnsi="Times New Roman" w:eastAsia="宋体" w:cs="Times New Roman"/>
                <w:color w:val="auto"/>
                <w:sz w:val="22"/>
                <w:szCs w:val="24"/>
                <w:highlight w:val="none"/>
                <w:lang w:val="en-US" w:eastAsia="zh-CN"/>
              </w:rPr>
              <w:t>/h</w:t>
            </w:r>
          </w:p>
        </w:tc>
      </w:tr>
      <w:tr w14:paraId="23126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pct"/>
            <w:vMerge w:val="continue"/>
            <w:vAlign w:val="center"/>
          </w:tcPr>
          <w:p w14:paraId="654F74B4">
            <w:pPr>
              <w:jc w:val="center"/>
              <w:rPr>
                <w:rFonts w:ascii="Times New Roman" w:hAnsi="Times New Roman" w:eastAsia="宋体" w:cs="Times New Roman"/>
                <w:color w:val="auto"/>
                <w:sz w:val="22"/>
                <w:szCs w:val="24"/>
                <w:highlight w:val="none"/>
              </w:rPr>
            </w:pPr>
          </w:p>
        </w:tc>
        <w:tc>
          <w:tcPr>
            <w:tcW w:w="413" w:type="pct"/>
            <w:vMerge w:val="continue"/>
            <w:vAlign w:val="center"/>
          </w:tcPr>
          <w:p w14:paraId="52E56DC4">
            <w:pPr>
              <w:jc w:val="center"/>
              <w:rPr>
                <w:rFonts w:ascii="Times New Roman" w:hAnsi="Times New Roman" w:eastAsia="宋体" w:cs="Times New Roman"/>
                <w:color w:val="auto"/>
                <w:sz w:val="22"/>
                <w:szCs w:val="24"/>
                <w:highlight w:val="none"/>
              </w:rPr>
            </w:pPr>
          </w:p>
        </w:tc>
        <w:tc>
          <w:tcPr>
            <w:tcW w:w="623" w:type="pct"/>
            <w:vMerge w:val="continue"/>
            <w:vAlign w:val="center"/>
          </w:tcPr>
          <w:p w14:paraId="46B0D2DE">
            <w:pPr>
              <w:jc w:val="center"/>
              <w:rPr>
                <w:rFonts w:ascii="Times New Roman" w:hAnsi="Times New Roman" w:eastAsia="宋体" w:cs="Times New Roman"/>
                <w:color w:val="auto"/>
                <w:sz w:val="22"/>
                <w:szCs w:val="24"/>
                <w:highlight w:val="none"/>
              </w:rPr>
            </w:pPr>
          </w:p>
        </w:tc>
        <w:tc>
          <w:tcPr>
            <w:tcW w:w="817" w:type="pct"/>
            <w:vAlign w:val="center"/>
          </w:tcPr>
          <w:p w14:paraId="08966040">
            <w:pPr>
              <w:jc w:val="center"/>
              <w:rPr>
                <w:rFonts w:ascii="Times New Roman" w:hAnsi="Times New Roman" w:eastAsia="宋体" w:cs="Times New Roman"/>
                <w:color w:val="auto"/>
                <w:sz w:val="22"/>
                <w:szCs w:val="24"/>
                <w:highlight w:val="none"/>
              </w:rPr>
            </w:pPr>
            <w:r>
              <w:rPr>
                <w:rFonts w:hint="eastAsia" w:ascii="Times New Roman" w:hAnsi="Times New Roman" w:eastAsia="宋体" w:cs="Times New Roman"/>
                <w:color w:val="auto"/>
                <w:sz w:val="22"/>
                <w:szCs w:val="24"/>
                <w:highlight w:val="none"/>
              </w:rPr>
              <w:t>污水站废气</w:t>
            </w:r>
            <w:r>
              <w:rPr>
                <w:rFonts w:hint="eastAsia" w:ascii="Times New Roman" w:hAnsi="Times New Roman" w:eastAsia="宋体" w:cs="Times New Roman"/>
                <w:color w:val="auto"/>
                <w:sz w:val="22"/>
                <w:szCs w:val="24"/>
                <w:highlight w:val="none"/>
                <w:lang w:eastAsia="zh-CN"/>
              </w:rPr>
              <w:t>，</w:t>
            </w:r>
            <w:r>
              <w:rPr>
                <w:rFonts w:hint="eastAsia" w:ascii="Times New Roman" w:hAnsi="Times New Roman" w:eastAsia="宋体" w:cs="Times New Roman"/>
                <w:color w:val="auto"/>
                <w:sz w:val="22"/>
                <w:szCs w:val="24"/>
                <w:highlight w:val="none"/>
              </w:rPr>
              <w:t>危废暂存间尾气（依托）</w:t>
            </w:r>
          </w:p>
        </w:tc>
        <w:tc>
          <w:tcPr>
            <w:tcW w:w="2718" w:type="pct"/>
            <w:gridSpan w:val="2"/>
            <w:vAlign w:val="center"/>
          </w:tcPr>
          <w:p w14:paraId="0BF72350">
            <w:pPr>
              <w:jc w:val="center"/>
              <w:rPr>
                <w:rFonts w:ascii="Times New Roman" w:hAnsi="Times New Roman" w:eastAsia="宋体" w:cs="Times New Roman"/>
                <w:color w:val="auto"/>
                <w:sz w:val="22"/>
                <w:szCs w:val="24"/>
                <w:highlight w:val="none"/>
              </w:rPr>
            </w:pPr>
            <w:r>
              <w:rPr>
                <w:rFonts w:hint="eastAsia" w:ascii="Times New Roman" w:hAnsi="Times New Roman" w:eastAsia="宋体" w:cs="Times New Roman"/>
                <w:color w:val="auto"/>
                <w:sz w:val="22"/>
                <w:szCs w:val="24"/>
                <w:highlight w:val="none"/>
                <w:lang w:val="en-US" w:eastAsia="zh-CN"/>
              </w:rPr>
              <w:t>恶臭气体</w:t>
            </w:r>
            <w:r>
              <w:rPr>
                <w:rFonts w:hint="eastAsia" w:ascii="Times New Roman" w:hAnsi="Times New Roman" w:eastAsia="宋体" w:cs="Times New Roman"/>
                <w:color w:val="auto"/>
                <w:sz w:val="22"/>
                <w:szCs w:val="24"/>
                <w:highlight w:val="none"/>
              </w:rPr>
              <w:t>通过引风机导入碱喷淋塔+水喷淋塔+生物除臭处理设施，尾气经20m高DA002排气筒排放</w:t>
            </w:r>
            <w:r>
              <w:rPr>
                <w:rFonts w:hint="eastAsia" w:ascii="Times New Roman" w:hAnsi="Times New Roman" w:eastAsia="宋体" w:cs="Times New Roman"/>
                <w:color w:val="auto"/>
                <w:sz w:val="22"/>
                <w:szCs w:val="24"/>
                <w:highlight w:val="none"/>
                <w:lang w:eastAsia="zh-CN"/>
              </w:rPr>
              <w:t>，</w:t>
            </w:r>
            <w:r>
              <w:rPr>
                <w:rFonts w:hint="eastAsia" w:ascii="Times New Roman" w:hAnsi="Times New Roman" w:eastAsia="宋体" w:cs="Times New Roman"/>
                <w:color w:val="auto"/>
                <w:sz w:val="22"/>
                <w:szCs w:val="24"/>
                <w:highlight w:val="none"/>
              </w:rPr>
              <w:t>处理废气风量为10000</w:t>
            </w:r>
            <w:r>
              <w:rPr>
                <w:rFonts w:hint="eastAsia" w:ascii="Times New Roman" w:hAnsi="Times New Roman" w:eastAsia="宋体" w:cs="Times New Roman"/>
                <w:color w:val="auto"/>
                <w:sz w:val="22"/>
                <w:szCs w:val="24"/>
                <w:highlight w:val="none"/>
                <w:lang w:eastAsia="zh-CN"/>
              </w:rPr>
              <w:t>m</w:t>
            </w:r>
            <w:r>
              <w:rPr>
                <w:rFonts w:hint="eastAsia" w:ascii="Times New Roman" w:hAnsi="Times New Roman" w:eastAsia="宋体" w:cs="Times New Roman"/>
                <w:color w:val="auto"/>
                <w:sz w:val="22"/>
                <w:szCs w:val="24"/>
                <w:highlight w:val="none"/>
                <w:vertAlign w:val="superscript"/>
                <w:lang w:eastAsia="zh-CN"/>
              </w:rPr>
              <w:t>3</w:t>
            </w:r>
            <w:r>
              <w:rPr>
                <w:rFonts w:hint="eastAsia" w:ascii="Times New Roman" w:hAnsi="Times New Roman" w:eastAsia="宋体" w:cs="Times New Roman"/>
                <w:color w:val="auto"/>
                <w:sz w:val="22"/>
                <w:szCs w:val="24"/>
                <w:highlight w:val="none"/>
              </w:rPr>
              <w:t>/h，内径0.6m。</w:t>
            </w:r>
          </w:p>
        </w:tc>
      </w:tr>
      <w:tr w14:paraId="5657D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pct"/>
            <w:vMerge w:val="continue"/>
            <w:vAlign w:val="center"/>
          </w:tcPr>
          <w:p w14:paraId="3B591526">
            <w:pPr>
              <w:jc w:val="center"/>
              <w:rPr>
                <w:rFonts w:ascii="Times New Roman" w:hAnsi="Times New Roman" w:eastAsia="宋体" w:cs="Times New Roman"/>
                <w:color w:val="auto"/>
                <w:sz w:val="22"/>
                <w:szCs w:val="24"/>
                <w:highlight w:val="none"/>
              </w:rPr>
            </w:pPr>
          </w:p>
        </w:tc>
        <w:tc>
          <w:tcPr>
            <w:tcW w:w="413" w:type="pct"/>
            <w:vMerge w:val="continue"/>
            <w:vAlign w:val="center"/>
          </w:tcPr>
          <w:p w14:paraId="638D1F74">
            <w:pPr>
              <w:jc w:val="center"/>
              <w:rPr>
                <w:rFonts w:ascii="Times New Roman" w:hAnsi="Times New Roman" w:eastAsia="宋体" w:cs="Times New Roman"/>
                <w:color w:val="auto"/>
                <w:sz w:val="22"/>
                <w:szCs w:val="24"/>
                <w:highlight w:val="none"/>
              </w:rPr>
            </w:pPr>
          </w:p>
        </w:tc>
        <w:tc>
          <w:tcPr>
            <w:tcW w:w="623" w:type="pct"/>
            <w:vAlign w:val="center"/>
          </w:tcPr>
          <w:p w14:paraId="37FC9E60">
            <w:pPr>
              <w:jc w:val="center"/>
              <w:rPr>
                <w:rFonts w:ascii="Times New Roman" w:hAnsi="Times New Roman" w:eastAsia="宋体" w:cs="Times New Roman"/>
                <w:color w:val="auto"/>
                <w:sz w:val="22"/>
                <w:szCs w:val="24"/>
                <w:highlight w:val="none"/>
              </w:rPr>
            </w:pPr>
            <w:r>
              <w:rPr>
                <w:rFonts w:hint="eastAsia" w:ascii="Times New Roman" w:hAnsi="Times New Roman" w:eastAsia="宋体" w:cs="Times New Roman"/>
                <w:color w:val="auto"/>
                <w:sz w:val="22"/>
                <w:szCs w:val="24"/>
                <w:highlight w:val="none"/>
              </w:rPr>
              <w:t>无组织废气（依托）</w:t>
            </w:r>
          </w:p>
        </w:tc>
        <w:tc>
          <w:tcPr>
            <w:tcW w:w="3536" w:type="pct"/>
            <w:gridSpan w:val="3"/>
            <w:vAlign w:val="center"/>
          </w:tcPr>
          <w:p w14:paraId="71549EAA">
            <w:pPr>
              <w:jc w:val="center"/>
              <w:rPr>
                <w:rFonts w:ascii="Times New Roman" w:hAnsi="Times New Roman" w:eastAsia="宋体" w:cs="Times New Roman"/>
                <w:color w:val="auto"/>
                <w:sz w:val="22"/>
                <w:szCs w:val="24"/>
                <w:highlight w:val="none"/>
              </w:rPr>
            </w:pPr>
            <w:r>
              <w:rPr>
                <w:rFonts w:hint="eastAsia" w:ascii="Times New Roman" w:hAnsi="Times New Roman" w:eastAsia="宋体" w:cs="Times New Roman"/>
                <w:color w:val="auto"/>
                <w:sz w:val="22"/>
                <w:szCs w:val="24"/>
                <w:highlight w:val="none"/>
              </w:rPr>
              <w:t>（1）污水处理站：加强管理，加盖密封。（2）厂界：加强绿化。</w:t>
            </w:r>
          </w:p>
        </w:tc>
      </w:tr>
      <w:tr w14:paraId="67FE1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pct"/>
            <w:vMerge w:val="continue"/>
            <w:vAlign w:val="center"/>
          </w:tcPr>
          <w:p w14:paraId="04181377">
            <w:pPr>
              <w:jc w:val="center"/>
              <w:rPr>
                <w:rFonts w:ascii="Times New Roman" w:hAnsi="Times New Roman" w:eastAsia="宋体" w:cs="Times New Roman"/>
                <w:color w:val="auto"/>
                <w:sz w:val="22"/>
                <w:szCs w:val="24"/>
                <w:highlight w:val="none"/>
              </w:rPr>
            </w:pPr>
          </w:p>
        </w:tc>
        <w:tc>
          <w:tcPr>
            <w:tcW w:w="413" w:type="pct"/>
            <w:vMerge w:val="restart"/>
            <w:vAlign w:val="center"/>
          </w:tcPr>
          <w:p w14:paraId="2AAF763A">
            <w:pPr>
              <w:jc w:val="center"/>
              <w:rPr>
                <w:rFonts w:ascii="Times New Roman" w:hAnsi="Times New Roman" w:eastAsia="宋体" w:cs="Times New Roman"/>
                <w:color w:val="auto"/>
                <w:sz w:val="22"/>
                <w:szCs w:val="24"/>
                <w:highlight w:val="none"/>
              </w:rPr>
            </w:pPr>
            <w:r>
              <w:rPr>
                <w:rFonts w:hint="eastAsia" w:ascii="Times New Roman" w:hAnsi="Times New Roman" w:eastAsia="宋体" w:cs="Times New Roman"/>
                <w:color w:val="auto"/>
                <w:sz w:val="22"/>
                <w:szCs w:val="24"/>
                <w:highlight w:val="none"/>
              </w:rPr>
              <w:t>废水</w:t>
            </w:r>
          </w:p>
        </w:tc>
        <w:tc>
          <w:tcPr>
            <w:tcW w:w="623" w:type="pct"/>
            <w:vAlign w:val="center"/>
          </w:tcPr>
          <w:p w14:paraId="2857592D">
            <w:pPr>
              <w:jc w:val="center"/>
              <w:rPr>
                <w:rFonts w:ascii="Times New Roman" w:hAnsi="Times New Roman" w:eastAsia="宋体" w:cs="Times New Roman"/>
                <w:color w:val="auto"/>
                <w:sz w:val="22"/>
                <w:szCs w:val="24"/>
                <w:highlight w:val="none"/>
              </w:rPr>
            </w:pPr>
            <w:r>
              <w:rPr>
                <w:rFonts w:hint="eastAsia" w:ascii="Times New Roman" w:hAnsi="Times New Roman" w:eastAsia="宋体" w:cs="Times New Roman"/>
                <w:color w:val="auto"/>
                <w:sz w:val="22"/>
                <w:szCs w:val="24"/>
                <w:highlight w:val="none"/>
              </w:rPr>
              <w:t>生活污水（依托）</w:t>
            </w:r>
          </w:p>
        </w:tc>
        <w:tc>
          <w:tcPr>
            <w:tcW w:w="3536" w:type="pct"/>
            <w:gridSpan w:val="3"/>
            <w:vAlign w:val="center"/>
          </w:tcPr>
          <w:p w14:paraId="3A04DF7A">
            <w:pPr>
              <w:jc w:val="center"/>
              <w:rPr>
                <w:rFonts w:ascii="Times New Roman" w:hAnsi="Times New Roman" w:eastAsia="宋体" w:cs="Times New Roman"/>
                <w:color w:val="auto"/>
                <w:sz w:val="22"/>
                <w:szCs w:val="24"/>
                <w:highlight w:val="none"/>
              </w:rPr>
            </w:pPr>
            <w:r>
              <w:rPr>
                <w:rFonts w:hint="eastAsia" w:ascii="Times New Roman" w:hAnsi="Times New Roman" w:eastAsia="宋体" w:cs="Times New Roman"/>
                <w:color w:val="auto"/>
                <w:sz w:val="22"/>
                <w:szCs w:val="24"/>
                <w:highlight w:val="none"/>
              </w:rPr>
              <w:t>化粪池处理后排入污水处理站处理后进入津市工业园污水处理厂处理</w:t>
            </w:r>
          </w:p>
        </w:tc>
      </w:tr>
      <w:tr w14:paraId="551FD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pct"/>
            <w:vMerge w:val="continue"/>
            <w:vAlign w:val="center"/>
          </w:tcPr>
          <w:p w14:paraId="19498593">
            <w:pPr>
              <w:jc w:val="center"/>
              <w:rPr>
                <w:rFonts w:ascii="Times New Roman" w:hAnsi="Times New Roman" w:eastAsia="宋体" w:cs="Times New Roman"/>
                <w:color w:val="auto"/>
                <w:sz w:val="22"/>
                <w:szCs w:val="24"/>
                <w:highlight w:val="none"/>
              </w:rPr>
            </w:pPr>
          </w:p>
        </w:tc>
        <w:tc>
          <w:tcPr>
            <w:tcW w:w="413" w:type="pct"/>
            <w:vMerge w:val="continue"/>
            <w:vAlign w:val="center"/>
          </w:tcPr>
          <w:p w14:paraId="3496086F">
            <w:pPr>
              <w:jc w:val="center"/>
              <w:rPr>
                <w:rFonts w:ascii="Times New Roman" w:hAnsi="Times New Roman" w:eastAsia="宋体" w:cs="Times New Roman"/>
                <w:color w:val="auto"/>
                <w:sz w:val="22"/>
                <w:szCs w:val="24"/>
                <w:highlight w:val="none"/>
              </w:rPr>
            </w:pPr>
          </w:p>
        </w:tc>
        <w:tc>
          <w:tcPr>
            <w:tcW w:w="623" w:type="pct"/>
            <w:vAlign w:val="center"/>
          </w:tcPr>
          <w:p w14:paraId="7ACE4E5B">
            <w:pPr>
              <w:jc w:val="center"/>
              <w:rPr>
                <w:rFonts w:ascii="Times New Roman" w:hAnsi="Times New Roman" w:eastAsia="宋体" w:cs="Times New Roman"/>
                <w:color w:val="auto"/>
                <w:sz w:val="22"/>
                <w:szCs w:val="24"/>
                <w:highlight w:val="none"/>
              </w:rPr>
            </w:pPr>
            <w:r>
              <w:rPr>
                <w:rFonts w:hint="eastAsia" w:ascii="Times New Roman" w:hAnsi="Times New Roman" w:eastAsia="宋体" w:cs="Times New Roman"/>
                <w:color w:val="auto"/>
                <w:sz w:val="22"/>
                <w:szCs w:val="24"/>
                <w:highlight w:val="none"/>
              </w:rPr>
              <w:t>工艺废水、其他废水（依托）</w:t>
            </w:r>
          </w:p>
        </w:tc>
        <w:tc>
          <w:tcPr>
            <w:tcW w:w="3536" w:type="pct"/>
            <w:gridSpan w:val="3"/>
            <w:vAlign w:val="center"/>
          </w:tcPr>
          <w:p w14:paraId="57A0F690">
            <w:pPr>
              <w:jc w:val="center"/>
              <w:rPr>
                <w:rFonts w:ascii="Times New Roman" w:hAnsi="Times New Roman" w:eastAsia="宋体" w:cs="Times New Roman"/>
                <w:color w:val="auto"/>
                <w:sz w:val="22"/>
                <w:szCs w:val="24"/>
                <w:highlight w:val="none"/>
              </w:rPr>
            </w:pPr>
            <w:r>
              <w:rPr>
                <w:rFonts w:hint="eastAsia" w:ascii="Times New Roman" w:hAnsi="Times New Roman" w:eastAsia="宋体" w:cs="Times New Roman"/>
                <w:color w:val="auto"/>
                <w:sz w:val="22"/>
                <w:szCs w:val="24"/>
                <w:highlight w:val="none"/>
              </w:rPr>
              <w:t>进入</w:t>
            </w:r>
            <w:r>
              <w:rPr>
                <w:rFonts w:hint="eastAsia" w:ascii="Times New Roman" w:hAnsi="Times New Roman" w:eastAsia="宋体" w:cs="Times New Roman"/>
                <w:color w:val="auto"/>
                <w:sz w:val="22"/>
                <w:szCs w:val="24"/>
                <w:highlight w:val="none"/>
                <w:lang w:val="en-US" w:eastAsia="zh-CN"/>
              </w:rPr>
              <w:t>污水处理</w:t>
            </w:r>
            <w:r>
              <w:rPr>
                <w:rFonts w:hint="eastAsia" w:ascii="Times New Roman" w:hAnsi="Times New Roman" w:eastAsia="宋体" w:cs="Times New Roman"/>
                <w:color w:val="auto"/>
                <w:sz w:val="22"/>
                <w:szCs w:val="24"/>
                <w:highlight w:val="none"/>
              </w:rPr>
              <w:t>站（</w:t>
            </w:r>
            <w:r>
              <w:rPr>
                <w:rFonts w:hint="eastAsia" w:ascii="Times New Roman" w:hAnsi="Times New Roman" w:eastAsia="宋体" w:cs="Times New Roman"/>
                <w:color w:val="auto"/>
                <w:sz w:val="22"/>
                <w:szCs w:val="24"/>
                <w:highlight w:val="none"/>
                <w:lang w:val="en-US" w:eastAsia="zh-CN"/>
              </w:rPr>
              <w:t>200+600</w:t>
            </w:r>
            <w:r>
              <w:rPr>
                <w:rFonts w:hint="eastAsia" w:ascii="Times New Roman" w:hAnsi="Times New Roman" w:eastAsia="宋体" w:cs="Times New Roman"/>
                <w:color w:val="auto"/>
                <w:sz w:val="22"/>
                <w:szCs w:val="24"/>
                <w:highlight w:val="none"/>
                <w:lang w:eastAsia="zh-CN"/>
              </w:rPr>
              <w:t>m</w:t>
            </w:r>
            <w:r>
              <w:rPr>
                <w:rFonts w:hint="eastAsia" w:ascii="Times New Roman" w:hAnsi="Times New Roman" w:eastAsia="宋体" w:cs="Times New Roman"/>
                <w:color w:val="auto"/>
                <w:sz w:val="22"/>
                <w:szCs w:val="24"/>
                <w:highlight w:val="none"/>
                <w:vertAlign w:val="superscript"/>
                <w:lang w:eastAsia="zh-CN"/>
              </w:rPr>
              <w:t>3</w:t>
            </w:r>
            <w:r>
              <w:rPr>
                <w:rFonts w:hint="eastAsia" w:ascii="Times New Roman" w:hAnsi="Times New Roman" w:eastAsia="宋体" w:cs="Times New Roman"/>
                <w:color w:val="auto"/>
                <w:sz w:val="22"/>
                <w:szCs w:val="24"/>
                <w:highlight w:val="none"/>
              </w:rPr>
              <w:t>/d），处理达标后排入津市工业园污水处理厂处理。</w:t>
            </w:r>
          </w:p>
        </w:tc>
      </w:tr>
      <w:tr w14:paraId="59882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pct"/>
            <w:vMerge w:val="continue"/>
            <w:vAlign w:val="center"/>
          </w:tcPr>
          <w:p w14:paraId="6DCD1576">
            <w:pPr>
              <w:jc w:val="center"/>
              <w:rPr>
                <w:rFonts w:ascii="Times New Roman" w:hAnsi="Times New Roman" w:eastAsia="宋体" w:cs="Times New Roman"/>
                <w:color w:val="auto"/>
                <w:sz w:val="22"/>
                <w:szCs w:val="24"/>
                <w:highlight w:val="none"/>
              </w:rPr>
            </w:pPr>
          </w:p>
        </w:tc>
        <w:tc>
          <w:tcPr>
            <w:tcW w:w="413" w:type="pct"/>
            <w:vMerge w:val="continue"/>
            <w:vAlign w:val="center"/>
          </w:tcPr>
          <w:p w14:paraId="6FBD420E">
            <w:pPr>
              <w:jc w:val="center"/>
              <w:rPr>
                <w:rFonts w:ascii="Times New Roman" w:hAnsi="Times New Roman" w:eastAsia="宋体" w:cs="Times New Roman"/>
                <w:color w:val="auto"/>
                <w:sz w:val="22"/>
                <w:szCs w:val="24"/>
                <w:highlight w:val="none"/>
              </w:rPr>
            </w:pPr>
          </w:p>
        </w:tc>
        <w:tc>
          <w:tcPr>
            <w:tcW w:w="623" w:type="pct"/>
            <w:vAlign w:val="center"/>
          </w:tcPr>
          <w:p w14:paraId="4A9C0C65">
            <w:pPr>
              <w:jc w:val="center"/>
              <w:rPr>
                <w:rFonts w:ascii="Times New Roman" w:hAnsi="Times New Roman" w:eastAsia="宋体" w:cs="Times New Roman"/>
                <w:color w:val="auto"/>
                <w:sz w:val="22"/>
                <w:szCs w:val="24"/>
                <w:highlight w:val="none"/>
              </w:rPr>
            </w:pPr>
            <w:r>
              <w:rPr>
                <w:rFonts w:hint="eastAsia" w:ascii="Times New Roman" w:hAnsi="Times New Roman" w:eastAsia="宋体" w:cs="Times New Roman"/>
                <w:color w:val="auto"/>
                <w:sz w:val="22"/>
                <w:szCs w:val="24"/>
                <w:highlight w:val="none"/>
              </w:rPr>
              <w:t>初期雨水（依托）</w:t>
            </w:r>
          </w:p>
        </w:tc>
        <w:tc>
          <w:tcPr>
            <w:tcW w:w="3536" w:type="pct"/>
            <w:gridSpan w:val="3"/>
            <w:vAlign w:val="center"/>
          </w:tcPr>
          <w:p w14:paraId="5F945B87">
            <w:pPr>
              <w:jc w:val="center"/>
              <w:rPr>
                <w:rFonts w:ascii="Times New Roman" w:hAnsi="Times New Roman" w:eastAsia="宋体" w:cs="Times New Roman"/>
                <w:color w:val="auto"/>
                <w:sz w:val="22"/>
                <w:szCs w:val="24"/>
                <w:highlight w:val="none"/>
              </w:rPr>
            </w:pPr>
            <w:r>
              <w:rPr>
                <w:rFonts w:hint="eastAsia" w:ascii="Times New Roman" w:hAnsi="Times New Roman" w:eastAsia="宋体" w:cs="Times New Roman"/>
                <w:color w:val="auto"/>
                <w:sz w:val="22"/>
                <w:szCs w:val="24"/>
                <w:highlight w:val="none"/>
              </w:rPr>
              <w:t>依托现有初期雨水池（</w:t>
            </w:r>
            <w:r>
              <w:rPr>
                <w:rFonts w:hint="eastAsia" w:ascii="Times New Roman" w:hAnsi="Times New Roman" w:eastAsia="宋体" w:cs="Times New Roman"/>
                <w:color w:val="auto"/>
                <w:sz w:val="22"/>
                <w:szCs w:val="24"/>
                <w:highlight w:val="none"/>
                <w:lang w:val="en-US" w:eastAsia="zh-CN"/>
              </w:rPr>
              <w:t>300</w:t>
            </w:r>
            <w:r>
              <w:rPr>
                <w:rFonts w:hint="eastAsia" w:ascii="Times New Roman" w:hAnsi="Times New Roman" w:eastAsia="宋体" w:cs="Times New Roman"/>
                <w:color w:val="auto"/>
                <w:sz w:val="22"/>
                <w:szCs w:val="24"/>
                <w:highlight w:val="none"/>
              </w:rPr>
              <w:t>m³）。</w:t>
            </w:r>
          </w:p>
        </w:tc>
      </w:tr>
      <w:tr w14:paraId="4F203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pct"/>
            <w:vMerge w:val="continue"/>
            <w:vAlign w:val="center"/>
          </w:tcPr>
          <w:p w14:paraId="57230348">
            <w:pPr>
              <w:jc w:val="center"/>
              <w:rPr>
                <w:rFonts w:ascii="Times New Roman" w:hAnsi="Times New Roman" w:eastAsia="宋体" w:cs="Times New Roman"/>
                <w:color w:val="auto"/>
                <w:sz w:val="22"/>
                <w:szCs w:val="24"/>
                <w:highlight w:val="none"/>
              </w:rPr>
            </w:pPr>
          </w:p>
        </w:tc>
        <w:tc>
          <w:tcPr>
            <w:tcW w:w="1036" w:type="pct"/>
            <w:gridSpan w:val="2"/>
            <w:vAlign w:val="center"/>
          </w:tcPr>
          <w:p w14:paraId="7541BE5D">
            <w:pPr>
              <w:jc w:val="center"/>
              <w:rPr>
                <w:rFonts w:ascii="Times New Roman" w:hAnsi="Times New Roman" w:eastAsia="宋体" w:cs="Times New Roman"/>
                <w:color w:val="auto"/>
                <w:sz w:val="22"/>
                <w:szCs w:val="24"/>
                <w:highlight w:val="none"/>
              </w:rPr>
            </w:pPr>
            <w:r>
              <w:rPr>
                <w:rFonts w:hint="eastAsia" w:ascii="Times New Roman" w:hAnsi="Times New Roman" w:eastAsia="宋体" w:cs="Times New Roman"/>
                <w:color w:val="auto"/>
                <w:sz w:val="22"/>
                <w:szCs w:val="24"/>
                <w:highlight w:val="none"/>
              </w:rPr>
              <w:t>噪声（依托）</w:t>
            </w:r>
          </w:p>
        </w:tc>
        <w:tc>
          <w:tcPr>
            <w:tcW w:w="3536" w:type="pct"/>
            <w:gridSpan w:val="3"/>
            <w:vAlign w:val="center"/>
          </w:tcPr>
          <w:p w14:paraId="7630F47C">
            <w:pPr>
              <w:jc w:val="center"/>
              <w:rPr>
                <w:rFonts w:ascii="Times New Roman" w:hAnsi="Times New Roman" w:eastAsia="宋体" w:cs="Times New Roman"/>
                <w:color w:val="auto"/>
                <w:sz w:val="22"/>
                <w:szCs w:val="24"/>
                <w:highlight w:val="none"/>
              </w:rPr>
            </w:pPr>
            <w:r>
              <w:rPr>
                <w:rFonts w:hint="eastAsia" w:ascii="Times New Roman" w:hAnsi="Times New Roman" w:eastAsia="宋体" w:cs="Times New Roman"/>
                <w:color w:val="auto"/>
                <w:sz w:val="22"/>
                <w:szCs w:val="24"/>
                <w:highlight w:val="none"/>
              </w:rPr>
              <w:t>采用</w:t>
            </w:r>
            <w:r>
              <w:rPr>
                <w:rFonts w:ascii="Times New Roman" w:hAnsi="Times New Roman" w:eastAsia="宋体" w:cs="Times New Roman"/>
                <w:color w:val="auto"/>
                <w:sz w:val="22"/>
                <w:szCs w:val="24"/>
                <w:highlight w:val="none"/>
              </w:rPr>
              <w:t>低噪声设备、基础减</w:t>
            </w:r>
            <w:r>
              <w:rPr>
                <w:rFonts w:hint="eastAsia" w:ascii="Times New Roman" w:hAnsi="Times New Roman" w:eastAsia="宋体" w:cs="Times New Roman"/>
                <w:color w:val="auto"/>
                <w:sz w:val="22"/>
                <w:szCs w:val="24"/>
                <w:highlight w:val="none"/>
              </w:rPr>
              <w:t>振</w:t>
            </w:r>
            <w:r>
              <w:rPr>
                <w:rFonts w:ascii="Times New Roman" w:hAnsi="Times New Roman" w:eastAsia="宋体" w:cs="Times New Roman"/>
                <w:color w:val="auto"/>
                <w:sz w:val="22"/>
                <w:szCs w:val="24"/>
                <w:highlight w:val="none"/>
              </w:rPr>
              <w:t>、隔声及绿</w:t>
            </w:r>
            <w:r>
              <w:rPr>
                <w:rFonts w:hint="eastAsia" w:ascii="Times New Roman" w:hAnsi="Times New Roman" w:eastAsia="宋体" w:cs="Times New Roman"/>
                <w:color w:val="auto"/>
                <w:sz w:val="22"/>
                <w:szCs w:val="24"/>
                <w:highlight w:val="none"/>
              </w:rPr>
              <w:t>植</w:t>
            </w:r>
            <w:r>
              <w:rPr>
                <w:rFonts w:ascii="Times New Roman" w:hAnsi="Times New Roman" w:eastAsia="宋体" w:cs="Times New Roman"/>
                <w:color w:val="auto"/>
                <w:sz w:val="22"/>
                <w:szCs w:val="24"/>
                <w:highlight w:val="none"/>
              </w:rPr>
              <w:t>等措施降噪</w:t>
            </w:r>
            <w:r>
              <w:rPr>
                <w:rFonts w:hint="eastAsia" w:ascii="Times New Roman" w:hAnsi="Times New Roman" w:eastAsia="宋体" w:cs="Times New Roman"/>
                <w:color w:val="auto"/>
                <w:sz w:val="22"/>
                <w:szCs w:val="24"/>
                <w:highlight w:val="none"/>
              </w:rPr>
              <w:t>。</w:t>
            </w:r>
          </w:p>
        </w:tc>
      </w:tr>
      <w:tr w14:paraId="1851B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pct"/>
            <w:vMerge w:val="continue"/>
            <w:vAlign w:val="center"/>
          </w:tcPr>
          <w:p w14:paraId="232713A7">
            <w:pPr>
              <w:jc w:val="center"/>
              <w:rPr>
                <w:rFonts w:ascii="Times New Roman" w:hAnsi="Times New Roman" w:eastAsia="宋体" w:cs="Times New Roman"/>
                <w:color w:val="auto"/>
                <w:sz w:val="22"/>
                <w:szCs w:val="24"/>
                <w:highlight w:val="none"/>
              </w:rPr>
            </w:pPr>
          </w:p>
        </w:tc>
        <w:tc>
          <w:tcPr>
            <w:tcW w:w="413" w:type="pct"/>
            <w:vMerge w:val="restart"/>
            <w:vAlign w:val="center"/>
          </w:tcPr>
          <w:p w14:paraId="2D29B740">
            <w:pPr>
              <w:jc w:val="center"/>
              <w:rPr>
                <w:rFonts w:ascii="Times New Roman" w:hAnsi="Times New Roman" w:eastAsia="宋体" w:cs="Times New Roman"/>
                <w:color w:val="auto"/>
                <w:sz w:val="22"/>
                <w:szCs w:val="24"/>
                <w:highlight w:val="none"/>
              </w:rPr>
            </w:pPr>
            <w:r>
              <w:rPr>
                <w:rFonts w:hint="eastAsia" w:ascii="Times New Roman" w:hAnsi="Times New Roman" w:eastAsia="宋体" w:cs="Times New Roman"/>
                <w:color w:val="auto"/>
                <w:sz w:val="22"/>
                <w:szCs w:val="24"/>
                <w:highlight w:val="none"/>
              </w:rPr>
              <w:t>固废（依托）</w:t>
            </w:r>
          </w:p>
        </w:tc>
        <w:tc>
          <w:tcPr>
            <w:tcW w:w="623" w:type="pct"/>
            <w:vAlign w:val="center"/>
          </w:tcPr>
          <w:p w14:paraId="3467D3F7">
            <w:pPr>
              <w:jc w:val="center"/>
              <w:rPr>
                <w:rFonts w:ascii="Times New Roman" w:hAnsi="Times New Roman" w:eastAsia="宋体" w:cs="Times New Roman"/>
                <w:color w:val="auto"/>
                <w:sz w:val="22"/>
                <w:szCs w:val="24"/>
                <w:highlight w:val="none"/>
              </w:rPr>
            </w:pPr>
            <w:r>
              <w:rPr>
                <w:rFonts w:hint="eastAsia" w:ascii="Times New Roman" w:hAnsi="Times New Roman" w:eastAsia="宋体" w:cs="Times New Roman"/>
                <w:color w:val="auto"/>
                <w:sz w:val="22"/>
                <w:szCs w:val="24"/>
                <w:highlight w:val="none"/>
              </w:rPr>
              <w:t>生活垃圾</w:t>
            </w:r>
          </w:p>
        </w:tc>
        <w:tc>
          <w:tcPr>
            <w:tcW w:w="3536" w:type="pct"/>
            <w:gridSpan w:val="3"/>
            <w:vAlign w:val="center"/>
          </w:tcPr>
          <w:p w14:paraId="0E3B69AC">
            <w:pPr>
              <w:jc w:val="center"/>
              <w:rPr>
                <w:rFonts w:ascii="Times New Roman" w:hAnsi="Times New Roman" w:eastAsia="宋体" w:cs="Times New Roman"/>
                <w:color w:val="auto"/>
                <w:sz w:val="22"/>
                <w:szCs w:val="24"/>
                <w:highlight w:val="none"/>
              </w:rPr>
            </w:pPr>
            <w:r>
              <w:rPr>
                <w:rFonts w:hint="eastAsia" w:ascii="Times New Roman" w:hAnsi="Times New Roman" w:eastAsia="宋体" w:cs="Times New Roman"/>
                <w:color w:val="auto"/>
                <w:sz w:val="22"/>
                <w:szCs w:val="24"/>
                <w:highlight w:val="none"/>
              </w:rPr>
              <w:t>交当地环卫部门处置</w:t>
            </w:r>
          </w:p>
        </w:tc>
      </w:tr>
      <w:tr w14:paraId="473E0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pct"/>
            <w:vMerge w:val="continue"/>
            <w:vAlign w:val="center"/>
          </w:tcPr>
          <w:p w14:paraId="119EEEC3">
            <w:pPr>
              <w:jc w:val="center"/>
              <w:rPr>
                <w:rFonts w:ascii="Times New Roman" w:hAnsi="Times New Roman" w:eastAsia="宋体" w:cs="Times New Roman"/>
                <w:color w:val="auto"/>
                <w:sz w:val="22"/>
                <w:szCs w:val="24"/>
                <w:highlight w:val="none"/>
              </w:rPr>
            </w:pPr>
          </w:p>
        </w:tc>
        <w:tc>
          <w:tcPr>
            <w:tcW w:w="413" w:type="pct"/>
            <w:vMerge w:val="continue"/>
            <w:vAlign w:val="center"/>
          </w:tcPr>
          <w:p w14:paraId="6E70527D">
            <w:pPr>
              <w:jc w:val="center"/>
              <w:rPr>
                <w:rFonts w:ascii="Times New Roman" w:hAnsi="Times New Roman" w:eastAsia="宋体" w:cs="Times New Roman"/>
                <w:color w:val="auto"/>
                <w:sz w:val="22"/>
                <w:szCs w:val="24"/>
                <w:highlight w:val="none"/>
              </w:rPr>
            </w:pPr>
          </w:p>
        </w:tc>
        <w:tc>
          <w:tcPr>
            <w:tcW w:w="623" w:type="pct"/>
            <w:vAlign w:val="center"/>
          </w:tcPr>
          <w:p w14:paraId="0D3B611B">
            <w:pPr>
              <w:jc w:val="center"/>
              <w:rPr>
                <w:rFonts w:hint="eastAsia" w:ascii="Times New Roman" w:hAnsi="Times New Roman" w:eastAsia="宋体" w:cs="Times New Roman"/>
                <w:color w:val="auto"/>
                <w:sz w:val="22"/>
                <w:szCs w:val="24"/>
                <w:highlight w:val="none"/>
                <w:lang w:val="en-US" w:eastAsia="zh-CN"/>
              </w:rPr>
            </w:pPr>
            <w:r>
              <w:rPr>
                <w:rFonts w:hint="eastAsia" w:ascii="Times New Roman" w:hAnsi="Times New Roman" w:eastAsia="宋体" w:cs="Times New Roman"/>
                <w:color w:val="auto"/>
                <w:sz w:val="22"/>
                <w:szCs w:val="24"/>
                <w:highlight w:val="none"/>
                <w:lang w:val="en-US" w:eastAsia="zh-CN"/>
              </w:rPr>
              <w:t>一般固废</w:t>
            </w:r>
          </w:p>
        </w:tc>
        <w:tc>
          <w:tcPr>
            <w:tcW w:w="3536" w:type="pct"/>
            <w:gridSpan w:val="3"/>
            <w:vAlign w:val="center"/>
          </w:tcPr>
          <w:p w14:paraId="57F4BAC1">
            <w:pPr>
              <w:jc w:val="center"/>
              <w:rPr>
                <w:rFonts w:hint="default" w:ascii="Times New Roman" w:hAnsi="Times New Roman" w:eastAsia="宋体" w:cs="Times New Roman"/>
                <w:color w:val="auto"/>
                <w:sz w:val="22"/>
                <w:szCs w:val="24"/>
                <w:highlight w:val="none"/>
                <w:vertAlign w:val="baseline"/>
                <w:lang w:val="en-US" w:eastAsia="zh-CN"/>
              </w:rPr>
            </w:pPr>
            <w:r>
              <w:rPr>
                <w:rFonts w:hint="eastAsia" w:ascii="Times New Roman" w:hAnsi="Times New Roman" w:eastAsia="宋体" w:cs="Times New Roman"/>
                <w:color w:val="auto"/>
                <w:sz w:val="22"/>
                <w:szCs w:val="24"/>
                <w:highlight w:val="none"/>
                <w:lang w:val="en-US" w:eastAsia="zh-CN"/>
              </w:rPr>
              <w:t>依托现有一般固废暂存间420</w:t>
            </w:r>
            <w:r>
              <w:rPr>
                <w:rFonts w:hint="eastAsia" w:ascii="Times New Roman" w:hAnsi="Times New Roman" w:eastAsia="宋体" w:cs="Times New Roman"/>
                <w:color w:val="auto"/>
                <w:sz w:val="22"/>
                <w:szCs w:val="24"/>
                <w:lang w:eastAsia="zh-CN"/>
              </w:rPr>
              <w:t>m</w:t>
            </w:r>
            <w:r>
              <w:rPr>
                <w:rFonts w:hint="eastAsia" w:ascii="Times New Roman" w:hAnsi="Times New Roman" w:eastAsia="宋体" w:cs="Times New Roman"/>
                <w:color w:val="auto"/>
                <w:sz w:val="22"/>
                <w:szCs w:val="24"/>
                <w:vertAlign w:val="superscript"/>
                <w:lang w:eastAsia="zh-CN"/>
              </w:rPr>
              <w:t>2</w:t>
            </w:r>
            <w:r>
              <w:rPr>
                <w:rFonts w:hint="eastAsia" w:ascii="Times New Roman" w:hAnsi="Times New Roman" w:eastAsia="宋体" w:cs="Times New Roman"/>
                <w:color w:val="auto"/>
                <w:sz w:val="22"/>
                <w:szCs w:val="24"/>
                <w:vertAlign w:val="baseline"/>
                <w:lang w:eastAsia="zh-CN"/>
              </w:rPr>
              <w:t>，</w:t>
            </w:r>
            <w:r>
              <w:rPr>
                <w:rFonts w:hint="eastAsia" w:ascii="Times New Roman" w:hAnsi="Times New Roman" w:eastAsia="宋体" w:cs="Times New Roman"/>
                <w:color w:val="auto"/>
                <w:sz w:val="22"/>
                <w:szCs w:val="24"/>
                <w:vertAlign w:val="baseline"/>
                <w:lang w:val="en-US" w:eastAsia="zh-CN"/>
              </w:rPr>
              <w:t>分类暂存后及时处理</w:t>
            </w:r>
          </w:p>
        </w:tc>
      </w:tr>
      <w:tr w14:paraId="091A2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pct"/>
            <w:vMerge w:val="continue"/>
            <w:vAlign w:val="center"/>
          </w:tcPr>
          <w:p w14:paraId="710D98A3">
            <w:pPr>
              <w:jc w:val="center"/>
              <w:rPr>
                <w:rFonts w:ascii="Times New Roman" w:hAnsi="Times New Roman" w:eastAsia="宋体" w:cs="Times New Roman"/>
                <w:color w:val="auto"/>
                <w:sz w:val="22"/>
                <w:szCs w:val="24"/>
                <w:highlight w:val="none"/>
              </w:rPr>
            </w:pPr>
          </w:p>
        </w:tc>
        <w:tc>
          <w:tcPr>
            <w:tcW w:w="413" w:type="pct"/>
            <w:vMerge w:val="continue"/>
            <w:vAlign w:val="center"/>
          </w:tcPr>
          <w:p w14:paraId="193A69A9">
            <w:pPr>
              <w:jc w:val="center"/>
              <w:rPr>
                <w:rFonts w:ascii="Times New Roman" w:hAnsi="Times New Roman" w:eastAsia="宋体" w:cs="Times New Roman"/>
                <w:color w:val="auto"/>
                <w:sz w:val="22"/>
                <w:szCs w:val="24"/>
                <w:highlight w:val="none"/>
              </w:rPr>
            </w:pPr>
          </w:p>
        </w:tc>
        <w:tc>
          <w:tcPr>
            <w:tcW w:w="623" w:type="pct"/>
            <w:vAlign w:val="center"/>
          </w:tcPr>
          <w:p w14:paraId="70F4426C">
            <w:pPr>
              <w:jc w:val="center"/>
              <w:rPr>
                <w:rFonts w:ascii="Times New Roman" w:hAnsi="Times New Roman" w:eastAsia="宋体" w:cs="Times New Roman"/>
                <w:color w:val="auto"/>
                <w:sz w:val="22"/>
                <w:szCs w:val="24"/>
                <w:highlight w:val="none"/>
              </w:rPr>
            </w:pPr>
            <w:r>
              <w:rPr>
                <w:rFonts w:hint="eastAsia" w:ascii="Times New Roman" w:hAnsi="Times New Roman" w:eastAsia="宋体" w:cs="Times New Roman"/>
                <w:color w:val="auto"/>
                <w:sz w:val="22"/>
                <w:szCs w:val="24"/>
                <w:highlight w:val="none"/>
              </w:rPr>
              <w:t>危险废物</w:t>
            </w:r>
          </w:p>
        </w:tc>
        <w:tc>
          <w:tcPr>
            <w:tcW w:w="3536" w:type="pct"/>
            <w:gridSpan w:val="3"/>
            <w:vAlign w:val="center"/>
          </w:tcPr>
          <w:p w14:paraId="65A514C1">
            <w:pPr>
              <w:jc w:val="center"/>
              <w:rPr>
                <w:rFonts w:ascii="Times New Roman" w:hAnsi="Times New Roman" w:eastAsia="宋体" w:cs="Times New Roman"/>
                <w:color w:val="auto"/>
                <w:sz w:val="22"/>
                <w:szCs w:val="24"/>
                <w:highlight w:val="none"/>
              </w:rPr>
            </w:pPr>
            <w:r>
              <w:rPr>
                <w:rFonts w:hint="eastAsia" w:ascii="Times New Roman" w:hAnsi="Times New Roman" w:eastAsia="宋体" w:cs="Times New Roman"/>
                <w:color w:val="auto"/>
                <w:sz w:val="22"/>
                <w:szCs w:val="24"/>
                <w:highlight w:val="none"/>
              </w:rPr>
              <w:t>依托现有危废暂存间70</w:t>
            </w:r>
            <w:r>
              <w:rPr>
                <w:rFonts w:hint="eastAsia" w:ascii="Times New Roman" w:hAnsi="Times New Roman" w:eastAsia="宋体" w:cs="Times New Roman"/>
                <w:color w:val="auto"/>
                <w:sz w:val="22"/>
                <w:szCs w:val="24"/>
                <w:highlight w:val="none"/>
                <w:lang w:eastAsia="zh-CN"/>
              </w:rPr>
              <w:t>m</w:t>
            </w:r>
            <w:r>
              <w:rPr>
                <w:rFonts w:hint="eastAsia" w:ascii="Times New Roman" w:hAnsi="Times New Roman" w:eastAsia="宋体" w:cs="Times New Roman"/>
                <w:color w:val="auto"/>
                <w:sz w:val="22"/>
                <w:szCs w:val="24"/>
                <w:highlight w:val="none"/>
                <w:vertAlign w:val="superscript"/>
                <w:lang w:eastAsia="zh-CN"/>
              </w:rPr>
              <w:t>2</w:t>
            </w:r>
            <w:r>
              <w:rPr>
                <w:rFonts w:hint="eastAsia" w:ascii="Times New Roman" w:hAnsi="Times New Roman" w:eastAsia="宋体" w:cs="Times New Roman"/>
                <w:color w:val="auto"/>
                <w:sz w:val="22"/>
                <w:szCs w:val="24"/>
                <w:highlight w:val="none"/>
              </w:rPr>
              <w:t>，分类储存后交有资质单位进行处理</w:t>
            </w:r>
          </w:p>
        </w:tc>
      </w:tr>
      <w:tr w14:paraId="54324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pct"/>
            <w:vMerge w:val="restart"/>
            <w:vAlign w:val="center"/>
          </w:tcPr>
          <w:p w14:paraId="4AC27BDC">
            <w:pPr>
              <w:jc w:val="center"/>
              <w:rPr>
                <w:rFonts w:ascii="Times New Roman" w:hAnsi="Times New Roman" w:eastAsia="宋体" w:cs="Times New Roman"/>
                <w:color w:val="auto"/>
                <w:sz w:val="22"/>
                <w:szCs w:val="24"/>
                <w:highlight w:val="none"/>
              </w:rPr>
            </w:pPr>
            <w:r>
              <w:rPr>
                <w:rFonts w:hint="eastAsia" w:ascii="Times New Roman" w:hAnsi="Times New Roman" w:eastAsia="宋体" w:cs="Times New Roman"/>
                <w:color w:val="auto"/>
                <w:sz w:val="22"/>
                <w:szCs w:val="24"/>
                <w:highlight w:val="none"/>
              </w:rPr>
              <w:t>风险防范</w:t>
            </w:r>
          </w:p>
        </w:tc>
        <w:tc>
          <w:tcPr>
            <w:tcW w:w="1036" w:type="pct"/>
            <w:gridSpan w:val="2"/>
            <w:vAlign w:val="center"/>
          </w:tcPr>
          <w:p w14:paraId="22167CB8">
            <w:pPr>
              <w:jc w:val="center"/>
              <w:rPr>
                <w:rFonts w:ascii="Times New Roman" w:hAnsi="Times New Roman" w:eastAsia="宋体" w:cs="Times New Roman"/>
                <w:color w:val="auto"/>
                <w:sz w:val="22"/>
                <w:szCs w:val="24"/>
                <w:highlight w:val="none"/>
              </w:rPr>
            </w:pPr>
            <w:r>
              <w:rPr>
                <w:rFonts w:hint="eastAsia" w:ascii="Times New Roman" w:hAnsi="Times New Roman" w:eastAsia="宋体" w:cs="Times New Roman"/>
                <w:color w:val="auto"/>
                <w:sz w:val="22"/>
                <w:szCs w:val="24"/>
                <w:highlight w:val="none"/>
              </w:rPr>
              <w:t>事故池（依托）</w:t>
            </w:r>
          </w:p>
        </w:tc>
        <w:tc>
          <w:tcPr>
            <w:tcW w:w="3536" w:type="pct"/>
            <w:gridSpan w:val="3"/>
            <w:vAlign w:val="center"/>
          </w:tcPr>
          <w:p w14:paraId="53BB517F">
            <w:pPr>
              <w:jc w:val="center"/>
              <w:rPr>
                <w:rFonts w:ascii="Times New Roman" w:hAnsi="Times New Roman" w:eastAsia="宋体" w:cs="Times New Roman"/>
                <w:color w:val="auto"/>
                <w:sz w:val="22"/>
                <w:szCs w:val="24"/>
                <w:highlight w:val="none"/>
              </w:rPr>
            </w:pPr>
            <w:r>
              <w:rPr>
                <w:rFonts w:hint="eastAsia" w:ascii="Times New Roman" w:hAnsi="Times New Roman" w:eastAsia="宋体" w:cs="Times New Roman"/>
                <w:color w:val="auto"/>
                <w:sz w:val="22"/>
                <w:szCs w:val="24"/>
                <w:highlight w:val="none"/>
              </w:rPr>
              <w:t>依托现有事故池，容积</w:t>
            </w:r>
            <w:r>
              <w:rPr>
                <w:rFonts w:hint="eastAsia" w:ascii="Times New Roman" w:hAnsi="Times New Roman" w:eastAsia="宋体" w:cs="Times New Roman"/>
                <w:color w:val="auto"/>
                <w:sz w:val="22"/>
                <w:szCs w:val="24"/>
                <w:highlight w:val="none"/>
                <w:lang w:val="en-US" w:eastAsia="zh-CN"/>
              </w:rPr>
              <w:t>37</w:t>
            </w:r>
            <w:r>
              <w:rPr>
                <w:rFonts w:hint="eastAsia" w:ascii="Times New Roman" w:hAnsi="Times New Roman" w:eastAsia="宋体" w:cs="Times New Roman"/>
                <w:color w:val="auto"/>
                <w:sz w:val="22"/>
                <w:szCs w:val="24"/>
                <w:highlight w:val="none"/>
              </w:rPr>
              <w:t>0m³</w:t>
            </w:r>
          </w:p>
        </w:tc>
      </w:tr>
      <w:tr w14:paraId="1B928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pct"/>
            <w:vMerge w:val="continue"/>
            <w:vAlign w:val="center"/>
          </w:tcPr>
          <w:p w14:paraId="27D62C76">
            <w:pPr>
              <w:jc w:val="center"/>
              <w:rPr>
                <w:rFonts w:ascii="Times New Roman" w:hAnsi="Times New Roman" w:eastAsia="宋体" w:cs="Times New Roman"/>
                <w:color w:val="auto"/>
                <w:sz w:val="22"/>
                <w:szCs w:val="24"/>
                <w:highlight w:val="none"/>
              </w:rPr>
            </w:pPr>
          </w:p>
        </w:tc>
        <w:tc>
          <w:tcPr>
            <w:tcW w:w="1036" w:type="pct"/>
            <w:gridSpan w:val="2"/>
            <w:vAlign w:val="center"/>
          </w:tcPr>
          <w:p w14:paraId="5E7474F8">
            <w:pPr>
              <w:jc w:val="center"/>
              <w:rPr>
                <w:rFonts w:ascii="Times New Roman" w:hAnsi="Times New Roman" w:eastAsia="宋体" w:cs="Times New Roman"/>
                <w:color w:val="auto"/>
                <w:sz w:val="22"/>
                <w:szCs w:val="24"/>
                <w:highlight w:val="none"/>
              </w:rPr>
            </w:pPr>
            <w:r>
              <w:rPr>
                <w:rFonts w:hint="eastAsia" w:ascii="Times New Roman" w:hAnsi="Times New Roman" w:eastAsia="宋体" w:cs="Times New Roman"/>
                <w:color w:val="auto"/>
                <w:sz w:val="22"/>
                <w:szCs w:val="24"/>
                <w:highlight w:val="none"/>
              </w:rPr>
              <w:t>输送管线（依托）</w:t>
            </w:r>
          </w:p>
        </w:tc>
        <w:tc>
          <w:tcPr>
            <w:tcW w:w="3536" w:type="pct"/>
            <w:gridSpan w:val="3"/>
            <w:vAlign w:val="center"/>
          </w:tcPr>
          <w:p w14:paraId="34B84096">
            <w:pPr>
              <w:jc w:val="center"/>
              <w:rPr>
                <w:rFonts w:ascii="Times New Roman" w:hAnsi="Times New Roman" w:eastAsia="宋体" w:cs="Times New Roman"/>
                <w:color w:val="auto"/>
                <w:sz w:val="22"/>
                <w:szCs w:val="24"/>
                <w:highlight w:val="none"/>
              </w:rPr>
            </w:pPr>
            <w:r>
              <w:rPr>
                <w:rFonts w:hint="eastAsia" w:ascii="Times New Roman" w:hAnsi="Times New Roman" w:eastAsia="宋体" w:cs="Times New Roman"/>
                <w:color w:val="auto"/>
                <w:sz w:val="22"/>
                <w:szCs w:val="24"/>
                <w:highlight w:val="none"/>
              </w:rPr>
              <w:t>采用专用密闭管道输，实现“一企一管”和明管可视可监测要求</w:t>
            </w:r>
          </w:p>
        </w:tc>
      </w:tr>
    </w:tbl>
    <w:p w14:paraId="53171167">
      <w:pPr>
        <w:pStyle w:val="4"/>
        <w:bidi w:val="0"/>
      </w:pPr>
      <w:r>
        <w:t>3.2.4</w:t>
      </w:r>
      <w:r>
        <w:rPr>
          <w:rFonts w:hint="eastAsia"/>
        </w:rPr>
        <w:t>产品方案</w:t>
      </w:r>
    </w:p>
    <w:p w14:paraId="370370B7">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项目生产规模及产品方案见下表：</w:t>
      </w:r>
    </w:p>
    <w:p w14:paraId="1A07DD39">
      <w:pPr>
        <w:pStyle w:val="6"/>
        <w:bidi w:val="0"/>
      </w:pPr>
      <w:r>
        <w:rPr>
          <w:rFonts w:hint="eastAsia"/>
        </w:rPr>
        <w:t>表3</w:t>
      </w:r>
      <w:r>
        <w:t>.2</w:t>
      </w:r>
      <w:r>
        <w:rPr>
          <w:rFonts w:hint="eastAsia"/>
        </w:rPr>
        <w:t>.4-1</w:t>
      </w:r>
      <w:r>
        <w:t xml:space="preserve"> </w:t>
      </w:r>
      <w:r>
        <w:rPr>
          <w:rFonts w:hint="eastAsia"/>
        </w:rPr>
        <w:t xml:space="preserve">   项目生产规模及产品方案一览表</w:t>
      </w:r>
    </w:p>
    <w:tbl>
      <w:tblPr>
        <w:tblStyle w:val="41"/>
        <w:tblW w:w="395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1"/>
        <w:gridCol w:w="1757"/>
        <w:gridCol w:w="869"/>
        <w:gridCol w:w="1019"/>
        <w:gridCol w:w="722"/>
        <w:gridCol w:w="1248"/>
      </w:tblGrid>
      <w:tr w14:paraId="46AA9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838" w:type="pct"/>
            <w:vAlign w:val="center"/>
          </w:tcPr>
          <w:p w14:paraId="3ABE84C9">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序号</w:t>
            </w:r>
          </w:p>
        </w:tc>
        <w:tc>
          <w:tcPr>
            <w:tcW w:w="1302" w:type="pct"/>
            <w:vAlign w:val="center"/>
          </w:tcPr>
          <w:p w14:paraId="39F8EBE3">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产品名称</w:t>
            </w:r>
          </w:p>
        </w:tc>
        <w:tc>
          <w:tcPr>
            <w:tcW w:w="644" w:type="pct"/>
            <w:vAlign w:val="center"/>
          </w:tcPr>
          <w:p w14:paraId="4F89A943">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单位</w:t>
            </w:r>
          </w:p>
        </w:tc>
        <w:tc>
          <w:tcPr>
            <w:tcW w:w="755" w:type="pct"/>
            <w:vAlign w:val="center"/>
          </w:tcPr>
          <w:p w14:paraId="6F2F4282">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数量</w:t>
            </w:r>
          </w:p>
        </w:tc>
        <w:tc>
          <w:tcPr>
            <w:tcW w:w="535" w:type="pct"/>
            <w:vAlign w:val="center"/>
          </w:tcPr>
          <w:p w14:paraId="031766E6">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形态</w:t>
            </w:r>
          </w:p>
        </w:tc>
        <w:tc>
          <w:tcPr>
            <w:tcW w:w="924" w:type="pct"/>
            <w:vAlign w:val="center"/>
          </w:tcPr>
          <w:p w14:paraId="33D327CC">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储存方式</w:t>
            </w:r>
          </w:p>
        </w:tc>
      </w:tr>
      <w:tr w14:paraId="316DE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838" w:type="pct"/>
            <w:vAlign w:val="center"/>
          </w:tcPr>
          <w:p w14:paraId="197C304F">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1</w:t>
            </w:r>
          </w:p>
        </w:tc>
        <w:tc>
          <w:tcPr>
            <w:tcW w:w="1302" w:type="pct"/>
            <w:vAlign w:val="center"/>
          </w:tcPr>
          <w:p w14:paraId="4C56026B">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肌醇饲料添加剂</w:t>
            </w:r>
          </w:p>
        </w:tc>
        <w:tc>
          <w:tcPr>
            <w:tcW w:w="644" w:type="pct"/>
            <w:vAlign w:val="center"/>
          </w:tcPr>
          <w:p w14:paraId="392FBCC9">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吨/年</w:t>
            </w:r>
          </w:p>
        </w:tc>
        <w:tc>
          <w:tcPr>
            <w:tcW w:w="755" w:type="pct"/>
            <w:vAlign w:val="center"/>
          </w:tcPr>
          <w:p w14:paraId="776A3306">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1000</w:t>
            </w:r>
          </w:p>
        </w:tc>
        <w:tc>
          <w:tcPr>
            <w:tcW w:w="535" w:type="pct"/>
            <w:vAlign w:val="center"/>
          </w:tcPr>
          <w:p w14:paraId="40345C60">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固态</w:t>
            </w:r>
          </w:p>
        </w:tc>
        <w:tc>
          <w:tcPr>
            <w:tcW w:w="924" w:type="pct"/>
            <w:vAlign w:val="center"/>
          </w:tcPr>
          <w:p w14:paraId="33C897A2">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Cs w:val="21"/>
              </w:rPr>
              <w:t>成品库</w:t>
            </w:r>
          </w:p>
        </w:tc>
      </w:tr>
      <w:tr w14:paraId="2602E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838" w:type="pct"/>
            <w:vAlign w:val="center"/>
          </w:tcPr>
          <w:p w14:paraId="5FC2D07C">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2</w:t>
            </w:r>
          </w:p>
        </w:tc>
        <w:tc>
          <w:tcPr>
            <w:tcW w:w="1302" w:type="pct"/>
            <w:vAlign w:val="center"/>
          </w:tcPr>
          <w:p w14:paraId="4FC510F1">
            <w:pPr>
              <w:jc w:val="center"/>
              <w:rPr>
                <w:rFonts w:hint="eastAsia"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液糖</w:t>
            </w:r>
          </w:p>
        </w:tc>
        <w:tc>
          <w:tcPr>
            <w:tcW w:w="644" w:type="pct"/>
            <w:vAlign w:val="center"/>
          </w:tcPr>
          <w:p w14:paraId="20180EE7">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吨/年</w:t>
            </w:r>
          </w:p>
        </w:tc>
        <w:tc>
          <w:tcPr>
            <w:tcW w:w="755" w:type="pct"/>
            <w:vAlign w:val="center"/>
          </w:tcPr>
          <w:p w14:paraId="56007AF3">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30000</w:t>
            </w:r>
          </w:p>
        </w:tc>
        <w:tc>
          <w:tcPr>
            <w:tcW w:w="535" w:type="pct"/>
            <w:vAlign w:val="center"/>
          </w:tcPr>
          <w:p w14:paraId="6B799D9B">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lang w:val="en-US" w:eastAsia="zh-CN"/>
              </w:rPr>
              <w:t>液态</w:t>
            </w:r>
          </w:p>
        </w:tc>
        <w:tc>
          <w:tcPr>
            <w:tcW w:w="924" w:type="pct"/>
            <w:vAlign w:val="center"/>
          </w:tcPr>
          <w:p w14:paraId="33A041A4">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Cs w:val="21"/>
              </w:rPr>
              <w:t>成品库</w:t>
            </w:r>
          </w:p>
        </w:tc>
      </w:tr>
    </w:tbl>
    <w:p w14:paraId="4ADD127E">
      <w:pPr>
        <w:pStyle w:val="6"/>
        <w:bidi w:val="0"/>
      </w:pPr>
      <w:r>
        <w:rPr>
          <w:rFonts w:hint="eastAsia"/>
        </w:rPr>
        <w:t>表3.2.4-</w:t>
      </w:r>
      <w:r>
        <w:rPr>
          <w:rFonts w:hint="eastAsia"/>
          <w:lang w:val="en-US" w:eastAsia="zh-CN"/>
        </w:rPr>
        <w:t>2</w:t>
      </w:r>
      <w:r>
        <w:rPr>
          <w:rFonts w:hint="eastAsia"/>
        </w:rPr>
        <w:t xml:space="preserve">   产品批次一览表</w:t>
      </w:r>
    </w:p>
    <w:tbl>
      <w:tblPr>
        <w:tblStyle w:val="41"/>
        <w:tblW w:w="4998" w:type="pct"/>
        <w:tblInd w:w="0" w:type="dxa"/>
        <w:tblLayout w:type="autofit"/>
        <w:tblCellMar>
          <w:top w:w="0" w:type="dxa"/>
          <w:left w:w="108" w:type="dxa"/>
          <w:bottom w:w="0" w:type="dxa"/>
          <w:right w:w="108" w:type="dxa"/>
        </w:tblCellMar>
      </w:tblPr>
      <w:tblGrid>
        <w:gridCol w:w="1839"/>
        <w:gridCol w:w="1671"/>
        <w:gridCol w:w="1621"/>
        <w:gridCol w:w="1744"/>
        <w:gridCol w:w="1644"/>
      </w:tblGrid>
      <w:tr w14:paraId="23622488">
        <w:tblPrEx>
          <w:tblCellMar>
            <w:top w:w="0" w:type="dxa"/>
            <w:left w:w="108" w:type="dxa"/>
            <w:bottom w:w="0" w:type="dxa"/>
            <w:right w:w="108" w:type="dxa"/>
          </w:tblCellMar>
        </w:tblPrEx>
        <w:tc>
          <w:tcPr>
            <w:tcW w:w="1079" w:type="pct"/>
            <w:tcBorders>
              <w:top w:val="single" w:color="auto" w:sz="4" w:space="0"/>
              <w:left w:val="single" w:color="auto" w:sz="4" w:space="0"/>
              <w:bottom w:val="single" w:color="auto" w:sz="4" w:space="0"/>
              <w:right w:val="single" w:color="auto" w:sz="4" w:space="0"/>
            </w:tcBorders>
            <w:vAlign w:val="center"/>
          </w:tcPr>
          <w:p w14:paraId="1E1B4D7B">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产品名称</w:t>
            </w:r>
          </w:p>
        </w:tc>
        <w:tc>
          <w:tcPr>
            <w:tcW w:w="980" w:type="pct"/>
            <w:tcBorders>
              <w:top w:val="single" w:color="auto" w:sz="4" w:space="0"/>
              <w:left w:val="single" w:color="auto" w:sz="4" w:space="0"/>
              <w:bottom w:val="single" w:color="auto" w:sz="4" w:space="0"/>
              <w:right w:val="single" w:color="auto" w:sz="4" w:space="0"/>
            </w:tcBorders>
            <w:vAlign w:val="center"/>
          </w:tcPr>
          <w:p w14:paraId="72BE5ECA">
            <w:pPr>
              <w:jc w:val="center"/>
              <w:rPr>
                <w:rFonts w:hint="eastAsia"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单批次产量</w:t>
            </w:r>
          </w:p>
          <w:p w14:paraId="18783C21">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r>
              <w:rPr>
                <w:rFonts w:hint="eastAsia" w:ascii="Times New Roman" w:hAnsi="Times New Roman" w:eastAsia="宋体" w:cs="Times New Roman"/>
                <w:color w:val="auto"/>
                <w:sz w:val="22"/>
                <w:szCs w:val="24"/>
                <w:lang w:val="en-US" w:eastAsia="zh-CN"/>
              </w:rPr>
              <w:t>t</w:t>
            </w:r>
            <w:r>
              <w:rPr>
                <w:rFonts w:hint="eastAsia" w:ascii="Times New Roman" w:hAnsi="Times New Roman" w:eastAsia="宋体" w:cs="Times New Roman"/>
                <w:color w:val="auto"/>
                <w:sz w:val="22"/>
                <w:szCs w:val="24"/>
              </w:rPr>
              <w:t>/批次）</w:t>
            </w:r>
          </w:p>
        </w:tc>
        <w:tc>
          <w:tcPr>
            <w:tcW w:w="951" w:type="pct"/>
            <w:tcBorders>
              <w:top w:val="single" w:color="auto" w:sz="4" w:space="0"/>
              <w:left w:val="single" w:color="auto" w:sz="4" w:space="0"/>
              <w:bottom w:val="single" w:color="auto" w:sz="4" w:space="0"/>
              <w:right w:val="single" w:color="auto" w:sz="4" w:space="0"/>
            </w:tcBorders>
            <w:vAlign w:val="center"/>
          </w:tcPr>
          <w:p w14:paraId="57A78CA9">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运行总批次</w:t>
            </w:r>
          </w:p>
        </w:tc>
        <w:tc>
          <w:tcPr>
            <w:tcW w:w="1023" w:type="pct"/>
            <w:tcBorders>
              <w:top w:val="single" w:color="auto" w:sz="4" w:space="0"/>
              <w:left w:val="single" w:color="auto" w:sz="4" w:space="0"/>
              <w:bottom w:val="single" w:color="auto" w:sz="4" w:space="0"/>
              <w:right w:val="single" w:color="auto" w:sz="4" w:space="0"/>
            </w:tcBorders>
            <w:vAlign w:val="center"/>
          </w:tcPr>
          <w:p w14:paraId="51CC24F5">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设计产能（t）</w:t>
            </w:r>
          </w:p>
        </w:tc>
        <w:tc>
          <w:tcPr>
            <w:tcW w:w="964" w:type="pct"/>
            <w:tcBorders>
              <w:top w:val="single" w:color="auto" w:sz="4" w:space="0"/>
              <w:left w:val="single" w:color="auto" w:sz="4" w:space="0"/>
              <w:bottom w:val="single" w:color="auto" w:sz="4" w:space="0"/>
              <w:right w:val="single" w:color="auto" w:sz="4" w:space="0"/>
            </w:tcBorders>
            <w:vAlign w:val="center"/>
          </w:tcPr>
          <w:p w14:paraId="1FB2A49F">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批复产能（t）</w:t>
            </w:r>
          </w:p>
        </w:tc>
      </w:tr>
      <w:tr w14:paraId="37475482">
        <w:tblPrEx>
          <w:tblCellMar>
            <w:top w:w="0" w:type="dxa"/>
            <w:left w:w="108" w:type="dxa"/>
            <w:bottom w:w="0" w:type="dxa"/>
            <w:right w:w="108" w:type="dxa"/>
          </w:tblCellMar>
        </w:tblPrEx>
        <w:tc>
          <w:tcPr>
            <w:tcW w:w="1079" w:type="pct"/>
            <w:tcBorders>
              <w:top w:val="single" w:color="auto" w:sz="4" w:space="0"/>
              <w:left w:val="single" w:color="auto" w:sz="4" w:space="0"/>
              <w:bottom w:val="single" w:color="auto" w:sz="4" w:space="0"/>
              <w:right w:val="single" w:color="auto" w:sz="4" w:space="0"/>
            </w:tcBorders>
            <w:vAlign w:val="center"/>
          </w:tcPr>
          <w:p w14:paraId="072034CD">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肌醇饲料添加剂</w:t>
            </w:r>
          </w:p>
        </w:tc>
        <w:tc>
          <w:tcPr>
            <w:tcW w:w="980" w:type="pct"/>
            <w:tcBorders>
              <w:top w:val="single" w:color="auto" w:sz="4" w:space="0"/>
              <w:left w:val="single" w:color="auto" w:sz="4" w:space="0"/>
              <w:bottom w:val="single" w:color="auto" w:sz="4" w:space="0"/>
              <w:right w:val="single" w:color="auto" w:sz="4" w:space="0"/>
            </w:tcBorders>
            <w:vAlign w:val="center"/>
          </w:tcPr>
          <w:p w14:paraId="79964335">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3.5</w:t>
            </w:r>
          </w:p>
        </w:tc>
        <w:tc>
          <w:tcPr>
            <w:tcW w:w="951" w:type="pct"/>
            <w:tcBorders>
              <w:top w:val="single" w:color="auto" w:sz="4" w:space="0"/>
              <w:left w:val="single" w:color="auto" w:sz="4" w:space="0"/>
              <w:bottom w:val="single" w:color="auto" w:sz="4" w:space="0"/>
              <w:right w:val="single" w:color="auto" w:sz="4" w:space="0"/>
            </w:tcBorders>
            <w:vAlign w:val="center"/>
          </w:tcPr>
          <w:p w14:paraId="149D44F0">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286</w:t>
            </w:r>
          </w:p>
        </w:tc>
        <w:tc>
          <w:tcPr>
            <w:tcW w:w="1023" w:type="pct"/>
            <w:tcBorders>
              <w:top w:val="single" w:color="auto" w:sz="4" w:space="0"/>
              <w:left w:val="single" w:color="auto" w:sz="4" w:space="0"/>
              <w:bottom w:val="single" w:color="auto" w:sz="4" w:space="0"/>
              <w:right w:val="single" w:color="auto" w:sz="4" w:space="0"/>
            </w:tcBorders>
            <w:vAlign w:val="center"/>
          </w:tcPr>
          <w:p w14:paraId="706A6840">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1001</w:t>
            </w:r>
          </w:p>
        </w:tc>
        <w:tc>
          <w:tcPr>
            <w:tcW w:w="964" w:type="pct"/>
            <w:tcBorders>
              <w:top w:val="single" w:color="auto" w:sz="4" w:space="0"/>
              <w:left w:val="single" w:color="auto" w:sz="4" w:space="0"/>
              <w:bottom w:val="single" w:color="auto" w:sz="4" w:space="0"/>
              <w:right w:val="single" w:color="auto" w:sz="4" w:space="0"/>
            </w:tcBorders>
            <w:vAlign w:val="center"/>
          </w:tcPr>
          <w:p w14:paraId="3D2E60E0">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1000</w:t>
            </w:r>
          </w:p>
        </w:tc>
      </w:tr>
      <w:tr w14:paraId="048623C6">
        <w:tblPrEx>
          <w:tblCellMar>
            <w:top w:w="0" w:type="dxa"/>
            <w:left w:w="108" w:type="dxa"/>
            <w:bottom w:w="0" w:type="dxa"/>
            <w:right w:w="108" w:type="dxa"/>
          </w:tblCellMar>
        </w:tblPrEx>
        <w:tc>
          <w:tcPr>
            <w:tcW w:w="1079" w:type="pct"/>
            <w:tcBorders>
              <w:top w:val="single" w:color="auto" w:sz="4" w:space="0"/>
              <w:left w:val="single" w:color="auto" w:sz="4" w:space="0"/>
              <w:bottom w:val="single" w:color="auto" w:sz="4" w:space="0"/>
              <w:right w:val="single" w:color="auto" w:sz="4" w:space="0"/>
            </w:tcBorders>
            <w:vAlign w:val="center"/>
          </w:tcPr>
          <w:p w14:paraId="4681BE9E">
            <w:pPr>
              <w:jc w:val="center"/>
              <w:rPr>
                <w:rFonts w:hint="eastAsia" w:ascii="Times New Roman" w:hAnsi="Times New Roman" w:eastAsia="宋体" w:cs="Times New Roman"/>
                <w:color w:val="auto"/>
                <w:sz w:val="22"/>
                <w:szCs w:val="24"/>
                <w:lang w:eastAsia="zh-CN"/>
              </w:rPr>
            </w:pPr>
            <w:r>
              <w:rPr>
                <w:rFonts w:hint="eastAsia" w:ascii="Times New Roman" w:hAnsi="Times New Roman" w:eastAsia="宋体" w:cs="Times New Roman"/>
                <w:color w:val="auto"/>
                <w:sz w:val="22"/>
                <w:szCs w:val="24"/>
                <w:lang w:val="en-US" w:eastAsia="zh-CN"/>
              </w:rPr>
              <w:t>液糖</w:t>
            </w:r>
          </w:p>
        </w:tc>
        <w:tc>
          <w:tcPr>
            <w:tcW w:w="980" w:type="pct"/>
            <w:tcBorders>
              <w:top w:val="single" w:color="auto" w:sz="4" w:space="0"/>
              <w:left w:val="single" w:color="auto" w:sz="4" w:space="0"/>
              <w:bottom w:val="single" w:color="auto" w:sz="4" w:space="0"/>
              <w:right w:val="single" w:color="auto" w:sz="4" w:space="0"/>
            </w:tcBorders>
            <w:vAlign w:val="center"/>
          </w:tcPr>
          <w:p w14:paraId="7A7A807F">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100</w:t>
            </w:r>
          </w:p>
        </w:tc>
        <w:tc>
          <w:tcPr>
            <w:tcW w:w="951" w:type="pct"/>
            <w:tcBorders>
              <w:top w:val="single" w:color="auto" w:sz="4" w:space="0"/>
              <w:left w:val="single" w:color="auto" w:sz="4" w:space="0"/>
              <w:bottom w:val="single" w:color="auto" w:sz="4" w:space="0"/>
              <w:right w:val="single" w:color="auto" w:sz="4" w:space="0"/>
            </w:tcBorders>
            <w:vAlign w:val="center"/>
          </w:tcPr>
          <w:p w14:paraId="48A084D1">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300</w:t>
            </w:r>
          </w:p>
        </w:tc>
        <w:tc>
          <w:tcPr>
            <w:tcW w:w="1023" w:type="pct"/>
            <w:tcBorders>
              <w:top w:val="single" w:color="auto" w:sz="4" w:space="0"/>
              <w:left w:val="single" w:color="auto" w:sz="4" w:space="0"/>
              <w:bottom w:val="single" w:color="auto" w:sz="4" w:space="0"/>
              <w:right w:val="single" w:color="auto" w:sz="4" w:space="0"/>
            </w:tcBorders>
            <w:vAlign w:val="center"/>
          </w:tcPr>
          <w:p w14:paraId="5114295B">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30000</w:t>
            </w:r>
          </w:p>
        </w:tc>
        <w:tc>
          <w:tcPr>
            <w:tcW w:w="964" w:type="pct"/>
            <w:tcBorders>
              <w:top w:val="single" w:color="auto" w:sz="4" w:space="0"/>
              <w:left w:val="single" w:color="auto" w:sz="4" w:space="0"/>
              <w:bottom w:val="single" w:color="auto" w:sz="4" w:space="0"/>
              <w:right w:val="single" w:color="auto" w:sz="4" w:space="0"/>
            </w:tcBorders>
            <w:vAlign w:val="center"/>
          </w:tcPr>
          <w:p w14:paraId="0D836353">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30000</w:t>
            </w:r>
          </w:p>
        </w:tc>
      </w:tr>
    </w:tbl>
    <w:p w14:paraId="603C56A1">
      <w:pPr>
        <w:pStyle w:val="6"/>
        <w:bidi w:val="0"/>
      </w:pPr>
      <w:r>
        <w:rPr>
          <w:rFonts w:hint="eastAsia"/>
        </w:rPr>
        <w:t>表</w:t>
      </w:r>
      <w:r>
        <w:t>3.2</w:t>
      </w:r>
      <w:r>
        <w:rPr>
          <w:rFonts w:hint="eastAsia"/>
        </w:rPr>
        <w:t>.4</w:t>
      </w:r>
      <w:r>
        <w:t>-</w:t>
      </w:r>
      <w:r>
        <w:rPr>
          <w:rFonts w:hint="eastAsia"/>
          <w:lang w:val="en-US" w:eastAsia="zh-CN"/>
        </w:rPr>
        <w:t>3</w:t>
      </w:r>
      <w:r>
        <w:t xml:space="preserve">    项目建成前后产品方案对比一览表</w:t>
      </w:r>
    </w:p>
    <w:tbl>
      <w:tblPr>
        <w:tblStyle w:val="41"/>
        <w:tblW w:w="5115" w:type="pct"/>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15" w:type="dxa"/>
          <w:left w:w="15" w:type="dxa"/>
          <w:bottom w:w="15" w:type="dxa"/>
          <w:right w:w="15" w:type="dxa"/>
        </w:tblCellMar>
      </w:tblPr>
      <w:tblGrid>
        <w:gridCol w:w="1428"/>
        <w:gridCol w:w="839"/>
        <w:gridCol w:w="1768"/>
        <w:gridCol w:w="2450"/>
        <w:gridCol w:w="2043"/>
      </w:tblGrid>
      <w:tr w14:paraId="0BFAA32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15" w:type="dxa"/>
            <w:left w:w="15" w:type="dxa"/>
            <w:bottom w:w="15" w:type="dxa"/>
            <w:right w:w="15" w:type="dxa"/>
          </w:tblCellMar>
        </w:tblPrEx>
        <w:tc>
          <w:tcPr>
            <w:tcW w:w="837" w:type="pct"/>
            <w:vAlign w:val="center"/>
          </w:tcPr>
          <w:p w14:paraId="05D4454B">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产品分类</w:t>
            </w:r>
          </w:p>
        </w:tc>
        <w:tc>
          <w:tcPr>
            <w:tcW w:w="492" w:type="pct"/>
            <w:vAlign w:val="center"/>
          </w:tcPr>
          <w:p w14:paraId="3B7309D1">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序号</w:t>
            </w:r>
          </w:p>
        </w:tc>
        <w:tc>
          <w:tcPr>
            <w:tcW w:w="1036" w:type="pct"/>
            <w:vAlign w:val="center"/>
          </w:tcPr>
          <w:p w14:paraId="474C59E9">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产品名称</w:t>
            </w:r>
          </w:p>
        </w:tc>
        <w:tc>
          <w:tcPr>
            <w:tcW w:w="1436" w:type="pct"/>
            <w:vAlign w:val="center"/>
          </w:tcPr>
          <w:p w14:paraId="57222851">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建成前产量</w:t>
            </w:r>
            <w:r>
              <w:rPr>
                <w:rFonts w:ascii="Times New Roman" w:hAnsi="Times New Roman" w:eastAsia="宋体" w:cs="Times New Roman"/>
                <w:color w:val="auto"/>
                <w:sz w:val="22"/>
                <w:szCs w:val="24"/>
              </w:rPr>
              <w:t>（t/a）</w:t>
            </w:r>
          </w:p>
        </w:tc>
        <w:tc>
          <w:tcPr>
            <w:tcW w:w="1197" w:type="pct"/>
            <w:vAlign w:val="center"/>
          </w:tcPr>
          <w:p w14:paraId="5471A21C">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建成后产量</w:t>
            </w:r>
            <w:r>
              <w:rPr>
                <w:rFonts w:ascii="Times New Roman" w:hAnsi="Times New Roman" w:eastAsia="宋体" w:cs="Times New Roman"/>
                <w:color w:val="auto"/>
                <w:sz w:val="22"/>
                <w:szCs w:val="24"/>
              </w:rPr>
              <w:t>（t/a）</w:t>
            </w:r>
          </w:p>
        </w:tc>
      </w:tr>
      <w:tr w14:paraId="0F2749E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15" w:type="dxa"/>
            <w:left w:w="15" w:type="dxa"/>
            <w:bottom w:w="15" w:type="dxa"/>
            <w:right w:w="15" w:type="dxa"/>
          </w:tblCellMar>
        </w:tblPrEx>
        <w:tc>
          <w:tcPr>
            <w:tcW w:w="837" w:type="pct"/>
            <w:vMerge w:val="restart"/>
            <w:vAlign w:val="center"/>
          </w:tcPr>
          <w:p w14:paraId="295293FF">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lang w:eastAsia="en-US"/>
              </w:rPr>
              <w:t>年产10万标吨系列酶制剂</w:t>
            </w:r>
          </w:p>
        </w:tc>
        <w:tc>
          <w:tcPr>
            <w:tcW w:w="492" w:type="pct"/>
            <w:vAlign w:val="center"/>
          </w:tcPr>
          <w:p w14:paraId="60045C46">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1</w:t>
            </w:r>
          </w:p>
        </w:tc>
        <w:tc>
          <w:tcPr>
            <w:tcW w:w="1036" w:type="pct"/>
            <w:shd w:val="clear" w:color="auto" w:fill="auto"/>
            <w:vAlign w:val="center"/>
          </w:tcPr>
          <w:p w14:paraId="2254E3F1">
            <w:pPr>
              <w:jc w:val="center"/>
              <w:rPr>
                <w:rFonts w:hint="eastAsia"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lang w:val="en-US" w:eastAsia="zh-CN"/>
              </w:rPr>
              <w:t>糖化酶</w:t>
            </w:r>
          </w:p>
        </w:tc>
        <w:tc>
          <w:tcPr>
            <w:tcW w:w="1436" w:type="pct"/>
            <w:shd w:val="clear" w:color="auto" w:fill="auto"/>
            <w:vAlign w:val="center"/>
          </w:tcPr>
          <w:p w14:paraId="2DB9475B">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lang w:val="en-US" w:eastAsia="zh-CN"/>
              </w:rPr>
              <w:t>5.5万</w:t>
            </w:r>
          </w:p>
        </w:tc>
        <w:tc>
          <w:tcPr>
            <w:tcW w:w="1197" w:type="pct"/>
            <w:vAlign w:val="center"/>
          </w:tcPr>
          <w:p w14:paraId="37F32761">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1万</w:t>
            </w:r>
          </w:p>
        </w:tc>
      </w:tr>
      <w:tr w14:paraId="6B47814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15" w:type="dxa"/>
            <w:left w:w="15" w:type="dxa"/>
            <w:bottom w:w="15" w:type="dxa"/>
            <w:right w:w="15" w:type="dxa"/>
          </w:tblCellMar>
        </w:tblPrEx>
        <w:tc>
          <w:tcPr>
            <w:tcW w:w="837" w:type="pct"/>
            <w:vMerge w:val="continue"/>
            <w:vAlign w:val="center"/>
          </w:tcPr>
          <w:p w14:paraId="714B5B17">
            <w:pPr>
              <w:jc w:val="center"/>
              <w:rPr>
                <w:rFonts w:ascii="Times New Roman" w:hAnsi="Times New Roman" w:eastAsia="宋体" w:cs="Times New Roman"/>
                <w:color w:val="auto"/>
                <w:sz w:val="22"/>
                <w:szCs w:val="24"/>
              </w:rPr>
            </w:pPr>
          </w:p>
        </w:tc>
        <w:tc>
          <w:tcPr>
            <w:tcW w:w="492" w:type="pct"/>
            <w:vAlign w:val="center"/>
          </w:tcPr>
          <w:p w14:paraId="72F26D53">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2</w:t>
            </w:r>
          </w:p>
        </w:tc>
        <w:tc>
          <w:tcPr>
            <w:tcW w:w="1036" w:type="pct"/>
            <w:shd w:val="clear" w:color="auto" w:fill="auto"/>
            <w:vAlign w:val="center"/>
          </w:tcPr>
          <w:p w14:paraId="5958FF9D">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lang w:val="en-US" w:eastAsia="zh-CN"/>
              </w:rPr>
              <w:t>中温淀粉酶</w:t>
            </w:r>
          </w:p>
        </w:tc>
        <w:tc>
          <w:tcPr>
            <w:tcW w:w="1436" w:type="pct"/>
            <w:shd w:val="clear" w:color="auto" w:fill="auto"/>
            <w:vAlign w:val="center"/>
          </w:tcPr>
          <w:p w14:paraId="46530A9E">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lang w:val="en-US" w:eastAsia="zh-CN"/>
              </w:rPr>
              <w:t>2万</w:t>
            </w:r>
          </w:p>
        </w:tc>
        <w:tc>
          <w:tcPr>
            <w:tcW w:w="1197" w:type="pct"/>
            <w:vAlign w:val="center"/>
          </w:tcPr>
          <w:p w14:paraId="7ACB2E67">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w:t>
            </w:r>
          </w:p>
        </w:tc>
      </w:tr>
      <w:tr w14:paraId="1246FF0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15" w:type="dxa"/>
            <w:left w:w="15" w:type="dxa"/>
            <w:bottom w:w="15" w:type="dxa"/>
            <w:right w:w="15" w:type="dxa"/>
          </w:tblCellMar>
        </w:tblPrEx>
        <w:tc>
          <w:tcPr>
            <w:tcW w:w="837" w:type="pct"/>
            <w:vMerge w:val="continue"/>
            <w:vAlign w:val="center"/>
          </w:tcPr>
          <w:p w14:paraId="31382FA8">
            <w:pPr>
              <w:jc w:val="center"/>
              <w:rPr>
                <w:rFonts w:ascii="Times New Roman" w:hAnsi="Times New Roman" w:eastAsia="宋体" w:cs="Times New Roman"/>
                <w:color w:val="auto"/>
                <w:sz w:val="22"/>
                <w:szCs w:val="24"/>
              </w:rPr>
            </w:pPr>
          </w:p>
        </w:tc>
        <w:tc>
          <w:tcPr>
            <w:tcW w:w="492" w:type="pct"/>
            <w:vAlign w:val="center"/>
          </w:tcPr>
          <w:p w14:paraId="5388FB00">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3</w:t>
            </w:r>
          </w:p>
        </w:tc>
        <w:tc>
          <w:tcPr>
            <w:tcW w:w="1036" w:type="pct"/>
            <w:shd w:val="clear" w:color="auto" w:fill="auto"/>
            <w:vAlign w:val="center"/>
          </w:tcPr>
          <w:p w14:paraId="491206F7">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lang w:val="en-US" w:eastAsia="zh-CN"/>
              </w:rPr>
              <w:t>耐高温淀粉酶</w:t>
            </w:r>
          </w:p>
        </w:tc>
        <w:tc>
          <w:tcPr>
            <w:tcW w:w="1436" w:type="pct"/>
            <w:shd w:val="clear" w:color="auto" w:fill="auto"/>
            <w:vAlign w:val="center"/>
          </w:tcPr>
          <w:p w14:paraId="53A21502">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lang w:val="en-US" w:eastAsia="zh-CN"/>
              </w:rPr>
              <w:t>2万</w:t>
            </w:r>
          </w:p>
        </w:tc>
        <w:tc>
          <w:tcPr>
            <w:tcW w:w="1197" w:type="pct"/>
            <w:vAlign w:val="center"/>
          </w:tcPr>
          <w:p w14:paraId="0C0CE16B">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w:t>
            </w:r>
          </w:p>
        </w:tc>
      </w:tr>
      <w:tr w14:paraId="5F98426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15" w:type="dxa"/>
            <w:left w:w="15" w:type="dxa"/>
            <w:bottom w:w="15" w:type="dxa"/>
            <w:right w:w="15" w:type="dxa"/>
          </w:tblCellMar>
        </w:tblPrEx>
        <w:tc>
          <w:tcPr>
            <w:tcW w:w="837" w:type="pct"/>
            <w:vMerge w:val="continue"/>
            <w:vAlign w:val="center"/>
          </w:tcPr>
          <w:p w14:paraId="48B17F63">
            <w:pPr>
              <w:jc w:val="center"/>
              <w:rPr>
                <w:rFonts w:ascii="Times New Roman" w:hAnsi="Times New Roman" w:eastAsia="宋体" w:cs="Times New Roman"/>
                <w:color w:val="auto"/>
                <w:sz w:val="22"/>
                <w:szCs w:val="24"/>
              </w:rPr>
            </w:pPr>
          </w:p>
        </w:tc>
        <w:tc>
          <w:tcPr>
            <w:tcW w:w="492" w:type="pct"/>
            <w:vAlign w:val="center"/>
          </w:tcPr>
          <w:p w14:paraId="5C70D161">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4</w:t>
            </w:r>
          </w:p>
        </w:tc>
        <w:tc>
          <w:tcPr>
            <w:tcW w:w="1036" w:type="pct"/>
            <w:shd w:val="clear" w:color="auto" w:fill="auto"/>
            <w:vAlign w:val="center"/>
          </w:tcPr>
          <w:p w14:paraId="6F1D5CF6">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lang w:val="en-US" w:eastAsia="zh-CN"/>
              </w:rPr>
              <w:t>β-淀粉酶</w:t>
            </w:r>
          </w:p>
        </w:tc>
        <w:tc>
          <w:tcPr>
            <w:tcW w:w="1436" w:type="pct"/>
            <w:shd w:val="clear" w:color="auto" w:fill="auto"/>
            <w:vAlign w:val="center"/>
          </w:tcPr>
          <w:p w14:paraId="54844AB1">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lang w:val="en-US" w:eastAsia="zh-CN"/>
              </w:rPr>
              <w:t>0.5万</w:t>
            </w:r>
          </w:p>
        </w:tc>
        <w:tc>
          <w:tcPr>
            <w:tcW w:w="1197" w:type="pct"/>
            <w:vAlign w:val="center"/>
          </w:tcPr>
          <w:p w14:paraId="723255EB">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w:t>
            </w:r>
          </w:p>
        </w:tc>
      </w:tr>
      <w:tr w14:paraId="59315F4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15" w:type="dxa"/>
            <w:left w:w="15" w:type="dxa"/>
            <w:bottom w:w="15" w:type="dxa"/>
            <w:right w:w="15" w:type="dxa"/>
          </w:tblCellMar>
        </w:tblPrEx>
        <w:tc>
          <w:tcPr>
            <w:tcW w:w="837" w:type="pct"/>
            <w:vAlign w:val="center"/>
          </w:tcPr>
          <w:p w14:paraId="6F391B93">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20吨内酯环（A环降解物）</w:t>
            </w:r>
          </w:p>
        </w:tc>
        <w:tc>
          <w:tcPr>
            <w:tcW w:w="492" w:type="pct"/>
            <w:vAlign w:val="center"/>
          </w:tcPr>
          <w:p w14:paraId="7CE3B748">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1</w:t>
            </w:r>
          </w:p>
        </w:tc>
        <w:tc>
          <w:tcPr>
            <w:tcW w:w="1036" w:type="pct"/>
            <w:vAlign w:val="center"/>
          </w:tcPr>
          <w:p w14:paraId="46FB401D">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lang w:eastAsia="en-US"/>
              </w:rPr>
              <w:t>20吨内酯环（A环降解物）</w:t>
            </w:r>
          </w:p>
        </w:tc>
        <w:tc>
          <w:tcPr>
            <w:tcW w:w="1436" w:type="pct"/>
            <w:vAlign w:val="center"/>
          </w:tcPr>
          <w:p w14:paraId="2FD77539">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20</w:t>
            </w:r>
          </w:p>
        </w:tc>
        <w:tc>
          <w:tcPr>
            <w:tcW w:w="1197" w:type="pct"/>
            <w:vAlign w:val="center"/>
          </w:tcPr>
          <w:p w14:paraId="77B8D9A1">
            <w:pPr>
              <w:jc w:val="center"/>
              <w:rPr>
                <w:rFonts w:hint="eastAsia"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0</w:t>
            </w:r>
          </w:p>
        </w:tc>
      </w:tr>
      <w:tr w14:paraId="0005B7D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15" w:type="dxa"/>
            <w:left w:w="15" w:type="dxa"/>
            <w:bottom w:w="15" w:type="dxa"/>
            <w:right w:w="15" w:type="dxa"/>
          </w:tblCellMar>
        </w:tblPrEx>
        <w:tc>
          <w:tcPr>
            <w:tcW w:w="837" w:type="pct"/>
            <w:vAlign w:val="center"/>
          </w:tcPr>
          <w:p w14:paraId="117C3B3B">
            <w:pPr>
              <w:jc w:val="center"/>
              <w:rPr>
                <w:rFonts w:hint="eastAsia"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17a-羟基黄体酮中间体</w:t>
            </w:r>
          </w:p>
        </w:tc>
        <w:tc>
          <w:tcPr>
            <w:tcW w:w="492" w:type="pct"/>
            <w:vAlign w:val="center"/>
          </w:tcPr>
          <w:p w14:paraId="711202F7">
            <w:pPr>
              <w:jc w:val="center"/>
              <w:rPr>
                <w:rFonts w:hint="eastAsia"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1</w:t>
            </w:r>
          </w:p>
        </w:tc>
        <w:tc>
          <w:tcPr>
            <w:tcW w:w="1036" w:type="pct"/>
            <w:vAlign w:val="center"/>
          </w:tcPr>
          <w:p w14:paraId="7922BCC7">
            <w:pPr>
              <w:jc w:val="center"/>
              <w:rPr>
                <w:rFonts w:hint="eastAsia" w:ascii="Times New Roman" w:hAnsi="Times New Roman" w:eastAsia="宋体" w:cs="Times New Roman"/>
                <w:color w:val="auto"/>
                <w:sz w:val="22"/>
                <w:szCs w:val="24"/>
                <w:lang w:eastAsia="en-US"/>
              </w:rPr>
            </w:pPr>
            <w:r>
              <w:rPr>
                <w:rFonts w:hint="eastAsia" w:ascii="Times New Roman" w:hAnsi="Times New Roman" w:eastAsia="宋体" w:cs="Times New Roman"/>
                <w:color w:val="auto"/>
                <w:sz w:val="22"/>
                <w:szCs w:val="24"/>
              </w:rPr>
              <w:t>17a-羟基黄体酮中间体</w:t>
            </w:r>
          </w:p>
        </w:tc>
        <w:tc>
          <w:tcPr>
            <w:tcW w:w="1436" w:type="pct"/>
            <w:vAlign w:val="center"/>
          </w:tcPr>
          <w:p w14:paraId="28468B09">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50</w:t>
            </w:r>
          </w:p>
        </w:tc>
        <w:tc>
          <w:tcPr>
            <w:tcW w:w="1197" w:type="pct"/>
            <w:vAlign w:val="center"/>
          </w:tcPr>
          <w:p w14:paraId="0E196116">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0</w:t>
            </w:r>
          </w:p>
        </w:tc>
      </w:tr>
      <w:tr w14:paraId="2CFEE45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15" w:type="dxa"/>
            <w:left w:w="15" w:type="dxa"/>
            <w:bottom w:w="15" w:type="dxa"/>
            <w:right w:w="15" w:type="dxa"/>
          </w:tblCellMar>
        </w:tblPrEx>
        <w:tc>
          <w:tcPr>
            <w:tcW w:w="837" w:type="pct"/>
            <w:vAlign w:val="center"/>
          </w:tcPr>
          <w:p w14:paraId="24CC79BB">
            <w:pPr>
              <w:jc w:val="center"/>
              <w:rPr>
                <w:rFonts w:hint="eastAsia"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腺苷中间体发酵产品</w:t>
            </w:r>
          </w:p>
        </w:tc>
        <w:tc>
          <w:tcPr>
            <w:tcW w:w="492" w:type="pct"/>
            <w:vAlign w:val="center"/>
          </w:tcPr>
          <w:p w14:paraId="3736B802">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1</w:t>
            </w:r>
          </w:p>
        </w:tc>
        <w:tc>
          <w:tcPr>
            <w:tcW w:w="1036" w:type="pct"/>
            <w:vAlign w:val="center"/>
          </w:tcPr>
          <w:p w14:paraId="1F6B6276">
            <w:pPr>
              <w:jc w:val="center"/>
              <w:rPr>
                <w:rFonts w:hint="eastAsia"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腺苷中间体</w:t>
            </w:r>
          </w:p>
        </w:tc>
        <w:tc>
          <w:tcPr>
            <w:tcW w:w="1436" w:type="pct"/>
            <w:vAlign w:val="center"/>
          </w:tcPr>
          <w:p w14:paraId="0F803886">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300</w:t>
            </w:r>
          </w:p>
        </w:tc>
        <w:tc>
          <w:tcPr>
            <w:tcW w:w="1197" w:type="pct"/>
            <w:vAlign w:val="center"/>
          </w:tcPr>
          <w:p w14:paraId="093F7B6F">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0</w:t>
            </w:r>
          </w:p>
        </w:tc>
      </w:tr>
      <w:tr w14:paraId="4D83D00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15" w:type="dxa"/>
            <w:left w:w="15" w:type="dxa"/>
            <w:bottom w:w="15" w:type="dxa"/>
            <w:right w:w="15" w:type="dxa"/>
          </w:tblCellMar>
        </w:tblPrEx>
        <w:tc>
          <w:tcPr>
            <w:tcW w:w="837" w:type="pct"/>
            <w:vMerge w:val="restart"/>
            <w:vAlign w:val="center"/>
          </w:tcPr>
          <w:p w14:paraId="0662708C">
            <w:pPr>
              <w:jc w:val="center"/>
              <w:rPr>
                <w:rFonts w:hint="eastAsia"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年产2000吨泛酸钙饲料添加剂及2000吨丙氨酸食品添加剂生产线</w:t>
            </w:r>
          </w:p>
        </w:tc>
        <w:tc>
          <w:tcPr>
            <w:tcW w:w="492" w:type="pct"/>
            <w:vAlign w:val="center"/>
          </w:tcPr>
          <w:p w14:paraId="5D20F59E">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1</w:t>
            </w:r>
          </w:p>
        </w:tc>
        <w:tc>
          <w:tcPr>
            <w:tcW w:w="1036" w:type="pct"/>
            <w:shd w:val="clear" w:color="auto" w:fill="auto"/>
            <w:vAlign w:val="center"/>
          </w:tcPr>
          <w:p w14:paraId="680F72A0">
            <w:pPr>
              <w:jc w:val="center"/>
              <w:rPr>
                <w:rFonts w:hint="eastAsia"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rPr>
              <w:t>泛酸钙饲料添加剂</w:t>
            </w:r>
          </w:p>
        </w:tc>
        <w:tc>
          <w:tcPr>
            <w:tcW w:w="1436" w:type="pct"/>
            <w:shd w:val="clear" w:color="auto" w:fill="auto"/>
            <w:vAlign w:val="center"/>
          </w:tcPr>
          <w:p w14:paraId="123F9CFD">
            <w:pPr>
              <w:jc w:val="center"/>
              <w:rPr>
                <w:rFonts w:hint="eastAsia"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lang w:val="en-US" w:eastAsia="zh-CN"/>
              </w:rPr>
              <w:t>2000</w:t>
            </w:r>
          </w:p>
        </w:tc>
        <w:tc>
          <w:tcPr>
            <w:tcW w:w="1197" w:type="pct"/>
            <w:vAlign w:val="center"/>
          </w:tcPr>
          <w:p w14:paraId="7D7CBA53">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2000</w:t>
            </w:r>
          </w:p>
        </w:tc>
      </w:tr>
      <w:tr w14:paraId="1832750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15" w:type="dxa"/>
            <w:left w:w="15" w:type="dxa"/>
            <w:bottom w:w="15" w:type="dxa"/>
            <w:right w:w="15" w:type="dxa"/>
          </w:tblCellMar>
        </w:tblPrEx>
        <w:tc>
          <w:tcPr>
            <w:tcW w:w="837" w:type="pct"/>
            <w:vMerge w:val="continue"/>
            <w:vAlign w:val="center"/>
          </w:tcPr>
          <w:p w14:paraId="06FB47C3">
            <w:pPr>
              <w:jc w:val="center"/>
              <w:rPr>
                <w:rFonts w:hint="eastAsia" w:ascii="Times New Roman" w:hAnsi="Times New Roman" w:eastAsia="宋体" w:cs="Times New Roman"/>
                <w:color w:val="auto"/>
                <w:sz w:val="22"/>
                <w:szCs w:val="24"/>
              </w:rPr>
            </w:pPr>
          </w:p>
        </w:tc>
        <w:tc>
          <w:tcPr>
            <w:tcW w:w="492" w:type="pct"/>
            <w:vAlign w:val="center"/>
          </w:tcPr>
          <w:p w14:paraId="2491105B">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2</w:t>
            </w:r>
          </w:p>
        </w:tc>
        <w:tc>
          <w:tcPr>
            <w:tcW w:w="1036" w:type="pct"/>
            <w:shd w:val="clear" w:color="auto" w:fill="auto"/>
            <w:vAlign w:val="center"/>
          </w:tcPr>
          <w:p w14:paraId="1325CAB9">
            <w:pPr>
              <w:jc w:val="center"/>
              <w:rPr>
                <w:rFonts w:hint="eastAsia"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rPr>
              <w:t>丙氨酸食品添加剂</w:t>
            </w:r>
          </w:p>
        </w:tc>
        <w:tc>
          <w:tcPr>
            <w:tcW w:w="1436" w:type="pct"/>
            <w:shd w:val="clear" w:color="auto" w:fill="auto"/>
            <w:vAlign w:val="center"/>
          </w:tcPr>
          <w:p w14:paraId="30F10228">
            <w:pPr>
              <w:jc w:val="center"/>
              <w:rPr>
                <w:rFonts w:hint="eastAsia"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lang w:val="en-US" w:eastAsia="zh-CN"/>
              </w:rPr>
              <w:t>2000</w:t>
            </w:r>
          </w:p>
        </w:tc>
        <w:tc>
          <w:tcPr>
            <w:tcW w:w="1197" w:type="pct"/>
            <w:vAlign w:val="center"/>
          </w:tcPr>
          <w:p w14:paraId="277FC903">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0</w:t>
            </w:r>
          </w:p>
        </w:tc>
      </w:tr>
      <w:tr w14:paraId="4FF3E28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15" w:type="dxa"/>
            <w:left w:w="15" w:type="dxa"/>
            <w:bottom w:w="15" w:type="dxa"/>
            <w:right w:w="15" w:type="dxa"/>
          </w:tblCellMar>
        </w:tblPrEx>
        <w:tc>
          <w:tcPr>
            <w:tcW w:w="837" w:type="pct"/>
            <w:shd w:val="clear" w:color="auto" w:fill="auto"/>
            <w:vAlign w:val="center"/>
          </w:tcPr>
          <w:p w14:paraId="5CB534EC">
            <w:pPr>
              <w:jc w:val="center"/>
              <w:rPr>
                <w:rFonts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rPr>
              <w:t>胞嘧啶中间体生产线</w:t>
            </w:r>
          </w:p>
        </w:tc>
        <w:tc>
          <w:tcPr>
            <w:tcW w:w="492" w:type="pct"/>
            <w:shd w:val="clear" w:color="auto" w:fill="auto"/>
            <w:vAlign w:val="center"/>
          </w:tcPr>
          <w:p w14:paraId="18CB6433">
            <w:pPr>
              <w:jc w:val="center"/>
              <w:rPr>
                <w:rFonts w:ascii="Times New Roman" w:hAnsi="Times New Roman" w:eastAsia="宋体" w:cs="Times New Roman"/>
                <w:color w:val="auto"/>
                <w:kern w:val="2"/>
                <w:sz w:val="22"/>
                <w:szCs w:val="24"/>
                <w:lang w:val="en-US" w:eastAsia="en-US" w:bidi="ar-SA"/>
              </w:rPr>
            </w:pPr>
            <w:r>
              <w:rPr>
                <w:rFonts w:ascii="Times New Roman" w:hAnsi="Times New Roman" w:eastAsia="宋体" w:cs="Times New Roman"/>
                <w:color w:val="auto"/>
                <w:sz w:val="22"/>
                <w:szCs w:val="24"/>
                <w:lang w:eastAsia="en-US"/>
              </w:rPr>
              <w:t>1</w:t>
            </w:r>
          </w:p>
        </w:tc>
        <w:tc>
          <w:tcPr>
            <w:tcW w:w="1036" w:type="pct"/>
            <w:vAlign w:val="center"/>
          </w:tcPr>
          <w:p w14:paraId="5F43C175">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胞嘧啶中间体</w:t>
            </w:r>
          </w:p>
        </w:tc>
        <w:tc>
          <w:tcPr>
            <w:tcW w:w="1436" w:type="pct"/>
            <w:vAlign w:val="center"/>
          </w:tcPr>
          <w:p w14:paraId="66AB66C7">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1500</w:t>
            </w:r>
          </w:p>
        </w:tc>
        <w:tc>
          <w:tcPr>
            <w:tcW w:w="1197" w:type="pct"/>
            <w:vAlign w:val="center"/>
          </w:tcPr>
          <w:p w14:paraId="655DB7F6">
            <w:pPr>
              <w:jc w:val="center"/>
              <w:rPr>
                <w:rFonts w:hint="eastAsia"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0</w:t>
            </w:r>
          </w:p>
        </w:tc>
      </w:tr>
      <w:tr w14:paraId="7DB30A7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15" w:type="dxa"/>
            <w:left w:w="15" w:type="dxa"/>
            <w:bottom w:w="15" w:type="dxa"/>
            <w:right w:w="15" w:type="dxa"/>
          </w:tblCellMar>
        </w:tblPrEx>
        <w:tc>
          <w:tcPr>
            <w:tcW w:w="837" w:type="pct"/>
            <w:vMerge w:val="restart"/>
            <w:vAlign w:val="center"/>
          </w:tcPr>
          <w:p w14:paraId="64946CAE">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本次项目</w:t>
            </w:r>
          </w:p>
        </w:tc>
        <w:tc>
          <w:tcPr>
            <w:tcW w:w="492" w:type="pct"/>
            <w:vAlign w:val="center"/>
          </w:tcPr>
          <w:p w14:paraId="2D1A3185">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1</w:t>
            </w:r>
          </w:p>
        </w:tc>
        <w:tc>
          <w:tcPr>
            <w:tcW w:w="1036" w:type="pct"/>
            <w:vAlign w:val="center"/>
          </w:tcPr>
          <w:p w14:paraId="60EA7AC7">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肌醇饲料添加剂</w:t>
            </w:r>
          </w:p>
        </w:tc>
        <w:tc>
          <w:tcPr>
            <w:tcW w:w="1436" w:type="pct"/>
            <w:vAlign w:val="center"/>
          </w:tcPr>
          <w:p w14:paraId="1E751EBA">
            <w:pPr>
              <w:jc w:val="center"/>
              <w:rPr>
                <w:rFonts w:hint="eastAsia"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0</w:t>
            </w:r>
          </w:p>
        </w:tc>
        <w:tc>
          <w:tcPr>
            <w:tcW w:w="1197" w:type="pct"/>
            <w:vAlign w:val="center"/>
          </w:tcPr>
          <w:p w14:paraId="0E2897C5">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1000</w:t>
            </w:r>
          </w:p>
        </w:tc>
      </w:tr>
      <w:tr w14:paraId="355CFA2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15" w:type="dxa"/>
            <w:left w:w="15" w:type="dxa"/>
            <w:bottom w:w="15" w:type="dxa"/>
            <w:right w:w="15" w:type="dxa"/>
          </w:tblCellMar>
        </w:tblPrEx>
        <w:tc>
          <w:tcPr>
            <w:tcW w:w="837" w:type="pct"/>
            <w:vMerge w:val="continue"/>
            <w:vAlign w:val="center"/>
          </w:tcPr>
          <w:p w14:paraId="58A56BF8">
            <w:pPr>
              <w:jc w:val="center"/>
              <w:rPr>
                <w:rFonts w:ascii="Times New Roman" w:hAnsi="Times New Roman" w:eastAsia="宋体" w:cs="Times New Roman"/>
                <w:color w:val="auto"/>
                <w:sz w:val="22"/>
                <w:szCs w:val="24"/>
              </w:rPr>
            </w:pPr>
          </w:p>
        </w:tc>
        <w:tc>
          <w:tcPr>
            <w:tcW w:w="492" w:type="pct"/>
            <w:vAlign w:val="center"/>
          </w:tcPr>
          <w:p w14:paraId="5D2BE2EE">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2</w:t>
            </w:r>
          </w:p>
        </w:tc>
        <w:tc>
          <w:tcPr>
            <w:tcW w:w="1036" w:type="pct"/>
            <w:vAlign w:val="center"/>
          </w:tcPr>
          <w:p w14:paraId="77ADBC7E">
            <w:pPr>
              <w:jc w:val="center"/>
              <w:rPr>
                <w:rFonts w:hint="eastAsia"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液糖</w:t>
            </w:r>
          </w:p>
        </w:tc>
        <w:tc>
          <w:tcPr>
            <w:tcW w:w="1436" w:type="pct"/>
            <w:vAlign w:val="center"/>
          </w:tcPr>
          <w:p w14:paraId="5F252D86">
            <w:pPr>
              <w:jc w:val="center"/>
              <w:rPr>
                <w:rFonts w:hint="eastAsia"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0</w:t>
            </w:r>
          </w:p>
        </w:tc>
        <w:tc>
          <w:tcPr>
            <w:tcW w:w="1197" w:type="pct"/>
            <w:vAlign w:val="center"/>
          </w:tcPr>
          <w:p w14:paraId="30506258">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30000</w:t>
            </w:r>
          </w:p>
        </w:tc>
      </w:tr>
    </w:tbl>
    <w:p w14:paraId="2F79CF8B">
      <w:pPr>
        <w:spacing w:line="360" w:lineRule="auto"/>
        <w:ind w:firstLine="480" w:firstLineChars="200"/>
        <w:rPr>
          <w:rFonts w:ascii="Times New Roman" w:hAnsi="Times New Roman" w:eastAsia="宋体" w:cs="Times New Roman"/>
          <w:color w:val="auto"/>
          <w:sz w:val="24"/>
          <w:szCs w:val="24"/>
          <w:u w:val="none"/>
        </w:rPr>
      </w:pPr>
      <w:r>
        <w:rPr>
          <w:rFonts w:hint="eastAsia" w:ascii="Times New Roman" w:hAnsi="Times New Roman" w:eastAsia="宋体" w:cs="Times New Roman"/>
          <w:color w:val="auto"/>
          <w:sz w:val="24"/>
          <w:szCs w:val="24"/>
          <w:u w:val="none"/>
        </w:rPr>
        <w:t>各产品出厂指标、所属类别以及用途如下表所示：</w:t>
      </w:r>
    </w:p>
    <w:p w14:paraId="6F1BDC50">
      <w:pPr>
        <w:pStyle w:val="6"/>
        <w:bidi w:val="0"/>
      </w:pPr>
      <w:r>
        <w:rPr>
          <w:rFonts w:hint="eastAsia"/>
        </w:rPr>
        <w:t>表</w:t>
      </w:r>
      <w:r>
        <w:t>3.2</w:t>
      </w:r>
      <w:r>
        <w:rPr>
          <w:rFonts w:hint="eastAsia"/>
        </w:rPr>
        <w:t>.4</w:t>
      </w:r>
      <w:r>
        <w:t>-</w:t>
      </w:r>
      <w:r>
        <w:rPr>
          <w:rFonts w:hint="eastAsia"/>
          <w:lang w:val="en-US" w:eastAsia="zh-CN"/>
        </w:rPr>
        <w:t>4</w:t>
      </w:r>
      <w:r>
        <w:t xml:space="preserve">    </w:t>
      </w:r>
      <w:r>
        <w:rPr>
          <w:rFonts w:hint="eastAsia"/>
        </w:rPr>
        <w:t>出厂产品指标</w:t>
      </w:r>
      <w:r>
        <w:t>一览表</w:t>
      </w:r>
    </w:p>
    <w:tbl>
      <w:tblPr>
        <w:tblStyle w:val="4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6"/>
        <w:gridCol w:w="1839"/>
        <w:gridCol w:w="6024"/>
      </w:tblGrid>
      <w:tr w14:paraId="25AEE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85" w:type="pct"/>
            <w:noWrap/>
            <w:vAlign w:val="center"/>
          </w:tcPr>
          <w:p w14:paraId="1ADFDA95">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序号</w:t>
            </w:r>
          </w:p>
        </w:tc>
        <w:tc>
          <w:tcPr>
            <w:tcW w:w="1079" w:type="pct"/>
            <w:noWrap/>
            <w:vAlign w:val="center"/>
          </w:tcPr>
          <w:p w14:paraId="18D140CD">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产品名称</w:t>
            </w:r>
          </w:p>
        </w:tc>
        <w:tc>
          <w:tcPr>
            <w:tcW w:w="3535" w:type="pct"/>
            <w:vAlign w:val="center"/>
          </w:tcPr>
          <w:p w14:paraId="2EAFB491">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质量标准</w:t>
            </w:r>
          </w:p>
        </w:tc>
      </w:tr>
      <w:tr w14:paraId="305EA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385" w:type="pct"/>
            <w:vMerge w:val="restart"/>
            <w:vAlign w:val="center"/>
          </w:tcPr>
          <w:p w14:paraId="42A38718">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1</w:t>
            </w:r>
          </w:p>
        </w:tc>
        <w:tc>
          <w:tcPr>
            <w:tcW w:w="1079" w:type="pct"/>
            <w:vMerge w:val="restart"/>
            <w:vAlign w:val="center"/>
          </w:tcPr>
          <w:p w14:paraId="168276AB">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肌醇饲料添加剂</w:t>
            </w:r>
          </w:p>
        </w:tc>
        <w:tc>
          <w:tcPr>
            <w:tcW w:w="3535" w:type="pct"/>
            <w:vAlign w:val="center"/>
          </w:tcPr>
          <w:p w14:paraId="260F3485">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本品为白色结晶性粉末</w:t>
            </w:r>
          </w:p>
        </w:tc>
      </w:tr>
      <w:tr w14:paraId="586B6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385" w:type="pct"/>
            <w:vMerge w:val="continue"/>
            <w:vAlign w:val="center"/>
          </w:tcPr>
          <w:p w14:paraId="3A4194BD">
            <w:pPr>
              <w:jc w:val="center"/>
              <w:rPr>
                <w:rFonts w:ascii="Times New Roman" w:hAnsi="Times New Roman" w:eastAsia="宋体" w:cs="Times New Roman"/>
                <w:color w:val="auto"/>
                <w:sz w:val="22"/>
                <w:szCs w:val="24"/>
              </w:rPr>
            </w:pPr>
          </w:p>
        </w:tc>
        <w:tc>
          <w:tcPr>
            <w:tcW w:w="1079" w:type="pct"/>
            <w:vMerge w:val="continue"/>
            <w:vAlign w:val="center"/>
          </w:tcPr>
          <w:p w14:paraId="00F3F380">
            <w:pPr>
              <w:jc w:val="center"/>
              <w:rPr>
                <w:rFonts w:ascii="Times New Roman" w:hAnsi="Times New Roman" w:eastAsia="宋体" w:cs="Times New Roman"/>
                <w:color w:val="auto"/>
                <w:sz w:val="22"/>
                <w:szCs w:val="24"/>
              </w:rPr>
            </w:pPr>
          </w:p>
        </w:tc>
        <w:tc>
          <w:tcPr>
            <w:tcW w:w="3535" w:type="pct"/>
            <w:vAlign w:val="center"/>
          </w:tcPr>
          <w:p w14:paraId="29D12B00">
            <w:pPr>
              <w:jc w:val="center"/>
              <w:rPr>
                <w:rFonts w:hint="eastAsia"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eastAsia="zh-CN"/>
              </w:rPr>
              <w:t>《</w:t>
            </w:r>
            <w:r>
              <w:rPr>
                <w:rFonts w:hint="eastAsia" w:ascii="Times New Roman" w:hAnsi="Times New Roman" w:eastAsia="宋体" w:cs="Times New Roman"/>
                <w:color w:val="auto"/>
                <w:sz w:val="22"/>
                <w:szCs w:val="24"/>
              </w:rPr>
              <w:t>饲料添加剂 肌醇</w:t>
            </w:r>
            <w:r>
              <w:rPr>
                <w:rFonts w:hint="eastAsia" w:ascii="Times New Roman" w:hAnsi="Times New Roman" w:eastAsia="宋体" w:cs="Times New Roman"/>
                <w:color w:val="auto"/>
                <w:sz w:val="22"/>
                <w:szCs w:val="24"/>
                <w:lang w:val="en-US" w:eastAsia="zh-CN"/>
              </w:rPr>
              <w:t xml:space="preserve"> </w:t>
            </w:r>
            <w:r>
              <w:rPr>
                <w:rFonts w:hint="eastAsia" w:ascii="Times New Roman" w:hAnsi="Times New Roman" w:eastAsia="宋体" w:cs="Times New Roman"/>
                <w:color w:val="auto"/>
                <w:sz w:val="22"/>
                <w:szCs w:val="24"/>
              </w:rPr>
              <w:t xml:space="preserve">GB/T 23879-2009 </w:t>
            </w:r>
            <w:r>
              <w:rPr>
                <w:rFonts w:hint="eastAsia" w:ascii="Times New Roman" w:hAnsi="Times New Roman" w:eastAsia="宋体" w:cs="Times New Roman"/>
                <w:color w:val="auto"/>
                <w:sz w:val="22"/>
                <w:szCs w:val="24"/>
                <w:lang w:eastAsia="zh-CN"/>
              </w:rPr>
              <w:t>》</w:t>
            </w:r>
          </w:p>
        </w:tc>
      </w:tr>
      <w:tr w14:paraId="3E5C2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85" w:type="pct"/>
            <w:vMerge w:val="continue"/>
            <w:vAlign w:val="center"/>
          </w:tcPr>
          <w:p w14:paraId="676867DE">
            <w:pPr>
              <w:jc w:val="center"/>
              <w:rPr>
                <w:rFonts w:ascii="Times New Roman" w:hAnsi="Times New Roman" w:eastAsia="宋体" w:cs="Times New Roman"/>
                <w:color w:val="auto"/>
                <w:sz w:val="22"/>
                <w:szCs w:val="24"/>
              </w:rPr>
            </w:pPr>
          </w:p>
        </w:tc>
        <w:tc>
          <w:tcPr>
            <w:tcW w:w="1079" w:type="pct"/>
            <w:vMerge w:val="continue"/>
            <w:vAlign w:val="center"/>
          </w:tcPr>
          <w:p w14:paraId="2B659F4B">
            <w:pPr>
              <w:jc w:val="center"/>
              <w:rPr>
                <w:rFonts w:ascii="Times New Roman" w:hAnsi="Times New Roman" w:eastAsia="宋体" w:cs="Times New Roman"/>
                <w:color w:val="auto"/>
                <w:sz w:val="22"/>
                <w:szCs w:val="24"/>
              </w:rPr>
            </w:pPr>
          </w:p>
        </w:tc>
        <w:tc>
          <w:tcPr>
            <w:tcW w:w="3535" w:type="pct"/>
            <w:vAlign w:val="center"/>
          </w:tcPr>
          <w:p w14:paraId="749CCC72">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lang w:val="en-US" w:eastAsia="zh-CN"/>
              </w:rPr>
              <w:t>肌醇</w:t>
            </w:r>
            <w:r>
              <w:rPr>
                <w:rFonts w:hint="eastAsia" w:ascii="Times New Roman" w:hAnsi="Times New Roman" w:eastAsia="宋体" w:cs="Times New Roman"/>
                <w:color w:val="auto"/>
                <w:sz w:val="22"/>
                <w:szCs w:val="24"/>
              </w:rPr>
              <w:t>分子式为C</w:t>
            </w:r>
            <w:r>
              <w:rPr>
                <w:rFonts w:hint="eastAsia" w:ascii="Times New Roman" w:hAnsi="Times New Roman" w:eastAsia="宋体" w:cs="Times New Roman"/>
                <w:color w:val="auto"/>
                <w:sz w:val="22"/>
                <w:szCs w:val="24"/>
                <w:lang w:val="en-US" w:eastAsia="zh-CN"/>
              </w:rPr>
              <w:t>6</w:t>
            </w:r>
            <w:r>
              <w:rPr>
                <w:rFonts w:hint="eastAsia" w:ascii="Times New Roman" w:hAnsi="Times New Roman" w:eastAsia="宋体" w:cs="Times New Roman"/>
                <w:color w:val="auto"/>
                <w:sz w:val="22"/>
                <w:szCs w:val="24"/>
              </w:rPr>
              <w:t>H</w:t>
            </w:r>
            <w:r>
              <w:rPr>
                <w:rFonts w:hint="eastAsia" w:ascii="Times New Roman" w:hAnsi="Times New Roman" w:eastAsia="宋体" w:cs="Times New Roman"/>
                <w:color w:val="auto"/>
                <w:sz w:val="22"/>
                <w:szCs w:val="24"/>
                <w:lang w:val="en-US" w:eastAsia="zh-CN"/>
              </w:rPr>
              <w:t>12</w:t>
            </w:r>
            <w:r>
              <w:rPr>
                <w:rFonts w:hint="eastAsia" w:ascii="Times New Roman" w:hAnsi="Times New Roman" w:eastAsia="宋体" w:cs="Times New Roman"/>
                <w:color w:val="auto"/>
                <w:sz w:val="22"/>
                <w:szCs w:val="24"/>
              </w:rPr>
              <w:t>O6，中文别称：环己六醇；环六甲烷醇；肉肌糖；肌糖等</w:t>
            </w:r>
            <w:r>
              <w:rPr>
                <w:rFonts w:hint="eastAsia" w:ascii="Times New Roman" w:hAnsi="Times New Roman" w:eastAsia="宋体" w:cs="Times New Roman"/>
                <w:color w:val="auto"/>
                <w:sz w:val="22"/>
                <w:szCs w:val="24"/>
                <w:lang w:eastAsia="zh-CN"/>
              </w:rPr>
              <w:t>，肌醇是维生素B族的一员，与胆碱关系密切，是人类与动物维持正常生理功能不可缺少的低分子有机物。以游离状态或化合状态广泛存在于各种生物组织中。通常把肌醇归类为维生素B类。肌醇还可用作植物生长调节剂，通过施加肌醇可提高水稻、玉米幼苗耐低温胁迫的能力。肌醇以多种形式存在，对细胞的健康功能起支持作用，</w:t>
            </w:r>
            <w:r>
              <w:rPr>
                <w:rFonts w:hint="eastAsia" w:ascii="Times New Roman" w:hAnsi="Times New Roman" w:eastAsia="宋体" w:cs="Times New Roman"/>
                <w:color w:val="auto"/>
                <w:sz w:val="22"/>
                <w:szCs w:val="24"/>
                <w:lang w:val="en-US" w:eastAsia="zh-CN"/>
              </w:rPr>
              <w:t>在饲料工业中作为营养性饲料添加剂</w:t>
            </w:r>
          </w:p>
        </w:tc>
      </w:tr>
      <w:tr w14:paraId="5B003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385" w:type="pct"/>
            <w:vMerge w:val="restart"/>
            <w:vAlign w:val="center"/>
          </w:tcPr>
          <w:p w14:paraId="7058BE0B">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2</w:t>
            </w:r>
          </w:p>
        </w:tc>
        <w:tc>
          <w:tcPr>
            <w:tcW w:w="1079" w:type="pct"/>
            <w:vMerge w:val="restart"/>
            <w:vAlign w:val="center"/>
          </w:tcPr>
          <w:p w14:paraId="177FA921">
            <w:pPr>
              <w:jc w:val="center"/>
              <w:rPr>
                <w:rFonts w:hint="eastAsia"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液糖</w:t>
            </w:r>
          </w:p>
        </w:tc>
        <w:tc>
          <w:tcPr>
            <w:tcW w:w="3535" w:type="pct"/>
            <w:vAlign w:val="center"/>
          </w:tcPr>
          <w:p w14:paraId="178817A7">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rPr>
              <w:t>本品为</w:t>
            </w:r>
            <w:r>
              <w:rPr>
                <w:rFonts w:hint="eastAsia" w:ascii="Times New Roman" w:hAnsi="Times New Roman" w:eastAsia="宋体" w:cs="Times New Roman"/>
                <w:color w:val="auto"/>
                <w:sz w:val="22"/>
                <w:szCs w:val="24"/>
                <w:lang w:val="en-US" w:eastAsia="zh-CN"/>
              </w:rPr>
              <w:t>浅黄色液体</w:t>
            </w:r>
          </w:p>
        </w:tc>
      </w:tr>
      <w:tr w14:paraId="282D0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85" w:type="pct"/>
            <w:vMerge w:val="continue"/>
            <w:vAlign w:val="center"/>
          </w:tcPr>
          <w:p w14:paraId="31906C11">
            <w:pPr>
              <w:jc w:val="center"/>
              <w:rPr>
                <w:rFonts w:ascii="Times New Roman" w:hAnsi="Times New Roman" w:eastAsia="宋体" w:cs="Times New Roman"/>
                <w:color w:val="auto"/>
                <w:sz w:val="22"/>
                <w:szCs w:val="24"/>
              </w:rPr>
            </w:pPr>
          </w:p>
        </w:tc>
        <w:tc>
          <w:tcPr>
            <w:tcW w:w="1079" w:type="pct"/>
            <w:vMerge w:val="continue"/>
            <w:vAlign w:val="center"/>
          </w:tcPr>
          <w:p w14:paraId="0C8E8B9D">
            <w:pPr>
              <w:jc w:val="center"/>
              <w:rPr>
                <w:rFonts w:ascii="Times New Roman" w:hAnsi="Times New Roman" w:eastAsia="宋体" w:cs="Times New Roman"/>
                <w:color w:val="auto"/>
                <w:sz w:val="22"/>
                <w:szCs w:val="24"/>
              </w:rPr>
            </w:pPr>
          </w:p>
        </w:tc>
        <w:tc>
          <w:tcPr>
            <w:tcW w:w="3535" w:type="pct"/>
            <w:vAlign w:val="center"/>
          </w:tcPr>
          <w:p w14:paraId="538ECBCB">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eastAsia="zh-CN"/>
              </w:rPr>
              <w:t>《</w:t>
            </w:r>
            <w:r>
              <w:rPr>
                <w:rFonts w:hint="eastAsia" w:ascii="Times New Roman" w:hAnsi="Times New Roman" w:eastAsia="宋体" w:cs="Times New Roman"/>
                <w:color w:val="auto"/>
                <w:sz w:val="22"/>
                <w:szCs w:val="24"/>
                <w:lang w:val="en-US" w:eastAsia="zh-CN"/>
              </w:rPr>
              <w:t>液体糖 QB/T4093-2010》</w:t>
            </w:r>
          </w:p>
        </w:tc>
      </w:tr>
      <w:tr w14:paraId="2C549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85" w:type="pct"/>
            <w:vMerge w:val="continue"/>
            <w:vAlign w:val="center"/>
          </w:tcPr>
          <w:p w14:paraId="6053BBB9">
            <w:pPr>
              <w:jc w:val="center"/>
              <w:rPr>
                <w:rFonts w:ascii="Times New Roman" w:hAnsi="Times New Roman" w:eastAsia="宋体" w:cs="Times New Roman"/>
                <w:color w:val="auto"/>
                <w:sz w:val="22"/>
                <w:szCs w:val="24"/>
              </w:rPr>
            </w:pPr>
          </w:p>
        </w:tc>
        <w:tc>
          <w:tcPr>
            <w:tcW w:w="1079" w:type="pct"/>
            <w:vMerge w:val="continue"/>
            <w:vAlign w:val="center"/>
          </w:tcPr>
          <w:p w14:paraId="0755A365">
            <w:pPr>
              <w:jc w:val="center"/>
              <w:rPr>
                <w:rFonts w:ascii="Times New Roman" w:hAnsi="Times New Roman" w:eastAsia="宋体" w:cs="Times New Roman"/>
                <w:color w:val="auto"/>
                <w:sz w:val="22"/>
                <w:szCs w:val="24"/>
              </w:rPr>
            </w:pPr>
          </w:p>
        </w:tc>
        <w:tc>
          <w:tcPr>
            <w:tcW w:w="3535" w:type="pct"/>
            <w:vAlign w:val="center"/>
          </w:tcPr>
          <w:p w14:paraId="7B69FE7A">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液糖，由蔗糖、果糖和葡萄糖三种混合糖组合而成，三种糖在液糖中的分别占比：60%，20%，20%。蔗糖、果糖和葡萄糖的混合液糖来源于甜高粱农作物，甜高粱通过光合作用把多种混合糖分储存于甜高粱茎中。蔗糖、果糖和葡萄糖是生物体内新陈代谢不可缺少的营养物质。它的氧化反应放出的热量是人类生命活动所需能量的重要来源。在食品、医药工业上可直接使用。工业上还大量用葡萄糖为原料合成维生素C（抗坏血酸）。大多数生物具有酶系统可分解蔗糖、果糖和葡萄糖以取得能量的能力。</w:t>
            </w:r>
          </w:p>
        </w:tc>
      </w:tr>
    </w:tbl>
    <w:p w14:paraId="4874C73A">
      <w:pPr>
        <w:pStyle w:val="4"/>
        <w:bidi w:val="0"/>
      </w:pPr>
      <w:r>
        <w:t>3.2.</w:t>
      </w:r>
      <w:r>
        <w:rPr>
          <w:rFonts w:hint="eastAsia"/>
        </w:rPr>
        <w:t>5主要原辅材料</w:t>
      </w:r>
    </w:p>
    <w:p w14:paraId="430BE8B7">
      <w:pPr>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本项目生产过程中用到的原辅材料种类较多，全年原材料总用量见表3.2</w:t>
      </w:r>
      <w:r>
        <w:rPr>
          <w:rFonts w:hint="eastAsia" w:ascii="Times New Roman" w:hAnsi="Times New Roman" w:eastAsia="宋体" w:cs="Times New Roman"/>
          <w:color w:val="auto"/>
          <w:sz w:val="24"/>
          <w:szCs w:val="24"/>
        </w:rPr>
        <w:t>.5</w:t>
      </w:r>
      <w:r>
        <w:rPr>
          <w:rFonts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rPr>
        <w:t>1</w:t>
      </w:r>
      <w:r>
        <w:rPr>
          <w:rFonts w:ascii="Times New Roman" w:hAnsi="Times New Roman" w:eastAsia="宋体" w:cs="Times New Roman"/>
          <w:color w:val="auto"/>
          <w:sz w:val="24"/>
          <w:szCs w:val="24"/>
        </w:rPr>
        <w:t>。</w:t>
      </w:r>
    </w:p>
    <w:p w14:paraId="3AEB9CDB">
      <w:pPr>
        <w:pStyle w:val="6"/>
        <w:bidi w:val="0"/>
      </w:pPr>
      <w:r>
        <w:rPr>
          <w:rFonts w:hint="eastAsia"/>
        </w:rPr>
        <w:t>表</w:t>
      </w:r>
      <w:r>
        <w:t>3.2</w:t>
      </w:r>
      <w:r>
        <w:rPr>
          <w:rFonts w:hint="eastAsia"/>
        </w:rPr>
        <w:t>.5</w:t>
      </w:r>
      <w:r>
        <w:t>-</w:t>
      </w:r>
      <w:r>
        <w:rPr>
          <w:rFonts w:hint="eastAsia"/>
        </w:rPr>
        <w:t>1</w:t>
      </w:r>
      <w:r>
        <w:t xml:space="preserve">    全年原材料</w:t>
      </w:r>
      <w:r>
        <w:rPr>
          <w:rFonts w:hint="eastAsia"/>
          <w:lang w:val="en-US" w:eastAsia="zh-CN"/>
        </w:rPr>
        <w:t>及能源消耗</w:t>
      </w:r>
      <w:r>
        <w:t>总用量一览表</w:t>
      </w:r>
    </w:p>
    <w:tbl>
      <w:tblPr>
        <w:tblStyle w:val="41"/>
        <w:tblW w:w="492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3"/>
        <w:gridCol w:w="1548"/>
        <w:gridCol w:w="1705"/>
        <w:gridCol w:w="1650"/>
        <w:gridCol w:w="1131"/>
        <w:gridCol w:w="1740"/>
      </w:tblGrid>
      <w:tr w14:paraId="6392D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65" w:type="pct"/>
            <w:noWrap/>
            <w:vAlign w:val="center"/>
          </w:tcPr>
          <w:p w14:paraId="7BED585E">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序号</w:t>
            </w:r>
          </w:p>
        </w:tc>
        <w:tc>
          <w:tcPr>
            <w:tcW w:w="922" w:type="pct"/>
            <w:noWrap/>
            <w:vAlign w:val="center"/>
          </w:tcPr>
          <w:p w14:paraId="5B64140B">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原辅料名称</w:t>
            </w:r>
          </w:p>
        </w:tc>
        <w:tc>
          <w:tcPr>
            <w:tcW w:w="1016" w:type="pct"/>
            <w:noWrap/>
            <w:vAlign w:val="center"/>
          </w:tcPr>
          <w:p w14:paraId="2A0C931A">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年使用量（t）</w:t>
            </w:r>
          </w:p>
        </w:tc>
        <w:tc>
          <w:tcPr>
            <w:tcW w:w="983" w:type="pct"/>
            <w:noWrap/>
            <w:vAlign w:val="center"/>
          </w:tcPr>
          <w:p w14:paraId="3F740CA9">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储存位置</w:t>
            </w:r>
          </w:p>
        </w:tc>
        <w:tc>
          <w:tcPr>
            <w:tcW w:w="674" w:type="pct"/>
            <w:noWrap/>
            <w:vAlign w:val="center"/>
          </w:tcPr>
          <w:p w14:paraId="62167C6B">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储存方式</w:t>
            </w:r>
          </w:p>
        </w:tc>
        <w:tc>
          <w:tcPr>
            <w:tcW w:w="1037" w:type="pct"/>
            <w:noWrap/>
            <w:vAlign w:val="center"/>
          </w:tcPr>
          <w:p w14:paraId="13B00A96">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最大储存量（t）</w:t>
            </w:r>
          </w:p>
        </w:tc>
      </w:tr>
      <w:tr w14:paraId="7E050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000" w:type="pct"/>
            <w:gridSpan w:val="6"/>
            <w:noWrap/>
            <w:vAlign w:val="center"/>
          </w:tcPr>
          <w:p w14:paraId="701C4769">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肌醇饲料添加剂</w:t>
            </w:r>
          </w:p>
        </w:tc>
      </w:tr>
      <w:tr w14:paraId="1AC25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65" w:type="pct"/>
            <w:noWrap/>
            <w:vAlign w:val="center"/>
          </w:tcPr>
          <w:p w14:paraId="144F371A">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1</w:t>
            </w:r>
          </w:p>
        </w:tc>
        <w:tc>
          <w:tcPr>
            <w:tcW w:w="922" w:type="pct"/>
            <w:noWrap/>
            <w:vAlign w:val="center"/>
          </w:tcPr>
          <w:p w14:paraId="3E01A096">
            <w:pPr>
              <w:jc w:val="center"/>
              <w:rPr>
                <w:rFonts w:hint="eastAsia"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蛋白胨</w:t>
            </w:r>
          </w:p>
        </w:tc>
        <w:tc>
          <w:tcPr>
            <w:tcW w:w="1016" w:type="pct"/>
            <w:noWrap/>
            <w:vAlign w:val="center"/>
          </w:tcPr>
          <w:p w14:paraId="74D6D4B1">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73.216</w:t>
            </w:r>
          </w:p>
        </w:tc>
        <w:tc>
          <w:tcPr>
            <w:tcW w:w="983" w:type="pct"/>
            <w:noWrap/>
            <w:vAlign w:val="center"/>
          </w:tcPr>
          <w:p w14:paraId="70AA7179">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综合仓库</w:t>
            </w:r>
          </w:p>
        </w:tc>
        <w:tc>
          <w:tcPr>
            <w:tcW w:w="674" w:type="pct"/>
            <w:noWrap/>
            <w:vAlign w:val="center"/>
          </w:tcPr>
          <w:p w14:paraId="55D033CE">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桶装</w:t>
            </w:r>
          </w:p>
        </w:tc>
        <w:tc>
          <w:tcPr>
            <w:tcW w:w="1037" w:type="pct"/>
            <w:noWrap/>
            <w:vAlign w:val="center"/>
          </w:tcPr>
          <w:p w14:paraId="2F6041A0">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10</w:t>
            </w:r>
          </w:p>
        </w:tc>
      </w:tr>
      <w:tr w14:paraId="0BB73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65" w:type="pct"/>
            <w:noWrap/>
            <w:vAlign w:val="center"/>
          </w:tcPr>
          <w:p w14:paraId="2DA305DD">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2</w:t>
            </w:r>
          </w:p>
        </w:tc>
        <w:tc>
          <w:tcPr>
            <w:tcW w:w="922" w:type="pct"/>
            <w:noWrap/>
            <w:vAlign w:val="center"/>
          </w:tcPr>
          <w:p w14:paraId="6224C740">
            <w:pPr>
              <w:jc w:val="center"/>
              <w:rPr>
                <w:rFonts w:hint="eastAsia"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氢氧化钠</w:t>
            </w:r>
          </w:p>
        </w:tc>
        <w:tc>
          <w:tcPr>
            <w:tcW w:w="1016" w:type="pct"/>
            <w:noWrap/>
            <w:vAlign w:val="center"/>
          </w:tcPr>
          <w:p w14:paraId="7732BFBB">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42.9</w:t>
            </w:r>
          </w:p>
        </w:tc>
        <w:tc>
          <w:tcPr>
            <w:tcW w:w="983" w:type="pct"/>
            <w:noWrap/>
            <w:vAlign w:val="center"/>
          </w:tcPr>
          <w:p w14:paraId="70F25427">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依托现有罐区</w:t>
            </w:r>
          </w:p>
        </w:tc>
        <w:tc>
          <w:tcPr>
            <w:tcW w:w="674" w:type="pct"/>
            <w:noWrap/>
            <w:vAlign w:val="center"/>
          </w:tcPr>
          <w:p w14:paraId="1B9359AD">
            <w:pPr>
              <w:jc w:val="center"/>
              <w:rPr>
                <w:rFonts w:hint="eastAsia"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罐装</w:t>
            </w:r>
          </w:p>
        </w:tc>
        <w:tc>
          <w:tcPr>
            <w:tcW w:w="1037" w:type="pct"/>
            <w:noWrap/>
            <w:vAlign w:val="center"/>
          </w:tcPr>
          <w:p w14:paraId="7EE3FEE9">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28</w:t>
            </w:r>
          </w:p>
        </w:tc>
      </w:tr>
      <w:tr w14:paraId="04F2B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65" w:type="pct"/>
            <w:noWrap/>
            <w:vAlign w:val="center"/>
          </w:tcPr>
          <w:p w14:paraId="0E106433">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3</w:t>
            </w:r>
          </w:p>
        </w:tc>
        <w:tc>
          <w:tcPr>
            <w:tcW w:w="922" w:type="pct"/>
            <w:noWrap/>
            <w:vAlign w:val="center"/>
          </w:tcPr>
          <w:p w14:paraId="25E0B7EB">
            <w:pPr>
              <w:jc w:val="center"/>
              <w:rPr>
                <w:rFonts w:hint="eastAsia"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消泡剂</w:t>
            </w:r>
          </w:p>
        </w:tc>
        <w:tc>
          <w:tcPr>
            <w:tcW w:w="1016" w:type="pct"/>
            <w:noWrap/>
            <w:vAlign w:val="center"/>
          </w:tcPr>
          <w:p w14:paraId="49B31B46">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1.2012</w:t>
            </w:r>
          </w:p>
        </w:tc>
        <w:tc>
          <w:tcPr>
            <w:tcW w:w="983" w:type="pct"/>
            <w:noWrap/>
            <w:vAlign w:val="center"/>
          </w:tcPr>
          <w:p w14:paraId="772A2FDB">
            <w:pPr>
              <w:jc w:val="center"/>
              <w:rPr>
                <w:rFonts w:hint="eastAsia"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综合仓库</w:t>
            </w:r>
          </w:p>
        </w:tc>
        <w:tc>
          <w:tcPr>
            <w:tcW w:w="674" w:type="pct"/>
            <w:noWrap/>
            <w:vAlign w:val="center"/>
          </w:tcPr>
          <w:p w14:paraId="287AE630">
            <w:pPr>
              <w:jc w:val="center"/>
              <w:rPr>
                <w:rFonts w:hint="eastAsia"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桶装</w:t>
            </w:r>
          </w:p>
        </w:tc>
        <w:tc>
          <w:tcPr>
            <w:tcW w:w="1037" w:type="pct"/>
            <w:noWrap/>
            <w:vAlign w:val="center"/>
          </w:tcPr>
          <w:p w14:paraId="0DDD7C35">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0.2</w:t>
            </w:r>
          </w:p>
        </w:tc>
      </w:tr>
      <w:tr w14:paraId="077F6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65" w:type="pct"/>
            <w:noWrap/>
            <w:vAlign w:val="center"/>
          </w:tcPr>
          <w:p w14:paraId="6F3BD30A">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4</w:t>
            </w:r>
          </w:p>
        </w:tc>
        <w:tc>
          <w:tcPr>
            <w:tcW w:w="922" w:type="pct"/>
            <w:noWrap/>
            <w:vAlign w:val="center"/>
          </w:tcPr>
          <w:p w14:paraId="651C2350">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酵母浸粉</w:t>
            </w:r>
          </w:p>
        </w:tc>
        <w:tc>
          <w:tcPr>
            <w:tcW w:w="1016" w:type="pct"/>
            <w:noWrap/>
            <w:vAlign w:val="center"/>
          </w:tcPr>
          <w:p w14:paraId="6A579809">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2.86</w:t>
            </w:r>
          </w:p>
        </w:tc>
        <w:tc>
          <w:tcPr>
            <w:tcW w:w="983" w:type="pct"/>
            <w:noWrap/>
            <w:vAlign w:val="center"/>
          </w:tcPr>
          <w:p w14:paraId="3D707440">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lang w:val="en-US" w:eastAsia="zh-CN"/>
              </w:rPr>
              <w:t>综合仓库</w:t>
            </w:r>
          </w:p>
        </w:tc>
        <w:tc>
          <w:tcPr>
            <w:tcW w:w="674" w:type="pct"/>
            <w:noWrap/>
            <w:vAlign w:val="center"/>
          </w:tcPr>
          <w:p w14:paraId="1E289311">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桶装</w:t>
            </w:r>
          </w:p>
        </w:tc>
        <w:tc>
          <w:tcPr>
            <w:tcW w:w="1037" w:type="pct"/>
            <w:noWrap/>
            <w:vAlign w:val="center"/>
          </w:tcPr>
          <w:p w14:paraId="159EC886">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0.5</w:t>
            </w:r>
          </w:p>
        </w:tc>
      </w:tr>
      <w:tr w14:paraId="150AE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65" w:type="pct"/>
            <w:noWrap/>
            <w:vAlign w:val="center"/>
          </w:tcPr>
          <w:p w14:paraId="3E5AA793">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5</w:t>
            </w:r>
          </w:p>
        </w:tc>
        <w:tc>
          <w:tcPr>
            <w:tcW w:w="922" w:type="pct"/>
            <w:noWrap/>
            <w:vAlign w:val="center"/>
          </w:tcPr>
          <w:p w14:paraId="36DB9083">
            <w:pPr>
              <w:jc w:val="center"/>
              <w:rPr>
                <w:rFonts w:hint="eastAsia"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氯化钠</w:t>
            </w:r>
          </w:p>
        </w:tc>
        <w:tc>
          <w:tcPr>
            <w:tcW w:w="1016" w:type="pct"/>
            <w:noWrap/>
            <w:vAlign w:val="center"/>
          </w:tcPr>
          <w:p w14:paraId="64AF0352">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1.144</w:t>
            </w:r>
          </w:p>
        </w:tc>
        <w:tc>
          <w:tcPr>
            <w:tcW w:w="983" w:type="pct"/>
            <w:noWrap/>
            <w:vAlign w:val="center"/>
          </w:tcPr>
          <w:p w14:paraId="291F445F">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lang w:val="en-US" w:eastAsia="zh-CN"/>
              </w:rPr>
              <w:t>综合仓库</w:t>
            </w:r>
          </w:p>
        </w:tc>
        <w:tc>
          <w:tcPr>
            <w:tcW w:w="674" w:type="pct"/>
            <w:noWrap/>
            <w:vAlign w:val="center"/>
          </w:tcPr>
          <w:p w14:paraId="2F8EB359">
            <w:pPr>
              <w:jc w:val="center"/>
              <w:rPr>
                <w:rFonts w:hint="eastAsia"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袋装</w:t>
            </w:r>
          </w:p>
        </w:tc>
        <w:tc>
          <w:tcPr>
            <w:tcW w:w="1037" w:type="pct"/>
            <w:noWrap/>
            <w:vAlign w:val="center"/>
          </w:tcPr>
          <w:p w14:paraId="10833813">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0.2</w:t>
            </w:r>
          </w:p>
        </w:tc>
      </w:tr>
      <w:tr w14:paraId="6123F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65" w:type="pct"/>
            <w:noWrap/>
            <w:vAlign w:val="center"/>
          </w:tcPr>
          <w:p w14:paraId="5DB7511B">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6</w:t>
            </w:r>
          </w:p>
        </w:tc>
        <w:tc>
          <w:tcPr>
            <w:tcW w:w="922" w:type="pct"/>
            <w:noWrap/>
            <w:vAlign w:val="center"/>
          </w:tcPr>
          <w:p w14:paraId="5CAF71E4">
            <w:pPr>
              <w:jc w:val="center"/>
              <w:rPr>
                <w:rFonts w:hint="eastAsia"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淀粉</w:t>
            </w:r>
          </w:p>
        </w:tc>
        <w:tc>
          <w:tcPr>
            <w:tcW w:w="1016" w:type="pct"/>
            <w:noWrap/>
            <w:vAlign w:val="center"/>
          </w:tcPr>
          <w:p w14:paraId="140D7B9F">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2145</w:t>
            </w:r>
          </w:p>
        </w:tc>
        <w:tc>
          <w:tcPr>
            <w:tcW w:w="983" w:type="pct"/>
            <w:noWrap/>
            <w:vAlign w:val="center"/>
          </w:tcPr>
          <w:p w14:paraId="644C2D65">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lang w:val="en-US" w:eastAsia="zh-CN"/>
              </w:rPr>
              <w:t>综合仓库</w:t>
            </w:r>
          </w:p>
        </w:tc>
        <w:tc>
          <w:tcPr>
            <w:tcW w:w="674" w:type="pct"/>
            <w:noWrap/>
            <w:vAlign w:val="center"/>
          </w:tcPr>
          <w:p w14:paraId="59766317">
            <w:pPr>
              <w:jc w:val="center"/>
              <w:rPr>
                <w:rFonts w:hint="eastAsia"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袋装</w:t>
            </w:r>
          </w:p>
        </w:tc>
        <w:tc>
          <w:tcPr>
            <w:tcW w:w="1037" w:type="pct"/>
            <w:noWrap/>
            <w:vAlign w:val="center"/>
          </w:tcPr>
          <w:p w14:paraId="2DC45CAC">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15</w:t>
            </w:r>
          </w:p>
        </w:tc>
      </w:tr>
      <w:tr w14:paraId="20030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65" w:type="pct"/>
            <w:noWrap/>
            <w:vAlign w:val="center"/>
          </w:tcPr>
          <w:p w14:paraId="3C5BDBF5">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7</w:t>
            </w:r>
          </w:p>
        </w:tc>
        <w:tc>
          <w:tcPr>
            <w:tcW w:w="922" w:type="pct"/>
            <w:noWrap/>
            <w:vAlign w:val="center"/>
          </w:tcPr>
          <w:p w14:paraId="2B122085">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酵母粉</w:t>
            </w:r>
          </w:p>
        </w:tc>
        <w:tc>
          <w:tcPr>
            <w:tcW w:w="1016" w:type="pct"/>
            <w:noWrap/>
            <w:vAlign w:val="center"/>
          </w:tcPr>
          <w:p w14:paraId="6333BE7B">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137.28</w:t>
            </w:r>
          </w:p>
        </w:tc>
        <w:tc>
          <w:tcPr>
            <w:tcW w:w="983" w:type="pct"/>
            <w:noWrap/>
            <w:vAlign w:val="center"/>
          </w:tcPr>
          <w:p w14:paraId="531F6CCB">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lang w:val="en-US" w:eastAsia="zh-CN"/>
              </w:rPr>
              <w:t>综合仓库</w:t>
            </w:r>
          </w:p>
        </w:tc>
        <w:tc>
          <w:tcPr>
            <w:tcW w:w="674" w:type="pct"/>
            <w:noWrap/>
            <w:vAlign w:val="center"/>
          </w:tcPr>
          <w:p w14:paraId="779D881A">
            <w:pPr>
              <w:jc w:val="center"/>
              <w:rPr>
                <w:rFonts w:hint="eastAsia"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袋装</w:t>
            </w:r>
          </w:p>
        </w:tc>
        <w:tc>
          <w:tcPr>
            <w:tcW w:w="1037" w:type="pct"/>
            <w:noWrap/>
            <w:vAlign w:val="center"/>
          </w:tcPr>
          <w:p w14:paraId="717B3DE9">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10</w:t>
            </w:r>
          </w:p>
        </w:tc>
      </w:tr>
      <w:tr w14:paraId="55C74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65" w:type="pct"/>
            <w:noWrap/>
            <w:vAlign w:val="center"/>
          </w:tcPr>
          <w:p w14:paraId="2F12151E">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8</w:t>
            </w:r>
          </w:p>
        </w:tc>
        <w:tc>
          <w:tcPr>
            <w:tcW w:w="922" w:type="pct"/>
            <w:noWrap/>
            <w:vAlign w:val="center"/>
          </w:tcPr>
          <w:p w14:paraId="63C0EF05">
            <w:pPr>
              <w:jc w:val="center"/>
              <w:rPr>
                <w:rFonts w:hint="eastAsia"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硫酸镁</w:t>
            </w:r>
          </w:p>
        </w:tc>
        <w:tc>
          <w:tcPr>
            <w:tcW w:w="1016" w:type="pct"/>
            <w:noWrap/>
            <w:vAlign w:val="center"/>
          </w:tcPr>
          <w:p w14:paraId="0C6704E8">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2.86</w:t>
            </w:r>
          </w:p>
        </w:tc>
        <w:tc>
          <w:tcPr>
            <w:tcW w:w="983" w:type="pct"/>
            <w:noWrap/>
            <w:vAlign w:val="center"/>
          </w:tcPr>
          <w:p w14:paraId="6733F772">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lang w:val="en-US" w:eastAsia="zh-CN"/>
              </w:rPr>
              <w:t>综合仓库</w:t>
            </w:r>
          </w:p>
        </w:tc>
        <w:tc>
          <w:tcPr>
            <w:tcW w:w="674" w:type="pct"/>
            <w:noWrap/>
            <w:vAlign w:val="center"/>
          </w:tcPr>
          <w:p w14:paraId="4FA8AEF9">
            <w:pPr>
              <w:jc w:val="center"/>
              <w:rPr>
                <w:rFonts w:hint="eastAsia"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袋装</w:t>
            </w:r>
          </w:p>
        </w:tc>
        <w:tc>
          <w:tcPr>
            <w:tcW w:w="1037" w:type="pct"/>
            <w:noWrap/>
            <w:vAlign w:val="center"/>
          </w:tcPr>
          <w:p w14:paraId="154D6924">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0.2</w:t>
            </w:r>
          </w:p>
        </w:tc>
      </w:tr>
      <w:tr w14:paraId="55AD7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65" w:type="pct"/>
            <w:noWrap/>
            <w:vAlign w:val="center"/>
          </w:tcPr>
          <w:p w14:paraId="58D613A5">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9</w:t>
            </w:r>
          </w:p>
        </w:tc>
        <w:tc>
          <w:tcPr>
            <w:tcW w:w="922" w:type="pct"/>
            <w:noWrap/>
            <w:vAlign w:val="center"/>
          </w:tcPr>
          <w:p w14:paraId="27BC7503">
            <w:pPr>
              <w:jc w:val="center"/>
              <w:rPr>
                <w:rFonts w:hint="eastAsia"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甘油</w:t>
            </w:r>
          </w:p>
        </w:tc>
        <w:tc>
          <w:tcPr>
            <w:tcW w:w="1016" w:type="pct"/>
            <w:noWrap/>
            <w:vAlign w:val="center"/>
          </w:tcPr>
          <w:p w14:paraId="0780C254">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28.6</w:t>
            </w:r>
          </w:p>
        </w:tc>
        <w:tc>
          <w:tcPr>
            <w:tcW w:w="983" w:type="pct"/>
            <w:noWrap/>
            <w:vAlign w:val="center"/>
          </w:tcPr>
          <w:p w14:paraId="71ABC1E4">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lang w:val="en-US" w:eastAsia="zh-CN"/>
              </w:rPr>
              <w:t>综合仓库</w:t>
            </w:r>
          </w:p>
        </w:tc>
        <w:tc>
          <w:tcPr>
            <w:tcW w:w="674" w:type="pct"/>
            <w:noWrap/>
            <w:vAlign w:val="center"/>
          </w:tcPr>
          <w:p w14:paraId="653A3C91">
            <w:pPr>
              <w:jc w:val="center"/>
              <w:rPr>
                <w:rFonts w:hint="eastAsia"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桶装</w:t>
            </w:r>
          </w:p>
        </w:tc>
        <w:tc>
          <w:tcPr>
            <w:tcW w:w="1037" w:type="pct"/>
            <w:noWrap/>
            <w:vAlign w:val="center"/>
          </w:tcPr>
          <w:p w14:paraId="06326085">
            <w:pPr>
              <w:jc w:val="center"/>
              <w:rPr>
                <w:rFonts w:hint="eastAsia"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2</w:t>
            </w:r>
          </w:p>
        </w:tc>
      </w:tr>
      <w:tr w14:paraId="0AB1D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65" w:type="pct"/>
            <w:noWrap/>
            <w:vAlign w:val="center"/>
          </w:tcPr>
          <w:p w14:paraId="7B1FC883">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10</w:t>
            </w:r>
          </w:p>
        </w:tc>
        <w:tc>
          <w:tcPr>
            <w:tcW w:w="922" w:type="pct"/>
            <w:noWrap/>
            <w:vAlign w:val="center"/>
          </w:tcPr>
          <w:p w14:paraId="0D5C3E2F">
            <w:pPr>
              <w:jc w:val="center"/>
              <w:rPr>
                <w:rFonts w:hint="eastAsia"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磷酸二氢钾</w:t>
            </w:r>
          </w:p>
        </w:tc>
        <w:tc>
          <w:tcPr>
            <w:tcW w:w="1016" w:type="pct"/>
            <w:noWrap/>
            <w:vAlign w:val="center"/>
          </w:tcPr>
          <w:p w14:paraId="36983F35">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71.5</w:t>
            </w:r>
          </w:p>
        </w:tc>
        <w:tc>
          <w:tcPr>
            <w:tcW w:w="983" w:type="pct"/>
            <w:noWrap/>
            <w:vAlign w:val="center"/>
          </w:tcPr>
          <w:p w14:paraId="09BDB524">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lang w:val="en-US" w:eastAsia="zh-CN"/>
              </w:rPr>
              <w:t>综合仓库</w:t>
            </w:r>
          </w:p>
        </w:tc>
        <w:tc>
          <w:tcPr>
            <w:tcW w:w="674" w:type="pct"/>
            <w:noWrap/>
            <w:vAlign w:val="center"/>
          </w:tcPr>
          <w:p w14:paraId="4DDAD43C">
            <w:pPr>
              <w:jc w:val="center"/>
              <w:rPr>
                <w:rFonts w:hint="eastAsia"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袋装</w:t>
            </w:r>
          </w:p>
        </w:tc>
        <w:tc>
          <w:tcPr>
            <w:tcW w:w="1037" w:type="pct"/>
            <w:noWrap/>
            <w:vAlign w:val="center"/>
          </w:tcPr>
          <w:p w14:paraId="5F0CD770">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2</w:t>
            </w:r>
          </w:p>
        </w:tc>
      </w:tr>
      <w:tr w14:paraId="76348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65" w:type="pct"/>
            <w:noWrap/>
            <w:vAlign w:val="center"/>
          </w:tcPr>
          <w:p w14:paraId="634A2CFA">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11</w:t>
            </w:r>
          </w:p>
        </w:tc>
        <w:tc>
          <w:tcPr>
            <w:tcW w:w="922" w:type="pct"/>
            <w:noWrap/>
            <w:vAlign w:val="center"/>
          </w:tcPr>
          <w:p w14:paraId="2FAC526E">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磷酸氢二钾</w:t>
            </w:r>
          </w:p>
        </w:tc>
        <w:tc>
          <w:tcPr>
            <w:tcW w:w="1016" w:type="pct"/>
            <w:noWrap/>
            <w:vAlign w:val="center"/>
          </w:tcPr>
          <w:p w14:paraId="22FA5C26">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13.728</w:t>
            </w:r>
          </w:p>
        </w:tc>
        <w:tc>
          <w:tcPr>
            <w:tcW w:w="983" w:type="pct"/>
            <w:noWrap/>
            <w:vAlign w:val="center"/>
          </w:tcPr>
          <w:p w14:paraId="79ADE283">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lang w:val="en-US" w:eastAsia="zh-CN"/>
              </w:rPr>
              <w:t>综合仓库</w:t>
            </w:r>
          </w:p>
        </w:tc>
        <w:tc>
          <w:tcPr>
            <w:tcW w:w="674" w:type="pct"/>
            <w:noWrap/>
            <w:vAlign w:val="center"/>
          </w:tcPr>
          <w:p w14:paraId="1ED7B696">
            <w:pPr>
              <w:jc w:val="center"/>
              <w:rPr>
                <w:rFonts w:hint="eastAsia"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袋装</w:t>
            </w:r>
          </w:p>
        </w:tc>
        <w:tc>
          <w:tcPr>
            <w:tcW w:w="1037" w:type="pct"/>
            <w:noWrap/>
            <w:vAlign w:val="center"/>
          </w:tcPr>
          <w:p w14:paraId="54846571">
            <w:pPr>
              <w:jc w:val="center"/>
              <w:rPr>
                <w:rFonts w:hint="eastAsia"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2</w:t>
            </w:r>
          </w:p>
        </w:tc>
      </w:tr>
      <w:tr w14:paraId="6D0AB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65" w:type="pct"/>
            <w:noWrap/>
            <w:vAlign w:val="center"/>
          </w:tcPr>
          <w:p w14:paraId="5956ED6B">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12</w:t>
            </w:r>
          </w:p>
        </w:tc>
        <w:tc>
          <w:tcPr>
            <w:tcW w:w="922" w:type="pct"/>
            <w:noWrap/>
            <w:vAlign w:val="center"/>
          </w:tcPr>
          <w:p w14:paraId="76DEFC75">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氯化钙</w:t>
            </w:r>
          </w:p>
        </w:tc>
        <w:tc>
          <w:tcPr>
            <w:tcW w:w="1016" w:type="pct"/>
            <w:noWrap/>
            <w:vAlign w:val="center"/>
          </w:tcPr>
          <w:p w14:paraId="7447AFAD">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120.12</w:t>
            </w:r>
          </w:p>
        </w:tc>
        <w:tc>
          <w:tcPr>
            <w:tcW w:w="983" w:type="pct"/>
            <w:noWrap/>
            <w:vAlign w:val="center"/>
          </w:tcPr>
          <w:p w14:paraId="7D2B782E">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lang w:val="en-US" w:eastAsia="zh-CN"/>
              </w:rPr>
              <w:t>综合仓库</w:t>
            </w:r>
          </w:p>
        </w:tc>
        <w:tc>
          <w:tcPr>
            <w:tcW w:w="674" w:type="pct"/>
            <w:noWrap/>
            <w:vAlign w:val="center"/>
          </w:tcPr>
          <w:p w14:paraId="07AE7221">
            <w:pPr>
              <w:jc w:val="center"/>
              <w:rPr>
                <w:rFonts w:hint="eastAsia"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袋装</w:t>
            </w:r>
          </w:p>
        </w:tc>
        <w:tc>
          <w:tcPr>
            <w:tcW w:w="1037" w:type="pct"/>
            <w:noWrap/>
            <w:vAlign w:val="center"/>
          </w:tcPr>
          <w:p w14:paraId="4A5D0161">
            <w:pPr>
              <w:jc w:val="center"/>
              <w:rPr>
                <w:rFonts w:hint="eastAsia"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5</w:t>
            </w:r>
          </w:p>
        </w:tc>
      </w:tr>
      <w:tr w14:paraId="26C52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65" w:type="pct"/>
            <w:noWrap/>
            <w:vAlign w:val="center"/>
          </w:tcPr>
          <w:p w14:paraId="4E63C8DD">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13</w:t>
            </w:r>
          </w:p>
        </w:tc>
        <w:tc>
          <w:tcPr>
            <w:tcW w:w="922" w:type="pct"/>
            <w:noWrap/>
            <w:vAlign w:val="center"/>
          </w:tcPr>
          <w:p w14:paraId="651D9AE1">
            <w:pPr>
              <w:jc w:val="center"/>
              <w:rPr>
                <w:rFonts w:hint="eastAsia"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硅藻土</w:t>
            </w:r>
          </w:p>
        </w:tc>
        <w:tc>
          <w:tcPr>
            <w:tcW w:w="1016" w:type="pct"/>
            <w:noWrap/>
            <w:vAlign w:val="center"/>
          </w:tcPr>
          <w:p w14:paraId="09EDF1A8">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120.12</w:t>
            </w:r>
          </w:p>
        </w:tc>
        <w:tc>
          <w:tcPr>
            <w:tcW w:w="983" w:type="pct"/>
            <w:noWrap/>
            <w:vAlign w:val="center"/>
          </w:tcPr>
          <w:p w14:paraId="085C6E09">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lang w:val="en-US" w:eastAsia="zh-CN"/>
              </w:rPr>
              <w:t>综合仓库</w:t>
            </w:r>
          </w:p>
        </w:tc>
        <w:tc>
          <w:tcPr>
            <w:tcW w:w="674" w:type="pct"/>
            <w:noWrap/>
            <w:vAlign w:val="center"/>
          </w:tcPr>
          <w:p w14:paraId="5CF604FE">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袋装</w:t>
            </w:r>
          </w:p>
        </w:tc>
        <w:tc>
          <w:tcPr>
            <w:tcW w:w="1037" w:type="pct"/>
            <w:noWrap/>
            <w:vAlign w:val="center"/>
          </w:tcPr>
          <w:p w14:paraId="652A672D">
            <w:pPr>
              <w:jc w:val="center"/>
              <w:rPr>
                <w:rFonts w:hint="eastAsia"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5</w:t>
            </w:r>
          </w:p>
        </w:tc>
      </w:tr>
      <w:tr w14:paraId="0CF86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65" w:type="pct"/>
            <w:noWrap/>
            <w:vAlign w:val="center"/>
          </w:tcPr>
          <w:p w14:paraId="737EE769">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14</w:t>
            </w:r>
          </w:p>
        </w:tc>
        <w:tc>
          <w:tcPr>
            <w:tcW w:w="922" w:type="pct"/>
            <w:noWrap/>
            <w:vAlign w:val="center"/>
          </w:tcPr>
          <w:p w14:paraId="6680A2B3">
            <w:pPr>
              <w:jc w:val="center"/>
              <w:rPr>
                <w:rFonts w:hint="eastAsia"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聚丙烯酰胺</w:t>
            </w:r>
          </w:p>
        </w:tc>
        <w:tc>
          <w:tcPr>
            <w:tcW w:w="1016" w:type="pct"/>
            <w:noWrap/>
            <w:vAlign w:val="center"/>
          </w:tcPr>
          <w:p w14:paraId="2FC0E167">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0.8008</w:t>
            </w:r>
          </w:p>
        </w:tc>
        <w:tc>
          <w:tcPr>
            <w:tcW w:w="983" w:type="pct"/>
            <w:noWrap/>
            <w:vAlign w:val="center"/>
          </w:tcPr>
          <w:p w14:paraId="159405A9">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lang w:val="en-US" w:eastAsia="zh-CN"/>
              </w:rPr>
              <w:t>综合仓库</w:t>
            </w:r>
          </w:p>
        </w:tc>
        <w:tc>
          <w:tcPr>
            <w:tcW w:w="674" w:type="pct"/>
            <w:noWrap/>
            <w:vAlign w:val="center"/>
          </w:tcPr>
          <w:p w14:paraId="6AA9E4AE">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袋装</w:t>
            </w:r>
          </w:p>
        </w:tc>
        <w:tc>
          <w:tcPr>
            <w:tcW w:w="1037" w:type="pct"/>
            <w:noWrap/>
            <w:vAlign w:val="center"/>
          </w:tcPr>
          <w:p w14:paraId="12B6E192">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0.2</w:t>
            </w:r>
          </w:p>
        </w:tc>
      </w:tr>
      <w:tr w14:paraId="18E9F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65" w:type="pct"/>
            <w:noWrap/>
            <w:vAlign w:val="center"/>
          </w:tcPr>
          <w:p w14:paraId="30EB3DA1">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15</w:t>
            </w:r>
          </w:p>
        </w:tc>
        <w:tc>
          <w:tcPr>
            <w:tcW w:w="922" w:type="pct"/>
            <w:noWrap/>
            <w:vAlign w:val="center"/>
          </w:tcPr>
          <w:p w14:paraId="4BA820DB">
            <w:pPr>
              <w:jc w:val="center"/>
              <w:rPr>
                <w:rFonts w:hint="eastAsia"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活性炭</w:t>
            </w:r>
          </w:p>
        </w:tc>
        <w:tc>
          <w:tcPr>
            <w:tcW w:w="1016" w:type="pct"/>
            <w:noWrap/>
            <w:vAlign w:val="center"/>
          </w:tcPr>
          <w:p w14:paraId="2785A770">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85.8</w:t>
            </w:r>
          </w:p>
        </w:tc>
        <w:tc>
          <w:tcPr>
            <w:tcW w:w="983" w:type="pct"/>
            <w:noWrap/>
            <w:vAlign w:val="center"/>
          </w:tcPr>
          <w:p w14:paraId="4D75358D">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lang w:val="en-US" w:eastAsia="zh-CN"/>
              </w:rPr>
              <w:t>综合仓库</w:t>
            </w:r>
          </w:p>
        </w:tc>
        <w:tc>
          <w:tcPr>
            <w:tcW w:w="674" w:type="pct"/>
            <w:noWrap/>
            <w:vAlign w:val="center"/>
          </w:tcPr>
          <w:p w14:paraId="24942F1A">
            <w:pPr>
              <w:jc w:val="center"/>
              <w:rPr>
                <w:rFonts w:hint="eastAsia"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袋装</w:t>
            </w:r>
          </w:p>
        </w:tc>
        <w:tc>
          <w:tcPr>
            <w:tcW w:w="1037" w:type="pct"/>
            <w:noWrap/>
            <w:vAlign w:val="center"/>
          </w:tcPr>
          <w:p w14:paraId="63DFB9DB">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10</w:t>
            </w:r>
          </w:p>
        </w:tc>
      </w:tr>
      <w:tr w14:paraId="1C894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000" w:type="pct"/>
            <w:gridSpan w:val="6"/>
            <w:noWrap/>
            <w:vAlign w:val="center"/>
          </w:tcPr>
          <w:p w14:paraId="0352DA31">
            <w:pPr>
              <w:jc w:val="center"/>
              <w:rPr>
                <w:rFonts w:hint="eastAsia"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液糖</w:t>
            </w:r>
          </w:p>
        </w:tc>
      </w:tr>
      <w:tr w14:paraId="07216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65" w:type="pct"/>
            <w:noWrap/>
            <w:vAlign w:val="center"/>
          </w:tcPr>
          <w:p w14:paraId="589337DF">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17</w:t>
            </w:r>
          </w:p>
        </w:tc>
        <w:tc>
          <w:tcPr>
            <w:tcW w:w="922" w:type="pct"/>
            <w:noWrap/>
            <w:vAlign w:val="center"/>
          </w:tcPr>
          <w:p w14:paraId="22D3440D">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糖汁</w:t>
            </w:r>
          </w:p>
        </w:tc>
        <w:tc>
          <w:tcPr>
            <w:tcW w:w="1016" w:type="pct"/>
            <w:noWrap/>
            <w:vAlign w:val="center"/>
          </w:tcPr>
          <w:p w14:paraId="28E2CAEB">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117000</w:t>
            </w:r>
          </w:p>
        </w:tc>
        <w:tc>
          <w:tcPr>
            <w:tcW w:w="983" w:type="pct"/>
            <w:noWrap/>
            <w:vAlign w:val="center"/>
          </w:tcPr>
          <w:p w14:paraId="1F8F5637">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综合仓库</w:t>
            </w:r>
          </w:p>
        </w:tc>
        <w:tc>
          <w:tcPr>
            <w:tcW w:w="674" w:type="pct"/>
            <w:noWrap/>
            <w:vAlign w:val="center"/>
          </w:tcPr>
          <w:p w14:paraId="58EB4256">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罐装</w:t>
            </w:r>
          </w:p>
        </w:tc>
        <w:tc>
          <w:tcPr>
            <w:tcW w:w="1037" w:type="pct"/>
            <w:noWrap/>
            <w:vAlign w:val="center"/>
          </w:tcPr>
          <w:p w14:paraId="545CCC96">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1500</w:t>
            </w:r>
          </w:p>
        </w:tc>
      </w:tr>
      <w:tr w14:paraId="63F7F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65" w:type="pct"/>
            <w:noWrap/>
            <w:vAlign w:val="center"/>
          </w:tcPr>
          <w:p w14:paraId="286683FC">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18</w:t>
            </w:r>
          </w:p>
        </w:tc>
        <w:tc>
          <w:tcPr>
            <w:tcW w:w="922" w:type="pct"/>
            <w:noWrap/>
            <w:vAlign w:val="center"/>
          </w:tcPr>
          <w:p w14:paraId="7FE22133">
            <w:pPr>
              <w:jc w:val="center"/>
              <w:rPr>
                <w:rFonts w:hint="eastAsia"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氢氧化钠</w:t>
            </w:r>
          </w:p>
        </w:tc>
        <w:tc>
          <w:tcPr>
            <w:tcW w:w="1016" w:type="pct"/>
            <w:noWrap/>
            <w:vAlign w:val="center"/>
          </w:tcPr>
          <w:p w14:paraId="7D8FE1BE">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2700</w:t>
            </w:r>
          </w:p>
        </w:tc>
        <w:tc>
          <w:tcPr>
            <w:tcW w:w="983" w:type="pct"/>
            <w:shd w:val="clear" w:color="auto" w:fill="auto"/>
            <w:noWrap/>
            <w:vAlign w:val="center"/>
          </w:tcPr>
          <w:p w14:paraId="13D4255F">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lang w:val="en-US" w:eastAsia="zh-CN"/>
              </w:rPr>
              <w:t>依托现有罐区</w:t>
            </w:r>
          </w:p>
        </w:tc>
        <w:tc>
          <w:tcPr>
            <w:tcW w:w="674" w:type="pct"/>
            <w:shd w:val="clear" w:color="auto" w:fill="auto"/>
            <w:noWrap/>
            <w:vAlign w:val="center"/>
          </w:tcPr>
          <w:p w14:paraId="4CAA5DFD">
            <w:pPr>
              <w:jc w:val="center"/>
              <w:rPr>
                <w:rFonts w:hint="eastAsia"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lang w:val="en-US" w:eastAsia="zh-CN"/>
              </w:rPr>
              <w:t>罐装</w:t>
            </w:r>
          </w:p>
        </w:tc>
        <w:tc>
          <w:tcPr>
            <w:tcW w:w="1037" w:type="pct"/>
            <w:noWrap/>
            <w:vAlign w:val="center"/>
          </w:tcPr>
          <w:p w14:paraId="3EE4A0C1">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28</w:t>
            </w:r>
          </w:p>
        </w:tc>
      </w:tr>
      <w:tr w14:paraId="59C75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65" w:type="pct"/>
            <w:noWrap/>
            <w:vAlign w:val="center"/>
          </w:tcPr>
          <w:p w14:paraId="39E1406E">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19</w:t>
            </w:r>
          </w:p>
        </w:tc>
        <w:tc>
          <w:tcPr>
            <w:tcW w:w="922" w:type="pct"/>
            <w:noWrap/>
            <w:vAlign w:val="center"/>
          </w:tcPr>
          <w:p w14:paraId="1171A17E">
            <w:pPr>
              <w:jc w:val="center"/>
              <w:rPr>
                <w:rFonts w:hint="eastAsia"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活性炭</w:t>
            </w:r>
          </w:p>
        </w:tc>
        <w:tc>
          <w:tcPr>
            <w:tcW w:w="1016" w:type="pct"/>
            <w:noWrap/>
            <w:vAlign w:val="center"/>
          </w:tcPr>
          <w:p w14:paraId="5B770AC6">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585</w:t>
            </w:r>
          </w:p>
        </w:tc>
        <w:tc>
          <w:tcPr>
            <w:tcW w:w="983" w:type="pct"/>
            <w:noWrap/>
            <w:vAlign w:val="center"/>
          </w:tcPr>
          <w:p w14:paraId="00E5303D">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综合仓库</w:t>
            </w:r>
          </w:p>
        </w:tc>
        <w:tc>
          <w:tcPr>
            <w:tcW w:w="674" w:type="pct"/>
            <w:noWrap/>
            <w:vAlign w:val="center"/>
          </w:tcPr>
          <w:p w14:paraId="7378539F">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袋装</w:t>
            </w:r>
          </w:p>
        </w:tc>
        <w:tc>
          <w:tcPr>
            <w:tcW w:w="1037" w:type="pct"/>
            <w:noWrap/>
            <w:vAlign w:val="center"/>
          </w:tcPr>
          <w:p w14:paraId="6A2CF532">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10</w:t>
            </w:r>
          </w:p>
        </w:tc>
      </w:tr>
      <w:tr w14:paraId="1ABA4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5000" w:type="pct"/>
            <w:gridSpan w:val="6"/>
            <w:noWrap/>
            <w:vAlign w:val="center"/>
          </w:tcPr>
          <w:p w14:paraId="2470E97E">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能源消耗</w:t>
            </w:r>
          </w:p>
        </w:tc>
      </w:tr>
      <w:tr w14:paraId="6C288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65" w:type="pct"/>
            <w:noWrap/>
            <w:vAlign w:val="center"/>
          </w:tcPr>
          <w:p w14:paraId="76BDEAE2">
            <w:pPr>
              <w:jc w:val="center"/>
              <w:rPr>
                <w:rFonts w:ascii="Times New Roman" w:hAnsi="Times New Roman" w:eastAsia="宋体" w:cs="Times New Roman"/>
                <w:color w:val="auto"/>
                <w:sz w:val="22"/>
                <w:szCs w:val="24"/>
                <w:highlight w:val="none"/>
              </w:rPr>
            </w:pPr>
            <w:r>
              <w:rPr>
                <w:rFonts w:ascii="Times New Roman" w:hAnsi="Times New Roman" w:eastAsia="宋体" w:cs="Times New Roman"/>
                <w:color w:val="auto"/>
                <w:sz w:val="22"/>
                <w:szCs w:val="24"/>
                <w:highlight w:val="none"/>
              </w:rPr>
              <w:t>21</w:t>
            </w:r>
          </w:p>
        </w:tc>
        <w:tc>
          <w:tcPr>
            <w:tcW w:w="922" w:type="pct"/>
            <w:noWrap/>
            <w:vAlign w:val="center"/>
          </w:tcPr>
          <w:p w14:paraId="6EE8D390">
            <w:pPr>
              <w:jc w:val="center"/>
              <w:rPr>
                <w:rFonts w:hint="eastAsia" w:ascii="Times New Roman" w:hAnsi="Times New Roman" w:eastAsia="宋体" w:cs="Times New Roman"/>
                <w:color w:val="auto"/>
                <w:sz w:val="22"/>
                <w:szCs w:val="24"/>
                <w:highlight w:val="none"/>
                <w:lang w:val="en-US" w:eastAsia="zh-CN"/>
              </w:rPr>
            </w:pPr>
            <w:r>
              <w:rPr>
                <w:rFonts w:hint="eastAsia" w:ascii="Times New Roman" w:hAnsi="Times New Roman" w:eastAsia="宋体" w:cs="Times New Roman"/>
                <w:color w:val="auto"/>
                <w:sz w:val="22"/>
                <w:szCs w:val="24"/>
                <w:highlight w:val="none"/>
                <w:lang w:val="en-US" w:eastAsia="zh-CN"/>
              </w:rPr>
              <w:t>水</w:t>
            </w:r>
          </w:p>
        </w:tc>
        <w:tc>
          <w:tcPr>
            <w:tcW w:w="1016" w:type="pct"/>
            <w:noWrap/>
            <w:vAlign w:val="center"/>
          </w:tcPr>
          <w:p w14:paraId="7DB8CEA5">
            <w:pPr>
              <w:jc w:val="center"/>
              <w:rPr>
                <w:rFonts w:hint="default" w:ascii="Times New Roman" w:hAnsi="Times New Roman" w:eastAsia="宋体" w:cs="Times New Roman"/>
                <w:color w:val="auto"/>
                <w:sz w:val="22"/>
                <w:szCs w:val="24"/>
                <w:highlight w:val="none"/>
                <w:lang w:val="en-US" w:eastAsia="zh-CN"/>
              </w:rPr>
            </w:pPr>
            <w:r>
              <w:rPr>
                <w:rFonts w:hint="eastAsia" w:ascii="Times New Roman" w:hAnsi="Times New Roman" w:eastAsia="宋体" w:cs="Times New Roman"/>
                <w:color w:val="auto"/>
                <w:sz w:val="22"/>
                <w:szCs w:val="24"/>
                <w:highlight w:val="none"/>
                <w:lang w:val="en-US" w:eastAsia="zh-CN"/>
              </w:rPr>
              <w:t>23035.8t</w:t>
            </w:r>
          </w:p>
        </w:tc>
        <w:tc>
          <w:tcPr>
            <w:tcW w:w="983" w:type="pct"/>
            <w:noWrap/>
            <w:vAlign w:val="center"/>
          </w:tcPr>
          <w:p w14:paraId="35DC947E">
            <w:pPr>
              <w:jc w:val="center"/>
              <w:rPr>
                <w:rFonts w:hint="eastAsia" w:ascii="Times New Roman" w:hAnsi="Times New Roman" w:eastAsia="宋体" w:cs="Times New Roman"/>
                <w:color w:val="auto"/>
                <w:sz w:val="22"/>
                <w:szCs w:val="24"/>
                <w:highlight w:val="none"/>
                <w:lang w:val="en-US" w:eastAsia="zh-CN"/>
              </w:rPr>
            </w:pPr>
            <w:r>
              <w:rPr>
                <w:rFonts w:hint="eastAsia" w:ascii="Times New Roman" w:hAnsi="Times New Roman" w:eastAsia="宋体" w:cs="Times New Roman"/>
                <w:color w:val="auto"/>
                <w:sz w:val="22"/>
                <w:szCs w:val="24"/>
                <w:highlight w:val="none"/>
                <w:lang w:val="en-US" w:eastAsia="zh-CN"/>
              </w:rPr>
              <w:t>/</w:t>
            </w:r>
          </w:p>
        </w:tc>
        <w:tc>
          <w:tcPr>
            <w:tcW w:w="674" w:type="pct"/>
            <w:noWrap/>
            <w:vAlign w:val="center"/>
          </w:tcPr>
          <w:p w14:paraId="6A3965AF">
            <w:pPr>
              <w:jc w:val="center"/>
              <w:rPr>
                <w:rFonts w:hint="eastAsia" w:ascii="Times New Roman" w:hAnsi="Times New Roman" w:eastAsia="宋体" w:cs="Times New Roman"/>
                <w:color w:val="auto"/>
                <w:sz w:val="22"/>
                <w:szCs w:val="24"/>
                <w:highlight w:val="none"/>
                <w:lang w:val="en-US" w:eastAsia="zh-CN"/>
              </w:rPr>
            </w:pPr>
            <w:r>
              <w:rPr>
                <w:rFonts w:hint="eastAsia" w:ascii="Times New Roman" w:hAnsi="Times New Roman" w:eastAsia="宋体" w:cs="Times New Roman"/>
                <w:color w:val="auto"/>
                <w:sz w:val="22"/>
                <w:szCs w:val="24"/>
                <w:highlight w:val="none"/>
                <w:lang w:val="en-US" w:eastAsia="zh-CN"/>
              </w:rPr>
              <w:t>/</w:t>
            </w:r>
          </w:p>
        </w:tc>
        <w:tc>
          <w:tcPr>
            <w:tcW w:w="1037" w:type="pct"/>
            <w:noWrap/>
            <w:vAlign w:val="center"/>
          </w:tcPr>
          <w:p w14:paraId="36FEE874">
            <w:pPr>
              <w:jc w:val="center"/>
              <w:rPr>
                <w:rFonts w:hint="eastAsia" w:ascii="Times New Roman" w:hAnsi="Times New Roman" w:eastAsia="宋体" w:cs="Times New Roman"/>
                <w:color w:val="auto"/>
                <w:sz w:val="22"/>
                <w:szCs w:val="24"/>
                <w:highlight w:val="none"/>
                <w:lang w:val="en-US" w:eastAsia="zh-CN"/>
              </w:rPr>
            </w:pPr>
            <w:r>
              <w:rPr>
                <w:rFonts w:hint="eastAsia" w:ascii="Times New Roman" w:hAnsi="Times New Roman" w:eastAsia="宋体" w:cs="Times New Roman"/>
                <w:color w:val="auto"/>
                <w:sz w:val="22"/>
                <w:szCs w:val="24"/>
                <w:highlight w:val="none"/>
                <w:lang w:val="en-US" w:eastAsia="zh-CN"/>
              </w:rPr>
              <w:t>/</w:t>
            </w:r>
          </w:p>
        </w:tc>
      </w:tr>
      <w:tr w14:paraId="76920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65" w:type="pct"/>
            <w:noWrap/>
            <w:vAlign w:val="center"/>
          </w:tcPr>
          <w:p w14:paraId="6A41FB82">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22</w:t>
            </w:r>
          </w:p>
        </w:tc>
        <w:tc>
          <w:tcPr>
            <w:tcW w:w="922" w:type="pct"/>
            <w:noWrap/>
            <w:vAlign w:val="center"/>
          </w:tcPr>
          <w:p w14:paraId="005A935B">
            <w:pPr>
              <w:jc w:val="center"/>
              <w:rPr>
                <w:rFonts w:hint="eastAsia"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电</w:t>
            </w:r>
          </w:p>
        </w:tc>
        <w:tc>
          <w:tcPr>
            <w:tcW w:w="1016" w:type="pct"/>
            <w:noWrap/>
            <w:vAlign w:val="center"/>
          </w:tcPr>
          <w:p w14:paraId="2E322CEB">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lang w:val="en-US" w:eastAsia="zh-CN"/>
              </w:rPr>
              <w:t>406.88</w:t>
            </w:r>
            <w:r>
              <w:rPr>
                <w:rFonts w:hint="eastAsia" w:ascii="Times New Roman" w:hAnsi="Times New Roman" w:eastAsia="宋体" w:cs="Times New Roman"/>
                <w:color w:val="auto"/>
                <w:sz w:val="22"/>
                <w:szCs w:val="24"/>
              </w:rPr>
              <w:t>万Kwh</w:t>
            </w:r>
          </w:p>
        </w:tc>
        <w:tc>
          <w:tcPr>
            <w:tcW w:w="983" w:type="pct"/>
            <w:noWrap/>
            <w:vAlign w:val="center"/>
          </w:tcPr>
          <w:p w14:paraId="55F20FAF">
            <w:pPr>
              <w:jc w:val="center"/>
              <w:rPr>
                <w:rFonts w:hint="eastAsia"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w:t>
            </w:r>
          </w:p>
        </w:tc>
        <w:tc>
          <w:tcPr>
            <w:tcW w:w="674" w:type="pct"/>
            <w:noWrap/>
            <w:vAlign w:val="center"/>
          </w:tcPr>
          <w:p w14:paraId="42507E05">
            <w:pPr>
              <w:jc w:val="center"/>
              <w:rPr>
                <w:rFonts w:hint="eastAsia"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w:t>
            </w:r>
          </w:p>
        </w:tc>
        <w:tc>
          <w:tcPr>
            <w:tcW w:w="1037" w:type="pct"/>
            <w:noWrap/>
            <w:vAlign w:val="center"/>
          </w:tcPr>
          <w:p w14:paraId="24FF70AB">
            <w:pPr>
              <w:jc w:val="center"/>
              <w:rPr>
                <w:rFonts w:hint="eastAsia"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w:t>
            </w:r>
          </w:p>
        </w:tc>
      </w:tr>
      <w:tr w14:paraId="71066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65" w:type="pct"/>
            <w:noWrap/>
            <w:vAlign w:val="center"/>
          </w:tcPr>
          <w:p w14:paraId="5ABD94F6">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23</w:t>
            </w:r>
          </w:p>
        </w:tc>
        <w:tc>
          <w:tcPr>
            <w:tcW w:w="922" w:type="pct"/>
            <w:noWrap/>
            <w:vAlign w:val="center"/>
          </w:tcPr>
          <w:p w14:paraId="360877E9">
            <w:pPr>
              <w:jc w:val="center"/>
              <w:rPr>
                <w:rFonts w:hint="eastAsia"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蒸汽</w:t>
            </w:r>
          </w:p>
        </w:tc>
        <w:tc>
          <w:tcPr>
            <w:tcW w:w="1016" w:type="pct"/>
            <w:noWrap/>
            <w:vAlign w:val="center"/>
          </w:tcPr>
          <w:p w14:paraId="06E4374D">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4.18万</w:t>
            </w:r>
          </w:p>
        </w:tc>
        <w:tc>
          <w:tcPr>
            <w:tcW w:w="983" w:type="pct"/>
            <w:noWrap/>
            <w:vAlign w:val="center"/>
          </w:tcPr>
          <w:p w14:paraId="7C2A42C9">
            <w:pPr>
              <w:jc w:val="center"/>
              <w:rPr>
                <w:rFonts w:hint="eastAsia"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w:t>
            </w:r>
          </w:p>
        </w:tc>
        <w:tc>
          <w:tcPr>
            <w:tcW w:w="674" w:type="pct"/>
            <w:noWrap/>
            <w:vAlign w:val="center"/>
          </w:tcPr>
          <w:p w14:paraId="7C511399">
            <w:pPr>
              <w:jc w:val="center"/>
              <w:rPr>
                <w:rFonts w:hint="eastAsia"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w:t>
            </w:r>
          </w:p>
        </w:tc>
        <w:tc>
          <w:tcPr>
            <w:tcW w:w="1037" w:type="pct"/>
            <w:noWrap/>
            <w:vAlign w:val="center"/>
          </w:tcPr>
          <w:p w14:paraId="4D69DB14">
            <w:pPr>
              <w:jc w:val="center"/>
              <w:rPr>
                <w:rFonts w:hint="eastAsia"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w:t>
            </w:r>
          </w:p>
        </w:tc>
      </w:tr>
    </w:tbl>
    <w:p w14:paraId="52080BD6">
      <w:pPr>
        <w:spacing w:line="360" w:lineRule="auto"/>
        <w:ind w:firstLine="480" w:firstLineChars="200"/>
        <w:rPr>
          <w:rFonts w:hint="eastAsia" w:ascii="Times New Roman" w:hAnsi="Times New Roman" w:eastAsia="宋体" w:cs="Times New Roman"/>
          <w:color w:val="auto"/>
          <w:sz w:val="24"/>
          <w:lang w:val="en-US" w:eastAsia="zh-CN"/>
        </w:rPr>
      </w:pPr>
      <w:r>
        <w:rPr>
          <w:rFonts w:ascii="Times New Roman" w:hAnsi="Times New Roman" w:eastAsia="宋体" w:cs="Times New Roman"/>
          <w:color w:val="auto"/>
          <w:sz w:val="24"/>
        </w:rPr>
        <w:t>对照</w:t>
      </w:r>
      <w:r>
        <w:rPr>
          <w:color w:val="auto"/>
        </w:rPr>
        <w:fldChar w:fldCharType="begin"/>
      </w:r>
      <w:r>
        <w:rPr>
          <w:color w:val="auto"/>
        </w:rPr>
        <w:instrText xml:space="preserve"> HYPERLINK "http://www.baidu.com/link?url=z6RhLW9nxewbB61JPTOZO4BiUK_hOlV22pn-LnHUPtcTAN93aju1d2onPxvq9-wKjkxLqdlZ_-gFXvLblBH90_" \t "_blank" </w:instrText>
      </w:r>
      <w:r>
        <w:rPr>
          <w:color w:val="auto"/>
        </w:rPr>
        <w:fldChar w:fldCharType="separate"/>
      </w:r>
      <w:r>
        <w:rPr>
          <w:rFonts w:ascii="Times New Roman" w:hAnsi="Times New Roman" w:eastAsia="宋体" w:cs="Times New Roman"/>
          <w:color w:val="auto"/>
          <w:sz w:val="24"/>
        </w:rPr>
        <w:t>《关于持久性有机污染物的斯德哥尔摩公约》</w:t>
      </w:r>
      <w:r>
        <w:rPr>
          <w:rFonts w:ascii="Times New Roman" w:hAnsi="Times New Roman" w:eastAsia="宋体" w:cs="Times New Roman"/>
          <w:color w:val="auto"/>
          <w:sz w:val="24"/>
        </w:rPr>
        <w:fldChar w:fldCharType="end"/>
      </w:r>
      <w:r>
        <w:rPr>
          <w:rFonts w:ascii="Times New Roman" w:hAnsi="Times New Roman" w:eastAsia="宋体" w:cs="Times New Roman"/>
          <w:color w:val="auto"/>
          <w:sz w:val="24"/>
        </w:rPr>
        <w:t>及主要原辅材料理化性质，本项目生产过程不涉及“持久性有机污染物”和“三致物”</w:t>
      </w:r>
      <w:r>
        <w:rPr>
          <w:rFonts w:hint="eastAsia" w:ascii="Times New Roman" w:hAnsi="Times New Roman" w:eastAsia="宋体" w:cs="Times New Roman"/>
          <w:color w:val="auto"/>
          <w:sz w:val="24"/>
          <w:lang w:val="en-US" w:eastAsia="zh-CN"/>
        </w:rPr>
        <w:t>和“高毒性”原料</w:t>
      </w:r>
      <w:r>
        <w:rPr>
          <w:rFonts w:ascii="Times New Roman" w:hAnsi="Times New Roman" w:eastAsia="宋体" w:cs="Times New Roman"/>
          <w:color w:val="auto"/>
          <w:sz w:val="24"/>
        </w:rPr>
        <w:t>。</w:t>
      </w:r>
      <w:r>
        <w:rPr>
          <w:rFonts w:hint="eastAsia" w:ascii="Times New Roman" w:hAnsi="Times New Roman" w:eastAsia="宋体" w:cs="Times New Roman"/>
          <w:color w:val="auto"/>
          <w:sz w:val="24"/>
          <w:lang w:val="en-US" w:eastAsia="zh-CN"/>
        </w:rPr>
        <w:t>项目原辅材料理化性质见下表。</w:t>
      </w:r>
    </w:p>
    <w:p w14:paraId="49E1E957">
      <w:pPr>
        <w:spacing w:line="360" w:lineRule="auto"/>
        <w:ind w:firstLine="480" w:firstLineChars="200"/>
        <w:rPr>
          <w:rFonts w:hint="eastAsia" w:ascii="Times New Roman" w:hAnsi="Times New Roman" w:eastAsia="宋体" w:cs="Times New Roman"/>
          <w:color w:val="FF0000"/>
          <w:sz w:val="24"/>
          <w:lang w:val="en-US" w:eastAsia="zh-CN"/>
        </w:rPr>
        <w:sectPr>
          <w:headerReference r:id="rId9" w:type="default"/>
          <w:pgSz w:w="11906" w:h="16838"/>
          <w:pgMar w:top="1440" w:right="1800" w:bottom="1440" w:left="1800" w:header="851" w:footer="992" w:gutter="0"/>
          <w:pgNumType w:fmt="numberInDash"/>
          <w:cols w:space="720" w:num="1"/>
          <w:docGrid w:type="lines" w:linePitch="312" w:charSpace="0"/>
        </w:sectPr>
      </w:pPr>
    </w:p>
    <w:p w14:paraId="209DC346">
      <w:pPr>
        <w:pStyle w:val="6"/>
        <w:bidi w:val="0"/>
        <w:rPr>
          <w:rFonts w:hint="eastAsia"/>
        </w:rPr>
      </w:pPr>
      <w:r>
        <w:rPr>
          <w:rFonts w:hint="eastAsia"/>
        </w:rPr>
        <w:t>表</w:t>
      </w:r>
      <w:r>
        <w:rPr>
          <w:rFonts w:hint="eastAsia"/>
          <w:lang w:val="en-US" w:eastAsia="zh-CN"/>
        </w:rPr>
        <w:t>3.2.5-2</w:t>
      </w:r>
      <w:r>
        <w:rPr>
          <w:rFonts w:hint="eastAsia"/>
        </w:rPr>
        <w:t xml:space="preserve">   项目原辅料理化性质一览表</w:t>
      </w: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57" w:type="dxa"/>
          <w:bottom w:w="0" w:type="dxa"/>
          <w:right w:w="57" w:type="dxa"/>
        </w:tblCellMar>
      </w:tblPr>
      <w:tblGrid>
        <w:gridCol w:w="1319"/>
        <w:gridCol w:w="1440"/>
        <w:gridCol w:w="1790"/>
        <w:gridCol w:w="6275"/>
        <w:gridCol w:w="2922"/>
      </w:tblGrid>
      <w:tr w14:paraId="62402BA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7" w:type="dxa"/>
            <w:bottom w:w="0" w:type="dxa"/>
            <w:right w:w="57" w:type="dxa"/>
          </w:tblCellMar>
        </w:tblPrEx>
        <w:trPr>
          <w:cantSplit/>
          <w:tblHeader/>
          <w:jc w:val="center"/>
        </w:trPr>
        <w:tc>
          <w:tcPr>
            <w:tcW w:w="1319" w:type="dxa"/>
            <w:noWrap w:val="0"/>
            <w:vAlign w:val="center"/>
          </w:tcPr>
          <w:p w14:paraId="1785EBCF">
            <w:pPr>
              <w:pStyle w:val="52"/>
              <w:bidi w:val="0"/>
            </w:pPr>
            <w:r>
              <w:t>物质名称</w:t>
            </w:r>
          </w:p>
        </w:tc>
        <w:tc>
          <w:tcPr>
            <w:tcW w:w="1440" w:type="dxa"/>
            <w:noWrap w:val="0"/>
            <w:vAlign w:val="center"/>
          </w:tcPr>
          <w:p w14:paraId="40F5984C">
            <w:pPr>
              <w:pStyle w:val="52"/>
              <w:bidi w:val="0"/>
            </w:pPr>
            <w:r>
              <w:t>CAS编号</w:t>
            </w:r>
          </w:p>
        </w:tc>
        <w:tc>
          <w:tcPr>
            <w:tcW w:w="1485" w:type="dxa"/>
            <w:noWrap w:val="0"/>
            <w:tcMar>
              <w:left w:w="0" w:type="dxa"/>
              <w:right w:w="0" w:type="dxa"/>
            </w:tcMar>
            <w:vAlign w:val="center"/>
          </w:tcPr>
          <w:p w14:paraId="0E5FF37D">
            <w:pPr>
              <w:pStyle w:val="52"/>
              <w:bidi w:val="0"/>
            </w:pPr>
            <w:r>
              <w:t>分子式</w:t>
            </w:r>
          </w:p>
          <w:p w14:paraId="650BDBE5">
            <w:pPr>
              <w:pStyle w:val="52"/>
              <w:bidi w:val="0"/>
            </w:pPr>
            <w:r>
              <w:t>（分子量）</w:t>
            </w:r>
          </w:p>
        </w:tc>
        <w:tc>
          <w:tcPr>
            <w:tcW w:w="6275" w:type="dxa"/>
            <w:noWrap w:val="0"/>
            <w:tcMar>
              <w:left w:w="0" w:type="dxa"/>
              <w:right w:w="0" w:type="dxa"/>
            </w:tcMar>
            <w:vAlign w:val="center"/>
          </w:tcPr>
          <w:p w14:paraId="5C8B64DF">
            <w:pPr>
              <w:pStyle w:val="52"/>
              <w:bidi w:val="0"/>
            </w:pPr>
            <w:r>
              <w:t>理化性质</w:t>
            </w:r>
          </w:p>
        </w:tc>
        <w:tc>
          <w:tcPr>
            <w:tcW w:w="2922" w:type="dxa"/>
            <w:noWrap w:val="0"/>
            <w:tcMar>
              <w:left w:w="0" w:type="dxa"/>
              <w:right w:w="0" w:type="dxa"/>
            </w:tcMar>
            <w:vAlign w:val="center"/>
          </w:tcPr>
          <w:p w14:paraId="2A5288FB">
            <w:pPr>
              <w:pStyle w:val="52"/>
              <w:bidi w:val="0"/>
            </w:pPr>
            <w:r>
              <w:t>毒理特性</w:t>
            </w:r>
          </w:p>
        </w:tc>
      </w:tr>
      <w:tr w14:paraId="6A72429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7" w:type="dxa"/>
            <w:bottom w:w="0" w:type="dxa"/>
            <w:right w:w="57" w:type="dxa"/>
          </w:tblCellMar>
        </w:tblPrEx>
        <w:trPr>
          <w:cantSplit/>
          <w:jc w:val="center"/>
        </w:trPr>
        <w:tc>
          <w:tcPr>
            <w:tcW w:w="1319" w:type="dxa"/>
            <w:noWrap w:val="0"/>
            <w:vAlign w:val="center"/>
          </w:tcPr>
          <w:p w14:paraId="3F57729D">
            <w:pPr>
              <w:pStyle w:val="52"/>
              <w:bidi w:val="0"/>
            </w:pPr>
            <w:r>
              <w:rPr>
                <w:rFonts w:hint="eastAsia"/>
              </w:rPr>
              <w:t>蛋白胨</w:t>
            </w:r>
          </w:p>
        </w:tc>
        <w:tc>
          <w:tcPr>
            <w:tcW w:w="1440" w:type="dxa"/>
            <w:noWrap w:val="0"/>
            <w:vAlign w:val="center"/>
          </w:tcPr>
          <w:p w14:paraId="50D9CBE6">
            <w:pPr>
              <w:pStyle w:val="52"/>
              <w:bidi w:val="0"/>
              <w:rPr>
                <w:rFonts w:hint="default" w:eastAsia="宋体"/>
                <w:lang w:val="en-US" w:eastAsia="zh-CN"/>
              </w:rPr>
            </w:pPr>
            <w:r>
              <w:rPr>
                <w:rFonts w:hint="eastAsia"/>
                <w:lang w:val="en-US" w:eastAsia="zh-CN"/>
              </w:rPr>
              <w:t>73049-73-7</w:t>
            </w:r>
          </w:p>
        </w:tc>
        <w:tc>
          <w:tcPr>
            <w:tcW w:w="1485" w:type="dxa"/>
            <w:noWrap w:val="0"/>
            <w:tcMar>
              <w:left w:w="0" w:type="dxa"/>
              <w:right w:w="0" w:type="dxa"/>
            </w:tcMar>
            <w:vAlign w:val="center"/>
          </w:tcPr>
          <w:p w14:paraId="3E287FF9">
            <w:pPr>
              <w:pStyle w:val="52"/>
              <w:bidi w:val="0"/>
              <w:rPr>
                <w:rFonts w:hint="eastAsia" w:eastAsia="宋体"/>
                <w:lang w:val="en-US" w:eastAsia="zh-CN"/>
              </w:rPr>
            </w:pPr>
            <w:r>
              <w:rPr>
                <w:rFonts w:hint="eastAsia"/>
                <w:lang w:val="en-US" w:eastAsia="zh-CN"/>
              </w:rPr>
              <w:t>/</w:t>
            </w:r>
          </w:p>
        </w:tc>
        <w:tc>
          <w:tcPr>
            <w:tcW w:w="6275" w:type="dxa"/>
            <w:noWrap w:val="0"/>
            <w:tcMar>
              <w:left w:w="0" w:type="dxa"/>
              <w:right w:w="0" w:type="dxa"/>
            </w:tcMar>
            <w:vAlign w:val="center"/>
          </w:tcPr>
          <w:p w14:paraId="55424C2E">
            <w:pPr>
              <w:pStyle w:val="52"/>
              <w:bidi w:val="0"/>
            </w:pPr>
            <w:r>
              <w:rPr>
                <w:rFonts w:hint="eastAsia"/>
              </w:rPr>
              <w:t>为浅黄色至棕色粉末或颗粒,有肉味,但无腐臭,易溶于水,不溶于乙醇、氯仿和乙醚。</w:t>
            </w:r>
          </w:p>
        </w:tc>
        <w:tc>
          <w:tcPr>
            <w:tcW w:w="2922" w:type="dxa"/>
            <w:noWrap w:val="0"/>
            <w:tcMar>
              <w:left w:w="0" w:type="dxa"/>
              <w:right w:w="0" w:type="dxa"/>
            </w:tcMar>
            <w:vAlign w:val="center"/>
          </w:tcPr>
          <w:p w14:paraId="0DCBD6D2">
            <w:pPr>
              <w:pStyle w:val="52"/>
              <w:bidi w:val="0"/>
            </w:pPr>
            <w:r>
              <w:t>——</w:t>
            </w:r>
          </w:p>
        </w:tc>
      </w:tr>
      <w:tr w14:paraId="13C1619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7" w:type="dxa"/>
            <w:bottom w:w="0" w:type="dxa"/>
            <w:right w:w="57" w:type="dxa"/>
          </w:tblCellMar>
        </w:tblPrEx>
        <w:trPr>
          <w:cantSplit/>
          <w:jc w:val="center"/>
        </w:trPr>
        <w:tc>
          <w:tcPr>
            <w:tcW w:w="1319" w:type="dxa"/>
            <w:shd w:val="clear" w:color="auto" w:fill="auto"/>
            <w:noWrap w:val="0"/>
            <w:vAlign w:val="center"/>
          </w:tcPr>
          <w:p w14:paraId="123555A4">
            <w:pPr>
              <w:pStyle w:val="52"/>
              <w:bidi w:val="0"/>
              <w:rPr>
                <w:rFonts w:ascii="Times New Roman" w:hAnsi="Times New Roman" w:eastAsia="宋体" w:cs="Times New Roman"/>
                <w:color w:val="000000"/>
                <w:kern w:val="2"/>
                <w:sz w:val="21"/>
                <w:szCs w:val="28"/>
                <w:lang w:val="en-US" w:eastAsia="zh-CN" w:bidi="ar-SA"/>
              </w:rPr>
            </w:pPr>
            <w:r>
              <w:t>氢氧化钠</w:t>
            </w:r>
          </w:p>
        </w:tc>
        <w:tc>
          <w:tcPr>
            <w:tcW w:w="1440" w:type="dxa"/>
            <w:shd w:val="clear" w:color="auto" w:fill="auto"/>
            <w:noWrap w:val="0"/>
            <w:vAlign w:val="center"/>
          </w:tcPr>
          <w:p w14:paraId="07E20275">
            <w:pPr>
              <w:pStyle w:val="52"/>
              <w:bidi w:val="0"/>
              <w:rPr>
                <w:rFonts w:ascii="Times New Roman" w:hAnsi="Times New Roman" w:eastAsia="宋体" w:cs="Times New Roman"/>
                <w:color w:val="000000"/>
                <w:kern w:val="2"/>
                <w:sz w:val="21"/>
                <w:szCs w:val="28"/>
                <w:lang w:val="en-US" w:eastAsia="zh-CN" w:bidi="ar-SA"/>
              </w:rPr>
            </w:pPr>
            <w:r>
              <w:t>1310-73-2</w:t>
            </w:r>
          </w:p>
        </w:tc>
        <w:tc>
          <w:tcPr>
            <w:tcW w:w="1485" w:type="dxa"/>
            <w:shd w:val="clear" w:color="auto" w:fill="auto"/>
            <w:noWrap w:val="0"/>
            <w:tcMar>
              <w:left w:w="0" w:type="dxa"/>
              <w:right w:w="0" w:type="dxa"/>
            </w:tcMar>
            <w:vAlign w:val="center"/>
          </w:tcPr>
          <w:p w14:paraId="42485984">
            <w:pPr>
              <w:pStyle w:val="52"/>
              <w:bidi w:val="0"/>
            </w:pPr>
            <w:r>
              <w:t>NaOH</w:t>
            </w:r>
          </w:p>
          <w:p w14:paraId="757831D8">
            <w:pPr>
              <w:pStyle w:val="52"/>
              <w:bidi w:val="0"/>
              <w:rPr>
                <w:rFonts w:ascii="Times New Roman" w:hAnsi="Times New Roman" w:eastAsia="宋体" w:cs="Times New Roman"/>
                <w:color w:val="000000"/>
                <w:kern w:val="2"/>
                <w:sz w:val="21"/>
                <w:szCs w:val="28"/>
                <w:lang w:val="en-US" w:eastAsia="zh-CN" w:bidi="ar-SA"/>
              </w:rPr>
            </w:pPr>
            <w:r>
              <w:t>40.0</w:t>
            </w:r>
          </w:p>
        </w:tc>
        <w:tc>
          <w:tcPr>
            <w:tcW w:w="6275" w:type="dxa"/>
            <w:shd w:val="clear" w:color="auto" w:fill="auto"/>
            <w:noWrap w:val="0"/>
            <w:tcMar>
              <w:left w:w="0" w:type="dxa"/>
              <w:right w:w="0" w:type="dxa"/>
            </w:tcMar>
            <w:vAlign w:val="center"/>
          </w:tcPr>
          <w:p w14:paraId="233048CB">
            <w:pPr>
              <w:pStyle w:val="52"/>
              <w:bidi w:val="0"/>
              <w:rPr>
                <w:rFonts w:ascii="Times New Roman" w:hAnsi="Times New Roman" w:eastAsia="宋体" w:cs="Times New Roman"/>
                <w:color w:val="000000"/>
                <w:kern w:val="2"/>
                <w:sz w:val="21"/>
                <w:szCs w:val="28"/>
                <w:lang w:val="en-US" w:eastAsia="zh-CN" w:bidi="ar-SA"/>
              </w:rPr>
            </w:pPr>
            <w:r>
              <w:t>也称苛性钠、烧碱、固碱、火碱、苛性苏打。氢氧化钠具有强碱性，腐蚀性极强。</w:t>
            </w:r>
          </w:p>
        </w:tc>
        <w:tc>
          <w:tcPr>
            <w:tcW w:w="2922" w:type="dxa"/>
            <w:shd w:val="clear" w:color="auto" w:fill="auto"/>
            <w:noWrap w:val="0"/>
            <w:tcMar>
              <w:left w:w="0" w:type="dxa"/>
              <w:right w:w="0" w:type="dxa"/>
            </w:tcMar>
            <w:vAlign w:val="center"/>
          </w:tcPr>
          <w:p w14:paraId="33B9D4EF">
            <w:pPr>
              <w:pStyle w:val="52"/>
              <w:bidi w:val="0"/>
              <w:rPr>
                <w:rFonts w:ascii="Times New Roman" w:hAnsi="Times New Roman" w:eastAsia="宋体" w:cs="Times New Roman"/>
                <w:color w:val="000000"/>
                <w:kern w:val="2"/>
                <w:sz w:val="21"/>
                <w:szCs w:val="28"/>
                <w:lang w:val="en-US" w:eastAsia="zh-CN" w:bidi="ar-SA"/>
              </w:rPr>
            </w:pPr>
            <w:r>
              <w:t>——</w:t>
            </w:r>
          </w:p>
        </w:tc>
      </w:tr>
      <w:tr w14:paraId="0CF8BBD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7" w:type="dxa"/>
            <w:bottom w:w="0" w:type="dxa"/>
            <w:right w:w="57" w:type="dxa"/>
          </w:tblCellMar>
        </w:tblPrEx>
        <w:trPr>
          <w:cantSplit/>
          <w:jc w:val="center"/>
        </w:trPr>
        <w:tc>
          <w:tcPr>
            <w:tcW w:w="1319" w:type="dxa"/>
            <w:noWrap w:val="0"/>
            <w:vAlign w:val="center"/>
          </w:tcPr>
          <w:p w14:paraId="48320DA5">
            <w:pPr>
              <w:pStyle w:val="52"/>
              <w:bidi w:val="0"/>
            </w:pPr>
            <w:r>
              <w:rPr>
                <w:rFonts w:hint="eastAsia" w:ascii="Times New Roman" w:hAnsi="Times New Roman" w:eastAsia="宋体" w:cs="Times New Roman"/>
                <w:color w:val="auto"/>
                <w:sz w:val="22"/>
                <w:szCs w:val="24"/>
                <w:lang w:val="en-US" w:eastAsia="zh-CN"/>
              </w:rPr>
              <w:t>消泡剂</w:t>
            </w:r>
          </w:p>
        </w:tc>
        <w:tc>
          <w:tcPr>
            <w:tcW w:w="1440" w:type="dxa"/>
            <w:noWrap w:val="0"/>
            <w:vAlign w:val="center"/>
          </w:tcPr>
          <w:p w14:paraId="53B88ECA">
            <w:pPr>
              <w:pStyle w:val="52"/>
              <w:bidi w:val="0"/>
              <w:rPr>
                <w:rFonts w:hint="eastAsia" w:eastAsia="宋体"/>
                <w:lang w:val="en-US" w:eastAsia="zh-CN"/>
              </w:rPr>
            </w:pPr>
            <w:r>
              <w:rPr>
                <w:rFonts w:hint="eastAsia"/>
                <w:lang w:val="en-US" w:eastAsia="zh-CN"/>
              </w:rPr>
              <w:t>/</w:t>
            </w:r>
          </w:p>
        </w:tc>
        <w:tc>
          <w:tcPr>
            <w:tcW w:w="1485" w:type="dxa"/>
            <w:noWrap w:val="0"/>
            <w:tcMar>
              <w:left w:w="0" w:type="dxa"/>
              <w:right w:w="0" w:type="dxa"/>
            </w:tcMar>
            <w:vAlign w:val="center"/>
          </w:tcPr>
          <w:p w14:paraId="5618722D">
            <w:pPr>
              <w:pStyle w:val="52"/>
              <w:bidi w:val="0"/>
              <w:rPr>
                <w:rFonts w:hint="eastAsia" w:eastAsia="宋体"/>
                <w:lang w:val="en-US" w:eastAsia="zh-CN"/>
              </w:rPr>
            </w:pPr>
            <w:r>
              <w:rPr>
                <w:rFonts w:hint="eastAsia"/>
                <w:lang w:val="en-US" w:eastAsia="zh-CN"/>
              </w:rPr>
              <w:t>/</w:t>
            </w:r>
          </w:p>
        </w:tc>
        <w:tc>
          <w:tcPr>
            <w:tcW w:w="6275" w:type="dxa"/>
            <w:noWrap w:val="0"/>
            <w:tcMar>
              <w:left w:w="0" w:type="dxa"/>
              <w:right w:w="0" w:type="dxa"/>
            </w:tcMar>
            <w:vAlign w:val="center"/>
          </w:tcPr>
          <w:p w14:paraId="27387F29">
            <w:pPr>
              <w:pStyle w:val="52"/>
              <w:bidi w:val="0"/>
            </w:pPr>
            <w:r>
              <w:rPr>
                <w:rFonts w:hint="eastAsia"/>
              </w:rPr>
              <w:t>非硅水基消泡剂，主要成分包括脂肪醇、脂肪酸、脂肪酸酯、酰胺类、磷酸酯类、矿物油类等有机物，化学性质稳定，无生理活性，无腐蚀、无毒、无不良副作用、不燃、不爆，安全性高。</w:t>
            </w:r>
          </w:p>
        </w:tc>
        <w:tc>
          <w:tcPr>
            <w:tcW w:w="2922" w:type="dxa"/>
            <w:noWrap w:val="0"/>
            <w:tcMar>
              <w:left w:w="0" w:type="dxa"/>
              <w:right w:w="0" w:type="dxa"/>
            </w:tcMar>
            <w:vAlign w:val="center"/>
          </w:tcPr>
          <w:p w14:paraId="2DF0A2EC">
            <w:pPr>
              <w:pStyle w:val="52"/>
              <w:bidi w:val="0"/>
            </w:pPr>
            <w:r>
              <w:t>——</w:t>
            </w:r>
          </w:p>
        </w:tc>
      </w:tr>
      <w:tr w14:paraId="1394EDD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7" w:type="dxa"/>
            <w:bottom w:w="0" w:type="dxa"/>
            <w:right w:w="57" w:type="dxa"/>
          </w:tblCellMar>
        </w:tblPrEx>
        <w:trPr>
          <w:cantSplit/>
          <w:jc w:val="center"/>
        </w:trPr>
        <w:tc>
          <w:tcPr>
            <w:tcW w:w="1319" w:type="dxa"/>
            <w:noWrap w:val="0"/>
            <w:vAlign w:val="center"/>
          </w:tcPr>
          <w:p w14:paraId="7E61D241">
            <w:pPr>
              <w:pStyle w:val="52"/>
              <w:bidi w:val="0"/>
            </w:pPr>
            <w:r>
              <w:rPr>
                <w:rFonts w:hint="eastAsia"/>
              </w:rPr>
              <w:t>酵母浸粉</w:t>
            </w:r>
          </w:p>
        </w:tc>
        <w:tc>
          <w:tcPr>
            <w:tcW w:w="1440" w:type="dxa"/>
            <w:noWrap w:val="0"/>
            <w:vAlign w:val="center"/>
          </w:tcPr>
          <w:p w14:paraId="67339389">
            <w:pPr>
              <w:pStyle w:val="52"/>
              <w:bidi w:val="0"/>
              <w:rPr>
                <w:rFonts w:hint="eastAsia" w:eastAsia="宋体"/>
                <w:lang w:val="en-US" w:eastAsia="zh-CN"/>
              </w:rPr>
            </w:pPr>
            <w:r>
              <w:rPr>
                <w:rFonts w:hint="eastAsia"/>
                <w:lang w:val="en-US" w:eastAsia="zh-CN"/>
              </w:rPr>
              <w:t>/</w:t>
            </w:r>
          </w:p>
        </w:tc>
        <w:tc>
          <w:tcPr>
            <w:tcW w:w="1485" w:type="dxa"/>
            <w:noWrap w:val="0"/>
            <w:tcMar>
              <w:left w:w="0" w:type="dxa"/>
              <w:right w:w="0" w:type="dxa"/>
            </w:tcMar>
            <w:vAlign w:val="center"/>
          </w:tcPr>
          <w:p w14:paraId="7B9FBD72">
            <w:pPr>
              <w:pStyle w:val="52"/>
              <w:bidi w:val="0"/>
              <w:rPr>
                <w:rFonts w:hint="eastAsia" w:eastAsia="宋体"/>
                <w:lang w:val="en-US" w:eastAsia="zh-CN"/>
              </w:rPr>
            </w:pPr>
            <w:r>
              <w:rPr>
                <w:rFonts w:hint="eastAsia"/>
                <w:lang w:val="en-US" w:eastAsia="zh-CN"/>
              </w:rPr>
              <w:t>/</w:t>
            </w:r>
          </w:p>
        </w:tc>
        <w:tc>
          <w:tcPr>
            <w:tcW w:w="6275" w:type="dxa"/>
            <w:noWrap w:val="0"/>
            <w:tcMar>
              <w:left w:w="0" w:type="dxa"/>
              <w:right w:w="0" w:type="dxa"/>
            </w:tcMar>
            <w:vAlign w:val="center"/>
          </w:tcPr>
          <w:p w14:paraId="264EA380">
            <w:pPr>
              <w:pStyle w:val="52"/>
              <w:bidi w:val="0"/>
            </w:pPr>
            <w:r>
              <w:rPr>
                <w:rFonts w:hint="eastAsia"/>
              </w:rPr>
              <w:t>以高蛋白面包酵母或啤酒酵母为原料，经自溶、酶解、浓缩、干燥等工艺制成的一种富含蛋白质、氨基酸、肽、多肽、核酸、维生素及微量元素等营养成分的生物培养基产品。</w:t>
            </w:r>
          </w:p>
        </w:tc>
        <w:tc>
          <w:tcPr>
            <w:tcW w:w="2922" w:type="dxa"/>
            <w:noWrap w:val="0"/>
            <w:tcMar>
              <w:left w:w="0" w:type="dxa"/>
              <w:right w:w="0" w:type="dxa"/>
            </w:tcMar>
            <w:vAlign w:val="center"/>
          </w:tcPr>
          <w:p w14:paraId="65004FCE">
            <w:pPr>
              <w:pStyle w:val="52"/>
              <w:bidi w:val="0"/>
            </w:pPr>
            <w:r>
              <w:t>——</w:t>
            </w:r>
          </w:p>
        </w:tc>
      </w:tr>
      <w:tr w14:paraId="488F361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7" w:type="dxa"/>
            <w:bottom w:w="0" w:type="dxa"/>
            <w:right w:w="57" w:type="dxa"/>
          </w:tblCellMar>
        </w:tblPrEx>
        <w:trPr>
          <w:cantSplit/>
          <w:jc w:val="center"/>
        </w:trPr>
        <w:tc>
          <w:tcPr>
            <w:tcW w:w="1319" w:type="dxa"/>
            <w:noWrap w:val="0"/>
            <w:vAlign w:val="center"/>
          </w:tcPr>
          <w:p w14:paraId="4124C44D">
            <w:pPr>
              <w:pStyle w:val="52"/>
              <w:bidi w:val="0"/>
              <w:jc w:val="center"/>
              <w:rPr>
                <w:rFonts w:hint="eastAsia" w:eastAsia="宋体"/>
                <w:lang w:val="en-US" w:eastAsia="zh-CN"/>
              </w:rPr>
            </w:pPr>
            <w:r>
              <w:rPr>
                <w:rFonts w:hint="eastAsia"/>
                <w:lang w:val="en-US" w:eastAsia="zh-CN"/>
              </w:rPr>
              <w:t>氯化钠</w:t>
            </w:r>
          </w:p>
        </w:tc>
        <w:tc>
          <w:tcPr>
            <w:tcW w:w="1440" w:type="dxa"/>
            <w:noWrap w:val="0"/>
            <w:vAlign w:val="center"/>
          </w:tcPr>
          <w:p w14:paraId="07CA5EBD">
            <w:pPr>
              <w:pStyle w:val="52"/>
              <w:bidi w:val="0"/>
              <w:jc w:val="center"/>
              <w:rPr>
                <w:rFonts w:hint="default" w:eastAsia="宋体"/>
                <w:lang w:val="en-US" w:eastAsia="zh-CN"/>
              </w:rPr>
            </w:pPr>
            <w:r>
              <w:rPr>
                <w:rFonts w:hint="eastAsia"/>
                <w:lang w:val="en-US" w:eastAsia="zh-CN"/>
              </w:rPr>
              <w:t>7647-14-5</w:t>
            </w:r>
          </w:p>
        </w:tc>
        <w:tc>
          <w:tcPr>
            <w:tcW w:w="1485" w:type="dxa"/>
            <w:noWrap w:val="0"/>
            <w:tcMar>
              <w:left w:w="0" w:type="dxa"/>
              <w:right w:w="0" w:type="dxa"/>
            </w:tcMar>
            <w:vAlign w:val="center"/>
          </w:tcPr>
          <w:p w14:paraId="00F4DE3E">
            <w:pPr>
              <w:pStyle w:val="52"/>
              <w:bidi w:val="0"/>
              <w:jc w:val="center"/>
              <w:rPr>
                <w:rFonts w:hint="eastAsia"/>
                <w:lang w:val="en-US" w:eastAsia="zh-CN"/>
              </w:rPr>
            </w:pPr>
            <w:r>
              <w:rPr>
                <w:rFonts w:hint="eastAsia"/>
                <w:lang w:val="en-US" w:eastAsia="zh-CN"/>
              </w:rPr>
              <w:t>NaCl</w:t>
            </w:r>
          </w:p>
          <w:p w14:paraId="0E8B578B">
            <w:pPr>
              <w:jc w:val="center"/>
              <w:rPr>
                <w:rFonts w:hint="default"/>
                <w:lang w:val="en-US" w:eastAsia="zh-CN"/>
              </w:rPr>
            </w:pPr>
            <w:r>
              <w:rPr>
                <w:rFonts w:hint="eastAsia"/>
                <w:lang w:val="en-US" w:eastAsia="zh-CN"/>
              </w:rPr>
              <w:t>58.44</w:t>
            </w:r>
          </w:p>
        </w:tc>
        <w:tc>
          <w:tcPr>
            <w:tcW w:w="6275" w:type="dxa"/>
            <w:noWrap w:val="0"/>
            <w:tcMar>
              <w:left w:w="0" w:type="dxa"/>
              <w:right w:w="0" w:type="dxa"/>
            </w:tcMar>
            <w:vAlign w:val="center"/>
          </w:tcPr>
          <w:p w14:paraId="5A1D7784">
            <w:pPr>
              <w:pStyle w:val="52"/>
              <w:bidi w:val="0"/>
              <w:jc w:val="center"/>
              <w:rPr>
                <w:rFonts w:hint="eastAsia" w:eastAsia="宋体"/>
                <w:lang w:eastAsia="zh-CN"/>
              </w:rPr>
            </w:pPr>
            <w:r>
              <w:rPr>
                <w:rFonts w:hint="eastAsia"/>
              </w:rPr>
              <w:t>白色晶体状，其来源主要是在海水中，是食盐的主要成分。易溶于水、甘油，微溶于乙醇、液氨；不溶于浓盐酸。在空气中微有潮解性。稳定性比较好，工业上用于制造纯碱和烧碱及其他化工产品，矿石冶炼</w:t>
            </w:r>
            <w:r>
              <w:rPr>
                <w:rFonts w:hint="eastAsia"/>
                <w:lang w:eastAsia="zh-CN"/>
              </w:rPr>
              <w:t>。</w:t>
            </w:r>
          </w:p>
        </w:tc>
        <w:tc>
          <w:tcPr>
            <w:tcW w:w="2922" w:type="dxa"/>
            <w:noWrap w:val="0"/>
            <w:tcMar>
              <w:left w:w="0" w:type="dxa"/>
              <w:right w:w="0" w:type="dxa"/>
            </w:tcMar>
            <w:vAlign w:val="center"/>
          </w:tcPr>
          <w:p w14:paraId="4FE09F9F">
            <w:pPr>
              <w:pStyle w:val="52"/>
              <w:bidi w:val="0"/>
            </w:pPr>
            <w:r>
              <w:t>——</w:t>
            </w:r>
          </w:p>
        </w:tc>
      </w:tr>
      <w:tr w14:paraId="155E9C0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7" w:type="dxa"/>
            <w:bottom w:w="0" w:type="dxa"/>
            <w:right w:w="57" w:type="dxa"/>
          </w:tblCellMar>
        </w:tblPrEx>
        <w:trPr>
          <w:cantSplit/>
          <w:jc w:val="center"/>
        </w:trPr>
        <w:tc>
          <w:tcPr>
            <w:tcW w:w="1319" w:type="dxa"/>
            <w:noWrap w:val="0"/>
            <w:vAlign w:val="center"/>
          </w:tcPr>
          <w:p w14:paraId="63375011">
            <w:pPr>
              <w:pStyle w:val="52"/>
              <w:bidi w:val="0"/>
              <w:rPr>
                <w:rFonts w:hint="eastAsia" w:eastAsia="宋体"/>
                <w:lang w:val="en-US" w:eastAsia="zh-CN"/>
              </w:rPr>
            </w:pPr>
            <w:r>
              <w:rPr>
                <w:rFonts w:hint="eastAsia"/>
                <w:lang w:val="en-US" w:eastAsia="zh-CN"/>
              </w:rPr>
              <w:t>淀粉</w:t>
            </w:r>
          </w:p>
        </w:tc>
        <w:tc>
          <w:tcPr>
            <w:tcW w:w="1440" w:type="dxa"/>
            <w:noWrap w:val="0"/>
            <w:vAlign w:val="center"/>
          </w:tcPr>
          <w:p w14:paraId="7399A457">
            <w:pPr>
              <w:pStyle w:val="52"/>
              <w:bidi w:val="0"/>
              <w:rPr>
                <w:rFonts w:hint="default" w:eastAsia="宋体"/>
                <w:lang w:val="en-US" w:eastAsia="zh-CN"/>
              </w:rPr>
            </w:pPr>
            <w:r>
              <w:rPr>
                <w:rFonts w:hint="eastAsia"/>
                <w:lang w:val="en-US" w:eastAsia="zh-CN"/>
              </w:rPr>
              <w:t>9005-25-8</w:t>
            </w:r>
          </w:p>
        </w:tc>
        <w:tc>
          <w:tcPr>
            <w:tcW w:w="1485" w:type="dxa"/>
            <w:noWrap w:val="0"/>
            <w:tcMar>
              <w:left w:w="0" w:type="dxa"/>
              <w:right w:w="0" w:type="dxa"/>
            </w:tcMar>
            <w:vAlign w:val="center"/>
          </w:tcPr>
          <w:p w14:paraId="536151D6">
            <w:pPr>
              <w:pStyle w:val="52"/>
              <w:bidi w:val="0"/>
            </w:pPr>
            <w:r>
              <w:rPr>
                <w:rFonts w:hint="eastAsia"/>
              </w:rPr>
              <w:t>(C6H10O5)n</w:t>
            </w:r>
          </w:p>
        </w:tc>
        <w:tc>
          <w:tcPr>
            <w:tcW w:w="6275" w:type="dxa"/>
            <w:noWrap w:val="0"/>
            <w:tcMar>
              <w:left w:w="0" w:type="dxa"/>
              <w:right w:w="0" w:type="dxa"/>
            </w:tcMar>
            <w:vAlign w:val="center"/>
          </w:tcPr>
          <w:p w14:paraId="208502B9">
            <w:pPr>
              <w:pStyle w:val="52"/>
              <w:bidi w:val="0"/>
            </w:pPr>
            <w:r>
              <w:rPr>
                <w:rFonts w:hint="eastAsia"/>
              </w:rPr>
              <w:t>呈白色粉末状，无味，不溶于冷水，但可溶于热水形成浆状液体。它在高温下能形成胶体溶液，冷却后可形成胶状凝胶。</w:t>
            </w:r>
          </w:p>
        </w:tc>
        <w:tc>
          <w:tcPr>
            <w:tcW w:w="2922" w:type="dxa"/>
            <w:noWrap w:val="0"/>
            <w:tcMar>
              <w:left w:w="0" w:type="dxa"/>
              <w:right w:w="0" w:type="dxa"/>
            </w:tcMar>
            <w:vAlign w:val="center"/>
          </w:tcPr>
          <w:p w14:paraId="0A32490B">
            <w:pPr>
              <w:pStyle w:val="52"/>
              <w:bidi w:val="0"/>
            </w:pPr>
            <w:r>
              <w:t>——</w:t>
            </w:r>
          </w:p>
        </w:tc>
      </w:tr>
      <w:tr w14:paraId="366C747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7" w:type="dxa"/>
            <w:bottom w:w="0" w:type="dxa"/>
            <w:right w:w="57" w:type="dxa"/>
          </w:tblCellMar>
        </w:tblPrEx>
        <w:trPr>
          <w:cantSplit/>
          <w:jc w:val="center"/>
        </w:trPr>
        <w:tc>
          <w:tcPr>
            <w:tcW w:w="1319" w:type="dxa"/>
            <w:shd w:val="clear" w:color="auto" w:fill="auto"/>
            <w:noWrap w:val="0"/>
            <w:vAlign w:val="center"/>
          </w:tcPr>
          <w:p w14:paraId="02013000">
            <w:pPr>
              <w:pStyle w:val="52"/>
              <w:bidi w:val="0"/>
              <w:rPr>
                <w:rFonts w:ascii="Times New Roman" w:hAnsi="Times New Roman" w:eastAsia="宋体" w:cs="Times New Roman"/>
                <w:color w:val="000000"/>
                <w:kern w:val="2"/>
                <w:sz w:val="21"/>
                <w:szCs w:val="28"/>
                <w:lang w:val="en-US" w:eastAsia="zh-CN" w:bidi="ar-SA"/>
              </w:rPr>
            </w:pPr>
            <w:r>
              <w:t>硫酸镁</w:t>
            </w:r>
          </w:p>
        </w:tc>
        <w:tc>
          <w:tcPr>
            <w:tcW w:w="1440" w:type="dxa"/>
            <w:shd w:val="clear" w:color="auto" w:fill="auto"/>
            <w:noWrap w:val="0"/>
            <w:vAlign w:val="center"/>
          </w:tcPr>
          <w:p w14:paraId="2B53D781">
            <w:pPr>
              <w:pStyle w:val="52"/>
              <w:bidi w:val="0"/>
              <w:rPr>
                <w:rFonts w:ascii="Times New Roman" w:hAnsi="Times New Roman" w:eastAsia="宋体" w:cs="Times New Roman"/>
                <w:color w:val="000000"/>
                <w:kern w:val="2"/>
                <w:sz w:val="21"/>
                <w:szCs w:val="28"/>
                <w:lang w:val="en-US" w:eastAsia="zh-CN" w:bidi="ar-SA"/>
              </w:rPr>
            </w:pPr>
            <w:r>
              <w:t>7487-88-9</w:t>
            </w:r>
          </w:p>
        </w:tc>
        <w:tc>
          <w:tcPr>
            <w:tcW w:w="1485" w:type="dxa"/>
            <w:shd w:val="clear" w:color="auto" w:fill="auto"/>
            <w:noWrap w:val="0"/>
            <w:tcMar>
              <w:left w:w="0" w:type="dxa"/>
              <w:right w:w="0" w:type="dxa"/>
            </w:tcMar>
            <w:vAlign w:val="center"/>
          </w:tcPr>
          <w:p w14:paraId="287F2593">
            <w:pPr>
              <w:pStyle w:val="52"/>
              <w:bidi w:val="0"/>
              <w:rPr>
                <w:lang w:val="zh-CN"/>
              </w:rPr>
            </w:pPr>
            <w:r>
              <w:rPr>
                <w:lang w:val="zh-CN"/>
              </w:rPr>
              <w:t>MgSO4</w:t>
            </w:r>
          </w:p>
          <w:p w14:paraId="6EFE474F">
            <w:pPr>
              <w:pStyle w:val="52"/>
              <w:bidi w:val="0"/>
              <w:rPr>
                <w:rFonts w:ascii="Times New Roman" w:hAnsi="Times New Roman" w:eastAsia="宋体" w:cs="Times New Roman"/>
                <w:color w:val="000000"/>
                <w:kern w:val="2"/>
                <w:sz w:val="21"/>
                <w:szCs w:val="28"/>
                <w:lang w:val="zh-CN" w:eastAsia="zh-CN" w:bidi="ar-SA"/>
              </w:rPr>
            </w:pPr>
            <w:r>
              <w:t>120.3676</w:t>
            </w:r>
          </w:p>
        </w:tc>
        <w:tc>
          <w:tcPr>
            <w:tcW w:w="6275" w:type="dxa"/>
            <w:shd w:val="clear" w:color="auto" w:fill="auto"/>
            <w:noWrap w:val="0"/>
            <w:tcMar>
              <w:left w:w="0" w:type="dxa"/>
              <w:right w:w="0" w:type="dxa"/>
            </w:tcMar>
            <w:vAlign w:val="top"/>
          </w:tcPr>
          <w:p w14:paraId="51E12832">
            <w:pPr>
              <w:pStyle w:val="52"/>
              <w:bidi w:val="0"/>
              <w:rPr>
                <w:rFonts w:ascii="Times New Roman" w:hAnsi="Times New Roman" w:eastAsia="宋体" w:cs="Times New Roman"/>
                <w:color w:val="000000"/>
                <w:kern w:val="2"/>
                <w:sz w:val="21"/>
                <w:szCs w:val="28"/>
                <w:lang w:val="en-US" w:eastAsia="zh-CN" w:bidi="ar-SA"/>
              </w:rPr>
            </w:pPr>
            <w:r>
              <w:t>易溶于水，微溶于乙醇、甘油、乙醚，不溶于丙酮，熔点1124℃，密度2.66mg/L</w:t>
            </w:r>
          </w:p>
        </w:tc>
        <w:tc>
          <w:tcPr>
            <w:tcW w:w="2922" w:type="dxa"/>
            <w:shd w:val="clear" w:color="auto" w:fill="auto"/>
            <w:noWrap w:val="0"/>
            <w:tcMar>
              <w:left w:w="0" w:type="dxa"/>
              <w:right w:w="0" w:type="dxa"/>
            </w:tcMar>
            <w:vAlign w:val="top"/>
          </w:tcPr>
          <w:p w14:paraId="50676234">
            <w:pPr>
              <w:pStyle w:val="52"/>
              <w:bidi w:val="0"/>
              <w:rPr>
                <w:rFonts w:ascii="Times New Roman" w:hAnsi="Times New Roman" w:eastAsia="宋体" w:cs="Times New Roman"/>
                <w:color w:val="000000"/>
                <w:kern w:val="2"/>
                <w:sz w:val="21"/>
                <w:szCs w:val="28"/>
                <w:lang w:val="en-US" w:eastAsia="zh-CN" w:bidi="ar-SA"/>
              </w:rPr>
            </w:pPr>
            <w:r>
              <w:t>低毒，小鼠皮下： LD50 645 mg/kg（小鼠皮下）；小鼠腹腔：670-733mg/kg</w:t>
            </w:r>
          </w:p>
        </w:tc>
      </w:tr>
      <w:tr w14:paraId="3C4038C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7" w:type="dxa"/>
            <w:bottom w:w="0" w:type="dxa"/>
            <w:right w:w="57" w:type="dxa"/>
          </w:tblCellMar>
        </w:tblPrEx>
        <w:trPr>
          <w:cantSplit/>
          <w:jc w:val="center"/>
        </w:trPr>
        <w:tc>
          <w:tcPr>
            <w:tcW w:w="1319" w:type="dxa"/>
            <w:shd w:val="clear" w:color="auto" w:fill="auto"/>
            <w:noWrap w:val="0"/>
            <w:vAlign w:val="center"/>
          </w:tcPr>
          <w:p w14:paraId="32A15660">
            <w:pPr>
              <w:pStyle w:val="52"/>
              <w:bidi w:val="0"/>
              <w:rPr>
                <w:rFonts w:ascii="Times New Roman" w:hAnsi="Times New Roman" w:eastAsia="宋体" w:cs="Times New Roman"/>
                <w:color w:val="000000"/>
                <w:kern w:val="2"/>
                <w:sz w:val="21"/>
                <w:szCs w:val="28"/>
                <w:lang w:val="en-US" w:eastAsia="zh-CN" w:bidi="ar-SA"/>
              </w:rPr>
            </w:pPr>
            <w:r>
              <w:t>甘油</w:t>
            </w:r>
          </w:p>
        </w:tc>
        <w:tc>
          <w:tcPr>
            <w:tcW w:w="1440" w:type="dxa"/>
            <w:shd w:val="clear" w:color="auto" w:fill="auto"/>
            <w:noWrap w:val="0"/>
            <w:vAlign w:val="center"/>
          </w:tcPr>
          <w:p w14:paraId="34571591">
            <w:pPr>
              <w:pStyle w:val="52"/>
              <w:bidi w:val="0"/>
              <w:rPr>
                <w:rFonts w:ascii="Times New Roman" w:hAnsi="Times New Roman" w:eastAsia="宋体" w:cs="Times New Roman"/>
                <w:color w:val="000000"/>
                <w:kern w:val="2"/>
                <w:sz w:val="21"/>
                <w:szCs w:val="28"/>
                <w:lang w:val="en-US" w:eastAsia="zh-CN" w:bidi="ar-SA"/>
              </w:rPr>
            </w:pPr>
            <w:r>
              <w:t>56-81-5</w:t>
            </w:r>
          </w:p>
        </w:tc>
        <w:tc>
          <w:tcPr>
            <w:tcW w:w="1485" w:type="dxa"/>
            <w:shd w:val="clear" w:color="auto" w:fill="auto"/>
            <w:noWrap w:val="0"/>
            <w:tcMar>
              <w:left w:w="0" w:type="dxa"/>
              <w:right w:w="0" w:type="dxa"/>
            </w:tcMar>
            <w:vAlign w:val="center"/>
          </w:tcPr>
          <w:p w14:paraId="19121173">
            <w:pPr>
              <w:pStyle w:val="52"/>
              <w:bidi w:val="0"/>
            </w:pPr>
            <w:r>
              <w:t>C3H8O3</w:t>
            </w:r>
          </w:p>
          <w:p w14:paraId="71398E0D">
            <w:pPr>
              <w:pStyle w:val="52"/>
              <w:bidi w:val="0"/>
              <w:rPr>
                <w:rFonts w:ascii="Times New Roman" w:hAnsi="Times New Roman" w:eastAsia="宋体" w:cs="Times New Roman"/>
                <w:color w:val="000000"/>
                <w:kern w:val="2"/>
                <w:sz w:val="21"/>
                <w:szCs w:val="28"/>
                <w:lang w:val="zh-CN" w:eastAsia="zh-CN" w:bidi="ar-SA"/>
              </w:rPr>
            </w:pPr>
            <w:r>
              <w:t>92.09</w:t>
            </w:r>
          </w:p>
        </w:tc>
        <w:tc>
          <w:tcPr>
            <w:tcW w:w="6275" w:type="dxa"/>
            <w:shd w:val="clear" w:color="auto" w:fill="auto"/>
            <w:noWrap w:val="0"/>
            <w:tcMar>
              <w:left w:w="0" w:type="dxa"/>
              <w:right w:w="0" w:type="dxa"/>
            </w:tcMar>
            <w:vAlign w:val="center"/>
          </w:tcPr>
          <w:p w14:paraId="3E034EE0">
            <w:pPr>
              <w:pStyle w:val="52"/>
              <w:bidi w:val="0"/>
              <w:rPr>
                <w:rFonts w:ascii="Times New Roman" w:hAnsi="Times New Roman" w:eastAsia="宋体" w:cs="Times New Roman"/>
                <w:color w:val="000000"/>
                <w:kern w:val="2"/>
                <w:sz w:val="21"/>
                <w:szCs w:val="28"/>
                <w:lang w:val="en-US" w:eastAsia="zh-CN" w:bidi="ar-SA"/>
              </w:rPr>
            </w:pPr>
            <w:r>
              <w:t>又名丙三醇，无色、无臭、味甜，外观呈澄明黏稠液态，是一种有机物，能从空气中吸收潮气，也能吸收</w:t>
            </w:r>
            <w:r>
              <w:fldChar w:fldCharType="begin"/>
            </w:r>
            <w:r>
              <w:instrText xml:space="preserve"> HYPERLINK "https://baike.baidu.com/item/%E7%A1%AB%E5%8C%96%E6%B0%A2/2692838" \t "https://baike.baidu.com/item/%E4%B8%99%E4%B8%89%E9%86%87/_blank" </w:instrText>
            </w:r>
            <w:r>
              <w:fldChar w:fldCharType="separate"/>
            </w:r>
            <w:r>
              <w:rPr>
                <w:rStyle w:val="49"/>
                <w:rFonts w:ascii="Times New Roman" w:hAnsi="Times New Roman"/>
                <w:color w:val="4E6127"/>
                <w:szCs w:val="21"/>
                <w:highlight w:val="none"/>
                <w:u w:val="none" w:color="auto"/>
                <w:shd w:val="clear" w:color="auto" w:fill="FFFFFF"/>
              </w:rPr>
              <w:t>硫化氢</w:t>
            </w:r>
            <w:r>
              <w:fldChar w:fldCharType="end"/>
            </w:r>
            <w:r>
              <w:t>、</w:t>
            </w:r>
            <w:r>
              <w:fldChar w:fldCharType="begin"/>
            </w:r>
            <w:r>
              <w:instrText xml:space="preserve"> HYPERLINK "https://baike.baidu.com/item/%E6%B0%B0%E5%8C%96%E6%B0%A2/7869787" \t "https://baike.baidu.com/item/%E4%B8%99%E4%B8%89%E9%86%87/_blank" </w:instrText>
            </w:r>
            <w:r>
              <w:fldChar w:fldCharType="separate"/>
            </w:r>
            <w:r>
              <w:rPr>
                <w:rStyle w:val="49"/>
                <w:rFonts w:ascii="Times New Roman" w:hAnsi="Times New Roman"/>
                <w:color w:val="4E6127"/>
                <w:szCs w:val="21"/>
                <w:highlight w:val="none"/>
                <w:u w:val="none" w:color="auto"/>
                <w:shd w:val="clear" w:color="auto" w:fill="FFFFFF"/>
              </w:rPr>
              <w:t>氰化氢</w:t>
            </w:r>
            <w:r>
              <w:fldChar w:fldCharType="end"/>
            </w:r>
            <w:r>
              <w:t>和</w:t>
            </w:r>
            <w:r>
              <w:fldChar w:fldCharType="begin"/>
            </w:r>
            <w:r>
              <w:instrText xml:space="preserve"> HYPERLINK "https://baike.baidu.com/item/%E4%BA%8C%E6%B0%A7%E5%8C%96%E7%A1%AB/513588" \t "https://baike.baidu.com/item/%E4%B8%99%E4%B8%89%E9%86%87/_blank" </w:instrText>
            </w:r>
            <w:r>
              <w:fldChar w:fldCharType="separate"/>
            </w:r>
            <w:r>
              <w:rPr>
                <w:rStyle w:val="49"/>
                <w:rFonts w:ascii="Times New Roman" w:hAnsi="Times New Roman"/>
                <w:color w:val="4E6127"/>
                <w:szCs w:val="21"/>
                <w:highlight w:val="none"/>
                <w:u w:val="none" w:color="auto"/>
                <w:shd w:val="clear" w:color="auto" w:fill="FFFFFF"/>
              </w:rPr>
              <w:t>二氧化硫</w:t>
            </w:r>
            <w:r>
              <w:fldChar w:fldCharType="end"/>
            </w:r>
            <w:r>
              <w:t>。难溶于</w:t>
            </w:r>
            <w:r>
              <w:fldChar w:fldCharType="begin"/>
            </w:r>
            <w:r>
              <w:instrText xml:space="preserve"> HYPERLINK "https://baike.baidu.com/item/%E8%8B%AF/585785" \t "https://baike.baidu.com/item/%E4%B8%99%E4%B8%89%E9%86%87/_blank" </w:instrText>
            </w:r>
            <w:r>
              <w:fldChar w:fldCharType="separate"/>
            </w:r>
            <w:r>
              <w:rPr>
                <w:rStyle w:val="49"/>
                <w:rFonts w:ascii="Times New Roman" w:hAnsi="Times New Roman"/>
                <w:color w:val="4E6127"/>
                <w:szCs w:val="21"/>
                <w:highlight w:val="none"/>
                <w:u w:val="none" w:color="auto"/>
                <w:shd w:val="clear" w:color="auto" w:fill="FFFFFF"/>
              </w:rPr>
              <w:t>苯</w:t>
            </w:r>
            <w:r>
              <w:fldChar w:fldCharType="end"/>
            </w:r>
            <w:r>
              <w:t>、</w:t>
            </w:r>
            <w:r>
              <w:fldChar w:fldCharType="begin"/>
            </w:r>
            <w:r>
              <w:instrText xml:space="preserve"> HYPERLINK "https://baike.baidu.com/item/%E6%B0%AF%E4%BB%BF/521847" \t "https://baike.baidu.com/item/%E4%B8%99%E4%B8%89%E9%86%87/_blank" </w:instrText>
            </w:r>
            <w:r>
              <w:fldChar w:fldCharType="separate"/>
            </w:r>
            <w:r>
              <w:rPr>
                <w:rStyle w:val="49"/>
                <w:rFonts w:ascii="Times New Roman" w:hAnsi="Times New Roman"/>
                <w:color w:val="4E6127"/>
                <w:szCs w:val="21"/>
                <w:highlight w:val="none"/>
                <w:u w:val="none" w:color="auto"/>
                <w:shd w:val="clear" w:color="auto" w:fill="FFFFFF"/>
              </w:rPr>
              <w:t>氯仿</w:t>
            </w:r>
            <w:r>
              <w:fldChar w:fldCharType="end"/>
            </w:r>
            <w:r>
              <w:t>、</w:t>
            </w:r>
            <w:r>
              <w:fldChar w:fldCharType="begin"/>
            </w:r>
            <w:r>
              <w:instrText xml:space="preserve"> HYPERLINK "https://baike.baidu.com/item/%E5%9B%9B%E6%B0%AF%E5%8C%96%E7%A2%B3/170601" \t "https://baike.baidu.com/item/%E4%B8%99%E4%B8%89%E9%86%87/_blank" </w:instrText>
            </w:r>
            <w:r>
              <w:fldChar w:fldCharType="separate"/>
            </w:r>
            <w:r>
              <w:rPr>
                <w:rStyle w:val="49"/>
                <w:rFonts w:ascii="Times New Roman" w:hAnsi="Times New Roman"/>
                <w:color w:val="4E6127"/>
                <w:szCs w:val="21"/>
                <w:highlight w:val="none"/>
                <w:u w:val="none" w:color="auto"/>
                <w:shd w:val="clear" w:color="auto" w:fill="FFFFFF"/>
              </w:rPr>
              <w:t>四氯化碳</w:t>
            </w:r>
            <w:r>
              <w:fldChar w:fldCharType="end"/>
            </w:r>
            <w:r>
              <w:t>、</w:t>
            </w:r>
            <w:r>
              <w:fldChar w:fldCharType="begin"/>
            </w:r>
            <w:r>
              <w:instrText xml:space="preserve"> HYPERLINK "https://baike.baidu.com/item/%E4%BA%8C%E7%A1%AB%E5%8C%96%E7%A2%B3/6032457" \t "https://baike.baidu.com/item/%E4%B8%99%E4%B8%89%E9%86%87/_blank" </w:instrText>
            </w:r>
            <w:r>
              <w:fldChar w:fldCharType="separate"/>
            </w:r>
            <w:r>
              <w:rPr>
                <w:rStyle w:val="49"/>
                <w:rFonts w:ascii="Times New Roman" w:hAnsi="Times New Roman"/>
                <w:color w:val="4E6127"/>
                <w:szCs w:val="21"/>
                <w:highlight w:val="none"/>
                <w:u w:val="none" w:color="auto"/>
                <w:shd w:val="clear" w:color="auto" w:fill="FFFFFF"/>
              </w:rPr>
              <w:t>二硫化碳</w:t>
            </w:r>
            <w:r>
              <w:fldChar w:fldCharType="end"/>
            </w:r>
            <w:r>
              <w:t>、</w:t>
            </w:r>
            <w:r>
              <w:fldChar w:fldCharType="begin"/>
            </w:r>
            <w:r>
              <w:instrText xml:space="preserve"> HYPERLINK "https://baike.baidu.com/item/%E7%9F%B3%E6%B2%B9%E9%86%9A/2519986" \t "https://baike.baidu.com/item/%E4%B8%99%E4%B8%89%E9%86%87/_blank" </w:instrText>
            </w:r>
            <w:r>
              <w:fldChar w:fldCharType="separate"/>
            </w:r>
            <w:r>
              <w:rPr>
                <w:rStyle w:val="49"/>
                <w:rFonts w:ascii="Times New Roman" w:hAnsi="Times New Roman"/>
                <w:color w:val="4E6127"/>
                <w:szCs w:val="21"/>
                <w:highlight w:val="none"/>
                <w:u w:val="none" w:color="auto"/>
                <w:shd w:val="clear" w:color="auto" w:fill="FFFFFF"/>
              </w:rPr>
              <w:t>石油醚</w:t>
            </w:r>
            <w:r>
              <w:fldChar w:fldCharType="end"/>
            </w:r>
            <w:r>
              <w:t>和油类，是</w:t>
            </w:r>
            <w:r>
              <w:fldChar w:fldCharType="begin"/>
            </w:r>
            <w:r>
              <w:instrText xml:space="preserve"> HYPERLINK "https://baike.baidu.com/item/%E7%94%98%E6%B2%B9%E4%B8%89%E9%85%AF/7700355" \t "https://baike.baidu.com/item/%E4%B8%99%E4%B8%89%E9%86%87/_blank" </w:instrText>
            </w:r>
            <w:r>
              <w:fldChar w:fldCharType="separate"/>
            </w:r>
            <w:r>
              <w:rPr>
                <w:rStyle w:val="49"/>
                <w:rFonts w:ascii="Times New Roman" w:hAnsi="Times New Roman"/>
                <w:color w:val="4E6127"/>
                <w:szCs w:val="21"/>
                <w:highlight w:val="none"/>
                <w:u w:val="none" w:color="auto"/>
                <w:shd w:val="clear" w:color="auto" w:fill="FFFFFF"/>
              </w:rPr>
              <w:t>甘油三酯</w:t>
            </w:r>
            <w:r>
              <w:fldChar w:fldCharType="end"/>
            </w:r>
            <w:r>
              <w:t>分子的骨架成分。沸点为290℃ at 760mmHg，熔点为18.17℃。</w:t>
            </w:r>
          </w:p>
        </w:tc>
        <w:tc>
          <w:tcPr>
            <w:tcW w:w="2922" w:type="dxa"/>
            <w:shd w:val="clear" w:color="auto" w:fill="auto"/>
            <w:noWrap w:val="0"/>
            <w:tcMar>
              <w:left w:w="0" w:type="dxa"/>
              <w:right w:w="0" w:type="dxa"/>
            </w:tcMar>
            <w:vAlign w:val="center"/>
          </w:tcPr>
          <w:p w14:paraId="00817F74">
            <w:pPr>
              <w:pStyle w:val="52"/>
              <w:bidi w:val="0"/>
            </w:pPr>
            <w:r>
              <w:t>口服- 大鼠 LD50:26000 mg/kg；</w:t>
            </w:r>
          </w:p>
          <w:p w14:paraId="5427442B">
            <w:pPr>
              <w:pStyle w:val="52"/>
              <w:bidi w:val="0"/>
              <w:rPr>
                <w:rFonts w:ascii="Times New Roman" w:hAnsi="Times New Roman" w:eastAsia="宋体" w:cs="Times New Roman"/>
                <w:color w:val="000000"/>
                <w:kern w:val="2"/>
                <w:sz w:val="21"/>
                <w:szCs w:val="28"/>
                <w:lang w:val="en-US" w:eastAsia="zh-CN" w:bidi="ar-SA"/>
              </w:rPr>
            </w:pPr>
            <w:r>
              <w:t>口服- 小鼠 LC50: 4090 kg/kg</w:t>
            </w:r>
          </w:p>
        </w:tc>
      </w:tr>
      <w:tr w14:paraId="78797EF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7" w:type="dxa"/>
            <w:bottom w:w="0" w:type="dxa"/>
            <w:right w:w="57" w:type="dxa"/>
          </w:tblCellMar>
        </w:tblPrEx>
        <w:trPr>
          <w:cantSplit/>
          <w:jc w:val="center"/>
        </w:trPr>
        <w:tc>
          <w:tcPr>
            <w:tcW w:w="1319" w:type="dxa"/>
            <w:shd w:val="clear" w:color="auto" w:fill="auto"/>
            <w:noWrap w:val="0"/>
            <w:vAlign w:val="center"/>
          </w:tcPr>
          <w:p w14:paraId="6FE6E341">
            <w:pPr>
              <w:pStyle w:val="52"/>
              <w:bidi w:val="0"/>
              <w:rPr>
                <w:rFonts w:ascii="Times New Roman" w:hAnsi="Times New Roman" w:eastAsia="宋体" w:cs="Times New Roman"/>
                <w:color w:val="000000"/>
                <w:kern w:val="2"/>
                <w:sz w:val="21"/>
                <w:szCs w:val="28"/>
                <w:lang w:val="en-US" w:eastAsia="zh-CN" w:bidi="ar-SA"/>
              </w:rPr>
            </w:pPr>
            <w:r>
              <w:t>磷酸二氢钾</w:t>
            </w:r>
          </w:p>
        </w:tc>
        <w:tc>
          <w:tcPr>
            <w:tcW w:w="1440" w:type="dxa"/>
            <w:shd w:val="clear" w:color="auto" w:fill="auto"/>
            <w:noWrap w:val="0"/>
            <w:vAlign w:val="center"/>
          </w:tcPr>
          <w:p w14:paraId="3B78DE92">
            <w:pPr>
              <w:pStyle w:val="52"/>
              <w:bidi w:val="0"/>
              <w:rPr>
                <w:rFonts w:ascii="Times New Roman" w:hAnsi="Times New Roman" w:eastAsia="宋体" w:cs="Times New Roman"/>
                <w:color w:val="000000"/>
                <w:kern w:val="2"/>
                <w:sz w:val="21"/>
                <w:szCs w:val="28"/>
                <w:lang w:val="en-US" w:eastAsia="zh-CN" w:bidi="ar-SA"/>
              </w:rPr>
            </w:pPr>
            <w:r>
              <w:t>7778-77-0</w:t>
            </w:r>
          </w:p>
        </w:tc>
        <w:tc>
          <w:tcPr>
            <w:tcW w:w="1485" w:type="dxa"/>
            <w:shd w:val="clear" w:color="auto" w:fill="auto"/>
            <w:noWrap w:val="0"/>
            <w:tcMar>
              <w:left w:w="0" w:type="dxa"/>
              <w:right w:w="0" w:type="dxa"/>
            </w:tcMar>
            <w:vAlign w:val="center"/>
          </w:tcPr>
          <w:p w14:paraId="1ED0BF56">
            <w:pPr>
              <w:pStyle w:val="52"/>
              <w:bidi w:val="0"/>
              <w:rPr>
                <w:rFonts w:ascii="Times New Roman" w:hAnsi="Times New Roman" w:eastAsia="宋体" w:cs="Times New Roman"/>
                <w:color w:val="000000"/>
                <w:kern w:val="2"/>
                <w:sz w:val="21"/>
                <w:szCs w:val="28"/>
                <w:lang w:val="zh-CN" w:eastAsia="zh-CN" w:bidi="ar-SA"/>
              </w:rPr>
            </w:pPr>
            <w:r>
              <w:rPr>
                <w:lang w:val="zh-CN"/>
              </w:rPr>
              <w:t>KH2PO4</w:t>
            </w:r>
          </w:p>
        </w:tc>
        <w:tc>
          <w:tcPr>
            <w:tcW w:w="6275" w:type="dxa"/>
            <w:shd w:val="clear" w:color="auto" w:fill="auto"/>
            <w:noWrap w:val="0"/>
            <w:tcMar>
              <w:left w:w="0" w:type="dxa"/>
              <w:right w:w="0" w:type="dxa"/>
            </w:tcMar>
            <w:vAlign w:val="top"/>
          </w:tcPr>
          <w:p w14:paraId="4A0FDE93">
            <w:pPr>
              <w:pStyle w:val="52"/>
              <w:bidi w:val="0"/>
              <w:rPr>
                <w:rFonts w:ascii="Times New Roman" w:hAnsi="Times New Roman" w:eastAsia="宋体" w:cs="Times New Roman"/>
                <w:color w:val="000000"/>
                <w:kern w:val="2"/>
                <w:sz w:val="21"/>
                <w:szCs w:val="28"/>
                <w:lang w:val="en-US" w:eastAsia="zh-CN" w:bidi="ar-SA"/>
              </w:rPr>
            </w:pPr>
            <w:r>
              <w:t>相对密度2.338。熔点252.6℃。易溶于水，90℃时，溶解度为83.5g/100ml水，水溶液呈酸性，1%磷酸二氢钾溶液的pH值为4.6。不溶于醇。</w:t>
            </w:r>
          </w:p>
        </w:tc>
        <w:tc>
          <w:tcPr>
            <w:tcW w:w="2922" w:type="dxa"/>
            <w:shd w:val="clear" w:color="auto" w:fill="auto"/>
            <w:noWrap w:val="0"/>
            <w:tcMar>
              <w:left w:w="0" w:type="dxa"/>
              <w:right w:w="0" w:type="dxa"/>
            </w:tcMar>
            <w:vAlign w:val="top"/>
          </w:tcPr>
          <w:p w14:paraId="731C0F79">
            <w:pPr>
              <w:pStyle w:val="52"/>
              <w:bidi w:val="0"/>
              <w:rPr>
                <w:rFonts w:ascii="Times New Roman" w:hAnsi="Times New Roman" w:eastAsia="宋体" w:cs="Times New Roman"/>
                <w:color w:val="000000"/>
                <w:kern w:val="2"/>
                <w:sz w:val="21"/>
                <w:szCs w:val="28"/>
                <w:lang w:val="en-US" w:eastAsia="zh-CN" w:bidi="ar-SA"/>
              </w:rPr>
            </w:pPr>
            <w:r>
              <w:t>无毒无味，易溶于水</w:t>
            </w:r>
          </w:p>
        </w:tc>
      </w:tr>
      <w:tr w14:paraId="7585BF3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7" w:type="dxa"/>
            <w:bottom w:w="0" w:type="dxa"/>
            <w:right w:w="57" w:type="dxa"/>
          </w:tblCellMar>
        </w:tblPrEx>
        <w:trPr>
          <w:cantSplit/>
          <w:jc w:val="center"/>
        </w:trPr>
        <w:tc>
          <w:tcPr>
            <w:tcW w:w="1319" w:type="dxa"/>
            <w:shd w:val="clear" w:color="auto" w:fill="auto"/>
            <w:noWrap w:val="0"/>
            <w:vAlign w:val="center"/>
          </w:tcPr>
          <w:p w14:paraId="445001C8">
            <w:pPr>
              <w:pStyle w:val="52"/>
              <w:bidi w:val="0"/>
              <w:rPr>
                <w:rFonts w:ascii="Times New Roman" w:hAnsi="Times New Roman" w:eastAsia="宋体" w:cs="Times New Roman"/>
                <w:color w:val="000000"/>
                <w:kern w:val="2"/>
                <w:sz w:val="21"/>
                <w:szCs w:val="28"/>
                <w:lang w:val="en-US" w:eastAsia="zh-CN" w:bidi="ar-SA"/>
              </w:rPr>
            </w:pPr>
            <w:r>
              <w:t>磷酸氢二钾</w:t>
            </w:r>
          </w:p>
        </w:tc>
        <w:tc>
          <w:tcPr>
            <w:tcW w:w="1440" w:type="dxa"/>
            <w:shd w:val="clear" w:color="auto" w:fill="auto"/>
            <w:noWrap w:val="0"/>
            <w:vAlign w:val="center"/>
          </w:tcPr>
          <w:p w14:paraId="29A65E19">
            <w:pPr>
              <w:pStyle w:val="52"/>
              <w:bidi w:val="0"/>
              <w:rPr>
                <w:rFonts w:ascii="Times New Roman" w:hAnsi="Times New Roman" w:eastAsia="宋体" w:cs="Times New Roman"/>
                <w:color w:val="000000"/>
                <w:kern w:val="2"/>
                <w:sz w:val="21"/>
                <w:szCs w:val="28"/>
                <w:lang w:val="en-US" w:eastAsia="zh-CN" w:bidi="ar-SA"/>
              </w:rPr>
            </w:pPr>
            <w:r>
              <w:t>7758-11-4</w:t>
            </w:r>
          </w:p>
        </w:tc>
        <w:tc>
          <w:tcPr>
            <w:tcW w:w="1485" w:type="dxa"/>
            <w:shd w:val="clear" w:color="auto" w:fill="auto"/>
            <w:noWrap w:val="0"/>
            <w:tcMar>
              <w:left w:w="0" w:type="dxa"/>
              <w:right w:w="0" w:type="dxa"/>
            </w:tcMar>
            <w:vAlign w:val="center"/>
          </w:tcPr>
          <w:p w14:paraId="35CC6B8B">
            <w:pPr>
              <w:pStyle w:val="52"/>
              <w:bidi w:val="0"/>
            </w:pPr>
            <w:r>
              <w:t>K2HPO4</w:t>
            </w:r>
          </w:p>
          <w:p w14:paraId="2C29E111">
            <w:pPr>
              <w:pStyle w:val="52"/>
              <w:bidi w:val="0"/>
              <w:rPr>
                <w:rFonts w:ascii="Times New Roman" w:hAnsi="Times New Roman" w:eastAsia="宋体" w:cs="Times New Roman"/>
                <w:color w:val="000000"/>
                <w:kern w:val="2"/>
                <w:sz w:val="21"/>
                <w:szCs w:val="28"/>
                <w:lang w:val="zh-CN" w:eastAsia="zh-CN" w:bidi="ar-SA"/>
              </w:rPr>
            </w:pPr>
            <w:r>
              <w:t>174.18</w:t>
            </w:r>
          </w:p>
        </w:tc>
        <w:tc>
          <w:tcPr>
            <w:tcW w:w="6275" w:type="dxa"/>
            <w:shd w:val="clear" w:color="auto" w:fill="auto"/>
            <w:noWrap w:val="0"/>
            <w:tcMar>
              <w:left w:w="0" w:type="dxa"/>
              <w:right w:w="0" w:type="dxa"/>
            </w:tcMar>
            <w:vAlign w:val="center"/>
          </w:tcPr>
          <w:p w14:paraId="79E702C5">
            <w:pPr>
              <w:pStyle w:val="52"/>
              <w:bidi w:val="0"/>
              <w:rPr>
                <w:rFonts w:ascii="Times New Roman" w:hAnsi="Times New Roman" w:eastAsia="宋体" w:cs="Times New Roman"/>
                <w:color w:val="000000"/>
                <w:kern w:val="2"/>
                <w:sz w:val="21"/>
                <w:szCs w:val="28"/>
                <w:lang w:val="en-US" w:eastAsia="zh-CN" w:bidi="ar-SA"/>
              </w:rPr>
            </w:pPr>
            <w:r>
              <w:t>外观为白色结晶或无定形白色粉末，易溶于水，水溶液呈微碱性，微溶于醇，有吸湿性，</w:t>
            </w:r>
            <w:r>
              <w:fldChar w:fldCharType="begin"/>
            </w:r>
            <w:r>
              <w:instrText xml:space="preserve"> HYPERLINK "https://baike.baidu.com/item/%E6%B8%A9%E5%BA%A6/221599" \t "https://baike.baidu.com/item/_blank" </w:instrText>
            </w:r>
            <w:r>
              <w:fldChar w:fldCharType="separate"/>
            </w:r>
            <w:r>
              <w:rPr>
                <w:rStyle w:val="49"/>
                <w:rFonts w:ascii="Times New Roman" w:hAnsi="Times New Roman"/>
                <w:color w:val="4E6127"/>
                <w:szCs w:val="21"/>
                <w:highlight w:val="none"/>
                <w:u w:val="none" w:color="auto"/>
                <w:shd w:val="clear" w:color="auto" w:fill="FFFFFF"/>
              </w:rPr>
              <w:t>温度</w:t>
            </w:r>
            <w:r>
              <w:fldChar w:fldCharType="end"/>
            </w:r>
            <w:r>
              <w:t>较高时自溶。相对密度为2.338，204℃时分子内部脱水转化为</w:t>
            </w:r>
            <w:r>
              <w:fldChar w:fldCharType="begin"/>
            </w:r>
            <w:r>
              <w:instrText xml:space="preserve"> HYPERLINK "https://baike.baidu.com/item/%E7%84%A6%E7%A3%B7%E9%85%B8%E9%92%BE/11041953" \t "https://baike.baidu.com/item/_blank" </w:instrText>
            </w:r>
            <w:r>
              <w:fldChar w:fldCharType="separate"/>
            </w:r>
            <w:r>
              <w:rPr>
                <w:rStyle w:val="49"/>
                <w:rFonts w:ascii="Times New Roman" w:hAnsi="Times New Roman"/>
                <w:color w:val="4E6127"/>
                <w:szCs w:val="21"/>
                <w:highlight w:val="none"/>
                <w:u w:val="none" w:color="auto"/>
                <w:shd w:val="clear" w:color="auto" w:fill="FFFFFF"/>
              </w:rPr>
              <w:t>焦磷酸钾</w:t>
            </w:r>
            <w:r>
              <w:fldChar w:fldCharType="end"/>
            </w:r>
            <w:r>
              <w:t>。1%水溶液的pH值为8.9。主要用于医药，发酵，细菌培养及制取焦磷酸钾等。</w:t>
            </w:r>
          </w:p>
        </w:tc>
        <w:tc>
          <w:tcPr>
            <w:tcW w:w="2922" w:type="dxa"/>
            <w:shd w:val="clear" w:color="auto" w:fill="auto"/>
            <w:noWrap w:val="0"/>
            <w:tcMar>
              <w:left w:w="0" w:type="dxa"/>
              <w:right w:w="0" w:type="dxa"/>
            </w:tcMar>
            <w:vAlign w:val="center"/>
          </w:tcPr>
          <w:p w14:paraId="7570B3A8">
            <w:pPr>
              <w:pStyle w:val="52"/>
              <w:bidi w:val="0"/>
              <w:rPr>
                <w:rFonts w:ascii="Times New Roman" w:hAnsi="Times New Roman" w:eastAsia="宋体" w:cs="Times New Roman"/>
                <w:color w:val="000000"/>
                <w:kern w:val="2"/>
                <w:sz w:val="21"/>
                <w:szCs w:val="28"/>
                <w:lang w:val="en-US" w:eastAsia="zh-CN" w:bidi="ar-SA"/>
              </w:rPr>
            </w:pPr>
            <w:r>
              <w:t>LD50：4000mg/Kg（大鼠经口）；4720mg/Kg（兔经皮）；LC50：9400mg/</w:t>
            </w:r>
            <w:r>
              <w:rPr>
                <w:rFonts w:hint="eastAsia"/>
                <w:lang w:eastAsia="zh-CN"/>
              </w:rPr>
              <w:t>m</w:t>
            </w:r>
            <w:r>
              <w:rPr>
                <w:rFonts w:hint="eastAsia"/>
                <w:vertAlign w:val="superscript"/>
                <w:lang w:eastAsia="zh-CN"/>
              </w:rPr>
              <w:t>3</w:t>
            </w:r>
            <w:r>
              <w:t>，2小时（小鼠吸入）</w:t>
            </w:r>
          </w:p>
        </w:tc>
      </w:tr>
      <w:tr w14:paraId="334331D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7" w:type="dxa"/>
            <w:bottom w:w="0" w:type="dxa"/>
            <w:right w:w="57" w:type="dxa"/>
          </w:tblCellMar>
        </w:tblPrEx>
        <w:trPr>
          <w:cantSplit/>
          <w:jc w:val="center"/>
        </w:trPr>
        <w:tc>
          <w:tcPr>
            <w:tcW w:w="1319" w:type="dxa"/>
            <w:shd w:val="clear" w:color="auto" w:fill="auto"/>
            <w:noWrap w:val="0"/>
            <w:vAlign w:val="center"/>
          </w:tcPr>
          <w:p w14:paraId="29680007">
            <w:pPr>
              <w:pStyle w:val="52"/>
              <w:bidi w:val="0"/>
              <w:rPr>
                <w:rFonts w:ascii="Times New Roman" w:hAnsi="Times New Roman" w:eastAsia="宋体" w:cs="Times New Roman"/>
                <w:color w:val="000000"/>
                <w:kern w:val="2"/>
                <w:sz w:val="21"/>
                <w:szCs w:val="28"/>
                <w:lang w:val="en-US" w:eastAsia="zh-CN" w:bidi="ar-SA"/>
              </w:rPr>
            </w:pPr>
            <w:r>
              <w:t>氯化钙</w:t>
            </w:r>
          </w:p>
        </w:tc>
        <w:tc>
          <w:tcPr>
            <w:tcW w:w="1440" w:type="dxa"/>
            <w:shd w:val="clear" w:color="auto" w:fill="auto"/>
            <w:noWrap w:val="0"/>
            <w:vAlign w:val="center"/>
          </w:tcPr>
          <w:p w14:paraId="77F636B9">
            <w:pPr>
              <w:pStyle w:val="52"/>
              <w:bidi w:val="0"/>
              <w:rPr>
                <w:rFonts w:ascii="Times New Roman" w:hAnsi="Times New Roman" w:eastAsia="宋体" w:cs="Times New Roman"/>
                <w:color w:val="000000"/>
                <w:kern w:val="2"/>
                <w:sz w:val="21"/>
                <w:szCs w:val="28"/>
                <w:lang w:val="en-US" w:eastAsia="zh-CN" w:bidi="ar-SA"/>
              </w:rPr>
            </w:pPr>
            <w:r>
              <w:t>10043-52-4</w:t>
            </w:r>
          </w:p>
        </w:tc>
        <w:tc>
          <w:tcPr>
            <w:tcW w:w="1485" w:type="dxa"/>
            <w:shd w:val="clear" w:color="auto" w:fill="auto"/>
            <w:noWrap w:val="0"/>
            <w:tcMar>
              <w:left w:w="0" w:type="dxa"/>
              <w:right w:w="0" w:type="dxa"/>
            </w:tcMar>
            <w:vAlign w:val="center"/>
          </w:tcPr>
          <w:p w14:paraId="4B63821D">
            <w:pPr>
              <w:pStyle w:val="52"/>
              <w:bidi w:val="0"/>
            </w:pPr>
            <w:r>
              <w:t>CaCl2</w:t>
            </w:r>
          </w:p>
          <w:p w14:paraId="36F05DB6">
            <w:pPr>
              <w:pStyle w:val="52"/>
              <w:bidi w:val="0"/>
              <w:rPr>
                <w:rFonts w:ascii="Times New Roman" w:hAnsi="Times New Roman" w:eastAsia="宋体" w:cs="Times New Roman"/>
                <w:color w:val="000000"/>
                <w:kern w:val="2"/>
                <w:sz w:val="21"/>
                <w:szCs w:val="28"/>
                <w:lang w:val="zh-CN" w:eastAsia="zh-CN" w:bidi="ar-SA"/>
              </w:rPr>
            </w:pPr>
            <w:r>
              <w:t>110.984</w:t>
            </w:r>
          </w:p>
        </w:tc>
        <w:tc>
          <w:tcPr>
            <w:tcW w:w="6275" w:type="dxa"/>
            <w:shd w:val="clear" w:color="auto" w:fill="auto"/>
            <w:noWrap w:val="0"/>
            <w:tcMar>
              <w:left w:w="0" w:type="dxa"/>
              <w:right w:w="0" w:type="dxa"/>
            </w:tcMar>
            <w:vAlign w:val="center"/>
          </w:tcPr>
          <w:p w14:paraId="55584149">
            <w:pPr>
              <w:pStyle w:val="52"/>
              <w:bidi w:val="0"/>
              <w:rPr>
                <w:rFonts w:ascii="Times New Roman" w:hAnsi="Times New Roman" w:eastAsia="宋体" w:cs="Times New Roman"/>
                <w:color w:val="000000"/>
                <w:kern w:val="2"/>
                <w:sz w:val="21"/>
                <w:szCs w:val="28"/>
                <w:lang w:val="en-US" w:eastAsia="zh-CN" w:bidi="ar-SA"/>
              </w:rPr>
            </w:pPr>
            <w:r>
              <w:t>白色或灰白色，有粒状、蜂窝块状、圆球状、不规则颗粒状、粉末状。微毒、无臭、味微苦。吸湿性极强，暴露于空气中极易潮解。易溶于水，20℃时溶解度为74.5 g/100g水，同时放出大量的热（氯化钙的</w:t>
            </w:r>
            <w:r>
              <w:fldChar w:fldCharType="begin"/>
            </w:r>
            <w:r>
              <w:instrText xml:space="preserve"> HYPERLINK "https://baike.baidu.com/item/%E6%BA%B6%E8%A7%A3%E7%84%93" \t "https://baike.baidu.com/item/_blank" </w:instrText>
            </w:r>
            <w:r>
              <w:fldChar w:fldCharType="separate"/>
            </w:r>
            <w:r>
              <w:rPr>
                <w:rStyle w:val="49"/>
                <w:rFonts w:ascii="Times New Roman" w:hAnsi="Times New Roman"/>
                <w:color w:val="4E6127"/>
                <w:szCs w:val="21"/>
                <w:highlight w:val="none"/>
                <w:u w:val="none" w:color="auto"/>
                <w:shd w:val="clear" w:color="auto" w:fill="FFFFFF"/>
              </w:rPr>
              <w:t>溶解焓</w:t>
            </w:r>
            <w:r>
              <w:fldChar w:fldCharType="end"/>
            </w:r>
            <w:r>
              <w:t>为-176.2cal/g），其水溶液呈微酸性。</w:t>
            </w:r>
          </w:p>
        </w:tc>
        <w:tc>
          <w:tcPr>
            <w:tcW w:w="2922" w:type="dxa"/>
            <w:shd w:val="clear" w:color="auto" w:fill="auto"/>
            <w:noWrap w:val="0"/>
            <w:tcMar>
              <w:left w:w="0" w:type="dxa"/>
              <w:right w:w="0" w:type="dxa"/>
            </w:tcMar>
            <w:vAlign w:val="center"/>
          </w:tcPr>
          <w:p w14:paraId="254A55DD">
            <w:pPr>
              <w:pStyle w:val="52"/>
              <w:bidi w:val="0"/>
              <w:rPr>
                <w:rFonts w:ascii="Times New Roman" w:hAnsi="Times New Roman" w:eastAsia="宋体" w:cs="Times New Roman"/>
                <w:color w:val="000000"/>
                <w:kern w:val="2"/>
                <w:sz w:val="21"/>
                <w:szCs w:val="28"/>
                <w:lang w:val="en-US" w:eastAsia="zh-CN" w:bidi="ar-SA"/>
              </w:rPr>
            </w:pPr>
            <w:r>
              <w:t>——</w:t>
            </w:r>
          </w:p>
        </w:tc>
      </w:tr>
      <w:tr w14:paraId="29A906E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7" w:type="dxa"/>
            <w:bottom w:w="0" w:type="dxa"/>
            <w:right w:w="57" w:type="dxa"/>
          </w:tblCellMar>
        </w:tblPrEx>
        <w:trPr>
          <w:cantSplit/>
          <w:jc w:val="center"/>
        </w:trPr>
        <w:tc>
          <w:tcPr>
            <w:tcW w:w="1319" w:type="dxa"/>
            <w:noWrap w:val="0"/>
            <w:vAlign w:val="center"/>
          </w:tcPr>
          <w:p w14:paraId="015678B5">
            <w:pPr>
              <w:pStyle w:val="52"/>
              <w:bidi w:val="0"/>
              <w:rPr>
                <w:rFonts w:hint="eastAsia" w:eastAsia="宋体"/>
                <w:lang w:val="en-US" w:eastAsia="zh-CN"/>
              </w:rPr>
            </w:pPr>
            <w:r>
              <w:rPr>
                <w:rFonts w:hint="eastAsia"/>
                <w:lang w:val="en-US" w:eastAsia="zh-CN"/>
              </w:rPr>
              <w:t>硅藻土</w:t>
            </w:r>
          </w:p>
        </w:tc>
        <w:tc>
          <w:tcPr>
            <w:tcW w:w="1440" w:type="dxa"/>
            <w:noWrap w:val="0"/>
            <w:vAlign w:val="center"/>
          </w:tcPr>
          <w:p w14:paraId="2B7858DC">
            <w:pPr>
              <w:pStyle w:val="52"/>
              <w:bidi w:val="0"/>
              <w:rPr>
                <w:rFonts w:hint="default" w:eastAsia="宋体"/>
                <w:lang w:val="en-US" w:eastAsia="zh-CN"/>
              </w:rPr>
            </w:pPr>
            <w:r>
              <w:rPr>
                <w:rFonts w:hint="eastAsia"/>
                <w:lang w:val="en-US" w:eastAsia="zh-CN"/>
              </w:rPr>
              <w:t>61790-53-2</w:t>
            </w:r>
          </w:p>
        </w:tc>
        <w:tc>
          <w:tcPr>
            <w:tcW w:w="1485" w:type="dxa"/>
            <w:noWrap w:val="0"/>
            <w:tcMar>
              <w:left w:w="0" w:type="dxa"/>
              <w:right w:w="0" w:type="dxa"/>
            </w:tcMar>
            <w:vAlign w:val="center"/>
          </w:tcPr>
          <w:p w14:paraId="3348C59C">
            <w:pPr>
              <w:pStyle w:val="52"/>
              <w:bidi w:val="0"/>
              <w:jc w:val="center"/>
              <w:rPr>
                <w:rFonts w:hint="eastAsia"/>
                <w:lang w:val="en-US" w:eastAsia="zh-CN"/>
              </w:rPr>
            </w:pPr>
            <w:r>
              <w:rPr>
                <w:rFonts w:hint="eastAsia"/>
                <w:lang w:val="en-US" w:eastAsia="zh-CN"/>
              </w:rPr>
              <w:t>SiO2</w:t>
            </w:r>
          </w:p>
          <w:p w14:paraId="40CAB191">
            <w:pPr>
              <w:jc w:val="center"/>
              <w:rPr>
                <w:rFonts w:hint="default"/>
                <w:lang w:val="en-US" w:eastAsia="zh-CN"/>
              </w:rPr>
            </w:pPr>
            <w:r>
              <w:rPr>
                <w:rFonts w:hint="eastAsia"/>
                <w:lang w:val="en-US" w:eastAsia="zh-CN"/>
              </w:rPr>
              <w:t>60.0843</w:t>
            </w:r>
          </w:p>
        </w:tc>
        <w:tc>
          <w:tcPr>
            <w:tcW w:w="6275" w:type="dxa"/>
            <w:noWrap w:val="0"/>
            <w:tcMar>
              <w:left w:w="0" w:type="dxa"/>
              <w:right w:w="0" w:type="dxa"/>
            </w:tcMar>
            <w:vAlign w:val="center"/>
          </w:tcPr>
          <w:p w14:paraId="21D44FBE">
            <w:pPr>
              <w:pStyle w:val="52"/>
              <w:bidi w:val="0"/>
            </w:pPr>
            <w:r>
              <w:rPr>
                <w:rFonts w:hint="eastAsia"/>
              </w:rPr>
              <w:t>硅藻土由无定形的Si02组成，并含有少量Fe2</w:t>
            </w:r>
            <w:r>
              <w:rPr>
                <w:rFonts w:hint="eastAsia"/>
                <w:lang w:val="en-US" w:eastAsia="zh-CN"/>
              </w:rPr>
              <w:t>O</w:t>
            </w:r>
            <w:r>
              <w:rPr>
                <w:rFonts w:hint="eastAsia"/>
              </w:rPr>
              <w:t>3、Ca</w:t>
            </w:r>
            <w:r>
              <w:rPr>
                <w:rFonts w:hint="eastAsia"/>
                <w:lang w:val="en-US" w:eastAsia="zh-CN"/>
              </w:rPr>
              <w:t>O</w:t>
            </w:r>
            <w:r>
              <w:rPr>
                <w:rFonts w:hint="eastAsia"/>
              </w:rPr>
              <w:t>、Mg</w:t>
            </w:r>
            <w:r>
              <w:rPr>
                <w:rFonts w:hint="eastAsia"/>
                <w:lang w:val="en-US" w:eastAsia="zh-CN"/>
              </w:rPr>
              <w:t>O</w:t>
            </w:r>
            <w:r>
              <w:rPr>
                <w:rFonts w:hint="eastAsia"/>
              </w:rPr>
              <w:t>、Al2</w:t>
            </w:r>
            <w:r>
              <w:rPr>
                <w:rFonts w:hint="eastAsia"/>
                <w:lang w:val="en-US" w:eastAsia="zh-CN"/>
              </w:rPr>
              <w:t>O</w:t>
            </w:r>
            <w:r>
              <w:rPr>
                <w:rFonts w:hint="eastAsia"/>
              </w:rPr>
              <w:t>3及有机杂质。纯净的硅藻土呈白色、土状，含杂质时则呈灰白、黄、灰、绿以至黑色。硬度1~1.5．但硅藻骨架达4.5—5。熔点1400～16 50℃，一般密度1.9～2. 35g/c</w:t>
            </w:r>
            <w:r>
              <w:rPr>
                <w:rFonts w:hint="eastAsia"/>
                <w:lang w:eastAsia="zh-CN"/>
              </w:rPr>
              <w:t>m</w:t>
            </w:r>
            <w:r>
              <w:rPr>
                <w:rFonts w:hint="eastAsia"/>
                <w:vertAlign w:val="superscript"/>
                <w:lang w:eastAsia="zh-CN"/>
              </w:rPr>
              <w:t>3</w:t>
            </w:r>
            <w:r>
              <w:rPr>
                <w:rFonts w:hint="eastAsia"/>
              </w:rPr>
              <w:t>。折射率低，具高液体吸附能力，表面积大，对声、热、电传导性低，易溶于碱，不溶于除氢氟酸外的任何酸。硅藻土矿经常与黏土矿共生，黏土可以单独成层，也可与硅藻土相杂。</w:t>
            </w:r>
          </w:p>
        </w:tc>
        <w:tc>
          <w:tcPr>
            <w:tcW w:w="2922" w:type="dxa"/>
            <w:noWrap w:val="0"/>
            <w:tcMar>
              <w:left w:w="0" w:type="dxa"/>
              <w:right w:w="0" w:type="dxa"/>
            </w:tcMar>
            <w:vAlign w:val="center"/>
          </w:tcPr>
          <w:p w14:paraId="73500D9E">
            <w:pPr>
              <w:pStyle w:val="52"/>
              <w:bidi w:val="0"/>
            </w:pPr>
            <w:r>
              <w:t>——</w:t>
            </w:r>
          </w:p>
        </w:tc>
      </w:tr>
      <w:tr w14:paraId="391BD52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7" w:type="dxa"/>
            <w:bottom w:w="0" w:type="dxa"/>
            <w:right w:w="57" w:type="dxa"/>
          </w:tblCellMar>
        </w:tblPrEx>
        <w:trPr>
          <w:cantSplit/>
          <w:jc w:val="center"/>
        </w:trPr>
        <w:tc>
          <w:tcPr>
            <w:tcW w:w="1319" w:type="dxa"/>
            <w:noWrap w:val="0"/>
            <w:vAlign w:val="center"/>
          </w:tcPr>
          <w:p w14:paraId="321A2247">
            <w:pPr>
              <w:pStyle w:val="52"/>
              <w:bidi w:val="0"/>
              <w:rPr>
                <w:rFonts w:hint="eastAsia" w:eastAsia="宋体"/>
                <w:lang w:val="en-US" w:eastAsia="zh-CN"/>
              </w:rPr>
            </w:pPr>
            <w:r>
              <w:rPr>
                <w:rFonts w:hint="eastAsia"/>
                <w:lang w:val="en-US" w:eastAsia="zh-CN"/>
              </w:rPr>
              <w:t>聚丙烯酰胺</w:t>
            </w:r>
          </w:p>
        </w:tc>
        <w:tc>
          <w:tcPr>
            <w:tcW w:w="1440" w:type="dxa"/>
            <w:noWrap w:val="0"/>
            <w:vAlign w:val="center"/>
          </w:tcPr>
          <w:p w14:paraId="5887F056">
            <w:pPr>
              <w:pStyle w:val="52"/>
              <w:bidi w:val="0"/>
              <w:rPr>
                <w:rFonts w:hint="default" w:eastAsia="宋体"/>
                <w:lang w:val="en-US" w:eastAsia="zh-CN"/>
              </w:rPr>
            </w:pPr>
            <w:r>
              <w:rPr>
                <w:rFonts w:hint="eastAsia"/>
                <w:lang w:val="en-US" w:eastAsia="zh-CN"/>
              </w:rPr>
              <w:t>9003-05-8</w:t>
            </w:r>
          </w:p>
        </w:tc>
        <w:tc>
          <w:tcPr>
            <w:tcW w:w="1485" w:type="dxa"/>
            <w:noWrap w:val="0"/>
            <w:tcMar>
              <w:left w:w="0" w:type="dxa"/>
              <w:right w:w="0" w:type="dxa"/>
            </w:tcMar>
            <w:vAlign w:val="center"/>
          </w:tcPr>
          <w:p w14:paraId="73EA219D">
            <w:pPr>
              <w:pStyle w:val="52"/>
              <w:bidi w:val="0"/>
            </w:pPr>
            <w:r>
              <w:rPr>
                <w:rFonts w:hint="eastAsia"/>
              </w:rPr>
              <w:t>[CH2CH(CONH2)]n</w:t>
            </w:r>
          </w:p>
        </w:tc>
        <w:tc>
          <w:tcPr>
            <w:tcW w:w="6275" w:type="dxa"/>
            <w:noWrap w:val="0"/>
            <w:tcMar>
              <w:left w:w="0" w:type="dxa"/>
              <w:right w:w="0" w:type="dxa"/>
            </w:tcMar>
            <w:vAlign w:val="center"/>
          </w:tcPr>
          <w:p w14:paraId="3C6D84AB">
            <w:pPr>
              <w:pStyle w:val="52"/>
              <w:bidi w:val="0"/>
            </w:pPr>
            <w:r>
              <w:rPr>
                <w:rFonts w:hint="eastAsia"/>
              </w:rPr>
              <w:t>有机高分子聚合物，同时也是一种高分子水处理絮凝剂产品，专门可以吸附水中的悬浮颗粒，在颗粒之间起链接架桥作用，使细颗粒形成比较大的絮团，并且加快了沉淀的速度。这一过程称之为絮凝，因其中良好的絮凝效果PAM作为水处理的絮凝剂并且被广泛用于污水处理。</w:t>
            </w:r>
          </w:p>
        </w:tc>
        <w:tc>
          <w:tcPr>
            <w:tcW w:w="2922" w:type="dxa"/>
            <w:noWrap w:val="0"/>
            <w:tcMar>
              <w:left w:w="0" w:type="dxa"/>
              <w:right w:w="0" w:type="dxa"/>
            </w:tcMar>
            <w:vAlign w:val="center"/>
          </w:tcPr>
          <w:p w14:paraId="0C145BED">
            <w:pPr>
              <w:pStyle w:val="52"/>
              <w:bidi w:val="0"/>
            </w:pPr>
            <w:r>
              <w:t>——</w:t>
            </w:r>
          </w:p>
        </w:tc>
      </w:tr>
    </w:tbl>
    <w:p w14:paraId="1B9356FF">
      <w:pPr>
        <w:spacing w:line="360" w:lineRule="auto"/>
        <w:ind w:firstLine="482" w:firstLineChars="200"/>
        <w:rPr>
          <w:rFonts w:ascii="Times New Roman" w:hAnsi="Times New Roman" w:eastAsia="宋体" w:cs="Times New Roman"/>
          <w:b/>
          <w:bCs/>
          <w:color w:val="FF0000"/>
          <w:sz w:val="24"/>
          <w:szCs w:val="24"/>
        </w:rPr>
        <w:sectPr>
          <w:pgSz w:w="16838" w:h="11906" w:orient="landscape"/>
          <w:pgMar w:top="1800" w:right="1440" w:bottom="1800" w:left="1440" w:header="851" w:footer="992" w:gutter="0"/>
          <w:pgNumType w:fmt="numberInDash"/>
          <w:cols w:space="720" w:num="1"/>
          <w:docGrid w:type="lines" w:linePitch="312" w:charSpace="0"/>
        </w:sectPr>
      </w:pPr>
    </w:p>
    <w:p w14:paraId="4B2851BF">
      <w:pPr>
        <w:pStyle w:val="4"/>
        <w:bidi w:val="0"/>
      </w:pPr>
      <w:r>
        <w:t>3.2.6</w:t>
      </w:r>
      <w:r>
        <w:rPr>
          <w:rFonts w:hint="eastAsia"/>
        </w:rPr>
        <w:t>主要生产设备</w:t>
      </w:r>
    </w:p>
    <w:p w14:paraId="64D4EACB">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本项目所用设备均不属于《高耗能落后机电设备（产品）淘汰目录》，具体设备清单如下表所示：</w:t>
      </w:r>
    </w:p>
    <w:p w14:paraId="574068DA">
      <w:pPr>
        <w:pStyle w:val="6"/>
        <w:bidi w:val="0"/>
      </w:pPr>
      <w:r>
        <w:rPr>
          <w:rFonts w:hint="eastAsia"/>
        </w:rPr>
        <w:t>表</w:t>
      </w:r>
      <w:r>
        <w:t>3.2</w:t>
      </w:r>
      <w:r>
        <w:rPr>
          <w:rFonts w:hint="eastAsia"/>
          <w:lang w:val="en-US" w:eastAsia="zh-CN"/>
        </w:rPr>
        <w:t>.6</w:t>
      </w:r>
      <w:r>
        <w:t>-</w:t>
      </w:r>
      <w:r>
        <w:rPr>
          <w:rFonts w:hint="eastAsia"/>
          <w:lang w:val="en-US" w:eastAsia="zh-CN"/>
        </w:rPr>
        <w:t>1</w:t>
      </w:r>
      <w:r>
        <w:t xml:space="preserve">    生产主要设备一览表</w:t>
      </w:r>
    </w:p>
    <w:tbl>
      <w:tblPr>
        <w:tblStyle w:val="42"/>
        <w:tblW w:w="74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9"/>
        <w:gridCol w:w="2019"/>
        <w:gridCol w:w="1638"/>
        <w:gridCol w:w="717"/>
        <w:gridCol w:w="850"/>
        <w:gridCol w:w="1276"/>
      </w:tblGrid>
      <w:tr w14:paraId="5E3EC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9" w:type="dxa"/>
            <w:vAlign w:val="center"/>
          </w:tcPr>
          <w:p w14:paraId="6A8C9365">
            <w:pPr>
              <w:jc w:val="center"/>
              <w:rPr>
                <w:rFonts w:ascii="Times New Roman" w:hAnsi="Times New Roman" w:cs="Times New Roman"/>
                <w:sz w:val="24"/>
              </w:rPr>
            </w:pPr>
            <w:r>
              <w:rPr>
                <w:rFonts w:ascii="Times New Roman" w:cs="Times New Roman" w:hAnsiTheme="minorEastAsia"/>
                <w:sz w:val="24"/>
              </w:rPr>
              <w:t>序号</w:t>
            </w:r>
          </w:p>
        </w:tc>
        <w:tc>
          <w:tcPr>
            <w:tcW w:w="2019" w:type="dxa"/>
            <w:vAlign w:val="center"/>
          </w:tcPr>
          <w:p w14:paraId="3B660A30">
            <w:pPr>
              <w:jc w:val="center"/>
              <w:rPr>
                <w:rFonts w:ascii="Times New Roman" w:hAnsi="Times New Roman" w:cs="Times New Roman"/>
                <w:sz w:val="24"/>
              </w:rPr>
            </w:pPr>
            <w:r>
              <w:rPr>
                <w:rFonts w:ascii="Times New Roman" w:cs="Times New Roman" w:hAnsiTheme="minorEastAsia"/>
                <w:sz w:val="24"/>
              </w:rPr>
              <w:t>名称</w:t>
            </w:r>
          </w:p>
        </w:tc>
        <w:tc>
          <w:tcPr>
            <w:tcW w:w="1638" w:type="dxa"/>
            <w:vAlign w:val="center"/>
          </w:tcPr>
          <w:p w14:paraId="6B5CDD0E">
            <w:pPr>
              <w:jc w:val="center"/>
              <w:rPr>
                <w:rFonts w:ascii="Times New Roman" w:hAnsi="Times New Roman" w:cs="Times New Roman"/>
                <w:sz w:val="24"/>
              </w:rPr>
            </w:pPr>
            <w:r>
              <w:rPr>
                <w:rFonts w:ascii="Times New Roman" w:cs="Times New Roman" w:hAnsiTheme="minorEastAsia"/>
                <w:sz w:val="24"/>
              </w:rPr>
              <w:t>型号规格</w:t>
            </w:r>
          </w:p>
        </w:tc>
        <w:tc>
          <w:tcPr>
            <w:tcW w:w="717" w:type="dxa"/>
            <w:vAlign w:val="center"/>
          </w:tcPr>
          <w:p w14:paraId="09F6367C">
            <w:pPr>
              <w:jc w:val="center"/>
              <w:rPr>
                <w:rFonts w:ascii="Times New Roman" w:hAnsi="Times New Roman" w:cs="Times New Roman"/>
                <w:sz w:val="24"/>
              </w:rPr>
            </w:pPr>
            <w:r>
              <w:rPr>
                <w:rFonts w:ascii="Times New Roman" w:cs="Times New Roman" w:hAnsiTheme="minorEastAsia"/>
                <w:sz w:val="24"/>
              </w:rPr>
              <w:t>单位</w:t>
            </w:r>
          </w:p>
        </w:tc>
        <w:tc>
          <w:tcPr>
            <w:tcW w:w="850" w:type="dxa"/>
            <w:vAlign w:val="center"/>
          </w:tcPr>
          <w:p w14:paraId="65693419">
            <w:pPr>
              <w:jc w:val="center"/>
              <w:rPr>
                <w:rFonts w:ascii="Times New Roman" w:hAnsi="Times New Roman" w:cs="Times New Roman"/>
                <w:sz w:val="24"/>
              </w:rPr>
            </w:pPr>
            <w:r>
              <w:rPr>
                <w:rFonts w:ascii="Times New Roman" w:cs="Times New Roman" w:hAnsiTheme="minorEastAsia"/>
                <w:sz w:val="24"/>
              </w:rPr>
              <w:t>数量</w:t>
            </w:r>
          </w:p>
        </w:tc>
        <w:tc>
          <w:tcPr>
            <w:tcW w:w="1276" w:type="dxa"/>
            <w:vAlign w:val="center"/>
          </w:tcPr>
          <w:p w14:paraId="4F56F2D4">
            <w:pPr>
              <w:jc w:val="center"/>
              <w:rPr>
                <w:rFonts w:ascii="Times New Roman" w:hAnsi="Times New Roman" w:cs="Times New Roman"/>
                <w:sz w:val="24"/>
              </w:rPr>
            </w:pPr>
            <w:r>
              <w:rPr>
                <w:rFonts w:ascii="Times New Roman" w:cs="Times New Roman" w:hAnsiTheme="minorEastAsia"/>
                <w:sz w:val="24"/>
              </w:rPr>
              <w:t>备注</w:t>
            </w:r>
          </w:p>
        </w:tc>
      </w:tr>
      <w:tr w14:paraId="655B8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09" w:type="dxa"/>
            <w:gridSpan w:val="6"/>
            <w:vAlign w:val="center"/>
          </w:tcPr>
          <w:p w14:paraId="028E1199">
            <w:pPr>
              <w:jc w:val="center"/>
              <w:rPr>
                <w:rFonts w:hint="default" w:ascii="Times New Roman" w:cs="Times New Roman" w:hAnsiTheme="minorEastAsia" w:eastAsiaTheme="minorEastAsia"/>
                <w:sz w:val="24"/>
                <w:lang w:val="en-US" w:eastAsia="zh-CN"/>
              </w:rPr>
            </w:pPr>
            <w:r>
              <w:rPr>
                <w:rFonts w:hint="eastAsia" w:ascii="Times New Roman" w:cs="Times New Roman" w:hAnsiTheme="minorEastAsia"/>
                <w:sz w:val="24"/>
                <w:lang w:val="en-US" w:eastAsia="zh-CN"/>
              </w:rPr>
              <w:t>肌醇饲料添加剂</w:t>
            </w:r>
          </w:p>
        </w:tc>
      </w:tr>
      <w:tr w14:paraId="360A5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9" w:type="dxa"/>
            <w:vAlign w:val="center"/>
          </w:tcPr>
          <w:p w14:paraId="10D84CBC">
            <w:pPr>
              <w:jc w:val="center"/>
              <w:rPr>
                <w:rFonts w:hint="eastAsia" w:ascii="Times New Roman" w:hAnsi="Times New Roman" w:eastAsia="宋体" w:cs="Times New Roman"/>
                <w:color w:val="000000"/>
                <w:sz w:val="24"/>
                <w:lang w:eastAsia="zh-CN"/>
              </w:rPr>
            </w:pPr>
            <w:r>
              <w:rPr>
                <w:rFonts w:hint="eastAsia" w:ascii="Times New Roman" w:hAnsi="Times New Roman" w:eastAsia="宋体" w:cs="Times New Roman"/>
                <w:color w:val="000000"/>
                <w:sz w:val="24"/>
                <w:lang w:val="en-US" w:eastAsia="zh-CN"/>
              </w:rPr>
              <w:t>1</w:t>
            </w:r>
          </w:p>
        </w:tc>
        <w:tc>
          <w:tcPr>
            <w:tcW w:w="2019" w:type="dxa"/>
            <w:vAlign w:val="center"/>
          </w:tcPr>
          <w:p w14:paraId="3AFBA55F">
            <w:pPr>
              <w:jc w:val="center"/>
              <w:rPr>
                <w:rFonts w:ascii="Times New Roman" w:hAnsi="Times New Roman" w:cs="Times New Roman"/>
                <w:sz w:val="24"/>
              </w:rPr>
            </w:pPr>
            <w:r>
              <w:rPr>
                <w:rFonts w:hint="eastAsia" w:ascii="Times New Roman" w:hAnsi="Times New Roman" w:cs="Times New Roman"/>
                <w:sz w:val="24"/>
                <w:lang w:val="en-US" w:eastAsia="zh-CN"/>
              </w:rPr>
              <w:t>种子</w:t>
            </w:r>
            <w:r>
              <w:rPr>
                <w:rFonts w:hint="eastAsia" w:ascii="Times New Roman" w:hAnsi="Times New Roman" w:cs="Times New Roman"/>
                <w:sz w:val="24"/>
              </w:rPr>
              <w:t>罐</w:t>
            </w:r>
          </w:p>
        </w:tc>
        <w:tc>
          <w:tcPr>
            <w:tcW w:w="1638" w:type="dxa"/>
            <w:vAlign w:val="center"/>
          </w:tcPr>
          <w:p w14:paraId="2411929D">
            <w:pPr>
              <w:jc w:val="center"/>
              <w:rPr>
                <w:rFonts w:ascii="Times New Roman" w:hAnsi="Times New Roman" w:cs="Times New Roman"/>
                <w:sz w:val="24"/>
              </w:rPr>
            </w:pPr>
            <w:r>
              <w:rPr>
                <w:rFonts w:hint="eastAsia" w:ascii="Times New Roman" w:hAnsi="Times New Roman" w:cs="Times New Roman"/>
                <w:sz w:val="24"/>
                <w:lang w:val="en-US" w:eastAsia="zh-CN"/>
              </w:rPr>
              <w:t>3</w:t>
            </w:r>
            <w:r>
              <w:rPr>
                <w:rFonts w:hint="eastAsia" w:ascii="Times New Roman" w:hAnsi="Times New Roman" w:cs="Times New Roman"/>
                <w:sz w:val="24"/>
              </w:rPr>
              <w:t>m³</w:t>
            </w:r>
          </w:p>
        </w:tc>
        <w:tc>
          <w:tcPr>
            <w:tcW w:w="717" w:type="dxa"/>
            <w:vAlign w:val="center"/>
          </w:tcPr>
          <w:p w14:paraId="5651EC20">
            <w:pPr>
              <w:jc w:val="center"/>
              <w:rPr>
                <w:rFonts w:ascii="Times New Roman" w:hAnsi="Times New Roman" w:cs="Times New Roman"/>
                <w:sz w:val="24"/>
              </w:rPr>
            </w:pPr>
            <w:r>
              <w:rPr>
                <w:rFonts w:hint="eastAsia" w:ascii="Times New Roman" w:hAnsi="Times New Roman" w:cs="Times New Roman"/>
                <w:sz w:val="24"/>
              </w:rPr>
              <w:t>个</w:t>
            </w:r>
          </w:p>
        </w:tc>
        <w:tc>
          <w:tcPr>
            <w:tcW w:w="850" w:type="dxa"/>
            <w:vAlign w:val="center"/>
          </w:tcPr>
          <w:p w14:paraId="0E191D00">
            <w:pPr>
              <w:jc w:val="center"/>
              <w:rPr>
                <w:rFonts w:ascii="Times New Roman" w:hAnsi="Times New Roman" w:cs="Times New Roman"/>
                <w:sz w:val="24"/>
              </w:rPr>
            </w:pPr>
            <w:r>
              <w:rPr>
                <w:rFonts w:hint="eastAsia" w:ascii="Times New Roman" w:hAnsi="Times New Roman" w:cs="Times New Roman"/>
                <w:sz w:val="24"/>
              </w:rPr>
              <w:t>2</w:t>
            </w:r>
          </w:p>
        </w:tc>
        <w:tc>
          <w:tcPr>
            <w:tcW w:w="1276" w:type="dxa"/>
            <w:vAlign w:val="center"/>
          </w:tcPr>
          <w:p w14:paraId="1861C337">
            <w:pPr>
              <w:jc w:val="center"/>
              <w:rPr>
                <w:rFonts w:ascii="Times New Roman" w:hAnsi="Times New Roman" w:cs="Times New Roman"/>
                <w:sz w:val="24"/>
              </w:rPr>
            </w:pPr>
            <w:r>
              <w:rPr>
                <w:rFonts w:ascii="Times New Roman" w:cs="Times New Roman" w:hAnsiTheme="minorEastAsia"/>
                <w:sz w:val="24"/>
              </w:rPr>
              <w:t>利用现有</w:t>
            </w:r>
          </w:p>
        </w:tc>
      </w:tr>
      <w:tr w14:paraId="14730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909" w:type="dxa"/>
            <w:vAlign w:val="center"/>
          </w:tcPr>
          <w:p w14:paraId="3D47D05B">
            <w:pPr>
              <w:jc w:val="center"/>
              <w:rPr>
                <w:rFonts w:ascii="Times New Roman" w:hAnsi="Times New Roman" w:eastAsia="宋体" w:cs="Times New Roman"/>
                <w:color w:val="000000"/>
                <w:sz w:val="24"/>
              </w:rPr>
            </w:pPr>
            <w:r>
              <w:rPr>
                <w:rFonts w:ascii="Times New Roman" w:hAnsi="Times New Roman" w:cs="Times New Roman"/>
                <w:color w:val="000000"/>
                <w:sz w:val="24"/>
              </w:rPr>
              <w:t>2</w:t>
            </w:r>
          </w:p>
        </w:tc>
        <w:tc>
          <w:tcPr>
            <w:tcW w:w="2019" w:type="dxa"/>
            <w:vAlign w:val="center"/>
          </w:tcPr>
          <w:p w14:paraId="0DEF155A">
            <w:pPr>
              <w:jc w:val="center"/>
              <w:rPr>
                <w:rFonts w:ascii="Times New Roman" w:hAnsi="Times New Roman" w:cs="Times New Roman"/>
                <w:sz w:val="24"/>
              </w:rPr>
            </w:pPr>
            <w:r>
              <w:rPr>
                <w:rFonts w:hint="eastAsia" w:ascii="Times New Roman" w:cs="Times New Roman" w:hAnsiTheme="minorEastAsia"/>
                <w:sz w:val="24"/>
                <w:lang w:val="en-US" w:eastAsia="zh-CN"/>
              </w:rPr>
              <w:t>发酵</w:t>
            </w:r>
            <w:r>
              <w:rPr>
                <w:rFonts w:ascii="Times New Roman" w:cs="Times New Roman" w:hAnsiTheme="minorEastAsia"/>
                <w:sz w:val="24"/>
              </w:rPr>
              <w:t>罐</w:t>
            </w:r>
          </w:p>
        </w:tc>
        <w:tc>
          <w:tcPr>
            <w:tcW w:w="1638" w:type="dxa"/>
            <w:vAlign w:val="center"/>
          </w:tcPr>
          <w:p w14:paraId="039A1BAE">
            <w:pPr>
              <w:jc w:val="center"/>
              <w:rPr>
                <w:rFonts w:ascii="Times New Roman" w:hAnsi="Times New Roman" w:cs="Times New Roman"/>
                <w:sz w:val="24"/>
              </w:rPr>
            </w:pPr>
            <w:r>
              <w:rPr>
                <w:rFonts w:hint="eastAsia" w:ascii="Times New Roman" w:hAnsi="Times New Roman" w:cs="Times New Roman"/>
                <w:sz w:val="24"/>
              </w:rPr>
              <w:t>4</w:t>
            </w:r>
            <w:r>
              <w:rPr>
                <w:rFonts w:ascii="Times New Roman" w:hAnsi="Times New Roman" w:cs="Times New Roman"/>
                <w:sz w:val="24"/>
              </w:rPr>
              <w:t>0m³</w:t>
            </w:r>
          </w:p>
        </w:tc>
        <w:tc>
          <w:tcPr>
            <w:tcW w:w="717" w:type="dxa"/>
            <w:vAlign w:val="center"/>
          </w:tcPr>
          <w:p w14:paraId="1321352C">
            <w:pPr>
              <w:jc w:val="center"/>
              <w:rPr>
                <w:rFonts w:ascii="Times New Roman" w:hAnsi="Times New Roman" w:cs="Times New Roman"/>
                <w:sz w:val="24"/>
              </w:rPr>
            </w:pPr>
            <w:r>
              <w:rPr>
                <w:rFonts w:ascii="Times New Roman" w:cs="Times New Roman" w:hAnsiTheme="minorEastAsia"/>
                <w:sz w:val="24"/>
              </w:rPr>
              <w:t>个</w:t>
            </w:r>
          </w:p>
        </w:tc>
        <w:tc>
          <w:tcPr>
            <w:tcW w:w="850" w:type="dxa"/>
            <w:vAlign w:val="center"/>
          </w:tcPr>
          <w:p w14:paraId="49756445">
            <w:pPr>
              <w:jc w:val="center"/>
              <w:rPr>
                <w:rFonts w:hint="eastAsia" w:ascii="Times New Roman" w:hAnsi="Times New Roman" w:cs="Times New Roman" w:eastAsiaTheme="minorEastAsia"/>
                <w:sz w:val="24"/>
                <w:lang w:eastAsia="zh-CN"/>
              </w:rPr>
            </w:pPr>
            <w:r>
              <w:rPr>
                <w:rFonts w:hint="eastAsia" w:ascii="Times New Roman" w:hAnsi="Times New Roman" w:cs="Times New Roman"/>
                <w:sz w:val="24"/>
                <w:lang w:val="en-US" w:eastAsia="zh-CN"/>
              </w:rPr>
              <w:t>3</w:t>
            </w:r>
          </w:p>
        </w:tc>
        <w:tc>
          <w:tcPr>
            <w:tcW w:w="1276" w:type="dxa"/>
            <w:vAlign w:val="center"/>
          </w:tcPr>
          <w:p w14:paraId="3A8947F2">
            <w:pPr>
              <w:jc w:val="center"/>
              <w:rPr>
                <w:rFonts w:ascii="Times New Roman" w:hAnsi="Times New Roman" w:cs="Times New Roman"/>
                <w:sz w:val="24"/>
              </w:rPr>
            </w:pPr>
            <w:r>
              <w:rPr>
                <w:rFonts w:ascii="Times New Roman" w:cs="Times New Roman" w:hAnsiTheme="minorEastAsia"/>
                <w:sz w:val="24"/>
              </w:rPr>
              <w:t>利用现有</w:t>
            </w:r>
          </w:p>
        </w:tc>
      </w:tr>
      <w:tr w14:paraId="3EE93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9" w:type="dxa"/>
            <w:vAlign w:val="center"/>
          </w:tcPr>
          <w:p w14:paraId="2082BBE2">
            <w:pPr>
              <w:jc w:val="center"/>
              <w:rPr>
                <w:rFonts w:hint="eastAsia" w:ascii="Times New Roman" w:hAnsi="Times New Roman" w:cs="Times New Roman" w:eastAsiaTheme="minorEastAsia"/>
                <w:color w:val="000000"/>
                <w:sz w:val="24"/>
                <w:lang w:val="en-US" w:eastAsia="zh-CN"/>
              </w:rPr>
            </w:pPr>
            <w:r>
              <w:rPr>
                <w:rFonts w:hint="eastAsia" w:ascii="Times New Roman" w:hAnsi="Times New Roman" w:cs="Times New Roman"/>
                <w:color w:val="000000"/>
                <w:sz w:val="24"/>
                <w:lang w:val="en-US" w:eastAsia="zh-CN"/>
              </w:rPr>
              <w:t>3</w:t>
            </w:r>
          </w:p>
        </w:tc>
        <w:tc>
          <w:tcPr>
            <w:tcW w:w="2019" w:type="dxa"/>
            <w:vAlign w:val="center"/>
          </w:tcPr>
          <w:p w14:paraId="08649294">
            <w:pPr>
              <w:jc w:val="center"/>
              <w:rPr>
                <w:rFonts w:ascii="Times New Roman" w:cs="Times New Roman" w:hAnsiTheme="minorEastAsia"/>
                <w:sz w:val="24"/>
              </w:rPr>
            </w:pPr>
            <w:r>
              <w:rPr>
                <w:rFonts w:hint="eastAsia" w:ascii="Times New Roman" w:cs="Times New Roman" w:hAnsiTheme="minorEastAsia"/>
                <w:sz w:val="24"/>
                <w:lang w:val="en-US" w:eastAsia="zh-CN"/>
              </w:rPr>
              <w:t>发酵</w:t>
            </w:r>
            <w:r>
              <w:rPr>
                <w:rFonts w:ascii="Times New Roman" w:cs="Times New Roman" w:hAnsiTheme="minorEastAsia"/>
                <w:sz w:val="24"/>
              </w:rPr>
              <w:t>罐</w:t>
            </w:r>
          </w:p>
        </w:tc>
        <w:tc>
          <w:tcPr>
            <w:tcW w:w="1638" w:type="dxa"/>
            <w:vAlign w:val="center"/>
          </w:tcPr>
          <w:p w14:paraId="7B160D8F">
            <w:pPr>
              <w:jc w:val="center"/>
              <w:rPr>
                <w:rFonts w:hint="eastAsia" w:ascii="Times New Roman" w:hAnsi="Times New Roman" w:cs="Times New Roman"/>
                <w:sz w:val="24"/>
              </w:rPr>
            </w:pPr>
            <w:r>
              <w:rPr>
                <w:rFonts w:hint="eastAsia" w:ascii="Times New Roman" w:hAnsi="Times New Roman" w:cs="Times New Roman"/>
                <w:sz w:val="24"/>
              </w:rPr>
              <w:t>4</w:t>
            </w:r>
            <w:r>
              <w:rPr>
                <w:rFonts w:ascii="Times New Roman" w:hAnsi="Times New Roman" w:cs="Times New Roman"/>
                <w:sz w:val="24"/>
              </w:rPr>
              <w:t>0m³</w:t>
            </w:r>
          </w:p>
        </w:tc>
        <w:tc>
          <w:tcPr>
            <w:tcW w:w="717" w:type="dxa"/>
            <w:vAlign w:val="center"/>
          </w:tcPr>
          <w:p w14:paraId="3B57C5CF">
            <w:pPr>
              <w:jc w:val="center"/>
              <w:rPr>
                <w:rFonts w:ascii="Times New Roman" w:cs="Times New Roman" w:hAnsiTheme="minorEastAsia"/>
                <w:sz w:val="24"/>
              </w:rPr>
            </w:pPr>
            <w:r>
              <w:rPr>
                <w:rFonts w:ascii="Times New Roman" w:cs="Times New Roman" w:hAnsiTheme="minorEastAsia"/>
                <w:sz w:val="24"/>
              </w:rPr>
              <w:t>个</w:t>
            </w:r>
          </w:p>
        </w:tc>
        <w:tc>
          <w:tcPr>
            <w:tcW w:w="850" w:type="dxa"/>
            <w:vAlign w:val="center"/>
          </w:tcPr>
          <w:p w14:paraId="0C01A505">
            <w:pPr>
              <w:jc w:val="center"/>
              <w:rPr>
                <w:rFonts w:hint="eastAsia" w:ascii="Times New Roman" w:hAnsi="Times New Roman" w:cs="Times New Roman" w:eastAsiaTheme="minorEastAsia"/>
                <w:sz w:val="24"/>
                <w:lang w:val="en-US" w:eastAsia="zh-CN"/>
              </w:rPr>
            </w:pPr>
            <w:r>
              <w:rPr>
                <w:rFonts w:hint="eastAsia" w:ascii="Times New Roman" w:hAnsi="Times New Roman" w:cs="Times New Roman"/>
                <w:sz w:val="24"/>
                <w:lang w:val="en-US" w:eastAsia="zh-CN"/>
              </w:rPr>
              <w:t>3</w:t>
            </w:r>
          </w:p>
        </w:tc>
        <w:tc>
          <w:tcPr>
            <w:tcW w:w="1276" w:type="dxa"/>
            <w:vAlign w:val="center"/>
          </w:tcPr>
          <w:p w14:paraId="4084127C">
            <w:pPr>
              <w:jc w:val="center"/>
              <w:rPr>
                <w:rFonts w:ascii="Times New Roman" w:cs="Times New Roman" w:hAnsiTheme="minorEastAsia"/>
                <w:sz w:val="24"/>
              </w:rPr>
            </w:pPr>
            <w:r>
              <w:rPr>
                <w:rFonts w:hint="eastAsia" w:ascii="Times New Roman" w:cs="Times New Roman" w:hAnsiTheme="minorEastAsia"/>
                <w:sz w:val="24"/>
              </w:rPr>
              <w:t>新增设备</w:t>
            </w:r>
          </w:p>
        </w:tc>
      </w:tr>
      <w:tr w14:paraId="255B0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9" w:type="dxa"/>
            <w:vAlign w:val="center"/>
          </w:tcPr>
          <w:p w14:paraId="4E8F3F0A">
            <w:pPr>
              <w:jc w:val="center"/>
              <w:rPr>
                <w:rFonts w:hint="eastAsia" w:ascii="Times New Roman" w:hAnsi="Times New Roman" w:eastAsia="宋体" w:cs="Times New Roman"/>
                <w:color w:val="000000"/>
                <w:sz w:val="24"/>
                <w:lang w:eastAsia="zh-CN"/>
              </w:rPr>
            </w:pPr>
            <w:r>
              <w:rPr>
                <w:rFonts w:hint="eastAsia" w:ascii="Times New Roman" w:hAnsi="Times New Roman" w:eastAsia="宋体" w:cs="Times New Roman"/>
                <w:color w:val="000000"/>
                <w:sz w:val="24"/>
                <w:lang w:val="en-US" w:eastAsia="zh-CN"/>
              </w:rPr>
              <w:t>4</w:t>
            </w:r>
          </w:p>
        </w:tc>
        <w:tc>
          <w:tcPr>
            <w:tcW w:w="2019" w:type="dxa"/>
            <w:vAlign w:val="center"/>
          </w:tcPr>
          <w:p w14:paraId="4180407D">
            <w:pPr>
              <w:jc w:val="center"/>
              <w:rPr>
                <w:rFonts w:ascii="Times New Roman" w:hAnsi="Times New Roman" w:cs="Times New Roman"/>
                <w:sz w:val="24"/>
              </w:rPr>
            </w:pPr>
            <w:r>
              <w:rPr>
                <w:rFonts w:ascii="Times New Roman" w:cs="Times New Roman" w:hAnsiTheme="minorEastAsia"/>
                <w:sz w:val="24"/>
              </w:rPr>
              <w:t>絮凝罐</w:t>
            </w:r>
          </w:p>
        </w:tc>
        <w:tc>
          <w:tcPr>
            <w:tcW w:w="1638" w:type="dxa"/>
            <w:vAlign w:val="center"/>
          </w:tcPr>
          <w:p w14:paraId="168C60A1">
            <w:pPr>
              <w:jc w:val="center"/>
              <w:rPr>
                <w:rFonts w:ascii="Times New Roman" w:hAnsi="Times New Roman" w:cs="Times New Roman"/>
                <w:sz w:val="24"/>
              </w:rPr>
            </w:pPr>
            <w:r>
              <w:rPr>
                <w:rFonts w:hint="eastAsia" w:ascii="Times New Roman" w:hAnsi="Times New Roman" w:cs="Times New Roman"/>
                <w:sz w:val="24"/>
              </w:rPr>
              <w:t>5</w:t>
            </w:r>
            <w:r>
              <w:rPr>
                <w:rFonts w:ascii="Times New Roman" w:hAnsi="Times New Roman" w:cs="Times New Roman"/>
                <w:sz w:val="24"/>
              </w:rPr>
              <w:t>0m³</w:t>
            </w:r>
          </w:p>
        </w:tc>
        <w:tc>
          <w:tcPr>
            <w:tcW w:w="717" w:type="dxa"/>
            <w:vAlign w:val="center"/>
          </w:tcPr>
          <w:p w14:paraId="1CB55E79">
            <w:pPr>
              <w:jc w:val="center"/>
              <w:rPr>
                <w:rFonts w:ascii="Times New Roman" w:hAnsi="Times New Roman" w:cs="Times New Roman"/>
                <w:sz w:val="24"/>
              </w:rPr>
            </w:pPr>
            <w:r>
              <w:rPr>
                <w:rFonts w:ascii="Times New Roman" w:cs="Times New Roman" w:hAnsiTheme="minorEastAsia"/>
                <w:sz w:val="24"/>
              </w:rPr>
              <w:t>个</w:t>
            </w:r>
          </w:p>
        </w:tc>
        <w:tc>
          <w:tcPr>
            <w:tcW w:w="850" w:type="dxa"/>
            <w:vAlign w:val="center"/>
          </w:tcPr>
          <w:p w14:paraId="322C31D8">
            <w:pPr>
              <w:jc w:val="center"/>
              <w:rPr>
                <w:rFonts w:ascii="Times New Roman" w:hAnsi="Times New Roman" w:cs="Times New Roman"/>
                <w:sz w:val="24"/>
              </w:rPr>
            </w:pPr>
            <w:r>
              <w:rPr>
                <w:rFonts w:hint="eastAsia" w:ascii="Times New Roman" w:hAnsi="Times New Roman" w:cs="Times New Roman"/>
                <w:sz w:val="24"/>
              </w:rPr>
              <w:t>2</w:t>
            </w:r>
          </w:p>
        </w:tc>
        <w:tc>
          <w:tcPr>
            <w:tcW w:w="1276" w:type="dxa"/>
            <w:vAlign w:val="center"/>
          </w:tcPr>
          <w:p w14:paraId="31C350F5">
            <w:pPr>
              <w:jc w:val="center"/>
              <w:rPr>
                <w:rFonts w:ascii="Times New Roman" w:hAnsi="Times New Roman" w:cs="Times New Roman"/>
                <w:sz w:val="24"/>
              </w:rPr>
            </w:pPr>
            <w:r>
              <w:rPr>
                <w:rFonts w:ascii="Times New Roman" w:cs="Times New Roman" w:hAnsiTheme="minorEastAsia"/>
                <w:sz w:val="24"/>
              </w:rPr>
              <w:t>利用现有</w:t>
            </w:r>
          </w:p>
        </w:tc>
      </w:tr>
      <w:tr w14:paraId="63259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9" w:type="dxa"/>
            <w:vAlign w:val="center"/>
          </w:tcPr>
          <w:p w14:paraId="62B91E78">
            <w:pPr>
              <w:jc w:val="center"/>
              <w:rPr>
                <w:rFonts w:hint="eastAsia" w:ascii="Times New Roman" w:hAnsi="Times New Roman" w:eastAsia="宋体" w:cs="Times New Roman"/>
                <w:color w:val="000000"/>
                <w:sz w:val="24"/>
                <w:lang w:eastAsia="zh-CN"/>
              </w:rPr>
            </w:pPr>
            <w:r>
              <w:rPr>
                <w:rFonts w:hint="eastAsia" w:ascii="Times New Roman" w:hAnsi="Times New Roman" w:eastAsia="宋体" w:cs="Times New Roman"/>
                <w:color w:val="000000"/>
                <w:sz w:val="24"/>
                <w:lang w:val="en-US" w:eastAsia="zh-CN"/>
              </w:rPr>
              <w:t>5</w:t>
            </w:r>
          </w:p>
        </w:tc>
        <w:tc>
          <w:tcPr>
            <w:tcW w:w="2019" w:type="dxa"/>
            <w:vAlign w:val="center"/>
          </w:tcPr>
          <w:p w14:paraId="58C41904">
            <w:pPr>
              <w:jc w:val="center"/>
              <w:rPr>
                <w:rFonts w:ascii="Times New Roman" w:hAnsi="Times New Roman" w:cs="Times New Roman"/>
                <w:sz w:val="24"/>
              </w:rPr>
            </w:pPr>
            <w:r>
              <w:rPr>
                <w:rFonts w:ascii="Times New Roman" w:cs="Times New Roman" w:hAnsiTheme="minorEastAsia"/>
                <w:sz w:val="24"/>
              </w:rPr>
              <w:t>板框压滤机</w:t>
            </w:r>
          </w:p>
        </w:tc>
        <w:tc>
          <w:tcPr>
            <w:tcW w:w="1638" w:type="dxa"/>
            <w:vAlign w:val="center"/>
          </w:tcPr>
          <w:p w14:paraId="0E7A1661">
            <w:pPr>
              <w:jc w:val="center"/>
              <w:rPr>
                <w:rFonts w:hint="eastAsia" w:ascii="Times New Roman" w:hAnsi="Times New Roman" w:cs="Times New Roman" w:eastAsiaTheme="minorEastAsia"/>
                <w:sz w:val="24"/>
                <w:lang w:eastAsia="zh-CN"/>
              </w:rPr>
            </w:pPr>
            <w:r>
              <w:rPr>
                <w:rFonts w:hint="eastAsia" w:ascii="Times New Roman" w:hAnsi="Times New Roman" w:cs="Times New Roman"/>
                <w:sz w:val="24"/>
              </w:rPr>
              <w:t>100</w:t>
            </w:r>
            <w:r>
              <w:rPr>
                <w:rFonts w:hint="eastAsia" w:ascii="Times New Roman" w:hAnsi="Times New Roman" w:cs="Times New Roman"/>
                <w:sz w:val="24"/>
                <w:lang w:eastAsia="zh-CN"/>
              </w:rPr>
              <w:t>m</w:t>
            </w:r>
            <w:r>
              <w:rPr>
                <w:rFonts w:hint="eastAsia" w:ascii="Times New Roman" w:hAnsi="Times New Roman" w:cs="Times New Roman"/>
                <w:sz w:val="24"/>
                <w:vertAlign w:val="superscript"/>
                <w:lang w:eastAsia="zh-CN"/>
              </w:rPr>
              <w:t>2</w:t>
            </w:r>
          </w:p>
        </w:tc>
        <w:tc>
          <w:tcPr>
            <w:tcW w:w="717" w:type="dxa"/>
            <w:vAlign w:val="center"/>
          </w:tcPr>
          <w:p w14:paraId="4680C584">
            <w:pPr>
              <w:jc w:val="center"/>
              <w:rPr>
                <w:rFonts w:ascii="Times New Roman" w:hAnsi="Times New Roman" w:cs="Times New Roman"/>
                <w:sz w:val="24"/>
              </w:rPr>
            </w:pPr>
            <w:r>
              <w:rPr>
                <w:rFonts w:hint="eastAsia" w:ascii="Times New Roman" w:cs="Times New Roman" w:hAnsiTheme="minorEastAsia"/>
                <w:sz w:val="24"/>
              </w:rPr>
              <w:t>台</w:t>
            </w:r>
          </w:p>
        </w:tc>
        <w:tc>
          <w:tcPr>
            <w:tcW w:w="850" w:type="dxa"/>
            <w:vAlign w:val="center"/>
          </w:tcPr>
          <w:p w14:paraId="215B4F52">
            <w:pPr>
              <w:jc w:val="center"/>
              <w:rPr>
                <w:rFonts w:ascii="Times New Roman" w:hAnsi="Times New Roman" w:cs="Times New Roman"/>
                <w:sz w:val="24"/>
              </w:rPr>
            </w:pPr>
            <w:r>
              <w:rPr>
                <w:rFonts w:hint="eastAsia" w:ascii="Times New Roman" w:hAnsi="Times New Roman" w:cs="Times New Roman"/>
                <w:sz w:val="24"/>
              </w:rPr>
              <w:t>2</w:t>
            </w:r>
          </w:p>
        </w:tc>
        <w:tc>
          <w:tcPr>
            <w:tcW w:w="1276" w:type="dxa"/>
            <w:vAlign w:val="center"/>
          </w:tcPr>
          <w:p w14:paraId="1C5A7C11">
            <w:pPr>
              <w:jc w:val="center"/>
              <w:rPr>
                <w:rFonts w:ascii="Times New Roman" w:hAnsi="Times New Roman" w:cs="Times New Roman"/>
                <w:sz w:val="24"/>
              </w:rPr>
            </w:pPr>
            <w:r>
              <w:rPr>
                <w:rFonts w:ascii="Times New Roman" w:cs="Times New Roman" w:hAnsiTheme="minorEastAsia"/>
                <w:sz w:val="24"/>
              </w:rPr>
              <w:t>利用现有</w:t>
            </w:r>
          </w:p>
        </w:tc>
      </w:tr>
      <w:tr w14:paraId="36DF0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9" w:type="dxa"/>
            <w:vAlign w:val="center"/>
          </w:tcPr>
          <w:p w14:paraId="42E68F4C">
            <w:pPr>
              <w:jc w:val="center"/>
              <w:rPr>
                <w:rFonts w:hint="eastAsia" w:ascii="Times New Roman" w:hAnsi="Times New Roman" w:eastAsia="宋体" w:cs="Times New Roman"/>
                <w:color w:val="000000"/>
                <w:sz w:val="24"/>
                <w:lang w:eastAsia="zh-CN"/>
              </w:rPr>
            </w:pPr>
            <w:r>
              <w:rPr>
                <w:rFonts w:hint="eastAsia" w:ascii="Times New Roman" w:hAnsi="Times New Roman" w:eastAsia="宋体" w:cs="Times New Roman"/>
                <w:color w:val="000000"/>
                <w:sz w:val="24"/>
                <w:lang w:val="en-US" w:eastAsia="zh-CN"/>
              </w:rPr>
              <w:t>6</w:t>
            </w:r>
          </w:p>
        </w:tc>
        <w:tc>
          <w:tcPr>
            <w:tcW w:w="2019" w:type="dxa"/>
            <w:vAlign w:val="center"/>
          </w:tcPr>
          <w:p w14:paraId="4473A4DD">
            <w:pPr>
              <w:jc w:val="center"/>
              <w:rPr>
                <w:rFonts w:ascii="Times New Roman" w:hAnsi="Times New Roman" w:cs="Times New Roman"/>
                <w:sz w:val="24"/>
              </w:rPr>
            </w:pPr>
            <w:r>
              <w:rPr>
                <w:rFonts w:ascii="Times New Roman" w:cs="Times New Roman" w:hAnsiTheme="minorEastAsia"/>
                <w:sz w:val="24"/>
              </w:rPr>
              <w:t>板框压滤机</w:t>
            </w:r>
          </w:p>
        </w:tc>
        <w:tc>
          <w:tcPr>
            <w:tcW w:w="1638" w:type="dxa"/>
            <w:vAlign w:val="center"/>
          </w:tcPr>
          <w:p w14:paraId="16F87AEA">
            <w:pPr>
              <w:jc w:val="center"/>
              <w:rPr>
                <w:rFonts w:hint="eastAsia" w:ascii="Times New Roman" w:hAnsi="Times New Roman" w:cs="Times New Roman" w:eastAsiaTheme="minorEastAsia"/>
                <w:sz w:val="24"/>
                <w:lang w:eastAsia="zh-CN"/>
              </w:rPr>
            </w:pPr>
            <w:r>
              <w:rPr>
                <w:rFonts w:hint="eastAsia" w:ascii="Times New Roman" w:hAnsi="Times New Roman" w:cs="Times New Roman"/>
                <w:sz w:val="24"/>
              </w:rPr>
              <w:t>125</w:t>
            </w:r>
            <w:r>
              <w:rPr>
                <w:rFonts w:ascii="Times New Roman" w:hAnsi="Times New Roman" w:cs="Times New Roman"/>
                <w:sz w:val="24"/>
              </w:rPr>
              <w:t xml:space="preserve"> </w:t>
            </w:r>
            <w:r>
              <w:rPr>
                <w:rFonts w:hint="eastAsia" w:ascii="Times New Roman" w:hAnsi="Times New Roman" w:cs="Times New Roman"/>
                <w:sz w:val="24"/>
                <w:lang w:eastAsia="zh-CN"/>
              </w:rPr>
              <w:t>m</w:t>
            </w:r>
            <w:r>
              <w:rPr>
                <w:rFonts w:hint="eastAsia" w:ascii="Times New Roman" w:hAnsi="Times New Roman" w:cs="Times New Roman"/>
                <w:sz w:val="24"/>
                <w:vertAlign w:val="superscript"/>
                <w:lang w:eastAsia="zh-CN"/>
              </w:rPr>
              <w:t>2</w:t>
            </w:r>
          </w:p>
        </w:tc>
        <w:tc>
          <w:tcPr>
            <w:tcW w:w="717" w:type="dxa"/>
            <w:vAlign w:val="center"/>
          </w:tcPr>
          <w:p w14:paraId="18DBC578">
            <w:pPr>
              <w:jc w:val="center"/>
              <w:rPr>
                <w:rFonts w:ascii="Times New Roman" w:hAnsi="Times New Roman" w:cs="Times New Roman"/>
                <w:sz w:val="24"/>
              </w:rPr>
            </w:pPr>
            <w:r>
              <w:rPr>
                <w:rFonts w:hint="eastAsia" w:ascii="Times New Roman" w:cs="Times New Roman" w:hAnsiTheme="minorEastAsia"/>
                <w:sz w:val="24"/>
              </w:rPr>
              <w:t>台</w:t>
            </w:r>
          </w:p>
        </w:tc>
        <w:tc>
          <w:tcPr>
            <w:tcW w:w="850" w:type="dxa"/>
            <w:vAlign w:val="center"/>
          </w:tcPr>
          <w:p w14:paraId="030E54C6">
            <w:pPr>
              <w:jc w:val="center"/>
              <w:rPr>
                <w:rFonts w:ascii="Times New Roman" w:hAnsi="Times New Roman" w:cs="Times New Roman"/>
                <w:sz w:val="24"/>
              </w:rPr>
            </w:pPr>
            <w:r>
              <w:rPr>
                <w:rFonts w:hint="eastAsia" w:ascii="Times New Roman" w:hAnsi="Times New Roman" w:cs="Times New Roman"/>
                <w:sz w:val="24"/>
              </w:rPr>
              <w:t>1</w:t>
            </w:r>
          </w:p>
        </w:tc>
        <w:tc>
          <w:tcPr>
            <w:tcW w:w="1276" w:type="dxa"/>
            <w:vAlign w:val="center"/>
          </w:tcPr>
          <w:p w14:paraId="25AF9058">
            <w:pPr>
              <w:jc w:val="center"/>
              <w:rPr>
                <w:rFonts w:ascii="Times New Roman" w:hAnsi="Times New Roman" w:cs="Times New Roman"/>
                <w:sz w:val="24"/>
              </w:rPr>
            </w:pPr>
            <w:r>
              <w:rPr>
                <w:rFonts w:ascii="Times New Roman" w:cs="Times New Roman" w:hAnsiTheme="minorEastAsia"/>
                <w:sz w:val="24"/>
              </w:rPr>
              <w:t>利用现有</w:t>
            </w:r>
          </w:p>
        </w:tc>
      </w:tr>
      <w:tr w14:paraId="73446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9" w:type="dxa"/>
            <w:vAlign w:val="center"/>
          </w:tcPr>
          <w:p w14:paraId="01FD5A4F">
            <w:pPr>
              <w:jc w:val="center"/>
              <w:rPr>
                <w:rFonts w:ascii="Times New Roman" w:hAnsi="Times New Roman" w:eastAsia="宋体" w:cs="Times New Roman"/>
                <w:color w:val="000000"/>
                <w:sz w:val="24"/>
              </w:rPr>
            </w:pPr>
            <w:r>
              <w:rPr>
                <w:rFonts w:ascii="Times New Roman" w:hAnsi="Times New Roman" w:cs="Times New Roman"/>
                <w:color w:val="000000"/>
                <w:sz w:val="24"/>
              </w:rPr>
              <w:t>7</w:t>
            </w:r>
          </w:p>
        </w:tc>
        <w:tc>
          <w:tcPr>
            <w:tcW w:w="2019" w:type="dxa"/>
            <w:vAlign w:val="center"/>
          </w:tcPr>
          <w:p w14:paraId="1BEE3C9D">
            <w:pPr>
              <w:jc w:val="center"/>
              <w:rPr>
                <w:rFonts w:ascii="Times New Roman" w:cs="Times New Roman" w:hAnsiTheme="minorEastAsia"/>
                <w:sz w:val="24"/>
              </w:rPr>
            </w:pPr>
            <w:r>
              <w:rPr>
                <w:rFonts w:ascii="Times New Roman" w:cs="Times New Roman" w:hAnsiTheme="minorEastAsia"/>
                <w:sz w:val="24"/>
              </w:rPr>
              <w:t>板框</w:t>
            </w:r>
            <w:r>
              <w:rPr>
                <w:rFonts w:hint="eastAsia" w:ascii="Times New Roman" w:cs="Times New Roman" w:hAnsiTheme="minorEastAsia"/>
                <w:sz w:val="24"/>
              </w:rPr>
              <w:t>压滤机</w:t>
            </w:r>
          </w:p>
        </w:tc>
        <w:tc>
          <w:tcPr>
            <w:tcW w:w="1638" w:type="dxa"/>
            <w:vAlign w:val="center"/>
          </w:tcPr>
          <w:p w14:paraId="609F2CE9">
            <w:pPr>
              <w:jc w:val="center"/>
              <w:rPr>
                <w:rFonts w:hint="eastAsia" w:ascii="Times New Roman" w:hAnsi="Times New Roman" w:cs="Times New Roman" w:eastAsiaTheme="minorEastAsia"/>
                <w:sz w:val="24"/>
                <w:lang w:eastAsia="zh-CN"/>
              </w:rPr>
            </w:pPr>
            <w:r>
              <w:rPr>
                <w:rFonts w:hint="eastAsia" w:ascii="Times New Roman" w:hAnsi="Times New Roman" w:cs="Times New Roman"/>
                <w:sz w:val="24"/>
              </w:rPr>
              <w:t>150</w:t>
            </w:r>
            <w:r>
              <w:rPr>
                <w:rFonts w:hint="eastAsia" w:ascii="Times New Roman" w:hAnsi="Times New Roman" w:cs="Times New Roman"/>
                <w:sz w:val="24"/>
                <w:lang w:eastAsia="zh-CN"/>
              </w:rPr>
              <w:t>m</w:t>
            </w:r>
            <w:r>
              <w:rPr>
                <w:rFonts w:hint="eastAsia" w:ascii="Times New Roman" w:hAnsi="Times New Roman" w:cs="Times New Roman"/>
                <w:sz w:val="24"/>
                <w:vertAlign w:val="superscript"/>
                <w:lang w:eastAsia="zh-CN"/>
              </w:rPr>
              <w:t>2</w:t>
            </w:r>
          </w:p>
        </w:tc>
        <w:tc>
          <w:tcPr>
            <w:tcW w:w="717" w:type="dxa"/>
            <w:vAlign w:val="center"/>
          </w:tcPr>
          <w:p w14:paraId="685B90B9">
            <w:pPr>
              <w:jc w:val="center"/>
              <w:rPr>
                <w:rFonts w:ascii="Times New Roman" w:cs="Times New Roman" w:hAnsiTheme="minorEastAsia"/>
                <w:sz w:val="24"/>
              </w:rPr>
            </w:pPr>
            <w:r>
              <w:rPr>
                <w:rFonts w:hint="eastAsia" w:ascii="Times New Roman" w:cs="Times New Roman" w:hAnsiTheme="minorEastAsia"/>
                <w:sz w:val="24"/>
              </w:rPr>
              <w:t>台</w:t>
            </w:r>
          </w:p>
        </w:tc>
        <w:tc>
          <w:tcPr>
            <w:tcW w:w="850" w:type="dxa"/>
            <w:vAlign w:val="center"/>
          </w:tcPr>
          <w:p w14:paraId="2301B62A">
            <w:pPr>
              <w:jc w:val="center"/>
              <w:rPr>
                <w:rFonts w:ascii="Times New Roman" w:hAnsi="Times New Roman" w:cs="Times New Roman"/>
                <w:sz w:val="24"/>
              </w:rPr>
            </w:pPr>
            <w:r>
              <w:rPr>
                <w:rFonts w:hint="eastAsia" w:ascii="Times New Roman" w:hAnsi="Times New Roman" w:cs="Times New Roman"/>
                <w:sz w:val="24"/>
              </w:rPr>
              <w:t>1</w:t>
            </w:r>
          </w:p>
        </w:tc>
        <w:tc>
          <w:tcPr>
            <w:tcW w:w="1276" w:type="dxa"/>
            <w:vAlign w:val="center"/>
          </w:tcPr>
          <w:p w14:paraId="105037E2">
            <w:pPr>
              <w:jc w:val="center"/>
              <w:rPr>
                <w:rFonts w:ascii="Times New Roman" w:cs="Times New Roman" w:hAnsiTheme="minorEastAsia"/>
                <w:sz w:val="24"/>
              </w:rPr>
            </w:pPr>
            <w:r>
              <w:rPr>
                <w:rFonts w:ascii="Times New Roman" w:cs="Times New Roman" w:hAnsiTheme="minorEastAsia"/>
                <w:sz w:val="24"/>
              </w:rPr>
              <w:t>利用现有</w:t>
            </w:r>
          </w:p>
        </w:tc>
      </w:tr>
      <w:tr w14:paraId="16392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9" w:type="dxa"/>
            <w:vAlign w:val="center"/>
          </w:tcPr>
          <w:p w14:paraId="48A0C429">
            <w:pPr>
              <w:jc w:val="center"/>
              <w:rPr>
                <w:rFonts w:ascii="Times New Roman" w:hAnsi="Times New Roman" w:eastAsia="宋体" w:cs="Times New Roman"/>
                <w:color w:val="000000"/>
                <w:sz w:val="24"/>
              </w:rPr>
            </w:pPr>
            <w:r>
              <w:rPr>
                <w:rFonts w:ascii="Times New Roman" w:hAnsi="Times New Roman" w:cs="Times New Roman"/>
                <w:color w:val="000000"/>
                <w:sz w:val="24"/>
              </w:rPr>
              <w:t>8</w:t>
            </w:r>
          </w:p>
        </w:tc>
        <w:tc>
          <w:tcPr>
            <w:tcW w:w="2019" w:type="dxa"/>
            <w:vAlign w:val="center"/>
          </w:tcPr>
          <w:p w14:paraId="4947891E">
            <w:pPr>
              <w:jc w:val="center"/>
              <w:rPr>
                <w:rFonts w:ascii="Times New Roman" w:hAnsi="Times New Roman" w:cs="Times New Roman"/>
                <w:sz w:val="24"/>
              </w:rPr>
            </w:pPr>
            <w:r>
              <w:rPr>
                <w:rFonts w:ascii="Times New Roman" w:cs="Times New Roman" w:hAnsiTheme="minorEastAsia"/>
                <w:sz w:val="24"/>
              </w:rPr>
              <w:t>板框压滤机</w:t>
            </w:r>
          </w:p>
        </w:tc>
        <w:tc>
          <w:tcPr>
            <w:tcW w:w="1638" w:type="dxa"/>
            <w:vAlign w:val="center"/>
          </w:tcPr>
          <w:p w14:paraId="68189617">
            <w:pPr>
              <w:jc w:val="center"/>
              <w:rPr>
                <w:rFonts w:hint="eastAsia" w:ascii="Times New Roman" w:hAnsi="Times New Roman" w:cs="Times New Roman" w:eastAsiaTheme="minorEastAsia"/>
                <w:sz w:val="24"/>
                <w:lang w:eastAsia="zh-CN"/>
              </w:rPr>
            </w:pPr>
            <w:r>
              <w:rPr>
                <w:rFonts w:hint="eastAsia" w:ascii="Times New Roman" w:hAnsi="Times New Roman" w:cs="Times New Roman"/>
                <w:sz w:val="24"/>
              </w:rPr>
              <w:t>60</w:t>
            </w:r>
            <w:r>
              <w:rPr>
                <w:rFonts w:hint="eastAsia" w:ascii="Times New Roman" w:hAnsi="Times New Roman" w:cs="Times New Roman"/>
                <w:sz w:val="24"/>
                <w:lang w:eastAsia="zh-CN"/>
              </w:rPr>
              <w:t>m</w:t>
            </w:r>
            <w:r>
              <w:rPr>
                <w:rFonts w:hint="eastAsia" w:ascii="Times New Roman" w:hAnsi="Times New Roman" w:cs="Times New Roman"/>
                <w:sz w:val="24"/>
                <w:vertAlign w:val="superscript"/>
                <w:lang w:eastAsia="zh-CN"/>
              </w:rPr>
              <w:t>2</w:t>
            </w:r>
          </w:p>
        </w:tc>
        <w:tc>
          <w:tcPr>
            <w:tcW w:w="717" w:type="dxa"/>
            <w:vAlign w:val="center"/>
          </w:tcPr>
          <w:p w14:paraId="4B0844E7">
            <w:pPr>
              <w:jc w:val="center"/>
              <w:rPr>
                <w:rFonts w:ascii="Times New Roman" w:hAnsi="Times New Roman" w:cs="Times New Roman"/>
                <w:sz w:val="24"/>
              </w:rPr>
            </w:pPr>
            <w:r>
              <w:rPr>
                <w:rFonts w:ascii="Times New Roman" w:cs="Times New Roman" w:hAnsiTheme="minorEastAsia"/>
                <w:sz w:val="24"/>
              </w:rPr>
              <w:t>个</w:t>
            </w:r>
          </w:p>
        </w:tc>
        <w:tc>
          <w:tcPr>
            <w:tcW w:w="850" w:type="dxa"/>
            <w:vAlign w:val="center"/>
          </w:tcPr>
          <w:p w14:paraId="4FD969EE">
            <w:pPr>
              <w:jc w:val="center"/>
              <w:rPr>
                <w:rFonts w:ascii="Times New Roman" w:hAnsi="Times New Roman" w:cs="Times New Roman"/>
                <w:sz w:val="24"/>
              </w:rPr>
            </w:pPr>
            <w:r>
              <w:rPr>
                <w:rFonts w:hint="eastAsia" w:ascii="Times New Roman" w:hAnsi="Times New Roman" w:cs="Times New Roman"/>
                <w:sz w:val="24"/>
              </w:rPr>
              <w:t>4</w:t>
            </w:r>
          </w:p>
        </w:tc>
        <w:tc>
          <w:tcPr>
            <w:tcW w:w="1276" w:type="dxa"/>
            <w:vAlign w:val="center"/>
          </w:tcPr>
          <w:p w14:paraId="79A2B5B1">
            <w:pPr>
              <w:jc w:val="center"/>
              <w:rPr>
                <w:rFonts w:ascii="Times New Roman" w:hAnsi="Times New Roman" w:cs="Times New Roman"/>
                <w:sz w:val="24"/>
              </w:rPr>
            </w:pPr>
            <w:r>
              <w:rPr>
                <w:rFonts w:ascii="Times New Roman" w:cs="Times New Roman" w:hAnsiTheme="minorEastAsia"/>
                <w:sz w:val="24"/>
              </w:rPr>
              <w:t>利用现有</w:t>
            </w:r>
          </w:p>
        </w:tc>
      </w:tr>
      <w:tr w14:paraId="0DC45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9" w:type="dxa"/>
            <w:vAlign w:val="center"/>
          </w:tcPr>
          <w:p w14:paraId="06F97711">
            <w:pPr>
              <w:jc w:val="center"/>
              <w:rPr>
                <w:rFonts w:ascii="Times New Roman" w:hAnsi="Times New Roman" w:eastAsia="宋体" w:cs="Times New Roman"/>
                <w:color w:val="000000"/>
                <w:sz w:val="24"/>
              </w:rPr>
            </w:pPr>
            <w:r>
              <w:rPr>
                <w:rFonts w:ascii="Times New Roman" w:hAnsi="Times New Roman" w:cs="Times New Roman"/>
                <w:color w:val="000000"/>
                <w:sz w:val="24"/>
              </w:rPr>
              <w:t>9</w:t>
            </w:r>
          </w:p>
        </w:tc>
        <w:tc>
          <w:tcPr>
            <w:tcW w:w="2019" w:type="dxa"/>
            <w:vAlign w:val="center"/>
          </w:tcPr>
          <w:p w14:paraId="0DA1066A">
            <w:pPr>
              <w:jc w:val="center"/>
              <w:rPr>
                <w:rFonts w:ascii="Times New Roman" w:hAnsi="Times New Roman" w:cs="Times New Roman"/>
                <w:sz w:val="24"/>
              </w:rPr>
            </w:pPr>
            <w:r>
              <w:rPr>
                <w:rFonts w:ascii="Times New Roman" w:cs="Times New Roman" w:hAnsiTheme="minorEastAsia"/>
                <w:sz w:val="24"/>
              </w:rPr>
              <w:t>清液接收罐</w:t>
            </w:r>
          </w:p>
        </w:tc>
        <w:tc>
          <w:tcPr>
            <w:tcW w:w="1638" w:type="dxa"/>
            <w:vAlign w:val="center"/>
          </w:tcPr>
          <w:p w14:paraId="0EEAF999">
            <w:pPr>
              <w:jc w:val="center"/>
              <w:rPr>
                <w:rFonts w:ascii="Times New Roman" w:hAnsi="Times New Roman" w:cs="Times New Roman"/>
                <w:sz w:val="24"/>
              </w:rPr>
            </w:pPr>
            <w:r>
              <w:rPr>
                <w:rFonts w:ascii="Times New Roman" w:hAnsi="Times New Roman" w:cs="Times New Roman"/>
                <w:sz w:val="24"/>
              </w:rPr>
              <w:t>20m³</w:t>
            </w:r>
          </w:p>
        </w:tc>
        <w:tc>
          <w:tcPr>
            <w:tcW w:w="717" w:type="dxa"/>
            <w:vAlign w:val="center"/>
          </w:tcPr>
          <w:p w14:paraId="5F301075">
            <w:pPr>
              <w:jc w:val="center"/>
              <w:rPr>
                <w:rFonts w:ascii="Times New Roman" w:hAnsi="Times New Roman" w:cs="Times New Roman"/>
                <w:sz w:val="24"/>
              </w:rPr>
            </w:pPr>
            <w:r>
              <w:rPr>
                <w:rFonts w:ascii="Times New Roman" w:cs="Times New Roman" w:hAnsiTheme="minorEastAsia"/>
                <w:sz w:val="24"/>
              </w:rPr>
              <w:t>个</w:t>
            </w:r>
          </w:p>
        </w:tc>
        <w:tc>
          <w:tcPr>
            <w:tcW w:w="850" w:type="dxa"/>
            <w:vAlign w:val="center"/>
          </w:tcPr>
          <w:p w14:paraId="4E57F3CE">
            <w:pPr>
              <w:jc w:val="center"/>
              <w:rPr>
                <w:rFonts w:hint="eastAsia" w:ascii="Times New Roman" w:hAnsi="Times New Roman" w:cs="Times New Roman" w:eastAsiaTheme="minorEastAsia"/>
                <w:sz w:val="24"/>
                <w:lang w:eastAsia="zh-CN"/>
              </w:rPr>
            </w:pPr>
            <w:r>
              <w:rPr>
                <w:rFonts w:hint="eastAsia" w:ascii="Times New Roman" w:hAnsi="Times New Roman" w:cs="Times New Roman"/>
                <w:sz w:val="24"/>
                <w:lang w:val="en-US" w:eastAsia="zh-CN"/>
              </w:rPr>
              <w:t>3</w:t>
            </w:r>
          </w:p>
        </w:tc>
        <w:tc>
          <w:tcPr>
            <w:tcW w:w="1276" w:type="dxa"/>
            <w:vAlign w:val="center"/>
          </w:tcPr>
          <w:p w14:paraId="5D676A2B">
            <w:pPr>
              <w:jc w:val="center"/>
              <w:rPr>
                <w:rFonts w:ascii="Times New Roman" w:hAnsi="Times New Roman" w:cs="Times New Roman"/>
                <w:sz w:val="24"/>
              </w:rPr>
            </w:pPr>
            <w:r>
              <w:rPr>
                <w:rFonts w:hint="eastAsia" w:ascii="Times New Roman" w:cs="Times New Roman" w:hAnsiTheme="minorEastAsia"/>
                <w:sz w:val="24"/>
              </w:rPr>
              <w:t>新增设备</w:t>
            </w:r>
          </w:p>
        </w:tc>
      </w:tr>
      <w:tr w14:paraId="20D19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9" w:type="dxa"/>
            <w:vAlign w:val="center"/>
          </w:tcPr>
          <w:p w14:paraId="47DD6190">
            <w:pPr>
              <w:jc w:val="center"/>
              <w:rPr>
                <w:rFonts w:ascii="Times New Roman" w:hAnsi="Times New Roman" w:eastAsia="宋体" w:cs="Times New Roman"/>
                <w:color w:val="000000"/>
                <w:sz w:val="24"/>
              </w:rPr>
            </w:pPr>
            <w:r>
              <w:rPr>
                <w:rFonts w:ascii="Times New Roman" w:hAnsi="Times New Roman" w:cs="Times New Roman"/>
                <w:color w:val="000000"/>
                <w:sz w:val="24"/>
              </w:rPr>
              <w:t>10</w:t>
            </w:r>
          </w:p>
        </w:tc>
        <w:tc>
          <w:tcPr>
            <w:tcW w:w="2019" w:type="dxa"/>
            <w:vAlign w:val="center"/>
          </w:tcPr>
          <w:p w14:paraId="179B5644">
            <w:pPr>
              <w:jc w:val="center"/>
              <w:rPr>
                <w:rFonts w:ascii="Times New Roman" w:hAnsi="Times New Roman" w:cs="Times New Roman"/>
                <w:sz w:val="24"/>
              </w:rPr>
            </w:pPr>
            <w:r>
              <w:rPr>
                <w:rFonts w:hint="eastAsia" w:ascii="Times New Roman" w:cs="Times New Roman" w:hAnsiTheme="minorEastAsia"/>
                <w:sz w:val="24"/>
              </w:rPr>
              <w:t>单效浓缩器</w:t>
            </w:r>
          </w:p>
        </w:tc>
        <w:tc>
          <w:tcPr>
            <w:tcW w:w="1638" w:type="dxa"/>
            <w:vAlign w:val="center"/>
          </w:tcPr>
          <w:p w14:paraId="35C93388">
            <w:pPr>
              <w:jc w:val="center"/>
              <w:rPr>
                <w:rFonts w:ascii="Times New Roman" w:hAnsi="Times New Roman" w:cs="Times New Roman"/>
                <w:sz w:val="24"/>
              </w:rPr>
            </w:pPr>
            <w:r>
              <w:rPr>
                <w:rFonts w:hint="eastAsia" w:ascii="Times New Roman" w:hAnsi="Times New Roman" w:cs="Times New Roman"/>
                <w:sz w:val="24"/>
              </w:rPr>
              <w:t>10</w:t>
            </w:r>
            <w:r>
              <w:rPr>
                <w:rFonts w:ascii="Times New Roman" w:hAnsi="Times New Roman" w:cs="Times New Roman"/>
                <w:sz w:val="24"/>
              </w:rPr>
              <w:t>m³</w:t>
            </w:r>
          </w:p>
        </w:tc>
        <w:tc>
          <w:tcPr>
            <w:tcW w:w="717" w:type="dxa"/>
            <w:vAlign w:val="center"/>
          </w:tcPr>
          <w:p w14:paraId="46FFB2E2">
            <w:pPr>
              <w:jc w:val="center"/>
              <w:rPr>
                <w:rFonts w:hint="eastAsia" w:ascii="Times New Roman" w:hAnsi="Times New Roman" w:cs="Times New Roman" w:eastAsiaTheme="minorEastAsia"/>
                <w:sz w:val="24"/>
                <w:lang w:val="en-US" w:eastAsia="zh-CN"/>
              </w:rPr>
            </w:pPr>
            <w:r>
              <w:rPr>
                <w:rFonts w:hint="eastAsia" w:ascii="Times New Roman" w:hAnsi="Times New Roman" w:cs="Times New Roman"/>
                <w:sz w:val="24"/>
                <w:lang w:val="en-US" w:eastAsia="zh-CN"/>
              </w:rPr>
              <w:t>套</w:t>
            </w:r>
          </w:p>
        </w:tc>
        <w:tc>
          <w:tcPr>
            <w:tcW w:w="850" w:type="dxa"/>
            <w:vAlign w:val="center"/>
          </w:tcPr>
          <w:p w14:paraId="41323CAC">
            <w:pPr>
              <w:jc w:val="center"/>
              <w:rPr>
                <w:rFonts w:ascii="Times New Roman" w:hAnsi="Times New Roman" w:cs="Times New Roman"/>
                <w:sz w:val="24"/>
              </w:rPr>
            </w:pPr>
            <w:r>
              <w:rPr>
                <w:rFonts w:hint="eastAsia" w:ascii="Times New Roman" w:hAnsi="Times New Roman" w:cs="Times New Roman"/>
                <w:sz w:val="24"/>
              </w:rPr>
              <w:t>3</w:t>
            </w:r>
          </w:p>
        </w:tc>
        <w:tc>
          <w:tcPr>
            <w:tcW w:w="1276" w:type="dxa"/>
            <w:vAlign w:val="center"/>
          </w:tcPr>
          <w:p w14:paraId="02CFDED0">
            <w:pPr>
              <w:jc w:val="center"/>
              <w:rPr>
                <w:rFonts w:ascii="Times New Roman" w:hAnsi="Times New Roman" w:cs="Times New Roman"/>
                <w:sz w:val="24"/>
              </w:rPr>
            </w:pPr>
            <w:r>
              <w:rPr>
                <w:rFonts w:ascii="Times New Roman" w:cs="Times New Roman" w:hAnsiTheme="minorEastAsia"/>
                <w:sz w:val="24"/>
              </w:rPr>
              <w:t>利用现有</w:t>
            </w:r>
          </w:p>
        </w:tc>
      </w:tr>
      <w:tr w14:paraId="7698B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9" w:type="dxa"/>
            <w:vAlign w:val="center"/>
          </w:tcPr>
          <w:p w14:paraId="4AE0F14A">
            <w:pPr>
              <w:jc w:val="center"/>
              <w:rPr>
                <w:rFonts w:ascii="Times New Roman" w:hAnsi="Times New Roman" w:eastAsia="宋体" w:cs="Times New Roman"/>
                <w:color w:val="000000"/>
                <w:sz w:val="24"/>
              </w:rPr>
            </w:pPr>
            <w:r>
              <w:rPr>
                <w:rFonts w:ascii="Times New Roman" w:hAnsi="Times New Roman" w:cs="Times New Roman"/>
                <w:color w:val="000000"/>
                <w:sz w:val="24"/>
              </w:rPr>
              <w:t>11</w:t>
            </w:r>
          </w:p>
        </w:tc>
        <w:tc>
          <w:tcPr>
            <w:tcW w:w="2019" w:type="dxa"/>
            <w:vAlign w:val="center"/>
          </w:tcPr>
          <w:p w14:paraId="66DB0915">
            <w:pPr>
              <w:jc w:val="center"/>
              <w:rPr>
                <w:rFonts w:ascii="Times New Roman" w:hAnsi="Times New Roman" w:cs="Times New Roman"/>
                <w:sz w:val="24"/>
              </w:rPr>
            </w:pPr>
            <w:r>
              <w:rPr>
                <w:rFonts w:hint="eastAsia" w:ascii="Times New Roman" w:cs="Times New Roman" w:hAnsiTheme="minorEastAsia"/>
                <w:sz w:val="24"/>
              </w:rPr>
              <w:t>粗品析晶釜</w:t>
            </w:r>
          </w:p>
        </w:tc>
        <w:tc>
          <w:tcPr>
            <w:tcW w:w="1638" w:type="dxa"/>
            <w:vAlign w:val="center"/>
          </w:tcPr>
          <w:p w14:paraId="657F35FD">
            <w:pPr>
              <w:jc w:val="center"/>
              <w:rPr>
                <w:rFonts w:ascii="Times New Roman" w:hAnsi="Times New Roman" w:cs="Times New Roman"/>
                <w:sz w:val="24"/>
              </w:rPr>
            </w:pPr>
            <w:r>
              <w:rPr>
                <w:rFonts w:ascii="Times New Roman" w:hAnsi="Times New Roman" w:cs="Times New Roman"/>
                <w:sz w:val="24"/>
              </w:rPr>
              <w:t>20m³</w:t>
            </w:r>
          </w:p>
        </w:tc>
        <w:tc>
          <w:tcPr>
            <w:tcW w:w="717" w:type="dxa"/>
            <w:vAlign w:val="center"/>
          </w:tcPr>
          <w:p w14:paraId="41BD18CD">
            <w:pPr>
              <w:jc w:val="center"/>
              <w:rPr>
                <w:rFonts w:ascii="Times New Roman" w:hAnsi="Times New Roman" w:cs="Times New Roman"/>
                <w:sz w:val="24"/>
              </w:rPr>
            </w:pPr>
            <w:r>
              <w:rPr>
                <w:rFonts w:ascii="Times New Roman" w:cs="Times New Roman" w:hAnsiTheme="minorEastAsia"/>
                <w:sz w:val="24"/>
              </w:rPr>
              <w:t>个</w:t>
            </w:r>
          </w:p>
        </w:tc>
        <w:tc>
          <w:tcPr>
            <w:tcW w:w="850" w:type="dxa"/>
            <w:vAlign w:val="center"/>
          </w:tcPr>
          <w:p w14:paraId="0734CD91">
            <w:pPr>
              <w:jc w:val="center"/>
              <w:rPr>
                <w:rFonts w:hint="eastAsia" w:ascii="Times New Roman" w:hAnsi="Times New Roman" w:cs="Times New Roman" w:eastAsiaTheme="minorEastAsia"/>
                <w:sz w:val="24"/>
                <w:lang w:eastAsia="zh-CN"/>
              </w:rPr>
            </w:pPr>
            <w:r>
              <w:rPr>
                <w:rFonts w:hint="eastAsia" w:ascii="Times New Roman" w:hAnsi="Times New Roman" w:cs="Times New Roman"/>
                <w:sz w:val="24"/>
                <w:lang w:val="en-US" w:eastAsia="zh-CN"/>
              </w:rPr>
              <w:t>5</w:t>
            </w:r>
          </w:p>
        </w:tc>
        <w:tc>
          <w:tcPr>
            <w:tcW w:w="1276" w:type="dxa"/>
            <w:vAlign w:val="center"/>
          </w:tcPr>
          <w:p w14:paraId="5E65B1F9">
            <w:pPr>
              <w:jc w:val="center"/>
              <w:rPr>
                <w:rFonts w:ascii="Times New Roman" w:hAnsi="Times New Roman" w:cs="Times New Roman"/>
                <w:sz w:val="24"/>
              </w:rPr>
            </w:pPr>
            <w:r>
              <w:rPr>
                <w:rFonts w:hint="eastAsia" w:ascii="Times New Roman" w:cs="Times New Roman" w:hAnsiTheme="minorEastAsia"/>
                <w:sz w:val="24"/>
              </w:rPr>
              <w:t>新增设备</w:t>
            </w:r>
          </w:p>
        </w:tc>
      </w:tr>
      <w:tr w14:paraId="553D1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9" w:type="dxa"/>
            <w:vAlign w:val="center"/>
          </w:tcPr>
          <w:p w14:paraId="4A4F2CC6">
            <w:pPr>
              <w:jc w:val="center"/>
              <w:rPr>
                <w:rFonts w:ascii="Times New Roman" w:hAnsi="Times New Roman" w:eastAsia="宋体" w:cs="Times New Roman"/>
                <w:color w:val="000000"/>
                <w:sz w:val="24"/>
              </w:rPr>
            </w:pPr>
            <w:r>
              <w:rPr>
                <w:rFonts w:ascii="Times New Roman" w:hAnsi="Times New Roman" w:cs="Times New Roman"/>
                <w:color w:val="000000"/>
                <w:sz w:val="24"/>
              </w:rPr>
              <w:t>12</w:t>
            </w:r>
          </w:p>
        </w:tc>
        <w:tc>
          <w:tcPr>
            <w:tcW w:w="2019" w:type="dxa"/>
            <w:vAlign w:val="center"/>
          </w:tcPr>
          <w:p w14:paraId="66009AC1">
            <w:pPr>
              <w:jc w:val="center"/>
              <w:rPr>
                <w:rFonts w:ascii="Times New Roman" w:hAnsi="Times New Roman" w:cs="Times New Roman"/>
                <w:sz w:val="24"/>
              </w:rPr>
            </w:pPr>
            <w:r>
              <w:rPr>
                <w:rFonts w:hint="eastAsia" w:ascii="Times New Roman" w:cs="Times New Roman" w:hAnsiTheme="minorEastAsia"/>
                <w:sz w:val="24"/>
              </w:rPr>
              <w:t>脱色釜</w:t>
            </w:r>
          </w:p>
        </w:tc>
        <w:tc>
          <w:tcPr>
            <w:tcW w:w="1638" w:type="dxa"/>
            <w:vAlign w:val="center"/>
          </w:tcPr>
          <w:p w14:paraId="717D1415">
            <w:pPr>
              <w:jc w:val="center"/>
              <w:rPr>
                <w:rFonts w:ascii="Times New Roman" w:hAnsi="Times New Roman" w:cs="Times New Roman"/>
                <w:sz w:val="24"/>
              </w:rPr>
            </w:pPr>
            <w:r>
              <w:rPr>
                <w:rFonts w:ascii="Times New Roman" w:hAnsi="Times New Roman" w:cs="Times New Roman"/>
                <w:sz w:val="24"/>
              </w:rPr>
              <w:t>20m³</w:t>
            </w:r>
          </w:p>
        </w:tc>
        <w:tc>
          <w:tcPr>
            <w:tcW w:w="717" w:type="dxa"/>
            <w:vAlign w:val="center"/>
          </w:tcPr>
          <w:p w14:paraId="10EE2738">
            <w:pPr>
              <w:jc w:val="center"/>
              <w:rPr>
                <w:rFonts w:ascii="Times New Roman" w:hAnsi="Times New Roman" w:cs="Times New Roman"/>
                <w:sz w:val="24"/>
              </w:rPr>
            </w:pPr>
            <w:r>
              <w:rPr>
                <w:rFonts w:ascii="Times New Roman" w:cs="Times New Roman" w:hAnsiTheme="minorEastAsia"/>
                <w:sz w:val="24"/>
              </w:rPr>
              <w:t>个</w:t>
            </w:r>
          </w:p>
        </w:tc>
        <w:tc>
          <w:tcPr>
            <w:tcW w:w="850" w:type="dxa"/>
            <w:vAlign w:val="center"/>
          </w:tcPr>
          <w:p w14:paraId="0A0529FB">
            <w:pPr>
              <w:jc w:val="center"/>
              <w:rPr>
                <w:rFonts w:hint="eastAsia" w:ascii="Times New Roman" w:hAnsi="Times New Roman" w:cs="Times New Roman" w:eastAsiaTheme="minorEastAsia"/>
                <w:sz w:val="24"/>
                <w:lang w:eastAsia="zh-CN"/>
              </w:rPr>
            </w:pPr>
            <w:r>
              <w:rPr>
                <w:rFonts w:hint="eastAsia" w:ascii="Times New Roman" w:hAnsi="Times New Roman" w:cs="Times New Roman"/>
                <w:sz w:val="24"/>
                <w:lang w:val="en-US" w:eastAsia="zh-CN"/>
              </w:rPr>
              <w:t>5</w:t>
            </w:r>
          </w:p>
        </w:tc>
        <w:tc>
          <w:tcPr>
            <w:tcW w:w="1276" w:type="dxa"/>
            <w:vAlign w:val="center"/>
          </w:tcPr>
          <w:p w14:paraId="0476A396">
            <w:pPr>
              <w:jc w:val="center"/>
              <w:rPr>
                <w:rFonts w:ascii="Times New Roman" w:hAnsi="Times New Roman" w:cs="Times New Roman"/>
                <w:sz w:val="24"/>
              </w:rPr>
            </w:pPr>
            <w:r>
              <w:rPr>
                <w:rFonts w:hint="eastAsia" w:ascii="Times New Roman" w:cs="Times New Roman" w:hAnsiTheme="minorEastAsia"/>
                <w:sz w:val="24"/>
              </w:rPr>
              <w:t>新增设备</w:t>
            </w:r>
          </w:p>
        </w:tc>
      </w:tr>
      <w:tr w14:paraId="07FC3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9" w:type="dxa"/>
            <w:vAlign w:val="center"/>
          </w:tcPr>
          <w:p w14:paraId="1CE9C30A">
            <w:pPr>
              <w:jc w:val="center"/>
              <w:rPr>
                <w:rFonts w:ascii="Times New Roman" w:hAnsi="Times New Roman" w:eastAsia="宋体" w:cs="Times New Roman"/>
                <w:color w:val="000000"/>
                <w:sz w:val="24"/>
              </w:rPr>
            </w:pPr>
            <w:r>
              <w:rPr>
                <w:rFonts w:ascii="Times New Roman" w:hAnsi="Times New Roman" w:cs="Times New Roman"/>
                <w:color w:val="000000"/>
                <w:sz w:val="24"/>
              </w:rPr>
              <w:t>13</w:t>
            </w:r>
          </w:p>
        </w:tc>
        <w:tc>
          <w:tcPr>
            <w:tcW w:w="2019" w:type="dxa"/>
            <w:vAlign w:val="center"/>
          </w:tcPr>
          <w:p w14:paraId="7D423E3B">
            <w:pPr>
              <w:jc w:val="center"/>
              <w:rPr>
                <w:rFonts w:ascii="Times New Roman" w:cs="Times New Roman" w:hAnsiTheme="minorEastAsia"/>
                <w:sz w:val="24"/>
              </w:rPr>
            </w:pPr>
            <w:r>
              <w:rPr>
                <w:rFonts w:hint="eastAsia" w:ascii="Times New Roman" w:cs="Times New Roman" w:hAnsiTheme="minorEastAsia"/>
                <w:sz w:val="24"/>
              </w:rPr>
              <w:t>精品析晶釜</w:t>
            </w:r>
          </w:p>
        </w:tc>
        <w:tc>
          <w:tcPr>
            <w:tcW w:w="1638" w:type="dxa"/>
            <w:vAlign w:val="center"/>
          </w:tcPr>
          <w:p w14:paraId="0EACFEC6">
            <w:pPr>
              <w:jc w:val="center"/>
              <w:rPr>
                <w:rFonts w:ascii="Times New Roman" w:hAnsi="Times New Roman" w:cs="Times New Roman"/>
                <w:sz w:val="24"/>
              </w:rPr>
            </w:pPr>
            <w:r>
              <w:rPr>
                <w:rFonts w:ascii="Times New Roman" w:hAnsi="Times New Roman" w:cs="Times New Roman"/>
                <w:sz w:val="24"/>
              </w:rPr>
              <w:t>20m³</w:t>
            </w:r>
          </w:p>
        </w:tc>
        <w:tc>
          <w:tcPr>
            <w:tcW w:w="717" w:type="dxa"/>
            <w:vAlign w:val="center"/>
          </w:tcPr>
          <w:p w14:paraId="04633BA5">
            <w:pPr>
              <w:jc w:val="center"/>
              <w:rPr>
                <w:rFonts w:ascii="Times New Roman" w:hAnsi="Times New Roman" w:cs="Times New Roman"/>
                <w:sz w:val="24"/>
              </w:rPr>
            </w:pPr>
            <w:r>
              <w:rPr>
                <w:rFonts w:ascii="Times New Roman" w:cs="Times New Roman" w:hAnsiTheme="minorEastAsia"/>
                <w:sz w:val="24"/>
              </w:rPr>
              <w:t>个</w:t>
            </w:r>
          </w:p>
        </w:tc>
        <w:tc>
          <w:tcPr>
            <w:tcW w:w="850" w:type="dxa"/>
            <w:vAlign w:val="center"/>
          </w:tcPr>
          <w:p w14:paraId="06E70C1D">
            <w:pPr>
              <w:jc w:val="center"/>
              <w:rPr>
                <w:rFonts w:hint="eastAsia" w:ascii="Times New Roman" w:hAnsi="Times New Roman" w:cs="Times New Roman" w:eastAsiaTheme="minorEastAsia"/>
                <w:sz w:val="24"/>
                <w:lang w:eastAsia="zh-CN"/>
              </w:rPr>
            </w:pPr>
            <w:r>
              <w:rPr>
                <w:rFonts w:hint="eastAsia" w:ascii="Times New Roman" w:hAnsi="Times New Roman" w:cs="Times New Roman"/>
                <w:sz w:val="24"/>
                <w:lang w:val="en-US" w:eastAsia="zh-CN"/>
              </w:rPr>
              <w:t>3</w:t>
            </w:r>
          </w:p>
        </w:tc>
        <w:tc>
          <w:tcPr>
            <w:tcW w:w="1276" w:type="dxa"/>
            <w:vAlign w:val="center"/>
          </w:tcPr>
          <w:p w14:paraId="7F0D2971">
            <w:pPr>
              <w:jc w:val="center"/>
              <w:rPr>
                <w:rFonts w:ascii="Times New Roman" w:hAnsi="Times New Roman" w:cs="Times New Roman"/>
                <w:sz w:val="24"/>
              </w:rPr>
            </w:pPr>
            <w:r>
              <w:rPr>
                <w:rFonts w:hint="eastAsia" w:ascii="Times New Roman" w:cs="Times New Roman" w:hAnsiTheme="minorEastAsia"/>
                <w:sz w:val="24"/>
              </w:rPr>
              <w:t>新增设备</w:t>
            </w:r>
          </w:p>
        </w:tc>
      </w:tr>
      <w:tr w14:paraId="265F9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9" w:type="dxa"/>
            <w:vAlign w:val="center"/>
          </w:tcPr>
          <w:p w14:paraId="55D3D804">
            <w:pPr>
              <w:jc w:val="center"/>
              <w:rPr>
                <w:rFonts w:ascii="Times New Roman" w:hAnsi="Times New Roman" w:eastAsia="宋体" w:cs="Times New Roman"/>
                <w:color w:val="000000"/>
                <w:sz w:val="24"/>
              </w:rPr>
            </w:pPr>
            <w:r>
              <w:rPr>
                <w:rFonts w:hint="eastAsia" w:ascii="Times New Roman" w:hAnsi="Times New Roman" w:cs="Times New Roman"/>
                <w:color w:val="000000"/>
                <w:sz w:val="24"/>
              </w:rPr>
              <w:t>14</w:t>
            </w:r>
          </w:p>
        </w:tc>
        <w:tc>
          <w:tcPr>
            <w:tcW w:w="2019" w:type="dxa"/>
            <w:vAlign w:val="center"/>
          </w:tcPr>
          <w:p w14:paraId="06810BDA">
            <w:pPr>
              <w:jc w:val="center"/>
              <w:rPr>
                <w:rFonts w:ascii="Times New Roman" w:cs="Times New Roman" w:hAnsiTheme="minorEastAsia"/>
                <w:sz w:val="24"/>
              </w:rPr>
            </w:pPr>
            <w:r>
              <w:rPr>
                <w:rFonts w:hint="eastAsia" w:ascii="Times New Roman" w:cs="Times New Roman" w:hAnsiTheme="minorEastAsia"/>
                <w:sz w:val="24"/>
              </w:rPr>
              <w:t>离心机</w:t>
            </w:r>
          </w:p>
        </w:tc>
        <w:tc>
          <w:tcPr>
            <w:tcW w:w="1638" w:type="dxa"/>
            <w:vAlign w:val="center"/>
          </w:tcPr>
          <w:p w14:paraId="01450924">
            <w:pPr>
              <w:jc w:val="center"/>
              <w:rPr>
                <w:rFonts w:ascii="Times New Roman" w:hAnsi="Times New Roman" w:cs="Times New Roman"/>
                <w:sz w:val="24"/>
              </w:rPr>
            </w:pPr>
            <w:r>
              <w:rPr>
                <w:rFonts w:hint="eastAsia" w:ascii="Times New Roman" w:hAnsi="Times New Roman" w:cs="Times New Roman"/>
                <w:sz w:val="24"/>
              </w:rPr>
              <w:t>φ1000mm</w:t>
            </w:r>
          </w:p>
        </w:tc>
        <w:tc>
          <w:tcPr>
            <w:tcW w:w="717" w:type="dxa"/>
            <w:vAlign w:val="center"/>
          </w:tcPr>
          <w:p w14:paraId="09464AB5">
            <w:pPr>
              <w:jc w:val="center"/>
              <w:rPr>
                <w:rFonts w:ascii="Times New Roman" w:cs="Times New Roman" w:hAnsiTheme="minorEastAsia"/>
                <w:sz w:val="24"/>
              </w:rPr>
            </w:pPr>
            <w:r>
              <w:rPr>
                <w:rFonts w:hint="eastAsia" w:ascii="Times New Roman" w:cs="Times New Roman" w:hAnsiTheme="minorEastAsia"/>
                <w:sz w:val="24"/>
              </w:rPr>
              <w:t>台</w:t>
            </w:r>
          </w:p>
        </w:tc>
        <w:tc>
          <w:tcPr>
            <w:tcW w:w="850" w:type="dxa"/>
            <w:vAlign w:val="center"/>
          </w:tcPr>
          <w:p w14:paraId="4D0D2728">
            <w:pPr>
              <w:jc w:val="center"/>
              <w:rPr>
                <w:rFonts w:ascii="Times New Roman" w:hAnsi="Times New Roman" w:cs="Times New Roman"/>
                <w:sz w:val="24"/>
              </w:rPr>
            </w:pPr>
            <w:r>
              <w:rPr>
                <w:rFonts w:hint="eastAsia" w:ascii="Times New Roman" w:hAnsi="Times New Roman" w:cs="Times New Roman"/>
                <w:sz w:val="24"/>
              </w:rPr>
              <w:t>5</w:t>
            </w:r>
          </w:p>
        </w:tc>
        <w:tc>
          <w:tcPr>
            <w:tcW w:w="1276" w:type="dxa"/>
            <w:vAlign w:val="center"/>
          </w:tcPr>
          <w:p w14:paraId="1021EB79">
            <w:pPr>
              <w:jc w:val="center"/>
              <w:rPr>
                <w:rFonts w:ascii="Times New Roman" w:cs="Times New Roman" w:hAnsiTheme="minorEastAsia"/>
                <w:sz w:val="24"/>
              </w:rPr>
            </w:pPr>
            <w:r>
              <w:rPr>
                <w:rFonts w:hint="eastAsia" w:ascii="Times New Roman" w:cs="Times New Roman" w:hAnsiTheme="minorEastAsia"/>
                <w:sz w:val="24"/>
              </w:rPr>
              <w:t>新增设备</w:t>
            </w:r>
          </w:p>
        </w:tc>
      </w:tr>
      <w:tr w14:paraId="5E7D2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9" w:type="dxa"/>
            <w:vAlign w:val="center"/>
          </w:tcPr>
          <w:p w14:paraId="51A5B3D3">
            <w:pPr>
              <w:jc w:val="center"/>
              <w:rPr>
                <w:rFonts w:ascii="Times New Roman" w:hAnsi="Times New Roman" w:cs="Times New Roman"/>
                <w:color w:val="000000"/>
                <w:sz w:val="24"/>
              </w:rPr>
            </w:pPr>
            <w:r>
              <w:rPr>
                <w:rFonts w:ascii="Times New Roman" w:hAnsi="Times New Roman" w:cs="Times New Roman"/>
                <w:color w:val="000000"/>
                <w:sz w:val="24"/>
              </w:rPr>
              <w:t>1</w:t>
            </w:r>
            <w:r>
              <w:rPr>
                <w:rFonts w:hint="eastAsia" w:ascii="Times New Roman" w:hAnsi="Times New Roman" w:cs="Times New Roman"/>
                <w:color w:val="000000"/>
                <w:sz w:val="24"/>
              </w:rPr>
              <w:t>5</w:t>
            </w:r>
          </w:p>
        </w:tc>
        <w:tc>
          <w:tcPr>
            <w:tcW w:w="2019" w:type="dxa"/>
            <w:vAlign w:val="center"/>
          </w:tcPr>
          <w:p w14:paraId="01DA69BA">
            <w:pPr>
              <w:jc w:val="center"/>
              <w:rPr>
                <w:rFonts w:ascii="Times New Roman" w:cs="Times New Roman" w:hAnsiTheme="minorEastAsia"/>
                <w:sz w:val="24"/>
              </w:rPr>
            </w:pPr>
            <w:r>
              <w:rPr>
                <w:rFonts w:hint="eastAsia" w:ascii="Times New Roman" w:cs="Times New Roman" w:hAnsiTheme="minorEastAsia"/>
                <w:sz w:val="24"/>
              </w:rPr>
              <w:t>闪蒸干燥机</w:t>
            </w:r>
          </w:p>
        </w:tc>
        <w:tc>
          <w:tcPr>
            <w:tcW w:w="1638" w:type="dxa"/>
            <w:vAlign w:val="center"/>
          </w:tcPr>
          <w:p w14:paraId="51F20354">
            <w:pPr>
              <w:jc w:val="center"/>
              <w:rPr>
                <w:rFonts w:ascii="Times New Roman" w:hAnsi="Times New Roman" w:cs="Times New Roman"/>
                <w:sz w:val="24"/>
              </w:rPr>
            </w:pPr>
            <w:r>
              <w:rPr>
                <w:rFonts w:hint="eastAsia" w:ascii="Times New Roman" w:hAnsi="Times New Roman" w:cs="Times New Roman"/>
                <w:sz w:val="24"/>
              </w:rPr>
              <w:t>SXG-6</w:t>
            </w:r>
          </w:p>
        </w:tc>
        <w:tc>
          <w:tcPr>
            <w:tcW w:w="717" w:type="dxa"/>
            <w:vAlign w:val="center"/>
          </w:tcPr>
          <w:p w14:paraId="45B8B8E1">
            <w:pPr>
              <w:jc w:val="center"/>
              <w:rPr>
                <w:rFonts w:ascii="Times New Roman" w:cs="Times New Roman" w:hAnsiTheme="minorEastAsia"/>
                <w:sz w:val="24"/>
              </w:rPr>
            </w:pPr>
            <w:r>
              <w:rPr>
                <w:rFonts w:hint="eastAsia" w:ascii="Times New Roman" w:cs="Times New Roman" w:hAnsiTheme="minorEastAsia"/>
                <w:sz w:val="24"/>
              </w:rPr>
              <w:t>台</w:t>
            </w:r>
          </w:p>
        </w:tc>
        <w:tc>
          <w:tcPr>
            <w:tcW w:w="850" w:type="dxa"/>
            <w:vAlign w:val="center"/>
          </w:tcPr>
          <w:p w14:paraId="2F9FD041">
            <w:pPr>
              <w:jc w:val="center"/>
              <w:rPr>
                <w:rFonts w:ascii="Times New Roman" w:hAnsi="Times New Roman" w:cs="Times New Roman"/>
                <w:sz w:val="24"/>
              </w:rPr>
            </w:pPr>
            <w:r>
              <w:rPr>
                <w:rFonts w:hint="eastAsia" w:ascii="Times New Roman" w:hAnsi="Times New Roman" w:cs="Times New Roman"/>
                <w:sz w:val="24"/>
              </w:rPr>
              <w:t>1</w:t>
            </w:r>
          </w:p>
        </w:tc>
        <w:tc>
          <w:tcPr>
            <w:tcW w:w="1276" w:type="dxa"/>
            <w:vAlign w:val="center"/>
          </w:tcPr>
          <w:p w14:paraId="00FFD7ED">
            <w:pPr>
              <w:jc w:val="center"/>
              <w:rPr>
                <w:rFonts w:ascii="Times New Roman" w:cs="Times New Roman" w:hAnsiTheme="minorEastAsia"/>
                <w:sz w:val="24"/>
              </w:rPr>
            </w:pPr>
            <w:r>
              <w:rPr>
                <w:rFonts w:ascii="Times New Roman" w:cs="Times New Roman" w:hAnsiTheme="minorEastAsia"/>
                <w:sz w:val="24"/>
              </w:rPr>
              <w:t>利用现有</w:t>
            </w:r>
          </w:p>
        </w:tc>
      </w:tr>
      <w:tr w14:paraId="42CE4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9" w:type="dxa"/>
            <w:vAlign w:val="center"/>
          </w:tcPr>
          <w:p w14:paraId="7D652D03">
            <w:pPr>
              <w:jc w:val="center"/>
              <w:rPr>
                <w:rFonts w:ascii="Times New Roman" w:hAnsi="Times New Roman" w:eastAsia="宋体" w:cs="Times New Roman"/>
                <w:color w:val="000000"/>
                <w:sz w:val="24"/>
              </w:rPr>
            </w:pPr>
            <w:r>
              <w:rPr>
                <w:rFonts w:hint="eastAsia" w:ascii="Times New Roman" w:hAnsi="Times New Roman" w:cs="Times New Roman"/>
                <w:color w:val="000000"/>
                <w:sz w:val="24"/>
              </w:rPr>
              <w:t>16</w:t>
            </w:r>
          </w:p>
        </w:tc>
        <w:tc>
          <w:tcPr>
            <w:tcW w:w="2019" w:type="dxa"/>
            <w:vAlign w:val="center"/>
          </w:tcPr>
          <w:p w14:paraId="57F225BF">
            <w:pPr>
              <w:jc w:val="center"/>
              <w:rPr>
                <w:rFonts w:ascii="Times New Roman" w:cs="Times New Roman" w:hAnsiTheme="minorEastAsia"/>
                <w:sz w:val="24"/>
              </w:rPr>
            </w:pPr>
            <w:r>
              <w:rPr>
                <w:rFonts w:hint="eastAsia" w:ascii="Times New Roman" w:cs="Times New Roman" w:hAnsiTheme="minorEastAsia"/>
                <w:sz w:val="24"/>
              </w:rPr>
              <w:t>闪蒸干燥机</w:t>
            </w:r>
          </w:p>
        </w:tc>
        <w:tc>
          <w:tcPr>
            <w:tcW w:w="1638" w:type="dxa"/>
            <w:vAlign w:val="center"/>
          </w:tcPr>
          <w:p w14:paraId="3F8F46DE">
            <w:pPr>
              <w:jc w:val="center"/>
              <w:rPr>
                <w:rFonts w:ascii="Times New Roman" w:hAnsi="Times New Roman" w:cs="Times New Roman"/>
                <w:sz w:val="24"/>
              </w:rPr>
            </w:pPr>
            <w:r>
              <w:rPr>
                <w:rFonts w:hint="eastAsia" w:ascii="Times New Roman" w:hAnsi="Times New Roman" w:cs="Times New Roman"/>
                <w:sz w:val="24"/>
              </w:rPr>
              <w:t>SXG-6</w:t>
            </w:r>
          </w:p>
        </w:tc>
        <w:tc>
          <w:tcPr>
            <w:tcW w:w="717" w:type="dxa"/>
            <w:vAlign w:val="center"/>
          </w:tcPr>
          <w:p w14:paraId="38A48D05">
            <w:pPr>
              <w:jc w:val="center"/>
              <w:rPr>
                <w:rFonts w:ascii="Times New Roman" w:cs="Times New Roman" w:hAnsiTheme="minorEastAsia"/>
                <w:sz w:val="24"/>
              </w:rPr>
            </w:pPr>
            <w:r>
              <w:rPr>
                <w:rFonts w:hint="eastAsia" w:ascii="Times New Roman" w:cs="Times New Roman" w:hAnsiTheme="minorEastAsia"/>
                <w:sz w:val="24"/>
              </w:rPr>
              <w:t>台</w:t>
            </w:r>
          </w:p>
        </w:tc>
        <w:tc>
          <w:tcPr>
            <w:tcW w:w="850" w:type="dxa"/>
            <w:vAlign w:val="center"/>
          </w:tcPr>
          <w:p w14:paraId="14B81DA7">
            <w:pPr>
              <w:jc w:val="center"/>
              <w:rPr>
                <w:rFonts w:ascii="Times New Roman" w:hAnsi="Times New Roman" w:cs="Times New Roman"/>
                <w:sz w:val="24"/>
              </w:rPr>
            </w:pPr>
            <w:r>
              <w:rPr>
                <w:rFonts w:hint="eastAsia" w:ascii="Times New Roman" w:hAnsi="Times New Roman" w:cs="Times New Roman"/>
                <w:sz w:val="24"/>
              </w:rPr>
              <w:t>1</w:t>
            </w:r>
          </w:p>
        </w:tc>
        <w:tc>
          <w:tcPr>
            <w:tcW w:w="1276" w:type="dxa"/>
            <w:vAlign w:val="center"/>
          </w:tcPr>
          <w:p w14:paraId="48C617C8">
            <w:pPr>
              <w:jc w:val="center"/>
              <w:rPr>
                <w:rFonts w:ascii="Times New Roman" w:cs="Times New Roman" w:hAnsiTheme="minorEastAsia"/>
                <w:sz w:val="24"/>
              </w:rPr>
            </w:pPr>
            <w:r>
              <w:rPr>
                <w:rFonts w:hint="eastAsia" w:ascii="Times New Roman" w:cs="Times New Roman" w:hAnsiTheme="minorEastAsia"/>
                <w:sz w:val="24"/>
              </w:rPr>
              <w:t>新增设备</w:t>
            </w:r>
          </w:p>
        </w:tc>
      </w:tr>
      <w:tr w14:paraId="6AD4C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9" w:type="dxa"/>
            <w:vAlign w:val="center"/>
          </w:tcPr>
          <w:p w14:paraId="3A35A58C">
            <w:pPr>
              <w:jc w:val="center"/>
              <w:rPr>
                <w:rFonts w:ascii="Times New Roman" w:hAnsi="Times New Roman" w:cs="Times New Roman"/>
                <w:color w:val="000000"/>
                <w:sz w:val="24"/>
              </w:rPr>
            </w:pPr>
            <w:r>
              <w:rPr>
                <w:rFonts w:hint="eastAsia" w:ascii="Times New Roman" w:hAnsi="Times New Roman" w:cs="Times New Roman"/>
                <w:color w:val="000000"/>
                <w:sz w:val="24"/>
              </w:rPr>
              <w:t>17</w:t>
            </w:r>
          </w:p>
        </w:tc>
        <w:tc>
          <w:tcPr>
            <w:tcW w:w="2019" w:type="dxa"/>
            <w:vAlign w:val="center"/>
          </w:tcPr>
          <w:p w14:paraId="78C9DCB6">
            <w:pPr>
              <w:jc w:val="center"/>
              <w:rPr>
                <w:rFonts w:ascii="Times New Roman" w:cs="Times New Roman" w:hAnsiTheme="minorEastAsia"/>
                <w:sz w:val="24"/>
              </w:rPr>
            </w:pPr>
            <w:r>
              <w:rPr>
                <w:rFonts w:hint="eastAsia" w:ascii="Times New Roman" w:cs="Times New Roman" w:hAnsiTheme="minorEastAsia"/>
                <w:sz w:val="24"/>
              </w:rPr>
              <w:t>板框压滤机</w:t>
            </w:r>
          </w:p>
        </w:tc>
        <w:tc>
          <w:tcPr>
            <w:tcW w:w="1638" w:type="dxa"/>
            <w:vAlign w:val="center"/>
          </w:tcPr>
          <w:p w14:paraId="0852EF2A">
            <w:pPr>
              <w:jc w:val="center"/>
              <w:rPr>
                <w:rFonts w:hint="eastAsia" w:ascii="Times New Roman" w:hAnsi="Times New Roman" w:cs="Times New Roman" w:eastAsiaTheme="minorEastAsia"/>
                <w:sz w:val="24"/>
                <w:lang w:eastAsia="zh-CN"/>
              </w:rPr>
            </w:pPr>
            <w:r>
              <w:rPr>
                <w:rFonts w:hint="eastAsia" w:ascii="Times New Roman" w:hAnsi="Times New Roman" w:cs="Times New Roman"/>
                <w:sz w:val="24"/>
              </w:rPr>
              <w:t>60</w:t>
            </w:r>
            <w:r>
              <w:rPr>
                <w:rFonts w:hint="eastAsia" w:ascii="Times New Roman" w:hAnsi="Times New Roman" w:cs="Times New Roman"/>
                <w:sz w:val="24"/>
                <w:lang w:eastAsia="zh-CN"/>
              </w:rPr>
              <w:t>m</w:t>
            </w:r>
            <w:r>
              <w:rPr>
                <w:rFonts w:hint="eastAsia" w:ascii="Times New Roman" w:hAnsi="Times New Roman" w:cs="Times New Roman"/>
                <w:sz w:val="24"/>
                <w:vertAlign w:val="superscript"/>
                <w:lang w:eastAsia="zh-CN"/>
              </w:rPr>
              <w:t>2</w:t>
            </w:r>
          </w:p>
        </w:tc>
        <w:tc>
          <w:tcPr>
            <w:tcW w:w="717" w:type="dxa"/>
            <w:vAlign w:val="center"/>
          </w:tcPr>
          <w:p w14:paraId="3601ED38">
            <w:pPr>
              <w:jc w:val="center"/>
              <w:rPr>
                <w:rFonts w:ascii="Times New Roman" w:cs="Times New Roman" w:hAnsiTheme="minorEastAsia"/>
                <w:sz w:val="24"/>
              </w:rPr>
            </w:pPr>
            <w:r>
              <w:rPr>
                <w:rFonts w:hint="eastAsia" w:ascii="Times New Roman" w:cs="Times New Roman" w:hAnsiTheme="minorEastAsia"/>
                <w:sz w:val="24"/>
              </w:rPr>
              <w:t>台</w:t>
            </w:r>
          </w:p>
        </w:tc>
        <w:tc>
          <w:tcPr>
            <w:tcW w:w="850" w:type="dxa"/>
            <w:vAlign w:val="center"/>
          </w:tcPr>
          <w:p w14:paraId="3B435B5D">
            <w:pPr>
              <w:jc w:val="center"/>
              <w:rPr>
                <w:rFonts w:ascii="Times New Roman" w:hAnsi="Times New Roman" w:cs="Times New Roman"/>
                <w:sz w:val="24"/>
              </w:rPr>
            </w:pPr>
            <w:r>
              <w:rPr>
                <w:rFonts w:hint="eastAsia" w:ascii="Times New Roman" w:hAnsi="Times New Roman" w:cs="Times New Roman"/>
                <w:sz w:val="24"/>
              </w:rPr>
              <w:t>2</w:t>
            </w:r>
          </w:p>
        </w:tc>
        <w:tc>
          <w:tcPr>
            <w:tcW w:w="1276" w:type="dxa"/>
            <w:vAlign w:val="center"/>
          </w:tcPr>
          <w:p w14:paraId="44354720">
            <w:pPr>
              <w:jc w:val="center"/>
            </w:pPr>
            <w:r>
              <w:rPr>
                <w:rFonts w:hint="eastAsia" w:ascii="Times New Roman" w:cs="Times New Roman" w:hAnsiTheme="minorEastAsia"/>
                <w:sz w:val="24"/>
              </w:rPr>
              <w:t>新增设备</w:t>
            </w:r>
          </w:p>
        </w:tc>
      </w:tr>
      <w:tr w14:paraId="569D3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909" w:type="dxa"/>
            <w:shd w:val="clear" w:color="auto" w:fill="auto"/>
            <w:vAlign w:val="center"/>
          </w:tcPr>
          <w:p w14:paraId="4F5082E2">
            <w:pPr>
              <w:jc w:val="center"/>
              <w:rPr>
                <w:rFonts w:hint="eastAsia" w:ascii="Times New Roman" w:hAnsi="Times New Roman" w:cs="Times New Roman" w:eastAsiaTheme="minorEastAsia"/>
                <w:color w:val="000000"/>
                <w:kern w:val="2"/>
                <w:sz w:val="24"/>
                <w:szCs w:val="22"/>
                <w:lang w:val="en-US" w:eastAsia="zh-CN" w:bidi="ar-SA"/>
              </w:rPr>
            </w:pPr>
            <w:r>
              <w:rPr>
                <w:rFonts w:hint="eastAsia" w:ascii="Times New Roman" w:hAnsi="Times New Roman" w:cs="Times New Roman"/>
                <w:color w:val="000000"/>
                <w:sz w:val="24"/>
                <w:lang w:val="en-US" w:eastAsia="zh-CN"/>
              </w:rPr>
              <w:t>18</w:t>
            </w:r>
          </w:p>
        </w:tc>
        <w:tc>
          <w:tcPr>
            <w:tcW w:w="2019" w:type="dxa"/>
            <w:shd w:val="clear" w:color="auto" w:fill="auto"/>
            <w:vAlign w:val="center"/>
          </w:tcPr>
          <w:p w14:paraId="3C6EB6E1">
            <w:pPr>
              <w:jc w:val="center"/>
              <w:rPr>
                <w:rFonts w:hint="eastAsia" w:ascii="Times New Roman" w:cs="Times New Roman" w:hAnsiTheme="minorEastAsia" w:eastAsiaTheme="minorEastAsia"/>
                <w:kern w:val="2"/>
                <w:sz w:val="24"/>
                <w:szCs w:val="22"/>
                <w:lang w:val="en-US" w:eastAsia="zh-CN" w:bidi="ar-SA"/>
              </w:rPr>
            </w:pPr>
            <w:r>
              <w:rPr>
                <w:rFonts w:hint="eastAsia" w:ascii="Times New Roman" w:cs="Times New Roman" w:hAnsiTheme="minorEastAsia"/>
                <w:sz w:val="24"/>
              </w:rPr>
              <w:t>板框压滤机</w:t>
            </w:r>
          </w:p>
        </w:tc>
        <w:tc>
          <w:tcPr>
            <w:tcW w:w="1638" w:type="dxa"/>
            <w:shd w:val="clear" w:color="auto" w:fill="auto"/>
            <w:vAlign w:val="center"/>
          </w:tcPr>
          <w:p w14:paraId="37C5A81C">
            <w:pPr>
              <w:jc w:val="center"/>
              <w:rPr>
                <w:rFonts w:hint="eastAsia" w:ascii="Times New Roman" w:hAnsi="Times New Roman" w:cs="Times New Roman" w:eastAsiaTheme="minorEastAsia"/>
                <w:kern w:val="2"/>
                <w:sz w:val="24"/>
                <w:szCs w:val="22"/>
                <w:lang w:val="en-US" w:eastAsia="zh-CN" w:bidi="ar-SA"/>
              </w:rPr>
            </w:pPr>
            <w:r>
              <w:rPr>
                <w:rFonts w:hint="eastAsia" w:ascii="Times New Roman" w:hAnsi="Times New Roman" w:cs="Times New Roman"/>
                <w:sz w:val="24"/>
              </w:rPr>
              <w:t>125</w:t>
            </w:r>
            <w:r>
              <w:rPr>
                <w:rFonts w:hint="eastAsia" w:ascii="Times New Roman" w:hAnsi="Times New Roman" w:cs="Times New Roman"/>
                <w:sz w:val="24"/>
                <w:lang w:eastAsia="zh-CN"/>
              </w:rPr>
              <w:t>m</w:t>
            </w:r>
            <w:r>
              <w:rPr>
                <w:rFonts w:hint="eastAsia" w:ascii="Times New Roman" w:hAnsi="Times New Roman" w:cs="Times New Roman"/>
                <w:sz w:val="24"/>
                <w:vertAlign w:val="superscript"/>
                <w:lang w:eastAsia="zh-CN"/>
              </w:rPr>
              <w:t>2</w:t>
            </w:r>
          </w:p>
        </w:tc>
        <w:tc>
          <w:tcPr>
            <w:tcW w:w="717" w:type="dxa"/>
            <w:shd w:val="clear" w:color="auto" w:fill="auto"/>
            <w:vAlign w:val="center"/>
          </w:tcPr>
          <w:p w14:paraId="3E06A2F6">
            <w:pPr>
              <w:jc w:val="center"/>
              <w:rPr>
                <w:rFonts w:hint="eastAsia" w:ascii="Times New Roman" w:cs="Times New Roman" w:hAnsiTheme="minorEastAsia" w:eastAsiaTheme="minorEastAsia"/>
                <w:kern w:val="2"/>
                <w:sz w:val="24"/>
                <w:szCs w:val="22"/>
                <w:lang w:val="en-US" w:eastAsia="zh-CN" w:bidi="ar-SA"/>
              </w:rPr>
            </w:pPr>
            <w:r>
              <w:rPr>
                <w:rFonts w:hint="eastAsia" w:ascii="Times New Roman" w:cs="Times New Roman" w:hAnsiTheme="minorEastAsia"/>
                <w:sz w:val="24"/>
              </w:rPr>
              <w:t>台</w:t>
            </w:r>
          </w:p>
        </w:tc>
        <w:tc>
          <w:tcPr>
            <w:tcW w:w="850" w:type="dxa"/>
            <w:shd w:val="clear" w:color="auto" w:fill="auto"/>
            <w:vAlign w:val="center"/>
          </w:tcPr>
          <w:p w14:paraId="06358AB1">
            <w:pPr>
              <w:jc w:val="center"/>
              <w:rPr>
                <w:rFonts w:hint="eastAsia" w:ascii="Times New Roman" w:hAnsi="Times New Roman" w:cs="Times New Roman" w:eastAsiaTheme="minorEastAsia"/>
                <w:kern w:val="2"/>
                <w:sz w:val="24"/>
                <w:szCs w:val="22"/>
                <w:lang w:val="en-US" w:eastAsia="zh-CN" w:bidi="ar-SA"/>
              </w:rPr>
            </w:pPr>
            <w:r>
              <w:rPr>
                <w:rFonts w:hint="eastAsia" w:ascii="Times New Roman" w:hAnsi="Times New Roman" w:cs="Times New Roman"/>
                <w:sz w:val="24"/>
              </w:rPr>
              <w:t>2</w:t>
            </w:r>
          </w:p>
        </w:tc>
        <w:tc>
          <w:tcPr>
            <w:tcW w:w="1276" w:type="dxa"/>
            <w:shd w:val="clear" w:color="auto" w:fill="auto"/>
            <w:vAlign w:val="center"/>
          </w:tcPr>
          <w:p w14:paraId="7DA24383">
            <w:pPr>
              <w:jc w:val="center"/>
              <w:rPr>
                <w:rFonts w:hint="eastAsia" w:asciiTheme="minorHAnsi" w:hAnsiTheme="minorHAnsi" w:eastAsiaTheme="minorEastAsia" w:cstheme="minorBidi"/>
                <w:kern w:val="2"/>
                <w:sz w:val="21"/>
                <w:szCs w:val="22"/>
                <w:lang w:val="en-US" w:eastAsia="zh-CN" w:bidi="ar-SA"/>
              </w:rPr>
            </w:pPr>
            <w:r>
              <w:rPr>
                <w:rFonts w:hint="eastAsia" w:ascii="Times New Roman" w:cs="Times New Roman" w:hAnsiTheme="minorEastAsia"/>
                <w:sz w:val="24"/>
              </w:rPr>
              <w:t>新增设备</w:t>
            </w:r>
          </w:p>
        </w:tc>
      </w:tr>
      <w:tr w14:paraId="02ADD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9" w:type="dxa"/>
            <w:shd w:val="clear" w:color="auto" w:fill="auto"/>
            <w:vAlign w:val="center"/>
          </w:tcPr>
          <w:p w14:paraId="0F2F4BF1">
            <w:pPr>
              <w:jc w:val="center"/>
              <w:rPr>
                <w:rFonts w:hint="eastAsia" w:ascii="Times New Roman" w:hAnsi="Times New Roman" w:cs="Times New Roman" w:eastAsiaTheme="minorEastAsia"/>
                <w:color w:val="000000"/>
                <w:kern w:val="2"/>
                <w:sz w:val="24"/>
                <w:szCs w:val="22"/>
                <w:lang w:val="en-US" w:eastAsia="zh-CN" w:bidi="ar-SA"/>
              </w:rPr>
            </w:pPr>
            <w:r>
              <w:rPr>
                <w:rFonts w:hint="eastAsia" w:ascii="Times New Roman" w:hAnsi="Times New Roman" w:cs="Times New Roman"/>
                <w:color w:val="000000"/>
                <w:sz w:val="24"/>
                <w:lang w:val="en-US" w:eastAsia="zh-CN"/>
              </w:rPr>
              <w:t>19</w:t>
            </w:r>
          </w:p>
        </w:tc>
        <w:tc>
          <w:tcPr>
            <w:tcW w:w="2019" w:type="dxa"/>
            <w:shd w:val="clear" w:color="auto" w:fill="auto"/>
            <w:vAlign w:val="center"/>
          </w:tcPr>
          <w:p w14:paraId="46B2766E">
            <w:pPr>
              <w:jc w:val="center"/>
              <w:rPr>
                <w:rFonts w:hint="eastAsia" w:ascii="Times New Roman" w:cs="Times New Roman" w:hAnsiTheme="minorEastAsia" w:eastAsiaTheme="minorEastAsia"/>
                <w:kern w:val="2"/>
                <w:sz w:val="24"/>
                <w:szCs w:val="22"/>
                <w:lang w:val="en-US" w:eastAsia="zh-CN" w:bidi="ar-SA"/>
              </w:rPr>
            </w:pPr>
            <w:r>
              <w:rPr>
                <w:rFonts w:hint="eastAsia" w:ascii="Times New Roman" w:cs="Times New Roman" w:hAnsiTheme="minorEastAsia"/>
                <w:sz w:val="24"/>
                <w:lang w:val="en-US" w:eastAsia="zh-CN"/>
              </w:rPr>
              <w:t>反渗透纯净水机</w:t>
            </w:r>
          </w:p>
        </w:tc>
        <w:tc>
          <w:tcPr>
            <w:tcW w:w="1638" w:type="dxa"/>
            <w:shd w:val="clear" w:color="auto" w:fill="auto"/>
            <w:vAlign w:val="center"/>
          </w:tcPr>
          <w:p w14:paraId="019D93AA">
            <w:pPr>
              <w:jc w:val="center"/>
              <w:rPr>
                <w:rFonts w:hint="eastAsia" w:ascii="Times New Roman" w:hAnsi="Times New Roman" w:cs="Times New Roman" w:eastAsiaTheme="minorEastAsia"/>
                <w:kern w:val="2"/>
                <w:sz w:val="24"/>
                <w:szCs w:val="22"/>
                <w:lang w:val="en-US" w:eastAsia="zh-CN" w:bidi="ar-SA"/>
              </w:rPr>
            </w:pPr>
            <w:r>
              <w:rPr>
                <w:rFonts w:hint="eastAsia" w:ascii="Times New Roman" w:hAnsi="Times New Roman" w:cs="Times New Roman"/>
                <w:sz w:val="24"/>
              </w:rPr>
              <w:t>JSH-CS-4*4</w:t>
            </w:r>
          </w:p>
        </w:tc>
        <w:tc>
          <w:tcPr>
            <w:tcW w:w="717" w:type="dxa"/>
            <w:shd w:val="clear" w:color="auto" w:fill="auto"/>
            <w:vAlign w:val="center"/>
          </w:tcPr>
          <w:p w14:paraId="1F4AAB18">
            <w:pPr>
              <w:jc w:val="center"/>
              <w:rPr>
                <w:rFonts w:hint="eastAsia" w:ascii="Times New Roman" w:cs="Times New Roman" w:hAnsiTheme="minorEastAsia" w:eastAsiaTheme="minorEastAsia"/>
                <w:kern w:val="2"/>
                <w:sz w:val="24"/>
                <w:szCs w:val="22"/>
                <w:lang w:val="en-US" w:eastAsia="zh-CN" w:bidi="ar-SA"/>
              </w:rPr>
            </w:pPr>
            <w:r>
              <w:rPr>
                <w:rFonts w:hint="eastAsia" w:ascii="Times New Roman" w:cs="Times New Roman" w:hAnsiTheme="minorEastAsia"/>
                <w:sz w:val="24"/>
                <w:lang w:val="en-US" w:eastAsia="zh-CN"/>
              </w:rPr>
              <w:t>套</w:t>
            </w:r>
          </w:p>
        </w:tc>
        <w:tc>
          <w:tcPr>
            <w:tcW w:w="850" w:type="dxa"/>
            <w:shd w:val="clear" w:color="auto" w:fill="auto"/>
            <w:vAlign w:val="center"/>
          </w:tcPr>
          <w:p w14:paraId="41E65181">
            <w:pPr>
              <w:jc w:val="center"/>
              <w:rPr>
                <w:rFonts w:hint="eastAsia" w:ascii="Times New Roman" w:hAnsi="Times New Roman" w:cs="Times New Roman" w:eastAsiaTheme="minorEastAsia"/>
                <w:kern w:val="2"/>
                <w:sz w:val="24"/>
                <w:szCs w:val="22"/>
                <w:lang w:val="en-US" w:eastAsia="zh-CN" w:bidi="ar-SA"/>
              </w:rPr>
            </w:pPr>
            <w:r>
              <w:rPr>
                <w:rFonts w:hint="eastAsia" w:ascii="Times New Roman" w:hAnsi="Times New Roman" w:cs="Times New Roman"/>
                <w:sz w:val="24"/>
                <w:lang w:val="en-US" w:eastAsia="zh-CN"/>
              </w:rPr>
              <w:t>1</w:t>
            </w:r>
          </w:p>
        </w:tc>
        <w:tc>
          <w:tcPr>
            <w:tcW w:w="1276" w:type="dxa"/>
            <w:shd w:val="clear" w:color="auto" w:fill="auto"/>
            <w:vAlign w:val="center"/>
          </w:tcPr>
          <w:p w14:paraId="1912A58B">
            <w:pPr>
              <w:jc w:val="center"/>
              <w:rPr>
                <w:rFonts w:hint="eastAsia" w:ascii="Times New Roman" w:cs="Times New Roman" w:hAnsiTheme="minorEastAsia" w:eastAsiaTheme="minorEastAsia"/>
                <w:kern w:val="2"/>
                <w:sz w:val="24"/>
                <w:szCs w:val="22"/>
                <w:lang w:val="en-US" w:eastAsia="zh-CN" w:bidi="ar-SA"/>
              </w:rPr>
            </w:pPr>
            <w:r>
              <w:rPr>
                <w:rFonts w:hint="eastAsia" w:ascii="Times New Roman" w:cs="Times New Roman" w:hAnsiTheme="minorEastAsia"/>
                <w:sz w:val="24"/>
                <w:lang w:val="en-US" w:eastAsia="zh-CN"/>
              </w:rPr>
              <w:t>利用现有</w:t>
            </w:r>
          </w:p>
        </w:tc>
      </w:tr>
      <w:tr w14:paraId="309A4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409" w:type="dxa"/>
            <w:gridSpan w:val="6"/>
            <w:vAlign w:val="center"/>
          </w:tcPr>
          <w:p w14:paraId="3455F37F">
            <w:pPr>
              <w:jc w:val="center"/>
              <w:rPr>
                <w:rFonts w:hint="eastAsia" w:ascii="Times New Roman" w:cs="Times New Roman" w:hAnsiTheme="minorEastAsia" w:eastAsiaTheme="minorEastAsia"/>
                <w:sz w:val="24"/>
                <w:lang w:val="en-US" w:eastAsia="zh-CN"/>
              </w:rPr>
            </w:pPr>
            <w:r>
              <w:rPr>
                <w:rFonts w:hint="eastAsia" w:ascii="Times New Roman" w:cs="Times New Roman" w:hAnsiTheme="minorEastAsia"/>
                <w:sz w:val="24"/>
                <w:lang w:val="en-US" w:eastAsia="zh-CN"/>
              </w:rPr>
              <w:t>液糖</w:t>
            </w:r>
          </w:p>
        </w:tc>
      </w:tr>
      <w:tr w14:paraId="75710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9" w:type="dxa"/>
            <w:shd w:val="clear" w:color="auto" w:fill="auto"/>
            <w:vAlign w:val="center"/>
          </w:tcPr>
          <w:p w14:paraId="4DCF4136">
            <w:pPr>
              <w:jc w:val="center"/>
              <w:rPr>
                <w:rFonts w:hint="eastAsia" w:ascii="Times New Roman" w:hAnsi="Times New Roman" w:eastAsia="宋体" w:cs="Times New Roman"/>
                <w:color w:val="000000"/>
                <w:kern w:val="2"/>
                <w:sz w:val="24"/>
                <w:szCs w:val="22"/>
                <w:lang w:val="en-US" w:eastAsia="zh-CN" w:bidi="ar-SA"/>
              </w:rPr>
            </w:pPr>
            <w:r>
              <w:rPr>
                <w:rFonts w:ascii="Times New Roman" w:hAnsi="Times New Roman" w:cs="Times New Roman"/>
                <w:color w:val="000000"/>
                <w:sz w:val="24"/>
              </w:rPr>
              <w:t>1</w:t>
            </w:r>
          </w:p>
        </w:tc>
        <w:tc>
          <w:tcPr>
            <w:tcW w:w="2019" w:type="dxa"/>
            <w:shd w:val="clear" w:color="auto" w:fill="auto"/>
            <w:vAlign w:val="center"/>
          </w:tcPr>
          <w:p w14:paraId="5A9D0CD7">
            <w:pPr>
              <w:jc w:val="center"/>
              <w:rPr>
                <w:rFonts w:hint="eastAsia" w:ascii="Times New Roman" w:hAnsi="Times New Roman" w:cs="Times New Roman" w:eastAsiaTheme="minorEastAsia"/>
                <w:kern w:val="2"/>
                <w:sz w:val="24"/>
                <w:szCs w:val="22"/>
                <w:lang w:val="en-US" w:eastAsia="zh-CN" w:bidi="ar-SA"/>
              </w:rPr>
            </w:pPr>
            <w:r>
              <w:rPr>
                <w:rFonts w:hint="eastAsia" w:ascii="Times New Roman" w:hAnsi="Times New Roman" w:cs="Times New Roman"/>
                <w:sz w:val="24"/>
              </w:rPr>
              <w:t>糖汁贮罐</w:t>
            </w:r>
          </w:p>
        </w:tc>
        <w:tc>
          <w:tcPr>
            <w:tcW w:w="1638" w:type="dxa"/>
            <w:shd w:val="clear" w:color="auto" w:fill="auto"/>
            <w:vAlign w:val="center"/>
          </w:tcPr>
          <w:p w14:paraId="2059E39F">
            <w:pPr>
              <w:jc w:val="center"/>
              <w:rPr>
                <w:rFonts w:hint="eastAsia" w:ascii="Times New Roman" w:hAnsi="Times New Roman" w:cs="Times New Roman" w:eastAsiaTheme="minorEastAsia"/>
                <w:kern w:val="2"/>
                <w:sz w:val="24"/>
                <w:szCs w:val="22"/>
                <w:lang w:val="en-US" w:eastAsia="zh-CN" w:bidi="ar-SA"/>
              </w:rPr>
            </w:pPr>
            <w:r>
              <w:rPr>
                <w:rFonts w:hint="eastAsia" w:ascii="Times New Roman" w:hAnsi="Times New Roman" w:cs="Times New Roman"/>
                <w:sz w:val="24"/>
              </w:rPr>
              <w:t>40m³</w:t>
            </w:r>
          </w:p>
        </w:tc>
        <w:tc>
          <w:tcPr>
            <w:tcW w:w="717" w:type="dxa"/>
            <w:shd w:val="clear" w:color="auto" w:fill="auto"/>
            <w:vAlign w:val="center"/>
          </w:tcPr>
          <w:p w14:paraId="4AD18451">
            <w:pPr>
              <w:jc w:val="center"/>
              <w:rPr>
                <w:rFonts w:hint="eastAsia" w:ascii="Times New Roman" w:hAnsi="Times New Roman" w:cs="Times New Roman" w:eastAsiaTheme="minorEastAsia"/>
                <w:kern w:val="2"/>
                <w:sz w:val="24"/>
                <w:szCs w:val="22"/>
                <w:lang w:val="en-US" w:eastAsia="zh-CN" w:bidi="ar-SA"/>
              </w:rPr>
            </w:pPr>
            <w:r>
              <w:rPr>
                <w:rFonts w:hint="eastAsia" w:ascii="Times New Roman" w:hAnsi="Times New Roman" w:cs="Times New Roman"/>
                <w:sz w:val="24"/>
              </w:rPr>
              <w:t>个</w:t>
            </w:r>
          </w:p>
        </w:tc>
        <w:tc>
          <w:tcPr>
            <w:tcW w:w="850" w:type="dxa"/>
            <w:shd w:val="clear" w:color="auto" w:fill="auto"/>
            <w:vAlign w:val="center"/>
          </w:tcPr>
          <w:p w14:paraId="3BEA816C">
            <w:pPr>
              <w:jc w:val="center"/>
              <w:rPr>
                <w:rFonts w:hint="eastAsia" w:ascii="Times New Roman" w:hAnsi="Times New Roman" w:cs="Times New Roman" w:eastAsiaTheme="minorEastAsia"/>
                <w:kern w:val="2"/>
                <w:sz w:val="24"/>
                <w:szCs w:val="22"/>
                <w:lang w:val="en-US" w:eastAsia="zh-CN" w:bidi="ar-SA"/>
              </w:rPr>
            </w:pPr>
            <w:r>
              <w:rPr>
                <w:rFonts w:hint="eastAsia" w:ascii="Times New Roman" w:hAnsi="Times New Roman" w:cs="Times New Roman"/>
                <w:sz w:val="24"/>
              </w:rPr>
              <w:t>4</w:t>
            </w:r>
          </w:p>
        </w:tc>
        <w:tc>
          <w:tcPr>
            <w:tcW w:w="1276" w:type="dxa"/>
            <w:shd w:val="clear" w:color="auto" w:fill="auto"/>
            <w:vAlign w:val="center"/>
          </w:tcPr>
          <w:p w14:paraId="6ECE60D1">
            <w:pPr>
              <w:jc w:val="center"/>
              <w:rPr>
                <w:rFonts w:hint="eastAsia" w:ascii="Times New Roman" w:hAnsi="Times New Roman" w:cs="Times New Roman" w:eastAsiaTheme="minorEastAsia"/>
                <w:kern w:val="2"/>
                <w:sz w:val="24"/>
                <w:szCs w:val="22"/>
                <w:lang w:val="en-US" w:eastAsia="zh-CN" w:bidi="ar-SA"/>
              </w:rPr>
            </w:pPr>
            <w:r>
              <w:rPr>
                <w:rFonts w:ascii="Times New Roman" w:cs="Times New Roman" w:hAnsiTheme="minorEastAsia"/>
                <w:sz w:val="24"/>
              </w:rPr>
              <w:t>利用现有</w:t>
            </w:r>
          </w:p>
        </w:tc>
      </w:tr>
      <w:tr w14:paraId="551D4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9" w:type="dxa"/>
            <w:shd w:val="clear" w:color="auto" w:fill="auto"/>
            <w:vAlign w:val="center"/>
          </w:tcPr>
          <w:p w14:paraId="6A82D74B">
            <w:pPr>
              <w:jc w:val="center"/>
              <w:rPr>
                <w:rFonts w:hint="eastAsia" w:ascii="Times New Roman" w:hAnsi="Times New Roman" w:eastAsia="宋体" w:cs="Times New Roman"/>
                <w:color w:val="000000"/>
                <w:kern w:val="2"/>
                <w:sz w:val="24"/>
                <w:szCs w:val="22"/>
                <w:lang w:val="en-US" w:eastAsia="zh-CN" w:bidi="ar-SA"/>
              </w:rPr>
            </w:pPr>
            <w:r>
              <w:rPr>
                <w:rFonts w:ascii="Times New Roman" w:hAnsi="Times New Roman" w:cs="Times New Roman"/>
                <w:color w:val="000000"/>
                <w:sz w:val="24"/>
              </w:rPr>
              <w:t>2</w:t>
            </w:r>
          </w:p>
        </w:tc>
        <w:tc>
          <w:tcPr>
            <w:tcW w:w="2019" w:type="dxa"/>
            <w:shd w:val="clear" w:color="auto" w:fill="auto"/>
            <w:vAlign w:val="center"/>
          </w:tcPr>
          <w:p w14:paraId="6D5A48D1">
            <w:pPr>
              <w:jc w:val="center"/>
              <w:rPr>
                <w:rFonts w:hint="eastAsia" w:ascii="Times New Roman" w:hAnsi="Times New Roman" w:cs="Times New Roman" w:eastAsiaTheme="minorEastAsia"/>
                <w:kern w:val="2"/>
                <w:sz w:val="24"/>
                <w:szCs w:val="22"/>
                <w:lang w:val="en-US" w:eastAsia="zh-CN" w:bidi="ar-SA"/>
              </w:rPr>
            </w:pPr>
            <w:r>
              <w:rPr>
                <w:rFonts w:hint="eastAsia" w:ascii="Times New Roman" w:hAnsi="Times New Roman" w:cs="Times New Roman"/>
                <w:sz w:val="24"/>
              </w:rPr>
              <w:t>糖汁贮罐</w:t>
            </w:r>
          </w:p>
        </w:tc>
        <w:tc>
          <w:tcPr>
            <w:tcW w:w="1638" w:type="dxa"/>
            <w:shd w:val="clear" w:color="auto" w:fill="auto"/>
            <w:vAlign w:val="center"/>
          </w:tcPr>
          <w:p w14:paraId="588F39DB">
            <w:pPr>
              <w:jc w:val="center"/>
              <w:rPr>
                <w:rFonts w:hint="eastAsia" w:ascii="Times New Roman" w:hAnsi="Times New Roman" w:cs="Times New Roman" w:eastAsiaTheme="minorEastAsia"/>
                <w:kern w:val="2"/>
                <w:sz w:val="24"/>
                <w:szCs w:val="22"/>
                <w:lang w:val="en-US" w:eastAsia="zh-CN" w:bidi="ar-SA"/>
              </w:rPr>
            </w:pPr>
            <w:r>
              <w:rPr>
                <w:rFonts w:hint="eastAsia" w:ascii="Times New Roman" w:hAnsi="Times New Roman" w:cs="Times New Roman"/>
                <w:sz w:val="24"/>
              </w:rPr>
              <w:t>6</w:t>
            </w:r>
            <w:r>
              <w:rPr>
                <w:rFonts w:ascii="Times New Roman" w:hAnsi="Times New Roman" w:cs="Times New Roman"/>
                <w:sz w:val="24"/>
              </w:rPr>
              <w:t>0m³</w:t>
            </w:r>
          </w:p>
        </w:tc>
        <w:tc>
          <w:tcPr>
            <w:tcW w:w="717" w:type="dxa"/>
            <w:shd w:val="clear" w:color="auto" w:fill="auto"/>
            <w:vAlign w:val="center"/>
          </w:tcPr>
          <w:p w14:paraId="4620C9C0">
            <w:pPr>
              <w:jc w:val="center"/>
              <w:rPr>
                <w:rFonts w:hint="eastAsia" w:ascii="Times New Roman" w:hAnsi="Times New Roman" w:cs="Times New Roman" w:eastAsiaTheme="minorEastAsia"/>
                <w:kern w:val="2"/>
                <w:sz w:val="24"/>
                <w:szCs w:val="22"/>
                <w:lang w:val="en-US" w:eastAsia="zh-CN" w:bidi="ar-SA"/>
              </w:rPr>
            </w:pPr>
            <w:r>
              <w:rPr>
                <w:rFonts w:ascii="Times New Roman" w:cs="Times New Roman" w:hAnsiTheme="minorEastAsia"/>
                <w:sz w:val="24"/>
              </w:rPr>
              <w:t>个</w:t>
            </w:r>
          </w:p>
        </w:tc>
        <w:tc>
          <w:tcPr>
            <w:tcW w:w="850" w:type="dxa"/>
            <w:shd w:val="clear" w:color="auto" w:fill="auto"/>
            <w:vAlign w:val="center"/>
          </w:tcPr>
          <w:p w14:paraId="43FEEA84">
            <w:pPr>
              <w:jc w:val="center"/>
              <w:rPr>
                <w:rFonts w:hint="eastAsia" w:ascii="Times New Roman" w:hAnsi="Times New Roman" w:cs="Times New Roman" w:eastAsiaTheme="minorEastAsia"/>
                <w:kern w:val="2"/>
                <w:sz w:val="24"/>
                <w:szCs w:val="22"/>
                <w:lang w:val="en-US" w:eastAsia="zh-CN" w:bidi="ar-SA"/>
              </w:rPr>
            </w:pPr>
            <w:r>
              <w:rPr>
                <w:rFonts w:hint="eastAsia" w:ascii="Times New Roman" w:hAnsi="Times New Roman" w:cs="Times New Roman"/>
                <w:sz w:val="24"/>
              </w:rPr>
              <w:t>2</w:t>
            </w:r>
          </w:p>
        </w:tc>
        <w:tc>
          <w:tcPr>
            <w:tcW w:w="1276" w:type="dxa"/>
            <w:shd w:val="clear" w:color="auto" w:fill="auto"/>
            <w:vAlign w:val="center"/>
          </w:tcPr>
          <w:p w14:paraId="44B2481C">
            <w:pPr>
              <w:jc w:val="center"/>
              <w:rPr>
                <w:rFonts w:hint="eastAsia" w:ascii="Times New Roman" w:hAnsi="Times New Roman" w:cs="Times New Roman" w:eastAsiaTheme="minorEastAsia"/>
                <w:kern w:val="2"/>
                <w:sz w:val="24"/>
                <w:szCs w:val="22"/>
                <w:lang w:val="en-US" w:eastAsia="zh-CN" w:bidi="ar-SA"/>
              </w:rPr>
            </w:pPr>
            <w:r>
              <w:rPr>
                <w:rFonts w:hint="eastAsia" w:ascii="Times New Roman" w:cs="Times New Roman" w:hAnsiTheme="minorEastAsia"/>
                <w:sz w:val="24"/>
              </w:rPr>
              <w:t>新增设备</w:t>
            </w:r>
          </w:p>
        </w:tc>
      </w:tr>
      <w:tr w14:paraId="1215E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9" w:type="dxa"/>
            <w:shd w:val="clear" w:color="auto" w:fill="auto"/>
            <w:vAlign w:val="center"/>
          </w:tcPr>
          <w:p w14:paraId="0D663A73">
            <w:pPr>
              <w:jc w:val="center"/>
              <w:rPr>
                <w:rFonts w:hint="eastAsia" w:ascii="Times New Roman" w:hAnsi="Times New Roman" w:eastAsia="宋体" w:cs="Times New Roman"/>
                <w:color w:val="000000"/>
                <w:kern w:val="2"/>
                <w:sz w:val="24"/>
                <w:szCs w:val="22"/>
                <w:lang w:val="en-US" w:eastAsia="zh-CN" w:bidi="ar-SA"/>
              </w:rPr>
            </w:pPr>
            <w:r>
              <w:rPr>
                <w:rFonts w:ascii="Times New Roman" w:hAnsi="Times New Roman" w:cs="Times New Roman"/>
                <w:color w:val="000000"/>
                <w:sz w:val="24"/>
              </w:rPr>
              <w:t>3</w:t>
            </w:r>
          </w:p>
        </w:tc>
        <w:tc>
          <w:tcPr>
            <w:tcW w:w="2019" w:type="dxa"/>
            <w:shd w:val="clear" w:color="auto" w:fill="auto"/>
            <w:vAlign w:val="center"/>
          </w:tcPr>
          <w:p w14:paraId="63069D6C">
            <w:pPr>
              <w:jc w:val="center"/>
              <w:rPr>
                <w:rFonts w:hint="eastAsia" w:ascii="Times New Roman" w:hAnsi="Times New Roman" w:cs="Times New Roman" w:eastAsiaTheme="minorEastAsia"/>
                <w:kern w:val="2"/>
                <w:sz w:val="24"/>
                <w:szCs w:val="22"/>
                <w:lang w:val="en-US" w:eastAsia="zh-CN" w:bidi="ar-SA"/>
              </w:rPr>
            </w:pPr>
            <w:r>
              <w:rPr>
                <w:rFonts w:hint="eastAsia" w:ascii="Times New Roman" w:hAnsi="Times New Roman" w:cs="Times New Roman"/>
                <w:sz w:val="24"/>
              </w:rPr>
              <w:t>浓出水贮罐</w:t>
            </w:r>
          </w:p>
        </w:tc>
        <w:tc>
          <w:tcPr>
            <w:tcW w:w="1638" w:type="dxa"/>
            <w:shd w:val="clear" w:color="auto" w:fill="auto"/>
            <w:vAlign w:val="center"/>
          </w:tcPr>
          <w:p w14:paraId="562ED1CD">
            <w:pPr>
              <w:jc w:val="center"/>
              <w:rPr>
                <w:rFonts w:hint="eastAsia" w:ascii="Times New Roman" w:hAnsi="Times New Roman" w:cs="Times New Roman" w:eastAsiaTheme="minorEastAsia"/>
                <w:kern w:val="2"/>
                <w:sz w:val="24"/>
                <w:szCs w:val="22"/>
                <w:lang w:val="en-US" w:eastAsia="zh-CN" w:bidi="ar-SA"/>
              </w:rPr>
            </w:pPr>
            <w:r>
              <w:rPr>
                <w:rFonts w:hint="eastAsia" w:ascii="Times New Roman" w:hAnsi="Times New Roman" w:cs="Times New Roman"/>
                <w:sz w:val="24"/>
              </w:rPr>
              <w:t>8</w:t>
            </w:r>
            <w:r>
              <w:rPr>
                <w:rFonts w:ascii="Times New Roman" w:hAnsi="Times New Roman" w:cs="Times New Roman"/>
                <w:sz w:val="24"/>
              </w:rPr>
              <w:t>0m³</w:t>
            </w:r>
          </w:p>
        </w:tc>
        <w:tc>
          <w:tcPr>
            <w:tcW w:w="717" w:type="dxa"/>
            <w:shd w:val="clear" w:color="auto" w:fill="auto"/>
            <w:vAlign w:val="center"/>
          </w:tcPr>
          <w:p w14:paraId="2FC85808">
            <w:pPr>
              <w:jc w:val="center"/>
              <w:rPr>
                <w:rFonts w:hint="eastAsia" w:ascii="Times New Roman" w:hAnsi="Times New Roman" w:cs="Times New Roman" w:eastAsiaTheme="minorEastAsia"/>
                <w:kern w:val="2"/>
                <w:sz w:val="24"/>
                <w:szCs w:val="22"/>
                <w:lang w:val="en-US" w:eastAsia="zh-CN" w:bidi="ar-SA"/>
              </w:rPr>
            </w:pPr>
            <w:r>
              <w:rPr>
                <w:rFonts w:ascii="Times New Roman" w:cs="Times New Roman" w:hAnsiTheme="minorEastAsia"/>
                <w:sz w:val="24"/>
              </w:rPr>
              <w:t>个</w:t>
            </w:r>
          </w:p>
        </w:tc>
        <w:tc>
          <w:tcPr>
            <w:tcW w:w="850" w:type="dxa"/>
            <w:shd w:val="clear" w:color="auto" w:fill="auto"/>
            <w:vAlign w:val="center"/>
          </w:tcPr>
          <w:p w14:paraId="445A4CBA">
            <w:pPr>
              <w:jc w:val="center"/>
              <w:rPr>
                <w:rFonts w:hint="eastAsia" w:ascii="Times New Roman" w:hAnsi="Times New Roman" w:cs="Times New Roman" w:eastAsiaTheme="minorEastAsia"/>
                <w:kern w:val="2"/>
                <w:sz w:val="24"/>
                <w:szCs w:val="22"/>
                <w:lang w:val="en-US" w:eastAsia="zh-CN" w:bidi="ar-SA"/>
              </w:rPr>
            </w:pPr>
            <w:r>
              <w:rPr>
                <w:rFonts w:hint="eastAsia" w:ascii="Times New Roman" w:hAnsi="Times New Roman" w:cs="Times New Roman"/>
                <w:sz w:val="24"/>
              </w:rPr>
              <w:t>3</w:t>
            </w:r>
          </w:p>
        </w:tc>
        <w:tc>
          <w:tcPr>
            <w:tcW w:w="1276" w:type="dxa"/>
            <w:shd w:val="clear" w:color="auto" w:fill="auto"/>
            <w:vAlign w:val="center"/>
          </w:tcPr>
          <w:p w14:paraId="5C0909E7">
            <w:pPr>
              <w:jc w:val="center"/>
              <w:rPr>
                <w:rFonts w:hint="eastAsia" w:ascii="Times New Roman" w:hAnsi="Times New Roman" w:cs="Times New Roman" w:eastAsiaTheme="minorEastAsia"/>
                <w:kern w:val="2"/>
                <w:sz w:val="24"/>
                <w:szCs w:val="22"/>
                <w:lang w:val="en-US" w:eastAsia="zh-CN" w:bidi="ar-SA"/>
              </w:rPr>
            </w:pPr>
            <w:r>
              <w:rPr>
                <w:rFonts w:hint="eastAsia" w:ascii="Times New Roman" w:cs="Times New Roman" w:hAnsiTheme="minorEastAsia"/>
                <w:sz w:val="24"/>
              </w:rPr>
              <w:t>新增设备</w:t>
            </w:r>
          </w:p>
        </w:tc>
      </w:tr>
      <w:tr w14:paraId="110DA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9" w:type="dxa"/>
            <w:shd w:val="clear" w:color="auto" w:fill="auto"/>
            <w:vAlign w:val="center"/>
          </w:tcPr>
          <w:p w14:paraId="0D3385AA">
            <w:pPr>
              <w:jc w:val="center"/>
              <w:rPr>
                <w:rFonts w:hint="eastAsia" w:ascii="Times New Roman" w:hAnsi="Times New Roman" w:eastAsia="宋体" w:cs="Times New Roman"/>
                <w:color w:val="000000"/>
                <w:kern w:val="2"/>
                <w:sz w:val="24"/>
                <w:szCs w:val="22"/>
                <w:lang w:val="en-US" w:eastAsia="zh-CN" w:bidi="ar-SA"/>
              </w:rPr>
            </w:pPr>
            <w:r>
              <w:rPr>
                <w:rFonts w:ascii="Times New Roman" w:hAnsi="Times New Roman" w:cs="Times New Roman"/>
                <w:color w:val="000000"/>
                <w:sz w:val="24"/>
              </w:rPr>
              <w:t>4</w:t>
            </w:r>
          </w:p>
        </w:tc>
        <w:tc>
          <w:tcPr>
            <w:tcW w:w="2019" w:type="dxa"/>
            <w:shd w:val="clear" w:color="auto" w:fill="auto"/>
            <w:vAlign w:val="center"/>
          </w:tcPr>
          <w:p w14:paraId="122FBEAB">
            <w:pPr>
              <w:jc w:val="center"/>
              <w:rPr>
                <w:rFonts w:hint="eastAsia" w:ascii="Times New Roman" w:hAnsi="Times New Roman" w:cs="Times New Roman" w:eastAsiaTheme="minorEastAsia"/>
                <w:kern w:val="2"/>
                <w:sz w:val="24"/>
                <w:szCs w:val="22"/>
                <w:lang w:val="en-US" w:eastAsia="zh-CN" w:bidi="ar-SA"/>
              </w:rPr>
            </w:pPr>
            <w:r>
              <w:rPr>
                <w:rFonts w:ascii="Times New Roman" w:cs="Times New Roman" w:hAnsiTheme="minorEastAsia"/>
                <w:sz w:val="24"/>
              </w:rPr>
              <w:t>板框压滤机</w:t>
            </w:r>
          </w:p>
        </w:tc>
        <w:tc>
          <w:tcPr>
            <w:tcW w:w="1638" w:type="dxa"/>
            <w:shd w:val="clear" w:color="auto" w:fill="auto"/>
            <w:vAlign w:val="center"/>
          </w:tcPr>
          <w:p w14:paraId="161B0056">
            <w:pPr>
              <w:jc w:val="center"/>
              <w:rPr>
                <w:rFonts w:hint="eastAsia" w:ascii="Times New Roman" w:hAnsi="Times New Roman" w:cs="Times New Roman" w:eastAsiaTheme="minorEastAsia"/>
                <w:kern w:val="2"/>
                <w:sz w:val="24"/>
                <w:szCs w:val="22"/>
                <w:lang w:val="en-US" w:eastAsia="zh-CN" w:bidi="ar-SA"/>
              </w:rPr>
            </w:pPr>
            <w:r>
              <w:rPr>
                <w:rFonts w:hint="eastAsia" w:ascii="Times New Roman" w:hAnsi="Times New Roman" w:cs="Times New Roman"/>
                <w:sz w:val="24"/>
              </w:rPr>
              <w:t>100</w:t>
            </w:r>
            <w:r>
              <w:rPr>
                <w:rFonts w:hint="eastAsia" w:ascii="Times New Roman" w:hAnsi="Times New Roman" w:cs="Times New Roman"/>
                <w:sz w:val="24"/>
                <w:lang w:eastAsia="zh-CN"/>
              </w:rPr>
              <w:t>m</w:t>
            </w:r>
            <w:r>
              <w:rPr>
                <w:rFonts w:hint="eastAsia" w:ascii="Times New Roman" w:hAnsi="Times New Roman" w:cs="Times New Roman"/>
                <w:sz w:val="24"/>
                <w:vertAlign w:val="superscript"/>
                <w:lang w:eastAsia="zh-CN"/>
              </w:rPr>
              <w:t>2</w:t>
            </w:r>
          </w:p>
        </w:tc>
        <w:tc>
          <w:tcPr>
            <w:tcW w:w="717" w:type="dxa"/>
            <w:shd w:val="clear" w:color="auto" w:fill="auto"/>
            <w:vAlign w:val="center"/>
          </w:tcPr>
          <w:p w14:paraId="40CC120C">
            <w:pPr>
              <w:jc w:val="center"/>
              <w:rPr>
                <w:rFonts w:hint="eastAsia" w:ascii="Times New Roman" w:hAnsi="Times New Roman" w:cs="Times New Roman" w:eastAsiaTheme="minorEastAsia"/>
                <w:kern w:val="2"/>
                <w:sz w:val="24"/>
                <w:szCs w:val="22"/>
                <w:lang w:val="en-US" w:eastAsia="zh-CN" w:bidi="ar-SA"/>
              </w:rPr>
            </w:pPr>
            <w:r>
              <w:rPr>
                <w:rFonts w:hint="eastAsia" w:ascii="Times New Roman" w:cs="Times New Roman" w:hAnsiTheme="minorEastAsia"/>
                <w:sz w:val="24"/>
              </w:rPr>
              <w:t>台</w:t>
            </w:r>
          </w:p>
        </w:tc>
        <w:tc>
          <w:tcPr>
            <w:tcW w:w="850" w:type="dxa"/>
            <w:shd w:val="clear" w:color="auto" w:fill="auto"/>
            <w:vAlign w:val="center"/>
          </w:tcPr>
          <w:p w14:paraId="510F8531">
            <w:pPr>
              <w:jc w:val="center"/>
              <w:rPr>
                <w:rFonts w:hint="eastAsia" w:ascii="Times New Roman" w:hAnsi="Times New Roman" w:cs="Times New Roman" w:eastAsiaTheme="minorEastAsia"/>
                <w:kern w:val="2"/>
                <w:sz w:val="24"/>
                <w:szCs w:val="22"/>
                <w:lang w:val="en-US" w:eastAsia="zh-CN" w:bidi="ar-SA"/>
              </w:rPr>
            </w:pPr>
            <w:r>
              <w:rPr>
                <w:rFonts w:hint="eastAsia" w:ascii="Times New Roman" w:hAnsi="Times New Roman" w:cs="Times New Roman"/>
                <w:sz w:val="24"/>
              </w:rPr>
              <w:t>1</w:t>
            </w:r>
          </w:p>
        </w:tc>
        <w:tc>
          <w:tcPr>
            <w:tcW w:w="1276" w:type="dxa"/>
            <w:shd w:val="clear" w:color="auto" w:fill="auto"/>
            <w:vAlign w:val="center"/>
          </w:tcPr>
          <w:p w14:paraId="770DC450">
            <w:pPr>
              <w:jc w:val="center"/>
              <w:rPr>
                <w:rFonts w:hint="eastAsia" w:ascii="Times New Roman" w:hAnsi="Times New Roman" w:cs="Times New Roman" w:eastAsiaTheme="minorEastAsia"/>
                <w:kern w:val="2"/>
                <w:sz w:val="24"/>
                <w:szCs w:val="22"/>
                <w:lang w:val="en-US" w:eastAsia="zh-CN" w:bidi="ar-SA"/>
              </w:rPr>
            </w:pPr>
            <w:r>
              <w:rPr>
                <w:rFonts w:ascii="Times New Roman" w:cs="Times New Roman" w:hAnsiTheme="minorEastAsia"/>
                <w:sz w:val="24"/>
              </w:rPr>
              <w:t>利用现有</w:t>
            </w:r>
          </w:p>
        </w:tc>
      </w:tr>
      <w:tr w14:paraId="2E479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9" w:type="dxa"/>
            <w:shd w:val="clear" w:color="auto" w:fill="auto"/>
            <w:vAlign w:val="center"/>
          </w:tcPr>
          <w:p w14:paraId="2A47F0B0">
            <w:pPr>
              <w:jc w:val="center"/>
              <w:rPr>
                <w:rFonts w:hint="eastAsia" w:ascii="Times New Roman" w:hAnsi="Times New Roman" w:eastAsia="宋体" w:cs="Times New Roman"/>
                <w:color w:val="000000"/>
                <w:kern w:val="2"/>
                <w:sz w:val="24"/>
                <w:szCs w:val="22"/>
                <w:lang w:val="en-US" w:eastAsia="zh-CN" w:bidi="ar-SA"/>
              </w:rPr>
            </w:pPr>
            <w:r>
              <w:rPr>
                <w:rFonts w:ascii="Times New Roman" w:hAnsi="Times New Roman" w:cs="Times New Roman"/>
                <w:color w:val="000000"/>
                <w:sz w:val="24"/>
              </w:rPr>
              <w:t>5</w:t>
            </w:r>
          </w:p>
        </w:tc>
        <w:tc>
          <w:tcPr>
            <w:tcW w:w="2019" w:type="dxa"/>
            <w:shd w:val="clear" w:color="auto" w:fill="auto"/>
            <w:vAlign w:val="center"/>
          </w:tcPr>
          <w:p w14:paraId="34D807C2">
            <w:pPr>
              <w:jc w:val="center"/>
              <w:rPr>
                <w:rFonts w:hint="eastAsia" w:ascii="Times New Roman" w:hAnsi="Times New Roman" w:cs="Times New Roman" w:eastAsiaTheme="minorEastAsia"/>
                <w:kern w:val="2"/>
                <w:sz w:val="24"/>
                <w:szCs w:val="22"/>
                <w:lang w:val="en-US" w:eastAsia="zh-CN" w:bidi="ar-SA"/>
              </w:rPr>
            </w:pPr>
            <w:r>
              <w:rPr>
                <w:rFonts w:ascii="Times New Roman" w:cs="Times New Roman" w:hAnsiTheme="minorEastAsia"/>
                <w:sz w:val="24"/>
              </w:rPr>
              <w:t>板框压滤机</w:t>
            </w:r>
          </w:p>
        </w:tc>
        <w:tc>
          <w:tcPr>
            <w:tcW w:w="1638" w:type="dxa"/>
            <w:shd w:val="clear" w:color="auto" w:fill="auto"/>
            <w:vAlign w:val="center"/>
          </w:tcPr>
          <w:p w14:paraId="568F840D">
            <w:pPr>
              <w:jc w:val="center"/>
              <w:rPr>
                <w:rFonts w:hint="eastAsia" w:ascii="Times New Roman" w:hAnsi="Times New Roman" w:cs="Times New Roman" w:eastAsiaTheme="minorEastAsia"/>
                <w:kern w:val="2"/>
                <w:sz w:val="24"/>
                <w:szCs w:val="22"/>
                <w:lang w:val="en-US" w:eastAsia="zh-CN" w:bidi="ar-SA"/>
              </w:rPr>
            </w:pPr>
            <w:r>
              <w:rPr>
                <w:rFonts w:hint="eastAsia" w:ascii="Times New Roman" w:hAnsi="Times New Roman" w:cs="Times New Roman"/>
                <w:sz w:val="24"/>
              </w:rPr>
              <w:t>200</w:t>
            </w:r>
            <w:r>
              <w:rPr>
                <w:rFonts w:ascii="Times New Roman" w:hAnsi="Times New Roman" w:cs="Times New Roman"/>
                <w:sz w:val="24"/>
              </w:rPr>
              <w:t xml:space="preserve"> </w:t>
            </w:r>
            <w:r>
              <w:rPr>
                <w:rFonts w:hint="eastAsia" w:ascii="Times New Roman" w:hAnsi="Times New Roman" w:cs="Times New Roman"/>
                <w:sz w:val="24"/>
                <w:lang w:eastAsia="zh-CN"/>
              </w:rPr>
              <w:t>m</w:t>
            </w:r>
            <w:r>
              <w:rPr>
                <w:rFonts w:hint="eastAsia" w:ascii="Times New Roman" w:hAnsi="Times New Roman" w:cs="Times New Roman"/>
                <w:sz w:val="24"/>
                <w:vertAlign w:val="superscript"/>
                <w:lang w:eastAsia="zh-CN"/>
              </w:rPr>
              <w:t>2</w:t>
            </w:r>
          </w:p>
        </w:tc>
        <w:tc>
          <w:tcPr>
            <w:tcW w:w="717" w:type="dxa"/>
            <w:shd w:val="clear" w:color="auto" w:fill="auto"/>
            <w:vAlign w:val="center"/>
          </w:tcPr>
          <w:p w14:paraId="6FD50F71">
            <w:pPr>
              <w:jc w:val="center"/>
              <w:rPr>
                <w:rFonts w:hint="eastAsia" w:ascii="Times New Roman" w:hAnsi="Times New Roman" w:cs="Times New Roman" w:eastAsiaTheme="minorEastAsia"/>
                <w:kern w:val="2"/>
                <w:sz w:val="24"/>
                <w:szCs w:val="22"/>
                <w:lang w:val="en-US" w:eastAsia="zh-CN" w:bidi="ar-SA"/>
              </w:rPr>
            </w:pPr>
            <w:r>
              <w:rPr>
                <w:rFonts w:hint="eastAsia" w:ascii="Times New Roman" w:cs="Times New Roman" w:hAnsiTheme="minorEastAsia"/>
                <w:sz w:val="24"/>
              </w:rPr>
              <w:t>台</w:t>
            </w:r>
          </w:p>
        </w:tc>
        <w:tc>
          <w:tcPr>
            <w:tcW w:w="850" w:type="dxa"/>
            <w:shd w:val="clear" w:color="auto" w:fill="auto"/>
            <w:vAlign w:val="center"/>
          </w:tcPr>
          <w:p w14:paraId="3C04B57B">
            <w:pPr>
              <w:jc w:val="center"/>
              <w:rPr>
                <w:rFonts w:hint="eastAsia" w:ascii="Times New Roman" w:hAnsi="Times New Roman" w:cs="Times New Roman" w:eastAsiaTheme="minorEastAsia"/>
                <w:kern w:val="2"/>
                <w:sz w:val="24"/>
                <w:szCs w:val="22"/>
                <w:lang w:val="en-US" w:eastAsia="zh-CN" w:bidi="ar-SA"/>
              </w:rPr>
            </w:pPr>
            <w:r>
              <w:rPr>
                <w:rFonts w:hint="eastAsia" w:ascii="Times New Roman" w:hAnsi="Times New Roman" w:cs="Times New Roman"/>
                <w:sz w:val="24"/>
              </w:rPr>
              <w:t>2</w:t>
            </w:r>
          </w:p>
        </w:tc>
        <w:tc>
          <w:tcPr>
            <w:tcW w:w="1276" w:type="dxa"/>
            <w:shd w:val="clear" w:color="auto" w:fill="auto"/>
            <w:vAlign w:val="center"/>
          </w:tcPr>
          <w:p w14:paraId="51AE50E2">
            <w:pPr>
              <w:jc w:val="center"/>
              <w:rPr>
                <w:rFonts w:hint="eastAsia" w:ascii="Times New Roman" w:hAnsi="Times New Roman" w:cs="Times New Roman" w:eastAsiaTheme="minorEastAsia"/>
                <w:kern w:val="2"/>
                <w:sz w:val="24"/>
                <w:szCs w:val="22"/>
                <w:lang w:val="en-US" w:eastAsia="zh-CN" w:bidi="ar-SA"/>
              </w:rPr>
            </w:pPr>
            <w:r>
              <w:rPr>
                <w:rFonts w:hint="eastAsia" w:ascii="Times New Roman" w:cs="Times New Roman" w:hAnsiTheme="minorEastAsia"/>
                <w:sz w:val="24"/>
              </w:rPr>
              <w:t>新增设备</w:t>
            </w:r>
          </w:p>
        </w:tc>
      </w:tr>
      <w:tr w14:paraId="07642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9" w:type="dxa"/>
            <w:shd w:val="clear" w:color="auto" w:fill="auto"/>
            <w:vAlign w:val="center"/>
          </w:tcPr>
          <w:p w14:paraId="366B9F00">
            <w:pPr>
              <w:jc w:val="center"/>
              <w:rPr>
                <w:rFonts w:hint="eastAsia" w:ascii="Times New Roman" w:hAnsi="Times New Roman" w:eastAsia="宋体" w:cs="Times New Roman"/>
                <w:color w:val="000000"/>
                <w:kern w:val="2"/>
                <w:sz w:val="24"/>
                <w:szCs w:val="22"/>
                <w:lang w:val="en-US" w:eastAsia="zh-CN" w:bidi="ar-SA"/>
              </w:rPr>
            </w:pPr>
            <w:r>
              <w:rPr>
                <w:rFonts w:hint="eastAsia" w:ascii="Times New Roman" w:hAnsi="Times New Roman" w:cs="Times New Roman"/>
                <w:color w:val="000000"/>
                <w:sz w:val="24"/>
              </w:rPr>
              <w:t>6</w:t>
            </w:r>
          </w:p>
        </w:tc>
        <w:tc>
          <w:tcPr>
            <w:tcW w:w="2019" w:type="dxa"/>
            <w:shd w:val="clear" w:color="auto" w:fill="auto"/>
            <w:vAlign w:val="center"/>
          </w:tcPr>
          <w:p w14:paraId="36E86C9F">
            <w:pPr>
              <w:jc w:val="center"/>
              <w:rPr>
                <w:rFonts w:hint="eastAsia" w:ascii="Times New Roman" w:hAnsi="Times New Roman" w:cs="Times New Roman" w:eastAsiaTheme="minorEastAsia"/>
                <w:kern w:val="2"/>
                <w:sz w:val="24"/>
                <w:szCs w:val="22"/>
                <w:lang w:val="en-US" w:eastAsia="zh-CN" w:bidi="ar-SA"/>
              </w:rPr>
            </w:pPr>
            <w:r>
              <w:rPr>
                <w:rFonts w:hint="eastAsia" w:ascii="Times New Roman" w:cs="Times New Roman" w:hAnsiTheme="minorEastAsia"/>
                <w:sz w:val="24"/>
              </w:rPr>
              <w:t>滤液</w:t>
            </w:r>
            <w:r>
              <w:rPr>
                <w:rFonts w:ascii="Times New Roman" w:cs="Times New Roman" w:hAnsiTheme="minorEastAsia"/>
                <w:sz w:val="24"/>
              </w:rPr>
              <w:t>接收罐</w:t>
            </w:r>
          </w:p>
        </w:tc>
        <w:tc>
          <w:tcPr>
            <w:tcW w:w="1638" w:type="dxa"/>
            <w:shd w:val="clear" w:color="auto" w:fill="auto"/>
            <w:vAlign w:val="center"/>
          </w:tcPr>
          <w:p w14:paraId="43129C4C">
            <w:pPr>
              <w:jc w:val="center"/>
              <w:rPr>
                <w:rFonts w:hint="eastAsia" w:ascii="Times New Roman" w:hAnsi="Times New Roman" w:cs="Times New Roman" w:eastAsiaTheme="minorEastAsia"/>
                <w:kern w:val="2"/>
                <w:sz w:val="24"/>
                <w:szCs w:val="22"/>
                <w:lang w:val="en-US" w:eastAsia="zh-CN" w:bidi="ar-SA"/>
              </w:rPr>
            </w:pPr>
            <w:r>
              <w:rPr>
                <w:rFonts w:ascii="Times New Roman" w:hAnsi="Times New Roman" w:cs="Times New Roman"/>
                <w:sz w:val="24"/>
              </w:rPr>
              <w:t>20m³</w:t>
            </w:r>
          </w:p>
        </w:tc>
        <w:tc>
          <w:tcPr>
            <w:tcW w:w="717" w:type="dxa"/>
            <w:shd w:val="clear" w:color="auto" w:fill="auto"/>
            <w:vAlign w:val="center"/>
          </w:tcPr>
          <w:p w14:paraId="464E338E">
            <w:pPr>
              <w:jc w:val="center"/>
              <w:rPr>
                <w:rFonts w:hint="eastAsia" w:ascii="Times New Roman" w:hAnsi="Times New Roman" w:cs="Times New Roman" w:eastAsiaTheme="minorEastAsia"/>
                <w:kern w:val="2"/>
                <w:sz w:val="24"/>
                <w:szCs w:val="22"/>
                <w:lang w:val="en-US" w:eastAsia="zh-CN" w:bidi="ar-SA"/>
              </w:rPr>
            </w:pPr>
            <w:r>
              <w:rPr>
                <w:rFonts w:ascii="Times New Roman" w:cs="Times New Roman" w:hAnsiTheme="minorEastAsia"/>
                <w:sz w:val="24"/>
              </w:rPr>
              <w:t>个</w:t>
            </w:r>
          </w:p>
        </w:tc>
        <w:tc>
          <w:tcPr>
            <w:tcW w:w="850" w:type="dxa"/>
            <w:shd w:val="clear" w:color="auto" w:fill="auto"/>
            <w:vAlign w:val="center"/>
          </w:tcPr>
          <w:p w14:paraId="0FB09264">
            <w:pPr>
              <w:jc w:val="center"/>
              <w:rPr>
                <w:rFonts w:hint="eastAsia" w:ascii="Times New Roman" w:hAnsi="Times New Roman" w:cs="Times New Roman" w:eastAsiaTheme="minorEastAsia"/>
                <w:kern w:val="2"/>
                <w:sz w:val="24"/>
                <w:szCs w:val="22"/>
                <w:lang w:val="en-US" w:eastAsia="zh-CN" w:bidi="ar-SA"/>
              </w:rPr>
            </w:pPr>
            <w:r>
              <w:rPr>
                <w:rFonts w:ascii="Times New Roman" w:hAnsi="Times New Roman" w:cs="Times New Roman"/>
                <w:sz w:val="24"/>
              </w:rPr>
              <w:t>2</w:t>
            </w:r>
          </w:p>
        </w:tc>
        <w:tc>
          <w:tcPr>
            <w:tcW w:w="1276" w:type="dxa"/>
            <w:shd w:val="clear" w:color="auto" w:fill="auto"/>
            <w:vAlign w:val="center"/>
          </w:tcPr>
          <w:p w14:paraId="5D959AD5">
            <w:pPr>
              <w:jc w:val="center"/>
              <w:rPr>
                <w:rFonts w:hint="eastAsia" w:ascii="Times New Roman" w:hAnsi="Times New Roman" w:cs="Times New Roman" w:eastAsiaTheme="minorEastAsia"/>
                <w:kern w:val="2"/>
                <w:sz w:val="24"/>
                <w:szCs w:val="22"/>
                <w:lang w:val="en-US" w:eastAsia="zh-CN" w:bidi="ar-SA"/>
              </w:rPr>
            </w:pPr>
            <w:r>
              <w:rPr>
                <w:rFonts w:ascii="Times New Roman" w:cs="Times New Roman" w:hAnsiTheme="minorEastAsia"/>
                <w:sz w:val="24"/>
              </w:rPr>
              <w:t>利用现有</w:t>
            </w:r>
          </w:p>
        </w:tc>
      </w:tr>
      <w:tr w14:paraId="00EEA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9" w:type="dxa"/>
            <w:shd w:val="clear" w:color="auto" w:fill="auto"/>
            <w:vAlign w:val="center"/>
          </w:tcPr>
          <w:p w14:paraId="5CE588EE">
            <w:pPr>
              <w:jc w:val="center"/>
              <w:rPr>
                <w:rFonts w:hint="eastAsia" w:ascii="Times New Roman" w:hAnsi="Times New Roman" w:eastAsia="宋体" w:cs="Times New Roman"/>
                <w:color w:val="000000"/>
                <w:kern w:val="2"/>
                <w:sz w:val="24"/>
                <w:szCs w:val="22"/>
                <w:lang w:val="en-US" w:eastAsia="zh-CN" w:bidi="ar-SA"/>
              </w:rPr>
            </w:pPr>
            <w:r>
              <w:rPr>
                <w:rFonts w:hint="eastAsia" w:ascii="Times New Roman" w:hAnsi="Times New Roman" w:cs="Times New Roman"/>
                <w:color w:val="000000"/>
                <w:sz w:val="24"/>
              </w:rPr>
              <w:t>7</w:t>
            </w:r>
          </w:p>
        </w:tc>
        <w:tc>
          <w:tcPr>
            <w:tcW w:w="2019" w:type="dxa"/>
            <w:shd w:val="clear" w:color="auto" w:fill="auto"/>
            <w:vAlign w:val="center"/>
          </w:tcPr>
          <w:p w14:paraId="039AF47D">
            <w:pPr>
              <w:jc w:val="center"/>
              <w:rPr>
                <w:rFonts w:hint="eastAsia" w:ascii="Times New Roman" w:hAnsi="Times New Roman" w:cs="Times New Roman" w:eastAsiaTheme="minorEastAsia"/>
                <w:kern w:val="2"/>
                <w:sz w:val="24"/>
                <w:szCs w:val="22"/>
                <w:lang w:val="en-US" w:eastAsia="zh-CN" w:bidi="ar-SA"/>
              </w:rPr>
            </w:pPr>
            <w:r>
              <w:rPr>
                <w:rFonts w:hint="eastAsia" w:ascii="Times New Roman" w:cs="Times New Roman" w:hAnsiTheme="minorEastAsia"/>
                <w:sz w:val="24"/>
              </w:rPr>
              <w:t>三效浓缩器</w:t>
            </w:r>
          </w:p>
        </w:tc>
        <w:tc>
          <w:tcPr>
            <w:tcW w:w="1638" w:type="dxa"/>
            <w:shd w:val="clear" w:color="auto" w:fill="auto"/>
            <w:vAlign w:val="center"/>
          </w:tcPr>
          <w:p w14:paraId="1B30877B">
            <w:pPr>
              <w:jc w:val="center"/>
              <w:rPr>
                <w:rFonts w:hint="eastAsia" w:ascii="Times New Roman" w:hAnsi="Times New Roman" w:cs="Times New Roman" w:eastAsiaTheme="minorEastAsia"/>
                <w:kern w:val="2"/>
                <w:sz w:val="24"/>
                <w:szCs w:val="22"/>
                <w:lang w:val="en-US" w:eastAsia="zh-CN" w:bidi="ar-SA"/>
              </w:rPr>
            </w:pPr>
            <w:r>
              <w:rPr>
                <w:rFonts w:hint="eastAsia" w:ascii="Times New Roman" w:hAnsi="Times New Roman" w:cs="Times New Roman"/>
                <w:sz w:val="24"/>
              </w:rPr>
              <w:t>9</w:t>
            </w:r>
            <w:r>
              <w:rPr>
                <w:rFonts w:ascii="Times New Roman" w:hAnsi="Times New Roman" w:cs="Times New Roman"/>
                <w:sz w:val="24"/>
              </w:rPr>
              <w:t>m³</w:t>
            </w:r>
          </w:p>
        </w:tc>
        <w:tc>
          <w:tcPr>
            <w:tcW w:w="717" w:type="dxa"/>
            <w:shd w:val="clear" w:color="auto" w:fill="auto"/>
            <w:vAlign w:val="center"/>
          </w:tcPr>
          <w:p w14:paraId="500C6180">
            <w:pPr>
              <w:jc w:val="center"/>
              <w:rPr>
                <w:rFonts w:hint="eastAsia" w:ascii="Times New Roman" w:hAnsi="Times New Roman" w:cs="Times New Roman" w:eastAsiaTheme="minorEastAsia"/>
                <w:kern w:val="2"/>
                <w:sz w:val="24"/>
                <w:szCs w:val="22"/>
                <w:lang w:val="en-US" w:eastAsia="zh-CN" w:bidi="ar-SA"/>
              </w:rPr>
            </w:pPr>
            <w:r>
              <w:rPr>
                <w:rFonts w:ascii="Times New Roman" w:cs="Times New Roman" w:hAnsiTheme="minorEastAsia"/>
                <w:sz w:val="24"/>
              </w:rPr>
              <w:t>个</w:t>
            </w:r>
          </w:p>
        </w:tc>
        <w:tc>
          <w:tcPr>
            <w:tcW w:w="850" w:type="dxa"/>
            <w:shd w:val="clear" w:color="auto" w:fill="auto"/>
            <w:vAlign w:val="center"/>
          </w:tcPr>
          <w:p w14:paraId="23C695E0">
            <w:pPr>
              <w:jc w:val="center"/>
              <w:rPr>
                <w:rFonts w:hint="eastAsia" w:ascii="Times New Roman" w:hAnsi="Times New Roman" w:cs="Times New Roman" w:eastAsiaTheme="minorEastAsia"/>
                <w:kern w:val="2"/>
                <w:sz w:val="24"/>
                <w:szCs w:val="22"/>
                <w:lang w:val="en-US" w:eastAsia="zh-CN" w:bidi="ar-SA"/>
              </w:rPr>
            </w:pPr>
            <w:r>
              <w:rPr>
                <w:rFonts w:hint="eastAsia" w:ascii="Times New Roman" w:hAnsi="Times New Roman" w:cs="Times New Roman"/>
                <w:sz w:val="24"/>
              </w:rPr>
              <w:t>1</w:t>
            </w:r>
          </w:p>
        </w:tc>
        <w:tc>
          <w:tcPr>
            <w:tcW w:w="1276" w:type="dxa"/>
            <w:shd w:val="clear" w:color="auto" w:fill="auto"/>
            <w:vAlign w:val="center"/>
          </w:tcPr>
          <w:p w14:paraId="4BE69F1A">
            <w:pPr>
              <w:jc w:val="center"/>
              <w:rPr>
                <w:rFonts w:hint="eastAsia" w:ascii="Times New Roman" w:hAnsi="Times New Roman" w:cs="Times New Roman" w:eastAsiaTheme="minorEastAsia"/>
                <w:kern w:val="2"/>
                <w:sz w:val="24"/>
                <w:szCs w:val="22"/>
                <w:lang w:val="en-US" w:eastAsia="zh-CN" w:bidi="ar-SA"/>
              </w:rPr>
            </w:pPr>
            <w:r>
              <w:rPr>
                <w:rFonts w:ascii="Times New Roman" w:cs="Times New Roman" w:hAnsiTheme="minorEastAsia"/>
                <w:sz w:val="24"/>
              </w:rPr>
              <w:t>利用现有</w:t>
            </w:r>
          </w:p>
        </w:tc>
      </w:tr>
      <w:tr w14:paraId="32657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9" w:type="dxa"/>
            <w:shd w:val="clear" w:color="auto" w:fill="auto"/>
            <w:vAlign w:val="center"/>
          </w:tcPr>
          <w:p w14:paraId="244EBA8E">
            <w:pPr>
              <w:jc w:val="center"/>
              <w:rPr>
                <w:rFonts w:hint="eastAsia" w:ascii="Times New Roman" w:hAnsi="Times New Roman" w:eastAsia="宋体" w:cs="Times New Roman"/>
                <w:color w:val="000000"/>
                <w:kern w:val="2"/>
                <w:sz w:val="24"/>
                <w:szCs w:val="22"/>
                <w:lang w:val="en-US" w:eastAsia="zh-CN" w:bidi="ar-SA"/>
              </w:rPr>
            </w:pPr>
            <w:r>
              <w:rPr>
                <w:rFonts w:hint="eastAsia" w:ascii="Times New Roman" w:hAnsi="Times New Roman" w:cs="Times New Roman"/>
                <w:color w:val="000000"/>
                <w:sz w:val="24"/>
              </w:rPr>
              <w:t>8</w:t>
            </w:r>
          </w:p>
        </w:tc>
        <w:tc>
          <w:tcPr>
            <w:tcW w:w="2019" w:type="dxa"/>
            <w:shd w:val="clear" w:color="auto" w:fill="auto"/>
            <w:vAlign w:val="center"/>
          </w:tcPr>
          <w:p w14:paraId="15080820">
            <w:pPr>
              <w:jc w:val="center"/>
              <w:rPr>
                <w:rFonts w:hint="eastAsia" w:ascii="Times New Roman" w:hAnsi="Times New Roman" w:cs="Times New Roman" w:eastAsiaTheme="minorEastAsia"/>
                <w:kern w:val="2"/>
                <w:sz w:val="24"/>
                <w:szCs w:val="22"/>
                <w:lang w:val="en-US" w:eastAsia="zh-CN" w:bidi="ar-SA"/>
              </w:rPr>
            </w:pPr>
            <w:r>
              <w:rPr>
                <w:rFonts w:hint="eastAsia" w:ascii="Times New Roman" w:cs="Times New Roman" w:hAnsiTheme="minorEastAsia"/>
                <w:sz w:val="24"/>
              </w:rPr>
              <w:t>多效浓缩器</w:t>
            </w:r>
          </w:p>
        </w:tc>
        <w:tc>
          <w:tcPr>
            <w:tcW w:w="1638" w:type="dxa"/>
            <w:shd w:val="clear" w:color="auto" w:fill="auto"/>
            <w:vAlign w:val="center"/>
          </w:tcPr>
          <w:p w14:paraId="5ACEC6F4">
            <w:pPr>
              <w:jc w:val="center"/>
              <w:rPr>
                <w:rFonts w:hint="eastAsia" w:ascii="Times New Roman" w:hAnsi="Times New Roman" w:cs="Times New Roman" w:eastAsiaTheme="minorEastAsia"/>
                <w:kern w:val="2"/>
                <w:sz w:val="24"/>
                <w:szCs w:val="22"/>
                <w:lang w:val="en-US" w:eastAsia="zh-CN" w:bidi="ar-SA"/>
              </w:rPr>
            </w:pPr>
            <w:r>
              <w:rPr>
                <w:rFonts w:hint="eastAsia" w:ascii="Times New Roman" w:hAnsi="Times New Roman" w:cs="Times New Roman"/>
                <w:sz w:val="24"/>
              </w:rPr>
              <w:t>10</w:t>
            </w:r>
            <w:r>
              <w:rPr>
                <w:rFonts w:ascii="Times New Roman" w:hAnsi="Times New Roman" w:cs="Times New Roman"/>
                <w:sz w:val="24"/>
              </w:rPr>
              <w:t>m³</w:t>
            </w:r>
          </w:p>
        </w:tc>
        <w:tc>
          <w:tcPr>
            <w:tcW w:w="717" w:type="dxa"/>
            <w:shd w:val="clear" w:color="auto" w:fill="auto"/>
            <w:vAlign w:val="center"/>
          </w:tcPr>
          <w:p w14:paraId="48BD32AC">
            <w:pPr>
              <w:jc w:val="center"/>
              <w:rPr>
                <w:rFonts w:hint="eastAsia" w:ascii="Times New Roman" w:hAnsi="Times New Roman" w:cs="Times New Roman" w:eastAsiaTheme="minorEastAsia"/>
                <w:kern w:val="2"/>
                <w:sz w:val="24"/>
                <w:szCs w:val="22"/>
                <w:lang w:val="en-US" w:eastAsia="zh-CN" w:bidi="ar-SA"/>
              </w:rPr>
            </w:pPr>
            <w:r>
              <w:rPr>
                <w:rFonts w:ascii="Times New Roman" w:cs="Times New Roman" w:hAnsiTheme="minorEastAsia"/>
                <w:sz w:val="24"/>
              </w:rPr>
              <w:t>个</w:t>
            </w:r>
          </w:p>
        </w:tc>
        <w:tc>
          <w:tcPr>
            <w:tcW w:w="850" w:type="dxa"/>
            <w:shd w:val="clear" w:color="auto" w:fill="auto"/>
            <w:vAlign w:val="center"/>
          </w:tcPr>
          <w:p w14:paraId="046DF926">
            <w:pPr>
              <w:jc w:val="center"/>
              <w:rPr>
                <w:rFonts w:hint="eastAsia" w:ascii="Times New Roman" w:hAnsi="Times New Roman" w:cs="Times New Roman" w:eastAsiaTheme="minorEastAsia"/>
                <w:kern w:val="2"/>
                <w:sz w:val="24"/>
                <w:szCs w:val="22"/>
                <w:lang w:val="en-US" w:eastAsia="zh-CN" w:bidi="ar-SA"/>
              </w:rPr>
            </w:pPr>
            <w:r>
              <w:rPr>
                <w:rFonts w:hint="eastAsia" w:ascii="Times New Roman" w:hAnsi="Times New Roman" w:cs="Times New Roman"/>
                <w:sz w:val="24"/>
              </w:rPr>
              <w:t>3</w:t>
            </w:r>
          </w:p>
        </w:tc>
        <w:tc>
          <w:tcPr>
            <w:tcW w:w="1276" w:type="dxa"/>
            <w:shd w:val="clear" w:color="auto" w:fill="auto"/>
            <w:vAlign w:val="center"/>
          </w:tcPr>
          <w:p w14:paraId="4A3ABDC4">
            <w:pPr>
              <w:jc w:val="center"/>
              <w:rPr>
                <w:rFonts w:hint="eastAsia" w:ascii="Times New Roman" w:cs="Times New Roman" w:hAnsiTheme="minorEastAsia" w:eastAsiaTheme="minorEastAsia"/>
                <w:kern w:val="2"/>
                <w:sz w:val="24"/>
                <w:szCs w:val="22"/>
                <w:lang w:val="en-US" w:eastAsia="zh-CN" w:bidi="ar-SA"/>
              </w:rPr>
            </w:pPr>
            <w:r>
              <w:rPr>
                <w:rFonts w:hint="eastAsia" w:ascii="Times New Roman" w:cs="Times New Roman" w:hAnsiTheme="minorEastAsia"/>
                <w:sz w:val="24"/>
              </w:rPr>
              <w:t>新增设备</w:t>
            </w:r>
          </w:p>
        </w:tc>
      </w:tr>
      <w:tr w14:paraId="0E606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9" w:type="dxa"/>
            <w:shd w:val="clear" w:color="auto" w:fill="auto"/>
            <w:vAlign w:val="center"/>
          </w:tcPr>
          <w:p w14:paraId="76AB7768">
            <w:pPr>
              <w:jc w:val="center"/>
              <w:rPr>
                <w:rFonts w:hint="eastAsia" w:ascii="Times New Roman" w:hAnsi="Times New Roman" w:cs="Times New Roman" w:eastAsiaTheme="minorEastAsia"/>
                <w:color w:val="000000"/>
                <w:kern w:val="2"/>
                <w:sz w:val="24"/>
                <w:szCs w:val="22"/>
                <w:lang w:val="en-US" w:eastAsia="zh-CN" w:bidi="ar-SA"/>
              </w:rPr>
            </w:pPr>
            <w:r>
              <w:rPr>
                <w:rFonts w:hint="eastAsia" w:ascii="Times New Roman" w:hAnsi="Times New Roman" w:cs="Times New Roman"/>
                <w:color w:val="000000"/>
                <w:sz w:val="24"/>
              </w:rPr>
              <w:t>9</w:t>
            </w:r>
          </w:p>
        </w:tc>
        <w:tc>
          <w:tcPr>
            <w:tcW w:w="2019" w:type="dxa"/>
            <w:shd w:val="clear" w:color="auto" w:fill="auto"/>
            <w:vAlign w:val="center"/>
          </w:tcPr>
          <w:p w14:paraId="0A39AB95">
            <w:pPr>
              <w:jc w:val="center"/>
              <w:rPr>
                <w:rFonts w:hint="eastAsia" w:ascii="Times New Roman" w:hAnsi="Times New Roman" w:cs="Times New Roman" w:eastAsiaTheme="minorEastAsia"/>
                <w:kern w:val="2"/>
                <w:sz w:val="24"/>
                <w:szCs w:val="22"/>
                <w:lang w:val="en-US" w:eastAsia="zh-CN" w:bidi="ar-SA"/>
              </w:rPr>
            </w:pPr>
            <w:r>
              <w:rPr>
                <w:rFonts w:hint="eastAsia" w:ascii="Times New Roman" w:hAnsi="Times New Roman" w:cs="Times New Roman"/>
                <w:sz w:val="24"/>
              </w:rPr>
              <w:t>糖汁贮罐</w:t>
            </w:r>
          </w:p>
        </w:tc>
        <w:tc>
          <w:tcPr>
            <w:tcW w:w="1638" w:type="dxa"/>
            <w:shd w:val="clear" w:color="auto" w:fill="auto"/>
            <w:vAlign w:val="center"/>
          </w:tcPr>
          <w:p w14:paraId="47BAEE1E">
            <w:pPr>
              <w:jc w:val="center"/>
              <w:rPr>
                <w:rFonts w:hint="eastAsia" w:ascii="Times New Roman" w:hAnsi="Times New Roman" w:cs="Times New Roman" w:eastAsiaTheme="minorEastAsia"/>
                <w:kern w:val="2"/>
                <w:sz w:val="24"/>
                <w:szCs w:val="22"/>
                <w:lang w:val="en-US" w:eastAsia="zh-CN" w:bidi="ar-SA"/>
              </w:rPr>
            </w:pPr>
            <w:r>
              <w:rPr>
                <w:rFonts w:hint="eastAsia" w:ascii="Times New Roman" w:hAnsi="Times New Roman" w:cs="Times New Roman"/>
                <w:sz w:val="24"/>
              </w:rPr>
              <w:t>50</w:t>
            </w:r>
            <w:r>
              <w:rPr>
                <w:rFonts w:ascii="Times New Roman" w:hAnsi="Times New Roman" w:cs="Times New Roman"/>
                <w:sz w:val="24"/>
              </w:rPr>
              <w:t>0m³</w:t>
            </w:r>
          </w:p>
        </w:tc>
        <w:tc>
          <w:tcPr>
            <w:tcW w:w="717" w:type="dxa"/>
            <w:shd w:val="clear" w:color="auto" w:fill="auto"/>
            <w:vAlign w:val="center"/>
          </w:tcPr>
          <w:p w14:paraId="4C8E3D66">
            <w:pPr>
              <w:jc w:val="center"/>
              <w:rPr>
                <w:rFonts w:hint="eastAsia" w:ascii="Times New Roman" w:hAnsi="Times New Roman" w:cs="Times New Roman" w:eastAsiaTheme="minorEastAsia"/>
                <w:kern w:val="2"/>
                <w:sz w:val="24"/>
                <w:szCs w:val="22"/>
                <w:lang w:val="en-US" w:eastAsia="zh-CN" w:bidi="ar-SA"/>
              </w:rPr>
            </w:pPr>
            <w:r>
              <w:rPr>
                <w:rFonts w:ascii="Times New Roman" w:cs="Times New Roman" w:hAnsiTheme="minorEastAsia"/>
                <w:sz w:val="24"/>
              </w:rPr>
              <w:t>个</w:t>
            </w:r>
          </w:p>
        </w:tc>
        <w:tc>
          <w:tcPr>
            <w:tcW w:w="850" w:type="dxa"/>
            <w:shd w:val="clear" w:color="auto" w:fill="auto"/>
            <w:vAlign w:val="center"/>
          </w:tcPr>
          <w:p w14:paraId="249799C7">
            <w:pPr>
              <w:jc w:val="center"/>
              <w:rPr>
                <w:rFonts w:hint="eastAsia" w:ascii="Times New Roman" w:hAnsi="Times New Roman" w:cs="Times New Roman" w:eastAsiaTheme="minorEastAsia"/>
                <w:kern w:val="2"/>
                <w:sz w:val="24"/>
                <w:szCs w:val="22"/>
                <w:lang w:val="en-US" w:eastAsia="zh-CN" w:bidi="ar-SA"/>
              </w:rPr>
            </w:pPr>
            <w:r>
              <w:rPr>
                <w:rFonts w:hint="eastAsia" w:ascii="Times New Roman" w:hAnsi="Times New Roman" w:cs="Times New Roman"/>
                <w:sz w:val="24"/>
              </w:rPr>
              <w:t>3</w:t>
            </w:r>
          </w:p>
        </w:tc>
        <w:tc>
          <w:tcPr>
            <w:tcW w:w="1276" w:type="dxa"/>
            <w:shd w:val="clear" w:color="auto" w:fill="auto"/>
            <w:vAlign w:val="center"/>
          </w:tcPr>
          <w:p w14:paraId="49C66867">
            <w:pPr>
              <w:jc w:val="center"/>
              <w:rPr>
                <w:rFonts w:hint="eastAsia" w:ascii="Times New Roman" w:cs="Times New Roman" w:hAnsiTheme="minorEastAsia" w:eastAsiaTheme="minorEastAsia"/>
                <w:kern w:val="2"/>
                <w:sz w:val="24"/>
                <w:szCs w:val="22"/>
                <w:lang w:val="en-US" w:eastAsia="zh-CN" w:bidi="ar-SA"/>
              </w:rPr>
            </w:pPr>
            <w:r>
              <w:rPr>
                <w:rFonts w:hint="eastAsia" w:ascii="Times New Roman" w:cs="Times New Roman" w:hAnsiTheme="minorEastAsia"/>
                <w:sz w:val="24"/>
              </w:rPr>
              <w:t>新增设备</w:t>
            </w:r>
          </w:p>
        </w:tc>
      </w:tr>
      <w:tr w14:paraId="39291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9" w:type="dxa"/>
            <w:shd w:val="clear" w:color="auto" w:fill="auto"/>
            <w:vAlign w:val="center"/>
          </w:tcPr>
          <w:p w14:paraId="0669D3F0">
            <w:pPr>
              <w:jc w:val="center"/>
              <w:rPr>
                <w:rFonts w:hint="eastAsia" w:ascii="Times New Roman" w:hAnsi="Times New Roman" w:cs="Times New Roman" w:eastAsiaTheme="minorEastAsia"/>
                <w:color w:val="000000"/>
                <w:kern w:val="2"/>
                <w:sz w:val="24"/>
                <w:szCs w:val="22"/>
                <w:lang w:val="en-US" w:eastAsia="zh-CN" w:bidi="ar-SA"/>
              </w:rPr>
            </w:pPr>
            <w:r>
              <w:rPr>
                <w:rFonts w:hint="eastAsia" w:ascii="Times New Roman" w:hAnsi="Times New Roman" w:cs="Times New Roman"/>
                <w:color w:val="000000"/>
                <w:sz w:val="24"/>
              </w:rPr>
              <w:t>10</w:t>
            </w:r>
          </w:p>
        </w:tc>
        <w:tc>
          <w:tcPr>
            <w:tcW w:w="2019" w:type="dxa"/>
            <w:shd w:val="clear" w:color="auto" w:fill="auto"/>
            <w:vAlign w:val="center"/>
          </w:tcPr>
          <w:p w14:paraId="29FD955C">
            <w:pPr>
              <w:jc w:val="center"/>
              <w:rPr>
                <w:rFonts w:hint="eastAsia" w:ascii="Times New Roman" w:hAnsi="Times New Roman" w:cs="Times New Roman" w:eastAsiaTheme="minorEastAsia"/>
                <w:kern w:val="2"/>
                <w:sz w:val="24"/>
                <w:szCs w:val="22"/>
                <w:lang w:val="en-US" w:eastAsia="zh-CN" w:bidi="ar-SA"/>
              </w:rPr>
            </w:pPr>
            <w:r>
              <w:rPr>
                <w:rFonts w:hint="eastAsia" w:ascii="Times New Roman" w:hAnsi="Times New Roman" w:cs="Times New Roman"/>
                <w:sz w:val="24"/>
              </w:rPr>
              <w:t>液糖贮罐</w:t>
            </w:r>
          </w:p>
        </w:tc>
        <w:tc>
          <w:tcPr>
            <w:tcW w:w="1638" w:type="dxa"/>
            <w:shd w:val="clear" w:color="auto" w:fill="auto"/>
            <w:vAlign w:val="center"/>
          </w:tcPr>
          <w:p w14:paraId="285BDA7B">
            <w:pPr>
              <w:jc w:val="center"/>
              <w:rPr>
                <w:rFonts w:hint="eastAsia" w:ascii="Times New Roman" w:hAnsi="Times New Roman" w:cs="Times New Roman" w:eastAsiaTheme="minorEastAsia"/>
                <w:kern w:val="2"/>
                <w:sz w:val="24"/>
                <w:szCs w:val="22"/>
                <w:lang w:val="en-US" w:eastAsia="zh-CN" w:bidi="ar-SA"/>
              </w:rPr>
            </w:pPr>
            <w:r>
              <w:rPr>
                <w:rFonts w:hint="eastAsia" w:ascii="Times New Roman" w:hAnsi="Times New Roman" w:cs="Times New Roman"/>
                <w:sz w:val="24"/>
              </w:rPr>
              <w:t>50</w:t>
            </w:r>
            <w:r>
              <w:rPr>
                <w:rFonts w:ascii="Times New Roman" w:hAnsi="Times New Roman" w:cs="Times New Roman"/>
                <w:sz w:val="24"/>
              </w:rPr>
              <w:t>0m³</w:t>
            </w:r>
          </w:p>
        </w:tc>
        <w:tc>
          <w:tcPr>
            <w:tcW w:w="717" w:type="dxa"/>
            <w:shd w:val="clear" w:color="auto" w:fill="auto"/>
            <w:vAlign w:val="center"/>
          </w:tcPr>
          <w:p w14:paraId="2487C31D">
            <w:pPr>
              <w:jc w:val="center"/>
              <w:rPr>
                <w:rFonts w:hint="eastAsia" w:ascii="Times New Roman" w:hAnsi="Times New Roman" w:cs="Times New Roman" w:eastAsiaTheme="minorEastAsia"/>
                <w:kern w:val="2"/>
                <w:sz w:val="24"/>
                <w:szCs w:val="22"/>
                <w:lang w:val="en-US" w:eastAsia="zh-CN" w:bidi="ar-SA"/>
              </w:rPr>
            </w:pPr>
            <w:r>
              <w:rPr>
                <w:rFonts w:ascii="Times New Roman" w:cs="Times New Roman" w:hAnsiTheme="minorEastAsia"/>
                <w:sz w:val="24"/>
              </w:rPr>
              <w:t>个</w:t>
            </w:r>
          </w:p>
        </w:tc>
        <w:tc>
          <w:tcPr>
            <w:tcW w:w="850" w:type="dxa"/>
            <w:shd w:val="clear" w:color="auto" w:fill="auto"/>
            <w:vAlign w:val="center"/>
          </w:tcPr>
          <w:p w14:paraId="0839E4C9">
            <w:pPr>
              <w:jc w:val="center"/>
              <w:rPr>
                <w:rFonts w:hint="eastAsia" w:ascii="Times New Roman" w:hAnsi="Times New Roman" w:cs="Times New Roman" w:eastAsiaTheme="minorEastAsia"/>
                <w:kern w:val="2"/>
                <w:sz w:val="24"/>
                <w:szCs w:val="22"/>
                <w:lang w:val="en-US" w:eastAsia="zh-CN" w:bidi="ar-SA"/>
              </w:rPr>
            </w:pPr>
            <w:r>
              <w:rPr>
                <w:rFonts w:hint="eastAsia" w:ascii="Times New Roman" w:hAnsi="Times New Roman" w:cs="Times New Roman"/>
                <w:sz w:val="24"/>
              </w:rPr>
              <w:t>3</w:t>
            </w:r>
          </w:p>
        </w:tc>
        <w:tc>
          <w:tcPr>
            <w:tcW w:w="1276" w:type="dxa"/>
            <w:shd w:val="clear" w:color="auto" w:fill="auto"/>
            <w:vAlign w:val="center"/>
          </w:tcPr>
          <w:p w14:paraId="45FDA121">
            <w:pPr>
              <w:jc w:val="center"/>
              <w:rPr>
                <w:rFonts w:hint="eastAsia" w:asciiTheme="minorHAnsi" w:hAnsiTheme="minorHAnsi" w:eastAsiaTheme="minorEastAsia" w:cstheme="minorBidi"/>
                <w:kern w:val="2"/>
                <w:sz w:val="21"/>
                <w:szCs w:val="22"/>
                <w:lang w:val="en-US" w:eastAsia="zh-CN" w:bidi="ar-SA"/>
              </w:rPr>
            </w:pPr>
            <w:r>
              <w:rPr>
                <w:rFonts w:hint="eastAsia" w:ascii="Times New Roman" w:cs="Times New Roman" w:hAnsiTheme="minorEastAsia"/>
                <w:sz w:val="24"/>
              </w:rPr>
              <w:t>新增设备</w:t>
            </w:r>
          </w:p>
        </w:tc>
      </w:tr>
    </w:tbl>
    <w:p w14:paraId="177C987E">
      <w:pPr>
        <w:pStyle w:val="4"/>
        <w:bidi w:val="0"/>
        <w:rPr>
          <w:highlight w:val="none"/>
        </w:rPr>
      </w:pPr>
      <w:r>
        <w:rPr>
          <w:highlight w:val="none"/>
        </w:rPr>
        <w:t>3.2.7</w:t>
      </w:r>
      <w:r>
        <w:rPr>
          <w:rFonts w:hint="eastAsia"/>
          <w:highlight w:val="none"/>
        </w:rPr>
        <w:t>平面布置</w:t>
      </w:r>
    </w:p>
    <w:p w14:paraId="695BB086">
      <w:pPr>
        <w:spacing w:line="360" w:lineRule="auto"/>
        <w:ind w:firstLine="480" w:firstLineChars="200"/>
        <w:rPr>
          <w:rFonts w:hint="eastAsia"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0"/>
          <w:highlight w:val="none"/>
        </w:rPr>
        <w:t>项目建设用地略呈梯形，</w:t>
      </w:r>
      <w:r>
        <w:rPr>
          <w:rFonts w:hint="eastAsia" w:ascii="Times New Roman" w:hAnsi="Times New Roman" w:eastAsia="宋体" w:cs="Times New Roman"/>
          <w:color w:val="auto"/>
          <w:sz w:val="24"/>
          <w:szCs w:val="20"/>
          <w:highlight w:val="none"/>
        </w:rPr>
        <w:t>整个厂区分成西侧、中部、东侧三个区，西侧主要为办公区及生活区；中部为主要生产车间及仓库；东侧主要为环保设施及配套设施区域。</w:t>
      </w:r>
      <w:r>
        <w:rPr>
          <w:rFonts w:hint="eastAsia" w:ascii="Times New Roman" w:hAnsi="Times New Roman" w:eastAsia="宋体" w:cs="Times New Roman"/>
          <w:color w:val="auto"/>
          <w:sz w:val="24"/>
          <w:szCs w:val="20"/>
          <w:highlight w:val="none"/>
          <w:lang w:val="en-US" w:eastAsia="zh-CN"/>
        </w:rPr>
        <w:t>本项目主要涉及中部生产区生产线改扩建，中部偏西侧由北向南依次为发酵1车间、空压配电间、提取产品暂存库、发酵2车间、发酵循环水池，中部偏东侧由北向南依次为提取1车间、提取3车间、提取5车间、提取6车间，包衣车间位于提取1车间西侧，提取2车间位于提取1车间东侧。发酵1车间内布置一条肌醇发酵生产线和一条糖化酶发酵生产线，发酵2车间内布置一条泛酸钙发酵生产线，提取1车间内布置一条糖化酶提取车间和肌醇提取车间，提取2车间内布置1条肌醇脱色生产线和1条泛酸钙干燥生产线，提取3车间和提取6车间分别各布置1条液糖生产线，提取5车间内布置1条泛酸钙提取生产线，烘干车间内布置1条肌醇干燥生产线</w:t>
      </w:r>
      <w:r>
        <w:rPr>
          <w:rFonts w:hint="eastAsia" w:ascii="Times New Roman" w:hAnsi="Times New Roman" w:eastAsia="宋体" w:cs="Times New Roman"/>
          <w:color w:val="auto"/>
          <w:sz w:val="24"/>
          <w:szCs w:val="24"/>
          <w:highlight w:val="none"/>
        </w:rPr>
        <w:t>。</w:t>
      </w:r>
    </w:p>
    <w:p w14:paraId="5505D263">
      <w:pPr>
        <w:spacing w:line="360" w:lineRule="auto"/>
        <w:ind w:firstLine="480" w:firstLineChars="200"/>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本项目依托现有排放口，DA001位于提取3车间北侧厂房外，DA002位于污水站西侧，DA003位于提取5车间南侧厂房外。本项目完成后，具体生产线布置见下表</w:t>
      </w:r>
    </w:p>
    <w:p w14:paraId="26E31A85">
      <w:pPr>
        <w:pStyle w:val="6"/>
        <w:bidi w:val="0"/>
        <w:rPr>
          <w:rFonts w:hint="eastAsia"/>
          <w:lang w:eastAsia="zh-CN"/>
        </w:rPr>
      </w:pPr>
      <w:r>
        <w:rPr>
          <w:rFonts w:hint="eastAsia"/>
        </w:rPr>
        <w:t>表</w:t>
      </w:r>
      <w:r>
        <w:rPr>
          <w:rFonts w:hint="eastAsia"/>
          <w:lang w:val="en-US" w:eastAsia="zh-CN"/>
        </w:rPr>
        <w:t xml:space="preserve">3.2.7-1   </w:t>
      </w:r>
      <w:r>
        <w:rPr>
          <w:rFonts w:hint="eastAsia"/>
        </w:rPr>
        <w:t xml:space="preserve"> </w:t>
      </w:r>
      <w:r>
        <w:rPr>
          <w:rFonts w:hint="eastAsia"/>
          <w:lang w:eastAsia="zh-CN"/>
        </w:rPr>
        <w:t>生产线布置情况一览表</w:t>
      </w:r>
    </w:p>
    <w:tbl>
      <w:tblPr>
        <w:tblStyle w:val="42"/>
        <w:tblW w:w="81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8"/>
        <w:gridCol w:w="3891"/>
        <w:gridCol w:w="3276"/>
      </w:tblGrid>
      <w:tr w14:paraId="78150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8" w:type="dxa"/>
            <w:vAlign w:val="center"/>
          </w:tcPr>
          <w:p w14:paraId="05941D19">
            <w:pPr>
              <w:bidi w:val="0"/>
              <w:jc w:val="center"/>
              <w:rPr>
                <w:rFonts w:hint="eastAsia"/>
                <w:sz w:val="22"/>
                <w:szCs w:val="22"/>
                <w:highlight w:val="none"/>
                <w:lang w:eastAsia="zh-CN"/>
              </w:rPr>
            </w:pPr>
            <w:r>
              <w:rPr>
                <w:rFonts w:hint="eastAsia"/>
                <w:sz w:val="22"/>
                <w:szCs w:val="22"/>
                <w:highlight w:val="none"/>
                <w:lang w:eastAsia="zh-CN"/>
              </w:rPr>
              <w:t>序号</w:t>
            </w:r>
          </w:p>
        </w:tc>
        <w:tc>
          <w:tcPr>
            <w:tcW w:w="3891" w:type="dxa"/>
            <w:vAlign w:val="center"/>
          </w:tcPr>
          <w:p w14:paraId="21AE3FE8">
            <w:pPr>
              <w:bidi w:val="0"/>
              <w:jc w:val="center"/>
              <w:rPr>
                <w:rFonts w:hint="eastAsia"/>
                <w:sz w:val="22"/>
                <w:szCs w:val="22"/>
                <w:highlight w:val="none"/>
                <w:lang w:eastAsia="zh-CN"/>
              </w:rPr>
            </w:pPr>
            <w:r>
              <w:rPr>
                <w:rFonts w:hint="eastAsia"/>
                <w:sz w:val="22"/>
                <w:szCs w:val="22"/>
                <w:highlight w:val="none"/>
                <w:lang w:eastAsia="zh-CN"/>
              </w:rPr>
              <w:t>生产线</w:t>
            </w:r>
          </w:p>
        </w:tc>
        <w:tc>
          <w:tcPr>
            <w:tcW w:w="3276" w:type="dxa"/>
            <w:vAlign w:val="center"/>
          </w:tcPr>
          <w:p w14:paraId="045088A3">
            <w:pPr>
              <w:bidi w:val="0"/>
              <w:jc w:val="center"/>
              <w:rPr>
                <w:rFonts w:hint="eastAsia"/>
                <w:sz w:val="22"/>
                <w:szCs w:val="22"/>
                <w:highlight w:val="none"/>
                <w:lang w:eastAsia="zh-CN"/>
              </w:rPr>
            </w:pPr>
            <w:r>
              <w:rPr>
                <w:rFonts w:hint="eastAsia"/>
                <w:sz w:val="22"/>
                <w:szCs w:val="22"/>
                <w:highlight w:val="none"/>
                <w:lang w:eastAsia="zh-CN"/>
              </w:rPr>
              <w:t>厂房</w:t>
            </w:r>
          </w:p>
        </w:tc>
      </w:tr>
      <w:tr w14:paraId="249E9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8" w:type="dxa"/>
            <w:vAlign w:val="center"/>
          </w:tcPr>
          <w:p w14:paraId="7A06D343">
            <w:pPr>
              <w:bidi w:val="0"/>
              <w:jc w:val="center"/>
              <w:rPr>
                <w:rFonts w:hint="default"/>
                <w:sz w:val="22"/>
                <w:szCs w:val="22"/>
                <w:highlight w:val="none"/>
                <w:lang w:val="en-US" w:eastAsia="zh-CN"/>
              </w:rPr>
            </w:pPr>
            <w:r>
              <w:rPr>
                <w:rFonts w:hint="eastAsia"/>
                <w:sz w:val="22"/>
                <w:szCs w:val="22"/>
                <w:highlight w:val="none"/>
                <w:lang w:val="en-US" w:eastAsia="zh-CN"/>
              </w:rPr>
              <w:t>1</w:t>
            </w:r>
          </w:p>
        </w:tc>
        <w:tc>
          <w:tcPr>
            <w:tcW w:w="3891" w:type="dxa"/>
            <w:vAlign w:val="center"/>
          </w:tcPr>
          <w:p w14:paraId="4DC7666C">
            <w:pPr>
              <w:bidi w:val="0"/>
              <w:jc w:val="center"/>
              <w:rPr>
                <w:rFonts w:hint="eastAsia"/>
                <w:sz w:val="22"/>
                <w:szCs w:val="22"/>
                <w:highlight w:val="none"/>
                <w:lang w:eastAsia="zh-CN"/>
              </w:rPr>
            </w:pPr>
            <w:r>
              <w:rPr>
                <w:rFonts w:hint="eastAsia"/>
                <w:sz w:val="22"/>
                <w:szCs w:val="22"/>
                <w:highlight w:val="none"/>
                <w:lang w:eastAsia="zh-CN"/>
              </w:rPr>
              <w:t>糖化酶</w:t>
            </w:r>
            <w:r>
              <w:rPr>
                <w:rFonts w:hint="eastAsia"/>
                <w:sz w:val="22"/>
                <w:szCs w:val="22"/>
                <w:highlight w:val="none"/>
                <w:lang w:val="en-US" w:eastAsia="zh-CN"/>
              </w:rPr>
              <w:t>发酵</w:t>
            </w:r>
            <w:r>
              <w:rPr>
                <w:rFonts w:hint="eastAsia"/>
                <w:sz w:val="22"/>
                <w:szCs w:val="22"/>
                <w:highlight w:val="none"/>
                <w:lang w:eastAsia="zh-CN"/>
              </w:rPr>
              <w:t>生产线</w:t>
            </w:r>
          </w:p>
        </w:tc>
        <w:tc>
          <w:tcPr>
            <w:tcW w:w="3276" w:type="dxa"/>
            <w:vAlign w:val="center"/>
          </w:tcPr>
          <w:p w14:paraId="33E269A2">
            <w:pPr>
              <w:bidi w:val="0"/>
              <w:jc w:val="center"/>
              <w:rPr>
                <w:rFonts w:hint="eastAsia"/>
                <w:sz w:val="22"/>
                <w:szCs w:val="22"/>
                <w:highlight w:val="none"/>
                <w:lang w:val="en-US" w:eastAsia="zh-CN"/>
              </w:rPr>
            </w:pPr>
            <w:r>
              <w:rPr>
                <w:rFonts w:hint="eastAsia"/>
                <w:sz w:val="22"/>
                <w:szCs w:val="22"/>
                <w:highlight w:val="none"/>
                <w:lang w:eastAsia="zh-CN"/>
              </w:rPr>
              <w:t>发酵</w:t>
            </w:r>
            <w:r>
              <w:rPr>
                <w:rFonts w:hint="eastAsia"/>
                <w:sz w:val="22"/>
                <w:szCs w:val="22"/>
                <w:highlight w:val="none"/>
                <w:lang w:val="en-US" w:eastAsia="zh-CN"/>
              </w:rPr>
              <w:t>1车间</w:t>
            </w:r>
          </w:p>
        </w:tc>
      </w:tr>
      <w:tr w14:paraId="76FEE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8" w:type="dxa"/>
            <w:vAlign w:val="center"/>
          </w:tcPr>
          <w:p w14:paraId="74396840">
            <w:pPr>
              <w:bidi w:val="0"/>
              <w:jc w:val="center"/>
              <w:rPr>
                <w:rFonts w:hint="default"/>
                <w:sz w:val="22"/>
                <w:szCs w:val="22"/>
                <w:highlight w:val="none"/>
                <w:lang w:val="en-US" w:eastAsia="zh-CN"/>
              </w:rPr>
            </w:pPr>
            <w:r>
              <w:rPr>
                <w:rFonts w:hint="eastAsia"/>
                <w:sz w:val="22"/>
                <w:szCs w:val="22"/>
                <w:highlight w:val="none"/>
                <w:lang w:val="en-US" w:eastAsia="zh-CN"/>
              </w:rPr>
              <w:t>2</w:t>
            </w:r>
          </w:p>
        </w:tc>
        <w:tc>
          <w:tcPr>
            <w:tcW w:w="3891" w:type="dxa"/>
            <w:vAlign w:val="center"/>
          </w:tcPr>
          <w:p w14:paraId="72BA6120">
            <w:pPr>
              <w:bidi w:val="0"/>
              <w:jc w:val="center"/>
              <w:rPr>
                <w:rFonts w:hint="eastAsia"/>
                <w:sz w:val="22"/>
                <w:szCs w:val="22"/>
                <w:highlight w:val="none"/>
                <w:lang w:eastAsia="zh-CN"/>
              </w:rPr>
            </w:pPr>
            <w:r>
              <w:rPr>
                <w:rFonts w:hint="eastAsia"/>
                <w:sz w:val="22"/>
                <w:szCs w:val="22"/>
                <w:highlight w:val="none"/>
                <w:lang w:eastAsia="zh-CN"/>
              </w:rPr>
              <w:t>糖化酶</w:t>
            </w:r>
            <w:r>
              <w:rPr>
                <w:rFonts w:hint="eastAsia"/>
                <w:sz w:val="22"/>
                <w:szCs w:val="22"/>
                <w:highlight w:val="none"/>
                <w:lang w:val="en-US" w:eastAsia="zh-CN"/>
              </w:rPr>
              <w:t>提取</w:t>
            </w:r>
            <w:r>
              <w:rPr>
                <w:rFonts w:hint="eastAsia"/>
                <w:sz w:val="22"/>
                <w:szCs w:val="22"/>
                <w:highlight w:val="none"/>
                <w:lang w:eastAsia="zh-CN"/>
              </w:rPr>
              <w:t>生产线</w:t>
            </w:r>
          </w:p>
        </w:tc>
        <w:tc>
          <w:tcPr>
            <w:tcW w:w="3276" w:type="dxa"/>
            <w:vAlign w:val="center"/>
          </w:tcPr>
          <w:p w14:paraId="173989DD">
            <w:pPr>
              <w:bidi w:val="0"/>
              <w:jc w:val="center"/>
              <w:rPr>
                <w:rFonts w:hint="default"/>
                <w:sz w:val="22"/>
                <w:szCs w:val="22"/>
                <w:highlight w:val="none"/>
                <w:lang w:val="en-US" w:eastAsia="zh-CN"/>
              </w:rPr>
            </w:pPr>
            <w:r>
              <w:rPr>
                <w:rFonts w:hint="eastAsia"/>
                <w:sz w:val="22"/>
                <w:szCs w:val="22"/>
                <w:highlight w:val="none"/>
                <w:lang w:val="en-US" w:eastAsia="zh-CN"/>
              </w:rPr>
              <w:t>提取1车间</w:t>
            </w:r>
          </w:p>
        </w:tc>
      </w:tr>
      <w:tr w14:paraId="0CB93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8" w:type="dxa"/>
            <w:vAlign w:val="center"/>
          </w:tcPr>
          <w:p w14:paraId="3B6DCD6B">
            <w:pPr>
              <w:bidi w:val="0"/>
              <w:jc w:val="center"/>
              <w:rPr>
                <w:rFonts w:hint="default"/>
                <w:sz w:val="22"/>
                <w:szCs w:val="22"/>
                <w:highlight w:val="none"/>
                <w:lang w:val="en-US" w:eastAsia="zh-CN"/>
              </w:rPr>
            </w:pPr>
            <w:r>
              <w:rPr>
                <w:rFonts w:hint="eastAsia"/>
                <w:sz w:val="22"/>
                <w:szCs w:val="22"/>
                <w:highlight w:val="none"/>
                <w:lang w:val="en-US" w:eastAsia="zh-CN"/>
              </w:rPr>
              <w:t>3</w:t>
            </w:r>
          </w:p>
        </w:tc>
        <w:tc>
          <w:tcPr>
            <w:tcW w:w="3891" w:type="dxa"/>
            <w:vAlign w:val="center"/>
          </w:tcPr>
          <w:p w14:paraId="10C957D8">
            <w:pPr>
              <w:bidi w:val="0"/>
              <w:jc w:val="center"/>
              <w:rPr>
                <w:rFonts w:hint="default"/>
                <w:sz w:val="22"/>
                <w:szCs w:val="22"/>
                <w:highlight w:val="none"/>
                <w:lang w:val="en-US" w:eastAsia="zh-CN"/>
              </w:rPr>
            </w:pPr>
            <w:r>
              <w:rPr>
                <w:rFonts w:hint="eastAsia"/>
                <w:sz w:val="22"/>
                <w:szCs w:val="22"/>
                <w:highlight w:val="none"/>
                <w:lang w:val="en-US" w:eastAsia="zh-CN"/>
              </w:rPr>
              <w:t>泛酸钙发酵生产线</w:t>
            </w:r>
          </w:p>
        </w:tc>
        <w:tc>
          <w:tcPr>
            <w:tcW w:w="3276" w:type="dxa"/>
            <w:vAlign w:val="center"/>
          </w:tcPr>
          <w:p w14:paraId="5E9042E1">
            <w:pPr>
              <w:bidi w:val="0"/>
              <w:jc w:val="center"/>
              <w:rPr>
                <w:rFonts w:hint="default"/>
                <w:sz w:val="22"/>
                <w:szCs w:val="22"/>
                <w:highlight w:val="none"/>
                <w:lang w:val="en-US" w:eastAsia="zh-CN"/>
              </w:rPr>
            </w:pPr>
            <w:r>
              <w:rPr>
                <w:rFonts w:hint="eastAsia"/>
                <w:sz w:val="22"/>
                <w:szCs w:val="22"/>
                <w:highlight w:val="none"/>
                <w:lang w:val="en-US" w:eastAsia="zh-CN"/>
              </w:rPr>
              <w:t>发酵2车间</w:t>
            </w:r>
          </w:p>
        </w:tc>
      </w:tr>
      <w:tr w14:paraId="2CAEB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8" w:type="dxa"/>
            <w:vAlign w:val="center"/>
          </w:tcPr>
          <w:p w14:paraId="568D7EAC">
            <w:pPr>
              <w:bidi w:val="0"/>
              <w:jc w:val="center"/>
              <w:rPr>
                <w:rFonts w:hint="default"/>
                <w:sz w:val="22"/>
                <w:szCs w:val="22"/>
                <w:highlight w:val="none"/>
                <w:lang w:val="en-US" w:eastAsia="zh-CN"/>
              </w:rPr>
            </w:pPr>
            <w:r>
              <w:rPr>
                <w:rFonts w:hint="eastAsia"/>
                <w:sz w:val="22"/>
                <w:szCs w:val="22"/>
                <w:highlight w:val="none"/>
                <w:lang w:val="en-US" w:eastAsia="zh-CN"/>
              </w:rPr>
              <w:t>4</w:t>
            </w:r>
          </w:p>
        </w:tc>
        <w:tc>
          <w:tcPr>
            <w:tcW w:w="3891" w:type="dxa"/>
            <w:vAlign w:val="center"/>
          </w:tcPr>
          <w:p w14:paraId="62667A68">
            <w:pPr>
              <w:bidi w:val="0"/>
              <w:jc w:val="center"/>
              <w:rPr>
                <w:rFonts w:hint="default"/>
                <w:sz w:val="22"/>
                <w:szCs w:val="22"/>
                <w:highlight w:val="none"/>
                <w:lang w:val="en-US" w:eastAsia="zh-CN"/>
              </w:rPr>
            </w:pPr>
            <w:r>
              <w:rPr>
                <w:rFonts w:hint="eastAsia"/>
                <w:sz w:val="22"/>
                <w:szCs w:val="22"/>
                <w:highlight w:val="none"/>
                <w:lang w:val="en-US" w:eastAsia="zh-CN"/>
              </w:rPr>
              <w:t>泛酸钙提取生产线</w:t>
            </w:r>
          </w:p>
        </w:tc>
        <w:tc>
          <w:tcPr>
            <w:tcW w:w="3276" w:type="dxa"/>
            <w:vAlign w:val="center"/>
          </w:tcPr>
          <w:p w14:paraId="34236A7C">
            <w:pPr>
              <w:bidi w:val="0"/>
              <w:jc w:val="center"/>
              <w:rPr>
                <w:rFonts w:hint="default"/>
                <w:sz w:val="22"/>
                <w:szCs w:val="22"/>
                <w:highlight w:val="none"/>
                <w:lang w:val="en-US" w:eastAsia="zh-CN"/>
              </w:rPr>
            </w:pPr>
            <w:r>
              <w:rPr>
                <w:rFonts w:hint="eastAsia"/>
                <w:sz w:val="22"/>
                <w:szCs w:val="22"/>
                <w:highlight w:val="none"/>
                <w:lang w:val="en-US" w:eastAsia="zh-CN"/>
              </w:rPr>
              <w:t>提取5车间</w:t>
            </w:r>
          </w:p>
        </w:tc>
      </w:tr>
      <w:tr w14:paraId="4A083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8" w:type="dxa"/>
            <w:vAlign w:val="center"/>
          </w:tcPr>
          <w:p w14:paraId="68982794">
            <w:pPr>
              <w:bidi w:val="0"/>
              <w:jc w:val="center"/>
              <w:rPr>
                <w:rFonts w:hint="default"/>
                <w:sz w:val="22"/>
                <w:szCs w:val="22"/>
                <w:highlight w:val="none"/>
                <w:lang w:val="en-US" w:eastAsia="zh-CN"/>
              </w:rPr>
            </w:pPr>
            <w:r>
              <w:rPr>
                <w:rFonts w:hint="eastAsia"/>
                <w:sz w:val="22"/>
                <w:szCs w:val="22"/>
                <w:highlight w:val="none"/>
                <w:lang w:val="en-US" w:eastAsia="zh-CN"/>
              </w:rPr>
              <w:t>5</w:t>
            </w:r>
          </w:p>
        </w:tc>
        <w:tc>
          <w:tcPr>
            <w:tcW w:w="3891" w:type="dxa"/>
            <w:vAlign w:val="center"/>
          </w:tcPr>
          <w:p w14:paraId="58686F16">
            <w:pPr>
              <w:bidi w:val="0"/>
              <w:jc w:val="center"/>
              <w:rPr>
                <w:rFonts w:hint="default"/>
                <w:sz w:val="22"/>
                <w:szCs w:val="22"/>
                <w:highlight w:val="none"/>
                <w:lang w:val="en-US" w:eastAsia="zh-CN"/>
              </w:rPr>
            </w:pPr>
            <w:r>
              <w:rPr>
                <w:rFonts w:hint="eastAsia"/>
                <w:sz w:val="22"/>
                <w:szCs w:val="22"/>
                <w:highlight w:val="none"/>
                <w:lang w:val="en-US" w:eastAsia="zh-CN"/>
              </w:rPr>
              <w:t>泛酸钙干燥生产线</w:t>
            </w:r>
          </w:p>
        </w:tc>
        <w:tc>
          <w:tcPr>
            <w:tcW w:w="3276" w:type="dxa"/>
            <w:vAlign w:val="center"/>
          </w:tcPr>
          <w:p w14:paraId="5AEE3C28">
            <w:pPr>
              <w:bidi w:val="0"/>
              <w:jc w:val="center"/>
              <w:rPr>
                <w:rFonts w:hint="default"/>
                <w:sz w:val="22"/>
                <w:szCs w:val="22"/>
                <w:highlight w:val="none"/>
                <w:lang w:val="en-US" w:eastAsia="zh-CN"/>
              </w:rPr>
            </w:pPr>
            <w:r>
              <w:rPr>
                <w:rFonts w:hint="eastAsia"/>
                <w:sz w:val="22"/>
                <w:szCs w:val="22"/>
                <w:highlight w:val="none"/>
                <w:lang w:val="en-US" w:eastAsia="zh-CN"/>
              </w:rPr>
              <w:t>提取2车间</w:t>
            </w:r>
          </w:p>
        </w:tc>
      </w:tr>
      <w:tr w14:paraId="12B2B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8" w:type="dxa"/>
            <w:vAlign w:val="center"/>
          </w:tcPr>
          <w:p w14:paraId="29044746">
            <w:pPr>
              <w:bidi w:val="0"/>
              <w:jc w:val="center"/>
              <w:rPr>
                <w:rFonts w:hint="default"/>
                <w:sz w:val="22"/>
                <w:szCs w:val="22"/>
                <w:highlight w:val="none"/>
                <w:lang w:val="en-US" w:eastAsia="zh-CN"/>
              </w:rPr>
            </w:pPr>
            <w:r>
              <w:rPr>
                <w:rFonts w:hint="eastAsia"/>
                <w:sz w:val="22"/>
                <w:szCs w:val="22"/>
                <w:highlight w:val="none"/>
                <w:lang w:val="en-US" w:eastAsia="zh-CN"/>
              </w:rPr>
              <w:t>6</w:t>
            </w:r>
          </w:p>
        </w:tc>
        <w:tc>
          <w:tcPr>
            <w:tcW w:w="3891" w:type="dxa"/>
            <w:vAlign w:val="center"/>
          </w:tcPr>
          <w:p w14:paraId="193B8F0F">
            <w:pPr>
              <w:bidi w:val="0"/>
              <w:jc w:val="center"/>
              <w:rPr>
                <w:rFonts w:hint="default"/>
                <w:sz w:val="22"/>
                <w:szCs w:val="22"/>
                <w:highlight w:val="none"/>
                <w:lang w:val="en-US" w:eastAsia="zh-CN"/>
              </w:rPr>
            </w:pPr>
            <w:r>
              <w:rPr>
                <w:rFonts w:hint="eastAsia"/>
                <w:sz w:val="22"/>
                <w:szCs w:val="22"/>
                <w:highlight w:val="none"/>
                <w:lang w:val="en-US" w:eastAsia="zh-CN"/>
              </w:rPr>
              <w:t>肌醇饲料添加剂发酵生产线（本项目）</w:t>
            </w:r>
          </w:p>
        </w:tc>
        <w:tc>
          <w:tcPr>
            <w:tcW w:w="3276" w:type="dxa"/>
            <w:vAlign w:val="center"/>
          </w:tcPr>
          <w:p w14:paraId="160D1122">
            <w:pPr>
              <w:bidi w:val="0"/>
              <w:jc w:val="center"/>
              <w:rPr>
                <w:rFonts w:hint="default"/>
                <w:sz w:val="22"/>
                <w:szCs w:val="22"/>
                <w:highlight w:val="none"/>
                <w:lang w:val="en-US" w:eastAsia="zh-CN"/>
              </w:rPr>
            </w:pPr>
            <w:r>
              <w:rPr>
                <w:rFonts w:hint="eastAsia"/>
                <w:sz w:val="22"/>
                <w:szCs w:val="22"/>
                <w:highlight w:val="none"/>
                <w:lang w:val="en-US" w:eastAsia="zh-CN"/>
              </w:rPr>
              <w:t>发酵1车间</w:t>
            </w:r>
          </w:p>
        </w:tc>
      </w:tr>
      <w:tr w14:paraId="6862C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8" w:type="dxa"/>
            <w:vAlign w:val="center"/>
          </w:tcPr>
          <w:p w14:paraId="0D32B59D">
            <w:pPr>
              <w:bidi w:val="0"/>
              <w:jc w:val="center"/>
              <w:rPr>
                <w:rFonts w:hint="default"/>
                <w:sz w:val="22"/>
                <w:szCs w:val="22"/>
                <w:highlight w:val="none"/>
                <w:lang w:val="en-US" w:eastAsia="zh-CN"/>
              </w:rPr>
            </w:pPr>
            <w:r>
              <w:rPr>
                <w:rFonts w:hint="eastAsia"/>
                <w:sz w:val="22"/>
                <w:szCs w:val="22"/>
                <w:highlight w:val="none"/>
                <w:lang w:val="en-US" w:eastAsia="zh-CN"/>
              </w:rPr>
              <w:t>7</w:t>
            </w:r>
          </w:p>
        </w:tc>
        <w:tc>
          <w:tcPr>
            <w:tcW w:w="3891" w:type="dxa"/>
            <w:vAlign w:val="center"/>
          </w:tcPr>
          <w:p w14:paraId="3C87585B">
            <w:pPr>
              <w:bidi w:val="0"/>
              <w:jc w:val="center"/>
              <w:rPr>
                <w:rFonts w:hint="eastAsia"/>
                <w:sz w:val="22"/>
                <w:szCs w:val="22"/>
                <w:highlight w:val="none"/>
                <w:lang w:val="en-US" w:eastAsia="zh-CN"/>
              </w:rPr>
            </w:pPr>
            <w:r>
              <w:rPr>
                <w:rFonts w:hint="eastAsia"/>
                <w:sz w:val="22"/>
                <w:szCs w:val="22"/>
                <w:highlight w:val="none"/>
                <w:lang w:val="en-US" w:eastAsia="zh-CN"/>
              </w:rPr>
              <w:t>肌醇饲料添加剂提取生产线（本项目）</w:t>
            </w:r>
          </w:p>
        </w:tc>
        <w:tc>
          <w:tcPr>
            <w:tcW w:w="3276" w:type="dxa"/>
            <w:vAlign w:val="center"/>
          </w:tcPr>
          <w:p w14:paraId="01FE88C5">
            <w:pPr>
              <w:bidi w:val="0"/>
              <w:jc w:val="center"/>
              <w:rPr>
                <w:rFonts w:hint="eastAsia"/>
                <w:sz w:val="22"/>
                <w:szCs w:val="22"/>
                <w:highlight w:val="none"/>
                <w:lang w:val="en-US" w:eastAsia="zh-CN"/>
              </w:rPr>
            </w:pPr>
            <w:r>
              <w:rPr>
                <w:rFonts w:hint="eastAsia"/>
                <w:sz w:val="22"/>
                <w:szCs w:val="22"/>
                <w:highlight w:val="none"/>
                <w:lang w:val="en-US" w:eastAsia="zh-CN"/>
              </w:rPr>
              <w:t>提取1车间</w:t>
            </w:r>
          </w:p>
        </w:tc>
      </w:tr>
      <w:tr w14:paraId="022F3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8" w:type="dxa"/>
            <w:vAlign w:val="center"/>
          </w:tcPr>
          <w:p w14:paraId="07D329C8">
            <w:pPr>
              <w:bidi w:val="0"/>
              <w:jc w:val="center"/>
              <w:rPr>
                <w:rFonts w:hint="default"/>
                <w:sz w:val="22"/>
                <w:szCs w:val="22"/>
                <w:highlight w:val="none"/>
                <w:lang w:val="en-US" w:eastAsia="zh-CN"/>
              </w:rPr>
            </w:pPr>
            <w:r>
              <w:rPr>
                <w:rFonts w:hint="eastAsia"/>
                <w:sz w:val="22"/>
                <w:szCs w:val="22"/>
                <w:highlight w:val="none"/>
                <w:lang w:val="en-US" w:eastAsia="zh-CN"/>
              </w:rPr>
              <w:t>8</w:t>
            </w:r>
          </w:p>
        </w:tc>
        <w:tc>
          <w:tcPr>
            <w:tcW w:w="3891" w:type="dxa"/>
            <w:vAlign w:val="center"/>
          </w:tcPr>
          <w:p w14:paraId="1C52791E">
            <w:pPr>
              <w:bidi w:val="0"/>
              <w:jc w:val="center"/>
              <w:rPr>
                <w:rFonts w:hint="eastAsia"/>
                <w:sz w:val="22"/>
                <w:szCs w:val="22"/>
                <w:highlight w:val="none"/>
                <w:lang w:val="en-US" w:eastAsia="zh-CN"/>
              </w:rPr>
            </w:pPr>
            <w:r>
              <w:rPr>
                <w:rFonts w:hint="eastAsia"/>
                <w:sz w:val="22"/>
                <w:szCs w:val="22"/>
                <w:highlight w:val="none"/>
                <w:lang w:val="en-US" w:eastAsia="zh-CN"/>
              </w:rPr>
              <w:t>肌醇饲料添加剂脱色生产线（本项目）</w:t>
            </w:r>
          </w:p>
        </w:tc>
        <w:tc>
          <w:tcPr>
            <w:tcW w:w="3276" w:type="dxa"/>
            <w:vAlign w:val="center"/>
          </w:tcPr>
          <w:p w14:paraId="7574B833">
            <w:pPr>
              <w:bidi w:val="0"/>
              <w:jc w:val="center"/>
              <w:rPr>
                <w:rFonts w:hint="default"/>
                <w:sz w:val="22"/>
                <w:szCs w:val="22"/>
                <w:highlight w:val="none"/>
                <w:lang w:val="en-US" w:eastAsia="zh-CN"/>
              </w:rPr>
            </w:pPr>
            <w:r>
              <w:rPr>
                <w:rFonts w:hint="eastAsia"/>
                <w:sz w:val="22"/>
                <w:szCs w:val="22"/>
                <w:highlight w:val="none"/>
                <w:lang w:val="en-US" w:eastAsia="zh-CN"/>
              </w:rPr>
              <w:t>提取2车间</w:t>
            </w:r>
          </w:p>
        </w:tc>
      </w:tr>
      <w:tr w14:paraId="462FC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8" w:type="dxa"/>
            <w:vAlign w:val="center"/>
          </w:tcPr>
          <w:p w14:paraId="1D5D90EB">
            <w:pPr>
              <w:bidi w:val="0"/>
              <w:jc w:val="center"/>
              <w:rPr>
                <w:rFonts w:hint="default"/>
                <w:sz w:val="22"/>
                <w:szCs w:val="22"/>
                <w:highlight w:val="none"/>
                <w:lang w:val="en-US" w:eastAsia="zh-CN"/>
              </w:rPr>
            </w:pPr>
            <w:r>
              <w:rPr>
                <w:rFonts w:hint="eastAsia"/>
                <w:sz w:val="22"/>
                <w:szCs w:val="22"/>
                <w:highlight w:val="none"/>
                <w:lang w:val="en-US" w:eastAsia="zh-CN"/>
              </w:rPr>
              <w:t>9</w:t>
            </w:r>
          </w:p>
        </w:tc>
        <w:tc>
          <w:tcPr>
            <w:tcW w:w="3891" w:type="dxa"/>
            <w:shd w:val="clear" w:color="auto" w:fill="auto"/>
            <w:vAlign w:val="center"/>
          </w:tcPr>
          <w:p w14:paraId="265DCA7F">
            <w:pPr>
              <w:bidi w:val="0"/>
              <w:jc w:val="center"/>
              <w:rPr>
                <w:rFonts w:hint="eastAsia" w:asciiTheme="minorAscii" w:hAnsiTheme="minorAscii" w:eastAsiaTheme="minorEastAsia" w:cstheme="minorBidi"/>
                <w:kern w:val="2"/>
                <w:sz w:val="22"/>
                <w:szCs w:val="22"/>
                <w:highlight w:val="none"/>
                <w:lang w:val="en-US" w:eastAsia="zh-CN" w:bidi="ar-SA"/>
              </w:rPr>
            </w:pPr>
            <w:r>
              <w:rPr>
                <w:rFonts w:hint="eastAsia"/>
                <w:sz w:val="22"/>
                <w:szCs w:val="22"/>
                <w:highlight w:val="none"/>
                <w:lang w:val="en-US" w:eastAsia="zh-CN"/>
              </w:rPr>
              <w:t>肌醇饲料添加剂干燥生产线（本项目）</w:t>
            </w:r>
          </w:p>
        </w:tc>
        <w:tc>
          <w:tcPr>
            <w:tcW w:w="3276" w:type="dxa"/>
            <w:shd w:val="clear" w:color="auto" w:fill="auto"/>
            <w:vAlign w:val="center"/>
          </w:tcPr>
          <w:p w14:paraId="383E1A36">
            <w:pPr>
              <w:bidi w:val="0"/>
              <w:jc w:val="center"/>
              <w:rPr>
                <w:rFonts w:hint="default" w:asciiTheme="minorAscii" w:hAnsiTheme="minorAscii" w:eastAsiaTheme="minorEastAsia" w:cstheme="minorBidi"/>
                <w:kern w:val="2"/>
                <w:sz w:val="22"/>
                <w:szCs w:val="22"/>
                <w:highlight w:val="none"/>
                <w:lang w:val="en-US" w:eastAsia="zh-CN" w:bidi="ar-SA"/>
              </w:rPr>
            </w:pPr>
            <w:r>
              <w:rPr>
                <w:rFonts w:hint="eastAsia" w:cstheme="minorBidi"/>
                <w:kern w:val="2"/>
                <w:sz w:val="22"/>
                <w:szCs w:val="22"/>
                <w:highlight w:val="none"/>
                <w:lang w:val="en-US" w:eastAsia="zh-CN" w:bidi="ar-SA"/>
              </w:rPr>
              <w:t>烘干车间</w:t>
            </w:r>
          </w:p>
        </w:tc>
      </w:tr>
      <w:tr w14:paraId="1285C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8" w:type="dxa"/>
            <w:vAlign w:val="center"/>
          </w:tcPr>
          <w:p w14:paraId="09A9DDC2">
            <w:pPr>
              <w:bidi w:val="0"/>
              <w:jc w:val="center"/>
              <w:rPr>
                <w:rFonts w:hint="default"/>
                <w:sz w:val="22"/>
                <w:szCs w:val="22"/>
                <w:highlight w:val="none"/>
                <w:lang w:val="en-US" w:eastAsia="zh-CN"/>
              </w:rPr>
            </w:pPr>
            <w:r>
              <w:rPr>
                <w:rFonts w:hint="eastAsia"/>
                <w:sz w:val="22"/>
                <w:szCs w:val="22"/>
                <w:highlight w:val="none"/>
                <w:lang w:val="en-US" w:eastAsia="zh-CN"/>
              </w:rPr>
              <w:t>10</w:t>
            </w:r>
          </w:p>
        </w:tc>
        <w:tc>
          <w:tcPr>
            <w:tcW w:w="3891" w:type="dxa"/>
            <w:vAlign w:val="center"/>
          </w:tcPr>
          <w:p w14:paraId="69D9125B">
            <w:pPr>
              <w:bidi w:val="0"/>
              <w:jc w:val="center"/>
              <w:rPr>
                <w:rFonts w:hint="default"/>
                <w:sz w:val="22"/>
                <w:szCs w:val="22"/>
                <w:highlight w:val="none"/>
                <w:lang w:val="en-US" w:eastAsia="zh-CN"/>
              </w:rPr>
            </w:pPr>
            <w:r>
              <w:rPr>
                <w:rFonts w:hint="eastAsia"/>
                <w:sz w:val="22"/>
                <w:szCs w:val="22"/>
                <w:highlight w:val="none"/>
                <w:lang w:val="en-US" w:eastAsia="zh-CN"/>
              </w:rPr>
              <w:t>液糖生产线（本项目）</w:t>
            </w:r>
          </w:p>
        </w:tc>
        <w:tc>
          <w:tcPr>
            <w:tcW w:w="3276" w:type="dxa"/>
            <w:vAlign w:val="center"/>
          </w:tcPr>
          <w:p w14:paraId="2BFF9618">
            <w:pPr>
              <w:bidi w:val="0"/>
              <w:jc w:val="center"/>
              <w:rPr>
                <w:rFonts w:hint="eastAsia"/>
                <w:sz w:val="22"/>
                <w:szCs w:val="22"/>
                <w:highlight w:val="none"/>
                <w:lang w:val="en-US" w:eastAsia="zh-CN"/>
              </w:rPr>
            </w:pPr>
            <w:r>
              <w:rPr>
                <w:rFonts w:hint="eastAsia"/>
                <w:sz w:val="22"/>
                <w:szCs w:val="22"/>
                <w:highlight w:val="none"/>
                <w:lang w:val="en-US" w:eastAsia="zh-CN"/>
              </w:rPr>
              <w:t>提取3、提取6车间</w:t>
            </w:r>
          </w:p>
        </w:tc>
      </w:tr>
    </w:tbl>
    <w:p w14:paraId="5B650617">
      <w:pPr>
        <w:pStyle w:val="4"/>
        <w:bidi w:val="0"/>
        <w:rPr>
          <w:rFonts w:hint="default" w:eastAsia="宋体"/>
          <w:color w:val="auto"/>
          <w:highlight w:val="none"/>
          <w:lang w:val="en-US" w:eastAsia="zh-CN"/>
        </w:rPr>
      </w:pPr>
      <w:r>
        <w:rPr>
          <w:highlight w:val="none"/>
        </w:rPr>
        <w:t>3.</w:t>
      </w:r>
      <w:r>
        <w:rPr>
          <w:color w:val="auto"/>
          <w:highlight w:val="none"/>
        </w:rPr>
        <w:t>2.8</w:t>
      </w:r>
      <w:r>
        <w:rPr>
          <w:rFonts w:hint="eastAsia"/>
          <w:color w:val="auto"/>
          <w:highlight w:val="none"/>
        </w:rPr>
        <w:t>公用工程</w:t>
      </w:r>
      <w:r>
        <w:rPr>
          <w:rFonts w:hint="eastAsia"/>
          <w:color w:val="auto"/>
          <w:highlight w:val="none"/>
          <w:lang w:val="en-US" w:eastAsia="zh-CN"/>
        </w:rPr>
        <w:t>及储运工程</w:t>
      </w:r>
    </w:p>
    <w:p w14:paraId="4DA7904C">
      <w:pPr>
        <w:spacing w:line="360" w:lineRule="auto"/>
        <w:ind w:firstLine="480" w:firstLineChars="200"/>
        <w:rPr>
          <w:rFonts w:hint="eastAsia" w:ascii="Times New Roman" w:hAnsi="Times New Roman" w:eastAsia="宋体" w:cs="Times New Roman"/>
          <w:color w:val="auto"/>
          <w:sz w:val="24"/>
          <w:szCs w:val="24"/>
          <w:lang w:val="en-US" w:eastAsia="zh-CN"/>
        </w:rPr>
      </w:pPr>
      <w:r>
        <w:rPr>
          <w:rFonts w:ascii="Times New Roman" w:hAnsi="Times New Roman" w:eastAsia="宋体" w:cs="Times New Roman"/>
          <w:color w:val="auto"/>
          <w:sz w:val="24"/>
          <w:szCs w:val="24"/>
        </w:rPr>
        <w:t>1、给</w:t>
      </w:r>
      <w:r>
        <w:rPr>
          <w:rFonts w:hint="eastAsia" w:ascii="Times New Roman" w:hAnsi="Times New Roman" w:eastAsia="宋体" w:cs="Times New Roman"/>
          <w:color w:val="auto"/>
          <w:sz w:val="24"/>
          <w:szCs w:val="24"/>
          <w:lang w:val="en-US" w:eastAsia="zh-CN"/>
        </w:rPr>
        <w:t>水</w:t>
      </w:r>
    </w:p>
    <w:p w14:paraId="30579BB0">
      <w:pPr>
        <w:spacing w:line="360" w:lineRule="auto"/>
        <w:ind w:firstLine="480" w:firstLineChars="200"/>
        <w:rPr>
          <w:rFonts w:hint="eastAsia" w:ascii="Times New Roman" w:hAnsi="Times New Roman" w:eastAsia="宋体" w:cs="Times New Roman"/>
          <w:color w:val="auto"/>
          <w:sz w:val="24"/>
          <w:szCs w:val="24"/>
        </w:rPr>
      </w:pPr>
      <w:r>
        <w:rPr>
          <w:rFonts w:ascii="Times New Roman" w:hAnsi="Times New Roman" w:eastAsia="宋体" w:cs="Times New Roman"/>
          <w:color w:val="auto"/>
          <w:sz w:val="24"/>
          <w:szCs w:val="24"/>
        </w:rPr>
        <w:t>湖南</w:t>
      </w:r>
      <w:r>
        <w:rPr>
          <w:rFonts w:hint="eastAsia" w:ascii="Times New Roman" w:hAnsi="Times New Roman" w:eastAsia="宋体" w:cs="Times New Roman"/>
          <w:color w:val="auto"/>
          <w:sz w:val="24"/>
          <w:szCs w:val="24"/>
          <w:lang w:val="en-US" w:eastAsia="zh-CN"/>
        </w:rPr>
        <w:t>新合新生物科技</w:t>
      </w:r>
      <w:r>
        <w:rPr>
          <w:rFonts w:ascii="Times New Roman" w:hAnsi="Times New Roman" w:eastAsia="宋体" w:cs="Times New Roman"/>
          <w:color w:val="auto"/>
          <w:sz w:val="24"/>
          <w:szCs w:val="24"/>
        </w:rPr>
        <w:t>有限公司</w:t>
      </w:r>
      <w:r>
        <w:rPr>
          <w:rFonts w:hint="eastAsia" w:ascii="Times New Roman" w:hAnsi="Times New Roman" w:eastAsia="宋体" w:cs="Times New Roman"/>
          <w:color w:val="auto"/>
          <w:sz w:val="24"/>
          <w:szCs w:val="24"/>
        </w:rPr>
        <w:t>厂区已在西侧孟姜女大道的市政供水主管接入一根DN200mm供水管供给厂区生活</w:t>
      </w:r>
      <w:r>
        <w:rPr>
          <w:rFonts w:hint="eastAsia" w:ascii="Times New Roman" w:hAnsi="Times New Roman" w:eastAsia="宋体" w:cs="Times New Roman"/>
          <w:color w:val="auto"/>
          <w:sz w:val="24"/>
          <w:szCs w:val="24"/>
          <w:lang w:val="en-US" w:eastAsia="zh-CN"/>
        </w:rPr>
        <w:t>生产</w:t>
      </w:r>
      <w:r>
        <w:rPr>
          <w:rFonts w:hint="eastAsia" w:ascii="Times New Roman" w:hAnsi="Times New Roman" w:eastAsia="宋体" w:cs="Times New Roman"/>
          <w:color w:val="auto"/>
          <w:sz w:val="24"/>
          <w:szCs w:val="24"/>
        </w:rPr>
        <w:t>用水及消防水池补水。接管点水压≥0.35MPa</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rPr>
        <w:t>生产、生活及循环冷却水的补充水等接入给水管网。</w:t>
      </w:r>
    </w:p>
    <w:p w14:paraId="413CBFCA">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消防水池泵房内设室内消火栓加压泵2台，1用1备，水泵参数为XBD6/25-DL，Q=25L/s，H=60m，N=30KW。三车间楼梯间顶设置1座20m³高位消防水箱，供给火灾初期消防用水。</w:t>
      </w:r>
    </w:p>
    <w:p w14:paraId="60D8912B">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本工程室外生产、生活及消防采用同一给水管网。在厂区内成环状布置，室外供水管网主干管管径采用DN200，室外环状消防给水管网上设置室外消火栓，间距小于120m。</w:t>
      </w:r>
    </w:p>
    <w:p w14:paraId="294CA7BA">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2、排水</w:t>
      </w:r>
    </w:p>
    <w:p w14:paraId="7301F2BE">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本工程车间内的生产排水、生活排水根据污污分流的原则采用分流制排水系统，运营期的废水主要包括生产废水、生活污水、初期雨水。本项目污水管道布置原则：厂区管道的辐射，与厂区的道路、建筑物、构筑物等协调，大直径管道应该靠近管架柱子布置，管架设计，预留10-20%余量。</w:t>
      </w:r>
    </w:p>
    <w:p w14:paraId="34DBF070">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①生产废水：生产废水在各车间外废水罐收集后，泵排入厂区污水处理站，经自建污水处理设施预处理后排入园区污水处理厂（津市高新技术产业园污水处理厂）。</w:t>
      </w:r>
    </w:p>
    <w:p w14:paraId="055CA267">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②生活污水：本项目产生的生活污水经生活污水管收集后，经化粪池处理后排入厂区污水处理站处理，然后排入园区污水处理厂；</w:t>
      </w:r>
    </w:p>
    <w:p w14:paraId="5178BFFA">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③初期雨水：全场初期雨水经厂区雨水管收集至初期雨水收集池，再进入综合废水调节池，然后经过厂区污水处理站处理后排入城市污水管网；其他雨水就近排入厂区雨水管网后汇入园区雨水管网。</w:t>
      </w:r>
    </w:p>
    <w:p w14:paraId="15F6583D">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④地面冲洗废水：每天对生产车间地面进行清洗，产生的污染物为原辅料的撒漏，设备运行期间的跑冒滴漏，收集方式为在车间地面四周设置导流沟，对地面冲洗废水进行集中收集后引入厂区内污水管道，排入厂区污水处理站进行集中处理。</w:t>
      </w:r>
    </w:p>
    <w:p w14:paraId="459C6761">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⑤各车间生产冷凝水收集进全部回用于生产，屋面雨水管道整改集中收集排放到雨水管道中，杜绝污水、生产冷凝水进入雨水道。</w:t>
      </w:r>
    </w:p>
    <w:p w14:paraId="4C26E648">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⑥将循环冷却水和冷凝水单独收集，经凉水塔处理后排入循环水池予以循环使用，循环水排污水定期用泵抽入污水处理站处理后，经公司废水总排口排入园区工业污水处理厂。</w:t>
      </w:r>
      <w:r>
        <w:rPr>
          <w:rFonts w:hint="eastAsia" w:ascii="Times New Roman" w:hAnsi="Times New Roman" w:eastAsia="宋体" w:cs="Times New Roman"/>
          <w:color w:val="auto"/>
          <w:sz w:val="24"/>
          <w:szCs w:val="24"/>
          <w:lang w:val="en-US" w:eastAsia="zh-CN"/>
        </w:rPr>
        <w:t>厂区内</w:t>
      </w:r>
      <w:r>
        <w:rPr>
          <w:rFonts w:hint="eastAsia" w:ascii="Times New Roman" w:hAnsi="Times New Roman" w:eastAsia="宋体" w:cs="Times New Roman"/>
          <w:color w:val="auto"/>
          <w:sz w:val="24"/>
          <w:szCs w:val="24"/>
        </w:rPr>
        <w:t>一</w:t>
      </w:r>
      <w:r>
        <w:rPr>
          <w:rFonts w:hint="eastAsia" w:ascii="Times New Roman" w:hAnsi="Times New Roman" w:eastAsia="宋体" w:cs="Times New Roman"/>
          <w:color w:val="auto"/>
          <w:sz w:val="24"/>
          <w:szCs w:val="24"/>
          <w:lang w:val="en-US" w:eastAsia="zh-CN"/>
        </w:rPr>
        <w:t>座1200</w:t>
      </w:r>
      <w:r>
        <w:rPr>
          <w:rFonts w:hint="eastAsia" w:ascii="Times New Roman" w:hAnsi="Times New Roman" w:eastAsia="宋体" w:cs="Times New Roman"/>
          <w:color w:val="auto"/>
          <w:sz w:val="24"/>
          <w:szCs w:val="24"/>
        </w:rPr>
        <w:t>m³/h热水</w:t>
      </w:r>
      <w:r>
        <w:rPr>
          <w:rFonts w:hint="eastAsia" w:ascii="Times New Roman" w:hAnsi="Times New Roman" w:eastAsia="宋体" w:cs="Times New Roman"/>
          <w:color w:val="auto"/>
          <w:sz w:val="24"/>
          <w:szCs w:val="24"/>
          <w:lang w:val="en-US" w:eastAsia="zh-CN"/>
        </w:rPr>
        <w:t>循环池</w:t>
      </w:r>
      <w:r>
        <w:rPr>
          <w:rFonts w:hint="eastAsia" w:ascii="Times New Roman" w:hAnsi="Times New Roman" w:eastAsia="宋体" w:cs="Times New Roman"/>
          <w:color w:val="auto"/>
          <w:sz w:val="24"/>
          <w:szCs w:val="24"/>
        </w:rPr>
        <w:t>，二台</w:t>
      </w:r>
      <w:r>
        <w:rPr>
          <w:rFonts w:hint="eastAsia" w:ascii="Times New Roman" w:hAnsi="Times New Roman" w:eastAsia="宋体" w:cs="Times New Roman"/>
          <w:color w:val="auto"/>
          <w:sz w:val="24"/>
          <w:szCs w:val="24"/>
          <w:lang w:val="en-US" w:eastAsia="zh-CN"/>
        </w:rPr>
        <w:t>600</w:t>
      </w:r>
      <w:r>
        <w:rPr>
          <w:rFonts w:hint="eastAsia" w:ascii="Times New Roman" w:hAnsi="Times New Roman" w:eastAsia="宋体" w:cs="Times New Roman"/>
          <w:color w:val="auto"/>
          <w:sz w:val="24"/>
          <w:szCs w:val="24"/>
        </w:rPr>
        <w:t>m³/h普通凉水塔</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二台500</w:t>
      </w:r>
      <w:r>
        <w:rPr>
          <w:rFonts w:hint="eastAsia" w:ascii="Times New Roman" w:hAnsi="Times New Roman" w:eastAsia="宋体" w:cs="Times New Roman"/>
          <w:color w:val="auto"/>
          <w:sz w:val="24"/>
          <w:szCs w:val="24"/>
        </w:rPr>
        <w:t>m³/h普通凉水塔，对整体厂区循环水进行降温处理后重复利用，本项目依托上述设备，不新增冷却塔。</w:t>
      </w:r>
    </w:p>
    <w:p w14:paraId="6CF7E6B1">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val="en-US" w:eastAsia="zh-CN"/>
        </w:rPr>
        <w:t>3</w:t>
      </w:r>
      <w:r>
        <w:rPr>
          <w:rFonts w:hint="eastAsia" w:ascii="Times New Roman" w:hAnsi="Times New Roman" w:eastAsia="宋体" w:cs="Times New Roman"/>
          <w:color w:val="auto"/>
          <w:sz w:val="24"/>
          <w:szCs w:val="24"/>
        </w:rPr>
        <w:t>、供电</w:t>
      </w:r>
    </w:p>
    <w:p w14:paraId="61B0EFB7">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依托现有，现厂区已引入一路10KV市政电源，中心变电所设置在动力车间内，供配电电压等级均为～380/220V，设置</w:t>
      </w:r>
      <w:r>
        <w:rPr>
          <w:rFonts w:hint="eastAsia" w:ascii="Times New Roman" w:hAnsi="Times New Roman" w:eastAsia="宋体" w:cs="Times New Roman"/>
          <w:color w:val="auto"/>
          <w:sz w:val="24"/>
          <w:szCs w:val="24"/>
          <w:lang w:val="en-US" w:eastAsia="zh-CN"/>
        </w:rPr>
        <w:t>三</w:t>
      </w:r>
      <w:r>
        <w:rPr>
          <w:rFonts w:hint="eastAsia" w:ascii="Times New Roman" w:hAnsi="Times New Roman" w:eastAsia="宋体" w:cs="Times New Roman"/>
          <w:color w:val="auto"/>
          <w:sz w:val="24"/>
          <w:szCs w:val="24"/>
        </w:rPr>
        <w:t>台柴油发电机作为消防备用及部分重要工艺设备备用电源。柴油发电机置于厂区动力车间内。</w:t>
      </w:r>
    </w:p>
    <w:p w14:paraId="0172E5D4">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val="en-US" w:eastAsia="zh-CN"/>
        </w:rPr>
        <w:t>4</w:t>
      </w:r>
      <w:r>
        <w:rPr>
          <w:rFonts w:ascii="Times New Roman" w:hAnsi="Times New Roman" w:eastAsia="宋体" w:cs="Times New Roman"/>
          <w:color w:val="auto"/>
          <w:sz w:val="24"/>
          <w:szCs w:val="24"/>
        </w:rPr>
        <w:t>、供热</w:t>
      </w:r>
    </w:p>
    <w:p w14:paraId="1573E58D">
      <w:pPr>
        <w:spacing w:line="360" w:lineRule="auto"/>
        <w:ind w:firstLine="480" w:firstLineChars="200"/>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rPr>
        <w:t>依托现有，</w:t>
      </w:r>
      <w:r>
        <w:rPr>
          <w:rFonts w:ascii="Times New Roman" w:hAnsi="Times New Roman" w:eastAsia="宋体" w:cs="Times New Roman"/>
          <w:color w:val="auto"/>
          <w:sz w:val="24"/>
          <w:szCs w:val="24"/>
        </w:rPr>
        <w:t>由常德津市宁能热电有限公司提供</w:t>
      </w:r>
      <w:r>
        <w:rPr>
          <w:rFonts w:hint="eastAsia" w:ascii="Times New Roman" w:hAnsi="Times New Roman" w:eastAsia="宋体" w:cs="Times New Roman"/>
          <w:color w:val="auto"/>
          <w:sz w:val="24"/>
          <w:szCs w:val="24"/>
        </w:rPr>
        <w:t>蒸汽</w:t>
      </w:r>
      <w:r>
        <w:rPr>
          <w:rFonts w:hint="eastAsia" w:ascii="Times New Roman" w:hAnsi="Times New Roman" w:eastAsia="宋体" w:cs="Times New Roman"/>
          <w:color w:val="auto"/>
          <w:sz w:val="24"/>
          <w:szCs w:val="24"/>
          <w:lang w:eastAsia="zh-CN"/>
        </w:rPr>
        <w:t>。</w:t>
      </w:r>
    </w:p>
    <w:p w14:paraId="24720649">
      <w:pPr>
        <w:numPr>
          <w:ilvl w:val="0"/>
          <w:numId w:val="5"/>
        </w:numPr>
        <w:spacing w:line="360" w:lineRule="auto"/>
        <w:ind w:firstLine="480" w:firstLineChars="2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储运系统</w:t>
      </w:r>
    </w:p>
    <w:p w14:paraId="5F1CB6B3">
      <w:pPr>
        <w:numPr>
          <w:ilvl w:val="0"/>
          <w:numId w:val="0"/>
        </w:numPr>
        <w:spacing w:line="360" w:lineRule="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 xml:space="preserve">    本项目所使用的氢氧化钠使用罐装，厂区内已设置有1座40m</w:t>
      </w:r>
      <w:r>
        <w:rPr>
          <w:rFonts w:hint="eastAsia" w:ascii="Times New Roman" w:hAnsi="Times New Roman" w:eastAsia="宋体" w:cs="Times New Roman"/>
          <w:color w:val="auto"/>
          <w:sz w:val="24"/>
          <w:szCs w:val="24"/>
          <w:vertAlign w:val="superscript"/>
          <w:lang w:val="en-US" w:eastAsia="zh-CN"/>
        </w:rPr>
        <w:t>3</w:t>
      </w:r>
      <w:r>
        <w:rPr>
          <w:rFonts w:hint="eastAsia" w:ascii="Times New Roman" w:hAnsi="Times New Roman" w:eastAsia="宋体" w:cs="Times New Roman"/>
          <w:color w:val="auto"/>
          <w:sz w:val="24"/>
          <w:szCs w:val="24"/>
          <w:lang w:val="en-US" w:eastAsia="zh-CN"/>
        </w:rPr>
        <w:t>的氢氧化钠储罐。储罐中的原料经输送泵分别送至生产车间，利用气液平衡卸料法将原料卸入储罐。</w:t>
      </w:r>
    </w:p>
    <w:p w14:paraId="1A3A1390">
      <w:pPr>
        <w:pStyle w:val="4"/>
        <w:bidi w:val="0"/>
      </w:pPr>
      <w:r>
        <w:t>3.2.9</w:t>
      </w:r>
      <w:r>
        <w:rPr>
          <w:rFonts w:hint="eastAsia"/>
        </w:rPr>
        <w:t>劳动定员及工作制度</w:t>
      </w:r>
    </w:p>
    <w:p w14:paraId="410D3DC6">
      <w:pPr>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本项目</w:t>
      </w:r>
      <w:r>
        <w:rPr>
          <w:rFonts w:hint="eastAsia" w:ascii="Times New Roman" w:hAnsi="Times New Roman" w:eastAsia="宋体" w:cs="Times New Roman"/>
          <w:color w:val="auto"/>
          <w:sz w:val="24"/>
          <w:szCs w:val="24"/>
          <w:lang w:val="en-US" w:eastAsia="zh-CN"/>
        </w:rPr>
        <w:t>劳动定员80</w:t>
      </w:r>
      <w:r>
        <w:rPr>
          <w:rFonts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新增员工30人，</w:t>
      </w:r>
      <w:r>
        <w:rPr>
          <w:rFonts w:ascii="Times New Roman" w:hAnsi="Times New Roman" w:eastAsia="宋体" w:cs="Times New Roman"/>
          <w:color w:val="auto"/>
          <w:sz w:val="24"/>
          <w:szCs w:val="24"/>
        </w:rPr>
        <w:t>依据不同生产工艺生产需求对人员职责及岗位进行分配，</w:t>
      </w:r>
      <w:r>
        <w:rPr>
          <w:rFonts w:hint="eastAsia" w:ascii="Times New Roman" w:hAnsi="Times New Roman" w:eastAsia="宋体" w:cs="Times New Roman"/>
          <w:color w:val="auto"/>
          <w:sz w:val="24"/>
          <w:szCs w:val="24"/>
        </w:rPr>
        <w:t>其中管理人员、技术人员10人</w:t>
      </w:r>
      <w:r>
        <w:rPr>
          <w:rFonts w:hint="eastAsia" w:ascii="Times New Roman" w:hAnsi="Times New Roman" w:eastAsia="宋体" w:cs="Times New Roman"/>
          <w:color w:val="auto"/>
          <w:sz w:val="24"/>
          <w:szCs w:val="24"/>
          <w:lang w:eastAsia="zh-CN"/>
        </w:rPr>
        <w:t>，除管理人员、技术人员为常白班外，其余均为三班制生产，每班8小时，每年工作日300天</w:t>
      </w:r>
      <w:r>
        <w:rPr>
          <w:rFonts w:ascii="Times New Roman" w:hAnsi="Times New Roman" w:eastAsia="宋体" w:cs="Times New Roman"/>
          <w:color w:val="auto"/>
          <w:sz w:val="24"/>
          <w:szCs w:val="24"/>
        </w:rPr>
        <w:t>。</w:t>
      </w:r>
    </w:p>
    <w:p w14:paraId="3407B331">
      <w:pPr>
        <w:pStyle w:val="4"/>
        <w:bidi w:val="0"/>
      </w:pPr>
      <w:r>
        <w:t>3.2.10</w:t>
      </w:r>
      <w:r>
        <w:rPr>
          <w:rFonts w:hint="eastAsia"/>
        </w:rPr>
        <w:t>项目总投资及环保投资</w:t>
      </w:r>
    </w:p>
    <w:p w14:paraId="2672259C">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本项目总投资为</w:t>
      </w:r>
      <w:r>
        <w:rPr>
          <w:rFonts w:hint="eastAsia" w:ascii="Times New Roman" w:hAnsi="Times New Roman" w:eastAsia="宋体" w:cs="Times New Roman"/>
          <w:color w:val="auto"/>
          <w:sz w:val="24"/>
          <w:szCs w:val="24"/>
          <w:lang w:val="en-US" w:eastAsia="zh-CN"/>
        </w:rPr>
        <w:t>1000</w:t>
      </w:r>
      <w:r>
        <w:rPr>
          <w:rFonts w:hint="eastAsia" w:ascii="Times New Roman" w:hAnsi="Times New Roman" w:eastAsia="宋体" w:cs="Times New Roman"/>
          <w:color w:val="auto"/>
          <w:sz w:val="24"/>
          <w:szCs w:val="24"/>
        </w:rPr>
        <w:t>万</w:t>
      </w:r>
      <w:r>
        <w:rPr>
          <w:rFonts w:ascii="Times New Roman" w:hAnsi="Times New Roman" w:eastAsia="宋体" w:cs="Times New Roman"/>
          <w:color w:val="auto"/>
          <w:sz w:val="24"/>
          <w:szCs w:val="24"/>
        </w:rPr>
        <w:t>元，</w:t>
      </w:r>
      <w:r>
        <w:rPr>
          <w:rFonts w:hint="eastAsia" w:ascii="Times New Roman" w:hAnsi="Times New Roman" w:eastAsia="宋体" w:cs="Times New Roman"/>
          <w:color w:val="auto"/>
          <w:sz w:val="24"/>
          <w:szCs w:val="24"/>
        </w:rPr>
        <w:t>本项目依托</w:t>
      </w:r>
      <w:r>
        <w:rPr>
          <w:rFonts w:hint="eastAsia" w:ascii="Times New Roman" w:hAnsi="Times New Roman" w:eastAsia="宋体" w:cs="Times New Roman"/>
          <w:color w:val="auto"/>
          <w:sz w:val="24"/>
          <w:szCs w:val="24"/>
          <w:lang w:val="en-US" w:eastAsia="zh-CN"/>
        </w:rPr>
        <w:t>现有</w:t>
      </w:r>
      <w:r>
        <w:rPr>
          <w:rFonts w:hint="eastAsia" w:ascii="Times New Roman" w:hAnsi="Times New Roman" w:eastAsia="宋体" w:cs="Times New Roman"/>
          <w:color w:val="auto"/>
          <w:sz w:val="24"/>
          <w:szCs w:val="24"/>
        </w:rPr>
        <w:t>环保设施，不新增环保设施，</w:t>
      </w:r>
      <w:r>
        <w:rPr>
          <w:rFonts w:hint="eastAsia" w:ascii="Times New Roman" w:hAnsi="Times New Roman" w:eastAsia="宋体" w:cs="Times New Roman"/>
          <w:color w:val="auto"/>
          <w:sz w:val="24"/>
          <w:szCs w:val="24"/>
          <w:lang w:val="en-US" w:eastAsia="zh-CN"/>
        </w:rPr>
        <w:t>存在“以新带老”环保投资</w:t>
      </w:r>
      <w:r>
        <w:rPr>
          <w:rFonts w:ascii="Times New Roman" w:hAnsi="Times New Roman" w:eastAsia="宋体" w:cs="Times New Roman"/>
          <w:color w:val="auto"/>
          <w:sz w:val="24"/>
          <w:szCs w:val="24"/>
        </w:rPr>
        <w:t>。</w:t>
      </w:r>
    </w:p>
    <w:p w14:paraId="04199E1A">
      <w:pPr>
        <w:pStyle w:val="4"/>
        <w:bidi w:val="0"/>
      </w:pPr>
      <w:r>
        <w:t>3.2.11</w:t>
      </w:r>
      <w:r>
        <w:rPr>
          <w:rFonts w:hint="eastAsia"/>
        </w:rPr>
        <w:t>项目实施进度计划</w:t>
      </w:r>
    </w:p>
    <w:p w14:paraId="65D30969">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本项目于2</w:t>
      </w:r>
      <w:r>
        <w:rPr>
          <w:rFonts w:ascii="Times New Roman" w:hAnsi="Times New Roman" w:eastAsia="宋体" w:cs="Times New Roman"/>
          <w:color w:val="auto"/>
          <w:sz w:val="24"/>
          <w:szCs w:val="24"/>
        </w:rPr>
        <w:t>02</w:t>
      </w:r>
      <w:r>
        <w:rPr>
          <w:rFonts w:hint="eastAsia" w:ascii="Times New Roman" w:hAnsi="Times New Roman" w:eastAsia="宋体" w:cs="Times New Roman"/>
          <w:color w:val="auto"/>
          <w:sz w:val="24"/>
          <w:szCs w:val="24"/>
        </w:rPr>
        <w:t>4年</w:t>
      </w:r>
      <w:r>
        <w:rPr>
          <w:rFonts w:hint="eastAsia" w:ascii="Times New Roman" w:hAnsi="Times New Roman" w:eastAsia="宋体" w:cs="Times New Roman"/>
          <w:color w:val="auto"/>
          <w:sz w:val="24"/>
          <w:szCs w:val="24"/>
          <w:lang w:val="en-US" w:eastAsia="zh-CN"/>
        </w:rPr>
        <w:t>12</w:t>
      </w:r>
      <w:r>
        <w:rPr>
          <w:rFonts w:hint="eastAsia" w:ascii="Times New Roman" w:hAnsi="Times New Roman" w:eastAsia="宋体" w:cs="Times New Roman"/>
          <w:color w:val="auto"/>
          <w:sz w:val="24"/>
          <w:szCs w:val="24"/>
        </w:rPr>
        <w:t>月开工建设，完成设备安装；</w:t>
      </w:r>
    </w:p>
    <w:p w14:paraId="6C1CE34C">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预计于2</w:t>
      </w:r>
      <w:r>
        <w:rPr>
          <w:rFonts w:ascii="Times New Roman" w:hAnsi="Times New Roman" w:eastAsia="宋体" w:cs="Times New Roman"/>
          <w:color w:val="auto"/>
          <w:sz w:val="24"/>
          <w:szCs w:val="24"/>
        </w:rPr>
        <w:t>02</w:t>
      </w:r>
      <w:r>
        <w:rPr>
          <w:rFonts w:hint="eastAsia" w:ascii="Times New Roman" w:hAnsi="Times New Roman" w:eastAsia="宋体" w:cs="Times New Roman"/>
          <w:color w:val="auto"/>
          <w:sz w:val="24"/>
          <w:szCs w:val="24"/>
        </w:rPr>
        <w:t>5年</w:t>
      </w:r>
      <w:r>
        <w:rPr>
          <w:rFonts w:hint="eastAsia" w:ascii="Times New Roman" w:hAnsi="Times New Roman" w:eastAsia="宋体" w:cs="Times New Roman"/>
          <w:color w:val="auto"/>
          <w:sz w:val="24"/>
          <w:szCs w:val="24"/>
          <w:lang w:val="en-US" w:eastAsia="zh-CN"/>
        </w:rPr>
        <w:t>6</w:t>
      </w:r>
      <w:r>
        <w:rPr>
          <w:rFonts w:hint="eastAsia" w:ascii="Times New Roman" w:hAnsi="Times New Roman" w:eastAsia="宋体" w:cs="Times New Roman"/>
          <w:color w:val="auto"/>
          <w:sz w:val="24"/>
          <w:szCs w:val="24"/>
        </w:rPr>
        <w:t>月建成投产</w:t>
      </w:r>
      <w:r>
        <w:rPr>
          <w:rFonts w:ascii="Times New Roman" w:hAnsi="Times New Roman" w:eastAsia="宋体" w:cs="Times New Roman"/>
          <w:color w:val="auto"/>
          <w:sz w:val="24"/>
          <w:szCs w:val="24"/>
        </w:rPr>
        <w:t>。</w:t>
      </w:r>
    </w:p>
    <w:p w14:paraId="2B48D8DD">
      <w:pPr>
        <w:spacing w:line="360" w:lineRule="auto"/>
        <w:ind w:firstLine="480" w:firstLineChars="200"/>
        <w:rPr>
          <w:rFonts w:ascii="Times New Roman" w:hAnsi="Times New Roman" w:eastAsia="宋体" w:cs="Times New Roman"/>
          <w:color w:val="FF0000"/>
          <w:sz w:val="24"/>
          <w:szCs w:val="24"/>
        </w:rPr>
      </w:pPr>
    </w:p>
    <w:p w14:paraId="2FAC656B">
      <w:pPr>
        <w:spacing w:line="360" w:lineRule="auto"/>
        <w:ind w:firstLine="480" w:firstLineChars="200"/>
        <w:rPr>
          <w:rFonts w:ascii="Times New Roman" w:hAnsi="Times New Roman" w:eastAsia="宋体" w:cs="Times New Roman"/>
          <w:color w:val="FF0000"/>
          <w:sz w:val="24"/>
          <w:szCs w:val="24"/>
          <w:highlight w:val="green"/>
          <w:u w:val="single"/>
        </w:rPr>
        <w:sectPr>
          <w:pgSz w:w="11906" w:h="16838"/>
          <w:pgMar w:top="1440" w:right="1800" w:bottom="1440" w:left="1800" w:header="851" w:footer="992" w:gutter="0"/>
          <w:pgNumType w:fmt="numberInDash"/>
          <w:cols w:space="720" w:num="1"/>
          <w:docGrid w:type="lines" w:linePitch="312" w:charSpace="0"/>
        </w:sectPr>
      </w:pPr>
    </w:p>
    <w:p w14:paraId="39A008E7">
      <w:pPr>
        <w:pStyle w:val="2"/>
        <w:bidi w:val="0"/>
      </w:pPr>
      <w:bookmarkStart w:id="188" w:name="_Toc535150339"/>
      <w:bookmarkStart w:id="189" w:name="_Toc17206454"/>
      <w:bookmarkStart w:id="190" w:name="_Toc511378305"/>
      <w:bookmarkStart w:id="191" w:name="_Toc32411"/>
      <w:bookmarkStart w:id="192" w:name="_Toc535149945"/>
      <w:bookmarkStart w:id="193" w:name="_Toc7254"/>
      <w:bookmarkStart w:id="194" w:name="_Toc146781129"/>
      <w:bookmarkStart w:id="195" w:name="_Toc5128321"/>
      <w:bookmarkStart w:id="196" w:name="_Toc116571867"/>
      <w:bookmarkStart w:id="197" w:name="_Toc517849909"/>
      <w:r>
        <w:t>4、工程分析</w:t>
      </w:r>
      <w:bookmarkEnd w:id="188"/>
      <w:bookmarkEnd w:id="189"/>
      <w:bookmarkEnd w:id="190"/>
      <w:bookmarkEnd w:id="191"/>
      <w:bookmarkEnd w:id="192"/>
      <w:bookmarkEnd w:id="193"/>
      <w:bookmarkEnd w:id="194"/>
      <w:bookmarkEnd w:id="195"/>
      <w:bookmarkEnd w:id="196"/>
      <w:bookmarkEnd w:id="197"/>
    </w:p>
    <w:p w14:paraId="684BC35B">
      <w:pPr>
        <w:bidi w:val="0"/>
        <w:rPr>
          <w:rFonts w:hint="default" w:eastAsiaTheme="minorEastAsia"/>
          <w:lang w:val="en-US" w:eastAsia="zh-CN"/>
        </w:rPr>
      </w:pPr>
      <w:bookmarkStart w:id="198" w:name="_Toc535150340"/>
      <w:bookmarkStart w:id="199" w:name="_Toc116571868"/>
      <w:bookmarkStart w:id="200" w:name="_Toc446"/>
      <w:bookmarkStart w:id="201" w:name="_Toc511378306"/>
      <w:bookmarkStart w:id="202" w:name="_Toc5128322"/>
      <w:bookmarkStart w:id="203" w:name="_Toc146781130"/>
      <w:bookmarkStart w:id="204" w:name="_Toc1632"/>
      <w:bookmarkStart w:id="205" w:name="_Toc17206455"/>
      <w:bookmarkStart w:id="206" w:name="_Toc535149946"/>
      <w:bookmarkStart w:id="207" w:name="_Toc517849910"/>
      <w:r>
        <w:rPr>
          <w:rFonts w:hint="eastAsia"/>
          <w:lang w:val="en-US" w:eastAsia="zh-CN"/>
        </w:rPr>
        <w:t>涉密删除</w:t>
      </w:r>
    </w:p>
    <w:bookmarkEnd w:id="198"/>
    <w:bookmarkEnd w:id="199"/>
    <w:bookmarkEnd w:id="200"/>
    <w:bookmarkEnd w:id="201"/>
    <w:bookmarkEnd w:id="202"/>
    <w:bookmarkEnd w:id="203"/>
    <w:bookmarkEnd w:id="204"/>
    <w:bookmarkEnd w:id="205"/>
    <w:bookmarkEnd w:id="206"/>
    <w:bookmarkEnd w:id="207"/>
    <w:p w14:paraId="23CC6944">
      <w:pPr>
        <w:pStyle w:val="4"/>
        <w:spacing w:before="156" w:beforeLines="50" w:after="156" w:afterLines="50" w:line="360" w:lineRule="auto"/>
        <w:rPr>
          <w:rFonts w:ascii="Times New Roman" w:hAnsi="Times New Roman"/>
          <w:bCs w:val="0"/>
          <w:color w:val="auto"/>
          <w:kern w:val="0"/>
          <w:sz w:val="24"/>
          <w:szCs w:val="24"/>
        </w:rPr>
      </w:pPr>
      <w:bookmarkStart w:id="208" w:name="_Hlk172181024"/>
      <w:r>
        <w:rPr>
          <w:rFonts w:ascii="Times New Roman" w:hAnsi="Times New Roman"/>
          <w:bCs w:val="0"/>
          <w:color w:val="auto"/>
          <w:kern w:val="0"/>
          <w:sz w:val="24"/>
          <w:szCs w:val="24"/>
        </w:rPr>
        <w:t>4.4.</w:t>
      </w:r>
      <w:r>
        <w:rPr>
          <w:rFonts w:hint="eastAsia" w:ascii="Times New Roman" w:hAnsi="Times New Roman"/>
          <w:bCs w:val="0"/>
          <w:color w:val="auto"/>
          <w:kern w:val="0"/>
          <w:sz w:val="24"/>
          <w:szCs w:val="24"/>
        </w:rPr>
        <w:t>5污染源产排情况汇总</w:t>
      </w:r>
    </w:p>
    <w:p w14:paraId="73EF09DA">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根据前述对本项目营运期工程的污染源分析，项目工程营运后各污染源产生及排放的污染物情况汇总见下表。</w:t>
      </w:r>
    </w:p>
    <w:p w14:paraId="25233502">
      <w:pPr>
        <w:spacing w:line="360" w:lineRule="auto"/>
        <w:ind w:firstLine="480" w:firstLineChars="200"/>
        <w:rPr>
          <w:rFonts w:ascii="Times New Roman" w:hAnsi="Times New Roman" w:eastAsia="宋体" w:cs="Times New Roman"/>
          <w:color w:val="FF0000"/>
          <w:sz w:val="24"/>
          <w:szCs w:val="24"/>
        </w:rPr>
        <w:sectPr>
          <w:pgSz w:w="11906" w:h="16838"/>
          <w:pgMar w:top="1440" w:right="1800" w:bottom="1440" w:left="1800" w:header="851" w:footer="992" w:gutter="0"/>
          <w:pgNumType w:fmt="numberInDash"/>
          <w:cols w:space="425" w:num="1"/>
          <w:docGrid w:type="lines" w:linePitch="312" w:charSpace="0"/>
        </w:sectPr>
      </w:pPr>
    </w:p>
    <w:p w14:paraId="76157114">
      <w:pPr>
        <w:pStyle w:val="6"/>
        <w:bidi w:val="0"/>
      </w:pPr>
      <w:r>
        <w:t>表4.4</w:t>
      </w:r>
      <w:r>
        <w:rPr>
          <w:rFonts w:hint="eastAsia"/>
          <w:lang w:val="en-US" w:eastAsia="zh-CN"/>
        </w:rPr>
        <w:t>.5</w:t>
      </w:r>
      <w:r>
        <w:t>-</w:t>
      </w:r>
      <w:r>
        <w:rPr>
          <w:rFonts w:hint="eastAsia"/>
        </w:rPr>
        <w:t>1</w:t>
      </w:r>
      <w:r>
        <w:t xml:space="preserve">    </w:t>
      </w:r>
      <w:r>
        <w:rPr>
          <w:rFonts w:hint="eastAsia"/>
        </w:rPr>
        <w:t>拟建项目污染物产排情况一览表</w:t>
      </w:r>
    </w:p>
    <w:tbl>
      <w:tblPr>
        <w:tblStyle w:val="42"/>
        <w:tblW w:w="144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1"/>
        <w:gridCol w:w="1909"/>
        <w:gridCol w:w="1050"/>
        <w:gridCol w:w="1596"/>
        <w:gridCol w:w="1391"/>
        <w:gridCol w:w="1391"/>
        <w:gridCol w:w="1213"/>
        <w:gridCol w:w="1034"/>
        <w:gridCol w:w="1410"/>
        <w:gridCol w:w="1388"/>
        <w:gridCol w:w="1350"/>
      </w:tblGrid>
      <w:tr w14:paraId="5B598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71" w:type="dxa"/>
            <w:vMerge w:val="restart"/>
            <w:vAlign w:val="center"/>
          </w:tcPr>
          <w:p w14:paraId="2FA00B32">
            <w:pPr>
              <w:jc w:val="center"/>
              <w:rPr>
                <w:rFonts w:ascii="Times New Roman" w:hAnsi="Times New Roman" w:eastAsia="宋体" w:cs="Times New Roman"/>
                <w:color w:val="auto"/>
                <w:sz w:val="22"/>
              </w:rPr>
            </w:pPr>
            <w:r>
              <w:rPr>
                <w:rFonts w:hint="eastAsia" w:ascii="Times New Roman" w:hAnsi="Times New Roman" w:eastAsia="宋体" w:cs="Times New Roman"/>
                <w:color w:val="auto"/>
                <w:sz w:val="22"/>
              </w:rPr>
              <w:t>类别</w:t>
            </w:r>
          </w:p>
        </w:tc>
        <w:tc>
          <w:tcPr>
            <w:tcW w:w="1909" w:type="dxa"/>
            <w:vMerge w:val="restart"/>
            <w:vAlign w:val="center"/>
          </w:tcPr>
          <w:p w14:paraId="29DA4B9E">
            <w:pPr>
              <w:jc w:val="center"/>
              <w:rPr>
                <w:rFonts w:ascii="Times New Roman" w:hAnsi="Times New Roman" w:eastAsia="宋体" w:cs="Times New Roman"/>
                <w:color w:val="auto"/>
                <w:sz w:val="22"/>
              </w:rPr>
            </w:pPr>
            <w:r>
              <w:rPr>
                <w:rFonts w:hint="eastAsia" w:ascii="Times New Roman" w:hAnsi="Times New Roman" w:eastAsia="宋体" w:cs="Times New Roman"/>
                <w:color w:val="auto"/>
                <w:sz w:val="22"/>
              </w:rPr>
              <w:t>污染源</w:t>
            </w:r>
          </w:p>
        </w:tc>
        <w:tc>
          <w:tcPr>
            <w:tcW w:w="1050" w:type="dxa"/>
            <w:vMerge w:val="restart"/>
            <w:vAlign w:val="center"/>
          </w:tcPr>
          <w:p w14:paraId="3693A6B2">
            <w:pPr>
              <w:jc w:val="center"/>
              <w:rPr>
                <w:rFonts w:ascii="Times New Roman" w:hAnsi="Times New Roman" w:eastAsia="宋体" w:cs="Times New Roman"/>
                <w:color w:val="auto"/>
                <w:sz w:val="22"/>
              </w:rPr>
            </w:pPr>
            <w:r>
              <w:rPr>
                <w:rFonts w:hint="eastAsia" w:ascii="Times New Roman" w:hAnsi="Times New Roman" w:eastAsia="宋体" w:cs="Times New Roman"/>
                <w:color w:val="auto"/>
                <w:sz w:val="22"/>
              </w:rPr>
              <w:t>排放口编号</w:t>
            </w:r>
          </w:p>
        </w:tc>
        <w:tc>
          <w:tcPr>
            <w:tcW w:w="1596" w:type="dxa"/>
            <w:vMerge w:val="restart"/>
            <w:vAlign w:val="center"/>
          </w:tcPr>
          <w:p w14:paraId="596EBA47">
            <w:pPr>
              <w:jc w:val="center"/>
              <w:rPr>
                <w:rFonts w:ascii="Times New Roman" w:hAnsi="Times New Roman" w:eastAsia="宋体" w:cs="Times New Roman"/>
                <w:color w:val="auto"/>
                <w:sz w:val="22"/>
              </w:rPr>
            </w:pPr>
            <w:r>
              <w:rPr>
                <w:rFonts w:hint="eastAsia" w:ascii="Times New Roman" w:hAnsi="Times New Roman" w:eastAsia="宋体" w:cs="Times New Roman"/>
                <w:color w:val="auto"/>
                <w:sz w:val="22"/>
              </w:rPr>
              <w:t>主要污染物</w:t>
            </w:r>
          </w:p>
        </w:tc>
        <w:tc>
          <w:tcPr>
            <w:tcW w:w="3995" w:type="dxa"/>
            <w:gridSpan w:val="3"/>
            <w:vAlign w:val="center"/>
          </w:tcPr>
          <w:p w14:paraId="07ED17CE">
            <w:pPr>
              <w:jc w:val="center"/>
              <w:rPr>
                <w:rFonts w:ascii="Times New Roman" w:hAnsi="Times New Roman" w:eastAsia="宋体" w:cs="Times New Roman"/>
                <w:color w:val="auto"/>
                <w:sz w:val="22"/>
              </w:rPr>
            </w:pPr>
            <w:r>
              <w:rPr>
                <w:rFonts w:hint="eastAsia" w:ascii="Times New Roman" w:hAnsi="Times New Roman" w:eastAsia="宋体" w:cs="Times New Roman"/>
                <w:color w:val="auto"/>
                <w:sz w:val="22"/>
              </w:rPr>
              <w:t>处理前</w:t>
            </w:r>
          </w:p>
        </w:tc>
        <w:tc>
          <w:tcPr>
            <w:tcW w:w="1034" w:type="dxa"/>
            <w:vMerge w:val="restart"/>
            <w:vAlign w:val="center"/>
          </w:tcPr>
          <w:p w14:paraId="373B6704">
            <w:pPr>
              <w:jc w:val="center"/>
              <w:rPr>
                <w:rFonts w:hint="default" w:ascii="Times New Roman" w:hAnsi="Times New Roman" w:eastAsia="宋体" w:cs="Times New Roman"/>
                <w:color w:val="auto"/>
                <w:sz w:val="22"/>
                <w:lang w:val="en-US" w:eastAsia="zh-CN"/>
              </w:rPr>
            </w:pPr>
            <w:r>
              <w:rPr>
                <w:rFonts w:hint="eastAsia" w:ascii="Times New Roman" w:hAnsi="Times New Roman" w:eastAsia="宋体" w:cs="Times New Roman"/>
                <w:color w:val="auto"/>
                <w:sz w:val="22"/>
                <w:lang w:val="en-US" w:eastAsia="zh-CN"/>
              </w:rPr>
              <w:t>处理效率（%）</w:t>
            </w:r>
          </w:p>
        </w:tc>
        <w:tc>
          <w:tcPr>
            <w:tcW w:w="4148" w:type="dxa"/>
            <w:gridSpan w:val="3"/>
            <w:vAlign w:val="center"/>
          </w:tcPr>
          <w:p w14:paraId="2DB6DD6E">
            <w:pPr>
              <w:jc w:val="center"/>
              <w:rPr>
                <w:rFonts w:ascii="Times New Roman" w:hAnsi="Times New Roman" w:eastAsia="宋体" w:cs="Times New Roman"/>
                <w:color w:val="auto"/>
                <w:sz w:val="22"/>
              </w:rPr>
            </w:pPr>
            <w:r>
              <w:rPr>
                <w:rFonts w:hint="eastAsia" w:ascii="Times New Roman" w:hAnsi="Times New Roman" w:eastAsia="宋体" w:cs="Times New Roman"/>
                <w:color w:val="auto"/>
                <w:sz w:val="22"/>
              </w:rPr>
              <w:t>处理后</w:t>
            </w:r>
          </w:p>
        </w:tc>
      </w:tr>
      <w:tr w14:paraId="7D76B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Merge w:val="continue"/>
            <w:vAlign w:val="center"/>
          </w:tcPr>
          <w:p w14:paraId="14093FDE">
            <w:pPr>
              <w:jc w:val="center"/>
              <w:rPr>
                <w:rFonts w:ascii="Times New Roman" w:hAnsi="Times New Roman" w:eastAsia="宋体" w:cs="Times New Roman"/>
                <w:color w:val="auto"/>
                <w:sz w:val="22"/>
              </w:rPr>
            </w:pPr>
          </w:p>
        </w:tc>
        <w:tc>
          <w:tcPr>
            <w:tcW w:w="1909" w:type="dxa"/>
            <w:vMerge w:val="continue"/>
            <w:vAlign w:val="center"/>
          </w:tcPr>
          <w:p w14:paraId="41E3F32D">
            <w:pPr>
              <w:jc w:val="center"/>
              <w:rPr>
                <w:rFonts w:ascii="Times New Roman" w:hAnsi="Times New Roman" w:eastAsia="宋体" w:cs="Times New Roman"/>
                <w:color w:val="auto"/>
                <w:sz w:val="22"/>
              </w:rPr>
            </w:pPr>
          </w:p>
        </w:tc>
        <w:tc>
          <w:tcPr>
            <w:tcW w:w="1050" w:type="dxa"/>
            <w:vMerge w:val="continue"/>
            <w:vAlign w:val="center"/>
          </w:tcPr>
          <w:p w14:paraId="60F4E2C8">
            <w:pPr>
              <w:jc w:val="center"/>
              <w:rPr>
                <w:rFonts w:ascii="Times New Roman" w:hAnsi="Times New Roman" w:eastAsia="宋体" w:cs="Times New Roman"/>
                <w:color w:val="auto"/>
                <w:sz w:val="22"/>
              </w:rPr>
            </w:pPr>
          </w:p>
        </w:tc>
        <w:tc>
          <w:tcPr>
            <w:tcW w:w="1596" w:type="dxa"/>
            <w:vMerge w:val="continue"/>
            <w:vAlign w:val="center"/>
          </w:tcPr>
          <w:p w14:paraId="2DACFFE7">
            <w:pPr>
              <w:jc w:val="center"/>
              <w:rPr>
                <w:rFonts w:ascii="Times New Roman" w:hAnsi="Times New Roman" w:eastAsia="宋体" w:cs="Times New Roman"/>
                <w:color w:val="auto"/>
                <w:sz w:val="22"/>
              </w:rPr>
            </w:pPr>
          </w:p>
        </w:tc>
        <w:tc>
          <w:tcPr>
            <w:tcW w:w="1391" w:type="dxa"/>
            <w:vAlign w:val="center"/>
          </w:tcPr>
          <w:p w14:paraId="60E21450">
            <w:pPr>
              <w:jc w:val="center"/>
              <w:rPr>
                <w:rFonts w:ascii="Times New Roman" w:hAnsi="Times New Roman" w:eastAsia="宋体" w:cs="Times New Roman"/>
                <w:color w:val="auto"/>
                <w:sz w:val="22"/>
              </w:rPr>
            </w:pPr>
            <w:r>
              <w:rPr>
                <w:rFonts w:hint="eastAsia" w:ascii="Times New Roman" w:hAnsi="Times New Roman" w:eastAsia="宋体" w:cs="Times New Roman"/>
                <w:color w:val="auto"/>
                <w:sz w:val="22"/>
              </w:rPr>
              <w:t>初始浓度</w:t>
            </w:r>
          </w:p>
        </w:tc>
        <w:tc>
          <w:tcPr>
            <w:tcW w:w="1391" w:type="dxa"/>
            <w:vAlign w:val="center"/>
          </w:tcPr>
          <w:p w14:paraId="5C322145">
            <w:pPr>
              <w:jc w:val="center"/>
              <w:rPr>
                <w:rFonts w:ascii="Times New Roman" w:hAnsi="Times New Roman" w:eastAsia="宋体" w:cs="Times New Roman"/>
                <w:color w:val="auto"/>
                <w:sz w:val="22"/>
              </w:rPr>
            </w:pPr>
            <w:r>
              <w:rPr>
                <w:rFonts w:hint="eastAsia" w:ascii="Times New Roman" w:hAnsi="Times New Roman" w:eastAsia="宋体" w:cs="Times New Roman"/>
                <w:color w:val="auto"/>
                <w:sz w:val="22"/>
              </w:rPr>
              <w:t>产生量(t/a)</w:t>
            </w:r>
          </w:p>
        </w:tc>
        <w:tc>
          <w:tcPr>
            <w:tcW w:w="1213" w:type="dxa"/>
            <w:vAlign w:val="center"/>
          </w:tcPr>
          <w:p w14:paraId="0A33369A">
            <w:pPr>
              <w:jc w:val="center"/>
              <w:rPr>
                <w:rFonts w:ascii="Times New Roman" w:hAnsi="Times New Roman" w:eastAsia="宋体" w:cs="Times New Roman"/>
                <w:color w:val="auto"/>
                <w:sz w:val="22"/>
              </w:rPr>
            </w:pPr>
            <w:r>
              <w:rPr>
                <w:rFonts w:hint="eastAsia" w:ascii="Times New Roman" w:hAnsi="Times New Roman" w:eastAsia="宋体" w:cs="Times New Roman"/>
                <w:color w:val="auto"/>
                <w:sz w:val="22"/>
              </w:rPr>
              <w:t>产生速率kg/h</w:t>
            </w:r>
          </w:p>
        </w:tc>
        <w:tc>
          <w:tcPr>
            <w:tcW w:w="1034" w:type="dxa"/>
            <w:vMerge w:val="continue"/>
            <w:vAlign w:val="center"/>
          </w:tcPr>
          <w:p w14:paraId="42D94C0A">
            <w:pPr>
              <w:jc w:val="center"/>
              <w:rPr>
                <w:rFonts w:hint="eastAsia" w:ascii="Times New Roman" w:hAnsi="Times New Roman" w:eastAsia="宋体" w:cs="Times New Roman"/>
                <w:color w:val="auto"/>
                <w:sz w:val="22"/>
              </w:rPr>
            </w:pPr>
          </w:p>
        </w:tc>
        <w:tc>
          <w:tcPr>
            <w:tcW w:w="1410" w:type="dxa"/>
            <w:vAlign w:val="center"/>
          </w:tcPr>
          <w:p w14:paraId="69C25FF3">
            <w:pPr>
              <w:jc w:val="center"/>
              <w:rPr>
                <w:rFonts w:ascii="Times New Roman" w:hAnsi="Times New Roman" w:eastAsia="宋体" w:cs="Times New Roman"/>
                <w:color w:val="auto"/>
                <w:sz w:val="22"/>
              </w:rPr>
            </w:pPr>
            <w:r>
              <w:rPr>
                <w:rFonts w:hint="eastAsia" w:ascii="Times New Roman" w:hAnsi="Times New Roman" w:eastAsia="宋体" w:cs="Times New Roman"/>
                <w:color w:val="auto"/>
                <w:sz w:val="22"/>
              </w:rPr>
              <w:t>排放浓度</w:t>
            </w:r>
          </w:p>
        </w:tc>
        <w:tc>
          <w:tcPr>
            <w:tcW w:w="1388" w:type="dxa"/>
            <w:vAlign w:val="center"/>
          </w:tcPr>
          <w:p w14:paraId="60E7DB58">
            <w:pPr>
              <w:jc w:val="center"/>
              <w:rPr>
                <w:rFonts w:ascii="Times New Roman" w:hAnsi="Times New Roman" w:eastAsia="宋体" w:cs="Times New Roman"/>
                <w:color w:val="auto"/>
                <w:sz w:val="22"/>
              </w:rPr>
            </w:pPr>
            <w:r>
              <w:rPr>
                <w:rFonts w:hint="eastAsia" w:ascii="Times New Roman" w:hAnsi="Times New Roman" w:eastAsia="宋体" w:cs="Times New Roman"/>
                <w:color w:val="auto"/>
                <w:sz w:val="22"/>
              </w:rPr>
              <w:t>排放量(t/a)</w:t>
            </w:r>
          </w:p>
        </w:tc>
        <w:tc>
          <w:tcPr>
            <w:tcW w:w="1350" w:type="dxa"/>
            <w:vAlign w:val="center"/>
          </w:tcPr>
          <w:p w14:paraId="39D6B8A7">
            <w:pPr>
              <w:jc w:val="center"/>
              <w:rPr>
                <w:rFonts w:ascii="Times New Roman" w:hAnsi="Times New Roman" w:eastAsia="宋体" w:cs="Times New Roman"/>
                <w:color w:val="auto"/>
                <w:sz w:val="22"/>
              </w:rPr>
            </w:pPr>
            <w:r>
              <w:rPr>
                <w:rFonts w:hint="eastAsia" w:ascii="Times New Roman" w:hAnsi="Times New Roman" w:eastAsia="宋体" w:cs="Times New Roman"/>
                <w:color w:val="auto"/>
                <w:sz w:val="22"/>
              </w:rPr>
              <w:t>排放速率kg/h</w:t>
            </w:r>
          </w:p>
        </w:tc>
      </w:tr>
      <w:tr w14:paraId="7CFC1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Merge w:val="restart"/>
            <w:vAlign w:val="center"/>
          </w:tcPr>
          <w:p w14:paraId="4E7A25EF">
            <w:pPr>
              <w:jc w:val="center"/>
              <w:rPr>
                <w:rFonts w:ascii="Times New Roman" w:hAnsi="Times New Roman" w:eastAsia="宋体" w:cs="Times New Roman"/>
                <w:color w:val="auto"/>
                <w:sz w:val="22"/>
              </w:rPr>
            </w:pPr>
            <w:r>
              <w:rPr>
                <w:rFonts w:hint="eastAsia" w:ascii="Times New Roman" w:hAnsi="Times New Roman" w:eastAsia="宋体" w:cs="Times New Roman"/>
                <w:color w:val="auto"/>
                <w:sz w:val="22"/>
              </w:rPr>
              <w:t>废气</w:t>
            </w:r>
          </w:p>
        </w:tc>
        <w:tc>
          <w:tcPr>
            <w:tcW w:w="1909" w:type="dxa"/>
            <w:vMerge w:val="restart"/>
            <w:vAlign w:val="center"/>
          </w:tcPr>
          <w:p w14:paraId="3F0E15F8">
            <w:pPr>
              <w:jc w:val="center"/>
              <w:rPr>
                <w:rFonts w:hint="default" w:ascii="Times New Roman" w:hAnsi="Times New Roman" w:eastAsia="宋体" w:cs="Times New Roman"/>
                <w:color w:val="auto"/>
                <w:sz w:val="22"/>
                <w:lang w:val="en-US" w:eastAsia="zh-CN"/>
              </w:rPr>
            </w:pPr>
            <w:r>
              <w:rPr>
                <w:rFonts w:hint="eastAsia" w:ascii="Times New Roman" w:hAnsi="Times New Roman" w:eastAsia="宋体" w:cs="Times New Roman"/>
                <w:color w:val="auto"/>
                <w:sz w:val="22"/>
                <w:lang w:val="en-US" w:eastAsia="zh-CN"/>
              </w:rPr>
              <w:t>发酵废气及干燥废气</w:t>
            </w:r>
          </w:p>
        </w:tc>
        <w:tc>
          <w:tcPr>
            <w:tcW w:w="1050" w:type="dxa"/>
            <w:vMerge w:val="restart"/>
            <w:vAlign w:val="center"/>
          </w:tcPr>
          <w:p w14:paraId="1A6DA443">
            <w:pPr>
              <w:jc w:val="center"/>
              <w:rPr>
                <w:rFonts w:ascii="Times New Roman" w:hAnsi="Times New Roman" w:eastAsia="宋体" w:cs="Times New Roman"/>
                <w:color w:val="auto"/>
                <w:sz w:val="22"/>
              </w:rPr>
            </w:pPr>
            <w:r>
              <w:rPr>
                <w:rFonts w:hint="eastAsia" w:ascii="Times New Roman" w:hAnsi="Times New Roman" w:eastAsia="宋体" w:cs="Times New Roman"/>
                <w:color w:val="auto"/>
                <w:sz w:val="22"/>
              </w:rPr>
              <w:t>DA001</w:t>
            </w:r>
          </w:p>
        </w:tc>
        <w:tc>
          <w:tcPr>
            <w:tcW w:w="1596" w:type="dxa"/>
            <w:shd w:val="clear" w:color="auto" w:fill="auto"/>
            <w:vAlign w:val="center"/>
          </w:tcPr>
          <w:p w14:paraId="7B4357A8">
            <w:pPr>
              <w:pStyle w:val="52"/>
              <w:bidi w:val="0"/>
              <w:rPr>
                <w:rFonts w:hint="default" w:ascii="Times New Roman" w:hAnsi="Times New Roman" w:eastAsia="宋体" w:cs="Times New Roman"/>
                <w:color w:val="auto"/>
                <w:kern w:val="2"/>
                <w:sz w:val="21"/>
                <w:szCs w:val="28"/>
                <w:lang w:val="en-US" w:eastAsia="zh-CN" w:bidi="ar-SA"/>
              </w:rPr>
            </w:pPr>
            <w:r>
              <w:rPr>
                <w:rFonts w:hint="eastAsia" w:eastAsia="宋体" w:cs="Times New Roman"/>
                <w:color w:val="auto"/>
                <w:lang w:val="en-US" w:eastAsia="zh-CN"/>
              </w:rPr>
              <w:t>非甲烷总烃</w:t>
            </w:r>
          </w:p>
        </w:tc>
        <w:tc>
          <w:tcPr>
            <w:tcW w:w="1391" w:type="dxa"/>
            <w:shd w:val="clear" w:color="auto" w:fill="auto"/>
            <w:vAlign w:val="center"/>
          </w:tcPr>
          <w:p w14:paraId="6186C682">
            <w:pPr>
              <w:pStyle w:val="52"/>
              <w:bidi w:val="0"/>
              <w:rPr>
                <w:rFonts w:hint="eastAsia" w:ascii="Times New Roman" w:hAnsi="Times New Roman" w:eastAsia="宋体" w:cs="Times New Roman"/>
                <w:color w:val="000000"/>
                <w:kern w:val="2"/>
                <w:sz w:val="21"/>
                <w:szCs w:val="28"/>
                <w:highlight w:val="none"/>
                <w:lang w:val="en-US" w:eastAsia="zh-CN" w:bidi="ar-SA"/>
              </w:rPr>
            </w:pPr>
            <w:r>
              <w:rPr>
                <w:rFonts w:hint="default" w:ascii="Times New Roman" w:hAnsi="Times New Roman" w:eastAsia="宋体" w:cs="Times New Roman"/>
                <w:color w:val="000000"/>
                <w:kern w:val="2"/>
                <w:sz w:val="21"/>
                <w:szCs w:val="28"/>
                <w:highlight w:val="none"/>
                <w:lang w:val="en-US" w:eastAsia="zh-CN" w:bidi="ar-SA"/>
              </w:rPr>
              <w:t>59.33</w:t>
            </w:r>
            <w:r>
              <w:rPr>
                <w:rFonts w:ascii="Times New Roman" w:hAnsi="Times New Roman"/>
                <w:color w:val="000000"/>
                <w:sz w:val="21"/>
                <w:szCs w:val="21"/>
                <w:u w:val="none" w:color="auto"/>
              </w:rPr>
              <w:t>mg/</w:t>
            </w:r>
            <w:r>
              <w:rPr>
                <w:rFonts w:hint="eastAsia"/>
                <w:color w:val="000000"/>
                <w:sz w:val="21"/>
                <w:szCs w:val="21"/>
                <w:u w:val="none" w:color="auto"/>
                <w:lang w:eastAsia="zh-CN"/>
              </w:rPr>
              <w:t>m</w:t>
            </w:r>
            <w:r>
              <w:rPr>
                <w:rFonts w:hint="eastAsia"/>
                <w:color w:val="000000"/>
                <w:sz w:val="21"/>
                <w:szCs w:val="21"/>
                <w:u w:val="none" w:color="auto"/>
                <w:vertAlign w:val="superscript"/>
                <w:lang w:eastAsia="zh-CN"/>
              </w:rPr>
              <w:t>3</w:t>
            </w:r>
          </w:p>
        </w:tc>
        <w:tc>
          <w:tcPr>
            <w:tcW w:w="1391" w:type="dxa"/>
            <w:shd w:val="clear" w:color="auto" w:fill="auto"/>
            <w:vAlign w:val="center"/>
          </w:tcPr>
          <w:p w14:paraId="0A7A5A72">
            <w:pPr>
              <w:pStyle w:val="52"/>
              <w:bidi w:val="0"/>
              <w:rPr>
                <w:rFonts w:hint="default" w:ascii="Times New Roman" w:hAnsi="Times New Roman" w:eastAsia="宋体" w:cs="Times New Roman"/>
                <w:color w:val="000000"/>
                <w:kern w:val="2"/>
                <w:sz w:val="21"/>
                <w:szCs w:val="28"/>
                <w:highlight w:val="none"/>
                <w:lang w:val="en-US" w:eastAsia="zh-CN" w:bidi="ar-SA"/>
              </w:rPr>
            </w:pPr>
            <w:r>
              <w:rPr>
                <w:rFonts w:hint="default" w:ascii="Times New Roman" w:hAnsi="Times New Roman" w:eastAsia="宋体" w:cs="Times New Roman"/>
                <w:highlight w:val="none"/>
                <w:lang w:val="en-US" w:eastAsia="zh-CN"/>
              </w:rPr>
              <w:t>6.408</w:t>
            </w:r>
          </w:p>
        </w:tc>
        <w:tc>
          <w:tcPr>
            <w:tcW w:w="1213" w:type="dxa"/>
            <w:shd w:val="clear" w:color="auto" w:fill="auto"/>
            <w:vAlign w:val="center"/>
          </w:tcPr>
          <w:p w14:paraId="12EC8C80">
            <w:pPr>
              <w:pStyle w:val="52"/>
              <w:bidi w:val="0"/>
              <w:rPr>
                <w:rFonts w:hint="default" w:ascii="Times New Roman" w:hAnsi="Times New Roman" w:eastAsia="宋体" w:cs="Times New Roman"/>
                <w:color w:val="000000"/>
                <w:kern w:val="2"/>
                <w:sz w:val="21"/>
                <w:szCs w:val="28"/>
                <w:highlight w:val="none"/>
                <w:lang w:val="en-US" w:eastAsia="zh-CN" w:bidi="ar-SA"/>
              </w:rPr>
            </w:pPr>
            <w:r>
              <w:rPr>
                <w:rFonts w:hint="default" w:ascii="Times New Roman" w:hAnsi="Times New Roman" w:eastAsia="宋体" w:cs="Times New Roman"/>
                <w:color w:val="000000"/>
                <w:kern w:val="2"/>
                <w:sz w:val="21"/>
                <w:szCs w:val="28"/>
                <w:highlight w:val="none"/>
                <w:lang w:val="en-US" w:eastAsia="zh-CN" w:bidi="ar-SA"/>
              </w:rPr>
              <w:t>0.89</w:t>
            </w:r>
          </w:p>
        </w:tc>
        <w:tc>
          <w:tcPr>
            <w:tcW w:w="1034" w:type="dxa"/>
            <w:shd w:val="clear" w:color="auto" w:fill="auto"/>
            <w:vAlign w:val="center"/>
          </w:tcPr>
          <w:p w14:paraId="3A177203">
            <w:pPr>
              <w:pStyle w:val="52"/>
              <w:bidi w:val="0"/>
              <w:rPr>
                <w:rFonts w:hint="eastAsia" w:ascii="Times New Roman" w:hAnsi="Times New Roman" w:eastAsia="宋体" w:cs="Times New Roman"/>
                <w:color w:val="000000"/>
                <w:kern w:val="2"/>
                <w:sz w:val="21"/>
                <w:szCs w:val="28"/>
                <w:highlight w:val="none"/>
                <w:lang w:val="en-US" w:eastAsia="zh-CN" w:bidi="ar-SA"/>
              </w:rPr>
            </w:pPr>
            <w:r>
              <w:rPr>
                <w:rFonts w:hint="default" w:ascii="Times New Roman" w:hAnsi="Times New Roman" w:eastAsia="宋体" w:cs="Times New Roman"/>
                <w:highlight w:val="none"/>
                <w:lang w:val="en-US" w:eastAsia="zh-CN"/>
              </w:rPr>
              <w:t>84.69</w:t>
            </w:r>
          </w:p>
        </w:tc>
        <w:tc>
          <w:tcPr>
            <w:tcW w:w="1410" w:type="dxa"/>
            <w:shd w:val="clear" w:color="auto" w:fill="auto"/>
            <w:vAlign w:val="center"/>
          </w:tcPr>
          <w:p w14:paraId="17D6D01C">
            <w:pPr>
              <w:pStyle w:val="52"/>
              <w:bidi w:val="0"/>
              <w:rPr>
                <w:rFonts w:hint="eastAsia" w:ascii="Times New Roman" w:hAnsi="Times New Roman" w:eastAsia="宋体" w:cs="Times New Roman"/>
                <w:color w:val="000000"/>
                <w:kern w:val="2"/>
                <w:sz w:val="21"/>
                <w:szCs w:val="28"/>
                <w:highlight w:val="none"/>
                <w:lang w:val="en-US" w:eastAsia="zh-CN" w:bidi="ar-SA"/>
              </w:rPr>
            </w:pPr>
            <w:r>
              <w:rPr>
                <w:rFonts w:hint="default" w:ascii="Times New Roman" w:hAnsi="Times New Roman" w:eastAsia="宋体" w:cs="Times New Roman"/>
                <w:color w:val="000000"/>
                <w:kern w:val="2"/>
                <w:sz w:val="21"/>
                <w:szCs w:val="28"/>
                <w:highlight w:val="none"/>
                <w:lang w:val="en-US" w:eastAsia="zh-CN" w:bidi="ar-SA"/>
              </w:rPr>
              <w:t>9.33</w:t>
            </w:r>
            <w:r>
              <w:rPr>
                <w:rFonts w:ascii="Times New Roman" w:hAnsi="Times New Roman"/>
                <w:color w:val="000000"/>
                <w:sz w:val="21"/>
                <w:szCs w:val="21"/>
                <w:u w:val="none" w:color="auto"/>
              </w:rPr>
              <w:t>mg/</w:t>
            </w:r>
            <w:r>
              <w:rPr>
                <w:rFonts w:hint="eastAsia"/>
                <w:color w:val="000000"/>
                <w:sz w:val="21"/>
                <w:szCs w:val="21"/>
                <w:u w:val="none" w:color="auto"/>
                <w:lang w:eastAsia="zh-CN"/>
              </w:rPr>
              <w:t>m</w:t>
            </w:r>
            <w:r>
              <w:rPr>
                <w:rFonts w:hint="eastAsia"/>
                <w:color w:val="000000"/>
                <w:sz w:val="21"/>
                <w:szCs w:val="21"/>
                <w:u w:val="none" w:color="auto"/>
                <w:vertAlign w:val="superscript"/>
                <w:lang w:eastAsia="zh-CN"/>
              </w:rPr>
              <w:t>3</w:t>
            </w:r>
          </w:p>
        </w:tc>
        <w:tc>
          <w:tcPr>
            <w:tcW w:w="1388" w:type="dxa"/>
            <w:shd w:val="clear" w:color="auto" w:fill="auto"/>
            <w:vAlign w:val="center"/>
          </w:tcPr>
          <w:p w14:paraId="26FA9232">
            <w:pPr>
              <w:pStyle w:val="52"/>
              <w:bidi w:val="0"/>
              <w:rPr>
                <w:rFonts w:hint="default" w:ascii="Times New Roman" w:hAnsi="Times New Roman" w:eastAsia="宋体" w:cs="Times New Roman"/>
                <w:color w:val="000000"/>
                <w:kern w:val="2"/>
                <w:sz w:val="21"/>
                <w:szCs w:val="28"/>
                <w:highlight w:val="none"/>
                <w:lang w:val="en-US" w:eastAsia="zh-CN" w:bidi="ar-SA"/>
              </w:rPr>
            </w:pPr>
            <w:r>
              <w:rPr>
                <w:rFonts w:hint="default" w:ascii="Times New Roman" w:hAnsi="Times New Roman" w:eastAsia="宋体" w:cs="Times New Roman"/>
                <w:highlight w:val="none"/>
                <w:lang w:val="en-US" w:eastAsia="zh-CN"/>
              </w:rPr>
              <w:t>1.008</w:t>
            </w:r>
          </w:p>
        </w:tc>
        <w:tc>
          <w:tcPr>
            <w:tcW w:w="1350" w:type="dxa"/>
            <w:shd w:val="clear" w:color="auto" w:fill="auto"/>
            <w:vAlign w:val="center"/>
          </w:tcPr>
          <w:p w14:paraId="75C761B3">
            <w:pPr>
              <w:pStyle w:val="52"/>
              <w:bidi w:val="0"/>
              <w:rPr>
                <w:rFonts w:hint="default" w:ascii="Times New Roman" w:hAnsi="Times New Roman" w:eastAsia="宋体" w:cs="Times New Roman"/>
                <w:color w:val="000000"/>
                <w:kern w:val="2"/>
                <w:sz w:val="21"/>
                <w:szCs w:val="28"/>
                <w:highlight w:val="none"/>
                <w:lang w:val="en-US" w:eastAsia="zh-CN" w:bidi="ar-SA"/>
              </w:rPr>
            </w:pPr>
            <w:r>
              <w:rPr>
                <w:rFonts w:hint="default" w:ascii="Times New Roman" w:hAnsi="Times New Roman" w:eastAsia="宋体" w:cs="Times New Roman"/>
                <w:color w:val="000000"/>
                <w:kern w:val="2"/>
                <w:sz w:val="21"/>
                <w:szCs w:val="28"/>
                <w:highlight w:val="none"/>
                <w:lang w:val="en-US" w:eastAsia="zh-CN" w:bidi="ar-SA"/>
              </w:rPr>
              <w:t>0.14</w:t>
            </w:r>
          </w:p>
        </w:tc>
      </w:tr>
      <w:tr w14:paraId="1893D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671" w:type="dxa"/>
            <w:vMerge w:val="continue"/>
            <w:vAlign w:val="center"/>
          </w:tcPr>
          <w:p w14:paraId="6D60953E">
            <w:pPr>
              <w:jc w:val="center"/>
              <w:rPr>
                <w:rFonts w:ascii="Times New Roman" w:hAnsi="Times New Roman" w:eastAsia="宋体" w:cs="Times New Roman"/>
                <w:color w:val="auto"/>
                <w:sz w:val="22"/>
              </w:rPr>
            </w:pPr>
          </w:p>
        </w:tc>
        <w:tc>
          <w:tcPr>
            <w:tcW w:w="1909" w:type="dxa"/>
            <w:vMerge w:val="continue"/>
            <w:vAlign w:val="center"/>
          </w:tcPr>
          <w:p w14:paraId="2D4A6CA0">
            <w:pPr>
              <w:jc w:val="center"/>
              <w:rPr>
                <w:rFonts w:ascii="Times New Roman" w:hAnsi="Times New Roman" w:eastAsia="宋体" w:cs="Times New Roman"/>
                <w:color w:val="auto"/>
                <w:sz w:val="22"/>
              </w:rPr>
            </w:pPr>
          </w:p>
        </w:tc>
        <w:tc>
          <w:tcPr>
            <w:tcW w:w="1050" w:type="dxa"/>
            <w:vMerge w:val="continue"/>
            <w:vAlign w:val="center"/>
          </w:tcPr>
          <w:p w14:paraId="1B360EC5">
            <w:pPr>
              <w:jc w:val="center"/>
              <w:rPr>
                <w:rFonts w:ascii="Times New Roman" w:hAnsi="Times New Roman" w:eastAsia="宋体" w:cs="Times New Roman"/>
                <w:color w:val="auto"/>
                <w:sz w:val="22"/>
              </w:rPr>
            </w:pPr>
          </w:p>
        </w:tc>
        <w:tc>
          <w:tcPr>
            <w:tcW w:w="1596" w:type="dxa"/>
            <w:shd w:val="clear" w:color="auto" w:fill="auto"/>
            <w:vAlign w:val="center"/>
          </w:tcPr>
          <w:p w14:paraId="03E14A7A">
            <w:pPr>
              <w:pStyle w:val="52"/>
              <w:bidi w:val="0"/>
              <w:rPr>
                <w:rFonts w:hint="default" w:ascii="Times New Roman" w:hAnsi="Times New Roman" w:eastAsia="宋体" w:cs="Times New Roman"/>
                <w:color w:val="auto"/>
                <w:kern w:val="2"/>
                <w:sz w:val="21"/>
                <w:szCs w:val="28"/>
                <w:lang w:val="en-US" w:eastAsia="zh-CN" w:bidi="ar-SA"/>
              </w:rPr>
            </w:pPr>
            <w:r>
              <w:rPr>
                <w:rFonts w:hint="eastAsia" w:eastAsia="宋体" w:cs="Times New Roman"/>
                <w:color w:val="auto"/>
                <w:lang w:val="en-US" w:eastAsia="zh-CN"/>
              </w:rPr>
              <w:t>颗粒物</w:t>
            </w:r>
          </w:p>
        </w:tc>
        <w:tc>
          <w:tcPr>
            <w:tcW w:w="1391" w:type="dxa"/>
            <w:shd w:val="clear" w:color="auto" w:fill="auto"/>
            <w:vAlign w:val="center"/>
          </w:tcPr>
          <w:p w14:paraId="74F2D28E">
            <w:pPr>
              <w:pStyle w:val="52"/>
              <w:bidi w:val="0"/>
              <w:rPr>
                <w:rFonts w:hint="eastAsia" w:ascii="Times New Roman" w:hAnsi="Times New Roman" w:eastAsia="宋体" w:cs="Times New Roman"/>
                <w:color w:val="000000"/>
                <w:kern w:val="2"/>
                <w:sz w:val="21"/>
                <w:szCs w:val="28"/>
                <w:highlight w:val="none"/>
                <w:lang w:val="en-US" w:eastAsia="zh-CN" w:bidi="ar-SA"/>
              </w:rPr>
            </w:pPr>
            <w:r>
              <w:rPr>
                <w:rFonts w:hint="eastAsia" w:cs="Times New Roman"/>
                <w:color w:val="000000"/>
                <w:kern w:val="2"/>
                <w:sz w:val="21"/>
                <w:szCs w:val="28"/>
                <w:highlight w:val="none"/>
                <w:lang w:val="en-US" w:eastAsia="zh-CN" w:bidi="ar-SA"/>
              </w:rPr>
              <w:t>151.33</w:t>
            </w:r>
            <w:r>
              <w:rPr>
                <w:rFonts w:ascii="Times New Roman" w:hAnsi="Times New Roman"/>
                <w:color w:val="000000"/>
                <w:sz w:val="21"/>
                <w:szCs w:val="21"/>
                <w:u w:val="none" w:color="auto"/>
              </w:rPr>
              <w:t>mg/</w:t>
            </w:r>
            <w:r>
              <w:rPr>
                <w:rFonts w:hint="eastAsia"/>
                <w:color w:val="000000"/>
                <w:sz w:val="21"/>
                <w:szCs w:val="21"/>
                <w:u w:val="none" w:color="auto"/>
                <w:lang w:eastAsia="zh-CN"/>
              </w:rPr>
              <w:t>m</w:t>
            </w:r>
            <w:r>
              <w:rPr>
                <w:rFonts w:hint="eastAsia"/>
                <w:color w:val="000000"/>
                <w:sz w:val="21"/>
                <w:szCs w:val="21"/>
                <w:u w:val="none" w:color="auto"/>
                <w:vertAlign w:val="superscript"/>
                <w:lang w:eastAsia="zh-CN"/>
              </w:rPr>
              <w:t>3</w:t>
            </w:r>
          </w:p>
        </w:tc>
        <w:tc>
          <w:tcPr>
            <w:tcW w:w="1391" w:type="dxa"/>
            <w:shd w:val="clear" w:color="auto" w:fill="auto"/>
            <w:vAlign w:val="center"/>
          </w:tcPr>
          <w:p w14:paraId="2284802F">
            <w:pPr>
              <w:pStyle w:val="52"/>
              <w:bidi w:val="0"/>
              <w:rPr>
                <w:rFonts w:hint="default" w:ascii="Times New Roman" w:hAnsi="Times New Roman" w:eastAsia="宋体" w:cs="Times New Roman"/>
                <w:color w:val="000000"/>
                <w:kern w:val="2"/>
                <w:sz w:val="21"/>
                <w:szCs w:val="28"/>
                <w:highlight w:val="none"/>
                <w:lang w:val="en-US" w:eastAsia="zh-CN" w:bidi="ar-SA"/>
              </w:rPr>
            </w:pPr>
            <w:r>
              <w:rPr>
                <w:rFonts w:hint="default" w:ascii="Times New Roman" w:hAnsi="Times New Roman" w:eastAsia="宋体" w:cs="Times New Roman"/>
                <w:color w:val="000000"/>
                <w:kern w:val="2"/>
                <w:sz w:val="21"/>
                <w:szCs w:val="28"/>
                <w:highlight w:val="none"/>
                <w:lang w:val="en-US" w:eastAsia="zh-CN" w:bidi="ar-SA"/>
              </w:rPr>
              <w:t>12.305</w:t>
            </w:r>
          </w:p>
        </w:tc>
        <w:tc>
          <w:tcPr>
            <w:tcW w:w="1213" w:type="dxa"/>
            <w:shd w:val="clear" w:color="auto" w:fill="auto"/>
            <w:vAlign w:val="center"/>
          </w:tcPr>
          <w:p w14:paraId="50364272">
            <w:pPr>
              <w:pStyle w:val="52"/>
              <w:bidi w:val="0"/>
              <w:rPr>
                <w:rFonts w:hint="default" w:ascii="Times New Roman" w:hAnsi="Times New Roman" w:eastAsia="宋体" w:cs="Times New Roman"/>
                <w:color w:val="000000"/>
                <w:kern w:val="2"/>
                <w:sz w:val="21"/>
                <w:szCs w:val="28"/>
                <w:highlight w:val="none"/>
                <w:lang w:val="en-US" w:eastAsia="zh-CN" w:bidi="ar-SA"/>
              </w:rPr>
            </w:pPr>
            <w:r>
              <w:rPr>
                <w:rFonts w:hint="default" w:ascii="Times New Roman" w:hAnsi="Times New Roman" w:eastAsia="宋体" w:cs="Times New Roman"/>
                <w:color w:val="000000"/>
                <w:kern w:val="2"/>
                <w:sz w:val="21"/>
                <w:szCs w:val="28"/>
                <w:highlight w:val="none"/>
                <w:lang w:val="en-US" w:eastAsia="zh-CN" w:bidi="ar-SA"/>
              </w:rPr>
              <w:t>2.2</w:t>
            </w:r>
            <w:r>
              <w:rPr>
                <w:rFonts w:hint="eastAsia" w:cs="Times New Roman"/>
                <w:color w:val="000000"/>
                <w:kern w:val="2"/>
                <w:sz w:val="21"/>
                <w:szCs w:val="28"/>
                <w:highlight w:val="none"/>
                <w:lang w:val="en-US" w:eastAsia="zh-CN" w:bidi="ar-SA"/>
              </w:rPr>
              <w:t>7</w:t>
            </w:r>
          </w:p>
        </w:tc>
        <w:tc>
          <w:tcPr>
            <w:tcW w:w="1034" w:type="dxa"/>
            <w:shd w:val="clear" w:color="auto" w:fill="auto"/>
            <w:vAlign w:val="center"/>
          </w:tcPr>
          <w:p w14:paraId="4A0839D7">
            <w:pPr>
              <w:pStyle w:val="52"/>
              <w:bidi w:val="0"/>
              <w:rPr>
                <w:rFonts w:hint="eastAsia" w:ascii="Times New Roman" w:hAnsi="Times New Roman" w:eastAsia="宋体" w:cs="Times New Roman"/>
                <w:color w:val="000000"/>
                <w:kern w:val="2"/>
                <w:sz w:val="21"/>
                <w:szCs w:val="28"/>
                <w:highlight w:val="none"/>
                <w:lang w:val="en-US" w:eastAsia="zh-CN" w:bidi="ar-SA"/>
              </w:rPr>
            </w:pPr>
            <w:r>
              <w:rPr>
                <w:rFonts w:hint="default" w:ascii="Times New Roman" w:hAnsi="Times New Roman" w:eastAsia="宋体" w:cs="Times New Roman"/>
                <w:highlight w:val="none"/>
                <w:lang w:val="en-US" w:eastAsia="zh-CN"/>
              </w:rPr>
              <w:t>75.75</w:t>
            </w:r>
          </w:p>
        </w:tc>
        <w:tc>
          <w:tcPr>
            <w:tcW w:w="1410" w:type="dxa"/>
            <w:shd w:val="clear" w:color="auto" w:fill="auto"/>
            <w:vAlign w:val="center"/>
          </w:tcPr>
          <w:p w14:paraId="4C9FF22B">
            <w:pPr>
              <w:pStyle w:val="52"/>
              <w:bidi w:val="0"/>
              <w:rPr>
                <w:rFonts w:hint="eastAsia" w:ascii="Times New Roman" w:hAnsi="Times New Roman" w:eastAsia="宋体" w:cs="Times New Roman"/>
                <w:color w:val="000000"/>
                <w:kern w:val="2"/>
                <w:sz w:val="21"/>
                <w:szCs w:val="28"/>
                <w:highlight w:val="none"/>
                <w:lang w:val="en-US" w:eastAsia="zh-CN" w:bidi="ar-SA"/>
              </w:rPr>
            </w:pPr>
            <w:r>
              <w:rPr>
                <w:rFonts w:hint="eastAsia" w:cs="Times New Roman"/>
                <w:color w:val="000000"/>
                <w:kern w:val="2"/>
                <w:sz w:val="21"/>
                <w:szCs w:val="28"/>
                <w:highlight w:val="none"/>
                <w:lang w:val="en-US" w:eastAsia="zh-CN" w:bidi="ar-SA"/>
              </w:rPr>
              <w:t>36.7</w:t>
            </w:r>
            <w:r>
              <w:rPr>
                <w:rFonts w:ascii="Times New Roman" w:hAnsi="Times New Roman"/>
                <w:color w:val="000000"/>
                <w:sz w:val="21"/>
                <w:szCs w:val="21"/>
                <w:u w:val="none" w:color="auto"/>
              </w:rPr>
              <w:t>mg/</w:t>
            </w:r>
            <w:r>
              <w:rPr>
                <w:rFonts w:hint="eastAsia"/>
                <w:color w:val="000000"/>
                <w:sz w:val="21"/>
                <w:szCs w:val="21"/>
                <w:u w:val="none" w:color="auto"/>
                <w:lang w:eastAsia="zh-CN"/>
              </w:rPr>
              <w:t>m</w:t>
            </w:r>
            <w:r>
              <w:rPr>
                <w:rFonts w:hint="eastAsia"/>
                <w:color w:val="000000"/>
                <w:sz w:val="21"/>
                <w:szCs w:val="21"/>
                <w:u w:val="none" w:color="auto"/>
                <w:vertAlign w:val="superscript"/>
                <w:lang w:eastAsia="zh-CN"/>
              </w:rPr>
              <w:t>3</w:t>
            </w:r>
          </w:p>
        </w:tc>
        <w:tc>
          <w:tcPr>
            <w:tcW w:w="1388" w:type="dxa"/>
            <w:shd w:val="clear" w:color="auto" w:fill="auto"/>
            <w:vAlign w:val="center"/>
          </w:tcPr>
          <w:p w14:paraId="2F1A44E6">
            <w:pPr>
              <w:pStyle w:val="52"/>
              <w:bidi w:val="0"/>
              <w:rPr>
                <w:rFonts w:hint="default" w:ascii="Times New Roman" w:hAnsi="Times New Roman" w:eastAsia="宋体" w:cs="Times New Roman"/>
                <w:color w:val="000000"/>
                <w:kern w:val="2"/>
                <w:sz w:val="21"/>
                <w:szCs w:val="28"/>
                <w:highlight w:val="none"/>
                <w:lang w:val="en-US" w:eastAsia="zh-CN" w:bidi="ar-SA"/>
              </w:rPr>
            </w:pPr>
            <w:r>
              <w:rPr>
                <w:rFonts w:hint="default" w:ascii="Times New Roman" w:hAnsi="Times New Roman" w:eastAsia="宋体" w:cs="Times New Roman"/>
                <w:color w:val="000000"/>
                <w:kern w:val="2"/>
                <w:sz w:val="21"/>
                <w:szCs w:val="28"/>
                <w:highlight w:val="none"/>
                <w:lang w:val="en-US" w:eastAsia="zh-CN" w:bidi="ar-SA"/>
              </w:rPr>
              <w:t>2.9</w:t>
            </w:r>
            <w:r>
              <w:rPr>
                <w:rFonts w:hint="eastAsia" w:cs="Times New Roman"/>
                <w:color w:val="000000"/>
                <w:kern w:val="2"/>
                <w:sz w:val="21"/>
                <w:szCs w:val="28"/>
                <w:highlight w:val="none"/>
                <w:lang w:val="en-US" w:eastAsia="zh-CN" w:bidi="ar-SA"/>
              </w:rPr>
              <w:t>79</w:t>
            </w:r>
          </w:p>
        </w:tc>
        <w:tc>
          <w:tcPr>
            <w:tcW w:w="1350" w:type="dxa"/>
            <w:shd w:val="clear" w:color="auto" w:fill="auto"/>
            <w:vAlign w:val="center"/>
          </w:tcPr>
          <w:p w14:paraId="1DD1E6E6">
            <w:pPr>
              <w:pStyle w:val="52"/>
              <w:bidi w:val="0"/>
              <w:rPr>
                <w:rFonts w:hint="default" w:ascii="Times New Roman" w:hAnsi="Times New Roman" w:eastAsia="宋体" w:cs="Times New Roman"/>
                <w:color w:val="000000"/>
                <w:kern w:val="2"/>
                <w:sz w:val="21"/>
                <w:szCs w:val="28"/>
                <w:highlight w:val="none"/>
                <w:lang w:val="en-US" w:eastAsia="zh-CN" w:bidi="ar-SA"/>
              </w:rPr>
            </w:pPr>
            <w:r>
              <w:rPr>
                <w:rFonts w:hint="default" w:ascii="Times New Roman" w:hAnsi="Times New Roman" w:eastAsia="宋体" w:cs="Times New Roman"/>
                <w:color w:val="000000"/>
                <w:kern w:val="2"/>
                <w:sz w:val="21"/>
                <w:szCs w:val="28"/>
                <w:highlight w:val="none"/>
                <w:lang w:val="en-US" w:eastAsia="zh-CN" w:bidi="ar-SA"/>
              </w:rPr>
              <w:t>0.5</w:t>
            </w:r>
            <w:r>
              <w:rPr>
                <w:rFonts w:hint="eastAsia" w:cs="Times New Roman"/>
                <w:color w:val="000000"/>
                <w:kern w:val="2"/>
                <w:sz w:val="21"/>
                <w:szCs w:val="28"/>
                <w:highlight w:val="none"/>
                <w:lang w:val="en-US" w:eastAsia="zh-CN" w:bidi="ar-SA"/>
              </w:rPr>
              <w:t>5</w:t>
            </w:r>
          </w:p>
        </w:tc>
      </w:tr>
      <w:tr w14:paraId="102DA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Merge w:val="continue"/>
            <w:vAlign w:val="center"/>
          </w:tcPr>
          <w:p w14:paraId="7B1F00AC">
            <w:pPr>
              <w:jc w:val="center"/>
              <w:rPr>
                <w:rFonts w:ascii="Times New Roman" w:hAnsi="Times New Roman" w:eastAsia="宋体" w:cs="Times New Roman"/>
                <w:color w:val="auto"/>
                <w:sz w:val="22"/>
              </w:rPr>
            </w:pPr>
          </w:p>
        </w:tc>
        <w:tc>
          <w:tcPr>
            <w:tcW w:w="1909" w:type="dxa"/>
            <w:vMerge w:val="continue"/>
            <w:vAlign w:val="center"/>
          </w:tcPr>
          <w:p w14:paraId="4BF44BC4">
            <w:pPr>
              <w:jc w:val="center"/>
              <w:rPr>
                <w:rFonts w:ascii="Times New Roman" w:hAnsi="Times New Roman" w:eastAsia="宋体" w:cs="Times New Roman"/>
                <w:color w:val="auto"/>
                <w:sz w:val="22"/>
              </w:rPr>
            </w:pPr>
          </w:p>
        </w:tc>
        <w:tc>
          <w:tcPr>
            <w:tcW w:w="1050" w:type="dxa"/>
            <w:vMerge w:val="continue"/>
            <w:vAlign w:val="center"/>
          </w:tcPr>
          <w:p w14:paraId="54601C7C">
            <w:pPr>
              <w:jc w:val="center"/>
              <w:rPr>
                <w:rFonts w:ascii="Times New Roman" w:hAnsi="Times New Roman" w:eastAsia="宋体" w:cs="Times New Roman"/>
                <w:color w:val="auto"/>
                <w:sz w:val="22"/>
              </w:rPr>
            </w:pPr>
          </w:p>
        </w:tc>
        <w:tc>
          <w:tcPr>
            <w:tcW w:w="1596" w:type="dxa"/>
            <w:shd w:val="clear" w:color="auto" w:fill="auto"/>
            <w:vAlign w:val="center"/>
          </w:tcPr>
          <w:p w14:paraId="4E04451B">
            <w:pPr>
              <w:pStyle w:val="52"/>
              <w:bidi w:val="0"/>
              <w:rPr>
                <w:rFonts w:hint="default" w:ascii="Times New Roman" w:hAnsi="Times New Roman" w:eastAsia="宋体" w:cs="Times New Roman"/>
                <w:color w:val="auto"/>
              </w:rPr>
            </w:pPr>
            <w:r>
              <w:rPr>
                <w:rFonts w:hint="default" w:ascii="Times New Roman" w:hAnsi="Times New Roman" w:eastAsia="宋体" w:cs="Times New Roman"/>
                <w:color w:val="auto"/>
              </w:rPr>
              <w:t>氨气</w:t>
            </w:r>
          </w:p>
        </w:tc>
        <w:tc>
          <w:tcPr>
            <w:tcW w:w="1391" w:type="dxa"/>
            <w:shd w:val="clear" w:color="auto" w:fill="auto"/>
            <w:vAlign w:val="center"/>
          </w:tcPr>
          <w:p w14:paraId="7A447FBE">
            <w:pPr>
              <w:pStyle w:val="52"/>
              <w:bidi w:val="0"/>
              <w:rPr>
                <w:rFonts w:hint="eastAsia" w:ascii="Times New Roman" w:hAnsi="Times New Roman" w:eastAsia="宋体" w:cs="Times New Roman"/>
                <w:color w:val="000000"/>
                <w:kern w:val="2"/>
                <w:sz w:val="21"/>
                <w:szCs w:val="28"/>
                <w:highlight w:val="none"/>
                <w:lang w:val="en-US" w:eastAsia="zh-CN" w:bidi="ar-SA"/>
              </w:rPr>
            </w:pPr>
            <w:r>
              <w:rPr>
                <w:rFonts w:hint="default" w:ascii="Times New Roman" w:hAnsi="Times New Roman" w:eastAsia="宋体" w:cs="Times New Roman"/>
                <w:color w:val="000000"/>
                <w:kern w:val="2"/>
                <w:sz w:val="21"/>
                <w:szCs w:val="28"/>
                <w:highlight w:val="none"/>
                <w:lang w:val="en-US" w:eastAsia="zh-CN" w:bidi="ar-SA"/>
              </w:rPr>
              <w:t>3.67</w:t>
            </w:r>
            <w:r>
              <w:rPr>
                <w:rFonts w:ascii="Times New Roman" w:hAnsi="Times New Roman"/>
                <w:color w:val="000000"/>
                <w:sz w:val="21"/>
                <w:szCs w:val="21"/>
                <w:u w:val="none" w:color="auto"/>
              </w:rPr>
              <w:t>mg/</w:t>
            </w:r>
            <w:r>
              <w:rPr>
                <w:rFonts w:hint="eastAsia"/>
                <w:color w:val="000000"/>
                <w:sz w:val="21"/>
                <w:szCs w:val="21"/>
                <w:u w:val="none" w:color="auto"/>
                <w:lang w:eastAsia="zh-CN"/>
              </w:rPr>
              <w:t>m</w:t>
            </w:r>
            <w:r>
              <w:rPr>
                <w:rFonts w:hint="eastAsia"/>
                <w:color w:val="000000"/>
                <w:sz w:val="21"/>
                <w:szCs w:val="21"/>
                <w:u w:val="none" w:color="auto"/>
                <w:vertAlign w:val="superscript"/>
                <w:lang w:eastAsia="zh-CN"/>
              </w:rPr>
              <w:t>3</w:t>
            </w:r>
          </w:p>
        </w:tc>
        <w:tc>
          <w:tcPr>
            <w:tcW w:w="1391" w:type="dxa"/>
            <w:shd w:val="clear" w:color="auto" w:fill="auto"/>
            <w:vAlign w:val="center"/>
          </w:tcPr>
          <w:p w14:paraId="3BAF7CFC">
            <w:pPr>
              <w:pStyle w:val="52"/>
              <w:bidi w:val="0"/>
              <w:rPr>
                <w:rFonts w:hint="default" w:ascii="Times New Roman" w:hAnsi="Times New Roman" w:eastAsia="宋体" w:cs="Times New Roman"/>
                <w:color w:val="000000"/>
                <w:kern w:val="2"/>
                <w:sz w:val="21"/>
                <w:szCs w:val="28"/>
                <w:highlight w:val="none"/>
                <w:lang w:val="en-US" w:eastAsia="zh-CN" w:bidi="ar-SA"/>
              </w:rPr>
            </w:pPr>
            <w:r>
              <w:rPr>
                <w:rFonts w:hint="default" w:ascii="Times New Roman" w:hAnsi="Times New Roman" w:eastAsia="宋体" w:cs="Times New Roman"/>
                <w:highlight w:val="none"/>
                <w:lang w:val="en-US" w:eastAsia="zh-CN"/>
              </w:rPr>
              <w:t>0.396</w:t>
            </w:r>
          </w:p>
        </w:tc>
        <w:tc>
          <w:tcPr>
            <w:tcW w:w="1213" w:type="dxa"/>
            <w:shd w:val="clear" w:color="auto" w:fill="auto"/>
            <w:vAlign w:val="center"/>
          </w:tcPr>
          <w:p w14:paraId="77F3203C">
            <w:pPr>
              <w:pStyle w:val="52"/>
              <w:bidi w:val="0"/>
              <w:rPr>
                <w:rFonts w:hint="default" w:ascii="Times New Roman" w:hAnsi="Times New Roman" w:eastAsia="宋体" w:cs="Times New Roman"/>
                <w:color w:val="000000"/>
                <w:kern w:val="2"/>
                <w:sz w:val="21"/>
                <w:szCs w:val="28"/>
                <w:highlight w:val="none"/>
                <w:lang w:val="en-US" w:eastAsia="zh-CN" w:bidi="ar-SA"/>
              </w:rPr>
            </w:pPr>
            <w:r>
              <w:rPr>
                <w:rFonts w:hint="default" w:ascii="Times New Roman" w:hAnsi="Times New Roman" w:eastAsia="宋体" w:cs="Times New Roman"/>
                <w:color w:val="000000"/>
                <w:kern w:val="2"/>
                <w:sz w:val="21"/>
                <w:szCs w:val="28"/>
                <w:highlight w:val="none"/>
                <w:lang w:val="en-US" w:eastAsia="zh-CN" w:bidi="ar-SA"/>
              </w:rPr>
              <w:t>0.055</w:t>
            </w:r>
          </w:p>
        </w:tc>
        <w:tc>
          <w:tcPr>
            <w:tcW w:w="1034" w:type="dxa"/>
            <w:shd w:val="clear" w:color="auto" w:fill="auto"/>
            <w:vAlign w:val="center"/>
          </w:tcPr>
          <w:p w14:paraId="435EA84D">
            <w:pPr>
              <w:pStyle w:val="52"/>
              <w:bidi w:val="0"/>
              <w:rPr>
                <w:rFonts w:hint="eastAsia" w:ascii="Times New Roman" w:hAnsi="Times New Roman" w:eastAsia="宋体" w:cs="Times New Roman"/>
                <w:color w:val="000000"/>
                <w:kern w:val="2"/>
                <w:sz w:val="21"/>
                <w:szCs w:val="28"/>
                <w:highlight w:val="none"/>
                <w:lang w:val="en-US" w:eastAsia="zh-CN" w:bidi="ar-SA"/>
              </w:rPr>
            </w:pPr>
            <w:r>
              <w:rPr>
                <w:rFonts w:hint="default" w:ascii="Times New Roman" w:hAnsi="Times New Roman" w:eastAsia="宋体" w:cs="Times New Roman"/>
                <w:highlight w:val="none"/>
                <w:lang w:val="en-US" w:eastAsia="zh-CN"/>
              </w:rPr>
              <w:t>22.64</w:t>
            </w:r>
          </w:p>
        </w:tc>
        <w:tc>
          <w:tcPr>
            <w:tcW w:w="1410" w:type="dxa"/>
            <w:shd w:val="clear" w:color="auto" w:fill="auto"/>
            <w:vAlign w:val="center"/>
          </w:tcPr>
          <w:p w14:paraId="32931AB6">
            <w:pPr>
              <w:pStyle w:val="52"/>
              <w:bidi w:val="0"/>
              <w:rPr>
                <w:rFonts w:hint="eastAsia" w:ascii="Times New Roman" w:hAnsi="Times New Roman" w:eastAsia="宋体" w:cs="Times New Roman"/>
                <w:color w:val="000000"/>
                <w:kern w:val="2"/>
                <w:sz w:val="21"/>
                <w:szCs w:val="28"/>
                <w:highlight w:val="none"/>
                <w:lang w:val="en-US" w:eastAsia="zh-CN" w:bidi="ar-SA"/>
              </w:rPr>
            </w:pPr>
            <w:r>
              <w:rPr>
                <w:rFonts w:hint="default" w:ascii="Times New Roman" w:hAnsi="Times New Roman" w:eastAsia="宋体" w:cs="Times New Roman"/>
                <w:color w:val="000000"/>
                <w:kern w:val="2"/>
                <w:sz w:val="21"/>
                <w:szCs w:val="28"/>
                <w:highlight w:val="none"/>
                <w:lang w:val="en-US" w:eastAsia="zh-CN" w:bidi="ar-SA"/>
              </w:rPr>
              <w:t>2.87</w:t>
            </w:r>
            <w:r>
              <w:rPr>
                <w:rFonts w:ascii="Times New Roman" w:hAnsi="Times New Roman"/>
                <w:color w:val="000000"/>
                <w:sz w:val="21"/>
                <w:szCs w:val="21"/>
                <w:u w:val="none" w:color="auto"/>
              </w:rPr>
              <w:t>mg/</w:t>
            </w:r>
            <w:r>
              <w:rPr>
                <w:rFonts w:hint="eastAsia"/>
                <w:color w:val="000000"/>
                <w:sz w:val="21"/>
                <w:szCs w:val="21"/>
                <w:u w:val="none" w:color="auto"/>
                <w:lang w:eastAsia="zh-CN"/>
              </w:rPr>
              <w:t>m</w:t>
            </w:r>
            <w:r>
              <w:rPr>
                <w:rFonts w:hint="eastAsia"/>
                <w:color w:val="000000"/>
                <w:sz w:val="21"/>
                <w:szCs w:val="21"/>
                <w:u w:val="none" w:color="auto"/>
                <w:vertAlign w:val="superscript"/>
                <w:lang w:eastAsia="zh-CN"/>
              </w:rPr>
              <w:t>3</w:t>
            </w:r>
          </w:p>
        </w:tc>
        <w:tc>
          <w:tcPr>
            <w:tcW w:w="1388" w:type="dxa"/>
            <w:shd w:val="clear" w:color="auto" w:fill="auto"/>
            <w:vAlign w:val="center"/>
          </w:tcPr>
          <w:p w14:paraId="2C35F19D">
            <w:pPr>
              <w:pStyle w:val="52"/>
              <w:bidi w:val="0"/>
              <w:rPr>
                <w:rFonts w:hint="default" w:ascii="Times New Roman" w:hAnsi="Times New Roman" w:eastAsia="宋体" w:cs="Times New Roman"/>
                <w:color w:val="000000"/>
                <w:kern w:val="2"/>
                <w:sz w:val="21"/>
                <w:szCs w:val="28"/>
                <w:highlight w:val="none"/>
                <w:lang w:val="en-US" w:eastAsia="zh-CN" w:bidi="ar-SA"/>
              </w:rPr>
            </w:pPr>
            <w:r>
              <w:rPr>
                <w:rFonts w:hint="default" w:ascii="Times New Roman" w:hAnsi="Times New Roman" w:eastAsia="宋体" w:cs="Times New Roman"/>
                <w:highlight w:val="none"/>
                <w:lang w:val="en-US" w:eastAsia="zh-CN"/>
              </w:rPr>
              <w:t>0.3096</w:t>
            </w:r>
          </w:p>
        </w:tc>
        <w:tc>
          <w:tcPr>
            <w:tcW w:w="1350" w:type="dxa"/>
            <w:shd w:val="clear" w:color="auto" w:fill="auto"/>
            <w:vAlign w:val="center"/>
          </w:tcPr>
          <w:p w14:paraId="3932ACD6">
            <w:pPr>
              <w:pStyle w:val="52"/>
              <w:bidi w:val="0"/>
              <w:rPr>
                <w:rFonts w:hint="default" w:ascii="Times New Roman" w:hAnsi="Times New Roman" w:eastAsia="宋体" w:cs="Times New Roman"/>
                <w:color w:val="000000"/>
                <w:kern w:val="2"/>
                <w:sz w:val="21"/>
                <w:szCs w:val="28"/>
                <w:highlight w:val="none"/>
                <w:lang w:val="en-US" w:eastAsia="zh-CN" w:bidi="ar-SA"/>
              </w:rPr>
            </w:pPr>
            <w:r>
              <w:rPr>
                <w:rFonts w:hint="default" w:ascii="Times New Roman" w:hAnsi="Times New Roman" w:eastAsia="宋体" w:cs="Times New Roman"/>
                <w:color w:val="000000"/>
                <w:kern w:val="2"/>
                <w:sz w:val="21"/>
                <w:szCs w:val="28"/>
                <w:highlight w:val="none"/>
                <w:lang w:val="en-US" w:eastAsia="zh-CN" w:bidi="ar-SA"/>
              </w:rPr>
              <w:t>0.043</w:t>
            </w:r>
          </w:p>
        </w:tc>
      </w:tr>
      <w:tr w14:paraId="1FCE0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Merge w:val="continue"/>
            <w:vAlign w:val="center"/>
          </w:tcPr>
          <w:p w14:paraId="6D42692C">
            <w:pPr>
              <w:jc w:val="center"/>
              <w:rPr>
                <w:rFonts w:ascii="Times New Roman" w:hAnsi="Times New Roman" w:eastAsia="宋体" w:cs="Times New Roman"/>
                <w:color w:val="auto"/>
                <w:sz w:val="22"/>
              </w:rPr>
            </w:pPr>
          </w:p>
        </w:tc>
        <w:tc>
          <w:tcPr>
            <w:tcW w:w="1909" w:type="dxa"/>
            <w:vMerge w:val="continue"/>
            <w:vAlign w:val="center"/>
          </w:tcPr>
          <w:p w14:paraId="6F69BC0B">
            <w:pPr>
              <w:jc w:val="center"/>
              <w:rPr>
                <w:rFonts w:ascii="Times New Roman" w:hAnsi="Times New Roman" w:eastAsia="宋体" w:cs="Times New Roman"/>
                <w:color w:val="auto"/>
                <w:sz w:val="22"/>
              </w:rPr>
            </w:pPr>
          </w:p>
        </w:tc>
        <w:tc>
          <w:tcPr>
            <w:tcW w:w="1050" w:type="dxa"/>
            <w:vMerge w:val="continue"/>
            <w:vAlign w:val="center"/>
          </w:tcPr>
          <w:p w14:paraId="465FF20C">
            <w:pPr>
              <w:jc w:val="center"/>
              <w:rPr>
                <w:rFonts w:ascii="Times New Roman" w:hAnsi="Times New Roman" w:eastAsia="宋体" w:cs="Times New Roman"/>
                <w:color w:val="auto"/>
                <w:sz w:val="22"/>
              </w:rPr>
            </w:pPr>
          </w:p>
        </w:tc>
        <w:tc>
          <w:tcPr>
            <w:tcW w:w="1596" w:type="dxa"/>
            <w:shd w:val="clear" w:color="auto" w:fill="auto"/>
            <w:vAlign w:val="center"/>
          </w:tcPr>
          <w:p w14:paraId="69D5A088">
            <w:pPr>
              <w:pStyle w:val="52"/>
              <w:bidi w:val="0"/>
              <w:rPr>
                <w:rFonts w:hint="default" w:ascii="Times New Roman" w:hAnsi="Times New Roman" w:eastAsia="宋体" w:cs="Times New Roman"/>
                <w:color w:val="auto"/>
                <w:kern w:val="2"/>
                <w:sz w:val="21"/>
                <w:szCs w:val="28"/>
                <w:lang w:val="en-US" w:eastAsia="zh-CN" w:bidi="ar-SA"/>
              </w:rPr>
            </w:pPr>
            <w:r>
              <w:rPr>
                <w:rFonts w:hint="eastAsia" w:cs="Times New Roman"/>
                <w:color w:val="auto"/>
                <w:kern w:val="2"/>
                <w:sz w:val="21"/>
                <w:szCs w:val="28"/>
                <w:lang w:val="en-US" w:eastAsia="zh-CN" w:bidi="ar-SA"/>
              </w:rPr>
              <w:t>臭气浓度</w:t>
            </w:r>
          </w:p>
        </w:tc>
        <w:tc>
          <w:tcPr>
            <w:tcW w:w="3995" w:type="dxa"/>
            <w:gridSpan w:val="3"/>
            <w:shd w:val="clear" w:color="auto" w:fill="auto"/>
            <w:vAlign w:val="center"/>
          </w:tcPr>
          <w:p w14:paraId="4D0630CD">
            <w:pPr>
              <w:pStyle w:val="52"/>
              <w:bidi w:val="0"/>
              <w:rPr>
                <w:rFonts w:hint="default" w:ascii="Times New Roman" w:hAnsi="Times New Roman" w:eastAsia="宋体" w:cs="Times New Roman"/>
                <w:color w:val="auto"/>
                <w:kern w:val="2"/>
                <w:sz w:val="21"/>
                <w:szCs w:val="28"/>
                <w:lang w:val="en-US" w:eastAsia="zh-CN" w:bidi="ar-SA"/>
              </w:rPr>
            </w:pPr>
            <w:r>
              <w:rPr>
                <w:rFonts w:hint="eastAsia" w:cs="Times New Roman"/>
                <w:color w:val="auto"/>
                <w:kern w:val="2"/>
                <w:sz w:val="21"/>
                <w:szCs w:val="28"/>
                <w:lang w:val="en-US" w:eastAsia="zh-CN" w:bidi="ar-SA"/>
              </w:rPr>
              <w:t>819（无量纲）</w:t>
            </w:r>
          </w:p>
        </w:tc>
        <w:tc>
          <w:tcPr>
            <w:tcW w:w="1034" w:type="dxa"/>
            <w:shd w:val="clear" w:color="auto" w:fill="auto"/>
            <w:vAlign w:val="center"/>
          </w:tcPr>
          <w:p w14:paraId="12B12ADA">
            <w:pPr>
              <w:pStyle w:val="52"/>
              <w:bidi w:val="0"/>
              <w:rPr>
                <w:rFonts w:hint="default" w:cs="Times New Roman"/>
                <w:color w:val="auto"/>
                <w:lang w:val="en-US" w:eastAsia="zh-CN"/>
              </w:rPr>
            </w:pPr>
            <w:r>
              <w:rPr>
                <w:rFonts w:hint="eastAsia" w:cs="Times New Roman"/>
                <w:color w:val="auto"/>
                <w:lang w:val="en-US" w:eastAsia="zh-CN"/>
              </w:rPr>
              <w:t>25.9</w:t>
            </w:r>
          </w:p>
        </w:tc>
        <w:tc>
          <w:tcPr>
            <w:tcW w:w="4148" w:type="dxa"/>
            <w:gridSpan w:val="3"/>
            <w:shd w:val="clear" w:color="auto" w:fill="auto"/>
            <w:vAlign w:val="center"/>
          </w:tcPr>
          <w:p w14:paraId="65022EE6">
            <w:pPr>
              <w:pStyle w:val="52"/>
              <w:bidi w:val="0"/>
              <w:rPr>
                <w:rFonts w:hint="default" w:ascii="Times New Roman" w:hAnsi="Times New Roman" w:eastAsia="宋体" w:cs="Times New Roman"/>
                <w:color w:val="auto"/>
                <w:kern w:val="2"/>
                <w:sz w:val="21"/>
                <w:szCs w:val="28"/>
                <w:lang w:val="en-US" w:eastAsia="zh-CN" w:bidi="ar-SA"/>
              </w:rPr>
            </w:pPr>
            <w:r>
              <w:rPr>
                <w:rFonts w:hint="eastAsia" w:cs="Times New Roman"/>
                <w:color w:val="auto"/>
                <w:kern w:val="2"/>
                <w:sz w:val="21"/>
                <w:szCs w:val="28"/>
                <w:lang w:val="en-US" w:eastAsia="zh-CN" w:bidi="ar-SA"/>
              </w:rPr>
              <w:t>607（无量纲）</w:t>
            </w:r>
          </w:p>
        </w:tc>
      </w:tr>
      <w:tr w14:paraId="550C8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Merge w:val="continue"/>
            <w:vAlign w:val="center"/>
          </w:tcPr>
          <w:p w14:paraId="443CB041">
            <w:pPr>
              <w:jc w:val="center"/>
              <w:rPr>
                <w:rFonts w:ascii="Times New Roman" w:hAnsi="Times New Roman" w:eastAsia="宋体" w:cs="Times New Roman"/>
                <w:color w:val="auto"/>
                <w:sz w:val="22"/>
              </w:rPr>
            </w:pPr>
          </w:p>
        </w:tc>
        <w:tc>
          <w:tcPr>
            <w:tcW w:w="1909" w:type="dxa"/>
            <w:vMerge w:val="restart"/>
            <w:vAlign w:val="center"/>
          </w:tcPr>
          <w:p w14:paraId="707E6BA6">
            <w:pPr>
              <w:jc w:val="center"/>
              <w:rPr>
                <w:rFonts w:hint="default" w:ascii="Times New Roman" w:hAnsi="Times New Roman" w:eastAsia="宋体" w:cs="Times New Roman"/>
                <w:color w:val="auto"/>
                <w:sz w:val="22"/>
                <w:lang w:val="en-US" w:eastAsia="zh-CN"/>
              </w:rPr>
            </w:pPr>
            <w:r>
              <w:rPr>
                <w:rFonts w:hint="eastAsia" w:ascii="Times New Roman" w:hAnsi="Times New Roman" w:eastAsia="宋体" w:cs="Times New Roman"/>
                <w:color w:val="auto"/>
                <w:sz w:val="22"/>
                <w:lang w:val="en-US" w:eastAsia="zh-CN"/>
              </w:rPr>
              <w:t>污水站、危废暂存间废气</w:t>
            </w:r>
          </w:p>
        </w:tc>
        <w:tc>
          <w:tcPr>
            <w:tcW w:w="1050" w:type="dxa"/>
            <w:vMerge w:val="restart"/>
            <w:vAlign w:val="center"/>
          </w:tcPr>
          <w:p w14:paraId="585FB2A5">
            <w:pPr>
              <w:jc w:val="center"/>
              <w:rPr>
                <w:rFonts w:hint="default" w:ascii="Times New Roman" w:hAnsi="Times New Roman" w:eastAsia="宋体" w:cs="Times New Roman"/>
                <w:color w:val="auto"/>
                <w:sz w:val="22"/>
                <w:lang w:val="en-US" w:eastAsia="zh-CN"/>
              </w:rPr>
            </w:pPr>
            <w:r>
              <w:rPr>
                <w:rFonts w:hint="eastAsia" w:ascii="Times New Roman" w:hAnsi="Times New Roman" w:eastAsia="宋体" w:cs="Times New Roman"/>
                <w:color w:val="auto"/>
                <w:sz w:val="22"/>
                <w:lang w:val="en-US" w:eastAsia="zh-CN"/>
              </w:rPr>
              <w:t>DA002</w:t>
            </w:r>
          </w:p>
        </w:tc>
        <w:tc>
          <w:tcPr>
            <w:tcW w:w="1596" w:type="dxa"/>
            <w:shd w:val="clear" w:color="auto" w:fill="auto"/>
            <w:vAlign w:val="center"/>
          </w:tcPr>
          <w:p w14:paraId="03266CEA">
            <w:pPr>
              <w:pStyle w:val="52"/>
              <w:bidi w:val="0"/>
              <w:rPr>
                <w:rFonts w:hint="eastAsia" w:ascii="宋体" w:hAnsi="宋体" w:eastAsia="宋体" w:cs="宋体"/>
                <w:color w:val="auto"/>
                <w:kern w:val="2"/>
                <w:sz w:val="21"/>
                <w:szCs w:val="28"/>
                <w:lang w:val="en-US" w:eastAsia="zh-CN" w:bidi="ar-SA"/>
              </w:rPr>
            </w:pPr>
            <w:r>
              <w:rPr>
                <w:rFonts w:hint="eastAsia" w:ascii="宋体" w:hAnsi="宋体" w:eastAsia="宋体" w:cs="宋体"/>
                <w:color w:val="auto"/>
                <w:lang w:val="en-US" w:eastAsia="zh-CN"/>
              </w:rPr>
              <w:t>氨气</w:t>
            </w:r>
          </w:p>
        </w:tc>
        <w:tc>
          <w:tcPr>
            <w:tcW w:w="1391" w:type="dxa"/>
            <w:shd w:val="clear" w:color="auto" w:fill="auto"/>
            <w:vAlign w:val="center"/>
          </w:tcPr>
          <w:p w14:paraId="4BDC467B">
            <w:pPr>
              <w:pStyle w:val="52"/>
              <w:bidi w:val="0"/>
              <w:rPr>
                <w:rFonts w:hint="eastAsia" w:ascii="Times New Roman" w:hAnsi="Times New Roman" w:eastAsia="宋体" w:cs="Times New Roman"/>
                <w:color w:val="auto"/>
                <w:kern w:val="2"/>
                <w:sz w:val="21"/>
                <w:szCs w:val="28"/>
                <w:highlight w:val="none"/>
                <w:lang w:val="en-US" w:eastAsia="zh-CN" w:bidi="ar-SA"/>
              </w:rPr>
            </w:pPr>
            <w:r>
              <w:rPr>
                <w:rFonts w:hint="default" w:ascii="Times New Roman" w:hAnsi="Times New Roman" w:eastAsia="宋体" w:cs="Times New Roman"/>
                <w:color w:val="auto"/>
                <w:highlight w:val="none"/>
                <w:lang w:val="en-US" w:eastAsia="zh-CN"/>
              </w:rPr>
              <w:t>1.26</w:t>
            </w:r>
            <w:r>
              <w:rPr>
                <w:rFonts w:ascii="Times New Roman" w:hAnsi="Times New Roman"/>
                <w:color w:val="000000"/>
                <w:sz w:val="21"/>
                <w:szCs w:val="21"/>
                <w:u w:val="none" w:color="auto"/>
              </w:rPr>
              <w:t>mg/</w:t>
            </w:r>
            <w:r>
              <w:rPr>
                <w:rFonts w:hint="eastAsia"/>
                <w:color w:val="000000"/>
                <w:sz w:val="21"/>
                <w:szCs w:val="21"/>
                <w:u w:val="none" w:color="auto"/>
                <w:lang w:eastAsia="zh-CN"/>
              </w:rPr>
              <w:t>m</w:t>
            </w:r>
            <w:r>
              <w:rPr>
                <w:rFonts w:hint="eastAsia"/>
                <w:color w:val="000000"/>
                <w:sz w:val="21"/>
                <w:szCs w:val="21"/>
                <w:u w:val="none" w:color="auto"/>
                <w:vertAlign w:val="superscript"/>
                <w:lang w:eastAsia="zh-CN"/>
              </w:rPr>
              <w:t>3</w:t>
            </w:r>
          </w:p>
        </w:tc>
        <w:tc>
          <w:tcPr>
            <w:tcW w:w="1391" w:type="dxa"/>
            <w:shd w:val="clear" w:color="auto" w:fill="auto"/>
            <w:vAlign w:val="center"/>
          </w:tcPr>
          <w:p w14:paraId="462B474E">
            <w:pPr>
              <w:pStyle w:val="52"/>
              <w:bidi w:val="0"/>
              <w:rPr>
                <w:rFonts w:hint="default" w:ascii="Times New Roman" w:hAnsi="Times New Roman" w:eastAsia="宋体" w:cs="Times New Roman"/>
                <w:color w:val="auto"/>
                <w:kern w:val="2"/>
                <w:sz w:val="21"/>
                <w:szCs w:val="28"/>
                <w:highlight w:val="none"/>
                <w:lang w:val="en-US" w:eastAsia="zh-CN" w:bidi="ar-SA"/>
              </w:rPr>
            </w:pPr>
            <w:r>
              <w:rPr>
                <w:rFonts w:hint="default" w:ascii="Times New Roman" w:hAnsi="Times New Roman" w:eastAsia="宋体" w:cs="Times New Roman"/>
                <w:color w:val="auto"/>
                <w:highlight w:val="none"/>
                <w:lang w:val="en-US" w:eastAsia="zh-CN"/>
              </w:rPr>
              <w:t>0.432</w:t>
            </w:r>
          </w:p>
        </w:tc>
        <w:tc>
          <w:tcPr>
            <w:tcW w:w="1213" w:type="dxa"/>
            <w:shd w:val="clear" w:color="auto" w:fill="auto"/>
            <w:vAlign w:val="center"/>
          </w:tcPr>
          <w:p w14:paraId="48AA636E">
            <w:pPr>
              <w:pStyle w:val="52"/>
              <w:bidi w:val="0"/>
              <w:rPr>
                <w:rFonts w:hint="eastAsia" w:ascii="Times New Roman" w:hAnsi="Times New Roman" w:eastAsia="宋体" w:cs="Times New Roman"/>
                <w:color w:val="auto"/>
                <w:kern w:val="2"/>
                <w:sz w:val="21"/>
                <w:szCs w:val="28"/>
                <w:highlight w:val="none"/>
                <w:lang w:val="en-US" w:eastAsia="zh-CN" w:bidi="ar-SA"/>
              </w:rPr>
            </w:pPr>
            <w:r>
              <w:rPr>
                <w:rFonts w:hint="default" w:ascii="Times New Roman" w:hAnsi="Times New Roman" w:eastAsia="宋体" w:cs="Times New Roman"/>
                <w:color w:val="auto"/>
                <w:highlight w:val="none"/>
                <w:lang w:val="en-US" w:eastAsia="zh-CN"/>
              </w:rPr>
              <w:t>0.006</w:t>
            </w:r>
          </w:p>
        </w:tc>
        <w:tc>
          <w:tcPr>
            <w:tcW w:w="1034" w:type="dxa"/>
            <w:shd w:val="clear" w:color="auto" w:fill="auto"/>
            <w:vAlign w:val="center"/>
          </w:tcPr>
          <w:p w14:paraId="1002CF73">
            <w:pPr>
              <w:pStyle w:val="70"/>
              <w:bidi w:val="0"/>
              <w:ind w:firstLine="0" w:firstLineChars="0"/>
              <w:rPr>
                <w:rFonts w:hint="eastAsia" w:ascii="Times New Roman" w:hAnsi="Times New Roman" w:eastAsia="宋体" w:cs="Times New Roman"/>
                <w:color w:val="000000"/>
                <w:kern w:val="2"/>
                <w:sz w:val="21"/>
                <w:szCs w:val="21"/>
                <w:highlight w:val="none"/>
                <w:u w:val="none" w:color="auto"/>
                <w:lang w:val="en-US" w:eastAsia="zh-CN" w:bidi="ar-SA"/>
              </w:rPr>
            </w:pPr>
            <w:r>
              <w:rPr>
                <w:rFonts w:hint="default" w:ascii="Times New Roman" w:hAnsi="Times New Roman" w:eastAsia="宋体" w:cs="Times New Roman"/>
                <w:color w:val="000000"/>
                <w:highlight w:val="none"/>
                <w:u w:val="none" w:color="auto"/>
                <w:lang w:val="en-US" w:eastAsia="zh-CN"/>
              </w:rPr>
              <w:t>21.4</w:t>
            </w:r>
          </w:p>
        </w:tc>
        <w:tc>
          <w:tcPr>
            <w:tcW w:w="1410" w:type="dxa"/>
            <w:shd w:val="clear" w:color="auto" w:fill="auto"/>
            <w:vAlign w:val="center"/>
          </w:tcPr>
          <w:p w14:paraId="49685445">
            <w:pPr>
              <w:pStyle w:val="52"/>
              <w:bidi w:val="0"/>
              <w:rPr>
                <w:rFonts w:hint="eastAsia" w:ascii="Times New Roman" w:hAnsi="Times New Roman" w:eastAsia="宋体" w:cs="Times New Roman"/>
                <w:color w:val="auto"/>
                <w:kern w:val="2"/>
                <w:sz w:val="21"/>
                <w:szCs w:val="28"/>
                <w:highlight w:val="none"/>
                <w:lang w:val="en-US" w:eastAsia="zh-CN" w:bidi="ar-SA"/>
              </w:rPr>
            </w:pPr>
            <w:r>
              <w:rPr>
                <w:rFonts w:hint="default" w:ascii="Times New Roman" w:hAnsi="Times New Roman" w:eastAsia="宋体" w:cs="Times New Roman"/>
                <w:color w:val="auto"/>
                <w:highlight w:val="none"/>
                <w:lang w:val="en-US" w:eastAsia="zh-CN"/>
              </w:rPr>
              <w:t>0.99</w:t>
            </w:r>
            <w:r>
              <w:rPr>
                <w:rFonts w:ascii="Times New Roman" w:hAnsi="Times New Roman"/>
                <w:color w:val="000000"/>
                <w:sz w:val="21"/>
                <w:szCs w:val="21"/>
                <w:u w:val="none" w:color="auto"/>
              </w:rPr>
              <w:t>mg/</w:t>
            </w:r>
            <w:r>
              <w:rPr>
                <w:rFonts w:hint="eastAsia"/>
                <w:color w:val="000000"/>
                <w:sz w:val="21"/>
                <w:szCs w:val="21"/>
                <w:u w:val="none" w:color="auto"/>
                <w:lang w:eastAsia="zh-CN"/>
              </w:rPr>
              <w:t>m</w:t>
            </w:r>
            <w:r>
              <w:rPr>
                <w:rFonts w:hint="eastAsia"/>
                <w:color w:val="000000"/>
                <w:sz w:val="21"/>
                <w:szCs w:val="21"/>
                <w:u w:val="none" w:color="auto"/>
                <w:vertAlign w:val="superscript"/>
                <w:lang w:eastAsia="zh-CN"/>
              </w:rPr>
              <w:t>3</w:t>
            </w:r>
          </w:p>
        </w:tc>
        <w:tc>
          <w:tcPr>
            <w:tcW w:w="1388" w:type="dxa"/>
            <w:shd w:val="clear" w:color="auto" w:fill="auto"/>
            <w:vAlign w:val="center"/>
          </w:tcPr>
          <w:p w14:paraId="466AFD7D">
            <w:pPr>
              <w:pStyle w:val="52"/>
              <w:bidi w:val="0"/>
              <w:rPr>
                <w:rFonts w:hint="default" w:ascii="Times New Roman" w:hAnsi="Times New Roman" w:eastAsia="宋体" w:cs="Times New Roman"/>
                <w:color w:val="auto"/>
                <w:kern w:val="2"/>
                <w:sz w:val="21"/>
                <w:szCs w:val="28"/>
                <w:highlight w:val="none"/>
                <w:lang w:val="en-US" w:eastAsia="zh-CN" w:bidi="ar-SA"/>
              </w:rPr>
            </w:pPr>
            <w:r>
              <w:rPr>
                <w:rFonts w:hint="default" w:ascii="Times New Roman" w:hAnsi="Times New Roman" w:eastAsia="宋体" w:cs="Times New Roman"/>
                <w:color w:val="auto"/>
                <w:highlight w:val="none"/>
                <w:lang w:val="en-US" w:eastAsia="zh-CN"/>
              </w:rPr>
              <w:t>0.03024</w:t>
            </w:r>
          </w:p>
        </w:tc>
        <w:tc>
          <w:tcPr>
            <w:tcW w:w="1350" w:type="dxa"/>
            <w:shd w:val="clear" w:color="auto" w:fill="auto"/>
            <w:vAlign w:val="center"/>
          </w:tcPr>
          <w:p w14:paraId="4A6B1937">
            <w:pPr>
              <w:pStyle w:val="52"/>
              <w:bidi w:val="0"/>
              <w:rPr>
                <w:rFonts w:hint="eastAsia" w:ascii="Times New Roman" w:hAnsi="Times New Roman" w:eastAsia="宋体" w:cs="Times New Roman"/>
                <w:color w:val="auto"/>
                <w:kern w:val="2"/>
                <w:sz w:val="21"/>
                <w:szCs w:val="28"/>
                <w:highlight w:val="none"/>
                <w:lang w:val="en-US" w:eastAsia="zh-CN" w:bidi="ar-SA"/>
              </w:rPr>
            </w:pPr>
            <w:r>
              <w:rPr>
                <w:rFonts w:hint="default" w:ascii="Times New Roman" w:hAnsi="Times New Roman" w:eastAsia="宋体" w:cs="Times New Roman"/>
                <w:color w:val="auto"/>
                <w:highlight w:val="none"/>
                <w:lang w:val="en-US" w:eastAsia="zh-CN"/>
              </w:rPr>
              <w:t>0.0042</w:t>
            </w:r>
          </w:p>
        </w:tc>
      </w:tr>
      <w:tr w14:paraId="759B9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Merge w:val="continue"/>
            <w:vAlign w:val="center"/>
          </w:tcPr>
          <w:p w14:paraId="58A2ADEE">
            <w:pPr>
              <w:jc w:val="center"/>
              <w:rPr>
                <w:rFonts w:ascii="Times New Roman" w:hAnsi="Times New Roman" w:eastAsia="宋体" w:cs="Times New Roman"/>
                <w:color w:val="auto"/>
                <w:sz w:val="22"/>
              </w:rPr>
            </w:pPr>
          </w:p>
        </w:tc>
        <w:tc>
          <w:tcPr>
            <w:tcW w:w="1909" w:type="dxa"/>
            <w:vMerge w:val="continue"/>
            <w:vAlign w:val="center"/>
          </w:tcPr>
          <w:p w14:paraId="226A9F74">
            <w:pPr>
              <w:jc w:val="center"/>
              <w:rPr>
                <w:rFonts w:hint="eastAsia" w:ascii="Times New Roman" w:hAnsi="Times New Roman" w:eastAsia="宋体" w:cs="Times New Roman"/>
                <w:color w:val="auto"/>
                <w:sz w:val="22"/>
              </w:rPr>
            </w:pPr>
          </w:p>
        </w:tc>
        <w:tc>
          <w:tcPr>
            <w:tcW w:w="1050" w:type="dxa"/>
            <w:vMerge w:val="continue"/>
            <w:vAlign w:val="center"/>
          </w:tcPr>
          <w:p w14:paraId="767D89D4">
            <w:pPr>
              <w:jc w:val="center"/>
              <w:rPr>
                <w:rFonts w:hint="eastAsia" w:ascii="Times New Roman" w:hAnsi="Times New Roman" w:eastAsia="宋体" w:cs="Times New Roman"/>
                <w:color w:val="auto"/>
                <w:sz w:val="22"/>
              </w:rPr>
            </w:pPr>
          </w:p>
        </w:tc>
        <w:tc>
          <w:tcPr>
            <w:tcW w:w="1596" w:type="dxa"/>
            <w:shd w:val="clear" w:color="auto" w:fill="auto"/>
            <w:vAlign w:val="center"/>
          </w:tcPr>
          <w:p w14:paraId="66FDF159">
            <w:pPr>
              <w:pStyle w:val="52"/>
              <w:bidi w:val="0"/>
              <w:rPr>
                <w:rFonts w:hint="eastAsia" w:ascii="宋体" w:hAnsi="宋体" w:eastAsia="宋体" w:cs="宋体"/>
                <w:color w:val="auto"/>
                <w:kern w:val="2"/>
                <w:sz w:val="21"/>
                <w:szCs w:val="28"/>
                <w:lang w:val="en-US" w:eastAsia="zh-CN" w:bidi="ar-SA"/>
              </w:rPr>
            </w:pPr>
            <w:r>
              <w:rPr>
                <w:rFonts w:hint="eastAsia" w:ascii="宋体" w:hAnsi="宋体" w:eastAsia="宋体" w:cs="宋体"/>
                <w:color w:val="auto"/>
                <w:lang w:val="en-US" w:eastAsia="zh-CN"/>
              </w:rPr>
              <w:t>硫化氢</w:t>
            </w:r>
          </w:p>
        </w:tc>
        <w:tc>
          <w:tcPr>
            <w:tcW w:w="1391" w:type="dxa"/>
            <w:shd w:val="clear" w:color="auto" w:fill="auto"/>
            <w:vAlign w:val="center"/>
          </w:tcPr>
          <w:p w14:paraId="7776E67D">
            <w:pPr>
              <w:pStyle w:val="52"/>
              <w:bidi w:val="0"/>
              <w:rPr>
                <w:rFonts w:hint="eastAsia" w:ascii="Times New Roman" w:hAnsi="Times New Roman" w:eastAsia="宋体" w:cs="Times New Roman"/>
                <w:color w:val="auto"/>
                <w:kern w:val="2"/>
                <w:sz w:val="21"/>
                <w:szCs w:val="28"/>
                <w:highlight w:val="none"/>
                <w:lang w:val="en-US" w:eastAsia="zh-CN" w:bidi="ar-SA"/>
              </w:rPr>
            </w:pPr>
            <w:r>
              <w:rPr>
                <w:rFonts w:hint="default" w:ascii="Times New Roman" w:hAnsi="Times New Roman" w:eastAsia="宋体" w:cs="Times New Roman"/>
                <w:color w:val="auto"/>
                <w:highlight w:val="none"/>
                <w:lang w:val="en-US" w:eastAsia="zh-CN"/>
              </w:rPr>
              <w:t>0.527</w:t>
            </w:r>
            <w:r>
              <w:rPr>
                <w:rFonts w:ascii="Times New Roman" w:hAnsi="Times New Roman"/>
                <w:color w:val="000000"/>
                <w:sz w:val="21"/>
                <w:szCs w:val="21"/>
                <w:u w:val="none" w:color="auto"/>
              </w:rPr>
              <w:t>mg/</w:t>
            </w:r>
            <w:r>
              <w:rPr>
                <w:rFonts w:hint="eastAsia"/>
                <w:color w:val="000000"/>
                <w:sz w:val="21"/>
                <w:szCs w:val="21"/>
                <w:u w:val="none" w:color="auto"/>
                <w:lang w:eastAsia="zh-CN"/>
              </w:rPr>
              <w:t>m</w:t>
            </w:r>
            <w:r>
              <w:rPr>
                <w:rFonts w:hint="eastAsia"/>
                <w:color w:val="000000"/>
                <w:sz w:val="21"/>
                <w:szCs w:val="21"/>
                <w:u w:val="none" w:color="auto"/>
                <w:vertAlign w:val="superscript"/>
                <w:lang w:eastAsia="zh-CN"/>
              </w:rPr>
              <w:t>3</w:t>
            </w:r>
          </w:p>
        </w:tc>
        <w:tc>
          <w:tcPr>
            <w:tcW w:w="1391" w:type="dxa"/>
            <w:shd w:val="clear" w:color="auto" w:fill="auto"/>
            <w:vAlign w:val="center"/>
          </w:tcPr>
          <w:p w14:paraId="04A1CAEA">
            <w:pPr>
              <w:pStyle w:val="52"/>
              <w:bidi w:val="0"/>
              <w:rPr>
                <w:rFonts w:hint="default" w:ascii="Times New Roman" w:hAnsi="Times New Roman" w:eastAsia="宋体" w:cs="Times New Roman"/>
                <w:color w:val="auto"/>
                <w:kern w:val="2"/>
                <w:sz w:val="21"/>
                <w:szCs w:val="28"/>
                <w:highlight w:val="none"/>
                <w:lang w:val="en-US" w:eastAsia="zh-CN" w:bidi="ar-SA"/>
              </w:rPr>
            </w:pPr>
            <w:r>
              <w:rPr>
                <w:rFonts w:hint="default" w:ascii="Times New Roman" w:hAnsi="Times New Roman" w:eastAsia="宋体" w:cs="Times New Roman"/>
                <w:color w:val="auto"/>
                <w:highlight w:val="none"/>
                <w:lang w:val="en-US" w:eastAsia="zh-CN"/>
              </w:rPr>
              <w:t>0.018</w:t>
            </w:r>
          </w:p>
        </w:tc>
        <w:tc>
          <w:tcPr>
            <w:tcW w:w="1213" w:type="dxa"/>
            <w:shd w:val="clear" w:color="auto" w:fill="auto"/>
            <w:vAlign w:val="center"/>
          </w:tcPr>
          <w:p w14:paraId="68FB2548">
            <w:pPr>
              <w:pStyle w:val="52"/>
              <w:bidi w:val="0"/>
              <w:rPr>
                <w:rFonts w:hint="eastAsia" w:ascii="Times New Roman" w:hAnsi="Times New Roman" w:eastAsia="宋体" w:cs="Times New Roman"/>
                <w:color w:val="auto"/>
                <w:kern w:val="2"/>
                <w:sz w:val="21"/>
                <w:szCs w:val="28"/>
                <w:highlight w:val="none"/>
                <w:lang w:val="en-US" w:eastAsia="zh-CN" w:bidi="ar-SA"/>
              </w:rPr>
            </w:pPr>
            <w:r>
              <w:rPr>
                <w:rFonts w:hint="default" w:ascii="Times New Roman" w:hAnsi="Times New Roman" w:eastAsia="宋体" w:cs="Times New Roman"/>
                <w:color w:val="auto"/>
                <w:highlight w:val="none"/>
                <w:lang w:val="en-US" w:eastAsia="zh-CN"/>
              </w:rPr>
              <w:t>0.0025</w:t>
            </w:r>
          </w:p>
        </w:tc>
        <w:tc>
          <w:tcPr>
            <w:tcW w:w="1034" w:type="dxa"/>
            <w:shd w:val="clear" w:color="auto" w:fill="auto"/>
            <w:vAlign w:val="center"/>
          </w:tcPr>
          <w:p w14:paraId="6EFB68CE">
            <w:pPr>
              <w:keepNext w:val="0"/>
              <w:keepLines w:val="0"/>
              <w:widowControl/>
              <w:suppressLineNumbers w:val="0"/>
              <w:ind w:firstLine="0" w:firstLineChars="0"/>
              <w:jc w:val="center"/>
              <w:textAlignment w:val="center"/>
              <w:rPr>
                <w:rFonts w:hint="eastAsia" w:ascii="Times New Roman" w:hAnsi="Times New Roman" w:eastAsia="宋体" w:cs="Times New Roman"/>
                <w:color w:val="000000"/>
                <w:kern w:val="2"/>
                <w:sz w:val="21"/>
                <w:szCs w:val="22"/>
                <w:highlight w:val="none"/>
                <w:u w:val="none" w:color="auto"/>
                <w:lang w:val="en-US" w:eastAsia="zh-CN" w:bidi="ar-SA"/>
              </w:rPr>
            </w:pPr>
            <w:r>
              <w:rPr>
                <w:rFonts w:hint="default" w:ascii="Times New Roman" w:hAnsi="Times New Roman" w:eastAsia="宋体" w:cs="Times New Roman"/>
                <w:color w:val="000000"/>
                <w:highlight w:val="none"/>
                <w:u w:val="none" w:color="auto"/>
                <w:lang w:val="en-US" w:eastAsia="zh-CN"/>
              </w:rPr>
              <w:t>36.8</w:t>
            </w:r>
          </w:p>
        </w:tc>
        <w:tc>
          <w:tcPr>
            <w:tcW w:w="1410" w:type="dxa"/>
            <w:shd w:val="clear" w:color="auto" w:fill="auto"/>
            <w:vAlign w:val="center"/>
          </w:tcPr>
          <w:p w14:paraId="4CE3CB2B">
            <w:pPr>
              <w:pStyle w:val="52"/>
              <w:bidi w:val="0"/>
              <w:rPr>
                <w:rFonts w:hint="eastAsia" w:ascii="Times New Roman" w:hAnsi="Times New Roman" w:eastAsia="宋体" w:cs="Times New Roman"/>
                <w:color w:val="auto"/>
                <w:kern w:val="2"/>
                <w:sz w:val="21"/>
                <w:szCs w:val="28"/>
                <w:highlight w:val="none"/>
                <w:lang w:val="en-US" w:eastAsia="zh-CN" w:bidi="ar-SA"/>
              </w:rPr>
            </w:pPr>
            <w:r>
              <w:rPr>
                <w:rFonts w:hint="default" w:ascii="Times New Roman" w:hAnsi="Times New Roman" w:eastAsia="宋体" w:cs="Times New Roman"/>
                <w:color w:val="auto"/>
                <w:highlight w:val="none"/>
                <w:lang w:val="en-US" w:eastAsia="zh-CN"/>
              </w:rPr>
              <w:t>0.333</w:t>
            </w:r>
            <w:r>
              <w:rPr>
                <w:rFonts w:ascii="Times New Roman" w:hAnsi="Times New Roman"/>
                <w:color w:val="000000"/>
                <w:sz w:val="21"/>
                <w:szCs w:val="21"/>
                <w:u w:val="none" w:color="auto"/>
              </w:rPr>
              <w:t>mg/</w:t>
            </w:r>
            <w:r>
              <w:rPr>
                <w:rFonts w:hint="eastAsia"/>
                <w:color w:val="000000"/>
                <w:sz w:val="21"/>
                <w:szCs w:val="21"/>
                <w:u w:val="none" w:color="auto"/>
                <w:lang w:eastAsia="zh-CN"/>
              </w:rPr>
              <w:t>m</w:t>
            </w:r>
            <w:r>
              <w:rPr>
                <w:rFonts w:hint="eastAsia"/>
                <w:color w:val="000000"/>
                <w:sz w:val="21"/>
                <w:szCs w:val="21"/>
                <w:u w:val="none" w:color="auto"/>
                <w:vertAlign w:val="superscript"/>
                <w:lang w:eastAsia="zh-CN"/>
              </w:rPr>
              <w:t>3</w:t>
            </w:r>
          </w:p>
        </w:tc>
        <w:tc>
          <w:tcPr>
            <w:tcW w:w="1388" w:type="dxa"/>
            <w:shd w:val="clear" w:color="auto" w:fill="auto"/>
            <w:vAlign w:val="center"/>
          </w:tcPr>
          <w:p w14:paraId="4DE842FF">
            <w:pPr>
              <w:pStyle w:val="52"/>
              <w:bidi w:val="0"/>
              <w:rPr>
                <w:rFonts w:hint="default" w:ascii="Times New Roman" w:hAnsi="Times New Roman" w:eastAsia="宋体" w:cs="Times New Roman"/>
                <w:color w:val="auto"/>
                <w:kern w:val="2"/>
                <w:sz w:val="21"/>
                <w:szCs w:val="28"/>
                <w:highlight w:val="none"/>
                <w:lang w:val="en-US" w:eastAsia="zh-CN" w:bidi="ar-SA"/>
              </w:rPr>
            </w:pPr>
            <w:r>
              <w:rPr>
                <w:rFonts w:hint="default" w:ascii="Times New Roman" w:hAnsi="Times New Roman" w:eastAsia="宋体" w:cs="Times New Roman"/>
                <w:color w:val="auto"/>
                <w:highlight w:val="none"/>
                <w:lang w:val="en-US" w:eastAsia="zh-CN"/>
              </w:rPr>
              <w:t>0.01008</w:t>
            </w:r>
          </w:p>
        </w:tc>
        <w:tc>
          <w:tcPr>
            <w:tcW w:w="1350" w:type="dxa"/>
            <w:shd w:val="clear" w:color="auto" w:fill="auto"/>
            <w:vAlign w:val="center"/>
          </w:tcPr>
          <w:p w14:paraId="0F3A5EFC">
            <w:pPr>
              <w:pStyle w:val="52"/>
              <w:bidi w:val="0"/>
              <w:rPr>
                <w:rFonts w:hint="eastAsia" w:ascii="Times New Roman" w:hAnsi="Times New Roman" w:eastAsia="宋体" w:cs="Times New Roman"/>
                <w:color w:val="auto"/>
                <w:kern w:val="2"/>
                <w:sz w:val="21"/>
                <w:szCs w:val="28"/>
                <w:highlight w:val="none"/>
                <w:lang w:val="en-US" w:eastAsia="zh-CN" w:bidi="ar-SA"/>
              </w:rPr>
            </w:pPr>
            <w:r>
              <w:rPr>
                <w:rFonts w:hint="default" w:ascii="Times New Roman" w:hAnsi="Times New Roman" w:eastAsia="宋体" w:cs="Times New Roman"/>
                <w:color w:val="auto"/>
                <w:highlight w:val="none"/>
                <w:lang w:val="en-US" w:eastAsia="zh-CN"/>
              </w:rPr>
              <w:t>0.0014</w:t>
            </w:r>
          </w:p>
        </w:tc>
      </w:tr>
      <w:tr w14:paraId="0B7BD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Merge w:val="continue"/>
            <w:vAlign w:val="center"/>
          </w:tcPr>
          <w:p w14:paraId="5A81A071">
            <w:pPr>
              <w:jc w:val="center"/>
              <w:rPr>
                <w:rFonts w:ascii="Times New Roman" w:hAnsi="Times New Roman" w:eastAsia="宋体" w:cs="Times New Roman"/>
                <w:color w:val="auto"/>
                <w:sz w:val="22"/>
              </w:rPr>
            </w:pPr>
          </w:p>
        </w:tc>
        <w:tc>
          <w:tcPr>
            <w:tcW w:w="1909" w:type="dxa"/>
            <w:vMerge w:val="continue"/>
            <w:vAlign w:val="center"/>
          </w:tcPr>
          <w:p w14:paraId="344F87BC">
            <w:pPr>
              <w:jc w:val="center"/>
              <w:rPr>
                <w:rFonts w:hint="eastAsia" w:ascii="Times New Roman" w:hAnsi="Times New Roman" w:eastAsia="宋体" w:cs="Times New Roman"/>
                <w:color w:val="auto"/>
                <w:sz w:val="22"/>
              </w:rPr>
            </w:pPr>
          </w:p>
        </w:tc>
        <w:tc>
          <w:tcPr>
            <w:tcW w:w="1050" w:type="dxa"/>
            <w:vMerge w:val="continue"/>
            <w:vAlign w:val="center"/>
          </w:tcPr>
          <w:p w14:paraId="7E90DAF3">
            <w:pPr>
              <w:jc w:val="center"/>
              <w:rPr>
                <w:rFonts w:hint="eastAsia" w:ascii="Times New Roman" w:hAnsi="Times New Roman" w:eastAsia="宋体" w:cs="Times New Roman"/>
                <w:color w:val="auto"/>
                <w:sz w:val="22"/>
              </w:rPr>
            </w:pPr>
          </w:p>
        </w:tc>
        <w:tc>
          <w:tcPr>
            <w:tcW w:w="1596" w:type="dxa"/>
            <w:shd w:val="clear" w:color="auto" w:fill="auto"/>
            <w:vAlign w:val="center"/>
          </w:tcPr>
          <w:p w14:paraId="1782290D">
            <w:pPr>
              <w:pStyle w:val="52"/>
              <w:bidi w:val="0"/>
              <w:rPr>
                <w:rFonts w:hint="default" w:ascii="宋体" w:hAnsi="宋体" w:eastAsia="宋体" w:cs="宋体"/>
                <w:color w:val="auto"/>
                <w:kern w:val="2"/>
                <w:sz w:val="21"/>
                <w:szCs w:val="28"/>
                <w:lang w:val="en-US" w:eastAsia="zh-CN" w:bidi="ar-SA"/>
              </w:rPr>
            </w:pPr>
            <w:r>
              <w:rPr>
                <w:rFonts w:hint="eastAsia" w:ascii="宋体" w:hAnsi="宋体" w:cs="宋体"/>
                <w:color w:val="auto"/>
                <w:kern w:val="2"/>
                <w:sz w:val="21"/>
                <w:szCs w:val="28"/>
                <w:lang w:val="en-US" w:eastAsia="zh-CN" w:bidi="ar-SA"/>
              </w:rPr>
              <w:t>臭气浓度</w:t>
            </w:r>
          </w:p>
        </w:tc>
        <w:tc>
          <w:tcPr>
            <w:tcW w:w="3995" w:type="dxa"/>
            <w:gridSpan w:val="3"/>
            <w:shd w:val="clear" w:color="auto" w:fill="auto"/>
            <w:vAlign w:val="center"/>
          </w:tcPr>
          <w:p w14:paraId="574B15F7">
            <w:pPr>
              <w:pStyle w:val="52"/>
              <w:bidi w:val="0"/>
              <w:rPr>
                <w:rFonts w:hint="default" w:ascii="宋体" w:hAnsi="宋体" w:eastAsia="宋体" w:cs="宋体"/>
                <w:color w:val="auto"/>
                <w:kern w:val="2"/>
                <w:sz w:val="21"/>
                <w:szCs w:val="28"/>
                <w:lang w:val="en-US" w:eastAsia="zh-CN" w:bidi="ar-SA"/>
              </w:rPr>
            </w:pPr>
            <w:r>
              <w:rPr>
                <w:rFonts w:hint="eastAsia" w:ascii="宋体" w:hAnsi="宋体" w:cs="宋体"/>
                <w:color w:val="auto"/>
                <w:kern w:val="2"/>
                <w:sz w:val="21"/>
                <w:szCs w:val="28"/>
                <w:lang w:val="en-US" w:eastAsia="zh-CN" w:bidi="ar-SA"/>
              </w:rPr>
              <w:t>851（无量纲）</w:t>
            </w:r>
          </w:p>
        </w:tc>
        <w:tc>
          <w:tcPr>
            <w:tcW w:w="1034" w:type="dxa"/>
            <w:shd w:val="clear" w:color="auto" w:fill="auto"/>
            <w:vAlign w:val="center"/>
          </w:tcPr>
          <w:p w14:paraId="4A6ECF34">
            <w:pPr>
              <w:pStyle w:val="70"/>
              <w:bidi w:val="0"/>
              <w:ind w:firstLine="0" w:firstLineChars="0"/>
              <w:rPr>
                <w:rFonts w:hint="eastAsia" w:ascii="Times New Roman" w:hAnsi="Times New Roman" w:eastAsia="宋体" w:cs="Times New Roman"/>
                <w:color w:val="000000"/>
                <w:kern w:val="2"/>
                <w:sz w:val="21"/>
                <w:szCs w:val="21"/>
                <w:highlight w:val="none"/>
                <w:u w:val="none" w:color="auto"/>
                <w:lang w:val="en-US" w:eastAsia="zh-CN" w:bidi="ar-SA"/>
              </w:rPr>
            </w:pPr>
            <w:r>
              <w:rPr>
                <w:rFonts w:hint="default" w:ascii="Times New Roman" w:hAnsi="Times New Roman" w:eastAsia="宋体" w:cs="Times New Roman"/>
                <w:color w:val="000000"/>
                <w:highlight w:val="none"/>
                <w:u w:val="none" w:color="auto"/>
                <w:lang w:val="en-US" w:eastAsia="zh-CN"/>
              </w:rPr>
              <w:t>35.5</w:t>
            </w:r>
          </w:p>
        </w:tc>
        <w:tc>
          <w:tcPr>
            <w:tcW w:w="4148" w:type="dxa"/>
            <w:gridSpan w:val="3"/>
            <w:shd w:val="clear" w:color="auto" w:fill="auto"/>
            <w:vAlign w:val="center"/>
          </w:tcPr>
          <w:p w14:paraId="5D593278">
            <w:pPr>
              <w:pStyle w:val="52"/>
              <w:bidi w:val="0"/>
              <w:rPr>
                <w:rFonts w:hint="default" w:ascii="宋体" w:hAnsi="宋体" w:eastAsia="宋体" w:cs="宋体"/>
                <w:color w:val="auto"/>
                <w:kern w:val="2"/>
                <w:sz w:val="21"/>
                <w:szCs w:val="28"/>
                <w:lang w:val="en-US" w:eastAsia="zh-CN" w:bidi="ar-SA"/>
              </w:rPr>
            </w:pPr>
            <w:r>
              <w:rPr>
                <w:rFonts w:hint="eastAsia" w:ascii="宋体" w:hAnsi="宋体" w:cs="宋体"/>
                <w:color w:val="auto"/>
                <w:kern w:val="2"/>
                <w:sz w:val="21"/>
                <w:szCs w:val="28"/>
                <w:lang w:val="en-US" w:eastAsia="zh-CN" w:bidi="ar-SA"/>
              </w:rPr>
              <w:t>549（无量纲）</w:t>
            </w:r>
          </w:p>
        </w:tc>
      </w:tr>
      <w:tr w14:paraId="6AE28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Merge w:val="continue"/>
            <w:vAlign w:val="center"/>
          </w:tcPr>
          <w:p w14:paraId="6E177EDD">
            <w:pPr>
              <w:jc w:val="center"/>
              <w:rPr>
                <w:rFonts w:ascii="Times New Roman" w:hAnsi="Times New Roman" w:eastAsia="宋体" w:cs="Times New Roman"/>
                <w:color w:val="FF0000"/>
                <w:sz w:val="22"/>
              </w:rPr>
            </w:pPr>
          </w:p>
        </w:tc>
        <w:tc>
          <w:tcPr>
            <w:tcW w:w="1909" w:type="dxa"/>
            <w:vMerge w:val="restart"/>
            <w:vAlign w:val="center"/>
          </w:tcPr>
          <w:p w14:paraId="048DA6D4">
            <w:pPr>
              <w:jc w:val="center"/>
              <w:rPr>
                <w:rFonts w:hint="default" w:ascii="Times New Roman" w:hAnsi="Times New Roman" w:eastAsia="宋体" w:cs="Times New Roman"/>
                <w:color w:val="auto"/>
                <w:sz w:val="22"/>
                <w:lang w:val="en-US" w:eastAsia="zh-CN"/>
              </w:rPr>
            </w:pPr>
            <w:r>
              <w:rPr>
                <w:rFonts w:hint="eastAsia" w:ascii="Times New Roman" w:hAnsi="Times New Roman" w:eastAsia="宋体" w:cs="Times New Roman"/>
                <w:color w:val="auto"/>
                <w:sz w:val="22"/>
                <w:lang w:val="en-US" w:eastAsia="zh-CN"/>
              </w:rPr>
              <w:t>污水站、危废暂存间废气</w:t>
            </w:r>
          </w:p>
        </w:tc>
        <w:tc>
          <w:tcPr>
            <w:tcW w:w="1050" w:type="dxa"/>
            <w:vMerge w:val="restart"/>
            <w:vAlign w:val="center"/>
          </w:tcPr>
          <w:p w14:paraId="2617BFC6">
            <w:pPr>
              <w:jc w:val="center"/>
              <w:rPr>
                <w:rFonts w:hint="default" w:ascii="Times New Roman" w:hAnsi="Times New Roman" w:eastAsia="宋体" w:cs="Times New Roman"/>
                <w:color w:val="auto"/>
                <w:sz w:val="22"/>
                <w:lang w:val="en-US" w:eastAsia="zh-CN"/>
              </w:rPr>
            </w:pPr>
            <w:r>
              <w:rPr>
                <w:rFonts w:hint="eastAsia" w:ascii="Times New Roman" w:hAnsi="Times New Roman" w:eastAsia="宋体" w:cs="Times New Roman"/>
                <w:color w:val="auto"/>
                <w:sz w:val="22"/>
                <w:lang w:val="en-US" w:eastAsia="zh-CN"/>
              </w:rPr>
              <w:t>无组织排放</w:t>
            </w:r>
          </w:p>
        </w:tc>
        <w:tc>
          <w:tcPr>
            <w:tcW w:w="1596" w:type="dxa"/>
            <w:shd w:val="clear" w:color="auto" w:fill="auto"/>
            <w:vAlign w:val="center"/>
          </w:tcPr>
          <w:p w14:paraId="31209C42">
            <w:pPr>
              <w:jc w:val="center"/>
              <w:rPr>
                <w:rFonts w:hint="default" w:ascii="Times New Roman" w:hAnsi="Times New Roman" w:eastAsia="宋体" w:cs="Times New Roman"/>
                <w:color w:val="auto"/>
                <w:kern w:val="2"/>
                <w:sz w:val="22"/>
                <w:szCs w:val="22"/>
                <w:lang w:val="en-US" w:eastAsia="zh-CN" w:bidi="ar-SA"/>
              </w:rPr>
            </w:pPr>
            <w:r>
              <w:rPr>
                <w:rFonts w:hint="eastAsia" w:ascii="Times New Roman" w:hAnsi="Times New Roman" w:eastAsia="宋体" w:cs="Times New Roman"/>
                <w:color w:val="auto"/>
                <w:kern w:val="2"/>
                <w:sz w:val="22"/>
                <w:szCs w:val="22"/>
                <w:lang w:val="en-US" w:eastAsia="zh-CN" w:bidi="ar-SA"/>
              </w:rPr>
              <w:t>硫化氢</w:t>
            </w:r>
          </w:p>
        </w:tc>
        <w:tc>
          <w:tcPr>
            <w:tcW w:w="1391" w:type="dxa"/>
            <w:vAlign w:val="center"/>
          </w:tcPr>
          <w:p w14:paraId="7982656D">
            <w:pPr>
              <w:jc w:val="center"/>
              <w:rPr>
                <w:rFonts w:hint="default" w:ascii="Times New Roman" w:hAnsi="Times New Roman" w:eastAsia="宋体" w:cs="Times New Roman"/>
                <w:color w:val="auto"/>
                <w:sz w:val="22"/>
                <w:lang w:val="en-US" w:eastAsia="zh-CN"/>
              </w:rPr>
            </w:pPr>
            <w:r>
              <w:rPr>
                <w:rFonts w:hint="eastAsia" w:ascii="Times New Roman" w:hAnsi="Times New Roman" w:eastAsia="宋体" w:cs="Times New Roman"/>
                <w:color w:val="auto"/>
                <w:sz w:val="22"/>
                <w:lang w:val="en-US" w:eastAsia="zh-CN"/>
              </w:rPr>
              <w:t>/</w:t>
            </w:r>
          </w:p>
        </w:tc>
        <w:tc>
          <w:tcPr>
            <w:tcW w:w="1391" w:type="dxa"/>
            <w:shd w:val="clear" w:color="auto" w:fill="auto"/>
            <w:vAlign w:val="center"/>
          </w:tcPr>
          <w:p w14:paraId="47FF304E">
            <w:pPr>
              <w:pStyle w:val="70"/>
              <w:bidi w:val="0"/>
              <w:ind w:firstLine="0" w:firstLineChars="0"/>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highlight w:val="none"/>
                <w:lang w:val="en-US" w:eastAsia="zh-CN"/>
              </w:rPr>
              <w:t>0.0018</w:t>
            </w:r>
          </w:p>
        </w:tc>
        <w:tc>
          <w:tcPr>
            <w:tcW w:w="1213" w:type="dxa"/>
            <w:shd w:val="clear" w:color="auto" w:fill="auto"/>
            <w:vAlign w:val="center"/>
          </w:tcPr>
          <w:p w14:paraId="4AABC721">
            <w:pPr>
              <w:pStyle w:val="70"/>
              <w:bidi w:val="0"/>
              <w:ind w:firstLine="0" w:firstLineChars="0"/>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highlight w:val="none"/>
                <w:lang w:val="en-US" w:eastAsia="zh-CN"/>
              </w:rPr>
              <w:t>0.00025</w:t>
            </w:r>
          </w:p>
        </w:tc>
        <w:tc>
          <w:tcPr>
            <w:tcW w:w="1034" w:type="dxa"/>
            <w:shd w:val="clear" w:color="auto" w:fill="auto"/>
            <w:vAlign w:val="center"/>
          </w:tcPr>
          <w:p w14:paraId="2624FF9D">
            <w:pPr>
              <w:jc w:val="center"/>
              <w:rPr>
                <w:rFonts w:hint="default" w:ascii="Times New Roman" w:hAnsi="Times New Roman" w:eastAsia="宋体" w:cs="Times New Roman"/>
                <w:color w:val="auto"/>
                <w:sz w:val="22"/>
                <w:lang w:val="en-US" w:eastAsia="zh-CN"/>
              </w:rPr>
            </w:pPr>
            <w:r>
              <w:rPr>
                <w:rFonts w:hint="eastAsia" w:ascii="Times New Roman" w:hAnsi="Times New Roman" w:eastAsia="宋体" w:cs="Times New Roman"/>
                <w:color w:val="auto"/>
                <w:sz w:val="22"/>
                <w:lang w:val="en-US" w:eastAsia="zh-CN"/>
              </w:rPr>
              <w:t>/</w:t>
            </w:r>
          </w:p>
        </w:tc>
        <w:tc>
          <w:tcPr>
            <w:tcW w:w="1410" w:type="dxa"/>
            <w:shd w:val="clear" w:color="auto" w:fill="auto"/>
            <w:vAlign w:val="center"/>
          </w:tcPr>
          <w:p w14:paraId="4EDBE0E5">
            <w:pPr>
              <w:jc w:val="center"/>
              <w:rPr>
                <w:rFonts w:hint="default" w:ascii="Times New Roman" w:hAnsi="Times New Roman" w:eastAsia="宋体" w:cs="Times New Roman"/>
                <w:color w:val="auto"/>
                <w:kern w:val="2"/>
                <w:sz w:val="22"/>
                <w:szCs w:val="22"/>
                <w:lang w:val="en-US" w:eastAsia="zh-CN" w:bidi="ar-SA"/>
              </w:rPr>
            </w:pPr>
            <w:r>
              <w:rPr>
                <w:rFonts w:hint="eastAsia" w:ascii="Times New Roman" w:hAnsi="Times New Roman" w:eastAsia="宋体" w:cs="Times New Roman"/>
                <w:color w:val="auto"/>
                <w:kern w:val="2"/>
                <w:sz w:val="22"/>
                <w:szCs w:val="22"/>
                <w:lang w:val="en-US" w:eastAsia="zh-CN" w:bidi="ar-SA"/>
              </w:rPr>
              <w:t>/</w:t>
            </w:r>
          </w:p>
        </w:tc>
        <w:tc>
          <w:tcPr>
            <w:tcW w:w="1388" w:type="dxa"/>
            <w:shd w:val="clear" w:color="auto" w:fill="auto"/>
            <w:vAlign w:val="center"/>
          </w:tcPr>
          <w:p w14:paraId="11D4E901">
            <w:pPr>
              <w:pStyle w:val="70"/>
              <w:bidi w:val="0"/>
              <w:ind w:firstLine="0" w:firstLineChars="0"/>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highlight w:val="none"/>
                <w:lang w:val="en-US" w:eastAsia="zh-CN"/>
              </w:rPr>
              <w:t>0.0018</w:t>
            </w:r>
          </w:p>
        </w:tc>
        <w:tc>
          <w:tcPr>
            <w:tcW w:w="1350" w:type="dxa"/>
            <w:shd w:val="clear" w:color="auto" w:fill="auto"/>
            <w:vAlign w:val="center"/>
          </w:tcPr>
          <w:p w14:paraId="2E6E86D5">
            <w:pPr>
              <w:pStyle w:val="70"/>
              <w:bidi w:val="0"/>
              <w:ind w:firstLine="0" w:firstLineChars="0"/>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highlight w:val="none"/>
                <w:lang w:val="en-US" w:eastAsia="zh-CN"/>
              </w:rPr>
              <w:t>0.00025</w:t>
            </w:r>
          </w:p>
        </w:tc>
      </w:tr>
      <w:tr w14:paraId="71B2C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Merge w:val="continue"/>
            <w:vAlign w:val="center"/>
          </w:tcPr>
          <w:p w14:paraId="6EFB86C1">
            <w:pPr>
              <w:jc w:val="center"/>
              <w:rPr>
                <w:rFonts w:ascii="Times New Roman" w:hAnsi="Times New Roman" w:eastAsia="宋体" w:cs="Times New Roman"/>
                <w:color w:val="FF0000"/>
                <w:sz w:val="22"/>
              </w:rPr>
            </w:pPr>
          </w:p>
        </w:tc>
        <w:tc>
          <w:tcPr>
            <w:tcW w:w="1909" w:type="dxa"/>
            <w:vMerge w:val="continue"/>
            <w:vAlign w:val="center"/>
          </w:tcPr>
          <w:p w14:paraId="54E4A37A">
            <w:pPr>
              <w:jc w:val="center"/>
              <w:rPr>
                <w:rFonts w:hint="eastAsia" w:ascii="Times New Roman" w:hAnsi="Times New Roman" w:eastAsia="宋体" w:cs="Times New Roman"/>
                <w:color w:val="auto"/>
                <w:sz w:val="22"/>
                <w:lang w:val="en-US" w:eastAsia="zh-CN"/>
              </w:rPr>
            </w:pPr>
          </w:p>
        </w:tc>
        <w:tc>
          <w:tcPr>
            <w:tcW w:w="1050" w:type="dxa"/>
            <w:vMerge w:val="continue"/>
            <w:vAlign w:val="center"/>
          </w:tcPr>
          <w:p w14:paraId="6BF812A3">
            <w:pPr>
              <w:jc w:val="center"/>
              <w:rPr>
                <w:rFonts w:hint="eastAsia" w:ascii="Times New Roman" w:hAnsi="Times New Roman" w:eastAsia="宋体" w:cs="Times New Roman"/>
                <w:color w:val="auto"/>
                <w:sz w:val="22"/>
                <w:lang w:val="en-US" w:eastAsia="zh-CN"/>
              </w:rPr>
            </w:pPr>
          </w:p>
        </w:tc>
        <w:tc>
          <w:tcPr>
            <w:tcW w:w="1596" w:type="dxa"/>
            <w:shd w:val="clear" w:color="auto" w:fill="auto"/>
            <w:vAlign w:val="center"/>
          </w:tcPr>
          <w:p w14:paraId="048398BB">
            <w:pPr>
              <w:jc w:val="center"/>
              <w:rPr>
                <w:rFonts w:hint="default" w:ascii="Times New Roman" w:hAnsi="Times New Roman" w:eastAsia="宋体" w:cs="Times New Roman"/>
                <w:color w:val="auto"/>
                <w:kern w:val="2"/>
                <w:sz w:val="22"/>
                <w:szCs w:val="22"/>
                <w:lang w:val="en-US" w:eastAsia="zh-CN" w:bidi="ar-SA"/>
              </w:rPr>
            </w:pPr>
            <w:r>
              <w:rPr>
                <w:rFonts w:hint="eastAsia" w:ascii="Times New Roman" w:hAnsi="Times New Roman" w:eastAsia="宋体" w:cs="Times New Roman"/>
                <w:color w:val="auto"/>
                <w:kern w:val="2"/>
                <w:sz w:val="22"/>
                <w:szCs w:val="22"/>
                <w:lang w:val="en-US" w:eastAsia="zh-CN" w:bidi="ar-SA"/>
              </w:rPr>
              <w:t>氨气</w:t>
            </w:r>
          </w:p>
        </w:tc>
        <w:tc>
          <w:tcPr>
            <w:tcW w:w="1391" w:type="dxa"/>
            <w:vAlign w:val="center"/>
          </w:tcPr>
          <w:p w14:paraId="0DD46893">
            <w:pPr>
              <w:jc w:val="center"/>
              <w:rPr>
                <w:rFonts w:hint="default" w:ascii="Times New Roman" w:hAnsi="Times New Roman" w:eastAsia="宋体" w:cs="Times New Roman"/>
                <w:color w:val="auto"/>
                <w:sz w:val="22"/>
                <w:lang w:val="en-US" w:eastAsia="zh-CN"/>
              </w:rPr>
            </w:pPr>
            <w:r>
              <w:rPr>
                <w:rFonts w:hint="eastAsia" w:ascii="Times New Roman" w:hAnsi="Times New Roman" w:eastAsia="宋体" w:cs="Times New Roman"/>
                <w:color w:val="auto"/>
                <w:sz w:val="22"/>
                <w:lang w:val="en-US" w:eastAsia="zh-CN"/>
              </w:rPr>
              <w:t>/</w:t>
            </w:r>
          </w:p>
        </w:tc>
        <w:tc>
          <w:tcPr>
            <w:tcW w:w="1391" w:type="dxa"/>
            <w:shd w:val="clear" w:color="auto" w:fill="auto"/>
            <w:vAlign w:val="center"/>
          </w:tcPr>
          <w:p w14:paraId="4840D6D8">
            <w:pPr>
              <w:pStyle w:val="70"/>
              <w:bidi w:val="0"/>
              <w:ind w:firstLine="0" w:firstLineChars="0"/>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highlight w:val="none"/>
                <w:lang w:val="en-US" w:eastAsia="zh-CN"/>
              </w:rPr>
              <w:t>0.043</w:t>
            </w:r>
            <w:r>
              <w:rPr>
                <w:rFonts w:hint="eastAsia" w:ascii="Times New Roman" w:hAnsi="Times New Roman" w:cs="Times New Roman"/>
                <w:color w:val="auto"/>
                <w:highlight w:val="none"/>
                <w:lang w:val="en-US" w:eastAsia="zh-CN"/>
              </w:rPr>
              <w:t>2</w:t>
            </w:r>
          </w:p>
        </w:tc>
        <w:tc>
          <w:tcPr>
            <w:tcW w:w="1213" w:type="dxa"/>
            <w:shd w:val="clear" w:color="auto" w:fill="auto"/>
            <w:vAlign w:val="center"/>
          </w:tcPr>
          <w:p w14:paraId="34623FAD">
            <w:pPr>
              <w:pStyle w:val="70"/>
              <w:bidi w:val="0"/>
              <w:ind w:firstLine="0" w:firstLineChars="0"/>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highlight w:val="none"/>
                <w:lang w:val="en-US" w:eastAsia="zh-CN"/>
              </w:rPr>
              <w:t>0.0006</w:t>
            </w:r>
          </w:p>
        </w:tc>
        <w:tc>
          <w:tcPr>
            <w:tcW w:w="1034" w:type="dxa"/>
            <w:shd w:val="clear" w:color="auto" w:fill="auto"/>
            <w:vAlign w:val="center"/>
          </w:tcPr>
          <w:p w14:paraId="6743E056">
            <w:pPr>
              <w:jc w:val="center"/>
              <w:rPr>
                <w:rFonts w:hint="default" w:ascii="Times New Roman" w:hAnsi="Times New Roman" w:eastAsia="宋体" w:cs="Times New Roman"/>
                <w:color w:val="auto"/>
                <w:sz w:val="22"/>
                <w:lang w:val="en-US" w:eastAsia="zh-CN"/>
              </w:rPr>
            </w:pPr>
            <w:r>
              <w:rPr>
                <w:rFonts w:hint="eastAsia" w:ascii="Times New Roman" w:hAnsi="Times New Roman" w:eastAsia="宋体" w:cs="Times New Roman"/>
                <w:color w:val="auto"/>
                <w:sz w:val="22"/>
                <w:lang w:val="en-US" w:eastAsia="zh-CN"/>
              </w:rPr>
              <w:t>/</w:t>
            </w:r>
          </w:p>
        </w:tc>
        <w:tc>
          <w:tcPr>
            <w:tcW w:w="1410" w:type="dxa"/>
            <w:shd w:val="clear" w:color="auto" w:fill="auto"/>
            <w:vAlign w:val="center"/>
          </w:tcPr>
          <w:p w14:paraId="530E77C1">
            <w:pPr>
              <w:jc w:val="center"/>
              <w:rPr>
                <w:rFonts w:hint="default" w:ascii="Times New Roman" w:hAnsi="Times New Roman" w:eastAsia="宋体" w:cs="Times New Roman"/>
                <w:color w:val="auto"/>
                <w:kern w:val="2"/>
                <w:sz w:val="22"/>
                <w:szCs w:val="22"/>
                <w:lang w:val="en-US" w:eastAsia="zh-CN" w:bidi="ar-SA"/>
              </w:rPr>
            </w:pPr>
            <w:r>
              <w:rPr>
                <w:rFonts w:hint="eastAsia" w:ascii="Times New Roman" w:hAnsi="Times New Roman" w:eastAsia="宋体" w:cs="Times New Roman"/>
                <w:color w:val="auto"/>
                <w:kern w:val="2"/>
                <w:sz w:val="22"/>
                <w:szCs w:val="22"/>
                <w:lang w:val="en-US" w:eastAsia="zh-CN" w:bidi="ar-SA"/>
              </w:rPr>
              <w:t>/</w:t>
            </w:r>
          </w:p>
        </w:tc>
        <w:tc>
          <w:tcPr>
            <w:tcW w:w="1388" w:type="dxa"/>
            <w:shd w:val="clear" w:color="auto" w:fill="auto"/>
            <w:vAlign w:val="center"/>
          </w:tcPr>
          <w:p w14:paraId="624736A1">
            <w:pPr>
              <w:pStyle w:val="70"/>
              <w:bidi w:val="0"/>
              <w:ind w:firstLine="0" w:firstLineChars="0"/>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highlight w:val="none"/>
                <w:lang w:val="en-US" w:eastAsia="zh-CN"/>
              </w:rPr>
              <w:t>0.043</w:t>
            </w:r>
            <w:r>
              <w:rPr>
                <w:rFonts w:hint="eastAsia" w:ascii="Times New Roman" w:hAnsi="Times New Roman" w:cs="Times New Roman"/>
                <w:color w:val="auto"/>
                <w:highlight w:val="none"/>
                <w:lang w:val="en-US" w:eastAsia="zh-CN"/>
              </w:rPr>
              <w:t>2</w:t>
            </w:r>
          </w:p>
        </w:tc>
        <w:tc>
          <w:tcPr>
            <w:tcW w:w="1350" w:type="dxa"/>
            <w:shd w:val="clear" w:color="auto" w:fill="auto"/>
            <w:vAlign w:val="center"/>
          </w:tcPr>
          <w:p w14:paraId="361F8E73">
            <w:pPr>
              <w:pStyle w:val="70"/>
              <w:bidi w:val="0"/>
              <w:ind w:firstLine="0" w:firstLineChars="0"/>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highlight w:val="none"/>
                <w:lang w:val="en-US" w:eastAsia="zh-CN"/>
              </w:rPr>
              <w:t>0.0006</w:t>
            </w:r>
          </w:p>
        </w:tc>
      </w:tr>
      <w:tr w14:paraId="7FC13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71" w:type="dxa"/>
            <w:vMerge w:val="restart"/>
            <w:vAlign w:val="center"/>
          </w:tcPr>
          <w:p w14:paraId="22F1A143">
            <w:pPr>
              <w:jc w:val="center"/>
              <w:rPr>
                <w:rFonts w:ascii="Times New Roman" w:hAnsi="Times New Roman" w:eastAsia="宋体" w:cs="Times New Roman"/>
                <w:color w:val="auto"/>
                <w:sz w:val="22"/>
              </w:rPr>
            </w:pPr>
            <w:r>
              <w:rPr>
                <w:rFonts w:hint="eastAsia" w:ascii="Times New Roman" w:hAnsi="Times New Roman" w:eastAsia="宋体" w:cs="Times New Roman"/>
                <w:color w:val="auto"/>
                <w:sz w:val="22"/>
              </w:rPr>
              <w:t>废水</w:t>
            </w:r>
          </w:p>
        </w:tc>
        <w:tc>
          <w:tcPr>
            <w:tcW w:w="1909" w:type="dxa"/>
            <w:vMerge w:val="restart"/>
            <w:shd w:val="clear" w:color="auto" w:fill="auto"/>
            <w:vAlign w:val="center"/>
          </w:tcPr>
          <w:p w14:paraId="69D302F2">
            <w:pPr>
              <w:jc w:val="center"/>
              <w:rPr>
                <w:rFonts w:ascii="Times New Roman" w:hAnsi="Times New Roman" w:eastAsia="宋体" w:cs="Times New Roman"/>
                <w:color w:val="auto"/>
                <w:sz w:val="22"/>
              </w:rPr>
            </w:pPr>
            <w:r>
              <w:rPr>
                <w:rFonts w:hint="eastAsia" w:ascii="Times New Roman" w:hAnsi="Times New Roman" w:eastAsia="宋体" w:cs="Times New Roman"/>
                <w:color w:val="auto"/>
                <w:sz w:val="22"/>
              </w:rPr>
              <w:t>厂区总排口</w:t>
            </w:r>
          </w:p>
          <w:p w14:paraId="30A0A039">
            <w:pPr>
              <w:jc w:val="center"/>
              <w:rPr>
                <w:rFonts w:hint="eastAsia" w:ascii="Times New Roman" w:hAnsi="Times New Roman" w:eastAsia="宋体" w:cs="Times New Roman"/>
                <w:color w:val="auto"/>
                <w:kern w:val="2"/>
                <w:sz w:val="22"/>
                <w:szCs w:val="22"/>
                <w:lang w:val="en-US" w:eastAsia="zh-CN" w:bidi="ar-SA"/>
              </w:rPr>
            </w:pPr>
            <w:r>
              <w:rPr>
                <w:rFonts w:hint="eastAsia" w:ascii="Times New Roman" w:hAnsi="Times New Roman" w:eastAsia="宋体" w:cs="Times New Roman"/>
                <w:color w:val="auto"/>
                <w:sz w:val="22"/>
              </w:rPr>
              <w:t>（</w:t>
            </w:r>
            <w:r>
              <w:rPr>
                <w:rFonts w:hint="eastAsia" w:ascii="Times New Roman" w:hAnsi="Times New Roman" w:eastAsia="宋体" w:cs="Times New Roman"/>
                <w:color w:val="auto"/>
                <w:sz w:val="22"/>
                <w:lang w:val="en-US" w:eastAsia="zh-CN"/>
              </w:rPr>
              <w:t>109340.84</w:t>
            </w:r>
            <w:r>
              <w:rPr>
                <w:rFonts w:hint="eastAsia" w:ascii="Times New Roman" w:hAnsi="Times New Roman" w:eastAsia="宋体" w:cs="Times New Roman"/>
                <w:color w:val="auto"/>
                <w:sz w:val="22"/>
                <w:lang w:eastAsia="zh-CN"/>
              </w:rPr>
              <w:t>m</w:t>
            </w:r>
            <w:r>
              <w:rPr>
                <w:rFonts w:hint="eastAsia" w:ascii="Times New Roman" w:hAnsi="Times New Roman" w:eastAsia="宋体" w:cs="Times New Roman"/>
                <w:color w:val="auto"/>
                <w:sz w:val="22"/>
                <w:vertAlign w:val="superscript"/>
                <w:lang w:eastAsia="zh-CN"/>
              </w:rPr>
              <w:t>3</w:t>
            </w:r>
            <w:r>
              <w:rPr>
                <w:rFonts w:hint="eastAsia" w:ascii="Times New Roman" w:hAnsi="Times New Roman" w:eastAsia="宋体" w:cs="Times New Roman"/>
                <w:color w:val="auto"/>
                <w:sz w:val="22"/>
              </w:rPr>
              <w:t>/a）</w:t>
            </w:r>
          </w:p>
        </w:tc>
        <w:tc>
          <w:tcPr>
            <w:tcW w:w="1050" w:type="dxa"/>
            <w:vMerge w:val="restart"/>
            <w:shd w:val="clear" w:color="auto" w:fill="auto"/>
            <w:vAlign w:val="center"/>
          </w:tcPr>
          <w:p w14:paraId="5E5DC3A3">
            <w:pPr>
              <w:jc w:val="center"/>
              <w:rPr>
                <w:rFonts w:hint="eastAsia" w:ascii="Times New Roman" w:hAnsi="Times New Roman" w:eastAsia="宋体" w:cs="Times New Roman"/>
                <w:color w:val="auto"/>
                <w:kern w:val="2"/>
                <w:sz w:val="22"/>
                <w:szCs w:val="22"/>
                <w:lang w:val="en-US" w:eastAsia="zh-CN" w:bidi="ar-SA"/>
              </w:rPr>
            </w:pPr>
            <w:r>
              <w:rPr>
                <w:rFonts w:hint="eastAsia" w:ascii="Times New Roman" w:hAnsi="Times New Roman" w:eastAsia="宋体" w:cs="Times New Roman"/>
                <w:color w:val="auto"/>
                <w:sz w:val="22"/>
              </w:rPr>
              <w:t>DW001</w:t>
            </w:r>
          </w:p>
        </w:tc>
        <w:tc>
          <w:tcPr>
            <w:tcW w:w="1596" w:type="dxa"/>
            <w:shd w:val="clear" w:color="auto" w:fill="auto"/>
            <w:vAlign w:val="center"/>
          </w:tcPr>
          <w:p w14:paraId="1331C6F6">
            <w:pPr>
              <w:pStyle w:val="52"/>
              <w:bidi w:val="0"/>
              <w:rPr>
                <w:rFonts w:hint="eastAsia" w:ascii="Times New Roman" w:hAnsi="Times New Roman" w:eastAsia="宋体" w:cs="Times New Roman"/>
                <w:color w:val="auto"/>
                <w:kern w:val="2"/>
                <w:sz w:val="21"/>
                <w:szCs w:val="28"/>
                <w:lang w:val="en-US" w:eastAsia="zh-CN" w:bidi="ar-SA"/>
              </w:rPr>
            </w:pPr>
            <w:r>
              <w:rPr>
                <w:rFonts w:hint="eastAsia"/>
                <w:color w:val="auto"/>
                <w:lang w:eastAsia="zh-CN"/>
              </w:rPr>
              <w:t>CODCr</w:t>
            </w:r>
          </w:p>
        </w:tc>
        <w:tc>
          <w:tcPr>
            <w:tcW w:w="1391" w:type="dxa"/>
            <w:shd w:val="clear" w:color="auto" w:fill="auto"/>
            <w:vAlign w:val="center"/>
          </w:tcPr>
          <w:p w14:paraId="528BFBA5">
            <w:pPr>
              <w:pStyle w:val="52"/>
              <w:bidi w:val="0"/>
              <w:rPr>
                <w:rFonts w:hint="default" w:ascii="Times New Roman" w:hAnsi="Times New Roman" w:eastAsia="宋体" w:cs="Times New Roman"/>
                <w:color w:val="auto"/>
                <w:kern w:val="2"/>
                <w:sz w:val="21"/>
                <w:szCs w:val="28"/>
                <w:lang w:val="en-US" w:eastAsia="zh-CN" w:bidi="ar-SA"/>
              </w:rPr>
            </w:pPr>
            <w:r>
              <w:rPr>
                <w:rFonts w:hint="eastAsia" w:cs="Times New Roman"/>
                <w:color w:val="auto"/>
                <w:kern w:val="2"/>
                <w:sz w:val="21"/>
                <w:szCs w:val="28"/>
                <w:lang w:val="en-US" w:eastAsia="zh-CN" w:bidi="ar-SA"/>
              </w:rPr>
              <w:t>7600</w:t>
            </w:r>
          </w:p>
        </w:tc>
        <w:tc>
          <w:tcPr>
            <w:tcW w:w="1391" w:type="dxa"/>
            <w:shd w:val="clear" w:color="auto" w:fill="auto"/>
            <w:vAlign w:val="center"/>
          </w:tcPr>
          <w:p w14:paraId="0D56F637">
            <w:pPr>
              <w:pStyle w:val="52"/>
              <w:bidi w:val="0"/>
              <w:rPr>
                <w:rFonts w:hint="default" w:ascii="Times New Roman" w:hAnsi="Times New Roman" w:eastAsia="宋体" w:cs="Times New Roman"/>
                <w:color w:val="auto"/>
                <w:kern w:val="2"/>
                <w:sz w:val="21"/>
                <w:szCs w:val="28"/>
                <w:lang w:val="en-US" w:eastAsia="zh-CN" w:bidi="ar-SA"/>
              </w:rPr>
            </w:pPr>
            <w:r>
              <w:rPr>
                <w:rFonts w:hint="eastAsia" w:cs="Times New Roman"/>
                <w:color w:val="auto"/>
                <w:kern w:val="2"/>
                <w:sz w:val="21"/>
                <w:szCs w:val="28"/>
                <w:lang w:val="en-US" w:eastAsia="zh-CN" w:bidi="ar-SA"/>
              </w:rPr>
              <w:t>830.99</w:t>
            </w:r>
          </w:p>
        </w:tc>
        <w:tc>
          <w:tcPr>
            <w:tcW w:w="1213" w:type="dxa"/>
            <w:vAlign w:val="center"/>
          </w:tcPr>
          <w:p w14:paraId="467F99E7">
            <w:pPr>
              <w:jc w:val="center"/>
              <w:rPr>
                <w:rFonts w:hint="default" w:ascii="Times New Roman" w:hAnsi="Times New Roman" w:eastAsia="宋体" w:cs="Times New Roman"/>
                <w:color w:val="auto"/>
                <w:sz w:val="22"/>
                <w:lang w:val="en-US" w:eastAsia="zh-CN"/>
              </w:rPr>
            </w:pPr>
            <w:r>
              <w:rPr>
                <w:rFonts w:hint="eastAsia" w:ascii="Times New Roman" w:hAnsi="Times New Roman" w:eastAsia="宋体" w:cs="Times New Roman"/>
                <w:color w:val="auto"/>
                <w:sz w:val="22"/>
                <w:lang w:val="en-US" w:eastAsia="zh-CN"/>
              </w:rPr>
              <w:t>/</w:t>
            </w:r>
          </w:p>
        </w:tc>
        <w:tc>
          <w:tcPr>
            <w:tcW w:w="1034" w:type="dxa"/>
            <w:vAlign w:val="center"/>
          </w:tcPr>
          <w:p w14:paraId="3E19F43C">
            <w:pPr>
              <w:jc w:val="center"/>
              <w:rPr>
                <w:rFonts w:hint="default" w:ascii="Times New Roman" w:hAnsi="Times New Roman" w:eastAsia="宋体" w:cs="Times New Roman"/>
                <w:color w:val="auto"/>
                <w:sz w:val="22"/>
                <w:lang w:val="en-US" w:eastAsia="zh-CN"/>
              </w:rPr>
            </w:pPr>
            <w:r>
              <w:rPr>
                <w:rFonts w:hint="eastAsia" w:ascii="Times New Roman" w:hAnsi="Times New Roman" w:eastAsia="宋体" w:cs="Times New Roman"/>
                <w:color w:val="auto"/>
                <w:sz w:val="22"/>
                <w:lang w:val="en-US" w:eastAsia="zh-CN"/>
              </w:rPr>
              <w:t>95.3</w:t>
            </w:r>
          </w:p>
        </w:tc>
        <w:tc>
          <w:tcPr>
            <w:tcW w:w="1410" w:type="dxa"/>
            <w:vAlign w:val="center"/>
          </w:tcPr>
          <w:p w14:paraId="7A8B3469">
            <w:pPr>
              <w:jc w:val="center"/>
              <w:rPr>
                <w:rFonts w:hint="default" w:ascii="Times New Roman" w:hAnsi="Times New Roman" w:eastAsia="宋体" w:cs="Times New Roman"/>
                <w:color w:val="auto"/>
                <w:sz w:val="22"/>
                <w:lang w:val="en-US" w:eastAsia="zh-CN"/>
              </w:rPr>
            </w:pPr>
            <w:r>
              <w:rPr>
                <w:rFonts w:hint="eastAsia" w:ascii="Times New Roman" w:hAnsi="Times New Roman" w:eastAsia="宋体" w:cs="Times New Roman"/>
                <w:color w:val="auto"/>
                <w:sz w:val="22"/>
                <w:lang w:val="en-US" w:eastAsia="zh-CN"/>
              </w:rPr>
              <w:t>357.2</w:t>
            </w:r>
          </w:p>
        </w:tc>
        <w:tc>
          <w:tcPr>
            <w:tcW w:w="1388" w:type="dxa"/>
            <w:vAlign w:val="center"/>
          </w:tcPr>
          <w:p w14:paraId="0984092D">
            <w:pPr>
              <w:jc w:val="center"/>
              <w:rPr>
                <w:rFonts w:hint="default" w:ascii="Times New Roman" w:hAnsi="Times New Roman" w:eastAsia="宋体" w:cs="Times New Roman"/>
                <w:color w:val="auto"/>
                <w:sz w:val="22"/>
                <w:lang w:val="en-US" w:eastAsia="zh-CN"/>
              </w:rPr>
            </w:pPr>
            <w:r>
              <w:rPr>
                <w:rFonts w:hint="eastAsia" w:ascii="Times New Roman" w:hAnsi="Times New Roman" w:eastAsia="宋体" w:cs="Times New Roman"/>
                <w:color w:val="auto"/>
                <w:sz w:val="22"/>
                <w:lang w:val="en-US" w:eastAsia="zh-CN"/>
              </w:rPr>
              <w:t>39.06</w:t>
            </w:r>
          </w:p>
        </w:tc>
        <w:tc>
          <w:tcPr>
            <w:tcW w:w="1350" w:type="dxa"/>
            <w:vAlign w:val="center"/>
          </w:tcPr>
          <w:p w14:paraId="58BBC0A8">
            <w:pPr>
              <w:jc w:val="center"/>
              <w:rPr>
                <w:rFonts w:hint="default" w:ascii="Times New Roman" w:hAnsi="Times New Roman" w:eastAsia="宋体" w:cs="Times New Roman"/>
                <w:color w:val="auto"/>
                <w:sz w:val="22"/>
                <w:lang w:val="en-US" w:eastAsia="zh-CN"/>
              </w:rPr>
            </w:pPr>
            <w:r>
              <w:rPr>
                <w:rFonts w:hint="eastAsia" w:ascii="Times New Roman" w:hAnsi="Times New Roman" w:eastAsia="宋体" w:cs="Times New Roman"/>
                <w:color w:val="auto"/>
                <w:sz w:val="22"/>
                <w:lang w:val="en-US" w:eastAsia="zh-CN"/>
              </w:rPr>
              <w:t>/</w:t>
            </w:r>
          </w:p>
        </w:tc>
      </w:tr>
      <w:tr w14:paraId="6AAC5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71" w:type="dxa"/>
            <w:vMerge w:val="continue"/>
            <w:vAlign w:val="center"/>
          </w:tcPr>
          <w:p w14:paraId="6C79BD9A">
            <w:pPr>
              <w:jc w:val="center"/>
              <w:rPr>
                <w:rFonts w:ascii="Times New Roman" w:hAnsi="Times New Roman" w:eastAsia="宋体" w:cs="Times New Roman"/>
                <w:color w:val="FF0000"/>
                <w:sz w:val="22"/>
              </w:rPr>
            </w:pPr>
          </w:p>
        </w:tc>
        <w:tc>
          <w:tcPr>
            <w:tcW w:w="1909" w:type="dxa"/>
            <w:vMerge w:val="continue"/>
            <w:vAlign w:val="center"/>
          </w:tcPr>
          <w:p w14:paraId="60BD128E">
            <w:pPr>
              <w:jc w:val="center"/>
              <w:rPr>
                <w:rFonts w:hint="eastAsia" w:ascii="Times New Roman" w:hAnsi="Times New Roman" w:eastAsia="宋体" w:cs="Times New Roman"/>
                <w:color w:val="auto"/>
                <w:sz w:val="22"/>
                <w:lang w:val="en-US" w:eastAsia="zh-CN"/>
              </w:rPr>
            </w:pPr>
          </w:p>
        </w:tc>
        <w:tc>
          <w:tcPr>
            <w:tcW w:w="1050" w:type="dxa"/>
            <w:vMerge w:val="continue"/>
            <w:vAlign w:val="center"/>
          </w:tcPr>
          <w:p w14:paraId="1B28E247">
            <w:pPr>
              <w:jc w:val="center"/>
              <w:rPr>
                <w:rFonts w:hint="eastAsia" w:ascii="Times New Roman" w:hAnsi="Times New Roman" w:eastAsia="宋体" w:cs="Times New Roman"/>
                <w:color w:val="auto"/>
                <w:sz w:val="22"/>
                <w:lang w:val="en-US" w:eastAsia="zh-CN"/>
              </w:rPr>
            </w:pPr>
          </w:p>
        </w:tc>
        <w:tc>
          <w:tcPr>
            <w:tcW w:w="1596" w:type="dxa"/>
            <w:shd w:val="clear" w:color="auto" w:fill="auto"/>
            <w:vAlign w:val="center"/>
          </w:tcPr>
          <w:p w14:paraId="507DACD9">
            <w:pPr>
              <w:pStyle w:val="52"/>
              <w:bidi w:val="0"/>
              <w:rPr>
                <w:rFonts w:hint="default" w:ascii="Times New Roman" w:hAnsi="Times New Roman" w:eastAsia="宋体" w:cs="Times New Roman"/>
                <w:color w:val="auto"/>
                <w:kern w:val="2"/>
                <w:sz w:val="21"/>
                <w:szCs w:val="28"/>
                <w:lang w:val="en-US" w:eastAsia="zh-CN" w:bidi="ar-SA"/>
              </w:rPr>
            </w:pPr>
            <w:r>
              <w:rPr>
                <w:rFonts w:hint="eastAsia" w:cs="Times New Roman"/>
                <w:color w:val="auto"/>
                <w:kern w:val="2"/>
                <w:sz w:val="21"/>
                <w:szCs w:val="28"/>
                <w:lang w:val="en-US" w:eastAsia="zh-CN" w:bidi="ar-SA"/>
              </w:rPr>
              <w:t>SS</w:t>
            </w:r>
          </w:p>
        </w:tc>
        <w:tc>
          <w:tcPr>
            <w:tcW w:w="1391" w:type="dxa"/>
            <w:shd w:val="clear" w:color="auto" w:fill="auto"/>
            <w:vAlign w:val="center"/>
          </w:tcPr>
          <w:p w14:paraId="005CE3D1">
            <w:pPr>
              <w:jc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715</w:t>
            </w:r>
          </w:p>
        </w:tc>
        <w:tc>
          <w:tcPr>
            <w:tcW w:w="1391" w:type="dxa"/>
            <w:shd w:val="clear" w:color="auto" w:fill="auto"/>
            <w:vAlign w:val="center"/>
          </w:tcPr>
          <w:p w14:paraId="069C7A62">
            <w:pPr>
              <w:pStyle w:val="52"/>
              <w:bidi w:val="0"/>
              <w:rPr>
                <w:rFonts w:hint="default" w:ascii="Times New Roman" w:hAnsi="Times New Roman" w:eastAsia="宋体" w:cs="Times New Roman"/>
                <w:color w:val="auto"/>
                <w:kern w:val="2"/>
                <w:sz w:val="21"/>
                <w:szCs w:val="28"/>
                <w:lang w:val="en-US" w:eastAsia="zh-CN" w:bidi="ar-SA"/>
              </w:rPr>
            </w:pPr>
            <w:r>
              <w:rPr>
                <w:rFonts w:hint="eastAsia" w:cs="Times New Roman"/>
                <w:color w:val="auto"/>
                <w:kern w:val="2"/>
                <w:sz w:val="21"/>
                <w:szCs w:val="28"/>
                <w:lang w:val="en-US" w:eastAsia="zh-CN" w:bidi="ar-SA"/>
              </w:rPr>
              <w:t>78.18</w:t>
            </w:r>
          </w:p>
        </w:tc>
        <w:tc>
          <w:tcPr>
            <w:tcW w:w="1213" w:type="dxa"/>
            <w:vAlign w:val="center"/>
          </w:tcPr>
          <w:p w14:paraId="3C0FB095">
            <w:pPr>
              <w:jc w:val="center"/>
              <w:rPr>
                <w:rFonts w:hint="eastAsia" w:ascii="Times New Roman" w:hAnsi="Times New Roman" w:eastAsia="宋体" w:cs="Times New Roman"/>
                <w:color w:val="auto"/>
                <w:sz w:val="22"/>
                <w:lang w:val="en-US" w:eastAsia="zh-CN"/>
              </w:rPr>
            </w:pPr>
            <w:r>
              <w:rPr>
                <w:rFonts w:hint="eastAsia" w:ascii="Times New Roman" w:hAnsi="Times New Roman" w:eastAsia="宋体" w:cs="Times New Roman"/>
                <w:color w:val="auto"/>
                <w:sz w:val="22"/>
                <w:lang w:val="en-US" w:eastAsia="zh-CN"/>
              </w:rPr>
              <w:t>/</w:t>
            </w:r>
          </w:p>
        </w:tc>
        <w:tc>
          <w:tcPr>
            <w:tcW w:w="1034" w:type="dxa"/>
            <w:vAlign w:val="center"/>
          </w:tcPr>
          <w:p w14:paraId="7086759F">
            <w:pPr>
              <w:jc w:val="center"/>
              <w:rPr>
                <w:rFonts w:hint="default" w:ascii="Times New Roman" w:hAnsi="Times New Roman" w:eastAsia="宋体" w:cs="Times New Roman"/>
                <w:color w:val="auto"/>
                <w:sz w:val="22"/>
                <w:lang w:val="en-US" w:eastAsia="zh-CN"/>
              </w:rPr>
            </w:pPr>
            <w:r>
              <w:rPr>
                <w:rFonts w:hint="eastAsia" w:ascii="Times New Roman" w:hAnsi="Times New Roman" w:eastAsia="宋体" w:cs="Times New Roman"/>
                <w:color w:val="auto"/>
                <w:sz w:val="22"/>
                <w:lang w:val="en-US" w:eastAsia="zh-CN"/>
              </w:rPr>
              <w:t>98.2</w:t>
            </w:r>
          </w:p>
        </w:tc>
        <w:tc>
          <w:tcPr>
            <w:tcW w:w="1410" w:type="dxa"/>
            <w:vAlign w:val="center"/>
          </w:tcPr>
          <w:p w14:paraId="40F62812">
            <w:pPr>
              <w:jc w:val="center"/>
              <w:rPr>
                <w:rFonts w:hint="default" w:ascii="Times New Roman" w:hAnsi="Times New Roman" w:eastAsia="宋体" w:cs="Times New Roman"/>
                <w:color w:val="auto"/>
                <w:sz w:val="22"/>
                <w:lang w:val="en-US" w:eastAsia="zh-CN"/>
              </w:rPr>
            </w:pPr>
            <w:r>
              <w:rPr>
                <w:rFonts w:hint="eastAsia" w:ascii="Times New Roman" w:hAnsi="Times New Roman" w:eastAsia="宋体" w:cs="Times New Roman"/>
                <w:color w:val="auto"/>
                <w:sz w:val="22"/>
                <w:lang w:val="en-US" w:eastAsia="zh-CN"/>
              </w:rPr>
              <w:t>12.87</w:t>
            </w:r>
          </w:p>
        </w:tc>
        <w:tc>
          <w:tcPr>
            <w:tcW w:w="1388" w:type="dxa"/>
            <w:vAlign w:val="center"/>
          </w:tcPr>
          <w:p w14:paraId="3E6C095D">
            <w:pPr>
              <w:jc w:val="center"/>
              <w:rPr>
                <w:rFonts w:hint="default" w:ascii="Times New Roman" w:hAnsi="Times New Roman" w:eastAsia="宋体" w:cs="Times New Roman"/>
                <w:color w:val="auto"/>
                <w:sz w:val="22"/>
                <w:lang w:val="en-US" w:eastAsia="zh-CN"/>
              </w:rPr>
            </w:pPr>
            <w:r>
              <w:rPr>
                <w:rFonts w:hint="eastAsia" w:ascii="Times New Roman" w:hAnsi="Times New Roman" w:eastAsia="宋体" w:cs="Times New Roman"/>
                <w:color w:val="auto"/>
                <w:sz w:val="22"/>
                <w:lang w:val="en-US" w:eastAsia="zh-CN"/>
              </w:rPr>
              <w:t>1.41</w:t>
            </w:r>
          </w:p>
        </w:tc>
        <w:tc>
          <w:tcPr>
            <w:tcW w:w="1350" w:type="dxa"/>
            <w:vAlign w:val="center"/>
          </w:tcPr>
          <w:p w14:paraId="51B011EC">
            <w:pPr>
              <w:jc w:val="center"/>
              <w:rPr>
                <w:rFonts w:hint="eastAsia" w:ascii="Times New Roman" w:hAnsi="Times New Roman" w:eastAsia="宋体" w:cs="Times New Roman"/>
                <w:color w:val="auto"/>
                <w:sz w:val="22"/>
                <w:lang w:val="en-US" w:eastAsia="zh-CN"/>
              </w:rPr>
            </w:pPr>
            <w:r>
              <w:rPr>
                <w:rFonts w:hint="eastAsia" w:ascii="Times New Roman" w:hAnsi="Times New Roman" w:eastAsia="宋体" w:cs="Times New Roman"/>
                <w:color w:val="auto"/>
                <w:sz w:val="22"/>
                <w:lang w:val="en-US" w:eastAsia="zh-CN"/>
              </w:rPr>
              <w:t>/</w:t>
            </w:r>
          </w:p>
        </w:tc>
      </w:tr>
      <w:tr w14:paraId="75673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71" w:type="dxa"/>
            <w:vMerge w:val="continue"/>
            <w:vAlign w:val="center"/>
          </w:tcPr>
          <w:p w14:paraId="71565BAF">
            <w:pPr>
              <w:jc w:val="center"/>
              <w:rPr>
                <w:rFonts w:ascii="Times New Roman" w:hAnsi="Times New Roman" w:eastAsia="宋体" w:cs="Times New Roman"/>
                <w:color w:val="FF0000"/>
                <w:sz w:val="22"/>
              </w:rPr>
            </w:pPr>
          </w:p>
        </w:tc>
        <w:tc>
          <w:tcPr>
            <w:tcW w:w="1909" w:type="dxa"/>
            <w:vMerge w:val="continue"/>
            <w:vAlign w:val="center"/>
          </w:tcPr>
          <w:p w14:paraId="6E97A38E">
            <w:pPr>
              <w:jc w:val="center"/>
              <w:rPr>
                <w:rFonts w:ascii="Times New Roman" w:hAnsi="Times New Roman" w:eastAsia="宋体" w:cs="Times New Roman"/>
                <w:color w:val="auto"/>
                <w:sz w:val="22"/>
              </w:rPr>
            </w:pPr>
          </w:p>
        </w:tc>
        <w:tc>
          <w:tcPr>
            <w:tcW w:w="1050" w:type="dxa"/>
            <w:vMerge w:val="continue"/>
            <w:vAlign w:val="center"/>
          </w:tcPr>
          <w:p w14:paraId="7F85E738">
            <w:pPr>
              <w:jc w:val="center"/>
              <w:rPr>
                <w:rFonts w:ascii="Times New Roman" w:hAnsi="Times New Roman" w:eastAsia="宋体" w:cs="Times New Roman"/>
                <w:color w:val="auto"/>
                <w:sz w:val="22"/>
              </w:rPr>
            </w:pPr>
          </w:p>
        </w:tc>
        <w:tc>
          <w:tcPr>
            <w:tcW w:w="1596" w:type="dxa"/>
            <w:shd w:val="clear" w:color="auto" w:fill="auto"/>
            <w:vAlign w:val="center"/>
          </w:tcPr>
          <w:p w14:paraId="4A6A7F03">
            <w:pPr>
              <w:pStyle w:val="52"/>
              <w:bidi w:val="0"/>
              <w:rPr>
                <w:rFonts w:hint="default" w:ascii="Times New Roman" w:hAnsi="Times New Roman" w:eastAsia="宋体" w:cs="Times New Roman"/>
                <w:color w:val="auto"/>
                <w:kern w:val="2"/>
                <w:sz w:val="21"/>
                <w:szCs w:val="28"/>
                <w:lang w:val="en-US" w:eastAsia="zh-CN" w:bidi="ar-SA"/>
              </w:rPr>
            </w:pPr>
            <w:r>
              <w:rPr>
                <w:rFonts w:hint="eastAsia" w:cs="Times New Roman"/>
                <w:color w:val="auto"/>
                <w:kern w:val="2"/>
                <w:sz w:val="21"/>
                <w:szCs w:val="28"/>
                <w:lang w:val="en-US" w:eastAsia="zh-CN" w:bidi="ar-SA"/>
              </w:rPr>
              <w:t>氨氮</w:t>
            </w:r>
          </w:p>
        </w:tc>
        <w:tc>
          <w:tcPr>
            <w:tcW w:w="1391" w:type="dxa"/>
            <w:shd w:val="clear" w:color="auto" w:fill="auto"/>
            <w:vAlign w:val="center"/>
          </w:tcPr>
          <w:p w14:paraId="72977CD0">
            <w:pPr>
              <w:jc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466</w:t>
            </w:r>
          </w:p>
        </w:tc>
        <w:tc>
          <w:tcPr>
            <w:tcW w:w="1391" w:type="dxa"/>
            <w:shd w:val="clear" w:color="auto" w:fill="auto"/>
            <w:vAlign w:val="center"/>
          </w:tcPr>
          <w:p w14:paraId="389C38E4">
            <w:pPr>
              <w:pStyle w:val="52"/>
              <w:bidi w:val="0"/>
              <w:rPr>
                <w:rFonts w:hint="default" w:ascii="Times New Roman" w:hAnsi="Times New Roman" w:eastAsia="宋体" w:cs="Times New Roman"/>
                <w:color w:val="auto"/>
                <w:kern w:val="2"/>
                <w:sz w:val="21"/>
                <w:szCs w:val="28"/>
                <w:lang w:val="en-US" w:eastAsia="zh-CN" w:bidi="ar-SA"/>
              </w:rPr>
            </w:pPr>
            <w:r>
              <w:rPr>
                <w:rFonts w:hint="eastAsia" w:cs="Times New Roman"/>
                <w:color w:val="auto"/>
                <w:kern w:val="2"/>
                <w:sz w:val="21"/>
                <w:szCs w:val="28"/>
                <w:lang w:val="en-US" w:eastAsia="zh-CN" w:bidi="ar-SA"/>
              </w:rPr>
              <w:t>50.95</w:t>
            </w:r>
          </w:p>
        </w:tc>
        <w:tc>
          <w:tcPr>
            <w:tcW w:w="1213" w:type="dxa"/>
            <w:vAlign w:val="center"/>
          </w:tcPr>
          <w:p w14:paraId="5C3F4A15">
            <w:pPr>
              <w:jc w:val="center"/>
              <w:rPr>
                <w:rFonts w:hint="eastAsia" w:ascii="Times New Roman" w:hAnsi="Times New Roman" w:eastAsia="宋体" w:cs="Times New Roman"/>
                <w:color w:val="auto"/>
                <w:sz w:val="22"/>
                <w:lang w:val="en-US" w:eastAsia="zh-CN"/>
              </w:rPr>
            </w:pPr>
            <w:r>
              <w:rPr>
                <w:rFonts w:hint="eastAsia" w:ascii="Times New Roman" w:hAnsi="Times New Roman" w:eastAsia="宋体" w:cs="Times New Roman"/>
                <w:color w:val="auto"/>
                <w:sz w:val="22"/>
                <w:lang w:val="en-US" w:eastAsia="zh-CN"/>
              </w:rPr>
              <w:t>/</w:t>
            </w:r>
          </w:p>
        </w:tc>
        <w:tc>
          <w:tcPr>
            <w:tcW w:w="1034" w:type="dxa"/>
            <w:vAlign w:val="center"/>
          </w:tcPr>
          <w:p w14:paraId="3BBA26A5">
            <w:pPr>
              <w:jc w:val="center"/>
              <w:rPr>
                <w:rFonts w:hint="default" w:ascii="Times New Roman" w:hAnsi="Times New Roman" w:eastAsia="宋体" w:cs="Times New Roman"/>
                <w:color w:val="auto"/>
                <w:sz w:val="22"/>
                <w:lang w:val="en-US" w:eastAsia="zh-CN"/>
              </w:rPr>
            </w:pPr>
            <w:r>
              <w:rPr>
                <w:rFonts w:hint="eastAsia" w:ascii="Times New Roman" w:hAnsi="Times New Roman" w:eastAsia="宋体" w:cs="Times New Roman"/>
                <w:color w:val="auto"/>
                <w:sz w:val="22"/>
                <w:lang w:val="en-US" w:eastAsia="zh-CN"/>
              </w:rPr>
              <w:t>96.5</w:t>
            </w:r>
          </w:p>
        </w:tc>
        <w:tc>
          <w:tcPr>
            <w:tcW w:w="1410" w:type="dxa"/>
            <w:vAlign w:val="center"/>
          </w:tcPr>
          <w:p w14:paraId="0309FDDF">
            <w:pPr>
              <w:jc w:val="center"/>
              <w:rPr>
                <w:rFonts w:hint="default" w:ascii="Times New Roman" w:hAnsi="Times New Roman" w:eastAsia="宋体" w:cs="Times New Roman"/>
                <w:color w:val="auto"/>
                <w:sz w:val="22"/>
                <w:lang w:val="en-US" w:eastAsia="zh-CN"/>
              </w:rPr>
            </w:pPr>
            <w:r>
              <w:rPr>
                <w:rFonts w:hint="eastAsia" w:ascii="Times New Roman" w:hAnsi="Times New Roman" w:eastAsia="宋体" w:cs="Times New Roman"/>
                <w:color w:val="auto"/>
                <w:sz w:val="22"/>
                <w:lang w:val="en-US" w:eastAsia="zh-CN"/>
              </w:rPr>
              <w:t>16.31</w:t>
            </w:r>
          </w:p>
        </w:tc>
        <w:tc>
          <w:tcPr>
            <w:tcW w:w="1388" w:type="dxa"/>
            <w:vAlign w:val="center"/>
          </w:tcPr>
          <w:p w14:paraId="315CF941">
            <w:pPr>
              <w:jc w:val="center"/>
              <w:rPr>
                <w:rFonts w:hint="default" w:ascii="Times New Roman" w:hAnsi="Times New Roman" w:eastAsia="宋体" w:cs="Times New Roman"/>
                <w:color w:val="auto"/>
                <w:sz w:val="22"/>
                <w:lang w:val="en-US" w:eastAsia="zh-CN"/>
              </w:rPr>
            </w:pPr>
            <w:r>
              <w:rPr>
                <w:rFonts w:hint="eastAsia" w:ascii="Times New Roman" w:hAnsi="Times New Roman" w:eastAsia="宋体" w:cs="Times New Roman"/>
                <w:color w:val="auto"/>
                <w:sz w:val="22"/>
                <w:lang w:val="en-US" w:eastAsia="zh-CN"/>
              </w:rPr>
              <w:t>1.78</w:t>
            </w:r>
          </w:p>
        </w:tc>
        <w:tc>
          <w:tcPr>
            <w:tcW w:w="1350" w:type="dxa"/>
            <w:vAlign w:val="center"/>
          </w:tcPr>
          <w:p w14:paraId="56D2F0A8">
            <w:pPr>
              <w:jc w:val="center"/>
              <w:rPr>
                <w:rFonts w:hint="eastAsia" w:ascii="Times New Roman" w:hAnsi="Times New Roman" w:eastAsia="宋体" w:cs="Times New Roman"/>
                <w:color w:val="auto"/>
                <w:sz w:val="22"/>
                <w:lang w:val="en-US" w:eastAsia="zh-CN"/>
              </w:rPr>
            </w:pPr>
            <w:r>
              <w:rPr>
                <w:rFonts w:hint="eastAsia" w:ascii="Times New Roman" w:hAnsi="Times New Roman" w:eastAsia="宋体" w:cs="Times New Roman"/>
                <w:color w:val="auto"/>
                <w:sz w:val="22"/>
                <w:lang w:val="en-US" w:eastAsia="zh-CN"/>
              </w:rPr>
              <w:t>/</w:t>
            </w:r>
          </w:p>
        </w:tc>
      </w:tr>
      <w:tr w14:paraId="7D6D0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71" w:type="dxa"/>
            <w:vMerge w:val="continue"/>
            <w:vAlign w:val="center"/>
          </w:tcPr>
          <w:p w14:paraId="13ADFAD1">
            <w:pPr>
              <w:jc w:val="center"/>
              <w:rPr>
                <w:rFonts w:ascii="Times New Roman" w:hAnsi="Times New Roman" w:eastAsia="宋体" w:cs="Times New Roman"/>
                <w:color w:val="FF0000"/>
                <w:sz w:val="22"/>
              </w:rPr>
            </w:pPr>
          </w:p>
        </w:tc>
        <w:tc>
          <w:tcPr>
            <w:tcW w:w="1909" w:type="dxa"/>
            <w:vMerge w:val="continue"/>
            <w:vAlign w:val="center"/>
          </w:tcPr>
          <w:p w14:paraId="6E93159F">
            <w:pPr>
              <w:jc w:val="center"/>
              <w:rPr>
                <w:rFonts w:ascii="Times New Roman" w:hAnsi="Times New Roman" w:eastAsia="宋体" w:cs="Times New Roman"/>
                <w:color w:val="auto"/>
                <w:sz w:val="22"/>
              </w:rPr>
            </w:pPr>
          </w:p>
        </w:tc>
        <w:tc>
          <w:tcPr>
            <w:tcW w:w="1050" w:type="dxa"/>
            <w:vMerge w:val="continue"/>
            <w:vAlign w:val="center"/>
          </w:tcPr>
          <w:p w14:paraId="03BBC012">
            <w:pPr>
              <w:jc w:val="center"/>
              <w:rPr>
                <w:rFonts w:ascii="Times New Roman" w:hAnsi="Times New Roman" w:eastAsia="宋体" w:cs="Times New Roman"/>
                <w:color w:val="auto"/>
                <w:sz w:val="22"/>
              </w:rPr>
            </w:pPr>
          </w:p>
        </w:tc>
        <w:tc>
          <w:tcPr>
            <w:tcW w:w="1596" w:type="dxa"/>
            <w:shd w:val="clear" w:color="auto" w:fill="auto"/>
            <w:vAlign w:val="center"/>
          </w:tcPr>
          <w:p w14:paraId="1BB16648">
            <w:pPr>
              <w:pStyle w:val="52"/>
              <w:bidi w:val="0"/>
              <w:rPr>
                <w:rFonts w:hint="default" w:ascii="Times New Roman" w:hAnsi="Times New Roman" w:eastAsia="宋体" w:cs="Times New Roman"/>
                <w:color w:val="auto"/>
                <w:kern w:val="2"/>
                <w:sz w:val="21"/>
                <w:szCs w:val="28"/>
                <w:lang w:val="en-US" w:eastAsia="zh-CN" w:bidi="ar-SA"/>
              </w:rPr>
            </w:pPr>
            <w:r>
              <w:rPr>
                <w:rFonts w:hint="eastAsia" w:cs="Times New Roman"/>
                <w:color w:val="auto"/>
                <w:kern w:val="2"/>
                <w:sz w:val="21"/>
                <w:szCs w:val="28"/>
                <w:lang w:val="en-US" w:eastAsia="zh-CN" w:bidi="ar-SA"/>
              </w:rPr>
              <w:t>总磷</w:t>
            </w:r>
          </w:p>
        </w:tc>
        <w:tc>
          <w:tcPr>
            <w:tcW w:w="1391" w:type="dxa"/>
            <w:shd w:val="clear" w:color="auto" w:fill="auto"/>
            <w:vAlign w:val="center"/>
          </w:tcPr>
          <w:p w14:paraId="7FAD92D2">
            <w:pPr>
              <w:jc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248</w:t>
            </w:r>
          </w:p>
        </w:tc>
        <w:tc>
          <w:tcPr>
            <w:tcW w:w="1391" w:type="dxa"/>
            <w:shd w:val="clear" w:color="auto" w:fill="auto"/>
            <w:vAlign w:val="center"/>
          </w:tcPr>
          <w:p w14:paraId="40E68B1C">
            <w:pPr>
              <w:pStyle w:val="52"/>
              <w:bidi w:val="0"/>
              <w:rPr>
                <w:rFonts w:hint="default" w:ascii="Times New Roman" w:hAnsi="Times New Roman" w:eastAsia="宋体" w:cs="Times New Roman"/>
                <w:color w:val="auto"/>
                <w:kern w:val="2"/>
                <w:sz w:val="21"/>
                <w:szCs w:val="28"/>
                <w:lang w:val="en-US" w:eastAsia="zh-CN" w:bidi="ar-SA"/>
              </w:rPr>
            </w:pPr>
            <w:r>
              <w:rPr>
                <w:rFonts w:hint="eastAsia" w:cs="Times New Roman"/>
                <w:color w:val="auto"/>
                <w:kern w:val="2"/>
                <w:sz w:val="21"/>
                <w:szCs w:val="28"/>
                <w:lang w:val="en-US" w:eastAsia="zh-CN" w:bidi="ar-SA"/>
              </w:rPr>
              <w:t>27.12</w:t>
            </w:r>
          </w:p>
        </w:tc>
        <w:tc>
          <w:tcPr>
            <w:tcW w:w="1213" w:type="dxa"/>
            <w:vAlign w:val="center"/>
          </w:tcPr>
          <w:p w14:paraId="67737EB8">
            <w:pPr>
              <w:jc w:val="center"/>
              <w:rPr>
                <w:rFonts w:hint="eastAsia" w:ascii="Times New Roman" w:hAnsi="Times New Roman" w:eastAsia="宋体" w:cs="Times New Roman"/>
                <w:color w:val="auto"/>
                <w:sz w:val="22"/>
                <w:lang w:val="en-US" w:eastAsia="zh-CN"/>
              </w:rPr>
            </w:pPr>
            <w:r>
              <w:rPr>
                <w:rFonts w:hint="eastAsia" w:ascii="Times New Roman" w:hAnsi="Times New Roman" w:eastAsia="宋体" w:cs="Times New Roman"/>
                <w:color w:val="auto"/>
                <w:sz w:val="22"/>
                <w:lang w:val="en-US" w:eastAsia="zh-CN"/>
              </w:rPr>
              <w:t>/</w:t>
            </w:r>
          </w:p>
        </w:tc>
        <w:tc>
          <w:tcPr>
            <w:tcW w:w="1034" w:type="dxa"/>
            <w:vAlign w:val="center"/>
          </w:tcPr>
          <w:p w14:paraId="4754017C">
            <w:pPr>
              <w:jc w:val="center"/>
              <w:rPr>
                <w:rFonts w:hint="default" w:ascii="Times New Roman" w:hAnsi="Times New Roman" w:eastAsia="宋体" w:cs="Times New Roman"/>
                <w:color w:val="auto"/>
                <w:sz w:val="22"/>
                <w:lang w:val="en-US" w:eastAsia="zh-CN"/>
              </w:rPr>
            </w:pPr>
            <w:r>
              <w:rPr>
                <w:rFonts w:hint="eastAsia" w:ascii="Times New Roman" w:hAnsi="Times New Roman" w:eastAsia="宋体" w:cs="Times New Roman"/>
                <w:color w:val="auto"/>
                <w:sz w:val="22"/>
                <w:lang w:val="en-US" w:eastAsia="zh-CN"/>
              </w:rPr>
              <w:t>98.4</w:t>
            </w:r>
          </w:p>
        </w:tc>
        <w:tc>
          <w:tcPr>
            <w:tcW w:w="1410" w:type="dxa"/>
            <w:vAlign w:val="center"/>
          </w:tcPr>
          <w:p w14:paraId="54D158F8">
            <w:pPr>
              <w:jc w:val="center"/>
              <w:rPr>
                <w:rFonts w:hint="default" w:ascii="Times New Roman" w:hAnsi="Times New Roman" w:eastAsia="宋体" w:cs="Times New Roman"/>
                <w:color w:val="auto"/>
                <w:sz w:val="22"/>
                <w:lang w:val="en-US" w:eastAsia="zh-CN"/>
              </w:rPr>
            </w:pPr>
            <w:r>
              <w:rPr>
                <w:rFonts w:hint="eastAsia" w:ascii="Times New Roman" w:hAnsi="Times New Roman" w:eastAsia="宋体" w:cs="Times New Roman"/>
                <w:color w:val="auto"/>
                <w:sz w:val="22"/>
                <w:lang w:val="en-US" w:eastAsia="zh-CN"/>
              </w:rPr>
              <w:t>3.968</w:t>
            </w:r>
          </w:p>
        </w:tc>
        <w:tc>
          <w:tcPr>
            <w:tcW w:w="1388" w:type="dxa"/>
            <w:vAlign w:val="center"/>
          </w:tcPr>
          <w:p w14:paraId="7E4F1328">
            <w:pPr>
              <w:jc w:val="center"/>
              <w:rPr>
                <w:rFonts w:hint="default" w:ascii="Times New Roman" w:hAnsi="Times New Roman" w:eastAsia="宋体" w:cs="Times New Roman"/>
                <w:color w:val="auto"/>
                <w:sz w:val="22"/>
                <w:lang w:val="en-US" w:eastAsia="zh-CN"/>
              </w:rPr>
            </w:pPr>
            <w:r>
              <w:rPr>
                <w:rFonts w:hint="eastAsia" w:ascii="Times New Roman" w:hAnsi="Times New Roman" w:eastAsia="宋体" w:cs="Times New Roman"/>
                <w:color w:val="auto"/>
                <w:sz w:val="22"/>
                <w:lang w:val="en-US" w:eastAsia="zh-CN"/>
              </w:rPr>
              <w:t>0.43</w:t>
            </w:r>
          </w:p>
        </w:tc>
        <w:tc>
          <w:tcPr>
            <w:tcW w:w="1350" w:type="dxa"/>
            <w:vAlign w:val="center"/>
          </w:tcPr>
          <w:p w14:paraId="3A9EE968">
            <w:pPr>
              <w:jc w:val="center"/>
              <w:rPr>
                <w:rFonts w:hint="eastAsia" w:ascii="Times New Roman" w:hAnsi="Times New Roman" w:eastAsia="宋体" w:cs="Times New Roman"/>
                <w:color w:val="auto"/>
                <w:sz w:val="22"/>
                <w:lang w:val="en-US" w:eastAsia="zh-CN"/>
              </w:rPr>
            </w:pPr>
            <w:r>
              <w:rPr>
                <w:rFonts w:hint="eastAsia" w:ascii="Times New Roman" w:hAnsi="Times New Roman" w:eastAsia="宋体" w:cs="Times New Roman"/>
                <w:color w:val="auto"/>
                <w:sz w:val="22"/>
                <w:lang w:val="en-US" w:eastAsia="zh-CN"/>
              </w:rPr>
              <w:t>/</w:t>
            </w:r>
          </w:p>
        </w:tc>
      </w:tr>
      <w:tr w14:paraId="55477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71" w:type="dxa"/>
            <w:vMerge w:val="continue"/>
            <w:vAlign w:val="center"/>
          </w:tcPr>
          <w:p w14:paraId="5AF0FE20">
            <w:pPr>
              <w:jc w:val="center"/>
              <w:rPr>
                <w:rFonts w:ascii="Times New Roman" w:hAnsi="Times New Roman" w:eastAsia="宋体" w:cs="Times New Roman"/>
                <w:color w:val="FF0000"/>
                <w:sz w:val="22"/>
              </w:rPr>
            </w:pPr>
          </w:p>
        </w:tc>
        <w:tc>
          <w:tcPr>
            <w:tcW w:w="1909" w:type="dxa"/>
            <w:vMerge w:val="continue"/>
            <w:vAlign w:val="center"/>
          </w:tcPr>
          <w:p w14:paraId="64CB7A01">
            <w:pPr>
              <w:jc w:val="center"/>
              <w:rPr>
                <w:rFonts w:ascii="Times New Roman" w:hAnsi="Times New Roman" w:eastAsia="宋体" w:cs="Times New Roman"/>
                <w:color w:val="auto"/>
                <w:sz w:val="22"/>
              </w:rPr>
            </w:pPr>
          </w:p>
        </w:tc>
        <w:tc>
          <w:tcPr>
            <w:tcW w:w="1050" w:type="dxa"/>
            <w:vMerge w:val="continue"/>
            <w:vAlign w:val="center"/>
          </w:tcPr>
          <w:p w14:paraId="3B13FABE">
            <w:pPr>
              <w:jc w:val="center"/>
              <w:rPr>
                <w:rFonts w:ascii="Times New Roman" w:hAnsi="Times New Roman" w:eastAsia="宋体" w:cs="Times New Roman"/>
                <w:color w:val="auto"/>
                <w:sz w:val="22"/>
              </w:rPr>
            </w:pPr>
          </w:p>
        </w:tc>
        <w:tc>
          <w:tcPr>
            <w:tcW w:w="1596" w:type="dxa"/>
            <w:shd w:val="clear" w:color="auto" w:fill="auto"/>
            <w:vAlign w:val="center"/>
          </w:tcPr>
          <w:p w14:paraId="6D14563F">
            <w:pPr>
              <w:pStyle w:val="52"/>
              <w:bidi w:val="0"/>
              <w:rPr>
                <w:rFonts w:hint="default" w:ascii="Times New Roman" w:hAnsi="Times New Roman" w:eastAsia="宋体" w:cs="Times New Roman"/>
                <w:color w:val="auto"/>
                <w:kern w:val="2"/>
                <w:sz w:val="21"/>
                <w:szCs w:val="28"/>
                <w:lang w:val="en-US" w:eastAsia="zh-CN" w:bidi="ar-SA"/>
              </w:rPr>
            </w:pPr>
            <w:r>
              <w:rPr>
                <w:rFonts w:hint="eastAsia" w:cs="Times New Roman"/>
                <w:color w:val="auto"/>
                <w:kern w:val="2"/>
                <w:sz w:val="21"/>
                <w:szCs w:val="28"/>
                <w:lang w:val="en-US" w:eastAsia="zh-CN" w:bidi="ar-SA"/>
              </w:rPr>
              <w:t>总氮</w:t>
            </w:r>
          </w:p>
        </w:tc>
        <w:tc>
          <w:tcPr>
            <w:tcW w:w="1391" w:type="dxa"/>
            <w:shd w:val="clear" w:color="auto" w:fill="auto"/>
            <w:vAlign w:val="center"/>
          </w:tcPr>
          <w:p w14:paraId="403D9F94">
            <w:pPr>
              <w:jc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519</w:t>
            </w:r>
          </w:p>
        </w:tc>
        <w:tc>
          <w:tcPr>
            <w:tcW w:w="1391" w:type="dxa"/>
            <w:shd w:val="clear" w:color="auto" w:fill="auto"/>
            <w:vAlign w:val="center"/>
          </w:tcPr>
          <w:p w14:paraId="171FD1CD">
            <w:pPr>
              <w:pStyle w:val="52"/>
              <w:bidi w:val="0"/>
              <w:rPr>
                <w:rFonts w:hint="default" w:ascii="Times New Roman" w:hAnsi="Times New Roman" w:eastAsia="宋体" w:cs="Times New Roman"/>
                <w:color w:val="auto"/>
                <w:kern w:val="2"/>
                <w:sz w:val="21"/>
                <w:szCs w:val="28"/>
                <w:lang w:val="en-US" w:eastAsia="zh-CN" w:bidi="ar-SA"/>
              </w:rPr>
            </w:pPr>
            <w:r>
              <w:rPr>
                <w:rFonts w:hint="eastAsia" w:cs="Times New Roman"/>
                <w:color w:val="auto"/>
                <w:kern w:val="2"/>
                <w:sz w:val="21"/>
                <w:szCs w:val="28"/>
                <w:lang w:val="en-US" w:eastAsia="zh-CN" w:bidi="ar-SA"/>
              </w:rPr>
              <w:t>56.75</w:t>
            </w:r>
          </w:p>
        </w:tc>
        <w:tc>
          <w:tcPr>
            <w:tcW w:w="1213" w:type="dxa"/>
            <w:vAlign w:val="center"/>
          </w:tcPr>
          <w:p w14:paraId="3AC06191">
            <w:pPr>
              <w:jc w:val="center"/>
              <w:rPr>
                <w:rFonts w:hint="eastAsia" w:ascii="Times New Roman" w:hAnsi="Times New Roman" w:eastAsia="宋体" w:cs="Times New Roman"/>
                <w:color w:val="auto"/>
                <w:sz w:val="22"/>
                <w:lang w:val="en-US" w:eastAsia="zh-CN"/>
              </w:rPr>
            </w:pPr>
            <w:r>
              <w:rPr>
                <w:rFonts w:hint="eastAsia" w:ascii="Times New Roman" w:hAnsi="Times New Roman" w:eastAsia="宋体" w:cs="Times New Roman"/>
                <w:color w:val="auto"/>
                <w:sz w:val="22"/>
                <w:lang w:val="en-US" w:eastAsia="zh-CN"/>
              </w:rPr>
              <w:t>/</w:t>
            </w:r>
          </w:p>
        </w:tc>
        <w:tc>
          <w:tcPr>
            <w:tcW w:w="1034" w:type="dxa"/>
            <w:vAlign w:val="center"/>
          </w:tcPr>
          <w:p w14:paraId="663170B8">
            <w:pPr>
              <w:jc w:val="center"/>
              <w:rPr>
                <w:rFonts w:hint="default" w:ascii="Times New Roman" w:hAnsi="Times New Roman" w:eastAsia="宋体" w:cs="Times New Roman"/>
                <w:color w:val="auto"/>
                <w:sz w:val="22"/>
                <w:lang w:val="en-US" w:eastAsia="zh-CN"/>
              </w:rPr>
            </w:pPr>
            <w:r>
              <w:rPr>
                <w:rFonts w:hint="eastAsia" w:ascii="Times New Roman" w:hAnsi="Times New Roman" w:eastAsia="宋体" w:cs="Times New Roman"/>
                <w:color w:val="auto"/>
                <w:sz w:val="22"/>
                <w:lang w:val="en-US" w:eastAsia="zh-CN"/>
              </w:rPr>
              <w:t>95.2</w:t>
            </w:r>
          </w:p>
        </w:tc>
        <w:tc>
          <w:tcPr>
            <w:tcW w:w="1410" w:type="dxa"/>
            <w:vAlign w:val="center"/>
          </w:tcPr>
          <w:p w14:paraId="016BC515">
            <w:pPr>
              <w:jc w:val="center"/>
              <w:rPr>
                <w:rFonts w:hint="default" w:ascii="Times New Roman" w:hAnsi="Times New Roman" w:eastAsia="宋体" w:cs="Times New Roman"/>
                <w:color w:val="auto"/>
                <w:sz w:val="22"/>
                <w:lang w:val="en-US" w:eastAsia="zh-CN"/>
              </w:rPr>
            </w:pPr>
            <w:r>
              <w:rPr>
                <w:rFonts w:hint="eastAsia" w:ascii="Times New Roman" w:hAnsi="Times New Roman" w:eastAsia="宋体" w:cs="Times New Roman"/>
                <w:color w:val="auto"/>
                <w:sz w:val="22"/>
                <w:lang w:val="en-US" w:eastAsia="zh-CN"/>
              </w:rPr>
              <w:t>24.912</w:t>
            </w:r>
          </w:p>
        </w:tc>
        <w:tc>
          <w:tcPr>
            <w:tcW w:w="1388" w:type="dxa"/>
            <w:vAlign w:val="center"/>
          </w:tcPr>
          <w:p w14:paraId="1E745C18">
            <w:pPr>
              <w:jc w:val="center"/>
              <w:rPr>
                <w:rFonts w:hint="default" w:ascii="Times New Roman" w:hAnsi="Times New Roman" w:eastAsia="宋体" w:cs="Times New Roman"/>
                <w:color w:val="auto"/>
                <w:sz w:val="22"/>
                <w:lang w:val="en-US" w:eastAsia="zh-CN"/>
              </w:rPr>
            </w:pPr>
            <w:r>
              <w:rPr>
                <w:rFonts w:hint="eastAsia" w:ascii="Times New Roman" w:hAnsi="Times New Roman" w:eastAsia="宋体" w:cs="Times New Roman"/>
                <w:color w:val="auto"/>
                <w:sz w:val="22"/>
                <w:lang w:val="en-US" w:eastAsia="zh-CN"/>
              </w:rPr>
              <w:t>2.72</w:t>
            </w:r>
          </w:p>
        </w:tc>
        <w:tc>
          <w:tcPr>
            <w:tcW w:w="1350" w:type="dxa"/>
            <w:vAlign w:val="center"/>
          </w:tcPr>
          <w:p w14:paraId="70FDD7AA">
            <w:pPr>
              <w:jc w:val="center"/>
              <w:rPr>
                <w:rFonts w:hint="eastAsia" w:ascii="Times New Roman" w:hAnsi="Times New Roman" w:eastAsia="宋体" w:cs="Times New Roman"/>
                <w:color w:val="auto"/>
                <w:sz w:val="22"/>
                <w:lang w:val="en-US" w:eastAsia="zh-CN"/>
              </w:rPr>
            </w:pPr>
            <w:r>
              <w:rPr>
                <w:rFonts w:hint="eastAsia" w:ascii="Times New Roman" w:hAnsi="Times New Roman" w:eastAsia="宋体" w:cs="Times New Roman"/>
                <w:color w:val="auto"/>
                <w:sz w:val="22"/>
                <w:lang w:val="en-US" w:eastAsia="zh-CN"/>
              </w:rPr>
              <w:t>/</w:t>
            </w:r>
          </w:p>
        </w:tc>
      </w:tr>
      <w:tr w14:paraId="657C7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Align w:val="center"/>
          </w:tcPr>
          <w:p w14:paraId="6C7B3753">
            <w:pPr>
              <w:jc w:val="center"/>
              <w:rPr>
                <w:rFonts w:ascii="Times New Roman" w:hAnsi="Times New Roman" w:eastAsia="宋体" w:cs="Times New Roman"/>
                <w:color w:val="auto"/>
                <w:sz w:val="22"/>
              </w:rPr>
            </w:pPr>
            <w:r>
              <w:rPr>
                <w:rFonts w:hint="eastAsia" w:ascii="Times New Roman" w:hAnsi="Times New Roman" w:eastAsia="宋体" w:cs="Times New Roman"/>
                <w:color w:val="auto"/>
                <w:sz w:val="22"/>
              </w:rPr>
              <w:t>噪声</w:t>
            </w:r>
          </w:p>
        </w:tc>
        <w:tc>
          <w:tcPr>
            <w:tcW w:w="2959" w:type="dxa"/>
            <w:gridSpan w:val="2"/>
            <w:vAlign w:val="center"/>
          </w:tcPr>
          <w:p w14:paraId="4E066A9B">
            <w:pPr>
              <w:jc w:val="center"/>
              <w:rPr>
                <w:rFonts w:hint="default" w:ascii="Times New Roman" w:hAnsi="Times New Roman" w:eastAsia="宋体" w:cs="Times New Roman"/>
                <w:color w:val="auto"/>
                <w:sz w:val="22"/>
                <w:lang w:val="en-US" w:eastAsia="zh-CN"/>
              </w:rPr>
            </w:pPr>
            <w:r>
              <w:rPr>
                <w:rFonts w:hint="eastAsia" w:ascii="Times New Roman" w:hAnsi="Times New Roman" w:eastAsia="宋体" w:cs="Times New Roman"/>
                <w:color w:val="auto"/>
                <w:sz w:val="22"/>
              </w:rPr>
              <w:t>各类</w:t>
            </w:r>
            <w:r>
              <w:rPr>
                <w:rFonts w:hint="eastAsia" w:ascii="Times New Roman" w:hAnsi="Times New Roman" w:eastAsia="宋体" w:cs="Times New Roman"/>
                <w:color w:val="auto"/>
                <w:sz w:val="22"/>
                <w:lang w:val="en-US" w:eastAsia="zh-CN"/>
              </w:rPr>
              <w:t>生产设备</w:t>
            </w:r>
          </w:p>
        </w:tc>
        <w:tc>
          <w:tcPr>
            <w:tcW w:w="1596" w:type="dxa"/>
            <w:vAlign w:val="center"/>
          </w:tcPr>
          <w:p w14:paraId="6734A37C">
            <w:pPr>
              <w:jc w:val="center"/>
              <w:rPr>
                <w:rFonts w:ascii="Times New Roman" w:hAnsi="Times New Roman" w:eastAsia="宋体" w:cs="Times New Roman"/>
                <w:color w:val="auto"/>
                <w:sz w:val="22"/>
              </w:rPr>
            </w:pPr>
            <w:r>
              <w:rPr>
                <w:rFonts w:hint="eastAsia" w:ascii="Times New Roman" w:hAnsi="Times New Roman" w:eastAsia="宋体" w:cs="Times New Roman"/>
                <w:color w:val="auto"/>
                <w:sz w:val="22"/>
              </w:rPr>
              <w:t>/</w:t>
            </w:r>
          </w:p>
        </w:tc>
        <w:tc>
          <w:tcPr>
            <w:tcW w:w="1391" w:type="dxa"/>
            <w:vAlign w:val="center"/>
          </w:tcPr>
          <w:p w14:paraId="6970AA74">
            <w:pPr>
              <w:jc w:val="center"/>
              <w:rPr>
                <w:rFonts w:ascii="Times New Roman" w:hAnsi="Times New Roman" w:eastAsia="宋体" w:cs="Times New Roman"/>
                <w:color w:val="auto"/>
                <w:sz w:val="22"/>
              </w:rPr>
            </w:pPr>
            <w:r>
              <w:rPr>
                <w:rFonts w:hint="eastAsia" w:ascii="Times New Roman" w:hAnsi="Times New Roman" w:eastAsia="宋体" w:cs="Times New Roman"/>
                <w:color w:val="auto"/>
                <w:sz w:val="22"/>
                <w:lang w:val="en-US" w:eastAsia="zh-CN"/>
              </w:rPr>
              <w:t>70-85</w:t>
            </w:r>
            <w:r>
              <w:rPr>
                <w:rFonts w:ascii="Times New Roman" w:hAnsi="Times New Roman" w:eastAsia="宋体" w:cs="Times New Roman"/>
                <w:color w:val="auto"/>
                <w:sz w:val="22"/>
              </w:rPr>
              <w:t>dB</w:t>
            </w:r>
            <w:r>
              <w:rPr>
                <w:rFonts w:hint="eastAsia" w:ascii="Times New Roman" w:hAnsi="Times New Roman" w:eastAsia="宋体" w:cs="Times New Roman"/>
                <w:color w:val="auto"/>
                <w:sz w:val="22"/>
              </w:rPr>
              <w:t>（A）</w:t>
            </w:r>
          </w:p>
        </w:tc>
        <w:tc>
          <w:tcPr>
            <w:tcW w:w="1391" w:type="dxa"/>
            <w:vAlign w:val="center"/>
          </w:tcPr>
          <w:p w14:paraId="22481F40">
            <w:pPr>
              <w:jc w:val="center"/>
              <w:rPr>
                <w:rFonts w:ascii="Times New Roman" w:hAnsi="Times New Roman" w:eastAsia="宋体" w:cs="Times New Roman"/>
                <w:color w:val="auto"/>
                <w:sz w:val="22"/>
              </w:rPr>
            </w:pPr>
            <w:r>
              <w:rPr>
                <w:rFonts w:hint="eastAsia" w:ascii="Times New Roman" w:hAnsi="Times New Roman" w:eastAsia="宋体" w:cs="Times New Roman"/>
                <w:color w:val="auto"/>
                <w:sz w:val="22"/>
              </w:rPr>
              <w:t>/</w:t>
            </w:r>
          </w:p>
        </w:tc>
        <w:tc>
          <w:tcPr>
            <w:tcW w:w="1213" w:type="dxa"/>
            <w:vAlign w:val="center"/>
          </w:tcPr>
          <w:p w14:paraId="43E39E6F">
            <w:pPr>
              <w:jc w:val="center"/>
              <w:rPr>
                <w:rFonts w:ascii="Times New Roman" w:hAnsi="Times New Roman" w:eastAsia="宋体" w:cs="Times New Roman"/>
                <w:color w:val="auto"/>
                <w:sz w:val="22"/>
              </w:rPr>
            </w:pPr>
            <w:r>
              <w:rPr>
                <w:rFonts w:hint="eastAsia" w:ascii="Times New Roman" w:hAnsi="Times New Roman" w:eastAsia="宋体" w:cs="Times New Roman"/>
                <w:color w:val="auto"/>
                <w:sz w:val="22"/>
              </w:rPr>
              <w:t>/</w:t>
            </w:r>
          </w:p>
        </w:tc>
        <w:tc>
          <w:tcPr>
            <w:tcW w:w="1034" w:type="dxa"/>
            <w:vAlign w:val="center"/>
          </w:tcPr>
          <w:p w14:paraId="60CAC67D">
            <w:pPr>
              <w:jc w:val="center"/>
              <w:rPr>
                <w:rFonts w:hint="eastAsia" w:ascii="Times New Roman" w:hAnsi="Times New Roman" w:eastAsia="宋体" w:cs="Times New Roman"/>
                <w:color w:val="auto"/>
                <w:sz w:val="22"/>
              </w:rPr>
            </w:pPr>
          </w:p>
        </w:tc>
        <w:tc>
          <w:tcPr>
            <w:tcW w:w="1410" w:type="dxa"/>
            <w:vAlign w:val="center"/>
          </w:tcPr>
          <w:p w14:paraId="0E41ED68">
            <w:pPr>
              <w:jc w:val="center"/>
              <w:rPr>
                <w:rFonts w:ascii="Times New Roman" w:hAnsi="Times New Roman" w:eastAsia="宋体" w:cs="Times New Roman"/>
                <w:color w:val="auto"/>
                <w:sz w:val="22"/>
              </w:rPr>
            </w:pPr>
            <w:r>
              <w:rPr>
                <w:rFonts w:hint="eastAsia" w:ascii="Times New Roman" w:hAnsi="Times New Roman" w:eastAsia="宋体" w:cs="Times New Roman"/>
                <w:color w:val="auto"/>
                <w:sz w:val="22"/>
              </w:rPr>
              <w:t>/</w:t>
            </w:r>
          </w:p>
        </w:tc>
        <w:tc>
          <w:tcPr>
            <w:tcW w:w="1388" w:type="dxa"/>
            <w:vAlign w:val="center"/>
          </w:tcPr>
          <w:p w14:paraId="123D6389">
            <w:pPr>
              <w:jc w:val="center"/>
              <w:rPr>
                <w:rFonts w:hint="eastAsia" w:ascii="Times New Roman" w:hAnsi="Times New Roman" w:eastAsia="等线" w:cs="Times New Roman"/>
                <w:color w:val="auto"/>
                <w:sz w:val="22"/>
                <w:lang w:val="en-US" w:eastAsia="zh-CN"/>
              </w:rPr>
            </w:pPr>
            <w:r>
              <w:rPr>
                <w:rFonts w:hint="eastAsia" w:ascii="Times New Roman" w:hAnsi="Times New Roman" w:eastAsia="等线" w:cs="Times New Roman"/>
                <w:color w:val="auto"/>
                <w:sz w:val="22"/>
                <w:lang w:val="en-US" w:eastAsia="zh-CN"/>
              </w:rPr>
              <w:t>/</w:t>
            </w:r>
          </w:p>
        </w:tc>
        <w:tc>
          <w:tcPr>
            <w:tcW w:w="1350" w:type="dxa"/>
            <w:vAlign w:val="center"/>
          </w:tcPr>
          <w:p w14:paraId="58202D73">
            <w:pPr>
              <w:jc w:val="center"/>
              <w:rPr>
                <w:rFonts w:ascii="Times New Roman" w:hAnsi="Times New Roman" w:eastAsia="宋体" w:cs="Times New Roman"/>
                <w:color w:val="auto"/>
                <w:sz w:val="22"/>
              </w:rPr>
            </w:pPr>
            <w:r>
              <w:rPr>
                <w:rFonts w:hint="eastAsia" w:ascii="Times New Roman" w:hAnsi="Times New Roman" w:eastAsia="宋体" w:cs="Times New Roman"/>
                <w:color w:val="auto"/>
                <w:sz w:val="22"/>
              </w:rPr>
              <w:t>/</w:t>
            </w:r>
          </w:p>
        </w:tc>
      </w:tr>
      <w:tr w14:paraId="3BAE2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Merge w:val="restart"/>
            <w:vAlign w:val="center"/>
          </w:tcPr>
          <w:p w14:paraId="729B0A55">
            <w:pPr>
              <w:jc w:val="center"/>
              <w:rPr>
                <w:rFonts w:ascii="Times New Roman" w:hAnsi="Times New Roman" w:eastAsia="宋体" w:cs="Times New Roman"/>
                <w:color w:val="auto"/>
                <w:sz w:val="22"/>
              </w:rPr>
            </w:pPr>
            <w:r>
              <w:rPr>
                <w:rFonts w:hint="eastAsia" w:ascii="Times New Roman" w:hAnsi="Times New Roman" w:eastAsia="宋体" w:cs="Times New Roman"/>
                <w:color w:val="auto"/>
                <w:sz w:val="22"/>
              </w:rPr>
              <w:t>固体废物</w:t>
            </w:r>
          </w:p>
        </w:tc>
        <w:tc>
          <w:tcPr>
            <w:tcW w:w="2959" w:type="dxa"/>
            <w:gridSpan w:val="2"/>
            <w:shd w:val="clear" w:color="auto" w:fill="auto"/>
            <w:vAlign w:val="center"/>
          </w:tcPr>
          <w:p w14:paraId="40E861DB">
            <w:pPr>
              <w:widowControl/>
              <w:jc w:val="center"/>
              <w:textAlignment w:val="center"/>
              <w:rPr>
                <w:rFonts w:hint="default" w:ascii="Times New Roman" w:hAnsi="Times New Roman" w:eastAsia="宋体" w:cs="Times New Roman"/>
                <w:color w:val="auto"/>
                <w:kern w:val="2"/>
                <w:sz w:val="21"/>
                <w:szCs w:val="22"/>
                <w:u w:val="none" w:color="auto"/>
                <w:lang w:val="en-US" w:eastAsia="zh-CN" w:bidi="ar-SA"/>
              </w:rPr>
            </w:pPr>
            <w:r>
              <w:rPr>
                <w:rFonts w:hint="eastAsia" w:ascii="Times New Roman" w:hAnsi="Times New Roman"/>
                <w:color w:val="auto"/>
                <w:sz w:val="21"/>
                <w:szCs w:val="21"/>
                <w:highlight w:val="none"/>
                <w:u w:val="none" w:color="auto"/>
                <w:lang w:val="en-US" w:eastAsia="zh-CN"/>
              </w:rPr>
              <w:t>板框过滤菌渣</w:t>
            </w:r>
          </w:p>
        </w:tc>
        <w:tc>
          <w:tcPr>
            <w:tcW w:w="1596" w:type="dxa"/>
            <w:shd w:val="clear" w:color="auto" w:fill="auto"/>
            <w:vAlign w:val="center"/>
          </w:tcPr>
          <w:p w14:paraId="2DFED584">
            <w:pPr>
              <w:jc w:val="center"/>
              <w:rPr>
                <w:rFonts w:hint="eastAsia" w:ascii="Times New Roman" w:hAnsi="Times New Roman" w:eastAsia="宋体" w:cstheme="minorBidi"/>
                <w:color w:val="auto"/>
                <w:kern w:val="0"/>
                <w:sz w:val="21"/>
                <w:szCs w:val="21"/>
                <w:u w:val="none" w:color="auto"/>
                <w:lang w:val="en-US" w:eastAsia="zh-CN" w:bidi="ar-SA"/>
              </w:rPr>
            </w:pPr>
            <w:r>
              <w:rPr>
                <w:rFonts w:hint="eastAsia" w:ascii="Times New Roman" w:hAnsi="Times New Roman"/>
                <w:color w:val="auto"/>
                <w:kern w:val="0"/>
                <w:sz w:val="21"/>
                <w:szCs w:val="21"/>
                <w:u w:val="none" w:color="auto"/>
                <w:lang w:val="en-US" w:eastAsia="zh-CN"/>
              </w:rPr>
              <w:t>一般固废</w:t>
            </w:r>
          </w:p>
        </w:tc>
        <w:tc>
          <w:tcPr>
            <w:tcW w:w="1391" w:type="dxa"/>
            <w:vAlign w:val="center"/>
          </w:tcPr>
          <w:p w14:paraId="24520352">
            <w:pPr>
              <w:jc w:val="center"/>
              <w:rPr>
                <w:rFonts w:ascii="Times New Roman" w:hAnsi="Times New Roman" w:eastAsia="宋体" w:cs="Times New Roman"/>
                <w:color w:val="auto"/>
                <w:sz w:val="22"/>
              </w:rPr>
            </w:pPr>
            <w:r>
              <w:rPr>
                <w:rFonts w:hint="eastAsia" w:ascii="Times New Roman" w:hAnsi="Times New Roman" w:eastAsia="宋体" w:cs="Times New Roman"/>
                <w:color w:val="auto"/>
                <w:sz w:val="22"/>
              </w:rPr>
              <w:t>/</w:t>
            </w:r>
          </w:p>
        </w:tc>
        <w:tc>
          <w:tcPr>
            <w:tcW w:w="1391" w:type="dxa"/>
            <w:shd w:val="clear" w:color="auto" w:fill="auto"/>
            <w:vAlign w:val="center"/>
          </w:tcPr>
          <w:p w14:paraId="79561682">
            <w:pPr>
              <w:keepNext w:val="0"/>
              <w:keepLines w:val="0"/>
              <w:widowControl/>
              <w:suppressLineNumbers w:val="0"/>
              <w:jc w:val="center"/>
              <w:textAlignment w:val="center"/>
              <w:rPr>
                <w:rFonts w:hint="default" w:ascii="Times New Roman" w:hAnsi="Times New Roman" w:eastAsia="宋体" w:cs="Times New Roman"/>
                <w:color w:val="auto"/>
                <w:kern w:val="2"/>
                <w:sz w:val="21"/>
                <w:szCs w:val="22"/>
                <w:u w:val="none" w:color="auto"/>
                <w:lang w:val="en-US" w:eastAsia="zh-CN" w:bidi="ar-SA"/>
              </w:rPr>
            </w:pPr>
            <w:r>
              <w:rPr>
                <w:rFonts w:hint="eastAsia" w:ascii="Times New Roman" w:hAnsi="Times New Roman" w:eastAsia="宋体" w:cs="Times New Roman"/>
                <w:color w:val="auto"/>
                <w:u w:val="none" w:color="auto"/>
                <w:lang w:val="en-US" w:eastAsia="zh-CN"/>
              </w:rPr>
              <w:t>1142.241</w:t>
            </w:r>
          </w:p>
        </w:tc>
        <w:tc>
          <w:tcPr>
            <w:tcW w:w="1213" w:type="dxa"/>
            <w:vAlign w:val="center"/>
          </w:tcPr>
          <w:p w14:paraId="76AA827E">
            <w:pPr>
              <w:jc w:val="center"/>
              <w:rPr>
                <w:rFonts w:ascii="Times New Roman" w:hAnsi="Times New Roman" w:eastAsia="宋体" w:cs="Times New Roman"/>
                <w:color w:val="auto"/>
                <w:sz w:val="22"/>
              </w:rPr>
            </w:pPr>
            <w:r>
              <w:rPr>
                <w:rFonts w:hint="eastAsia" w:ascii="Times New Roman" w:hAnsi="Times New Roman" w:eastAsia="宋体" w:cs="Times New Roman"/>
                <w:color w:val="auto"/>
                <w:sz w:val="22"/>
              </w:rPr>
              <w:t>/</w:t>
            </w:r>
          </w:p>
        </w:tc>
        <w:tc>
          <w:tcPr>
            <w:tcW w:w="1034" w:type="dxa"/>
            <w:vAlign w:val="center"/>
          </w:tcPr>
          <w:p w14:paraId="4FD6C005">
            <w:pPr>
              <w:jc w:val="center"/>
              <w:rPr>
                <w:rFonts w:hint="eastAsia" w:ascii="Times New Roman" w:hAnsi="Times New Roman" w:eastAsia="宋体" w:cs="Times New Roman"/>
                <w:color w:val="auto"/>
                <w:sz w:val="22"/>
              </w:rPr>
            </w:pPr>
          </w:p>
        </w:tc>
        <w:tc>
          <w:tcPr>
            <w:tcW w:w="4148" w:type="dxa"/>
            <w:gridSpan w:val="3"/>
            <w:vMerge w:val="restart"/>
            <w:vAlign w:val="center"/>
          </w:tcPr>
          <w:p w14:paraId="065D12FD">
            <w:pPr>
              <w:jc w:val="center"/>
              <w:rPr>
                <w:rFonts w:ascii="Times New Roman" w:hAnsi="Times New Roman" w:eastAsia="宋体" w:cs="Times New Roman"/>
                <w:color w:val="FF0000"/>
                <w:sz w:val="22"/>
              </w:rPr>
            </w:pPr>
            <w:r>
              <w:rPr>
                <w:rFonts w:hint="eastAsia" w:ascii="Times New Roman" w:hAnsi="Times New Roman" w:eastAsia="宋体" w:cs="Times New Roman"/>
                <w:color w:val="auto"/>
                <w:sz w:val="22"/>
              </w:rPr>
              <w:t>分类收集，合理处置</w:t>
            </w:r>
          </w:p>
        </w:tc>
      </w:tr>
      <w:tr w14:paraId="34C47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Merge w:val="continue"/>
            <w:vAlign w:val="center"/>
          </w:tcPr>
          <w:p w14:paraId="231E5328">
            <w:pPr>
              <w:jc w:val="center"/>
              <w:rPr>
                <w:rFonts w:ascii="Times New Roman" w:hAnsi="Times New Roman" w:eastAsia="宋体" w:cs="Times New Roman"/>
                <w:color w:val="auto"/>
                <w:sz w:val="22"/>
              </w:rPr>
            </w:pPr>
          </w:p>
        </w:tc>
        <w:tc>
          <w:tcPr>
            <w:tcW w:w="2959" w:type="dxa"/>
            <w:gridSpan w:val="2"/>
            <w:shd w:val="clear" w:color="auto" w:fill="auto"/>
            <w:vAlign w:val="center"/>
          </w:tcPr>
          <w:p w14:paraId="5D68E90A">
            <w:pPr>
              <w:widowControl/>
              <w:jc w:val="center"/>
              <w:textAlignment w:val="center"/>
              <w:rPr>
                <w:rFonts w:hint="default" w:ascii="Times New Roman" w:hAnsi="Times New Roman" w:eastAsiaTheme="minorEastAsia" w:cstheme="minorBidi"/>
                <w:color w:val="auto"/>
                <w:kern w:val="2"/>
                <w:sz w:val="21"/>
                <w:szCs w:val="21"/>
                <w:highlight w:val="none"/>
                <w:u w:val="none" w:color="auto"/>
                <w:lang w:val="en-US" w:eastAsia="zh-CN" w:bidi="ar-SA"/>
              </w:rPr>
            </w:pPr>
            <w:r>
              <w:rPr>
                <w:rFonts w:hint="eastAsia" w:ascii="Times New Roman" w:hAnsi="Times New Roman"/>
                <w:color w:val="auto"/>
                <w:sz w:val="21"/>
                <w:szCs w:val="21"/>
                <w:highlight w:val="none"/>
                <w:u w:val="none" w:color="auto"/>
                <w:lang w:val="en-US" w:eastAsia="zh-CN"/>
              </w:rPr>
              <w:t>板框过滤碳渣</w:t>
            </w:r>
          </w:p>
        </w:tc>
        <w:tc>
          <w:tcPr>
            <w:tcW w:w="1596" w:type="dxa"/>
            <w:shd w:val="clear" w:color="auto" w:fill="auto"/>
            <w:vAlign w:val="center"/>
          </w:tcPr>
          <w:p w14:paraId="1CC117BA">
            <w:pPr>
              <w:jc w:val="center"/>
              <w:rPr>
                <w:rFonts w:asciiTheme="minorHAnsi" w:hAnsiTheme="minorHAnsi" w:eastAsiaTheme="minorEastAsia" w:cstheme="minorBidi"/>
                <w:color w:val="auto"/>
                <w:kern w:val="2"/>
                <w:sz w:val="21"/>
                <w:szCs w:val="21"/>
                <w:u w:val="none" w:color="auto"/>
                <w:lang w:val="en-US" w:eastAsia="zh-CN" w:bidi="ar-SA"/>
              </w:rPr>
            </w:pPr>
            <w:r>
              <w:rPr>
                <w:rFonts w:hint="eastAsia" w:ascii="Times New Roman" w:hAnsi="Times New Roman"/>
                <w:color w:val="auto"/>
                <w:kern w:val="0"/>
                <w:sz w:val="21"/>
                <w:szCs w:val="21"/>
                <w:u w:val="none" w:color="auto"/>
                <w:lang w:val="en-US" w:eastAsia="zh-CN"/>
              </w:rPr>
              <w:t>一般固废</w:t>
            </w:r>
          </w:p>
        </w:tc>
        <w:tc>
          <w:tcPr>
            <w:tcW w:w="1391" w:type="dxa"/>
            <w:vAlign w:val="center"/>
          </w:tcPr>
          <w:p w14:paraId="36B7EE0C">
            <w:pPr>
              <w:jc w:val="center"/>
              <w:rPr>
                <w:rFonts w:ascii="Times New Roman" w:hAnsi="Times New Roman" w:eastAsia="宋体" w:cs="Times New Roman"/>
                <w:color w:val="auto"/>
                <w:sz w:val="22"/>
              </w:rPr>
            </w:pPr>
            <w:r>
              <w:rPr>
                <w:rFonts w:hint="eastAsia" w:ascii="Times New Roman" w:hAnsi="Times New Roman" w:eastAsia="宋体" w:cs="Times New Roman"/>
                <w:color w:val="auto"/>
                <w:sz w:val="22"/>
              </w:rPr>
              <w:t>/</w:t>
            </w:r>
          </w:p>
        </w:tc>
        <w:tc>
          <w:tcPr>
            <w:tcW w:w="1391" w:type="dxa"/>
            <w:shd w:val="clear" w:color="auto" w:fill="auto"/>
            <w:vAlign w:val="center"/>
          </w:tcPr>
          <w:p w14:paraId="4934140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r>
              <w:rPr>
                <w:rFonts w:hint="eastAsia" w:ascii="Times New Roman" w:hAnsi="Times New Roman" w:eastAsia="宋体" w:cs="Times New Roman"/>
                <w:i w:val="0"/>
                <w:iCs w:val="0"/>
                <w:color w:val="auto"/>
                <w:kern w:val="0"/>
                <w:sz w:val="21"/>
                <w:szCs w:val="21"/>
                <w:u w:val="none" w:color="auto"/>
                <w:lang w:val="en-US" w:eastAsia="zh-CN" w:bidi="ar"/>
              </w:rPr>
              <w:t>171.6</w:t>
            </w:r>
          </w:p>
        </w:tc>
        <w:tc>
          <w:tcPr>
            <w:tcW w:w="1213" w:type="dxa"/>
            <w:vAlign w:val="center"/>
          </w:tcPr>
          <w:p w14:paraId="6DF1504B">
            <w:pPr>
              <w:jc w:val="center"/>
              <w:rPr>
                <w:rFonts w:ascii="Times New Roman" w:hAnsi="Times New Roman" w:eastAsia="宋体" w:cs="Times New Roman"/>
                <w:color w:val="auto"/>
                <w:sz w:val="22"/>
              </w:rPr>
            </w:pPr>
            <w:r>
              <w:rPr>
                <w:rFonts w:hint="eastAsia" w:ascii="Times New Roman" w:hAnsi="Times New Roman" w:eastAsia="宋体" w:cs="Times New Roman"/>
                <w:color w:val="auto"/>
                <w:sz w:val="22"/>
              </w:rPr>
              <w:t>/</w:t>
            </w:r>
          </w:p>
        </w:tc>
        <w:tc>
          <w:tcPr>
            <w:tcW w:w="1034" w:type="dxa"/>
            <w:vAlign w:val="center"/>
          </w:tcPr>
          <w:p w14:paraId="5DA241D5">
            <w:pPr>
              <w:jc w:val="center"/>
              <w:rPr>
                <w:rFonts w:ascii="Times New Roman" w:hAnsi="Times New Roman" w:eastAsia="宋体" w:cs="Times New Roman"/>
                <w:color w:val="FF0000"/>
                <w:sz w:val="22"/>
              </w:rPr>
            </w:pPr>
          </w:p>
        </w:tc>
        <w:tc>
          <w:tcPr>
            <w:tcW w:w="4148" w:type="dxa"/>
            <w:gridSpan w:val="3"/>
            <w:vMerge w:val="continue"/>
            <w:vAlign w:val="center"/>
          </w:tcPr>
          <w:p w14:paraId="6E9A0076">
            <w:pPr>
              <w:jc w:val="center"/>
              <w:rPr>
                <w:rFonts w:ascii="Times New Roman" w:hAnsi="Times New Roman" w:eastAsia="宋体" w:cs="Times New Roman"/>
                <w:color w:val="FF0000"/>
                <w:sz w:val="22"/>
              </w:rPr>
            </w:pPr>
          </w:p>
        </w:tc>
      </w:tr>
      <w:tr w14:paraId="5BE2A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Merge w:val="continue"/>
            <w:vAlign w:val="center"/>
          </w:tcPr>
          <w:p w14:paraId="709C261D">
            <w:pPr>
              <w:jc w:val="center"/>
              <w:rPr>
                <w:rFonts w:ascii="Times New Roman" w:hAnsi="Times New Roman" w:eastAsia="宋体" w:cs="Times New Roman"/>
                <w:color w:val="auto"/>
                <w:sz w:val="22"/>
              </w:rPr>
            </w:pPr>
          </w:p>
        </w:tc>
        <w:tc>
          <w:tcPr>
            <w:tcW w:w="2959" w:type="dxa"/>
            <w:gridSpan w:val="2"/>
            <w:shd w:val="clear" w:color="auto" w:fill="auto"/>
            <w:vAlign w:val="center"/>
          </w:tcPr>
          <w:p w14:paraId="316F076B">
            <w:pPr>
              <w:widowControl/>
              <w:jc w:val="center"/>
              <w:textAlignment w:val="center"/>
              <w:rPr>
                <w:rFonts w:hint="default" w:ascii="Times New Roman" w:hAnsi="Times New Roman" w:eastAsiaTheme="minorEastAsia" w:cstheme="minorBidi"/>
                <w:color w:val="auto"/>
                <w:kern w:val="2"/>
                <w:sz w:val="21"/>
                <w:szCs w:val="21"/>
                <w:highlight w:val="none"/>
                <w:u w:val="none" w:color="auto"/>
                <w:lang w:val="en-US" w:eastAsia="zh-CN" w:bidi="ar-SA"/>
              </w:rPr>
            </w:pPr>
            <w:r>
              <w:rPr>
                <w:rFonts w:hint="eastAsia" w:ascii="Times New Roman" w:hAnsi="Times New Roman"/>
                <w:color w:val="auto"/>
                <w:sz w:val="21"/>
                <w:szCs w:val="21"/>
                <w:highlight w:val="none"/>
                <w:u w:val="none" w:color="auto"/>
                <w:lang w:val="en-US" w:eastAsia="zh-CN"/>
              </w:rPr>
              <w:t>滤渣</w:t>
            </w:r>
          </w:p>
        </w:tc>
        <w:tc>
          <w:tcPr>
            <w:tcW w:w="1596" w:type="dxa"/>
            <w:shd w:val="clear" w:color="auto" w:fill="auto"/>
            <w:vAlign w:val="center"/>
          </w:tcPr>
          <w:p w14:paraId="0B7C6878">
            <w:pPr>
              <w:jc w:val="center"/>
              <w:rPr>
                <w:rFonts w:asciiTheme="minorHAnsi" w:hAnsiTheme="minorHAnsi" w:eastAsiaTheme="minorEastAsia" w:cstheme="minorBidi"/>
                <w:color w:val="auto"/>
                <w:kern w:val="2"/>
                <w:sz w:val="21"/>
                <w:szCs w:val="21"/>
                <w:u w:val="none" w:color="auto"/>
                <w:lang w:val="en-US" w:eastAsia="zh-CN" w:bidi="ar-SA"/>
              </w:rPr>
            </w:pPr>
            <w:r>
              <w:rPr>
                <w:rFonts w:hint="eastAsia" w:ascii="Times New Roman" w:hAnsi="Times New Roman"/>
                <w:color w:val="auto"/>
                <w:kern w:val="0"/>
                <w:sz w:val="21"/>
                <w:szCs w:val="21"/>
                <w:u w:val="none" w:color="auto"/>
                <w:lang w:val="en-US" w:eastAsia="zh-CN"/>
              </w:rPr>
              <w:t>一般固废</w:t>
            </w:r>
          </w:p>
        </w:tc>
        <w:tc>
          <w:tcPr>
            <w:tcW w:w="1391" w:type="dxa"/>
            <w:vAlign w:val="center"/>
          </w:tcPr>
          <w:p w14:paraId="3EC079D8">
            <w:pPr>
              <w:jc w:val="center"/>
              <w:rPr>
                <w:rFonts w:ascii="Times New Roman" w:hAnsi="Times New Roman" w:eastAsia="宋体" w:cs="Times New Roman"/>
                <w:color w:val="auto"/>
                <w:sz w:val="22"/>
              </w:rPr>
            </w:pPr>
            <w:r>
              <w:rPr>
                <w:rFonts w:hint="eastAsia" w:ascii="Times New Roman" w:hAnsi="Times New Roman" w:eastAsia="宋体" w:cs="Times New Roman"/>
                <w:color w:val="auto"/>
                <w:sz w:val="22"/>
              </w:rPr>
              <w:t>/</w:t>
            </w:r>
          </w:p>
        </w:tc>
        <w:tc>
          <w:tcPr>
            <w:tcW w:w="1391" w:type="dxa"/>
            <w:shd w:val="clear" w:color="auto" w:fill="auto"/>
            <w:vAlign w:val="center"/>
          </w:tcPr>
          <w:p w14:paraId="790F1A6C">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color="auto"/>
                <w:lang w:val="en-US" w:eastAsia="zh-CN" w:bidi="ar"/>
              </w:rPr>
            </w:pPr>
            <w:r>
              <w:rPr>
                <w:rFonts w:hint="eastAsia" w:ascii="Times New Roman" w:hAnsi="Times New Roman" w:eastAsia="宋体" w:cs="Times New Roman"/>
                <w:i w:val="0"/>
                <w:iCs w:val="0"/>
                <w:color w:val="auto"/>
                <w:kern w:val="0"/>
                <w:sz w:val="21"/>
                <w:szCs w:val="21"/>
                <w:u w:val="none" w:color="auto"/>
                <w:lang w:val="en-US" w:eastAsia="zh-CN" w:bidi="ar"/>
              </w:rPr>
              <w:t>1.17</w:t>
            </w:r>
          </w:p>
        </w:tc>
        <w:tc>
          <w:tcPr>
            <w:tcW w:w="1213" w:type="dxa"/>
            <w:vAlign w:val="center"/>
          </w:tcPr>
          <w:p w14:paraId="5375A1F6">
            <w:pPr>
              <w:jc w:val="center"/>
              <w:rPr>
                <w:rFonts w:ascii="Times New Roman" w:hAnsi="Times New Roman" w:eastAsia="宋体" w:cs="Times New Roman"/>
                <w:color w:val="auto"/>
                <w:sz w:val="22"/>
              </w:rPr>
            </w:pPr>
            <w:r>
              <w:rPr>
                <w:rFonts w:hint="eastAsia" w:ascii="Times New Roman" w:hAnsi="Times New Roman" w:eastAsia="宋体" w:cs="Times New Roman"/>
                <w:color w:val="auto"/>
                <w:sz w:val="22"/>
              </w:rPr>
              <w:t>/</w:t>
            </w:r>
          </w:p>
        </w:tc>
        <w:tc>
          <w:tcPr>
            <w:tcW w:w="1034" w:type="dxa"/>
            <w:vAlign w:val="center"/>
          </w:tcPr>
          <w:p w14:paraId="62D3369A">
            <w:pPr>
              <w:jc w:val="center"/>
              <w:rPr>
                <w:rFonts w:ascii="Times New Roman" w:hAnsi="Times New Roman" w:eastAsia="宋体" w:cs="Times New Roman"/>
                <w:color w:val="FF0000"/>
                <w:sz w:val="22"/>
              </w:rPr>
            </w:pPr>
          </w:p>
        </w:tc>
        <w:tc>
          <w:tcPr>
            <w:tcW w:w="4148" w:type="dxa"/>
            <w:gridSpan w:val="3"/>
            <w:vMerge w:val="continue"/>
            <w:vAlign w:val="center"/>
          </w:tcPr>
          <w:p w14:paraId="2DFD6E3B">
            <w:pPr>
              <w:jc w:val="center"/>
              <w:rPr>
                <w:rFonts w:ascii="Times New Roman" w:hAnsi="Times New Roman" w:eastAsia="宋体" w:cs="Times New Roman"/>
                <w:color w:val="FF0000"/>
                <w:sz w:val="22"/>
              </w:rPr>
            </w:pPr>
          </w:p>
        </w:tc>
      </w:tr>
      <w:tr w14:paraId="73054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Merge w:val="continue"/>
            <w:vAlign w:val="center"/>
          </w:tcPr>
          <w:p w14:paraId="208BE7FE">
            <w:pPr>
              <w:jc w:val="center"/>
              <w:rPr>
                <w:rFonts w:ascii="Times New Roman" w:hAnsi="Times New Roman" w:eastAsia="宋体" w:cs="Times New Roman"/>
                <w:color w:val="auto"/>
                <w:sz w:val="22"/>
              </w:rPr>
            </w:pPr>
          </w:p>
        </w:tc>
        <w:tc>
          <w:tcPr>
            <w:tcW w:w="2959" w:type="dxa"/>
            <w:gridSpan w:val="2"/>
            <w:shd w:val="clear" w:color="auto" w:fill="auto"/>
            <w:vAlign w:val="center"/>
          </w:tcPr>
          <w:p w14:paraId="324FAF20">
            <w:pPr>
              <w:jc w:val="center"/>
              <w:rPr>
                <w:rFonts w:hint="eastAsia" w:ascii="Times New Roman" w:hAnsi="Times New Roman" w:eastAsiaTheme="minorEastAsia" w:cstheme="minorBidi"/>
                <w:color w:val="auto"/>
                <w:kern w:val="0"/>
                <w:sz w:val="21"/>
                <w:szCs w:val="21"/>
                <w:u w:val="none" w:color="auto"/>
                <w:lang w:val="en-US" w:eastAsia="zh-CN" w:bidi="ar-SA"/>
              </w:rPr>
            </w:pPr>
            <w:r>
              <w:rPr>
                <w:rFonts w:ascii="Times New Roman" w:hAnsi="Times New Roman"/>
                <w:color w:val="auto"/>
                <w:kern w:val="0"/>
                <w:sz w:val="21"/>
                <w:szCs w:val="21"/>
                <w:u w:val="none" w:color="auto"/>
              </w:rPr>
              <w:t>污水站污泥</w:t>
            </w:r>
          </w:p>
        </w:tc>
        <w:tc>
          <w:tcPr>
            <w:tcW w:w="1596" w:type="dxa"/>
            <w:shd w:val="clear" w:color="auto" w:fill="auto"/>
            <w:vAlign w:val="center"/>
          </w:tcPr>
          <w:p w14:paraId="35FE2CC7">
            <w:pPr>
              <w:jc w:val="center"/>
              <w:rPr>
                <w:rFonts w:hint="default" w:ascii="Times New Roman" w:hAnsi="Times New Roman" w:eastAsiaTheme="minorEastAsia" w:cstheme="minorBidi"/>
                <w:color w:val="auto"/>
                <w:kern w:val="0"/>
                <w:sz w:val="21"/>
                <w:szCs w:val="21"/>
                <w:u w:val="none" w:color="auto"/>
                <w:lang w:val="en-US" w:eastAsia="zh-CN" w:bidi="ar-SA"/>
              </w:rPr>
            </w:pPr>
            <w:r>
              <w:rPr>
                <w:color w:val="auto"/>
                <w:sz w:val="21"/>
                <w:szCs w:val="21"/>
                <w:u w:val="none" w:color="auto"/>
              </w:rPr>
              <w:t>运营后进行属性鉴定</w:t>
            </w:r>
          </w:p>
        </w:tc>
        <w:tc>
          <w:tcPr>
            <w:tcW w:w="1391" w:type="dxa"/>
            <w:vAlign w:val="center"/>
          </w:tcPr>
          <w:p w14:paraId="73089313">
            <w:pPr>
              <w:jc w:val="center"/>
              <w:rPr>
                <w:rFonts w:ascii="Times New Roman" w:hAnsi="Times New Roman" w:eastAsia="宋体" w:cs="Times New Roman"/>
                <w:color w:val="auto"/>
                <w:sz w:val="22"/>
              </w:rPr>
            </w:pPr>
            <w:r>
              <w:rPr>
                <w:rFonts w:hint="eastAsia" w:ascii="Times New Roman" w:hAnsi="Times New Roman" w:eastAsia="宋体" w:cs="Times New Roman"/>
                <w:color w:val="auto"/>
                <w:sz w:val="22"/>
              </w:rPr>
              <w:t>/</w:t>
            </w:r>
          </w:p>
        </w:tc>
        <w:tc>
          <w:tcPr>
            <w:tcW w:w="1391" w:type="dxa"/>
            <w:shd w:val="clear" w:color="auto" w:fill="auto"/>
            <w:vAlign w:val="center"/>
          </w:tcPr>
          <w:p w14:paraId="2AFF365E">
            <w:pPr>
              <w:jc w:val="center"/>
              <w:rPr>
                <w:rFonts w:hint="default" w:ascii="Times New Roman" w:hAnsi="Times New Roman" w:eastAsia="宋体" w:cstheme="minorBidi"/>
                <w:color w:val="auto"/>
                <w:kern w:val="0"/>
                <w:sz w:val="21"/>
                <w:szCs w:val="21"/>
                <w:u w:val="none" w:color="auto"/>
                <w:lang w:val="en-US" w:eastAsia="zh-CN" w:bidi="ar-SA"/>
              </w:rPr>
            </w:pPr>
            <w:r>
              <w:rPr>
                <w:rFonts w:hint="eastAsia" w:ascii="Times New Roman" w:hAnsi="Times New Roman"/>
                <w:color w:val="auto"/>
                <w:kern w:val="0"/>
                <w:sz w:val="21"/>
                <w:szCs w:val="21"/>
                <w:u w:val="none" w:color="auto"/>
                <w:lang w:val="en-US" w:eastAsia="zh-CN"/>
              </w:rPr>
              <w:t>93.72</w:t>
            </w:r>
          </w:p>
        </w:tc>
        <w:tc>
          <w:tcPr>
            <w:tcW w:w="1213" w:type="dxa"/>
            <w:vAlign w:val="center"/>
          </w:tcPr>
          <w:p w14:paraId="1BD56E5F">
            <w:pPr>
              <w:jc w:val="center"/>
              <w:rPr>
                <w:rFonts w:ascii="Times New Roman" w:hAnsi="Times New Roman" w:eastAsia="宋体" w:cs="Times New Roman"/>
                <w:color w:val="auto"/>
                <w:sz w:val="22"/>
              </w:rPr>
            </w:pPr>
            <w:r>
              <w:rPr>
                <w:rFonts w:hint="eastAsia" w:ascii="Times New Roman" w:hAnsi="Times New Roman" w:eastAsia="宋体" w:cs="Times New Roman"/>
                <w:color w:val="auto"/>
                <w:sz w:val="22"/>
              </w:rPr>
              <w:t>/</w:t>
            </w:r>
          </w:p>
        </w:tc>
        <w:tc>
          <w:tcPr>
            <w:tcW w:w="1034" w:type="dxa"/>
            <w:vAlign w:val="center"/>
          </w:tcPr>
          <w:p w14:paraId="65F7EB28">
            <w:pPr>
              <w:jc w:val="center"/>
              <w:rPr>
                <w:rFonts w:ascii="Times New Roman" w:hAnsi="Times New Roman" w:eastAsia="宋体" w:cs="Times New Roman"/>
                <w:color w:val="FF0000"/>
                <w:sz w:val="22"/>
              </w:rPr>
            </w:pPr>
          </w:p>
        </w:tc>
        <w:tc>
          <w:tcPr>
            <w:tcW w:w="4148" w:type="dxa"/>
            <w:gridSpan w:val="3"/>
            <w:vMerge w:val="continue"/>
            <w:vAlign w:val="center"/>
          </w:tcPr>
          <w:p w14:paraId="43E3C6E4">
            <w:pPr>
              <w:jc w:val="center"/>
              <w:rPr>
                <w:rFonts w:ascii="Times New Roman" w:hAnsi="Times New Roman" w:eastAsia="宋体" w:cs="Times New Roman"/>
                <w:color w:val="FF0000"/>
                <w:sz w:val="22"/>
              </w:rPr>
            </w:pPr>
          </w:p>
        </w:tc>
      </w:tr>
      <w:tr w14:paraId="7DBE7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Merge w:val="continue"/>
            <w:vAlign w:val="center"/>
          </w:tcPr>
          <w:p w14:paraId="2C0173FA">
            <w:pPr>
              <w:jc w:val="center"/>
              <w:rPr>
                <w:rFonts w:ascii="Times New Roman" w:hAnsi="Times New Roman" w:eastAsia="宋体" w:cs="Times New Roman"/>
                <w:color w:val="auto"/>
                <w:sz w:val="22"/>
              </w:rPr>
            </w:pPr>
          </w:p>
        </w:tc>
        <w:tc>
          <w:tcPr>
            <w:tcW w:w="2959" w:type="dxa"/>
            <w:gridSpan w:val="2"/>
            <w:shd w:val="clear" w:color="auto" w:fill="auto"/>
            <w:vAlign w:val="center"/>
          </w:tcPr>
          <w:p w14:paraId="4ECAFFAF">
            <w:pPr>
              <w:jc w:val="center"/>
              <w:rPr>
                <w:rFonts w:hint="eastAsia" w:ascii="Times New Roman" w:hAnsi="Times New Roman" w:eastAsiaTheme="minorEastAsia" w:cstheme="minorBidi"/>
                <w:color w:val="auto"/>
                <w:kern w:val="0"/>
                <w:sz w:val="21"/>
                <w:szCs w:val="21"/>
                <w:u w:val="none" w:color="auto"/>
                <w:lang w:val="en-US" w:eastAsia="zh-CN" w:bidi="ar-SA"/>
              </w:rPr>
            </w:pPr>
            <w:r>
              <w:rPr>
                <w:rFonts w:hint="eastAsia" w:ascii="Times New Roman" w:hAnsi="Times New Roman"/>
                <w:color w:val="auto"/>
                <w:kern w:val="0"/>
                <w:sz w:val="21"/>
                <w:szCs w:val="21"/>
                <w:u w:val="none" w:color="auto"/>
              </w:rPr>
              <w:t>废包装物</w:t>
            </w:r>
          </w:p>
        </w:tc>
        <w:tc>
          <w:tcPr>
            <w:tcW w:w="1596" w:type="dxa"/>
            <w:shd w:val="clear" w:color="auto" w:fill="auto"/>
            <w:vAlign w:val="center"/>
          </w:tcPr>
          <w:p w14:paraId="5CBFA973">
            <w:pPr>
              <w:jc w:val="center"/>
              <w:rPr>
                <w:rFonts w:hint="default" w:ascii="Times New Roman" w:hAnsi="Times New Roman" w:eastAsia="宋体" w:cstheme="minorBidi"/>
                <w:color w:val="auto"/>
                <w:kern w:val="0"/>
                <w:sz w:val="21"/>
                <w:szCs w:val="21"/>
                <w:u w:val="none" w:color="auto"/>
                <w:lang w:val="en-US" w:eastAsia="zh-CN" w:bidi="ar-SA"/>
              </w:rPr>
            </w:pPr>
            <w:r>
              <w:rPr>
                <w:rFonts w:hint="eastAsia" w:ascii="Times New Roman" w:hAnsi="Times New Roman"/>
                <w:color w:val="auto"/>
                <w:kern w:val="0"/>
                <w:sz w:val="21"/>
                <w:szCs w:val="21"/>
                <w:u w:val="none" w:color="auto"/>
                <w:lang w:val="en-US" w:eastAsia="zh-CN"/>
              </w:rPr>
              <w:t>一般固废</w:t>
            </w:r>
          </w:p>
        </w:tc>
        <w:tc>
          <w:tcPr>
            <w:tcW w:w="1391" w:type="dxa"/>
            <w:vAlign w:val="center"/>
          </w:tcPr>
          <w:p w14:paraId="3FD4888E">
            <w:pPr>
              <w:jc w:val="center"/>
              <w:rPr>
                <w:rFonts w:ascii="Times New Roman" w:hAnsi="Times New Roman" w:eastAsia="宋体" w:cs="Times New Roman"/>
                <w:color w:val="auto"/>
                <w:sz w:val="22"/>
              </w:rPr>
            </w:pPr>
            <w:r>
              <w:rPr>
                <w:rFonts w:hint="eastAsia" w:ascii="Times New Roman" w:hAnsi="Times New Roman" w:eastAsia="宋体" w:cs="Times New Roman"/>
                <w:color w:val="auto"/>
                <w:sz w:val="22"/>
              </w:rPr>
              <w:t>/</w:t>
            </w:r>
          </w:p>
        </w:tc>
        <w:tc>
          <w:tcPr>
            <w:tcW w:w="1391" w:type="dxa"/>
            <w:shd w:val="clear" w:color="auto" w:fill="auto"/>
            <w:vAlign w:val="center"/>
          </w:tcPr>
          <w:p w14:paraId="57877904">
            <w:pPr>
              <w:jc w:val="center"/>
              <w:rPr>
                <w:rFonts w:hint="default" w:ascii="Times New Roman" w:hAnsi="Times New Roman" w:eastAsiaTheme="minorEastAsia" w:cstheme="minorBidi"/>
                <w:color w:val="auto"/>
                <w:kern w:val="0"/>
                <w:sz w:val="21"/>
                <w:szCs w:val="21"/>
                <w:u w:val="none" w:color="auto"/>
                <w:lang w:val="en-US" w:eastAsia="zh-CN" w:bidi="ar-SA"/>
              </w:rPr>
            </w:pPr>
            <w:r>
              <w:rPr>
                <w:rFonts w:hint="eastAsia" w:ascii="Times New Roman" w:hAnsi="Times New Roman"/>
                <w:color w:val="auto"/>
                <w:kern w:val="0"/>
                <w:sz w:val="21"/>
                <w:szCs w:val="21"/>
                <w:u w:val="none" w:color="auto"/>
                <w:lang w:val="en-US" w:eastAsia="zh-CN"/>
              </w:rPr>
              <w:t>10</w:t>
            </w:r>
          </w:p>
        </w:tc>
        <w:tc>
          <w:tcPr>
            <w:tcW w:w="1213" w:type="dxa"/>
            <w:vAlign w:val="center"/>
          </w:tcPr>
          <w:p w14:paraId="033A6899">
            <w:pPr>
              <w:jc w:val="center"/>
              <w:rPr>
                <w:rFonts w:ascii="Times New Roman" w:hAnsi="Times New Roman" w:eastAsia="宋体" w:cs="Times New Roman"/>
                <w:color w:val="auto"/>
                <w:sz w:val="22"/>
              </w:rPr>
            </w:pPr>
            <w:r>
              <w:rPr>
                <w:rFonts w:hint="eastAsia" w:ascii="Times New Roman" w:hAnsi="Times New Roman" w:eastAsia="宋体" w:cs="Times New Roman"/>
                <w:color w:val="auto"/>
                <w:sz w:val="22"/>
              </w:rPr>
              <w:t>/</w:t>
            </w:r>
          </w:p>
        </w:tc>
        <w:tc>
          <w:tcPr>
            <w:tcW w:w="1034" w:type="dxa"/>
            <w:vAlign w:val="center"/>
          </w:tcPr>
          <w:p w14:paraId="72CB5666">
            <w:pPr>
              <w:jc w:val="center"/>
              <w:rPr>
                <w:rFonts w:ascii="Times New Roman" w:hAnsi="Times New Roman" w:eastAsia="宋体" w:cs="Times New Roman"/>
                <w:color w:val="FF0000"/>
                <w:sz w:val="22"/>
              </w:rPr>
            </w:pPr>
          </w:p>
        </w:tc>
        <w:tc>
          <w:tcPr>
            <w:tcW w:w="4148" w:type="dxa"/>
            <w:gridSpan w:val="3"/>
            <w:vMerge w:val="continue"/>
            <w:vAlign w:val="center"/>
          </w:tcPr>
          <w:p w14:paraId="3F9CEB6C">
            <w:pPr>
              <w:jc w:val="center"/>
              <w:rPr>
                <w:rFonts w:ascii="Times New Roman" w:hAnsi="Times New Roman" w:eastAsia="宋体" w:cs="Times New Roman"/>
                <w:color w:val="FF0000"/>
                <w:sz w:val="22"/>
              </w:rPr>
            </w:pPr>
          </w:p>
        </w:tc>
      </w:tr>
      <w:tr w14:paraId="45D0A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Merge w:val="continue"/>
            <w:vAlign w:val="center"/>
          </w:tcPr>
          <w:p w14:paraId="0ECE34E2">
            <w:pPr>
              <w:jc w:val="center"/>
              <w:rPr>
                <w:rFonts w:ascii="Times New Roman" w:hAnsi="Times New Roman" w:eastAsia="宋体" w:cs="Times New Roman"/>
                <w:color w:val="auto"/>
                <w:sz w:val="22"/>
              </w:rPr>
            </w:pPr>
          </w:p>
        </w:tc>
        <w:tc>
          <w:tcPr>
            <w:tcW w:w="2959" w:type="dxa"/>
            <w:gridSpan w:val="2"/>
            <w:shd w:val="clear" w:color="auto" w:fill="auto"/>
            <w:vAlign w:val="center"/>
          </w:tcPr>
          <w:p w14:paraId="17CF76C7">
            <w:pPr>
              <w:jc w:val="center"/>
              <w:rPr>
                <w:rFonts w:hint="default" w:ascii="Times New Roman" w:hAnsi="Times New Roman" w:eastAsiaTheme="minorEastAsia" w:cstheme="minorBidi"/>
                <w:color w:val="auto"/>
                <w:kern w:val="0"/>
                <w:sz w:val="21"/>
                <w:szCs w:val="21"/>
                <w:u w:val="none" w:color="auto"/>
                <w:lang w:val="en-US" w:eastAsia="zh-CN" w:bidi="ar-SA"/>
              </w:rPr>
            </w:pPr>
            <w:r>
              <w:rPr>
                <w:rFonts w:hint="eastAsia" w:ascii="Times New Roman" w:hAnsi="Times New Roman"/>
                <w:color w:val="auto"/>
                <w:kern w:val="0"/>
                <w:sz w:val="21"/>
                <w:szCs w:val="21"/>
                <w:u w:val="none" w:color="auto"/>
                <w:lang w:val="en-US" w:eastAsia="zh-CN"/>
              </w:rPr>
              <w:t>生活垃圾</w:t>
            </w:r>
          </w:p>
        </w:tc>
        <w:tc>
          <w:tcPr>
            <w:tcW w:w="1596" w:type="dxa"/>
            <w:shd w:val="clear" w:color="auto" w:fill="auto"/>
            <w:vAlign w:val="center"/>
          </w:tcPr>
          <w:p w14:paraId="0D0C7E5F">
            <w:pPr>
              <w:jc w:val="center"/>
              <w:rPr>
                <w:rFonts w:hint="default" w:ascii="Times New Roman" w:hAnsi="Times New Roman" w:eastAsia="宋体" w:cstheme="minorBidi"/>
                <w:color w:val="auto"/>
                <w:kern w:val="0"/>
                <w:sz w:val="21"/>
                <w:szCs w:val="21"/>
                <w:u w:val="none" w:color="auto"/>
                <w:lang w:val="en-US" w:eastAsia="zh-CN" w:bidi="ar-SA"/>
              </w:rPr>
            </w:pPr>
            <w:r>
              <w:rPr>
                <w:rFonts w:hint="eastAsia" w:ascii="Times New Roman" w:hAnsi="Times New Roman"/>
                <w:color w:val="auto"/>
                <w:kern w:val="0"/>
                <w:sz w:val="21"/>
                <w:szCs w:val="21"/>
                <w:u w:val="none" w:color="auto"/>
                <w:lang w:val="en-US" w:eastAsia="zh-CN"/>
              </w:rPr>
              <w:t>一般固废</w:t>
            </w:r>
          </w:p>
        </w:tc>
        <w:tc>
          <w:tcPr>
            <w:tcW w:w="1391" w:type="dxa"/>
            <w:vAlign w:val="center"/>
          </w:tcPr>
          <w:p w14:paraId="3358C054">
            <w:pPr>
              <w:jc w:val="center"/>
              <w:rPr>
                <w:rFonts w:ascii="Times New Roman" w:hAnsi="Times New Roman" w:eastAsia="宋体" w:cs="Times New Roman"/>
                <w:color w:val="auto"/>
                <w:sz w:val="22"/>
              </w:rPr>
            </w:pPr>
            <w:r>
              <w:rPr>
                <w:rFonts w:hint="eastAsia" w:ascii="Times New Roman" w:hAnsi="Times New Roman" w:eastAsia="宋体" w:cs="Times New Roman"/>
                <w:color w:val="auto"/>
                <w:sz w:val="22"/>
              </w:rPr>
              <w:t>/</w:t>
            </w:r>
          </w:p>
        </w:tc>
        <w:tc>
          <w:tcPr>
            <w:tcW w:w="1391" w:type="dxa"/>
            <w:shd w:val="clear" w:color="auto" w:fill="auto"/>
            <w:vAlign w:val="center"/>
          </w:tcPr>
          <w:p w14:paraId="6ED72ABC">
            <w:pPr>
              <w:jc w:val="center"/>
              <w:rPr>
                <w:rFonts w:hint="default" w:ascii="Times New Roman" w:hAnsi="Times New Roman" w:eastAsiaTheme="minorEastAsia" w:cstheme="minorBidi"/>
                <w:color w:val="auto"/>
                <w:kern w:val="0"/>
                <w:sz w:val="21"/>
                <w:szCs w:val="21"/>
                <w:u w:val="none" w:color="auto"/>
                <w:lang w:val="en-US" w:eastAsia="zh-CN" w:bidi="ar-SA"/>
              </w:rPr>
            </w:pPr>
            <w:r>
              <w:rPr>
                <w:rFonts w:hint="eastAsia" w:ascii="Times New Roman" w:hAnsi="Times New Roman"/>
                <w:color w:val="auto"/>
                <w:kern w:val="0"/>
                <w:sz w:val="21"/>
                <w:szCs w:val="21"/>
                <w:u w:val="none" w:color="auto"/>
                <w:lang w:val="en-US" w:eastAsia="zh-CN"/>
              </w:rPr>
              <w:t>24</w:t>
            </w:r>
          </w:p>
        </w:tc>
        <w:tc>
          <w:tcPr>
            <w:tcW w:w="1213" w:type="dxa"/>
            <w:vAlign w:val="center"/>
          </w:tcPr>
          <w:p w14:paraId="4F8F4E6E">
            <w:pPr>
              <w:jc w:val="center"/>
              <w:rPr>
                <w:rFonts w:ascii="Times New Roman" w:hAnsi="Times New Roman" w:eastAsia="宋体" w:cs="Times New Roman"/>
                <w:color w:val="auto"/>
                <w:sz w:val="22"/>
              </w:rPr>
            </w:pPr>
            <w:r>
              <w:rPr>
                <w:rFonts w:hint="eastAsia" w:ascii="Times New Roman" w:hAnsi="Times New Roman" w:eastAsia="宋体" w:cs="Times New Roman"/>
                <w:color w:val="auto"/>
                <w:sz w:val="22"/>
              </w:rPr>
              <w:t>/</w:t>
            </w:r>
          </w:p>
        </w:tc>
        <w:tc>
          <w:tcPr>
            <w:tcW w:w="1034" w:type="dxa"/>
            <w:vAlign w:val="center"/>
          </w:tcPr>
          <w:p w14:paraId="47C0AD99">
            <w:pPr>
              <w:jc w:val="center"/>
              <w:rPr>
                <w:rFonts w:ascii="Times New Roman" w:hAnsi="Times New Roman" w:eastAsia="宋体" w:cs="Times New Roman"/>
                <w:color w:val="FF0000"/>
                <w:sz w:val="22"/>
              </w:rPr>
            </w:pPr>
          </w:p>
        </w:tc>
        <w:tc>
          <w:tcPr>
            <w:tcW w:w="4148" w:type="dxa"/>
            <w:gridSpan w:val="3"/>
            <w:vMerge w:val="continue"/>
            <w:vAlign w:val="center"/>
          </w:tcPr>
          <w:p w14:paraId="02339FA6">
            <w:pPr>
              <w:jc w:val="center"/>
              <w:rPr>
                <w:rFonts w:ascii="Times New Roman" w:hAnsi="Times New Roman" w:eastAsia="宋体" w:cs="Times New Roman"/>
                <w:color w:val="FF0000"/>
                <w:sz w:val="22"/>
              </w:rPr>
            </w:pPr>
          </w:p>
        </w:tc>
      </w:tr>
      <w:tr w14:paraId="60F6B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Merge w:val="continue"/>
            <w:vAlign w:val="center"/>
          </w:tcPr>
          <w:p w14:paraId="707EB734">
            <w:pPr>
              <w:jc w:val="center"/>
              <w:rPr>
                <w:rFonts w:ascii="Times New Roman" w:hAnsi="Times New Roman" w:eastAsia="宋体" w:cs="Times New Roman"/>
                <w:color w:val="auto"/>
                <w:sz w:val="22"/>
              </w:rPr>
            </w:pPr>
          </w:p>
        </w:tc>
        <w:tc>
          <w:tcPr>
            <w:tcW w:w="2959" w:type="dxa"/>
            <w:gridSpan w:val="2"/>
            <w:shd w:val="clear" w:color="auto" w:fill="auto"/>
            <w:vAlign w:val="center"/>
          </w:tcPr>
          <w:p w14:paraId="48474378">
            <w:pPr>
              <w:jc w:val="center"/>
              <w:rPr>
                <w:rFonts w:hint="eastAsia" w:ascii="Times New Roman" w:hAnsi="Times New Roman" w:eastAsiaTheme="minorEastAsia" w:cstheme="minorBidi"/>
                <w:color w:val="auto"/>
                <w:kern w:val="0"/>
                <w:sz w:val="21"/>
                <w:szCs w:val="21"/>
                <w:u w:val="none" w:color="auto"/>
                <w:lang w:val="en-US" w:eastAsia="zh-CN" w:bidi="ar-SA"/>
              </w:rPr>
            </w:pPr>
            <w:r>
              <w:rPr>
                <w:rFonts w:ascii="Times New Roman" w:hAnsi="Times New Roman"/>
                <w:color w:val="auto"/>
                <w:kern w:val="0"/>
                <w:sz w:val="21"/>
                <w:szCs w:val="21"/>
                <w:u w:val="none" w:color="auto"/>
              </w:rPr>
              <w:t>废矿物油</w:t>
            </w:r>
          </w:p>
        </w:tc>
        <w:tc>
          <w:tcPr>
            <w:tcW w:w="1596" w:type="dxa"/>
            <w:shd w:val="clear" w:color="auto" w:fill="auto"/>
            <w:vAlign w:val="center"/>
          </w:tcPr>
          <w:p w14:paraId="683AE232">
            <w:pPr>
              <w:jc w:val="center"/>
              <w:rPr>
                <w:rFonts w:ascii="Times New Roman" w:hAnsi="Times New Roman"/>
                <w:color w:val="auto"/>
                <w:kern w:val="0"/>
                <w:sz w:val="21"/>
                <w:szCs w:val="21"/>
                <w:u w:val="none" w:color="auto"/>
              </w:rPr>
            </w:pPr>
            <w:r>
              <w:rPr>
                <w:rFonts w:hint="eastAsia" w:ascii="Times New Roman" w:hAnsi="Times New Roman"/>
                <w:color w:val="auto"/>
                <w:kern w:val="0"/>
                <w:sz w:val="21"/>
                <w:szCs w:val="21"/>
                <w:u w:val="none" w:color="auto"/>
                <w:lang w:val="en-US" w:eastAsia="zh-CN"/>
              </w:rPr>
              <w:t>危险废物</w:t>
            </w:r>
            <w:r>
              <w:rPr>
                <w:rFonts w:ascii="Times New Roman" w:hAnsi="Times New Roman"/>
                <w:color w:val="auto"/>
                <w:kern w:val="0"/>
                <w:sz w:val="21"/>
                <w:szCs w:val="21"/>
                <w:u w:val="none" w:color="auto"/>
              </w:rPr>
              <w:t>HW08</w:t>
            </w:r>
          </w:p>
          <w:p w14:paraId="168402AD">
            <w:pPr>
              <w:jc w:val="center"/>
              <w:rPr>
                <w:rFonts w:hint="default" w:ascii="Times New Roman" w:hAnsi="Times New Roman" w:eastAsiaTheme="minorEastAsia" w:cstheme="minorBidi"/>
                <w:color w:val="auto"/>
                <w:kern w:val="0"/>
                <w:sz w:val="21"/>
                <w:szCs w:val="21"/>
                <w:u w:val="none" w:color="auto"/>
                <w:lang w:val="en-US" w:eastAsia="zh-CN" w:bidi="ar-SA"/>
              </w:rPr>
            </w:pPr>
            <w:r>
              <w:rPr>
                <w:rFonts w:ascii="Times New Roman" w:hAnsi="Times New Roman"/>
                <w:color w:val="auto"/>
                <w:kern w:val="0"/>
                <w:sz w:val="21"/>
                <w:szCs w:val="21"/>
                <w:u w:val="none" w:color="auto"/>
              </w:rPr>
              <w:t>900-249-08</w:t>
            </w:r>
          </w:p>
        </w:tc>
        <w:tc>
          <w:tcPr>
            <w:tcW w:w="1391" w:type="dxa"/>
            <w:vAlign w:val="center"/>
          </w:tcPr>
          <w:p w14:paraId="64D1D38B">
            <w:pPr>
              <w:jc w:val="center"/>
              <w:rPr>
                <w:rFonts w:ascii="Times New Roman" w:hAnsi="Times New Roman" w:eastAsia="宋体" w:cs="Times New Roman"/>
                <w:color w:val="auto"/>
                <w:sz w:val="22"/>
              </w:rPr>
            </w:pPr>
            <w:r>
              <w:rPr>
                <w:rFonts w:hint="eastAsia" w:ascii="Times New Roman" w:hAnsi="Times New Roman" w:eastAsia="宋体" w:cs="Times New Roman"/>
                <w:color w:val="auto"/>
                <w:sz w:val="22"/>
              </w:rPr>
              <w:t>/</w:t>
            </w:r>
          </w:p>
        </w:tc>
        <w:tc>
          <w:tcPr>
            <w:tcW w:w="1391" w:type="dxa"/>
            <w:shd w:val="clear" w:color="auto" w:fill="auto"/>
            <w:vAlign w:val="center"/>
          </w:tcPr>
          <w:p w14:paraId="60AD631F">
            <w:pPr>
              <w:jc w:val="center"/>
              <w:rPr>
                <w:rFonts w:hint="eastAsia" w:ascii="Times New Roman" w:hAnsi="Times New Roman" w:eastAsiaTheme="minorEastAsia" w:cstheme="minorBidi"/>
                <w:color w:val="auto"/>
                <w:kern w:val="0"/>
                <w:sz w:val="21"/>
                <w:szCs w:val="21"/>
                <w:u w:val="none" w:color="auto"/>
                <w:lang w:val="en-US" w:eastAsia="zh-CN" w:bidi="ar-SA"/>
              </w:rPr>
            </w:pPr>
            <w:r>
              <w:rPr>
                <w:rFonts w:ascii="Times New Roman" w:hAnsi="Times New Roman"/>
                <w:color w:val="auto"/>
                <w:kern w:val="0"/>
                <w:sz w:val="21"/>
                <w:szCs w:val="21"/>
                <w:u w:val="none" w:color="auto"/>
              </w:rPr>
              <w:t>0.</w:t>
            </w:r>
            <w:r>
              <w:rPr>
                <w:rFonts w:hint="eastAsia" w:ascii="Times New Roman" w:hAnsi="Times New Roman"/>
                <w:color w:val="auto"/>
                <w:kern w:val="0"/>
                <w:sz w:val="21"/>
                <w:szCs w:val="21"/>
                <w:u w:val="none" w:color="auto"/>
                <w:lang w:val="en-US" w:eastAsia="zh-CN"/>
              </w:rPr>
              <w:t>1</w:t>
            </w:r>
          </w:p>
        </w:tc>
        <w:tc>
          <w:tcPr>
            <w:tcW w:w="1213" w:type="dxa"/>
            <w:vAlign w:val="center"/>
          </w:tcPr>
          <w:p w14:paraId="76C07E1D">
            <w:pPr>
              <w:jc w:val="center"/>
              <w:rPr>
                <w:rFonts w:ascii="Times New Roman" w:hAnsi="Times New Roman" w:eastAsia="宋体" w:cs="Times New Roman"/>
                <w:color w:val="auto"/>
                <w:sz w:val="22"/>
              </w:rPr>
            </w:pPr>
            <w:r>
              <w:rPr>
                <w:rFonts w:hint="eastAsia" w:ascii="Times New Roman" w:hAnsi="Times New Roman" w:eastAsia="宋体" w:cs="Times New Roman"/>
                <w:color w:val="auto"/>
                <w:sz w:val="22"/>
              </w:rPr>
              <w:t>/</w:t>
            </w:r>
          </w:p>
        </w:tc>
        <w:tc>
          <w:tcPr>
            <w:tcW w:w="1034" w:type="dxa"/>
            <w:vAlign w:val="center"/>
          </w:tcPr>
          <w:p w14:paraId="51B32747">
            <w:pPr>
              <w:jc w:val="center"/>
              <w:rPr>
                <w:rFonts w:ascii="Times New Roman" w:hAnsi="Times New Roman" w:eastAsia="宋体" w:cs="Times New Roman"/>
                <w:color w:val="FF0000"/>
                <w:sz w:val="22"/>
              </w:rPr>
            </w:pPr>
          </w:p>
        </w:tc>
        <w:tc>
          <w:tcPr>
            <w:tcW w:w="4148" w:type="dxa"/>
            <w:gridSpan w:val="3"/>
            <w:vMerge w:val="continue"/>
            <w:vAlign w:val="center"/>
          </w:tcPr>
          <w:p w14:paraId="1F4291DE">
            <w:pPr>
              <w:jc w:val="center"/>
              <w:rPr>
                <w:rFonts w:ascii="Times New Roman" w:hAnsi="Times New Roman" w:eastAsia="宋体" w:cs="Times New Roman"/>
                <w:color w:val="FF0000"/>
                <w:sz w:val="22"/>
              </w:rPr>
            </w:pPr>
          </w:p>
        </w:tc>
      </w:tr>
    </w:tbl>
    <w:p w14:paraId="16D3FEEB">
      <w:pPr>
        <w:spacing w:line="360" w:lineRule="auto"/>
        <w:ind w:firstLine="480" w:firstLineChars="200"/>
        <w:rPr>
          <w:rFonts w:ascii="Times New Roman" w:hAnsi="Times New Roman" w:eastAsia="宋体" w:cs="Times New Roman"/>
          <w:color w:val="FF0000"/>
          <w:sz w:val="24"/>
          <w:szCs w:val="24"/>
        </w:rPr>
      </w:pPr>
    </w:p>
    <w:p w14:paraId="7858C75B">
      <w:pPr>
        <w:spacing w:line="360" w:lineRule="auto"/>
        <w:ind w:firstLine="480" w:firstLineChars="200"/>
        <w:rPr>
          <w:rFonts w:ascii="Times New Roman" w:hAnsi="Times New Roman" w:eastAsia="宋体" w:cs="Times New Roman"/>
          <w:color w:val="FF0000"/>
          <w:sz w:val="24"/>
          <w:szCs w:val="24"/>
        </w:rPr>
      </w:pPr>
    </w:p>
    <w:p w14:paraId="00E4F3A9">
      <w:pPr>
        <w:spacing w:line="360" w:lineRule="auto"/>
        <w:ind w:firstLine="480" w:firstLineChars="200"/>
        <w:rPr>
          <w:rFonts w:ascii="Times New Roman" w:hAnsi="Times New Roman" w:eastAsia="宋体" w:cs="Times New Roman"/>
          <w:color w:val="FF0000"/>
          <w:sz w:val="24"/>
          <w:szCs w:val="24"/>
        </w:rPr>
      </w:pPr>
    </w:p>
    <w:p w14:paraId="6A6448C6">
      <w:pPr>
        <w:spacing w:line="360" w:lineRule="auto"/>
        <w:ind w:firstLine="480" w:firstLineChars="200"/>
        <w:rPr>
          <w:rFonts w:ascii="Times New Roman" w:hAnsi="Times New Roman" w:eastAsia="宋体" w:cs="Times New Roman"/>
          <w:color w:val="FF0000"/>
          <w:sz w:val="24"/>
          <w:szCs w:val="24"/>
        </w:rPr>
      </w:pPr>
    </w:p>
    <w:p w14:paraId="41685CC1">
      <w:pPr>
        <w:spacing w:line="360" w:lineRule="auto"/>
        <w:ind w:firstLine="480" w:firstLineChars="200"/>
        <w:rPr>
          <w:rFonts w:ascii="Times New Roman" w:hAnsi="Times New Roman" w:eastAsia="宋体" w:cs="Times New Roman"/>
          <w:color w:val="FF0000"/>
          <w:sz w:val="24"/>
          <w:szCs w:val="24"/>
        </w:rPr>
        <w:sectPr>
          <w:pgSz w:w="16838" w:h="11906" w:orient="landscape"/>
          <w:pgMar w:top="1800" w:right="1440" w:bottom="1800" w:left="1440" w:header="851" w:footer="992" w:gutter="0"/>
          <w:pgNumType w:fmt="numberInDash"/>
          <w:cols w:space="425" w:num="1"/>
          <w:docGrid w:type="lines" w:linePitch="312" w:charSpace="0"/>
        </w:sectPr>
      </w:pPr>
    </w:p>
    <w:p w14:paraId="15C03EDE">
      <w:pPr>
        <w:pStyle w:val="3"/>
        <w:spacing w:before="100" w:beforeAutospacing="1" w:after="100" w:afterAutospacing="1" w:line="360" w:lineRule="auto"/>
        <w:rPr>
          <w:rFonts w:ascii="Times New Roman" w:hAnsi="Times New Roman"/>
          <w:color w:val="auto"/>
        </w:rPr>
      </w:pPr>
      <w:bookmarkStart w:id="209" w:name="_Toc1652"/>
      <w:bookmarkStart w:id="210" w:name="_Toc24005"/>
      <w:r>
        <w:rPr>
          <w:rFonts w:hint="eastAsia" w:ascii="Times New Roman" w:hAnsi="Times New Roman"/>
          <w:color w:val="auto"/>
          <w:kern w:val="0"/>
          <w:sz w:val="28"/>
          <w:szCs w:val="28"/>
        </w:rPr>
        <w:t>4</w:t>
      </w:r>
      <w:r>
        <w:rPr>
          <w:rFonts w:ascii="Times New Roman" w:hAnsi="Times New Roman"/>
          <w:color w:val="auto"/>
          <w:kern w:val="0"/>
          <w:sz w:val="28"/>
          <w:szCs w:val="28"/>
        </w:rPr>
        <w:t>.5</w:t>
      </w:r>
      <w:r>
        <w:rPr>
          <w:rFonts w:hint="eastAsia" w:ascii="Times New Roman" w:hAnsi="Times New Roman"/>
          <w:color w:val="auto"/>
          <w:kern w:val="0"/>
          <w:sz w:val="28"/>
          <w:szCs w:val="28"/>
        </w:rPr>
        <w:t>营运期非正常工况污染源分析</w:t>
      </w:r>
      <w:bookmarkEnd w:id="209"/>
      <w:bookmarkEnd w:id="210"/>
    </w:p>
    <w:p w14:paraId="0B387762">
      <w:pPr>
        <w:pStyle w:val="4"/>
        <w:spacing w:before="156" w:beforeLines="50" w:after="156" w:afterLines="50" w:line="360" w:lineRule="auto"/>
        <w:rPr>
          <w:rFonts w:ascii="Times New Roman" w:hAnsi="Times New Roman"/>
          <w:bCs w:val="0"/>
          <w:color w:val="auto"/>
          <w:kern w:val="0"/>
          <w:sz w:val="24"/>
          <w:szCs w:val="24"/>
        </w:rPr>
      </w:pPr>
      <w:r>
        <w:rPr>
          <w:rFonts w:ascii="Times New Roman" w:hAnsi="Times New Roman"/>
          <w:bCs w:val="0"/>
          <w:color w:val="auto"/>
          <w:kern w:val="0"/>
          <w:sz w:val="24"/>
          <w:szCs w:val="24"/>
        </w:rPr>
        <w:t>4.</w:t>
      </w:r>
      <w:r>
        <w:rPr>
          <w:rFonts w:hint="eastAsia" w:ascii="Times New Roman" w:hAnsi="Times New Roman"/>
          <w:bCs w:val="0"/>
          <w:color w:val="auto"/>
          <w:kern w:val="0"/>
          <w:sz w:val="24"/>
          <w:szCs w:val="24"/>
        </w:rPr>
        <w:t>5</w:t>
      </w:r>
      <w:r>
        <w:rPr>
          <w:rFonts w:ascii="Times New Roman" w:hAnsi="Times New Roman"/>
          <w:bCs w:val="0"/>
          <w:color w:val="auto"/>
          <w:kern w:val="0"/>
          <w:sz w:val="24"/>
          <w:szCs w:val="24"/>
        </w:rPr>
        <w:t>.</w:t>
      </w:r>
      <w:r>
        <w:rPr>
          <w:rFonts w:hint="eastAsia" w:ascii="Times New Roman" w:hAnsi="Times New Roman"/>
          <w:bCs w:val="0"/>
          <w:color w:val="auto"/>
          <w:kern w:val="0"/>
          <w:sz w:val="24"/>
          <w:szCs w:val="24"/>
        </w:rPr>
        <w:t>1非正常工况废气排放情况</w:t>
      </w:r>
    </w:p>
    <w:p w14:paraId="4829233E">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rPr>
        <w:t>产品生产过程中</w:t>
      </w:r>
      <w:r>
        <w:rPr>
          <w:rFonts w:hint="eastAsia" w:ascii="Times New Roman" w:hAnsi="Times New Roman" w:eastAsia="宋体" w:cs="Times New Roman"/>
          <w:color w:val="auto"/>
          <w:sz w:val="24"/>
          <w:szCs w:val="24"/>
          <w:lang w:val="en-US" w:eastAsia="zh-CN"/>
        </w:rPr>
        <w:t>主要为发酵废气、干燥废气、污水站及危废暂存间废气，发酵废气经发酵1车间厂房外碱喷淋预处理后进入集中式生物除臭处理设施进一步处理，尾气经21m高DA001排气筒排放，内径1.2m。干燥废气经</w:t>
      </w:r>
      <w:r>
        <w:rPr>
          <w:rFonts w:hint="eastAsia" w:ascii="Times New Roman" w:hAnsi="Times New Roman" w:eastAsia="宋体" w:cs="Times New Roman"/>
          <w:color w:val="auto"/>
          <w:sz w:val="24"/>
          <w:szCs w:val="24"/>
          <w:highlight w:val="none"/>
          <w:u w:val="none"/>
          <w:lang w:val="en-US" w:eastAsia="zh-CN"/>
        </w:rPr>
        <w:t>碱喷淋+集中式生物除臭处理设施处理，尾气经21m高DA001排气筒排放，内径1.2m。</w:t>
      </w:r>
      <w:r>
        <w:rPr>
          <w:rFonts w:hint="eastAsia" w:ascii="Times New Roman" w:hAnsi="Times New Roman" w:eastAsia="宋体" w:cs="Times New Roman"/>
          <w:color w:val="auto"/>
          <w:sz w:val="24"/>
          <w:szCs w:val="24"/>
          <w:lang w:val="en-US" w:eastAsia="zh-CN"/>
        </w:rPr>
        <w:t>污水站及危废暂存间废气收集后经“</w:t>
      </w:r>
      <w:r>
        <w:rPr>
          <w:rFonts w:hint="eastAsia" w:ascii="Times New Roman" w:hAnsi="Times New Roman" w:eastAsia="宋体" w:cs="Times New Roman"/>
          <w:color w:val="auto"/>
          <w:sz w:val="24"/>
          <w:szCs w:val="24"/>
          <w:u w:val="none"/>
          <w:lang w:val="en-US" w:eastAsia="zh-CN"/>
        </w:rPr>
        <w:t>碱喷淋塔+水喷淋塔+生物除臭”处理，气经20m高DA002排气筒排放，内径0.6m。</w:t>
      </w:r>
    </w:p>
    <w:p w14:paraId="4F6BF9D7">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本次环评考虑各废气处理措施失效后，各生产废气未经处理直接排放，则非正常工况废气排放情况如下表所示：</w:t>
      </w:r>
    </w:p>
    <w:p w14:paraId="7C5C7FF9">
      <w:pPr>
        <w:pStyle w:val="6"/>
        <w:bidi w:val="0"/>
      </w:pPr>
      <w:r>
        <w:t>表</w:t>
      </w:r>
      <w:r>
        <w:rPr>
          <w:rFonts w:hint="eastAsia"/>
        </w:rPr>
        <w:t>4</w:t>
      </w:r>
      <w:r>
        <w:t>.</w:t>
      </w:r>
      <w:r>
        <w:rPr>
          <w:rFonts w:hint="eastAsia"/>
        </w:rPr>
        <w:t>5</w:t>
      </w:r>
      <w:r>
        <w:rPr>
          <w:rFonts w:hint="eastAsia"/>
          <w:lang w:val="en-US" w:eastAsia="zh-CN"/>
        </w:rPr>
        <w:t>.1</w:t>
      </w:r>
      <w:r>
        <w:t>-</w:t>
      </w:r>
      <w:r>
        <w:rPr>
          <w:rFonts w:hint="eastAsia"/>
        </w:rPr>
        <w:t>1</w:t>
      </w:r>
      <w:r>
        <w:t xml:space="preserve">    </w:t>
      </w:r>
      <w:r>
        <w:rPr>
          <w:rFonts w:hint="eastAsia"/>
        </w:rPr>
        <w:t>非正常工况废气排放情况一览表</w:t>
      </w:r>
    </w:p>
    <w:tbl>
      <w:tblPr>
        <w:tblStyle w:val="4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88"/>
        <w:gridCol w:w="1313"/>
        <w:gridCol w:w="1452"/>
        <w:gridCol w:w="1457"/>
        <w:gridCol w:w="1203"/>
        <w:gridCol w:w="1209"/>
      </w:tblGrid>
      <w:tr w14:paraId="4829A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7" w:type="pct"/>
            <w:shd w:val="clear" w:color="auto" w:fill="auto"/>
            <w:vAlign w:val="center"/>
          </w:tcPr>
          <w:p w14:paraId="03A66F9E">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非正常排放源</w:t>
            </w:r>
          </w:p>
        </w:tc>
        <w:tc>
          <w:tcPr>
            <w:tcW w:w="770" w:type="pct"/>
            <w:shd w:val="clear" w:color="auto" w:fill="auto"/>
            <w:vAlign w:val="center"/>
          </w:tcPr>
          <w:p w14:paraId="2314B321">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非正常排放原因</w:t>
            </w:r>
          </w:p>
        </w:tc>
        <w:tc>
          <w:tcPr>
            <w:tcW w:w="851" w:type="pct"/>
            <w:shd w:val="clear" w:color="auto" w:fill="auto"/>
            <w:vAlign w:val="center"/>
          </w:tcPr>
          <w:p w14:paraId="6C28AB56">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污染物</w:t>
            </w:r>
          </w:p>
        </w:tc>
        <w:tc>
          <w:tcPr>
            <w:tcW w:w="854" w:type="pct"/>
            <w:shd w:val="clear" w:color="auto" w:fill="auto"/>
            <w:vAlign w:val="center"/>
          </w:tcPr>
          <w:p w14:paraId="6F4204D7">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非正常排放速率(kg/h)</w:t>
            </w:r>
          </w:p>
        </w:tc>
        <w:tc>
          <w:tcPr>
            <w:tcW w:w="705" w:type="pct"/>
            <w:shd w:val="clear" w:color="auto" w:fill="auto"/>
            <w:vAlign w:val="center"/>
          </w:tcPr>
          <w:p w14:paraId="52C09D06">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单次持续时间/h</w:t>
            </w:r>
          </w:p>
        </w:tc>
        <w:tc>
          <w:tcPr>
            <w:tcW w:w="709" w:type="pct"/>
            <w:shd w:val="clear" w:color="auto" w:fill="auto"/>
            <w:vAlign w:val="center"/>
          </w:tcPr>
          <w:p w14:paraId="4254BED4">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年发生频次/次</w:t>
            </w:r>
          </w:p>
        </w:tc>
      </w:tr>
      <w:tr w14:paraId="2CC48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7" w:type="pct"/>
            <w:vMerge w:val="restart"/>
            <w:shd w:val="clear" w:color="auto" w:fill="auto"/>
            <w:vAlign w:val="center"/>
          </w:tcPr>
          <w:p w14:paraId="0121D1AC">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DA001</w:t>
            </w:r>
          </w:p>
        </w:tc>
        <w:tc>
          <w:tcPr>
            <w:tcW w:w="770" w:type="pct"/>
            <w:vMerge w:val="restart"/>
            <w:shd w:val="clear" w:color="auto" w:fill="auto"/>
            <w:vAlign w:val="center"/>
          </w:tcPr>
          <w:p w14:paraId="09757520">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处理设施失效</w:t>
            </w:r>
          </w:p>
        </w:tc>
        <w:tc>
          <w:tcPr>
            <w:tcW w:w="851" w:type="pct"/>
            <w:shd w:val="clear" w:color="auto" w:fill="auto"/>
            <w:vAlign w:val="center"/>
          </w:tcPr>
          <w:p w14:paraId="7A1B0498">
            <w:pPr>
              <w:pStyle w:val="52"/>
              <w:bidi w:val="0"/>
              <w:rPr>
                <w:rFonts w:hint="default" w:ascii="Times New Roman" w:hAnsi="Times New Roman" w:eastAsia="宋体" w:cs="Times New Roman"/>
                <w:color w:val="auto"/>
                <w:kern w:val="2"/>
                <w:sz w:val="21"/>
                <w:szCs w:val="28"/>
                <w:highlight w:val="none"/>
                <w:lang w:val="en-US" w:eastAsia="zh-CN" w:bidi="ar-SA"/>
              </w:rPr>
            </w:pPr>
            <w:r>
              <w:rPr>
                <w:rFonts w:hint="default" w:ascii="Times New Roman" w:hAnsi="Times New Roman" w:eastAsia="宋体" w:cs="Times New Roman"/>
                <w:color w:val="auto"/>
                <w:highlight w:val="none"/>
                <w:lang w:val="en-US" w:eastAsia="zh-CN"/>
              </w:rPr>
              <w:t>非甲烷总烃</w:t>
            </w:r>
          </w:p>
        </w:tc>
        <w:tc>
          <w:tcPr>
            <w:tcW w:w="854" w:type="pct"/>
            <w:shd w:val="clear" w:color="auto" w:fill="auto"/>
            <w:vAlign w:val="center"/>
          </w:tcPr>
          <w:p w14:paraId="798C3ADB">
            <w:pPr>
              <w:pStyle w:val="52"/>
              <w:bidi w:val="0"/>
              <w:rPr>
                <w:rFonts w:hint="default" w:ascii="Times New Roman" w:hAnsi="Times New Roman" w:eastAsia="宋体" w:cs="Times New Roman"/>
                <w:color w:val="auto"/>
                <w:kern w:val="2"/>
                <w:sz w:val="21"/>
                <w:szCs w:val="28"/>
                <w:highlight w:val="none"/>
                <w:lang w:val="en-US" w:eastAsia="zh-CN" w:bidi="ar-SA"/>
              </w:rPr>
            </w:pPr>
            <w:r>
              <w:rPr>
                <w:rFonts w:hint="default" w:ascii="Times New Roman" w:hAnsi="Times New Roman" w:eastAsia="宋体" w:cs="Times New Roman"/>
                <w:color w:val="auto"/>
                <w:kern w:val="2"/>
                <w:sz w:val="21"/>
                <w:szCs w:val="28"/>
                <w:highlight w:val="none"/>
                <w:lang w:val="en-US" w:eastAsia="zh-CN" w:bidi="ar-SA"/>
              </w:rPr>
              <w:t>0.89</w:t>
            </w:r>
          </w:p>
        </w:tc>
        <w:tc>
          <w:tcPr>
            <w:tcW w:w="705" w:type="pct"/>
            <w:vMerge w:val="restart"/>
            <w:shd w:val="clear" w:color="auto" w:fill="auto"/>
            <w:vAlign w:val="center"/>
          </w:tcPr>
          <w:p w14:paraId="13BAE0EB">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1</w:t>
            </w:r>
          </w:p>
        </w:tc>
        <w:tc>
          <w:tcPr>
            <w:tcW w:w="709" w:type="pct"/>
            <w:vMerge w:val="restart"/>
            <w:shd w:val="clear" w:color="auto" w:fill="auto"/>
            <w:vAlign w:val="center"/>
          </w:tcPr>
          <w:p w14:paraId="03534681">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1</w:t>
            </w:r>
          </w:p>
        </w:tc>
      </w:tr>
      <w:tr w14:paraId="54E46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7" w:type="pct"/>
            <w:vMerge w:val="continue"/>
            <w:shd w:val="clear" w:color="auto" w:fill="auto"/>
            <w:vAlign w:val="center"/>
          </w:tcPr>
          <w:p w14:paraId="096F889A">
            <w:pPr>
              <w:jc w:val="center"/>
              <w:rPr>
                <w:rFonts w:ascii="Times New Roman" w:hAnsi="Times New Roman" w:eastAsia="宋体" w:cs="Times New Roman"/>
                <w:color w:val="auto"/>
                <w:sz w:val="22"/>
                <w:szCs w:val="24"/>
              </w:rPr>
            </w:pPr>
          </w:p>
        </w:tc>
        <w:tc>
          <w:tcPr>
            <w:tcW w:w="770" w:type="pct"/>
            <w:vMerge w:val="continue"/>
            <w:shd w:val="clear" w:color="auto" w:fill="auto"/>
            <w:vAlign w:val="center"/>
          </w:tcPr>
          <w:p w14:paraId="16D82515">
            <w:pPr>
              <w:jc w:val="center"/>
              <w:rPr>
                <w:rFonts w:ascii="Times New Roman" w:hAnsi="Times New Roman" w:eastAsia="宋体" w:cs="Times New Roman"/>
                <w:color w:val="auto"/>
                <w:sz w:val="22"/>
                <w:szCs w:val="24"/>
              </w:rPr>
            </w:pPr>
          </w:p>
        </w:tc>
        <w:tc>
          <w:tcPr>
            <w:tcW w:w="851" w:type="pct"/>
            <w:shd w:val="clear" w:color="auto" w:fill="auto"/>
            <w:vAlign w:val="center"/>
          </w:tcPr>
          <w:p w14:paraId="7D1365C0">
            <w:pPr>
              <w:pStyle w:val="52"/>
              <w:bidi w:val="0"/>
              <w:rPr>
                <w:rFonts w:hint="default" w:ascii="Times New Roman" w:hAnsi="Times New Roman" w:eastAsia="宋体" w:cs="Times New Roman"/>
                <w:color w:val="auto"/>
                <w:kern w:val="2"/>
                <w:sz w:val="21"/>
                <w:szCs w:val="28"/>
                <w:highlight w:val="none"/>
                <w:lang w:val="en-US" w:eastAsia="zh-CN" w:bidi="ar-SA"/>
              </w:rPr>
            </w:pPr>
            <w:r>
              <w:rPr>
                <w:rFonts w:hint="default" w:ascii="Times New Roman" w:hAnsi="Times New Roman" w:eastAsia="宋体" w:cs="Times New Roman"/>
                <w:color w:val="auto"/>
                <w:highlight w:val="none"/>
                <w:lang w:val="en-US" w:eastAsia="zh-CN"/>
              </w:rPr>
              <w:t>颗粒物</w:t>
            </w:r>
          </w:p>
        </w:tc>
        <w:tc>
          <w:tcPr>
            <w:tcW w:w="854" w:type="pct"/>
            <w:shd w:val="clear" w:color="auto" w:fill="auto"/>
            <w:vAlign w:val="center"/>
          </w:tcPr>
          <w:p w14:paraId="6C336FC2">
            <w:pPr>
              <w:pStyle w:val="52"/>
              <w:bidi w:val="0"/>
              <w:rPr>
                <w:rFonts w:hint="default" w:ascii="Times New Roman" w:hAnsi="Times New Roman" w:eastAsia="宋体" w:cs="Times New Roman"/>
                <w:color w:val="auto"/>
                <w:kern w:val="2"/>
                <w:sz w:val="21"/>
                <w:szCs w:val="28"/>
                <w:highlight w:val="none"/>
                <w:lang w:val="en-US" w:eastAsia="zh-CN" w:bidi="ar-SA"/>
              </w:rPr>
            </w:pPr>
            <w:r>
              <w:rPr>
                <w:rFonts w:hint="default" w:ascii="Times New Roman" w:hAnsi="Times New Roman" w:eastAsia="宋体" w:cs="Times New Roman"/>
                <w:color w:val="auto"/>
                <w:kern w:val="2"/>
                <w:sz w:val="21"/>
                <w:szCs w:val="28"/>
                <w:highlight w:val="none"/>
                <w:lang w:val="en-US" w:eastAsia="zh-CN" w:bidi="ar-SA"/>
              </w:rPr>
              <w:t>2.2</w:t>
            </w:r>
            <w:r>
              <w:rPr>
                <w:rFonts w:hint="eastAsia" w:cs="Times New Roman"/>
                <w:color w:val="auto"/>
                <w:kern w:val="2"/>
                <w:sz w:val="21"/>
                <w:szCs w:val="28"/>
                <w:highlight w:val="none"/>
                <w:lang w:val="en-US" w:eastAsia="zh-CN" w:bidi="ar-SA"/>
              </w:rPr>
              <w:t>7</w:t>
            </w:r>
          </w:p>
        </w:tc>
        <w:tc>
          <w:tcPr>
            <w:tcW w:w="705" w:type="pct"/>
            <w:vMerge w:val="continue"/>
            <w:shd w:val="clear" w:color="auto" w:fill="auto"/>
            <w:vAlign w:val="center"/>
          </w:tcPr>
          <w:p w14:paraId="0C534CCE">
            <w:pPr>
              <w:jc w:val="center"/>
              <w:rPr>
                <w:rFonts w:ascii="Times New Roman" w:hAnsi="Times New Roman" w:eastAsia="宋体" w:cs="Times New Roman"/>
                <w:color w:val="auto"/>
                <w:sz w:val="22"/>
                <w:szCs w:val="24"/>
              </w:rPr>
            </w:pPr>
          </w:p>
        </w:tc>
        <w:tc>
          <w:tcPr>
            <w:tcW w:w="709" w:type="pct"/>
            <w:vMerge w:val="continue"/>
            <w:shd w:val="clear" w:color="auto" w:fill="auto"/>
            <w:vAlign w:val="center"/>
          </w:tcPr>
          <w:p w14:paraId="72B640E4">
            <w:pPr>
              <w:jc w:val="center"/>
              <w:rPr>
                <w:rFonts w:ascii="Times New Roman" w:hAnsi="Times New Roman" w:eastAsia="宋体" w:cs="Times New Roman"/>
                <w:color w:val="auto"/>
                <w:sz w:val="22"/>
                <w:szCs w:val="24"/>
              </w:rPr>
            </w:pPr>
          </w:p>
        </w:tc>
      </w:tr>
      <w:tr w14:paraId="23A98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7" w:type="pct"/>
            <w:vMerge w:val="continue"/>
            <w:shd w:val="clear" w:color="auto" w:fill="auto"/>
            <w:vAlign w:val="center"/>
          </w:tcPr>
          <w:p w14:paraId="58F68EB8">
            <w:pPr>
              <w:jc w:val="center"/>
              <w:rPr>
                <w:rFonts w:ascii="Times New Roman" w:hAnsi="Times New Roman" w:eastAsia="宋体" w:cs="Times New Roman"/>
                <w:color w:val="auto"/>
                <w:sz w:val="22"/>
                <w:szCs w:val="24"/>
              </w:rPr>
            </w:pPr>
          </w:p>
        </w:tc>
        <w:tc>
          <w:tcPr>
            <w:tcW w:w="770" w:type="pct"/>
            <w:vMerge w:val="continue"/>
            <w:shd w:val="clear" w:color="auto" w:fill="auto"/>
            <w:vAlign w:val="center"/>
          </w:tcPr>
          <w:p w14:paraId="05CE1532">
            <w:pPr>
              <w:jc w:val="center"/>
              <w:rPr>
                <w:rFonts w:ascii="Times New Roman" w:hAnsi="Times New Roman" w:eastAsia="宋体" w:cs="Times New Roman"/>
                <w:color w:val="auto"/>
                <w:sz w:val="22"/>
                <w:szCs w:val="24"/>
              </w:rPr>
            </w:pPr>
          </w:p>
        </w:tc>
        <w:tc>
          <w:tcPr>
            <w:tcW w:w="851" w:type="pct"/>
            <w:shd w:val="clear" w:color="auto" w:fill="auto"/>
            <w:vAlign w:val="center"/>
          </w:tcPr>
          <w:p w14:paraId="4E0FC54D">
            <w:pPr>
              <w:pStyle w:val="52"/>
              <w:bidi w:val="0"/>
              <w:rPr>
                <w:rFonts w:hint="default" w:ascii="Times New Roman" w:hAnsi="Times New Roman" w:eastAsia="宋体" w:cs="Times New Roman"/>
                <w:color w:val="auto"/>
                <w:kern w:val="2"/>
                <w:sz w:val="21"/>
                <w:szCs w:val="28"/>
                <w:highlight w:val="none"/>
                <w:lang w:val="en-US" w:eastAsia="zh-CN" w:bidi="ar-SA"/>
              </w:rPr>
            </w:pPr>
            <w:r>
              <w:rPr>
                <w:rFonts w:hint="default" w:ascii="Times New Roman" w:hAnsi="Times New Roman" w:eastAsia="宋体" w:cs="Times New Roman"/>
                <w:color w:val="auto"/>
                <w:highlight w:val="none"/>
              </w:rPr>
              <w:t>氨气</w:t>
            </w:r>
          </w:p>
        </w:tc>
        <w:tc>
          <w:tcPr>
            <w:tcW w:w="854" w:type="pct"/>
            <w:shd w:val="clear" w:color="auto" w:fill="auto"/>
            <w:vAlign w:val="center"/>
          </w:tcPr>
          <w:p w14:paraId="4E110645">
            <w:pPr>
              <w:pStyle w:val="52"/>
              <w:bidi w:val="0"/>
              <w:rPr>
                <w:rFonts w:hint="default" w:ascii="Times New Roman" w:hAnsi="Times New Roman" w:eastAsia="宋体" w:cs="Times New Roman"/>
                <w:color w:val="auto"/>
                <w:kern w:val="2"/>
                <w:sz w:val="21"/>
                <w:szCs w:val="28"/>
                <w:highlight w:val="none"/>
                <w:lang w:val="en-US" w:eastAsia="zh-CN" w:bidi="ar-SA"/>
              </w:rPr>
            </w:pPr>
            <w:r>
              <w:rPr>
                <w:rFonts w:hint="default" w:ascii="Times New Roman" w:hAnsi="Times New Roman" w:eastAsia="宋体" w:cs="Times New Roman"/>
                <w:color w:val="auto"/>
                <w:kern w:val="2"/>
                <w:sz w:val="21"/>
                <w:szCs w:val="28"/>
                <w:highlight w:val="none"/>
                <w:lang w:val="en-US" w:eastAsia="zh-CN" w:bidi="ar-SA"/>
              </w:rPr>
              <w:t>0.055</w:t>
            </w:r>
          </w:p>
        </w:tc>
        <w:tc>
          <w:tcPr>
            <w:tcW w:w="705" w:type="pct"/>
            <w:vMerge w:val="continue"/>
            <w:shd w:val="clear" w:color="auto" w:fill="auto"/>
            <w:vAlign w:val="center"/>
          </w:tcPr>
          <w:p w14:paraId="7E2A6319">
            <w:pPr>
              <w:jc w:val="center"/>
              <w:rPr>
                <w:rFonts w:ascii="Times New Roman" w:hAnsi="Times New Roman" w:eastAsia="宋体" w:cs="Times New Roman"/>
                <w:color w:val="auto"/>
                <w:sz w:val="22"/>
                <w:szCs w:val="24"/>
              </w:rPr>
            </w:pPr>
          </w:p>
        </w:tc>
        <w:tc>
          <w:tcPr>
            <w:tcW w:w="709" w:type="pct"/>
            <w:vMerge w:val="continue"/>
            <w:shd w:val="clear" w:color="auto" w:fill="auto"/>
            <w:vAlign w:val="center"/>
          </w:tcPr>
          <w:p w14:paraId="3B28B4B6">
            <w:pPr>
              <w:jc w:val="center"/>
              <w:rPr>
                <w:rFonts w:ascii="Times New Roman" w:hAnsi="Times New Roman" w:eastAsia="宋体" w:cs="Times New Roman"/>
                <w:color w:val="auto"/>
                <w:sz w:val="22"/>
                <w:szCs w:val="24"/>
              </w:rPr>
            </w:pPr>
          </w:p>
        </w:tc>
      </w:tr>
      <w:tr w14:paraId="5BE44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7" w:type="pct"/>
            <w:vMerge w:val="restart"/>
            <w:shd w:val="clear" w:color="auto" w:fill="auto"/>
            <w:vAlign w:val="center"/>
          </w:tcPr>
          <w:p w14:paraId="33F4DF1A">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DA002</w:t>
            </w:r>
          </w:p>
        </w:tc>
        <w:tc>
          <w:tcPr>
            <w:tcW w:w="770" w:type="pct"/>
            <w:vMerge w:val="continue"/>
            <w:shd w:val="clear" w:color="auto" w:fill="auto"/>
            <w:vAlign w:val="center"/>
          </w:tcPr>
          <w:p w14:paraId="5E7FDB73">
            <w:pPr>
              <w:jc w:val="center"/>
              <w:rPr>
                <w:rFonts w:ascii="Times New Roman" w:hAnsi="Times New Roman" w:eastAsia="宋体" w:cs="Times New Roman"/>
                <w:color w:val="auto"/>
                <w:sz w:val="22"/>
                <w:szCs w:val="24"/>
              </w:rPr>
            </w:pPr>
          </w:p>
        </w:tc>
        <w:tc>
          <w:tcPr>
            <w:tcW w:w="851" w:type="pct"/>
            <w:shd w:val="clear" w:color="auto" w:fill="auto"/>
            <w:vAlign w:val="center"/>
          </w:tcPr>
          <w:p w14:paraId="225304AC">
            <w:pPr>
              <w:pStyle w:val="52"/>
              <w:bidi w:val="0"/>
              <w:rPr>
                <w:rFonts w:hint="default" w:ascii="Times New Roman" w:hAnsi="Times New Roman" w:eastAsia="宋体" w:cs="Times New Roman"/>
                <w:color w:val="auto"/>
                <w:kern w:val="2"/>
                <w:sz w:val="21"/>
                <w:szCs w:val="28"/>
                <w:highlight w:val="none"/>
                <w:lang w:val="en-US" w:eastAsia="zh-CN" w:bidi="ar-SA"/>
              </w:rPr>
            </w:pPr>
            <w:r>
              <w:rPr>
                <w:rFonts w:hint="default" w:ascii="Times New Roman" w:hAnsi="Times New Roman" w:eastAsia="宋体" w:cs="Times New Roman"/>
                <w:color w:val="auto"/>
                <w:highlight w:val="none"/>
                <w:lang w:val="en-US" w:eastAsia="zh-CN"/>
              </w:rPr>
              <w:t>氨气</w:t>
            </w:r>
          </w:p>
        </w:tc>
        <w:tc>
          <w:tcPr>
            <w:tcW w:w="854" w:type="pct"/>
            <w:shd w:val="clear" w:color="auto" w:fill="auto"/>
            <w:vAlign w:val="center"/>
          </w:tcPr>
          <w:p w14:paraId="3A161E3B">
            <w:pPr>
              <w:pStyle w:val="52"/>
              <w:bidi w:val="0"/>
              <w:rPr>
                <w:rFonts w:hint="default" w:ascii="Times New Roman" w:hAnsi="Times New Roman" w:eastAsia="宋体" w:cs="Times New Roman"/>
                <w:color w:val="auto"/>
                <w:kern w:val="2"/>
                <w:sz w:val="21"/>
                <w:szCs w:val="28"/>
                <w:highlight w:val="none"/>
                <w:lang w:val="en-US" w:eastAsia="zh-CN" w:bidi="ar-SA"/>
              </w:rPr>
            </w:pPr>
            <w:r>
              <w:rPr>
                <w:rFonts w:hint="default" w:ascii="Times New Roman" w:hAnsi="Times New Roman" w:eastAsia="宋体" w:cs="Times New Roman"/>
                <w:color w:val="auto"/>
                <w:highlight w:val="none"/>
                <w:lang w:val="en-US" w:eastAsia="zh-CN"/>
              </w:rPr>
              <w:t>0.006</w:t>
            </w:r>
          </w:p>
        </w:tc>
        <w:tc>
          <w:tcPr>
            <w:tcW w:w="705" w:type="pct"/>
            <w:vMerge w:val="continue"/>
            <w:shd w:val="clear" w:color="auto" w:fill="auto"/>
            <w:vAlign w:val="center"/>
          </w:tcPr>
          <w:p w14:paraId="781C3B22">
            <w:pPr>
              <w:jc w:val="center"/>
              <w:rPr>
                <w:rFonts w:ascii="Times New Roman" w:hAnsi="Times New Roman" w:eastAsia="宋体" w:cs="Times New Roman"/>
                <w:color w:val="auto"/>
                <w:sz w:val="22"/>
                <w:szCs w:val="24"/>
              </w:rPr>
            </w:pPr>
          </w:p>
        </w:tc>
        <w:tc>
          <w:tcPr>
            <w:tcW w:w="709" w:type="pct"/>
            <w:vMerge w:val="continue"/>
            <w:shd w:val="clear" w:color="auto" w:fill="auto"/>
            <w:vAlign w:val="center"/>
          </w:tcPr>
          <w:p w14:paraId="0EC5F10C">
            <w:pPr>
              <w:jc w:val="center"/>
              <w:rPr>
                <w:rFonts w:ascii="Times New Roman" w:hAnsi="Times New Roman" w:eastAsia="宋体" w:cs="Times New Roman"/>
                <w:color w:val="auto"/>
                <w:sz w:val="22"/>
                <w:szCs w:val="24"/>
              </w:rPr>
            </w:pPr>
          </w:p>
        </w:tc>
      </w:tr>
      <w:tr w14:paraId="7F471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7" w:type="pct"/>
            <w:vMerge w:val="continue"/>
            <w:shd w:val="clear" w:color="auto" w:fill="auto"/>
            <w:vAlign w:val="center"/>
          </w:tcPr>
          <w:p w14:paraId="7C0824DF">
            <w:pPr>
              <w:jc w:val="center"/>
              <w:rPr>
                <w:rFonts w:ascii="Times New Roman" w:hAnsi="Times New Roman" w:eastAsia="宋体" w:cs="Times New Roman"/>
                <w:color w:val="auto"/>
                <w:sz w:val="22"/>
                <w:szCs w:val="24"/>
              </w:rPr>
            </w:pPr>
          </w:p>
        </w:tc>
        <w:tc>
          <w:tcPr>
            <w:tcW w:w="770" w:type="pct"/>
            <w:vMerge w:val="continue"/>
            <w:shd w:val="clear" w:color="auto" w:fill="auto"/>
            <w:vAlign w:val="center"/>
          </w:tcPr>
          <w:p w14:paraId="19332F3C">
            <w:pPr>
              <w:jc w:val="center"/>
              <w:rPr>
                <w:rFonts w:ascii="Times New Roman" w:hAnsi="Times New Roman" w:eastAsia="宋体" w:cs="Times New Roman"/>
                <w:color w:val="auto"/>
                <w:sz w:val="22"/>
                <w:szCs w:val="24"/>
              </w:rPr>
            </w:pPr>
          </w:p>
        </w:tc>
        <w:tc>
          <w:tcPr>
            <w:tcW w:w="851" w:type="pct"/>
            <w:shd w:val="clear" w:color="auto" w:fill="auto"/>
            <w:vAlign w:val="center"/>
          </w:tcPr>
          <w:p w14:paraId="5F55BE3A">
            <w:pPr>
              <w:pStyle w:val="52"/>
              <w:bidi w:val="0"/>
              <w:rPr>
                <w:rFonts w:hint="default" w:ascii="Times New Roman" w:hAnsi="Times New Roman" w:eastAsia="宋体" w:cs="Times New Roman"/>
                <w:color w:val="auto"/>
                <w:kern w:val="2"/>
                <w:sz w:val="21"/>
                <w:szCs w:val="28"/>
                <w:highlight w:val="none"/>
                <w:lang w:val="en-US" w:eastAsia="zh-CN" w:bidi="ar-SA"/>
              </w:rPr>
            </w:pPr>
            <w:r>
              <w:rPr>
                <w:rFonts w:hint="default" w:ascii="Times New Roman" w:hAnsi="Times New Roman" w:eastAsia="宋体" w:cs="Times New Roman"/>
                <w:color w:val="auto"/>
                <w:highlight w:val="none"/>
                <w:lang w:val="en-US" w:eastAsia="zh-CN"/>
              </w:rPr>
              <w:t>硫化氢</w:t>
            </w:r>
          </w:p>
        </w:tc>
        <w:tc>
          <w:tcPr>
            <w:tcW w:w="854" w:type="pct"/>
            <w:shd w:val="clear" w:color="auto" w:fill="auto"/>
            <w:vAlign w:val="center"/>
          </w:tcPr>
          <w:p w14:paraId="1F939AFE">
            <w:pPr>
              <w:pStyle w:val="52"/>
              <w:bidi w:val="0"/>
              <w:rPr>
                <w:rFonts w:hint="default" w:ascii="Times New Roman" w:hAnsi="Times New Roman" w:eastAsia="宋体" w:cs="Times New Roman"/>
                <w:color w:val="auto"/>
                <w:kern w:val="2"/>
                <w:sz w:val="21"/>
                <w:szCs w:val="28"/>
                <w:highlight w:val="none"/>
                <w:lang w:val="en-US" w:eastAsia="zh-CN" w:bidi="ar-SA"/>
              </w:rPr>
            </w:pPr>
            <w:r>
              <w:rPr>
                <w:rFonts w:hint="default" w:ascii="Times New Roman" w:hAnsi="Times New Roman" w:eastAsia="宋体" w:cs="Times New Roman"/>
                <w:color w:val="auto"/>
                <w:highlight w:val="none"/>
                <w:lang w:val="en-US" w:eastAsia="zh-CN"/>
              </w:rPr>
              <w:t>0.0025</w:t>
            </w:r>
          </w:p>
        </w:tc>
        <w:tc>
          <w:tcPr>
            <w:tcW w:w="705" w:type="pct"/>
            <w:vMerge w:val="continue"/>
            <w:shd w:val="clear" w:color="auto" w:fill="auto"/>
            <w:vAlign w:val="center"/>
          </w:tcPr>
          <w:p w14:paraId="05E18B8B">
            <w:pPr>
              <w:jc w:val="center"/>
              <w:rPr>
                <w:rFonts w:ascii="Times New Roman" w:hAnsi="Times New Roman" w:eastAsia="宋体" w:cs="Times New Roman"/>
                <w:color w:val="auto"/>
                <w:sz w:val="22"/>
                <w:szCs w:val="24"/>
              </w:rPr>
            </w:pPr>
          </w:p>
        </w:tc>
        <w:tc>
          <w:tcPr>
            <w:tcW w:w="709" w:type="pct"/>
            <w:vMerge w:val="continue"/>
            <w:shd w:val="clear" w:color="auto" w:fill="auto"/>
            <w:vAlign w:val="center"/>
          </w:tcPr>
          <w:p w14:paraId="56D576BA">
            <w:pPr>
              <w:jc w:val="center"/>
              <w:rPr>
                <w:rFonts w:ascii="Times New Roman" w:hAnsi="Times New Roman" w:eastAsia="宋体" w:cs="Times New Roman"/>
                <w:color w:val="auto"/>
                <w:sz w:val="22"/>
                <w:szCs w:val="24"/>
              </w:rPr>
            </w:pPr>
          </w:p>
        </w:tc>
      </w:tr>
    </w:tbl>
    <w:p w14:paraId="5AFE2D84">
      <w:pPr>
        <w:spacing w:line="360" w:lineRule="auto"/>
        <w:ind w:firstLine="480" w:firstLineChars="200"/>
        <w:rPr>
          <w:rFonts w:ascii="Times New Roman" w:hAnsi="Times New Roman" w:eastAsia="宋体" w:cs="Times New Roman"/>
          <w:color w:val="auto"/>
          <w:sz w:val="24"/>
          <w:szCs w:val="24"/>
        </w:rPr>
      </w:pPr>
    </w:p>
    <w:p w14:paraId="5D34F81E">
      <w:pPr>
        <w:pStyle w:val="4"/>
        <w:spacing w:before="156" w:beforeLines="50" w:after="156" w:afterLines="50" w:line="360" w:lineRule="auto"/>
        <w:rPr>
          <w:rFonts w:ascii="Times New Roman" w:hAnsi="Times New Roman"/>
          <w:bCs w:val="0"/>
          <w:color w:val="auto"/>
          <w:kern w:val="0"/>
          <w:sz w:val="24"/>
          <w:szCs w:val="24"/>
        </w:rPr>
      </w:pPr>
      <w:r>
        <w:rPr>
          <w:rFonts w:ascii="Times New Roman" w:hAnsi="Times New Roman"/>
          <w:bCs w:val="0"/>
          <w:color w:val="auto"/>
          <w:kern w:val="0"/>
          <w:sz w:val="24"/>
          <w:szCs w:val="24"/>
        </w:rPr>
        <w:t>4.</w:t>
      </w:r>
      <w:r>
        <w:rPr>
          <w:rFonts w:hint="eastAsia" w:ascii="Times New Roman" w:hAnsi="Times New Roman"/>
          <w:bCs w:val="0"/>
          <w:color w:val="auto"/>
          <w:kern w:val="0"/>
          <w:sz w:val="24"/>
          <w:szCs w:val="24"/>
        </w:rPr>
        <w:t>5</w:t>
      </w:r>
      <w:r>
        <w:rPr>
          <w:rFonts w:ascii="Times New Roman" w:hAnsi="Times New Roman"/>
          <w:bCs w:val="0"/>
          <w:color w:val="auto"/>
          <w:kern w:val="0"/>
          <w:sz w:val="24"/>
          <w:szCs w:val="24"/>
        </w:rPr>
        <w:t>.</w:t>
      </w:r>
      <w:r>
        <w:rPr>
          <w:rFonts w:hint="eastAsia" w:ascii="Times New Roman" w:hAnsi="Times New Roman"/>
          <w:bCs w:val="0"/>
          <w:color w:val="auto"/>
          <w:kern w:val="0"/>
          <w:sz w:val="24"/>
          <w:szCs w:val="24"/>
        </w:rPr>
        <w:t>2非正常工况废水排放情况</w:t>
      </w:r>
    </w:p>
    <w:p w14:paraId="541F6D37">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本项目可能出现的非正常排放废水情况为厂区内污水处理站各项处理措施发生故障，生产废水未经处理直接从厂区总排口排放，则事故状态下，废水排放源强如下表所示：</w:t>
      </w:r>
    </w:p>
    <w:p w14:paraId="54ADBA69">
      <w:pPr>
        <w:pStyle w:val="6"/>
        <w:bidi w:val="0"/>
      </w:pPr>
      <w:r>
        <w:t>表</w:t>
      </w:r>
      <w:r>
        <w:rPr>
          <w:rFonts w:hint="eastAsia"/>
        </w:rPr>
        <w:t>4</w:t>
      </w:r>
      <w:r>
        <w:t>.</w:t>
      </w:r>
      <w:r>
        <w:rPr>
          <w:rFonts w:hint="eastAsia"/>
        </w:rPr>
        <w:t>5</w:t>
      </w:r>
      <w:r>
        <w:rPr>
          <w:rFonts w:hint="eastAsia"/>
          <w:lang w:val="en-US" w:eastAsia="zh-CN"/>
        </w:rPr>
        <w:t>.2</w:t>
      </w:r>
      <w:r>
        <w:t>-</w:t>
      </w:r>
      <w:r>
        <w:rPr>
          <w:rFonts w:hint="eastAsia"/>
          <w:lang w:val="en-US" w:eastAsia="zh-CN"/>
        </w:rPr>
        <w:t>1</w:t>
      </w:r>
      <w:r>
        <w:t xml:space="preserve">    </w:t>
      </w:r>
      <w:r>
        <w:rPr>
          <w:rFonts w:hint="eastAsia"/>
        </w:rPr>
        <w:t>非正常工况废水排放情况一览表</w:t>
      </w:r>
    </w:p>
    <w:tbl>
      <w:tblPr>
        <w:tblStyle w:val="4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8"/>
        <w:gridCol w:w="1842"/>
        <w:gridCol w:w="993"/>
        <w:gridCol w:w="1559"/>
        <w:gridCol w:w="1134"/>
        <w:gridCol w:w="1326"/>
      </w:tblGrid>
      <w:tr w14:paraId="66DD5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Align w:val="center"/>
          </w:tcPr>
          <w:p w14:paraId="27D52969">
            <w:pPr>
              <w:jc w:val="center"/>
              <w:rPr>
                <w:rFonts w:ascii="Times New Roman" w:hAnsi="Times New Roman" w:eastAsia="宋体" w:cs="Times New Roman"/>
                <w:color w:val="auto"/>
                <w:sz w:val="22"/>
              </w:rPr>
            </w:pPr>
            <w:r>
              <w:rPr>
                <w:rFonts w:hint="eastAsia" w:ascii="Times New Roman" w:hAnsi="Times New Roman" w:eastAsia="宋体" w:cs="Times New Roman"/>
                <w:color w:val="auto"/>
                <w:sz w:val="22"/>
              </w:rPr>
              <w:t>非正常排放源</w:t>
            </w:r>
          </w:p>
        </w:tc>
        <w:tc>
          <w:tcPr>
            <w:tcW w:w="1842" w:type="dxa"/>
            <w:vAlign w:val="center"/>
          </w:tcPr>
          <w:p w14:paraId="37A25DC3">
            <w:pPr>
              <w:jc w:val="center"/>
              <w:rPr>
                <w:rFonts w:ascii="Times New Roman" w:hAnsi="Times New Roman" w:eastAsia="宋体" w:cs="Times New Roman"/>
                <w:color w:val="auto"/>
                <w:sz w:val="22"/>
              </w:rPr>
            </w:pPr>
            <w:r>
              <w:rPr>
                <w:rFonts w:hint="eastAsia" w:ascii="Times New Roman" w:hAnsi="Times New Roman" w:eastAsia="宋体" w:cs="Times New Roman"/>
                <w:color w:val="auto"/>
                <w:sz w:val="22"/>
              </w:rPr>
              <w:t>非正常排放原因</w:t>
            </w:r>
          </w:p>
        </w:tc>
        <w:tc>
          <w:tcPr>
            <w:tcW w:w="993" w:type="dxa"/>
            <w:vAlign w:val="center"/>
          </w:tcPr>
          <w:p w14:paraId="6AF3D9A7">
            <w:pPr>
              <w:jc w:val="center"/>
              <w:rPr>
                <w:rFonts w:ascii="Times New Roman" w:hAnsi="Times New Roman" w:eastAsia="宋体" w:cs="Times New Roman"/>
                <w:color w:val="auto"/>
                <w:sz w:val="22"/>
              </w:rPr>
            </w:pPr>
            <w:r>
              <w:rPr>
                <w:rFonts w:hint="eastAsia" w:ascii="Times New Roman" w:hAnsi="Times New Roman" w:eastAsia="宋体" w:cs="Times New Roman"/>
                <w:color w:val="auto"/>
                <w:sz w:val="22"/>
              </w:rPr>
              <w:t>污染物</w:t>
            </w:r>
          </w:p>
        </w:tc>
        <w:tc>
          <w:tcPr>
            <w:tcW w:w="1559" w:type="dxa"/>
            <w:vAlign w:val="center"/>
          </w:tcPr>
          <w:p w14:paraId="27F1D760">
            <w:pPr>
              <w:jc w:val="center"/>
              <w:rPr>
                <w:rFonts w:ascii="Times New Roman" w:hAnsi="Times New Roman" w:eastAsia="宋体" w:cs="Times New Roman"/>
                <w:color w:val="auto"/>
                <w:sz w:val="22"/>
              </w:rPr>
            </w:pPr>
            <w:r>
              <w:rPr>
                <w:rFonts w:hint="eastAsia" w:ascii="Times New Roman" w:hAnsi="Times New Roman" w:eastAsia="宋体" w:cs="Times New Roman"/>
                <w:color w:val="auto"/>
                <w:sz w:val="22"/>
              </w:rPr>
              <w:t>非正常排放浓度（mg/L）</w:t>
            </w:r>
          </w:p>
        </w:tc>
        <w:tc>
          <w:tcPr>
            <w:tcW w:w="1134" w:type="dxa"/>
            <w:vAlign w:val="center"/>
          </w:tcPr>
          <w:p w14:paraId="03E05386">
            <w:pPr>
              <w:jc w:val="center"/>
              <w:rPr>
                <w:rFonts w:ascii="Times New Roman" w:hAnsi="Times New Roman" w:eastAsia="宋体" w:cs="Times New Roman"/>
                <w:color w:val="auto"/>
                <w:sz w:val="22"/>
              </w:rPr>
            </w:pPr>
            <w:r>
              <w:rPr>
                <w:rFonts w:hint="eastAsia" w:ascii="Times New Roman" w:hAnsi="Times New Roman" w:eastAsia="宋体" w:cs="Times New Roman"/>
                <w:color w:val="auto"/>
                <w:sz w:val="22"/>
              </w:rPr>
              <w:t>单次持续时间/h</w:t>
            </w:r>
          </w:p>
        </w:tc>
        <w:tc>
          <w:tcPr>
            <w:tcW w:w="1326" w:type="dxa"/>
            <w:vAlign w:val="center"/>
          </w:tcPr>
          <w:p w14:paraId="4FF0E065">
            <w:pPr>
              <w:jc w:val="center"/>
              <w:rPr>
                <w:rFonts w:ascii="Times New Roman" w:hAnsi="Times New Roman" w:eastAsia="宋体" w:cs="Times New Roman"/>
                <w:color w:val="auto"/>
                <w:sz w:val="22"/>
              </w:rPr>
            </w:pPr>
            <w:r>
              <w:rPr>
                <w:rFonts w:hint="eastAsia" w:ascii="Times New Roman" w:hAnsi="Times New Roman" w:eastAsia="宋体" w:cs="Times New Roman"/>
                <w:color w:val="auto"/>
                <w:sz w:val="22"/>
              </w:rPr>
              <w:t>年发生频次/次</w:t>
            </w:r>
          </w:p>
        </w:tc>
      </w:tr>
      <w:tr w14:paraId="2A0C8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Merge w:val="restart"/>
            <w:vAlign w:val="center"/>
          </w:tcPr>
          <w:p w14:paraId="55395ED2">
            <w:pPr>
              <w:jc w:val="center"/>
              <w:rPr>
                <w:rFonts w:ascii="Times New Roman" w:hAnsi="Times New Roman" w:eastAsia="宋体" w:cs="Times New Roman"/>
                <w:color w:val="auto"/>
                <w:sz w:val="22"/>
              </w:rPr>
            </w:pPr>
            <w:r>
              <w:rPr>
                <w:rFonts w:hint="eastAsia" w:ascii="Times New Roman" w:hAnsi="Times New Roman" w:eastAsia="宋体" w:cs="Times New Roman"/>
                <w:color w:val="auto"/>
                <w:sz w:val="22"/>
              </w:rPr>
              <w:t>污水处理站</w:t>
            </w:r>
          </w:p>
        </w:tc>
        <w:tc>
          <w:tcPr>
            <w:tcW w:w="1842" w:type="dxa"/>
            <w:vMerge w:val="restart"/>
            <w:vAlign w:val="center"/>
          </w:tcPr>
          <w:p w14:paraId="14F76F70">
            <w:pPr>
              <w:jc w:val="center"/>
              <w:rPr>
                <w:rFonts w:ascii="Times New Roman" w:hAnsi="Times New Roman" w:eastAsia="宋体" w:cs="Times New Roman"/>
                <w:color w:val="auto"/>
                <w:sz w:val="22"/>
              </w:rPr>
            </w:pPr>
            <w:r>
              <w:rPr>
                <w:rFonts w:hint="eastAsia" w:ascii="Times New Roman" w:hAnsi="Times New Roman" w:eastAsia="宋体" w:cs="Times New Roman"/>
                <w:color w:val="auto"/>
                <w:sz w:val="22"/>
              </w:rPr>
              <w:t>污水处理站生化处理设施失效</w:t>
            </w:r>
          </w:p>
        </w:tc>
        <w:tc>
          <w:tcPr>
            <w:tcW w:w="993" w:type="dxa"/>
            <w:vAlign w:val="center"/>
          </w:tcPr>
          <w:p w14:paraId="737AEAA9">
            <w:pPr>
              <w:jc w:val="center"/>
              <w:rPr>
                <w:rFonts w:hint="default" w:ascii="Times New Roman" w:hAnsi="Times New Roman" w:eastAsia="宋体" w:cs="Times New Roman"/>
                <w:color w:val="auto"/>
                <w:sz w:val="22"/>
                <w:lang w:val="en-US" w:eastAsia="zh-CN"/>
              </w:rPr>
            </w:pPr>
            <w:r>
              <w:rPr>
                <w:rFonts w:hint="eastAsia" w:ascii="Times New Roman" w:hAnsi="Times New Roman" w:eastAsia="宋体" w:cs="Times New Roman"/>
                <w:color w:val="auto"/>
                <w:sz w:val="22"/>
                <w:lang w:val="en-US" w:eastAsia="zh-CN"/>
              </w:rPr>
              <w:t>COD</w:t>
            </w:r>
          </w:p>
        </w:tc>
        <w:tc>
          <w:tcPr>
            <w:tcW w:w="1559" w:type="dxa"/>
            <w:vAlign w:val="center"/>
          </w:tcPr>
          <w:p w14:paraId="4D894077">
            <w:pPr>
              <w:jc w:val="center"/>
              <w:rPr>
                <w:rFonts w:hint="default" w:ascii="Times New Roman" w:hAnsi="Times New Roman" w:eastAsia="宋体" w:cs="Times New Roman"/>
                <w:color w:val="auto"/>
                <w:sz w:val="22"/>
                <w:lang w:val="en-US" w:eastAsia="zh-CN"/>
              </w:rPr>
            </w:pPr>
            <w:r>
              <w:rPr>
                <w:rFonts w:hint="eastAsia" w:ascii="Times New Roman" w:hAnsi="Times New Roman" w:eastAsia="宋体" w:cs="Times New Roman"/>
                <w:color w:val="auto"/>
                <w:sz w:val="22"/>
                <w:lang w:val="en-US" w:eastAsia="zh-CN"/>
              </w:rPr>
              <w:t>7600</w:t>
            </w:r>
          </w:p>
        </w:tc>
        <w:tc>
          <w:tcPr>
            <w:tcW w:w="1134" w:type="dxa"/>
            <w:vMerge w:val="restart"/>
            <w:vAlign w:val="center"/>
          </w:tcPr>
          <w:p w14:paraId="257B04CD">
            <w:pPr>
              <w:jc w:val="center"/>
              <w:rPr>
                <w:rFonts w:ascii="Times New Roman" w:hAnsi="Times New Roman" w:eastAsia="宋体" w:cs="Times New Roman"/>
                <w:color w:val="auto"/>
                <w:sz w:val="22"/>
              </w:rPr>
            </w:pPr>
            <w:r>
              <w:rPr>
                <w:rFonts w:hint="eastAsia" w:ascii="Times New Roman" w:hAnsi="Times New Roman" w:eastAsia="宋体" w:cs="Times New Roman"/>
                <w:color w:val="auto"/>
                <w:sz w:val="22"/>
              </w:rPr>
              <w:t>0.5</w:t>
            </w:r>
          </w:p>
        </w:tc>
        <w:tc>
          <w:tcPr>
            <w:tcW w:w="1326" w:type="dxa"/>
            <w:vMerge w:val="restart"/>
            <w:vAlign w:val="center"/>
          </w:tcPr>
          <w:p w14:paraId="7B73F1B4">
            <w:pPr>
              <w:jc w:val="center"/>
              <w:rPr>
                <w:rFonts w:ascii="Times New Roman" w:hAnsi="Times New Roman" w:eastAsia="宋体" w:cs="Times New Roman"/>
                <w:color w:val="auto"/>
                <w:sz w:val="22"/>
              </w:rPr>
            </w:pPr>
            <w:r>
              <w:rPr>
                <w:rFonts w:hint="eastAsia" w:ascii="Times New Roman" w:hAnsi="Times New Roman" w:eastAsia="宋体" w:cs="Times New Roman"/>
                <w:color w:val="auto"/>
                <w:sz w:val="22"/>
              </w:rPr>
              <w:t>1</w:t>
            </w:r>
          </w:p>
        </w:tc>
      </w:tr>
      <w:tr w14:paraId="28702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Merge w:val="continue"/>
            <w:vAlign w:val="center"/>
          </w:tcPr>
          <w:p w14:paraId="3CA2D1D4">
            <w:pPr>
              <w:jc w:val="center"/>
              <w:rPr>
                <w:rFonts w:ascii="Times New Roman" w:hAnsi="Times New Roman" w:eastAsia="宋体" w:cs="Times New Roman"/>
                <w:color w:val="auto"/>
                <w:sz w:val="22"/>
              </w:rPr>
            </w:pPr>
          </w:p>
        </w:tc>
        <w:tc>
          <w:tcPr>
            <w:tcW w:w="1842" w:type="dxa"/>
            <w:vMerge w:val="continue"/>
            <w:vAlign w:val="center"/>
          </w:tcPr>
          <w:p w14:paraId="4D589346">
            <w:pPr>
              <w:jc w:val="center"/>
              <w:rPr>
                <w:rFonts w:ascii="Times New Roman" w:hAnsi="Times New Roman" w:eastAsia="宋体" w:cs="Times New Roman"/>
                <w:color w:val="auto"/>
                <w:sz w:val="22"/>
              </w:rPr>
            </w:pPr>
          </w:p>
        </w:tc>
        <w:tc>
          <w:tcPr>
            <w:tcW w:w="993" w:type="dxa"/>
            <w:vAlign w:val="center"/>
          </w:tcPr>
          <w:p w14:paraId="5A16B56D">
            <w:pPr>
              <w:jc w:val="center"/>
              <w:rPr>
                <w:rFonts w:hint="default" w:ascii="Times New Roman" w:hAnsi="Times New Roman" w:eastAsia="宋体" w:cs="Times New Roman"/>
                <w:color w:val="auto"/>
                <w:sz w:val="22"/>
                <w:lang w:val="en-US" w:eastAsia="zh-CN"/>
              </w:rPr>
            </w:pPr>
            <w:r>
              <w:rPr>
                <w:rFonts w:hint="eastAsia" w:ascii="Times New Roman" w:hAnsi="Times New Roman" w:eastAsia="宋体" w:cs="Times New Roman"/>
                <w:color w:val="auto"/>
                <w:sz w:val="22"/>
                <w:lang w:val="en-US" w:eastAsia="zh-CN"/>
              </w:rPr>
              <w:t>SS</w:t>
            </w:r>
          </w:p>
        </w:tc>
        <w:tc>
          <w:tcPr>
            <w:tcW w:w="1559" w:type="dxa"/>
            <w:vAlign w:val="center"/>
          </w:tcPr>
          <w:p w14:paraId="343AFE00">
            <w:pPr>
              <w:jc w:val="center"/>
              <w:rPr>
                <w:rFonts w:hint="default" w:ascii="Times New Roman" w:hAnsi="Times New Roman" w:eastAsia="宋体" w:cs="Times New Roman"/>
                <w:color w:val="auto"/>
                <w:sz w:val="22"/>
                <w:lang w:val="en-US" w:eastAsia="zh-CN"/>
              </w:rPr>
            </w:pPr>
            <w:r>
              <w:rPr>
                <w:rFonts w:hint="eastAsia" w:ascii="Times New Roman" w:hAnsi="Times New Roman" w:eastAsia="宋体" w:cs="Times New Roman"/>
                <w:color w:val="auto"/>
                <w:sz w:val="22"/>
                <w:lang w:val="en-US" w:eastAsia="zh-CN"/>
              </w:rPr>
              <w:t>715</w:t>
            </w:r>
          </w:p>
        </w:tc>
        <w:tc>
          <w:tcPr>
            <w:tcW w:w="1134" w:type="dxa"/>
            <w:vMerge w:val="continue"/>
            <w:vAlign w:val="center"/>
          </w:tcPr>
          <w:p w14:paraId="562F12F3">
            <w:pPr>
              <w:jc w:val="center"/>
              <w:rPr>
                <w:rFonts w:ascii="Times New Roman" w:hAnsi="Times New Roman" w:eastAsia="宋体" w:cs="Times New Roman"/>
                <w:color w:val="auto"/>
                <w:sz w:val="22"/>
              </w:rPr>
            </w:pPr>
          </w:p>
        </w:tc>
        <w:tc>
          <w:tcPr>
            <w:tcW w:w="1326" w:type="dxa"/>
            <w:vMerge w:val="continue"/>
            <w:vAlign w:val="center"/>
          </w:tcPr>
          <w:p w14:paraId="66F6E305">
            <w:pPr>
              <w:jc w:val="center"/>
              <w:rPr>
                <w:rFonts w:ascii="Times New Roman" w:hAnsi="Times New Roman" w:eastAsia="宋体" w:cs="Times New Roman"/>
                <w:color w:val="auto"/>
                <w:sz w:val="22"/>
              </w:rPr>
            </w:pPr>
          </w:p>
        </w:tc>
      </w:tr>
      <w:tr w14:paraId="4B78F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Merge w:val="continue"/>
            <w:vAlign w:val="center"/>
          </w:tcPr>
          <w:p w14:paraId="70E7EFEC">
            <w:pPr>
              <w:jc w:val="center"/>
              <w:rPr>
                <w:rFonts w:ascii="Times New Roman" w:hAnsi="Times New Roman" w:eastAsia="宋体" w:cs="Times New Roman"/>
                <w:color w:val="auto"/>
                <w:sz w:val="22"/>
              </w:rPr>
            </w:pPr>
          </w:p>
        </w:tc>
        <w:tc>
          <w:tcPr>
            <w:tcW w:w="1842" w:type="dxa"/>
            <w:vMerge w:val="continue"/>
            <w:vAlign w:val="center"/>
          </w:tcPr>
          <w:p w14:paraId="0CEC1AC3">
            <w:pPr>
              <w:jc w:val="center"/>
              <w:rPr>
                <w:rFonts w:ascii="Times New Roman" w:hAnsi="Times New Roman" w:eastAsia="宋体" w:cs="Times New Roman"/>
                <w:color w:val="auto"/>
                <w:sz w:val="22"/>
              </w:rPr>
            </w:pPr>
          </w:p>
        </w:tc>
        <w:tc>
          <w:tcPr>
            <w:tcW w:w="993" w:type="dxa"/>
            <w:vAlign w:val="center"/>
          </w:tcPr>
          <w:p w14:paraId="58CB5F37">
            <w:pPr>
              <w:jc w:val="center"/>
              <w:rPr>
                <w:rFonts w:hint="eastAsia" w:ascii="Times New Roman" w:hAnsi="Times New Roman" w:eastAsia="宋体" w:cs="Times New Roman"/>
                <w:color w:val="auto"/>
                <w:sz w:val="22"/>
                <w:lang w:val="en-US" w:eastAsia="zh-CN"/>
              </w:rPr>
            </w:pPr>
            <w:r>
              <w:rPr>
                <w:rFonts w:hint="eastAsia" w:ascii="Times New Roman" w:hAnsi="Times New Roman" w:eastAsia="宋体" w:cs="Times New Roman"/>
                <w:color w:val="auto"/>
                <w:sz w:val="22"/>
                <w:lang w:val="en-US" w:eastAsia="zh-CN"/>
              </w:rPr>
              <w:t>氨氮</w:t>
            </w:r>
          </w:p>
        </w:tc>
        <w:tc>
          <w:tcPr>
            <w:tcW w:w="1559" w:type="dxa"/>
            <w:vAlign w:val="center"/>
          </w:tcPr>
          <w:p w14:paraId="0D10998D">
            <w:pPr>
              <w:jc w:val="center"/>
              <w:rPr>
                <w:rFonts w:hint="default" w:ascii="Times New Roman" w:hAnsi="Times New Roman" w:eastAsia="宋体" w:cs="Times New Roman"/>
                <w:color w:val="auto"/>
                <w:sz w:val="22"/>
                <w:lang w:val="en-US" w:eastAsia="zh-CN"/>
              </w:rPr>
            </w:pPr>
            <w:r>
              <w:rPr>
                <w:rFonts w:hint="eastAsia" w:ascii="Times New Roman" w:hAnsi="Times New Roman" w:eastAsia="宋体" w:cs="Times New Roman"/>
                <w:color w:val="auto"/>
                <w:sz w:val="22"/>
                <w:lang w:val="en-US" w:eastAsia="zh-CN"/>
              </w:rPr>
              <w:t>466</w:t>
            </w:r>
          </w:p>
        </w:tc>
        <w:tc>
          <w:tcPr>
            <w:tcW w:w="1134" w:type="dxa"/>
            <w:vMerge w:val="continue"/>
            <w:vAlign w:val="center"/>
          </w:tcPr>
          <w:p w14:paraId="50DF5E29">
            <w:pPr>
              <w:jc w:val="center"/>
              <w:rPr>
                <w:rFonts w:ascii="Times New Roman" w:hAnsi="Times New Roman" w:eastAsia="宋体" w:cs="Times New Roman"/>
                <w:color w:val="auto"/>
                <w:sz w:val="22"/>
              </w:rPr>
            </w:pPr>
          </w:p>
        </w:tc>
        <w:tc>
          <w:tcPr>
            <w:tcW w:w="1326" w:type="dxa"/>
            <w:vMerge w:val="continue"/>
            <w:vAlign w:val="center"/>
          </w:tcPr>
          <w:p w14:paraId="242C1D9E">
            <w:pPr>
              <w:jc w:val="center"/>
              <w:rPr>
                <w:rFonts w:ascii="Times New Roman" w:hAnsi="Times New Roman" w:eastAsia="宋体" w:cs="Times New Roman"/>
                <w:color w:val="auto"/>
                <w:sz w:val="22"/>
              </w:rPr>
            </w:pPr>
          </w:p>
        </w:tc>
      </w:tr>
      <w:tr w14:paraId="72500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Merge w:val="continue"/>
            <w:vAlign w:val="center"/>
          </w:tcPr>
          <w:p w14:paraId="7BBEE4DE">
            <w:pPr>
              <w:jc w:val="center"/>
              <w:rPr>
                <w:rFonts w:ascii="Times New Roman" w:hAnsi="Times New Roman" w:eastAsia="宋体" w:cs="Times New Roman"/>
                <w:color w:val="auto"/>
                <w:sz w:val="22"/>
              </w:rPr>
            </w:pPr>
          </w:p>
        </w:tc>
        <w:tc>
          <w:tcPr>
            <w:tcW w:w="1842" w:type="dxa"/>
            <w:vMerge w:val="continue"/>
            <w:vAlign w:val="center"/>
          </w:tcPr>
          <w:p w14:paraId="655F1002">
            <w:pPr>
              <w:jc w:val="center"/>
              <w:rPr>
                <w:rFonts w:ascii="Times New Roman" w:hAnsi="Times New Roman" w:eastAsia="宋体" w:cs="Times New Roman"/>
                <w:color w:val="auto"/>
                <w:sz w:val="22"/>
              </w:rPr>
            </w:pPr>
          </w:p>
        </w:tc>
        <w:tc>
          <w:tcPr>
            <w:tcW w:w="993" w:type="dxa"/>
            <w:vAlign w:val="center"/>
          </w:tcPr>
          <w:p w14:paraId="0AF60435">
            <w:pPr>
              <w:jc w:val="center"/>
              <w:rPr>
                <w:rFonts w:hint="eastAsia" w:ascii="Times New Roman" w:hAnsi="Times New Roman" w:eastAsia="宋体" w:cs="Times New Roman"/>
                <w:color w:val="auto"/>
                <w:sz w:val="22"/>
                <w:lang w:val="en-US" w:eastAsia="zh-CN"/>
              </w:rPr>
            </w:pPr>
            <w:r>
              <w:rPr>
                <w:rFonts w:hint="eastAsia" w:ascii="Times New Roman" w:hAnsi="Times New Roman" w:eastAsia="宋体" w:cs="Times New Roman"/>
                <w:color w:val="auto"/>
                <w:sz w:val="22"/>
                <w:lang w:val="en-US" w:eastAsia="zh-CN"/>
              </w:rPr>
              <w:t>总磷</w:t>
            </w:r>
          </w:p>
        </w:tc>
        <w:tc>
          <w:tcPr>
            <w:tcW w:w="1559" w:type="dxa"/>
            <w:vAlign w:val="center"/>
          </w:tcPr>
          <w:p w14:paraId="1B0C12D0">
            <w:pPr>
              <w:jc w:val="center"/>
              <w:rPr>
                <w:rFonts w:hint="default" w:ascii="Times New Roman" w:hAnsi="Times New Roman" w:eastAsia="宋体" w:cs="Times New Roman"/>
                <w:color w:val="auto"/>
                <w:sz w:val="22"/>
                <w:lang w:val="en-US" w:eastAsia="zh-CN"/>
              </w:rPr>
            </w:pPr>
            <w:r>
              <w:rPr>
                <w:rFonts w:hint="eastAsia" w:ascii="Times New Roman" w:hAnsi="Times New Roman" w:eastAsia="宋体" w:cs="Times New Roman"/>
                <w:color w:val="auto"/>
                <w:sz w:val="22"/>
                <w:lang w:val="en-US" w:eastAsia="zh-CN"/>
              </w:rPr>
              <w:t>248</w:t>
            </w:r>
          </w:p>
        </w:tc>
        <w:tc>
          <w:tcPr>
            <w:tcW w:w="1134" w:type="dxa"/>
            <w:vMerge w:val="continue"/>
            <w:vAlign w:val="center"/>
          </w:tcPr>
          <w:p w14:paraId="393A79D3">
            <w:pPr>
              <w:jc w:val="center"/>
              <w:rPr>
                <w:rFonts w:ascii="Times New Roman" w:hAnsi="Times New Roman" w:eastAsia="宋体" w:cs="Times New Roman"/>
                <w:color w:val="auto"/>
                <w:sz w:val="22"/>
              </w:rPr>
            </w:pPr>
          </w:p>
        </w:tc>
        <w:tc>
          <w:tcPr>
            <w:tcW w:w="1326" w:type="dxa"/>
            <w:vMerge w:val="continue"/>
            <w:vAlign w:val="center"/>
          </w:tcPr>
          <w:p w14:paraId="13605957">
            <w:pPr>
              <w:jc w:val="center"/>
              <w:rPr>
                <w:rFonts w:ascii="Times New Roman" w:hAnsi="Times New Roman" w:eastAsia="宋体" w:cs="Times New Roman"/>
                <w:color w:val="auto"/>
                <w:sz w:val="22"/>
              </w:rPr>
            </w:pPr>
          </w:p>
        </w:tc>
      </w:tr>
      <w:tr w14:paraId="17B15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vMerge w:val="continue"/>
            <w:vAlign w:val="center"/>
          </w:tcPr>
          <w:p w14:paraId="438BBEE0">
            <w:pPr>
              <w:jc w:val="center"/>
              <w:rPr>
                <w:rFonts w:ascii="Times New Roman" w:hAnsi="Times New Roman" w:eastAsia="宋体" w:cs="Times New Roman"/>
                <w:color w:val="auto"/>
                <w:sz w:val="22"/>
              </w:rPr>
            </w:pPr>
          </w:p>
        </w:tc>
        <w:tc>
          <w:tcPr>
            <w:tcW w:w="1842" w:type="dxa"/>
            <w:vMerge w:val="continue"/>
            <w:vAlign w:val="center"/>
          </w:tcPr>
          <w:p w14:paraId="19465934">
            <w:pPr>
              <w:jc w:val="center"/>
              <w:rPr>
                <w:rFonts w:ascii="Times New Roman" w:hAnsi="Times New Roman" w:eastAsia="宋体" w:cs="Times New Roman"/>
                <w:color w:val="auto"/>
                <w:sz w:val="22"/>
              </w:rPr>
            </w:pPr>
          </w:p>
        </w:tc>
        <w:tc>
          <w:tcPr>
            <w:tcW w:w="993" w:type="dxa"/>
            <w:vAlign w:val="center"/>
          </w:tcPr>
          <w:p w14:paraId="53CA2ACD">
            <w:pPr>
              <w:jc w:val="center"/>
              <w:rPr>
                <w:rFonts w:hint="eastAsia" w:ascii="Times New Roman" w:hAnsi="Times New Roman" w:eastAsia="宋体" w:cs="Times New Roman"/>
                <w:color w:val="auto"/>
                <w:sz w:val="22"/>
                <w:lang w:val="en-US" w:eastAsia="zh-CN"/>
              </w:rPr>
            </w:pPr>
            <w:r>
              <w:rPr>
                <w:rFonts w:hint="eastAsia" w:ascii="Times New Roman" w:hAnsi="Times New Roman" w:eastAsia="宋体" w:cs="Times New Roman"/>
                <w:color w:val="auto"/>
                <w:sz w:val="22"/>
                <w:lang w:val="en-US" w:eastAsia="zh-CN"/>
              </w:rPr>
              <w:t>总氮</w:t>
            </w:r>
          </w:p>
        </w:tc>
        <w:tc>
          <w:tcPr>
            <w:tcW w:w="1559" w:type="dxa"/>
            <w:vAlign w:val="center"/>
          </w:tcPr>
          <w:p w14:paraId="064EF554">
            <w:pPr>
              <w:jc w:val="center"/>
              <w:rPr>
                <w:rFonts w:hint="default" w:ascii="Times New Roman" w:hAnsi="Times New Roman" w:eastAsia="宋体" w:cs="Times New Roman"/>
                <w:color w:val="auto"/>
                <w:sz w:val="22"/>
                <w:lang w:val="en-US" w:eastAsia="zh-CN"/>
              </w:rPr>
            </w:pPr>
            <w:r>
              <w:rPr>
                <w:rFonts w:hint="eastAsia" w:ascii="Times New Roman" w:hAnsi="Times New Roman" w:eastAsia="宋体" w:cs="Times New Roman"/>
                <w:color w:val="auto"/>
                <w:sz w:val="22"/>
                <w:lang w:val="en-US" w:eastAsia="zh-CN"/>
              </w:rPr>
              <w:t>519</w:t>
            </w:r>
          </w:p>
        </w:tc>
        <w:tc>
          <w:tcPr>
            <w:tcW w:w="1134" w:type="dxa"/>
            <w:vMerge w:val="continue"/>
            <w:vAlign w:val="center"/>
          </w:tcPr>
          <w:p w14:paraId="388D3A87">
            <w:pPr>
              <w:jc w:val="center"/>
              <w:rPr>
                <w:rFonts w:ascii="Times New Roman" w:hAnsi="Times New Roman" w:eastAsia="宋体" w:cs="Times New Roman"/>
                <w:color w:val="auto"/>
                <w:sz w:val="22"/>
              </w:rPr>
            </w:pPr>
          </w:p>
        </w:tc>
        <w:tc>
          <w:tcPr>
            <w:tcW w:w="1326" w:type="dxa"/>
            <w:vMerge w:val="continue"/>
            <w:vAlign w:val="center"/>
          </w:tcPr>
          <w:p w14:paraId="6559E6BC">
            <w:pPr>
              <w:jc w:val="center"/>
              <w:rPr>
                <w:rFonts w:ascii="Times New Roman" w:hAnsi="Times New Roman" w:eastAsia="宋体" w:cs="Times New Roman"/>
                <w:color w:val="auto"/>
                <w:sz w:val="22"/>
              </w:rPr>
            </w:pPr>
          </w:p>
        </w:tc>
      </w:tr>
    </w:tbl>
    <w:p w14:paraId="3E551033">
      <w:pPr>
        <w:spacing w:line="360" w:lineRule="auto"/>
        <w:ind w:firstLine="480" w:firstLineChars="200"/>
        <w:rPr>
          <w:rFonts w:ascii="Times New Roman" w:hAnsi="Times New Roman" w:eastAsia="宋体" w:cs="Times New Roman"/>
          <w:color w:val="FF0000"/>
          <w:sz w:val="24"/>
          <w:szCs w:val="24"/>
        </w:rPr>
        <w:sectPr>
          <w:pgSz w:w="11906" w:h="16838"/>
          <w:pgMar w:top="1440" w:right="1800" w:bottom="1440" w:left="1800" w:header="851" w:footer="992" w:gutter="0"/>
          <w:pgNumType w:fmt="numberInDash"/>
          <w:cols w:space="425" w:num="1"/>
          <w:docGrid w:type="lines" w:linePitch="312" w:charSpace="0"/>
        </w:sectPr>
      </w:pPr>
    </w:p>
    <w:p w14:paraId="05D9164F">
      <w:pPr>
        <w:pStyle w:val="3"/>
        <w:spacing w:before="100" w:beforeAutospacing="1" w:after="100" w:afterAutospacing="1" w:line="360" w:lineRule="auto"/>
        <w:rPr>
          <w:rFonts w:ascii="Times New Roman" w:hAnsi="Times New Roman"/>
          <w:color w:val="auto"/>
          <w:u w:val="none"/>
        </w:rPr>
      </w:pPr>
      <w:bookmarkStart w:id="211" w:name="_Toc796"/>
      <w:bookmarkStart w:id="212" w:name="_Toc12587"/>
      <w:r>
        <w:rPr>
          <w:rFonts w:hint="eastAsia" w:ascii="Times New Roman" w:hAnsi="Times New Roman"/>
          <w:color w:val="auto"/>
          <w:kern w:val="0"/>
          <w:sz w:val="28"/>
          <w:szCs w:val="28"/>
          <w:u w:val="none"/>
        </w:rPr>
        <w:t>4</w:t>
      </w:r>
      <w:r>
        <w:rPr>
          <w:rFonts w:ascii="Times New Roman" w:hAnsi="Times New Roman"/>
          <w:color w:val="auto"/>
          <w:kern w:val="0"/>
          <w:sz w:val="28"/>
          <w:szCs w:val="28"/>
          <w:u w:val="none"/>
        </w:rPr>
        <w:t>.</w:t>
      </w:r>
      <w:r>
        <w:rPr>
          <w:rFonts w:hint="eastAsia" w:ascii="Times New Roman" w:hAnsi="Times New Roman"/>
          <w:color w:val="auto"/>
          <w:kern w:val="0"/>
          <w:sz w:val="28"/>
          <w:szCs w:val="28"/>
          <w:u w:val="none"/>
        </w:rPr>
        <w:t>6建设项目污染物排放量汇总表</w:t>
      </w:r>
      <w:bookmarkEnd w:id="211"/>
      <w:bookmarkEnd w:id="212"/>
    </w:p>
    <w:p w14:paraId="74398CD1">
      <w:pPr>
        <w:pStyle w:val="6"/>
        <w:bidi w:val="0"/>
      </w:pPr>
      <w:r>
        <w:t>表</w:t>
      </w:r>
      <w:r>
        <w:rPr>
          <w:rFonts w:hint="eastAsia"/>
        </w:rPr>
        <w:t>4</w:t>
      </w:r>
      <w:r>
        <w:t>.</w:t>
      </w:r>
      <w:r>
        <w:rPr>
          <w:rFonts w:hint="eastAsia"/>
        </w:rPr>
        <w:t>6</w:t>
      </w:r>
      <w:r>
        <w:t>-</w:t>
      </w:r>
      <w:r>
        <w:rPr>
          <w:rFonts w:hint="eastAsia"/>
        </w:rPr>
        <w:t>1</w:t>
      </w:r>
      <w:r>
        <w:t xml:space="preserve">    </w:t>
      </w:r>
      <w:r>
        <w:rPr>
          <w:rFonts w:hint="eastAsia"/>
        </w:rPr>
        <w:t>建设项目污染物排放量汇总表  单位：t/a</w:t>
      </w:r>
    </w:p>
    <w:tbl>
      <w:tblPr>
        <w:tblStyle w:val="41"/>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62"/>
        <w:gridCol w:w="2439"/>
        <w:gridCol w:w="1530"/>
        <w:gridCol w:w="1276"/>
        <w:gridCol w:w="1418"/>
        <w:gridCol w:w="1559"/>
        <w:gridCol w:w="1379"/>
        <w:gridCol w:w="1626"/>
        <w:gridCol w:w="1399"/>
      </w:tblGrid>
      <w:tr w14:paraId="13573A8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162" w:type="dxa"/>
            <w:tcBorders>
              <w:tl2br w:val="single" w:color="auto" w:sz="4" w:space="0"/>
            </w:tcBorders>
            <w:tcMar>
              <w:left w:w="28" w:type="dxa"/>
              <w:right w:w="28" w:type="dxa"/>
            </w:tcMar>
            <w:vAlign w:val="center"/>
          </w:tcPr>
          <w:p w14:paraId="5EDC3000">
            <w:pPr>
              <w:ind w:firstLine="660" w:firstLineChars="300"/>
              <w:rPr>
                <w:rFonts w:ascii="Times New Roman" w:hAnsi="Times New Roman" w:eastAsia="宋体" w:cs="Times New Roman"/>
                <w:color w:val="auto"/>
                <w:sz w:val="22"/>
                <w:u w:val="none"/>
              </w:rPr>
            </w:pPr>
            <w:bookmarkStart w:id="213" w:name="_Hlk172215755"/>
            <w:r>
              <w:rPr>
                <w:rFonts w:ascii="Times New Roman" w:hAnsi="Times New Roman" w:eastAsia="宋体" w:cs="Times New Roman"/>
                <w:color w:val="auto"/>
                <w:sz w:val="22"/>
                <w:u w:val="none"/>
              </w:rPr>
              <w:t>项目</w:t>
            </w:r>
          </w:p>
          <w:p w14:paraId="402A566D">
            <w:pPr>
              <w:rPr>
                <w:rFonts w:ascii="Times New Roman" w:hAnsi="Times New Roman" w:eastAsia="宋体" w:cs="Times New Roman"/>
                <w:color w:val="auto"/>
                <w:sz w:val="22"/>
                <w:u w:val="none"/>
              </w:rPr>
            </w:pPr>
            <w:r>
              <w:rPr>
                <w:rFonts w:ascii="Times New Roman" w:hAnsi="Times New Roman" w:eastAsia="宋体" w:cs="Times New Roman"/>
                <w:color w:val="auto"/>
                <w:sz w:val="22"/>
                <w:u w:val="none"/>
              </w:rPr>
              <w:t>分类</w:t>
            </w:r>
          </w:p>
        </w:tc>
        <w:tc>
          <w:tcPr>
            <w:tcW w:w="2439" w:type="dxa"/>
            <w:tcMar>
              <w:left w:w="28" w:type="dxa"/>
              <w:right w:w="28" w:type="dxa"/>
            </w:tcMar>
            <w:vAlign w:val="center"/>
          </w:tcPr>
          <w:p w14:paraId="3342790D">
            <w:pPr>
              <w:jc w:val="center"/>
              <w:rPr>
                <w:rFonts w:ascii="Times New Roman" w:hAnsi="Times New Roman" w:eastAsia="宋体" w:cs="Times New Roman"/>
                <w:color w:val="auto"/>
                <w:sz w:val="22"/>
                <w:u w:val="none"/>
              </w:rPr>
            </w:pPr>
            <w:r>
              <w:rPr>
                <w:rFonts w:ascii="Times New Roman" w:hAnsi="Times New Roman" w:eastAsia="宋体" w:cs="Times New Roman"/>
                <w:color w:val="auto"/>
                <w:sz w:val="22"/>
                <w:u w:val="none"/>
              </w:rPr>
              <w:t>污染物名称</w:t>
            </w:r>
          </w:p>
        </w:tc>
        <w:tc>
          <w:tcPr>
            <w:tcW w:w="1530" w:type="dxa"/>
            <w:tcMar>
              <w:left w:w="28" w:type="dxa"/>
              <w:right w:w="28" w:type="dxa"/>
            </w:tcMar>
            <w:vAlign w:val="center"/>
          </w:tcPr>
          <w:p w14:paraId="182ABF51">
            <w:pPr>
              <w:jc w:val="center"/>
              <w:rPr>
                <w:rFonts w:ascii="Times New Roman" w:hAnsi="Times New Roman" w:eastAsia="宋体" w:cs="Times New Roman"/>
                <w:color w:val="auto"/>
                <w:sz w:val="22"/>
                <w:u w:val="none"/>
              </w:rPr>
            </w:pPr>
            <w:r>
              <w:rPr>
                <w:rFonts w:ascii="Times New Roman" w:hAnsi="Times New Roman" w:eastAsia="宋体" w:cs="Times New Roman"/>
                <w:color w:val="auto"/>
                <w:sz w:val="22"/>
                <w:u w:val="none"/>
              </w:rPr>
              <w:t>现有工程排放量</w:t>
            </w:r>
            <w:r>
              <w:rPr>
                <w:rFonts w:hint="eastAsia" w:ascii="Times New Roman" w:hAnsi="Times New Roman" w:eastAsia="宋体" w:cs="Times New Roman"/>
                <w:color w:val="auto"/>
                <w:sz w:val="22"/>
                <w:u w:val="none"/>
              </w:rPr>
              <w:t>（保留</w:t>
            </w:r>
            <w:r>
              <w:rPr>
                <w:rFonts w:hint="eastAsia" w:ascii="Times New Roman" w:hAnsi="Times New Roman" w:eastAsia="宋体" w:cs="Times New Roman"/>
                <w:color w:val="auto"/>
                <w:sz w:val="22"/>
                <w:u w:val="none"/>
                <w:lang w:val="en-US" w:eastAsia="zh-CN"/>
              </w:rPr>
              <w:t>2</w:t>
            </w:r>
            <w:r>
              <w:rPr>
                <w:rFonts w:hint="eastAsia" w:ascii="Times New Roman" w:hAnsi="Times New Roman" w:eastAsia="宋体" w:cs="Times New Roman"/>
                <w:color w:val="auto"/>
                <w:sz w:val="22"/>
                <w:u w:val="none"/>
              </w:rPr>
              <w:t>种产品达产）</w:t>
            </w:r>
          </w:p>
        </w:tc>
        <w:tc>
          <w:tcPr>
            <w:tcW w:w="1276" w:type="dxa"/>
            <w:tcMar>
              <w:left w:w="28" w:type="dxa"/>
              <w:right w:w="28" w:type="dxa"/>
            </w:tcMar>
            <w:vAlign w:val="center"/>
          </w:tcPr>
          <w:p w14:paraId="3AFA46DD">
            <w:pPr>
              <w:jc w:val="center"/>
              <w:rPr>
                <w:rFonts w:ascii="Times New Roman" w:hAnsi="Times New Roman" w:eastAsia="宋体" w:cs="Times New Roman"/>
                <w:color w:val="auto"/>
                <w:sz w:val="22"/>
                <w:u w:val="none"/>
              </w:rPr>
            </w:pPr>
            <w:r>
              <w:rPr>
                <w:rFonts w:ascii="Times New Roman" w:hAnsi="Times New Roman" w:eastAsia="宋体" w:cs="Times New Roman"/>
                <w:color w:val="auto"/>
                <w:sz w:val="22"/>
                <w:u w:val="none"/>
              </w:rPr>
              <w:t>现有工程许可排放量</w:t>
            </w:r>
          </w:p>
        </w:tc>
        <w:tc>
          <w:tcPr>
            <w:tcW w:w="1418" w:type="dxa"/>
            <w:tcMar>
              <w:left w:w="28" w:type="dxa"/>
              <w:right w:w="28" w:type="dxa"/>
            </w:tcMar>
            <w:vAlign w:val="center"/>
          </w:tcPr>
          <w:p w14:paraId="2E7D6E38">
            <w:pPr>
              <w:jc w:val="center"/>
              <w:rPr>
                <w:rFonts w:ascii="Times New Roman" w:hAnsi="Times New Roman" w:eastAsia="宋体" w:cs="Times New Roman"/>
                <w:color w:val="auto"/>
                <w:sz w:val="22"/>
                <w:u w:val="none"/>
              </w:rPr>
            </w:pPr>
            <w:r>
              <w:rPr>
                <w:rFonts w:ascii="Times New Roman" w:hAnsi="Times New Roman" w:eastAsia="宋体" w:cs="Times New Roman"/>
                <w:color w:val="auto"/>
                <w:sz w:val="22"/>
                <w:u w:val="none"/>
              </w:rPr>
              <w:t>在建工程排放量</w:t>
            </w:r>
          </w:p>
        </w:tc>
        <w:tc>
          <w:tcPr>
            <w:tcW w:w="1559" w:type="dxa"/>
            <w:tcMar>
              <w:left w:w="28" w:type="dxa"/>
              <w:right w:w="28" w:type="dxa"/>
            </w:tcMar>
            <w:vAlign w:val="center"/>
          </w:tcPr>
          <w:p w14:paraId="1CFA1D55">
            <w:pPr>
              <w:jc w:val="center"/>
              <w:rPr>
                <w:rFonts w:ascii="Times New Roman" w:hAnsi="Times New Roman" w:eastAsia="宋体" w:cs="Times New Roman"/>
                <w:color w:val="auto"/>
                <w:sz w:val="22"/>
                <w:u w:val="none"/>
              </w:rPr>
            </w:pPr>
            <w:r>
              <w:rPr>
                <w:rFonts w:ascii="Times New Roman" w:hAnsi="Times New Roman" w:eastAsia="宋体" w:cs="Times New Roman"/>
                <w:color w:val="auto"/>
                <w:sz w:val="22"/>
                <w:u w:val="none"/>
              </w:rPr>
              <w:t>本项目排放量</w:t>
            </w:r>
          </w:p>
        </w:tc>
        <w:tc>
          <w:tcPr>
            <w:tcW w:w="1379" w:type="dxa"/>
            <w:tcMar>
              <w:left w:w="28" w:type="dxa"/>
              <w:right w:w="28" w:type="dxa"/>
            </w:tcMar>
            <w:vAlign w:val="center"/>
          </w:tcPr>
          <w:p w14:paraId="42440831">
            <w:pPr>
              <w:jc w:val="center"/>
              <w:rPr>
                <w:rFonts w:ascii="Times New Roman" w:hAnsi="Times New Roman" w:eastAsia="宋体" w:cs="Times New Roman"/>
                <w:color w:val="auto"/>
                <w:sz w:val="22"/>
                <w:u w:val="none"/>
              </w:rPr>
            </w:pPr>
            <w:r>
              <w:rPr>
                <w:rFonts w:ascii="Times New Roman" w:hAnsi="Times New Roman" w:eastAsia="宋体" w:cs="Times New Roman"/>
                <w:color w:val="auto"/>
                <w:sz w:val="22"/>
                <w:u w:val="none"/>
              </w:rPr>
              <w:t>以新带老削减量</w:t>
            </w:r>
          </w:p>
        </w:tc>
        <w:tc>
          <w:tcPr>
            <w:tcW w:w="1626" w:type="dxa"/>
            <w:tcMar>
              <w:left w:w="28" w:type="dxa"/>
              <w:right w:w="28" w:type="dxa"/>
            </w:tcMar>
            <w:vAlign w:val="center"/>
          </w:tcPr>
          <w:p w14:paraId="46FB1020">
            <w:pPr>
              <w:jc w:val="center"/>
              <w:rPr>
                <w:rFonts w:ascii="Times New Roman" w:hAnsi="Times New Roman" w:eastAsia="宋体" w:cs="Times New Roman"/>
                <w:color w:val="auto"/>
                <w:sz w:val="22"/>
                <w:u w:val="none"/>
              </w:rPr>
            </w:pPr>
            <w:r>
              <w:rPr>
                <w:rFonts w:ascii="Times New Roman" w:hAnsi="Times New Roman" w:eastAsia="宋体" w:cs="Times New Roman"/>
                <w:color w:val="auto"/>
                <w:sz w:val="22"/>
                <w:u w:val="none"/>
              </w:rPr>
              <w:t>本项目建成后全厂排放量</w:t>
            </w:r>
          </w:p>
        </w:tc>
        <w:tc>
          <w:tcPr>
            <w:tcW w:w="1399" w:type="dxa"/>
            <w:tcMar>
              <w:left w:w="28" w:type="dxa"/>
              <w:right w:w="28" w:type="dxa"/>
            </w:tcMar>
            <w:vAlign w:val="center"/>
          </w:tcPr>
          <w:p w14:paraId="28A66AAD">
            <w:pPr>
              <w:jc w:val="center"/>
              <w:rPr>
                <w:rFonts w:ascii="Times New Roman" w:hAnsi="Times New Roman" w:eastAsia="宋体" w:cs="Times New Roman"/>
                <w:color w:val="auto"/>
                <w:sz w:val="22"/>
                <w:u w:val="none"/>
              </w:rPr>
            </w:pPr>
            <w:r>
              <w:rPr>
                <w:rFonts w:ascii="Times New Roman" w:hAnsi="Times New Roman" w:eastAsia="宋体" w:cs="Times New Roman"/>
                <w:color w:val="auto"/>
                <w:sz w:val="22"/>
                <w:u w:val="none"/>
              </w:rPr>
              <w:t>变化量</w:t>
            </w:r>
          </w:p>
        </w:tc>
      </w:tr>
      <w:tr w14:paraId="6B7A512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4" w:hRule="atLeast"/>
          <w:jc w:val="center"/>
        </w:trPr>
        <w:tc>
          <w:tcPr>
            <w:tcW w:w="1162" w:type="dxa"/>
            <w:vMerge w:val="restart"/>
            <w:vAlign w:val="center"/>
          </w:tcPr>
          <w:p w14:paraId="146D120E">
            <w:pPr>
              <w:jc w:val="center"/>
              <w:rPr>
                <w:rFonts w:ascii="Times New Roman" w:hAnsi="Times New Roman" w:eastAsia="宋体" w:cs="Times New Roman"/>
                <w:color w:val="auto"/>
                <w:sz w:val="22"/>
                <w:u w:val="none"/>
              </w:rPr>
            </w:pPr>
            <w:r>
              <w:rPr>
                <w:rFonts w:ascii="Times New Roman" w:hAnsi="Times New Roman" w:eastAsia="宋体" w:cs="Times New Roman"/>
                <w:color w:val="auto"/>
                <w:sz w:val="22"/>
                <w:u w:val="none"/>
              </w:rPr>
              <w:t>废气</w:t>
            </w:r>
          </w:p>
        </w:tc>
        <w:tc>
          <w:tcPr>
            <w:tcW w:w="2439" w:type="dxa"/>
            <w:shd w:val="clear" w:color="auto" w:fill="auto"/>
            <w:vAlign w:val="center"/>
          </w:tcPr>
          <w:p w14:paraId="375A61BA">
            <w:pPr>
              <w:jc w:val="center"/>
              <w:rPr>
                <w:rFonts w:hint="eastAsia" w:ascii="Times New Roman" w:hAnsi="Times New Roman" w:eastAsia="宋体" w:cs="Times New Roman"/>
                <w:color w:val="auto"/>
                <w:kern w:val="2"/>
                <w:sz w:val="22"/>
                <w:szCs w:val="24"/>
                <w:u w:val="none"/>
                <w:lang w:val="en-US" w:eastAsia="zh-CN" w:bidi="ar-SA"/>
              </w:rPr>
            </w:pPr>
            <w:r>
              <w:rPr>
                <w:rFonts w:hint="eastAsia" w:ascii="Times New Roman" w:hAnsi="Times New Roman" w:eastAsia="宋体" w:cs="Times New Roman"/>
                <w:color w:val="auto"/>
                <w:sz w:val="22"/>
                <w:szCs w:val="24"/>
                <w:u w:val="none"/>
                <w:lang w:val="en-US" w:eastAsia="zh-CN"/>
              </w:rPr>
              <w:t>氨（氨气）</w:t>
            </w:r>
          </w:p>
        </w:tc>
        <w:tc>
          <w:tcPr>
            <w:tcW w:w="1530" w:type="dxa"/>
            <w:shd w:val="clear" w:color="auto" w:fill="auto"/>
            <w:vAlign w:val="center"/>
          </w:tcPr>
          <w:p w14:paraId="2163F0B8">
            <w:pPr>
              <w:jc w:val="center"/>
              <w:rPr>
                <w:rFonts w:hint="default" w:ascii="Times New Roman" w:hAnsi="Times New Roman" w:eastAsia="宋体" w:cs="Times New Roman"/>
                <w:color w:val="auto"/>
                <w:kern w:val="2"/>
                <w:sz w:val="22"/>
                <w:szCs w:val="24"/>
                <w:u w:val="none"/>
                <w:lang w:val="en-US" w:eastAsia="zh-CN" w:bidi="ar-SA"/>
              </w:rPr>
            </w:pPr>
            <w:r>
              <w:rPr>
                <w:rFonts w:hint="eastAsia" w:ascii="Times New Roman" w:hAnsi="Times New Roman" w:eastAsia="宋体" w:cs="Times New Roman"/>
                <w:color w:val="auto"/>
                <w:sz w:val="22"/>
                <w:szCs w:val="24"/>
                <w:u w:val="none"/>
                <w:lang w:val="en-US" w:eastAsia="zh-CN"/>
              </w:rPr>
              <w:t>2.43</w:t>
            </w:r>
          </w:p>
        </w:tc>
        <w:tc>
          <w:tcPr>
            <w:tcW w:w="1276" w:type="dxa"/>
            <w:vAlign w:val="center"/>
          </w:tcPr>
          <w:p w14:paraId="121675A6">
            <w:pPr>
              <w:jc w:val="center"/>
              <w:rPr>
                <w:rFonts w:ascii="Times New Roman" w:hAnsi="Times New Roman" w:eastAsia="等线" w:cs="Times New Roman"/>
                <w:color w:val="auto"/>
                <w:sz w:val="22"/>
                <w:u w:val="none"/>
              </w:rPr>
            </w:pPr>
          </w:p>
        </w:tc>
        <w:tc>
          <w:tcPr>
            <w:tcW w:w="1418" w:type="dxa"/>
            <w:vAlign w:val="center"/>
          </w:tcPr>
          <w:p w14:paraId="02AC1AA1">
            <w:pPr>
              <w:jc w:val="center"/>
              <w:rPr>
                <w:rFonts w:ascii="Times New Roman" w:hAnsi="Times New Roman" w:eastAsia="宋体" w:cs="Times New Roman"/>
                <w:color w:val="auto"/>
                <w:sz w:val="22"/>
                <w:u w:val="none"/>
              </w:rPr>
            </w:pPr>
          </w:p>
        </w:tc>
        <w:tc>
          <w:tcPr>
            <w:tcW w:w="1559" w:type="dxa"/>
            <w:vAlign w:val="bottom"/>
          </w:tcPr>
          <w:p w14:paraId="1F86443E">
            <w:pPr>
              <w:jc w:val="center"/>
              <w:rPr>
                <w:rFonts w:hint="default" w:ascii="Times New Roman" w:hAnsi="Times New Roman" w:eastAsia="宋体" w:cs="Times New Roman"/>
                <w:color w:val="auto"/>
                <w:sz w:val="22"/>
                <w:u w:val="none"/>
                <w:lang w:val="en-US" w:eastAsia="zh-CN"/>
              </w:rPr>
            </w:pPr>
            <w:r>
              <w:rPr>
                <w:rFonts w:hint="eastAsia" w:ascii="Times New Roman" w:hAnsi="Times New Roman" w:eastAsia="宋体" w:cs="Times New Roman"/>
                <w:color w:val="auto"/>
                <w:sz w:val="22"/>
                <w:u w:val="none"/>
                <w:lang w:val="en-US" w:eastAsia="zh-CN"/>
              </w:rPr>
              <w:t>0.38304</w:t>
            </w:r>
          </w:p>
        </w:tc>
        <w:tc>
          <w:tcPr>
            <w:tcW w:w="1379" w:type="dxa"/>
            <w:vAlign w:val="center"/>
          </w:tcPr>
          <w:p w14:paraId="7CF4C960">
            <w:pPr>
              <w:jc w:val="center"/>
              <w:rPr>
                <w:rFonts w:ascii="Times New Roman" w:hAnsi="Times New Roman" w:eastAsia="宋体" w:cs="Times New Roman"/>
                <w:color w:val="auto"/>
                <w:sz w:val="22"/>
                <w:u w:val="none"/>
              </w:rPr>
            </w:pPr>
          </w:p>
        </w:tc>
        <w:tc>
          <w:tcPr>
            <w:tcW w:w="1626" w:type="dxa"/>
            <w:vAlign w:val="center"/>
          </w:tcPr>
          <w:p w14:paraId="55DE6A53">
            <w:pPr>
              <w:jc w:val="center"/>
              <w:rPr>
                <w:rFonts w:hint="default" w:ascii="Times New Roman" w:hAnsi="Times New Roman" w:eastAsia="宋体" w:cs="Times New Roman"/>
                <w:color w:val="auto"/>
                <w:sz w:val="22"/>
                <w:u w:val="none"/>
                <w:lang w:val="en-US" w:eastAsia="zh-CN"/>
              </w:rPr>
            </w:pPr>
            <w:r>
              <w:rPr>
                <w:rFonts w:hint="eastAsia" w:ascii="Times New Roman" w:hAnsi="Times New Roman" w:eastAsia="宋体" w:cs="Times New Roman"/>
                <w:color w:val="auto"/>
                <w:sz w:val="22"/>
                <w:u w:val="none"/>
                <w:lang w:val="en-US" w:eastAsia="zh-CN"/>
              </w:rPr>
              <w:t>2.81304</w:t>
            </w:r>
          </w:p>
        </w:tc>
        <w:tc>
          <w:tcPr>
            <w:tcW w:w="1399" w:type="dxa"/>
            <w:vAlign w:val="center"/>
          </w:tcPr>
          <w:p w14:paraId="50A1D522">
            <w:pPr>
              <w:jc w:val="center"/>
              <w:rPr>
                <w:rFonts w:hint="default" w:ascii="Times New Roman" w:hAnsi="Times New Roman" w:eastAsia="宋体" w:cs="Times New Roman"/>
                <w:color w:val="auto"/>
                <w:sz w:val="22"/>
                <w:u w:val="none"/>
                <w:lang w:val="en-US" w:eastAsia="zh-CN"/>
              </w:rPr>
            </w:pPr>
            <w:r>
              <w:rPr>
                <w:rFonts w:hint="eastAsia" w:ascii="Times New Roman" w:hAnsi="Times New Roman" w:eastAsia="宋体" w:cs="Times New Roman"/>
                <w:color w:val="auto"/>
                <w:sz w:val="22"/>
                <w:u w:val="none"/>
                <w:lang w:val="en-US" w:eastAsia="zh-CN"/>
              </w:rPr>
              <w:t>+0.38304</w:t>
            </w:r>
          </w:p>
        </w:tc>
      </w:tr>
      <w:tr w14:paraId="66FAEFE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4" w:hRule="atLeast"/>
          <w:jc w:val="center"/>
        </w:trPr>
        <w:tc>
          <w:tcPr>
            <w:tcW w:w="1162" w:type="dxa"/>
            <w:vMerge w:val="continue"/>
            <w:vAlign w:val="center"/>
          </w:tcPr>
          <w:p w14:paraId="4E88B3F7">
            <w:pPr>
              <w:jc w:val="center"/>
              <w:rPr>
                <w:rFonts w:ascii="Times New Roman" w:hAnsi="Times New Roman" w:eastAsia="宋体" w:cs="Times New Roman"/>
                <w:color w:val="auto"/>
                <w:sz w:val="22"/>
                <w:u w:val="none"/>
              </w:rPr>
            </w:pPr>
          </w:p>
        </w:tc>
        <w:tc>
          <w:tcPr>
            <w:tcW w:w="2439" w:type="dxa"/>
            <w:shd w:val="clear" w:color="auto" w:fill="auto"/>
            <w:vAlign w:val="center"/>
          </w:tcPr>
          <w:p w14:paraId="6D6CE05F">
            <w:pPr>
              <w:jc w:val="center"/>
              <w:rPr>
                <w:rFonts w:hint="eastAsia" w:ascii="Times New Roman" w:hAnsi="Times New Roman" w:eastAsia="宋体" w:cs="Times New Roman"/>
                <w:color w:val="auto"/>
                <w:kern w:val="2"/>
                <w:sz w:val="22"/>
                <w:szCs w:val="24"/>
                <w:u w:val="none"/>
                <w:lang w:val="en-US" w:eastAsia="zh-CN" w:bidi="ar-SA"/>
              </w:rPr>
            </w:pPr>
            <w:r>
              <w:rPr>
                <w:rFonts w:hint="eastAsia" w:ascii="Times New Roman" w:hAnsi="Times New Roman" w:eastAsia="宋体" w:cs="Times New Roman"/>
                <w:color w:val="auto"/>
                <w:sz w:val="22"/>
                <w:szCs w:val="24"/>
                <w:u w:val="none"/>
                <w:lang w:val="en-US" w:eastAsia="zh-CN"/>
              </w:rPr>
              <w:t>硫化氢</w:t>
            </w:r>
          </w:p>
        </w:tc>
        <w:tc>
          <w:tcPr>
            <w:tcW w:w="1530" w:type="dxa"/>
            <w:shd w:val="clear" w:color="auto" w:fill="auto"/>
            <w:vAlign w:val="center"/>
          </w:tcPr>
          <w:p w14:paraId="04E88DF5">
            <w:pPr>
              <w:jc w:val="center"/>
              <w:rPr>
                <w:rFonts w:hint="default" w:ascii="Times New Roman" w:hAnsi="Times New Roman" w:eastAsia="宋体" w:cs="Times New Roman"/>
                <w:color w:val="auto"/>
                <w:kern w:val="2"/>
                <w:sz w:val="22"/>
                <w:szCs w:val="24"/>
                <w:u w:val="none"/>
                <w:lang w:val="en-US" w:eastAsia="zh-CN" w:bidi="ar-SA"/>
              </w:rPr>
            </w:pPr>
            <w:r>
              <w:rPr>
                <w:rFonts w:hint="eastAsia" w:ascii="Times New Roman" w:hAnsi="Times New Roman" w:eastAsia="宋体" w:cs="Times New Roman"/>
                <w:color w:val="auto"/>
                <w:sz w:val="22"/>
                <w:szCs w:val="24"/>
                <w:u w:val="none"/>
                <w:lang w:val="en-US" w:eastAsia="zh-CN"/>
              </w:rPr>
              <w:t>0.104</w:t>
            </w:r>
          </w:p>
        </w:tc>
        <w:tc>
          <w:tcPr>
            <w:tcW w:w="1276" w:type="dxa"/>
            <w:vAlign w:val="center"/>
          </w:tcPr>
          <w:p w14:paraId="689AA3C7">
            <w:pPr>
              <w:jc w:val="center"/>
              <w:rPr>
                <w:rFonts w:ascii="Times New Roman" w:hAnsi="Times New Roman" w:eastAsia="等线" w:cs="Times New Roman"/>
                <w:color w:val="auto"/>
                <w:sz w:val="22"/>
                <w:u w:val="none"/>
              </w:rPr>
            </w:pPr>
          </w:p>
        </w:tc>
        <w:tc>
          <w:tcPr>
            <w:tcW w:w="1418" w:type="dxa"/>
            <w:vAlign w:val="center"/>
          </w:tcPr>
          <w:p w14:paraId="0F89F6D7">
            <w:pPr>
              <w:jc w:val="center"/>
              <w:rPr>
                <w:rFonts w:ascii="Times New Roman" w:hAnsi="Times New Roman" w:eastAsia="宋体" w:cs="Times New Roman"/>
                <w:color w:val="auto"/>
                <w:sz w:val="22"/>
                <w:u w:val="none"/>
              </w:rPr>
            </w:pPr>
          </w:p>
        </w:tc>
        <w:tc>
          <w:tcPr>
            <w:tcW w:w="1559" w:type="dxa"/>
            <w:vAlign w:val="bottom"/>
          </w:tcPr>
          <w:p w14:paraId="3ACF5F03">
            <w:pPr>
              <w:jc w:val="center"/>
              <w:rPr>
                <w:rFonts w:hint="default" w:ascii="Times New Roman" w:hAnsi="Times New Roman" w:eastAsia="宋体" w:cs="Times New Roman"/>
                <w:color w:val="auto"/>
                <w:sz w:val="22"/>
                <w:u w:val="none"/>
                <w:lang w:val="en-US" w:eastAsia="zh-CN"/>
              </w:rPr>
            </w:pPr>
            <w:r>
              <w:rPr>
                <w:rFonts w:hint="eastAsia" w:ascii="Times New Roman" w:hAnsi="Times New Roman" w:eastAsia="宋体" w:cs="Times New Roman"/>
                <w:color w:val="auto"/>
                <w:sz w:val="22"/>
                <w:u w:val="none"/>
                <w:lang w:val="en-US" w:eastAsia="zh-CN"/>
              </w:rPr>
              <w:t>0.01188</w:t>
            </w:r>
          </w:p>
        </w:tc>
        <w:tc>
          <w:tcPr>
            <w:tcW w:w="1379" w:type="dxa"/>
            <w:vAlign w:val="center"/>
          </w:tcPr>
          <w:p w14:paraId="407CC5D0">
            <w:pPr>
              <w:jc w:val="center"/>
              <w:rPr>
                <w:rFonts w:ascii="Times New Roman" w:hAnsi="Times New Roman" w:eastAsia="宋体" w:cs="Times New Roman"/>
                <w:color w:val="auto"/>
                <w:sz w:val="22"/>
                <w:u w:val="none"/>
              </w:rPr>
            </w:pPr>
          </w:p>
        </w:tc>
        <w:tc>
          <w:tcPr>
            <w:tcW w:w="1626" w:type="dxa"/>
            <w:vAlign w:val="center"/>
          </w:tcPr>
          <w:p w14:paraId="0DBDA098">
            <w:pPr>
              <w:jc w:val="center"/>
              <w:rPr>
                <w:rFonts w:hint="default" w:ascii="Times New Roman" w:hAnsi="Times New Roman" w:eastAsia="宋体" w:cs="Times New Roman"/>
                <w:color w:val="auto"/>
                <w:sz w:val="22"/>
                <w:u w:val="none"/>
                <w:lang w:val="en-US" w:eastAsia="zh-CN"/>
              </w:rPr>
            </w:pPr>
            <w:r>
              <w:rPr>
                <w:rFonts w:hint="eastAsia" w:ascii="Times New Roman" w:hAnsi="Times New Roman" w:eastAsia="宋体" w:cs="Times New Roman"/>
                <w:color w:val="auto"/>
                <w:sz w:val="22"/>
                <w:u w:val="none"/>
                <w:lang w:val="en-US" w:eastAsia="zh-CN"/>
              </w:rPr>
              <w:t>0.11588</w:t>
            </w:r>
          </w:p>
        </w:tc>
        <w:tc>
          <w:tcPr>
            <w:tcW w:w="1399" w:type="dxa"/>
            <w:vAlign w:val="center"/>
          </w:tcPr>
          <w:p w14:paraId="3EC6AD80">
            <w:pPr>
              <w:jc w:val="center"/>
              <w:rPr>
                <w:rFonts w:hint="default" w:ascii="Times New Roman" w:hAnsi="Times New Roman" w:eastAsia="宋体" w:cs="Times New Roman"/>
                <w:color w:val="auto"/>
                <w:sz w:val="22"/>
                <w:u w:val="none"/>
                <w:lang w:val="en-US" w:eastAsia="zh-CN"/>
              </w:rPr>
            </w:pPr>
            <w:r>
              <w:rPr>
                <w:rFonts w:hint="eastAsia" w:ascii="Times New Roman" w:hAnsi="Times New Roman" w:eastAsia="宋体" w:cs="Times New Roman"/>
                <w:color w:val="auto"/>
                <w:sz w:val="22"/>
                <w:u w:val="none"/>
                <w:lang w:val="en-US" w:eastAsia="zh-CN"/>
              </w:rPr>
              <w:t>+0.01188</w:t>
            </w:r>
          </w:p>
        </w:tc>
      </w:tr>
      <w:tr w14:paraId="6F00BFB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4" w:hRule="atLeast"/>
          <w:jc w:val="center"/>
        </w:trPr>
        <w:tc>
          <w:tcPr>
            <w:tcW w:w="1162" w:type="dxa"/>
            <w:vMerge w:val="continue"/>
            <w:vAlign w:val="center"/>
          </w:tcPr>
          <w:p w14:paraId="43D13F30">
            <w:pPr>
              <w:jc w:val="center"/>
              <w:rPr>
                <w:rFonts w:ascii="Times New Roman" w:hAnsi="Times New Roman" w:eastAsia="宋体" w:cs="Times New Roman"/>
                <w:color w:val="auto"/>
                <w:sz w:val="22"/>
                <w:u w:val="none"/>
              </w:rPr>
            </w:pPr>
          </w:p>
        </w:tc>
        <w:tc>
          <w:tcPr>
            <w:tcW w:w="2439" w:type="dxa"/>
            <w:shd w:val="clear" w:color="auto" w:fill="auto"/>
            <w:vAlign w:val="center"/>
          </w:tcPr>
          <w:p w14:paraId="4D71F3F8">
            <w:pPr>
              <w:jc w:val="center"/>
              <w:rPr>
                <w:rFonts w:hint="default" w:ascii="Times New Roman" w:hAnsi="Times New Roman" w:eastAsia="宋体" w:cs="Times New Roman"/>
                <w:color w:val="auto"/>
                <w:kern w:val="2"/>
                <w:sz w:val="22"/>
                <w:szCs w:val="24"/>
                <w:u w:val="none"/>
                <w:lang w:val="en-US" w:eastAsia="zh-CN" w:bidi="ar-SA"/>
              </w:rPr>
            </w:pPr>
            <w:r>
              <w:rPr>
                <w:rFonts w:hint="eastAsia" w:ascii="Times New Roman" w:hAnsi="Times New Roman" w:eastAsia="宋体" w:cs="Times New Roman"/>
                <w:color w:val="auto"/>
                <w:sz w:val="22"/>
                <w:szCs w:val="24"/>
                <w:u w:val="none"/>
                <w:lang w:val="en-US" w:eastAsia="zh-CN"/>
              </w:rPr>
              <w:t>非甲烷总烃</w:t>
            </w:r>
          </w:p>
        </w:tc>
        <w:tc>
          <w:tcPr>
            <w:tcW w:w="1530" w:type="dxa"/>
            <w:shd w:val="clear" w:color="auto" w:fill="auto"/>
            <w:vAlign w:val="center"/>
          </w:tcPr>
          <w:p w14:paraId="27A961A3">
            <w:pPr>
              <w:jc w:val="center"/>
              <w:rPr>
                <w:rFonts w:hint="default" w:ascii="Times New Roman" w:hAnsi="Times New Roman" w:eastAsia="宋体" w:cs="Times New Roman"/>
                <w:color w:val="auto"/>
                <w:kern w:val="2"/>
                <w:sz w:val="22"/>
                <w:szCs w:val="24"/>
                <w:u w:val="none"/>
                <w:lang w:val="en-US" w:eastAsia="zh-CN" w:bidi="ar-SA"/>
              </w:rPr>
            </w:pPr>
            <w:r>
              <w:rPr>
                <w:rFonts w:hint="eastAsia" w:ascii="Times New Roman" w:hAnsi="Times New Roman" w:eastAsia="宋体" w:cs="Times New Roman"/>
                <w:color w:val="auto"/>
                <w:sz w:val="22"/>
                <w:szCs w:val="24"/>
                <w:u w:val="none"/>
                <w:lang w:val="en-US" w:eastAsia="zh-CN"/>
              </w:rPr>
              <w:t>44.103</w:t>
            </w:r>
          </w:p>
        </w:tc>
        <w:tc>
          <w:tcPr>
            <w:tcW w:w="1276" w:type="dxa"/>
            <w:vAlign w:val="center"/>
          </w:tcPr>
          <w:p w14:paraId="28137D50">
            <w:pPr>
              <w:jc w:val="center"/>
              <w:rPr>
                <w:rFonts w:hint="default" w:ascii="Times New Roman" w:hAnsi="Times New Roman" w:eastAsia="等线" w:cs="Times New Roman"/>
                <w:color w:val="auto"/>
                <w:sz w:val="22"/>
                <w:u w:val="none"/>
                <w:lang w:val="en-US" w:eastAsia="zh-CN"/>
              </w:rPr>
            </w:pPr>
            <w:r>
              <w:rPr>
                <w:rFonts w:hint="eastAsia" w:ascii="Times New Roman" w:hAnsi="Times New Roman" w:eastAsia="等线" w:cs="Times New Roman"/>
                <w:color w:val="auto"/>
                <w:sz w:val="22"/>
                <w:u w:val="none"/>
                <w:lang w:val="en-US" w:eastAsia="zh-CN"/>
              </w:rPr>
              <w:t>82.8</w:t>
            </w:r>
          </w:p>
        </w:tc>
        <w:tc>
          <w:tcPr>
            <w:tcW w:w="1418" w:type="dxa"/>
            <w:vAlign w:val="center"/>
          </w:tcPr>
          <w:p w14:paraId="0EBB2A67">
            <w:pPr>
              <w:jc w:val="center"/>
              <w:rPr>
                <w:rFonts w:ascii="Times New Roman" w:hAnsi="Times New Roman" w:eastAsia="宋体" w:cs="Times New Roman"/>
                <w:color w:val="auto"/>
                <w:sz w:val="22"/>
                <w:u w:val="none"/>
              </w:rPr>
            </w:pPr>
          </w:p>
        </w:tc>
        <w:tc>
          <w:tcPr>
            <w:tcW w:w="1559" w:type="dxa"/>
            <w:vAlign w:val="bottom"/>
          </w:tcPr>
          <w:p w14:paraId="3D5657B5">
            <w:pPr>
              <w:jc w:val="center"/>
              <w:rPr>
                <w:rFonts w:hint="eastAsia" w:ascii="Times New Roman" w:hAnsi="Times New Roman" w:eastAsia="宋体" w:cs="Times New Roman"/>
                <w:color w:val="auto"/>
                <w:sz w:val="22"/>
                <w:u w:val="none"/>
                <w:lang w:val="en-US" w:eastAsia="zh-CN"/>
              </w:rPr>
            </w:pPr>
            <w:r>
              <w:rPr>
                <w:rFonts w:hint="eastAsia" w:ascii="Times New Roman" w:hAnsi="Times New Roman" w:eastAsia="宋体" w:cs="Times New Roman"/>
                <w:color w:val="auto"/>
                <w:sz w:val="22"/>
                <w:u w:val="none"/>
                <w:lang w:val="en-US" w:eastAsia="zh-CN"/>
              </w:rPr>
              <w:t>1.008</w:t>
            </w:r>
          </w:p>
        </w:tc>
        <w:tc>
          <w:tcPr>
            <w:tcW w:w="1379" w:type="dxa"/>
            <w:vAlign w:val="center"/>
          </w:tcPr>
          <w:p w14:paraId="346F8DA0">
            <w:pPr>
              <w:jc w:val="center"/>
              <w:rPr>
                <w:rFonts w:ascii="Times New Roman" w:hAnsi="Times New Roman" w:eastAsia="宋体" w:cs="Times New Roman"/>
                <w:color w:val="auto"/>
                <w:sz w:val="22"/>
                <w:u w:val="none"/>
              </w:rPr>
            </w:pPr>
          </w:p>
        </w:tc>
        <w:tc>
          <w:tcPr>
            <w:tcW w:w="1626" w:type="dxa"/>
            <w:vAlign w:val="center"/>
          </w:tcPr>
          <w:p w14:paraId="369908EB">
            <w:pPr>
              <w:jc w:val="center"/>
              <w:rPr>
                <w:rFonts w:hint="default" w:ascii="Times New Roman" w:hAnsi="Times New Roman" w:eastAsia="宋体" w:cs="Times New Roman"/>
                <w:color w:val="auto"/>
                <w:sz w:val="22"/>
                <w:u w:val="none"/>
                <w:lang w:val="en-US" w:eastAsia="zh-CN"/>
              </w:rPr>
            </w:pPr>
            <w:r>
              <w:rPr>
                <w:rFonts w:hint="eastAsia" w:ascii="Times New Roman" w:hAnsi="Times New Roman" w:eastAsia="宋体" w:cs="Times New Roman"/>
                <w:color w:val="auto"/>
                <w:sz w:val="22"/>
                <w:u w:val="none"/>
                <w:lang w:val="en-US" w:eastAsia="zh-CN"/>
              </w:rPr>
              <w:t>45.111</w:t>
            </w:r>
          </w:p>
        </w:tc>
        <w:tc>
          <w:tcPr>
            <w:tcW w:w="1399" w:type="dxa"/>
            <w:vAlign w:val="center"/>
          </w:tcPr>
          <w:p w14:paraId="27F7F863">
            <w:pPr>
              <w:jc w:val="center"/>
              <w:rPr>
                <w:rFonts w:hint="default" w:ascii="Times New Roman" w:hAnsi="Times New Roman" w:eastAsia="宋体" w:cs="Times New Roman"/>
                <w:color w:val="auto"/>
                <w:sz w:val="22"/>
                <w:u w:val="none"/>
                <w:lang w:val="en-US" w:eastAsia="zh-CN"/>
              </w:rPr>
            </w:pPr>
            <w:r>
              <w:rPr>
                <w:rFonts w:hint="eastAsia" w:ascii="Times New Roman" w:hAnsi="Times New Roman" w:eastAsia="宋体" w:cs="Times New Roman"/>
                <w:color w:val="auto"/>
                <w:sz w:val="22"/>
                <w:u w:val="none"/>
                <w:lang w:val="en-US" w:eastAsia="zh-CN"/>
              </w:rPr>
              <w:t>+1.008</w:t>
            </w:r>
          </w:p>
        </w:tc>
      </w:tr>
      <w:tr w14:paraId="2D00E73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4" w:hRule="atLeast"/>
          <w:jc w:val="center"/>
        </w:trPr>
        <w:tc>
          <w:tcPr>
            <w:tcW w:w="1162" w:type="dxa"/>
            <w:vMerge w:val="continue"/>
            <w:vAlign w:val="center"/>
          </w:tcPr>
          <w:p w14:paraId="0AC7897B">
            <w:pPr>
              <w:jc w:val="center"/>
              <w:rPr>
                <w:rFonts w:ascii="Times New Roman" w:hAnsi="Times New Roman" w:eastAsia="宋体" w:cs="Times New Roman"/>
                <w:color w:val="auto"/>
                <w:sz w:val="22"/>
                <w:u w:val="none"/>
              </w:rPr>
            </w:pPr>
          </w:p>
        </w:tc>
        <w:tc>
          <w:tcPr>
            <w:tcW w:w="2439" w:type="dxa"/>
            <w:shd w:val="clear" w:color="auto" w:fill="auto"/>
            <w:vAlign w:val="center"/>
          </w:tcPr>
          <w:p w14:paraId="23F1D794">
            <w:pPr>
              <w:jc w:val="center"/>
              <w:rPr>
                <w:rFonts w:hint="eastAsia" w:ascii="Times New Roman" w:hAnsi="Times New Roman" w:eastAsia="宋体" w:cs="Times New Roman"/>
                <w:color w:val="auto"/>
                <w:kern w:val="2"/>
                <w:sz w:val="22"/>
                <w:szCs w:val="24"/>
                <w:u w:val="none"/>
                <w:lang w:val="en-US" w:eastAsia="zh-CN" w:bidi="ar-SA"/>
              </w:rPr>
            </w:pPr>
            <w:r>
              <w:rPr>
                <w:rFonts w:hint="eastAsia" w:ascii="Times New Roman" w:hAnsi="Times New Roman" w:eastAsia="宋体" w:cs="Times New Roman"/>
                <w:color w:val="auto"/>
                <w:sz w:val="22"/>
                <w:szCs w:val="24"/>
                <w:u w:val="none"/>
                <w:lang w:val="en-US" w:eastAsia="zh-CN"/>
              </w:rPr>
              <w:t>颗粒物</w:t>
            </w:r>
          </w:p>
        </w:tc>
        <w:tc>
          <w:tcPr>
            <w:tcW w:w="1530" w:type="dxa"/>
            <w:shd w:val="clear" w:color="auto" w:fill="auto"/>
            <w:vAlign w:val="center"/>
          </w:tcPr>
          <w:p w14:paraId="0FE7FC78">
            <w:pPr>
              <w:jc w:val="center"/>
              <w:rPr>
                <w:rFonts w:hint="default" w:ascii="Times New Roman" w:hAnsi="Times New Roman" w:eastAsia="宋体" w:cs="Times New Roman"/>
                <w:color w:val="auto"/>
                <w:kern w:val="2"/>
                <w:sz w:val="22"/>
                <w:szCs w:val="24"/>
                <w:u w:val="none"/>
                <w:lang w:val="en-US" w:eastAsia="zh-CN" w:bidi="ar-SA"/>
              </w:rPr>
            </w:pPr>
            <w:r>
              <w:rPr>
                <w:rFonts w:hint="eastAsia" w:ascii="Times New Roman" w:hAnsi="Times New Roman" w:eastAsia="宋体" w:cs="Times New Roman"/>
                <w:color w:val="auto"/>
                <w:sz w:val="22"/>
                <w:szCs w:val="24"/>
                <w:u w:val="none"/>
                <w:lang w:val="en-US" w:eastAsia="zh-CN"/>
              </w:rPr>
              <w:t>15.837</w:t>
            </w:r>
          </w:p>
        </w:tc>
        <w:tc>
          <w:tcPr>
            <w:tcW w:w="1276" w:type="dxa"/>
            <w:vAlign w:val="center"/>
          </w:tcPr>
          <w:p w14:paraId="51CD47CE">
            <w:pPr>
              <w:jc w:val="center"/>
              <w:rPr>
                <w:rFonts w:ascii="Times New Roman" w:hAnsi="Times New Roman" w:eastAsia="等线" w:cs="Times New Roman"/>
                <w:color w:val="auto"/>
                <w:sz w:val="22"/>
                <w:u w:val="none"/>
              </w:rPr>
            </w:pPr>
          </w:p>
        </w:tc>
        <w:tc>
          <w:tcPr>
            <w:tcW w:w="1418" w:type="dxa"/>
            <w:vAlign w:val="center"/>
          </w:tcPr>
          <w:p w14:paraId="4B489D3A">
            <w:pPr>
              <w:jc w:val="center"/>
              <w:rPr>
                <w:rFonts w:ascii="Times New Roman" w:hAnsi="Times New Roman" w:eastAsia="宋体" w:cs="Times New Roman"/>
                <w:color w:val="auto"/>
                <w:sz w:val="22"/>
                <w:u w:val="none"/>
              </w:rPr>
            </w:pPr>
          </w:p>
        </w:tc>
        <w:tc>
          <w:tcPr>
            <w:tcW w:w="1559" w:type="dxa"/>
            <w:vAlign w:val="bottom"/>
          </w:tcPr>
          <w:p w14:paraId="3BC4896C">
            <w:pPr>
              <w:jc w:val="center"/>
              <w:rPr>
                <w:rFonts w:hint="default" w:ascii="Times New Roman" w:hAnsi="Times New Roman" w:eastAsia="宋体" w:cs="Times New Roman"/>
                <w:color w:val="auto"/>
                <w:sz w:val="22"/>
                <w:u w:val="none"/>
                <w:lang w:val="en-US" w:eastAsia="zh-CN"/>
              </w:rPr>
            </w:pPr>
            <w:r>
              <w:rPr>
                <w:rFonts w:hint="eastAsia" w:ascii="Times New Roman" w:hAnsi="Times New Roman" w:eastAsia="宋体" w:cs="Times New Roman"/>
                <w:color w:val="auto"/>
                <w:sz w:val="22"/>
                <w:u w:val="none"/>
                <w:lang w:val="en-US" w:eastAsia="zh-CN"/>
              </w:rPr>
              <w:t>2.979</w:t>
            </w:r>
          </w:p>
        </w:tc>
        <w:tc>
          <w:tcPr>
            <w:tcW w:w="1379" w:type="dxa"/>
            <w:vAlign w:val="center"/>
          </w:tcPr>
          <w:p w14:paraId="7DD8B56B">
            <w:pPr>
              <w:jc w:val="center"/>
              <w:rPr>
                <w:rFonts w:ascii="Times New Roman" w:hAnsi="Times New Roman" w:eastAsia="宋体" w:cs="Times New Roman"/>
                <w:color w:val="auto"/>
                <w:sz w:val="22"/>
                <w:u w:val="none"/>
              </w:rPr>
            </w:pPr>
          </w:p>
        </w:tc>
        <w:tc>
          <w:tcPr>
            <w:tcW w:w="1626" w:type="dxa"/>
            <w:vAlign w:val="center"/>
          </w:tcPr>
          <w:p w14:paraId="7DB4CB1E">
            <w:pPr>
              <w:jc w:val="center"/>
              <w:rPr>
                <w:rFonts w:hint="default" w:ascii="Times New Roman" w:hAnsi="Times New Roman" w:eastAsia="宋体" w:cs="Times New Roman"/>
                <w:color w:val="auto"/>
                <w:sz w:val="22"/>
                <w:u w:val="none"/>
                <w:lang w:val="en-US" w:eastAsia="zh-CN"/>
              </w:rPr>
            </w:pPr>
            <w:r>
              <w:rPr>
                <w:rFonts w:hint="eastAsia" w:ascii="Times New Roman" w:hAnsi="Times New Roman" w:eastAsia="宋体" w:cs="Times New Roman"/>
                <w:color w:val="auto"/>
                <w:sz w:val="22"/>
                <w:u w:val="none"/>
                <w:lang w:val="en-US" w:eastAsia="zh-CN"/>
              </w:rPr>
              <w:t>18.816</w:t>
            </w:r>
          </w:p>
        </w:tc>
        <w:tc>
          <w:tcPr>
            <w:tcW w:w="1399" w:type="dxa"/>
            <w:vAlign w:val="center"/>
          </w:tcPr>
          <w:p w14:paraId="1BE14AD7">
            <w:pPr>
              <w:jc w:val="center"/>
              <w:rPr>
                <w:rFonts w:hint="default" w:ascii="Times New Roman" w:hAnsi="Times New Roman" w:eastAsia="宋体" w:cs="Times New Roman"/>
                <w:color w:val="auto"/>
                <w:sz w:val="22"/>
                <w:u w:val="none"/>
                <w:lang w:val="en-US" w:eastAsia="zh-CN"/>
              </w:rPr>
            </w:pPr>
            <w:r>
              <w:rPr>
                <w:rFonts w:hint="eastAsia" w:ascii="Times New Roman" w:hAnsi="Times New Roman" w:eastAsia="宋体" w:cs="Times New Roman"/>
                <w:color w:val="auto"/>
                <w:sz w:val="22"/>
                <w:u w:val="none"/>
                <w:lang w:val="en-US" w:eastAsia="zh-CN"/>
              </w:rPr>
              <w:t>+2.979</w:t>
            </w:r>
          </w:p>
        </w:tc>
      </w:tr>
      <w:tr w14:paraId="0587B8D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162" w:type="dxa"/>
            <w:vMerge w:val="restart"/>
            <w:vAlign w:val="center"/>
          </w:tcPr>
          <w:p w14:paraId="07BD1357">
            <w:pPr>
              <w:jc w:val="center"/>
              <w:rPr>
                <w:rFonts w:ascii="Times New Roman" w:hAnsi="Times New Roman" w:eastAsia="宋体" w:cs="Times New Roman"/>
                <w:color w:val="auto"/>
                <w:sz w:val="22"/>
                <w:u w:val="none"/>
              </w:rPr>
            </w:pPr>
            <w:r>
              <w:rPr>
                <w:rFonts w:ascii="Times New Roman" w:hAnsi="Times New Roman" w:eastAsia="宋体" w:cs="Times New Roman"/>
                <w:color w:val="auto"/>
                <w:sz w:val="22"/>
                <w:u w:val="none"/>
              </w:rPr>
              <w:t>废水</w:t>
            </w:r>
          </w:p>
        </w:tc>
        <w:tc>
          <w:tcPr>
            <w:tcW w:w="2439" w:type="dxa"/>
            <w:shd w:val="clear" w:color="auto" w:fill="auto"/>
            <w:vAlign w:val="center"/>
          </w:tcPr>
          <w:p w14:paraId="7B9BB10A">
            <w:pPr>
              <w:jc w:val="center"/>
              <w:rPr>
                <w:rFonts w:hint="default" w:ascii="Times New Roman" w:hAnsi="Times New Roman" w:eastAsia="宋体" w:cs="Times New Roman"/>
                <w:color w:val="auto"/>
                <w:kern w:val="2"/>
                <w:sz w:val="22"/>
                <w:szCs w:val="24"/>
                <w:u w:val="none"/>
                <w:lang w:val="en-US" w:eastAsia="zh-CN" w:bidi="ar-SA"/>
              </w:rPr>
            </w:pPr>
            <w:r>
              <w:rPr>
                <w:rFonts w:hint="eastAsia" w:ascii="Times New Roman" w:hAnsi="Times New Roman" w:eastAsia="宋体" w:cs="Times New Roman"/>
                <w:color w:val="auto"/>
                <w:sz w:val="22"/>
                <w:szCs w:val="24"/>
                <w:u w:val="none"/>
                <w:lang w:val="en-US" w:eastAsia="zh-CN"/>
              </w:rPr>
              <w:t>悬浮物</w:t>
            </w:r>
          </w:p>
        </w:tc>
        <w:tc>
          <w:tcPr>
            <w:tcW w:w="1530" w:type="dxa"/>
            <w:shd w:val="clear" w:color="auto" w:fill="auto"/>
            <w:vAlign w:val="center"/>
          </w:tcPr>
          <w:p w14:paraId="1EE3D4EE">
            <w:pPr>
              <w:jc w:val="center"/>
              <w:rPr>
                <w:rFonts w:hint="default" w:ascii="Times New Roman" w:hAnsi="Times New Roman" w:eastAsia="宋体" w:cs="Times New Roman"/>
                <w:color w:val="auto"/>
                <w:kern w:val="2"/>
                <w:sz w:val="22"/>
                <w:szCs w:val="24"/>
                <w:u w:val="none"/>
                <w:lang w:val="en-US" w:eastAsia="zh-CN" w:bidi="ar-SA"/>
              </w:rPr>
            </w:pPr>
            <w:r>
              <w:rPr>
                <w:rFonts w:hint="eastAsia" w:ascii="Times New Roman" w:hAnsi="Times New Roman" w:eastAsia="宋体" w:cs="Times New Roman"/>
                <w:color w:val="auto"/>
                <w:sz w:val="22"/>
                <w:szCs w:val="24"/>
                <w:u w:val="none"/>
                <w:lang w:val="en-US" w:eastAsia="zh-CN"/>
              </w:rPr>
              <w:t>3.899</w:t>
            </w:r>
          </w:p>
        </w:tc>
        <w:tc>
          <w:tcPr>
            <w:tcW w:w="1276" w:type="dxa"/>
            <w:vAlign w:val="center"/>
          </w:tcPr>
          <w:p w14:paraId="256C7186">
            <w:pPr>
              <w:jc w:val="center"/>
              <w:rPr>
                <w:rFonts w:ascii="Times New Roman" w:hAnsi="Times New Roman" w:eastAsia="等线" w:cs="Times New Roman"/>
                <w:color w:val="auto"/>
                <w:sz w:val="22"/>
                <w:u w:val="none"/>
              </w:rPr>
            </w:pPr>
          </w:p>
        </w:tc>
        <w:tc>
          <w:tcPr>
            <w:tcW w:w="1418" w:type="dxa"/>
            <w:vAlign w:val="center"/>
          </w:tcPr>
          <w:p w14:paraId="4C4BEAF6">
            <w:pPr>
              <w:jc w:val="center"/>
              <w:rPr>
                <w:rFonts w:ascii="Times New Roman" w:hAnsi="Times New Roman" w:eastAsia="宋体" w:cs="Times New Roman"/>
                <w:color w:val="auto"/>
                <w:sz w:val="22"/>
                <w:u w:val="none"/>
              </w:rPr>
            </w:pPr>
          </w:p>
        </w:tc>
        <w:tc>
          <w:tcPr>
            <w:tcW w:w="1559" w:type="dxa"/>
            <w:vAlign w:val="center"/>
          </w:tcPr>
          <w:p w14:paraId="1781AB92">
            <w:pPr>
              <w:jc w:val="center"/>
              <w:rPr>
                <w:rFonts w:hint="default" w:ascii="Times New Roman" w:hAnsi="Times New Roman" w:eastAsia="宋体" w:cs="Times New Roman"/>
                <w:color w:val="auto"/>
                <w:sz w:val="22"/>
                <w:u w:val="none"/>
                <w:lang w:val="en-US" w:eastAsia="zh-CN"/>
              </w:rPr>
            </w:pPr>
            <w:r>
              <w:rPr>
                <w:rFonts w:hint="eastAsia" w:ascii="Times New Roman" w:hAnsi="Times New Roman" w:eastAsia="宋体" w:cs="Times New Roman"/>
                <w:color w:val="auto"/>
                <w:sz w:val="22"/>
                <w:u w:val="none"/>
                <w:lang w:val="en-US" w:eastAsia="zh-CN"/>
              </w:rPr>
              <w:t>1.41</w:t>
            </w:r>
          </w:p>
        </w:tc>
        <w:tc>
          <w:tcPr>
            <w:tcW w:w="1379" w:type="dxa"/>
            <w:vAlign w:val="center"/>
          </w:tcPr>
          <w:p w14:paraId="649FCF76">
            <w:pPr>
              <w:jc w:val="center"/>
              <w:rPr>
                <w:rFonts w:ascii="Times New Roman" w:hAnsi="Times New Roman" w:eastAsia="宋体" w:cs="Times New Roman"/>
                <w:color w:val="auto"/>
                <w:sz w:val="22"/>
                <w:u w:val="none"/>
              </w:rPr>
            </w:pPr>
          </w:p>
        </w:tc>
        <w:tc>
          <w:tcPr>
            <w:tcW w:w="1626" w:type="dxa"/>
            <w:vAlign w:val="center"/>
          </w:tcPr>
          <w:p w14:paraId="61E6D062">
            <w:pPr>
              <w:jc w:val="center"/>
              <w:rPr>
                <w:rFonts w:hint="default" w:ascii="Times New Roman" w:hAnsi="Times New Roman" w:eastAsia="宋体" w:cs="Times New Roman"/>
                <w:color w:val="auto"/>
                <w:sz w:val="22"/>
                <w:u w:val="none"/>
                <w:lang w:val="en-US" w:eastAsia="zh-CN"/>
              </w:rPr>
            </w:pPr>
            <w:r>
              <w:rPr>
                <w:rFonts w:hint="eastAsia" w:ascii="Times New Roman" w:hAnsi="Times New Roman" w:eastAsia="宋体" w:cs="Times New Roman"/>
                <w:color w:val="auto"/>
                <w:sz w:val="22"/>
                <w:u w:val="none"/>
                <w:lang w:val="en-US" w:eastAsia="zh-CN"/>
              </w:rPr>
              <w:t>5.309</w:t>
            </w:r>
          </w:p>
        </w:tc>
        <w:tc>
          <w:tcPr>
            <w:tcW w:w="1399" w:type="dxa"/>
            <w:vAlign w:val="center"/>
          </w:tcPr>
          <w:p w14:paraId="6ED53CBB">
            <w:pPr>
              <w:jc w:val="center"/>
              <w:rPr>
                <w:rFonts w:hint="default" w:ascii="Times New Roman" w:hAnsi="Times New Roman" w:eastAsia="宋体" w:cs="Times New Roman"/>
                <w:color w:val="auto"/>
                <w:sz w:val="22"/>
                <w:u w:val="none"/>
                <w:lang w:val="en-US" w:eastAsia="zh-CN"/>
              </w:rPr>
            </w:pPr>
            <w:r>
              <w:rPr>
                <w:rFonts w:hint="eastAsia" w:ascii="Times New Roman" w:hAnsi="Times New Roman" w:eastAsia="宋体" w:cs="Times New Roman"/>
                <w:color w:val="auto"/>
                <w:sz w:val="22"/>
                <w:u w:val="none"/>
                <w:lang w:val="en-US" w:eastAsia="zh-CN"/>
              </w:rPr>
              <w:t>+1.41</w:t>
            </w:r>
          </w:p>
        </w:tc>
      </w:tr>
      <w:tr w14:paraId="4A74827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162" w:type="dxa"/>
            <w:vMerge w:val="continue"/>
            <w:vAlign w:val="center"/>
          </w:tcPr>
          <w:p w14:paraId="42C9C62D">
            <w:pPr>
              <w:jc w:val="center"/>
              <w:rPr>
                <w:rFonts w:ascii="Times New Roman" w:hAnsi="Times New Roman" w:eastAsia="宋体" w:cs="Times New Roman"/>
                <w:color w:val="auto"/>
                <w:sz w:val="22"/>
                <w:u w:val="none"/>
              </w:rPr>
            </w:pPr>
          </w:p>
        </w:tc>
        <w:tc>
          <w:tcPr>
            <w:tcW w:w="2439" w:type="dxa"/>
            <w:shd w:val="clear" w:color="auto" w:fill="auto"/>
            <w:vAlign w:val="center"/>
          </w:tcPr>
          <w:p w14:paraId="51C4722E">
            <w:pPr>
              <w:jc w:val="center"/>
              <w:rPr>
                <w:rFonts w:hint="eastAsia" w:ascii="Times New Roman" w:hAnsi="Times New Roman" w:eastAsia="宋体" w:cs="Times New Roman"/>
                <w:color w:val="auto"/>
                <w:kern w:val="2"/>
                <w:sz w:val="22"/>
                <w:szCs w:val="24"/>
                <w:u w:val="none"/>
                <w:lang w:val="en-US" w:eastAsia="zh-CN" w:bidi="ar-SA"/>
              </w:rPr>
            </w:pPr>
            <w:r>
              <w:rPr>
                <w:rFonts w:hint="eastAsia" w:ascii="Times New Roman" w:hAnsi="Times New Roman" w:eastAsia="宋体" w:cs="Times New Roman"/>
                <w:color w:val="auto"/>
                <w:sz w:val="22"/>
                <w:szCs w:val="24"/>
                <w:u w:val="none"/>
                <w:lang w:val="en-US" w:eastAsia="zh-CN"/>
              </w:rPr>
              <w:t>五日生化需氧量</w:t>
            </w:r>
          </w:p>
        </w:tc>
        <w:tc>
          <w:tcPr>
            <w:tcW w:w="1530" w:type="dxa"/>
            <w:shd w:val="clear" w:color="auto" w:fill="auto"/>
            <w:vAlign w:val="center"/>
          </w:tcPr>
          <w:p w14:paraId="785D33A3">
            <w:pPr>
              <w:jc w:val="center"/>
              <w:rPr>
                <w:rFonts w:hint="default" w:ascii="Times New Roman" w:hAnsi="Times New Roman" w:eastAsia="宋体" w:cs="Times New Roman"/>
                <w:color w:val="auto"/>
                <w:kern w:val="2"/>
                <w:sz w:val="22"/>
                <w:szCs w:val="24"/>
                <w:u w:val="none"/>
                <w:lang w:val="en-US" w:eastAsia="zh-CN" w:bidi="ar-SA"/>
              </w:rPr>
            </w:pPr>
            <w:r>
              <w:rPr>
                <w:rFonts w:hint="eastAsia" w:ascii="Times New Roman" w:hAnsi="Times New Roman" w:eastAsia="宋体" w:cs="Times New Roman"/>
                <w:color w:val="auto"/>
                <w:sz w:val="22"/>
                <w:szCs w:val="24"/>
                <w:u w:val="none"/>
                <w:lang w:val="en-US" w:eastAsia="zh-CN"/>
              </w:rPr>
              <w:t>4.728</w:t>
            </w:r>
          </w:p>
        </w:tc>
        <w:tc>
          <w:tcPr>
            <w:tcW w:w="1276" w:type="dxa"/>
            <w:vAlign w:val="center"/>
          </w:tcPr>
          <w:p w14:paraId="2A92E7C2">
            <w:pPr>
              <w:jc w:val="center"/>
              <w:rPr>
                <w:rFonts w:ascii="Times New Roman" w:hAnsi="Times New Roman" w:eastAsia="等线" w:cs="Times New Roman"/>
                <w:color w:val="auto"/>
                <w:sz w:val="22"/>
                <w:u w:val="none"/>
              </w:rPr>
            </w:pPr>
          </w:p>
        </w:tc>
        <w:tc>
          <w:tcPr>
            <w:tcW w:w="1418" w:type="dxa"/>
            <w:vAlign w:val="center"/>
          </w:tcPr>
          <w:p w14:paraId="60D1B48C">
            <w:pPr>
              <w:jc w:val="center"/>
              <w:rPr>
                <w:rFonts w:ascii="Times New Roman" w:hAnsi="Times New Roman" w:eastAsia="宋体" w:cs="Times New Roman"/>
                <w:color w:val="auto"/>
                <w:sz w:val="22"/>
                <w:u w:val="none"/>
              </w:rPr>
            </w:pPr>
          </w:p>
        </w:tc>
        <w:tc>
          <w:tcPr>
            <w:tcW w:w="1559" w:type="dxa"/>
            <w:vAlign w:val="center"/>
          </w:tcPr>
          <w:p w14:paraId="68084C1A">
            <w:pPr>
              <w:jc w:val="center"/>
              <w:rPr>
                <w:rFonts w:hint="eastAsia" w:ascii="Times New Roman" w:hAnsi="Times New Roman" w:eastAsia="宋体" w:cs="Times New Roman"/>
                <w:color w:val="auto"/>
                <w:sz w:val="22"/>
                <w:u w:val="none"/>
                <w:lang w:val="en-US" w:eastAsia="zh-CN"/>
              </w:rPr>
            </w:pPr>
            <w:r>
              <w:rPr>
                <w:rFonts w:hint="eastAsia" w:ascii="Times New Roman" w:hAnsi="Times New Roman" w:eastAsia="宋体" w:cs="Times New Roman"/>
                <w:color w:val="auto"/>
                <w:sz w:val="22"/>
                <w:u w:val="none"/>
                <w:lang w:val="en-US" w:eastAsia="zh-CN"/>
              </w:rPr>
              <w:t>0</w:t>
            </w:r>
          </w:p>
        </w:tc>
        <w:tc>
          <w:tcPr>
            <w:tcW w:w="1379" w:type="dxa"/>
            <w:vAlign w:val="center"/>
          </w:tcPr>
          <w:p w14:paraId="215C7B35">
            <w:pPr>
              <w:jc w:val="center"/>
              <w:rPr>
                <w:rFonts w:ascii="Times New Roman" w:hAnsi="Times New Roman" w:eastAsia="宋体" w:cs="Times New Roman"/>
                <w:color w:val="auto"/>
                <w:sz w:val="22"/>
                <w:u w:val="none"/>
              </w:rPr>
            </w:pPr>
          </w:p>
        </w:tc>
        <w:tc>
          <w:tcPr>
            <w:tcW w:w="1626" w:type="dxa"/>
            <w:vAlign w:val="center"/>
          </w:tcPr>
          <w:p w14:paraId="73EF5A19">
            <w:pPr>
              <w:jc w:val="center"/>
              <w:rPr>
                <w:rFonts w:hint="default" w:ascii="Times New Roman" w:hAnsi="Times New Roman" w:eastAsia="宋体" w:cs="Times New Roman"/>
                <w:color w:val="auto"/>
                <w:sz w:val="22"/>
                <w:u w:val="none"/>
                <w:lang w:val="en-US" w:eastAsia="zh-CN"/>
              </w:rPr>
            </w:pPr>
            <w:r>
              <w:rPr>
                <w:rFonts w:hint="eastAsia" w:ascii="Times New Roman" w:hAnsi="Times New Roman" w:eastAsia="宋体" w:cs="Times New Roman"/>
                <w:color w:val="auto"/>
                <w:sz w:val="22"/>
                <w:u w:val="none"/>
                <w:lang w:val="en-US" w:eastAsia="zh-CN"/>
              </w:rPr>
              <w:t>4.728</w:t>
            </w:r>
          </w:p>
        </w:tc>
        <w:tc>
          <w:tcPr>
            <w:tcW w:w="1399" w:type="dxa"/>
            <w:vAlign w:val="center"/>
          </w:tcPr>
          <w:p w14:paraId="4060539D">
            <w:pPr>
              <w:jc w:val="center"/>
              <w:rPr>
                <w:rFonts w:hint="eastAsia" w:ascii="Times New Roman" w:hAnsi="Times New Roman" w:eastAsia="宋体" w:cs="Times New Roman"/>
                <w:color w:val="auto"/>
                <w:sz w:val="22"/>
                <w:u w:val="none"/>
                <w:lang w:val="en-US" w:eastAsia="zh-CN"/>
              </w:rPr>
            </w:pPr>
            <w:r>
              <w:rPr>
                <w:rFonts w:hint="eastAsia" w:ascii="Times New Roman" w:hAnsi="Times New Roman" w:eastAsia="宋体" w:cs="Times New Roman"/>
                <w:color w:val="auto"/>
                <w:sz w:val="22"/>
                <w:u w:val="none"/>
                <w:lang w:val="en-US" w:eastAsia="zh-CN"/>
              </w:rPr>
              <w:t>0</w:t>
            </w:r>
          </w:p>
        </w:tc>
      </w:tr>
      <w:tr w14:paraId="15074A3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162" w:type="dxa"/>
            <w:vMerge w:val="continue"/>
            <w:vAlign w:val="center"/>
          </w:tcPr>
          <w:p w14:paraId="72BE775B">
            <w:pPr>
              <w:jc w:val="center"/>
              <w:rPr>
                <w:rFonts w:ascii="Times New Roman" w:hAnsi="Times New Roman" w:eastAsia="宋体" w:cs="Times New Roman"/>
                <w:color w:val="auto"/>
                <w:sz w:val="22"/>
                <w:u w:val="none"/>
              </w:rPr>
            </w:pPr>
          </w:p>
        </w:tc>
        <w:tc>
          <w:tcPr>
            <w:tcW w:w="2439" w:type="dxa"/>
            <w:shd w:val="clear" w:color="auto" w:fill="auto"/>
            <w:vAlign w:val="center"/>
          </w:tcPr>
          <w:p w14:paraId="0FF5D3A0">
            <w:pPr>
              <w:jc w:val="center"/>
              <w:rPr>
                <w:rFonts w:hint="default" w:ascii="Times New Roman" w:hAnsi="Times New Roman" w:eastAsia="宋体" w:cs="Times New Roman"/>
                <w:color w:val="auto"/>
                <w:kern w:val="2"/>
                <w:sz w:val="22"/>
                <w:szCs w:val="24"/>
                <w:u w:val="none"/>
                <w:lang w:val="en-US" w:eastAsia="zh-CN" w:bidi="ar-SA"/>
              </w:rPr>
            </w:pPr>
            <w:r>
              <w:rPr>
                <w:rFonts w:hint="eastAsia" w:ascii="Times New Roman" w:hAnsi="Times New Roman" w:eastAsia="宋体" w:cs="Times New Roman"/>
                <w:color w:val="auto"/>
                <w:sz w:val="22"/>
                <w:szCs w:val="24"/>
                <w:u w:val="none"/>
                <w:lang w:val="en-US" w:eastAsia="zh-CN"/>
              </w:rPr>
              <w:t>化学需氧量</w:t>
            </w:r>
          </w:p>
        </w:tc>
        <w:tc>
          <w:tcPr>
            <w:tcW w:w="1530" w:type="dxa"/>
            <w:shd w:val="clear" w:color="auto" w:fill="auto"/>
            <w:vAlign w:val="center"/>
          </w:tcPr>
          <w:p w14:paraId="64C45473">
            <w:pPr>
              <w:jc w:val="center"/>
              <w:rPr>
                <w:rFonts w:hint="default" w:ascii="Times New Roman" w:hAnsi="Times New Roman" w:eastAsia="宋体" w:cs="Times New Roman"/>
                <w:color w:val="auto"/>
                <w:kern w:val="2"/>
                <w:sz w:val="22"/>
                <w:szCs w:val="24"/>
                <w:u w:val="none"/>
                <w:lang w:val="en-US" w:eastAsia="zh-CN" w:bidi="ar-SA"/>
              </w:rPr>
            </w:pPr>
            <w:r>
              <w:rPr>
                <w:rFonts w:hint="eastAsia" w:ascii="Times New Roman" w:hAnsi="Times New Roman" w:eastAsia="宋体" w:cs="Times New Roman"/>
                <w:color w:val="auto"/>
                <w:sz w:val="22"/>
                <w:szCs w:val="24"/>
                <w:u w:val="none"/>
                <w:lang w:val="en-US" w:eastAsia="zh-CN"/>
              </w:rPr>
              <w:t>5.642</w:t>
            </w:r>
          </w:p>
        </w:tc>
        <w:tc>
          <w:tcPr>
            <w:tcW w:w="1276" w:type="dxa"/>
            <w:vAlign w:val="center"/>
          </w:tcPr>
          <w:p w14:paraId="5AE8A9E0">
            <w:pPr>
              <w:jc w:val="center"/>
              <w:rPr>
                <w:rFonts w:hint="default" w:ascii="Times New Roman" w:hAnsi="Times New Roman" w:eastAsia="等线" w:cs="Times New Roman"/>
                <w:color w:val="auto"/>
                <w:sz w:val="22"/>
                <w:u w:val="none"/>
                <w:lang w:val="en-US" w:eastAsia="zh-CN"/>
              </w:rPr>
            </w:pPr>
            <w:r>
              <w:rPr>
                <w:rFonts w:hint="eastAsia" w:ascii="Times New Roman" w:hAnsi="Times New Roman" w:eastAsia="等线" w:cs="Times New Roman"/>
                <w:color w:val="auto"/>
                <w:sz w:val="22"/>
                <w:u w:val="none"/>
                <w:lang w:val="en-US" w:eastAsia="zh-CN"/>
              </w:rPr>
              <w:t>12</w:t>
            </w:r>
          </w:p>
        </w:tc>
        <w:tc>
          <w:tcPr>
            <w:tcW w:w="1418" w:type="dxa"/>
            <w:vAlign w:val="center"/>
          </w:tcPr>
          <w:p w14:paraId="2AC9D802">
            <w:pPr>
              <w:jc w:val="center"/>
              <w:rPr>
                <w:rFonts w:ascii="Times New Roman" w:hAnsi="Times New Roman" w:eastAsia="宋体" w:cs="Times New Roman"/>
                <w:color w:val="auto"/>
                <w:sz w:val="22"/>
                <w:u w:val="none"/>
              </w:rPr>
            </w:pPr>
          </w:p>
        </w:tc>
        <w:tc>
          <w:tcPr>
            <w:tcW w:w="1559" w:type="dxa"/>
            <w:vAlign w:val="center"/>
          </w:tcPr>
          <w:p w14:paraId="1C709234">
            <w:pPr>
              <w:jc w:val="center"/>
              <w:rPr>
                <w:rFonts w:hint="default" w:ascii="Times New Roman" w:hAnsi="Times New Roman" w:eastAsia="宋体" w:cs="Times New Roman"/>
                <w:color w:val="auto"/>
                <w:sz w:val="22"/>
                <w:u w:val="none"/>
                <w:lang w:val="en-US" w:eastAsia="zh-CN"/>
              </w:rPr>
            </w:pPr>
            <w:r>
              <w:rPr>
                <w:rFonts w:hint="eastAsia" w:ascii="Times New Roman" w:hAnsi="Times New Roman" w:eastAsia="宋体" w:cs="Times New Roman"/>
                <w:color w:val="auto"/>
                <w:sz w:val="22"/>
                <w:u w:val="none"/>
                <w:lang w:val="en-US" w:eastAsia="zh-CN"/>
              </w:rPr>
              <w:t>39.06</w:t>
            </w:r>
          </w:p>
        </w:tc>
        <w:tc>
          <w:tcPr>
            <w:tcW w:w="1379" w:type="dxa"/>
            <w:vAlign w:val="center"/>
          </w:tcPr>
          <w:p w14:paraId="25A5A7B0">
            <w:pPr>
              <w:jc w:val="center"/>
              <w:rPr>
                <w:rFonts w:ascii="Times New Roman" w:hAnsi="Times New Roman" w:eastAsia="宋体" w:cs="Times New Roman"/>
                <w:color w:val="auto"/>
                <w:sz w:val="22"/>
                <w:u w:val="none"/>
              </w:rPr>
            </w:pPr>
          </w:p>
        </w:tc>
        <w:tc>
          <w:tcPr>
            <w:tcW w:w="1626" w:type="dxa"/>
            <w:vAlign w:val="center"/>
          </w:tcPr>
          <w:p w14:paraId="5F1ED9C3">
            <w:pPr>
              <w:jc w:val="center"/>
              <w:rPr>
                <w:rFonts w:hint="default" w:ascii="Times New Roman" w:hAnsi="Times New Roman" w:eastAsia="宋体" w:cs="Times New Roman"/>
                <w:color w:val="auto"/>
                <w:sz w:val="22"/>
                <w:u w:val="none"/>
                <w:lang w:val="en-US" w:eastAsia="zh-CN"/>
              </w:rPr>
            </w:pPr>
            <w:r>
              <w:rPr>
                <w:rFonts w:hint="eastAsia" w:ascii="Times New Roman" w:hAnsi="Times New Roman" w:eastAsia="宋体" w:cs="Times New Roman"/>
                <w:color w:val="auto"/>
                <w:sz w:val="22"/>
                <w:u w:val="none"/>
                <w:lang w:val="en-US" w:eastAsia="zh-CN"/>
              </w:rPr>
              <w:t>44.702</w:t>
            </w:r>
          </w:p>
        </w:tc>
        <w:tc>
          <w:tcPr>
            <w:tcW w:w="1399" w:type="dxa"/>
            <w:vAlign w:val="center"/>
          </w:tcPr>
          <w:p w14:paraId="3D94EAFA">
            <w:pPr>
              <w:jc w:val="center"/>
              <w:rPr>
                <w:rFonts w:hint="default" w:ascii="Times New Roman" w:hAnsi="Times New Roman" w:eastAsia="宋体" w:cs="Times New Roman"/>
                <w:color w:val="auto"/>
                <w:sz w:val="22"/>
                <w:u w:val="none"/>
                <w:lang w:val="en-US" w:eastAsia="zh-CN"/>
              </w:rPr>
            </w:pPr>
            <w:r>
              <w:rPr>
                <w:rFonts w:hint="eastAsia" w:ascii="Times New Roman" w:hAnsi="Times New Roman" w:eastAsia="宋体" w:cs="Times New Roman"/>
                <w:color w:val="auto"/>
                <w:sz w:val="22"/>
                <w:u w:val="none"/>
                <w:lang w:val="en-US" w:eastAsia="zh-CN"/>
              </w:rPr>
              <w:t>+39.06</w:t>
            </w:r>
          </w:p>
        </w:tc>
      </w:tr>
      <w:tr w14:paraId="740EBD5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162" w:type="dxa"/>
            <w:vMerge w:val="continue"/>
            <w:vAlign w:val="center"/>
          </w:tcPr>
          <w:p w14:paraId="53B61DAE">
            <w:pPr>
              <w:jc w:val="center"/>
              <w:rPr>
                <w:rFonts w:ascii="Times New Roman" w:hAnsi="Times New Roman" w:eastAsia="宋体" w:cs="Times New Roman"/>
                <w:color w:val="auto"/>
                <w:sz w:val="22"/>
                <w:u w:val="none"/>
              </w:rPr>
            </w:pPr>
          </w:p>
        </w:tc>
        <w:tc>
          <w:tcPr>
            <w:tcW w:w="2439" w:type="dxa"/>
            <w:shd w:val="clear" w:color="auto" w:fill="auto"/>
            <w:vAlign w:val="center"/>
          </w:tcPr>
          <w:p w14:paraId="0C9D7AEC">
            <w:pPr>
              <w:jc w:val="center"/>
              <w:rPr>
                <w:rFonts w:hint="eastAsia" w:ascii="Times New Roman" w:hAnsi="Times New Roman" w:eastAsia="宋体" w:cs="Times New Roman"/>
                <w:color w:val="auto"/>
                <w:kern w:val="2"/>
                <w:sz w:val="22"/>
                <w:szCs w:val="24"/>
                <w:u w:val="none"/>
                <w:lang w:val="en-US" w:eastAsia="zh-CN" w:bidi="ar-SA"/>
              </w:rPr>
            </w:pPr>
            <w:r>
              <w:rPr>
                <w:rFonts w:hint="eastAsia" w:ascii="Times New Roman" w:hAnsi="Times New Roman" w:eastAsia="宋体" w:cs="Times New Roman"/>
                <w:color w:val="auto"/>
                <w:sz w:val="22"/>
                <w:szCs w:val="24"/>
                <w:u w:val="none"/>
                <w:lang w:val="en-US" w:eastAsia="zh-CN"/>
              </w:rPr>
              <w:t>总有机碳</w:t>
            </w:r>
          </w:p>
        </w:tc>
        <w:tc>
          <w:tcPr>
            <w:tcW w:w="1530" w:type="dxa"/>
            <w:shd w:val="clear" w:color="auto" w:fill="auto"/>
            <w:vAlign w:val="center"/>
          </w:tcPr>
          <w:p w14:paraId="108179FE">
            <w:pPr>
              <w:jc w:val="center"/>
              <w:rPr>
                <w:rFonts w:hint="default" w:ascii="Times New Roman" w:hAnsi="Times New Roman" w:eastAsia="宋体" w:cs="Times New Roman"/>
                <w:color w:val="auto"/>
                <w:kern w:val="2"/>
                <w:sz w:val="22"/>
                <w:szCs w:val="24"/>
                <w:u w:val="none"/>
                <w:lang w:val="en-US" w:eastAsia="zh-CN" w:bidi="ar-SA"/>
              </w:rPr>
            </w:pPr>
            <w:r>
              <w:rPr>
                <w:rFonts w:hint="eastAsia" w:ascii="Times New Roman" w:hAnsi="Times New Roman" w:eastAsia="宋体" w:cs="Times New Roman"/>
                <w:color w:val="auto"/>
                <w:sz w:val="22"/>
                <w:szCs w:val="24"/>
                <w:u w:val="none"/>
                <w:lang w:val="en-US" w:eastAsia="zh-CN"/>
              </w:rPr>
              <w:t>1.56</w:t>
            </w:r>
          </w:p>
        </w:tc>
        <w:tc>
          <w:tcPr>
            <w:tcW w:w="1276" w:type="dxa"/>
            <w:vAlign w:val="center"/>
          </w:tcPr>
          <w:p w14:paraId="5231B8F9">
            <w:pPr>
              <w:jc w:val="center"/>
              <w:rPr>
                <w:rFonts w:ascii="Times New Roman" w:hAnsi="Times New Roman" w:eastAsia="等线" w:cs="Times New Roman"/>
                <w:color w:val="auto"/>
                <w:sz w:val="22"/>
                <w:u w:val="none"/>
              </w:rPr>
            </w:pPr>
          </w:p>
        </w:tc>
        <w:tc>
          <w:tcPr>
            <w:tcW w:w="1418" w:type="dxa"/>
            <w:vAlign w:val="center"/>
          </w:tcPr>
          <w:p w14:paraId="58920F08">
            <w:pPr>
              <w:jc w:val="center"/>
              <w:rPr>
                <w:rFonts w:ascii="Times New Roman" w:hAnsi="Times New Roman" w:eastAsia="宋体" w:cs="Times New Roman"/>
                <w:color w:val="auto"/>
                <w:sz w:val="22"/>
                <w:u w:val="none"/>
              </w:rPr>
            </w:pPr>
          </w:p>
        </w:tc>
        <w:tc>
          <w:tcPr>
            <w:tcW w:w="1559" w:type="dxa"/>
            <w:vAlign w:val="center"/>
          </w:tcPr>
          <w:p w14:paraId="7657994B">
            <w:pPr>
              <w:jc w:val="center"/>
              <w:rPr>
                <w:rFonts w:hint="eastAsia" w:ascii="Times New Roman" w:hAnsi="Times New Roman" w:eastAsia="宋体" w:cs="Times New Roman"/>
                <w:color w:val="auto"/>
                <w:sz w:val="22"/>
                <w:u w:val="none"/>
                <w:lang w:val="en-US" w:eastAsia="zh-CN"/>
              </w:rPr>
            </w:pPr>
            <w:r>
              <w:rPr>
                <w:rFonts w:hint="eastAsia" w:ascii="Times New Roman" w:hAnsi="Times New Roman" w:eastAsia="宋体" w:cs="Times New Roman"/>
                <w:color w:val="auto"/>
                <w:sz w:val="22"/>
                <w:u w:val="none"/>
                <w:lang w:val="en-US" w:eastAsia="zh-CN"/>
              </w:rPr>
              <w:t>0</w:t>
            </w:r>
          </w:p>
        </w:tc>
        <w:tc>
          <w:tcPr>
            <w:tcW w:w="1379" w:type="dxa"/>
            <w:vAlign w:val="center"/>
          </w:tcPr>
          <w:p w14:paraId="19A0C7F6">
            <w:pPr>
              <w:jc w:val="center"/>
              <w:rPr>
                <w:rFonts w:ascii="Times New Roman" w:hAnsi="Times New Roman" w:eastAsia="宋体" w:cs="Times New Roman"/>
                <w:color w:val="auto"/>
                <w:sz w:val="22"/>
                <w:u w:val="none"/>
              </w:rPr>
            </w:pPr>
          </w:p>
        </w:tc>
        <w:tc>
          <w:tcPr>
            <w:tcW w:w="1626" w:type="dxa"/>
            <w:vAlign w:val="center"/>
          </w:tcPr>
          <w:p w14:paraId="4823E9A1">
            <w:pPr>
              <w:jc w:val="center"/>
              <w:rPr>
                <w:rFonts w:hint="default" w:ascii="Times New Roman" w:hAnsi="Times New Roman" w:eastAsia="宋体" w:cs="Times New Roman"/>
                <w:color w:val="auto"/>
                <w:sz w:val="22"/>
                <w:u w:val="none"/>
                <w:lang w:val="en-US" w:eastAsia="zh-CN"/>
              </w:rPr>
            </w:pPr>
            <w:r>
              <w:rPr>
                <w:rFonts w:hint="eastAsia" w:ascii="Times New Roman" w:hAnsi="Times New Roman" w:eastAsia="宋体" w:cs="Times New Roman"/>
                <w:color w:val="auto"/>
                <w:sz w:val="22"/>
                <w:u w:val="none"/>
                <w:lang w:val="en-US" w:eastAsia="zh-CN"/>
              </w:rPr>
              <w:t>1.56</w:t>
            </w:r>
          </w:p>
        </w:tc>
        <w:tc>
          <w:tcPr>
            <w:tcW w:w="1399" w:type="dxa"/>
            <w:vAlign w:val="center"/>
          </w:tcPr>
          <w:p w14:paraId="24C6A759">
            <w:pPr>
              <w:jc w:val="center"/>
              <w:rPr>
                <w:rFonts w:hint="eastAsia" w:ascii="Times New Roman" w:hAnsi="Times New Roman" w:eastAsia="宋体" w:cs="Times New Roman"/>
                <w:color w:val="auto"/>
                <w:sz w:val="22"/>
                <w:u w:val="none"/>
                <w:lang w:val="en-US" w:eastAsia="zh-CN"/>
              </w:rPr>
            </w:pPr>
            <w:r>
              <w:rPr>
                <w:rFonts w:hint="eastAsia" w:ascii="Times New Roman" w:hAnsi="Times New Roman" w:eastAsia="宋体" w:cs="Times New Roman"/>
                <w:color w:val="auto"/>
                <w:sz w:val="22"/>
                <w:u w:val="none"/>
                <w:lang w:val="en-US" w:eastAsia="zh-CN"/>
              </w:rPr>
              <w:t>0</w:t>
            </w:r>
          </w:p>
        </w:tc>
      </w:tr>
      <w:tr w14:paraId="0027001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162" w:type="dxa"/>
            <w:vMerge w:val="continue"/>
            <w:vAlign w:val="center"/>
          </w:tcPr>
          <w:p w14:paraId="7482EC20">
            <w:pPr>
              <w:jc w:val="center"/>
              <w:rPr>
                <w:rFonts w:ascii="Times New Roman" w:hAnsi="Times New Roman" w:eastAsia="宋体" w:cs="Times New Roman"/>
                <w:color w:val="auto"/>
                <w:sz w:val="22"/>
                <w:u w:val="none"/>
              </w:rPr>
            </w:pPr>
          </w:p>
        </w:tc>
        <w:tc>
          <w:tcPr>
            <w:tcW w:w="2439" w:type="dxa"/>
            <w:shd w:val="clear" w:color="auto" w:fill="auto"/>
            <w:vAlign w:val="center"/>
          </w:tcPr>
          <w:p w14:paraId="5DA97DEF">
            <w:pPr>
              <w:jc w:val="center"/>
              <w:rPr>
                <w:rFonts w:hint="default" w:ascii="Times New Roman" w:hAnsi="Times New Roman" w:eastAsia="宋体" w:cs="Times New Roman"/>
                <w:color w:val="auto"/>
                <w:kern w:val="2"/>
                <w:sz w:val="22"/>
                <w:szCs w:val="24"/>
                <w:u w:val="none"/>
                <w:lang w:val="en-US" w:eastAsia="zh-CN" w:bidi="ar-SA"/>
              </w:rPr>
            </w:pPr>
            <w:r>
              <w:rPr>
                <w:rFonts w:hint="eastAsia" w:ascii="Times New Roman" w:hAnsi="Times New Roman" w:eastAsia="宋体" w:cs="Times New Roman"/>
                <w:color w:val="auto"/>
                <w:sz w:val="22"/>
                <w:szCs w:val="24"/>
                <w:u w:val="none"/>
                <w:lang w:val="en-US" w:eastAsia="zh-CN"/>
              </w:rPr>
              <w:t>总锌</w:t>
            </w:r>
          </w:p>
        </w:tc>
        <w:tc>
          <w:tcPr>
            <w:tcW w:w="1530" w:type="dxa"/>
            <w:shd w:val="clear" w:color="auto" w:fill="auto"/>
            <w:vAlign w:val="center"/>
          </w:tcPr>
          <w:p w14:paraId="4A5132D5">
            <w:pPr>
              <w:jc w:val="center"/>
              <w:rPr>
                <w:rFonts w:hint="default" w:ascii="Times New Roman" w:hAnsi="Times New Roman" w:eastAsia="宋体" w:cs="Times New Roman"/>
                <w:color w:val="auto"/>
                <w:kern w:val="2"/>
                <w:sz w:val="22"/>
                <w:szCs w:val="24"/>
                <w:u w:val="none"/>
                <w:lang w:val="en-US" w:eastAsia="zh-CN" w:bidi="ar-SA"/>
              </w:rPr>
            </w:pPr>
            <w:r>
              <w:rPr>
                <w:rFonts w:hint="eastAsia" w:ascii="Times New Roman" w:hAnsi="Times New Roman" w:eastAsia="宋体" w:cs="Times New Roman"/>
                <w:color w:val="auto"/>
                <w:sz w:val="22"/>
                <w:szCs w:val="24"/>
                <w:u w:val="none"/>
                <w:lang w:val="en-US" w:eastAsia="zh-CN"/>
              </w:rPr>
              <w:t>0.007</w:t>
            </w:r>
          </w:p>
        </w:tc>
        <w:tc>
          <w:tcPr>
            <w:tcW w:w="1276" w:type="dxa"/>
            <w:vAlign w:val="center"/>
          </w:tcPr>
          <w:p w14:paraId="2817FCA2">
            <w:pPr>
              <w:jc w:val="center"/>
              <w:rPr>
                <w:rFonts w:ascii="Times New Roman" w:hAnsi="Times New Roman" w:eastAsia="等线" w:cs="Times New Roman"/>
                <w:color w:val="auto"/>
                <w:sz w:val="22"/>
                <w:u w:val="none"/>
              </w:rPr>
            </w:pPr>
          </w:p>
        </w:tc>
        <w:tc>
          <w:tcPr>
            <w:tcW w:w="1418" w:type="dxa"/>
            <w:vAlign w:val="center"/>
          </w:tcPr>
          <w:p w14:paraId="3B4391DE">
            <w:pPr>
              <w:jc w:val="center"/>
              <w:rPr>
                <w:rFonts w:ascii="Times New Roman" w:hAnsi="Times New Roman" w:eastAsia="宋体" w:cs="Times New Roman"/>
                <w:color w:val="auto"/>
                <w:sz w:val="22"/>
                <w:u w:val="none"/>
              </w:rPr>
            </w:pPr>
          </w:p>
        </w:tc>
        <w:tc>
          <w:tcPr>
            <w:tcW w:w="1559" w:type="dxa"/>
            <w:vAlign w:val="center"/>
          </w:tcPr>
          <w:p w14:paraId="2A3FC246">
            <w:pPr>
              <w:jc w:val="center"/>
              <w:rPr>
                <w:rFonts w:hint="eastAsia" w:ascii="Times New Roman" w:hAnsi="Times New Roman" w:eastAsia="宋体" w:cs="Times New Roman"/>
                <w:color w:val="auto"/>
                <w:sz w:val="22"/>
                <w:u w:val="none"/>
                <w:lang w:val="en-US" w:eastAsia="zh-CN"/>
              </w:rPr>
            </w:pPr>
            <w:r>
              <w:rPr>
                <w:rFonts w:hint="eastAsia" w:ascii="Times New Roman" w:hAnsi="Times New Roman" w:eastAsia="宋体" w:cs="Times New Roman"/>
                <w:color w:val="auto"/>
                <w:sz w:val="22"/>
                <w:u w:val="none"/>
                <w:lang w:val="en-US" w:eastAsia="zh-CN"/>
              </w:rPr>
              <w:t>0</w:t>
            </w:r>
          </w:p>
        </w:tc>
        <w:tc>
          <w:tcPr>
            <w:tcW w:w="1379" w:type="dxa"/>
            <w:vAlign w:val="center"/>
          </w:tcPr>
          <w:p w14:paraId="6B0CBBFD">
            <w:pPr>
              <w:jc w:val="center"/>
              <w:rPr>
                <w:rFonts w:ascii="Times New Roman" w:hAnsi="Times New Roman" w:eastAsia="宋体" w:cs="Times New Roman"/>
                <w:color w:val="auto"/>
                <w:sz w:val="22"/>
                <w:u w:val="none"/>
              </w:rPr>
            </w:pPr>
          </w:p>
        </w:tc>
        <w:tc>
          <w:tcPr>
            <w:tcW w:w="1626" w:type="dxa"/>
            <w:vAlign w:val="center"/>
          </w:tcPr>
          <w:p w14:paraId="6294BA77">
            <w:pPr>
              <w:jc w:val="center"/>
              <w:rPr>
                <w:rFonts w:hint="default" w:ascii="Times New Roman" w:hAnsi="Times New Roman" w:eastAsia="宋体" w:cs="Times New Roman"/>
                <w:color w:val="auto"/>
                <w:sz w:val="22"/>
                <w:u w:val="none"/>
                <w:lang w:val="en-US" w:eastAsia="zh-CN"/>
              </w:rPr>
            </w:pPr>
            <w:r>
              <w:rPr>
                <w:rFonts w:hint="eastAsia" w:ascii="Times New Roman" w:hAnsi="Times New Roman" w:eastAsia="宋体" w:cs="Times New Roman"/>
                <w:color w:val="auto"/>
                <w:sz w:val="22"/>
                <w:u w:val="none"/>
                <w:lang w:val="en-US" w:eastAsia="zh-CN"/>
              </w:rPr>
              <w:t>0.007</w:t>
            </w:r>
          </w:p>
        </w:tc>
        <w:tc>
          <w:tcPr>
            <w:tcW w:w="1399" w:type="dxa"/>
            <w:vAlign w:val="center"/>
          </w:tcPr>
          <w:p w14:paraId="7EC2543F">
            <w:pPr>
              <w:jc w:val="center"/>
              <w:rPr>
                <w:rFonts w:hint="eastAsia" w:ascii="Times New Roman" w:hAnsi="Times New Roman" w:eastAsia="宋体" w:cs="Times New Roman"/>
                <w:color w:val="auto"/>
                <w:sz w:val="22"/>
                <w:u w:val="none"/>
                <w:lang w:val="en-US" w:eastAsia="zh-CN"/>
              </w:rPr>
            </w:pPr>
            <w:r>
              <w:rPr>
                <w:rFonts w:hint="eastAsia" w:ascii="Times New Roman" w:hAnsi="Times New Roman" w:eastAsia="宋体" w:cs="Times New Roman"/>
                <w:color w:val="auto"/>
                <w:sz w:val="22"/>
                <w:u w:val="none"/>
                <w:lang w:val="en-US" w:eastAsia="zh-CN"/>
              </w:rPr>
              <w:t>0</w:t>
            </w:r>
          </w:p>
        </w:tc>
      </w:tr>
      <w:tr w14:paraId="512E945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162" w:type="dxa"/>
            <w:vMerge w:val="continue"/>
            <w:vAlign w:val="center"/>
          </w:tcPr>
          <w:p w14:paraId="733BD22A">
            <w:pPr>
              <w:jc w:val="center"/>
              <w:rPr>
                <w:rFonts w:ascii="Times New Roman" w:hAnsi="Times New Roman" w:eastAsia="宋体" w:cs="Times New Roman"/>
                <w:color w:val="auto"/>
                <w:sz w:val="22"/>
                <w:u w:val="none"/>
              </w:rPr>
            </w:pPr>
          </w:p>
        </w:tc>
        <w:tc>
          <w:tcPr>
            <w:tcW w:w="2439" w:type="dxa"/>
            <w:shd w:val="clear" w:color="auto" w:fill="auto"/>
            <w:vAlign w:val="center"/>
          </w:tcPr>
          <w:p w14:paraId="214B5A75">
            <w:pPr>
              <w:jc w:val="center"/>
              <w:rPr>
                <w:rFonts w:hint="eastAsia" w:ascii="Times New Roman" w:hAnsi="Times New Roman" w:eastAsia="宋体" w:cs="Times New Roman"/>
                <w:color w:val="auto"/>
                <w:kern w:val="2"/>
                <w:sz w:val="22"/>
                <w:szCs w:val="24"/>
                <w:u w:val="none"/>
                <w:lang w:val="en-US" w:eastAsia="zh-CN" w:bidi="ar-SA"/>
              </w:rPr>
            </w:pPr>
            <w:r>
              <w:rPr>
                <w:rFonts w:hint="eastAsia" w:ascii="Times New Roman" w:hAnsi="Times New Roman" w:eastAsia="宋体" w:cs="Times New Roman"/>
                <w:color w:val="auto"/>
                <w:sz w:val="22"/>
                <w:szCs w:val="24"/>
                <w:u w:val="none"/>
                <w:lang w:val="en-US" w:eastAsia="zh-CN"/>
              </w:rPr>
              <w:t>总氮</w:t>
            </w:r>
          </w:p>
        </w:tc>
        <w:tc>
          <w:tcPr>
            <w:tcW w:w="1530" w:type="dxa"/>
            <w:shd w:val="clear" w:color="auto" w:fill="auto"/>
            <w:vAlign w:val="center"/>
          </w:tcPr>
          <w:p w14:paraId="7DA7F32C">
            <w:pPr>
              <w:jc w:val="center"/>
              <w:rPr>
                <w:rFonts w:hint="default" w:ascii="Times New Roman" w:hAnsi="Times New Roman" w:eastAsia="宋体" w:cs="Times New Roman"/>
                <w:color w:val="auto"/>
                <w:kern w:val="2"/>
                <w:sz w:val="22"/>
                <w:szCs w:val="24"/>
                <w:u w:val="none"/>
                <w:lang w:val="en-US" w:eastAsia="zh-CN" w:bidi="ar-SA"/>
              </w:rPr>
            </w:pPr>
            <w:r>
              <w:rPr>
                <w:rFonts w:hint="eastAsia" w:ascii="Times New Roman" w:hAnsi="Times New Roman" w:eastAsia="宋体" w:cs="Times New Roman"/>
                <w:color w:val="auto"/>
                <w:sz w:val="22"/>
                <w:szCs w:val="24"/>
                <w:u w:val="none"/>
                <w:lang w:val="en-US" w:eastAsia="zh-CN"/>
              </w:rPr>
              <w:t>0.81</w:t>
            </w:r>
          </w:p>
        </w:tc>
        <w:tc>
          <w:tcPr>
            <w:tcW w:w="1276" w:type="dxa"/>
            <w:vAlign w:val="center"/>
          </w:tcPr>
          <w:p w14:paraId="4052EF48">
            <w:pPr>
              <w:jc w:val="center"/>
              <w:rPr>
                <w:rFonts w:hint="default" w:ascii="Times New Roman" w:hAnsi="Times New Roman" w:eastAsia="等线" w:cs="Times New Roman"/>
                <w:color w:val="auto"/>
                <w:sz w:val="22"/>
                <w:u w:val="none"/>
                <w:lang w:val="en-US" w:eastAsia="zh-CN"/>
              </w:rPr>
            </w:pPr>
            <w:r>
              <w:rPr>
                <w:rFonts w:hint="eastAsia" w:ascii="Times New Roman" w:hAnsi="Times New Roman" w:eastAsia="等线" w:cs="Times New Roman"/>
                <w:color w:val="auto"/>
                <w:sz w:val="22"/>
                <w:u w:val="none"/>
                <w:lang w:val="en-US" w:eastAsia="zh-CN"/>
              </w:rPr>
              <w:t>19.2</w:t>
            </w:r>
          </w:p>
        </w:tc>
        <w:tc>
          <w:tcPr>
            <w:tcW w:w="1418" w:type="dxa"/>
            <w:vAlign w:val="center"/>
          </w:tcPr>
          <w:p w14:paraId="372468EB">
            <w:pPr>
              <w:jc w:val="center"/>
              <w:rPr>
                <w:rFonts w:ascii="Times New Roman" w:hAnsi="Times New Roman" w:eastAsia="宋体" w:cs="Times New Roman"/>
                <w:color w:val="auto"/>
                <w:sz w:val="22"/>
                <w:u w:val="none"/>
              </w:rPr>
            </w:pPr>
          </w:p>
        </w:tc>
        <w:tc>
          <w:tcPr>
            <w:tcW w:w="1559" w:type="dxa"/>
            <w:vAlign w:val="center"/>
          </w:tcPr>
          <w:p w14:paraId="106E7F10">
            <w:pPr>
              <w:jc w:val="center"/>
              <w:rPr>
                <w:rFonts w:hint="default" w:ascii="Times New Roman" w:hAnsi="Times New Roman" w:eastAsia="等线" w:cs="Times New Roman"/>
                <w:color w:val="auto"/>
                <w:sz w:val="22"/>
                <w:u w:val="none"/>
                <w:lang w:val="en-US" w:eastAsia="zh-CN"/>
              </w:rPr>
            </w:pPr>
            <w:r>
              <w:rPr>
                <w:rFonts w:hint="eastAsia" w:ascii="Times New Roman" w:hAnsi="Times New Roman" w:eastAsia="等线" w:cs="Times New Roman"/>
                <w:color w:val="auto"/>
                <w:sz w:val="22"/>
                <w:u w:val="none"/>
                <w:lang w:val="en-US" w:eastAsia="zh-CN"/>
              </w:rPr>
              <w:t>2.72</w:t>
            </w:r>
          </w:p>
        </w:tc>
        <w:tc>
          <w:tcPr>
            <w:tcW w:w="1379" w:type="dxa"/>
            <w:vAlign w:val="center"/>
          </w:tcPr>
          <w:p w14:paraId="60033321">
            <w:pPr>
              <w:jc w:val="center"/>
              <w:rPr>
                <w:rFonts w:ascii="Times New Roman" w:hAnsi="Times New Roman" w:eastAsia="宋体" w:cs="Times New Roman"/>
                <w:color w:val="auto"/>
                <w:sz w:val="22"/>
                <w:u w:val="none"/>
              </w:rPr>
            </w:pPr>
          </w:p>
        </w:tc>
        <w:tc>
          <w:tcPr>
            <w:tcW w:w="1626" w:type="dxa"/>
            <w:vAlign w:val="center"/>
          </w:tcPr>
          <w:p w14:paraId="17EF82EC">
            <w:pPr>
              <w:jc w:val="center"/>
              <w:rPr>
                <w:rFonts w:hint="default" w:ascii="Times New Roman" w:hAnsi="Times New Roman" w:eastAsia="等线" w:cs="Times New Roman"/>
                <w:color w:val="auto"/>
                <w:sz w:val="22"/>
                <w:u w:val="none"/>
                <w:lang w:val="en-US" w:eastAsia="zh-CN"/>
              </w:rPr>
            </w:pPr>
            <w:r>
              <w:rPr>
                <w:rFonts w:hint="eastAsia" w:ascii="Times New Roman" w:hAnsi="Times New Roman" w:eastAsia="等线" w:cs="Times New Roman"/>
                <w:color w:val="auto"/>
                <w:sz w:val="22"/>
                <w:u w:val="none"/>
                <w:lang w:val="en-US" w:eastAsia="zh-CN"/>
              </w:rPr>
              <w:t>3.53</w:t>
            </w:r>
          </w:p>
        </w:tc>
        <w:tc>
          <w:tcPr>
            <w:tcW w:w="1399" w:type="dxa"/>
            <w:vAlign w:val="center"/>
          </w:tcPr>
          <w:p w14:paraId="732964A5">
            <w:pPr>
              <w:jc w:val="center"/>
              <w:rPr>
                <w:rFonts w:hint="default" w:ascii="Times New Roman" w:hAnsi="Times New Roman" w:eastAsia="等线" w:cs="Times New Roman"/>
                <w:color w:val="auto"/>
                <w:sz w:val="22"/>
                <w:u w:val="none"/>
                <w:lang w:val="en-US" w:eastAsia="zh-CN"/>
              </w:rPr>
            </w:pPr>
            <w:r>
              <w:rPr>
                <w:rFonts w:hint="eastAsia" w:ascii="Times New Roman" w:hAnsi="Times New Roman" w:eastAsia="等线" w:cs="Times New Roman"/>
                <w:color w:val="auto"/>
                <w:sz w:val="22"/>
                <w:u w:val="none"/>
                <w:lang w:val="en-US" w:eastAsia="zh-CN"/>
              </w:rPr>
              <w:t>+2.72</w:t>
            </w:r>
          </w:p>
        </w:tc>
      </w:tr>
      <w:tr w14:paraId="4580A44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162" w:type="dxa"/>
            <w:vMerge w:val="continue"/>
            <w:vAlign w:val="center"/>
          </w:tcPr>
          <w:p w14:paraId="1F009896">
            <w:pPr>
              <w:jc w:val="center"/>
              <w:rPr>
                <w:rFonts w:ascii="Times New Roman" w:hAnsi="Times New Roman" w:eastAsia="宋体" w:cs="Times New Roman"/>
                <w:color w:val="auto"/>
                <w:sz w:val="22"/>
                <w:u w:val="none"/>
              </w:rPr>
            </w:pPr>
          </w:p>
        </w:tc>
        <w:tc>
          <w:tcPr>
            <w:tcW w:w="2439" w:type="dxa"/>
            <w:shd w:val="clear" w:color="auto" w:fill="auto"/>
            <w:vAlign w:val="center"/>
          </w:tcPr>
          <w:p w14:paraId="70D4146D">
            <w:pPr>
              <w:jc w:val="center"/>
              <w:rPr>
                <w:rFonts w:hint="eastAsia" w:ascii="Times New Roman" w:hAnsi="Times New Roman" w:eastAsia="宋体" w:cs="Times New Roman"/>
                <w:color w:val="auto"/>
                <w:kern w:val="2"/>
                <w:sz w:val="22"/>
                <w:szCs w:val="24"/>
                <w:u w:val="none"/>
                <w:lang w:val="en-US" w:eastAsia="zh-CN" w:bidi="ar-SA"/>
              </w:rPr>
            </w:pPr>
            <w:r>
              <w:rPr>
                <w:rFonts w:hint="eastAsia" w:ascii="Times New Roman" w:hAnsi="Times New Roman" w:eastAsia="宋体" w:cs="Times New Roman"/>
                <w:color w:val="auto"/>
                <w:sz w:val="22"/>
                <w:szCs w:val="24"/>
                <w:u w:val="none"/>
                <w:lang w:val="en-US" w:eastAsia="zh-CN"/>
              </w:rPr>
              <w:t>氨氮</w:t>
            </w:r>
          </w:p>
        </w:tc>
        <w:tc>
          <w:tcPr>
            <w:tcW w:w="1530" w:type="dxa"/>
            <w:shd w:val="clear" w:color="auto" w:fill="auto"/>
            <w:vAlign w:val="center"/>
          </w:tcPr>
          <w:p w14:paraId="3C92B020">
            <w:pPr>
              <w:jc w:val="center"/>
              <w:rPr>
                <w:rFonts w:hint="default" w:ascii="Times New Roman" w:hAnsi="Times New Roman" w:eastAsia="宋体" w:cs="Times New Roman"/>
                <w:color w:val="auto"/>
                <w:kern w:val="2"/>
                <w:sz w:val="22"/>
                <w:szCs w:val="24"/>
                <w:u w:val="none"/>
                <w:lang w:val="en-US" w:eastAsia="zh-CN" w:bidi="ar-SA"/>
              </w:rPr>
            </w:pPr>
            <w:r>
              <w:rPr>
                <w:rFonts w:hint="eastAsia" w:ascii="Times New Roman" w:hAnsi="Times New Roman" w:eastAsia="宋体" w:cs="Times New Roman"/>
                <w:color w:val="auto"/>
                <w:sz w:val="22"/>
                <w:szCs w:val="24"/>
                <w:u w:val="none"/>
                <w:lang w:val="en-US" w:eastAsia="zh-CN"/>
              </w:rPr>
              <w:t>0.334</w:t>
            </w:r>
          </w:p>
        </w:tc>
        <w:tc>
          <w:tcPr>
            <w:tcW w:w="1276" w:type="dxa"/>
            <w:vAlign w:val="center"/>
          </w:tcPr>
          <w:p w14:paraId="39778891">
            <w:pPr>
              <w:jc w:val="center"/>
              <w:rPr>
                <w:rFonts w:hint="default" w:ascii="Times New Roman" w:hAnsi="Times New Roman" w:eastAsia="等线" w:cs="Times New Roman"/>
                <w:color w:val="auto"/>
                <w:sz w:val="22"/>
                <w:u w:val="none"/>
                <w:lang w:val="en-US" w:eastAsia="zh-CN"/>
              </w:rPr>
            </w:pPr>
            <w:r>
              <w:rPr>
                <w:rFonts w:hint="eastAsia" w:ascii="Times New Roman" w:hAnsi="Times New Roman" w:eastAsia="等线" w:cs="Times New Roman"/>
                <w:color w:val="auto"/>
                <w:sz w:val="22"/>
                <w:u w:val="none"/>
                <w:lang w:val="en-US" w:eastAsia="zh-CN"/>
              </w:rPr>
              <w:t>1.39</w:t>
            </w:r>
          </w:p>
        </w:tc>
        <w:tc>
          <w:tcPr>
            <w:tcW w:w="1418" w:type="dxa"/>
            <w:vAlign w:val="center"/>
          </w:tcPr>
          <w:p w14:paraId="43F6BAB9">
            <w:pPr>
              <w:jc w:val="center"/>
              <w:rPr>
                <w:rFonts w:ascii="Times New Roman" w:hAnsi="Times New Roman" w:eastAsia="宋体" w:cs="Times New Roman"/>
                <w:color w:val="auto"/>
                <w:sz w:val="22"/>
                <w:u w:val="none"/>
              </w:rPr>
            </w:pPr>
          </w:p>
        </w:tc>
        <w:tc>
          <w:tcPr>
            <w:tcW w:w="1559" w:type="dxa"/>
            <w:vAlign w:val="center"/>
          </w:tcPr>
          <w:p w14:paraId="6F907C24">
            <w:pPr>
              <w:jc w:val="center"/>
              <w:rPr>
                <w:rFonts w:hint="default" w:ascii="Times New Roman" w:hAnsi="Times New Roman" w:eastAsia="等线" w:cs="Times New Roman"/>
                <w:color w:val="auto"/>
                <w:sz w:val="22"/>
                <w:u w:val="none"/>
                <w:lang w:val="en-US" w:eastAsia="zh-CN"/>
              </w:rPr>
            </w:pPr>
            <w:r>
              <w:rPr>
                <w:rFonts w:hint="eastAsia" w:ascii="Times New Roman" w:hAnsi="Times New Roman" w:eastAsia="等线" w:cs="Times New Roman"/>
                <w:color w:val="auto"/>
                <w:sz w:val="22"/>
                <w:u w:val="none"/>
                <w:lang w:val="en-US" w:eastAsia="zh-CN"/>
              </w:rPr>
              <w:t>1.78</w:t>
            </w:r>
          </w:p>
        </w:tc>
        <w:tc>
          <w:tcPr>
            <w:tcW w:w="1379" w:type="dxa"/>
            <w:vAlign w:val="center"/>
          </w:tcPr>
          <w:p w14:paraId="67BCB28B">
            <w:pPr>
              <w:jc w:val="center"/>
              <w:rPr>
                <w:rFonts w:ascii="Times New Roman" w:hAnsi="Times New Roman" w:eastAsia="宋体" w:cs="Times New Roman"/>
                <w:color w:val="auto"/>
                <w:sz w:val="22"/>
                <w:u w:val="none"/>
              </w:rPr>
            </w:pPr>
          </w:p>
        </w:tc>
        <w:tc>
          <w:tcPr>
            <w:tcW w:w="1626" w:type="dxa"/>
            <w:vAlign w:val="center"/>
          </w:tcPr>
          <w:p w14:paraId="021E6EE4">
            <w:pPr>
              <w:jc w:val="center"/>
              <w:rPr>
                <w:rFonts w:hint="default" w:ascii="Times New Roman" w:hAnsi="Times New Roman" w:eastAsia="等线" w:cs="Times New Roman"/>
                <w:color w:val="auto"/>
                <w:sz w:val="22"/>
                <w:u w:val="none"/>
                <w:lang w:val="en-US" w:eastAsia="zh-CN"/>
              </w:rPr>
            </w:pPr>
            <w:r>
              <w:rPr>
                <w:rFonts w:hint="eastAsia" w:ascii="Times New Roman" w:hAnsi="Times New Roman" w:eastAsia="等线" w:cs="Times New Roman"/>
                <w:color w:val="auto"/>
                <w:sz w:val="22"/>
                <w:u w:val="none"/>
                <w:lang w:val="en-US" w:eastAsia="zh-CN"/>
              </w:rPr>
              <w:t>2.114</w:t>
            </w:r>
          </w:p>
        </w:tc>
        <w:tc>
          <w:tcPr>
            <w:tcW w:w="1399" w:type="dxa"/>
            <w:vAlign w:val="center"/>
          </w:tcPr>
          <w:p w14:paraId="7E2E58D2">
            <w:pPr>
              <w:jc w:val="center"/>
              <w:rPr>
                <w:rFonts w:hint="default" w:ascii="Times New Roman" w:hAnsi="Times New Roman" w:eastAsia="等线" w:cs="Times New Roman"/>
                <w:color w:val="auto"/>
                <w:sz w:val="22"/>
                <w:u w:val="none"/>
                <w:lang w:val="en-US" w:eastAsia="zh-CN"/>
              </w:rPr>
            </w:pPr>
            <w:r>
              <w:rPr>
                <w:rFonts w:hint="eastAsia" w:ascii="Times New Roman" w:hAnsi="Times New Roman" w:eastAsia="等线" w:cs="Times New Roman"/>
                <w:color w:val="auto"/>
                <w:sz w:val="22"/>
                <w:u w:val="none"/>
                <w:lang w:val="en-US" w:eastAsia="zh-CN"/>
              </w:rPr>
              <w:t>+1.78</w:t>
            </w:r>
          </w:p>
        </w:tc>
      </w:tr>
      <w:tr w14:paraId="4282BAE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162" w:type="dxa"/>
            <w:vMerge w:val="continue"/>
            <w:vAlign w:val="center"/>
          </w:tcPr>
          <w:p w14:paraId="5851000A">
            <w:pPr>
              <w:jc w:val="center"/>
              <w:rPr>
                <w:rFonts w:ascii="Times New Roman" w:hAnsi="Times New Roman" w:eastAsia="宋体" w:cs="Times New Roman"/>
                <w:color w:val="auto"/>
                <w:sz w:val="22"/>
                <w:u w:val="none"/>
              </w:rPr>
            </w:pPr>
          </w:p>
        </w:tc>
        <w:tc>
          <w:tcPr>
            <w:tcW w:w="2439" w:type="dxa"/>
            <w:shd w:val="clear" w:color="auto" w:fill="auto"/>
            <w:vAlign w:val="center"/>
          </w:tcPr>
          <w:p w14:paraId="472227A0">
            <w:pPr>
              <w:jc w:val="center"/>
              <w:rPr>
                <w:rFonts w:hint="eastAsia" w:ascii="Times New Roman" w:hAnsi="Times New Roman" w:eastAsia="宋体" w:cs="Times New Roman"/>
                <w:color w:val="auto"/>
                <w:kern w:val="2"/>
                <w:sz w:val="22"/>
                <w:szCs w:val="24"/>
                <w:u w:val="none"/>
                <w:lang w:val="en-US" w:eastAsia="zh-CN" w:bidi="ar-SA"/>
              </w:rPr>
            </w:pPr>
            <w:r>
              <w:rPr>
                <w:rFonts w:hint="eastAsia" w:ascii="Times New Roman" w:hAnsi="Times New Roman" w:eastAsia="宋体" w:cs="Times New Roman"/>
                <w:color w:val="auto"/>
                <w:sz w:val="22"/>
                <w:szCs w:val="24"/>
                <w:u w:val="none"/>
                <w:lang w:val="en-US" w:eastAsia="zh-CN"/>
              </w:rPr>
              <w:t>总磷</w:t>
            </w:r>
          </w:p>
        </w:tc>
        <w:tc>
          <w:tcPr>
            <w:tcW w:w="1530" w:type="dxa"/>
            <w:shd w:val="clear" w:color="auto" w:fill="auto"/>
            <w:vAlign w:val="center"/>
          </w:tcPr>
          <w:p w14:paraId="4493317F">
            <w:pPr>
              <w:jc w:val="center"/>
              <w:rPr>
                <w:rFonts w:hint="default" w:ascii="Times New Roman" w:hAnsi="Times New Roman" w:eastAsia="宋体" w:cs="Times New Roman"/>
                <w:color w:val="auto"/>
                <w:kern w:val="2"/>
                <w:sz w:val="22"/>
                <w:szCs w:val="24"/>
                <w:u w:val="none"/>
                <w:lang w:val="en-US" w:eastAsia="zh-CN" w:bidi="ar-SA"/>
              </w:rPr>
            </w:pPr>
            <w:r>
              <w:rPr>
                <w:rFonts w:hint="eastAsia" w:ascii="Times New Roman" w:hAnsi="Times New Roman" w:eastAsia="宋体" w:cs="Times New Roman"/>
                <w:color w:val="auto"/>
                <w:sz w:val="22"/>
                <w:szCs w:val="24"/>
                <w:u w:val="none"/>
                <w:lang w:val="en-US" w:eastAsia="zh-CN"/>
              </w:rPr>
              <w:t>0.077</w:t>
            </w:r>
          </w:p>
        </w:tc>
        <w:tc>
          <w:tcPr>
            <w:tcW w:w="1276" w:type="dxa"/>
            <w:vAlign w:val="center"/>
          </w:tcPr>
          <w:p w14:paraId="768D4A5B">
            <w:pPr>
              <w:jc w:val="center"/>
              <w:rPr>
                <w:rFonts w:hint="default" w:ascii="Times New Roman" w:hAnsi="Times New Roman" w:eastAsia="等线" w:cs="Times New Roman"/>
                <w:color w:val="auto"/>
                <w:sz w:val="22"/>
                <w:u w:val="none"/>
                <w:lang w:val="en-US" w:eastAsia="zh-CN"/>
              </w:rPr>
            </w:pPr>
            <w:r>
              <w:rPr>
                <w:rFonts w:hint="eastAsia" w:ascii="Times New Roman" w:hAnsi="Times New Roman" w:eastAsia="等线" w:cs="Times New Roman"/>
                <w:color w:val="auto"/>
                <w:sz w:val="22"/>
                <w:u w:val="none"/>
                <w:lang w:val="en-US" w:eastAsia="zh-CN"/>
              </w:rPr>
              <w:t>1.92</w:t>
            </w:r>
          </w:p>
        </w:tc>
        <w:tc>
          <w:tcPr>
            <w:tcW w:w="1418" w:type="dxa"/>
            <w:vAlign w:val="center"/>
          </w:tcPr>
          <w:p w14:paraId="19006E41">
            <w:pPr>
              <w:jc w:val="center"/>
              <w:rPr>
                <w:rFonts w:ascii="Times New Roman" w:hAnsi="Times New Roman" w:eastAsia="宋体" w:cs="Times New Roman"/>
                <w:color w:val="auto"/>
                <w:sz w:val="22"/>
                <w:u w:val="none"/>
              </w:rPr>
            </w:pPr>
          </w:p>
        </w:tc>
        <w:tc>
          <w:tcPr>
            <w:tcW w:w="1559" w:type="dxa"/>
            <w:vAlign w:val="center"/>
          </w:tcPr>
          <w:p w14:paraId="5FA7B16D">
            <w:pPr>
              <w:jc w:val="center"/>
              <w:rPr>
                <w:rFonts w:hint="default" w:ascii="Times New Roman" w:hAnsi="Times New Roman" w:eastAsia="等线" w:cs="Times New Roman"/>
                <w:color w:val="auto"/>
                <w:sz w:val="22"/>
                <w:u w:val="none"/>
                <w:lang w:val="en-US" w:eastAsia="zh-CN"/>
              </w:rPr>
            </w:pPr>
            <w:r>
              <w:rPr>
                <w:rFonts w:hint="eastAsia" w:ascii="Times New Roman" w:hAnsi="Times New Roman" w:eastAsia="等线" w:cs="Times New Roman"/>
                <w:color w:val="auto"/>
                <w:sz w:val="22"/>
                <w:u w:val="none"/>
                <w:lang w:val="en-US" w:eastAsia="zh-CN"/>
              </w:rPr>
              <w:t>0.43</w:t>
            </w:r>
          </w:p>
        </w:tc>
        <w:tc>
          <w:tcPr>
            <w:tcW w:w="1379" w:type="dxa"/>
            <w:vAlign w:val="center"/>
          </w:tcPr>
          <w:p w14:paraId="15E0880C">
            <w:pPr>
              <w:jc w:val="center"/>
              <w:rPr>
                <w:rFonts w:ascii="Times New Roman" w:hAnsi="Times New Roman" w:eastAsia="宋体" w:cs="Times New Roman"/>
                <w:color w:val="auto"/>
                <w:sz w:val="22"/>
                <w:u w:val="none"/>
              </w:rPr>
            </w:pPr>
          </w:p>
        </w:tc>
        <w:tc>
          <w:tcPr>
            <w:tcW w:w="1626" w:type="dxa"/>
            <w:vAlign w:val="center"/>
          </w:tcPr>
          <w:p w14:paraId="66AFB917">
            <w:pPr>
              <w:jc w:val="center"/>
              <w:rPr>
                <w:rFonts w:hint="default" w:ascii="Times New Roman" w:hAnsi="Times New Roman" w:eastAsia="等线" w:cs="Times New Roman"/>
                <w:color w:val="auto"/>
                <w:sz w:val="22"/>
                <w:u w:val="none"/>
                <w:lang w:val="en-US" w:eastAsia="zh-CN"/>
              </w:rPr>
            </w:pPr>
            <w:r>
              <w:rPr>
                <w:rFonts w:hint="eastAsia" w:ascii="Times New Roman" w:hAnsi="Times New Roman" w:eastAsia="等线" w:cs="Times New Roman"/>
                <w:color w:val="auto"/>
                <w:sz w:val="22"/>
                <w:u w:val="none"/>
                <w:lang w:val="en-US" w:eastAsia="zh-CN"/>
              </w:rPr>
              <w:t>0.507</w:t>
            </w:r>
          </w:p>
        </w:tc>
        <w:tc>
          <w:tcPr>
            <w:tcW w:w="1399" w:type="dxa"/>
            <w:vAlign w:val="center"/>
          </w:tcPr>
          <w:p w14:paraId="0E9B9B26">
            <w:pPr>
              <w:jc w:val="center"/>
              <w:rPr>
                <w:rFonts w:hint="default" w:ascii="Times New Roman" w:hAnsi="Times New Roman" w:eastAsia="等线" w:cs="Times New Roman"/>
                <w:color w:val="auto"/>
                <w:sz w:val="22"/>
                <w:u w:val="none"/>
                <w:lang w:val="en-US" w:eastAsia="zh-CN"/>
              </w:rPr>
            </w:pPr>
            <w:r>
              <w:rPr>
                <w:rFonts w:hint="eastAsia" w:ascii="Times New Roman" w:hAnsi="Times New Roman" w:eastAsia="等线" w:cs="Times New Roman"/>
                <w:color w:val="auto"/>
                <w:sz w:val="22"/>
                <w:u w:val="none"/>
                <w:lang w:val="en-US" w:eastAsia="zh-CN"/>
              </w:rPr>
              <w:t>+0.43</w:t>
            </w:r>
          </w:p>
        </w:tc>
      </w:tr>
      <w:tr w14:paraId="3E5323F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5" w:hRule="atLeast"/>
          <w:jc w:val="center"/>
        </w:trPr>
        <w:tc>
          <w:tcPr>
            <w:tcW w:w="1162" w:type="dxa"/>
            <w:vMerge w:val="restart"/>
            <w:vAlign w:val="center"/>
          </w:tcPr>
          <w:p w14:paraId="754701A8">
            <w:pPr>
              <w:jc w:val="center"/>
              <w:rPr>
                <w:rFonts w:ascii="Times New Roman" w:hAnsi="Times New Roman" w:eastAsia="宋体" w:cs="Times New Roman"/>
                <w:color w:val="auto"/>
                <w:sz w:val="22"/>
                <w:u w:val="none"/>
              </w:rPr>
            </w:pPr>
            <w:r>
              <w:rPr>
                <w:rFonts w:ascii="Times New Roman" w:hAnsi="Times New Roman" w:eastAsia="宋体" w:cs="Times New Roman"/>
                <w:color w:val="auto"/>
                <w:sz w:val="22"/>
                <w:u w:val="none"/>
              </w:rPr>
              <w:t>一般工业</w:t>
            </w:r>
          </w:p>
          <w:p w14:paraId="40177AF3">
            <w:pPr>
              <w:jc w:val="center"/>
              <w:rPr>
                <w:rFonts w:ascii="Times New Roman" w:hAnsi="Times New Roman" w:eastAsia="宋体" w:cs="Times New Roman"/>
                <w:color w:val="auto"/>
                <w:sz w:val="22"/>
                <w:u w:val="none"/>
              </w:rPr>
            </w:pPr>
            <w:r>
              <w:rPr>
                <w:rFonts w:ascii="Times New Roman" w:hAnsi="Times New Roman" w:eastAsia="宋体" w:cs="Times New Roman"/>
                <w:color w:val="auto"/>
                <w:sz w:val="22"/>
                <w:u w:val="none"/>
              </w:rPr>
              <w:t>固体废物</w:t>
            </w:r>
          </w:p>
        </w:tc>
        <w:tc>
          <w:tcPr>
            <w:tcW w:w="2439" w:type="dxa"/>
            <w:vAlign w:val="center"/>
          </w:tcPr>
          <w:p w14:paraId="5FD48BED">
            <w:pPr>
              <w:jc w:val="center"/>
              <w:rPr>
                <w:rFonts w:ascii="Times New Roman" w:hAnsi="Times New Roman" w:eastAsia="宋体" w:cs="Times New Roman"/>
                <w:color w:val="auto"/>
                <w:sz w:val="22"/>
                <w:u w:val="none"/>
              </w:rPr>
            </w:pPr>
            <w:r>
              <w:rPr>
                <w:rFonts w:hint="eastAsia" w:ascii="Times New Roman" w:hAnsi="Times New Roman" w:eastAsia="宋体" w:cs="Times New Roman"/>
                <w:color w:val="auto"/>
                <w:sz w:val="22"/>
                <w:u w:val="none"/>
              </w:rPr>
              <w:t>生活垃圾</w:t>
            </w:r>
          </w:p>
        </w:tc>
        <w:tc>
          <w:tcPr>
            <w:tcW w:w="1530" w:type="dxa"/>
            <w:vAlign w:val="center"/>
          </w:tcPr>
          <w:p w14:paraId="7808E028">
            <w:pPr>
              <w:jc w:val="center"/>
              <w:rPr>
                <w:rFonts w:hint="default" w:ascii="Times New Roman" w:hAnsi="Times New Roman" w:eastAsia="宋体" w:cs="Times New Roman"/>
                <w:color w:val="auto"/>
                <w:sz w:val="22"/>
                <w:u w:val="none"/>
                <w:lang w:val="en-US" w:eastAsia="zh-CN"/>
              </w:rPr>
            </w:pPr>
            <w:r>
              <w:rPr>
                <w:rFonts w:hint="eastAsia" w:ascii="Times New Roman" w:hAnsi="Times New Roman" w:eastAsia="宋体" w:cs="Times New Roman"/>
                <w:color w:val="auto"/>
                <w:sz w:val="22"/>
                <w:u w:val="none"/>
                <w:lang w:val="en-US" w:eastAsia="zh-CN"/>
              </w:rPr>
              <w:t>51.9</w:t>
            </w:r>
          </w:p>
        </w:tc>
        <w:tc>
          <w:tcPr>
            <w:tcW w:w="1276" w:type="dxa"/>
            <w:vAlign w:val="center"/>
          </w:tcPr>
          <w:p w14:paraId="078C4F4D">
            <w:pPr>
              <w:jc w:val="center"/>
              <w:rPr>
                <w:rFonts w:ascii="Times New Roman" w:hAnsi="Times New Roman" w:eastAsia="宋体" w:cs="Times New Roman"/>
                <w:color w:val="auto"/>
                <w:sz w:val="22"/>
                <w:u w:val="none"/>
              </w:rPr>
            </w:pPr>
          </w:p>
        </w:tc>
        <w:tc>
          <w:tcPr>
            <w:tcW w:w="1418" w:type="dxa"/>
            <w:vAlign w:val="center"/>
          </w:tcPr>
          <w:p w14:paraId="2CCAFEB0">
            <w:pPr>
              <w:jc w:val="center"/>
              <w:rPr>
                <w:rFonts w:ascii="Times New Roman" w:hAnsi="Times New Roman" w:eastAsia="宋体" w:cs="Times New Roman"/>
                <w:color w:val="auto"/>
                <w:sz w:val="22"/>
                <w:u w:val="none"/>
              </w:rPr>
            </w:pPr>
          </w:p>
        </w:tc>
        <w:tc>
          <w:tcPr>
            <w:tcW w:w="1559" w:type="dxa"/>
            <w:vAlign w:val="center"/>
          </w:tcPr>
          <w:p w14:paraId="029964E2">
            <w:pPr>
              <w:jc w:val="center"/>
              <w:rPr>
                <w:rFonts w:hint="eastAsia" w:ascii="Times New Roman" w:hAnsi="Times New Roman" w:eastAsia="宋体" w:cs="Times New Roman"/>
                <w:color w:val="auto"/>
                <w:sz w:val="22"/>
                <w:u w:val="none"/>
                <w:lang w:val="en-US" w:eastAsia="zh-CN"/>
              </w:rPr>
            </w:pPr>
            <w:r>
              <w:rPr>
                <w:rFonts w:hint="eastAsia" w:ascii="Times New Roman" w:hAnsi="Times New Roman" w:eastAsia="宋体" w:cs="Times New Roman"/>
                <w:color w:val="auto"/>
                <w:sz w:val="22"/>
                <w:u w:val="none"/>
                <w:lang w:val="en-US" w:eastAsia="zh-CN"/>
              </w:rPr>
              <w:t>9</w:t>
            </w:r>
          </w:p>
        </w:tc>
        <w:tc>
          <w:tcPr>
            <w:tcW w:w="1379" w:type="dxa"/>
            <w:vAlign w:val="center"/>
          </w:tcPr>
          <w:p w14:paraId="51BFD564">
            <w:pPr>
              <w:jc w:val="center"/>
              <w:rPr>
                <w:rFonts w:ascii="Times New Roman" w:hAnsi="Times New Roman" w:eastAsia="宋体" w:cs="Times New Roman"/>
                <w:color w:val="auto"/>
                <w:sz w:val="22"/>
                <w:u w:val="none"/>
              </w:rPr>
            </w:pPr>
          </w:p>
        </w:tc>
        <w:tc>
          <w:tcPr>
            <w:tcW w:w="1626" w:type="dxa"/>
            <w:vAlign w:val="center"/>
          </w:tcPr>
          <w:p w14:paraId="476A4C60">
            <w:pPr>
              <w:jc w:val="center"/>
              <w:rPr>
                <w:rFonts w:hint="default" w:ascii="Times New Roman" w:hAnsi="Times New Roman" w:eastAsia="宋体" w:cs="Times New Roman"/>
                <w:color w:val="auto"/>
                <w:sz w:val="22"/>
                <w:u w:val="none"/>
                <w:lang w:val="en-US" w:eastAsia="zh-CN"/>
              </w:rPr>
            </w:pPr>
            <w:r>
              <w:rPr>
                <w:rFonts w:hint="eastAsia" w:ascii="Times New Roman" w:hAnsi="Times New Roman" w:eastAsia="宋体" w:cs="Times New Roman"/>
                <w:color w:val="auto"/>
                <w:sz w:val="22"/>
                <w:u w:val="none"/>
                <w:lang w:val="en-US" w:eastAsia="zh-CN"/>
              </w:rPr>
              <w:t>60.9</w:t>
            </w:r>
          </w:p>
        </w:tc>
        <w:tc>
          <w:tcPr>
            <w:tcW w:w="1399" w:type="dxa"/>
            <w:vAlign w:val="center"/>
          </w:tcPr>
          <w:p w14:paraId="5400D0B2">
            <w:pPr>
              <w:jc w:val="center"/>
              <w:rPr>
                <w:rFonts w:hint="default" w:ascii="Times New Roman" w:hAnsi="Times New Roman" w:eastAsia="宋体" w:cs="Times New Roman"/>
                <w:color w:val="auto"/>
                <w:sz w:val="22"/>
                <w:u w:val="none"/>
                <w:lang w:val="en-US" w:eastAsia="zh-CN"/>
              </w:rPr>
            </w:pPr>
            <w:r>
              <w:rPr>
                <w:rFonts w:hint="eastAsia" w:ascii="Times New Roman" w:hAnsi="Times New Roman" w:eastAsia="宋体" w:cs="Times New Roman"/>
                <w:color w:val="auto"/>
                <w:sz w:val="22"/>
                <w:u w:val="none"/>
                <w:lang w:val="en-US" w:eastAsia="zh-CN"/>
              </w:rPr>
              <w:t>+9</w:t>
            </w:r>
          </w:p>
        </w:tc>
      </w:tr>
      <w:tr w14:paraId="6D48E80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5" w:hRule="atLeast"/>
          <w:jc w:val="center"/>
        </w:trPr>
        <w:tc>
          <w:tcPr>
            <w:tcW w:w="1162" w:type="dxa"/>
            <w:vMerge w:val="continue"/>
            <w:vAlign w:val="center"/>
          </w:tcPr>
          <w:p w14:paraId="6EEC1D6D">
            <w:pPr>
              <w:jc w:val="center"/>
              <w:rPr>
                <w:rFonts w:ascii="Times New Roman" w:hAnsi="Times New Roman" w:eastAsia="宋体" w:cs="Times New Roman"/>
                <w:color w:val="auto"/>
                <w:sz w:val="22"/>
                <w:u w:val="none"/>
              </w:rPr>
            </w:pPr>
          </w:p>
        </w:tc>
        <w:tc>
          <w:tcPr>
            <w:tcW w:w="2439" w:type="dxa"/>
            <w:vAlign w:val="center"/>
          </w:tcPr>
          <w:p w14:paraId="3663A3C9">
            <w:pPr>
              <w:jc w:val="center"/>
              <w:rPr>
                <w:rFonts w:hint="eastAsia" w:ascii="Times New Roman" w:hAnsi="Times New Roman" w:eastAsia="宋体" w:cs="Times New Roman"/>
                <w:color w:val="auto"/>
                <w:sz w:val="22"/>
                <w:u w:val="none"/>
              </w:rPr>
            </w:pPr>
            <w:r>
              <w:rPr>
                <w:rFonts w:hint="eastAsia" w:ascii="Times New Roman" w:hAnsi="Times New Roman" w:eastAsia="宋体" w:cs="Times New Roman"/>
                <w:color w:val="auto"/>
                <w:sz w:val="22"/>
                <w:szCs w:val="24"/>
                <w:highlight w:val="none"/>
                <w:u w:val="none"/>
                <w:lang w:val="en-US" w:eastAsia="zh-CN"/>
              </w:rPr>
              <w:t>污泥及泛酸钙生产过程中产生的滤饼</w:t>
            </w:r>
          </w:p>
        </w:tc>
        <w:tc>
          <w:tcPr>
            <w:tcW w:w="1530" w:type="dxa"/>
            <w:vAlign w:val="center"/>
          </w:tcPr>
          <w:p w14:paraId="3E51050E">
            <w:pPr>
              <w:jc w:val="center"/>
              <w:rPr>
                <w:rFonts w:hint="default" w:ascii="Times New Roman" w:hAnsi="Times New Roman" w:eastAsia="宋体" w:cs="Times New Roman"/>
                <w:color w:val="auto"/>
                <w:sz w:val="22"/>
                <w:u w:val="none"/>
                <w:lang w:val="en-US" w:eastAsia="zh-CN"/>
              </w:rPr>
            </w:pPr>
            <w:r>
              <w:rPr>
                <w:rFonts w:hint="eastAsia" w:ascii="Times New Roman" w:hAnsi="Times New Roman" w:eastAsia="宋体" w:cs="Times New Roman"/>
                <w:color w:val="auto"/>
                <w:sz w:val="22"/>
                <w:u w:val="none"/>
                <w:lang w:val="en-US" w:eastAsia="zh-CN"/>
              </w:rPr>
              <w:t>6671.86</w:t>
            </w:r>
          </w:p>
        </w:tc>
        <w:tc>
          <w:tcPr>
            <w:tcW w:w="1276" w:type="dxa"/>
            <w:vAlign w:val="center"/>
          </w:tcPr>
          <w:p w14:paraId="335878C6">
            <w:pPr>
              <w:jc w:val="center"/>
              <w:rPr>
                <w:rFonts w:ascii="Times New Roman" w:hAnsi="Times New Roman" w:eastAsia="宋体" w:cs="Times New Roman"/>
                <w:color w:val="auto"/>
                <w:sz w:val="22"/>
                <w:u w:val="none"/>
              </w:rPr>
            </w:pPr>
          </w:p>
        </w:tc>
        <w:tc>
          <w:tcPr>
            <w:tcW w:w="1418" w:type="dxa"/>
            <w:vAlign w:val="center"/>
          </w:tcPr>
          <w:p w14:paraId="20477680">
            <w:pPr>
              <w:jc w:val="center"/>
              <w:rPr>
                <w:rFonts w:ascii="Times New Roman" w:hAnsi="Times New Roman" w:eastAsia="宋体" w:cs="Times New Roman"/>
                <w:color w:val="auto"/>
                <w:sz w:val="22"/>
                <w:u w:val="none"/>
              </w:rPr>
            </w:pPr>
          </w:p>
        </w:tc>
        <w:tc>
          <w:tcPr>
            <w:tcW w:w="1559" w:type="dxa"/>
            <w:vAlign w:val="center"/>
          </w:tcPr>
          <w:p w14:paraId="3DD13900">
            <w:pPr>
              <w:jc w:val="center"/>
              <w:rPr>
                <w:rFonts w:hint="default" w:ascii="Times New Roman" w:hAnsi="Times New Roman" w:eastAsia="宋体" w:cs="Times New Roman"/>
                <w:color w:val="auto"/>
                <w:sz w:val="22"/>
                <w:u w:val="none"/>
                <w:lang w:val="en-US" w:eastAsia="zh-CN"/>
              </w:rPr>
            </w:pPr>
            <w:r>
              <w:rPr>
                <w:rFonts w:hint="eastAsia" w:ascii="Times New Roman" w:hAnsi="Times New Roman" w:eastAsia="宋体" w:cs="Times New Roman"/>
                <w:color w:val="auto"/>
                <w:sz w:val="22"/>
                <w:u w:val="none"/>
                <w:lang w:val="en-US" w:eastAsia="zh-CN"/>
              </w:rPr>
              <w:t>0</w:t>
            </w:r>
          </w:p>
        </w:tc>
        <w:tc>
          <w:tcPr>
            <w:tcW w:w="1379" w:type="dxa"/>
            <w:vAlign w:val="center"/>
          </w:tcPr>
          <w:p w14:paraId="4454FA4F">
            <w:pPr>
              <w:jc w:val="center"/>
              <w:rPr>
                <w:rFonts w:ascii="Times New Roman" w:hAnsi="Times New Roman" w:eastAsia="宋体" w:cs="Times New Roman"/>
                <w:color w:val="auto"/>
                <w:sz w:val="22"/>
                <w:u w:val="none"/>
              </w:rPr>
            </w:pPr>
          </w:p>
        </w:tc>
        <w:tc>
          <w:tcPr>
            <w:tcW w:w="1626" w:type="dxa"/>
            <w:vAlign w:val="center"/>
          </w:tcPr>
          <w:p w14:paraId="1A04C650">
            <w:pPr>
              <w:jc w:val="center"/>
              <w:rPr>
                <w:rFonts w:hint="default" w:ascii="Times New Roman" w:hAnsi="Times New Roman" w:cs="Times New Roman" w:eastAsiaTheme="minorEastAsia"/>
                <w:color w:val="auto"/>
                <w:sz w:val="22"/>
                <w:u w:val="none"/>
                <w:lang w:val="en-US" w:eastAsia="zh-CN"/>
              </w:rPr>
            </w:pPr>
            <w:r>
              <w:rPr>
                <w:rFonts w:hint="eastAsia" w:ascii="Times New Roman" w:hAnsi="Times New Roman" w:cs="Times New Roman"/>
                <w:color w:val="auto"/>
                <w:sz w:val="22"/>
                <w:u w:val="none"/>
                <w:lang w:val="en-US" w:eastAsia="zh-CN"/>
              </w:rPr>
              <w:t>6671.86</w:t>
            </w:r>
          </w:p>
        </w:tc>
        <w:tc>
          <w:tcPr>
            <w:tcW w:w="1399" w:type="dxa"/>
            <w:vAlign w:val="center"/>
          </w:tcPr>
          <w:p w14:paraId="7846F772">
            <w:pPr>
              <w:jc w:val="center"/>
              <w:rPr>
                <w:rFonts w:hint="eastAsia" w:ascii="Times New Roman" w:hAnsi="Times New Roman" w:eastAsia="等线" w:cs="Times New Roman"/>
                <w:color w:val="auto"/>
                <w:sz w:val="22"/>
                <w:u w:val="none"/>
                <w:lang w:val="en-US" w:eastAsia="zh-CN"/>
              </w:rPr>
            </w:pPr>
            <w:r>
              <w:rPr>
                <w:rFonts w:hint="eastAsia" w:ascii="Times New Roman" w:hAnsi="Times New Roman" w:eastAsia="等线" w:cs="Times New Roman"/>
                <w:color w:val="auto"/>
                <w:sz w:val="22"/>
                <w:u w:val="none"/>
                <w:lang w:val="en-US" w:eastAsia="zh-CN"/>
              </w:rPr>
              <w:t>0</w:t>
            </w:r>
          </w:p>
        </w:tc>
      </w:tr>
      <w:tr w14:paraId="4804D9D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5" w:hRule="atLeast"/>
          <w:jc w:val="center"/>
        </w:trPr>
        <w:tc>
          <w:tcPr>
            <w:tcW w:w="1162" w:type="dxa"/>
            <w:vMerge w:val="continue"/>
            <w:vAlign w:val="center"/>
          </w:tcPr>
          <w:p w14:paraId="3F7A8B29">
            <w:pPr>
              <w:jc w:val="center"/>
              <w:rPr>
                <w:rFonts w:ascii="Times New Roman" w:hAnsi="Times New Roman" w:eastAsia="宋体" w:cs="Times New Roman"/>
                <w:color w:val="auto"/>
                <w:sz w:val="22"/>
                <w:u w:val="none"/>
              </w:rPr>
            </w:pPr>
          </w:p>
        </w:tc>
        <w:tc>
          <w:tcPr>
            <w:tcW w:w="2439" w:type="dxa"/>
            <w:vAlign w:val="center"/>
          </w:tcPr>
          <w:p w14:paraId="50EDAB8A">
            <w:pPr>
              <w:jc w:val="center"/>
              <w:rPr>
                <w:rFonts w:hint="default" w:ascii="Times New Roman" w:hAnsi="Times New Roman" w:eastAsia="宋体" w:cs="Times New Roman"/>
                <w:color w:val="auto"/>
                <w:sz w:val="22"/>
                <w:szCs w:val="24"/>
                <w:highlight w:val="none"/>
                <w:u w:val="none"/>
                <w:lang w:val="en-US" w:eastAsia="zh-CN"/>
              </w:rPr>
            </w:pPr>
            <w:r>
              <w:rPr>
                <w:rFonts w:hint="eastAsia" w:ascii="Times New Roman" w:hAnsi="Times New Roman" w:eastAsia="宋体" w:cs="Times New Roman"/>
                <w:color w:val="auto"/>
                <w:sz w:val="22"/>
                <w:szCs w:val="24"/>
                <w:highlight w:val="none"/>
                <w:u w:val="none"/>
                <w:lang w:val="en-US" w:eastAsia="zh-CN"/>
              </w:rPr>
              <w:t>板框过滤菌渣</w:t>
            </w:r>
          </w:p>
        </w:tc>
        <w:tc>
          <w:tcPr>
            <w:tcW w:w="1530" w:type="dxa"/>
            <w:vAlign w:val="center"/>
          </w:tcPr>
          <w:p w14:paraId="70C72A97">
            <w:pPr>
              <w:jc w:val="center"/>
              <w:rPr>
                <w:rFonts w:hint="default" w:ascii="Times New Roman" w:hAnsi="Times New Roman" w:eastAsia="宋体" w:cs="Times New Roman"/>
                <w:color w:val="auto"/>
                <w:sz w:val="22"/>
                <w:u w:val="none"/>
                <w:lang w:val="en-US" w:eastAsia="zh-CN"/>
              </w:rPr>
            </w:pPr>
            <w:r>
              <w:rPr>
                <w:rFonts w:hint="eastAsia" w:ascii="Times New Roman" w:hAnsi="Times New Roman" w:eastAsia="宋体" w:cs="Times New Roman"/>
                <w:color w:val="auto"/>
                <w:sz w:val="22"/>
                <w:u w:val="none"/>
                <w:lang w:val="en-US" w:eastAsia="zh-CN"/>
              </w:rPr>
              <w:t>0</w:t>
            </w:r>
          </w:p>
        </w:tc>
        <w:tc>
          <w:tcPr>
            <w:tcW w:w="1276" w:type="dxa"/>
            <w:vAlign w:val="center"/>
          </w:tcPr>
          <w:p w14:paraId="421AC683">
            <w:pPr>
              <w:jc w:val="center"/>
              <w:rPr>
                <w:rFonts w:ascii="Times New Roman" w:hAnsi="Times New Roman" w:eastAsia="宋体" w:cs="Times New Roman"/>
                <w:color w:val="auto"/>
                <w:sz w:val="22"/>
                <w:u w:val="none"/>
              </w:rPr>
            </w:pPr>
          </w:p>
        </w:tc>
        <w:tc>
          <w:tcPr>
            <w:tcW w:w="1418" w:type="dxa"/>
            <w:vAlign w:val="center"/>
          </w:tcPr>
          <w:p w14:paraId="1AA1531B">
            <w:pPr>
              <w:jc w:val="center"/>
              <w:rPr>
                <w:rFonts w:ascii="Times New Roman" w:hAnsi="Times New Roman" w:eastAsia="宋体" w:cs="Times New Roman"/>
                <w:color w:val="auto"/>
                <w:sz w:val="22"/>
                <w:u w:val="none"/>
              </w:rPr>
            </w:pPr>
          </w:p>
        </w:tc>
        <w:tc>
          <w:tcPr>
            <w:tcW w:w="1559" w:type="dxa"/>
            <w:vAlign w:val="center"/>
          </w:tcPr>
          <w:p w14:paraId="186BA877">
            <w:pPr>
              <w:jc w:val="center"/>
              <w:rPr>
                <w:rFonts w:hint="default" w:ascii="Times New Roman" w:hAnsi="Times New Roman" w:eastAsia="宋体" w:cs="Times New Roman"/>
                <w:color w:val="auto"/>
                <w:sz w:val="22"/>
                <w:u w:val="none"/>
                <w:lang w:val="en-US" w:eastAsia="zh-CN"/>
              </w:rPr>
            </w:pPr>
            <w:r>
              <w:rPr>
                <w:rFonts w:hint="eastAsia" w:ascii="Times New Roman" w:hAnsi="Times New Roman" w:eastAsia="宋体" w:cs="Times New Roman"/>
                <w:color w:val="auto"/>
                <w:sz w:val="22"/>
                <w:u w:val="none"/>
                <w:lang w:val="en-US" w:eastAsia="zh-CN"/>
              </w:rPr>
              <w:t>1142.241</w:t>
            </w:r>
          </w:p>
        </w:tc>
        <w:tc>
          <w:tcPr>
            <w:tcW w:w="1379" w:type="dxa"/>
            <w:vAlign w:val="center"/>
          </w:tcPr>
          <w:p w14:paraId="3FA33404">
            <w:pPr>
              <w:jc w:val="center"/>
              <w:rPr>
                <w:rFonts w:ascii="Times New Roman" w:hAnsi="Times New Roman" w:eastAsia="宋体" w:cs="Times New Roman"/>
                <w:color w:val="auto"/>
                <w:sz w:val="22"/>
                <w:u w:val="none"/>
              </w:rPr>
            </w:pPr>
          </w:p>
        </w:tc>
        <w:tc>
          <w:tcPr>
            <w:tcW w:w="1626" w:type="dxa"/>
            <w:vAlign w:val="center"/>
          </w:tcPr>
          <w:p w14:paraId="0E206512">
            <w:pPr>
              <w:jc w:val="center"/>
              <w:rPr>
                <w:rFonts w:hint="default" w:ascii="Times New Roman" w:hAnsi="Times New Roman" w:cs="Times New Roman" w:eastAsiaTheme="minorEastAsia"/>
                <w:color w:val="auto"/>
                <w:sz w:val="22"/>
                <w:u w:val="none"/>
                <w:lang w:val="en-US" w:eastAsia="zh-CN"/>
              </w:rPr>
            </w:pPr>
            <w:r>
              <w:rPr>
                <w:rFonts w:hint="eastAsia" w:ascii="Times New Roman" w:hAnsi="Times New Roman" w:cs="Times New Roman"/>
                <w:color w:val="auto"/>
                <w:sz w:val="22"/>
                <w:u w:val="none"/>
                <w:lang w:val="en-US" w:eastAsia="zh-CN"/>
              </w:rPr>
              <w:t>1142.241</w:t>
            </w:r>
          </w:p>
        </w:tc>
        <w:tc>
          <w:tcPr>
            <w:tcW w:w="1399" w:type="dxa"/>
            <w:vAlign w:val="center"/>
          </w:tcPr>
          <w:p w14:paraId="4A641287">
            <w:pPr>
              <w:jc w:val="center"/>
              <w:rPr>
                <w:rFonts w:hint="default" w:ascii="Times New Roman" w:hAnsi="Times New Roman" w:eastAsia="等线" w:cs="Times New Roman"/>
                <w:color w:val="auto"/>
                <w:sz w:val="22"/>
                <w:u w:val="none"/>
                <w:lang w:val="en-US" w:eastAsia="zh-CN"/>
              </w:rPr>
            </w:pPr>
            <w:r>
              <w:rPr>
                <w:rFonts w:hint="eastAsia" w:ascii="Times New Roman" w:hAnsi="Times New Roman" w:eastAsia="等线" w:cs="Times New Roman"/>
                <w:color w:val="auto"/>
                <w:sz w:val="22"/>
                <w:u w:val="none"/>
                <w:lang w:val="en-US" w:eastAsia="zh-CN"/>
              </w:rPr>
              <w:t>+1142.241</w:t>
            </w:r>
          </w:p>
        </w:tc>
      </w:tr>
      <w:tr w14:paraId="7BA7013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5" w:hRule="atLeast"/>
          <w:jc w:val="center"/>
        </w:trPr>
        <w:tc>
          <w:tcPr>
            <w:tcW w:w="1162" w:type="dxa"/>
            <w:vMerge w:val="continue"/>
            <w:vAlign w:val="center"/>
          </w:tcPr>
          <w:p w14:paraId="527FA572">
            <w:pPr>
              <w:jc w:val="center"/>
              <w:rPr>
                <w:rFonts w:ascii="Times New Roman" w:hAnsi="Times New Roman" w:eastAsia="宋体" w:cs="Times New Roman"/>
                <w:color w:val="auto"/>
                <w:sz w:val="22"/>
                <w:u w:val="none"/>
              </w:rPr>
            </w:pPr>
          </w:p>
        </w:tc>
        <w:tc>
          <w:tcPr>
            <w:tcW w:w="2439" w:type="dxa"/>
            <w:vAlign w:val="center"/>
          </w:tcPr>
          <w:p w14:paraId="6DBB4A9F">
            <w:pPr>
              <w:jc w:val="center"/>
              <w:rPr>
                <w:rFonts w:hint="default" w:ascii="Times New Roman" w:hAnsi="Times New Roman" w:eastAsia="宋体" w:cs="Times New Roman"/>
                <w:color w:val="auto"/>
                <w:sz w:val="22"/>
                <w:szCs w:val="24"/>
                <w:highlight w:val="none"/>
                <w:u w:val="none"/>
                <w:lang w:val="en-US" w:eastAsia="zh-CN"/>
              </w:rPr>
            </w:pPr>
            <w:r>
              <w:rPr>
                <w:rFonts w:hint="eastAsia" w:ascii="Times New Roman" w:hAnsi="Times New Roman" w:eastAsia="宋体" w:cs="Times New Roman"/>
                <w:color w:val="auto"/>
                <w:sz w:val="22"/>
                <w:szCs w:val="24"/>
                <w:highlight w:val="none"/>
                <w:u w:val="none"/>
                <w:lang w:val="en-US" w:eastAsia="zh-CN"/>
              </w:rPr>
              <w:t>板框过滤碳渣</w:t>
            </w:r>
          </w:p>
        </w:tc>
        <w:tc>
          <w:tcPr>
            <w:tcW w:w="1530" w:type="dxa"/>
            <w:vAlign w:val="center"/>
          </w:tcPr>
          <w:p w14:paraId="0959F4BB">
            <w:pPr>
              <w:jc w:val="center"/>
              <w:rPr>
                <w:rFonts w:hint="default" w:ascii="Times New Roman" w:hAnsi="Times New Roman" w:eastAsia="宋体" w:cs="Times New Roman"/>
                <w:color w:val="auto"/>
                <w:sz w:val="22"/>
                <w:u w:val="none"/>
                <w:lang w:val="en-US" w:eastAsia="zh-CN"/>
              </w:rPr>
            </w:pPr>
            <w:r>
              <w:rPr>
                <w:rFonts w:hint="eastAsia" w:ascii="Times New Roman" w:hAnsi="Times New Roman" w:eastAsia="宋体" w:cs="Times New Roman"/>
                <w:color w:val="auto"/>
                <w:sz w:val="22"/>
                <w:u w:val="none"/>
                <w:lang w:val="en-US" w:eastAsia="zh-CN"/>
              </w:rPr>
              <w:t>0</w:t>
            </w:r>
          </w:p>
        </w:tc>
        <w:tc>
          <w:tcPr>
            <w:tcW w:w="1276" w:type="dxa"/>
            <w:vAlign w:val="center"/>
          </w:tcPr>
          <w:p w14:paraId="44052182">
            <w:pPr>
              <w:jc w:val="center"/>
              <w:rPr>
                <w:rFonts w:ascii="Times New Roman" w:hAnsi="Times New Roman" w:eastAsia="宋体" w:cs="Times New Roman"/>
                <w:color w:val="auto"/>
                <w:sz w:val="22"/>
                <w:u w:val="none"/>
              </w:rPr>
            </w:pPr>
          </w:p>
        </w:tc>
        <w:tc>
          <w:tcPr>
            <w:tcW w:w="1418" w:type="dxa"/>
            <w:vAlign w:val="center"/>
          </w:tcPr>
          <w:p w14:paraId="64DE0862">
            <w:pPr>
              <w:jc w:val="center"/>
              <w:rPr>
                <w:rFonts w:ascii="Times New Roman" w:hAnsi="Times New Roman" w:eastAsia="宋体" w:cs="Times New Roman"/>
                <w:color w:val="auto"/>
                <w:sz w:val="22"/>
                <w:u w:val="none"/>
              </w:rPr>
            </w:pPr>
          </w:p>
        </w:tc>
        <w:tc>
          <w:tcPr>
            <w:tcW w:w="1559" w:type="dxa"/>
            <w:vAlign w:val="center"/>
          </w:tcPr>
          <w:p w14:paraId="600FD6CE">
            <w:pPr>
              <w:jc w:val="center"/>
              <w:rPr>
                <w:rFonts w:hint="default" w:ascii="Times New Roman" w:hAnsi="Times New Roman" w:eastAsia="宋体" w:cs="Times New Roman"/>
                <w:color w:val="auto"/>
                <w:sz w:val="22"/>
                <w:u w:val="none"/>
                <w:lang w:val="en-US" w:eastAsia="zh-CN"/>
              </w:rPr>
            </w:pPr>
            <w:r>
              <w:rPr>
                <w:rFonts w:hint="eastAsia" w:ascii="Times New Roman" w:hAnsi="Times New Roman" w:eastAsia="宋体" w:cs="Times New Roman"/>
                <w:color w:val="auto"/>
                <w:sz w:val="22"/>
                <w:u w:val="none"/>
                <w:lang w:val="en-US" w:eastAsia="zh-CN"/>
              </w:rPr>
              <w:t>171.6</w:t>
            </w:r>
          </w:p>
        </w:tc>
        <w:tc>
          <w:tcPr>
            <w:tcW w:w="1379" w:type="dxa"/>
            <w:vAlign w:val="center"/>
          </w:tcPr>
          <w:p w14:paraId="153D7D9F">
            <w:pPr>
              <w:jc w:val="center"/>
              <w:rPr>
                <w:rFonts w:ascii="Times New Roman" w:hAnsi="Times New Roman" w:eastAsia="宋体" w:cs="Times New Roman"/>
                <w:color w:val="auto"/>
                <w:sz w:val="22"/>
                <w:u w:val="none"/>
              </w:rPr>
            </w:pPr>
          </w:p>
        </w:tc>
        <w:tc>
          <w:tcPr>
            <w:tcW w:w="1626" w:type="dxa"/>
            <w:vAlign w:val="center"/>
          </w:tcPr>
          <w:p w14:paraId="7FB76C1C">
            <w:pPr>
              <w:jc w:val="center"/>
              <w:rPr>
                <w:rFonts w:hint="default" w:ascii="Times New Roman" w:hAnsi="Times New Roman" w:cs="Times New Roman" w:eastAsiaTheme="minorEastAsia"/>
                <w:color w:val="auto"/>
                <w:sz w:val="22"/>
                <w:u w:val="none"/>
                <w:lang w:val="en-US" w:eastAsia="zh-CN"/>
              </w:rPr>
            </w:pPr>
            <w:r>
              <w:rPr>
                <w:rFonts w:hint="eastAsia" w:ascii="Times New Roman" w:hAnsi="Times New Roman" w:cs="Times New Roman"/>
                <w:color w:val="auto"/>
                <w:sz w:val="22"/>
                <w:u w:val="none"/>
                <w:lang w:val="en-US" w:eastAsia="zh-CN"/>
              </w:rPr>
              <w:t>172.6</w:t>
            </w:r>
          </w:p>
        </w:tc>
        <w:tc>
          <w:tcPr>
            <w:tcW w:w="1399" w:type="dxa"/>
            <w:vAlign w:val="center"/>
          </w:tcPr>
          <w:p w14:paraId="7A12CF82">
            <w:pPr>
              <w:jc w:val="center"/>
              <w:rPr>
                <w:rFonts w:hint="default" w:ascii="Times New Roman" w:hAnsi="Times New Roman" w:eastAsia="等线" w:cs="Times New Roman"/>
                <w:color w:val="auto"/>
                <w:sz w:val="22"/>
                <w:u w:val="none"/>
                <w:lang w:val="en-US" w:eastAsia="zh-CN"/>
              </w:rPr>
            </w:pPr>
            <w:r>
              <w:rPr>
                <w:rFonts w:hint="eastAsia" w:ascii="Times New Roman" w:hAnsi="Times New Roman" w:eastAsia="等线" w:cs="Times New Roman"/>
                <w:color w:val="auto"/>
                <w:sz w:val="22"/>
                <w:u w:val="none"/>
                <w:lang w:val="en-US" w:eastAsia="zh-CN"/>
              </w:rPr>
              <w:t>+171.6</w:t>
            </w:r>
          </w:p>
        </w:tc>
      </w:tr>
      <w:tr w14:paraId="3897283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5" w:hRule="atLeast"/>
          <w:jc w:val="center"/>
        </w:trPr>
        <w:tc>
          <w:tcPr>
            <w:tcW w:w="1162" w:type="dxa"/>
            <w:vMerge w:val="continue"/>
            <w:vAlign w:val="center"/>
          </w:tcPr>
          <w:p w14:paraId="330CF938">
            <w:pPr>
              <w:jc w:val="center"/>
              <w:rPr>
                <w:rFonts w:ascii="Times New Roman" w:hAnsi="Times New Roman" w:eastAsia="宋体" w:cs="Times New Roman"/>
                <w:color w:val="auto"/>
                <w:sz w:val="22"/>
                <w:u w:val="none"/>
              </w:rPr>
            </w:pPr>
          </w:p>
        </w:tc>
        <w:tc>
          <w:tcPr>
            <w:tcW w:w="2439" w:type="dxa"/>
            <w:vAlign w:val="center"/>
          </w:tcPr>
          <w:p w14:paraId="12989679">
            <w:pPr>
              <w:jc w:val="center"/>
              <w:rPr>
                <w:rFonts w:hint="default" w:ascii="Times New Roman" w:hAnsi="Times New Roman" w:eastAsia="宋体" w:cs="Times New Roman"/>
                <w:color w:val="auto"/>
                <w:sz w:val="22"/>
                <w:szCs w:val="24"/>
                <w:highlight w:val="none"/>
                <w:u w:val="none"/>
                <w:lang w:val="en-US" w:eastAsia="zh-CN"/>
              </w:rPr>
            </w:pPr>
            <w:r>
              <w:rPr>
                <w:rFonts w:hint="eastAsia" w:ascii="Times New Roman" w:hAnsi="Times New Roman" w:eastAsia="宋体" w:cs="Times New Roman"/>
                <w:color w:val="auto"/>
                <w:sz w:val="22"/>
                <w:szCs w:val="24"/>
                <w:highlight w:val="none"/>
                <w:u w:val="none"/>
                <w:lang w:val="en-US" w:eastAsia="zh-CN"/>
              </w:rPr>
              <w:t>液糖生产滤渣</w:t>
            </w:r>
          </w:p>
        </w:tc>
        <w:tc>
          <w:tcPr>
            <w:tcW w:w="1530" w:type="dxa"/>
            <w:vAlign w:val="center"/>
          </w:tcPr>
          <w:p w14:paraId="4CC91CB8">
            <w:pPr>
              <w:jc w:val="center"/>
              <w:rPr>
                <w:rFonts w:hint="default" w:ascii="Times New Roman" w:hAnsi="Times New Roman" w:eastAsia="宋体" w:cs="Times New Roman"/>
                <w:color w:val="auto"/>
                <w:sz w:val="22"/>
                <w:u w:val="none"/>
                <w:lang w:val="en-US" w:eastAsia="zh-CN"/>
              </w:rPr>
            </w:pPr>
            <w:r>
              <w:rPr>
                <w:rFonts w:hint="eastAsia" w:ascii="Times New Roman" w:hAnsi="Times New Roman" w:eastAsia="宋体" w:cs="Times New Roman"/>
                <w:color w:val="auto"/>
                <w:sz w:val="22"/>
                <w:u w:val="none"/>
                <w:lang w:val="en-US" w:eastAsia="zh-CN"/>
              </w:rPr>
              <w:t>0</w:t>
            </w:r>
          </w:p>
        </w:tc>
        <w:tc>
          <w:tcPr>
            <w:tcW w:w="1276" w:type="dxa"/>
            <w:vAlign w:val="center"/>
          </w:tcPr>
          <w:p w14:paraId="06388A8A">
            <w:pPr>
              <w:jc w:val="center"/>
              <w:rPr>
                <w:rFonts w:ascii="Times New Roman" w:hAnsi="Times New Roman" w:eastAsia="宋体" w:cs="Times New Roman"/>
                <w:color w:val="auto"/>
                <w:sz w:val="22"/>
                <w:u w:val="none"/>
              </w:rPr>
            </w:pPr>
          </w:p>
        </w:tc>
        <w:tc>
          <w:tcPr>
            <w:tcW w:w="1418" w:type="dxa"/>
            <w:vAlign w:val="center"/>
          </w:tcPr>
          <w:p w14:paraId="1BBD477A">
            <w:pPr>
              <w:jc w:val="center"/>
              <w:rPr>
                <w:rFonts w:ascii="Times New Roman" w:hAnsi="Times New Roman" w:eastAsia="宋体" w:cs="Times New Roman"/>
                <w:color w:val="auto"/>
                <w:sz w:val="22"/>
                <w:u w:val="none"/>
              </w:rPr>
            </w:pPr>
          </w:p>
        </w:tc>
        <w:tc>
          <w:tcPr>
            <w:tcW w:w="1559" w:type="dxa"/>
            <w:vAlign w:val="center"/>
          </w:tcPr>
          <w:p w14:paraId="6D9508CB">
            <w:pPr>
              <w:jc w:val="center"/>
              <w:rPr>
                <w:rFonts w:hint="default" w:ascii="Times New Roman" w:hAnsi="Times New Roman" w:eastAsia="宋体" w:cs="Times New Roman"/>
                <w:color w:val="auto"/>
                <w:sz w:val="22"/>
                <w:u w:val="none"/>
                <w:lang w:val="en-US" w:eastAsia="zh-CN"/>
              </w:rPr>
            </w:pPr>
            <w:r>
              <w:rPr>
                <w:rFonts w:hint="eastAsia" w:ascii="Times New Roman" w:hAnsi="Times New Roman" w:eastAsia="宋体" w:cs="Times New Roman"/>
                <w:color w:val="auto"/>
                <w:sz w:val="22"/>
                <w:u w:val="none"/>
                <w:lang w:val="en-US" w:eastAsia="zh-CN"/>
              </w:rPr>
              <w:t>1.17</w:t>
            </w:r>
          </w:p>
        </w:tc>
        <w:tc>
          <w:tcPr>
            <w:tcW w:w="1379" w:type="dxa"/>
            <w:vAlign w:val="center"/>
          </w:tcPr>
          <w:p w14:paraId="1EA7D12E">
            <w:pPr>
              <w:jc w:val="center"/>
              <w:rPr>
                <w:rFonts w:ascii="Times New Roman" w:hAnsi="Times New Roman" w:eastAsia="宋体" w:cs="Times New Roman"/>
                <w:color w:val="auto"/>
                <w:sz w:val="22"/>
                <w:u w:val="none"/>
              </w:rPr>
            </w:pPr>
          </w:p>
        </w:tc>
        <w:tc>
          <w:tcPr>
            <w:tcW w:w="1626" w:type="dxa"/>
            <w:vAlign w:val="center"/>
          </w:tcPr>
          <w:p w14:paraId="0949435A">
            <w:pPr>
              <w:jc w:val="center"/>
              <w:rPr>
                <w:rFonts w:hint="default" w:ascii="Times New Roman" w:hAnsi="Times New Roman" w:cs="Times New Roman" w:eastAsiaTheme="minorEastAsia"/>
                <w:color w:val="auto"/>
                <w:sz w:val="22"/>
                <w:u w:val="none"/>
                <w:lang w:val="en-US" w:eastAsia="zh-CN"/>
              </w:rPr>
            </w:pPr>
            <w:r>
              <w:rPr>
                <w:rFonts w:hint="eastAsia" w:ascii="Times New Roman" w:hAnsi="Times New Roman" w:cs="Times New Roman"/>
                <w:color w:val="auto"/>
                <w:sz w:val="22"/>
                <w:u w:val="none"/>
                <w:lang w:val="en-US" w:eastAsia="zh-CN"/>
              </w:rPr>
              <w:t>1.17</w:t>
            </w:r>
          </w:p>
        </w:tc>
        <w:tc>
          <w:tcPr>
            <w:tcW w:w="1399" w:type="dxa"/>
            <w:vAlign w:val="center"/>
          </w:tcPr>
          <w:p w14:paraId="7DB6AD95">
            <w:pPr>
              <w:jc w:val="center"/>
              <w:rPr>
                <w:rFonts w:hint="default" w:ascii="Times New Roman" w:hAnsi="Times New Roman" w:eastAsia="等线" w:cs="Times New Roman"/>
                <w:color w:val="auto"/>
                <w:sz w:val="22"/>
                <w:u w:val="none"/>
                <w:lang w:val="en-US" w:eastAsia="zh-CN"/>
              </w:rPr>
            </w:pPr>
            <w:r>
              <w:rPr>
                <w:rFonts w:hint="eastAsia" w:ascii="Times New Roman" w:hAnsi="Times New Roman" w:eastAsia="等线" w:cs="Times New Roman"/>
                <w:color w:val="auto"/>
                <w:sz w:val="22"/>
                <w:u w:val="none"/>
                <w:lang w:val="en-US" w:eastAsia="zh-CN"/>
              </w:rPr>
              <w:t>+1.17</w:t>
            </w:r>
          </w:p>
        </w:tc>
      </w:tr>
      <w:tr w14:paraId="652B198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5" w:hRule="atLeast"/>
          <w:jc w:val="center"/>
        </w:trPr>
        <w:tc>
          <w:tcPr>
            <w:tcW w:w="1162" w:type="dxa"/>
            <w:vMerge w:val="continue"/>
            <w:vAlign w:val="center"/>
          </w:tcPr>
          <w:p w14:paraId="1A29EF21">
            <w:pPr>
              <w:jc w:val="center"/>
              <w:rPr>
                <w:rFonts w:ascii="Times New Roman" w:hAnsi="Times New Roman" w:eastAsia="宋体" w:cs="Times New Roman"/>
                <w:color w:val="auto"/>
                <w:sz w:val="22"/>
                <w:u w:val="none"/>
              </w:rPr>
            </w:pPr>
          </w:p>
        </w:tc>
        <w:tc>
          <w:tcPr>
            <w:tcW w:w="2439" w:type="dxa"/>
            <w:vAlign w:val="center"/>
          </w:tcPr>
          <w:p w14:paraId="3D7F7100">
            <w:pPr>
              <w:jc w:val="center"/>
              <w:rPr>
                <w:rFonts w:hint="default" w:ascii="Times New Roman" w:hAnsi="Times New Roman" w:eastAsia="宋体" w:cs="Times New Roman"/>
                <w:color w:val="auto"/>
                <w:sz w:val="22"/>
                <w:u w:val="none"/>
                <w:lang w:val="en-US" w:eastAsia="zh-CN"/>
              </w:rPr>
            </w:pPr>
            <w:r>
              <w:rPr>
                <w:rFonts w:hint="eastAsia" w:ascii="Times New Roman" w:hAnsi="Times New Roman" w:eastAsia="宋体" w:cs="Times New Roman"/>
                <w:color w:val="auto"/>
                <w:sz w:val="22"/>
                <w:u w:val="none"/>
                <w:lang w:val="en-US" w:eastAsia="zh-CN"/>
              </w:rPr>
              <w:t>废包装物</w:t>
            </w:r>
          </w:p>
        </w:tc>
        <w:tc>
          <w:tcPr>
            <w:tcW w:w="1530" w:type="dxa"/>
            <w:vAlign w:val="center"/>
          </w:tcPr>
          <w:p w14:paraId="166EC790">
            <w:pPr>
              <w:jc w:val="center"/>
              <w:rPr>
                <w:rFonts w:hint="default" w:ascii="Times New Roman" w:hAnsi="Times New Roman" w:eastAsia="宋体" w:cs="Times New Roman"/>
                <w:color w:val="auto"/>
                <w:sz w:val="22"/>
                <w:u w:val="none"/>
                <w:lang w:val="en-US" w:eastAsia="zh-CN"/>
              </w:rPr>
            </w:pPr>
            <w:r>
              <w:rPr>
                <w:rFonts w:hint="eastAsia" w:ascii="Times New Roman" w:hAnsi="Times New Roman" w:eastAsia="宋体" w:cs="Times New Roman"/>
                <w:color w:val="auto"/>
                <w:sz w:val="22"/>
                <w:u w:val="none"/>
                <w:lang w:val="en-US" w:eastAsia="zh-CN"/>
              </w:rPr>
              <w:t>0</w:t>
            </w:r>
          </w:p>
        </w:tc>
        <w:tc>
          <w:tcPr>
            <w:tcW w:w="1276" w:type="dxa"/>
            <w:vAlign w:val="center"/>
          </w:tcPr>
          <w:p w14:paraId="2F180DB8">
            <w:pPr>
              <w:jc w:val="center"/>
              <w:rPr>
                <w:rFonts w:ascii="Times New Roman" w:hAnsi="Times New Roman" w:eastAsia="宋体" w:cs="Times New Roman"/>
                <w:color w:val="auto"/>
                <w:sz w:val="22"/>
                <w:u w:val="none"/>
              </w:rPr>
            </w:pPr>
          </w:p>
        </w:tc>
        <w:tc>
          <w:tcPr>
            <w:tcW w:w="1418" w:type="dxa"/>
            <w:vAlign w:val="center"/>
          </w:tcPr>
          <w:p w14:paraId="1150BFFE">
            <w:pPr>
              <w:jc w:val="center"/>
              <w:rPr>
                <w:rFonts w:ascii="Times New Roman" w:hAnsi="Times New Roman" w:eastAsia="宋体" w:cs="Times New Roman"/>
                <w:color w:val="auto"/>
                <w:sz w:val="22"/>
                <w:u w:val="none"/>
              </w:rPr>
            </w:pPr>
          </w:p>
        </w:tc>
        <w:tc>
          <w:tcPr>
            <w:tcW w:w="1559" w:type="dxa"/>
            <w:vAlign w:val="center"/>
          </w:tcPr>
          <w:p w14:paraId="6B220DB0">
            <w:pPr>
              <w:jc w:val="center"/>
              <w:rPr>
                <w:rFonts w:hint="default" w:ascii="Times New Roman" w:hAnsi="Times New Roman" w:eastAsia="宋体" w:cs="Times New Roman"/>
                <w:color w:val="auto"/>
                <w:sz w:val="22"/>
                <w:u w:val="none"/>
                <w:lang w:val="en-US" w:eastAsia="zh-CN"/>
              </w:rPr>
            </w:pPr>
            <w:r>
              <w:rPr>
                <w:rFonts w:hint="eastAsia" w:ascii="Times New Roman" w:hAnsi="Times New Roman" w:eastAsia="宋体" w:cs="Times New Roman"/>
                <w:color w:val="auto"/>
                <w:sz w:val="22"/>
                <w:u w:val="none"/>
                <w:lang w:val="en-US" w:eastAsia="zh-CN"/>
              </w:rPr>
              <w:t>10</w:t>
            </w:r>
          </w:p>
        </w:tc>
        <w:tc>
          <w:tcPr>
            <w:tcW w:w="1379" w:type="dxa"/>
            <w:vAlign w:val="center"/>
          </w:tcPr>
          <w:p w14:paraId="126A971A">
            <w:pPr>
              <w:jc w:val="center"/>
              <w:rPr>
                <w:rFonts w:ascii="Times New Roman" w:hAnsi="Times New Roman" w:eastAsia="宋体" w:cs="Times New Roman"/>
                <w:color w:val="auto"/>
                <w:sz w:val="22"/>
                <w:u w:val="none"/>
              </w:rPr>
            </w:pPr>
          </w:p>
        </w:tc>
        <w:tc>
          <w:tcPr>
            <w:tcW w:w="1626" w:type="dxa"/>
            <w:vAlign w:val="center"/>
          </w:tcPr>
          <w:p w14:paraId="7C3191CD">
            <w:pPr>
              <w:jc w:val="center"/>
              <w:rPr>
                <w:rFonts w:hint="default" w:ascii="Times New Roman" w:hAnsi="Times New Roman" w:cs="Times New Roman" w:eastAsiaTheme="minorEastAsia"/>
                <w:color w:val="auto"/>
                <w:sz w:val="22"/>
                <w:u w:val="none"/>
                <w:lang w:val="en-US" w:eastAsia="zh-CN"/>
              </w:rPr>
            </w:pPr>
            <w:r>
              <w:rPr>
                <w:rFonts w:hint="eastAsia" w:ascii="Times New Roman" w:hAnsi="Times New Roman" w:cs="Times New Roman"/>
                <w:color w:val="auto"/>
                <w:sz w:val="22"/>
                <w:u w:val="none"/>
                <w:lang w:val="en-US" w:eastAsia="zh-CN"/>
              </w:rPr>
              <w:t>10</w:t>
            </w:r>
          </w:p>
        </w:tc>
        <w:tc>
          <w:tcPr>
            <w:tcW w:w="1399" w:type="dxa"/>
            <w:vAlign w:val="center"/>
          </w:tcPr>
          <w:p w14:paraId="7F14E7D3">
            <w:pPr>
              <w:jc w:val="center"/>
              <w:rPr>
                <w:rFonts w:hint="default" w:ascii="Times New Roman" w:hAnsi="Times New Roman" w:eastAsia="等线" w:cs="Times New Roman"/>
                <w:color w:val="auto"/>
                <w:sz w:val="22"/>
                <w:u w:val="none"/>
                <w:lang w:val="en-US" w:eastAsia="zh-CN"/>
              </w:rPr>
            </w:pPr>
            <w:r>
              <w:rPr>
                <w:rFonts w:hint="eastAsia" w:ascii="Times New Roman" w:hAnsi="Times New Roman" w:eastAsia="等线" w:cs="Times New Roman"/>
                <w:color w:val="auto"/>
                <w:sz w:val="22"/>
                <w:u w:val="none"/>
                <w:lang w:val="en-US" w:eastAsia="zh-CN"/>
              </w:rPr>
              <w:t>+10</w:t>
            </w:r>
          </w:p>
        </w:tc>
      </w:tr>
      <w:tr w14:paraId="6EC68DD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5" w:hRule="atLeast"/>
          <w:jc w:val="center"/>
        </w:trPr>
        <w:tc>
          <w:tcPr>
            <w:tcW w:w="1162" w:type="dxa"/>
            <w:vMerge w:val="restart"/>
            <w:vAlign w:val="center"/>
          </w:tcPr>
          <w:p w14:paraId="16988D42">
            <w:pPr>
              <w:jc w:val="center"/>
              <w:rPr>
                <w:rFonts w:ascii="Times New Roman" w:hAnsi="Times New Roman" w:eastAsia="宋体" w:cs="Times New Roman"/>
                <w:color w:val="auto"/>
                <w:sz w:val="22"/>
                <w:u w:val="none"/>
              </w:rPr>
            </w:pPr>
            <w:r>
              <w:rPr>
                <w:rFonts w:hint="eastAsia" w:ascii="Times New Roman" w:hAnsi="Times New Roman" w:eastAsia="宋体" w:cs="Times New Roman"/>
                <w:color w:val="auto"/>
                <w:sz w:val="22"/>
                <w:u w:val="none"/>
              </w:rPr>
              <w:t>危险废物</w:t>
            </w:r>
          </w:p>
        </w:tc>
        <w:tc>
          <w:tcPr>
            <w:tcW w:w="2439" w:type="dxa"/>
            <w:shd w:val="clear" w:color="auto" w:fill="auto"/>
            <w:vAlign w:val="center"/>
          </w:tcPr>
          <w:p w14:paraId="756FE97A">
            <w:pPr>
              <w:jc w:val="center"/>
              <w:rPr>
                <w:rFonts w:ascii="Times New Roman" w:hAnsi="Times New Roman" w:eastAsia="宋体" w:cs="Times New Roman"/>
                <w:color w:val="auto"/>
                <w:kern w:val="2"/>
                <w:sz w:val="22"/>
                <w:szCs w:val="24"/>
                <w:highlight w:val="none"/>
                <w:u w:val="none"/>
                <w:lang w:val="en-US" w:eastAsia="zh-CN" w:bidi="ar-SA"/>
              </w:rPr>
            </w:pPr>
            <w:r>
              <w:rPr>
                <w:rFonts w:hint="eastAsia" w:ascii="Times New Roman" w:hAnsi="Times New Roman" w:eastAsia="宋体" w:cs="Times New Roman"/>
                <w:color w:val="auto"/>
                <w:sz w:val="22"/>
                <w:szCs w:val="24"/>
                <w:highlight w:val="none"/>
                <w:u w:val="none"/>
              </w:rPr>
              <w:t>实验室废液</w:t>
            </w:r>
          </w:p>
        </w:tc>
        <w:tc>
          <w:tcPr>
            <w:tcW w:w="1530" w:type="dxa"/>
            <w:shd w:val="clear" w:color="auto" w:fill="auto"/>
            <w:vAlign w:val="center"/>
          </w:tcPr>
          <w:p w14:paraId="615CD89E">
            <w:pPr>
              <w:jc w:val="center"/>
              <w:rPr>
                <w:rFonts w:hint="default" w:ascii="Times New Roman" w:hAnsi="Times New Roman" w:eastAsia="宋体" w:cs="Times New Roman"/>
                <w:color w:val="auto"/>
                <w:kern w:val="0"/>
                <w:sz w:val="22"/>
                <w:szCs w:val="24"/>
                <w:u w:val="none"/>
                <w:lang w:val="en-US" w:eastAsia="zh-CN" w:bidi="ar-SA"/>
              </w:rPr>
            </w:pPr>
            <w:r>
              <w:rPr>
                <w:rFonts w:hint="eastAsia" w:ascii="Times New Roman" w:hAnsi="Times New Roman" w:eastAsia="宋体" w:cs="Times New Roman"/>
                <w:color w:val="auto"/>
                <w:kern w:val="0"/>
                <w:sz w:val="22"/>
                <w:szCs w:val="24"/>
                <w:u w:val="none"/>
                <w:lang w:val="en-US" w:eastAsia="zh-CN"/>
              </w:rPr>
              <w:t>6.017</w:t>
            </w:r>
          </w:p>
        </w:tc>
        <w:tc>
          <w:tcPr>
            <w:tcW w:w="1276" w:type="dxa"/>
            <w:vAlign w:val="center"/>
          </w:tcPr>
          <w:p w14:paraId="41EF036F">
            <w:pPr>
              <w:jc w:val="center"/>
              <w:rPr>
                <w:rFonts w:ascii="Times New Roman" w:hAnsi="Times New Roman" w:eastAsia="宋体" w:cs="Times New Roman"/>
                <w:color w:val="auto"/>
                <w:sz w:val="22"/>
                <w:u w:val="none"/>
              </w:rPr>
            </w:pPr>
          </w:p>
        </w:tc>
        <w:tc>
          <w:tcPr>
            <w:tcW w:w="1418" w:type="dxa"/>
            <w:vAlign w:val="center"/>
          </w:tcPr>
          <w:p w14:paraId="09639198">
            <w:pPr>
              <w:jc w:val="center"/>
              <w:rPr>
                <w:rFonts w:ascii="Times New Roman" w:hAnsi="Times New Roman" w:eastAsia="宋体" w:cs="Times New Roman"/>
                <w:color w:val="auto"/>
                <w:sz w:val="22"/>
                <w:u w:val="none"/>
              </w:rPr>
            </w:pPr>
          </w:p>
        </w:tc>
        <w:tc>
          <w:tcPr>
            <w:tcW w:w="1559" w:type="dxa"/>
            <w:vAlign w:val="center"/>
          </w:tcPr>
          <w:p w14:paraId="4BD526A5">
            <w:pPr>
              <w:jc w:val="center"/>
              <w:rPr>
                <w:rFonts w:hint="eastAsia" w:ascii="Times New Roman" w:hAnsi="Times New Roman" w:eastAsia="宋体" w:cs="Times New Roman"/>
                <w:color w:val="auto"/>
                <w:sz w:val="22"/>
                <w:u w:val="none"/>
                <w:lang w:val="en-US" w:eastAsia="zh-CN"/>
              </w:rPr>
            </w:pPr>
            <w:r>
              <w:rPr>
                <w:rFonts w:hint="eastAsia" w:ascii="Times New Roman" w:hAnsi="Times New Roman" w:eastAsia="宋体" w:cs="Times New Roman"/>
                <w:color w:val="auto"/>
                <w:sz w:val="22"/>
                <w:u w:val="none"/>
                <w:lang w:val="en-US" w:eastAsia="zh-CN"/>
              </w:rPr>
              <w:t>0</w:t>
            </w:r>
          </w:p>
        </w:tc>
        <w:tc>
          <w:tcPr>
            <w:tcW w:w="1379" w:type="dxa"/>
            <w:vAlign w:val="center"/>
          </w:tcPr>
          <w:p w14:paraId="4B386B25">
            <w:pPr>
              <w:jc w:val="center"/>
              <w:rPr>
                <w:rFonts w:ascii="Times New Roman" w:hAnsi="Times New Roman" w:eastAsia="宋体" w:cs="Times New Roman"/>
                <w:color w:val="auto"/>
                <w:sz w:val="22"/>
                <w:u w:val="none"/>
              </w:rPr>
            </w:pPr>
          </w:p>
        </w:tc>
        <w:tc>
          <w:tcPr>
            <w:tcW w:w="1626" w:type="dxa"/>
            <w:vAlign w:val="center"/>
          </w:tcPr>
          <w:p w14:paraId="4E735729">
            <w:pPr>
              <w:widowControl/>
              <w:jc w:val="center"/>
              <w:rPr>
                <w:rFonts w:hint="default" w:ascii="Times New Roman" w:hAnsi="Times New Roman" w:eastAsia="宋体" w:cs="Times New Roman"/>
                <w:color w:val="auto"/>
                <w:sz w:val="22"/>
                <w:u w:val="none"/>
                <w:lang w:val="en-US" w:eastAsia="zh-CN"/>
              </w:rPr>
            </w:pPr>
            <w:r>
              <w:rPr>
                <w:rFonts w:hint="eastAsia" w:ascii="Times New Roman" w:hAnsi="Times New Roman" w:eastAsia="宋体" w:cs="Times New Roman"/>
                <w:color w:val="auto"/>
                <w:sz w:val="22"/>
                <w:u w:val="none"/>
                <w:lang w:val="en-US" w:eastAsia="zh-CN"/>
              </w:rPr>
              <w:t>6.017</w:t>
            </w:r>
          </w:p>
        </w:tc>
        <w:tc>
          <w:tcPr>
            <w:tcW w:w="1399" w:type="dxa"/>
            <w:vAlign w:val="center"/>
          </w:tcPr>
          <w:p w14:paraId="39E3AF3D">
            <w:pPr>
              <w:jc w:val="center"/>
              <w:rPr>
                <w:rFonts w:hint="eastAsia" w:ascii="Times New Roman" w:hAnsi="Times New Roman" w:eastAsia="宋体" w:cs="Times New Roman"/>
                <w:color w:val="auto"/>
                <w:sz w:val="22"/>
                <w:u w:val="none"/>
                <w:lang w:val="en-US" w:eastAsia="zh-CN"/>
              </w:rPr>
            </w:pPr>
            <w:r>
              <w:rPr>
                <w:rFonts w:hint="eastAsia" w:ascii="Times New Roman" w:hAnsi="Times New Roman" w:eastAsia="宋体" w:cs="Times New Roman"/>
                <w:color w:val="auto"/>
                <w:sz w:val="22"/>
                <w:u w:val="none"/>
                <w:lang w:val="en-US" w:eastAsia="zh-CN"/>
              </w:rPr>
              <w:t>0</w:t>
            </w:r>
          </w:p>
        </w:tc>
      </w:tr>
      <w:tr w14:paraId="25C26E2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162" w:type="dxa"/>
            <w:vMerge w:val="continue"/>
            <w:vAlign w:val="center"/>
          </w:tcPr>
          <w:p w14:paraId="523CC41A">
            <w:pPr>
              <w:jc w:val="center"/>
              <w:rPr>
                <w:rFonts w:ascii="Times New Roman" w:hAnsi="Times New Roman" w:eastAsia="宋体" w:cs="Times New Roman"/>
                <w:color w:val="auto"/>
                <w:sz w:val="22"/>
                <w:u w:val="none"/>
              </w:rPr>
            </w:pPr>
          </w:p>
        </w:tc>
        <w:tc>
          <w:tcPr>
            <w:tcW w:w="2439" w:type="dxa"/>
            <w:shd w:val="clear" w:color="auto" w:fill="auto"/>
            <w:vAlign w:val="center"/>
          </w:tcPr>
          <w:p w14:paraId="003C0678">
            <w:pPr>
              <w:jc w:val="center"/>
              <w:rPr>
                <w:rFonts w:hint="eastAsia" w:ascii="Times New Roman" w:hAnsi="Times New Roman" w:eastAsia="宋体" w:cs="Times New Roman"/>
                <w:color w:val="auto"/>
                <w:kern w:val="2"/>
                <w:sz w:val="22"/>
                <w:szCs w:val="24"/>
                <w:highlight w:val="none"/>
                <w:u w:val="none"/>
                <w:lang w:val="en-US" w:eastAsia="zh-CN" w:bidi="ar-SA"/>
              </w:rPr>
            </w:pPr>
            <w:r>
              <w:rPr>
                <w:rFonts w:hint="eastAsia" w:ascii="Times New Roman" w:hAnsi="Times New Roman" w:eastAsia="宋体" w:cs="Times New Roman"/>
                <w:color w:val="auto"/>
                <w:sz w:val="22"/>
                <w:szCs w:val="24"/>
                <w:highlight w:val="none"/>
                <w:u w:val="none"/>
                <w:lang w:val="en-US" w:eastAsia="zh-CN"/>
              </w:rPr>
              <w:t>废包装物</w:t>
            </w:r>
          </w:p>
        </w:tc>
        <w:tc>
          <w:tcPr>
            <w:tcW w:w="1530" w:type="dxa"/>
            <w:shd w:val="clear" w:color="auto" w:fill="auto"/>
            <w:vAlign w:val="center"/>
          </w:tcPr>
          <w:p w14:paraId="19D0E816">
            <w:pPr>
              <w:jc w:val="center"/>
              <w:rPr>
                <w:rFonts w:hint="default" w:ascii="Times New Roman" w:hAnsi="Times New Roman" w:eastAsia="宋体" w:cs="Times New Roman"/>
                <w:color w:val="auto"/>
                <w:kern w:val="0"/>
                <w:sz w:val="22"/>
                <w:szCs w:val="24"/>
                <w:u w:val="none"/>
                <w:lang w:val="en-US" w:eastAsia="zh-CN" w:bidi="ar-SA"/>
              </w:rPr>
            </w:pPr>
            <w:r>
              <w:rPr>
                <w:rFonts w:hint="eastAsia" w:ascii="Times New Roman" w:hAnsi="Times New Roman" w:eastAsia="宋体" w:cs="Times New Roman"/>
                <w:color w:val="auto"/>
                <w:kern w:val="0"/>
                <w:sz w:val="22"/>
                <w:szCs w:val="24"/>
                <w:u w:val="none"/>
                <w:lang w:val="en-US" w:eastAsia="zh-CN"/>
              </w:rPr>
              <w:t>4.098</w:t>
            </w:r>
          </w:p>
        </w:tc>
        <w:tc>
          <w:tcPr>
            <w:tcW w:w="1276" w:type="dxa"/>
            <w:vAlign w:val="center"/>
          </w:tcPr>
          <w:p w14:paraId="7E645A33">
            <w:pPr>
              <w:jc w:val="center"/>
              <w:rPr>
                <w:rFonts w:ascii="Times New Roman" w:hAnsi="Times New Roman" w:eastAsia="宋体" w:cs="Times New Roman"/>
                <w:color w:val="auto"/>
                <w:sz w:val="22"/>
                <w:u w:val="none"/>
              </w:rPr>
            </w:pPr>
          </w:p>
        </w:tc>
        <w:tc>
          <w:tcPr>
            <w:tcW w:w="1418" w:type="dxa"/>
            <w:vAlign w:val="center"/>
          </w:tcPr>
          <w:p w14:paraId="6AE5464D">
            <w:pPr>
              <w:jc w:val="center"/>
              <w:rPr>
                <w:rFonts w:ascii="Times New Roman" w:hAnsi="Times New Roman" w:eastAsia="宋体" w:cs="Times New Roman"/>
                <w:color w:val="auto"/>
                <w:sz w:val="22"/>
                <w:u w:val="none"/>
              </w:rPr>
            </w:pPr>
          </w:p>
        </w:tc>
        <w:tc>
          <w:tcPr>
            <w:tcW w:w="1559" w:type="dxa"/>
            <w:vAlign w:val="center"/>
          </w:tcPr>
          <w:p w14:paraId="78C6DA0D">
            <w:pPr>
              <w:jc w:val="center"/>
              <w:rPr>
                <w:rFonts w:hint="eastAsia" w:ascii="Times New Roman" w:hAnsi="Times New Roman" w:eastAsia="宋体" w:cs="Times New Roman"/>
                <w:color w:val="auto"/>
                <w:sz w:val="22"/>
                <w:u w:val="none"/>
                <w:lang w:val="en-US" w:eastAsia="zh-CN"/>
              </w:rPr>
            </w:pPr>
            <w:r>
              <w:rPr>
                <w:rFonts w:hint="eastAsia" w:ascii="Times New Roman" w:hAnsi="Times New Roman" w:eastAsia="宋体" w:cs="Times New Roman"/>
                <w:color w:val="auto"/>
                <w:sz w:val="22"/>
                <w:u w:val="none"/>
                <w:lang w:val="en-US" w:eastAsia="zh-CN"/>
              </w:rPr>
              <w:t>0</w:t>
            </w:r>
          </w:p>
        </w:tc>
        <w:tc>
          <w:tcPr>
            <w:tcW w:w="1379" w:type="dxa"/>
            <w:vAlign w:val="center"/>
          </w:tcPr>
          <w:p w14:paraId="7FA81C14">
            <w:pPr>
              <w:jc w:val="center"/>
              <w:rPr>
                <w:rFonts w:ascii="Times New Roman" w:hAnsi="Times New Roman" w:eastAsia="宋体" w:cs="Times New Roman"/>
                <w:color w:val="auto"/>
                <w:sz w:val="22"/>
                <w:u w:val="none"/>
              </w:rPr>
            </w:pPr>
          </w:p>
        </w:tc>
        <w:tc>
          <w:tcPr>
            <w:tcW w:w="1626" w:type="dxa"/>
            <w:vAlign w:val="center"/>
          </w:tcPr>
          <w:p w14:paraId="6F4A391A">
            <w:pPr>
              <w:widowControl/>
              <w:jc w:val="center"/>
              <w:rPr>
                <w:rFonts w:hint="default" w:ascii="Times New Roman" w:hAnsi="Times New Roman" w:eastAsia="宋体" w:cs="Times New Roman"/>
                <w:color w:val="auto"/>
                <w:sz w:val="22"/>
                <w:u w:val="none"/>
                <w:lang w:val="en-US" w:eastAsia="zh-CN"/>
              </w:rPr>
            </w:pPr>
            <w:r>
              <w:rPr>
                <w:rFonts w:hint="eastAsia" w:ascii="Times New Roman" w:hAnsi="Times New Roman" w:eastAsia="宋体" w:cs="Times New Roman"/>
                <w:color w:val="auto"/>
                <w:sz w:val="22"/>
                <w:u w:val="none"/>
                <w:lang w:val="en-US" w:eastAsia="zh-CN"/>
              </w:rPr>
              <w:t>4.098</w:t>
            </w:r>
          </w:p>
        </w:tc>
        <w:tc>
          <w:tcPr>
            <w:tcW w:w="1399" w:type="dxa"/>
            <w:vAlign w:val="center"/>
          </w:tcPr>
          <w:p w14:paraId="0D7D94CE">
            <w:pPr>
              <w:jc w:val="center"/>
              <w:rPr>
                <w:rFonts w:hint="eastAsia" w:ascii="Times New Roman" w:hAnsi="Times New Roman" w:eastAsia="宋体" w:cs="Times New Roman"/>
                <w:color w:val="auto"/>
                <w:sz w:val="22"/>
                <w:u w:val="none"/>
                <w:lang w:val="en-US" w:eastAsia="zh-CN"/>
              </w:rPr>
            </w:pPr>
            <w:r>
              <w:rPr>
                <w:rFonts w:hint="eastAsia" w:ascii="Times New Roman" w:hAnsi="Times New Roman" w:eastAsia="宋体" w:cs="Times New Roman"/>
                <w:color w:val="auto"/>
                <w:sz w:val="22"/>
                <w:u w:val="none"/>
                <w:lang w:val="en-US" w:eastAsia="zh-CN"/>
              </w:rPr>
              <w:t>0</w:t>
            </w:r>
          </w:p>
        </w:tc>
      </w:tr>
      <w:tr w14:paraId="75DB81C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162" w:type="dxa"/>
            <w:vMerge w:val="continue"/>
            <w:vAlign w:val="center"/>
          </w:tcPr>
          <w:p w14:paraId="2F08239C">
            <w:pPr>
              <w:rPr>
                <w:rFonts w:ascii="Times New Roman" w:hAnsi="Times New Roman" w:eastAsia="宋体" w:cs="Times New Roman"/>
                <w:color w:val="auto"/>
                <w:sz w:val="22"/>
                <w:u w:val="none"/>
              </w:rPr>
            </w:pPr>
          </w:p>
        </w:tc>
        <w:tc>
          <w:tcPr>
            <w:tcW w:w="2439" w:type="dxa"/>
            <w:shd w:val="clear" w:color="auto" w:fill="auto"/>
            <w:vAlign w:val="center"/>
          </w:tcPr>
          <w:p w14:paraId="664AEAEA">
            <w:pPr>
              <w:jc w:val="center"/>
              <w:rPr>
                <w:rFonts w:hint="eastAsia" w:ascii="Times New Roman" w:hAnsi="Times New Roman" w:eastAsia="宋体" w:cs="Times New Roman"/>
                <w:color w:val="auto"/>
                <w:kern w:val="2"/>
                <w:sz w:val="22"/>
                <w:szCs w:val="24"/>
                <w:highlight w:val="none"/>
                <w:u w:val="none"/>
                <w:lang w:val="en-US" w:eastAsia="zh-CN" w:bidi="ar-SA"/>
              </w:rPr>
            </w:pPr>
            <w:r>
              <w:rPr>
                <w:rFonts w:hint="eastAsia" w:ascii="Times New Roman" w:hAnsi="Times New Roman" w:eastAsia="宋体" w:cs="Times New Roman"/>
                <w:color w:val="auto"/>
                <w:sz w:val="22"/>
                <w:szCs w:val="24"/>
                <w:highlight w:val="none"/>
                <w:u w:val="none"/>
                <w:lang w:val="en-US" w:eastAsia="zh-CN"/>
              </w:rPr>
              <w:t>废矿物油</w:t>
            </w:r>
          </w:p>
        </w:tc>
        <w:tc>
          <w:tcPr>
            <w:tcW w:w="1530" w:type="dxa"/>
            <w:shd w:val="clear" w:color="auto" w:fill="auto"/>
            <w:vAlign w:val="center"/>
          </w:tcPr>
          <w:p w14:paraId="63230BA4">
            <w:pPr>
              <w:jc w:val="center"/>
              <w:rPr>
                <w:rFonts w:hint="default" w:ascii="Times New Roman" w:hAnsi="Times New Roman" w:eastAsia="宋体" w:cs="Times New Roman"/>
                <w:color w:val="auto"/>
                <w:kern w:val="2"/>
                <w:sz w:val="22"/>
                <w:szCs w:val="24"/>
                <w:u w:val="none"/>
                <w:lang w:val="en-US" w:eastAsia="zh-CN" w:bidi="ar-SA"/>
              </w:rPr>
            </w:pPr>
            <w:r>
              <w:rPr>
                <w:rFonts w:hint="eastAsia" w:ascii="Times New Roman" w:hAnsi="Times New Roman" w:eastAsia="宋体" w:cs="Times New Roman"/>
                <w:color w:val="auto"/>
                <w:sz w:val="22"/>
                <w:szCs w:val="24"/>
                <w:u w:val="none"/>
                <w:lang w:val="en-US" w:eastAsia="zh-CN"/>
              </w:rPr>
              <w:t>0.848</w:t>
            </w:r>
          </w:p>
        </w:tc>
        <w:tc>
          <w:tcPr>
            <w:tcW w:w="1276" w:type="dxa"/>
            <w:vAlign w:val="center"/>
          </w:tcPr>
          <w:p w14:paraId="52827D5A">
            <w:pPr>
              <w:jc w:val="center"/>
              <w:rPr>
                <w:rFonts w:ascii="Times New Roman" w:hAnsi="Times New Roman" w:eastAsia="宋体" w:cs="Times New Roman"/>
                <w:color w:val="auto"/>
                <w:sz w:val="22"/>
                <w:u w:val="none"/>
              </w:rPr>
            </w:pPr>
          </w:p>
        </w:tc>
        <w:tc>
          <w:tcPr>
            <w:tcW w:w="1418" w:type="dxa"/>
            <w:vAlign w:val="center"/>
          </w:tcPr>
          <w:p w14:paraId="730FB950">
            <w:pPr>
              <w:jc w:val="center"/>
              <w:rPr>
                <w:rFonts w:ascii="Times New Roman" w:hAnsi="Times New Roman" w:eastAsia="宋体" w:cs="Times New Roman"/>
                <w:color w:val="auto"/>
                <w:sz w:val="22"/>
                <w:u w:val="none"/>
              </w:rPr>
            </w:pPr>
          </w:p>
        </w:tc>
        <w:tc>
          <w:tcPr>
            <w:tcW w:w="1559" w:type="dxa"/>
            <w:vAlign w:val="center"/>
          </w:tcPr>
          <w:p w14:paraId="3D45272D">
            <w:pPr>
              <w:jc w:val="center"/>
              <w:rPr>
                <w:rFonts w:hint="default" w:ascii="Times New Roman" w:hAnsi="Times New Roman" w:eastAsia="宋体" w:cs="Times New Roman"/>
                <w:color w:val="auto"/>
                <w:sz w:val="22"/>
                <w:u w:val="none"/>
                <w:lang w:val="en-US" w:eastAsia="zh-CN"/>
              </w:rPr>
            </w:pPr>
            <w:r>
              <w:rPr>
                <w:rFonts w:hint="eastAsia" w:ascii="Times New Roman" w:hAnsi="Times New Roman" w:eastAsia="宋体" w:cs="Times New Roman"/>
                <w:color w:val="auto"/>
                <w:sz w:val="22"/>
                <w:u w:val="none"/>
                <w:lang w:val="en-US" w:eastAsia="zh-CN"/>
              </w:rPr>
              <w:t>0.1</w:t>
            </w:r>
          </w:p>
        </w:tc>
        <w:tc>
          <w:tcPr>
            <w:tcW w:w="1379" w:type="dxa"/>
            <w:vAlign w:val="center"/>
          </w:tcPr>
          <w:p w14:paraId="20FCBF98">
            <w:pPr>
              <w:jc w:val="center"/>
              <w:rPr>
                <w:rFonts w:ascii="Times New Roman" w:hAnsi="Times New Roman" w:eastAsia="宋体" w:cs="Times New Roman"/>
                <w:color w:val="auto"/>
                <w:sz w:val="22"/>
                <w:u w:val="none"/>
              </w:rPr>
            </w:pPr>
          </w:p>
        </w:tc>
        <w:tc>
          <w:tcPr>
            <w:tcW w:w="1626" w:type="dxa"/>
            <w:vAlign w:val="center"/>
          </w:tcPr>
          <w:p w14:paraId="1B4EE052">
            <w:pPr>
              <w:jc w:val="center"/>
              <w:rPr>
                <w:rFonts w:hint="default" w:ascii="Times New Roman" w:hAnsi="Times New Roman" w:eastAsia="宋体" w:cs="Times New Roman"/>
                <w:color w:val="auto"/>
                <w:sz w:val="22"/>
                <w:u w:val="none"/>
                <w:lang w:val="en-US" w:eastAsia="zh-CN"/>
              </w:rPr>
            </w:pPr>
            <w:r>
              <w:rPr>
                <w:rFonts w:hint="eastAsia" w:ascii="Times New Roman" w:hAnsi="Times New Roman" w:eastAsia="宋体" w:cs="Times New Roman"/>
                <w:color w:val="auto"/>
                <w:sz w:val="22"/>
                <w:u w:val="none"/>
                <w:lang w:val="en-US" w:eastAsia="zh-CN"/>
              </w:rPr>
              <w:t>0.948</w:t>
            </w:r>
          </w:p>
        </w:tc>
        <w:tc>
          <w:tcPr>
            <w:tcW w:w="1399" w:type="dxa"/>
            <w:vAlign w:val="center"/>
          </w:tcPr>
          <w:p w14:paraId="3C0062CF">
            <w:pPr>
              <w:jc w:val="center"/>
              <w:rPr>
                <w:rFonts w:hint="default" w:ascii="Times New Roman" w:hAnsi="Times New Roman" w:eastAsia="宋体" w:cs="Times New Roman"/>
                <w:color w:val="auto"/>
                <w:sz w:val="22"/>
                <w:u w:val="none"/>
                <w:lang w:val="en-US" w:eastAsia="zh-CN"/>
              </w:rPr>
            </w:pPr>
            <w:r>
              <w:rPr>
                <w:rFonts w:hint="eastAsia" w:ascii="Times New Roman" w:hAnsi="Times New Roman" w:eastAsia="宋体" w:cs="Times New Roman"/>
                <w:color w:val="auto"/>
                <w:sz w:val="22"/>
                <w:u w:val="none"/>
                <w:lang w:val="en-US" w:eastAsia="zh-CN"/>
              </w:rPr>
              <w:t>+0.1</w:t>
            </w:r>
          </w:p>
        </w:tc>
      </w:tr>
      <w:tr w14:paraId="1DBD98D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162" w:type="dxa"/>
            <w:vMerge w:val="continue"/>
            <w:vAlign w:val="center"/>
          </w:tcPr>
          <w:p w14:paraId="010F972D">
            <w:pPr>
              <w:rPr>
                <w:rFonts w:ascii="Times New Roman" w:hAnsi="Times New Roman" w:eastAsia="宋体" w:cs="Times New Roman"/>
                <w:color w:val="auto"/>
                <w:sz w:val="22"/>
                <w:u w:val="none"/>
              </w:rPr>
            </w:pPr>
          </w:p>
        </w:tc>
        <w:tc>
          <w:tcPr>
            <w:tcW w:w="2439" w:type="dxa"/>
            <w:shd w:val="clear" w:color="auto" w:fill="auto"/>
            <w:vAlign w:val="center"/>
          </w:tcPr>
          <w:p w14:paraId="4E275D02">
            <w:pPr>
              <w:jc w:val="center"/>
              <w:rPr>
                <w:rFonts w:hint="default" w:ascii="Times New Roman" w:hAnsi="Times New Roman" w:eastAsia="宋体" w:cs="Times New Roman"/>
                <w:color w:val="auto"/>
                <w:kern w:val="2"/>
                <w:sz w:val="22"/>
                <w:szCs w:val="24"/>
                <w:highlight w:val="none"/>
                <w:u w:val="none"/>
                <w:lang w:val="en-US" w:eastAsia="zh-CN" w:bidi="ar-SA"/>
              </w:rPr>
            </w:pPr>
            <w:r>
              <w:rPr>
                <w:rFonts w:hint="eastAsia" w:ascii="Times New Roman" w:hAnsi="Times New Roman" w:eastAsia="宋体" w:cs="Times New Roman"/>
                <w:color w:val="auto"/>
                <w:sz w:val="22"/>
                <w:szCs w:val="24"/>
                <w:highlight w:val="none"/>
                <w:u w:val="none"/>
                <w:lang w:val="en-US" w:eastAsia="zh-CN"/>
              </w:rPr>
              <w:t>釜残液</w:t>
            </w:r>
          </w:p>
        </w:tc>
        <w:tc>
          <w:tcPr>
            <w:tcW w:w="1530" w:type="dxa"/>
            <w:shd w:val="clear" w:color="auto" w:fill="auto"/>
            <w:vAlign w:val="center"/>
          </w:tcPr>
          <w:p w14:paraId="5727F064">
            <w:pPr>
              <w:jc w:val="center"/>
              <w:rPr>
                <w:rFonts w:hint="default" w:ascii="Times New Roman" w:hAnsi="Times New Roman" w:eastAsia="宋体" w:cs="Times New Roman"/>
                <w:color w:val="auto"/>
                <w:kern w:val="2"/>
                <w:sz w:val="22"/>
                <w:szCs w:val="24"/>
                <w:u w:val="none"/>
                <w:lang w:val="en-US" w:eastAsia="zh-CN" w:bidi="ar-SA"/>
              </w:rPr>
            </w:pPr>
            <w:r>
              <w:rPr>
                <w:rFonts w:hint="eastAsia" w:ascii="Times New Roman" w:hAnsi="Times New Roman" w:eastAsia="宋体" w:cs="Times New Roman"/>
                <w:color w:val="auto"/>
                <w:sz w:val="22"/>
                <w:szCs w:val="24"/>
                <w:u w:val="none"/>
                <w:lang w:val="en-US" w:eastAsia="zh-CN"/>
              </w:rPr>
              <w:t>301.09</w:t>
            </w:r>
          </w:p>
        </w:tc>
        <w:tc>
          <w:tcPr>
            <w:tcW w:w="1276" w:type="dxa"/>
            <w:vAlign w:val="center"/>
          </w:tcPr>
          <w:p w14:paraId="323E0964">
            <w:pPr>
              <w:jc w:val="center"/>
              <w:rPr>
                <w:rFonts w:ascii="Times New Roman" w:hAnsi="Times New Roman" w:eastAsia="宋体" w:cs="Times New Roman"/>
                <w:color w:val="auto"/>
                <w:sz w:val="22"/>
                <w:u w:val="none"/>
              </w:rPr>
            </w:pPr>
          </w:p>
        </w:tc>
        <w:tc>
          <w:tcPr>
            <w:tcW w:w="1418" w:type="dxa"/>
            <w:vAlign w:val="center"/>
          </w:tcPr>
          <w:p w14:paraId="10FB0BBC">
            <w:pPr>
              <w:jc w:val="center"/>
              <w:rPr>
                <w:rFonts w:ascii="Times New Roman" w:hAnsi="Times New Roman" w:eastAsia="宋体" w:cs="Times New Roman"/>
                <w:color w:val="auto"/>
                <w:sz w:val="22"/>
                <w:u w:val="none"/>
              </w:rPr>
            </w:pPr>
          </w:p>
        </w:tc>
        <w:tc>
          <w:tcPr>
            <w:tcW w:w="1559" w:type="dxa"/>
            <w:vAlign w:val="center"/>
          </w:tcPr>
          <w:p w14:paraId="09FDECF0">
            <w:pPr>
              <w:jc w:val="center"/>
              <w:rPr>
                <w:rFonts w:hint="eastAsia" w:ascii="Times New Roman" w:hAnsi="Times New Roman" w:eastAsia="宋体" w:cs="Times New Roman"/>
                <w:color w:val="auto"/>
                <w:sz w:val="22"/>
                <w:u w:val="none"/>
                <w:lang w:val="en-US" w:eastAsia="zh-CN"/>
              </w:rPr>
            </w:pPr>
            <w:r>
              <w:rPr>
                <w:rFonts w:hint="eastAsia" w:ascii="Times New Roman" w:hAnsi="Times New Roman" w:eastAsia="宋体" w:cs="Times New Roman"/>
                <w:color w:val="auto"/>
                <w:sz w:val="22"/>
                <w:u w:val="none"/>
                <w:lang w:val="en-US" w:eastAsia="zh-CN"/>
              </w:rPr>
              <w:t>0</w:t>
            </w:r>
          </w:p>
        </w:tc>
        <w:tc>
          <w:tcPr>
            <w:tcW w:w="1379" w:type="dxa"/>
            <w:vAlign w:val="center"/>
          </w:tcPr>
          <w:p w14:paraId="6D776B28">
            <w:pPr>
              <w:jc w:val="center"/>
              <w:rPr>
                <w:rFonts w:ascii="Times New Roman" w:hAnsi="Times New Roman" w:eastAsia="宋体" w:cs="Times New Roman"/>
                <w:color w:val="auto"/>
                <w:sz w:val="22"/>
                <w:u w:val="none"/>
              </w:rPr>
            </w:pPr>
          </w:p>
        </w:tc>
        <w:tc>
          <w:tcPr>
            <w:tcW w:w="1626" w:type="dxa"/>
            <w:vAlign w:val="center"/>
          </w:tcPr>
          <w:p w14:paraId="1956D1AC">
            <w:pPr>
              <w:jc w:val="center"/>
              <w:rPr>
                <w:rFonts w:hint="default" w:ascii="Times New Roman" w:hAnsi="Times New Roman" w:eastAsia="宋体" w:cs="Times New Roman"/>
                <w:color w:val="auto"/>
                <w:sz w:val="22"/>
                <w:u w:val="none"/>
                <w:lang w:val="en-US" w:eastAsia="zh-CN"/>
              </w:rPr>
            </w:pPr>
            <w:r>
              <w:rPr>
                <w:rFonts w:hint="eastAsia" w:ascii="Times New Roman" w:hAnsi="Times New Roman" w:eastAsia="宋体" w:cs="Times New Roman"/>
                <w:color w:val="auto"/>
                <w:sz w:val="22"/>
                <w:u w:val="none"/>
                <w:lang w:val="en-US" w:eastAsia="zh-CN"/>
              </w:rPr>
              <w:t>301.09</w:t>
            </w:r>
          </w:p>
        </w:tc>
        <w:tc>
          <w:tcPr>
            <w:tcW w:w="1399" w:type="dxa"/>
            <w:vAlign w:val="center"/>
          </w:tcPr>
          <w:p w14:paraId="32B67BF1">
            <w:pPr>
              <w:jc w:val="center"/>
              <w:rPr>
                <w:rFonts w:hint="default" w:ascii="Times New Roman" w:hAnsi="Times New Roman" w:eastAsia="宋体" w:cs="Times New Roman"/>
                <w:color w:val="auto"/>
                <w:sz w:val="22"/>
                <w:u w:val="none"/>
                <w:lang w:val="en-US" w:eastAsia="zh-CN"/>
              </w:rPr>
            </w:pPr>
            <w:r>
              <w:rPr>
                <w:rFonts w:hint="eastAsia" w:ascii="Times New Roman" w:hAnsi="Times New Roman" w:eastAsia="宋体" w:cs="Times New Roman"/>
                <w:color w:val="auto"/>
                <w:sz w:val="22"/>
                <w:u w:val="none"/>
                <w:lang w:val="en-US" w:eastAsia="zh-CN"/>
              </w:rPr>
              <w:t>0</w:t>
            </w:r>
          </w:p>
        </w:tc>
      </w:tr>
      <w:tr w14:paraId="161B2B3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162" w:type="dxa"/>
            <w:vMerge w:val="continue"/>
            <w:vAlign w:val="center"/>
          </w:tcPr>
          <w:p w14:paraId="631C3CD1">
            <w:pPr>
              <w:rPr>
                <w:rFonts w:ascii="Times New Roman" w:hAnsi="Times New Roman" w:eastAsia="宋体" w:cs="Times New Roman"/>
                <w:color w:val="auto"/>
                <w:sz w:val="22"/>
                <w:u w:val="none"/>
              </w:rPr>
            </w:pPr>
          </w:p>
        </w:tc>
        <w:tc>
          <w:tcPr>
            <w:tcW w:w="2439" w:type="dxa"/>
            <w:shd w:val="clear" w:color="auto" w:fill="auto"/>
            <w:vAlign w:val="center"/>
          </w:tcPr>
          <w:p w14:paraId="7871A750">
            <w:pPr>
              <w:jc w:val="center"/>
              <w:rPr>
                <w:rFonts w:hint="default" w:ascii="Times New Roman" w:hAnsi="Times New Roman" w:eastAsia="宋体" w:cs="Times New Roman"/>
                <w:color w:val="auto"/>
                <w:sz w:val="22"/>
                <w:szCs w:val="24"/>
                <w:highlight w:val="none"/>
                <w:u w:val="none"/>
                <w:lang w:val="en-US" w:eastAsia="zh-CN"/>
              </w:rPr>
            </w:pPr>
            <w:r>
              <w:rPr>
                <w:rFonts w:hint="eastAsia" w:ascii="Times New Roman" w:hAnsi="Times New Roman" w:eastAsia="宋体" w:cs="Times New Roman"/>
                <w:color w:val="auto"/>
                <w:sz w:val="22"/>
                <w:szCs w:val="24"/>
                <w:highlight w:val="none"/>
                <w:u w:val="none"/>
                <w:lang w:val="en-US" w:eastAsia="zh-CN"/>
              </w:rPr>
              <w:t>污水站污泥</w:t>
            </w:r>
          </w:p>
        </w:tc>
        <w:tc>
          <w:tcPr>
            <w:tcW w:w="1530" w:type="dxa"/>
            <w:shd w:val="clear" w:color="auto" w:fill="auto"/>
            <w:vAlign w:val="center"/>
          </w:tcPr>
          <w:p w14:paraId="72334FCC">
            <w:pPr>
              <w:jc w:val="center"/>
              <w:rPr>
                <w:rFonts w:hint="default" w:ascii="Times New Roman" w:hAnsi="Times New Roman" w:eastAsia="宋体" w:cs="Times New Roman"/>
                <w:color w:val="auto"/>
                <w:sz w:val="22"/>
                <w:szCs w:val="24"/>
                <w:u w:val="none"/>
                <w:lang w:val="en-US" w:eastAsia="zh-CN"/>
              </w:rPr>
            </w:pPr>
            <w:r>
              <w:rPr>
                <w:rFonts w:hint="eastAsia" w:ascii="Times New Roman" w:hAnsi="Times New Roman" w:eastAsia="宋体" w:cs="Times New Roman"/>
                <w:color w:val="auto"/>
                <w:sz w:val="22"/>
                <w:szCs w:val="24"/>
                <w:u w:val="none"/>
                <w:lang w:val="en-US" w:eastAsia="zh-CN"/>
              </w:rPr>
              <w:t>0</w:t>
            </w:r>
          </w:p>
        </w:tc>
        <w:tc>
          <w:tcPr>
            <w:tcW w:w="1276" w:type="dxa"/>
            <w:vAlign w:val="center"/>
          </w:tcPr>
          <w:p w14:paraId="3EFEB6ED">
            <w:pPr>
              <w:jc w:val="center"/>
              <w:rPr>
                <w:rFonts w:ascii="Times New Roman" w:hAnsi="Times New Roman" w:eastAsia="宋体" w:cs="Times New Roman"/>
                <w:color w:val="auto"/>
                <w:sz w:val="22"/>
                <w:u w:val="none"/>
              </w:rPr>
            </w:pPr>
          </w:p>
        </w:tc>
        <w:tc>
          <w:tcPr>
            <w:tcW w:w="1418" w:type="dxa"/>
            <w:vAlign w:val="center"/>
          </w:tcPr>
          <w:p w14:paraId="0C2200E8">
            <w:pPr>
              <w:jc w:val="center"/>
              <w:rPr>
                <w:rFonts w:ascii="Times New Roman" w:hAnsi="Times New Roman" w:eastAsia="宋体" w:cs="Times New Roman"/>
                <w:color w:val="auto"/>
                <w:sz w:val="22"/>
                <w:u w:val="none"/>
              </w:rPr>
            </w:pPr>
          </w:p>
        </w:tc>
        <w:tc>
          <w:tcPr>
            <w:tcW w:w="1559" w:type="dxa"/>
            <w:vAlign w:val="center"/>
          </w:tcPr>
          <w:p w14:paraId="74441AC3">
            <w:pPr>
              <w:jc w:val="center"/>
              <w:rPr>
                <w:rFonts w:hint="default" w:ascii="Times New Roman" w:hAnsi="Times New Roman" w:eastAsia="宋体" w:cs="Times New Roman"/>
                <w:color w:val="auto"/>
                <w:sz w:val="22"/>
                <w:u w:val="none"/>
                <w:lang w:val="en-US" w:eastAsia="zh-CN"/>
              </w:rPr>
            </w:pPr>
            <w:r>
              <w:rPr>
                <w:rFonts w:hint="eastAsia" w:ascii="Times New Roman" w:hAnsi="Times New Roman" w:eastAsia="宋体" w:cs="Times New Roman"/>
                <w:color w:val="auto"/>
                <w:sz w:val="22"/>
                <w:u w:val="none"/>
                <w:lang w:val="en-US" w:eastAsia="zh-CN"/>
              </w:rPr>
              <w:t>93.72</w:t>
            </w:r>
          </w:p>
        </w:tc>
        <w:tc>
          <w:tcPr>
            <w:tcW w:w="1379" w:type="dxa"/>
            <w:vAlign w:val="center"/>
          </w:tcPr>
          <w:p w14:paraId="021072CA">
            <w:pPr>
              <w:jc w:val="center"/>
              <w:rPr>
                <w:rFonts w:ascii="Times New Roman" w:hAnsi="Times New Roman" w:eastAsia="宋体" w:cs="Times New Roman"/>
                <w:color w:val="auto"/>
                <w:sz w:val="22"/>
                <w:u w:val="none"/>
              </w:rPr>
            </w:pPr>
          </w:p>
        </w:tc>
        <w:tc>
          <w:tcPr>
            <w:tcW w:w="1626" w:type="dxa"/>
            <w:vAlign w:val="center"/>
          </w:tcPr>
          <w:p w14:paraId="237B4AF7">
            <w:pPr>
              <w:jc w:val="center"/>
              <w:rPr>
                <w:rFonts w:hint="default" w:ascii="Times New Roman" w:hAnsi="Times New Roman" w:eastAsia="宋体" w:cs="Times New Roman"/>
                <w:color w:val="auto"/>
                <w:sz w:val="22"/>
                <w:u w:val="none"/>
                <w:lang w:val="en-US" w:eastAsia="zh-CN"/>
              </w:rPr>
            </w:pPr>
            <w:r>
              <w:rPr>
                <w:rFonts w:hint="eastAsia" w:ascii="Times New Roman" w:hAnsi="Times New Roman" w:eastAsia="宋体" w:cs="Times New Roman"/>
                <w:color w:val="auto"/>
                <w:sz w:val="22"/>
                <w:u w:val="none"/>
                <w:lang w:val="en-US" w:eastAsia="zh-CN"/>
              </w:rPr>
              <w:t>93.72</w:t>
            </w:r>
          </w:p>
        </w:tc>
        <w:tc>
          <w:tcPr>
            <w:tcW w:w="1399" w:type="dxa"/>
            <w:vAlign w:val="center"/>
          </w:tcPr>
          <w:p w14:paraId="3F57FFE4">
            <w:pPr>
              <w:jc w:val="center"/>
              <w:rPr>
                <w:rFonts w:hint="default" w:ascii="Times New Roman" w:hAnsi="Times New Roman" w:eastAsia="宋体" w:cs="Times New Roman"/>
                <w:color w:val="auto"/>
                <w:sz w:val="22"/>
                <w:u w:val="none"/>
                <w:lang w:val="en-US" w:eastAsia="zh-CN"/>
              </w:rPr>
            </w:pPr>
            <w:r>
              <w:rPr>
                <w:rFonts w:hint="eastAsia" w:ascii="Times New Roman" w:hAnsi="Times New Roman" w:eastAsia="宋体" w:cs="Times New Roman"/>
                <w:color w:val="auto"/>
                <w:sz w:val="22"/>
                <w:u w:val="none"/>
                <w:lang w:val="en-US" w:eastAsia="zh-CN"/>
              </w:rPr>
              <w:t>+93.72</w:t>
            </w:r>
          </w:p>
        </w:tc>
      </w:tr>
      <w:bookmarkEnd w:id="213"/>
    </w:tbl>
    <w:p w14:paraId="1D6EEE41">
      <w:pPr>
        <w:spacing w:line="360" w:lineRule="auto"/>
        <w:ind w:firstLine="480" w:firstLineChars="200"/>
        <w:rPr>
          <w:rFonts w:ascii="Times New Roman" w:hAnsi="Times New Roman" w:eastAsia="宋体" w:cs="Times New Roman"/>
          <w:color w:val="FF0000"/>
          <w:sz w:val="24"/>
          <w:szCs w:val="24"/>
        </w:rPr>
      </w:pPr>
    </w:p>
    <w:p w14:paraId="7D673803">
      <w:pPr>
        <w:spacing w:line="360" w:lineRule="auto"/>
        <w:ind w:firstLine="480" w:firstLineChars="200"/>
        <w:rPr>
          <w:rFonts w:ascii="Times New Roman" w:hAnsi="Times New Roman" w:eastAsia="宋体" w:cs="Times New Roman"/>
          <w:color w:val="FF0000"/>
          <w:sz w:val="24"/>
          <w:szCs w:val="24"/>
        </w:rPr>
      </w:pPr>
    </w:p>
    <w:p w14:paraId="7BDCBA81">
      <w:pPr>
        <w:spacing w:line="360" w:lineRule="auto"/>
        <w:ind w:firstLine="480" w:firstLineChars="200"/>
        <w:rPr>
          <w:rFonts w:ascii="Times New Roman" w:hAnsi="Times New Roman" w:eastAsia="宋体" w:cs="Times New Roman"/>
          <w:color w:val="FF0000"/>
          <w:sz w:val="24"/>
          <w:szCs w:val="24"/>
        </w:rPr>
      </w:pPr>
    </w:p>
    <w:p w14:paraId="5DEBEAF6">
      <w:pPr>
        <w:spacing w:line="360" w:lineRule="auto"/>
        <w:ind w:firstLine="480" w:firstLineChars="200"/>
        <w:rPr>
          <w:rFonts w:ascii="Times New Roman" w:hAnsi="Times New Roman" w:eastAsia="宋体" w:cs="Times New Roman"/>
          <w:color w:val="FF0000"/>
          <w:sz w:val="24"/>
          <w:szCs w:val="24"/>
        </w:rPr>
      </w:pPr>
    </w:p>
    <w:p w14:paraId="0FF14293">
      <w:pPr>
        <w:spacing w:line="360" w:lineRule="auto"/>
        <w:ind w:firstLine="480" w:firstLineChars="200"/>
        <w:rPr>
          <w:rFonts w:ascii="Times New Roman" w:hAnsi="Times New Roman" w:eastAsia="宋体" w:cs="Times New Roman"/>
          <w:color w:val="FF0000"/>
          <w:sz w:val="24"/>
          <w:szCs w:val="24"/>
        </w:rPr>
        <w:sectPr>
          <w:pgSz w:w="16838" w:h="11906" w:orient="landscape"/>
          <w:pgMar w:top="1800" w:right="1440" w:bottom="1800" w:left="1440" w:header="851" w:footer="992" w:gutter="0"/>
          <w:pgNumType w:fmt="numberInDash"/>
          <w:cols w:space="425" w:num="1"/>
          <w:docGrid w:type="lines" w:linePitch="312" w:charSpace="0"/>
        </w:sectPr>
      </w:pPr>
      <w:bookmarkStart w:id="349" w:name="_GoBack"/>
      <w:bookmarkEnd w:id="349"/>
    </w:p>
    <w:p w14:paraId="5EA3E868">
      <w:pPr>
        <w:pStyle w:val="3"/>
        <w:spacing w:before="0" w:beforeAutospacing="0" w:after="0" w:afterAutospacing="0" w:line="240" w:lineRule="auto"/>
        <w:rPr>
          <w:rFonts w:ascii="Times New Roman" w:hAnsi="Times New Roman"/>
          <w:color w:val="auto"/>
        </w:rPr>
      </w:pPr>
      <w:bookmarkStart w:id="214" w:name="_Toc24467"/>
      <w:bookmarkStart w:id="215" w:name="_Toc19453"/>
      <w:r>
        <w:rPr>
          <w:rFonts w:hint="eastAsia" w:ascii="Times New Roman" w:hAnsi="Times New Roman"/>
          <w:color w:val="auto"/>
          <w:kern w:val="0"/>
          <w:sz w:val="28"/>
          <w:szCs w:val="28"/>
        </w:rPr>
        <w:t>4</w:t>
      </w:r>
      <w:r>
        <w:rPr>
          <w:rFonts w:ascii="Times New Roman" w:hAnsi="Times New Roman"/>
          <w:color w:val="auto"/>
          <w:kern w:val="0"/>
          <w:sz w:val="28"/>
          <w:szCs w:val="28"/>
        </w:rPr>
        <w:t>.</w:t>
      </w:r>
      <w:r>
        <w:rPr>
          <w:rFonts w:hint="eastAsia" w:ascii="Times New Roman" w:hAnsi="Times New Roman"/>
          <w:color w:val="auto"/>
          <w:kern w:val="0"/>
          <w:sz w:val="28"/>
          <w:szCs w:val="28"/>
        </w:rPr>
        <w:t>7总量控制</w:t>
      </w:r>
      <w:bookmarkEnd w:id="214"/>
      <w:bookmarkEnd w:id="215"/>
    </w:p>
    <w:p w14:paraId="5117BB5E">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根据2022年5月11日湖南省人民政府关于印发《湖南省主要污染物排污权有偿使用和交易管理办法》的通知（湘政发［2022］23号），主要污染物排污权有偿使用和交易活动是指化学需氧量、氨氮、二氧化硫、氮氧化物、铅、镉、砷、汞、铬、挥发性有机物、总磷等十一类污染物，主要污染物排污权有偿使用，是指排污单位按照国家或者地方规定的污染物排放标准，以及污染物排放总量控制要求，经核定允许其在一定期限内排放主要污染物种类和数量的权利。</w:t>
      </w:r>
    </w:p>
    <w:p w14:paraId="167BD9F8">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根据建设项目污染物排放特点，确定的污染物排放总量控制因子为：</w:t>
      </w:r>
      <w:r>
        <w:rPr>
          <w:rFonts w:hint="eastAsia" w:ascii="Times New Roman" w:hAnsi="Times New Roman" w:eastAsia="宋体" w:cs="Times New Roman"/>
          <w:color w:val="auto"/>
          <w:sz w:val="24"/>
          <w:szCs w:val="24"/>
          <w:lang w:val="en-US" w:eastAsia="zh-CN"/>
        </w:rPr>
        <w:t>挥发性有机物、</w:t>
      </w:r>
      <w:r>
        <w:rPr>
          <w:rFonts w:hint="eastAsia" w:ascii="Times New Roman" w:hAnsi="Times New Roman" w:eastAsia="宋体" w:cs="Times New Roman"/>
          <w:color w:val="auto"/>
          <w:sz w:val="24"/>
          <w:szCs w:val="24"/>
        </w:rPr>
        <w:t>COD</w:t>
      </w:r>
      <w:r>
        <w:rPr>
          <w:rFonts w:hint="eastAsia" w:ascii="Times New Roman" w:hAnsi="Times New Roman" w:eastAsia="宋体" w:cs="Times New Roman"/>
          <w:color w:val="auto"/>
          <w:sz w:val="24"/>
          <w:szCs w:val="24"/>
          <w:vertAlign w:val="subscript"/>
        </w:rPr>
        <w:t>Cr</w:t>
      </w:r>
      <w:r>
        <w:rPr>
          <w:rFonts w:hint="eastAsia" w:ascii="Times New Roman" w:hAnsi="Times New Roman" w:eastAsia="宋体" w:cs="Times New Roman"/>
          <w:color w:val="auto"/>
          <w:sz w:val="24"/>
          <w:szCs w:val="24"/>
        </w:rPr>
        <w:t>、NH</w:t>
      </w:r>
      <w:r>
        <w:rPr>
          <w:rFonts w:hint="eastAsia" w:ascii="Times New Roman" w:hAnsi="Times New Roman" w:eastAsia="宋体" w:cs="Times New Roman"/>
          <w:color w:val="auto"/>
          <w:sz w:val="24"/>
          <w:szCs w:val="24"/>
          <w:vertAlign w:val="subscript"/>
        </w:rPr>
        <w:t>3</w:t>
      </w:r>
      <w:r>
        <w:rPr>
          <w:rFonts w:hint="eastAsia" w:ascii="Times New Roman" w:hAnsi="Times New Roman" w:eastAsia="宋体" w:cs="Times New Roman"/>
          <w:color w:val="auto"/>
          <w:sz w:val="24"/>
          <w:szCs w:val="24"/>
        </w:rPr>
        <w:t>-N。</w:t>
      </w:r>
    </w:p>
    <w:p w14:paraId="2865CA40">
      <w:pPr>
        <w:spacing w:line="360" w:lineRule="auto"/>
        <w:ind w:firstLine="480" w:firstLineChars="200"/>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rPr>
        <w:t>根据工程分析，本项目新增废水排放总量为</w:t>
      </w:r>
      <w:r>
        <w:rPr>
          <w:rFonts w:hint="eastAsia" w:ascii="Times New Roman" w:hAnsi="Times New Roman" w:eastAsia="宋体" w:cs="Times New Roman"/>
          <w:color w:val="auto"/>
          <w:sz w:val="24"/>
          <w:szCs w:val="24"/>
          <w:lang w:val="en-US" w:eastAsia="zh-CN"/>
        </w:rPr>
        <w:t>109340.84</w:t>
      </w:r>
      <w:r>
        <w:rPr>
          <w:rFonts w:hint="eastAsia" w:ascii="Times New Roman" w:hAnsi="Times New Roman" w:eastAsia="宋体" w:cs="Times New Roman"/>
          <w:color w:val="auto"/>
          <w:sz w:val="24"/>
          <w:szCs w:val="24"/>
          <w:lang w:eastAsia="zh-CN"/>
        </w:rPr>
        <w:t>m</w:t>
      </w:r>
      <w:r>
        <w:rPr>
          <w:rFonts w:hint="eastAsia" w:ascii="Times New Roman" w:hAnsi="Times New Roman" w:eastAsia="宋体" w:cs="Times New Roman"/>
          <w:color w:val="auto"/>
          <w:sz w:val="24"/>
          <w:szCs w:val="24"/>
          <w:vertAlign w:val="superscript"/>
          <w:lang w:eastAsia="zh-CN"/>
        </w:rPr>
        <w:t>3</w:t>
      </w:r>
      <w:r>
        <w:rPr>
          <w:rFonts w:hint="eastAsia" w:ascii="Times New Roman" w:hAnsi="Times New Roman" w:eastAsia="宋体" w:cs="Times New Roman"/>
          <w:color w:val="auto"/>
          <w:sz w:val="24"/>
          <w:szCs w:val="24"/>
        </w:rPr>
        <w:t>/a，废水经厂区总排口排入津市高新区工业污水处理厂深度处理，废水排放执行《城镇污水处理厂污染物排放标准》（GB18918-2002）表1中一级A标准排放标准限值，COD排放浓度为50mg/L，NH</w:t>
      </w:r>
      <w:r>
        <w:rPr>
          <w:rFonts w:hint="eastAsia" w:ascii="Times New Roman" w:hAnsi="Times New Roman" w:eastAsia="宋体" w:cs="Times New Roman"/>
          <w:color w:val="auto"/>
          <w:sz w:val="24"/>
          <w:szCs w:val="24"/>
          <w:vertAlign w:val="subscript"/>
        </w:rPr>
        <w:t>3</w:t>
      </w:r>
      <w:r>
        <w:rPr>
          <w:rFonts w:hint="eastAsia" w:ascii="Times New Roman" w:hAnsi="Times New Roman" w:eastAsia="宋体" w:cs="Times New Roman"/>
          <w:color w:val="auto"/>
          <w:sz w:val="24"/>
          <w:szCs w:val="24"/>
        </w:rPr>
        <w:t>-N排放浓度为8mg/L</w:t>
      </w:r>
      <w:r>
        <w:rPr>
          <w:rFonts w:hint="eastAsia" w:ascii="Times New Roman" w:hAnsi="Times New Roman" w:eastAsia="宋体" w:cs="Times New Roman"/>
          <w:color w:val="auto"/>
          <w:sz w:val="24"/>
          <w:szCs w:val="24"/>
          <w:lang w:eastAsia="zh-CN"/>
        </w:rPr>
        <w:t>。</w:t>
      </w:r>
    </w:p>
    <w:p w14:paraId="640CB3D8">
      <w:pPr>
        <w:pStyle w:val="6"/>
        <w:bidi w:val="0"/>
      </w:pPr>
      <w:r>
        <w:rPr>
          <w:rFonts w:hint="eastAsia"/>
        </w:rPr>
        <w:t>表4.7-1    本项目新增总量控制指标 单位：t/a</w:t>
      </w:r>
    </w:p>
    <w:tbl>
      <w:tblPr>
        <w:tblStyle w:val="4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1"/>
        <w:gridCol w:w="1843"/>
        <w:gridCol w:w="1559"/>
        <w:gridCol w:w="1559"/>
        <w:gridCol w:w="2064"/>
      </w:tblGrid>
      <w:tr w14:paraId="5EC21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Align w:val="center"/>
          </w:tcPr>
          <w:p w14:paraId="565C40F5">
            <w:pPr>
              <w:jc w:val="center"/>
              <w:rPr>
                <w:rFonts w:ascii="Times New Roman" w:hAnsi="Times New Roman" w:eastAsia="宋体" w:cs="Times New Roman"/>
                <w:color w:val="auto"/>
                <w:sz w:val="22"/>
              </w:rPr>
            </w:pPr>
            <w:r>
              <w:rPr>
                <w:rFonts w:hint="eastAsia" w:ascii="Times New Roman" w:hAnsi="Times New Roman" w:eastAsia="宋体" w:cs="Times New Roman"/>
                <w:color w:val="auto"/>
                <w:sz w:val="22"/>
              </w:rPr>
              <w:t>类型</w:t>
            </w:r>
          </w:p>
        </w:tc>
        <w:tc>
          <w:tcPr>
            <w:tcW w:w="1843" w:type="dxa"/>
            <w:vAlign w:val="center"/>
          </w:tcPr>
          <w:p w14:paraId="2C34C887">
            <w:pPr>
              <w:jc w:val="center"/>
              <w:rPr>
                <w:rFonts w:ascii="Times New Roman" w:hAnsi="Times New Roman" w:eastAsia="宋体" w:cs="Times New Roman"/>
                <w:color w:val="auto"/>
                <w:sz w:val="22"/>
              </w:rPr>
            </w:pPr>
            <w:r>
              <w:rPr>
                <w:rFonts w:hint="eastAsia" w:ascii="Times New Roman" w:hAnsi="Times New Roman" w:eastAsia="宋体" w:cs="Times New Roman"/>
                <w:color w:val="auto"/>
                <w:sz w:val="22"/>
              </w:rPr>
              <w:t>废水/废气量</w:t>
            </w:r>
          </w:p>
        </w:tc>
        <w:tc>
          <w:tcPr>
            <w:tcW w:w="1559" w:type="dxa"/>
            <w:vAlign w:val="center"/>
          </w:tcPr>
          <w:p w14:paraId="7FFDAE7E">
            <w:pPr>
              <w:jc w:val="center"/>
              <w:rPr>
                <w:rFonts w:ascii="Times New Roman" w:hAnsi="Times New Roman" w:eastAsia="宋体" w:cs="Times New Roman"/>
                <w:color w:val="auto"/>
                <w:sz w:val="22"/>
              </w:rPr>
            </w:pPr>
            <w:r>
              <w:rPr>
                <w:rFonts w:hint="eastAsia" w:ascii="Times New Roman" w:hAnsi="Times New Roman" w:eastAsia="宋体" w:cs="Times New Roman"/>
                <w:color w:val="auto"/>
                <w:sz w:val="22"/>
              </w:rPr>
              <w:t>污染物种类</w:t>
            </w:r>
          </w:p>
        </w:tc>
        <w:tc>
          <w:tcPr>
            <w:tcW w:w="1559" w:type="dxa"/>
            <w:vAlign w:val="center"/>
          </w:tcPr>
          <w:p w14:paraId="421C149B">
            <w:pPr>
              <w:jc w:val="center"/>
              <w:rPr>
                <w:rFonts w:ascii="Times New Roman" w:hAnsi="Times New Roman" w:eastAsia="宋体" w:cs="Times New Roman"/>
                <w:color w:val="auto"/>
                <w:sz w:val="22"/>
              </w:rPr>
            </w:pPr>
            <w:r>
              <w:rPr>
                <w:rFonts w:hint="eastAsia" w:ascii="Times New Roman" w:hAnsi="Times New Roman" w:eastAsia="宋体" w:cs="Times New Roman"/>
                <w:color w:val="auto"/>
                <w:sz w:val="22"/>
              </w:rPr>
              <w:t>排放标准</w:t>
            </w:r>
          </w:p>
        </w:tc>
        <w:tc>
          <w:tcPr>
            <w:tcW w:w="2064" w:type="dxa"/>
            <w:vAlign w:val="center"/>
          </w:tcPr>
          <w:p w14:paraId="4A4F4976">
            <w:pPr>
              <w:jc w:val="center"/>
              <w:rPr>
                <w:rFonts w:ascii="Times New Roman" w:hAnsi="Times New Roman" w:eastAsia="宋体" w:cs="Times New Roman"/>
                <w:color w:val="auto"/>
                <w:sz w:val="22"/>
              </w:rPr>
            </w:pPr>
            <w:r>
              <w:rPr>
                <w:rFonts w:hint="eastAsia" w:ascii="Times New Roman" w:hAnsi="Times New Roman" w:eastAsia="宋体" w:cs="Times New Roman"/>
                <w:color w:val="auto"/>
                <w:sz w:val="22"/>
              </w:rPr>
              <w:t>新增总量控制指标</w:t>
            </w:r>
          </w:p>
        </w:tc>
      </w:tr>
      <w:tr w14:paraId="3B536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Merge w:val="restart"/>
            <w:vAlign w:val="center"/>
          </w:tcPr>
          <w:p w14:paraId="1DDFD84E">
            <w:pPr>
              <w:jc w:val="center"/>
              <w:rPr>
                <w:rFonts w:ascii="Times New Roman" w:hAnsi="Times New Roman" w:eastAsia="宋体" w:cs="Times New Roman"/>
                <w:color w:val="auto"/>
                <w:sz w:val="22"/>
              </w:rPr>
            </w:pPr>
            <w:r>
              <w:rPr>
                <w:rFonts w:hint="eastAsia" w:ascii="Times New Roman" w:hAnsi="Times New Roman" w:eastAsia="宋体" w:cs="Times New Roman"/>
                <w:color w:val="auto"/>
                <w:sz w:val="22"/>
              </w:rPr>
              <w:t>废水</w:t>
            </w:r>
          </w:p>
        </w:tc>
        <w:tc>
          <w:tcPr>
            <w:tcW w:w="1843" w:type="dxa"/>
            <w:vMerge w:val="restart"/>
            <w:vAlign w:val="center"/>
          </w:tcPr>
          <w:p w14:paraId="2F79E2DB">
            <w:pPr>
              <w:jc w:val="center"/>
              <w:rPr>
                <w:rFonts w:ascii="Times New Roman" w:hAnsi="Times New Roman" w:eastAsia="宋体" w:cs="Times New Roman"/>
                <w:color w:val="auto"/>
                <w:sz w:val="22"/>
              </w:rPr>
            </w:pPr>
            <w:r>
              <w:rPr>
                <w:rFonts w:hint="eastAsia" w:ascii="Times New Roman" w:hAnsi="Times New Roman" w:eastAsia="宋体" w:cs="Times New Roman"/>
                <w:color w:val="auto"/>
                <w:sz w:val="22"/>
                <w:lang w:val="en-US" w:eastAsia="zh-CN"/>
              </w:rPr>
              <w:t>109340.84</w:t>
            </w:r>
            <w:r>
              <w:rPr>
                <w:rFonts w:hint="eastAsia" w:ascii="Times New Roman" w:hAnsi="Times New Roman" w:eastAsia="宋体" w:cs="Times New Roman"/>
                <w:color w:val="auto"/>
                <w:sz w:val="22"/>
                <w:lang w:eastAsia="zh-CN"/>
              </w:rPr>
              <w:t>m</w:t>
            </w:r>
            <w:r>
              <w:rPr>
                <w:rFonts w:hint="eastAsia" w:ascii="Times New Roman" w:hAnsi="Times New Roman" w:eastAsia="宋体" w:cs="Times New Roman"/>
                <w:color w:val="auto"/>
                <w:sz w:val="22"/>
                <w:vertAlign w:val="superscript"/>
                <w:lang w:eastAsia="zh-CN"/>
              </w:rPr>
              <w:t>3</w:t>
            </w:r>
            <w:r>
              <w:rPr>
                <w:rFonts w:hint="eastAsia" w:ascii="Times New Roman" w:hAnsi="Times New Roman" w:eastAsia="宋体" w:cs="Times New Roman"/>
                <w:color w:val="auto"/>
                <w:sz w:val="22"/>
              </w:rPr>
              <w:t>/a</w:t>
            </w:r>
          </w:p>
        </w:tc>
        <w:tc>
          <w:tcPr>
            <w:tcW w:w="1559" w:type="dxa"/>
            <w:vAlign w:val="center"/>
          </w:tcPr>
          <w:p w14:paraId="7200C013">
            <w:pPr>
              <w:jc w:val="center"/>
              <w:rPr>
                <w:rFonts w:ascii="Times New Roman" w:hAnsi="Times New Roman" w:eastAsia="宋体" w:cs="Times New Roman"/>
                <w:color w:val="auto"/>
                <w:sz w:val="22"/>
              </w:rPr>
            </w:pPr>
            <w:r>
              <w:rPr>
                <w:rFonts w:hint="eastAsia" w:ascii="Times New Roman" w:hAnsi="Times New Roman" w:eastAsia="宋体" w:cs="Times New Roman"/>
                <w:color w:val="auto"/>
                <w:sz w:val="22"/>
              </w:rPr>
              <w:t>COD</w:t>
            </w:r>
          </w:p>
        </w:tc>
        <w:tc>
          <w:tcPr>
            <w:tcW w:w="1559" w:type="dxa"/>
            <w:vAlign w:val="center"/>
          </w:tcPr>
          <w:p w14:paraId="21D594E9">
            <w:pPr>
              <w:jc w:val="center"/>
              <w:rPr>
                <w:rFonts w:ascii="Times New Roman" w:hAnsi="Times New Roman" w:eastAsia="宋体" w:cs="Times New Roman"/>
                <w:color w:val="auto"/>
                <w:sz w:val="22"/>
              </w:rPr>
            </w:pPr>
            <w:r>
              <w:rPr>
                <w:rFonts w:ascii="Times New Roman" w:hAnsi="Times New Roman" w:eastAsia="宋体" w:cs="Times New Roman"/>
                <w:color w:val="auto"/>
                <w:sz w:val="22"/>
              </w:rPr>
              <w:t>50mg/L</w:t>
            </w:r>
          </w:p>
        </w:tc>
        <w:tc>
          <w:tcPr>
            <w:tcW w:w="2064" w:type="dxa"/>
            <w:vAlign w:val="center"/>
          </w:tcPr>
          <w:p w14:paraId="19BE79CD">
            <w:pPr>
              <w:jc w:val="center"/>
              <w:rPr>
                <w:rFonts w:hint="default" w:ascii="Times New Roman" w:hAnsi="Times New Roman" w:eastAsia="宋体" w:cs="Times New Roman"/>
                <w:color w:val="auto"/>
                <w:sz w:val="22"/>
                <w:lang w:val="en-US" w:eastAsia="zh-CN"/>
              </w:rPr>
            </w:pPr>
            <w:r>
              <w:rPr>
                <w:rFonts w:hint="eastAsia" w:ascii="Times New Roman" w:hAnsi="Times New Roman" w:eastAsia="宋体" w:cs="Times New Roman"/>
                <w:color w:val="auto"/>
                <w:sz w:val="22"/>
                <w:lang w:val="en-US" w:eastAsia="zh-CN"/>
              </w:rPr>
              <w:t>5.47</w:t>
            </w:r>
          </w:p>
        </w:tc>
      </w:tr>
      <w:tr w14:paraId="52F5A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1" w:type="dxa"/>
            <w:vMerge w:val="continue"/>
            <w:vAlign w:val="center"/>
          </w:tcPr>
          <w:p w14:paraId="09CC2FAB">
            <w:pPr>
              <w:jc w:val="center"/>
              <w:rPr>
                <w:rFonts w:ascii="Times New Roman" w:hAnsi="Times New Roman" w:eastAsia="宋体" w:cs="Times New Roman"/>
                <w:color w:val="auto"/>
                <w:sz w:val="22"/>
              </w:rPr>
            </w:pPr>
          </w:p>
        </w:tc>
        <w:tc>
          <w:tcPr>
            <w:tcW w:w="1843" w:type="dxa"/>
            <w:vMerge w:val="continue"/>
            <w:vAlign w:val="center"/>
          </w:tcPr>
          <w:p w14:paraId="794D5E47">
            <w:pPr>
              <w:jc w:val="center"/>
              <w:rPr>
                <w:rFonts w:ascii="Times New Roman" w:hAnsi="Times New Roman" w:eastAsia="宋体" w:cs="Times New Roman"/>
                <w:color w:val="auto"/>
                <w:sz w:val="22"/>
              </w:rPr>
            </w:pPr>
          </w:p>
        </w:tc>
        <w:tc>
          <w:tcPr>
            <w:tcW w:w="1559" w:type="dxa"/>
            <w:vAlign w:val="center"/>
          </w:tcPr>
          <w:p w14:paraId="2826BB9C">
            <w:pPr>
              <w:jc w:val="center"/>
              <w:rPr>
                <w:rFonts w:ascii="Times New Roman" w:hAnsi="Times New Roman" w:eastAsia="宋体" w:cs="Times New Roman"/>
                <w:color w:val="auto"/>
                <w:sz w:val="22"/>
              </w:rPr>
            </w:pPr>
            <w:r>
              <w:rPr>
                <w:rFonts w:hint="eastAsia" w:ascii="Times New Roman" w:hAnsi="Times New Roman" w:eastAsia="宋体" w:cs="Times New Roman"/>
                <w:color w:val="auto"/>
                <w:sz w:val="22"/>
              </w:rPr>
              <w:t>NH</w:t>
            </w:r>
            <w:r>
              <w:rPr>
                <w:rFonts w:hint="eastAsia" w:ascii="Times New Roman" w:hAnsi="Times New Roman" w:eastAsia="宋体" w:cs="Times New Roman"/>
                <w:color w:val="auto"/>
                <w:sz w:val="22"/>
                <w:vertAlign w:val="subscript"/>
              </w:rPr>
              <w:t>3</w:t>
            </w:r>
            <w:r>
              <w:rPr>
                <w:rFonts w:hint="eastAsia" w:ascii="Times New Roman" w:hAnsi="Times New Roman" w:eastAsia="宋体" w:cs="Times New Roman"/>
                <w:color w:val="auto"/>
                <w:sz w:val="22"/>
              </w:rPr>
              <w:t>-N</w:t>
            </w:r>
          </w:p>
        </w:tc>
        <w:tc>
          <w:tcPr>
            <w:tcW w:w="1559" w:type="dxa"/>
            <w:vAlign w:val="center"/>
          </w:tcPr>
          <w:p w14:paraId="70F82636">
            <w:pPr>
              <w:jc w:val="center"/>
              <w:rPr>
                <w:rFonts w:ascii="Times New Roman" w:hAnsi="Times New Roman" w:eastAsia="宋体" w:cs="Times New Roman"/>
                <w:color w:val="auto"/>
                <w:sz w:val="22"/>
              </w:rPr>
            </w:pPr>
            <w:r>
              <w:rPr>
                <w:rFonts w:hint="eastAsia" w:ascii="Times New Roman" w:hAnsi="Times New Roman" w:eastAsia="宋体" w:cs="Times New Roman"/>
                <w:color w:val="auto"/>
                <w:sz w:val="22"/>
              </w:rPr>
              <w:t>8</w:t>
            </w:r>
            <w:r>
              <w:rPr>
                <w:rFonts w:ascii="Times New Roman" w:hAnsi="Times New Roman" w:eastAsia="宋体" w:cs="Times New Roman"/>
                <w:color w:val="auto"/>
                <w:sz w:val="22"/>
              </w:rPr>
              <w:t>mg/L</w:t>
            </w:r>
          </w:p>
        </w:tc>
        <w:tc>
          <w:tcPr>
            <w:tcW w:w="2064" w:type="dxa"/>
            <w:vAlign w:val="center"/>
          </w:tcPr>
          <w:p w14:paraId="7ADEDDF3">
            <w:pPr>
              <w:jc w:val="center"/>
              <w:rPr>
                <w:rFonts w:hint="default" w:ascii="Times New Roman" w:hAnsi="Times New Roman" w:eastAsia="宋体" w:cs="Times New Roman"/>
                <w:color w:val="auto"/>
                <w:sz w:val="22"/>
                <w:lang w:val="en-US" w:eastAsia="zh-CN"/>
              </w:rPr>
            </w:pPr>
            <w:r>
              <w:rPr>
                <w:rFonts w:hint="eastAsia" w:ascii="Times New Roman" w:hAnsi="Times New Roman" w:eastAsia="宋体" w:cs="Times New Roman"/>
                <w:color w:val="auto"/>
                <w:sz w:val="22"/>
                <w:lang w:val="en-US" w:eastAsia="zh-CN"/>
              </w:rPr>
              <w:t>0.87</w:t>
            </w:r>
          </w:p>
        </w:tc>
      </w:tr>
    </w:tbl>
    <w:p w14:paraId="266C9711">
      <w:pPr>
        <w:spacing w:line="360" w:lineRule="auto"/>
        <w:ind w:firstLine="480" w:firstLineChars="200"/>
        <w:rPr>
          <w:rFonts w:ascii="Times New Roman" w:hAnsi="Times New Roman" w:eastAsia="宋体" w:cs="Times New Roman"/>
          <w:color w:val="auto"/>
          <w:sz w:val="24"/>
          <w:szCs w:val="24"/>
          <w:u w:val="none"/>
        </w:rPr>
      </w:pPr>
      <w:r>
        <w:rPr>
          <w:rFonts w:hint="eastAsia" w:ascii="Times New Roman" w:hAnsi="Times New Roman" w:eastAsia="宋体" w:cs="Times New Roman"/>
          <w:color w:val="auto"/>
          <w:sz w:val="24"/>
          <w:szCs w:val="24"/>
          <w:u w:val="none"/>
        </w:rPr>
        <w:t>挥发性有机物</w:t>
      </w:r>
      <w:r>
        <w:rPr>
          <w:rFonts w:hint="eastAsia" w:ascii="Times New Roman" w:hAnsi="Times New Roman" w:eastAsia="宋体" w:cs="Times New Roman"/>
          <w:color w:val="auto"/>
          <w:sz w:val="24"/>
          <w:szCs w:val="24"/>
          <w:u w:val="none"/>
          <w:lang w:eastAsia="zh-CN"/>
        </w:rPr>
        <w:t>（</w:t>
      </w:r>
      <w:r>
        <w:rPr>
          <w:rFonts w:hint="eastAsia" w:ascii="Times New Roman" w:hAnsi="Times New Roman" w:eastAsia="宋体" w:cs="Times New Roman"/>
          <w:color w:val="auto"/>
          <w:sz w:val="24"/>
          <w:szCs w:val="24"/>
          <w:u w:val="none"/>
          <w:lang w:val="en-US" w:eastAsia="zh-CN"/>
        </w:rPr>
        <w:t>非甲烷总烃</w:t>
      </w:r>
      <w:r>
        <w:rPr>
          <w:rFonts w:hint="eastAsia" w:ascii="Times New Roman" w:hAnsi="Times New Roman" w:eastAsia="宋体" w:cs="Times New Roman"/>
          <w:color w:val="auto"/>
          <w:sz w:val="24"/>
          <w:szCs w:val="24"/>
          <w:u w:val="none"/>
          <w:lang w:eastAsia="zh-CN"/>
        </w:rPr>
        <w:t>）</w:t>
      </w:r>
      <w:r>
        <w:rPr>
          <w:rFonts w:hint="eastAsia" w:ascii="Times New Roman" w:hAnsi="Times New Roman" w:eastAsia="宋体" w:cs="Times New Roman"/>
          <w:color w:val="auto"/>
          <w:sz w:val="24"/>
          <w:szCs w:val="24"/>
          <w:u w:val="none"/>
        </w:rPr>
        <w:t>以实际排放量作为建议总量控制指标，即</w:t>
      </w:r>
      <w:r>
        <w:rPr>
          <w:rFonts w:hint="eastAsia" w:ascii="Times New Roman" w:hAnsi="Times New Roman" w:eastAsia="宋体" w:cs="Times New Roman"/>
          <w:color w:val="auto"/>
          <w:sz w:val="24"/>
          <w:szCs w:val="24"/>
          <w:u w:val="none"/>
          <w:lang w:val="en-US" w:eastAsia="zh-CN"/>
        </w:rPr>
        <w:t>1.008</w:t>
      </w:r>
      <w:r>
        <w:rPr>
          <w:rFonts w:hint="eastAsia" w:ascii="Times New Roman" w:hAnsi="Times New Roman" w:eastAsia="宋体" w:cs="Times New Roman"/>
          <w:color w:val="auto"/>
          <w:sz w:val="24"/>
          <w:szCs w:val="24"/>
          <w:u w:val="none"/>
        </w:rPr>
        <w:t>t/a。</w:t>
      </w:r>
    </w:p>
    <w:p w14:paraId="33D57E2F">
      <w:pPr>
        <w:spacing w:line="360" w:lineRule="auto"/>
        <w:ind w:firstLine="480" w:firstLineChars="200"/>
        <w:rPr>
          <w:rFonts w:ascii="Times New Roman" w:hAnsi="Times New Roman" w:eastAsia="宋体" w:cs="Times New Roman"/>
          <w:color w:val="auto"/>
          <w:sz w:val="24"/>
          <w:szCs w:val="24"/>
          <w:u w:val="single"/>
        </w:rPr>
      </w:pPr>
      <w:r>
        <w:rPr>
          <w:rFonts w:hint="eastAsia" w:ascii="Times New Roman" w:hAnsi="Times New Roman" w:eastAsia="宋体" w:cs="Times New Roman"/>
          <w:color w:val="auto"/>
          <w:sz w:val="24"/>
          <w:szCs w:val="24"/>
          <w:u w:val="none"/>
        </w:rPr>
        <w:t>企业于</w:t>
      </w:r>
      <w:r>
        <w:rPr>
          <w:rFonts w:ascii="Times New Roman" w:hAnsi="Times New Roman" w:eastAsia="宋体" w:cs="Times New Roman"/>
          <w:color w:val="auto"/>
          <w:sz w:val="24"/>
          <w:szCs w:val="24"/>
          <w:u w:val="none"/>
        </w:rPr>
        <w:t>20</w:t>
      </w:r>
      <w:r>
        <w:rPr>
          <w:rFonts w:hint="eastAsia" w:ascii="Times New Roman" w:hAnsi="Times New Roman" w:eastAsia="宋体" w:cs="Times New Roman"/>
          <w:color w:val="auto"/>
          <w:sz w:val="24"/>
          <w:szCs w:val="24"/>
          <w:u w:val="none"/>
          <w:lang w:val="en-US" w:eastAsia="zh-CN"/>
        </w:rPr>
        <w:t>16</w:t>
      </w:r>
      <w:r>
        <w:rPr>
          <w:rFonts w:ascii="Times New Roman" w:hAnsi="Times New Roman" w:eastAsia="宋体" w:cs="Times New Roman"/>
          <w:color w:val="auto"/>
          <w:sz w:val="24"/>
          <w:szCs w:val="24"/>
          <w:u w:val="none"/>
        </w:rPr>
        <w:t>年</w:t>
      </w:r>
      <w:r>
        <w:rPr>
          <w:rFonts w:hint="eastAsia" w:ascii="Times New Roman" w:hAnsi="Times New Roman" w:eastAsia="宋体" w:cs="Times New Roman"/>
          <w:color w:val="auto"/>
          <w:sz w:val="24"/>
          <w:szCs w:val="24"/>
          <w:u w:val="none"/>
          <w:lang w:val="en-US" w:eastAsia="zh-CN"/>
        </w:rPr>
        <w:t>3</w:t>
      </w:r>
      <w:r>
        <w:rPr>
          <w:rFonts w:hint="eastAsia" w:ascii="Times New Roman" w:hAnsi="Times New Roman" w:eastAsia="宋体" w:cs="Times New Roman"/>
          <w:color w:val="auto"/>
          <w:sz w:val="24"/>
          <w:szCs w:val="24"/>
          <w:u w:val="none"/>
        </w:rPr>
        <w:t>月</w:t>
      </w:r>
      <w:r>
        <w:rPr>
          <w:rFonts w:hint="eastAsia" w:ascii="Times New Roman" w:hAnsi="Times New Roman" w:eastAsia="宋体" w:cs="Times New Roman"/>
          <w:color w:val="auto"/>
          <w:sz w:val="24"/>
          <w:szCs w:val="24"/>
          <w:u w:val="none"/>
          <w:lang w:val="en-US" w:eastAsia="zh-CN"/>
        </w:rPr>
        <w:t>23</w:t>
      </w:r>
      <w:r>
        <w:rPr>
          <w:rFonts w:hint="eastAsia" w:ascii="Times New Roman" w:hAnsi="Times New Roman" w:eastAsia="宋体" w:cs="Times New Roman"/>
          <w:color w:val="auto"/>
          <w:sz w:val="24"/>
          <w:szCs w:val="24"/>
          <w:u w:val="none"/>
        </w:rPr>
        <w:t>日</w:t>
      </w:r>
      <w:r>
        <w:rPr>
          <w:rFonts w:ascii="Times New Roman" w:hAnsi="Times New Roman" w:eastAsia="宋体" w:cs="Times New Roman"/>
          <w:color w:val="auto"/>
          <w:sz w:val="24"/>
          <w:szCs w:val="24"/>
          <w:u w:val="none"/>
        </w:rPr>
        <w:t>取得了排污权证，排污权证编号为（常）排污权证（201</w:t>
      </w:r>
      <w:r>
        <w:rPr>
          <w:rFonts w:hint="eastAsia" w:ascii="Times New Roman" w:hAnsi="Times New Roman" w:eastAsia="宋体" w:cs="Times New Roman"/>
          <w:color w:val="auto"/>
          <w:sz w:val="24"/>
          <w:szCs w:val="24"/>
          <w:u w:val="none"/>
          <w:lang w:val="en-US" w:eastAsia="zh-CN"/>
        </w:rPr>
        <w:t>6</w:t>
      </w:r>
      <w:r>
        <w:rPr>
          <w:rFonts w:ascii="Times New Roman" w:hAnsi="Times New Roman" w:eastAsia="宋体" w:cs="Times New Roman"/>
          <w:color w:val="auto"/>
          <w:sz w:val="24"/>
          <w:szCs w:val="24"/>
          <w:u w:val="none"/>
        </w:rPr>
        <w:t>）第</w:t>
      </w:r>
      <w:r>
        <w:rPr>
          <w:rFonts w:hint="eastAsia" w:ascii="Times New Roman" w:hAnsi="Times New Roman" w:eastAsia="宋体" w:cs="Times New Roman"/>
          <w:color w:val="auto"/>
          <w:sz w:val="24"/>
          <w:szCs w:val="24"/>
          <w:u w:val="none"/>
          <w:lang w:val="en-US" w:eastAsia="zh-CN"/>
        </w:rPr>
        <w:t>41</w:t>
      </w:r>
      <w:r>
        <w:rPr>
          <w:rFonts w:ascii="Times New Roman" w:hAnsi="Times New Roman" w:eastAsia="宋体" w:cs="Times New Roman"/>
          <w:color w:val="auto"/>
          <w:sz w:val="24"/>
          <w:szCs w:val="24"/>
          <w:u w:val="none"/>
        </w:rPr>
        <w:t>号，企业持有排污权指标为</w:t>
      </w:r>
      <w:r>
        <w:rPr>
          <w:rFonts w:hint="eastAsia" w:ascii="Times New Roman" w:hAnsi="Times New Roman" w:eastAsia="宋体" w:cs="Times New Roman"/>
          <w:color w:val="auto"/>
          <w:sz w:val="24"/>
          <w:szCs w:val="24"/>
          <w:u w:val="none"/>
        </w:rPr>
        <w:t>二氧化硫、氮氧化物、</w:t>
      </w:r>
      <w:r>
        <w:rPr>
          <w:rFonts w:ascii="Times New Roman" w:hAnsi="Times New Roman" w:eastAsia="宋体" w:cs="Times New Roman"/>
          <w:color w:val="auto"/>
          <w:sz w:val="24"/>
          <w:szCs w:val="24"/>
          <w:u w:val="none"/>
        </w:rPr>
        <w:t>化学需氧量和氨氮。</w:t>
      </w:r>
      <w:r>
        <w:rPr>
          <w:rFonts w:hint="eastAsia" w:ascii="Times New Roman" w:hAnsi="Times New Roman" w:eastAsia="宋体" w:cs="Times New Roman"/>
          <w:color w:val="auto"/>
          <w:sz w:val="24"/>
          <w:szCs w:val="24"/>
          <w:u w:val="none"/>
        </w:rPr>
        <w:t>自</w:t>
      </w:r>
      <w:r>
        <w:rPr>
          <w:rFonts w:hint="eastAsia" w:ascii="Times New Roman" w:hAnsi="Times New Roman" w:eastAsia="宋体" w:cs="Times New Roman"/>
          <w:color w:val="auto"/>
          <w:sz w:val="24"/>
          <w:szCs w:val="24"/>
          <w:u w:val="none"/>
          <w:lang w:val="en-US" w:eastAsia="zh-CN"/>
        </w:rPr>
        <w:t>2020年4月7日</w:t>
      </w:r>
      <w:r>
        <w:rPr>
          <w:rFonts w:hint="eastAsia" w:ascii="Times New Roman" w:hAnsi="Times New Roman" w:eastAsia="宋体" w:cs="Times New Roman"/>
          <w:color w:val="auto"/>
          <w:sz w:val="24"/>
          <w:szCs w:val="24"/>
          <w:u w:val="none"/>
        </w:rPr>
        <w:t>起，企业持有</w:t>
      </w:r>
      <w:r>
        <w:rPr>
          <w:rFonts w:ascii="Times New Roman" w:hAnsi="Times New Roman" w:eastAsia="宋体" w:cs="Times New Roman"/>
          <w:color w:val="auto"/>
          <w:sz w:val="24"/>
          <w:szCs w:val="24"/>
          <w:u w:val="none"/>
        </w:rPr>
        <w:t>化学需氧量为</w:t>
      </w:r>
      <w:r>
        <w:rPr>
          <w:rFonts w:hint="eastAsia" w:ascii="Times New Roman" w:hAnsi="Times New Roman" w:eastAsia="宋体" w:cs="Times New Roman"/>
          <w:color w:val="auto"/>
          <w:sz w:val="24"/>
          <w:szCs w:val="24"/>
          <w:u w:val="none"/>
          <w:lang w:val="en-US" w:eastAsia="zh-CN"/>
        </w:rPr>
        <w:t>12</w:t>
      </w:r>
      <w:r>
        <w:rPr>
          <w:rFonts w:ascii="Times New Roman" w:hAnsi="Times New Roman" w:eastAsia="宋体" w:cs="Times New Roman"/>
          <w:color w:val="auto"/>
          <w:sz w:val="24"/>
          <w:szCs w:val="24"/>
          <w:u w:val="none"/>
        </w:rPr>
        <w:t>吨，氨氮为</w:t>
      </w:r>
      <w:r>
        <w:rPr>
          <w:rFonts w:hint="eastAsia" w:ascii="Times New Roman" w:hAnsi="Times New Roman" w:eastAsia="宋体" w:cs="Times New Roman"/>
          <w:color w:val="auto"/>
          <w:sz w:val="24"/>
          <w:szCs w:val="24"/>
          <w:u w:val="none"/>
          <w:lang w:val="en-US" w:eastAsia="zh-CN"/>
        </w:rPr>
        <w:t>1.39</w:t>
      </w:r>
      <w:r>
        <w:rPr>
          <w:rFonts w:ascii="Times New Roman" w:hAnsi="Times New Roman" w:eastAsia="宋体" w:cs="Times New Roman"/>
          <w:color w:val="auto"/>
          <w:sz w:val="24"/>
          <w:szCs w:val="24"/>
          <w:u w:val="none"/>
        </w:rPr>
        <w:t>吨</w:t>
      </w:r>
      <w:r>
        <w:rPr>
          <w:rFonts w:hint="eastAsia" w:ascii="Times New Roman" w:hAnsi="Times New Roman" w:eastAsia="宋体" w:cs="Times New Roman"/>
          <w:color w:val="auto"/>
          <w:sz w:val="24"/>
          <w:szCs w:val="24"/>
          <w:u w:val="none"/>
        </w:rPr>
        <w:t>，二氧化硫为</w:t>
      </w:r>
      <w:r>
        <w:rPr>
          <w:rFonts w:hint="eastAsia" w:ascii="Times New Roman" w:hAnsi="Times New Roman" w:eastAsia="宋体" w:cs="Times New Roman"/>
          <w:color w:val="auto"/>
          <w:sz w:val="24"/>
          <w:szCs w:val="24"/>
          <w:u w:val="none"/>
          <w:lang w:val="en-US" w:eastAsia="zh-CN"/>
        </w:rPr>
        <w:t>45.7</w:t>
      </w:r>
      <w:r>
        <w:rPr>
          <w:rFonts w:ascii="Times New Roman" w:hAnsi="Times New Roman" w:eastAsia="宋体" w:cs="Times New Roman"/>
          <w:color w:val="auto"/>
          <w:sz w:val="24"/>
          <w:szCs w:val="24"/>
          <w:u w:val="none"/>
        </w:rPr>
        <w:t>吨</w:t>
      </w:r>
      <w:r>
        <w:rPr>
          <w:rFonts w:hint="eastAsia" w:ascii="Times New Roman" w:hAnsi="Times New Roman" w:eastAsia="宋体" w:cs="Times New Roman"/>
          <w:color w:val="auto"/>
          <w:sz w:val="24"/>
          <w:szCs w:val="24"/>
          <w:u w:val="none"/>
        </w:rPr>
        <w:t>、氮氧化物为</w:t>
      </w:r>
      <w:r>
        <w:rPr>
          <w:rFonts w:hint="eastAsia" w:ascii="Times New Roman" w:hAnsi="Times New Roman" w:eastAsia="宋体" w:cs="Times New Roman"/>
          <w:color w:val="auto"/>
          <w:sz w:val="24"/>
          <w:szCs w:val="24"/>
          <w:u w:val="none"/>
          <w:lang w:val="en-US" w:eastAsia="zh-CN"/>
        </w:rPr>
        <w:t>14.7</w:t>
      </w:r>
      <w:r>
        <w:rPr>
          <w:rFonts w:ascii="Times New Roman" w:hAnsi="Times New Roman" w:eastAsia="宋体" w:cs="Times New Roman"/>
          <w:color w:val="auto"/>
          <w:sz w:val="24"/>
          <w:szCs w:val="24"/>
          <w:u w:val="none"/>
        </w:rPr>
        <w:t>吨。</w:t>
      </w:r>
      <w:r>
        <w:rPr>
          <w:rFonts w:hint="eastAsia" w:ascii="Times New Roman" w:hAnsi="Times New Roman" w:eastAsia="宋体" w:cs="Times New Roman"/>
          <w:color w:val="auto"/>
          <w:sz w:val="24"/>
          <w:szCs w:val="24"/>
          <w:u w:val="none"/>
        </w:rPr>
        <w:t>同时，</w:t>
      </w:r>
      <w:r>
        <w:rPr>
          <w:rFonts w:hint="eastAsia" w:ascii="Times New Roman" w:hAnsi="Times New Roman" w:eastAsia="宋体" w:cs="Times New Roman"/>
          <w:color w:val="auto"/>
          <w:sz w:val="24"/>
          <w:szCs w:val="24"/>
          <w:u w:val="none"/>
          <w:lang w:val="en-US" w:eastAsia="zh-CN"/>
        </w:rPr>
        <w:t>本项目排污许可已取得挥发性有机物（以非甲烷总烃计）许可排放量82.8t/a。</w:t>
      </w:r>
      <w:r>
        <w:rPr>
          <w:rFonts w:hint="eastAsia" w:ascii="Times New Roman" w:hAnsi="Times New Roman" w:eastAsia="宋体" w:cs="Times New Roman"/>
          <w:color w:val="auto"/>
          <w:sz w:val="24"/>
          <w:szCs w:val="24"/>
          <w:u w:val="none"/>
        </w:rPr>
        <w:t>综上，项目建成后，企业总量指标情况如下表所示：</w:t>
      </w:r>
    </w:p>
    <w:p w14:paraId="2056A6B8">
      <w:pPr>
        <w:pStyle w:val="6"/>
        <w:bidi w:val="0"/>
      </w:pPr>
      <w:r>
        <w:rPr>
          <w:rFonts w:hint="eastAsia"/>
        </w:rPr>
        <w:t>表4.7-</w:t>
      </w:r>
      <w:r>
        <w:rPr>
          <w:rFonts w:hint="eastAsia"/>
          <w:lang w:val="en-US" w:eastAsia="zh-CN"/>
        </w:rPr>
        <w:t>2</w:t>
      </w:r>
      <w:r>
        <w:rPr>
          <w:rFonts w:hint="eastAsia"/>
        </w:rPr>
        <w:t xml:space="preserve">    项目建成后全厂总量控制指标情况一览表 单位：t/a</w:t>
      </w:r>
    </w:p>
    <w:tbl>
      <w:tblPr>
        <w:tblStyle w:val="4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5"/>
        <w:gridCol w:w="1595"/>
        <w:gridCol w:w="1623"/>
        <w:gridCol w:w="1664"/>
        <w:gridCol w:w="1350"/>
        <w:gridCol w:w="1219"/>
      </w:tblGrid>
      <w:tr w14:paraId="435C9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vAlign w:val="center"/>
          </w:tcPr>
          <w:p w14:paraId="3746ABEC">
            <w:pPr>
              <w:jc w:val="center"/>
              <w:rPr>
                <w:rFonts w:ascii="Times New Roman" w:hAnsi="Times New Roman" w:eastAsia="宋体" w:cs="Times New Roman"/>
                <w:color w:val="auto"/>
                <w:sz w:val="22"/>
              </w:rPr>
            </w:pPr>
            <w:r>
              <w:rPr>
                <w:rFonts w:hint="eastAsia" w:ascii="Times New Roman" w:hAnsi="Times New Roman" w:eastAsia="宋体" w:cs="Times New Roman"/>
                <w:color w:val="auto"/>
                <w:sz w:val="22"/>
              </w:rPr>
              <w:t>类型</w:t>
            </w:r>
          </w:p>
        </w:tc>
        <w:tc>
          <w:tcPr>
            <w:tcW w:w="1595" w:type="dxa"/>
            <w:vAlign w:val="center"/>
          </w:tcPr>
          <w:p w14:paraId="2D3E56BA">
            <w:pPr>
              <w:jc w:val="center"/>
              <w:rPr>
                <w:rFonts w:ascii="Times New Roman" w:hAnsi="Times New Roman" w:eastAsia="宋体" w:cs="Times New Roman"/>
                <w:color w:val="auto"/>
                <w:sz w:val="22"/>
              </w:rPr>
            </w:pPr>
            <w:r>
              <w:rPr>
                <w:rFonts w:hint="eastAsia" w:ascii="Times New Roman" w:hAnsi="Times New Roman" w:eastAsia="宋体" w:cs="Times New Roman"/>
                <w:color w:val="auto"/>
                <w:sz w:val="22"/>
              </w:rPr>
              <w:t>污染物种类</w:t>
            </w:r>
          </w:p>
        </w:tc>
        <w:tc>
          <w:tcPr>
            <w:tcW w:w="1623" w:type="dxa"/>
            <w:vAlign w:val="center"/>
          </w:tcPr>
          <w:p w14:paraId="4B91D6D1">
            <w:pPr>
              <w:jc w:val="center"/>
              <w:rPr>
                <w:rFonts w:ascii="Times New Roman" w:hAnsi="Times New Roman" w:eastAsia="宋体" w:cs="Times New Roman"/>
                <w:color w:val="auto"/>
                <w:sz w:val="22"/>
              </w:rPr>
            </w:pPr>
            <w:r>
              <w:rPr>
                <w:rFonts w:hint="eastAsia" w:ascii="Times New Roman" w:hAnsi="Times New Roman" w:eastAsia="宋体" w:cs="Times New Roman"/>
                <w:color w:val="auto"/>
                <w:sz w:val="22"/>
              </w:rPr>
              <w:t>现有工程总量</w:t>
            </w:r>
          </w:p>
        </w:tc>
        <w:tc>
          <w:tcPr>
            <w:tcW w:w="1664" w:type="dxa"/>
            <w:vAlign w:val="center"/>
          </w:tcPr>
          <w:p w14:paraId="34EAE113">
            <w:pPr>
              <w:jc w:val="center"/>
              <w:rPr>
                <w:rFonts w:ascii="Times New Roman" w:hAnsi="Times New Roman" w:eastAsia="宋体" w:cs="Times New Roman"/>
                <w:color w:val="auto"/>
                <w:sz w:val="22"/>
              </w:rPr>
            </w:pPr>
            <w:r>
              <w:rPr>
                <w:rFonts w:hint="eastAsia" w:ascii="Times New Roman" w:hAnsi="Times New Roman" w:eastAsia="宋体" w:cs="Times New Roman"/>
                <w:color w:val="auto"/>
                <w:sz w:val="22"/>
              </w:rPr>
              <w:t>拟建工程总量</w:t>
            </w:r>
          </w:p>
        </w:tc>
        <w:tc>
          <w:tcPr>
            <w:tcW w:w="1350" w:type="dxa"/>
            <w:vAlign w:val="center"/>
          </w:tcPr>
          <w:p w14:paraId="31C964E1">
            <w:pPr>
              <w:jc w:val="center"/>
              <w:rPr>
                <w:rFonts w:ascii="Times New Roman" w:hAnsi="Times New Roman" w:eastAsia="宋体" w:cs="Times New Roman"/>
                <w:color w:val="auto"/>
                <w:sz w:val="22"/>
              </w:rPr>
            </w:pPr>
            <w:r>
              <w:rPr>
                <w:rFonts w:hint="eastAsia" w:ascii="Times New Roman" w:hAnsi="Times New Roman" w:eastAsia="宋体" w:cs="Times New Roman"/>
                <w:color w:val="auto"/>
                <w:sz w:val="22"/>
              </w:rPr>
              <w:t>已取得总量</w:t>
            </w:r>
          </w:p>
        </w:tc>
        <w:tc>
          <w:tcPr>
            <w:tcW w:w="1219" w:type="dxa"/>
            <w:vAlign w:val="center"/>
          </w:tcPr>
          <w:p w14:paraId="162FD073">
            <w:pPr>
              <w:jc w:val="center"/>
              <w:rPr>
                <w:rFonts w:ascii="Times New Roman" w:hAnsi="Times New Roman" w:eastAsia="宋体" w:cs="Times New Roman"/>
                <w:color w:val="auto"/>
                <w:sz w:val="22"/>
              </w:rPr>
            </w:pPr>
            <w:r>
              <w:rPr>
                <w:rFonts w:hint="eastAsia" w:ascii="Times New Roman" w:hAnsi="Times New Roman" w:eastAsia="宋体" w:cs="Times New Roman"/>
                <w:color w:val="auto"/>
                <w:sz w:val="22"/>
              </w:rPr>
              <w:t>还需总量</w:t>
            </w:r>
          </w:p>
        </w:tc>
      </w:tr>
      <w:tr w14:paraId="29168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vAlign w:val="center"/>
          </w:tcPr>
          <w:p w14:paraId="60D145AF">
            <w:pPr>
              <w:jc w:val="center"/>
              <w:rPr>
                <w:rFonts w:hint="default" w:ascii="Times New Roman" w:hAnsi="Times New Roman" w:eastAsia="宋体" w:cs="Times New Roman"/>
                <w:color w:val="auto"/>
                <w:sz w:val="22"/>
                <w:lang w:val="en-US" w:eastAsia="zh-CN"/>
              </w:rPr>
            </w:pPr>
            <w:r>
              <w:rPr>
                <w:rFonts w:hint="eastAsia" w:ascii="Times New Roman" w:hAnsi="Times New Roman" w:eastAsia="宋体" w:cs="Times New Roman"/>
                <w:color w:val="auto"/>
                <w:sz w:val="22"/>
                <w:lang w:val="en-US" w:eastAsia="zh-CN"/>
              </w:rPr>
              <w:t>废气</w:t>
            </w:r>
          </w:p>
        </w:tc>
        <w:tc>
          <w:tcPr>
            <w:tcW w:w="1595" w:type="dxa"/>
            <w:vAlign w:val="center"/>
          </w:tcPr>
          <w:p w14:paraId="576B2B4E">
            <w:pPr>
              <w:jc w:val="center"/>
              <w:rPr>
                <w:rFonts w:hint="default" w:ascii="Times New Roman" w:hAnsi="Times New Roman" w:eastAsia="宋体" w:cs="Times New Roman"/>
                <w:color w:val="auto"/>
                <w:sz w:val="22"/>
                <w:lang w:val="en-US" w:eastAsia="zh-CN"/>
              </w:rPr>
            </w:pPr>
            <w:r>
              <w:rPr>
                <w:rFonts w:hint="eastAsia" w:ascii="Times New Roman" w:hAnsi="Times New Roman" w:eastAsia="宋体" w:cs="Times New Roman"/>
                <w:color w:val="auto"/>
                <w:sz w:val="22"/>
                <w:lang w:val="en-US" w:eastAsia="zh-CN"/>
              </w:rPr>
              <w:t>挥发性有机物</w:t>
            </w:r>
          </w:p>
        </w:tc>
        <w:tc>
          <w:tcPr>
            <w:tcW w:w="1623" w:type="dxa"/>
            <w:vAlign w:val="center"/>
          </w:tcPr>
          <w:p w14:paraId="45693C48">
            <w:pPr>
              <w:jc w:val="center"/>
              <w:rPr>
                <w:rFonts w:hint="default" w:ascii="Times New Roman" w:hAnsi="Times New Roman" w:eastAsia="宋体" w:cs="Times New Roman"/>
                <w:color w:val="auto"/>
                <w:sz w:val="22"/>
                <w:lang w:val="en-US" w:eastAsia="zh-CN"/>
              </w:rPr>
            </w:pPr>
            <w:r>
              <w:rPr>
                <w:rFonts w:hint="eastAsia" w:ascii="Times New Roman" w:hAnsi="Times New Roman" w:eastAsia="宋体" w:cs="Times New Roman"/>
                <w:color w:val="auto"/>
                <w:sz w:val="22"/>
                <w:lang w:val="en-US" w:eastAsia="zh-CN"/>
              </w:rPr>
              <w:t>44.103</w:t>
            </w:r>
          </w:p>
        </w:tc>
        <w:tc>
          <w:tcPr>
            <w:tcW w:w="1664" w:type="dxa"/>
            <w:vAlign w:val="center"/>
          </w:tcPr>
          <w:p w14:paraId="713A740A">
            <w:pPr>
              <w:jc w:val="center"/>
              <w:rPr>
                <w:rFonts w:hint="default" w:ascii="Times New Roman" w:hAnsi="Times New Roman" w:eastAsia="宋体" w:cs="Times New Roman"/>
                <w:color w:val="auto"/>
                <w:sz w:val="22"/>
                <w:lang w:val="en-US" w:eastAsia="zh-CN"/>
              </w:rPr>
            </w:pPr>
            <w:r>
              <w:rPr>
                <w:rFonts w:hint="eastAsia" w:ascii="Times New Roman" w:hAnsi="Times New Roman" w:eastAsia="宋体" w:cs="Times New Roman"/>
                <w:color w:val="auto"/>
                <w:sz w:val="22"/>
                <w:lang w:val="en-US" w:eastAsia="zh-CN"/>
              </w:rPr>
              <w:t>1.008</w:t>
            </w:r>
          </w:p>
        </w:tc>
        <w:tc>
          <w:tcPr>
            <w:tcW w:w="1350" w:type="dxa"/>
            <w:vAlign w:val="center"/>
          </w:tcPr>
          <w:p w14:paraId="6A829453">
            <w:pPr>
              <w:jc w:val="center"/>
              <w:rPr>
                <w:rFonts w:hint="default" w:ascii="Times New Roman" w:hAnsi="Times New Roman" w:eastAsia="宋体" w:cs="Times New Roman"/>
                <w:color w:val="auto"/>
                <w:sz w:val="22"/>
                <w:lang w:val="en-US" w:eastAsia="zh-CN"/>
              </w:rPr>
            </w:pPr>
            <w:r>
              <w:rPr>
                <w:rFonts w:hint="eastAsia" w:ascii="Times New Roman" w:hAnsi="Times New Roman" w:eastAsia="等线" w:cs="Times New Roman"/>
                <w:color w:val="auto"/>
                <w:sz w:val="22"/>
                <w:lang w:val="en-US" w:eastAsia="zh-CN"/>
              </w:rPr>
              <w:t>82.8</w:t>
            </w:r>
          </w:p>
        </w:tc>
        <w:tc>
          <w:tcPr>
            <w:tcW w:w="1219" w:type="dxa"/>
            <w:vAlign w:val="center"/>
          </w:tcPr>
          <w:p w14:paraId="2E811530">
            <w:pPr>
              <w:jc w:val="center"/>
              <w:rPr>
                <w:rFonts w:ascii="Times New Roman" w:hAnsi="Times New Roman" w:eastAsia="宋体" w:cs="Times New Roman"/>
                <w:color w:val="auto"/>
                <w:sz w:val="22"/>
              </w:rPr>
            </w:pPr>
            <w:r>
              <w:rPr>
                <w:rFonts w:hint="eastAsia" w:ascii="Times New Roman" w:hAnsi="Times New Roman" w:eastAsia="宋体" w:cs="Times New Roman"/>
                <w:color w:val="auto"/>
                <w:sz w:val="22"/>
              </w:rPr>
              <w:t>0</w:t>
            </w:r>
          </w:p>
        </w:tc>
      </w:tr>
      <w:tr w14:paraId="53270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vMerge w:val="restart"/>
            <w:vAlign w:val="center"/>
          </w:tcPr>
          <w:p w14:paraId="6166C4CE">
            <w:pPr>
              <w:jc w:val="center"/>
              <w:rPr>
                <w:rFonts w:ascii="Times New Roman" w:hAnsi="Times New Roman" w:eastAsia="宋体" w:cs="Times New Roman"/>
                <w:color w:val="auto"/>
                <w:sz w:val="22"/>
              </w:rPr>
            </w:pPr>
            <w:r>
              <w:rPr>
                <w:rFonts w:hint="eastAsia" w:ascii="Times New Roman" w:hAnsi="Times New Roman" w:eastAsia="宋体" w:cs="Times New Roman"/>
                <w:color w:val="auto"/>
                <w:sz w:val="22"/>
              </w:rPr>
              <w:t>废水</w:t>
            </w:r>
          </w:p>
        </w:tc>
        <w:tc>
          <w:tcPr>
            <w:tcW w:w="1595" w:type="dxa"/>
            <w:vAlign w:val="center"/>
          </w:tcPr>
          <w:p w14:paraId="3E990507">
            <w:pPr>
              <w:jc w:val="center"/>
              <w:rPr>
                <w:rFonts w:ascii="Times New Roman" w:hAnsi="Times New Roman" w:eastAsia="宋体" w:cs="Times New Roman"/>
                <w:color w:val="auto"/>
                <w:sz w:val="22"/>
              </w:rPr>
            </w:pPr>
            <w:r>
              <w:rPr>
                <w:rFonts w:hint="eastAsia" w:ascii="Times New Roman" w:hAnsi="Times New Roman" w:eastAsia="宋体" w:cs="Times New Roman"/>
                <w:color w:val="auto"/>
                <w:sz w:val="22"/>
              </w:rPr>
              <w:t>COD</w:t>
            </w:r>
          </w:p>
        </w:tc>
        <w:tc>
          <w:tcPr>
            <w:tcW w:w="1623" w:type="dxa"/>
            <w:vAlign w:val="center"/>
          </w:tcPr>
          <w:p w14:paraId="0F62B07E">
            <w:pPr>
              <w:jc w:val="center"/>
              <w:rPr>
                <w:rFonts w:hint="default" w:ascii="Times New Roman" w:hAnsi="Times New Roman" w:eastAsia="宋体" w:cs="Times New Roman"/>
                <w:color w:val="auto"/>
                <w:sz w:val="22"/>
                <w:lang w:val="en-US" w:eastAsia="zh-CN"/>
              </w:rPr>
            </w:pPr>
            <w:r>
              <w:rPr>
                <w:rFonts w:hint="eastAsia" w:ascii="Times New Roman" w:hAnsi="Times New Roman" w:eastAsia="宋体" w:cs="Times New Roman"/>
                <w:color w:val="auto"/>
                <w:sz w:val="22"/>
                <w:lang w:val="en-US" w:eastAsia="zh-CN"/>
              </w:rPr>
              <w:t>5.642</w:t>
            </w:r>
          </w:p>
        </w:tc>
        <w:tc>
          <w:tcPr>
            <w:tcW w:w="1664" w:type="dxa"/>
            <w:vAlign w:val="center"/>
          </w:tcPr>
          <w:p w14:paraId="5819882C">
            <w:pPr>
              <w:jc w:val="center"/>
              <w:rPr>
                <w:rFonts w:hint="default" w:ascii="Times New Roman" w:hAnsi="Times New Roman" w:eastAsia="宋体" w:cs="Times New Roman"/>
                <w:color w:val="auto"/>
                <w:sz w:val="22"/>
                <w:lang w:val="en-US" w:eastAsia="zh-CN"/>
              </w:rPr>
            </w:pPr>
            <w:r>
              <w:rPr>
                <w:rFonts w:hint="eastAsia" w:ascii="Times New Roman" w:hAnsi="Times New Roman" w:eastAsia="宋体" w:cs="Times New Roman"/>
                <w:color w:val="auto"/>
                <w:sz w:val="22"/>
                <w:lang w:val="en-US" w:eastAsia="zh-CN"/>
              </w:rPr>
              <w:t>5.47</w:t>
            </w:r>
          </w:p>
        </w:tc>
        <w:tc>
          <w:tcPr>
            <w:tcW w:w="1350" w:type="dxa"/>
            <w:vAlign w:val="center"/>
          </w:tcPr>
          <w:p w14:paraId="6689D4E0">
            <w:pPr>
              <w:jc w:val="center"/>
              <w:rPr>
                <w:rFonts w:hint="default" w:ascii="Times New Roman" w:hAnsi="Times New Roman" w:eastAsia="宋体" w:cs="Times New Roman"/>
                <w:color w:val="auto"/>
                <w:sz w:val="22"/>
                <w:lang w:val="en-US" w:eastAsia="zh-CN"/>
              </w:rPr>
            </w:pPr>
            <w:r>
              <w:rPr>
                <w:rFonts w:hint="eastAsia" w:ascii="Times New Roman" w:hAnsi="Times New Roman" w:eastAsia="宋体" w:cs="Times New Roman"/>
                <w:color w:val="auto"/>
                <w:sz w:val="22"/>
                <w:lang w:val="en-US" w:eastAsia="zh-CN"/>
              </w:rPr>
              <w:t>12</w:t>
            </w:r>
          </w:p>
        </w:tc>
        <w:tc>
          <w:tcPr>
            <w:tcW w:w="1219" w:type="dxa"/>
            <w:vAlign w:val="center"/>
          </w:tcPr>
          <w:p w14:paraId="50B88DDC">
            <w:pPr>
              <w:jc w:val="center"/>
              <w:rPr>
                <w:rFonts w:hint="eastAsia" w:ascii="Times New Roman" w:hAnsi="Times New Roman" w:eastAsia="宋体" w:cs="Times New Roman"/>
                <w:color w:val="auto"/>
                <w:sz w:val="22"/>
                <w:lang w:val="en-US" w:eastAsia="zh-CN"/>
              </w:rPr>
            </w:pPr>
            <w:r>
              <w:rPr>
                <w:rFonts w:hint="eastAsia" w:ascii="Times New Roman" w:hAnsi="Times New Roman" w:eastAsia="宋体" w:cs="Times New Roman"/>
                <w:color w:val="auto"/>
                <w:sz w:val="22"/>
                <w:lang w:val="en-US" w:eastAsia="zh-CN"/>
              </w:rPr>
              <w:t>0</w:t>
            </w:r>
          </w:p>
        </w:tc>
      </w:tr>
      <w:tr w14:paraId="7DAFA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vMerge w:val="continue"/>
            <w:vAlign w:val="center"/>
          </w:tcPr>
          <w:p w14:paraId="1C47A757">
            <w:pPr>
              <w:jc w:val="center"/>
              <w:rPr>
                <w:rFonts w:ascii="Times New Roman" w:hAnsi="Times New Roman" w:eastAsia="宋体" w:cs="Times New Roman"/>
                <w:color w:val="auto"/>
                <w:sz w:val="22"/>
              </w:rPr>
            </w:pPr>
          </w:p>
        </w:tc>
        <w:tc>
          <w:tcPr>
            <w:tcW w:w="1595" w:type="dxa"/>
            <w:vAlign w:val="center"/>
          </w:tcPr>
          <w:p w14:paraId="03EB829C">
            <w:pPr>
              <w:jc w:val="center"/>
              <w:rPr>
                <w:rFonts w:ascii="Times New Roman" w:hAnsi="Times New Roman" w:eastAsia="宋体" w:cs="Times New Roman"/>
                <w:color w:val="auto"/>
                <w:sz w:val="22"/>
              </w:rPr>
            </w:pPr>
            <w:r>
              <w:rPr>
                <w:rFonts w:hint="eastAsia" w:ascii="Times New Roman" w:hAnsi="Times New Roman" w:eastAsia="宋体" w:cs="Times New Roman"/>
                <w:color w:val="auto"/>
                <w:sz w:val="22"/>
              </w:rPr>
              <w:t>NH</w:t>
            </w:r>
            <w:r>
              <w:rPr>
                <w:rFonts w:hint="eastAsia" w:ascii="Times New Roman" w:hAnsi="Times New Roman" w:eastAsia="宋体" w:cs="Times New Roman"/>
                <w:color w:val="auto"/>
                <w:sz w:val="22"/>
                <w:vertAlign w:val="subscript"/>
              </w:rPr>
              <w:t>3</w:t>
            </w:r>
            <w:r>
              <w:rPr>
                <w:rFonts w:hint="eastAsia" w:ascii="Times New Roman" w:hAnsi="Times New Roman" w:eastAsia="宋体" w:cs="Times New Roman"/>
                <w:color w:val="auto"/>
                <w:sz w:val="22"/>
              </w:rPr>
              <w:t>-N</w:t>
            </w:r>
          </w:p>
        </w:tc>
        <w:tc>
          <w:tcPr>
            <w:tcW w:w="1623" w:type="dxa"/>
            <w:vAlign w:val="center"/>
          </w:tcPr>
          <w:p w14:paraId="7CFE5184">
            <w:pPr>
              <w:jc w:val="center"/>
              <w:rPr>
                <w:rFonts w:hint="default" w:ascii="Times New Roman" w:hAnsi="Times New Roman" w:eastAsia="宋体" w:cs="Times New Roman"/>
                <w:color w:val="auto"/>
                <w:sz w:val="22"/>
                <w:lang w:val="en-US" w:eastAsia="zh-CN"/>
              </w:rPr>
            </w:pPr>
            <w:r>
              <w:rPr>
                <w:rFonts w:hint="eastAsia" w:ascii="Times New Roman" w:hAnsi="Times New Roman" w:eastAsia="宋体" w:cs="Times New Roman"/>
                <w:color w:val="auto"/>
                <w:sz w:val="22"/>
                <w:lang w:val="en-US" w:eastAsia="zh-CN"/>
              </w:rPr>
              <w:t>0.334</w:t>
            </w:r>
          </w:p>
        </w:tc>
        <w:tc>
          <w:tcPr>
            <w:tcW w:w="1664" w:type="dxa"/>
            <w:vAlign w:val="center"/>
          </w:tcPr>
          <w:p w14:paraId="438A33A8">
            <w:pPr>
              <w:jc w:val="center"/>
              <w:rPr>
                <w:rFonts w:hint="default" w:ascii="Times New Roman" w:hAnsi="Times New Roman" w:eastAsia="宋体" w:cs="Times New Roman"/>
                <w:color w:val="auto"/>
                <w:sz w:val="22"/>
                <w:lang w:val="en-US" w:eastAsia="zh-CN"/>
              </w:rPr>
            </w:pPr>
            <w:r>
              <w:rPr>
                <w:rFonts w:hint="eastAsia" w:ascii="Times New Roman" w:hAnsi="Times New Roman" w:eastAsia="宋体" w:cs="Times New Roman"/>
                <w:color w:val="auto"/>
                <w:sz w:val="22"/>
                <w:lang w:val="en-US" w:eastAsia="zh-CN"/>
              </w:rPr>
              <w:t>0.87</w:t>
            </w:r>
          </w:p>
        </w:tc>
        <w:tc>
          <w:tcPr>
            <w:tcW w:w="1350" w:type="dxa"/>
            <w:vAlign w:val="center"/>
          </w:tcPr>
          <w:p w14:paraId="27EC93DE">
            <w:pPr>
              <w:jc w:val="center"/>
              <w:rPr>
                <w:rFonts w:hint="default" w:ascii="Times New Roman" w:hAnsi="Times New Roman" w:eastAsia="宋体" w:cs="Times New Roman"/>
                <w:color w:val="auto"/>
                <w:sz w:val="22"/>
                <w:lang w:val="en-US" w:eastAsia="zh-CN"/>
              </w:rPr>
            </w:pPr>
            <w:r>
              <w:rPr>
                <w:rFonts w:hint="eastAsia" w:ascii="Times New Roman" w:hAnsi="Times New Roman" w:eastAsia="宋体" w:cs="Times New Roman"/>
                <w:color w:val="auto"/>
                <w:sz w:val="22"/>
                <w:lang w:val="en-US" w:eastAsia="zh-CN"/>
              </w:rPr>
              <w:t>1.39</w:t>
            </w:r>
          </w:p>
        </w:tc>
        <w:tc>
          <w:tcPr>
            <w:tcW w:w="1219" w:type="dxa"/>
            <w:vAlign w:val="center"/>
          </w:tcPr>
          <w:p w14:paraId="39F16B57">
            <w:pPr>
              <w:jc w:val="center"/>
              <w:rPr>
                <w:rFonts w:hint="eastAsia" w:ascii="Times New Roman" w:hAnsi="Times New Roman" w:eastAsia="宋体" w:cs="Times New Roman"/>
                <w:color w:val="auto"/>
                <w:sz w:val="22"/>
                <w:lang w:val="en-US" w:eastAsia="zh-CN"/>
              </w:rPr>
            </w:pPr>
            <w:r>
              <w:rPr>
                <w:rFonts w:hint="eastAsia" w:ascii="Times New Roman" w:hAnsi="Times New Roman" w:eastAsia="宋体" w:cs="Times New Roman"/>
                <w:color w:val="auto"/>
                <w:sz w:val="22"/>
                <w:lang w:val="en-US" w:eastAsia="zh-CN"/>
              </w:rPr>
              <w:t>0</w:t>
            </w:r>
          </w:p>
        </w:tc>
      </w:tr>
    </w:tbl>
    <w:p w14:paraId="29D73B44">
      <w:pPr>
        <w:spacing w:line="360" w:lineRule="auto"/>
        <w:ind w:firstLine="480" w:firstLineChars="200"/>
        <w:rPr>
          <w:rFonts w:ascii="Times New Roman" w:hAnsi="Times New Roman" w:eastAsia="宋体" w:cs="Times New Roman"/>
          <w:color w:val="auto"/>
          <w:sz w:val="24"/>
          <w:szCs w:val="24"/>
        </w:rPr>
        <w:sectPr>
          <w:pgSz w:w="11906" w:h="16838"/>
          <w:pgMar w:top="1440" w:right="1800" w:bottom="1440" w:left="1800" w:header="851" w:footer="992" w:gutter="0"/>
          <w:pgNumType w:fmt="numberInDash"/>
          <w:cols w:space="425" w:num="1"/>
          <w:docGrid w:type="lines" w:linePitch="312" w:charSpace="0"/>
        </w:sectPr>
      </w:pPr>
      <w:r>
        <w:rPr>
          <w:rFonts w:hint="eastAsia" w:ascii="Times New Roman" w:hAnsi="Times New Roman" w:eastAsia="宋体" w:cs="Times New Roman"/>
          <w:color w:val="auto"/>
          <w:sz w:val="24"/>
          <w:szCs w:val="24"/>
        </w:rPr>
        <w:t>综上所示，厂区内已取得总量指标满足拟建项目需要。</w:t>
      </w:r>
    </w:p>
    <w:p w14:paraId="3811F8F8">
      <w:pPr>
        <w:pStyle w:val="2"/>
        <w:bidi w:val="0"/>
      </w:pPr>
      <w:bookmarkStart w:id="216" w:name="_Toc30400"/>
      <w:bookmarkStart w:id="217" w:name="_Toc146781140"/>
      <w:bookmarkStart w:id="218" w:name="_Toc116571875"/>
      <w:bookmarkStart w:id="219" w:name="_Toc17206463"/>
      <w:bookmarkStart w:id="220" w:name="_Toc5128329"/>
      <w:bookmarkStart w:id="221" w:name="_Toc30780"/>
      <w:bookmarkStart w:id="222" w:name="_Hlk172820759"/>
      <w:r>
        <w:t>5、环境现状调查及评价</w:t>
      </w:r>
      <w:bookmarkEnd w:id="216"/>
      <w:bookmarkEnd w:id="217"/>
      <w:bookmarkEnd w:id="218"/>
      <w:bookmarkEnd w:id="219"/>
      <w:bookmarkEnd w:id="220"/>
      <w:bookmarkEnd w:id="221"/>
    </w:p>
    <w:p w14:paraId="24891F62">
      <w:pPr>
        <w:pStyle w:val="3"/>
        <w:bidi w:val="0"/>
      </w:pPr>
      <w:bookmarkStart w:id="223" w:name="_Toc17206464"/>
      <w:bookmarkStart w:id="224" w:name="_Toc116571876"/>
      <w:bookmarkStart w:id="225" w:name="_Toc5128330"/>
      <w:bookmarkStart w:id="226" w:name="_Toc517849918"/>
      <w:bookmarkStart w:id="227" w:name="_Toc146781141"/>
      <w:bookmarkStart w:id="228" w:name="_Toc21643"/>
      <w:bookmarkStart w:id="229" w:name="_Toc535149955"/>
      <w:bookmarkStart w:id="230" w:name="_Toc535150349"/>
      <w:bookmarkStart w:id="231" w:name="_Toc13693"/>
      <w:bookmarkStart w:id="232" w:name="_Toc511378315"/>
      <w:r>
        <w:t>5.1自然环境现状</w:t>
      </w:r>
      <w:bookmarkEnd w:id="223"/>
      <w:bookmarkEnd w:id="224"/>
      <w:bookmarkEnd w:id="225"/>
      <w:bookmarkEnd w:id="226"/>
      <w:bookmarkEnd w:id="227"/>
      <w:bookmarkEnd w:id="228"/>
      <w:bookmarkEnd w:id="229"/>
      <w:bookmarkEnd w:id="230"/>
      <w:bookmarkEnd w:id="231"/>
      <w:bookmarkEnd w:id="232"/>
    </w:p>
    <w:p w14:paraId="3B85AB8C">
      <w:pPr>
        <w:pStyle w:val="4"/>
        <w:bidi w:val="0"/>
      </w:pPr>
      <w:r>
        <w:t>5.1.1地理位置</w:t>
      </w:r>
    </w:p>
    <w:p w14:paraId="1212F580">
      <w:pPr>
        <w:spacing w:line="360" w:lineRule="auto"/>
        <w:ind w:firstLine="480" w:firstLineChars="200"/>
        <w:rPr>
          <w:rFonts w:ascii="Times New Roman" w:hAnsi="Times New Roman" w:eastAsia="宋体" w:cs="宋体"/>
          <w:color w:val="auto"/>
          <w:sz w:val="24"/>
          <w:szCs w:val="24"/>
        </w:rPr>
      </w:pPr>
      <w:r>
        <w:rPr>
          <w:rFonts w:hint="eastAsia" w:ascii="Times New Roman" w:hAnsi="Times New Roman" w:eastAsia="宋体" w:cs="宋体"/>
          <w:color w:val="auto"/>
          <w:sz w:val="24"/>
          <w:szCs w:val="24"/>
        </w:rPr>
        <w:t>津市位于湖南省西北部，澧水中下游（地理位置介于东经111°45′59"~112°1′40"，北纬29°16′30"~29°39′46"之间，土地总面积550.79k</w:t>
      </w:r>
      <w:r>
        <w:rPr>
          <w:rFonts w:hint="eastAsia" w:ascii="Times New Roman" w:hAnsi="Times New Roman" w:eastAsia="宋体" w:cs="宋体"/>
          <w:color w:val="auto"/>
          <w:sz w:val="24"/>
          <w:szCs w:val="24"/>
          <w:lang w:eastAsia="zh-CN"/>
        </w:rPr>
        <w:t>m</w:t>
      </w:r>
      <w:r>
        <w:rPr>
          <w:rFonts w:hint="eastAsia" w:ascii="Times New Roman" w:hAnsi="Times New Roman" w:eastAsia="宋体" w:cs="宋体"/>
          <w:color w:val="auto"/>
          <w:sz w:val="24"/>
          <w:szCs w:val="24"/>
          <w:vertAlign w:val="superscript"/>
          <w:lang w:eastAsia="zh-CN"/>
        </w:rPr>
        <w:t>2</w:t>
      </w:r>
      <w:r>
        <w:rPr>
          <w:rFonts w:hint="eastAsia" w:ascii="Times New Roman" w:hAnsi="Times New Roman" w:eastAsia="宋体" w:cs="宋体"/>
          <w:color w:val="auto"/>
          <w:sz w:val="24"/>
          <w:szCs w:val="24"/>
        </w:rPr>
        <w:t>），是湘鄂边际工业重镇。南接常德市鼎城区，西北、东北与澧县抵界，东与安乡毗邻，西与临澧按壤，距省会长沙市约240km。</w:t>
      </w:r>
    </w:p>
    <w:p w14:paraId="7C60E898">
      <w:pPr>
        <w:spacing w:line="360" w:lineRule="auto"/>
        <w:ind w:firstLine="480" w:firstLineChars="200"/>
        <w:rPr>
          <w:rFonts w:ascii="Times New Roman" w:hAnsi="Times New Roman" w:eastAsia="宋体" w:cs="宋体"/>
          <w:color w:val="auto"/>
          <w:sz w:val="24"/>
          <w:szCs w:val="24"/>
        </w:rPr>
      </w:pPr>
      <w:r>
        <w:rPr>
          <w:rFonts w:hint="eastAsia" w:ascii="Times New Roman" w:hAnsi="Times New Roman" w:eastAsia="宋体" w:cs="宋体"/>
          <w:color w:val="auto"/>
          <w:sz w:val="24"/>
          <w:szCs w:val="24"/>
        </w:rPr>
        <w:t>津市高新技术产业开发区主要位于津市市中北部，澧水以西，胥家湖北侧地域，总面积1088.43公顷，“一园两区”格局，主导产业为生物医药（医药制造）、装备制造、食品加工。其中：南部片区1056.83公顷，主要发展生物医药（医药制造）、装备制造和食品加工，四至范围为：北至清远路，南至杉堰路，东至澧水大堤，西至关桥路。北部片区10.99公顷，适度发展盐化工产业，四至范围为：南至大同路以南156米处，北至大同路以北232米处，东至周家铺路，西至周家铺路以西458米处。</w:t>
      </w:r>
    </w:p>
    <w:p w14:paraId="2CC7F8CB">
      <w:pPr>
        <w:spacing w:line="360" w:lineRule="auto"/>
        <w:ind w:firstLine="480" w:firstLineChars="200"/>
        <w:rPr>
          <w:rFonts w:ascii="Times New Roman" w:hAnsi="Times New Roman" w:eastAsia="宋体" w:cs="Times New Roman"/>
          <w:color w:val="auto"/>
          <w:sz w:val="24"/>
          <w:szCs w:val="24"/>
          <w:highlight w:val="green"/>
        </w:rPr>
      </w:pPr>
      <w:r>
        <w:rPr>
          <w:rFonts w:hint="eastAsia" w:ascii="Times New Roman" w:hAnsi="Times New Roman" w:eastAsia="宋体" w:cs="宋体"/>
          <w:color w:val="auto"/>
          <w:sz w:val="24"/>
          <w:szCs w:val="24"/>
        </w:rPr>
        <w:t>湖南</w:t>
      </w:r>
      <w:r>
        <w:rPr>
          <w:rFonts w:hint="eastAsia" w:ascii="Times New Roman" w:hAnsi="Times New Roman" w:eastAsia="宋体" w:cs="宋体"/>
          <w:color w:val="auto"/>
          <w:sz w:val="24"/>
          <w:szCs w:val="24"/>
          <w:lang w:val="en-US" w:eastAsia="zh-CN"/>
        </w:rPr>
        <w:t>新合新</w:t>
      </w:r>
      <w:r>
        <w:rPr>
          <w:rFonts w:hint="eastAsia" w:ascii="Times New Roman" w:hAnsi="Times New Roman" w:eastAsia="宋体" w:cs="宋体"/>
          <w:color w:val="auto"/>
          <w:sz w:val="24"/>
          <w:szCs w:val="24"/>
        </w:rPr>
        <w:t>生物</w:t>
      </w:r>
      <w:r>
        <w:rPr>
          <w:rFonts w:hint="eastAsia" w:ascii="Times New Roman" w:hAnsi="Times New Roman" w:eastAsia="宋体" w:cs="宋体"/>
          <w:color w:val="auto"/>
          <w:sz w:val="24"/>
          <w:szCs w:val="24"/>
          <w:lang w:val="en-US" w:eastAsia="zh-CN"/>
        </w:rPr>
        <w:t>科技</w:t>
      </w:r>
      <w:r>
        <w:rPr>
          <w:rFonts w:hint="eastAsia" w:ascii="Times New Roman" w:hAnsi="Times New Roman" w:eastAsia="宋体" w:cs="宋体"/>
          <w:color w:val="auto"/>
          <w:sz w:val="24"/>
          <w:szCs w:val="24"/>
        </w:rPr>
        <w:t>有限公司位于</w:t>
      </w:r>
      <w:r>
        <w:rPr>
          <w:color w:val="auto"/>
          <w:sz w:val="24"/>
        </w:rPr>
        <w:t>常德市津市</w:t>
      </w:r>
      <w:r>
        <w:rPr>
          <w:rFonts w:hint="eastAsia"/>
          <w:color w:val="auto"/>
          <w:sz w:val="24"/>
        </w:rPr>
        <w:t>孟姜女大道与</w:t>
      </w:r>
      <w:r>
        <w:rPr>
          <w:color w:val="auto"/>
          <w:sz w:val="24"/>
        </w:rPr>
        <w:t>鸿祥路</w:t>
      </w:r>
      <w:r>
        <w:rPr>
          <w:rFonts w:hint="eastAsia"/>
          <w:color w:val="auto"/>
          <w:sz w:val="24"/>
        </w:rPr>
        <w:t>交汇处东南角</w:t>
      </w:r>
      <w:r>
        <w:rPr>
          <w:rFonts w:hint="eastAsia" w:ascii="Times New Roman" w:hAnsi="Times New Roman" w:eastAsia="宋体" w:cs="宋体"/>
          <w:color w:val="auto"/>
          <w:sz w:val="24"/>
          <w:szCs w:val="24"/>
        </w:rPr>
        <w:t>，</w:t>
      </w:r>
      <w:r>
        <w:rPr>
          <w:rFonts w:hint="eastAsia" w:ascii="Times New Roman" w:hAnsi="Times New Roman" w:eastAsia="宋体" w:cs="Times New Roman"/>
          <w:color w:val="auto"/>
          <w:sz w:val="24"/>
          <w:szCs w:val="24"/>
        </w:rPr>
        <w:t>中心地理坐标为E111.</w:t>
      </w:r>
      <w:r>
        <w:rPr>
          <w:rFonts w:hint="eastAsia" w:ascii="Times New Roman" w:hAnsi="Times New Roman" w:eastAsia="宋体" w:cs="Times New Roman"/>
          <w:color w:val="auto"/>
          <w:sz w:val="24"/>
          <w:szCs w:val="24"/>
          <w:lang w:val="en-US" w:eastAsia="zh-CN"/>
        </w:rPr>
        <w:t>874296</w:t>
      </w:r>
      <w:r>
        <w:rPr>
          <w:rFonts w:hint="eastAsia" w:ascii="Times New Roman" w:hAnsi="Times New Roman" w:eastAsia="宋体" w:cs="Times New Roman"/>
          <w:color w:val="auto"/>
          <w:sz w:val="24"/>
          <w:szCs w:val="24"/>
        </w:rPr>
        <w:t>°，N29.</w:t>
      </w:r>
      <w:r>
        <w:rPr>
          <w:rFonts w:hint="eastAsia" w:ascii="Times New Roman" w:hAnsi="Times New Roman" w:eastAsia="宋体" w:cs="Times New Roman"/>
          <w:color w:val="auto"/>
          <w:sz w:val="24"/>
          <w:szCs w:val="24"/>
          <w:lang w:val="en-US" w:eastAsia="zh-CN"/>
        </w:rPr>
        <w:t>562477</w:t>
      </w:r>
      <w:r>
        <w:rPr>
          <w:rFonts w:hint="eastAsia" w:ascii="Times New Roman" w:hAnsi="Times New Roman" w:eastAsia="宋体" w:cs="Times New Roman"/>
          <w:color w:val="auto"/>
          <w:sz w:val="24"/>
          <w:szCs w:val="24"/>
        </w:rPr>
        <w:t>°。</w:t>
      </w:r>
    </w:p>
    <w:p w14:paraId="0EA05B0A">
      <w:pPr>
        <w:pStyle w:val="4"/>
        <w:bidi w:val="0"/>
      </w:pPr>
      <w:r>
        <w:t>5.1.2</w:t>
      </w:r>
      <w:r>
        <w:rPr>
          <w:rFonts w:hint="eastAsia"/>
        </w:rPr>
        <w:t>地形、地貌及地质</w:t>
      </w:r>
    </w:p>
    <w:p w14:paraId="38D15990">
      <w:pPr>
        <w:spacing w:line="360" w:lineRule="auto"/>
        <w:ind w:firstLine="480" w:firstLineChars="200"/>
        <w:rPr>
          <w:rFonts w:ascii="Times New Roman" w:hAnsi="Times New Roman" w:eastAsia="宋体" w:cs="Times New Roman"/>
          <w:color w:val="auto"/>
          <w:sz w:val="24"/>
          <w:szCs w:val="24"/>
          <w:highlight w:val="green"/>
        </w:rPr>
      </w:pPr>
      <w:r>
        <w:rPr>
          <w:rFonts w:hint="eastAsia" w:ascii="Times New Roman" w:hAnsi="Times New Roman" w:eastAsia="宋体" w:cs="Times New Roman"/>
          <w:color w:val="auto"/>
          <w:sz w:val="24"/>
          <w:szCs w:val="24"/>
        </w:rPr>
        <w:t>津市属武陵山余脉向洞庭湖盆地过渡的地带，且处在澧水流域山区和洞庭湖滨的结合点上。地形以澧水为天然分界线，西南岸为山岗丘陵，东北岸为江汉平原边地，整个地势由西南向东北倾斜，地表升降明显。境内地层大面积为第四季覆盖，全部为松散沉积物，老地层零星分布。工程地质分平原和岗丘两个地质区，平原地质区主要分布在涔澹农场至市北区一带以及渡口、保河堤等河湖交汇地带，地基属双层结构，上层允许承载力10吨/</w:t>
      </w:r>
      <w:r>
        <w:rPr>
          <w:rFonts w:hint="eastAsia" w:ascii="Times New Roman" w:hAnsi="Times New Roman" w:eastAsia="宋体" w:cs="Times New Roman"/>
          <w:color w:val="auto"/>
          <w:sz w:val="24"/>
          <w:szCs w:val="24"/>
          <w:vertAlign w:val="superscript"/>
        </w:rPr>
        <w:t>2</w:t>
      </w:r>
      <w:r>
        <w:rPr>
          <w:rFonts w:hint="eastAsia" w:ascii="Times New Roman" w:hAnsi="Times New Roman" w:eastAsia="宋体" w:cs="Times New Roman"/>
          <w:color w:val="auto"/>
          <w:sz w:val="24"/>
          <w:szCs w:val="24"/>
        </w:rPr>
        <w:t>，下层一般大于10吨/</w:t>
      </w:r>
      <w:r>
        <w:rPr>
          <w:rFonts w:hint="eastAsia" w:ascii="Times New Roman" w:hAnsi="Times New Roman" w:eastAsia="宋体" w:cs="Times New Roman"/>
          <w:color w:val="auto"/>
          <w:sz w:val="24"/>
          <w:szCs w:val="24"/>
          <w:vertAlign w:val="superscript"/>
        </w:rPr>
        <w:t>2</w:t>
      </w:r>
      <w:r>
        <w:rPr>
          <w:rFonts w:hint="eastAsia" w:ascii="Times New Roman" w:hAnsi="Times New Roman" w:eastAsia="宋体" w:cs="Times New Roman"/>
          <w:color w:val="auto"/>
          <w:sz w:val="24"/>
          <w:szCs w:val="24"/>
        </w:rPr>
        <w:t>。岗丘地质区主要分布于皇姑山至灵泉，嘉山至白衣庵地带以及津市南侧边缘地带。表面允许承载力为10吨/</w:t>
      </w:r>
      <w:r>
        <w:rPr>
          <w:rFonts w:hint="eastAsia" w:ascii="Times New Roman" w:hAnsi="Times New Roman" w:eastAsia="宋体" w:cs="Times New Roman"/>
          <w:color w:val="auto"/>
          <w:sz w:val="24"/>
          <w:szCs w:val="24"/>
          <w:vertAlign w:val="superscript"/>
        </w:rPr>
        <w:t>2</w:t>
      </w:r>
      <w:r>
        <w:rPr>
          <w:rFonts w:hint="eastAsia" w:ascii="Times New Roman" w:hAnsi="Times New Roman" w:eastAsia="宋体" w:cs="Times New Roman"/>
          <w:color w:val="auto"/>
          <w:sz w:val="24"/>
          <w:szCs w:val="24"/>
        </w:rPr>
        <w:t>左右，下层允许承载力一般在300-800吨/</w:t>
      </w:r>
      <w:r>
        <w:rPr>
          <w:rFonts w:hint="eastAsia" w:ascii="Times New Roman" w:hAnsi="Times New Roman" w:eastAsia="宋体" w:cs="Times New Roman"/>
          <w:color w:val="auto"/>
          <w:sz w:val="24"/>
          <w:szCs w:val="24"/>
          <w:vertAlign w:val="superscript"/>
        </w:rPr>
        <w:t>2</w:t>
      </w:r>
      <w:r>
        <w:rPr>
          <w:rFonts w:hint="eastAsia" w:ascii="Times New Roman" w:hAnsi="Times New Roman" w:eastAsia="宋体" w:cs="Times New Roman"/>
          <w:color w:val="auto"/>
          <w:sz w:val="24"/>
          <w:szCs w:val="24"/>
        </w:rPr>
        <w:t>之间。</w:t>
      </w:r>
    </w:p>
    <w:p w14:paraId="5265B55D">
      <w:pPr>
        <w:pStyle w:val="4"/>
        <w:bidi w:val="0"/>
      </w:pPr>
      <w:r>
        <w:t>5.1.3</w:t>
      </w:r>
      <w:r>
        <w:rPr>
          <w:rFonts w:hint="eastAsia"/>
        </w:rPr>
        <w:t>水文</w:t>
      </w:r>
    </w:p>
    <w:p w14:paraId="22EB98A3">
      <w:pPr>
        <w:spacing w:line="360" w:lineRule="auto"/>
        <w:ind w:firstLine="480" w:firstLineChars="200"/>
        <w:rPr>
          <w:rFonts w:ascii="Times New Roman" w:hAnsi="Times New Roman" w:eastAsia="宋体" w:cs="宋体"/>
          <w:color w:val="auto"/>
          <w:sz w:val="24"/>
          <w:szCs w:val="24"/>
        </w:rPr>
      </w:pPr>
      <w:r>
        <w:rPr>
          <w:rFonts w:hint="eastAsia" w:ascii="Times New Roman" w:hAnsi="Times New Roman" w:eastAsia="宋体" w:cs="宋体"/>
          <w:color w:val="auto"/>
          <w:sz w:val="24"/>
          <w:szCs w:val="24"/>
        </w:rPr>
        <w:t>津市水系可分为澧水、四口、西湖三个水系。其中澧水为本项目用水水源和纳污水体，为湖南四大河流之一，其干流分北、中、南三源。北源为主，源于桑植县杉木界，中源于桑植县八大公山东麓，南源源于永顺县龙家寨，三源于桑植县南岔汇合后东流。沿途接溇水渫水、道水和涔水等支流，最后注入洞庭湖。干流全长388km，流域面积18496km²（湖南境内15505km²），多年平均径流量131.2亿m³。</w:t>
      </w:r>
    </w:p>
    <w:p w14:paraId="434B759D">
      <w:pPr>
        <w:spacing w:line="360" w:lineRule="auto"/>
        <w:ind w:firstLine="480" w:firstLineChars="200"/>
        <w:rPr>
          <w:rFonts w:hint="eastAsia" w:ascii="宋体" w:hAnsi="宋体" w:eastAsia="宋体" w:cs="宋体"/>
          <w:color w:val="auto"/>
          <w:sz w:val="24"/>
          <w:szCs w:val="24"/>
        </w:rPr>
      </w:pPr>
      <w:r>
        <w:rPr>
          <w:rFonts w:hint="eastAsia" w:ascii="Times New Roman" w:hAnsi="Times New Roman" w:eastAsia="宋体" w:cs="宋体"/>
          <w:color w:val="auto"/>
          <w:sz w:val="24"/>
          <w:szCs w:val="24"/>
        </w:rPr>
        <w:t>澧水津市段过境总长47km，自西向东横贯市区，至小渡口南折，沿市境东部边缘注入洞庭湖，将津市市区分为南北两部分。羊湖口河面极宽处500m左右，刘公桥极窄处276m，本段主要水文特征如下：</w:t>
      </w:r>
    </w:p>
    <w:p w14:paraId="40EBDE0E">
      <w:pPr>
        <w:spacing w:line="360" w:lineRule="auto"/>
        <w:ind w:firstLine="480" w:firstLineChars="200"/>
        <w:rPr>
          <w:rFonts w:ascii="Times New Roman" w:hAnsi="Times New Roman" w:eastAsia="宋体" w:cs="宋体"/>
          <w:color w:val="auto"/>
          <w:sz w:val="24"/>
          <w:szCs w:val="24"/>
        </w:rPr>
      </w:pPr>
      <w:r>
        <w:rPr>
          <w:rFonts w:hint="eastAsia" w:ascii="Times New Roman" w:hAnsi="Times New Roman" w:eastAsia="宋体" w:cs="宋体"/>
          <w:color w:val="auto"/>
          <w:sz w:val="24"/>
          <w:szCs w:val="24"/>
        </w:rPr>
        <w:t>平均水位                 31.44m</w:t>
      </w:r>
    </w:p>
    <w:p w14:paraId="33B286A5">
      <w:pPr>
        <w:spacing w:line="360" w:lineRule="auto"/>
        <w:ind w:firstLine="480" w:firstLineChars="200"/>
        <w:rPr>
          <w:rFonts w:ascii="Times New Roman" w:hAnsi="Times New Roman" w:eastAsia="宋体" w:cs="宋体"/>
          <w:color w:val="auto"/>
          <w:sz w:val="24"/>
          <w:szCs w:val="24"/>
        </w:rPr>
      </w:pPr>
      <w:r>
        <w:rPr>
          <w:rFonts w:hint="eastAsia" w:ascii="Times New Roman" w:hAnsi="Times New Roman" w:eastAsia="宋体" w:cs="宋体"/>
          <w:color w:val="auto"/>
          <w:sz w:val="24"/>
          <w:szCs w:val="24"/>
        </w:rPr>
        <w:t>最高洪水位               41.53m</w:t>
      </w:r>
    </w:p>
    <w:p w14:paraId="62E42D53">
      <w:pPr>
        <w:spacing w:line="360" w:lineRule="auto"/>
        <w:ind w:firstLine="480" w:firstLineChars="200"/>
        <w:rPr>
          <w:rFonts w:ascii="Times New Roman" w:hAnsi="Times New Roman" w:eastAsia="宋体" w:cs="宋体"/>
          <w:color w:val="auto"/>
          <w:sz w:val="24"/>
          <w:szCs w:val="24"/>
        </w:rPr>
      </w:pPr>
      <w:r>
        <w:rPr>
          <w:rFonts w:hint="eastAsia" w:ascii="Times New Roman" w:hAnsi="Times New Roman" w:eastAsia="宋体" w:cs="宋体"/>
          <w:color w:val="auto"/>
          <w:sz w:val="24"/>
          <w:szCs w:val="24"/>
        </w:rPr>
        <w:t>平均枯水位               28.32m</w:t>
      </w:r>
    </w:p>
    <w:p w14:paraId="66ABAAA2">
      <w:pPr>
        <w:spacing w:line="360" w:lineRule="auto"/>
        <w:ind w:firstLine="480" w:firstLineChars="200"/>
        <w:rPr>
          <w:rFonts w:ascii="Times New Roman" w:hAnsi="Times New Roman" w:eastAsia="宋体" w:cs="宋体"/>
          <w:color w:val="auto"/>
          <w:sz w:val="24"/>
          <w:szCs w:val="24"/>
        </w:rPr>
      </w:pPr>
      <w:r>
        <w:rPr>
          <w:rFonts w:hint="eastAsia" w:ascii="Times New Roman" w:hAnsi="Times New Roman" w:eastAsia="宋体" w:cs="宋体"/>
          <w:color w:val="auto"/>
          <w:sz w:val="24"/>
          <w:szCs w:val="24"/>
        </w:rPr>
        <w:t>最大流量                 16970m³/s</w:t>
      </w:r>
    </w:p>
    <w:p w14:paraId="62BDEEC1">
      <w:pPr>
        <w:spacing w:line="360" w:lineRule="auto"/>
        <w:ind w:firstLine="480" w:firstLineChars="200"/>
        <w:rPr>
          <w:rFonts w:ascii="Times New Roman" w:hAnsi="Times New Roman" w:eastAsia="宋体" w:cs="宋体"/>
          <w:color w:val="auto"/>
          <w:sz w:val="24"/>
          <w:szCs w:val="24"/>
        </w:rPr>
      </w:pPr>
      <w:r>
        <w:rPr>
          <w:rFonts w:hint="eastAsia" w:ascii="Times New Roman" w:hAnsi="Times New Roman" w:eastAsia="宋体" w:cs="宋体"/>
          <w:color w:val="auto"/>
          <w:sz w:val="24"/>
          <w:szCs w:val="24"/>
        </w:rPr>
        <w:t>平均流量                 470m³/s</w:t>
      </w:r>
    </w:p>
    <w:p w14:paraId="2B7D3D27">
      <w:pPr>
        <w:spacing w:line="360" w:lineRule="auto"/>
        <w:ind w:firstLine="480" w:firstLineChars="200"/>
        <w:rPr>
          <w:rFonts w:ascii="Times New Roman" w:hAnsi="Times New Roman" w:eastAsia="宋体" w:cs="宋体"/>
          <w:color w:val="auto"/>
          <w:sz w:val="24"/>
          <w:szCs w:val="24"/>
        </w:rPr>
      </w:pPr>
      <w:r>
        <w:rPr>
          <w:rFonts w:hint="eastAsia" w:ascii="Times New Roman" w:hAnsi="Times New Roman" w:eastAsia="宋体" w:cs="宋体"/>
          <w:color w:val="auto"/>
          <w:sz w:val="24"/>
          <w:szCs w:val="24"/>
        </w:rPr>
        <w:t>最小流量                 59m³/s</w:t>
      </w:r>
    </w:p>
    <w:p w14:paraId="7E9FCF3D">
      <w:pPr>
        <w:spacing w:line="360" w:lineRule="auto"/>
        <w:ind w:firstLine="480" w:firstLineChars="200"/>
        <w:rPr>
          <w:rFonts w:ascii="Times New Roman" w:hAnsi="Times New Roman" w:eastAsia="宋体" w:cs="宋体"/>
          <w:color w:val="auto"/>
          <w:sz w:val="24"/>
          <w:szCs w:val="24"/>
        </w:rPr>
      </w:pPr>
      <w:r>
        <w:rPr>
          <w:rFonts w:hint="eastAsia" w:ascii="Times New Roman" w:hAnsi="Times New Roman" w:eastAsia="宋体" w:cs="宋体"/>
          <w:color w:val="auto"/>
          <w:sz w:val="24"/>
          <w:szCs w:val="24"/>
        </w:rPr>
        <w:t>年平均温度               17.4℃</w:t>
      </w:r>
    </w:p>
    <w:p w14:paraId="53DE61B4">
      <w:pPr>
        <w:spacing w:line="360" w:lineRule="auto"/>
        <w:ind w:firstLine="480" w:firstLineChars="200"/>
        <w:rPr>
          <w:rFonts w:ascii="Times New Roman" w:hAnsi="Times New Roman" w:eastAsia="宋体" w:cs="宋体"/>
          <w:color w:val="auto"/>
          <w:sz w:val="24"/>
          <w:szCs w:val="24"/>
        </w:rPr>
      </w:pPr>
      <w:r>
        <w:rPr>
          <w:rFonts w:hint="eastAsia" w:ascii="Times New Roman" w:hAnsi="Times New Roman" w:eastAsia="宋体" w:cs="宋体"/>
          <w:color w:val="auto"/>
          <w:sz w:val="24"/>
          <w:szCs w:val="24"/>
        </w:rPr>
        <w:t>极端最高温度             40.6℃</w:t>
      </w:r>
    </w:p>
    <w:p w14:paraId="15570AB0">
      <w:pPr>
        <w:spacing w:line="360" w:lineRule="auto"/>
        <w:ind w:firstLine="480" w:firstLineChars="200"/>
        <w:rPr>
          <w:rFonts w:ascii="Times New Roman" w:hAnsi="Times New Roman" w:eastAsia="宋体" w:cs="宋体"/>
          <w:color w:val="auto"/>
          <w:sz w:val="24"/>
          <w:szCs w:val="24"/>
        </w:rPr>
      </w:pPr>
      <w:r>
        <w:rPr>
          <w:rFonts w:hint="eastAsia" w:ascii="Times New Roman" w:hAnsi="Times New Roman" w:eastAsia="宋体" w:cs="宋体"/>
          <w:color w:val="auto"/>
          <w:sz w:val="24"/>
          <w:szCs w:val="24"/>
        </w:rPr>
        <w:t>津市地下水储量丰富，以涔澹农场至市北区地带为最多，0～7m以内单井日出水量，达2200t/d以上，7m以下单井日出水量达1000t/d以上。其它地段单井日出水量亦多在500-800t/d左右。项目区域居民饮水主要水源为澧水，由津市自来水公司供给，本项目生活用水为自来水，工业用水由自备水井提供。根据《湖南新合新公司生物医药有限公司岩土工程详细勘察报告》，场地地下水类型、特征分述如下：</w:t>
      </w:r>
    </w:p>
    <w:p w14:paraId="4741C2AD">
      <w:pPr>
        <w:spacing w:line="360" w:lineRule="auto"/>
        <w:ind w:firstLine="480" w:firstLineChars="200"/>
        <w:rPr>
          <w:rFonts w:ascii="Times New Roman" w:hAnsi="Times New Roman" w:eastAsia="宋体" w:cs="宋体"/>
          <w:color w:val="auto"/>
          <w:sz w:val="24"/>
          <w:szCs w:val="24"/>
        </w:rPr>
      </w:pPr>
      <w:r>
        <w:rPr>
          <w:rFonts w:hint="eastAsia" w:ascii="Times New Roman" w:hAnsi="Times New Roman" w:eastAsia="宋体" w:cs="宋体"/>
          <w:color w:val="auto"/>
          <w:sz w:val="24"/>
          <w:szCs w:val="24"/>
        </w:rPr>
        <w:t>（1）上层滯水：赋存于杂填土中，以淤泥质土、粉土为相对隔水底板。其受大气降水、生活废水等方式补给，以蒸发、渗流等方式排泄，其水位受季节性变化影响较大，水量不大。</w:t>
      </w:r>
    </w:p>
    <w:p w14:paraId="40D63E4A">
      <w:pPr>
        <w:spacing w:line="360" w:lineRule="auto"/>
        <w:ind w:firstLine="480" w:firstLineChars="200"/>
        <w:rPr>
          <w:rFonts w:ascii="Times New Roman" w:hAnsi="Times New Roman" w:eastAsia="宋体" w:cs="Times New Roman"/>
          <w:color w:val="auto"/>
          <w:sz w:val="24"/>
          <w:szCs w:val="24"/>
          <w:highlight w:val="green"/>
        </w:rPr>
      </w:pPr>
      <w:r>
        <w:rPr>
          <w:rFonts w:hint="eastAsia" w:ascii="Times New Roman" w:hAnsi="Times New Roman" w:eastAsia="宋体" w:cs="宋体"/>
          <w:color w:val="auto"/>
          <w:sz w:val="24"/>
          <w:szCs w:val="24"/>
        </w:rPr>
        <w:t>（2）孔隙承压水：赋存于圆砾中，水量丰富，具明显的承压性，其以粉土为相对隔水顶板，与澧水河有着密切的水力联系，其埋深大，勘察期间测得地下水位33.10米左右。据临近勘察资料调查，近5年内的场地承压水最高水位标高为34.50米左右，最低水位标高30.50米左右，变化幅度4米左右。主要补给来源为大降水及地表水，以潜流方式运移排泄。地下水流向为从北往南。</w:t>
      </w:r>
    </w:p>
    <w:p w14:paraId="762075BF">
      <w:pPr>
        <w:pStyle w:val="4"/>
        <w:bidi w:val="0"/>
      </w:pPr>
      <w:r>
        <w:t>5.1.4</w:t>
      </w:r>
      <w:r>
        <w:rPr>
          <w:rFonts w:hint="eastAsia"/>
        </w:rPr>
        <w:t>气象</w:t>
      </w:r>
    </w:p>
    <w:p w14:paraId="56520A8F">
      <w:pPr>
        <w:spacing w:line="360" w:lineRule="auto"/>
        <w:ind w:firstLine="480" w:firstLineChars="200"/>
        <w:rPr>
          <w:rFonts w:ascii="Times New Roman" w:hAnsi="Times New Roman" w:eastAsia="宋体" w:cs="Times New Roman"/>
          <w:color w:val="FF0000"/>
          <w:sz w:val="24"/>
          <w:szCs w:val="24"/>
          <w:highlight w:val="green"/>
        </w:rPr>
      </w:pPr>
      <w:r>
        <w:rPr>
          <w:rFonts w:hint="eastAsia" w:ascii="Times New Roman" w:hAnsi="Times New Roman" w:eastAsia="宋体" w:cs="宋体"/>
          <w:color w:val="auto"/>
          <w:sz w:val="24"/>
          <w:szCs w:val="24"/>
        </w:rPr>
        <w:t>津市属中亚热带向北亚热带过渡的季风湿润气候区，四季分明，干湿明显，光照充足，热量丰富，无霜期长，雨量充沛，气温垂直差异明显，气候要素时空分布不均。市境日照时间较长，年平均日照1770.6小时，年平均气温17.4℃，极端最高气温40.5℃，极端最低气温-13.5℃。年降雨总日数平均136.1天，平均降雨量1293.4mm，最大日降雨量232mm，最大积雪厚度20cm，多年相对湿度79.4%，平均气压1011.3hPa。境内冬季（1月）主导风为NNE风，出现频率16.6%；夏季（7月）主导风为SSW风，出现频率17%；全年主导风向为NNE风，风力多为2～3级，出现频率19%，全年静风频率为17%。年平均风速1.97m/s，最大风速21.7m/s。</w:t>
      </w:r>
    </w:p>
    <w:p w14:paraId="246BF8A0">
      <w:pPr>
        <w:pStyle w:val="4"/>
        <w:bidi w:val="0"/>
      </w:pPr>
      <w:r>
        <w:t>5.1.5</w:t>
      </w:r>
      <w:r>
        <w:rPr>
          <w:rFonts w:hint="eastAsia"/>
        </w:rPr>
        <w:t>地下水水文地质</w:t>
      </w:r>
    </w:p>
    <w:p w14:paraId="5D2DE272">
      <w:pPr>
        <w:spacing w:line="360" w:lineRule="auto"/>
        <w:ind w:firstLine="480" w:firstLineChars="200"/>
        <w:rPr>
          <w:rFonts w:hint="eastAsia" w:ascii="宋体" w:hAnsi="宋体" w:eastAsia="宋体" w:cs="宋体"/>
          <w:color w:val="auto"/>
          <w:sz w:val="24"/>
          <w:szCs w:val="24"/>
        </w:rPr>
      </w:pPr>
      <w:bookmarkStart w:id="233" w:name="_Toc18786"/>
      <w:r>
        <w:rPr>
          <w:rFonts w:hint="eastAsia" w:ascii="宋体" w:hAnsi="宋体" w:eastAsia="宋体" w:cs="宋体"/>
          <w:color w:val="auto"/>
          <w:sz w:val="24"/>
          <w:szCs w:val="24"/>
        </w:rPr>
        <w:t>根据含水岩组的赋存条件，水理性质和水力特征，可将区内地下水分为：基岩裂隙水、红层碎屑岩裂隙孔隙水和松散岩类孔隙水。</w:t>
      </w:r>
    </w:p>
    <w:p w14:paraId="445524D4">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1）基岩裂隙水富水特征</w:t>
      </w:r>
    </w:p>
    <w:p w14:paraId="1172A4B2">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主要分布在西毛里湖西部的基岩山区，岩性主要为前寒武系的浅变质岩和震旦系的砂岩、板岩。浅部风化裂隙发育，风化带深一般为10-14m，局部可达172.04m；面裂隙率为0.1-6.167%，局部最大达20.22%。较普遍含风化裂隙水，泉水流量一般为0.014-0.967L/s，个别达2.70L/s；地下水径流一般为0.054-2.89L/s·k</w:t>
      </w:r>
      <w:r>
        <w:rPr>
          <w:rFonts w:hint="eastAsia" w:ascii="宋体" w:hAnsi="宋体" w:eastAsia="宋体" w:cs="宋体"/>
          <w:color w:val="auto"/>
          <w:sz w:val="24"/>
          <w:szCs w:val="24"/>
          <w:lang w:eastAsia="zh-CN"/>
        </w:rPr>
        <w:t>m</w:t>
      </w:r>
      <w:r>
        <w:rPr>
          <w:rFonts w:hint="eastAsia" w:ascii="宋体" w:hAnsi="宋体" w:eastAsia="宋体" w:cs="宋体"/>
          <w:color w:val="auto"/>
          <w:sz w:val="24"/>
          <w:szCs w:val="24"/>
          <w:vertAlign w:val="superscript"/>
          <w:lang w:eastAsia="zh-CN"/>
        </w:rPr>
        <w:t>2</w:t>
      </w:r>
      <w:r>
        <w:rPr>
          <w:rFonts w:hint="eastAsia" w:ascii="宋体" w:hAnsi="宋体" w:eastAsia="宋体" w:cs="宋体"/>
          <w:color w:val="auto"/>
          <w:sz w:val="24"/>
          <w:szCs w:val="24"/>
        </w:rPr>
        <w:t>，局部达5.43L/s·k</w:t>
      </w:r>
      <w:r>
        <w:rPr>
          <w:rFonts w:hint="eastAsia" w:ascii="宋体" w:hAnsi="宋体" w:eastAsia="宋体" w:cs="宋体"/>
          <w:color w:val="auto"/>
          <w:sz w:val="24"/>
          <w:szCs w:val="24"/>
          <w:lang w:eastAsia="zh-CN"/>
        </w:rPr>
        <w:t>m</w:t>
      </w:r>
      <w:r>
        <w:rPr>
          <w:rFonts w:hint="eastAsia" w:ascii="宋体" w:hAnsi="宋体" w:eastAsia="宋体" w:cs="宋体"/>
          <w:color w:val="auto"/>
          <w:sz w:val="24"/>
          <w:szCs w:val="24"/>
          <w:vertAlign w:val="superscript"/>
          <w:lang w:eastAsia="zh-CN"/>
        </w:rPr>
        <w:t>2</w:t>
      </w:r>
      <w:r>
        <w:rPr>
          <w:rFonts w:hint="eastAsia" w:ascii="宋体" w:hAnsi="宋体" w:eastAsia="宋体" w:cs="宋体"/>
          <w:color w:val="auto"/>
          <w:sz w:val="24"/>
          <w:szCs w:val="24"/>
        </w:rPr>
        <w:t>。故其富水程度多为贫乏至中等。</w:t>
      </w:r>
    </w:p>
    <w:p w14:paraId="762505AC">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2）红层碎屑岩裂隙孔隙水</w:t>
      </w:r>
    </w:p>
    <w:p w14:paraId="05577C7E">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红层指白垩系、古近系地层，在研究区西部的山岗区有露头，同时在湖区松散层下部也广泛分布。岩性为一套典型的陆相碎屑岩，区内总厚最大可达1900余米。红层中地下水赋存特征基本分为四种状态：（1）风化裂隙孔隙潜水。分布较普遍，风化裂隙含水，水量多贫乏，泉水流量一般为0.01-0.1L/s，枯季径流模数为0.04-0.657L/s·k</w:t>
      </w:r>
      <w:r>
        <w:rPr>
          <w:rFonts w:hint="eastAsia" w:ascii="宋体" w:hAnsi="宋体" w:eastAsia="宋体" w:cs="宋体"/>
          <w:color w:val="auto"/>
          <w:sz w:val="24"/>
          <w:szCs w:val="24"/>
          <w:lang w:eastAsia="zh-CN"/>
        </w:rPr>
        <w:t>m</w:t>
      </w:r>
      <w:r>
        <w:rPr>
          <w:rFonts w:hint="eastAsia" w:ascii="宋体" w:hAnsi="宋体" w:eastAsia="宋体" w:cs="宋体"/>
          <w:color w:val="auto"/>
          <w:sz w:val="24"/>
          <w:szCs w:val="24"/>
          <w:vertAlign w:val="superscript"/>
          <w:lang w:eastAsia="zh-CN"/>
        </w:rPr>
        <w:t>2</w:t>
      </w:r>
      <w:r>
        <w:rPr>
          <w:rFonts w:hint="eastAsia" w:ascii="宋体" w:hAnsi="宋体" w:eastAsia="宋体" w:cs="宋体"/>
          <w:color w:val="auto"/>
          <w:sz w:val="24"/>
          <w:szCs w:val="24"/>
        </w:rPr>
        <w:t>。（2）钙质泥岩、钙质粉砂岩溶孔水。岩层中发育溶蚀孔洞，含溶孔水。见于衡阳盆地和常桃盆地一带，含水层总厚60-100m，埋深10-63.5m。含水贫乏至中等，泉水流量0.01-0.48L/s，单井涌水量一般为100-800</w:t>
      </w:r>
      <w:r>
        <w:rPr>
          <w:rFonts w:hint="eastAsia" w:ascii="宋体" w:hAnsi="宋体" w:eastAsia="宋体" w:cs="宋体"/>
          <w:color w:val="auto"/>
          <w:sz w:val="24"/>
          <w:szCs w:val="24"/>
          <w:lang w:eastAsia="zh-CN"/>
        </w:rPr>
        <w:t>m</w:t>
      </w:r>
      <w:r>
        <w:rPr>
          <w:rFonts w:hint="eastAsia" w:ascii="宋体" w:hAnsi="宋体" w:eastAsia="宋体" w:cs="宋体"/>
          <w:color w:val="auto"/>
          <w:sz w:val="24"/>
          <w:szCs w:val="24"/>
          <w:vertAlign w:val="superscript"/>
          <w:lang w:eastAsia="zh-CN"/>
        </w:rPr>
        <w:t>3</w:t>
      </w:r>
      <w:r>
        <w:rPr>
          <w:rFonts w:hint="eastAsia" w:ascii="宋体" w:hAnsi="宋体" w:eastAsia="宋体" w:cs="宋体"/>
          <w:color w:val="auto"/>
          <w:sz w:val="24"/>
          <w:szCs w:val="24"/>
        </w:rPr>
        <w:t>/d，最大达3663.4</w:t>
      </w:r>
      <w:r>
        <w:rPr>
          <w:rFonts w:hint="eastAsia" w:ascii="宋体" w:hAnsi="宋体" w:eastAsia="宋体" w:cs="宋体"/>
          <w:color w:val="auto"/>
          <w:sz w:val="24"/>
          <w:szCs w:val="24"/>
          <w:lang w:eastAsia="zh-CN"/>
        </w:rPr>
        <w:t>m</w:t>
      </w:r>
      <w:r>
        <w:rPr>
          <w:rFonts w:hint="eastAsia" w:ascii="宋体" w:hAnsi="宋体" w:eastAsia="宋体" w:cs="宋体"/>
          <w:color w:val="auto"/>
          <w:sz w:val="24"/>
          <w:szCs w:val="24"/>
          <w:vertAlign w:val="superscript"/>
          <w:lang w:eastAsia="zh-CN"/>
        </w:rPr>
        <w:t>3</w:t>
      </w:r>
      <w:r>
        <w:rPr>
          <w:rFonts w:hint="eastAsia" w:ascii="宋体" w:hAnsi="宋体" w:eastAsia="宋体" w:cs="宋体"/>
          <w:color w:val="auto"/>
          <w:sz w:val="24"/>
          <w:szCs w:val="24"/>
        </w:rPr>
        <w:t>/d。水位一般高出溶孔带顶板，故具承压性质。溶蚀溶孔带具多层发育特征，一般5-10层，多者达12层以上，单层厚1-15m，最厚30余米。溶蚀溶孔带发育受岩性、地貌、构造等控制，岩石含钙质高是前提。（3）砂岩构造裂隙层间承压水，各地不同程度存在，衡阳盆地一带埋深一般在20-103m，含水段总厚3-93.8m。含水贫乏—中等，泉水流量为0.01-0.34L/s，单井涌水量一般在100</w:t>
      </w:r>
      <w:r>
        <w:rPr>
          <w:rFonts w:hint="eastAsia" w:ascii="宋体" w:hAnsi="宋体" w:eastAsia="宋体" w:cs="宋体"/>
          <w:color w:val="auto"/>
          <w:sz w:val="24"/>
          <w:szCs w:val="24"/>
          <w:lang w:eastAsia="zh-CN"/>
        </w:rPr>
        <w:t>m</w:t>
      </w:r>
      <w:r>
        <w:rPr>
          <w:rFonts w:hint="eastAsia" w:ascii="宋体" w:hAnsi="宋体" w:eastAsia="宋体" w:cs="宋体"/>
          <w:color w:val="auto"/>
          <w:sz w:val="24"/>
          <w:szCs w:val="24"/>
          <w:vertAlign w:val="superscript"/>
          <w:lang w:eastAsia="zh-CN"/>
        </w:rPr>
        <w:t>3</w:t>
      </w:r>
      <w:r>
        <w:rPr>
          <w:rFonts w:hint="eastAsia" w:ascii="宋体" w:hAnsi="宋体" w:eastAsia="宋体" w:cs="宋体"/>
          <w:color w:val="auto"/>
          <w:sz w:val="24"/>
          <w:szCs w:val="24"/>
        </w:rPr>
        <w:t>/d以下，个别最大达524.5</w:t>
      </w:r>
      <w:r>
        <w:rPr>
          <w:rFonts w:hint="eastAsia" w:ascii="宋体" w:hAnsi="宋体" w:eastAsia="宋体" w:cs="宋体"/>
          <w:color w:val="auto"/>
          <w:sz w:val="24"/>
          <w:szCs w:val="24"/>
          <w:lang w:eastAsia="zh-CN"/>
        </w:rPr>
        <w:t>m</w:t>
      </w:r>
      <w:r>
        <w:rPr>
          <w:rFonts w:hint="eastAsia" w:ascii="宋体" w:hAnsi="宋体" w:eastAsia="宋体" w:cs="宋体"/>
          <w:color w:val="auto"/>
          <w:sz w:val="24"/>
          <w:szCs w:val="24"/>
          <w:vertAlign w:val="superscript"/>
          <w:lang w:eastAsia="zh-CN"/>
        </w:rPr>
        <w:t>3</w:t>
      </w:r>
      <w:r>
        <w:rPr>
          <w:rFonts w:hint="eastAsia" w:ascii="宋体" w:hAnsi="宋体" w:eastAsia="宋体" w:cs="宋体"/>
          <w:color w:val="auto"/>
          <w:sz w:val="24"/>
          <w:szCs w:val="24"/>
        </w:rPr>
        <w:t>/d。（4）灰质砾岩裂隙溶洞水。主要见于衡阳、湘潭、茶永、石门等红层盆地边缘地带。由于多覆于弱透水的泥岩，含砾砂岩层之下，构成层间承压水，局部水头高出地表。已知含水带厚20-70m，最大埋深280m。泉水流量最大可达35L/s，单井最大涌水量可达41934.7</w:t>
      </w:r>
      <w:r>
        <w:rPr>
          <w:rFonts w:hint="eastAsia" w:ascii="宋体" w:hAnsi="宋体" w:eastAsia="宋体" w:cs="宋体"/>
          <w:color w:val="auto"/>
          <w:sz w:val="24"/>
          <w:szCs w:val="24"/>
          <w:lang w:eastAsia="zh-CN"/>
        </w:rPr>
        <w:t>m</w:t>
      </w:r>
      <w:r>
        <w:rPr>
          <w:rFonts w:hint="eastAsia" w:ascii="宋体" w:hAnsi="宋体" w:eastAsia="宋体" w:cs="宋体"/>
          <w:color w:val="auto"/>
          <w:sz w:val="24"/>
          <w:szCs w:val="24"/>
          <w:vertAlign w:val="superscript"/>
          <w:lang w:eastAsia="zh-CN"/>
        </w:rPr>
        <w:t>3</w:t>
      </w:r>
      <w:r>
        <w:rPr>
          <w:rFonts w:hint="eastAsia" w:ascii="宋体" w:hAnsi="宋体" w:eastAsia="宋体" w:cs="宋体"/>
          <w:color w:val="auto"/>
          <w:sz w:val="24"/>
          <w:szCs w:val="24"/>
        </w:rPr>
        <w:t>/d。</w:t>
      </w:r>
    </w:p>
    <w:p w14:paraId="084F9B8F">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3）松散岩类孔隙水</w:t>
      </w:r>
    </w:p>
    <w:p w14:paraId="710F6FBF">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主要分布于湖区及河流沿岸。按水力性质分为潜水和承压水两个亚类：</w:t>
      </w:r>
    </w:p>
    <w:p w14:paraId="783EF86E">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a、孔隙潜水</w:t>
      </w:r>
    </w:p>
    <w:p w14:paraId="22CD9284">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要分布于湖区浅部、河流两岸阶地。含水层为冲积、冲湖积等形成的砂、砂砾石、砂卵石、含粘土砂砾石层及粉砂土等。岩层一般多呈二元结构，上部为粘土、砂质粘土等。总厚数米至几十米。含贫乏—中等孔隙潜水，泉水流量一般少于1L/s，水位埋深一般在3m以上。</w:t>
      </w:r>
    </w:p>
    <w:p w14:paraId="437AA3DA">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b、孔隙承压水</w:t>
      </w:r>
    </w:p>
    <w:p w14:paraId="52ECAA20">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分布在湖区中央部分。其上部及浅部孔隙潜水层间有较厚的粘土，砂质粘土层相隔，因而形成承压含水层。含水层为多层性冲湖积和湖积砂、砂卵石层。岩层富水性较好，富水程度为中等—丰富，单井涌水量最大可达29715</w:t>
      </w:r>
      <w:r>
        <w:rPr>
          <w:rFonts w:hint="eastAsia" w:ascii="宋体" w:hAnsi="宋体" w:eastAsia="宋体" w:cs="宋体"/>
          <w:color w:val="auto"/>
          <w:sz w:val="24"/>
          <w:szCs w:val="24"/>
          <w:lang w:eastAsia="zh-CN"/>
        </w:rPr>
        <w:t>m</w:t>
      </w:r>
      <w:r>
        <w:rPr>
          <w:rFonts w:hint="eastAsia" w:ascii="宋体" w:hAnsi="宋体" w:eastAsia="宋体" w:cs="宋体"/>
          <w:color w:val="auto"/>
          <w:sz w:val="24"/>
          <w:szCs w:val="24"/>
          <w:vertAlign w:val="superscript"/>
          <w:lang w:eastAsia="zh-CN"/>
        </w:rPr>
        <w:t>3</w:t>
      </w:r>
      <w:r>
        <w:rPr>
          <w:rFonts w:hint="eastAsia" w:ascii="宋体" w:hAnsi="宋体" w:eastAsia="宋体" w:cs="宋体"/>
          <w:color w:val="auto"/>
          <w:sz w:val="24"/>
          <w:szCs w:val="24"/>
        </w:rPr>
        <w:t>/d。据含水层的岩性结构及展布情况可将承压含水岩层划分为两个相对独立的含水岩组。上含水岩组包括中、上更新统地层，下含水岩组为由下更新统地层组成。其间大部地段有数米至30余米的弱透水的粘土、砂质粘土层相隔，故两含水岩组间基本无水力联系。但局部地段可能由于弱透水层缺失以及越流而发生水力联系。</w:t>
      </w:r>
    </w:p>
    <w:p w14:paraId="5C4775D9">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本项目所在区域地下水类型主要为松散堆积层孔隙水、基岩裂隙水和裂隙岩溶水。松散堆积层孔隙水分布于项目区域西部和北部，水量中等，涌水量0.23~2.32L/s·m；基岩裂隙水分布于项目区域南部，水量贫乏，泉水流量小于0.1L/s，径流模数小于3L/s·k</w:t>
      </w:r>
      <w:r>
        <w:rPr>
          <w:rFonts w:hint="eastAsia" w:ascii="宋体" w:hAnsi="宋体" w:eastAsia="宋体" w:cs="宋体"/>
          <w:color w:val="auto"/>
          <w:sz w:val="24"/>
          <w:szCs w:val="24"/>
          <w:lang w:eastAsia="zh-CN"/>
        </w:rPr>
        <w:t>m</w:t>
      </w:r>
      <w:r>
        <w:rPr>
          <w:rFonts w:hint="eastAsia" w:ascii="宋体" w:hAnsi="宋体" w:eastAsia="宋体" w:cs="宋体"/>
          <w:color w:val="auto"/>
          <w:sz w:val="24"/>
          <w:szCs w:val="24"/>
          <w:vertAlign w:val="superscript"/>
          <w:lang w:eastAsia="zh-CN"/>
        </w:rPr>
        <w:t>2</w:t>
      </w:r>
      <w:r>
        <w:rPr>
          <w:rFonts w:hint="eastAsia" w:ascii="宋体" w:hAnsi="宋体" w:eastAsia="宋体" w:cs="宋体"/>
          <w:color w:val="auto"/>
          <w:sz w:val="24"/>
          <w:szCs w:val="24"/>
        </w:rPr>
        <w:t>；裂隙岩溶水分布于项目区域东部和北部，中等发育，地下河流量10~100L/s，径流模数3~5L/s·k</w:t>
      </w:r>
      <w:r>
        <w:rPr>
          <w:rFonts w:hint="eastAsia" w:ascii="宋体" w:hAnsi="宋体" w:eastAsia="宋体" w:cs="宋体"/>
          <w:color w:val="auto"/>
          <w:sz w:val="24"/>
          <w:szCs w:val="24"/>
          <w:lang w:eastAsia="zh-CN"/>
        </w:rPr>
        <w:t>m</w:t>
      </w:r>
      <w:r>
        <w:rPr>
          <w:rFonts w:hint="eastAsia" w:ascii="宋体" w:hAnsi="宋体" w:eastAsia="宋体" w:cs="宋体"/>
          <w:color w:val="auto"/>
          <w:sz w:val="24"/>
          <w:szCs w:val="24"/>
          <w:vertAlign w:val="superscript"/>
          <w:lang w:eastAsia="zh-CN"/>
        </w:rPr>
        <w:t>2</w:t>
      </w:r>
      <w:r>
        <w:rPr>
          <w:rFonts w:hint="eastAsia" w:ascii="宋体" w:hAnsi="宋体" w:eastAsia="宋体" w:cs="宋体"/>
          <w:color w:val="auto"/>
          <w:sz w:val="24"/>
          <w:szCs w:val="24"/>
        </w:rPr>
        <w:t>；区域地下水排泄方向为向东排入澧水。</w:t>
      </w:r>
    </w:p>
    <w:p w14:paraId="3C80F913">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（2）地下水开发利用现状</w:t>
      </w:r>
    </w:p>
    <w:p w14:paraId="3AE00F51">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项目区域内没有集中式的地下水水源地，区域内居民、企业均以澧水为水源，地下水开发利用程度较低。</w:t>
      </w:r>
    </w:p>
    <w:p w14:paraId="40B85FDB">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（3）地下水补-径-排条件</w:t>
      </w:r>
    </w:p>
    <w:p w14:paraId="7C422EB2">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a、地下水补给条件</w:t>
      </w:r>
    </w:p>
    <w:p w14:paraId="12065036">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丘陵岗地松散堆积层孔隙潜水以大气降水补给为主，由于砾石层已出露地表，可直接接受大气降水的渗入补给。澧水一级阶地孔隙水除接受大气降水补给外，还受高阶地孔隙水补给。冲湖积平原孔隙潜水，由于砂砾石层上覆厚10-20余米的砂质粘土和淤泥层，接受大气降水补给较少。</w:t>
      </w:r>
    </w:p>
    <w:p w14:paraId="173FF0AD">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故津市高新技术产业开发区区域内地下水重要补给来源为大气降水，少有地表水补给。</w:t>
      </w:r>
    </w:p>
    <w:p w14:paraId="0B00D426">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b、径流条件</w:t>
      </w:r>
    </w:p>
    <w:p w14:paraId="39D76B3B">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岗丘地带的孔隙潜水径流途径短，无一定流动方向，就地补给就地排泄，交替循环强烈。平原及滨湖地带，地下水具有一定径流方向，即由边缘向洞庭湖中心汇集，区域地下水流向为自西北向东南，地下水运动相当缓慢，越近湖心越慢。实测地下水流速为0.94-0.97m/s。</w:t>
      </w:r>
    </w:p>
    <w:p w14:paraId="18397D78">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c、排泄条件</w:t>
      </w:r>
    </w:p>
    <w:p w14:paraId="708F1F8F">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岗丘地带的孔隙潜水排泄条件好，以附近河流为排泄场所，以下降泉或渗流的形式沿砂砾石与基岩接触面排泄于河流中。评价区域地下主要以大气降水为补给水源，缓慢向东南流向，最终向洞庭湖区域排泄。</w:t>
      </w:r>
    </w:p>
    <w:p w14:paraId="3DBAAF47">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d、动态变化</w:t>
      </w:r>
    </w:p>
    <w:p w14:paraId="3DE31A39">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津市高新技术产业开发区区域孔隙承压水运动极为缓慢，水位变化很小，地下水动态受季节变化的影响相对较小，据洪、枯期井水位实测资料，稳定水位埋深在30-42m不等，地下水位变幅一般仅5.0m，属较稳定类型。</w:t>
      </w:r>
    </w:p>
    <w:p w14:paraId="4C71D7F8">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 3 \* GB2 \* MERGEFORMAT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⑶</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t>边界条件概化</w:t>
      </w:r>
    </w:p>
    <w:p w14:paraId="46772813">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侧向边界：由区域等水位线图可知，项目拟建地西北侧与h=32m等水位线重合，概化为定水头边界，东南侧评价范围边界与h=33m等水位线重合，概化为定水头边界，东侧概化为隔水层边界。</w:t>
      </w:r>
    </w:p>
    <w:p w14:paraId="644938B7">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垂向边界：本次环评期间收集了湖南省常德工程勘测院编制的《津市高新区标准化厂房项目A区一期工程岩土工程详细勘察报告》（2020年1月），项目所在地土壤类型如下表所示：</w:t>
      </w:r>
    </w:p>
    <w:p w14:paraId="6811C02F">
      <w:pPr>
        <w:pStyle w:val="6"/>
        <w:bidi w:val="0"/>
      </w:pPr>
      <w:r>
        <w:t>表</w:t>
      </w:r>
      <w:r>
        <w:rPr>
          <w:rFonts w:hint="eastAsia"/>
        </w:rPr>
        <w:t>5.1</w:t>
      </w:r>
      <w:r>
        <w:rPr>
          <w:rFonts w:hint="eastAsia"/>
          <w:lang w:val="en-US" w:eastAsia="zh-CN"/>
        </w:rPr>
        <w:t>.5</w:t>
      </w:r>
      <w:r>
        <w:rPr>
          <w:rFonts w:hint="eastAsia"/>
        </w:rPr>
        <w:t>-1</w:t>
      </w:r>
      <w:r>
        <w:t xml:space="preserve"> </w:t>
      </w:r>
      <w:r>
        <w:rPr>
          <w:rFonts w:hint="eastAsia"/>
        </w:rPr>
        <w:t xml:space="preserve">   </w:t>
      </w:r>
      <w:r>
        <w:t>项目所在地土壤类型一览表</w:t>
      </w:r>
    </w:p>
    <w:tbl>
      <w:tblPr>
        <w:tblStyle w:val="41"/>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0"/>
        <w:gridCol w:w="4260"/>
      </w:tblGrid>
      <w:tr w14:paraId="4A88F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vAlign w:val="center"/>
          </w:tcPr>
          <w:p w14:paraId="33FB78F6">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土名</w:t>
            </w:r>
          </w:p>
        </w:tc>
        <w:tc>
          <w:tcPr>
            <w:tcW w:w="2500" w:type="pct"/>
            <w:vAlign w:val="center"/>
          </w:tcPr>
          <w:p w14:paraId="7B0D5BD5">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平均厚度（m）</w:t>
            </w:r>
          </w:p>
        </w:tc>
      </w:tr>
      <w:tr w14:paraId="0F6B6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vAlign w:val="center"/>
          </w:tcPr>
          <w:p w14:paraId="04A5D06F">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杂填土</w:t>
            </w:r>
            <w:r>
              <w:rPr>
                <w:rFonts w:ascii="Times New Roman" w:hAnsi="Times New Roman" w:eastAsia="宋体" w:cs="Times New Roman"/>
                <w:color w:val="auto"/>
                <w:sz w:val="22"/>
                <w:szCs w:val="24"/>
              </w:rPr>
              <w:fldChar w:fldCharType="begin"/>
            </w:r>
            <w:r>
              <w:rPr>
                <w:rFonts w:ascii="Times New Roman" w:hAnsi="Times New Roman" w:eastAsia="宋体" w:cs="Times New Roman"/>
                <w:color w:val="auto"/>
                <w:sz w:val="22"/>
                <w:szCs w:val="24"/>
              </w:rPr>
              <w:instrText xml:space="preserve"> = 1 \* GB3 \* MERGEFORMAT </w:instrText>
            </w:r>
            <w:r>
              <w:rPr>
                <w:rFonts w:ascii="Times New Roman" w:hAnsi="Times New Roman" w:eastAsia="宋体" w:cs="Times New Roman"/>
                <w:color w:val="auto"/>
                <w:sz w:val="22"/>
                <w:szCs w:val="24"/>
              </w:rPr>
              <w:fldChar w:fldCharType="separate"/>
            </w:r>
            <w:r>
              <w:rPr>
                <w:rFonts w:ascii="Cambria Math" w:hAnsi="Cambria Math" w:eastAsia="宋体" w:cs="Cambria Math"/>
                <w:color w:val="auto"/>
                <w:sz w:val="22"/>
                <w:szCs w:val="24"/>
              </w:rPr>
              <w:t>①</w:t>
            </w:r>
            <w:r>
              <w:rPr>
                <w:rFonts w:ascii="Times New Roman" w:hAnsi="Times New Roman" w:eastAsia="宋体" w:cs="Times New Roman"/>
                <w:color w:val="auto"/>
                <w:sz w:val="22"/>
                <w:szCs w:val="24"/>
              </w:rPr>
              <w:fldChar w:fldCharType="end"/>
            </w:r>
          </w:p>
        </w:tc>
        <w:tc>
          <w:tcPr>
            <w:tcW w:w="2500" w:type="pct"/>
            <w:vAlign w:val="center"/>
          </w:tcPr>
          <w:p w14:paraId="6839E0A1">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4.91</w:t>
            </w:r>
          </w:p>
        </w:tc>
      </w:tr>
      <w:tr w14:paraId="11D45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vAlign w:val="center"/>
          </w:tcPr>
          <w:p w14:paraId="25EAC961">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粉质黏土</w:t>
            </w:r>
            <w:r>
              <w:rPr>
                <w:rFonts w:ascii="Times New Roman" w:hAnsi="Times New Roman" w:eastAsia="宋体" w:cs="Times New Roman"/>
                <w:color w:val="auto"/>
                <w:sz w:val="22"/>
                <w:szCs w:val="24"/>
              </w:rPr>
              <w:fldChar w:fldCharType="begin"/>
            </w:r>
            <w:r>
              <w:rPr>
                <w:rFonts w:ascii="Times New Roman" w:hAnsi="Times New Roman" w:eastAsia="宋体" w:cs="Times New Roman"/>
                <w:color w:val="auto"/>
                <w:sz w:val="22"/>
                <w:szCs w:val="24"/>
              </w:rPr>
              <w:instrText xml:space="preserve"> = 2 \* GB3 \* MERGEFORMAT </w:instrText>
            </w:r>
            <w:r>
              <w:rPr>
                <w:rFonts w:ascii="Times New Roman" w:hAnsi="Times New Roman" w:eastAsia="宋体" w:cs="Times New Roman"/>
                <w:color w:val="auto"/>
                <w:sz w:val="22"/>
                <w:szCs w:val="24"/>
              </w:rPr>
              <w:fldChar w:fldCharType="separate"/>
            </w:r>
            <w:r>
              <w:rPr>
                <w:rFonts w:ascii="Cambria Math" w:hAnsi="Cambria Math" w:eastAsia="宋体" w:cs="Cambria Math"/>
                <w:color w:val="auto"/>
                <w:sz w:val="22"/>
                <w:szCs w:val="24"/>
              </w:rPr>
              <w:t>②</w:t>
            </w:r>
            <w:r>
              <w:rPr>
                <w:rFonts w:ascii="Times New Roman" w:hAnsi="Times New Roman" w:eastAsia="宋体" w:cs="Times New Roman"/>
                <w:color w:val="auto"/>
                <w:sz w:val="22"/>
                <w:szCs w:val="24"/>
              </w:rPr>
              <w:fldChar w:fldCharType="end"/>
            </w:r>
          </w:p>
        </w:tc>
        <w:tc>
          <w:tcPr>
            <w:tcW w:w="2500" w:type="pct"/>
            <w:vAlign w:val="center"/>
          </w:tcPr>
          <w:p w14:paraId="3B3C429D">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15.09</w:t>
            </w:r>
          </w:p>
        </w:tc>
      </w:tr>
    </w:tbl>
    <w:p w14:paraId="1A7E373F">
      <w:pPr>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区域补给主要为大气降水入渗补给，可概化为潜水面边界。</w:t>
      </w:r>
    </w:p>
    <w:p w14:paraId="771A3E9B">
      <w:pPr>
        <w:pStyle w:val="3"/>
        <w:bidi w:val="0"/>
      </w:pPr>
      <w:bookmarkStart w:id="234" w:name="_Toc31595"/>
      <w:bookmarkStart w:id="235" w:name="_Toc27180"/>
      <w:r>
        <w:rPr>
          <w:rFonts w:hint="eastAsia"/>
        </w:rPr>
        <w:t>5.2</w:t>
      </w:r>
      <w:r>
        <w:t>重要环境敏感区</w:t>
      </w:r>
      <w:bookmarkEnd w:id="233"/>
      <w:bookmarkEnd w:id="234"/>
      <w:bookmarkEnd w:id="235"/>
    </w:p>
    <w:p w14:paraId="44E0AE87">
      <w:pPr>
        <w:spacing w:line="360" w:lineRule="auto"/>
        <w:ind w:firstLine="480" w:firstLineChars="200"/>
        <w:rPr>
          <w:rFonts w:ascii="Times New Roman" w:hAnsi="Times New Roman" w:eastAsia="宋体" w:cs="宋体"/>
          <w:color w:val="auto"/>
          <w:sz w:val="24"/>
          <w:szCs w:val="24"/>
        </w:rPr>
      </w:pPr>
      <w:r>
        <w:rPr>
          <w:rFonts w:hint="eastAsia" w:ascii="Times New Roman" w:hAnsi="Times New Roman" w:eastAsia="宋体" w:cs="宋体"/>
          <w:color w:val="auto"/>
          <w:sz w:val="24"/>
          <w:szCs w:val="24"/>
        </w:rPr>
        <w:t>区内主要自然、人文景观为开发区南部的津市嘉山风景区和西北边界外的湖南嘉山国家森林公园。</w:t>
      </w:r>
    </w:p>
    <w:p w14:paraId="7A94525F">
      <w:pPr>
        <w:pStyle w:val="4"/>
        <w:bidi w:val="0"/>
        <w:rPr>
          <w:color w:val="auto"/>
        </w:rPr>
      </w:pPr>
      <w:r>
        <w:rPr>
          <w:rFonts w:hint="eastAsia"/>
          <w:color w:val="auto"/>
        </w:rPr>
        <w:t>5.2.1</w:t>
      </w:r>
      <w:r>
        <w:rPr>
          <w:color w:val="auto"/>
        </w:rPr>
        <w:t>嘉山风景名胜区</w:t>
      </w:r>
    </w:p>
    <w:p w14:paraId="272904D8">
      <w:pPr>
        <w:spacing w:line="360" w:lineRule="auto"/>
        <w:ind w:firstLine="480" w:firstLineChars="200"/>
        <w:rPr>
          <w:rFonts w:ascii="Times New Roman" w:hAnsi="Times New Roman" w:eastAsia="宋体" w:cs="宋体"/>
          <w:color w:val="auto"/>
          <w:sz w:val="24"/>
          <w:szCs w:val="24"/>
        </w:rPr>
      </w:pPr>
      <w:r>
        <w:rPr>
          <w:rFonts w:hint="eastAsia" w:ascii="Times New Roman" w:hAnsi="Times New Roman" w:eastAsia="宋体" w:cs="宋体"/>
          <w:color w:val="auto"/>
          <w:sz w:val="24"/>
          <w:szCs w:val="24"/>
        </w:rPr>
        <w:t>1、嘉山风景名胜区范围</w:t>
      </w:r>
    </w:p>
    <w:p w14:paraId="6BAB8F88">
      <w:pPr>
        <w:spacing w:line="360" w:lineRule="auto"/>
        <w:ind w:firstLine="480" w:firstLineChars="200"/>
        <w:rPr>
          <w:rFonts w:ascii="Times New Roman" w:hAnsi="Times New Roman" w:eastAsia="宋体" w:cs="宋体"/>
          <w:color w:val="auto"/>
          <w:sz w:val="24"/>
          <w:szCs w:val="24"/>
        </w:rPr>
      </w:pPr>
      <w:r>
        <w:rPr>
          <w:rFonts w:hint="eastAsia" w:ascii="Times New Roman" w:hAnsi="Times New Roman" w:eastAsia="宋体" w:cs="宋体"/>
          <w:color w:val="auto"/>
          <w:sz w:val="24"/>
          <w:szCs w:val="24"/>
        </w:rPr>
        <w:t>嘉山风景名胜区范围北至胥家湖北岸，东临澧水河，东南抵九堰村，南至省道S307，沿现有道路途经长岭村、青山、郑家湾至灵泉大道，风景名胜区总面积17.24平方公里，由嘉山景区、古城景区、石岭—青山景区、胥家湖景区四个景区组成，地理坐标位于东经111°50′01″~111°55′06″，北纬29°31′20″~29°33′44″。核心景区面积为3.99平方公里。</w:t>
      </w:r>
    </w:p>
    <w:p w14:paraId="2FAE5609">
      <w:pPr>
        <w:spacing w:line="360" w:lineRule="auto"/>
        <w:ind w:firstLine="480" w:firstLineChars="200"/>
        <w:rPr>
          <w:rFonts w:ascii="Times New Roman" w:hAnsi="Times New Roman" w:eastAsia="宋体" w:cs="宋体"/>
          <w:color w:val="auto"/>
          <w:sz w:val="24"/>
          <w:szCs w:val="24"/>
        </w:rPr>
      </w:pPr>
      <w:r>
        <w:rPr>
          <w:rFonts w:hint="eastAsia" w:ascii="Times New Roman" w:hAnsi="Times New Roman" w:eastAsia="宋体" w:cs="宋体"/>
          <w:color w:val="auto"/>
          <w:sz w:val="24"/>
          <w:szCs w:val="24"/>
        </w:rPr>
        <w:t>2、风景名胜区性质与资源特色</w:t>
      </w:r>
    </w:p>
    <w:p w14:paraId="4E275409">
      <w:pPr>
        <w:spacing w:line="360" w:lineRule="auto"/>
        <w:ind w:firstLine="480" w:firstLineChars="200"/>
        <w:rPr>
          <w:rFonts w:ascii="Times New Roman" w:hAnsi="Times New Roman" w:eastAsia="宋体" w:cs="宋体"/>
          <w:color w:val="auto"/>
          <w:sz w:val="24"/>
          <w:szCs w:val="24"/>
        </w:rPr>
      </w:pPr>
      <w:r>
        <w:rPr>
          <w:rFonts w:hint="eastAsia" w:ascii="Times New Roman" w:hAnsi="Times New Roman" w:eastAsia="宋体" w:cs="宋体"/>
          <w:color w:val="auto"/>
          <w:sz w:val="24"/>
          <w:szCs w:val="24"/>
        </w:rPr>
        <w:t>嘉山风景名胜区是以嘉山为代表的湘北滨湖山川胜景为基础，以孟姜女传说、车胤囊萤照读的故事和春秋战国古墓群为文化内涵，以新洲古城为文化载体，可供开展山水观光、历史文化探源等活动的文化胜迹型省级风景名胜区。</w:t>
      </w:r>
    </w:p>
    <w:p w14:paraId="55CFC305">
      <w:pPr>
        <w:spacing w:line="360" w:lineRule="auto"/>
        <w:ind w:firstLine="480" w:firstLineChars="200"/>
        <w:rPr>
          <w:rFonts w:ascii="Times New Roman" w:hAnsi="Times New Roman" w:eastAsia="宋体" w:cs="宋体"/>
          <w:color w:val="auto"/>
          <w:sz w:val="24"/>
          <w:szCs w:val="24"/>
        </w:rPr>
      </w:pPr>
      <w:r>
        <w:rPr>
          <w:rFonts w:hint="eastAsia" w:ascii="Times New Roman" w:hAnsi="Times New Roman" w:eastAsia="宋体" w:cs="宋体"/>
          <w:color w:val="auto"/>
          <w:sz w:val="24"/>
          <w:szCs w:val="24"/>
        </w:rPr>
        <w:t>3、功能分区及生态环境保护</w:t>
      </w:r>
    </w:p>
    <w:p w14:paraId="1E798A49">
      <w:pPr>
        <w:spacing w:line="360" w:lineRule="auto"/>
        <w:ind w:firstLine="480" w:firstLineChars="200"/>
        <w:rPr>
          <w:rFonts w:ascii="Times New Roman" w:hAnsi="Times New Roman" w:eastAsia="宋体" w:cs="宋体"/>
          <w:color w:val="auto"/>
          <w:sz w:val="24"/>
          <w:szCs w:val="24"/>
        </w:rPr>
      </w:pPr>
      <w:r>
        <w:rPr>
          <w:rFonts w:hint="eastAsia" w:ascii="Times New Roman" w:hAnsi="Times New Roman" w:eastAsia="宋体" w:cs="宋体"/>
          <w:color w:val="auto"/>
          <w:sz w:val="24"/>
          <w:szCs w:val="24"/>
        </w:rPr>
        <w:t>风景名胜区分为风景游览区、风景恢复区、发展控制区、旅游服务区。按照分级保护要求实施生态环境保护。</w:t>
      </w:r>
    </w:p>
    <w:p w14:paraId="37BAC279">
      <w:pPr>
        <w:spacing w:line="360" w:lineRule="auto"/>
        <w:ind w:firstLine="480" w:firstLineChars="200"/>
        <w:rPr>
          <w:rFonts w:ascii="Times New Roman" w:hAnsi="Times New Roman" w:eastAsia="宋体" w:cs="宋体"/>
          <w:color w:val="auto"/>
          <w:sz w:val="24"/>
          <w:szCs w:val="24"/>
        </w:rPr>
      </w:pPr>
      <w:r>
        <w:rPr>
          <w:rFonts w:hint="eastAsia" w:ascii="Times New Roman" w:hAnsi="Times New Roman" w:eastAsia="宋体" w:cs="宋体"/>
          <w:color w:val="auto"/>
          <w:sz w:val="24"/>
          <w:szCs w:val="24"/>
        </w:rPr>
        <w:t>一级保护区：大气环境质量达到《环境空气质量标准》（GB3095—2012）的一类标准；林地得到有效保护，植被增加，生活垃圾无害处理率达100%；污水必须100%达标处理，并经主管部门行政许可后，才可排放，但禁止直接排入河湖；环境噪声和交通噪声达到《声环境质量标准》（GB3096-2008）的Ⅰ类区标准；绿化覆盖率超过85%。</w:t>
      </w:r>
    </w:p>
    <w:p w14:paraId="12C37F64">
      <w:pPr>
        <w:spacing w:line="360" w:lineRule="auto"/>
        <w:ind w:firstLine="480" w:firstLineChars="200"/>
        <w:rPr>
          <w:rFonts w:ascii="Times New Roman" w:hAnsi="Times New Roman" w:eastAsia="宋体" w:cs="宋体"/>
          <w:color w:val="auto"/>
          <w:sz w:val="24"/>
          <w:szCs w:val="24"/>
        </w:rPr>
      </w:pPr>
      <w:r>
        <w:rPr>
          <w:rFonts w:hint="eastAsia" w:ascii="Times New Roman" w:hAnsi="Times New Roman" w:eastAsia="宋体" w:cs="宋体"/>
          <w:color w:val="auto"/>
          <w:sz w:val="24"/>
          <w:szCs w:val="24"/>
        </w:rPr>
        <w:t>二级保护区：大气环境质量达到《环境空气质量标准》（GB3095—2012）的一类区标准；水域水质达到《地表水环境质量标准》（GB3838-2002）的V类标准；生活垃圾无害处理率达100%；污水必须100%达标处理，禁止直接排入河湖；环境噪声和交通噪声达到《声环境质量标准》（GB3096-2008）的Ⅱ类标准。</w:t>
      </w:r>
    </w:p>
    <w:p w14:paraId="70FAD43A">
      <w:pPr>
        <w:spacing w:line="360" w:lineRule="auto"/>
        <w:ind w:firstLine="480" w:firstLineChars="200"/>
        <w:rPr>
          <w:rFonts w:ascii="Times New Roman" w:hAnsi="Times New Roman" w:eastAsia="宋体" w:cs="宋体"/>
          <w:color w:val="auto"/>
          <w:sz w:val="24"/>
          <w:szCs w:val="24"/>
        </w:rPr>
      </w:pPr>
      <w:r>
        <w:rPr>
          <w:rFonts w:hint="eastAsia" w:ascii="Times New Roman" w:hAnsi="Times New Roman" w:eastAsia="宋体" w:cs="宋体"/>
          <w:color w:val="auto"/>
          <w:sz w:val="24"/>
          <w:szCs w:val="24"/>
        </w:rPr>
        <w:t>三级保护区：大气环境质量达到《环境空气质量标准》（GB3095—2012）的一类区标准；生活垃圾无害处理率达100%；污水必须100%达标处理；水域水质达到《地表水环境质量标准》（GB3838-2002）的V类标准；环境噪声和交通噪声达到《声环境质量标准》（GB3096-2008）的Ⅱ类标准；绿化覆盖率超过60%。</w:t>
      </w:r>
    </w:p>
    <w:p w14:paraId="61AC980D">
      <w:pPr>
        <w:spacing w:line="360" w:lineRule="auto"/>
        <w:ind w:firstLine="480" w:firstLineChars="200"/>
        <w:rPr>
          <w:rFonts w:ascii="Times New Roman" w:hAnsi="Times New Roman" w:eastAsia="宋体" w:cs="宋体"/>
          <w:color w:val="auto"/>
          <w:sz w:val="24"/>
          <w:szCs w:val="24"/>
        </w:rPr>
      </w:pPr>
      <w:r>
        <w:rPr>
          <w:rFonts w:hint="eastAsia" w:ascii="Times New Roman" w:hAnsi="Times New Roman" w:eastAsia="宋体" w:cs="宋体"/>
          <w:color w:val="auto"/>
          <w:sz w:val="24"/>
          <w:szCs w:val="24"/>
        </w:rPr>
        <w:t>4、园区与嘉山风景名胜区的位置关系</w:t>
      </w:r>
    </w:p>
    <w:p w14:paraId="3552029D">
      <w:pPr>
        <w:spacing w:line="360" w:lineRule="auto"/>
        <w:ind w:firstLine="480" w:firstLineChars="200"/>
        <w:rPr>
          <w:rFonts w:ascii="Times New Roman" w:hAnsi="Times New Roman" w:eastAsia="宋体" w:cs="宋体"/>
          <w:color w:val="FF0000"/>
          <w:sz w:val="24"/>
          <w:szCs w:val="24"/>
        </w:rPr>
      </w:pPr>
      <w:r>
        <w:rPr>
          <w:rFonts w:hint="eastAsia" w:ascii="Times New Roman" w:hAnsi="Times New Roman" w:eastAsia="宋体" w:cs="宋体"/>
          <w:color w:val="auto"/>
          <w:sz w:val="24"/>
          <w:szCs w:val="24"/>
        </w:rPr>
        <w:t>嘉山风景名胜区是1991年3月湖南省政府批准嘉山风景区为湖南省政府第二批省级风景名胜区，地理坐标为东经111°48′45″～111°56′15″、北纬29°30′00″～29°33′17″。2018年11月16日，湖南省人民政府以（湘政函[2018]118号）文件对《嘉山风景名胜区总体规划（2017-2030）》予以批复，根据批复内容：“嘉山风景名胜区规划面积为17.24平方公里（不含外围保护地带）”；根据《嘉山风景名胜区总体规划（2017-2030）》规划文本，嘉山风景名胜区设置外围保护地带，将津市高新技术产业开发区生物医药等板块用地划入了外围保护地带，且明确了外围保护地带的相关管理要求。此时，园区扩区部分用地已涉及嘉山风景名胜区设置外围保护地带，且生物医药板块用地紧邻风景名胜区二级保护区-胥家湖。2020年津市人民政府启动《嘉山风景名胜区总体规划（2017-2030）》修编工作委托湖南省建筑设计院编制《嘉山风景名胜区总体规划(2017-2030年)2021年修改》，于2021年7月取得省政府批复，根据《嘉山风景名胜区总体规划(2017-2030年)2021年修改》，津市高新区紧邻嘉山风景名胜区二级保护区-胥家湖。</w:t>
      </w:r>
    </w:p>
    <w:p w14:paraId="263B1D59">
      <w:pPr>
        <w:spacing w:line="360" w:lineRule="auto"/>
        <w:ind w:firstLine="480" w:firstLineChars="200"/>
        <w:rPr>
          <w:rFonts w:ascii="Times New Roman" w:hAnsi="Times New Roman" w:eastAsia="宋体" w:cs="宋体"/>
          <w:color w:val="FF0000"/>
          <w:sz w:val="24"/>
          <w:szCs w:val="24"/>
        </w:rPr>
      </w:pPr>
      <w:r>
        <w:rPr>
          <w:rFonts w:hint="eastAsia" w:ascii="Times New Roman" w:hAnsi="Times New Roman" w:eastAsia="宋体" w:cs="宋体"/>
          <w:color w:val="auto"/>
          <w:sz w:val="24"/>
          <w:szCs w:val="24"/>
        </w:rPr>
        <w:t>本项目距离距离嘉山风景名胜区界线最近距离约</w:t>
      </w:r>
      <w:r>
        <w:rPr>
          <w:rFonts w:hint="eastAsia" w:ascii="Times New Roman" w:hAnsi="Times New Roman" w:eastAsia="宋体" w:cs="宋体"/>
          <w:color w:val="auto"/>
          <w:sz w:val="24"/>
          <w:szCs w:val="24"/>
          <w:lang w:val="en-US" w:eastAsia="zh-CN"/>
        </w:rPr>
        <w:t>267</w:t>
      </w:r>
      <w:r>
        <w:rPr>
          <w:rFonts w:hint="eastAsia" w:ascii="Times New Roman" w:hAnsi="Times New Roman" w:eastAsia="宋体" w:cs="宋体"/>
          <w:color w:val="auto"/>
          <w:sz w:val="24"/>
          <w:szCs w:val="24"/>
        </w:rPr>
        <w:t>m。</w:t>
      </w:r>
    </w:p>
    <w:p w14:paraId="44E1B0C7">
      <w:pPr>
        <w:pStyle w:val="4"/>
        <w:bidi w:val="0"/>
      </w:pPr>
      <w:r>
        <w:rPr>
          <w:rFonts w:hint="eastAsia"/>
        </w:rPr>
        <w:t>5.2.2</w:t>
      </w:r>
      <w:r>
        <w:t>湖南嘉山国家森林公园</w:t>
      </w:r>
    </w:p>
    <w:p w14:paraId="2147AD25">
      <w:pPr>
        <w:spacing w:line="360" w:lineRule="auto"/>
        <w:ind w:firstLine="480" w:firstLineChars="200"/>
        <w:rPr>
          <w:rFonts w:ascii="Times New Roman" w:hAnsi="Times New Roman" w:eastAsia="宋体" w:cs="宋体"/>
          <w:color w:val="auto"/>
          <w:sz w:val="24"/>
          <w:szCs w:val="24"/>
        </w:rPr>
      </w:pPr>
      <w:r>
        <w:rPr>
          <w:rFonts w:hint="eastAsia" w:ascii="Times New Roman" w:hAnsi="Times New Roman" w:eastAsia="宋体" w:cs="宋体"/>
          <w:color w:val="auto"/>
          <w:sz w:val="24"/>
          <w:szCs w:val="24"/>
        </w:rPr>
        <w:t>湖南嘉山国家森林公园位于津市市城区西南角，由关山、嘉山和药山三个景区组成，1992年经省林业厅批准为省级森林公园。2015年3月国家林业局做出行政许可决定，批准在津市市境内设立湖南嘉山国家森林公园。嘉山国家森林公园是以禅宗文化为核心，以孟姜女故里，车武子之故乡为重要文脉，以山、水、林为主体，融森林观光、文化体验、宗教朝圣、养生保健、科普教育和种质保存等功能于一体的城郊型森林公园。公园规划总面积2225.8公顷，地理位置跨东经111°46′28″～111°55′22″，北纬29°17′56″～29°35′57″。其中林地面积1847.3公顷，水域及其他面积378.5公顷。公园由嘉山、关山和药山三个景区组成。</w:t>
      </w:r>
    </w:p>
    <w:p w14:paraId="55CA18AA">
      <w:pPr>
        <w:spacing w:line="360" w:lineRule="auto"/>
        <w:ind w:firstLine="480" w:firstLineChars="200"/>
        <w:rPr>
          <w:rFonts w:ascii="Times New Roman" w:hAnsi="Times New Roman" w:eastAsia="宋体" w:cs="宋体"/>
          <w:color w:val="auto"/>
          <w:sz w:val="24"/>
          <w:szCs w:val="24"/>
        </w:rPr>
      </w:pPr>
      <w:r>
        <w:rPr>
          <w:rFonts w:hint="eastAsia" w:ascii="Times New Roman" w:hAnsi="Times New Roman" w:eastAsia="宋体" w:cs="宋体"/>
          <w:color w:val="auto"/>
          <w:sz w:val="24"/>
          <w:szCs w:val="24"/>
        </w:rPr>
        <w:t>嘉山森林公园地带性植被属于中亚热带常绿阔叶林北部亚地带，公园内植被类型主要有常绿针阔混交林、常绿阔叶林及针叶林、竹林等，森林覆盖率达到93.3%。主要由松科，壳斗科，杉科，山茶科，樟科等组成。植被类型多是次生性的，也有地带性常绿阔叶林。典型常绿阔叶林如樟树林在嘉山有大面积分布，且具有一些落叶的成分，说明其植被具有中亚热带的基本特性，又体现了中亚热带偏北的一些特性。对嘉山国家森林公园规划区进行较详细的踏查，共调查到公园内有7个植被型组，24个群系。7个植被型组有：针叶林、针阔混交林、阔叶林、灌丛、灌草丛、沼泽型组、水生型组。</w:t>
      </w:r>
    </w:p>
    <w:p w14:paraId="452122C0">
      <w:pPr>
        <w:spacing w:line="360" w:lineRule="auto"/>
        <w:ind w:firstLine="480" w:firstLineChars="200"/>
        <w:rPr>
          <w:rFonts w:ascii="Times New Roman" w:hAnsi="Times New Roman" w:eastAsia="宋体" w:cs="宋体"/>
          <w:color w:val="auto"/>
          <w:sz w:val="24"/>
          <w:szCs w:val="24"/>
        </w:rPr>
      </w:pPr>
      <w:r>
        <w:rPr>
          <w:rFonts w:hint="eastAsia" w:ascii="Times New Roman" w:hAnsi="Times New Roman" w:eastAsia="宋体" w:cs="宋体"/>
          <w:color w:val="auto"/>
          <w:sz w:val="24"/>
          <w:szCs w:val="24"/>
        </w:rPr>
        <w:t>按《国家级森林公园总体规划规范》（LY\T2005-2012）分为核心景观区、一般游憩区、管理服务区和生态保育区。</w:t>
      </w:r>
    </w:p>
    <w:p w14:paraId="233EF64B">
      <w:pPr>
        <w:widowControl/>
        <w:spacing w:line="360" w:lineRule="auto"/>
        <w:ind w:firstLine="480" w:firstLineChars="200"/>
        <w:jc w:val="left"/>
        <w:rPr>
          <w:rFonts w:ascii="Times New Roman" w:hAnsi="Times New Roman" w:eastAsia="宋体" w:cs="Times New Roman"/>
          <w:color w:val="auto"/>
          <w:kern w:val="0"/>
          <w:sz w:val="24"/>
        </w:rPr>
      </w:pPr>
      <w:r>
        <w:rPr>
          <w:rFonts w:ascii="Times New Roman" w:hAnsi="Times New Roman" w:eastAsia="宋体" w:cs="Times New Roman"/>
          <w:color w:val="auto"/>
          <w:kern w:val="0"/>
          <w:sz w:val="24"/>
        </w:rPr>
        <w:t>1）核心景观区</w:t>
      </w:r>
    </w:p>
    <w:p w14:paraId="417B6D38">
      <w:pPr>
        <w:widowControl/>
        <w:spacing w:line="360" w:lineRule="auto"/>
        <w:ind w:firstLine="480" w:firstLineChars="200"/>
        <w:jc w:val="left"/>
        <w:rPr>
          <w:rFonts w:ascii="Times New Roman" w:hAnsi="Times New Roman" w:eastAsia="宋体" w:cs="Times New Roman"/>
          <w:color w:val="auto"/>
          <w:kern w:val="0"/>
          <w:sz w:val="24"/>
        </w:rPr>
      </w:pPr>
      <w:r>
        <w:rPr>
          <w:rFonts w:ascii="Times New Roman" w:hAnsi="Times New Roman" w:eastAsia="宋体" w:cs="Times New Roman"/>
          <w:color w:val="auto"/>
          <w:kern w:val="0"/>
          <w:sz w:val="24"/>
        </w:rPr>
        <w:t>总面积669.3公顷，其中嘉山景区10.47公顷，主要分布于孟姜女庙、嘉山禅寺及其周边；关山景区372.33公顷，包含虎爪山遗址、古大同寺、中武当等区域；药山景区286.5公顷，主要分布于药山景区的中部区域。核心景观区拥有特别珍贵的古树名木、虎爪山遗址等重点森林风景资源，除了必要的保护、解说、游览、休憩和安全、环卫、景区管护站等设施以外，在核心景观区，不规划住宿、餐饮、购物、娱乐等设施。</w:t>
      </w:r>
    </w:p>
    <w:p w14:paraId="3719CC3E">
      <w:pPr>
        <w:widowControl/>
        <w:spacing w:line="360" w:lineRule="auto"/>
        <w:ind w:firstLine="480" w:firstLineChars="200"/>
        <w:jc w:val="left"/>
        <w:rPr>
          <w:rFonts w:ascii="Times New Roman" w:hAnsi="Times New Roman" w:eastAsia="宋体" w:cs="Times New Roman"/>
          <w:color w:val="auto"/>
          <w:kern w:val="0"/>
          <w:sz w:val="24"/>
        </w:rPr>
      </w:pPr>
      <w:r>
        <w:rPr>
          <w:rFonts w:ascii="Times New Roman" w:hAnsi="Times New Roman" w:eastAsia="宋体" w:cs="Times New Roman"/>
          <w:color w:val="auto"/>
          <w:kern w:val="0"/>
          <w:sz w:val="24"/>
        </w:rPr>
        <w:t>（2）一般游憩区</w:t>
      </w:r>
    </w:p>
    <w:p w14:paraId="73BD4AA0">
      <w:pPr>
        <w:widowControl/>
        <w:spacing w:line="360" w:lineRule="auto"/>
        <w:ind w:firstLine="480" w:firstLineChars="200"/>
        <w:jc w:val="left"/>
        <w:rPr>
          <w:rFonts w:ascii="Times New Roman" w:hAnsi="Times New Roman" w:eastAsia="宋体" w:cs="Times New Roman"/>
          <w:color w:val="auto"/>
          <w:kern w:val="0"/>
          <w:sz w:val="24"/>
        </w:rPr>
      </w:pPr>
      <w:r>
        <w:rPr>
          <w:rFonts w:ascii="Times New Roman" w:hAnsi="Times New Roman" w:eastAsia="宋体" w:cs="Times New Roman"/>
          <w:color w:val="auto"/>
          <w:kern w:val="0"/>
          <w:sz w:val="24"/>
        </w:rPr>
        <w:t>总面积475.4公顷，其中嘉山景区18.94公顷，主要分布于嘉山的南坡；关山景区309.76公顷，主要分布于皇姑山、关山北坡；药山景区146.7公顷，主要分布于药山寺、国有林场场部、竹林等区域。一般游憩区是拥有较好的森林风景资源，方便开展旅游活动的区域，可以规划少量旅游公路、停车场、宣教设施、娱乐设施、景区管护站及小规模的餐饮点、购物亭等。</w:t>
      </w:r>
    </w:p>
    <w:p w14:paraId="3FE4CFBD">
      <w:pPr>
        <w:widowControl/>
        <w:spacing w:line="360" w:lineRule="auto"/>
        <w:ind w:firstLine="480" w:firstLineChars="200"/>
        <w:jc w:val="left"/>
        <w:rPr>
          <w:rFonts w:ascii="Times New Roman" w:hAnsi="Times New Roman" w:eastAsia="宋体" w:cs="Times New Roman"/>
          <w:color w:val="auto"/>
          <w:kern w:val="0"/>
          <w:sz w:val="24"/>
        </w:rPr>
      </w:pPr>
      <w:r>
        <w:rPr>
          <w:rFonts w:ascii="Times New Roman" w:hAnsi="Times New Roman" w:eastAsia="宋体" w:cs="Times New Roman"/>
          <w:color w:val="auto"/>
          <w:kern w:val="0"/>
          <w:sz w:val="24"/>
        </w:rPr>
        <w:t>（3）管理服务区</w:t>
      </w:r>
    </w:p>
    <w:p w14:paraId="480269FD">
      <w:pPr>
        <w:spacing w:line="360" w:lineRule="auto"/>
        <w:ind w:firstLine="480" w:firstLineChars="200"/>
        <w:jc w:val="left"/>
        <w:rPr>
          <w:rFonts w:ascii="Times New Roman" w:hAnsi="Times New Roman" w:eastAsia="宋体" w:cs="Times New Roman"/>
          <w:color w:val="auto"/>
          <w:kern w:val="0"/>
          <w:sz w:val="24"/>
        </w:rPr>
      </w:pPr>
      <w:r>
        <w:rPr>
          <w:rFonts w:ascii="Times New Roman" w:hAnsi="Times New Roman" w:eastAsia="宋体" w:cs="Times New Roman"/>
          <w:color w:val="auto"/>
          <w:kern w:val="0"/>
          <w:sz w:val="24"/>
        </w:rPr>
        <w:t>总面积39.41公顷，主要分布于各景区的主入口处。管理服务区是为满足森林公园管理和旅游接待服务需要而划定的区域，规划入口管理区、游客中心、停车场和一定数量的住宿、餐饮、购物、娱乐等接待服务设施，以及必要的管理和职工生活用房。</w:t>
      </w:r>
    </w:p>
    <w:p w14:paraId="1FA8F112">
      <w:pPr>
        <w:widowControl/>
        <w:spacing w:line="360" w:lineRule="auto"/>
        <w:ind w:firstLine="480" w:firstLineChars="200"/>
        <w:jc w:val="left"/>
        <w:rPr>
          <w:rFonts w:ascii="Times New Roman" w:hAnsi="Times New Roman" w:eastAsia="宋体" w:cs="Times New Roman"/>
          <w:color w:val="auto"/>
          <w:kern w:val="0"/>
          <w:sz w:val="24"/>
        </w:rPr>
      </w:pPr>
      <w:r>
        <w:rPr>
          <w:rFonts w:hint="eastAsia" w:ascii="Times New Roman" w:hAnsi="Times New Roman" w:eastAsia="宋体" w:cs="Times New Roman"/>
          <w:color w:val="auto"/>
          <w:kern w:val="0"/>
          <w:sz w:val="24"/>
        </w:rPr>
        <w:t>（4）</w:t>
      </w:r>
      <w:r>
        <w:rPr>
          <w:rFonts w:ascii="Times New Roman" w:hAnsi="Times New Roman" w:eastAsia="宋体" w:cs="Times New Roman"/>
          <w:color w:val="auto"/>
          <w:kern w:val="0"/>
          <w:sz w:val="24"/>
        </w:rPr>
        <w:t>生态保育区</w:t>
      </w:r>
    </w:p>
    <w:p w14:paraId="2F34F111">
      <w:pPr>
        <w:adjustRightInd w:val="0"/>
        <w:snapToGrid w:val="0"/>
        <w:spacing w:line="360" w:lineRule="auto"/>
        <w:ind w:firstLine="480" w:firstLineChars="200"/>
        <w:jc w:val="left"/>
        <w:rPr>
          <w:rFonts w:ascii="Times New Roman" w:hAnsi="Times New Roman" w:eastAsia="宋体" w:cs="Times New Roman"/>
          <w:color w:val="auto"/>
          <w:kern w:val="0"/>
          <w:sz w:val="24"/>
        </w:rPr>
      </w:pPr>
      <w:r>
        <w:rPr>
          <w:rFonts w:ascii="Times New Roman" w:hAnsi="Times New Roman" w:eastAsia="宋体" w:cs="Times New Roman"/>
          <w:color w:val="auto"/>
          <w:kern w:val="0"/>
          <w:sz w:val="24"/>
        </w:rPr>
        <w:t>总面积1039.49公顷，其中嘉山景区21.14公顷，分布于嘉山北坡；关山景区722.65公顷，主要分布于鹿山、章观山和大旗山；药山景区297.9公顷，主要分布于药山半坡的樟树纯林及以上区域。森林公园生态环境承载力较弱，为确保森林公园的可持续发展和景观视线的完整性，把核心景观区、一般游憩区和管理服务区以外区域设为生态保育区。该功能区不仅具有涵养水源、保持水土等生态功能，又是森林公园可持续发展的重要保障，在规划期内以生态保护修复为主，基本不进行开发建设、不对游客开放。</w:t>
      </w:r>
    </w:p>
    <w:p w14:paraId="1D10F57D">
      <w:pPr>
        <w:adjustRightInd w:val="0"/>
        <w:snapToGrid w:val="0"/>
        <w:spacing w:line="360" w:lineRule="auto"/>
        <w:ind w:firstLine="480" w:firstLineChars="200"/>
        <w:jc w:val="left"/>
        <w:rPr>
          <w:rFonts w:ascii="Times New Roman" w:hAnsi="Times New Roman" w:eastAsia="宋体" w:cs="Times New Roman"/>
          <w:color w:val="auto"/>
          <w:kern w:val="0"/>
          <w:sz w:val="24"/>
        </w:rPr>
      </w:pPr>
      <w:r>
        <w:rPr>
          <w:rFonts w:hint="eastAsia" w:ascii="Times New Roman" w:hAnsi="Times New Roman" w:eastAsia="宋体" w:cs="Times New Roman"/>
          <w:color w:val="auto"/>
          <w:kern w:val="0"/>
          <w:sz w:val="24"/>
        </w:rPr>
        <w:t>本项目距离湖南嘉山国家森林公园景区边界最近约</w:t>
      </w:r>
      <w:r>
        <w:rPr>
          <w:rFonts w:hint="eastAsia" w:ascii="Times New Roman" w:hAnsi="Times New Roman" w:eastAsia="宋体" w:cs="Times New Roman"/>
          <w:color w:val="auto"/>
          <w:kern w:val="0"/>
          <w:sz w:val="24"/>
          <w:lang w:val="en-US" w:eastAsia="zh-CN"/>
        </w:rPr>
        <w:t>4.138</w:t>
      </w:r>
      <w:r>
        <w:rPr>
          <w:rFonts w:hint="eastAsia" w:ascii="Times New Roman" w:hAnsi="Times New Roman" w:eastAsia="宋体" w:cs="Times New Roman"/>
          <w:color w:val="auto"/>
          <w:kern w:val="0"/>
          <w:sz w:val="24"/>
        </w:rPr>
        <w:t>km，未在规划的景区范围内，符合《湖南嘉山国家森林公园总体规划（2016-2025）》中资源与环境保护规划的相关要求。</w:t>
      </w:r>
    </w:p>
    <w:p w14:paraId="2EA68DDC">
      <w:pPr>
        <w:pStyle w:val="4"/>
        <w:bidi w:val="0"/>
      </w:pPr>
      <w:r>
        <w:rPr>
          <w:rFonts w:hint="eastAsia"/>
        </w:rPr>
        <w:t>5.2.3</w:t>
      </w:r>
      <w:r>
        <w:t>鱼类三场</w:t>
      </w:r>
    </w:p>
    <w:p w14:paraId="469CF568">
      <w:pPr>
        <w:widowControl/>
        <w:spacing w:line="360" w:lineRule="auto"/>
        <w:ind w:firstLine="480" w:firstLineChars="200"/>
        <w:jc w:val="left"/>
        <w:rPr>
          <w:rFonts w:ascii="Times New Roman" w:hAnsi="Times New Roman" w:eastAsia="宋体" w:cs="Times New Roman"/>
          <w:color w:val="auto"/>
          <w:kern w:val="0"/>
          <w:sz w:val="24"/>
        </w:rPr>
      </w:pPr>
      <w:r>
        <w:rPr>
          <w:rFonts w:hint="eastAsia" w:ascii="Times New Roman" w:hAnsi="Times New Roman" w:eastAsia="宋体" w:cs="Times New Roman"/>
          <w:color w:val="auto"/>
          <w:kern w:val="0"/>
          <w:sz w:val="24"/>
        </w:rPr>
        <w:t>经调查，澧水津市段分布有成规模的鱼类产卵场5处，共469.7h</w:t>
      </w:r>
      <w:r>
        <w:rPr>
          <w:rFonts w:hint="eastAsia" w:ascii="Times New Roman" w:hAnsi="Times New Roman" w:eastAsia="宋体" w:cs="Times New Roman"/>
          <w:color w:val="auto"/>
          <w:kern w:val="0"/>
          <w:sz w:val="24"/>
          <w:lang w:eastAsia="zh-CN"/>
        </w:rPr>
        <w:t>m</w:t>
      </w:r>
      <w:r>
        <w:rPr>
          <w:rFonts w:hint="eastAsia" w:ascii="Times New Roman" w:hAnsi="Times New Roman" w:eastAsia="宋体" w:cs="Times New Roman"/>
          <w:color w:val="auto"/>
          <w:kern w:val="0"/>
          <w:sz w:val="24"/>
          <w:vertAlign w:val="superscript"/>
          <w:lang w:eastAsia="zh-CN"/>
        </w:rPr>
        <w:t>2</w:t>
      </w:r>
      <w:r>
        <w:rPr>
          <w:rFonts w:hint="eastAsia" w:ascii="Times New Roman" w:hAnsi="Times New Roman" w:eastAsia="宋体" w:cs="Times New Roman"/>
          <w:color w:val="auto"/>
          <w:kern w:val="0"/>
          <w:sz w:val="24"/>
        </w:rPr>
        <w:t>，产卵群体主要为</w:t>
      </w:r>
      <w:r>
        <w:rPr>
          <w:rFonts w:hint="eastAsia" w:ascii="Times New Roman" w:hAnsi="Times New Roman" w:eastAsia="宋体" w:cs="Times New Roman"/>
          <w:color w:val="auto"/>
          <w:kern w:val="0"/>
          <w:sz w:val="24"/>
          <w:szCs w:val="24"/>
        </w:rPr>
        <w:t>䱗、似鳊、麦穗鱼、中华刺鳅、鲤、鲫、鲇等定居性鱼类。索饵场与产卵场重叠，无明显界限。越冬场3处，共190.7</w:t>
      </w:r>
      <w:r>
        <w:rPr>
          <w:rFonts w:hint="eastAsia" w:ascii="Times New Roman" w:hAnsi="Times New Roman" w:eastAsia="宋体" w:cs="Times New Roman"/>
          <w:color w:val="auto"/>
          <w:kern w:val="0"/>
          <w:sz w:val="24"/>
        </w:rPr>
        <w:t>h</w:t>
      </w:r>
      <w:r>
        <w:rPr>
          <w:rFonts w:hint="eastAsia" w:ascii="Times New Roman" w:hAnsi="Times New Roman" w:eastAsia="宋体" w:cs="Times New Roman"/>
          <w:color w:val="auto"/>
          <w:kern w:val="0"/>
          <w:sz w:val="24"/>
          <w:lang w:eastAsia="zh-CN"/>
        </w:rPr>
        <w:t>m</w:t>
      </w:r>
      <w:r>
        <w:rPr>
          <w:rFonts w:hint="eastAsia" w:ascii="Times New Roman" w:hAnsi="Times New Roman" w:eastAsia="宋体" w:cs="Times New Roman"/>
          <w:color w:val="auto"/>
          <w:kern w:val="0"/>
          <w:sz w:val="24"/>
          <w:vertAlign w:val="superscript"/>
          <w:lang w:eastAsia="zh-CN"/>
        </w:rPr>
        <w:t>2</w:t>
      </w:r>
      <w:r>
        <w:rPr>
          <w:rFonts w:hint="eastAsia" w:ascii="Times New Roman" w:hAnsi="Times New Roman" w:eastAsia="宋体" w:cs="Times New Roman"/>
          <w:color w:val="auto"/>
          <w:kern w:val="0"/>
          <w:sz w:val="24"/>
        </w:rPr>
        <w:t>。</w:t>
      </w:r>
    </w:p>
    <w:p w14:paraId="2730B952">
      <w:pPr>
        <w:pStyle w:val="6"/>
        <w:bidi w:val="0"/>
        <w:rPr>
          <w:rFonts w:hint="eastAsia"/>
        </w:rPr>
      </w:pPr>
      <w:r>
        <w:rPr>
          <w:rFonts w:hint="eastAsia"/>
        </w:rPr>
        <w:t>表5.2</w:t>
      </w:r>
      <w:r>
        <w:rPr>
          <w:rFonts w:hint="eastAsia"/>
          <w:lang w:val="en-US" w:eastAsia="zh-CN"/>
        </w:rPr>
        <w:t>.3</w:t>
      </w:r>
      <w:r>
        <w:rPr>
          <w:rFonts w:hint="eastAsia"/>
        </w:rPr>
        <w:t>-1    鱼类三场分布表</w:t>
      </w:r>
    </w:p>
    <w:tbl>
      <w:tblPr>
        <w:tblStyle w:val="4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8"/>
        <w:gridCol w:w="1129"/>
        <w:gridCol w:w="1499"/>
        <w:gridCol w:w="1555"/>
        <w:gridCol w:w="3498"/>
      </w:tblGrid>
      <w:tr w14:paraId="0C4CC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 w:type="pct"/>
            <w:vAlign w:val="center"/>
          </w:tcPr>
          <w:p w14:paraId="13423CAF">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序号</w:t>
            </w:r>
          </w:p>
        </w:tc>
        <w:tc>
          <w:tcPr>
            <w:tcW w:w="662" w:type="pct"/>
            <w:vAlign w:val="center"/>
          </w:tcPr>
          <w:p w14:paraId="6F1EBA65">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类别</w:t>
            </w:r>
          </w:p>
        </w:tc>
        <w:tc>
          <w:tcPr>
            <w:tcW w:w="879" w:type="pct"/>
            <w:vAlign w:val="center"/>
          </w:tcPr>
          <w:p w14:paraId="08E1B712">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名称</w:t>
            </w:r>
          </w:p>
        </w:tc>
        <w:tc>
          <w:tcPr>
            <w:tcW w:w="912" w:type="pct"/>
            <w:vAlign w:val="center"/>
          </w:tcPr>
          <w:p w14:paraId="5638E31D">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面积（h</w:t>
            </w:r>
            <w:r>
              <w:rPr>
                <w:rFonts w:hint="eastAsia" w:ascii="Times New Roman" w:hAnsi="Times New Roman" w:eastAsia="宋体" w:cs="Times New Roman"/>
                <w:color w:val="auto"/>
                <w:sz w:val="22"/>
                <w:szCs w:val="24"/>
                <w:lang w:eastAsia="zh-CN"/>
              </w:rPr>
              <w:t>m</w:t>
            </w:r>
            <w:r>
              <w:rPr>
                <w:rFonts w:hint="eastAsia" w:ascii="Times New Roman" w:hAnsi="Times New Roman" w:eastAsia="宋体" w:cs="Times New Roman"/>
                <w:color w:val="auto"/>
                <w:sz w:val="22"/>
                <w:szCs w:val="24"/>
                <w:vertAlign w:val="superscript"/>
                <w:lang w:eastAsia="zh-CN"/>
              </w:rPr>
              <w:t>2</w:t>
            </w:r>
            <w:r>
              <w:rPr>
                <w:rFonts w:hint="eastAsia" w:ascii="Times New Roman" w:hAnsi="Times New Roman" w:eastAsia="宋体" w:cs="Times New Roman"/>
                <w:color w:val="auto"/>
                <w:sz w:val="22"/>
                <w:szCs w:val="24"/>
              </w:rPr>
              <w:t>）</w:t>
            </w:r>
          </w:p>
        </w:tc>
        <w:tc>
          <w:tcPr>
            <w:tcW w:w="2052" w:type="pct"/>
            <w:vAlign w:val="center"/>
          </w:tcPr>
          <w:p w14:paraId="5F6DA481">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群体</w:t>
            </w:r>
          </w:p>
        </w:tc>
      </w:tr>
      <w:tr w14:paraId="09851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 w:type="pct"/>
            <w:vMerge w:val="restart"/>
            <w:vAlign w:val="center"/>
          </w:tcPr>
          <w:p w14:paraId="77B9865A">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1</w:t>
            </w:r>
          </w:p>
        </w:tc>
        <w:tc>
          <w:tcPr>
            <w:tcW w:w="662" w:type="pct"/>
            <w:vMerge w:val="restart"/>
            <w:vAlign w:val="center"/>
          </w:tcPr>
          <w:p w14:paraId="23642D4C">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产卵场、索饵场</w:t>
            </w:r>
          </w:p>
        </w:tc>
        <w:tc>
          <w:tcPr>
            <w:tcW w:w="879" w:type="pct"/>
            <w:vAlign w:val="center"/>
          </w:tcPr>
          <w:p w14:paraId="552A8729">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保堤</w:t>
            </w:r>
          </w:p>
        </w:tc>
        <w:tc>
          <w:tcPr>
            <w:tcW w:w="912" w:type="pct"/>
            <w:vAlign w:val="center"/>
          </w:tcPr>
          <w:p w14:paraId="5B9025D5">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93.1</w:t>
            </w:r>
          </w:p>
        </w:tc>
        <w:tc>
          <w:tcPr>
            <w:tcW w:w="2052" w:type="pct"/>
            <w:vAlign w:val="center"/>
          </w:tcPr>
          <w:p w14:paraId="44083279">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䱗、似鳊、麦穗鱼、中华刺鳅、鲤、鲫、鲇、鳜等</w:t>
            </w:r>
          </w:p>
        </w:tc>
      </w:tr>
      <w:tr w14:paraId="62482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 w:type="pct"/>
            <w:vMerge w:val="continue"/>
            <w:vAlign w:val="center"/>
          </w:tcPr>
          <w:p w14:paraId="5255C84F">
            <w:pPr>
              <w:jc w:val="center"/>
              <w:rPr>
                <w:rFonts w:ascii="Times New Roman" w:hAnsi="Times New Roman" w:eastAsia="宋体" w:cs="Times New Roman"/>
                <w:color w:val="auto"/>
                <w:sz w:val="22"/>
                <w:szCs w:val="24"/>
              </w:rPr>
            </w:pPr>
          </w:p>
        </w:tc>
        <w:tc>
          <w:tcPr>
            <w:tcW w:w="662" w:type="pct"/>
            <w:vMerge w:val="continue"/>
            <w:vAlign w:val="center"/>
          </w:tcPr>
          <w:p w14:paraId="3FF2608E">
            <w:pPr>
              <w:jc w:val="center"/>
              <w:rPr>
                <w:rFonts w:ascii="Times New Roman" w:hAnsi="Times New Roman" w:eastAsia="宋体" w:cs="Times New Roman"/>
                <w:color w:val="auto"/>
                <w:sz w:val="22"/>
                <w:szCs w:val="24"/>
              </w:rPr>
            </w:pPr>
          </w:p>
        </w:tc>
        <w:tc>
          <w:tcPr>
            <w:tcW w:w="879" w:type="pct"/>
            <w:vAlign w:val="center"/>
          </w:tcPr>
          <w:p w14:paraId="506F09F7">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孟家洲</w:t>
            </w:r>
          </w:p>
        </w:tc>
        <w:tc>
          <w:tcPr>
            <w:tcW w:w="912" w:type="pct"/>
            <w:vAlign w:val="center"/>
          </w:tcPr>
          <w:p w14:paraId="4EDE3587">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26.0</w:t>
            </w:r>
          </w:p>
        </w:tc>
        <w:tc>
          <w:tcPr>
            <w:tcW w:w="2052" w:type="pct"/>
            <w:vAlign w:val="center"/>
          </w:tcPr>
          <w:p w14:paraId="3DB84BFE">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䱗、似鳊、麦穗鱼、中华刺鳅、鲤、鲫、鲇、鳜等</w:t>
            </w:r>
          </w:p>
        </w:tc>
      </w:tr>
      <w:tr w14:paraId="3B7AC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 w:type="pct"/>
            <w:vMerge w:val="continue"/>
            <w:vAlign w:val="center"/>
          </w:tcPr>
          <w:p w14:paraId="04473BC1">
            <w:pPr>
              <w:jc w:val="center"/>
              <w:rPr>
                <w:rFonts w:ascii="Times New Roman" w:hAnsi="Times New Roman" w:eastAsia="宋体" w:cs="Times New Roman"/>
                <w:color w:val="auto"/>
                <w:sz w:val="22"/>
                <w:szCs w:val="24"/>
              </w:rPr>
            </w:pPr>
          </w:p>
        </w:tc>
        <w:tc>
          <w:tcPr>
            <w:tcW w:w="662" w:type="pct"/>
            <w:vMerge w:val="continue"/>
            <w:vAlign w:val="center"/>
          </w:tcPr>
          <w:p w14:paraId="3BCC1E40">
            <w:pPr>
              <w:jc w:val="center"/>
              <w:rPr>
                <w:rFonts w:ascii="Times New Roman" w:hAnsi="Times New Roman" w:eastAsia="宋体" w:cs="Times New Roman"/>
                <w:color w:val="auto"/>
                <w:sz w:val="22"/>
                <w:szCs w:val="24"/>
              </w:rPr>
            </w:pPr>
          </w:p>
        </w:tc>
        <w:tc>
          <w:tcPr>
            <w:tcW w:w="879" w:type="pct"/>
            <w:vAlign w:val="center"/>
          </w:tcPr>
          <w:p w14:paraId="20B14D80">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邵家咀</w:t>
            </w:r>
          </w:p>
        </w:tc>
        <w:tc>
          <w:tcPr>
            <w:tcW w:w="912" w:type="pct"/>
            <w:vAlign w:val="center"/>
          </w:tcPr>
          <w:p w14:paraId="4CF6EF95">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29.7</w:t>
            </w:r>
          </w:p>
        </w:tc>
        <w:tc>
          <w:tcPr>
            <w:tcW w:w="2052" w:type="pct"/>
            <w:vAlign w:val="center"/>
          </w:tcPr>
          <w:p w14:paraId="3851F6EE">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䱗、似鳊、麦穗鱼、中华刺鳅、鲤、鲫、鲇、鳜等</w:t>
            </w:r>
          </w:p>
        </w:tc>
      </w:tr>
      <w:tr w14:paraId="3760A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 w:type="pct"/>
            <w:vMerge w:val="continue"/>
            <w:vAlign w:val="center"/>
          </w:tcPr>
          <w:p w14:paraId="711AFA3E">
            <w:pPr>
              <w:jc w:val="center"/>
              <w:rPr>
                <w:rFonts w:ascii="Times New Roman" w:hAnsi="Times New Roman" w:eastAsia="宋体" w:cs="Times New Roman"/>
                <w:color w:val="auto"/>
                <w:sz w:val="22"/>
                <w:szCs w:val="24"/>
              </w:rPr>
            </w:pPr>
          </w:p>
        </w:tc>
        <w:tc>
          <w:tcPr>
            <w:tcW w:w="662" w:type="pct"/>
            <w:vMerge w:val="continue"/>
            <w:vAlign w:val="center"/>
          </w:tcPr>
          <w:p w14:paraId="32FF0546">
            <w:pPr>
              <w:jc w:val="center"/>
              <w:rPr>
                <w:rFonts w:ascii="Times New Roman" w:hAnsi="Times New Roman" w:eastAsia="宋体" w:cs="Times New Roman"/>
                <w:color w:val="auto"/>
                <w:sz w:val="22"/>
                <w:szCs w:val="24"/>
              </w:rPr>
            </w:pPr>
          </w:p>
        </w:tc>
        <w:tc>
          <w:tcPr>
            <w:tcW w:w="879" w:type="pct"/>
            <w:vAlign w:val="center"/>
          </w:tcPr>
          <w:p w14:paraId="7C7A25DE">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油榨坡-小谭溪</w:t>
            </w:r>
          </w:p>
        </w:tc>
        <w:tc>
          <w:tcPr>
            <w:tcW w:w="912" w:type="pct"/>
            <w:vAlign w:val="center"/>
          </w:tcPr>
          <w:p w14:paraId="750BB4E0">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309.0</w:t>
            </w:r>
          </w:p>
        </w:tc>
        <w:tc>
          <w:tcPr>
            <w:tcW w:w="2052" w:type="pct"/>
            <w:vAlign w:val="center"/>
          </w:tcPr>
          <w:p w14:paraId="5D26DFB2">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䱗、似鳊、麦穗鱼、中华刺鳅、鲤、鲫、鲇、鳜等</w:t>
            </w:r>
          </w:p>
        </w:tc>
      </w:tr>
      <w:tr w14:paraId="5F1E8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 w:type="pct"/>
            <w:vMerge w:val="continue"/>
            <w:vAlign w:val="center"/>
          </w:tcPr>
          <w:p w14:paraId="11D7B9E1">
            <w:pPr>
              <w:jc w:val="center"/>
              <w:rPr>
                <w:rFonts w:ascii="Times New Roman" w:hAnsi="Times New Roman" w:eastAsia="宋体" w:cs="Times New Roman"/>
                <w:color w:val="auto"/>
                <w:sz w:val="22"/>
                <w:szCs w:val="24"/>
              </w:rPr>
            </w:pPr>
          </w:p>
        </w:tc>
        <w:tc>
          <w:tcPr>
            <w:tcW w:w="662" w:type="pct"/>
            <w:vMerge w:val="continue"/>
            <w:vAlign w:val="center"/>
          </w:tcPr>
          <w:p w14:paraId="1C02962D">
            <w:pPr>
              <w:jc w:val="center"/>
              <w:rPr>
                <w:rFonts w:ascii="Times New Roman" w:hAnsi="Times New Roman" w:eastAsia="宋体" w:cs="Times New Roman"/>
                <w:color w:val="auto"/>
                <w:sz w:val="22"/>
                <w:szCs w:val="24"/>
              </w:rPr>
            </w:pPr>
          </w:p>
        </w:tc>
        <w:tc>
          <w:tcPr>
            <w:tcW w:w="879" w:type="pct"/>
            <w:vAlign w:val="center"/>
          </w:tcPr>
          <w:p w14:paraId="2A4800FC">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罗家台</w:t>
            </w:r>
          </w:p>
        </w:tc>
        <w:tc>
          <w:tcPr>
            <w:tcW w:w="912" w:type="pct"/>
            <w:vAlign w:val="center"/>
          </w:tcPr>
          <w:p w14:paraId="275A85B6">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11.9</w:t>
            </w:r>
          </w:p>
        </w:tc>
        <w:tc>
          <w:tcPr>
            <w:tcW w:w="2052" w:type="pct"/>
            <w:vAlign w:val="center"/>
          </w:tcPr>
          <w:p w14:paraId="56C85981">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䱗、似鳊、麦穗鱼、中华刺鳅、鲤、鲫、鲇、鳜等</w:t>
            </w:r>
          </w:p>
        </w:tc>
      </w:tr>
      <w:tr w14:paraId="44929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 w:type="pct"/>
            <w:vMerge w:val="continue"/>
            <w:vAlign w:val="center"/>
          </w:tcPr>
          <w:p w14:paraId="304DA676">
            <w:pPr>
              <w:jc w:val="center"/>
              <w:rPr>
                <w:rFonts w:ascii="Times New Roman" w:hAnsi="Times New Roman" w:eastAsia="宋体" w:cs="Times New Roman"/>
                <w:color w:val="auto"/>
                <w:sz w:val="22"/>
                <w:szCs w:val="24"/>
              </w:rPr>
            </w:pPr>
          </w:p>
        </w:tc>
        <w:tc>
          <w:tcPr>
            <w:tcW w:w="662" w:type="pct"/>
            <w:vMerge w:val="continue"/>
            <w:vAlign w:val="center"/>
          </w:tcPr>
          <w:p w14:paraId="2DF7C8EC">
            <w:pPr>
              <w:jc w:val="center"/>
              <w:rPr>
                <w:rFonts w:ascii="Times New Roman" w:hAnsi="Times New Roman" w:eastAsia="宋体" w:cs="Times New Roman"/>
                <w:color w:val="auto"/>
                <w:sz w:val="22"/>
                <w:szCs w:val="24"/>
              </w:rPr>
            </w:pPr>
          </w:p>
        </w:tc>
        <w:tc>
          <w:tcPr>
            <w:tcW w:w="879" w:type="pct"/>
            <w:vAlign w:val="center"/>
          </w:tcPr>
          <w:p w14:paraId="15E3C739">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合计</w:t>
            </w:r>
          </w:p>
        </w:tc>
        <w:tc>
          <w:tcPr>
            <w:tcW w:w="912" w:type="pct"/>
            <w:vAlign w:val="center"/>
          </w:tcPr>
          <w:p w14:paraId="5E5EA61B">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469.7</w:t>
            </w:r>
          </w:p>
        </w:tc>
        <w:tc>
          <w:tcPr>
            <w:tcW w:w="2052" w:type="pct"/>
            <w:vAlign w:val="center"/>
          </w:tcPr>
          <w:p w14:paraId="70172FD3">
            <w:pPr>
              <w:jc w:val="center"/>
              <w:rPr>
                <w:rFonts w:ascii="Times New Roman" w:hAnsi="Times New Roman" w:eastAsia="宋体" w:cs="Times New Roman"/>
                <w:color w:val="auto"/>
                <w:sz w:val="22"/>
                <w:szCs w:val="24"/>
              </w:rPr>
            </w:pPr>
          </w:p>
        </w:tc>
      </w:tr>
      <w:tr w14:paraId="720E7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 w:type="pct"/>
            <w:vMerge w:val="restart"/>
            <w:vAlign w:val="center"/>
          </w:tcPr>
          <w:p w14:paraId="48008FDC">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2</w:t>
            </w:r>
          </w:p>
        </w:tc>
        <w:tc>
          <w:tcPr>
            <w:tcW w:w="662" w:type="pct"/>
            <w:vMerge w:val="restart"/>
            <w:vAlign w:val="center"/>
          </w:tcPr>
          <w:p w14:paraId="589BD35F">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越冬场</w:t>
            </w:r>
          </w:p>
        </w:tc>
        <w:tc>
          <w:tcPr>
            <w:tcW w:w="879" w:type="pct"/>
            <w:vAlign w:val="center"/>
          </w:tcPr>
          <w:p w14:paraId="6D08C54A">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保堤</w:t>
            </w:r>
          </w:p>
        </w:tc>
        <w:tc>
          <w:tcPr>
            <w:tcW w:w="912" w:type="pct"/>
            <w:vAlign w:val="center"/>
          </w:tcPr>
          <w:p w14:paraId="0485A9AA">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93.1</w:t>
            </w:r>
          </w:p>
        </w:tc>
        <w:tc>
          <w:tcPr>
            <w:tcW w:w="2052" w:type="pct"/>
            <w:vAlign w:val="center"/>
          </w:tcPr>
          <w:p w14:paraId="16CA82F3">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䱗、似鳊、麦穗鱼、中华刺鳅、鲤、鲫、鲇、鳜、黄颡鱼等</w:t>
            </w:r>
          </w:p>
        </w:tc>
      </w:tr>
      <w:tr w14:paraId="2BD49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 w:type="pct"/>
            <w:vMerge w:val="continue"/>
            <w:vAlign w:val="center"/>
          </w:tcPr>
          <w:p w14:paraId="2F7F484A">
            <w:pPr>
              <w:jc w:val="center"/>
              <w:rPr>
                <w:rFonts w:ascii="Times New Roman" w:hAnsi="Times New Roman" w:eastAsia="宋体" w:cs="Times New Roman"/>
                <w:color w:val="auto"/>
                <w:sz w:val="22"/>
                <w:szCs w:val="24"/>
              </w:rPr>
            </w:pPr>
          </w:p>
        </w:tc>
        <w:tc>
          <w:tcPr>
            <w:tcW w:w="662" w:type="pct"/>
            <w:vMerge w:val="continue"/>
            <w:vAlign w:val="center"/>
          </w:tcPr>
          <w:p w14:paraId="41050D7C">
            <w:pPr>
              <w:jc w:val="center"/>
              <w:rPr>
                <w:rFonts w:ascii="Times New Roman" w:hAnsi="Times New Roman" w:eastAsia="宋体" w:cs="Times New Roman"/>
                <w:color w:val="auto"/>
                <w:sz w:val="22"/>
                <w:szCs w:val="24"/>
              </w:rPr>
            </w:pPr>
          </w:p>
        </w:tc>
        <w:tc>
          <w:tcPr>
            <w:tcW w:w="879" w:type="pct"/>
            <w:vAlign w:val="center"/>
          </w:tcPr>
          <w:p w14:paraId="79E31646">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张泮渡</w:t>
            </w:r>
          </w:p>
        </w:tc>
        <w:tc>
          <w:tcPr>
            <w:tcW w:w="912" w:type="pct"/>
            <w:vAlign w:val="center"/>
          </w:tcPr>
          <w:p w14:paraId="17DA7F88">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39.7</w:t>
            </w:r>
          </w:p>
        </w:tc>
        <w:tc>
          <w:tcPr>
            <w:tcW w:w="2052" w:type="pct"/>
            <w:vAlign w:val="center"/>
          </w:tcPr>
          <w:p w14:paraId="345B40E0">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䱗、似鳊、麦穗鱼、中华刺鳅、鲤、鲫、鲇、鳜、黄颡鱼等</w:t>
            </w:r>
          </w:p>
        </w:tc>
      </w:tr>
      <w:tr w14:paraId="1E038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 w:type="pct"/>
            <w:vMerge w:val="continue"/>
            <w:vAlign w:val="center"/>
          </w:tcPr>
          <w:p w14:paraId="1654EA34">
            <w:pPr>
              <w:jc w:val="center"/>
              <w:rPr>
                <w:rFonts w:ascii="Times New Roman" w:hAnsi="Times New Roman" w:eastAsia="宋体" w:cs="Times New Roman"/>
                <w:color w:val="auto"/>
                <w:sz w:val="22"/>
                <w:szCs w:val="24"/>
              </w:rPr>
            </w:pPr>
          </w:p>
        </w:tc>
        <w:tc>
          <w:tcPr>
            <w:tcW w:w="662" w:type="pct"/>
            <w:vMerge w:val="continue"/>
            <w:vAlign w:val="center"/>
          </w:tcPr>
          <w:p w14:paraId="52A97B58">
            <w:pPr>
              <w:jc w:val="center"/>
              <w:rPr>
                <w:rFonts w:ascii="Times New Roman" w:hAnsi="Times New Roman" w:eastAsia="宋体" w:cs="Times New Roman"/>
                <w:color w:val="auto"/>
                <w:sz w:val="22"/>
                <w:szCs w:val="24"/>
              </w:rPr>
            </w:pPr>
          </w:p>
        </w:tc>
        <w:tc>
          <w:tcPr>
            <w:tcW w:w="879" w:type="pct"/>
            <w:vAlign w:val="center"/>
          </w:tcPr>
          <w:p w14:paraId="4AEDD07C">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小谭溪</w:t>
            </w:r>
          </w:p>
        </w:tc>
        <w:tc>
          <w:tcPr>
            <w:tcW w:w="912" w:type="pct"/>
            <w:vAlign w:val="center"/>
          </w:tcPr>
          <w:p w14:paraId="20640602">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59.7</w:t>
            </w:r>
          </w:p>
        </w:tc>
        <w:tc>
          <w:tcPr>
            <w:tcW w:w="2052" w:type="pct"/>
            <w:vAlign w:val="center"/>
          </w:tcPr>
          <w:p w14:paraId="38472FDA">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䱗、似鳊、麦穗鱼、中华刺鳅、鲤、鲫、鲇、鳜、黄颡鱼等</w:t>
            </w:r>
          </w:p>
        </w:tc>
      </w:tr>
      <w:tr w14:paraId="5061D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 w:type="pct"/>
            <w:vMerge w:val="continue"/>
            <w:vAlign w:val="center"/>
          </w:tcPr>
          <w:p w14:paraId="09AD514D">
            <w:pPr>
              <w:jc w:val="center"/>
              <w:rPr>
                <w:rFonts w:ascii="Times New Roman" w:hAnsi="Times New Roman" w:eastAsia="宋体" w:cs="Times New Roman"/>
                <w:color w:val="auto"/>
                <w:sz w:val="22"/>
                <w:szCs w:val="24"/>
              </w:rPr>
            </w:pPr>
          </w:p>
        </w:tc>
        <w:tc>
          <w:tcPr>
            <w:tcW w:w="662" w:type="pct"/>
            <w:vMerge w:val="continue"/>
            <w:vAlign w:val="center"/>
          </w:tcPr>
          <w:p w14:paraId="5914A713">
            <w:pPr>
              <w:jc w:val="center"/>
              <w:rPr>
                <w:rFonts w:ascii="Times New Roman" w:hAnsi="Times New Roman" w:eastAsia="宋体" w:cs="Times New Roman"/>
                <w:color w:val="auto"/>
                <w:sz w:val="22"/>
                <w:szCs w:val="24"/>
              </w:rPr>
            </w:pPr>
          </w:p>
        </w:tc>
        <w:tc>
          <w:tcPr>
            <w:tcW w:w="879" w:type="pct"/>
            <w:vAlign w:val="center"/>
          </w:tcPr>
          <w:p w14:paraId="085A7546">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合计</w:t>
            </w:r>
          </w:p>
        </w:tc>
        <w:tc>
          <w:tcPr>
            <w:tcW w:w="912" w:type="pct"/>
            <w:vAlign w:val="center"/>
          </w:tcPr>
          <w:p w14:paraId="1151AB17">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190.7</w:t>
            </w:r>
          </w:p>
        </w:tc>
        <w:tc>
          <w:tcPr>
            <w:tcW w:w="2052" w:type="pct"/>
            <w:vAlign w:val="center"/>
          </w:tcPr>
          <w:p w14:paraId="051D4EBA">
            <w:pPr>
              <w:jc w:val="center"/>
              <w:rPr>
                <w:rFonts w:ascii="Times New Roman" w:hAnsi="Times New Roman" w:eastAsia="宋体" w:cs="Times New Roman"/>
                <w:color w:val="auto"/>
                <w:sz w:val="22"/>
                <w:szCs w:val="24"/>
              </w:rPr>
            </w:pPr>
          </w:p>
        </w:tc>
      </w:tr>
    </w:tbl>
    <w:p w14:paraId="55DA72AE">
      <w:pPr>
        <w:spacing w:line="360" w:lineRule="auto"/>
        <w:ind w:firstLine="480" w:firstLineChars="200"/>
        <w:rPr>
          <w:rFonts w:ascii="Times New Roman" w:hAnsi="Times New Roman" w:eastAsia="宋体" w:cs="Times New Roman"/>
          <w:color w:val="auto"/>
          <w:kern w:val="0"/>
          <w:sz w:val="24"/>
        </w:rPr>
      </w:pPr>
      <w:r>
        <w:rPr>
          <w:rFonts w:hint="eastAsia" w:ascii="Times New Roman" w:hAnsi="Times New Roman" w:eastAsia="宋体" w:cs="Times New Roman"/>
          <w:color w:val="auto"/>
          <w:sz w:val="24"/>
          <w:szCs w:val="24"/>
        </w:rPr>
        <w:t>本项目废水经厂区污水处理站处理后经地上专管进入津市高新区工业污水处理厂处理，津市高新区工业污水处理厂排水口已经依法审批，其排口位置位于</w:t>
      </w:r>
      <w:r>
        <w:rPr>
          <w:rFonts w:hint="eastAsia" w:ascii="Times New Roman" w:hAnsi="Times New Roman" w:eastAsia="宋体" w:cs="Times New Roman"/>
          <w:color w:val="auto"/>
          <w:kern w:val="0"/>
          <w:sz w:val="24"/>
        </w:rPr>
        <w:t>张泮渡越冬场上游约30m。</w:t>
      </w:r>
    </w:p>
    <w:p w14:paraId="386E5687">
      <w:pPr>
        <w:pStyle w:val="3"/>
        <w:bidi w:val="0"/>
      </w:pPr>
      <w:bookmarkStart w:id="236" w:name="_Toc30350"/>
      <w:bookmarkStart w:id="237" w:name="_Toc16479"/>
      <w:bookmarkStart w:id="238" w:name="_Toc16186"/>
      <w:bookmarkStart w:id="239" w:name="_Toc18939"/>
      <w:r>
        <w:rPr>
          <w:rFonts w:hint="eastAsia"/>
        </w:rPr>
        <w:t>5.3</w:t>
      </w:r>
      <w:r>
        <w:t>津市高新技术产业开发区</w:t>
      </w:r>
      <w:bookmarkEnd w:id="236"/>
      <w:bookmarkEnd w:id="237"/>
      <w:bookmarkEnd w:id="238"/>
      <w:bookmarkEnd w:id="239"/>
    </w:p>
    <w:p w14:paraId="7BFA404C">
      <w:pPr>
        <w:pStyle w:val="4"/>
        <w:bidi w:val="0"/>
      </w:pPr>
      <w:r>
        <w:rPr>
          <w:rFonts w:hint="eastAsia"/>
        </w:rPr>
        <w:t>5.3.1</w:t>
      </w:r>
      <w:r>
        <w:t>高新区规划概况</w:t>
      </w:r>
    </w:p>
    <w:p w14:paraId="4A8199D9">
      <w:pPr>
        <w:spacing w:line="360" w:lineRule="auto"/>
        <w:ind w:firstLine="480" w:firstLineChars="200"/>
        <w:rPr>
          <w:rFonts w:ascii="Times New Roman" w:hAnsi="Times New Roman" w:eastAsia="宋体" w:cs="宋体"/>
          <w:color w:val="auto"/>
          <w:sz w:val="24"/>
          <w:szCs w:val="24"/>
        </w:rPr>
      </w:pPr>
      <w:r>
        <w:rPr>
          <w:rFonts w:hint="eastAsia" w:ascii="Times New Roman" w:hAnsi="Times New Roman" w:eastAsia="宋体" w:cs="宋体"/>
          <w:color w:val="auto"/>
          <w:sz w:val="24"/>
          <w:szCs w:val="24"/>
        </w:rPr>
        <w:t>津市高新技术产业开发区前身为津市嘉山工业新区、津市工业集中区，成立于2005年。2007年园区环评取得原湖南省环境保护局批复（湘环评〔2007〕169号），2012年11月被省人民政府批准成为省级工业集中区（湘政办函〔2012〕187号），2013年12月园区扩区规划环评取得原湖南省环境保护厅批复（湘环评〔2013〕300号），2016年7月省政府同意设立津市高新技术产业开发区（湘政办函〔2016〕187号），2018年3月原湖南省环境保护厅对园区调扩区环评出具了审查意见（湘环评函〔2018〕6号）。根据2018年国家六部委《中国开发区审核公告目录》(2018年第4号），园区核准面积为639.48公顷，主导产业为汽车零部件、纺织、生物医药。2020年3月，园区调扩区获得省发改委核准（湘发改函〔2020〕36号），核准面积1067.82公顷，主导产业为装备制造、生物医药和食品加工。2021年5月，津市高新区（化工片区）被认定为湖南省第一批化工园区（湘发改地区〔2021〕372号），2021年8月，省自然资源厅划定了化工片区四至范围，津市高新区化工片区分为“南北两片”，划定面积为105.05公顷。</w:t>
      </w:r>
    </w:p>
    <w:p w14:paraId="68F7E595">
      <w:pPr>
        <w:spacing w:line="360" w:lineRule="auto"/>
        <w:ind w:firstLine="480" w:firstLineChars="200"/>
        <w:rPr>
          <w:rFonts w:ascii="Times New Roman" w:hAnsi="Times New Roman" w:eastAsia="宋体" w:cs="宋体"/>
          <w:color w:val="auto"/>
          <w:sz w:val="24"/>
          <w:szCs w:val="24"/>
        </w:rPr>
      </w:pPr>
      <w:r>
        <w:rPr>
          <w:rFonts w:hint="eastAsia" w:ascii="Times New Roman" w:hAnsi="Times New Roman" w:eastAsia="宋体" w:cs="宋体"/>
          <w:color w:val="auto"/>
          <w:sz w:val="24"/>
          <w:szCs w:val="24"/>
        </w:rPr>
        <w:t>因“湘发改函〔2020〕36号”、《湖南省自然资源厅关于第一批化工园区四至范围划定工作有关情况的函》与“湘环评函〔2018〕6号”在产业布局规划上发生变化，园区对《津市高新技术产业开发区总体规划（2016-2025）》进行修编。2022年4月湖南省生态环境厅印发关于津市高新技术产业开发区规划修编环境影响报告书的审查意见（湘环评函〔2022〕12号）对其规划环评进行批复，园区规划修编面积维持1067.82公顷不变，南部化工片区发展专用化学品、化工新材料等，非化工区域主要发展生物医药（医药制备）、装备制造和食品加工；北部片区以现状为基础适度发展盐化工产业。</w:t>
      </w:r>
    </w:p>
    <w:p w14:paraId="092F7779">
      <w:pPr>
        <w:spacing w:line="360" w:lineRule="auto"/>
        <w:ind w:firstLine="480" w:firstLineChars="200"/>
        <w:rPr>
          <w:rFonts w:ascii="Times New Roman" w:hAnsi="Times New Roman" w:eastAsia="宋体" w:cs="宋体"/>
          <w:color w:val="auto"/>
          <w:sz w:val="24"/>
          <w:szCs w:val="24"/>
        </w:rPr>
      </w:pPr>
      <w:r>
        <w:rPr>
          <w:rFonts w:hint="eastAsia" w:ascii="Times New Roman" w:hAnsi="Times New Roman" w:eastAsia="宋体" w:cs="宋体"/>
          <w:color w:val="auto"/>
          <w:sz w:val="24"/>
          <w:szCs w:val="24"/>
        </w:rPr>
        <w:t>2022年8月，湖南省发展和改革委员会和湖南省自然资源厅联合印发关于津市高新技术产业开发区边界面积及四至范围的通知（湘发改园区[2022]601号）核定津市高新技术产业开发区面积共1075.30公顷。为充分盘活园区土地利用，更好的规范化园区发展和更好的促进经济发展，并实现园区所有范围规划环评全覆盖。园区依据《湖南省自然资源厅关于第一批化工园区四至范围划定工作有关情况的函》、《关于发布津市高新技术产业开发区边界面积及四至范围的通知（湘发改园区[2022]601号）》基础上结合实际用地发展需求，对《津市高新技术产业开发区总体规划（2016-2025）》进行二次修编，规划范围为湘发改园区[2022]601号核定范围，对园区内产业空间布局和用地类型进行调整。2023年5月15日，湖南省生态环境厅对《津市高新技术产业开发区产业布局调整规划环境影响报告书》进行了批复（湘环评函2023[23]号）。</w:t>
      </w:r>
    </w:p>
    <w:p w14:paraId="7D071779">
      <w:pPr>
        <w:pStyle w:val="4"/>
        <w:bidi w:val="0"/>
      </w:pPr>
      <w:r>
        <w:rPr>
          <w:rFonts w:hint="eastAsia"/>
        </w:rPr>
        <w:t>5.3.2</w:t>
      </w:r>
      <w:r>
        <w:t>规划范围</w:t>
      </w:r>
    </w:p>
    <w:p w14:paraId="141C77D8">
      <w:pPr>
        <w:spacing w:line="360" w:lineRule="auto"/>
        <w:ind w:firstLine="480" w:firstLineChars="200"/>
        <w:rPr>
          <w:rFonts w:ascii="Times New Roman" w:hAnsi="Times New Roman" w:eastAsia="宋体" w:cs="宋体"/>
          <w:color w:val="auto"/>
          <w:sz w:val="24"/>
          <w:szCs w:val="24"/>
        </w:rPr>
      </w:pPr>
      <w:r>
        <w:rPr>
          <w:rFonts w:hint="eastAsia" w:ascii="Times New Roman" w:hAnsi="Times New Roman" w:eastAsia="宋体" w:cs="宋体"/>
          <w:color w:val="auto"/>
          <w:sz w:val="24"/>
          <w:szCs w:val="24"/>
        </w:rPr>
        <w:t>根据《关于发布津市高新技术产业开发区边界面积及四至范围的通知》（湘发改园区[2022]601号），高新区规划范围由原1067.82公顷调整为1075.30公顷。本次规划评价范围以《关于发布津市高新技术产业开发区边界面积及四至范围的通知》（湘发改园区[2022]601号）发布的四至范围1075.3公顷为准，相对原2022年规划环评规划范围，本次评价新增7.48公顷。</w:t>
      </w:r>
    </w:p>
    <w:p w14:paraId="232E48C0">
      <w:pPr>
        <w:spacing w:line="360" w:lineRule="auto"/>
        <w:ind w:firstLine="480" w:firstLineChars="200"/>
        <w:rPr>
          <w:rFonts w:ascii="Times New Roman" w:hAnsi="Times New Roman" w:eastAsia="宋体" w:cs="宋体"/>
          <w:color w:val="auto"/>
          <w:sz w:val="24"/>
          <w:szCs w:val="24"/>
        </w:rPr>
      </w:pPr>
      <w:r>
        <w:rPr>
          <w:rFonts w:hint="eastAsia" w:ascii="Times New Roman" w:hAnsi="Times New Roman" w:eastAsia="宋体" w:cs="宋体"/>
          <w:color w:val="auto"/>
          <w:sz w:val="24"/>
          <w:szCs w:val="24"/>
        </w:rPr>
        <w:t>高新区仍保持“一园两区”格局，主导产业为化工和生物医药，适当发展装备制造、食品加工及配套物流业。其中：区块一（北部片区）15.82公顷，适度发展盐化工产业，四至范围为：东至周家铺路，南至大同路以南156米处，西至周家铺路以西458米处，北至大同路以北232米处。区块二（南部片区）1059.48公顷，东至澧水大堤、南至杉堰路、西至至关桥路、北至清远路。</w:t>
      </w:r>
    </w:p>
    <w:p w14:paraId="41A9B8D4">
      <w:pPr>
        <w:spacing w:line="360" w:lineRule="auto"/>
        <w:ind w:firstLine="480" w:firstLineChars="200"/>
        <w:rPr>
          <w:rFonts w:ascii="Times New Roman" w:hAnsi="Times New Roman" w:eastAsia="宋体" w:cs="宋体"/>
          <w:color w:val="auto"/>
          <w:sz w:val="24"/>
          <w:szCs w:val="24"/>
        </w:rPr>
      </w:pPr>
      <w:r>
        <w:rPr>
          <w:rFonts w:hint="eastAsia" w:ascii="Times New Roman" w:hAnsi="Times New Roman" w:eastAsia="宋体" w:cs="宋体"/>
          <w:color w:val="auto"/>
          <w:sz w:val="24"/>
          <w:szCs w:val="24"/>
        </w:rPr>
        <w:t>化工片区面积合计322.50公顷，其中311.52公顷位于区块二（南部片区），10.98公顷位于区块一（北部片区）。</w:t>
      </w:r>
    </w:p>
    <w:p w14:paraId="27247702">
      <w:pPr>
        <w:pStyle w:val="4"/>
        <w:bidi w:val="0"/>
      </w:pPr>
      <w:r>
        <w:rPr>
          <w:rFonts w:hint="eastAsia"/>
        </w:rPr>
        <w:t>5.3.3</w:t>
      </w:r>
      <w:r>
        <w:t>发展定位</w:t>
      </w:r>
    </w:p>
    <w:p w14:paraId="3CF640F9">
      <w:pPr>
        <w:spacing w:line="360" w:lineRule="auto"/>
        <w:ind w:firstLine="480" w:firstLineChars="200"/>
        <w:rPr>
          <w:rFonts w:ascii="Times New Roman" w:hAnsi="Times New Roman" w:eastAsia="宋体" w:cs="宋体"/>
          <w:color w:val="auto"/>
          <w:sz w:val="24"/>
          <w:szCs w:val="24"/>
        </w:rPr>
      </w:pPr>
      <w:r>
        <w:rPr>
          <w:rFonts w:hint="eastAsia" w:ascii="Times New Roman" w:hAnsi="Times New Roman" w:eastAsia="宋体" w:cs="宋体"/>
          <w:color w:val="auto"/>
          <w:sz w:val="24"/>
          <w:szCs w:val="24"/>
        </w:rPr>
        <w:t>规划以生物医药和化工为主导产业，适当发展装备制造、食品加工及配套物流业。</w:t>
      </w:r>
    </w:p>
    <w:p w14:paraId="4E27619B">
      <w:pPr>
        <w:spacing w:line="360" w:lineRule="auto"/>
        <w:ind w:firstLine="480" w:firstLineChars="200"/>
        <w:rPr>
          <w:rFonts w:ascii="Times New Roman" w:hAnsi="Times New Roman" w:eastAsia="宋体" w:cs="宋体"/>
          <w:color w:val="auto"/>
          <w:sz w:val="24"/>
          <w:szCs w:val="24"/>
        </w:rPr>
      </w:pPr>
      <w:r>
        <w:rPr>
          <w:rFonts w:hint="eastAsia" w:ascii="Times New Roman" w:hAnsi="Times New Roman" w:eastAsia="宋体" w:cs="宋体"/>
          <w:color w:val="auto"/>
          <w:sz w:val="24"/>
          <w:szCs w:val="24"/>
        </w:rPr>
        <w:t>生物医药（医药制造）：按照“扩大规模、提升档次、打造品牌”的思路，大力引进生物酶制剂、医药中间体、生物制药及医疗器械生产企业，不断壮大生物医药产业集群。以“溢多利”、天津医药为依托，重点扶持新合新、鸿鹰生物、龙腾生物、菲托葳生物、引航生物科技等企业；提高产业化和科技研发水平，掌握医药中间体高端技术，部分单项产品拥有定价议价能力，并参与国家酶制剂制造技术标准制定。主要发展如生物酶制剂、医药中间体、化学药品原料药制造（化学新药）、化学药品制剂制造（制剂）、生物药品制品制造、混配分装、植物医药提取、医疗器械等产业。</w:t>
      </w:r>
    </w:p>
    <w:p w14:paraId="57D84648">
      <w:pPr>
        <w:spacing w:line="360" w:lineRule="auto"/>
        <w:ind w:firstLine="480" w:firstLineChars="200"/>
        <w:rPr>
          <w:rFonts w:ascii="Times New Roman" w:hAnsi="Times New Roman" w:eastAsia="宋体" w:cs="宋体"/>
          <w:color w:val="auto"/>
          <w:sz w:val="24"/>
          <w:szCs w:val="24"/>
        </w:rPr>
      </w:pPr>
      <w:r>
        <w:rPr>
          <w:rFonts w:hint="eastAsia" w:ascii="Times New Roman" w:hAnsi="Times New Roman" w:eastAsia="宋体" w:cs="宋体"/>
          <w:color w:val="auto"/>
          <w:sz w:val="24"/>
          <w:szCs w:val="24"/>
        </w:rPr>
        <w:t>化工产业：重点发展医药化工、化工新材料及绿色化工，如医药中间体、化学药品原料药制造（化学新药）、胶粘剂、助剂、表面活性剂、环境友好的涂料、油墨、染料、高端液晶材料、新型农药和农药中间体、功能性高分子材料、可降解塑料等产业。</w:t>
      </w:r>
    </w:p>
    <w:p w14:paraId="1F0D233B">
      <w:pPr>
        <w:spacing w:line="360" w:lineRule="auto"/>
        <w:ind w:firstLine="480" w:firstLineChars="200"/>
        <w:rPr>
          <w:rFonts w:ascii="Times New Roman" w:hAnsi="Times New Roman" w:eastAsia="宋体" w:cs="宋体"/>
          <w:color w:val="auto"/>
          <w:sz w:val="24"/>
          <w:szCs w:val="24"/>
        </w:rPr>
      </w:pPr>
      <w:r>
        <w:rPr>
          <w:rFonts w:hint="eastAsia" w:ascii="Times New Roman" w:hAnsi="Times New Roman" w:eastAsia="宋体" w:cs="宋体"/>
          <w:color w:val="auto"/>
          <w:sz w:val="24"/>
          <w:szCs w:val="24"/>
        </w:rPr>
        <w:t>装备制造：以现有汽车配件产业为基础，重点发展以汽车模具制造和汽车钢结构研发与生产的汽配产业，积极引进电气机械及器材制造、仪器及相关设备制造、专用机械制造等先进装备制造产业。</w:t>
      </w:r>
    </w:p>
    <w:p w14:paraId="560D5790">
      <w:pPr>
        <w:spacing w:line="360" w:lineRule="auto"/>
        <w:ind w:firstLine="480" w:firstLineChars="200"/>
        <w:rPr>
          <w:rFonts w:ascii="Times New Roman" w:hAnsi="Times New Roman" w:eastAsia="宋体" w:cs="宋体"/>
          <w:color w:val="auto"/>
          <w:sz w:val="24"/>
          <w:szCs w:val="24"/>
        </w:rPr>
      </w:pPr>
      <w:r>
        <w:rPr>
          <w:rFonts w:hint="eastAsia" w:ascii="Times New Roman" w:hAnsi="Times New Roman" w:eastAsia="宋体" w:cs="宋体"/>
          <w:color w:val="auto"/>
          <w:sz w:val="24"/>
          <w:szCs w:val="24"/>
        </w:rPr>
        <w:t>食品加工：依托洞庭湖区农业资源和产业基础，食品加工产业主要发展有地方特色的食品，重点发展特色休闲食品、调味品、果蔬食品、粮油加工。</w:t>
      </w:r>
    </w:p>
    <w:p w14:paraId="58E513F1">
      <w:pPr>
        <w:spacing w:line="360" w:lineRule="auto"/>
        <w:ind w:firstLine="480" w:firstLineChars="200"/>
        <w:rPr>
          <w:rFonts w:ascii="Times New Roman" w:hAnsi="Times New Roman" w:eastAsia="宋体" w:cs="宋体"/>
          <w:color w:val="auto"/>
          <w:sz w:val="24"/>
          <w:szCs w:val="24"/>
        </w:rPr>
      </w:pPr>
      <w:r>
        <w:rPr>
          <w:rFonts w:hint="eastAsia" w:ascii="Times New Roman" w:hAnsi="Times New Roman" w:eastAsia="宋体" w:cs="宋体"/>
          <w:color w:val="auto"/>
          <w:sz w:val="24"/>
          <w:szCs w:val="24"/>
        </w:rPr>
        <w:t>配套物流业：充分发挥交通区位优势，依托二广高速和窑坡渡港区嘉山新工业区千吨级码头，发展水陆联运的现代物流集散区；高标准建设集中区物流平台和物流中心，增强高新区商贸流通集散功能。按照大市场、大流通、高效率、低成本的要求，立足高新区企业物流吞吐量大和区位交通等综合优势，加快发展现代物流业。鼓励引导传统运输、仓储企业向现代物流企业转变；支持物流企业做大做强。</w:t>
      </w:r>
    </w:p>
    <w:p w14:paraId="673ADC37">
      <w:pPr>
        <w:pStyle w:val="4"/>
        <w:bidi w:val="0"/>
      </w:pPr>
      <w:r>
        <w:rPr>
          <w:rFonts w:hint="eastAsia"/>
        </w:rPr>
        <w:t>5.3.4</w:t>
      </w:r>
      <w:r>
        <w:t>分区定位</w:t>
      </w:r>
    </w:p>
    <w:p w14:paraId="581F17C0">
      <w:pPr>
        <w:spacing w:line="360" w:lineRule="auto"/>
        <w:ind w:firstLine="480" w:firstLineChars="200"/>
        <w:rPr>
          <w:rFonts w:ascii="Times New Roman" w:hAnsi="Times New Roman" w:eastAsia="宋体" w:cs="宋体"/>
          <w:color w:val="auto"/>
          <w:sz w:val="24"/>
          <w:szCs w:val="24"/>
        </w:rPr>
      </w:pPr>
      <w:r>
        <w:rPr>
          <w:rFonts w:hint="eastAsia" w:ascii="Times New Roman" w:hAnsi="Times New Roman" w:eastAsia="宋体" w:cs="宋体"/>
          <w:color w:val="auto"/>
          <w:sz w:val="24"/>
          <w:szCs w:val="24"/>
        </w:rPr>
        <w:t>1、区块一（北部片区）</w:t>
      </w:r>
    </w:p>
    <w:p w14:paraId="3BDEFE90">
      <w:pPr>
        <w:spacing w:line="360" w:lineRule="auto"/>
        <w:ind w:firstLine="480" w:firstLineChars="200"/>
        <w:rPr>
          <w:rFonts w:ascii="Times New Roman" w:hAnsi="Times New Roman" w:eastAsia="宋体" w:cs="宋体"/>
          <w:color w:val="auto"/>
          <w:sz w:val="24"/>
          <w:szCs w:val="24"/>
        </w:rPr>
      </w:pPr>
      <w:r>
        <w:rPr>
          <w:rFonts w:hint="eastAsia" w:ascii="Times New Roman" w:hAnsi="Times New Roman" w:eastAsia="宋体" w:cs="宋体"/>
          <w:color w:val="auto"/>
          <w:sz w:val="24"/>
          <w:szCs w:val="24"/>
        </w:rPr>
        <w:t>根据《关于发布津市高新技术产业开发区边界面积及四至范围的通知》（湘发改园区[2022]601号），区块一（北部片区）15.82公顷，为现有保留区域，以现状为基础适度发展盐化工产业。</w:t>
      </w:r>
    </w:p>
    <w:p w14:paraId="74D89DAC">
      <w:pPr>
        <w:spacing w:line="360" w:lineRule="auto"/>
        <w:ind w:firstLine="480" w:firstLineChars="200"/>
        <w:rPr>
          <w:rFonts w:ascii="Times New Roman" w:hAnsi="Times New Roman" w:eastAsia="宋体" w:cs="宋体"/>
          <w:color w:val="auto"/>
          <w:sz w:val="24"/>
          <w:szCs w:val="24"/>
        </w:rPr>
      </w:pPr>
      <w:r>
        <w:rPr>
          <w:rFonts w:hint="eastAsia" w:ascii="Times New Roman" w:hAnsi="Times New Roman" w:eastAsia="宋体" w:cs="宋体"/>
          <w:color w:val="auto"/>
          <w:sz w:val="24"/>
          <w:szCs w:val="24"/>
        </w:rPr>
        <w:t>2、区块二（南部片区）</w:t>
      </w:r>
    </w:p>
    <w:p w14:paraId="3525B4A3">
      <w:pPr>
        <w:spacing w:line="360" w:lineRule="auto"/>
        <w:ind w:firstLine="480" w:firstLineChars="200"/>
        <w:rPr>
          <w:rFonts w:ascii="Times New Roman" w:hAnsi="Times New Roman" w:eastAsia="宋体" w:cs="宋体"/>
          <w:color w:val="auto"/>
          <w:sz w:val="24"/>
          <w:szCs w:val="24"/>
        </w:rPr>
      </w:pPr>
      <w:r>
        <w:rPr>
          <w:rFonts w:hint="eastAsia" w:ascii="Times New Roman" w:hAnsi="Times New Roman" w:eastAsia="宋体" w:cs="宋体"/>
          <w:color w:val="auto"/>
          <w:sz w:val="24"/>
          <w:szCs w:val="24"/>
        </w:rPr>
        <w:t>生物医药（医药制造）产业区：主要发展如生物酶制剂、医药中间体、化学药品原料药制造（化学新药）、化学药品制剂制造（制剂）、生物药品制品制造、混配分装、植物医药提取、医疗器械等产业为主导。生物医药（医药制造）产业区内已建的装备制造、食品加工等不符合片区产业定位的企业，引导其提质改造或转型。</w:t>
      </w:r>
    </w:p>
    <w:p w14:paraId="028FB373">
      <w:pPr>
        <w:spacing w:line="360" w:lineRule="auto"/>
        <w:ind w:firstLine="480" w:firstLineChars="200"/>
        <w:rPr>
          <w:rFonts w:ascii="Times New Roman" w:hAnsi="Times New Roman" w:eastAsia="宋体" w:cs="宋体"/>
          <w:color w:val="auto"/>
          <w:sz w:val="24"/>
          <w:szCs w:val="24"/>
        </w:rPr>
      </w:pPr>
      <w:r>
        <w:rPr>
          <w:rFonts w:hint="eastAsia" w:ascii="Times New Roman" w:hAnsi="Times New Roman" w:eastAsia="宋体" w:cs="宋体"/>
          <w:color w:val="auto"/>
          <w:sz w:val="24"/>
          <w:szCs w:val="24"/>
        </w:rPr>
        <w:t>化工产业区：由医药化工产业区、化工新材料产业区、绿色化工区和配套服务中心组成，其中①医药化工产业区：依托现有企业打造医药化工产业集群，主要发展如生物酶制剂、医药中间体、化学药品原料药制造（化学新药）。②化工新材料产业区：依托现有企业为基础，布置高端液晶材料、新型农药和农药中间体、功能性高分子材料、可降解塑料、胶粘剂、助剂、表面活性剂、环境友好的涂料、油墨、染料等化工新材料产业。③绿色化工区：主要布置化工产业链下游企业及化工孵化中心等绿色化工产业。④配套服务中心：设安全生产综合监管和应急救援指挥平台等配套服务机构，适度发展绿色化工产业。</w:t>
      </w:r>
    </w:p>
    <w:p w14:paraId="5DE3FB46">
      <w:pPr>
        <w:spacing w:line="360" w:lineRule="auto"/>
        <w:ind w:firstLine="480" w:firstLineChars="200"/>
        <w:rPr>
          <w:rFonts w:hint="eastAsia" w:ascii="宋体" w:hAnsi="宋体" w:eastAsia="宋体" w:cs="宋体"/>
          <w:color w:val="auto"/>
          <w:sz w:val="24"/>
          <w:szCs w:val="24"/>
        </w:rPr>
      </w:pPr>
      <w:r>
        <w:rPr>
          <w:rFonts w:hint="eastAsia" w:ascii="Times New Roman" w:hAnsi="Times New Roman" w:eastAsia="宋体" w:cs="宋体"/>
          <w:color w:val="auto"/>
          <w:sz w:val="24"/>
          <w:szCs w:val="24"/>
        </w:rPr>
        <w:t>综合工业园区：主要发展装备制造、食品加工等产业。装备制造以现有汽车配件产业为基础，重点发展以汽车模具制造和汽车钢结构研发与生产的汽配产业，积极引进电气机械及器材制造、仪器及相关设备制造、专用机械制造等先进装备制造产业；食品加工依托洞庭湖区农业资源和产业基础，重点发展特色休闲食品、调味品、果蔬食品、粮油加工</w:t>
      </w:r>
      <w:r>
        <w:rPr>
          <w:rFonts w:hint="eastAsia" w:ascii="宋体" w:hAnsi="宋体" w:eastAsia="宋体" w:cs="宋体"/>
          <w:color w:val="auto"/>
          <w:sz w:val="24"/>
          <w:szCs w:val="24"/>
        </w:rPr>
        <w:t>。</w:t>
      </w:r>
    </w:p>
    <w:p w14:paraId="0E2B84A0">
      <w:pPr>
        <w:pStyle w:val="4"/>
        <w:bidi w:val="0"/>
      </w:pPr>
      <w:r>
        <w:rPr>
          <w:rFonts w:hint="eastAsia"/>
        </w:rPr>
        <w:t>5.3.5</w:t>
      </w:r>
      <w:r>
        <w:t>用地规划</w:t>
      </w:r>
    </w:p>
    <w:p w14:paraId="368BB096">
      <w:pPr>
        <w:spacing w:line="360" w:lineRule="auto"/>
        <w:ind w:firstLine="480" w:firstLineChars="200"/>
        <w:rPr>
          <w:rFonts w:ascii="Times New Roman" w:hAnsi="Times New Roman" w:eastAsia="宋体" w:cs="宋体"/>
          <w:color w:val="auto"/>
          <w:sz w:val="24"/>
          <w:szCs w:val="24"/>
        </w:rPr>
      </w:pPr>
      <w:r>
        <w:rPr>
          <w:rFonts w:hint="eastAsia" w:ascii="Times New Roman" w:hAnsi="Times New Roman" w:eastAsia="宋体" w:cs="宋体"/>
          <w:color w:val="auto"/>
          <w:sz w:val="24"/>
          <w:szCs w:val="24"/>
        </w:rPr>
        <w:t>结合《津市高新技术产业开发区控制性详细规划》，对原规划用地进行局部调整，具体如下：（1）将中联大道以东、创业路南侧的“零售商业用地”调整为“二类工业用地、防护绿地和居住用地（居住用地主要为已建的安置房）”（2）将津市大道南侧、胥家湖路以北，车站路西侧、园区西侧边界以东的“一类物流仓储用地”调整为“三类用地”；（3）将南部化工片区津市大道南侧、戚家路西侧、胥家湖路以北、车站路以东合围区域，戚家路以东、创业路以南、中联大道以西、胥家湖路以北合围区域和团湖路以东、胥家湖路以南以及胥家湖合围区域“二类用地”调整为“三类用地”；（4）将新城路以西、创业路以北、防护绿地以东区域部分“二类用地”调整为“三类用地”；（5）将邻近新州镇的湖南润农生态茶油有限公司公司所在地块和邻近戚家小区西侧防护绿地的部分“二类用地”调整为“一类用地”；（6）将原生物医药③同团湖中间的“商业用地”调整为“绿地和二类工业用地”；（7）将团湖中间“商务用地”调整为“科研用地（不新建学校等敏感目标）”；（8）将园区东北部的“绿地”调整为“二类工业用地”。用地规划调整完成后，工业用地由原来的668.49公顷增至719.38公顷，园区总面积保持1075.30公顷不变。</w:t>
      </w:r>
    </w:p>
    <w:p w14:paraId="280248C1">
      <w:pPr>
        <w:spacing w:line="360" w:lineRule="auto"/>
        <w:ind w:firstLine="480" w:firstLineChars="200"/>
        <w:rPr>
          <w:rFonts w:ascii="Times New Roman" w:hAnsi="Times New Roman" w:eastAsia="宋体" w:cs="宋体"/>
          <w:color w:val="auto"/>
          <w:sz w:val="24"/>
          <w:szCs w:val="24"/>
        </w:rPr>
      </w:pPr>
      <w:r>
        <w:rPr>
          <w:rFonts w:hint="eastAsia" w:ascii="Times New Roman" w:hAnsi="Times New Roman" w:eastAsia="宋体" w:cs="宋体"/>
          <w:color w:val="auto"/>
          <w:sz w:val="24"/>
          <w:szCs w:val="24"/>
        </w:rPr>
        <w:t>规划修编后：园区总用地1075.30公顷，工业用地719.38公顷，其中一类工业用地、二类工业工地、三类工业用地分别为7.57公顷、484.0公顷、227.81公顷，居住用地67.49公顷，公共管理与公共服务设施用地17.46公顷，商业服务业设施用地36.86公顷，道路与交通设施用地150.84公顷，公用设施用地13.44公顷，绿地54.11公顷。</w:t>
      </w:r>
    </w:p>
    <w:p w14:paraId="7AADDAEB">
      <w:pPr>
        <w:pStyle w:val="4"/>
        <w:bidi w:val="0"/>
      </w:pPr>
      <w:r>
        <w:rPr>
          <w:rFonts w:hint="eastAsia"/>
        </w:rPr>
        <w:t>5.3.6</w:t>
      </w:r>
      <w:r>
        <w:t>供热</w:t>
      </w:r>
    </w:p>
    <w:p w14:paraId="7AB45C28">
      <w:pPr>
        <w:spacing w:line="360" w:lineRule="auto"/>
        <w:ind w:firstLine="480" w:firstLineChars="200"/>
        <w:rPr>
          <w:rFonts w:ascii="Times New Roman" w:hAnsi="Times New Roman" w:eastAsia="宋体" w:cs="宋体"/>
          <w:color w:val="auto"/>
          <w:sz w:val="24"/>
          <w:szCs w:val="24"/>
        </w:rPr>
      </w:pPr>
      <w:r>
        <w:rPr>
          <w:rFonts w:hint="eastAsia" w:ascii="Times New Roman" w:hAnsi="Times New Roman" w:eastAsia="宋体" w:cs="宋体"/>
          <w:color w:val="auto"/>
          <w:sz w:val="24"/>
          <w:szCs w:val="24"/>
        </w:rPr>
        <w:t>区块一（北部片区）：该片区为现有保留化工工业区，企业分布较少且距离南部片区较远，无法实现集中供热，由企业自行供热。</w:t>
      </w:r>
    </w:p>
    <w:p w14:paraId="74407538">
      <w:pPr>
        <w:spacing w:line="360" w:lineRule="auto"/>
        <w:ind w:firstLine="480" w:firstLineChars="200"/>
        <w:rPr>
          <w:rFonts w:ascii="Times New Roman" w:hAnsi="Times New Roman" w:eastAsia="宋体" w:cs="宋体"/>
          <w:color w:val="auto"/>
          <w:sz w:val="24"/>
          <w:szCs w:val="24"/>
        </w:rPr>
      </w:pPr>
      <w:r>
        <w:rPr>
          <w:rFonts w:hint="eastAsia" w:ascii="Times New Roman" w:hAnsi="Times New Roman" w:eastAsia="宋体" w:cs="宋体"/>
          <w:color w:val="auto"/>
          <w:sz w:val="24"/>
          <w:szCs w:val="24"/>
        </w:rPr>
        <w:t>区块二（南部片区）：津市高新区实施集中供热，由园区内企业常德津市宁能热电有限公司（宁能热电）提供，津市高新技术产业园区热电联产项目位于津市高新技术产业园区，根据“供热为主，以热定电”的原则。该公司目前的规划，最终总装机能力达4×130t/h高温高压循环流化床锅炉（三用一备）+3×15MW背压式汽轮发电机组，总供热能力约为330t/h。目前宁能热电已建成2台（1用1备）130t/h循环流化床锅炉+1台15MW背压式汽轮发电机组及配套设施，供热能力110t/h。二期工程计划于2024年1月投产（新增1台130t/h循环流化床锅炉+1台15MW背压式汽轮发电机组），二期投产后该公司总供热能力220t/h。</w:t>
      </w:r>
    </w:p>
    <w:p w14:paraId="67DDEDF0">
      <w:pPr>
        <w:pStyle w:val="4"/>
        <w:bidi w:val="0"/>
      </w:pPr>
      <w:r>
        <w:rPr>
          <w:rFonts w:hint="eastAsia"/>
        </w:rPr>
        <w:t>5.3.7</w:t>
      </w:r>
      <w:r>
        <w:t>给水</w:t>
      </w:r>
    </w:p>
    <w:p w14:paraId="47FDEF1F">
      <w:pPr>
        <w:spacing w:line="360" w:lineRule="auto"/>
        <w:ind w:firstLine="480" w:firstLineChars="200"/>
        <w:rPr>
          <w:rFonts w:hint="eastAsia" w:ascii="宋体" w:hAnsi="宋体" w:eastAsia="宋体" w:cs="Times New Roman"/>
          <w:color w:val="auto"/>
          <w:sz w:val="24"/>
          <w:szCs w:val="20"/>
        </w:rPr>
      </w:pPr>
      <w:r>
        <w:rPr>
          <w:rFonts w:hint="eastAsia" w:ascii="宋体" w:hAnsi="宋体" w:eastAsia="宋体" w:cs="Times New Roman"/>
          <w:color w:val="auto"/>
          <w:sz w:val="24"/>
          <w:szCs w:val="20"/>
        </w:rPr>
        <w:t>目前津市中心城区主要有1座水厂，白龙潭水厂，近期为6万</w:t>
      </w:r>
      <w:r>
        <w:rPr>
          <w:rFonts w:hint="eastAsia" w:ascii="宋体" w:hAnsi="宋体" w:eastAsia="宋体" w:cs="Times New Roman"/>
          <w:color w:val="auto"/>
          <w:sz w:val="24"/>
          <w:szCs w:val="20"/>
          <w:lang w:eastAsia="zh-CN"/>
        </w:rPr>
        <w:t>m</w:t>
      </w:r>
      <w:r>
        <w:rPr>
          <w:rFonts w:hint="eastAsia" w:ascii="宋体" w:hAnsi="宋体" w:eastAsia="宋体" w:cs="Times New Roman"/>
          <w:color w:val="auto"/>
          <w:sz w:val="24"/>
          <w:szCs w:val="20"/>
          <w:vertAlign w:val="superscript"/>
          <w:lang w:eastAsia="zh-CN"/>
        </w:rPr>
        <w:t>3</w:t>
      </w:r>
      <w:r>
        <w:rPr>
          <w:rFonts w:hint="eastAsia" w:ascii="宋体" w:hAnsi="宋体" w:eastAsia="宋体" w:cs="Times New Roman"/>
          <w:color w:val="auto"/>
          <w:sz w:val="24"/>
          <w:szCs w:val="20"/>
        </w:rPr>
        <w:t>/d，远期规模扩展至10万</w:t>
      </w:r>
      <w:r>
        <w:rPr>
          <w:rFonts w:hint="eastAsia" w:ascii="宋体" w:hAnsi="宋体" w:eastAsia="宋体" w:cs="Times New Roman"/>
          <w:color w:val="auto"/>
          <w:sz w:val="24"/>
          <w:szCs w:val="20"/>
          <w:lang w:eastAsia="zh-CN"/>
        </w:rPr>
        <w:t>m</w:t>
      </w:r>
      <w:r>
        <w:rPr>
          <w:rFonts w:hint="eastAsia" w:ascii="宋体" w:hAnsi="宋体" w:eastAsia="宋体" w:cs="Times New Roman"/>
          <w:color w:val="auto"/>
          <w:sz w:val="24"/>
          <w:szCs w:val="20"/>
          <w:vertAlign w:val="superscript"/>
          <w:lang w:eastAsia="zh-CN"/>
        </w:rPr>
        <w:t>3</w:t>
      </w:r>
      <w:r>
        <w:rPr>
          <w:rFonts w:hint="eastAsia" w:ascii="宋体" w:hAnsi="宋体" w:eastAsia="宋体" w:cs="Times New Roman"/>
          <w:color w:val="auto"/>
          <w:sz w:val="24"/>
          <w:szCs w:val="20"/>
        </w:rPr>
        <w:t>/d，根据区域给水规划，津市高新技术产业开发区的供水将完全由津市城市水厂（白龙潭水厂）统一供水。目前津市市区的给水干管和管道已敷设到津市高新区及周边居民区，高新区供水管道已随着各主干道的建设基本建成，已建成的企业均已使用自来水，供水可得到保障。</w:t>
      </w:r>
    </w:p>
    <w:p w14:paraId="73CB576B">
      <w:pPr>
        <w:pStyle w:val="4"/>
        <w:bidi w:val="0"/>
      </w:pPr>
      <w:r>
        <w:rPr>
          <w:rFonts w:hint="eastAsia"/>
        </w:rPr>
        <w:t>5.3.8</w:t>
      </w:r>
      <w:r>
        <w:t>排水</w:t>
      </w:r>
    </w:p>
    <w:p w14:paraId="5AE597EF">
      <w:pPr>
        <w:spacing w:line="360" w:lineRule="auto"/>
        <w:ind w:firstLine="480" w:firstLineChars="200"/>
        <w:rPr>
          <w:rFonts w:ascii="Times New Roman" w:hAnsi="Times New Roman" w:eastAsia="宋体" w:cs="宋体"/>
          <w:color w:val="auto"/>
          <w:sz w:val="24"/>
          <w:szCs w:val="24"/>
        </w:rPr>
      </w:pPr>
      <w:r>
        <w:rPr>
          <w:rFonts w:hint="eastAsia" w:ascii="Times New Roman" w:hAnsi="Times New Roman" w:eastAsia="宋体" w:cs="宋体"/>
          <w:color w:val="auto"/>
          <w:sz w:val="24"/>
          <w:szCs w:val="24"/>
        </w:rPr>
        <w:t>1、排水规划</w:t>
      </w:r>
    </w:p>
    <w:p w14:paraId="3502939A">
      <w:pPr>
        <w:spacing w:line="360" w:lineRule="auto"/>
        <w:ind w:firstLine="480" w:firstLineChars="200"/>
        <w:rPr>
          <w:rFonts w:ascii="Times New Roman" w:hAnsi="Times New Roman" w:eastAsia="宋体" w:cs="宋体"/>
          <w:color w:val="auto"/>
          <w:sz w:val="24"/>
          <w:szCs w:val="24"/>
        </w:rPr>
      </w:pPr>
      <w:r>
        <w:rPr>
          <w:rFonts w:hint="eastAsia" w:ascii="Times New Roman" w:hAnsi="Times New Roman" w:eastAsia="宋体" w:cs="宋体"/>
          <w:color w:val="auto"/>
          <w:sz w:val="24"/>
          <w:szCs w:val="24"/>
        </w:rPr>
        <w:t>目前，园区已经建成津市生活污水处理厂（4万</w:t>
      </w:r>
      <w:r>
        <w:rPr>
          <w:rFonts w:hint="eastAsia" w:ascii="Times New Roman" w:hAnsi="Times New Roman" w:eastAsia="宋体" w:cs="宋体"/>
          <w:color w:val="auto"/>
          <w:sz w:val="24"/>
          <w:szCs w:val="24"/>
          <w:lang w:eastAsia="zh-CN"/>
        </w:rPr>
        <w:t>m</w:t>
      </w:r>
      <w:r>
        <w:rPr>
          <w:rFonts w:hint="eastAsia" w:ascii="Times New Roman" w:hAnsi="Times New Roman" w:eastAsia="宋体" w:cs="宋体"/>
          <w:color w:val="auto"/>
          <w:sz w:val="24"/>
          <w:szCs w:val="24"/>
          <w:vertAlign w:val="superscript"/>
          <w:lang w:eastAsia="zh-CN"/>
        </w:rPr>
        <w:t>3</w:t>
      </w:r>
      <w:r>
        <w:rPr>
          <w:rFonts w:hint="eastAsia" w:ascii="Times New Roman" w:hAnsi="Times New Roman" w:eastAsia="宋体" w:cs="宋体"/>
          <w:color w:val="auto"/>
          <w:sz w:val="24"/>
          <w:szCs w:val="24"/>
        </w:rPr>
        <w:t>/d）、津市高新区工业污水处理厂（一期、二期及二期扩容，合计2.0万</w:t>
      </w:r>
      <w:r>
        <w:rPr>
          <w:rFonts w:hint="eastAsia" w:ascii="Times New Roman" w:hAnsi="Times New Roman" w:eastAsia="宋体" w:cs="宋体"/>
          <w:color w:val="auto"/>
          <w:sz w:val="24"/>
          <w:szCs w:val="24"/>
          <w:lang w:eastAsia="zh-CN"/>
        </w:rPr>
        <w:t>m</w:t>
      </w:r>
      <w:r>
        <w:rPr>
          <w:rFonts w:hint="eastAsia" w:ascii="Times New Roman" w:hAnsi="Times New Roman" w:eastAsia="宋体" w:cs="宋体"/>
          <w:color w:val="auto"/>
          <w:sz w:val="24"/>
          <w:szCs w:val="24"/>
          <w:vertAlign w:val="superscript"/>
          <w:lang w:eastAsia="zh-CN"/>
        </w:rPr>
        <w:t>3</w:t>
      </w:r>
      <w:r>
        <w:rPr>
          <w:rFonts w:hint="eastAsia" w:ascii="Times New Roman" w:hAnsi="Times New Roman" w:eastAsia="宋体" w:cs="宋体"/>
          <w:color w:val="auto"/>
          <w:sz w:val="24"/>
          <w:szCs w:val="24"/>
        </w:rPr>
        <w:t>/d，以下简称“现有工业污水处理厂”），并于拟在医药化工区北侧规划建设污水处理厂三期（共计3万</w:t>
      </w:r>
      <w:r>
        <w:rPr>
          <w:rFonts w:hint="eastAsia" w:ascii="Times New Roman" w:hAnsi="Times New Roman" w:eastAsia="宋体" w:cs="宋体"/>
          <w:color w:val="auto"/>
          <w:sz w:val="24"/>
          <w:szCs w:val="24"/>
          <w:lang w:eastAsia="zh-CN"/>
        </w:rPr>
        <w:t>m</w:t>
      </w:r>
      <w:r>
        <w:rPr>
          <w:rFonts w:hint="eastAsia" w:ascii="Times New Roman" w:hAnsi="Times New Roman" w:eastAsia="宋体" w:cs="宋体"/>
          <w:color w:val="auto"/>
          <w:sz w:val="24"/>
          <w:szCs w:val="24"/>
          <w:vertAlign w:val="superscript"/>
          <w:lang w:eastAsia="zh-CN"/>
        </w:rPr>
        <w:t>3</w:t>
      </w:r>
      <w:r>
        <w:rPr>
          <w:rFonts w:hint="eastAsia" w:ascii="Times New Roman" w:hAnsi="Times New Roman" w:eastAsia="宋体" w:cs="宋体"/>
          <w:color w:val="auto"/>
          <w:sz w:val="24"/>
          <w:szCs w:val="24"/>
        </w:rPr>
        <w:t>/d，先建设1万</w:t>
      </w:r>
      <w:r>
        <w:rPr>
          <w:rFonts w:hint="eastAsia" w:ascii="Times New Roman" w:hAnsi="Times New Roman" w:eastAsia="宋体" w:cs="宋体"/>
          <w:color w:val="auto"/>
          <w:sz w:val="24"/>
          <w:szCs w:val="24"/>
          <w:lang w:eastAsia="zh-CN"/>
        </w:rPr>
        <w:t>m</w:t>
      </w:r>
      <w:r>
        <w:rPr>
          <w:rFonts w:hint="eastAsia" w:ascii="Times New Roman" w:hAnsi="Times New Roman" w:eastAsia="宋体" w:cs="宋体"/>
          <w:color w:val="auto"/>
          <w:sz w:val="24"/>
          <w:szCs w:val="24"/>
          <w:vertAlign w:val="superscript"/>
          <w:lang w:eastAsia="zh-CN"/>
        </w:rPr>
        <w:t>3</w:t>
      </w:r>
      <w:r>
        <w:rPr>
          <w:rFonts w:hint="eastAsia" w:ascii="Times New Roman" w:hAnsi="Times New Roman" w:eastAsia="宋体" w:cs="宋体"/>
          <w:color w:val="auto"/>
          <w:sz w:val="24"/>
          <w:szCs w:val="24"/>
        </w:rPr>
        <w:t>/d）。</w:t>
      </w:r>
    </w:p>
    <w:p w14:paraId="3EE54460">
      <w:pPr>
        <w:spacing w:line="360" w:lineRule="auto"/>
        <w:ind w:firstLine="480" w:firstLineChars="200"/>
        <w:rPr>
          <w:rFonts w:ascii="Times New Roman" w:hAnsi="Times New Roman" w:eastAsia="宋体" w:cs="宋体"/>
          <w:color w:val="auto"/>
          <w:sz w:val="24"/>
          <w:szCs w:val="24"/>
        </w:rPr>
      </w:pPr>
      <w:r>
        <w:rPr>
          <w:rFonts w:hint="eastAsia" w:ascii="Times New Roman" w:hAnsi="Times New Roman" w:eastAsia="宋体" w:cs="宋体"/>
          <w:color w:val="auto"/>
          <w:sz w:val="24"/>
          <w:szCs w:val="24"/>
        </w:rPr>
        <w:t>区块一（北部片区）：区块一（北部片区）内企业的生产废水经预处理达标后排至津市生活污水处理厂。</w:t>
      </w:r>
    </w:p>
    <w:p w14:paraId="7C7CF103">
      <w:pPr>
        <w:spacing w:line="360" w:lineRule="auto"/>
        <w:ind w:firstLine="480" w:firstLineChars="200"/>
        <w:rPr>
          <w:rFonts w:ascii="Times New Roman" w:hAnsi="Times New Roman" w:eastAsia="宋体" w:cs="宋体"/>
          <w:color w:val="auto"/>
          <w:sz w:val="24"/>
          <w:szCs w:val="24"/>
        </w:rPr>
      </w:pPr>
      <w:r>
        <w:rPr>
          <w:rFonts w:hint="eastAsia" w:ascii="Times New Roman" w:hAnsi="Times New Roman" w:eastAsia="宋体" w:cs="宋体"/>
          <w:color w:val="auto"/>
          <w:sz w:val="24"/>
          <w:szCs w:val="24"/>
        </w:rPr>
        <w:t>区块二（南部片区）：目前，区块二（南部片区）创业路以北部片区域的企业废水和居民生活废水送津市生活污水处理厂，其余区域废水送津市高新区工业污水处理厂。</w:t>
      </w:r>
    </w:p>
    <w:p w14:paraId="6036EDA2">
      <w:pPr>
        <w:spacing w:line="360" w:lineRule="auto"/>
        <w:ind w:firstLine="480" w:firstLineChars="200"/>
        <w:rPr>
          <w:rFonts w:ascii="Times New Roman" w:hAnsi="Times New Roman" w:eastAsia="宋体" w:cs="宋体"/>
          <w:color w:val="auto"/>
          <w:sz w:val="24"/>
          <w:szCs w:val="24"/>
        </w:rPr>
      </w:pPr>
      <w:r>
        <w:rPr>
          <w:rFonts w:hint="eastAsia" w:ascii="Times New Roman" w:hAnsi="Times New Roman" w:eastAsia="宋体" w:cs="宋体"/>
          <w:color w:val="auto"/>
          <w:sz w:val="24"/>
          <w:szCs w:val="24"/>
        </w:rPr>
        <w:t>津市高新区工业污水处理厂位于高新区孟姜女大道东侧，已建成一期和二期，合计处理能力为1.5万</w:t>
      </w:r>
      <w:r>
        <w:rPr>
          <w:rFonts w:hint="eastAsia" w:ascii="Times New Roman" w:hAnsi="Times New Roman" w:eastAsia="宋体" w:cs="宋体"/>
          <w:color w:val="auto"/>
          <w:sz w:val="24"/>
          <w:szCs w:val="24"/>
          <w:lang w:eastAsia="zh-CN"/>
        </w:rPr>
        <w:t>m</w:t>
      </w:r>
      <w:r>
        <w:rPr>
          <w:rFonts w:hint="eastAsia" w:ascii="Times New Roman" w:hAnsi="Times New Roman" w:eastAsia="宋体" w:cs="宋体"/>
          <w:color w:val="auto"/>
          <w:sz w:val="24"/>
          <w:szCs w:val="24"/>
          <w:vertAlign w:val="superscript"/>
          <w:lang w:eastAsia="zh-CN"/>
        </w:rPr>
        <w:t>3</w:t>
      </w:r>
      <w:r>
        <w:rPr>
          <w:rFonts w:hint="eastAsia" w:ascii="Times New Roman" w:hAnsi="Times New Roman" w:eastAsia="宋体" w:cs="宋体"/>
          <w:color w:val="auto"/>
          <w:sz w:val="24"/>
          <w:szCs w:val="24"/>
        </w:rPr>
        <w:t>/d，扩容改造后处理能力将增加至2.0万</w:t>
      </w:r>
      <w:r>
        <w:rPr>
          <w:rFonts w:hint="eastAsia" w:ascii="Times New Roman" w:hAnsi="Times New Roman" w:eastAsia="宋体" w:cs="宋体"/>
          <w:color w:val="auto"/>
          <w:sz w:val="24"/>
          <w:szCs w:val="24"/>
          <w:lang w:eastAsia="zh-CN"/>
        </w:rPr>
        <w:t>m</w:t>
      </w:r>
      <w:r>
        <w:rPr>
          <w:rFonts w:hint="eastAsia" w:ascii="Times New Roman" w:hAnsi="Times New Roman" w:eastAsia="宋体" w:cs="宋体"/>
          <w:color w:val="auto"/>
          <w:sz w:val="24"/>
          <w:szCs w:val="24"/>
          <w:vertAlign w:val="superscript"/>
          <w:lang w:eastAsia="zh-CN"/>
        </w:rPr>
        <w:t>3</w:t>
      </w:r>
      <w:r>
        <w:rPr>
          <w:rFonts w:hint="eastAsia" w:ascii="Times New Roman" w:hAnsi="Times New Roman" w:eastAsia="宋体" w:cs="宋体"/>
          <w:color w:val="auto"/>
          <w:sz w:val="24"/>
          <w:szCs w:val="24"/>
        </w:rPr>
        <w:t>/d。扩容改造完成后，该工业污水处理厂纳污范围为：（1）工业污水处理厂（三期）投运前，接纳高新区南部片区窑坡大道以南废水；（2）工业污水处理厂（三期）投运后，接纳南部片区窑坡大道以南非化工产业区企业废水+园区内居民区废水+化工产业区初期雨水，不接纳化工产业区企业废水（“引航+鸿健”除外）。工业污水处理厂扩容至2.0万</w:t>
      </w:r>
      <w:r>
        <w:rPr>
          <w:rFonts w:hint="eastAsia" w:ascii="Times New Roman" w:hAnsi="Times New Roman" w:eastAsia="宋体" w:cs="宋体"/>
          <w:color w:val="auto"/>
          <w:sz w:val="24"/>
          <w:szCs w:val="24"/>
          <w:lang w:eastAsia="zh-CN"/>
        </w:rPr>
        <w:t>m</w:t>
      </w:r>
      <w:r>
        <w:rPr>
          <w:rFonts w:hint="eastAsia" w:ascii="Times New Roman" w:hAnsi="Times New Roman" w:eastAsia="宋体" w:cs="宋体"/>
          <w:color w:val="auto"/>
          <w:sz w:val="24"/>
          <w:szCs w:val="24"/>
          <w:vertAlign w:val="superscript"/>
          <w:lang w:eastAsia="zh-CN"/>
        </w:rPr>
        <w:t>3</w:t>
      </w:r>
      <w:r>
        <w:rPr>
          <w:rFonts w:hint="eastAsia" w:ascii="Times New Roman" w:hAnsi="Times New Roman" w:eastAsia="宋体" w:cs="宋体"/>
          <w:color w:val="auto"/>
          <w:sz w:val="24"/>
          <w:szCs w:val="24"/>
        </w:rPr>
        <w:t>/d后，津市生活污水处理厂接纳北部片区废水+南部片区窑坡大道以北的企业废水、居民区废水以及津市市城区生活污水。</w:t>
      </w:r>
    </w:p>
    <w:p w14:paraId="36474F45">
      <w:pPr>
        <w:spacing w:line="360" w:lineRule="auto"/>
        <w:ind w:firstLine="480" w:firstLineChars="200"/>
        <w:rPr>
          <w:rFonts w:ascii="Times New Roman" w:hAnsi="Times New Roman" w:eastAsia="宋体" w:cs="宋体"/>
          <w:color w:val="auto"/>
          <w:sz w:val="24"/>
          <w:szCs w:val="24"/>
        </w:rPr>
      </w:pPr>
      <w:r>
        <w:rPr>
          <w:rFonts w:hint="eastAsia" w:ascii="Times New Roman" w:hAnsi="Times New Roman" w:eastAsia="宋体" w:cs="宋体"/>
          <w:color w:val="auto"/>
          <w:sz w:val="24"/>
          <w:szCs w:val="24"/>
        </w:rPr>
        <w:t>根据规划，津市工业园污水处理厂三期主要用于接纳区块二（南部片区）化工产业区内企业废水，该污水处理厂投运后，区块二（南部片区）化工产业区内废水不再送津市高新区工业污水处理厂（一期、二期及扩容）处理，津市高新区工业污水处理厂（一期、二期及扩容）则用于接纳化工片区以外企业废水。</w:t>
      </w:r>
    </w:p>
    <w:p w14:paraId="68B8E7BA">
      <w:pPr>
        <w:spacing w:line="360" w:lineRule="auto"/>
        <w:ind w:firstLine="480" w:firstLineChars="200"/>
        <w:rPr>
          <w:rFonts w:ascii="Times New Roman" w:hAnsi="Times New Roman" w:eastAsia="宋体" w:cs="宋体"/>
          <w:color w:val="auto"/>
          <w:sz w:val="24"/>
          <w:szCs w:val="24"/>
        </w:rPr>
      </w:pPr>
      <w:r>
        <w:rPr>
          <w:rFonts w:hint="eastAsia" w:ascii="Times New Roman" w:hAnsi="Times New Roman" w:eastAsia="宋体" w:cs="宋体"/>
          <w:color w:val="auto"/>
          <w:sz w:val="24"/>
          <w:szCs w:val="24"/>
        </w:rPr>
        <w:t>2、污水排放去向</w:t>
      </w:r>
    </w:p>
    <w:p w14:paraId="189EA65C">
      <w:pPr>
        <w:spacing w:line="360" w:lineRule="auto"/>
        <w:ind w:firstLine="480" w:firstLineChars="200"/>
        <w:rPr>
          <w:rFonts w:ascii="Times New Roman" w:hAnsi="Times New Roman" w:eastAsia="宋体" w:cs="宋体"/>
          <w:color w:val="auto"/>
          <w:sz w:val="24"/>
          <w:szCs w:val="24"/>
        </w:rPr>
      </w:pPr>
      <w:r>
        <w:rPr>
          <w:rFonts w:hint="eastAsia" w:ascii="Times New Roman" w:hAnsi="Times New Roman" w:eastAsia="宋体" w:cs="宋体"/>
          <w:color w:val="auto"/>
          <w:sz w:val="24"/>
          <w:szCs w:val="24"/>
        </w:rPr>
        <w:t>现有园区已开发地块均敷设污水管网，废水得到有效收集。目前，本项目已完成“一企一管”改造。本项目污水经处理后通过“一企一管”接入监测站，监测站前端设取样池，企业污水排入取样池后，由取样池溢流至集水池，然后由集水池内的水泵统一输送至污水主管，最后排入污水处理厂。</w:t>
      </w:r>
    </w:p>
    <w:p w14:paraId="1960DE75">
      <w:pPr>
        <w:spacing w:line="360" w:lineRule="auto"/>
        <w:ind w:firstLine="480" w:firstLineChars="200"/>
        <w:rPr>
          <w:rFonts w:ascii="Times New Roman" w:hAnsi="Times New Roman" w:eastAsia="宋体" w:cs="宋体"/>
          <w:color w:val="auto"/>
          <w:sz w:val="24"/>
          <w:szCs w:val="24"/>
        </w:rPr>
      </w:pPr>
      <w:r>
        <w:rPr>
          <w:rFonts w:hint="eastAsia" w:ascii="Times New Roman" w:hAnsi="Times New Roman" w:eastAsia="宋体" w:cs="宋体"/>
          <w:color w:val="auto"/>
          <w:sz w:val="24"/>
          <w:szCs w:val="24"/>
        </w:rPr>
        <w:t>3、雨水</w:t>
      </w:r>
    </w:p>
    <w:p w14:paraId="3442E979">
      <w:pPr>
        <w:spacing w:line="360" w:lineRule="auto"/>
        <w:ind w:firstLine="480" w:firstLineChars="200"/>
        <w:rPr>
          <w:rFonts w:ascii="Times New Roman" w:hAnsi="Times New Roman" w:eastAsia="宋体" w:cs="宋体"/>
          <w:color w:val="auto"/>
          <w:sz w:val="24"/>
          <w:szCs w:val="24"/>
        </w:rPr>
      </w:pPr>
      <w:r>
        <w:rPr>
          <w:rFonts w:hint="eastAsia" w:ascii="Times New Roman" w:hAnsi="Times New Roman" w:eastAsia="宋体" w:cs="宋体"/>
          <w:color w:val="auto"/>
          <w:sz w:val="24"/>
          <w:szCs w:val="24"/>
        </w:rPr>
        <w:t>（1）区块一（北部片区）</w:t>
      </w:r>
    </w:p>
    <w:p w14:paraId="06039EED">
      <w:pPr>
        <w:spacing w:line="360" w:lineRule="auto"/>
        <w:ind w:firstLine="480" w:firstLineChars="200"/>
        <w:rPr>
          <w:rFonts w:ascii="Times New Roman" w:hAnsi="Times New Roman" w:eastAsia="宋体" w:cs="宋体"/>
          <w:color w:val="auto"/>
          <w:sz w:val="24"/>
          <w:szCs w:val="24"/>
        </w:rPr>
      </w:pPr>
      <w:r>
        <w:rPr>
          <w:rFonts w:hint="eastAsia" w:ascii="Times New Roman" w:hAnsi="Times New Roman" w:eastAsia="宋体" w:cs="宋体"/>
          <w:color w:val="auto"/>
          <w:sz w:val="24"/>
          <w:szCs w:val="24"/>
        </w:rPr>
        <w:t>为现有保留化工工业区，已入园湖南天盛电化有限公司、湖南渔经生物技术有限公司、湖南桂卫环保科技有限公司、湖南天盛新材料科技有限公司和中国华能集团有限公司湖南分公司等5家企业。该片区雨水经管网收集后，就近接入市雨水管网。</w:t>
      </w:r>
    </w:p>
    <w:p w14:paraId="53F4A703">
      <w:pPr>
        <w:spacing w:line="360" w:lineRule="auto"/>
        <w:ind w:firstLine="480" w:firstLineChars="200"/>
        <w:rPr>
          <w:rFonts w:ascii="Times New Roman" w:hAnsi="Times New Roman" w:eastAsia="宋体" w:cs="宋体"/>
          <w:color w:val="auto"/>
          <w:sz w:val="24"/>
          <w:szCs w:val="24"/>
        </w:rPr>
      </w:pPr>
      <w:r>
        <w:rPr>
          <w:rFonts w:hint="eastAsia" w:ascii="Times New Roman" w:hAnsi="Times New Roman" w:eastAsia="宋体" w:cs="宋体"/>
          <w:color w:val="auto"/>
          <w:sz w:val="24"/>
          <w:szCs w:val="24"/>
        </w:rPr>
        <w:t>（2）区块二（南部片区）</w:t>
      </w:r>
    </w:p>
    <w:p w14:paraId="6BB811C7">
      <w:pPr>
        <w:spacing w:line="360" w:lineRule="auto"/>
        <w:ind w:firstLine="480" w:firstLineChars="200"/>
        <w:rPr>
          <w:rFonts w:ascii="Times New Roman" w:hAnsi="Times New Roman" w:eastAsia="宋体" w:cs="宋体"/>
          <w:color w:val="auto"/>
          <w:sz w:val="24"/>
          <w:szCs w:val="24"/>
        </w:rPr>
      </w:pPr>
      <w:r>
        <w:rPr>
          <w:rFonts w:hint="eastAsia" w:ascii="Times New Roman" w:hAnsi="Times New Roman" w:eastAsia="宋体" w:cs="宋体"/>
          <w:color w:val="auto"/>
          <w:sz w:val="24"/>
          <w:szCs w:val="24"/>
        </w:rPr>
        <w:t>雨水管渠设计采用一年一遇暴雨标准，雨水以重力自流为原则，充分利用现有水域、撇洪渠、排渍渠，并对其进行疏通整治；雨水管道沿道路中心布置，渠道沿道路两侧绿化带布置。化工产业区雨水由车堰路、戚家路、新城路收集，经由杉堰路汇至团湖南侧初期雨水池，初期雨水前期通过明管泵送至津市工业污水处理厂集中处理后排入澧水，后期通过明管泵送至津市工业污水处理厂三期集中处理后排入澧水。</w:t>
      </w:r>
    </w:p>
    <w:p w14:paraId="0F8EEA85">
      <w:pPr>
        <w:spacing w:line="360" w:lineRule="auto"/>
        <w:ind w:firstLine="480" w:firstLineChars="200"/>
        <w:rPr>
          <w:rFonts w:ascii="Times New Roman" w:hAnsi="Times New Roman" w:eastAsia="宋体" w:cs="宋体"/>
          <w:color w:val="auto"/>
          <w:sz w:val="24"/>
          <w:szCs w:val="24"/>
        </w:rPr>
      </w:pPr>
      <w:r>
        <w:rPr>
          <w:rFonts w:hint="eastAsia" w:ascii="Times New Roman" w:hAnsi="Times New Roman" w:eastAsia="宋体" w:cs="宋体"/>
          <w:color w:val="auto"/>
          <w:sz w:val="24"/>
          <w:szCs w:val="24"/>
        </w:rPr>
        <w:t>根据园区雨水管网改造方案，拟取消原规划位于胥家湖的YS009和YS012~YS016共六个雨水排口并切断团湖和胥家湖水力联系，杜绝事故废水进入胥家湖（现已经关闭YS014、YS015两个雨水排口）。化工产业区雨水经管道汇集至雨水收集渠，由雨水收集渠送至初期雨收集池（3000</w:t>
      </w:r>
      <w:r>
        <w:rPr>
          <w:rFonts w:hint="eastAsia" w:ascii="Times New Roman" w:hAnsi="Times New Roman" w:eastAsia="宋体" w:cs="宋体"/>
          <w:color w:val="auto"/>
          <w:sz w:val="24"/>
          <w:szCs w:val="24"/>
          <w:lang w:eastAsia="zh-CN"/>
        </w:rPr>
        <w:t>m</w:t>
      </w:r>
      <w:r>
        <w:rPr>
          <w:rFonts w:hint="eastAsia" w:ascii="Times New Roman" w:hAnsi="Times New Roman" w:eastAsia="宋体" w:cs="宋体"/>
          <w:color w:val="auto"/>
          <w:sz w:val="24"/>
          <w:szCs w:val="24"/>
          <w:vertAlign w:val="superscript"/>
          <w:lang w:eastAsia="zh-CN"/>
        </w:rPr>
        <w:t>3</w:t>
      </w:r>
      <w:r>
        <w:rPr>
          <w:rFonts w:hint="eastAsia" w:ascii="Times New Roman" w:hAnsi="Times New Roman" w:eastAsia="宋体" w:cs="宋体"/>
          <w:color w:val="auto"/>
          <w:sz w:val="24"/>
          <w:szCs w:val="24"/>
        </w:rPr>
        <w:t>），初期雨水送污水处理厂处理。初期雨水收集池的液位标高与切换阀门开启连锁，通过设定的液位控制阀门开启或关闭，实现初期雨水与后期洁净雨水分流，洁净雨水经规划的团湖排放口进入团湖。后期雨水排口设置在线监测设施，一旦出现超标，则通过切换阀将超标雨水送至污水管网。</w:t>
      </w:r>
    </w:p>
    <w:p w14:paraId="78C7A117">
      <w:pPr>
        <w:spacing w:line="360" w:lineRule="auto"/>
        <w:ind w:firstLine="480" w:firstLineChars="200"/>
        <w:rPr>
          <w:rFonts w:ascii="Times New Roman" w:hAnsi="Times New Roman" w:eastAsia="宋体" w:cs="宋体"/>
          <w:color w:val="auto"/>
          <w:sz w:val="24"/>
          <w:szCs w:val="24"/>
        </w:rPr>
      </w:pPr>
      <w:r>
        <w:rPr>
          <w:rFonts w:hint="eastAsia" w:ascii="Times New Roman" w:hAnsi="Times New Roman" w:eastAsia="宋体" w:cs="宋体"/>
          <w:color w:val="auto"/>
          <w:sz w:val="24"/>
          <w:szCs w:val="24"/>
        </w:rPr>
        <w:t>根据规划区域雨水排口10个，其中澧水右岸分别有窑坡电排入河口、长山水库入河口、幸福闸电排入河口、嘉山电排入河口、娄星纺织雨水排口等5处已建雨水排口和规划一处雨水排口；团湖已建3个雨水排口和规划1处雨水排口。</w:t>
      </w:r>
    </w:p>
    <w:p w14:paraId="1D7BF913">
      <w:pPr>
        <w:spacing w:line="360" w:lineRule="auto"/>
        <w:ind w:firstLine="480" w:firstLineChars="200"/>
        <w:rPr>
          <w:rFonts w:ascii="Times New Roman" w:hAnsi="Times New Roman" w:eastAsia="宋体" w:cs="宋体"/>
          <w:color w:val="auto"/>
          <w:sz w:val="24"/>
          <w:szCs w:val="24"/>
        </w:rPr>
      </w:pPr>
      <w:r>
        <w:rPr>
          <w:rFonts w:hint="eastAsia" w:ascii="Times New Roman" w:hAnsi="Times New Roman" w:eastAsia="宋体" w:cs="宋体"/>
          <w:color w:val="auto"/>
          <w:sz w:val="24"/>
          <w:szCs w:val="24"/>
        </w:rPr>
        <w:t>本项目</w:t>
      </w:r>
      <w:r>
        <w:rPr>
          <w:rFonts w:hint="eastAsia" w:ascii="Times New Roman" w:hAnsi="Times New Roman" w:eastAsia="宋体" w:cs="Times New Roman"/>
          <w:color w:val="auto"/>
          <w:sz w:val="24"/>
          <w:szCs w:val="24"/>
        </w:rPr>
        <w:t>初期雨水经初期雨水收集池收集后通过园区污水管网排入津市高新区工业污水处理厂，后期雨水进园区雨水管网通过</w:t>
      </w:r>
      <w:r>
        <w:rPr>
          <w:rFonts w:hint="eastAsia" w:ascii="Times New Roman" w:hAnsi="Times New Roman" w:eastAsia="宋体" w:cs="宋体"/>
          <w:color w:val="auto"/>
          <w:sz w:val="24"/>
          <w:szCs w:val="24"/>
        </w:rPr>
        <w:t>幸福闸电排</w:t>
      </w:r>
      <w:r>
        <w:rPr>
          <w:rFonts w:hint="eastAsia" w:ascii="Times New Roman" w:hAnsi="Times New Roman" w:eastAsia="宋体" w:cs="Times New Roman"/>
          <w:color w:val="auto"/>
          <w:sz w:val="24"/>
          <w:szCs w:val="24"/>
        </w:rPr>
        <w:t>入河口排入澧水。</w:t>
      </w:r>
    </w:p>
    <w:p w14:paraId="380F2259">
      <w:pPr>
        <w:keepNext/>
        <w:keepLines/>
        <w:spacing w:before="156" w:beforeLines="50" w:after="156" w:afterLines="50" w:line="360" w:lineRule="auto"/>
        <w:outlineLvl w:val="2"/>
        <w:rPr>
          <w:rFonts w:ascii="Times New Roman" w:hAnsi="Times New Roman" w:eastAsia="宋体" w:cs="Times New Roman"/>
          <w:b/>
          <w:color w:val="auto"/>
          <w:kern w:val="0"/>
          <w:sz w:val="24"/>
          <w:szCs w:val="24"/>
        </w:rPr>
      </w:pPr>
      <w:r>
        <w:rPr>
          <w:rFonts w:hint="eastAsia" w:ascii="Times New Roman" w:hAnsi="Times New Roman" w:eastAsia="宋体" w:cs="Times New Roman"/>
          <w:b/>
          <w:color w:val="auto"/>
          <w:kern w:val="0"/>
          <w:sz w:val="24"/>
          <w:szCs w:val="24"/>
        </w:rPr>
        <w:t>5.3.9</w:t>
      </w:r>
      <w:r>
        <w:rPr>
          <w:rFonts w:ascii="Times New Roman" w:hAnsi="Times New Roman" w:eastAsia="宋体" w:cs="Times New Roman"/>
          <w:b/>
          <w:color w:val="auto"/>
          <w:kern w:val="0"/>
          <w:sz w:val="24"/>
          <w:szCs w:val="24"/>
        </w:rPr>
        <w:t>津市高新区工业污水处理厂概况</w:t>
      </w:r>
    </w:p>
    <w:p w14:paraId="37A57F02">
      <w:pPr>
        <w:spacing w:line="360" w:lineRule="auto"/>
        <w:ind w:firstLine="480" w:firstLineChars="200"/>
        <w:rPr>
          <w:rFonts w:ascii="Times New Roman" w:hAnsi="Times New Roman" w:eastAsia="宋体" w:cs="宋体"/>
          <w:color w:val="auto"/>
          <w:sz w:val="24"/>
          <w:szCs w:val="24"/>
        </w:rPr>
      </w:pPr>
      <w:r>
        <w:rPr>
          <w:rFonts w:hint="eastAsia" w:ascii="Times New Roman" w:hAnsi="Times New Roman" w:eastAsia="宋体" w:cs="宋体"/>
          <w:color w:val="auto"/>
          <w:sz w:val="24"/>
          <w:szCs w:val="24"/>
        </w:rPr>
        <w:t>1、污水处理厂概况</w:t>
      </w:r>
    </w:p>
    <w:p w14:paraId="63063EED">
      <w:pPr>
        <w:spacing w:line="360" w:lineRule="auto"/>
        <w:ind w:firstLine="480" w:firstLineChars="200"/>
        <w:rPr>
          <w:rFonts w:ascii="Times New Roman" w:hAnsi="Times New Roman" w:eastAsia="宋体" w:cs="宋体"/>
          <w:color w:val="auto"/>
          <w:sz w:val="24"/>
          <w:szCs w:val="24"/>
        </w:rPr>
      </w:pPr>
      <w:r>
        <w:rPr>
          <w:rFonts w:hint="eastAsia" w:ascii="Times New Roman" w:hAnsi="Times New Roman" w:eastAsia="宋体" w:cs="宋体"/>
          <w:color w:val="auto"/>
          <w:sz w:val="24"/>
          <w:szCs w:val="24"/>
        </w:rPr>
        <w:t>津市高新区工业污水处理厂一期于2016年5月24日获得环评批复（常环建[2016]94号），建设规模为0.5万</w:t>
      </w:r>
      <w:r>
        <w:rPr>
          <w:rFonts w:hint="eastAsia" w:ascii="Times New Roman" w:hAnsi="Times New Roman" w:eastAsia="宋体" w:cs="宋体"/>
          <w:color w:val="auto"/>
          <w:sz w:val="24"/>
          <w:szCs w:val="24"/>
          <w:lang w:eastAsia="zh-CN"/>
        </w:rPr>
        <w:t>m</w:t>
      </w:r>
      <w:r>
        <w:rPr>
          <w:rFonts w:hint="eastAsia" w:ascii="Times New Roman" w:hAnsi="Times New Roman" w:eastAsia="宋体" w:cs="宋体"/>
          <w:color w:val="auto"/>
          <w:sz w:val="24"/>
          <w:szCs w:val="24"/>
          <w:vertAlign w:val="superscript"/>
          <w:lang w:eastAsia="zh-CN"/>
        </w:rPr>
        <w:t>3</w:t>
      </w:r>
      <w:r>
        <w:rPr>
          <w:rFonts w:hint="eastAsia" w:ascii="Times New Roman" w:hAnsi="Times New Roman" w:eastAsia="宋体" w:cs="宋体"/>
          <w:color w:val="auto"/>
          <w:sz w:val="24"/>
          <w:szCs w:val="24"/>
        </w:rPr>
        <w:t>/d，出水经1根230m地埋排污专管穿越澧水大堤后排放至排污明渠，再经排污明渠约250m后排入澧水，出水执行《城镇污水处理厂污染物排放标准》（GB18918-2002）中一级A标准。该工程于2017年12月建成投入试运行，2019年1月完成竣工环境保护验收（常德环验字【2019】第04号），2019年1月完成突发环境事件应急预案备案，2019年8月取得排污许可：hb430700500000004L001V。</w:t>
      </w:r>
    </w:p>
    <w:p w14:paraId="01A8E3B7">
      <w:pPr>
        <w:spacing w:line="360" w:lineRule="auto"/>
        <w:ind w:firstLine="480" w:firstLineChars="200"/>
        <w:rPr>
          <w:rFonts w:ascii="Times New Roman" w:hAnsi="Times New Roman" w:eastAsia="宋体" w:cs="宋体"/>
          <w:color w:val="auto"/>
          <w:sz w:val="24"/>
          <w:szCs w:val="24"/>
        </w:rPr>
      </w:pPr>
      <w:r>
        <w:rPr>
          <w:rFonts w:hint="eastAsia" w:ascii="Times New Roman" w:hAnsi="Times New Roman" w:eastAsia="宋体" w:cs="宋体"/>
          <w:color w:val="auto"/>
          <w:sz w:val="24"/>
          <w:szCs w:val="24"/>
        </w:rPr>
        <w:t>津市高新区工业污水处理厂二期工程于2020年8月18日获得批复（常环建(8)〔2020〕13号），扩建规模1万</w:t>
      </w:r>
      <w:r>
        <w:rPr>
          <w:rFonts w:hint="eastAsia" w:ascii="Times New Roman" w:hAnsi="Times New Roman" w:eastAsia="宋体" w:cs="宋体"/>
          <w:color w:val="auto"/>
          <w:sz w:val="24"/>
          <w:szCs w:val="24"/>
          <w:lang w:eastAsia="zh-CN"/>
        </w:rPr>
        <w:t>m</w:t>
      </w:r>
      <w:r>
        <w:rPr>
          <w:rFonts w:hint="eastAsia" w:ascii="Times New Roman" w:hAnsi="Times New Roman" w:eastAsia="宋体" w:cs="宋体"/>
          <w:color w:val="auto"/>
          <w:sz w:val="24"/>
          <w:szCs w:val="24"/>
          <w:vertAlign w:val="superscript"/>
          <w:lang w:eastAsia="zh-CN"/>
        </w:rPr>
        <w:t>3</w:t>
      </w:r>
      <w:r>
        <w:rPr>
          <w:rFonts w:hint="eastAsia" w:ascii="Times New Roman" w:hAnsi="Times New Roman" w:eastAsia="宋体" w:cs="宋体"/>
          <w:color w:val="auto"/>
          <w:sz w:val="24"/>
          <w:szCs w:val="24"/>
        </w:rPr>
        <w:t>/d（土建规模1.5</w:t>
      </w:r>
      <w:r>
        <w:rPr>
          <w:rFonts w:hint="eastAsia" w:ascii="Times New Roman" w:hAnsi="Times New Roman" w:eastAsia="宋体" w:cs="宋体"/>
          <w:color w:val="auto"/>
          <w:sz w:val="24"/>
          <w:szCs w:val="24"/>
          <w:lang w:eastAsia="zh-CN"/>
        </w:rPr>
        <w:t>m</w:t>
      </w:r>
      <w:r>
        <w:rPr>
          <w:rFonts w:hint="eastAsia" w:ascii="Times New Roman" w:hAnsi="Times New Roman" w:eastAsia="宋体" w:cs="宋体"/>
          <w:color w:val="auto"/>
          <w:sz w:val="24"/>
          <w:szCs w:val="24"/>
          <w:vertAlign w:val="superscript"/>
          <w:lang w:eastAsia="zh-CN"/>
        </w:rPr>
        <w:t>3</w:t>
      </w:r>
      <w:r>
        <w:rPr>
          <w:rFonts w:hint="eastAsia" w:ascii="Times New Roman" w:hAnsi="Times New Roman" w:eastAsia="宋体" w:cs="宋体"/>
          <w:color w:val="auto"/>
          <w:sz w:val="24"/>
          <w:szCs w:val="24"/>
        </w:rPr>
        <w:t>/d，预留0.5万</w:t>
      </w:r>
      <w:r>
        <w:rPr>
          <w:rFonts w:hint="eastAsia" w:ascii="Times New Roman" w:hAnsi="Times New Roman" w:eastAsia="宋体" w:cs="宋体"/>
          <w:color w:val="auto"/>
          <w:sz w:val="24"/>
          <w:szCs w:val="24"/>
          <w:lang w:eastAsia="zh-CN"/>
        </w:rPr>
        <w:t>m</w:t>
      </w:r>
      <w:r>
        <w:rPr>
          <w:rFonts w:hint="eastAsia" w:ascii="Times New Roman" w:hAnsi="Times New Roman" w:eastAsia="宋体" w:cs="宋体"/>
          <w:color w:val="auto"/>
          <w:sz w:val="24"/>
          <w:szCs w:val="24"/>
          <w:vertAlign w:val="superscript"/>
          <w:lang w:eastAsia="zh-CN"/>
        </w:rPr>
        <w:t>3</w:t>
      </w:r>
      <w:r>
        <w:rPr>
          <w:rFonts w:hint="eastAsia" w:ascii="Times New Roman" w:hAnsi="Times New Roman" w:eastAsia="宋体" w:cs="宋体"/>
          <w:color w:val="auto"/>
          <w:sz w:val="24"/>
          <w:szCs w:val="24"/>
        </w:rPr>
        <w:t>/d空间），同时对现有0.5万</w:t>
      </w:r>
      <w:r>
        <w:rPr>
          <w:rFonts w:hint="eastAsia" w:ascii="Times New Roman" w:hAnsi="Times New Roman" w:eastAsia="宋体" w:cs="宋体"/>
          <w:color w:val="auto"/>
          <w:sz w:val="24"/>
          <w:szCs w:val="24"/>
          <w:lang w:eastAsia="zh-CN"/>
        </w:rPr>
        <w:t>m</w:t>
      </w:r>
      <w:r>
        <w:rPr>
          <w:rFonts w:hint="eastAsia" w:ascii="Times New Roman" w:hAnsi="Times New Roman" w:eastAsia="宋体" w:cs="宋体"/>
          <w:color w:val="auto"/>
          <w:sz w:val="24"/>
          <w:szCs w:val="24"/>
          <w:vertAlign w:val="superscript"/>
          <w:lang w:eastAsia="zh-CN"/>
        </w:rPr>
        <w:t>3</w:t>
      </w:r>
      <w:r>
        <w:rPr>
          <w:rFonts w:hint="eastAsia" w:ascii="Times New Roman" w:hAnsi="Times New Roman" w:eastAsia="宋体" w:cs="宋体"/>
          <w:color w:val="auto"/>
          <w:sz w:val="24"/>
          <w:szCs w:val="24"/>
        </w:rPr>
        <w:t>/d污水处理设施进行改造并增设7400</w:t>
      </w:r>
      <w:r>
        <w:rPr>
          <w:rFonts w:hint="eastAsia" w:ascii="Times New Roman" w:hAnsi="Times New Roman" w:eastAsia="宋体" w:cs="宋体"/>
          <w:color w:val="auto"/>
          <w:sz w:val="24"/>
          <w:szCs w:val="24"/>
          <w:lang w:eastAsia="zh-CN"/>
        </w:rPr>
        <w:t>m</w:t>
      </w:r>
      <w:r>
        <w:rPr>
          <w:rFonts w:hint="eastAsia" w:ascii="Times New Roman" w:hAnsi="Times New Roman" w:eastAsia="宋体" w:cs="宋体"/>
          <w:color w:val="auto"/>
          <w:sz w:val="24"/>
          <w:szCs w:val="24"/>
          <w:vertAlign w:val="superscript"/>
          <w:lang w:eastAsia="zh-CN"/>
        </w:rPr>
        <w:t>3</w:t>
      </w:r>
      <w:r>
        <w:rPr>
          <w:rFonts w:hint="eastAsia" w:ascii="Times New Roman" w:hAnsi="Times New Roman" w:eastAsia="宋体" w:cs="宋体"/>
          <w:color w:val="auto"/>
          <w:sz w:val="24"/>
          <w:szCs w:val="24"/>
        </w:rPr>
        <w:t>的事故池，建成后总处理规模为1.5万</w:t>
      </w:r>
      <w:r>
        <w:rPr>
          <w:rFonts w:hint="eastAsia" w:ascii="Times New Roman" w:hAnsi="Times New Roman" w:eastAsia="宋体" w:cs="宋体"/>
          <w:color w:val="auto"/>
          <w:sz w:val="24"/>
          <w:szCs w:val="24"/>
          <w:lang w:eastAsia="zh-CN"/>
        </w:rPr>
        <w:t>m</w:t>
      </w:r>
      <w:r>
        <w:rPr>
          <w:rFonts w:hint="eastAsia" w:ascii="Times New Roman" w:hAnsi="Times New Roman" w:eastAsia="宋体" w:cs="宋体"/>
          <w:color w:val="auto"/>
          <w:sz w:val="24"/>
          <w:szCs w:val="24"/>
          <w:vertAlign w:val="superscript"/>
          <w:lang w:eastAsia="zh-CN"/>
        </w:rPr>
        <w:t>3</w:t>
      </w:r>
      <w:r>
        <w:rPr>
          <w:rFonts w:hint="eastAsia" w:ascii="Times New Roman" w:hAnsi="Times New Roman" w:eastAsia="宋体" w:cs="宋体"/>
          <w:color w:val="auto"/>
          <w:sz w:val="24"/>
          <w:szCs w:val="24"/>
        </w:rPr>
        <w:t>/d。二期扩建工程完成后该污水处理厂采用“格栅及沉砂池＋事故池+缓冲均化初沉池+水解酸化池＋A2/O生化池＋二沉池+高效沉淀池+臭氧催化氧化接触池+曝气生物滤池（BAF）+滤布滤池＋次氯酸钠消毒”的主体处理工艺，出水执行《城镇污水处理厂污染物排放标准》（GB18918-2002）中的一级A标准。污泥处理采用“高压隔膜板框压滤机”工艺，脱水处理至含水率为50%。根据江苏微谱检测技术有限公司2019年10月16日-11月15日针对厂区内污泥的检测报告，鉴定结果厂区内的污泥不属于危险废物，结合环保部门相关要求，污泥在厂区内进行脱水后送至建筑材料公司综合利用。</w:t>
      </w:r>
    </w:p>
    <w:p w14:paraId="4734A03F">
      <w:pPr>
        <w:spacing w:line="360" w:lineRule="auto"/>
        <w:ind w:firstLine="480" w:firstLineChars="200"/>
        <w:rPr>
          <w:rFonts w:ascii="Times New Roman" w:hAnsi="Times New Roman" w:eastAsia="宋体" w:cs="宋体"/>
          <w:color w:val="auto"/>
          <w:sz w:val="24"/>
          <w:szCs w:val="24"/>
        </w:rPr>
      </w:pPr>
      <w:r>
        <w:rPr>
          <w:rFonts w:hint="eastAsia" w:ascii="Times New Roman" w:hAnsi="Times New Roman" w:eastAsia="宋体" w:cs="宋体"/>
          <w:color w:val="auto"/>
          <w:sz w:val="24"/>
          <w:szCs w:val="24"/>
        </w:rPr>
        <w:t>二期工程于2020年6月开工建设，2021年3月建设完成，2022年11月完成自主验收。在二期工程建设过程中，将津市高新区工业污水处理厂出厂排污口改道，尾水经1根230m地埋排污专管（DN500mm）穿越澧水大堤后排放至排污明渠，再经排污明渠约250m后排入澧水。</w:t>
      </w:r>
    </w:p>
    <w:p w14:paraId="48F476A4">
      <w:pPr>
        <w:spacing w:line="360" w:lineRule="auto"/>
        <w:ind w:firstLine="480" w:firstLineChars="200"/>
        <w:rPr>
          <w:rFonts w:ascii="Times New Roman" w:hAnsi="Times New Roman" w:eastAsia="宋体" w:cs="宋体"/>
          <w:color w:val="auto"/>
          <w:sz w:val="24"/>
          <w:szCs w:val="24"/>
        </w:rPr>
      </w:pPr>
      <w:r>
        <w:rPr>
          <w:rFonts w:hint="eastAsia" w:ascii="Times New Roman" w:hAnsi="Times New Roman" w:eastAsia="宋体" w:cs="宋体"/>
          <w:color w:val="auto"/>
          <w:sz w:val="24"/>
          <w:szCs w:val="24"/>
        </w:rPr>
        <w:t>工业污水处理厂（三期）投运前，接纳高新区南部片区窑坡大道以南废水；工业污水处理厂（三期）投运后，接纳南部片区窑坡大道以南非化工产业区企业废水+园区内居民区废水+化工产业区初期雨水，不接纳化工产业区企业废水（“引航+鸿健”除外）。</w:t>
      </w:r>
    </w:p>
    <w:p w14:paraId="65784A24">
      <w:pPr>
        <w:spacing w:line="360" w:lineRule="auto"/>
        <w:ind w:firstLine="480" w:firstLineChars="200"/>
        <w:rPr>
          <w:rFonts w:ascii="Times New Roman" w:hAnsi="Times New Roman" w:eastAsia="宋体" w:cs="宋体"/>
          <w:color w:val="auto"/>
          <w:sz w:val="24"/>
          <w:szCs w:val="24"/>
        </w:rPr>
      </w:pPr>
      <w:r>
        <w:rPr>
          <w:rFonts w:hint="eastAsia" w:ascii="Times New Roman" w:hAnsi="Times New Roman" w:eastAsia="宋体" w:cs="宋体"/>
          <w:color w:val="auto"/>
          <w:sz w:val="24"/>
          <w:szCs w:val="24"/>
        </w:rPr>
        <w:t>本项目污水排入津市高新区工业污水处理厂二期工程，津市高新区污水处理厂2021年全年现状进水量高值约为1.373万m³/d，日平均为0.89万m³/d，2022年1~10月现状进水量高值约为1.39万m³/d，日平均为1.0万m³/d。对比现状排水，本项目排入津市高新区污水处理厂的增加废水量约为92.36m³/d，津市高新区污水处理厂津尚有足够余量处理本项目废水。</w:t>
      </w:r>
    </w:p>
    <w:p w14:paraId="52C13BBE">
      <w:pPr>
        <w:spacing w:line="360" w:lineRule="auto"/>
        <w:ind w:firstLine="480" w:firstLineChars="200"/>
        <w:rPr>
          <w:rFonts w:ascii="Times New Roman" w:hAnsi="Times New Roman" w:eastAsia="宋体" w:cs="宋体"/>
          <w:color w:val="auto"/>
          <w:sz w:val="24"/>
          <w:szCs w:val="24"/>
        </w:rPr>
      </w:pPr>
      <w:r>
        <w:rPr>
          <w:rFonts w:hint="eastAsia" w:ascii="Times New Roman" w:hAnsi="Times New Roman" w:eastAsia="宋体" w:cs="宋体"/>
          <w:color w:val="auto"/>
          <w:sz w:val="24"/>
          <w:szCs w:val="24"/>
        </w:rPr>
        <w:t>2、污水厂进水、出水水质及处理工艺</w:t>
      </w:r>
    </w:p>
    <w:p w14:paraId="5A1DBABE">
      <w:pPr>
        <w:spacing w:line="360" w:lineRule="auto"/>
        <w:ind w:firstLine="480" w:firstLineChars="200"/>
        <w:rPr>
          <w:rFonts w:ascii="Times New Roman" w:hAnsi="Times New Roman" w:eastAsia="宋体" w:cs="宋体"/>
          <w:color w:val="auto"/>
          <w:sz w:val="24"/>
          <w:szCs w:val="24"/>
        </w:rPr>
      </w:pPr>
      <w:r>
        <w:rPr>
          <w:rFonts w:hint="eastAsia" w:ascii="Times New Roman" w:hAnsi="Times New Roman" w:eastAsia="宋体" w:cs="宋体"/>
          <w:color w:val="auto"/>
          <w:sz w:val="24"/>
          <w:szCs w:val="24"/>
        </w:rPr>
        <w:t>（1）进水、出水水质</w:t>
      </w:r>
    </w:p>
    <w:p w14:paraId="4191F93E">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津市市高新区工业污水处理厂设计进出水水质详见表5.3-2。</w:t>
      </w:r>
    </w:p>
    <w:p w14:paraId="1813A0C8">
      <w:pPr>
        <w:pStyle w:val="6"/>
        <w:bidi w:val="0"/>
      </w:pPr>
      <w:r>
        <w:rPr>
          <w:rFonts w:hint="eastAsia"/>
        </w:rPr>
        <w:t>表5.3</w:t>
      </w:r>
      <w:r>
        <w:rPr>
          <w:rFonts w:hint="eastAsia"/>
          <w:lang w:val="en-US" w:eastAsia="zh-CN"/>
        </w:rPr>
        <w:t>.9</w:t>
      </w:r>
      <w:r>
        <w:rPr>
          <w:rFonts w:hint="eastAsia"/>
        </w:rPr>
        <w:t>-</w:t>
      </w:r>
      <w:r>
        <w:rPr>
          <w:rFonts w:hint="eastAsia"/>
          <w:lang w:val="en-US" w:eastAsia="zh-CN"/>
        </w:rPr>
        <w:t>1</w:t>
      </w:r>
      <w:r>
        <w:rPr>
          <w:rFonts w:hint="eastAsia"/>
        </w:rPr>
        <w:t xml:space="preserve">    设计进出水水质</w:t>
      </w:r>
    </w:p>
    <w:tbl>
      <w:tblPr>
        <w:tblStyle w:val="4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83"/>
        <w:gridCol w:w="1024"/>
        <w:gridCol w:w="1024"/>
        <w:gridCol w:w="1009"/>
        <w:gridCol w:w="1087"/>
        <w:gridCol w:w="1087"/>
        <w:gridCol w:w="855"/>
        <w:gridCol w:w="853"/>
      </w:tblGrid>
      <w:tr w14:paraId="427E8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29" w:type="pct"/>
            <w:vAlign w:val="center"/>
          </w:tcPr>
          <w:p w14:paraId="440BE9A7">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水质标准</w:t>
            </w:r>
          </w:p>
        </w:tc>
        <w:tc>
          <w:tcPr>
            <w:tcW w:w="601" w:type="pct"/>
            <w:vAlign w:val="center"/>
          </w:tcPr>
          <w:p w14:paraId="180F9312">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COD</w:t>
            </w:r>
          </w:p>
        </w:tc>
        <w:tc>
          <w:tcPr>
            <w:tcW w:w="601" w:type="pct"/>
            <w:vAlign w:val="center"/>
          </w:tcPr>
          <w:p w14:paraId="2889E67E">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BOD</w:t>
            </w:r>
            <w:r>
              <w:rPr>
                <w:rFonts w:hint="eastAsia" w:ascii="Times New Roman" w:hAnsi="Times New Roman" w:eastAsia="宋体" w:cs="Times New Roman"/>
                <w:color w:val="auto"/>
                <w:sz w:val="22"/>
                <w:szCs w:val="24"/>
                <w:vertAlign w:val="subscript"/>
              </w:rPr>
              <w:t>5</w:t>
            </w:r>
          </w:p>
        </w:tc>
        <w:tc>
          <w:tcPr>
            <w:tcW w:w="592" w:type="pct"/>
            <w:vAlign w:val="center"/>
          </w:tcPr>
          <w:p w14:paraId="4D5C3827">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SS</w:t>
            </w:r>
          </w:p>
        </w:tc>
        <w:tc>
          <w:tcPr>
            <w:tcW w:w="638" w:type="pct"/>
            <w:vAlign w:val="center"/>
          </w:tcPr>
          <w:p w14:paraId="65E31BD7">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TN</w:t>
            </w:r>
          </w:p>
        </w:tc>
        <w:tc>
          <w:tcPr>
            <w:tcW w:w="638" w:type="pct"/>
            <w:vAlign w:val="center"/>
          </w:tcPr>
          <w:p w14:paraId="54AFE19E">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NH3-N</w:t>
            </w:r>
          </w:p>
        </w:tc>
        <w:tc>
          <w:tcPr>
            <w:tcW w:w="501" w:type="pct"/>
            <w:vAlign w:val="center"/>
          </w:tcPr>
          <w:p w14:paraId="7A6F546B">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TP</w:t>
            </w:r>
          </w:p>
        </w:tc>
        <w:tc>
          <w:tcPr>
            <w:tcW w:w="501" w:type="pct"/>
            <w:vAlign w:val="center"/>
          </w:tcPr>
          <w:p w14:paraId="1C068DE6">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色度</w:t>
            </w:r>
          </w:p>
        </w:tc>
      </w:tr>
      <w:tr w14:paraId="690EF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29" w:type="pct"/>
            <w:vAlign w:val="center"/>
          </w:tcPr>
          <w:p w14:paraId="0A59A456">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设计进水水质</w:t>
            </w:r>
          </w:p>
        </w:tc>
        <w:tc>
          <w:tcPr>
            <w:tcW w:w="601" w:type="pct"/>
            <w:vAlign w:val="center"/>
          </w:tcPr>
          <w:p w14:paraId="2C021AFC">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≤450</w:t>
            </w:r>
          </w:p>
        </w:tc>
        <w:tc>
          <w:tcPr>
            <w:tcW w:w="601" w:type="pct"/>
            <w:vAlign w:val="center"/>
          </w:tcPr>
          <w:p w14:paraId="67D201AC">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rPr>
              <w:t>≤</w:t>
            </w:r>
            <w:r>
              <w:rPr>
                <w:rFonts w:hint="eastAsia" w:ascii="Times New Roman" w:hAnsi="Times New Roman" w:eastAsia="宋体" w:cs="Times New Roman"/>
                <w:color w:val="auto"/>
                <w:sz w:val="22"/>
                <w:szCs w:val="24"/>
                <w:lang w:val="en-US" w:eastAsia="zh-CN"/>
              </w:rPr>
              <w:t>250</w:t>
            </w:r>
          </w:p>
        </w:tc>
        <w:tc>
          <w:tcPr>
            <w:tcW w:w="592" w:type="pct"/>
            <w:vAlign w:val="center"/>
          </w:tcPr>
          <w:p w14:paraId="7E97124D">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≤300</w:t>
            </w:r>
          </w:p>
        </w:tc>
        <w:tc>
          <w:tcPr>
            <w:tcW w:w="638" w:type="pct"/>
            <w:vAlign w:val="center"/>
          </w:tcPr>
          <w:p w14:paraId="04A6069E">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≤45</w:t>
            </w:r>
          </w:p>
        </w:tc>
        <w:tc>
          <w:tcPr>
            <w:tcW w:w="638" w:type="pct"/>
            <w:vAlign w:val="center"/>
          </w:tcPr>
          <w:p w14:paraId="70588B93">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≤35</w:t>
            </w:r>
          </w:p>
        </w:tc>
        <w:tc>
          <w:tcPr>
            <w:tcW w:w="501" w:type="pct"/>
            <w:vAlign w:val="center"/>
          </w:tcPr>
          <w:p w14:paraId="0FEF7EBE">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≤5</w:t>
            </w:r>
          </w:p>
        </w:tc>
        <w:tc>
          <w:tcPr>
            <w:tcW w:w="501" w:type="pct"/>
            <w:vAlign w:val="center"/>
          </w:tcPr>
          <w:p w14:paraId="71DDE7B5">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64</w:t>
            </w:r>
          </w:p>
        </w:tc>
      </w:tr>
      <w:tr w14:paraId="1C42B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29" w:type="pct"/>
            <w:vAlign w:val="center"/>
          </w:tcPr>
          <w:p w14:paraId="7F04E344">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设计出水水质</w:t>
            </w:r>
          </w:p>
        </w:tc>
        <w:tc>
          <w:tcPr>
            <w:tcW w:w="601" w:type="pct"/>
            <w:vAlign w:val="center"/>
          </w:tcPr>
          <w:p w14:paraId="798F9AA4">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≤50</w:t>
            </w:r>
          </w:p>
        </w:tc>
        <w:tc>
          <w:tcPr>
            <w:tcW w:w="601" w:type="pct"/>
            <w:vAlign w:val="center"/>
          </w:tcPr>
          <w:p w14:paraId="152C77FF">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≤10</w:t>
            </w:r>
          </w:p>
        </w:tc>
        <w:tc>
          <w:tcPr>
            <w:tcW w:w="592" w:type="pct"/>
            <w:vAlign w:val="center"/>
          </w:tcPr>
          <w:p w14:paraId="66043332">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≤10</w:t>
            </w:r>
          </w:p>
        </w:tc>
        <w:tc>
          <w:tcPr>
            <w:tcW w:w="638" w:type="pct"/>
            <w:vAlign w:val="center"/>
          </w:tcPr>
          <w:p w14:paraId="4A2D02E5">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≤15</w:t>
            </w:r>
          </w:p>
        </w:tc>
        <w:tc>
          <w:tcPr>
            <w:tcW w:w="638" w:type="pct"/>
            <w:vAlign w:val="center"/>
          </w:tcPr>
          <w:p w14:paraId="3BD4DD17">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≤5（8）</w:t>
            </w:r>
          </w:p>
        </w:tc>
        <w:tc>
          <w:tcPr>
            <w:tcW w:w="501" w:type="pct"/>
            <w:vAlign w:val="center"/>
          </w:tcPr>
          <w:p w14:paraId="70328349">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≤0.5</w:t>
            </w:r>
          </w:p>
        </w:tc>
        <w:tc>
          <w:tcPr>
            <w:tcW w:w="501" w:type="pct"/>
            <w:vAlign w:val="center"/>
          </w:tcPr>
          <w:p w14:paraId="5CE36FBE">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30</w:t>
            </w:r>
          </w:p>
        </w:tc>
      </w:tr>
      <w:tr w14:paraId="56958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29" w:type="pct"/>
            <w:vAlign w:val="center"/>
          </w:tcPr>
          <w:p w14:paraId="47B334FC">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去除率(%)</w:t>
            </w:r>
          </w:p>
        </w:tc>
        <w:tc>
          <w:tcPr>
            <w:tcW w:w="601" w:type="pct"/>
            <w:vAlign w:val="center"/>
          </w:tcPr>
          <w:p w14:paraId="41049338">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≥88.9</w:t>
            </w:r>
          </w:p>
        </w:tc>
        <w:tc>
          <w:tcPr>
            <w:tcW w:w="601" w:type="pct"/>
            <w:vAlign w:val="center"/>
          </w:tcPr>
          <w:p w14:paraId="6790A5DB">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rPr>
              <w:t>≥</w:t>
            </w:r>
            <w:r>
              <w:rPr>
                <w:rFonts w:hint="eastAsia" w:ascii="Times New Roman" w:hAnsi="Times New Roman" w:eastAsia="宋体" w:cs="Times New Roman"/>
                <w:color w:val="auto"/>
                <w:sz w:val="22"/>
                <w:szCs w:val="24"/>
                <w:lang w:val="en-US" w:eastAsia="zh-CN"/>
              </w:rPr>
              <w:t>96</w:t>
            </w:r>
          </w:p>
        </w:tc>
        <w:tc>
          <w:tcPr>
            <w:tcW w:w="592" w:type="pct"/>
            <w:vAlign w:val="center"/>
          </w:tcPr>
          <w:p w14:paraId="3337AC95">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≥96.7</w:t>
            </w:r>
          </w:p>
        </w:tc>
        <w:tc>
          <w:tcPr>
            <w:tcW w:w="638" w:type="pct"/>
            <w:vAlign w:val="center"/>
          </w:tcPr>
          <w:p w14:paraId="79E4AACA">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≥66.7</w:t>
            </w:r>
          </w:p>
        </w:tc>
        <w:tc>
          <w:tcPr>
            <w:tcW w:w="638" w:type="pct"/>
            <w:vAlign w:val="center"/>
          </w:tcPr>
          <w:p w14:paraId="5478FF58">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≥85.7</w:t>
            </w:r>
          </w:p>
        </w:tc>
        <w:tc>
          <w:tcPr>
            <w:tcW w:w="501" w:type="pct"/>
            <w:vAlign w:val="center"/>
          </w:tcPr>
          <w:p w14:paraId="40E8A577">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≥90.0</w:t>
            </w:r>
          </w:p>
        </w:tc>
        <w:tc>
          <w:tcPr>
            <w:tcW w:w="501" w:type="pct"/>
            <w:vAlign w:val="center"/>
          </w:tcPr>
          <w:p w14:paraId="38209F8C">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r>
    </w:tbl>
    <w:p w14:paraId="41209FC6">
      <w:pPr>
        <w:spacing w:line="360" w:lineRule="auto"/>
        <w:ind w:firstLine="480" w:firstLineChars="200"/>
        <w:rPr>
          <w:rFonts w:ascii="Times New Roman" w:hAnsi="Times New Roman" w:eastAsia="宋体" w:cs="宋体"/>
          <w:color w:val="auto"/>
          <w:sz w:val="24"/>
          <w:szCs w:val="24"/>
        </w:rPr>
      </w:pPr>
    </w:p>
    <w:p w14:paraId="1B9E3A89">
      <w:pPr>
        <w:spacing w:line="360" w:lineRule="auto"/>
        <w:ind w:firstLine="480" w:firstLineChars="200"/>
        <w:rPr>
          <w:rFonts w:ascii="Times New Roman" w:hAnsi="Times New Roman" w:eastAsia="宋体" w:cs="宋体"/>
          <w:color w:val="auto"/>
          <w:sz w:val="24"/>
          <w:szCs w:val="24"/>
        </w:rPr>
      </w:pPr>
      <w:r>
        <w:rPr>
          <w:rFonts w:hint="eastAsia" w:ascii="Times New Roman" w:hAnsi="Times New Roman" w:eastAsia="宋体" w:cs="宋体"/>
          <w:color w:val="auto"/>
          <w:sz w:val="24"/>
          <w:szCs w:val="24"/>
        </w:rPr>
        <w:t>（2）污水处理工艺</w:t>
      </w:r>
    </w:p>
    <w:p w14:paraId="203857D0">
      <w:pPr>
        <w:spacing w:line="360" w:lineRule="auto"/>
        <w:ind w:firstLine="480" w:firstLineChars="200"/>
        <w:rPr>
          <w:rFonts w:ascii="Times New Roman" w:hAnsi="Times New Roman" w:eastAsia="宋体" w:cs="宋体"/>
          <w:color w:val="auto"/>
          <w:sz w:val="24"/>
          <w:szCs w:val="24"/>
        </w:rPr>
      </w:pPr>
      <w:r>
        <w:rPr>
          <w:rFonts w:hint="eastAsia" w:ascii="Times New Roman" w:hAnsi="Times New Roman" w:eastAsia="宋体" w:cs="宋体"/>
          <w:color w:val="auto"/>
          <w:sz w:val="24"/>
          <w:szCs w:val="24"/>
        </w:rPr>
        <w:t>津市市高新区工业污水处理厂具体工艺流程见下图：</w:t>
      </w:r>
    </w:p>
    <w:p w14:paraId="2C8D8953">
      <w:pPr>
        <w:snapToGrid w:val="0"/>
        <w:spacing w:before="312" w:beforeLines="100"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drawing>
          <wp:inline distT="0" distB="0" distL="0" distR="0">
            <wp:extent cx="5274310" cy="3933825"/>
            <wp:effectExtent l="0" t="0" r="2540" b="9525"/>
            <wp:docPr id="11122928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29284" name="图片 13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5274310" cy="3933825"/>
                    </a:xfrm>
                    <a:prstGeom prst="rect">
                      <a:avLst/>
                    </a:prstGeom>
                    <a:noFill/>
                    <a:ln>
                      <a:noFill/>
                    </a:ln>
                  </pic:spPr>
                </pic:pic>
              </a:graphicData>
            </a:graphic>
          </wp:inline>
        </w:drawing>
      </w:r>
    </w:p>
    <w:p w14:paraId="4CDA08EC">
      <w:pPr>
        <w:pStyle w:val="6"/>
        <w:bidi w:val="0"/>
      </w:pPr>
      <w:r>
        <w:rPr>
          <w:rFonts w:hint="eastAsia"/>
        </w:rPr>
        <w:t>图5.3</w:t>
      </w:r>
      <w:r>
        <w:rPr>
          <w:rFonts w:hint="eastAsia"/>
          <w:lang w:val="en-US" w:eastAsia="zh-CN"/>
        </w:rPr>
        <w:t>.9</w:t>
      </w:r>
      <w:r>
        <w:rPr>
          <w:rFonts w:hint="eastAsia"/>
        </w:rPr>
        <w:t>-1    津市高新区工业污水处理厂处理工艺图</w:t>
      </w:r>
    </w:p>
    <w:p w14:paraId="6395226B">
      <w:pPr>
        <w:pStyle w:val="4"/>
        <w:bidi w:val="0"/>
        <w:spacing w:before="0" w:after="0" w:line="240" w:lineRule="auto"/>
      </w:pPr>
      <w:r>
        <w:rPr>
          <w:rFonts w:hint="eastAsia"/>
        </w:rPr>
        <w:t>5.3.10</w:t>
      </w:r>
      <w:r>
        <w:t>固废处置</w:t>
      </w:r>
    </w:p>
    <w:p w14:paraId="6B565728">
      <w:pPr>
        <w:spacing w:line="360" w:lineRule="auto"/>
        <w:ind w:firstLine="480" w:firstLineChars="200"/>
        <w:rPr>
          <w:rFonts w:ascii="Times New Roman" w:hAnsi="Times New Roman" w:eastAsia="宋体" w:cs="宋体"/>
          <w:color w:val="auto"/>
          <w:sz w:val="24"/>
          <w:szCs w:val="24"/>
        </w:rPr>
      </w:pPr>
      <w:r>
        <w:rPr>
          <w:rFonts w:hint="eastAsia" w:ascii="Times New Roman" w:hAnsi="Times New Roman" w:eastAsia="宋体" w:cs="宋体"/>
          <w:color w:val="auto"/>
          <w:sz w:val="24"/>
          <w:szCs w:val="24"/>
        </w:rPr>
        <w:t>园区生活垃圾经收集后运往津市市生活垃圾无害化处理场填埋处理。园区未建成统一的工业固体废物处理处置场所，一般工业固废和危险废物均由企业自行收集、贮存，一般工业固废尽可能回收利用，危险废物定期委托有资质的单位进行处置。根据园区规划，已在园区外规划建设危险废物处置工程（津市危废处理项目）。</w:t>
      </w:r>
    </w:p>
    <w:p w14:paraId="6A5A9622">
      <w:pPr>
        <w:spacing w:line="360" w:lineRule="auto"/>
        <w:ind w:firstLine="480" w:firstLineChars="200"/>
        <w:rPr>
          <w:rFonts w:ascii="Times New Roman" w:hAnsi="Times New Roman" w:eastAsia="宋体" w:cs="宋体"/>
          <w:color w:val="auto"/>
          <w:sz w:val="24"/>
          <w:szCs w:val="24"/>
        </w:rPr>
      </w:pPr>
      <w:r>
        <w:rPr>
          <w:rFonts w:hint="eastAsia" w:ascii="Times New Roman" w:hAnsi="Times New Roman" w:eastAsia="宋体" w:cs="宋体"/>
          <w:color w:val="auto"/>
          <w:sz w:val="24"/>
          <w:szCs w:val="24"/>
        </w:rPr>
        <w:t>津市危废处理项目拟选址于津市金鱼岭街道生活垃圾填埋场西侧（园区外），年处理原生危险废物10000t/a，其中焚烧处置8000t/a，固化稳定化/填埋处置2000t/a，主要收集高新区内各产废单位产生的危险废物。</w:t>
      </w:r>
    </w:p>
    <w:p w14:paraId="303E9941">
      <w:pPr>
        <w:pStyle w:val="4"/>
        <w:bidi w:val="0"/>
        <w:spacing w:before="0" w:after="0" w:line="240" w:lineRule="auto"/>
      </w:pPr>
      <w:r>
        <w:rPr>
          <w:rFonts w:hint="eastAsia"/>
        </w:rPr>
        <w:t>5.3.11</w:t>
      </w:r>
      <w:r>
        <w:t>燃气供应</w:t>
      </w:r>
    </w:p>
    <w:p w14:paraId="6C8A129A">
      <w:pPr>
        <w:spacing w:line="360" w:lineRule="auto"/>
        <w:ind w:firstLine="480" w:firstLineChars="200"/>
        <w:rPr>
          <w:rFonts w:ascii="Times New Roman" w:hAnsi="Times New Roman" w:eastAsia="宋体" w:cs="宋体"/>
          <w:color w:val="auto"/>
          <w:sz w:val="24"/>
          <w:szCs w:val="24"/>
        </w:rPr>
      </w:pPr>
      <w:r>
        <w:rPr>
          <w:rFonts w:hint="eastAsia" w:ascii="Times New Roman" w:hAnsi="Times New Roman" w:eastAsia="宋体" w:cs="宋体"/>
          <w:color w:val="auto"/>
          <w:sz w:val="24"/>
          <w:szCs w:val="24"/>
        </w:rPr>
        <w:t>津市可利用的天然气气源有液化天然气（LNG）和管输天然气。津市燃气高压干管从西北向的澧县方向接入，龙岗路和青山路交叉口西北侧设置湖南湘赣三峡燃气投资有限公司津市分输站，该站现为津市高新区提供管道天燃气。</w:t>
      </w:r>
    </w:p>
    <w:p w14:paraId="07F87C6F">
      <w:pPr>
        <w:spacing w:line="360" w:lineRule="auto"/>
        <w:ind w:firstLine="480" w:firstLineChars="200"/>
        <w:rPr>
          <w:rFonts w:ascii="Times New Roman" w:hAnsi="Times New Roman" w:eastAsia="宋体" w:cs="宋体"/>
          <w:color w:val="auto"/>
          <w:sz w:val="24"/>
          <w:szCs w:val="24"/>
        </w:rPr>
      </w:pPr>
      <w:r>
        <w:rPr>
          <w:rFonts w:hint="eastAsia" w:ascii="Times New Roman" w:hAnsi="Times New Roman" w:eastAsia="宋体" w:cs="宋体"/>
          <w:color w:val="auto"/>
          <w:sz w:val="24"/>
          <w:szCs w:val="24"/>
        </w:rPr>
        <w:t>津市高新区在创业路与新城路设有长燃燃气储配站，负责管道天然气和LNG气体调配，其管道天然气由湖南湘赣三峡燃气投资有限公司津市分输站通过管道运输过来，经过过滤换热，由调压器将压力从0.7Mpa调压至0.25Mpa，通过城市管网输送至各个居民生活区和需要天然气的工厂。LNG由车辆运输至该储配站，储配站设有2个60</w:t>
      </w:r>
      <w:r>
        <w:rPr>
          <w:rFonts w:hint="eastAsia" w:ascii="Times New Roman" w:hAnsi="Times New Roman" w:eastAsia="宋体" w:cs="宋体"/>
          <w:color w:val="auto"/>
          <w:sz w:val="24"/>
          <w:szCs w:val="24"/>
          <w:lang w:eastAsia="zh-CN"/>
        </w:rPr>
        <w:t>m</w:t>
      </w:r>
      <w:r>
        <w:rPr>
          <w:rFonts w:hint="eastAsia" w:ascii="Times New Roman" w:hAnsi="Times New Roman" w:eastAsia="宋体" w:cs="宋体"/>
          <w:color w:val="auto"/>
          <w:sz w:val="24"/>
          <w:szCs w:val="24"/>
          <w:vertAlign w:val="superscript"/>
          <w:lang w:eastAsia="zh-CN"/>
        </w:rPr>
        <w:t>3</w:t>
      </w:r>
      <w:r>
        <w:rPr>
          <w:rFonts w:hint="eastAsia" w:ascii="Times New Roman" w:hAnsi="Times New Roman" w:eastAsia="宋体" w:cs="宋体"/>
          <w:color w:val="auto"/>
          <w:sz w:val="24"/>
          <w:szCs w:val="24"/>
        </w:rPr>
        <w:t>储气罐，压力0.45Mpa，经过气化器气化后通过车辆/管道输送至各门店，另在LNG在管道天然气不稳定时可作为补充气源。</w:t>
      </w:r>
    </w:p>
    <w:p w14:paraId="62CA63BF">
      <w:pPr>
        <w:spacing w:line="360" w:lineRule="auto"/>
        <w:ind w:firstLine="480" w:firstLineChars="200"/>
        <w:rPr>
          <w:rFonts w:ascii="Times New Roman" w:hAnsi="Times New Roman" w:eastAsia="宋体" w:cs="宋体"/>
          <w:color w:val="auto"/>
          <w:sz w:val="24"/>
          <w:szCs w:val="24"/>
        </w:rPr>
      </w:pPr>
      <w:r>
        <w:rPr>
          <w:rFonts w:hint="eastAsia" w:ascii="Times New Roman" w:hAnsi="Times New Roman" w:eastAsia="宋体" w:cs="宋体"/>
          <w:color w:val="auto"/>
          <w:sz w:val="24"/>
          <w:szCs w:val="24"/>
        </w:rPr>
        <w:t>津市高新区燃气管网输配系统压力级制采用中、低压两级制。燃气中压干管网络根据气量分布情况，基本呈环状布置，分别采用DN160、DN110和DN90的管道服务居民。居民供气方式采用柜式调压与箱式调压相结合的方式，分户计量后进户使用。公建供气方式根据用户需求，设置调压箱、采用中--中压或中--低压调压计量后进户使用。</w:t>
      </w:r>
    </w:p>
    <w:p w14:paraId="096183C9">
      <w:pPr>
        <w:pStyle w:val="4"/>
        <w:bidi w:val="0"/>
        <w:spacing w:before="0" w:after="0" w:line="240" w:lineRule="auto"/>
      </w:pPr>
      <w:r>
        <w:rPr>
          <w:rFonts w:hint="eastAsia"/>
        </w:rPr>
        <w:t>5.3.12</w:t>
      </w:r>
      <w:r>
        <w:t>化工片区环保设施规划汇总</w:t>
      </w:r>
    </w:p>
    <w:p w14:paraId="7D0970FC">
      <w:pPr>
        <w:spacing w:line="360" w:lineRule="auto"/>
        <w:ind w:firstLine="480" w:firstLineChars="200"/>
        <w:rPr>
          <w:rFonts w:ascii="Times New Roman" w:hAnsi="Times New Roman" w:eastAsia="宋体" w:cs="宋体"/>
          <w:color w:val="auto"/>
          <w:sz w:val="24"/>
          <w:szCs w:val="24"/>
        </w:rPr>
      </w:pPr>
      <w:r>
        <w:rPr>
          <w:rFonts w:hint="eastAsia" w:ascii="Times New Roman" w:hAnsi="Times New Roman" w:eastAsia="宋体" w:cs="宋体"/>
          <w:color w:val="auto"/>
          <w:sz w:val="24"/>
          <w:szCs w:val="24"/>
        </w:rPr>
        <w:t>根据规划，高新区化工片区面积合计322.50公顷，其中311.52公顷位于区块二（南部片区），10.98公顷位于区块一（北部片区），主要环保设施汇总见下表。</w:t>
      </w:r>
    </w:p>
    <w:p w14:paraId="6E4071E0">
      <w:pPr>
        <w:pStyle w:val="6"/>
        <w:bidi w:val="0"/>
      </w:pPr>
      <w:r>
        <w:rPr>
          <w:rFonts w:hint="eastAsia"/>
        </w:rPr>
        <w:t>表5.3</w:t>
      </w:r>
      <w:r>
        <w:rPr>
          <w:rFonts w:hint="eastAsia"/>
          <w:lang w:val="en-US" w:eastAsia="zh-CN"/>
        </w:rPr>
        <w:t>.12</w:t>
      </w:r>
      <w:r>
        <w:rPr>
          <w:rFonts w:hint="eastAsia"/>
        </w:rPr>
        <w:t>-</w:t>
      </w:r>
      <w:r>
        <w:rPr>
          <w:rFonts w:hint="eastAsia"/>
          <w:lang w:val="en-US" w:eastAsia="zh-CN"/>
        </w:rPr>
        <w:t xml:space="preserve">1 </w:t>
      </w:r>
      <w:r>
        <w:rPr>
          <w:rFonts w:hint="eastAsia"/>
        </w:rPr>
        <w:t>化工片区主要环保设施规划汇总</w:t>
      </w:r>
    </w:p>
    <w:tbl>
      <w:tblPr>
        <w:tblStyle w:val="41"/>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
        <w:gridCol w:w="888"/>
        <w:gridCol w:w="2596"/>
        <w:gridCol w:w="4002"/>
      </w:tblGrid>
      <w:tr w14:paraId="2F199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blHeader/>
        </w:trPr>
        <w:tc>
          <w:tcPr>
            <w:tcW w:w="928" w:type="dxa"/>
            <w:vAlign w:val="center"/>
          </w:tcPr>
          <w:p w14:paraId="395D81CE">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区域</w:t>
            </w:r>
          </w:p>
        </w:tc>
        <w:tc>
          <w:tcPr>
            <w:tcW w:w="888" w:type="dxa"/>
            <w:vAlign w:val="center"/>
          </w:tcPr>
          <w:p w14:paraId="5349972C">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类别</w:t>
            </w:r>
          </w:p>
        </w:tc>
        <w:tc>
          <w:tcPr>
            <w:tcW w:w="2596" w:type="dxa"/>
          </w:tcPr>
          <w:p w14:paraId="49395CEF">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现状</w:t>
            </w:r>
          </w:p>
        </w:tc>
        <w:tc>
          <w:tcPr>
            <w:tcW w:w="4002" w:type="dxa"/>
            <w:vAlign w:val="center"/>
          </w:tcPr>
          <w:p w14:paraId="38AF1085">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本轮规划情况</w:t>
            </w:r>
          </w:p>
        </w:tc>
      </w:tr>
      <w:tr w14:paraId="6D240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928" w:type="dxa"/>
            <w:vMerge w:val="restart"/>
            <w:vAlign w:val="center"/>
          </w:tcPr>
          <w:p w14:paraId="0350EF52">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北部</w:t>
            </w:r>
          </w:p>
          <w:p w14:paraId="52F9CC4B">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片区</w:t>
            </w:r>
          </w:p>
          <w:p w14:paraId="541F393B">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（保留区）</w:t>
            </w:r>
          </w:p>
        </w:tc>
        <w:tc>
          <w:tcPr>
            <w:tcW w:w="888" w:type="dxa"/>
            <w:vAlign w:val="center"/>
          </w:tcPr>
          <w:p w14:paraId="4CE37110">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污水</w:t>
            </w:r>
          </w:p>
        </w:tc>
        <w:tc>
          <w:tcPr>
            <w:tcW w:w="2596" w:type="dxa"/>
          </w:tcPr>
          <w:p w14:paraId="4C754A7A">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由市政管网送至津市市生活污水处理厂深度处理，相应管网敷设完毕</w:t>
            </w:r>
          </w:p>
        </w:tc>
        <w:tc>
          <w:tcPr>
            <w:tcW w:w="4002" w:type="dxa"/>
            <w:vAlign w:val="center"/>
          </w:tcPr>
          <w:p w14:paraId="4AB71817">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由市政管网送至津市市生活污水处理厂深度处理，相应管网敷设完毕</w:t>
            </w:r>
          </w:p>
        </w:tc>
      </w:tr>
      <w:tr w14:paraId="673CB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928" w:type="dxa"/>
            <w:vMerge w:val="continue"/>
            <w:vAlign w:val="center"/>
          </w:tcPr>
          <w:p w14:paraId="1A5A1CFC">
            <w:pPr>
              <w:jc w:val="center"/>
              <w:rPr>
                <w:rFonts w:ascii="Times New Roman" w:hAnsi="Times New Roman" w:eastAsia="宋体" w:cs="Times New Roman"/>
                <w:color w:val="auto"/>
                <w:sz w:val="22"/>
                <w:szCs w:val="24"/>
              </w:rPr>
            </w:pPr>
          </w:p>
        </w:tc>
        <w:tc>
          <w:tcPr>
            <w:tcW w:w="888" w:type="dxa"/>
            <w:vAlign w:val="center"/>
          </w:tcPr>
          <w:p w14:paraId="0E16AE6A">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雨水</w:t>
            </w:r>
          </w:p>
        </w:tc>
        <w:tc>
          <w:tcPr>
            <w:tcW w:w="2596" w:type="dxa"/>
            <w:vAlign w:val="center"/>
          </w:tcPr>
          <w:p w14:paraId="172DDB32">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经管网收集后，就近接入市雨水管网</w:t>
            </w:r>
          </w:p>
        </w:tc>
        <w:tc>
          <w:tcPr>
            <w:tcW w:w="4002" w:type="dxa"/>
            <w:vAlign w:val="center"/>
          </w:tcPr>
          <w:p w14:paraId="553ED9F7">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经管网收集后，就近接入市雨水管网，建议高新区按照“湘环发〔2022〕99”号设置雨水监测池，并对雨水进行监控。</w:t>
            </w:r>
          </w:p>
        </w:tc>
      </w:tr>
      <w:tr w14:paraId="4212C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928" w:type="dxa"/>
            <w:vMerge w:val="continue"/>
            <w:vAlign w:val="center"/>
          </w:tcPr>
          <w:p w14:paraId="1FA6B0B0">
            <w:pPr>
              <w:jc w:val="center"/>
              <w:rPr>
                <w:rFonts w:ascii="Times New Roman" w:hAnsi="Times New Roman" w:eastAsia="宋体" w:cs="Times New Roman"/>
                <w:color w:val="auto"/>
                <w:sz w:val="22"/>
                <w:szCs w:val="24"/>
              </w:rPr>
            </w:pPr>
          </w:p>
        </w:tc>
        <w:tc>
          <w:tcPr>
            <w:tcW w:w="888" w:type="dxa"/>
            <w:vAlign w:val="center"/>
          </w:tcPr>
          <w:p w14:paraId="58D50356">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固废</w:t>
            </w:r>
          </w:p>
        </w:tc>
        <w:tc>
          <w:tcPr>
            <w:tcW w:w="2596" w:type="dxa"/>
            <w:vAlign w:val="center"/>
          </w:tcPr>
          <w:p w14:paraId="7EEDEB4E">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园区未建成统一的工业固体废物处理处置场所，一般工业固废和危险废物均由企业自行收集、贮存，危险废物定期委托有资质的单位进行处置。</w:t>
            </w:r>
          </w:p>
        </w:tc>
        <w:tc>
          <w:tcPr>
            <w:tcW w:w="4002" w:type="dxa"/>
            <w:vAlign w:val="center"/>
          </w:tcPr>
          <w:p w14:paraId="08691337">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津市危废处理项目选址于津市金鱼岭街道生活垃圾填埋场西侧（园区外），焚烧处置8000t/a，固化稳定化、填埋处置2000t/a。</w:t>
            </w:r>
          </w:p>
        </w:tc>
      </w:tr>
      <w:tr w14:paraId="74607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928" w:type="dxa"/>
            <w:vMerge w:val="continue"/>
            <w:vAlign w:val="center"/>
          </w:tcPr>
          <w:p w14:paraId="663AE6DE">
            <w:pPr>
              <w:jc w:val="center"/>
              <w:rPr>
                <w:rFonts w:ascii="Times New Roman" w:hAnsi="Times New Roman" w:eastAsia="宋体" w:cs="Times New Roman"/>
                <w:color w:val="auto"/>
                <w:sz w:val="22"/>
                <w:szCs w:val="24"/>
              </w:rPr>
            </w:pPr>
          </w:p>
        </w:tc>
        <w:tc>
          <w:tcPr>
            <w:tcW w:w="888" w:type="dxa"/>
            <w:vAlign w:val="center"/>
          </w:tcPr>
          <w:p w14:paraId="7CB7B33A">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风险防控</w:t>
            </w:r>
          </w:p>
        </w:tc>
        <w:tc>
          <w:tcPr>
            <w:tcW w:w="2596" w:type="dxa"/>
            <w:vAlign w:val="center"/>
          </w:tcPr>
          <w:p w14:paraId="2E63BD72">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企业自建事故池+污水处理厂事故池（150</w:t>
            </w:r>
            <w:r>
              <w:rPr>
                <w:rFonts w:hint="eastAsia" w:ascii="Times New Roman" w:hAnsi="Times New Roman" w:eastAsia="宋体" w:cs="Times New Roman"/>
                <w:color w:val="auto"/>
                <w:sz w:val="22"/>
                <w:szCs w:val="24"/>
                <w:lang w:eastAsia="zh-CN"/>
              </w:rPr>
              <w:t>m</w:t>
            </w:r>
            <w:r>
              <w:rPr>
                <w:rFonts w:hint="eastAsia" w:ascii="Times New Roman" w:hAnsi="Times New Roman" w:eastAsia="宋体" w:cs="Times New Roman"/>
                <w:color w:val="auto"/>
                <w:sz w:val="22"/>
                <w:szCs w:val="24"/>
                <w:vertAlign w:val="superscript"/>
                <w:lang w:eastAsia="zh-CN"/>
              </w:rPr>
              <w:t>3</w:t>
            </w:r>
            <w:r>
              <w:rPr>
                <w:rFonts w:hint="eastAsia" w:ascii="Times New Roman" w:hAnsi="Times New Roman" w:eastAsia="宋体" w:cs="Times New Roman"/>
                <w:color w:val="auto"/>
                <w:sz w:val="22"/>
                <w:szCs w:val="24"/>
              </w:rPr>
              <w:t>）</w:t>
            </w:r>
          </w:p>
        </w:tc>
        <w:tc>
          <w:tcPr>
            <w:tcW w:w="4002" w:type="dxa"/>
            <w:vAlign w:val="center"/>
          </w:tcPr>
          <w:p w14:paraId="43677E2E">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企业自建事故池+污水处理厂事故池（15000</w:t>
            </w:r>
            <w:r>
              <w:rPr>
                <w:rFonts w:hint="eastAsia" w:ascii="Times New Roman" w:hAnsi="Times New Roman" w:eastAsia="宋体" w:cs="Times New Roman"/>
                <w:color w:val="auto"/>
                <w:sz w:val="22"/>
                <w:szCs w:val="24"/>
                <w:lang w:eastAsia="zh-CN"/>
              </w:rPr>
              <w:t>m</w:t>
            </w:r>
            <w:r>
              <w:rPr>
                <w:rFonts w:hint="eastAsia" w:ascii="Times New Roman" w:hAnsi="Times New Roman" w:eastAsia="宋体" w:cs="Times New Roman"/>
                <w:color w:val="auto"/>
                <w:sz w:val="22"/>
                <w:szCs w:val="24"/>
                <w:vertAlign w:val="superscript"/>
                <w:lang w:eastAsia="zh-CN"/>
              </w:rPr>
              <w:t>3</w:t>
            </w:r>
            <w:r>
              <w:rPr>
                <w:rFonts w:hint="eastAsia" w:ascii="Times New Roman" w:hAnsi="Times New Roman" w:eastAsia="宋体" w:cs="Times New Roman"/>
                <w:color w:val="auto"/>
                <w:sz w:val="22"/>
                <w:szCs w:val="24"/>
              </w:rPr>
              <w:t>）</w:t>
            </w:r>
          </w:p>
        </w:tc>
      </w:tr>
      <w:tr w14:paraId="1299F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928" w:type="dxa"/>
            <w:vMerge w:val="restart"/>
            <w:vAlign w:val="center"/>
          </w:tcPr>
          <w:p w14:paraId="335A22F6">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南部</w:t>
            </w:r>
          </w:p>
          <w:p w14:paraId="23FBF662">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片区</w:t>
            </w:r>
          </w:p>
        </w:tc>
        <w:tc>
          <w:tcPr>
            <w:tcW w:w="888" w:type="dxa"/>
            <w:vAlign w:val="center"/>
          </w:tcPr>
          <w:p w14:paraId="1427DE3A">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污水</w:t>
            </w:r>
          </w:p>
        </w:tc>
        <w:tc>
          <w:tcPr>
            <w:tcW w:w="2596" w:type="dxa"/>
            <w:vAlign w:val="center"/>
          </w:tcPr>
          <w:p w14:paraId="58851BA1">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（1）创业路以北部片区域送津市生活污水处理厂深度处理；</w:t>
            </w:r>
          </w:p>
          <w:p w14:paraId="0581D10C">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（2）创业路以南片区送津市高新区工业污水处理厂深度处理</w:t>
            </w:r>
          </w:p>
        </w:tc>
        <w:tc>
          <w:tcPr>
            <w:tcW w:w="4002" w:type="dxa"/>
            <w:vAlign w:val="center"/>
          </w:tcPr>
          <w:p w14:paraId="603D7FDE">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（1）拟在医药化工区北侧新建工业污水处理厂三期，3万</w:t>
            </w:r>
            <w:r>
              <w:rPr>
                <w:rFonts w:hint="eastAsia" w:ascii="Times New Roman" w:hAnsi="Times New Roman" w:eastAsia="宋体" w:cs="Times New Roman"/>
                <w:color w:val="auto"/>
                <w:sz w:val="22"/>
                <w:szCs w:val="24"/>
                <w:lang w:eastAsia="zh-CN"/>
              </w:rPr>
              <w:t>m</w:t>
            </w:r>
            <w:r>
              <w:rPr>
                <w:rFonts w:hint="eastAsia" w:ascii="Times New Roman" w:hAnsi="Times New Roman" w:eastAsia="宋体" w:cs="Times New Roman"/>
                <w:color w:val="auto"/>
                <w:sz w:val="22"/>
                <w:szCs w:val="24"/>
                <w:vertAlign w:val="superscript"/>
                <w:lang w:eastAsia="zh-CN"/>
              </w:rPr>
              <w:t>3</w:t>
            </w:r>
            <w:r>
              <w:rPr>
                <w:rFonts w:hint="eastAsia" w:ascii="Times New Roman" w:hAnsi="Times New Roman" w:eastAsia="宋体" w:cs="Times New Roman"/>
                <w:color w:val="auto"/>
                <w:sz w:val="22"/>
                <w:szCs w:val="24"/>
              </w:rPr>
              <w:t>/d，先建设1万</w:t>
            </w:r>
            <w:r>
              <w:rPr>
                <w:rFonts w:hint="eastAsia" w:ascii="Times New Roman" w:hAnsi="Times New Roman" w:eastAsia="宋体" w:cs="Times New Roman"/>
                <w:color w:val="auto"/>
                <w:sz w:val="22"/>
                <w:szCs w:val="24"/>
                <w:lang w:eastAsia="zh-CN"/>
              </w:rPr>
              <w:t>m</w:t>
            </w:r>
            <w:r>
              <w:rPr>
                <w:rFonts w:hint="eastAsia" w:ascii="Times New Roman" w:hAnsi="Times New Roman" w:eastAsia="宋体" w:cs="Times New Roman"/>
                <w:color w:val="auto"/>
                <w:sz w:val="22"/>
                <w:szCs w:val="24"/>
                <w:vertAlign w:val="superscript"/>
                <w:lang w:eastAsia="zh-CN"/>
              </w:rPr>
              <w:t>3</w:t>
            </w:r>
            <w:r>
              <w:rPr>
                <w:rFonts w:hint="eastAsia" w:ascii="Times New Roman" w:hAnsi="Times New Roman" w:eastAsia="宋体" w:cs="Times New Roman"/>
                <w:color w:val="auto"/>
                <w:sz w:val="22"/>
                <w:szCs w:val="24"/>
              </w:rPr>
              <w:t>/d。</w:t>
            </w:r>
          </w:p>
          <w:p w14:paraId="325F3E91">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（2）津市高新区现有工业污水处理厂扩容至2万</w:t>
            </w:r>
            <w:r>
              <w:rPr>
                <w:rFonts w:hint="eastAsia" w:ascii="Times New Roman" w:hAnsi="Times New Roman" w:eastAsia="宋体" w:cs="Times New Roman"/>
                <w:color w:val="auto"/>
                <w:sz w:val="22"/>
                <w:szCs w:val="24"/>
                <w:lang w:eastAsia="zh-CN"/>
              </w:rPr>
              <w:t>m</w:t>
            </w:r>
            <w:r>
              <w:rPr>
                <w:rFonts w:hint="eastAsia" w:ascii="Times New Roman" w:hAnsi="Times New Roman" w:eastAsia="宋体" w:cs="Times New Roman"/>
                <w:color w:val="auto"/>
                <w:sz w:val="22"/>
                <w:szCs w:val="24"/>
                <w:vertAlign w:val="superscript"/>
                <w:lang w:eastAsia="zh-CN"/>
              </w:rPr>
              <w:t>3</w:t>
            </w:r>
            <w:r>
              <w:rPr>
                <w:rFonts w:hint="eastAsia" w:ascii="Times New Roman" w:hAnsi="Times New Roman" w:eastAsia="宋体" w:cs="Times New Roman"/>
                <w:color w:val="auto"/>
                <w:sz w:val="22"/>
                <w:szCs w:val="24"/>
              </w:rPr>
              <w:t>/d，扩容后津市市生活污水处理厂接纳北部片区废水+南部片区窑坡大道以北的企业废水、居民区废水。</w:t>
            </w:r>
          </w:p>
          <w:p w14:paraId="0AF00F21">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（3）工业污水处理厂（三期）投运前，津市高新区现有工业污水处理厂（扩容通水）接纳高新区南部片区窑坡大道以南废水</w:t>
            </w:r>
          </w:p>
          <w:p w14:paraId="36811F49">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4）工业污水处理厂三期投运后，南部化工片区内废水（（除引航、鸿健））均进入该污水处理厂，不在进入现有的工业污水处理厂；南部片区窑坡大道以南非化工产业区企业废水+园区内居民区废水+化工产业区初期雨水+化工产业区内引航、鸿健等外排废水，进入现有工业污水处理厂。</w:t>
            </w:r>
          </w:p>
        </w:tc>
      </w:tr>
      <w:tr w14:paraId="2C826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928" w:type="dxa"/>
            <w:vMerge w:val="continue"/>
          </w:tcPr>
          <w:p w14:paraId="3711415C">
            <w:pPr>
              <w:jc w:val="center"/>
              <w:rPr>
                <w:rFonts w:ascii="Times New Roman" w:hAnsi="Times New Roman" w:eastAsia="宋体" w:cs="Times New Roman"/>
                <w:color w:val="auto"/>
                <w:sz w:val="22"/>
                <w:szCs w:val="24"/>
              </w:rPr>
            </w:pPr>
          </w:p>
        </w:tc>
        <w:tc>
          <w:tcPr>
            <w:tcW w:w="888" w:type="dxa"/>
            <w:vAlign w:val="center"/>
          </w:tcPr>
          <w:p w14:paraId="2C053061">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雨水</w:t>
            </w:r>
          </w:p>
        </w:tc>
        <w:tc>
          <w:tcPr>
            <w:tcW w:w="2596" w:type="dxa"/>
            <w:vAlign w:val="center"/>
          </w:tcPr>
          <w:p w14:paraId="5E1DB76D">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规划16个雨水排口，实际存在12个，澧水右岸已建5个，环团湖、胥家湖区域已建7处</w:t>
            </w:r>
          </w:p>
        </w:tc>
        <w:tc>
          <w:tcPr>
            <w:tcW w:w="4002" w:type="dxa"/>
            <w:vAlign w:val="center"/>
          </w:tcPr>
          <w:p w14:paraId="3512C7A9">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规划雨水排口10个，其中澧水右岸分别有窑坡电排入河口、长山水库入河口、辛福闸电排入河口、嘉山电排入河口等4处已建雨水排口和规划1处雨水排口；娄星纺织排口1处；团湖已建3个雨水排口和规划1处雨水排口。胥家湖区域无雨水排口。</w:t>
            </w:r>
          </w:p>
        </w:tc>
      </w:tr>
      <w:tr w14:paraId="52ED6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928" w:type="dxa"/>
            <w:vMerge w:val="continue"/>
          </w:tcPr>
          <w:p w14:paraId="2226602C">
            <w:pPr>
              <w:jc w:val="center"/>
              <w:rPr>
                <w:rFonts w:ascii="Times New Roman" w:hAnsi="Times New Roman" w:eastAsia="宋体" w:cs="Times New Roman"/>
                <w:color w:val="auto"/>
                <w:sz w:val="22"/>
                <w:szCs w:val="24"/>
              </w:rPr>
            </w:pPr>
          </w:p>
        </w:tc>
        <w:tc>
          <w:tcPr>
            <w:tcW w:w="888" w:type="dxa"/>
            <w:vAlign w:val="center"/>
          </w:tcPr>
          <w:p w14:paraId="35443EDE">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固废</w:t>
            </w:r>
          </w:p>
        </w:tc>
        <w:tc>
          <w:tcPr>
            <w:tcW w:w="2596" w:type="dxa"/>
          </w:tcPr>
          <w:p w14:paraId="162C9E0C">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园区未建成统一的工业固体废物处理处置场所，一般工业固废和危险废物均由企业自行收集、贮存，危险废物定期委托有资质的单位进行处置。</w:t>
            </w:r>
          </w:p>
        </w:tc>
        <w:tc>
          <w:tcPr>
            <w:tcW w:w="4002" w:type="dxa"/>
            <w:vAlign w:val="center"/>
          </w:tcPr>
          <w:p w14:paraId="48B7EC34">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津市危废处理项目选址于津市金鱼岭街道生活垃圾填埋场西侧（园区外），焚烧处置8000t/a，固化稳定化、填埋处置2000t/a。</w:t>
            </w:r>
          </w:p>
        </w:tc>
      </w:tr>
      <w:tr w14:paraId="6CE17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928" w:type="dxa"/>
            <w:vMerge w:val="continue"/>
          </w:tcPr>
          <w:p w14:paraId="78F2289A">
            <w:pPr>
              <w:jc w:val="center"/>
              <w:rPr>
                <w:rFonts w:ascii="Times New Roman" w:hAnsi="Times New Roman" w:eastAsia="宋体" w:cs="Times New Roman"/>
                <w:color w:val="auto"/>
                <w:sz w:val="22"/>
                <w:szCs w:val="24"/>
              </w:rPr>
            </w:pPr>
          </w:p>
        </w:tc>
        <w:tc>
          <w:tcPr>
            <w:tcW w:w="888" w:type="dxa"/>
            <w:vAlign w:val="center"/>
          </w:tcPr>
          <w:p w14:paraId="7D0C8A03">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风险防控</w:t>
            </w:r>
          </w:p>
        </w:tc>
        <w:tc>
          <w:tcPr>
            <w:tcW w:w="2596" w:type="dxa"/>
            <w:vAlign w:val="center"/>
          </w:tcPr>
          <w:p w14:paraId="65178ED9">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（1）已建成工业污水处理厂7400</w:t>
            </w:r>
            <w:r>
              <w:rPr>
                <w:rFonts w:hint="eastAsia" w:ascii="Times New Roman" w:hAnsi="Times New Roman" w:eastAsia="宋体" w:cs="Times New Roman"/>
                <w:color w:val="auto"/>
                <w:sz w:val="22"/>
                <w:szCs w:val="24"/>
                <w:lang w:eastAsia="zh-CN"/>
              </w:rPr>
              <w:t>m</w:t>
            </w:r>
            <w:r>
              <w:rPr>
                <w:rFonts w:hint="eastAsia" w:ascii="Times New Roman" w:hAnsi="Times New Roman" w:eastAsia="宋体" w:cs="Times New Roman"/>
                <w:color w:val="auto"/>
                <w:sz w:val="22"/>
                <w:szCs w:val="24"/>
                <w:vertAlign w:val="superscript"/>
                <w:lang w:eastAsia="zh-CN"/>
              </w:rPr>
              <w:t>3</w:t>
            </w:r>
            <w:r>
              <w:rPr>
                <w:rFonts w:hint="eastAsia" w:ascii="Times New Roman" w:hAnsi="Times New Roman" w:eastAsia="宋体" w:cs="Times New Roman"/>
                <w:color w:val="auto"/>
                <w:sz w:val="22"/>
                <w:szCs w:val="24"/>
              </w:rPr>
              <w:t>事故池，同时区内化工企业各自设置事故池并落实三级防控要求。（2）雨水排口均设置切换阀</w:t>
            </w:r>
          </w:p>
        </w:tc>
        <w:tc>
          <w:tcPr>
            <w:tcW w:w="4002" w:type="dxa"/>
            <w:vAlign w:val="center"/>
          </w:tcPr>
          <w:p w14:paraId="53CFFB1D">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（1）已建成工业污水处理厂7400</w:t>
            </w:r>
            <w:r>
              <w:rPr>
                <w:rFonts w:hint="eastAsia" w:ascii="Times New Roman" w:hAnsi="Times New Roman" w:eastAsia="宋体" w:cs="Times New Roman"/>
                <w:color w:val="auto"/>
                <w:sz w:val="22"/>
                <w:szCs w:val="24"/>
                <w:lang w:eastAsia="zh-CN"/>
              </w:rPr>
              <w:t>m</w:t>
            </w:r>
            <w:r>
              <w:rPr>
                <w:rFonts w:hint="eastAsia" w:ascii="Times New Roman" w:hAnsi="Times New Roman" w:eastAsia="宋体" w:cs="Times New Roman"/>
                <w:color w:val="auto"/>
                <w:sz w:val="22"/>
                <w:szCs w:val="24"/>
                <w:vertAlign w:val="superscript"/>
                <w:lang w:eastAsia="zh-CN"/>
              </w:rPr>
              <w:t>3</w:t>
            </w:r>
            <w:r>
              <w:rPr>
                <w:rFonts w:hint="eastAsia" w:ascii="Times New Roman" w:hAnsi="Times New Roman" w:eastAsia="宋体" w:cs="Times New Roman"/>
                <w:color w:val="auto"/>
                <w:sz w:val="22"/>
                <w:szCs w:val="24"/>
              </w:rPr>
              <w:t>事故池，同时区内化工企业各自设置事故池并落实三级防控要求。（2）雨水排口均设置切换阀；（3）取消胥家湖的雨水排口；（4）工业污水处理厂三期内建设10000</w:t>
            </w:r>
            <w:r>
              <w:rPr>
                <w:rFonts w:hint="eastAsia" w:ascii="Times New Roman" w:hAnsi="Times New Roman" w:eastAsia="宋体" w:cs="Times New Roman"/>
                <w:color w:val="auto"/>
                <w:sz w:val="22"/>
                <w:szCs w:val="24"/>
                <w:lang w:eastAsia="zh-CN"/>
              </w:rPr>
              <w:t>m</w:t>
            </w:r>
            <w:r>
              <w:rPr>
                <w:rFonts w:hint="eastAsia" w:ascii="Times New Roman" w:hAnsi="Times New Roman" w:eastAsia="宋体" w:cs="Times New Roman"/>
                <w:color w:val="auto"/>
                <w:sz w:val="22"/>
                <w:szCs w:val="24"/>
                <w:vertAlign w:val="superscript"/>
                <w:lang w:eastAsia="zh-CN"/>
              </w:rPr>
              <w:t>3</w:t>
            </w:r>
            <w:r>
              <w:rPr>
                <w:rFonts w:hint="eastAsia" w:ascii="Times New Roman" w:hAnsi="Times New Roman" w:eastAsia="宋体" w:cs="Times New Roman"/>
                <w:color w:val="auto"/>
                <w:sz w:val="22"/>
                <w:szCs w:val="24"/>
              </w:rPr>
              <w:t>的事故。</w:t>
            </w:r>
          </w:p>
        </w:tc>
      </w:tr>
      <w:tr w14:paraId="63F2A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928" w:type="dxa"/>
            <w:vMerge w:val="continue"/>
          </w:tcPr>
          <w:p w14:paraId="1FBA3685">
            <w:pPr>
              <w:jc w:val="center"/>
              <w:rPr>
                <w:rFonts w:ascii="Times New Roman" w:hAnsi="Times New Roman" w:eastAsia="宋体" w:cs="Times New Roman"/>
                <w:color w:val="auto"/>
                <w:sz w:val="22"/>
                <w:szCs w:val="24"/>
              </w:rPr>
            </w:pPr>
          </w:p>
        </w:tc>
        <w:tc>
          <w:tcPr>
            <w:tcW w:w="888" w:type="dxa"/>
            <w:vAlign w:val="center"/>
          </w:tcPr>
          <w:p w14:paraId="45CA5479">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自行</w:t>
            </w:r>
          </w:p>
          <w:p w14:paraId="7E177CB8">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监控设施</w:t>
            </w:r>
          </w:p>
        </w:tc>
        <w:tc>
          <w:tcPr>
            <w:tcW w:w="2596" w:type="dxa"/>
            <w:vAlign w:val="center"/>
          </w:tcPr>
          <w:p w14:paraId="6618AC15">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（1）津市市生活污水处理厂、工业污水处理厂均设置COD、氨氮在线监测设施；</w:t>
            </w:r>
          </w:p>
          <w:p w14:paraId="5B8E8A9A">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（2）空气质量监测网络：环境监测点4个、VOC重点污染区域监测点4个、颗粒物重点污染区域监测点1个、有毒有害及恶臭气体重点污染区域监测点3个</w:t>
            </w:r>
          </w:p>
        </w:tc>
        <w:tc>
          <w:tcPr>
            <w:tcW w:w="4002" w:type="dxa"/>
            <w:vAlign w:val="center"/>
          </w:tcPr>
          <w:p w14:paraId="06682225">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1）现有污水处理厂仍按已建在线设施进行监测；工业园污水处理厂三期将配套建设在线监测设施；（2）“一企一管”监测池将安装在线系统；（3）根据入住企业污染物排放特征完善空气质量监测点，建议在戚家安置区设施环境空气质量监测点（H2S，HCl，NH3、TVOC）。</w:t>
            </w:r>
          </w:p>
        </w:tc>
      </w:tr>
    </w:tbl>
    <w:p w14:paraId="6E8AADE6">
      <w:pPr>
        <w:spacing w:line="360" w:lineRule="auto"/>
        <w:ind w:firstLine="480" w:firstLineChars="200"/>
        <w:rPr>
          <w:rFonts w:ascii="Times New Roman" w:hAnsi="Times New Roman" w:eastAsia="宋体" w:cs="宋体"/>
          <w:color w:val="auto"/>
          <w:sz w:val="24"/>
          <w:szCs w:val="24"/>
        </w:rPr>
      </w:pPr>
      <w:r>
        <w:rPr>
          <w:rFonts w:hint="eastAsia" w:ascii="Times New Roman" w:hAnsi="Times New Roman" w:eastAsia="宋体" w:cs="宋体"/>
          <w:color w:val="auto"/>
          <w:sz w:val="24"/>
          <w:szCs w:val="24"/>
        </w:rPr>
        <w:t>由上表可知，园区基础配套设施较为完善，满足园区产业调整后需求。</w:t>
      </w:r>
    </w:p>
    <w:p w14:paraId="375861E1">
      <w:pPr>
        <w:keepNext/>
        <w:keepLines/>
        <w:spacing w:before="156" w:beforeAutospacing="1" w:after="156" w:afterAutospacing="1" w:line="360" w:lineRule="auto"/>
        <w:outlineLvl w:val="1"/>
        <w:rPr>
          <w:rFonts w:hint="eastAsia" w:ascii="宋体" w:hAnsi="宋体" w:eastAsia="宋体" w:cs="宋体"/>
          <w:b/>
          <w:bCs/>
          <w:color w:val="FF0000"/>
          <w:kern w:val="0"/>
          <w:sz w:val="28"/>
          <w:szCs w:val="28"/>
        </w:rPr>
        <w:sectPr>
          <w:pgSz w:w="11906" w:h="16838"/>
          <w:pgMar w:top="1440" w:right="1800" w:bottom="1440" w:left="1800" w:header="851" w:footer="992" w:gutter="0"/>
          <w:pgNumType w:fmt="numberInDash"/>
          <w:cols w:space="720" w:num="1"/>
          <w:docGrid w:type="lines" w:linePitch="312" w:charSpace="0"/>
        </w:sectPr>
      </w:pPr>
    </w:p>
    <w:p w14:paraId="47312E46">
      <w:pPr>
        <w:pStyle w:val="4"/>
        <w:bidi w:val="0"/>
      </w:pPr>
      <w:bookmarkStart w:id="240" w:name="_Toc15443"/>
      <w:bookmarkStart w:id="241" w:name="_Toc26731"/>
      <w:bookmarkStart w:id="242" w:name="_Toc19505"/>
      <w:r>
        <w:rPr>
          <w:rFonts w:hint="eastAsia"/>
        </w:rPr>
        <w:t>5.3.13</w:t>
      </w:r>
      <w:r>
        <w:t>周边区域污染源调查</w:t>
      </w:r>
      <w:bookmarkEnd w:id="240"/>
      <w:bookmarkEnd w:id="241"/>
      <w:bookmarkEnd w:id="242"/>
    </w:p>
    <w:p w14:paraId="44C91609">
      <w:pPr>
        <w:pStyle w:val="6"/>
        <w:bidi w:val="0"/>
        <w:rPr>
          <w:rFonts w:hint="eastAsia"/>
        </w:rPr>
      </w:pPr>
      <w:bookmarkStart w:id="243" w:name="_Toc6064"/>
      <w:bookmarkStart w:id="244" w:name="_Toc32277"/>
      <w:r>
        <w:rPr>
          <w:rFonts w:hint="eastAsia"/>
        </w:rPr>
        <w:t>表5.3</w:t>
      </w:r>
      <w:r>
        <w:rPr>
          <w:rFonts w:hint="eastAsia"/>
          <w:lang w:val="en-US" w:eastAsia="zh-CN"/>
        </w:rPr>
        <w:t>.13</w:t>
      </w:r>
      <w:r>
        <w:rPr>
          <w:rFonts w:hint="eastAsia"/>
        </w:rPr>
        <w:t>-</w:t>
      </w:r>
      <w:r>
        <w:rPr>
          <w:rFonts w:hint="eastAsia"/>
          <w:lang w:val="en-US" w:eastAsia="zh-CN"/>
        </w:rPr>
        <w:t>1</w:t>
      </w:r>
      <w:r>
        <w:rPr>
          <w:rFonts w:hint="eastAsia"/>
        </w:rPr>
        <w:t xml:space="preserve">    区域主要工业企业污染物统计</w:t>
      </w:r>
      <w:bookmarkEnd w:id="243"/>
      <w:bookmarkEnd w:id="244"/>
    </w:p>
    <w:tbl>
      <w:tblPr>
        <w:tblStyle w:val="41"/>
        <w:tblW w:w="1432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9"/>
        <w:gridCol w:w="1731"/>
        <w:gridCol w:w="1514"/>
        <w:gridCol w:w="1473"/>
        <w:gridCol w:w="959"/>
        <w:gridCol w:w="852"/>
        <w:gridCol w:w="932"/>
        <w:gridCol w:w="825"/>
        <w:gridCol w:w="716"/>
        <w:gridCol w:w="825"/>
        <w:gridCol w:w="1341"/>
        <w:gridCol w:w="1753"/>
        <w:gridCol w:w="881"/>
      </w:tblGrid>
      <w:tr w14:paraId="7F26C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519" w:type="dxa"/>
            <w:vMerge w:val="restart"/>
            <w:noWrap w:val="0"/>
            <w:vAlign w:val="center"/>
          </w:tcPr>
          <w:p w14:paraId="051E3D5A">
            <w:pPr>
              <w:jc w:val="center"/>
              <w:rPr>
                <w:rFonts w:hint="eastAsia" w:ascii="宋体" w:hAnsi="宋体" w:cs="宋体"/>
                <w:b/>
                <w:sz w:val="21"/>
                <w:szCs w:val="21"/>
              </w:rPr>
            </w:pPr>
            <w:r>
              <w:rPr>
                <w:rFonts w:hint="eastAsia" w:ascii="宋体" w:hAnsi="宋体" w:cs="宋体"/>
                <w:b/>
                <w:sz w:val="21"/>
                <w:szCs w:val="21"/>
              </w:rPr>
              <w:t>序号</w:t>
            </w:r>
          </w:p>
        </w:tc>
        <w:tc>
          <w:tcPr>
            <w:tcW w:w="1731" w:type="dxa"/>
            <w:vMerge w:val="restart"/>
            <w:noWrap w:val="0"/>
            <w:vAlign w:val="center"/>
          </w:tcPr>
          <w:p w14:paraId="4B6F66B5">
            <w:pPr>
              <w:jc w:val="center"/>
              <w:rPr>
                <w:rFonts w:hint="eastAsia" w:ascii="宋体" w:hAnsi="宋体" w:cs="宋体"/>
                <w:b/>
                <w:sz w:val="21"/>
                <w:szCs w:val="21"/>
              </w:rPr>
            </w:pPr>
            <w:r>
              <w:rPr>
                <w:rFonts w:hint="eastAsia" w:ascii="宋体" w:hAnsi="宋体" w:cs="宋体"/>
                <w:b/>
                <w:sz w:val="21"/>
                <w:szCs w:val="21"/>
              </w:rPr>
              <w:t>工业企业名称</w:t>
            </w:r>
          </w:p>
        </w:tc>
        <w:tc>
          <w:tcPr>
            <w:tcW w:w="1514" w:type="dxa"/>
            <w:vMerge w:val="restart"/>
            <w:noWrap w:val="0"/>
            <w:vAlign w:val="center"/>
          </w:tcPr>
          <w:p w14:paraId="4307CC0D">
            <w:pPr>
              <w:jc w:val="center"/>
              <w:rPr>
                <w:rFonts w:hint="eastAsia" w:ascii="宋体" w:hAnsi="宋体" w:cs="宋体"/>
                <w:b/>
                <w:sz w:val="21"/>
                <w:szCs w:val="21"/>
              </w:rPr>
            </w:pPr>
            <w:r>
              <w:rPr>
                <w:rFonts w:hint="eastAsia" w:ascii="宋体" w:hAnsi="宋体" w:cs="宋体"/>
                <w:b/>
                <w:sz w:val="21"/>
                <w:szCs w:val="21"/>
              </w:rPr>
              <w:t>经度</w:t>
            </w:r>
          </w:p>
        </w:tc>
        <w:tc>
          <w:tcPr>
            <w:tcW w:w="1473" w:type="dxa"/>
            <w:vMerge w:val="restart"/>
            <w:noWrap w:val="0"/>
            <w:vAlign w:val="center"/>
          </w:tcPr>
          <w:p w14:paraId="0073E69A">
            <w:pPr>
              <w:jc w:val="center"/>
              <w:rPr>
                <w:rFonts w:hint="eastAsia" w:ascii="宋体" w:hAnsi="宋体" w:cs="宋体"/>
                <w:b/>
                <w:sz w:val="21"/>
                <w:szCs w:val="21"/>
              </w:rPr>
            </w:pPr>
            <w:r>
              <w:rPr>
                <w:rFonts w:hint="eastAsia" w:ascii="宋体" w:hAnsi="宋体" w:cs="宋体"/>
                <w:b/>
                <w:sz w:val="21"/>
                <w:szCs w:val="21"/>
              </w:rPr>
              <w:t>纬度</w:t>
            </w:r>
          </w:p>
        </w:tc>
        <w:tc>
          <w:tcPr>
            <w:tcW w:w="2743" w:type="dxa"/>
            <w:gridSpan w:val="3"/>
            <w:noWrap w:val="0"/>
            <w:vAlign w:val="center"/>
          </w:tcPr>
          <w:p w14:paraId="6F11034E">
            <w:pPr>
              <w:jc w:val="center"/>
              <w:rPr>
                <w:rFonts w:hint="eastAsia" w:ascii="宋体" w:hAnsi="宋体" w:cs="宋体"/>
                <w:b/>
                <w:sz w:val="21"/>
                <w:szCs w:val="21"/>
              </w:rPr>
            </w:pPr>
            <w:r>
              <w:rPr>
                <w:rFonts w:hint="eastAsia" w:ascii="宋体" w:hAnsi="宋体" w:cs="宋体"/>
                <w:b/>
                <w:sz w:val="21"/>
                <w:szCs w:val="21"/>
              </w:rPr>
              <w:t>水型污染物排放量</w:t>
            </w:r>
          </w:p>
          <w:p w14:paraId="68BC1C87">
            <w:pPr>
              <w:jc w:val="center"/>
              <w:rPr>
                <w:rFonts w:hint="eastAsia" w:ascii="宋体" w:hAnsi="宋体" w:cs="宋体"/>
                <w:b/>
                <w:sz w:val="21"/>
                <w:szCs w:val="21"/>
              </w:rPr>
            </w:pPr>
            <w:r>
              <w:rPr>
                <w:rFonts w:hint="eastAsia" w:ascii="宋体" w:hAnsi="宋体" w:cs="宋体"/>
                <w:b/>
                <w:sz w:val="21"/>
                <w:szCs w:val="21"/>
              </w:rPr>
              <w:t>（t/a）</w:t>
            </w:r>
          </w:p>
        </w:tc>
        <w:tc>
          <w:tcPr>
            <w:tcW w:w="3707" w:type="dxa"/>
            <w:gridSpan w:val="4"/>
            <w:noWrap w:val="0"/>
            <w:vAlign w:val="center"/>
          </w:tcPr>
          <w:p w14:paraId="1A800465">
            <w:pPr>
              <w:jc w:val="center"/>
              <w:rPr>
                <w:rFonts w:hint="eastAsia" w:ascii="宋体" w:hAnsi="宋体" w:cs="宋体"/>
                <w:b/>
                <w:sz w:val="21"/>
                <w:szCs w:val="21"/>
              </w:rPr>
            </w:pPr>
            <w:r>
              <w:rPr>
                <w:rFonts w:hint="eastAsia" w:ascii="宋体" w:hAnsi="宋体" w:cs="宋体"/>
                <w:b/>
                <w:sz w:val="21"/>
                <w:szCs w:val="21"/>
              </w:rPr>
              <w:t>气型污染物排放量（t/a）</w:t>
            </w:r>
          </w:p>
        </w:tc>
        <w:tc>
          <w:tcPr>
            <w:tcW w:w="1753" w:type="dxa"/>
            <w:vMerge w:val="restart"/>
            <w:noWrap w:val="0"/>
            <w:vAlign w:val="center"/>
          </w:tcPr>
          <w:p w14:paraId="05C59BE1">
            <w:pPr>
              <w:jc w:val="center"/>
              <w:rPr>
                <w:rFonts w:hint="eastAsia" w:ascii="宋体" w:hAnsi="宋体" w:cs="宋体"/>
                <w:b/>
                <w:sz w:val="21"/>
                <w:szCs w:val="21"/>
              </w:rPr>
            </w:pPr>
            <w:r>
              <w:rPr>
                <w:rFonts w:hint="eastAsia" w:ascii="宋体" w:hAnsi="宋体" w:cs="宋体"/>
                <w:b/>
                <w:sz w:val="21"/>
                <w:szCs w:val="21"/>
              </w:rPr>
              <w:t>固体废物（t/a）</w:t>
            </w:r>
          </w:p>
        </w:tc>
        <w:tc>
          <w:tcPr>
            <w:tcW w:w="881" w:type="dxa"/>
            <w:vMerge w:val="restart"/>
            <w:noWrap w:val="0"/>
            <w:vAlign w:val="center"/>
          </w:tcPr>
          <w:p w14:paraId="00C0792D">
            <w:pPr>
              <w:jc w:val="center"/>
              <w:rPr>
                <w:rFonts w:hint="eastAsia" w:ascii="宋体" w:hAnsi="宋体" w:cs="宋体"/>
                <w:b/>
                <w:sz w:val="21"/>
                <w:szCs w:val="21"/>
              </w:rPr>
            </w:pPr>
            <w:r>
              <w:rPr>
                <w:rFonts w:hint="eastAsia" w:ascii="宋体" w:hAnsi="宋体" w:cs="宋体"/>
                <w:b/>
                <w:sz w:val="21"/>
                <w:szCs w:val="21"/>
              </w:rPr>
              <w:t>备注</w:t>
            </w:r>
          </w:p>
        </w:tc>
      </w:tr>
      <w:tr w14:paraId="6F852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519" w:type="dxa"/>
            <w:vMerge w:val="continue"/>
            <w:noWrap w:val="0"/>
            <w:vAlign w:val="center"/>
          </w:tcPr>
          <w:p w14:paraId="2C06F938">
            <w:pPr>
              <w:jc w:val="center"/>
              <w:rPr>
                <w:rFonts w:hint="eastAsia" w:ascii="宋体" w:hAnsi="宋体" w:cs="宋体"/>
                <w:b/>
                <w:sz w:val="21"/>
                <w:szCs w:val="21"/>
              </w:rPr>
            </w:pPr>
          </w:p>
        </w:tc>
        <w:tc>
          <w:tcPr>
            <w:tcW w:w="1731" w:type="dxa"/>
            <w:vMerge w:val="continue"/>
            <w:noWrap w:val="0"/>
            <w:vAlign w:val="center"/>
          </w:tcPr>
          <w:p w14:paraId="79CEB25C">
            <w:pPr>
              <w:jc w:val="center"/>
              <w:rPr>
                <w:rFonts w:hint="eastAsia" w:ascii="宋体" w:hAnsi="宋体" w:cs="宋体"/>
                <w:b/>
                <w:sz w:val="21"/>
                <w:szCs w:val="21"/>
              </w:rPr>
            </w:pPr>
          </w:p>
        </w:tc>
        <w:tc>
          <w:tcPr>
            <w:tcW w:w="1514" w:type="dxa"/>
            <w:vMerge w:val="continue"/>
            <w:noWrap w:val="0"/>
            <w:vAlign w:val="center"/>
          </w:tcPr>
          <w:p w14:paraId="07D3978D">
            <w:pPr>
              <w:jc w:val="center"/>
              <w:rPr>
                <w:rFonts w:hint="eastAsia" w:ascii="宋体" w:hAnsi="宋体" w:cs="宋体"/>
                <w:b/>
                <w:sz w:val="21"/>
                <w:szCs w:val="21"/>
              </w:rPr>
            </w:pPr>
          </w:p>
        </w:tc>
        <w:tc>
          <w:tcPr>
            <w:tcW w:w="1473" w:type="dxa"/>
            <w:vMerge w:val="continue"/>
            <w:noWrap w:val="0"/>
            <w:vAlign w:val="center"/>
          </w:tcPr>
          <w:p w14:paraId="70B6A725">
            <w:pPr>
              <w:jc w:val="center"/>
              <w:rPr>
                <w:rFonts w:hint="eastAsia" w:ascii="宋体" w:hAnsi="宋体" w:cs="宋体"/>
                <w:b/>
                <w:sz w:val="21"/>
                <w:szCs w:val="21"/>
              </w:rPr>
            </w:pPr>
          </w:p>
        </w:tc>
        <w:tc>
          <w:tcPr>
            <w:tcW w:w="959" w:type="dxa"/>
            <w:noWrap w:val="0"/>
            <w:vAlign w:val="center"/>
          </w:tcPr>
          <w:p w14:paraId="63392017">
            <w:pPr>
              <w:jc w:val="center"/>
              <w:rPr>
                <w:rFonts w:hint="eastAsia" w:ascii="宋体" w:hAnsi="宋体" w:cs="宋体"/>
                <w:b/>
                <w:sz w:val="21"/>
                <w:szCs w:val="21"/>
              </w:rPr>
            </w:pPr>
            <w:r>
              <w:rPr>
                <w:rFonts w:hint="eastAsia" w:ascii="宋体" w:hAnsi="宋体" w:cs="宋体"/>
                <w:b/>
                <w:sz w:val="21"/>
                <w:szCs w:val="21"/>
              </w:rPr>
              <w:t>排水量</w:t>
            </w:r>
          </w:p>
        </w:tc>
        <w:tc>
          <w:tcPr>
            <w:tcW w:w="852" w:type="dxa"/>
            <w:noWrap w:val="0"/>
            <w:vAlign w:val="center"/>
          </w:tcPr>
          <w:p w14:paraId="62A2BCF5">
            <w:pPr>
              <w:jc w:val="center"/>
              <w:rPr>
                <w:rFonts w:hint="eastAsia" w:ascii="宋体" w:hAnsi="宋体" w:cs="宋体"/>
                <w:b/>
                <w:sz w:val="21"/>
                <w:szCs w:val="21"/>
              </w:rPr>
            </w:pPr>
            <w:r>
              <w:rPr>
                <w:rFonts w:hint="eastAsia" w:ascii="宋体" w:hAnsi="宋体" w:cs="宋体"/>
                <w:b/>
                <w:sz w:val="21"/>
                <w:szCs w:val="21"/>
              </w:rPr>
              <w:t>COD</w:t>
            </w:r>
          </w:p>
        </w:tc>
        <w:tc>
          <w:tcPr>
            <w:tcW w:w="932" w:type="dxa"/>
            <w:noWrap w:val="0"/>
            <w:vAlign w:val="center"/>
          </w:tcPr>
          <w:p w14:paraId="022D155F">
            <w:pPr>
              <w:jc w:val="center"/>
              <w:rPr>
                <w:rFonts w:hint="eastAsia" w:ascii="宋体" w:hAnsi="宋体" w:cs="宋体"/>
                <w:b/>
                <w:sz w:val="21"/>
                <w:szCs w:val="21"/>
              </w:rPr>
            </w:pPr>
            <w:r>
              <w:rPr>
                <w:rFonts w:hint="eastAsia" w:ascii="宋体" w:hAnsi="宋体" w:cs="宋体"/>
                <w:b/>
                <w:sz w:val="21"/>
                <w:szCs w:val="21"/>
              </w:rPr>
              <w:t>NH</w:t>
            </w:r>
            <w:r>
              <w:rPr>
                <w:rFonts w:hint="eastAsia" w:ascii="宋体" w:hAnsi="宋体" w:cs="宋体"/>
                <w:b/>
                <w:sz w:val="21"/>
                <w:szCs w:val="21"/>
                <w:vertAlign w:val="subscript"/>
              </w:rPr>
              <w:t>3</w:t>
            </w:r>
            <w:r>
              <w:rPr>
                <w:rFonts w:hint="eastAsia" w:ascii="宋体" w:hAnsi="宋体" w:cs="宋体"/>
                <w:b/>
                <w:sz w:val="21"/>
                <w:szCs w:val="21"/>
              </w:rPr>
              <w:t>-N</w:t>
            </w:r>
          </w:p>
        </w:tc>
        <w:tc>
          <w:tcPr>
            <w:tcW w:w="825" w:type="dxa"/>
            <w:noWrap w:val="0"/>
            <w:vAlign w:val="center"/>
          </w:tcPr>
          <w:p w14:paraId="33023759">
            <w:pPr>
              <w:jc w:val="center"/>
              <w:rPr>
                <w:rFonts w:hint="eastAsia" w:ascii="宋体" w:hAnsi="宋体" w:cs="宋体"/>
                <w:b/>
                <w:sz w:val="21"/>
                <w:szCs w:val="21"/>
              </w:rPr>
            </w:pPr>
            <w:r>
              <w:rPr>
                <w:rFonts w:hint="eastAsia" w:ascii="宋体" w:hAnsi="宋体" w:cs="宋体"/>
                <w:b/>
                <w:sz w:val="21"/>
                <w:szCs w:val="21"/>
              </w:rPr>
              <w:t>SO</w:t>
            </w:r>
            <w:r>
              <w:rPr>
                <w:rFonts w:hint="eastAsia" w:ascii="宋体" w:hAnsi="宋体" w:cs="宋体"/>
                <w:b/>
                <w:sz w:val="21"/>
                <w:szCs w:val="21"/>
                <w:vertAlign w:val="subscript"/>
              </w:rPr>
              <w:t>2</w:t>
            </w:r>
          </w:p>
        </w:tc>
        <w:tc>
          <w:tcPr>
            <w:tcW w:w="716" w:type="dxa"/>
            <w:noWrap w:val="0"/>
            <w:vAlign w:val="center"/>
          </w:tcPr>
          <w:p w14:paraId="6DCD052A">
            <w:pPr>
              <w:jc w:val="center"/>
              <w:rPr>
                <w:rFonts w:hint="eastAsia" w:ascii="宋体" w:hAnsi="宋体" w:cs="宋体"/>
                <w:b/>
                <w:sz w:val="21"/>
                <w:szCs w:val="21"/>
              </w:rPr>
            </w:pPr>
            <w:r>
              <w:rPr>
                <w:rFonts w:hint="eastAsia" w:ascii="宋体" w:hAnsi="宋体" w:cs="宋体"/>
                <w:b/>
                <w:sz w:val="21"/>
                <w:szCs w:val="21"/>
              </w:rPr>
              <w:t>NO</w:t>
            </w:r>
            <w:r>
              <w:rPr>
                <w:rFonts w:hint="eastAsia" w:ascii="宋体" w:hAnsi="宋体" w:cs="宋体"/>
                <w:b/>
                <w:sz w:val="21"/>
                <w:szCs w:val="21"/>
                <w:vertAlign w:val="subscript"/>
              </w:rPr>
              <w:t>X</w:t>
            </w:r>
          </w:p>
        </w:tc>
        <w:tc>
          <w:tcPr>
            <w:tcW w:w="825" w:type="dxa"/>
            <w:noWrap w:val="0"/>
            <w:vAlign w:val="center"/>
          </w:tcPr>
          <w:p w14:paraId="3B427C8B">
            <w:pPr>
              <w:jc w:val="center"/>
              <w:rPr>
                <w:rFonts w:hint="eastAsia" w:ascii="宋体" w:hAnsi="宋体" w:cs="宋体"/>
                <w:b/>
                <w:sz w:val="21"/>
                <w:szCs w:val="21"/>
              </w:rPr>
            </w:pPr>
            <w:r>
              <w:rPr>
                <w:rFonts w:hint="eastAsia" w:ascii="宋体" w:hAnsi="宋体" w:cs="宋体"/>
                <w:b/>
                <w:sz w:val="21"/>
                <w:szCs w:val="21"/>
              </w:rPr>
              <w:t>颗粒物</w:t>
            </w:r>
          </w:p>
        </w:tc>
        <w:tc>
          <w:tcPr>
            <w:tcW w:w="1341" w:type="dxa"/>
            <w:noWrap w:val="0"/>
            <w:vAlign w:val="center"/>
          </w:tcPr>
          <w:p w14:paraId="0D2E1AB7">
            <w:pPr>
              <w:jc w:val="center"/>
              <w:rPr>
                <w:rFonts w:hint="eastAsia" w:ascii="宋体" w:hAnsi="宋体" w:cs="宋体"/>
                <w:b/>
                <w:sz w:val="21"/>
                <w:szCs w:val="21"/>
              </w:rPr>
            </w:pPr>
            <w:r>
              <w:rPr>
                <w:rFonts w:hint="eastAsia" w:ascii="宋体" w:hAnsi="宋体" w:cs="宋体"/>
                <w:b/>
                <w:sz w:val="21"/>
                <w:szCs w:val="21"/>
              </w:rPr>
              <w:t>其他气型特征污染物</w:t>
            </w:r>
          </w:p>
        </w:tc>
        <w:tc>
          <w:tcPr>
            <w:tcW w:w="1753" w:type="dxa"/>
            <w:vMerge w:val="continue"/>
            <w:noWrap w:val="0"/>
            <w:vAlign w:val="center"/>
          </w:tcPr>
          <w:p w14:paraId="44A6D543">
            <w:pPr>
              <w:jc w:val="center"/>
              <w:rPr>
                <w:rFonts w:hint="eastAsia" w:ascii="宋体" w:hAnsi="宋体" w:cs="宋体"/>
                <w:b/>
                <w:sz w:val="21"/>
                <w:szCs w:val="21"/>
              </w:rPr>
            </w:pPr>
          </w:p>
        </w:tc>
        <w:tc>
          <w:tcPr>
            <w:tcW w:w="881" w:type="dxa"/>
            <w:vMerge w:val="continue"/>
            <w:noWrap w:val="0"/>
            <w:vAlign w:val="center"/>
          </w:tcPr>
          <w:p w14:paraId="645F6842">
            <w:pPr>
              <w:jc w:val="center"/>
              <w:rPr>
                <w:rFonts w:hint="eastAsia" w:ascii="宋体" w:hAnsi="宋体" w:cs="宋体"/>
                <w:b/>
                <w:sz w:val="21"/>
                <w:szCs w:val="21"/>
              </w:rPr>
            </w:pPr>
          </w:p>
        </w:tc>
      </w:tr>
      <w:tr w14:paraId="7DBF6515">
        <w:tblPrEx>
          <w:tblCellMar>
            <w:top w:w="0" w:type="dxa"/>
            <w:left w:w="108" w:type="dxa"/>
            <w:bottom w:w="0" w:type="dxa"/>
            <w:right w:w="108" w:type="dxa"/>
          </w:tblCellMar>
        </w:tblPrEx>
        <w:tc>
          <w:tcPr>
            <w:tcW w:w="519" w:type="dxa"/>
            <w:noWrap w:val="0"/>
            <w:vAlign w:val="center"/>
          </w:tcPr>
          <w:p w14:paraId="3B9504CD">
            <w:pPr>
              <w:widowControl/>
              <w:jc w:val="center"/>
              <w:rPr>
                <w:rFonts w:hint="eastAsia" w:ascii="宋体" w:hAnsi="宋体" w:cs="宋体"/>
                <w:bCs/>
                <w:sz w:val="21"/>
                <w:lang w:eastAsia="en-US" w:bidi="ar"/>
              </w:rPr>
            </w:pPr>
            <w:r>
              <w:rPr>
                <w:rFonts w:hint="eastAsia" w:ascii="宋体" w:hAnsi="宋体" w:cs="宋体"/>
                <w:bCs/>
                <w:sz w:val="21"/>
                <w:lang w:bidi="ar"/>
              </w:rPr>
              <w:t>1</w:t>
            </w:r>
          </w:p>
        </w:tc>
        <w:tc>
          <w:tcPr>
            <w:tcW w:w="1731" w:type="dxa"/>
            <w:noWrap w:val="0"/>
            <w:vAlign w:val="center"/>
          </w:tcPr>
          <w:p w14:paraId="56268C7D">
            <w:pPr>
              <w:widowControl/>
              <w:jc w:val="center"/>
              <w:rPr>
                <w:rFonts w:hint="eastAsia" w:ascii="宋体" w:hAnsi="宋体" w:cs="宋体"/>
                <w:bCs/>
                <w:sz w:val="21"/>
                <w:lang w:bidi="ar"/>
              </w:rPr>
            </w:pPr>
            <w:r>
              <w:rPr>
                <w:rFonts w:hint="eastAsia" w:ascii="宋体" w:hAnsi="宋体" w:cs="宋体"/>
                <w:bCs/>
                <w:sz w:val="21"/>
                <w:lang w:bidi="ar"/>
              </w:rPr>
              <w:t>湖南娄星纺织有限公司</w:t>
            </w:r>
          </w:p>
        </w:tc>
        <w:tc>
          <w:tcPr>
            <w:tcW w:w="1514" w:type="dxa"/>
            <w:noWrap w:val="0"/>
            <w:vAlign w:val="center"/>
          </w:tcPr>
          <w:p w14:paraId="02A530BA">
            <w:pPr>
              <w:widowControl/>
              <w:jc w:val="center"/>
              <w:rPr>
                <w:rFonts w:hint="eastAsia" w:ascii="宋体" w:hAnsi="宋体" w:cs="宋体"/>
                <w:bCs/>
                <w:sz w:val="21"/>
                <w:lang w:eastAsia="en-US" w:bidi="ar"/>
              </w:rPr>
            </w:pPr>
            <w:r>
              <w:rPr>
                <w:rFonts w:hint="eastAsia" w:ascii="宋体" w:hAnsi="宋体" w:cs="宋体"/>
                <w:bCs/>
                <w:sz w:val="21"/>
                <w:lang w:bidi="ar"/>
              </w:rPr>
              <w:t>111.996393255</w:t>
            </w:r>
          </w:p>
        </w:tc>
        <w:tc>
          <w:tcPr>
            <w:tcW w:w="1473" w:type="dxa"/>
            <w:noWrap w:val="0"/>
            <w:vAlign w:val="center"/>
          </w:tcPr>
          <w:p w14:paraId="29A3CE85">
            <w:pPr>
              <w:widowControl/>
              <w:jc w:val="center"/>
              <w:rPr>
                <w:rFonts w:hint="eastAsia" w:ascii="宋体" w:hAnsi="宋体" w:cs="宋体"/>
                <w:bCs/>
                <w:sz w:val="21"/>
                <w:lang w:eastAsia="en-US" w:bidi="ar"/>
              </w:rPr>
            </w:pPr>
            <w:r>
              <w:rPr>
                <w:rFonts w:hint="eastAsia" w:ascii="宋体" w:hAnsi="宋体" w:cs="宋体"/>
                <w:bCs/>
                <w:sz w:val="21"/>
                <w:lang w:bidi="ar"/>
              </w:rPr>
              <w:t>27.733136914</w:t>
            </w:r>
          </w:p>
        </w:tc>
        <w:tc>
          <w:tcPr>
            <w:tcW w:w="959" w:type="dxa"/>
            <w:noWrap w:val="0"/>
            <w:vAlign w:val="center"/>
          </w:tcPr>
          <w:p w14:paraId="41572D85">
            <w:pPr>
              <w:widowControl/>
              <w:jc w:val="center"/>
              <w:rPr>
                <w:rFonts w:hint="eastAsia" w:ascii="宋体" w:hAnsi="宋体" w:cs="宋体"/>
                <w:bCs/>
                <w:sz w:val="21"/>
                <w:lang w:eastAsia="en-US" w:bidi="ar"/>
              </w:rPr>
            </w:pPr>
            <w:r>
              <w:rPr>
                <w:rFonts w:hint="eastAsia" w:ascii="宋体" w:hAnsi="宋体" w:cs="宋体"/>
                <w:bCs/>
                <w:sz w:val="21"/>
                <w:lang w:bidi="ar"/>
              </w:rPr>
              <w:t>20800</w:t>
            </w:r>
          </w:p>
        </w:tc>
        <w:tc>
          <w:tcPr>
            <w:tcW w:w="852" w:type="dxa"/>
            <w:noWrap w:val="0"/>
            <w:vAlign w:val="center"/>
          </w:tcPr>
          <w:p w14:paraId="0E92A823">
            <w:pPr>
              <w:widowControl/>
              <w:jc w:val="center"/>
              <w:rPr>
                <w:rFonts w:hint="eastAsia" w:ascii="宋体" w:hAnsi="宋体" w:cs="宋体"/>
                <w:bCs/>
                <w:sz w:val="21"/>
                <w:lang w:eastAsia="en-US" w:bidi="ar"/>
              </w:rPr>
            </w:pPr>
            <w:r>
              <w:rPr>
                <w:rFonts w:hint="eastAsia" w:ascii="宋体" w:hAnsi="宋体" w:cs="宋体"/>
                <w:bCs/>
                <w:sz w:val="21"/>
                <w:lang w:bidi="ar"/>
              </w:rPr>
              <w:t>1.25</w:t>
            </w:r>
          </w:p>
        </w:tc>
        <w:tc>
          <w:tcPr>
            <w:tcW w:w="932" w:type="dxa"/>
            <w:noWrap w:val="0"/>
            <w:vAlign w:val="center"/>
          </w:tcPr>
          <w:p w14:paraId="006B28FD">
            <w:pPr>
              <w:widowControl/>
              <w:jc w:val="center"/>
              <w:rPr>
                <w:rFonts w:hint="eastAsia" w:ascii="宋体" w:hAnsi="宋体" w:cs="宋体"/>
                <w:bCs/>
                <w:sz w:val="21"/>
                <w:lang w:eastAsia="en-US" w:bidi="ar"/>
              </w:rPr>
            </w:pPr>
            <w:r>
              <w:rPr>
                <w:rFonts w:hint="eastAsia" w:ascii="宋体" w:hAnsi="宋体" w:cs="宋体"/>
                <w:bCs/>
                <w:sz w:val="21"/>
                <w:lang w:bidi="ar"/>
              </w:rPr>
              <w:t>0.31</w:t>
            </w:r>
          </w:p>
        </w:tc>
        <w:tc>
          <w:tcPr>
            <w:tcW w:w="825" w:type="dxa"/>
            <w:noWrap w:val="0"/>
            <w:vAlign w:val="center"/>
          </w:tcPr>
          <w:p w14:paraId="5FEFAD05">
            <w:pPr>
              <w:widowControl/>
              <w:jc w:val="center"/>
              <w:rPr>
                <w:rFonts w:hint="eastAsia" w:ascii="宋体" w:hAnsi="宋体" w:cs="宋体"/>
                <w:bCs/>
                <w:sz w:val="21"/>
                <w:lang w:eastAsia="en-US" w:bidi="ar"/>
              </w:rPr>
            </w:pPr>
            <w:r>
              <w:rPr>
                <w:rFonts w:hint="eastAsia" w:ascii="宋体" w:hAnsi="宋体" w:cs="宋体"/>
                <w:bCs/>
                <w:sz w:val="21"/>
                <w:lang w:bidi="ar"/>
              </w:rPr>
              <w:t>0.09</w:t>
            </w:r>
          </w:p>
        </w:tc>
        <w:tc>
          <w:tcPr>
            <w:tcW w:w="716" w:type="dxa"/>
            <w:noWrap w:val="0"/>
            <w:vAlign w:val="center"/>
          </w:tcPr>
          <w:p w14:paraId="38F5347B">
            <w:pPr>
              <w:widowControl/>
              <w:jc w:val="center"/>
              <w:rPr>
                <w:rFonts w:hint="eastAsia" w:ascii="宋体" w:hAnsi="宋体" w:cs="宋体"/>
                <w:bCs/>
                <w:sz w:val="21"/>
                <w:lang w:bidi="ar"/>
              </w:rPr>
            </w:pPr>
            <w:r>
              <w:rPr>
                <w:rFonts w:hint="eastAsia" w:ascii="宋体" w:hAnsi="宋体" w:cs="宋体"/>
                <w:bCs/>
                <w:sz w:val="21"/>
                <w:lang w:bidi="ar"/>
              </w:rPr>
              <w:t>0</w:t>
            </w:r>
          </w:p>
        </w:tc>
        <w:tc>
          <w:tcPr>
            <w:tcW w:w="825" w:type="dxa"/>
            <w:noWrap w:val="0"/>
            <w:vAlign w:val="center"/>
          </w:tcPr>
          <w:p w14:paraId="085992D4">
            <w:pPr>
              <w:widowControl/>
              <w:jc w:val="center"/>
              <w:rPr>
                <w:rFonts w:hint="eastAsia" w:ascii="宋体" w:hAnsi="宋体" w:cs="宋体"/>
                <w:bCs/>
                <w:sz w:val="21"/>
                <w:lang w:eastAsia="en-US" w:bidi="ar"/>
              </w:rPr>
            </w:pPr>
            <w:r>
              <w:rPr>
                <w:rFonts w:hint="eastAsia" w:ascii="宋体" w:hAnsi="宋体" w:cs="宋体"/>
                <w:bCs/>
                <w:sz w:val="21"/>
                <w:lang w:bidi="ar"/>
              </w:rPr>
              <w:t>0.69</w:t>
            </w:r>
          </w:p>
        </w:tc>
        <w:tc>
          <w:tcPr>
            <w:tcW w:w="1341" w:type="dxa"/>
            <w:noWrap w:val="0"/>
            <w:vAlign w:val="center"/>
          </w:tcPr>
          <w:p w14:paraId="052F8F3A">
            <w:pPr>
              <w:widowControl/>
              <w:jc w:val="center"/>
              <w:rPr>
                <w:rFonts w:hint="eastAsia" w:ascii="宋体" w:hAnsi="宋体" w:cs="宋体"/>
                <w:bCs/>
                <w:sz w:val="21"/>
                <w:lang w:bidi="ar"/>
              </w:rPr>
            </w:pPr>
            <w:r>
              <w:rPr>
                <w:rFonts w:hint="eastAsia" w:ascii="宋体" w:hAnsi="宋体" w:cs="宋体"/>
                <w:bCs/>
                <w:sz w:val="21"/>
                <w:lang w:bidi="ar"/>
              </w:rPr>
              <w:t>/</w:t>
            </w:r>
          </w:p>
        </w:tc>
        <w:tc>
          <w:tcPr>
            <w:tcW w:w="1753" w:type="dxa"/>
            <w:noWrap w:val="0"/>
            <w:vAlign w:val="center"/>
          </w:tcPr>
          <w:p w14:paraId="06C7E835">
            <w:pPr>
              <w:widowControl/>
              <w:jc w:val="center"/>
              <w:rPr>
                <w:rFonts w:hint="eastAsia" w:ascii="宋体" w:hAnsi="宋体" w:cs="宋体"/>
                <w:bCs/>
                <w:sz w:val="21"/>
                <w:lang w:eastAsia="en-US" w:bidi="ar"/>
              </w:rPr>
            </w:pPr>
            <w:r>
              <w:rPr>
                <w:rFonts w:hint="eastAsia" w:ascii="宋体" w:hAnsi="宋体" w:cs="宋体"/>
                <w:bCs/>
                <w:sz w:val="21"/>
                <w:lang w:bidi="ar"/>
              </w:rPr>
              <w:t>一般固废682.31</w:t>
            </w:r>
          </w:p>
        </w:tc>
        <w:tc>
          <w:tcPr>
            <w:tcW w:w="881" w:type="dxa"/>
            <w:noWrap w:val="0"/>
            <w:vAlign w:val="center"/>
          </w:tcPr>
          <w:p w14:paraId="0360FCE8">
            <w:pPr>
              <w:widowControl/>
              <w:jc w:val="center"/>
              <w:rPr>
                <w:rFonts w:hint="eastAsia" w:ascii="宋体" w:hAnsi="宋体" w:cs="宋体"/>
                <w:bCs/>
                <w:sz w:val="21"/>
                <w:lang w:eastAsia="en-US" w:bidi="ar"/>
              </w:rPr>
            </w:pPr>
            <w:r>
              <w:rPr>
                <w:rFonts w:hint="eastAsia" w:ascii="宋体" w:hAnsi="宋体" w:cs="宋体"/>
                <w:bCs/>
                <w:sz w:val="21"/>
                <w:lang w:bidi="ar"/>
              </w:rPr>
              <w:t>已投产</w:t>
            </w:r>
          </w:p>
        </w:tc>
      </w:tr>
      <w:tr w14:paraId="72D58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9" w:type="dxa"/>
            <w:noWrap w:val="0"/>
            <w:vAlign w:val="center"/>
          </w:tcPr>
          <w:p w14:paraId="50548DE7">
            <w:pPr>
              <w:widowControl/>
              <w:jc w:val="center"/>
              <w:rPr>
                <w:rFonts w:hint="eastAsia" w:ascii="宋体" w:hAnsi="宋体" w:cs="宋体"/>
                <w:bCs/>
                <w:sz w:val="21"/>
                <w:lang w:eastAsia="en-US" w:bidi="ar"/>
              </w:rPr>
            </w:pPr>
            <w:r>
              <w:rPr>
                <w:rFonts w:hint="eastAsia" w:ascii="宋体" w:hAnsi="宋体" w:cs="宋体"/>
                <w:bCs/>
                <w:sz w:val="21"/>
                <w:lang w:bidi="ar"/>
              </w:rPr>
              <w:t>2</w:t>
            </w:r>
          </w:p>
        </w:tc>
        <w:tc>
          <w:tcPr>
            <w:tcW w:w="1731" w:type="dxa"/>
            <w:noWrap w:val="0"/>
            <w:vAlign w:val="center"/>
          </w:tcPr>
          <w:p w14:paraId="77A556E8">
            <w:pPr>
              <w:widowControl/>
              <w:jc w:val="center"/>
              <w:rPr>
                <w:rFonts w:hint="eastAsia" w:ascii="宋体" w:hAnsi="宋体" w:cs="宋体"/>
                <w:bCs/>
                <w:sz w:val="21"/>
                <w:lang w:bidi="ar"/>
              </w:rPr>
            </w:pPr>
            <w:r>
              <w:rPr>
                <w:rFonts w:hint="eastAsia" w:ascii="宋体" w:hAnsi="宋体" w:cs="宋体"/>
                <w:bCs/>
                <w:sz w:val="21"/>
                <w:lang w:bidi="ar"/>
              </w:rPr>
              <w:t>湖南友联纺织有限公司</w:t>
            </w:r>
          </w:p>
        </w:tc>
        <w:tc>
          <w:tcPr>
            <w:tcW w:w="1514" w:type="dxa"/>
            <w:noWrap w:val="0"/>
            <w:vAlign w:val="center"/>
          </w:tcPr>
          <w:p w14:paraId="712D10CD">
            <w:pPr>
              <w:widowControl/>
              <w:jc w:val="center"/>
              <w:rPr>
                <w:rFonts w:hint="eastAsia" w:ascii="宋体" w:hAnsi="宋体" w:cs="宋体"/>
                <w:bCs/>
                <w:sz w:val="21"/>
                <w:lang w:eastAsia="en-US" w:bidi="ar"/>
              </w:rPr>
            </w:pPr>
            <w:r>
              <w:rPr>
                <w:rFonts w:hint="eastAsia" w:ascii="宋体" w:hAnsi="宋体" w:cs="宋体"/>
                <w:bCs/>
                <w:sz w:val="21"/>
                <w:lang w:bidi="ar"/>
              </w:rPr>
              <w:t>111.996020805</w:t>
            </w:r>
          </w:p>
        </w:tc>
        <w:tc>
          <w:tcPr>
            <w:tcW w:w="1473" w:type="dxa"/>
            <w:noWrap w:val="0"/>
            <w:vAlign w:val="center"/>
          </w:tcPr>
          <w:p w14:paraId="44BB1C3E">
            <w:pPr>
              <w:widowControl/>
              <w:jc w:val="center"/>
              <w:rPr>
                <w:rFonts w:hint="eastAsia" w:ascii="宋体" w:hAnsi="宋体" w:cs="宋体"/>
                <w:bCs/>
                <w:sz w:val="21"/>
                <w:lang w:eastAsia="en-US" w:bidi="ar"/>
              </w:rPr>
            </w:pPr>
            <w:r>
              <w:rPr>
                <w:rFonts w:hint="eastAsia" w:ascii="宋体" w:hAnsi="宋体" w:cs="宋体"/>
                <w:bCs/>
                <w:sz w:val="21"/>
                <w:lang w:bidi="ar"/>
              </w:rPr>
              <w:t>27.085817141</w:t>
            </w:r>
          </w:p>
        </w:tc>
        <w:tc>
          <w:tcPr>
            <w:tcW w:w="959" w:type="dxa"/>
            <w:noWrap w:val="0"/>
            <w:vAlign w:val="center"/>
          </w:tcPr>
          <w:p w14:paraId="3923EDBA">
            <w:pPr>
              <w:widowControl/>
              <w:jc w:val="center"/>
              <w:rPr>
                <w:rFonts w:hint="eastAsia" w:ascii="宋体" w:hAnsi="宋体" w:cs="宋体"/>
                <w:bCs/>
                <w:sz w:val="21"/>
                <w:lang w:eastAsia="en-US" w:bidi="ar"/>
              </w:rPr>
            </w:pPr>
            <w:r>
              <w:rPr>
                <w:rFonts w:hint="eastAsia" w:ascii="宋体" w:hAnsi="宋体" w:cs="宋体"/>
                <w:bCs/>
                <w:sz w:val="21"/>
                <w:lang w:bidi="ar"/>
              </w:rPr>
              <w:t>12000</w:t>
            </w:r>
          </w:p>
        </w:tc>
        <w:tc>
          <w:tcPr>
            <w:tcW w:w="852" w:type="dxa"/>
            <w:noWrap w:val="0"/>
            <w:vAlign w:val="center"/>
          </w:tcPr>
          <w:p w14:paraId="50421F1F">
            <w:pPr>
              <w:widowControl/>
              <w:jc w:val="center"/>
              <w:rPr>
                <w:rFonts w:hint="eastAsia" w:ascii="宋体" w:hAnsi="宋体" w:cs="宋体"/>
                <w:bCs/>
                <w:sz w:val="21"/>
                <w:lang w:eastAsia="en-US" w:bidi="ar"/>
              </w:rPr>
            </w:pPr>
            <w:r>
              <w:rPr>
                <w:rFonts w:hint="eastAsia" w:ascii="宋体" w:hAnsi="宋体" w:cs="宋体"/>
                <w:bCs/>
                <w:sz w:val="21"/>
                <w:lang w:bidi="ar"/>
              </w:rPr>
              <w:t>0.72</w:t>
            </w:r>
          </w:p>
        </w:tc>
        <w:tc>
          <w:tcPr>
            <w:tcW w:w="932" w:type="dxa"/>
            <w:noWrap w:val="0"/>
            <w:vAlign w:val="center"/>
          </w:tcPr>
          <w:p w14:paraId="6BF71B0F">
            <w:pPr>
              <w:widowControl/>
              <w:jc w:val="center"/>
              <w:rPr>
                <w:rFonts w:hint="eastAsia" w:ascii="宋体" w:hAnsi="宋体" w:cs="宋体"/>
                <w:bCs/>
                <w:sz w:val="21"/>
                <w:lang w:eastAsia="en-US" w:bidi="ar"/>
              </w:rPr>
            </w:pPr>
            <w:r>
              <w:rPr>
                <w:rFonts w:hint="eastAsia" w:ascii="宋体" w:hAnsi="宋体" w:cs="宋体"/>
                <w:bCs/>
                <w:sz w:val="21"/>
                <w:lang w:bidi="ar"/>
              </w:rPr>
              <w:t>0.18</w:t>
            </w:r>
          </w:p>
        </w:tc>
        <w:tc>
          <w:tcPr>
            <w:tcW w:w="825" w:type="dxa"/>
            <w:noWrap w:val="0"/>
            <w:vAlign w:val="center"/>
          </w:tcPr>
          <w:p w14:paraId="0509A18C">
            <w:pPr>
              <w:widowControl/>
              <w:jc w:val="center"/>
              <w:rPr>
                <w:rFonts w:hint="eastAsia" w:ascii="宋体" w:hAnsi="宋体" w:cs="宋体"/>
                <w:bCs/>
                <w:sz w:val="21"/>
                <w:lang w:eastAsia="en-US" w:bidi="ar"/>
              </w:rPr>
            </w:pPr>
            <w:r>
              <w:rPr>
                <w:rFonts w:hint="eastAsia" w:ascii="宋体" w:hAnsi="宋体" w:cs="宋体"/>
                <w:bCs/>
                <w:sz w:val="21"/>
                <w:lang w:bidi="ar"/>
              </w:rPr>
              <w:t>0</w:t>
            </w:r>
          </w:p>
        </w:tc>
        <w:tc>
          <w:tcPr>
            <w:tcW w:w="716" w:type="dxa"/>
            <w:noWrap w:val="0"/>
            <w:vAlign w:val="center"/>
          </w:tcPr>
          <w:p w14:paraId="56EDF7C7">
            <w:pPr>
              <w:widowControl/>
              <w:jc w:val="center"/>
              <w:rPr>
                <w:rFonts w:hint="eastAsia" w:ascii="宋体" w:hAnsi="宋体" w:cs="宋体"/>
                <w:bCs/>
                <w:sz w:val="21"/>
                <w:lang w:eastAsia="en-US" w:bidi="ar"/>
              </w:rPr>
            </w:pPr>
            <w:r>
              <w:rPr>
                <w:rFonts w:hint="eastAsia" w:ascii="宋体" w:hAnsi="宋体" w:cs="宋体"/>
                <w:bCs/>
                <w:sz w:val="21"/>
                <w:lang w:bidi="ar"/>
              </w:rPr>
              <w:t>0</w:t>
            </w:r>
          </w:p>
        </w:tc>
        <w:tc>
          <w:tcPr>
            <w:tcW w:w="825" w:type="dxa"/>
            <w:noWrap w:val="0"/>
            <w:vAlign w:val="center"/>
          </w:tcPr>
          <w:p w14:paraId="68E9ADEF">
            <w:pPr>
              <w:widowControl/>
              <w:jc w:val="center"/>
              <w:rPr>
                <w:rFonts w:hint="eastAsia" w:ascii="宋体" w:hAnsi="宋体" w:cs="宋体"/>
                <w:bCs/>
                <w:sz w:val="21"/>
                <w:lang w:eastAsia="en-US" w:bidi="ar"/>
              </w:rPr>
            </w:pPr>
            <w:r>
              <w:rPr>
                <w:rFonts w:hint="eastAsia" w:ascii="宋体" w:hAnsi="宋体" w:cs="宋体"/>
                <w:bCs/>
                <w:sz w:val="21"/>
                <w:lang w:bidi="ar"/>
              </w:rPr>
              <w:t>0.26</w:t>
            </w:r>
          </w:p>
        </w:tc>
        <w:tc>
          <w:tcPr>
            <w:tcW w:w="1341" w:type="dxa"/>
            <w:noWrap w:val="0"/>
            <w:vAlign w:val="center"/>
          </w:tcPr>
          <w:p w14:paraId="54828F34">
            <w:pPr>
              <w:widowControl/>
              <w:jc w:val="center"/>
              <w:rPr>
                <w:rFonts w:hint="eastAsia" w:ascii="宋体" w:hAnsi="宋体" w:cs="宋体"/>
                <w:bCs/>
                <w:sz w:val="21"/>
                <w:lang w:eastAsia="en-US" w:bidi="ar"/>
              </w:rPr>
            </w:pPr>
            <w:r>
              <w:rPr>
                <w:rFonts w:hint="eastAsia" w:ascii="宋体" w:hAnsi="宋体" w:cs="宋体"/>
                <w:bCs/>
                <w:sz w:val="21"/>
                <w:lang w:bidi="ar"/>
              </w:rPr>
              <w:t>/</w:t>
            </w:r>
          </w:p>
        </w:tc>
        <w:tc>
          <w:tcPr>
            <w:tcW w:w="1753" w:type="dxa"/>
            <w:noWrap w:val="0"/>
            <w:vAlign w:val="center"/>
          </w:tcPr>
          <w:p w14:paraId="39722F27">
            <w:pPr>
              <w:widowControl/>
              <w:jc w:val="center"/>
              <w:rPr>
                <w:rFonts w:hint="eastAsia" w:ascii="宋体" w:hAnsi="宋体" w:cs="宋体"/>
                <w:bCs/>
                <w:sz w:val="21"/>
                <w:lang w:eastAsia="en-US" w:bidi="ar"/>
              </w:rPr>
            </w:pPr>
            <w:r>
              <w:rPr>
                <w:rFonts w:hint="eastAsia" w:ascii="宋体" w:hAnsi="宋体" w:cs="宋体"/>
                <w:bCs/>
                <w:sz w:val="21"/>
                <w:lang w:bidi="ar"/>
              </w:rPr>
              <w:t>一般固废1043</w:t>
            </w:r>
          </w:p>
        </w:tc>
        <w:tc>
          <w:tcPr>
            <w:tcW w:w="881" w:type="dxa"/>
            <w:noWrap w:val="0"/>
            <w:vAlign w:val="center"/>
          </w:tcPr>
          <w:p w14:paraId="1573C821">
            <w:pPr>
              <w:widowControl/>
              <w:jc w:val="center"/>
              <w:rPr>
                <w:rFonts w:hint="eastAsia" w:ascii="宋体" w:hAnsi="宋体" w:cs="宋体"/>
                <w:bCs/>
                <w:sz w:val="21"/>
                <w:lang w:eastAsia="en-US" w:bidi="ar"/>
              </w:rPr>
            </w:pPr>
            <w:r>
              <w:rPr>
                <w:rFonts w:hint="eastAsia" w:ascii="宋体" w:hAnsi="宋体" w:cs="宋体"/>
                <w:bCs/>
                <w:sz w:val="21"/>
                <w:lang w:bidi="ar"/>
              </w:rPr>
              <w:t>已投产</w:t>
            </w:r>
          </w:p>
        </w:tc>
      </w:tr>
      <w:tr w14:paraId="0B09F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9" w:type="dxa"/>
            <w:noWrap w:val="0"/>
            <w:vAlign w:val="center"/>
          </w:tcPr>
          <w:p w14:paraId="45216657">
            <w:pPr>
              <w:widowControl/>
              <w:jc w:val="center"/>
              <w:rPr>
                <w:rFonts w:hint="eastAsia" w:ascii="宋体" w:hAnsi="宋体" w:cs="宋体"/>
                <w:bCs/>
                <w:sz w:val="21"/>
                <w:lang w:eastAsia="en-US" w:bidi="ar"/>
              </w:rPr>
            </w:pPr>
            <w:r>
              <w:rPr>
                <w:rFonts w:hint="eastAsia" w:ascii="宋体" w:hAnsi="宋体" w:cs="宋体"/>
                <w:bCs/>
                <w:sz w:val="21"/>
                <w:lang w:bidi="ar"/>
              </w:rPr>
              <w:t>3</w:t>
            </w:r>
          </w:p>
        </w:tc>
        <w:tc>
          <w:tcPr>
            <w:tcW w:w="1731" w:type="dxa"/>
            <w:noWrap w:val="0"/>
            <w:vAlign w:val="center"/>
          </w:tcPr>
          <w:p w14:paraId="5179F709">
            <w:pPr>
              <w:widowControl/>
              <w:jc w:val="center"/>
              <w:rPr>
                <w:rFonts w:hint="eastAsia" w:ascii="宋体" w:hAnsi="宋体" w:cs="宋体"/>
                <w:bCs/>
                <w:sz w:val="21"/>
                <w:lang w:bidi="ar"/>
              </w:rPr>
            </w:pPr>
            <w:r>
              <w:rPr>
                <w:rFonts w:hint="eastAsia" w:ascii="宋体" w:hAnsi="宋体" w:cs="宋体"/>
                <w:bCs/>
                <w:sz w:val="21"/>
                <w:lang w:bidi="ar"/>
              </w:rPr>
              <w:t>湖南宏力纺织有限公司</w:t>
            </w:r>
          </w:p>
        </w:tc>
        <w:tc>
          <w:tcPr>
            <w:tcW w:w="1514" w:type="dxa"/>
            <w:noWrap w:val="0"/>
            <w:vAlign w:val="center"/>
          </w:tcPr>
          <w:p w14:paraId="0362F563">
            <w:pPr>
              <w:widowControl/>
              <w:jc w:val="center"/>
              <w:rPr>
                <w:rFonts w:hint="eastAsia" w:ascii="宋体" w:hAnsi="宋体" w:cs="宋体"/>
                <w:bCs/>
                <w:sz w:val="21"/>
                <w:lang w:eastAsia="en-US" w:bidi="ar"/>
              </w:rPr>
            </w:pPr>
            <w:r>
              <w:rPr>
                <w:rFonts w:hint="eastAsia" w:ascii="宋体" w:hAnsi="宋体" w:cs="宋体"/>
                <w:bCs/>
                <w:sz w:val="21"/>
                <w:lang w:bidi="ar"/>
              </w:rPr>
              <w:t>111.996085178</w:t>
            </w:r>
          </w:p>
        </w:tc>
        <w:tc>
          <w:tcPr>
            <w:tcW w:w="1473" w:type="dxa"/>
            <w:noWrap w:val="0"/>
            <w:vAlign w:val="center"/>
          </w:tcPr>
          <w:p w14:paraId="27D11EB0">
            <w:pPr>
              <w:widowControl/>
              <w:jc w:val="center"/>
              <w:rPr>
                <w:rFonts w:hint="eastAsia" w:ascii="宋体" w:hAnsi="宋体" w:cs="宋体"/>
                <w:bCs/>
                <w:sz w:val="21"/>
                <w:lang w:eastAsia="en-US" w:bidi="ar"/>
              </w:rPr>
            </w:pPr>
            <w:r>
              <w:rPr>
                <w:rFonts w:hint="eastAsia" w:ascii="宋体" w:hAnsi="宋体" w:cs="宋体"/>
                <w:bCs/>
                <w:sz w:val="21"/>
                <w:lang w:bidi="ar"/>
              </w:rPr>
              <w:t>27.086096091</w:t>
            </w:r>
          </w:p>
        </w:tc>
        <w:tc>
          <w:tcPr>
            <w:tcW w:w="959" w:type="dxa"/>
            <w:noWrap w:val="0"/>
            <w:vAlign w:val="center"/>
          </w:tcPr>
          <w:p w14:paraId="7FACE7CD">
            <w:pPr>
              <w:widowControl/>
              <w:jc w:val="center"/>
              <w:rPr>
                <w:rFonts w:hint="eastAsia" w:ascii="宋体" w:hAnsi="宋体" w:cs="宋体"/>
                <w:bCs/>
                <w:sz w:val="21"/>
                <w:lang w:eastAsia="en-US" w:bidi="ar"/>
              </w:rPr>
            </w:pPr>
            <w:r>
              <w:rPr>
                <w:rFonts w:hint="eastAsia" w:ascii="宋体" w:hAnsi="宋体" w:cs="宋体"/>
                <w:bCs/>
                <w:sz w:val="21"/>
                <w:lang w:bidi="ar"/>
              </w:rPr>
              <w:t>9600</w:t>
            </w:r>
          </w:p>
        </w:tc>
        <w:tc>
          <w:tcPr>
            <w:tcW w:w="852" w:type="dxa"/>
            <w:noWrap w:val="0"/>
            <w:vAlign w:val="center"/>
          </w:tcPr>
          <w:p w14:paraId="0D7264F9">
            <w:pPr>
              <w:widowControl/>
              <w:jc w:val="center"/>
              <w:rPr>
                <w:rFonts w:hint="eastAsia" w:ascii="宋体" w:hAnsi="宋体" w:cs="宋体"/>
                <w:bCs/>
                <w:sz w:val="21"/>
                <w:lang w:eastAsia="en-US" w:bidi="ar"/>
              </w:rPr>
            </w:pPr>
            <w:r>
              <w:rPr>
                <w:rFonts w:hint="eastAsia" w:ascii="宋体" w:hAnsi="宋体" w:cs="宋体"/>
                <w:bCs/>
                <w:sz w:val="21"/>
                <w:lang w:bidi="ar"/>
              </w:rPr>
              <w:t>0.576</w:t>
            </w:r>
          </w:p>
        </w:tc>
        <w:tc>
          <w:tcPr>
            <w:tcW w:w="932" w:type="dxa"/>
            <w:noWrap w:val="0"/>
            <w:vAlign w:val="center"/>
          </w:tcPr>
          <w:p w14:paraId="682AE271">
            <w:pPr>
              <w:widowControl/>
              <w:jc w:val="center"/>
              <w:rPr>
                <w:rFonts w:hint="eastAsia" w:ascii="宋体" w:hAnsi="宋体" w:cs="宋体"/>
                <w:bCs/>
                <w:sz w:val="21"/>
                <w:lang w:eastAsia="en-US" w:bidi="ar"/>
              </w:rPr>
            </w:pPr>
            <w:r>
              <w:rPr>
                <w:rFonts w:hint="eastAsia" w:ascii="宋体" w:hAnsi="宋体" w:cs="宋体"/>
                <w:bCs/>
                <w:sz w:val="21"/>
                <w:lang w:bidi="ar"/>
              </w:rPr>
              <w:t>9.144</w:t>
            </w:r>
          </w:p>
        </w:tc>
        <w:tc>
          <w:tcPr>
            <w:tcW w:w="825" w:type="dxa"/>
            <w:noWrap w:val="0"/>
            <w:vAlign w:val="center"/>
          </w:tcPr>
          <w:p w14:paraId="62A7C1A7">
            <w:pPr>
              <w:widowControl/>
              <w:jc w:val="center"/>
              <w:rPr>
                <w:rFonts w:hint="eastAsia" w:ascii="宋体" w:hAnsi="宋体" w:cs="宋体"/>
                <w:bCs/>
                <w:sz w:val="21"/>
                <w:lang w:bidi="ar"/>
              </w:rPr>
            </w:pPr>
            <w:r>
              <w:rPr>
                <w:rFonts w:hint="eastAsia" w:ascii="宋体" w:hAnsi="宋体" w:cs="宋体"/>
                <w:bCs/>
                <w:sz w:val="21"/>
                <w:lang w:bidi="ar"/>
              </w:rPr>
              <w:t>0</w:t>
            </w:r>
          </w:p>
        </w:tc>
        <w:tc>
          <w:tcPr>
            <w:tcW w:w="716" w:type="dxa"/>
            <w:noWrap w:val="0"/>
            <w:vAlign w:val="center"/>
          </w:tcPr>
          <w:p w14:paraId="3FD53C86">
            <w:pPr>
              <w:widowControl/>
              <w:jc w:val="center"/>
              <w:rPr>
                <w:rFonts w:hint="eastAsia" w:ascii="宋体" w:hAnsi="宋体" w:cs="宋体"/>
                <w:bCs/>
                <w:sz w:val="21"/>
                <w:lang w:bidi="ar"/>
              </w:rPr>
            </w:pPr>
            <w:r>
              <w:rPr>
                <w:rFonts w:hint="eastAsia" w:ascii="宋体" w:hAnsi="宋体" w:cs="宋体"/>
                <w:bCs/>
                <w:sz w:val="21"/>
                <w:lang w:bidi="ar"/>
              </w:rPr>
              <w:t>0</w:t>
            </w:r>
          </w:p>
        </w:tc>
        <w:tc>
          <w:tcPr>
            <w:tcW w:w="825" w:type="dxa"/>
            <w:noWrap w:val="0"/>
            <w:vAlign w:val="center"/>
          </w:tcPr>
          <w:p w14:paraId="59CCD9E0">
            <w:pPr>
              <w:widowControl/>
              <w:jc w:val="center"/>
              <w:rPr>
                <w:rFonts w:hint="eastAsia" w:ascii="宋体" w:hAnsi="宋体" w:cs="宋体"/>
                <w:bCs/>
                <w:sz w:val="21"/>
                <w:lang w:eastAsia="en-US" w:bidi="ar"/>
              </w:rPr>
            </w:pPr>
            <w:r>
              <w:rPr>
                <w:rFonts w:hint="eastAsia" w:ascii="宋体" w:hAnsi="宋体" w:cs="宋体"/>
                <w:bCs/>
                <w:sz w:val="21"/>
                <w:lang w:bidi="ar"/>
              </w:rPr>
              <w:t>0.24</w:t>
            </w:r>
          </w:p>
        </w:tc>
        <w:tc>
          <w:tcPr>
            <w:tcW w:w="1341" w:type="dxa"/>
            <w:noWrap w:val="0"/>
            <w:vAlign w:val="center"/>
          </w:tcPr>
          <w:p w14:paraId="4B7A359D">
            <w:pPr>
              <w:widowControl/>
              <w:jc w:val="center"/>
              <w:rPr>
                <w:rFonts w:hint="eastAsia" w:ascii="宋体" w:hAnsi="宋体" w:cs="宋体"/>
                <w:bCs/>
                <w:sz w:val="21"/>
                <w:lang w:eastAsia="en-US" w:bidi="ar"/>
              </w:rPr>
            </w:pPr>
            <w:r>
              <w:rPr>
                <w:rFonts w:hint="eastAsia" w:ascii="宋体" w:hAnsi="宋体" w:cs="宋体"/>
                <w:bCs/>
                <w:sz w:val="21"/>
                <w:lang w:bidi="ar"/>
              </w:rPr>
              <w:t>/</w:t>
            </w:r>
          </w:p>
        </w:tc>
        <w:tc>
          <w:tcPr>
            <w:tcW w:w="1753" w:type="dxa"/>
            <w:noWrap w:val="0"/>
            <w:vAlign w:val="center"/>
          </w:tcPr>
          <w:p w14:paraId="21899F48">
            <w:pPr>
              <w:widowControl/>
              <w:jc w:val="center"/>
              <w:rPr>
                <w:rFonts w:hint="eastAsia" w:ascii="宋体" w:hAnsi="宋体" w:cs="宋体"/>
                <w:bCs/>
                <w:sz w:val="21"/>
                <w:lang w:eastAsia="en-US" w:bidi="ar"/>
              </w:rPr>
            </w:pPr>
            <w:r>
              <w:rPr>
                <w:rFonts w:hint="eastAsia" w:ascii="宋体" w:hAnsi="宋体" w:cs="宋体"/>
                <w:bCs/>
                <w:sz w:val="21"/>
                <w:lang w:bidi="ar"/>
              </w:rPr>
              <w:t>一般固废24</w:t>
            </w:r>
          </w:p>
        </w:tc>
        <w:tc>
          <w:tcPr>
            <w:tcW w:w="881" w:type="dxa"/>
            <w:noWrap w:val="0"/>
            <w:vAlign w:val="center"/>
          </w:tcPr>
          <w:p w14:paraId="4B5B1914">
            <w:pPr>
              <w:widowControl/>
              <w:jc w:val="center"/>
              <w:rPr>
                <w:rFonts w:hint="eastAsia" w:ascii="宋体" w:hAnsi="宋体" w:cs="宋体"/>
                <w:bCs/>
                <w:sz w:val="21"/>
                <w:lang w:eastAsia="en-US" w:bidi="ar"/>
              </w:rPr>
            </w:pPr>
            <w:r>
              <w:rPr>
                <w:rFonts w:hint="eastAsia" w:ascii="宋体" w:hAnsi="宋体" w:cs="宋体"/>
                <w:bCs/>
                <w:sz w:val="21"/>
                <w:lang w:bidi="ar"/>
              </w:rPr>
              <w:t>已投产</w:t>
            </w:r>
          </w:p>
        </w:tc>
      </w:tr>
      <w:tr w14:paraId="09B96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9" w:type="dxa"/>
            <w:noWrap w:val="0"/>
            <w:vAlign w:val="center"/>
          </w:tcPr>
          <w:p w14:paraId="7C6EBB0A">
            <w:pPr>
              <w:widowControl/>
              <w:jc w:val="center"/>
              <w:rPr>
                <w:rFonts w:hint="eastAsia" w:ascii="宋体" w:hAnsi="宋体" w:cs="宋体"/>
                <w:bCs/>
                <w:sz w:val="21"/>
                <w:lang w:eastAsia="en-US" w:bidi="ar"/>
              </w:rPr>
            </w:pPr>
            <w:r>
              <w:rPr>
                <w:rFonts w:hint="eastAsia" w:ascii="宋体" w:hAnsi="宋体" w:cs="宋体"/>
                <w:bCs/>
                <w:sz w:val="21"/>
                <w:lang w:bidi="ar"/>
              </w:rPr>
              <w:t>4</w:t>
            </w:r>
          </w:p>
        </w:tc>
        <w:tc>
          <w:tcPr>
            <w:tcW w:w="1731" w:type="dxa"/>
            <w:noWrap w:val="0"/>
            <w:vAlign w:val="center"/>
          </w:tcPr>
          <w:p w14:paraId="01E0BFCA">
            <w:pPr>
              <w:widowControl/>
              <w:jc w:val="center"/>
              <w:rPr>
                <w:rFonts w:hint="eastAsia" w:ascii="宋体" w:hAnsi="宋体" w:cs="宋体"/>
                <w:bCs/>
                <w:sz w:val="21"/>
                <w:lang w:eastAsia="en-US" w:bidi="ar"/>
              </w:rPr>
            </w:pPr>
            <w:r>
              <w:rPr>
                <w:rFonts w:hint="eastAsia" w:ascii="宋体" w:hAnsi="宋体" w:cs="宋体"/>
                <w:bCs/>
                <w:sz w:val="21"/>
                <w:lang w:bidi="ar"/>
              </w:rPr>
              <w:t>津市市雅琪制衣有限公司</w:t>
            </w:r>
          </w:p>
        </w:tc>
        <w:tc>
          <w:tcPr>
            <w:tcW w:w="1514" w:type="dxa"/>
            <w:noWrap w:val="0"/>
            <w:vAlign w:val="center"/>
          </w:tcPr>
          <w:p w14:paraId="61FD9C42">
            <w:pPr>
              <w:widowControl/>
              <w:jc w:val="center"/>
              <w:rPr>
                <w:rFonts w:hint="eastAsia" w:ascii="宋体" w:hAnsi="宋体" w:cs="宋体"/>
                <w:bCs/>
                <w:sz w:val="21"/>
                <w:lang w:eastAsia="en-US" w:bidi="ar"/>
              </w:rPr>
            </w:pPr>
            <w:r>
              <w:rPr>
                <w:rFonts w:hint="eastAsia" w:ascii="宋体" w:hAnsi="宋体" w:cs="宋体"/>
                <w:bCs/>
                <w:sz w:val="21"/>
                <w:lang w:bidi="ar"/>
              </w:rPr>
              <w:t>111.851444713</w:t>
            </w:r>
          </w:p>
        </w:tc>
        <w:tc>
          <w:tcPr>
            <w:tcW w:w="1473" w:type="dxa"/>
            <w:noWrap w:val="0"/>
            <w:vAlign w:val="center"/>
          </w:tcPr>
          <w:p w14:paraId="2C9B8358">
            <w:pPr>
              <w:widowControl/>
              <w:jc w:val="center"/>
              <w:rPr>
                <w:rFonts w:hint="eastAsia" w:ascii="宋体" w:hAnsi="宋体" w:cs="宋体"/>
                <w:bCs/>
                <w:sz w:val="21"/>
                <w:lang w:eastAsia="en-US" w:bidi="ar"/>
              </w:rPr>
            </w:pPr>
            <w:r>
              <w:rPr>
                <w:rFonts w:hint="eastAsia" w:ascii="宋体" w:hAnsi="宋体" w:cs="宋体"/>
                <w:bCs/>
                <w:sz w:val="21"/>
                <w:lang w:bidi="ar"/>
              </w:rPr>
              <w:t>29.578817646</w:t>
            </w:r>
          </w:p>
        </w:tc>
        <w:tc>
          <w:tcPr>
            <w:tcW w:w="959" w:type="dxa"/>
            <w:noWrap w:val="0"/>
            <w:vAlign w:val="center"/>
          </w:tcPr>
          <w:p w14:paraId="1AA38217">
            <w:pPr>
              <w:widowControl/>
              <w:jc w:val="center"/>
              <w:rPr>
                <w:rFonts w:hint="eastAsia" w:ascii="宋体" w:hAnsi="宋体" w:cs="宋体"/>
                <w:bCs/>
                <w:sz w:val="21"/>
                <w:lang w:eastAsia="en-US" w:bidi="ar"/>
              </w:rPr>
            </w:pPr>
            <w:r>
              <w:rPr>
                <w:rFonts w:hint="eastAsia" w:ascii="宋体" w:hAnsi="宋体" w:cs="宋体"/>
                <w:bCs/>
                <w:sz w:val="21"/>
                <w:lang w:bidi="ar"/>
              </w:rPr>
              <w:t>1833</w:t>
            </w:r>
          </w:p>
        </w:tc>
        <w:tc>
          <w:tcPr>
            <w:tcW w:w="852" w:type="dxa"/>
            <w:noWrap w:val="0"/>
            <w:vAlign w:val="center"/>
          </w:tcPr>
          <w:p w14:paraId="0D0F02B1">
            <w:pPr>
              <w:widowControl/>
              <w:jc w:val="center"/>
              <w:rPr>
                <w:rFonts w:hint="eastAsia" w:ascii="宋体" w:hAnsi="宋体" w:cs="宋体"/>
                <w:bCs/>
                <w:sz w:val="21"/>
                <w:lang w:eastAsia="en-US" w:bidi="ar"/>
              </w:rPr>
            </w:pPr>
            <w:r>
              <w:rPr>
                <w:rFonts w:hint="eastAsia" w:ascii="宋体" w:hAnsi="宋体" w:cs="宋体"/>
                <w:bCs/>
                <w:sz w:val="21"/>
                <w:lang w:bidi="ar"/>
              </w:rPr>
              <w:t>0.11</w:t>
            </w:r>
          </w:p>
        </w:tc>
        <w:tc>
          <w:tcPr>
            <w:tcW w:w="932" w:type="dxa"/>
            <w:noWrap w:val="0"/>
            <w:vAlign w:val="center"/>
          </w:tcPr>
          <w:p w14:paraId="4A1931F6">
            <w:pPr>
              <w:widowControl/>
              <w:jc w:val="center"/>
              <w:rPr>
                <w:rFonts w:hint="eastAsia" w:ascii="宋体" w:hAnsi="宋体" w:cs="宋体"/>
                <w:bCs/>
                <w:sz w:val="21"/>
                <w:lang w:eastAsia="en-US" w:bidi="ar"/>
              </w:rPr>
            </w:pPr>
            <w:r>
              <w:rPr>
                <w:rFonts w:hint="eastAsia" w:ascii="宋体" w:hAnsi="宋体" w:cs="宋体"/>
                <w:bCs/>
                <w:sz w:val="21"/>
                <w:lang w:bidi="ar"/>
              </w:rPr>
              <w:t>0.03</w:t>
            </w:r>
          </w:p>
        </w:tc>
        <w:tc>
          <w:tcPr>
            <w:tcW w:w="825" w:type="dxa"/>
            <w:noWrap w:val="0"/>
            <w:vAlign w:val="center"/>
          </w:tcPr>
          <w:p w14:paraId="74F8EC13">
            <w:pPr>
              <w:widowControl/>
              <w:jc w:val="center"/>
              <w:rPr>
                <w:rFonts w:hint="eastAsia" w:ascii="宋体" w:hAnsi="宋体" w:cs="宋体"/>
                <w:bCs/>
                <w:sz w:val="21"/>
                <w:lang w:eastAsia="en-US" w:bidi="ar"/>
              </w:rPr>
            </w:pPr>
            <w:r>
              <w:rPr>
                <w:rFonts w:hint="eastAsia" w:ascii="宋体" w:hAnsi="宋体" w:cs="宋体"/>
                <w:bCs/>
                <w:sz w:val="21"/>
                <w:lang w:bidi="ar"/>
              </w:rPr>
              <w:t>0.35</w:t>
            </w:r>
          </w:p>
        </w:tc>
        <w:tc>
          <w:tcPr>
            <w:tcW w:w="716" w:type="dxa"/>
            <w:noWrap w:val="0"/>
            <w:vAlign w:val="center"/>
          </w:tcPr>
          <w:p w14:paraId="7353F7DD">
            <w:pPr>
              <w:widowControl/>
              <w:jc w:val="center"/>
              <w:rPr>
                <w:rFonts w:hint="eastAsia" w:ascii="宋体" w:hAnsi="宋体" w:cs="宋体"/>
                <w:bCs/>
                <w:sz w:val="21"/>
                <w:lang w:eastAsia="en-US" w:bidi="ar"/>
              </w:rPr>
            </w:pPr>
            <w:r>
              <w:rPr>
                <w:rFonts w:hint="eastAsia" w:ascii="宋体" w:hAnsi="宋体" w:cs="宋体"/>
                <w:bCs/>
                <w:sz w:val="21"/>
                <w:lang w:bidi="ar"/>
              </w:rPr>
              <w:t>1.01</w:t>
            </w:r>
          </w:p>
        </w:tc>
        <w:tc>
          <w:tcPr>
            <w:tcW w:w="825" w:type="dxa"/>
            <w:noWrap w:val="0"/>
            <w:vAlign w:val="center"/>
          </w:tcPr>
          <w:p w14:paraId="260B2D22">
            <w:pPr>
              <w:widowControl/>
              <w:jc w:val="center"/>
              <w:rPr>
                <w:rFonts w:hint="eastAsia" w:ascii="宋体" w:hAnsi="宋体" w:cs="宋体"/>
                <w:bCs/>
                <w:sz w:val="21"/>
                <w:lang w:eastAsia="en-US" w:bidi="ar"/>
              </w:rPr>
            </w:pPr>
            <w:r>
              <w:rPr>
                <w:rFonts w:hint="eastAsia" w:ascii="宋体" w:hAnsi="宋体" w:cs="宋体"/>
                <w:bCs/>
                <w:sz w:val="21"/>
                <w:lang w:bidi="ar"/>
              </w:rPr>
              <w:t>0.17</w:t>
            </w:r>
          </w:p>
        </w:tc>
        <w:tc>
          <w:tcPr>
            <w:tcW w:w="1341" w:type="dxa"/>
            <w:noWrap w:val="0"/>
            <w:vAlign w:val="center"/>
          </w:tcPr>
          <w:p w14:paraId="42958B6B">
            <w:pPr>
              <w:widowControl/>
              <w:jc w:val="center"/>
              <w:rPr>
                <w:rFonts w:hint="eastAsia" w:ascii="宋体" w:hAnsi="宋体" w:cs="宋体"/>
                <w:bCs/>
                <w:sz w:val="21"/>
                <w:lang w:eastAsia="en-US" w:bidi="ar"/>
              </w:rPr>
            </w:pPr>
            <w:r>
              <w:rPr>
                <w:rFonts w:hint="eastAsia" w:ascii="宋体" w:hAnsi="宋体" w:cs="宋体"/>
                <w:bCs/>
                <w:sz w:val="21"/>
                <w:lang w:bidi="ar"/>
              </w:rPr>
              <w:t>/</w:t>
            </w:r>
          </w:p>
        </w:tc>
        <w:tc>
          <w:tcPr>
            <w:tcW w:w="1753" w:type="dxa"/>
            <w:noWrap w:val="0"/>
            <w:vAlign w:val="center"/>
          </w:tcPr>
          <w:p w14:paraId="3F741513">
            <w:pPr>
              <w:widowControl/>
              <w:jc w:val="center"/>
              <w:rPr>
                <w:rFonts w:hint="eastAsia" w:ascii="宋体" w:hAnsi="宋体" w:cs="宋体"/>
                <w:bCs/>
                <w:sz w:val="21"/>
                <w:lang w:eastAsia="en-US" w:bidi="ar"/>
              </w:rPr>
            </w:pPr>
            <w:r>
              <w:rPr>
                <w:rFonts w:hint="eastAsia" w:ascii="宋体" w:hAnsi="宋体" w:cs="宋体"/>
                <w:bCs/>
                <w:sz w:val="21"/>
                <w:lang w:bidi="ar"/>
              </w:rPr>
              <w:t>一般固废35</w:t>
            </w:r>
          </w:p>
        </w:tc>
        <w:tc>
          <w:tcPr>
            <w:tcW w:w="881" w:type="dxa"/>
            <w:noWrap w:val="0"/>
            <w:vAlign w:val="center"/>
          </w:tcPr>
          <w:p w14:paraId="2215C84B">
            <w:pPr>
              <w:widowControl/>
              <w:jc w:val="center"/>
              <w:rPr>
                <w:rFonts w:hint="eastAsia" w:ascii="宋体" w:hAnsi="宋体" w:cs="宋体"/>
                <w:bCs/>
                <w:sz w:val="21"/>
                <w:lang w:eastAsia="en-US" w:bidi="ar"/>
              </w:rPr>
            </w:pPr>
            <w:r>
              <w:rPr>
                <w:rFonts w:hint="eastAsia" w:ascii="宋体" w:hAnsi="宋体" w:cs="宋体"/>
                <w:bCs/>
                <w:sz w:val="21"/>
                <w:lang w:bidi="ar"/>
              </w:rPr>
              <w:t>已投产</w:t>
            </w:r>
          </w:p>
        </w:tc>
      </w:tr>
      <w:tr w14:paraId="25EAB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9" w:type="dxa"/>
            <w:noWrap w:val="0"/>
            <w:vAlign w:val="center"/>
          </w:tcPr>
          <w:p w14:paraId="6182BB0B">
            <w:pPr>
              <w:widowControl/>
              <w:jc w:val="center"/>
              <w:rPr>
                <w:rFonts w:hint="eastAsia" w:ascii="宋体" w:hAnsi="宋体" w:cs="宋体"/>
                <w:bCs/>
                <w:sz w:val="21"/>
                <w:lang w:eastAsia="en-US" w:bidi="ar"/>
              </w:rPr>
            </w:pPr>
            <w:r>
              <w:rPr>
                <w:rFonts w:hint="eastAsia" w:ascii="宋体" w:hAnsi="宋体" w:cs="宋体"/>
                <w:bCs/>
                <w:sz w:val="21"/>
                <w:lang w:bidi="ar"/>
              </w:rPr>
              <w:t>5</w:t>
            </w:r>
          </w:p>
        </w:tc>
        <w:tc>
          <w:tcPr>
            <w:tcW w:w="1731" w:type="dxa"/>
            <w:noWrap w:val="0"/>
            <w:vAlign w:val="center"/>
          </w:tcPr>
          <w:p w14:paraId="28A848EB">
            <w:pPr>
              <w:widowControl/>
              <w:jc w:val="center"/>
              <w:rPr>
                <w:rFonts w:hint="eastAsia" w:ascii="宋体" w:hAnsi="宋体" w:cs="宋体"/>
                <w:bCs/>
                <w:sz w:val="21"/>
                <w:lang w:bidi="ar"/>
              </w:rPr>
            </w:pPr>
            <w:r>
              <w:rPr>
                <w:rFonts w:hint="eastAsia" w:ascii="宋体" w:hAnsi="宋体" w:cs="宋体"/>
                <w:bCs/>
                <w:sz w:val="21"/>
                <w:lang w:bidi="ar"/>
              </w:rPr>
              <w:t>湖南欣龙非织造材料有限公司</w:t>
            </w:r>
          </w:p>
        </w:tc>
        <w:tc>
          <w:tcPr>
            <w:tcW w:w="1514" w:type="dxa"/>
            <w:noWrap w:val="0"/>
            <w:vAlign w:val="center"/>
          </w:tcPr>
          <w:p w14:paraId="5E96BA5C">
            <w:pPr>
              <w:widowControl/>
              <w:jc w:val="center"/>
              <w:rPr>
                <w:rFonts w:hint="eastAsia" w:ascii="宋体" w:hAnsi="宋体" w:cs="宋体"/>
                <w:bCs/>
                <w:sz w:val="21"/>
                <w:lang w:eastAsia="en-US" w:bidi="ar"/>
              </w:rPr>
            </w:pPr>
            <w:r>
              <w:rPr>
                <w:rFonts w:hint="eastAsia" w:ascii="宋体" w:hAnsi="宋体" w:cs="宋体"/>
                <w:bCs/>
                <w:sz w:val="21"/>
                <w:lang w:bidi="ar"/>
              </w:rPr>
              <w:t>111.839154055</w:t>
            </w:r>
          </w:p>
        </w:tc>
        <w:tc>
          <w:tcPr>
            <w:tcW w:w="1473" w:type="dxa"/>
            <w:noWrap w:val="0"/>
            <w:vAlign w:val="center"/>
          </w:tcPr>
          <w:p w14:paraId="72F3CBAA">
            <w:pPr>
              <w:widowControl/>
              <w:jc w:val="center"/>
              <w:rPr>
                <w:rFonts w:hint="eastAsia" w:ascii="宋体" w:hAnsi="宋体" w:cs="宋体"/>
                <w:bCs/>
                <w:sz w:val="21"/>
                <w:lang w:eastAsia="en-US" w:bidi="ar"/>
              </w:rPr>
            </w:pPr>
            <w:r>
              <w:rPr>
                <w:rFonts w:hint="eastAsia" w:ascii="宋体" w:hAnsi="宋体" w:cs="宋体"/>
                <w:bCs/>
                <w:sz w:val="21"/>
                <w:lang w:bidi="ar"/>
              </w:rPr>
              <w:t>29.571811109</w:t>
            </w:r>
          </w:p>
        </w:tc>
        <w:tc>
          <w:tcPr>
            <w:tcW w:w="959" w:type="dxa"/>
            <w:noWrap w:val="0"/>
            <w:vAlign w:val="center"/>
          </w:tcPr>
          <w:p w14:paraId="1610C802">
            <w:pPr>
              <w:widowControl/>
              <w:jc w:val="center"/>
              <w:rPr>
                <w:rFonts w:hint="eastAsia" w:ascii="宋体" w:hAnsi="宋体" w:cs="宋体"/>
                <w:bCs/>
                <w:sz w:val="21"/>
                <w:lang w:eastAsia="en-US" w:bidi="ar"/>
              </w:rPr>
            </w:pPr>
            <w:r>
              <w:rPr>
                <w:rFonts w:hint="eastAsia" w:ascii="宋体" w:hAnsi="宋体" w:cs="宋体"/>
                <w:bCs/>
                <w:sz w:val="21"/>
                <w:lang w:bidi="ar"/>
              </w:rPr>
              <w:t>10830</w:t>
            </w:r>
          </w:p>
        </w:tc>
        <w:tc>
          <w:tcPr>
            <w:tcW w:w="852" w:type="dxa"/>
            <w:noWrap w:val="0"/>
            <w:vAlign w:val="center"/>
          </w:tcPr>
          <w:p w14:paraId="7F8A9D3D">
            <w:pPr>
              <w:widowControl/>
              <w:jc w:val="center"/>
              <w:rPr>
                <w:rFonts w:hint="eastAsia" w:ascii="宋体" w:hAnsi="宋体" w:cs="宋体"/>
                <w:bCs/>
                <w:sz w:val="21"/>
                <w:lang w:eastAsia="en-US" w:bidi="ar"/>
              </w:rPr>
            </w:pPr>
            <w:r>
              <w:rPr>
                <w:rFonts w:hint="eastAsia" w:ascii="宋体" w:hAnsi="宋体" w:cs="宋体"/>
                <w:bCs/>
                <w:sz w:val="21"/>
                <w:lang w:bidi="ar"/>
              </w:rPr>
              <w:t>0.65</w:t>
            </w:r>
          </w:p>
        </w:tc>
        <w:tc>
          <w:tcPr>
            <w:tcW w:w="932" w:type="dxa"/>
            <w:noWrap w:val="0"/>
            <w:vAlign w:val="center"/>
          </w:tcPr>
          <w:p w14:paraId="265CB165">
            <w:pPr>
              <w:widowControl/>
              <w:jc w:val="center"/>
              <w:rPr>
                <w:rFonts w:hint="eastAsia" w:ascii="宋体" w:hAnsi="宋体" w:cs="宋体"/>
                <w:bCs/>
                <w:sz w:val="21"/>
                <w:lang w:eastAsia="en-US" w:bidi="ar"/>
              </w:rPr>
            </w:pPr>
            <w:r>
              <w:rPr>
                <w:rFonts w:hint="eastAsia" w:ascii="宋体" w:hAnsi="宋体" w:cs="宋体"/>
                <w:bCs/>
                <w:sz w:val="21"/>
                <w:lang w:bidi="ar"/>
              </w:rPr>
              <w:t>0.099</w:t>
            </w:r>
          </w:p>
        </w:tc>
        <w:tc>
          <w:tcPr>
            <w:tcW w:w="825" w:type="dxa"/>
            <w:noWrap w:val="0"/>
            <w:vAlign w:val="center"/>
          </w:tcPr>
          <w:p w14:paraId="1BD0E4A0">
            <w:pPr>
              <w:widowControl/>
              <w:jc w:val="center"/>
              <w:rPr>
                <w:rFonts w:hint="eastAsia" w:ascii="宋体" w:hAnsi="宋体" w:cs="宋体"/>
                <w:bCs/>
                <w:sz w:val="21"/>
                <w:lang w:eastAsia="en-US" w:bidi="ar"/>
              </w:rPr>
            </w:pPr>
            <w:r>
              <w:rPr>
                <w:rFonts w:hint="eastAsia" w:ascii="宋体" w:hAnsi="宋体" w:cs="宋体"/>
                <w:bCs/>
                <w:sz w:val="21"/>
                <w:lang w:bidi="ar"/>
              </w:rPr>
              <w:t>0</w:t>
            </w:r>
          </w:p>
        </w:tc>
        <w:tc>
          <w:tcPr>
            <w:tcW w:w="716" w:type="dxa"/>
            <w:noWrap w:val="0"/>
            <w:vAlign w:val="center"/>
          </w:tcPr>
          <w:p w14:paraId="0F48F733">
            <w:pPr>
              <w:widowControl/>
              <w:jc w:val="center"/>
              <w:rPr>
                <w:rFonts w:hint="eastAsia" w:ascii="宋体" w:hAnsi="宋体" w:cs="宋体"/>
                <w:bCs/>
                <w:sz w:val="21"/>
                <w:lang w:bidi="ar"/>
              </w:rPr>
            </w:pPr>
            <w:r>
              <w:rPr>
                <w:rFonts w:hint="eastAsia" w:ascii="宋体" w:hAnsi="宋体" w:cs="宋体"/>
                <w:bCs/>
                <w:sz w:val="21"/>
                <w:lang w:bidi="ar"/>
              </w:rPr>
              <w:t>0</w:t>
            </w:r>
          </w:p>
        </w:tc>
        <w:tc>
          <w:tcPr>
            <w:tcW w:w="825" w:type="dxa"/>
            <w:noWrap w:val="0"/>
            <w:vAlign w:val="center"/>
          </w:tcPr>
          <w:p w14:paraId="450A593D">
            <w:pPr>
              <w:widowControl/>
              <w:jc w:val="center"/>
              <w:rPr>
                <w:rFonts w:hint="eastAsia" w:ascii="宋体" w:hAnsi="宋体" w:cs="宋体"/>
                <w:bCs/>
                <w:sz w:val="21"/>
                <w:lang w:bidi="ar"/>
              </w:rPr>
            </w:pPr>
            <w:r>
              <w:rPr>
                <w:rFonts w:hint="eastAsia" w:ascii="宋体" w:hAnsi="宋体" w:cs="宋体"/>
                <w:bCs/>
                <w:sz w:val="21"/>
                <w:lang w:bidi="ar"/>
              </w:rPr>
              <w:t>0</w:t>
            </w:r>
          </w:p>
        </w:tc>
        <w:tc>
          <w:tcPr>
            <w:tcW w:w="1341" w:type="dxa"/>
            <w:noWrap w:val="0"/>
            <w:vAlign w:val="center"/>
          </w:tcPr>
          <w:p w14:paraId="2E770DE0">
            <w:pPr>
              <w:widowControl/>
              <w:jc w:val="center"/>
              <w:rPr>
                <w:rFonts w:hint="eastAsia" w:ascii="宋体" w:hAnsi="宋体" w:cs="宋体"/>
                <w:bCs/>
                <w:sz w:val="21"/>
                <w:lang w:eastAsia="en-US" w:bidi="ar"/>
              </w:rPr>
            </w:pPr>
            <w:r>
              <w:rPr>
                <w:rFonts w:hint="eastAsia" w:ascii="宋体" w:hAnsi="宋体" w:cs="宋体"/>
                <w:bCs/>
                <w:sz w:val="21"/>
                <w:lang w:bidi="ar"/>
              </w:rPr>
              <w:t>VOCs：0.46</w:t>
            </w:r>
          </w:p>
        </w:tc>
        <w:tc>
          <w:tcPr>
            <w:tcW w:w="1753" w:type="dxa"/>
            <w:noWrap w:val="0"/>
            <w:vAlign w:val="center"/>
          </w:tcPr>
          <w:p w14:paraId="10CF5694">
            <w:pPr>
              <w:widowControl/>
              <w:jc w:val="center"/>
              <w:rPr>
                <w:rFonts w:hint="eastAsia" w:ascii="宋体" w:hAnsi="宋体" w:cs="宋体"/>
                <w:bCs/>
                <w:sz w:val="21"/>
                <w:lang w:bidi="ar"/>
              </w:rPr>
            </w:pPr>
            <w:r>
              <w:rPr>
                <w:rFonts w:hint="eastAsia" w:ascii="宋体" w:hAnsi="宋体" w:cs="宋体"/>
                <w:bCs/>
                <w:sz w:val="21"/>
                <w:lang w:bidi="ar"/>
              </w:rPr>
              <w:t>一般固废200；危险固废（废机油）0.4</w:t>
            </w:r>
          </w:p>
        </w:tc>
        <w:tc>
          <w:tcPr>
            <w:tcW w:w="881" w:type="dxa"/>
            <w:noWrap w:val="0"/>
            <w:vAlign w:val="center"/>
          </w:tcPr>
          <w:p w14:paraId="02DAB6D7">
            <w:pPr>
              <w:widowControl/>
              <w:jc w:val="center"/>
              <w:rPr>
                <w:rFonts w:hint="eastAsia" w:ascii="宋体" w:hAnsi="宋体" w:cs="宋体"/>
                <w:bCs/>
                <w:sz w:val="21"/>
                <w:lang w:eastAsia="en-US" w:bidi="ar"/>
              </w:rPr>
            </w:pPr>
            <w:r>
              <w:rPr>
                <w:rFonts w:hint="eastAsia" w:ascii="宋体" w:hAnsi="宋体" w:cs="宋体"/>
                <w:bCs/>
                <w:sz w:val="21"/>
                <w:lang w:bidi="ar"/>
              </w:rPr>
              <w:t>已投产</w:t>
            </w:r>
          </w:p>
        </w:tc>
      </w:tr>
      <w:tr w14:paraId="71F00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9" w:type="dxa"/>
            <w:noWrap w:val="0"/>
            <w:vAlign w:val="center"/>
          </w:tcPr>
          <w:p w14:paraId="71411974">
            <w:pPr>
              <w:widowControl/>
              <w:jc w:val="center"/>
              <w:rPr>
                <w:rFonts w:hint="eastAsia" w:ascii="宋体" w:hAnsi="宋体" w:cs="宋体"/>
                <w:bCs/>
                <w:sz w:val="21"/>
                <w:lang w:eastAsia="en-US" w:bidi="ar"/>
              </w:rPr>
            </w:pPr>
            <w:r>
              <w:rPr>
                <w:rFonts w:hint="eastAsia" w:ascii="宋体" w:hAnsi="宋体" w:cs="宋体"/>
                <w:bCs/>
                <w:sz w:val="21"/>
                <w:lang w:bidi="ar"/>
              </w:rPr>
              <w:t>6</w:t>
            </w:r>
          </w:p>
        </w:tc>
        <w:tc>
          <w:tcPr>
            <w:tcW w:w="1731" w:type="dxa"/>
            <w:noWrap w:val="0"/>
            <w:vAlign w:val="center"/>
          </w:tcPr>
          <w:p w14:paraId="1F6262EC">
            <w:pPr>
              <w:widowControl/>
              <w:jc w:val="center"/>
              <w:rPr>
                <w:rFonts w:hint="eastAsia" w:ascii="宋体" w:hAnsi="宋体" w:cs="宋体"/>
                <w:bCs/>
                <w:sz w:val="21"/>
                <w:lang w:eastAsia="en-US" w:bidi="ar"/>
              </w:rPr>
            </w:pPr>
            <w:r>
              <w:rPr>
                <w:rFonts w:hint="eastAsia" w:ascii="宋体" w:hAnsi="宋体" w:cs="宋体"/>
                <w:bCs/>
                <w:sz w:val="21"/>
                <w:lang w:bidi="ar"/>
              </w:rPr>
              <w:t>湖南力鼎体育用品有限公司</w:t>
            </w:r>
          </w:p>
        </w:tc>
        <w:tc>
          <w:tcPr>
            <w:tcW w:w="1514" w:type="dxa"/>
            <w:noWrap w:val="0"/>
            <w:vAlign w:val="center"/>
          </w:tcPr>
          <w:p w14:paraId="6ADF83EF">
            <w:pPr>
              <w:widowControl/>
              <w:jc w:val="center"/>
              <w:rPr>
                <w:rFonts w:hint="eastAsia" w:ascii="宋体" w:hAnsi="宋体" w:cs="宋体"/>
                <w:bCs/>
                <w:sz w:val="21"/>
                <w:lang w:eastAsia="en-US" w:bidi="ar"/>
              </w:rPr>
            </w:pPr>
            <w:r>
              <w:rPr>
                <w:rFonts w:hint="eastAsia" w:ascii="宋体" w:hAnsi="宋体" w:cs="宋体"/>
                <w:bCs/>
                <w:sz w:val="21"/>
                <w:lang w:bidi="ar"/>
              </w:rPr>
              <w:t>111.848567357</w:t>
            </w:r>
          </w:p>
        </w:tc>
        <w:tc>
          <w:tcPr>
            <w:tcW w:w="1473" w:type="dxa"/>
            <w:noWrap w:val="0"/>
            <w:vAlign w:val="center"/>
          </w:tcPr>
          <w:p w14:paraId="79FBEF61">
            <w:pPr>
              <w:widowControl/>
              <w:jc w:val="center"/>
              <w:rPr>
                <w:rFonts w:hint="eastAsia" w:ascii="宋体" w:hAnsi="宋体" w:cs="宋体"/>
                <w:bCs/>
                <w:sz w:val="21"/>
                <w:lang w:eastAsia="en-US" w:bidi="ar"/>
              </w:rPr>
            </w:pPr>
            <w:r>
              <w:rPr>
                <w:rFonts w:hint="eastAsia" w:ascii="宋体" w:hAnsi="宋体" w:cs="宋体"/>
                <w:bCs/>
                <w:sz w:val="21"/>
                <w:lang w:bidi="ar"/>
              </w:rPr>
              <w:t>29.577225368</w:t>
            </w:r>
          </w:p>
        </w:tc>
        <w:tc>
          <w:tcPr>
            <w:tcW w:w="959" w:type="dxa"/>
            <w:noWrap w:val="0"/>
            <w:vAlign w:val="center"/>
          </w:tcPr>
          <w:p w14:paraId="2354E603">
            <w:pPr>
              <w:widowControl/>
              <w:jc w:val="center"/>
              <w:rPr>
                <w:rFonts w:hint="eastAsia" w:ascii="宋体" w:hAnsi="宋体" w:cs="宋体"/>
                <w:bCs/>
                <w:sz w:val="21"/>
                <w:lang w:eastAsia="en-US" w:bidi="ar"/>
              </w:rPr>
            </w:pPr>
            <w:r>
              <w:rPr>
                <w:rFonts w:hint="eastAsia" w:ascii="宋体" w:hAnsi="宋体" w:cs="宋体"/>
                <w:bCs/>
                <w:sz w:val="21"/>
                <w:lang w:bidi="ar"/>
              </w:rPr>
              <w:t>2074.8</w:t>
            </w:r>
          </w:p>
        </w:tc>
        <w:tc>
          <w:tcPr>
            <w:tcW w:w="852" w:type="dxa"/>
            <w:noWrap w:val="0"/>
            <w:vAlign w:val="center"/>
          </w:tcPr>
          <w:p w14:paraId="28F5ED9E">
            <w:pPr>
              <w:widowControl/>
              <w:jc w:val="center"/>
              <w:rPr>
                <w:rFonts w:hint="eastAsia" w:ascii="宋体" w:hAnsi="宋体" w:cs="宋体"/>
                <w:bCs/>
                <w:sz w:val="21"/>
                <w:lang w:eastAsia="en-US" w:bidi="ar"/>
              </w:rPr>
            </w:pPr>
            <w:r>
              <w:rPr>
                <w:rFonts w:hint="eastAsia" w:ascii="宋体" w:hAnsi="宋体" w:cs="宋体"/>
                <w:bCs/>
                <w:sz w:val="21"/>
                <w:lang w:bidi="ar"/>
              </w:rPr>
              <w:t>0.311</w:t>
            </w:r>
          </w:p>
        </w:tc>
        <w:tc>
          <w:tcPr>
            <w:tcW w:w="932" w:type="dxa"/>
            <w:noWrap w:val="0"/>
            <w:vAlign w:val="center"/>
          </w:tcPr>
          <w:p w14:paraId="49F8FADE">
            <w:pPr>
              <w:widowControl/>
              <w:jc w:val="center"/>
              <w:rPr>
                <w:rFonts w:hint="eastAsia" w:ascii="宋体" w:hAnsi="宋体" w:cs="宋体"/>
                <w:bCs/>
                <w:sz w:val="21"/>
                <w:lang w:bidi="ar"/>
              </w:rPr>
            </w:pPr>
            <w:r>
              <w:rPr>
                <w:rFonts w:hint="eastAsia" w:ascii="宋体" w:hAnsi="宋体" w:cs="宋体"/>
                <w:bCs/>
                <w:sz w:val="21"/>
                <w:lang w:bidi="ar"/>
              </w:rPr>
              <w:t>0.047</w:t>
            </w:r>
          </w:p>
        </w:tc>
        <w:tc>
          <w:tcPr>
            <w:tcW w:w="825" w:type="dxa"/>
            <w:noWrap w:val="0"/>
            <w:vAlign w:val="center"/>
          </w:tcPr>
          <w:p w14:paraId="17188C44">
            <w:pPr>
              <w:widowControl/>
              <w:jc w:val="center"/>
              <w:rPr>
                <w:rFonts w:hint="eastAsia" w:ascii="宋体" w:hAnsi="宋体" w:cs="宋体"/>
                <w:bCs/>
                <w:sz w:val="21"/>
                <w:lang w:eastAsia="en-US" w:bidi="ar"/>
              </w:rPr>
            </w:pPr>
            <w:r>
              <w:rPr>
                <w:rFonts w:hint="eastAsia" w:ascii="宋体" w:hAnsi="宋体" w:cs="宋体"/>
                <w:bCs/>
                <w:sz w:val="21"/>
                <w:lang w:bidi="ar"/>
              </w:rPr>
              <w:t>0</w:t>
            </w:r>
          </w:p>
        </w:tc>
        <w:tc>
          <w:tcPr>
            <w:tcW w:w="716" w:type="dxa"/>
            <w:noWrap w:val="0"/>
            <w:vAlign w:val="center"/>
          </w:tcPr>
          <w:p w14:paraId="1CAE60CE">
            <w:pPr>
              <w:widowControl/>
              <w:jc w:val="center"/>
              <w:rPr>
                <w:rFonts w:hint="eastAsia" w:ascii="宋体" w:hAnsi="宋体" w:cs="宋体"/>
                <w:bCs/>
                <w:sz w:val="21"/>
                <w:lang w:bidi="ar"/>
              </w:rPr>
            </w:pPr>
            <w:r>
              <w:rPr>
                <w:rFonts w:hint="eastAsia" w:ascii="宋体" w:hAnsi="宋体" w:cs="宋体"/>
                <w:bCs/>
                <w:sz w:val="21"/>
                <w:lang w:bidi="ar"/>
              </w:rPr>
              <w:t>0</w:t>
            </w:r>
          </w:p>
        </w:tc>
        <w:tc>
          <w:tcPr>
            <w:tcW w:w="825" w:type="dxa"/>
            <w:noWrap w:val="0"/>
            <w:vAlign w:val="center"/>
          </w:tcPr>
          <w:p w14:paraId="6AF8AD2A">
            <w:pPr>
              <w:widowControl/>
              <w:jc w:val="center"/>
              <w:rPr>
                <w:rFonts w:hint="eastAsia" w:ascii="宋体" w:hAnsi="宋体" w:cs="宋体"/>
                <w:bCs/>
                <w:sz w:val="21"/>
                <w:lang w:eastAsia="en-US" w:bidi="ar"/>
              </w:rPr>
            </w:pPr>
            <w:r>
              <w:rPr>
                <w:rFonts w:hint="eastAsia" w:ascii="宋体" w:hAnsi="宋体" w:cs="宋体"/>
                <w:bCs/>
                <w:sz w:val="21"/>
                <w:lang w:bidi="ar"/>
              </w:rPr>
              <w:t>0</w:t>
            </w:r>
          </w:p>
        </w:tc>
        <w:tc>
          <w:tcPr>
            <w:tcW w:w="1341" w:type="dxa"/>
            <w:noWrap w:val="0"/>
            <w:vAlign w:val="center"/>
          </w:tcPr>
          <w:p w14:paraId="15126FA6">
            <w:pPr>
              <w:widowControl/>
              <w:jc w:val="center"/>
              <w:rPr>
                <w:rFonts w:hint="eastAsia" w:ascii="宋体" w:hAnsi="宋体" w:cs="宋体"/>
                <w:bCs/>
                <w:sz w:val="21"/>
                <w:lang w:eastAsia="en-US" w:bidi="ar"/>
              </w:rPr>
            </w:pPr>
            <w:r>
              <w:rPr>
                <w:rFonts w:hint="eastAsia" w:ascii="宋体" w:hAnsi="宋体" w:cs="宋体"/>
                <w:bCs/>
                <w:sz w:val="21"/>
                <w:lang w:bidi="ar"/>
              </w:rPr>
              <w:t>VOCs：0.125</w:t>
            </w:r>
          </w:p>
        </w:tc>
        <w:tc>
          <w:tcPr>
            <w:tcW w:w="1753" w:type="dxa"/>
            <w:noWrap w:val="0"/>
            <w:vAlign w:val="center"/>
          </w:tcPr>
          <w:p w14:paraId="00ECF3F1">
            <w:pPr>
              <w:widowControl/>
              <w:jc w:val="center"/>
              <w:rPr>
                <w:rFonts w:hint="eastAsia" w:ascii="宋体" w:hAnsi="宋体" w:cs="宋体"/>
                <w:bCs/>
                <w:sz w:val="21"/>
                <w:lang w:bidi="ar"/>
              </w:rPr>
            </w:pPr>
            <w:r>
              <w:rPr>
                <w:rFonts w:hint="eastAsia" w:ascii="宋体" w:hAnsi="宋体" w:cs="宋体"/>
                <w:bCs/>
                <w:sz w:val="21"/>
                <w:lang w:bidi="ar"/>
              </w:rPr>
              <w:t>一般固废30.08；危险固废（废活性炭）0.5</w:t>
            </w:r>
          </w:p>
        </w:tc>
        <w:tc>
          <w:tcPr>
            <w:tcW w:w="881" w:type="dxa"/>
            <w:noWrap w:val="0"/>
            <w:vAlign w:val="center"/>
          </w:tcPr>
          <w:p w14:paraId="0451FD86">
            <w:pPr>
              <w:widowControl/>
              <w:jc w:val="center"/>
              <w:rPr>
                <w:rFonts w:hint="eastAsia" w:ascii="宋体" w:hAnsi="宋体" w:cs="宋体"/>
                <w:bCs/>
                <w:sz w:val="21"/>
                <w:lang w:eastAsia="en-US" w:bidi="ar"/>
              </w:rPr>
            </w:pPr>
            <w:r>
              <w:rPr>
                <w:rFonts w:hint="eastAsia" w:ascii="宋体" w:hAnsi="宋体" w:cs="宋体"/>
                <w:bCs/>
                <w:sz w:val="21"/>
                <w:lang w:bidi="ar"/>
              </w:rPr>
              <w:t>已投产</w:t>
            </w:r>
          </w:p>
        </w:tc>
      </w:tr>
      <w:tr w14:paraId="4B014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4" w:hRule="atLeast"/>
        </w:trPr>
        <w:tc>
          <w:tcPr>
            <w:tcW w:w="519" w:type="dxa"/>
            <w:noWrap w:val="0"/>
            <w:vAlign w:val="center"/>
          </w:tcPr>
          <w:p w14:paraId="0B332848">
            <w:pPr>
              <w:widowControl/>
              <w:jc w:val="center"/>
              <w:rPr>
                <w:rFonts w:hint="eastAsia" w:ascii="宋体" w:hAnsi="宋体" w:cs="宋体"/>
                <w:bCs/>
                <w:sz w:val="21"/>
                <w:lang w:eastAsia="en-US" w:bidi="ar"/>
              </w:rPr>
            </w:pPr>
            <w:r>
              <w:rPr>
                <w:rFonts w:hint="eastAsia" w:ascii="宋体" w:hAnsi="宋体" w:cs="宋体"/>
                <w:bCs/>
                <w:sz w:val="21"/>
                <w:lang w:bidi="ar"/>
              </w:rPr>
              <w:t>7</w:t>
            </w:r>
          </w:p>
        </w:tc>
        <w:tc>
          <w:tcPr>
            <w:tcW w:w="1731" w:type="dxa"/>
            <w:noWrap w:val="0"/>
            <w:vAlign w:val="center"/>
          </w:tcPr>
          <w:p w14:paraId="67D7B7C4">
            <w:pPr>
              <w:widowControl/>
              <w:jc w:val="center"/>
              <w:rPr>
                <w:rFonts w:hint="eastAsia" w:ascii="宋体" w:hAnsi="宋体" w:cs="宋体"/>
                <w:bCs/>
                <w:sz w:val="21"/>
                <w:lang w:bidi="ar"/>
              </w:rPr>
            </w:pPr>
            <w:r>
              <w:rPr>
                <w:rFonts w:hint="eastAsia" w:ascii="宋体" w:hAnsi="宋体" w:cs="宋体"/>
                <w:bCs/>
                <w:sz w:val="21"/>
                <w:lang w:bidi="ar"/>
              </w:rPr>
              <w:t>湖南阿斯达生化科技有限公司</w:t>
            </w:r>
          </w:p>
        </w:tc>
        <w:tc>
          <w:tcPr>
            <w:tcW w:w="1514" w:type="dxa"/>
            <w:noWrap w:val="0"/>
            <w:vAlign w:val="center"/>
          </w:tcPr>
          <w:p w14:paraId="70FEBF86">
            <w:pPr>
              <w:widowControl/>
              <w:jc w:val="center"/>
              <w:rPr>
                <w:rFonts w:hint="eastAsia" w:ascii="宋体" w:hAnsi="宋体" w:cs="宋体"/>
                <w:bCs/>
                <w:sz w:val="21"/>
                <w:lang w:eastAsia="en-US" w:bidi="ar"/>
              </w:rPr>
            </w:pPr>
            <w:r>
              <w:rPr>
                <w:rFonts w:hint="eastAsia" w:ascii="宋体" w:hAnsi="宋体" w:cs="宋体"/>
                <w:bCs/>
                <w:sz w:val="21"/>
                <w:lang w:bidi="ar"/>
              </w:rPr>
              <w:t>111.863531846</w:t>
            </w:r>
          </w:p>
        </w:tc>
        <w:tc>
          <w:tcPr>
            <w:tcW w:w="1473" w:type="dxa"/>
            <w:noWrap w:val="0"/>
            <w:vAlign w:val="center"/>
          </w:tcPr>
          <w:p w14:paraId="3297B12D">
            <w:pPr>
              <w:widowControl/>
              <w:jc w:val="center"/>
              <w:rPr>
                <w:rFonts w:hint="eastAsia" w:ascii="宋体" w:hAnsi="宋体" w:cs="宋体"/>
                <w:bCs/>
                <w:sz w:val="21"/>
                <w:lang w:eastAsia="en-US" w:bidi="ar"/>
              </w:rPr>
            </w:pPr>
            <w:r>
              <w:rPr>
                <w:rFonts w:hint="eastAsia" w:ascii="宋体" w:hAnsi="宋体" w:cs="宋体"/>
                <w:bCs/>
                <w:sz w:val="21"/>
                <w:lang w:bidi="ar"/>
              </w:rPr>
              <w:t>29.579303192</w:t>
            </w:r>
          </w:p>
        </w:tc>
        <w:tc>
          <w:tcPr>
            <w:tcW w:w="959" w:type="dxa"/>
            <w:noWrap w:val="0"/>
            <w:vAlign w:val="center"/>
          </w:tcPr>
          <w:p w14:paraId="141C32B7">
            <w:pPr>
              <w:widowControl/>
              <w:jc w:val="center"/>
              <w:rPr>
                <w:rFonts w:hint="eastAsia" w:ascii="宋体" w:hAnsi="宋体" w:cs="宋体"/>
                <w:bCs/>
                <w:sz w:val="21"/>
                <w:lang w:bidi="ar"/>
              </w:rPr>
            </w:pPr>
          </w:p>
          <w:p w14:paraId="7EA87583">
            <w:pPr>
              <w:widowControl/>
              <w:jc w:val="center"/>
              <w:rPr>
                <w:rFonts w:hint="eastAsia" w:ascii="宋体" w:hAnsi="宋体" w:cs="宋体"/>
                <w:bCs/>
                <w:sz w:val="21"/>
                <w:lang w:bidi="ar"/>
              </w:rPr>
            </w:pPr>
            <w:r>
              <w:rPr>
                <w:rFonts w:hint="eastAsia" w:ascii="宋体" w:hAnsi="宋体" w:cs="宋体"/>
                <w:bCs/>
                <w:sz w:val="21"/>
                <w:lang w:bidi="ar"/>
              </w:rPr>
              <w:t>15910</w:t>
            </w:r>
          </w:p>
        </w:tc>
        <w:tc>
          <w:tcPr>
            <w:tcW w:w="852" w:type="dxa"/>
            <w:noWrap w:val="0"/>
            <w:vAlign w:val="center"/>
          </w:tcPr>
          <w:p w14:paraId="05FEE748">
            <w:pPr>
              <w:widowControl/>
              <w:jc w:val="center"/>
              <w:rPr>
                <w:rFonts w:hint="eastAsia" w:ascii="宋体" w:hAnsi="宋体" w:cs="宋体"/>
                <w:bCs/>
                <w:sz w:val="21"/>
                <w:lang w:eastAsia="en-US" w:bidi="ar"/>
              </w:rPr>
            </w:pPr>
            <w:r>
              <w:rPr>
                <w:rFonts w:hint="eastAsia" w:ascii="宋体" w:hAnsi="宋体" w:cs="宋体"/>
                <w:bCs/>
                <w:sz w:val="21"/>
                <w:lang w:bidi="ar"/>
              </w:rPr>
              <w:t>0.95</w:t>
            </w:r>
          </w:p>
        </w:tc>
        <w:tc>
          <w:tcPr>
            <w:tcW w:w="932" w:type="dxa"/>
            <w:noWrap w:val="0"/>
            <w:vAlign w:val="center"/>
          </w:tcPr>
          <w:p w14:paraId="1A5539C8">
            <w:pPr>
              <w:widowControl/>
              <w:jc w:val="center"/>
              <w:rPr>
                <w:rFonts w:hint="eastAsia" w:ascii="宋体" w:hAnsi="宋体" w:cs="宋体"/>
                <w:bCs/>
                <w:sz w:val="21"/>
                <w:lang w:eastAsia="en-US" w:bidi="ar"/>
              </w:rPr>
            </w:pPr>
            <w:r>
              <w:rPr>
                <w:rFonts w:hint="eastAsia" w:ascii="宋体" w:hAnsi="宋体" w:cs="宋体"/>
                <w:bCs/>
                <w:sz w:val="21"/>
                <w:lang w:bidi="ar"/>
              </w:rPr>
              <w:t>0.24</w:t>
            </w:r>
          </w:p>
        </w:tc>
        <w:tc>
          <w:tcPr>
            <w:tcW w:w="825" w:type="dxa"/>
            <w:noWrap w:val="0"/>
            <w:vAlign w:val="center"/>
          </w:tcPr>
          <w:p w14:paraId="7B9A5A7F">
            <w:pPr>
              <w:widowControl/>
              <w:jc w:val="center"/>
              <w:rPr>
                <w:rFonts w:hint="eastAsia" w:ascii="宋体" w:hAnsi="宋体" w:cs="宋体"/>
                <w:bCs/>
                <w:sz w:val="21"/>
                <w:lang w:eastAsia="en-US" w:bidi="ar"/>
              </w:rPr>
            </w:pPr>
            <w:r>
              <w:rPr>
                <w:rFonts w:hint="eastAsia" w:ascii="宋体" w:hAnsi="宋体" w:cs="宋体"/>
                <w:bCs/>
                <w:sz w:val="21"/>
                <w:lang w:bidi="ar"/>
              </w:rPr>
              <w:t>1.01</w:t>
            </w:r>
          </w:p>
        </w:tc>
        <w:tc>
          <w:tcPr>
            <w:tcW w:w="716" w:type="dxa"/>
            <w:noWrap w:val="0"/>
            <w:vAlign w:val="center"/>
          </w:tcPr>
          <w:p w14:paraId="1C85D71E">
            <w:pPr>
              <w:widowControl/>
              <w:jc w:val="center"/>
              <w:rPr>
                <w:rFonts w:hint="eastAsia" w:ascii="宋体" w:hAnsi="宋体" w:cs="宋体"/>
                <w:bCs/>
                <w:sz w:val="21"/>
                <w:lang w:eastAsia="en-US" w:bidi="ar"/>
              </w:rPr>
            </w:pPr>
            <w:r>
              <w:rPr>
                <w:rFonts w:hint="eastAsia" w:ascii="宋体" w:hAnsi="宋体" w:cs="宋体"/>
                <w:bCs/>
                <w:sz w:val="21"/>
                <w:lang w:bidi="ar"/>
              </w:rPr>
              <w:t>5.13</w:t>
            </w:r>
          </w:p>
        </w:tc>
        <w:tc>
          <w:tcPr>
            <w:tcW w:w="825" w:type="dxa"/>
            <w:noWrap w:val="0"/>
            <w:vAlign w:val="center"/>
          </w:tcPr>
          <w:p w14:paraId="33ED5B93">
            <w:pPr>
              <w:widowControl/>
              <w:jc w:val="center"/>
              <w:rPr>
                <w:rFonts w:hint="eastAsia" w:ascii="宋体" w:hAnsi="宋体" w:cs="宋体"/>
                <w:bCs/>
                <w:sz w:val="21"/>
                <w:lang w:eastAsia="en-US" w:bidi="ar"/>
              </w:rPr>
            </w:pPr>
            <w:r>
              <w:rPr>
                <w:rFonts w:hint="eastAsia" w:ascii="宋体" w:hAnsi="宋体" w:cs="宋体"/>
                <w:bCs/>
                <w:sz w:val="21"/>
                <w:lang w:bidi="ar"/>
              </w:rPr>
              <w:t>0.72</w:t>
            </w:r>
          </w:p>
        </w:tc>
        <w:tc>
          <w:tcPr>
            <w:tcW w:w="1341" w:type="dxa"/>
            <w:noWrap w:val="0"/>
            <w:vAlign w:val="center"/>
          </w:tcPr>
          <w:p w14:paraId="44BE8985">
            <w:pPr>
              <w:widowControl/>
              <w:jc w:val="center"/>
              <w:rPr>
                <w:rFonts w:hint="eastAsia" w:ascii="宋体" w:hAnsi="宋体" w:cs="宋体"/>
                <w:bCs/>
                <w:sz w:val="21"/>
                <w:lang w:eastAsia="en-US" w:bidi="ar"/>
              </w:rPr>
            </w:pPr>
            <w:r>
              <w:rPr>
                <w:rFonts w:hint="eastAsia" w:ascii="宋体" w:hAnsi="宋体" w:cs="宋体"/>
                <w:bCs/>
                <w:sz w:val="21"/>
                <w:lang w:bidi="ar"/>
              </w:rPr>
              <w:t>VOCs：0.217</w:t>
            </w:r>
          </w:p>
        </w:tc>
        <w:tc>
          <w:tcPr>
            <w:tcW w:w="1753" w:type="dxa"/>
            <w:noWrap w:val="0"/>
            <w:vAlign w:val="center"/>
          </w:tcPr>
          <w:p w14:paraId="09672013">
            <w:pPr>
              <w:widowControl/>
              <w:jc w:val="center"/>
              <w:rPr>
                <w:rFonts w:hint="eastAsia" w:ascii="宋体" w:hAnsi="宋体" w:cs="宋体"/>
                <w:bCs/>
                <w:sz w:val="21"/>
                <w:lang w:bidi="ar"/>
              </w:rPr>
            </w:pPr>
            <w:r>
              <w:rPr>
                <w:rFonts w:hint="eastAsia" w:ascii="宋体" w:hAnsi="宋体" w:cs="宋体"/>
                <w:bCs/>
                <w:sz w:val="21"/>
                <w:lang w:bidi="ar"/>
              </w:rPr>
              <w:t>一般固废632；危险 固废（污泥、 残液）6.5</w:t>
            </w:r>
          </w:p>
        </w:tc>
        <w:tc>
          <w:tcPr>
            <w:tcW w:w="881" w:type="dxa"/>
            <w:noWrap w:val="0"/>
            <w:vAlign w:val="center"/>
          </w:tcPr>
          <w:p w14:paraId="50249084">
            <w:pPr>
              <w:widowControl/>
              <w:jc w:val="center"/>
              <w:rPr>
                <w:rFonts w:hint="eastAsia" w:ascii="宋体" w:hAnsi="宋体" w:cs="宋体"/>
                <w:bCs/>
                <w:sz w:val="21"/>
                <w:lang w:eastAsia="en-US" w:bidi="ar"/>
              </w:rPr>
            </w:pPr>
            <w:r>
              <w:rPr>
                <w:rFonts w:hint="eastAsia" w:ascii="宋体" w:hAnsi="宋体" w:cs="宋体"/>
                <w:bCs/>
                <w:sz w:val="21"/>
                <w:lang w:bidi="ar"/>
              </w:rPr>
              <w:t>已投产</w:t>
            </w:r>
          </w:p>
        </w:tc>
      </w:tr>
      <w:tr w14:paraId="72C24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9" w:type="dxa"/>
            <w:noWrap w:val="0"/>
            <w:vAlign w:val="center"/>
          </w:tcPr>
          <w:p w14:paraId="41713086">
            <w:pPr>
              <w:widowControl/>
              <w:jc w:val="center"/>
              <w:rPr>
                <w:rFonts w:hint="eastAsia" w:ascii="宋体" w:hAnsi="宋体" w:cs="宋体"/>
                <w:bCs/>
                <w:sz w:val="21"/>
                <w:lang w:eastAsia="en-US" w:bidi="ar"/>
              </w:rPr>
            </w:pPr>
            <w:r>
              <w:rPr>
                <w:rFonts w:hint="eastAsia" w:ascii="宋体" w:hAnsi="宋体" w:cs="宋体"/>
                <w:bCs/>
                <w:sz w:val="21"/>
                <w:lang w:bidi="ar"/>
              </w:rPr>
              <w:t>8</w:t>
            </w:r>
          </w:p>
        </w:tc>
        <w:tc>
          <w:tcPr>
            <w:tcW w:w="1731" w:type="dxa"/>
            <w:noWrap w:val="0"/>
            <w:vAlign w:val="center"/>
          </w:tcPr>
          <w:p w14:paraId="71D95D82">
            <w:pPr>
              <w:widowControl/>
              <w:jc w:val="center"/>
              <w:rPr>
                <w:rFonts w:hint="eastAsia" w:ascii="宋体" w:hAnsi="宋体" w:cs="宋体"/>
                <w:bCs/>
                <w:sz w:val="21"/>
                <w:lang w:bidi="ar"/>
              </w:rPr>
            </w:pPr>
            <w:r>
              <w:rPr>
                <w:rFonts w:hint="eastAsia" w:ascii="宋体" w:hAnsi="宋体" w:cs="宋体"/>
                <w:bCs/>
                <w:sz w:val="21"/>
                <w:lang w:bidi="ar"/>
              </w:rPr>
              <w:t>津市市荣迪实业有限公司</w:t>
            </w:r>
          </w:p>
        </w:tc>
        <w:tc>
          <w:tcPr>
            <w:tcW w:w="1514" w:type="dxa"/>
            <w:noWrap w:val="0"/>
            <w:vAlign w:val="center"/>
          </w:tcPr>
          <w:p w14:paraId="49900B1E">
            <w:pPr>
              <w:widowControl/>
              <w:jc w:val="center"/>
              <w:rPr>
                <w:rFonts w:hint="eastAsia" w:ascii="宋体" w:hAnsi="宋体" w:cs="宋体"/>
                <w:bCs/>
                <w:sz w:val="21"/>
                <w:lang w:eastAsia="en-US" w:bidi="ar"/>
              </w:rPr>
            </w:pPr>
            <w:r>
              <w:rPr>
                <w:rFonts w:hint="eastAsia" w:ascii="宋体" w:hAnsi="宋体" w:cs="宋体"/>
                <w:bCs/>
                <w:sz w:val="21"/>
                <w:lang w:bidi="ar"/>
              </w:rPr>
              <w:t>111.876448455</w:t>
            </w:r>
          </w:p>
        </w:tc>
        <w:tc>
          <w:tcPr>
            <w:tcW w:w="1473" w:type="dxa"/>
            <w:noWrap w:val="0"/>
            <w:vAlign w:val="center"/>
          </w:tcPr>
          <w:p w14:paraId="79154512">
            <w:pPr>
              <w:widowControl/>
              <w:jc w:val="center"/>
              <w:rPr>
                <w:rFonts w:hint="eastAsia" w:ascii="宋体" w:hAnsi="宋体" w:cs="宋体"/>
                <w:bCs/>
                <w:sz w:val="21"/>
                <w:lang w:eastAsia="en-US" w:bidi="ar"/>
              </w:rPr>
            </w:pPr>
            <w:r>
              <w:rPr>
                <w:rFonts w:hint="eastAsia" w:ascii="宋体" w:hAnsi="宋体" w:cs="宋体"/>
                <w:bCs/>
                <w:sz w:val="21"/>
                <w:lang w:bidi="ar"/>
              </w:rPr>
              <w:t>29.605951640</w:t>
            </w:r>
          </w:p>
        </w:tc>
        <w:tc>
          <w:tcPr>
            <w:tcW w:w="959" w:type="dxa"/>
            <w:noWrap w:val="0"/>
            <w:vAlign w:val="center"/>
          </w:tcPr>
          <w:p w14:paraId="02647C72">
            <w:pPr>
              <w:widowControl/>
              <w:jc w:val="center"/>
              <w:rPr>
                <w:rFonts w:hint="eastAsia" w:ascii="宋体" w:hAnsi="宋体" w:cs="宋体"/>
                <w:bCs/>
                <w:sz w:val="21"/>
                <w:lang w:eastAsia="en-US" w:bidi="ar"/>
              </w:rPr>
            </w:pPr>
            <w:r>
              <w:rPr>
                <w:rFonts w:hint="eastAsia" w:ascii="宋体" w:hAnsi="宋体" w:cs="宋体"/>
                <w:bCs/>
                <w:sz w:val="21"/>
                <w:lang w:bidi="ar"/>
              </w:rPr>
              <w:t>1890</w:t>
            </w:r>
          </w:p>
        </w:tc>
        <w:tc>
          <w:tcPr>
            <w:tcW w:w="852" w:type="dxa"/>
            <w:noWrap w:val="0"/>
            <w:vAlign w:val="center"/>
          </w:tcPr>
          <w:p w14:paraId="33727356">
            <w:pPr>
              <w:widowControl/>
              <w:jc w:val="center"/>
              <w:rPr>
                <w:rFonts w:hint="eastAsia" w:ascii="宋体" w:hAnsi="宋体" w:cs="宋体"/>
                <w:bCs/>
                <w:sz w:val="21"/>
                <w:lang w:eastAsia="en-US" w:bidi="ar"/>
              </w:rPr>
            </w:pPr>
            <w:r>
              <w:rPr>
                <w:rFonts w:hint="eastAsia" w:ascii="宋体" w:hAnsi="宋体" w:cs="宋体"/>
                <w:bCs/>
                <w:sz w:val="21"/>
                <w:lang w:bidi="ar"/>
              </w:rPr>
              <w:t>0.09</w:t>
            </w:r>
          </w:p>
        </w:tc>
        <w:tc>
          <w:tcPr>
            <w:tcW w:w="932" w:type="dxa"/>
            <w:noWrap w:val="0"/>
            <w:vAlign w:val="center"/>
          </w:tcPr>
          <w:p w14:paraId="72E04F56">
            <w:pPr>
              <w:widowControl/>
              <w:jc w:val="center"/>
              <w:rPr>
                <w:rFonts w:hint="eastAsia" w:ascii="宋体" w:hAnsi="宋体" w:cs="宋体"/>
                <w:bCs/>
                <w:sz w:val="21"/>
                <w:lang w:eastAsia="en-US" w:bidi="ar"/>
              </w:rPr>
            </w:pPr>
            <w:r>
              <w:rPr>
                <w:rFonts w:hint="eastAsia" w:ascii="宋体" w:hAnsi="宋体" w:cs="宋体"/>
                <w:bCs/>
                <w:sz w:val="21"/>
                <w:lang w:bidi="ar"/>
              </w:rPr>
              <w:t>0.02</w:t>
            </w:r>
          </w:p>
        </w:tc>
        <w:tc>
          <w:tcPr>
            <w:tcW w:w="825" w:type="dxa"/>
            <w:noWrap w:val="0"/>
            <w:vAlign w:val="center"/>
          </w:tcPr>
          <w:p w14:paraId="6D32F473">
            <w:pPr>
              <w:widowControl/>
              <w:jc w:val="center"/>
              <w:rPr>
                <w:rFonts w:hint="eastAsia" w:ascii="宋体" w:hAnsi="宋体" w:cs="宋体"/>
                <w:bCs/>
                <w:sz w:val="21"/>
                <w:lang w:bidi="ar"/>
              </w:rPr>
            </w:pPr>
            <w:r>
              <w:rPr>
                <w:rFonts w:hint="eastAsia" w:ascii="宋体" w:hAnsi="宋体" w:cs="宋体"/>
                <w:bCs/>
                <w:sz w:val="21"/>
                <w:lang w:bidi="ar"/>
              </w:rPr>
              <w:t>0</w:t>
            </w:r>
          </w:p>
        </w:tc>
        <w:tc>
          <w:tcPr>
            <w:tcW w:w="716" w:type="dxa"/>
            <w:noWrap w:val="0"/>
            <w:vAlign w:val="center"/>
          </w:tcPr>
          <w:p w14:paraId="1DE68A61">
            <w:pPr>
              <w:widowControl/>
              <w:jc w:val="center"/>
              <w:rPr>
                <w:rFonts w:hint="eastAsia" w:ascii="宋体" w:hAnsi="宋体" w:cs="宋体"/>
                <w:bCs/>
                <w:sz w:val="21"/>
                <w:lang w:bidi="ar"/>
              </w:rPr>
            </w:pPr>
            <w:r>
              <w:rPr>
                <w:rFonts w:hint="eastAsia" w:ascii="宋体" w:hAnsi="宋体" w:cs="宋体"/>
                <w:bCs/>
                <w:sz w:val="21"/>
                <w:lang w:bidi="ar"/>
              </w:rPr>
              <w:t>0</w:t>
            </w:r>
          </w:p>
        </w:tc>
        <w:tc>
          <w:tcPr>
            <w:tcW w:w="825" w:type="dxa"/>
            <w:noWrap w:val="0"/>
            <w:vAlign w:val="center"/>
          </w:tcPr>
          <w:p w14:paraId="24232248">
            <w:pPr>
              <w:widowControl/>
              <w:jc w:val="center"/>
              <w:rPr>
                <w:rFonts w:hint="eastAsia" w:ascii="宋体" w:hAnsi="宋体" w:cs="宋体"/>
                <w:bCs/>
                <w:sz w:val="21"/>
                <w:lang w:eastAsia="en-US" w:bidi="ar"/>
              </w:rPr>
            </w:pPr>
            <w:r>
              <w:rPr>
                <w:rFonts w:hint="eastAsia" w:ascii="宋体" w:hAnsi="宋体" w:cs="宋体"/>
                <w:bCs/>
                <w:sz w:val="21"/>
                <w:lang w:bidi="ar"/>
              </w:rPr>
              <w:t>0.504</w:t>
            </w:r>
          </w:p>
        </w:tc>
        <w:tc>
          <w:tcPr>
            <w:tcW w:w="1341" w:type="dxa"/>
            <w:noWrap w:val="0"/>
            <w:vAlign w:val="center"/>
          </w:tcPr>
          <w:p w14:paraId="6F6ABC89">
            <w:pPr>
              <w:widowControl/>
              <w:jc w:val="center"/>
              <w:rPr>
                <w:rFonts w:hint="eastAsia" w:ascii="宋体" w:hAnsi="宋体" w:cs="宋体"/>
                <w:bCs/>
                <w:sz w:val="21"/>
                <w:lang w:eastAsia="en-US" w:bidi="ar"/>
              </w:rPr>
            </w:pPr>
            <w:r>
              <w:rPr>
                <w:rFonts w:hint="eastAsia" w:ascii="宋体" w:hAnsi="宋体" w:cs="宋体"/>
                <w:bCs/>
                <w:sz w:val="21"/>
                <w:lang w:bidi="ar"/>
              </w:rPr>
              <w:t>/</w:t>
            </w:r>
          </w:p>
        </w:tc>
        <w:tc>
          <w:tcPr>
            <w:tcW w:w="1753" w:type="dxa"/>
            <w:noWrap w:val="0"/>
            <w:vAlign w:val="center"/>
          </w:tcPr>
          <w:p w14:paraId="427B9EEB">
            <w:pPr>
              <w:widowControl/>
              <w:jc w:val="center"/>
              <w:rPr>
                <w:rFonts w:hint="eastAsia" w:ascii="宋体" w:hAnsi="宋体" w:cs="宋体"/>
                <w:bCs/>
                <w:sz w:val="21"/>
                <w:lang w:bidi="ar"/>
              </w:rPr>
            </w:pPr>
            <w:r>
              <w:rPr>
                <w:rFonts w:hint="eastAsia" w:ascii="宋体" w:hAnsi="宋体" w:cs="宋体"/>
                <w:bCs/>
                <w:sz w:val="21"/>
                <w:lang w:bidi="ar"/>
              </w:rPr>
              <w:t>一般固废11.5；危险 固废（废机油）0.95</w:t>
            </w:r>
          </w:p>
        </w:tc>
        <w:tc>
          <w:tcPr>
            <w:tcW w:w="881" w:type="dxa"/>
            <w:noWrap w:val="0"/>
            <w:vAlign w:val="center"/>
          </w:tcPr>
          <w:p w14:paraId="255B773F">
            <w:pPr>
              <w:widowControl/>
              <w:jc w:val="center"/>
              <w:rPr>
                <w:rFonts w:hint="eastAsia" w:ascii="宋体" w:hAnsi="宋体" w:cs="宋体"/>
                <w:bCs/>
                <w:sz w:val="21"/>
                <w:lang w:eastAsia="en-US" w:bidi="ar"/>
              </w:rPr>
            </w:pPr>
            <w:r>
              <w:rPr>
                <w:rFonts w:hint="eastAsia" w:ascii="宋体" w:hAnsi="宋体" w:cs="宋体"/>
                <w:bCs/>
                <w:sz w:val="21"/>
                <w:lang w:bidi="ar"/>
              </w:rPr>
              <w:t>已投产</w:t>
            </w:r>
          </w:p>
        </w:tc>
      </w:tr>
      <w:tr w14:paraId="014A0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9" w:type="dxa"/>
            <w:noWrap w:val="0"/>
            <w:vAlign w:val="center"/>
          </w:tcPr>
          <w:p w14:paraId="44A9631C">
            <w:pPr>
              <w:widowControl/>
              <w:jc w:val="center"/>
              <w:rPr>
                <w:rFonts w:hint="eastAsia" w:ascii="宋体" w:hAnsi="宋体" w:cs="宋体"/>
                <w:bCs/>
                <w:sz w:val="21"/>
                <w:lang w:bidi="ar"/>
              </w:rPr>
            </w:pPr>
          </w:p>
          <w:p w14:paraId="3304AF20">
            <w:pPr>
              <w:widowControl/>
              <w:jc w:val="center"/>
              <w:rPr>
                <w:rFonts w:hint="eastAsia" w:ascii="宋体" w:hAnsi="宋体" w:cs="宋体"/>
                <w:bCs/>
                <w:sz w:val="21"/>
                <w:lang w:eastAsia="en-US" w:bidi="ar"/>
              </w:rPr>
            </w:pPr>
            <w:r>
              <w:rPr>
                <w:rFonts w:hint="eastAsia" w:ascii="宋体" w:hAnsi="宋体" w:cs="宋体"/>
                <w:bCs/>
                <w:sz w:val="21"/>
                <w:lang w:bidi="ar"/>
              </w:rPr>
              <w:t>9</w:t>
            </w:r>
          </w:p>
        </w:tc>
        <w:tc>
          <w:tcPr>
            <w:tcW w:w="1731" w:type="dxa"/>
            <w:noWrap w:val="0"/>
            <w:vAlign w:val="center"/>
          </w:tcPr>
          <w:p w14:paraId="7024E8DF">
            <w:pPr>
              <w:widowControl/>
              <w:jc w:val="center"/>
              <w:rPr>
                <w:rFonts w:hint="eastAsia" w:ascii="宋体" w:hAnsi="宋体" w:cs="宋体"/>
                <w:bCs/>
                <w:sz w:val="21"/>
                <w:lang w:bidi="ar"/>
              </w:rPr>
            </w:pPr>
          </w:p>
          <w:p w14:paraId="2CFC95EC">
            <w:pPr>
              <w:widowControl/>
              <w:jc w:val="center"/>
              <w:rPr>
                <w:rFonts w:hint="eastAsia" w:ascii="宋体" w:hAnsi="宋体" w:cs="宋体"/>
                <w:bCs/>
                <w:sz w:val="21"/>
                <w:lang w:bidi="ar"/>
              </w:rPr>
            </w:pPr>
            <w:r>
              <w:rPr>
                <w:rFonts w:hint="eastAsia" w:ascii="宋体" w:hAnsi="宋体" w:cs="宋体"/>
                <w:bCs/>
                <w:sz w:val="21"/>
                <w:lang w:bidi="ar"/>
              </w:rPr>
              <w:t>湖南泰安锻造有限公司</w:t>
            </w:r>
          </w:p>
        </w:tc>
        <w:tc>
          <w:tcPr>
            <w:tcW w:w="1514" w:type="dxa"/>
            <w:noWrap w:val="0"/>
            <w:vAlign w:val="center"/>
          </w:tcPr>
          <w:p w14:paraId="3AC755AE">
            <w:pPr>
              <w:widowControl/>
              <w:jc w:val="center"/>
              <w:rPr>
                <w:rFonts w:hint="eastAsia" w:ascii="宋体" w:hAnsi="宋体" w:cs="宋体"/>
                <w:bCs/>
                <w:sz w:val="21"/>
                <w:lang w:bidi="ar"/>
              </w:rPr>
            </w:pPr>
          </w:p>
          <w:p w14:paraId="7978F208">
            <w:pPr>
              <w:widowControl/>
              <w:jc w:val="center"/>
              <w:rPr>
                <w:rFonts w:hint="eastAsia" w:ascii="宋体" w:hAnsi="宋体" w:cs="宋体"/>
                <w:bCs/>
                <w:sz w:val="21"/>
                <w:lang w:eastAsia="en-US" w:bidi="ar"/>
              </w:rPr>
            </w:pPr>
            <w:r>
              <w:rPr>
                <w:rFonts w:hint="eastAsia" w:ascii="宋体" w:hAnsi="宋体" w:cs="宋体"/>
                <w:bCs/>
                <w:sz w:val="21"/>
                <w:lang w:bidi="ar"/>
              </w:rPr>
              <w:t>111.081869902</w:t>
            </w:r>
          </w:p>
        </w:tc>
        <w:tc>
          <w:tcPr>
            <w:tcW w:w="1473" w:type="dxa"/>
            <w:noWrap w:val="0"/>
            <w:vAlign w:val="center"/>
          </w:tcPr>
          <w:p w14:paraId="7AC3557A">
            <w:pPr>
              <w:widowControl/>
              <w:jc w:val="center"/>
              <w:rPr>
                <w:rFonts w:hint="eastAsia" w:ascii="宋体" w:hAnsi="宋体" w:cs="宋体"/>
                <w:bCs/>
                <w:sz w:val="21"/>
                <w:lang w:bidi="ar"/>
              </w:rPr>
            </w:pPr>
          </w:p>
          <w:p w14:paraId="7784933D">
            <w:pPr>
              <w:widowControl/>
              <w:jc w:val="center"/>
              <w:rPr>
                <w:rFonts w:hint="eastAsia" w:ascii="宋体" w:hAnsi="宋体" w:cs="宋体"/>
                <w:bCs/>
                <w:sz w:val="21"/>
                <w:lang w:eastAsia="en-US" w:bidi="ar"/>
              </w:rPr>
            </w:pPr>
            <w:r>
              <w:rPr>
                <w:rFonts w:hint="eastAsia" w:ascii="宋体" w:hAnsi="宋体" w:cs="宋体"/>
                <w:bCs/>
                <w:sz w:val="21"/>
                <w:lang w:bidi="ar"/>
              </w:rPr>
              <w:t>27.199690110</w:t>
            </w:r>
          </w:p>
        </w:tc>
        <w:tc>
          <w:tcPr>
            <w:tcW w:w="959" w:type="dxa"/>
            <w:noWrap w:val="0"/>
            <w:vAlign w:val="center"/>
          </w:tcPr>
          <w:p w14:paraId="33A61996">
            <w:pPr>
              <w:widowControl/>
              <w:jc w:val="center"/>
              <w:rPr>
                <w:rFonts w:hint="eastAsia" w:ascii="宋体" w:hAnsi="宋体" w:cs="宋体"/>
                <w:bCs/>
                <w:sz w:val="21"/>
                <w:lang w:bidi="ar"/>
              </w:rPr>
            </w:pPr>
          </w:p>
          <w:p w14:paraId="636C2EAE">
            <w:pPr>
              <w:widowControl/>
              <w:jc w:val="center"/>
              <w:rPr>
                <w:rFonts w:hint="eastAsia" w:ascii="宋体" w:hAnsi="宋体" w:cs="宋体"/>
                <w:bCs/>
                <w:sz w:val="21"/>
                <w:lang w:eastAsia="en-US" w:bidi="ar"/>
              </w:rPr>
            </w:pPr>
            <w:r>
              <w:rPr>
                <w:rFonts w:hint="eastAsia" w:ascii="宋体" w:hAnsi="宋体" w:cs="宋体"/>
                <w:bCs/>
                <w:sz w:val="21"/>
                <w:lang w:bidi="ar"/>
              </w:rPr>
              <w:t>1600</w:t>
            </w:r>
          </w:p>
        </w:tc>
        <w:tc>
          <w:tcPr>
            <w:tcW w:w="852" w:type="dxa"/>
            <w:noWrap w:val="0"/>
            <w:vAlign w:val="center"/>
          </w:tcPr>
          <w:p w14:paraId="05CCD2A5">
            <w:pPr>
              <w:widowControl/>
              <w:jc w:val="center"/>
              <w:rPr>
                <w:rFonts w:hint="eastAsia" w:ascii="宋体" w:hAnsi="宋体" w:cs="宋体"/>
                <w:bCs/>
                <w:sz w:val="21"/>
                <w:lang w:bidi="ar"/>
              </w:rPr>
            </w:pPr>
          </w:p>
          <w:p w14:paraId="60326A87">
            <w:pPr>
              <w:widowControl/>
              <w:jc w:val="center"/>
              <w:rPr>
                <w:rFonts w:hint="eastAsia" w:ascii="宋体" w:hAnsi="宋体" w:cs="宋体"/>
                <w:bCs/>
                <w:sz w:val="21"/>
                <w:lang w:eastAsia="en-US" w:bidi="ar"/>
              </w:rPr>
            </w:pPr>
            <w:r>
              <w:rPr>
                <w:rFonts w:hint="eastAsia" w:ascii="宋体" w:hAnsi="宋体" w:cs="宋体"/>
                <w:bCs/>
                <w:sz w:val="21"/>
                <w:lang w:bidi="ar"/>
              </w:rPr>
              <w:t>0.096</w:t>
            </w:r>
          </w:p>
        </w:tc>
        <w:tc>
          <w:tcPr>
            <w:tcW w:w="932" w:type="dxa"/>
            <w:noWrap w:val="0"/>
            <w:vAlign w:val="center"/>
          </w:tcPr>
          <w:p w14:paraId="0F90AB44">
            <w:pPr>
              <w:widowControl/>
              <w:jc w:val="center"/>
              <w:rPr>
                <w:rFonts w:hint="eastAsia" w:ascii="宋体" w:hAnsi="宋体" w:cs="宋体"/>
                <w:bCs/>
                <w:sz w:val="21"/>
                <w:lang w:bidi="ar"/>
              </w:rPr>
            </w:pPr>
          </w:p>
          <w:p w14:paraId="6AF0C41D">
            <w:pPr>
              <w:widowControl/>
              <w:jc w:val="center"/>
              <w:rPr>
                <w:rFonts w:hint="eastAsia" w:ascii="宋体" w:hAnsi="宋体" w:cs="宋体"/>
                <w:bCs/>
                <w:sz w:val="21"/>
                <w:lang w:eastAsia="en-US" w:bidi="ar"/>
              </w:rPr>
            </w:pPr>
            <w:r>
              <w:rPr>
                <w:rFonts w:hint="eastAsia" w:ascii="宋体" w:hAnsi="宋体" w:cs="宋体"/>
                <w:bCs/>
                <w:sz w:val="21"/>
                <w:lang w:bidi="ar"/>
              </w:rPr>
              <w:t>0.024</w:t>
            </w:r>
          </w:p>
        </w:tc>
        <w:tc>
          <w:tcPr>
            <w:tcW w:w="825" w:type="dxa"/>
            <w:noWrap w:val="0"/>
            <w:vAlign w:val="center"/>
          </w:tcPr>
          <w:p w14:paraId="3AEEF8E4">
            <w:pPr>
              <w:widowControl/>
              <w:jc w:val="center"/>
              <w:rPr>
                <w:rFonts w:hint="eastAsia" w:ascii="宋体" w:hAnsi="宋体" w:cs="宋体"/>
                <w:bCs/>
                <w:sz w:val="21"/>
                <w:lang w:bidi="ar"/>
              </w:rPr>
            </w:pPr>
          </w:p>
          <w:p w14:paraId="6B45C229">
            <w:pPr>
              <w:widowControl/>
              <w:jc w:val="center"/>
              <w:rPr>
                <w:rFonts w:hint="eastAsia" w:ascii="宋体" w:hAnsi="宋体" w:cs="宋体"/>
                <w:bCs/>
                <w:sz w:val="21"/>
                <w:lang w:bidi="ar"/>
              </w:rPr>
            </w:pPr>
            <w:r>
              <w:rPr>
                <w:rFonts w:hint="eastAsia" w:ascii="宋体" w:hAnsi="宋体" w:cs="宋体"/>
                <w:bCs/>
                <w:sz w:val="21"/>
                <w:lang w:bidi="ar"/>
              </w:rPr>
              <w:t>0</w:t>
            </w:r>
          </w:p>
        </w:tc>
        <w:tc>
          <w:tcPr>
            <w:tcW w:w="716" w:type="dxa"/>
            <w:noWrap w:val="0"/>
            <w:vAlign w:val="center"/>
          </w:tcPr>
          <w:p w14:paraId="5B3F5869">
            <w:pPr>
              <w:widowControl/>
              <w:jc w:val="center"/>
              <w:rPr>
                <w:rFonts w:hint="eastAsia" w:ascii="宋体" w:hAnsi="宋体" w:cs="宋体"/>
                <w:bCs/>
                <w:sz w:val="21"/>
                <w:lang w:bidi="ar"/>
              </w:rPr>
            </w:pPr>
          </w:p>
          <w:p w14:paraId="6BAECD2F">
            <w:pPr>
              <w:widowControl/>
              <w:jc w:val="center"/>
              <w:rPr>
                <w:rFonts w:hint="eastAsia" w:ascii="宋体" w:hAnsi="宋体" w:cs="宋体"/>
                <w:bCs/>
                <w:sz w:val="21"/>
                <w:lang w:bidi="ar"/>
              </w:rPr>
            </w:pPr>
            <w:r>
              <w:rPr>
                <w:rFonts w:hint="eastAsia" w:ascii="宋体" w:hAnsi="宋体" w:cs="宋体"/>
                <w:bCs/>
                <w:sz w:val="21"/>
                <w:lang w:bidi="ar"/>
              </w:rPr>
              <w:t>0</w:t>
            </w:r>
          </w:p>
        </w:tc>
        <w:tc>
          <w:tcPr>
            <w:tcW w:w="825" w:type="dxa"/>
            <w:noWrap w:val="0"/>
            <w:vAlign w:val="center"/>
          </w:tcPr>
          <w:p w14:paraId="35E1632B">
            <w:pPr>
              <w:widowControl/>
              <w:jc w:val="center"/>
              <w:rPr>
                <w:rFonts w:hint="eastAsia" w:ascii="宋体" w:hAnsi="宋体" w:cs="宋体"/>
                <w:bCs/>
                <w:sz w:val="21"/>
                <w:lang w:bidi="ar"/>
              </w:rPr>
            </w:pPr>
          </w:p>
          <w:p w14:paraId="3C49A8A6">
            <w:pPr>
              <w:widowControl/>
              <w:jc w:val="center"/>
              <w:rPr>
                <w:rFonts w:hint="eastAsia" w:ascii="宋体" w:hAnsi="宋体" w:cs="宋体"/>
                <w:bCs/>
                <w:sz w:val="21"/>
                <w:lang w:eastAsia="en-US" w:bidi="ar"/>
              </w:rPr>
            </w:pPr>
            <w:r>
              <w:rPr>
                <w:rFonts w:hint="eastAsia" w:ascii="宋体" w:hAnsi="宋体" w:cs="宋体"/>
                <w:bCs/>
                <w:sz w:val="21"/>
                <w:lang w:bidi="ar"/>
              </w:rPr>
              <w:t>0</w:t>
            </w:r>
          </w:p>
        </w:tc>
        <w:tc>
          <w:tcPr>
            <w:tcW w:w="1341" w:type="dxa"/>
            <w:noWrap w:val="0"/>
            <w:vAlign w:val="center"/>
          </w:tcPr>
          <w:p w14:paraId="4314846E">
            <w:pPr>
              <w:widowControl/>
              <w:jc w:val="center"/>
              <w:rPr>
                <w:rFonts w:hint="eastAsia" w:ascii="宋体" w:hAnsi="宋体" w:cs="宋体"/>
                <w:bCs/>
                <w:sz w:val="21"/>
                <w:lang w:bidi="ar"/>
              </w:rPr>
            </w:pPr>
          </w:p>
          <w:p w14:paraId="799C19D0">
            <w:pPr>
              <w:widowControl/>
              <w:jc w:val="center"/>
              <w:rPr>
                <w:rFonts w:hint="eastAsia" w:ascii="宋体" w:hAnsi="宋体" w:cs="宋体"/>
                <w:bCs/>
                <w:sz w:val="21"/>
                <w:lang w:eastAsia="en-US" w:bidi="ar"/>
              </w:rPr>
            </w:pPr>
            <w:r>
              <w:rPr>
                <w:rFonts w:hint="eastAsia" w:ascii="宋体" w:hAnsi="宋体" w:cs="宋体"/>
                <w:bCs/>
                <w:sz w:val="21"/>
                <w:lang w:bidi="ar"/>
              </w:rPr>
              <w:t>/</w:t>
            </w:r>
          </w:p>
        </w:tc>
        <w:tc>
          <w:tcPr>
            <w:tcW w:w="1753" w:type="dxa"/>
            <w:noWrap w:val="0"/>
            <w:vAlign w:val="center"/>
          </w:tcPr>
          <w:p w14:paraId="2AF03527">
            <w:pPr>
              <w:widowControl/>
              <w:jc w:val="center"/>
              <w:rPr>
                <w:rFonts w:hint="eastAsia" w:ascii="宋体" w:hAnsi="宋体" w:cs="宋体"/>
                <w:bCs/>
                <w:sz w:val="21"/>
                <w:lang w:bidi="ar"/>
              </w:rPr>
            </w:pPr>
            <w:r>
              <w:rPr>
                <w:rFonts w:hint="eastAsia" w:ascii="宋体" w:hAnsi="宋体" w:cs="宋体"/>
                <w:bCs/>
                <w:sz w:val="21"/>
                <w:lang w:bidi="ar"/>
              </w:rPr>
              <w:t>一般固废90 ；危险固废（废机油、乳化液）0.01</w:t>
            </w:r>
          </w:p>
        </w:tc>
        <w:tc>
          <w:tcPr>
            <w:tcW w:w="881" w:type="dxa"/>
            <w:noWrap w:val="0"/>
            <w:vAlign w:val="center"/>
          </w:tcPr>
          <w:p w14:paraId="2FEA7DBD">
            <w:pPr>
              <w:widowControl/>
              <w:jc w:val="center"/>
              <w:rPr>
                <w:rFonts w:hint="eastAsia" w:ascii="宋体" w:hAnsi="宋体" w:cs="宋体"/>
                <w:bCs/>
                <w:sz w:val="21"/>
                <w:lang w:bidi="ar"/>
              </w:rPr>
            </w:pPr>
          </w:p>
          <w:p w14:paraId="4CFC0D14">
            <w:pPr>
              <w:widowControl/>
              <w:jc w:val="center"/>
              <w:rPr>
                <w:rFonts w:hint="eastAsia" w:ascii="宋体" w:hAnsi="宋体" w:cs="宋体"/>
                <w:bCs/>
                <w:sz w:val="21"/>
                <w:lang w:eastAsia="en-US" w:bidi="ar"/>
              </w:rPr>
            </w:pPr>
            <w:r>
              <w:rPr>
                <w:rFonts w:hint="eastAsia" w:ascii="宋体" w:hAnsi="宋体" w:cs="宋体"/>
                <w:bCs/>
                <w:sz w:val="21"/>
                <w:lang w:bidi="ar"/>
              </w:rPr>
              <w:t>已投产</w:t>
            </w:r>
          </w:p>
        </w:tc>
      </w:tr>
      <w:tr w14:paraId="08D01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9" w:type="dxa"/>
            <w:noWrap w:val="0"/>
            <w:vAlign w:val="center"/>
          </w:tcPr>
          <w:p w14:paraId="4BF47C3D">
            <w:pPr>
              <w:widowControl/>
              <w:jc w:val="center"/>
              <w:rPr>
                <w:rFonts w:hint="eastAsia" w:ascii="宋体" w:hAnsi="宋体" w:cs="宋体"/>
                <w:bCs/>
                <w:sz w:val="21"/>
                <w:lang w:bidi="ar"/>
              </w:rPr>
            </w:pPr>
          </w:p>
          <w:p w14:paraId="63468449">
            <w:pPr>
              <w:widowControl/>
              <w:jc w:val="center"/>
              <w:rPr>
                <w:rFonts w:hint="eastAsia" w:ascii="宋体" w:hAnsi="宋体" w:cs="宋体"/>
                <w:bCs/>
                <w:sz w:val="21"/>
                <w:lang w:eastAsia="en-US" w:bidi="ar"/>
              </w:rPr>
            </w:pPr>
            <w:r>
              <w:rPr>
                <w:rFonts w:hint="eastAsia" w:ascii="宋体" w:hAnsi="宋体" w:cs="宋体"/>
                <w:bCs/>
                <w:sz w:val="21"/>
                <w:lang w:bidi="ar"/>
              </w:rPr>
              <w:t>10</w:t>
            </w:r>
          </w:p>
        </w:tc>
        <w:tc>
          <w:tcPr>
            <w:tcW w:w="1731" w:type="dxa"/>
            <w:noWrap w:val="0"/>
            <w:vAlign w:val="center"/>
          </w:tcPr>
          <w:p w14:paraId="0B4F1E21">
            <w:pPr>
              <w:widowControl/>
              <w:jc w:val="center"/>
              <w:rPr>
                <w:rFonts w:hint="eastAsia" w:ascii="宋体" w:hAnsi="宋体" w:cs="宋体"/>
                <w:bCs/>
                <w:sz w:val="21"/>
                <w:lang w:bidi="ar"/>
              </w:rPr>
            </w:pPr>
          </w:p>
          <w:p w14:paraId="283CB49E">
            <w:pPr>
              <w:widowControl/>
              <w:jc w:val="center"/>
              <w:rPr>
                <w:rFonts w:hint="eastAsia" w:ascii="宋体" w:hAnsi="宋体" w:cs="宋体"/>
                <w:bCs/>
                <w:sz w:val="21"/>
                <w:lang w:bidi="ar"/>
              </w:rPr>
            </w:pPr>
            <w:r>
              <w:rPr>
                <w:rFonts w:hint="eastAsia" w:ascii="宋体" w:hAnsi="宋体" w:cs="宋体"/>
                <w:bCs/>
                <w:sz w:val="21"/>
                <w:lang w:bidi="ar"/>
              </w:rPr>
              <w:t>津市定升实业有限公司</w:t>
            </w:r>
          </w:p>
        </w:tc>
        <w:tc>
          <w:tcPr>
            <w:tcW w:w="1514" w:type="dxa"/>
            <w:noWrap w:val="0"/>
            <w:vAlign w:val="center"/>
          </w:tcPr>
          <w:p w14:paraId="1BA3FEB8">
            <w:pPr>
              <w:widowControl/>
              <w:jc w:val="center"/>
              <w:rPr>
                <w:rFonts w:hint="eastAsia" w:ascii="宋体" w:hAnsi="宋体" w:cs="宋体"/>
                <w:bCs/>
                <w:sz w:val="21"/>
                <w:lang w:bidi="ar"/>
              </w:rPr>
            </w:pPr>
          </w:p>
          <w:p w14:paraId="3E76854A">
            <w:pPr>
              <w:widowControl/>
              <w:jc w:val="center"/>
              <w:rPr>
                <w:rFonts w:hint="eastAsia" w:ascii="宋体" w:hAnsi="宋体" w:cs="宋体"/>
                <w:bCs/>
                <w:sz w:val="21"/>
                <w:lang w:eastAsia="en-US" w:bidi="ar"/>
              </w:rPr>
            </w:pPr>
            <w:r>
              <w:rPr>
                <w:rFonts w:hint="eastAsia" w:ascii="宋体" w:hAnsi="宋体" w:cs="宋体"/>
                <w:bCs/>
                <w:sz w:val="21"/>
                <w:lang w:bidi="ar"/>
              </w:rPr>
              <w:t>111.856471664</w:t>
            </w:r>
          </w:p>
        </w:tc>
        <w:tc>
          <w:tcPr>
            <w:tcW w:w="1473" w:type="dxa"/>
            <w:noWrap w:val="0"/>
            <w:vAlign w:val="center"/>
          </w:tcPr>
          <w:p w14:paraId="78B07FEC">
            <w:pPr>
              <w:widowControl/>
              <w:jc w:val="center"/>
              <w:rPr>
                <w:rFonts w:hint="eastAsia" w:ascii="宋体" w:hAnsi="宋体" w:cs="宋体"/>
                <w:bCs/>
                <w:sz w:val="21"/>
                <w:lang w:bidi="ar"/>
              </w:rPr>
            </w:pPr>
          </w:p>
          <w:p w14:paraId="173303F3">
            <w:pPr>
              <w:widowControl/>
              <w:jc w:val="center"/>
              <w:rPr>
                <w:rFonts w:hint="eastAsia" w:ascii="宋体" w:hAnsi="宋体" w:cs="宋体"/>
                <w:bCs/>
                <w:sz w:val="21"/>
                <w:lang w:eastAsia="en-US" w:bidi="ar"/>
              </w:rPr>
            </w:pPr>
            <w:r>
              <w:rPr>
                <w:rFonts w:hint="eastAsia" w:ascii="宋体" w:hAnsi="宋体" w:cs="宋体"/>
                <w:bCs/>
                <w:sz w:val="21"/>
                <w:lang w:bidi="ar"/>
              </w:rPr>
              <w:t>29.579318103</w:t>
            </w:r>
          </w:p>
        </w:tc>
        <w:tc>
          <w:tcPr>
            <w:tcW w:w="959" w:type="dxa"/>
            <w:noWrap w:val="0"/>
            <w:vAlign w:val="center"/>
          </w:tcPr>
          <w:p w14:paraId="2AD6E46D">
            <w:pPr>
              <w:widowControl/>
              <w:jc w:val="center"/>
              <w:rPr>
                <w:rFonts w:hint="eastAsia" w:ascii="宋体" w:hAnsi="宋体" w:cs="宋体"/>
                <w:bCs/>
                <w:sz w:val="21"/>
                <w:lang w:bidi="ar"/>
              </w:rPr>
            </w:pPr>
          </w:p>
          <w:p w14:paraId="74E5E92C">
            <w:pPr>
              <w:widowControl/>
              <w:jc w:val="center"/>
              <w:rPr>
                <w:rFonts w:hint="eastAsia" w:ascii="宋体" w:hAnsi="宋体" w:cs="宋体"/>
                <w:bCs/>
                <w:sz w:val="21"/>
                <w:lang w:eastAsia="en-US" w:bidi="ar"/>
              </w:rPr>
            </w:pPr>
            <w:r>
              <w:rPr>
                <w:rFonts w:hint="eastAsia" w:ascii="宋体" w:hAnsi="宋体" w:cs="宋体"/>
                <w:bCs/>
                <w:sz w:val="21"/>
                <w:lang w:bidi="ar"/>
              </w:rPr>
              <w:t>1170</w:t>
            </w:r>
          </w:p>
        </w:tc>
        <w:tc>
          <w:tcPr>
            <w:tcW w:w="852" w:type="dxa"/>
            <w:noWrap w:val="0"/>
            <w:vAlign w:val="center"/>
          </w:tcPr>
          <w:p w14:paraId="520AA2C1">
            <w:pPr>
              <w:widowControl/>
              <w:jc w:val="center"/>
              <w:rPr>
                <w:rFonts w:hint="eastAsia" w:ascii="宋体" w:hAnsi="宋体" w:cs="宋体"/>
                <w:bCs/>
                <w:sz w:val="21"/>
                <w:lang w:bidi="ar"/>
              </w:rPr>
            </w:pPr>
          </w:p>
          <w:p w14:paraId="7E52356B">
            <w:pPr>
              <w:widowControl/>
              <w:jc w:val="center"/>
              <w:rPr>
                <w:rFonts w:hint="eastAsia" w:ascii="宋体" w:hAnsi="宋体" w:cs="宋体"/>
                <w:bCs/>
                <w:sz w:val="21"/>
                <w:lang w:eastAsia="en-US" w:bidi="ar"/>
              </w:rPr>
            </w:pPr>
            <w:r>
              <w:rPr>
                <w:rFonts w:hint="eastAsia" w:ascii="宋体" w:hAnsi="宋体" w:cs="宋体"/>
                <w:bCs/>
                <w:sz w:val="21"/>
                <w:lang w:bidi="ar"/>
              </w:rPr>
              <w:t>0.07</w:t>
            </w:r>
          </w:p>
        </w:tc>
        <w:tc>
          <w:tcPr>
            <w:tcW w:w="932" w:type="dxa"/>
            <w:noWrap w:val="0"/>
            <w:vAlign w:val="center"/>
          </w:tcPr>
          <w:p w14:paraId="4531CAE0">
            <w:pPr>
              <w:widowControl/>
              <w:jc w:val="center"/>
              <w:rPr>
                <w:rFonts w:hint="eastAsia" w:ascii="宋体" w:hAnsi="宋体" w:cs="宋体"/>
                <w:bCs/>
                <w:sz w:val="21"/>
                <w:lang w:bidi="ar"/>
              </w:rPr>
            </w:pPr>
          </w:p>
          <w:p w14:paraId="07724198">
            <w:pPr>
              <w:widowControl/>
              <w:jc w:val="center"/>
              <w:rPr>
                <w:rFonts w:hint="eastAsia" w:ascii="宋体" w:hAnsi="宋体" w:cs="宋体"/>
                <w:bCs/>
                <w:sz w:val="21"/>
                <w:lang w:eastAsia="en-US" w:bidi="ar"/>
              </w:rPr>
            </w:pPr>
            <w:r>
              <w:rPr>
                <w:rFonts w:hint="eastAsia" w:ascii="宋体" w:hAnsi="宋体" w:cs="宋体"/>
                <w:bCs/>
                <w:sz w:val="21"/>
                <w:lang w:bidi="ar"/>
              </w:rPr>
              <w:t>0.019</w:t>
            </w:r>
          </w:p>
        </w:tc>
        <w:tc>
          <w:tcPr>
            <w:tcW w:w="825" w:type="dxa"/>
            <w:noWrap w:val="0"/>
            <w:vAlign w:val="center"/>
          </w:tcPr>
          <w:p w14:paraId="025C678E">
            <w:pPr>
              <w:widowControl/>
              <w:jc w:val="center"/>
              <w:rPr>
                <w:rFonts w:hint="eastAsia" w:ascii="宋体" w:hAnsi="宋体" w:cs="宋体"/>
                <w:bCs/>
                <w:sz w:val="21"/>
                <w:lang w:bidi="ar"/>
              </w:rPr>
            </w:pPr>
          </w:p>
          <w:p w14:paraId="1B9E161A">
            <w:pPr>
              <w:widowControl/>
              <w:jc w:val="center"/>
              <w:rPr>
                <w:rFonts w:hint="eastAsia" w:ascii="宋体" w:hAnsi="宋体" w:cs="宋体"/>
                <w:bCs/>
                <w:sz w:val="21"/>
                <w:lang w:eastAsia="en-US" w:bidi="ar"/>
              </w:rPr>
            </w:pPr>
            <w:r>
              <w:rPr>
                <w:rFonts w:hint="eastAsia" w:ascii="宋体" w:hAnsi="宋体" w:cs="宋体"/>
                <w:bCs/>
                <w:sz w:val="21"/>
                <w:lang w:bidi="ar"/>
              </w:rPr>
              <w:t>0</w:t>
            </w:r>
          </w:p>
        </w:tc>
        <w:tc>
          <w:tcPr>
            <w:tcW w:w="716" w:type="dxa"/>
            <w:noWrap w:val="0"/>
            <w:vAlign w:val="center"/>
          </w:tcPr>
          <w:p w14:paraId="07538D50">
            <w:pPr>
              <w:widowControl/>
              <w:jc w:val="center"/>
              <w:rPr>
                <w:rFonts w:hint="eastAsia" w:ascii="宋体" w:hAnsi="宋体" w:cs="宋体"/>
                <w:bCs/>
                <w:sz w:val="21"/>
                <w:lang w:bidi="ar"/>
              </w:rPr>
            </w:pPr>
          </w:p>
          <w:p w14:paraId="1841A6B3">
            <w:pPr>
              <w:widowControl/>
              <w:jc w:val="center"/>
              <w:rPr>
                <w:rFonts w:hint="eastAsia" w:ascii="宋体" w:hAnsi="宋体" w:cs="宋体"/>
                <w:bCs/>
                <w:sz w:val="21"/>
                <w:lang w:eastAsia="en-US" w:bidi="ar"/>
              </w:rPr>
            </w:pPr>
            <w:r>
              <w:rPr>
                <w:rFonts w:hint="eastAsia" w:ascii="宋体" w:hAnsi="宋体" w:cs="宋体"/>
                <w:bCs/>
                <w:sz w:val="21"/>
                <w:lang w:bidi="ar"/>
              </w:rPr>
              <w:t>Q</w:t>
            </w:r>
          </w:p>
        </w:tc>
        <w:tc>
          <w:tcPr>
            <w:tcW w:w="825" w:type="dxa"/>
            <w:noWrap w:val="0"/>
            <w:vAlign w:val="center"/>
          </w:tcPr>
          <w:p w14:paraId="36535228">
            <w:pPr>
              <w:widowControl/>
              <w:jc w:val="center"/>
              <w:rPr>
                <w:rFonts w:hint="eastAsia" w:ascii="宋体" w:hAnsi="宋体" w:cs="宋体"/>
                <w:bCs/>
                <w:sz w:val="21"/>
                <w:lang w:bidi="ar"/>
              </w:rPr>
            </w:pPr>
          </w:p>
          <w:p w14:paraId="7972B5ED">
            <w:pPr>
              <w:widowControl/>
              <w:jc w:val="center"/>
              <w:rPr>
                <w:rFonts w:hint="eastAsia" w:ascii="宋体" w:hAnsi="宋体" w:cs="宋体"/>
                <w:bCs/>
                <w:sz w:val="21"/>
                <w:lang w:eastAsia="en-US" w:bidi="ar"/>
              </w:rPr>
            </w:pPr>
            <w:r>
              <w:rPr>
                <w:rFonts w:hint="eastAsia" w:ascii="宋体" w:hAnsi="宋体" w:cs="宋体"/>
                <w:bCs/>
                <w:sz w:val="21"/>
                <w:lang w:bidi="ar"/>
              </w:rPr>
              <w:t>0</w:t>
            </w:r>
          </w:p>
        </w:tc>
        <w:tc>
          <w:tcPr>
            <w:tcW w:w="1341" w:type="dxa"/>
            <w:noWrap w:val="0"/>
            <w:vAlign w:val="center"/>
          </w:tcPr>
          <w:p w14:paraId="2960EEE6">
            <w:pPr>
              <w:widowControl/>
              <w:jc w:val="center"/>
              <w:rPr>
                <w:rFonts w:hint="eastAsia" w:ascii="宋体" w:hAnsi="宋体" w:cs="宋体"/>
                <w:bCs/>
                <w:sz w:val="21"/>
                <w:lang w:bidi="ar"/>
              </w:rPr>
            </w:pPr>
          </w:p>
          <w:p w14:paraId="7BAE18D2">
            <w:pPr>
              <w:widowControl/>
              <w:jc w:val="center"/>
              <w:rPr>
                <w:rFonts w:hint="eastAsia" w:ascii="宋体" w:hAnsi="宋体" w:cs="宋体"/>
                <w:bCs/>
                <w:sz w:val="21"/>
                <w:lang w:eastAsia="en-US" w:bidi="ar"/>
              </w:rPr>
            </w:pPr>
            <w:r>
              <w:rPr>
                <w:rFonts w:hint="eastAsia" w:ascii="宋体" w:hAnsi="宋体" w:cs="宋体"/>
                <w:bCs/>
                <w:sz w:val="21"/>
                <w:lang w:bidi="ar"/>
              </w:rPr>
              <w:t>/</w:t>
            </w:r>
          </w:p>
        </w:tc>
        <w:tc>
          <w:tcPr>
            <w:tcW w:w="1753" w:type="dxa"/>
            <w:noWrap w:val="0"/>
            <w:vAlign w:val="center"/>
          </w:tcPr>
          <w:p w14:paraId="6EA95A25">
            <w:pPr>
              <w:widowControl/>
              <w:jc w:val="center"/>
              <w:rPr>
                <w:rFonts w:hint="eastAsia" w:ascii="宋体" w:hAnsi="宋体" w:cs="宋体"/>
                <w:bCs/>
                <w:sz w:val="21"/>
                <w:lang w:bidi="ar"/>
              </w:rPr>
            </w:pPr>
            <w:r>
              <w:rPr>
                <w:rFonts w:hint="eastAsia" w:ascii="宋体" w:hAnsi="宋体" w:cs="宋体"/>
                <w:bCs/>
                <w:sz w:val="21"/>
                <w:lang w:bidi="ar"/>
              </w:rPr>
              <w:t>一般固废600 ；危险固废（废机油、乳化液）0.0535</w:t>
            </w:r>
          </w:p>
        </w:tc>
        <w:tc>
          <w:tcPr>
            <w:tcW w:w="881" w:type="dxa"/>
            <w:noWrap w:val="0"/>
            <w:vAlign w:val="center"/>
          </w:tcPr>
          <w:p w14:paraId="684CCB24">
            <w:pPr>
              <w:widowControl/>
              <w:jc w:val="center"/>
              <w:rPr>
                <w:rFonts w:hint="eastAsia" w:ascii="宋体" w:hAnsi="宋体" w:cs="宋体"/>
                <w:bCs/>
                <w:sz w:val="21"/>
                <w:lang w:bidi="ar"/>
              </w:rPr>
            </w:pPr>
          </w:p>
          <w:p w14:paraId="7287B5AB">
            <w:pPr>
              <w:widowControl/>
              <w:jc w:val="center"/>
              <w:rPr>
                <w:rFonts w:hint="eastAsia" w:ascii="宋体" w:hAnsi="宋体" w:cs="宋体"/>
                <w:bCs/>
                <w:sz w:val="21"/>
                <w:lang w:eastAsia="en-US" w:bidi="ar"/>
              </w:rPr>
            </w:pPr>
            <w:r>
              <w:rPr>
                <w:rFonts w:hint="eastAsia" w:ascii="宋体" w:hAnsi="宋体" w:cs="宋体"/>
                <w:bCs/>
                <w:sz w:val="21"/>
                <w:lang w:bidi="ar"/>
              </w:rPr>
              <w:t>已投产</w:t>
            </w:r>
          </w:p>
        </w:tc>
      </w:tr>
      <w:tr w14:paraId="1B3D7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9" w:type="dxa"/>
            <w:noWrap w:val="0"/>
            <w:vAlign w:val="center"/>
          </w:tcPr>
          <w:p w14:paraId="39F261DD">
            <w:pPr>
              <w:widowControl/>
              <w:jc w:val="center"/>
              <w:rPr>
                <w:rFonts w:hint="eastAsia" w:ascii="宋体" w:hAnsi="宋体" w:cs="宋体"/>
                <w:bCs/>
                <w:sz w:val="21"/>
                <w:lang w:eastAsia="en-US" w:bidi="ar"/>
              </w:rPr>
            </w:pPr>
            <w:r>
              <w:rPr>
                <w:rFonts w:hint="eastAsia" w:ascii="宋体" w:hAnsi="宋体" w:cs="宋体"/>
                <w:bCs/>
                <w:sz w:val="21"/>
                <w:lang w:bidi="ar"/>
              </w:rPr>
              <w:t>11</w:t>
            </w:r>
          </w:p>
        </w:tc>
        <w:tc>
          <w:tcPr>
            <w:tcW w:w="1731" w:type="dxa"/>
            <w:noWrap w:val="0"/>
            <w:vAlign w:val="center"/>
          </w:tcPr>
          <w:p w14:paraId="3820AC39">
            <w:pPr>
              <w:widowControl/>
              <w:jc w:val="center"/>
              <w:rPr>
                <w:rFonts w:hint="eastAsia" w:ascii="宋体" w:hAnsi="宋体" w:cs="宋体"/>
                <w:bCs/>
                <w:sz w:val="21"/>
                <w:lang w:eastAsia="en-US" w:bidi="ar"/>
              </w:rPr>
            </w:pPr>
            <w:r>
              <w:rPr>
                <w:rFonts w:hint="eastAsia" w:ascii="宋体" w:hAnsi="宋体" w:cs="宋体"/>
                <w:bCs/>
                <w:sz w:val="21"/>
                <w:lang w:bidi="ar"/>
              </w:rPr>
              <w:t>津市市太同密封件有限公司</w:t>
            </w:r>
          </w:p>
        </w:tc>
        <w:tc>
          <w:tcPr>
            <w:tcW w:w="1514" w:type="dxa"/>
            <w:noWrap w:val="0"/>
            <w:vAlign w:val="center"/>
          </w:tcPr>
          <w:p w14:paraId="54736844">
            <w:pPr>
              <w:widowControl/>
              <w:jc w:val="center"/>
              <w:rPr>
                <w:rFonts w:hint="eastAsia" w:ascii="宋体" w:hAnsi="宋体" w:cs="宋体"/>
                <w:bCs/>
                <w:sz w:val="21"/>
                <w:lang w:eastAsia="en-US" w:bidi="ar"/>
              </w:rPr>
            </w:pPr>
            <w:r>
              <w:rPr>
                <w:rFonts w:hint="eastAsia" w:ascii="宋体" w:hAnsi="宋体" w:cs="宋体"/>
                <w:bCs/>
                <w:sz w:val="21"/>
                <w:lang w:bidi="ar"/>
              </w:rPr>
              <w:t>111.857282218</w:t>
            </w:r>
          </w:p>
        </w:tc>
        <w:tc>
          <w:tcPr>
            <w:tcW w:w="1473" w:type="dxa"/>
            <w:noWrap w:val="0"/>
            <w:vAlign w:val="center"/>
          </w:tcPr>
          <w:p w14:paraId="5C1F9FB9">
            <w:pPr>
              <w:widowControl/>
              <w:jc w:val="center"/>
              <w:rPr>
                <w:rFonts w:hint="eastAsia" w:ascii="宋体" w:hAnsi="宋体" w:cs="宋体"/>
                <w:bCs/>
                <w:sz w:val="21"/>
                <w:lang w:eastAsia="en-US" w:bidi="ar"/>
              </w:rPr>
            </w:pPr>
            <w:r>
              <w:rPr>
                <w:rFonts w:hint="eastAsia" w:ascii="宋体" w:hAnsi="宋体" w:cs="宋体"/>
                <w:bCs/>
                <w:sz w:val="21"/>
                <w:lang w:bidi="ar"/>
              </w:rPr>
              <w:t>29.576606839</w:t>
            </w:r>
          </w:p>
        </w:tc>
        <w:tc>
          <w:tcPr>
            <w:tcW w:w="959" w:type="dxa"/>
            <w:noWrap w:val="0"/>
            <w:vAlign w:val="center"/>
          </w:tcPr>
          <w:p w14:paraId="3CA36ED9">
            <w:pPr>
              <w:widowControl/>
              <w:jc w:val="center"/>
              <w:rPr>
                <w:rFonts w:hint="eastAsia" w:ascii="宋体" w:hAnsi="宋体" w:cs="宋体"/>
                <w:bCs/>
                <w:sz w:val="21"/>
                <w:lang w:eastAsia="en-US" w:bidi="ar"/>
              </w:rPr>
            </w:pPr>
            <w:r>
              <w:rPr>
                <w:rFonts w:hint="eastAsia" w:ascii="宋体" w:hAnsi="宋体" w:cs="宋体"/>
                <w:bCs/>
                <w:sz w:val="21"/>
                <w:lang w:bidi="ar"/>
              </w:rPr>
              <w:t>1700</w:t>
            </w:r>
          </w:p>
        </w:tc>
        <w:tc>
          <w:tcPr>
            <w:tcW w:w="852" w:type="dxa"/>
            <w:noWrap w:val="0"/>
            <w:vAlign w:val="center"/>
          </w:tcPr>
          <w:p w14:paraId="36E933AD">
            <w:pPr>
              <w:widowControl/>
              <w:jc w:val="center"/>
              <w:rPr>
                <w:rFonts w:hint="eastAsia" w:ascii="宋体" w:hAnsi="宋体" w:cs="宋体"/>
                <w:bCs/>
                <w:sz w:val="21"/>
                <w:lang w:bidi="ar"/>
              </w:rPr>
            </w:pPr>
            <w:r>
              <w:rPr>
                <w:rFonts w:hint="eastAsia" w:ascii="宋体" w:hAnsi="宋体" w:cs="宋体"/>
                <w:bCs/>
                <w:sz w:val="21"/>
                <w:lang w:bidi="ar"/>
              </w:rPr>
              <w:t>0.1</w:t>
            </w:r>
          </w:p>
        </w:tc>
        <w:tc>
          <w:tcPr>
            <w:tcW w:w="932" w:type="dxa"/>
            <w:noWrap w:val="0"/>
            <w:vAlign w:val="center"/>
          </w:tcPr>
          <w:p w14:paraId="0A4B192A">
            <w:pPr>
              <w:widowControl/>
              <w:jc w:val="center"/>
              <w:rPr>
                <w:rFonts w:hint="eastAsia" w:ascii="宋体" w:hAnsi="宋体" w:cs="宋体"/>
                <w:bCs/>
                <w:sz w:val="21"/>
                <w:lang w:bidi="ar"/>
              </w:rPr>
            </w:pPr>
            <w:r>
              <w:rPr>
                <w:rFonts w:hint="eastAsia" w:ascii="宋体" w:hAnsi="宋体" w:cs="宋体"/>
                <w:bCs/>
                <w:sz w:val="21"/>
                <w:lang w:bidi="ar"/>
              </w:rPr>
              <w:t>0.024</w:t>
            </w:r>
          </w:p>
        </w:tc>
        <w:tc>
          <w:tcPr>
            <w:tcW w:w="825" w:type="dxa"/>
            <w:noWrap w:val="0"/>
            <w:vAlign w:val="center"/>
          </w:tcPr>
          <w:p w14:paraId="23F30398">
            <w:pPr>
              <w:widowControl/>
              <w:jc w:val="center"/>
              <w:rPr>
                <w:rFonts w:hint="eastAsia" w:ascii="宋体" w:hAnsi="宋体" w:cs="宋体"/>
                <w:bCs/>
                <w:sz w:val="21"/>
                <w:lang w:bidi="ar"/>
              </w:rPr>
            </w:pPr>
            <w:r>
              <w:rPr>
                <w:rFonts w:hint="eastAsia" w:ascii="宋体" w:hAnsi="宋体" w:cs="宋体"/>
                <w:bCs/>
                <w:sz w:val="21"/>
                <w:lang w:bidi="ar"/>
              </w:rPr>
              <w:t>0</w:t>
            </w:r>
          </w:p>
        </w:tc>
        <w:tc>
          <w:tcPr>
            <w:tcW w:w="716" w:type="dxa"/>
            <w:noWrap w:val="0"/>
            <w:vAlign w:val="center"/>
          </w:tcPr>
          <w:p w14:paraId="22092D30">
            <w:pPr>
              <w:widowControl/>
              <w:jc w:val="center"/>
              <w:rPr>
                <w:rFonts w:hint="eastAsia" w:ascii="宋体" w:hAnsi="宋体" w:cs="宋体"/>
                <w:bCs/>
                <w:sz w:val="21"/>
                <w:lang w:bidi="ar"/>
              </w:rPr>
            </w:pPr>
            <w:r>
              <w:rPr>
                <w:rFonts w:hint="eastAsia" w:ascii="宋体" w:hAnsi="宋体" w:cs="宋体"/>
                <w:bCs/>
                <w:sz w:val="21"/>
                <w:lang w:bidi="ar"/>
              </w:rPr>
              <w:t>0</w:t>
            </w:r>
          </w:p>
        </w:tc>
        <w:tc>
          <w:tcPr>
            <w:tcW w:w="825" w:type="dxa"/>
            <w:noWrap w:val="0"/>
            <w:vAlign w:val="center"/>
          </w:tcPr>
          <w:p w14:paraId="21172A7B">
            <w:pPr>
              <w:widowControl/>
              <w:jc w:val="center"/>
              <w:rPr>
                <w:rFonts w:hint="eastAsia" w:ascii="宋体" w:hAnsi="宋体" w:cs="宋体"/>
                <w:bCs/>
                <w:sz w:val="21"/>
                <w:lang w:bidi="ar"/>
              </w:rPr>
            </w:pPr>
            <w:r>
              <w:rPr>
                <w:rFonts w:hint="eastAsia" w:ascii="宋体" w:hAnsi="宋体" w:cs="宋体"/>
                <w:bCs/>
                <w:sz w:val="21"/>
                <w:lang w:bidi="ar"/>
              </w:rPr>
              <w:t>0.044</w:t>
            </w:r>
          </w:p>
        </w:tc>
        <w:tc>
          <w:tcPr>
            <w:tcW w:w="1341" w:type="dxa"/>
            <w:noWrap w:val="0"/>
            <w:vAlign w:val="center"/>
          </w:tcPr>
          <w:p w14:paraId="0D5D0A3C">
            <w:pPr>
              <w:widowControl/>
              <w:jc w:val="center"/>
              <w:rPr>
                <w:rFonts w:hint="eastAsia" w:ascii="宋体" w:hAnsi="宋体" w:cs="宋体"/>
                <w:bCs/>
                <w:sz w:val="21"/>
                <w:lang w:bidi="ar"/>
              </w:rPr>
            </w:pPr>
            <w:r>
              <w:rPr>
                <w:rFonts w:hint="eastAsia" w:ascii="宋体" w:hAnsi="宋体" w:cs="宋体"/>
                <w:bCs/>
                <w:sz w:val="21"/>
                <w:lang w:bidi="ar"/>
              </w:rPr>
              <w:t>非甲烷总烃：</w:t>
            </w:r>
          </w:p>
          <w:p w14:paraId="3EBE6921">
            <w:pPr>
              <w:widowControl/>
              <w:jc w:val="center"/>
              <w:rPr>
                <w:rFonts w:hint="eastAsia" w:ascii="宋体" w:hAnsi="宋体" w:cs="宋体"/>
                <w:bCs/>
                <w:sz w:val="21"/>
                <w:lang w:eastAsia="en-US" w:bidi="ar"/>
              </w:rPr>
            </w:pPr>
            <w:r>
              <w:rPr>
                <w:rFonts w:hint="eastAsia" w:ascii="宋体" w:hAnsi="宋体" w:cs="宋体"/>
                <w:bCs/>
                <w:sz w:val="21"/>
                <w:lang w:bidi="ar"/>
              </w:rPr>
              <w:t>0.022</w:t>
            </w:r>
          </w:p>
        </w:tc>
        <w:tc>
          <w:tcPr>
            <w:tcW w:w="1753" w:type="dxa"/>
            <w:noWrap w:val="0"/>
            <w:vAlign w:val="center"/>
          </w:tcPr>
          <w:p w14:paraId="4A3043F0">
            <w:pPr>
              <w:widowControl/>
              <w:jc w:val="center"/>
              <w:rPr>
                <w:rFonts w:hint="eastAsia" w:ascii="宋体" w:hAnsi="宋体" w:cs="宋体"/>
                <w:bCs/>
                <w:sz w:val="21"/>
                <w:lang w:bidi="ar"/>
              </w:rPr>
            </w:pPr>
            <w:r>
              <w:rPr>
                <w:rFonts w:hint="eastAsia" w:ascii="宋体" w:hAnsi="宋体" w:cs="宋体"/>
                <w:bCs/>
                <w:sz w:val="21"/>
                <w:lang w:bidi="ar"/>
              </w:rPr>
              <w:t>一般固废11.5；危险固废（废机油、乳化液）0.12</w:t>
            </w:r>
          </w:p>
        </w:tc>
        <w:tc>
          <w:tcPr>
            <w:tcW w:w="881" w:type="dxa"/>
            <w:noWrap w:val="0"/>
            <w:vAlign w:val="center"/>
          </w:tcPr>
          <w:p w14:paraId="340559C1">
            <w:pPr>
              <w:widowControl/>
              <w:jc w:val="center"/>
              <w:rPr>
                <w:rFonts w:hint="eastAsia" w:ascii="宋体" w:hAnsi="宋体" w:cs="宋体"/>
                <w:bCs/>
                <w:sz w:val="21"/>
                <w:lang w:eastAsia="en-US" w:bidi="ar"/>
              </w:rPr>
            </w:pPr>
            <w:r>
              <w:rPr>
                <w:rFonts w:hint="eastAsia" w:ascii="宋体" w:hAnsi="宋体" w:cs="宋体"/>
                <w:bCs/>
                <w:sz w:val="21"/>
                <w:lang w:bidi="ar"/>
              </w:rPr>
              <w:t>已投产</w:t>
            </w:r>
          </w:p>
        </w:tc>
      </w:tr>
      <w:tr w14:paraId="5F02F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519" w:type="dxa"/>
            <w:noWrap w:val="0"/>
            <w:vAlign w:val="center"/>
          </w:tcPr>
          <w:p w14:paraId="64667567">
            <w:pPr>
              <w:widowControl/>
              <w:jc w:val="center"/>
              <w:rPr>
                <w:rFonts w:hint="eastAsia" w:ascii="宋体" w:hAnsi="宋体" w:cs="宋体"/>
                <w:bCs/>
                <w:sz w:val="21"/>
                <w:lang w:eastAsia="en-US" w:bidi="ar"/>
              </w:rPr>
            </w:pPr>
            <w:r>
              <w:rPr>
                <w:rFonts w:hint="eastAsia" w:ascii="宋体" w:hAnsi="宋体" w:cs="宋体"/>
                <w:bCs/>
                <w:sz w:val="21"/>
                <w:lang w:bidi="ar"/>
              </w:rPr>
              <w:t>12</w:t>
            </w:r>
          </w:p>
        </w:tc>
        <w:tc>
          <w:tcPr>
            <w:tcW w:w="1731" w:type="dxa"/>
            <w:noWrap w:val="0"/>
            <w:vAlign w:val="center"/>
          </w:tcPr>
          <w:p w14:paraId="3DB2092F">
            <w:pPr>
              <w:widowControl/>
              <w:jc w:val="center"/>
              <w:rPr>
                <w:rFonts w:hint="eastAsia" w:ascii="宋体" w:hAnsi="宋体" w:cs="宋体"/>
                <w:bCs/>
                <w:sz w:val="21"/>
                <w:lang w:bidi="ar"/>
              </w:rPr>
            </w:pPr>
            <w:r>
              <w:rPr>
                <w:rFonts w:hint="eastAsia" w:ascii="宋体" w:hAnsi="宋体" w:cs="宋体"/>
                <w:bCs/>
                <w:sz w:val="21"/>
                <w:lang w:bidi="ar"/>
              </w:rPr>
              <w:t>湖南中沃汽车雾部件制造有限公司</w:t>
            </w:r>
          </w:p>
        </w:tc>
        <w:tc>
          <w:tcPr>
            <w:tcW w:w="1514" w:type="dxa"/>
            <w:noWrap w:val="0"/>
            <w:vAlign w:val="center"/>
          </w:tcPr>
          <w:p w14:paraId="4FB8E6DB">
            <w:pPr>
              <w:widowControl/>
              <w:jc w:val="center"/>
              <w:rPr>
                <w:rFonts w:hint="eastAsia" w:ascii="宋体" w:hAnsi="宋体" w:cs="宋体"/>
                <w:bCs/>
                <w:sz w:val="21"/>
                <w:lang w:eastAsia="en-US" w:bidi="ar"/>
              </w:rPr>
            </w:pPr>
            <w:r>
              <w:rPr>
                <w:rFonts w:hint="eastAsia" w:ascii="宋体" w:hAnsi="宋体" w:cs="宋体"/>
                <w:bCs/>
                <w:sz w:val="21"/>
                <w:lang w:bidi="ar"/>
              </w:rPr>
              <w:t>111.855471664</w:t>
            </w:r>
          </w:p>
        </w:tc>
        <w:tc>
          <w:tcPr>
            <w:tcW w:w="1473" w:type="dxa"/>
            <w:noWrap w:val="0"/>
            <w:vAlign w:val="center"/>
          </w:tcPr>
          <w:p w14:paraId="76D46962">
            <w:pPr>
              <w:widowControl/>
              <w:jc w:val="center"/>
              <w:rPr>
                <w:rFonts w:hint="eastAsia" w:ascii="宋体" w:hAnsi="宋体" w:cs="宋体"/>
                <w:bCs/>
                <w:sz w:val="21"/>
                <w:lang w:eastAsia="en-US" w:bidi="ar"/>
              </w:rPr>
            </w:pPr>
            <w:r>
              <w:rPr>
                <w:rFonts w:hint="eastAsia" w:ascii="宋体" w:hAnsi="宋体" w:cs="宋体"/>
                <w:bCs/>
                <w:sz w:val="21"/>
                <w:lang w:bidi="ar"/>
              </w:rPr>
              <w:t>29.579158103</w:t>
            </w:r>
          </w:p>
        </w:tc>
        <w:tc>
          <w:tcPr>
            <w:tcW w:w="959" w:type="dxa"/>
            <w:noWrap w:val="0"/>
            <w:vAlign w:val="center"/>
          </w:tcPr>
          <w:p w14:paraId="30D1D051">
            <w:pPr>
              <w:widowControl/>
              <w:jc w:val="center"/>
              <w:rPr>
                <w:rFonts w:hint="eastAsia" w:ascii="宋体" w:hAnsi="宋体" w:cs="宋体"/>
                <w:bCs/>
                <w:sz w:val="21"/>
                <w:lang w:eastAsia="en-US" w:bidi="ar"/>
              </w:rPr>
            </w:pPr>
            <w:r>
              <w:rPr>
                <w:rFonts w:hint="eastAsia" w:ascii="宋体" w:hAnsi="宋体" w:cs="宋体"/>
                <w:bCs/>
                <w:sz w:val="21"/>
                <w:lang w:bidi="ar"/>
              </w:rPr>
              <w:t>14000</w:t>
            </w:r>
          </w:p>
        </w:tc>
        <w:tc>
          <w:tcPr>
            <w:tcW w:w="852" w:type="dxa"/>
            <w:noWrap w:val="0"/>
            <w:vAlign w:val="center"/>
          </w:tcPr>
          <w:p w14:paraId="6A2E800A">
            <w:pPr>
              <w:widowControl/>
              <w:jc w:val="center"/>
              <w:rPr>
                <w:rFonts w:hint="eastAsia" w:ascii="宋体" w:hAnsi="宋体" w:cs="宋体"/>
                <w:bCs/>
                <w:sz w:val="21"/>
                <w:lang w:eastAsia="en-US" w:bidi="ar"/>
              </w:rPr>
            </w:pPr>
            <w:r>
              <w:rPr>
                <w:rFonts w:hint="eastAsia" w:ascii="宋体" w:hAnsi="宋体" w:cs="宋体"/>
                <w:bCs/>
                <w:sz w:val="21"/>
                <w:lang w:bidi="ar"/>
              </w:rPr>
              <w:t>0.84</w:t>
            </w:r>
          </w:p>
        </w:tc>
        <w:tc>
          <w:tcPr>
            <w:tcW w:w="932" w:type="dxa"/>
            <w:noWrap w:val="0"/>
            <w:vAlign w:val="center"/>
          </w:tcPr>
          <w:p w14:paraId="37417EA8">
            <w:pPr>
              <w:widowControl/>
              <w:jc w:val="center"/>
              <w:rPr>
                <w:rFonts w:hint="eastAsia" w:ascii="宋体" w:hAnsi="宋体" w:cs="宋体"/>
                <w:bCs/>
                <w:sz w:val="21"/>
                <w:lang w:eastAsia="en-US" w:bidi="ar"/>
              </w:rPr>
            </w:pPr>
            <w:r>
              <w:rPr>
                <w:rFonts w:hint="eastAsia" w:ascii="宋体" w:hAnsi="宋体" w:cs="宋体"/>
                <w:bCs/>
                <w:sz w:val="21"/>
                <w:lang w:bidi="ar"/>
              </w:rPr>
              <w:t>021</w:t>
            </w:r>
          </w:p>
        </w:tc>
        <w:tc>
          <w:tcPr>
            <w:tcW w:w="825" w:type="dxa"/>
            <w:noWrap w:val="0"/>
            <w:vAlign w:val="center"/>
          </w:tcPr>
          <w:p w14:paraId="1BC3B9A3">
            <w:pPr>
              <w:widowControl/>
              <w:jc w:val="center"/>
              <w:rPr>
                <w:rFonts w:hint="eastAsia" w:ascii="宋体" w:hAnsi="宋体" w:cs="宋体"/>
                <w:bCs/>
                <w:sz w:val="21"/>
                <w:lang w:eastAsia="en-US" w:bidi="ar"/>
              </w:rPr>
            </w:pPr>
            <w:r>
              <w:rPr>
                <w:rFonts w:hint="eastAsia" w:ascii="宋体" w:hAnsi="宋体" w:cs="宋体"/>
                <w:bCs/>
                <w:sz w:val="21"/>
                <w:lang w:bidi="ar"/>
              </w:rPr>
              <w:t>0</w:t>
            </w:r>
          </w:p>
        </w:tc>
        <w:tc>
          <w:tcPr>
            <w:tcW w:w="716" w:type="dxa"/>
            <w:noWrap w:val="0"/>
            <w:vAlign w:val="center"/>
          </w:tcPr>
          <w:p w14:paraId="1E187911">
            <w:pPr>
              <w:widowControl/>
              <w:jc w:val="center"/>
              <w:rPr>
                <w:rFonts w:hint="eastAsia" w:ascii="宋体" w:hAnsi="宋体" w:cs="宋体"/>
                <w:bCs/>
                <w:sz w:val="21"/>
                <w:lang w:bidi="ar"/>
              </w:rPr>
            </w:pPr>
            <w:r>
              <w:rPr>
                <w:rFonts w:hint="eastAsia" w:ascii="宋体" w:hAnsi="宋体" w:cs="宋体"/>
                <w:bCs/>
                <w:sz w:val="21"/>
                <w:lang w:bidi="ar"/>
              </w:rPr>
              <w:t>0</w:t>
            </w:r>
          </w:p>
        </w:tc>
        <w:tc>
          <w:tcPr>
            <w:tcW w:w="825" w:type="dxa"/>
            <w:noWrap w:val="0"/>
            <w:vAlign w:val="center"/>
          </w:tcPr>
          <w:p w14:paraId="7EFD78CB">
            <w:pPr>
              <w:widowControl/>
              <w:jc w:val="center"/>
              <w:rPr>
                <w:rFonts w:hint="eastAsia" w:ascii="宋体" w:hAnsi="宋体" w:cs="宋体"/>
                <w:bCs/>
                <w:sz w:val="21"/>
                <w:lang w:bidi="ar"/>
              </w:rPr>
            </w:pPr>
            <w:r>
              <w:rPr>
                <w:rFonts w:hint="eastAsia" w:ascii="宋体" w:hAnsi="宋体" w:cs="宋体"/>
                <w:bCs/>
                <w:sz w:val="21"/>
                <w:lang w:bidi="ar"/>
              </w:rPr>
              <w:t>0</w:t>
            </w:r>
          </w:p>
        </w:tc>
        <w:tc>
          <w:tcPr>
            <w:tcW w:w="1341" w:type="dxa"/>
            <w:noWrap w:val="0"/>
            <w:vAlign w:val="center"/>
          </w:tcPr>
          <w:p w14:paraId="70B0A3E9">
            <w:pPr>
              <w:widowControl/>
              <w:jc w:val="center"/>
              <w:rPr>
                <w:rFonts w:hint="eastAsia" w:ascii="宋体" w:hAnsi="宋体" w:cs="宋体"/>
                <w:bCs/>
                <w:sz w:val="21"/>
                <w:lang w:eastAsia="en-US" w:bidi="ar"/>
              </w:rPr>
            </w:pPr>
            <w:r>
              <w:rPr>
                <w:rFonts w:hint="eastAsia" w:ascii="宋体" w:hAnsi="宋体" w:cs="宋体"/>
                <w:bCs/>
                <w:sz w:val="21"/>
                <w:lang w:bidi="ar"/>
              </w:rPr>
              <w:t>/</w:t>
            </w:r>
          </w:p>
        </w:tc>
        <w:tc>
          <w:tcPr>
            <w:tcW w:w="1753" w:type="dxa"/>
            <w:noWrap w:val="0"/>
            <w:vAlign w:val="center"/>
          </w:tcPr>
          <w:p w14:paraId="524CBAE7">
            <w:pPr>
              <w:widowControl/>
              <w:jc w:val="center"/>
              <w:rPr>
                <w:rFonts w:hint="eastAsia" w:ascii="宋体" w:hAnsi="宋体" w:cs="宋体"/>
                <w:bCs/>
                <w:sz w:val="21"/>
                <w:lang w:bidi="ar"/>
              </w:rPr>
            </w:pPr>
            <w:r>
              <w:rPr>
                <w:rFonts w:hint="eastAsia" w:ascii="宋体" w:hAnsi="宋体" w:cs="宋体"/>
                <w:bCs/>
                <w:sz w:val="21"/>
                <w:lang w:bidi="ar"/>
              </w:rPr>
              <w:t>一般固废543；危险固废（废润滑油、废机油）2.1</w:t>
            </w:r>
          </w:p>
        </w:tc>
        <w:tc>
          <w:tcPr>
            <w:tcW w:w="881" w:type="dxa"/>
            <w:noWrap w:val="0"/>
            <w:vAlign w:val="center"/>
          </w:tcPr>
          <w:p w14:paraId="71B329CD">
            <w:pPr>
              <w:widowControl/>
              <w:jc w:val="center"/>
              <w:rPr>
                <w:rFonts w:hint="eastAsia" w:ascii="宋体" w:hAnsi="宋体" w:cs="宋体"/>
                <w:bCs/>
                <w:sz w:val="21"/>
                <w:lang w:eastAsia="en-US" w:bidi="ar"/>
              </w:rPr>
            </w:pPr>
            <w:r>
              <w:rPr>
                <w:rFonts w:hint="eastAsia" w:ascii="宋体" w:hAnsi="宋体" w:cs="宋体"/>
                <w:bCs/>
                <w:sz w:val="21"/>
                <w:lang w:bidi="ar"/>
              </w:rPr>
              <w:t>已投产</w:t>
            </w:r>
          </w:p>
        </w:tc>
      </w:tr>
      <w:tr w14:paraId="226D1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0" w:hRule="atLeast"/>
        </w:trPr>
        <w:tc>
          <w:tcPr>
            <w:tcW w:w="519" w:type="dxa"/>
            <w:noWrap w:val="0"/>
            <w:vAlign w:val="center"/>
          </w:tcPr>
          <w:p w14:paraId="356808C3">
            <w:pPr>
              <w:widowControl/>
              <w:jc w:val="center"/>
              <w:rPr>
                <w:rFonts w:hint="eastAsia" w:ascii="宋体" w:hAnsi="宋体" w:cs="宋体"/>
                <w:bCs/>
                <w:sz w:val="21"/>
                <w:lang w:eastAsia="en-US" w:bidi="ar"/>
              </w:rPr>
            </w:pPr>
            <w:r>
              <w:rPr>
                <w:rFonts w:hint="eastAsia" w:ascii="宋体" w:hAnsi="宋体" w:cs="宋体"/>
                <w:bCs/>
                <w:sz w:val="21"/>
                <w:lang w:bidi="ar"/>
              </w:rPr>
              <w:t>13</w:t>
            </w:r>
          </w:p>
        </w:tc>
        <w:tc>
          <w:tcPr>
            <w:tcW w:w="1731" w:type="dxa"/>
            <w:noWrap w:val="0"/>
            <w:vAlign w:val="center"/>
          </w:tcPr>
          <w:p w14:paraId="1D073814">
            <w:pPr>
              <w:widowControl/>
              <w:jc w:val="center"/>
              <w:rPr>
                <w:rFonts w:hint="eastAsia" w:ascii="宋体" w:hAnsi="宋体" w:cs="宋体"/>
                <w:bCs/>
                <w:sz w:val="21"/>
                <w:lang w:bidi="ar"/>
              </w:rPr>
            </w:pPr>
            <w:r>
              <w:rPr>
                <w:rFonts w:hint="eastAsia" w:ascii="宋体" w:hAnsi="宋体" w:cs="宋体"/>
                <w:bCs/>
                <w:sz w:val="21"/>
                <w:lang w:bidi="ar"/>
              </w:rPr>
              <w:t>湖南劲龙电机有限公司</w:t>
            </w:r>
          </w:p>
        </w:tc>
        <w:tc>
          <w:tcPr>
            <w:tcW w:w="1514" w:type="dxa"/>
            <w:noWrap w:val="0"/>
            <w:vAlign w:val="center"/>
          </w:tcPr>
          <w:p w14:paraId="38364924">
            <w:pPr>
              <w:widowControl/>
              <w:jc w:val="center"/>
              <w:rPr>
                <w:rFonts w:hint="eastAsia" w:ascii="宋体" w:hAnsi="宋体" w:cs="宋体"/>
                <w:bCs/>
                <w:sz w:val="21"/>
                <w:lang w:eastAsia="en-US" w:bidi="ar"/>
              </w:rPr>
            </w:pPr>
            <w:r>
              <w:rPr>
                <w:rFonts w:hint="eastAsia" w:ascii="宋体" w:hAnsi="宋体" w:cs="宋体"/>
                <w:bCs/>
                <w:sz w:val="21"/>
                <w:lang w:bidi="ar"/>
              </w:rPr>
              <w:t>111081859912.</w:t>
            </w:r>
          </w:p>
        </w:tc>
        <w:tc>
          <w:tcPr>
            <w:tcW w:w="1473" w:type="dxa"/>
            <w:noWrap w:val="0"/>
            <w:vAlign w:val="center"/>
          </w:tcPr>
          <w:p w14:paraId="4FC3AE6E">
            <w:pPr>
              <w:widowControl/>
              <w:jc w:val="center"/>
              <w:rPr>
                <w:rFonts w:hint="eastAsia" w:ascii="宋体" w:hAnsi="宋体" w:cs="宋体"/>
                <w:bCs/>
                <w:sz w:val="21"/>
                <w:lang w:eastAsia="en-US" w:bidi="ar"/>
              </w:rPr>
            </w:pPr>
            <w:r>
              <w:rPr>
                <w:rFonts w:hint="eastAsia" w:ascii="宋体" w:hAnsi="宋体" w:cs="宋体"/>
                <w:bCs/>
                <w:sz w:val="21"/>
                <w:lang w:bidi="ar"/>
              </w:rPr>
              <w:t>27.199590111</w:t>
            </w:r>
          </w:p>
        </w:tc>
        <w:tc>
          <w:tcPr>
            <w:tcW w:w="959" w:type="dxa"/>
            <w:noWrap w:val="0"/>
            <w:vAlign w:val="center"/>
          </w:tcPr>
          <w:p w14:paraId="2663006A">
            <w:pPr>
              <w:widowControl/>
              <w:jc w:val="center"/>
              <w:rPr>
                <w:rFonts w:hint="eastAsia" w:ascii="宋体" w:hAnsi="宋体" w:cs="宋体"/>
                <w:bCs/>
                <w:sz w:val="21"/>
                <w:lang w:eastAsia="en-US" w:bidi="ar"/>
              </w:rPr>
            </w:pPr>
            <w:r>
              <w:rPr>
                <w:rFonts w:hint="eastAsia" w:ascii="宋体" w:hAnsi="宋体" w:cs="宋体"/>
                <w:bCs/>
                <w:sz w:val="21"/>
                <w:lang w:bidi="ar"/>
              </w:rPr>
              <w:t>7200</w:t>
            </w:r>
          </w:p>
        </w:tc>
        <w:tc>
          <w:tcPr>
            <w:tcW w:w="852" w:type="dxa"/>
            <w:noWrap w:val="0"/>
            <w:vAlign w:val="center"/>
          </w:tcPr>
          <w:p w14:paraId="42D249D4">
            <w:pPr>
              <w:widowControl/>
              <w:jc w:val="center"/>
              <w:rPr>
                <w:rFonts w:hint="eastAsia" w:ascii="宋体" w:hAnsi="宋体" w:cs="宋体"/>
                <w:bCs/>
                <w:sz w:val="21"/>
                <w:lang w:eastAsia="en-US" w:bidi="ar"/>
              </w:rPr>
            </w:pPr>
            <w:r>
              <w:rPr>
                <w:rFonts w:hint="eastAsia" w:ascii="宋体" w:hAnsi="宋体" w:cs="宋体"/>
                <w:bCs/>
                <w:sz w:val="21"/>
                <w:lang w:bidi="ar"/>
              </w:rPr>
              <w:t>1.2</w:t>
            </w:r>
          </w:p>
        </w:tc>
        <w:tc>
          <w:tcPr>
            <w:tcW w:w="932" w:type="dxa"/>
            <w:noWrap w:val="0"/>
            <w:vAlign w:val="center"/>
          </w:tcPr>
          <w:p w14:paraId="2E762D97">
            <w:pPr>
              <w:widowControl/>
              <w:jc w:val="center"/>
              <w:rPr>
                <w:rFonts w:hint="eastAsia" w:ascii="宋体" w:hAnsi="宋体" w:cs="宋体"/>
                <w:bCs/>
                <w:sz w:val="21"/>
                <w:lang w:bidi="ar"/>
              </w:rPr>
            </w:pPr>
            <w:r>
              <w:rPr>
                <w:rFonts w:hint="eastAsia" w:ascii="宋体" w:hAnsi="宋体" w:cs="宋体"/>
                <w:bCs/>
                <w:sz w:val="21"/>
                <w:lang w:bidi="ar"/>
              </w:rPr>
              <w:t>0.1</w:t>
            </w:r>
          </w:p>
        </w:tc>
        <w:tc>
          <w:tcPr>
            <w:tcW w:w="825" w:type="dxa"/>
            <w:noWrap w:val="0"/>
            <w:vAlign w:val="center"/>
          </w:tcPr>
          <w:p w14:paraId="6B77599B">
            <w:pPr>
              <w:widowControl/>
              <w:jc w:val="center"/>
              <w:rPr>
                <w:rFonts w:hint="eastAsia" w:ascii="宋体" w:hAnsi="宋体" w:cs="宋体"/>
                <w:bCs/>
                <w:sz w:val="21"/>
                <w:lang w:bidi="ar"/>
              </w:rPr>
            </w:pPr>
            <w:r>
              <w:rPr>
                <w:rFonts w:hint="eastAsia" w:ascii="宋体" w:hAnsi="宋体" w:cs="宋体"/>
                <w:bCs/>
                <w:sz w:val="21"/>
                <w:lang w:bidi="ar"/>
              </w:rPr>
              <w:t>0</w:t>
            </w:r>
          </w:p>
        </w:tc>
        <w:tc>
          <w:tcPr>
            <w:tcW w:w="716" w:type="dxa"/>
            <w:noWrap w:val="0"/>
            <w:vAlign w:val="center"/>
          </w:tcPr>
          <w:p w14:paraId="3970864F">
            <w:pPr>
              <w:widowControl/>
              <w:jc w:val="center"/>
              <w:rPr>
                <w:rFonts w:hint="eastAsia" w:ascii="宋体" w:hAnsi="宋体" w:cs="宋体"/>
                <w:bCs/>
                <w:sz w:val="21"/>
                <w:lang w:bidi="ar"/>
              </w:rPr>
            </w:pPr>
            <w:r>
              <w:rPr>
                <w:rFonts w:hint="eastAsia" w:ascii="宋体" w:hAnsi="宋体" w:cs="宋体"/>
                <w:bCs/>
                <w:sz w:val="21"/>
                <w:lang w:bidi="ar"/>
              </w:rPr>
              <w:t>0</w:t>
            </w:r>
          </w:p>
        </w:tc>
        <w:tc>
          <w:tcPr>
            <w:tcW w:w="825" w:type="dxa"/>
            <w:noWrap w:val="0"/>
            <w:vAlign w:val="center"/>
          </w:tcPr>
          <w:p w14:paraId="3852574D">
            <w:pPr>
              <w:widowControl/>
              <w:jc w:val="center"/>
              <w:rPr>
                <w:rFonts w:hint="eastAsia" w:ascii="宋体" w:hAnsi="宋体" w:cs="宋体"/>
                <w:bCs/>
                <w:sz w:val="21"/>
                <w:lang w:eastAsia="en-US" w:bidi="ar"/>
              </w:rPr>
            </w:pPr>
            <w:r>
              <w:rPr>
                <w:rFonts w:hint="eastAsia" w:ascii="宋体" w:hAnsi="宋体" w:cs="宋体"/>
                <w:bCs/>
                <w:sz w:val="21"/>
                <w:lang w:bidi="ar"/>
              </w:rPr>
              <w:t>0.072</w:t>
            </w:r>
          </w:p>
        </w:tc>
        <w:tc>
          <w:tcPr>
            <w:tcW w:w="1341" w:type="dxa"/>
            <w:noWrap w:val="0"/>
            <w:vAlign w:val="center"/>
          </w:tcPr>
          <w:p w14:paraId="50A2FE04">
            <w:pPr>
              <w:widowControl/>
              <w:jc w:val="center"/>
              <w:rPr>
                <w:rFonts w:hint="eastAsia" w:ascii="宋体" w:hAnsi="宋体" w:cs="宋体"/>
                <w:bCs/>
                <w:sz w:val="21"/>
                <w:lang w:eastAsia="en-US" w:bidi="ar"/>
              </w:rPr>
            </w:pPr>
            <w:r>
              <w:rPr>
                <w:rFonts w:hint="eastAsia" w:ascii="宋体" w:hAnsi="宋体" w:cs="宋体"/>
                <w:bCs/>
                <w:sz w:val="21"/>
                <w:lang w:bidi="ar"/>
              </w:rPr>
              <w:t>VOCs：0278</w:t>
            </w:r>
          </w:p>
        </w:tc>
        <w:tc>
          <w:tcPr>
            <w:tcW w:w="1753" w:type="dxa"/>
            <w:noWrap w:val="0"/>
            <w:vAlign w:val="center"/>
          </w:tcPr>
          <w:p w14:paraId="100550AA">
            <w:pPr>
              <w:widowControl/>
              <w:jc w:val="center"/>
              <w:rPr>
                <w:rFonts w:hint="eastAsia" w:ascii="宋体" w:hAnsi="宋体" w:cs="宋体"/>
                <w:bCs/>
                <w:sz w:val="21"/>
                <w:lang w:bidi="ar"/>
              </w:rPr>
            </w:pPr>
            <w:r>
              <w:rPr>
                <w:rFonts w:hint="eastAsia" w:ascii="宋体" w:hAnsi="宋体" w:cs="宋体"/>
                <w:bCs/>
                <w:sz w:val="21"/>
                <w:lang w:bidi="ar"/>
              </w:rPr>
              <w:t>一般固废10；危险固废（废机油、乳化液）4.3</w:t>
            </w:r>
          </w:p>
        </w:tc>
        <w:tc>
          <w:tcPr>
            <w:tcW w:w="881" w:type="dxa"/>
            <w:noWrap w:val="0"/>
            <w:vAlign w:val="center"/>
          </w:tcPr>
          <w:p w14:paraId="44F0D65B">
            <w:pPr>
              <w:widowControl/>
              <w:jc w:val="center"/>
              <w:rPr>
                <w:rFonts w:hint="eastAsia" w:ascii="宋体" w:hAnsi="宋体" w:cs="宋体"/>
                <w:bCs/>
                <w:sz w:val="21"/>
                <w:lang w:eastAsia="en-US" w:bidi="ar"/>
              </w:rPr>
            </w:pPr>
            <w:r>
              <w:rPr>
                <w:rFonts w:hint="eastAsia" w:ascii="宋体" w:hAnsi="宋体" w:cs="宋体"/>
                <w:bCs/>
                <w:sz w:val="21"/>
                <w:lang w:bidi="ar"/>
              </w:rPr>
              <w:t>已投产</w:t>
            </w:r>
          </w:p>
        </w:tc>
      </w:tr>
      <w:tr w14:paraId="2D725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9" w:type="dxa"/>
            <w:noWrap w:val="0"/>
            <w:vAlign w:val="center"/>
          </w:tcPr>
          <w:p w14:paraId="2CCF76BD">
            <w:pPr>
              <w:widowControl/>
              <w:jc w:val="center"/>
              <w:rPr>
                <w:rFonts w:hint="eastAsia" w:ascii="宋体" w:hAnsi="宋体" w:cs="宋体"/>
                <w:bCs/>
                <w:sz w:val="21"/>
                <w:lang w:eastAsia="en-US" w:bidi="ar"/>
              </w:rPr>
            </w:pPr>
            <w:r>
              <w:rPr>
                <w:rFonts w:hint="eastAsia" w:ascii="宋体" w:hAnsi="宋体" w:cs="宋体"/>
                <w:bCs/>
                <w:sz w:val="21"/>
                <w:lang w:bidi="ar"/>
              </w:rPr>
              <w:t>14</w:t>
            </w:r>
          </w:p>
        </w:tc>
        <w:tc>
          <w:tcPr>
            <w:tcW w:w="1731" w:type="dxa"/>
            <w:noWrap w:val="0"/>
            <w:vAlign w:val="center"/>
          </w:tcPr>
          <w:p w14:paraId="64424480">
            <w:pPr>
              <w:widowControl/>
              <w:jc w:val="center"/>
              <w:rPr>
                <w:rFonts w:hint="eastAsia" w:ascii="宋体" w:hAnsi="宋体" w:cs="宋体"/>
                <w:bCs/>
                <w:sz w:val="21"/>
                <w:lang w:bidi="ar"/>
              </w:rPr>
            </w:pPr>
            <w:r>
              <w:rPr>
                <w:rFonts w:hint="eastAsia" w:ascii="宋体" w:hAnsi="宋体" w:cs="宋体"/>
                <w:bCs/>
                <w:sz w:val="21"/>
                <w:lang w:bidi="ar"/>
              </w:rPr>
              <w:t>湖南致远汽车配件制造发展有限公司</w:t>
            </w:r>
          </w:p>
        </w:tc>
        <w:tc>
          <w:tcPr>
            <w:tcW w:w="1514" w:type="dxa"/>
            <w:noWrap w:val="0"/>
            <w:vAlign w:val="center"/>
          </w:tcPr>
          <w:p w14:paraId="0019AA41">
            <w:pPr>
              <w:widowControl/>
              <w:jc w:val="center"/>
              <w:rPr>
                <w:rFonts w:hint="eastAsia" w:ascii="宋体" w:hAnsi="宋体" w:cs="宋体"/>
                <w:bCs/>
                <w:sz w:val="21"/>
                <w:lang w:eastAsia="en-US" w:bidi="ar"/>
              </w:rPr>
            </w:pPr>
            <w:r>
              <w:rPr>
                <w:rFonts w:hint="eastAsia" w:ascii="宋体" w:hAnsi="宋体" w:cs="宋体"/>
                <w:bCs/>
                <w:sz w:val="21"/>
                <w:lang w:bidi="ar"/>
              </w:rPr>
              <w:t>111.848454200</w:t>
            </w:r>
          </w:p>
        </w:tc>
        <w:tc>
          <w:tcPr>
            <w:tcW w:w="1473" w:type="dxa"/>
            <w:noWrap w:val="0"/>
            <w:vAlign w:val="center"/>
          </w:tcPr>
          <w:p w14:paraId="51C4579D">
            <w:pPr>
              <w:widowControl/>
              <w:jc w:val="center"/>
              <w:rPr>
                <w:rFonts w:hint="eastAsia" w:ascii="宋体" w:hAnsi="宋体" w:cs="宋体"/>
                <w:bCs/>
                <w:sz w:val="21"/>
                <w:lang w:eastAsia="en-US" w:bidi="ar"/>
              </w:rPr>
            </w:pPr>
            <w:r>
              <w:rPr>
                <w:rFonts w:hint="eastAsia" w:ascii="宋体" w:hAnsi="宋体" w:cs="宋体"/>
                <w:bCs/>
                <w:sz w:val="21"/>
                <w:lang w:bidi="ar"/>
              </w:rPr>
              <w:t>29.577633098</w:t>
            </w:r>
          </w:p>
        </w:tc>
        <w:tc>
          <w:tcPr>
            <w:tcW w:w="959" w:type="dxa"/>
            <w:noWrap w:val="0"/>
            <w:vAlign w:val="center"/>
          </w:tcPr>
          <w:p w14:paraId="496ECE1E">
            <w:pPr>
              <w:widowControl/>
              <w:jc w:val="center"/>
              <w:rPr>
                <w:rFonts w:hint="eastAsia" w:ascii="宋体" w:hAnsi="宋体" w:cs="宋体"/>
                <w:bCs/>
                <w:sz w:val="21"/>
                <w:lang w:eastAsia="en-US" w:bidi="ar"/>
              </w:rPr>
            </w:pPr>
            <w:r>
              <w:rPr>
                <w:rFonts w:hint="eastAsia" w:ascii="宋体" w:hAnsi="宋体" w:cs="宋体"/>
                <w:bCs/>
                <w:sz w:val="21"/>
                <w:lang w:bidi="ar"/>
              </w:rPr>
              <w:t>86700</w:t>
            </w:r>
          </w:p>
        </w:tc>
        <w:tc>
          <w:tcPr>
            <w:tcW w:w="852" w:type="dxa"/>
            <w:noWrap w:val="0"/>
            <w:vAlign w:val="center"/>
          </w:tcPr>
          <w:p w14:paraId="48189476">
            <w:pPr>
              <w:widowControl/>
              <w:jc w:val="center"/>
              <w:rPr>
                <w:rFonts w:hint="eastAsia" w:ascii="宋体" w:hAnsi="宋体" w:cs="宋体"/>
                <w:bCs/>
                <w:sz w:val="21"/>
                <w:lang w:eastAsia="en-US" w:bidi="ar"/>
              </w:rPr>
            </w:pPr>
            <w:r>
              <w:rPr>
                <w:rFonts w:hint="eastAsia" w:ascii="宋体" w:hAnsi="宋体" w:cs="宋体"/>
                <w:bCs/>
                <w:sz w:val="21"/>
                <w:lang w:bidi="ar"/>
              </w:rPr>
              <w:t>5.2</w:t>
            </w:r>
          </w:p>
        </w:tc>
        <w:tc>
          <w:tcPr>
            <w:tcW w:w="932" w:type="dxa"/>
            <w:noWrap w:val="0"/>
            <w:vAlign w:val="center"/>
          </w:tcPr>
          <w:p w14:paraId="7E9A61DA">
            <w:pPr>
              <w:widowControl/>
              <w:jc w:val="center"/>
              <w:rPr>
                <w:rFonts w:hint="eastAsia" w:ascii="宋体" w:hAnsi="宋体" w:cs="宋体"/>
                <w:bCs/>
                <w:sz w:val="21"/>
                <w:lang w:eastAsia="en-US" w:bidi="ar"/>
              </w:rPr>
            </w:pPr>
            <w:r>
              <w:rPr>
                <w:rFonts w:hint="eastAsia" w:ascii="宋体" w:hAnsi="宋体" w:cs="宋体"/>
                <w:bCs/>
                <w:sz w:val="21"/>
                <w:lang w:bidi="ar"/>
              </w:rPr>
              <w:t>13</w:t>
            </w:r>
          </w:p>
        </w:tc>
        <w:tc>
          <w:tcPr>
            <w:tcW w:w="825" w:type="dxa"/>
            <w:noWrap w:val="0"/>
            <w:vAlign w:val="center"/>
          </w:tcPr>
          <w:p w14:paraId="6387D2B5">
            <w:pPr>
              <w:widowControl/>
              <w:jc w:val="center"/>
              <w:rPr>
                <w:rFonts w:hint="eastAsia" w:ascii="宋体" w:hAnsi="宋体" w:cs="宋体"/>
                <w:bCs/>
                <w:sz w:val="21"/>
                <w:lang w:eastAsia="en-US" w:bidi="ar"/>
              </w:rPr>
            </w:pPr>
            <w:r>
              <w:rPr>
                <w:rFonts w:hint="eastAsia" w:ascii="宋体" w:hAnsi="宋体" w:cs="宋体"/>
                <w:bCs/>
                <w:sz w:val="21"/>
                <w:lang w:bidi="ar"/>
              </w:rPr>
              <w:t>0</w:t>
            </w:r>
          </w:p>
        </w:tc>
        <w:tc>
          <w:tcPr>
            <w:tcW w:w="716" w:type="dxa"/>
            <w:noWrap w:val="0"/>
            <w:vAlign w:val="center"/>
          </w:tcPr>
          <w:p w14:paraId="20641606">
            <w:pPr>
              <w:widowControl/>
              <w:jc w:val="center"/>
              <w:rPr>
                <w:rFonts w:hint="eastAsia" w:ascii="宋体" w:hAnsi="宋体" w:cs="宋体"/>
                <w:bCs/>
                <w:sz w:val="21"/>
                <w:lang w:eastAsia="en-US" w:bidi="ar"/>
              </w:rPr>
            </w:pPr>
            <w:r>
              <w:rPr>
                <w:rFonts w:hint="eastAsia" w:ascii="宋体" w:hAnsi="宋体" w:cs="宋体"/>
                <w:bCs/>
                <w:sz w:val="21"/>
                <w:lang w:bidi="ar"/>
              </w:rPr>
              <w:t>0</w:t>
            </w:r>
          </w:p>
        </w:tc>
        <w:tc>
          <w:tcPr>
            <w:tcW w:w="825" w:type="dxa"/>
            <w:noWrap w:val="0"/>
            <w:vAlign w:val="center"/>
          </w:tcPr>
          <w:p w14:paraId="54187557">
            <w:pPr>
              <w:widowControl/>
              <w:jc w:val="center"/>
              <w:rPr>
                <w:rFonts w:hint="eastAsia" w:ascii="宋体" w:hAnsi="宋体" w:cs="宋体"/>
                <w:bCs/>
                <w:sz w:val="21"/>
                <w:lang w:eastAsia="en-US" w:bidi="ar"/>
              </w:rPr>
            </w:pPr>
            <w:r>
              <w:rPr>
                <w:rFonts w:hint="eastAsia" w:ascii="宋体" w:hAnsi="宋体" w:cs="宋体"/>
                <w:bCs/>
                <w:sz w:val="21"/>
                <w:lang w:bidi="ar"/>
              </w:rPr>
              <w:t>29.18</w:t>
            </w:r>
          </w:p>
        </w:tc>
        <w:tc>
          <w:tcPr>
            <w:tcW w:w="1341" w:type="dxa"/>
            <w:noWrap w:val="0"/>
            <w:vAlign w:val="center"/>
          </w:tcPr>
          <w:p w14:paraId="03DD9C14">
            <w:pPr>
              <w:widowControl/>
              <w:jc w:val="center"/>
              <w:rPr>
                <w:rFonts w:hint="eastAsia" w:ascii="宋体" w:hAnsi="宋体" w:cs="宋体"/>
                <w:bCs/>
                <w:sz w:val="21"/>
                <w:lang w:eastAsia="en-US" w:bidi="ar"/>
              </w:rPr>
            </w:pPr>
            <w:r>
              <w:rPr>
                <w:rFonts w:hint="eastAsia" w:ascii="宋体" w:hAnsi="宋体" w:cs="宋体"/>
                <w:bCs/>
                <w:sz w:val="21"/>
                <w:lang w:bidi="ar"/>
              </w:rPr>
              <w:t>苯：0.009；甲苯：0.010；二甲苯：0.059</w:t>
            </w:r>
          </w:p>
        </w:tc>
        <w:tc>
          <w:tcPr>
            <w:tcW w:w="1753" w:type="dxa"/>
            <w:noWrap w:val="0"/>
            <w:vAlign w:val="center"/>
          </w:tcPr>
          <w:p w14:paraId="364E59E7">
            <w:pPr>
              <w:widowControl/>
              <w:jc w:val="center"/>
              <w:rPr>
                <w:rFonts w:hint="eastAsia" w:ascii="宋体" w:hAnsi="宋体" w:cs="宋体"/>
                <w:bCs/>
                <w:sz w:val="21"/>
                <w:lang w:bidi="ar"/>
              </w:rPr>
            </w:pPr>
            <w:r>
              <w:rPr>
                <w:rFonts w:hint="eastAsia" w:ascii="宋体" w:hAnsi="宋体" w:cs="宋体"/>
                <w:bCs/>
                <w:sz w:val="21"/>
                <w:lang w:bidi="ar"/>
              </w:rPr>
              <w:t>一般固废8.5；危险固废（废机油、乳液）0.09</w:t>
            </w:r>
          </w:p>
        </w:tc>
        <w:tc>
          <w:tcPr>
            <w:tcW w:w="881" w:type="dxa"/>
            <w:noWrap w:val="0"/>
            <w:vAlign w:val="center"/>
          </w:tcPr>
          <w:p w14:paraId="4793D2B5">
            <w:pPr>
              <w:widowControl/>
              <w:jc w:val="center"/>
              <w:rPr>
                <w:rFonts w:hint="eastAsia" w:ascii="宋体" w:hAnsi="宋体" w:cs="宋体"/>
                <w:bCs/>
                <w:sz w:val="21"/>
                <w:lang w:eastAsia="en-US" w:bidi="ar"/>
              </w:rPr>
            </w:pPr>
            <w:r>
              <w:rPr>
                <w:rFonts w:hint="eastAsia" w:ascii="宋体" w:hAnsi="宋体" w:cs="宋体"/>
                <w:bCs/>
                <w:sz w:val="21"/>
                <w:lang w:bidi="ar"/>
              </w:rPr>
              <w:t>已投产</w:t>
            </w:r>
          </w:p>
        </w:tc>
      </w:tr>
      <w:tr w14:paraId="35607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9" w:type="dxa"/>
            <w:noWrap w:val="0"/>
            <w:vAlign w:val="center"/>
          </w:tcPr>
          <w:p w14:paraId="1A59A9A2">
            <w:pPr>
              <w:widowControl/>
              <w:jc w:val="center"/>
              <w:rPr>
                <w:rFonts w:hint="eastAsia" w:ascii="宋体" w:hAnsi="宋体" w:cs="宋体"/>
                <w:bCs/>
                <w:sz w:val="21"/>
                <w:lang w:eastAsia="en-US" w:bidi="ar"/>
              </w:rPr>
            </w:pPr>
            <w:r>
              <w:rPr>
                <w:rFonts w:hint="eastAsia" w:ascii="宋体" w:hAnsi="宋体" w:cs="宋体"/>
                <w:bCs/>
                <w:sz w:val="21"/>
                <w:lang w:bidi="ar"/>
              </w:rPr>
              <w:t>15</w:t>
            </w:r>
          </w:p>
        </w:tc>
        <w:tc>
          <w:tcPr>
            <w:tcW w:w="1731" w:type="dxa"/>
            <w:noWrap w:val="0"/>
            <w:vAlign w:val="center"/>
          </w:tcPr>
          <w:p w14:paraId="035A4CD0">
            <w:pPr>
              <w:widowControl/>
              <w:jc w:val="center"/>
              <w:rPr>
                <w:rFonts w:hint="eastAsia" w:ascii="宋体" w:hAnsi="宋体" w:cs="宋体"/>
                <w:bCs/>
                <w:sz w:val="21"/>
                <w:lang w:eastAsia="en-US" w:bidi="ar"/>
              </w:rPr>
            </w:pPr>
            <w:r>
              <w:rPr>
                <w:rFonts w:hint="eastAsia" w:ascii="宋体" w:hAnsi="宋体" w:cs="宋体"/>
                <w:bCs/>
                <w:sz w:val="21"/>
                <w:lang w:bidi="ar"/>
              </w:rPr>
              <w:t>湖南新中意食品有限公司</w:t>
            </w:r>
          </w:p>
        </w:tc>
        <w:tc>
          <w:tcPr>
            <w:tcW w:w="1514" w:type="dxa"/>
            <w:noWrap w:val="0"/>
            <w:vAlign w:val="center"/>
          </w:tcPr>
          <w:p w14:paraId="0326A973">
            <w:pPr>
              <w:widowControl/>
              <w:jc w:val="center"/>
              <w:rPr>
                <w:rFonts w:hint="eastAsia" w:ascii="宋体" w:hAnsi="宋体" w:cs="宋体"/>
                <w:bCs/>
                <w:sz w:val="21"/>
                <w:lang w:eastAsia="en-US" w:bidi="ar"/>
              </w:rPr>
            </w:pPr>
            <w:r>
              <w:rPr>
                <w:rFonts w:hint="eastAsia" w:ascii="宋体" w:hAnsi="宋体" w:cs="宋体"/>
                <w:bCs/>
                <w:sz w:val="21"/>
                <w:lang w:bidi="ar"/>
              </w:rPr>
              <w:t>111.862431846</w:t>
            </w:r>
          </w:p>
        </w:tc>
        <w:tc>
          <w:tcPr>
            <w:tcW w:w="1473" w:type="dxa"/>
            <w:noWrap w:val="0"/>
            <w:vAlign w:val="center"/>
          </w:tcPr>
          <w:p w14:paraId="20DED789">
            <w:pPr>
              <w:widowControl/>
              <w:jc w:val="center"/>
              <w:rPr>
                <w:rFonts w:hint="eastAsia" w:ascii="宋体" w:hAnsi="宋体" w:cs="宋体"/>
                <w:bCs/>
                <w:sz w:val="21"/>
                <w:lang w:eastAsia="en-US" w:bidi="ar"/>
              </w:rPr>
            </w:pPr>
            <w:r>
              <w:rPr>
                <w:rFonts w:hint="eastAsia" w:ascii="宋体" w:hAnsi="宋体" w:cs="宋体"/>
                <w:bCs/>
                <w:sz w:val="21"/>
                <w:lang w:bidi="ar"/>
              </w:rPr>
              <w:t>29.579303152</w:t>
            </w:r>
          </w:p>
        </w:tc>
        <w:tc>
          <w:tcPr>
            <w:tcW w:w="959" w:type="dxa"/>
            <w:noWrap w:val="0"/>
            <w:vAlign w:val="center"/>
          </w:tcPr>
          <w:p w14:paraId="570DD8C1">
            <w:pPr>
              <w:widowControl/>
              <w:jc w:val="center"/>
              <w:rPr>
                <w:rFonts w:hint="eastAsia" w:ascii="宋体" w:hAnsi="宋体" w:cs="宋体"/>
                <w:bCs/>
                <w:sz w:val="21"/>
                <w:lang w:eastAsia="en-US" w:bidi="ar"/>
              </w:rPr>
            </w:pPr>
            <w:r>
              <w:rPr>
                <w:rFonts w:hint="eastAsia" w:ascii="宋体" w:hAnsi="宋体" w:cs="宋体"/>
                <w:bCs/>
                <w:sz w:val="21"/>
                <w:lang w:bidi="ar"/>
              </w:rPr>
              <w:t>18000</w:t>
            </w:r>
          </w:p>
        </w:tc>
        <w:tc>
          <w:tcPr>
            <w:tcW w:w="852" w:type="dxa"/>
            <w:noWrap w:val="0"/>
            <w:vAlign w:val="center"/>
          </w:tcPr>
          <w:p w14:paraId="1FD89120">
            <w:pPr>
              <w:widowControl/>
              <w:jc w:val="center"/>
              <w:rPr>
                <w:rFonts w:hint="eastAsia" w:ascii="宋体" w:hAnsi="宋体" w:cs="宋体"/>
                <w:bCs/>
                <w:sz w:val="21"/>
                <w:lang w:eastAsia="en-US" w:bidi="ar"/>
              </w:rPr>
            </w:pPr>
            <w:r>
              <w:rPr>
                <w:rFonts w:hint="eastAsia" w:ascii="宋体" w:hAnsi="宋体" w:cs="宋体"/>
                <w:bCs/>
                <w:sz w:val="21"/>
                <w:lang w:bidi="ar"/>
              </w:rPr>
              <w:t>108</w:t>
            </w:r>
          </w:p>
        </w:tc>
        <w:tc>
          <w:tcPr>
            <w:tcW w:w="932" w:type="dxa"/>
            <w:noWrap w:val="0"/>
            <w:vAlign w:val="center"/>
          </w:tcPr>
          <w:p w14:paraId="42B2D0C5">
            <w:pPr>
              <w:widowControl/>
              <w:jc w:val="center"/>
              <w:rPr>
                <w:rFonts w:hint="eastAsia" w:ascii="宋体" w:hAnsi="宋体" w:cs="宋体"/>
                <w:bCs/>
                <w:sz w:val="21"/>
                <w:lang w:eastAsia="en-US" w:bidi="ar"/>
              </w:rPr>
            </w:pPr>
            <w:r>
              <w:rPr>
                <w:rFonts w:hint="eastAsia" w:ascii="宋体" w:hAnsi="宋体" w:cs="宋体"/>
                <w:bCs/>
                <w:sz w:val="21"/>
                <w:lang w:bidi="ar"/>
              </w:rPr>
              <w:t>0.27</w:t>
            </w:r>
          </w:p>
        </w:tc>
        <w:tc>
          <w:tcPr>
            <w:tcW w:w="825" w:type="dxa"/>
            <w:noWrap w:val="0"/>
            <w:vAlign w:val="center"/>
          </w:tcPr>
          <w:p w14:paraId="0CFD1A57">
            <w:pPr>
              <w:widowControl/>
              <w:jc w:val="center"/>
              <w:rPr>
                <w:rFonts w:hint="eastAsia" w:ascii="宋体" w:hAnsi="宋体" w:cs="宋体"/>
                <w:bCs/>
                <w:sz w:val="21"/>
                <w:lang w:eastAsia="en-US" w:bidi="ar"/>
              </w:rPr>
            </w:pPr>
            <w:r>
              <w:rPr>
                <w:rFonts w:hint="eastAsia" w:ascii="宋体" w:hAnsi="宋体" w:cs="宋体"/>
                <w:bCs/>
                <w:sz w:val="21"/>
                <w:lang w:bidi="ar"/>
              </w:rPr>
              <w:t>0.75</w:t>
            </w:r>
          </w:p>
        </w:tc>
        <w:tc>
          <w:tcPr>
            <w:tcW w:w="716" w:type="dxa"/>
            <w:noWrap w:val="0"/>
            <w:vAlign w:val="center"/>
          </w:tcPr>
          <w:p w14:paraId="5E91EE0B">
            <w:pPr>
              <w:widowControl/>
              <w:jc w:val="center"/>
              <w:rPr>
                <w:rFonts w:hint="eastAsia" w:ascii="宋体" w:hAnsi="宋体" w:cs="宋体"/>
                <w:bCs/>
                <w:sz w:val="21"/>
                <w:lang w:bidi="ar"/>
              </w:rPr>
            </w:pPr>
            <w:r>
              <w:rPr>
                <w:rFonts w:hint="eastAsia" w:ascii="宋体" w:hAnsi="宋体" w:cs="宋体"/>
                <w:bCs/>
                <w:sz w:val="21"/>
                <w:lang w:bidi="ar"/>
              </w:rPr>
              <w:t>1.5</w:t>
            </w:r>
          </w:p>
        </w:tc>
        <w:tc>
          <w:tcPr>
            <w:tcW w:w="825" w:type="dxa"/>
            <w:noWrap w:val="0"/>
            <w:vAlign w:val="center"/>
          </w:tcPr>
          <w:p w14:paraId="3A6BDAF9">
            <w:pPr>
              <w:widowControl/>
              <w:jc w:val="center"/>
              <w:rPr>
                <w:rFonts w:hint="eastAsia" w:ascii="宋体" w:hAnsi="宋体" w:cs="宋体"/>
                <w:bCs/>
                <w:sz w:val="21"/>
                <w:lang w:bidi="ar"/>
              </w:rPr>
            </w:pPr>
            <w:r>
              <w:rPr>
                <w:rFonts w:hint="eastAsia" w:ascii="宋体" w:hAnsi="宋体" w:cs="宋体"/>
                <w:bCs/>
                <w:sz w:val="21"/>
                <w:lang w:bidi="ar"/>
              </w:rPr>
              <w:t>0.1</w:t>
            </w:r>
          </w:p>
        </w:tc>
        <w:tc>
          <w:tcPr>
            <w:tcW w:w="1341" w:type="dxa"/>
            <w:noWrap w:val="0"/>
            <w:vAlign w:val="center"/>
          </w:tcPr>
          <w:p w14:paraId="15FE5FE1">
            <w:pPr>
              <w:widowControl/>
              <w:jc w:val="center"/>
              <w:rPr>
                <w:rFonts w:hint="eastAsia" w:ascii="宋体" w:hAnsi="宋体" w:cs="宋体"/>
                <w:bCs/>
                <w:sz w:val="21"/>
                <w:lang w:eastAsia="en-US" w:bidi="ar"/>
              </w:rPr>
            </w:pPr>
            <w:r>
              <w:rPr>
                <w:rFonts w:hint="eastAsia" w:ascii="宋体" w:hAnsi="宋体" w:cs="宋体"/>
                <w:bCs/>
                <w:sz w:val="21"/>
                <w:lang w:bidi="ar"/>
              </w:rPr>
              <w:t>/</w:t>
            </w:r>
          </w:p>
        </w:tc>
        <w:tc>
          <w:tcPr>
            <w:tcW w:w="1753" w:type="dxa"/>
            <w:noWrap w:val="0"/>
            <w:vAlign w:val="center"/>
          </w:tcPr>
          <w:p w14:paraId="5A0335E0">
            <w:pPr>
              <w:widowControl/>
              <w:jc w:val="center"/>
              <w:rPr>
                <w:rFonts w:hint="eastAsia" w:ascii="宋体" w:hAnsi="宋体" w:cs="宋体"/>
                <w:bCs/>
                <w:sz w:val="21"/>
                <w:lang w:eastAsia="en-US" w:bidi="ar"/>
              </w:rPr>
            </w:pPr>
            <w:r>
              <w:rPr>
                <w:rFonts w:hint="eastAsia" w:ascii="宋体" w:hAnsi="宋体" w:cs="宋体"/>
                <w:bCs/>
                <w:sz w:val="21"/>
                <w:lang w:bidi="ar"/>
              </w:rPr>
              <w:t>一般固废1000</w:t>
            </w:r>
          </w:p>
        </w:tc>
        <w:tc>
          <w:tcPr>
            <w:tcW w:w="881" w:type="dxa"/>
            <w:noWrap w:val="0"/>
            <w:vAlign w:val="center"/>
          </w:tcPr>
          <w:p w14:paraId="1213E1D5">
            <w:pPr>
              <w:widowControl/>
              <w:jc w:val="center"/>
              <w:rPr>
                <w:rFonts w:hint="eastAsia" w:ascii="宋体" w:hAnsi="宋体" w:cs="宋体"/>
                <w:bCs/>
                <w:sz w:val="21"/>
                <w:lang w:eastAsia="en-US" w:bidi="ar"/>
              </w:rPr>
            </w:pPr>
            <w:r>
              <w:rPr>
                <w:rFonts w:hint="eastAsia" w:ascii="宋体" w:hAnsi="宋体" w:cs="宋体"/>
                <w:bCs/>
                <w:sz w:val="21"/>
                <w:lang w:bidi="ar"/>
              </w:rPr>
              <w:t>已投产</w:t>
            </w:r>
          </w:p>
        </w:tc>
      </w:tr>
      <w:tr w14:paraId="73592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9" w:type="dxa"/>
            <w:noWrap w:val="0"/>
            <w:vAlign w:val="center"/>
          </w:tcPr>
          <w:p w14:paraId="34715BC1">
            <w:pPr>
              <w:widowControl/>
              <w:jc w:val="center"/>
              <w:rPr>
                <w:rFonts w:hint="eastAsia" w:ascii="宋体" w:hAnsi="宋体" w:cs="宋体"/>
                <w:bCs/>
                <w:sz w:val="21"/>
                <w:lang w:eastAsia="en-US" w:bidi="ar"/>
              </w:rPr>
            </w:pPr>
            <w:r>
              <w:rPr>
                <w:rFonts w:hint="eastAsia" w:ascii="宋体" w:hAnsi="宋体" w:cs="宋体"/>
                <w:bCs/>
                <w:sz w:val="21"/>
                <w:lang w:bidi="ar"/>
              </w:rPr>
              <w:t>16</w:t>
            </w:r>
          </w:p>
        </w:tc>
        <w:tc>
          <w:tcPr>
            <w:tcW w:w="1731" w:type="dxa"/>
            <w:noWrap w:val="0"/>
            <w:vAlign w:val="center"/>
          </w:tcPr>
          <w:p w14:paraId="1DDDF277">
            <w:pPr>
              <w:widowControl/>
              <w:jc w:val="center"/>
              <w:rPr>
                <w:rFonts w:hint="eastAsia" w:ascii="宋体" w:hAnsi="宋体" w:cs="宋体"/>
                <w:bCs/>
                <w:sz w:val="21"/>
                <w:lang w:bidi="ar"/>
              </w:rPr>
            </w:pPr>
            <w:r>
              <w:rPr>
                <w:rFonts w:hint="eastAsia" w:ascii="宋体" w:hAnsi="宋体" w:cs="宋体"/>
                <w:bCs/>
                <w:sz w:val="21"/>
                <w:lang w:bidi="ar"/>
              </w:rPr>
              <w:t>津市坝道水泥有限公司</w:t>
            </w:r>
          </w:p>
        </w:tc>
        <w:tc>
          <w:tcPr>
            <w:tcW w:w="1514" w:type="dxa"/>
            <w:noWrap w:val="0"/>
            <w:vAlign w:val="center"/>
          </w:tcPr>
          <w:p w14:paraId="03A3A75F">
            <w:pPr>
              <w:widowControl/>
              <w:jc w:val="center"/>
              <w:rPr>
                <w:rFonts w:hint="eastAsia" w:ascii="宋体" w:hAnsi="宋体" w:cs="宋体"/>
                <w:bCs/>
                <w:sz w:val="21"/>
                <w:lang w:eastAsia="en-US" w:bidi="ar"/>
              </w:rPr>
            </w:pPr>
            <w:r>
              <w:rPr>
                <w:rFonts w:hint="eastAsia" w:ascii="宋体" w:hAnsi="宋体" w:cs="宋体"/>
                <w:bCs/>
                <w:sz w:val="21"/>
                <w:lang w:bidi="ar"/>
              </w:rPr>
              <w:t>111.866767647</w:t>
            </w:r>
          </w:p>
        </w:tc>
        <w:tc>
          <w:tcPr>
            <w:tcW w:w="1473" w:type="dxa"/>
            <w:noWrap w:val="0"/>
            <w:vAlign w:val="center"/>
          </w:tcPr>
          <w:p w14:paraId="5DBE1E06">
            <w:pPr>
              <w:widowControl/>
              <w:jc w:val="center"/>
              <w:rPr>
                <w:rFonts w:hint="eastAsia" w:ascii="宋体" w:hAnsi="宋体" w:cs="宋体"/>
                <w:bCs/>
                <w:sz w:val="21"/>
                <w:lang w:eastAsia="en-US" w:bidi="ar"/>
              </w:rPr>
            </w:pPr>
            <w:r>
              <w:rPr>
                <w:rFonts w:hint="eastAsia" w:ascii="宋体" w:hAnsi="宋体" w:cs="宋体"/>
                <w:bCs/>
                <w:sz w:val="21"/>
                <w:lang w:bidi="ar"/>
              </w:rPr>
              <w:t>29.573194079</w:t>
            </w:r>
          </w:p>
        </w:tc>
        <w:tc>
          <w:tcPr>
            <w:tcW w:w="959" w:type="dxa"/>
            <w:noWrap w:val="0"/>
            <w:vAlign w:val="center"/>
          </w:tcPr>
          <w:p w14:paraId="76A731A6">
            <w:pPr>
              <w:widowControl/>
              <w:jc w:val="center"/>
              <w:rPr>
                <w:rFonts w:hint="eastAsia" w:ascii="宋体" w:hAnsi="宋体" w:cs="宋体"/>
                <w:bCs/>
                <w:sz w:val="21"/>
                <w:lang w:eastAsia="en-US" w:bidi="ar"/>
              </w:rPr>
            </w:pPr>
            <w:r>
              <w:rPr>
                <w:rFonts w:hint="eastAsia" w:ascii="宋体" w:hAnsi="宋体" w:cs="宋体"/>
                <w:bCs/>
                <w:sz w:val="21"/>
                <w:lang w:bidi="ar"/>
              </w:rPr>
              <w:t>2400</w:t>
            </w:r>
          </w:p>
        </w:tc>
        <w:tc>
          <w:tcPr>
            <w:tcW w:w="852" w:type="dxa"/>
            <w:noWrap w:val="0"/>
            <w:vAlign w:val="center"/>
          </w:tcPr>
          <w:p w14:paraId="51D99357">
            <w:pPr>
              <w:widowControl/>
              <w:jc w:val="center"/>
              <w:rPr>
                <w:rFonts w:hint="eastAsia" w:ascii="宋体" w:hAnsi="宋体" w:cs="宋体"/>
                <w:bCs/>
                <w:sz w:val="21"/>
                <w:lang w:eastAsia="en-US" w:bidi="ar"/>
              </w:rPr>
            </w:pPr>
            <w:r>
              <w:rPr>
                <w:rFonts w:hint="eastAsia" w:ascii="宋体" w:hAnsi="宋体" w:cs="宋体"/>
                <w:bCs/>
                <w:sz w:val="21"/>
                <w:lang w:bidi="ar"/>
              </w:rPr>
              <w:t>0.24</w:t>
            </w:r>
          </w:p>
        </w:tc>
        <w:tc>
          <w:tcPr>
            <w:tcW w:w="932" w:type="dxa"/>
            <w:noWrap w:val="0"/>
            <w:vAlign w:val="center"/>
          </w:tcPr>
          <w:p w14:paraId="489C0D17">
            <w:pPr>
              <w:widowControl/>
              <w:jc w:val="center"/>
              <w:rPr>
                <w:rFonts w:hint="eastAsia" w:ascii="宋体" w:hAnsi="宋体" w:cs="宋体"/>
                <w:bCs/>
                <w:sz w:val="21"/>
                <w:lang w:bidi="ar"/>
              </w:rPr>
            </w:pPr>
            <w:r>
              <w:rPr>
                <w:rFonts w:hint="eastAsia" w:ascii="宋体" w:hAnsi="宋体" w:cs="宋体"/>
                <w:bCs/>
                <w:sz w:val="21"/>
                <w:lang w:bidi="ar"/>
              </w:rPr>
              <w:t>0.024</w:t>
            </w:r>
          </w:p>
        </w:tc>
        <w:tc>
          <w:tcPr>
            <w:tcW w:w="825" w:type="dxa"/>
            <w:noWrap w:val="0"/>
            <w:vAlign w:val="center"/>
          </w:tcPr>
          <w:p w14:paraId="56990E38">
            <w:pPr>
              <w:widowControl/>
              <w:jc w:val="center"/>
              <w:rPr>
                <w:rFonts w:hint="eastAsia" w:ascii="宋体" w:hAnsi="宋体" w:cs="宋体"/>
                <w:bCs/>
                <w:sz w:val="21"/>
                <w:lang w:bidi="ar"/>
              </w:rPr>
            </w:pPr>
            <w:r>
              <w:rPr>
                <w:rFonts w:hint="eastAsia" w:ascii="宋体" w:hAnsi="宋体" w:cs="宋体"/>
                <w:bCs/>
                <w:sz w:val="21"/>
                <w:lang w:bidi="ar"/>
              </w:rPr>
              <w:t>0</w:t>
            </w:r>
          </w:p>
        </w:tc>
        <w:tc>
          <w:tcPr>
            <w:tcW w:w="716" w:type="dxa"/>
            <w:noWrap w:val="0"/>
            <w:vAlign w:val="center"/>
          </w:tcPr>
          <w:p w14:paraId="414F0148">
            <w:pPr>
              <w:widowControl/>
              <w:jc w:val="center"/>
              <w:rPr>
                <w:rFonts w:hint="eastAsia" w:ascii="宋体" w:hAnsi="宋体" w:cs="宋体"/>
                <w:bCs/>
                <w:sz w:val="21"/>
                <w:lang w:bidi="ar"/>
              </w:rPr>
            </w:pPr>
            <w:r>
              <w:rPr>
                <w:rFonts w:hint="eastAsia" w:ascii="宋体" w:hAnsi="宋体" w:cs="宋体"/>
                <w:bCs/>
                <w:sz w:val="21"/>
                <w:lang w:bidi="ar"/>
              </w:rPr>
              <w:t>0</w:t>
            </w:r>
          </w:p>
        </w:tc>
        <w:tc>
          <w:tcPr>
            <w:tcW w:w="825" w:type="dxa"/>
            <w:noWrap w:val="0"/>
            <w:vAlign w:val="center"/>
          </w:tcPr>
          <w:p w14:paraId="207DD494">
            <w:pPr>
              <w:widowControl/>
              <w:jc w:val="center"/>
              <w:rPr>
                <w:rFonts w:hint="eastAsia" w:ascii="宋体" w:hAnsi="宋体" w:cs="宋体"/>
                <w:bCs/>
                <w:sz w:val="21"/>
                <w:lang w:bidi="ar"/>
              </w:rPr>
            </w:pPr>
            <w:r>
              <w:rPr>
                <w:rFonts w:hint="eastAsia" w:ascii="宋体" w:hAnsi="宋体" w:cs="宋体"/>
                <w:bCs/>
                <w:sz w:val="21"/>
                <w:lang w:bidi="ar"/>
              </w:rPr>
              <w:t>40</w:t>
            </w:r>
          </w:p>
        </w:tc>
        <w:tc>
          <w:tcPr>
            <w:tcW w:w="1341" w:type="dxa"/>
            <w:noWrap w:val="0"/>
            <w:vAlign w:val="center"/>
          </w:tcPr>
          <w:p w14:paraId="245A4812">
            <w:pPr>
              <w:widowControl/>
              <w:jc w:val="center"/>
              <w:rPr>
                <w:rFonts w:hint="eastAsia" w:ascii="宋体" w:hAnsi="宋体" w:cs="宋体"/>
                <w:bCs/>
                <w:sz w:val="21"/>
                <w:lang w:eastAsia="en-US" w:bidi="ar"/>
              </w:rPr>
            </w:pPr>
            <w:r>
              <w:rPr>
                <w:rFonts w:hint="eastAsia" w:ascii="宋体" w:hAnsi="宋体" w:cs="宋体"/>
                <w:bCs/>
                <w:sz w:val="21"/>
                <w:lang w:bidi="ar"/>
              </w:rPr>
              <w:t>/</w:t>
            </w:r>
          </w:p>
        </w:tc>
        <w:tc>
          <w:tcPr>
            <w:tcW w:w="1753" w:type="dxa"/>
            <w:noWrap w:val="0"/>
            <w:vAlign w:val="center"/>
          </w:tcPr>
          <w:p w14:paraId="456C2733">
            <w:pPr>
              <w:widowControl/>
              <w:jc w:val="center"/>
              <w:rPr>
                <w:rFonts w:hint="eastAsia" w:ascii="宋体" w:hAnsi="宋体" w:cs="宋体"/>
                <w:bCs/>
                <w:sz w:val="21"/>
                <w:lang w:eastAsia="en-US" w:bidi="ar"/>
              </w:rPr>
            </w:pPr>
            <w:r>
              <w:rPr>
                <w:rFonts w:hint="eastAsia" w:ascii="宋体" w:hAnsi="宋体" w:cs="宋体"/>
                <w:bCs/>
                <w:sz w:val="21"/>
                <w:lang w:bidi="ar"/>
              </w:rPr>
              <w:t>一般固废4433.9</w:t>
            </w:r>
          </w:p>
        </w:tc>
        <w:tc>
          <w:tcPr>
            <w:tcW w:w="881" w:type="dxa"/>
            <w:noWrap w:val="0"/>
            <w:vAlign w:val="center"/>
          </w:tcPr>
          <w:p w14:paraId="24670814">
            <w:pPr>
              <w:widowControl/>
              <w:jc w:val="center"/>
              <w:rPr>
                <w:rFonts w:hint="eastAsia" w:ascii="宋体" w:hAnsi="宋体" w:cs="宋体"/>
                <w:bCs/>
                <w:sz w:val="21"/>
                <w:lang w:eastAsia="en-US" w:bidi="ar"/>
              </w:rPr>
            </w:pPr>
            <w:r>
              <w:rPr>
                <w:rFonts w:hint="eastAsia" w:ascii="宋体" w:hAnsi="宋体" w:cs="宋体"/>
                <w:bCs/>
                <w:sz w:val="21"/>
                <w:lang w:bidi="ar"/>
              </w:rPr>
              <w:t>已投产</w:t>
            </w:r>
          </w:p>
        </w:tc>
      </w:tr>
      <w:tr w14:paraId="64B02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9" w:type="dxa"/>
            <w:noWrap w:val="0"/>
            <w:vAlign w:val="center"/>
          </w:tcPr>
          <w:p w14:paraId="04885136">
            <w:pPr>
              <w:widowControl/>
              <w:jc w:val="center"/>
              <w:rPr>
                <w:rFonts w:hint="eastAsia" w:ascii="宋体" w:hAnsi="宋体" w:cs="宋体"/>
                <w:bCs/>
                <w:sz w:val="21"/>
                <w:lang w:eastAsia="en-US" w:bidi="ar"/>
              </w:rPr>
            </w:pPr>
            <w:r>
              <w:rPr>
                <w:rFonts w:hint="eastAsia" w:ascii="宋体" w:hAnsi="宋体" w:cs="宋体"/>
                <w:bCs/>
                <w:sz w:val="21"/>
                <w:lang w:bidi="ar"/>
              </w:rPr>
              <w:t>17</w:t>
            </w:r>
          </w:p>
        </w:tc>
        <w:tc>
          <w:tcPr>
            <w:tcW w:w="1731" w:type="dxa"/>
            <w:noWrap w:val="0"/>
            <w:vAlign w:val="center"/>
          </w:tcPr>
          <w:p w14:paraId="1DA3DA19">
            <w:pPr>
              <w:widowControl/>
              <w:jc w:val="center"/>
              <w:rPr>
                <w:rFonts w:hint="eastAsia" w:ascii="宋体" w:hAnsi="宋体" w:cs="宋体"/>
                <w:bCs/>
                <w:sz w:val="21"/>
                <w:lang w:bidi="ar"/>
              </w:rPr>
            </w:pPr>
            <w:r>
              <w:rPr>
                <w:rFonts w:hint="eastAsia" w:ascii="宋体" w:hAnsi="宋体" w:cs="宋体"/>
                <w:bCs/>
                <w:sz w:val="21"/>
                <w:lang w:bidi="ar"/>
              </w:rPr>
              <w:t>湖南致远车桥有限公司</w:t>
            </w:r>
          </w:p>
        </w:tc>
        <w:tc>
          <w:tcPr>
            <w:tcW w:w="1514" w:type="dxa"/>
            <w:noWrap w:val="0"/>
            <w:vAlign w:val="center"/>
          </w:tcPr>
          <w:p w14:paraId="3E76ADAB">
            <w:pPr>
              <w:widowControl/>
              <w:jc w:val="center"/>
              <w:rPr>
                <w:rFonts w:hint="eastAsia" w:ascii="宋体" w:hAnsi="宋体" w:cs="宋体"/>
                <w:bCs/>
                <w:sz w:val="21"/>
                <w:lang w:eastAsia="en-US" w:bidi="ar"/>
              </w:rPr>
            </w:pPr>
            <w:r>
              <w:rPr>
                <w:rFonts w:hint="eastAsia" w:ascii="宋体" w:hAnsi="宋体" w:cs="宋体"/>
                <w:bCs/>
                <w:sz w:val="21"/>
                <w:lang w:bidi="ar"/>
              </w:rPr>
              <w:t>111.848475658</w:t>
            </w:r>
          </w:p>
        </w:tc>
        <w:tc>
          <w:tcPr>
            <w:tcW w:w="1473" w:type="dxa"/>
            <w:noWrap w:val="0"/>
            <w:vAlign w:val="center"/>
          </w:tcPr>
          <w:p w14:paraId="69262CE2">
            <w:pPr>
              <w:widowControl/>
              <w:jc w:val="center"/>
              <w:rPr>
                <w:rFonts w:hint="eastAsia" w:ascii="宋体" w:hAnsi="宋体" w:cs="宋体"/>
                <w:bCs/>
                <w:sz w:val="21"/>
                <w:lang w:eastAsia="en-US" w:bidi="ar"/>
              </w:rPr>
            </w:pPr>
            <w:r>
              <w:rPr>
                <w:rFonts w:hint="eastAsia" w:ascii="宋体" w:hAnsi="宋体" w:cs="宋体"/>
                <w:bCs/>
                <w:sz w:val="21"/>
                <w:lang w:bidi="ar"/>
              </w:rPr>
              <w:t>29.577676013</w:t>
            </w:r>
          </w:p>
        </w:tc>
        <w:tc>
          <w:tcPr>
            <w:tcW w:w="959" w:type="dxa"/>
            <w:noWrap w:val="0"/>
            <w:vAlign w:val="center"/>
          </w:tcPr>
          <w:p w14:paraId="1C69CE37">
            <w:pPr>
              <w:widowControl/>
              <w:jc w:val="center"/>
              <w:rPr>
                <w:rFonts w:hint="eastAsia" w:ascii="宋体" w:hAnsi="宋体" w:cs="宋体"/>
                <w:bCs/>
                <w:sz w:val="21"/>
                <w:lang w:eastAsia="en-US" w:bidi="ar"/>
              </w:rPr>
            </w:pPr>
            <w:r>
              <w:rPr>
                <w:rFonts w:hint="eastAsia" w:ascii="宋体" w:hAnsi="宋体" w:cs="宋体"/>
                <w:bCs/>
                <w:sz w:val="21"/>
                <w:lang w:bidi="ar"/>
              </w:rPr>
              <w:t>86700</w:t>
            </w:r>
          </w:p>
        </w:tc>
        <w:tc>
          <w:tcPr>
            <w:tcW w:w="852" w:type="dxa"/>
            <w:noWrap w:val="0"/>
            <w:vAlign w:val="center"/>
          </w:tcPr>
          <w:p w14:paraId="381E800F">
            <w:pPr>
              <w:widowControl/>
              <w:jc w:val="center"/>
              <w:rPr>
                <w:rFonts w:hint="eastAsia" w:ascii="宋体" w:hAnsi="宋体" w:cs="宋体"/>
                <w:bCs/>
                <w:sz w:val="21"/>
                <w:lang w:bidi="ar"/>
              </w:rPr>
            </w:pPr>
            <w:r>
              <w:rPr>
                <w:rFonts w:hint="eastAsia" w:ascii="宋体" w:hAnsi="宋体" w:cs="宋体"/>
                <w:bCs/>
                <w:sz w:val="21"/>
                <w:lang w:bidi="ar"/>
              </w:rPr>
              <w:t>5.2</w:t>
            </w:r>
          </w:p>
        </w:tc>
        <w:tc>
          <w:tcPr>
            <w:tcW w:w="932" w:type="dxa"/>
            <w:noWrap w:val="0"/>
            <w:vAlign w:val="center"/>
          </w:tcPr>
          <w:p w14:paraId="226316E7">
            <w:pPr>
              <w:widowControl/>
              <w:jc w:val="center"/>
              <w:rPr>
                <w:rFonts w:hint="eastAsia" w:ascii="宋体" w:hAnsi="宋体" w:cs="宋体"/>
                <w:bCs/>
                <w:sz w:val="21"/>
                <w:lang w:bidi="ar"/>
              </w:rPr>
            </w:pPr>
            <w:r>
              <w:rPr>
                <w:rFonts w:hint="eastAsia" w:ascii="宋体" w:hAnsi="宋体" w:cs="宋体"/>
                <w:bCs/>
                <w:sz w:val="21"/>
                <w:lang w:bidi="ar"/>
              </w:rPr>
              <w:t>1.3</w:t>
            </w:r>
          </w:p>
        </w:tc>
        <w:tc>
          <w:tcPr>
            <w:tcW w:w="825" w:type="dxa"/>
            <w:noWrap w:val="0"/>
            <w:vAlign w:val="center"/>
          </w:tcPr>
          <w:p w14:paraId="753E9A86">
            <w:pPr>
              <w:widowControl/>
              <w:jc w:val="center"/>
              <w:rPr>
                <w:rFonts w:hint="eastAsia" w:ascii="宋体" w:hAnsi="宋体" w:cs="宋体"/>
                <w:bCs/>
                <w:sz w:val="21"/>
                <w:lang w:bidi="ar"/>
              </w:rPr>
            </w:pPr>
            <w:r>
              <w:rPr>
                <w:rFonts w:hint="eastAsia" w:ascii="宋体" w:hAnsi="宋体" w:cs="宋体"/>
                <w:bCs/>
                <w:sz w:val="21"/>
                <w:lang w:bidi="ar"/>
              </w:rPr>
              <w:t>0</w:t>
            </w:r>
          </w:p>
        </w:tc>
        <w:tc>
          <w:tcPr>
            <w:tcW w:w="716" w:type="dxa"/>
            <w:noWrap w:val="0"/>
            <w:vAlign w:val="center"/>
          </w:tcPr>
          <w:p w14:paraId="2C22AA7E">
            <w:pPr>
              <w:widowControl/>
              <w:jc w:val="center"/>
              <w:rPr>
                <w:rFonts w:hint="eastAsia" w:ascii="宋体" w:hAnsi="宋体" w:cs="宋体"/>
                <w:bCs/>
                <w:sz w:val="21"/>
                <w:lang w:bidi="ar"/>
              </w:rPr>
            </w:pPr>
            <w:r>
              <w:rPr>
                <w:rFonts w:hint="eastAsia" w:ascii="宋体" w:hAnsi="宋体" w:cs="宋体"/>
                <w:bCs/>
                <w:sz w:val="21"/>
                <w:lang w:bidi="ar"/>
              </w:rPr>
              <w:t>0</w:t>
            </w:r>
          </w:p>
        </w:tc>
        <w:tc>
          <w:tcPr>
            <w:tcW w:w="825" w:type="dxa"/>
            <w:noWrap w:val="0"/>
            <w:vAlign w:val="center"/>
          </w:tcPr>
          <w:p w14:paraId="17F92223">
            <w:pPr>
              <w:widowControl/>
              <w:jc w:val="center"/>
              <w:rPr>
                <w:rFonts w:hint="eastAsia" w:ascii="宋体" w:hAnsi="宋体" w:cs="宋体"/>
                <w:bCs/>
                <w:sz w:val="21"/>
                <w:lang w:bidi="ar"/>
              </w:rPr>
            </w:pPr>
            <w:r>
              <w:rPr>
                <w:rFonts w:hint="eastAsia" w:ascii="宋体" w:hAnsi="宋体" w:cs="宋体"/>
                <w:bCs/>
                <w:sz w:val="21"/>
                <w:lang w:bidi="ar"/>
              </w:rPr>
              <w:t>0</w:t>
            </w:r>
          </w:p>
        </w:tc>
        <w:tc>
          <w:tcPr>
            <w:tcW w:w="1341" w:type="dxa"/>
            <w:noWrap w:val="0"/>
            <w:vAlign w:val="center"/>
          </w:tcPr>
          <w:p w14:paraId="140D4D63">
            <w:pPr>
              <w:widowControl/>
              <w:jc w:val="center"/>
              <w:rPr>
                <w:rFonts w:hint="eastAsia" w:ascii="宋体" w:hAnsi="宋体" w:cs="宋体"/>
                <w:bCs/>
                <w:sz w:val="21"/>
                <w:lang w:bidi="ar"/>
              </w:rPr>
            </w:pPr>
            <w:r>
              <w:rPr>
                <w:rFonts w:hint="eastAsia" w:ascii="宋体" w:hAnsi="宋体" w:cs="宋体"/>
                <w:bCs/>
                <w:sz w:val="21"/>
                <w:lang w:bidi="ar"/>
              </w:rPr>
              <w:t>VOCs：1.2；</w:t>
            </w:r>
          </w:p>
          <w:p w14:paraId="6C860889">
            <w:pPr>
              <w:widowControl/>
              <w:jc w:val="center"/>
              <w:rPr>
                <w:rFonts w:hint="eastAsia" w:ascii="宋体" w:hAnsi="宋体" w:cs="宋体"/>
                <w:bCs/>
                <w:sz w:val="21"/>
                <w:lang w:bidi="ar"/>
              </w:rPr>
            </w:pPr>
            <w:r>
              <w:rPr>
                <w:rFonts w:hint="eastAsia" w:ascii="宋体" w:hAnsi="宋体" w:cs="宋体"/>
                <w:bCs/>
                <w:sz w:val="21"/>
                <w:lang w:bidi="ar"/>
              </w:rPr>
              <w:t>苯：0.009；甲苯0.010；二甲苯0.059</w:t>
            </w:r>
          </w:p>
        </w:tc>
        <w:tc>
          <w:tcPr>
            <w:tcW w:w="1753" w:type="dxa"/>
            <w:noWrap w:val="0"/>
            <w:vAlign w:val="center"/>
          </w:tcPr>
          <w:p w14:paraId="3190BDB9">
            <w:pPr>
              <w:widowControl/>
              <w:jc w:val="center"/>
              <w:rPr>
                <w:rFonts w:hint="eastAsia" w:ascii="宋体" w:hAnsi="宋体" w:cs="宋体"/>
                <w:bCs/>
                <w:sz w:val="21"/>
                <w:lang w:bidi="ar"/>
              </w:rPr>
            </w:pPr>
            <w:r>
              <w:rPr>
                <w:rFonts w:hint="eastAsia" w:ascii="宋体" w:hAnsi="宋体" w:cs="宋体"/>
                <w:bCs/>
                <w:sz w:val="21"/>
                <w:lang w:bidi="ar"/>
              </w:rPr>
              <w:t>一般固废8.5；危险固废（废机油、乳化液）1.62</w:t>
            </w:r>
          </w:p>
        </w:tc>
        <w:tc>
          <w:tcPr>
            <w:tcW w:w="881" w:type="dxa"/>
            <w:noWrap w:val="0"/>
            <w:vAlign w:val="center"/>
          </w:tcPr>
          <w:p w14:paraId="4B20AEAC">
            <w:pPr>
              <w:widowControl/>
              <w:jc w:val="center"/>
              <w:rPr>
                <w:rFonts w:hint="eastAsia" w:ascii="宋体" w:hAnsi="宋体" w:cs="宋体"/>
                <w:bCs/>
                <w:sz w:val="21"/>
                <w:lang w:eastAsia="en-US" w:bidi="ar"/>
              </w:rPr>
            </w:pPr>
            <w:r>
              <w:rPr>
                <w:rFonts w:hint="eastAsia" w:ascii="宋体" w:hAnsi="宋体" w:cs="宋体"/>
                <w:bCs/>
                <w:sz w:val="21"/>
                <w:lang w:bidi="ar"/>
              </w:rPr>
              <w:t>已投产</w:t>
            </w:r>
          </w:p>
        </w:tc>
      </w:tr>
      <w:tr w14:paraId="1F5F4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9" w:type="dxa"/>
            <w:noWrap w:val="0"/>
            <w:vAlign w:val="center"/>
          </w:tcPr>
          <w:p w14:paraId="51A1C569">
            <w:pPr>
              <w:widowControl/>
              <w:jc w:val="center"/>
              <w:rPr>
                <w:rFonts w:hint="eastAsia" w:ascii="宋体" w:hAnsi="宋体" w:cs="宋体"/>
                <w:bCs/>
                <w:sz w:val="21"/>
                <w:lang w:eastAsia="en-US" w:bidi="ar"/>
              </w:rPr>
            </w:pPr>
            <w:r>
              <w:rPr>
                <w:rFonts w:hint="eastAsia" w:ascii="宋体" w:hAnsi="宋体" w:cs="宋体"/>
                <w:bCs/>
                <w:sz w:val="21"/>
                <w:lang w:bidi="ar"/>
              </w:rPr>
              <w:t>18</w:t>
            </w:r>
          </w:p>
        </w:tc>
        <w:tc>
          <w:tcPr>
            <w:tcW w:w="1731" w:type="dxa"/>
            <w:noWrap w:val="0"/>
            <w:vAlign w:val="center"/>
          </w:tcPr>
          <w:p w14:paraId="18D939BD">
            <w:pPr>
              <w:widowControl/>
              <w:jc w:val="center"/>
              <w:rPr>
                <w:rFonts w:hint="eastAsia" w:ascii="宋体" w:hAnsi="宋体" w:cs="宋体"/>
                <w:bCs/>
                <w:sz w:val="21"/>
                <w:lang w:bidi="ar"/>
              </w:rPr>
            </w:pPr>
            <w:r>
              <w:rPr>
                <w:rFonts w:hint="eastAsia" w:ascii="宋体" w:hAnsi="宋体" w:cs="宋体"/>
                <w:bCs/>
                <w:sz w:val="21"/>
                <w:lang w:bidi="ar"/>
              </w:rPr>
              <w:t>胡南中联重科车桥有限公司</w:t>
            </w:r>
          </w:p>
        </w:tc>
        <w:tc>
          <w:tcPr>
            <w:tcW w:w="1514" w:type="dxa"/>
            <w:noWrap w:val="0"/>
            <w:vAlign w:val="center"/>
          </w:tcPr>
          <w:p w14:paraId="7F18A0CB">
            <w:pPr>
              <w:widowControl/>
              <w:jc w:val="center"/>
              <w:rPr>
                <w:rFonts w:hint="eastAsia" w:ascii="宋体" w:hAnsi="宋体" w:cs="宋体"/>
                <w:bCs/>
                <w:sz w:val="21"/>
                <w:lang w:eastAsia="en-US" w:bidi="ar"/>
              </w:rPr>
            </w:pPr>
            <w:r>
              <w:rPr>
                <w:rFonts w:hint="eastAsia" w:ascii="宋体" w:hAnsi="宋体" w:cs="宋体"/>
                <w:bCs/>
                <w:sz w:val="21"/>
                <w:lang w:bidi="ar"/>
              </w:rPr>
              <w:t>111.869028060</w:t>
            </w:r>
          </w:p>
        </w:tc>
        <w:tc>
          <w:tcPr>
            <w:tcW w:w="1473" w:type="dxa"/>
            <w:noWrap w:val="0"/>
            <w:vAlign w:val="center"/>
          </w:tcPr>
          <w:p w14:paraId="05CE80D2">
            <w:pPr>
              <w:widowControl/>
              <w:jc w:val="center"/>
              <w:rPr>
                <w:rFonts w:hint="eastAsia" w:ascii="宋体" w:hAnsi="宋体" w:cs="宋体"/>
                <w:bCs/>
                <w:sz w:val="21"/>
                <w:lang w:eastAsia="en-US" w:bidi="ar"/>
              </w:rPr>
            </w:pPr>
            <w:r>
              <w:rPr>
                <w:rFonts w:hint="eastAsia" w:ascii="宋体" w:hAnsi="宋体" w:cs="宋体"/>
                <w:bCs/>
                <w:sz w:val="21"/>
                <w:lang w:bidi="ar"/>
              </w:rPr>
              <w:t>29592551284</w:t>
            </w:r>
          </w:p>
        </w:tc>
        <w:tc>
          <w:tcPr>
            <w:tcW w:w="959" w:type="dxa"/>
            <w:noWrap w:val="0"/>
            <w:vAlign w:val="center"/>
          </w:tcPr>
          <w:p w14:paraId="769F5CB0">
            <w:pPr>
              <w:widowControl/>
              <w:jc w:val="center"/>
              <w:rPr>
                <w:rFonts w:hint="eastAsia" w:ascii="宋体" w:hAnsi="宋体" w:cs="宋体"/>
                <w:bCs/>
                <w:sz w:val="21"/>
                <w:lang w:eastAsia="en-US" w:bidi="ar"/>
              </w:rPr>
            </w:pPr>
            <w:r>
              <w:rPr>
                <w:rFonts w:hint="eastAsia" w:ascii="宋体" w:hAnsi="宋体" w:cs="宋体"/>
                <w:bCs/>
                <w:sz w:val="21"/>
                <w:lang w:bidi="ar"/>
              </w:rPr>
              <w:t>5267</w:t>
            </w:r>
          </w:p>
        </w:tc>
        <w:tc>
          <w:tcPr>
            <w:tcW w:w="852" w:type="dxa"/>
            <w:noWrap w:val="0"/>
            <w:vAlign w:val="center"/>
          </w:tcPr>
          <w:p w14:paraId="56C54B99">
            <w:pPr>
              <w:widowControl/>
              <w:jc w:val="center"/>
              <w:rPr>
                <w:rFonts w:hint="eastAsia" w:ascii="宋体" w:hAnsi="宋体" w:cs="宋体"/>
                <w:bCs/>
                <w:sz w:val="21"/>
                <w:lang w:eastAsia="en-US" w:bidi="ar"/>
              </w:rPr>
            </w:pPr>
            <w:r>
              <w:rPr>
                <w:rFonts w:hint="eastAsia" w:ascii="宋体" w:hAnsi="宋体" w:cs="宋体"/>
                <w:bCs/>
                <w:sz w:val="21"/>
                <w:lang w:bidi="ar"/>
              </w:rPr>
              <w:t>0316</w:t>
            </w:r>
          </w:p>
        </w:tc>
        <w:tc>
          <w:tcPr>
            <w:tcW w:w="932" w:type="dxa"/>
            <w:noWrap w:val="0"/>
            <w:vAlign w:val="center"/>
          </w:tcPr>
          <w:p w14:paraId="2EB870E4">
            <w:pPr>
              <w:widowControl/>
              <w:jc w:val="center"/>
              <w:rPr>
                <w:rFonts w:hint="eastAsia" w:ascii="宋体" w:hAnsi="宋体" w:cs="宋体"/>
                <w:bCs/>
                <w:sz w:val="21"/>
                <w:lang w:eastAsia="en-US" w:bidi="ar"/>
              </w:rPr>
            </w:pPr>
            <w:r>
              <w:rPr>
                <w:rFonts w:hint="eastAsia" w:ascii="宋体" w:hAnsi="宋体" w:cs="宋体"/>
                <w:bCs/>
                <w:sz w:val="21"/>
                <w:lang w:bidi="ar"/>
              </w:rPr>
              <w:t>0.032</w:t>
            </w:r>
          </w:p>
        </w:tc>
        <w:tc>
          <w:tcPr>
            <w:tcW w:w="825" w:type="dxa"/>
            <w:noWrap w:val="0"/>
            <w:vAlign w:val="center"/>
          </w:tcPr>
          <w:p w14:paraId="34EDFC56">
            <w:pPr>
              <w:widowControl/>
              <w:jc w:val="center"/>
              <w:rPr>
                <w:rFonts w:hint="eastAsia" w:ascii="宋体" w:hAnsi="宋体" w:cs="宋体"/>
                <w:bCs/>
                <w:sz w:val="21"/>
                <w:lang w:eastAsia="en-US" w:bidi="ar"/>
              </w:rPr>
            </w:pPr>
            <w:r>
              <w:rPr>
                <w:rFonts w:hint="eastAsia" w:ascii="宋体" w:hAnsi="宋体" w:cs="宋体"/>
                <w:bCs/>
                <w:sz w:val="21"/>
                <w:lang w:bidi="ar"/>
              </w:rPr>
              <w:t>0.08</w:t>
            </w:r>
          </w:p>
        </w:tc>
        <w:tc>
          <w:tcPr>
            <w:tcW w:w="716" w:type="dxa"/>
            <w:noWrap w:val="0"/>
            <w:vAlign w:val="center"/>
          </w:tcPr>
          <w:p w14:paraId="3DAAA0F2">
            <w:pPr>
              <w:widowControl/>
              <w:jc w:val="center"/>
              <w:rPr>
                <w:rFonts w:hint="eastAsia" w:ascii="宋体" w:hAnsi="宋体" w:cs="宋体"/>
                <w:bCs/>
                <w:sz w:val="21"/>
                <w:lang w:eastAsia="en-US" w:bidi="ar"/>
              </w:rPr>
            </w:pPr>
            <w:r>
              <w:rPr>
                <w:rFonts w:hint="eastAsia" w:ascii="宋体" w:hAnsi="宋体" w:cs="宋体"/>
                <w:bCs/>
                <w:sz w:val="21"/>
                <w:lang w:bidi="ar"/>
              </w:rPr>
              <w:t>0.08</w:t>
            </w:r>
          </w:p>
        </w:tc>
        <w:tc>
          <w:tcPr>
            <w:tcW w:w="825" w:type="dxa"/>
            <w:noWrap w:val="0"/>
            <w:vAlign w:val="center"/>
          </w:tcPr>
          <w:p w14:paraId="4D7F72A4">
            <w:pPr>
              <w:widowControl/>
              <w:jc w:val="center"/>
              <w:rPr>
                <w:rFonts w:hint="eastAsia" w:ascii="宋体" w:hAnsi="宋体" w:cs="宋体"/>
                <w:bCs/>
                <w:sz w:val="21"/>
                <w:lang w:eastAsia="en-US" w:bidi="ar"/>
              </w:rPr>
            </w:pPr>
            <w:r>
              <w:rPr>
                <w:rFonts w:hint="eastAsia" w:ascii="宋体" w:hAnsi="宋体" w:cs="宋体"/>
                <w:bCs/>
                <w:sz w:val="21"/>
                <w:lang w:bidi="ar"/>
              </w:rPr>
              <w:t>0.02</w:t>
            </w:r>
          </w:p>
        </w:tc>
        <w:tc>
          <w:tcPr>
            <w:tcW w:w="1341" w:type="dxa"/>
            <w:noWrap w:val="0"/>
            <w:vAlign w:val="center"/>
          </w:tcPr>
          <w:p w14:paraId="668BE71A">
            <w:pPr>
              <w:widowControl/>
              <w:jc w:val="center"/>
              <w:rPr>
                <w:rFonts w:hint="eastAsia" w:ascii="宋体" w:hAnsi="宋体" w:cs="宋体"/>
                <w:bCs/>
                <w:sz w:val="21"/>
                <w:lang w:eastAsia="en-US" w:bidi="ar"/>
              </w:rPr>
            </w:pPr>
            <w:r>
              <w:rPr>
                <w:rFonts w:hint="eastAsia" w:ascii="宋体" w:hAnsi="宋体" w:cs="宋体"/>
                <w:bCs/>
                <w:sz w:val="21"/>
                <w:lang w:bidi="ar"/>
              </w:rPr>
              <w:t>/</w:t>
            </w:r>
          </w:p>
        </w:tc>
        <w:tc>
          <w:tcPr>
            <w:tcW w:w="1753" w:type="dxa"/>
            <w:noWrap w:val="0"/>
            <w:vAlign w:val="center"/>
          </w:tcPr>
          <w:p w14:paraId="2F2770D0">
            <w:pPr>
              <w:widowControl/>
              <w:jc w:val="center"/>
              <w:rPr>
                <w:rFonts w:hint="eastAsia" w:ascii="宋体" w:hAnsi="宋体" w:cs="宋体"/>
                <w:bCs/>
                <w:sz w:val="21"/>
                <w:lang w:bidi="ar"/>
              </w:rPr>
            </w:pPr>
            <w:r>
              <w:rPr>
                <w:rFonts w:hint="eastAsia" w:ascii="宋体" w:hAnsi="宋体" w:cs="宋体"/>
                <w:bCs/>
                <w:sz w:val="21"/>
                <w:lang w:bidi="ar"/>
              </w:rPr>
              <w:t>一般固废18.5；危险固废（废机油、乳化液）0.08</w:t>
            </w:r>
          </w:p>
        </w:tc>
        <w:tc>
          <w:tcPr>
            <w:tcW w:w="881" w:type="dxa"/>
            <w:noWrap w:val="0"/>
            <w:vAlign w:val="center"/>
          </w:tcPr>
          <w:p w14:paraId="2C8D166C">
            <w:pPr>
              <w:widowControl/>
              <w:jc w:val="center"/>
              <w:rPr>
                <w:rFonts w:hint="eastAsia" w:ascii="宋体" w:hAnsi="宋体" w:cs="宋体"/>
                <w:bCs/>
                <w:sz w:val="21"/>
                <w:lang w:eastAsia="en-US" w:bidi="ar"/>
              </w:rPr>
            </w:pPr>
            <w:r>
              <w:rPr>
                <w:rFonts w:hint="eastAsia" w:ascii="宋体" w:hAnsi="宋体" w:cs="宋体"/>
                <w:bCs/>
                <w:sz w:val="21"/>
                <w:lang w:bidi="ar"/>
              </w:rPr>
              <w:t>已投产</w:t>
            </w:r>
          </w:p>
        </w:tc>
      </w:tr>
      <w:tr w14:paraId="1C1EF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0" w:hRule="atLeast"/>
        </w:trPr>
        <w:tc>
          <w:tcPr>
            <w:tcW w:w="519" w:type="dxa"/>
            <w:noWrap w:val="0"/>
            <w:vAlign w:val="center"/>
          </w:tcPr>
          <w:p w14:paraId="4DCD17A8">
            <w:pPr>
              <w:widowControl/>
              <w:jc w:val="center"/>
              <w:rPr>
                <w:rFonts w:hint="eastAsia" w:ascii="宋体" w:hAnsi="宋体" w:cs="宋体"/>
                <w:bCs/>
                <w:sz w:val="21"/>
                <w:lang w:bidi="ar"/>
              </w:rPr>
            </w:pPr>
            <w:r>
              <w:rPr>
                <w:rFonts w:hint="eastAsia" w:ascii="宋体" w:hAnsi="宋体" w:cs="宋体"/>
                <w:bCs/>
                <w:sz w:val="21"/>
                <w:lang w:bidi="ar"/>
              </w:rPr>
              <w:t>19</w:t>
            </w:r>
          </w:p>
        </w:tc>
        <w:tc>
          <w:tcPr>
            <w:tcW w:w="1731" w:type="dxa"/>
            <w:noWrap w:val="0"/>
            <w:vAlign w:val="center"/>
          </w:tcPr>
          <w:p w14:paraId="2D20ECB6">
            <w:pPr>
              <w:widowControl/>
              <w:jc w:val="center"/>
              <w:rPr>
                <w:rFonts w:hint="eastAsia" w:ascii="宋体" w:hAnsi="宋体" w:cs="宋体"/>
                <w:bCs/>
                <w:sz w:val="21"/>
                <w:lang w:eastAsia="en-US" w:bidi="ar"/>
              </w:rPr>
            </w:pPr>
            <w:r>
              <w:rPr>
                <w:rFonts w:hint="eastAsia" w:ascii="宋体" w:hAnsi="宋体" w:cs="宋体"/>
                <w:bCs/>
                <w:sz w:val="21"/>
                <w:lang w:bidi="ar"/>
              </w:rPr>
              <w:t>邦乐寄车</w:t>
            </w:r>
          </w:p>
        </w:tc>
        <w:tc>
          <w:tcPr>
            <w:tcW w:w="1514" w:type="dxa"/>
            <w:noWrap w:val="0"/>
            <w:vAlign w:val="center"/>
          </w:tcPr>
          <w:p w14:paraId="7DCBDF79">
            <w:pPr>
              <w:widowControl/>
              <w:jc w:val="center"/>
              <w:rPr>
                <w:rFonts w:hint="eastAsia" w:ascii="宋体" w:hAnsi="宋体" w:cs="宋体"/>
                <w:bCs/>
                <w:sz w:val="21"/>
                <w:lang w:eastAsia="en-US" w:bidi="ar"/>
              </w:rPr>
            </w:pPr>
            <w:r>
              <w:rPr>
                <w:rFonts w:hint="eastAsia" w:ascii="宋体" w:hAnsi="宋体" w:cs="宋体"/>
                <w:bCs/>
                <w:sz w:val="21"/>
                <w:lang w:bidi="ar"/>
              </w:rPr>
              <w:t>111.081859762</w:t>
            </w:r>
          </w:p>
        </w:tc>
        <w:tc>
          <w:tcPr>
            <w:tcW w:w="1473" w:type="dxa"/>
            <w:noWrap w:val="0"/>
            <w:vAlign w:val="center"/>
          </w:tcPr>
          <w:p w14:paraId="44A1A4C7">
            <w:pPr>
              <w:widowControl/>
              <w:jc w:val="center"/>
              <w:rPr>
                <w:rFonts w:hint="eastAsia" w:ascii="宋体" w:hAnsi="宋体" w:cs="宋体"/>
                <w:bCs/>
                <w:sz w:val="21"/>
                <w:lang w:eastAsia="en-US" w:bidi="ar"/>
              </w:rPr>
            </w:pPr>
            <w:r>
              <w:rPr>
                <w:rFonts w:hint="eastAsia" w:ascii="宋体" w:hAnsi="宋体" w:cs="宋体"/>
                <w:bCs/>
                <w:sz w:val="21"/>
                <w:lang w:bidi="ar"/>
              </w:rPr>
              <w:t>27.199590123</w:t>
            </w:r>
          </w:p>
        </w:tc>
        <w:tc>
          <w:tcPr>
            <w:tcW w:w="959" w:type="dxa"/>
            <w:noWrap w:val="0"/>
            <w:vAlign w:val="center"/>
          </w:tcPr>
          <w:p w14:paraId="21C37FD1">
            <w:pPr>
              <w:widowControl/>
              <w:jc w:val="center"/>
              <w:rPr>
                <w:rFonts w:hint="eastAsia" w:ascii="宋体" w:hAnsi="宋体" w:cs="宋体"/>
                <w:bCs/>
                <w:sz w:val="21"/>
                <w:lang w:eastAsia="en-US" w:bidi="ar"/>
              </w:rPr>
            </w:pPr>
            <w:r>
              <w:rPr>
                <w:rFonts w:hint="eastAsia" w:ascii="宋体" w:hAnsi="宋体" w:cs="宋体"/>
                <w:bCs/>
                <w:sz w:val="21"/>
                <w:lang w:bidi="ar"/>
              </w:rPr>
              <w:t>8300</w:t>
            </w:r>
          </w:p>
        </w:tc>
        <w:tc>
          <w:tcPr>
            <w:tcW w:w="852" w:type="dxa"/>
            <w:noWrap w:val="0"/>
            <w:vAlign w:val="center"/>
          </w:tcPr>
          <w:p w14:paraId="31267C94">
            <w:pPr>
              <w:widowControl/>
              <w:jc w:val="center"/>
              <w:rPr>
                <w:rFonts w:hint="eastAsia" w:ascii="宋体" w:hAnsi="宋体" w:cs="宋体"/>
                <w:bCs/>
                <w:sz w:val="21"/>
                <w:lang w:bidi="ar"/>
              </w:rPr>
            </w:pPr>
            <w:r>
              <w:rPr>
                <w:rFonts w:hint="eastAsia" w:ascii="宋体" w:hAnsi="宋体" w:cs="宋体"/>
                <w:bCs/>
                <w:sz w:val="21"/>
                <w:lang w:bidi="ar"/>
              </w:rPr>
              <w:t>0.49</w:t>
            </w:r>
          </w:p>
        </w:tc>
        <w:tc>
          <w:tcPr>
            <w:tcW w:w="932" w:type="dxa"/>
            <w:noWrap w:val="0"/>
            <w:vAlign w:val="center"/>
          </w:tcPr>
          <w:p w14:paraId="50489FFE">
            <w:pPr>
              <w:widowControl/>
              <w:jc w:val="center"/>
              <w:rPr>
                <w:rFonts w:hint="eastAsia" w:ascii="宋体" w:hAnsi="宋体" w:cs="宋体"/>
                <w:bCs/>
                <w:sz w:val="21"/>
                <w:lang w:eastAsia="en-US" w:bidi="ar"/>
              </w:rPr>
            </w:pPr>
            <w:r>
              <w:rPr>
                <w:rFonts w:hint="eastAsia" w:ascii="宋体" w:hAnsi="宋体" w:cs="宋体"/>
                <w:bCs/>
                <w:sz w:val="21"/>
                <w:lang w:bidi="ar"/>
              </w:rPr>
              <w:t>012</w:t>
            </w:r>
          </w:p>
        </w:tc>
        <w:tc>
          <w:tcPr>
            <w:tcW w:w="825" w:type="dxa"/>
            <w:noWrap w:val="0"/>
            <w:vAlign w:val="center"/>
          </w:tcPr>
          <w:p w14:paraId="6FC7E916">
            <w:pPr>
              <w:widowControl/>
              <w:jc w:val="center"/>
              <w:rPr>
                <w:rFonts w:hint="eastAsia" w:ascii="宋体" w:hAnsi="宋体" w:cs="宋体"/>
                <w:bCs/>
                <w:sz w:val="21"/>
                <w:lang w:bidi="ar"/>
              </w:rPr>
            </w:pPr>
            <w:r>
              <w:rPr>
                <w:rFonts w:hint="eastAsia" w:ascii="宋体" w:hAnsi="宋体" w:cs="宋体"/>
                <w:bCs/>
                <w:sz w:val="21"/>
                <w:lang w:bidi="ar"/>
              </w:rPr>
              <w:t>0</w:t>
            </w:r>
          </w:p>
        </w:tc>
        <w:tc>
          <w:tcPr>
            <w:tcW w:w="716" w:type="dxa"/>
            <w:noWrap w:val="0"/>
            <w:vAlign w:val="center"/>
          </w:tcPr>
          <w:p w14:paraId="4FBCE752">
            <w:pPr>
              <w:widowControl/>
              <w:jc w:val="center"/>
              <w:rPr>
                <w:rFonts w:hint="eastAsia" w:ascii="宋体" w:hAnsi="宋体" w:cs="宋体"/>
                <w:bCs/>
                <w:sz w:val="21"/>
                <w:lang w:bidi="ar"/>
              </w:rPr>
            </w:pPr>
            <w:r>
              <w:rPr>
                <w:rFonts w:hint="eastAsia" w:ascii="宋体" w:hAnsi="宋体" w:cs="宋体"/>
                <w:bCs/>
                <w:sz w:val="21"/>
                <w:lang w:bidi="ar"/>
              </w:rPr>
              <w:t>0</w:t>
            </w:r>
          </w:p>
        </w:tc>
        <w:tc>
          <w:tcPr>
            <w:tcW w:w="825" w:type="dxa"/>
            <w:noWrap w:val="0"/>
            <w:vAlign w:val="center"/>
          </w:tcPr>
          <w:p w14:paraId="3283010D">
            <w:pPr>
              <w:widowControl/>
              <w:jc w:val="center"/>
              <w:rPr>
                <w:rFonts w:hint="eastAsia" w:ascii="宋体" w:hAnsi="宋体" w:cs="宋体"/>
                <w:bCs/>
                <w:sz w:val="21"/>
                <w:lang w:bidi="ar"/>
              </w:rPr>
            </w:pPr>
            <w:r>
              <w:rPr>
                <w:rFonts w:hint="eastAsia" w:ascii="宋体" w:hAnsi="宋体" w:cs="宋体"/>
                <w:bCs/>
                <w:sz w:val="21"/>
                <w:lang w:bidi="ar"/>
              </w:rPr>
              <w:t>0</w:t>
            </w:r>
          </w:p>
        </w:tc>
        <w:tc>
          <w:tcPr>
            <w:tcW w:w="1341" w:type="dxa"/>
            <w:noWrap w:val="0"/>
            <w:vAlign w:val="center"/>
          </w:tcPr>
          <w:p w14:paraId="6BB91FBF">
            <w:pPr>
              <w:widowControl/>
              <w:jc w:val="center"/>
              <w:rPr>
                <w:rFonts w:hint="eastAsia" w:ascii="宋体" w:hAnsi="宋体" w:cs="宋体"/>
                <w:bCs/>
                <w:sz w:val="21"/>
                <w:lang w:bidi="ar"/>
              </w:rPr>
            </w:pPr>
            <w:r>
              <w:rPr>
                <w:rFonts w:hint="eastAsia" w:ascii="宋体" w:hAnsi="宋体" w:cs="宋体"/>
                <w:bCs/>
                <w:sz w:val="21"/>
                <w:lang w:bidi="ar"/>
              </w:rPr>
              <w:t>VOCs：0.41</w:t>
            </w:r>
          </w:p>
        </w:tc>
        <w:tc>
          <w:tcPr>
            <w:tcW w:w="1753" w:type="dxa"/>
            <w:noWrap w:val="0"/>
            <w:vAlign w:val="center"/>
          </w:tcPr>
          <w:p w14:paraId="317A1B81">
            <w:pPr>
              <w:widowControl/>
              <w:jc w:val="center"/>
              <w:rPr>
                <w:rFonts w:hint="eastAsia" w:ascii="宋体" w:hAnsi="宋体" w:cs="宋体"/>
                <w:bCs/>
                <w:sz w:val="21"/>
                <w:lang w:bidi="ar"/>
              </w:rPr>
            </w:pPr>
            <w:r>
              <w:rPr>
                <w:rFonts w:hint="eastAsia" w:ascii="宋体" w:hAnsi="宋体" w:cs="宋体"/>
                <w:bCs/>
                <w:sz w:val="21"/>
                <w:lang w:bidi="ar"/>
              </w:rPr>
              <w:t>一般固废7.5；危险固废（废机油、乳化液）0.06</w:t>
            </w:r>
          </w:p>
        </w:tc>
        <w:tc>
          <w:tcPr>
            <w:tcW w:w="881" w:type="dxa"/>
            <w:noWrap w:val="0"/>
            <w:vAlign w:val="center"/>
          </w:tcPr>
          <w:p w14:paraId="646CC70D">
            <w:pPr>
              <w:widowControl/>
              <w:jc w:val="center"/>
              <w:rPr>
                <w:rFonts w:hint="eastAsia" w:ascii="宋体" w:hAnsi="宋体" w:cs="宋体"/>
                <w:bCs/>
                <w:sz w:val="21"/>
                <w:lang w:eastAsia="en-US" w:bidi="ar"/>
              </w:rPr>
            </w:pPr>
            <w:r>
              <w:rPr>
                <w:rFonts w:hint="eastAsia" w:ascii="宋体" w:hAnsi="宋体" w:cs="宋体"/>
                <w:bCs/>
                <w:sz w:val="21"/>
                <w:lang w:bidi="ar"/>
              </w:rPr>
              <w:t>已投产</w:t>
            </w:r>
          </w:p>
        </w:tc>
      </w:tr>
      <w:tr w14:paraId="27590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9" w:type="dxa"/>
            <w:noWrap w:val="0"/>
            <w:vAlign w:val="center"/>
          </w:tcPr>
          <w:p w14:paraId="284DF08F">
            <w:pPr>
              <w:widowControl/>
              <w:jc w:val="center"/>
              <w:rPr>
                <w:rFonts w:hint="eastAsia" w:ascii="宋体" w:hAnsi="宋体" w:cs="宋体"/>
                <w:bCs/>
                <w:sz w:val="21"/>
                <w:lang w:eastAsia="en-US" w:bidi="ar"/>
              </w:rPr>
            </w:pPr>
            <w:r>
              <w:rPr>
                <w:rFonts w:hint="eastAsia" w:ascii="宋体" w:hAnsi="宋体" w:cs="宋体"/>
                <w:bCs/>
                <w:sz w:val="21"/>
                <w:lang w:bidi="ar"/>
              </w:rPr>
              <w:t>20</w:t>
            </w:r>
          </w:p>
        </w:tc>
        <w:tc>
          <w:tcPr>
            <w:tcW w:w="1731" w:type="dxa"/>
            <w:noWrap w:val="0"/>
            <w:vAlign w:val="center"/>
          </w:tcPr>
          <w:p w14:paraId="4948521C">
            <w:pPr>
              <w:widowControl/>
              <w:jc w:val="center"/>
              <w:rPr>
                <w:rFonts w:hint="eastAsia" w:ascii="宋体" w:hAnsi="宋体" w:cs="宋体"/>
                <w:bCs/>
                <w:sz w:val="21"/>
                <w:lang w:bidi="ar"/>
              </w:rPr>
            </w:pPr>
            <w:r>
              <w:rPr>
                <w:rFonts w:hint="eastAsia" w:ascii="宋体" w:hAnsi="宋体" w:cs="宋体"/>
                <w:bCs/>
                <w:sz w:val="21"/>
                <w:lang w:bidi="ar"/>
              </w:rPr>
              <w:t>湖南恒博尔热风机制造有限公司</w:t>
            </w:r>
          </w:p>
        </w:tc>
        <w:tc>
          <w:tcPr>
            <w:tcW w:w="1514" w:type="dxa"/>
            <w:noWrap w:val="0"/>
            <w:vAlign w:val="center"/>
          </w:tcPr>
          <w:p w14:paraId="69EA1248">
            <w:pPr>
              <w:widowControl/>
              <w:jc w:val="center"/>
              <w:rPr>
                <w:rFonts w:hint="eastAsia" w:ascii="宋体" w:hAnsi="宋体" w:cs="宋体"/>
                <w:bCs/>
                <w:sz w:val="21"/>
                <w:lang w:eastAsia="en-US" w:bidi="ar"/>
              </w:rPr>
            </w:pPr>
            <w:r>
              <w:rPr>
                <w:rFonts w:hint="eastAsia" w:ascii="宋体" w:hAnsi="宋体" w:cs="宋体"/>
                <w:bCs/>
                <w:sz w:val="21"/>
                <w:lang w:bidi="ar"/>
              </w:rPr>
              <w:t>111.845172868</w:t>
            </w:r>
          </w:p>
        </w:tc>
        <w:tc>
          <w:tcPr>
            <w:tcW w:w="1473" w:type="dxa"/>
            <w:noWrap w:val="0"/>
            <w:vAlign w:val="center"/>
          </w:tcPr>
          <w:p w14:paraId="19EB4493">
            <w:pPr>
              <w:widowControl/>
              <w:jc w:val="center"/>
              <w:rPr>
                <w:rFonts w:hint="eastAsia" w:ascii="宋体" w:hAnsi="宋体" w:cs="宋体"/>
                <w:bCs/>
                <w:sz w:val="21"/>
                <w:lang w:eastAsia="en-US" w:bidi="ar"/>
              </w:rPr>
            </w:pPr>
            <w:r>
              <w:rPr>
                <w:rFonts w:hint="eastAsia" w:ascii="宋体" w:hAnsi="宋体" w:cs="宋体"/>
                <w:bCs/>
                <w:sz w:val="21"/>
                <w:lang w:bidi="ar"/>
              </w:rPr>
              <w:t>29.574429097</w:t>
            </w:r>
          </w:p>
        </w:tc>
        <w:tc>
          <w:tcPr>
            <w:tcW w:w="959" w:type="dxa"/>
            <w:noWrap w:val="0"/>
            <w:vAlign w:val="center"/>
          </w:tcPr>
          <w:p w14:paraId="71FA812A">
            <w:pPr>
              <w:widowControl/>
              <w:jc w:val="center"/>
              <w:rPr>
                <w:rFonts w:hint="eastAsia" w:ascii="宋体" w:hAnsi="宋体" w:cs="宋体"/>
                <w:bCs/>
                <w:sz w:val="21"/>
                <w:lang w:eastAsia="en-US" w:bidi="ar"/>
              </w:rPr>
            </w:pPr>
            <w:r>
              <w:rPr>
                <w:rFonts w:hint="eastAsia" w:ascii="宋体" w:hAnsi="宋体" w:cs="宋体"/>
                <w:bCs/>
                <w:sz w:val="21"/>
                <w:lang w:bidi="ar"/>
              </w:rPr>
              <w:t>2441</w:t>
            </w:r>
          </w:p>
        </w:tc>
        <w:tc>
          <w:tcPr>
            <w:tcW w:w="852" w:type="dxa"/>
            <w:noWrap w:val="0"/>
            <w:vAlign w:val="center"/>
          </w:tcPr>
          <w:p w14:paraId="12CCECF0">
            <w:pPr>
              <w:widowControl/>
              <w:jc w:val="center"/>
              <w:rPr>
                <w:rFonts w:hint="eastAsia" w:ascii="宋体" w:hAnsi="宋体" w:cs="宋体"/>
                <w:bCs/>
                <w:sz w:val="21"/>
                <w:lang w:eastAsia="en-US" w:bidi="ar"/>
              </w:rPr>
            </w:pPr>
            <w:r>
              <w:rPr>
                <w:rFonts w:hint="eastAsia" w:ascii="宋体" w:hAnsi="宋体" w:cs="宋体"/>
                <w:bCs/>
                <w:sz w:val="21"/>
                <w:lang w:bidi="ar"/>
              </w:rPr>
              <w:t>0.154</w:t>
            </w:r>
          </w:p>
        </w:tc>
        <w:tc>
          <w:tcPr>
            <w:tcW w:w="932" w:type="dxa"/>
            <w:noWrap w:val="0"/>
            <w:vAlign w:val="center"/>
          </w:tcPr>
          <w:p w14:paraId="1CCAF522">
            <w:pPr>
              <w:widowControl/>
              <w:jc w:val="center"/>
              <w:rPr>
                <w:rFonts w:hint="eastAsia" w:ascii="宋体" w:hAnsi="宋体" w:cs="宋体"/>
                <w:bCs/>
                <w:sz w:val="21"/>
                <w:lang w:eastAsia="en-US" w:bidi="ar"/>
              </w:rPr>
            </w:pPr>
            <w:r>
              <w:rPr>
                <w:rFonts w:hint="eastAsia" w:ascii="宋体" w:hAnsi="宋体" w:cs="宋体"/>
                <w:bCs/>
                <w:sz w:val="21"/>
                <w:lang w:bidi="ar"/>
              </w:rPr>
              <w:t>0.038</w:t>
            </w:r>
          </w:p>
        </w:tc>
        <w:tc>
          <w:tcPr>
            <w:tcW w:w="825" w:type="dxa"/>
            <w:noWrap w:val="0"/>
            <w:vAlign w:val="center"/>
          </w:tcPr>
          <w:p w14:paraId="36752981">
            <w:pPr>
              <w:widowControl/>
              <w:jc w:val="center"/>
              <w:rPr>
                <w:rFonts w:hint="eastAsia" w:ascii="宋体" w:hAnsi="宋体" w:cs="宋体"/>
                <w:bCs/>
                <w:sz w:val="21"/>
                <w:lang w:eastAsia="en-US" w:bidi="ar"/>
              </w:rPr>
            </w:pPr>
            <w:r>
              <w:rPr>
                <w:rFonts w:hint="eastAsia" w:ascii="宋体" w:hAnsi="宋体" w:cs="宋体"/>
                <w:bCs/>
                <w:sz w:val="21"/>
                <w:lang w:bidi="ar"/>
              </w:rPr>
              <w:t>0</w:t>
            </w:r>
          </w:p>
        </w:tc>
        <w:tc>
          <w:tcPr>
            <w:tcW w:w="716" w:type="dxa"/>
            <w:noWrap w:val="0"/>
            <w:vAlign w:val="center"/>
          </w:tcPr>
          <w:p w14:paraId="58B67EE8">
            <w:pPr>
              <w:widowControl/>
              <w:jc w:val="center"/>
              <w:rPr>
                <w:rFonts w:hint="eastAsia" w:ascii="宋体" w:hAnsi="宋体" w:cs="宋体"/>
                <w:bCs/>
                <w:sz w:val="21"/>
                <w:lang w:bidi="ar"/>
              </w:rPr>
            </w:pPr>
            <w:r>
              <w:rPr>
                <w:rFonts w:hint="eastAsia" w:ascii="宋体" w:hAnsi="宋体" w:cs="宋体"/>
                <w:bCs/>
                <w:sz w:val="21"/>
                <w:lang w:bidi="ar"/>
              </w:rPr>
              <w:t>0</w:t>
            </w:r>
          </w:p>
        </w:tc>
        <w:tc>
          <w:tcPr>
            <w:tcW w:w="825" w:type="dxa"/>
            <w:noWrap w:val="0"/>
            <w:vAlign w:val="center"/>
          </w:tcPr>
          <w:p w14:paraId="32CF5A9E">
            <w:pPr>
              <w:widowControl/>
              <w:jc w:val="center"/>
              <w:rPr>
                <w:rFonts w:hint="eastAsia" w:ascii="宋体" w:hAnsi="宋体" w:cs="宋体"/>
                <w:bCs/>
                <w:sz w:val="21"/>
                <w:lang w:eastAsia="en-US" w:bidi="ar"/>
              </w:rPr>
            </w:pPr>
            <w:r>
              <w:rPr>
                <w:rFonts w:hint="eastAsia" w:ascii="宋体" w:hAnsi="宋体" w:cs="宋体"/>
                <w:bCs/>
                <w:sz w:val="21"/>
                <w:lang w:bidi="ar"/>
              </w:rPr>
              <w:t>0.031</w:t>
            </w:r>
          </w:p>
        </w:tc>
        <w:tc>
          <w:tcPr>
            <w:tcW w:w="1341" w:type="dxa"/>
            <w:noWrap w:val="0"/>
            <w:vAlign w:val="center"/>
          </w:tcPr>
          <w:p w14:paraId="50B48192">
            <w:pPr>
              <w:widowControl/>
              <w:jc w:val="center"/>
              <w:rPr>
                <w:rFonts w:hint="eastAsia" w:ascii="宋体" w:hAnsi="宋体" w:cs="宋体"/>
                <w:bCs/>
                <w:sz w:val="21"/>
                <w:lang w:bidi="ar"/>
              </w:rPr>
            </w:pPr>
            <w:r>
              <w:rPr>
                <w:rFonts w:hint="eastAsia" w:ascii="宋体" w:hAnsi="宋体" w:cs="宋体"/>
                <w:bCs/>
                <w:sz w:val="21"/>
                <w:lang w:bidi="ar"/>
              </w:rPr>
              <w:t>VOCs：0.021，</w:t>
            </w:r>
          </w:p>
          <w:p w14:paraId="0105FE96">
            <w:pPr>
              <w:widowControl/>
              <w:jc w:val="center"/>
              <w:rPr>
                <w:rFonts w:hint="eastAsia" w:ascii="宋体" w:hAnsi="宋体" w:cs="宋体"/>
                <w:bCs/>
                <w:sz w:val="21"/>
                <w:lang w:eastAsia="en-US" w:bidi="ar"/>
              </w:rPr>
            </w:pPr>
            <w:r>
              <w:rPr>
                <w:rFonts w:hint="eastAsia" w:ascii="宋体" w:hAnsi="宋体" w:cs="宋体"/>
                <w:bCs/>
                <w:sz w:val="21"/>
                <w:lang w:bidi="ar"/>
              </w:rPr>
              <w:t>HCl：0.04</w:t>
            </w:r>
          </w:p>
        </w:tc>
        <w:tc>
          <w:tcPr>
            <w:tcW w:w="1753" w:type="dxa"/>
            <w:noWrap w:val="0"/>
            <w:vAlign w:val="center"/>
          </w:tcPr>
          <w:p w14:paraId="54719491">
            <w:pPr>
              <w:widowControl/>
              <w:jc w:val="center"/>
              <w:rPr>
                <w:rFonts w:hint="eastAsia" w:ascii="宋体" w:hAnsi="宋体" w:cs="宋体"/>
                <w:bCs/>
                <w:sz w:val="21"/>
                <w:lang w:bidi="ar"/>
              </w:rPr>
            </w:pPr>
            <w:r>
              <w:rPr>
                <w:rFonts w:hint="eastAsia" w:ascii="宋体" w:hAnsi="宋体" w:cs="宋体"/>
                <w:bCs/>
                <w:sz w:val="21"/>
                <w:lang w:bidi="ar"/>
              </w:rPr>
              <w:t>一般固废6.9；危险固废（废机油、废活性炭、槽液）6.593</w:t>
            </w:r>
          </w:p>
        </w:tc>
        <w:tc>
          <w:tcPr>
            <w:tcW w:w="881" w:type="dxa"/>
            <w:noWrap w:val="0"/>
            <w:vAlign w:val="center"/>
          </w:tcPr>
          <w:p w14:paraId="4D8D833B">
            <w:pPr>
              <w:widowControl/>
              <w:jc w:val="center"/>
              <w:rPr>
                <w:rFonts w:hint="eastAsia" w:ascii="宋体" w:hAnsi="宋体" w:cs="宋体"/>
                <w:bCs/>
                <w:sz w:val="21"/>
                <w:lang w:eastAsia="en-US" w:bidi="ar"/>
              </w:rPr>
            </w:pPr>
            <w:r>
              <w:rPr>
                <w:rFonts w:hint="eastAsia" w:ascii="宋体" w:hAnsi="宋体" w:cs="宋体"/>
                <w:bCs/>
                <w:sz w:val="21"/>
                <w:lang w:bidi="ar"/>
              </w:rPr>
              <w:t>已投产</w:t>
            </w:r>
          </w:p>
        </w:tc>
      </w:tr>
      <w:tr w14:paraId="59628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9" w:type="dxa"/>
            <w:noWrap w:val="0"/>
            <w:vAlign w:val="center"/>
          </w:tcPr>
          <w:p w14:paraId="5CE70580">
            <w:pPr>
              <w:widowControl/>
              <w:jc w:val="center"/>
              <w:rPr>
                <w:rFonts w:hint="eastAsia" w:ascii="宋体" w:hAnsi="宋体" w:cs="宋体"/>
                <w:bCs/>
                <w:sz w:val="21"/>
                <w:lang w:eastAsia="en-US" w:bidi="ar"/>
              </w:rPr>
            </w:pPr>
            <w:r>
              <w:rPr>
                <w:rFonts w:hint="eastAsia" w:ascii="宋体" w:hAnsi="宋体" w:cs="宋体"/>
                <w:bCs/>
                <w:sz w:val="21"/>
                <w:lang w:bidi="ar"/>
              </w:rPr>
              <w:t>21</w:t>
            </w:r>
          </w:p>
        </w:tc>
        <w:tc>
          <w:tcPr>
            <w:tcW w:w="1731" w:type="dxa"/>
            <w:noWrap w:val="0"/>
            <w:vAlign w:val="center"/>
          </w:tcPr>
          <w:p w14:paraId="6787D88A">
            <w:pPr>
              <w:widowControl/>
              <w:jc w:val="center"/>
              <w:rPr>
                <w:rFonts w:hint="eastAsia" w:ascii="宋体" w:hAnsi="宋体" w:cs="宋体"/>
                <w:bCs/>
                <w:sz w:val="21"/>
                <w:lang w:bidi="ar"/>
              </w:rPr>
            </w:pPr>
            <w:r>
              <w:rPr>
                <w:rFonts w:hint="eastAsia" w:ascii="宋体" w:hAnsi="宋体" w:cs="宋体"/>
                <w:bCs/>
                <w:sz w:val="21"/>
                <w:lang w:bidi="ar"/>
              </w:rPr>
              <w:t>湖南钰兴科技设备有限公司</w:t>
            </w:r>
          </w:p>
        </w:tc>
        <w:tc>
          <w:tcPr>
            <w:tcW w:w="1514" w:type="dxa"/>
            <w:noWrap w:val="0"/>
            <w:vAlign w:val="center"/>
          </w:tcPr>
          <w:p w14:paraId="4A90011F">
            <w:pPr>
              <w:widowControl/>
              <w:jc w:val="center"/>
              <w:rPr>
                <w:rFonts w:hint="eastAsia" w:ascii="宋体" w:hAnsi="宋体" w:cs="宋体"/>
                <w:bCs/>
                <w:sz w:val="21"/>
                <w:lang w:eastAsia="en-US" w:bidi="ar"/>
              </w:rPr>
            </w:pPr>
            <w:r>
              <w:rPr>
                <w:rFonts w:hint="eastAsia" w:ascii="宋体" w:hAnsi="宋体" w:cs="宋体"/>
                <w:bCs/>
                <w:sz w:val="21"/>
                <w:lang w:bidi="ar"/>
              </w:rPr>
              <w:t>111.081859753</w:t>
            </w:r>
          </w:p>
        </w:tc>
        <w:tc>
          <w:tcPr>
            <w:tcW w:w="1473" w:type="dxa"/>
            <w:noWrap w:val="0"/>
            <w:vAlign w:val="center"/>
          </w:tcPr>
          <w:p w14:paraId="1A8EBAD5">
            <w:pPr>
              <w:widowControl/>
              <w:jc w:val="center"/>
              <w:rPr>
                <w:rFonts w:hint="eastAsia" w:ascii="宋体" w:hAnsi="宋体" w:cs="宋体"/>
                <w:bCs/>
                <w:sz w:val="21"/>
                <w:lang w:eastAsia="en-US" w:bidi="ar"/>
              </w:rPr>
            </w:pPr>
            <w:r>
              <w:rPr>
                <w:rFonts w:hint="eastAsia" w:ascii="宋体" w:hAnsi="宋体" w:cs="宋体"/>
                <w:bCs/>
                <w:sz w:val="21"/>
                <w:lang w:bidi="ar"/>
              </w:rPr>
              <w:t>27.199590151</w:t>
            </w:r>
          </w:p>
        </w:tc>
        <w:tc>
          <w:tcPr>
            <w:tcW w:w="959" w:type="dxa"/>
            <w:noWrap w:val="0"/>
            <w:vAlign w:val="center"/>
          </w:tcPr>
          <w:p w14:paraId="0A7AC665">
            <w:pPr>
              <w:widowControl/>
              <w:jc w:val="center"/>
              <w:rPr>
                <w:rFonts w:hint="eastAsia" w:ascii="宋体" w:hAnsi="宋体" w:cs="宋体"/>
                <w:bCs/>
                <w:sz w:val="21"/>
                <w:lang w:eastAsia="en-US" w:bidi="ar"/>
              </w:rPr>
            </w:pPr>
            <w:r>
              <w:rPr>
                <w:rFonts w:hint="eastAsia" w:ascii="宋体" w:hAnsi="宋体" w:cs="宋体"/>
                <w:bCs/>
                <w:sz w:val="21"/>
                <w:lang w:bidi="ar"/>
              </w:rPr>
              <w:t>1536</w:t>
            </w:r>
          </w:p>
        </w:tc>
        <w:tc>
          <w:tcPr>
            <w:tcW w:w="852" w:type="dxa"/>
            <w:noWrap w:val="0"/>
            <w:vAlign w:val="center"/>
          </w:tcPr>
          <w:p w14:paraId="07B5B869">
            <w:pPr>
              <w:widowControl/>
              <w:jc w:val="center"/>
              <w:rPr>
                <w:rFonts w:hint="eastAsia" w:ascii="宋体" w:hAnsi="宋体" w:cs="宋体"/>
                <w:bCs/>
                <w:sz w:val="21"/>
                <w:lang w:eastAsia="en-US" w:bidi="ar"/>
              </w:rPr>
            </w:pPr>
            <w:r>
              <w:rPr>
                <w:rFonts w:hint="eastAsia" w:ascii="宋体" w:hAnsi="宋体" w:cs="宋体"/>
                <w:bCs/>
                <w:sz w:val="21"/>
                <w:lang w:bidi="ar"/>
              </w:rPr>
              <w:t>0.092</w:t>
            </w:r>
          </w:p>
        </w:tc>
        <w:tc>
          <w:tcPr>
            <w:tcW w:w="932" w:type="dxa"/>
            <w:noWrap w:val="0"/>
            <w:vAlign w:val="center"/>
          </w:tcPr>
          <w:p w14:paraId="2EF03C3D">
            <w:pPr>
              <w:widowControl/>
              <w:jc w:val="center"/>
              <w:rPr>
                <w:rFonts w:hint="eastAsia" w:ascii="宋体" w:hAnsi="宋体" w:cs="宋体"/>
                <w:bCs/>
                <w:sz w:val="21"/>
                <w:lang w:eastAsia="en-US" w:bidi="ar"/>
              </w:rPr>
            </w:pPr>
            <w:r>
              <w:rPr>
                <w:rFonts w:hint="eastAsia" w:ascii="宋体" w:hAnsi="宋体" w:cs="宋体"/>
                <w:bCs/>
                <w:sz w:val="21"/>
                <w:lang w:bidi="ar"/>
              </w:rPr>
              <w:t>0.023</w:t>
            </w:r>
          </w:p>
        </w:tc>
        <w:tc>
          <w:tcPr>
            <w:tcW w:w="825" w:type="dxa"/>
            <w:noWrap w:val="0"/>
            <w:vAlign w:val="center"/>
          </w:tcPr>
          <w:p w14:paraId="48D24F23">
            <w:pPr>
              <w:widowControl/>
              <w:jc w:val="center"/>
              <w:rPr>
                <w:rFonts w:hint="eastAsia" w:ascii="宋体" w:hAnsi="宋体" w:cs="宋体"/>
                <w:bCs/>
                <w:sz w:val="21"/>
                <w:lang w:eastAsia="en-US" w:bidi="ar"/>
              </w:rPr>
            </w:pPr>
            <w:r>
              <w:rPr>
                <w:rFonts w:hint="eastAsia" w:ascii="宋体" w:hAnsi="宋体" w:cs="宋体"/>
                <w:bCs/>
                <w:sz w:val="21"/>
                <w:lang w:bidi="ar"/>
              </w:rPr>
              <w:t>0</w:t>
            </w:r>
          </w:p>
        </w:tc>
        <w:tc>
          <w:tcPr>
            <w:tcW w:w="716" w:type="dxa"/>
            <w:noWrap w:val="0"/>
            <w:vAlign w:val="center"/>
          </w:tcPr>
          <w:p w14:paraId="6E87EE5D">
            <w:pPr>
              <w:widowControl/>
              <w:jc w:val="center"/>
              <w:rPr>
                <w:rFonts w:hint="eastAsia" w:ascii="宋体" w:hAnsi="宋体" w:cs="宋体"/>
                <w:bCs/>
                <w:sz w:val="21"/>
                <w:lang w:bidi="ar"/>
              </w:rPr>
            </w:pPr>
            <w:r>
              <w:rPr>
                <w:rFonts w:hint="eastAsia" w:ascii="宋体" w:hAnsi="宋体" w:cs="宋体"/>
                <w:bCs/>
                <w:sz w:val="21"/>
                <w:lang w:bidi="ar"/>
              </w:rPr>
              <w:t>0</w:t>
            </w:r>
          </w:p>
        </w:tc>
        <w:tc>
          <w:tcPr>
            <w:tcW w:w="825" w:type="dxa"/>
            <w:noWrap w:val="0"/>
            <w:vAlign w:val="center"/>
          </w:tcPr>
          <w:p w14:paraId="73E84604">
            <w:pPr>
              <w:widowControl/>
              <w:jc w:val="center"/>
              <w:rPr>
                <w:rFonts w:hint="eastAsia" w:ascii="宋体" w:hAnsi="宋体" w:cs="宋体"/>
                <w:bCs/>
                <w:sz w:val="21"/>
                <w:lang w:bidi="ar"/>
              </w:rPr>
            </w:pPr>
            <w:r>
              <w:rPr>
                <w:rFonts w:hint="eastAsia" w:ascii="宋体" w:hAnsi="宋体" w:cs="宋体"/>
                <w:bCs/>
                <w:sz w:val="21"/>
                <w:lang w:bidi="ar"/>
              </w:rPr>
              <w:t>0</w:t>
            </w:r>
          </w:p>
        </w:tc>
        <w:tc>
          <w:tcPr>
            <w:tcW w:w="1341" w:type="dxa"/>
            <w:noWrap w:val="0"/>
            <w:vAlign w:val="center"/>
          </w:tcPr>
          <w:p w14:paraId="0D596D6D">
            <w:pPr>
              <w:widowControl/>
              <w:jc w:val="center"/>
              <w:rPr>
                <w:rFonts w:hint="eastAsia" w:ascii="宋体" w:hAnsi="宋体" w:cs="宋体"/>
                <w:bCs/>
                <w:sz w:val="21"/>
                <w:lang w:bidi="ar"/>
              </w:rPr>
            </w:pPr>
            <w:r>
              <w:rPr>
                <w:rFonts w:hint="eastAsia" w:ascii="宋体" w:hAnsi="宋体" w:cs="宋体"/>
                <w:bCs/>
                <w:sz w:val="21"/>
                <w:lang w:bidi="ar"/>
              </w:rPr>
              <w:t>焊接烟尘：0.32</w:t>
            </w:r>
          </w:p>
        </w:tc>
        <w:tc>
          <w:tcPr>
            <w:tcW w:w="1753" w:type="dxa"/>
            <w:noWrap w:val="0"/>
            <w:vAlign w:val="center"/>
          </w:tcPr>
          <w:p w14:paraId="019E86B8">
            <w:pPr>
              <w:widowControl/>
              <w:jc w:val="center"/>
              <w:rPr>
                <w:rFonts w:hint="eastAsia" w:ascii="宋体" w:hAnsi="宋体" w:cs="宋体"/>
                <w:bCs/>
                <w:sz w:val="21"/>
                <w:lang w:bidi="ar"/>
              </w:rPr>
            </w:pPr>
            <w:r>
              <w:rPr>
                <w:rFonts w:hint="eastAsia" w:ascii="宋体" w:hAnsi="宋体" w:cs="宋体"/>
                <w:bCs/>
                <w:sz w:val="21"/>
                <w:lang w:bidi="ar"/>
              </w:rPr>
              <w:t>一般固废0.5；危险固废（废机油）0.01</w:t>
            </w:r>
          </w:p>
        </w:tc>
        <w:tc>
          <w:tcPr>
            <w:tcW w:w="881" w:type="dxa"/>
            <w:noWrap w:val="0"/>
            <w:vAlign w:val="center"/>
          </w:tcPr>
          <w:p w14:paraId="3B941DA5">
            <w:pPr>
              <w:widowControl/>
              <w:jc w:val="center"/>
              <w:rPr>
                <w:rFonts w:hint="eastAsia" w:ascii="宋体" w:hAnsi="宋体" w:cs="宋体"/>
                <w:bCs/>
                <w:sz w:val="21"/>
                <w:lang w:eastAsia="en-US" w:bidi="ar"/>
              </w:rPr>
            </w:pPr>
            <w:r>
              <w:rPr>
                <w:rFonts w:hint="eastAsia" w:ascii="宋体" w:hAnsi="宋体" w:cs="宋体"/>
                <w:bCs/>
                <w:sz w:val="21"/>
                <w:lang w:bidi="ar"/>
              </w:rPr>
              <w:t>已投产</w:t>
            </w:r>
          </w:p>
        </w:tc>
      </w:tr>
      <w:tr w14:paraId="3CFFF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9" w:type="dxa"/>
            <w:noWrap w:val="0"/>
            <w:vAlign w:val="center"/>
          </w:tcPr>
          <w:p w14:paraId="0D604CD0">
            <w:pPr>
              <w:widowControl/>
              <w:jc w:val="center"/>
              <w:rPr>
                <w:rFonts w:hint="eastAsia" w:ascii="宋体" w:hAnsi="宋体" w:cs="宋体"/>
                <w:bCs/>
                <w:sz w:val="21"/>
                <w:lang w:eastAsia="en-US" w:bidi="ar"/>
              </w:rPr>
            </w:pPr>
            <w:r>
              <w:rPr>
                <w:rFonts w:hint="eastAsia" w:ascii="宋体" w:hAnsi="宋体" w:cs="宋体"/>
                <w:bCs/>
                <w:sz w:val="21"/>
                <w:lang w:bidi="ar"/>
              </w:rPr>
              <w:t>22</w:t>
            </w:r>
          </w:p>
        </w:tc>
        <w:tc>
          <w:tcPr>
            <w:tcW w:w="1731" w:type="dxa"/>
            <w:noWrap w:val="0"/>
            <w:vAlign w:val="center"/>
          </w:tcPr>
          <w:p w14:paraId="585B4775">
            <w:pPr>
              <w:widowControl/>
              <w:jc w:val="center"/>
              <w:rPr>
                <w:rFonts w:hint="eastAsia" w:ascii="宋体" w:hAnsi="宋体" w:cs="宋体"/>
                <w:bCs/>
                <w:sz w:val="21"/>
                <w:lang w:bidi="ar"/>
              </w:rPr>
            </w:pPr>
            <w:r>
              <w:rPr>
                <w:rFonts w:hint="eastAsia" w:ascii="宋体" w:hAnsi="宋体" w:cs="宋体"/>
                <w:bCs/>
                <w:sz w:val="21"/>
                <w:lang w:bidi="ar"/>
              </w:rPr>
              <w:t>常德智鹏机械制造有限公司</w:t>
            </w:r>
          </w:p>
        </w:tc>
        <w:tc>
          <w:tcPr>
            <w:tcW w:w="1514" w:type="dxa"/>
            <w:noWrap w:val="0"/>
            <w:vAlign w:val="center"/>
          </w:tcPr>
          <w:p w14:paraId="197E1D8A">
            <w:pPr>
              <w:widowControl/>
              <w:jc w:val="center"/>
              <w:rPr>
                <w:rFonts w:hint="eastAsia" w:ascii="宋体" w:hAnsi="宋体" w:cs="宋体"/>
                <w:bCs/>
                <w:sz w:val="21"/>
                <w:lang w:eastAsia="en-US" w:bidi="ar"/>
              </w:rPr>
            </w:pPr>
            <w:r>
              <w:rPr>
                <w:rFonts w:hint="eastAsia" w:ascii="宋体" w:hAnsi="宋体" w:cs="宋体"/>
                <w:bCs/>
                <w:sz w:val="21"/>
                <w:lang w:bidi="ar"/>
              </w:rPr>
              <w:t>111.693266619</w:t>
            </w:r>
          </w:p>
        </w:tc>
        <w:tc>
          <w:tcPr>
            <w:tcW w:w="1473" w:type="dxa"/>
            <w:noWrap w:val="0"/>
            <w:vAlign w:val="center"/>
          </w:tcPr>
          <w:p w14:paraId="2E0551A6">
            <w:pPr>
              <w:widowControl/>
              <w:jc w:val="center"/>
              <w:rPr>
                <w:rFonts w:hint="eastAsia" w:ascii="宋体" w:hAnsi="宋体" w:cs="宋体"/>
                <w:bCs/>
                <w:sz w:val="21"/>
                <w:lang w:eastAsia="en-US" w:bidi="ar"/>
              </w:rPr>
            </w:pPr>
            <w:r>
              <w:rPr>
                <w:rFonts w:hint="eastAsia" w:ascii="宋体" w:hAnsi="宋体" w:cs="宋体"/>
                <w:bCs/>
                <w:sz w:val="21"/>
                <w:lang w:bidi="ar"/>
              </w:rPr>
              <w:t>29.034946771</w:t>
            </w:r>
          </w:p>
        </w:tc>
        <w:tc>
          <w:tcPr>
            <w:tcW w:w="959" w:type="dxa"/>
            <w:noWrap w:val="0"/>
            <w:vAlign w:val="center"/>
          </w:tcPr>
          <w:p w14:paraId="250A22AF">
            <w:pPr>
              <w:widowControl/>
              <w:jc w:val="center"/>
              <w:rPr>
                <w:rFonts w:hint="eastAsia" w:ascii="宋体" w:hAnsi="宋体" w:cs="宋体"/>
                <w:bCs/>
                <w:sz w:val="21"/>
                <w:lang w:bidi="ar"/>
              </w:rPr>
            </w:pPr>
            <w:r>
              <w:rPr>
                <w:rFonts w:hint="eastAsia" w:ascii="宋体" w:hAnsi="宋体" w:cs="宋体"/>
                <w:bCs/>
                <w:sz w:val="21"/>
                <w:lang w:bidi="ar"/>
              </w:rPr>
              <w:t>6000</w:t>
            </w:r>
          </w:p>
        </w:tc>
        <w:tc>
          <w:tcPr>
            <w:tcW w:w="852" w:type="dxa"/>
            <w:noWrap w:val="0"/>
            <w:vAlign w:val="center"/>
          </w:tcPr>
          <w:p w14:paraId="6FD2AF74">
            <w:pPr>
              <w:widowControl/>
              <w:jc w:val="center"/>
              <w:rPr>
                <w:rFonts w:hint="eastAsia" w:ascii="宋体" w:hAnsi="宋体" w:cs="宋体"/>
                <w:bCs/>
                <w:sz w:val="21"/>
                <w:lang w:eastAsia="en-US" w:bidi="ar"/>
              </w:rPr>
            </w:pPr>
            <w:r>
              <w:rPr>
                <w:rFonts w:hint="eastAsia" w:ascii="宋体" w:hAnsi="宋体" w:cs="宋体"/>
                <w:bCs/>
                <w:sz w:val="21"/>
                <w:lang w:bidi="ar"/>
              </w:rPr>
              <w:t>0.36</w:t>
            </w:r>
          </w:p>
        </w:tc>
        <w:tc>
          <w:tcPr>
            <w:tcW w:w="932" w:type="dxa"/>
            <w:noWrap w:val="0"/>
            <w:vAlign w:val="center"/>
          </w:tcPr>
          <w:p w14:paraId="5E35A955">
            <w:pPr>
              <w:widowControl/>
              <w:jc w:val="center"/>
              <w:rPr>
                <w:rFonts w:hint="eastAsia" w:ascii="宋体" w:hAnsi="宋体" w:cs="宋体"/>
                <w:bCs/>
                <w:sz w:val="21"/>
                <w:lang w:eastAsia="en-US" w:bidi="ar"/>
              </w:rPr>
            </w:pPr>
            <w:r>
              <w:rPr>
                <w:rFonts w:hint="eastAsia" w:ascii="宋体" w:hAnsi="宋体" w:cs="宋体"/>
                <w:bCs/>
                <w:sz w:val="21"/>
                <w:lang w:bidi="ar"/>
              </w:rPr>
              <w:t>0.03</w:t>
            </w:r>
          </w:p>
        </w:tc>
        <w:tc>
          <w:tcPr>
            <w:tcW w:w="825" w:type="dxa"/>
            <w:noWrap w:val="0"/>
            <w:vAlign w:val="center"/>
          </w:tcPr>
          <w:p w14:paraId="77378DA9">
            <w:pPr>
              <w:widowControl/>
              <w:jc w:val="center"/>
              <w:rPr>
                <w:rFonts w:hint="eastAsia" w:ascii="宋体" w:hAnsi="宋体" w:cs="宋体"/>
                <w:bCs/>
                <w:sz w:val="21"/>
                <w:lang w:eastAsia="en-US" w:bidi="ar"/>
              </w:rPr>
            </w:pPr>
            <w:r>
              <w:rPr>
                <w:rFonts w:hint="eastAsia" w:ascii="宋体" w:hAnsi="宋体" w:cs="宋体"/>
                <w:bCs/>
                <w:sz w:val="21"/>
                <w:lang w:bidi="ar"/>
              </w:rPr>
              <w:t>0</w:t>
            </w:r>
          </w:p>
        </w:tc>
        <w:tc>
          <w:tcPr>
            <w:tcW w:w="716" w:type="dxa"/>
            <w:noWrap w:val="0"/>
            <w:vAlign w:val="center"/>
          </w:tcPr>
          <w:p w14:paraId="157F5A06">
            <w:pPr>
              <w:widowControl/>
              <w:jc w:val="center"/>
              <w:rPr>
                <w:rFonts w:hint="eastAsia" w:ascii="宋体" w:hAnsi="宋体" w:cs="宋体"/>
                <w:bCs/>
                <w:sz w:val="21"/>
                <w:lang w:bidi="ar"/>
              </w:rPr>
            </w:pPr>
            <w:r>
              <w:rPr>
                <w:rFonts w:hint="eastAsia" w:ascii="宋体" w:hAnsi="宋体" w:cs="宋体"/>
                <w:bCs/>
                <w:sz w:val="21"/>
                <w:lang w:bidi="ar"/>
              </w:rPr>
              <w:t>0</w:t>
            </w:r>
          </w:p>
        </w:tc>
        <w:tc>
          <w:tcPr>
            <w:tcW w:w="825" w:type="dxa"/>
            <w:noWrap w:val="0"/>
            <w:vAlign w:val="center"/>
          </w:tcPr>
          <w:p w14:paraId="6F41EFB8">
            <w:pPr>
              <w:widowControl/>
              <w:jc w:val="center"/>
              <w:rPr>
                <w:rFonts w:hint="eastAsia" w:ascii="宋体" w:hAnsi="宋体" w:cs="宋体"/>
                <w:bCs/>
                <w:sz w:val="21"/>
                <w:lang w:bidi="ar"/>
              </w:rPr>
            </w:pPr>
            <w:r>
              <w:rPr>
                <w:rFonts w:hint="eastAsia" w:ascii="宋体" w:hAnsi="宋体" w:cs="宋体"/>
                <w:bCs/>
                <w:sz w:val="21"/>
                <w:lang w:bidi="ar"/>
              </w:rPr>
              <w:t>0</w:t>
            </w:r>
          </w:p>
        </w:tc>
        <w:tc>
          <w:tcPr>
            <w:tcW w:w="1341" w:type="dxa"/>
            <w:noWrap w:val="0"/>
            <w:vAlign w:val="center"/>
          </w:tcPr>
          <w:p w14:paraId="7C0FE855">
            <w:pPr>
              <w:widowControl/>
              <w:jc w:val="center"/>
              <w:rPr>
                <w:rFonts w:hint="eastAsia" w:ascii="宋体" w:hAnsi="宋体" w:cs="宋体"/>
                <w:bCs/>
                <w:sz w:val="21"/>
                <w:lang w:bidi="ar"/>
              </w:rPr>
            </w:pPr>
            <w:r>
              <w:rPr>
                <w:rFonts w:hint="eastAsia" w:ascii="宋体" w:hAnsi="宋体" w:cs="宋体"/>
                <w:bCs/>
                <w:sz w:val="21"/>
                <w:lang w:bidi="ar"/>
              </w:rPr>
              <w:t>0</w:t>
            </w:r>
          </w:p>
        </w:tc>
        <w:tc>
          <w:tcPr>
            <w:tcW w:w="1753" w:type="dxa"/>
            <w:noWrap w:val="0"/>
            <w:vAlign w:val="center"/>
          </w:tcPr>
          <w:p w14:paraId="025242B1">
            <w:pPr>
              <w:widowControl/>
              <w:jc w:val="center"/>
              <w:rPr>
                <w:rFonts w:hint="eastAsia" w:ascii="宋体" w:hAnsi="宋体" w:cs="宋体"/>
                <w:bCs/>
                <w:sz w:val="21"/>
                <w:lang w:bidi="ar"/>
              </w:rPr>
            </w:pPr>
            <w:r>
              <w:rPr>
                <w:rFonts w:hint="eastAsia" w:ascii="宋体" w:hAnsi="宋体" w:cs="宋体"/>
                <w:bCs/>
                <w:sz w:val="21"/>
                <w:lang w:bidi="ar"/>
              </w:rPr>
              <w:t>一般固废2.5；</w:t>
            </w:r>
          </w:p>
          <w:p w14:paraId="668D0151">
            <w:pPr>
              <w:widowControl/>
              <w:jc w:val="center"/>
              <w:rPr>
                <w:rFonts w:hint="eastAsia" w:ascii="宋体" w:hAnsi="宋体" w:cs="宋体"/>
                <w:bCs/>
                <w:sz w:val="21"/>
                <w:lang w:bidi="ar"/>
              </w:rPr>
            </w:pPr>
            <w:r>
              <w:rPr>
                <w:rFonts w:hint="eastAsia" w:ascii="宋体" w:hAnsi="宋体" w:cs="宋体"/>
                <w:bCs/>
                <w:sz w:val="21"/>
                <w:lang w:bidi="ar"/>
              </w:rPr>
              <w:t>危险固废（废机油、乳化液、废抹布、手套）0.033</w:t>
            </w:r>
          </w:p>
        </w:tc>
        <w:tc>
          <w:tcPr>
            <w:tcW w:w="881" w:type="dxa"/>
            <w:noWrap w:val="0"/>
            <w:vAlign w:val="center"/>
          </w:tcPr>
          <w:p w14:paraId="25E47ED2">
            <w:pPr>
              <w:widowControl/>
              <w:jc w:val="center"/>
              <w:rPr>
                <w:rFonts w:hint="eastAsia" w:ascii="宋体" w:hAnsi="宋体" w:cs="宋体"/>
                <w:bCs/>
                <w:sz w:val="21"/>
                <w:lang w:eastAsia="en-US" w:bidi="ar"/>
              </w:rPr>
            </w:pPr>
            <w:r>
              <w:rPr>
                <w:rFonts w:hint="eastAsia" w:ascii="宋体" w:hAnsi="宋体" w:cs="宋体"/>
                <w:bCs/>
                <w:sz w:val="21"/>
                <w:lang w:bidi="ar"/>
              </w:rPr>
              <w:t>已投产</w:t>
            </w:r>
          </w:p>
        </w:tc>
      </w:tr>
      <w:tr w14:paraId="67EBB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9" w:type="dxa"/>
            <w:noWrap w:val="0"/>
            <w:vAlign w:val="center"/>
          </w:tcPr>
          <w:p w14:paraId="16A5D6F5">
            <w:pPr>
              <w:widowControl/>
              <w:jc w:val="center"/>
              <w:rPr>
                <w:rFonts w:hint="eastAsia" w:ascii="宋体" w:hAnsi="宋体" w:cs="宋体"/>
                <w:bCs/>
                <w:sz w:val="21"/>
                <w:lang w:bidi="ar"/>
              </w:rPr>
            </w:pPr>
            <w:r>
              <w:rPr>
                <w:rFonts w:hint="eastAsia" w:ascii="宋体" w:hAnsi="宋体" w:cs="宋体"/>
                <w:bCs/>
                <w:sz w:val="21"/>
                <w:lang w:bidi="ar"/>
              </w:rPr>
              <w:t>23</w:t>
            </w:r>
          </w:p>
        </w:tc>
        <w:tc>
          <w:tcPr>
            <w:tcW w:w="1731" w:type="dxa"/>
            <w:noWrap w:val="0"/>
            <w:vAlign w:val="center"/>
          </w:tcPr>
          <w:p w14:paraId="5071C1F4">
            <w:pPr>
              <w:widowControl/>
              <w:jc w:val="center"/>
              <w:rPr>
                <w:rFonts w:hint="eastAsia" w:ascii="宋体" w:hAnsi="宋体" w:cs="宋体"/>
                <w:bCs/>
                <w:sz w:val="21"/>
                <w:lang w:eastAsia="en-US" w:bidi="ar"/>
              </w:rPr>
            </w:pPr>
            <w:r>
              <w:rPr>
                <w:rFonts w:hint="eastAsia" w:ascii="宋体" w:hAnsi="宋体" w:cs="宋体"/>
                <w:bCs/>
                <w:sz w:val="21"/>
                <w:lang w:bidi="ar"/>
              </w:rPr>
              <w:t>天诚车桥</w:t>
            </w:r>
          </w:p>
        </w:tc>
        <w:tc>
          <w:tcPr>
            <w:tcW w:w="1514" w:type="dxa"/>
            <w:noWrap w:val="0"/>
            <w:vAlign w:val="center"/>
          </w:tcPr>
          <w:p w14:paraId="58494381">
            <w:pPr>
              <w:widowControl/>
              <w:jc w:val="center"/>
              <w:rPr>
                <w:rFonts w:hint="eastAsia" w:ascii="宋体" w:hAnsi="宋体" w:cs="宋体"/>
                <w:bCs/>
                <w:sz w:val="21"/>
                <w:lang w:eastAsia="en-US" w:bidi="ar"/>
              </w:rPr>
            </w:pPr>
            <w:r>
              <w:rPr>
                <w:rFonts w:hint="eastAsia" w:ascii="宋体" w:hAnsi="宋体" w:cs="宋体"/>
                <w:bCs/>
                <w:sz w:val="21"/>
                <w:lang w:bidi="ar"/>
              </w:rPr>
              <w:t>111.869028024</w:t>
            </w:r>
          </w:p>
        </w:tc>
        <w:tc>
          <w:tcPr>
            <w:tcW w:w="1473" w:type="dxa"/>
            <w:noWrap w:val="0"/>
            <w:vAlign w:val="center"/>
          </w:tcPr>
          <w:p w14:paraId="75EAFD6A">
            <w:pPr>
              <w:widowControl/>
              <w:jc w:val="center"/>
              <w:rPr>
                <w:rFonts w:hint="eastAsia" w:ascii="宋体" w:hAnsi="宋体" w:cs="宋体"/>
                <w:bCs/>
                <w:sz w:val="21"/>
                <w:lang w:eastAsia="en-US" w:bidi="ar"/>
              </w:rPr>
            </w:pPr>
            <w:r>
              <w:rPr>
                <w:rFonts w:hint="eastAsia" w:ascii="宋体" w:hAnsi="宋体" w:cs="宋体"/>
                <w:bCs/>
                <w:sz w:val="21"/>
                <w:lang w:bidi="ar"/>
              </w:rPr>
              <w:t>29.592551264</w:t>
            </w:r>
          </w:p>
        </w:tc>
        <w:tc>
          <w:tcPr>
            <w:tcW w:w="959" w:type="dxa"/>
            <w:noWrap w:val="0"/>
            <w:vAlign w:val="center"/>
          </w:tcPr>
          <w:p w14:paraId="7236ACFB">
            <w:pPr>
              <w:widowControl/>
              <w:jc w:val="center"/>
              <w:rPr>
                <w:rFonts w:hint="eastAsia" w:ascii="宋体" w:hAnsi="宋体" w:cs="宋体"/>
                <w:bCs/>
                <w:sz w:val="21"/>
                <w:lang w:eastAsia="en-US" w:bidi="ar"/>
              </w:rPr>
            </w:pPr>
            <w:r>
              <w:rPr>
                <w:rFonts w:hint="eastAsia" w:ascii="宋体" w:hAnsi="宋体" w:cs="宋体"/>
                <w:bCs/>
                <w:sz w:val="21"/>
                <w:lang w:bidi="ar"/>
              </w:rPr>
              <w:t>1152</w:t>
            </w:r>
          </w:p>
        </w:tc>
        <w:tc>
          <w:tcPr>
            <w:tcW w:w="852" w:type="dxa"/>
            <w:noWrap w:val="0"/>
            <w:vAlign w:val="center"/>
          </w:tcPr>
          <w:p w14:paraId="4F44F24F">
            <w:pPr>
              <w:widowControl/>
              <w:jc w:val="center"/>
              <w:rPr>
                <w:rFonts w:hint="eastAsia" w:ascii="宋体" w:hAnsi="宋体" w:cs="宋体"/>
                <w:bCs/>
                <w:sz w:val="21"/>
                <w:lang w:eastAsia="en-US" w:bidi="ar"/>
              </w:rPr>
            </w:pPr>
            <w:r>
              <w:rPr>
                <w:rFonts w:hint="eastAsia" w:ascii="宋体" w:hAnsi="宋体" w:cs="宋体"/>
                <w:bCs/>
                <w:sz w:val="21"/>
                <w:lang w:bidi="ar"/>
              </w:rPr>
              <w:t>0.06</w:t>
            </w:r>
          </w:p>
        </w:tc>
        <w:tc>
          <w:tcPr>
            <w:tcW w:w="932" w:type="dxa"/>
            <w:noWrap w:val="0"/>
            <w:vAlign w:val="center"/>
          </w:tcPr>
          <w:p w14:paraId="55ECC1B6">
            <w:pPr>
              <w:widowControl/>
              <w:jc w:val="center"/>
              <w:rPr>
                <w:rFonts w:hint="eastAsia" w:ascii="宋体" w:hAnsi="宋体" w:cs="宋体"/>
                <w:bCs/>
                <w:sz w:val="21"/>
                <w:lang w:eastAsia="en-US" w:bidi="ar"/>
              </w:rPr>
            </w:pPr>
            <w:r>
              <w:rPr>
                <w:rFonts w:hint="eastAsia" w:ascii="宋体" w:hAnsi="宋体" w:cs="宋体"/>
                <w:bCs/>
                <w:sz w:val="21"/>
                <w:lang w:bidi="ar"/>
              </w:rPr>
              <w:t>0.01</w:t>
            </w:r>
          </w:p>
        </w:tc>
        <w:tc>
          <w:tcPr>
            <w:tcW w:w="825" w:type="dxa"/>
            <w:noWrap w:val="0"/>
            <w:vAlign w:val="center"/>
          </w:tcPr>
          <w:p w14:paraId="0C889CD6">
            <w:pPr>
              <w:widowControl/>
              <w:jc w:val="center"/>
              <w:rPr>
                <w:rFonts w:hint="eastAsia" w:ascii="宋体" w:hAnsi="宋体" w:cs="宋体"/>
                <w:bCs/>
                <w:sz w:val="21"/>
                <w:lang w:eastAsia="en-US" w:bidi="ar"/>
              </w:rPr>
            </w:pPr>
            <w:r>
              <w:rPr>
                <w:rFonts w:hint="eastAsia" w:ascii="宋体" w:hAnsi="宋体" w:cs="宋体"/>
                <w:bCs/>
                <w:sz w:val="21"/>
                <w:lang w:bidi="ar"/>
              </w:rPr>
              <w:t>0</w:t>
            </w:r>
          </w:p>
        </w:tc>
        <w:tc>
          <w:tcPr>
            <w:tcW w:w="716" w:type="dxa"/>
            <w:noWrap w:val="0"/>
            <w:vAlign w:val="center"/>
          </w:tcPr>
          <w:p w14:paraId="21E925CA">
            <w:pPr>
              <w:widowControl/>
              <w:jc w:val="center"/>
              <w:rPr>
                <w:rFonts w:hint="eastAsia" w:ascii="宋体" w:hAnsi="宋体" w:cs="宋体"/>
                <w:bCs/>
                <w:sz w:val="21"/>
                <w:lang w:bidi="ar"/>
              </w:rPr>
            </w:pPr>
            <w:r>
              <w:rPr>
                <w:rFonts w:hint="eastAsia" w:ascii="宋体" w:hAnsi="宋体" w:cs="宋体"/>
                <w:bCs/>
                <w:sz w:val="21"/>
                <w:lang w:bidi="ar"/>
              </w:rPr>
              <w:t>0</w:t>
            </w:r>
          </w:p>
        </w:tc>
        <w:tc>
          <w:tcPr>
            <w:tcW w:w="825" w:type="dxa"/>
            <w:noWrap w:val="0"/>
            <w:vAlign w:val="center"/>
          </w:tcPr>
          <w:p w14:paraId="7F32BE4A">
            <w:pPr>
              <w:widowControl/>
              <w:jc w:val="center"/>
              <w:rPr>
                <w:rFonts w:hint="eastAsia" w:ascii="宋体" w:hAnsi="宋体" w:cs="宋体"/>
                <w:bCs/>
                <w:sz w:val="21"/>
                <w:lang w:bidi="ar"/>
              </w:rPr>
            </w:pPr>
            <w:r>
              <w:rPr>
                <w:rFonts w:hint="eastAsia" w:ascii="宋体" w:hAnsi="宋体" w:cs="宋体"/>
                <w:bCs/>
                <w:sz w:val="21"/>
                <w:lang w:bidi="ar"/>
              </w:rPr>
              <w:t>2.254</w:t>
            </w:r>
          </w:p>
        </w:tc>
        <w:tc>
          <w:tcPr>
            <w:tcW w:w="1341" w:type="dxa"/>
            <w:noWrap w:val="0"/>
            <w:vAlign w:val="center"/>
          </w:tcPr>
          <w:p w14:paraId="48E8DDEB">
            <w:pPr>
              <w:widowControl/>
              <w:jc w:val="center"/>
              <w:rPr>
                <w:rFonts w:hint="eastAsia" w:ascii="宋体" w:hAnsi="宋体" w:cs="宋体"/>
                <w:bCs/>
                <w:sz w:val="21"/>
                <w:lang w:bidi="ar"/>
              </w:rPr>
            </w:pPr>
            <w:r>
              <w:rPr>
                <w:rFonts w:hint="eastAsia" w:ascii="宋体" w:hAnsi="宋体" w:cs="宋体"/>
                <w:bCs/>
                <w:sz w:val="21"/>
                <w:lang w:bidi="ar"/>
              </w:rPr>
              <w:t>VOCs：0.22二甲苯：0.032</w:t>
            </w:r>
          </w:p>
        </w:tc>
        <w:tc>
          <w:tcPr>
            <w:tcW w:w="1753" w:type="dxa"/>
            <w:noWrap w:val="0"/>
            <w:vAlign w:val="center"/>
          </w:tcPr>
          <w:p w14:paraId="0637A96C">
            <w:pPr>
              <w:widowControl/>
              <w:rPr>
                <w:rFonts w:hint="eastAsia" w:ascii="宋体" w:hAnsi="宋体" w:cs="宋体"/>
                <w:bCs/>
                <w:sz w:val="21"/>
                <w:lang w:bidi="ar"/>
              </w:rPr>
            </w:pPr>
            <w:r>
              <w:rPr>
                <w:rFonts w:hint="eastAsia" w:ascii="宋体" w:hAnsi="宋体" w:cs="宋体"/>
                <w:bCs/>
                <w:sz w:val="21"/>
                <w:lang w:bidi="ar"/>
              </w:rPr>
              <w:t>一般固废148.94；危险固废（废油、废漆 渣、废活性炭）2.441</w:t>
            </w:r>
          </w:p>
        </w:tc>
        <w:tc>
          <w:tcPr>
            <w:tcW w:w="881" w:type="dxa"/>
            <w:noWrap w:val="0"/>
            <w:vAlign w:val="center"/>
          </w:tcPr>
          <w:p w14:paraId="584AF1E9">
            <w:pPr>
              <w:widowControl/>
              <w:jc w:val="center"/>
              <w:rPr>
                <w:rFonts w:hint="eastAsia" w:ascii="宋体" w:hAnsi="宋体" w:cs="宋体"/>
                <w:bCs/>
                <w:sz w:val="21"/>
                <w:lang w:eastAsia="en-US" w:bidi="ar"/>
              </w:rPr>
            </w:pPr>
            <w:r>
              <w:rPr>
                <w:rFonts w:hint="eastAsia" w:ascii="宋体" w:hAnsi="宋体" w:cs="宋体"/>
                <w:bCs/>
                <w:sz w:val="21"/>
                <w:lang w:bidi="ar"/>
              </w:rPr>
              <w:t>已投产</w:t>
            </w:r>
          </w:p>
        </w:tc>
      </w:tr>
      <w:tr w14:paraId="70BD4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6" w:hRule="atLeast"/>
        </w:trPr>
        <w:tc>
          <w:tcPr>
            <w:tcW w:w="519" w:type="dxa"/>
            <w:noWrap w:val="0"/>
            <w:vAlign w:val="center"/>
          </w:tcPr>
          <w:p w14:paraId="39ABD1A7">
            <w:pPr>
              <w:widowControl/>
              <w:jc w:val="center"/>
              <w:rPr>
                <w:rFonts w:hint="eastAsia" w:ascii="宋体" w:hAnsi="宋体" w:cs="宋体"/>
                <w:bCs/>
                <w:sz w:val="21"/>
                <w:lang w:eastAsia="en-US" w:bidi="ar"/>
              </w:rPr>
            </w:pPr>
            <w:r>
              <w:rPr>
                <w:rFonts w:hint="eastAsia" w:ascii="宋体" w:hAnsi="宋体" w:cs="宋体"/>
                <w:bCs/>
                <w:sz w:val="21"/>
                <w:lang w:bidi="ar"/>
              </w:rPr>
              <w:t>24</w:t>
            </w:r>
          </w:p>
        </w:tc>
        <w:tc>
          <w:tcPr>
            <w:tcW w:w="1731" w:type="dxa"/>
            <w:noWrap w:val="0"/>
            <w:vAlign w:val="center"/>
          </w:tcPr>
          <w:p w14:paraId="347392C0">
            <w:pPr>
              <w:widowControl/>
              <w:jc w:val="center"/>
              <w:rPr>
                <w:rFonts w:hint="eastAsia" w:ascii="宋体" w:hAnsi="宋体" w:cs="宋体"/>
                <w:bCs/>
                <w:sz w:val="21"/>
                <w:lang w:bidi="ar"/>
              </w:rPr>
            </w:pPr>
            <w:r>
              <w:rPr>
                <w:rFonts w:hint="eastAsia" w:ascii="宋体" w:hAnsi="宋体" w:cs="宋体"/>
                <w:bCs/>
                <w:sz w:val="21"/>
                <w:lang w:bidi="ar"/>
              </w:rPr>
              <w:t>湖南津玉铸造有限公司</w:t>
            </w:r>
          </w:p>
        </w:tc>
        <w:tc>
          <w:tcPr>
            <w:tcW w:w="1514" w:type="dxa"/>
            <w:noWrap w:val="0"/>
            <w:vAlign w:val="center"/>
          </w:tcPr>
          <w:p w14:paraId="5E705DD1">
            <w:pPr>
              <w:widowControl/>
              <w:jc w:val="center"/>
              <w:rPr>
                <w:rFonts w:hint="eastAsia" w:ascii="宋体" w:hAnsi="宋体" w:cs="宋体"/>
                <w:bCs/>
                <w:sz w:val="21"/>
                <w:lang w:eastAsia="en-US" w:bidi="ar"/>
              </w:rPr>
            </w:pPr>
            <w:r>
              <w:rPr>
                <w:rFonts w:hint="eastAsia" w:ascii="宋体" w:hAnsi="宋体" w:cs="宋体"/>
                <w:bCs/>
                <w:sz w:val="21"/>
                <w:lang w:bidi="ar"/>
              </w:rPr>
              <w:t>111283859753</w:t>
            </w:r>
          </w:p>
        </w:tc>
        <w:tc>
          <w:tcPr>
            <w:tcW w:w="1473" w:type="dxa"/>
            <w:noWrap w:val="0"/>
            <w:vAlign w:val="center"/>
          </w:tcPr>
          <w:p w14:paraId="676E6A80">
            <w:pPr>
              <w:widowControl/>
              <w:jc w:val="center"/>
              <w:rPr>
                <w:rFonts w:hint="eastAsia" w:ascii="宋体" w:hAnsi="宋体" w:cs="宋体"/>
                <w:bCs/>
                <w:sz w:val="21"/>
                <w:lang w:eastAsia="en-US" w:bidi="ar"/>
              </w:rPr>
            </w:pPr>
            <w:r>
              <w:rPr>
                <w:rFonts w:hint="eastAsia" w:ascii="宋体" w:hAnsi="宋体" w:cs="宋体"/>
                <w:bCs/>
                <w:sz w:val="21"/>
                <w:lang w:bidi="ar"/>
              </w:rPr>
              <w:t>27.299430124</w:t>
            </w:r>
          </w:p>
        </w:tc>
        <w:tc>
          <w:tcPr>
            <w:tcW w:w="959" w:type="dxa"/>
            <w:noWrap w:val="0"/>
            <w:vAlign w:val="center"/>
          </w:tcPr>
          <w:p w14:paraId="04E33C20">
            <w:pPr>
              <w:widowControl/>
              <w:jc w:val="center"/>
              <w:rPr>
                <w:rFonts w:hint="eastAsia" w:ascii="宋体" w:hAnsi="宋体" w:cs="宋体"/>
                <w:bCs/>
                <w:sz w:val="21"/>
                <w:lang w:eastAsia="en-US" w:bidi="ar"/>
              </w:rPr>
            </w:pPr>
            <w:r>
              <w:rPr>
                <w:rFonts w:hint="eastAsia" w:ascii="宋体" w:hAnsi="宋体" w:cs="宋体"/>
                <w:bCs/>
                <w:sz w:val="21"/>
                <w:lang w:bidi="ar"/>
              </w:rPr>
              <w:t>4398.7</w:t>
            </w:r>
          </w:p>
        </w:tc>
        <w:tc>
          <w:tcPr>
            <w:tcW w:w="852" w:type="dxa"/>
            <w:noWrap w:val="0"/>
            <w:vAlign w:val="center"/>
          </w:tcPr>
          <w:p w14:paraId="3D59A12F">
            <w:pPr>
              <w:widowControl/>
              <w:jc w:val="center"/>
              <w:rPr>
                <w:rFonts w:hint="eastAsia" w:ascii="宋体" w:hAnsi="宋体" w:cs="宋体"/>
                <w:bCs/>
                <w:sz w:val="21"/>
                <w:lang w:eastAsia="en-US" w:bidi="ar"/>
              </w:rPr>
            </w:pPr>
            <w:r>
              <w:rPr>
                <w:rFonts w:hint="eastAsia" w:ascii="宋体" w:hAnsi="宋体" w:cs="宋体"/>
                <w:bCs/>
                <w:sz w:val="21"/>
                <w:lang w:bidi="ar"/>
              </w:rPr>
              <w:t>0.22</w:t>
            </w:r>
          </w:p>
        </w:tc>
        <w:tc>
          <w:tcPr>
            <w:tcW w:w="932" w:type="dxa"/>
            <w:noWrap w:val="0"/>
            <w:vAlign w:val="center"/>
          </w:tcPr>
          <w:p w14:paraId="54F39FCF">
            <w:pPr>
              <w:widowControl/>
              <w:jc w:val="center"/>
              <w:rPr>
                <w:rFonts w:hint="eastAsia" w:ascii="宋体" w:hAnsi="宋体" w:cs="宋体"/>
                <w:bCs/>
                <w:sz w:val="21"/>
                <w:lang w:eastAsia="en-US" w:bidi="ar"/>
              </w:rPr>
            </w:pPr>
            <w:r>
              <w:rPr>
                <w:rFonts w:hint="eastAsia" w:ascii="宋体" w:hAnsi="宋体" w:cs="宋体"/>
                <w:bCs/>
                <w:sz w:val="21"/>
                <w:lang w:bidi="ar"/>
              </w:rPr>
              <w:t>0.022</w:t>
            </w:r>
          </w:p>
        </w:tc>
        <w:tc>
          <w:tcPr>
            <w:tcW w:w="825" w:type="dxa"/>
            <w:noWrap w:val="0"/>
            <w:vAlign w:val="center"/>
          </w:tcPr>
          <w:p w14:paraId="2EE493E0">
            <w:pPr>
              <w:widowControl/>
              <w:jc w:val="center"/>
              <w:rPr>
                <w:rFonts w:hint="eastAsia" w:ascii="宋体" w:hAnsi="宋体" w:cs="宋体"/>
                <w:bCs/>
                <w:sz w:val="21"/>
                <w:lang w:eastAsia="en-US" w:bidi="ar"/>
              </w:rPr>
            </w:pPr>
            <w:r>
              <w:rPr>
                <w:rFonts w:hint="eastAsia" w:ascii="宋体" w:hAnsi="宋体" w:cs="宋体"/>
                <w:bCs/>
                <w:sz w:val="21"/>
                <w:lang w:bidi="ar"/>
              </w:rPr>
              <w:t>0</w:t>
            </w:r>
          </w:p>
        </w:tc>
        <w:tc>
          <w:tcPr>
            <w:tcW w:w="716" w:type="dxa"/>
            <w:noWrap w:val="0"/>
            <w:vAlign w:val="center"/>
          </w:tcPr>
          <w:p w14:paraId="0CA99B18">
            <w:pPr>
              <w:widowControl/>
              <w:jc w:val="center"/>
              <w:rPr>
                <w:rFonts w:hint="eastAsia" w:ascii="宋体" w:hAnsi="宋体" w:cs="宋体"/>
                <w:bCs/>
                <w:sz w:val="21"/>
                <w:lang w:bidi="ar"/>
              </w:rPr>
            </w:pPr>
            <w:r>
              <w:rPr>
                <w:rFonts w:hint="eastAsia" w:ascii="宋体" w:hAnsi="宋体" w:cs="宋体"/>
                <w:bCs/>
                <w:sz w:val="21"/>
                <w:lang w:bidi="ar"/>
              </w:rPr>
              <w:t>0</w:t>
            </w:r>
          </w:p>
        </w:tc>
        <w:tc>
          <w:tcPr>
            <w:tcW w:w="825" w:type="dxa"/>
            <w:noWrap w:val="0"/>
            <w:vAlign w:val="center"/>
          </w:tcPr>
          <w:p w14:paraId="4AA3FCB1">
            <w:pPr>
              <w:widowControl/>
              <w:jc w:val="center"/>
              <w:rPr>
                <w:rFonts w:hint="eastAsia" w:ascii="宋体" w:hAnsi="宋体" w:cs="宋体"/>
                <w:bCs/>
                <w:sz w:val="21"/>
                <w:lang w:eastAsia="en-US" w:bidi="ar"/>
              </w:rPr>
            </w:pPr>
            <w:r>
              <w:rPr>
                <w:rFonts w:hint="eastAsia" w:ascii="宋体" w:hAnsi="宋体" w:cs="宋体"/>
                <w:bCs/>
                <w:sz w:val="21"/>
                <w:lang w:bidi="ar"/>
              </w:rPr>
              <w:t>1.539</w:t>
            </w:r>
          </w:p>
        </w:tc>
        <w:tc>
          <w:tcPr>
            <w:tcW w:w="1341" w:type="dxa"/>
            <w:noWrap w:val="0"/>
            <w:vAlign w:val="center"/>
          </w:tcPr>
          <w:p w14:paraId="40CE0D88">
            <w:pPr>
              <w:widowControl/>
              <w:jc w:val="center"/>
              <w:rPr>
                <w:rFonts w:hint="eastAsia" w:ascii="宋体" w:hAnsi="宋体" w:cs="宋体"/>
                <w:bCs/>
                <w:sz w:val="21"/>
                <w:lang w:bidi="ar"/>
              </w:rPr>
            </w:pPr>
          </w:p>
          <w:p w14:paraId="5718CFE7">
            <w:pPr>
              <w:widowControl/>
              <w:jc w:val="center"/>
              <w:rPr>
                <w:rFonts w:hint="eastAsia" w:ascii="宋体" w:hAnsi="宋体" w:cs="宋体"/>
                <w:bCs/>
                <w:sz w:val="21"/>
                <w:lang w:eastAsia="en-US" w:bidi="ar"/>
              </w:rPr>
            </w:pPr>
            <w:r>
              <w:rPr>
                <w:rFonts w:hint="eastAsia" w:ascii="宋体" w:hAnsi="宋体" w:cs="宋体"/>
                <w:bCs/>
                <w:sz w:val="21"/>
                <w:lang w:bidi="ar"/>
              </w:rPr>
              <w:t>VOCs ：0.166</w:t>
            </w:r>
          </w:p>
        </w:tc>
        <w:tc>
          <w:tcPr>
            <w:tcW w:w="1753" w:type="dxa"/>
            <w:noWrap w:val="0"/>
            <w:vAlign w:val="center"/>
          </w:tcPr>
          <w:p w14:paraId="32942D2D">
            <w:pPr>
              <w:widowControl/>
              <w:jc w:val="center"/>
              <w:rPr>
                <w:rFonts w:hint="eastAsia" w:ascii="宋体" w:hAnsi="宋体" w:cs="宋体"/>
                <w:bCs/>
                <w:sz w:val="21"/>
                <w:lang w:bidi="ar"/>
              </w:rPr>
            </w:pPr>
            <w:r>
              <w:rPr>
                <w:rFonts w:hint="eastAsia" w:ascii="宋体" w:hAnsi="宋体" w:cs="宋体"/>
                <w:bCs/>
                <w:sz w:val="21"/>
                <w:lang w:bidi="ar"/>
              </w:rPr>
              <w:t>一般固废133；危险固废（废机油、废过滤棉、废活性炭）3.45</w:t>
            </w:r>
          </w:p>
        </w:tc>
        <w:tc>
          <w:tcPr>
            <w:tcW w:w="881" w:type="dxa"/>
            <w:noWrap w:val="0"/>
            <w:vAlign w:val="center"/>
          </w:tcPr>
          <w:p w14:paraId="5AEF1C9A">
            <w:pPr>
              <w:widowControl/>
              <w:jc w:val="center"/>
              <w:rPr>
                <w:rFonts w:hint="eastAsia" w:ascii="宋体" w:hAnsi="宋体" w:cs="宋体"/>
                <w:bCs/>
                <w:sz w:val="21"/>
                <w:lang w:eastAsia="en-US" w:bidi="ar"/>
              </w:rPr>
            </w:pPr>
            <w:r>
              <w:rPr>
                <w:rFonts w:hint="eastAsia" w:ascii="宋体" w:hAnsi="宋体" w:cs="宋体"/>
                <w:bCs/>
                <w:sz w:val="21"/>
                <w:lang w:bidi="ar"/>
              </w:rPr>
              <w:t>已投产</w:t>
            </w:r>
          </w:p>
        </w:tc>
      </w:tr>
      <w:tr w14:paraId="4C714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9" w:type="dxa"/>
            <w:noWrap w:val="0"/>
            <w:vAlign w:val="center"/>
          </w:tcPr>
          <w:p w14:paraId="00663CD6">
            <w:pPr>
              <w:widowControl/>
              <w:jc w:val="center"/>
              <w:rPr>
                <w:rFonts w:hint="eastAsia" w:ascii="宋体" w:hAnsi="宋体" w:cs="宋体"/>
                <w:bCs/>
                <w:sz w:val="21"/>
                <w:lang w:eastAsia="en-US" w:bidi="ar"/>
              </w:rPr>
            </w:pPr>
            <w:r>
              <w:rPr>
                <w:rFonts w:hint="eastAsia" w:ascii="宋体" w:hAnsi="宋体" w:cs="宋体"/>
                <w:bCs/>
                <w:sz w:val="21"/>
                <w:lang w:bidi="ar"/>
              </w:rPr>
              <w:t>25</w:t>
            </w:r>
          </w:p>
        </w:tc>
        <w:tc>
          <w:tcPr>
            <w:tcW w:w="1731" w:type="dxa"/>
            <w:noWrap w:val="0"/>
            <w:vAlign w:val="center"/>
          </w:tcPr>
          <w:p w14:paraId="11450BFB">
            <w:pPr>
              <w:widowControl/>
              <w:jc w:val="center"/>
              <w:rPr>
                <w:rFonts w:hint="eastAsia" w:ascii="宋体" w:hAnsi="宋体" w:cs="宋体"/>
                <w:bCs/>
                <w:sz w:val="21"/>
                <w:lang w:bidi="ar"/>
              </w:rPr>
            </w:pPr>
            <w:r>
              <w:rPr>
                <w:rFonts w:hint="eastAsia" w:ascii="宋体" w:hAnsi="宋体" w:cs="宋体"/>
                <w:bCs/>
                <w:sz w:val="21"/>
                <w:lang w:bidi="ar"/>
              </w:rPr>
              <w:t>津市坝遵水泥有限公司</w:t>
            </w:r>
          </w:p>
        </w:tc>
        <w:tc>
          <w:tcPr>
            <w:tcW w:w="1514" w:type="dxa"/>
            <w:noWrap w:val="0"/>
            <w:vAlign w:val="center"/>
          </w:tcPr>
          <w:p w14:paraId="7014BDC8">
            <w:pPr>
              <w:widowControl/>
              <w:jc w:val="center"/>
              <w:rPr>
                <w:rFonts w:hint="eastAsia" w:ascii="宋体" w:hAnsi="宋体" w:cs="宋体"/>
                <w:bCs/>
                <w:sz w:val="21"/>
                <w:lang w:eastAsia="en-US" w:bidi="ar"/>
              </w:rPr>
            </w:pPr>
            <w:r>
              <w:rPr>
                <w:rFonts w:hint="eastAsia" w:ascii="宋体" w:hAnsi="宋体" w:cs="宋体"/>
                <w:bCs/>
                <w:sz w:val="21"/>
                <w:lang w:bidi="ar"/>
              </w:rPr>
              <w:t>111.866767647</w:t>
            </w:r>
          </w:p>
        </w:tc>
        <w:tc>
          <w:tcPr>
            <w:tcW w:w="1473" w:type="dxa"/>
            <w:noWrap w:val="0"/>
            <w:vAlign w:val="center"/>
          </w:tcPr>
          <w:p w14:paraId="22061090">
            <w:pPr>
              <w:widowControl/>
              <w:jc w:val="center"/>
              <w:rPr>
                <w:rFonts w:hint="eastAsia" w:ascii="宋体" w:hAnsi="宋体" w:cs="宋体"/>
                <w:bCs/>
                <w:sz w:val="21"/>
                <w:lang w:eastAsia="en-US" w:bidi="ar"/>
              </w:rPr>
            </w:pPr>
            <w:r>
              <w:rPr>
                <w:rFonts w:hint="eastAsia" w:ascii="宋体" w:hAnsi="宋体" w:cs="宋体"/>
                <w:bCs/>
                <w:sz w:val="21"/>
                <w:lang w:bidi="ar"/>
              </w:rPr>
              <w:t>29573194079</w:t>
            </w:r>
          </w:p>
        </w:tc>
        <w:tc>
          <w:tcPr>
            <w:tcW w:w="959" w:type="dxa"/>
            <w:noWrap w:val="0"/>
            <w:vAlign w:val="center"/>
          </w:tcPr>
          <w:p w14:paraId="2F2E9C45">
            <w:pPr>
              <w:widowControl/>
              <w:jc w:val="center"/>
              <w:rPr>
                <w:rFonts w:hint="eastAsia" w:ascii="宋体" w:hAnsi="宋体" w:cs="宋体"/>
                <w:bCs/>
                <w:sz w:val="21"/>
                <w:lang w:eastAsia="en-US" w:bidi="ar"/>
              </w:rPr>
            </w:pPr>
            <w:r>
              <w:rPr>
                <w:rFonts w:hint="eastAsia" w:ascii="宋体" w:hAnsi="宋体" w:cs="宋体"/>
                <w:bCs/>
                <w:sz w:val="21"/>
                <w:lang w:bidi="ar"/>
              </w:rPr>
              <w:t>2400</w:t>
            </w:r>
          </w:p>
        </w:tc>
        <w:tc>
          <w:tcPr>
            <w:tcW w:w="852" w:type="dxa"/>
            <w:noWrap w:val="0"/>
            <w:vAlign w:val="center"/>
          </w:tcPr>
          <w:p w14:paraId="507F770A">
            <w:pPr>
              <w:widowControl/>
              <w:jc w:val="center"/>
              <w:rPr>
                <w:rFonts w:hint="eastAsia" w:ascii="宋体" w:hAnsi="宋体" w:cs="宋体"/>
                <w:bCs/>
                <w:sz w:val="21"/>
                <w:lang w:eastAsia="en-US" w:bidi="ar"/>
              </w:rPr>
            </w:pPr>
            <w:r>
              <w:rPr>
                <w:rFonts w:hint="eastAsia" w:ascii="宋体" w:hAnsi="宋体" w:cs="宋体"/>
                <w:bCs/>
                <w:sz w:val="21"/>
                <w:lang w:bidi="ar"/>
              </w:rPr>
              <w:t>0.24</w:t>
            </w:r>
          </w:p>
        </w:tc>
        <w:tc>
          <w:tcPr>
            <w:tcW w:w="932" w:type="dxa"/>
            <w:noWrap w:val="0"/>
            <w:vAlign w:val="center"/>
          </w:tcPr>
          <w:p w14:paraId="32FA09DB">
            <w:pPr>
              <w:widowControl/>
              <w:jc w:val="center"/>
              <w:rPr>
                <w:rFonts w:hint="eastAsia" w:ascii="宋体" w:hAnsi="宋体" w:cs="宋体"/>
                <w:bCs/>
                <w:sz w:val="21"/>
                <w:lang w:eastAsia="en-US" w:bidi="ar"/>
              </w:rPr>
            </w:pPr>
            <w:r>
              <w:rPr>
                <w:rFonts w:hint="eastAsia" w:ascii="宋体" w:hAnsi="宋体" w:cs="宋体"/>
                <w:bCs/>
                <w:sz w:val="21"/>
                <w:lang w:bidi="ar"/>
              </w:rPr>
              <w:t>0.024</w:t>
            </w:r>
          </w:p>
        </w:tc>
        <w:tc>
          <w:tcPr>
            <w:tcW w:w="825" w:type="dxa"/>
            <w:noWrap w:val="0"/>
            <w:vAlign w:val="center"/>
          </w:tcPr>
          <w:p w14:paraId="2EBE2843">
            <w:pPr>
              <w:widowControl/>
              <w:jc w:val="center"/>
              <w:rPr>
                <w:rFonts w:hint="eastAsia" w:ascii="宋体" w:hAnsi="宋体" w:cs="宋体"/>
                <w:bCs/>
                <w:sz w:val="21"/>
                <w:lang w:eastAsia="en-US" w:bidi="ar"/>
              </w:rPr>
            </w:pPr>
            <w:r>
              <w:rPr>
                <w:rFonts w:hint="eastAsia" w:ascii="宋体" w:hAnsi="宋体" w:cs="宋体"/>
                <w:bCs/>
                <w:sz w:val="21"/>
                <w:lang w:bidi="ar"/>
              </w:rPr>
              <w:t>0</w:t>
            </w:r>
          </w:p>
        </w:tc>
        <w:tc>
          <w:tcPr>
            <w:tcW w:w="716" w:type="dxa"/>
            <w:noWrap w:val="0"/>
            <w:vAlign w:val="center"/>
          </w:tcPr>
          <w:p w14:paraId="7BCCDFB8">
            <w:pPr>
              <w:widowControl/>
              <w:jc w:val="center"/>
              <w:rPr>
                <w:rFonts w:hint="eastAsia" w:ascii="宋体" w:hAnsi="宋体" w:cs="宋体"/>
                <w:bCs/>
                <w:sz w:val="21"/>
                <w:lang w:bidi="ar"/>
              </w:rPr>
            </w:pPr>
            <w:r>
              <w:rPr>
                <w:rFonts w:hint="eastAsia" w:ascii="宋体" w:hAnsi="宋体" w:cs="宋体"/>
                <w:bCs/>
                <w:sz w:val="21"/>
                <w:lang w:bidi="ar"/>
              </w:rPr>
              <w:t>0</w:t>
            </w:r>
          </w:p>
        </w:tc>
        <w:tc>
          <w:tcPr>
            <w:tcW w:w="825" w:type="dxa"/>
            <w:noWrap w:val="0"/>
            <w:vAlign w:val="center"/>
          </w:tcPr>
          <w:p w14:paraId="4A2D3318">
            <w:pPr>
              <w:widowControl/>
              <w:jc w:val="center"/>
              <w:rPr>
                <w:rFonts w:hint="eastAsia" w:ascii="宋体" w:hAnsi="宋体" w:cs="宋体"/>
                <w:bCs/>
                <w:sz w:val="21"/>
                <w:lang w:bidi="ar"/>
              </w:rPr>
            </w:pPr>
            <w:r>
              <w:rPr>
                <w:rFonts w:hint="eastAsia" w:ascii="宋体" w:hAnsi="宋体" w:cs="宋体"/>
                <w:bCs/>
                <w:sz w:val="21"/>
                <w:lang w:bidi="ar"/>
              </w:rPr>
              <w:t>1.2</w:t>
            </w:r>
          </w:p>
        </w:tc>
        <w:tc>
          <w:tcPr>
            <w:tcW w:w="1341" w:type="dxa"/>
            <w:noWrap w:val="0"/>
            <w:vAlign w:val="center"/>
          </w:tcPr>
          <w:p w14:paraId="470F3156">
            <w:pPr>
              <w:widowControl/>
              <w:jc w:val="center"/>
              <w:rPr>
                <w:rFonts w:hint="eastAsia" w:ascii="宋体" w:hAnsi="宋体" w:cs="宋体"/>
                <w:bCs/>
                <w:sz w:val="21"/>
                <w:lang w:bidi="ar"/>
              </w:rPr>
            </w:pPr>
            <w:r>
              <w:rPr>
                <w:rFonts w:hint="eastAsia" w:ascii="宋体" w:hAnsi="宋体" w:cs="宋体"/>
                <w:bCs/>
                <w:sz w:val="21"/>
                <w:lang w:bidi="ar"/>
              </w:rPr>
              <w:t>0</w:t>
            </w:r>
          </w:p>
        </w:tc>
        <w:tc>
          <w:tcPr>
            <w:tcW w:w="1753" w:type="dxa"/>
            <w:noWrap w:val="0"/>
            <w:vAlign w:val="center"/>
          </w:tcPr>
          <w:p w14:paraId="77E5C150">
            <w:pPr>
              <w:widowControl/>
              <w:jc w:val="center"/>
              <w:rPr>
                <w:rFonts w:hint="eastAsia" w:ascii="宋体" w:hAnsi="宋体" w:cs="宋体"/>
                <w:bCs/>
                <w:sz w:val="21"/>
                <w:lang w:bidi="ar"/>
              </w:rPr>
            </w:pPr>
            <w:r>
              <w:rPr>
                <w:rFonts w:hint="eastAsia" w:ascii="宋体" w:hAnsi="宋体" w:cs="宋体"/>
                <w:bCs/>
                <w:sz w:val="21"/>
                <w:lang w:bidi="ar"/>
              </w:rPr>
              <w:t>0</w:t>
            </w:r>
          </w:p>
        </w:tc>
        <w:tc>
          <w:tcPr>
            <w:tcW w:w="881" w:type="dxa"/>
            <w:noWrap w:val="0"/>
            <w:vAlign w:val="center"/>
          </w:tcPr>
          <w:p w14:paraId="7E0F77DE">
            <w:pPr>
              <w:widowControl/>
              <w:jc w:val="center"/>
              <w:rPr>
                <w:rFonts w:hint="eastAsia" w:ascii="宋体" w:hAnsi="宋体" w:cs="宋体"/>
                <w:bCs/>
                <w:sz w:val="21"/>
                <w:lang w:eastAsia="en-US" w:bidi="ar"/>
              </w:rPr>
            </w:pPr>
            <w:r>
              <w:rPr>
                <w:rFonts w:hint="eastAsia" w:ascii="宋体" w:hAnsi="宋体" w:cs="宋体"/>
                <w:bCs/>
                <w:sz w:val="21"/>
                <w:lang w:bidi="ar"/>
              </w:rPr>
              <w:t>已投产</w:t>
            </w:r>
          </w:p>
        </w:tc>
      </w:tr>
      <w:tr w14:paraId="49DD4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9" w:type="dxa"/>
            <w:noWrap w:val="0"/>
            <w:vAlign w:val="center"/>
          </w:tcPr>
          <w:p w14:paraId="11077F29">
            <w:pPr>
              <w:widowControl/>
              <w:jc w:val="center"/>
              <w:rPr>
                <w:rFonts w:hint="eastAsia" w:ascii="宋体" w:hAnsi="宋体" w:cs="宋体"/>
                <w:bCs/>
                <w:sz w:val="21"/>
                <w:lang w:eastAsia="en-US" w:bidi="ar"/>
              </w:rPr>
            </w:pPr>
            <w:r>
              <w:rPr>
                <w:rFonts w:hint="eastAsia" w:ascii="宋体" w:hAnsi="宋体" w:cs="宋体"/>
                <w:bCs/>
                <w:sz w:val="21"/>
                <w:lang w:bidi="ar"/>
              </w:rPr>
              <w:t>26</w:t>
            </w:r>
          </w:p>
        </w:tc>
        <w:tc>
          <w:tcPr>
            <w:tcW w:w="1731" w:type="dxa"/>
            <w:noWrap w:val="0"/>
            <w:vAlign w:val="center"/>
          </w:tcPr>
          <w:p w14:paraId="66F49C27">
            <w:pPr>
              <w:widowControl/>
              <w:jc w:val="center"/>
              <w:rPr>
                <w:rFonts w:hint="eastAsia" w:ascii="宋体" w:hAnsi="宋体" w:cs="宋体"/>
                <w:bCs/>
                <w:sz w:val="21"/>
                <w:lang w:bidi="ar"/>
              </w:rPr>
            </w:pPr>
            <w:r>
              <w:rPr>
                <w:rFonts w:hint="eastAsia" w:ascii="宋体" w:hAnsi="宋体" w:cs="宋体"/>
                <w:bCs/>
                <w:sz w:val="21"/>
                <w:lang w:bidi="ar"/>
              </w:rPr>
              <w:t>津市鸿科建材有限公司（一</w:t>
            </w:r>
          </w:p>
          <w:p w14:paraId="6C5E2608">
            <w:pPr>
              <w:widowControl/>
              <w:jc w:val="center"/>
              <w:rPr>
                <w:rFonts w:hint="eastAsia" w:ascii="宋体" w:hAnsi="宋体" w:cs="宋体"/>
                <w:bCs/>
                <w:sz w:val="21"/>
                <w:lang w:bidi="ar"/>
              </w:rPr>
            </w:pPr>
            <w:r>
              <w:rPr>
                <w:rFonts w:hint="eastAsia" w:ascii="宋体" w:hAnsi="宋体" w:cs="宋体"/>
                <w:bCs/>
                <w:sz w:val="21"/>
                <w:lang w:bidi="ar"/>
              </w:rPr>
              <w:t>期/二期）</w:t>
            </w:r>
          </w:p>
        </w:tc>
        <w:tc>
          <w:tcPr>
            <w:tcW w:w="1514" w:type="dxa"/>
            <w:noWrap w:val="0"/>
            <w:vAlign w:val="center"/>
          </w:tcPr>
          <w:p w14:paraId="5F935C36">
            <w:pPr>
              <w:widowControl/>
              <w:jc w:val="center"/>
              <w:rPr>
                <w:rFonts w:hint="eastAsia" w:ascii="宋体" w:hAnsi="宋体" w:cs="宋体"/>
                <w:bCs/>
                <w:sz w:val="21"/>
                <w:lang w:eastAsia="en-US" w:bidi="ar"/>
              </w:rPr>
            </w:pPr>
            <w:r>
              <w:rPr>
                <w:rFonts w:hint="eastAsia" w:ascii="宋体" w:hAnsi="宋体" w:cs="宋体"/>
                <w:bCs/>
                <w:sz w:val="21"/>
                <w:lang w:bidi="ar"/>
              </w:rPr>
              <w:t>111.866048161</w:t>
            </w:r>
          </w:p>
        </w:tc>
        <w:tc>
          <w:tcPr>
            <w:tcW w:w="1473" w:type="dxa"/>
            <w:noWrap w:val="0"/>
            <w:vAlign w:val="center"/>
          </w:tcPr>
          <w:p w14:paraId="5E3E2544">
            <w:pPr>
              <w:widowControl/>
              <w:jc w:val="center"/>
              <w:rPr>
                <w:rFonts w:hint="eastAsia" w:ascii="宋体" w:hAnsi="宋体" w:cs="宋体"/>
                <w:bCs/>
                <w:sz w:val="21"/>
                <w:lang w:eastAsia="en-US" w:bidi="ar"/>
              </w:rPr>
            </w:pPr>
            <w:r>
              <w:rPr>
                <w:rFonts w:hint="eastAsia" w:ascii="宋体" w:hAnsi="宋体" w:cs="宋体"/>
                <w:bCs/>
                <w:sz w:val="21"/>
                <w:lang w:bidi="ar"/>
              </w:rPr>
              <w:t>29.573952376</w:t>
            </w:r>
          </w:p>
        </w:tc>
        <w:tc>
          <w:tcPr>
            <w:tcW w:w="959" w:type="dxa"/>
            <w:noWrap w:val="0"/>
            <w:vAlign w:val="center"/>
          </w:tcPr>
          <w:p w14:paraId="6F9824FE">
            <w:pPr>
              <w:widowControl/>
              <w:jc w:val="center"/>
              <w:rPr>
                <w:rFonts w:hint="eastAsia" w:ascii="宋体" w:hAnsi="宋体" w:cs="宋体"/>
                <w:bCs/>
                <w:sz w:val="21"/>
                <w:lang w:eastAsia="en-US" w:bidi="ar"/>
              </w:rPr>
            </w:pPr>
            <w:r>
              <w:rPr>
                <w:rFonts w:hint="eastAsia" w:ascii="宋体" w:hAnsi="宋体" w:cs="宋体"/>
                <w:bCs/>
                <w:sz w:val="21"/>
                <w:lang w:bidi="ar"/>
              </w:rPr>
              <w:t>1464</w:t>
            </w:r>
          </w:p>
        </w:tc>
        <w:tc>
          <w:tcPr>
            <w:tcW w:w="852" w:type="dxa"/>
            <w:noWrap w:val="0"/>
            <w:vAlign w:val="center"/>
          </w:tcPr>
          <w:p w14:paraId="37D8962C">
            <w:pPr>
              <w:widowControl/>
              <w:jc w:val="center"/>
              <w:rPr>
                <w:rFonts w:hint="eastAsia" w:ascii="宋体" w:hAnsi="宋体" w:cs="宋体"/>
                <w:bCs/>
                <w:sz w:val="21"/>
                <w:lang w:eastAsia="en-US" w:bidi="ar"/>
              </w:rPr>
            </w:pPr>
            <w:r>
              <w:rPr>
                <w:rFonts w:hint="eastAsia" w:ascii="宋体" w:hAnsi="宋体" w:cs="宋体"/>
                <w:bCs/>
                <w:sz w:val="21"/>
                <w:lang w:bidi="ar"/>
              </w:rPr>
              <w:t>036</w:t>
            </w:r>
          </w:p>
        </w:tc>
        <w:tc>
          <w:tcPr>
            <w:tcW w:w="932" w:type="dxa"/>
            <w:noWrap w:val="0"/>
            <w:vAlign w:val="center"/>
          </w:tcPr>
          <w:p w14:paraId="159DE16C">
            <w:pPr>
              <w:widowControl/>
              <w:jc w:val="center"/>
              <w:rPr>
                <w:rFonts w:hint="eastAsia" w:ascii="宋体" w:hAnsi="宋体" w:cs="宋体"/>
                <w:bCs/>
                <w:sz w:val="21"/>
                <w:lang w:eastAsia="en-US" w:bidi="ar"/>
              </w:rPr>
            </w:pPr>
            <w:r>
              <w:rPr>
                <w:rFonts w:hint="eastAsia" w:ascii="宋体" w:hAnsi="宋体" w:cs="宋体"/>
                <w:bCs/>
                <w:sz w:val="21"/>
                <w:lang w:bidi="ar"/>
              </w:rPr>
              <w:t>0.04</w:t>
            </w:r>
          </w:p>
        </w:tc>
        <w:tc>
          <w:tcPr>
            <w:tcW w:w="825" w:type="dxa"/>
            <w:noWrap w:val="0"/>
            <w:vAlign w:val="center"/>
          </w:tcPr>
          <w:p w14:paraId="6B8D361A">
            <w:pPr>
              <w:widowControl/>
              <w:jc w:val="center"/>
              <w:rPr>
                <w:rFonts w:hint="eastAsia" w:ascii="宋体" w:hAnsi="宋体" w:cs="宋体"/>
                <w:bCs/>
                <w:sz w:val="21"/>
                <w:lang w:eastAsia="en-US" w:bidi="ar"/>
              </w:rPr>
            </w:pPr>
            <w:r>
              <w:rPr>
                <w:rFonts w:hint="eastAsia" w:ascii="宋体" w:hAnsi="宋体" w:cs="宋体"/>
                <w:bCs/>
                <w:sz w:val="21"/>
                <w:lang w:bidi="ar"/>
              </w:rPr>
              <w:t>0.06</w:t>
            </w:r>
          </w:p>
        </w:tc>
        <w:tc>
          <w:tcPr>
            <w:tcW w:w="716" w:type="dxa"/>
            <w:noWrap w:val="0"/>
            <w:vAlign w:val="center"/>
          </w:tcPr>
          <w:p w14:paraId="1A9FA9D4">
            <w:pPr>
              <w:widowControl/>
              <w:jc w:val="center"/>
              <w:rPr>
                <w:rFonts w:hint="eastAsia" w:ascii="宋体" w:hAnsi="宋体" w:cs="宋体"/>
                <w:bCs/>
                <w:sz w:val="21"/>
                <w:lang w:eastAsia="en-US" w:bidi="ar"/>
              </w:rPr>
            </w:pPr>
            <w:r>
              <w:rPr>
                <w:rFonts w:hint="eastAsia" w:ascii="宋体" w:hAnsi="宋体" w:cs="宋体"/>
                <w:bCs/>
                <w:sz w:val="21"/>
                <w:lang w:bidi="ar"/>
              </w:rPr>
              <w:t>0.28</w:t>
            </w:r>
          </w:p>
        </w:tc>
        <w:tc>
          <w:tcPr>
            <w:tcW w:w="825" w:type="dxa"/>
            <w:noWrap w:val="0"/>
            <w:vAlign w:val="center"/>
          </w:tcPr>
          <w:p w14:paraId="38C32581">
            <w:pPr>
              <w:widowControl/>
              <w:jc w:val="center"/>
              <w:rPr>
                <w:rFonts w:hint="eastAsia" w:ascii="宋体" w:hAnsi="宋体" w:cs="宋体"/>
                <w:bCs/>
                <w:sz w:val="21"/>
                <w:lang w:eastAsia="en-US" w:bidi="ar"/>
              </w:rPr>
            </w:pPr>
            <w:r>
              <w:rPr>
                <w:rFonts w:hint="eastAsia" w:ascii="宋体" w:hAnsi="宋体" w:cs="宋体"/>
                <w:bCs/>
                <w:sz w:val="21"/>
                <w:lang w:bidi="ar"/>
              </w:rPr>
              <w:t>4.44</w:t>
            </w:r>
          </w:p>
        </w:tc>
        <w:tc>
          <w:tcPr>
            <w:tcW w:w="1341" w:type="dxa"/>
            <w:noWrap w:val="0"/>
            <w:vAlign w:val="center"/>
          </w:tcPr>
          <w:p w14:paraId="7A61C802">
            <w:pPr>
              <w:widowControl/>
              <w:jc w:val="center"/>
              <w:rPr>
                <w:rFonts w:hint="eastAsia" w:ascii="宋体" w:hAnsi="宋体" w:cs="宋体"/>
                <w:bCs/>
                <w:sz w:val="21"/>
                <w:lang w:eastAsia="en-US" w:bidi="ar"/>
              </w:rPr>
            </w:pPr>
            <w:r>
              <w:rPr>
                <w:rFonts w:hint="eastAsia" w:ascii="宋体" w:hAnsi="宋体" w:cs="宋体"/>
                <w:bCs/>
                <w:sz w:val="21"/>
                <w:lang w:bidi="ar"/>
              </w:rPr>
              <w:t>/</w:t>
            </w:r>
          </w:p>
        </w:tc>
        <w:tc>
          <w:tcPr>
            <w:tcW w:w="1753" w:type="dxa"/>
            <w:noWrap w:val="0"/>
            <w:vAlign w:val="center"/>
          </w:tcPr>
          <w:p w14:paraId="55E6025D">
            <w:pPr>
              <w:widowControl/>
              <w:jc w:val="center"/>
              <w:rPr>
                <w:rFonts w:hint="eastAsia" w:ascii="宋体" w:hAnsi="宋体" w:cs="宋体"/>
                <w:bCs/>
                <w:sz w:val="21"/>
                <w:lang w:bidi="ar"/>
              </w:rPr>
            </w:pPr>
            <w:r>
              <w:rPr>
                <w:rFonts w:hint="eastAsia" w:ascii="宋体" w:hAnsi="宋体" w:cs="宋体"/>
                <w:bCs/>
                <w:sz w:val="21"/>
                <w:lang w:bidi="ar"/>
              </w:rPr>
              <w:t>危险固废（废抹布、手套）0.2</w:t>
            </w:r>
          </w:p>
        </w:tc>
        <w:tc>
          <w:tcPr>
            <w:tcW w:w="881" w:type="dxa"/>
            <w:noWrap w:val="0"/>
            <w:vAlign w:val="center"/>
          </w:tcPr>
          <w:p w14:paraId="1ADC8CAB">
            <w:pPr>
              <w:widowControl/>
              <w:jc w:val="center"/>
              <w:rPr>
                <w:rFonts w:hint="eastAsia" w:ascii="宋体" w:hAnsi="宋体" w:cs="宋体"/>
                <w:bCs/>
                <w:sz w:val="21"/>
                <w:lang w:eastAsia="en-US" w:bidi="ar"/>
              </w:rPr>
            </w:pPr>
            <w:r>
              <w:rPr>
                <w:rFonts w:hint="eastAsia" w:ascii="宋体" w:hAnsi="宋体" w:cs="宋体"/>
                <w:bCs/>
                <w:sz w:val="21"/>
                <w:lang w:bidi="ar"/>
              </w:rPr>
              <w:t>已投产</w:t>
            </w:r>
          </w:p>
        </w:tc>
      </w:tr>
      <w:tr w14:paraId="37D22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9" w:type="dxa"/>
            <w:noWrap w:val="0"/>
            <w:vAlign w:val="center"/>
          </w:tcPr>
          <w:p w14:paraId="0242D3B5">
            <w:pPr>
              <w:widowControl/>
              <w:jc w:val="center"/>
              <w:rPr>
                <w:rFonts w:hint="eastAsia" w:ascii="宋体" w:hAnsi="宋体" w:cs="宋体"/>
                <w:bCs/>
                <w:sz w:val="21"/>
                <w:lang w:eastAsia="en-US" w:bidi="ar"/>
              </w:rPr>
            </w:pPr>
            <w:r>
              <w:rPr>
                <w:rFonts w:hint="eastAsia" w:ascii="宋体" w:hAnsi="宋体" w:cs="宋体"/>
                <w:bCs/>
                <w:sz w:val="21"/>
                <w:lang w:bidi="ar"/>
              </w:rPr>
              <w:t>27</w:t>
            </w:r>
          </w:p>
        </w:tc>
        <w:tc>
          <w:tcPr>
            <w:tcW w:w="1731" w:type="dxa"/>
            <w:noWrap w:val="0"/>
            <w:vAlign w:val="center"/>
          </w:tcPr>
          <w:p w14:paraId="5800AAB2">
            <w:pPr>
              <w:widowControl/>
              <w:jc w:val="center"/>
              <w:rPr>
                <w:rFonts w:hint="eastAsia" w:ascii="宋体" w:hAnsi="宋体" w:cs="宋体"/>
                <w:bCs/>
                <w:sz w:val="21"/>
                <w:lang w:bidi="ar"/>
              </w:rPr>
            </w:pPr>
            <w:r>
              <w:rPr>
                <w:rFonts w:hint="eastAsia" w:ascii="宋体" w:hAnsi="宋体" w:cs="宋体"/>
                <w:bCs/>
                <w:sz w:val="21"/>
                <w:lang w:bidi="ar"/>
              </w:rPr>
              <w:t>津市市瑞晶钢化玻璃有限公司</w:t>
            </w:r>
          </w:p>
        </w:tc>
        <w:tc>
          <w:tcPr>
            <w:tcW w:w="1514" w:type="dxa"/>
            <w:noWrap w:val="0"/>
            <w:vAlign w:val="center"/>
          </w:tcPr>
          <w:p w14:paraId="3C6B5BCB">
            <w:pPr>
              <w:widowControl/>
              <w:jc w:val="center"/>
              <w:rPr>
                <w:rFonts w:hint="eastAsia" w:ascii="宋体" w:hAnsi="宋体" w:cs="宋体"/>
                <w:bCs/>
                <w:sz w:val="21"/>
                <w:lang w:eastAsia="en-US" w:bidi="ar"/>
              </w:rPr>
            </w:pPr>
            <w:r>
              <w:rPr>
                <w:rFonts w:hint="eastAsia" w:ascii="宋体" w:hAnsi="宋体" w:cs="宋体"/>
                <w:bCs/>
                <w:sz w:val="21"/>
                <w:lang w:bidi="ar"/>
              </w:rPr>
              <w:t>111.861655569</w:t>
            </w:r>
          </w:p>
        </w:tc>
        <w:tc>
          <w:tcPr>
            <w:tcW w:w="1473" w:type="dxa"/>
            <w:noWrap w:val="0"/>
            <w:vAlign w:val="center"/>
          </w:tcPr>
          <w:p w14:paraId="1C966CAC">
            <w:pPr>
              <w:widowControl/>
              <w:jc w:val="center"/>
              <w:rPr>
                <w:rFonts w:hint="eastAsia" w:ascii="宋体" w:hAnsi="宋体" w:cs="宋体"/>
                <w:bCs/>
                <w:sz w:val="21"/>
                <w:lang w:eastAsia="en-US" w:bidi="ar"/>
              </w:rPr>
            </w:pPr>
            <w:r>
              <w:rPr>
                <w:rFonts w:hint="eastAsia" w:ascii="宋体" w:hAnsi="宋体" w:cs="宋体"/>
                <w:bCs/>
                <w:sz w:val="21"/>
                <w:lang w:bidi="ar"/>
              </w:rPr>
              <w:t>29.572781478</w:t>
            </w:r>
          </w:p>
        </w:tc>
        <w:tc>
          <w:tcPr>
            <w:tcW w:w="959" w:type="dxa"/>
            <w:noWrap w:val="0"/>
            <w:vAlign w:val="center"/>
          </w:tcPr>
          <w:p w14:paraId="64936FE6">
            <w:pPr>
              <w:widowControl/>
              <w:jc w:val="center"/>
              <w:rPr>
                <w:rFonts w:hint="eastAsia" w:ascii="宋体" w:hAnsi="宋体" w:cs="宋体"/>
                <w:bCs/>
                <w:sz w:val="21"/>
                <w:lang w:eastAsia="en-US" w:bidi="ar"/>
              </w:rPr>
            </w:pPr>
            <w:r>
              <w:rPr>
                <w:rFonts w:hint="eastAsia" w:ascii="宋体" w:hAnsi="宋体" w:cs="宋体"/>
                <w:bCs/>
                <w:sz w:val="21"/>
                <w:lang w:bidi="ar"/>
              </w:rPr>
              <w:t>2400</w:t>
            </w:r>
          </w:p>
        </w:tc>
        <w:tc>
          <w:tcPr>
            <w:tcW w:w="852" w:type="dxa"/>
            <w:noWrap w:val="0"/>
            <w:vAlign w:val="center"/>
          </w:tcPr>
          <w:p w14:paraId="45729304">
            <w:pPr>
              <w:widowControl/>
              <w:jc w:val="center"/>
              <w:rPr>
                <w:rFonts w:hint="eastAsia" w:ascii="宋体" w:hAnsi="宋体" w:cs="宋体"/>
                <w:bCs/>
                <w:sz w:val="21"/>
                <w:lang w:bidi="ar"/>
              </w:rPr>
            </w:pPr>
            <w:r>
              <w:rPr>
                <w:rFonts w:hint="eastAsia" w:ascii="宋体" w:hAnsi="宋体" w:cs="宋体"/>
                <w:bCs/>
                <w:sz w:val="21"/>
                <w:lang w:bidi="ar"/>
              </w:rPr>
              <w:t>0.144</w:t>
            </w:r>
          </w:p>
        </w:tc>
        <w:tc>
          <w:tcPr>
            <w:tcW w:w="932" w:type="dxa"/>
            <w:noWrap w:val="0"/>
            <w:vAlign w:val="center"/>
          </w:tcPr>
          <w:p w14:paraId="16D17800">
            <w:pPr>
              <w:widowControl/>
              <w:jc w:val="center"/>
              <w:rPr>
                <w:rFonts w:hint="eastAsia" w:ascii="宋体" w:hAnsi="宋体" w:cs="宋体"/>
                <w:bCs/>
                <w:sz w:val="21"/>
                <w:lang w:bidi="ar"/>
              </w:rPr>
            </w:pPr>
            <w:r>
              <w:rPr>
                <w:rFonts w:hint="eastAsia" w:ascii="宋体" w:hAnsi="宋体" w:cs="宋体"/>
                <w:bCs/>
                <w:sz w:val="21"/>
                <w:lang w:bidi="ar"/>
              </w:rPr>
              <w:t>0.036</w:t>
            </w:r>
          </w:p>
        </w:tc>
        <w:tc>
          <w:tcPr>
            <w:tcW w:w="825" w:type="dxa"/>
            <w:noWrap w:val="0"/>
            <w:vAlign w:val="center"/>
          </w:tcPr>
          <w:p w14:paraId="51F226ED">
            <w:pPr>
              <w:widowControl/>
              <w:jc w:val="center"/>
              <w:rPr>
                <w:rFonts w:hint="eastAsia" w:ascii="宋体" w:hAnsi="宋体" w:cs="宋体"/>
                <w:bCs/>
                <w:sz w:val="21"/>
                <w:lang w:bidi="ar"/>
              </w:rPr>
            </w:pPr>
            <w:r>
              <w:rPr>
                <w:rFonts w:hint="eastAsia" w:ascii="宋体" w:hAnsi="宋体" w:cs="宋体"/>
                <w:bCs/>
                <w:sz w:val="21"/>
                <w:lang w:bidi="ar"/>
              </w:rPr>
              <w:t>0</w:t>
            </w:r>
          </w:p>
        </w:tc>
        <w:tc>
          <w:tcPr>
            <w:tcW w:w="716" w:type="dxa"/>
            <w:noWrap w:val="0"/>
            <w:vAlign w:val="center"/>
          </w:tcPr>
          <w:p w14:paraId="356640BE">
            <w:pPr>
              <w:widowControl/>
              <w:jc w:val="center"/>
              <w:rPr>
                <w:rFonts w:hint="eastAsia" w:ascii="宋体" w:hAnsi="宋体" w:cs="宋体"/>
                <w:bCs/>
                <w:sz w:val="21"/>
                <w:lang w:bidi="ar"/>
              </w:rPr>
            </w:pPr>
            <w:r>
              <w:rPr>
                <w:rFonts w:hint="eastAsia" w:ascii="宋体" w:hAnsi="宋体" w:cs="宋体"/>
                <w:bCs/>
                <w:sz w:val="21"/>
                <w:lang w:bidi="ar"/>
              </w:rPr>
              <w:t>0</w:t>
            </w:r>
          </w:p>
        </w:tc>
        <w:tc>
          <w:tcPr>
            <w:tcW w:w="825" w:type="dxa"/>
            <w:noWrap w:val="0"/>
            <w:vAlign w:val="center"/>
          </w:tcPr>
          <w:p w14:paraId="115D8224">
            <w:pPr>
              <w:widowControl/>
              <w:jc w:val="center"/>
              <w:rPr>
                <w:rFonts w:hint="eastAsia" w:ascii="宋体" w:hAnsi="宋体" w:cs="宋体"/>
                <w:bCs/>
                <w:sz w:val="21"/>
                <w:lang w:bidi="ar"/>
              </w:rPr>
            </w:pPr>
            <w:r>
              <w:rPr>
                <w:rFonts w:hint="eastAsia" w:ascii="宋体" w:hAnsi="宋体" w:cs="宋体"/>
                <w:bCs/>
                <w:sz w:val="21"/>
                <w:lang w:bidi="ar"/>
              </w:rPr>
              <w:t>2.4</w:t>
            </w:r>
          </w:p>
        </w:tc>
        <w:tc>
          <w:tcPr>
            <w:tcW w:w="1341" w:type="dxa"/>
            <w:noWrap w:val="0"/>
            <w:vAlign w:val="center"/>
          </w:tcPr>
          <w:p w14:paraId="3B1057D0">
            <w:pPr>
              <w:widowControl/>
              <w:jc w:val="center"/>
              <w:rPr>
                <w:rFonts w:hint="eastAsia" w:ascii="宋体" w:hAnsi="宋体" w:cs="宋体"/>
                <w:bCs/>
                <w:sz w:val="21"/>
                <w:lang w:bidi="ar"/>
              </w:rPr>
            </w:pPr>
            <w:r>
              <w:rPr>
                <w:rFonts w:hint="eastAsia" w:ascii="宋体" w:hAnsi="宋体" w:cs="宋体"/>
                <w:bCs/>
                <w:sz w:val="21"/>
                <w:lang w:bidi="ar"/>
              </w:rPr>
              <w:t>非甲烷总烃：</w:t>
            </w:r>
          </w:p>
          <w:p w14:paraId="0098CAF1">
            <w:pPr>
              <w:widowControl/>
              <w:jc w:val="center"/>
              <w:rPr>
                <w:rFonts w:hint="eastAsia" w:ascii="宋体" w:hAnsi="宋体" w:cs="宋体"/>
                <w:bCs/>
                <w:sz w:val="21"/>
                <w:lang w:eastAsia="en-US" w:bidi="ar"/>
              </w:rPr>
            </w:pPr>
            <w:r>
              <w:rPr>
                <w:rFonts w:hint="eastAsia" w:ascii="宋体" w:hAnsi="宋体" w:cs="宋体"/>
                <w:bCs/>
                <w:sz w:val="21"/>
                <w:lang w:bidi="ar"/>
              </w:rPr>
              <w:t>0.046</w:t>
            </w:r>
          </w:p>
        </w:tc>
        <w:tc>
          <w:tcPr>
            <w:tcW w:w="1753" w:type="dxa"/>
            <w:noWrap w:val="0"/>
            <w:vAlign w:val="center"/>
          </w:tcPr>
          <w:p w14:paraId="3695A782">
            <w:pPr>
              <w:widowControl/>
              <w:jc w:val="center"/>
              <w:rPr>
                <w:rFonts w:hint="eastAsia" w:ascii="宋体" w:hAnsi="宋体" w:cs="宋体"/>
                <w:bCs/>
                <w:sz w:val="21"/>
                <w:lang w:bidi="ar"/>
              </w:rPr>
            </w:pPr>
            <w:r>
              <w:rPr>
                <w:rFonts w:hint="eastAsia" w:ascii="宋体" w:hAnsi="宋体" w:cs="宋体"/>
                <w:bCs/>
                <w:sz w:val="21"/>
                <w:lang w:bidi="ar"/>
              </w:rPr>
              <w:t>一般固废1309.83；危险固废（废机油、废手套）1.2</w:t>
            </w:r>
          </w:p>
        </w:tc>
        <w:tc>
          <w:tcPr>
            <w:tcW w:w="881" w:type="dxa"/>
            <w:noWrap w:val="0"/>
            <w:vAlign w:val="center"/>
          </w:tcPr>
          <w:p w14:paraId="75DA1901">
            <w:pPr>
              <w:widowControl/>
              <w:jc w:val="center"/>
              <w:rPr>
                <w:rFonts w:hint="eastAsia" w:ascii="宋体" w:hAnsi="宋体" w:cs="宋体"/>
                <w:bCs/>
                <w:sz w:val="21"/>
                <w:lang w:eastAsia="en-US" w:bidi="ar"/>
              </w:rPr>
            </w:pPr>
            <w:r>
              <w:rPr>
                <w:rFonts w:hint="eastAsia" w:ascii="宋体" w:hAnsi="宋体" w:cs="宋体"/>
                <w:bCs/>
                <w:sz w:val="21"/>
                <w:lang w:bidi="ar"/>
              </w:rPr>
              <w:t>已投产</w:t>
            </w:r>
          </w:p>
        </w:tc>
      </w:tr>
      <w:tr w14:paraId="5DDAC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9" w:type="dxa"/>
            <w:noWrap w:val="0"/>
            <w:vAlign w:val="center"/>
          </w:tcPr>
          <w:p w14:paraId="4C9F3BCD">
            <w:pPr>
              <w:widowControl/>
              <w:jc w:val="center"/>
              <w:rPr>
                <w:rFonts w:hint="eastAsia" w:ascii="宋体" w:hAnsi="宋体" w:cs="宋体"/>
                <w:bCs/>
                <w:sz w:val="21"/>
                <w:lang w:eastAsia="en-US" w:bidi="ar"/>
              </w:rPr>
            </w:pPr>
            <w:r>
              <w:rPr>
                <w:rFonts w:hint="eastAsia" w:ascii="宋体" w:hAnsi="宋体" w:cs="宋体"/>
                <w:bCs/>
                <w:sz w:val="21"/>
                <w:lang w:bidi="ar"/>
              </w:rPr>
              <w:t>28</w:t>
            </w:r>
          </w:p>
        </w:tc>
        <w:tc>
          <w:tcPr>
            <w:tcW w:w="1731" w:type="dxa"/>
            <w:noWrap w:val="0"/>
            <w:vAlign w:val="center"/>
          </w:tcPr>
          <w:p w14:paraId="4114EF44">
            <w:pPr>
              <w:widowControl/>
              <w:jc w:val="center"/>
              <w:rPr>
                <w:rFonts w:hint="eastAsia" w:ascii="宋体" w:hAnsi="宋体" w:cs="宋体"/>
                <w:bCs/>
                <w:sz w:val="21"/>
                <w:lang w:bidi="ar"/>
              </w:rPr>
            </w:pPr>
            <w:r>
              <w:rPr>
                <w:rFonts w:hint="eastAsia" w:ascii="宋体" w:hAnsi="宋体" w:cs="宋体"/>
                <w:bCs/>
                <w:sz w:val="21"/>
                <w:lang w:bidi="ar"/>
              </w:rPr>
              <w:t>湖南中南新鲁包装印刷有限公司</w:t>
            </w:r>
          </w:p>
        </w:tc>
        <w:tc>
          <w:tcPr>
            <w:tcW w:w="1514" w:type="dxa"/>
            <w:noWrap w:val="0"/>
            <w:vAlign w:val="center"/>
          </w:tcPr>
          <w:p w14:paraId="062DB9DE">
            <w:pPr>
              <w:widowControl/>
              <w:jc w:val="center"/>
              <w:rPr>
                <w:rFonts w:hint="eastAsia" w:ascii="宋体" w:hAnsi="宋体" w:cs="宋体"/>
                <w:bCs/>
                <w:sz w:val="21"/>
                <w:lang w:eastAsia="en-US" w:bidi="ar"/>
              </w:rPr>
            </w:pPr>
            <w:r>
              <w:rPr>
                <w:rFonts w:hint="eastAsia" w:ascii="宋体" w:hAnsi="宋体" w:cs="宋体"/>
                <w:bCs/>
                <w:sz w:val="21"/>
                <w:lang w:bidi="ar"/>
              </w:rPr>
              <w:t>111.855471664</w:t>
            </w:r>
          </w:p>
        </w:tc>
        <w:tc>
          <w:tcPr>
            <w:tcW w:w="1473" w:type="dxa"/>
            <w:noWrap w:val="0"/>
            <w:vAlign w:val="center"/>
          </w:tcPr>
          <w:p w14:paraId="2744F6D0">
            <w:pPr>
              <w:widowControl/>
              <w:jc w:val="center"/>
              <w:rPr>
                <w:rFonts w:hint="eastAsia" w:ascii="宋体" w:hAnsi="宋体" w:cs="宋体"/>
                <w:bCs/>
                <w:sz w:val="21"/>
                <w:lang w:eastAsia="en-US" w:bidi="ar"/>
              </w:rPr>
            </w:pPr>
            <w:r>
              <w:rPr>
                <w:rFonts w:hint="eastAsia" w:ascii="宋体" w:hAnsi="宋体" w:cs="宋体"/>
                <w:bCs/>
                <w:sz w:val="21"/>
                <w:lang w:bidi="ar"/>
              </w:rPr>
              <w:t>29.579158103</w:t>
            </w:r>
          </w:p>
        </w:tc>
        <w:tc>
          <w:tcPr>
            <w:tcW w:w="959" w:type="dxa"/>
            <w:noWrap w:val="0"/>
            <w:vAlign w:val="center"/>
          </w:tcPr>
          <w:p w14:paraId="29A75821">
            <w:pPr>
              <w:widowControl/>
              <w:jc w:val="center"/>
              <w:rPr>
                <w:rFonts w:hint="eastAsia" w:ascii="宋体" w:hAnsi="宋体" w:cs="宋体"/>
                <w:bCs/>
                <w:sz w:val="21"/>
                <w:lang w:eastAsia="en-US" w:bidi="ar"/>
              </w:rPr>
            </w:pPr>
            <w:r>
              <w:rPr>
                <w:rFonts w:hint="eastAsia" w:ascii="宋体" w:hAnsi="宋体" w:cs="宋体"/>
                <w:bCs/>
                <w:sz w:val="21"/>
                <w:lang w:bidi="ar"/>
              </w:rPr>
              <w:t>43800</w:t>
            </w:r>
          </w:p>
        </w:tc>
        <w:tc>
          <w:tcPr>
            <w:tcW w:w="852" w:type="dxa"/>
            <w:noWrap w:val="0"/>
            <w:vAlign w:val="center"/>
          </w:tcPr>
          <w:p w14:paraId="2CC09427">
            <w:pPr>
              <w:widowControl/>
              <w:jc w:val="center"/>
              <w:rPr>
                <w:rFonts w:hint="eastAsia" w:ascii="宋体" w:hAnsi="宋体" w:cs="宋体"/>
                <w:bCs/>
                <w:sz w:val="21"/>
                <w:lang w:eastAsia="en-US" w:bidi="ar"/>
              </w:rPr>
            </w:pPr>
            <w:r>
              <w:rPr>
                <w:rFonts w:hint="eastAsia" w:ascii="宋体" w:hAnsi="宋体" w:cs="宋体"/>
                <w:bCs/>
                <w:sz w:val="21"/>
                <w:lang w:bidi="ar"/>
              </w:rPr>
              <w:t>2.63</w:t>
            </w:r>
          </w:p>
        </w:tc>
        <w:tc>
          <w:tcPr>
            <w:tcW w:w="932" w:type="dxa"/>
            <w:noWrap w:val="0"/>
            <w:vAlign w:val="center"/>
          </w:tcPr>
          <w:p w14:paraId="34A7C0A6">
            <w:pPr>
              <w:widowControl/>
              <w:jc w:val="center"/>
              <w:rPr>
                <w:rFonts w:hint="eastAsia" w:ascii="宋体" w:hAnsi="宋体" w:cs="宋体"/>
                <w:bCs/>
                <w:sz w:val="21"/>
                <w:lang w:bidi="ar"/>
              </w:rPr>
            </w:pPr>
            <w:r>
              <w:rPr>
                <w:rFonts w:hint="eastAsia" w:ascii="宋体" w:hAnsi="宋体" w:cs="宋体"/>
                <w:bCs/>
                <w:sz w:val="21"/>
                <w:lang w:bidi="ar"/>
              </w:rPr>
              <w:t>0.658</w:t>
            </w:r>
          </w:p>
        </w:tc>
        <w:tc>
          <w:tcPr>
            <w:tcW w:w="825" w:type="dxa"/>
            <w:noWrap w:val="0"/>
            <w:vAlign w:val="center"/>
          </w:tcPr>
          <w:p w14:paraId="01DA176B">
            <w:pPr>
              <w:widowControl/>
              <w:rPr>
                <w:rFonts w:hint="eastAsia" w:ascii="宋体" w:hAnsi="宋体" w:cs="宋体"/>
                <w:bCs/>
                <w:sz w:val="21"/>
                <w:lang w:eastAsia="en-US" w:bidi="ar"/>
              </w:rPr>
            </w:pPr>
            <w:r>
              <w:rPr>
                <w:rFonts w:hint="eastAsia" w:ascii="宋体" w:hAnsi="宋体" w:cs="宋体"/>
                <w:bCs/>
                <w:sz w:val="21"/>
                <w:lang w:bidi="ar"/>
              </w:rPr>
              <w:t>0.28</w:t>
            </w:r>
          </w:p>
        </w:tc>
        <w:tc>
          <w:tcPr>
            <w:tcW w:w="716" w:type="dxa"/>
            <w:noWrap w:val="0"/>
            <w:vAlign w:val="center"/>
          </w:tcPr>
          <w:p w14:paraId="1EC74C24">
            <w:pPr>
              <w:widowControl/>
              <w:jc w:val="center"/>
              <w:rPr>
                <w:rFonts w:hint="eastAsia" w:ascii="宋体" w:hAnsi="宋体" w:cs="宋体"/>
                <w:bCs/>
                <w:sz w:val="21"/>
                <w:lang w:eastAsia="en-US" w:bidi="ar"/>
              </w:rPr>
            </w:pPr>
            <w:r>
              <w:rPr>
                <w:rFonts w:hint="eastAsia" w:ascii="宋体" w:hAnsi="宋体" w:cs="宋体"/>
                <w:bCs/>
                <w:sz w:val="21"/>
                <w:lang w:bidi="ar"/>
              </w:rPr>
              <w:t>0.55</w:t>
            </w:r>
          </w:p>
        </w:tc>
        <w:tc>
          <w:tcPr>
            <w:tcW w:w="825" w:type="dxa"/>
            <w:noWrap w:val="0"/>
            <w:vAlign w:val="center"/>
          </w:tcPr>
          <w:p w14:paraId="11605D7A">
            <w:pPr>
              <w:widowControl/>
              <w:jc w:val="center"/>
              <w:rPr>
                <w:rFonts w:hint="eastAsia" w:ascii="宋体" w:hAnsi="宋体" w:cs="宋体"/>
                <w:bCs/>
                <w:sz w:val="21"/>
                <w:lang w:eastAsia="en-US" w:bidi="ar"/>
              </w:rPr>
            </w:pPr>
            <w:r>
              <w:rPr>
                <w:rFonts w:hint="eastAsia" w:ascii="宋体" w:hAnsi="宋体" w:cs="宋体"/>
                <w:bCs/>
                <w:sz w:val="21"/>
                <w:lang w:bidi="ar"/>
              </w:rPr>
              <w:t>0.04</w:t>
            </w:r>
          </w:p>
        </w:tc>
        <w:tc>
          <w:tcPr>
            <w:tcW w:w="1341" w:type="dxa"/>
            <w:noWrap w:val="0"/>
            <w:vAlign w:val="center"/>
          </w:tcPr>
          <w:p w14:paraId="49F56BA5">
            <w:pPr>
              <w:widowControl/>
              <w:jc w:val="center"/>
              <w:rPr>
                <w:rFonts w:hint="eastAsia" w:ascii="宋体" w:hAnsi="宋体" w:cs="宋体"/>
                <w:bCs/>
                <w:sz w:val="21"/>
                <w:lang w:bidi="ar"/>
              </w:rPr>
            </w:pPr>
            <w:r>
              <w:rPr>
                <w:rFonts w:hint="eastAsia" w:ascii="宋体" w:hAnsi="宋体" w:cs="宋体"/>
                <w:bCs/>
                <w:sz w:val="21"/>
                <w:lang w:bidi="ar"/>
              </w:rPr>
              <w:t>/</w:t>
            </w:r>
          </w:p>
        </w:tc>
        <w:tc>
          <w:tcPr>
            <w:tcW w:w="1753" w:type="dxa"/>
            <w:noWrap w:val="0"/>
            <w:vAlign w:val="center"/>
          </w:tcPr>
          <w:p w14:paraId="775BB5E6">
            <w:pPr>
              <w:widowControl/>
              <w:jc w:val="center"/>
              <w:rPr>
                <w:rFonts w:hint="eastAsia" w:ascii="宋体" w:hAnsi="宋体" w:cs="宋体"/>
                <w:bCs/>
                <w:sz w:val="21"/>
                <w:lang w:bidi="ar"/>
              </w:rPr>
            </w:pPr>
            <w:r>
              <w:rPr>
                <w:rFonts w:hint="eastAsia" w:ascii="宋体" w:hAnsi="宋体" w:cs="宋体"/>
                <w:bCs/>
                <w:sz w:val="21"/>
                <w:lang w:bidi="ar"/>
              </w:rPr>
              <w:t>一般周废4500；危险固废（废油墨桶）2.5</w:t>
            </w:r>
          </w:p>
        </w:tc>
        <w:tc>
          <w:tcPr>
            <w:tcW w:w="881" w:type="dxa"/>
            <w:noWrap w:val="0"/>
            <w:vAlign w:val="center"/>
          </w:tcPr>
          <w:p w14:paraId="07814FCB">
            <w:pPr>
              <w:widowControl/>
              <w:jc w:val="center"/>
              <w:rPr>
                <w:rFonts w:hint="eastAsia" w:ascii="宋体" w:hAnsi="宋体" w:cs="宋体"/>
                <w:bCs/>
                <w:sz w:val="21"/>
                <w:lang w:eastAsia="en-US" w:bidi="ar"/>
              </w:rPr>
            </w:pPr>
            <w:r>
              <w:rPr>
                <w:rFonts w:hint="eastAsia" w:ascii="宋体" w:hAnsi="宋体" w:cs="宋体"/>
                <w:bCs/>
                <w:sz w:val="21"/>
                <w:lang w:bidi="ar"/>
              </w:rPr>
              <w:t>已投产</w:t>
            </w:r>
          </w:p>
        </w:tc>
      </w:tr>
      <w:tr w14:paraId="685EB962">
        <w:tblPrEx>
          <w:tblCellMar>
            <w:top w:w="0" w:type="dxa"/>
            <w:left w:w="108" w:type="dxa"/>
            <w:bottom w:w="0" w:type="dxa"/>
            <w:right w:w="108" w:type="dxa"/>
          </w:tblCellMar>
        </w:tblPrEx>
        <w:tc>
          <w:tcPr>
            <w:tcW w:w="519" w:type="dxa"/>
            <w:noWrap w:val="0"/>
            <w:vAlign w:val="center"/>
          </w:tcPr>
          <w:p w14:paraId="2B2ED91B">
            <w:pPr>
              <w:widowControl/>
              <w:jc w:val="center"/>
              <w:rPr>
                <w:rFonts w:hint="eastAsia" w:ascii="宋体" w:hAnsi="宋体" w:cs="宋体"/>
                <w:bCs/>
                <w:sz w:val="21"/>
                <w:lang w:eastAsia="en-US" w:bidi="ar"/>
              </w:rPr>
            </w:pPr>
            <w:r>
              <w:rPr>
                <w:rFonts w:hint="eastAsia" w:ascii="宋体" w:hAnsi="宋体" w:cs="宋体"/>
                <w:bCs/>
                <w:sz w:val="21"/>
                <w:lang w:bidi="ar"/>
              </w:rPr>
              <w:t>29</w:t>
            </w:r>
          </w:p>
        </w:tc>
        <w:tc>
          <w:tcPr>
            <w:tcW w:w="1731" w:type="dxa"/>
            <w:noWrap w:val="0"/>
            <w:vAlign w:val="center"/>
          </w:tcPr>
          <w:p w14:paraId="286DB67D">
            <w:pPr>
              <w:widowControl/>
              <w:jc w:val="center"/>
              <w:rPr>
                <w:rFonts w:hint="eastAsia" w:ascii="宋体" w:hAnsi="宋体" w:cs="宋体"/>
                <w:bCs/>
                <w:sz w:val="21"/>
                <w:lang w:bidi="ar"/>
              </w:rPr>
            </w:pPr>
            <w:r>
              <w:rPr>
                <w:rFonts w:hint="eastAsia" w:ascii="宋体" w:hAnsi="宋体" w:cs="宋体"/>
                <w:bCs/>
                <w:sz w:val="21"/>
                <w:lang w:bidi="ar"/>
              </w:rPr>
              <w:t>津市市金湘猪慧实业有限公司</w:t>
            </w:r>
          </w:p>
        </w:tc>
        <w:tc>
          <w:tcPr>
            <w:tcW w:w="1514" w:type="dxa"/>
            <w:noWrap w:val="0"/>
            <w:vAlign w:val="center"/>
          </w:tcPr>
          <w:p w14:paraId="01A2AB07">
            <w:pPr>
              <w:widowControl/>
              <w:jc w:val="center"/>
              <w:rPr>
                <w:rFonts w:hint="eastAsia" w:ascii="宋体" w:hAnsi="宋体" w:cs="宋体"/>
                <w:bCs/>
                <w:sz w:val="21"/>
                <w:lang w:eastAsia="en-US" w:bidi="ar"/>
              </w:rPr>
            </w:pPr>
            <w:r>
              <w:rPr>
                <w:rFonts w:hint="eastAsia" w:ascii="宋体" w:hAnsi="宋体" w:cs="宋体"/>
                <w:bCs/>
                <w:sz w:val="21"/>
                <w:lang w:bidi="ar"/>
              </w:rPr>
              <w:t>111.857997738</w:t>
            </w:r>
          </w:p>
        </w:tc>
        <w:tc>
          <w:tcPr>
            <w:tcW w:w="1473" w:type="dxa"/>
            <w:noWrap w:val="0"/>
            <w:vAlign w:val="center"/>
          </w:tcPr>
          <w:p w14:paraId="5C2B6821">
            <w:pPr>
              <w:widowControl/>
              <w:jc w:val="center"/>
              <w:rPr>
                <w:rFonts w:hint="eastAsia" w:ascii="宋体" w:hAnsi="宋体" w:cs="宋体"/>
                <w:bCs/>
                <w:sz w:val="21"/>
                <w:lang w:eastAsia="en-US" w:bidi="ar"/>
              </w:rPr>
            </w:pPr>
            <w:r>
              <w:rPr>
                <w:rFonts w:hint="eastAsia" w:ascii="宋体" w:hAnsi="宋体" w:cs="宋体"/>
                <w:bCs/>
                <w:sz w:val="21"/>
                <w:lang w:bidi="ar"/>
              </w:rPr>
              <w:t>29.571999032</w:t>
            </w:r>
          </w:p>
        </w:tc>
        <w:tc>
          <w:tcPr>
            <w:tcW w:w="959" w:type="dxa"/>
            <w:noWrap w:val="0"/>
            <w:vAlign w:val="center"/>
          </w:tcPr>
          <w:p w14:paraId="13100BDC">
            <w:pPr>
              <w:widowControl/>
              <w:jc w:val="center"/>
              <w:rPr>
                <w:rFonts w:hint="eastAsia" w:ascii="宋体" w:hAnsi="宋体" w:cs="宋体"/>
                <w:bCs/>
                <w:sz w:val="21"/>
                <w:lang w:eastAsia="en-US" w:bidi="ar"/>
              </w:rPr>
            </w:pPr>
            <w:r>
              <w:rPr>
                <w:rFonts w:hint="eastAsia" w:ascii="宋体" w:hAnsi="宋体" w:cs="宋体"/>
                <w:bCs/>
                <w:sz w:val="21"/>
                <w:lang w:bidi="ar"/>
              </w:rPr>
              <w:t>34700</w:t>
            </w:r>
          </w:p>
        </w:tc>
        <w:tc>
          <w:tcPr>
            <w:tcW w:w="852" w:type="dxa"/>
            <w:noWrap w:val="0"/>
            <w:vAlign w:val="center"/>
          </w:tcPr>
          <w:p w14:paraId="6AA112F8">
            <w:pPr>
              <w:widowControl/>
              <w:jc w:val="center"/>
              <w:rPr>
                <w:rFonts w:hint="eastAsia" w:ascii="宋体" w:hAnsi="宋体" w:cs="宋体"/>
                <w:bCs/>
                <w:sz w:val="21"/>
                <w:lang w:eastAsia="en-US" w:bidi="ar"/>
              </w:rPr>
            </w:pPr>
            <w:r>
              <w:rPr>
                <w:rFonts w:hint="eastAsia" w:ascii="宋体" w:hAnsi="宋体" w:cs="宋体"/>
                <w:bCs/>
                <w:sz w:val="21"/>
                <w:lang w:bidi="ar"/>
              </w:rPr>
              <w:t>3.47</w:t>
            </w:r>
          </w:p>
        </w:tc>
        <w:tc>
          <w:tcPr>
            <w:tcW w:w="932" w:type="dxa"/>
            <w:noWrap w:val="0"/>
            <w:vAlign w:val="center"/>
          </w:tcPr>
          <w:p w14:paraId="67786E4C">
            <w:pPr>
              <w:widowControl/>
              <w:jc w:val="center"/>
              <w:rPr>
                <w:rFonts w:hint="eastAsia" w:ascii="宋体" w:hAnsi="宋体" w:cs="宋体"/>
                <w:bCs/>
                <w:sz w:val="21"/>
                <w:lang w:bidi="ar"/>
              </w:rPr>
            </w:pPr>
            <w:r>
              <w:rPr>
                <w:rFonts w:hint="eastAsia" w:ascii="宋体" w:hAnsi="宋体" w:cs="宋体"/>
                <w:bCs/>
                <w:sz w:val="21"/>
                <w:lang w:bidi="ar"/>
              </w:rPr>
              <w:t>0.22</w:t>
            </w:r>
          </w:p>
        </w:tc>
        <w:tc>
          <w:tcPr>
            <w:tcW w:w="825" w:type="dxa"/>
            <w:noWrap w:val="0"/>
            <w:vAlign w:val="center"/>
          </w:tcPr>
          <w:p w14:paraId="6F09A7AC">
            <w:pPr>
              <w:widowControl/>
              <w:jc w:val="center"/>
              <w:rPr>
                <w:rFonts w:hint="eastAsia" w:ascii="宋体" w:hAnsi="宋体" w:cs="宋体"/>
                <w:bCs/>
                <w:sz w:val="21"/>
                <w:lang w:bidi="ar"/>
              </w:rPr>
            </w:pPr>
            <w:r>
              <w:rPr>
                <w:rFonts w:hint="eastAsia" w:ascii="宋体" w:hAnsi="宋体" w:cs="宋体"/>
                <w:bCs/>
                <w:sz w:val="21"/>
                <w:lang w:bidi="ar"/>
              </w:rPr>
              <w:t>0.27</w:t>
            </w:r>
          </w:p>
        </w:tc>
        <w:tc>
          <w:tcPr>
            <w:tcW w:w="716" w:type="dxa"/>
            <w:noWrap w:val="0"/>
            <w:vAlign w:val="center"/>
          </w:tcPr>
          <w:p w14:paraId="073EF62C">
            <w:pPr>
              <w:widowControl/>
              <w:jc w:val="center"/>
              <w:rPr>
                <w:rFonts w:hint="eastAsia" w:ascii="宋体" w:hAnsi="宋体" w:cs="宋体"/>
                <w:bCs/>
                <w:sz w:val="21"/>
                <w:lang w:bidi="ar"/>
              </w:rPr>
            </w:pPr>
            <w:r>
              <w:rPr>
                <w:rFonts w:hint="eastAsia" w:ascii="宋体" w:hAnsi="宋体" w:cs="宋体"/>
                <w:bCs/>
                <w:sz w:val="21"/>
                <w:lang w:bidi="ar"/>
              </w:rPr>
              <w:t>0.54</w:t>
            </w:r>
          </w:p>
        </w:tc>
        <w:tc>
          <w:tcPr>
            <w:tcW w:w="825" w:type="dxa"/>
            <w:noWrap w:val="0"/>
            <w:vAlign w:val="center"/>
          </w:tcPr>
          <w:p w14:paraId="54EBE18B">
            <w:pPr>
              <w:widowControl/>
              <w:jc w:val="center"/>
              <w:rPr>
                <w:rFonts w:hint="eastAsia" w:ascii="宋体" w:hAnsi="宋体" w:cs="宋体"/>
                <w:bCs/>
                <w:sz w:val="21"/>
                <w:lang w:bidi="ar"/>
              </w:rPr>
            </w:pPr>
            <w:r>
              <w:rPr>
                <w:rFonts w:hint="eastAsia" w:ascii="宋体" w:hAnsi="宋体" w:cs="宋体"/>
                <w:bCs/>
                <w:sz w:val="21"/>
                <w:lang w:bidi="ar"/>
              </w:rPr>
              <w:t>0.03</w:t>
            </w:r>
          </w:p>
        </w:tc>
        <w:tc>
          <w:tcPr>
            <w:tcW w:w="1341" w:type="dxa"/>
            <w:noWrap w:val="0"/>
            <w:vAlign w:val="center"/>
          </w:tcPr>
          <w:p w14:paraId="3286D491">
            <w:pPr>
              <w:widowControl/>
              <w:jc w:val="center"/>
              <w:rPr>
                <w:rFonts w:hint="eastAsia" w:ascii="宋体" w:hAnsi="宋体" w:cs="宋体"/>
                <w:bCs/>
                <w:sz w:val="21"/>
                <w:lang w:eastAsia="en-US" w:bidi="ar"/>
              </w:rPr>
            </w:pPr>
            <w:r>
              <w:rPr>
                <w:rFonts w:hint="eastAsia" w:ascii="宋体" w:hAnsi="宋体" w:cs="宋体"/>
                <w:bCs/>
                <w:sz w:val="21"/>
                <w:lang w:bidi="ar"/>
              </w:rPr>
              <w:t>/</w:t>
            </w:r>
          </w:p>
        </w:tc>
        <w:tc>
          <w:tcPr>
            <w:tcW w:w="1753" w:type="dxa"/>
            <w:noWrap w:val="0"/>
            <w:vAlign w:val="center"/>
          </w:tcPr>
          <w:p w14:paraId="7491F350">
            <w:pPr>
              <w:widowControl/>
              <w:jc w:val="center"/>
              <w:rPr>
                <w:rFonts w:hint="eastAsia" w:ascii="宋体" w:hAnsi="宋体" w:cs="宋体"/>
                <w:bCs/>
                <w:sz w:val="21"/>
                <w:lang w:eastAsia="en-US" w:bidi="ar"/>
              </w:rPr>
            </w:pPr>
            <w:r>
              <w:rPr>
                <w:rFonts w:hint="eastAsia" w:ascii="宋体" w:hAnsi="宋体" w:cs="宋体"/>
                <w:bCs/>
                <w:sz w:val="21"/>
                <w:lang w:bidi="ar"/>
              </w:rPr>
              <w:t>一般固废2130</w:t>
            </w:r>
          </w:p>
        </w:tc>
        <w:tc>
          <w:tcPr>
            <w:tcW w:w="881" w:type="dxa"/>
            <w:noWrap w:val="0"/>
            <w:vAlign w:val="center"/>
          </w:tcPr>
          <w:p w14:paraId="6544A8B4">
            <w:pPr>
              <w:widowControl/>
              <w:jc w:val="center"/>
              <w:rPr>
                <w:rFonts w:hint="eastAsia" w:ascii="宋体" w:hAnsi="宋体" w:cs="宋体"/>
                <w:bCs/>
                <w:sz w:val="21"/>
                <w:lang w:eastAsia="en-US" w:bidi="ar"/>
              </w:rPr>
            </w:pPr>
            <w:r>
              <w:rPr>
                <w:rFonts w:hint="eastAsia" w:ascii="宋体" w:hAnsi="宋体" w:cs="宋体"/>
                <w:bCs/>
                <w:sz w:val="21"/>
                <w:lang w:bidi="ar"/>
              </w:rPr>
              <w:t>已投产</w:t>
            </w:r>
          </w:p>
        </w:tc>
      </w:tr>
      <w:tr w14:paraId="78658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9" w:type="dxa"/>
            <w:noWrap w:val="0"/>
            <w:vAlign w:val="center"/>
          </w:tcPr>
          <w:p w14:paraId="000F201E">
            <w:pPr>
              <w:widowControl/>
              <w:jc w:val="center"/>
              <w:rPr>
                <w:rFonts w:hint="eastAsia" w:ascii="宋体" w:hAnsi="宋体" w:cs="宋体"/>
                <w:bCs/>
                <w:sz w:val="21"/>
                <w:lang w:eastAsia="en-US" w:bidi="ar"/>
              </w:rPr>
            </w:pPr>
            <w:r>
              <w:rPr>
                <w:rFonts w:hint="eastAsia" w:ascii="宋体" w:hAnsi="宋体" w:cs="宋体"/>
                <w:bCs/>
                <w:sz w:val="21"/>
                <w:lang w:bidi="ar"/>
              </w:rPr>
              <w:t>30</w:t>
            </w:r>
          </w:p>
        </w:tc>
        <w:tc>
          <w:tcPr>
            <w:tcW w:w="1731" w:type="dxa"/>
            <w:noWrap w:val="0"/>
            <w:vAlign w:val="center"/>
          </w:tcPr>
          <w:p w14:paraId="619CE09A">
            <w:pPr>
              <w:widowControl/>
              <w:jc w:val="center"/>
              <w:rPr>
                <w:rFonts w:hint="eastAsia" w:ascii="宋体" w:hAnsi="宋体" w:cs="宋体"/>
                <w:bCs/>
                <w:sz w:val="21"/>
                <w:lang w:bidi="ar"/>
              </w:rPr>
            </w:pPr>
            <w:r>
              <w:rPr>
                <w:rFonts w:hint="eastAsia" w:ascii="宋体" w:hAnsi="宋体" w:cs="宋体"/>
                <w:bCs/>
                <w:sz w:val="21"/>
                <w:lang w:bidi="ar"/>
              </w:rPr>
              <w:t>常德仁和盛五金包装制品有限公司</w:t>
            </w:r>
          </w:p>
        </w:tc>
        <w:tc>
          <w:tcPr>
            <w:tcW w:w="1514" w:type="dxa"/>
            <w:noWrap w:val="0"/>
            <w:vAlign w:val="center"/>
          </w:tcPr>
          <w:p w14:paraId="5AAF05C4">
            <w:pPr>
              <w:widowControl/>
              <w:jc w:val="center"/>
              <w:rPr>
                <w:rFonts w:hint="eastAsia" w:ascii="宋体" w:hAnsi="宋体" w:cs="宋体"/>
                <w:bCs/>
                <w:sz w:val="21"/>
                <w:lang w:eastAsia="en-US" w:bidi="ar"/>
              </w:rPr>
            </w:pPr>
            <w:r>
              <w:rPr>
                <w:rFonts w:hint="eastAsia" w:ascii="宋体" w:hAnsi="宋体" w:cs="宋体"/>
                <w:bCs/>
                <w:sz w:val="21"/>
                <w:lang w:bidi="ar"/>
              </w:rPr>
              <w:t>111.850845491</w:t>
            </w:r>
          </w:p>
        </w:tc>
        <w:tc>
          <w:tcPr>
            <w:tcW w:w="1473" w:type="dxa"/>
            <w:noWrap w:val="0"/>
            <w:vAlign w:val="center"/>
          </w:tcPr>
          <w:p w14:paraId="1E9C7523">
            <w:pPr>
              <w:widowControl/>
              <w:jc w:val="center"/>
              <w:rPr>
                <w:rFonts w:hint="eastAsia" w:ascii="宋体" w:hAnsi="宋体" w:cs="宋体"/>
                <w:bCs/>
                <w:sz w:val="21"/>
                <w:lang w:eastAsia="en-US" w:bidi="ar"/>
              </w:rPr>
            </w:pPr>
            <w:r>
              <w:rPr>
                <w:rFonts w:hint="eastAsia" w:ascii="宋体" w:hAnsi="宋体" w:cs="宋体"/>
                <w:bCs/>
                <w:sz w:val="21"/>
                <w:lang w:bidi="ar"/>
              </w:rPr>
              <w:t>29.576047362</w:t>
            </w:r>
          </w:p>
        </w:tc>
        <w:tc>
          <w:tcPr>
            <w:tcW w:w="959" w:type="dxa"/>
            <w:noWrap w:val="0"/>
            <w:vAlign w:val="center"/>
          </w:tcPr>
          <w:p w14:paraId="37E6588B">
            <w:pPr>
              <w:widowControl/>
              <w:jc w:val="center"/>
              <w:rPr>
                <w:rFonts w:hint="eastAsia" w:ascii="宋体" w:hAnsi="宋体" w:cs="宋体"/>
                <w:bCs/>
                <w:sz w:val="21"/>
                <w:lang w:eastAsia="en-US" w:bidi="ar"/>
              </w:rPr>
            </w:pPr>
            <w:r>
              <w:rPr>
                <w:rFonts w:hint="eastAsia" w:ascii="宋体" w:hAnsi="宋体" w:cs="宋体"/>
                <w:bCs/>
                <w:sz w:val="21"/>
                <w:lang w:bidi="ar"/>
              </w:rPr>
              <w:t>6000</w:t>
            </w:r>
          </w:p>
        </w:tc>
        <w:tc>
          <w:tcPr>
            <w:tcW w:w="852" w:type="dxa"/>
            <w:noWrap w:val="0"/>
            <w:vAlign w:val="center"/>
          </w:tcPr>
          <w:p w14:paraId="79D86690">
            <w:pPr>
              <w:widowControl/>
              <w:jc w:val="center"/>
              <w:rPr>
                <w:rFonts w:hint="eastAsia" w:ascii="宋体" w:hAnsi="宋体" w:cs="宋体"/>
                <w:bCs/>
                <w:sz w:val="21"/>
                <w:lang w:bidi="ar"/>
              </w:rPr>
            </w:pPr>
            <w:r>
              <w:rPr>
                <w:rFonts w:hint="eastAsia" w:ascii="宋体" w:hAnsi="宋体" w:cs="宋体"/>
                <w:bCs/>
                <w:sz w:val="21"/>
                <w:lang w:bidi="ar"/>
              </w:rPr>
              <w:t>0.36</w:t>
            </w:r>
          </w:p>
        </w:tc>
        <w:tc>
          <w:tcPr>
            <w:tcW w:w="932" w:type="dxa"/>
            <w:noWrap w:val="0"/>
            <w:vAlign w:val="center"/>
          </w:tcPr>
          <w:p w14:paraId="4AD1963C">
            <w:pPr>
              <w:widowControl/>
              <w:jc w:val="center"/>
              <w:rPr>
                <w:rFonts w:hint="eastAsia" w:ascii="宋体" w:hAnsi="宋体" w:cs="宋体"/>
                <w:bCs/>
                <w:sz w:val="21"/>
                <w:lang w:eastAsia="en-US" w:bidi="ar"/>
              </w:rPr>
            </w:pPr>
            <w:r>
              <w:rPr>
                <w:rFonts w:hint="eastAsia" w:ascii="宋体" w:hAnsi="宋体" w:cs="宋体"/>
                <w:bCs/>
                <w:sz w:val="21"/>
                <w:lang w:bidi="ar"/>
              </w:rPr>
              <w:t>0.057</w:t>
            </w:r>
          </w:p>
        </w:tc>
        <w:tc>
          <w:tcPr>
            <w:tcW w:w="825" w:type="dxa"/>
            <w:noWrap w:val="0"/>
            <w:vAlign w:val="center"/>
          </w:tcPr>
          <w:p w14:paraId="61871475">
            <w:pPr>
              <w:widowControl/>
              <w:jc w:val="center"/>
              <w:rPr>
                <w:rFonts w:hint="eastAsia" w:ascii="宋体" w:hAnsi="宋体" w:cs="宋体"/>
                <w:bCs/>
                <w:sz w:val="21"/>
                <w:lang w:eastAsia="en-US" w:bidi="ar"/>
              </w:rPr>
            </w:pPr>
            <w:r>
              <w:rPr>
                <w:rFonts w:hint="eastAsia" w:ascii="宋体" w:hAnsi="宋体" w:cs="宋体"/>
                <w:bCs/>
                <w:sz w:val="21"/>
                <w:lang w:bidi="ar"/>
              </w:rPr>
              <w:t>127</w:t>
            </w:r>
          </w:p>
        </w:tc>
        <w:tc>
          <w:tcPr>
            <w:tcW w:w="716" w:type="dxa"/>
            <w:noWrap w:val="0"/>
            <w:vAlign w:val="center"/>
          </w:tcPr>
          <w:p w14:paraId="64E4CE01">
            <w:pPr>
              <w:widowControl/>
              <w:jc w:val="center"/>
              <w:rPr>
                <w:rFonts w:hint="eastAsia" w:ascii="宋体" w:hAnsi="宋体" w:cs="宋体"/>
                <w:bCs/>
                <w:sz w:val="21"/>
                <w:lang w:eastAsia="en-US" w:bidi="ar"/>
              </w:rPr>
            </w:pPr>
            <w:r>
              <w:rPr>
                <w:rFonts w:hint="eastAsia" w:ascii="宋体" w:hAnsi="宋体" w:cs="宋体"/>
                <w:bCs/>
                <w:sz w:val="21"/>
                <w:lang w:bidi="ar"/>
              </w:rPr>
              <w:t>2.54</w:t>
            </w:r>
          </w:p>
        </w:tc>
        <w:tc>
          <w:tcPr>
            <w:tcW w:w="825" w:type="dxa"/>
            <w:noWrap w:val="0"/>
            <w:vAlign w:val="center"/>
          </w:tcPr>
          <w:p w14:paraId="7395BF36">
            <w:pPr>
              <w:widowControl/>
              <w:jc w:val="center"/>
              <w:rPr>
                <w:rFonts w:hint="eastAsia" w:ascii="宋体" w:hAnsi="宋体" w:cs="宋体"/>
                <w:bCs/>
                <w:sz w:val="21"/>
                <w:lang w:eastAsia="en-US" w:bidi="ar"/>
              </w:rPr>
            </w:pPr>
            <w:r>
              <w:rPr>
                <w:rFonts w:hint="eastAsia" w:ascii="宋体" w:hAnsi="宋体" w:cs="宋体"/>
                <w:bCs/>
                <w:sz w:val="21"/>
                <w:lang w:bidi="ar"/>
              </w:rPr>
              <w:t>0.005</w:t>
            </w:r>
          </w:p>
        </w:tc>
        <w:tc>
          <w:tcPr>
            <w:tcW w:w="1341" w:type="dxa"/>
            <w:noWrap w:val="0"/>
            <w:vAlign w:val="center"/>
          </w:tcPr>
          <w:p w14:paraId="74EA9D14">
            <w:pPr>
              <w:widowControl/>
              <w:jc w:val="center"/>
              <w:rPr>
                <w:rFonts w:hint="eastAsia" w:ascii="宋体" w:hAnsi="宋体" w:cs="宋体"/>
                <w:bCs/>
                <w:sz w:val="21"/>
                <w:lang w:eastAsia="en-US" w:bidi="ar"/>
              </w:rPr>
            </w:pPr>
            <w:r>
              <w:rPr>
                <w:rFonts w:hint="eastAsia" w:ascii="宋体" w:hAnsi="宋体" w:cs="宋体"/>
                <w:bCs/>
                <w:sz w:val="21"/>
                <w:lang w:bidi="ar"/>
              </w:rPr>
              <w:t>/</w:t>
            </w:r>
          </w:p>
        </w:tc>
        <w:tc>
          <w:tcPr>
            <w:tcW w:w="1753" w:type="dxa"/>
            <w:noWrap w:val="0"/>
            <w:vAlign w:val="center"/>
          </w:tcPr>
          <w:p w14:paraId="288EBF01">
            <w:pPr>
              <w:widowControl/>
              <w:jc w:val="center"/>
              <w:rPr>
                <w:rFonts w:hint="eastAsia" w:ascii="宋体" w:hAnsi="宋体" w:cs="宋体"/>
                <w:bCs/>
                <w:sz w:val="21"/>
                <w:lang w:bidi="ar"/>
              </w:rPr>
            </w:pPr>
            <w:r>
              <w:rPr>
                <w:rFonts w:hint="eastAsia" w:ascii="宋体" w:hAnsi="宋体" w:cs="宋体"/>
                <w:bCs/>
                <w:sz w:val="21"/>
                <w:lang w:bidi="ar"/>
              </w:rPr>
              <w:t>一般固废20；危险固废（油墨桶、废手套抹布）1.6</w:t>
            </w:r>
          </w:p>
        </w:tc>
        <w:tc>
          <w:tcPr>
            <w:tcW w:w="881" w:type="dxa"/>
            <w:noWrap w:val="0"/>
            <w:vAlign w:val="center"/>
          </w:tcPr>
          <w:p w14:paraId="5C644502">
            <w:pPr>
              <w:widowControl/>
              <w:jc w:val="center"/>
              <w:rPr>
                <w:rFonts w:hint="eastAsia" w:ascii="宋体" w:hAnsi="宋体" w:cs="宋体"/>
                <w:bCs/>
                <w:sz w:val="21"/>
                <w:lang w:eastAsia="en-US" w:bidi="ar"/>
              </w:rPr>
            </w:pPr>
            <w:r>
              <w:rPr>
                <w:rFonts w:hint="eastAsia" w:ascii="宋体" w:hAnsi="宋体" w:cs="宋体"/>
                <w:bCs/>
                <w:sz w:val="21"/>
                <w:lang w:bidi="ar"/>
              </w:rPr>
              <w:t>已投产</w:t>
            </w:r>
          </w:p>
        </w:tc>
      </w:tr>
      <w:tr w14:paraId="36CF4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6" w:hRule="atLeast"/>
        </w:trPr>
        <w:tc>
          <w:tcPr>
            <w:tcW w:w="519" w:type="dxa"/>
            <w:noWrap w:val="0"/>
            <w:vAlign w:val="center"/>
          </w:tcPr>
          <w:p w14:paraId="52886512">
            <w:pPr>
              <w:widowControl/>
              <w:jc w:val="center"/>
              <w:rPr>
                <w:rFonts w:hint="eastAsia" w:ascii="宋体" w:hAnsi="宋体" w:cs="宋体"/>
                <w:bCs/>
                <w:sz w:val="21"/>
                <w:lang w:eastAsia="en-US" w:bidi="ar"/>
              </w:rPr>
            </w:pPr>
            <w:r>
              <w:rPr>
                <w:rFonts w:hint="eastAsia" w:ascii="宋体" w:hAnsi="宋体" w:cs="宋体"/>
                <w:bCs/>
                <w:sz w:val="21"/>
                <w:lang w:bidi="ar"/>
              </w:rPr>
              <w:t>31</w:t>
            </w:r>
          </w:p>
        </w:tc>
        <w:tc>
          <w:tcPr>
            <w:tcW w:w="1731" w:type="dxa"/>
            <w:noWrap w:val="0"/>
            <w:vAlign w:val="center"/>
          </w:tcPr>
          <w:p w14:paraId="185A5A08">
            <w:pPr>
              <w:widowControl/>
              <w:jc w:val="center"/>
              <w:rPr>
                <w:rFonts w:hint="eastAsia" w:ascii="宋体" w:hAnsi="宋体" w:cs="宋体"/>
                <w:bCs/>
                <w:sz w:val="21"/>
                <w:lang w:bidi="ar"/>
              </w:rPr>
            </w:pPr>
            <w:r>
              <w:rPr>
                <w:rFonts w:hint="eastAsia" w:ascii="宋体" w:hAnsi="宋体" w:cs="宋体"/>
                <w:bCs/>
                <w:sz w:val="21"/>
                <w:lang w:bidi="ar"/>
              </w:rPr>
              <w:t>湖南吉人住工装配式建筑有限公司</w:t>
            </w:r>
          </w:p>
        </w:tc>
        <w:tc>
          <w:tcPr>
            <w:tcW w:w="1514" w:type="dxa"/>
            <w:noWrap w:val="0"/>
            <w:vAlign w:val="center"/>
          </w:tcPr>
          <w:p w14:paraId="79DAD6DF">
            <w:pPr>
              <w:widowControl/>
              <w:jc w:val="center"/>
              <w:rPr>
                <w:rFonts w:hint="eastAsia" w:ascii="宋体" w:hAnsi="宋体" w:cs="宋体"/>
                <w:bCs/>
                <w:sz w:val="21"/>
                <w:lang w:eastAsia="en-US" w:bidi="ar"/>
              </w:rPr>
            </w:pPr>
            <w:r>
              <w:rPr>
                <w:rFonts w:hint="eastAsia" w:ascii="宋体" w:hAnsi="宋体" w:cs="宋体"/>
                <w:bCs/>
                <w:sz w:val="21"/>
                <w:lang w:bidi="ar"/>
              </w:rPr>
              <w:t>111.801655553</w:t>
            </w:r>
          </w:p>
        </w:tc>
        <w:tc>
          <w:tcPr>
            <w:tcW w:w="1473" w:type="dxa"/>
            <w:noWrap w:val="0"/>
            <w:vAlign w:val="center"/>
          </w:tcPr>
          <w:p w14:paraId="337B9A22">
            <w:pPr>
              <w:widowControl/>
              <w:jc w:val="center"/>
              <w:rPr>
                <w:rFonts w:hint="eastAsia" w:ascii="宋体" w:hAnsi="宋体" w:cs="宋体"/>
                <w:bCs/>
                <w:sz w:val="21"/>
                <w:lang w:eastAsia="en-US" w:bidi="ar"/>
              </w:rPr>
            </w:pPr>
            <w:r>
              <w:rPr>
                <w:rFonts w:hint="eastAsia" w:ascii="宋体" w:hAnsi="宋体" w:cs="宋体"/>
                <w:bCs/>
                <w:sz w:val="21"/>
                <w:lang w:bidi="ar"/>
              </w:rPr>
              <w:t>29.572781424</w:t>
            </w:r>
          </w:p>
        </w:tc>
        <w:tc>
          <w:tcPr>
            <w:tcW w:w="959" w:type="dxa"/>
            <w:noWrap w:val="0"/>
            <w:vAlign w:val="center"/>
          </w:tcPr>
          <w:p w14:paraId="00F55320">
            <w:pPr>
              <w:widowControl/>
              <w:jc w:val="center"/>
              <w:rPr>
                <w:rFonts w:hint="eastAsia" w:ascii="宋体" w:hAnsi="宋体" w:cs="宋体"/>
                <w:bCs/>
                <w:sz w:val="21"/>
                <w:lang w:eastAsia="en-US" w:bidi="ar"/>
              </w:rPr>
            </w:pPr>
            <w:r>
              <w:rPr>
                <w:rFonts w:hint="eastAsia" w:ascii="宋体" w:hAnsi="宋体" w:cs="宋体"/>
                <w:bCs/>
                <w:sz w:val="21"/>
                <w:lang w:bidi="ar"/>
              </w:rPr>
              <w:t>332</w:t>
            </w:r>
          </w:p>
        </w:tc>
        <w:tc>
          <w:tcPr>
            <w:tcW w:w="852" w:type="dxa"/>
            <w:noWrap w:val="0"/>
            <w:vAlign w:val="center"/>
          </w:tcPr>
          <w:p w14:paraId="21C799F2">
            <w:pPr>
              <w:widowControl/>
              <w:jc w:val="center"/>
              <w:rPr>
                <w:rFonts w:hint="eastAsia" w:ascii="宋体" w:hAnsi="宋体" w:cs="宋体"/>
                <w:bCs/>
                <w:sz w:val="21"/>
                <w:lang w:eastAsia="en-US" w:bidi="ar"/>
              </w:rPr>
            </w:pPr>
            <w:r>
              <w:rPr>
                <w:rFonts w:hint="eastAsia" w:ascii="宋体" w:hAnsi="宋体" w:cs="宋体"/>
                <w:bCs/>
                <w:sz w:val="21"/>
                <w:lang w:bidi="ar"/>
              </w:rPr>
              <w:t>0.039</w:t>
            </w:r>
          </w:p>
        </w:tc>
        <w:tc>
          <w:tcPr>
            <w:tcW w:w="932" w:type="dxa"/>
            <w:noWrap w:val="0"/>
            <w:vAlign w:val="center"/>
          </w:tcPr>
          <w:p w14:paraId="1CFB3683">
            <w:pPr>
              <w:widowControl/>
              <w:jc w:val="center"/>
              <w:rPr>
                <w:rFonts w:hint="eastAsia" w:ascii="宋体" w:hAnsi="宋体" w:cs="宋体"/>
                <w:bCs/>
                <w:sz w:val="21"/>
                <w:lang w:eastAsia="en-US" w:bidi="ar"/>
              </w:rPr>
            </w:pPr>
            <w:r>
              <w:rPr>
                <w:rFonts w:hint="eastAsia" w:ascii="宋体" w:hAnsi="宋体" w:cs="宋体"/>
                <w:bCs/>
                <w:sz w:val="21"/>
                <w:lang w:bidi="ar"/>
              </w:rPr>
              <w:t>0.002</w:t>
            </w:r>
          </w:p>
        </w:tc>
        <w:tc>
          <w:tcPr>
            <w:tcW w:w="825" w:type="dxa"/>
            <w:noWrap w:val="0"/>
            <w:vAlign w:val="center"/>
          </w:tcPr>
          <w:p w14:paraId="6DFDCF11">
            <w:pPr>
              <w:widowControl/>
              <w:jc w:val="center"/>
              <w:rPr>
                <w:rFonts w:hint="eastAsia" w:ascii="宋体" w:hAnsi="宋体" w:cs="宋体"/>
                <w:bCs/>
                <w:sz w:val="21"/>
                <w:lang w:bidi="ar"/>
              </w:rPr>
            </w:pPr>
            <w:r>
              <w:rPr>
                <w:rFonts w:hint="eastAsia" w:ascii="宋体" w:hAnsi="宋体" w:cs="宋体"/>
                <w:bCs/>
                <w:sz w:val="21"/>
                <w:lang w:bidi="ar"/>
              </w:rPr>
              <w:t>0.1</w:t>
            </w:r>
          </w:p>
        </w:tc>
        <w:tc>
          <w:tcPr>
            <w:tcW w:w="716" w:type="dxa"/>
            <w:noWrap w:val="0"/>
            <w:vAlign w:val="center"/>
          </w:tcPr>
          <w:p w14:paraId="63FA1879">
            <w:pPr>
              <w:widowControl/>
              <w:jc w:val="center"/>
              <w:rPr>
                <w:rFonts w:hint="eastAsia" w:ascii="宋体" w:hAnsi="宋体" w:cs="宋体"/>
                <w:bCs/>
                <w:sz w:val="21"/>
                <w:lang w:eastAsia="en-US" w:bidi="ar"/>
              </w:rPr>
            </w:pPr>
            <w:r>
              <w:rPr>
                <w:rFonts w:hint="eastAsia" w:ascii="宋体" w:hAnsi="宋体" w:cs="宋体"/>
                <w:bCs/>
                <w:sz w:val="21"/>
                <w:lang w:bidi="ar"/>
              </w:rPr>
              <w:t>0.064</w:t>
            </w:r>
          </w:p>
        </w:tc>
        <w:tc>
          <w:tcPr>
            <w:tcW w:w="825" w:type="dxa"/>
            <w:noWrap w:val="0"/>
            <w:vAlign w:val="center"/>
          </w:tcPr>
          <w:p w14:paraId="001FE7F8">
            <w:pPr>
              <w:widowControl/>
              <w:jc w:val="center"/>
              <w:rPr>
                <w:rFonts w:hint="eastAsia" w:ascii="宋体" w:hAnsi="宋体" w:cs="宋体"/>
                <w:bCs/>
                <w:sz w:val="21"/>
                <w:lang w:bidi="ar"/>
              </w:rPr>
            </w:pPr>
            <w:r>
              <w:rPr>
                <w:rFonts w:hint="eastAsia" w:ascii="宋体" w:hAnsi="宋体" w:cs="宋体"/>
                <w:bCs/>
                <w:sz w:val="21"/>
                <w:lang w:bidi="ar"/>
              </w:rPr>
              <w:t>0</w:t>
            </w:r>
          </w:p>
        </w:tc>
        <w:tc>
          <w:tcPr>
            <w:tcW w:w="1341" w:type="dxa"/>
            <w:noWrap w:val="0"/>
            <w:vAlign w:val="center"/>
          </w:tcPr>
          <w:p w14:paraId="2FB882B4">
            <w:pPr>
              <w:widowControl/>
              <w:jc w:val="center"/>
              <w:rPr>
                <w:rFonts w:hint="eastAsia" w:ascii="宋体" w:hAnsi="宋体" w:cs="宋体"/>
                <w:bCs/>
                <w:sz w:val="21"/>
                <w:lang w:eastAsia="en-US" w:bidi="ar"/>
              </w:rPr>
            </w:pPr>
            <w:r>
              <w:rPr>
                <w:rFonts w:hint="eastAsia" w:ascii="宋体" w:hAnsi="宋体" w:cs="宋体"/>
                <w:bCs/>
                <w:sz w:val="21"/>
                <w:lang w:bidi="ar"/>
              </w:rPr>
              <w:t>VOCs：0.24</w:t>
            </w:r>
          </w:p>
        </w:tc>
        <w:tc>
          <w:tcPr>
            <w:tcW w:w="1753" w:type="dxa"/>
            <w:noWrap w:val="0"/>
            <w:vAlign w:val="center"/>
          </w:tcPr>
          <w:p w14:paraId="6B889DC8">
            <w:pPr>
              <w:widowControl/>
              <w:jc w:val="center"/>
              <w:rPr>
                <w:rFonts w:hint="eastAsia" w:ascii="宋体" w:hAnsi="宋体" w:cs="宋体"/>
                <w:bCs/>
                <w:sz w:val="21"/>
                <w:lang w:bidi="ar"/>
              </w:rPr>
            </w:pPr>
            <w:r>
              <w:rPr>
                <w:rFonts w:hint="eastAsia" w:ascii="宋体" w:hAnsi="宋体" w:cs="宋体"/>
                <w:bCs/>
                <w:sz w:val="21"/>
                <w:lang w:bidi="ar"/>
              </w:rPr>
              <w:t>一般固废0.039；危险固废（废活性炭）</w:t>
            </w:r>
          </w:p>
          <w:p w14:paraId="2E1410C8">
            <w:pPr>
              <w:widowControl/>
              <w:jc w:val="center"/>
              <w:rPr>
                <w:rFonts w:hint="eastAsia" w:ascii="宋体" w:hAnsi="宋体" w:cs="宋体"/>
                <w:bCs/>
                <w:sz w:val="21"/>
                <w:lang w:eastAsia="en-US" w:bidi="ar"/>
              </w:rPr>
            </w:pPr>
            <w:r>
              <w:rPr>
                <w:rFonts w:hint="eastAsia" w:ascii="宋体" w:hAnsi="宋体" w:cs="宋体"/>
                <w:bCs/>
                <w:sz w:val="21"/>
                <w:lang w:bidi="ar"/>
              </w:rPr>
              <w:t>0.038</w:t>
            </w:r>
          </w:p>
        </w:tc>
        <w:tc>
          <w:tcPr>
            <w:tcW w:w="881" w:type="dxa"/>
            <w:noWrap w:val="0"/>
            <w:vAlign w:val="center"/>
          </w:tcPr>
          <w:p w14:paraId="6E1AC30E">
            <w:pPr>
              <w:widowControl/>
              <w:jc w:val="center"/>
              <w:rPr>
                <w:rFonts w:hint="eastAsia" w:ascii="宋体" w:hAnsi="宋体" w:cs="宋体"/>
                <w:bCs/>
                <w:sz w:val="21"/>
                <w:lang w:eastAsia="en-US" w:bidi="ar"/>
              </w:rPr>
            </w:pPr>
            <w:r>
              <w:rPr>
                <w:rFonts w:hint="eastAsia" w:ascii="宋体" w:hAnsi="宋体" w:cs="宋体"/>
                <w:bCs/>
                <w:sz w:val="21"/>
                <w:lang w:bidi="ar"/>
              </w:rPr>
              <w:t>已投产</w:t>
            </w:r>
          </w:p>
        </w:tc>
      </w:tr>
      <w:tr w14:paraId="679B7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9" w:type="dxa"/>
            <w:noWrap w:val="0"/>
            <w:vAlign w:val="center"/>
          </w:tcPr>
          <w:p w14:paraId="05C9443E">
            <w:pPr>
              <w:widowControl/>
              <w:jc w:val="center"/>
              <w:rPr>
                <w:rFonts w:hint="eastAsia" w:ascii="宋体" w:hAnsi="宋体" w:cs="宋体"/>
                <w:bCs/>
                <w:sz w:val="21"/>
                <w:lang w:eastAsia="en-US" w:bidi="ar"/>
              </w:rPr>
            </w:pPr>
            <w:r>
              <w:rPr>
                <w:rFonts w:hint="eastAsia" w:ascii="宋体" w:hAnsi="宋体" w:cs="宋体"/>
                <w:bCs/>
                <w:sz w:val="21"/>
                <w:lang w:bidi="ar"/>
              </w:rPr>
              <w:t>32</w:t>
            </w:r>
          </w:p>
        </w:tc>
        <w:tc>
          <w:tcPr>
            <w:tcW w:w="1731" w:type="dxa"/>
            <w:noWrap w:val="0"/>
            <w:vAlign w:val="center"/>
          </w:tcPr>
          <w:p w14:paraId="2CFA4C82">
            <w:pPr>
              <w:widowControl/>
              <w:jc w:val="center"/>
              <w:rPr>
                <w:rFonts w:hint="eastAsia" w:ascii="宋体" w:hAnsi="宋体" w:cs="宋体"/>
                <w:bCs/>
                <w:sz w:val="21"/>
                <w:lang w:bidi="ar"/>
              </w:rPr>
            </w:pPr>
            <w:r>
              <w:rPr>
                <w:rFonts w:hint="eastAsia" w:ascii="宋体" w:hAnsi="宋体" w:cs="宋体"/>
                <w:bCs/>
                <w:sz w:val="21"/>
                <w:lang w:bidi="ar"/>
              </w:rPr>
              <w:t>湖南宏炎酶制剂有限公司</w:t>
            </w:r>
          </w:p>
        </w:tc>
        <w:tc>
          <w:tcPr>
            <w:tcW w:w="1514" w:type="dxa"/>
            <w:noWrap w:val="0"/>
            <w:vAlign w:val="center"/>
          </w:tcPr>
          <w:p w14:paraId="212791A4">
            <w:pPr>
              <w:widowControl/>
              <w:jc w:val="center"/>
              <w:rPr>
                <w:rFonts w:hint="eastAsia" w:ascii="宋体" w:hAnsi="宋体" w:cs="宋体"/>
                <w:bCs/>
                <w:sz w:val="21"/>
                <w:lang w:eastAsia="en-US" w:bidi="ar"/>
              </w:rPr>
            </w:pPr>
            <w:r>
              <w:rPr>
                <w:rFonts w:hint="eastAsia" w:ascii="宋体" w:hAnsi="宋体" w:cs="宋体"/>
                <w:bCs/>
                <w:sz w:val="21"/>
                <w:lang w:bidi="ar"/>
              </w:rPr>
              <w:t>111.852175539</w:t>
            </w:r>
          </w:p>
        </w:tc>
        <w:tc>
          <w:tcPr>
            <w:tcW w:w="1473" w:type="dxa"/>
            <w:noWrap w:val="0"/>
            <w:vAlign w:val="center"/>
          </w:tcPr>
          <w:p w14:paraId="7F22929D">
            <w:pPr>
              <w:widowControl/>
              <w:jc w:val="center"/>
              <w:rPr>
                <w:rFonts w:hint="eastAsia" w:ascii="宋体" w:hAnsi="宋体" w:cs="宋体"/>
                <w:bCs/>
                <w:sz w:val="21"/>
                <w:lang w:eastAsia="en-US" w:bidi="ar"/>
              </w:rPr>
            </w:pPr>
            <w:r>
              <w:rPr>
                <w:rFonts w:hint="eastAsia" w:ascii="宋体" w:hAnsi="宋体" w:cs="宋体"/>
                <w:bCs/>
                <w:sz w:val="21"/>
                <w:lang w:bidi="ar"/>
              </w:rPr>
              <w:t>29.568395081</w:t>
            </w:r>
          </w:p>
        </w:tc>
        <w:tc>
          <w:tcPr>
            <w:tcW w:w="959" w:type="dxa"/>
            <w:noWrap w:val="0"/>
            <w:vAlign w:val="center"/>
          </w:tcPr>
          <w:p w14:paraId="1FC74866">
            <w:pPr>
              <w:widowControl/>
              <w:jc w:val="center"/>
              <w:rPr>
                <w:rFonts w:hint="eastAsia" w:ascii="宋体" w:hAnsi="宋体" w:cs="宋体"/>
                <w:bCs/>
                <w:sz w:val="21"/>
                <w:lang w:eastAsia="en-US" w:bidi="ar"/>
              </w:rPr>
            </w:pPr>
            <w:r>
              <w:rPr>
                <w:rFonts w:hint="eastAsia" w:ascii="宋体" w:hAnsi="宋体" w:cs="宋体"/>
                <w:bCs/>
                <w:sz w:val="21"/>
                <w:lang w:bidi="ar"/>
              </w:rPr>
              <w:t>1800</w:t>
            </w:r>
          </w:p>
        </w:tc>
        <w:tc>
          <w:tcPr>
            <w:tcW w:w="852" w:type="dxa"/>
            <w:noWrap w:val="0"/>
            <w:vAlign w:val="center"/>
          </w:tcPr>
          <w:p w14:paraId="67DD38E0">
            <w:pPr>
              <w:widowControl/>
              <w:jc w:val="center"/>
              <w:rPr>
                <w:rFonts w:hint="eastAsia" w:ascii="宋体" w:hAnsi="宋体" w:cs="宋体"/>
                <w:bCs/>
                <w:sz w:val="21"/>
                <w:lang w:eastAsia="en-US" w:bidi="ar"/>
              </w:rPr>
            </w:pPr>
            <w:r>
              <w:rPr>
                <w:rFonts w:hint="eastAsia" w:ascii="宋体" w:hAnsi="宋体" w:cs="宋体"/>
                <w:bCs/>
                <w:sz w:val="21"/>
                <w:lang w:bidi="ar"/>
              </w:rPr>
              <w:t>0.108</w:t>
            </w:r>
          </w:p>
        </w:tc>
        <w:tc>
          <w:tcPr>
            <w:tcW w:w="932" w:type="dxa"/>
            <w:noWrap w:val="0"/>
            <w:vAlign w:val="center"/>
          </w:tcPr>
          <w:p w14:paraId="07AE75E3">
            <w:pPr>
              <w:widowControl/>
              <w:jc w:val="center"/>
              <w:rPr>
                <w:rFonts w:hint="eastAsia" w:ascii="宋体" w:hAnsi="宋体" w:cs="宋体"/>
                <w:bCs/>
                <w:sz w:val="21"/>
                <w:lang w:eastAsia="en-US" w:bidi="ar"/>
              </w:rPr>
            </w:pPr>
            <w:r>
              <w:rPr>
                <w:rFonts w:hint="eastAsia" w:ascii="宋体" w:hAnsi="宋体" w:cs="宋体"/>
                <w:bCs/>
                <w:sz w:val="21"/>
                <w:lang w:bidi="ar"/>
              </w:rPr>
              <w:t>0.027</w:t>
            </w:r>
          </w:p>
        </w:tc>
        <w:tc>
          <w:tcPr>
            <w:tcW w:w="825" w:type="dxa"/>
            <w:noWrap w:val="0"/>
            <w:vAlign w:val="center"/>
          </w:tcPr>
          <w:p w14:paraId="4DED76DE">
            <w:pPr>
              <w:widowControl/>
              <w:jc w:val="center"/>
              <w:rPr>
                <w:rFonts w:hint="eastAsia" w:ascii="宋体" w:hAnsi="宋体" w:cs="宋体"/>
                <w:bCs/>
                <w:sz w:val="21"/>
                <w:lang w:bidi="ar"/>
              </w:rPr>
            </w:pPr>
            <w:r>
              <w:rPr>
                <w:rFonts w:hint="eastAsia" w:ascii="宋体" w:hAnsi="宋体" w:cs="宋体"/>
                <w:bCs/>
                <w:sz w:val="21"/>
                <w:lang w:bidi="ar"/>
              </w:rPr>
              <w:t>0</w:t>
            </w:r>
          </w:p>
        </w:tc>
        <w:tc>
          <w:tcPr>
            <w:tcW w:w="716" w:type="dxa"/>
            <w:noWrap w:val="0"/>
            <w:vAlign w:val="center"/>
          </w:tcPr>
          <w:p w14:paraId="73BA4A80">
            <w:pPr>
              <w:widowControl/>
              <w:jc w:val="center"/>
              <w:rPr>
                <w:rFonts w:hint="eastAsia" w:ascii="宋体" w:hAnsi="宋体" w:cs="宋体"/>
                <w:bCs/>
                <w:sz w:val="21"/>
                <w:lang w:bidi="ar"/>
              </w:rPr>
            </w:pPr>
            <w:r>
              <w:rPr>
                <w:rFonts w:hint="eastAsia" w:ascii="宋体" w:hAnsi="宋体" w:cs="宋体"/>
                <w:bCs/>
                <w:sz w:val="21"/>
                <w:lang w:bidi="ar"/>
              </w:rPr>
              <w:t>0</w:t>
            </w:r>
          </w:p>
        </w:tc>
        <w:tc>
          <w:tcPr>
            <w:tcW w:w="825" w:type="dxa"/>
            <w:noWrap w:val="0"/>
            <w:vAlign w:val="center"/>
          </w:tcPr>
          <w:p w14:paraId="05381D09">
            <w:pPr>
              <w:widowControl/>
              <w:jc w:val="center"/>
              <w:rPr>
                <w:rFonts w:hint="eastAsia" w:ascii="宋体" w:hAnsi="宋体" w:cs="宋体"/>
                <w:bCs/>
                <w:sz w:val="21"/>
                <w:lang w:bidi="ar"/>
              </w:rPr>
            </w:pPr>
            <w:r>
              <w:rPr>
                <w:rFonts w:hint="eastAsia" w:ascii="宋体" w:hAnsi="宋体" w:cs="宋体"/>
                <w:bCs/>
                <w:sz w:val="21"/>
                <w:lang w:bidi="ar"/>
              </w:rPr>
              <w:t>0.01</w:t>
            </w:r>
          </w:p>
        </w:tc>
        <w:tc>
          <w:tcPr>
            <w:tcW w:w="1341" w:type="dxa"/>
            <w:noWrap w:val="0"/>
            <w:vAlign w:val="center"/>
          </w:tcPr>
          <w:p w14:paraId="570E59EA">
            <w:pPr>
              <w:widowControl/>
              <w:jc w:val="center"/>
              <w:rPr>
                <w:rFonts w:hint="eastAsia" w:ascii="宋体" w:hAnsi="宋体" w:cs="宋体"/>
                <w:bCs/>
                <w:sz w:val="21"/>
                <w:lang w:eastAsia="en-US" w:bidi="ar"/>
              </w:rPr>
            </w:pPr>
            <w:r>
              <w:rPr>
                <w:rFonts w:hint="eastAsia" w:ascii="宋体" w:hAnsi="宋体" w:cs="宋体"/>
                <w:bCs/>
                <w:sz w:val="21"/>
                <w:lang w:bidi="ar"/>
              </w:rPr>
              <w:t>/</w:t>
            </w:r>
          </w:p>
        </w:tc>
        <w:tc>
          <w:tcPr>
            <w:tcW w:w="1753" w:type="dxa"/>
            <w:noWrap w:val="0"/>
            <w:vAlign w:val="center"/>
          </w:tcPr>
          <w:p w14:paraId="4D13C8B7">
            <w:pPr>
              <w:widowControl/>
              <w:jc w:val="center"/>
              <w:rPr>
                <w:rFonts w:hint="eastAsia" w:ascii="宋体" w:hAnsi="宋体" w:cs="宋体"/>
                <w:bCs/>
                <w:sz w:val="21"/>
                <w:lang w:eastAsia="en-US" w:bidi="ar"/>
              </w:rPr>
            </w:pPr>
            <w:r>
              <w:rPr>
                <w:rFonts w:hint="eastAsia" w:ascii="宋体" w:hAnsi="宋体" w:cs="宋体"/>
                <w:bCs/>
                <w:sz w:val="21"/>
                <w:lang w:bidi="ar"/>
              </w:rPr>
              <w:t>一般固废1290</w:t>
            </w:r>
          </w:p>
        </w:tc>
        <w:tc>
          <w:tcPr>
            <w:tcW w:w="881" w:type="dxa"/>
            <w:noWrap w:val="0"/>
            <w:vAlign w:val="center"/>
          </w:tcPr>
          <w:p w14:paraId="6511E295">
            <w:pPr>
              <w:widowControl/>
              <w:jc w:val="center"/>
              <w:rPr>
                <w:rFonts w:hint="eastAsia" w:ascii="宋体" w:hAnsi="宋体" w:cs="宋体"/>
                <w:bCs/>
                <w:sz w:val="21"/>
                <w:lang w:eastAsia="en-US" w:bidi="ar"/>
              </w:rPr>
            </w:pPr>
            <w:r>
              <w:rPr>
                <w:rFonts w:hint="eastAsia" w:ascii="宋体" w:hAnsi="宋体" w:cs="宋体"/>
                <w:bCs/>
                <w:sz w:val="21"/>
                <w:lang w:bidi="ar"/>
              </w:rPr>
              <w:t>已投产</w:t>
            </w:r>
          </w:p>
        </w:tc>
      </w:tr>
      <w:tr w14:paraId="491C8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9" w:type="dxa"/>
            <w:noWrap w:val="0"/>
            <w:vAlign w:val="center"/>
          </w:tcPr>
          <w:p w14:paraId="215F15D6">
            <w:pPr>
              <w:widowControl/>
              <w:jc w:val="center"/>
              <w:rPr>
                <w:rFonts w:hint="eastAsia" w:ascii="宋体" w:hAnsi="宋体" w:cs="宋体"/>
                <w:bCs/>
                <w:sz w:val="21"/>
                <w:lang w:eastAsia="en-US" w:bidi="ar"/>
              </w:rPr>
            </w:pPr>
            <w:r>
              <w:rPr>
                <w:rFonts w:hint="eastAsia" w:ascii="宋体" w:hAnsi="宋体" w:cs="宋体"/>
                <w:bCs/>
                <w:sz w:val="21"/>
                <w:lang w:bidi="ar"/>
              </w:rPr>
              <w:t>33</w:t>
            </w:r>
          </w:p>
        </w:tc>
        <w:tc>
          <w:tcPr>
            <w:tcW w:w="1731" w:type="dxa"/>
            <w:noWrap w:val="0"/>
            <w:vAlign w:val="center"/>
          </w:tcPr>
          <w:p w14:paraId="7FD425E3">
            <w:pPr>
              <w:widowControl/>
              <w:rPr>
                <w:rFonts w:hint="eastAsia" w:ascii="宋体" w:hAnsi="宋体" w:cs="宋体"/>
                <w:bCs/>
                <w:sz w:val="21"/>
                <w:lang w:bidi="ar"/>
              </w:rPr>
            </w:pPr>
            <w:r>
              <w:rPr>
                <w:rFonts w:hint="eastAsia" w:ascii="宋体" w:hAnsi="宋体" w:cs="宋体"/>
                <w:bCs/>
                <w:sz w:val="21"/>
                <w:lang w:bidi="ar"/>
              </w:rPr>
              <w:t>湖南鸿鹰生物科技股份有限公司</w:t>
            </w:r>
          </w:p>
        </w:tc>
        <w:tc>
          <w:tcPr>
            <w:tcW w:w="1514" w:type="dxa"/>
            <w:noWrap w:val="0"/>
            <w:vAlign w:val="center"/>
          </w:tcPr>
          <w:p w14:paraId="3B496131">
            <w:pPr>
              <w:widowControl/>
              <w:jc w:val="center"/>
              <w:rPr>
                <w:rFonts w:hint="eastAsia" w:ascii="宋体" w:hAnsi="宋体" w:cs="宋体"/>
                <w:bCs/>
                <w:sz w:val="21"/>
                <w:lang w:eastAsia="en-US" w:bidi="ar"/>
              </w:rPr>
            </w:pPr>
            <w:r>
              <w:rPr>
                <w:rFonts w:hint="eastAsia" w:ascii="宋体" w:hAnsi="宋体" w:cs="宋体"/>
                <w:bCs/>
                <w:sz w:val="21"/>
                <w:lang w:bidi="ar"/>
              </w:rPr>
              <w:t>111.874110578</w:t>
            </w:r>
          </w:p>
        </w:tc>
        <w:tc>
          <w:tcPr>
            <w:tcW w:w="1473" w:type="dxa"/>
            <w:noWrap w:val="0"/>
            <w:vAlign w:val="center"/>
          </w:tcPr>
          <w:p w14:paraId="45243916">
            <w:pPr>
              <w:widowControl/>
              <w:jc w:val="center"/>
              <w:rPr>
                <w:rFonts w:hint="eastAsia" w:ascii="宋体" w:hAnsi="宋体" w:cs="宋体"/>
                <w:bCs/>
                <w:sz w:val="21"/>
                <w:lang w:eastAsia="en-US" w:bidi="ar"/>
              </w:rPr>
            </w:pPr>
            <w:r>
              <w:rPr>
                <w:rFonts w:hint="eastAsia" w:ascii="宋体" w:hAnsi="宋体" w:cs="宋体"/>
                <w:bCs/>
                <w:sz w:val="21"/>
                <w:lang w:bidi="ar"/>
              </w:rPr>
              <w:t>29.563426385</w:t>
            </w:r>
          </w:p>
        </w:tc>
        <w:tc>
          <w:tcPr>
            <w:tcW w:w="959" w:type="dxa"/>
            <w:noWrap w:val="0"/>
            <w:vAlign w:val="center"/>
          </w:tcPr>
          <w:p w14:paraId="17EC6674">
            <w:pPr>
              <w:widowControl/>
              <w:jc w:val="center"/>
              <w:rPr>
                <w:rFonts w:hint="eastAsia" w:ascii="宋体" w:hAnsi="宋体" w:cs="宋体"/>
                <w:bCs/>
                <w:sz w:val="21"/>
                <w:lang w:eastAsia="en-US" w:bidi="ar"/>
              </w:rPr>
            </w:pPr>
            <w:r>
              <w:rPr>
                <w:rFonts w:hint="eastAsia" w:ascii="宋体" w:hAnsi="宋体" w:cs="宋体"/>
                <w:bCs/>
                <w:sz w:val="21"/>
                <w:lang w:bidi="ar"/>
              </w:rPr>
              <w:t>367400</w:t>
            </w:r>
          </w:p>
        </w:tc>
        <w:tc>
          <w:tcPr>
            <w:tcW w:w="852" w:type="dxa"/>
            <w:noWrap w:val="0"/>
            <w:vAlign w:val="center"/>
          </w:tcPr>
          <w:p w14:paraId="53F86CE8">
            <w:pPr>
              <w:widowControl/>
              <w:jc w:val="center"/>
              <w:rPr>
                <w:rFonts w:hint="eastAsia" w:ascii="宋体" w:hAnsi="宋体" w:cs="宋体"/>
                <w:bCs/>
                <w:sz w:val="21"/>
                <w:lang w:bidi="ar"/>
              </w:rPr>
            </w:pPr>
            <w:r>
              <w:rPr>
                <w:rFonts w:hint="eastAsia" w:ascii="宋体" w:hAnsi="宋体" w:cs="宋体"/>
                <w:bCs/>
                <w:sz w:val="21"/>
                <w:lang w:bidi="ar"/>
              </w:rPr>
              <w:t>12.1</w:t>
            </w:r>
          </w:p>
        </w:tc>
        <w:tc>
          <w:tcPr>
            <w:tcW w:w="932" w:type="dxa"/>
            <w:noWrap w:val="0"/>
            <w:vAlign w:val="center"/>
          </w:tcPr>
          <w:p w14:paraId="60727A21">
            <w:pPr>
              <w:widowControl/>
              <w:jc w:val="center"/>
              <w:rPr>
                <w:rFonts w:hint="eastAsia" w:ascii="宋体" w:hAnsi="宋体" w:cs="宋体"/>
                <w:bCs/>
                <w:sz w:val="21"/>
                <w:lang w:bidi="ar"/>
              </w:rPr>
            </w:pPr>
            <w:r>
              <w:rPr>
                <w:rFonts w:hint="eastAsia" w:ascii="宋体" w:hAnsi="宋体" w:cs="宋体"/>
                <w:bCs/>
                <w:sz w:val="21"/>
                <w:lang w:bidi="ar"/>
              </w:rPr>
              <w:t>1.5</w:t>
            </w:r>
          </w:p>
        </w:tc>
        <w:tc>
          <w:tcPr>
            <w:tcW w:w="825" w:type="dxa"/>
            <w:noWrap w:val="0"/>
            <w:vAlign w:val="center"/>
          </w:tcPr>
          <w:p w14:paraId="2C023E56">
            <w:pPr>
              <w:widowControl/>
              <w:jc w:val="center"/>
              <w:rPr>
                <w:rFonts w:hint="eastAsia" w:ascii="宋体" w:hAnsi="宋体" w:cs="宋体"/>
                <w:bCs/>
                <w:sz w:val="21"/>
                <w:lang w:bidi="ar"/>
              </w:rPr>
            </w:pPr>
            <w:r>
              <w:rPr>
                <w:rFonts w:hint="eastAsia" w:ascii="宋体" w:hAnsi="宋体" w:cs="宋体"/>
                <w:bCs/>
                <w:sz w:val="21"/>
                <w:lang w:bidi="ar"/>
              </w:rPr>
              <w:t>0</w:t>
            </w:r>
          </w:p>
        </w:tc>
        <w:tc>
          <w:tcPr>
            <w:tcW w:w="716" w:type="dxa"/>
            <w:noWrap w:val="0"/>
            <w:vAlign w:val="center"/>
          </w:tcPr>
          <w:p w14:paraId="17807318">
            <w:pPr>
              <w:widowControl/>
              <w:jc w:val="center"/>
              <w:rPr>
                <w:rFonts w:hint="eastAsia" w:ascii="宋体" w:hAnsi="宋体" w:cs="宋体"/>
                <w:bCs/>
                <w:sz w:val="21"/>
                <w:lang w:eastAsia="en-US" w:bidi="ar"/>
              </w:rPr>
            </w:pPr>
            <w:r>
              <w:rPr>
                <w:rFonts w:hint="eastAsia" w:ascii="宋体" w:hAnsi="宋体" w:cs="宋体"/>
                <w:bCs/>
                <w:sz w:val="21"/>
                <w:lang w:bidi="ar"/>
              </w:rPr>
              <w:t>0.218</w:t>
            </w:r>
          </w:p>
        </w:tc>
        <w:tc>
          <w:tcPr>
            <w:tcW w:w="825" w:type="dxa"/>
            <w:noWrap w:val="0"/>
            <w:vAlign w:val="center"/>
          </w:tcPr>
          <w:p w14:paraId="5B4E2E12">
            <w:pPr>
              <w:widowControl/>
              <w:jc w:val="center"/>
              <w:rPr>
                <w:rFonts w:hint="eastAsia" w:ascii="宋体" w:hAnsi="宋体" w:cs="宋体"/>
                <w:bCs/>
                <w:sz w:val="21"/>
                <w:lang w:eastAsia="en-US" w:bidi="ar"/>
              </w:rPr>
            </w:pPr>
            <w:r>
              <w:rPr>
                <w:rFonts w:hint="eastAsia" w:ascii="宋体" w:hAnsi="宋体" w:cs="宋体"/>
                <w:bCs/>
                <w:sz w:val="21"/>
                <w:lang w:bidi="ar"/>
              </w:rPr>
              <w:t>3.2</w:t>
            </w:r>
          </w:p>
        </w:tc>
        <w:tc>
          <w:tcPr>
            <w:tcW w:w="1341" w:type="dxa"/>
            <w:noWrap w:val="0"/>
            <w:vAlign w:val="center"/>
          </w:tcPr>
          <w:p w14:paraId="6897D5AB">
            <w:pPr>
              <w:widowControl/>
              <w:jc w:val="center"/>
              <w:rPr>
                <w:rFonts w:hint="eastAsia" w:ascii="宋体" w:hAnsi="宋体" w:cs="宋体"/>
                <w:bCs/>
                <w:sz w:val="21"/>
                <w:lang w:eastAsia="en-US" w:bidi="ar"/>
              </w:rPr>
            </w:pPr>
            <w:r>
              <w:rPr>
                <w:rFonts w:hint="eastAsia" w:ascii="宋体" w:hAnsi="宋体" w:cs="宋体"/>
                <w:bCs/>
                <w:sz w:val="21"/>
                <w:lang w:bidi="ar"/>
              </w:rPr>
              <w:t>VOCs：2.033；丙酮：1.9；氯化氢：0.116</w:t>
            </w:r>
          </w:p>
        </w:tc>
        <w:tc>
          <w:tcPr>
            <w:tcW w:w="1753" w:type="dxa"/>
            <w:noWrap w:val="0"/>
            <w:vAlign w:val="center"/>
          </w:tcPr>
          <w:p w14:paraId="7593A9F3">
            <w:pPr>
              <w:widowControl/>
              <w:jc w:val="center"/>
              <w:rPr>
                <w:rFonts w:hint="eastAsia" w:ascii="宋体" w:hAnsi="宋体" w:cs="宋体"/>
                <w:bCs/>
                <w:sz w:val="21"/>
                <w:lang w:bidi="ar"/>
              </w:rPr>
            </w:pPr>
            <w:r>
              <w:rPr>
                <w:rFonts w:hint="eastAsia" w:ascii="宋体" w:hAnsi="宋体" w:cs="宋体"/>
                <w:bCs/>
                <w:sz w:val="21"/>
                <w:lang w:bidi="ar"/>
              </w:rPr>
              <w:t>一般固废6415；危险固废（油手套、废抹布、废油桶、废包装 物）2.533</w:t>
            </w:r>
          </w:p>
        </w:tc>
        <w:tc>
          <w:tcPr>
            <w:tcW w:w="881" w:type="dxa"/>
            <w:noWrap w:val="0"/>
            <w:vAlign w:val="center"/>
          </w:tcPr>
          <w:p w14:paraId="5ADF27D6">
            <w:pPr>
              <w:widowControl/>
              <w:jc w:val="center"/>
              <w:rPr>
                <w:rFonts w:hint="eastAsia" w:ascii="宋体" w:hAnsi="宋体" w:cs="宋体"/>
                <w:bCs/>
                <w:sz w:val="21"/>
                <w:lang w:bidi="ar"/>
              </w:rPr>
            </w:pPr>
            <w:r>
              <w:rPr>
                <w:rFonts w:hint="eastAsia" w:ascii="宋体" w:hAnsi="宋体" w:cs="宋体"/>
                <w:bCs/>
                <w:sz w:val="21"/>
                <w:lang w:bidi="ar"/>
              </w:rPr>
              <w:t>已投产</w:t>
            </w:r>
          </w:p>
        </w:tc>
      </w:tr>
      <w:tr w14:paraId="317D2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9" w:type="dxa"/>
            <w:noWrap w:val="0"/>
            <w:vAlign w:val="center"/>
          </w:tcPr>
          <w:p w14:paraId="50133D8A">
            <w:pPr>
              <w:widowControl/>
              <w:jc w:val="center"/>
              <w:rPr>
                <w:rFonts w:hint="eastAsia" w:ascii="宋体" w:hAnsi="宋体" w:cs="宋体"/>
                <w:bCs/>
                <w:sz w:val="21"/>
                <w:lang w:eastAsia="en-US" w:bidi="ar"/>
              </w:rPr>
            </w:pPr>
            <w:r>
              <w:rPr>
                <w:rFonts w:hint="eastAsia" w:ascii="宋体" w:hAnsi="宋体" w:cs="宋体"/>
                <w:bCs/>
                <w:sz w:val="21"/>
                <w:lang w:bidi="ar"/>
              </w:rPr>
              <w:t>34</w:t>
            </w:r>
          </w:p>
        </w:tc>
        <w:tc>
          <w:tcPr>
            <w:tcW w:w="1731" w:type="dxa"/>
            <w:noWrap w:val="0"/>
            <w:vAlign w:val="center"/>
          </w:tcPr>
          <w:p w14:paraId="60115132">
            <w:pPr>
              <w:widowControl/>
              <w:jc w:val="center"/>
              <w:rPr>
                <w:rFonts w:hint="eastAsia" w:ascii="宋体" w:hAnsi="宋体" w:cs="宋体"/>
                <w:bCs/>
                <w:sz w:val="21"/>
                <w:lang w:bidi="ar"/>
              </w:rPr>
            </w:pPr>
            <w:r>
              <w:rPr>
                <w:rFonts w:hint="eastAsia" w:ascii="宋体" w:hAnsi="宋体" w:cs="宋体"/>
                <w:bCs/>
                <w:sz w:val="21"/>
                <w:lang w:bidi="ar"/>
              </w:rPr>
              <w:t>湖南龙腾生物科技有限公司</w:t>
            </w:r>
          </w:p>
        </w:tc>
        <w:tc>
          <w:tcPr>
            <w:tcW w:w="1514" w:type="dxa"/>
            <w:noWrap w:val="0"/>
            <w:vAlign w:val="center"/>
          </w:tcPr>
          <w:p w14:paraId="2B88050D">
            <w:pPr>
              <w:widowControl/>
              <w:jc w:val="center"/>
              <w:rPr>
                <w:rFonts w:hint="eastAsia" w:ascii="宋体" w:hAnsi="宋体" w:cs="宋体"/>
                <w:bCs/>
                <w:sz w:val="21"/>
                <w:lang w:eastAsia="en-US" w:bidi="ar"/>
              </w:rPr>
            </w:pPr>
            <w:r>
              <w:rPr>
                <w:rFonts w:hint="eastAsia" w:ascii="宋体" w:hAnsi="宋体" w:cs="宋体"/>
                <w:bCs/>
                <w:sz w:val="21"/>
                <w:lang w:bidi="ar"/>
              </w:rPr>
              <w:t>111.876225959</w:t>
            </w:r>
          </w:p>
        </w:tc>
        <w:tc>
          <w:tcPr>
            <w:tcW w:w="1473" w:type="dxa"/>
            <w:noWrap w:val="0"/>
            <w:vAlign w:val="center"/>
          </w:tcPr>
          <w:p w14:paraId="6DB5441A">
            <w:pPr>
              <w:widowControl/>
              <w:jc w:val="center"/>
              <w:rPr>
                <w:rFonts w:hint="eastAsia" w:ascii="宋体" w:hAnsi="宋体" w:cs="宋体"/>
                <w:bCs/>
                <w:sz w:val="21"/>
                <w:lang w:eastAsia="en-US" w:bidi="ar"/>
              </w:rPr>
            </w:pPr>
            <w:r>
              <w:rPr>
                <w:rFonts w:hint="eastAsia" w:ascii="宋体" w:hAnsi="宋体" w:cs="宋体"/>
                <w:bCs/>
                <w:sz w:val="21"/>
                <w:lang w:bidi="ar"/>
              </w:rPr>
              <w:t>29.562124533</w:t>
            </w:r>
          </w:p>
        </w:tc>
        <w:tc>
          <w:tcPr>
            <w:tcW w:w="959" w:type="dxa"/>
            <w:noWrap w:val="0"/>
            <w:vAlign w:val="center"/>
          </w:tcPr>
          <w:p w14:paraId="371E9B1C">
            <w:pPr>
              <w:widowControl/>
              <w:jc w:val="center"/>
              <w:rPr>
                <w:rFonts w:hint="eastAsia" w:ascii="宋体" w:hAnsi="宋体" w:cs="宋体"/>
                <w:bCs/>
                <w:sz w:val="21"/>
                <w:lang w:eastAsia="en-US" w:bidi="ar"/>
              </w:rPr>
            </w:pPr>
            <w:r>
              <w:rPr>
                <w:rFonts w:hint="eastAsia" w:ascii="宋体" w:hAnsi="宋体" w:cs="宋体"/>
                <w:bCs/>
                <w:sz w:val="21"/>
                <w:lang w:bidi="ar"/>
              </w:rPr>
              <w:t>84087</w:t>
            </w:r>
          </w:p>
        </w:tc>
        <w:tc>
          <w:tcPr>
            <w:tcW w:w="852" w:type="dxa"/>
            <w:noWrap w:val="0"/>
            <w:vAlign w:val="center"/>
          </w:tcPr>
          <w:p w14:paraId="2D5C0AD0">
            <w:pPr>
              <w:widowControl/>
              <w:jc w:val="center"/>
              <w:rPr>
                <w:rFonts w:hint="eastAsia" w:ascii="宋体" w:hAnsi="宋体" w:cs="宋体"/>
                <w:bCs/>
                <w:sz w:val="21"/>
                <w:lang w:eastAsia="en-US" w:bidi="ar"/>
              </w:rPr>
            </w:pPr>
            <w:r>
              <w:rPr>
                <w:rFonts w:hint="eastAsia" w:ascii="宋体" w:hAnsi="宋体" w:cs="宋体"/>
                <w:bCs/>
                <w:sz w:val="21"/>
                <w:lang w:bidi="ar"/>
              </w:rPr>
              <w:t>4.02</w:t>
            </w:r>
          </w:p>
        </w:tc>
        <w:tc>
          <w:tcPr>
            <w:tcW w:w="932" w:type="dxa"/>
            <w:noWrap w:val="0"/>
            <w:vAlign w:val="center"/>
          </w:tcPr>
          <w:p w14:paraId="3C0E82A9">
            <w:pPr>
              <w:widowControl/>
              <w:jc w:val="center"/>
              <w:rPr>
                <w:rFonts w:hint="eastAsia" w:ascii="宋体" w:hAnsi="宋体" w:cs="宋体"/>
                <w:bCs/>
                <w:sz w:val="21"/>
                <w:lang w:eastAsia="en-US" w:bidi="ar"/>
              </w:rPr>
            </w:pPr>
            <w:r>
              <w:rPr>
                <w:rFonts w:hint="eastAsia" w:ascii="宋体" w:hAnsi="宋体" w:cs="宋体"/>
                <w:bCs/>
                <w:sz w:val="21"/>
                <w:lang w:bidi="ar"/>
              </w:rPr>
              <w:t>0.11</w:t>
            </w:r>
          </w:p>
        </w:tc>
        <w:tc>
          <w:tcPr>
            <w:tcW w:w="825" w:type="dxa"/>
            <w:noWrap w:val="0"/>
            <w:vAlign w:val="center"/>
          </w:tcPr>
          <w:p w14:paraId="5BC8175D">
            <w:pPr>
              <w:widowControl/>
              <w:jc w:val="center"/>
              <w:rPr>
                <w:rFonts w:hint="eastAsia" w:ascii="宋体" w:hAnsi="宋体" w:cs="宋体"/>
                <w:bCs/>
                <w:sz w:val="21"/>
                <w:lang w:bidi="ar"/>
              </w:rPr>
            </w:pPr>
            <w:r>
              <w:rPr>
                <w:rFonts w:hint="eastAsia" w:ascii="宋体" w:hAnsi="宋体" w:cs="宋体"/>
                <w:bCs/>
                <w:sz w:val="21"/>
                <w:lang w:bidi="ar"/>
              </w:rPr>
              <w:t>2.52</w:t>
            </w:r>
          </w:p>
        </w:tc>
        <w:tc>
          <w:tcPr>
            <w:tcW w:w="716" w:type="dxa"/>
            <w:noWrap w:val="0"/>
            <w:vAlign w:val="center"/>
          </w:tcPr>
          <w:p w14:paraId="3646BCC9">
            <w:pPr>
              <w:widowControl/>
              <w:jc w:val="center"/>
              <w:rPr>
                <w:rFonts w:hint="eastAsia" w:ascii="宋体" w:hAnsi="宋体" w:cs="宋体"/>
                <w:bCs/>
                <w:sz w:val="21"/>
                <w:lang w:eastAsia="en-US" w:bidi="ar"/>
              </w:rPr>
            </w:pPr>
            <w:r>
              <w:rPr>
                <w:rFonts w:hint="eastAsia" w:ascii="宋体" w:hAnsi="宋体" w:cs="宋体"/>
                <w:bCs/>
                <w:sz w:val="21"/>
                <w:lang w:bidi="ar"/>
              </w:rPr>
              <w:t>6.84</w:t>
            </w:r>
          </w:p>
        </w:tc>
        <w:tc>
          <w:tcPr>
            <w:tcW w:w="825" w:type="dxa"/>
            <w:noWrap w:val="0"/>
            <w:vAlign w:val="center"/>
          </w:tcPr>
          <w:p w14:paraId="2A748804">
            <w:pPr>
              <w:widowControl/>
              <w:jc w:val="center"/>
              <w:rPr>
                <w:rFonts w:hint="eastAsia" w:ascii="宋体" w:hAnsi="宋体" w:cs="宋体"/>
                <w:bCs/>
                <w:sz w:val="21"/>
                <w:lang w:bidi="ar"/>
              </w:rPr>
            </w:pPr>
            <w:r>
              <w:rPr>
                <w:rFonts w:hint="eastAsia" w:ascii="宋体" w:hAnsi="宋体" w:cs="宋体"/>
                <w:bCs/>
                <w:sz w:val="21"/>
                <w:lang w:bidi="ar"/>
              </w:rPr>
              <w:t>1.008</w:t>
            </w:r>
          </w:p>
        </w:tc>
        <w:tc>
          <w:tcPr>
            <w:tcW w:w="1341" w:type="dxa"/>
            <w:noWrap w:val="0"/>
            <w:vAlign w:val="center"/>
          </w:tcPr>
          <w:p w14:paraId="33C8A272">
            <w:pPr>
              <w:widowControl/>
              <w:jc w:val="center"/>
              <w:rPr>
                <w:rFonts w:hint="eastAsia" w:ascii="宋体" w:hAnsi="宋体" w:cs="宋体"/>
                <w:bCs/>
                <w:sz w:val="21"/>
                <w:lang w:eastAsia="en-US" w:bidi="ar"/>
              </w:rPr>
            </w:pPr>
            <w:r>
              <w:rPr>
                <w:rFonts w:hint="eastAsia" w:ascii="宋体" w:hAnsi="宋体" w:cs="宋体"/>
                <w:bCs/>
                <w:sz w:val="21"/>
                <w:lang w:bidi="ar"/>
              </w:rPr>
              <w:t>VOCs：4.512；丙酮：1.564；三氯甲烷0.755、 甲苯0.134</w:t>
            </w:r>
          </w:p>
        </w:tc>
        <w:tc>
          <w:tcPr>
            <w:tcW w:w="1753" w:type="dxa"/>
            <w:noWrap w:val="0"/>
            <w:vAlign w:val="center"/>
          </w:tcPr>
          <w:p w14:paraId="460F0C55">
            <w:pPr>
              <w:widowControl/>
              <w:jc w:val="center"/>
              <w:rPr>
                <w:rFonts w:hint="eastAsia" w:ascii="宋体" w:hAnsi="宋体" w:cs="宋体"/>
                <w:bCs/>
                <w:sz w:val="21"/>
                <w:lang w:bidi="ar"/>
              </w:rPr>
            </w:pPr>
            <w:r>
              <w:rPr>
                <w:rFonts w:hint="eastAsia" w:ascii="宋体" w:hAnsi="宋体" w:cs="宋体"/>
                <w:bCs/>
                <w:sz w:val="21"/>
                <w:lang w:bidi="ar"/>
              </w:rPr>
              <w:t>一般固废1038；危险固废（废活性炭）32</w:t>
            </w:r>
          </w:p>
        </w:tc>
        <w:tc>
          <w:tcPr>
            <w:tcW w:w="881" w:type="dxa"/>
            <w:noWrap w:val="0"/>
            <w:vAlign w:val="center"/>
          </w:tcPr>
          <w:p w14:paraId="2D034C94">
            <w:pPr>
              <w:widowControl/>
              <w:jc w:val="center"/>
              <w:rPr>
                <w:rFonts w:hint="eastAsia" w:ascii="宋体" w:hAnsi="宋体" w:cs="宋体"/>
                <w:bCs/>
                <w:sz w:val="21"/>
                <w:lang w:eastAsia="en-US" w:bidi="ar"/>
              </w:rPr>
            </w:pPr>
            <w:r>
              <w:rPr>
                <w:rFonts w:hint="eastAsia" w:ascii="宋体" w:hAnsi="宋体" w:cs="宋体"/>
                <w:bCs/>
                <w:sz w:val="21"/>
                <w:lang w:bidi="ar"/>
              </w:rPr>
              <w:t>己投产</w:t>
            </w:r>
          </w:p>
        </w:tc>
      </w:tr>
      <w:tr w14:paraId="6FE2B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9" w:type="dxa"/>
            <w:noWrap w:val="0"/>
            <w:vAlign w:val="center"/>
          </w:tcPr>
          <w:p w14:paraId="0F04A7A0">
            <w:pPr>
              <w:widowControl/>
              <w:jc w:val="center"/>
              <w:rPr>
                <w:rFonts w:hint="eastAsia" w:ascii="宋体" w:hAnsi="宋体" w:cs="宋体"/>
                <w:bCs/>
                <w:sz w:val="21"/>
                <w:lang w:eastAsia="en-US" w:bidi="ar"/>
              </w:rPr>
            </w:pPr>
            <w:r>
              <w:rPr>
                <w:rFonts w:hint="eastAsia" w:ascii="宋体" w:hAnsi="宋体" w:cs="宋体"/>
                <w:bCs/>
                <w:sz w:val="21"/>
                <w:lang w:bidi="ar"/>
              </w:rPr>
              <w:t>35</w:t>
            </w:r>
          </w:p>
        </w:tc>
        <w:tc>
          <w:tcPr>
            <w:tcW w:w="1731" w:type="dxa"/>
            <w:noWrap w:val="0"/>
            <w:vAlign w:val="center"/>
          </w:tcPr>
          <w:p w14:paraId="466E423E">
            <w:pPr>
              <w:widowControl/>
              <w:jc w:val="center"/>
              <w:rPr>
                <w:rFonts w:hint="eastAsia" w:ascii="宋体" w:hAnsi="宋体" w:cs="宋体"/>
                <w:bCs/>
                <w:sz w:val="21"/>
                <w:lang w:bidi="ar"/>
              </w:rPr>
            </w:pPr>
            <w:r>
              <w:rPr>
                <w:rFonts w:hint="eastAsia" w:ascii="宋体" w:hAnsi="宋体" w:cs="宋体"/>
                <w:bCs/>
                <w:sz w:val="21"/>
                <w:lang w:bidi="ar"/>
              </w:rPr>
              <w:t>湖南菲托葳植物资源有限公司</w:t>
            </w:r>
          </w:p>
        </w:tc>
        <w:tc>
          <w:tcPr>
            <w:tcW w:w="1514" w:type="dxa"/>
            <w:noWrap w:val="0"/>
            <w:vAlign w:val="center"/>
          </w:tcPr>
          <w:p w14:paraId="1926529F">
            <w:pPr>
              <w:widowControl/>
              <w:jc w:val="center"/>
              <w:rPr>
                <w:rFonts w:hint="eastAsia" w:ascii="宋体" w:hAnsi="宋体" w:cs="宋体"/>
                <w:bCs/>
                <w:sz w:val="21"/>
                <w:lang w:eastAsia="en-US" w:bidi="ar"/>
              </w:rPr>
            </w:pPr>
            <w:r>
              <w:rPr>
                <w:rFonts w:hint="eastAsia" w:ascii="宋体" w:hAnsi="宋体" w:cs="宋体"/>
                <w:bCs/>
                <w:sz w:val="21"/>
                <w:lang w:bidi="ar"/>
              </w:rPr>
              <w:t>111.848454200</w:t>
            </w:r>
          </w:p>
        </w:tc>
        <w:tc>
          <w:tcPr>
            <w:tcW w:w="1473" w:type="dxa"/>
            <w:noWrap w:val="0"/>
            <w:vAlign w:val="center"/>
          </w:tcPr>
          <w:p w14:paraId="72B0D28E">
            <w:pPr>
              <w:widowControl/>
              <w:jc w:val="center"/>
              <w:rPr>
                <w:rFonts w:hint="eastAsia" w:ascii="宋体" w:hAnsi="宋体" w:cs="宋体"/>
                <w:bCs/>
                <w:sz w:val="21"/>
                <w:lang w:eastAsia="en-US" w:bidi="ar"/>
              </w:rPr>
            </w:pPr>
            <w:r>
              <w:rPr>
                <w:rFonts w:hint="eastAsia" w:ascii="宋体" w:hAnsi="宋体" w:cs="宋体"/>
                <w:bCs/>
                <w:sz w:val="21"/>
                <w:lang w:bidi="ar"/>
              </w:rPr>
              <w:t>29.577633098</w:t>
            </w:r>
          </w:p>
        </w:tc>
        <w:tc>
          <w:tcPr>
            <w:tcW w:w="959" w:type="dxa"/>
            <w:noWrap w:val="0"/>
            <w:vAlign w:val="center"/>
          </w:tcPr>
          <w:p w14:paraId="79C7455F">
            <w:pPr>
              <w:widowControl/>
              <w:jc w:val="center"/>
              <w:rPr>
                <w:rFonts w:hint="eastAsia" w:ascii="宋体" w:hAnsi="宋体" w:cs="宋体"/>
                <w:bCs/>
                <w:sz w:val="21"/>
                <w:lang w:eastAsia="en-US" w:bidi="ar"/>
              </w:rPr>
            </w:pPr>
            <w:r>
              <w:rPr>
                <w:rFonts w:hint="eastAsia" w:ascii="宋体" w:hAnsi="宋体" w:cs="宋体"/>
                <w:bCs/>
                <w:sz w:val="21"/>
                <w:lang w:bidi="ar"/>
              </w:rPr>
              <w:t>7500</w:t>
            </w:r>
          </w:p>
        </w:tc>
        <w:tc>
          <w:tcPr>
            <w:tcW w:w="852" w:type="dxa"/>
            <w:noWrap w:val="0"/>
            <w:vAlign w:val="center"/>
          </w:tcPr>
          <w:p w14:paraId="360B1EAE">
            <w:pPr>
              <w:widowControl/>
              <w:jc w:val="center"/>
              <w:rPr>
                <w:rFonts w:hint="eastAsia" w:ascii="宋体" w:hAnsi="宋体" w:cs="宋体"/>
                <w:bCs/>
                <w:sz w:val="21"/>
                <w:lang w:eastAsia="en-US" w:bidi="ar"/>
              </w:rPr>
            </w:pPr>
            <w:r>
              <w:rPr>
                <w:rFonts w:hint="eastAsia" w:ascii="宋体" w:hAnsi="宋体" w:cs="宋体"/>
                <w:bCs/>
                <w:sz w:val="21"/>
                <w:lang w:bidi="ar"/>
              </w:rPr>
              <w:t>0.698</w:t>
            </w:r>
          </w:p>
        </w:tc>
        <w:tc>
          <w:tcPr>
            <w:tcW w:w="932" w:type="dxa"/>
            <w:noWrap w:val="0"/>
            <w:vAlign w:val="center"/>
          </w:tcPr>
          <w:p w14:paraId="29F148E4">
            <w:pPr>
              <w:widowControl/>
              <w:jc w:val="center"/>
              <w:rPr>
                <w:rFonts w:hint="eastAsia" w:ascii="宋体" w:hAnsi="宋体" w:cs="宋体"/>
                <w:bCs/>
                <w:sz w:val="21"/>
                <w:lang w:bidi="ar"/>
              </w:rPr>
            </w:pPr>
            <w:r>
              <w:rPr>
                <w:rFonts w:hint="eastAsia" w:ascii="宋体" w:hAnsi="宋体" w:cs="宋体"/>
                <w:bCs/>
                <w:sz w:val="21"/>
                <w:lang w:bidi="ar"/>
              </w:rPr>
              <w:t>0.0352</w:t>
            </w:r>
          </w:p>
        </w:tc>
        <w:tc>
          <w:tcPr>
            <w:tcW w:w="825" w:type="dxa"/>
            <w:noWrap w:val="0"/>
            <w:vAlign w:val="center"/>
          </w:tcPr>
          <w:p w14:paraId="6E4F294E">
            <w:pPr>
              <w:widowControl/>
              <w:jc w:val="center"/>
              <w:rPr>
                <w:rFonts w:hint="eastAsia" w:ascii="宋体" w:hAnsi="宋体" w:cs="宋体"/>
                <w:bCs/>
                <w:sz w:val="21"/>
                <w:lang w:bidi="ar"/>
              </w:rPr>
            </w:pPr>
            <w:r>
              <w:rPr>
                <w:rFonts w:hint="eastAsia" w:ascii="宋体" w:hAnsi="宋体" w:cs="宋体"/>
                <w:bCs/>
                <w:sz w:val="21"/>
                <w:lang w:bidi="ar"/>
              </w:rPr>
              <w:t>0</w:t>
            </w:r>
          </w:p>
        </w:tc>
        <w:tc>
          <w:tcPr>
            <w:tcW w:w="716" w:type="dxa"/>
            <w:noWrap w:val="0"/>
            <w:vAlign w:val="center"/>
          </w:tcPr>
          <w:p w14:paraId="011AF041">
            <w:pPr>
              <w:widowControl/>
              <w:jc w:val="center"/>
              <w:rPr>
                <w:rFonts w:hint="eastAsia" w:ascii="宋体" w:hAnsi="宋体" w:cs="宋体"/>
                <w:bCs/>
                <w:sz w:val="21"/>
                <w:lang w:bidi="ar"/>
              </w:rPr>
            </w:pPr>
            <w:r>
              <w:rPr>
                <w:rFonts w:hint="eastAsia" w:ascii="宋体" w:hAnsi="宋体" w:cs="宋体"/>
                <w:bCs/>
                <w:sz w:val="21"/>
                <w:lang w:bidi="ar"/>
              </w:rPr>
              <w:t>0</w:t>
            </w:r>
          </w:p>
        </w:tc>
        <w:tc>
          <w:tcPr>
            <w:tcW w:w="825" w:type="dxa"/>
            <w:noWrap w:val="0"/>
            <w:vAlign w:val="center"/>
          </w:tcPr>
          <w:p w14:paraId="0910F36E">
            <w:pPr>
              <w:widowControl/>
              <w:jc w:val="center"/>
              <w:rPr>
                <w:rFonts w:hint="eastAsia" w:ascii="宋体" w:hAnsi="宋体" w:cs="宋体"/>
                <w:bCs/>
                <w:sz w:val="21"/>
                <w:lang w:bidi="ar"/>
              </w:rPr>
            </w:pPr>
            <w:r>
              <w:rPr>
                <w:rFonts w:hint="eastAsia" w:ascii="宋体" w:hAnsi="宋体" w:cs="宋体"/>
                <w:bCs/>
                <w:sz w:val="21"/>
                <w:lang w:bidi="ar"/>
              </w:rPr>
              <w:t>0.01</w:t>
            </w:r>
          </w:p>
        </w:tc>
        <w:tc>
          <w:tcPr>
            <w:tcW w:w="1341" w:type="dxa"/>
            <w:noWrap w:val="0"/>
            <w:vAlign w:val="center"/>
          </w:tcPr>
          <w:p w14:paraId="025392EC">
            <w:pPr>
              <w:widowControl/>
              <w:jc w:val="center"/>
              <w:rPr>
                <w:rFonts w:hint="eastAsia" w:ascii="宋体" w:hAnsi="宋体" w:cs="宋体"/>
                <w:bCs/>
                <w:sz w:val="21"/>
                <w:lang w:bidi="ar"/>
              </w:rPr>
            </w:pPr>
            <w:r>
              <w:rPr>
                <w:rFonts w:hint="eastAsia" w:ascii="宋体" w:hAnsi="宋体" w:cs="宋体"/>
                <w:bCs/>
                <w:sz w:val="21"/>
                <w:lang w:bidi="ar"/>
              </w:rPr>
              <w:t>/</w:t>
            </w:r>
          </w:p>
        </w:tc>
        <w:tc>
          <w:tcPr>
            <w:tcW w:w="1753" w:type="dxa"/>
            <w:noWrap w:val="0"/>
            <w:vAlign w:val="center"/>
          </w:tcPr>
          <w:p w14:paraId="7315FBAE">
            <w:pPr>
              <w:widowControl/>
              <w:jc w:val="center"/>
              <w:rPr>
                <w:rFonts w:hint="eastAsia" w:ascii="宋体" w:hAnsi="宋体" w:cs="宋体"/>
                <w:bCs/>
                <w:sz w:val="21"/>
                <w:lang w:eastAsia="en-US" w:bidi="ar"/>
              </w:rPr>
            </w:pPr>
            <w:r>
              <w:rPr>
                <w:rFonts w:hint="eastAsia" w:ascii="宋体" w:hAnsi="宋体" w:cs="宋体"/>
                <w:bCs/>
                <w:sz w:val="21"/>
                <w:lang w:bidi="ar"/>
              </w:rPr>
              <w:t>一般固废668</w:t>
            </w:r>
          </w:p>
        </w:tc>
        <w:tc>
          <w:tcPr>
            <w:tcW w:w="881" w:type="dxa"/>
            <w:noWrap w:val="0"/>
            <w:vAlign w:val="center"/>
          </w:tcPr>
          <w:p w14:paraId="45AA6C22">
            <w:pPr>
              <w:widowControl/>
              <w:jc w:val="center"/>
              <w:rPr>
                <w:rFonts w:hint="eastAsia" w:ascii="宋体" w:hAnsi="宋体" w:cs="宋体"/>
                <w:bCs/>
                <w:sz w:val="21"/>
                <w:lang w:eastAsia="en-US" w:bidi="ar"/>
              </w:rPr>
            </w:pPr>
            <w:r>
              <w:rPr>
                <w:rFonts w:hint="eastAsia" w:ascii="宋体" w:hAnsi="宋体" w:cs="宋体"/>
                <w:bCs/>
                <w:sz w:val="21"/>
                <w:lang w:bidi="ar"/>
              </w:rPr>
              <w:t>已投产</w:t>
            </w:r>
          </w:p>
        </w:tc>
      </w:tr>
      <w:tr w14:paraId="3221E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9" w:type="dxa"/>
            <w:noWrap w:val="0"/>
            <w:vAlign w:val="center"/>
          </w:tcPr>
          <w:p w14:paraId="4E9722BE">
            <w:pPr>
              <w:widowControl/>
              <w:jc w:val="center"/>
              <w:rPr>
                <w:rFonts w:hint="eastAsia" w:ascii="宋体" w:hAnsi="宋体" w:cs="宋体"/>
                <w:bCs/>
                <w:sz w:val="21"/>
                <w:lang w:eastAsia="en-US" w:bidi="ar"/>
              </w:rPr>
            </w:pPr>
            <w:r>
              <w:rPr>
                <w:rFonts w:hint="eastAsia" w:ascii="宋体" w:hAnsi="宋体" w:cs="宋体"/>
                <w:bCs/>
                <w:sz w:val="21"/>
                <w:lang w:bidi="ar"/>
              </w:rPr>
              <w:t>36</w:t>
            </w:r>
          </w:p>
        </w:tc>
        <w:tc>
          <w:tcPr>
            <w:tcW w:w="1731" w:type="dxa"/>
            <w:noWrap w:val="0"/>
            <w:vAlign w:val="center"/>
          </w:tcPr>
          <w:p w14:paraId="19C9D195">
            <w:pPr>
              <w:widowControl/>
              <w:jc w:val="center"/>
              <w:rPr>
                <w:rFonts w:hint="eastAsia" w:ascii="宋体" w:hAnsi="宋体" w:cs="宋体"/>
                <w:bCs/>
                <w:sz w:val="21"/>
                <w:lang w:bidi="ar"/>
              </w:rPr>
            </w:pPr>
            <w:r>
              <w:rPr>
                <w:rFonts w:hint="eastAsia" w:ascii="宋体" w:hAnsi="宋体" w:cs="宋体"/>
                <w:bCs/>
                <w:sz w:val="21"/>
                <w:lang w:bidi="ar"/>
              </w:rPr>
              <w:t>常德大北农饲料有限公司</w:t>
            </w:r>
          </w:p>
        </w:tc>
        <w:tc>
          <w:tcPr>
            <w:tcW w:w="1514" w:type="dxa"/>
            <w:noWrap w:val="0"/>
            <w:vAlign w:val="center"/>
          </w:tcPr>
          <w:p w14:paraId="1679BC49">
            <w:pPr>
              <w:widowControl/>
              <w:jc w:val="center"/>
              <w:rPr>
                <w:rFonts w:hint="eastAsia" w:ascii="宋体" w:hAnsi="宋体" w:cs="宋体"/>
                <w:bCs/>
                <w:sz w:val="21"/>
                <w:lang w:eastAsia="en-US" w:bidi="ar"/>
              </w:rPr>
            </w:pPr>
            <w:r>
              <w:rPr>
                <w:rFonts w:hint="eastAsia" w:ascii="宋体" w:hAnsi="宋体" w:cs="宋体"/>
                <w:bCs/>
                <w:sz w:val="21"/>
                <w:lang w:bidi="ar"/>
              </w:rPr>
              <w:t>111.853339729</w:t>
            </w:r>
          </w:p>
        </w:tc>
        <w:tc>
          <w:tcPr>
            <w:tcW w:w="1473" w:type="dxa"/>
            <w:noWrap w:val="0"/>
            <w:vAlign w:val="center"/>
          </w:tcPr>
          <w:p w14:paraId="7E9EA5FA">
            <w:pPr>
              <w:widowControl/>
              <w:jc w:val="center"/>
              <w:rPr>
                <w:rFonts w:hint="eastAsia" w:ascii="宋体" w:hAnsi="宋体" w:cs="宋体"/>
                <w:bCs/>
                <w:sz w:val="21"/>
                <w:lang w:eastAsia="en-US" w:bidi="ar"/>
              </w:rPr>
            </w:pPr>
            <w:r>
              <w:rPr>
                <w:rFonts w:hint="eastAsia" w:ascii="宋体" w:hAnsi="宋体" w:cs="宋体"/>
                <w:bCs/>
                <w:sz w:val="21"/>
                <w:lang w:bidi="ar"/>
              </w:rPr>
              <w:t>29.569171623</w:t>
            </w:r>
          </w:p>
        </w:tc>
        <w:tc>
          <w:tcPr>
            <w:tcW w:w="959" w:type="dxa"/>
            <w:noWrap w:val="0"/>
            <w:vAlign w:val="center"/>
          </w:tcPr>
          <w:p w14:paraId="37CF6D1C">
            <w:pPr>
              <w:widowControl/>
              <w:jc w:val="center"/>
              <w:rPr>
                <w:rFonts w:hint="eastAsia" w:ascii="宋体" w:hAnsi="宋体" w:cs="宋体"/>
                <w:bCs/>
                <w:sz w:val="21"/>
                <w:lang w:eastAsia="en-US" w:bidi="ar"/>
              </w:rPr>
            </w:pPr>
            <w:r>
              <w:rPr>
                <w:rFonts w:hint="eastAsia" w:ascii="宋体" w:hAnsi="宋体" w:cs="宋体"/>
                <w:bCs/>
                <w:sz w:val="21"/>
                <w:lang w:bidi="ar"/>
              </w:rPr>
              <w:t>18300</w:t>
            </w:r>
          </w:p>
        </w:tc>
        <w:tc>
          <w:tcPr>
            <w:tcW w:w="852" w:type="dxa"/>
            <w:noWrap w:val="0"/>
            <w:vAlign w:val="center"/>
          </w:tcPr>
          <w:p w14:paraId="3CF0A5BF">
            <w:pPr>
              <w:widowControl/>
              <w:jc w:val="center"/>
              <w:rPr>
                <w:rFonts w:hint="eastAsia" w:ascii="宋体" w:hAnsi="宋体" w:cs="宋体"/>
                <w:bCs/>
                <w:sz w:val="21"/>
                <w:lang w:bidi="ar"/>
              </w:rPr>
            </w:pPr>
            <w:r>
              <w:rPr>
                <w:rFonts w:hint="eastAsia" w:ascii="宋体" w:hAnsi="宋体" w:cs="宋体"/>
                <w:bCs/>
                <w:sz w:val="21"/>
                <w:lang w:bidi="ar"/>
              </w:rPr>
              <w:t>1.1</w:t>
            </w:r>
          </w:p>
        </w:tc>
        <w:tc>
          <w:tcPr>
            <w:tcW w:w="932" w:type="dxa"/>
            <w:noWrap w:val="0"/>
            <w:vAlign w:val="center"/>
          </w:tcPr>
          <w:p w14:paraId="48BBF15D">
            <w:pPr>
              <w:widowControl/>
              <w:jc w:val="center"/>
              <w:rPr>
                <w:rFonts w:hint="eastAsia" w:ascii="宋体" w:hAnsi="宋体" w:cs="宋体"/>
                <w:bCs/>
                <w:sz w:val="21"/>
                <w:lang w:bidi="ar"/>
              </w:rPr>
            </w:pPr>
            <w:r>
              <w:rPr>
                <w:rFonts w:hint="eastAsia" w:ascii="宋体" w:hAnsi="宋体" w:cs="宋体"/>
                <w:bCs/>
                <w:sz w:val="21"/>
                <w:lang w:bidi="ar"/>
              </w:rPr>
              <w:t>0.15</w:t>
            </w:r>
          </w:p>
        </w:tc>
        <w:tc>
          <w:tcPr>
            <w:tcW w:w="825" w:type="dxa"/>
            <w:noWrap w:val="0"/>
            <w:vAlign w:val="center"/>
          </w:tcPr>
          <w:p w14:paraId="61A505E0">
            <w:pPr>
              <w:widowControl/>
              <w:jc w:val="center"/>
              <w:rPr>
                <w:rFonts w:hint="eastAsia" w:ascii="宋体" w:hAnsi="宋体" w:cs="宋体"/>
                <w:bCs/>
                <w:sz w:val="21"/>
                <w:lang w:bidi="ar"/>
              </w:rPr>
            </w:pPr>
            <w:r>
              <w:rPr>
                <w:rFonts w:hint="eastAsia" w:ascii="宋体" w:hAnsi="宋体" w:cs="宋体"/>
                <w:bCs/>
                <w:sz w:val="21"/>
                <w:lang w:bidi="ar"/>
              </w:rPr>
              <w:t>2</w:t>
            </w:r>
          </w:p>
        </w:tc>
        <w:tc>
          <w:tcPr>
            <w:tcW w:w="716" w:type="dxa"/>
            <w:noWrap w:val="0"/>
            <w:vAlign w:val="center"/>
          </w:tcPr>
          <w:p w14:paraId="2A7F7B07">
            <w:pPr>
              <w:widowControl/>
              <w:jc w:val="center"/>
              <w:rPr>
                <w:rFonts w:hint="eastAsia" w:ascii="宋体" w:hAnsi="宋体" w:cs="宋体"/>
                <w:bCs/>
                <w:sz w:val="21"/>
                <w:lang w:bidi="ar"/>
              </w:rPr>
            </w:pPr>
            <w:r>
              <w:rPr>
                <w:rFonts w:hint="eastAsia" w:ascii="宋体" w:hAnsi="宋体" w:cs="宋体"/>
                <w:bCs/>
                <w:sz w:val="21"/>
                <w:lang w:bidi="ar"/>
              </w:rPr>
              <w:t>3.1</w:t>
            </w:r>
          </w:p>
        </w:tc>
        <w:tc>
          <w:tcPr>
            <w:tcW w:w="825" w:type="dxa"/>
            <w:noWrap w:val="0"/>
            <w:vAlign w:val="center"/>
          </w:tcPr>
          <w:p w14:paraId="3A2ED2DC">
            <w:pPr>
              <w:widowControl/>
              <w:jc w:val="center"/>
              <w:rPr>
                <w:rFonts w:hint="eastAsia" w:ascii="宋体" w:hAnsi="宋体" w:cs="宋体"/>
                <w:bCs/>
                <w:sz w:val="21"/>
                <w:lang w:bidi="ar"/>
              </w:rPr>
            </w:pPr>
            <w:r>
              <w:rPr>
                <w:rFonts w:hint="eastAsia" w:ascii="宋体" w:hAnsi="宋体" w:cs="宋体"/>
                <w:bCs/>
                <w:sz w:val="21"/>
                <w:lang w:bidi="ar"/>
              </w:rPr>
              <w:t>1.1</w:t>
            </w:r>
          </w:p>
        </w:tc>
        <w:tc>
          <w:tcPr>
            <w:tcW w:w="1341" w:type="dxa"/>
            <w:noWrap w:val="0"/>
            <w:vAlign w:val="center"/>
          </w:tcPr>
          <w:p w14:paraId="251308FA">
            <w:pPr>
              <w:widowControl/>
              <w:jc w:val="center"/>
              <w:rPr>
                <w:rFonts w:hint="eastAsia" w:ascii="宋体" w:hAnsi="宋体" w:cs="宋体"/>
                <w:bCs/>
                <w:sz w:val="21"/>
                <w:lang w:bidi="ar"/>
              </w:rPr>
            </w:pPr>
            <w:r>
              <w:rPr>
                <w:rFonts w:hint="eastAsia" w:ascii="宋体" w:hAnsi="宋体" w:cs="宋体"/>
                <w:bCs/>
                <w:sz w:val="21"/>
                <w:lang w:bidi="ar"/>
              </w:rPr>
              <w:t>/</w:t>
            </w:r>
          </w:p>
        </w:tc>
        <w:tc>
          <w:tcPr>
            <w:tcW w:w="1753" w:type="dxa"/>
            <w:noWrap w:val="0"/>
            <w:vAlign w:val="center"/>
          </w:tcPr>
          <w:p w14:paraId="122401E1">
            <w:pPr>
              <w:widowControl/>
              <w:jc w:val="center"/>
              <w:rPr>
                <w:rFonts w:hint="eastAsia" w:ascii="宋体" w:hAnsi="宋体" w:cs="宋体"/>
                <w:bCs/>
                <w:sz w:val="21"/>
                <w:lang w:eastAsia="en-US" w:bidi="ar"/>
              </w:rPr>
            </w:pPr>
            <w:r>
              <w:rPr>
                <w:rFonts w:hint="eastAsia" w:ascii="宋体" w:hAnsi="宋体" w:cs="宋体"/>
                <w:bCs/>
                <w:sz w:val="21"/>
                <w:lang w:bidi="ar"/>
              </w:rPr>
              <w:t>一般周废200</w:t>
            </w:r>
          </w:p>
        </w:tc>
        <w:tc>
          <w:tcPr>
            <w:tcW w:w="881" w:type="dxa"/>
            <w:noWrap w:val="0"/>
            <w:vAlign w:val="center"/>
          </w:tcPr>
          <w:p w14:paraId="28E70D53">
            <w:pPr>
              <w:widowControl/>
              <w:jc w:val="center"/>
              <w:rPr>
                <w:rFonts w:hint="eastAsia" w:ascii="宋体" w:hAnsi="宋体" w:cs="宋体"/>
                <w:bCs/>
                <w:sz w:val="21"/>
                <w:lang w:eastAsia="en-US" w:bidi="ar"/>
              </w:rPr>
            </w:pPr>
            <w:r>
              <w:rPr>
                <w:rFonts w:hint="eastAsia" w:ascii="宋体" w:hAnsi="宋体" w:cs="宋体"/>
                <w:bCs/>
                <w:sz w:val="21"/>
                <w:lang w:bidi="ar"/>
              </w:rPr>
              <w:t>已投产</w:t>
            </w:r>
          </w:p>
        </w:tc>
      </w:tr>
      <w:tr w14:paraId="30E81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9" w:type="dxa"/>
            <w:noWrap w:val="0"/>
            <w:vAlign w:val="center"/>
          </w:tcPr>
          <w:p w14:paraId="1BEEAB2B">
            <w:pPr>
              <w:widowControl/>
              <w:jc w:val="center"/>
              <w:rPr>
                <w:rFonts w:hint="eastAsia" w:ascii="宋体" w:hAnsi="宋体" w:cs="宋体"/>
                <w:bCs/>
                <w:sz w:val="21"/>
                <w:lang w:eastAsia="en-US" w:bidi="ar"/>
              </w:rPr>
            </w:pPr>
            <w:r>
              <w:rPr>
                <w:rFonts w:hint="eastAsia" w:ascii="宋体" w:hAnsi="宋体" w:cs="宋体"/>
                <w:bCs/>
                <w:sz w:val="21"/>
                <w:lang w:bidi="ar"/>
              </w:rPr>
              <w:t>37</w:t>
            </w:r>
          </w:p>
        </w:tc>
        <w:tc>
          <w:tcPr>
            <w:tcW w:w="1731" w:type="dxa"/>
            <w:noWrap w:val="0"/>
            <w:vAlign w:val="center"/>
          </w:tcPr>
          <w:p w14:paraId="407E6570">
            <w:pPr>
              <w:widowControl/>
              <w:jc w:val="center"/>
              <w:rPr>
                <w:rFonts w:hint="eastAsia" w:ascii="宋体" w:hAnsi="宋体" w:cs="宋体"/>
                <w:bCs/>
                <w:sz w:val="21"/>
                <w:lang w:bidi="ar"/>
              </w:rPr>
            </w:pPr>
            <w:r>
              <w:rPr>
                <w:rFonts w:hint="eastAsia" w:ascii="宋体" w:hAnsi="宋体" w:cs="宋体"/>
                <w:bCs/>
                <w:sz w:val="21"/>
                <w:lang w:bidi="ar"/>
              </w:rPr>
              <w:t>湖南津味绿康食品有限公司</w:t>
            </w:r>
          </w:p>
        </w:tc>
        <w:tc>
          <w:tcPr>
            <w:tcW w:w="1514" w:type="dxa"/>
            <w:noWrap w:val="0"/>
            <w:vAlign w:val="center"/>
          </w:tcPr>
          <w:p w14:paraId="62F5FF49">
            <w:pPr>
              <w:widowControl/>
              <w:jc w:val="center"/>
              <w:rPr>
                <w:rFonts w:hint="eastAsia" w:ascii="宋体" w:hAnsi="宋体" w:cs="宋体"/>
                <w:bCs/>
                <w:sz w:val="21"/>
                <w:lang w:eastAsia="en-US" w:bidi="ar"/>
              </w:rPr>
            </w:pPr>
            <w:r>
              <w:rPr>
                <w:rFonts w:hint="eastAsia" w:ascii="宋体" w:hAnsi="宋体" w:cs="宋体"/>
                <w:bCs/>
                <w:sz w:val="21"/>
                <w:lang w:bidi="ar"/>
              </w:rPr>
              <w:t>111.693266619</w:t>
            </w:r>
          </w:p>
        </w:tc>
        <w:tc>
          <w:tcPr>
            <w:tcW w:w="1473" w:type="dxa"/>
            <w:noWrap w:val="0"/>
            <w:vAlign w:val="center"/>
          </w:tcPr>
          <w:p w14:paraId="400F5947">
            <w:pPr>
              <w:widowControl/>
              <w:jc w:val="center"/>
              <w:rPr>
                <w:rFonts w:hint="eastAsia" w:ascii="宋体" w:hAnsi="宋体" w:cs="宋体"/>
                <w:bCs/>
                <w:sz w:val="21"/>
                <w:lang w:eastAsia="en-US" w:bidi="ar"/>
              </w:rPr>
            </w:pPr>
            <w:r>
              <w:rPr>
                <w:rFonts w:hint="eastAsia" w:ascii="宋体" w:hAnsi="宋体" w:cs="宋体"/>
                <w:bCs/>
                <w:sz w:val="21"/>
                <w:lang w:bidi="ar"/>
              </w:rPr>
              <w:t>29.034946771</w:t>
            </w:r>
          </w:p>
        </w:tc>
        <w:tc>
          <w:tcPr>
            <w:tcW w:w="959" w:type="dxa"/>
            <w:noWrap w:val="0"/>
            <w:vAlign w:val="center"/>
          </w:tcPr>
          <w:p w14:paraId="6D909180">
            <w:pPr>
              <w:widowControl/>
              <w:jc w:val="center"/>
              <w:rPr>
                <w:rFonts w:hint="eastAsia" w:ascii="宋体" w:hAnsi="宋体" w:cs="宋体"/>
                <w:bCs/>
                <w:sz w:val="21"/>
                <w:lang w:eastAsia="en-US" w:bidi="ar"/>
              </w:rPr>
            </w:pPr>
            <w:r>
              <w:rPr>
                <w:rFonts w:hint="eastAsia" w:ascii="宋体" w:hAnsi="宋体" w:cs="宋体"/>
                <w:bCs/>
                <w:sz w:val="21"/>
                <w:lang w:bidi="ar"/>
              </w:rPr>
              <w:t>76300</w:t>
            </w:r>
          </w:p>
        </w:tc>
        <w:tc>
          <w:tcPr>
            <w:tcW w:w="852" w:type="dxa"/>
            <w:noWrap w:val="0"/>
            <w:vAlign w:val="center"/>
          </w:tcPr>
          <w:p w14:paraId="2A2C8477">
            <w:pPr>
              <w:widowControl/>
              <w:jc w:val="center"/>
              <w:rPr>
                <w:rFonts w:hint="eastAsia" w:ascii="宋体" w:hAnsi="宋体" w:cs="宋体"/>
                <w:bCs/>
                <w:sz w:val="21"/>
                <w:lang w:eastAsia="en-US" w:bidi="ar"/>
              </w:rPr>
            </w:pPr>
            <w:r>
              <w:rPr>
                <w:rFonts w:hint="eastAsia" w:ascii="宋体" w:hAnsi="宋体" w:cs="宋体"/>
                <w:bCs/>
                <w:sz w:val="21"/>
                <w:lang w:bidi="ar"/>
              </w:rPr>
              <w:t>4.58</w:t>
            </w:r>
          </w:p>
        </w:tc>
        <w:tc>
          <w:tcPr>
            <w:tcW w:w="932" w:type="dxa"/>
            <w:noWrap w:val="0"/>
            <w:vAlign w:val="center"/>
          </w:tcPr>
          <w:p w14:paraId="3F353738">
            <w:pPr>
              <w:widowControl/>
              <w:jc w:val="center"/>
              <w:rPr>
                <w:rFonts w:hint="eastAsia" w:ascii="宋体" w:hAnsi="宋体" w:cs="宋体"/>
                <w:bCs/>
                <w:sz w:val="21"/>
                <w:lang w:bidi="ar"/>
              </w:rPr>
            </w:pPr>
            <w:r>
              <w:rPr>
                <w:rFonts w:hint="eastAsia" w:ascii="宋体" w:hAnsi="宋体" w:cs="宋体"/>
                <w:bCs/>
                <w:sz w:val="21"/>
                <w:lang w:bidi="ar"/>
              </w:rPr>
              <w:t>0.61</w:t>
            </w:r>
          </w:p>
        </w:tc>
        <w:tc>
          <w:tcPr>
            <w:tcW w:w="825" w:type="dxa"/>
            <w:noWrap w:val="0"/>
            <w:vAlign w:val="center"/>
          </w:tcPr>
          <w:p w14:paraId="075B628E">
            <w:pPr>
              <w:widowControl/>
              <w:jc w:val="center"/>
              <w:rPr>
                <w:rFonts w:hint="eastAsia" w:ascii="宋体" w:hAnsi="宋体" w:cs="宋体"/>
                <w:bCs/>
                <w:sz w:val="21"/>
                <w:lang w:bidi="ar"/>
              </w:rPr>
            </w:pPr>
            <w:r>
              <w:rPr>
                <w:rFonts w:hint="eastAsia" w:ascii="宋体" w:hAnsi="宋体" w:cs="宋体"/>
                <w:bCs/>
                <w:sz w:val="21"/>
                <w:lang w:bidi="ar"/>
              </w:rPr>
              <w:t>0.25</w:t>
            </w:r>
          </w:p>
        </w:tc>
        <w:tc>
          <w:tcPr>
            <w:tcW w:w="716" w:type="dxa"/>
            <w:noWrap w:val="0"/>
            <w:vAlign w:val="center"/>
          </w:tcPr>
          <w:p w14:paraId="5F30866E">
            <w:pPr>
              <w:widowControl/>
              <w:jc w:val="center"/>
              <w:rPr>
                <w:rFonts w:hint="eastAsia" w:ascii="宋体" w:hAnsi="宋体" w:cs="宋体"/>
                <w:bCs/>
                <w:sz w:val="21"/>
                <w:lang w:bidi="ar"/>
              </w:rPr>
            </w:pPr>
            <w:r>
              <w:rPr>
                <w:rFonts w:hint="eastAsia" w:ascii="宋体" w:hAnsi="宋体" w:cs="宋体"/>
                <w:bCs/>
                <w:sz w:val="21"/>
                <w:lang w:bidi="ar"/>
              </w:rPr>
              <w:t>0.51</w:t>
            </w:r>
          </w:p>
        </w:tc>
        <w:tc>
          <w:tcPr>
            <w:tcW w:w="825" w:type="dxa"/>
            <w:noWrap w:val="0"/>
            <w:vAlign w:val="center"/>
          </w:tcPr>
          <w:p w14:paraId="1D514418">
            <w:pPr>
              <w:widowControl/>
              <w:jc w:val="center"/>
              <w:rPr>
                <w:rFonts w:hint="eastAsia" w:ascii="宋体" w:hAnsi="宋体" w:cs="宋体"/>
                <w:bCs/>
                <w:sz w:val="21"/>
                <w:lang w:bidi="ar"/>
              </w:rPr>
            </w:pPr>
            <w:r>
              <w:rPr>
                <w:rFonts w:hint="eastAsia" w:ascii="宋体" w:hAnsi="宋体" w:cs="宋体"/>
                <w:bCs/>
                <w:sz w:val="21"/>
                <w:lang w:bidi="ar"/>
              </w:rPr>
              <w:t>0.03</w:t>
            </w:r>
          </w:p>
        </w:tc>
        <w:tc>
          <w:tcPr>
            <w:tcW w:w="1341" w:type="dxa"/>
            <w:noWrap w:val="0"/>
            <w:vAlign w:val="center"/>
          </w:tcPr>
          <w:p w14:paraId="375A5500">
            <w:pPr>
              <w:widowControl/>
              <w:jc w:val="center"/>
              <w:rPr>
                <w:rFonts w:hint="eastAsia" w:ascii="宋体" w:hAnsi="宋体" w:cs="宋体"/>
                <w:bCs/>
                <w:sz w:val="21"/>
                <w:lang w:eastAsia="en-US" w:bidi="ar"/>
              </w:rPr>
            </w:pPr>
            <w:r>
              <w:rPr>
                <w:rFonts w:hint="eastAsia" w:ascii="宋体" w:hAnsi="宋体" w:cs="宋体"/>
                <w:bCs/>
                <w:sz w:val="21"/>
                <w:lang w:bidi="ar"/>
              </w:rPr>
              <w:t>/</w:t>
            </w:r>
          </w:p>
        </w:tc>
        <w:tc>
          <w:tcPr>
            <w:tcW w:w="1753" w:type="dxa"/>
            <w:noWrap w:val="0"/>
            <w:vAlign w:val="center"/>
          </w:tcPr>
          <w:p w14:paraId="67E6C44F">
            <w:pPr>
              <w:widowControl/>
              <w:jc w:val="center"/>
              <w:rPr>
                <w:rFonts w:hint="eastAsia" w:ascii="宋体" w:hAnsi="宋体" w:cs="宋体"/>
                <w:bCs/>
                <w:sz w:val="21"/>
                <w:lang w:eastAsia="en-US" w:bidi="ar"/>
              </w:rPr>
            </w:pPr>
            <w:r>
              <w:rPr>
                <w:rFonts w:hint="eastAsia" w:ascii="宋体" w:hAnsi="宋体" w:cs="宋体"/>
                <w:bCs/>
                <w:sz w:val="21"/>
                <w:lang w:bidi="ar"/>
              </w:rPr>
              <w:t>一般圆废580</w:t>
            </w:r>
          </w:p>
        </w:tc>
        <w:tc>
          <w:tcPr>
            <w:tcW w:w="881" w:type="dxa"/>
            <w:noWrap w:val="0"/>
            <w:vAlign w:val="center"/>
          </w:tcPr>
          <w:p w14:paraId="5C7D2451">
            <w:pPr>
              <w:widowControl/>
              <w:jc w:val="center"/>
              <w:rPr>
                <w:rFonts w:hint="eastAsia" w:ascii="宋体" w:hAnsi="宋体" w:cs="宋体"/>
                <w:bCs/>
                <w:sz w:val="21"/>
                <w:lang w:eastAsia="en-US" w:bidi="ar"/>
              </w:rPr>
            </w:pPr>
            <w:r>
              <w:rPr>
                <w:rFonts w:hint="eastAsia" w:ascii="宋体" w:hAnsi="宋体" w:cs="宋体"/>
                <w:bCs/>
                <w:sz w:val="21"/>
                <w:lang w:bidi="ar"/>
              </w:rPr>
              <w:t>已投产</w:t>
            </w:r>
          </w:p>
        </w:tc>
      </w:tr>
      <w:tr w14:paraId="77E53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9" w:type="dxa"/>
            <w:noWrap w:val="0"/>
            <w:vAlign w:val="center"/>
          </w:tcPr>
          <w:p w14:paraId="094BB0C5">
            <w:pPr>
              <w:widowControl/>
              <w:jc w:val="center"/>
              <w:rPr>
                <w:rFonts w:hint="eastAsia" w:ascii="宋体" w:hAnsi="宋体" w:cs="宋体"/>
                <w:bCs/>
                <w:sz w:val="21"/>
                <w:lang w:eastAsia="en-US" w:bidi="ar"/>
              </w:rPr>
            </w:pPr>
            <w:r>
              <w:rPr>
                <w:rFonts w:hint="eastAsia" w:ascii="宋体" w:hAnsi="宋体" w:cs="宋体"/>
                <w:bCs/>
                <w:sz w:val="21"/>
                <w:lang w:bidi="ar"/>
              </w:rPr>
              <w:t>38</w:t>
            </w:r>
          </w:p>
        </w:tc>
        <w:tc>
          <w:tcPr>
            <w:tcW w:w="1731" w:type="dxa"/>
            <w:noWrap w:val="0"/>
            <w:vAlign w:val="center"/>
          </w:tcPr>
          <w:p w14:paraId="58314782">
            <w:pPr>
              <w:widowControl/>
              <w:jc w:val="center"/>
              <w:rPr>
                <w:rFonts w:hint="eastAsia" w:ascii="宋体" w:hAnsi="宋体" w:cs="宋体"/>
                <w:bCs/>
                <w:sz w:val="21"/>
                <w:lang w:bidi="ar"/>
              </w:rPr>
            </w:pPr>
            <w:r>
              <w:rPr>
                <w:rFonts w:hint="eastAsia" w:ascii="宋体" w:hAnsi="宋体" w:cs="宋体"/>
                <w:bCs/>
                <w:sz w:val="21"/>
                <w:lang w:bidi="ar"/>
              </w:rPr>
              <w:t>津市市南北特食品实业有限公司</w:t>
            </w:r>
          </w:p>
        </w:tc>
        <w:tc>
          <w:tcPr>
            <w:tcW w:w="1514" w:type="dxa"/>
            <w:noWrap w:val="0"/>
            <w:vAlign w:val="center"/>
          </w:tcPr>
          <w:p w14:paraId="683CC5FD">
            <w:pPr>
              <w:widowControl/>
              <w:jc w:val="center"/>
              <w:rPr>
                <w:rFonts w:hint="eastAsia" w:ascii="宋体" w:hAnsi="宋体" w:cs="宋体"/>
                <w:bCs/>
                <w:sz w:val="21"/>
                <w:lang w:eastAsia="en-US" w:bidi="ar"/>
              </w:rPr>
            </w:pPr>
            <w:r>
              <w:rPr>
                <w:rFonts w:hint="eastAsia" w:ascii="宋体" w:hAnsi="宋体" w:cs="宋体"/>
                <w:bCs/>
                <w:sz w:val="21"/>
                <w:lang w:bidi="ar"/>
              </w:rPr>
              <w:t>111.855329564</w:t>
            </w:r>
          </w:p>
        </w:tc>
        <w:tc>
          <w:tcPr>
            <w:tcW w:w="1473" w:type="dxa"/>
            <w:noWrap w:val="0"/>
            <w:vAlign w:val="center"/>
          </w:tcPr>
          <w:p w14:paraId="6E0F1D43">
            <w:pPr>
              <w:widowControl/>
              <w:jc w:val="center"/>
              <w:rPr>
                <w:rFonts w:hint="eastAsia" w:ascii="宋体" w:hAnsi="宋体" w:cs="宋体"/>
                <w:bCs/>
                <w:sz w:val="21"/>
                <w:lang w:eastAsia="en-US" w:bidi="ar"/>
              </w:rPr>
            </w:pPr>
            <w:r>
              <w:rPr>
                <w:rFonts w:hint="eastAsia" w:ascii="宋体" w:hAnsi="宋体" w:cs="宋体"/>
                <w:bCs/>
                <w:sz w:val="21"/>
                <w:lang w:bidi="ar"/>
              </w:rPr>
              <w:t>29.576012343</w:t>
            </w:r>
          </w:p>
        </w:tc>
        <w:tc>
          <w:tcPr>
            <w:tcW w:w="959" w:type="dxa"/>
            <w:noWrap w:val="0"/>
            <w:vAlign w:val="center"/>
          </w:tcPr>
          <w:p w14:paraId="39E0055E">
            <w:pPr>
              <w:widowControl/>
              <w:jc w:val="center"/>
              <w:rPr>
                <w:rFonts w:hint="eastAsia" w:ascii="宋体" w:hAnsi="宋体" w:cs="宋体"/>
                <w:bCs/>
                <w:sz w:val="21"/>
                <w:lang w:eastAsia="en-US" w:bidi="ar"/>
              </w:rPr>
            </w:pPr>
            <w:r>
              <w:rPr>
                <w:rFonts w:hint="eastAsia" w:ascii="宋体" w:hAnsi="宋体" w:cs="宋体"/>
                <w:bCs/>
                <w:sz w:val="21"/>
                <w:lang w:bidi="ar"/>
              </w:rPr>
              <w:t>86840</w:t>
            </w:r>
          </w:p>
        </w:tc>
        <w:tc>
          <w:tcPr>
            <w:tcW w:w="852" w:type="dxa"/>
            <w:noWrap w:val="0"/>
            <w:vAlign w:val="center"/>
          </w:tcPr>
          <w:p w14:paraId="359728EF">
            <w:pPr>
              <w:widowControl/>
              <w:jc w:val="center"/>
              <w:rPr>
                <w:rFonts w:hint="eastAsia" w:ascii="宋体" w:hAnsi="宋体" w:cs="宋体"/>
                <w:bCs/>
                <w:sz w:val="21"/>
                <w:lang w:eastAsia="en-US" w:bidi="ar"/>
              </w:rPr>
            </w:pPr>
            <w:r>
              <w:rPr>
                <w:rFonts w:hint="eastAsia" w:ascii="宋体" w:hAnsi="宋体" w:cs="宋体"/>
                <w:bCs/>
                <w:sz w:val="21"/>
                <w:lang w:bidi="ar"/>
              </w:rPr>
              <w:t>9.47</w:t>
            </w:r>
          </w:p>
        </w:tc>
        <w:tc>
          <w:tcPr>
            <w:tcW w:w="932" w:type="dxa"/>
            <w:noWrap w:val="0"/>
            <w:vAlign w:val="center"/>
          </w:tcPr>
          <w:p w14:paraId="7BB5E870">
            <w:pPr>
              <w:widowControl/>
              <w:jc w:val="center"/>
              <w:rPr>
                <w:rFonts w:hint="eastAsia" w:ascii="宋体" w:hAnsi="宋体" w:cs="宋体"/>
                <w:bCs/>
                <w:sz w:val="21"/>
                <w:lang w:eastAsia="en-US" w:bidi="ar"/>
              </w:rPr>
            </w:pPr>
            <w:r>
              <w:rPr>
                <w:rFonts w:hint="eastAsia" w:ascii="宋体" w:hAnsi="宋体" w:cs="宋体"/>
                <w:bCs/>
                <w:sz w:val="21"/>
                <w:lang w:bidi="ar"/>
              </w:rPr>
              <w:t>2.43</w:t>
            </w:r>
          </w:p>
        </w:tc>
        <w:tc>
          <w:tcPr>
            <w:tcW w:w="825" w:type="dxa"/>
            <w:noWrap w:val="0"/>
            <w:vAlign w:val="center"/>
          </w:tcPr>
          <w:p w14:paraId="3997AAFA">
            <w:pPr>
              <w:widowControl/>
              <w:jc w:val="center"/>
              <w:rPr>
                <w:rFonts w:hint="eastAsia" w:ascii="宋体" w:hAnsi="宋体" w:cs="宋体"/>
                <w:bCs/>
                <w:sz w:val="21"/>
                <w:lang w:bidi="ar"/>
              </w:rPr>
            </w:pPr>
            <w:r>
              <w:rPr>
                <w:rFonts w:hint="eastAsia" w:ascii="宋体" w:hAnsi="宋体" w:cs="宋体"/>
                <w:bCs/>
                <w:sz w:val="21"/>
                <w:lang w:bidi="ar"/>
              </w:rPr>
              <w:t>1.45</w:t>
            </w:r>
          </w:p>
        </w:tc>
        <w:tc>
          <w:tcPr>
            <w:tcW w:w="716" w:type="dxa"/>
            <w:noWrap w:val="0"/>
            <w:vAlign w:val="center"/>
          </w:tcPr>
          <w:p w14:paraId="5DE59344">
            <w:pPr>
              <w:widowControl/>
              <w:jc w:val="center"/>
              <w:rPr>
                <w:rFonts w:hint="eastAsia" w:ascii="宋体" w:hAnsi="宋体" w:cs="宋体"/>
                <w:bCs/>
                <w:sz w:val="21"/>
                <w:lang w:eastAsia="en-US" w:bidi="ar"/>
              </w:rPr>
            </w:pPr>
            <w:r>
              <w:rPr>
                <w:rFonts w:hint="eastAsia" w:ascii="宋体" w:hAnsi="宋体" w:cs="宋体"/>
                <w:bCs/>
                <w:sz w:val="21"/>
                <w:lang w:bidi="ar"/>
              </w:rPr>
              <w:t>2.1</w:t>
            </w:r>
          </w:p>
        </w:tc>
        <w:tc>
          <w:tcPr>
            <w:tcW w:w="825" w:type="dxa"/>
            <w:noWrap w:val="0"/>
            <w:vAlign w:val="center"/>
          </w:tcPr>
          <w:p w14:paraId="72306882">
            <w:pPr>
              <w:widowControl/>
              <w:jc w:val="center"/>
              <w:rPr>
                <w:rFonts w:hint="eastAsia" w:ascii="宋体" w:hAnsi="宋体" w:cs="宋体"/>
                <w:bCs/>
                <w:sz w:val="21"/>
                <w:lang w:bidi="ar"/>
              </w:rPr>
            </w:pPr>
            <w:r>
              <w:rPr>
                <w:rFonts w:hint="eastAsia" w:ascii="宋体" w:hAnsi="宋体" w:cs="宋体"/>
                <w:bCs/>
                <w:sz w:val="21"/>
                <w:lang w:bidi="ar"/>
              </w:rPr>
              <w:t>0.004</w:t>
            </w:r>
          </w:p>
        </w:tc>
        <w:tc>
          <w:tcPr>
            <w:tcW w:w="1341" w:type="dxa"/>
            <w:noWrap w:val="0"/>
            <w:vAlign w:val="center"/>
          </w:tcPr>
          <w:p w14:paraId="2FEC23C2">
            <w:pPr>
              <w:widowControl/>
              <w:jc w:val="center"/>
              <w:rPr>
                <w:rFonts w:hint="eastAsia" w:ascii="宋体" w:hAnsi="宋体" w:cs="宋体"/>
                <w:bCs/>
                <w:sz w:val="21"/>
                <w:lang w:eastAsia="en-US" w:bidi="ar"/>
              </w:rPr>
            </w:pPr>
            <w:r>
              <w:rPr>
                <w:rFonts w:hint="eastAsia" w:ascii="宋体" w:hAnsi="宋体" w:cs="宋体"/>
                <w:bCs/>
                <w:sz w:val="21"/>
                <w:lang w:bidi="ar"/>
              </w:rPr>
              <w:t>/</w:t>
            </w:r>
          </w:p>
        </w:tc>
        <w:tc>
          <w:tcPr>
            <w:tcW w:w="1753" w:type="dxa"/>
            <w:noWrap w:val="0"/>
            <w:vAlign w:val="center"/>
          </w:tcPr>
          <w:p w14:paraId="5FDB8863">
            <w:pPr>
              <w:widowControl/>
              <w:jc w:val="center"/>
              <w:rPr>
                <w:rFonts w:hint="eastAsia" w:ascii="宋体" w:hAnsi="宋体" w:cs="宋体"/>
                <w:bCs/>
                <w:sz w:val="21"/>
                <w:lang w:bidi="ar"/>
              </w:rPr>
            </w:pPr>
            <w:r>
              <w:rPr>
                <w:rFonts w:hint="eastAsia" w:ascii="宋体" w:hAnsi="宋体" w:cs="宋体"/>
                <w:bCs/>
                <w:sz w:val="21"/>
                <w:lang w:bidi="ar"/>
              </w:rPr>
              <w:t>一般固废190.5；危险固废（废机油）0.5</w:t>
            </w:r>
          </w:p>
        </w:tc>
        <w:tc>
          <w:tcPr>
            <w:tcW w:w="881" w:type="dxa"/>
            <w:noWrap w:val="0"/>
            <w:vAlign w:val="center"/>
          </w:tcPr>
          <w:p w14:paraId="5286FA19">
            <w:pPr>
              <w:widowControl/>
              <w:jc w:val="center"/>
              <w:rPr>
                <w:rFonts w:hint="eastAsia" w:ascii="宋体" w:hAnsi="宋体" w:cs="宋体"/>
                <w:bCs/>
                <w:sz w:val="21"/>
                <w:lang w:eastAsia="en-US" w:bidi="ar"/>
              </w:rPr>
            </w:pPr>
            <w:r>
              <w:rPr>
                <w:rFonts w:hint="eastAsia" w:ascii="宋体" w:hAnsi="宋体" w:cs="宋体"/>
                <w:bCs/>
                <w:sz w:val="21"/>
                <w:lang w:bidi="ar"/>
              </w:rPr>
              <w:t>已投产</w:t>
            </w:r>
          </w:p>
        </w:tc>
      </w:tr>
      <w:tr w14:paraId="0004E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9" w:type="dxa"/>
            <w:noWrap w:val="0"/>
            <w:vAlign w:val="center"/>
          </w:tcPr>
          <w:p w14:paraId="77F8DEF3">
            <w:pPr>
              <w:widowControl/>
              <w:jc w:val="center"/>
              <w:rPr>
                <w:rFonts w:hint="eastAsia" w:ascii="宋体" w:hAnsi="宋体" w:cs="宋体"/>
                <w:bCs/>
                <w:sz w:val="21"/>
                <w:lang w:eastAsia="en-US" w:bidi="ar"/>
              </w:rPr>
            </w:pPr>
            <w:r>
              <w:rPr>
                <w:rFonts w:hint="eastAsia" w:ascii="宋体" w:hAnsi="宋体" w:cs="宋体"/>
                <w:bCs/>
                <w:sz w:val="21"/>
                <w:lang w:bidi="ar"/>
              </w:rPr>
              <w:t>39</w:t>
            </w:r>
          </w:p>
        </w:tc>
        <w:tc>
          <w:tcPr>
            <w:tcW w:w="1731" w:type="dxa"/>
            <w:noWrap w:val="0"/>
            <w:vAlign w:val="center"/>
          </w:tcPr>
          <w:p w14:paraId="7B0A7FB2">
            <w:pPr>
              <w:widowControl/>
              <w:jc w:val="center"/>
              <w:rPr>
                <w:rFonts w:hint="eastAsia" w:ascii="宋体" w:hAnsi="宋体" w:cs="宋体"/>
                <w:bCs/>
                <w:sz w:val="21"/>
                <w:lang w:eastAsia="en-US" w:bidi="ar"/>
              </w:rPr>
            </w:pPr>
            <w:r>
              <w:rPr>
                <w:rFonts w:hint="eastAsia" w:ascii="宋体" w:hAnsi="宋体" w:cs="宋体"/>
                <w:bCs/>
                <w:sz w:val="21"/>
                <w:lang w:bidi="ar"/>
              </w:rPr>
              <w:t>湖南嘉品嘉味生物科技有限公司</w:t>
            </w:r>
          </w:p>
        </w:tc>
        <w:tc>
          <w:tcPr>
            <w:tcW w:w="1514" w:type="dxa"/>
            <w:noWrap w:val="0"/>
            <w:vAlign w:val="center"/>
          </w:tcPr>
          <w:p w14:paraId="39F6D0E4">
            <w:pPr>
              <w:widowControl/>
              <w:jc w:val="center"/>
              <w:rPr>
                <w:rFonts w:hint="eastAsia" w:ascii="宋体" w:hAnsi="宋体" w:cs="宋体"/>
                <w:bCs/>
                <w:sz w:val="21"/>
                <w:lang w:eastAsia="en-US" w:bidi="ar"/>
              </w:rPr>
            </w:pPr>
            <w:r>
              <w:rPr>
                <w:rFonts w:hint="eastAsia" w:ascii="宋体" w:hAnsi="宋体" w:cs="宋体"/>
                <w:bCs/>
                <w:sz w:val="21"/>
                <w:lang w:bidi="ar"/>
              </w:rPr>
              <w:t>111.845264154</w:t>
            </w:r>
          </w:p>
        </w:tc>
        <w:tc>
          <w:tcPr>
            <w:tcW w:w="1473" w:type="dxa"/>
            <w:noWrap w:val="0"/>
            <w:vAlign w:val="center"/>
          </w:tcPr>
          <w:p w14:paraId="78659E73">
            <w:pPr>
              <w:widowControl/>
              <w:jc w:val="center"/>
              <w:rPr>
                <w:rFonts w:hint="eastAsia" w:ascii="宋体" w:hAnsi="宋体" w:cs="宋体"/>
                <w:bCs/>
                <w:sz w:val="21"/>
                <w:lang w:eastAsia="en-US" w:bidi="ar"/>
              </w:rPr>
            </w:pPr>
            <w:r>
              <w:rPr>
                <w:rFonts w:hint="eastAsia" w:ascii="宋体" w:hAnsi="宋体" w:cs="宋体"/>
                <w:bCs/>
                <w:sz w:val="21"/>
                <w:lang w:bidi="ar"/>
              </w:rPr>
              <w:t>29.568435952</w:t>
            </w:r>
          </w:p>
        </w:tc>
        <w:tc>
          <w:tcPr>
            <w:tcW w:w="959" w:type="dxa"/>
            <w:noWrap w:val="0"/>
            <w:vAlign w:val="center"/>
          </w:tcPr>
          <w:p w14:paraId="7D9F8C03">
            <w:pPr>
              <w:widowControl/>
              <w:jc w:val="center"/>
              <w:rPr>
                <w:rFonts w:hint="eastAsia" w:ascii="宋体" w:hAnsi="宋体" w:cs="宋体"/>
                <w:bCs/>
                <w:sz w:val="21"/>
                <w:lang w:eastAsia="en-US" w:bidi="ar"/>
              </w:rPr>
            </w:pPr>
            <w:r>
              <w:rPr>
                <w:rFonts w:hint="eastAsia" w:ascii="宋体" w:hAnsi="宋体" w:cs="宋体"/>
                <w:bCs/>
                <w:sz w:val="21"/>
                <w:lang w:bidi="ar"/>
              </w:rPr>
              <w:t>5300</w:t>
            </w:r>
          </w:p>
        </w:tc>
        <w:tc>
          <w:tcPr>
            <w:tcW w:w="852" w:type="dxa"/>
            <w:noWrap w:val="0"/>
            <w:vAlign w:val="center"/>
          </w:tcPr>
          <w:p w14:paraId="4244C5B6">
            <w:pPr>
              <w:widowControl/>
              <w:jc w:val="center"/>
              <w:rPr>
                <w:rFonts w:hint="eastAsia" w:ascii="宋体" w:hAnsi="宋体" w:cs="宋体"/>
                <w:bCs/>
                <w:sz w:val="21"/>
                <w:lang w:eastAsia="en-US" w:bidi="ar"/>
              </w:rPr>
            </w:pPr>
            <w:r>
              <w:rPr>
                <w:rFonts w:hint="eastAsia" w:ascii="宋体" w:hAnsi="宋体" w:cs="宋体"/>
                <w:bCs/>
                <w:sz w:val="21"/>
                <w:lang w:bidi="ar"/>
              </w:rPr>
              <w:t>0.316</w:t>
            </w:r>
          </w:p>
        </w:tc>
        <w:tc>
          <w:tcPr>
            <w:tcW w:w="932" w:type="dxa"/>
            <w:noWrap w:val="0"/>
            <w:vAlign w:val="center"/>
          </w:tcPr>
          <w:p w14:paraId="4E5D6886">
            <w:pPr>
              <w:widowControl/>
              <w:jc w:val="center"/>
              <w:rPr>
                <w:rFonts w:hint="eastAsia" w:ascii="宋体" w:hAnsi="宋体" w:cs="宋体"/>
                <w:bCs/>
                <w:sz w:val="21"/>
                <w:lang w:eastAsia="en-US" w:bidi="ar"/>
              </w:rPr>
            </w:pPr>
            <w:r>
              <w:rPr>
                <w:rFonts w:hint="eastAsia" w:ascii="宋体" w:hAnsi="宋体" w:cs="宋体"/>
                <w:bCs/>
                <w:sz w:val="21"/>
                <w:lang w:bidi="ar"/>
              </w:rPr>
              <w:t>0.032</w:t>
            </w:r>
          </w:p>
        </w:tc>
        <w:tc>
          <w:tcPr>
            <w:tcW w:w="825" w:type="dxa"/>
            <w:noWrap w:val="0"/>
            <w:vAlign w:val="center"/>
          </w:tcPr>
          <w:p w14:paraId="68549A42">
            <w:pPr>
              <w:widowControl/>
              <w:jc w:val="center"/>
              <w:rPr>
                <w:rFonts w:hint="eastAsia" w:ascii="宋体" w:hAnsi="宋体" w:cs="宋体"/>
                <w:bCs/>
                <w:sz w:val="21"/>
                <w:lang w:bidi="ar"/>
              </w:rPr>
            </w:pPr>
            <w:r>
              <w:rPr>
                <w:rFonts w:hint="eastAsia" w:ascii="宋体" w:hAnsi="宋体" w:cs="宋体"/>
                <w:bCs/>
                <w:sz w:val="21"/>
                <w:lang w:bidi="ar"/>
              </w:rPr>
              <w:t>0.22</w:t>
            </w:r>
          </w:p>
        </w:tc>
        <w:tc>
          <w:tcPr>
            <w:tcW w:w="716" w:type="dxa"/>
            <w:noWrap w:val="0"/>
            <w:vAlign w:val="center"/>
          </w:tcPr>
          <w:p w14:paraId="51F1AE96">
            <w:pPr>
              <w:widowControl/>
              <w:jc w:val="center"/>
              <w:rPr>
                <w:rFonts w:hint="eastAsia" w:ascii="宋体" w:hAnsi="宋体" w:cs="宋体"/>
                <w:bCs/>
                <w:sz w:val="21"/>
                <w:lang w:eastAsia="en-US" w:bidi="ar"/>
              </w:rPr>
            </w:pPr>
            <w:r>
              <w:rPr>
                <w:rFonts w:hint="eastAsia" w:ascii="宋体" w:hAnsi="宋体" w:cs="宋体"/>
                <w:bCs/>
                <w:sz w:val="21"/>
                <w:lang w:bidi="ar"/>
              </w:rPr>
              <w:t>0.67</w:t>
            </w:r>
          </w:p>
        </w:tc>
        <w:tc>
          <w:tcPr>
            <w:tcW w:w="825" w:type="dxa"/>
            <w:noWrap w:val="0"/>
            <w:vAlign w:val="center"/>
          </w:tcPr>
          <w:p w14:paraId="43B92E1D">
            <w:pPr>
              <w:widowControl/>
              <w:jc w:val="center"/>
              <w:rPr>
                <w:rFonts w:hint="eastAsia" w:ascii="宋体" w:hAnsi="宋体" w:cs="宋体"/>
                <w:bCs/>
                <w:sz w:val="21"/>
                <w:lang w:bidi="ar"/>
              </w:rPr>
            </w:pPr>
            <w:r>
              <w:rPr>
                <w:rFonts w:hint="eastAsia" w:ascii="宋体" w:hAnsi="宋体" w:cs="宋体"/>
                <w:bCs/>
                <w:sz w:val="21"/>
                <w:lang w:bidi="ar"/>
              </w:rPr>
              <w:t>0.001</w:t>
            </w:r>
          </w:p>
        </w:tc>
        <w:tc>
          <w:tcPr>
            <w:tcW w:w="1341" w:type="dxa"/>
            <w:noWrap w:val="0"/>
            <w:vAlign w:val="center"/>
          </w:tcPr>
          <w:p w14:paraId="27D43D67">
            <w:pPr>
              <w:widowControl/>
              <w:jc w:val="center"/>
              <w:rPr>
                <w:rFonts w:hint="eastAsia" w:ascii="宋体" w:hAnsi="宋体" w:cs="宋体"/>
                <w:bCs/>
                <w:sz w:val="21"/>
                <w:lang w:eastAsia="en-US" w:bidi="ar"/>
              </w:rPr>
            </w:pPr>
            <w:r>
              <w:rPr>
                <w:rFonts w:hint="eastAsia" w:ascii="宋体" w:hAnsi="宋体" w:cs="宋体"/>
                <w:bCs/>
                <w:sz w:val="21"/>
                <w:lang w:bidi="ar"/>
              </w:rPr>
              <w:t>/</w:t>
            </w:r>
          </w:p>
        </w:tc>
        <w:tc>
          <w:tcPr>
            <w:tcW w:w="1753" w:type="dxa"/>
            <w:noWrap w:val="0"/>
            <w:vAlign w:val="center"/>
          </w:tcPr>
          <w:p w14:paraId="6B6E2B6C">
            <w:pPr>
              <w:widowControl/>
              <w:jc w:val="center"/>
              <w:rPr>
                <w:rFonts w:hint="eastAsia" w:ascii="宋体" w:hAnsi="宋体" w:cs="宋体"/>
                <w:bCs/>
                <w:sz w:val="21"/>
                <w:lang w:eastAsia="en-US" w:bidi="ar"/>
              </w:rPr>
            </w:pPr>
            <w:r>
              <w:rPr>
                <w:rFonts w:hint="eastAsia" w:ascii="宋体" w:hAnsi="宋体" w:cs="宋体"/>
                <w:bCs/>
                <w:sz w:val="21"/>
                <w:lang w:bidi="ar"/>
              </w:rPr>
              <w:t>一般固废390</w:t>
            </w:r>
          </w:p>
        </w:tc>
        <w:tc>
          <w:tcPr>
            <w:tcW w:w="881" w:type="dxa"/>
            <w:noWrap w:val="0"/>
            <w:vAlign w:val="center"/>
          </w:tcPr>
          <w:p w14:paraId="3A931186">
            <w:pPr>
              <w:widowControl/>
              <w:jc w:val="center"/>
              <w:rPr>
                <w:rFonts w:hint="eastAsia" w:ascii="宋体" w:hAnsi="宋体" w:cs="宋体"/>
                <w:bCs/>
                <w:sz w:val="21"/>
                <w:lang w:eastAsia="en-US" w:bidi="ar"/>
              </w:rPr>
            </w:pPr>
            <w:r>
              <w:rPr>
                <w:rFonts w:hint="eastAsia" w:ascii="宋体" w:hAnsi="宋体" w:cs="宋体"/>
                <w:bCs/>
                <w:sz w:val="21"/>
                <w:lang w:bidi="ar"/>
              </w:rPr>
              <w:t>已投产</w:t>
            </w:r>
          </w:p>
        </w:tc>
      </w:tr>
      <w:tr w14:paraId="00EEE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9" w:type="dxa"/>
            <w:noWrap w:val="0"/>
            <w:vAlign w:val="center"/>
          </w:tcPr>
          <w:p w14:paraId="733E477B">
            <w:pPr>
              <w:widowControl/>
              <w:jc w:val="center"/>
              <w:rPr>
                <w:rFonts w:hint="eastAsia" w:ascii="宋体" w:hAnsi="宋体" w:cs="宋体"/>
                <w:bCs/>
                <w:sz w:val="21"/>
                <w:lang w:eastAsia="en-US" w:bidi="ar"/>
              </w:rPr>
            </w:pPr>
            <w:r>
              <w:rPr>
                <w:rFonts w:hint="eastAsia" w:ascii="宋体" w:hAnsi="宋体" w:cs="宋体"/>
                <w:bCs/>
                <w:sz w:val="21"/>
                <w:lang w:bidi="ar"/>
              </w:rPr>
              <w:t>40</w:t>
            </w:r>
          </w:p>
        </w:tc>
        <w:tc>
          <w:tcPr>
            <w:tcW w:w="1731" w:type="dxa"/>
            <w:noWrap w:val="0"/>
            <w:vAlign w:val="center"/>
          </w:tcPr>
          <w:p w14:paraId="18DA592A">
            <w:pPr>
              <w:widowControl/>
              <w:jc w:val="center"/>
              <w:rPr>
                <w:rFonts w:hint="eastAsia" w:ascii="宋体" w:hAnsi="宋体" w:cs="宋体"/>
                <w:bCs/>
                <w:sz w:val="21"/>
                <w:lang w:bidi="ar"/>
              </w:rPr>
            </w:pPr>
            <w:r>
              <w:rPr>
                <w:rFonts w:hint="eastAsia" w:ascii="宋体" w:hAnsi="宋体" w:cs="宋体"/>
                <w:bCs/>
                <w:sz w:val="21"/>
                <w:lang w:bidi="ar"/>
              </w:rPr>
              <w:t>湖南创奇食品有限公司</w:t>
            </w:r>
          </w:p>
        </w:tc>
        <w:tc>
          <w:tcPr>
            <w:tcW w:w="1514" w:type="dxa"/>
            <w:noWrap w:val="0"/>
            <w:vAlign w:val="center"/>
          </w:tcPr>
          <w:p w14:paraId="726FBA14">
            <w:pPr>
              <w:widowControl/>
              <w:jc w:val="center"/>
              <w:rPr>
                <w:rFonts w:hint="eastAsia" w:ascii="宋体" w:hAnsi="宋体" w:cs="宋体"/>
                <w:bCs/>
                <w:sz w:val="21"/>
                <w:lang w:eastAsia="en-US" w:bidi="ar"/>
              </w:rPr>
            </w:pPr>
            <w:r>
              <w:rPr>
                <w:rFonts w:hint="eastAsia" w:ascii="宋体" w:hAnsi="宋体" w:cs="宋体"/>
                <w:bCs/>
                <w:sz w:val="21"/>
                <w:lang w:bidi="ar"/>
              </w:rPr>
              <w:t>111.876315959</w:t>
            </w:r>
          </w:p>
        </w:tc>
        <w:tc>
          <w:tcPr>
            <w:tcW w:w="1473" w:type="dxa"/>
            <w:noWrap w:val="0"/>
            <w:vAlign w:val="center"/>
          </w:tcPr>
          <w:p w14:paraId="4D64FC91">
            <w:pPr>
              <w:widowControl/>
              <w:jc w:val="center"/>
              <w:rPr>
                <w:rFonts w:hint="eastAsia" w:ascii="宋体" w:hAnsi="宋体" w:cs="宋体"/>
                <w:bCs/>
                <w:sz w:val="21"/>
                <w:lang w:eastAsia="en-US" w:bidi="ar"/>
              </w:rPr>
            </w:pPr>
            <w:r>
              <w:rPr>
                <w:rFonts w:hint="eastAsia" w:ascii="宋体" w:hAnsi="宋体" w:cs="宋体"/>
                <w:bCs/>
                <w:sz w:val="21"/>
                <w:lang w:bidi="ar"/>
              </w:rPr>
              <w:t>29.562354525</w:t>
            </w:r>
          </w:p>
        </w:tc>
        <w:tc>
          <w:tcPr>
            <w:tcW w:w="959" w:type="dxa"/>
            <w:noWrap w:val="0"/>
            <w:vAlign w:val="center"/>
          </w:tcPr>
          <w:p w14:paraId="5A845EFB">
            <w:pPr>
              <w:widowControl/>
              <w:jc w:val="center"/>
              <w:rPr>
                <w:rFonts w:hint="eastAsia" w:ascii="宋体" w:hAnsi="宋体" w:cs="宋体"/>
                <w:bCs/>
                <w:sz w:val="21"/>
                <w:lang w:eastAsia="en-US" w:bidi="ar"/>
              </w:rPr>
            </w:pPr>
            <w:r>
              <w:rPr>
                <w:rFonts w:hint="eastAsia" w:ascii="宋体" w:hAnsi="宋体" w:cs="宋体"/>
                <w:bCs/>
                <w:sz w:val="21"/>
                <w:lang w:bidi="ar"/>
              </w:rPr>
              <w:t>18625</w:t>
            </w:r>
          </w:p>
        </w:tc>
        <w:tc>
          <w:tcPr>
            <w:tcW w:w="852" w:type="dxa"/>
            <w:noWrap w:val="0"/>
            <w:vAlign w:val="center"/>
          </w:tcPr>
          <w:p w14:paraId="51B46220">
            <w:pPr>
              <w:widowControl/>
              <w:jc w:val="center"/>
              <w:rPr>
                <w:rFonts w:hint="eastAsia" w:ascii="宋体" w:hAnsi="宋体" w:cs="宋体"/>
                <w:bCs/>
                <w:sz w:val="21"/>
                <w:lang w:bidi="ar"/>
              </w:rPr>
            </w:pPr>
            <w:r>
              <w:rPr>
                <w:rFonts w:hint="eastAsia" w:ascii="宋体" w:hAnsi="宋体" w:cs="宋体"/>
                <w:bCs/>
                <w:sz w:val="21"/>
                <w:lang w:bidi="ar"/>
              </w:rPr>
              <w:t>1.49</w:t>
            </w:r>
          </w:p>
        </w:tc>
        <w:tc>
          <w:tcPr>
            <w:tcW w:w="932" w:type="dxa"/>
            <w:noWrap w:val="0"/>
            <w:vAlign w:val="center"/>
          </w:tcPr>
          <w:p w14:paraId="03BC5D7E">
            <w:pPr>
              <w:widowControl/>
              <w:jc w:val="center"/>
              <w:rPr>
                <w:rFonts w:hint="eastAsia" w:ascii="宋体" w:hAnsi="宋体" w:cs="宋体"/>
                <w:bCs/>
                <w:sz w:val="21"/>
                <w:lang w:eastAsia="en-US" w:bidi="ar"/>
              </w:rPr>
            </w:pPr>
            <w:r>
              <w:rPr>
                <w:rFonts w:hint="eastAsia" w:ascii="宋体" w:hAnsi="宋体" w:cs="宋体"/>
                <w:bCs/>
                <w:sz w:val="21"/>
                <w:lang w:bidi="ar"/>
              </w:rPr>
              <w:t>0.28</w:t>
            </w:r>
          </w:p>
        </w:tc>
        <w:tc>
          <w:tcPr>
            <w:tcW w:w="825" w:type="dxa"/>
            <w:noWrap w:val="0"/>
            <w:vAlign w:val="center"/>
          </w:tcPr>
          <w:p w14:paraId="3DB4E7D1">
            <w:pPr>
              <w:widowControl/>
              <w:jc w:val="center"/>
              <w:rPr>
                <w:rFonts w:hint="eastAsia" w:ascii="宋体" w:hAnsi="宋体" w:cs="宋体"/>
                <w:bCs/>
                <w:sz w:val="21"/>
                <w:lang w:bidi="ar"/>
              </w:rPr>
            </w:pPr>
            <w:r>
              <w:rPr>
                <w:rFonts w:hint="eastAsia" w:ascii="宋体" w:hAnsi="宋体" w:cs="宋体"/>
                <w:bCs/>
                <w:sz w:val="21"/>
                <w:lang w:bidi="ar"/>
              </w:rPr>
              <w:t>0.64</w:t>
            </w:r>
          </w:p>
        </w:tc>
        <w:tc>
          <w:tcPr>
            <w:tcW w:w="716" w:type="dxa"/>
            <w:noWrap w:val="0"/>
            <w:vAlign w:val="center"/>
          </w:tcPr>
          <w:p w14:paraId="31B7BCD9">
            <w:pPr>
              <w:widowControl/>
              <w:jc w:val="center"/>
              <w:rPr>
                <w:rFonts w:hint="eastAsia" w:ascii="宋体" w:hAnsi="宋体" w:cs="宋体"/>
                <w:bCs/>
                <w:sz w:val="21"/>
                <w:lang w:eastAsia="en-US" w:bidi="ar"/>
              </w:rPr>
            </w:pPr>
            <w:r>
              <w:rPr>
                <w:rFonts w:hint="eastAsia" w:ascii="宋体" w:hAnsi="宋体" w:cs="宋体"/>
                <w:bCs/>
                <w:sz w:val="21"/>
                <w:lang w:bidi="ar"/>
              </w:rPr>
              <w:t>4.24</w:t>
            </w:r>
          </w:p>
        </w:tc>
        <w:tc>
          <w:tcPr>
            <w:tcW w:w="825" w:type="dxa"/>
            <w:noWrap w:val="0"/>
            <w:vAlign w:val="center"/>
          </w:tcPr>
          <w:p w14:paraId="6E27E32B">
            <w:pPr>
              <w:widowControl/>
              <w:jc w:val="center"/>
              <w:rPr>
                <w:rFonts w:hint="eastAsia" w:ascii="宋体" w:hAnsi="宋体" w:cs="宋体"/>
                <w:bCs/>
                <w:sz w:val="21"/>
                <w:lang w:bidi="ar"/>
              </w:rPr>
            </w:pPr>
            <w:r>
              <w:rPr>
                <w:rFonts w:hint="eastAsia" w:ascii="宋体" w:hAnsi="宋体" w:cs="宋体"/>
                <w:bCs/>
                <w:sz w:val="21"/>
                <w:lang w:bidi="ar"/>
              </w:rPr>
              <w:t>1.32</w:t>
            </w:r>
          </w:p>
        </w:tc>
        <w:tc>
          <w:tcPr>
            <w:tcW w:w="1341" w:type="dxa"/>
            <w:noWrap w:val="0"/>
            <w:vAlign w:val="center"/>
          </w:tcPr>
          <w:p w14:paraId="3DBF0412">
            <w:pPr>
              <w:widowControl/>
              <w:jc w:val="center"/>
              <w:rPr>
                <w:rFonts w:hint="eastAsia" w:ascii="宋体" w:hAnsi="宋体" w:cs="宋体"/>
                <w:bCs/>
                <w:sz w:val="21"/>
                <w:lang w:bidi="ar"/>
              </w:rPr>
            </w:pPr>
            <w:r>
              <w:rPr>
                <w:rFonts w:hint="eastAsia" w:ascii="宋体" w:hAnsi="宋体" w:cs="宋体"/>
                <w:bCs/>
                <w:sz w:val="21"/>
                <w:lang w:bidi="ar"/>
              </w:rPr>
              <w:t>0</w:t>
            </w:r>
          </w:p>
        </w:tc>
        <w:tc>
          <w:tcPr>
            <w:tcW w:w="1753" w:type="dxa"/>
            <w:noWrap w:val="0"/>
            <w:vAlign w:val="center"/>
          </w:tcPr>
          <w:p w14:paraId="379BCD35">
            <w:pPr>
              <w:widowControl/>
              <w:jc w:val="center"/>
              <w:rPr>
                <w:rFonts w:hint="eastAsia" w:ascii="宋体" w:hAnsi="宋体" w:cs="宋体"/>
                <w:bCs/>
                <w:sz w:val="21"/>
                <w:lang w:eastAsia="en-US" w:bidi="ar"/>
              </w:rPr>
            </w:pPr>
            <w:r>
              <w:rPr>
                <w:rFonts w:hint="eastAsia" w:ascii="宋体" w:hAnsi="宋体" w:cs="宋体"/>
                <w:bCs/>
                <w:sz w:val="21"/>
                <w:lang w:bidi="ar"/>
              </w:rPr>
              <w:t>一般固废295.1</w:t>
            </w:r>
          </w:p>
        </w:tc>
        <w:tc>
          <w:tcPr>
            <w:tcW w:w="881" w:type="dxa"/>
            <w:noWrap w:val="0"/>
            <w:vAlign w:val="center"/>
          </w:tcPr>
          <w:p w14:paraId="01A20574">
            <w:pPr>
              <w:widowControl/>
              <w:jc w:val="center"/>
              <w:rPr>
                <w:rFonts w:hint="eastAsia" w:ascii="宋体" w:hAnsi="宋体" w:cs="宋体"/>
                <w:bCs/>
                <w:sz w:val="21"/>
                <w:lang w:eastAsia="en-US" w:bidi="ar"/>
              </w:rPr>
            </w:pPr>
            <w:r>
              <w:rPr>
                <w:rFonts w:hint="eastAsia" w:ascii="宋体" w:hAnsi="宋体" w:cs="宋体"/>
                <w:bCs/>
                <w:sz w:val="21"/>
                <w:lang w:bidi="ar"/>
              </w:rPr>
              <w:t>已投产</w:t>
            </w:r>
          </w:p>
        </w:tc>
      </w:tr>
      <w:tr w14:paraId="4CC6D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9" w:type="dxa"/>
            <w:noWrap w:val="0"/>
            <w:vAlign w:val="center"/>
          </w:tcPr>
          <w:p w14:paraId="79278B0B">
            <w:pPr>
              <w:widowControl/>
              <w:jc w:val="center"/>
              <w:rPr>
                <w:rFonts w:hint="eastAsia" w:ascii="宋体" w:hAnsi="宋体" w:cs="宋体"/>
                <w:bCs/>
                <w:sz w:val="21"/>
                <w:lang w:eastAsia="en-US" w:bidi="ar"/>
              </w:rPr>
            </w:pPr>
            <w:r>
              <w:rPr>
                <w:rFonts w:hint="eastAsia" w:ascii="宋体" w:hAnsi="宋体" w:cs="宋体"/>
                <w:bCs/>
                <w:sz w:val="21"/>
                <w:lang w:bidi="ar"/>
              </w:rPr>
              <w:t>41</w:t>
            </w:r>
          </w:p>
        </w:tc>
        <w:tc>
          <w:tcPr>
            <w:tcW w:w="1731" w:type="dxa"/>
            <w:noWrap w:val="0"/>
            <w:vAlign w:val="center"/>
          </w:tcPr>
          <w:p w14:paraId="4F1B2642">
            <w:pPr>
              <w:widowControl/>
              <w:jc w:val="center"/>
              <w:rPr>
                <w:rFonts w:hint="eastAsia" w:ascii="宋体" w:hAnsi="宋体" w:cs="宋体"/>
                <w:bCs/>
                <w:sz w:val="21"/>
                <w:lang w:bidi="ar"/>
              </w:rPr>
            </w:pPr>
            <w:r>
              <w:rPr>
                <w:rFonts w:hint="eastAsia" w:ascii="宋体" w:hAnsi="宋体" w:cs="宋体"/>
                <w:bCs/>
                <w:sz w:val="21"/>
                <w:lang w:bidi="ar"/>
              </w:rPr>
              <w:t>湖南润农生态茶油有限公司</w:t>
            </w:r>
          </w:p>
        </w:tc>
        <w:tc>
          <w:tcPr>
            <w:tcW w:w="1514" w:type="dxa"/>
            <w:noWrap w:val="0"/>
            <w:vAlign w:val="center"/>
          </w:tcPr>
          <w:p w14:paraId="0193D19D">
            <w:pPr>
              <w:widowControl/>
              <w:jc w:val="center"/>
              <w:rPr>
                <w:rFonts w:hint="eastAsia" w:ascii="宋体" w:hAnsi="宋体" w:cs="宋体"/>
                <w:bCs/>
                <w:sz w:val="21"/>
                <w:lang w:eastAsia="en-US" w:bidi="ar"/>
              </w:rPr>
            </w:pPr>
            <w:r>
              <w:rPr>
                <w:rFonts w:hint="eastAsia" w:ascii="宋体" w:hAnsi="宋体" w:cs="宋体"/>
                <w:bCs/>
                <w:sz w:val="21"/>
                <w:lang w:bidi="ar"/>
              </w:rPr>
              <w:t>111.861655553</w:t>
            </w:r>
          </w:p>
        </w:tc>
        <w:tc>
          <w:tcPr>
            <w:tcW w:w="1473" w:type="dxa"/>
            <w:noWrap w:val="0"/>
            <w:vAlign w:val="center"/>
          </w:tcPr>
          <w:p w14:paraId="6054C8BE">
            <w:pPr>
              <w:widowControl/>
              <w:jc w:val="center"/>
              <w:rPr>
                <w:rFonts w:hint="eastAsia" w:ascii="宋体" w:hAnsi="宋体" w:cs="宋体"/>
                <w:bCs/>
                <w:sz w:val="21"/>
                <w:lang w:eastAsia="en-US" w:bidi="ar"/>
              </w:rPr>
            </w:pPr>
            <w:r>
              <w:rPr>
                <w:rFonts w:hint="eastAsia" w:ascii="宋体" w:hAnsi="宋体" w:cs="宋体"/>
                <w:bCs/>
                <w:sz w:val="21"/>
                <w:lang w:bidi="ar"/>
              </w:rPr>
              <w:t>29.572781424</w:t>
            </w:r>
          </w:p>
        </w:tc>
        <w:tc>
          <w:tcPr>
            <w:tcW w:w="959" w:type="dxa"/>
            <w:noWrap w:val="0"/>
            <w:vAlign w:val="center"/>
          </w:tcPr>
          <w:p w14:paraId="468E3477">
            <w:pPr>
              <w:widowControl/>
              <w:jc w:val="center"/>
              <w:rPr>
                <w:rFonts w:hint="eastAsia" w:ascii="宋体" w:hAnsi="宋体" w:cs="宋体"/>
                <w:bCs/>
                <w:sz w:val="21"/>
                <w:lang w:eastAsia="en-US" w:bidi="ar"/>
              </w:rPr>
            </w:pPr>
            <w:r>
              <w:rPr>
                <w:rFonts w:hint="eastAsia" w:ascii="宋体" w:hAnsi="宋体" w:cs="宋体"/>
                <w:bCs/>
                <w:sz w:val="21"/>
                <w:lang w:bidi="ar"/>
              </w:rPr>
              <w:t>4992</w:t>
            </w:r>
          </w:p>
        </w:tc>
        <w:tc>
          <w:tcPr>
            <w:tcW w:w="852" w:type="dxa"/>
            <w:noWrap w:val="0"/>
            <w:vAlign w:val="center"/>
          </w:tcPr>
          <w:p w14:paraId="14434BCF">
            <w:pPr>
              <w:widowControl/>
              <w:jc w:val="center"/>
              <w:rPr>
                <w:rFonts w:hint="eastAsia" w:ascii="宋体" w:hAnsi="宋体" w:cs="宋体"/>
                <w:bCs/>
                <w:sz w:val="21"/>
                <w:lang w:eastAsia="en-US" w:bidi="ar"/>
              </w:rPr>
            </w:pPr>
            <w:r>
              <w:rPr>
                <w:rFonts w:hint="eastAsia" w:ascii="宋体" w:hAnsi="宋体" w:cs="宋体"/>
                <w:bCs/>
                <w:sz w:val="21"/>
                <w:lang w:bidi="ar"/>
              </w:rPr>
              <w:t>0.393</w:t>
            </w:r>
          </w:p>
        </w:tc>
        <w:tc>
          <w:tcPr>
            <w:tcW w:w="932" w:type="dxa"/>
            <w:noWrap w:val="0"/>
            <w:vAlign w:val="center"/>
          </w:tcPr>
          <w:p w14:paraId="21ACFF95">
            <w:pPr>
              <w:widowControl/>
              <w:jc w:val="center"/>
              <w:rPr>
                <w:rFonts w:hint="eastAsia" w:ascii="宋体" w:hAnsi="宋体" w:cs="宋体"/>
                <w:bCs/>
                <w:sz w:val="21"/>
                <w:lang w:eastAsia="en-US" w:bidi="ar"/>
              </w:rPr>
            </w:pPr>
            <w:r>
              <w:rPr>
                <w:rFonts w:hint="eastAsia" w:ascii="宋体" w:hAnsi="宋体" w:cs="宋体"/>
                <w:bCs/>
                <w:sz w:val="21"/>
                <w:lang w:bidi="ar"/>
              </w:rPr>
              <w:t>0.029</w:t>
            </w:r>
          </w:p>
        </w:tc>
        <w:tc>
          <w:tcPr>
            <w:tcW w:w="825" w:type="dxa"/>
            <w:noWrap w:val="0"/>
            <w:vAlign w:val="center"/>
          </w:tcPr>
          <w:p w14:paraId="216C1E93">
            <w:pPr>
              <w:widowControl/>
              <w:jc w:val="center"/>
              <w:rPr>
                <w:rFonts w:hint="eastAsia" w:ascii="宋体" w:hAnsi="宋体" w:cs="宋体"/>
                <w:bCs/>
                <w:sz w:val="21"/>
                <w:lang w:bidi="ar"/>
              </w:rPr>
            </w:pPr>
            <w:r>
              <w:rPr>
                <w:rFonts w:hint="eastAsia" w:ascii="宋体" w:hAnsi="宋体" w:cs="宋体"/>
                <w:bCs/>
                <w:sz w:val="21"/>
                <w:lang w:bidi="ar"/>
              </w:rPr>
              <w:t>0</w:t>
            </w:r>
          </w:p>
        </w:tc>
        <w:tc>
          <w:tcPr>
            <w:tcW w:w="716" w:type="dxa"/>
            <w:noWrap w:val="0"/>
            <w:vAlign w:val="center"/>
          </w:tcPr>
          <w:p w14:paraId="61D69DC0">
            <w:pPr>
              <w:widowControl/>
              <w:jc w:val="center"/>
              <w:rPr>
                <w:rFonts w:hint="eastAsia" w:ascii="宋体" w:hAnsi="宋体" w:cs="宋体"/>
                <w:bCs/>
                <w:sz w:val="21"/>
                <w:lang w:bidi="ar"/>
              </w:rPr>
            </w:pPr>
            <w:r>
              <w:rPr>
                <w:rFonts w:hint="eastAsia" w:ascii="宋体" w:hAnsi="宋体" w:cs="宋体"/>
                <w:bCs/>
                <w:sz w:val="21"/>
                <w:lang w:bidi="ar"/>
              </w:rPr>
              <w:t>0</w:t>
            </w:r>
          </w:p>
        </w:tc>
        <w:tc>
          <w:tcPr>
            <w:tcW w:w="825" w:type="dxa"/>
            <w:noWrap w:val="0"/>
            <w:vAlign w:val="center"/>
          </w:tcPr>
          <w:p w14:paraId="372EB506">
            <w:pPr>
              <w:widowControl/>
              <w:jc w:val="center"/>
              <w:rPr>
                <w:rFonts w:hint="eastAsia" w:ascii="宋体" w:hAnsi="宋体" w:cs="宋体"/>
                <w:bCs/>
                <w:sz w:val="21"/>
                <w:lang w:bidi="ar"/>
              </w:rPr>
            </w:pPr>
            <w:r>
              <w:rPr>
                <w:rFonts w:hint="eastAsia" w:ascii="宋体" w:hAnsi="宋体" w:cs="宋体"/>
                <w:bCs/>
                <w:sz w:val="21"/>
                <w:lang w:bidi="ar"/>
              </w:rPr>
              <w:t>0</w:t>
            </w:r>
          </w:p>
        </w:tc>
        <w:tc>
          <w:tcPr>
            <w:tcW w:w="1341" w:type="dxa"/>
            <w:noWrap w:val="0"/>
            <w:vAlign w:val="center"/>
          </w:tcPr>
          <w:p w14:paraId="7D49D237">
            <w:pPr>
              <w:widowControl/>
              <w:jc w:val="center"/>
              <w:rPr>
                <w:rFonts w:hint="eastAsia" w:ascii="宋体" w:hAnsi="宋体" w:cs="宋体"/>
                <w:bCs/>
                <w:sz w:val="21"/>
                <w:lang w:eastAsia="en-US" w:bidi="ar"/>
              </w:rPr>
            </w:pPr>
            <w:r>
              <w:rPr>
                <w:rFonts w:hint="eastAsia" w:ascii="宋体" w:hAnsi="宋体" w:cs="宋体"/>
                <w:bCs/>
                <w:sz w:val="21"/>
                <w:lang w:bidi="ar"/>
              </w:rPr>
              <w:t>VOCs：0.784</w:t>
            </w:r>
          </w:p>
        </w:tc>
        <w:tc>
          <w:tcPr>
            <w:tcW w:w="1753" w:type="dxa"/>
            <w:noWrap w:val="0"/>
            <w:vAlign w:val="center"/>
          </w:tcPr>
          <w:p w14:paraId="0C83EB48">
            <w:pPr>
              <w:widowControl/>
              <w:jc w:val="center"/>
              <w:rPr>
                <w:rFonts w:hint="eastAsia" w:ascii="宋体" w:hAnsi="宋体" w:cs="宋体"/>
                <w:bCs/>
                <w:sz w:val="21"/>
                <w:lang w:bidi="ar"/>
              </w:rPr>
            </w:pPr>
            <w:r>
              <w:rPr>
                <w:rFonts w:hint="eastAsia" w:ascii="宋体" w:hAnsi="宋体" w:cs="宋体"/>
                <w:bCs/>
                <w:sz w:val="21"/>
                <w:lang w:bidi="ar"/>
              </w:rPr>
              <w:t>一般固废362.8；危险固废（废机油）0.1</w:t>
            </w:r>
          </w:p>
        </w:tc>
        <w:tc>
          <w:tcPr>
            <w:tcW w:w="881" w:type="dxa"/>
            <w:noWrap w:val="0"/>
            <w:vAlign w:val="center"/>
          </w:tcPr>
          <w:p w14:paraId="46351321">
            <w:pPr>
              <w:widowControl/>
              <w:jc w:val="center"/>
              <w:rPr>
                <w:rFonts w:hint="eastAsia" w:ascii="宋体" w:hAnsi="宋体" w:cs="宋体"/>
                <w:bCs/>
                <w:sz w:val="21"/>
                <w:lang w:eastAsia="en-US" w:bidi="ar"/>
              </w:rPr>
            </w:pPr>
            <w:r>
              <w:rPr>
                <w:rFonts w:hint="eastAsia" w:ascii="宋体" w:hAnsi="宋体" w:cs="宋体"/>
                <w:bCs/>
                <w:sz w:val="21"/>
                <w:lang w:bidi="ar"/>
              </w:rPr>
              <w:t>已投产</w:t>
            </w:r>
          </w:p>
        </w:tc>
      </w:tr>
      <w:tr w14:paraId="7EE20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9" w:type="dxa"/>
            <w:noWrap w:val="0"/>
            <w:vAlign w:val="center"/>
          </w:tcPr>
          <w:p w14:paraId="42D3F934">
            <w:pPr>
              <w:widowControl/>
              <w:jc w:val="center"/>
              <w:rPr>
                <w:rFonts w:hint="eastAsia" w:ascii="宋体" w:hAnsi="宋体" w:cs="宋体"/>
                <w:bCs/>
                <w:sz w:val="21"/>
                <w:lang w:eastAsia="en-US" w:bidi="ar"/>
              </w:rPr>
            </w:pPr>
            <w:r>
              <w:rPr>
                <w:rFonts w:hint="eastAsia" w:ascii="宋体" w:hAnsi="宋体" w:cs="宋体"/>
                <w:bCs/>
                <w:sz w:val="21"/>
                <w:lang w:bidi="ar"/>
              </w:rPr>
              <w:t>42</w:t>
            </w:r>
          </w:p>
        </w:tc>
        <w:tc>
          <w:tcPr>
            <w:tcW w:w="1731" w:type="dxa"/>
            <w:noWrap w:val="0"/>
            <w:vAlign w:val="center"/>
          </w:tcPr>
          <w:p w14:paraId="2533BB51">
            <w:pPr>
              <w:widowControl/>
              <w:jc w:val="center"/>
              <w:rPr>
                <w:rFonts w:hint="eastAsia" w:ascii="宋体" w:hAnsi="宋体" w:cs="宋体"/>
                <w:bCs/>
                <w:sz w:val="21"/>
                <w:lang w:bidi="ar"/>
              </w:rPr>
            </w:pPr>
            <w:r>
              <w:rPr>
                <w:rFonts w:hint="eastAsia" w:ascii="宋体" w:hAnsi="宋体" w:cs="宋体"/>
                <w:bCs/>
                <w:sz w:val="21"/>
                <w:lang w:bidi="ar"/>
              </w:rPr>
              <w:t>津市市张老头卤腊味食品真限公司</w:t>
            </w:r>
          </w:p>
        </w:tc>
        <w:tc>
          <w:tcPr>
            <w:tcW w:w="1514" w:type="dxa"/>
            <w:noWrap w:val="0"/>
            <w:vAlign w:val="center"/>
          </w:tcPr>
          <w:p w14:paraId="6252100B">
            <w:pPr>
              <w:widowControl/>
              <w:jc w:val="center"/>
              <w:rPr>
                <w:rFonts w:hint="eastAsia" w:ascii="宋体" w:hAnsi="宋体" w:cs="宋体"/>
                <w:bCs/>
                <w:sz w:val="21"/>
                <w:lang w:eastAsia="en-US" w:bidi="ar"/>
              </w:rPr>
            </w:pPr>
            <w:r>
              <w:rPr>
                <w:rFonts w:hint="eastAsia" w:ascii="宋体" w:hAnsi="宋体" w:cs="宋体"/>
                <w:bCs/>
                <w:sz w:val="21"/>
                <w:lang w:bidi="ar"/>
              </w:rPr>
              <w:t>111.872456830</w:t>
            </w:r>
          </w:p>
        </w:tc>
        <w:tc>
          <w:tcPr>
            <w:tcW w:w="1473" w:type="dxa"/>
            <w:noWrap w:val="0"/>
            <w:vAlign w:val="center"/>
          </w:tcPr>
          <w:p w14:paraId="428CA4FD">
            <w:pPr>
              <w:widowControl/>
              <w:jc w:val="center"/>
              <w:rPr>
                <w:rFonts w:hint="eastAsia" w:ascii="宋体" w:hAnsi="宋体" w:cs="宋体"/>
                <w:bCs/>
                <w:sz w:val="21"/>
                <w:lang w:eastAsia="en-US" w:bidi="ar"/>
              </w:rPr>
            </w:pPr>
            <w:r>
              <w:rPr>
                <w:rFonts w:hint="eastAsia" w:ascii="宋体" w:hAnsi="宋体" w:cs="宋体"/>
                <w:bCs/>
                <w:sz w:val="21"/>
                <w:lang w:bidi="ar"/>
              </w:rPr>
              <w:t>29.608227671</w:t>
            </w:r>
          </w:p>
        </w:tc>
        <w:tc>
          <w:tcPr>
            <w:tcW w:w="959" w:type="dxa"/>
            <w:noWrap w:val="0"/>
            <w:vAlign w:val="center"/>
          </w:tcPr>
          <w:p w14:paraId="0BF21EAA">
            <w:pPr>
              <w:widowControl/>
              <w:jc w:val="center"/>
              <w:rPr>
                <w:rFonts w:hint="eastAsia" w:ascii="宋体" w:hAnsi="宋体" w:cs="宋体"/>
                <w:bCs/>
                <w:sz w:val="21"/>
                <w:lang w:eastAsia="en-US" w:bidi="ar"/>
              </w:rPr>
            </w:pPr>
            <w:r>
              <w:rPr>
                <w:rFonts w:hint="eastAsia" w:ascii="宋体" w:hAnsi="宋体" w:cs="宋体"/>
                <w:bCs/>
                <w:sz w:val="21"/>
                <w:lang w:bidi="ar"/>
              </w:rPr>
              <w:t>7000</w:t>
            </w:r>
          </w:p>
        </w:tc>
        <w:tc>
          <w:tcPr>
            <w:tcW w:w="852" w:type="dxa"/>
            <w:noWrap w:val="0"/>
            <w:vAlign w:val="center"/>
          </w:tcPr>
          <w:p w14:paraId="465AB22E">
            <w:pPr>
              <w:widowControl/>
              <w:jc w:val="center"/>
              <w:rPr>
                <w:rFonts w:hint="eastAsia" w:ascii="宋体" w:hAnsi="宋体" w:cs="宋体"/>
                <w:bCs/>
                <w:sz w:val="21"/>
                <w:lang w:eastAsia="en-US" w:bidi="ar"/>
              </w:rPr>
            </w:pPr>
            <w:r>
              <w:rPr>
                <w:rFonts w:hint="eastAsia" w:ascii="宋体" w:hAnsi="宋体" w:cs="宋体"/>
                <w:bCs/>
                <w:sz w:val="21"/>
                <w:lang w:bidi="ar"/>
              </w:rPr>
              <w:t>0.672</w:t>
            </w:r>
          </w:p>
        </w:tc>
        <w:tc>
          <w:tcPr>
            <w:tcW w:w="932" w:type="dxa"/>
            <w:noWrap w:val="0"/>
            <w:vAlign w:val="center"/>
          </w:tcPr>
          <w:p w14:paraId="1413EFE0">
            <w:pPr>
              <w:widowControl/>
              <w:jc w:val="center"/>
              <w:rPr>
                <w:rFonts w:hint="eastAsia" w:ascii="宋体" w:hAnsi="宋体" w:cs="宋体"/>
                <w:bCs/>
                <w:sz w:val="21"/>
                <w:lang w:eastAsia="en-US" w:bidi="ar"/>
              </w:rPr>
            </w:pPr>
            <w:r>
              <w:rPr>
                <w:rFonts w:hint="eastAsia" w:ascii="宋体" w:hAnsi="宋体" w:cs="宋体"/>
                <w:bCs/>
                <w:sz w:val="21"/>
                <w:lang w:bidi="ar"/>
              </w:rPr>
              <w:t>0.08</w:t>
            </w:r>
          </w:p>
        </w:tc>
        <w:tc>
          <w:tcPr>
            <w:tcW w:w="825" w:type="dxa"/>
            <w:noWrap w:val="0"/>
            <w:vAlign w:val="center"/>
          </w:tcPr>
          <w:p w14:paraId="2B732113">
            <w:pPr>
              <w:widowControl/>
              <w:jc w:val="center"/>
              <w:rPr>
                <w:rFonts w:hint="eastAsia" w:ascii="宋体" w:hAnsi="宋体" w:cs="宋体"/>
                <w:bCs/>
                <w:sz w:val="21"/>
                <w:lang w:bidi="ar"/>
              </w:rPr>
            </w:pPr>
            <w:r>
              <w:rPr>
                <w:rFonts w:hint="eastAsia" w:ascii="宋体" w:hAnsi="宋体" w:cs="宋体"/>
                <w:bCs/>
                <w:sz w:val="21"/>
                <w:lang w:bidi="ar"/>
              </w:rPr>
              <w:t>0</w:t>
            </w:r>
          </w:p>
        </w:tc>
        <w:tc>
          <w:tcPr>
            <w:tcW w:w="716" w:type="dxa"/>
            <w:noWrap w:val="0"/>
            <w:vAlign w:val="center"/>
          </w:tcPr>
          <w:p w14:paraId="19DFFC9F">
            <w:pPr>
              <w:widowControl/>
              <w:jc w:val="center"/>
              <w:rPr>
                <w:rFonts w:hint="eastAsia" w:ascii="宋体" w:hAnsi="宋体" w:cs="宋体"/>
                <w:bCs/>
                <w:sz w:val="21"/>
                <w:lang w:bidi="ar"/>
              </w:rPr>
            </w:pPr>
            <w:r>
              <w:rPr>
                <w:rFonts w:hint="eastAsia" w:ascii="宋体" w:hAnsi="宋体" w:cs="宋体"/>
                <w:bCs/>
                <w:sz w:val="21"/>
                <w:lang w:bidi="ar"/>
              </w:rPr>
              <w:t>0</w:t>
            </w:r>
          </w:p>
        </w:tc>
        <w:tc>
          <w:tcPr>
            <w:tcW w:w="825" w:type="dxa"/>
            <w:noWrap w:val="0"/>
            <w:vAlign w:val="center"/>
          </w:tcPr>
          <w:p w14:paraId="17AA2D26">
            <w:pPr>
              <w:widowControl/>
              <w:jc w:val="center"/>
              <w:rPr>
                <w:rFonts w:hint="eastAsia" w:ascii="宋体" w:hAnsi="宋体" w:cs="宋体"/>
                <w:bCs/>
                <w:sz w:val="21"/>
                <w:lang w:bidi="ar"/>
              </w:rPr>
            </w:pPr>
            <w:r>
              <w:rPr>
                <w:rFonts w:hint="eastAsia" w:ascii="宋体" w:hAnsi="宋体" w:cs="宋体"/>
                <w:bCs/>
                <w:sz w:val="21"/>
                <w:lang w:bidi="ar"/>
              </w:rPr>
              <w:t>0</w:t>
            </w:r>
          </w:p>
        </w:tc>
        <w:tc>
          <w:tcPr>
            <w:tcW w:w="1341" w:type="dxa"/>
            <w:noWrap w:val="0"/>
            <w:vAlign w:val="center"/>
          </w:tcPr>
          <w:p w14:paraId="5A1A49E3">
            <w:pPr>
              <w:widowControl/>
              <w:jc w:val="center"/>
              <w:rPr>
                <w:rFonts w:hint="eastAsia" w:ascii="宋体" w:hAnsi="宋体" w:cs="宋体"/>
                <w:bCs/>
                <w:sz w:val="21"/>
                <w:lang w:eastAsia="en-US" w:bidi="ar"/>
              </w:rPr>
            </w:pPr>
            <w:r>
              <w:rPr>
                <w:rFonts w:hint="eastAsia" w:ascii="宋体" w:hAnsi="宋体" w:cs="宋体"/>
                <w:bCs/>
                <w:sz w:val="21"/>
                <w:lang w:bidi="ar"/>
              </w:rPr>
              <w:t>/</w:t>
            </w:r>
          </w:p>
        </w:tc>
        <w:tc>
          <w:tcPr>
            <w:tcW w:w="1753" w:type="dxa"/>
            <w:noWrap w:val="0"/>
            <w:vAlign w:val="center"/>
          </w:tcPr>
          <w:p w14:paraId="70009881">
            <w:pPr>
              <w:widowControl/>
              <w:jc w:val="center"/>
              <w:rPr>
                <w:rFonts w:hint="eastAsia" w:ascii="宋体" w:hAnsi="宋体" w:cs="宋体"/>
                <w:bCs/>
                <w:sz w:val="21"/>
                <w:lang w:bidi="ar"/>
              </w:rPr>
            </w:pPr>
            <w:r>
              <w:rPr>
                <w:rFonts w:hint="eastAsia" w:ascii="宋体" w:hAnsi="宋体" w:cs="宋体"/>
                <w:bCs/>
                <w:sz w:val="21"/>
                <w:lang w:bidi="ar"/>
              </w:rPr>
              <w:t>一般固废19.2</w:t>
            </w:r>
          </w:p>
        </w:tc>
        <w:tc>
          <w:tcPr>
            <w:tcW w:w="881" w:type="dxa"/>
            <w:noWrap w:val="0"/>
            <w:vAlign w:val="center"/>
          </w:tcPr>
          <w:p w14:paraId="0A46E8E2">
            <w:pPr>
              <w:widowControl/>
              <w:jc w:val="center"/>
              <w:rPr>
                <w:rFonts w:hint="eastAsia" w:ascii="宋体" w:hAnsi="宋体" w:cs="宋体"/>
                <w:bCs/>
                <w:sz w:val="21"/>
                <w:lang w:eastAsia="en-US" w:bidi="ar"/>
              </w:rPr>
            </w:pPr>
            <w:r>
              <w:rPr>
                <w:rFonts w:hint="eastAsia" w:ascii="宋体" w:hAnsi="宋体" w:cs="宋体"/>
                <w:bCs/>
                <w:sz w:val="21"/>
                <w:lang w:bidi="ar"/>
              </w:rPr>
              <w:t>已投产</w:t>
            </w:r>
          </w:p>
        </w:tc>
      </w:tr>
      <w:tr w14:paraId="61D82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9" w:type="dxa"/>
            <w:noWrap w:val="0"/>
            <w:vAlign w:val="center"/>
          </w:tcPr>
          <w:p w14:paraId="7E33CA64">
            <w:pPr>
              <w:widowControl/>
              <w:jc w:val="center"/>
              <w:rPr>
                <w:rFonts w:hint="eastAsia" w:ascii="宋体" w:hAnsi="宋体" w:cs="宋体"/>
                <w:bCs/>
                <w:sz w:val="21"/>
                <w:lang w:eastAsia="en-US" w:bidi="ar"/>
              </w:rPr>
            </w:pPr>
            <w:r>
              <w:rPr>
                <w:rFonts w:hint="eastAsia" w:ascii="宋体" w:hAnsi="宋体" w:cs="宋体"/>
                <w:bCs/>
                <w:sz w:val="21"/>
                <w:lang w:bidi="ar"/>
              </w:rPr>
              <w:t>43</w:t>
            </w:r>
          </w:p>
        </w:tc>
        <w:tc>
          <w:tcPr>
            <w:tcW w:w="1731" w:type="dxa"/>
            <w:noWrap w:val="0"/>
            <w:vAlign w:val="center"/>
          </w:tcPr>
          <w:p w14:paraId="421040A2">
            <w:pPr>
              <w:widowControl/>
              <w:jc w:val="center"/>
              <w:rPr>
                <w:rFonts w:hint="eastAsia" w:ascii="宋体" w:hAnsi="宋体" w:cs="宋体"/>
                <w:bCs/>
                <w:sz w:val="21"/>
                <w:lang w:bidi="ar"/>
              </w:rPr>
            </w:pPr>
            <w:r>
              <w:rPr>
                <w:rFonts w:hint="eastAsia" w:ascii="宋体" w:hAnsi="宋体" w:cs="宋体"/>
                <w:bCs/>
                <w:sz w:val="21"/>
                <w:lang w:bidi="ar"/>
              </w:rPr>
              <w:t>湖南炜基生物科技有限公司</w:t>
            </w:r>
          </w:p>
        </w:tc>
        <w:tc>
          <w:tcPr>
            <w:tcW w:w="1514" w:type="dxa"/>
            <w:noWrap w:val="0"/>
            <w:vAlign w:val="center"/>
          </w:tcPr>
          <w:p w14:paraId="4DFD6B43">
            <w:pPr>
              <w:widowControl/>
              <w:jc w:val="center"/>
              <w:rPr>
                <w:rFonts w:hint="eastAsia" w:ascii="宋体" w:hAnsi="宋体" w:cs="宋体"/>
                <w:bCs/>
                <w:sz w:val="21"/>
                <w:lang w:eastAsia="en-US" w:bidi="ar"/>
              </w:rPr>
            </w:pPr>
            <w:r>
              <w:rPr>
                <w:rFonts w:hint="eastAsia" w:ascii="宋体" w:hAnsi="宋体" w:cs="宋体"/>
                <w:bCs/>
                <w:sz w:val="21"/>
                <w:lang w:bidi="ar"/>
              </w:rPr>
              <w:t>111.848454200</w:t>
            </w:r>
          </w:p>
        </w:tc>
        <w:tc>
          <w:tcPr>
            <w:tcW w:w="1473" w:type="dxa"/>
            <w:noWrap w:val="0"/>
            <w:vAlign w:val="center"/>
          </w:tcPr>
          <w:p w14:paraId="7E453352">
            <w:pPr>
              <w:widowControl/>
              <w:jc w:val="center"/>
              <w:rPr>
                <w:rFonts w:hint="eastAsia" w:ascii="宋体" w:hAnsi="宋体" w:cs="宋体"/>
                <w:bCs/>
                <w:sz w:val="21"/>
                <w:lang w:eastAsia="en-US" w:bidi="ar"/>
              </w:rPr>
            </w:pPr>
            <w:r>
              <w:rPr>
                <w:rFonts w:hint="eastAsia" w:ascii="宋体" w:hAnsi="宋体" w:cs="宋体"/>
                <w:bCs/>
                <w:sz w:val="21"/>
                <w:lang w:bidi="ar"/>
              </w:rPr>
              <w:t>29.577633098</w:t>
            </w:r>
          </w:p>
        </w:tc>
        <w:tc>
          <w:tcPr>
            <w:tcW w:w="959" w:type="dxa"/>
            <w:noWrap w:val="0"/>
            <w:vAlign w:val="center"/>
          </w:tcPr>
          <w:p w14:paraId="3797277B">
            <w:pPr>
              <w:widowControl/>
              <w:jc w:val="center"/>
              <w:rPr>
                <w:rFonts w:hint="eastAsia" w:ascii="宋体" w:hAnsi="宋体" w:cs="宋体"/>
                <w:bCs/>
                <w:sz w:val="21"/>
                <w:lang w:eastAsia="en-US" w:bidi="ar"/>
              </w:rPr>
            </w:pPr>
            <w:r>
              <w:rPr>
                <w:rFonts w:hint="eastAsia" w:ascii="宋体" w:hAnsi="宋体" w:cs="宋体"/>
                <w:bCs/>
                <w:sz w:val="21"/>
                <w:lang w:bidi="ar"/>
              </w:rPr>
              <w:t>1150</w:t>
            </w:r>
          </w:p>
        </w:tc>
        <w:tc>
          <w:tcPr>
            <w:tcW w:w="852" w:type="dxa"/>
            <w:noWrap w:val="0"/>
            <w:vAlign w:val="center"/>
          </w:tcPr>
          <w:p w14:paraId="1C8937D0">
            <w:pPr>
              <w:widowControl/>
              <w:jc w:val="center"/>
              <w:rPr>
                <w:rFonts w:hint="eastAsia" w:ascii="宋体" w:hAnsi="宋体" w:cs="宋体"/>
                <w:bCs/>
                <w:sz w:val="21"/>
                <w:lang w:eastAsia="en-US" w:bidi="ar"/>
              </w:rPr>
            </w:pPr>
            <w:r>
              <w:rPr>
                <w:rFonts w:hint="eastAsia" w:ascii="宋体" w:hAnsi="宋体" w:cs="宋体"/>
                <w:bCs/>
                <w:sz w:val="21"/>
                <w:lang w:bidi="ar"/>
              </w:rPr>
              <w:t>0.069</w:t>
            </w:r>
          </w:p>
        </w:tc>
        <w:tc>
          <w:tcPr>
            <w:tcW w:w="932" w:type="dxa"/>
            <w:noWrap w:val="0"/>
            <w:vAlign w:val="center"/>
          </w:tcPr>
          <w:p w14:paraId="0D1A7ABF">
            <w:pPr>
              <w:widowControl/>
              <w:jc w:val="center"/>
              <w:rPr>
                <w:rFonts w:hint="eastAsia" w:ascii="宋体" w:hAnsi="宋体" w:cs="宋体"/>
                <w:bCs/>
                <w:sz w:val="21"/>
                <w:lang w:bidi="ar"/>
              </w:rPr>
            </w:pPr>
            <w:r>
              <w:rPr>
                <w:rFonts w:hint="eastAsia" w:ascii="宋体" w:hAnsi="宋体" w:cs="宋体"/>
                <w:bCs/>
                <w:sz w:val="21"/>
                <w:lang w:bidi="ar"/>
              </w:rPr>
              <w:t>0.011</w:t>
            </w:r>
          </w:p>
        </w:tc>
        <w:tc>
          <w:tcPr>
            <w:tcW w:w="825" w:type="dxa"/>
            <w:noWrap w:val="0"/>
            <w:vAlign w:val="center"/>
          </w:tcPr>
          <w:p w14:paraId="0F5BE877">
            <w:pPr>
              <w:widowControl/>
              <w:jc w:val="center"/>
              <w:rPr>
                <w:rFonts w:hint="eastAsia" w:ascii="宋体" w:hAnsi="宋体" w:cs="宋体"/>
                <w:bCs/>
                <w:sz w:val="21"/>
                <w:lang w:bidi="ar"/>
              </w:rPr>
            </w:pPr>
            <w:r>
              <w:rPr>
                <w:rFonts w:hint="eastAsia" w:ascii="宋体" w:hAnsi="宋体" w:cs="宋体"/>
                <w:bCs/>
                <w:sz w:val="21"/>
                <w:lang w:bidi="ar"/>
              </w:rPr>
              <w:t>0.08</w:t>
            </w:r>
          </w:p>
        </w:tc>
        <w:tc>
          <w:tcPr>
            <w:tcW w:w="716" w:type="dxa"/>
            <w:noWrap w:val="0"/>
            <w:vAlign w:val="center"/>
          </w:tcPr>
          <w:p w14:paraId="3CDF9368">
            <w:pPr>
              <w:widowControl/>
              <w:jc w:val="center"/>
              <w:rPr>
                <w:rFonts w:hint="eastAsia" w:ascii="宋体" w:hAnsi="宋体" w:cs="宋体"/>
                <w:bCs/>
                <w:sz w:val="21"/>
                <w:lang w:bidi="ar"/>
              </w:rPr>
            </w:pPr>
            <w:r>
              <w:rPr>
                <w:rFonts w:hint="eastAsia" w:ascii="宋体" w:hAnsi="宋体" w:cs="宋体"/>
                <w:bCs/>
                <w:sz w:val="21"/>
                <w:lang w:bidi="ar"/>
              </w:rPr>
              <w:t>0.51</w:t>
            </w:r>
          </w:p>
        </w:tc>
        <w:tc>
          <w:tcPr>
            <w:tcW w:w="825" w:type="dxa"/>
            <w:noWrap w:val="0"/>
            <w:vAlign w:val="center"/>
          </w:tcPr>
          <w:p w14:paraId="09548CDE">
            <w:pPr>
              <w:widowControl/>
              <w:jc w:val="center"/>
              <w:rPr>
                <w:rFonts w:hint="eastAsia" w:ascii="宋体" w:hAnsi="宋体" w:cs="宋体"/>
                <w:bCs/>
                <w:sz w:val="21"/>
                <w:lang w:bidi="ar"/>
              </w:rPr>
            </w:pPr>
            <w:r>
              <w:rPr>
                <w:rFonts w:hint="eastAsia" w:ascii="宋体" w:hAnsi="宋体" w:cs="宋体"/>
                <w:bCs/>
                <w:sz w:val="21"/>
                <w:lang w:bidi="ar"/>
              </w:rPr>
              <w:t>0.588</w:t>
            </w:r>
          </w:p>
        </w:tc>
        <w:tc>
          <w:tcPr>
            <w:tcW w:w="1341" w:type="dxa"/>
            <w:noWrap w:val="0"/>
            <w:vAlign w:val="center"/>
          </w:tcPr>
          <w:p w14:paraId="33787409">
            <w:pPr>
              <w:widowControl/>
              <w:jc w:val="center"/>
              <w:rPr>
                <w:rFonts w:hint="eastAsia" w:ascii="宋体" w:hAnsi="宋体" w:cs="宋体"/>
                <w:bCs/>
                <w:sz w:val="21"/>
                <w:lang w:eastAsia="en-US" w:bidi="ar"/>
              </w:rPr>
            </w:pPr>
            <w:r>
              <w:rPr>
                <w:rFonts w:hint="eastAsia" w:ascii="宋体" w:hAnsi="宋体" w:cs="宋体"/>
                <w:bCs/>
                <w:sz w:val="21"/>
                <w:lang w:bidi="ar"/>
              </w:rPr>
              <w:t>/</w:t>
            </w:r>
          </w:p>
        </w:tc>
        <w:tc>
          <w:tcPr>
            <w:tcW w:w="1753" w:type="dxa"/>
            <w:noWrap w:val="0"/>
            <w:vAlign w:val="center"/>
          </w:tcPr>
          <w:p w14:paraId="1027BAF0">
            <w:pPr>
              <w:widowControl/>
              <w:jc w:val="center"/>
              <w:rPr>
                <w:rFonts w:hint="eastAsia" w:ascii="宋体" w:hAnsi="宋体" w:cs="宋体"/>
                <w:bCs/>
                <w:sz w:val="21"/>
                <w:lang w:bidi="ar"/>
              </w:rPr>
            </w:pPr>
            <w:r>
              <w:rPr>
                <w:rFonts w:hint="eastAsia" w:ascii="宋体" w:hAnsi="宋体" w:cs="宋体"/>
                <w:bCs/>
                <w:sz w:val="21"/>
                <w:lang w:bidi="ar"/>
              </w:rPr>
              <w:t>一般固废4</w:t>
            </w:r>
          </w:p>
        </w:tc>
        <w:tc>
          <w:tcPr>
            <w:tcW w:w="881" w:type="dxa"/>
            <w:noWrap w:val="0"/>
            <w:vAlign w:val="center"/>
          </w:tcPr>
          <w:p w14:paraId="502B98B3">
            <w:pPr>
              <w:widowControl/>
              <w:jc w:val="center"/>
              <w:rPr>
                <w:rFonts w:hint="eastAsia" w:ascii="宋体" w:hAnsi="宋体" w:cs="宋体"/>
                <w:bCs/>
                <w:sz w:val="21"/>
                <w:lang w:eastAsia="en-US" w:bidi="ar"/>
              </w:rPr>
            </w:pPr>
            <w:r>
              <w:rPr>
                <w:rFonts w:hint="eastAsia" w:ascii="宋体" w:hAnsi="宋体" w:cs="宋体"/>
                <w:bCs/>
                <w:sz w:val="21"/>
                <w:lang w:bidi="ar"/>
              </w:rPr>
              <w:t>已投产</w:t>
            </w:r>
          </w:p>
        </w:tc>
      </w:tr>
      <w:tr w14:paraId="544A1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9" w:type="dxa"/>
            <w:noWrap w:val="0"/>
            <w:vAlign w:val="center"/>
          </w:tcPr>
          <w:p w14:paraId="66EB44F3">
            <w:pPr>
              <w:widowControl/>
              <w:jc w:val="center"/>
              <w:rPr>
                <w:rFonts w:hint="eastAsia" w:ascii="宋体" w:hAnsi="宋体" w:cs="宋体"/>
                <w:bCs/>
                <w:sz w:val="21"/>
                <w:lang w:eastAsia="en-US" w:bidi="ar"/>
              </w:rPr>
            </w:pPr>
            <w:r>
              <w:rPr>
                <w:rFonts w:hint="eastAsia" w:ascii="宋体" w:hAnsi="宋体" w:cs="宋体"/>
                <w:bCs/>
                <w:sz w:val="21"/>
                <w:lang w:bidi="ar"/>
              </w:rPr>
              <w:t>44</w:t>
            </w:r>
          </w:p>
        </w:tc>
        <w:tc>
          <w:tcPr>
            <w:tcW w:w="1731" w:type="dxa"/>
            <w:noWrap w:val="0"/>
            <w:vAlign w:val="center"/>
          </w:tcPr>
          <w:p w14:paraId="1FEC8E61">
            <w:pPr>
              <w:widowControl/>
              <w:jc w:val="center"/>
              <w:rPr>
                <w:rFonts w:hint="eastAsia" w:ascii="宋体" w:hAnsi="宋体" w:cs="宋体"/>
                <w:bCs/>
                <w:sz w:val="21"/>
                <w:lang w:eastAsia="en-US" w:bidi="ar"/>
              </w:rPr>
            </w:pPr>
            <w:r>
              <w:rPr>
                <w:rFonts w:hint="eastAsia" w:ascii="宋体" w:hAnsi="宋体" w:cs="宋体"/>
                <w:bCs/>
                <w:sz w:val="21"/>
                <w:lang w:bidi="ar"/>
              </w:rPr>
              <w:t>绿达米粉</w:t>
            </w:r>
          </w:p>
        </w:tc>
        <w:tc>
          <w:tcPr>
            <w:tcW w:w="1514" w:type="dxa"/>
            <w:noWrap w:val="0"/>
            <w:vAlign w:val="center"/>
          </w:tcPr>
          <w:p w14:paraId="775C1735">
            <w:pPr>
              <w:widowControl/>
              <w:jc w:val="center"/>
              <w:rPr>
                <w:rFonts w:hint="eastAsia" w:ascii="宋体" w:hAnsi="宋体" w:cs="宋体"/>
                <w:bCs/>
                <w:sz w:val="21"/>
                <w:lang w:eastAsia="en-US" w:bidi="ar"/>
              </w:rPr>
            </w:pPr>
            <w:r>
              <w:rPr>
                <w:rFonts w:hint="eastAsia" w:ascii="宋体" w:hAnsi="宋体" w:cs="宋体"/>
                <w:bCs/>
                <w:sz w:val="21"/>
                <w:lang w:bidi="ar"/>
              </w:rPr>
              <w:t>111.853339729</w:t>
            </w:r>
          </w:p>
        </w:tc>
        <w:tc>
          <w:tcPr>
            <w:tcW w:w="1473" w:type="dxa"/>
            <w:noWrap w:val="0"/>
            <w:vAlign w:val="center"/>
          </w:tcPr>
          <w:p w14:paraId="377EE45D">
            <w:pPr>
              <w:widowControl/>
              <w:jc w:val="center"/>
              <w:rPr>
                <w:rFonts w:hint="eastAsia" w:ascii="宋体" w:hAnsi="宋体" w:cs="宋体"/>
                <w:bCs/>
                <w:sz w:val="21"/>
                <w:lang w:eastAsia="en-US" w:bidi="ar"/>
              </w:rPr>
            </w:pPr>
            <w:r>
              <w:rPr>
                <w:rFonts w:hint="eastAsia" w:ascii="宋体" w:hAnsi="宋体" w:cs="宋体"/>
                <w:bCs/>
                <w:sz w:val="21"/>
                <w:lang w:bidi="ar"/>
              </w:rPr>
              <w:t>29.569171623</w:t>
            </w:r>
          </w:p>
        </w:tc>
        <w:tc>
          <w:tcPr>
            <w:tcW w:w="959" w:type="dxa"/>
            <w:noWrap w:val="0"/>
            <w:vAlign w:val="center"/>
          </w:tcPr>
          <w:p w14:paraId="2B511E16">
            <w:pPr>
              <w:widowControl/>
              <w:jc w:val="center"/>
              <w:rPr>
                <w:rFonts w:hint="eastAsia" w:ascii="宋体" w:hAnsi="宋体" w:cs="宋体"/>
                <w:bCs/>
                <w:sz w:val="21"/>
                <w:lang w:eastAsia="en-US" w:bidi="ar"/>
              </w:rPr>
            </w:pPr>
            <w:r>
              <w:rPr>
                <w:rFonts w:hint="eastAsia" w:ascii="宋体" w:hAnsi="宋体" w:cs="宋体"/>
                <w:bCs/>
                <w:sz w:val="21"/>
                <w:lang w:bidi="ar"/>
              </w:rPr>
              <w:t>11817</w:t>
            </w:r>
          </w:p>
        </w:tc>
        <w:tc>
          <w:tcPr>
            <w:tcW w:w="852" w:type="dxa"/>
            <w:noWrap w:val="0"/>
            <w:vAlign w:val="center"/>
          </w:tcPr>
          <w:p w14:paraId="021E68FE">
            <w:pPr>
              <w:widowControl/>
              <w:jc w:val="center"/>
              <w:rPr>
                <w:rFonts w:hint="eastAsia" w:ascii="宋体" w:hAnsi="宋体" w:cs="宋体"/>
                <w:bCs/>
                <w:sz w:val="21"/>
                <w:lang w:eastAsia="en-US" w:bidi="ar"/>
              </w:rPr>
            </w:pPr>
            <w:r>
              <w:rPr>
                <w:rFonts w:hint="eastAsia" w:ascii="宋体" w:hAnsi="宋体" w:cs="宋体"/>
                <w:bCs/>
                <w:sz w:val="21"/>
                <w:lang w:bidi="ar"/>
              </w:rPr>
              <w:t>0.59</w:t>
            </w:r>
          </w:p>
        </w:tc>
        <w:tc>
          <w:tcPr>
            <w:tcW w:w="932" w:type="dxa"/>
            <w:noWrap w:val="0"/>
            <w:vAlign w:val="center"/>
          </w:tcPr>
          <w:p w14:paraId="72F6828E">
            <w:pPr>
              <w:widowControl/>
              <w:jc w:val="center"/>
              <w:rPr>
                <w:rFonts w:hint="eastAsia" w:ascii="宋体" w:hAnsi="宋体" w:cs="宋体"/>
                <w:bCs/>
                <w:sz w:val="21"/>
                <w:lang w:bidi="ar"/>
              </w:rPr>
            </w:pPr>
            <w:r>
              <w:rPr>
                <w:rFonts w:hint="eastAsia" w:ascii="宋体" w:hAnsi="宋体" w:cs="宋体"/>
                <w:bCs/>
                <w:sz w:val="21"/>
                <w:lang w:bidi="ar"/>
              </w:rPr>
              <w:t>0.10</w:t>
            </w:r>
          </w:p>
        </w:tc>
        <w:tc>
          <w:tcPr>
            <w:tcW w:w="825" w:type="dxa"/>
            <w:noWrap w:val="0"/>
            <w:vAlign w:val="center"/>
          </w:tcPr>
          <w:p w14:paraId="00FEF054">
            <w:pPr>
              <w:widowControl/>
              <w:jc w:val="center"/>
              <w:rPr>
                <w:rFonts w:hint="eastAsia" w:ascii="宋体" w:hAnsi="宋体" w:cs="宋体"/>
                <w:bCs/>
                <w:sz w:val="21"/>
                <w:lang w:bidi="ar"/>
              </w:rPr>
            </w:pPr>
            <w:r>
              <w:rPr>
                <w:rFonts w:hint="eastAsia" w:ascii="宋体" w:hAnsi="宋体" w:cs="宋体"/>
                <w:bCs/>
                <w:sz w:val="21"/>
                <w:lang w:bidi="ar"/>
              </w:rPr>
              <w:t>0.24</w:t>
            </w:r>
          </w:p>
        </w:tc>
        <w:tc>
          <w:tcPr>
            <w:tcW w:w="716" w:type="dxa"/>
            <w:noWrap w:val="0"/>
            <w:vAlign w:val="center"/>
          </w:tcPr>
          <w:p w14:paraId="58D58E84">
            <w:pPr>
              <w:widowControl/>
              <w:jc w:val="center"/>
              <w:rPr>
                <w:rFonts w:hint="eastAsia" w:ascii="宋体" w:hAnsi="宋体" w:cs="宋体"/>
                <w:bCs/>
                <w:sz w:val="21"/>
                <w:lang w:bidi="ar"/>
              </w:rPr>
            </w:pPr>
            <w:r>
              <w:rPr>
                <w:rFonts w:hint="eastAsia" w:ascii="宋体" w:hAnsi="宋体" w:cs="宋体"/>
                <w:bCs/>
                <w:sz w:val="21"/>
                <w:lang w:bidi="ar"/>
              </w:rPr>
              <w:t>1.5</w:t>
            </w:r>
          </w:p>
        </w:tc>
        <w:tc>
          <w:tcPr>
            <w:tcW w:w="825" w:type="dxa"/>
            <w:noWrap w:val="0"/>
            <w:vAlign w:val="center"/>
          </w:tcPr>
          <w:p w14:paraId="18A54261">
            <w:pPr>
              <w:widowControl/>
              <w:jc w:val="center"/>
              <w:rPr>
                <w:rFonts w:hint="eastAsia" w:ascii="宋体" w:hAnsi="宋体" w:cs="宋体"/>
                <w:bCs/>
                <w:sz w:val="21"/>
                <w:lang w:bidi="ar"/>
              </w:rPr>
            </w:pPr>
            <w:r>
              <w:rPr>
                <w:rFonts w:hint="eastAsia" w:ascii="宋体" w:hAnsi="宋体" w:cs="宋体"/>
                <w:bCs/>
                <w:sz w:val="21"/>
                <w:lang w:bidi="ar"/>
              </w:rPr>
              <w:t>0.12</w:t>
            </w:r>
          </w:p>
        </w:tc>
        <w:tc>
          <w:tcPr>
            <w:tcW w:w="1341" w:type="dxa"/>
            <w:noWrap w:val="0"/>
            <w:vAlign w:val="center"/>
          </w:tcPr>
          <w:p w14:paraId="0BC275D6">
            <w:pPr>
              <w:widowControl/>
              <w:jc w:val="center"/>
              <w:rPr>
                <w:rFonts w:hint="eastAsia" w:ascii="宋体" w:hAnsi="宋体" w:cs="宋体"/>
                <w:bCs/>
                <w:sz w:val="21"/>
                <w:lang w:eastAsia="en-US" w:bidi="ar"/>
              </w:rPr>
            </w:pPr>
            <w:r>
              <w:rPr>
                <w:rFonts w:hint="eastAsia" w:ascii="宋体" w:hAnsi="宋体" w:cs="宋体"/>
                <w:bCs/>
                <w:sz w:val="21"/>
                <w:lang w:bidi="ar"/>
              </w:rPr>
              <w:t>/</w:t>
            </w:r>
          </w:p>
        </w:tc>
        <w:tc>
          <w:tcPr>
            <w:tcW w:w="1753" w:type="dxa"/>
            <w:noWrap w:val="0"/>
            <w:vAlign w:val="center"/>
          </w:tcPr>
          <w:p w14:paraId="38C7F73C">
            <w:pPr>
              <w:widowControl/>
              <w:jc w:val="center"/>
              <w:rPr>
                <w:rFonts w:hint="eastAsia" w:ascii="宋体" w:hAnsi="宋体" w:cs="宋体"/>
                <w:bCs/>
                <w:sz w:val="21"/>
                <w:lang w:eastAsia="en-US" w:bidi="ar"/>
              </w:rPr>
            </w:pPr>
            <w:r>
              <w:rPr>
                <w:rFonts w:hint="eastAsia" w:ascii="宋体" w:hAnsi="宋体" w:cs="宋体"/>
                <w:bCs/>
                <w:sz w:val="21"/>
                <w:lang w:bidi="ar"/>
              </w:rPr>
              <w:t>一般固废71</w:t>
            </w:r>
          </w:p>
        </w:tc>
        <w:tc>
          <w:tcPr>
            <w:tcW w:w="881" w:type="dxa"/>
            <w:noWrap w:val="0"/>
            <w:vAlign w:val="center"/>
          </w:tcPr>
          <w:p w14:paraId="5070B335">
            <w:pPr>
              <w:widowControl/>
              <w:jc w:val="center"/>
              <w:rPr>
                <w:rFonts w:hint="eastAsia" w:ascii="宋体" w:hAnsi="宋体" w:cs="宋体"/>
                <w:bCs/>
                <w:sz w:val="21"/>
                <w:lang w:eastAsia="en-US" w:bidi="ar"/>
              </w:rPr>
            </w:pPr>
            <w:r>
              <w:rPr>
                <w:rFonts w:hint="eastAsia" w:ascii="宋体" w:hAnsi="宋体" w:cs="宋体"/>
                <w:bCs/>
                <w:sz w:val="21"/>
                <w:lang w:bidi="ar"/>
              </w:rPr>
              <w:t>已投产</w:t>
            </w:r>
          </w:p>
        </w:tc>
      </w:tr>
      <w:tr w14:paraId="73A95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9" w:type="dxa"/>
            <w:noWrap w:val="0"/>
            <w:vAlign w:val="center"/>
          </w:tcPr>
          <w:p w14:paraId="66115B51">
            <w:pPr>
              <w:widowControl/>
              <w:jc w:val="center"/>
              <w:rPr>
                <w:rFonts w:hint="eastAsia" w:ascii="宋体" w:hAnsi="宋体" w:cs="宋体"/>
                <w:bCs/>
                <w:sz w:val="21"/>
                <w:lang w:eastAsia="en-US" w:bidi="ar"/>
              </w:rPr>
            </w:pPr>
            <w:r>
              <w:rPr>
                <w:rFonts w:hint="eastAsia" w:ascii="宋体" w:hAnsi="宋体" w:cs="宋体"/>
                <w:bCs/>
                <w:sz w:val="21"/>
                <w:lang w:bidi="ar"/>
              </w:rPr>
              <w:t>45</w:t>
            </w:r>
          </w:p>
        </w:tc>
        <w:tc>
          <w:tcPr>
            <w:tcW w:w="1731" w:type="dxa"/>
            <w:noWrap w:val="0"/>
            <w:vAlign w:val="center"/>
          </w:tcPr>
          <w:p w14:paraId="1454A277">
            <w:pPr>
              <w:widowControl/>
              <w:jc w:val="center"/>
              <w:rPr>
                <w:rFonts w:hint="eastAsia" w:ascii="宋体" w:hAnsi="宋体" w:cs="宋体"/>
                <w:bCs/>
                <w:sz w:val="21"/>
                <w:lang w:eastAsia="en-US" w:bidi="ar"/>
              </w:rPr>
            </w:pPr>
            <w:r>
              <w:rPr>
                <w:rFonts w:hint="eastAsia" w:ascii="宋体" w:hAnsi="宋体" w:cs="宋体"/>
                <w:bCs/>
                <w:sz w:val="21"/>
                <w:lang w:bidi="ar"/>
              </w:rPr>
              <w:t>康舜天食品</w:t>
            </w:r>
          </w:p>
        </w:tc>
        <w:tc>
          <w:tcPr>
            <w:tcW w:w="1514" w:type="dxa"/>
            <w:noWrap w:val="0"/>
            <w:vAlign w:val="center"/>
          </w:tcPr>
          <w:p w14:paraId="3A4B1C28">
            <w:pPr>
              <w:widowControl/>
              <w:jc w:val="center"/>
              <w:rPr>
                <w:rFonts w:hint="eastAsia" w:ascii="宋体" w:hAnsi="宋体" w:cs="宋体"/>
                <w:bCs/>
                <w:sz w:val="21"/>
                <w:lang w:bidi="ar"/>
              </w:rPr>
            </w:pPr>
            <w:r>
              <w:rPr>
                <w:rFonts w:hint="eastAsia" w:ascii="宋体" w:hAnsi="宋体" w:cs="宋体"/>
                <w:bCs/>
                <w:sz w:val="21"/>
                <w:lang w:bidi="ar"/>
              </w:rPr>
              <w:t>111.850845491</w:t>
            </w:r>
          </w:p>
        </w:tc>
        <w:tc>
          <w:tcPr>
            <w:tcW w:w="1473" w:type="dxa"/>
            <w:noWrap w:val="0"/>
            <w:vAlign w:val="center"/>
          </w:tcPr>
          <w:p w14:paraId="575DCFC8">
            <w:pPr>
              <w:widowControl/>
              <w:jc w:val="center"/>
              <w:rPr>
                <w:rFonts w:hint="eastAsia" w:ascii="宋体" w:hAnsi="宋体" w:cs="宋体"/>
                <w:bCs/>
                <w:sz w:val="21"/>
                <w:lang w:eastAsia="en-US" w:bidi="ar"/>
              </w:rPr>
            </w:pPr>
            <w:r>
              <w:rPr>
                <w:rFonts w:hint="eastAsia" w:ascii="宋体" w:hAnsi="宋体" w:cs="宋体"/>
                <w:bCs/>
                <w:sz w:val="21"/>
                <w:lang w:bidi="ar"/>
              </w:rPr>
              <w:t>29.576047362</w:t>
            </w:r>
          </w:p>
        </w:tc>
        <w:tc>
          <w:tcPr>
            <w:tcW w:w="959" w:type="dxa"/>
            <w:noWrap w:val="0"/>
            <w:vAlign w:val="center"/>
          </w:tcPr>
          <w:p w14:paraId="52F8F404">
            <w:pPr>
              <w:widowControl/>
              <w:jc w:val="center"/>
              <w:rPr>
                <w:rFonts w:hint="eastAsia" w:ascii="宋体" w:hAnsi="宋体" w:cs="宋体"/>
                <w:bCs/>
                <w:sz w:val="21"/>
                <w:lang w:eastAsia="en-US" w:bidi="ar"/>
              </w:rPr>
            </w:pPr>
            <w:r>
              <w:rPr>
                <w:rFonts w:hint="eastAsia" w:ascii="宋体" w:hAnsi="宋体" w:cs="宋体"/>
                <w:bCs/>
                <w:sz w:val="21"/>
                <w:lang w:bidi="ar"/>
              </w:rPr>
              <w:t>134.4</w:t>
            </w:r>
          </w:p>
        </w:tc>
        <w:tc>
          <w:tcPr>
            <w:tcW w:w="852" w:type="dxa"/>
            <w:noWrap w:val="0"/>
            <w:vAlign w:val="center"/>
          </w:tcPr>
          <w:p w14:paraId="643B0360">
            <w:pPr>
              <w:widowControl/>
              <w:jc w:val="center"/>
              <w:rPr>
                <w:rFonts w:hint="eastAsia" w:ascii="宋体" w:hAnsi="宋体" w:cs="宋体"/>
                <w:bCs/>
                <w:sz w:val="21"/>
                <w:lang w:eastAsia="en-US" w:bidi="ar"/>
              </w:rPr>
            </w:pPr>
            <w:r>
              <w:rPr>
                <w:rFonts w:hint="eastAsia" w:ascii="宋体" w:hAnsi="宋体" w:cs="宋体"/>
                <w:bCs/>
                <w:sz w:val="21"/>
                <w:lang w:bidi="ar"/>
              </w:rPr>
              <w:t>0.008</w:t>
            </w:r>
          </w:p>
        </w:tc>
        <w:tc>
          <w:tcPr>
            <w:tcW w:w="932" w:type="dxa"/>
            <w:noWrap w:val="0"/>
            <w:vAlign w:val="center"/>
          </w:tcPr>
          <w:p w14:paraId="370F6935">
            <w:pPr>
              <w:widowControl/>
              <w:jc w:val="center"/>
              <w:rPr>
                <w:rFonts w:hint="eastAsia" w:ascii="宋体" w:hAnsi="宋体" w:cs="宋体"/>
                <w:bCs/>
                <w:sz w:val="21"/>
                <w:lang w:eastAsia="en-US" w:bidi="ar"/>
              </w:rPr>
            </w:pPr>
            <w:r>
              <w:rPr>
                <w:rFonts w:hint="eastAsia" w:ascii="宋体" w:hAnsi="宋体" w:cs="宋体"/>
                <w:bCs/>
                <w:sz w:val="21"/>
                <w:lang w:bidi="ar"/>
              </w:rPr>
              <w:t>0.002</w:t>
            </w:r>
          </w:p>
        </w:tc>
        <w:tc>
          <w:tcPr>
            <w:tcW w:w="825" w:type="dxa"/>
            <w:noWrap w:val="0"/>
            <w:vAlign w:val="center"/>
          </w:tcPr>
          <w:p w14:paraId="4C221EA7">
            <w:pPr>
              <w:widowControl/>
              <w:jc w:val="center"/>
              <w:rPr>
                <w:rFonts w:hint="eastAsia" w:ascii="宋体" w:hAnsi="宋体" w:cs="宋体"/>
                <w:bCs/>
                <w:sz w:val="21"/>
                <w:lang w:bidi="ar"/>
              </w:rPr>
            </w:pPr>
            <w:r>
              <w:rPr>
                <w:rFonts w:hint="eastAsia" w:ascii="宋体" w:hAnsi="宋体" w:cs="宋体"/>
                <w:bCs/>
                <w:sz w:val="21"/>
                <w:lang w:bidi="ar"/>
              </w:rPr>
              <w:t>0</w:t>
            </w:r>
          </w:p>
        </w:tc>
        <w:tc>
          <w:tcPr>
            <w:tcW w:w="716" w:type="dxa"/>
            <w:noWrap w:val="0"/>
            <w:vAlign w:val="center"/>
          </w:tcPr>
          <w:p w14:paraId="2F7C4418">
            <w:pPr>
              <w:widowControl/>
              <w:jc w:val="center"/>
              <w:rPr>
                <w:rFonts w:hint="eastAsia" w:ascii="宋体" w:hAnsi="宋体" w:cs="宋体"/>
                <w:bCs/>
                <w:sz w:val="21"/>
                <w:lang w:bidi="ar"/>
              </w:rPr>
            </w:pPr>
            <w:r>
              <w:rPr>
                <w:rFonts w:hint="eastAsia" w:ascii="宋体" w:hAnsi="宋体" w:cs="宋体"/>
                <w:bCs/>
                <w:sz w:val="21"/>
                <w:lang w:bidi="ar"/>
              </w:rPr>
              <w:t>0</w:t>
            </w:r>
          </w:p>
        </w:tc>
        <w:tc>
          <w:tcPr>
            <w:tcW w:w="825" w:type="dxa"/>
            <w:noWrap w:val="0"/>
            <w:vAlign w:val="center"/>
          </w:tcPr>
          <w:p w14:paraId="3E2F2A78">
            <w:pPr>
              <w:widowControl/>
              <w:jc w:val="center"/>
              <w:rPr>
                <w:rFonts w:hint="eastAsia" w:ascii="宋体" w:hAnsi="宋体" w:cs="宋体"/>
                <w:bCs/>
                <w:sz w:val="21"/>
                <w:lang w:bidi="ar"/>
              </w:rPr>
            </w:pPr>
            <w:r>
              <w:rPr>
                <w:rFonts w:hint="eastAsia" w:ascii="宋体" w:hAnsi="宋体" w:cs="宋体"/>
                <w:bCs/>
                <w:sz w:val="21"/>
                <w:lang w:bidi="ar"/>
              </w:rPr>
              <w:t>0</w:t>
            </w:r>
          </w:p>
        </w:tc>
        <w:tc>
          <w:tcPr>
            <w:tcW w:w="1341" w:type="dxa"/>
            <w:noWrap w:val="0"/>
            <w:vAlign w:val="center"/>
          </w:tcPr>
          <w:p w14:paraId="1992E1F5">
            <w:pPr>
              <w:widowControl/>
              <w:jc w:val="center"/>
              <w:rPr>
                <w:rFonts w:hint="eastAsia" w:ascii="宋体" w:hAnsi="宋体" w:cs="宋体"/>
                <w:bCs/>
                <w:sz w:val="21"/>
                <w:lang w:bidi="ar"/>
              </w:rPr>
            </w:pPr>
            <w:r>
              <w:rPr>
                <w:rFonts w:hint="eastAsia" w:ascii="宋体" w:hAnsi="宋体" w:cs="宋体"/>
                <w:bCs/>
                <w:sz w:val="21"/>
                <w:lang w:bidi="ar"/>
              </w:rPr>
              <w:t>/</w:t>
            </w:r>
          </w:p>
        </w:tc>
        <w:tc>
          <w:tcPr>
            <w:tcW w:w="1753" w:type="dxa"/>
            <w:noWrap w:val="0"/>
            <w:vAlign w:val="center"/>
          </w:tcPr>
          <w:p w14:paraId="73B8F503">
            <w:pPr>
              <w:widowControl/>
              <w:jc w:val="center"/>
              <w:rPr>
                <w:rFonts w:hint="eastAsia" w:ascii="宋体" w:hAnsi="宋体" w:cs="宋体"/>
                <w:bCs/>
                <w:sz w:val="21"/>
                <w:lang w:eastAsia="en-US" w:bidi="ar"/>
              </w:rPr>
            </w:pPr>
            <w:r>
              <w:rPr>
                <w:rFonts w:hint="eastAsia" w:ascii="宋体" w:hAnsi="宋体" w:cs="宋体"/>
                <w:bCs/>
                <w:sz w:val="21"/>
                <w:lang w:bidi="ar"/>
              </w:rPr>
              <w:t>一般固废50</w:t>
            </w:r>
          </w:p>
        </w:tc>
        <w:tc>
          <w:tcPr>
            <w:tcW w:w="881" w:type="dxa"/>
            <w:noWrap w:val="0"/>
            <w:vAlign w:val="center"/>
          </w:tcPr>
          <w:p w14:paraId="7369011D">
            <w:pPr>
              <w:widowControl/>
              <w:jc w:val="center"/>
              <w:rPr>
                <w:rFonts w:hint="eastAsia" w:ascii="宋体" w:hAnsi="宋体" w:cs="宋体"/>
                <w:bCs/>
                <w:sz w:val="21"/>
                <w:lang w:eastAsia="en-US" w:bidi="ar"/>
              </w:rPr>
            </w:pPr>
            <w:r>
              <w:rPr>
                <w:rFonts w:hint="eastAsia" w:ascii="宋体" w:hAnsi="宋体" w:cs="宋体"/>
                <w:bCs/>
                <w:sz w:val="21"/>
                <w:lang w:bidi="ar"/>
              </w:rPr>
              <w:t>已投产</w:t>
            </w:r>
          </w:p>
        </w:tc>
      </w:tr>
      <w:tr w14:paraId="68E29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9" w:type="dxa"/>
            <w:noWrap w:val="0"/>
            <w:vAlign w:val="center"/>
          </w:tcPr>
          <w:p w14:paraId="68FA8F5B">
            <w:pPr>
              <w:widowControl/>
              <w:jc w:val="center"/>
              <w:rPr>
                <w:rFonts w:hint="eastAsia" w:ascii="宋体" w:hAnsi="宋体" w:cs="宋体"/>
                <w:bCs/>
                <w:sz w:val="21"/>
                <w:lang w:eastAsia="en-US" w:bidi="ar"/>
              </w:rPr>
            </w:pPr>
            <w:r>
              <w:rPr>
                <w:rFonts w:hint="eastAsia" w:ascii="宋体" w:hAnsi="宋体" w:cs="宋体"/>
                <w:bCs/>
                <w:sz w:val="21"/>
                <w:lang w:bidi="ar"/>
              </w:rPr>
              <w:t>46</w:t>
            </w:r>
          </w:p>
        </w:tc>
        <w:tc>
          <w:tcPr>
            <w:tcW w:w="1731" w:type="dxa"/>
            <w:noWrap w:val="0"/>
            <w:vAlign w:val="center"/>
          </w:tcPr>
          <w:p w14:paraId="31C98CC5">
            <w:pPr>
              <w:widowControl/>
              <w:jc w:val="center"/>
              <w:rPr>
                <w:rFonts w:hint="eastAsia" w:ascii="宋体" w:hAnsi="宋体" w:cs="宋体"/>
                <w:bCs/>
                <w:sz w:val="21"/>
                <w:lang w:eastAsia="en-US" w:bidi="ar"/>
              </w:rPr>
            </w:pPr>
            <w:r>
              <w:rPr>
                <w:rFonts w:hint="eastAsia" w:ascii="宋体" w:hAnsi="宋体" w:cs="宋体"/>
                <w:bCs/>
                <w:sz w:val="21"/>
                <w:lang w:bidi="ar"/>
              </w:rPr>
              <w:t>浩瀚食品</w:t>
            </w:r>
          </w:p>
        </w:tc>
        <w:tc>
          <w:tcPr>
            <w:tcW w:w="1514" w:type="dxa"/>
            <w:noWrap w:val="0"/>
            <w:vAlign w:val="center"/>
          </w:tcPr>
          <w:p w14:paraId="79D7986E">
            <w:pPr>
              <w:widowControl/>
              <w:jc w:val="center"/>
              <w:rPr>
                <w:rFonts w:hint="eastAsia" w:ascii="宋体" w:hAnsi="宋体" w:cs="宋体"/>
                <w:bCs/>
                <w:sz w:val="21"/>
                <w:lang w:eastAsia="en-US" w:bidi="ar"/>
              </w:rPr>
            </w:pPr>
            <w:r>
              <w:rPr>
                <w:rFonts w:hint="eastAsia" w:ascii="宋体" w:hAnsi="宋体" w:cs="宋体"/>
                <w:bCs/>
                <w:sz w:val="21"/>
                <w:lang w:bidi="ar"/>
              </w:rPr>
              <w:t>111.283859753</w:t>
            </w:r>
          </w:p>
        </w:tc>
        <w:tc>
          <w:tcPr>
            <w:tcW w:w="1473" w:type="dxa"/>
            <w:noWrap w:val="0"/>
            <w:vAlign w:val="center"/>
          </w:tcPr>
          <w:p w14:paraId="1061FA3A">
            <w:pPr>
              <w:widowControl/>
              <w:jc w:val="center"/>
              <w:rPr>
                <w:rFonts w:hint="eastAsia" w:ascii="宋体" w:hAnsi="宋体" w:cs="宋体"/>
                <w:bCs/>
                <w:sz w:val="21"/>
                <w:lang w:eastAsia="en-US" w:bidi="ar"/>
              </w:rPr>
            </w:pPr>
            <w:r>
              <w:rPr>
                <w:rFonts w:hint="eastAsia" w:ascii="宋体" w:hAnsi="宋体" w:cs="宋体"/>
                <w:bCs/>
                <w:sz w:val="21"/>
                <w:lang w:bidi="ar"/>
              </w:rPr>
              <w:t>27299430124</w:t>
            </w:r>
          </w:p>
        </w:tc>
        <w:tc>
          <w:tcPr>
            <w:tcW w:w="959" w:type="dxa"/>
            <w:noWrap w:val="0"/>
            <w:vAlign w:val="center"/>
          </w:tcPr>
          <w:p w14:paraId="5E7C5D43">
            <w:pPr>
              <w:widowControl/>
              <w:jc w:val="center"/>
              <w:rPr>
                <w:rFonts w:hint="eastAsia" w:ascii="宋体" w:hAnsi="宋体" w:cs="宋体"/>
                <w:bCs/>
                <w:sz w:val="21"/>
                <w:lang w:eastAsia="en-US" w:bidi="ar"/>
              </w:rPr>
            </w:pPr>
            <w:r>
              <w:rPr>
                <w:rFonts w:hint="eastAsia" w:ascii="宋体" w:hAnsi="宋体" w:cs="宋体"/>
                <w:bCs/>
                <w:sz w:val="21"/>
                <w:lang w:bidi="ar"/>
              </w:rPr>
              <w:t>2278</w:t>
            </w:r>
          </w:p>
        </w:tc>
        <w:tc>
          <w:tcPr>
            <w:tcW w:w="852" w:type="dxa"/>
            <w:noWrap w:val="0"/>
            <w:vAlign w:val="center"/>
          </w:tcPr>
          <w:p w14:paraId="7CBD6254">
            <w:pPr>
              <w:widowControl/>
              <w:jc w:val="center"/>
              <w:rPr>
                <w:rFonts w:hint="eastAsia" w:ascii="宋体" w:hAnsi="宋体" w:cs="宋体"/>
                <w:bCs/>
                <w:sz w:val="21"/>
                <w:lang w:bidi="ar"/>
              </w:rPr>
            </w:pPr>
            <w:r>
              <w:rPr>
                <w:rFonts w:hint="eastAsia" w:ascii="宋体" w:hAnsi="宋体" w:cs="宋体"/>
                <w:bCs/>
                <w:sz w:val="21"/>
                <w:lang w:bidi="ar"/>
              </w:rPr>
              <w:t>0.14</w:t>
            </w:r>
          </w:p>
        </w:tc>
        <w:tc>
          <w:tcPr>
            <w:tcW w:w="932" w:type="dxa"/>
            <w:noWrap w:val="0"/>
            <w:vAlign w:val="center"/>
          </w:tcPr>
          <w:p w14:paraId="35941592">
            <w:pPr>
              <w:widowControl/>
              <w:jc w:val="center"/>
              <w:rPr>
                <w:rFonts w:hint="eastAsia" w:ascii="宋体" w:hAnsi="宋体" w:cs="宋体"/>
                <w:bCs/>
                <w:sz w:val="21"/>
                <w:lang w:bidi="ar"/>
              </w:rPr>
            </w:pPr>
            <w:r>
              <w:rPr>
                <w:rFonts w:hint="eastAsia" w:ascii="宋体" w:hAnsi="宋体" w:cs="宋体"/>
                <w:bCs/>
                <w:sz w:val="21"/>
                <w:lang w:bidi="ar"/>
              </w:rPr>
              <w:t>0.04</w:t>
            </w:r>
          </w:p>
        </w:tc>
        <w:tc>
          <w:tcPr>
            <w:tcW w:w="825" w:type="dxa"/>
            <w:noWrap w:val="0"/>
            <w:vAlign w:val="center"/>
          </w:tcPr>
          <w:p w14:paraId="2D29D1FE">
            <w:pPr>
              <w:widowControl/>
              <w:jc w:val="center"/>
              <w:rPr>
                <w:rFonts w:hint="eastAsia" w:ascii="宋体" w:hAnsi="宋体" w:cs="宋体"/>
                <w:bCs/>
                <w:sz w:val="21"/>
                <w:lang w:bidi="ar"/>
              </w:rPr>
            </w:pPr>
            <w:r>
              <w:rPr>
                <w:rFonts w:hint="eastAsia" w:ascii="宋体" w:hAnsi="宋体" w:cs="宋体"/>
                <w:bCs/>
                <w:sz w:val="21"/>
                <w:lang w:bidi="ar"/>
              </w:rPr>
              <w:t>0.01</w:t>
            </w:r>
          </w:p>
        </w:tc>
        <w:tc>
          <w:tcPr>
            <w:tcW w:w="716" w:type="dxa"/>
            <w:noWrap w:val="0"/>
            <w:vAlign w:val="center"/>
          </w:tcPr>
          <w:p w14:paraId="2015E838">
            <w:pPr>
              <w:widowControl/>
              <w:jc w:val="center"/>
              <w:rPr>
                <w:rFonts w:hint="eastAsia" w:ascii="宋体" w:hAnsi="宋体" w:cs="宋体"/>
                <w:bCs/>
                <w:sz w:val="21"/>
                <w:lang w:bidi="ar"/>
              </w:rPr>
            </w:pPr>
            <w:r>
              <w:rPr>
                <w:rFonts w:hint="eastAsia" w:ascii="宋体" w:hAnsi="宋体" w:cs="宋体"/>
                <w:bCs/>
                <w:sz w:val="21"/>
                <w:lang w:bidi="ar"/>
              </w:rPr>
              <w:t>0.04</w:t>
            </w:r>
          </w:p>
        </w:tc>
        <w:tc>
          <w:tcPr>
            <w:tcW w:w="825" w:type="dxa"/>
            <w:noWrap w:val="0"/>
            <w:vAlign w:val="center"/>
          </w:tcPr>
          <w:p w14:paraId="32D69685">
            <w:pPr>
              <w:widowControl/>
              <w:jc w:val="center"/>
              <w:rPr>
                <w:rFonts w:hint="eastAsia" w:ascii="宋体" w:hAnsi="宋体" w:cs="宋体"/>
                <w:bCs/>
                <w:sz w:val="21"/>
                <w:lang w:bidi="ar"/>
              </w:rPr>
            </w:pPr>
            <w:r>
              <w:rPr>
                <w:rFonts w:hint="eastAsia" w:ascii="宋体" w:hAnsi="宋体" w:cs="宋体"/>
                <w:bCs/>
                <w:sz w:val="21"/>
                <w:lang w:bidi="ar"/>
              </w:rPr>
              <w:t>0</w:t>
            </w:r>
          </w:p>
        </w:tc>
        <w:tc>
          <w:tcPr>
            <w:tcW w:w="1341" w:type="dxa"/>
            <w:noWrap w:val="0"/>
            <w:vAlign w:val="center"/>
          </w:tcPr>
          <w:p w14:paraId="32336DB3">
            <w:pPr>
              <w:widowControl/>
              <w:jc w:val="center"/>
              <w:rPr>
                <w:rFonts w:hint="eastAsia" w:ascii="宋体" w:hAnsi="宋体" w:cs="宋体"/>
                <w:bCs/>
                <w:sz w:val="21"/>
                <w:lang w:eastAsia="en-US" w:bidi="ar"/>
              </w:rPr>
            </w:pPr>
            <w:r>
              <w:rPr>
                <w:rFonts w:hint="eastAsia" w:ascii="宋体" w:hAnsi="宋体" w:cs="宋体"/>
                <w:bCs/>
                <w:sz w:val="21"/>
                <w:lang w:bidi="ar"/>
              </w:rPr>
              <w:t>/</w:t>
            </w:r>
          </w:p>
        </w:tc>
        <w:tc>
          <w:tcPr>
            <w:tcW w:w="1753" w:type="dxa"/>
            <w:noWrap w:val="0"/>
            <w:vAlign w:val="center"/>
          </w:tcPr>
          <w:p w14:paraId="3253BC43">
            <w:pPr>
              <w:widowControl/>
              <w:jc w:val="center"/>
              <w:rPr>
                <w:rFonts w:hint="eastAsia" w:ascii="宋体" w:hAnsi="宋体" w:cs="宋体"/>
                <w:bCs/>
                <w:sz w:val="21"/>
                <w:lang w:bidi="ar"/>
              </w:rPr>
            </w:pPr>
            <w:r>
              <w:rPr>
                <w:rFonts w:hint="eastAsia" w:ascii="宋体" w:hAnsi="宋体" w:cs="宋体"/>
                <w:bCs/>
                <w:sz w:val="21"/>
                <w:lang w:bidi="ar"/>
              </w:rPr>
              <w:t>一般固废89.6</w:t>
            </w:r>
          </w:p>
        </w:tc>
        <w:tc>
          <w:tcPr>
            <w:tcW w:w="881" w:type="dxa"/>
            <w:noWrap w:val="0"/>
            <w:vAlign w:val="center"/>
          </w:tcPr>
          <w:p w14:paraId="5CB3685C">
            <w:pPr>
              <w:widowControl/>
              <w:jc w:val="center"/>
              <w:rPr>
                <w:rFonts w:hint="eastAsia" w:ascii="宋体" w:hAnsi="宋体" w:cs="宋体"/>
                <w:bCs/>
                <w:sz w:val="21"/>
                <w:lang w:eastAsia="en-US" w:bidi="ar"/>
              </w:rPr>
            </w:pPr>
            <w:r>
              <w:rPr>
                <w:rFonts w:hint="eastAsia" w:ascii="宋体" w:hAnsi="宋体" w:cs="宋体"/>
                <w:bCs/>
                <w:sz w:val="21"/>
                <w:lang w:bidi="ar"/>
              </w:rPr>
              <w:t>已投产</w:t>
            </w:r>
          </w:p>
        </w:tc>
      </w:tr>
      <w:tr w14:paraId="3A6A0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9" w:type="dxa"/>
            <w:noWrap w:val="0"/>
            <w:vAlign w:val="center"/>
          </w:tcPr>
          <w:p w14:paraId="0AE9755A">
            <w:pPr>
              <w:widowControl/>
              <w:jc w:val="center"/>
              <w:rPr>
                <w:rFonts w:hint="eastAsia" w:ascii="宋体" w:hAnsi="宋体" w:cs="宋体"/>
                <w:bCs/>
                <w:sz w:val="21"/>
                <w:lang w:eastAsia="en-US" w:bidi="ar"/>
              </w:rPr>
            </w:pPr>
            <w:r>
              <w:rPr>
                <w:rFonts w:hint="eastAsia" w:ascii="宋体" w:hAnsi="宋体" w:cs="宋体"/>
                <w:bCs/>
                <w:sz w:val="21"/>
                <w:lang w:bidi="ar"/>
              </w:rPr>
              <w:t>47</w:t>
            </w:r>
          </w:p>
        </w:tc>
        <w:tc>
          <w:tcPr>
            <w:tcW w:w="1731" w:type="dxa"/>
            <w:noWrap w:val="0"/>
            <w:vAlign w:val="center"/>
          </w:tcPr>
          <w:p w14:paraId="71889B63">
            <w:pPr>
              <w:widowControl/>
              <w:jc w:val="center"/>
              <w:rPr>
                <w:rFonts w:hint="eastAsia" w:ascii="宋体" w:hAnsi="宋体" w:cs="宋体"/>
                <w:bCs/>
                <w:sz w:val="21"/>
                <w:lang w:eastAsia="en-US" w:bidi="ar"/>
              </w:rPr>
            </w:pPr>
            <w:r>
              <w:rPr>
                <w:rFonts w:hint="eastAsia" w:ascii="宋体" w:hAnsi="宋体" w:cs="宋体"/>
                <w:bCs/>
                <w:sz w:val="21"/>
                <w:lang w:bidi="ar"/>
              </w:rPr>
              <w:t>湖南嘉一食品有限公司</w:t>
            </w:r>
          </w:p>
        </w:tc>
        <w:tc>
          <w:tcPr>
            <w:tcW w:w="1514" w:type="dxa"/>
            <w:noWrap w:val="0"/>
            <w:vAlign w:val="center"/>
          </w:tcPr>
          <w:p w14:paraId="38A37441">
            <w:pPr>
              <w:widowControl/>
              <w:jc w:val="center"/>
              <w:rPr>
                <w:rFonts w:hint="eastAsia" w:ascii="宋体" w:hAnsi="宋体" w:cs="宋体"/>
                <w:bCs/>
                <w:sz w:val="21"/>
                <w:lang w:eastAsia="en-US" w:bidi="ar"/>
              </w:rPr>
            </w:pPr>
            <w:r>
              <w:rPr>
                <w:rFonts w:hint="eastAsia" w:ascii="宋体" w:hAnsi="宋体" w:cs="宋体"/>
                <w:bCs/>
                <w:sz w:val="21"/>
                <w:lang w:bidi="ar"/>
              </w:rPr>
              <w:t>111.857626805</w:t>
            </w:r>
          </w:p>
        </w:tc>
        <w:tc>
          <w:tcPr>
            <w:tcW w:w="1473" w:type="dxa"/>
            <w:noWrap w:val="0"/>
            <w:vAlign w:val="center"/>
          </w:tcPr>
          <w:p w14:paraId="1E91448B">
            <w:pPr>
              <w:widowControl/>
              <w:jc w:val="center"/>
              <w:rPr>
                <w:rFonts w:hint="eastAsia" w:ascii="宋体" w:hAnsi="宋体" w:cs="宋体"/>
                <w:bCs/>
                <w:sz w:val="21"/>
                <w:lang w:eastAsia="en-US" w:bidi="ar"/>
              </w:rPr>
            </w:pPr>
            <w:r>
              <w:rPr>
                <w:rFonts w:hint="eastAsia" w:ascii="宋体" w:hAnsi="宋体" w:cs="宋体"/>
                <w:bCs/>
                <w:sz w:val="21"/>
                <w:lang w:bidi="ar"/>
              </w:rPr>
              <w:t>29.573531730</w:t>
            </w:r>
          </w:p>
        </w:tc>
        <w:tc>
          <w:tcPr>
            <w:tcW w:w="959" w:type="dxa"/>
            <w:noWrap w:val="0"/>
            <w:vAlign w:val="center"/>
          </w:tcPr>
          <w:p w14:paraId="6DDC6347">
            <w:pPr>
              <w:widowControl/>
              <w:jc w:val="center"/>
              <w:rPr>
                <w:rFonts w:hint="eastAsia" w:ascii="宋体" w:hAnsi="宋体" w:cs="宋体"/>
                <w:bCs/>
                <w:sz w:val="21"/>
                <w:lang w:eastAsia="en-US" w:bidi="ar"/>
              </w:rPr>
            </w:pPr>
            <w:r>
              <w:rPr>
                <w:rFonts w:hint="eastAsia" w:ascii="宋体" w:hAnsi="宋体" w:cs="宋体"/>
                <w:bCs/>
                <w:sz w:val="21"/>
                <w:lang w:bidi="ar"/>
              </w:rPr>
              <w:t>4620</w:t>
            </w:r>
          </w:p>
        </w:tc>
        <w:tc>
          <w:tcPr>
            <w:tcW w:w="852" w:type="dxa"/>
            <w:noWrap w:val="0"/>
            <w:vAlign w:val="center"/>
          </w:tcPr>
          <w:p w14:paraId="2976C61A">
            <w:pPr>
              <w:widowControl/>
              <w:jc w:val="center"/>
              <w:rPr>
                <w:rFonts w:hint="eastAsia" w:ascii="宋体" w:hAnsi="宋体" w:cs="宋体"/>
                <w:bCs/>
                <w:sz w:val="21"/>
                <w:lang w:eastAsia="en-US" w:bidi="ar"/>
              </w:rPr>
            </w:pPr>
            <w:r>
              <w:rPr>
                <w:rFonts w:hint="eastAsia" w:ascii="宋体" w:hAnsi="宋体" w:cs="宋体"/>
                <w:bCs/>
                <w:sz w:val="21"/>
                <w:lang w:bidi="ar"/>
              </w:rPr>
              <w:t>0.277</w:t>
            </w:r>
          </w:p>
        </w:tc>
        <w:tc>
          <w:tcPr>
            <w:tcW w:w="932" w:type="dxa"/>
            <w:noWrap w:val="0"/>
            <w:vAlign w:val="center"/>
          </w:tcPr>
          <w:p w14:paraId="589D0F3F">
            <w:pPr>
              <w:widowControl/>
              <w:jc w:val="center"/>
              <w:rPr>
                <w:rFonts w:hint="eastAsia" w:ascii="宋体" w:hAnsi="宋体" w:cs="宋体"/>
                <w:bCs/>
                <w:sz w:val="21"/>
                <w:lang w:eastAsia="en-US" w:bidi="ar"/>
              </w:rPr>
            </w:pPr>
            <w:r>
              <w:rPr>
                <w:rFonts w:hint="eastAsia" w:ascii="宋体" w:hAnsi="宋体" w:cs="宋体"/>
                <w:bCs/>
                <w:sz w:val="21"/>
                <w:lang w:bidi="ar"/>
              </w:rPr>
              <w:t>0.069</w:t>
            </w:r>
          </w:p>
        </w:tc>
        <w:tc>
          <w:tcPr>
            <w:tcW w:w="825" w:type="dxa"/>
            <w:noWrap w:val="0"/>
            <w:vAlign w:val="center"/>
          </w:tcPr>
          <w:p w14:paraId="22B58E32">
            <w:pPr>
              <w:widowControl/>
              <w:jc w:val="center"/>
              <w:rPr>
                <w:rFonts w:hint="eastAsia" w:ascii="宋体" w:hAnsi="宋体" w:cs="宋体"/>
                <w:bCs/>
                <w:sz w:val="21"/>
                <w:lang w:bidi="ar"/>
              </w:rPr>
            </w:pPr>
            <w:r>
              <w:rPr>
                <w:rFonts w:hint="eastAsia" w:ascii="宋体" w:hAnsi="宋体" w:cs="宋体"/>
                <w:bCs/>
                <w:sz w:val="21"/>
                <w:lang w:bidi="ar"/>
              </w:rPr>
              <w:t>0.22</w:t>
            </w:r>
          </w:p>
        </w:tc>
        <w:tc>
          <w:tcPr>
            <w:tcW w:w="716" w:type="dxa"/>
            <w:noWrap w:val="0"/>
            <w:vAlign w:val="center"/>
          </w:tcPr>
          <w:p w14:paraId="22562A76">
            <w:pPr>
              <w:widowControl/>
              <w:jc w:val="center"/>
              <w:rPr>
                <w:rFonts w:hint="eastAsia" w:ascii="宋体" w:hAnsi="宋体" w:cs="宋体"/>
                <w:bCs/>
                <w:sz w:val="21"/>
                <w:lang w:bidi="ar"/>
              </w:rPr>
            </w:pPr>
            <w:r>
              <w:rPr>
                <w:rFonts w:hint="eastAsia" w:ascii="宋体" w:hAnsi="宋体" w:cs="宋体"/>
                <w:bCs/>
                <w:sz w:val="21"/>
                <w:lang w:bidi="ar"/>
              </w:rPr>
              <w:t>0.05</w:t>
            </w:r>
          </w:p>
        </w:tc>
        <w:tc>
          <w:tcPr>
            <w:tcW w:w="825" w:type="dxa"/>
            <w:noWrap w:val="0"/>
            <w:vAlign w:val="center"/>
          </w:tcPr>
          <w:p w14:paraId="0DBD2A15">
            <w:pPr>
              <w:widowControl/>
              <w:jc w:val="center"/>
              <w:rPr>
                <w:rFonts w:hint="eastAsia" w:ascii="宋体" w:hAnsi="宋体" w:cs="宋体"/>
                <w:bCs/>
                <w:sz w:val="21"/>
                <w:lang w:bidi="ar"/>
              </w:rPr>
            </w:pPr>
            <w:r>
              <w:rPr>
                <w:rFonts w:hint="eastAsia" w:ascii="宋体" w:hAnsi="宋体" w:cs="宋体"/>
                <w:bCs/>
                <w:sz w:val="21"/>
                <w:lang w:bidi="ar"/>
              </w:rPr>
              <w:t>0.384</w:t>
            </w:r>
          </w:p>
        </w:tc>
        <w:tc>
          <w:tcPr>
            <w:tcW w:w="1341" w:type="dxa"/>
            <w:noWrap w:val="0"/>
            <w:vAlign w:val="center"/>
          </w:tcPr>
          <w:p w14:paraId="1CB2D3D5">
            <w:pPr>
              <w:widowControl/>
              <w:jc w:val="center"/>
              <w:rPr>
                <w:rFonts w:hint="eastAsia" w:ascii="宋体" w:hAnsi="宋体" w:cs="宋体"/>
                <w:bCs/>
                <w:sz w:val="21"/>
                <w:lang w:eastAsia="en-US" w:bidi="ar"/>
              </w:rPr>
            </w:pPr>
            <w:r>
              <w:rPr>
                <w:rFonts w:hint="eastAsia" w:ascii="宋体" w:hAnsi="宋体" w:cs="宋体"/>
                <w:bCs/>
                <w:sz w:val="21"/>
                <w:lang w:bidi="ar"/>
              </w:rPr>
              <w:t>/</w:t>
            </w:r>
          </w:p>
        </w:tc>
        <w:tc>
          <w:tcPr>
            <w:tcW w:w="1753" w:type="dxa"/>
            <w:noWrap w:val="0"/>
            <w:vAlign w:val="center"/>
          </w:tcPr>
          <w:p w14:paraId="050C7E57">
            <w:pPr>
              <w:widowControl/>
              <w:jc w:val="center"/>
              <w:rPr>
                <w:rFonts w:hint="eastAsia" w:ascii="宋体" w:hAnsi="宋体" w:cs="宋体"/>
                <w:bCs/>
                <w:sz w:val="21"/>
                <w:lang w:eastAsia="en-US" w:bidi="ar"/>
              </w:rPr>
            </w:pPr>
            <w:r>
              <w:rPr>
                <w:rFonts w:hint="eastAsia" w:ascii="宋体" w:hAnsi="宋体" w:cs="宋体"/>
                <w:bCs/>
                <w:sz w:val="21"/>
                <w:lang w:bidi="ar"/>
              </w:rPr>
              <w:t>一般固废48.15</w:t>
            </w:r>
          </w:p>
        </w:tc>
        <w:tc>
          <w:tcPr>
            <w:tcW w:w="881" w:type="dxa"/>
            <w:noWrap w:val="0"/>
            <w:vAlign w:val="center"/>
          </w:tcPr>
          <w:p w14:paraId="72E0AF53">
            <w:pPr>
              <w:widowControl/>
              <w:jc w:val="center"/>
              <w:rPr>
                <w:rFonts w:hint="eastAsia" w:ascii="宋体" w:hAnsi="宋体" w:cs="宋体"/>
                <w:bCs/>
                <w:sz w:val="21"/>
                <w:lang w:eastAsia="en-US" w:bidi="ar"/>
              </w:rPr>
            </w:pPr>
            <w:r>
              <w:rPr>
                <w:rFonts w:hint="eastAsia" w:ascii="宋体" w:hAnsi="宋体" w:cs="宋体"/>
                <w:bCs/>
                <w:sz w:val="21"/>
                <w:lang w:bidi="ar"/>
              </w:rPr>
              <w:t>已投产</w:t>
            </w:r>
          </w:p>
        </w:tc>
      </w:tr>
      <w:tr w14:paraId="09770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9" w:type="dxa"/>
            <w:noWrap w:val="0"/>
            <w:vAlign w:val="center"/>
          </w:tcPr>
          <w:p w14:paraId="69C7C40F">
            <w:pPr>
              <w:widowControl/>
              <w:jc w:val="center"/>
              <w:rPr>
                <w:rFonts w:hint="eastAsia" w:ascii="宋体" w:hAnsi="宋体" w:cs="宋体"/>
                <w:bCs/>
                <w:sz w:val="21"/>
                <w:lang w:eastAsia="en-US" w:bidi="ar"/>
              </w:rPr>
            </w:pPr>
            <w:r>
              <w:rPr>
                <w:rFonts w:hint="eastAsia" w:ascii="宋体" w:hAnsi="宋体" w:cs="宋体"/>
                <w:bCs/>
                <w:sz w:val="21"/>
                <w:lang w:bidi="ar"/>
              </w:rPr>
              <w:t>48</w:t>
            </w:r>
          </w:p>
        </w:tc>
        <w:tc>
          <w:tcPr>
            <w:tcW w:w="1731" w:type="dxa"/>
            <w:noWrap w:val="0"/>
            <w:vAlign w:val="center"/>
          </w:tcPr>
          <w:p w14:paraId="0FDDE8D3">
            <w:pPr>
              <w:widowControl/>
              <w:jc w:val="center"/>
              <w:rPr>
                <w:rFonts w:hint="eastAsia" w:ascii="宋体" w:hAnsi="宋体" w:cs="宋体"/>
                <w:bCs/>
                <w:sz w:val="21"/>
                <w:lang w:eastAsia="en-US" w:bidi="ar"/>
              </w:rPr>
            </w:pPr>
            <w:r>
              <w:rPr>
                <w:rFonts w:hint="eastAsia" w:ascii="宋体" w:hAnsi="宋体" w:cs="宋体"/>
                <w:bCs/>
                <w:sz w:val="21"/>
                <w:lang w:bidi="ar"/>
              </w:rPr>
              <w:t>常德浪力食品</w:t>
            </w:r>
          </w:p>
        </w:tc>
        <w:tc>
          <w:tcPr>
            <w:tcW w:w="1514" w:type="dxa"/>
            <w:noWrap w:val="0"/>
            <w:vAlign w:val="center"/>
          </w:tcPr>
          <w:p w14:paraId="6C69C1C5">
            <w:pPr>
              <w:widowControl/>
              <w:jc w:val="center"/>
              <w:rPr>
                <w:rFonts w:hint="eastAsia" w:ascii="宋体" w:hAnsi="宋体" w:cs="宋体"/>
                <w:bCs/>
                <w:sz w:val="21"/>
                <w:lang w:eastAsia="en-US" w:bidi="ar"/>
              </w:rPr>
            </w:pPr>
            <w:r>
              <w:rPr>
                <w:rFonts w:hint="eastAsia" w:ascii="宋体" w:hAnsi="宋体" w:cs="宋体"/>
                <w:bCs/>
                <w:sz w:val="21"/>
                <w:lang w:bidi="ar"/>
              </w:rPr>
              <w:t>111.693330993</w:t>
            </w:r>
          </w:p>
        </w:tc>
        <w:tc>
          <w:tcPr>
            <w:tcW w:w="1473" w:type="dxa"/>
            <w:noWrap w:val="0"/>
            <w:vAlign w:val="center"/>
          </w:tcPr>
          <w:p w14:paraId="620F94B5">
            <w:pPr>
              <w:widowControl/>
              <w:jc w:val="center"/>
              <w:rPr>
                <w:rFonts w:hint="eastAsia" w:ascii="宋体" w:hAnsi="宋体" w:cs="宋体"/>
                <w:bCs/>
                <w:sz w:val="21"/>
                <w:lang w:eastAsia="en-US" w:bidi="ar"/>
              </w:rPr>
            </w:pPr>
            <w:r>
              <w:rPr>
                <w:rFonts w:hint="eastAsia" w:ascii="宋体" w:hAnsi="宋体" w:cs="宋体"/>
                <w:bCs/>
                <w:sz w:val="21"/>
                <w:lang w:bidi="ar"/>
              </w:rPr>
              <w:t>29.035011144</w:t>
            </w:r>
          </w:p>
        </w:tc>
        <w:tc>
          <w:tcPr>
            <w:tcW w:w="959" w:type="dxa"/>
            <w:noWrap w:val="0"/>
            <w:vAlign w:val="center"/>
          </w:tcPr>
          <w:p w14:paraId="4CF5EED9">
            <w:pPr>
              <w:widowControl/>
              <w:jc w:val="center"/>
              <w:rPr>
                <w:rFonts w:hint="eastAsia" w:ascii="宋体" w:hAnsi="宋体" w:cs="宋体"/>
                <w:bCs/>
                <w:sz w:val="21"/>
                <w:lang w:bidi="ar"/>
              </w:rPr>
            </w:pPr>
            <w:r>
              <w:rPr>
                <w:rFonts w:hint="eastAsia" w:ascii="宋体" w:hAnsi="宋体" w:cs="宋体"/>
                <w:bCs/>
                <w:sz w:val="21"/>
                <w:lang w:bidi="ar"/>
              </w:rPr>
              <w:t>665.6</w:t>
            </w:r>
          </w:p>
        </w:tc>
        <w:tc>
          <w:tcPr>
            <w:tcW w:w="852" w:type="dxa"/>
            <w:noWrap w:val="0"/>
            <w:vAlign w:val="center"/>
          </w:tcPr>
          <w:p w14:paraId="1CE7E562">
            <w:pPr>
              <w:widowControl/>
              <w:jc w:val="center"/>
              <w:rPr>
                <w:rFonts w:hint="eastAsia" w:ascii="宋体" w:hAnsi="宋体" w:cs="宋体"/>
                <w:bCs/>
                <w:sz w:val="21"/>
                <w:lang w:bidi="ar"/>
              </w:rPr>
            </w:pPr>
            <w:r>
              <w:rPr>
                <w:rFonts w:hint="eastAsia" w:ascii="宋体" w:hAnsi="宋体" w:cs="宋体"/>
                <w:bCs/>
                <w:sz w:val="21"/>
                <w:lang w:bidi="ar"/>
              </w:rPr>
              <w:t>0.04</w:t>
            </w:r>
          </w:p>
        </w:tc>
        <w:tc>
          <w:tcPr>
            <w:tcW w:w="932" w:type="dxa"/>
            <w:noWrap w:val="0"/>
            <w:vAlign w:val="center"/>
          </w:tcPr>
          <w:p w14:paraId="3E7F8C81">
            <w:pPr>
              <w:widowControl/>
              <w:jc w:val="center"/>
              <w:rPr>
                <w:rFonts w:hint="eastAsia" w:ascii="宋体" w:hAnsi="宋体" w:cs="宋体"/>
                <w:bCs/>
                <w:sz w:val="21"/>
                <w:lang w:bidi="ar"/>
              </w:rPr>
            </w:pPr>
            <w:r>
              <w:rPr>
                <w:rFonts w:hint="eastAsia" w:ascii="宋体" w:hAnsi="宋体" w:cs="宋体"/>
                <w:bCs/>
                <w:sz w:val="21"/>
                <w:lang w:bidi="ar"/>
              </w:rPr>
              <w:t>0.01</w:t>
            </w:r>
          </w:p>
        </w:tc>
        <w:tc>
          <w:tcPr>
            <w:tcW w:w="825" w:type="dxa"/>
            <w:noWrap w:val="0"/>
            <w:vAlign w:val="center"/>
          </w:tcPr>
          <w:p w14:paraId="37B7A8E6">
            <w:pPr>
              <w:widowControl/>
              <w:jc w:val="center"/>
              <w:rPr>
                <w:rFonts w:hint="eastAsia" w:ascii="宋体" w:hAnsi="宋体" w:cs="宋体"/>
                <w:bCs/>
                <w:sz w:val="21"/>
                <w:lang w:bidi="ar"/>
              </w:rPr>
            </w:pPr>
            <w:r>
              <w:rPr>
                <w:rFonts w:hint="eastAsia" w:ascii="宋体" w:hAnsi="宋体" w:cs="宋体"/>
                <w:bCs/>
                <w:sz w:val="21"/>
                <w:lang w:bidi="ar"/>
              </w:rPr>
              <w:t>0</w:t>
            </w:r>
          </w:p>
        </w:tc>
        <w:tc>
          <w:tcPr>
            <w:tcW w:w="716" w:type="dxa"/>
            <w:noWrap w:val="0"/>
            <w:vAlign w:val="center"/>
          </w:tcPr>
          <w:p w14:paraId="74D64314">
            <w:pPr>
              <w:widowControl/>
              <w:jc w:val="center"/>
              <w:rPr>
                <w:rFonts w:hint="eastAsia" w:ascii="宋体" w:hAnsi="宋体" w:cs="宋体"/>
                <w:bCs/>
                <w:sz w:val="21"/>
                <w:lang w:bidi="ar"/>
              </w:rPr>
            </w:pPr>
            <w:r>
              <w:rPr>
                <w:rFonts w:hint="eastAsia" w:ascii="宋体" w:hAnsi="宋体" w:cs="宋体"/>
                <w:bCs/>
                <w:sz w:val="21"/>
                <w:lang w:bidi="ar"/>
              </w:rPr>
              <w:t>0</w:t>
            </w:r>
          </w:p>
        </w:tc>
        <w:tc>
          <w:tcPr>
            <w:tcW w:w="825" w:type="dxa"/>
            <w:noWrap w:val="0"/>
            <w:vAlign w:val="center"/>
          </w:tcPr>
          <w:p w14:paraId="4CDB5B7C">
            <w:pPr>
              <w:widowControl/>
              <w:jc w:val="center"/>
              <w:rPr>
                <w:rFonts w:hint="eastAsia" w:ascii="宋体" w:hAnsi="宋体" w:cs="宋体"/>
                <w:bCs/>
                <w:sz w:val="21"/>
                <w:lang w:bidi="ar"/>
              </w:rPr>
            </w:pPr>
            <w:r>
              <w:rPr>
                <w:rFonts w:hint="eastAsia" w:ascii="宋体" w:hAnsi="宋体" w:cs="宋体"/>
                <w:bCs/>
                <w:sz w:val="21"/>
                <w:lang w:bidi="ar"/>
              </w:rPr>
              <w:t>0</w:t>
            </w:r>
          </w:p>
        </w:tc>
        <w:tc>
          <w:tcPr>
            <w:tcW w:w="1341" w:type="dxa"/>
            <w:noWrap w:val="0"/>
            <w:vAlign w:val="center"/>
          </w:tcPr>
          <w:p w14:paraId="315A3CA6">
            <w:pPr>
              <w:widowControl/>
              <w:jc w:val="center"/>
              <w:rPr>
                <w:rFonts w:hint="eastAsia" w:ascii="宋体" w:hAnsi="宋体" w:cs="宋体"/>
                <w:bCs/>
                <w:sz w:val="21"/>
                <w:lang w:eastAsia="en-US" w:bidi="ar"/>
              </w:rPr>
            </w:pPr>
            <w:r>
              <w:rPr>
                <w:rFonts w:hint="eastAsia" w:ascii="宋体" w:hAnsi="宋体" w:cs="宋体"/>
                <w:bCs/>
                <w:sz w:val="21"/>
                <w:lang w:bidi="ar"/>
              </w:rPr>
              <w:t>/</w:t>
            </w:r>
          </w:p>
        </w:tc>
        <w:tc>
          <w:tcPr>
            <w:tcW w:w="1753" w:type="dxa"/>
            <w:noWrap w:val="0"/>
            <w:vAlign w:val="center"/>
          </w:tcPr>
          <w:p w14:paraId="5A2E4574">
            <w:pPr>
              <w:widowControl/>
              <w:jc w:val="center"/>
              <w:rPr>
                <w:rFonts w:hint="eastAsia" w:ascii="宋体" w:hAnsi="宋体" w:cs="宋体"/>
                <w:bCs/>
                <w:sz w:val="21"/>
                <w:lang w:bidi="ar"/>
              </w:rPr>
            </w:pPr>
            <w:r>
              <w:rPr>
                <w:rFonts w:hint="eastAsia" w:ascii="宋体" w:hAnsi="宋体" w:cs="宋体"/>
                <w:bCs/>
                <w:sz w:val="21"/>
                <w:lang w:bidi="ar"/>
              </w:rPr>
              <w:t>一般固废2.8</w:t>
            </w:r>
          </w:p>
        </w:tc>
        <w:tc>
          <w:tcPr>
            <w:tcW w:w="881" w:type="dxa"/>
            <w:noWrap w:val="0"/>
            <w:vAlign w:val="center"/>
          </w:tcPr>
          <w:p w14:paraId="068B8BEB">
            <w:pPr>
              <w:widowControl/>
              <w:jc w:val="center"/>
              <w:rPr>
                <w:rFonts w:hint="eastAsia" w:ascii="宋体" w:hAnsi="宋体" w:cs="宋体"/>
                <w:bCs/>
                <w:sz w:val="21"/>
                <w:lang w:eastAsia="en-US" w:bidi="ar"/>
              </w:rPr>
            </w:pPr>
            <w:r>
              <w:rPr>
                <w:rFonts w:hint="eastAsia" w:ascii="宋体" w:hAnsi="宋体" w:cs="宋体"/>
                <w:bCs/>
                <w:sz w:val="21"/>
                <w:lang w:bidi="ar"/>
              </w:rPr>
              <w:t>已投产</w:t>
            </w:r>
          </w:p>
        </w:tc>
      </w:tr>
      <w:tr w14:paraId="09485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9" w:type="dxa"/>
            <w:noWrap w:val="0"/>
            <w:vAlign w:val="center"/>
          </w:tcPr>
          <w:p w14:paraId="09EE9F74">
            <w:pPr>
              <w:widowControl/>
              <w:jc w:val="center"/>
              <w:rPr>
                <w:rFonts w:hint="eastAsia" w:ascii="宋体" w:hAnsi="宋体" w:cs="宋体"/>
                <w:bCs/>
                <w:sz w:val="21"/>
                <w:lang w:eastAsia="en-US" w:bidi="ar"/>
              </w:rPr>
            </w:pPr>
            <w:r>
              <w:rPr>
                <w:rFonts w:hint="eastAsia" w:ascii="宋体" w:hAnsi="宋体" w:cs="宋体"/>
                <w:bCs/>
                <w:sz w:val="21"/>
                <w:lang w:bidi="ar"/>
              </w:rPr>
              <w:t>49</w:t>
            </w:r>
          </w:p>
        </w:tc>
        <w:tc>
          <w:tcPr>
            <w:tcW w:w="1731" w:type="dxa"/>
            <w:noWrap w:val="0"/>
            <w:vAlign w:val="center"/>
          </w:tcPr>
          <w:p w14:paraId="4B72253B">
            <w:pPr>
              <w:widowControl/>
              <w:jc w:val="center"/>
              <w:rPr>
                <w:rFonts w:hint="eastAsia" w:ascii="宋体" w:hAnsi="宋体" w:cs="宋体"/>
                <w:bCs/>
                <w:sz w:val="21"/>
                <w:lang w:eastAsia="en-US" w:bidi="ar"/>
              </w:rPr>
            </w:pPr>
            <w:r>
              <w:rPr>
                <w:rFonts w:hint="eastAsia" w:ascii="宋体" w:hAnsi="宋体" w:cs="宋体"/>
                <w:bCs/>
                <w:sz w:val="21"/>
                <w:lang w:bidi="ar"/>
              </w:rPr>
              <w:t>惠东森食品</w:t>
            </w:r>
          </w:p>
        </w:tc>
        <w:tc>
          <w:tcPr>
            <w:tcW w:w="1514" w:type="dxa"/>
            <w:noWrap w:val="0"/>
            <w:vAlign w:val="center"/>
          </w:tcPr>
          <w:p w14:paraId="2C1865CA">
            <w:pPr>
              <w:widowControl/>
              <w:jc w:val="center"/>
              <w:rPr>
                <w:rFonts w:hint="eastAsia" w:ascii="宋体" w:hAnsi="宋体" w:cs="宋体"/>
                <w:bCs/>
                <w:sz w:val="21"/>
                <w:lang w:eastAsia="en-US" w:bidi="ar"/>
              </w:rPr>
            </w:pPr>
            <w:r>
              <w:rPr>
                <w:rFonts w:hint="eastAsia" w:ascii="宋体" w:hAnsi="宋体" w:cs="宋体"/>
                <w:bCs/>
                <w:sz w:val="21"/>
                <w:lang w:bidi="ar"/>
              </w:rPr>
              <w:t>111.850845491</w:t>
            </w:r>
          </w:p>
        </w:tc>
        <w:tc>
          <w:tcPr>
            <w:tcW w:w="1473" w:type="dxa"/>
            <w:noWrap w:val="0"/>
            <w:vAlign w:val="center"/>
          </w:tcPr>
          <w:p w14:paraId="5F767FC5">
            <w:pPr>
              <w:widowControl/>
              <w:jc w:val="center"/>
              <w:rPr>
                <w:rFonts w:hint="eastAsia" w:ascii="宋体" w:hAnsi="宋体" w:cs="宋体"/>
                <w:bCs/>
                <w:sz w:val="21"/>
                <w:lang w:eastAsia="en-US" w:bidi="ar"/>
              </w:rPr>
            </w:pPr>
            <w:r>
              <w:rPr>
                <w:rFonts w:hint="eastAsia" w:ascii="宋体" w:hAnsi="宋体" w:cs="宋体"/>
                <w:bCs/>
                <w:sz w:val="21"/>
                <w:lang w:bidi="ar"/>
              </w:rPr>
              <w:t>29.576047362</w:t>
            </w:r>
          </w:p>
        </w:tc>
        <w:tc>
          <w:tcPr>
            <w:tcW w:w="959" w:type="dxa"/>
            <w:noWrap w:val="0"/>
            <w:vAlign w:val="center"/>
          </w:tcPr>
          <w:p w14:paraId="5121D819">
            <w:pPr>
              <w:widowControl/>
              <w:jc w:val="center"/>
              <w:rPr>
                <w:rFonts w:hint="eastAsia" w:ascii="宋体" w:hAnsi="宋体" w:cs="宋体"/>
                <w:bCs/>
                <w:sz w:val="21"/>
                <w:lang w:eastAsia="en-US" w:bidi="ar"/>
              </w:rPr>
            </w:pPr>
            <w:r>
              <w:rPr>
                <w:rFonts w:hint="eastAsia" w:ascii="宋体" w:hAnsi="宋体" w:cs="宋体"/>
                <w:bCs/>
                <w:sz w:val="21"/>
                <w:lang w:bidi="ar"/>
              </w:rPr>
              <w:t>151.2</w:t>
            </w:r>
          </w:p>
        </w:tc>
        <w:tc>
          <w:tcPr>
            <w:tcW w:w="852" w:type="dxa"/>
            <w:noWrap w:val="0"/>
            <w:vAlign w:val="center"/>
          </w:tcPr>
          <w:p w14:paraId="2A388161">
            <w:pPr>
              <w:widowControl/>
              <w:jc w:val="center"/>
              <w:rPr>
                <w:rFonts w:hint="eastAsia" w:ascii="宋体" w:hAnsi="宋体" w:cs="宋体"/>
                <w:bCs/>
                <w:sz w:val="21"/>
                <w:lang w:eastAsia="en-US" w:bidi="ar"/>
              </w:rPr>
            </w:pPr>
            <w:r>
              <w:rPr>
                <w:rFonts w:hint="eastAsia" w:ascii="宋体" w:hAnsi="宋体" w:cs="宋体"/>
                <w:bCs/>
                <w:sz w:val="21"/>
                <w:lang w:bidi="ar"/>
              </w:rPr>
              <w:t>0.039</w:t>
            </w:r>
          </w:p>
        </w:tc>
        <w:tc>
          <w:tcPr>
            <w:tcW w:w="932" w:type="dxa"/>
            <w:noWrap w:val="0"/>
            <w:vAlign w:val="center"/>
          </w:tcPr>
          <w:p w14:paraId="215ECDD5">
            <w:pPr>
              <w:widowControl/>
              <w:jc w:val="center"/>
              <w:rPr>
                <w:rFonts w:hint="eastAsia" w:ascii="宋体" w:hAnsi="宋体" w:cs="宋体"/>
                <w:bCs/>
                <w:sz w:val="21"/>
                <w:lang w:eastAsia="en-US" w:bidi="ar"/>
              </w:rPr>
            </w:pPr>
            <w:r>
              <w:rPr>
                <w:rFonts w:hint="eastAsia" w:ascii="宋体" w:hAnsi="宋体" w:cs="宋体"/>
                <w:bCs/>
                <w:sz w:val="21"/>
                <w:lang w:bidi="ar"/>
              </w:rPr>
              <w:t>0.005</w:t>
            </w:r>
          </w:p>
        </w:tc>
        <w:tc>
          <w:tcPr>
            <w:tcW w:w="825" w:type="dxa"/>
            <w:noWrap w:val="0"/>
            <w:vAlign w:val="center"/>
          </w:tcPr>
          <w:p w14:paraId="74C86A44">
            <w:pPr>
              <w:widowControl/>
              <w:jc w:val="center"/>
              <w:rPr>
                <w:rFonts w:hint="eastAsia" w:ascii="宋体" w:hAnsi="宋体" w:cs="宋体"/>
                <w:bCs/>
                <w:sz w:val="21"/>
                <w:lang w:bidi="ar"/>
              </w:rPr>
            </w:pPr>
            <w:r>
              <w:rPr>
                <w:rFonts w:hint="eastAsia" w:ascii="宋体" w:hAnsi="宋体" w:cs="宋体"/>
                <w:bCs/>
                <w:sz w:val="21"/>
                <w:lang w:bidi="ar"/>
              </w:rPr>
              <w:t>0</w:t>
            </w:r>
          </w:p>
        </w:tc>
        <w:tc>
          <w:tcPr>
            <w:tcW w:w="716" w:type="dxa"/>
            <w:noWrap w:val="0"/>
            <w:vAlign w:val="center"/>
          </w:tcPr>
          <w:p w14:paraId="5A1B34E5">
            <w:pPr>
              <w:widowControl/>
              <w:jc w:val="center"/>
              <w:rPr>
                <w:rFonts w:hint="eastAsia" w:ascii="宋体" w:hAnsi="宋体" w:cs="宋体"/>
                <w:bCs/>
                <w:sz w:val="21"/>
                <w:lang w:bidi="ar"/>
              </w:rPr>
            </w:pPr>
            <w:r>
              <w:rPr>
                <w:rFonts w:hint="eastAsia" w:ascii="宋体" w:hAnsi="宋体" w:cs="宋体"/>
                <w:bCs/>
                <w:sz w:val="21"/>
                <w:lang w:bidi="ar"/>
              </w:rPr>
              <w:t>0</w:t>
            </w:r>
          </w:p>
        </w:tc>
        <w:tc>
          <w:tcPr>
            <w:tcW w:w="825" w:type="dxa"/>
            <w:noWrap w:val="0"/>
            <w:vAlign w:val="center"/>
          </w:tcPr>
          <w:p w14:paraId="12CDCF0E">
            <w:pPr>
              <w:widowControl/>
              <w:jc w:val="center"/>
              <w:rPr>
                <w:rFonts w:hint="eastAsia" w:ascii="宋体" w:hAnsi="宋体" w:cs="宋体"/>
                <w:bCs/>
                <w:sz w:val="21"/>
                <w:lang w:bidi="ar"/>
              </w:rPr>
            </w:pPr>
            <w:r>
              <w:rPr>
                <w:rFonts w:hint="eastAsia" w:ascii="宋体" w:hAnsi="宋体" w:cs="宋体"/>
                <w:bCs/>
                <w:sz w:val="21"/>
                <w:lang w:bidi="ar"/>
              </w:rPr>
              <w:t>0.536</w:t>
            </w:r>
          </w:p>
        </w:tc>
        <w:tc>
          <w:tcPr>
            <w:tcW w:w="1341" w:type="dxa"/>
            <w:noWrap w:val="0"/>
            <w:vAlign w:val="center"/>
          </w:tcPr>
          <w:p w14:paraId="6B540B8F">
            <w:pPr>
              <w:widowControl/>
              <w:jc w:val="center"/>
              <w:rPr>
                <w:rFonts w:hint="eastAsia" w:ascii="宋体" w:hAnsi="宋体" w:cs="宋体"/>
                <w:bCs/>
                <w:sz w:val="21"/>
                <w:lang w:eastAsia="en-US" w:bidi="ar"/>
              </w:rPr>
            </w:pPr>
            <w:r>
              <w:rPr>
                <w:rFonts w:hint="eastAsia" w:ascii="宋体" w:hAnsi="宋体" w:cs="宋体"/>
                <w:bCs/>
                <w:sz w:val="21"/>
                <w:lang w:bidi="ar"/>
              </w:rPr>
              <w:t>/</w:t>
            </w:r>
          </w:p>
        </w:tc>
        <w:tc>
          <w:tcPr>
            <w:tcW w:w="1753" w:type="dxa"/>
            <w:noWrap w:val="0"/>
            <w:vAlign w:val="center"/>
          </w:tcPr>
          <w:p w14:paraId="08F9DE7B">
            <w:pPr>
              <w:widowControl/>
              <w:jc w:val="center"/>
              <w:rPr>
                <w:rFonts w:hint="eastAsia" w:ascii="宋体" w:hAnsi="宋体" w:cs="宋体"/>
                <w:bCs/>
                <w:sz w:val="21"/>
                <w:lang w:bidi="ar"/>
              </w:rPr>
            </w:pPr>
            <w:r>
              <w:rPr>
                <w:rFonts w:hint="eastAsia" w:ascii="宋体" w:hAnsi="宋体" w:cs="宋体"/>
                <w:bCs/>
                <w:sz w:val="21"/>
                <w:lang w:bidi="ar"/>
              </w:rPr>
              <w:t>一般固废1.98</w:t>
            </w:r>
          </w:p>
        </w:tc>
        <w:tc>
          <w:tcPr>
            <w:tcW w:w="881" w:type="dxa"/>
            <w:noWrap w:val="0"/>
            <w:vAlign w:val="center"/>
          </w:tcPr>
          <w:p w14:paraId="0EC75B64">
            <w:pPr>
              <w:widowControl/>
              <w:jc w:val="center"/>
              <w:rPr>
                <w:rFonts w:hint="eastAsia" w:ascii="宋体" w:hAnsi="宋体" w:cs="宋体"/>
                <w:bCs/>
                <w:sz w:val="21"/>
                <w:lang w:eastAsia="en-US" w:bidi="ar"/>
              </w:rPr>
            </w:pPr>
            <w:r>
              <w:rPr>
                <w:rFonts w:hint="eastAsia" w:ascii="宋体" w:hAnsi="宋体" w:cs="宋体"/>
                <w:bCs/>
                <w:sz w:val="21"/>
                <w:lang w:bidi="ar"/>
              </w:rPr>
              <w:t>已投产</w:t>
            </w:r>
          </w:p>
        </w:tc>
      </w:tr>
      <w:tr w14:paraId="74C76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9" w:type="dxa"/>
            <w:noWrap w:val="0"/>
            <w:vAlign w:val="center"/>
          </w:tcPr>
          <w:p w14:paraId="1DEACF3A">
            <w:pPr>
              <w:widowControl/>
              <w:jc w:val="center"/>
              <w:rPr>
                <w:rFonts w:hint="eastAsia" w:ascii="宋体" w:hAnsi="宋体" w:cs="宋体"/>
                <w:bCs/>
                <w:sz w:val="21"/>
                <w:lang w:eastAsia="en-US" w:bidi="ar"/>
              </w:rPr>
            </w:pPr>
            <w:r>
              <w:rPr>
                <w:rFonts w:hint="eastAsia" w:ascii="宋体" w:hAnsi="宋体" w:cs="宋体"/>
                <w:bCs/>
                <w:sz w:val="21"/>
                <w:lang w:bidi="ar"/>
              </w:rPr>
              <w:t>50</w:t>
            </w:r>
          </w:p>
        </w:tc>
        <w:tc>
          <w:tcPr>
            <w:tcW w:w="1731" w:type="dxa"/>
            <w:noWrap w:val="0"/>
            <w:vAlign w:val="center"/>
          </w:tcPr>
          <w:p w14:paraId="7CD89B3C">
            <w:pPr>
              <w:widowControl/>
              <w:jc w:val="center"/>
              <w:rPr>
                <w:rFonts w:hint="eastAsia" w:ascii="宋体" w:hAnsi="宋体" w:cs="宋体"/>
                <w:bCs/>
                <w:sz w:val="21"/>
                <w:lang w:bidi="ar"/>
              </w:rPr>
            </w:pPr>
            <w:r>
              <w:rPr>
                <w:rFonts w:hint="eastAsia" w:ascii="宋体" w:hAnsi="宋体" w:cs="宋体"/>
                <w:bCs/>
                <w:sz w:val="21"/>
                <w:lang w:bidi="ar"/>
              </w:rPr>
              <w:t>湖南省万木汇生物质燃料有限公司</w:t>
            </w:r>
          </w:p>
        </w:tc>
        <w:tc>
          <w:tcPr>
            <w:tcW w:w="1514" w:type="dxa"/>
            <w:noWrap w:val="0"/>
            <w:vAlign w:val="center"/>
          </w:tcPr>
          <w:p w14:paraId="2281BDF3">
            <w:pPr>
              <w:widowControl/>
              <w:jc w:val="center"/>
              <w:rPr>
                <w:rFonts w:hint="eastAsia" w:ascii="宋体" w:hAnsi="宋体" w:cs="宋体"/>
                <w:bCs/>
                <w:sz w:val="21"/>
                <w:lang w:eastAsia="en-US" w:bidi="ar"/>
              </w:rPr>
            </w:pPr>
            <w:r>
              <w:rPr>
                <w:rFonts w:hint="eastAsia" w:ascii="宋体" w:hAnsi="宋体" w:cs="宋体"/>
                <w:bCs/>
                <w:sz w:val="21"/>
                <w:lang w:bidi="ar"/>
              </w:rPr>
              <w:t>111.874110578</w:t>
            </w:r>
          </w:p>
        </w:tc>
        <w:tc>
          <w:tcPr>
            <w:tcW w:w="1473" w:type="dxa"/>
            <w:noWrap w:val="0"/>
            <w:vAlign w:val="center"/>
          </w:tcPr>
          <w:p w14:paraId="44E1D6E0">
            <w:pPr>
              <w:widowControl/>
              <w:jc w:val="center"/>
              <w:rPr>
                <w:rFonts w:hint="eastAsia" w:ascii="宋体" w:hAnsi="宋体" w:cs="宋体"/>
                <w:bCs/>
                <w:sz w:val="21"/>
                <w:lang w:eastAsia="en-US" w:bidi="ar"/>
              </w:rPr>
            </w:pPr>
            <w:r>
              <w:rPr>
                <w:rFonts w:hint="eastAsia" w:ascii="宋体" w:hAnsi="宋体" w:cs="宋体"/>
                <w:bCs/>
                <w:sz w:val="21"/>
                <w:lang w:bidi="ar"/>
              </w:rPr>
              <w:t>29.563426385</w:t>
            </w:r>
          </w:p>
        </w:tc>
        <w:tc>
          <w:tcPr>
            <w:tcW w:w="959" w:type="dxa"/>
            <w:noWrap w:val="0"/>
            <w:vAlign w:val="center"/>
          </w:tcPr>
          <w:p w14:paraId="6AECA5A4">
            <w:pPr>
              <w:widowControl/>
              <w:jc w:val="center"/>
              <w:rPr>
                <w:rFonts w:hint="eastAsia" w:ascii="宋体" w:hAnsi="宋体" w:cs="宋体"/>
                <w:bCs/>
                <w:sz w:val="21"/>
                <w:lang w:eastAsia="en-US" w:bidi="ar"/>
              </w:rPr>
            </w:pPr>
            <w:r>
              <w:rPr>
                <w:rFonts w:hint="eastAsia" w:ascii="宋体" w:hAnsi="宋体" w:cs="宋体"/>
                <w:bCs/>
                <w:sz w:val="21"/>
                <w:lang w:bidi="ar"/>
              </w:rPr>
              <w:t>10100</w:t>
            </w:r>
          </w:p>
        </w:tc>
        <w:tc>
          <w:tcPr>
            <w:tcW w:w="852" w:type="dxa"/>
            <w:noWrap w:val="0"/>
            <w:vAlign w:val="center"/>
          </w:tcPr>
          <w:p w14:paraId="3FFFC796">
            <w:pPr>
              <w:widowControl/>
              <w:jc w:val="center"/>
              <w:rPr>
                <w:rFonts w:hint="eastAsia" w:ascii="宋体" w:hAnsi="宋体" w:cs="宋体"/>
                <w:bCs/>
                <w:sz w:val="21"/>
                <w:lang w:bidi="ar"/>
              </w:rPr>
            </w:pPr>
            <w:r>
              <w:rPr>
                <w:rFonts w:hint="eastAsia" w:ascii="宋体" w:hAnsi="宋体" w:cs="宋体"/>
                <w:bCs/>
                <w:sz w:val="21"/>
                <w:lang w:bidi="ar"/>
              </w:rPr>
              <w:t>1.01</w:t>
            </w:r>
          </w:p>
        </w:tc>
        <w:tc>
          <w:tcPr>
            <w:tcW w:w="932" w:type="dxa"/>
            <w:noWrap w:val="0"/>
            <w:vAlign w:val="center"/>
          </w:tcPr>
          <w:p w14:paraId="3D25740B">
            <w:pPr>
              <w:widowControl/>
              <w:jc w:val="center"/>
              <w:rPr>
                <w:rFonts w:hint="eastAsia" w:ascii="宋体" w:hAnsi="宋体" w:cs="宋体"/>
                <w:bCs/>
                <w:sz w:val="21"/>
                <w:lang w:eastAsia="en-US" w:bidi="ar"/>
              </w:rPr>
            </w:pPr>
            <w:r>
              <w:rPr>
                <w:rFonts w:hint="eastAsia" w:ascii="宋体" w:hAnsi="宋体" w:cs="宋体"/>
                <w:bCs/>
                <w:sz w:val="21"/>
                <w:lang w:bidi="ar"/>
              </w:rPr>
              <w:t>0.153</w:t>
            </w:r>
          </w:p>
        </w:tc>
        <w:tc>
          <w:tcPr>
            <w:tcW w:w="825" w:type="dxa"/>
            <w:noWrap w:val="0"/>
            <w:vAlign w:val="center"/>
          </w:tcPr>
          <w:p w14:paraId="2AB3BFCB">
            <w:pPr>
              <w:widowControl/>
              <w:jc w:val="center"/>
              <w:rPr>
                <w:rFonts w:hint="eastAsia" w:ascii="宋体" w:hAnsi="宋体" w:cs="宋体"/>
                <w:bCs/>
                <w:sz w:val="21"/>
                <w:lang w:bidi="ar"/>
              </w:rPr>
            </w:pPr>
            <w:r>
              <w:rPr>
                <w:rFonts w:hint="eastAsia" w:ascii="宋体" w:hAnsi="宋体" w:cs="宋体"/>
                <w:bCs/>
                <w:sz w:val="21"/>
                <w:lang w:bidi="ar"/>
              </w:rPr>
              <w:t>0.81</w:t>
            </w:r>
          </w:p>
        </w:tc>
        <w:tc>
          <w:tcPr>
            <w:tcW w:w="716" w:type="dxa"/>
            <w:noWrap w:val="0"/>
            <w:vAlign w:val="center"/>
          </w:tcPr>
          <w:p w14:paraId="5B91E7DA">
            <w:pPr>
              <w:widowControl/>
              <w:jc w:val="center"/>
              <w:rPr>
                <w:rFonts w:hint="eastAsia" w:ascii="宋体" w:hAnsi="宋体" w:cs="宋体"/>
                <w:bCs/>
                <w:sz w:val="21"/>
                <w:lang w:bidi="ar"/>
              </w:rPr>
            </w:pPr>
            <w:r>
              <w:rPr>
                <w:rFonts w:hint="eastAsia" w:ascii="宋体" w:hAnsi="宋体" w:cs="宋体"/>
                <w:bCs/>
                <w:sz w:val="21"/>
                <w:lang w:bidi="ar"/>
              </w:rPr>
              <w:t>0.612</w:t>
            </w:r>
          </w:p>
        </w:tc>
        <w:tc>
          <w:tcPr>
            <w:tcW w:w="825" w:type="dxa"/>
            <w:noWrap w:val="0"/>
            <w:vAlign w:val="center"/>
          </w:tcPr>
          <w:p w14:paraId="0BA831AE">
            <w:pPr>
              <w:widowControl/>
              <w:jc w:val="center"/>
              <w:rPr>
                <w:rFonts w:hint="eastAsia" w:ascii="宋体" w:hAnsi="宋体" w:cs="宋体"/>
                <w:bCs/>
                <w:sz w:val="21"/>
                <w:lang w:bidi="ar"/>
              </w:rPr>
            </w:pPr>
            <w:r>
              <w:rPr>
                <w:rFonts w:hint="eastAsia" w:ascii="宋体" w:hAnsi="宋体" w:cs="宋体"/>
                <w:bCs/>
                <w:sz w:val="21"/>
                <w:lang w:bidi="ar"/>
              </w:rPr>
              <w:t>13.35</w:t>
            </w:r>
          </w:p>
        </w:tc>
        <w:tc>
          <w:tcPr>
            <w:tcW w:w="1341" w:type="dxa"/>
            <w:noWrap w:val="0"/>
            <w:vAlign w:val="center"/>
          </w:tcPr>
          <w:p w14:paraId="037FED2F">
            <w:pPr>
              <w:widowControl/>
              <w:jc w:val="center"/>
              <w:rPr>
                <w:rFonts w:hint="eastAsia" w:ascii="宋体" w:hAnsi="宋体" w:cs="宋体"/>
                <w:bCs/>
                <w:sz w:val="21"/>
                <w:lang w:eastAsia="en-US" w:bidi="ar"/>
              </w:rPr>
            </w:pPr>
            <w:r>
              <w:rPr>
                <w:rFonts w:hint="eastAsia" w:ascii="宋体" w:hAnsi="宋体" w:cs="宋体"/>
                <w:bCs/>
                <w:sz w:val="21"/>
                <w:lang w:bidi="ar"/>
              </w:rPr>
              <w:t>/</w:t>
            </w:r>
          </w:p>
        </w:tc>
        <w:tc>
          <w:tcPr>
            <w:tcW w:w="1753" w:type="dxa"/>
            <w:noWrap w:val="0"/>
            <w:vAlign w:val="center"/>
          </w:tcPr>
          <w:p w14:paraId="49A6D8F6">
            <w:pPr>
              <w:widowControl/>
              <w:jc w:val="center"/>
              <w:rPr>
                <w:rFonts w:hint="eastAsia" w:ascii="宋体" w:hAnsi="宋体" w:cs="宋体"/>
                <w:bCs/>
                <w:sz w:val="21"/>
                <w:lang w:bidi="ar"/>
              </w:rPr>
            </w:pPr>
            <w:r>
              <w:rPr>
                <w:rFonts w:hint="eastAsia" w:ascii="宋体" w:hAnsi="宋体" w:cs="宋体"/>
                <w:bCs/>
                <w:sz w:val="21"/>
                <w:lang w:bidi="ar"/>
              </w:rPr>
              <w:t>一般固废160</w:t>
            </w:r>
          </w:p>
        </w:tc>
        <w:tc>
          <w:tcPr>
            <w:tcW w:w="881" w:type="dxa"/>
            <w:noWrap w:val="0"/>
            <w:vAlign w:val="center"/>
          </w:tcPr>
          <w:p w14:paraId="055C4C92">
            <w:pPr>
              <w:widowControl/>
              <w:jc w:val="center"/>
              <w:rPr>
                <w:rFonts w:hint="eastAsia" w:ascii="宋体" w:hAnsi="宋体" w:cs="宋体"/>
                <w:bCs/>
                <w:sz w:val="21"/>
                <w:lang w:eastAsia="en-US" w:bidi="ar"/>
              </w:rPr>
            </w:pPr>
            <w:r>
              <w:rPr>
                <w:rFonts w:hint="eastAsia" w:ascii="宋体" w:hAnsi="宋体" w:cs="宋体"/>
                <w:bCs/>
                <w:sz w:val="21"/>
                <w:lang w:bidi="ar"/>
              </w:rPr>
              <w:t>已投产</w:t>
            </w:r>
          </w:p>
        </w:tc>
      </w:tr>
      <w:tr w14:paraId="0CD8F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9" w:type="dxa"/>
            <w:noWrap w:val="0"/>
            <w:vAlign w:val="center"/>
          </w:tcPr>
          <w:p w14:paraId="7A49B286">
            <w:pPr>
              <w:widowControl/>
              <w:jc w:val="center"/>
              <w:rPr>
                <w:rFonts w:hint="eastAsia" w:ascii="宋体" w:hAnsi="宋体" w:cs="宋体"/>
                <w:bCs/>
                <w:sz w:val="21"/>
                <w:lang w:eastAsia="en-US" w:bidi="ar"/>
              </w:rPr>
            </w:pPr>
            <w:r>
              <w:rPr>
                <w:rFonts w:hint="eastAsia" w:ascii="宋体" w:hAnsi="宋体" w:cs="宋体"/>
                <w:bCs/>
                <w:sz w:val="21"/>
                <w:lang w:bidi="ar"/>
              </w:rPr>
              <w:t>51</w:t>
            </w:r>
          </w:p>
        </w:tc>
        <w:tc>
          <w:tcPr>
            <w:tcW w:w="1731" w:type="dxa"/>
            <w:noWrap w:val="0"/>
            <w:vAlign w:val="center"/>
          </w:tcPr>
          <w:p w14:paraId="2E55A688">
            <w:pPr>
              <w:widowControl/>
              <w:jc w:val="center"/>
              <w:rPr>
                <w:rFonts w:hint="eastAsia" w:ascii="宋体" w:hAnsi="宋体" w:cs="宋体"/>
                <w:bCs/>
                <w:sz w:val="21"/>
                <w:lang w:bidi="ar"/>
              </w:rPr>
            </w:pPr>
            <w:r>
              <w:rPr>
                <w:rFonts w:hint="eastAsia" w:ascii="宋体" w:hAnsi="宋体" w:cs="宋体"/>
                <w:bCs/>
                <w:sz w:val="21"/>
                <w:lang w:bidi="ar"/>
              </w:rPr>
              <w:t>湖南天泰天润新能源科技真限公司</w:t>
            </w:r>
          </w:p>
        </w:tc>
        <w:tc>
          <w:tcPr>
            <w:tcW w:w="1514" w:type="dxa"/>
            <w:noWrap w:val="0"/>
            <w:vAlign w:val="center"/>
          </w:tcPr>
          <w:p w14:paraId="6791CBE5">
            <w:pPr>
              <w:widowControl/>
              <w:jc w:val="center"/>
              <w:rPr>
                <w:rFonts w:hint="eastAsia" w:ascii="宋体" w:hAnsi="宋体" w:cs="宋体"/>
                <w:bCs/>
                <w:sz w:val="21"/>
                <w:lang w:eastAsia="en-US" w:bidi="ar"/>
              </w:rPr>
            </w:pPr>
            <w:r>
              <w:rPr>
                <w:rFonts w:hint="eastAsia" w:ascii="宋体" w:hAnsi="宋体" w:cs="宋体"/>
                <w:bCs/>
                <w:sz w:val="21"/>
                <w:lang w:bidi="ar"/>
              </w:rPr>
              <w:t>111.852891171</w:t>
            </w:r>
          </w:p>
        </w:tc>
        <w:tc>
          <w:tcPr>
            <w:tcW w:w="1473" w:type="dxa"/>
            <w:noWrap w:val="0"/>
            <w:vAlign w:val="center"/>
          </w:tcPr>
          <w:p w14:paraId="1307035E">
            <w:pPr>
              <w:widowControl/>
              <w:jc w:val="center"/>
              <w:rPr>
                <w:rFonts w:hint="eastAsia" w:ascii="宋体" w:hAnsi="宋体" w:cs="宋体"/>
                <w:bCs/>
                <w:sz w:val="21"/>
                <w:lang w:eastAsia="en-US" w:bidi="ar"/>
              </w:rPr>
            </w:pPr>
            <w:r>
              <w:rPr>
                <w:rFonts w:hint="eastAsia" w:ascii="宋体" w:hAnsi="宋体" w:cs="宋体"/>
                <w:bCs/>
                <w:sz w:val="21"/>
                <w:lang w:bidi="ar"/>
              </w:rPr>
              <w:t>29.572116662</w:t>
            </w:r>
          </w:p>
        </w:tc>
        <w:tc>
          <w:tcPr>
            <w:tcW w:w="959" w:type="dxa"/>
            <w:noWrap w:val="0"/>
            <w:vAlign w:val="center"/>
          </w:tcPr>
          <w:p w14:paraId="0726AF01">
            <w:pPr>
              <w:widowControl/>
              <w:jc w:val="center"/>
              <w:rPr>
                <w:rFonts w:hint="eastAsia" w:ascii="宋体" w:hAnsi="宋体" w:cs="宋体"/>
                <w:bCs/>
                <w:sz w:val="21"/>
                <w:lang w:eastAsia="en-US" w:bidi="ar"/>
              </w:rPr>
            </w:pPr>
            <w:r>
              <w:rPr>
                <w:rFonts w:hint="eastAsia" w:ascii="宋体" w:hAnsi="宋体" w:cs="宋体"/>
                <w:bCs/>
                <w:sz w:val="21"/>
                <w:lang w:bidi="ar"/>
              </w:rPr>
              <w:t>78771.2</w:t>
            </w:r>
          </w:p>
        </w:tc>
        <w:tc>
          <w:tcPr>
            <w:tcW w:w="852" w:type="dxa"/>
            <w:noWrap w:val="0"/>
            <w:vAlign w:val="center"/>
          </w:tcPr>
          <w:p w14:paraId="3C80C5DC">
            <w:pPr>
              <w:widowControl/>
              <w:jc w:val="center"/>
              <w:rPr>
                <w:rFonts w:hint="eastAsia" w:ascii="宋体" w:hAnsi="宋体" w:cs="宋体"/>
                <w:bCs/>
                <w:sz w:val="21"/>
                <w:lang w:eastAsia="en-US" w:bidi="ar"/>
              </w:rPr>
            </w:pPr>
            <w:r>
              <w:rPr>
                <w:rFonts w:hint="eastAsia" w:ascii="宋体" w:hAnsi="宋体" w:cs="宋体"/>
                <w:bCs/>
                <w:sz w:val="21"/>
                <w:lang w:bidi="ar"/>
              </w:rPr>
              <w:t>0.87</w:t>
            </w:r>
          </w:p>
        </w:tc>
        <w:tc>
          <w:tcPr>
            <w:tcW w:w="932" w:type="dxa"/>
            <w:noWrap w:val="0"/>
            <w:vAlign w:val="center"/>
          </w:tcPr>
          <w:p w14:paraId="227AE81F">
            <w:pPr>
              <w:widowControl/>
              <w:jc w:val="center"/>
              <w:rPr>
                <w:rFonts w:hint="eastAsia" w:ascii="宋体" w:hAnsi="宋体" w:cs="宋体"/>
                <w:bCs/>
                <w:sz w:val="21"/>
                <w:lang w:bidi="ar"/>
              </w:rPr>
            </w:pPr>
            <w:r>
              <w:rPr>
                <w:rFonts w:hint="eastAsia" w:ascii="宋体" w:hAnsi="宋体" w:cs="宋体"/>
                <w:bCs/>
                <w:sz w:val="21"/>
                <w:lang w:bidi="ar"/>
              </w:rPr>
              <w:t>0.18</w:t>
            </w:r>
          </w:p>
        </w:tc>
        <w:tc>
          <w:tcPr>
            <w:tcW w:w="825" w:type="dxa"/>
            <w:noWrap w:val="0"/>
            <w:vAlign w:val="center"/>
          </w:tcPr>
          <w:p w14:paraId="74C7A23D">
            <w:pPr>
              <w:widowControl/>
              <w:jc w:val="center"/>
              <w:rPr>
                <w:rFonts w:hint="eastAsia" w:ascii="宋体" w:hAnsi="宋体" w:cs="宋体"/>
                <w:bCs/>
                <w:sz w:val="21"/>
                <w:lang w:bidi="ar"/>
              </w:rPr>
            </w:pPr>
            <w:r>
              <w:rPr>
                <w:rFonts w:hint="eastAsia" w:ascii="宋体" w:hAnsi="宋体" w:cs="宋体"/>
                <w:bCs/>
                <w:sz w:val="21"/>
                <w:lang w:bidi="ar"/>
              </w:rPr>
              <w:t>0</w:t>
            </w:r>
          </w:p>
        </w:tc>
        <w:tc>
          <w:tcPr>
            <w:tcW w:w="716" w:type="dxa"/>
            <w:noWrap w:val="0"/>
            <w:vAlign w:val="center"/>
          </w:tcPr>
          <w:p w14:paraId="107EA4CA">
            <w:pPr>
              <w:widowControl/>
              <w:jc w:val="center"/>
              <w:rPr>
                <w:rFonts w:hint="eastAsia" w:ascii="宋体" w:hAnsi="宋体" w:cs="宋体"/>
                <w:bCs/>
                <w:sz w:val="21"/>
                <w:lang w:bidi="ar"/>
              </w:rPr>
            </w:pPr>
            <w:r>
              <w:rPr>
                <w:rFonts w:hint="eastAsia" w:ascii="宋体" w:hAnsi="宋体" w:cs="宋体"/>
                <w:bCs/>
                <w:sz w:val="21"/>
                <w:lang w:bidi="ar"/>
              </w:rPr>
              <w:t>0</w:t>
            </w:r>
          </w:p>
        </w:tc>
        <w:tc>
          <w:tcPr>
            <w:tcW w:w="825" w:type="dxa"/>
            <w:noWrap w:val="0"/>
            <w:vAlign w:val="center"/>
          </w:tcPr>
          <w:p w14:paraId="3D86272C">
            <w:pPr>
              <w:widowControl/>
              <w:jc w:val="center"/>
              <w:rPr>
                <w:rFonts w:hint="eastAsia" w:ascii="宋体" w:hAnsi="宋体" w:cs="宋体"/>
                <w:bCs/>
                <w:sz w:val="21"/>
                <w:lang w:bidi="ar"/>
              </w:rPr>
            </w:pPr>
            <w:r>
              <w:rPr>
                <w:rFonts w:hint="eastAsia" w:ascii="宋体" w:hAnsi="宋体" w:cs="宋体"/>
                <w:bCs/>
                <w:sz w:val="21"/>
                <w:lang w:bidi="ar"/>
              </w:rPr>
              <w:t>0.03</w:t>
            </w:r>
          </w:p>
        </w:tc>
        <w:tc>
          <w:tcPr>
            <w:tcW w:w="1341" w:type="dxa"/>
            <w:noWrap w:val="0"/>
            <w:vAlign w:val="center"/>
          </w:tcPr>
          <w:p w14:paraId="46539F5C">
            <w:pPr>
              <w:widowControl/>
              <w:jc w:val="center"/>
              <w:rPr>
                <w:rFonts w:hint="eastAsia" w:ascii="宋体" w:hAnsi="宋体" w:cs="宋体"/>
                <w:bCs/>
                <w:sz w:val="21"/>
                <w:lang w:eastAsia="en-US" w:bidi="ar"/>
              </w:rPr>
            </w:pPr>
            <w:r>
              <w:rPr>
                <w:rFonts w:hint="eastAsia" w:ascii="宋体" w:hAnsi="宋体" w:cs="宋体"/>
                <w:bCs/>
                <w:sz w:val="21"/>
                <w:lang w:bidi="ar"/>
              </w:rPr>
              <w:t>/</w:t>
            </w:r>
          </w:p>
        </w:tc>
        <w:tc>
          <w:tcPr>
            <w:tcW w:w="1753" w:type="dxa"/>
            <w:noWrap w:val="0"/>
            <w:vAlign w:val="center"/>
          </w:tcPr>
          <w:p w14:paraId="18994690">
            <w:pPr>
              <w:widowControl/>
              <w:jc w:val="center"/>
              <w:rPr>
                <w:rFonts w:hint="eastAsia" w:ascii="宋体" w:hAnsi="宋体" w:cs="宋体"/>
                <w:bCs/>
                <w:sz w:val="21"/>
                <w:lang w:bidi="ar"/>
              </w:rPr>
            </w:pPr>
            <w:r>
              <w:rPr>
                <w:rFonts w:hint="eastAsia" w:ascii="宋体" w:hAnsi="宋体" w:cs="宋体"/>
                <w:bCs/>
                <w:sz w:val="21"/>
                <w:lang w:bidi="ar"/>
              </w:rPr>
              <w:t>一般固废4；危险固废（废包装）1.2</w:t>
            </w:r>
          </w:p>
        </w:tc>
        <w:tc>
          <w:tcPr>
            <w:tcW w:w="881" w:type="dxa"/>
            <w:noWrap w:val="0"/>
            <w:vAlign w:val="center"/>
          </w:tcPr>
          <w:p w14:paraId="40242B18">
            <w:pPr>
              <w:widowControl/>
              <w:jc w:val="center"/>
              <w:rPr>
                <w:rFonts w:hint="eastAsia" w:ascii="宋体" w:hAnsi="宋体" w:cs="宋体"/>
                <w:bCs/>
                <w:sz w:val="21"/>
                <w:lang w:eastAsia="en-US" w:bidi="ar"/>
              </w:rPr>
            </w:pPr>
            <w:r>
              <w:rPr>
                <w:rFonts w:hint="eastAsia" w:ascii="宋体" w:hAnsi="宋体" w:cs="宋体"/>
                <w:bCs/>
                <w:sz w:val="21"/>
                <w:lang w:bidi="ar"/>
              </w:rPr>
              <w:t>已投产</w:t>
            </w:r>
          </w:p>
        </w:tc>
      </w:tr>
      <w:tr w14:paraId="07116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9" w:type="dxa"/>
            <w:noWrap w:val="0"/>
            <w:vAlign w:val="center"/>
          </w:tcPr>
          <w:p w14:paraId="4A3BACD1">
            <w:pPr>
              <w:widowControl/>
              <w:jc w:val="center"/>
              <w:rPr>
                <w:rFonts w:hint="eastAsia" w:ascii="宋体" w:hAnsi="宋体" w:cs="宋体"/>
                <w:bCs/>
                <w:sz w:val="21"/>
                <w:lang w:bidi="ar"/>
              </w:rPr>
            </w:pPr>
            <w:r>
              <w:rPr>
                <w:rFonts w:hint="eastAsia" w:ascii="宋体" w:hAnsi="宋体" w:cs="宋体"/>
                <w:bCs/>
                <w:sz w:val="21"/>
                <w:lang w:bidi="ar"/>
              </w:rPr>
              <w:t>52</w:t>
            </w:r>
          </w:p>
        </w:tc>
        <w:tc>
          <w:tcPr>
            <w:tcW w:w="1731" w:type="dxa"/>
            <w:noWrap w:val="0"/>
            <w:vAlign w:val="center"/>
          </w:tcPr>
          <w:p w14:paraId="418EEA8B">
            <w:pPr>
              <w:widowControl/>
              <w:jc w:val="center"/>
              <w:rPr>
                <w:rFonts w:hint="eastAsia" w:ascii="宋体" w:hAnsi="宋体" w:cs="宋体"/>
                <w:bCs/>
                <w:sz w:val="21"/>
                <w:lang w:bidi="ar"/>
              </w:rPr>
            </w:pPr>
            <w:r>
              <w:rPr>
                <w:rFonts w:hint="eastAsia" w:ascii="宋体" w:hAnsi="宋体" w:cs="宋体"/>
                <w:bCs/>
                <w:sz w:val="21"/>
                <w:lang w:bidi="ar"/>
              </w:rPr>
              <w:t>广东溢多利热电公司</w:t>
            </w:r>
          </w:p>
        </w:tc>
        <w:tc>
          <w:tcPr>
            <w:tcW w:w="1514" w:type="dxa"/>
            <w:noWrap w:val="0"/>
            <w:vAlign w:val="center"/>
          </w:tcPr>
          <w:p w14:paraId="3CD54BB7">
            <w:pPr>
              <w:widowControl/>
              <w:jc w:val="center"/>
              <w:rPr>
                <w:rFonts w:hint="eastAsia" w:ascii="宋体" w:hAnsi="宋体" w:cs="宋体"/>
                <w:bCs/>
                <w:sz w:val="21"/>
                <w:lang w:eastAsia="en-US" w:bidi="ar"/>
              </w:rPr>
            </w:pPr>
            <w:r>
              <w:rPr>
                <w:rFonts w:hint="eastAsia" w:ascii="宋体" w:hAnsi="宋体" w:cs="宋体"/>
                <w:bCs/>
                <w:sz w:val="21"/>
                <w:lang w:bidi="ar"/>
              </w:rPr>
              <w:t>111.874110578</w:t>
            </w:r>
          </w:p>
        </w:tc>
        <w:tc>
          <w:tcPr>
            <w:tcW w:w="1473" w:type="dxa"/>
            <w:noWrap w:val="0"/>
            <w:vAlign w:val="center"/>
          </w:tcPr>
          <w:p w14:paraId="47AE3FAC">
            <w:pPr>
              <w:widowControl/>
              <w:jc w:val="center"/>
              <w:rPr>
                <w:rFonts w:hint="eastAsia" w:ascii="宋体" w:hAnsi="宋体" w:cs="宋体"/>
                <w:bCs/>
                <w:sz w:val="21"/>
                <w:lang w:eastAsia="en-US" w:bidi="ar"/>
              </w:rPr>
            </w:pPr>
            <w:r>
              <w:rPr>
                <w:rFonts w:hint="eastAsia" w:ascii="宋体" w:hAnsi="宋体" w:cs="宋体"/>
                <w:bCs/>
                <w:sz w:val="21"/>
                <w:lang w:bidi="ar"/>
              </w:rPr>
              <w:t>29.563426385</w:t>
            </w:r>
          </w:p>
        </w:tc>
        <w:tc>
          <w:tcPr>
            <w:tcW w:w="959" w:type="dxa"/>
            <w:noWrap w:val="0"/>
            <w:vAlign w:val="center"/>
          </w:tcPr>
          <w:p w14:paraId="533FF82B">
            <w:pPr>
              <w:widowControl/>
              <w:jc w:val="center"/>
              <w:rPr>
                <w:rFonts w:hint="eastAsia" w:ascii="宋体" w:hAnsi="宋体" w:cs="宋体"/>
                <w:bCs/>
                <w:sz w:val="21"/>
                <w:lang w:eastAsia="en-US" w:bidi="ar"/>
              </w:rPr>
            </w:pPr>
            <w:r>
              <w:rPr>
                <w:rFonts w:hint="eastAsia" w:ascii="宋体" w:hAnsi="宋体" w:cs="宋体"/>
                <w:bCs/>
                <w:sz w:val="21"/>
                <w:lang w:bidi="ar"/>
              </w:rPr>
              <w:t>3960</w:t>
            </w:r>
          </w:p>
        </w:tc>
        <w:tc>
          <w:tcPr>
            <w:tcW w:w="852" w:type="dxa"/>
            <w:noWrap w:val="0"/>
            <w:vAlign w:val="center"/>
          </w:tcPr>
          <w:p w14:paraId="7B6B21F1">
            <w:pPr>
              <w:widowControl/>
              <w:jc w:val="center"/>
              <w:rPr>
                <w:rFonts w:hint="eastAsia" w:ascii="宋体" w:hAnsi="宋体" w:cs="宋体"/>
                <w:bCs/>
                <w:sz w:val="21"/>
                <w:lang w:eastAsia="en-US" w:bidi="ar"/>
              </w:rPr>
            </w:pPr>
            <w:r>
              <w:rPr>
                <w:rFonts w:hint="eastAsia" w:ascii="宋体" w:hAnsi="宋体" w:cs="宋体"/>
                <w:bCs/>
                <w:sz w:val="21"/>
                <w:lang w:bidi="ar"/>
              </w:rPr>
              <w:t>2.728</w:t>
            </w:r>
          </w:p>
        </w:tc>
        <w:tc>
          <w:tcPr>
            <w:tcW w:w="932" w:type="dxa"/>
            <w:noWrap w:val="0"/>
            <w:vAlign w:val="center"/>
          </w:tcPr>
          <w:p w14:paraId="5DEF26C7">
            <w:pPr>
              <w:widowControl/>
              <w:jc w:val="center"/>
              <w:rPr>
                <w:rFonts w:hint="eastAsia" w:ascii="宋体" w:hAnsi="宋体" w:cs="宋体"/>
                <w:bCs/>
                <w:sz w:val="21"/>
                <w:lang w:bidi="ar"/>
              </w:rPr>
            </w:pPr>
            <w:r>
              <w:rPr>
                <w:rFonts w:hint="eastAsia" w:ascii="宋体" w:hAnsi="宋体" w:cs="宋体"/>
                <w:bCs/>
                <w:sz w:val="21"/>
                <w:lang w:bidi="ar"/>
              </w:rPr>
              <w:t>0.178</w:t>
            </w:r>
          </w:p>
        </w:tc>
        <w:tc>
          <w:tcPr>
            <w:tcW w:w="825" w:type="dxa"/>
            <w:noWrap w:val="0"/>
            <w:vAlign w:val="center"/>
          </w:tcPr>
          <w:p w14:paraId="3FBE5D04">
            <w:pPr>
              <w:widowControl/>
              <w:jc w:val="center"/>
              <w:rPr>
                <w:rFonts w:hint="eastAsia" w:ascii="宋体" w:hAnsi="宋体" w:cs="宋体"/>
                <w:bCs/>
                <w:sz w:val="21"/>
                <w:lang w:bidi="ar"/>
              </w:rPr>
            </w:pPr>
            <w:r>
              <w:rPr>
                <w:rFonts w:hint="eastAsia" w:ascii="宋体" w:hAnsi="宋体" w:cs="宋体"/>
                <w:bCs/>
                <w:sz w:val="21"/>
                <w:lang w:bidi="ar"/>
              </w:rPr>
              <w:t>69.48</w:t>
            </w:r>
          </w:p>
        </w:tc>
        <w:tc>
          <w:tcPr>
            <w:tcW w:w="716" w:type="dxa"/>
            <w:noWrap w:val="0"/>
            <w:vAlign w:val="center"/>
          </w:tcPr>
          <w:p w14:paraId="0A8E3172">
            <w:pPr>
              <w:widowControl/>
              <w:jc w:val="center"/>
              <w:rPr>
                <w:rFonts w:hint="eastAsia" w:ascii="宋体" w:hAnsi="宋体" w:cs="宋体"/>
                <w:bCs/>
                <w:sz w:val="21"/>
                <w:lang w:bidi="ar"/>
              </w:rPr>
            </w:pPr>
            <w:r>
              <w:rPr>
                <w:rFonts w:hint="eastAsia" w:ascii="宋体" w:hAnsi="宋体" w:cs="宋体"/>
                <w:bCs/>
                <w:sz w:val="21"/>
                <w:lang w:bidi="ar"/>
              </w:rPr>
              <w:t>63.65</w:t>
            </w:r>
          </w:p>
        </w:tc>
        <w:tc>
          <w:tcPr>
            <w:tcW w:w="825" w:type="dxa"/>
            <w:noWrap w:val="0"/>
            <w:vAlign w:val="center"/>
          </w:tcPr>
          <w:p w14:paraId="7AF496C2">
            <w:pPr>
              <w:widowControl/>
              <w:jc w:val="center"/>
              <w:rPr>
                <w:rFonts w:hint="eastAsia" w:ascii="宋体" w:hAnsi="宋体" w:cs="宋体"/>
                <w:bCs/>
                <w:sz w:val="21"/>
                <w:lang w:bidi="ar"/>
              </w:rPr>
            </w:pPr>
            <w:r>
              <w:rPr>
                <w:rFonts w:hint="eastAsia" w:ascii="宋体" w:hAnsi="宋体" w:cs="宋体"/>
                <w:bCs/>
                <w:sz w:val="21"/>
                <w:lang w:bidi="ar"/>
              </w:rPr>
              <w:t>43.64</w:t>
            </w:r>
          </w:p>
        </w:tc>
        <w:tc>
          <w:tcPr>
            <w:tcW w:w="1341" w:type="dxa"/>
            <w:noWrap w:val="0"/>
            <w:vAlign w:val="center"/>
          </w:tcPr>
          <w:p w14:paraId="63033ADB">
            <w:pPr>
              <w:widowControl/>
              <w:jc w:val="center"/>
              <w:rPr>
                <w:rFonts w:hint="eastAsia" w:ascii="宋体" w:hAnsi="宋体" w:cs="宋体"/>
                <w:bCs/>
                <w:sz w:val="21"/>
                <w:lang w:eastAsia="en-US" w:bidi="ar"/>
              </w:rPr>
            </w:pPr>
            <w:r>
              <w:rPr>
                <w:rFonts w:hint="eastAsia" w:ascii="宋体" w:hAnsi="宋体" w:cs="宋体"/>
                <w:bCs/>
                <w:sz w:val="21"/>
                <w:lang w:bidi="ar"/>
              </w:rPr>
              <w:t>/</w:t>
            </w:r>
          </w:p>
        </w:tc>
        <w:tc>
          <w:tcPr>
            <w:tcW w:w="1753" w:type="dxa"/>
            <w:noWrap w:val="0"/>
            <w:vAlign w:val="center"/>
          </w:tcPr>
          <w:p w14:paraId="01E9A177">
            <w:pPr>
              <w:widowControl/>
              <w:jc w:val="center"/>
              <w:rPr>
                <w:rFonts w:hint="eastAsia" w:ascii="宋体" w:hAnsi="宋体" w:cs="宋体"/>
                <w:bCs/>
                <w:sz w:val="21"/>
                <w:lang w:eastAsia="en-US" w:bidi="ar"/>
              </w:rPr>
            </w:pPr>
            <w:r>
              <w:rPr>
                <w:rFonts w:hint="eastAsia" w:ascii="宋体" w:hAnsi="宋体" w:cs="宋体"/>
                <w:bCs/>
                <w:sz w:val="21"/>
                <w:lang w:bidi="ar"/>
              </w:rPr>
              <w:t>一般固废44135</w:t>
            </w:r>
          </w:p>
        </w:tc>
        <w:tc>
          <w:tcPr>
            <w:tcW w:w="881" w:type="dxa"/>
            <w:noWrap w:val="0"/>
            <w:vAlign w:val="center"/>
          </w:tcPr>
          <w:p w14:paraId="3DC1E9E3">
            <w:pPr>
              <w:widowControl/>
              <w:jc w:val="center"/>
              <w:rPr>
                <w:rFonts w:hint="eastAsia" w:ascii="宋体" w:hAnsi="宋体" w:cs="宋体"/>
                <w:bCs/>
                <w:sz w:val="21"/>
                <w:lang w:eastAsia="en-US" w:bidi="ar"/>
              </w:rPr>
            </w:pPr>
            <w:r>
              <w:rPr>
                <w:rFonts w:hint="eastAsia" w:ascii="宋体" w:hAnsi="宋体" w:cs="宋体"/>
                <w:bCs/>
                <w:sz w:val="21"/>
                <w:lang w:bidi="ar"/>
              </w:rPr>
              <w:t>已投产</w:t>
            </w:r>
          </w:p>
        </w:tc>
      </w:tr>
      <w:tr w14:paraId="7ABAF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9" w:type="dxa"/>
            <w:noWrap w:val="0"/>
            <w:vAlign w:val="center"/>
          </w:tcPr>
          <w:p w14:paraId="21727D3C">
            <w:pPr>
              <w:widowControl/>
              <w:jc w:val="center"/>
              <w:rPr>
                <w:rFonts w:hint="eastAsia" w:ascii="宋体" w:hAnsi="宋体" w:cs="宋体"/>
                <w:bCs/>
                <w:sz w:val="21"/>
                <w:lang w:eastAsia="en-US" w:bidi="ar"/>
              </w:rPr>
            </w:pPr>
            <w:r>
              <w:rPr>
                <w:rFonts w:hint="eastAsia" w:ascii="宋体" w:hAnsi="宋体" w:cs="宋体"/>
                <w:bCs/>
                <w:sz w:val="21"/>
                <w:lang w:bidi="ar"/>
              </w:rPr>
              <w:t>53</w:t>
            </w:r>
          </w:p>
        </w:tc>
        <w:tc>
          <w:tcPr>
            <w:tcW w:w="1731" w:type="dxa"/>
            <w:noWrap w:val="0"/>
            <w:vAlign w:val="center"/>
          </w:tcPr>
          <w:p w14:paraId="066DDF82">
            <w:pPr>
              <w:widowControl/>
              <w:jc w:val="center"/>
              <w:rPr>
                <w:rFonts w:hint="eastAsia" w:ascii="宋体" w:hAnsi="宋体" w:cs="宋体"/>
                <w:bCs/>
                <w:sz w:val="21"/>
                <w:lang w:bidi="ar"/>
              </w:rPr>
            </w:pPr>
            <w:r>
              <w:rPr>
                <w:rFonts w:hint="eastAsia" w:ascii="宋体" w:hAnsi="宋体" w:cs="宋体"/>
                <w:bCs/>
                <w:sz w:val="21"/>
                <w:lang w:bidi="ar"/>
              </w:rPr>
              <w:t>湖南引航生物科技有限公司饲料用酶制剂（中试）项目</w:t>
            </w:r>
          </w:p>
        </w:tc>
        <w:tc>
          <w:tcPr>
            <w:tcW w:w="1514" w:type="dxa"/>
            <w:noWrap w:val="0"/>
            <w:vAlign w:val="center"/>
          </w:tcPr>
          <w:p w14:paraId="7DD00C73">
            <w:pPr>
              <w:widowControl/>
              <w:jc w:val="center"/>
              <w:rPr>
                <w:rFonts w:hint="eastAsia" w:ascii="宋体" w:hAnsi="宋体" w:cs="宋体"/>
                <w:bCs/>
                <w:sz w:val="21"/>
                <w:lang w:eastAsia="en-US" w:bidi="ar"/>
              </w:rPr>
            </w:pPr>
            <w:r>
              <w:rPr>
                <w:rFonts w:hint="eastAsia" w:ascii="宋体" w:hAnsi="宋体" w:cs="宋体"/>
                <w:bCs/>
                <w:sz w:val="21"/>
                <w:lang w:bidi="ar"/>
              </w:rPr>
              <w:t>111.854119564</w:t>
            </w:r>
          </w:p>
        </w:tc>
        <w:tc>
          <w:tcPr>
            <w:tcW w:w="1473" w:type="dxa"/>
            <w:noWrap w:val="0"/>
            <w:vAlign w:val="center"/>
          </w:tcPr>
          <w:p w14:paraId="76610BF3">
            <w:pPr>
              <w:widowControl/>
              <w:jc w:val="center"/>
              <w:rPr>
                <w:rFonts w:hint="eastAsia" w:ascii="宋体" w:hAnsi="宋体" w:cs="宋体"/>
                <w:bCs/>
                <w:sz w:val="21"/>
                <w:lang w:eastAsia="en-US" w:bidi="ar"/>
              </w:rPr>
            </w:pPr>
            <w:r>
              <w:rPr>
                <w:rFonts w:hint="eastAsia" w:ascii="宋体" w:hAnsi="宋体" w:cs="宋体"/>
                <w:bCs/>
                <w:sz w:val="21"/>
                <w:lang w:bidi="ar"/>
              </w:rPr>
              <w:t>29.561125499</w:t>
            </w:r>
          </w:p>
        </w:tc>
        <w:tc>
          <w:tcPr>
            <w:tcW w:w="959" w:type="dxa"/>
            <w:noWrap w:val="0"/>
            <w:vAlign w:val="center"/>
          </w:tcPr>
          <w:p w14:paraId="2706E22D">
            <w:pPr>
              <w:widowControl/>
              <w:jc w:val="center"/>
              <w:rPr>
                <w:rFonts w:hint="eastAsia" w:ascii="宋体" w:hAnsi="宋体" w:cs="宋体"/>
                <w:bCs/>
                <w:sz w:val="21"/>
                <w:lang w:eastAsia="en-US" w:bidi="ar"/>
              </w:rPr>
            </w:pPr>
            <w:r>
              <w:rPr>
                <w:rFonts w:hint="eastAsia" w:ascii="宋体" w:hAnsi="宋体" w:cs="宋体"/>
                <w:bCs/>
                <w:sz w:val="21"/>
                <w:lang w:bidi="ar"/>
              </w:rPr>
              <w:t>2106</w:t>
            </w:r>
          </w:p>
        </w:tc>
        <w:tc>
          <w:tcPr>
            <w:tcW w:w="852" w:type="dxa"/>
            <w:noWrap w:val="0"/>
            <w:vAlign w:val="center"/>
          </w:tcPr>
          <w:p w14:paraId="57BD527D">
            <w:pPr>
              <w:widowControl/>
              <w:jc w:val="center"/>
              <w:rPr>
                <w:rFonts w:hint="eastAsia" w:ascii="宋体" w:hAnsi="宋体" w:cs="宋体"/>
                <w:bCs/>
                <w:sz w:val="21"/>
                <w:lang w:eastAsia="en-US" w:bidi="ar"/>
              </w:rPr>
            </w:pPr>
            <w:r>
              <w:rPr>
                <w:rFonts w:hint="eastAsia" w:ascii="宋体" w:hAnsi="宋体" w:cs="宋体"/>
                <w:bCs/>
                <w:sz w:val="21"/>
                <w:lang w:bidi="ar"/>
              </w:rPr>
              <w:t>0.24</w:t>
            </w:r>
          </w:p>
        </w:tc>
        <w:tc>
          <w:tcPr>
            <w:tcW w:w="932" w:type="dxa"/>
            <w:noWrap w:val="0"/>
            <w:vAlign w:val="center"/>
          </w:tcPr>
          <w:p w14:paraId="6654C05E">
            <w:pPr>
              <w:widowControl/>
              <w:jc w:val="center"/>
              <w:rPr>
                <w:rFonts w:hint="eastAsia" w:ascii="宋体" w:hAnsi="宋体" w:cs="宋体"/>
                <w:bCs/>
                <w:sz w:val="21"/>
                <w:lang w:bidi="ar"/>
              </w:rPr>
            </w:pPr>
            <w:r>
              <w:rPr>
                <w:rFonts w:hint="eastAsia" w:ascii="宋体" w:hAnsi="宋体" w:cs="宋体"/>
                <w:bCs/>
                <w:sz w:val="21"/>
                <w:lang w:bidi="ar"/>
              </w:rPr>
              <w:t>0.03</w:t>
            </w:r>
          </w:p>
        </w:tc>
        <w:tc>
          <w:tcPr>
            <w:tcW w:w="825" w:type="dxa"/>
            <w:noWrap w:val="0"/>
            <w:vAlign w:val="center"/>
          </w:tcPr>
          <w:p w14:paraId="200C8353">
            <w:pPr>
              <w:widowControl/>
              <w:jc w:val="center"/>
              <w:rPr>
                <w:rFonts w:hint="eastAsia" w:ascii="宋体" w:hAnsi="宋体" w:cs="宋体"/>
                <w:bCs/>
                <w:sz w:val="21"/>
                <w:lang w:bidi="ar"/>
              </w:rPr>
            </w:pPr>
            <w:r>
              <w:rPr>
                <w:rFonts w:hint="eastAsia" w:ascii="宋体" w:hAnsi="宋体" w:cs="宋体"/>
                <w:bCs/>
                <w:sz w:val="21"/>
                <w:lang w:bidi="ar"/>
              </w:rPr>
              <w:t>0</w:t>
            </w:r>
          </w:p>
        </w:tc>
        <w:tc>
          <w:tcPr>
            <w:tcW w:w="716" w:type="dxa"/>
            <w:noWrap w:val="0"/>
            <w:vAlign w:val="center"/>
          </w:tcPr>
          <w:p w14:paraId="189C9F06">
            <w:pPr>
              <w:widowControl/>
              <w:jc w:val="center"/>
              <w:rPr>
                <w:rFonts w:hint="eastAsia" w:ascii="宋体" w:hAnsi="宋体" w:cs="宋体"/>
                <w:bCs/>
                <w:sz w:val="21"/>
                <w:lang w:bidi="ar"/>
              </w:rPr>
            </w:pPr>
            <w:r>
              <w:rPr>
                <w:rFonts w:hint="eastAsia" w:ascii="宋体" w:hAnsi="宋体" w:cs="宋体"/>
                <w:bCs/>
                <w:sz w:val="21"/>
                <w:lang w:bidi="ar"/>
              </w:rPr>
              <w:t>0</w:t>
            </w:r>
          </w:p>
        </w:tc>
        <w:tc>
          <w:tcPr>
            <w:tcW w:w="825" w:type="dxa"/>
            <w:noWrap w:val="0"/>
            <w:vAlign w:val="center"/>
          </w:tcPr>
          <w:p w14:paraId="1B08ABF6">
            <w:pPr>
              <w:widowControl/>
              <w:jc w:val="center"/>
              <w:rPr>
                <w:rFonts w:hint="eastAsia" w:ascii="宋体" w:hAnsi="宋体" w:cs="宋体"/>
                <w:bCs/>
                <w:sz w:val="21"/>
                <w:lang w:bidi="ar"/>
              </w:rPr>
            </w:pPr>
            <w:r>
              <w:rPr>
                <w:rFonts w:hint="eastAsia" w:ascii="宋体" w:hAnsi="宋体" w:cs="宋体"/>
                <w:bCs/>
                <w:sz w:val="21"/>
                <w:lang w:bidi="ar"/>
              </w:rPr>
              <w:t>0</w:t>
            </w:r>
          </w:p>
        </w:tc>
        <w:tc>
          <w:tcPr>
            <w:tcW w:w="1341" w:type="dxa"/>
            <w:noWrap w:val="0"/>
            <w:vAlign w:val="center"/>
          </w:tcPr>
          <w:p w14:paraId="5A41EE90">
            <w:pPr>
              <w:widowControl/>
              <w:jc w:val="center"/>
              <w:rPr>
                <w:rFonts w:hint="eastAsia" w:ascii="宋体" w:hAnsi="宋体" w:cs="宋体"/>
                <w:bCs/>
                <w:sz w:val="21"/>
                <w:lang w:bidi="ar"/>
              </w:rPr>
            </w:pPr>
            <w:r>
              <w:rPr>
                <w:rFonts w:hint="eastAsia" w:ascii="宋体" w:hAnsi="宋体" w:cs="宋体"/>
                <w:bCs/>
                <w:sz w:val="21"/>
                <w:lang w:bidi="ar"/>
              </w:rPr>
              <w:t>/</w:t>
            </w:r>
          </w:p>
        </w:tc>
        <w:tc>
          <w:tcPr>
            <w:tcW w:w="1753" w:type="dxa"/>
            <w:noWrap w:val="0"/>
            <w:vAlign w:val="center"/>
          </w:tcPr>
          <w:p w14:paraId="4A0765FF">
            <w:pPr>
              <w:widowControl/>
              <w:jc w:val="center"/>
              <w:rPr>
                <w:rFonts w:hint="eastAsia" w:ascii="宋体" w:hAnsi="宋体" w:cs="宋体"/>
                <w:bCs/>
                <w:sz w:val="21"/>
                <w:lang w:bidi="ar"/>
              </w:rPr>
            </w:pPr>
            <w:r>
              <w:rPr>
                <w:rFonts w:hint="eastAsia" w:ascii="宋体" w:hAnsi="宋体" w:cs="宋体"/>
                <w:bCs/>
                <w:sz w:val="21"/>
                <w:lang w:bidi="ar"/>
              </w:rPr>
              <w:t>/</w:t>
            </w:r>
          </w:p>
        </w:tc>
        <w:tc>
          <w:tcPr>
            <w:tcW w:w="881" w:type="dxa"/>
            <w:noWrap w:val="0"/>
            <w:vAlign w:val="center"/>
          </w:tcPr>
          <w:p w14:paraId="504C6DE8">
            <w:pPr>
              <w:widowControl/>
              <w:jc w:val="center"/>
              <w:rPr>
                <w:rFonts w:hint="eastAsia" w:ascii="宋体" w:hAnsi="宋体" w:cs="宋体"/>
                <w:bCs/>
                <w:sz w:val="21"/>
                <w:lang w:eastAsia="en-US" w:bidi="ar"/>
              </w:rPr>
            </w:pPr>
            <w:r>
              <w:rPr>
                <w:rFonts w:hint="eastAsia" w:ascii="宋体" w:hAnsi="宋体" w:cs="宋体"/>
                <w:bCs/>
                <w:sz w:val="21"/>
                <w:lang w:bidi="ar"/>
              </w:rPr>
              <w:t>已投产</w:t>
            </w:r>
          </w:p>
        </w:tc>
      </w:tr>
      <w:tr w14:paraId="77FD3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9" w:type="dxa"/>
            <w:noWrap w:val="0"/>
            <w:vAlign w:val="center"/>
          </w:tcPr>
          <w:p w14:paraId="6EDB4F90">
            <w:pPr>
              <w:widowControl/>
              <w:jc w:val="center"/>
              <w:rPr>
                <w:rFonts w:hint="eastAsia" w:ascii="宋体" w:hAnsi="宋体" w:cs="宋体"/>
                <w:bCs/>
                <w:sz w:val="21"/>
                <w:lang w:eastAsia="en-US" w:bidi="ar"/>
              </w:rPr>
            </w:pPr>
            <w:r>
              <w:rPr>
                <w:rFonts w:hint="eastAsia" w:ascii="宋体" w:hAnsi="宋体" w:cs="宋体"/>
                <w:bCs/>
                <w:sz w:val="21"/>
                <w:lang w:bidi="ar"/>
              </w:rPr>
              <w:t>54</w:t>
            </w:r>
          </w:p>
        </w:tc>
        <w:tc>
          <w:tcPr>
            <w:tcW w:w="1731" w:type="dxa"/>
            <w:noWrap w:val="0"/>
            <w:vAlign w:val="center"/>
          </w:tcPr>
          <w:p w14:paraId="1ECE5B91">
            <w:pPr>
              <w:widowControl/>
              <w:jc w:val="center"/>
              <w:rPr>
                <w:rFonts w:hint="eastAsia" w:ascii="宋体" w:hAnsi="宋体" w:cs="宋体"/>
                <w:bCs/>
                <w:sz w:val="21"/>
                <w:lang w:bidi="ar"/>
              </w:rPr>
            </w:pPr>
            <w:r>
              <w:rPr>
                <w:rFonts w:hint="eastAsia" w:ascii="宋体" w:hAnsi="宋体" w:cs="宋体"/>
                <w:bCs/>
                <w:sz w:val="21"/>
                <w:lang w:bidi="ar"/>
              </w:rPr>
              <w:t>湖南康捷生物科技有限公司</w:t>
            </w:r>
          </w:p>
        </w:tc>
        <w:tc>
          <w:tcPr>
            <w:tcW w:w="1514" w:type="dxa"/>
            <w:noWrap w:val="0"/>
            <w:vAlign w:val="center"/>
          </w:tcPr>
          <w:p w14:paraId="0A67AB35">
            <w:pPr>
              <w:widowControl/>
              <w:jc w:val="center"/>
              <w:rPr>
                <w:rFonts w:hint="eastAsia" w:ascii="宋体" w:hAnsi="宋体" w:cs="宋体"/>
                <w:bCs/>
                <w:sz w:val="21"/>
                <w:lang w:eastAsia="en-US" w:bidi="ar"/>
              </w:rPr>
            </w:pPr>
            <w:r>
              <w:rPr>
                <w:rFonts w:hint="eastAsia" w:ascii="宋体" w:hAnsi="宋体" w:cs="宋体"/>
                <w:bCs/>
                <w:sz w:val="21"/>
                <w:lang w:bidi="ar"/>
              </w:rPr>
              <w:t>111.870330876</w:t>
            </w:r>
          </w:p>
        </w:tc>
        <w:tc>
          <w:tcPr>
            <w:tcW w:w="1473" w:type="dxa"/>
            <w:noWrap w:val="0"/>
            <w:vAlign w:val="center"/>
          </w:tcPr>
          <w:p w14:paraId="15FF6760">
            <w:pPr>
              <w:widowControl/>
              <w:jc w:val="center"/>
              <w:rPr>
                <w:rFonts w:hint="eastAsia" w:ascii="宋体" w:hAnsi="宋体" w:cs="宋体"/>
                <w:bCs/>
                <w:sz w:val="21"/>
                <w:lang w:eastAsia="en-US" w:bidi="ar"/>
              </w:rPr>
            </w:pPr>
            <w:r>
              <w:rPr>
                <w:rFonts w:hint="eastAsia" w:ascii="宋体" w:hAnsi="宋体" w:cs="宋体"/>
                <w:bCs/>
                <w:sz w:val="21"/>
                <w:lang w:bidi="ar"/>
              </w:rPr>
              <w:t>29.564675496</w:t>
            </w:r>
          </w:p>
        </w:tc>
        <w:tc>
          <w:tcPr>
            <w:tcW w:w="959" w:type="dxa"/>
            <w:noWrap w:val="0"/>
            <w:vAlign w:val="center"/>
          </w:tcPr>
          <w:p w14:paraId="70D648F0">
            <w:pPr>
              <w:widowControl/>
              <w:jc w:val="center"/>
              <w:rPr>
                <w:rFonts w:hint="eastAsia" w:ascii="宋体" w:hAnsi="宋体" w:cs="宋体"/>
                <w:bCs/>
                <w:sz w:val="21"/>
                <w:lang w:eastAsia="en-US" w:bidi="ar"/>
              </w:rPr>
            </w:pPr>
            <w:r>
              <w:rPr>
                <w:rFonts w:hint="eastAsia" w:ascii="宋体" w:hAnsi="宋体" w:cs="宋体"/>
                <w:bCs/>
                <w:sz w:val="21"/>
                <w:lang w:bidi="ar"/>
              </w:rPr>
              <w:t>174570</w:t>
            </w:r>
          </w:p>
        </w:tc>
        <w:tc>
          <w:tcPr>
            <w:tcW w:w="852" w:type="dxa"/>
            <w:noWrap w:val="0"/>
            <w:vAlign w:val="center"/>
          </w:tcPr>
          <w:p w14:paraId="2DC9FC54">
            <w:pPr>
              <w:widowControl/>
              <w:jc w:val="center"/>
              <w:rPr>
                <w:rFonts w:hint="eastAsia" w:ascii="宋体" w:hAnsi="宋体" w:cs="宋体"/>
                <w:bCs/>
                <w:sz w:val="21"/>
                <w:lang w:bidi="ar"/>
              </w:rPr>
            </w:pPr>
            <w:r>
              <w:rPr>
                <w:rFonts w:hint="eastAsia" w:ascii="宋体" w:hAnsi="宋体" w:cs="宋体"/>
                <w:bCs/>
                <w:sz w:val="21"/>
                <w:lang w:bidi="ar"/>
              </w:rPr>
              <w:t>50.45</w:t>
            </w:r>
          </w:p>
        </w:tc>
        <w:tc>
          <w:tcPr>
            <w:tcW w:w="932" w:type="dxa"/>
            <w:noWrap w:val="0"/>
            <w:vAlign w:val="center"/>
          </w:tcPr>
          <w:p w14:paraId="4CAFAE4D">
            <w:pPr>
              <w:widowControl/>
              <w:jc w:val="center"/>
              <w:rPr>
                <w:rFonts w:hint="eastAsia" w:ascii="宋体" w:hAnsi="宋体" w:cs="宋体"/>
                <w:bCs/>
                <w:sz w:val="21"/>
                <w:lang w:bidi="ar"/>
              </w:rPr>
            </w:pPr>
            <w:r>
              <w:rPr>
                <w:rFonts w:hint="eastAsia" w:ascii="宋体" w:hAnsi="宋体" w:cs="宋体"/>
                <w:bCs/>
                <w:sz w:val="21"/>
                <w:lang w:bidi="ar"/>
              </w:rPr>
              <w:t>2.1</w:t>
            </w:r>
          </w:p>
        </w:tc>
        <w:tc>
          <w:tcPr>
            <w:tcW w:w="825" w:type="dxa"/>
            <w:noWrap w:val="0"/>
            <w:vAlign w:val="center"/>
          </w:tcPr>
          <w:p w14:paraId="0E249282">
            <w:pPr>
              <w:widowControl/>
              <w:jc w:val="center"/>
              <w:rPr>
                <w:rFonts w:hint="eastAsia" w:ascii="宋体" w:hAnsi="宋体" w:cs="宋体"/>
                <w:bCs/>
                <w:sz w:val="21"/>
                <w:lang w:bidi="ar"/>
              </w:rPr>
            </w:pPr>
            <w:r>
              <w:rPr>
                <w:rFonts w:hint="eastAsia" w:ascii="宋体" w:hAnsi="宋体" w:cs="宋体"/>
                <w:bCs/>
                <w:sz w:val="21"/>
                <w:lang w:bidi="ar"/>
              </w:rPr>
              <w:t>0</w:t>
            </w:r>
          </w:p>
        </w:tc>
        <w:tc>
          <w:tcPr>
            <w:tcW w:w="716" w:type="dxa"/>
            <w:noWrap w:val="0"/>
            <w:vAlign w:val="center"/>
          </w:tcPr>
          <w:p w14:paraId="30A547F2">
            <w:pPr>
              <w:widowControl/>
              <w:jc w:val="center"/>
              <w:rPr>
                <w:rFonts w:hint="eastAsia" w:ascii="宋体" w:hAnsi="宋体" w:cs="宋体"/>
                <w:bCs/>
                <w:sz w:val="21"/>
                <w:lang w:bidi="ar"/>
              </w:rPr>
            </w:pPr>
            <w:r>
              <w:rPr>
                <w:rFonts w:hint="eastAsia" w:ascii="宋体" w:hAnsi="宋体" w:cs="宋体"/>
                <w:bCs/>
                <w:sz w:val="21"/>
                <w:lang w:bidi="ar"/>
              </w:rPr>
              <w:t>0</w:t>
            </w:r>
          </w:p>
        </w:tc>
        <w:tc>
          <w:tcPr>
            <w:tcW w:w="825" w:type="dxa"/>
            <w:noWrap w:val="0"/>
            <w:vAlign w:val="center"/>
          </w:tcPr>
          <w:p w14:paraId="7DF56B51">
            <w:pPr>
              <w:widowControl/>
              <w:jc w:val="center"/>
              <w:rPr>
                <w:rFonts w:hint="eastAsia" w:ascii="宋体" w:hAnsi="宋体" w:cs="宋体"/>
                <w:bCs/>
                <w:sz w:val="21"/>
                <w:lang w:bidi="ar"/>
              </w:rPr>
            </w:pPr>
            <w:r>
              <w:rPr>
                <w:rFonts w:hint="eastAsia" w:ascii="宋体" w:hAnsi="宋体" w:cs="宋体"/>
                <w:bCs/>
                <w:sz w:val="21"/>
                <w:lang w:bidi="ar"/>
              </w:rPr>
              <w:t>0.43</w:t>
            </w:r>
          </w:p>
        </w:tc>
        <w:tc>
          <w:tcPr>
            <w:tcW w:w="1341" w:type="dxa"/>
            <w:noWrap w:val="0"/>
            <w:vAlign w:val="center"/>
          </w:tcPr>
          <w:p w14:paraId="7A6EA5F3">
            <w:pPr>
              <w:widowControl/>
              <w:jc w:val="center"/>
              <w:rPr>
                <w:rFonts w:hint="eastAsia" w:ascii="宋体" w:hAnsi="宋体" w:cs="宋体"/>
                <w:bCs/>
                <w:sz w:val="21"/>
                <w:lang w:eastAsia="en-US" w:bidi="ar"/>
              </w:rPr>
            </w:pPr>
            <w:r>
              <w:rPr>
                <w:rFonts w:hint="eastAsia" w:ascii="宋体" w:hAnsi="宋体" w:cs="宋体"/>
                <w:bCs/>
                <w:sz w:val="21"/>
                <w:lang w:bidi="ar"/>
              </w:rPr>
              <w:t>VOCs：1.11</w:t>
            </w:r>
          </w:p>
        </w:tc>
        <w:tc>
          <w:tcPr>
            <w:tcW w:w="1753" w:type="dxa"/>
            <w:noWrap w:val="0"/>
            <w:vAlign w:val="center"/>
          </w:tcPr>
          <w:p w14:paraId="5EDBF0D5">
            <w:pPr>
              <w:widowControl/>
              <w:jc w:val="center"/>
              <w:rPr>
                <w:rFonts w:hint="eastAsia" w:ascii="宋体" w:hAnsi="宋体" w:cs="宋体"/>
                <w:bCs/>
                <w:sz w:val="21"/>
                <w:lang w:eastAsia="en-US" w:bidi="ar"/>
              </w:rPr>
            </w:pPr>
            <w:r>
              <w:rPr>
                <w:rFonts w:hint="eastAsia" w:ascii="宋体" w:hAnsi="宋体" w:cs="宋体"/>
                <w:bCs/>
                <w:sz w:val="21"/>
                <w:lang w:bidi="ar"/>
              </w:rPr>
              <w:t>一般固废6990</w:t>
            </w:r>
          </w:p>
        </w:tc>
        <w:tc>
          <w:tcPr>
            <w:tcW w:w="881" w:type="dxa"/>
            <w:noWrap w:val="0"/>
            <w:vAlign w:val="center"/>
          </w:tcPr>
          <w:p w14:paraId="1819B7D5">
            <w:pPr>
              <w:widowControl/>
              <w:jc w:val="center"/>
              <w:rPr>
                <w:rFonts w:hint="eastAsia" w:ascii="宋体" w:hAnsi="宋体" w:cs="宋体"/>
                <w:bCs/>
                <w:sz w:val="21"/>
                <w:lang w:eastAsia="en-US" w:bidi="ar"/>
              </w:rPr>
            </w:pPr>
            <w:r>
              <w:rPr>
                <w:rFonts w:hint="eastAsia" w:ascii="宋体" w:hAnsi="宋体" w:cs="宋体"/>
                <w:bCs/>
                <w:sz w:val="21"/>
                <w:lang w:bidi="ar"/>
              </w:rPr>
              <w:t>已投产</w:t>
            </w:r>
          </w:p>
        </w:tc>
      </w:tr>
      <w:tr w14:paraId="74BD4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9" w:type="dxa"/>
            <w:noWrap w:val="0"/>
            <w:vAlign w:val="center"/>
          </w:tcPr>
          <w:p w14:paraId="1D3B4E78">
            <w:pPr>
              <w:widowControl/>
              <w:jc w:val="center"/>
              <w:rPr>
                <w:rFonts w:hint="eastAsia" w:ascii="宋体" w:hAnsi="宋体" w:cs="宋体"/>
                <w:bCs/>
                <w:sz w:val="21"/>
                <w:lang w:eastAsia="en-US" w:bidi="ar"/>
              </w:rPr>
            </w:pPr>
            <w:r>
              <w:rPr>
                <w:rFonts w:hint="eastAsia" w:ascii="宋体" w:hAnsi="宋体" w:cs="宋体"/>
                <w:bCs/>
                <w:sz w:val="21"/>
                <w:lang w:bidi="ar"/>
              </w:rPr>
              <w:t>55</w:t>
            </w:r>
          </w:p>
        </w:tc>
        <w:tc>
          <w:tcPr>
            <w:tcW w:w="1731" w:type="dxa"/>
            <w:noWrap w:val="0"/>
            <w:vAlign w:val="center"/>
          </w:tcPr>
          <w:p w14:paraId="5F606D0E">
            <w:pPr>
              <w:widowControl/>
              <w:jc w:val="center"/>
              <w:rPr>
                <w:rFonts w:hint="eastAsia" w:ascii="宋体" w:hAnsi="宋体" w:cs="宋体"/>
                <w:bCs/>
                <w:sz w:val="21"/>
                <w:lang w:bidi="ar"/>
              </w:rPr>
            </w:pPr>
            <w:r>
              <w:rPr>
                <w:rFonts w:hint="eastAsia" w:ascii="宋体" w:hAnsi="宋体" w:cs="宋体"/>
                <w:bCs/>
                <w:sz w:val="21"/>
                <w:lang w:bidi="ar"/>
              </w:rPr>
              <w:t>津市大新颜料有限公司</w:t>
            </w:r>
          </w:p>
        </w:tc>
        <w:tc>
          <w:tcPr>
            <w:tcW w:w="1514" w:type="dxa"/>
            <w:noWrap w:val="0"/>
            <w:vAlign w:val="center"/>
          </w:tcPr>
          <w:p w14:paraId="6C3F6816">
            <w:pPr>
              <w:widowControl/>
              <w:jc w:val="center"/>
              <w:rPr>
                <w:rFonts w:hint="eastAsia" w:ascii="宋体" w:hAnsi="宋体" w:cs="宋体"/>
                <w:bCs/>
                <w:sz w:val="21"/>
                <w:lang w:eastAsia="en-US" w:bidi="ar"/>
              </w:rPr>
            </w:pPr>
            <w:r>
              <w:rPr>
                <w:rFonts w:hint="eastAsia" w:ascii="宋体" w:hAnsi="宋体" w:cs="宋体"/>
                <w:bCs/>
                <w:sz w:val="21"/>
                <w:lang w:bidi="ar"/>
              </w:rPr>
              <w:t>111.872349541</w:t>
            </w:r>
          </w:p>
        </w:tc>
        <w:tc>
          <w:tcPr>
            <w:tcW w:w="1473" w:type="dxa"/>
            <w:noWrap w:val="0"/>
            <w:vAlign w:val="center"/>
          </w:tcPr>
          <w:p w14:paraId="4A864449">
            <w:pPr>
              <w:widowControl/>
              <w:jc w:val="center"/>
              <w:rPr>
                <w:rFonts w:hint="eastAsia" w:ascii="宋体" w:hAnsi="宋体" w:cs="宋体"/>
                <w:bCs/>
                <w:sz w:val="21"/>
                <w:lang w:eastAsia="en-US" w:bidi="ar"/>
              </w:rPr>
            </w:pPr>
            <w:r>
              <w:rPr>
                <w:rFonts w:hint="eastAsia" w:ascii="宋体" w:hAnsi="宋体" w:cs="宋体"/>
                <w:bCs/>
                <w:sz w:val="21"/>
                <w:lang w:bidi="ar"/>
              </w:rPr>
              <w:t>29.608485163</w:t>
            </w:r>
          </w:p>
        </w:tc>
        <w:tc>
          <w:tcPr>
            <w:tcW w:w="959" w:type="dxa"/>
            <w:noWrap w:val="0"/>
            <w:vAlign w:val="center"/>
          </w:tcPr>
          <w:p w14:paraId="179B849D">
            <w:pPr>
              <w:widowControl/>
              <w:jc w:val="center"/>
              <w:rPr>
                <w:rFonts w:hint="eastAsia" w:ascii="宋体" w:hAnsi="宋体" w:cs="宋体"/>
                <w:bCs/>
                <w:sz w:val="21"/>
                <w:lang w:eastAsia="en-US" w:bidi="ar"/>
              </w:rPr>
            </w:pPr>
            <w:r>
              <w:rPr>
                <w:rFonts w:hint="eastAsia" w:ascii="宋体" w:hAnsi="宋体" w:cs="宋体"/>
                <w:bCs/>
                <w:sz w:val="21"/>
                <w:lang w:bidi="ar"/>
              </w:rPr>
              <w:t>205134</w:t>
            </w:r>
          </w:p>
        </w:tc>
        <w:tc>
          <w:tcPr>
            <w:tcW w:w="852" w:type="dxa"/>
            <w:noWrap w:val="0"/>
            <w:vAlign w:val="center"/>
          </w:tcPr>
          <w:p w14:paraId="6CA72C65">
            <w:pPr>
              <w:widowControl/>
              <w:jc w:val="center"/>
              <w:rPr>
                <w:rFonts w:hint="eastAsia" w:ascii="宋体" w:hAnsi="宋体" w:cs="宋体"/>
                <w:bCs/>
                <w:sz w:val="21"/>
                <w:lang w:bidi="ar"/>
              </w:rPr>
            </w:pPr>
            <w:r>
              <w:rPr>
                <w:rFonts w:hint="eastAsia" w:ascii="宋体" w:hAnsi="宋体" w:cs="宋体"/>
                <w:bCs/>
                <w:sz w:val="21"/>
                <w:lang w:bidi="ar"/>
              </w:rPr>
              <w:t>10.4</w:t>
            </w:r>
          </w:p>
        </w:tc>
        <w:tc>
          <w:tcPr>
            <w:tcW w:w="932" w:type="dxa"/>
            <w:noWrap w:val="0"/>
            <w:vAlign w:val="center"/>
          </w:tcPr>
          <w:p w14:paraId="3CDE90E4">
            <w:pPr>
              <w:widowControl/>
              <w:jc w:val="center"/>
              <w:rPr>
                <w:rFonts w:hint="eastAsia" w:ascii="宋体" w:hAnsi="宋体" w:cs="宋体"/>
                <w:bCs/>
                <w:sz w:val="21"/>
                <w:lang w:bidi="ar"/>
              </w:rPr>
            </w:pPr>
            <w:r>
              <w:rPr>
                <w:rFonts w:hint="eastAsia" w:ascii="宋体" w:hAnsi="宋体" w:cs="宋体"/>
                <w:bCs/>
                <w:sz w:val="21"/>
                <w:lang w:bidi="ar"/>
              </w:rPr>
              <w:t>6.24</w:t>
            </w:r>
          </w:p>
        </w:tc>
        <w:tc>
          <w:tcPr>
            <w:tcW w:w="825" w:type="dxa"/>
            <w:noWrap w:val="0"/>
            <w:vAlign w:val="center"/>
          </w:tcPr>
          <w:p w14:paraId="0292BD69">
            <w:pPr>
              <w:widowControl/>
              <w:jc w:val="center"/>
              <w:rPr>
                <w:rFonts w:hint="eastAsia" w:ascii="宋体" w:hAnsi="宋体" w:cs="宋体"/>
                <w:bCs/>
                <w:sz w:val="21"/>
                <w:lang w:bidi="ar"/>
              </w:rPr>
            </w:pPr>
            <w:r>
              <w:rPr>
                <w:rFonts w:hint="eastAsia" w:ascii="宋体" w:hAnsi="宋体" w:cs="宋体"/>
                <w:bCs/>
                <w:sz w:val="21"/>
                <w:lang w:bidi="ar"/>
              </w:rPr>
              <w:t>7.56</w:t>
            </w:r>
          </w:p>
        </w:tc>
        <w:tc>
          <w:tcPr>
            <w:tcW w:w="716" w:type="dxa"/>
            <w:noWrap w:val="0"/>
            <w:vAlign w:val="center"/>
          </w:tcPr>
          <w:p w14:paraId="16838843">
            <w:pPr>
              <w:widowControl/>
              <w:jc w:val="center"/>
              <w:rPr>
                <w:rFonts w:hint="eastAsia" w:ascii="宋体" w:hAnsi="宋体" w:cs="宋体"/>
                <w:bCs/>
                <w:sz w:val="21"/>
                <w:lang w:bidi="ar"/>
              </w:rPr>
            </w:pPr>
            <w:r>
              <w:rPr>
                <w:rFonts w:hint="eastAsia" w:ascii="宋体" w:hAnsi="宋体" w:cs="宋体"/>
                <w:bCs/>
                <w:sz w:val="21"/>
                <w:lang w:bidi="ar"/>
              </w:rPr>
              <w:t>4.36</w:t>
            </w:r>
          </w:p>
        </w:tc>
        <w:tc>
          <w:tcPr>
            <w:tcW w:w="825" w:type="dxa"/>
            <w:noWrap w:val="0"/>
            <w:vAlign w:val="center"/>
          </w:tcPr>
          <w:p w14:paraId="4A8A254F">
            <w:pPr>
              <w:widowControl/>
              <w:jc w:val="center"/>
              <w:rPr>
                <w:rFonts w:hint="eastAsia" w:ascii="宋体" w:hAnsi="宋体" w:cs="宋体"/>
                <w:bCs/>
                <w:sz w:val="21"/>
                <w:lang w:bidi="ar"/>
              </w:rPr>
            </w:pPr>
            <w:r>
              <w:rPr>
                <w:rFonts w:hint="eastAsia" w:ascii="宋体" w:hAnsi="宋体" w:cs="宋体"/>
                <w:bCs/>
                <w:sz w:val="21"/>
                <w:lang w:bidi="ar"/>
              </w:rPr>
              <w:t>0.43</w:t>
            </w:r>
          </w:p>
        </w:tc>
        <w:tc>
          <w:tcPr>
            <w:tcW w:w="1341" w:type="dxa"/>
            <w:noWrap w:val="0"/>
            <w:vAlign w:val="center"/>
          </w:tcPr>
          <w:p w14:paraId="2189F483">
            <w:pPr>
              <w:widowControl/>
              <w:jc w:val="center"/>
              <w:rPr>
                <w:rFonts w:hint="eastAsia" w:ascii="宋体" w:hAnsi="宋体" w:cs="宋体"/>
                <w:bCs/>
                <w:sz w:val="21"/>
                <w:lang w:eastAsia="en-US" w:bidi="ar"/>
              </w:rPr>
            </w:pPr>
            <w:r>
              <w:rPr>
                <w:rFonts w:hint="eastAsia" w:ascii="宋体" w:hAnsi="宋体" w:cs="宋体"/>
                <w:bCs/>
                <w:sz w:val="21"/>
                <w:lang w:bidi="ar"/>
              </w:rPr>
              <w:t>/</w:t>
            </w:r>
          </w:p>
        </w:tc>
        <w:tc>
          <w:tcPr>
            <w:tcW w:w="1753" w:type="dxa"/>
            <w:noWrap w:val="0"/>
            <w:vAlign w:val="center"/>
          </w:tcPr>
          <w:p w14:paraId="0263EA54">
            <w:pPr>
              <w:widowControl/>
              <w:jc w:val="center"/>
              <w:rPr>
                <w:rFonts w:hint="eastAsia" w:ascii="宋体" w:hAnsi="宋体" w:cs="宋体"/>
                <w:bCs/>
                <w:sz w:val="21"/>
                <w:lang w:eastAsia="en-US" w:bidi="ar"/>
              </w:rPr>
            </w:pPr>
            <w:r>
              <w:rPr>
                <w:rFonts w:hint="eastAsia" w:ascii="宋体" w:hAnsi="宋体" w:cs="宋体"/>
                <w:bCs/>
                <w:sz w:val="21"/>
                <w:lang w:bidi="ar"/>
              </w:rPr>
              <w:t>一般固废1418.39</w:t>
            </w:r>
          </w:p>
        </w:tc>
        <w:tc>
          <w:tcPr>
            <w:tcW w:w="881" w:type="dxa"/>
            <w:noWrap w:val="0"/>
            <w:vAlign w:val="center"/>
          </w:tcPr>
          <w:p w14:paraId="0A9F4EB6">
            <w:pPr>
              <w:widowControl/>
              <w:jc w:val="center"/>
              <w:rPr>
                <w:rFonts w:hint="eastAsia" w:ascii="宋体" w:hAnsi="宋体" w:cs="宋体"/>
                <w:bCs/>
                <w:sz w:val="21"/>
                <w:lang w:eastAsia="en-US" w:bidi="ar"/>
              </w:rPr>
            </w:pPr>
            <w:r>
              <w:rPr>
                <w:rFonts w:hint="eastAsia" w:ascii="宋体" w:hAnsi="宋体" w:cs="宋体"/>
                <w:bCs/>
                <w:sz w:val="21"/>
                <w:lang w:bidi="ar"/>
              </w:rPr>
              <w:t>已投产</w:t>
            </w:r>
          </w:p>
        </w:tc>
      </w:tr>
      <w:tr w14:paraId="4A09F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1" w:hRule="atLeast"/>
        </w:trPr>
        <w:tc>
          <w:tcPr>
            <w:tcW w:w="519" w:type="dxa"/>
            <w:noWrap w:val="0"/>
            <w:vAlign w:val="center"/>
          </w:tcPr>
          <w:p w14:paraId="08EF8D74">
            <w:pPr>
              <w:widowControl/>
              <w:jc w:val="center"/>
              <w:rPr>
                <w:rFonts w:hint="eastAsia" w:ascii="宋体" w:hAnsi="宋体" w:cs="宋体"/>
                <w:bCs/>
                <w:sz w:val="21"/>
                <w:lang w:eastAsia="en-US" w:bidi="ar"/>
              </w:rPr>
            </w:pPr>
            <w:r>
              <w:rPr>
                <w:rFonts w:hint="eastAsia" w:ascii="宋体" w:hAnsi="宋体" w:cs="宋体"/>
                <w:bCs/>
                <w:sz w:val="21"/>
                <w:lang w:bidi="ar"/>
              </w:rPr>
              <w:t>56</w:t>
            </w:r>
          </w:p>
        </w:tc>
        <w:tc>
          <w:tcPr>
            <w:tcW w:w="1731" w:type="dxa"/>
            <w:noWrap w:val="0"/>
            <w:vAlign w:val="center"/>
          </w:tcPr>
          <w:p w14:paraId="155E9CF1">
            <w:pPr>
              <w:widowControl/>
              <w:jc w:val="center"/>
              <w:rPr>
                <w:rFonts w:hint="eastAsia" w:ascii="宋体" w:hAnsi="宋体" w:cs="宋体"/>
                <w:bCs/>
                <w:sz w:val="21"/>
                <w:lang w:bidi="ar"/>
              </w:rPr>
            </w:pPr>
            <w:r>
              <w:rPr>
                <w:rFonts w:hint="eastAsia" w:ascii="宋体" w:hAnsi="宋体" w:cs="宋体"/>
                <w:bCs/>
                <w:sz w:val="21"/>
                <w:lang w:bidi="ar"/>
              </w:rPr>
              <w:t>湖南合健生物科技有限公司</w:t>
            </w:r>
          </w:p>
        </w:tc>
        <w:tc>
          <w:tcPr>
            <w:tcW w:w="1514" w:type="dxa"/>
            <w:noWrap w:val="0"/>
            <w:vAlign w:val="center"/>
          </w:tcPr>
          <w:p w14:paraId="224A1D9A">
            <w:pPr>
              <w:widowControl/>
              <w:jc w:val="center"/>
              <w:rPr>
                <w:rFonts w:hint="eastAsia" w:ascii="宋体" w:hAnsi="宋体" w:cs="宋体"/>
                <w:bCs/>
                <w:sz w:val="21"/>
                <w:lang w:eastAsia="en-US" w:bidi="ar"/>
              </w:rPr>
            </w:pPr>
            <w:r>
              <w:rPr>
                <w:rFonts w:hint="eastAsia" w:ascii="宋体" w:hAnsi="宋体" w:cs="宋体"/>
                <w:bCs/>
                <w:sz w:val="21"/>
                <w:lang w:bidi="ar"/>
              </w:rPr>
              <w:t>111.852891171</w:t>
            </w:r>
          </w:p>
        </w:tc>
        <w:tc>
          <w:tcPr>
            <w:tcW w:w="1473" w:type="dxa"/>
            <w:noWrap w:val="0"/>
            <w:vAlign w:val="center"/>
          </w:tcPr>
          <w:p w14:paraId="2E65E1B6">
            <w:pPr>
              <w:widowControl/>
              <w:jc w:val="center"/>
              <w:rPr>
                <w:rFonts w:hint="eastAsia" w:ascii="宋体" w:hAnsi="宋体" w:cs="宋体"/>
                <w:bCs/>
                <w:sz w:val="21"/>
                <w:lang w:eastAsia="en-US" w:bidi="ar"/>
              </w:rPr>
            </w:pPr>
            <w:r>
              <w:rPr>
                <w:rFonts w:hint="eastAsia" w:ascii="宋体" w:hAnsi="宋体" w:cs="宋体"/>
                <w:bCs/>
                <w:sz w:val="21"/>
                <w:lang w:bidi="ar"/>
              </w:rPr>
              <w:t>29.572116662</w:t>
            </w:r>
          </w:p>
        </w:tc>
        <w:tc>
          <w:tcPr>
            <w:tcW w:w="959" w:type="dxa"/>
            <w:noWrap w:val="0"/>
            <w:vAlign w:val="center"/>
          </w:tcPr>
          <w:p w14:paraId="50C4F344">
            <w:pPr>
              <w:widowControl/>
              <w:jc w:val="center"/>
              <w:rPr>
                <w:rFonts w:hint="eastAsia" w:ascii="宋体" w:hAnsi="宋体" w:cs="宋体"/>
                <w:bCs/>
                <w:sz w:val="21"/>
                <w:lang w:eastAsia="en-US" w:bidi="ar"/>
              </w:rPr>
            </w:pPr>
            <w:r>
              <w:rPr>
                <w:rFonts w:hint="eastAsia" w:ascii="宋体" w:hAnsi="宋体" w:cs="宋体"/>
                <w:bCs/>
                <w:sz w:val="21"/>
                <w:lang w:bidi="ar"/>
              </w:rPr>
              <w:t>936</w:t>
            </w:r>
          </w:p>
        </w:tc>
        <w:tc>
          <w:tcPr>
            <w:tcW w:w="852" w:type="dxa"/>
            <w:noWrap w:val="0"/>
            <w:vAlign w:val="center"/>
          </w:tcPr>
          <w:p w14:paraId="0FDB2482">
            <w:pPr>
              <w:widowControl/>
              <w:jc w:val="center"/>
              <w:rPr>
                <w:rFonts w:hint="eastAsia" w:ascii="宋体" w:hAnsi="宋体" w:cs="宋体"/>
                <w:bCs/>
                <w:sz w:val="21"/>
                <w:lang w:eastAsia="en-US" w:bidi="ar"/>
              </w:rPr>
            </w:pPr>
            <w:r>
              <w:rPr>
                <w:rFonts w:hint="eastAsia" w:ascii="宋体" w:hAnsi="宋体" w:cs="宋体"/>
                <w:bCs/>
                <w:sz w:val="21"/>
                <w:lang w:bidi="ar"/>
              </w:rPr>
              <w:t>0.32</w:t>
            </w:r>
          </w:p>
        </w:tc>
        <w:tc>
          <w:tcPr>
            <w:tcW w:w="932" w:type="dxa"/>
            <w:noWrap w:val="0"/>
            <w:vAlign w:val="center"/>
          </w:tcPr>
          <w:p w14:paraId="25DB5D5F">
            <w:pPr>
              <w:widowControl/>
              <w:jc w:val="center"/>
              <w:rPr>
                <w:rFonts w:hint="eastAsia" w:ascii="宋体" w:hAnsi="宋体" w:cs="宋体"/>
                <w:bCs/>
                <w:sz w:val="21"/>
                <w:lang w:bidi="ar"/>
              </w:rPr>
            </w:pPr>
            <w:r>
              <w:rPr>
                <w:rFonts w:hint="eastAsia" w:ascii="宋体" w:hAnsi="宋体" w:cs="宋体"/>
                <w:bCs/>
                <w:sz w:val="21"/>
                <w:lang w:bidi="ar"/>
              </w:rPr>
              <w:t>0.008</w:t>
            </w:r>
          </w:p>
        </w:tc>
        <w:tc>
          <w:tcPr>
            <w:tcW w:w="825" w:type="dxa"/>
            <w:noWrap w:val="0"/>
            <w:vAlign w:val="center"/>
          </w:tcPr>
          <w:p w14:paraId="4048947D">
            <w:pPr>
              <w:widowControl/>
              <w:jc w:val="center"/>
              <w:rPr>
                <w:rFonts w:hint="eastAsia" w:ascii="宋体" w:hAnsi="宋体" w:cs="宋体"/>
                <w:bCs/>
                <w:sz w:val="21"/>
                <w:lang w:bidi="ar"/>
              </w:rPr>
            </w:pPr>
            <w:r>
              <w:rPr>
                <w:rFonts w:hint="eastAsia" w:ascii="宋体" w:hAnsi="宋体" w:cs="宋体"/>
                <w:bCs/>
                <w:sz w:val="21"/>
                <w:lang w:bidi="ar"/>
              </w:rPr>
              <w:t>0.2</w:t>
            </w:r>
          </w:p>
        </w:tc>
        <w:tc>
          <w:tcPr>
            <w:tcW w:w="716" w:type="dxa"/>
            <w:noWrap w:val="0"/>
            <w:vAlign w:val="center"/>
          </w:tcPr>
          <w:p w14:paraId="7E557D55">
            <w:pPr>
              <w:widowControl/>
              <w:jc w:val="center"/>
              <w:rPr>
                <w:rFonts w:hint="eastAsia" w:ascii="宋体" w:hAnsi="宋体" w:cs="宋体"/>
                <w:bCs/>
                <w:sz w:val="21"/>
                <w:lang w:bidi="ar"/>
              </w:rPr>
            </w:pPr>
            <w:r>
              <w:rPr>
                <w:rFonts w:hint="eastAsia" w:ascii="宋体" w:hAnsi="宋体" w:cs="宋体"/>
                <w:bCs/>
                <w:sz w:val="21"/>
                <w:lang w:bidi="ar"/>
              </w:rPr>
              <w:t>1.3</w:t>
            </w:r>
          </w:p>
        </w:tc>
        <w:tc>
          <w:tcPr>
            <w:tcW w:w="825" w:type="dxa"/>
            <w:noWrap w:val="0"/>
            <w:vAlign w:val="center"/>
          </w:tcPr>
          <w:p w14:paraId="3899F82F">
            <w:pPr>
              <w:widowControl/>
              <w:jc w:val="center"/>
              <w:rPr>
                <w:rFonts w:hint="eastAsia" w:ascii="宋体" w:hAnsi="宋体" w:cs="宋体"/>
                <w:bCs/>
                <w:sz w:val="21"/>
                <w:lang w:bidi="ar"/>
              </w:rPr>
            </w:pPr>
            <w:r>
              <w:rPr>
                <w:rFonts w:hint="eastAsia" w:ascii="宋体" w:hAnsi="宋体" w:cs="宋体"/>
                <w:bCs/>
                <w:sz w:val="21"/>
                <w:lang w:bidi="ar"/>
              </w:rPr>
              <w:t>0.1</w:t>
            </w:r>
          </w:p>
        </w:tc>
        <w:tc>
          <w:tcPr>
            <w:tcW w:w="1341" w:type="dxa"/>
            <w:noWrap w:val="0"/>
            <w:vAlign w:val="center"/>
          </w:tcPr>
          <w:p w14:paraId="010C7985">
            <w:pPr>
              <w:widowControl/>
              <w:jc w:val="center"/>
              <w:rPr>
                <w:rFonts w:hint="eastAsia" w:ascii="宋体" w:hAnsi="宋体" w:cs="宋体"/>
                <w:bCs/>
                <w:sz w:val="21"/>
                <w:lang w:eastAsia="en-US" w:bidi="ar"/>
              </w:rPr>
            </w:pPr>
            <w:r>
              <w:rPr>
                <w:rFonts w:hint="eastAsia" w:ascii="宋体" w:hAnsi="宋体" w:cs="宋体"/>
                <w:bCs/>
                <w:sz w:val="21"/>
                <w:lang w:bidi="ar"/>
              </w:rPr>
              <w:t>/</w:t>
            </w:r>
          </w:p>
        </w:tc>
        <w:tc>
          <w:tcPr>
            <w:tcW w:w="1753" w:type="dxa"/>
            <w:noWrap w:val="0"/>
            <w:vAlign w:val="center"/>
          </w:tcPr>
          <w:p w14:paraId="728E2465">
            <w:pPr>
              <w:widowControl/>
              <w:jc w:val="center"/>
              <w:rPr>
                <w:rFonts w:hint="eastAsia" w:ascii="宋体" w:hAnsi="宋体" w:cs="宋体"/>
                <w:bCs/>
                <w:sz w:val="21"/>
                <w:lang w:eastAsia="en-US" w:bidi="ar"/>
              </w:rPr>
            </w:pPr>
            <w:r>
              <w:rPr>
                <w:rFonts w:hint="eastAsia" w:ascii="宋体" w:hAnsi="宋体" w:cs="宋体"/>
                <w:bCs/>
                <w:sz w:val="21"/>
                <w:lang w:bidi="ar"/>
              </w:rPr>
              <w:t>一般固废335</w:t>
            </w:r>
          </w:p>
        </w:tc>
        <w:tc>
          <w:tcPr>
            <w:tcW w:w="881" w:type="dxa"/>
            <w:noWrap w:val="0"/>
            <w:vAlign w:val="center"/>
          </w:tcPr>
          <w:p w14:paraId="54315BA0">
            <w:pPr>
              <w:widowControl/>
              <w:jc w:val="center"/>
              <w:rPr>
                <w:rFonts w:hint="eastAsia" w:ascii="宋体" w:hAnsi="宋体" w:cs="宋体"/>
                <w:bCs/>
                <w:sz w:val="21"/>
                <w:lang w:eastAsia="en-US" w:bidi="ar"/>
              </w:rPr>
            </w:pPr>
            <w:r>
              <w:rPr>
                <w:rFonts w:hint="eastAsia" w:ascii="宋体" w:hAnsi="宋体" w:cs="宋体"/>
                <w:bCs/>
                <w:sz w:val="21"/>
                <w:lang w:bidi="ar"/>
              </w:rPr>
              <w:t>已投产</w:t>
            </w:r>
          </w:p>
        </w:tc>
      </w:tr>
      <w:tr w14:paraId="17C07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9" w:type="dxa"/>
            <w:noWrap w:val="0"/>
            <w:vAlign w:val="center"/>
          </w:tcPr>
          <w:p w14:paraId="388E1504">
            <w:pPr>
              <w:widowControl/>
              <w:jc w:val="center"/>
              <w:rPr>
                <w:rFonts w:hint="eastAsia" w:ascii="宋体" w:hAnsi="宋体" w:cs="宋体"/>
                <w:bCs/>
                <w:sz w:val="21"/>
                <w:lang w:eastAsia="en-US" w:bidi="ar"/>
              </w:rPr>
            </w:pPr>
            <w:r>
              <w:rPr>
                <w:rFonts w:hint="eastAsia" w:ascii="宋体" w:hAnsi="宋体" w:cs="宋体"/>
                <w:bCs/>
                <w:sz w:val="21"/>
                <w:lang w:bidi="ar"/>
              </w:rPr>
              <w:t>57</w:t>
            </w:r>
          </w:p>
        </w:tc>
        <w:tc>
          <w:tcPr>
            <w:tcW w:w="1731" w:type="dxa"/>
            <w:noWrap w:val="0"/>
            <w:vAlign w:val="center"/>
          </w:tcPr>
          <w:p w14:paraId="0ABC0293">
            <w:pPr>
              <w:widowControl/>
              <w:jc w:val="center"/>
              <w:rPr>
                <w:rFonts w:hint="eastAsia" w:ascii="宋体" w:hAnsi="宋体" w:cs="宋体"/>
                <w:bCs/>
                <w:sz w:val="21"/>
                <w:lang w:bidi="ar"/>
              </w:rPr>
            </w:pPr>
            <w:r>
              <w:rPr>
                <w:rFonts w:hint="eastAsia" w:ascii="宋体" w:hAnsi="宋体" w:cs="宋体"/>
                <w:bCs/>
                <w:sz w:val="21"/>
                <w:lang w:bidi="ar"/>
              </w:rPr>
              <w:t>湖南科益新生物医药有限公司改扩建荷尔蒙、皮质激素系列产品及中间体项目</w:t>
            </w:r>
          </w:p>
        </w:tc>
        <w:tc>
          <w:tcPr>
            <w:tcW w:w="1514" w:type="dxa"/>
            <w:noWrap w:val="0"/>
            <w:vAlign w:val="center"/>
          </w:tcPr>
          <w:p w14:paraId="7A79CF27">
            <w:pPr>
              <w:widowControl/>
              <w:jc w:val="center"/>
              <w:rPr>
                <w:rFonts w:hint="eastAsia" w:ascii="宋体" w:hAnsi="宋体" w:cs="宋体"/>
                <w:bCs/>
                <w:sz w:val="21"/>
                <w:lang w:eastAsia="en-US" w:bidi="ar"/>
              </w:rPr>
            </w:pPr>
            <w:r>
              <w:rPr>
                <w:rFonts w:hint="eastAsia" w:ascii="宋体" w:hAnsi="宋体" w:cs="宋体"/>
                <w:bCs/>
                <w:sz w:val="21"/>
                <w:lang w:bidi="ar"/>
              </w:rPr>
              <w:t>111.863971454</w:t>
            </w:r>
          </w:p>
        </w:tc>
        <w:tc>
          <w:tcPr>
            <w:tcW w:w="1473" w:type="dxa"/>
            <w:noWrap w:val="0"/>
            <w:vAlign w:val="center"/>
          </w:tcPr>
          <w:p w14:paraId="03221D12">
            <w:pPr>
              <w:widowControl/>
              <w:jc w:val="center"/>
              <w:rPr>
                <w:rFonts w:hint="eastAsia" w:ascii="宋体" w:hAnsi="宋体" w:cs="宋体"/>
                <w:bCs/>
                <w:sz w:val="21"/>
                <w:lang w:bidi="ar"/>
              </w:rPr>
            </w:pPr>
            <w:r>
              <w:rPr>
                <w:rFonts w:hint="eastAsia" w:ascii="宋体" w:hAnsi="宋体" w:cs="宋体"/>
                <w:bCs/>
                <w:sz w:val="21"/>
                <w:lang w:bidi="ar"/>
              </w:rPr>
              <w:t>29.572146530</w:t>
            </w:r>
          </w:p>
        </w:tc>
        <w:tc>
          <w:tcPr>
            <w:tcW w:w="959" w:type="dxa"/>
            <w:noWrap w:val="0"/>
            <w:vAlign w:val="center"/>
          </w:tcPr>
          <w:p w14:paraId="2B109E11">
            <w:pPr>
              <w:widowControl/>
              <w:jc w:val="center"/>
              <w:rPr>
                <w:rFonts w:hint="eastAsia" w:ascii="宋体" w:hAnsi="宋体" w:cs="宋体"/>
                <w:bCs/>
                <w:sz w:val="21"/>
                <w:lang w:bidi="ar"/>
              </w:rPr>
            </w:pPr>
            <w:r>
              <w:rPr>
                <w:rFonts w:hint="eastAsia" w:ascii="宋体" w:hAnsi="宋体" w:cs="宋体"/>
                <w:bCs/>
                <w:sz w:val="21"/>
                <w:lang w:bidi="ar"/>
              </w:rPr>
              <w:t>171442</w:t>
            </w:r>
          </w:p>
        </w:tc>
        <w:tc>
          <w:tcPr>
            <w:tcW w:w="852" w:type="dxa"/>
            <w:noWrap w:val="0"/>
            <w:vAlign w:val="center"/>
          </w:tcPr>
          <w:p w14:paraId="79EE7E3C">
            <w:pPr>
              <w:widowControl/>
              <w:jc w:val="center"/>
              <w:rPr>
                <w:rFonts w:hint="eastAsia" w:ascii="宋体" w:hAnsi="宋体" w:cs="宋体"/>
                <w:bCs/>
                <w:sz w:val="21"/>
                <w:lang w:bidi="ar"/>
              </w:rPr>
            </w:pPr>
            <w:r>
              <w:rPr>
                <w:rFonts w:hint="eastAsia" w:ascii="宋体" w:hAnsi="宋体" w:cs="宋体"/>
                <w:bCs/>
                <w:sz w:val="21"/>
                <w:lang w:bidi="ar"/>
              </w:rPr>
              <w:t>16.114</w:t>
            </w:r>
          </w:p>
        </w:tc>
        <w:tc>
          <w:tcPr>
            <w:tcW w:w="932" w:type="dxa"/>
            <w:noWrap w:val="0"/>
            <w:vAlign w:val="center"/>
          </w:tcPr>
          <w:p w14:paraId="0FA84031">
            <w:pPr>
              <w:widowControl/>
              <w:jc w:val="center"/>
              <w:rPr>
                <w:rFonts w:hint="eastAsia" w:ascii="宋体" w:hAnsi="宋体" w:cs="宋体"/>
                <w:bCs/>
                <w:sz w:val="21"/>
                <w:lang w:bidi="ar"/>
              </w:rPr>
            </w:pPr>
            <w:r>
              <w:rPr>
                <w:rFonts w:hint="eastAsia" w:ascii="宋体" w:hAnsi="宋体" w:cs="宋体"/>
                <w:bCs/>
                <w:sz w:val="21"/>
                <w:lang w:bidi="ar"/>
              </w:rPr>
              <w:t>0.553</w:t>
            </w:r>
          </w:p>
        </w:tc>
        <w:tc>
          <w:tcPr>
            <w:tcW w:w="825" w:type="dxa"/>
            <w:noWrap w:val="0"/>
            <w:vAlign w:val="center"/>
          </w:tcPr>
          <w:p w14:paraId="382251F4">
            <w:pPr>
              <w:widowControl/>
              <w:jc w:val="center"/>
              <w:rPr>
                <w:rFonts w:hint="eastAsia" w:ascii="宋体" w:hAnsi="宋体" w:cs="宋体"/>
                <w:bCs/>
                <w:sz w:val="21"/>
                <w:lang w:bidi="ar"/>
              </w:rPr>
            </w:pPr>
            <w:r>
              <w:rPr>
                <w:rFonts w:hint="eastAsia" w:ascii="宋体" w:hAnsi="宋体" w:cs="宋体"/>
                <w:bCs/>
                <w:sz w:val="21"/>
                <w:lang w:bidi="ar"/>
              </w:rPr>
              <w:t>0.0335</w:t>
            </w:r>
          </w:p>
        </w:tc>
        <w:tc>
          <w:tcPr>
            <w:tcW w:w="716" w:type="dxa"/>
            <w:noWrap w:val="0"/>
            <w:vAlign w:val="center"/>
          </w:tcPr>
          <w:p w14:paraId="2982C89C">
            <w:pPr>
              <w:widowControl/>
              <w:jc w:val="center"/>
              <w:rPr>
                <w:rFonts w:hint="eastAsia" w:ascii="宋体" w:hAnsi="宋体" w:cs="宋体"/>
                <w:bCs/>
                <w:sz w:val="21"/>
                <w:lang w:bidi="ar"/>
              </w:rPr>
            </w:pPr>
            <w:r>
              <w:rPr>
                <w:rFonts w:hint="eastAsia" w:ascii="宋体" w:hAnsi="宋体" w:cs="宋体"/>
                <w:bCs/>
                <w:sz w:val="21"/>
                <w:lang w:bidi="ar"/>
              </w:rPr>
              <w:t>0.0597</w:t>
            </w:r>
          </w:p>
        </w:tc>
        <w:tc>
          <w:tcPr>
            <w:tcW w:w="825" w:type="dxa"/>
            <w:noWrap w:val="0"/>
            <w:vAlign w:val="center"/>
          </w:tcPr>
          <w:p w14:paraId="14D7D841">
            <w:pPr>
              <w:widowControl/>
              <w:jc w:val="center"/>
              <w:rPr>
                <w:rFonts w:hint="eastAsia" w:ascii="宋体" w:hAnsi="宋体" w:cs="宋体"/>
                <w:bCs/>
                <w:sz w:val="21"/>
                <w:lang w:bidi="ar"/>
              </w:rPr>
            </w:pPr>
          </w:p>
          <w:p w14:paraId="0586A893">
            <w:pPr>
              <w:widowControl/>
              <w:jc w:val="center"/>
              <w:rPr>
                <w:rFonts w:hint="eastAsia" w:ascii="宋体" w:hAnsi="宋体" w:cs="宋体"/>
                <w:bCs/>
                <w:sz w:val="21"/>
                <w:lang w:bidi="ar"/>
              </w:rPr>
            </w:pPr>
            <w:r>
              <w:rPr>
                <w:rFonts w:hint="eastAsia" w:ascii="宋体" w:hAnsi="宋体" w:cs="宋体"/>
                <w:bCs/>
                <w:sz w:val="21"/>
                <w:lang w:bidi="ar"/>
              </w:rPr>
              <w:t>0</w:t>
            </w:r>
          </w:p>
        </w:tc>
        <w:tc>
          <w:tcPr>
            <w:tcW w:w="1341" w:type="dxa"/>
            <w:noWrap w:val="0"/>
            <w:vAlign w:val="center"/>
          </w:tcPr>
          <w:p w14:paraId="3809769A">
            <w:pPr>
              <w:widowControl/>
              <w:jc w:val="center"/>
              <w:rPr>
                <w:rFonts w:hint="eastAsia" w:ascii="宋体" w:hAnsi="宋体" w:cs="宋体"/>
                <w:bCs/>
                <w:sz w:val="21"/>
                <w:lang w:eastAsia="en-US" w:bidi="ar"/>
              </w:rPr>
            </w:pPr>
            <w:r>
              <w:rPr>
                <w:rFonts w:hint="eastAsia" w:ascii="宋体" w:hAnsi="宋体" w:cs="宋体"/>
                <w:bCs/>
                <w:sz w:val="21"/>
                <w:lang w:bidi="ar"/>
              </w:rPr>
              <w:t>VOCs62.639；丙酮31.2453；甲苯1.6597；二氯甲烷22.5922</w:t>
            </w:r>
          </w:p>
        </w:tc>
        <w:tc>
          <w:tcPr>
            <w:tcW w:w="1753" w:type="dxa"/>
            <w:noWrap w:val="0"/>
            <w:vAlign w:val="center"/>
          </w:tcPr>
          <w:p w14:paraId="142A37BA">
            <w:pPr>
              <w:widowControl/>
              <w:jc w:val="center"/>
              <w:rPr>
                <w:rFonts w:hint="eastAsia" w:ascii="宋体" w:hAnsi="宋体" w:cs="宋体"/>
                <w:bCs/>
                <w:sz w:val="21"/>
                <w:lang w:bidi="ar"/>
              </w:rPr>
            </w:pPr>
          </w:p>
          <w:p w14:paraId="6CA17267">
            <w:pPr>
              <w:widowControl/>
              <w:jc w:val="center"/>
              <w:rPr>
                <w:rFonts w:hint="eastAsia" w:ascii="宋体" w:hAnsi="宋体" w:cs="宋体"/>
                <w:bCs/>
                <w:sz w:val="21"/>
                <w:lang w:eastAsia="en-US" w:bidi="ar"/>
              </w:rPr>
            </w:pPr>
            <w:r>
              <w:rPr>
                <w:rFonts w:hint="eastAsia" w:ascii="宋体" w:hAnsi="宋体" w:cs="宋体"/>
                <w:bCs/>
                <w:sz w:val="21"/>
                <w:lang w:bidi="ar"/>
              </w:rPr>
              <w:t>一般固废925.92；危险固废863.9</w:t>
            </w:r>
          </w:p>
        </w:tc>
        <w:tc>
          <w:tcPr>
            <w:tcW w:w="881" w:type="dxa"/>
            <w:noWrap w:val="0"/>
            <w:vAlign w:val="center"/>
          </w:tcPr>
          <w:p w14:paraId="2FC6F2E0">
            <w:pPr>
              <w:widowControl/>
              <w:jc w:val="center"/>
              <w:rPr>
                <w:rFonts w:hint="eastAsia" w:ascii="宋体" w:hAnsi="宋体" w:cs="宋体"/>
                <w:bCs/>
                <w:sz w:val="21"/>
                <w:lang w:eastAsia="en-US" w:bidi="ar"/>
              </w:rPr>
            </w:pPr>
            <w:r>
              <w:rPr>
                <w:rFonts w:hint="eastAsia" w:ascii="宋体" w:hAnsi="宋体" w:cs="宋体"/>
                <w:bCs/>
                <w:sz w:val="21"/>
                <w:lang w:bidi="ar"/>
              </w:rPr>
              <w:t>已投产</w:t>
            </w:r>
          </w:p>
        </w:tc>
      </w:tr>
      <w:tr w14:paraId="45FB8609">
        <w:tblPrEx>
          <w:tblCellMar>
            <w:top w:w="0" w:type="dxa"/>
            <w:left w:w="108" w:type="dxa"/>
            <w:bottom w:w="0" w:type="dxa"/>
            <w:right w:w="108" w:type="dxa"/>
          </w:tblCellMar>
        </w:tblPrEx>
        <w:tc>
          <w:tcPr>
            <w:tcW w:w="519" w:type="dxa"/>
            <w:noWrap w:val="0"/>
            <w:vAlign w:val="center"/>
          </w:tcPr>
          <w:p w14:paraId="2C385053">
            <w:pPr>
              <w:widowControl/>
              <w:jc w:val="center"/>
              <w:rPr>
                <w:rFonts w:hint="eastAsia" w:ascii="宋体" w:hAnsi="宋体" w:cs="宋体"/>
                <w:bCs/>
                <w:sz w:val="21"/>
                <w:lang w:eastAsia="en-US" w:bidi="ar"/>
              </w:rPr>
            </w:pPr>
            <w:r>
              <w:rPr>
                <w:rFonts w:hint="eastAsia" w:ascii="宋体" w:hAnsi="宋体" w:cs="宋体"/>
                <w:bCs/>
                <w:sz w:val="21"/>
                <w:lang w:bidi="ar"/>
              </w:rPr>
              <w:t>58</w:t>
            </w:r>
          </w:p>
        </w:tc>
        <w:tc>
          <w:tcPr>
            <w:tcW w:w="1731" w:type="dxa"/>
            <w:noWrap w:val="0"/>
            <w:vAlign w:val="center"/>
          </w:tcPr>
          <w:p w14:paraId="17A9E75F">
            <w:pPr>
              <w:widowControl/>
              <w:jc w:val="center"/>
              <w:rPr>
                <w:rFonts w:hint="eastAsia" w:ascii="宋体" w:hAnsi="宋体" w:cs="宋体"/>
                <w:bCs/>
                <w:sz w:val="21"/>
                <w:lang w:bidi="ar"/>
              </w:rPr>
            </w:pPr>
            <w:r>
              <w:rPr>
                <w:rFonts w:hint="eastAsia" w:ascii="宋体" w:hAnsi="宋体" w:cs="宋体"/>
                <w:bCs/>
                <w:sz w:val="21"/>
                <w:lang w:bidi="ar"/>
              </w:rPr>
              <w:t>常德津市宁能热电有限公司</w:t>
            </w:r>
          </w:p>
        </w:tc>
        <w:tc>
          <w:tcPr>
            <w:tcW w:w="1514" w:type="dxa"/>
            <w:noWrap w:val="0"/>
            <w:vAlign w:val="center"/>
          </w:tcPr>
          <w:p w14:paraId="5713A7D1">
            <w:pPr>
              <w:widowControl/>
              <w:jc w:val="center"/>
              <w:rPr>
                <w:rFonts w:hint="eastAsia" w:ascii="宋体" w:hAnsi="宋体" w:cs="宋体"/>
                <w:bCs/>
                <w:sz w:val="21"/>
                <w:lang w:eastAsia="en-US" w:bidi="ar"/>
              </w:rPr>
            </w:pPr>
            <w:r>
              <w:rPr>
                <w:rFonts w:hint="eastAsia" w:ascii="宋体" w:hAnsi="宋体" w:cs="宋体"/>
                <w:bCs/>
                <w:sz w:val="21"/>
                <w:lang w:bidi="ar"/>
              </w:rPr>
              <w:t>111.842458626</w:t>
            </w:r>
          </w:p>
        </w:tc>
        <w:tc>
          <w:tcPr>
            <w:tcW w:w="1473" w:type="dxa"/>
            <w:noWrap w:val="0"/>
            <w:vAlign w:val="center"/>
          </w:tcPr>
          <w:p w14:paraId="5727A335">
            <w:pPr>
              <w:widowControl/>
              <w:jc w:val="center"/>
              <w:rPr>
                <w:rFonts w:hint="eastAsia" w:ascii="宋体" w:hAnsi="宋体" w:cs="宋体"/>
                <w:bCs/>
                <w:sz w:val="21"/>
                <w:lang w:eastAsia="en-US" w:bidi="ar"/>
              </w:rPr>
            </w:pPr>
            <w:r>
              <w:rPr>
                <w:rFonts w:hint="eastAsia" w:ascii="宋体" w:hAnsi="宋体" w:cs="宋体"/>
                <w:bCs/>
                <w:sz w:val="21"/>
                <w:lang w:bidi="ar"/>
              </w:rPr>
              <w:t>29.563611992</w:t>
            </w:r>
          </w:p>
        </w:tc>
        <w:tc>
          <w:tcPr>
            <w:tcW w:w="959" w:type="dxa"/>
            <w:noWrap w:val="0"/>
            <w:vAlign w:val="center"/>
          </w:tcPr>
          <w:p w14:paraId="4D93027F">
            <w:pPr>
              <w:widowControl/>
              <w:jc w:val="center"/>
              <w:rPr>
                <w:rFonts w:hint="eastAsia" w:ascii="宋体" w:hAnsi="宋体" w:cs="宋体"/>
                <w:bCs/>
                <w:sz w:val="21"/>
                <w:lang w:eastAsia="en-US" w:bidi="ar"/>
              </w:rPr>
            </w:pPr>
            <w:r>
              <w:rPr>
                <w:rFonts w:hint="eastAsia" w:ascii="宋体" w:hAnsi="宋体" w:cs="宋体"/>
                <w:bCs/>
                <w:sz w:val="21"/>
                <w:lang w:bidi="ar"/>
              </w:rPr>
              <w:t>76860</w:t>
            </w:r>
          </w:p>
        </w:tc>
        <w:tc>
          <w:tcPr>
            <w:tcW w:w="852" w:type="dxa"/>
            <w:noWrap w:val="0"/>
            <w:vAlign w:val="center"/>
          </w:tcPr>
          <w:p w14:paraId="0E8CC2A1">
            <w:pPr>
              <w:widowControl/>
              <w:jc w:val="center"/>
              <w:rPr>
                <w:rFonts w:hint="eastAsia" w:ascii="宋体" w:hAnsi="宋体" w:cs="宋体"/>
                <w:bCs/>
                <w:sz w:val="21"/>
                <w:lang w:eastAsia="en-US" w:bidi="ar"/>
              </w:rPr>
            </w:pPr>
            <w:r>
              <w:rPr>
                <w:rFonts w:hint="eastAsia" w:ascii="宋体" w:hAnsi="宋体" w:cs="宋体"/>
                <w:bCs/>
                <w:sz w:val="21"/>
                <w:lang w:bidi="ar"/>
              </w:rPr>
              <w:t>1.03</w:t>
            </w:r>
          </w:p>
        </w:tc>
        <w:tc>
          <w:tcPr>
            <w:tcW w:w="932" w:type="dxa"/>
            <w:noWrap w:val="0"/>
            <w:vAlign w:val="center"/>
          </w:tcPr>
          <w:p w14:paraId="7163898A">
            <w:pPr>
              <w:widowControl/>
              <w:jc w:val="center"/>
              <w:rPr>
                <w:rFonts w:hint="eastAsia" w:ascii="宋体" w:hAnsi="宋体" w:cs="宋体"/>
                <w:bCs/>
                <w:sz w:val="21"/>
                <w:lang w:bidi="ar"/>
              </w:rPr>
            </w:pPr>
            <w:r>
              <w:rPr>
                <w:rFonts w:hint="eastAsia" w:ascii="宋体" w:hAnsi="宋体" w:cs="宋体"/>
                <w:bCs/>
                <w:sz w:val="21"/>
                <w:lang w:bidi="ar"/>
              </w:rPr>
              <w:t>0.14</w:t>
            </w:r>
          </w:p>
        </w:tc>
        <w:tc>
          <w:tcPr>
            <w:tcW w:w="825" w:type="dxa"/>
            <w:noWrap w:val="0"/>
            <w:vAlign w:val="center"/>
          </w:tcPr>
          <w:p w14:paraId="4C152C0C">
            <w:pPr>
              <w:widowControl/>
              <w:jc w:val="center"/>
              <w:rPr>
                <w:rFonts w:hint="eastAsia" w:ascii="宋体" w:hAnsi="宋体" w:cs="宋体"/>
                <w:bCs/>
                <w:sz w:val="21"/>
                <w:lang w:bidi="ar"/>
              </w:rPr>
            </w:pPr>
            <w:r>
              <w:rPr>
                <w:rFonts w:hint="eastAsia" w:ascii="宋体" w:hAnsi="宋体" w:cs="宋体"/>
                <w:bCs/>
                <w:sz w:val="21"/>
                <w:lang w:bidi="ar"/>
              </w:rPr>
              <w:t>72.34</w:t>
            </w:r>
          </w:p>
        </w:tc>
        <w:tc>
          <w:tcPr>
            <w:tcW w:w="716" w:type="dxa"/>
            <w:noWrap w:val="0"/>
            <w:vAlign w:val="center"/>
          </w:tcPr>
          <w:p w14:paraId="0300A3ED">
            <w:pPr>
              <w:widowControl/>
              <w:jc w:val="center"/>
              <w:rPr>
                <w:rFonts w:hint="eastAsia" w:ascii="宋体" w:hAnsi="宋体" w:cs="宋体"/>
                <w:bCs/>
                <w:sz w:val="21"/>
                <w:lang w:bidi="ar"/>
              </w:rPr>
            </w:pPr>
            <w:r>
              <w:rPr>
                <w:rFonts w:hint="eastAsia" w:ascii="宋体" w:hAnsi="宋体" w:cs="宋体"/>
                <w:bCs/>
                <w:sz w:val="21"/>
                <w:lang w:bidi="ar"/>
              </w:rPr>
              <w:t>103.34</w:t>
            </w:r>
          </w:p>
        </w:tc>
        <w:tc>
          <w:tcPr>
            <w:tcW w:w="825" w:type="dxa"/>
            <w:noWrap w:val="0"/>
            <w:vAlign w:val="center"/>
          </w:tcPr>
          <w:p w14:paraId="53F8E406">
            <w:pPr>
              <w:widowControl/>
              <w:jc w:val="center"/>
              <w:rPr>
                <w:rFonts w:hint="eastAsia" w:ascii="宋体" w:hAnsi="宋体" w:cs="宋体"/>
                <w:bCs/>
                <w:sz w:val="21"/>
                <w:lang w:bidi="ar"/>
              </w:rPr>
            </w:pPr>
            <w:r>
              <w:rPr>
                <w:rFonts w:hint="eastAsia" w:ascii="宋体" w:hAnsi="宋体" w:cs="宋体"/>
                <w:bCs/>
                <w:sz w:val="21"/>
                <w:lang w:bidi="ar"/>
              </w:rPr>
              <w:t>20.67</w:t>
            </w:r>
          </w:p>
        </w:tc>
        <w:tc>
          <w:tcPr>
            <w:tcW w:w="1341" w:type="dxa"/>
            <w:noWrap w:val="0"/>
            <w:vAlign w:val="center"/>
          </w:tcPr>
          <w:p w14:paraId="653185C5">
            <w:pPr>
              <w:widowControl/>
              <w:jc w:val="center"/>
              <w:rPr>
                <w:rFonts w:hint="eastAsia" w:ascii="宋体" w:hAnsi="宋体" w:cs="宋体"/>
                <w:bCs/>
                <w:sz w:val="21"/>
                <w:lang w:eastAsia="en-US" w:bidi="ar"/>
              </w:rPr>
            </w:pPr>
            <w:r>
              <w:rPr>
                <w:rFonts w:hint="eastAsia" w:ascii="宋体" w:hAnsi="宋体" w:cs="宋体"/>
                <w:bCs/>
                <w:sz w:val="21"/>
                <w:lang w:bidi="ar"/>
              </w:rPr>
              <w:t>汞及其化合物0.04</w:t>
            </w:r>
          </w:p>
        </w:tc>
        <w:tc>
          <w:tcPr>
            <w:tcW w:w="1753" w:type="dxa"/>
            <w:noWrap w:val="0"/>
            <w:vAlign w:val="center"/>
          </w:tcPr>
          <w:p w14:paraId="12ADDF5C">
            <w:pPr>
              <w:widowControl/>
              <w:jc w:val="center"/>
              <w:rPr>
                <w:rFonts w:hint="eastAsia" w:ascii="宋体" w:hAnsi="宋体" w:cs="宋体"/>
                <w:bCs/>
                <w:sz w:val="21"/>
                <w:lang w:eastAsia="en-US" w:bidi="ar"/>
              </w:rPr>
            </w:pPr>
            <w:r>
              <w:rPr>
                <w:rFonts w:hint="eastAsia" w:ascii="宋体" w:hAnsi="宋体" w:cs="宋体"/>
                <w:bCs/>
                <w:sz w:val="21"/>
                <w:lang w:bidi="ar"/>
              </w:rPr>
              <w:t>一般固废64085；危险固废2</w:t>
            </w:r>
          </w:p>
        </w:tc>
        <w:tc>
          <w:tcPr>
            <w:tcW w:w="881" w:type="dxa"/>
            <w:noWrap w:val="0"/>
            <w:vAlign w:val="center"/>
          </w:tcPr>
          <w:p w14:paraId="7938F817">
            <w:pPr>
              <w:widowControl/>
              <w:jc w:val="center"/>
              <w:rPr>
                <w:rFonts w:hint="eastAsia" w:ascii="宋体" w:hAnsi="宋体" w:cs="宋体"/>
                <w:bCs/>
                <w:sz w:val="21"/>
                <w:lang w:eastAsia="en-US" w:bidi="ar"/>
              </w:rPr>
            </w:pPr>
            <w:r>
              <w:rPr>
                <w:rFonts w:hint="eastAsia" w:ascii="宋体" w:hAnsi="宋体" w:cs="宋体"/>
                <w:bCs/>
                <w:sz w:val="21"/>
                <w:lang w:bidi="ar"/>
              </w:rPr>
              <w:t>已投产</w:t>
            </w:r>
          </w:p>
        </w:tc>
      </w:tr>
      <w:tr w14:paraId="6F44A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9" w:type="dxa"/>
            <w:noWrap w:val="0"/>
            <w:vAlign w:val="center"/>
          </w:tcPr>
          <w:p w14:paraId="6202A7F1">
            <w:pPr>
              <w:widowControl/>
              <w:jc w:val="center"/>
              <w:rPr>
                <w:rFonts w:hint="eastAsia" w:ascii="宋体" w:hAnsi="宋体" w:cs="宋体"/>
                <w:bCs/>
                <w:sz w:val="21"/>
                <w:lang w:eastAsia="en-US" w:bidi="ar"/>
              </w:rPr>
            </w:pPr>
            <w:r>
              <w:rPr>
                <w:rFonts w:hint="eastAsia" w:ascii="宋体" w:hAnsi="宋体" w:cs="宋体"/>
                <w:bCs/>
                <w:sz w:val="21"/>
                <w:lang w:bidi="ar"/>
              </w:rPr>
              <w:t>59</w:t>
            </w:r>
          </w:p>
        </w:tc>
        <w:tc>
          <w:tcPr>
            <w:tcW w:w="1731" w:type="dxa"/>
            <w:noWrap w:val="0"/>
            <w:vAlign w:val="center"/>
          </w:tcPr>
          <w:p w14:paraId="49C8A541">
            <w:pPr>
              <w:widowControl/>
              <w:jc w:val="center"/>
              <w:rPr>
                <w:rFonts w:hint="eastAsia" w:ascii="宋体" w:hAnsi="宋体" w:cs="宋体"/>
                <w:bCs/>
                <w:sz w:val="21"/>
                <w:lang w:bidi="ar"/>
              </w:rPr>
            </w:pPr>
            <w:r>
              <w:rPr>
                <w:rFonts w:hint="eastAsia" w:ascii="宋体" w:hAnsi="宋体" w:cs="宋体"/>
                <w:bCs/>
                <w:sz w:val="21"/>
                <w:lang w:bidi="ar"/>
              </w:rPr>
              <w:t>津市市荣迪实业有限公司喷涂工序扩建项目</w:t>
            </w:r>
          </w:p>
        </w:tc>
        <w:tc>
          <w:tcPr>
            <w:tcW w:w="1514" w:type="dxa"/>
            <w:noWrap w:val="0"/>
            <w:vAlign w:val="center"/>
          </w:tcPr>
          <w:p w14:paraId="72169E36">
            <w:pPr>
              <w:widowControl/>
              <w:jc w:val="center"/>
              <w:rPr>
                <w:rFonts w:hint="eastAsia" w:ascii="宋体" w:hAnsi="宋体" w:cs="宋体"/>
                <w:bCs/>
                <w:sz w:val="21"/>
                <w:lang w:eastAsia="en-US" w:bidi="ar"/>
              </w:rPr>
            </w:pPr>
            <w:r>
              <w:rPr>
                <w:rFonts w:hint="eastAsia" w:ascii="宋体" w:hAnsi="宋体" w:cs="宋体"/>
                <w:bCs/>
                <w:sz w:val="21"/>
                <w:lang w:bidi="ar"/>
              </w:rPr>
              <w:t>111.876341166</w:t>
            </w:r>
          </w:p>
        </w:tc>
        <w:tc>
          <w:tcPr>
            <w:tcW w:w="1473" w:type="dxa"/>
            <w:noWrap w:val="0"/>
            <w:vAlign w:val="center"/>
          </w:tcPr>
          <w:p w14:paraId="3958FABF">
            <w:pPr>
              <w:widowControl/>
              <w:jc w:val="center"/>
              <w:rPr>
                <w:rFonts w:hint="eastAsia" w:ascii="宋体" w:hAnsi="宋体" w:cs="宋体"/>
                <w:bCs/>
                <w:sz w:val="21"/>
                <w:lang w:eastAsia="en-US" w:bidi="ar"/>
              </w:rPr>
            </w:pPr>
            <w:r>
              <w:rPr>
                <w:rFonts w:hint="eastAsia" w:ascii="宋体" w:hAnsi="宋体" w:cs="宋体"/>
                <w:bCs/>
                <w:sz w:val="21"/>
                <w:lang w:bidi="ar"/>
              </w:rPr>
              <w:t>29.605973098</w:t>
            </w:r>
          </w:p>
        </w:tc>
        <w:tc>
          <w:tcPr>
            <w:tcW w:w="959" w:type="dxa"/>
            <w:noWrap w:val="0"/>
            <w:vAlign w:val="center"/>
          </w:tcPr>
          <w:p w14:paraId="57F1CFD1">
            <w:pPr>
              <w:widowControl/>
              <w:jc w:val="center"/>
              <w:rPr>
                <w:rFonts w:hint="eastAsia" w:ascii="宋体" w:hAnsi="宋体" w:cs="宋体"/>
                <w:bCs/>
                <w:sz w:val="21"/>
                <w:lang w:eastAsia="en-US" w:bidi="ar"/>
              </w:rPr>
            </w:pPr>
            <w:r>
              <w:rPr>
                <w:rFonts w:hint="eastAsia" w:ascii="宋体" w:hAnsi="宋体" w:cs="宋体"/>
                <w:bCs/>
                <w:sz w:val="21"/>
                <w:lang w:bidi="ar"/>
              </w:rPr>
              <w:t>/</w:t>
            </w:r>
          </w:p>
        </w:tc>
        <w:tc>
          <w:tcPr>
            <w:tcW w:w="852" w:type="dxa"/>
            <w:noWrap w:val="0"/>
            <w:vAlign w:val="center"/>
          </w:tcPr>
          <w:p w14:paraId="6ABFCF94">
            <w:pPr>
              <w:widowControl/>
              <w:jc w:val="center"/>
              <w:rPr>
                <w:rFonts w:hint="eastAsia" w:ascii="宋体" w:hAnsi="宋体" w:cs="宋体"/>
                <w:bCs/>
                <w:sz w:val="21"/>
                <w:lang w:eastAsia="en-US" w:bidi="ar"/>
              </w:rPr>
            </w:pPr>
            <w:r>
              <w:rPr>
                <w:rFonts w:hint="eastAsia" w:ascii="宋体" w:hAnsi="宋体" w:cs="宋体"/>
                <w:bCs/>
                <w:sz w:val="21"/>
                <w:lang w:bidi="ar"/>
              </w:rPr>
              <w:t>/</w:t>
            </w:r>
          </w:p>
        </w:tc>
        <w:tc>
          <w:tcPr>
            <w:tcW w:w="932" w:type="dxa"/>
            <w:noWrap w:val="0"/>
            <w:vAlign w:val="center"/>
          </w:tcPr>
          <w:p w14:paraId="52A1A4F4">
            <w:pPr>
              <w:widowControl/>
              <w:jc w:val="center"/>
              <w:rPr>
                <w:rFonts w:hint="eastAsia" w:ascii="宋体" w:hAnsi="宋体" w:cs="宋体"/>
                <w:bCs/>
                <w:sz w:val="21"/>
                <w:lang w:bidi="ar"/>
              </w:rPr>
            </w:pPr>
            <w:r>
              <w:rPr>
                <w:rFonts w:hint="eastAsia" w:ascii="宋体" w:hAnsi="宋体" w:cs="宋体"/>
                <w:bCs/>
                <w:sz w:val="21"/>
                <w:lang w:bidi="ar"/>
              </w:rPr>
              <w:t>/</w:t>
            </w:r>
          </w:p>
        </w:tc>
        <w:tc>
          <w:tcPr>
            <w:tcW w:w="825" w:type="dxa"/>
            <w:noWrap w:val="0"/>
            <w:vAlign w:val="center"/>
          </w:tcPr>
          <w:p w14:paraId="153B6A53">
            <w:pPr>
              <w:widowControl/>
              <w:jc w:val="center"/>
              <w:rPr>
                <w:rFonts w:hint="eastAsia" w:ascii="宋体" w:hAnsi="宋体" w:cs="宋体"/>
                <w:bCs/>
                <w:sz w:val="21"/>
                <w:lang w:bidi="ar"/>
              </w:rPr>
            </w:pPr>
            <w:r>
              <w:rPr>
                <w:rFonts w:hint="eastAsia" w:ascii="宋体" w:hAnsi="宋体" w:cs="宋体"/>
                <w:bCs/>
                <w:sz w:val="21"/>
                <w:lang w:bidi="ar"/>
              </w:rPr>
              <w:t>0</w:t>
            </w:r>
          </w:p>
        </w:tc>
        <w:tc>
          <w:tcPr>
            <w:tcW w:w="716" w:type="dxa"/>
            <w:noWrap w:val="0"/>
            <w:vAlign w:val="center"/>
          </w:tcPr>
          <w:p w14:paraId="70DA0DC7">
            <w:pPr>
              <w:widowControl/>
              <w:jc w:val="center"/>
              <w:rPr>
                <w:rFonts w:hint="eastAsia" w:ascii="宋体" w:hAnsi="宋体" w:cs="宋体"/>
                <w:bCs/>
                <w:sz w:val="21"/>
                <w:lang w:bidi="ar"/>
              </w:rPr>
            </w:pPr>
            <w:r>
              <w:rPr>
                <w:rFonts w:hint="eastAsia" w:ascii="宋体" w:hAnsi="宋体" w:cs="宋体"/>
                <w:bCs/>
                <w:sz w:val="21"/>
                <w:lang w:bidi="ar"/>
              </w:rPr>
              <w:t>0</w:t>
            </w:r>
          </w:p>
        </w:tc>
        <w:tc>
          <w:tcPr>
            <w:tcW w:w="825" w:type="dxa"/>
            <w:noWrap w:val="0"/>
            <w:vAlign w:val="center"/>
          </w:tcPr>
          <w:p w14:paraId="2F0EA0DA">
            <w:pPr>
              <w:widowControl/>
              <w:jc w:val="center"/>
              <w:rPr>
                <w:rFonts w:hint="eastAsia" w:ascii="宋体" w:hAnsi="宋体" w:cs="宋体"/>
                <w:bCs/>
                <w:sz w:val="21"/>
                <w:lang w:bidi="ar"/>
              </w:rPr>
            </w:pPr>
            <w:r>
              <w:rPr>
                <w:rFonts w:hint="eastAsia" w:ascii="宋体" w:hAnsi="宋体" w:cs="宋体"/>
                <w:bCs/>
                <w:sz w:val="21"/>
                <w:lang w:bidi="ar"/>
              </w:rPr>
              <w:t>0.067</w:t>
            </w:r>
          </w:p>
        </w:tc>
        <w:tc>
          <w:tcPr>
            <w:tcW w:w="1341" w:type="dxa"/>
            <w:noWrap w:val="0"/>
            <w:vAlign w:val="center"/>
          </w:tcPr>
          <w:p w14:paraId="021E1BD5">
            <w:pPr>
              <w:widowControl/>
              <w:jc w:val="center"/>
              <w:rPr>
                <w:rFonts w:hint="eastAsia" w:ascii="宋体" w:hAnsi="宋体" w:cs="宋体"/>
                <w:bCs/>
                <w:sz w:val="21"/>
                <w:lang w:bidi="ar"/>
              </w:rPr>
            </w:pPr>
            <w:r>
              <w:rPr>
                <w:rFonts w:hint="eastAsia" w:ascii="宋体" w:hAnsi="宋体" w:cs="宋体"/>
                <w:bCs/>
                <w:sz w:val="21"/>
                <w:lang w:bidi="ar"/>
              </w:rPr>
              <w:t>VOCs1.163；</w:t>
            </w:r>
          </w:p>
          <w:p w14:paraId="321437BD">
            <w:pPr>
              <w:widowControl/>
              <w:jc w:val="center"/>
              <w:rPr>
                <w:rFonts w:hint="eastAsia" w:ascii="宋体" w:hAnsi="宋体" w:cs="宋体"/>
                <w:bCs/>
                <w:sz w:val="21"/>
                <w:lang w:eastAsia="en-US" w:bidi="ar"/>
              </w:rPr>
            </w:pPr>
            <w:r>
              <w:rPr>
                <w:rFonts w:hint="eastAsia" w:ascii="宋体" w:hAnsi="宋体" w:cs="宋体"/>
                <w:bCs/>
                <w:sz w:val="21"/>
                <w:lang w:bidi="ar"/>
              </w:rPr>
              <w:t>二甲苯0.384</w:t>
            </w:r>
          </w:p>
        </w:tc>
        <w:tc>
          <w:tcPr>
            <w:tcW w:w="1753" w:type="dxa"/>
            <w:noWrap w:val="0"/>
            <w:vAlign w:val="center"/>
          </w:tcPr>
          <w:p w14:paraId="1691F80E">
            <w:pPr>
              <w:widowControl/>
              <w:jc w:val="center"/>
              <w:rPr>
                <w:rFonts w:hint="eastAsia" w:ascii="宋体" w:hAnsi="宋体" w:cs="宋体"/>
                <w:bCs/>
                <w:sz w:val="21"/>
                <w:lang w:eastAsia="en-US" w:bidi="ar"/>
              </w:rPr>
            </w:pPr>
            <w:r>
              <w:rPr>
                <w:rFonts w:hint="eastAsia" w:ascii="宋体" w:hAnsi="宋体" w:cs="宋体"/>
                <w:bCs/>
                <w:sz w:val="21"/>
                <w:lang w:bidi="ar"/>
              </w:rPr>
              <w:t>危险固废38.9</w:t>
            </w:r>
          </w:p>
        </w:tc>
        <w:tc>
          <w:tcPr>
            <w:tcW w:w="881" w:type="dxa"/>
            <w:noWrap w:val="0"/>
            <w:vAlign w:val="center"/>
          </w:tcPr>
          <w:p w14:paraId="26FFB2F6">
            <w:pPr>
              <w:widowControl/>
              <w:jc w:val="center"/>
              <w:rPr>
                <w:rFonts w:hint="eastAsia" w:ascii="宋体" w:hAnsi="宋体" w:cs="宋体"/>
                <w:bCs/>
                <w:sz w:val="21"/>
                <w:lang w:eastAsia="en-US" w:bidi="ar"/>
              </w:rPr>
            </w:pPr>
            <w:r>
              <w:rPr>
                <w:rFonts w:hint="eastAsia" w:ascii="宋体" w:hAnsi="宋体" w:cs="宋体"/>
                <w:bCs/>
                <w:sz w:val="21"/>
                <w:lang w:bidi="ar"/>
              </w:rPr>
              <w:t>已投产</w:t>
            </w:r>
          </w:p>
        </w:tc>
      </w:tr>
      <w:tr w14:paraId="5DAD6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9" w:type="dxa"/>
            <w:noWrap w:val="0"/>
            <w:vAlign w:val="center"/>
          </w:tcPr>
          <w:p w14:paraId="78CD34F1">
            <w:pPr>
              <w:widowControl/>
              <w:jc w:val="center"/>
              <w:rPr>
                <w:rFonts w:hint="eastAsia" w:ascii="宋体" w:hAnsi="宋体" w:cs="宋体"/>
                <w:bCs/>
                <w:sz w:val="21"/>
                <w:lang w:eastAsia="en-US" w:bidi="ar"/>
              </w:rPr>
            </w:pPr>
            <w:r>
              <w:rPr>
                <w:rFonts w:hint="eastAsia" w:ascii="宋体" w:hAnsi="宋体" w:cs="宋体"/>
                <w:bCs/>
                <w:sz w:val="21"/>
                <w:lang w:bidi="ar"/>
              </w:rPr>
              <w:t>60</w:t>
            </w:r>
          </w:p>
        </w:tc>
        <w:tc>
          <w:tcPr>
            <w:tcW w:w="1731" w:type="dxa"/>
            <w:noWrap w:val="0"/>
            <w:vAlign w:val="center"/>
          </w:tcPr>
          <w:p w14:paraId="6075DD7D">
            <w:pPr>
              <w:widowControl/>
              <w:jc w:val="center"/>
              <w:rPr>
                <w:rFonts w:hint="eastAsia" w:ascii="宋体" w:hAnsi="宋体" w:cs="宋体"/>
                <w:bCs/>
                <w:sz w:val="21"/>
                <w:lang w:bidi="ar"/>
              </w:rPr>
            </w:pPr>
            <w:r>
              <w:rPr>
                <w:rFonts w:hint="eastAsia" w:ascii="宋体" w:hAnsi="宋体" w:cs="宋体"/>
                <w:bCs/>
                <w:sz w:val="21"/>
                <w:lang w:bidi="ar"/>
              </w:rPr>
              <w:t>湖南经世新材料有限责任公司</w:t>
            </w:r>
          </w:p>
        </w:tc>
        <w:tc>
          <w:tcPr>
            <w:tcW w:w="1514" w:type="dxa"/>
            <w:noWrap w:val="0"/>
            <w:vAlign w:val="center"/>
          </w:tcPr>
          <w:p w14:paraId="4CC32F83">
            <w:pPr>
              <w:widowControl/>
              <w:jc w:val="center"/>
              <w:rPr>
                <w:rFonts w:hint="eastAsia" w:ascii="宋体" w:hAnsi="宋体" w:cs="宋体"/>
                <w:bCs/>
                <w:sz w:val="21"/>
                <w:lang w:eastAsia="en-US" w:bidi="ar"/>
              </w:rPr>
            </w:pPr>
            <w:r>
              <w:rPr>
                <w:rFonts w:hint="eastAsia" w:ascii="宋体" w:hAnsi="宋体" w:cs="宋体"/>
                <w:bCs/>
                <w:sz w:val="21"/>
                <w:lang w:bidi="ar"/>
              </w:rPr>
              <w:t>111.844075813</w:t>
            </w:r>
          </w:p>
        </w:tc>
        <w:tc>
          <w:tcPr>
            <w:tcW w:w="1473" w:type="dxa"/>
            <w:noWrap w:val="0"/>
            <w:vAlign w:val="center"/>
          </w:tcPr>
          <w:p w14:paraId="65296E8E">
            <w:pPr>
              <w:widowControl/>
              <w:jc w:val="center"/>
              <w:rPr>
                <w:rFonts w:hint="eastAsia" w:ascii="宋体" w:hAnsi="宋体" w:cs="宋体"/>
                <w:bCs/>
                <w:sz w:val="21"/>
                <w:lang w:eastAsia="en-US" w:bidi="ar"/>
              </w:rPr>
            </w:pPr>
            <w:r>
              <w:rPr>
                <w:rFonts w:hint="eastAsia" w:ascii="宋体" w:hAnsi="宋体" w:cs="宋体"/>
                <w:bCs/>
                <w:sz w:val="21"/>
                <w:lang w:bidi="ar"/>
              </w:rPr>
              <w:t>29.555442143</w:t>
            </w:r>
          </w:p>
        </w:tc>
        <w:tc>
          <w:tcPr>
            <w:tcW w:w="959" w:type="dxa"/>
            <w:noWrap w:val="0"/>
            <w:vAlign w:val="center"/>
          </w:tcPr>
          <w:p w14:paraId="6184FC58">
            <w:pPr>
              <w:widowControl/>
              <w:jc w:val="center"/>
              <w:rPr>
                <w:rFonts w:hint="eastAsia" w:ascii="宋体" w:hAnsi="宋体" w:cs="宋体"/>
                <w:bCs/>
                <w:sz w:val="21"/>
                <w:lang w:eastAsia="en-US" w:bidi="ar"/>
              </w:rPr>
            </w:pPr>
            <w:r>
              <w:rPr>
                <w:rFonts w:hint="eastAsia" w:ascii="宋体" w:hAnsi="宋体" w:cs="宋体"/>
                <w:bCs/>
                <w:sz w:val="21"/>
                <w:lang w:bidi="ar"/>
              </w:rPr>
              <w:t>107115</w:t>
            </w:r>
          </w:p>
        </w:tc>
        <w:tc>
          <w:tcPr>
            <w:tcW w:w="852" w:type="dxa"/>
            <w:noWrap w:val="0"/>
            <w:vAlign w:val="center"/>
          </w:tcPr>
          <w:p w14:paraId="0A340D93">
            <w:pPr>
              <w:widowControl/>
              <w:jc w:val="center"/>
              <w:rPr>
                <w:rFonts w:hint="eastAsia" w:ascii="宋体" w:hAnsi="宋体" w:cs="宋体"/>
                <w:bCs/>
                <w:sz w:val="21"/>
                <w:lang w:eastAsia="en-US" w:bidi="ar"/>
              </w:rPr>
            </w:pPr>
            <w:r>
              <w:rPr>
                <w:rFonts w:hint="eastAsia" w:ascii="宋体" w:hAnsi="宋体" w:cs="宋体"/>
                <w:bCs/>
                <w:sz w:val="21"/>
                <w:lang w:bidi="ar"/>
              </w:rPr>
              <w:t>5.36</w:t>
            </w:r>
          </w:p>
        </w:tc>
        <w:tc>
          <w:tcPr>
            <w:tcW w:w="932" w:type="dxa"/>
            <w:noWrap w:val="0"/>
            <w:vAlign w:val="center"/>
          </w:tcPr>
          <w:p w14:paraId="60DEF967">
            <w:pPr>
              <w:widowControl/>
              <w:jc w:val="center"/>
              <w:rPr>
                <w:rFonts w:hint="eastAsia" w:ascii="宋体" w:hAnsi="宋体" w:cs="宋体"/>
                <w:bCs/>
                <w:sz w:val="21"/>
                <w:lang w:eastAsia="en-US" w:bidi="ar"/>
              </w:rPr>
            </w:pPr>
            <w:r>
              <w:rPr>
                <w:rFonts w:hint="eastAsia" w:ascii="宋体" w:hAnsi="宋体" w:cs="宋体"/>
                <w:bCs/>
                <w:sz w:val="21"/>
                <w:lang w:bidi="ar"/>
              </w:rPr>
              <w:t>0.86</w:t>
            </w:r>
          </w:p>
        </w:tc>
        <w:tc>
          <w:tcPr>
            <w:tcW w:w="825" w:type="dxa"/>
            <w:noWrap w:val="0"/>
            <w:vAlign w:val="center"/>
          </w:tcPr>
          <w:p w14:paraId="42A4C1F1">
            <w:pPr>
              <w:widowControl/>
              <w:jc w:val="center"/>
              <w:rPr>
                <w:rFonts w:hint="eastAsia" w:ascii="宋体" w:hAnsi="宋体" w:cs="宋体"/>
                <w:bCs/>
                <w:sz w:val="21"/>
                <w:lang w:bidi="ar"/>
              </w:rPr>
            </w:pPr>
            <w:r>
              <w:rPr>
                <w:rFonts w:hint="eastAsia" w:ascii="宋体" w:hAnsi="宋体" w:cs="宋体"/>
                <w:bCs/>
                <w:sz w:val="21"/>
                <w:lang w:bidi="ar"/>
              </w:rPr>
              <w:t>0.6</w:t>
            </w:r>
          </w:p>
        </w:tc>
        <w:tc>
          <w:tcPr>
            <w:tcW w:w="716" w:type="dxa"/>
            <w:noWrap w:val="0"/>
            <w:vAlign w:val="center"/>
          </w:tcPr>
          <w:p w14:paraId="6D50C38C">
            <w:pPr>
              <w:widowControl/>
              <w:jc w:val="center"/>
              <w:rPr>
                <w:rFonts w:hint="eastAsia" w:ascii="宋体" w:hAnsi="宋体" w:cs="宋体"/>
                <w:bCs/>
                <w:sz w:val="21"/>
                <w:lang w:bidi="ar"/>
              </w:rPr>
            </w:pPr>
            <w:r>
              <w:rPr>
                <w:rFonts w:hint="eastAsia" w:ascii="宋体" w:hAnsi="宋体" w:cs="宋体"/>
                <w:bCs/>
                <w:sz w:val="21"/>
                <w:lang w:bidi="ar"/>
              </w:rPr>
              <w:t>9.06</w:t>
            </w:r>
          </w:p>
        </w:tc>
        <w:tc>
          <w:tcPr>
            <w:tcW w:w="825" w:type="dxa"/>
            <w:noWrap w:val="0"/>
            <w:vAlign w:val="center"/>
          </w:tcPr>
          <w:p w14:paraId="6036268F">
            <w:pPr>
              <w:widowControl/>
              <w:jc w:val="center"/>
              <w:rPr>
                <w:rFonts w:hint="eastAsia" w:ascii="宋体" w:hAnsi="宋体" w:cs="宋体"/>
                <w:bCs/>
                <w:sz w:val="21"/>
                <w:lang w:eastAsia="en-US" w:bidi="ar"/>
              </w:rPr>
            </w:pPr>
            <w:r>
              <w:rPr>
                <w:rFonts w:hint="eastAsia" w:ascii="宋体" w:hAnsi="宋体" w:cs="宋体"/>
                <w:bCs/>
                <w:sz w:val="21"/>
                <w:lang w:bidi="ar"/>
              </w:rPr>
              <w:t>2.292</w:t>
            </w:r>
          </w:p>
        </w:tc>
        <w:tc>
          <w:tcPr>
            <w:tcW w:w="1341" w:type="dxa"/>
            <w:noWrap w:val="0"/>
            <w:vAlign w:val="center"/>
          </w:tcPr>
          <w:p w14:paraId="1462EDAC">
            <w:pPr>
              <w:widowControl/>
              <w:jc w:val="center"/>
              <w:rPr>
                <w:rFonts w:hint="eastAsia" w:ascii="宋体" w:hAnsi="宋体" w:cs="宋体"/>
                <w:bCs/>
                <w:sz w:val="21"/>
                <w:lang w:bidi="ar"/>
              </w:rPr>
            </w:pPr>
            <w:r>
              <w:rPr>
                <w:rFonts w:hint="eastAsia" w:ascii="宋体" w:hAnsi="宋体" w:cs="宋体"/>
                <w:bCs/>
                <w:sz w:val="21"/>
                <w:lang w:bidi="ar"/>
              </w:rPr>
              <w:t>VOCs5.91；氯化氢1.3</w:t>
            </w:r>
          </w:p>
        </w:tc>
        <w:tc>
          <w:tcPr>
            <w:tcW w:w="1753" w:type="dxa"/>
            <w:noWrap w:val="0"/>
            <w:vAlign w:val="center"/>
          </w:tcPr>
          <w:p w14:paraId="2F0E68E1">
            <w:pPr>
              <w:widowControl/>
              <w:jc w:val="center"/>
              <w:rPr>
                <w:rFonts w:hint="eastAsia" w:ascii="宋体" w:hAnsi="宋体" w:cs="宋体"/>
                <w:bCs/>
                <w:sz w:val="21"/>
                <w:lang w:eastAsia="en-US" w:bidi="ar"/>
              </w:rPr>
            </w:pPr>
            <w:r>
              <w:rPr>
                <w:rFonts w:hint="eastAsia" w:ascii="宋体" w:hAnsi="宋体" w:cs="宋体"/>
                <w:bCs/>
                <w:sz w:val="21"/>
                <w:lang w:bidi="ar"/>
              </w:rPr>
              <w:t>一般固废2；危险固废2193.5</w:t>
            </w:r>
          </w:p>
        </w:tc>
        <w:tc>
          <w:tcPr>
            <w:tcW w:w="881" w:type="dxa"/>
            <w:noWrap w:val="0"/>
            <w:vAlign w:val="center"/>
          </w:tcPr>
          <w:p w14:paraId="49D9B195">
            <w:pPr>
              <w:widowControl/>
              <w:jc w:val="center"/>
              <w:rPr>
                <w:rFonts w:hint="eastAsia" w:ascii="宋体" w:hAnsi="宋体" w:cs="宋体"/>
                <w:bCs/>
                <w:sz w:val="21"/>
                <w:lang w:eastAsia="en-US" w:bidi="ar"/>
              </w:rPr>
            </w:pPr>
            <w:r>
              <w:rPr>
                <w:rFonts w:hint="eastAsia" w:ascii="宋体" w:hAnsi="宋体" w:cs="宋体"/>
                <w:bCs/>
                <w:sz w:val="21"/>
                <w:lang w:bidi="ar"/>
              </w:rPr>
              <w:t>已投产</w:t>
            </w:r>
          </w:p>
        </w:tc>
      </w:tr>
      <w:tr w14:paraId="7B7E0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9" w:type="dxa"/>
            <w:noWrap w:val="0"/>
            <w:vAlign w:val="center"/>
          </w:tcPr>
          <w:p w14:paraId="1211E8BE">
            <w:pPr>
              <w:widowControl/>
              <w:jc w:val="center"/>
              <w:rPr>
                <w:rFonts w:hint="eastAsia" w:ascii="宋体" w:hAnsi="宋体" w:cs="宋体"/>
                <w:bCs/>
                <w:sz w:val="21"/>
                <w:lang w:eastAsia="en-US" w:bidi="ar"/>
              </w:rPr>
            </w:pPr>
            <w:r>
              <w:rPr>
                <w:rFonts w:hint="eastAsia" w:ascii="宋体" w:hAnsi="宋体" w:cs="宋体"/>
                <w:bCs/>
                <w:sz w:val="21"/>
                <w:lang w:bidi="ar"/>
              </w:rPr>
              <w:t>61</w:t>
            </w:r>
          </w:p>
        </w:tc>
        <w:tc>
          <w:tcPr>
            <w:tcW w:w="1731" w:type="dxa"/>
            <w:noWrap w:val="0"/>
            <w:vAlign w:val="center"/>
          </w:tcPr>
          <w:p w14:paraId="7B94FA7D">
            <w:pPr>
              <w:widowControl/>
              <w:jc w:val="center"/>
              <w:rPr>
                <w:rFonts w:hint="eastAsia" w:ascii="宋体" w:hAnsi="宋体" w:cs="宋体"/>
                <w:bCs/>
                <w:sz w:val="21"/>
                <w:lang w:bidi="ar"/>
              </w:rPr>
            </w:pPr>
            <w:r>
              <w:rPr>
                <w:rFonts w:hint="eastAsia" w:ascii="宋体" w:hAnsi="宋体" w:cs="宋体"/>
                <w:bCs/>
                <w:sz w:val="21"/>
                <w:lang w:bidi="ar"/>
              </w:rPr>
              <w:t>湖南玉津医疗科技有限公司</w:t>
            </w:r>
          </w:p>
        </w:tc>
        <w:tc>
          <w:tcPr>
            <w:tcW w:w="1514" w:type="dxa"/>
            <w:noWrap w:val="0"/>
            <w:vAlign w:val="center"/>
          </w:tcPr>
          <w:p w14:paraId="28284383">
            <w:pPr>
              <w:widowControl/>
              <w:jc w:val="center"/>
              <w:rPr>
                <w:rFonts w:hint="eastAsia" w:ascii="宋体" w:hAnsi="宋体" w:cs="宋体"/>
                <w:bCs/>
                <w:sz w:val="21"/>
                <w:lang w:eastAsia="en-US" w:bidi="ar"/>
              </w:rPr>
            </w:pPr>
            <w:r>
              <w:rPr>
                <w:rFonts w:hint="eastAsia" w:ascii="宋体" w:hAnsi="宋体" w:cs="宋体"/>
                <w:bCs/>
                <w:sz w:val="21"/>
                <w:lang w:bidi="ar"/>
              </w:rPr>
              <w:t>111.844677457</w:t>
            </w:r>
          </w:p>
        </w:tc>
        <w:tc>
          <w:tcPr>
            <w:tcW w:w="1473" w:type="dxa"/>
            <w:noWrap w:val="0"/>
            <w:vAlign w:val="center"/>
          </w:tcPr>
          <w:p w14:paraId="29CA3D09">
            <w:pPr>
              <w:widowControl/>
              <w:jc w:val="center"/>
              <w:rPr>
                <w:rFonts w:hint="eastAsia" w:ascii="宋体" w:hAnsi="宋体" w:cs="宋体"/>
                <w:bCs/>
                <w:sz w:val="21"/>
                <w:lang w:eastAsia="en-US" w:bidi="ar"/>
              </w:rPr>
            </w:pPr>
            <w:r>
              <w:rPr>
                <w:rFonts w:hint="eastAsia" w:ascii="宋体" w:hAnsi="宋体" w:cs="宋体"/>
                <w:bCs/>
                <w:sz w:val="21"/>
                <w:lang w:bidi="ar"/>
              </w:rPr>
              <w:t>29.564921477</w:t>
            </w:r>
          </w:p>
        </w:tc>
        <w:tc>
          <w:tcPr>
            <w:tcW w:w="959" w:type="dxa"/>
            <w:noWrap w:val="0"/>
            <w:vAlign w:val="center"/>
          </w:tcPr>
          <w:p w14:paraId="486FC0F6">
            <w:pPr>
              <w:widowControl/>
              <w:jc w:val="center"/>
              <w:rPr>
                <w:rFonts w:hint="eastAsia" w:ascii="宋体" w:hAnsi="宋体" w:cs="宋体"/>
                <w:bCs/>
                <w:sz w:val="21"/>
                <w:lang w:eastAsia="en-US" w:bidi="ar"/>
              </w:rPr>
            </w:pPr>
            <w:r>
              <w:rPr>
                <w:rFonts w:hint="eastAsia" w:ascii="宋体" w:hAnsi="宋体" w:cs="宋体"/>
                <w:bCs/>
                <w:sz w:val="21"/>
                <w:lang w:bidi="ar"/>
              </w:rPr>
              <w:t>11795</w:t>
            </w:r>
          </w:p>
        </w:tc>
        <w:tc>
          <w:tcPr>
            <w:tcW w:w="852" w:type="dxa"/>
            <w:noWrap w:val="0"/>
            <w:vAlign w:val="center"/>
          </w:tcPr>
          <w:p w14:paraId="78C30267">
            <w:pPr>
              <w:widowControl/>
              <w:jc w:val="center"/>
              <w:rPr>
                <w:rFonts w:hint="eastAsia" w:ascii="宋体" w:hAnsi="宋体" w:cs="宋体"/>
                <w:bCs/>
                <w:sz w:val="21"/>
                <w:lang w:eastAsia="en-US" w:bidi="ar"/>
              </w:rPr>
            </w:pPr>
            <w:r>
              <w:rPr>
                <w:rFonts w:hint="eastAsia" w:ascii="宋体" w:hAnsi="宋体" w:cs="宋体"/>
                <w:bCs/>
                <w:sz w:val="21"/>
                <w:lang w:bidi="ar"/>
              </w:rPr>
              <w:t>0.06</w:t>
            </w:r>
          </w:p>
        </w:tc>
        <w:tc>
          <w:tcPr>
            <w:tcW w:w="932" w:type="dxa"/>
            <w:noWrap w:val="0"/>
            <w:vAlign w:val="center"/>
          </w:tcPr>
          <w:p w14:paraId="24CE5D59">
            <w:pPr>
              <w:widowControl/>
              <w:jc w:val="center"/>
              <w:rPr>
                <w:rFonts w:hint="eastAsia" w:ascii="宋体" w:hAnsi="宋体" w:cs="宋体"/>
                <w:bCs/>
                <w:sz w:val="21"/>
                <w:lang w:eastAsia="en-US" w:bidi="ar"/>
              </w:rPr>
            </w:pPr>
            <w:r>
              <w:rPr>
                <w:rFonts w:hint="eastAsia" w:ascii="宋体" w:hAnsi="宋体" w:cs="宋体"/>
                <w:bCs/>
                <w:sz w:val="21"/>
                <w:lang w:bidi="ar"/>
              </w:rPr>
              <w:t>0.01</w:t>
            </w:r>
          </w:p>
        </w:tc>
        <w:tc>
          <w:tcPr>
            <w:tcW w:w="825" w:type="dxa"/>
            <w:noWrap w:val="0"/>
            <w:vAlign w:val="center"/>
          </w:tcPr>
          <w:p w14:paraId="546C7D66">
            <w:pPr>
              <w:widowControl/>
              <w:jc w:val="center"/>
              <w:rPr>
                <w:rFonts w:hint="eastAsia" w:ascii="宋体" w:hAnsi="宋体" w:cs="宋体"/>
                <w:bCs/>
                <w:sz w:val="21"/>
                <w:lang w:bidi="ar"/>
              </w:rPr>
            </w:pPr>
            <w:r>
              <w:rPr>
                <w:rFonts w:hint="eastAsia" w:ascii="宋体" w:hAnsi="宋体" w:cs="宋体"/>
                <w:bCs/>
                <w:sz w:val="21"/>
                <w:lang w:bidi="ar"/>
              </w:rPr>
              <w:t>0</w:t>
            </w:r>
          </w:p>
        </w:tc>
        <w:tc>
          <w:tcPr>
            <w:tcW w:w="716" w:type="dxa"/>
            <w:noWrap w:val="0"/>
            <w:vAlign w:val="center"/>
          </w:tcPr>
          <w:p w14:paraId="559FCF57">
            <w:pPr>
              <w:widowControl/>
              <w:jc w:val="center"/>
              <w:rPr>
                <w:rFonts w:hint="eastAsia" w:ascii="宋体" w:hAnsi="宋体" w:cs="宋体"/>
                <w:bCs/>
                <w:sz w:val="21"/>
                <w:lang w:bidi="ar"/>
              </w:rPr>
            </w:pPr>
            <w:r>
              <w:rPr>
                <w:rFonts w:hint="eastAsia" w:ascii="宋体" w:hAnsi="宋体" w:cs="宋体"/>
                <w:bCs/>
                <w:sz w:val="21"/>
                <w:lang w:bidi="ar"/>
              </w:rPr>
              <w:t>0</w:t>
            </w:r>
          </w:p>
        </w:tc>
        <w:tc>
          <w:tcPr>
            <w:tcW w:w="825" w:type="dxa"/>
            <w:noWrap w:val="0"/>
            <w:vAlign w:val="center"/>
          </w:tcPr>
          <w:p w14:paraId="4E72F1BC">
            <w:pPr>
              <w:widowControl/>
              <w:jc w:val="center"/>
              <w:rPr>
                <w:rFonts w:hint="eastAsia" w:ascii="宋体" w:hAnsi="宋体" w:cs="宋体"/>
                <w:bCs/>
                <w:sz w:val="21"/>
                <w:lang w:bidi="ar"/>
              </w:rPr>
            </w:pPr>
            <w:r>
              <w:rPr>
                <w:rFonts w:hint="eastAsia" w:ascii="宋体" w:hAnsi="宋体" w:cs="宋体"/>
                <w:bCs/>
                <w:sz w:val="21"/>
                <w:lang w:bidi="ar"/>
              </w:rPr>
              <w:t>0</w:t>
            </w:r>
          </w:p>
        </w:tc>
        <w:tc>
          <w:tcPr>
            <w:tcW w:w="1341" w:type="dxa"/>
            <w:noWrap w:val="0"/>
            <w:vAlign w:val="center"/>
          </w:tcPr>
          <w:p w14:paraId="6C54FBDE">
            <w:pPr>
              <w:widowControl/>
              <w:jc w:val="center"/>
              <w:rPr>
                <w:rFonts w:hint="eastAsia" w:ascii="宋体" w:hAnsi="宋体" w:cs="宋体"/>
                <w:bCs/>
                <w:sz w:val="21"/>
                <w:lang w:bidi="ar"/>
              </w:rPr>
            </w:pPr>
            <w:r>
              <w:rPr>
                <w:rFonts w:hint="eastAsia" w:ascii="宋体" w:hAnsi="宋体" w:cs="宋体"/>
                <w:bCs/>
                <w:sz w:val="21"/>
                <w:lang w:bidi="ar"/>
              </w:rPr>
              <w:t>/</w:t>
            </w:r>
          </w:p>
        </w:tc>
        <w:tc>
          <w:tcPr>
            <w:tcW w:w="1753" w:type="dxa"/>
            <w:noWrap w:val="0"/>
            <w:vAlign w:val="center"/>
          </w:tcPr>
          <w:p w14:paraId="727F7C49">
            <w:pPr>
              <w:widowControl/>
              <w:jc w:val="center"/>
              <w:rPr>
                <w:rFonts w:hint="eastAsia" w:ascii="宋体" w:hAnsi="宋体" w:cs="宋体"/>
                <w:bCs/>
                <w:sz w:val="21"/>
                <w:lang w:bidi="ar"/>
              </w:rPr>
            </w:pPr>
            <w:r>
              <w:rPr>
                <w:rFonts w:hint="eastAsia" w:ascii="宋体" w:hAnsi="宋体" w:cs="宋体"/>
                <w:bCs/>
                <w:sz w:val="21"/>
                <w:lang w:bidi="ar"/>
              </w:rPr>
              <w:t>一般固废0.9；危险固废（废液、废药剂瓶）</w:t>
            </w:r>
          </w:p>
          <w:p w14:paraId="545836CD">
            <w:pPr>
              <w:widowControl/>
              <w:jc w:val="center"/>
              <w:rPr>
                <w:rFonts w:hint="eastAsia" w:ascii="宋体" w:hAnsi="宋体" w:cs="宋体"/>
                <w:bCs/>
                <w:sz w:val="21"/>
                <w:lang w:eastAsia="en-US" w:bidi="ar"/>
              </w:rPr>
            </w:pPr>
            <w:r>
              <w:rPr>
                <w:rFonts w:hint="eastAsia" w:ascii="宋体" w:hAnsi="宋体" w:cs="宋体"/>
                <w:bCs/>
                <w:sz w:val="21"/>
                <w:lang w:bidi="ar"/>
              </w:rPr>
              <w:t>0.11</w:t>
            </w:r>
          </w:p>
        </w:tc>
        <w:tc>
          <w:tcPr>
            <w:tcW w:w="881" w:type="dxa"/>
            <w:noWrap w:val="0"/>
            <w:vAlign w:val="center"/>
          </w:tcPr>
          <w:p w14:paraId="3816FCEE">
            <w:pPr>
              <w:widowControl/>
              <w:jc w:val="center"/>
              <w:rPr>
                <w:rFonts w:hint="eastAsia" w:ascii="宋体" w:hAnsi="宋体" w:cs="宋体"/>
                <w:bCs/>
                <w:sz w:val="21"/>
                <w:lang w:eastAsia="en-US" w:bidi="ar"/>
              </w:rPr>
            </w:pPr>
            <w:r>
              <w:rPr>
                <w:rFonts w:hint="eastAsia" w:ascii="宋体" w:hAnsi="宋体" w:cs="宋体"/>
                <w:bCs/>
                <w:sz w:val="21"/>
                <w:lang w:bidi="ar"/>
              </w:rPr>
              <w:t>在建</w:t>
            </w:r>
          </w:p>
        </w:tc>
      </w:tr>
      <w:tr w14:paraId="7041C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9" w:type="dxa"/>
            <w:noWrap w:val="0"/>
            <w:vAlign w:val="center"/>
          </w:tcPr>
          <w:p w14:paraId="004756A9">
            <w:pPr>
              <w:widowControl/>
              <w:jc w:val="center"/>
              <w:rPr>
                <w:rFonts w:hint="eastAsia" w:ascii="宋体" w:hAnsi="宋体" w:cs="宋体"/>
                <w:bCs/>
                <w:sz w:val="21"/>
                <w:lang w:eastAsia="en-US" w:bidi="ar"/>
              </w:rPr>
            </w:pPr>
            <w:r>
              <w:rPr>
                <w:rFonts w:hint="eastAsia" w:ascii="宋体" w:hAnsi="宋体" w:cs="宋体"/>
                <w:bCs/>
                <w:sz w:val="21"/>
                <w:lang w:bidi="ar"/>
              </w:rPr>
              <w:t>62</w:t>
            </w:r>
          </w:p>
        </w:tc>
        <w:tc>
          <w:tcPr>
            <w:tcW w:w="1731" w:type="dxa"/>
            <w:noWrap w:val="0"/>
            <w:vAlign w:val="center"/>
          </w:tcPr>
          <w:p w14:paraId="578E5A8B">
            <w:pPr>
              <w:widowControl/>
              <w:jc w:val="center"/>
              <w:rPr>
                <w:rFonts w:hint="eastAsia" w:ascii="宋体" w:hAnsi="宋体" w:cs="宋体"/>
                <w:bCs/>
                <w:sz w:val="21"/>
                <w:lang w:bidi="ar"/>
              </w:rPr>
            </w:pPr>
            <w:r>
              <w:rPr>
                <w:rFonts w:hint="eastAsia" w:ascii="宋体" w:hAnsi="宋体" w:cs="宋体"/>
                <w:bCs/>
                <w:sz w:val="21"/>
                <w:lang w:bidi="ar"/>
              </w:rPr>
              <w:t>湖南鑫嘉源化工颜料有限公司年产2万吨氧化铁系列颜料产业化基地建设项目</w:t>
            </w:r>
          </w:p>
        </w:tc>
        <w:tc>
          <w:tcPr>
            <w:tcW w:w="1514" w:type="dxa"/>
            <w:noWrap w:val="0"/>
            <w:vAlign w:val="center"/>
          </w:tcPr>
          <w:p w14:paraId="73BE117C">
            <w:pPr>
              <w:widowControl/>
              <w:jc w:val="center"/>
              <w:rPr>
                <w:rFonts w:hint="eastAsia" w:ascii="宋体" w:hAnsi="宋体" w:cs="宋体"/>
                <w:bCs/>
                <w:sz w:val="21"/>
                <w:lang w:eastAsia="en-US" w:bidi="ar"/>
              </w:rPr>
            </w:pPr>
            <w:r>
              <w:rPr>
                <w:rFonts w:hint="eastAsia" w:ascii="宋体" w:hAnsi="宋体" w:cs="宋体"/>
                <w:bCs/>
                <w:sz w:val="21"/>
                <w:lang w:bidi="ar"/>
              </w:rPr>
              <w:t>111.874110578</w:t>
            </w:r>
          </w:p>
        </w:tc>
        <w:tc>
          <w:tcPr>
            <w:tcW w:w="1473" w:type="dxa"/>
            <w:noWrap w:val="0"/>
            <w:vAlign w:val="center"/>
          </w:tcPr>
          <w:p w14:paraId="49A22A8C">
            <w:pPr>
              <w:widowControl/>
              <w:jc w:val="center"/>
              <w:rPr>
                <w:rFonts w:hint="eastAsia" w:ascii="宋体" w:hAnsi="宋体" w:cs="宋体"/>
                <w:bCs/>
                <w:sz w:val="21"/>
                <w:lang w:eastAsia="en-US" w:bidi="ar"/>
              </w:rPr>
            </w:pPr>
            <w:r>
              <w:rPr>
                <w:rFonts w:hint="eastAsia" w:ascii="宋体" w:hAnsi="宋体" w:cs="宋体"/>
                <w:bCs/>
                <w:sz w:val="21"/>
                <w:lang w:bidi="ar"/>
              </w:rPr>
              <w:t>29.563426385</w:t>
            </w:r>
          </w:p>
        </w:tc>
        <w:tc>
          <w:tcPr>
            <w:tcW w:w="959" w:type="dxa"/>
            <w:noWrap w:val="0"/>
            <w:vAlign w:val="center"/>
          </w:tcPr>
          <w:p w14:paraId="0770D18B">
            <w:pPr>
              <w:widowControl/>
              <w:jc w:val="center"/>
              <w:rPr>
                <w:rFonts w:hint="eastAsia" w:ascii="宋体" w:hAnsi="宋体" w:cs="宋体"/>
                <w:bCs/>
                <w:sz w:val="21"/>
                <w:lang w:eastAsia="en-US" w:bidi="ar"/>
              </w:rPr>
            </w:pPr>
            <w:r>
              <w:rPr>
                <w:rFonts w:hint="eastAsia" w:ascii="宋体" w:hAnsi="宋体" w:cs="宋体"/>
                <w:bCs/>
                <w:sz w:val="21"/>
                <w:lang w:bidi="ar"/>
              </w:rPr>
              <w:t>292323</w:t>
            </w:r>
          </w:p>
        </w:tc>
        <w:tc>
          <w:tcPr>
            <w:tcW w:w="852" w:type="dxa"/>
            <w:noWrap w:val="0"/>
            <w:vAlign w:val="center"/>
          </w:tcPr>
          <w:p w14:paraId="2AD43A77">
            <w:pPr>
              <w:widowControl/>
              <w:jc w:val="center"/>
              <w:rPr>
                <w:rFonts w:hint="eastAsia" w:ascii="宋体" w:hAnsi="宋体" w:cs="宋体"/>
                <w:bCs/>
                <w:sz w:val="21"/>
                <w:lang w:bidi="ar"/>
              </w:rPr>
            </w:pPr>
            <w:r>
              <w:rPr>
                <w:rFonts w:hint="eastAsia" w:ascii="宋体" w:hAnsi="宋体" w:cs="宋体"/>
                <w:bCs/>
                <w:sz w:val="21"/>
                <w:lang w:bidi="ar"/>
              </w:rPr>
              <w:t>14.616</w:t>
            </w:r>
          </w:p>
        </w:tc>
        <w:tc>
          <w:tcPr>
            <w:tcW w:w="932" w:type="dxa"/>
            <w:noWrap w:val="0"/>
            <w:vAlign w:val="center"/>
          </w:tcPr>
          <w:p w14:paraId="4D563533">
            <w:pPr>
              <w:widowControl/>
              <w:jc w:val="center"/>
              <w:rPr>
                <w:rFonts w:hint="eastAsia" w:ascii="宋体" w:hAnsi="宋体" w:cs="宋体"/>
                <w:bCs/>
                <w:sz w:val="21"/>
                <w:lang w:bidi="ar"/>
              </w:rPr>
            </w:pPr>
            <w:r>
              <w:rPr>
                <w:rFonts w:hint="eastAsia" w:ascii="宋体" w:hAnsi="宋体" w:cs="宋体"/>
                <w:bCs/>
                <w:sz w:val="21"/>
                <w:lang w:bidi="ar"/>
              </w:rPr>
              <w:t>2.339</w:t>
            </w:r>
          </w:p>
        </w:tc>
        <w:tc>
          <w:tcPr>
            <w:tcW w:w="825" w:type="dxa"/>
            <w:noWrap w:val="0"/>
            <w:vAlign w:val="center"/>
          </w:tcPr>
          <w:p w14:paraId="7CCD72DB">
            <w:pPr>
              <w:widowControl/>
              <w:jc w:val="center"/>
              <w:rPr>
                <w:rFonts w:hint="eastAsia" w:ascii="宋体" w:hAnsi="宋体" w:cs="宋体"/>
                <w:bCs/>
                <w:sz w:val="21"/>
                <w:lang w:bidi="ar"/>
              </w:rPr>
            </w:pPr>
            <w:r>
              <w:rPr>
                <w:rFonts w:hint="eastAsia" w:ascii="宋体" w:hAnsi="宋体" w:cs="宋体"/>
                <w:bCs/>
                <w:sz w:val="21"/>
                <w:lang w:bidi="ar"/>
              </w:rPr>
              <w:t>0.297</w:t>
            </w:r>
          </w:p>
        </w:tc>
        <w:tc>
          <w:tcPr>
            <w:tcW w:w="716" w:type="dxa"/>
            <w:noWrap w:val="0"/>
            <w:vAlign w:val="center"/>
          </w:tcPr>
          <w:p w14:paraId="23EC4CAC">
            <w:pPr>
              <w:widowControl/>
              <w:jc w:val="center"/>
              <w:rPr>
                <w:rFonts w:hint="eastAsia" w:ascii="宋体" w:hAnsi="宋体" w:cs="宋体"/>
                <w:bCs/>
                <w:sz w:val="21"/>
                <w:lang w:bidi="ar"/>
              </w:rPr>
            </w:pPr>
            <w:r>
              <w:rPr>
                <w:rFonts w:hint="eastAsia" w:ascii="宋体" w:hAnsi="宋体" w:cs="宋体"/>
                <w:bCs/>
                <w:sz w:val="21"/>
                <w:lang w:bidi="ar"/>
              </w:rPr>
              <w:t>5.765</w:t>
            </w:r>
          </w:p>
        </w:tc>
        <w:tc>
          <w:tcPr>
            <w:tcW w:w="825" w:type="dxa"/>
            <w:noWrap w:val="0"/>
            <w:vAlign w:val="center"/>
          </w:tcPr>
          <w:p w14:paraId="185C6A39">
            <w:pPr>
              <w:widowControl/>
              <w:jc w:val="center"/>
              <w:rPr>
                <w:rFonts w:hint="eastAsia" w:ascii="宋体" w:hAnsi="宋体" w:cs="宋体"/>
                <w:bCs/>
                <w:sz w:val="21"/>
                <w:lang w:eastAsia="en-US" w:bidi="ar"/>
              </w:rPr>
            </w:pPr>
            <w:r>
              <w:rPr>
                <w:rFonts w:hint="eastAsia" w:ascii="宋体" w:hAnsi="宋体" w:cs="宋体"/>
                <w:bCs/>
                <w:sz w:val="21"/>
                <w:lang w:bidi="ar"/>
              </w:rPr>
              <w:t>1.28</w:t>
            </w:r>
          </w:p>
        </w:tc>
        <w:tc>
          <w:tcPr>
            <w:tcW w:w="1341" w:type="dxa"/>
            <w:noWrap w:val="0"/>
            <w:vAlign w:val="center"/>
          </w:tcPr>
          <w:p w14:paraId="4B58BBEF">
            <w:pPr>
              <w:widowControl/>
              <w:jc w:val="center"/>
              <w:rPr>
                <w:rFonts w:hint="eastAsia" w:ascii="宋体" w:hAnsi="宋体" w:cs="宋体"/>
                <w:bCs/>
                <w:sz w:val="21"/>
                <w:lang w:bidi="ar"/>
              </w:rPr>
            </w:pPr>
            <w:r>
              <w:rPr>
                <w:rFonts w:hint="eastAsia" w:ascii="宋体" w:hAnsi="宋体" w:cs="宋体"/>
                <w:bCs/>
                <w:sz w:val="21"/>
                <w:lang w:bidi="ar"/>
              </w:rPr>
              <w:t>/</w:t>
            </w:r>
          </w:p>
        </w:tc>
        <w:tc>
          <w:tcPr>
            <w:tcW w:w="1753" w:type="dxa"/>
            <w:noWrap w:val="0"/>
            <w:vAlign w:val="center"/>
          </w:tcPr>
          <w:p w14:paraId="4D9A9187">
            <w:pPr>
              <w:widowControl/>
              <w:jc w:val="center"/>
              <w:rPr>
                <w:rFonts w:hint="eastAsia" w:ascii="宋体" w:hAnsi="宋体" w:cs="宋体"/>
                <w:bCs/>
                <w:sz w:val="21"/>
                <w:lang w:bidi="ar"/>
              </w:rPr>
            </w:pPr>
            <w:r>
              <w:rPr>
                <w:rFonts w:hint="eastAsia" w:ascii="宋体" w:hAnsi="宋体" w:cs="宋体"/>
                <w:bCs/>
                <w:sz w:val="21"/>
                <w:lang w:bidi="ar"/>
              </w:rPr>
              <w:t>一般固废33.12；危险固废（废液、废药剂瓶）3211.094</w:t>
            </w:r>
          </w:p>
        </w:tc>
        <w:tc>
          <w:tcPr>
            <w:tcW w:w="881" w:type="dxa"/>
            <w:noWrap w:val="0"/>
            <w:vAlign w:val="center"/>
          </w:tcPr>
          <w:p w14:paraId="46AC3F5A">
            <w:pPr>
              <w:widowControl/>
              <w:jc w:val="center"/>
              <w:rPr>
                <w:rFonts w:hint="eastAsia" w:ascii="宋体" w:hAnsi="宋体" w:cs="宋体"/>
                <w:bCs/>
                <w:sz w:val="21"/>
                <w:lang w:eastAsia="en-US" w:bidi="ar"/>
              </w:rPr>
            </w:pPr>
            <w:r>
              <w:rPr>
                <w:rFonts w:hint="eastAsia" w:ascii="宋体" w:hAnsi="宋体" w:cs="宋体"/>
                <w:bCs/>
                <w:sz w:val="21"/>
                <w:lang w:bidi="ar"/>
              </w:rPr>
              <w:t>在建</w:t>
            </w:r>
          </w:p>
        </w:tc>
      </w:tr>
      <w:tr w14:paraId="6EC94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9" w:type="dxa"/>
            <w:noWrap w:val="0"/>
            <w:vAlign w:val="center"/>
          </w:tcPr>
          <w:p w14:paraId="664E448F">
            <w:pPr>
              <w:widowControl/>
              <w:jc w:val="center"/>
              <w:rPr>
                <w:rFonts w:hint="eastAsia" w:ascii="宋体" w:hAnsi="宋体" w:cs="宋体"/>
                <w:bCs/>
                <w:sz w:val="21"/>
                <w:lang w:eastAsia="en-US" w:bidi="ar"/>
              </w:rPr>
            </w:pPr>
            <w:r>
              <w:rPr>
                <w:rFonts w:hint="eastAsia" w:ascii="宋体" w:hAnsi="宋体" w:cs="宋体"/>
                <w:bCs/>
                <w:sz w:val="21"/>
                <w:lang w:bidi="ar"/>
              </w:rPr>
              <w:t>63</w:t>
            </w:r>
          </w:p>
        </w:tc>
        <w:tc>
          <w:tcPr>
            <w:tcW w:w="1731" w:type="dxa"/>
            <w:noWrap w:val="0"/>
            <w:vAlign w:val="center"/>
          </w:tcPr>
          <w:p w14:paraId="7B8BE37E">
            <w:pPr>
              <w:widowControl/>
              <w:jc w:val="center"/>
              <w:rPr>
                <w:rFonts w:hint="eastAsia" w:ascii="宋体" w:hAnsi="宋体" w:cs="宋体"/>
                <w:bCs/>
                <w:sz w:val="21"/>
                <w:lang w:bidi="ar"/>
              </w:rPr>
            </w:pPr>
            <w:r>
              <w:rPr>
                <w:rFonts w:hint="eastAsia" w:ascii="宋体" w:hAnsi="宋体" w:cs="宋体"/>
                <w:bCs/>
                <w:sz w:val="21"/>
                <w:lang w:bidi="ar"/>
              </w:rPr>
              <w:t>湖南嵘鑫风管制造有限公司</w:t>
            </w:r>
          </w:p>
        </w:tc>
        <w:tc>
          <w:tcPr>
            <w:tcW w:w="1514" w:type="dxa"/>
            <w:noWrap w:val="0"/>
            <w:vAlign w:val="center"/>
          </w:tcPr>
          <w:p w14:paraId="7BDCA264">
            <w:pPr>
              <w:widowControl/>
              <w:jc w:val="center"/>
              <w:rPr>
                <w:rFonts w:hint="eastAsia" w:ascii="宋体" w:hAnsi="宋体" w:cs="宋体"/>
                <w:bCs/>
                <w:sz w:val="21"/>
                <w:lang w:eastAsia="en-US" w:bidi="ar"/>
              </w:rPr>
            </w:pPr>
            <w:r>
              <w:rPr>
                <w:rFonts w:hint="eastAsia" w:ascii="宋体" w:hAnsi="宋体" w:cs="宋体"/>
                <w:bCs/>
                <w:sz w:val="21"/>
                <w:lang w:bidi="ar"/>
              </w:rPr>
              <w:t>111.842194999</w:t>
            </w:r>
          </w:p>
        </w:tc>
        <w:tc>
          <w:tcPr>
            <w:tcW w:w="1473" w:type="dxa"/>
            <w:noWrap w:val="0"/>
            <w:vAlign w:val="center"/>
          </w:tcPr>
          <w:p w14:paraId="65855866">
            <w:pPr>
              <w:widowControl/>
              <w:jc w:val="center"/>
              <w:rPr>
                <w:rFonts w:hint="eastAsia" w:ascii="宋体" w:hAnsi="宋体" w:cs="宋体"/>
                <w:bCs/>
                <w:sz w:val="21"/>
                <w:lang w:eastAsia="en-US" w:bidi="ar"/>
              </w:rPr>
            </w:pPr>
            <w:r>
              <w:rPr>
                <w:rFonts w:hint="eastAsia" w:ascii="宋体" w:hAnsi="宋体" w:cs="宋体"/>
                <w:bCs/>
                <w:sz w:val="21"/>
                <w:lang w:bidi="ar"/>
              </w:rPr>
              <w:t>29.567176147</w:t>
            </w:r>
          </w:p>
        </w:tc>
        <w:tc>
          <w:tcPr>
            <w:tcW w:w="959" w:type="dxa"/>
            <w:noWrap w:val="0"/>
            <w:vAlign w:val="center"/>
          </w:tcPr>
          <w:p w14:paraId="4E3E6D29">
            <w:pPr>
              <w:widowControl/>
              <w:jc w:val="center"/>
              <w:rPr>
                <w:rFonts w:hint="eastAsia" w:ascii="宋体" w:hAnsi="宋体" w:cs="宋体"/>
                <w:bCs/>
                <w:sz w:val="21"/>
                <w:lang w:eastAsia="en-US" w:bidi="ar"/>
              </w:rPr>
            </w:pPr>
            <w:r>
              <w:rPr>
                <w:rFonts w:hint="eastAsia" w:ascii="宋体" w:hAnsi="宋体" w:cs="宋体"/>
                <w:bCs/>
                <w:sz w:val="21"/>
                <w:lang w:bidi="ar"/>
              </w:rPr>
              <w:t>1020</w:t>
            </w:r>
          </w:p>
        </w:tc>
        <w:tc>
          <w:tcPr>
            <w:tcW w:w="852" w:type="dxa"/>
            <w:noWrap w:val="0"/>
            <w:vAlign w:val="center"/>
          </w:tcPr>
          <w:p w14:paraId="01CEF93D">
            <w:pPr>
              <w:widowControl/>
              <w:jc w:val="center"/>
              <w:rPr>
                <w:rFonts w:hint="eastAsia" w:ascii="宋体" w:hAnsi="宋体" w:cs="宋体"/>
                <w:bCs/>
                <w:sz w:val="21"/>
                <w:lang w:eastAsia="en-US" w:bidi="ar"/>
              </w:rPr>
            </w:pPr>
            <w:r>
              <w:rPr>
                <w:rFonts w:hint="eastAsia" w:ascii="宋体" w:hAnsi="宋体" w:cs="宋体"/>
                <w:bCs/>
                <w:sz w:val="21"/>
                <w:lang w:bidi="ar"/>
              </w:rPr>
              <w:t>0.051</w:t>
            </w:r>
          </w:p>
        </w:tc>
        <w:tc>
          <w:tcPr>
            <w:tcW w:w="932" w:type="dxa"/>
            <w:noWrap w:val="0"/>
            <w:vAlign w:val="center"/>
          </w:tcPr>
          <w:p w14:paraId="44D12A4E">
            <w:pPr>
              <w:widowControl/>
              <w:jc w:val="center"/>
              <w:rPr>
                <w:rFonts w:hint="eastAsia" w:ascii="宋体" w:hAnsi="宋体" w:cs="宋体"/>
                <w:bCs/>
                <w:sz w:val="21"/>
                <w:lang w:eastAsia="en-US" w:bidi="ar"/>
              </w:rPr>
            </w:pPr>
            <w:r>
              <w:rPr>
                <w:rFonts w:hint="eastAsia" w:ascii="宋体" w:hAnsi="宋体" w:cs="宋体"/>
                <w:bCs/>
                <w:sz w:val="21"/>
                <w:lang w:bidi="ar"/>
              </w:rPr>
              <w:t>0.005</w:t>
            </w:r>
          </w:p>
        </w:tc>
        <w:tc>
          <w:tcPr>
            <w:tcW w:w="825" w:type="dxa"/>
            <w:noWrap w:val="0"/>
            <w:vAlign w:val="center"/>
          </w:tcPr>
          <w:p w14:paraId="37821E57">
            <w:pPr>
              <w:widowControl/>
              <w:jc w:val="center"/>
              <w:rPr>
                <w:rFonts w:hint="eastAsia" w:ascii="宋体" w:hAnsi="宋体" w:cs="宋体"/>
                <w:bCs/>
                <w:sz w:val="21"/>
                <w:lang w:bidi="ar"/>
              </w:rPr>
            </w:pPr>
            <w:r>
              <w:rPr>
                <w:rFonts w:hint="eastAsia" w:ascii="宋体" w:hAnsi="宋体" w:cs="宋体"/>
                <w:bCs/>
                <w:sz w:val="21"/>
                <w:lang w:bidi="ar"/>
              </w:rPr>
              <w:t>0</w:t>
            </w:r>
          </w:p>
        </w:tc>
        <w:tc>
          <w:tcPr>
            <w:tcW w:w="716" w:type="dxa"/>
            <w:noWrap w:val="0"/>
            <w:vAlign w:val="center"/>
          </w:tcPr>
          <w:p w14:paraId="259DE1C8">
            <w:pPr>
              <w:widowControl/>
              <w:jc w:val="center"/>
              <w:rPr>
                <w:rFonts w:hint="eastAsia" w:ascii="宋体" w:hAnsi="宋体" w:cs="宋体"/>
                <w:bCs/>
                <w:sz w:val="21"/>
                <w:lang w:bidi="ar"/>
              </w:rPr>
            </w:pPr>
            <w:r>
              <w:rPr>
                <w:rFonts w:hint="eastAsia" w:ascii="宋体" w:hAnsi="宋体" w:cs="宋体"/>
                <w:bCs/>
                <w:sz w:val="21"/>
                <w:lang w:bidi="ar"/>
              </w:rPr>
              <w:t>0</w:t>
            </w:r>
          </w:p>
        </w:tc>
        <w:tc>
          <w:tcPr>
            <w:tcW w:w="825" w:type="dxa"/>
            <w:noWrap w:val="0"/>
            <w:vAlign w:val="center"/>
          </w:tcPr>
          <w:p w14:paraId="50DDD447">
            <w:pPr>
              <w:widowControl/>
              <w:jc w:val="center"/>
              <w:rPr>
                <w:rFonts w:hint="eastAsia" w:ascii="宋体" w:hAnsi="宋体" w:cs="宋体"/>
                <w:bCs/>
                <w:sz w:val="21"/>
                <w:lang w:bidi="ar"/>
              </w:rPr>
            </w:pPr>
            <w:r>
              <w:rPr>
                <w:rFonts w:hint="eastAsia" w:ascii="宋体" w:hAnsi="宋体" w:cs="宋体"/>
                <w:bCs/>
                <w:sz w:val="21"/>
                <w:lang w:bidi="ar"/>
              </w:rPr>
              <w:t>0</w:t>
            </w:r>
          </w:p>
        </w:tc>
        <w:tc>
          <w:tcPr>
            <w:tcW w:w="1341" w:type="dxa"/>
            <w:noWrap w:val="0"/>
            <w:vAlign w:val="center"/>
          </w:tcPr>
          <w:p w14:paraId="196BF11C">
            <w:pPr>
              <w:widowControl/>
              <w:jc w:val="center"/>
              <w:rPr>
                <w:rFonts w:hint="eastAsia" w:ascii="宋体" w:hAnsi="宋体" w:cs="宋体"/>
                <w:bCs/>
                <w:sz w:val="21"/>
                <w:lang w:bidi="ar"/>
              </w:rPr>
            </w:pPr>
            <w:r>
              <w:rPr>
                <w:rFonts w:hint="eastAsia" w:ascii="宋体" w:hAnsi="宋体" w:cs="宋体"/>
                <w:bCs/>
                <w:sz w:val="21"/>
                <w:lang w:bidi="ar"/>
              </w:rPr>
              <w:t>VOCs：0.263</w:t>
            </w:r>
          </w:p>
        </w:tc>
        <w:tc>
          <w:tcPr>
            <w:tcW w:w="1753" w:type="dxa"/>
            <w:noWrap w:val="0"/>
            <w:vAlign w:val="center"/>
          </w:tcPr>
          <w:p w14:paraId="460B49E3">
            <w:pPr>
              <w:widowControl/>
              <w:jc w:val="center"/>
              <w:rPr>
                <w:rFonts w:hint="eastAsia" w:ascii="宋体" w:hAnsi="宋体" w:cs="宋体"/>
                <w:bCs/>
                <w:sz w:val="21"/>
                <w:lang w:bidi="ar"/>
              </w:rPr>
            </w:pPr>
            <w:r>
              <w:rPr>
                <w:rFonts w:hint="eastAsia" w:ascii="宋体" w:hAnsi="宋体" w:cs="宋体"/>
                <w:bCs/>
                <w:sz w:val="21"/>
                <w:lang w:bidi="ar"/>
              </w:rPr>
              <w:t>一般固废17；危险固废（废液、废药剂瓶）</w:t>
            </w:r>
          </w:p>
          <w:p w14:paraId="4357CA97">
            <w:pPr>
              <w:widowControl/>
              <w:jc w:val="center"/>
              <w:rPr>
                <w:rFonts w:hint="eastAsia" w:ascii="宋体" w:hAnsi="宋体" w:cs="宋体"/>
                <w:bCs/>
                <w:sz w:val="21"/>
                <w:lang w:eastAsia="en-US" w:bidi="ar"/>
              </w:rPr>
            </w:pPr>
            <w:r>
              <w:rPr>
                <w:rFonts w:hint="eastAsia" w:ascii="宋体" w:hAnsi="宋体" w:cs="宋体"/>
                <w:bCs/>
                <w:sz w:val="21"/>
                <w:lang w:bidi="ar"/>
              </w:rPr>
              <w:t>1.81</w:t>
            </w:r>
          </w:p>
        </w:tc>
        <w:tc>
          <w:tcPr>
            <w:tcW w:w="881" w:type="dxa"/>
            <w:noWrap w:val="0"/>
            <w:vAlign w:val="center"/>
          </w:tcPr>
          <w:p w14:paraId="3BD6C001">
            <w:pPr>
              <w:widowControl/>
              <w:jc w:val="center"/>
              <w:rPr>
                <w:rFonts w:hint="eastAsia" w:ascii="宋体" w:hAnsi="宋体" w:cs="宋体"/>
                <w:bCs/>
                <w:sz w:val="21"/>
                <w:lang w:eastAsia="en-US" w:bidi="ar"/>
              </w:rPr>
            </w:pPr>
            <w:r>
              <w:rPr>
                <w:rFonts w:hint="eastAsia" w:ascii="宋体" w:hAnsi="宋体" w:cs="宋体"/>
                <w:bCs/>
                <w:sz w:val="21"/>
                <w:lang w:bidi="ar"/>
              </w:rPr>
              <w:t>在建</w:t>
            </w:r>
          </w:p>
        </w:tc>
      </w:tr>
      <w:tr w14:paraId="41E93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9" w:type="dxa"/>
            <w:noWrap w:val="0"/>
            <w:vAlign w:val="center"/>
          </w:tcPr>
          <w:p w14:paraId="5C4E2E25">
            <w:pPr>
              <w:widowControl/>
              <w:jc w:val="center"/>
              <w:rPr>
                <w:rFonts w:hint="eastAsia" w:ascii="宋体" w:hAnsi="宋体" w:cs="宋体"/>
                <w:bCs/>
                <w:sz w:val="21"/>
                <w:lang w:eastAsia="en-US" w:bidi="ar"/>
              </w:rPr>
            </w:pPr>
            <w:r>
              <w:rPr>
                <w:rFonts w:hint="eastAsia" w:ascii="宋体" w:hAnsi="宋体" w:cs="宋体"/>
                <w:bCs/>
                <w:sz w:val="21"/>
                <w:lang w:bidi="ar"/>
              </w:rPr>
              <w:t>64</w:t>
            </w:r>
          </w:p>
        </w:tc>
        <w:tc>
          <w:tcPr>
            <w:tcW w:w="1731" w:type="dxa"/>
            <w:noWrap w:val="0"/>
            <w:vAlign w:val="center"/>
          </w:tcPr>
          <w:p w14:paraId="40D3F9A6">
            <w:pPr>
              <w:widowControl/>
              <w:jc w:val="center"/>
              <w:rPr>
                <w:rFonts w:hint="eastAsia" w:ascii="宋体" w:hAnsi="宋体" w:cs="宋体"/>
                <w:bCs/>
                <w:sz w:val="21"/>
                <w:lang w:bidi="ar"/>
              </w:rPr>
            </w:pPr>
            <w:r>
              <w:rPr>
                <w:rFonts w:hint="eastAsia" w:ascii="宋体" w:hAnsi="宋体" w:cs="宋体"/>
                <w:bCs/>
                <w:sz w:val="21"/>
                <w:lang w:bidi="ar"/>
              </w:rPr>
              <w:t>湖南台龙食品科技有限公司</w:t>
            </w:r>
          </w:p>
        </w:tc>
        <w:tc>
          <w:tcPr>
            <w:tcW w:w="1514" w:type="dxa"/>
            <w:noWrap w:val="0"/>
            <w:vAlign w:val="center"/>
          </w:tcPr>
          <w:p w14:paraId="5AFB6BEB">
            <w:pPr>
              <w:widowControl/>
              <w:jc w:val="center"/>
              <w:rPr>
                <w:rFonts w:hint="eastAsia" w:ascii="宋体" w:hAnsi="宋体" w:cs="宋体"/>
                <w:bCs/>
                <w:sz w:val="21"/>
                <w:lang w:eastAsia="en-US" w:bidi="ar"/>
              </w:rPr>
            </w:pPr>
            <w:r>
              <w:rPr>
                <w:rFonts w:hint="eastAsia" w:ascii="宋体" w:hAnsi="宋体" w:cs="宋体"/>
                <w:bCs/>
                <w:sz w:val="21"/>
                <w:lang w:bidi="ar"/>
              </w:rPr>
              <w:t>111.854142177</w:t>
            </w:r>
          </w:p>
        </w:tc>
        <w:tc>
          <w:tcPr>
            <w:tcW w:w="1473" w:type="dxa"/>
            <w:noWrap w:val="0"/>
            <w:vAlign w:val="center"/>
          </w:tcPr>
          <w:p w14:paraId="03915438">
            <w:pPr>
              <w:widowControl/>
              <w:jc w:val="center"/>
              <w:rPr>
                <w:rFonts w:hint="eastAsia" w:ascii="宋体" w:hAnsi="宋体" w:cs="宋体"/>
                <w:bCs/>
                <w:sz w:val="21"/>
                <w:lang w:eastAsia="en-US" w:bidi="ar"/>
              </w:rPr>
            </w:pPr>
            <w:r>
              <w:rPr>
                <w:rFonts w:hint="eastAsia" w:ascii="宋体" w:hAnsi="宋体" w:cs="宋体"/>
                <w:bCs/>
                <w:sz w:val="21"/>
                <w:lang w:bidi="ar"/>
              </w:rPr>
              <w:t>29.576021377</w:t>
            </w:r>
          </w:p>
        </w:tc>
        <w:tc>
          <w:tcPr>
            <w:tcW w:w="959" w:type="dxa"/>
            <w:noWrap w:val="0"/>
            <w:vAlign w:val="center"/>
          </w:tcPr>
          <w:p w14:paraId="73CA2CF4">
            <w:pPr>
              <w:widowControl/>
              <w:jc w:val="center"/>
              <w:rPr>
                <w:rFonts w:hint="eastAsia" w:ascii="宋体" w:hAnsi="宋体" w:cs="宋体"/>
                <w:bCs/>
                <w:sz w:val="21"/>
                <w:lang w:eastAsia="en-US" w:bidi="ar"/>
              </w:rPr>
            </w:pPr>
            <w:r>
              <w:rPr>
                <w:rFonts w:hint="eastAsia" w:ascii="宋体" w:hAnsi="宋体" w:cs="宋体"/>
                <w:bCs/>
                <w:sz w:val="21"/>
                <w:lang w:bidi="ar"/>
              </w:rPr>
              <w:t>20004</w:t>
            </w:r>
          </w:p>
        </w:tc>
        <w:tc>
          <w:tcPr>
            <w:tcW w:w="852" w:type="dxa"/>
            <w:noWrap w:val="0"/>
            <w:vAlign w:val="center"/>
          </w:tcPr>
          <w:p w14:paraId="2766F36C">
            <w:pPr>
              <w:widowControl/>
              <w:jc w:val="center"/>
              <w:rPr>
                <w:rFonts w:hint="eastAsia" w:ascii="宋体" w:hAnsi="宋体" w:cs="宋体"/>
                <w:bCs/>
                <w:sz w:val="21"/>
                <w:lang w:eastAsia="en-US" w:bidi="ar"/>
              </w:rPr>
            </w:pPr>
            <w:r>
              <w:rPr>
                <w:rFonts w:hint="eastAsia" w:ascii="宋体" w:hAnsi="宋体" w:cs="宋体"/>
                <w:bCs/>
                <w:sz w:val="21"/>
                <w:lang w:bidi="ar"/>
              </w:rPr>
              <w:t>1</w:t>
            </w:r>
          </w:p>
        </w:tc>
        <w:tc>
          <w:tcPr>
            <w:tcW w:w="932" w:type="dxa"/>
            <w:noWrap w:val="0"/>
            <w:vAlign w:val="center"/>
          </w:tcPr>
          <w:p w14:paraId="12BD56D4">
            <w:pPr>
              <w:widowControl/>
              <w:jc w:val="center"/>
              <w:rPr>
                <w:rFonts w:hint="eastAsia" w:ascii="宋体" w:hAnsi="宋体" w:cs="宋体"/>
                <w:bCs/>
                <w:sz w:val="21"/>
                <w:lang w:bidi="ar"/>
              </w:rPr>
            </w:pPr>
            <w:r>
              <w:rPr>
                <w:rFonts w:hint="eastAsia" w:ascii="宋体" w:hAnsi="宋体" w:cs="宋体"/>
                <w:bCs/>
                <w:sz w:val="21"/>
                <w:lang w:bidi="ar"/>
              </w:rPr>
              <w:t>0.1</w:t>
            </w:r>
          </w:p>
        </w:tc>
        <w:tc>
          <w:tcPr>
            <w:tcW w:w="825" w:type="dxa"/>
            <w:noWrap w:val="0"/>
            <w:vAlign w:val="center"/>
          </w:tcPr>
          <w:p w14:paraId="3243514C">
            <w:pPr>
              <w:widowControl/>
              <w:jc w:val="center"/>
              <w:rPr>
                <w:rFonts w:hint="eastAsia" w:ascii="宋体" w:hAnsi="宋体" w:cs="宋体"/>
                <w:bCs/>
                <w:sz w:val="21"/>
                <w:lang w:bidi="ar"/>
              </w:rPr>
            </w:pPr>
            <w:r>
              <w:rPr>
                <w:rFonts w:hint="eastAsia" w:ascii="宋体" w:hAnsi="宋体" w:cs="宋体"/>
                <w:bCs/>
                <w:sz w:val="21"/>
                <w:lang w:bidi="ar"/>
              </w:rPr>
              <w:t>0</w:t>
            </w:r>
          </w:p>
        </w:tc>
        <w:tc>
          <w:tcPr>
            <w:tcW w:w="716" w:type="dxa"/>
            <w:noWrap w:val="0"/>
            <w:vAlign w:val="center"/>
          </w:tcPr>
          <w:p w14:paraId="05E86358">
            <w:pPr>
              <w:widowControl/>
              <w:jc w:val="center"/>
              <w:rPr>
                <w:rFonts w:hint="eastAsia" w:ascii="宋体" w:hAnsi="宋体" w:cs="宋体"/>
                <w:bCs/>
                <w:sz w:val="21"/>
                <w:lang w:bidi="ar"/>
              </w:rPr>
            </w:pPr>
            <w:r>
              <w:rPr>
                <w:rFonts w:hint="eastAsia" w:ascii="宋体" w:hAnsi="宋体" w:cs="宋体"/>
                <w:bCs/>
                <w:sz w:val="21"/>
                <w:lang w:bidi="ar"/>
              </w:rPr>
              <w:t>0</w:t>
            </w:r>
          </w:p>
        </w:tc>
        <w:tc>
          <w:tcPr>
            <w:tcW w:w="825" w:type="dxa"/>
            <w:noWrap w:val="0"/>
            <w:vAlign w:val="center"/>
          </w:tcPr>
          <w:p w14:paraId="0398335F">
            <w:pPr>
              <w:widowControl/>
              <w:jc w:val="center"/>
              <w:rPr>
                <w:rFonts w:hint="eastAsia" w:ascii="宋体" w:hAnsi="宋体" w:cs="宋体"/>
                <w:bCs/>
                <w:sz w:val="21"/>
                <w:lang w:bidi="ar"/>
              </w:rPr>
            </w:pPr>
            <w:r>
              <w:rPr>
                <w:rFonts w:hint="eastAsia" w:ascii="宋体" w:hAnsi="宋体" w:cs="宋体"/>
                <w:bCs/>
                <w:sz w:val="21"/>
                <w:lang w:bidi="ar"/>
              </w:rPr>
              <w:t>0</w:t>
            </w:r>
          </w:p>
        </w:tc>
        <w:tc>
          <w:tcPr>
            <w:tcW w:w="1341" w:type="dxa"/>
            <w:noWrap w:val="0"/>
            <w:vAlign w:val="center"/>
          </w:tcPr>
          <w:p w14:paraId="32680061">
            <w:pPr>
              <w:widowControl/>
              <w:jc w:val="center"/>
              <w:rPr>
                <w:rFonts w:hint="eastAsia" w:ascii="宋体" w:hAnsi="宋体" w:cs="宋体"/>
                <w:bCs/>
                <w:sz w:val="21"/>
                <w:lang w:bidi="ar"/>
              </w:rPr>
            </w:pPr>
            <w:r>
              <w:rPr>
                <w:rFonts w:hint="eastAsia" w:ascii="宋体" w:hAnsi="宋体" w:cs="宋体"/>
                <w:bCs/>
                <w:sz w:val="21"/>
                <w:lang w:bidi="ar"/>
              </w:rPr>
              <w:t>/</w:t>
            </w:r>
          </w:p>
        </w:tc>
        <w:tc>
          <w:tcPr>
            <w:tcW w:w="1753" w:type="dxa"/>
            <w:noWrap w:val="0"/>
            <w:vAlign w:val="center"/>
          </w:tcPr>
          <w:p w14:paraId="160B2318">
            <w:pPr>
              <w:widowControl/>
              <w:jc w:val="center"/>
              <w:rPr>
                <w:rFonts w:hint="eastAsia" w:ascii="宋体" w:hAnsi="宋体" w:cs="宋体"/>
                <w:bCs/>
                <w:sz w:val="21"/>
                <w:lang w:eastAsia="en-US" w:bidi="ar"/>
              </w:rPr>
            </w:pPr>
            <w:r>
              <w:rPr>
                <w:rFonts w:hint="eastAsia" w:ascii="宋体" w:hAnsi="宋体" w:cs="宋体"/>
                <w:bCs/>
                <w:sz w:val="21"/>
                <w:lang w:bidi="ar"/>
              </w:rPr>
              <w:t>一般固废29.7</w:t>
            </w:r>
          </w:p>
        </w:tc>
        <w:tc>
          <w:tcPr>
            <w:tcW w:w="881" w:type="dxa"/>
            <w:noWrap w:val="0"/>
            <w:vAlign w:val="center"/>
          </w:tcPr>
          <w:p w14:paraId="2A31C711">
            <w:pPr>
              <w:widowControl/>
              <w:jc w:val="center"/>
              <w:rPr>
                <w:rFonts w:hint="eastAsia" w:ascii="宋体" w:hAnsi="宋体" w:cs="宋体"/>
                <w:bCs/>
                <w:sz w:val="21"/>
                <w:lang w:eastAsia="en-US" w:bidi="ar"/>
              </w:rPr>
            </w:pPr>
            <w:r>
              <w:rPr>
                <w:rFonts w:hint="eastAsia" w:ascii="宋体" w:hAnsi="宋体" w:cs="宋体"/>
                <w:bCs/>
                <w:sz w:val="21"/>
                <w:lang w:bidi="ar"/>
              </w:rPr>
              <w:t>在建</w:t>
            </w:r>
          </w:p>
        </w:tc>
      </w:tr>
      <w:tr w14:paraId="09AFC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9" w:type="dxa"/>
            <w:noWrap w:val="0"/>
            <w:vAlign w:val="center"/>
          </w:tcPr>
          <w:p w14:paraId="72D54D9C">
            <w:pPr>
              <w:widowControl/>
              <w:jc w:val="center"/>
              <w:rPr>
                <w:rFonts w:hint="eastAsia" w:ascii="宋体" w:hAnsi="宋体" w:cs="宋体"/>
                <w:bCs/>
                <w:sz w:val="21"/>
                <w:lang w:eastAsia="en-US" w:bidi="ar"/>
              </w:rPr>
            </w:pPr>
            <w:r>
              <w:rPr>
                <w:rFonts w:hint="eastAsia" w:ascii="宋体" w:hAnsi="宋体" w:cs="宋体"/>
                <w:bCs/>
                <w:sz w:val="21"/>
                <w:lang w:bidi="ar"/>
              </w:rPr>
              <w:t>65</w:t>
            </w:r>
          </w:p>
        </w:tc>
        <w:tc>
          <w:tcPr>
            <w:tcW w:w="1731" w:type="dxa"/>
            <w:noWrap w:val="0"/>
            <w:vAlign w:val="center"/>
          </w:tcPr>
          <w:p w14:paraId="0FBD7CEB">
            <w:pPr>
              <w:widowControl/>
              <w:jc w:val="center"/>
              <w:rPr>
                <w:rFonts w:hint="eastAsia" w:ascii="宋体" w:hAnsi="宋体" w:cs="宋体"/>
                <w:bCs/>
                <w:sz w:val="21"/>
                <w:lang w:bidi="ar"/>
              </w:rPr>
            </w:pPr>
            <w:r>
              <w:rPr>
                <w:rFonts w:hint="eastAsia" w:ascii="宋体" w:hAnsi="宋体" w:cs="宋体"/>
                <w:bCs/>
                <w:sz w:val="21"/>
                <w:lang w:bidi="ar"/>
              </w:rPr>
              <w:t>湖南醇健制药科技有限公司</w:t>
            </w:r>
          </w:p>
        </w:tc>
        <w:tc>
          <w:tcPr>
            <w:tcW w:w="1514" w:type="dxa"/>
            <w:noWrap w:val="0"/>
            <w:vAlign w:val="center"/>
          </w:tcPr>
          <w:p w14:paraId="19F6D845">
            <w:pPr>
              <w:widowControl/>
              <w:jc w:val="center"/>
              <w:rPr>
                <w:rFonts w:hint="eastAsia" w:ascii="宋体" w:hAnsi="宋体" w:cs="宋体"/>
                <w:bCs/>
                <w:sz w:val="21"/>
                <w:lang w:bidi="ar"/>
              </w:rPr>
            </w:pPr>
            <w:r>
              <w:rPr>
                <w:rFonts w:hint="eastAsia" w:ascii="宋体" w:hAnsi="宋体" w:cs="宋体"/>
                <w:bCs/>
                <w:sz w:val="21"/>
                <w:lang w:bidi="ar"/>
              </w:rPr>
              <w:t>111852603157</w:t>
            </w:r>
          </w:p>
        </w:tc>
        <w:tc>
          <w:tcPr>
            <w:tcW w:w="1473" w:type="dxa"/>
            <w:noWrap w:val="0"/>
            <w:vAlign w:val="center"/>
          </w:tcPr>
          <w:p w14:paraId="6396C3A9">
            <w:pPr>
              <w:widowControl/>
              <w:jc w:val="center"/>
              <w:rPr>
                <w:rFonts w:hint="eastAsia" w:ascii="宋体" w:hAnsi="宋体" w:cs="宋体"/>
                <w:bCs/>
                <w:sz w:val="21"/>
                <w:lang w:eastAsia="en-US" w:bidi="ar"/>
              </w:rPr>
            </w:pPr>
            <w:r>
              <w:rPr>
                <w:rFonts w:hint="eastAsia" w:ascii="宋体" w:hAnsi="宋体" w:cs="宋体"/>
                <w:bCs/>
                <w:sz w:val="21"/>
                <w:lang w:bidi="ar"/>
              </w:rPr>
              <w:t>29.572833081</w:t>
            </w:r>
          </w:p>
        </w:tc>
        <w:tc>
          <w:tcPr>
            <w:tcW w:w="959" w:type="dxa"/>
            <w:noWrap w:val="0"/>
            <w:vAlign w:val="center"/>
          </w:tcPr>
          <w:p w14:paraId="3BC12277">
            <w:pPr>
              <w:widowControl/>
              <w:jc w:val="center"/>
              <w:rPr>
                <w:rFonts w:hint="eastAsia" w:ascii="宋体" w:hAnsi="宋体" w:cs="宋体"/>
                <w:bCs/>
                <w:sz w:val="21"/>
                <w:lang w:eastAsia="en-US" w:bidi="ar"/>
              </w:rPr>
            </w:pPr>
            <w:r>
              <w:rPr>
                <w:rFonts w:hint="eastAsia" w:ascii="宋体" w:hAnsi="宋体" w:cs="宋体"/>
                <w:bCs/>
                <w:sz w:val="21"/>
                <w:lang w:bidi="ar"/>
              </w:rPr>
              <w:t>23500</w:t>
            </w:r>
          </w:p>
        </w:tc>
        <w:tc>
          <w:tcPr>
            <w:tcW w:w="852" w:type="dxa"/>
            <w:noWrap w:val="0"/>
            <w:vAlign w:val="center"/>
          </w:tcPr>
          <w:p w14:paraId="7C830726">
            <w:pPr>
              <w:widowControl/>
              <w:jc w:val="center"/>
              <w:rPr>
                <w:rFonts w:hint="eastAsia" w:ascii="宋体" w:hAnsi="宋体" w:cs="宋体"/>
                <w:bCs/>
                <w:sz w:val="21"/>
                <w:lang w:eastAsia="en-US" w:bidi="ar"/>
              </w:rPr>
            </w:pPr>
            <w:r>
              <w:rPr>
                <w:rFonts w:hint="eastAsia" w:ascii="宋体" w:hAnsi="宋体" w:cs="宋体"/>
                <w:bCs/>
                <w:sz w:val="21"/>
                <w:lang w:bidi="ar"/>
              </w:rPr>
              <w:t>1.175</w:t>
            </w:r>
          </w:p>
        </w:tc>
        <w:tc>
          <w:tcPr>
            <w:tcW w:w="932" w:type="dxa"/>
            <w:noWrap w:val="0"/>
            <w:vAlign w:val="center"/>
          </w:tcPr>
          <w:p w14:paraId="268C6045">
            <w:pPr>
              <w:widowControl/>
              <w:jc w:val="center"/>
              <w:rPr>
                <w:rFonts w:hint="eastAsia" w:ascii="宋体" w:hAnsi="宋体" w:cs="宋体"/>
                <w:bCs/>
                <w:sz w:val="21"/>
                <w:lang w:eastAsia="en-US" w:bidi="ar"/>
              </w:rPr>
            </w:pPr>
            <w:r>
              <w:rPr>
                <w:rFonts w:hint="eastAsia" w:ascii="宋体" w:hAnsi="宋体" w:cs="宋体"/>
                <w:bCs/>
                <w:sz w:val="21"/>
                <w:lang w:bidi="ar"/>
              </w:rPr>
              <w:t>0.188</w:t>
            </w:r>
          </w:p>
        </w:tc>
        <w:tc>
          <w:tcPr>
            <w:tcW w:w="825" w:type="dxa"/>
            <w:noWrap w:val="0"/>
            <w:vAlign w:val="center"/>
          </w:tcPr>
          <w:p w14:paraId="6B5ADA48">
            <w:pPr>
              <w:widowControl/>
              <w:jc w:val="center"/>
              <w:rPr>
                <w:rFonts w:hint="eastAsia" w:ascii="宋体" w:hAnsi="宋体" w:cs="宋体"/>
                <w:bCs/>
                <w:sz w:val="21"/>
                <w:lang w:bidi="ar"/>
              </w:rPr>
            </w:pPr>
            <w:r>
              <w:rPr>
                <w:rFonts w:hint="eastAsia" w:ascii="宋体" w:hAnsi="宋体" w:cs="宋体"/>
                <w:bCs/>
                <w:sz w:val="21"/>
                <w:lang w:bidi="ar"/>
              </w:rPr>
              <w:t>0.72</w:t>
            </w:r>
          </w:p>
        </w:tc>
        <w:tc>
          <w:tcPr>
            <w:tcW w:w="716" w:type="dxa"/>
            <w:noWrap w:val="0"/>
            <w:vAlign w:val="center"/>
          </w:tcPr>
          <w:p w14:paraId="58749105">
            <w:pPr>
              <w:widowControl/>
              <w:jc w:val="center"/>
              <w:rPr>
                <w:rFonts w:hint="eastAsia" w:ascii="宋体" w:hAnsi="宋体" w:cs="宋体"/>
                <w:bCs/>
                <w:sz w:val="21"/>
                <w:lang w:bidi="ar"/>
              </w:rPr>
            </w:pPr>
            <w:r>
              <w:rPr>
                <w:rFonts w:hint="eastAsia" w:ascii="宋体" w:hAnsi="宋体" w:cs="宋体"/>
                <w:bCs/>
                <w:sz w:val="21"/>
                <w:lang w:bidi="ar"/>
              </w:rPr>
              <w:t>0.077</w:t>
            </w:r>
          </w:p>
        </w:tc>
        <w:tc>
          <w:tcPr>
            <w:tcW w:w="825" w:type="dxa"/>
            <w:noWrap w:val="0"/>
            <w:vAlign w:val="center"/>
          </w:tcPr>
          <w:p w14:paraId="073A74CC">
            <w:pPr>
              <w:widowControl/>
              <w:jc w:val="center"/>
              <w:rPr>
                <w:rFonts w:hint="eastAsia" w:ascii="宋体" w:hAnsi="宋体" w:cs="宋体"/>
                <w:bCs/>
                <w:sz w:val="21"/>
                <w:lang w:eastAsia="en-US" w:bidi="ar"/>
              </w:rPr>
            </w:pPr>
            <w:r>
              <w:rPr>
                <w:rFonts w:hint="eastAsia" w:ascii="宋体" w:hAnsi="宋体" w:cs="宋体"/>
                <w:bCs/>
                <w:sz w:val="21"/>
                <w:lang w:bidi="ar"/>
              </w:rPr>
              <w:t>0</w:t>
            </w:r>
          </w:p>
        </w:tc>
        <w:tc>
          <w:tcPr>
            <w:tcW w:w="1341" w:type="dxa"/>
            <w:noWrap w:val="0"/>
            <w:vAlign w:val="center"/>
          </w:tcPr>
          <w:p w14:paraId="3960D5E1">
            <w:pPr>
              <w:widowControl/>
              <w:jc w:val="center"/>
              <w:rPr>
                <w:rFonts w:hint="eastAsia" w:ascii="宋体" w:hAnsi="宋体" w:cs="宋体"/>
                <w:bCs/>
                <w:sz w:val="21"/>
                <w:lang w:bidi="ar"/>
              </w:rPr>
            </w:pPr>
            <w:r>
              <w:rPr>
                <w:rFonts w:hint="eastAsia" w:ascii="宋体" w:hAnsi="宋体" w:cs="宋体"/>
                <w:bCs/>
                <w:sz w:val="21"/>
                <w:lang w:bidi="ar"/>
              </w:rPr>
              <w:t>/</w:t>
            </w:r>
          </w:p>
        </w:tc>
        <w:tc>
          <w:tcPr>
            <w:tcW w:w="1753" w:type="dxa"/>
            <w:noWrap w:val="0"/>
            <w:vAlign w:val="center"/>
          </w:tcPr>
          <w:p w14:paraId="36929B73">
            <w:pPr>
              <w:widowControl/>
              <w:jc w:val="center"/>
              <w:rPr>
                <w:rFonts w:hint="eastAsia" w:ascii="宋体" w:hAnsi="宋体" w:cs="宋体"/>
                <w:bCs/>
                <w:sz w:val="21"/>
                <w:lang w:bidi="ar"/>
              </w:rPr>
            </w:pPr>
            <w:r>
              <w:rPr>
                <w:rFonts w:hint="eastAsia" w:ascii="宋体" w:hAnsi="宋体" w:cs="宋体"/>
                <w:bCs/>
                <w:sz w:val="21"/>
                <w:lang w:bidi="ar"/>
              </w:rPr>
              <w:t>一般固废901；危险固废（内包装袋及原料药粉尘）14.8</w:t>
            </w:r>
          </w:p>
        </w:tc>
        <w:tc>
          <w:tcPr>
            <w:tcW w:w="881" w:type="dxa"/>
            <w:noWrap w:val="0"/>
            <w:vAlign w:val="center"/>
          </w:tcPr>
          <w:p w14:paraId="6F8D43C7">
            <w:pPr>
              <w:widowControl/>
              <w:jc w:val="center"/>
              <w:rPr>
                <w:rFonts w:hint="eastAsia" w:ascii="宋体" w:hAnsi="宋体" w:cs="宋体"/>
                <w:bCs/>
                <w:sz w:val="21"/>
                <w:lang w:eastAsia="en-US" w:bidi="ar"/>
              </w:rPr>
            </w:pPr>
            <w:r>
              <w:rPr>
                <w:rFonts w:hint="eastAsia" w:ascii="宋体" w:hAnsi="宋体" w:cs="宋体"/>
                <w:bCs/>
                <w:sz w:val="21"/>
                <w:lang w:bidi="ar"/>
              </w:rPr>
              <w:t>在建</w:t>
            </w:r>
          </w:p>
        </w:tc>
      </w:tr>
      <w:tr w14:paraId="55C29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9" w:type="dxa"/>
            <w:noWrap w:val="0"/>
            <w:vAlign w:val="center"/>
          </w:tcPr>
          <w:p w14:paraId="573BC5E7">
            <w:pPr>
              <w:widowControl/>
              <w:jc w:val="center"/>
              <w:rPr>
                <w:rFonts w:hint="eastAsia" w:ascii="宋体" w:hAnsi="宋体" w:cs="宋体"/>
                <w:bCs/>
                <w:sz w:val="21"/>
                <w:lang w:eastAsia="en-US" w:bidi="ar"/>
              </w:rPr>
            </w:pPr>
            <w:r>
              <w:rPr>
                <w:rFonts w:hint="eastAsia" w:ascii="宋体" w:hAnsi="宋体" w:cs="宋体"/>
                <w:bCs/>
                <w:sz w:val="21"/>
                <w:lang w:bidi="ar"/>
              </w:rPr>
              <w:t>66</w:t>
            </w:r>
          </w:p>
        </w:tc>
        <w:tc>
          <w:tcPr>
            <w:tcW w:w="1731" w:type="dxa"/>
            <w:noWrap w:val="0"/>
            <w:vAlign w:val="center"/>
          </w:tcPr>
          <w:p w14:paraId="47CB28FA">
            <w:pPr>
              <w:widowControl/>
              <w:jc w:val="center"/>
              <w:rPr>
                <w:rFonts w:hint="eastAsia" w:ascii="宋体" w:hAnsi="宋体" w:cs="宋体"/>
                <w:bCs/>
                <w:sz w:val="21"/>
                <w:lang w:bidi="ar"/>
              </w:rPr>
            </w:pPr>
            <w:r>
              <w:rPr>
                <w:rFonts w:hint="eastAsia" w:ascii="宋体" w:hAnsi="宋体" w:cs="宋体"/>
                <w:bCs/>
                <w:sz w:val="21"/>
                <w:lang w:bidi="ar"/>
              </w:rPr>
              <w:t>湖南夏盛酶技术有限公司</w:t>
            </w:r>
          </w:p>
        </w:tc>
        <w:tc>
          <w:tcPr>
            <w:tcW w:w="1514" w:type="dxa"/>
            <w:noWrap w:val="0"/>
            <w:vAlign w:val="center"/>
          </w:tcPr>
          <w:p w14:paraId="396467E1">
            <w:pPr>
              <w:widowControl/>
              <w:jc w:val="center"/>
              <w:rPr>
                <w:rFonts w:hint="eastAsia" w:ascii="宋体" w:hAnsi="宋体" w:cs="宋体"/>
                <w:bCs/>
                <w:sz w:val="21"/>
                <w:lang w:eastAsia="en-US" w:bidi="ar"/>
              </w:rPr>
            </w:pPr>
            <w:r>
              <w:rPr>
                <w:rFonts w:hint="eastAsia" w:ascii="宋体" w:hAnsi="宋体" w:cs="宋体"/>
                <w:bCs/>
                <w:sz w:val="21"/>
                <w:lang w:bidi="ar"/>
              </w:rPr>
              <w:t>111.852891171</w:t>
            </w:r>
          </w:p>
        </w:tc>
        <w:tc>
          <w:tcPr>
            <w:tcW w:w="1473" w:type="dxa"/>
            <w:noWrap w:val="0"/>
            <w:vAlign w:val="center"/>
          </w:tcPr>
          <w:p w14:paraId="4C8BD9B8">
            <w:pPr>
              <w:widowControl/>
              <w:jc w:val="center"/>
              <w:rPr>
                <w:rFonts w:hint="eastAsia" w:ascii="宋体" w:hAnsi="宋体" w:cs="宋体"/>
                <w:bCs/>
                <w:sz w:val="21"/>
                <w:lang w:eastAsia="en-US" w:bidi="ar"/>
              </w:rPr>
            </w:pPr>
            <w:r>
              <w:rPr>
                <w:rFonts w:hint="eastAsia" w:ascii="宋体" w:hAnsi="宋体" w:cs="宋体"/>
                <w:bCs/>
                <w:sz w:val="21"/>
                <w:lang w:bidi="ar"/>
              </w:rPr>
              <w:t>29.572116662</w:t>
            </w:r>
          </w:p>
        </w:tc>
        <w:tc>
          <w:tcPr>
            <w:tcW w:w="959" w:type="dxa"/>
            <w:noWrap w:val="0"/>
            <w:vAlign w:val="center"/>
          </w:tcPr>
          <w:p w14:paraId="34720178">
            <w:pPr>
              <w:widowControl/>
              <w:jc w:val="center"/>
              <w:rPr>
                <w:rFonts w:hint="eastAsia" w:ascii="宋体" w:hAnsi="宋体" w:cs="宋体"/>
                <w:bCs/>
                <w:sz w:val="21"/>
                <w:lang w:eastAsia="en-US" w:bidi="ar"/>
              </w:rPr>
            </w:pPr>
            <w:r>
              <w:rPr>
                <w:rFonts w:hint="eastAsia" w:ascii="宋体" w:hAnsi="宋体" w:cs="宋体"/>
                <w:bCs/>
                <w:sz w:val="21"/>
                <w:lang w:bidi="ar"/>
              </w:rPr>
              <w:t>144000</w:t>
            </w:r>
          </w:p>
        </w:tc>
        <w:tc>
          <w:tcPr>
            <w:tcW w:w="852" w:type="dxa"/>
            <w:noWrap w:val="0"/>
            <w:vAlign w:val="center"/>
          </w:tcPr>
          <w:p w14:paraId="7DC5A602">
            <w:pPr>
              <w:widowControl/>
              <w:jc w:val="center"/>
              <w:rPr>
                <w:rFonts w:hint="eastAsia" w:ascii="宋体" w:hAnsi="宋体" w:cs="宋体"/>
                <w:bCs/>
                <w:sz w:val="21"/>
                <w:lang w:bidi="ar"/>
              </w:rPr>
            </w:pPr>
            <w:r>
              <w:rPr>
                <w:rFonts w:hint="eastAsia" w:ascii="宋体" w:hAnsi="宋体" w:cs="宋体"/>
                <w:bCs/>
                <w:sz w:val="21"/>
                <w:lang w:bidi="ar"/>
              </w:rPr>
              <w:t>26.78</w:t>
            </w:r>
          </w:p>
        </w:tc>
        <w:tc>
          <w:tcPr>
            <w:tcW w:w="932" w:type="dxa"/>
            <w:noWrap w:val="0"/>
            <w:vAlign w:val="center"/>
          </w:tcPr>
          <w:p w14:paraId="222B231B">
            <w:pPr>
              <w:widowControl/>
              <w:jc w:val="center"/>
              <w:rPr>
                <w:rFonts w:hint="eastAsia" w:ascii="宋体" w:hAnsi="宋体" w:cs="宋体"/>
                <w:bCs/>
                <w:sz w:val="21"/>
                <w:lang w:eastAsia="en-US" w:bidi="ar"/>
              </w:rPr>
            </w:pPr>
            <w:r>
              <w:rPr>
                <w:rFonts w:hint="eastAsia" w:ascii="宋体" w:hAnsi="宋体" w:cs="宋体"/>
                <w:bCs/>
                <w:sz w:val="21"/>
                <w:lang w:bidi="ar"/>
              </w:rPr>
              <w:t>1.87</w:t>
            </w:r>
          </w:p>
        </w:tc>
        <w:tc>
          <w:tcPr>
            <w:tcW w:w="825" w:type="dxa"/>
            <w:noWrap w:val="0"/>
            <w:vAlign w:val="center"/>
          </w:tcPr>
          <w:p w14:paraId="329B2B2C">
            <w:pPr>
              <w:widowControl/>
              <w:jc w:val="center"/>
              <w:rPr>
                <w:rFonts w:hint="eastAsia" w:ascii="宋体" w:hAnsi="宋体" w:cs="宋体"/>
                <w:bCs/>
                <w:sz w:val="21"/>
                <w:lang w:bidi="ar"/>
              </w:rPr>
            </w:pPr>
            <w:r>
              <w:rPr>
                <w:rFonts w:hint="eastAsia" w:ascii="宋体" w:hAnsi="宋体" w:cs="宋体"/>
                <w:bCs/>
                <w:sz w:val="21"/>
                <w:lang w:bidi="ar"/>
              </w:rPr>
              <w:t>0</w:t>
            </w:r>
          </w:p>
        </w:tc>
        <w:tc>
          <w:tcPr>
            <w:tcW w:w="716" w:type="dxa"/>
            <w:noWrap w:val="0"/>
            <w:vAlign w:val="center"/>
          </w:tcPr>
          <w:p w14:paraId="7AD37FDC">
            <w:pPr>
              <w:widowControl/>
              <w:jc w:val="center"/>
              <w:rPr>
                <w:rFonts w:hint="eastAsia" w:ascii="宋体" w:hAnsi="宋体" w:cs="宋体"/>
                <w:bCs/>
                <w:sz w:val="21"/>
                <w:lang w:bidi="ar"/>
              </w:rPr>
            </w:pPr>
            <w:r>
              <w:rPr>
                <w:rFonts w:hint="eastAsia" w:ascii="宋体" w:hAnsi="宋体" w:cs="宋体"/>
                <w:bCs/>
                <w:sz w:val="21"/>
                <w:lang w:bidi="ar"/>
              </w:rPr>
              <w:t>0</w:t>
            </w:r>
          </w:p>
        </w:tc>
        <w:tc>
          <w:tcPr>
            <w:tcW w:w="825" w:type="dxa"/>
            <w:noWrap w:val="0"/>
            <w:vAlign w:val="center"/>
          </w:tcPr>
          <w:p w14:paraId="073437FF">
            <w:pPr>
              <w:widowControl/>
              <w:jc w:val="center"/>
              <w:rPr>
                <w:rFonts w:hint="eastAsia" w:ascii="宋体" w:hAnsi="宋体" w:cs="宋体"/>
                <w:bCs/>
                <w:sz w:val="21"/>
                <w:lang w:eastAsia="en-US" w:bidi="ar"/>
              </w:rPr>
            </w:pPr>
            <w:r>
              <w:rPr>
                <w:rFonts w:hint="eastAsia" w:ascii="宋体" w:hAnsi="宋体" w:cs="宋体"/>
                <w:bCs/>
                <w:sz w:val="21"/>
                <w:lang w:bidi="ar"/>
              </w:rPr>
              <w:t>0.96</w:t>
            </w:r>
          </w:p>
        </w:tc>
        <w:tc>
          <w:tcPr>
            <w:tcW w:w="1341" w:type="dxa"/>
            <w:noWrap w:val="0"/>
            <w:vAlign w:val="center"/>
          </w:tcPr>
          <w:p w14:paraId="3329FA10">
            <w:pPr>
              <w:widowControl/>
              <w:jc w:val="center"/>
              <w:rPr>
                <w:rFonts w:hint="eastAsia" w:ascii="宋体" w:hAnsi="宋体" w:cs="宋体"/>
                <w:bCs/>
                <w:sz w:val="21"/>
                <w:lang w:bidi="ar"/>
              </w:rPr>
            </w:pPr>
            <w:r>
              <w:rPr>
                <w:rFonts w:hint="eastAsia" w:ascii="宋体" w:hAnsi="宋体" w:cs="宋体"/>
                <w:bCs/>
                <w:sz w:val="21"/>
                <w:lang w:bidi="ar"/>
              </w:rPr>
              <w:t>VOCs 0.353</w:t>
            </w:r>
          </w:p>
        </w:tc>
        <w:tc>
          <w:tcPr>
            <w:tcW w:w="1753" w:type="dxa"/>
            <w:noWrap w:val="0"/>
            <w:vAlign w:val="center"/>
          </w:tcPr>
          <w:p w14:paraId="0B729813">
            <w:pPr>
              <w:widowControl/>
              <w:jc w:val="center"/>
              <w:rPr>
                <w:rFonts w:hint="eastAsia" w:ascii="宋体" w:hAnsi="宋体" w:cs="宋体"/>
                <w:bCs/>
                <w:sz w:val="21"/>
                <w:lang w:eastAsia="en-US" w:bidi="ar"/>
              </w:rPr>
            </w:pPr>
            <w:r>
              <w:rPr>
                <w:rFonts w:hint="eastAsia" w:ascii="宋体" w:hAnsi="宋体" w:cs="宋体"/>
                <w:bCs/>
                <w:sz w:val="21"/>
                <w:lang w:bidi="ar"/>
              </w:rPr>
              <w:t>一般固废2515.6</w:t>
            </w:r>
          </w:p>
        </w:tc>
        <w:tc>
          <w:tcPr>
            <w:tcW w:w="881" w:type="dxa"/>
            <w:noWrap w:val="0"/>
            <w:vAlign w:val="center"/>
          </w:tcPr>
          <w:p w14:paraId="1AE824EB">
            <w:pPr>
              <w:widowControl/>
              <w:jc w:val="center"/>
              <w:rPr>
                <w:rFonts w:hint="eastAsia" w:ascii="宋体" w:hAnsi="宋体" w:cs="宋体"/>
                <w:bCs/>
                <w:sz w:val="21"/>
                <w:lang w:eastAsia="en-US" w:bidi="ar"/>
              </w:rPr>
            </w:pPr>
            <w:r>
              <w:rPr>
                <w:rFonts w:hint="eastAsia" w:ascii="宋体" w:hAnsi="宋体" w:cs="宋体"/>
                <w:bCs/>
                <w:sz w:val="21"/>
                <w:lang w:bidi="ar"/>
              </w:rPr>
              <w:t>在建</w:t>
            </w:r>
          </w:p>
        </w:tc>
      </w:tr>
      <w:tr w14:paraId="51790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9" w:type="dxa"/>
            <w:noWrap w:val="0"/>
            <w:vAlign w:val="center"/>
          </w:tcPr>
          <w:p w14:paraId="55FDA6B5">
            <w:pPr>
              <w:widowControl/>
              <w:jc w:val="center"/>
              <w:rPr>
                <w:rFonts w:hint="eastAsia" w:ascii="宋体" w:hAnsi="宋体" w:cs="宋体"/>
                <w:bCs/>
                <w:sz w:val="21"/>
                <w:lang w:eastAsia="en-US" w:bidi="ar"/>
              </w:rPr>
            </w:pPr>
            <w:r>
              <w:rPr>
                <w:rFonts w:hint="eastAsia" w:ascii="宋体" w:hAnsi="宋体" w:cs="宋体"/>
                <w:bCs/>
                <w:sz w:val="21"/>
                <w:lang w:bidi="ar"/>
              </w:rPr>
              <w:t>67</w:t>
            </w:r>
          </w:p>
        </w:tc>
        <w:tc>
          <w:tcPr>
            <w:tcW w:w="1731" w:type="dxa"/>
            <w:noWrap w:val="0"/>
            <w:vAlign w:val="center"/>
          </w:tcPr>
          <w:p w14:paraId="51AC5A91">
            <w:pPr>
              <w:widowControl/>
              <w:jc w:val="center"/>
              <w:rPr>
                <w:rFonts w:hint="eastAsia" w:ascii="宋体" w:hAnsi="宋体" w:cs="宋体"/>
                <w:bCs/>
                <w:sz w:val="21"/>
                <w:lang w:bidi="ar"/>
              </w:rPr>
            </w:pPr>
            <w:r>
              <w:rPr>
                <w:rFonts w:hint="eastAsia" w:ascii="宋体" w:hAnsi="宋体" w:cs="宋体"/>
                <w:bCs/>
                <w:sz w:val="21"/>
                <w:lang w:bidi="ar"/>
              </w:rPr>
              <w:t>津市力源生物发电有限公司</w:t>
            </w:r>
          </w:p>
        </w:tc>
        <w:tc>
          <w:tcPr>
            <w:tcW w:w="1514" w:type="dxa"/>
            <w:noWrap w:val="0"/>
            <w:vAlign w:val="center"/>
          </w:tcPr>
          <w:p w14:paraId="347FE1C1">
            <w:pPr>
              <w:widowControl/>
              <w:jc w:val="center"/>
              <w:rPr>
                <w:rFonts w:hint="eastAsia" w:ascii="宋体" w:hAnsi="宋体" w:cs="宋体"/>
                <w:bCs/>
                <w:sz w:val="21"/>
                <w:lang w:eastAsia="en-US" w:bidi="ar"/>
              </w:rPr>
            </w:pPr>
            <w:r>
              <w:rPr>
                <w:rFonts w:hint="eastAsia" w:ascii="宋体" w:hAnsi="宋体" w:cs="宋体"/>
                <w:bCs/>
                <w:sz w:val="21"/>
                <w:lang w:bidi="ar"/>
              </w:rPr>
              <w:t>111.842458626</w:t>
            </w:r>
          </w:p>
        </w:tc>
        <w:tc>
          <w:tcPr>
            <w:tcW w:w="1473" w:type="dxa"/>
            <w:noWrap w:val="0"/>
            <w:vAlign w:val="center"/>
          </w:tcPr>
          <w:p w14:paraId="33F34B87">
            <w:pPr>
              <w:widowControl/>
              <w:jc w:val="center"/>
              <w:rPr>
                <w:rFonts w:hint="eastAsia" w:ascii="宋体" w:hAnsi="宋体" w:cs="宋体"/>
                <w:bCs/>
                <w:sz w:val="21"/>
                <w:lang w:eastAsia="en-US" w:bidi="ar"/>
              </w:rPr>
            </w:pPr>
            <w:r>
              <w:rPr>
                <w:rFonts w:hint="eastAsia" w:ascii="宋体" w:hAnsi="宋体" w:cs="宋体"/>
                <w:bCs/>
                <w:sz w:val="21"/>
                <w:lang w:bidi="ar"/>
              </w:rPr>
              <w:t>29.563611992</w:t>
            </w:r>
          </w:p>
        </w:tc>
        <w:tc>
          <w:tcPr>
            <w:tcW w:w="959" w:type="dxa"/>
            <w:noWrap w:val="0"/>
            <w:vAlign w:val="center"/>
          </w:tcPr>
          <w:p w14:paraId="384102F9">
            <w:pPr>
              <w:widowControl/>
              <w:jc w:val="center"/>
              <w:rPr>
                <w:rFonts w:hint="eastAsia" w:ascii="宋体" w:hAnsi="宋体" w:cs="宋体"/>
                <w:bCs/>
                <w:sz w:val="21"/>
                <w:lang w:eastAsia="en-US" w:bidi="ar"/>
              </w:rPr>
            </w:pPr>
            <w:r>
              <w:rPr>
                <w:rFonts w:hint="eastAsia" w:ascii="宋体" w:hAnsi="宋体" w:cs="宋体"/>
                <w:bCs/>
                <w:sz w:val="21"/>
                <w:lang w:bidi="ar"/>
              </w:rPr>
              <w:t>1559.6</w:t>
            </w:r>
          </w:p>
        </w:tc>
        <w:tc>
          <w:tcPr>
            <w:tcW w:w="852" w:type="dxa"/>
            <w:noWrap w:val="0"/>
            <w:vAlign w:val="center"/>
          </w:tcPr>
          <w:p w14:paraId="564D0708">
            <w:pPr>
              <w:widowControl/>
              <w:jc w:val="center"/>
              <w:rPr>
                <w:rFonts w:hint="eastAsia" w:ascii="宋体" w:hAnsi="宋体" w:cs="宋体"/>
                <w:bCs/>
                <w:sz w:val="21"/>
                <w:lang w:eastAsia="en-US" w:bidi="ar"/>
              </w:rPr>
            </w:pPr>
            <w:r>
              <w:rPr>
                <w:rFonts w:hint="eastAsia" w:ascii="宋体" w:hAnsi="宋体" w:cs="宋体"/>
                <w:bCs/>
                <w:sz w:val="21"/>
                <w:lang w:bidi="ar"/>
              </w:rPr>
              <w:t>0.078</w:t>
            </w:r>
          </w:p>
        </w:tc>
        <w:tc>
          <w:tcPr>
            <w:tcW w:w="932" w:type="dxa"/>
            <w:noWrap w:val="0"/>
            <w:vAlign w:val="center"/>
          </w:tcPr>
          <w:p w14:paraId="699D28CC">
            <w:pPr>
              <w:widowControl/>
              <w:jc w:val="center"/>
              <w:rPr>
                <w:rFonts w:hint="eastAsia" w:ascii="宋体" w:hAnsi="宋体" w:cs="宋体"/>
                <w:bCs/>
                <w:sz w:val="21"/>
                <w:lang w:eastAsia="en-US" w:bidi="ar"/>
              </w:rPr>
            </w:pPr>
            <w:r>
              <w:rPr>
                <w:rFonts w:hint="eastAsia" w:ascii="宋体" w:hAnsi="宋体" w:cs="宋体"/>
                <w:bCs/>
                <w:sz w:val="21"/>
                <w:lang w:bidi="ar"/>
              </w:rPr>
              <w:t>0.008</w:t>
            </w:r>
          </w:p>
        </w:tc>
        <w:tc>
          <w:tcPr>
            <w:tcW w:w="825" w:type="dxa"/>
            <w:noWrap w:val="0"/>
            <w:vAlign w:val="center"/>
          </w:tcPr>
          <w:p w14:paraId="5B56D869">
            <w:pPr>
              <w:widowControl/>
              <w:jc w:val="center"/>
              <w:rPr>
                <w:rFonts w:hint="eastAsia" w:ascii="宋体" w:hAnsi="宋体" w:cs="宋体"/>
                <w:bCs/>
                <w:sz w:val="21"/>
                <w:lang w:bidi="ar"/>
              </w:rPr>
            </w:pPr>
            <w:r>
              <w:rPr>
                <w:rFonts w:hint="eastAsia" w:ascii="宋体" w:hAnsi="宋体" w:cs="宋体"/>
                <w:bCs/>
                <w:sz w:val="21"/>
                <w:lang w:bidi="ar"/>
              </w:rPr>
              <w:t>0.904</w:t>
            </w:r>
          </w:p>
        </w:tc>
        <w:tc>
          <w:tcPr>
            <w:tcW w:w="716" w:type="dxa"/>
            <w:noWrap w:val="0"/>
            <w:vAlign w:val="center"/>
          </w:tcPr>
          <w:p w14:paraId="44DA455D">
            <w:pPr>
              <w:widowControl/>
              <w:jc w:val="center"/>
              <w:rPr>
                <w:rFonts w:hint="eastAsia" w:ascii="宋体" w:hAnsi="宋体" w:cs="宋体"/>
                <w:bCs/>
                <w:sz w:val="21"/>
                <w:lang w:bidi="ar"/>
              </w:rPr>
            </w:pPr>
            <w:r>
              <w:rPr>
                <w:rFonts w:hint="eastAsia" w:ascii="宋体" w:hAnsi="宋体" w:cs="宋体"/>
                <w:bCs/>
                <w:sz w:val="21"/>
                <w:lang w:bidi="ar"/>
              </w:rPr>
              <w:t>2.41</w:t>
            </w:r>
          </w:p>
        </w:tc>
        <w:tc>
          <w:tcPr>
            <w:tcW w:w="825" w:type="dxa"/>
            <w:noWrap w:val="0"/>
            <w:vAlign w:val="center"/>
          </w:tcPr>
          <w:p w14:paraId="55917CFA">
            <w:pPr>
              <w:widowControl/>
              <w:jc w:val="center"/>
              <w:rPr>
                <w:rFonts w:hint="eastAsia" w:ascii="宋体" w:hAnsi="宋体" w:cs="宋体"/>
                <w:bCs/>
                <w:sz w:val="21"/>
                <w:lang w:eastAsia="en-US" w:bidi="ar"/>
              </w:rPr>
            </w:pPr>
            <w:r>
              <w:rPr>
                <w:rFonts w:hint="eastAsia" w:ascii="宋体" w:hAnsi="宋体" w:cs="宋体"/>
                <w:bCs/>
                <w:sz w:val="21"/>
                <w:lang w:bidi="ar"/>
              </w:rPr>
              <w:t>0.32</w:t>
            </w:r>
          </w:p>
        </w:tc>
        <w:tc>
          <w:tcPr>
            <w:tcW w:w="1341" w:type="dxa"/>
            <w:noWrap w:val="0"/>
            <w:vAlign w:val="center"/>
          </w:tcPr>
          <w:p w14:paraId="7F89EEDB">
            <w:pPr>
              <w:widowControl/>
              <w:jc w:val="center"/>
              <w:rPr>
                <w:rFonts w:hint="eastAsia" w:ascii="宋体" w:hAnsi="宋体" w:cs="宋体"/>
                <w:bCs/>
                <w:sz w:val="21"/>
                <w:lang w:bidi="ar"/>
              </w:rPr>
            </w:pPr>
            <w:r>
              <w:rPr>
                <w:rFonts w:hint="eastAsia" w:ascii="宋体" w:hAnsi="宋体" w:cs="宋体"/>
                <w:bCs/>
                <w:sz w:val="21"/>
                <w:lang w:bidi="ar"/>
              </w:rPr>
              <w:t>/</w:t>
            </w:r>
          </w:p>
        </w:tc>
        <w:tc>
          <w:tcPr>
            <w:tcW w:w="1753" w:type="dxa"/>
            <w:noWrap w:val="0"/>
            <w:vAlign w:val="center"/>
          </w:tcPr>
          <w:p w14:paraId="143DD2D3">
            <w:pPr>
              <w:widowControl/>
              <w:jc w:val="center"/>
              <w:rPr>
                <w:rFonts w:hint="eastAsia" w:ascii="宋体" w:hAnsi="宋体" w:cs="宋体"/>
                <w:bCs/>
                <w:sz w:val="21"/>
                <w:lang w:eastAsia="en-US" w:bidi="ar"/>
              </w:rPr>
            </w:pPr>
            <w:r>
              <w:rPr>
                <w:rFonts w:hint="eastAsia" w:ascii="宋体" w:hAnsi="宋体" w:cs="宋体"/>
                <w:bCs/>
                <w:sz w:val="21"/>
                <w:lang w:bidi="ar"/>
              </w:rPr>
              <w:t>一般固废0.07；危险固废2</w:t>
            </w:r>
          </w:p>
        </w:tc>
        <w:tc>
          <w:tcPr>
            <w:tcW w:w="881" w:type="dxa"/>
            <w:noWrap w:val="0"/>
            <w:vAlign w:val="center"/>
          </w:tcPr>
          <w:p w14:paraId="0C791513">
            <w:pPr>
              <w:widowControl/>
              <w:jc w:val="center"/>
              <w:rPr>
                <w:rFonts w:hint="eastAsia" w:ascii="宋体" w:hAnsi="宋体" w:cs="宋体"/>
                <w:bCs/>
                <w:sz w:val="21"/>
                <w:lang w:eastAsia="en-US" w:bidi="ar"/>
              </w:rPr>
            </w:pPr>
            <w:r>
              <w:rPr>
                <w:rFonts w:hint="eastAsia" w:ascii="宋体" w:hAnsi="宋体" w:cs="宋体"/>
                <w:bCs/>
                <w:sz w:val="21"/>
                <w:lang w:bidi="ar"/>
              </w:rPr>
              <w:t>在建</w:t>
            </w:r>
          </w:p>
        </w:tc>
      </w:tr>
      <w:tr w14:paraId="26F9C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9" w:type="dxa"/>
            <w:noWrap w:val="0"/>
            <w:vAlign w:val="center"/>
          </w:tcPr>
          <w:p w14:paraId="5952C343">
            <w:pPr>
              <w:widowControl/>
              <w:jc w:val="center"/>
              <w:rPr>
                <w:rFonts w:hint="eastAsia" w:ascii="宋体" w:hAnsi="宋体" w:cs="宋体"/>
                <w:bCs/>
                <w:sz w:val="21"/>
                <w:lang w:eastAsia="en-US" w:bidi="ar"/>
              </w:rPr>
            </w:pPr>
            <w:r>
              <w:rPr>
                <w:rFonts w:hint="eastAsia" w:ascii="宋体" w:hAnsi="宋体" w:cs="宋体"/>
                <w:bCs/>
                <w:sz w:val="21"/>
                <w:lang w:bidi="ar"/>
              </w:rPr>
              <w:t>68</w:t>
            </w:r>
          </w:p>
        </w:tc>
        <w:tc>
          <w:tcPr>
            <w:tcW w:w="1731" w:type="dxa"/>
            <w:noWrap w:val="0"/>
            <w:vAlign w:val="center"/>
          </w:tcPr>
          <w:p w14:paraId="71D23589">
            <w:pPr>
              <w:widowControl/>
              <w:jc w:val="center"/>
              <w:rPr>
                <w:rFonts w:hint="eastAsia" w:ascii="宋体" w:hAnsi="宋体" w:cs="宋体"/>
                <w:bCs/>
                <w:sz w:val="21"/>
                <w:lang w:bidi="ar"/>
              </w:rPr>
            </w:pPr>
            <w:r>
              <w:rPr>
                <w:rFonts w:hint="eastAsia" w:ascii="宋体" w:hAnsi="宋体" w:cs="宋体"/>
                <w:bCs/>
                <w:sz w:val="21"/>
                <w:lang w:bidi="ar"/>
              </w:rPr>
              <w:t>湖南世华生物科技有限公司腐植酸钠精品600吨/年</w:t>
            </w:r>
          </w:p>
        </w:tc>
        <w:tc>
          <w:tcPr>
            <w:tcW w:w="1514" w:type="dxa"/>
            <w:noWrap w:val="0"/>
            <w:vAlign w:val="center"/>
          </w:tcPr>
          <w:p w14:paraId="0E5FDC06">
            <w:pPr>
              <w:widowControl/>
              <w:jc w:val="center"/>
              <w:rPr>
                <w:rFonts w:hint="eastAsia" w:ascii="宋体" w:hAnsi="宋体" w:cs="宋体"/>
                <w:bCs/>
                <w:sz w:val="21"/>
                <w:lang w:eastAsia="en-US" w:bidi="ar"/>
              </w:rPr>
            </w:pPr>
            <w:r>
              <w:rPr>
                <w:rFonts w:hint="eastAsia" w:ascii="宋体" w:hAnsi="宋体" w:cs="宋体"/>
                <w:bCs/>
                <w:sz w:val="21"/>
                <w:lang w:bidi="ar"/>
              </w:rPr>
              <w:t>111.854119564</w:t>
            </w:r>
          </w:p>
        </w:tc>
        <w:tc>
          <w:tcPr>
            <w:tcW w:w="1473" w:type="dxa"/>
            <w:noWrap w:val="0"/>
            <w:vAlign w:val="center"/>
          </w:tcPr>
          <w:p w14:paraId="70F7BB83">
            <w:pPr>
              <w:widowControl/>
              <w:jc w:val="center"/>
              <w:rPr>
                <w:rFonts w:hint="eastAsia" w:ascii="宋体" w:hAnsi="宋体" w:cs="宋体"/>
                <w:bCs/>
                <w:sz w:val="21"/>
                <w:lang w:eastAsia="en-US" w:bidi="ar"/>
              </w:rPr>
            </w:pPr>
            <w:r>
              <w:rPr>
                <w:rFonts w:hint="eastAsia" w:ascii="宋体" w:hAnsi="宋体" w:cs="宋体"/>
                <w:bCs/>
                <w:sz w:val="21"/>
                <w:lang w:bidi="ar"/>
              </w:rPr>
              <w:t>29.561125499</w:t>
            </w:r>
          </w:p>
        </w:tc>
        <w:tc>
          <w:tcPr>
            <w:tcW w:w="959" w:type="dxa"/>
            <w:noWrap w:val="0"/>
            <w:vAlign w:val="center"/>
          </w:tcPr>
          <w:p w14:paraId="7FC852A0">
            <w:pPr>
              <w:widowControl/>
              <w:jc w:val="center"/>
              <w:rPr>
                <w:rFonts w:hint="eastAsia" w:ascii="宋体" w:hAnsi="宋体" w:cs="宋体"/>
                <w:bCs/>
                <w:sz w:val="21"/>
                <w:lang w:eastAsia="en-US" w:bidi="ar"/>
              </w:rPr>
            </w:pPr>
            <w:r>
              <w:rPr>
                <w:rFonts w:hint="eastAsia" w:ascii="宋体" w:hAnsi="宋体" w:cs="宋体"/>
                <w:bCs/>
                <w:sz w:val="21"/>
                <w:lang w:bidi="ar"/>
              </w:rPr>
              <w:t>396</w:t>
            </w:r>
          </w:p>
        </w:tc>
        <w:tc>
          <w:tcPr>
            <w:tcW w:w="852" w:type="dxa"/>
            <w:noWrap w:val="0"/>
            <w:vAlign w:val="center"/>
          </w:tcPr>
          <w:p w14:paraId="5CDF7B97">
            <w:pPr>
              <w:widowControl/>
              <w:jc w:val="center"/>
              <w:rPr>
                <w:rFonts w:hint="eastAsia" w:ascii="宋体" w:hAnsi="宋体" w:cs="宋体"/>
                <w:bCs/>
                <w:sz w:val="21"/>
                <w:lang w:eastAsia="en-US" w:bidi="ar"/>
              </w:rPr>
            </w:pPr>
            <w:r>
              <w:rPr>
                <w:rFonts w:hint="eastAsia" w:ascii="宋体" w:hAnsi="宋体" w:cs="宋体"/>
                <w:bCs/>
                <w:sz w:val="21"/>
                <w:lang w:bidi="ar"/>
              </w:rPr>
              <w:t>0.02</w:t>
            </w:r>
          </w:p>
        </w:tc>
        <w:tc>
          <w:tcPr>
            <w:tcW w:w="932" w:type="dxa"/>
            <w:noWrap w:val="0"/>
            <w:vAlign w:val="center"/>
          </w:tcPr>
          <w:p w14:paraId="3D42766A">
            <w:pPr>
              <w:widowControl/>
              <w:jc w:val="center"/>
              <w:rPr>
                <w:rFonts w:hint="eastAsia" w:ascii="宋体" w:hAnsi="宋体" w:cs="宋体"/>
                <w:bCs/>
                <w:sz w:val="21"/>
                <w:lang w:eastAsia="en-US" w:bidi="ar"/>
              </w:rPr>
            </w:pPr>
            <w:r>
              <w:rPr>
                <w:rFonts w:hint="eastAsia" w:ascii="宋体" w:hAnsi="宋体" w:cs="宋体"/>
                <w:bCs/>
                <w:sz w:val="21"/>
                <w:lang w:bidi="ar"/>
              </w:rPr>
              <w:t>0.0032</w:t>
            </w:r>
          </w:p>
        </w:tc>
        <w:tc>
          <w:tcPr>
            <w:tcW w:w="825" w:type="dxa"/>
            <w:noWrap w:val="0"/>
            <w:vAlign w:val="center"/>
          </w:tcPr>
          <w:p w14:paraId="646617A0">
            <w:pPr>
              <w:widowControl/>
              <w:jc w:val="center"/>
              <w:rPr>
                <w:rFonts w:hint="eastAsia" w:ascii="宋体" w:hAnsi="宋体" w:cs="宋体"/>
                <w:bCs/>
                <w:sz w:val="21"/>
                <w:lang w:bidi="ar"/>
              </w:rPr>
            </w:pPr>
            <w:r>
              <w:rPr>
                <w:rFonts w:hint="eastAsia" w:ascii="宋体" w:hAnsi="宋体" w:cs="宋体"/>
                <w:bCs/>
                <w:sz w:val="21"/>
                <w:lang w:bidi="ar"/>
              </w:rPr>
              <w:t>0</w:t>
            </w:r>
          </w:p>
        </w:tc>
        <w:tc>
          <w:tcPr>
            <w:tcW w:w="716" w:type="dxa"/>
            <w:noWrap w:val="0"/>
            <w:vAlign w:val="center"/>
          </w:tcPr>
          <w:p w14:paraId="0EF30D01">
            <w:pPr>
              <w:widowControl/>
              <w:jc w:val="center"/>
              <w:rPr>
                <w:rFonts w:hint="eastAsia" w:ascii="宋体" w:hAnsi="宋体" w:cs="宋体"/>
                <w:bCs/>
                <w:sz w:val="21"/>
                <w:lang w:bidi="ar"/>
              </w:rPr>
            </w:pPr>
            <w:r>
              <w:rPr>
                <w:rFonts w:hint="eastAsia" w:ascii="宋体" w:hAnsi="宋体" w:cs="宋体"/>
                <w:bCs/>
                <w:sz w:val="21"/>
                <w:lang w:bidi="ar"/>
              </w:rPr>
              <w:t>0</w:t>
            </w:r>
          </w:p>
        </w:tc>
        <w:tc>
          <w:tcPr>
            <w:tcW w:w="825" w:type="dxa"/>
            <w:noWrap w:val="0"/>
            <w:vAlign w:val="center"/>
          </w:tcPr>
          <w:p w14:paraId="58D90EBF">
            <w:pPr>
              <w:widowControl/>
              <w:jc w:val="center"/>
              <w:rPr>
                <w:rFonts w:hint="eastAsia" w:ascii="宋体" w:hAnsi="宋体" w:cs="宋体"/>
                <w:bCs/>
                <w:sz w:val="21"/>
                <w:lang w:bidi="ar"/>
              </w:rPr>
            </w:pPr>
            <w:r>
              <w:rPr>
                <w:rFonts w:hint="eastAsia" w:ascii="宋体" w:hAnsi="宋体" w:cs="宋体"/>
                <w:bCs/>
                <w:sz w:val="21"/>
                <w:lang w:bidi="ar"/>
              </w:rPr>
              <w:t>0</w:t>
            </w:r>
          </w:p>
        </w:tc>
        <w:tc>
          <w:tcPr>
            <w:tcW w:w="1341" w:type="dxa"/>
            <w:noWrap w:val="0"/>
            <w:vAlign w:val="center"/>
          </w:tcPr>
          <w:p w14:paraId="766EC735">
            <w:pPr>
              <w:widowControl/>
              <w:jc w:val="center"/>
              <w:rPr>
                <w:rFonts w:hint="eastAsia" w:ascii="宋体" w:hAnsi="宋体" w:cs="宋体"/>
                <w:bCs/>
                <w:sz w:val="21"/>
                <w:lang w:bidi="ar"/>
              </w:rPr>
            </w:pPr>
            <w:r>
              <w:rPr>
                <w:rFonts w:hint="eastAsia" w:ascii="宋体" w:hAnsi="宋体" w:cs="宋体"/>
                <w:bCs/>
                <w:sz w:val="21"/>
                <w:lang w:bidi="ar"/>
              </w:rPr>
              <w:t>/</w:t>
            </w:r>
          </w:p>
        </w:tc>
        <w:tc>
          <w:tcPr>
            <w:tcW w:w="1753" w:type="dxa"/>
            <w:noWrap w:val="0"/>
            <w:vAlign w:val="center"/>
          </w:tcPr>
          <w:p w14:paraId="68D073A5">
            <w:pPr>
              <w:widowControl/>
              <w:jc w:val="center"/>
              <w:rPr>
                <w:rFonts w:hint="eastAsia" w:ascii="宋体" w:hAnsi="宋体" w:cs="宋体"/>
                <w:bCs/>
                <w:sz w:val="21"/>
                <w:lang w:eastAsia="en-US" w:bidi="ar"/>
              </w:rPr>
            </w:pPr>
            <w:r>
              <w:rPr>
                <w:rFonts w:hint="eastAsia" w:ascii="宋体" w:hAnsi="宋体" w:cs="宋体"/>
                <w:bCs/>
                <w:sz w:val="21"/>
                <w:lang w:bidi="ar"/>
              </w:rPr>
              <w:t>一般固废700；危固废400L</w:t>
            </w:r>
          </w:p>
        </w:tc>
        <w:tc>
          <w:tcPr>
            <w:tcW w:w="881" w:type="dxa"/>
            <w:noWrap w:val="0"/>
            <w:vAlign w:val="center"/>
          </w:tcPr>
          <w:p w14:paraId="6CA9EEFB">
            <w:pPr>
              <w:widowControl/>
              <w:jc w:val="center"/>
              <w:rPr>
                <w:rFonts w:hint="eastAsia" w:ascii="宋体" w:hAnsi="宋体" w:cs="宋体"/>
                <w:bCs/>
                <w:sz w:val="21"/>
                <w:lang w:bidi="ar"/>
              </w:rPr>
            </w:pPr>
            <w:r>
              <w:rPr>
                <w:rFonts w:hint="eastAsia" w:ascii="宋体" w:hAnsi="宋体" w:cs="宋体"/>
                <w:bCs/>
                <w:sz w:val="21"/>
                <w:lang w:bidi="ar"/>
              </w:rPr>
              <w:t>拟建（已</w:t>
            </w:r>
          </w:p>
          <w:p w14:paraId="2CCF0D6E">
            <w:pPr>
              <w:widowControl/>
              <w:jc w:val="center"/>
              <w:rPr>
                <w:rFonts w:hint="eastAsia" w:ascii="宋体" w:hAnsi="宋体" w:cs="宋体"/>
                <w:bCs/>
                <w:sz w:val="21"/>
                <w:lang w:bidi="ar"/>
              </w:rPr>
            </w:pPr>
            <w:r>
              <w:rPr>
                <w:rFonts w:hint="eastAsia" w:ascii="宋体" w:hAnsi="宋体" w:cs="宋体"/>
                <w:bCs/>
                <w:sz w:val="21"/>
                <w:lang w:bidi="ar"/>
              </w:rPr>
              <w:t>批复）</w:t>
            </w:r>
          </w:p>
        </w:tc>
      </w:tr>
      <w:tr w14:paraId="0AF7A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9" w:type="dxa"/>
            <w:noWrap w:val="0"/>
            <w:vAlign w:val="center"/>
          </w:tcPr>
          <w:p w14:paraId="5829415F">
            <w:pPr>
              <w:widowControl/>
              <w:jc w:val="center"/>
              <w:rPr>
                <w:rFonts w:hint="eastAsia" w:ascii="宋体" w:hAnsi="宋体" w:cs="宋体"/>
                <w:bCs/>
                <w:sz w:val="21"/>
                <w:lang w:eastAsia="en-US" w:bidi="ar"/>
              </w:rPr>
            </w:pPr>
            <w:r>
              <w:rPr>
                <w:rFonts w:hint="eastAsia" w:ascii="宋体" w:hAnsi="宋体" w:cs="宋体"/>
                <w:bCs/>
                <w:sz w:val="21"/>
                <w:lang w:bidi="ar"/>
              </w:rPr>
              <w:t>69</w:t>
            </w:r>
          </w:p>
        </w:tc>
        <w:tc>
          <w:tcPr>
            <w:tcW w:w="1731" w:type="dxa"/>
            <w:noWrap w:val="0"/>
            <w:vAlign w:val="center"/>
          </w:tcPr>
          <w:p w14:paraId="400967BA">
            <w:pPr>
              <w:widowControl/>
              <w:jc w:val="center"/>
              <w:rPr>
                <w:rFonts w:hint="eastAsia" w:ascii="宋体" w:hAnsi="宋体" w:cs="宋体"/>
                <w:bCs/>
                <w:sz w:val="21"/>
                <w:lang w:bidi="ar"/>
              </w:rPr>
            </w:pPr>
            <w:r>
              <w:rPr>
                <w:rFonts w:hint="eastAsia" w:ascii="宋体" w:hAnsi="宋体" w:cs="宋体"/>
                <w:bCs/>
                <w:sz w:val="21"/>
                <w:lang w:bidi="ar"/>
              </w:rPr>
              <w:t>湖南雅美达服饰有限公司年洗240万件牛仔服饰项目</w:t>
            </w:r>
          </w:p>
        </w:tc>
        <w:tc>
          <w:tcPr>
            <w:tcW w:w="1514" w:type="dxa"/>
            <w:noWrap w:val="0"/>
            <w:vAlign w:val="center"/>
          </w:tcPr>
          <w:p w14:paraId="498C4A29">
            <w:pPr>
              <w:widowControl/>
              <w:jc w:val="center"/>
              <w:rPr>
                <w:rFonts w:hint="eastAsia" w:ascii="宋体" w:hAnsi="宋体" w:cs="宋体"/>
                <w:bCs/>
                <w:sz w:val="21"/>
                <w:lang w:eastAsia="en-US" w:bidi="ar"/>
              </w:rPr>
            </w:pPr>
            <w:r>
              <w:rPr>
                <w:rFonts w:hint="eastAsia" w:ascii="宋体" w:hAnsi="宋体" w:cs="宋体"/>
                <w:bCs/>
                <w:sz w:val="21"/>
                <w:lang w:bidi="ar"/>
              </w:rPr>
              <w:t>111.857626805</w:t>
            </w:r>
          </w:p>
        </w:tc>
        <w:tc>
          <w:tcPr>
            <w:tcW w:w="1473" w:type="dxa"/>
            <w:noWrap w:val="0"/>
            <w:vAlign w:val="center"/>
          </w:tcPr>
          <w:p w14:paraId="2DB2114B">
            <w:pPr>
              <w:widowControl/>
              <w:jc w:val="center"/>
              <w:rPr>
                <w:rFonts w:hint="eastAsia" w:ascii="宋体" w:hAnsi="宋体" w:cs="宋体"/>
                <w:bCs/>
                <w:sz w:val="21"/>
                <w:lang w:eastAsia="en-US" w:bidi="ar"/>
              </w:rPr>
            </w:pPr>
            <w:r>
              <w:rPr>
                <w:rFonts w:hint="eastAsia" w:ascii="宋体" w:hAnsi="宋体" w:cs="宋体"/>
                <w:bCs/>
                <w:sz w:val="21"/>
                <w:lang w:bidi="ar"/>
              </w:rPr>
              <w:t>29.573531730</w:t>
            </w:r>
          </w:p>
        </w:tc>
        <w:tc>
          <w:tcPr>
            <w:tcW w:w="959" w:type="dxa"/>
            <w:noWrap w:val="0"/>
            <w:vAlign w:val="center"/>
          </w:tcPr>
          <w:p w14:paraId="1FF7508D">
            <w:pPr>
              <w:widowControl/>
              <w:jc w:val="center"/>
              <w:rPr>
                <w:rFonts w:hint="eastAsia" w:ascii="宋体" w:hAnsi="宋体" w:cs="宋体"/>
                <w:bCs/>
                <w:sz w:val="21"/>
                <w:lang w:eastAsia="en-US" w:bidi="ar"/>
              </w:rPr>
            </w:pPr>
            <w:r>
              <w:rPr>
                <w:rFonts w:hint="eastAsia" w:ascii="宋体" w:hAnsi="宋体" w:cs="宋体"/>
                <w:bCs/>
                <w:sz w:val="21"/>
                <w:lang w:bidi="ar"/>
              </w:rPr>
              <w:t>34200</w:t>
            </w:r>
          </w:p>
        </w:tc>
        <w:tc>
          <w:tcPr>
            <w:tcW w:w="852" w:type="dxa"/>
            <w:noWrap w:val="0"/>
            <w:vAlign w:val="center"/>
          </w:tcPr>
          <w:p w14:paraId="00E3DFCC">
            <w:pPr>
              <w:widowControl/>
              <w:jc w:val="center"/>
              <w:rPr>
                <w:rFonts w:hint="eastAsia" w:ascii="宋体" w:hAnsi="宋体" w:cs="宋体"/>
                <w:bCs/>
                <w:sz w:val="21"/>
                <w:lang w:eastAsia="en-US" w:bidi="ar"/>
              </w:rPr>
            </w:pPr>
            <w:r>
              <w:rPr>
                <w:rFonts w:hint="eastAsia" w:ascii="宋体" w:hAnsi="宋体" w:cs="宋体"/>
                <w:bCs/>
                <w:sz w:val="21"/>
                <w:lang w:bidi="ar"/>
              </w:rPr>
              <w:t>1.81</w:t>
            </w:r>
          </w:p>
        </w:tc>
        <w:tc>
          <w:tcPr>
            <w:tcW w:w="932" w:type="dxa"/>
            <w:noWrap w:val="0"/>
            <w:vAlign w:val="center"/>
          </w:tcPr>
          <w:p w14:paraId="4A1E0F99">
            <w:pPr>
              <w:widowControl/>
              <w:jc w:val="center"/>
              <w:rPr>
                <w:rFonts w:hint="eastAsia" w:ascii="宋体" w:hAnsi="宋体" w:cs="宋体"/>
                <w:bCs/>
                <w:sz w:val="21"/>
                <w:lang w:eastAsia="en-US" w:bidi="ar"/>
              </w:rPr>
            </w:pPr>
            <w:r>
              <w:rPr>
                <w:rFonts w:hint="eastAsia" w:ascii="宋体" w:hAnsi="宋体" w:cs="宋体"/>
                <w:bCs/>
                <w:sz w:val="21"/>
                <w:lang w:bidi="ar"/>
              </w:rPr>
              <w:t>0.307</w:t>
            </w:r>
          </w:p>
        </w:tc>
        <w:tc>
          <w:tcPr>
            <w:tcW w:w="825" w:type="dxa"/>
            <w:noWrap w:val="0"/>
            <w:vAlign w:val="center"/>
          </w:tcPr>
          <w:p w14:paraId="6A2AFE8A">
            <w:pPr>
              <w:widowControl/>
              <w:jc w:val="center"/>
              <w:rPr>
                <w:rFonts w:hint="eastAsia" w:ascii="宋体" w:hAnsi="宋体" w:cs="宋体"/>
                <w:bCs/>
                <w:sz w:val="21"/>
                <w:lang w:bidi="ar"/>
              </w:rPr>
            </w:pPr>
            <w:r>
              <w:rPr>
                <w:rFonts w:hint="eastAsia" w:ascii="宋体" w:hAnsi="宋体" w:cs="宋体"/>
                <w:bCs/>
                <w:sz w:val="21"/>
                <w:lang w:bidi="ar"/>
              </w:rPr>
              <w:t>0</w:t>
            </w:r>
          </w:p>
        </w:tc>
        <w:tc>
          <w:tcPr>
            <w:tcW w:w="716" w:type="dxa"/>
            <w:noWrap w:val="0"/>
            <w:vAlign w:val="center"/>
          </w:tcPr>
          <w:p w14:paraId="056C6A80">
            <w:pPr>
              <w:widowControl/>
              <w:jc w:val="center"/>
              <w:rPr>
                <w:rFonts w:hint="eastAsia" w:ascii="宋体" w:hAnsi="宋体" w:cs="宋体"/>
                <w:bCs/>
                <w:sz w:val="21"/>
                <w:lang w:bidi="ar"/>
              </w:rPr>
            </w:pPr>
            <w:r>
              <w:rPr>
                <w:rFonts w:hint="eastAsia" w:ascii="宋体" w:hAnsi="宋体" w:cs="宋体"/>
                <w:bCs/>
                <w:sz w:val="21"/>
                <w:lang w:bidi="ar"/>
              </w:rPr>
              <w:t>0</w:t>
            </w:r>
          </w:p>
        </w:tc>
        <w:tc>
          <w:tcPr>
            <w:tcW w:w="825" w:type="dxa"/>
            <w:noWrap w:val="0"/>
            <w:vAlign w:val="center"/>
          </w:tcPr>
          <w:p w14:paraId="183FB011">
            <w:pPr>
              <w:widowControl/>
              <w:jc w:val="center"/>
              <w:rPr>
                <w:rFonts w:hint="eastAsia" w:ascii="宋体" w:hAnsi="宋体" w:cs="宋体"/>
                <w:bCs/>
                <w:sz w:val="21"/>
                <w:lang w:bidi="ar"/>
              </w:rPr>
            </w:pPr>
            <w:r>
              <w:rPr>
                <w:rFonts w:hint="eastAsia" w:ascii="宋体" w:hAnsi="宋体" w:cs="宋体"/>
                <w:bCs/>
                <w:sz w:val="21"/>
                <w:lang w:bidi="ar"/>
              </w:rPr>
              <w:t>0</w:t>
            </w:r>
          </w:p>
        </w:tc>
        <w:tc>
          <w:tcPr>
            <w:tcW w:w="1341" w:type="dxa"/>
            <w:noWrap w:val="0"/>
            <w:vAlign w:val="center"/>
          </w:tcPr>
          <w:p w14:paraId="0BE9EBC8">
            <w:pPr>
              <w:widowControl/>
              <w:jc w:val="center"/>
              <w:rPr>
                <w:rFonts w:hint="eastAsia" w:ascii="宋体" w:hAnsi="宋体" w:cs="宋体"/>
                <w:bCs/>
                <w:sz w:val="21"/>
                <w:lang w:bidi="ar"/>
              </w:rPr>
            </w:pPr>
            <w:r>
              <w:rPr>
                <w:rFonts w:hint="eastAsia" w:ascii="宋体" w:hAnsi="宋体" w:cs="宋体"/>
                <w:bCs/>
                <w:sz w:val="21"/>
                <w:lang w:bidi="ar"/>
              </w:rPr>
              <w:t>/</w:t>
            </w:r>
          </w:p>
        </w:tc>
        <w:tc>
          <w:tcPr>
            <w:tcW w:w="1753" w:type="dxa"/>
            <w:noWrap w:val="0"/>
            <w:vAlign w:val="center"/>
          </w:tcPr>
          <w:p w14:paraId="20206FB5">
            <w:pPr>
              <w:widowControl/>
              <w:jc w:val="center"/>
              <w:rPr>
                <w:rFonts w:hint="eastAsia" w:ascii="宋体" w:hAnsi="宋体" w:cs="宋体"/>
                <w:bCs/>
                <w:sz w:val="21"/>
                <w:lang w:eastAsia="en-US" w:bidi="ar"/>
              </w:rPr>
            </w:pPr>
            <w:r>
              <w:rPr>
                <w:rFonts w:hint="eastAsia" w:ascii="宋体" w:hAnsi="宋体" w:cs="宋体"/>
                <w:bCs/>
                <w:sz w:val="21"/>
                <w:lang w:bidi="ar"/>
              </w:rPr>
              <w:t>一般固废6.06；危险固废46</w:t>
            </w:r>
          </w:p>
        </w:tc>
        <w:tc>
          <w:tcPr>
            <w:tcW w:w="881" w:type="dxa"/>
            <w:noWrap w:val="0"/>
            <w:vAlign w:val="center"/>
          </w:tcPr>
          <w:p w14:paraId="6DC26540">
            <w:pPr>
              <w:widowControl/>
              <w:jc w:val="center"/>
              <w:rPr>
                <w:rFonts w:hint="eastAsia" w:ascii="宋体" w:hAnsi="宋体" w:cs="宋体"/>
                <w:bCs/>
                <w:sz w:val="21"/>
                <w:lang w:eastAsia="en-US" w:bidi="ar"/>
              </w:rPr>
            </w:pPr>
            <w:r>
              <w:rPr>
                <w:rFonts w:hint="eastAsia" w:ascii="宋体" w:hAnsi="宋体" w:cs="宋体"/>
                <w:bCs/>
                <w:sz w:val="21"/>
                <w:lang w:bidi="ar"/>
              </w:rPr>
              <w:t>拟建（已批复）</w:t>
            </w:r>
          </w:p>
        </w:tc>
      </w:tr>
      <w:tr w14:paraId="41F0A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9" w:type="dxa"/>
            <w:noWrap w:val="0"/>
            <w:vAlign w:val="center"/>
          </w:tcPr>
          <w:p w14:paraId="10A04FC5">
            <w:pPr>
              <w:widowControl/>
              <w:jc w:val="center"/>
              <w:rPr>
                <w:rFonts w:hint="eastAsia" w:ascii="宋体" w:hAnsi="宋体" w:cs="宋体"/>
                <w:bCs/>
                <w:sz w:val="21"/>
                <w:lang w:eastAsia="en-US" w:bidi="ar"/>
              </w:rPr>
            </w:pPr>
            <w:r>
              <w:rPr>
                <w:rFonts w:hint="eastAsia" w:ascii="宋体" w:hAnsi="宋体" w:cs="宋体"/>
                <w:bCs/>
                <w:sz w:val="21"/>
                <w:lang w:bidi="ar"/>
              </w:rPr>
              <w:t>70</w:t>
            </w:r>
          </w:p>
        </w:tc>
        <w:tc>
          <w:tcPr>
            <w:tcW w:w="1731" w:type="dxa"/>
            <w:noWrap w:val="0"/>
            <w:vAlign w:val="center"/>
          </w:tcPr>
          <w:p w14:paraId="4A9CE350">
            <w:pPr>
              <w:widowControl/>
              <w:jc w:val="center"/>
              <w:rPr>
                <w:rFonts w:hint="eastAsia" w:ascii="宋体" w:hAnsi="宋体" w:cs="宋体"/>
                <w:bCs/>
                <w:sz w:val="21"/>
                <w:lang w:bidi="ar"/>
              </w:rPr>
            </w:pPr>
            <w:r>
              <w:rPr>
                <w:rFonts w:hint="eastAsia" w:ascii="宋体" w:hAnsi="宋体" w:cs="宋体"/>
                <w:bCs/>
                <w:sz w:val="21"/>
                <w:lang w:bidi="ar"/>
              </w:rPr>
              <w:t>湖南天泰天润新能源科技有限公司年处理10万吨废旧锂电池回收拆解及2万吨废铁锂粉回收综合利用项目</w:t>
            </w:r>
          </w:p>
        </w:tc>
        <w:tc>
          <w:tcPr>
            <w:tcW w:w="1514" w:type="dxa"/>
            <w:noWrap w:val="0"/>
            <w:vAlign w:val="center"/>
          </w:tcPr>
          <w:p w14:paraId="353D6E94">
            <w:pPr>
              <w:widowControl/>
              <w:jc w:val="center"/>
              <w:rPr>
                <w:rFonts w:hint="eastAsia" w:ascii="宋体" w:hAnsi="宋体" w:cs="宋体"/>
                <w:bCs/>
                <w:sz w:val="21"/>
                <w:lang w:eastAsia="en-US" w:bidi="ar"/>
              </w:rPr>
            </w:pPr>
            <w:r>
              <w:rPr>
                <w:rFonts w:hint="eastAsia" w:ascii="宋体" w:hAnsi="宋体" w:cs="宋体"/>
                <w:bCs/>
                <w:sz w:val="21"/>
                <w:lang w:bidi="ar"/>
              </w:rPr>
              <w:t>111.852719510</w:t>
            </w:r>
          </w:p>
        </w:tc>
        <w:tc>
          <w:tcPr>
            <w:tcW w:w="1473" w:type="dxa"/>
            <w:noWrap w:val="0"/>
            <w:vAlign w:val="center"/>
          </w:tcPr>
          <w:p w14:paraId="03C05D58">
            <w:pPr>
              <w:widowControl/>
              <w:jc w:val="center"/>
              <w:rPr>
                <w:rFonts w:hint="eastAsia" w:ascii="宋体" w:hAnsi="宋体" w:cs="宋体"/>
                <w:bCs/>
                <w:sz w:val="21"/>
                <w:lang w:eastAsia="en-US" w:bidi="ar"/>
              </w:rPr>
            </w:pPr>
            <w:r>
              <w:rPr>
                <w:rFonts w:hint="eastAsia" w:ascii="宋体" w:hAnsi="宋体" w:cs="宋体"/>
                <w:bCs/>
                <w:sz w:val="21"/>
                <w:lang w:bidi="ar"/>
              </w:rPr>
              <w:t>29.572159577</w:t>
            </w:r>
          </w:p>
        </w:tc>
        <w:tc>
          <w:tcPr>
            <w:tcW w:w="959" w:type="dxa"/>
            <w:noWrap w:val="0"/>
            <w:vAlign w:val="center"/>
          </w:tcPr>
          <w:p w14:paraId="2DDEB6FD">
            <w:pPr>
              <w:widowControl/>
              <w:jc w:val="center"/>
              <w:rPr>
                <w:rFonts w:hint="eastAsia" w:ascii="宋体" w:hAnsi="宋体" w:cs="宋体"/>
                <w:bCs/>
                <w:sz w:val="21"/>
                <w:lang w:bidi="ar"/>
              </w:rPr>
            </w:pPr>
            <w:r>
              <w:rPr>
                <w:rFonts w:hint="eastAsia" w:ascii="宋体" w:hAnsi="宋体" w:cs="宋体"/>
                <w:bCs/>
                <w:sz w:val="21"/>
                <w:lang w:bidi="ar"/>
              </w:rPr>
              <w:t>-5113.4*</w:t>
            </w:r>
          </w:p>
        </w:tc>
        <w:tc>
          <w:tcPr>
            <w:tcW w:w="852" w:type="dxa"/>
            <w:noWrap w:val="0"/>
            <w:vAlign w:val="center"/>
          </w:tcPr>
          <w:p w14:paraId="102B5664">
            <w:pPr>
              <w:widowControl/>
              <w:jc w:val="center"/>
              <w:rPr>
                <w:rFonts w:hint="eastAsia" w:ascii="宋体" w:hAnsi="宋体" w:cs="宋体"/>
                <w:bCs/>
                <w:sz w:val="21"/>
                <w:lang w:bidi="ar"/>
              </w:rPr>
            </w:pPr>
            <w:r>
              <w:rPr>
                <w:rFonts w:hint="eastAsia" w:ascii="宋体" w:hAnsi="宋体" w:cs="宋体"/>
                <w:bCs/>
                <w:sz w:val="21"/>
                <w:lang w:bidi="ar"/>
              </w:rPr>
              <w:t>4.69*</w:t>
            </w:r>
          </w:p>
        </w:tc>
        <w:tc>
          <w:tcPr>
            <w:tcW w:w="932" w:type="dxa"/>
            <w:noWrap w:val="0"/>
            <w:vAlign w:val="center"/>
          </w:tcPr>
          <w:p w14:paraId="62A24678">
            <w:pPr>
              <w:widowControl/>
              <w:jc w:val="center"/>
              <w:rPr>
                <w:rFonts w:hint="eastAsia" w:ascii="宋体" w:hAnsi="宋体" w:cs="宋体"/>
                <w:bCs/>
                <w:sz w:val="21"/>
                <w:lang w:eastAsia="en-US" w:bidi="ar"/>
              </w:rPr>
            </w:pPr>
            <w:r>
              <w:rPr>
                <w:rFonts w:hint="eastAsia" w:ascii="宋体" w:hAnsi="宋体" w:cs="宋体"/>
                <w:bCs/>
                <w:sz w:val="21"/>
                <w:lang w:bidi="ar"/>
              </w:rPr>
              <w:t>0.05*</w:t>
            </w:r>
          </w:p>
        </w:tc>
        <w:tc>
          <w:tcPr>
            <w:tcW w:w="825" w:type="dxa"/>
            <w:noWrap w:val="0"/>
            <w:vAlign w:val="center"/>
          </w:tcPr>
          <w:p w14:paraId="21E6C05D">
            <w:pPr>
              <w:widowControl/>
              <w:jc w:val="center"/>
              <w:rPr>
                <w:rFonts w:hint="eastAsia" w:ascii="宋体" w:hAnsi="宋体" w:cs="宋体"/>
                <w:bCs/>
                <w:sz w:val="21"/>
                <w:lang w:eastAsia="en-US" w:bidi="ar"/>
              </w:rPr>
            </w:pPr>
            <w:r>
              <w:rPr>
                <w:rFonts w:hint="eastAsia" w:ascii="宋体" w:hAnsi="宋体" w:cs="宋体"/>
                <w:bCs/>
                <w:sz w:val="21"/>
                <w:lang w:bidi="ar"/>
              </w:rPr>
              <w:t>0.05</w:t>
            </w:r>
          </w:p>
        </w:tc>
        <w:tc>
          <w:tcPr>
            <w:tcW w:w="716" w:type="dxa"/>
            <w:noWrap w:val="0"/>
            <w:vAlign w:val="center"/>
          </w:tcPr>
          <w:p w14:paraId="73508156">
            <w:pPr>
              <w:widowControl/>
              <w:jc w:val="center"/>
              <w:rPr>
                <w:rFonts w:hint="eastAsia" w:ascii="宋体" w:hAnsi="宋体" w:cs="宋体"/>
                <w:bCs/>
                <w:sz w:val="21"/>
                <w:lang w:bidi="ar"/>
              </w:rPr>
            </w:pPr>
            <w:r>
              <w:rPr>
                <w:rFonts w:hint="eastAsia" w:ascii="宋体" w:hAnsi="宋体" w:cs="宋体"/>
                <w:bCs/>
                <w:sz w:val="21"/>
                <w:lang w:bidi="ar"/>
              </w:rPr>
              <w:t>0.36</w:t>
            </w:r>
          </w:p>
        </w:tc>
        <w:tc>
          <w:tcPr>
            <w:tcW w:w="825" w:type="dxa"/>
            <w:noWrap w:val="0"/>
            <w:vAlign w:val="center"/>
          </w:tcPr>
          <w:p w14:paraId="41AEA013">
            <w:pPr>
              <w:widowControl/>
              <w:jc w:val="center"/>
              <w:rPr>
                <w:rFonts w:hint="eastAsia" w:ascii="宋体" w:hAnsi="宋体" w:cs="宋体"/>
                <w:bCs/>
                <w:sz w:val="21"/>
                <w:lang w:bidi="ar"/>
              </w:rPr>
            </w:pPr>
            <w:r>
              <w:rPr>
                <w:rFonts w:hint="eastAsia" w:ascii="宋体" w:hAnsi="宋体" w:cs="宋体"/>
                <w:bCs/>
                <w:sz w:val="21"/>
                <w:lang w:bidi="ar"/>
              </w:rPr>
              <w:t>4.92</w:t>
            </w:r>
          </w:p>
        </w:tc>
        <w:tc>
          <w:tcPr>
            <w:tcW w:w="1341" w:type="dxa"/>
            <w:noWrap w:val="0"/>
            <w:vAlign w:val="center"/>
          </w:tcPr>
          <w:p w14:paraId="0F24E503">
            <w:pPr>
              <w:widowControl/>
              <w:jc w:val="center"/>
              <w:rPr>
                <w:rFonts w:hint="eastAsia" w:ascii="宋体" w:hAnsi="宋体" w:cs="宋体"/>
                <w:bCs/>
                <w:sz w:val="21"/>
                <w:lang w:bidi="ar"/>
              </w:rPr>
            </w:pPr>
            <w:r>
              <w:rPr>
                <w:rFonts w:hint="eastAsia" w:ascii="宋体" w:hAnsi="宋体" w:cs="宋体"/>
                <w:bCs/>
                <w:sz w:val="21"/>
                <w:lang w:bidi="ar"/>
              </w:rPr>
              <w:t>VOCs：7.8氟化物：0.65</w:t>
            </w:r>
          </w:p>
        </w:tc>
        <w:tc>
          <w:tcPr>
            <w:tcW w:w="1753" w:type="dxa"/>
            <w:noWrap w:val="0"/>
            <w:vAlign w:val="center"/>
          </w:tcPr>
          <w:p w14:paraId="3166FAAB">
            <w:pPr>
              <w:widowControl/>
              <w:jc w:val="center"/>
              <w:rPr>
                <w:rFonts w:hint="eastAsia" w:ascii="宋体" w:hAnsi="宋体" w:cs="宋体"/>
                <w:bCs/>
                <w:sz w:val="21"/>
                <w:lang w:eastAsia="en-US" w:bidi="ar"/>
              </w:rPr>
            </w:pPr>
            <w:r>
              <w:rPr>
                <w:rFonts w:hint="eastAsia" w:ascii="宋体" w:hAnsi="宋体" w:cs="宋体"/>
                <w:bCs/>
                <w:sz w:val="21"/>
                <w:lang w:bidi="ar"/>
              </w:rPr>
              <w:t>一般固废42904；危险固废273</w:t>
            </w:r>
          </w:p>
        </w:tc>
        <w:tc>
          <w:tcPr>
            <w:tcW w:w="881" w:type="dxa"/>
            <w:noWrap w:val="0"/>
            <w:vAlign w:val="center"/>
          </w:tcPr>
          <w:p w14:paraId="1BDD61B7">
            <w:pPr>
              <w:widowControl/>
              <w:jc w:val="center"/>
              <w:rPr>
                <w:rFonts w:hint="eastAsia" w:ascii="宋体" w:hAnsi="宋体" w:cs="宋体"/>
                <w:bCs/>
                <w:sz w:val="21"/>
                <w:lang w:bidi="ar"/>
              </w:rPr>
            </w:pPr>
            <w:r>
              <w:rPr>
                <w:rFonts w:hint="eastAsia" w:ascii="宋体" w:hAnsi="宋体" w:cs="宋体"/>
                <w:bCs/>
                <w:sz w:val="21"/>
                <w:lang w:bidi="ar"/>
              </w:rPr>
              <w:t>在建（已批复）</w:t>
            </w:r>
          </w:p>
        </w:tc>
      </w:tr>
      <w:tr w14:paraId="45F6F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9" w:type="dxa"/>
            <w:noWrap w:val="0"/>
            <w:vAlign w:val="center"/>
          </w:tcPr>
          <w:p w14:paraId="08018920">
            <w:pPr>
              <w:widowControl/>
              <w:jc w:val="center"/>
              <w:rPr>
                <w:rFonts w:hint="eastAsia" w:ascii="宋体" w:hAnsi="宋体" w:cs="宋体"/>
                <w:bCs/>
                <w:sz w:val="21"/>
                <w:lang w:eastAsia="en-US" w:bidi="ar"/>
              </w:rPr>
            </w:pPr>
            <w:r>
              <w:rPr>
                <w:rFonts w:hint="eastAsia" w:ascii="宋体" w:hAnsi="宋体" w:cs="宋体"/>
                <w:bCs/>
                <w:sz w:val="21"/>
                <w:lang w:bidi="ar"/>
              </w:rPr>
              <w:t>71</w:t>
            </w:r>
          </w:p>
        </w:tc>
        <w:tc>
          <w:tcPr>
            <w:tcW w:w="1731" w:type="dxa"/>
            <w:noWrap w:val="0"/>
            <w:vAlign w:val="center"/>
          </w:tcPr>
          <w:p w14:paraId="5366679E">
            <w:pPr>
              <w:widowControl/>
              <w:jc w:val="center"/>
              <w:rPr>
                <w:rFonts w:hint="eastAsia" w:ascii="宋体" w:hAnsi="宋体" w:cs="宋体"/>
                <w:bCs/>
                <w:sz w:val="21"/>
                <w:lang w:bidi="ar"/>
              </w:rPr>
            </w:pPr>
            <w:r>
              <w:rPr>
                <w:rFonts w:hint="eastAsia" w:ascii="宋体" w:hAnsi="宋体" w:cs="宋体"/>
                <w:bCs/>
                <w:sz w:val="21"/>
                <w:lang w:bidi="ar"/>
              </w:rPr>
              <w:t>湖南引航生物科技有限公司年产5811吨生物酶催化和酶发酸工程项目</w:t>
            </w:r>
          </w:p>
        </w:tc>
        <w:tc>
          <w:tcPr>
            <w:tcW w:w="1514" w:type="dxa"/>
            <w:noWrap w:val="0"/>
            <w:vAlign w:val="center"/>
          </w:tcPr>
          <w:p w14:paraId="68FFE54E">
            <w:pPr>
              <w:widowControl/>
              <w:jc w:val="center"/>
              <w:rPr>
                <w:rFonts w:hint="eastAsia" w:ascii="宋体" w:hAnsi="宋体" w:cs="宋体"/>
                <w:bCs/>
                <w:sz w:val="21"/>
                <w:lang w:eastAsia="en-US" w:bidi="ar"/>
              </w:rPr>
            </w:pPr>
            <w:r>
              <w:rPr>
                <w:rFonts w:hint="eastAsia" w:ascii="宋体" w:hAnsi="宋体" w:cs="宋体"/>
                <w:bCs/>
                <w:sz w:val="21"/>
                <w:lang w:bidi="ar"/>
              </w:rPr>
              <w:t>111.854119564</w:t>
            </w:r>
          </w:p>
        </w:tc>
        <w:tc>
          <w:tcPr>
            <w:tcW w:w="1473" w:type="dxa"/>
            <w:noWrap w:val="0"/>
            <w:vAlign w:val="center"/>
          </w:tcPr>
          <w:p w14:paraId="6294B1FC">
            <w:pPr>
              <w:widowControl/>
              <w:jc w:val="center"/>
              <w:rPr>
                <w:rFonts w:hint="eastAsia" w:ascii="宋体" w:hAnsi="宋体" w:cs="宋体"/>
                <w:bCs/>
                <w:sz w:val="21"/>
                <w:lang w:eastAsia="en-US" w:bidi="ar"/>
              </w:rPr>
            </w:pPr>
            <w:r>
              <w:rPr>
                <w:rFonts w:hint="eastAsia" w:ascii="宋体" w:hAnsi="宋体" w:cs="宋体"/>
                <w:bCs/>
                <w:sz w:val="21"/>
                <w:lang w:bidi="ar"/>
              </w:rPr>
              <w:t>29.561125499</w:t>
            </w:r>
          </w:p>
        </w:tc>
        <w:tc>
          <w:tcPr>
            <w:tcW w:w="959" w:type="dxa"/>
            <w:noWrap w:val="0"/>
            <w:vAlign w:val="center"/>
          </w:tcPr>
          <w:p w14:paraId="53207C44">
            <w:pPr>
              <w:widowControl/>
              <w:jc w:val="center"/>
              <w:rPr>
                <w:rFonts w:hint="eastAsia" w:ascii="宋体" w:hAnsi="宋体" w:cs="宋体"/>
                <w:bCs/>
                <w:sz w:val="21"/>
                <w:lang w:eastAsia="en-US" w:bidi="ar"/>
              </w:rPr>
            </w:pPr>
            <w:r>
              <w:rPr>
                <w:rFonts w:hint="eastAsia" w:ascii="宋体" w:hAnsi="宋体" w:cs="宋体"/>
                <w:bCs/>
                <w:sz w:val="21"/>
                <w:lang w:bidi="ar"/>
              </w:rPr>
              <w:t>130000</w:t>
            </w:r>
          </w:p>
        </w:tc>
        <w:tc>
          <w:tcPr>
            <w:tcW w:w="852" w:type="dxa"/>
            <w:noWrap w:val="0"/>
            <w:vAlign w:val="center"/>
          </w:tcPr>
          <w:p w14:paraId="3379DAEA">
            <w:pPr>
              <w:widowControl/>
              <w:jc w:val="center"/>
              <w:rPr>
                <w:rFonts w:hint="eastAsia" w:ascii="宋体" w:hAnsi="宋体" w:cs="宋体"/>
                <w:bCs/>
                <w:sz w:val="21"/>
                <w:lang w:bidi="ar"/>
              </w:rPr>
            </w:pPr>
            <w:r>
              <w:rPr>
                <w:rFonts w:hint="eastAsia" w:ascii="宋体" w:hAnsi="宋体" w:cs="宋体"/>
                <w:bCs/>
                <w:sz w:val="21"/>
                <w:lang w:bidi="ar"/>
              </w:rPr>
              <w:t>6.48</w:t>
            </w:r>
          </w:p>
        </w:tc>
        <w:tc>
          <w:tcPr>
            <w:tcW w:w="932" w:type="dxa"/>
            <w:noWrap w:val="0"/>
            <w:vAlign w:val="center"/>
          </w:tcPr>
          <w:p w14:paraId="40154B2B">
            <w:pPr>
              <w:widowControl/>
              <w:jc w:val="center"/>
              <w:rPr>
                <w:rFonts w:hint="eastAsia" w:ascii="宋体" w:hAnsi="宋体" w:cs="宋体"/>
                <w:bCs/>
                <w:sz w:val="21"/>
                <w:lang w:eastAsia="en-US" w:bidi="ar"/>
              </w:rPr>
            </w:pPr>
            <w:r>
              <w:rPr>
                <w:rFonts w:hint="eastAsia" w:ascii="宋体" w:hAnsi="宋体" w:cs="宋体"/>
                <w:bCs/>
                <w:sz w:val="21"/>
                <w:lang w:bidi="ar"/>
              </w:rPr>
              <w:t>1.04</w:t>
            </w:r>
          </w:p>
        </w:tc>
        <w:tc>
          <w:tcPr>
            <w:tcW w:w="825" w:type="dxa"/>
            <w:noWrap w:val="0"/>
            <w:vAlign w:val="center"/>
          </w:tcPr>
          <w:p w14:paraId="4397EA23">
            <w:pPr>
              <w:widowControl/>
              <w:jc w:val="center"/>
              <w:rPr>
                <w:rFonts w:hint="eastAsia" w:ascii="宋体" w:hAnsi="宋体" w:cs="宋体"/>
                <w:bCs/>
                <w:sz w:val="21"/>
                <w:lang w:bidi="ar"/>
              </w:rPr>
            </w:pPr>
            <w:r>
              <w:rPr>
                <w:rFonts w:hint="eastAsia" w:ascii="宋体" w:hAnsi="宋体" w:cs="宋体"/>
                <w:bCs/>
                <w:sz w:val="21"/>
                <w:lang w:bidi="ar"/>
              </w:rPr>
              <w:t>0.476</w:t>
            </w:r>
          </w:p>
        </w:tc>
        <w:tc>
          <w:tcPr>
            <w:tcW w:w="716" w:type="dxa"/>
            <w:noWrap w:val="0"/>
            <w:vAlign w:val="center"/>
          </w:tcPr>
          <w:p w14:paraId="7DACE55F">
            <w:pPr>
              <w:widowControl/>
              <w:jc w:val="center"/>
              <w:rPr>
                <w:rFonts w:hint="eastAsia" w:ascii="宋体" w:hAnsi="宋体" w:cs="宋体"/>
                <w:bCs/>
                <w:sz w:val="21"/>
                <w:lang w:bidi="ar"/>
              </w:rPr>
            </w:pPr>
            <w:r>
              <w:rPr>
                <w:rFonts w:hint="eastAsia" w:ascii="宋体" w:hAnsi="宋体" w:cs="宋体"/>
                <w:bCs/>
                <w:sz w:val="21"/>
                <w:lang w:bidi="ar"/>
              </w:rPr>
              <w:t>0.46</w:t>
            </w:r>
          </w:p>
        </w:tc>
        <w:tc>
          <w:tcPr>
            <w:tcW w:w="825" w:type="dxa"/>
            <w:noWrap w:val="0"/>
            <w:vAlign w:val="center"/>
          </w:tcPr>
          <w:p w14:paraId="49F47F63">
            <w:pPr>
              <w:widowControl/>
              <w:jc w:val="center"/>
              <w:rPr>
                <w:rFonts w:hint="eastAsia" w:ascii="宋体" w:hAnsi="宋体" w:cs="宋体"/>
                <w:bCs/>
                <w:sz w:val="21"/>
                <w:lang w:bidi="ar"/>
              </w:rPr>
            </w:pPr>
            <w:r>
              <w:rPr>
                <w:rFonts w:hint="eastAsia" w:ascii="宋体" w:hAnsi="宋体" w:cs="宋体"/>
                <w:bCs/>
                <w:sz w:val="21"/>
                <w:lang w:bidi="ar"/>
              </w:rPr>
              <w:t>0</w:t>
            </w:r>
          </w:p>
        </w:tc>
        <w:tc>
          <w:tcPr>
            <w:tcW w:w="1341" w:type="dxa"/>
            <w:noWrap w:val="0"/>
            <w:vAlign w:val="center"/>
          </w:tcPr>
          <w:p w14:paraId="087EC471">
            <w:pPr>
              <w:widowControl/>
              <w:jc w:val="center"/>
              <w:rPr>
                <w:rFonts w:hint="eastAsia" w:ascii="宋体" w:hAnsi="宋体" w:cs="宋体"/>
                <w:bCs/>
                <w:sz w:val="21"/>
                <w:lang w:bidi="ar"/>
              </w:rPr>
            </w:pPr>
            <w:r>
              <w:rPr>
                <w:rFonts w:hint="eastAsia" w:ascii="宋体" w:hAnsi="宋体" w:cs="宋体"/>
                <w:bCs/>
                <w:sz w:val="21"/>
                <w:lang w:bidi="ar"/>
              </w:rPr>
              <w:t>VOCs  0.158</w:t>
            </w:r>
          </w:p>
        </w:tc>
        <w:tc>
          <w:tcPr>
            <w:tcW w:w="1753" w:type="dxa"/>
            <w:noWrap w:val="0"/>
            <w:vAlign w:val="center"/>
          </w:tcPr>
          <w:p w14:paraId="1D0CDE4E">
            <w:pPr>
              <w:widowControl/>
              <w:jc w:val="center"/>
              <w:rPr>
                <w:rFonts w:hint="eastAsia" w:ascii="宋体" w:hAnsi="宋体" w:cs="宋体"/>
                <w:bCs/>
                <w:sz w:val="21"/>
                <w:lang w:eastAsia="en-US" w:bidi="ar"/>
              </w:rPr>
            </w:pPr>
            <w:r>
              <w:rPr>
                <w:rFonts w:hint="eastAsia" w:ascii="宋体" w:hAnsi="宋体" w:cs="宋体"/>
                <w:bCs/>
                <w:sz w:val="21"/>
                <w:lang w:bidi="ar"/>
              </w:rPr>
              <w:t>一般固废76.9</w:t>
            </w:r>
          </w:p>
        </w:tc>
        <w:tc>
          <w:tcPr>
            <w:tcW w:w="881" w:type="dxa"/>
            <w:noWrap w:val="0"/>
            <w:vAlign w:val="center"/>
          </w:tcPr>
          <w:p w14:paraId="45EE6862">
            <w:pPr>
              <w:widowControl/>
              <w:jc w:val="center"/>
              <w:rPr>
                <w:rFonts w:hint="eastAsia" w:ascii="宋体" w:hAnsi="宋体" w:cs="宋体"/>
                <w:bCs/>
                <w:sz w:val="21"/>
                <w:lang w:bidi="ar"/>
              </w:rPr>
            </w:pPr>
            <w:r>
              <w:rPr>
                <w:rFonts w:hint="eastAsia" w:ascii="宋体" w:hAnsi="宋体" w:cs="宋体"/>
                <w:bCs/>
                <w:sz w:val="21"/>
                <w:lang w:bidi="ar"/>
              </w:rPr>
              <w:t>在建（已批复）</w:t>
            </w:r>
          </w:p>
        </w:tc>
      </w:tr>
      <w:tr w14:paraId="37B95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9" w:type="dxa"/>
            <w:noWrap w:val="0"/>
            <w:vAlign w:val="center"/>
          </w:tcPr>
          <w:p w14:paraId="2530C95B">
            <w:pPr>
              <w:widowControl/>
              <w:jc w:val="center"/>
              <w:rPr>
                <w:rFonts w:hint="eastAsia" w:ascii="宋体" w:hAnsi="宋体" w:cs="宋体"/>
                <w:bCs/>
                <w:sz w:val="21"/>
                <w:lang w:eastAsia="en-US" w:bidi="ar"/>
              </w:rPr>
            </w:pPr>
            <w:r>
              <w:rPr>
                <w:rFonts w:hint="eastAsia" w:ascii="宋体" w:hAnsi="宋体" w:cs="宋体"/>
                <w:bCs/>
                <w:sz w:val="21"/>
                <w:lang w:bidi="ar"/>
              </w:rPr>
              <w:t>72</w:t>
            </w:r>
          </w:p>
        </w:tc>
        <w:tc>
          <w:tcPr>
            <w:tcW w:w="1731" w:type="dxa"/>
            <w:noWrap w:val="0"/>
            <w:vAlign w:val="center"/>
          </w:tcPr>
          <w:p w14:paraId="2C7C603D">
            <w:pPr>
              <w:widowControl/>
              <w:jc w:val="center"/>
              <w:rPr>
                <w:rFonts w:hint="eastAsia" w:ascii="宋体" w:hAnsi="宋体" w:cs="宋体"/>
                <w:bCs/>
                <w:sz w:val="21"/>
                <w:lang w:bidi="ar"/>
              </w:rPr>
            </w:pPr>
            <w:r>
              <w:rPr>
                <w:rFonts w:hint="eastAsia" w:ascii="宋体" w:hAnsi="宋体" w:cs="宋体"/>
                <w:bCs/>
                <w:sz w:val="21"/>
                <w:lang w:bidi="ar"/>
              </w:rPr>
              <w:t>湖南格瑞生物科技有限公司年产2万吨生物酶制剂项目</w:t>
            </w:r>
          </w:p>
        </w:tc>
        <w:tc>
          <w:tcPr>
            <w:tcW w:w="1514" w:type="dxa"/>
            <w:noWrap w:val="0"/>
            <w:vAlign w:val="center"/>
          </w:tcPr>
          <w:p w14:paraId="7B06C7FC">
            <w:pPr>
              <w:widowControl/>
              <w:jc w:val="center"/>
              <w:rPr>
                <w:rFonts w:hint="eastAsia" w:ascii="宋体" w:hAnsi="宋体" w:cs="宋体"/>
                <w:bCs/>
                <w:sz w:val="21"/>
                <w:lang w:eastAsia="en-US" w:bidi="ar"/>
              </w:rPr>
            </w:pPr>
            <w:r>
              <w:rPr>
                <w:rFonts w:hint="eastAsia" w:ascii="宋体" w:hAnsi="宋体" w:cs="宋体"/>
                <w:bCs/>
                <w:sz w:val="21"/>
                <w:lang w:bidi="ar"/>
              </w:rPr>
              <w:t>111.874110578</w:t>
            </w:r>
          </w:p>
        </w:tc>
        <w:tc>
          <w:tcPr>
            <w:tcW w:w="1473" w:type="dxa"/>
            <w:noWrap w:val="0"/>
            <w:vAlign w:val="center"/>
          </w:tcPr>
          <w:p w14:paraId="32AC83E1">
            <w:pPr>
              <w:widowControl/>
              <w:jc w:val="center"/>
              <w:rPr>
                <w:rFonts w:hint="eastAsia" w:ascii="宋体" w:hAnsi="宋体" w:cs="宋体"/>
                <w:bCs/>
                <w:sz w:val="21"/>
                <w:lang w:eastAsia="en-US" w:bidi="ar"/>
              </w:rPr>
            </w:pPr>
            <w:r>
              <w:rPr>
                <w:rFonts w:hint="eastAsia" w:ascii="宋体" w:hAnsi="宋体" w:cs="宋体"/>
                <w:bCs/>
                <w:sz w:val="21"/>
                <w:lang w:bidi="ar"/>
              </w:rPr>
              <w:t>29.36342638</w:t>
            </w:r>
          </w:p>
        </w:tc>
        <w:tc>
          <w:tcPr>
            <w:tcW w:w="959" w:type="dxa"/>
            <w:noWrap w:val="0"/>
            <w:vAlign w:val="center"/>
          </w:tcPr>
          <w:p w14:paraId="320669A4">
            <w:pPr>
              <w:widowControl/>
              <w:jc w:val="center"/>
              <w:rPr>
                <w:rFonts w:hint="eastAsia" w:ascii="宋体" w:hAnsi="宋体" w:cs="宋体"/>
                <w:bCs/>
                <w:sz w:val="21"/>
                <w:lang w:eastAsia="en-US" w:bidi="ar"/>
              </w:rPr>
            </w:pPr>
            <w:r>
              <w:rPr>
                <w:rFonts w:hint="eastAsia" w:ascii="宋体" w:hAnsi="宋体" w:cs="宋体"/>
                <w:bCs/>
                <w:sz w:val="21"/>
                <w:lang w:bidi="ar"/>
              </w:rPr>
              <w:t>224400</w:t>
            </w:r>
          </w:p>
        </w:tc>
        <w:tc>
          <w:tcPr>
            <w:tcW w:w="852" w:type="dxa"/>
            <w:noWrap w:val="0"/>
            <w:vAlign w:val="center"/>
          </w:tcPr>
          <w:p w14:paraId="5C1DFA72">
            <w:pPr>
              <w:widowControl/>
              <w:jc w:val="center"/>
              <w:rPr>
                <w:rFonts w:hint="eastAsia" w:ascii="宋体" w:hAnsi="宋体" w:cs="宋体"/>
                <w:bCs/>
                <w:sz w:val="21"/>
                <w:lang w:eastAsia="en-US" w:bidi="ar"/>
              </w:rPr>
            </w:pPr>
            <w:r>
              <w:rPr>
                <w:rFonts w:hint="eastAsia" w:ascii="宋体" w:hAnsi="宋体" w:cs="宋体"/>
                <w:bCs/>
                <w:sz w:val="21"/>
                <w:lang w:bidi="ar"/>
              </w:rPr>
              <w:t>41.7</w:t>
            </w:r>
          </w:p>
        </w:tc>
        <w:tc>
          <w:tcPr>
            <w:tcW w:w="932" w:type="dxa"/>
            <w:noWrap w:val="0"/>
            <w:vAlign w:val="center"/>
          </w:tcPr>
          <w:p w14:paraId="0494D076">
            <w:pPr>
              <w:widowControl/>
              <w:jc w:val="center"/>
              <w:rPr>
                <w:rFonts w:hint="eastAsia" w:ascii="宋体" w:hAnsi="宋体" w:cs="宋体"/>
                <w:bCs/>
                <w:sz w:val="21"/>
                <w:lang w:eastAsia="en-US" w:bidi="ar"/>
              </w:rPr>
            </w:pPr>
            <w:r>
              <w:rPr>
                <w:rFonts w:hint="eastAsia" w:ascii="宋体" w:hAnsi="宋体" w:cs="宋体"/>
                <w:bCs/>
                <w:sz w:val="21"/>
                <w:lang w:bidi="ar"/>
              </w:rPr>
              <w:t>2.9</w:t>
            </w:r>
          </w:p>
        </w:tc>
        <w:tc>
          <w:tcPr>
            <w:tcW w:w="825" w:type="dxa"/>
            <w:noWrap w:val="0"/>
            <w:vAlign w:val="center"/>
          </w:tcPr>
          <w:p w14:paraId="16C3A9EA">
            <w:pPr>
              <w:widowControl/>
              <w:jc w:val="center"/>
              <w:rPr>
                <w:rFonts w:hint="eastAsia" w:ascii="宋体" w:hAnsi="宋体" w:cs="宋体"/>
                <w:bCs/>
                <w:sz w:val="21"/>
                <w:lang w:eastAsia="en-US" w:bidi="ar"/>
              </w:rPr>
            </w:pPr>
            <w:r>
              <w:rPr>
                <w:rFonts w:hint="eastAsia" w:ascii="宋体" w:hAnsi="宋体" w:cs="宋体"/>
                <w:bCs/>
                <w:sz w:val="21"/>
                <w:lang w:bidi="ar"/>
              </w:rPr>
              <w:t>/</w:t>
            </w:r>
          </w:p>
        </w:tc>
        <w:tc>
          <w:tcPr>
            <w:tcW w:w="716" w:type="dxa"/>
            <w:noWrap w:val="0"/>
            <w:vAlign w:val="center"/>
          </w:tcPr>
          <w:p w14:paraId="341117BC">
            <w:pPr>
              <w:widowControl/>
              <w:jc w:val="center"/>
              <w:rPr>
                <w:rFonts w:hint="eastAsia" w:ascii="宋体" w:hAnsi="宋体" w:cs="宋体"/>
                <w:bCs/>
                <w:sz w:val="21"/>
                <w:lang w:bidi="ar"/>
              </w:rPr>
            </w:pPr>
            <w:r>
              <w:rPr>
                <w:rFonts w:hint="eastAsia" w:ascii="宋体" w:hAnsi="宋体" w:cs="宋体"/>
                <w:bCs/>
                <w:sz w:val="21"/>
                <w:lang w:bidi="ar"/>
              </w:rPr>
              <w:t>/</w:t>
            </w:r>
          </w:p>
        </w:tc>
        <w:tc>
          <w:tcPr>
            <w:tcW w:w="825" w:type="dxa"/>
            <w:noWrap w:val="0"/>
            <w:vAlign w:val="center"/>
          </w:tcPr>
          <w:p w14:paraId="67F79E0F">
            <w:pPr>
              <w:widowControl/>
              <w:jc w:val="center"/>
              <w:rPr>
                <w:rFonts w:hint="eastAsia" w:ascii="宋体" w:hAnsi="宋体" w:cs="宋体"/>
                <w:bCs/>
                <w:sz w:val="21"/>
                <w:lang w:bidi="ar"/>
              </w:rPr>
            </w:pPr>
            <w:r>
              <w:rPr>
                <w:rFonts w:hint="eastAsia" w:ascii="宋体" w:hAnsi="宋体" w:cs="宋体"/>
                <w:bCs/>
                <w:sz w:val="21"/>
                <w:lang w:bidi="ar"/>
              </w:rPr>
              <w:t>0.6</w:t>
            </w:r>
          </w:p>
        </w:tc>
        <w:tc>
          <w:tcPr>
            <w:tcW w:w="1341" w:type="dxa"/>
            <w:noWrap w:val="0"/>
            <w:vAlign w:val="center"/>
          </w:tcPr>
          <w:p w14:paraId="5685F531">
            <w:pPr>
              <w:widowControl/>
              <w:jc w:val="center"/>
              <w:rPr>
                <w:rFonts w:hint="eastAsia" w:ascii="宋体" w:hAnsi="宋体" w:cs="宋体"/>
                <w:bCs/>
                <w:sz w:val="21"/>
                <w:lang w:bidi="ar"/>
              </w:rPr>
            </w:pPr>
            <w:r>
              <w:rPr>
                <w:rFonts w:hint="eastAsia" w:ascii="宋体" w:hAnsi="宋体" w:cs="宋体"/>
                <w:bCs/>
                <w:sz w:val="21"/>
                <w:lang w:bidi="ar"/>
              </w:rPr>
              <w:t>/</w:t>
            </w:r>
          </w:p>
        </w:tc>
        <w:tc>
          <w:tcPr>
            <w:tcW w:w="1753" w:type="dxa"/>
            <w:noWrap w:val="0"/>
            <w:vAlign w:val="center"/>
          </w:tcPr>
          <w:p w14:paraId="259623FA">
            <w:pPr>
              <w:widowControl/>
              <w:jc w:val="center"/>
              <w:rPr>
                <w:rFonts w:hint="eastAsia" w:ascii="宋体" w:hAnsi="宋体" w:cs="宋体"/>
                <w:bCs/>
                <w:sz w:val="21"/>
                <w:lang w:eastAsia="en-US" w:bidi="ar"/>
              </w:rPr>
            </w:pPr>
            <w:r>
              <w:rPr>
                <w:rFonts w:hint="eastAsia" w:ascii="宋体" w:hAnsi="宋体" w:cs="宋体"/>
                <w:bCs/>
                <w:sz w:val="21"/>
                <w:lang w:bidi="ar"/>
              </w:rPr>
              <w:t>/</w:t>
            </w:r>
          </w:p>
        </w:tc>
        <w:tc>
          <w:tcPr>
            <w:tcW w:w="881" w:type="dxa"/>
            <w:noWrap w:val="0"/>
            <w:vAlign w:val="center"/>
          </w:tcPr>
          <w:p w14:paraId="284EC701">
            <w:pPr>
              <w:widowControl/>
              <w:jc w:val="center"/>
              <w:rPr>
                <w:rFonts w:hint="eastAsia" w:ascii="宋体" w:hAnsi="宋体" w:cs="宋体"/>
                <w:bCs/>
                <w:sz w:val="21"/>
                <w:lang w:eastAsia="en-US" w:bidi="ar"/>
              </w:rPr>
            </w:pPr>
            <w:r>
              <w:rPr>
                <w:rFonts w:hint="eastAsia" w:ascii="宋体" w:hAnsi="宋体" w:cs="宋体"/>
                <w:bCs/>
                <w:sz w:val="21"/>
                <w:lang w:bidi="ar"/>
              </w:rPr>
              <w:t>在建（已批复</w:t>
            </w:r>
          </w:p>
        </w:tc>
      </w:tr>
      <w:tr w14:paraId="5F0DC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4" w:hRule="atLeast"/>
        </w:trPr>
        <w:tc>
          <w:tcPr>
            <w:tcW w:w="519" w:type="dxa"/>
            <w:noWrap w:val="0"/>
            <w:vAlign w:val="center"/>
          </w:tcPr>
          <w:p w14:paraId="726F336B">
            <w:pPr>
              <w:widowControl/>
              <w:jc w:val="center"/>
              <w:rPr>
                <w:rFonts w:hint="eastAsia" w:ascii="宋体" w:hAnsi="宋体" w:cs="宋体"/>
                <w:bCs/>
                <w:sz w:val="21"/>
                <w:lang w:eastAsia="en-US" w:bidi="ar"/>
              </w:rPr>
            </w:pPr>
            <w:r>
              <w:rPr>
                <w:rFonts w:hint="eastAsia" w:ascii="宋体" w:hAnsi="宋体" w:cs="宋体"/>
                <w:bCs/>
                <w:sz w:val="21"/>
                <w:lang w:bidi="ar"/>
              </w:rPr>
              <w:t>73</w:t>
            </w:r>
          </w:p>
        </w:tc>
        <w:tc>
          <w:tcPr>
            <w:tcW w:w="1731" w:type="dxa"/>
            <w:noWrap w:val="0"/>
            <w:vAlign w:val="center"/>
          </w:tcPr>
          <w:p w14:paraId="5D0B14D2">
            <w:pPr>
              <w:widowControl/>
              <w:jc w:val="center"/>
              <w:rPr>
                <w:rFonts w:hint="eastAsia" w:ascii="宋体" w:hAnsi="宋体" w:cs="宋体"/>
                <w:bCs/>
                <w:sz w:val="21"/>
                <w:lang w:bidi="ar"/>
              </w:rPr>
            </w:pPr>
            <w:r>
              <w:rPr>
                <w:rFonts w:hint="eastAsia" w:ascii="宋体" w:hAnsi="宋体" w:cs="宋体"/>
                <w:bCs/>
                <w:sz w:val="21"/>
                <w:lang w:bidi="ar"/>
              </w:rPr>
              <w:t>湖南龙腾生物科技有限公司年产1500吨胞嘧啶中间体生产线项目</w:t>
            </w:r>
          </w:p>
        </w:tc>
        <w:tc>
          <w:tcPr>
            <w:tcW w:w="1514" w:type="dxa"/>
            <w:noWrap w:val="0"/>
            <w:vAlign w:val="center"/>
          </w:tcPr>
          <w:p w14:paraId="6276FDC0">
            <w:pPr>
              <w:widowControl/>
              <w:jc w:val="center"/>
              <w:rPr>
                <w:rFonts w:hint="eastAsia" w:ascii="宋体" w:hAnsi="宋体" w:cs="宋体"/>
                <w:bCs/>
                <w:sz w:val="21"/>
                <w:lang w:eastAsia="en-US" w:bidi="ar"/>
              </w:rPr>
            </w:pPr>
            <w:r>
              <w:rPr>
                <w:rFonts w:hint="eastAsia" w:ascii="宋体" w:hAnsi="宋体" w:cs="宋体"/>
                <w:bCs/>
                <w:sz w:val="21"/>
                <w:lang w:bidi="ar"/>
              </w:rPr>
              <w:t>111.876225959</w:t>
            </w:r>
          </w:p>
        </w:tc>
        <w:tc>
          <w:tcPr>
            <w:tcW w:w="1473" w:type="dxa"/>
            <w:noWrap w:val="0"/>
            <w:vAlign w:val="center"/>
          </w:tcPr>
          <w:p w14:paraId="5F436A4F">
            <w:pPr>
              <w:widowControl/>
              <w:jc w:val="center"/>
              <w:rPr>
                <w:rFonts w:hint="eastAsia" w:ascii="宋体" w:hAnsi="宋体" w:cs="宋体"/>
                <w:bCs/>
                <w:sz w:val="21"/>
                <w:lang w:eastAsia="en-US" w:bidi="ar"/>
              </w:rPr>
            </w:pPr>
            <w:r>
              <w:rPr>
                <w:rFonts w:hint="eastAsia" w:ascii="宋体" w:hAnsi="宋体" w:cs="宋体"/>
                <w:bCs/>
                <w:sz w:val="21"/>
                <w:lang w:bidi="ar"/>
              </w:rPr>
              <w:t>29.562124533</w:t>
            </w:r>
          </w:p>
        </w:tc>
        <w:tc>
          <w:tcPr>
            <w:tcW w:w="959" w:type="dxa"/>
            <w:noWrap w:val="0"/>
            <w:vAlign w:val="center"/>
          </w:tcPr>
          <w:p w14:paraId="7131D99D">
            <w:pPr>
              <w:widowControl/>
              <w:jc w:val="center"/>
              <w:rPr>
                <w:rFonts w:hint="eastAsia" w:ascii="宋体" w:hAnsi="宋体" w:cs="宋体"/>
                <w:bCs/>
                <w:sz w:val="21"/>
                <w:lang w:bidi="ar"/>
              </w:rPr>
            </w:pPr>
            <w:r>
              <w:rPr>
                <w:rFonts w:hint="eastAsia" w:ascii="宋体" w:hAnsi="宋体" w:cs="宋体"/>
                <w:bCs/>
                <w:sz w:val="21"/>
                <w:lang w:bidi="ar"/>
              </w:rPr>
              <w:t>45252.75</w:t>
            </w:r>
          </w:p>
        </w:tc>
        <w:tc>
          <w:tcPr>
            <w:tcW w:w="852" w:type="dxa"/>
            <w:noWrap w:val="0"/>
            <w:vAlign w:val="center"/>
          </w:tcPr>
          <w:p w14:paraId="28B973EC">
            <w:pPr>
              <w:widowControl/>
              <w:jc w:val="center"/>
              <w:rPr>
                <w:rFonts w:hint="eastAsia" w:ascii="宋体" w:hAnsi="宋体" w:cs="宋体"/>
                <w:bCs/>
                <w:sz w:val="21"/>
                <w:lang w:bidi="ar"/>
              </w:rPr>
            </w:pPr>
            <w:r>
              <w:rPr>
                <w:rFonts w:hint="eastAsia" w:ascii="宋体" w:hAnsi="宋体" w:cs="宋体"/>
                <w:bCs/>
                <w:sz w:val="21"/>
                <w:lang w:bidi="ar"/>
              </w:rPr>
              <w:t>2.25</w:t>
            </w:r>
          </w:p>
        </w:tc>
        <w:tc>
          <w:tcPr>
            <w:tcW w:w="932" w:type="dxa"/>
            <w:noWrap w:val="0"/>
            <w:vAlign w:val="center"/>
          </w:tcPr>
          <w:p w14:paraId="6FED5F51">
            <w:pPr>
              <w:widowControl/>
              <w:jc w:val="center"/>
              <w:rPr>
                <w:rFonts w:hint="eastAsia" w:ascii="宋体" w:hAnsi="宋体" w:cs="宋体"/>
                <w:bCs/>
                <w:sz w:val="21"/>
                <w:lang w:bidi="ar"/>
              </w:rPr>
            </w:pPr>
            <w:r>
              <w:rPr>
                <w:rFonts w:hint="eastAsia" w:ascii="宋体" w:hAnsi="宋体" w:cs="宋体"/>
                <w:bCs/>
                <w:sz w:val="21"/>
                <w:lang w:bidi="ar"/>
              </w:rPr>
              <w:t>0.36</w:t>
            </w:r>
          </w:p>
        </w:tc>
        <w:tc>
          <w:tcPr>
            <w:tcW w:w="825" w:type="dxa"/>
            <w:noWrap w:val="0"/>
            <w:vAlign w:val="center"/>
          </w:tcPr>
          <w:p w14:paraId="52DE78EF">
            <w:pPr>
              <w:widowControl/>
              <w:jc w:val="center"/>
              <w:rPr>
                <w:rFonts w:hint="eastAsia" w:ascii="宋体" w:hAnsi="宋体" w:cs="宋体"/>
                <w:bCs/>
                <w:sz w:val="21"/>
                <w:lang w:bidi="ar"/>
              </w:rPr>
            </w:pPr>
            <w:r>
              <w:rPr>
                <w:rFonts w:hint="eastAsia" w:ascii="宋体" w:hAnsi="宋体" w:cs="宋体"/>
                <w:bCs/>
                <w:sz w:val="21"/>
                <w:lang w:bidi="ar"/>
              </w:rPr>
              <w:t>/</w:t>
            </w:r>
          </w:p>
        </w:tc>
        <w:tc>
          <w:tcPr>
            <w:tcW w:w="716" w:type="dxa"/>
            <w:noWrap w:val="0"/>
            <w:vAlign w:val="center"/>
          </w:tcPr>
          <w:p w14:paraId="6A720E43">
            <w:pPr>
              <w:widowControl/>
              <w:jc w:val="center"/>
              <w:rPr>
                <w:rFonts w:hint="eastAsia" w:ascii="宋体" w:hAnsi="宋体" w:cs="宋体"/>
                <w:bCs/>
                <w:sz w:val="21"/>
                <w:lang w:bidi="ar"/>
              </w:rPr>
            </w:pPr>
            <w:r>
              <w:rPr>
                <w:rFonts w:hint="eastAsia" w:ascii="宋体" w:hAnsi="宋体" w:cs="宋体"/>
                <w:bCs/>
                <w:sz w:val="21"/>
                <w:lang w:bidi="ar"/>
              </w:rPr>
              <w:t>/</w:t>
            </w:r>
          </w:p>
        </w:tc>
        <w:tc>
          <w:tcPr>
            <w:tcW w:w="825" w:type="dxa"/>
            <w:noWrap w:val="0"/>
            <w:vAlign w:val="center"/>
          </w:tcPr>
          <w:p w14:paraId="500B9CF6">
            <w:pPr>
              <w:widowControl/>
              <w:jc w:val="center"/>
              <w:rPr>
                <w:rFonts w:hint="eastAsia" w:ascii="宋体" w:hAnsi="宋体" w:cs="宋体"/>
                <w:bCs/>
                <w:sz w:val="21"/>
                <w:lang w:bidi="ar"/>
              </w:rPr>
            </w:pPr>
            <w:r>
              <w:rPr>
                <w:rFonts w:hint="eastAsia" w:ascii="宋体" w:hAnsi="宋体" w:cs="宋体"/>
                <w:bCs/>
                <w:sz w:val="21"/>
                <w:lang w:bidi="ar"/>
              </w:rPr>
              <w:t>/</w:t>
            </w:r>
          </w:p>
        </w:tc>
        <w:tc>
          <w:tcPr>
            <w:tcW w:w="1341" w:type="dxa"/>
            <w:noWrap w:val="0"/>
            <w:vAlign w:val="center"/>
          </w:tcPr>
          <w:p w14:paraId="4E3117B7">
            <w:pPr>
              <w:widowControl/>
              <w:jc w:val="center"/>
              <w:rPr>
                <w:rFonts w:hint="eastAsia" w:ascii="宋体" w:hAnsi="宋体" w:cs="宋体"/>
                <w:bCs/>
                <w:sz w:val="21"/>
                <w:lang w:bidi="ar"/>
              </w:rPr>
            </w:pPr>
            <w:r>
              <w:rPr>
                <w:rFonts w:hint="eastAsia" w:ascii="宋体" w:hAnsi="宋体" w:cs="宋体"/>
                <w:bCs/>
                <w:sz w:val="21"/>
                <w:lang w:bidi="ar"/>
              </w:rPr>
              <w:t>TVOC：2.355</w:t>
            </w:r>
          </w:p>
          <w:p w14:paraId="01779EDF">
            <w:pPr>
              <w:widowControl/>
              <w:jc w:val="center"/>
              <w:rPr>
                <w:rFonts w:hint="eastAsia" w:ascii="宋体" w:hAnsi="宋体" w:cs="宋体"/>
                <w:bCs/>
                <w:sz w:val="21"/>
                <w:lang w:bidi="ar"/>
              </w:rPr>
            </w:pPr>
            <w:r>
              <w:rPr>
                <w:rFonts w:hint="eastAsia" w:ascii="宋体" w:hAnsi="宋体" w:cs="宋体"/>
                <w:bCs/>
                <w:sz w:val="21"/>
                <w:lang w:bidi="ar"/>
              </w:rPr>
              <w:t>NH</w:t>
            </w:r>
            <w:r>
              <w:rPr>
                <w:rFonts w:hint="eastAsia" w:ascii="宋体" w:hAnsi="宋体" w:cs="宋体"/>
                <w:bCs/>
                <w:sz w:val="21"/>
                <w:vertAlign w:val="subscript"/>
                <w:lang w:bidi="ar"/>
              </w:rPr>
              <w:t>3</w:t>
            </w:r>
            <w:r>
              <w:rPr>
                <w:rFonts w:hint="eastAsia" w:ascii="宋体" w:hAnsi="宋体" w:cs="宋体"/>
                <w:bCs/>
                <w:sz w:val="21"/>
                <w:lang w:bidi="ar"/>
              </w:rPr>
              <w:t>：0.056；H</w:t>
            </w:r>
            <w:r>
              <w:rPr>
                <w:rFonts w:hint="eastAsia" w:ascii="宋体" w:hAnsi="宋体" w:cs="宋体"/>
                <w:bCs/>
                <w:sz w:val="21"/>
                <w:vertAlign w:val="subscript"/>
                <w:lang w:bidi="ar"/>
              </w:rPr>
              <w:t>2</w:t>
            </w:r>
            <w:r>
              <w:rPr>
                <w:rFonts w:hint="eastAsia" w:ascii="宋体" w:hAnsi="宋体" w:cs="宋体"/>
                <w:bCs/>
                <w:sz w:val="21"/>
                <w:lang w:bidi="ar"/>
              </w:rPr>
              <w:t>S：0.003</w:t>
            </w:r>
          </w:p>
        </w:tc>
        <w:tc>
          <w:tcPr>
            <w:tcW w:w="1753" w:type="dxa"/>
            <w:noWrap w:val="0"/>
            <w:vAlign w:val="center"/>
          </w:tcPr>
          <w:p w14:paraId="286DF3DD">
            <w:pPr>
              <w:widowControl/>
              <w:jc w:val="center"/>
              <w:rPr>
                <w:rFonts w:hint="eastAsia" w:ascii="宋体" w:hAnsi="宋体" w:cs="宋体"/>
                <w:bCs/>
                <w:sz w:val="21"/>
                <w:lang w:bidi="ar"/>
              </w:rPr>
            </w:pPr>
            <w:r>
              <w:rPr>
                <w:rFonts w:hint="eastAsia" w:ascii="宋体" w:hAnsi="宋体" w:cs="宋体"/>
                <w:bCs/>
                <w:sz w:val="21"/>
                <w:lang w:bidi="ar"/>
              </w:rPr>
              <w:t>一般固废96；危险废物492.9；待鉴定固废：615</w:t>
            </w:r>
          </w:p>
        </w:tc>
        <w:tc>
          <w:tcPr>
            <w:tcW w:w="881" w:type="dxa"/>
            <w:noWrap w:val="0"/>
            <w:vAlign w:val="center"/>
          </w:tcPr>
          <w:p w14:paraId="05E1FA4E">
            <w:pPr>
              <w:widowControl/>
              <w:jc w:val="center"/>
              <w:rPr>
                <w:rFonts w:hint="eastAsia" w:ascii="宋体" w:hAnsi="宋体" w:cs="宋体"/>
                <w:bCs/>
                <w:sz w:val="21"/>
                <w:lang w:bidi="ar"/>
              </w:rPr>
            </w:pPr>
            <w:r>
              <w:rPr>
                <w:rFonts w:hint="eastAsia" w:ascii="宋体" w:hAnsi="宋体" w:cs="宋体"/>
                <w:bCs/>
                <w:sz w:val="21"/>
                <w:lang w:bidi="ar"/>
              </w:rPr>
              <w:t>拟建（已批复）</w:t>
            </w:r>
          </w:p>
        </w:tc>
      </w:tr>
      <w:tr w14:paraId="5FDA4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9" w:type="dxa"/>
            <w:noWrap w:val="0"/>
            <w:vAlign w:val="center"/>
          </w:tcPr>
          <w:p w14:paraId="2693A487">
            <w:pPr>
              <w:widowControl/>
              <w:jc w:val="center"/>
              <w:rPr>
                <w:rFonts w:hint="eastAsia" w:ascii="宋体" w:hAnsi="宋体" w:cs="宋体"/>
                <w:bCs/>
                <w:sz w:val="21"/>
                <w:lang w:bidi="ar"/>
              </w:rPr>
            </w:pPr>
            <w:r>
              <w:rPr>
                <w:rFonts w:hint="eastAsia" w:ascii="宋体" w:hAnsi="宋体" w:cs="宋体"/>
                <w:bCs/>
                <w:sz w:val="21"/>
                <w:lang w:bidi="ar"/>
              </w:rPr>
              <w:t>74</w:t>
            </w:r>
          </w:p>
        </w:tc>
        <w:tc>
          <w:tcPr>
            <w:tcW w:w="1731" w:type="dxa"/>
            <w:noWrap w:val="0"/>
            <w:vAlign w:val="center"/>
          </w:tcPr>
          <w:p w14:paraId="7E8EC448">
            <w:pPr>
              <w:widowControl/>
              <w:jc w:val="center"/>
              <w:rPr>
                <w:rFonts w:hint="eastAsia" w:ascii="宋体" w:hAnsi="宋体" w:cs="宋体"/>
                <w:bCs/>
                <w:sz w:val="21"/>
                <w:lang w:bidi="ar"/>
              </w:rPr>
            </w:pPr>
            <w:r>
              <w:rPr>
                <w:rFonts w:hint="eastAsia" w:ascii="宋体" w:hAnsi="宋体" w:cs="宋体"/>
                <w:bCs/>
                <w:sz w:val="21"/>
                <w:lang w:bidi="ar"/>
              </w:rPr>
              <w:t>湖南鸿健生物科技股份有限公司年产1000吨黄酮类化合物保健品、化妆品等原料生产基地项目</w:t>
            </w:r>
          </w:p>
        </w:tc>
        <w:tc>
          <w:tcPr>
            <w:tcW w:w="1514" w:type="dxa"/>
            <w:noWrap w:val="0"/>
            <w:vAlign w:val="center"/>
          </w:tcPr>
          <w:p w14:paraId="15E4E831">
            <w:pPr>
              <w:widowControl/>
              <w:jc w:val="center"/>
              <w:rPr>
                <w:rFonts w:hint="eastAsia" w:ascii="宋体" w:hAnsi="宋体" w:cs="宋体"/>
                <w:bCs/>
                <w:sz w:val="21"/>
                <w:lang w:bidi="ar"/>
              </w:rPr>
            </w:pPr>
            <w:r>
              <w:rPr>
                <w:rFonts w:hint="eastAsia" w:ascii="宋体" w:hAnsi="宋体" w:cs="宋体"/>
                <w:bCs/>
                <w:sz w:val="21"/>
                <w:lang w:bidi="ar"/>
              </w:rPr>
              <w:t>111.856599331</w:t>
            </w:r>
          </w:p>
        </w:tc>
        <w:tc>
          <w:tcPr>
            <w:tcW w:w="1473" w:type="dxa"/>
            <w:noWrap w:val="0"/>
            <w:vAlign w:val="center"/>
          </w:tcPr>
          <w:p w14:paraId="31745B5D">
            <w:pPr>
              <w:widowControl/>
              <w:jc w:val="center"/>
              <w:rPr>
                <w:rFonts w:hint="eastAsia" w:ascii="宋体" w:hAnsi="宋体" w:cs="宋体"/>
                <w:bCs/>
                <w:sz w:val="21"/>
                <w:lang w:bidi="ar"/>
              </w:rPr>
            </w:pPr>
            <w:r>
              <w:rPr>
                <w:rFonts w:hint="eastAsia" w:ascii="宋体" w:hAnsi="宋体" w:cs="宋体"/>
                <w:bCs/>
                <w:sz w:val="21"/>
                <w:lang w:bidi="ar"/>
              </w:rPr>
              <w:t>29.562524456</w:t>
            </w:r>
          </w:p>
        </w:tc>
        <w:tc>
          <w:tcPr>
            <w:tcW w:w="959" w:type="dxa"/>
            <w:noWrap w:val="0"/>
            <w:vAlign w:val="center"/>
          </w:tcPr>
          <w:p w14:paraId="7D5A42CC">
            <w:pPr>
              <w:widowControl/>
              <w:jc w:val="center"/>
              <w:rPr>
                <w:rFonts w:hint="eastAsia" w:ascii="宋体" w:hAnsi="宋体" w:cs="宋体"/>
                <w:bCs/>
                <w:sz w:val="21"/>
                <w:lang w:bidi="ar"/>
              </w:rPr>
            </w:pPr>
            <w:r>
              <w:rPr>
                <w:rFonts w:hint="eastAsia" w:ascii="宋体" w:hAnsi="宋体" w:cs="宋体"/>
                <w:bCs/>
                <w:sz w:val="21"/>
                <w:lang w:bidi="ar"/>
              </w:rPr>
              <w:t>199089</w:t>
            </w:r>
          </w:p>
        </w:tc>
        <w:tc>
          <w:tcPr>
            <w:tcW w:w="852" w:type="dxa"/>
            <w:noWrap w:val="0"/>
            <w:vAlign w:val="center"/>
          </w:tcPr>
          <w:p w14:paraId="49A27DEC">
            <w:pPr>
              <w:widowControl/>
              <w:jc w:val="center"/>
              <w:rPr>
                <w:rFonts w:hint="eastAsia" w:ascii="宋体" w:hAnsi="宋体" w:cs="宋体"/>
                <w:bCs/>
                <w:sz w:val="21"/>
                <w:lang w:bidi="ar"/>
              </w:rPr>
            </w:pPr>
            <w:r>
              <w:rPr>
                <w:rFonts w:hint="eastAsia" w:ascii="宋体" w:hAnsi="宋体" w:cs="宋体"/>
                <w:bCs/>
                <w:sz w:val="21"/>
                <w:lang w:bidi="ar"/>
              </w:rPr>
              <w:t>89.59</w:t>
            </w:r>
          </w:p>
        </w:tc>
        <w:tc>
          <w:tcPr>
            <w:tcW w:w="932" w:type="dxa"/>
            <w:noWrap w:val="0"/>
            <w:vAlign w:val="center"/>
          </w:tcPr>
          <w:p w14:paraId="0A25FDA6">
            <w:pPr>
              <w:widowControl/>
              <w:jc w:val="center"/>
              <w:rPr>
                <w:rFonts w:hint="eastAsia" w:ascii="宋体" w:hAnsi="宋体" w:cs="宋体"/>
                <w:bCs/>
                <w:sz w:val="21"/>
                <w:lang w:eastAsia="en-US" w:bidi="ar"/>
              </w:rPr>
            </w:pPr>
            <w:r>
              <w:rPr>
                <w:rFonts w:hint="eastAsia" w:ascii="宋体" w:hAnsi="宋体" w:cs="宋体"/>
                <w:bCs/>
                <w:sz w:val="21"/>
                <w:lang w:bidi="ar"/>
              </w:rPr>
              <w:t>6.97</w:t>
            </w:r>
          </w:p>
        </w:tc>
        <w:tc>
          <w:tcPr>
            <w:tcW w:w="825" w:type="dxa"/>
            <w:noWrap w:val="0"/>
            <w:vAlign w:val="center"/>
          </w:tcPr>
          <w:p w14:paraId="4B1DAC91">
            <w:pPr>
              <w:widowControl/>
              <w:jc w:val="center"/>
              <w:rPr>
                <w:rFonts w:hint="eastAsia" w:ascii="宋体" w:hAnsi="宋体" w:cs="宋体"/>
                <w:bCs/>
                <w:sz w:val="21"/>
                <w:lang w:eastAsia="en-US" w:bidi="ar"/>
              </w:rPr>
            </w:pPr>
            <w:r>
              <w:rPr>
                <w:rFonts w:hint="eastAsia" w:ascii="宋体" w:hAnsi="宋体" w:cs="宋体"/>
                <w:bCs/>
                <w:sz w:val="21"/>
                <w:lang w:bidi="ar"/>
              </w:rPr>
              <w:t>0.35</w:t>
            </w:r>
          </w:p>
        </w:tc>
        <w:tc>
          <w:tcPr>
            <w:tcW w:w="716" w:type="dxa"/>
            <w:noWrap w:val="0"/>
            <w:vAlign w:val="center"/>
          </w:tcPr>
          <w:p w14:paraId="4B57B255">
            <w:pPr>
              <w:widowControl/>
              <w:jc w:val="center"/>
              <w:rPr>
                <w:rFonts w:hint="eastAsia" w:ascii="宋体" w:hAnsi="宋体" w:cs="宋体"/>
                <w:bCs/>
                <w:sz w:val="21"/>
                <w:lang w:bidi="ar"/>
              </w:rPr>
            </w:pPr>
            <w:r>
              <w:rPr>
                <w:rFonts w:hint="eastAsia" w:ascii="宋体" w:hAnsi="宋体" w:cs="宋体"/>
                <w:bCs/>
                <w:sz w:val="21"/>
                <w:lang w:bidi="ar"/>
              </w:rPr>
              <w:t>0.26</w:t>
            </w:r>
          </w:p>
        </w:tc>
        <w:tc>
          <w:tcPr>
            <w:tcW w:w="825" w:type="dxa"/>
            <w:noWrap w:val="0"/>
            <w:vAlign w:val="center"/>
          </w:tcPr>
          <w:p w14:paraId="1A2943D2">
            <w:pPr>
              <w:widowControl/>
              <w:jc w:val="center"/>
              <w:rPr>
                <w:rFonts w:hint="eastAsia" w:ascii="宋体" w:hAnsi="宋体" w:cs="宋体"/>
                <w:bCs/>
                <w:sz w:val="21"/>
                <w:lang w:bidi="ar"/>
              </w:rPr>
            </w:pPr>
            <w:r>
              <w:rPr>
                <w:rFonts w:hint="eastAsia" w:ascii="宋体" w:hAnsi="宋体" w:cs="宋体"/>
                <w:bCs/>
                <w:sz w:val="21"/>
                <w:lang w:bidi="ar"/>
              </w:rPr>
              <w:t>0.11634</w:t>
            </w:r>
          </w:p>
        </w:tc>
        <w:tc>
          <w:tcPr>
            <w:tcW w:w="1341" w:type="dxa"/>
            <w:noWrap w:val="0"/>
            <w:vAlign w:val="center"/>
          </w:tcPr>
          <w:p w14:paraId="171BAEA6">
            <w:pPr>
              <w:widowControl/>
              <w:jc w:val="center"/>
              <w:rPr>
                <w:rFonts w:hint="eastAsia" w:ascii="宋体" w:hAnsi="宋体" w:cs="宋体"/>
                <w:bCs/>
                <w:sz w:val="21"/>
                <w:lang w:bidi="ar"/>
              </w:rPr>
            </w:pPr>
            <w:r>
              <w:rPr>
                <w:rFonts w:hint="eastAsia" w:ascii="宋体" w:hAnsi="宋体" w:cs="宋体"/>
                <w:bCs/>
                <w:sz w:val="21"/>
                <w:lang w:bidi="ar"/>
              </w:rPr>
              <w:t>VOCs：1.85；NH</w:t>
            </w:r>
            <w:r>
              <w:rPr>
                <w:rFonts w:hint="eastAsia" w:ascii="宋体" w:hAnsi="宋体" w:cs="宋体"/>
                <w:bCs/>
                <w:sz w:val="21"/>
                <w:vertAlign w:val="subscript"/>
                <w:lang w:bidi="ar"/>
              </w:rPr>
              <w:t>3</w:t>
            </w:r>
            <w:r>
              <w:rPr>
                <w:rFonts w:hint="eastAsia" w:ascii="宋体" w:hAnsi="宋体" w:cs="宋体"/>
                <w:bCs/>
                <w:sz w:val="21"/>
                <w:lang w:bidi="ar"/>
              </w:rPr>
              <w:t>：0.5427；H</w:t>
            </w:r>
            <w:r>
              <w:rPr>
                <w:rFonts w:hint="eastAsia" w:ascii="宋体" w:hAnsi="宋体" w:cs="宋体"/>
                <w:bCs/>
                <w:sz w:val="21"/>
                <w:vertAlign w:val="subscript"/>
                <w:lang w:bidi="ar"/>
              </w:rPr>
              <w:t>2</w:t>
            </w:r>
            <w:r>
              <w:rPr>
                <w:rFonts w:hint="eastAsia" w:ascii="宋体" w:hAnsi="宋体" w:cs="宋体"/>
                <w:bCs/>
                <w:sz w:val="21"/>
                <w:lang w:bidi="ar"/>
              </w:rPr>
              <w:t>S：0.037；HCl：0.1141</w:t>
            </w:r>
          </w:p>
          <w:p w14:paraId="005E9324">
            <w:pPr>
              <w:widowControl/>
              <w:jc w:val="center"/>
              <w:rPr>
                <w:rFonts w:hint="eastAsia" w:ascii="宋体" w:hAnsi="宋体" w:cs="宋体"/>
                <w:bCs/>
                <w:sz w:val="21"/>
                <w:lang w:bidi="ar"/>
              </w:rPr>
            </w:pPr>
            <w:r>
              <w:rPr>
                <w:rFonts w:hint="eastAsia" w:ascii="宋体" w:hAnsi="宋体" w:cs="宋体"/>
                <w:bCs/>
                <w:sz w:val="21"/>
                <w:lang w:bidi="ar"/>
              </w:rPr>
              <w:t>乙醇：0.0035</w:t>
            </w:r>
          </w:p>
        </w:tc>
        <w:tc>
          <w:tcPr>
            <w:tcW w:w="1753" w:type="dxa"/>
            <w:noWrap w:val="0"/>
            <w:vAlign w:val="center"/>
          </w:tcPr>
          <w:p w14:paraId="55703E04">
            <w:pPr>
              <w:widowControl/>
              <w:jc w:val="center"/>
              <w:rPr>
                <w:rFonts w:hint="eastAsia" w:ascii="宋体" w:hAnsi="宋体" w:cs="宋体"/>
                <w:bCs/>
                <w:sz w:val="21"/>
                <w:lang w:bidi="ar"/>
              </w:rPr>
            </w:pPr>
            <w:r>
              <w:rPr>
                <w:rFonts w:hint="eastAsia" w:ascii="宋体" w:hAnsi="宋体" w:cs="宋体"/>
                <w:bCs/>
                <w:sz w:val="21"/>
                <w:lang w:bidi="ar"/>
              </w:rPr>
              <w:t>一般固废724.135；危险废物272.49；待鉴</w:t>
            </w:r>
          </w:p>
          <w:p w14:paraId="2D83BCDA">
            <w:pPr>
              <w:widowControl/>
              <w:jc w:val="center"/>
              <w:rPr>
                <w:rFonts w:hint="eastAsia" w:ascii="宋体" w:hAnsi="宋体" w:cs="宋体"/>
                <w:bCs/>
                <w:sz w:val="21"/>
                <w:lang w:eastAsia="en-US" w:bidi="ar"/>
              </w:rPr>
            </w:pPr>
            <w:r>
              <w:rPr>
                <w:rFonts w:hint="eastAsia" w:ascii="宋体" w:hAnsi="宋体" w:cs="宋体"/>
                <w:bCs/>
                <w:sz w:val="21"/>
                <w:lang w:bidi="ar"/>
              </w:rPr>
              <w:t>定固废：872.06</w:t>
            </w:r>
          </w:p>
        </w:tc>
        <w:tc>
          <w:tcPr>
            <w:tcW w:w="881" w:type="dxa"/>
            <w:noWrap w:val="0"/>
            <w:vAlign w:val="center"/>
          </w:tcPr>
          <w:p w14:paraId="2E9981F6">
            <w:pPr>
              <w:widowControl/>
              <w:jc w:val="center"/>
              <w:rPr>
                <w:rFonts w:hint="eastAsia" w:ascii="宋体" w:hAnsi="宋体" w:cs="宋体"/>
                <w:bCs/>
                <w:sz w:val="21"/>
                <w:lang w:bidi="ar"/>
              </w:rPr>
            </w:pPr>
            <w:r>
              <w:rPr>
                <w:rFonts w:hint="eastAsia" w:ascii="宋体" w:hAnsi="宋体" w:cs="宋体"/>
                <w:bCs/>
                <w:sz w:val="21"/>
                <w:lang w:bidi="ar"/>
              </w:rPr>
              <w:t>拟建（已批复）</w:t>
            </w:r>
          </w:p>
        </w:tc>
      </w:tr>
      <w:tr w14:paraId="34BA9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9" w:type="dxa"/>
            <w:noWrap w:val="0"/>
            <w:vAlign w:val="center"/>
          </w:tcPr>
          <w:p w14:paraId="5F6A8600">
            <w:pPr>
              <w:widowControl/>
              <w:jc w:val="center"/>
              <w:rPr>
                <w:rFonts w:hint="eastAsia" w:ascii="宋体" w:hAnsi="宋体" w:cs="宋体"/>
                <w:bCs/>
                <w:sz w:val="21"/>
                <w:lang w:eastAsia="en-US" w:bidi="ar"/>
              </w:rPr>
            </w:pPr>
            <w:r>
              <w:rPr>
                <w:rFonts w:hint="eastAsia" w:ascii="宋体" w:hAnsi="宋体" w:cs="宋体"/>
                <w:bCs/>
                <w:sz w:val="21"/>
                <w:lang w:bidi="ar"/>
              </w:rPr>
              <w:t>75</w:t>
            </w:r>
          </w:p>
        </w:tc>
        <w:tc>
          <w:tcPr>
            <w:tcW w:w="1731" w:type="dxa"/>
            <w:noWrap w:val="0"/>
            <w:vAlign w:val="center"/>
          </w:tcPr>
          <w:p w14:paraId="52DEFB4D">
            <w:pPr>
              <w:widowControl/>
              <w:jc w:val="center"/>
              <w:rPr>
                <w:rFonts w:hint="eastAsia" w:ascii="宋体" w:hAnsi="宋体" w:cs="宋体"/>
                <w:bCs/>
                <w:sz w:val="21"/>
                <w:lang w:bidi="ar"/>
              </w:rPr>
            </w:pPr>
            <w:r>
              <w:rPr>
                <w:rFonts w:hint="eastAsia" w:ascii="宋体" w:hAnsi="宋体" w:cs="宋体"/>
                <w:bCs/>
                <w:sz w:val="21"/>
                <w:lang w:bidi="ar"/>
              </w:rPr>
              <w:t>湖南德虹制药有限公司年产1吨舒更葡萄钠、5吨雷贝拉唑钠及300吨药用尿素等生物医药产品建设项目（一期）</w:t>
            </w:r>
          </w:p>
        </w:tc>
        <w:tc>
          <w:tcPr>
            <w:tcW w:w="1514" w:type="dxa"/>
            <w:noWrap w:val="0"/>
            <w:vAlign w:val="center"/>
          </w:tcPr>
          <w:p w14:paraId="47A37252">
            <w:pPr>
              <w:widowControl/>
              <w:jc w:val="center"/>
              <w:rPr>
                <w:rFonts w:hint="eastAsia" w:ascii="宋体" w:hAnsi="宋体" w:cs="宋体"/>
                <w:bCs/>
                <w:sz w:val="21"/>
                <w:lang w:eastAsia="en-US" w:bidi="ar"/>
              </w:rPr>
            </w:pPr>
            <w:r>
              <w:rPr>
                <w:rFonts w:hint="eastAsia" w:ascii="宋体" w:hAnsi="宋体" w:cs="宋体"/>
                <w:bCs/>
                <w:sz w:val="21"/>
                <w:lang w:bidi="ar"/>
              </w:rPr>
              <w:t>111.852456712</w:t>
            </w:r>
          </w:p>
        </w:tc>
        <w:tc>
          <w:tcPr>
            <w:tcW w:w="1473" w:type="dxa"/>
            <w:noWrap w:val="0"/>
            <w:vAlign w:val="center"/>
          </w:tcPr>
          <w:p w14:paraId="093BE740">
            <w:pPr>
              <w:widowControl/>
              <w:jc w:val="center"/>
              <w:rPr>
                <w:rFonts w:hint="eastAsia" w:ascii="宋体" w:hAnsi="宋体" w:cs="宋体"/>
                <w:bCs/>
                <w:sz w:val="21"/>
                <w:lang w:eastAsia="en-US" w:bidi="ar"/>
              </w:rPr>
            </w:pPr>
            <w:r>
              <w:rPr>
                <w:rFonts w:hint="eastAsia" w:ascii="宋体" w:hAnsi="宋体" w:cs="宋体"/>
                <w:bCs/>
                <w:sz w:val="21"/>
                <w:lang w:bidi="ar"/>
              </w:rPr>
              <w:t>29.562524572</w:t>
            </w:r>
          </w:p>
        </w:tc>
        <w:tc>
          <w:tcPr>
            <w:tcW w:w="959" w:type="dxa"/>
            <w:noWrap w:val="0"/>
            <w:vAlign w:val="center"/>
          </w:tcPr>
          <w:p w14:paraId="549C3F47">
            <w:pPr>
              <w:widowControl/>
              <w:jc w:val="center"/>
              <w:rPr>
                <w:rFonts w:hint="eastAsia" w:ascii="宋体" w:hAnsi="宋体" w:cs="宋体"/>
                <w:bCs/>
                <w:sz w:val="21"/>
                <w:lang w:eastAsia="en-US" w:bidi="ar"/>
              </w:rPr>
            </w:pPr>
            <w:r>
              <w:rPr>
                <w:rFonts w:hint="eastAsia" w:ascii="宋体" w:hAnsi="宋体" w:cs="宋体"/>
                <w:bCs/>
                <w:sz w:val="21"/>
                <w:lang w:bidi="ar"/>
              </w:rPr>
              <w:t>34012</w:t>
            </w:r>
          </w:p>
        </w:tc>
        <w:tc>
          <w:tcPr>
            <w:tcW w:w="852" w:type="dxa"/>
            <w:noWrap w:val="0"/>
            <w:vAlign w:val="center"/>
          </w:tcPr>
          <w:p w14:paraId="320204EC">
            <w:pPr>
              <w:widowControl/>
              <w:jc w:val="center"/>
              <w:rPr>
                <w:rFonts w:hint="eastAsia" w:ascii="宋体" w:hAnsi="宋体" w:cs="宋体"/>
                <w:bCs/>
                <w:sz w:val="21"/>
                <w:lang w:eastAsia="en-US" w:bidi="ar"/>
              </w:rPr>
            </w:pPr>
            <w:r>
              <w:rPr>
                <w:rFonts w:hint="eastAsia" w:ascii="宋体" w:hAnsi="宋体" w:cs="宋体"/>
                <w:bCs/>
                <w:sz w:val="21"/>
                <w:lang w:bidi="ar"/>
              </w:rPr>
              <w:t>4.26</w:t>
            </w:r>
          </w:p>
        </w:tc>
        <w:tc>
          <w:tcPr>
            <w:tcW w:w="932" w:type="dxa"/>
            <w:noWrap w:val="0"/>
            <w:vAlign w:val="center"/>
          </w:tcPr>
          <w:p w14:paraId="47EE8033">
            <w:pPr>
              <w:widowControl/>
              <w:jc w:val="center"/>
              <w:rPr>
                <w:rFonts w:hint="eastAsia" w:ascii="宋体" w:hAnsi="宋体" w:cs="宋体"/>
                <w:bCs/>
                <w:sz w:val="21"/>
                <w:lang w:eastAsia="en-US" w:bidi="ar"/>
              </w:rPr>
            </w:pPr>
            <w:r>
              <w:rPr>
                <w:rFonts w:hint="eastAsia" w:ascii="宋体" w:hAnsi="宋体" w:cs="宋体"/>
                <w:bCs/>
                <w:sz w:val="21"/>
                <w:lang w:bidi="ar"/>
              </w:rPr>
              <w:t>0.24</w:t>
            </w:r>
          </w:p>
        </w:tc>
        <w:tc>
          <w:tcPr>
            <w:tcW w:w="825" w:type="dxa"/>
            <w:noWrap w:val="0"/>
            <w:vAlign w:val="center"/>
          </w:tcPr>
          <w:p w14:paraId="3A048752">
            <w:pPr>
              <w:widowControl/>
              <w:jc w:val="center"/>
              <w:rPr>
                <w:rFonts w:hint="eastAsia" w:ascii="宋体" w:hAnsi="宋体" w:cs="宋体"/>
                <w:bCs/>
                <w:sz w:val="21"/>
                <w:lang w:eastAsia="en-US" w:bidi="ar"/>
              </w:rPr>
            </w:pPr>
            <w:r>
              <w:rPr>
                <w:rFonts w:hint="eastAsia" w:ascii="宋体" w:hAnsi="宋体" w:cs="宋体"/>
                <w:bCs/>
                <w:sz w:val="21"/>
                <w:lang w:bidi="ar"/>
              </w:rPr>
              <w:t>1.75</w:t>
            </w:r>
          </w:p>
        </w:tc>
        <w:tc>
          <w:tcPr>
            <w:tcW w:w="716" w:type="dxa"/>
            <w:noWrap w:val="0"/>
            <w:vAlign w:val="center"/>
          </w:tcPr>
          <w:p w14:paraId="1B62B1A4">
            <w:pPr>
              <w:widowControl/>
              <w:jc w:val="center"/>
              <w:rPr>
                <w:rFonts w:hint="eastAsia" w:ascii="宋体" w:hAnsi="宋体" w:cs="宋体"/>
                <w:bCs/>
                <w:sz w:val="21"/>
                <w:lang w:bidi="ar"/>
              </w:rPr>
            </w:pPr>
            <w:r>
              <w:rPr>
                <w:rFonts w:hint="eastAsia" w:ascii="宋体" w:hAnsi="宋体" w:cs="宋体"/>
                <w:bCs/>
                <w:sz w:val="21"/>
                <w:lang w:bidi="ar"/>
              </w:rPr>
              <w:t>0.573</w:t>
            </w:r>
          </w:p>
        </w:tc>
        <w:tc>
          <w:tcPr>
            <w:tcW w:w="825" w:type="dxa"/>
            <w:noWrap w:val="0"/>
            <w:vAlign w:val="center"/>
          </w:tcPr>
          <w:p w14:paraId="6F62F912">
            <w:pPr>
              <w:widowControl/>
              <w:jc w:val="center"/>
              <w:rPr>
                <w:rFonts w:hint="eastAsia" w:ascii="宋体" w:hAnsi="宋体" w:cs="宋体"/>
                <w:bCs/>
                <w:sz w:val="21"/>
                <w:lang w:bidi="ar"/>
              </w:rPr>
            </w:pPr>
            <w:r>
              <w:rPr>
                <w:rFonts w:hint="eastAsia" w:ascii="宋体" w:hAnsi="宋体" w:cs="宋体"/>
                <w:bCs/>
                <w:sz w:val="21"/>
                <w:lang w:bidi="ar"/>
              </w:rPr>
              <w:t>0.001</w:t>
            </w:r>
          </w:p>
        </w:tc>
        <w:tc>
          <w:tcPr>
            <w:tcW w:w="1341" w:type="dxa"/>
            <w:noWrap w:val="0"/>
            <w:vAlign w:val="center"/>
          </w:tcPr>
          <w:p w14:paraId="60C5C187">
            <w:pPr>
              <w:widowControl/>
              <w:jc w:val="center"/>
              <w:rPr>
                <w:rFonts w:hint="eastAsia" w:ascii="宋体" w:hAnsi="宋体" w:cs="宋体"/>
                <w:bCs/>
                <w:sz w:val="21"/>
                <w:lang w:bidi="ar"/>
              </w:rPr>
            </w:pPr>
            <w:r>
              <w:rPr>
                <w:rFonts w:hint="eastAsia" w:ascii="宋体" w:hAnsi="宋体" w:cs="宋体"/>
                <w:bCs/>
                <w:sz w:val="21"/>
                <w:lang w:bidi="ar"/>
              </w:rPr>
              <w:t>VOCs:0.668</w:t>
            </w:r>
          </w:p>
        </w:tc>
        <w:tc>
          <w:tcPr>
            <w:tcW w:w="1753" w:type="dxa"/>
            <w:noWrap w:val="0"/>
            <w:vAlign w:val="center"/>
          </w:tcPr>
          <w:p w14:paraId="01C0EF6E">
            <w:pPr>
              <w:widowControl/>
              <w:jc w:val="center"/>
              <w:rPr>
                <w:rFonts w:hint="eastAsia" w:ascii="宋体" w:hAnsi="宋体" w:cs="宋体"/>
                <w:bCs/>
                <w:sz w:val="21"/>
                <w:lang w:bidi="ar"/>
              </w:rPr>
            </w:pPr>
            <w:r>
              <w:rPr>
                <w:rFonts w:hint="eastAsia" w:ascii="宋体" w:hAnsi="宋体" w:cs="宋体"/>
                <w:bCs/>
                <w:sz w:val="21"/>
                <w:lang w:bidi="ar"/>
              </w:rPr>
              <w:t>一般固废6.483；危险废物218.092；待鉴定</w:t>
            </w:r>
          </w:p>
          <w:p w14:paraId="1EBC17EC">
            <w:pPr>
              <w:widowControl/>
              <w:jc w:val="center"/>
              <w:rPr>
                <w:rFonts w:hint="eastAsia" w:ascii="宋体" w:hAnsi="宋体" w:cs="宋体"/>
                <w:bCs/>
                <w:sz w:val="21"/>
                <w:lang w:eastAsia="en-US" w:bidi="ar"/>
              </w:rPr>
            </w:pPr>
            <w:r>
              <w:rPr>
                <w:rFonts w:hint="eastAsia" w:ascii="宋体" w:hAnsi="宋体" w:cs="宋体"/>
                <w:bCs/>
                <w:sz w:val="21"/>
                <w:lang w:bidi="ar"/>
              </w:rPr>
              <w:t>固废：236.908</w:t>
            </w:r>
          </w:p>
        </w:tc>
        <w:tc>
          <w:tcPr>
            <w:tcW w:w="881" w:type="dxa"/>
            <w:noWrap w:val="0"/>
            <w:vAlign w:val="center"/>
          </w:tcPr>
          <w:p w14:paraId="5880839B">
            <w:pPr>
              <w:widowControl/>
              <w:jc w:val="center"/>
              <w:rPr>
                <w:rFonts w:hint="eastAsia" w:ascii="宋体" w:hAnsi="宋体" w:cs="宋体"/>
                <w:bCs/>
                <w:sz w:val="21"/>
                <w:lang w:bidi="ar"/>
              </w:rPr>
            </w:pPr>
            <w:r>
              <w:rPr>
                <w:rFonts w:hint="eastAsia" w:ascii="宋体" w:hAnsi="宋体" w:cs="宋体"/>
                <w:bCs/>
                <w:sz w:val="21"/>
                <w:lang w:bidi="ar"/>
              </w:rPr>
              <w:t>拟建（待批）</w:t>
            </w:r>
          </w:p>
        </w:tc>
      </w:tr>
      <w:tr w14:paraId="4B0F2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9" w:type="dxa"/>
            <w:noWrap w:val="0"/>
            <w:vAlign w:val="center"/>
          </w:tcPr>
          <w:p w14:paraId="53BF7CD3">
            <w:pPr>
              <w:widowControl/>
              <w:jc w:val="center"/>
              <w:rPr>
                <w:rFonts w:hint="eastAsia" w:ascii="宋体" w:hAnsi="宋体" w:cs="宋体"/>
                <w:bCs/>
                <w:sz w:val="21"/>
                <w:lang w:bidi="ar"/>
              </w:rPr>
            </w:pPr>
            <w:r>
              <w:rPr>
                <w:rFonts w:hint="eastAsia" w:ascii="宋体" w:hAnsi="宋体" w:cs="宋体"/>
                <w:bCs/>
                <w:sz w:val="21"/>
                <w:lang w:bidi="ar"/>
              </w:rPr>
              <w:t>76</w:t>
            </w:r>
          </w:p>
        </w:tc>
        <w:tc>
          <w:tcPr>
            <w:tcW w:w="1731" w:type="dxa"/>
            <w:noWrap w:val="0"/>
            <w:vAlign w:val="center"/>
          </w:tcPr>
          <w:p w14:paraId="165140F6">
            <w:pPr>
              <w:widowControl/>
              <w:jc w:val="center"/>
              <w:rPr>
                <w:rFonts w:hint="eastAsia" w:ascii="宋体" w:hAnsi="宋体" w:cs="宋体"/>
                <w:bCs/>
                <w:sz w:val="21"/>
                <w:lang w:bidi="ar"/>
              </w:rPr>
            </w:pPr>
            <w:r>
              <w:rPr>
                <w:rFonts w:hint="eastAsia" w:ascii="宋体" w:hAnsi="宋体" w:cs="宋体"/>
                <w:bCs/>
                <w:sz w:val="21"/>
                <w:lang w:bidi="ar"/>
              </w:rPr>
              <w:t>湖南利尔生物科技有限公司生物发酵技术产业建设项目</w:t>
            </w:r>
          </w:p>
        </w:tc>
        <w:tc>
          <w:tcPr>
            <w:tcW w:w="1514" w:type="dxa"/>
            <w:noWrap w:val="0"/>
            <w:vAlign w:val="center"/>
          </w:tcPr>
          <w:p w14:paraId="7957BF88">
            <w:pPr>
              <w:widowControl/>
              <w:jc w:val="center"/>
              <w:rPr>
                <w:rFonts w:hint="eastAsia" w:ascii="宋体" w:hAnsi="宋体" w:cs="宋体"/>
                <w:bCs/>
                <w:sz w:val="21"/>
                <w:lang w:eastAsia="en-US" w:bidi="ar"/>
              </w:rPr>
            </w:pPr>
            <w:r>
              <w:rPr>
                <w:rFonts w:hint="eastAsia" w:ascii="宋体" w:hAnsi="宋体" w:cs="宋体"/>
                <w:bCs/>
                <w:sz w:val="21"/>
                <w:lang w:bidi="ar"/>
              </w:rPr>
              <w:t>111.854119564</w:t>
            </w:r>
          </w:p>
        </w:tc>
        <w:tc>
          <w:tcPr>
            <w:tcW w:w="1473" w:type="dxa"/>
            <w:noWrap w:val="0"/>
            <w:vAlign w:val="center"/>
          </w:tcPr>
          <w:p w14:paraId="5650E7D0">
            <w:pPr>
              <w:widowControl/>
              <w:jc w:val="center"/>
              <w:rPr>
                <w:rFonts w:hint="eastAsia" w:ascii="宋体" w:hAnsi="宋体" w:cs="宋体"/>
                <w:bCs/>
                <w:sz w:val="21"/>
                <w:lang w:eastAsia="en-US" w:bidi="ar"/>
              </w:rPr>
            </w:pPr>
            <w:r>
              <w:rPr>
                <w:rFonts w:hint="eastAsia" w:ascii="宋体" w:hAnsi="宋体" w:cs="宋体"/>
                <w:bCs/>
                <w:sz w:val="21"/>
                <w:lang w:bidi="ar"/>
              </w:rPr>
              <w:t>29.561125499</w:t>
            </w:r>
          </w:p>
        </w:tc>
        <w:tc>
          <w:tcPr>
            <w:tcW w:w="959" w:type="dxa"/>
            <w:noWrap w:val="0"/>
            <w:vAlign w:val="center"/>
          </w:tcPr>
          <w:p w14:paraId="66B4A293">
            <w:pPr>
              <w:widowControl/>
              <w:jc w:val="center"/>
              <w:rPr>
                <w:rFonts w:hint="eastAsia" w:ascii="宋体" w:hAnsi="宋体" w:cs="宋体"/>
                <w:bCs/>
                <w:sz w:val="21"/>
                <w:lang w:bidi="ar"/>
              </w:rPr>
            </w:pPr>
            <w:r>
              <w:rPr>
                <w:rFonts w:hint="eastAsia" w:ascii="宋体" w:hAnsi="宋体" w:cs="宋体"/>
                <w:bCs/>
                <w:sz w:val="21"/>
                <w:lang w:bidi="ar"/>
              </w:rPr>
              <w:t>636256</w:t>
            </w:r>
          </w:p>
        </w:tc>
        <w:tc>
          <w:tcPr>
            <w:tcW w:w="852" w:type="dxa"/>
            <w:noWrap w:val="0"/>
            <w:vAlign w:val="center"/>
          </w:tcPr>
          <w:p w14:paraId="64DACC8D">
            <w:pPr>
              <w:widowControl/>
              <w:jc w:val="center"/>
              <w:rPr>
                <w:rFonts w:hint="eastAsia" w:ascii="宋体" w:hAnsi="宋体" w:cs="宋体"/>
                <w:bCs/>
                <w:sz w:val="21"/>
                <w:lang w:eastAsia="en-US" w:bidi="ar"/>
              </w:rPr>
            </w:pPr>
            <w:r>
              <w:rPr>
                <w:rFonts w:hint="eastAsia" w:ascii="宋体" w:hAnsi="宋体" w:cs="宋体"/>
                <w:bCs/>
                <w:sz w:val="21"/>
                <w:lang w:bidi="ar"/>
              </w:rPr>
              <w:t>31.813</w:t>
            </w:r>
          </w:p>
        </w:tc>
        <w:tc>
          <w:tcPr>
            <w:tcW w:w="932" w:type="dxa"/>
            <w:noWrap w:val="0"/>
            <w:vAlign w:val="center"/>
          </w:tcPr>
          <w:p w14:paraId="54812626">
            <w:pPr>
              <w:widowControl/>
              <w:jc w:val="center"/>
              <w:rPr>
                <w:rFonts w:hint="eastAsia" w:ascii="宋体" w:hAnsi="宋体" w:cs="宋体"/>
                <w:bCs/>
                <w:sz w:val="21"/>
                <w:lang w:eastAsia="en-US" w:bidi="ar"/>
              </w:rPr>
            </w:pPr>
            <w:r>
              <w:rPr>
                <w:rFonts w:hint="eastAsia" w:ascii="宋体" w:hAnsi="宋体" w:cs="宋体"/>
                <w:bCs/>
                <w:sz w:val="21"/>
                <w:lang w:bidi="ar"/>
              </w:rPr>
              <w:t>5.090</w:t>
            </w:r>
          </w:p>
        </w:tc>
        <w:tc>
          <w:tcPr>
            <w:tcW w:w="825" w:type="dxa"/>
            <w:noWrap w:val="0"/>
            <w:vAlign w:val="center"/>
          </w:tcPr>
          <w:p w14:paraId="129917C8">
            <w:pPr>
              <w:widowControl/>
              <w:jc w:val="center"/>
              <w:rPr>
                <w:rFonts w:hint="eastAsia" w:ascii="宋体" w:hAnsi="宋体" w:cs="宋体"/>
                <w:bCs/>
                <w:sz w:val="21"/>
                <w:lang w:bidi="ar"/>
              </w:rPr>
            </w:pPr>
            <w:r>
              <w:rPr>
                <w:rFonts w:hint="eastAsia" w:ascii="宋体" w:hAnsi="宋体" w:cs="宋体"/>
                <w:bCs/>
                <w:sz w:val="21"/>
                <w:lang w:bidi="ar"/>
              </w:rPr>
              <w:t>3.274</w:t>
            </w:r>
          </w:p>
        </w:tc>
        <w:tc>
          <w:tcPr>
            <w:tcW w:w="716" w:type="dxa"/>
            <w:noWrap w:val="0"/>
            <w:vAlign w:val="center"/>
          </w:tcPr>
          <w:p w14:paraId="030C2046">
            <w:pPr>
              <w:widowControl/>
              <w:jc w:val="center"/>
              <w:rPr>
                <w:rFonts w:hint="eastAsia" w:ascii="宋体" w:hAnsi="宋体" w:cs="宋体"/>
                <w:bCs/>
                <w:sz w:val="21"/>
                <w:lang w:bidi="ar"/>
              </w:rPr>
            </w:pPr>
            <w:r>
              <w:rPr>
                <w:rFonts w:hint="eastAsia" w:ascii="宋体" w:hAnsi="宋体" w:cs="宋体"/>
                <w:bCs/>
                <w:sz w:val="21"/>
                <w:lang w:bidi="ar"/>
              </w:rPr>
              <w:t>6.484</w:t>
            </w:r>
          </w:p>
        </w:tc>
        <w:tc>
          <w:tcPr>
            <w:tcW w:w="825" w:type="dxa"/>
            <w:noWrap w:val="0"/>
            <w:vAlign w:val="center"/>
          </w:tcPr>
          <w:p w14:paraId="213F5288">
            <w:pPr>
              <w:widowControl/>
              <w:jc w:val="center"/>
              <w:rPr>
                <w:rFonts w:hint="eastAsia" w:ascii="宋体" w:hAnsi="宋体" w:cs="宋体"/>
                <w:bCs/>
                <w:sz w:val="21"/>
                <w:lang w:eastAsia="en-US" w:bidi="ar"/>
              </w:rPr>
            </w:pPr>
            <w:r>
              <w:rPr>
                <w:rFonts w:hint="eastAsia" w:ascii="宋体" w:hAnsi="宋体" w:cs="宋体"/>
                <w:bCs/>
                <w:sz w:val="21"/>
                <w:lang w:bidi="ar"/>
              </w:rPr>
              <w:t>4.768</w:t>
            </w:r>
          </w:p>
        </w:tc>
        <w:tc>
          <w:tcPr>
            <w:tcW w:w="1341" w:type="dxa"/>
            <w:noWrap w:val="0"/>
            <w:vAlign w:val="center"/>
          </w:tcPr>
          <w:p w14:paraId="3BA6C52C">
            <w:pPr>
              <w:widowControl/>
              <w:jc w:val="center"/>
              <w:rPr>
                <w:rFonts w:hint="eastAsia" w:ascii="宋体" w:hAnsi="宋体" w:cs="宋体"/>
                <w:bCs/>
                <w:sz w:val="21"/>
                <w:lang w:eastAsia="en-US" w:bidi="ar"/>
              </w:rPr>
            </w:pPr>
            <w:r>
              <w:rPr>
                <w:rFonts w:hint="eastAsia" w:ascii="宋体" w:hAnsi="宋体" w:cs="宋体"/>
                <w:bCs/>
                <w:sz w:val="21"/>
                <w:lang w:bidi="ar"/>
              </w:rPr>
              <w:t>VOCs：6.381</w:t>
            </w:r>
          </w:p>
        </w:tc>
        <w:tc>
          <w:tcPr>
            <w:tcW w:w="1753" w:type="dxa"/>
            <w:noWrap w:val="0"/>
            <w:vAlign w:val="center"/>
          </w:tcPr>
          <w:p w14:paraId="28EED81A">
            <w:pPr>
              <w:widowControl/>
              <w:jc w:val="center"/>
              <w:rPr>
                <w:rFonts w:hint="eastAsia" w:ascii="宋体" w:hAnsi="宋体" w:cs="宋体"/>
                <w:bCs/>
                <w:sz w:val="21"/>
                <w:lang w:bidi="ar"/>
              </w:rPr>
            </w:pPr>
            <w:r>
              <w:rPr>
                <w:rFonts w:hint="eastAsia" w:ascii="宋体" w:hAnsi="宋体" w:cs="宋体"/>
                <w:bCs/>
                <w:sz w:val="21"/>
                <w:lang w:bidi="ar"/>
              </w:rPr>
              <w:t>一般固废115.85；危险固废6256.87</w:t>
            </w:r>
          </w:p>
        </w:tc>
        <w:tc>
          <w:tcPr>
            <w:tcW w:w="881" w:type="dxa"/>
            <w:noWrap w:val="0"/>
            <w:vAlign w:val="center"/>
          </w:tcPr>
          <w:p w14:paraId="736D9E2F">
            <w:pPr>
              <w:widowControl/>
              <w:jc w:val="center"/>
              <w:rPr>
                <w:rFonts w:hint="eastAsia" w:ascii="宋体" w:hAnsi="宋体" w:cs="宋体"/>
                <w:bCs/>
                <w:sz w:val="21"/>
                <w:lang w:eastAsia="en-US" w:bidi="ar"/>
              </w:rPr>
            </w:pPr>
            <w:r>
              <w:rPr>
                <w:rFonts w:hint="eastAsia" w:ascii="宋体" w:hAnsi="宋体" w:cs="宋体"/>
                <w:bCs/>
                <w:sz w:val="21"/>
                <w:lang w:bidi="ar"/>
              </w:rPr>
              <w:t>拟建（已批复）</w:t>
            </w:r>
          </w:p>
        </w:tc>
      </w:tr>
      <w:tr w14:paraId="3ED2CBC9">
        <w:tblPrEx>
          <w:tblCellMar>
            <w:top w:w="0" w:type="dxa"/>
            <w:left w:w="108" w:type="dxa"/>
            <w:bottom w:w="0" w:type="dxa"/>
            <w:right w:w="108" w:type="dxa"/>
          </w:tblCellMar>
        </w:tblPrEx>
        <w:tc>
          <w:tcPr>
            <w:tcW w:w="519" w:type="dxa"/>
            <w:noWrap w:val="0"/>
            <w:vAlign w:val="center"/>
          </w:tcPr>
          <w:p w14:paraId="28D8EECD">
            <w:pPr>
              <w:widowControl/>
              <w:jc w:val="center"/>
              <w:rPr>
                <w:rFonts w:hint="default" w:ascii="宋体" w:hAnsi="宋体" w:cs="宋体" w:eastAsiaTheme="minorEastAsia"/>
                <w:bCs/>
                <w:sz w:val="21"/>
                <w:lang w:val="en-US" w:eastAsia="zh-CN" w:bidi="ar"/>
              </w:rPr>
            </w:pPr>
            <w:r>
              <w:rPr>
                <w:rFonts w:hint="eastAsia" w:ascii="宋体" w:hAnsi="宋体" w:cs="宋体"/>
                <w:bCs/>
                <w:sz w:val="21"/>
                <w:lang w:val="en-US" w:eastAsia="zh-CN" w:bidi="ar"/>
              </w:rPr>
              <w:t>77</w:t>
            </w:r>
          </w:p>
        </w:tc>
        <w:tc>
          <w:tcPr>
            <w:tcW w:w="1731" w:type="dxa"/>
            <w:shd w:val="clear" w:color="auto" w:fill="auto"/>
            <w:noWrap w:val="0"/>
            <w:vAlign w:val="center"/>
          </w:tcPr>
          <w:p w14:paraId="263E13D1">
            <w:pPr>
              <w:widowControl/>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湖南新合新生物医药有限公司年产2200 吨甾体药物关键中间体</w:t>
            </w:r>
          </w:p>
          <w:p w14:paraId="66BAFAF1">
            <w:pPr>
              <w:widowControl/>
              <w:jc w:val="center"/>
              <w:rPr>
                <w:rFonts w:hint="eastAsia" w:ascii="Times New Roman" w:hAnsi="Times New Roman" w:eastAsia="宋体" w:cs="Times New Roman"/>
                <w:color w:val="auto"/>
                <w:kern w:val="2"/>
                <w:sz w:val="22"/>
                <w:szCs w:val="24"/>
                <w:lang w:val="en-US" w:eastAsia="zh-CN" w:bidi="ar-SA"/>
              </w:rPr>
            </w:pPr>
            <w:r>
              <w:rPr>
                <w:rFonts w:ascii="Times New Roman" w:hAnsi="Times New Roman" w:eastAsia="宋体" w:cs="Times New Roman"/>
                <w:color w:val="auto"/>
                <w:sz w:val="22"/>
                <w:szCs w:val="24"/>
              </w:rPr>
              <w:t>绿色生物智造项目（一期）</w:t>
            </w:r>
          </w:p>
        </w:tc>
        <w:tc>
          <w:tcPr>
            <w:tcW w:w="1514" w:type="dxa"/>
            <w:shd w:val="clear" w:color="auto" w:fill="auto"/>
            <w:noWrap w:val="0"/>
            <w:vAlign w:val="center"/>
          </w:tcPr>
          <w:p w14:paraId="33EDD41A">
            <w:pPr>
              <w:widowControl/>
              <w:jc w:val="center"/>
              <w:rPr>
                <w:rFonts w:hint="eastAsia" w:ascii="Times New Roman" w:hAnsi="Times New Roman" w:eastAsia="宋体" w:cs="Times New Roman"/>
                <w:color w:val="auto"/>
                <w:kern w:val="2"/>
                <w:sz w:val="22"/>
                <w:szCs w:val="24"/>
                <w:lang w:val="en-US" w:eastAsia="zh-CN" w:bidi="ar-SA"/>
              </w:rPr>
            </w:pPr>
            <w:r>
              <w:rPr>
                <w:rFonts w:hint="eastAsia" w:ascii="Times New Roman" w:hAnsi="Times New Roman" w:eastAsia="宋体" w:cs="宋体"/>
                <w:bCs/>
                <w:color w:val="auto"/>
                <w:szCs w:val="24"/>
                <w:lang w:bidi="ar"/>
              </w:rPr>
              <w:t>111.876315959</w:t>
            </w:r>
          </w:p>
        </w:tc>
        <w:tc>
          <w:tcPr>
            <w:tcW w:w="1473" w:type="dxa"/>
            <w:shd w:val="clear" w:color="auto" w:fill="auto"/>
            <w:noWrap w:val="0"/>
            <w:vAlign w:val="center"/>
          </w:tcPr>
          <w:p w14:paraId="4CF245FC">
            <w:pPr>
              <w:widowControl/>
              <w:jc w:val="center"/>
              <w:rPr>
                <w:rFonts w:hint="eastAsia" w:ascii="Times New Roman" w:hAnsi="Times New Roman" w:eastAsia="宋体" w:cs="Times New Roman"/>
                <w:color w:val="auto"/>
                <w:kern w:val="2"/>
                <w:sz w:val="22"/>
                <w:szCs w:val="24"/>
                <w:lang w:val="en-US" w:eastAsia="zh-CN" w:bidi="ar-SA"/>
              </w:rPr>
            </w:pPr>
            <w:r>
              <w:rPr>
                <w:rFonts w:hint="eastAsia" w:ascii="Times New Roman" w:hAnsi="Times New Roman" w:eastAsia="宋体" w:cs="宋体"/>
                <w:bCs/>
                <w:color w:val="auto"/>
                <w:szCs w:val="24"/>
                <w:lang w:bidi="ar"/>
              </w:rPr>
              <w:t>29.562354525</w:t>
            </w:r>
          </w:p>
        </w:tc>
        <w:tc>
          <w:tcPr>
            <w:tcW w:w="959" w:type="dxa"/>
            <w:shd w:val="clear" w:color="auto" w:fill="auto"/>
            <w:noWrap w:val="0"/>
            <w:vAlign w:val="center"/>
          </w:tcPr>
          <w:p w14:paraId="4C1F441E">
            <w:pPr>
              <w:widowControl/>
              <w:jc w:val="center"/>
              <w:rPr>
                <w:rFonts w:hint="eastAsia"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rPr>
              <w:t>205788</w:t>
            </w:r>
          </w:p>
        </w:tc>
        <w:tc>
          <w:tcPr>
            <w:tcW w:w="852" w:type="dxa"/>
            <w:shd w:val="clear" w:color="auto" w:fill="auto"/>
            <w:noWrap w:val="0"/>
            <w:vAlign w:val="center"/>
          </w:tcPr>
          <w:p w14:paraId="17FE0336">
            <w:pPr>
              <w:widowControl/>
              <w:jc w:val="center"/>
              <w:rPr>
                <w:rFonts w:hint="eastAsia"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rPr>
              <w:t>10.29</w:t>
            </w:r>
          </w:p>
        </w:tc>
        <w:tc>
          <w:tcPr>
            <w:tcW w:w="932" w:type="dxa"/>
            <w:shd w:val="clear" w:color="auto" w:fill="auto"/>
            <w:noWrap w:val="0"/>
            <w:vAlign w:val="center"/>
          </w:tcPr>
          <w:p w14:paraId="15B45057">
            <w:pPr>
              <w:widowControl/>
              <w:jc w:val="center"/>
              <w:rPr>
                <w:rFonts w:hint="eastAsia"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rPr>
              <w:t>2.06</w:t>
            </w:r>
          </w:p>
        </w:tc>
        <w:tc>
          <w:tcPr>
            <w:tcW w:w="825" w:type="dxa"/>
            <w:shd w:val="clear" w:color="auto" w:fill="auto"/>
            <w:noWrap w:val="0"/>
            <w:vAlign w:val="center"/>
          </w:tcPr>
          <w:p w14:paraId="7035453D">
            <w:pPr>
              <w:widowControl/>
              <w:jc w:val="center"/>
              <w:rPr>
                <w:rFonts w:hint="eastAsia"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rPr>
              <w:t>0.028</w:t>
            </w:r>
          </w:p>
        </w:tc>
        <w:tc>
          <w:tcPr>
            <w:tcW w:w="716" w:type="dxa"/>
            <w:shd w:val="clear" w:color="auto" w:fill="auto"/>
            <w:noWrap w:val="0"/>
            <w:vAlign w:val="center"/>
          </w:tcPr>
          <w:p w14:paraId="12D3F4B3">
            <w:pPr>
              <w:widowControl/>
              <w:jc w:val="center"/>
              <w:rPr>
                <w:rFonts w:hint="eastAsia"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rPr>
              <w:t>0.488</w:t>
            </w:r>
          </w:p>
        </w:tc>
        <w:tc>
          <w:tcPr>
            <w:tcW w:w="825" w:type="dxa"/>
            <w:shd w:val="clear" w:color="auto" w:fill="auto"/>
            <w:noWrap w:val="0"/>
            <w:vAlign w:val="center"/>
          </w:tcPr>
          <w:p w14:paraId="5F14A551">
            <w:pPr>
              <w:widowControl/>
              <w:jc w:val="center"/>
              <w:rPr>
                <w:rFonts w:hint="eastAsia" w:ascii="Times New Roman" w:hAnsi="Times New Roman" w:eastAsia="宋体" w:cs="Times New Roman"/>
                <w:color w:val="auto"/>
                <w:kern w:val="2"/>
                <w:sz w:val="22"/>
                <w:szCs w:val="24"/>
                <w:lang w:val="en-US" w:eastAsia="zh-CN" w:bidi="ar-SA"/>
              </w:rPr>
            </w:pPr>
            <w:r>
              <w:rPr>
                <w:rFonts w:hint="eastAsia" w:ascii="Times New Roman" w:hAnsi="Times New Roman" w:eastAsia="宋体" w:cs="宋体"/>
                <w:bCs/>
                <w:color w:val="auto"/>
                <w:szCs w:val="24"/>
                <w:lang w:bidi="ar"/>
              </w:rPr>
              <w:t>/</w:t>
            </w:r>
          </w:p>
        </w:tc>
        <w:tc>
          <w:tcPr>
            <w:tcW w:w="1341" w:type="dxa"/>
            <w:shd w:val="clear" w:color="auto" w:fill="auto"/>
            <w:noWrap w:val="0"/>
            <w:vAlign w:val="center"/>
          </w:tcPr>
          <w:p w14:paraId="1B19443E">
            <w:pPr>
              <w:widowControl/>
              <w:jc w:val="center"/>
              <w:rPr>
                <w:rFonts w:hint="eastAsia" w:ascii="Times New Roman" w:hAnsi="Times New Roman" w:eastAsia="宋体" w:cs="Times New Roman"/>
                <w:color w:val="auto"/>
                <w:kern w:val="2"/>
                <w:sz w:val="22"/>
                <w:szCs w:val="24"/>
                <w:lang w:val="en-US" w:eastAsia="zh-CN" w:bidi="ar-SA"/>
              </w:rPr>
            </w:pPr>
            <w:r>
              <w:rPr>
                <w:rFonts w:hint="eastAsia" w:ascii="Times New Roman" w:hAnsi="Times New Roman" w:eastAsia="宋体" w:cs="宋体"/>
                <w:bCs/>
                <w:color w:val="auto"/>
                <w:szCs w:val="24"/>
                <w:lang w:bidi="ar"/>
              </w:rPr>
              <w:t>VOCs：21.956</w:t>
            </w:r>
          </w:p>
        </w:tc>
        <w:tc>
          <w:tcPr>
            <w:tcW w:w="1753" w:type="dxa"/>
            <w:shd w:val="clear" w:color="auto" w:fill="auto"/>
            <w:noWrap w:val="0"/>
            <w:vAlign w:val="center"/>
          </w:tcPr>
          <w:p w14:paraId="37D25F5C">
            <w:pPr>
              <w:widowControl/>
              <w:jc w:val="center"/>
              <w:rPr>
                <w:rFonts w:ascii="Times New Roman" w:hAnsi="Times New Roman" w:eastAsia="宋体" w:cs="宋体"/>
                <w:bCs/>
                <w:color w:val="auto"/>
                <w:szCs w:val="24"/>
                <w:lang w:bidi="ar"/>
              </w:rPr>
            </w:pPr>
            <w:r>
              <w:rPr>
                <w:rFonts w:hint="eastAsia" w:ascii="Times New Roman" w:hAnsi="Times New Roman" w:eastAsia="宋体" w:cs="宋体"/>
                <w:bCs/>
                <w:color w:val="auto"/>
                <w:szCs w:val="24"/>
                <w:lang w:bidi="ar"/>
              </w:rPr>
              <w:t>一般固废4；</w:t>
            </w:r>
          </w:p>
          <w:p w14:paraId="14DB5F3C">
            <w:pPr>
              <w:jc w:val="center"/>
              <w:rPr>
                <w:rFonts w:ascii="Times New Roman" w:hAnsi="Times New Roman" w:eastAsia="宋体" w:cs="Times New Roman"/>
                <w:color w:val="auto"/>
                <w:sz w:val="22"/>
                <w:szCs w:val="24"/>
              </w:rPr>
            </w:pPr>
            <w:r>
              <w:rPr>
                <w:rFonts w:hint="eastAsia" w:ascii="Times New Roman" w:hAnsi="Times New Roman" w:eastAsia="宋体" w:cs="宋体"/>
                <w:bCs/>
                <w:color w:val="auto"/>
                <w:szCs w:val="24"/>
                <w:lang w:bidi="ar"/>
              </w:rPr>
              <w:t>危险固废5098.065</w:t>
            </w:r>
            <w:r>
              <w:rPr>
                <w:rFonts w:hint="eastAsia" w:ascii="Times New Roman" w:hAnsi="Times New Roman" w:eastAsia="宋体" w:cs="Times New Roman"/>
                <w:color w:val="auto"/>
                <w:sz w:val="22"/>
                <w:szCs w:val="24"/>
              </w:rPr>
              <w:t>；待鉴定</w:t>
            </w:r>
          </w:p>
          <w:p w14:paraId="4735408E">
            <w:pPr>
              <w:widowControl/>
              <w:jc w:val="center"/>
              <w:rPr>
                <w:rFonts w:hint="eastAsia"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rPr>
              <w:t>固废：470</w:t>
            </w:r>
          </w:p>
        </w:tc>
        <w:tc>
          <w:tcPr>
            <w:tcW w:w="881" w:type="dxa"/>
            <w:shd w:val="clear" w:color="auto" w:fill="auto"/>
            <w:noWrap w:val="0"/>
            <w:vAlign w:val="center"/>
          </w:tcPr>
          <w:p w14:paraId="5A4D17A4">
            <w:pPr>
              <w:widowControl/>
              <w:jc w:val="center"/>
              <w:rPr>
                <w:rFonts w:hint="eastAsia" w:ascii="Times New Roman" w:hAnsi="Times New Roman" w:eastAsia="宋体" w:cs="Times New Roman"/>
                <w:color w:val="auto"/>
                <w:kern w:val="2"/>
                <w:sz w:val="22"/>
                <w:szCs w:val="24"/>
                <w:lang w:val="en-US" w:eastAsia="zh-CN" w:bidi="ar-SA"/>
              </w:rPr>
            </w:pPr>
            <w:r>
              <w:rPr>
                <w:rFonts w:hint="eastAsia" w:ascii="Times New Roman" w:hAnsi="Times New Roman" w:eastAsia="宋体" w:cs="宋体"/>
                <w:bCs/>
                <w:color w:val="auto"/>
                <w:szCs w:val="24"/>
                <w:lang w:bidi="ar"/>
              </w:rPr>
              <w:t>拟建（已批复）</w:t>
            </w:r>
          </w:p>
        </w:tc>
      </w:tr>
    </w:tbl>
    <w:p w14:paraId="00903200">
      <w:pPr>
        <w:jc w:val="center"/>
        <w:rPr>
          <w:rFonts w:hint="eastAsia" w:ascii="Times New Roman" w:hAnsi="Times New Roman" w:eastAsia="宋体" w:cs="Times New Roman"/>
          <w:b/>
          <w:bCs/>
          <w:color w:val="FF0000"/>
          <w:sz w:val="22"/>
          <w:szCs w:val="24"/>
        </w:rPr>
      </w:pPr>
    </w:p>
    <w:p w14:paraId="533F64D5">
      <w:pPr>
        <w:spacing w:line="360" w:lineRule="auto"/>
        <w:ind w:firstLine="480" w:firstLineChars="200"/>
        <w:rPr>
          <w:rFonts w:hint="eastAsia" w:ascii="宋体" w:hAnsi="宋体" w:eastAsia="宋体" w:cs="宋体"/>
          <w:color w:val="FF0000"/>
          <w:sz w:val="24"/>
          <w:szCs w:val="24"/>
        </w:rPr>
      </w:pPr>
    </w:p>
    <w:p w14:paraId="57D92FC7">
      <w:pPr>
        <w:spacing w:line="360" w:lineRule="auto"/>
        <w:ind w:firstLine="480" w:firstLineChars="200"/>
        <w:rPr>
          <w:rFonts w:hint="eastAsia" w:ascii="宋体" w:hAnsi="宋体" w:eastAsia="宋体" w:cs="宋体"/>
          <w:color w:val="FF0000"/>
          <w:sz w:val="24"/>
          <w:szCs w:val="24"/>
        </w:rPr>
        <w:sectPr>
          <w:pgSz w:w="16838" w:h="11906" w:orient="landscape"/>
          <w:pgMar w:top="1800" w:right="1440" w:bottom="1800" w:left="1440" w:header="851" w:footer="992" w:gutter="0"/>
          <w:pgNumType w:fmt="numberInDash"/>
          <w:cols w:space="720" w:num="1"/>
          <w:docGrid w:type="lines" w:linePitch="312" w:charSpace="0"/>
        </w:sectPr>
      </w:pPr>
    </w:p>
    <w:p w14:paraId="6926FD5D">
      <w:pPr>
        <w:pStyle w:val="3"/>
        <w:bidi w:val="0"/>
      </w:pPr>
      <w:bookmarkStart w:id="245" w:name="_Toc31717"/>
      <w:bookmarkStart w:id="246" w:name="_Toc3149"/>
      <w:bookmarkStart w:id="247" w:name="_Toc146781142"/>
      <w:r>
        <w:t>5.</w:t>
      </w:r>
      <w:r>
        <w:rPr>
          <w:rFonts w:hint="eastAsia"/>
        </w:rPr>
        <w:t>4环境质量现状调查与评价</w:t>
      </w:r>
      <w:bookmarkEnd w:id="245"/>
      <w:bookmarkEnd w:id="246"/>
      <w:bookmarkEnd w:id="247"/>
    </w:p>
    <w:p w14:paraId="17D2B540">
      <w:pPr>
        <w:pStyle w:val="4"/>
        <w:bidi w:val="0"/>
      </w:pPr>
      <w:r>
        <w:t>5.</w:t>
      </w:r>
      <w:r>
        <w:rPr>
          <w:rFonts w:hint="eastAsia"/>
        </w:rPr>
        <w:t>4</w:t>
      </w:r>
      <w:r>
        <w:t>.1环境空气质量现状调查与评价</w:t>
      </w:r>
    </w:p>
    <w:p w14:paraId="09801146">
      <w:pPr>
        <w:pStyle w:val="5"/>
        <w:bidi w:val="0"/>
      </w:pPr>
      <w:r>
        <w:t>5.</w:t>
      </w:r>
      <w:r>
        <w:rPr>
          <w:rFonts w:hint="eastAsia"/>
        </w:rPr>
        <w:t>4</w:t>
      </w:r>
      <w:r>
        <w:t>.1.1</w:t>
      </w:r>
      <w:r>
        <w:rPr>
          <w:rFonts w:hint="eastAsia"/>
        </w:rPr>
        <w:t>基本污染物环境质量现状</w:t>
      </w:r>
    </w:p>
    <w:p w14:paraId="112366AD">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1、达标区判定</w:t>
      </w:r>
    </w:p>
    <w:p w14:paraId="1626AFD3">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根据《环境影响评价技术导则 大气环境》(HJ2.2-2018)第6.2.1.1条规定：项目所在区域达标判定，优先采用国家或地方生态环境主管部门公开发布的评价基准年环境质量公告或环境质量报告中的数据或结论，并能满足项目评价要求的，可不再进行现状监测。</w:t>
      </w:r>
    </w:p>
    <w:p w14:paraId="6533F53C">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（1）环境空气质量现状调查与评价</w:t>
      </w:r>
    </w:p>
    <w:p w14:paraId="1553F8DC">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本次环评期间评价单位收集了</w:t>
      </w:r>
      <w:r>
        <w:rPr>
          <w:rFonts w:ascii="Times New Roman" w:hAnsi="Times New Roman" w:eastAsia="宋体" w:cs="Times New Roman"/>
          <w:color w:val="auto"/>
          <w:sz w:val="24"/>
          <w:szCs w:val="24"/>
        </w:rPr>
        <w:t>津市市空气自动监测站</w:t>
      </w:r>
      <w:r>
        <w:rPr>
          <w:rFonts w:hint="eastAsia" w:ascii="Times New Roman" w:hAnsi="Times New Roman" w:eastAsia="宋体" w:cs="Times New Roman"/>
          <w:color w:val="auto"/>
          <w:sz w:val="24"/>
          <w:szCs w:val="24"/>
        </w:rPr>
        <w:t>常规监测点位2023年1月-12月的常规监测数据。</w:t>
      </w:r>
    </w:p>
    <w:p w14:paraId="517EBF47">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w:t>
      </w:r>
      <w:r>
        <w:rPr>
          <w:rFonts w:ascii="Times New Roman" w:hAnsi="Times New Roman" w:eastAsia="宋体" w:cs="Times New Roman"/>
          <w:color w:val="auto"/>
          <w:sz w:val="24"/>
          <w:szCs w:val="24"/>
        </w:rPr>
        <w:t>2）监测点位</w:t>
      </w:r>
    </w:p>
    <w:p w14:paraId="067CD8D8">
      <w:pPr>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津市市空气自动监测站</w:t>
      </w:r>
      <w:r>
        <w:rPr>
          <w:rFonts w:hint="eastAsia" w:ascii="Times New Roman" w:hAnsi="Times New Roman" w:eastAsia="宋体" w:cs="Times New Roman"/>
          <w:color w:val="auto"/>
          <w:sz w:val="24"/>
          <w:szCs w:val="24"/>
        </w:rPr>
        <w:t>位于津市市主城区，距离本项目</w:t>
      </w:r>
      <w:r>
        <w:rPr>
          <w:rFonts w:hint="eastAsia" w:ascii="Times New Roman" w:hAnsi="Times New Roman" w:eastAsia="宋体" w:cs="Times New Roman"/>
          <w:color w:val="auto"/>
          <w:sz w:val="24"/>
          <w:szCs w:val="24"/>
          <w:lang w:val="en-US" w:eastAsia="zh-CN"/>
        </w:rPr>
        <w:t>10</w:t>
      </w:r>
      <w:r>
        <w:rPr>
          <w:rFonts w:hint="eastAsia" w:ascii="Times New Roman" w:hAnsi="Times New Roman" w:eastAsia="宋体" w:cs="Times New Roman"/>
          <w:color w:val="auto"/>
          <w:sz w:val="24"/>
          <w:szCs w:val="24"/>
        </w:rPr>
        <w:t>km，监测点代表城市环境质量情况。</w:t>
      </w:r>
    </w:p>
    <w:p w14:paraId="7E9785F8">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（3）监测项目、时间与频率</w:t>
      </w:r>
    </w:p>
    <w:p w14:paraId="15FB8171">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监测项目：常规站点监测项目为SO</w:t>
      </w:r>
      <w:r>
        <w:rPr>
          <w:rFonts w:hint="eastAsia" w:ascii="Times New Roman" w:hAnsi="Times New Roman" w:eastAsia="宋体" w:cs="Times New Roman"/>
          <w:color w:val="auto"/>
          <w:sz w:val="24"/>
          <w:szCs w:val="24"/>
          <w:vertAlign w:val="subscript"/>
        </w:rPr>
        <w:t>2</w:t>
      </w:r>
      <w:r>
        <w:rPr>
          <w:rFonts w:hint="eastAsia" w:ascii="Times New Roman" w:hAnsi="Times New Roman" w:eastAsia="宋体" w:cs="Times New Roman"/>
          <w:color w:val="auto"/>
          <w:sz w:val="24"/>
          <w:szCs w:val="24"/>
        </w:rPr>
        <w:t>、NO</w:t>
      </w:r>
      <w:r>
        <w:rPr>
          <w:rFonts w:hint="eastAsia" w:ascii="Times New Roman" w:hAnsi="Times New Roman" w:eastAsia="宋体" w:cs="Times New Roman"/>
          <w:color w:val="auto"/>
          <w:sz w:val="24"/>
          <w:szCs w:val="24"/>
          <w:vertAlign w:val="subscript"/>
        </w:rPr>
        <w:t>2</w:t>
      </w:r>
      <w:r>
        <w:rPr>
          <w:rFonts w:hint="eastAsia" w:ascii="Times New Roman" w:hAnsi="Times New Roman" w:eastAsia="宋体" w:cs="Times New Roman"/>
          <w:color w:val="auto"/>
          <w:sz w:val="24"/>
          <w:szCs w:val="24"/>
        </w:rPr>
        <w:t>、PM</w:t>
      </w:r>
      <w:r>
        <w:rPr>
          <w:rFonts w:hint="eastAsia" w:ascii="Times New Roman" w:hAnsi="Times New Roman" w:eastAsia="宋体" w:cs="Times New Roman"/>
          <w:color w:val="auto"/>
          <w:sz w:val="24"/>
          <w:szCs w:val="24"/>
          <w:vertAlign w:val="subscript"/>
        </w:rPr>
        <w:t>10</w:t>
      </w:r>
      <w:r>
        <w:rPr>
          <w:rFonts w:hint="eastAsia" w:ascii="Times New Roman" w:hAnsi="Times New Roman" w:eastAsia="宋体" w:cs="Times New Roman"/>
          <w:color w:val="auto"/>
          <w:sz w:val="24"/>
          <w:szCs w:val="24"/>
        </w:rPr>
        <w:t>、P</w:t>
      </w:r>
      <w:r>
        <w:rPr>
          <w:rFonts w:hint="eastAsia" w:ascii="Times New Roman" w:hAnsi="Times New Roman" w:eastAsia="宋体" w:cs="Times New Roman"/>
          <w:color w:val="auto"/>
          <w:sz w:val="24"/>
          <w:szCs w:val="24"/>
          <w:lang w:eastAsia="zh-CN"/>
        </w:rPr>
        <w:t>m</w:t>
      </w:r>
      <w:r>
        <w:rPr>
          <w:rFonts w:hint="eastAsia" w:ascii="Times New Roman" w:hAnsi="Times New Roman" w:eastAsia="宋体" w:cs="Times New Roman"/>
          <w:color w:val="auto"/>
          <w:sz w:val="24"/>
          <w:szCs w:val="24"/>
          <w:vertAlign w:val="subscript"/>
          <w:lang w:eastAsia="zh-CN"/>
        </w:rPr>
        <w:t>2</w:t>
      </w:r>
      <w:r>
        <w:rPr>
          <w:rFonts w:hint="eastAsia" w:ascii="Times New Roman" w:hAnsi="Times New Roman" w:eastAsia="宋体" w:cs="Times New Roman"/>
          <w:color w:val="auto"/>
          <w:sz w:val="24"/>
          <w:szCs w:val="24"/>
          <w:vertAlign w:val="subscript"/>
        </w:rPr>
        <w:t>.5</w:t>
      </w:r>
      <w:r>
        <w:rPr>
          <w:rFonts w:hint="eastAsia" w:ascii="Times New Roman" w:hAnsi="Times New Roman" w:eastAsia="宋体" w:cs="Times New Roman"/>
          <w:color w:val="auto"/>
          <w:sz w:val="24"/>
          <w:szCs w:val="24"/>
        </w:rPr>
        <w:t>、CO和O</w:t>
      </w:r>
      <w:r>
        <w:rPr>
          <w:rFonts w:hint="eastAsia" w:ascii="Times New Roman" w:hAnsi="Times New Roman" w:eastAsia="宋体" w:cs="Times New Roman"/>
          <w:color w:val="auto"/>
          <w:sz w:val="24"/>
          <w:szCs w:val="24"/>
          <w:vertAlign w:val="subscript"/>
        </w:rPr>
        <w:t>3</w:t>
      </w:r>
      <w:r>
        <w:rPr>
          <w:rFonts w:hint="eastAsia" w:ascii="Times New Roman" w:hAnsi="Times New Roman" w:eastAsia="宋体" w:cs="Times New Roman"/>
          <w:color w:val="auto"/>
          <w:sz w:val="24"/>
          <w:szCs w:val="24"/>
        </w:rPr>
        <w:t>。</w:t>
      </w:r>
    </w:p>
    <w:p w14:paraId="6CA199C0">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监测时间：2023年1月-12月。</w:t>
      </w:r>
    </w:p>
    <w:p w14:paraId="0E944274">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监测频率：每天采样。</w:t>
      </w:r>
    </w:p>
    <w:p w14:paraId="68C61E9A">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（4）采样及分析方法</w:t>
      </w:r>
    </w:p>
    <w:p w14:paraId="1390D835">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采样方法按《环境监测技术规范》的要求执行；分析方法按《环境空气质量标准》（GB3095-2012）规定的各项污染物分析方法执行。</w:t>
      </w:r>
    </w:p>
    <w:p w14:paraId="36C33010">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（5）评价方法</w:t>
      </w:r>
    </w:p>
    <w:p w14:paraId="7917A23C">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①超标项目i的超标倍数按下式计算：</w:t>
      </w:r>
    </w:p>
    <w:p w14:paraId="1AB7E27E">
      <w:pPr>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drawing>
          <wp:inline distT="0" distB="0" distL="0" distR="0">
            <wp:extent cx="1457325" cy="419100"/>
            <wp:effectExtent l="0" t="0" r="9525" b="0"/>
            <wp:docPr id="482" name="图片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图片 48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1457325" cy="419100"/>
                    </a:xfrm>
                    <a:prstGeom prst="rect">
                      <a:avLst/>
                    </a:prstGeom>
                    <a:noFill/>
                    <a:ln>
                      <a:noFill/>
                    </a:ln>
                  </pic:spPr>
                </pic:pic>
              </a:graphicData>
            </a:graphic>
          </wp:inline>
        </w:drawing>
      </w:r>
    </w:p>
    <w:p w14:paraId="1B78B7A5">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式中：Bi——表示超标项目i的超标倍数；</w:t>
      </w:r>
    </w:p>
    <w:p w14:paraId="0129ED71">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Ci——超标项目i的浓度值；</w:t>
      </w:r>
    </w:p>
    <w:p w14:paraId="4086B9E1">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Si——超标项目i的浓度限值标准，一类区采用一级浓度限值标准，二类区采用二级浓度限值标准。</w:t>
      </w:r>
    </w:p>
    <w:p w14:paraId="0B95BE91">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②评价项目i的日达标率采用以下方法：</w:t>
      </w:r>
    </w:p>
    <w:p w14:paraId="0ABC66BE">
      <w:pPr>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drawing>
          <wp:inline distT="0" distB="0" distL="0" distR="0">
            <wp:extent cx="1657350" cy="342900"/>
            <wp:effectExtent l="0" t="0" r="0" b="0"/>
            <wp:docPr id="429" name="图片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 name="图片 42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1657350" cy="342900"/>
                    </a:xfrm>
                    <a:prstGeom prst="rect">
                      <a:avLst/>
                    </a:prstGeom>
                    <a:noFill/>
                    <a:ln>
                      <a:noFill/>
                    </a:ln>
                  </pic:spPr>
                </pic:pic>
              </a:graphicData>
            </a:graphic>
          </wp:inline>
        </w:drawing>
      </w:r>
    </w:p>
    <w:p w14:paraId="78BE44FC">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式中：Di——表示评价项目i的达标率；</w:t>
      </w:r>
    </w:p>
    <w:p w14:paraId="36698011">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Ai——评价时段内评价项目i的达标天数；</w:t>
      </w:r>
    </w:p>
    <w:p w14:paraId="0862E438">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Bi——评价时段内评价项目i的有效监测天数。</w:t>
      </w:r>
    </w:p>
    <w:p w14:paraId="54D9FC3A">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③百分位数计算方法：</w:t>
      </w:r>
    </w:p>
    <w:p w14:paraId="49AE2CA3">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污染物浓度序列的第P百分位数计算方法如下：</w:t>
      </w:r>
    </w:p>
    <w:p w14:paraId="39F354D0">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1）将污染物浓度序列按数值从小到大排序，排序后的浓度序列为</w:t>
      </w:r>
      <w:r>
        <w:rPr>
          <w:rFonts w:ascii="Times New Roman" w:hAnsi="Times New Roman" w:eastAsia="宋体" w:cs="Times New Roman"/>
          <w:color w:val="auto"/>
          <w:sz w:val="24"/>
          <w:szCs w:val="24"/>
        </w:rPr>
        <w:drawing>
          <wp:inline distT="0" distB="0" distL="0" distR="0">
            <wp:extent cx="1162050" cy="257175"/>
            <wp:effectExtent l="0" t="0" r="0" b="9525"/>
            <wp:docPr id="430" name="图片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 name="图片 43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1162050" cy="257175"/>
                    </a:xfrm>
                    <a:prstGeom prst="rect">
                      <a:avLst/>
                    </a:prstGeom>
                    <a:noFill/>
                    <a:ln>
                      <a:noFill/>
                    </a:ln>
                  </pic:spPr>
                </pic:pic>
              </a:graphicData>
            </a:graphic>
          </wp:inline>
        </w:drawing>
      </w:r>
      <w:r>
        <w:rPr>
          <w:rFonts w:hint="eastAsia" w:ascii="Times New Roman" w:hAnsi="Times New Roman" w:eastAsia="宋体" w:cs="Times New Roman"/>
          <w:color w:val="auto"/>
          <w:sz w:val="24"/>
          <w:szCs w:val="24"/>
        </w:rPr>
        <w:t>。</w:t>
      </w:r>
    </w:p>
    <w:p w14:paraId="4709831C">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2）计算第P百分位数mp的序数k，按下式计算：</w:t>
      </w:r>
    </w:p>
    <w:p w14:paraId="52F790F4">
      <w:pPr>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drawing>
          <wp:inline distT="0" distB="0" distL="0" distR="0">
            <wp:extent cx="1390650" cy="333375"/>
            <wp:effectExtent l="0" t="0" r="0" b="9525"/>
            <wp:docPr id="431" name="图片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 name="图片 43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1390650" cy="333375"/>
                    </a:xfrm>
                    <a:prstGeom prst="rect">
                      <a:avLst/>
                    </a:prstGeom>
                    <a:noFill/>
                    <a:ln>
                      <a:noFill/>
                    </a:ln>
                  </pic:spPr>
                </pic:pic>
              </a:graphicData>
            </a:graphic>
          </wp:inline>
        </w:drawing>
      </w:r>
    </w:p>
    <w:p w14:paraId="7E80BAED">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式中：k——p%位置对应的序数；</w:t>
      </w:r>
    </w:p>
    <w:p w14:paraId="2B901195">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n——污染物浓度序列中的浓度值数量。</w:t>
      </w:r>
    </w:p>
    <w:p w14:paraId="50FF41CB">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3）第p百分位数mp按下式计算：</w:t>
      </w:r>
    </w:p>
    <w:p w14:paraId="6B8BD937">
      <w:pPr>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drawing>
          <wp:inline distT="0" distB="0" distL="0" distR="0">
            <wp:extent cx="2286000" cy="266700"/>
            <wp:effectExtent l="0" t="0" r="0" b="0"/>
            <wp:docPr id="433" name="图片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 name="图片 43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2286000" cy="266700"/>
                    </a:xfrm>
                    <a:prstGeom prst="rect">
                      <a:avLst/>
                    </a:prstGeom>
                    <a:noFill/>
                    <a:ln>
                      <a:noFill/>
                    </a:ln>
                  </pic:spPr>
                </pic:pic>
              </a:graphicData>
            </a:graphic>
          </wp:inline>
        </w:drawing>
      </w:r>
    </w:p>
    <w:p w14:paraId="6F191654">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式中：s——k的整数部分，当k为整数时s与k相等。</w:t>
      </w:r>
    </w:p>
    <w:p w14:paraId="307A7E64">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（6）评价结果及统计分析</w:t>
      </w:r>
    </w:p>
    <w:p w14:paraId="664F8F21">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环境空气现状监测结果统计及评价结果见下表</w:t>
      </w:r>
    </w:p>
    <w:p w14:paraId="3A4C134D">
      <w:pPr>
        <w:spacing w:line="360" w:lineRule="auto"/>
        <w:ind w:firstLine="480" w:firstLineChars="200"/>
        <w:rPr>
          <w:rFonts w:ascii="Times New Roman" w:hAnsi="Times New Roman" w:eastAsia="宋体" w:cs="Times New Roman"/>
          <w:color w:val="auto"/>
          <w:sz w:val="24"/>
          <w:szCs w:val="24"/>
        </w:rPr>
        <w:sectPr>
          <w:pgSz w:w="11906" w:h="16838"/>
          <w:pgMar w:top="1440" w:right="1800" w:bottom="1440" w:left="1800" w:header="851" w:footer="992" w:gutter="0"/>
          <w:cols w:space="720" w:num="1"/>
          <w:docGrid w:type="lines" w:linePitch="312" w:charSpace="0"/>
        </w:sectPr>
      </w:pPr>
    </w:p>
    <w:p w14:paraId="57DAF0A9">
      <w:pPr>
        <w:pStyle w:val="6"/>
        <w:bidi w:val="0"/>
      </w:pPr>
      <w:r>
        <w:rPr>
          <w:rFonts w:hint="eastAsia"/>
        </w:rPr>
        <w:t>表</w:t>
      </w:r>
      <w:r>
        <w:t>5.</w:t>
      </w:r>
      <w:r>
        <w:rPr>
          <w:rFonts w:hint="eastAsia"/>
        </w:rPr>
        <w:t>4.1-</w:t>
      </w:r>
      <w:r>
        <w:t>1    环境空气现状监测结果及评价</w:t>
      </w:r>
    </w:p>
    <w:tbl>
      <w:tblPr>
        <w:tblStyle w:val="41"/>
        <w:tblW w:w="13948"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4"/>
        <w:gridCol w:w="3937"/>
        <w:gridCol w:w="1546"/>
        <w:gridCol w:w="2346"/>
        <w:gridCol w:w="1367"/>
        <w:gridCol w:w="1674"/>
        <w:gridCol w:w="1674"/>
      </w:tblGrid>
      <w:tr w14:paraId="3628A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4" w:type="dxa"/>
            <w:vAlign w:val="center"/>
          </w:tcPr>
          <w:p w14:paraId="054F5D2A">
            <w:pPr>
              <w:jc w:val="center"/>
              <w:rPr>
                <w:rFonts w:ascii="Times New Roman" w:hAnsi="Times New Roman" w:eastAsia="宋体" w:cs="Times New Roman"/>
                <w:color w:val="auto"/>
                <w:sz w:val="22"/>
              </w:rPr>
            </w:pPr>
            <w:r>
              <w:rPr>
                <w:rFonts w:ascii="Times New Roman" w:hAnsi="Times New Roman" w:eastAsia="宋体" w:cs="Times New Roman"/>
                <w:color w:val="auto"/>
                <w:sz w:val="22"/>
              </w:rPr>
              <w:t>污染物名称</w:t>
            </w:r>
          </w:p>
        </w:tc>
        <w:tc>
          <w:tcPr>
            <w:tcW w:w="3937" w:type="dxa"/>
            <w:vAlign w:val="center"/>
          </w:tcPr>
          <w:p w14:paraId="50B5B899">
            <w:pPr>
              <w:jc w:val="center"/>
              <w:rPr>
                <w:rFonts w:ascii="Times New Roman" w:hAnsi="Times New Roman" w:eastAsia="宋体" w:cs="Times New Roman"/>
                <w:color w:val="auto"/>
                <w:sz w:val="22"/>
              </w:rPr>
            </w:pPr>
            <w:r>
              <w:rPr>
                <w:rFonts w:ascii="Times New Roman" w:hAnsi="Times New Roman" w:eastAsia="宋体" w:cs="Times New Roman"/>
                <w:color w:val="auto"/>
                <w:sz w:val="22"/>
              </w:rPr>
              <w:t>年评价指标</w:t>
            </w:r>
          </w:p>
        </w:tc>
        <w:tc>
          <w:tcPr>
            <w:tcW w:w="1546" w:type="dxa"/>
            <w:vAlign w:val="center"/>
          </w:tcPr>
          <w:p w14:paraId="6677A317">
            <w:pPr>
              <w:jc w:val="center"/>
              <w:rPr>
                <w:rFonts w:ascii="Times New Roman" w:hAnsi="Times New Roman" w:eastAsia="宋体" w:cs="Times New Roman"/>
                <w:color w:val="auto"/>
                <w:sz w:val="22"/>
              </w:rPr>
            </w:pPr>
            <w:r>
              <w:rPr>
                <w:rFonts w:ascii="Times New Roman" w:hAnsi="Times New Roman" w:eastAsia="宋体" w:cs="Times New Roman"/>
                <w:color w:val="auto"/>
                <w:sz w:val="22"/>
              </w:rPr>
              <w:t>评价标准（µg/</w:t>
            </w:r>
            <w:r>
              <w:rPr>
                <w:rFonts w:hint="eastAsia" w:ascii="Times New Roman" w:hAnsi="Times New Roman" w:eastAsia="宋体" w:cs="Times New Roman"/>
                <w:color w:val="auto"/>
                <w:sz w:val="22"/>
                <w:lang w:eastAsia="zh-CN"/>
              </w:rPr>
              <w:t>m</w:t>
            </w:r>
            <w:r>
              <w:rPr>
                <w:rFonts w:hint="eastAsia" w:ascii="Times New Roman" w:hAnsi="Times New Roman" w:eastAsia="宋体" w:cs="Times New Roman"/>
                <w:color w:val="auto"/>
                <w:sz w:val="22"/>
                <w:vertAlign w:val="superscript"/>
                <w:lang w:eastAsia="zh-CN"/>
              </w:rPr>
              <w:t>3</w:t>
            </w:r>
            <w:r>
              <w:rPr>
                <w:rFonts w:ascii="Times New Roman" w:hAnsi="Times New Roman" w:eastAsia="宋体" w:cs="Times New Roman"/>
                <w:color w:val="auto"/>
                <w:sz w:val="22"/>
              </w:rPr>
              <w:t>）</w:t>
            </w:r>
          </w:p>
        </w:tc>
        <w:tc>
          <w:tcPr>
            <w:tcW w:w="2346" w:type="dxa"/>
            <w:vAlign w:val="center"/>
          </w:tcPr>
          <w:p w14:paraId="16B89D92">
            <w:pPr>
              <w:jc w:val="center"/>
              <w:rPr>
                <w:rFonts w:ascii="Times New Roman" w:hAnsi="Times New Roman" w:eastAsia="宋体" w:cs="Times New Roman"/>
                <w:color w:val="auto"/>
                <w:sz w:val="22"/>
              </w:rPr>
            </w:pPr>
            <w:r>
              <w:rPr>
                <w:rFonts w:ascii="Times New Roman" w:hAnsi="Times New Roman" w:eastAsia="宋体" w:cs="Times New Roman"/>
                <w:color w:val="auto"/>
                <w:sz w:val="22"/>
              </w:rPr>
              <w:t>现状浓度（µg/</w:t>
            </w:r>
            <w:r>
              <w:rPr>
                <w:rFonts w:hint="eastAsia" w:ascii="Times New Roman" w:hAnsi="Times New Roman" w:eastAsia="宋体" w:cs="Times New Roman"/>
                <w:color w:val="auto"/>
                <w:sz w:val="22"/>
                <w:lang w:eastAsia="zh-CN"/>
              </w:rPr>
              <w:t>m</w:t>
            </w:r>
            <w:r>
              <w:rPr>
                <w:rFonts w:hint="eastAsia" w:ascii="Times New Roman" w:hAnsi="Times New Roman" w:eastAsia="宋体" w:cs="Times New Roman"/>
                <w:color w:val="auto"/>
                <w:sz w:val="22"/>
                <w:vertAlign w:val="superscript"/>
                <w:lang w:eastAsia="zh-CN"/>
              </w:rPr>
              <w:t>3</w:t>
            </w:r>
            <w:r>
              <w:rPr>
                <w:rFonts w:ascii="Times New Roman" w:hAnsi="Times New Roman" w:eastAsia="宋体" w:cs="Times New Roman"/>
                <w:color w:val="auto"/>
                <w:sz w:val="22"/>
              </w:rPr>
              <w:t>）</w:t>
            </w:r>
          </w:p>
        </w:tc>
        <w:tc>
          <w:tcPr>
            <w:tcW w:w="1367" w:type="dxa"/>
            <w:vAlign w:val="center"/>
          </w:tcPr>
          <w:p w14:paraId="4381B950">
            <w:pPr>
              <w:jc w:val="center"/>
              <w:rPr>
                <w:rFonts w:ascii="Times New Roman" w:hAnsi="Times New Roman" w:eastAsia="宋体" w:cs="Times New Roman"/>
                <w:color w:val="auto"/>
                <w:sz w:val="22"/>
              </w:rPr>
            </w:pPr>
            <w:r>
              <w:rPr>
                <w:rFonts w:ascii="Times New Roman" w:hAnsi="Times New Roman" w:eastAsia="宋体" w:cs="Times New Roman"/>
                <w:color w:val="auto"/>
                <w:sz w:val="22"/>
              </w:rPr>
              <w:t>占标率%</w:t>
            </w:r>
          </w:p>
        </w:tc>
        <w:tc>
          <w:tcPr>
            <w:tcW w:w="1674" w:type="dxa"/>
            <w:vAlign w:val="center"/>
          </w:tcPr>
          <w:p w14:paraId="62AF12A5">
            <w:pPr>
              <w:jc w:val="center"/>
              <w:rPr>
                <w:rFonts w:ascii="Times New Roman" w:hAnsi="Times New Roman" w:eastAsia="宋体" w:cs="Times New Roman"/>
                <w:color w:val="auto"/>
                <w:sz w:val="22"/>
              </w:rPr>
            </w:pPr>
            <w:r>
              <w:rPr>
                <w:rFonts w:ascii="Times New Roman" w:hAnsi="Times New Roman" w:eastAsia="宋体" w:cs="Times New Roman"/>
                <w:color w:val="auto"/>
                <w:sz w:val="22"/>
              </w:rPr>
              <w:t>超标频率%</w:t>
            </w:r>
          </w:p>
        </w:tc>
        <w:tc>
          <w:tcPr>
            <w:tcW w:w="1674" w:type="dxa"/>
            <w:vAlign w:val="center"/>
          </w:tcPr>
          <w:p w14:paraId="716B22F3">
            <w:pPr>
              <w:jc w:val="center"/>
              <w:rPr>
                <w:rFonts w:ascii="Times New Roman" w:hAnsi="Times New Roman" w:eastAsia="宋体" w:cs="Times New Roman"/>
                <w:color w:val="auto"/>
                <w:sz w:val="22"/>
              </w:rPr>
            </w:pPr>
            <w:r>
              <w:rPr>
                <w:rFonts w:ascii="Times New Roman" w:hAnsi="Times New Roman" w:eastAsia="宋体" w:cs="Times New Roman"/>
                <w:color w:val="auto"/>
                <w:sz w:val="22"/>
              </w:rPr>
              <w:t>达标情况</w:t>
            </w:r>
          </w:p>
        </w:tc>
      </w:tr>
      <w:tr w14:paraId="44006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4" w:type="dxa"/>
            <w:vMerge w:val="restart"/>
            <w:vAlign w:val="center"/>
          </w:tcPr>
          <w:p w14:paraId="511E216F">
            <w:pPr>
              <w:jc w:val="center"/>
              <w:rPr>
                <w:rFonts w:ascii="Times New Roman" w:hAnsi="Times New Roman" w:eastAsia="宋体" w:cs="Times New Roman"/>
                <w:color w:val="auto"/>
                <w:sz w:val="22"/>
              </w:rPr>
            </w:pPr>
            <w:r>
              <w:rPr>
                <w:rFonts w:ascii="Times New Roman" w:hAnsi="Times New Roman" w:eastAsia="宋体" w:cs="Times New Roman"/>
                <w:color w:val="auto"/>
                <w:sz w:val="22"/>
              </w:rPr>
              <w:t>SO</w:t>
            </w:r>
            <w:r>
              <w:rPr>
                <w:rFonts w:ascii="Times New Roman" w:hAnsi="Times New Roman" w:eastAsia="宋体" w:cs="Times New Roman"/>
                <w:color w:val="auto"/>
                <w:sz w:val="22"/>
                <w:vertAlign w:val="subscript"/>
              </w:rPr>
              <w:t>2</w:t>
            </w:r>
          </w:p>
        </w:tc>
        <w:tc>
          <w:tcPr>
            <w:tcW w:w="3937" w:type="dxa"/>
            <w:vAlign w:val="center"/>
          </w:tcPr>
          <w:p w14:paraId="0BF58E5F">
            <w:pPr>
              <w:jc w:val="center"/>
              <w:rPr>
                <w:rFonts w:ascii="Times New Roman" w:hAnsi="Times New Roman" w:eastAsia="宋体" w:cs="Times New Roman"/>
                <w:color w:val="auto"/>
                <w:sz w:val="22"/>
              </w:rPr>
            </w:pPr>
            <w:r>
              <w:rPr>
                <w:rFonts w:ascii="Times New Roman" w:hAnsi="Times New Roman" w:eastAsia="宋体" w:cs="Times New Roman"/>
                <w:color w:val="auto"/>
                <w:sz w:val="22"/>
              </w:rPr>
              <w:t>24h平均第98百分位数</w:t>
            </w:r>
          </w:p>
        </w:tc>
        <w:tc>
          <w:tcPr>
            <w:tcW w:w="1546" w:type="dxa"/>
            <w:vAlign w:val="center"/>
          </w:tcPr>
          <w:p w14:paraId="66638D54">
            <w:pPr>
              <w:jc w:val="center"/>
              <w:rPr>
                <w:rFonts w:ascii="Times New Roman" w:hAnsi="Times New Roman" w:eastAsia="宋体" w:cs="Times New Roman"/>
                <w:color w:val="auto"/>
                <w:sz w:val="22"/>
              </w:rPr>
            </w:pPr>
            <w:r>
              <w:rPr>
                <w:rFonts w:ascii="Times New Roman" w:hAnsi="Times New Roman" w:eastAsia="宋体" w:cs="Times New Roman"/>
                <w:color w:val="auto"/>
                <w:sz w:val="22"/>
              </w:rPr>
              <w:t>150</w:t>
            </w:r>
          </w:p>
        </w:tc>
        <w:tc>
          <w:tcPr>
            <w:tcW w:w="2346" w:type="dxa"/>
            <w:vAlign w:val="center"/>
          </w:tcPr>
          <w:p w14:paraId="1431BFE9">
            <w:pPr>
              <w:jc w:val="center"/>
              <w:rPr>
                <w:rFonts w:ascii="Times New Roman" w:hAnsi="Times New Roman" w:eastAsia="宋体" w:cs="Times New Roman"/>
                <w:color w:val="auto"/>
                <w:sz w:val="22"/>
              </w:rPr>
            </w:pPr>
            <w:r>
              <w:rPr>
                <w:rFonts w:hint="eastAsia" w:ascii="Times New Roman" w:hAnsi="Times New Roman" w:eastAsia="宋体" w:cs="Times New Roman"/>
                <w:color w:val="auto"/>
                <w:sz w:val="22"/>
              </w:rPr>
              <w:t>10</w:t>
            </w:r>
          </w:p>
        </w:tc>
        <w:tc>
          <w:tcPr>
            <w:tcW w:w="1367" w:type="dxa"/>
            <w:vAlign w:val="center"/>
          </w:tcPr>
          <w:p w14:paraId="539C12CD">
            <w:pPr>
              <w:widowControl/>
              <w:jc w:val="center"/>
              <w:textAlignment w:val="center"/>
              <w:rPr>
                <w:rFonts w:ascii="Times New Roman" w:hAnsi="Times New Roman" w:eastAsia="宋体" w:cs="Times New Roman"/>
                <w:color w:val="auto"/>
                <w:sz w:val="22"/>
              </w:rPr>
            </w:pPr>
            <w:r>
              <w:rPr>
                <w:rFonts w:ascii="Times New Roman" w:hAnsi="Times New Roman" w:cs="Times New Roman"/>
                <w:color w:val="auto"/>
                <w:sz w:val="22"/>
              </w:rPr>
              <w:t xml:space="preserve">6.67 </w:t>
            </w:r>
          </w:p>
        </w:tc>
        <w:tc>
          <w:tcPr>
            <w:tcW w:w="1674" w:type="dxa"/>
            <w:vAlign w:val="center"/>
          </w:tcPr>
          <w:p w14:paraId="258A356A">
            <w:pPr>
              <w:jc w:val="center"/>
              <w:rPr>
                <w:rFonts w:ascii="Times New Roman" w:hAnsi="Times New Roman" w:eastAsia="宋体" w:cs="Times New Roman"/>
                <w:color w:val="auto"/>
                <w:sz w:val="22"/>
              </w:rPr>
            </w:pPr>
            <w:r>
              <w:rPr>
                <w:rFonts w:hint="eastAsia" w:ascii="Times New Roman" w:hAnsi="Times New Roman" w:eastAsia="宋体" w:cs="Times New Roman"/>
                <w:color w:val="auto"/>
                <w:sz w:val="22"/>
              </w:rPr>
              <w:t>0</w:t>
            </w:r>
          </w:p>
        </w:tc>
        <w:tc>
          <w:tcPr>
            <w:tcW w:w="1674" w:type="dxa"/>
            <w:vAlign w:val="center"/>
          </w:tcPr>
          <w:p w14:paraId="422FEF69">
            <w:pPr>
              <w:jc w:val="center"/>
              <w:rPr>
                <w:rFonts w:ascii="Times New Roman" w:hAnsi="Times New Roman" w:eastAsia="宋体" w:cs="Times New Roman"/>
                <w:color w:val="auto"/>
                <w:sz w:val="22"/>
              </w:rPr>
            </w:pPr>
            <w:r>
              <w:rPr>
                <w:rFonts w:ascii="Times New Roman" w:hAnsi="Times New Roman" w:eastAsia="宋体" w:cs="Times New Roman"/>
                <w:color w:val="auto"/>
                <w:sz w:val="22"/>
              </w:rPr>
              <w:t>达标</w:t>
            </w:r>
          </w:p>
        </w:tc>
      </w:tr>
      <w:tr w14:paraId="26DA5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4" w:type="dxa"/>
            <w:vMerge w:val="continue"/>
            <w:vAlign w:val="center"/>
          </w:tcPr>
          <w:p w14:paraId="5ECB3D16">
            <w:pPr>
              <w:jc w:val="center"/>
              <w:rPr>
                <w:rFonts w:ascii="Times New Roman" w:hAnsi="Times New Roman" w:eastAsia="宋体" w:cs="Times New Roman"/>
                <w:color w:val="auto"/>
                <w:sz w:val="22"/>
              </w:rPr>
            </w:pPr>
          </w:p>
        </w:tc>
        <w:tc>
          <w:tcPr>
            <w:tcW w:w="3937" w:type="dxa"/>
            <w:vAlign w:val="center"/>
          </w:tcPr>
          <w:p w14:paraId="35F370A0">
            <w:pPr>
              <w:jc w:val="center"/>
              <w:rPr>
                <w:rFonts w:ascii="Times New Roman" w:hAnsi="Times New Roman" w:eastAsia="宋体" w:cs="Times New Roman"/>
                <w:color w:val="auto"/>
                <w:sz w:val="22"/>
              </w:rPr>
            </w:pPr>
            <w:r>
              <w:rPr>
                <w:rFonts w:ascii="Times New Roman" w:hAnsi="Times New Roman" w:eastAsia="宋体" w:cs="Times New Roman"/>
                <w:color w:val="auto"/>
                <w:sz w:val="22"/>
              </w:rPr>
              <w:t>年平均</w:t>
            </w:r>
          </w:p>
        </w:tc>
        <w:tc>
          <w:tcPr>
            <w:tcW w:w="1546" w:type="dxa"/>
            <w:vAlign w:val="center"/>
          </w:tcPr>
          <w:p w14:paraId="573478B9">
            <w:pPr>
              <w:jc w:val="center"/>
              <w:rPr>
                <w:rFonts w:ascii="Times New Roman" w:hAnsi="Times New Roman" w:eastAsia="宋体" w:cs="Times New Roman"/>
                <w:color w:val="auto"/>
                <w:sz w:val="22"/>
              </w:rPr>
            </w:pPr>
            <w:r>
              <w:rPr>
                <w:rFonts w:ascii="Times New Roman" w:hAnsi="Times New Roman" w:eastAsia="宋体" w:cs="Times New Roman"/>
                <w:color w:val="auto"/>
                <w:sz w:val="22"/>
              </w:rPr>
              <w:t>60</w:t>
            </w:r>
          </w:p>
        </w:tc>
        <w:tc>
          <w:tcPr>
            <w:tcW w:w="2346" w:type="dxa"/>
            <w:vAlign w:val="center"/>
          </w:tcPr>
          <w:p w14:paraId="13083FCE">
            <w:pPr>
              <w:jc w:val="center"/>
              <w:rPr>
                <w:rFonts w:ascii="Times New Roman" w:hAnsi="Times New Roman" w:eastAsia="宋体" w:cs="Times New Roman"/>
                <w:color w:val="auto"/>
                <w:sz w:val="22"/>
              </w:rPr>
            </w:pPr>
            <w:r>
              <w:rPr>
                <w:rFonts w:hint="eastAsia" w:ascii="Times New Roman" w:hAnsi="Times New Roman" w:eastAsia="宋体" w:cs="Times New Roman"/>
                <w:color w:val="auto"/>
                <w:sz w:val="22"/>
              </w:rPr>
              <w:t>5</w:t>
            </w:r>
          </w:p>
        </w:tc>
        <w:tc>
          <w:tcPr>
            <w:tcW w:w="1367" w:type="dxa"/>
            <w:vAlign w:val="center"/>
          </w:tcPr>
          <w:p w14:paraId="3E847935">
            <w:pPr>
              <w:widowControl/>
              <w:jc w:val="center"/>
              <w:textAlignment w:val="center"/>
              <w:rPr>
                <w:rFonts w:ascii="Times New Roman" w:hAnsi="Times New Roman" w:eastAsia="宋体" w:cs="Times New Roman"/>
                <w:color w:val="auto"/>
                <w:sz w:val="22"/>
              </w:rPr>
            </w:pPr>
            <w:r>
              <w:rPr>
                <w:rFonts w:ascii="Times New Roman" w:hAnsi="Times New Roman" w:cs="Times New Roman"/>
                <w:color w:val="auto"/>
                <w:sz w:val="22"/>
              </w:rPr>
              <w:t xml:space="preserve">8.33 </w:t>
            </w:r>
          </w:p>
        </w:tc>
        <w:tc>
          <w:tcPr>
            <w:tcW w:w="1674" w:type="dxa"/>
            <w:vAlign w:val="center"/>
          </w:tcPr>
          <w:p w14:paraId="7B2AC902">
            <w:pPr>
              <w:jc w:val="center"/>
              <w:rPr>
                <w:rFonts w:ascii="Times New Roman" w:hAnsi="Times New Roman" w:eastAsia="宋体" w:cs="Times New Roman"/>
                <w:color w:val="auto"/>
                <w:sz w:val="22"/>
              </w:rPr>
            </w:pPr>
            <w:r>
              <w:rPr>
                <w:rFonts w:hint="eastAsia" w:ascii="Times New Roman" w:hAnsi="Times New Roman" w:eastAsia="宋体" w:cs="Times New Roman"/>
                <w:color w:val="auto"/>
                <w:sz w:val="22"/>
              </w:rPr>
              <w:t>0</w:t>
            </w:r>
          </w:p>
        </w:tc>
        <w:tc>
          <w:tcPr>
            <w:tcW w:w="1674" w:type="dxa"/>
            <w:vAlign w:val="center"/>
          </w:tcPr>
          <w:p w14:paraId="336E3B00">
            <w:pPr>
              <w:jc w:val="center"/>
              <w:rPr>
                <w:rFonts w:ascii="Times New Roman" w:hAnsi="Times New Roman" w:eastAsia="宋体" w:cs="Times New Roman"/>
                <w:color w:val="auto"/>
                <w:sz w:val="22"/>
              </w:rPr>
            </w:pPr>
            <w:r>
              <w:rPr>
                <w:rFonts w:ascii="Times New Roman" w:hAnsi="Times New Roman" w:eastAsia="宋体" w:cs="Times New Roman"/>
                <w:color w:val="auto"/>
                <w:sz w:val="22"/>
              </w:rPr>
              <w:t>达标</w:t>
            </w:r>
          </w:p>
        </w:tc>
      </w:tr>
      <w:tr w14:paraId="7CFE2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1404" w:type="dxa"/>
            <w:vMerge w:val="restart"/>
            <w:vAlign w:val="center"/>
          </w:tcPr>
          <w:p w14:paraId="2059E412">
            <w:pPr>
              <w:jc w:val="center"/>
              <w:rPr>
                <w:rFonts w:ascii="Times New Roman" w:hAnsi="Times New Roman" w:eastAsia="宋体" w:cs="Times New Roman"/>
                <w:color w:val="auto"/>
                <w:sz w:val="22"/>
              </w:rPr>
            </w:pPr>
            <w:r>
              <w:rPr>
                <w:rFonts w:ascii="Times New Roman" w:hAnsi="Times New Roman" w:eastAsia="宋体" w:cs="Times New Roman"/>
                <w:color w:val="auto"/>
                <w:sz w:val="22"/>
              </w:rPr>
              <w:t>NO</w:t>
            </w:r>
            <w:r>
              <w:rPr>
                <w:rFonts w:ascii="Times New Roman" w:hAnsi="Times New Roman" w:eastAsia="宋体" w:cs="Times New Roman"/>
                <w:color w:val="auto"/>
                <w:sz w:val="22"/>
                <w:vertAlign w:val="subscript"/>
              </w:rPr>
              <w:t>2</w:t>
            </w:r>
          </w:p>
        </w:tc>
        <w:tc>
          <w:tcPr>
            <w:tcW w:w="3937" w:type="dxa"/>
            <w:vAlign w:val="center"/>
          </w:tcPr>
          <w:p w14:paraId="338F5118">
            <w:pPr>
              <w:jc w:val="center"/>
              <w:rPr>
                <w:rFonts w:ascii="Times New Roman" w:hAnsi="Times New Roman" w:eastAsia="宋体" w:cs="Times New Roman"/>
                <w:color w:val="auto"/>
                <w:sz w:val="22"/>
              </w:rPr>
            </w:pPr>
            <w:r>
              <w:rPr>
                <w:rFonts w:ascii="Times New Roman" w:hAnsi="Times New Roman" w:eastAsia="宋体" w:cs="Times New Roman"/>
                <w:color w:val="auto"/>
                <w:sz w:val="22"/>
              </w:rPr>
              <w:t>24h平均第98百分位数</w:t>
            </w:r>
          </w:p>
        </w:tc>
        <w:tc>
          <w:tcPr>
            <w:tcW w:w="1546" w:type="dxa"/>
            <w:vAlign w:val="center"/>
          </w:tcPr>
          <w:p w14:paraId="1C26D54C">
            <w:pPr>
              <w:jc w:val="center"/>
              <w:rPr>
                <w:rFonts w:ascii="Times New Roman" w:hAnsi="Times New Roman" w:eastAsia="宋体" w:cs="Times New Roman"/>
                <w:color w:val="auto"/>
                <w:sz w:val="22"/>
              </w:rPr>
            </w:pPr>
            <w:r>
              <w:rPr>
                <w:rFonts w:ascii="Times New Roman" w:hAnsi="Times New Roman" w:eastAsia="宋体" w:cs="Times New Roman"/>
                <w:color w:val="auto"/>
                <w:sz w:val="22"/>
              </w:rPr>
              <w:t>80</w:t>
            </w:r>
          </w:p>
        </w:tc>
        <w:tc>
          <w:tcPr>
            <w:tcW w:w="2346" w:type="dxa"/>
            <w:vAlign w:val="center"/>
          </w:tcPr>
          <w:p w14:paraId="18D17457">
            <w:pPr>
              <w:jc w:val="center"/>
              <w:rPr>
                <w:rFonts w:ascii="Times New Roman" w:hAnsi="Times New Roman" w:eastAsia="宋体" w:cs="Times New Roman"/>
                <w:color w:val="auto"/>
                <w:sz w:val="22"/>
              </w:rPr>
            </w:pPr>
            <w:r>
              <w:rPr>
                <w:rFonts w:hint="eastAsia" w:ascii="Times New Roman" w:hAnsi="Times New Roman" w:eastAsia="宋体" w:cs="Times New Roman"/>
                <w:color w:val="auto"/>
                <w:sz w:val="22"/>
              </w:rPr>
              <w:t>29</w:t>
            </w:r>
          </w:p>
        </w:tc>
        <w:tc>
          <w:tcPr>
            <w:tcW w:w="1367" w:type="dxa"/>
            <w:vAlign w:val="center"/>
          </w:tcPr>
          <w:p w14:paraId="3668FC22">
            <w:pPr>
              <w:widowControl/>
              <w:jc w:val="center"/>
              <w:textAlignment w:val="center"/>
              <w:rPr>
                <w:rFonts w:ascii="Times New Roman" w:hAnsi="Times New Roman" w:eastAsia="宋体" w:cs="Times New Roman"/>
                <w:color w:val="auto"/>
                <w:sz w:val="22"/>
              </w:rPr>
            </w:pPr>
            <w:r>
              <w:rPr>
                <w:rFonts w:ascii="Times New Roman" w:hAnsi="Times New Roman" w:cs="Times New Roman"/>
                <w:color w:val="auto"/>
                <w:sz w:val="22"/>
              </w:rPr>
              <w:t xml:space="preserve">36.25 </w:t>
            </w:r>
          </w:p>
        </w:tc>
        <w:tc>
          <w:tcPr>
            <w:tcW w:w="1674" w:type="dxa"/>
            <w:vAlign w:val="center"/>
          </w:tcPr>
          <w:p w14:paraId="749D659C">
            <w:pPr>
              <w:jc w:val="center"/>
              <w:rPr>
                <w:rFonts w:ascii="Times New Roman" w:hAnsi="Times New Roman" w:eastAsia="宋体" w:cs="Times New Roman"/>
                <w:color w:val="auto"/>
                <w:sz w:val="22"/>
              </w:rPr>
            </w:pPr>
            <w:r>
              <w:rPr>
                <w:rFonts w:hint="eastAsia" w:ascii="Times New Roman" w:hAnsi="Times New Roman" w:eastAsia="宋体" w:cs="Times New Roman"/>
                <w:color w:val="auto"/>
                <w:sz w:val="22"/>
              </w:rPr>
              <w:t>0</w:t>
            </w:r>
          </w:p>
        </w:tc>
        <w:tc>
          <w:tcPr>
            <w:tcW w:w="1674" w:type="dxa"/>
            <w:vAlign w:val="center"/>
          </w:tcPr>
          <w:p w14:paraId="555019E4">
            <w:pPr>
              <w:jc w:val="center"/>
              <w:rPr>
                <w:rFonts w:ascii="Times New Roman" w:hAnsi="Times New Roman" w:eastAsia="宋体" w:cs="Times New Roman"/>
                <w:color w:val="auto"/>
                <w:sz w:val="22"/>
              </w:rPr>
            </w:pPr>
            <w:r>
              <w:rPr>
                <w:rFonts w:ascii="Times New Roman" w:hAnsi="Times New Roman" w:eastAsia="宋体" w:cs="Times New Roman"/>
                <w:color w:val="auto"/>
                <w:sz w:val="22"/>
              </w:rPr>
              <w:t>达标</w:t>
            </w:r>
          </w:p>
        </w:tc>
      </w:tr>
      <w:tr w14:paraId="14822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4" w:type="dxa"/>
            <w:vMerge w:val="continue"/>
            <w:vAlign w:val="center"/>
          </w:tcPr>
          <w:p w14:paraId="3C78F7CB">
            <w:pPr>
              <w:jc w:val="center"/>
              <w:rPr>
                <w:rFonts w:ascii="Times New Roman" w:hAnsi="Times New Roman" w:eastAsia="宋体" w:cs="Times New Roman"/>
                <w:color w:val="auto"/>
                <w:sz w:val="22"/>
              </w:rPr>
            </w:pPr>
          </w:p>
        </w:tc>
        <w:tc>
          <w:tcPr>
            <w:tcW w:w="3937" w:type="dxa"/>
            <w:vAlign w:val="center"/>
          </w:tcPr>
          <w:p w14:paraId="07C6EE9B">
            <w:pPr>
              <w:jc w:val="center"/>
              <w:rPr>
                <w:rFonts w:ascii="Times New Roman" w:hAnsi="Times New Roman" w:eastAsia="宋体" w:cs="Times New Roman"/>
                <w:color w:val="auto"/>
                <w:sz w:val="22"/>
              </w:rPr>
            </w:pPr>
            <w:r>
              <w:rPr>
                <w:rFonts w:ascii="Times New Roman" w:hAnsi="Times New Roman" w:eastAsia="宋体" w:cs="Times New Roman"/>
                <w:color w:val="auto"/>
                <w:sz w:val="22"/>
              </w:rPr>
              <w:t>年平均</w:t>
            </w:r>
          </w:p>
        </w:tc>
        <w:tc>
          <w:tcPr>
            <w:tcW w:w="1546" w:type="dxa"/>
            <w:vAlign w:val="center"/>
          </w:tcPr>
          <w:p w14:paraId="75BC6B33">
            <w:pPr>
              <w:jc w:val="center"/>
              <w:rPr>
                <w:rFonts w:ascii="Times New Roman" w:hAnsi="Times New Roman" w:eastAsia="宋体" w:cs="Times New Roman"/>
                <w:color w:val="auto"/>
                <w:sz w:val="22"/>
              </w:rPr>
            </w:pPr>
            <w:r>
              <w:rPr>
                <w:rFonts w:ascii="Times New Roman" w:hAnsi="Times New Roman" w:eastAsia="宋体" w:cs="Times New Roman"/>
                <w:color w:val="auto"/>
                <w:sz w:val="22"/>
              </w:rPr>
              <w:t>40</w:t>
            </w:r>
          </w:p>
        </w:tc>
        <w:tc>
          <w:tcPr>
            <w:tcW w:w="2346" w:type="dxa"/>
            <w:vAlign w:val="center"/>
          </w:tcPr>
          <w:p w14:paraId="58697AE3">
            <w:pPr>
              <w:jc w:val="center"/>
              <w:rPr>
                <w:rFonts w:ascii="Times New Roman" w:hAnsi="Times New Roman" w:eastAsia="宋体" w:cs="Times New Roman"/>
                <w:color w:val="auto"/>
                <w:sz w:val="22"/>
              </w:rPr>
            </w:pPr>
            <w:r>
              <w:rPr>
                <w:rFonts w:hint="eastAsia" w:ascii="Times New Roman" w:hAnsi="Times New Roman" w:eastAsia="宋体" w:cs="Times New Roman"/>
                <w:color w:val="auto"/>
                <w:sz w:val="22"/>
              </w:rPr>
              <w:t>10</w:t>
            </w:r>
          </w:p>
        </w:tc>
        <w:tc>
          <w:tcPr>
            <w:tcW w:w="1367" w:type="dxa"/>
            <w:vAlign w:val="center"/>
          </w:tcPr>
          <w:p w14:paraId="619C3DF0">
            <w:pPr>
              <w:widowControl/>
              <w:jc w:val="center"/>
              <w:textAlignment w:val="center"/>
              <w:rPr>
                <w:rFonts w:ascii="Times New Roman" w:hAnsi="Times New Roman" w:eastAsia="宋体" w:cs="Times New Roman"/>
                <w:color w:val="auto"/>
                <w:sz w:val="22"/>
              </w:rPr>
            </w:pPr>
            <w:r>
              <w:rPr>
                <w:rFonts w:ascii="Times New Roman" w:hAnsi="Times New Roman" w:cs="Times New Roman"/>
                <w:color w:val="auto"/>
                <w:sz w:val="22"/>
              </w:rPr>
              <w:t xml:space="preserve">25.00 </w:t>
            </w:r>
          </w:p>
        </w:tc>
        <w:tc>
          <w:tcPr>
            <w:tcW w:w="1674" w:type="dxa"/>
            <w:vAlign w:val="center"/>
          </w:tcPr>
          <w:p w14:paraId="42011A78">
            <w:pPr>
              <w:jc w:val="center"/>
              <w:rPr>
                <w:rFonts w:ascii="Times New Roman" w:hAnsi="Times New Roman" w:eastAsia="宋体" w:cs="Times New Roman"/>
                <w:color w:val="auto"/>
                <w:sz w:val="22"/>
              </w:rPr>
            </w:pPr>
            <w:r>
              <w:rPr>
                <w:rFonts w:hint="eastAsia" w:ascii="Times New Roman" w:hAnsi="Times New Roman" w:eastAsia="宋体" w:cs="Times New Roman"/>
                <w:color w:val="auto"/>
                <w:sz w:val="22"/>
              </w:rPr>
              <w:t>0</w:t>
            </w:r>
          </w:p>
        </w:tc>
        <w:tc>
          <w:tcPr>
            <w:tcW w:w="1674" w:type="dxa"/>
            <w:vAlign w:val="center"/>
          </w:tcPr>
          <w:p w14:paraId="3F615838">
            <w:pPr>
              <w:jc w:val="center"/>
              <w:rPr>
                <w:rFonts w:ascii="Times New Roman" w:hAnsi="Times New Roman" w:eastAsia="宋体" w:cs="Times New Roman"/>
                <w:color w:val="auto"/>
                <w:sz w:val="22"/>
              </w:rPr>
            </w:pPr>
            <w:r>
              <w:rPr>
                <w:rFonts w:ascii="Times New Roman" w:hAnsi="Times New Roman" w:eastAsia="宋体" w:cs="Times New Roman"/>
                <w:color w:val="auto"/>
                <w:sz w:val="22"/>
              </w:rPr>
              <w:t>达标</w:t>
            </w:r>
          </w:p>
        </w:tc>
      </w:tr>
      <w:tr w14:paraId="1F600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4" w:type="dxa"/>
            <w:vMerge w:val="restart"/>
            <w:vAlign w:val="center"/>
          </w:tcPr>
          <w:p w14:paraId="5F603D88">
            <w:pPr>
              <w:jc w:val="center"/>
              <w:rPr>
                <w:rFonts w:ascii="Times New Roman" w:hAnsi="Times New Roman" w:eastAsia="宋体" w:cs="Times New Roman"/>
                <w:color w:val="auto"/>
                <w:sz w:val="22"/>
              </w:rPr>
            </w:pPr>
            <w:r>
              <w:rPr>
                <w:rFonts w:ascii="Times New Roman" w:hAnsi="Times New Roman" w:eastAsia="宋体" w:cs="Times New Roman"/>
                <w:color w:val="auto"/>
                <w:sz w:val="22"/>
              </w:rPr>
              <w:t>PM</w:t>
            </w:r>
            <w:r>
              <w:rPr>
                <w:rFonts w:ascii="Times New Roman" w:hAnsi="Times New Roman" w:eastAsia="宋体" w:cs="Times New Roman"/>
                <w:color w:val="auto"/>
                <w:sz w:val="22"/>
                <w:vertAlign w:val="subscript"/>
              </w:rPr>
              <w:t>10</w:t>
            </w:r>
          </w:p>
        </w:tc>
        <w:tc>
          <w:tcPr>
            <w:tcW w:w="3937" w:type="dxa"/>
            <w:vAlign w:val="center"/>
          </w:tcPr>
          <w:p w14:paraId="0A258631">
            <w:pPr>
              <w:jc w:val="center"/>
              <w:rPr>
                <w:rFonts w:ascii="Times New Roman" w:hAnsi="Times New Roman" w:eastAsia="宋体" w:cs="Times New Roman"/>
                <w:color w:val="auto"/>
                <w:sz w:val="22"/>
              </w:rPr>
            </w:pPr>
            <w:r>
              <w:rPr>
                <w:rFonts w:ascii="Times New Roman" w:hAnsi="Times New Roman" w:eastAsia="宋体" w:cs="Times New Roman"/>
                <w:color w:val="auto"/>
                <w:sz w:val="22"/>
              </w:rPr>
              <w:t>24h平均第95百分位数</w:t>
            </w:r>
          </w:p>
        </w:tc>
        <w:tc>
          <w:tcPr>
            <w:tcW w:w="1546" w:type="dxa"/>
            <w:vAlign w:val="center"/>
          </w:tcPr>
          <w:p w14:paraId="5C99BBF9">
            <w:pPr>
              <w:jc w:val="center"/>
              <w:rPr>
                <w:rFonts w:ascii="Times New Roman" w:hAnsi="Times New Roman" w:eastAsia="宋体" w:cs="Times New Roman"/>
                <w:color w:val="auto"/>
                <w:sz w:val="22"/>
              </w:rPr>
            </w:pPr>
            <w:r>
              <w:rPr>
                <w:rFonts w:ascii="Times New Roman" w:hAnsi="Times New Roman" w:eastAsia="宋体" w:cs="Times New Roman"/>
                <w:color w:val="auto"/>
                <w:sz w:val="22"/>
              </w:rPr>
              <w:t>150</w:t>
            </w:r>
          </w:p>
        </w:tc>
        <w:tc>
          <w:tcPr>
            <w:tcW w:w="2346" w:type="dxa"/>
            <w:vAlign w:val="center"/>
          </w:tcPr>
          <w:p w14:paraId="10CD25D0">
            <w:pPr>
              <w:jc w:val="center"/>
              <w:rPr>
                <w:rFonts w:ascii="Times New Roman" w:hAnsi="Times New Roman" w:eastAsia="宋体" w:cs="Times New Roman"/>
                <w:color w:val="auto"/>
                <w:sz w:val="22"/>
              </w:rPr>
            </w:pPr>
            <w:r>
              <w:rPr>
                <w:rFonts w:hint="eastAsia" w:ascii="Times New Roman" w:hAnsi="Times New Roman" w:eastAsia="宋体" w:cs="Times New Roman"/>
                <w:color w:val="auto"/>
                <w:sz w:val="22"/>
              </w:rPr>
              <w:t>119</w:t>
            </w:r>
          </w:p>
        </w:tc>
        <w:tc>
          <w:tcPr>
            <w:tcW w:w="1367" w:type="dxa"/>
            <w:vAlign w:val="center"/>
          </w:tcPr>
          <w:p w14:paraId="293054AF">
            <w:pPr>
              <w:widowControl/>
              <w:jc w:val="center"/>
              <w:textAlignment w:val="center"/>
              <w:rPr>
                <w:rFonts w:ascii="Times New Roman" w:hAnsi="Times New Roman" w:eastAsia="宋体" w:cs="Times New Roman"/>
                <w:color w:val="auto"/>
                <w:sz w:val="22"/>
              </w:rPr>
            </w:pPr>
            <w:r>
              <w:rPr>
                <w:rFonts w:ascii="Times New Roman" w:hAnsi="Times New Roman" w:cs="Times New Roman"/>
                <w:color w:val="auto"/>
                <w:sz w:val="22"/>
              </w:rPr>
              <w:t xml:space="preserve">79.33 </w:t>
            </w:r>
          </w:p>
        </w:tc>
        <w:tc>
          <w:tcPr>
            <w:tcW w:w="1674" w:type="dxa"/>
            <w:vAlign w:val="center"/>
          </w:tcPr>
          <w:p w14:paraId="3E2D9949">
            <w:pPr>
              <w:jc w:val="center"/>
              <w:rPr>
                <w:rFonts w:ascii="Times New Roman" w:hAnsi="Times New Roman" w:eastAsia="宋体" w:cs="Times New Roman"/>
                <w:color w:val="auto"/>
                <w:sz w:val="22"/>
              </w:rPr>
            </w:pPr>
            <w:r>
              <w:rPr>
                <w:rFonts w:hint="eastAsia" w:ascii="Times New Roman" w:hAnsi="Times New Roman" w:eastAsia="宋体" w:cs="Times New Roman"/>
                <w:color w:val="auto"/>
                <w:sz w:val="22"/>
              </w:rPr>
              <w:t>0</w:t>
            </w:r>
          </w:p>
        </w:tc>
        <w:tc>
          <w:tcPr>
            <w:tcW w:w="1674" w:type="dxa"/>
            <w:vAlign w:val="center"/>
          </w:tcPr>
          <w:p w14:paraId="765E6BF2">
            <w:pPr>
              <w:jc w:val="center"/>
              <w:rPr>
                <w:rFonts w:ascii="Times New Roman" w:hAnsi="Times New Roman" w:eastAsia="宋体" w:cs="Times New Roman"/>
                <w:color w:val="auto"/>
                <w:sz w:val="22"/>
              </w:rPr>
            </w:pPr>
            <w:r>
              <w:rPr>
                <w:rFonts w:ascii="Times New Roman" w:hAnsi="Times New Roman" w:eastAsia="宋体" w:cs="Times New Roman"/>
                <w:color w:val="auto"/>
                <w:sz w:val="22"/>
              </w:rPr>
              <w:t>达标</w:t>
            </w:r>
          </w:p>
        </w:tc>
      </w:tr>
      <w:tr w14:paraId="41C3E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4" w:type="dxa"/>
            <w:vMerge w:val="continue"/>
            <w:vAlign w:val="center"/>
          </w:tcPr>
          <w:p w14:paraId="422DD5E4">
            <w:pPr>
              <w:jc w:val="center"/>
              <w:rPr>
                <w:rFonts w:ascii="Times New Roman" w:hAnsi="Times New Roman" w:eastAsia="宋体" w:cs="Times New Roman"/>
                <w:color w:val="auto"/>
                <w:sz w:val="22"/>
              </w:rPr>
            </w:pPr>
          </w:p>
        </w:tc>
        <w:tc>
          <w:tcPr>
            <w:tcW w:w="3937" w:type="dxa"/>
            <w:vAlign w:val="center"/>
          </w:tcPr>
          <w:p w14:paraId="73735A33">
            <w:pPr>
              <w:jc w:val="center"/>
              <w:rPr>
                <w:rFonts w:ascii="Times New Roman" w:hAnsi="Times New Roman" w:eastAsia="宋体" w:cs="Times New Roman"/>
                <w:color w:val="auto"/>
                <w:sz w:val="22"/>
              </w:rPr>
            </w:pPr>
            <w:r>
              <w:rPr>
                <w:rFonts w:ascii="Times New Roman" w:hAnsi="Times New Roman" w:eastAsia="宋体" w:cs="Times New Roman"/>
                <w:color w:val="auto"/>
                <w:sz w:val="22"/>
              </w:rPr>
              <w:t>年平均</w:t>
            </w:r>
          </w:p>
        </w:tc>
        <w:tc>
          <w:tcPr>
            <w:tcW w:w="1546" w:type="dxa"/>
            <w:vAlign w:val="center"/>
          </w:tcPr>
          <w:p w14:paraId="2B585695">
            <w:pPr>
              <w:jc w:val="center"/>
              <w:rPr>
                <w:rFonts w:ascii="Times New Roman" w:hAnsi="Times New Roman" w:eastAsia="宋体" w:cs="Times New Roman"/>
                <w:color w:val="auto"/>
                <w:sz w:val="22"/>
              </w:rPr>
            </w:pPr>
            <w:r>
              <w:rPr>
                <w:rFonts w:ascii="Times New Roman" w:hAnsi="Times New Roman" w:eastAsia="宋体" w:cs="Times New Roman"/>
                <w:color w:val="auto"/>
                <w:sz w:val="22"/>
              </w:rPr>
              <w:t>70</w:t>
            </w:r>
          </w:p>
        </w:tc>
        <w:tc>
          <w:tcPr>
            <w:tcW w:w="2346" w:type="dxa"/>
            <w:vAlign w:val="center"/>
          </w:tcPr>
          <w:p w14:paraId="76FE55F0">
            <w:pPr>
              <w:jc w:val="center"/>
              <w:rPr>
                <w:rFonts w:ascii="Times New Roman" w:hAnsi="Times New Roman" w:eastAsia="宋体" w:cs="Times New Roman"/>
                <w:color w:val="auto"/>
                <w:sz w:val="22"/>
              </w:rPr>
            </w:pPr>
            <w:r>
              <w:rPr>
                <w:rFonts w:hint="eastAsia" w:ascii="Times New Roman" w:hAnsi="Times New Roman" w:eastAsia="宋体" w:cs="Times New Roman"/>
                <w:color w:val="auto"/>
                <w:sz w:val="22"/>
              </w:rPr>
              <w:t>48</w:t>
            </w:r>
          </w:p>
        </w:tc>
        <w:tc>
          <w:tcPr>
            <w:tcW w:w="1367" w:type="dxa"/>
            <w:vAlign w:val="center"/>
          </w:tcPr>
          <w:p w14:paraId="1633C0CA">
            <w:pPr>
              <w:widowControl/>
              <w:jc w:val="center"/>
              <w:textAlignment w:val="center"/>
              <w:rPr>
                <w:rFonts w:ascii="Times New Roman" w:hAnsi="Times New Roman" w:eastAsia="宋体" w:cs="Times New Roman"/>
                <w:color w:val="auto"/>
                <w:sz w:val="22"/>
              </w:rPr>
            </w:pPr>
            <w:r>
              <w:rPr>
                <w:rFonts w:ascii="Times New Roman" w:hAnsi="Times New Roman" w:cs="Times New Roman"/>
                <w:color w:val="auto"/>
                <w:sz w:val="22"/>
              </w:rPr>
              <w:t xml:space="preserve">68.57 </w:t>
            </w:r>
          </w:p>
        </w:tc>
        <w:tc>
          <w:tcPr>
            <w:tcW w:w="1674" w:type="dxa"/>
            <w:vAlign w:val="center"/>
          </w:tcPr>
          <w:p w14:paraId="5A77CEBC">
            <w:pPr>
              <w:jc w:val="center"/>
              <w:rPr>
                <w:rFonts w:ascii="Times New Roman" w:hAnsi="Times New Roman" w:eastAsia="宋体" w:cs="Times New Roman"/>
                <w:color w:val="auto"/>
                <w:sz w:val="22"/>
              </w:rPr>
            </w:pPr>
            <w:r>
              <w:rPr>
                <w:rFonts w:hint="eastAsia" w:ascii="Times New Roman" w:hAnsi="Times New Roman" w:eastAsia="宋体" w:cs="Times New Roman"/>
                <w:color w:val="auto"/>
                <w:sz w:val="22"/>
              </w:rPr>
              <w:t>0</w:t>
            </w:r>
          </w:p>
        </w:tc>
        <w:tc>
          <w:tcPr>
            <w:tcW w:w="1674" w:type="dxa"/>
            <w:vAlign w:val="center"/>
          </w:tcPr>
          <w:p w14:paraId="4142FBD5">
            <w:pPr>
              <w:jc w:val="center"/>
              <w:rPr>
                <w:rFonts w:ascii="Times New Roman" w:hAnsi="Times New Roman" w:eastAsia="宋体" w:cs="Times New Roman"/>
                <w:color w:val="auto"/>
                <w:sz w:val="22"/>
              </w:rPr>
            </w:pPr>
            <w:r>
              <w:rPr>
                <w:rFonts w:ascii="Times New Roman" w:hAnsi="Times New Roman" w:eastAsia="宋体" w:cs="Times New Roman"/>
                <w:color w:val="auto"/>
                <w:sz w:val="22"/>
              </w:rPr>
              <w:t>达标</w:t>
            </w:r>
          </w:p>
        </w:tc>
      </w:tr>
      <w:tr w14:paraId="596B5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4" w:type="dxa"/>
            <w:vMerge w:val="restart"/>
            <w:vAlign w:val="center"/>
          </w:tcPr>
          <w:p w14:paraId="134F331C">
            <w:pPr>
              <w:jc w:val="center"/>
              <w:rPr>
                <w:rFonts w:ascii="Times New Roman" w:hAnsi="Times New Roman" w:eastAsia="宋体" w:cs="Times New Roman"/>
                <w:color w:val="auto"/>
                <w:sz w:val="22"/>
              </w:rPr>
            </w:pPr>
            <w:r>
              <w:rPr>
                <w:rFonts w:ascii="Times New Roman" w:hAnsi="Times New Roman" w:eastAsia="宋体" w:cs="Times New Roman"/>
                <w:color w:val="auto"/>
                <w:sz w:val="22"/>
              </w:rPr>
              <w:t>P</w:t>
            </w:r>
            <w:r>
              <w:rPr>
                <w:rFonts w:hint="eastAsia" w:ascii="Times New Roman" w:hAnsi="Times New Roman" w:eastAsia="宋体" w:cs="Times New Roman"/>
                <w:color w:val="auto"/>
                <w:sz w:val="22"/>
                <w:lang w:eastAsia="zh-CN"/>
              </w:rPr>
              <w:t>m</w:t>
            </w:r>
            <w:r>
              <w:rPr>
                <w:rFonts w:hint="eastAsia" w:ascii="Times New Roman" w:hAnsi="Times New Roman" w:eastAsia="宋体" w:cs="Times New Roman"/>
                <w:color w:val="auto"/>
                <w:sz w:val="22"/>
                <w:vertAlign w:val="subscript"/>
                <w:lang w:eastAsia="zh-CN"/>
              </w:rPr>
              <w:t>2</w:t>
            </w:r>
            <w:r>
              <w:rPr>
                <w:rFonts w:ascii="Times New Roman" w:hAnsi="Times New Roman" w:eastAsia="宋体" w:cs="Times New Roman"/>
                <w:color w:val="auto"/>
                <w:sz w:val="22"/>
                <w:vertAlign w:val="subscript"/>
              </w:rPr>
              <w:t>.5</w:t>
            </w:r>
          </w:p>
        </w:tc>
        <w:tc>
          <w:tcPr>
            <w:tcW w:w="3937" w:type="dxa"/>
            <w:vAlign w:val="center"/>
          </w:tcPr>
          <w:p w14:paraId="6068660D">
            <w:pPr>
              <w:jc w:val="center"/>
              <w:rPr>
                <w:rFonts w:ascii="Times New Roman" w:hAnsi="Times New Roman" w:eastAsia="宋体" w:cs="Times New Roman"/>
                <w:color w:val="auto"/>
                <w:sz w:val="22"/>
              </w:rPr>
            </w:pPr>
            <w:r>
              <w:rPr>
                <w:rFonts w:ascii="Times New Roman" w:hAnsi="Times New Roman" w:eastAsia="宋体" w:cs="Times New Roman"/>
                <w:color w:val="auto"/>
                <w:sz w:val="22"/>
              </w:rPr>
              <w:t>24h平均第95百分位数</w:t>
            </w:r>
          </w:p>
        </w:tc>
        <w:tc>
          <w:tcPr>
            <w:tcW w:w="1546" w:type="dxa"/>
            <w:vAlign w:val="center"/>
          </w:tcPr>
          <w:p w14:paraId="201FF95C">
            <w:pPr>
              <w:jc w:val="center"/>
              <w:rPr>
                <w:rFonts w:ascii="Times New Roman" w:hAnsi="Times New Roman" w:eastAsia="宋体" w:cs="Times New Roman"/>
                <w:color w:val="auto"/>
                <w:sz w:val="22"/>
              </w:rPr>
            </w:pPr>
            <w:r>
              <w:rPr>
                <w:rFonts w:ascii="Times New Roman" w:hAnsi="Times New Roman" w:eastAsia="宋体" w:cs="Times New Roman"/>
                <w:color w:val="auto"/>
                <w:sz w:val="22"/>
              </w:rPr>
              <w:t>75</w:t>
            </w:r>
          </w:p>
        </w:tc>
        <w:tc>
          <w:tcPr>
            <w:tcW w:w="2346" w:type="dxa"/>
            <w:vAlign w:val="center"/>
          </w:tcPr>
          <w:p w14:paraId="05AE02D6">
            <w:pPr>
              <w:jc w:val="center"/>
              <w:rPr>
                <w:rFonts w:ascii="Times New Roman" w:hAnsi="Times New Roman" w:eastAsia="宋体" w:cs="Times New Roman"/>
                <w:b/>
                <w:bCs/>
                <w:color w:val="auto"/>
                <w:sz w:val="22"/>
              </w:rPr>
            </w:pPr>
            <w:r>
              <w:rPr>
                <w:rFonts w:hint="eastAsia" w:ascii="Times New Roman" w:hAnsi="Times New Roman" w:eastAsia="宋体" w:cs="Times New Roman"/>
                <w:b/>
                <w:bCs/>
                <w:color w:val="auto"/>
                <w:sz w:val="22"/>
              </w:rPr>
              <w:t>89</w:t>
            </w:r>
          </w:p>
        </w:tc>
        <w:tc>
          <w:tcPr>
            <w:tcW w:w="1367" w:type="dxa"/>
            <w:vAlign w:val="center"/>
          </w:tcPr>
          <w:p w14:paraId="7FAF78FF">
            <w:pPr>
              <w:widowControl/>
              <w:jc w:val="center"/>
              <w:textAlignment w:val="center"/>
              <w:rPr>
                <w:rFonts w:ascii="Times New Roman" w:hAnsi="Times New Roman" w:eastAsia="宋体" w:cs="Times New Roman"/>
                <w:b/>
                <w:bCs/>
                <w:color w:val="auto"/>
                <w:sz w:val="22"/>
              </w:rPr>
            </w:pPr>
            <w:r>
              <w:rPr>
                <w:rFonts w:ascii="Times New Roman" w:hAnsi="Times New Roman" w:cs="Times New Roman"/>
                <w:b/>
                <w:bCs/>
                <w:color w:val="auto"/>
                <w:sz w:val="22"/>
              </w:rPr>
              <w:t xml:space="preserve">118.67 </w:t>
            </w:r>
          </w:p>
        </w:tc>
        <w:tc>
          <w:tcPr>
            <w:tcW w:w="1674" w:type="dxa"/>
            <w:vAlign w:val="center"/>
          </w:tcPr>
          <w:p w14:paraId="09C1C3C1">
            <w:pPr>
              <w:jc w:val="center"/>
              <w:rPr>
                <w:rFonts w:ascii="Times New Roman" w:hAnsi="Times New Roman" w:eastAsia="宋体" w:cs="Times New Roman"/>
                <w:color w:val="auto"/>
                <w:sz w:val="22"/>
              </w:rPr>
            </w:pPr>
            <w:r>
              <w:rPr>
                <w:rFonts w:hint="eastAsia" w:ascii="Times New Roman" w:hAnsi="Times New Roman" w:eastAsia="宋体" w:cs="Times New Roman"/>
                <w:color w:val="auto"/>
                <w:sz w:val="22"/>
              </w:rPr>
              <w:t>6.2</w:t>
            </w:r>
          </w:p>
        </w:tc>
        <w:tc>
          <w:tcPr>
            <w:tcW w:w="1674" w:type="dxa"/>
          </w:tcPr>
          <w:p w14:paraId="697F72FE">
            <w:pPr>
              <w:jc w:val="center"/>
              <w:rPr>
                <w:rFonts w:ascii="Times New Roman" w:hAnsi="Times New Roman" w:eastAsia="宋体" w:cs="Times New Roman"/>
                <w:b/>
                <w:bCs/>
                <w:color w:val="auto"/>
                <w:sz w:val="22"/>
              </w:rPr>
            </w:pPr>
            <w:r>
              <w:rPr>
                <w:rFonts w:hint="eastAsia" w:ascii="Times New Roman" w:hAnsi="Times New Roman" w:eastAsia="宋体" w:cs="Times New Roman"/>
                <w:b/>
                <w:bCs/>
                <w:color w:val="auto"/>
                <w:sz w:val="22"/>
              </w:rPr>
              <w:t>超标</w:t>
            </w:r>
          </w:p>
        </w:tc>
      </w:tr>
      <w:tr w14:paraId="52BE0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4" w:type="dxa"/>
            <w:vMerge w:val="continue"/>
            <w:vAlign w:val="center"/>
          </w:tcPr>
          <w:p w14:paraId="05EB49AF">
            <w:pPr>
              <w:jc w:val="center"/>
              <w:rPr>
                <w:rFonts w:ascii="Times New Roman" w:hAnsi="Times New Roman" w:eastAsia="宋体" w:cs="Times New Roman"/>
                <w:color w:val="auto"/>
                <w:sz w:val="22"/>
              </w:rPr>
            </w:pPr>
          </w:p>
        </w:tc>
        <w:tc>
          <w:tcPr>
            <w:tcW w:w="3937" w:type="dxa"/>
            <w:vAlign w:val="center"/>
          </w:tcPr>
          <w:p w14:paraId="2E767AD1">
            <w:pPr>
              <w:jc w:val="center"/>
              <w:rPr>
                <w:rFonts w:ascii="Times New Roman" w:hAnsi="Times New Roman" w:eastAsia="宋体" w:cs="Times New Roman"/>
                <w:color w:val="auto"/>
                <w:sz w:val="22"/>
              </w:rPr>
            </w:pPr>
            <w:r>
              <w:rPr>
                <w:rFonts w:ascii="Times New Roman" w:hAnsi="Times New Roman" w:eastAsia="宋体" w:cs="Times New Roman"/>
                <w:color w:val="auto"/>
                <w:sz w:val="22"/>
              </w:rPr>
              <w:t>年平均</w:t>
            </w:r>
          </w:p>
        </w:tc>
        <w:tc>
          <w:tcPr>
            <w:tcW w:w="1546" w:type="dxa"/>
            <w:vAlign w:val="center"/>
          </w:tcPr>
          <w:p w14:paraId="12527F44">
            <w:pPr>
              <w:jc w:val="center"/>
              <w:rPr>
                <w:rFonts w:ascii="Times New Roman" w:hAnsi="Times New Roman" w:eastAsia="宋体" w:cs="Times New Roman"/>
                <w:color w:val="auto"/>
                <w:sz w:val="22"/>
              </w:rPr>
            </w:pPr>
            <w:r>
              <w:rPr>
                <w:rFonts w:ascii="Times New Roman" w:hAnsi="Times New Roman" w:eastAsia="宋体" w:cs="Times New Roman"/>
                <w:color w:val="auto"/>
                <w:sz w:val="22"/>
              </w:rPr>
              <w:t>35</w:t>
            </w:r>
          </w:p>
        </w:tc>
        <w:tc>
          <w:tcPr>
            <w:tcW w:w="2346" w:type="dxa"/>
            <w:vAlign w:val="center"/>
          </w:tcPr>
          <w:p w14:paraId="01E9174B">
            <w:pPr>
              <w:jc w:val="center"/>
              <w:rPr>
                <w:rFonts w:ascii="Times New Roman" w:hAnsi="Times New Roman" w:eastAsia="宋体" w:cs="Times New Roman"/>
                <w:color w:val="auto"/>
                <w:sz w:val="22"/>
              </w:rPr>
            </w:pPr>
            <w:r>
              <w:rPr>
                <w:rFonts w:hint="eastAsia" w:ascii="Times New Roman" w:hAnsi="Times New Roman" w:eastAsia="宋体" w:cs="Times New Roman"/>
                <w:color w:val="auto"/>
                <w:sz w:val="22"/>
              </w:rPr>
              <w:t>31</w:t>
            </w:r>
          </w:p>
        </w:tc>
        <w:tc>
          <w:tcPr>
            <w:tcW w:w="1367" w:type="dxa"/>
            <w:vAlign w:val="center"/>
          </w:tcPr>
          <w:p w14:paraId="662F4593">
            <w:pPr>
              <w:widowControl/>
              <w:jc w:val="center"/>
              <w:textAlignment w:val="center"/>
              <w:rPr>
                <w:rFonts w:ascii="Times New Roman" w:hAnsi="Times New Roman" w:eastAsia="宋体" w:cs="Times New Roman"/>
                <w:color w:val="auto"/>
                <w:sz w:val="22"/>
              </w:rPr>
            </w:pPr>
            <w:r>
              <w:rPr>
                <w:rFonts w:ascii="Times New Roman" w:hAnsi="Times New Roman" w:cs="Times New Roman"/>
                <w:color w:val="auto"/>
                <w:sz w:val="22"/>
              </w:rPr>
              <w:t xml:space="preserve">88.57 </w:t>
            </w:r>
          </w:p>
        </w:tc>
        <w:tc>
          <w:tcPr>
            <w:tcW w:w="1674" w:type="dxa"/>
            <w:vAlign w:val="center"/>
          </w:tcPr>
          <w:p w14:paraId="3E8D147D">
            <w:pPr>
              <w:jc w:val="center"/>
              <w:rPr>
                <w:rFonts w:ascii="Times New Roman" w:hAnsi="Times New Roman" w:eastAsia="宋体" w:cs="Times New Roman"/>
                <w:color w:val="auto"/>
                <w:sz w:val="22"/>
              </w:rPr>
            </w:pPr>
            <w:r>
              <w:rPr>
                <w:rFonts w:hint="eastAsia" w:ascii="Times New Roman" w:hAnsi="Times New Roman" w:eastAsia="宋体" w:cs="Times New Roman"/>
                <w:color w:val="auto"/>
                <w:sz w:val="22"/>
              </w:rPr>
              <w:t>0</w:t>
            </w:r>
          </w:p>
        </w:tc>
        <w:tc>
          <w:tcPr>
            <w:tcW w:w="1674" w:type="dxa"/>
          </w:tcPr>
          <w:p w14:paraId="4557C219">
            <w:pPr>
              <w:jc w:val="center"/>
              <w:rPr>
                <w:rFonts w:ascii="Times New Roman" w:hAnsi="Times New Roman" w:eastAsia="宋体" w:cs="Times New Roman"/>
                <w:color w:val="auto"/>
                <w:sz w:val="22"/>
              </w:rPr>
            </w:pPr>
            <w:r>
              <w:rPr>
                <w:rFonts w:ascii="Times New Roman" w:hAnsi="Times New Roman" w:eastAsia="宋体" w:cs="Times New Roman"/>
                <w:color w:val="auto"/>
                <w:sz w:val="22"/>
              </w:rPr>
              <w:t>达标</w:t>
            </w:r>
          </w:p>
        </w:tc>
      </w:tr>
      <w:tr w14:paraId="70739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4" w:type="dxa"/>
            <w:vAlign w:val="center"/>
          </w:tcPr>
          <w:p w14:paraId="5EF48FE8">
            <w:pPr>
              <w:jc w:val="center"/>
              <w:rPr>
                <w:rFonts w:ascii="Times New Roman" w:hAnsi="Times New Roman" w:eastAsia="宋体" w:cs="Times New Roman"/>
                <w:color w:val="auto"/>
                <w:sz w:val="22"/>
              </w:rPr>
            </w:pPr>
            <w:r>
              <w:rPr>
                <w:rFonts w:ascii="Times New Roman" w:hAnsi="Times New Roman" w:eastAsia="宋体" w:cs="Times New Roman"/>
                <w:color w:val="auto"/>
                <w:sz w:val="22"/>
              </w:rPr>
              <w:t>CO</w:t>
            </w:r>
          </w:p>
        </w:tc>
        <w:tc>
          <w:tcPr>
            <w:tcW w:w="3937" w:type="dxa"/>
            <w:vAlign w:val="center"/>
          </w:tcPr>
          <w:p w14:paraId="6741AB31">
            <w:pPr>
              <w:jc w:val="center"/>
              <w:rPr>
                <w:rFonts w:ascii="Times New Roman" w:hAnsi="Times New Roman" w:eastAsia="宋体" w:cs="Times New Roman"/>
                <w:color w:val="auto"/>
                <w:sz w:val="22"/>
              </w:rPr>
            </w:pPr>
            <w:r>
              <w:rPr>
                <w:rFonts w:ascii="Times New Roman" w:hAnsi="Times New Roman" w:eastAsia="宋体" w:cs="Times New Roman"/>
                <w:color w:val="auto"/>
                <w:sz w:val="22"/>
              </w:rPr>
              <w:t>24h平均第9</w:t>
            </w:r>
            <w:r>
              <w:rPr>
                <w:rFonts w:hint="eastAsia" w:ascii="Times New Roman" w:hAnsi="Times New Roman" w:eastAsia="宋体" w:cs="Times New Roman"/>
                <w:color w:val="auto"/>
                <w:sz w:val="22"/>
              </w:rPr>
              <w:t>5</w:t>
            </w:r>
            <w:r>
              <w:rPr>
                <w:rFonts w:ascii="Times New Roman" w:hAnsi="Times New Roman" w:eastAsia="宋体" w:cs="Times New Roman"/>
                <w:color w:val="auto"/>
                <w:sz w:val="22"/>
              </w:rPr>
              <w:t>百分位数</w:t>
            </w:r>
          </w:p>
        </w:tc>
        <w:tc>
          <w:tcPr>
            <w:tcW w:w="1546" w:type="dxa"/>
            <w:vAlign w:val="center"/>
          </w:tcPr>
          <w:p w14:paraId="5D5176ED">
            <w:pPr>
              <w:jc w:val="center"/>
              <w:rPr>
                <w:rFonts w:ascii="Times New Roman" w:hAnsi="Times New Roman" w:eastAsia="宋体" w:cs="Times New Roman"/>
                <w:color w:val="auto"/>
                <w:sz w:val="22"/>
              </w:rPr>
            </w:pPr>
            <w:r>
              <w:rPr>
                <w:rFonts w:ascii="Times New Roman" w:hAnsi="Times New Roman" w:eastAsia="宋体" w:cs="Times New Roman"/>
                <w:color w:val="auto"/>
                <w:sz w:val="22"/>
              </w:rPr>
              <w:t>4000</w:t>
            </w:r>
          </w:p>
        </w:tc>
        <w:tc>
          <w:tcPr>
            <w:tcW w:w="2346" w:type="dxa"/>
            <w:vAlign w:val="center"/>
          </w:tcPr>
          <w:p w14:paraId="194C532B">
            <w:pPr>
              <w:jc w:val="center"/>
              <w:rPr>
                <w:rFonts w:ascii="Times New Roman" w:hAnsi="Times New Roman" w:eastAsia="宋体" w:cs="Times New Roman"/>
                <w:color w:val="auto"/>
                <w:sz w:val="22"/>
              </w:rPr>
            </w:pPr>
            <w:r>
              <w:rPr>
                <w:rFonts w:hint="eastAsia" w:ascii="Times New Roman" w:hAnsi="Times New Roman" w:eastAsia="宋体" w:cs="Times New Roman"/>
                <w:color w:val="auto"/>
                <w:sz w:val="22"/>
              </w:rPr>
              <w:t>800</w:t>
            </w:r>
          </w:p>
        </w:tc>
        <w:tc>
          <w:tcPr>
            <w:tcW w:w="1367" w:type="dxa"/>
            <w:vAlign w:val="center"/>
          </w:tcPr>
          <w:p w14:paraId="201F4FC5">
            <w:pPr>
              <w:widowControl/>
              <w:jc w:val="center"/>
              <w:textAlignment w:val="center"/>
              <w:rPr>
                <w:rFonts w:ascii="Times New Roman" w:hAnsi="Times New Roman" w:eastAsia="宋体" w:cs="Times New Roman"/>
                <w:color w:val="auto"/>
                <w:sz w:val="22"/>
              </w:rPr>
            </w:pPr>
            <w:r>
              <w:rPr>
                <w:rFonts w:ascii="Times New Roman" w:hAnsi="Times New Roman" w:cs="Times New Roman"/>
                <w:color w:val="auto"/>
                <w:sz w:val="22"/>
              </w:rPr>
              <w:t xml:space="preserve">20.00 </w:t>
            </w:r>
          </w:p>
        </w:tc>
        <w:tc>
          <w:tcPr>
            <w:tcW w:w="1674" w:type="dxa"/>
            <w:vAlign w:val="center"/>
          </w:tcPr>
          <w:p w14:paraId="6C44066A">
            <w:pPr>
              <w:jc w:val="center"/>
              <w:rPr>
                <w:rFonts w:ascii="Times New Roman" w:hAnsi="Times New Roman" w:eastAsia="宋体" w:cs="Times New Roman"/>
                <w:color w:val="auto"/>
                <w:sz w:val="22"/>
              </w:rPr>
            </w:pPr>
            <w:r>
              <w:rPr>
                <w:rFonts w:hint="eastAsia" w:ascii="Times New Roman" w:hAnsi="Times New Roman" w:eastAsia="宋体" w:cs="Times New Roman"/>
                <w:color w:val="auto"/>
                <w:sz w:val="22"/>
              </w:rPr>
              <w:t>0</w:t>
            </w:r>
          </w:p>
        </w:tc>
        <w:tc>
          <w:tcPr>
            <w:tcW w:w="1674" w:type="dxa"/>
            <w:vAlign w:val="center"/>
          </w:tcPr>
          <w:p w14:paraId="08B70626">
            <w:pPr>
              <w:jc w:val="center"/>
              <w:rPr>
                <w:rFonts w:ascii="Times New Roman" w:hAnsi="Times New Roman" w:eastAsia="宋体" w:cs="Times New Roman"/>
                <w:color w:val="auto"/>
                <w:sz w:val="22"/>
              </w:rPr>
            </w:pPr>
            <w:r>
              <w:rPr>
                <w:rFonts w:ascii="Times New Roman" w:hAnsi="Times New Roman" w:eastAsia="宋体" w:cs="Times New Roman"/>
                <w:color w:val="auto"/>
                <w:sz w:val="22"/>
              </w:rPr>
              <w:t>达标</w:t>
            </w:r>
          </w:p>
        </w:tc>
      </w:tr>
      <w:tr w14:paraId="4E933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4" w:type="dxa"/>
            <w:vAlign w:val="center"/>
          </w:tcPr>
          <w:p w14:paraId="1DEE76EF">
            <w:pPr>
              <w:jc w:val="center"/>
              <w:rPr>
                <w:rFonts w:ascii="Times New Roman" w:hAnsi="Times New Roman" w:eastAsia="宋体" w:cs="Times New Roman"/>
                <w:color w:val="auto"/>
                <w:sz w:val="22"/>
              </w:rPr>
            </w:pPr>
            <w:r>
              <w:rPr>
                <w:rFonts w:ascii="Times New Roman" w:hAnsi="Times New Roman" w:eastAsia="宋体" w:cs="Times New Roman"/>
                <w:color w:val="auto"/>
                <w:sz w:val="22"/>
              </w:rPr>
              <w:t>O</w:t>
            </w:r>
            <w:r>
              <w:rPr>
                <w:rFonts w:ascii="Times New Roman" w:hAnsi="Times New Roman" w:eastAsia="宋体" w:cs="Times New Roman"/>
                <w:color w:val="auto"/>
                <w:sz w:val="22"/>
                <w:vertAlign w:val="subscript"/>
              </w:rPr>
              <w:t>3</w:t>
            </w:r>
          </w:p>
        </w:tc>
        <w:tc>
          <w:tcPr>
            <w:tcW w:w="3937" w:type="dxa"/>
            <w:vAlign w:val="center"/>
          </w:tcPr>
          <w:p w14:paraId="6055667F">
            <w:pPr>
              <w:jc w:val="center"/>
              <w:rPr>
                <w:rFonts w:ascii="Times New Roman" w:hAnsi="Times New Roman" w:eastAsia="宋体" w:cs="Times New Roman"/>
                <w:color w:val="auto"/>
                <w:sz w:val="22"/>
              </w:rPr>
            </w:pPr>
            <w:r>
              <w:rPr>
                <w:rFonts w:ascii="Times New Roman" w:hAnsi="Times New Roman" w:eastAsia="宋体" w:cs="Times New Roman"/>
                <w:color w:val="auto"/>
                <w:sz w:val="22"/>
              </w:rPr>
              <w:t>日最大8h平均第90百分位数</w:t>
            </w:r>
          </w:p>
        </w:tc>
        <w:tc>
          <w:tcPr>
            <w:tcW w:w="1546" w:type="dxa"/>
            <w:vAlign w:val="center"/>
          </w:tcPr>
          <w:p w14:paraId="4749EE67">
            <w:pPr>
              <w:jc w:val="center"/>
              <w:rPr>
                <w:rFonts w:ascii="Times New Roman" w:hAnsi="Times New Roman" w:eastAsia="宋体" w:cs="Times New Roman"/>
                <w:color w:val="auto"/>
                <w:sz w:val="22"/>
              </w:rPr>
            </w:pPr>
            <w:r>
              <w:rPr>
                <w:rFonts w:ascii="Times New Roman" w:hAnsi="Times New Roman" w:eastAsia="宋体" w:cs="Times New Roman"/>
                <w:color w:val="auto"/>
                <w:sz w:val="22"/>
              </w:rPr>
              <w:t>160</w:t>
            </w:r>
          </w:p>
        </w:tc>
        <w:tc>
          <w:tcPr>
            <w:tcW w:w="2346" w:type="dxa"/>
            <w:vAlign w:val="center"/>
          </w:tcPr>
          <w:p w14:paraId="7A4BBE34">
            <w:pPr>
              <w:jc w:val="center"/>
              <w:rPr>
                <w:rFonts w:ascii="Times New Roman" w:hAnsi="Times New Roman" w:eastAsia="宋体" w:cs="Times New Roman"/>
                <w:color w:val="auto"/>
                <w:sz w:val="22"/>
              </w:rPr>
            </w:pPr>
            <w:r>
              <w:rPr>
                <w:rFonts w:hint="eastAsia" w:ascii="Times New Roman" w:hAnsi="Times New Roman" w:eastAsia="宋体" w:cs="Times New Roman"/>
                <w:color w:val="auto"/>
                <w:sz w:val="22"/>
              </w:rPr>
              <w:t>136</w:t>
            </w:r>
          </w:p>
        </w:tc>
        <w:tc>
          <w:tcPr>
            <w:tcW w:w="1367" w:type="dxa"/>
            <w:vAlign w:val="center"/>
          </w:tcPr>
          <w:p w14:paraId="46CCDA75">
            <w:pPr>
              <w:widowControl/>
              <w:jc w:val="center"/>
              <w:textAlignment w:val="center"/>
              <w:rPr>
                <w:rFonts w:ascii="Times New Roman" w:hAnsi="Times New Roman" w:eastAsia="宋体" w:cs="Times New Roman"/>
                <w:color w:val="auto"/>
                <w:sz w:val="22"/>
              </w:rPr>
            </w:pPr>
            <w:r>
              <w:rPr>
                <w:rFonts w:ascii="Times New Roman" w:hAnsi="Times New Roman" w:cs="Times New Roman"/>
                <w:color w:val="auto"/>
                <w:sz w:val="22"/>
              </w:rPr>
              <w:t xml:space="preserve">85.00 </w:t>
            </w:r>
          </w:p>
        </w:tc>
        <w:tc>
          <w:tcPr>
            <w:tcW w:w="1674" w:type="dxa"/>
            <w:vAlign w:val="center"/>
          </w:tcPr>
          <w:p w14:paraId="3BE5A73A">
            <w:pPr>
              <w:jc w:val="center"/>
              <w:rPr>
                <w:rFonts w:ascii="Times New Roman" w:hAnsi="Times New Roman" w:eastAsia="宋体" w:cs="Times New Roman"/>
                <w:color w:val="auto"/>
                <w:sz w:val="22"/>
              </w:rPr>
            </w:pPr>
            <w:r>
              <w:rPr>
                <w:rFonts w:hint="eastAsia" w:ascii="Times New Roman" w:hAnsi="Times New Roman" w:eastAsia="宋体" w:cs="Times New Roman"/>
                <w:color w:val="auto"/>
                <w:sz w:val="22"/>
              </w:rPr>
              <w:t>0</w:t>
            </w:r>
          </w:p>
        </w:tc>
        <w:tc>
          <w:tcPr>
            <w:tcW w:w="1674" w:type="dxa"/>
            <w:vAlign w:val="center"/>
          </w:tcPr>
          <w:p w14:paraId="744D250C">
            <w:pPr>
              <w:jc w:val="center"/>
              <w:rPr>
                <w:rFonts w:ascii="Times New Roman" w:hAnsi="Times New Roman" w:eastAsia="宋体" w:cs="Times New Roman"/>
                <w:color w:val="auto"/>
                <w:sz w:val="22"/>
              </w:rPr>
            </w:pPr>
            <w:r>
              <w:rPr>
                <w:rFonts w:ascii="Times New Roman" w:hAnsi="Times New Roman" w:eastAsia="宋体" w:cs="Times New Roman"/>
                <w:color w:val="auto"/>
                <w:sz w:val="22"/>
              </w:rPr>
              <w:t>达标</w:t>
            </w:r>
          </w:p>
        </w:tc>
      </w:tr>
    </w:tbl>
    <w:p w14:paraId="0134D47F">
      <w:pPr>
        <w:spacing w:line="360" w:lineRule="auto"/>
        <w:ind w:firstLine="480" w:firstLineChars="200"/>
        <w:rPr>
          <w:rFonts w:ascii="Times New Roman" w:hAnsi="Times New Roman" w:eastAsia="宋体" w:cs="Times New Roman"/>
          <w:color w:val="auto"/>
          <w:sz w:val="24"/>
          <w:szCs w:val="24"/>
        </w:rPr>
      </w:pPr>
    </w:p>
    <w:p w14:paraId="62C8B366">
      <w:pPr>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由上表可知，津市市空气自动监测站20</w:t>
      </w:r>
      <w:r>
        <w:rPr>
          <w:rFonts w:hint="eastAsia" w:ascii="Times New Roman" w:hAnsi="Times New Roman" w:eastAsia="宋体" w:cs="Times New Roman"/>
          <w:color w:val="auto"/>
          <w:sz w:val="24"/>
          <w:szCs w:val="24"/>
        </w:rPr>
        <w:t>23</w:t>
      </w:r>
      <w:r>
        <w:rPr>
          <w:rFonts w:ascii="Times New Roman" w:hAnsi="Times New Roman" w:eastAsia="宋体" w:cs="Times New Roman"/>
          <w:color w:val="auto"/>
          <w:sz w:val="24"/>
          <w:szCs w:val="24"/>
        </w:rPr>
        <w:t>年SO</w:t>
      </w:r>
      <w:r>
        <w:rPr>
          <w:rFonts w:ascii="Times New Roman" w:hAnsi="Times New Roman" w:eastAsia="宋体" w:cs="Times New Roman"/>
          <w:color w:val="auto"/>
          <w:sz w:val="24"/>
          <w:szCs w:val="24"/>
          <w:vertAlign w:val="subscript"/>
        </w:rPr>
        <w:t>2</w:t>
      </w:r>
      <w:r>
        <w:rPr>
          <w:rFonts w:ascii="Times New Roman" w:hAnsi="Times New Roman" w:eastAsia="宋体" w:cs="Times New Roman"/>
          <w:color w:val="auto"/>
          <w:sz w:val="24"/>
          <w:szCs w:val="24"/>
        </w:rPr>
        <w:t>、NO</w:t>
      </w:r>
      <w:r>
        <w:rPr>
          <w:rFonts w:ascii="Times New Roman" w:hAnsi="Times New Roman" w:eastAsia="宋体" w:cs="Times New Roman"/>
          <w:color w:val="auto"/>
          <w:sz w:val="24"/>
          <w:szCs w:val="24"/>
          <w:vertAlign w:val="subscript"/>
        </w:rPr>
        <w:t>2</w:t>
      </w:r>
      <w:r>
        <w:rPr>
          <w:rFonts w:ascii="Times New Roman" w:hAnsi="Times New Roman" w:eastAsia="宋体" w:cs="Times New Roman"/>
          <w:color w:val="auto"/>
          <w:sz w:val="24"/>
          <w:szCs w:val="24"/>
        </w:rPr>
        <w:t>、PM</w:t>
      </w:r>
      <w:r>
        <w:rPr>
          <w:rFonts w:ascii="Times New Roman" w:hAnsi="Times New Roman" w:eastAsia="宋体" w:cs="Times New Roman"/>
          <w:color w:val="auto"/>
          <w:sz w:val="24"/>
          <w:szCs w:val="24"/>
          <w:vertAlign w:val="subscript"/>
        </w:rPr>
        <w:t>10</w:t>
      </w:r>
      <w:r>
        <w:rPr>
          <w:rFonts w:ascii="Times New Roman" w:hAnsi="Times New Roman" w:eastAsia="宋体" w:cs="Times New Roman"/>
          <w:color w:val="auto"/>
          <w:sz w:val="24"/>
          <w:szCs w:val="24"/>
        </w:rPr>
        <w:t>、P</w:t>
      </w:r>
      <w:r>
        <w:rPr>
          <w:rFonts w:hint="eastAsia" w:ascii="Times New Roman" w:hAnsi="Times New Roman" w:eastAsia="宋体" w:cs="Times New Roman"/>
          <w:color w:val="auto"/>
          <w:sz w:val="24"/>
          <w:szCs w:val="24"/>
          <w:lang w:eastAsia="zh-CN"/>
        </w:rPr>
        <w:t>m</w:t>
      </w:r>
      <w:r>
        <w:rPr>
          <w:rFonts w:hint="eastAsia" w:ascii="Times New Roman" w:hAnsi="Times New Roman" w:eastAsia="宋体" w:cs="Times New Roman"/>
          <w:color w:val="auto"/>
          <w:sz w:val="24"/>
          <w:szCs w:val="24"/>
          <w:vertAlign w:val="subscript"/>
          <w:lang w:eastAsia="zh-CN"/>
        </w:rPr>
        <w:t>2</w:t>
      </w:r>
      <w:r>
        <w:rPr>
          <w:rFonts w:ascii="Times New Roman" w:hAnsi="Times New Roman" w:eastAsia="宋体" w:cs="Times New Roman"/>
          <w:color w:val="auto"/>
          <w:sz w:val="24"/>
          <w:szCs w:val="24"/>
          <w:vertAlign w:val="subscript"/>
        </w:rPr>
        <w:t>.5</w:t>
      </w:r>
      <w:r>
        <w:rPr>
          <w:rFonts w:ascii="Times New Roman" w:hAnsi="Times New Roman" w:eastAsia="宋体" w:cs="Times New Roman"/>
          <w:color w:val="auto"/>
          <w:sz w:val="24"/>
          <w:szCs w:val="24"/>
        </w:rPr>
        <w:t>年均浓度分别为</w:t>
      </w:r>
      <w:r>
        <w:rPr>
          <w:rFonts w:hint="eastAsia" w:ascii="Times New Roman" w:hAnsi="Times New Roman" w:eastAsia="宋体" w:cs="Times New Roman"/>
          <w:color w:val="auto"/>
          <w:sz w:val="24"/>
          <w:szCs w:val="24"/>
        </w:rPr>
        <w:t>5</w:t>
      </w:r>
      <w:r>
        <w:rPr>
          <w:rFonts w:ascii="Times New Roman" w:hAnsi="Times New Roman" w:eastAsia="宋体" w:cs="Times New Roman"/>
          <w:color w:val="auto"/>
          <w:sz w:val="24"/>
          <w:szCs w:val="24"/>
        </w:rPr>
        <w:t>ug/</w:t>
      </w:r>
      <w:r>
        <w:rPr>
          <w:rFonts w:hint="eastAsia" w:ascii="Times New Roman" w:hAnsi="Times New Roman" w:eastAsia="宋体" w:cs="Times New Roman"/>
          <w:color w:val="auto"/>
          <w:sz w:val="24"/>
          <w:szCs w:val="24"/>
          <w:lang w:eastAsia="zh-CN"/>
        </w:rPr>
        <w:t>m</w:t>
      </w:r>
      <w:r>
        <w:rPr>
          <w:rFonts w:hint="eastAsia" w:ascii="Times New Roman" w:hAnsi="Times New Roman" w:eastAsia="宋体" w:cs="Times New Roman"/>
          <w:color w:val="auto"/>
          <w:sz w:val="24"/>
          <w:szCs w:val="24"/>
          <w:vertAlign w:val="superscript"/>
          <w:lang w:eastAsia="zh-CN"/>
        </w:rPr>
        <w:t>3</w:t>
      </w:r>
      <w:r>
        <w:rPr>
          <w:rFonts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rPr>
        <w:t>10</w:t>
      </w:r>
      <w:r>
        <w:rPr>
          <w:rFonts w:ascii="Times New Roman" w:hAnsi="Times New Roman" w:eastAsia="宋体" w:cs="Times New Roman"/>
          <w:color w:val="auto"/>
          <w:sz w:val="24"/>
          <w:szCs w:val="24"/>
        </w:rPr>
        <w:t>ug/</w:t>
      </w:r>
      <w:r>
        <w:rPr>
          <w:rFonts w:hint="eastAsia" w:ascii="Times New Roman" w:hAnsi="Times New Roman" w:eastAsia="宋体" w:cs="Times New Roman"/>
          <w:color w:val="auto"/>
          <w:sz w:val="24"/>
          <w:szCs w:val="24"/>
          <w:lang w:eastAsia="zh-CN"/>
        </w:rPr>
        <w:t>m</w:t>
      </w:r>
      <w:r>
        <w:rPr>
          <w:rFonts w:hint="eastAsia" w:ascii="Times New Roman" w:hAnsi="Times New Roman" w:eastAsia="宋体" w:cs="Times New Roman"/>
          <w:color w:val="auto"/>
          <w:sz w:val="24"/>
          <w:szCs w:val="24"/>
          <w:vertAlign w:val="superscript"/>
          <w:lang w:eastAsia="zh-CN"/>
        </w:rPr>
        <w:t>3</w:t>
      </w:r>
      <w:r>
        <w:rPr>
          <w:rFonts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rPr>
        <w:t>48</w:t>
      </w:r>
      <w:r>
        <w:rPr>
          <w:rFonts w:ascii="Times New Roman" w:hAnsi="Times New Roman" w:eastAsia="宋体" w:cs="Times New Roman"/>
          <w:color w:val="auto"/>
          <w:sz w:val="24"/>
          <w:szCs w:val="24"/>
        </w:rPr>
        <w:t>ug/</w:t>
      </w:r>
      <w:r>
        <w:rPr>
          <w:rFonts w:hint="eastAsia" w:ascii="Times New Roman" w:hAnsi="Times New Roman" w:eastAsia="宋体" w:cs="Times New Roman"/>
          <w:color w:val="auto"/>
          <w:sz w:val="24"/>
          <w:szCs w:val="24"/>
          <w:lang w:eastAsia="zh-CN"/>
        </w:rPr>
        <w:t>m</w:t>
      </w:r>
      <w:r>
        <w:rPr>
          <w:rFonts w:hint="eastAsia" w:ascii="Times New Roman" w:hAnsi="Times New Roman" w:eastAsia="宋体" w:cs="Times New Roman"/>
          <w:color w:val="auto"/>
          <w:sz w:val="24"/>
          <w:szCs w:val="24"/>
          <w:vertAlign w:val="superscript"/>
          <w:lang w:eastAsia="zh-CN"/>
        </w:rPr>
        <w:t>3</w:t>
      </w:r>
      <w:r>
        <w:rPr>
          <w:rFonts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rPr>
        <w:t>31</w:t>
      </w:r>
      <w:r>
        <w:rPr>
          <w:rFonts w:ascii="Times New Roman" w:hAnsi="Times New Roman" w:eastAsia="宋体" w:cs="Times New Roman"/>
          <w:color w:val="auto"/>
          <w:sz w:val="24"/>
          <w:szCs w:val="24"/>
        </w:rPr>
        <w:t>ug/</w:t>
      </w:r>
      <w:r>
        <w:rPr>
          <w:rFonts w:hint="eastAsia" w:ascii="Times New Roman" w:hAnsi="Times New Roman" w:eastAsia="宋体" w:cs="Times New Roman"/>
          <w:color w:val="auto"/>
          <w:sz w:val="24"/>
          <w:szCs w:val="24"/>
          <w:lang w:eastAsia="zh-CN"/>
        </w:rPr>
        <w:t>m</w:t>
      </w:r>
      <w:r>
        <w:rPr>
          <w:rFonts w:hint="eastAsia" w:ascii="Times New Roman" w:hAnsi="Times New Roman" w:eastAsia="宋体" w:cs="Times New Roman"/>
          <w:color w:val="auto"/>
          <w:sz w:val="24"/>
          <w:szCs w:val="24"/>
          <w:vertAlign w:val="superscript"/>
          <w:lang w:eastAsia="zh-CN"/>
        </w:rPr>
        <w:t>3</w:t>
      </w:r>
      <w:r>
        <w:rPr>
          <w:rFonts w:ascii="Times New Roman" w:hAnsi="Times New Roman" w:eastAsia="宋体" w:cs="Times New Roman"/>
          <w:color w:val="auto"/>
          <w:sz w:val="24"/>
          <w:szCs w:val="24"/>
        </w:rPr>
        <w:t>；CO 24小时平均第9</w:t>
      </w:r>
      <w:r>
        <w:rPr>
          <w:rFonts w:hint="eastAsia" w:ascii="Times New Roman" w:hAnsi="Times New Roman" w:eastAsia="宋体" w:cs="Times New Roman"/>
          <w:color w:val="auto"/>
          <w:sz w:val="24"/>
          <w:szCs w:val="24"/>
        </w:rPr>
        <w:t>5</w:t>
      </w:r>
      <w:r>
        <w:rPr>
          <w:rFonts w:ascii="Times New Roman" w:hAnsi="Times New Roman" w:eastAsia="宋体" w:cs="Times New Roman"/>
          <w:color w:val="auto"/>
          <w:sz w:val="24"/>
          <w:szCs w:val="24"/>
        </w:rPr>
        <w:t>百分位数为</w:t>
      </w:r>
      <w:r>
        <w:rPr>
          <w:rFonts w:hint="eastAsia" w:ascii="Times New Roman" w:hAnsi="Times New Roman" w:eastAsia="宋体" w:cs="Times New Roman"/>
          <w:color w:val="auto"/>
          <w:sz w:val="24"/>
          <w:szCs w:val="24"/>
        </w:rPr>
        <w:t>0.8</w:t>
      </w:r>
      <w:r>
        <w:rPr>
          <w:rFonts w:ascii="Times New Roman" w:hAnsi="Times New Roman" w:eastAsia="宋体" w:cs="Times New Roman"/>
          <w:color w:val="auto"/>
          <w:sz w:val="24"/>
          <w:szCs w:val="24"/>
        </w:rPr>
        <w:t>mg/</w:t>
      </w:r>
      <w:r>
        <w:rPr>
          <w:rFonts w:hint="eastAsia" w:ascii="Times New Roman" w:hAnsi="Times New Roman" w:eastAsia="宋体" w:cs="Times New Roman"/>
          <w:color w:val="auto"/>
          <w:sz w:val="24"/>
          <w:szCs w:val="24"/>
          <w:lang w:eastAsia="zh-CN"/>
        </w:rPr>
        <w:t>m</w:t>
      </w:r>
      <w:r>
        <w:rPr>
          <w:rFonts w:hint="eastAsia" w:ascii="Times New Roman" w:hAnsi="Times New Roman" w:eastAsia="宋体" w:cs="Times New Roman"/>
          <w:color w:val="auto"/>
          <w:sz w:val="24"/>
          <w:szCs w:val="24"/>
          <w:vertAlign w:val="superscript"/>
          <w:lang w:eastAsia="zh-CN"/>
        </w:rPr>
        <w:t>3</w:t>
      </w:r>
      <w:r>
        <w:rPr>
          <w:rFonts w:ascii="Times New Roman" w:hAnsi="Times New Roman" w:eastAsia="宋体" w:cs="Times New Roman"/>
          <w:color w:val="auto"/>
          <w:sz w:val="24"/>
          <w:szCs w:val="24"/>
        </w:rPr>
        <w:t>，O</w:t>
      </w:r>
      <w:r>
        <w:rPr>
          <w:rFonts w:ascii="Times New Roman" w:hAnsi="Times New Roman" w:eastAsia="宋体" w:cs="Times New Roman"/>
          <w:color w:val="auto"/>
          <w:sz w:val="24"/>
          <w:szCs w:val="24"/>
          <w:vertAlign w:val="subscript"/>
        </w:rPr>
        <w:t>3</w:t>
      </w:r>
      <w:r>
        <w:rPr>
          <w:rFonts w:ascii="Times New Roman" w:hAnsi="Times New Roman" w:eastAsia="宋体" w:cs="Times New Roman"/>
          <w:color w:val="auto"/>
          <w:sz w:val="24"/>
          <w:szCs w:val="24"/>
        </w:rPr>
        <w:t>日最大8小时平均第90百分位数为</w:t>
      </w:r>
      <w:r>
        <w:rPr>
          <w:rFonts w:hint="eastAsia" w:ascii="Times New Roman" w:hAnsi="Times New Roman" w:eastAsia="宋体" w:cs="Times New Roman"/>
          <w:color w:val="auto"/>
          <w:sz w:val="24"/>
          <w:szCs w:val="24"/>
        </w:rPr>
        <w:t>136</w:t>
      </w:r>
      <w:r>
        <w:rPr>
          <w:rFonts w:ascii="Times New Roman" w:hAnsi="Times New Roman" w:eastAsia="宋体" w:cs="Times New Roman"/>
          <w:color w:val="auto"/>
          <w:sz w:val="24"/>
          <w:szCs w:val="24"/>
        </w:rPr>
        <w:t>ug/</w:t>
      </w:r>
      <w:r>
        <w:rPr>
          <w:rFonts w:hint="eastAsia" w:ascii="Times New Roman" w:hAnsi="Times New Roman" w:eastAsia="宋体" w:cs="Times New Roman"/>
          <w:color w:val="auto"/>
          <w:sz w:val="24"/>
          <w:szCs w:val="24"/>
          <w:lang w:eastAsia="zh-CN"/>
        </w:rPr>
        <w:t>m</w:t>
      </w:r>
      <w:r>
        <w:rPr>
          <w:rFonts w:hint="eastAsia" w:ascii="Times New Roman" w:hAnsi="Times New Roman" w:eastAsia="宋体" w:cs="Times New Roman"/>
          <w:color w:val="auto"/>
          <w:sz w:val="24"/>
          <w:szCs w:val="24"/>
          <w:vertAlign w:val="superscript"/>
          <w:lang w:eastAsia="zh-CN"/>
        </w:rPr>
        <w:t>3</w:t>
      </w:r>
      <w:r>
        <w:rPr>
          <w:rFonts w:hint="eastAsia" w:ascii="Times New Roman" w:hAnsi="Times New Roman" w:eastAsia="宋体" w:cs="Times New Roman"/>
          <w:color w:val="auto"/>
          <w:sz w:val="24"/>
          <w:szCs w:val="24"/>
        </w:rPr>
        <w:t>，</w:t>
      </w:r>
      <w:r>
        <w:rPr>
          <w:rFonts w:ascii="Times New Roman" w:hAnsi="Times New Roman" w:eastAsia="宋体" w:cs="Times New Roman"/>
          <w:color w:val="auto"/>
          <w:sz w:val="24"/>
          <w:szCs w:val="24"/>
        </w:rPr>
        <w:t>P</w:t>
      </w:r>
      <w:r>
        <w:rPr>
          <w:rFonts w:hint="eastAsia" w:ascii="Times New Roman" w:hAnsi="Times New Roman" w:eastAsia="宋体" w:cs="Times New Roman"/>
          <w:color w:val="auto"/>
          <w:sz w:val="24"/>
          <w:szCs w:val="24"/>
          <w:lang w:eastAsia="zh-CN"/>
        </w:rPr>
        <w:t>m</w:t>
      </w:r>
      <w:r>
        <w:rPr>
          <w:rFonts w:hint="eastAsia" w:ascii="Times New Roman" w:hAnsi="Times New Roman" w:eastAsia="宋体" w:cs="Times New Roman"/>
          <w:color w:val="auto"/>
          <w:sz w:val="24"/>
          <w:szCs w:val="24"/>
          <w:vertAlign w:val="subscript"/>
          <w:lang w:eastAsia="zh-CN"/>
        </w:rPr>
        <w:t>2</w:t>
      </w:r>
      <w:r>
        <w:rPr>
          <w:rFonts w:ascii="Times New Roman" w:hAnsi="Times New Roman" w:eastAsia="宋体" w:cs="Times New Roman"/>
          <w:color w:val="auto"/>
          <w:sz w:val="24"/>
          <w:szCs w:val="24"/>
          <w:vertAlign w:val="subscript"/>
        </w:rPr>
        <w:t>.5</w:t>
      </w:r>
      <w:r>
        <w:rPr>
          <w:rFonts w:hint="eastAsia" w:ascii="Times New Roman" w:hAnsi="Times New Roman" w:eastAsia="宋体" w:cs="Times New Roman"/>
          <w:color w:val="auto"/>
          <w:sz w:val="24"/>
          <w:szCs w:val="24"/>
        </w:rPr>
        <w:t xml:space="preserve"> 24h平均第95百分位数</w:t>
      </w:r>
      <w:r>
        <w:rPr>
          <w:rFonts w:ascii="Times New Roman" w:hAnsi="Times New Roman" w:eastAsia="宋体" w:cs="Times New Roman"/>
          <w:color w:val="auto"/>
          <w:sz w:val="24"/>
          <w:szCs w:val="24"/>
        </w:rPr>
        <w:t>为</w:t>
      </w:r>
      <w:r>
        <w:rPr>
          <w:rFonts w:hint="eastAsia" w:ascii="Times New Roman" w:hAnsi="Times New Roman" w:eastAsia="宋体" w:cs="Times New Roman"/>
          <w:color w:val="auto"/>
          <w:sz w:val="24"/>
          <w:szCs w:val="24"/>
        </w:rPr>
        <w:t>89</w:t>
      </w:r>
      <w:r>
        <w:rPr>
          <w:rFonts w:ascii="Times New Roman" w:hAnsi="Times New Roman" w:eastAsia="宋体" w:cs="Times New Roman"/>
          <w:color w:val="auto"/>
          <w:sz w:val="24"/>
          <w:szCs w:val="24"/>
        </w:rPr>
        <w:t>ug/</w:t>
      </w:r>
      <w:r>
        <w:rPr>
          <w:rFonts w:hint="eastAsia" w:ascii="Times New Roman" w:hAnsi="Times New Roman" w:eastAsia="宋体" w:cs="Times New Roman"/>
          <w:color w:val="auto"/>
          <w:sz w:val="24"/>
          <w:szCs w:val="24"/>
          <w:lang w:eastAsia="zh-CN"/>
        </w:rPr>
        <w:t>m</w:t>
      </w:r>
      <w:r>
        <w:rPr>
          <w:rFonts w:hint="eastAsia" w:ascii="Times New Roman" w:hAnsi="Times New Roman" w:eastAsia="宋体" w:cs="Times New Roman"/>
          <w:color w:val="auto"/>
          <w:sz w:val="24"/>
          <w:szCs w:val="24"/>
          <w:vertAlign w:val="superscript"/>
          <w:lang w:eastAsia="zh-CN"/>
        </w:rPr>
        <w:t>3</w:t>
      </w:r>
      <w:r>
        <w:rPr>
          <w:rFonts w:hint="eastAsia" w:ascii="Times New Roman" w:hAnsi="Times New Roman" w:eastAsia="宋体" w:cs="Times New Roman"/>
          <w:color w:val="auto"/>
          <w:sz w:val="24"/>
          <w:szCs w:val="24"/>
        </w:rPr>
        <w:t>，</w:t>
      </w:r>
      <w:r>
        <w:rPr>
          <w:rFonts w:ascii="Times New Roman" w:hAnsi="Times New Roman" w:eastAsia="宋体" w:cs="Times New Roman"/>
          <w:color w:val="auto"/>
          <w:sz w:val="24"/>
          <w:szCs w:val="24"/>
        </w:rPr>
        <w:t>PM</w:t>
      </w:r>
      <w:r>
        <w:rPr>
          <w:rFonts w:hint="eastAsia" w:ascii="Times New Roman" w:hAnsi="Times New Roman" w:eastAsia="宋体" w:cs="Times New Roman"/>
          <w:color w:val="auto"/>
          <w:sz w:val="24"/>
          <w:szCs w:val="24"/>
          <w:vertAlign w:val="subscript"/>
        </w:rPr>
        <w:t xml:space="preserve">10 </w:t>
      </w:r>
      <w:r>
        <w:rPr>
          <w:rFonts w:hint="eastAsia" w:ascii="Times New Roman" w:hAnsi="Times New Roman" w:eastAsia="宋体" w:cs="Times New Roman"/>
          <w:color w:val="auto"/>
          <w:sz w:val="24"/>
          <w:szCs w:val="24"/>
        </w:rPr>
        <w:t>24h平均第95百分位数</w:t>
      </w:r>
      <w:r>
        <w:rPr>
          <w:rFonts w:ascii="Times New Roman" w:hAnsi="Times New Roman" w:eastAsia="宋体" w:cs="Times New Roman"/>
          <w:color w:val="auto"/>
          <w:sz w:val="24"/>
          <w:szCs w:val="24"/>
        </w:rPr>
        <w:t>为11</w:t>
      </w:r>
      <w:r>
        <w:rPr>
          <w:rFonts w:hint="eastAsia" w:ascii="Times New Roman" w:hAnsi="Times New Roman" w:eastAsia="宋体" w:cs="Times New Roman"/>
          <w:color w:val="auto"/>
          <w:sz w:val="24"/>
          <w:szCs w:val="24"/>
        </w:rPr>
        <w:t>9</w:t>
      </w:r>
      <w:r>
        <w:rPr>
          <w:rFonts w:ascii="Times New Roman" w:hAnsi="Times New Roman" w:eastAsia="宋体" w:cs="Times New Roman"/>
          <w:color w:val="auto"/>
          <w:sz w:val="24"/>
          <w:szCs w:val="24"/>
        </w:rPr>
        <w:t>ug/</w:t>
      </w:r>
      <w:r>
        <w:rPr>
          <w:rFonts w:hint="eastAsia" w:ascii="Times New Roman" w:hAnsi="Times New Roman" w:eastAsia="宋体" w:cs="Times New Roman"/>
          <w:color w:val="auto"/>
          <w:sz w:val="24"/>
          <w:szCs w:val="24"/>
          <w:lang w:eastAsia="zh-CN"/>
        </w:rPr>
        <w:t>m</w:t>
      </w:r>
      <w:r>
        <w:rPr>
          <w:rFonts w:hint="eastAsia" w:ascii="Times New Roman" w:hAnsi="Times New Roman" w:eastAsia="宋体" w:cs="Times New Roman"/>
          <w:color w:val="auto"/>
          <w:sz w:val="24"/>
          <w:szCs w:val="24"/>
          <w:vertAlign w:val="superscript"/>
          <w:lang w:eastAsia="zh-CN"/>
        </w:rPr>
        <w:t>3</w:t>
      </w:r>
      <w:r>
        <w:rPr>
          <w:rFonts w:hint="eastAsia" w:ascii="Times New Roman" w:hAnsi="Times New Roman" w:eastAsia="宋体" w:cs="Times New Roman"/>
          <w:color w:val="auto"/>
          <w:sz w:val="24"/>
          <w:szCs w:val="24"/>
        </w:rPr>
        <w:t>，除</w:t>
      </w:r>
      <w:r>
        <w:rPr>
          <w:rFonts w:ascii="Times New Roman" w:hAnsi="Times New Roman" w:eastAsia="宋体" w:cs="Times New Roman"/>
          <w:color w:val="auto"/>
          <w:sz w:val="24"/>
          <w:szCs w:val="24"/>
        </w:rPr>
        <w:t>P</w:t>
      </w:r>
      <w:r>
        <w:rPr>
          <w:rFonts w:hint="eastAsia" w:ascii="Times New Roman" w:hAnsi="Times New Roman" w:eastAsia="宋体" w:cs="Times New Roman"/>
          <w:color w:val="auto"/>
          <w:sz w:val="24"/>
          <w:szCs w:val="24"/>
          <w:lang w:eastAsia="zh-CN"/>
        </w:rPr>
        <w:t>m</w:t>
      </w:r>
      <w:r>
        <w:rPr>
          <w:rFonts w:hint="eastAsia" w:ascii="Times New Roman" w:hAnsi="Times New Roman" w:eastAsia="宋体" w:cs="Times New Roman"/>
          <w:color w:val="auto"/>
          <w:sz w:val="24"/>
          <w:szCs w:val="24"/>
          <w:vertAlign w:val="subscript"/>
          <w:lang w:eastAsia="zh-CN"/>
        </w:rPr>
        <w:t>2</w:t>
      </w:r>
      <w:r>
        <w:rPr>
          <w:rFonts w:ascii="Times New Roman" w:hAnsi="Times New Roman" w:eastAsia="宋体" w:cs="Times New Roman"/>
          <w:color w:val="auto"/>
          <w:sz w:val="24"/>
          <w:szCs w:val="24"/>
          <w:vertAlign w:val="subscript"/>
        </w:rPr>
        <w:t xml:space="preserve">.5 </w:t>
      </w:r>
      <w:r>
        <w:rPr>
          <w:rFonts w:ascii="Times New Roman" w:hAnsi="Times New Roman" w:eastAsia="宋体" w:cs="Times New Roman"/>
          <w:color w:val="auto"/>
          <w:sz w:val="24"/>
          <w:szCs w:val="24"/>
        </w:rPr>
        <w:t>24h平均第95百分位数</w:t>
      </w:r>
      <w:r>
        <w:rPr>
          <w:rFonts w:hint="eastAsia" w:ascii="Times New Roman" w:hAnsi="Times New Roman" w:eastAsia="宋体" w:cs="Times New Roman"/>
          <w:color w:val="auto"/>
          <w:sz w:val="24"/>
          <w:szCs w:val="24"/>
        </w:rPr>
        <w:t>超标外，其余因子均满足</w:t>
      </w:r>
      <w:r>
        <w:rPr>
          <w:rFonts w:ascii="Times New Roman" w:hAnsi="Times New Roman" w:eastAsia="宋体" w:cs="Times New Roman"/>
          <w:color w:val="auto"/>
          <w:sz w:val="24"/>
          <w:szCs w:val="24"/>
        </w:rPr>
        <w:t>《环境空气质量标准》（GB3095-2012）中二级标准限值。</w:t>
      </w:r>
    </w:p>
    <w:p w14:paraId="3CD801EB">
      <w:pPr>
        <w:spacing w:line="360" w:lineRule="auto"/>
        <w:ind w:firstLine="480" w:firstLineChars="200"/>
        <w:rPr>
          <w:rFonts w:ascii="Times New Roman" w:hAnsi="Times New Roman" w:eastAsia="宋体" w:cs="Times New Roman"/>
          <w:color w:val="auto"/>
          <w:sz w:val="24"/>
          <w:szCs w:val="24"/>
        </w:rPr>
        <w:sectPr>
          <w:pgSz w:w="16838" w:h="11906" w:orient="landscape"/>
          <w:pgMar w:top="1800" w:right="1440" w:bottom="1800" w:left="1440" w:header="851" w:footer="992" w:gutter="0"/>
          <w:cols w:space="720" w:num="1"/>
          <w:docGrid w:type="lines" w:linePitch="312" w:charSpace="0"/>
        </w:sectPr>
      </w:pPr>
      <w:r>
        <w:rPr>
          <w:rFonts w:ascii="Times New Roman" w:hAnsi="Times New Roman" w:eastAsia="宋体" w:cs="Times New Roman"/>
          <w:color w:val="auto"/>
          <w:sz w:val="24"/>
          <w:szCs w:val="24"/>
        </w:rPr>
        <w:t>综上，项目所在区域为</w:t>
      </w:r>
      <w:r>
        <w:rPr>
          <w:rFonts w:hint="eastAsia" w:ascii="Times New Roman" w:hAnsi="Times New Roman" w:eastAsia="宋体" w:cs="Times New Roman"/>
          <w:color w:val="auto"/>
          <w:sz w:val="24"/>
          <w:szCs w:val="24"/>
        </w:rPr>
        <w:t>环境空气质量不</w:t>
      </w:r>
      <w:r>
        <w:rPr>
          <w:rFonts w:ascii="Times New Roman" w:hAnsi="Times New Roman" w:eastAsia="宋体" w:cs="Times New Roman"/>
          <w:color w:val="auto"/>
          <w:sz w:val="24"/>
          <w:szCs w:val="24"/>
        </w:rPr>
        <w:t>达标区。</w:t>
      </w:r>
    </w:p>
    <w:p w14:paraId="6B37876D">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根据《中华人民共和国大气污染防治法》第十四条“未达到国家大气环境质量标准城市的人民政府应当及时编制大气环境质量限期达标规划，采取措施，按照国务院或者省级人民政府规定的期限达到大气环境质量标准。</w:t>
      </w:r>
    </w:p>
    <w:p w14:paraId="4C535CD4">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目前湖南省及常德市陆续出台《湖南省污染防治攻坚战三年行动计划(2018-2020年)》、《湖南省“蓝天保卫战”实施方案(2018-2020年)》、《常德市污染防治攻坚战三年行动计划(2018-2020年)》等技术文件，通过调整产业结构调整、推进“散乱污”企业政治、优化能源结构调整、加快清洁能源替代利用、推动交通结构调整、加快绿色交通体系建设、加大污染治理力度等措施，津市市环境空气质量逐年得到改善。</w:t>
      </w:r>
    </w:p>
    <w:p w14:paraId="351D1126">
      <w:pPr>
        <w:spacing w:line="360" w:lineRule="auto"/>
        <w:ind w:firstLine="480" w:firstLineChars="200"/>
        <w:rPr>
          <w:rFonts w:ascii="Times New Roman" w:hAnsi="Times New Roman" w:eastAsia="宋体" w:cs="Times New Roman"/>
          <w:color w:val="FF0000"/>
          <w:sz w:val="24"/>
          <w:szCs w:val="24"/>
        </w:rPr>
      </w:pPr>
      <w:r>
        <w:rPr>
          <w:rFonts w:hint="eastAsia" w:ascii="Times New Roman" w:hAnsi="Times New Roman" w:eastAsia="宋体" w:cs="Times New Roman"/>
          <w:color w:val="auto"/>
          <w:sz w:val="24"/>
          <w:szCs w:val="24"/>
        </w:rPr>
        <w:t>根据《常德市大气环境质量限期达标规划（2020-2027）》，常德市实施分阶段规划达标时限、目标。2020年为近期规划年，要求多污染协同减排成效显著，空气质量实现全面达标；2027年为远期规划年，要求空气质量全面稳定达标。根据现状，津市市2023年环境质量指标P</w:t>
      </w:r>
      <w:r>
        <w:rPr>
          <w:rFonts w:hint="eastAsia" w:ascii="Times New Roman" w:hAnsi="Times New Roman" w:eastAsia="宋体" w:cs="Times New Roman"/>
          <w:color w:val="auto"/>
          <w:sz w:val="24"/>
          <w:szCs w:val="24"/>
          <w:lang w:eastAsia="zh-CN"/>
        </w:rPr>
        <w:t>m</w:t>
      </w:r>
      <w:r>
        <w:rPr>
          <w:rFonts w:hint="eastAsia" w:ascii="Times New Roman" w:hAnsi="Times New Roman" w:eastAsia="宋体" w:cs="Times New Roman"/>
          <w:color w:val="auto"/>
          <w:sz w:val="24"/>
          <w:szCs w:val="24"/>
          <w:vertAlign w:val="subscript"/>
          <w:lang w:eastAsia="zh-CN"/>
        </w:rPr>
        <w:t>2</w:t>
      </w:r>
      <w:r>
        <w:rPr>
          <w:rFonts w:hint="eastAsia" w:ascii="Times New Roman" w:hAnsi="Times New Roman" w:eastAsia="宋体" w:cs="Times New Roman"/>
          <w:color w:val="auto"/>
          <w:sz w:val="24"/>
          <w:szCs w:val="24"/>
          <w:vertAlign w:val="subscript"/>
        </w:rPr>
        <w:t>.5</w:t>
      </w:r>
      <w:r>
        <w:rPr>
          <w:rFonts w:hint="eastAsia" w:ascii="Times New Roman" w:hAnsi="Times New Roman" w:eastAsia="宋体" w:cs="Times New Roman"/>
          <w:color w:val="auto"/>
          <w:sz w:val="24"/>
          <w:szCs w:val="24"/>
        </w:rPr>
        <w:t>年均值（</w:t>
      </w:r>
      <w:r>
        <w:rPr>
          <w:rFonts w:ascii="Times New Roman" w:hAnsi="Times New Roman" w:eastAsia="宋体" w:cs="Times New Roman"/>
          <w:color w:val="auto"/>
          <w:sz w:val="24"/>
          <w:szCs w:val="24"/>
        </w:rPr>
        <w:t>3</w:t>
      </w:r>
      <w:r>
        <w:rPr>
          <w:rFonts w:hint="eastAsia" w:ascii="Times New Roman" w:hAnsi="Times New Roman" w:eastAsia="宋体" w:cs="Times New Roman"/>
          <w:color w:val="auto"/>
          <w:sz w:val="24"/>
          <w:szCs w:val="24"/>
        </w:rPr>
        <w:t>1ug/</w:t>
      </w:r>
      <w:r>
        <w:rPr>
          <w:rFonts w:hint="eastAsia" w:ascii="Times New Roman" w:hAnsi="Times New Roman" w:eastAsia="宋体" w:cs="Times New Roman"/>
          <w:color w:val="auto"/>
          <w:sz w:val="24"/>
          <w:szCs w:val="24"/>
          <w:lang w:eastAsia="zh-CN"/>
        </w:rPr>
        <w:t>m</w:t>
      </w:r>
      <w:r>
        <w:rPr>
          <w:rFonts w:hint="eastAsia" w:ascii="Times New Roman" w:hAnsi="Times New Roman" w:eastAsia="宋体" w:cs="Times New Roman"/>
          <w:color w:val="auto"/>
          <w:sz w:val="24"/>
          <w:szCs w:val="24"/>
          <w:vertAlign w:val="superscript"/>
          <w:lang w:eastAsia="zh-CN"/>
        </w:rPr>
        <w:t>3</w:t>
      </w:r>
      <w:r>
        <w:rPr>
          <w:rFonts w:hint="eastAsia" w:ascii="Times New Roman" w:hAnsi="Times New Roman" w:eastAsia="宋体" w:cs="Times New Roman"/>
          <w:color w:val="auto"/>
          <w:sz w:val="24"/>
          <w:szCs w:val="24"/>
        </w:rPr>
        <w:t>）远低于近期规划目标值（44ug/</w:t>
      </w:r>
      <w:r>
        <w:rPr>
          <w:rFonts w:hint="eastAsia" w:ascii="Times New Roman" w:hAnsi="Times New Roman" w:eastAsia="宋体" w:cs="Times New Roman"/>
          <w:color w:val="auto"/>
          <w:sz w:val="24"/>
          <w:szCs w:val="24"/>
          <w:lang w:eastAsia="zh-CN"/>
        </w:rPr>
        <w:t>m</w:t>
      </w:r>
      <w:r>
        <w:rPr>
          <w:rFonts w:hint="eastAsia" w:ascii="Times New Roman" w:hAnsi="Times New Roman" w:eastAsia="宋体" w:cs="Times New Roman"/>
          <w:color w:val="auto"/>
          <w:sz w:val="24"/>
          <w:szCs w:val="24"/>
          <w:vertAlign w:val="superscript"/>
          <w:lang w:eastAsia="zh-CN"/>
        </w:rPr>
        <w:t>3</w:t>
      </w:r>
      <w:r>
        <w:rPr>
          <w:rFonts w:hint="eastAsia" w:ascii="Times New Roman" w:hAnsi="Times New Roman" w:eastAsia="宋体" w:cs="Times New Roman"/>
          <w:color w:val="auto"/>
          <w:sz w:val="24"/>
          <w:szCs w:val="24"/>
        </w:rPr>
        <w:t>），满足常德市大气环境质量限期达标规划要求。</w:t>
      </w:r>
    </w:p>
    <w:p w14:paraId="3727BA5E">
      <w:pPr>
        <w:keepNext/>
        <w:keepLines/>
        <w:spacing w:before="156" w:beforeLines="50" w:after="156" w:afterLines="50" w:line="360" w:lineRule="auto"/>
        <w:outlineLvl w:val="2"/>
        <w:rPr>
          <w:rFonts w:ascii="Times New Roman" w:hAnsi="Times New Roman" w:eastAsia="宋体" w:cs="Times New Roman"/>
          <w:b/>
          <w:color w:val="auto"/>
          <w:kern w:val="0"/>
          <w:sz w:val="24"/>
          <w:szCs w:val="24"/>
        </w:rPr>
      </w:pPr>
      <w:r>
        <w:rPr>
          <w:rFonts w:ascii="Times New Roman" w:hAnsi="Times New Roman" w:eastAsia="宋体" w:cs="Times New Roman"/>
          <w:b/>
          <w:color w:val="auto"/>
          <w:kern w:val="0"/>
          <w:sz w:val="24"/>
          <w:szCs w:val="24"/>
        </w:rPr>
        <w:t>5.</w:t>
      </w:r>
      <w:r>
        <w:rPr>
          <w:rFonts w:hint="eastAsia" w:ascii="Times New Roman" w:hAnsi="Times New Roman" w:eastAsia="宋体" w:cs="Times New Roman"/>
          <w:b/>
          <w:color w:val="auto"/>
          <w:kern w:val="0"/>
          <w:sz w:val="24"/>
          <w:szCs w:val="24"/>
        </w:rPr>
        <w:t>4</w:t>
      </w:r>
      <w:r>
        <w:rPr>
          <w:rFonts w:ascii="Times New Roman" w:hAnsi="Times New Roman" w:eastAsia="宋体" w:cs="Times New Roman"/>
          <w:b/>
          <w:color w:val="auto"/>
          <w:kern w:val="0"/>
          <w:sz w:val="24"/>
          <w:szCs w:val="24"/>
        </w:rPr>
        <w:t>.1.</w:t>
      </w:r>
      <w:r>
        <w:rPr>
          <w:rFonts w:hint="eastAsia" w:ascii="Times New Roman" w:hAnsi="Times New Roman" w:eastAsia="宋体" w:cs="Times New Roman"/>
          <w:b/>
          <w:color w:val="auto"/>
          <w:kern w:val="0"/>
          <w:sz w:val="24"/>
          <w:szCs w:val="24"/>
        </w:rPr>
        <w:t>2</w:t>
      </w:r>
      <w:r>
        <w:rPr>
          <w:rFonts w:ascii="Times New Roman" w:hAnsi="Times New Roman" w:eastAsia="宋体" w:cs="Times New Roman"/>
          <w:b/>
          <w:color w:val="auto"/>
          <w:kern w:val="0"/>
          <w:sz w:val="24"/>
          <w:szCs w:val="24"/>
        </w:rPr>
        <w:t>补充监测</w:t>
      </w:r>
    </w:p>
    <w:p w14:paraId="0A2580A4">
      <w:pPr>
        <w:spacing w:line="360" w:lineRule="auto"/>
        <w:ind w:firstLine="361" w:firstLineChars="150"/>
        <w:jc w:val="left"/>
        <w:rPr>
          <w:rFonts w:hint="eastAsia" w:cs="Times New Roman" w:asciiTheme="minorEastAsia" w:hAnsiTheme="minorEastAsia"/>
          <w:b/>
          <w:bCs/>
          <w:color w:val="auto"/>
          <w:sz w:val="24"/>
          <w:szCs w:val="28"/>
        </w:rPr>
      </w:pPr>
      <w:r>
        <w:rPr>
          <w:rFonts w:hint="eastAsia" w:cs="Times New Roman" w:asciiTheme="minorEastAsia" w:hAnsiTheme="minorEastAsia"/>
          <w:b/>
          <w:bCs/>
          <w:color w:val="auto"/>
          <w:sz w:val="24"/>
          <w:szCs w:val="28"/>
        </w:rPr>
        <w:t>引用监测情况：</w:t>
      </w:r>
    </w:p>
    <w:p w14:paraId="67A58599">
      <w:pPr>
        <w:spacing w:line="360" w:lineRule="auto"/>
        <w:ind w:firstLine="360" w:firstLineChars="150"/>
        <w:jc w:val="left"/>
        <w:rPr>
          <w:rFonts w:ascii="Times New Roman" w:hAnsi="Times New Roman" w:cs="Times New Roman"/>
          <w:color w:val="auto"/>
          <w:sz w:val="24"/>
          <w:szCs w:val="28"/>
        </w:rPr>
      </w:pPr>
      <w:r>
        <w:rPr>
          <w:rFonts w:ascii="Times New Roman" w:hAnsi="Times New Roman" w:cs="Times New Roman"/>
          <w:color w:val="auto"/>
          <w:sz w:val="24"/>
          <w:szCs w:val="28"/>
        </w:rPr>
        <w:t>本项目营运期排放的特征污染物为氨气、硫化氢、臭气浓度、非甲烷总烃、</w:t>
      </w:r>
      <w:r>
        <w:rPr>
          <w:rFonts w:hint="eastAsia" w:ascii="Times New Roman" w:hAnsi="Times New Roman" w:cs="Times New Roman"/>
          <w:color w:val="auto"/>
          <w:sz w:val="24"/>
          <w:szCs w:val="28"/>
          <w:lang w:val="en-US" w:eastAsia="zh-CN"/>
        </w:rPr>
        <w:t>TSP</w:t>
      </w:r>
      <w:r>
        <w:rPr>
          <w:rFonts w:ascii="Times New Roman" w:hAnsi="Times New Roman" w:cs="Times New Roman"/>
          <w:color w:val="auto"/>
          <w:sz w:val="24"/>
          <w:szCs w:val="28"/>
        </w:rPr>
        <w:t>，本环评引用监测数据情况如下：</w:t>
      </w:r>
    </w:p>
    <w:p w14:paraId="6EF7F9FA">
      <w:pPr>
        <w:numPr>
          <w:ilvl w:val="0"/>
          <w:numId w:val="0"/>
        </w:numPr>
        <w:spacing w:line="360" w:lineRule="auto"/>
        <w:ind w:firstLine="480" w:firstLineChars="200"/>
        <w:jc w:val="left"/>
        <w:rPr>
          <w:rFonts w:ascii="Times New Roman" w:hAnsi="Times New Roman" w:cs="Times New Roman"/>
          <w:color w:val="auto"/>
          <w:sz w:val="24"/>
          <w:szCs w:val="28"/>
        </w:rPr>
      </w:pPr>
      <w:r>
        <w:rPr>
          <w:rFonts w:ascii="Times New Roman" w:hAnsi="Times New Roman" w:cs="Times New Roman" w:eastAsiaTheme="minorEastAsia"/>
          <w:color w:val="auto"/>
          <w:kern w:val="2"/>
          <w:sz w:val="24"/>
          <w:szCs w:val="28"/>
          <w:lang w:val="en-US" w:eastAsia="zh-CN" w:bidi="ar-SA"/>
        </w:rPr>
        <w:t>（1）</w:t>
      </w:r>
      <w:r>
        <w:rPr>
          <w:rFonts w:ascii="Times New Roman" w:hAnsi="Times New Roman" w:cs="Times New Roman"/>
          <w:color w:val="auto"/>
          <w:sz w:val="24"/>
          <w:szCs w:val="28"/>
        </w:rPr>
        <w:t>针对本项目运营期产生的硫化氢、</w:t>
      </w:r>
      <w:r>
        <w:rPr>
          <w:rFonts w:hint="eastAsia" w:ascii="Times New Roman" w:hAnsi="Times New Roman" w:cs="Times New Roman"/>
          <w:color w:val="auto"/>
          <w:sz w:val="24"/>
          <w:szCs w:val="28"/>
          <w:lang w:val="en-US" w:eastAsia="zh-CN"/>
        </w:rPr>
        <w:t>氨气、</w:t>
      </w:r>
      <w:r>
        <w:rPr>
          <w:rFonts w:ascii="Times New Roman" w:hAnsi="Times New Roman" w:cs="Times New Roman"/>
          <w:color w:val="auto"/>
          <w:sz w:val="24"/>
          <w:szCs w:val="28"/>
        </w:rPr>
        <w:t>臭气浓度</w:t>
      </w:r>
      <w:r>
        <w:rPr>
          <w:rFonts w:hint="eastAsia" w:ascii="Times New Roman" w:hAnsi="Times New Roman" w:cs="Times New Roman"/>
          <w:color w:val="auto"/>
          <w:sz w:val="24"/>
          <w:szCs w:val="28"/>
          <w:lang w:eastAsia="zh-CN"/>
        </w:rPr>
        <w:t>、</w:t>
      </w:r>
      <w:r>
        <w:rPr>
          <w:rFonts w:ascii="Times New Roman" w:hAnsi="Times New Roman" w:cs="Times New Roman"/>
          <w:color w:val="auto"/>
          <w:sz w:val="24"/>
          <w:szCs w:val="28"/>
        </w:rPr>
        <w:t>非甲烷总烃</w:t>
      </w:r>
      <w:r>
        <w:rPr>
          <w:rFonts w:hint="eastAsia" w:ascii="Times New Roman" w:hAnsi="Times New Roman" w:cs="Times New Roman"/>
          <w:color w:val="auto"/>
          <w:sz w:val="24"/>
          <w:szCs w:val="28"/>
          <w:lang w:eastAsia="zh-CN"/>
        </w:rPr>
        <w:t>、</w:t>
      </w:r>
      <w:r>
        <w:rPr>
          <w:rFonts w:hint="eastAsia" w:ascii="Times New Roman" w:hAnsi="Times New Roman" w:cs="Times New Roman"/>
          <w:color w:val="auto"/>
          <w:sz w:val="24"/>
          <w:szCs w:val="28"/>
          <w:lang w:val="en-US" w:eastAsia="zh-CN"/>
        </w:rPr>
        <w:t>TSP</w:t>
      </w:r>
      <w:r>
        <w:rPr>
          <w:rFonts w:ascii="Times New Roman" w:hAnsi="Times New Roman" w:cs="Times New Roman"/>
          <w:color w:val="auto"/>
          <w:sz w:val="24"/>
          <w:szCs w:val="28"/>
        </w:rPr>
        <w:t>等一类区环境质量现状情况，引用《湖南利尔生物科技有限公司生物发酵技术产业建设项目环境影响报告书》中委托湖南中测湘源检测有限公司于2022年2月25日~2022年3月3日和2022年3月8日~14日对项目所在地西南侧</w:t>
      </w:r>
      <w:r>
        <w:rPr>
          <w:rFonts w:hint="eastAsia" w:ascii="Times New Roman" w:hAnsi="Times New Roman" w:cs="Times New Roman"/>
          <w:color w:val="auto"/>
          <w:sz w:val="24"/>
          <w:szCs w:val="28"/>
          <w:lang w:val="en-US" w:eastAsia="zh-CN"/>
        </w:rPr>
        <w:t>2700</w:t>
      </w:r>
      <w:r>
        <w:rPr>
          <w:rFonts w:ascii="Times New Roman" w:hAnsi="Times New Roman" w:cs="Times New Roman"/>
          <w:color w:val="auto"/>
          <w:sz w:val="24"/>
          <w:szCs w:val="28"/>
        </w:rPr>
        <w:t>m的牛家老屋一类区环境质量现状监测数据；</w:t>
      </w:r>
    </w:p>
    <w:p w14:paraId="7F11149A">
      <w:pPr>
        <w:numPr>
          <w:ilvl w:val="0"/>
          <w:numId w:val="0"/>
        </w:numPr>
        <w:spacing w:line="360" w:lineRule="auto"/>
        <w:ind w:firstLine="480" w:firstLineChars="200"/>
        <w:jc w:val="left"/>
        <w:rPr>
          <w:rFonts w:ascii="Times New Roman" w:hAnsi="Times New Roman" w:cs="Times New Roman"/>
          <w:color w:val="auto"/>
          <w:sz w:val="24"/>
          <w:szCs w:val="28"/>
        </w:rPr>
      </w:pPr>
      <w:r>
        <w:rPr>
          <w:rFonts w:ascii="Times New Roman" w:hAnsi="Times New Roman" w:cs="Times New Roman" w:eastAsiaTheme="minorEastAsia"/>
          <w:color w:val="auto"/>
          <w:kern w:val="2"/>
          <w:sz w:val="24"/>
          <w:szCs w:val="28"/>
          <w:lang w:val="en-US" w:eastAsia="zh-CN" w:bidi="ar-SA"/>
        </w:rPr>
        <w:t>（</w:t>
      </w:r>
      <w:r>
        <w:rPr>
          <w:rFonts w:hint="eastAsia" w:ascii="Times New Roman" w:hAnsi="Times New Roman" w:cs="Times New Roman"/>
          <w:color w:val="auto"/>
          <w:kern w:val="2"/>
          <w:sz w:val="24"/>
          <w:szCs w:val="28"/>
          <w:lang w:val="en-US" w:eastAsia="zh-CN" w:bidi="ar-SA"/>
        </w:rPr>
        <w:t>2</w:t>
      </w:r>
      <w:r>
        <w:rPr>
          <w:rFonts w:ascii="Times New Roman" w:hAnsi="Times New Roman" w:cs="Times New Roman" w:eastAsiaTheme="minorEastAsia"/>
          <w:color w:val="auto"/>
          <w:kern w:val="2"/>
          <w:sz w:val="24"/>
          <w:szCs w:val="28"/>
          <w:lang w:val="en-US" w:eastAsia="zh-CN" w:bidi="ar-SA"/>
        </w:rPr>
        <w:t>）</w:t>
      </w:r>
      <w:r>
        <w:rPr>
          <w:rFonts w:ascii="Times New Roman" w:hAnsi="Times New Roman" w:cs="Times New Roman"/>
          <w:color w:val="auto"/>
          <w:sz w:val="24"/>
          <w:szCs w:val="28"/>
        </w:rPr>
        <w:t>针对本项目运营期产生的硫化氢、</w:t>
      </w:r>
      <w:r>
        <w:rPr>
          <w:rFonts w:hint="eastAsia" w:ascii="Times New Roman" w:hAnsi="Times New Roman" w:cs="Times New Roman"/>
          <w:color w:val="auto"/>
          <w:sz w:val="24"/>
          <w:szCs w:val="28"/>
          <w:lang w:val="en-US" w:eastAsia="zh-CN"/>
        </w:rPr>
        <w:t>氨气、</w:t>
      </w:r>
      <w:r>
        <w:rPr>
          <w:rFonts w:ascii="Times New Roman" w:hAnsi="Times New Roman" w:cs="Times New Roman"/>
          <w:color w:val="auto"/>
          <w:sz w:val="24"/>
          <w:szCs w:val="28"/>
        </w:rPr>
        <w:t>臭气浓度</w:t>
      </w:r>
      <w:r>
        <w:rPr>
          <w:rFonts w:hint="eastAsia" w:ascii="Times New Roman" w:hAnsi="Times New Roman" w:cs="Times New Roman"/>
          <w:color w:val="auto"/>
          <w:sz w:val="24"/>
          <w:szCs w:val="28"/>
          <w:lang w:eastAsia="zh-CN"/>
        </w:rPr>
        <w:t>、</w:t>
      </w:r>
      <w:r>
        <w:rPr>
          <w:rFonts w:ascii="Times New Roman" w:hAnsi="Times New Roman" w:cs="Times New Roman"/>
          <w:color w:val="auto"/>
          <w:sz w:val="24"/>
          <w:szCs w:val="28"/>
        </w:rPr>
        <w:t>非甲烷总烃</w:t>
      </w:r>
      <w:r>
        <w:rPr>
          <w:rFonts w:hint="eastAsia" w:ascii="Times New Roman" w:hAnsi="Times New Roman" w:cs="Times New Roman"/>
          <w:color w:val="auto"/>
          <w:sz w:val="24"/>
          <w:szCs w:val="28"/>
          <w:lang w:eastAsia="zh-CN"/>
        </w:rPr>
        <w:t>、</w:t>
      </w:r>
      <w:r>
        <w:rPr>
          <w:rFonts w:hint="eastAsia" w:ascii="Times New Roman" w:hAnsi="Times New Roman" w:cs="Times New Roman"/>
          <w:color w:val="auto"/>
          <w:sz w:val="24"/>
          <w:szCs w:val="28"/>
          <w:lang w:val="en-US" w:eastAsia="zh-CN"/>
        </w:rPr>
        <w:t>TSP</w:t>
      </w:r>
      <w:r>
        <w:rPr>
          <w:rFonts w:ascii="Times New Roman" w:hAnsi="Times New Roman" w:cs="Times New Roman"/>
          <w:color w:val="auto"/>
          <w:sz w:val="24"/>
          <w:szCs w:val="28"/>
        </w:rPr>
        <w:t>等</w:t>
      </w:r>
      <w:r>
        <w:rPr>
          <w:rFonts w:hint="eastAsia" w:ascii="Times New Roman" w:hAnsi="Times New Roman" w:cs="Times New Roman"/>
          <w:color w:val="auto"/>
          <w:sz w:val="24"/>
          <w:szCs w:val="28"/>
          <w:lang w:val="en-US" w:eastAsia="zh-CN"/>
        </w:rPr>
        <w:t>二</w:t>
      </w:r>
      <w:r>
        <w:rPr>
          <w:rFonts w:ascii="Times New Roman" w:hAnsi="Times New Roman" w:cs="Times New Roman"/>
          <w:color w:val="auto"/>
          <w:sz w:val="24"/>
          <w:szCs w:val="28"/>
        </w:rPr>
        <w:t>类区环境质量现状情况，引用《湖南利尔生物科技有限公司生物发酵技术产业建设项目环境影响报告书》中委托湖南中测湘源检测有限公司于于2022年</w:t>
      </w:r>
      <w:r>
        <w:rPr>
          <w:rFonts w:hint="eastAsia" w:ascii="Times New Roman" w:hAnsi="Times New Roman" w:cs="Times New Roman"/>
          <w:color w:val="auto"/>
          <w:sz w:val="24"/>
          <w:szCs w:val="28"/>
          <w:lang w:val="en-US" w:eastAsia="zh-CN"/>
        </w:rPr>
        <w:t>5</w:t>
      </w:r>
      <w:r>
        <w:rPr>
          <w:rFonts w:ascii="Times New Roman" w:hAnsi="Times New Roman" w:cs="Times New Roman"/>
          <w:color w:val="auto"/>
          <w:sz w:val="24"/>
          <w:szCs w:val="28"/>
        </w:rPr>
        <w:t>月</w:t>
      </w:r>
      <w:r>
        <w:rPr>
          <w:rFonts w:hint="eastAsia" w:ascii="Times New Roman" w:hAnsi="Times New Roman" w:cs="Times New Roman"/>
          <w:color w:val="auto"/>
          <w:sz w:val="24"/>
          <w:szCs w:val="28"/>
          <w:lang w:val="en-US" w:eastAsia="zh-CN"/>
        </w:rPr>
        <w:t>29</w:t>
      </w:r>
      <w:r>
        <w:rPr>
          <w:rFonts w:ascii="Times New Roman" w:hAnsi="Times New Roman" w:cs="Times New Roman"/>
          <w:color w:val="auto"/>
          <w:sz w:val="24"/>
          <w:szCs w:val="28"/>
        </w:rPr>
        <w:t>日~</w:t>
      </w:r>
      <w:r>
        <w:rPr>
          <w:rFonts w:hint="eastAsia" w:ascii="Times New Roman" w:hAnsi="Times New Roman" w:cs="Times New Roman"/>
          <w:color w:val="auto"/>
          <w:sz w:val="24"/>
          <w:szCs w:val="28"/>
          <w:lang w:val="en-US" w:eastAsia="zh-CN"/>
        </w:rPr>
        <w:t>2022年6月4</w:t>
      </w:r>
      <w:r>
        <w:rPr>
          <w:rFonts w:ascii="Times New Roman" w:hAnsi="Times New Roman" w:cs="Times New Roman"/>
          <w:color w:val="auto"/>
          <w:sz w:val="24"/>
          <w:szCs w:val="28"/>
        </w:rPr>
        <w:t>日</w:t>
      </w:r>
      <w:r>
        <w:rPr>
          <w:rFonts w:ascii="Times New Roman" w:hAnsi="Times New Roman" w:cs="Times New Roman"/>
          <w:color w:val="auto"/>
          <w:sz w:val="24"/>
          <w:szCs w:val="28"/>
          <w:lang w:val="zh-CN"/>
        </w:rPr>
        <w:t>对</w:t>
      </w:r>
      <w:r>
        <w:rPr>
          <w:rFonts w:ascii="Times New Roman" w:hAnsi="Times New Roman" w:cs="Times New Roman"/>
          <w:color w:val="auto"/>
          <w:sz w:val="24"/>
          <w:szCs w:val="28"/>
        </w:rPr>
        <w:t>项目所在地西南侧</w:t>
      </w:r>
      <w:r>
        <w:rPr>
          <w:rFonts w:hint="eastAsia" w:ascii="Times New Roman" w:hAnsi="Times New Roman" w:cs="Times New Roman"/>
          <w:color w:val="auto"/>
          <w:sz w:val="24"/>
          <w:szCs w:val="28"/>
          <w:lang w:val="en-US" w:eastAsia="zh-CN"/>
        </w:rPr>
        <w:t>2152</w:t>
      </w:r>
      <w:r>
        <w:rPr>
          <w:rFonts w:ascii="Times New Roman" w:hAnsi="Times New Roman" w:cs="Times New Roman"/>
          <w:color w:val="auto"/>
          <w:sz w:val="24"/>
          <w:szCs w:val="28"/>
        </w:rPr>
        <w:t>m的</w:t>
      </w:r>
      <w:r>
        <w:rPr>
          <w:rFonts w:hint="eastAsia" w:ascii="Times New Roman" w:hAnsi="Times New Roman" w:cs="Times New Roman"/>
          <w:color w:val="auto"/>
          <w:sz w:val="24"/>
          <w:szCs w:val="28"/>
          <w:lang w:val="en-US" w:eastAsia="zh-CN"/>
        </w:rPr>
        <w:t>利尔生物厂区内</w:t>
      </w:r>
      <w:r>
        <w:rPr>
          <w:rFonts w:ascii="Times New Roman" w:hAnsi="Times New Roman" w:cs="Times New Roman"/>
          <w:color w:val="auto"/>
          <w:sz w:val="24"/>
          <w:szCs w:val="28"/>
        </w:rPr>
        <w:t>环境质量现状监测数据；</w:t>
      </w:r>
    </w:p>
    <w:p w14:paraId="58C9CABF">
      <w:pPr>
        <w:spacing w:line="360" w:lineRule="auto"/>
        <w:ind w:firstLine="240" w:firstLineChars="100"/>
        <w:jc w:val="left"/>
        <w:rPr>
          <w:rFonts w:ascii="Times New Roman" w:hAnsi="Times New Roman" w:cs="Times New Roman"/>
          <w:color w:val="auto"/>
          <w:sz w:val="24"/>
          <w:szCs w:val="28"/>
        </w:rPr>
      </w:pPr>
      <w:r>
        <w:rPr>
          <w:rFonts w:ascii="Times New Roman" w:hAnsi="Times New Roman" w:cs="Times New Roman"/>
          <w:color w:val="auto"/>
          <w:sz w:val="24"/>
          <w:szCs w:val="28"/>
        </w:rPr>
        <w:t>1、监测点位及监测因子</w:t>
      </w:r>
    </w:p>
    <w:p w14:paraId="50545EEB">
      <w:pPr>
        <w:spacing w:line="360" w:lineRule="auto"/>
        <w:jc w:val="left"/>
        <w:rPr>
          <w:rFonts w:ascii="Times New Roman" w:hAnsi="Times New Roman" w:cs="Times New Roman"/>
          <w:color w:val="auto"/>
          <w:sz w:val="24"/>
          <w:szCs w:val="28"/>
        </w:rPr>
      </w:pPr>
      <w:r>
        <w:rPr>
          <w:rFonts w:ascii="Times New Roman" w:hAnsi="Times New Roman" w:cs="Times New Roman"/>
          <w:color w:val="auto"/>
          <w:sz w:val="24"/>
          <w:szCs w:val="28"/>
        </w:rPr>
        <w:t>本项目引用监测</w:t>
      </w:r>
      <w:r>
        <w:rPr>
          <w:rFonts w:hint="eastAsia" w:ascii="Times New Roman" w:hAnsi="Times New Roman" w:cs="Times New Roman"/>
          <w:color w:val="auto"/>
          <w:sz w:val="24"/>
          <w:szCs w:val="28"/>
          <w:lang w:val="en-US" w:eastAsia="zh-CN"/>
        </w:rPr>
        <w:t>2</w:t>
      </w:r>
      <w:r>
        <w:rPr>
          <w:rFonts w:ascii="Times New Roman" w:hAnsi="Times New Roman" w:cs="Times New Roman"/>
          <w:color w:val="auto"/>
          <w:sz w:val="24"/>
          <w:szCs w:val="28"/>
        </w:rPr>
        <w:t>个点位，具体见下表。</w:t>
      </w:r>
    </w:p>
    <w:p w14:paraId="1197200F">
      <w:pPr>
        <w:pStyle w:val="6"/>
        <w:bidi w:val="0"/>
      </w:pPr>
      <w:r>
        <w:t>表</w:t>
      </w:r>
      <w:r>
        <w:rPr>
          <w:rFonts w:hint="eastAsia"/>
        </w:rPr>
        <w:t>5.4</w:t>
      </w:r>
      <w:r>
        <w:t>.</w:t>
      </w:r>
      <w:r>
        <w:rPr>
          <w:rFonts w:hint="eastAsia"/>
        </w:rPr>
        <w:t>1</w:t>
      </w:r>
      <w:r>
        <w:t>-</w:t>
      </w:r>
      <w:r>
        <w:rPr>
          <w:rFonts w:hint="eastAsia"/>
        </w:rPr>
        <w:t>2</w:t>
      </w:r>
      <w:r>
        <w:t xml:space="preserve"> 环境空气监测布点情况</w:t>
      </w:r>
    </w:p>
    <w:tbl>
      <w:tblPr>
        <w:tblStyle w:val="41"/>
        <w:tblW w:w="506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462"/>
        <w:gridCol w:w="1129"/>
        <w:gridCol w:w="1301"/>
        <w:gridCol w:w="2630"/>
        <w:gridCol w:w="1021"/>
        <w:gridCol w:w="1888"/>
      </w:tblGrid>
      <w:tr w14:paraId="23BE8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274" w:type="pct"/>
            <w:vAlign w:val="center"/>
          </w:tcPr>
          <w:p w14:paraId="355E1E5D">
            <w:pPr>
              <w:jc w:val="center"/>
              <w:rPr>
                <w:rFonts w:ascii="Times New Roman" w:hAnsi="Times New Roman" w:eastAsia="宋体" w:cs="Times New Roman"/>
                <w:color w:val="auto"/>
                <w:sz w:val="22"/>
              </w:rPr>
            </w:pPr>
            <w:r>
              <w:rPr>
                <w:rFonts w:ascii="Times New Roman" w:hAnsi="Times New Roman" w:eastAsia="宋体" w:cs="Times New Roman"/>
                <w:color w:val="auto"/>
                <w:sz w:val="22"/>
              </w:rPr>
              <w:t>序号</w:t>
            </w:r>
          </w:p>
        </w:tc>
        <w:tc>
          <w:tcPr>
            <w:tcW w:w="669" w:type="pct"/>
            <w:vAlign w:val="center"/>
          </w:tcPr>
          <w:p w14:paraId="3BC58CF6">
            <w:pPr>
              <w:jc w:val="center"/>
              <w:rPr>
                <w:rFonts w:ascii="Times New Roman" w:hAnsi="Times New Roman" w:eastAsia="宋体" w:cs="Times New Roman"/>
                <w:color w:val="auto"/>
                <w:sz w:val="22"/>
              </w:rPr>
            </w:pPr>
            <w:r>
              <w:rPr>
                <w:rFonts w:ascii="Times New Roman" w:hAnsi="Times New Roman" w:eastAsia="宋体" w:cs="Times New Roman"/>
                <w:color w:val="auto"/>
                <w:sz w:val="22"/>
              </w:rPr>
              <w:t>名称</w:t>
            </w:r>
          </w:p>
        </w:tc>
        <w:tc>
          <w:tcPr>
            <w:tcW w:w="771" w:type="pct"/>
            <w:vAlign w:val="center"/>
          </w:tcPr>
          <w:p w14:paraId="5EFA619C">
            <w:pPr>
              <w:jc w:val="center"/>
              <w:rPr>
                <w:rFonts w:ascii="Times New Roman" w:hAnsi="Times New Roman" w:eastAsia="宋体" w:cs="Times New Roman"/>
                <w:color w:val="auto"/>
                <w:sz w:val="22"/>
              </w:rPr>
            </w:pPr>
            <w:r>
              <w:rPr>
                <w:rFonts w:ascii="Times New Roman" w:hAnsi="Times New Roman" w:eastAsia="宋体" w:cs="Times New Roman"/>
                <w:color w:val="auto"/>
                <w:sz w:val="22"/>
              </w:rPr>
              <w:t>与项目厂界相对位置</w:t>
            </w:r>
          </w:p>
        </w:tc>
        <w:tc>
          <w:tcPr>
            <w:tcW w:w="1559" w:type="pct"/>
            <w:vAlign w:val="center"/>
          </w:tcPr>
          <w:p w14:paraId="769086B1">
            <w:pPr>
              <w:jc w:val="center"/>
              <w:rPr>
                <w:rFonts w:ascii="Times New Roman" w:hAnsi="Times New Roman" w:eastAsia="宋体" w:cs="Times New Roman"/>
                <w:color w:val="auto"/>
                <w:sz w:val="22"/>
              </w:rPr>
            </w:pPr>
            <w:r>
              <w:rPr>
                <w:rFonts w:ascii="Times New Roman" w:hAnsi="Times New Roman" w:eastAsia="宋体" w:cs="Times New Roman"/>
                <w:color w:val="auto"/>
                <w:sz w:val="22"/>
              </w:rPr>
              <w:t>监测因子</w:t>
            </w:r>
          </w:p>
        </w:tc>
        <w:tc>
          <w:tcPr>
            <w:tcW w:w="605" w:type="pct"/>
            <w:vAlign w:val="center"/>
          </w:tcPr>
          <w:p w14:paraId="6042D66D">
            <w:pPr>
              <w:jc w:val="center"/>
              <w:rPr>
                <w:rFonts w:ascii="Times New Roman" w:hAnsi="Times New Roman" w:eastAsia="宋体" w:cs="Times New Roman"/>
                <w:color w:val="auto"/>
                <w:sz w:val="22"/>
              </w:rPr>
            </w:pPr>
            <w:r>
              <w:rPr>
                <w:rFonts w:ascii="Times New Roman" w:hAnsi="Times New Roman" w:eastAsia="宋体" w:cs="Times New Roman"/>
                <w:color w:val="auto"/>
                <w:sz w:val="22"/>
              </w:rPr>
              <w:t>监测时间</w:t>
            </w:r>
          </w:p>
        </w:tc>
        <w:tc>
          <w:tcPr>
            <w:tcW w:w="1119" w:type="pct"/>
            <w:vAlign w:val="center"/>
          </w:tcPr>
          <w:p w14:paraId="77F64441">
            <w:pPr>
              <w:jc w:val="center"/>
              <w:rPr>
                <w:rFonts w:ascii="Times New Roman" w:hAnsi="Times New Roman" w:eastAsia="宋体" w:cs="Times New Roman"/>
                <w:color w:val="auto"/>
                <w:sz w:val="22"/>
              </w:rPr>
            </w:pPr>
            <w:r>
              <w:rPr>
                <w:rFonts w:ascii="Times New Roman" w:hAnsi="Times New Roman" w:eastAsia="宋体" w:cs="Times New Roman"/>
                <w:color w:val="auto"/>
                <w:sz w:val="22"/>
              </w:rPr>
              <w:t>备注</w:t>
            </w:r>
          </w:p>
        </w:tc>
      </w:tr>
      <w:tr w14:paraId="4A873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274" w:type="pct"/>
            <w:vMerge w:val="restart"/>
            <w:vAlign w:val="center"/>
          </w:tcPr>
          <w:p w14:paraId="6DC17ED7">
            <w:pPr>
              <w:jc w:val="center"/>
              <w:rPr>
                <w:rFonts w:hint="default" w:ascii="Times New Roman" w:hAnsi="Times New Roman" w:eastAsia="宋体" w:cs="Times New Roman"/>
                <w:color w:val="auto"/>
                <w:sz w:val="22"/>
                <w:lang w:val="en-US" w:eastAsia="zh-CN"/>
              </w:rPr>
            </w:pPr>
            <w:r>
              <w:rPr>
                <w:rFonts w:hint="eastAsia" w:ascii="Times New Roman" w:hAnsi="Times New Roman" w:eastAsia="宋体" w:cs="Times New Roman"/>
                <w:color w:val="auto"/>
                <w:sz w:val="22"/>
                <w:lang w:val="en-US" w:eastAsia="zh-CN"/>
              </w:rPr>
              <w:t>A1</w:t>
            </w:r>
          </w:p>
        </w:tc>
        <w:tc>
          <w:tcPr>
            <w:tcW w:w="669" w:type="pct"/>
            <w:vMerge w:val="restart"/>
            <w:vAlign w:val="center"/>
          </w:tcPr>
          <w:p w14:paraId="14D9CA2D">
            <w:pPr>
              <w:jc w:val="center"/>
              <w:rPr>
                <w:rFonts w:ascii="Times New Roman" w:hAnsi="Times New Roman" w:eastAsia="宋体" w:cs="Times New Roman"/>
                <w:color w:val="auto"/>
                <w:sz w:val="22"/>
              </w:rPr>
            </w:pPr>
            <w:r>
              <w:rPr>
                <w:rFonts w:ascii="Times New Roman" w:hAnsi="Times New Roman" w:eastAsia="宋体" w:cs="Times New Roman"/>
                <w:color w:val="auto"/>
                <w:sz w:val="22"/>
              </w:rPr>
              <w:t>牛家老屋（一类区，不在人为干扰区）</w:t>
            </w:r>
          </w:p>
        </w:tc>
        <w:tc>
          <w:tcPr>
            <w:tcW w:w="771" w:type="pct"/>
            <w:vMerge w:val="restart"/>
            <w:vAlign w:val="center"/>
          </w:tcPr>
          <w:p w14:paraId="6B79A95F">
            <w:pPr>
              <w:jc w:val="center"/>
              <w:rPr>
                <w:rFonts w:ascii="Times New Roman" w:hAnsi="Times New Roman" w:eastAsia="宋体" w:cs="Times New Roman"/>
                <w:color w:val="auto"/>
                <w:sz w:val="22"/>
              </w:rPr>
            </w:pPr>
            <w:r>
              <w:rPr>
                <w:rFonts w:ascii="Times New Roman" w:hAnsi="Times New Roman" w:eastAsia="宋体" w:cs="Times New Roman"/>
                <w:color w:val="auto"/>
                <w:sz w:val="22"/>
              </w:rPr>
              <w:t>2.</w:t>
            </w:r>
            <w:r>
              <w:rPr>
                <w:rFonts w:hint="eastAsia" w:ascii="Times New Roman" w:hAnsi="Times New Roman" w:eastAsia="宋体" w:cs="Times New Roman"/>
                <w:color w:val="auto"/>
                <w:sz w:val="22"/>
                <w:lang w:val="en-US" w:eastAsia="zh-CN"/>
              </w:rPr>
              <w:t>7</w:t>
            </w:r>
            <w:r>
              <w:rPr>
                <w:rFonts w:ascii="Times New Roman" w:hAnsi="Times New Roman" w:eastAsia="宋体" w:cs="Times New Roman"/>
                <w:color w:val="auto"/>
                <w:sz w:val="22"/>
              </w:rPr>
              <w:t>km，厂界西南侧</w:t>
            </w:r>
          </w:p>
        </w:tc>
        <w:tc>
          <w:tcPr>
            <w:tcW w:w="1559" w:type="pct"/>
            <w:vAlign w:val="center"/>
          </w:tcPr>
          <w:p w14:paraId="3DD1A4E4">
            <w:pPr>
              <w:jc w:val="center"/>
              <w:rPr>
                <w:rFonts w:ascii="Times New Roman" w:hAnsi="Times New Roman" w:eastAsia="宋体" w:cs="Times New Roman"/>
                <w:color w:val="auto"/>
                <w:sz w:val="22"/>
              </w:rPr>
            </w:pPr>
            <w:r>
              <w:rPr>
                <w:rFonts w:ascii="Times New Roman" w:hAnsi="Times New Roman" w:eastAsia="宋体" w:cs="Times New Roman"/>
                <w:color w:val="auto"/>
                <w:sz w:val="22"/>
              </w:rPr>
              <w:t>1h值：氨气、硫化氢、臭气浓度</w:t>
            </w:r>
          </w:p>
          <w:p w14:paraId="16DEC060">
            <w:pPr>
              <w:jc w:val="center"/>
              <w:rPr>
                <w:rFonts w:hint="default" w:ascii="Times New Roman" w:hAnsi="Times New Roman" w:eastAsia="宋体" w:cs="Times New Roman"/>
                <w:color w:val="auto"/>
                <w:sz w:val="22"/>
                <w:lang w:val="en-US" w:eastAsia="zh-CN"/>
              </w:rPr>
            </w:pPr>
            <w:r>
              <w:rPr>
                <w:rFonts w:hint="eastAsia" w:ascii="Times New Roman" w:hAnsi="Times New Roman" w:eastAsia="宋体" w:cs="Times New Roman"/>
                <w:color w:val="auto"/>
                <w:sz w:val="22"/>
                <w:lang w:val="en-US" w:eastAsia="zh-CN"/>
              </w:rPr>
              <w:t>日均值：TSP</w:t>
            </w:r>
          </w:p>
        </w:tc>
        <w:tc>
          <w:tcPr>
            <w:tcW w:w="605" w:type="pct"/>
            <w:vAlign w:val="center"/>
          </w:tcPr>
          <w:p w14:paraId="55FDA771">
            <w:pPr>
              <w:jc w:val="center"/>
              <w:rPr>
                <w:rFonts w:ascii="Times New Roman" w:hAnsi="Times New Roman" w:eastAsia="宋体" w:cs="Times New Roman"/>
                <w:color w:val="auto"/>
                <w:sz w:val="22"/>
              </w:rPr>
            </w:pPr>
            <w:r>
              <w:rPr>
                <w:rFonts w:ascii="Times New Roman" w:hAnsi="Times New Roman" w:eastAsia="宋体" w:cs="Times New Roman"/>
                <w:color w:val="auto"/>
                <w:sz w:val="22"/>
              </w:rPr>
              <w:t>2022年2月25日~2022年3月3日</w:t>
            </w:r>
          </w:p>
        </w:tc>
        <w:tc>
          <w:tcPr>
            <w:tcW w:w="1119" w:type="pct"/>
            <w:vMerge w:val="restart"/>
            <w:vAlign w:val="center"/>
          </w:tcPr>
          <w:p w14:paraId="70C4E021">
            <w:pPr>
              <w:jc w:val="center"/>
              <w:rPr>
                <w:rFonts w:ascii="Times New Roman" w:hAnsi="Times New Roman" w:eastAsia="宋体" w:cs="Times New Roman"/>
                <w:color w:val="auto"/>
                <w:sz w:val="22"/>
              </w:rPr>
            </w:pPr>
            <w:r>
              <w:rPr>
                <w:rFonts w:ascii="Times New Roman" w:hAnsi="Times New Roman" w:eastAsia="宋体" w:cs="Times New Roman"/>
                <w:color w:val="auto"/>
                <w:sz w:val="22"/>
              </w:rPr>
              <w:t>引用《湖南利尔生物科技有限公司生物发酵技术产业建设项目环境影响报告书》</w:t>
            </w:r>
          </w:p>
        </w:tc>
      </w:tr>
      <w:tr w14:paraId="0F7E4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274" w:type="pct"/>
            <w:vMerge w:val="continue"/>
            <w:vAlign w:val="center"/>
          </w:tcPr>
          <w:p w14:paraId="0F7F92D7">
            <w:pPr>
              <w:jc w:val="center"/>
              <w:rPr>
                <w:rFonts w:ascii="Times New Roman" w:hAnsi="Times New Roman" w:eastAsia="宋体" w:cs="Times New Roman"/>
                <w:color w:val="auto"/>
                <w:sz w:val="22"/>
              </w:rPr>
            </w:pPr>
          </w:p>
        </w:tc>
        <w:tc>
          <w:tcPr>
            <w:tcW w:w="669" w:type="pct"/>
            <w:vMerge w:val="continue"/>
            <w:vAlign w:val="center"/>
          </w:tcPr>
          <w:p w14:paraId="55724285">
            <w:pPr>
              <w:jc w:val="center"/>
              <w:rPr>
                <w:rFonts w:ascii="Times New Roman" w:hAnsi="Times New Roman" w:eastAsia="宋体" w:cs="Times New Roman"/>
                <w:color w:val="auto"/>
                <w:sz w:val="22"/>
              </w:rPr>
            </w:pPr>
          </w:p>
        </w:tc>
        <w:tc>
          <w:tcPr>
            <w:tcW w:w="771" w:type="pct"/>
            <w:vMerge w:val="continue"/>
            <w:vAlign w:val="center"/>
          </w:tcPr>
          <w:p w14:paraId="3D95BD68">
            <w:pPr>
              <w:jc w:val="center"/>
              <w:rPr>
                <w:rFonts w:ascii="Times New Roman" w:hAnsi="Times New Roman" w:eastAsia="宋体" w:cs="Times New Roman"/>
                <w:color w:val="auto"/>
                <w:sz w:val="22"/>
              </w:rPr>
            </w:pPr>
          </w:p>
        </w:tc>
        <w:tc>
          <w:tcPr>
            <w:tcW w:w="1559" w:type="pct"/>
            <w:vAlign w:val="center"/>
          </w:tcPr>
          <w:p w14:paraId="34D3FB9F">
            <w:pPr>
              <w:jc w:val="center"/>
              <w:rPr>
                <w:rFonts w:ascii="Times New Roman" w:hAnsi="Times New Roman" w:eastAsia="宋体" w:cs="Times New Roman"/>
                <w:color w:val="auto"/>
                <w:sz w:val="22"/>
              </w:rPr>
            </w:pPr>
            <w:r>
              <w:rPr>
                <w:rFonts w:ascii="Times New Roman" w:hAnsi="Times New Roman" w:eastAsia="宋体" w:cs="Times New Roman"/>
                <w:color w:val="auto"/>
                <w:sz w:val="22"/>
              </w:rPr>
              <w:t>1h值：非甲烷总烃</w:t>
            </w:r>
          </w:p>
        </w:tc>
        <w:tc>
          <w:tcPr>
            <w:tcW w:w="605" w:type="pct"/>
            <w:vAlign w:val="center"/>
          </w:tcPr>
          <w:p w14:paraId="0A832595">
            <w:pPr>
              <w:jc w:val="center"/>
              <w:rPr>
                <w:rFonts w:ascii="Times New Roman" w:hAnsi="Times New Roman" w:eastAsia="宋体" w:cs="Times New Roman"/>
                <w:color w:val="auto"/>
                <w:sz w:val="22"/>
              </w:rPr>
            </w:pPr>
            <w:r>
              <w:rPr>
                <w:rFonts w:ascii="Times New Roman" w:hAnsi="Times New Roman" w:eastAsia="宋体" w:cs="Times New Roman"/>
                <w:color w:val="auto"/>
                <w:sz w:val="22"/>
              </w:rPr>
              <w:t>2022年3月8日~2022年3月14日</w:t>
            </w:r>
          </w:p>
        </w:tc>
        <w:tc>
          <w:tcPr>
            <w:tcW w:w="1119" w:type="pct"/>
            <w:vMerge w:val="continue"/>
            <w:vAlign w:val="center"/>
          </w:tcPr>
          <w:p w14:paraId="756EA984">
            <w:pPr>
              <w:jc w:val="center"/>
              <w:rPr>
                <w:rFonts w:ascii="Times New Roman" w:hAnsi="Times New Roman" w:eastAsia="宋体" w:cs="Times New Roman"/>
                <w:color w:val="auto"/>
                <w:sz w:val="22"/>
              </w:rPr>
            </w:pPr>
          </w:p>
        </w:tc>
      </w:tr>
      <w:tr w14:paraId="297FD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274" w:type="pct"/>
            <w:vAlign w:val="center"/>
          </w:tcPr>
          <w:p w14:paraId="1F6EFE9D">
            <w:pPr>
              <w:jc w:val="center"/>
              <w:rPr>
                <w:rFonts w:hint="default" w:ascii="Times New Roman" w:hAnsi="Times New Roman" w:eastAsia="宋体" w:cs="Times New Roman"/>
                <w:color w:val="auto"/>
                <w:sz w:val="22"/>
                <w:lang w:val="en-US" w:eastAsia="zh-CN"/>
              </w:rPr>
            </w:pPr>
            <w:r>
              <w:rPr>
                <w:rFonts w:hint="eastAsia" w:ascii="Times New Roman" w:hAnsi="Times New Roman" w:eastAsia="宋体" w:cs="Times New Roman"/>
                <w:color w:val="auto"/>
                <w:sz w:val="22"/>
                <w:lang w:val="en-US" w:eastAsia="zh-CN"/>
              </w:rPr>
              <w:t>A2</w:t>
            </w:r>
          </w:p>
        </w:tc>
        <w:tc>
          <w:tcPr>
            <w:tcW w:w="669" w:type="pct"/>
            <w:vAlign w:val="center"/>
          </w:tcPr>
          <w:p w14:paraId="51D1976E">
            <w:pPr>
              <w:jc w:val="center"/>
              <w:rPr>
                <w:rFonts w:hint="default" w:ascii="Times New Roman" w:hAnsi="Times New Roman" w:eastAsia="宋体" w:cs="Times New Roman"/>
                <w:color w:val="auto"/>
                <w:sz w:val="22"/>
                <w:lang w:val="en-US" w:eastAsia="zh-CN"/>
              </w:rPr>
            </w:pPr>
            <w:r>
              <w:rPr>
                <w:rFonts w:hint="eastAsia" w:ascii="Times New Roman" w:hAnsi="Times New Roman" w:eastAsia="宋体" w:cs="Times New Roman"/>
                <w:color w:val="auto"/>
                <w:sz w:val="22"/>
                <w:lang w:val="en-US" w:eastAsia="zh-CN"/>
              </w:rPr>
              <w:t>利尔生物</w:t>
            </w:r>
          </w:p>
        </w:tc>
        <w:tc>
          <w:tcPr>
            <w:tcW w:w="771" w:type="pct"/>
            <w:vAlign w:val="center"/>
          </w:tcPr>
          <w:p w14:paraId="71A789B3">
            <w:pPr>
              <w:jc w:val="center"/>
              <w:rPr>
                <w:rFonts w:ascii="Times New Roman" w:hAnsi="Times New Roman" w:eastAsia="宋体" w:cs="Times New Roman"/>
                <w:color w:val="auto"/>
                <w:sz w:val="22"/>
              </w:rPr>
            </w:pPr>
            <w:r>
              <w:rPr>
                <w:rFonts w:hint="eastAsia" w:ascii="Times New Roman" w:hAnsi="Times New Roman" w:eastAsia="宋体" w:cs="Times New Roman"/>
                <w:color w:val="auto"/>
                <w:sz w:val="22"/>
                <w:lang w:val="en-US" w:eastAsia="zh-CN"/>
              </w:rPr>
              <w:t>2.152</w:t>
            </w:r>
            <w:r>
              <w:rPr>
                <w:rFonts w:ascii="Times New Roman" w:hAnsi="Times New Roman" w:eastAsia="宋体" w:cs="Times New Roman"/>
                <w:color w:val="auto"/>
                <w:sz w:val="22"/>
              </w:rPr>
              <w:t>km,厂界西南侧</w:t>
            </w:r>
          </w:p>
        </w:tc>
        <w:tc>
          <w:tcPr>
            <w:tcW w:w="1559" w:type="pct"/>
            <w:vAlign w:val="center"/>
          </w:tcPr>
          <w:p w14:paraId="13E626F8">
            <w:pPr>
              <w:jc w:val="center"/>
              <w:rPr>
                <w:rFonts w:hint="eastAsia" w:ascii="Times New Roman" w:hAnsi="Times New Roman" w:eastAsia="宋体" w:cs="Times New Roman"/>
                <w:color w:val="auto"/>
                <w:sz w:val="22"/>
                <w:lang w:val="en-US" w:eastAsia="zh-CN"/>
              </w:rPr>
            </w:pPr>
            <w:r>
              <w:rPr>
                <w:rFonts w:hint="eastAsia" w:ascii="Times New Roman" w:hAnsi="Times New Roman" w:eastAsia="宋体" w:cs="Times New Roman"/>
                <w:color w:val="auto"/>
                <w:sz w:val="22"/>
                <w:lang w:val="en-US" w:eastAsia="zh-CN"/>
              </w:rPr>
              <w:t>1h值：硫化氢、氨气、非甲烷总烃</w:t>
            </w:r>
          </w:p>
          <w:p w14:paraId="73CBABAF">
            <w:pPr>
              <w:jc w:val="center"/>
              <w:rPr>
                <w:rFonts w:hint="default" w:ascii="Times New Roman" w:hAnsi="Times New Roman" w:eastAsia="宋体" w:cs="Times New Roman"/>
                <w:color w:val="auto"/>
                <w:sz w:val="22"/>
                <w:lang w:val="en-US" w:eastAsia="zh-CN"/>
              </w:rPr>
            </w:pPr>
            <w:r>
              <w:rPr>
                <w:rFonts w:hint="eastAsia" w:ascii="Times New Roman" w:hAnsi="Times New Roman" w:eastAsia="宋体" w:cs="Times New Roman"/>
                <w:color w:val="auto"/>
                <w:sz w:val="22"/>
                <w:lang w:val="en-US" w:eastAsia="zh-CN"/>
              </w:rPr>
              <w:t>日均值：TSP</w:t>
            </w:r>
          </w:p>
        </w:tc>
        <w:tc>
          <w:tcPr>
            <w:tcW w:w="605" w:type="pct"/>
            <w:vAlign w:val="center"/>
          </w:tcPr>
          <w:p w14:paraId="2832B537">
            <w:pPr>
              <w:jc w:val="center"/>
              <w:rPr>
                <w:rFonts w:ascii="Times New Roman" w:hAnsi="Times New Roman" w:eastAsia="宋体" w:cs="Times New Roman"/>
                <w:color w:val="auto"/>
                <w:sz w:val="22"/>
              </w:rPr>
            </w:pPr>
            <w:r>
              <w:rPr>
                <w:rFonts w:hint="eastAsia" w:ascii="Times New Roman" w:hAnsi="Times New Roman" w:eastAsia="宋体" w:cs="Times New Roman"/>
                <w:color w:val="auto"/>
                <w:sz w:val="22"/>
              </w:rPr>
              <w:t>2022年5月2</w:t>
            </w:r>
            <w:r>
              <w:rPr>
                <w:rFonts w:hint="eastAsia" w:ascii="Times New Roman" w:hAnsi="Times New Roman" w:eastAsia="宋体" w:cs="Times New Roman"/>
                <w:color w:val="auto"/>
                <w:sz w:val="22"/>
                <w:lang w:val="en-US" w:eastAsia="zh-CN"/>
              </w:rPr>
              <w:t>9</w:t>
            </w:r>
            <w:r>
              <w:rPr>
                <w:rFonts w:hint="eastAsia" w:ascii="Times New Roman" w:hAnsi="Times New Roman" w:eastAsia="宋体" w:cs="Times New Roman"/>
                <w:color w:val="auto"/>
                <w:sz w:val="22"/>
              </w:rPr>
              <w:t>日~2022年6月4日</w:t>
            </w:r>
          </w:p>
        </w:tc>
        <w:tc>
          <w:tcPr>
            <w:tcW w:w="1119" w:type="pct"/>
            <w:vMerge w:val="continue"/>
            <w:vAlign w:val="center"/>
          </w:tcPr>
          <w:p w14:paraId="03816ED3">
            <w:pPr>
              <w:jc w:val="center"/>
              <w:rPr>
                <w:rFonts w:ascii="Times New Roman" w:hAnsi="Times New Roman" w:eastAsia="宋体" w:cs="Times New Roman"/>
                <w:color w:val="auto"/>
                <w:sz w:val="22"/>
              </w:rPr>
            </w:pPr>
          </w:p>
        </w:tc>
      </w:tr>
    </w:tbl>
    <w:p w14:paraId="5CDD0985">
      <w:pPr>
        <w:ind w:firstLine="480" w:firstLineChars="200"/>
        <w:jc w:val="left"/>
        <w:rPr>
          <w:rFonts w:hint="eastAsia" w:cs="Times New Roman" w:asciiTheme="minorEastAsia" w:hAnsiTheme="minorEastAsia"/>
          <w:color w:val="auto"/>
          <w:sz w:val="24"/>
          <w:szCs w:val="28"/>
        </w:rPr>
      </w:pPr>
      <w:r>
        <w:rPr>
          <w:rFonts w:cs="Times New Roman" w:asciiTheme="minorEastAsia" w:hAnsiTheme="minorEastAsia"/>
          <w:color w:val="auto"/>
          <w:sz w:val="24"/>
          <w:szCs w:val="28"/>
        </w:rPr>
        <w:t>2、监测期间气象参数</w:t>
      </w:r>
    </w:p>
    <w:p w14:paraId="26C3128D">
      <w:pPr>
        <w:pStyle w:val="6"/>
        <w:bidi w:val="0"/>
      </w:pPr>
      <w:r>
        <w:t>表</w:t>
      </w:r>
      <w:r>
        <w:rPr>
          <w:rFonts w:hint="eastAsia"/>
        </w:rPr>
        <w:t>5.4</w:t>
      </w:r>
      <w:r>
        <w:t>.</w:t>
      </w:r>
      <w:r>
        <w:rPr>
          <w:rFonts w:hint="eastAsia"/>
        </w:rPr>
        <w:t>1</w:t>
      </w:r>
      <w:r>
        <w:t>-</w:t>
      </w:r>
      <w:r>
        <w:rPr>
          <w:rFonts w:hint="eastAsia"/>
        </w:rPr>
        <w:t>3</w:t>
      </w:r>
      <w:r>
        <w:t xml:space="preserve"> 引用利尔生物报告监测期间气象参数</w:t>
      </w:r>
    </w:p>
    <w:tbl>
      <w:tblPr>
        <w:tblStyle w:val="41"/>
        <w:tblW w:w="502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201"/>
        <w:gridCol w:w="1188"/>
        <w:gridCol w:w="1192"/>
        <w:gridCol w:w="1189"/>
        <w:gridCol w:w="1254"/>
        <w:gridCol w:w="1125"/>
        <w:gridCol w:w="1204"/>
      </w:tblGrid>
      <w:tr w14:paraId="26DB4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719" w:type="pct"/>
            <w:vAlign w:val="center"/>
          </w:tcPr>
          <w:p w14:paraId="24AB7FE5">
            <w:pPr>
              <w:spacing w:line="320" w:lineRule="exact"/>
              <w:jc w:val="center"/>
              <w:rPr>
                <w:b/>
                <w:bCs/>
                <w:color w:val="auto"/>
                <w:w w:val="90"/>
                <w:szCs w:val="28"/>
              </w:rPr>
            </w:pPr>
            <w:r>
              <w:rPr>
                <w:rFonts w:ascii="Times New Roman" w:hAnsi="Times New Roman" w:eastAsia="宋体" w:cs="Times New Roman"/>
                <w:b/>
                <w:bCs/>
                <w:color w:val="auto"/>
                <w:w w:val="90"/>
                <w:szCs w:val="28"/>
              </w:rPr>
              <w:t>采样日期</w:t>
            </w:r>
          </w:p>
        </w:tc>
        <w:tc>
          <w:tcPr>
            <w:tcW w:w="711" w:type="pct"/>
            <w:vAlign w:val="center"/>
          </w:tcPr>
          <w:p w14:paraId="62563168">
            <w:pPr>
              <w:spacing w:line="320" w:lineRule="exact"/>
              <w:jc w:val="center"/>
              <w:rPr>
                <w:b/>
                <w:bCs/>
                <w:color w:val="auto"/>
                <w:w w:val="90"/>
                <w:szCs w:val="28"/>
              </w:rPr>
            </w:pPr>
            <w:r>
              <w:rPr>
                <w:rFonts w:ascii="Times New Roman" w:hAnsi="Times New Roman" w:eastAsia="宋体" w:cs="Times New Roman"/>
                <w:b/>
                <w:bCs/>
                <w:color w:val="auto"/>
                <w:w w:val="90"/>
                <w:szCs w:val="28"/>
              </w:rPr>
              <w:t>天气</w:t>
            </w:r>
          </w:p>
        </w:tc>
        <w:tc>
          <w:tcPr>
            <w:tcW w:w="713" w:type="pct"/>
            <w:vAlign w:val="center"/>
          </w:tcPr>
          <w:p w14:paraId="1FB24BFC">
            <w:pPr>
              <w:spacing w:line="320" w:lineRule="exact"/>
              <w:jc w:val="center"/>
              <w:rPr>
                <w:b/>
                <w:bCs/>
                <w:color w:val="auto"/>
                <w:w w:val="90"/>
                <w:szCs w:val="28"/>
              </w:rPr>
            </w:pPr>
            <w:r>
              <w:rPr>
                <w:rFonts w:ascii="Times New Roman" w:hAnsi="Times New Roman" w:eastAsia="宋体" w:cs="Times New Roman"/>
                <w:b/>
                <w:bCs/>
                <w:color w:val="auto"/>
                <w:w w:val="90"/>
                <w:szCs w:val="28"/>
              </w:rPr>
              <w:t>风向</w:t>
            </w:r>
          </w:p>
        </w:tc>
        <w:tc>
          <w:tcPr>
            <w:tcW w:w="711" w:type="pct"/>
            <w:vAlign w:val="center"/>
          </w:tcPr>
          <w:p w14:paraId="1619B6ED">
            <w:pPr>
              <w:spacing w:line="320" w:lineRule="exact"/>
              <w:jc w:val="center"/>
              <w:rPr>
                <w:b/>
                <w:bCs/>
                <w:color w:val="auto"/>
                <w:w w:val="90"/>
                <w:szCs w:val="28"/>
              </w:rPr>
            </w:pPr>
            <w:r>
              <w:rPr>
                <w:rFonts w:ascii="Times New Roman" w:hAnsi="Times New Roman" w:eastAsia="宋体" w:cs="Times New Roman"/>
                <w:b/>
                <w:bCs/>
                <w:color w:val="auto"/>
                <w:w w:val="90"/>
                <w:szCs w:val="28"/>
              </w:rPr>
              <w:t>风速(m/s)</w:t>
            </w:r>
          </w:p>
        </w:tc>
        <w:tc>
          <w:tcPr>
            <w:tcW w:w="750" w:type="pct"/>
            <w:vAlign w:val="center"/>
          </w:tcPr>
          <w:p w14:paraId="738B544C">
            <w:pPr>
              <w:spacing w:line="320" w:lineRule="exact"/>
              <w:jc w:val="center"/>
              <w:rPr>
                <w:b/>
                <w:bCs/>
                <w:color w:val="auto"/>
                <w:w w:val="90"/>
                <w:szCs w:val="28"/>
              </w:rPr>
            </w:pPr>
            <w:r>
              <w:rPr>
                <w:rFonts w:ascii="Times New Roman" w:hAnsi="Times New Roman" w:eastAsia="宋体" w:cs="Times New Roman"/>
                <w:b/>
                <w:bCs/>
                <w:color w:val="auto"/>
                <w:w w:val="90"/>
                <w:szCs w:val="28"/>
              </w:rPr>
              <w:t>相对湿度(%)</w:t>
            </w:r>
          </w:p>
        </w:tc>
        <w:tc>
          <w:tcPr>
            <w:tcW w:w="673" w:type="pct"/>
            <w:vAlign w:val="center"/>
          </w:tcPr>
          <w:p w14:paraId="432DDC46">
            <w:pPr>
              <w:spacing w:line="320" w:lineRule="exact"/>
              <w:jc w:val="center"/>
              <w:rPr>
                <w:b/>
                <w:bCs/>
                <w:color w:val="auto"/>
                <w:w w:val="90"/>
                <w:szCs w:val="28"/>
              </w:rPr>
            </w:pPr>
            <w:r>
              <w:rPr>
                <w:rFonts w:ascii="Times New Roman" w:hAnsi="Times New Roman" w:eastAsia="宋体" w:cs="Times New Roman"/>
                <w:b/>
                <w:bCs/>
                <w:color w:val="auto"/>
                <w:w w:val="90"/>
                <w:szCs w:val="28"/>
              </w:rPr>
              <w:t>气温(℃)</w:t>
            </w:r>
          </w:p>
        </w:tc>
        <w:tc>
          <w:tcPr>
            <w:tcW w:w="720" w:type="pct"/>
            <w:vAlign w:val="center"/>
          </w:tcPr>
          <w:p w14:paraId="51683C3A">
            <w:pPr>
              <w:spacing w:line="320" w:lineRule="exact"/>
              <w:jc w:val="center"/>
              <w:rPr>
                <w:b/>
                <w:bCs/>
                <w:color w:val="auto"/>
                <w:w w:val="90"/>
                <w:szCs w:val="28"/>
              </w:rPr>
            </w:pPr>
            <w:r>
              <w:rPr>
                <w:rFonts w:ascii="Times New Roman" w:hAnsi="Times New Roman" w:eastAsia="宋体" w:cs="Times New Roman"/>
                <w:b/>
                <w:bCs/>
                <w:color w:val="auto"/>
                <w:w w:val="90"/>
                <w:szCs w:val="28"/>
              </w:rPr>
              <w:t>气压(kPa)</w:t>
            </w:r>
          </w:p>
        </w:tc>
      </w:tr>
      <w:tr w14:paraId="4E407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719" w:type="pct"/>
            <w:vAlign w:val="center"/>
          </w:tcPr>
          <w:p w14:paraId="45FB6D54">
            <w:pPr>
              <w:jc w:val="center"/>
              <w:rPr>
                <w:rFonts w:ascii="Times New Roman" w:hAnsi="Times New Roman" w:eastAsia="宋体" w:cs="Times New Roman"/>
                <w:color w:val="auto"/>
                <w:sz w:val="22"/>
              </w:rPr>
            </w:pPr>
            <w:r>
              <w:rPr>
                <w:rFonts w:ascii="Times New Roman" w:hAnsi="Times New Roman" w:eastAsia="宋体" w:cs="Times New Roman"/>
                <w:color w:val="auto"/>
                <w:sz w:val="22"/>
              </w:rPr>
              <w:t>2022.2.25</w:t>
            </w:r>
          </w:p>
        </w:tc>
        <w:tc>
          <w:tcPr>
            <w:tcW w:w="711" w:type="pct"/>
            <w:vAlign w:val="center"/>
          </w:tcPr>
          <w:p w14:paraId="599E00E3">
            <w:pPr>
              <w:jc w:val="center"/>
              <w:rPr>
                <w:rFonts w:ascii="Times New Roman" w:hAnsi="Times New Roman" w:eastAsia="宋体" w:cs="Times New Roman"/>
                <w:color w:val="auto"/>
                <w:sz w:val="22"/>
              </w:rPr>
            </w:pPr>
            <w:r>
              <w:rPr>
                <w:rFonts w:ascii="Times New Roman" w:hAnsi="Times New Roman" w:eastAsia="宋体" w:cs="Times New Roman"/>
                <w:color w:val="auto"/>
                <w:sz w:val="22"/>
              </w:rPr>
              <w:t>多云</w:t>
            </w:r>
          </w:p>
        </w:tc>
        <w:tc>
          <w:tcPr>
            <w:tcW w:w="713" w:type="pct"/>
            <w:vAlign w:val="center"/>
          </w:tcPr>
          <w:p w14:paraId="1D94E859">
            <w:pPr>
              <w:jc w:val="center"/>
              <w:rPr>
                <w:rFonts w:ascii="Times New Roman" w:hAnsi="Times New Roman" w:eastAsia="宋体" w:cs="Times New Roman"/>
                <w:color w:val="auto"/>
                <w:sz w:val="22"/>
              </w:rPr>
            </w:pPr>
            <w:r>
              <w:rPr>
                <w:rFonts w:ascii="Times New Roman" w:hAnsi="Times New Roman" w:eastAsia="宋体" w:cs="Times New Roman"/>
                <w:color w:val="auto"/>
                <w:sz w:val="22"/>
              </w:rPr>
              <w:t>南</w:t>
            </w:r>
          </w:p>
        </w:tc>
        <w:tc>
          <w:tcPr>
            <w:tcW w:w="711" w:type="pct"/>
            <w:vAlign w:val="center"/>
          </w:tcPr>
          <w:p w14:paraId="74A256AD">
            <w:pPr>
              <w:jc w:val="center"/>
              <w:rPr>
                <w:rFonts w:ascii="Times New Roman" w:hAnsi="Times New Roman" w:eastAsia="宋体" w:cs="Times New Roman"/>
                <w:color w:val="auto"/>
                <w:sz w:val="22"/>
              </w:rPr>
            </w:pPr>
            <w:r>
              <w:rPr>
                <w:rFonts w:ascii="Times New Roman" w:hAnsi="Times New Roman" w:eastAsia="宋体" w:cs="Times New Roman"/>
                <w:color w:val="auto"/>
                <w:sz w:val="22"/>
              </w:rPr>
              <w:t>1.8</w:t>
            </w:r>
          </w:p>
        </w:tc>
        <w:tc>
          <w:tcPr>
            <w:tcW w:w="750" w:type="pct"/>
            <w:vAlign w:val="center"/>
          </w:tcPr>
          <w:p w14:paraId="12E41B78">
            <w:pPr>
              <w:jc w:val="center"/>
              <w:rPr>
                <w:rFonts w:ascii="Times New Roman" w:hAnsi="Times New Roman" w:eastAsia="宋体" w:cs="Times New Roman"/>
                <w:color w:val="auto"/>
                <w:sz w:val="22"/>
              </w:rPr>
            </w:pPr>
            <w:r>
              <w:rPr>
                <w:rFonts w:ascii="Times New Roman" w:hAnsi="Times New Roman" w:eastAsia="宋体" w:cs="Times New Roman"/>
                <w:color w:val="auto"/>
                <w:sz w:val="22"/>
              </w:rPr>
              <w:t>58</w:t>
            </w:r>
          </w:p>
        </w:tc>
        <w:tc>
          <w:tcPr>
            <w:tcW w:w="673" w:type="pct"/>
            <w:vAlign w:val="center"/>
          </w:tcPr>
          <w:p w14:paraId="53FE7E5E">
            <w:pPr>
              <w:jc w:val="center"/>
              <w:rPr>
                <w:rFonts w:ascii="Times New Roman" w:hAnsi="Times New Roman" w:eastAsia="宋体" w:cs="Times New Roman"/>
                <w:color w:val="auto"/>
                <w:sz w:val="22"/>
              </w:rPr>
            </w:pPr>
            <w:r>
              <w:rPr>
                <w:rFonts w:ascii="Times New Roman" w:hAnsi="Times New Roman" w:eastAsia="宋体" w:cs="Times New Roman"/>
                <w:color w:val="auto"/>
                <w:sz w:val="22"/>
              </w:rPr>
              <w:t>5~15</w:t>
            </w:r>
          </w:p>
        </w:tc>
        <w:tc>
          <w:tcPr>
            <w:tcW w:w="720" w:type="pct"/>
            <w:vAlign w:val="center"/>
          </w:tcPr>
          <w:p w14:paraId="6542C9B1">
            <w:pPr>
              <w:jc w:val="center"/>
              <w:rPr>
                <w:rFonts w:ascii="Times New Roman" w:hAnsi="Times New Roman" w:eastAsia="宋体" w:cs="Times New Roman"/>
                <w:color w:val="auto"/>
                <w:sz w:val="22"/>
              </w:rPr>
            </w:pPr>
            <w:r>
              <w:rPr>
                <w:rFonts w:ascii="Times New Roman" w:hAnsi="Times New Roman" w:eastAsia="宋体" w:cs="Times New Roman"/>
                <w:color w:val="auto"/>
                <w:sz w:val="22"/>
              </w:rPr>
              <w:t>100.5</w:t>
            </w:r>
          </w:p>
        </w:tc>
      </w:tr>
      <w:tr w14:paraId="372D7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719" w:type="pct"/>
            <w:vAlign w:val="center"/>
          </w:tcPr>
          <w:p w14:paraId="1AAB02C4">
            <w:pPr>
              <w:jc w:val="center"/>
              <w:rPr>
                <w:rFonts w:ascii="Times New Roman" w:hAnsi="Times New Roman" w:eastAsia="宋体" w:cs="Times New Roman"/>
                <w:color w:val="auto"/>
                <w:sz w:val="22"/>
              </w:rPr>
            </w:pPr>
            <w:r>
              <w:rPr>
                <w:rFonts w:ascii="Times New Roman" w:hAnsi="Times New Roman" w:eastAsia="宋体" w:cs="Times New Roman"/>
                <w:color w:val="auto"/>
                <w:sz w:val="22"/>
              </w:rPr>
              <w:t>2022.2.26</w:t>
            </w:r>
          </w:p>
        </w:tc>
        <w:tc>
          <w:tcPr>
            <w:tcW w:w="711" w:type="pct"/>
            <w:vAlign w:val="center"/>
          </w:tcPr>
          <w:p w14:paraId="2D95D6DF">
            <w:pPr>
              <w:jc w:val="center"/>
              <w:rPr>
                <w:rFonts w:ascii="Times New Roman" w:hAnsi="Times New Roman" w:eastAsia="宋体" w:cs="Times New Roman"/>
                <w:color w:val="auto"/>
                <w:sz w:val="22"/>
              </w:rPr>
            </w:pPr>
            <w:r>
              <w:rPr>
                <w:rFonts w:ascii="Times New Roman" w:hAnsi="Times New Roman" w:eastAsia="宋体" w:cs="Times New Roman"/>
                <w:color w:val="auto"/>
                <w:sz w:val="22"/>
              </w:rPr>
              <w:t>晴</w:t>
            </w:r>
          </w:p>
        </w:tc>
        <w:tc>
          <w:tcPr>
            <w:tcW w:w="713" w:type="pct"/>
            <w:vAlign w:val="center"/>
          </w:tcPr>
          <w:p w14:paraId="6860EF4B">
            <w:pPr>
              <w:jc w:val="center"/>
              <w:rPr>
                <w:rFonts w:ascii="Times New Roman" w:hAnsi="Times New Roman" w:eastAsia="宋体" w:cs="Times New Roman"/>
                <w:color w:val="auto"/>
                <w:sz w:val="22"/>
              </w:rPr>
            </w:pPr>
            <w:r>
              <w:rPr>
                <w:rFonts w:ascii="Times New Roman" w:hAnsi="Times New Roman" w:eastAsia="宋体" w:cs="Times New Roman"/>
                <w:color w:val="auto"/>
                <w:sz w:val="22"/>
              </w:rPr>
              <w:t>西南</w:t>
            </w:r>
          </w:p>
        </w:tc>
        <w:tc>
          <w:tcPr>
            <w:tcW w:w="711" w:type="pct"/>
            <w:vAlign w:val="center"/>
          </w:tcPr>
          <w:p w14:paraId="69C8F89E">
            <w:pPr>
              <w:jc w:val="center"/>
              <w:rPr>
                <w:rFonts w:ascii="Times New Roman" w:hAnsi="Times New Roman" w:eastAsia="宋体" w:cs="Times New Roman"/>
                <w:color w:val="auto"/>
                <w:sz w:val="22"/>
              </w:rPr>
            </w:pPr>
            <w:r>
              <w:rPr>
                <w:rFonts w:ascii="Times New Roman" w:hAnsi="Times New Roman" w:eastAsia="宋体" w:cs="Times New Roman"/>
                <w:color w:val="auto"/>
                <w:sz w:val="22"/>
              </w:rPr>
              <w:t>1.5</w:t>
            </w:r>
          </w:p>
        </w:tc>
        <w:tc>
          <w:tcPr>
            <w:tcW w:w="750" w:type="pct"/>
            <w:vAlign w:val="center"/>
          </w:tcPr>
          <w:p w14:paraId="5DF6C693">
            <w:pPr>
              <w:jc w:val="center"/>
              <w:rPr>
                <w:rFonts w:ascii="Times New Roman" w:hAnsi="Times New Roman" w:eastAsia="宋体" w:cs="Times New Roman"/>
                <w:color w:val="auto"/>
                <w:sz w:val="22"/>
              </w:rPr>
            </w:pPr>
            <w:r>
              <w:rPr>
                <w:rFonts w:ascii="Times New Roman" w:hAnsi="Times New Roman" w:eastAsia="宋体" w:cs="Times New Roman"/>
                <w:color w:val="auto"/>
                <w:sz w:val="22"/>
              </w:rPr>
              <w:t>54</w:t>
            </w:r>
          </w:p>
        </w:tc>
        <w:tc>
          <w:tcPr>
            <w:tcW w:w="673" w:type="pct"/>
            <w:vAlign w:val="center"/>
          </w:tcPr>
          <w:p w14:paraId="5F2CD4EF">
            <w:pPr>
              <w:jc w:val="center"/>
              <w:rPr>
                <w:rFonts w:ascii="Times New Roman" w:hAnsi="Times New Roman" w:eastAsia="宋体" w:cs="Times New Roman"/>
                <w:color w:val="auto"/>
                <w:sz w:val="22"/>
              </w:rPr>
            </w:pPr>
            <w:r>
              <w:rPr>
                <w:rFonts w:ascii="Times New Roman" w:hAnsi="Times New Roman" w:eastAsia="宋体" w:cs="Times New Roman"/>
                <w:color w:val="auto"/>
                <w:sz w:val="22"/>
              </w:rPr>
              <w:t>3~17</w:t>
            </w:r>
          </w:p>
        </w:tc>
        <w:tc>
          <w:tcPr>
            <w:tcW w:w="720" w:type="pct"/>
            <w:vAlign w:val="center"/>
          </w:tcPr>
          <w:p w14:paraId="55F1C55E">
            <w:pPr>
              <w:jc w:val="center"/>
              <w:rPr>
                <w:rFonts w:ascii="Times New Roman" w:hAnsi="Times New Roman" w:eastAsia="宋体" w:cs="Times New Roman"/>
                <w:color w:val="auto"/>
                <w:sz w:val="22"/>
              </w:rPr>
            </w:pPr>
            <w:r>
              <w:rPr>
                <w:rFonts w:ascii="Times New Roman" w:hAnsi="Times New Roman" w:eastAsia="宋体" w:cs="Times New Roman"/>
                <w:color w:val="auto"/>
                <w:sz w:val="22"/>
              </w:rPr>
              <w:t>100.3</w:t>
            </w:r>
          </w:p>
        </w:tc>
      </w:tr>
      <w:tr w14:paraId="625D4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719" w:type="pct"/>
            <w:vAlign w:val="center"/>
          </w:tcPr>
          <w:p w14:paraId="66B78738">
            <w:pPr>
              <w:jc w:val="center"/>
              <w:rPr>
                <w:rFonts w:ascii="Times New Roman" w:hAnsi="Times New Roman" w:eastAsia="宋体" w:cs="Times New Roman"/>
                <w:color w:val="auto"/>
                <w:sz w:val="22"/>
              </w:rPr>
            </w:pPr>
            <w:r>
              <w:rPr>
                <w:rFonts w:ascii="Times New Roman" w:hAnsi="Times New Roman" w:eastAsia="宋体" w:cs="Times New Roman"/>
                <w:color w:val="auto"/>
                <w:sz w:val="22"/>
              </w:rPr>
              <w:t>2022.2.27</w:t>
            </w:r>
          </w:p>
        </w:tc>
        <w:tc>
          <w:tcPr>
            <w:tcW w:w="711" w:type="pct"/>
            <w:vAlign w:val="center"/>
          </w:tcPr>
          <w:p w14:paraId="29CB625C">
            <w:pPr>
              <w:jc w:val="center"/>
              <w:rPr>
                <w:rFonts w:ascii="Times New Roman" w:hAnsi="Times New Roman" w:eastAsia="宋体" w:cs="Times New Roman"/>
                <w:color w:val="auto"/>
                <w:sz w:val="22"/>
              </w:rPr>
            </w:pPr>
            <w:r>
              <w:rPr>
                <w:rFonts w:ascii="Times New Roman" w:hAnsi="Times New Roman" w:eastAsia="宋体" w:cs="Times New Roman"/>
                <w:color w:val="auto"/>
                <w:sz w:val="22"/>
              </w:rPr>
              <w:t>阴</w:t>
            </w:r>
          </w:p>
        </w:tc>
        <w:tc>
          <w:tcPr>
            <w:tcW w:w="713" w:type="pct"/>
            <w:vAlign w:val="center"/>
          </w:tcPr>
          <w:p w14:paraId="7A89364A">
            <w:pPr>
              <w:jc w:val="center"/>
              <w:rPr>
                <w:rFonts w:ascii="Times New Roman" w:hAnsi="Times New Roman" w:eastAsia="宋体" w:cs="Times New Roman"/>
                <w:color w:val="auto"/>
                <w:sz w:val="22"/>
              </w:rPr>
            </w:pPr>
            <w:r>
              <w:rPr>
                <w:rFonts w:ascii="Times New Roman" w:hAnsi="Times New Roman" w:eastAsia="宋体" w:cs="Times New Roman"/>
                <w:color w:val="auto"/>
                <w:sz w:val="22"/>
              </w:rPr>
              <w:t>南</w:t>
            </w:r>
          </w:p>
        </w:tc>
        <w:tc>
          <w:tcPr>
            <w:tcW w:w="711" w:type="pct"/>
            <w:vAlign w:val="center"/>
          </w:tcPr>
          <w:p w14:paraId="7CF4B109">
            <w:pPr>
              <w:jc w:val="center"/>
              <w:rPr>
                <w:rFonts w:ascii="Times New Roman" w:hAnsi="Times New Roman" w:eastAsia="宋体" w:cs="Times New Roman"/>
                <w:color w:val="auto"/>
                <w:sz w:val="22"/>
              </w:rPr>
            </w:pPr>
            <w:r>
              <w:rPr>
                <w:rFonts w:ascii="Times New Roman" w:hAnsi="Times New Roman" w:eastAsia="宋体" w:cs="Times New Roman"/>
                <w:color w:val="auto"/>
                <w:sz w:val="22"/>
              </w:rPr>
              <w:t>2.2</w:t>
            </w:r>
          </w:p>
        </w:tc>
        <w:tc>
          <w:tcPr>
            <w:tcW w:w="750" w:type="pct"/>
            <w:vAlign w:val="center"/>
          </w:tcPr>
          <w:p w14:paraId="5238A5B9">
            <w:pPr>
              <w:jc w:val="center"/>
              <w:rPr>
                <w:rFonts w:ascii="Times New Roman" w:hAnsi="Times New Roman" w:eastAsia="宋体" w:cs="Times New Roman"/>
                <w:color w:val="auto"/>
                <w:sz w:val="22"/>
              </w:rPr>
            </w:pPr>
            <w:r>
              <w:rPr>
                <w:rFonts w:ascii="Times New Roman" w:hAnsi="Times New Roman" w:eastAsia="宋体" w:cs="Times New Roman"/>
                <w:color w:val="auto"/>
                <w:sz w:val="22"/>
              </w:rPr>
              <w:t>57</w:t>
            </w:r>
          </w:p>
        </w:tc>
        <w:tc>
          <w:tcPr>
            <w:tcW w:w="673" w:type="pct"/>
            <w:vAlign w:val="center"/>
          </w:tcPr>
          <w:p w14:paraId="623A82FF">
            <w:pPr>
              <w:jc w:val="center"/>
              <w:rPr>
                <w:rFonts w:ascii="Times New Roman" w:hAnsi="Times New Roman" w:eastAsia="宋体" w:cs="Times New Roman"/>
                <w:color w:val="auto"/>
                <w:sz w:val="22"/>
              </w:rPr>
            </w:pPr>
            <w:r>
              <w:rPr>
                <w:rFonts w:ascii="Times New Roman" w:hAnsi="Times New Roman" w:eastAsia="宋体" w:cs="Times New Roman"/>
                <w:color w:val="auto"/>
                <w:sz w:val="22"/>
              </w:rPr>
              <w:t>9~17</w:t>
            </w:r>
          </w:p>
        </w:tc>
        <w:tc>
          <w:tcPr>
            <w:tcW w:w="720" w:type="pct"/>
            <w:vAlign w:val="center"/>
          </w:tcPr>
          <w:p w14:paraId="79C053D7">
            <w:pPr>
              <w:jc w:val="center"/>
              <w:rPr>
                <w:rFonts w:ascii="Times New Roman" w:hAnsi="Times New Roman" w:eastAsia="宋体" w:cs="Times New Roman"/>
                <w:color w:val="auto"/>
                <w:sz w:val="22"/>
              </w:rPr>
            </w:pPr>
            <w:r>
              <w:rPr>
                <w:rFonts w:ascii="Times New Roman" w:hAnsi="Times New Roman" w:eastAsia="宋体" w:cs="Times New Roman"/>
                <w:color w:val="auto"/>
                <w:sz w:val="22"/>
              </w:rPr>
              <w:t>100.7</w:t>
            </w:r>
          </w:p>
        </w:tc>
      </w:tr>
      <w:tr w14:paraId="535BA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719" w:type="pct"/>
            <w:vAlign w:val="center"/>
          </w:tcPr>
          <w:p w14:paraId="3032CD12">
            <w:pPr>
              <w:jc w:val="center"/>
              <w:rPr>
                <w:rFonts w:ascii="Times New Roman" w:hAnsi="Times New Roman" w:eastAsia="宋体" w:cs="Times New Roman"/>
                <w:color w:val="auto"/>
                <w:sz w:val="22"/>
              </w:rPr>
            </w:pPr>
            <w:r>
              <w:rPr>
                <w:rFonts w:ascii="Times New Roman" w:hAnsi="Times New Roman" w:eastAsia="宋体" w:cs="Times New Roman"/>
                <w:color w:val="auto"/>
                <w:sz w:val="22"/>
              </w:rPr>
              <w:t>2022.3.28</w:t>
            </w:r>
          </w:p>
        </w:tc>
        <w:tc>
          <w:tcPr>
            <w:tcW w:w="711" w:type="pct"/>
            <w:vAlign w:val="center"/>
          </w:tcPr>
          <w:p w14:paraId="27F20934">
            <w:pPr>
              <w:jc w:val="center"/>
              <w:rPr>
                <w:rFonts w:ascii="Times New Roman" w:hAnsi="Times New Roman" w:eastAsia="宋体" w:cs="Times New Roman"/>
                <w:color w:val="auto"/>
                <w:sz w:val="22"/>
              </w:rPr>
            </w:pPr>
            <w:r>
              <w:rPr>
                <w:rFonts w:ascii="Times New Roman" w:hAnsi="Times New Roman" w:eastAsia="宋体" w:cs="Times New Roman"/>
                <w:color w:val="auto"/>
                <w:sz w:val="22"/>
              </w:rPr>
              <w:t>阴</w:t>
            </w:r>
          </w:p>
        </w:tc>
        <w:tc>
          <w:tcPr>
            <w:tcW w:w="713" w:type="pct"/>
            <w:vAlign w:val="center"/>
          </w:tcPr>
          <w:p w14:paraId="0B57C551">
            <w:pPr>
              <w:jc w:val="center"/>
              <w:rPr>
                <w:rFonts w:ascii="Times New Roman" w:hAnsi="Times New Roman" w:eastAsia="宋体" w:cs="Times New Roman"/>
                <w:color w:val="auto"/>
                <w:sz w:val="22"/>
              </w:rPr>
            </w:pPr>
            <w:r>
              <w:rPr>
                <w:rFonts w:ascii="Times New Roman" w:hAnsi="Times New Roman" w:eastAsia="宋体" w:cs="Times New Roman"/>
                <w:color w:val="auto"/>
                <w:sz w:val="22"/>
              </w:rPr>
              <w:t>北</w:t>
            </w:r>
          </w:p>
        </w:tc>
        <w:tc>
          <w:tcPr>
            <w:tcW w:w="711" w:type="pct"/>
            <w:vAlign w:val="center"/>
          </w:tcPr>
          <w:p w14:paraId="41397B75">
            <w:pPr>
              <w:jc w:val="center"/>
              <w:rPr>
                <w:rFonts w:ascii="Times New Roman" w:hAnsi="Times New Roman" w:eastAsia="宋体" w:cs="Times New Roman"/>
                <w:color w:val="auto"/>
                <w:sz w:val="22"/>
              </w:rPr>
            </w:pPr>
            <w:r>
              <w:rPr>
                <w:rFonts w:ascii="Times New Roman" w:hAnsi="Times New Roman" w:eastAsia="宋体" w:cs="Times New Roman"/>
                <w:color w:val="auto"/>
                <w:sz w:val="22"/>
              </w:rPr>
              <w:t>2.1</w:t>
            </w:r>
          </w:p>
        </w:tc>
        <w:tc>
          <w:tcPr>
            <w:tcW w:w="750" w:type="pct"/>
            <w:vAlign w:val="center"/>
          </w:tcPr>
          <w:p w14:paraId="554218D6">
            <w:pPr>
              <w:jc w:val="center"/>
              <w:rPr>
                <w:rFonts w:ascii="Times New Roman" w:hAnsi="Times New Roman" w:eastAsia="宋体" w:cs="Times New Roman"/>
                <w:color w:val="auto"/>
                <w:sz w:val="22"/>
              </w:rPr>
            </w:pPr>
            <w:r>
              <w:rPr>
                <w:rFonts w:ascii="Times New Roman" w:hAnsi="Times New Roman" w:eastAsia="宋体" w:cs="Times New Roman"/>
                <w:color w:val="auto"/>
                <w:sz w:val="22"/>
              </w:rPr>
              <w:t>61</w:t>
            </w:r>
          </w:p>
        </w:tc>
        <w:tc>
          <w:tcPr>
            <w:tcW w:w="673" w:type="pct"/>
            <w:vAlign w:val="center"/>
          </w:tcPr>
          <w:p w14:paraId="63BFA1B5">
            <w:pPr>
              <w:jc w:val="center"/>
              <w:rPr>
                <w:rFonts w:ascii="Times New Roman" w:hAnsi="Times New Roman" w:eastAsia="宋体" w:cs="Times New Roman"/>
                <w:color w:val="auto"/>
                <w:sz w:val="22"/>
              </w:rPr>
            </w:pPr>
            <w:r>
              <w:rPr>
                <w:rFonts w:ascii="Times New Roman" w:hAnsi="Times New Roman" w:eastAsia="宋体" w:cs="Times New Roman"/>
                <w:color w:val="auto"/>
                <w:sz w:val="22"/>
              </w:rPr>
              <w:t>8~14</w:t>
            </w:r>
          </w:p>
        </w:tc>
        <w:tc>
          <w:tcPr>
            <w:tcW w:w="720" w:type="pct"/>
            <w:vAlign w:val="center"/>
          </w:tcPr>
          <w:p w14:paraId="49AB8009">
            <w:pPr>
              <w:jc w:val="center"/>
              <w:rPr>
                <w:rFonts w:ascii="Times New Roman" w:hAnsi="Times New Roman" w:eastAsia="宋体" w:cs="Times New Roman"/>
                <w:color w:val="auto"/>
                <w:sz w:val="22"/>
              </w:rPr>
            </w:pPr>
            <w:r>
              <w:rPr>
                <w:rFonts w:ascii="Times New Roman" w:hAnsi="Times New Roman" w:eastAsia="宋体" w:cs="Times New Roman"/>
                <w:color w:val="auto"/>
                <w:sz w:val="22"/>
              </w:rPr>
              <w:t>100.6</w:t>
            </w:r>
          </w:p>
        </w:tc>
      </w:tr>
      <w:tr w14:paraId="0EC4A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719" w:type="pct"/>
            <w:vAlign w:val="center"/>
          </w:tcPr>
          <w:p w14:paraId="7E130070">
            <w:pPr>
              <w:jc w:val="center"/>
              <w:rPr>
                <w:rFonts w:ascii="Times New Roman" w:hAnsi="Times New Roman" w:eastAsia="宋体" w:cs="Times New Roman"/>
                <w:color w:val="auto"/>
                <w:sz w:val="22"/>
              </w:rPr>
            </w:pPr>
            <w:r>
              <w:rPr>
                <w:rFonts w:ascii="Times New Roman" w:hAnsi="Times New Roman" w:eastAsia="宋体" w:cs="Times New Roman"/>
                <w:color w:val="auto"/>
                <w:sz w:val="22"/>
              </w:rPr>
              <w:t>2022.3.1</w:t>
            </w:r>
          </w:p>
        </w:tc>
        <w:tc>
          <w:tcPr>
            <w:tcW w:w="711" w:type="pct"/>
            <w:vAlign w:val="center"/>
          </w:tcPr>
          <w:p w14:paraId="3A04C61E">
            <w:pPr>
              <w:jc w:val="center"/>
              <w:rPr>
                <w:rFonts w:ascii="Times New Roman" w:hAnsi="Times New Roman" w:eastAsia="宋体" w:cs="Times New Roman"/>
                <w:color w:val="auto"/>
                <w:sz w:val="22"/>
              </w:rPr>
            </w:pPr>
            <w:r>
              <w:rPr>
                <w:rFonts w:ascii="Times New Roman" w:hAnsi="Times New Roman" w:eastAsia="宋体" w:cs="Times New Roman"/>
                <w:color w:val="auto"/>
                <w:sz w:val="22"/>
              </w:rPr>
              <w:t>晴</w:t>
            </w:r>
          </w:p>
        </w:tc>
        <w:tc>
          <w:tcPr>
            <w:tcW w:w="713" w:type="pct"/>
            <w:vAlign w:val="center"/>
          </w:tcPr>
          <w:p w14:paraId="6431496F">
            <w:pPr>
              <w:jc w:val="center"/>
              <w:rPr>
                <w:rFonts w:ascii="Times New Roman" w:hAnsi="Times New Roman" w:eastAsia="宋体" w:cs="Times New Roman"/>
                <w:color w:val="auto"/>
                <w:sz w:val="22"/>
              </w:rPr>
            </w:pPr>
            <w:r>
              <w:rPr>
                <w:rFonts w:ascii="Times New Roman" w:hAnsi="Times New Roman" w:eastAsia="宋体" w:cs="Times New Roman"/>
                <w:color w:val="auto"/>
                <w:sz w:val="22"/>
              </w:rPr>
              <w:t>东北</w:t>
            </w:r>
          </w:p>
        </w:tc>
        <w:tc>
          <w:tcPr>
            <w:tcW w:w="711" w:type="pct"/>
            <w:vAlign w:val="center"/>
          </w:tcPr>
          <w:p w14:paraId="51DB0DAD">
            <w:pPr>
              <w:jc w:val="center"/>
              <w:rPr>
                <w:rFonts w:ascii="Times New Roman" w:hAnsi="Times New Roman" w:eastAsia="宋体" w:cs="Times New Roman"/>
                <w:color w:val="auto"/>
                <w:sz w:val="22"/>
              </w:rPr>
            </w:pPr>
            <w:r>
              <w:rPr>
                <w:rFonts w:ascii="Times New Roman" w:hAnsi="Times New Roman" w:eastAsia="宋体" w:cs="Times New Roman"/>
                <w:color w:val="auto"/>
                <w:sz w:val="22"/>
              </w:rPr>
              <w:t>2.2</w:t>
            </w:r>
          </w:p>
        </w:tc>
        <w:tc>
          <w:tcPr>
            <w:tcW w:w="750" w:type="pct"/>
            <w:vAlign w:val="center"/>
          </w:tcPr>
          <w:p w14:paraId="5BA88455">
            <w:pPr>
              <w:jc w:val="center"/>
              <w:rPr>
                <w:rFonts w:ascii="Times New Roman" w:hAnsi="Times New Roman" w:eastAsia="宋体" w:cs="Times New Roman"/>
                <w:color w:val="auto"/>
                <w:sz w:val="22"/>
              </w:rPr>
            </w:pPr>
            <w:r>
              <w:rPr>
                <w:rFonts w:ascii="Times New Roman" w:hAnsi="Times New Roman" w:eastAsia="宋体" w:cs="Times New Roman"/>
                <w:color w:val="auto"/>
                <w:sz w:val="22"/>
              </w:rPr>
              <w:t>56</w:t>
            </w:r>
          </w:p>
        </w:tc>
        <w:tc>
          <w:tcPr>
            <w:tcW w:w="673" w:type="pct"/>
            <w:vAlign w:val="center"/>
          </w:tcPr>
          <w:p w14:paraId="6AE98C97">
            <w:pPr>
              <w:jc w:val="center"/>
              <w:rPr>
                <w:rFonts w:ascii="Times New Roman" w:hAnsi="Times New Roman" w:eastAsia="宋体" w:cs="Times New Roman"/>
                <w:color w:val="auto"/>
                <w:sz w:val="22"/>
              </w:rPr>
            </w:pPr>
            <w:r>
              <w:rPr>
                <w:rFonts w:ascii="Times New Roman" w:hAnsi="Times New Roman" w:eastAsia="宋体" w:cs="Times New Roman"/>
                <w:color w:val="auto"/>
                <w:sz w:val="22"/>
              </w:rPr>
              <w:t>5~16</w:t>
            </w:r>
          </w:p>
        </w:tc>
        <w:tc>
          <w:tcPr>
            <w:tcW w:w="720" w:type="pct"/>
            <w:vAlign w:val="center"/>
          </w:tcPr>
          <w:p w14:paraId="1CC36349">
            <w:pPr>
              <w:jc w:val="center"/>
              <w:rPr>
                <w:rFonts w:ascii="Times New Roman" w:hAnsi="Times New Roman" w:eastAsia="宋体" w:cs="Times New Roman"/>
                <w:color w:val="auto"/>
                <w:sz w:val="22"/>
              </w:rPr>
            </w:pPr>
            <w:r>
              <w:rPr>
                <w:rFonts w:ascii="Times New Roman" w:hAnsi="Times New Roman" w:eastAsia="宋体" w:cs="Times New Roman"/>
                <w:color w:val="auto"/>
                <w:sz w:val="22"/>
              </w:rPr>
              <w:t>100.4</w:t>
            </w:r>
          </w:p>
        </w:tc>
      </w:tr>
      <w:tr w14:paraId="3A06B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719" w:type="pct"/>
            <w:vAlign w:val="center"/>
          </w:tcPr>
          <w:p w14:paraId="293B6623">
            <w:pPr>
              <w:jc w:val="center"/>
              <w:rPr>
                <w:rFonts w:ascii="Times New Roman" w:hAnsi="Times New Roman" w:eastAsia="宋体" w:cs="Times New Roman"/>
                <w:color w:val="auto"/>
                <w:sz w:val="22"/>
              </w:rPr>
            </w:pPr>
            <w:r>
              <w:rPr>
                <w:rFonts w:ascii="Times New Roman" w:hAnsi="Times New Roman" w:eastAsia="宋体" w:cs="Times New Roman"/>
                <w:color w:val="auto"/>
                <w:sz w:val="22"/>
              </w:rPr>
              <w:t>2022.3.2</w:t>
            </w:r>
          </w:p>
        </w:tc>
        <w:tc>
          <w:tcPr>
            <w:tcW w:w="711" w:type="pct"/>
            <w:vAlign w:val="center"/>
          </w:tcPr>
          <w:p w14:paraId="66CA0908">
            <w:pPr>
              <w:jc w:val="center"/>
              <w:rPr>
                <w:rFonts w:ascii="Times New Roman" w:hAnsi="Times New Roman" w:eastAsia="宋体" w:cs="Times New Roman"/>
                <w:color w:val="auto"/>
                <w:sz w:val="22"/>
              </w:rPr>
            </w:pPr>
            <w:r>
              <w:rPr>
                <w:rFonts w:ascii="Times New Roman" w:hAnsi="Times New Roman" w:eastAsia="宋体" w:cs="Times New Roman"/>
                <w:color w:val="auto"/>
                <w:sz w:val="22"/>
              </w:rPr>
              <w:t>多云</w:t>
            </w:r>
          </w:p>
        </w:tc>
        <w:tc>
          <w:tcPr>
            <w:tcW w:w="713" w:type="pct"/>
            <w:vAlign w:val="center"/>
          </w:tcPr>
          <w:p w14:paraId="6FC95A36">
            <w:pPr>
              <w:jc w:val="center"/>
              <w:rPr>
                <w:rFonts w:ascii="Times New Roman" w:hAnsi="Times New Roman" w:eastAsia="宋体" w:cs="Times New Roman"/>
                <w:color w:val="auto"/>
                <w:sz w:val="22"/>
              </w:rPr>
            </w:pPr>
            <w:r>
              <w:rPr>
                <w:rFonts w:ascii="Times New Roman" w:hAnsi="Times New Roman" w:eastAsia="宋体" w:cs="Times New Roman"/>
                <w:color w:val="auto"/>
                <w:sz w:val="22"/>
              </w:rPr>
              <w:t>南</w:t>
            </w:r>
          </w:p>
        </w:tc>
        <w:tc>
          <w:tcPr>
            <w:tcW w:w="711" w:type="pct"/>
            <w:vAlign w:val="center"/>
          </w:tcPr>
          <w:p w14:paraId="1A96AF73">
            <w:pPr>
              <w:jc w:val="center"/>
              <w:rPr>
                <w:rFonts w:ascii="Times New Roman" w:hAnsi="Times New Roman" w:eastAsia="宋体" w:cs="Times New Roman"/>
                <w:color w:val="auto"/>
                <w:sz w:val="22"/>
              </w:rPr>
            </w:pPr>
            <w:r>
              <w:rPr>
                <w:rFonts w:ascii="Times New Roman" w:hAnsi="Times New Roman" w:eastAsia="宋体" w:cs="Times New Roman"/>
                <w:color w:val="auto"/>
                <w:sz w:val="22"/>
              </w:rPr>
              <w:t>1.9</w:t>
            </w:r>
          </w:p>
        </w:tc>
        <w:tc>
          <w:tcPr>
            <w:tcW w:w="750" w:type="pct"/>
            <w:vAlign w:val="center"/>
          </w:tcPr>
          <w:p w14:paraId="21D57C90">
            <w:pPr>
              <w:jc w:val="center"/>
              <w:rPr>
                <w:rFonts w:ascii="Times New Roman" w:hAnsi="Times New Roman" w:eastAsia="宋体" w:cs="Times New Roman"/>
                <w:color w:val="auto"/>
                <w:sz w:val="22"/>
              </w:rPr>
            </w:pPr>
            <w:r>
              <w:rPr>
                <w:rFonts w:ascii="Times New Roman" w:hAnsi="Times New Roman" w:eastAsia="宋体" w:cs="Times New Roman"/>
                <w:color w:val="auto"/>
                <w:sz w:val="22"/>
              </w:rPr>
              <w:t>53</w:t>
            </w:r>
          </w:p>
        </w:tc>
        <w:tc>
          <w:tcPr>
            <w:tcW w:w="673" w:type="pct"/>
            <w:vAlign w:val="center"/>
          </w:tcPr>
          <w:p w14:paraId="1618531E">
            <w:pPr>
              <w:jc w:val="center"/>
              <w:rPr>
                <w:rFonts w:ascii="Times New Roman" w:hAnsi="Times New Roman" w:eastAsia="宋体" w:cs="Times New Roman"/>
                <w:color w:val="auto"/>
                <w:sz w:val="22"/>
              </w:rPr>
            </w:pPr>
            <w:r>
              <w:rPr>
                <w:rFonts w:ascii="Times New Roman" w:hAnsi="Times New Roman" w:eastAsia="宋体" w:cs="Times New Roman"/>
                <w:color w:val="auto"/>
                <w:sz w:val="22"/>
              </w:rPr>
              <w:t>9~19</w:t>
            </w:r>
          </w:p>
        </w:tc>
        <w:tc>
          <w:tcPr>
            <w:tcW w:w="720" w:type="pct"/>
            <w:vAlign w:val="center"/>
          </w:tcPr>
          <w:p w14:paraId="3E395F38">
            <w:pPr>
              <w:jc w:val="center"/>
              <w:rPr>
                <w:rFonts w:ascii="Times New Roman" w:hAnsi="Times New Roman" w:eastAsia="宋体" w:cs="Times New Roman"/>
                <w:color w:val="auto"/>
                <w:sz w:val="22"/>
              </w:rPr>
            </w:pPr>
            <w:r>
              <w:rPr>
                <w:rFonts w:ascii="Times New Roman" w:hAnsi="Times New Roman" w:eastAsia="宋体" w:cs="Times New Roman"/>
                <w:color w:val="auto"/>
                <w:sz w:val="22"/>
              </w:rPr>
              <w:t>100.5</w:t>
            </w:r>
          </w:p>
        </w:tc>
      </w:tr>
      <w:tr w14:paraId="49484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719" w:type="pct"/>
            <w:vAlign w:val="center"/>
          </w:tcPr>
          <w:p w14:paraId="2FEBDCB9">
            <w:pPr>
              <w:jc w:val="center"/>
              <w:rPr>
                <w:rFonts w:ascii="Times New Roman" w:hAnsi="Times New Roman" w:eastAsia="宋体" w:cs="Times New Roman"/>
                <w:color w:val="auto"/>
                <w:sz w:val="22"/>
              </w:rPr>
            </w:pPr>
            <w:r>
              <w:rPr>
                <w:rFonts w:ascii="Times New Roman" w:hAnsi="Times New Roman" w:eastAsia="宋体" w:cs="Times New Roman"/>
                <w:color w:val="auto"/>
                <w:sz w:val="22"/>
              </w:rPr>
              <w:t>2022.3.3</w:t>
            </w:r>
          </w:p>
        </w:tc>
        <w:tc>
          <w:tcPr>
            <w:tcW w:w="711" w:type="pct"/>
            <w:vAlign w:val="center"/>
          </w:tcPr>
          <w:p w14:paraId="067F6A4B">
            <w:pPr>
              <w:jc w:val="center"/>
              <w:rPr>
                <w:rFonts w:ascii="Times New Roman" w:hAnsi="Times New Roman" w:eastAsia="宋体" w:cs="Times New Roman"/>
                <w:color w:val="auto"/>
                <w:sz w:val="22"/>
              </w:rPr>
            </w:pPr>
            <w:r>
              <w:rPr>
                <w:rFonts w:ascii="Times New Roman" w:hAnsi="Times New Roman" w:eastAsia="宋体" w:cs="Times New Roman"/>
                <w:color w:val="auto"/>
                <w:sz w:val="22"/>
              </w:rPr>
              <w:t>多云</w:t>
            </w:r>
          </w:p>
        </w:tc>
        <w:tc>
          <w:tcPr>
            <w:tcW w:w="713" w:type="pct"/>
            <w:vAlign w:val="center"/>
          </w:tcPr>
          <w:p w14:paraId="611D84DA">
            <w:pPr>
              <w:jc w:val="center"/>
              <w:rPr>
                <w:rFonts w:ascii="Times New Roman" w:hAnsi="Times New Roman" w:eastAsia="宋体" w:cs="Times New Roman"/>
                <w:color w:val="auto"/>
                <w:sz w:val="22"/>
              </w:rPr>
            </w:pPr>
            <w:r>
              <w:rPr>
                <w:rFonts w:ascii="Times New Roman" w:hAnsi="Times New Roman" w:eastAsia="宋体" w:cs="Times New Roman"/>
                <w:color w:val="auto"/>
                <w:sz w:val="22"/>
              </w:rPr>
              <w:t>西北</w:t>
            </w:r>
          </w:p>
        </w:tc>
        <w:tc>
          <w:tcPr>
            <w:tcW w:w="711" w:type="pct"/>
            <w:vAlign w:val="center"/>
          </w:tcPr>
          <w:p w14:paraId="447E9595">
            <w:pPr>
              <w:jc w:val="center"/>
              <w:rPr>
                <w:rFonts w:ascii="Times New Roman" w:hAnsi="Times New Roman" w:eastAsia="宋体" w:cs="Times New Roman"/>
                <w:color w:val="auto"/>
                <w:sz w:val="22"/>
              </w:rPr>
            </w:pPr>
            <w:r>
              <w:rPr>
                <w:rFonts w:ascii="Times New Roman" w:hAnsi="Times New Roman" w:eastAsia="宋体" w:cs="Times New Roman"/>
                <w:color w:val="auto"/>
                <w:sz w:val="22"/>
              </w:rPr>
              <w:t>1.3</w:t>
            </w:r>
          </w:p>
        </w:tc>
        <w:tc>
          <w:tcPr>
            <w:tcW w:w="750" w:type="pct"/>
            <w:vAlign w:val="center"/>
          </w:tcPr>
          <w:p w14:paraId="473D4EAB">
            <w:pPr>
              <w:jc w:val="center"/>
              <w:rPr>
                <w:rFonts w:ascii="Times New Roman" w:hAnsi="Times New Roman" w:eastAsia="宋体" w:cs="Times New Roman"/>
                <w:color w:val="auto"/>
                <w:sz w:val="22"/>
              </w:rPr>
            </w:pPr>
            <w:r>
              <w:rPr>
                <w:rFonts w:ascii="Times New Roman" w:hAnsi="Times New Roman" w:eastAsia="宋体" w:cs="Times New Roman"/>
                <w:color w:val="auto"/>
                <w:sz w:val="22"/>
              </w:rPr>
              <w:t>58</w:t>
            </w:r>
          </w:p>
        </w:tc>
        <w:tc>
          <w:tcPr>
            <w:tcW w:w="673" w:type="pct"/>
            <w:vAlign w:val="center"/>
          </w:tcPr>
          <w:p w14:paraId="15FFD249">
            <w:pPr>
              <w:jc w:val="center"/>
              <w:rPr>
                <w:rFonts w:ascii="Times New Roman" w:hAnsi="Times New Roman" w:eastAsia="宋体" w:cs="Times New Roman"/>
                <w:color w:val="auto"/>
                <w:sz w:val="22"/>
              </w:rPr>
            </w:pPr>
            <w:r>
              <w:rPr>
                <w:rFonts w:ascii="Times New Roman" w:hAnsi="Times New Roman" w:eastAsia="宋体" w:cs="Times New Roman"/>
                <w:color w:val="auto"/>
                <w:sz w:val="22"/>
              </w:rPr>
              <w:t>8~14</w:t>
            </w:r>
          </w:p>
        </w:tc>
        <w:tc>
          <w:tcPr>
            <w:tcW w:w="720" w:type="pct"/>
            <w:vAlign w:val="center"/>
          </w:tcPr>
          <w:p w14:paraId="1232FE08">
            <w:pPr>
              <w:jc w:val="center"/>
              <w:rPr>
                <w:rFonts w:ascii="Times New Roman" w:hAnsi="Times New Roman" w:eastAsia="宋体" w:cs="Times New Roman"/>
                <w:color w:val="auto"/>
                <w:sz w:val="22"/>
              </w:rPr>
            </w:pPr>
            <w:r>
              <w:rPr>
                <w:rFonts w:ascii="Times New Roman" w:hAnsi="Times New Roman" w:eastAsia="宋体" w:cs="Times New Roman"/>
                <w:color w:val="auto"/>
                <w:sz w:val="22"/>
              </w:rPr>
              <w:t>100.6</w:t>
            </w:r>
          </w:p>
        </w:tc>
      </w:tr>
      <w:tr w14:paraId="590A6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719" w:type="pct"/>
            <w:vAlign w:val="center"/>
          </w:tcPr>
          <w:p w14:paraId="74A431B0">
            <w:pPr>
              <w:jc w:val="center"/>
              <w:rPr>
                <w:rFonts w:ascii="Times New Roman" w:hAnsi="Times New Roman" w:eastAsia="宋体" w:cs="Times New Roman"/>
                <w:color w:val="auto"/>
                <w:sz w:val="22"/>
              </w:rPr>
            </w:pPr>
            <w:r>
              <w:rPr>
                <w:rFonts w:ascii="Times New Roman" w:hAnsi="Times New Roman" w:eastAsia="宋体" w:cs="Times New Roman"/>
                <w:color w:val="auto"/>
                <w:sz w:val="22"/>
              </w:rPr>
              <w:t>2022.3.8</w:t>
            </w:r>
          </w:p>
        </w:tc>
        <w:tc>
          <w:tcPr>
            <w:tcW w:w="711" w:type="pct"/>
            <w:vAlign w:val="center"/>
          </w:tcPr>
          <w:p w14:paraId="5A1324F9">
            <w:pPr>
              <w:jc w:val="center"/>
              <w:rPr>
                <w:rFonts w:ascii="Times New Roman" w:hAnsi="Times New Roman" w:eastAsia="宋体" w:cs="Times New Roman"/>
                <w:color w:val="auto"/>
                <w:sz w:val="22"/>
              </w:rPr>
            </w:pPr>
            <w:r>
              <w:rPr>
                <w:rFonts w:ascii="Times New Roman" w:hAnsi="Times New Roman" w:eastAsia="宋体" w:cs="Times New Roman"/>
                <w:color w:val="auto"/>
                <w:sz w:val="22"/>
              </w:rPr>
              <w:t>晴</w:t>
            </w:r>
          </w:p>
        </w:tc>
        <w:tc>
          <w:tcPr>
            <w:tcW w:w="713" w:type="pct"/>
            <w:vAlign w:val="center"/>
          </w:tcPr>
          <w:p w14:paraId="2B7E3DFF">
            <w:pPr>
              <w:jc w:val="center"/>
              <w:rPr>
                <w:rFonts w:ascii="Times New Roman" w:hAnsi="Times New Roman" w:eastAsia="宋体" w:cs="Times New Roman"/>
                <w:color w:val="auto"/>
                <w:sz w:val="22"/>
              </w:rPr>
            </w:pPr>
            <w:r>
              <w:rPr>
                <w:rFonts w:ascii="Times New Roman" w:hAnsi="Times New Roman" w:eastAsia="宋体" w:cs="Times New Roman"/>
                <w:color w:val="auto"/>
                <w:sz w:val="22"/>
              </w:rPr>
              <w:t>东南</w:t>
            </w:r>
          </w:p>
        </w:tc>
        <w:tc>
          <w:tcPr>
            <w:tcW w:w="711" w:type="pct"/>
            <w:vAlign w:val="center"/>
          </w:tcPr>
          <w:p w14:paraId="251D3BCD">
            <w:pPr>
              <w:jc w:val="center"/>
              <w:rPr>
                <w:rFonts w:ascii="Times New Roman" w:hAnsi="Times New Roman" w:eastAsia="宋体" w:cs="Times New Roman"/>
                <w:color w:val="auto"/>
                <w:sz w:val="22"/>
              </w:rPr>
            </w:pPr>
            <w:r>
              <w:rPr>
                <w:rFonts w:ascii="Times New Roman" w:hAnsi="Times New Roman" w:eastAsia="宋体" w:cs="Times New Roman"/>
                <w:color w:val="auto"/>
                <w:sz w:val="22"/>
              </w:rPr>
              <w:t>/</w:t>
            </w:r>
          </w:p>
        </w:tc>
        <w:tc>
          <w:tcPr>
            <w:tcW w:w="750" w:type="pct"/>
            <w:vAlign w:val="center"/>
          </w:tcPr>
          <w:p w14:paraId="6D8BEAFB">
            <w:pPr>
              <w:jc w:val="center"/>
              <w:rPr>
                <w:rFonts w:ascii="Times New Roman" w:hAnsi="Times New Roman" w:eastAsia="宋体" w:cs="Times New Roman"/>
                <w:color w:val="auto"/>
                <w:sz w:val="22"/>
              </w:rPr>
            </w:pPr>
            <w:r>
              <w:rPr>
                <w:rFonts w:ascii="Times New Roman" w:hAnsi="Times New Roman" w:eastAsia="宋体" w:cs="Times New Roman"/>
                <w:color w:val="auto"/>
                <w:sz w:val="22"/>
              </w:rPr>
              <w:t>53</w:t>
            </w:r>
          </w:p>
        </w:tc>
        <w:tc>
          <w:tcPr>
            <w:tcW w:w="673" w:type="pct"/>
            <w:vAlign w:val="center"/>
          </w:tcPr>
          <w:p w14:paraId="2BC29246">
            <w:pPr>
              <w:jc w:val="center"/>
              <w:rPr>
                <w:rFonts w:ascii="Times New Roman" w:hAnsi="Times New Roman" w:eastAsia="宋体" w:cs="Times New Roman"/>
                <w:color w:val="auto"/>
                <w:sz w:val="22"/>
              </w:rPr>
            </w:pPr>
            <w:r>
              <w:rPr>
                <w:rFonts w:ascii="Times New Roman" w:hAnsi="Times New Roman" w:eastAsia="宋体" w:cs="Times New Roman"/>
                <w:color w:val="auto"/>
                <w:sz w:val="22"/>
              </w:rPr>
              <w:t>12~23</w:t>
            </w:r>
          </w:p>
        </w:tc>
        <w:tc>
          <w:tcPr>
            <w:tcW w:w="720" w:type="pct"/>
            <w:vAlign w:val="center"/>
          </w:tcPr>
          <w:p w14:paraId="62726144">
            <w:pPr>
              <w:jc w:val="center"/>
              <w:rPr>
                <w:rFonts w:ascii="Times New Roman" w:hAnsi="Times New Roman" w:eastAsia="宋体" w:cs="Times New Roman"/>
                <w:color w:val="auto"/>
                <w:sz w:val="22"/>
              </w:rPr>
            </w:pPr>
            <w:r>
              <w:rPr>
                <w:rFonts w:ascii="Times New Roman" w:hAnsi="Times New Roman" w:eastAsia="宋体" w:cs="Times New Roman"/>
                <w:color w:val="auto"/>
                <w:sz w:val="22"/>
              </w:rPr>
              <w:t>99.8</w:t>
            </w:r>
          </w:p>
        </w:tc>
      </w:tr>
      <w:tr w14:paraId="286FC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719" w:type="pct"/>
            <w:vAlign w:val="center"/>
          </w:tcPr>
          <w:p w14:paraId="7EEDDD0C">
            <w:pPr>
              <w:jc w:val="center"/>
              <w:rPr>
                <w:rFonts w:ascii="Times New Roman" w:hAnsi="Times New Roman" w:eastAsia="宋体" w:cs="Times New Roman"/>
                <w:color w:val="auto"/>
                <w:sz w:val="22"/>
              </w:rPr>
            </w:pPr>
            <w:r>
              <w:rPr>
                <w:rFonts w:ascii="Times New Roman" w:hAnsi="Times New Roman" w:eastAsia="宋体" w:cs="Times New Roman"/>
                <w:color w:val="auto"/>
                <w:sz w:val="22"/>
              </w:rPr>
              <w:t>2022.3.9</w:t>
            </w:r>
          </w:p>
        </w:tc>
        <w:tc>
          <w:tcPr>
            <w:tcW w:w="711" w:type="pct"/>
            <w:vAlign w:val="center"/>
          </w:tcPr>
          <w:p w14:paraId="064609F4">
            <w:pPr>
              <w:jc w:val="center"/>
              <w:rPr>
                <w:rFonts w:ascii="Times New Roman" w:hAnsi="Times New Roman" w:eastAsia="宋体" w:cs="Times New Roman"/>
                <w:color w:val="auto"/>
                <w:sz w:val="22"/>
              </w:rPr>
            </w:pPr>
            <w:r>
              <w:rPr>
                <w:rFonts w:ascii="Times New Roman" w:hAnsi="Times New Roman" w:eastAsia="宋体" w:cs="Times New Roman"/>
                <w:color w:val="auto"/>
                <w:sz w:val="22"/>
              </w:rPr>
              <w:t>晴</w:t>
            </w:r>
          </w:p>
        </w:tc>
        <w:tc>
          <w:tcPr>
            <w:tcW w:w="713" w:type="pct"/>
            <w:vAlign w:val="center"/>
          </w:tcPr>
          <w:p w14:paraId="47F87B08">
            <w:pPr>
              <w:jc w:val="center"/>
              <w:rPr>
                <w:rFonts w:ascii="Times New Roman" w:hAnsi="Times New Roman" w:eastAsia="宋体" w:cs="Times New Roman"/>
                <w:color w:val="auto"/>
                <w:sz w:val="22"/>
              </w:rPr>
            </w:pPr>
            <w:r>
              <w:rPr>
                <w:rFonts w:ascii="Times New Roman" w:hAnsi="Times New Roman" w:eastAsia="宋体" w:cs="Times New Roman"/>
                <w:color w:val="auto"/>
                <w:sz w:val="22"/>
              </w:rPr>
              <w:t>南</w:t>
            </w:r>
          </w:p>
        </w:tc>
        <w:tc>
          <w:tcPr>
            <w:tcW w:w="711" w:type="pct"/>
            <w:vAlign w:val="center"/>
          </w:tcPr>
          <w:p w14:paraId="2294ADE3">
            <w:pPr>
              <w:jc w:val="center"/>
              <w:rPr>
                <w:rFonts w:ascii="Times New Roman" w:hAnsi="Times New Roman" w:eastAsia="宋体" w:cs="Times New Roman"/>
                <w:color w:val="auto"/>
                <w:sz w:val="22"/>
              </w:rPr>
            </w:pPr>
            <w:r>
              <w:rPr>
                <w:rFonts w:ascii="Times New Roman" w:hAnsi="Times New Roman" w:eastAsia="宋体" w:cs="Times New Roman"/>
                <w:color w:val="auto"/>
                <w:sz w:val="22"/>
              </w:rPr>
              <w:t>/</w:t>
            </w:r>
          </w:p>
        </w:tc>
        <w:tc>
          <w:tcPr>
            <w:tcW w:w="750" w:type="pct"/>
            <w:vAlign w:val="center"/>
          </w:tcPr>
          <w:p w14:paraId="3CDF97FC">
            <w:pPr>
              <w:jc w:val="center"/>
              <w:rPr>
                <w:rFonts w:ascii="Times New Roman" w:hAnsi="Times New Roman" w:eastAsia="宋体" w:cs="Times New Roman"/>
                <w:color w:val="auto"/>
                <w:sz w:val="22"/>
              </w:rPr>
            </w:pPr>
            <w:r>
              <w:rPr>
                <w:rFonts w:ascii="Times New Roman" w:hAnsi="Times New Roman" w:eastAsia="宋体" w:cs="Times New Roman"/>
                <w:color w:val="auto"/>
                <w:sz w:val="22"/>
              </w:rPr>
              <w:t>54</w:t>
            </w:r>
          </w:p>
        </w:tc>
        <w:tc>
          <w:tcPr>
            <w:tcW w:w="673" w:type="pct"/>
            <w:vAlign w:val="center"/>
          </w:tcPr>
          <w:p w14:paraId="68D67310">
            <w:pPr>
              <w:jc w:val="center"/>
              <w:rPr>
                <w:rFonts w:ascii="Times New Roman" w:hAnsi="Times New Roman" w:eastAsia="宋体" w:cs="Times New Roman"/>
                <w:color w:val="auto"/>
                <w:sz w:val="22"/>
              </w:rPr>
            </w:pPr>
            <w:r>
              <w:rPr>
                <w:rFonts w:ascii="Times New Roman" w:hAnsi="Times New Roman" w:eastAsia="宋体" w:cs="Times New Roman"/>
                <w:color w:val="auto"/>
                <w:sz w:val="22"/>
              </w:rPr>
              <w:t>12~24</w:t>
            </w:r>
          </w:p>
        </w:tc>
        <w:tc>
          <w:tcPr>
            <w:tcW w:w="720" w:type="pct"/>
            <w:vAlign w:val="center"/>
          </w:tcPr>
          <w:p w14:paraId="060928D3">
            <w:pPr>
              <w:jc w:val="center"/>
              <w:rPr>
                <w:rFonts w:ascii="Times New Roman" w:hAnsi="Times New Roman" w:eastAsia="宋体" w:cs="Times New Roman"/>
                <w:color w:val="auto"/>
                <w:sz w:val="22"/>
              </w:rPr>
            </w:pPr>
            <w:r>
              <w:rPr>
                <w:rFonts w:ascii="Times New Roman" w:hAnsi="Times New Roman" w:eastAsia="宋体" w:cs="Times New Roman"/>
                <w:color w:val="auto"/>
                <w:sz w:val="22"/>
              </w:rPr>
              <w:t>100.2</w:t>
            </w:r>
          </w:p>
        </w:tc>
      </w:tr>
      <w:tr w14:paraId="3FB15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719" w:type="pct"/>
            <w:vAlign w:val="center"/>
          </w:tcPr>
          <w:p w14:paraId="63D9AF23">
            <w:pPr>
              <w:jc w:val="center"/>
              <w:rPr>
                <w:rFonts w:ascii="Times New Roman" w:hAnsi="Times New Roman" w:eastAsia="宋体" w:cs="Times New Roman"/>
                <w:color w:val="auto"/>
                <w:sz w:val="22"/>
              </w:rPr>
            </w:pPr>
            <w:r>
              <w:rPr>
                <w:rFonts w:ascii="Times New Roman" w:hAnsi="Times New Roman" w:eastAsia="宋体" w:cs="Times New Roman"/>
                <w:color w:val="auto"/>
                <w:sz w:val="22"/>
              </w:rPr>
              <w:t>2022.3.10</w:t>
            </w:r>
          </w:p>
        </w:tc>
        <w:tc>
          <w:tcPr>
            <w:tcW w:w="711" w:type="pct"/>
            <w:vAlign w:val="center"/>
          </w:tcPr>
          <w:p w14:paraId="3120B153">
            <w:pPr>
              <w:jc w:val="center"/>
              <w:rPr>
                <w:rFonts w:ascii="Times New Roman" w:hAnsi="Times New Roman" w:eastAsia="宋体" w:cs="Times New Roman"/>
                <w:color w:val="auto"/>
                <w:sz w:val="22"/>
              </w:rPr>
            </w:pPr>
            <w:r>
              <w:rPr>
                <w:rFonts w:ascii="Times New Roman" w:hAnsi="Times New Roman" w:eastAsia="宋体" w:cs="Times New Roman"/>
                <w:color w:val="auto"/>
                <w:sz w:val="22"/>
              </w:rPr>
              <w:t>晴</w:t>
            </w:r>
          </w:p>
        </w:tc>
        <w:tc>
          <w:tcPr>
            <w:tcW w:w="713" w:type="pct"/>
            <w:vAlign w:val="center"/>
          </w:tcPr>
          <w:p w14:paraId="4E3F8E4D">
            <w:pPr>
              <w:jc w:val="center"/>
              <w:rPr>
                <w:rFonts w:ascii="Times New Roman" w:hAnsi="Times New Roman" w:eastAsia="宋体" w:cs="Times New Roman"/>
                <w:color w:val="auto"/>
                <w:sz w:val="22"/>
              </w:rPr>
            </w:pPr>
            <w:r>
              <w:rPr>
                <w:rFonts w:ascii="Times New Roman" w:hAnsi="Times New Roman" w:eastAsia="宋体" w:cs="Times New Roman"/>
                <w:color w:val="auto"/>
                <w:sz w:val="22"/>
              </w:rPr>
              <w:t>西南</w:t>
            </w:r>
          </w:p>
        </w:tc>
        <w:tc>
          <w:tcPr>
            <w:tcW w:w="711" w:type="pct"/>
            <w:vAlign w:val="center"/>
          </w:tcPr>
          <w:p w14:paraId="7742EEF2">
            <w:pPr>
              <w:jc w:val="center"/>
              <w:rPr>
                <w:rFonts w:ascii="Times New Roman" w:hAnsi="Times New Roman" w:eastAsia="宋体" w:cs="Times New Roman"/>
                <w:color w:val="auto"/>
                <w:sz w:val="22"/>
              </w:rPr>
            </w:pPr>
            <w:r>
              <w:rPr>
                <w:rFonts w:ascii="Times New Roman" w:hAnsi="Times New Roman" w:eastAsia="宋体" w:cs="Times New Roman"/>
                <w:color w:val="auto"/>
                <w:sz w:val="22"/>
              </w:rPr>
              <w:t>/</w:t>
            </w:r>
          </w:p>
        </w:tc>
        <w:tc>
          <w:tcPr>
            <w:tcW w:w="750" w:type="pct"/>
            <w:vAlign w:val="center"/>
          </w:tcPr>
          <w:p w14:paraId="5DD5A4FC">
            <w:pPr>
              <w:jc w:val="center"/>
              <w:rPr>
                <w:rFonts w:ascii="Times New Roman" w:hAnsi="Times New Roman" w:eastAsia="宋体" w:cs="Times New Roman"/>
                <w:color w:val="auto"/>
                <w:sz w:val="22"/>
              </w:rPr>
            </w:pPr>
            <w:r>
              <w:rPr>
                <w:rFonts w:ascii="Times New Roman" w:hAnsi="Times New Roman" w:eastAsia="宋体" w:cs="Times New Roman"/>
                <w:color w:val="auto"/>
                <w:sz w:val="22"/>
              </w:rPr>
              <w:t>52</w:t>
            </w:r>
          </w:p>
        </w:tc>
        <w:tc>
          <w:tcPr>
            <w:tcW w:w="673" w:type="pct"/>
            <w:vAlign w:val="center"/>
          </w:tcPr>
          <w:p w14:paraId="6827471D">
            <w:pPr>
              <w:jc w:val="center"/>
              <w:rPr>
                <w:rFonts w:ascii="Times New Roman" w:hAnsi="Times New Roman" w:eastAsia="宋体" w:cs="Times New Roman"/>
                <w:color w:val="auto"/>
                <w:sz w:val="22"/>
              </w:rPr>
            </w:pPr>
            <w:r>
              <w:rPr>
                <w:rFonts w:ascii="Times New Roman" w:hAnsi="Times New Roman" w:eastAsia="宋体" w:cs="Times New Roman"/>
                <w:color w:val="auto"/>
                <w:sz w:val="22"/>
              </w:rPr>
              <w:t>13~24</w:t>
            </w:r>
          </w:p>
        </w:tc>
        <w:tc>
          <w:tcPr>
            <w:tcW w:w="720" w:type="pct"/>
            <w:vAlign w:val="center"/>
          </w:tcPr>
          <w:p w14:paraId="45E00F22">
            <w:pPr>
              <w:jc w:val="center"/>
              <w:rPr>
                <w:rFonts w:ascii="Times New Roman" w:hAnsi="Times New Roman" w:eastAsia="宋体" w:cs="Times New Roman"/>
                <w:color w:val="auto"/>
                <w:sz w:val="22"/>
              </w:rPr>
            </w:pPr>
            <w:r>
              <w:rPr>
                <w:rFonts w:ascii="Times New Roman" w:hAnsi="Times New Roman" w:eastAsia="宋体" w:cs="Times New Roman"/>
                <w:color w:val="auto"/>
                <w:sz w:val="22"/>
              </w:rPr>
              <w:t>100.3</w:t>
            </w:r>
          </w:p>
        </w:tc>
      </w:tr>
      <w:tr w14:paraId="488A5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719" w:type="pct"/>
            <w:vAlign w:val="center"/>
          </w:tcPr>
          <w:p w14:paraId="12926557">
            <w:pPr>
              <w:jc w:val="center"/>
              <w:rPr>
                <w:rFonts w:ascii="Times New Roman" w:hAnsi="Times New Roman" w:eastAsia="宋体" w:cs="Times New Roman"/>
                <w:color w:val="auto"/>
                <w:sz w:val="22"/>
              </w:rPr>
            </w:pPr>
            <w:r>
              <w:rPr>
                <w:rFonts w:ascii="Times New Roman" w:hAnsi="Times New Roman" w:eastAsia="宋体" w:cs="Times New Roman"/>
                <w:color w:val="auto"/>
                <w:sz w:val="22"/>
              </w:rPr>
              <w:t>2022.3.11</w:t>
            </w:r>
          </w:p>
        </w:tc>
        <w:tc>
          <w:tcPr>
            <w:tcW w:w="711" w:type="pct"/>
            <w:vAlign w:val="center"/>
          </w:tcPr>
          <w:p w14:paraId="15466E89">
            <w:pPr>
              <w:jc w:val="center"/>
              <w:rPr>
                <w:rFonts w:ascii="Times New Roman" w:hAnsi="Times New Roman" w:eastAsia="宋体" w:cs="Times New Roman"/>
                <w:color w:val="auto"/>
                <w:sz w:val="22"/>
              </w:rPr>
            </w:pPr>
            <w:r>
              <w:rPr>
                <w:rFonts w:ascii="Times New Roman" w:hAnsi="Times New Roman" w:eastAsia="宋体" w:cs="Times New Roman"/>
                <w:color w:val="auto"/>
                <w:sz w:val="22"/>
              </w:rPr>
              <w:t>多云</w:t>
            </w:r>
          </w:p>
        </w:tc>
        <w:tc>
          <w:tcPr>
            <w:tcW w:w="713" w:type="pct"/>
            <w:vAlign w:val="center"/>
          </w:tcPr>
          <w:p w14:paraId="4A0B2C86">
            <w:pPr>
              <w:jc w:val="center"/>
              <w:rPr>
                <w:rFonts w:ascii="Times New Roman" w:hAnsi="Times New Roman" w:eastAsia="宋体" w:cs="Times New Roman"/>
                <w:color w:val="auto"/>
                <w:sz w:val="22"/>
              </w:rPr>
            </w:pPr>
            <w:r>
              <w:rPr>
                <w:rFonts w:ascii="Times New Roman" w:hAnsi="Times New Roman" w:eastAsia="宋体" w:cs="Times New Roman"/>
                <w:color w:val="auto"/>
                <w:sz w:val="22"/>
              </w:rPr>
              <w:t>东南</w:t>
            </w:r>
          </w:p>
        </w:tc>
        <w:tc>
          <w:tcPr>
            <w:tcW w:w="711" w:type="pct"/>
            <w:vAlign w:val="center"/>
          </w:tcPr>
          <w:p w14:paraId="29B7F7B5">
            <w:pPr>
              <w:jc w:val="center"/>
              <w:rPr>
                <w:rFonts w:ascii="Times New Roman" w:hAnsi="Times New Roman" w:eastAsia="宋体" w:cs="Times New Roman"/>
                <w:color w:val="auto"/>
                <w:sz w:val="22"/>
              </w:rPr>
            </w:pPr>
            <w:r>
              <w:rPr>
                <w:rFonts w:ascii="Times New Roman" w:hAnsi="Times New Roman" w:eastAsia="宋体" w:cs="Times New Roman"/>
                <w:color w:val="auto"/>
                <w:sz w:val="22"/>
              </w:rPr>
              <w:t>/</w:t>
            </w:r>
          </w:p>
        </w:tc>
        <w:tc>
          <w:tcPr>
            <w:tcW w:w="750" w:type="pct"/>
            <w:vAlign w:val="center"/>
          </w:tcPr>
          <w:p w14:paraId="11A6AB3B">
            <w:pPr>
              <w:jc w:val="center"/>
              <w:rPr>
                <w:rFonts w:ascii="Times New Roman" w:hAnsi="Times New Roman" w:eastAsia="宋体" w:cs="Times New Roman"/>
                <w:color w:val="auto"/>
                <w:sz w:val="22"/>
              </w:rPr>
            </w:pPr>
            <w:r>
              <w:rPr>
                <w:rFonts w:ascii="Times New Roman" w:hAnsi="Times New Roman" w:eastAsia="宋体" w:cs="Times New Roman"/>
                <w:color w:val="auto"/>
                <w:sz w:val="22"/>
              </w:rPr>
              <w:t>51</w:t>
            </w:r>
          </w:p>
        </w:tc>
        <w:tc>
          <w:tcPr>
            <w:tcW w:w="673" w:type="pct"/>
            <w:vAlign w:val="center"/>
          </w:tcPr>
          <w:p w14:paraId="4203AD0E">
            <w:pPr>
              <w:jc w:val="center"/>
              <w:rPr>
                <w:rFonts w:ascii="Times New Roman" w:hAnsi="Times New Roman" w:eastAsia="宋体" w:cs="Times New Roman"/>
                <w:color w:val="auto"/>
                <w:sz w:val="22"/>
              </w:rPr>
            </w:pPr>
            <w:r>
              <w:rPr>
                <w:rFonts w:ascii="Times New Roman" w:hAnsi="Times New Roman" w:eastAsia="宋体" w:cs="Times New Roman"/>
                <w:color w:val="auto"/>
                <w:sz w:val="22"/>
              </w:rPr>
              <w:t>17~28</w:t>
            </w:r>
          </w:p>
        </w:tc>
        <w:tc>
          <w:tcPr>
            <w:tcW w:w="720" w:type="pct"/>
            <w:vAlign w:val="center"/>
          </w:tcPr>
          <w:p w14:paraId="2212DBE3">
            <w:pPr>
              <w:jc w:val="center"/>
              <w:rPr>
                <w:rFonts w:ascii="Times New Roman" w:hAnsi="Times New Roman" w:eastAsia="宋体" w:cs="Times New Roman"/>
                <w:color w:val="auto"/>
                <w:sz w:val="22"/>
              </w:rPr>
            </w:pPr>
            <w:r>
              <w:rPr>
                <w:rFonts w:ascii="Times New Roman" w:hAnsi="Times New Roman" w:eastAsia="宋体" w:cs="Times New Roman"/>
                <w:color w:val="auto"/>
                <w:sz w:val="22"/>
              </w:rPr>
              <w:t>99.7</w:t>
            </w:r>
          </w:p>
        </w:tc>
      </w:tr>
      <w:tr w14:paraId="12970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719" w:type="pct"/>
            <w:vAlign w:val="center"/>
          </w:tcPr>
          <w:p w14:paraId="7E8DBDAA">
            <w:pPr>
              <w:jc w:val="center"/>
              <w:rPr>
                <w:rFonts w:ascii="Times New Roman" w:hAnsi="Times New Roman" w:eastAsia="宋体" w:cs="Times New Roman"/>
                <w:color w:val="auto"/>
                <w:sz w:val="22"/>
              </w:rPr>
            </w:pPr>
            <w:r>
              <w:rPr>
                <w:rFonts w:ascii="Times New Roman" w:hAnsi="Times New Roman" w:eastAsia="宋体" w:cs="Times New Roman"/>
                <w:color w:val="auto"/>
                <w:sz w:val="22"/>
              </w:rPr>
              <w:t>2022.3.12</w:t>
            </w:r>
          </w:p>
        </w:tc>
        <w:tc>
          <w:tcPr>
            <w:tcW w:w="711" w:type="pct"/>
            <w:vAlign w:val="center"/>
          </w:tcPr>
          <w:p w14:paraId="1EB21A6C">
            <w:pPr>
              <w:jc w:val="center"/>
              <w:rPr>
                <w:rFonts w:ascii="Times New Roman" w:hAnsi="Times New Roman" w:eastAsia="宋体" w:cs="Times New Roman"/>
                <w:color w:val="auto"/>
                <w:sz w:val="22"/>
              </w:rPr>
            </w:pPr>
            <w:r>
              <w:rPr>
                <w:rFonts w:ascii="Times New Roman" w:hAnsi="Times New Roman" w:eastAsia="宋体" w:cs="Times New Roman"/>
                <w:color w:val="auto"/>
                <w:sz w:val="22"/>
              </w:rPr>
              <w:t>多云</w:t>
            </w:r>
          </w:p>
        </w:tc>
        <w:tc>
          <w:tcPr>
            <w:tcW w:w="713" w:type="pct"/>
            <w:vAlign w:val="center"/>
          </w:tcPr>
          <w:p w14:paraId="31AC57DC">
            <w:pPr>
              <w:jc w:val="center"/>
              <w:rPr>
                <w:rFonts w:ascii="Times New Roman" w:hAnsi="Times New Roman" w:eastAsia="宋体" w:cs="Times New Roman"/>
                <w:color w:val="auto"/>
                <w:sz w:val="22"/>
              </w:rPr>
            </w:pPr>
            <w:r>
              <w:rPr>
                <w:rFonts w:ascii="Times New Roman" w:hAnsi="Times New Roman" w:eastAsia="宋体" w:cs="Times New Roman"/>
                <w:color w:val="auto"/>
                <w:sz w:val="22"/>
              </w:rPr>
              <w:t>西南</w:t>
            </w:r>
          </w:p>
        </w:tc>
        <w:tc>
          <w:tcPr>
            <w:tcW w:w="711" w:type="pct"/>
            <w:vAlign w:val="center"/>
          </w:tcPr>
          <w:p w14:paraId="3BB3565C">
            <w:pPr>
              <w:jc w:val="center"/>
              <w:rPr>
                <w:rFonts w:ascii="Times New Roman" w:hAnsi="Times New Roman" w:eastAsia="宋体" w:cs="Times New Roman"/>
                <w:color w:val="auto"/>
                <w:sz w:val="22"/>
              </w:rPr>
            </w:pPr>
            <w:r>
              <w:rPr>
                <w:rFonts w:ascii="Times New Roman" w:hAnsi="Times New Roman" w:eastAsia="宋体" w:cs="Times New Roman"/>
                <w:color w:val="auto"/>
                <w:sz w:val="22"/>
              </w:rPr>
              <w:t>/</w:t>
            </w:r>
          </w:p>
        </w:tc>
        <w:tc>
          <w:tcPr>
            <w:tcW w:w="750" w:type="pct"/>
            <w:vAlign w:val="center"/>
          </w:tcPr>
          <w:p w14:paraId="6A04CD2E">
            <w:pPr>
              <w:jc w:val="center"/>
              <w:rPr>
                <w:rFonts w:ascii="Times New Roman" w:hAnsi="Times New Roman" w:eastAsia="宋体" w:cs="Times New Roman"/>
                <w:color w:val="auto"/>
                <w:sz w:val="22"/>
              </w:rPr>
            </w:pPr>
            <w:r>
              <w:rPr>
                <w:rFonts w:ascii="Times New Roman" w:hAnsi="Times New Roman" w:eastAsia="宋体" w:cs="Times New Roman"/>
                <w:color w:val="auto"/>
                <w:sz w:val="22"/>
              </w:rPr>
              <w:t>50</w:t>
            </w:r>
          </w:p>
        </w:tc>
        <w:tc>
          <w:tcPr>
            <w:tcW w:w="673" w:type="pct"/>
            <w:vAlign w:val="center"/>
          </w:tcPr>
          <w:p w14:paraId="55403BAC">
            <w:pPr>
              <w:jc w:val="center"/>
              <w:rPr>
                <w:rFonts w:ascii="Times New Roman" w:hAnsi="Times New Roman" w:eastAsia="宋体" w:cs="Times New Roman"/>
                <w:color w:val="auto"/>
                <w:sz w:val="22"/>
              </w:rPr>
            </w:pPr>
            <w:r>
              <w:rPr>
                <w:rFonts w:ascii="Times New Roman" w:hAnsi="Times New Roman" w:eastAsia="宋体" w:cs="Times New Roman"/>
                <w:color w:val="auto"/>
                <w:sz w:val="22"/>
              </w:rPr>
              <w:t>19~27</w:t>
            </w:r>
          </w:p>
        </w:tc>
        <w:tc>
          <w:tcPr>
            <w:tcW w:w="720" w:type="pct"/>
            <w:vAlign w:val="center"/>
          </w:tcPr>
          <w:p w14:paraId="1C3E06C9">
            <w:pPr>
              <w:jc w:val="center"/>
              <w:rPr>
                <w:rFonts w:ascii="Times New Roman" w:hAnsi="Times New Roman" w:eastAsia="宋体" w:cs="Times New Roman"/>
                <w:color w:val="auto"/>
                <w:sz w:val="22"/>
              </w:rPr>
            </w:pPr>
            <w:r>
              <w:rPr>
                <w:rFonts w:ascii="Times New Roman" w:hAnsi="Times New Roman" w:eastAsia="宋体" w:cs="Times New Roman"/>
                <w:color w:val="auto"/>
                <w:sz w:val="22"/>
              </w:rPr>
              <w:t>99.8</w:t>
            </w:r>
          </w:p>
        </w:tc>
      </w:tr>
      <w:tr w14:paraId="0215E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719" w:type="pct"/>
            <w:vAlign w:val="center"/>
          </w:tcPr>
          <w:p w14:paraId="4670B482">
            <w:pPr>
              <w:jc w:val="center"/>
              <w:rPr>
                <w:rFonts w:ascii="Times New Roman" w:hAnsi="Times New Roman" w:eastAsia="宋体" w:cs="Times New Roman"/>
                <w:color w:val="auto"/>
                <w:sz w:val="22"/>
              </w:rPr>
            </w:pPr>
            <w:r>
              <w:rPr>
                <w:rFonts w:ascii="Times New Roman" w:hAnsi="Times New Roman" w:eastAsia="宋体" w:cs="Times New Roman"/>
                <w:color w:val="auto"/>
                <w:sz w:val="22"/>
              </w:rPr>
              <w:t>2022.3.13</w:t>
            </w:r>
          </w:p>
        </w:tc>
        <w:tc>
          <w:tcPr>
            <w:tcW w:w="711" w:type="pct"/>
            <w:vAlign w:val="center"/>
          </w:tcPr>
          <w:p w14:paraId="6CC9A91A">
            <w:pPr>
              <w:jc w:val="center"/>
              <w:rPr>
                <w:rFonts w:ascii="Times New Roman" w:hAnsi="Times New Roman" w:eastAsia="宋体" w:cs="Times New Roman"/>
                <w:color w:val="auto"/>
                <w:sz w:val="22"/>
              </w:rPr>
            </w:pPr>
            <w:r>
              <w:rPr>
                <w:rFonts w:ascii="Times New Roman" w:hAnsi="Times New Roman" w:eastAsia="宋体" w:cs="Times New Roman"/>
                <w:color w:val="auto"/>
                <w:sz w:val="22"/>
              </w:rPr>
              <w:t>多云</w:t>
            </w:r>
          </w:p>
        </w:tc>
        <w:tc>
          <w:tcPr>
            <w:tcW w:w="713" w:type="pct"/>
            <w:vAlign w:val="center"/>
          </w:tcPr>
          <w:p w14:paraId="0F694E66">
            <w:pPr>
              <w:jc w:val="center"/>
              <w:rPr>
                <w:rFonts w:ascii="Times New Roman" w:hAnsi="Times New Roman" w:eastAsia="宋体" w:cs="Times New Roman"/>
                <w:color w:val="auto"/>
                <w:sz w:val="22"/>
              </w:rPr>
            </w:pPr>
            <w:r>
              <w:rPr>
                <w:rFonts w:ascii="Times New Roman" w:hAnsi="Times New Roman" w:eastAsia="宋体" w:cs="Times New Roman"/>
                <w:color w:val="auto"/>
                <w:sz w:val="22"/>
              </w:rPr>
              <w:t>南</w:t>
            </w:r>
          </w:p>
        </w:tc>
        <w:tc>
          <w:tcPr>
            <w:tcW w:w="711" w:type="pct"/>
            <w:vAlign w:val="center"/>
          </w:tcPr>
          <w:p w14:paraId="55F14D96">
            <w:pPr>
              <w:jc w:val="center"/>
              <w:rPr>
                <w:rFonts w:ascii="Times New Roman" w:hAnsi="Times New Roman" w:eastAsia="宋体" w:cs="Times New Roman"/>
                <w:color w:val="auto"/>
                <w:sz w:val="22"/>
              </w:rPr>
            </w:pPr>
            <w:r>
              <w:rPr>
                <w:rFonts w:ascii="Times New Roman" w:hAnsi="Times New Roman" w:eastAsia="宋体" w:cs="Times New Roman"/>
                <w:color w:val="auto"/>
                <w:sz w:val="22"/>
              </w:rPr>
              <w:t>/</w:t>
            </w:r>
          </w:p>
        </w:tc>
        <w:tc>
          <w:tcPr>
            <w:tcW w:w="750" w:type="pct"/>
            <w:vAlign w:val="center"/>
          </w:tcPr>
          <w:p w14:paraId="253A459E">
            <w:pPr>
              <w:jc w:val="center"/>
              <w:rPr>
                <w:rFonts w:ascii="Times New Roman" w:hAnsi="Times New Roman" w:eastAsia="宋体" w:cs="Times New Roman"/>
                <w:color w:val="auto"/>
                <w:sz w:val="22"/>
              </w:rPr>
            </w:pPr>
            <w:r>
              <w:rPr>
                <w:rFonts w:ascii="Times New Roman" w:hAnsi="Times New Roman" w:eastAsia="宋体" w:cs="Times New Roman"/>
                <w:color w:val="auto"/>
                <w:sz w:val="22"/>
              </w:rPr>
              <w:t>55</w:t>
            </w:r>
          </w:p>
        </w:tc>
        <w:tc>
          <w:tcPr>
            <w:tcW w:w="673" w:type="pct"/>
            <w:vAlign w:val="center"/>
          </w:tcPr>
          <w:p w14:paraId="478D74DF">
            <w:pPr>
              <w:jc w:val="center"/>
              <w:rPr>
                <w:rFonts w:ascii="Times New Roman" w:hAnsi="Times New Roman" w:eastAsia="宋体" w:cs="Times New Roman"/>
                <w:color w:val="auto"/>
                <w:sz w:val="22"/>
              </w:rPr>
            </w:pPr>
            <w:r>
              <w:rPr>
                <w:rFonts w:ascii="Times New Roman" w:hAnsi="Times New Roman" w:eastAsia="宋体" w:cs="Times New Roman"/>
                <w:color w:val="auto"/>
                <w:sz w:val="22"/>
              </w:rPr>
              <w:t>18~29</w:t>
            </w:r>
          </w:p>
        </w:tc>
        <w:tc>
          <w:tcPr>
            <w:tcW w:w="720" w:type="pct"/>
            <w:vAlign w:val="center"/>
          </w:tcPr>
          <w:p w14:paraId="18C96AE0">
            <w:pPr>
              <w:jc w:val="center"/>
              <w:rPr>
                <w:rFonts w:ascii="Times New Roman" w:hAnsi="Times New Roman" w:eastAsia="宋体" w:cs="Times New Roman"/>
                <w:color w:val="auto"/>
                <w:sz w:val="22"/>
              </w:rPr>
            </w:pPr>
            <w:r>
              <w:rPr>
                <w:rFonts w:ascii="Times New Roman" w:hAnsi="Times New Roman" w:eastAsia="宋体" w:cs="Times New Roman"/>
                <w:color w:val="auto"/>
                <w:sz w:val="22"/>
              </w:rPr>
              <w:t>100.5</w:t>
            </w:r>
          </w:p>
        </w:tc>
      </w:tr>
      <w:tr w14:paraId="16AD2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719" w:type="pct"/>
            <w:vAlign w:val="center"/>
          </w:tcPr>
          <w:p w14:paraId="1C73FD17">
            <w:pPr>
              <w:jc w:val="center"/>
              <w:rPr>
                <w:rFonts w:ascii="Times New Roman" w:hAnsi="Times New Roman" w:eastAsia="宋体" w:cs="Times New Roman"/>
                <w:color w:val="auto"/>
                <w:sz w:val="22"/>
              </w:rPr>
            </w:pPr>
            <w:r>
              <w:rPr>
                <w:rFonts w:ascii="Times New Roman" w:hAnsi="Times New Roman" w:eastAsia="宋体" w:cs="Times New Roman"/>
                <w:color w:val="auto"/>
                <w:sz w:val="22"/>
              </w:rPr>
              <w:t>2022.3.14</w:t>
            </w:r>
          </w:p>
        </w:tc>
        <w:tc>
          <w:tcPr>
            <w:tcW w:w="711" w:type="pct"/>
            <w:vAlign w:val="center"/>
          </w:tcPr>
          <w:p w14:paraId="28C10D56">
            <w:pPr>
              <w:jc w:val="center"/>
              <w:rPr>
                <w:rFonts w:ascii="Times New Roman" w:hAnsi="Times New Roman" w:eastAsia="宋体" w:cs="Times New Roman"/>
                <w:color w:val="auto"/>
                <w:sz w:val="22"/>
              </w:rPr>
            </w:pPr>
            <w:r>
              <w:rPr>
                <w:rFonts w:ascii="Times New Roman" w:hAnsi="Times New Roman" w:eastAsia="宋体" w:cs="Times New Roman"/>
                <w:color w:val="auto"/>
                <w:sz w:val="22"/>
              </w:rPr>
              <w:t>晴</w:t>
            </w:r>
          </w:p>
        </w:tc>
        <w:tc>
          <w:tcPr>
            <w:tcW w:w="713" w:type="pct"/>
            <w:vAlign w:val="center"/>
          </w:tcPr>
          <w:p w14:paraId="11296CA5">
            <w:pPr>
              <w:jc w:val="center"/>
              <w:rPr>
                <w:rFonts w:ascii="Times New Roman" w:hAnsi="Times New Roman" w:eastAsia="宋体" w:cs="Times New Roman"/>
                <w:color w:val="auto"/>
                <w:sz w:val="22"/>
              </w:rPr>
            </w:pPr>
            <w:r>
              <w:rPr>
                <w:rFonts w:ascii="Times New Roman" w:hAnsi="Times New Roman" w:eastAsia="宋体" w:cs="Times New Roman"/>
                <w:color w:val="auto"/>
                <w:sz w:val="22"/>
              </w:rPr>
              <w:t>西南</w:t>
            </w:r>
          </w:p>
        </w:tc>
        <w:tc>
          <w:tcPr>
            <w:tcW w:w="711" w:type="pct"/>
            <w:vAlign w:val="center"/>
          </w:tcPr>
          <w:p w14:paraId="7D39A598">
            <w:pPr>
              <w:jc w:val="center"/>
              <w:rPr>
                <w:rFonts w:ascii="Times New Roman" w:hAnsi="Times New Roman" w:eastAsia="宋体" w:cs="Times New Roman"/>
                <w:color w:val="auto"/>
                <w:sz w:val="22"/>
              </w:rPr>
            </w:pPr>
            <w:r>
              <w:rPr>
                <w:rFonts w:ascii="Times New Roman" w:hAnsi="Times New Roman" w:eastAsia="宋体" w:cs="Times New Roman"/>
                <w:color w:val="auto"/>
                <w:sz w:val="22"/>
              </w:rPr>
              <w:t>/</w:t>
            </w:r>
          </w:p>
        </w:tc>
        <w:tc>
          <w:tcPr>
            <w:tcW w:w="750" w:type="pct"/>
            <w:vAlign w:val="center"/>
          </w:tcPr>
          <w:p w14:paraId="2792A624">
            <w:pPr>
              <w:jc w:val="center"/>
              <w:rPr>
                <w:rFonts w:ascii="Times New Roman" w:hAnsi="Times New Roman" w:eastAsia="宋体" w:cs="Times New Roman"/>
                <w:color w:val="auto"/>
                <w:sz w:val="22"/>
              </w:rPr>
            </w:pPr>
            <w:r>
              <w:rPr>
                <w:rFonts w:ascii="Times New Roman" w:hAnsi="Times New Roman" w:eastAsia="宋体" w:cs="Times New Roman"/>
                <w:color w:val="auto"/>
                <w:sz w:val="22"/>
              </w:rPr>
              <w:t>53</w:t>
            </w:r>
          </w:p>
        </w:tc>
        <w:tc>
          <w:tcPr>
            <w:tcW w:w="673" w:type="pct"/>
            <w:vAlign w:val="center"/>
          </w:tcPr>
          <w:p w14:paraId="3FFC7889">
            <w:pPr>
              <w:jc w:val="center"/>
              <w:rPr>
                <w:rFonts w:ascii="Times New Roman" w:hAnsi="Times New Roman" w:eastAsia="宋体" w:cs="Times New Roman"/>
                <w:color w:val="auto"/>
                <w:sz w:val="22"/>
              </w:rPr>
            </w:pPr>
            <w:r>
              <w:rPr>
                <w:rFonts w:ascii="Times New Roman" w:hAnsi="Times New Roman" w:eastAsia="宋体" w:cs="Times New Roman"/>
                <w:color w:val="auto"/>
                <w:sz w:val="22"/>
              </w:rPr>
              <w:t>16~26</w:t>
            </w:r>
          </w:p>
        </w:tc>
        <w:tc>
          <w:tcPr>
            <w:tcW w:w="720" w:type="pct"/>
            <w:vAlign w:val="center"/>
          </w:tcPr>
          <w:p w14:paraId="53A90838">
            <w:pPr>
              <w:jc w:val="center"/>
              <w:rPr>
                <w:rFonts w:ascii="Times New Roman" w:hAnsi="Times New Roman" w:eastAsia="宋体" w:cs="Times New Roman"/>
                <w:color w:val="auto"/>
                <w:sz w:val="22"/>
              </w:rPr>
            </w:pPr>
            <w:r>
              <w:rPr>
                <w:rFonts w:ascii="Times New Roman" w:hAnsi="Times New Roman" w:eastAsia="宋体" w:cs="Times New Roman"/>
                <w:color w:val="auto"/>
                <w:sz w:val="22"/>
              </w:rPr>
              <w:t>101.2</w:t>
            </w:r>
          </w:p>
        </w:tc>
      </w:tr>
      <w:tr w14:paraId="5BC5E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719" w:type="pct"/>
            <w:vAlign w:val="center"/>
          </w:tcPr>
          <w:p w14:paraId="23FD9FCB">
            <w:pPr>
              <w:jc w:val="center"/>
              <w:rPr>
                <w:rFonts w:hint="default" w:ascii="Times New Roman" w:hAnsi="Times New Roman" w:eastAsia="宋体" w:cs="Times New Roman"/>
                <w:color w:val="auto"/>
                <w:sz w:val="22"/>
                <w:lang w:val="en-US" w:eastAsia="zh-CN"/>
              </w:rPr>
            </w:pPr>
            <w:r>
              <w:rPr>
                <w:rFonts w:hint="eastAsia" w:ascii="Times New Roman" w:hAnsi="Times New Roman" w:eastAsia="宋体" w:cs="Times New Roman"/>
                <w:color w:val="auto"/>
                <w:sz w:val="22"/>
                <w:lang w:val="en-US" w:eastAsia="zh-CN"/>
              </w:rPr>
              <w:t>2022.5.29</w:t>
            </w:r>
          </w:p>
        </w:tc>
        <w:tc>
          <w:tcPr>
            <w:tcW w:w="711" w:type="pct"/>
            <w:vAlign w:val="center"/>
          </w:tcPr>
          <w:p w14:paraId="75177E76">
            <w:pPr>
              <w:jc w:val="center"/>
              <w:rPr>
                <w:rFonts w:hint="eastAsia" w:ascii="Times New Roman" w:hAnsi="Times New Roman" w:eastAsia="宋体" w:cs="Times New Roman"/>
                <w:color w:val="auto"/>
                <w:sz w:val="22"/>
                <w:lang w:val="en-US" w:eastAsia="zh-CN"/>
              </w:rPr>
            </w:pPr>
            <w:r>
              <w:rPr>
                <w:rFonts w:hint="eastAsia" w:ascii="Times New Roman" w:hAnsi="Times New Roman" w:eastAsia="宋体" w:cs="Times New Roman"/>
                <w:color w:val="auto"/>
                <w:sz w:val="22"/>
                <w:lang w:val="en-US" w:eastAsia="zh-CN"/>
              </w:rPr>
              <w:t>阴</w:t>
            </w:r>
          </w:p>
        </w:tc>
        <w:tc>
          <w:tcPr>
            <w:tcW w:w="713" w:type="pct"/>
            <w:vAlign w:val="center"/>
          </w:tcPr>
          <w:p w14:paraId="787706C0">
            <w:pPr>
              <w:jc w:val="center"/>
              <w:rPr>
                <w:rFonts w:hint="default" w:ascii="Times New Roman" w:hAnsi="Times New Roman" w:eastAsia="宋体" w:cs="Times New Roman"/>
                <w:color w:val="auto"/>
                <w:sz w:val="22"/>
                <w:lang w:val="en-US" w:eastAsia="zh-CN"/>
              </w:rPr>
            </w:pPr>
            <w:r>
              <w:rPr>
                <w:rFonts w:hint="eastAsia" w:ascii="Times New Roman" w:hAnsi="Times New Roman" w:eastAsia="宋体" w:cs="Times New Roman"/>
                <w:color w:val="auto"/>
                <w:sz w:val="22"/>
                <w:lang w:val="en-US" w:eastAsia="zh-CN"/>
              </w:rPr>
              <w:t>南</w:t>
            </w:r>
          </w:p>
        </w:tc>
        <w:tc>
          <w:tcPr>
            <w:tcW w:w="711" w:type="pct"/>
            <w:vAlign w:val="center"/>
          </w:tcPr>
          <w:p w14:paraId="28EE9184">
            <w:pPr>
              <w:jc w:val="center"/>
              <w:rPr>
                <w:rFonts w:hint="default" w:ascii="Times New Roman" w:hAnsi="Times New Roman" w:eastAsia="宋体" w:cs="Times New Roman"/>
                <w:color w:val="auto"/>
                <w:sz w:val="22"/>
                <w:lang w:val="en-US" w:eastAsia="zh-CN"/>
              </w:rPr>
            </w:pPr>
            <w:r>
              <w:rPr>
                <w:rFonts w:hint="eastAsia" w:ascii="Times New Roman" w:hAnsi="Times New Roman" w:eastAsia="宋体" w:cs="Times New Roman"/>
                <w:color w:val="auto"/>
                <w:sz w:val="22"/>
                <w:lang w:val="en-US" w:eastAsia="zh-CN"/>
              </w:rPr>
              <w:t>1.7</w:t>
            </w:r>
          </w:p>
        </w:tc>
        <w:tc>
          <w:tcPr>
            <w:tcW w:w="750" w:type="pct"/>
            <w:vAlign w:val="center"/>
          </w:tcPr>
          <w:p w14:paraId="5586A0C2">
            <w:pPr>
              <w:jc w:val="center"/>
              <w:rPr>
                <w:rFonts w:hint="default" w:ascii="Times New Roman" w:hAnsi="Times New Roman" w:eastAsia="宋体" w:cs="Times New Roman"/>
                <w:color w:val="auto"/>
                <w:sz w:val="22"/>
                <w:lang w:val="en-US" w:eastAsia="zh-CN"/>
              </w:rPr>
            </w:pPr>
            <w:r>
              <w:rPr>
                <w:rFonts w:hint="eastAsia" w:ascii="Times New Roman" w:hAnsi="Times New Roman" w:eastAsia="宋体" w:cs="Times New Roman"/>
                <w:color w:val="auto"/>
                <w:sz w:val="22"/>
                <w:lang w:val="en-US" w:eastAsia="zh-CN"/>
              </w:rPr>
              <w:t>58</w:t>
            </w:r>
          </w:p>
        </w:tc>
        <w:tc>
          <w:tcPr>
            <w:tcW w:w="673" w:type="pct"/>
            <w:vAlign w:val="center"/>
          </w:tcPr>
          <w:p w14:paraId="78EAE5C6">
            <w:pPr>
              <w:jc w:val="center"/>
              <w:rPr>
                <w:rFonts w:hint="default" w:ascii="Times New Roman" w:hAnsi="Times New Roman" w:eastAsia="宋体" w:cs="Times New Roman"/>
                <w:color w:val="auto"/>
                <w:sz w:val="22"/>
                <w:lang w:val="en-US" w:eastAsia="zh-CN"/>
              </w:rPr>
            </w:pPr>
            <w:r>
              <w:rPr>
                <w:rFonts w:hint="eastAsia" w:ascii="Times New Roman" w:hAnsi="Times New Roman" w:eastAsia="宋体" w:cs="Times New Roman"/>
                <w:color w:val="auto"/>
                <w:sz w:val="22"/>
                <w:lang w:val="en-US" w:eastAsia="zh-CN"/>
              </w:rPr>
              <w:t>22</w:t>
            </w:r>
            <w:r>
              <w:rPr>
                <w:rFonts w:ascii="Times New Roman" w:hAnsi="Times New Roman" w:eastAsia="宋体" w:cs="Times New Roman"/>
                <w:color w:val="auto"/>
                <w:sz w:val="22"/>
              </w:rPr>
              <w:t>~</w:t>
            </w:r>
            <w:r>
              <w:rPr>
                <w:rFonts w:hint="eastAsia" w:ascii="Times New Roman" w:hAnsi="Times New Roman" w:eastAsia="宋体" w:cs="Times New Roman"/>
                <w:color w:val="auto"/>
                <w:sz w:val="22"/>
                <w:lang w:val="en-US" w:eastAsia="zh-CN"/>
              </w:rPr>
              <w:t>27</w:t>
            </w:r>
          </w:p>
        </w:tc>
        <w:tc>
          <w:tcPr>
            <w:tcW w:w="720" w:type="pct"/>
            <w:vAlign w:val="center"/>
          </w:tcPr>
          <w:p w14:paraId="1CE4EE27">
            <w:pPr>
              <w:jc w:val="center"/>
              <w:rPr>
                <w:rFonts w:hint="default" w:ascii="Times New Roman" w:hAnsi="Times New Roman" w:eastAsia="宋体" w:cs="Times New Roman"/>
                <w:color w:val="auto"/>
                <w:sz w:val="22"/>
                <w:lang w:val="en-US" w:eastAsia="zh-CN"/>
              </w:rPr>
            </w:pPr>
            <w:r>
              <w:rPr>
                <w:rFonts w:hint="eastAsia" w:ascii="Times New Roman" w:hAnsi="Times New Roman" w:eastAsia="宋体" w:cs="Times New Roman"/>
                <w:color w:val="auto"/>
                <w:sz w:val="22"/>
                <w:lang w:val="en-US" w:eastAsia="zh-CN"/>
              </w:rPr>
              <w:t>100.2</w:t>
            </w:r>
          </w:p>
        </w:tc>
      </w:tr>
      <w:tr w14:paraId="0CF8B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719" w:type="pct"/>
            <w:vAlign w:val="center"/>
          </w:tcPr>
          <w:p w14:paraId="79085E1E">
            <w:pPr>
              <w:jc w:val="center"/>
              <w:rPr>
                <w:rFonts w:hint="default" w:ascii="Times New Roman" w:hAnsi="Times New Roman" w:eastAsia="宋体" w:cs="Times New Roman"/>
                <w:color w:val="auto"/>
                <w:sz w:val="22"/>
                <w:lang w:val="en-US" w:eastAsia="zh-CN"/>
              </w:rPr>
            </w:pPr>
            <w:r>
              <w:rPr>
                <w:rFonts w:hint="eastAsia" w:ascii="Times New Roman" w:hAnsi="Times New Roman" w:eastAsia="宋体" w:cs="Times New Roman"/>
                <w:color w:val="auto"/>
                <w:sz w:val="22"/>
                <w:lang w:val="en-US" w:eastAsia="zh-CN"/>
              </w:rPr>
              <w:t>2022.5.30</w:t>
            </w:r>
          </w:p>
        </w:tc>
        <w:tc>
          <w:tcPr>
            <w:tcW w:w="711" w:type="pct"/>
            <w:vAlign w:val="center"/>
          </w:tcPr>
          <w:p w14:paraId="7129564C">
            <w:pPr>
              <w:jc w:val="center"/>
              <w:rPr>
                <w:rFonts w:ascii="Times New Roman" w:hAnsi="Times New Roman" w:eastAsia="宋体" w:cs="Times New Roman"/>
                <w:color w:val="auto"/>
                <w:sz w:val="22"/>
              </w:rPr>
            </w:pPr>
            <w:r>
              <w:rPr>
                <w:rFonts w:ascii="Times New Roman" w:hAnsi="Times New Roman" w:eastAsia="宋体" w:cs="Times New Roman"/>
                <w:color w:val="auto"/>
                <w:sz w:val="22"/>
              </w:rPr>
              <w:t>晴</w:t>
            </w:r>
          </w:p>
        </w:tc>
        <w:tc>
          <w:tcPr>
            <w:tcW w:w="713" w:type="pct"/>
            <w:vAlign w:val="center"/>
          </w:tcPr>
          <w:p w14:paraId="103D0673">
            <w:pPr>
              <w:jc w:val="center"/>
              <w:rPr>
                <w:rFonts w:hint="eastAsia" w:ascii="Times New Roman" w:hAnsi="Times New Roman" w:eastAsia="宋体" w:cs="Times New Roman"/>
                <w:color w:val="auto"/>
                <w:sz w:val="22"/>
                <w:lang w:val="en-US" w:eastAsia="zh-CN"/>
              </w:rPr>
            </w:pPr>
            <w:r>
              <w:rPr>
                <w:rFonts w:hint="eastAsia" w:ascii="Times New Roman" w:hAnsi="Times New Roman" w:eastAsia="宋体" w:cs="Times New Roman"/>
                <w:color w:val="auto"/>
                <w:sz w:val="22"/>
                <w:lang w:val="en-US" w:eastAsia="zh-CN"/>
              </w:rPr>
              <w:t>南</w:t>
            </w:r>
          </w:p>
        </w:tc>
        <w:tc>
          <w:tcPr>
            <w:tcW w:w="711" w:type="pct"/>
            <w:vAlign w:val="center"/>
          </w:tcPr>
          <w:p w14:paraId="41635246">
            <w:pPr>
              <w:jc w:val="center"/>
              <w:rPr>
                <w:rFonts w:hint="default" w:ascii="Times New Roman" w:hAnsi="Times New Roman" w:eastAsia="宋体" w:cs="Times New Roman"/>
                <w:color w:val="auto"/>
                <w:sz w:val="22"/>
                <w:lang w:val="en-US" w:eastAsia="zh-CN"/>
              </w:rPr>
            </w:pPr>
            <w:r>
              <w:rPr>
                <w:rFonts w:hint="eastAsia" w:ascii="Times New Roman" w:hAnsi="Times New Roman" w:eastAsia="宋体" w:cs="Times New Roman"/>
                <w:color w:val="auto"/>
                <w:sz w:val="22"/>
                <w:lang w:val="en-US" w:eastAsia="zh-CN"/>
              </w:rPr>
              <w:t>1.6</w:t>
            </w:r>
          </w:p>
        </w:tc>
        <w:tc>
          <w:tcPr>
            <w:tcW w:w="750" w:type="pct"/>
            <w:vAlign w:val="center"/>
          </w:tcPr>
          <w:p w14:paraId="370AA58A">
            <w:pPr>
              <w:jc w:val="center"/>
              <w:rPr>
                <w:rFonts w:hint="default" w:ascii="Times New Roman" w:hAnsi="Times New Roman" w:eastAsia="宋体" w:cs="Times New Roman"/>
                <w:color w:val="auto"/>
                <w:sz w:val="22"/>
                <w:lang w:val="en-US" w:eastAsia="zh-CN"/>
              </w:rPr>
            </w:pPr>
            <w:r>
              <w:rPr>
                <w:rFonts w:hint="eastAsia" w:ascii="Times New Roman" w:hAnsi="Times New Roman" w:eastAsia="宋体" w:cs="Times New Roman"/>
                <w:color w:val="auto"/>
                <w:sz w:val="22"/>
                <w:lang w:val="en-US" w:eastAsia="zh-CN"/>
              </w:rPr>
              <w:t>59</w:t>
            </w:r>
          </w:p>
        </w:tc>
        <w:tc>
          <w:tcPr>
            <w:tcW w:w="673" w:type="pct"/>
            <w:vAlign w:val="center"/>
          </w:tcPr>
          <w:p w14:paraId="14E6DF86">
            <w:pPr>
              <w:jc w:val="center"/>
              <w:rPr>
                <w:rFonts w:hint="default" w:ascii="Times New Roman" w:hAnsi="Times New Roman" w:eastAsia="宋体" w:cs="Times New Roman"/>
                <w:color w:val="auto"/>
                <w:sz w:val="22"/>
                <w:lang w:val="en-US" w:eastAsia="zh-CN"/>
              </w:rPr>
            </w:pPr>
            <w:r>
              <w:rPr>
                <w:rFonts w:hint="eastAsia" w:ascii="Times New Roman" w:hAnsi="Times New Roman" w:eastAsia="宋体" w:cs="Times New Roman"/>
                <w:color w:val="auto"/>
                <w:sz w:val="22"/>
                <w:lang w:val="en-US" w:eastAsia="zh-CN"/>
              </w:rPr>
              <w:t>22</w:t>
            </w:r>
            <w:r>
              <w:rPr>
                <w:rFonts w:ascii="Times New Roman" w:hAnsi="Times New Roman" w:eastAsia="宋体" w:cs="Times New Roman"/>
                <w:color w:val="auto"/>
                <w:sz w:val="22"/>
              </w:rPr>
              <w:t>~</w:t>
            </w:r>
            <w:r>
              <w:rPr>
                <w:rFonts w:hint="eastAsia" w:ascii="Times New Roman" w:hAnsi="Times New Roman" w:eastAsia="宋体" w:cs="Times New Roman"/>
                <w:color w:val="auto"/>
                <w:sz w:val="22"/>
                <w:lang w:val="en-US" w:eastAsia="zh-CN"/>
              </w:rPr>
              <w:t>29</w:t>
            </w:r>
          </w:p>
        </w:tc>
        <w:tc>
          <w:tcPr>
            <w:tcW w:w="720" w:type="pct"/>
            <w:vAlign w:val="center"/>
          </w:tcPr>
          <w:p w14:paraId="1D20FC4F">
            <w:pPr>
              <w:jc w:val="center"/>
              <w:rPr>
                <w:rFonts w:hint="default" w:ascii="Times New Roman" w:hAnsi="Times New Roman" w:eastAsia="宋体" w:cs="Times New Roman"/>
                <w:color w:val="auto"/>
                <w:sz w:val="22"/>
                <w:lang w:val="en-US" w:eastAsia="zh-CN"/>
              </w:rPr>
            </w:pPr>
            <w:r>
              <w:rPr>
                <w:rFonts w:hint="eastAsia" w:ascii="Times New Roman" w:hAnsi="Times New Roman" w:eastAsia="宋体" w:cs="Times New Roman"/>
                <w:color w:val="auto"/>
                <w:sz w:val="22"/>
                <w:lang w:val="en-US" w:eastAsia="zh-CN"/>
              </w:rPr>
              <w:t>100.7</w:t>
            </w:r>
          </w:p>
        </w:tc>
      </w:tr>
      <w:tr w14:paraId="2701D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719" w:type="pct"/>
            <w:vAlign w:val="center"/>
          </w:tcPr>
          <w:p w14:paraId="63DDCD13">
            <w:pPr>
              <w:jc w:val="center"/>
              <w:rPr>
                <w:rFonts w:hint="default" w:ascii="Times New Roman" w:hAnsi="Times New Roman" w:eastAsia="宋体" w:cs="Times New Roman"/>
                <w:color w:val="auto"/>
                <w:sz w:val="22"/>
                <w:lang w:val="en-US" w:eastAsia="zh-CN"/>
              </w:rPr>
            </w:pPr>
            <w:r>
              <w:rPr>
                <w:rFonts w:hint="eastAsia" w:ascii="Times New Roman" w:hAnsi="Times New Roman" w:eastAsia="宋体" w:cs="Times New Roman"/>
                <w:color w:val="auto"/>
                <w:sz w:val="22"/>
                <w:lang w:val="en-US" w:eastAsia="zh-CN"/>
              </w:rPr>
              <w:t>2022.5.31</w:t>
            </w:r>
          </w:p>
        </w:tc>
        <w:tc>
          <w:tcPr>
            <w:tcW w:w="711" w:type="pct"/>
            <w:vAlign w:val="center"/>
          </w:tcPr>
          <w:p w14:paraId="3BCE62FC">
            <w:pPr>
              <w:jc w:val="center"/>
              <w:rPr>
                <w:rFonts w:ascii="Times New Roman" w:hAnsi="Times New Roman" w:eastAsia="宋体" w:cs="Times New Roman"/>
                <w:color w:val="auto"/>
                <w:sz w:val="22"/>
              </w:rPr>
            </w:pPr>
            <w:r>
              <w:rPr>
                <w:rFonts w:hint="eastAsia" w:ascii="Times New Roman" w:hAnsi="Times New Roman" w:eastAsia="宋体" w:cs="Times New Roman"/>
                <w:color w:val="auto"/>
                <w:sz w:val="22"/>
                <w:lang w:val="en-US" w:eastAsia="zh-CN"/>
              </w:rPr>
              <w:t>阴</w:t>
            </w:r>
          </w:p>
        </w:tc>
        <w:tc>
          <w:tcPr>
            <w:tcW w:w="713" w:type="pct"/>
            <w:vAlign w:val="center"/>
          </w:tcPr>
          <w:p w14:paraId="5A991CF7">
            <w:pPr>
              <w:jc w:val="center"/>
              <w:rPr>
                <w:rFonts w:hint="eastAsia" w:ascii="Times New Roman" w:hAnsi="Times New Roman" w:eastAsia="宋体" w:cs="Times New Roman"/>
                <w:color w:val="auto"/>
                <w:sz w:val="22"/>
                <w:lang w:val="en-US" w:eastAsia="zh-CN"/>
              </w:rPr>
            </w:pPr>
            <w:r>
              <w:rPr>
                <w:rFonts w:hint="eastAsia" w:ascii="Times New Roman" w:hAnsi="Times New Roman" w:eastAsia="宋体" w:cs="Times New Roman"/>
                <w:color w:val="auto"/>
                <w:sz w:val="22"/>
                <w:lang w:val="en-US" w:eastAsia="zh-CN"/>
              </w:rPr>
              <w:t>东南</w:t>
            </w:r>
          </w:p>
        </w:tc>
        <w:tc>
          <w:tcPr>
            <w:tcW w:w="711" w:type="pct"/>
            <w:vAlign w:val="center"/>
          </w:tcPr>
          <w:p w14:paraId="13A462D0">
            <w:pPr>
              <w:jc w:val="center"/>
              <w:rPr>
                <w:rFonts w:hint="default" w:ascii="Times New Roman" w:hAnsi="Times New Roman" w:eastAsia="宋体" w:cs="Times New Roman"/>
                <w:color w:val="auto"/>
                <w:sz w:val="22"/>
                <w:lang w:val="en-US" w:eastAsia="zh-CN"/>
              </w:rPr>
            </w:pPr>
            <w:r>
              <w:rPr>
                <w:rFonts w:hint="eastAsia" w:ascii="Times New Roman" w:hAnsi="Times New Roman" w:eastAsia="宋体" w:cs="Times New Roman"/>
                <w:color w:val="auto"/>
                <w:sz w:val="22"/>
                <w:lang w:val="en-US" w:eastAsia="zh-CN"/>
              </w:rPr>
              <w:t>1.7</w:t>
            </w:r>
          </w:p>
        </w:tc>
        <w:tc>
          <w:tcPr>
            <w:tcW w:w="750" w:type="pct"/>
            <w:vAlign w:val="center"/>
          </w:tcPr>
          <w:p w14:paraId="11FF7F14">
            <w:pPr>
              <w:jc w:val="center"/>
              <w:rPr>
                <w:rFonts w:hint="default" w:ascii="Times New Roman" w:hAnsi="Times New Roman" w:eastAsia="宋体" w:cs="Times New Roman"/>
                <w:color w:val="auto"/>
                <w:sz w:val="22"/>
                <w:lang w:val="en-US" w:eastAsia="zh-CN"/>
              </w:rPr>
            </w:pPr>
            <w:r>
              <w:rPr>
                <w:rFonts w:hint="eastAsia" w:ascii="Times New Roman" w:hAnsi="Times New Roman" w:eastAsia="宋体" w:cs="Times New Roman"/>
                <w:color w:val="auto"/>
                <w:sz w:val="22"/>
                <w:lang w:val="en-US" w:eastAsia="zh-CN"/>
              </w:rPr>
              <w:t>58</w:t>
            </w:r>
          </w:p>
        </w:tc>
        <w:tc>
          <w:tcPr>
            <w:tcW w:w="673" w:type="pct"/>
            <w:vAlign w:val="center"/>
          </w:tcPr>
          <w:p w14:paraId="660B6D2C">
            <w:pPr>
              <w:jc w:val="center"/>
              <w:rPr>
                <w:rFonts w:hint="default" w:ascii="Times New Roman" w:hAnsi="Times New Roman" w:eastAsia="宋体" w:cs="Times New Roman"/>
                <w:color w:val="auto"/>
                <w:sz w:val="22"/>
                <w:lang w:val="en-US" w:eastAsia="zh-CN"/>
              </w:rPr>
            </w:pPr>
            <w:r>
              <w:rPr>
                <w:rFonts w:hint="eastAsia" w:ascii="Times New Roman" w:hAnsi="Times New Roman" w:eastAsia="宋体" w:cs="Times New Roman"/>
                <w:color w:val="auto"/>
                <w:sz w:val="22"/>
                <w:lang w:val="en-US" w:eastAsia="zh-CN"/>
              </w:rPr>
              <w:t>24</w:t>
            </w:r>
            <w:r>
              <w:rPr>
                <w:rFonts w:ascii="Times New Roman" w:hAnsi="Times New Roman" w:eastAsia="宋体" w:cs="Times New Roman"/>
                <w:color w:val="auto"/>
                <w:sz w:val="22"/>
              </w:rPr>
              <w:t>~</w:t>
            </w:r>
            <w:r>
              <w:rPr>
                <w:rFonts w:hint="eastAsia" w:ascii="Times New Roman" w:hAnsi="Times New Roman" w:eastAsia="宋体" w:cs="Times New Roman"/>
                <w:color w:val="auto"/>
                <w:sz w:val="22"/>
                <w:lang w:val="en-US" w:eastAsia="zh-CN"/>
              </w:rPr>
              <w:t>31</w:t>
            </w:r>
          </w:p>
        </w:tc>
        <w:tc>
          <w:tcPr>
            <w:tcW w:w="720" w:type="pct"/>
            <w:vAlign w:val="center"/>
          </w:tcPr>
          <w:p w14:paraId="496227CA">
            <w:pPr>
              <w:jc w:val="center"/>
              <w:rPr>
                <w:rFonts w:hint="default" w:ascii="Times New Roman" w:hAnsi="Times New Roman" w:eastAsia="宋体" w:cs="Times New Roman"/>
                <w:color w:val="auto"/>
                <w:sz w:val="22"/>
                <w:lang w:val="en-US" w:eastAsia="zh-CN"/>
              </w:rPr>
            </w:pPr>
            <w:r>
              <w:rPr>
                <w:rFonts w:hint="eastAsia" w:ascii="Times New Roman" w:hAnsi="Times New Roman" w:eastAsia="宋体" w:cs="Times New Roman"/>
                <w:color w:val="auto"/>
                <w:sz w:val="22"/>
                <w:lang w:val="en-US" w:eastAsia="zh-CN"/>
              </w:rPr>
              <w:t>101.1</w:t>
            </w:r>
          </w:p>
        </w:tc>
      </w:tr>
      <w:tr w14:paraId="73038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719" w:type="pct"/>
            <w:vAlign w:val="center"/>
          </w:tcPr>
          <w:p w14:paraId="2AF0A38C">
            <w:pPr>
              <w:jc w:val="center"/>
              <w:rPr>
                <w:rFonts w:hint="default" w:ascii="Times New Roman" w:hAnsi="Times New Roman" w:eastAsia="宋体" w:cs="Times New Roman"/>
                <w:color w:val="auto"/>
                <w:sz w:val="22"/>
                <w:lang w:val="en-US" w:eastAsia="zh-CN"/>
              </w:rPr>
            </w:pPr>
            <w:r>
              <w:rPr>
                <w:rFonts w:hint="eastAsia" w:ascii="Times New Roman" w:hAnsi="Times New Roman" w:eastAsia="宋体" w:cs="Times New Roman"/>
                <w:color w:val="auto"/>
                <w:sz w:val="22"/>
                <w:lang w:val="en-US" w:eastAsia="zh-CN"/>
              </w:rPr>
              <w:t>2022.6.1</w:t>
            </w:r>
          </w:p>
        </w:tc>
        <w:tc>
          <w:tcPr>
            <w:tcW w:w="711" w:type="pct"/>
            <w:vAlign w:val="center"/>
          </w:tcPr>
          <w:p w14:paraId="426158D9">
            <w:pPr>
              <w:jc w:val="center"/>
              <w:rPr>
                <w:rFonts w:ascii="Times New Roman" w:hAnsi="Times New Roman" w:eastAsia="宋体" w:cs="Times New Roman"/>
                <w:color w:val="auto"/>
                <w:sz w:val="22"/>
              </w:rPr>
            </w:pPr>
            <w:r>
              <w:rPr>
                <w:rFonts w:hint="eastAsia" w:ascii="Times New Roman" w:hAnsi="Times New Roman" w:eastAsia="宋体" w:cs="Times New Roman"/>
                <w:color w:val="auto"/>
                <w:sz w:val="22"/>
                <w:lang w:val="en-US" w:eastAsia="zh-CN"/>
              </w:rPr>
              <w:t>阴</w:t>
            </w:r>
          </w:p>
        </w:tc>
        <w:tc>
          <w:tcPr>
            <w:tcW w:w="713" w:type="pct"/>
            <w:vAlign w:val="center"/>
          </w:tcPr>
          <w:p w14:paraId="75E457F0">
            <w:pPr>
              <w:jc w:val="center"/>
              <w:rPr>
                <w:rFonts w:hint="eastAsia" w:ascii="Times New Roman" w:hAnsi="Times New Roman" w:eastAsia="宋体" w:cs="Times New Roman"/>
                <w:color w:val="auto"/>
                <w:sz w:val="22"/>
                <w:lang w:val="en-US" w:eastAsia="zh-CN"/>
              </w:rPr>
            </w:pPr>
            <w:r>
              <w:rPr>
                <w:rFonts w:hint="eastAsia" w:ascii="Times New Roman" w:hAnsi="Times New Roman" w:eastAsia="宋体" w:cs="Times New Roman"/>
                <w:color w:val="auto"/>
                <w:sz w:val="22"/>
                <w:lang w:val="en-US" w:eastAsia="zh-CN"/>
              </w:rPr>
              <w:t>东</w:t>
            </w:r>
          </w:p>
        </w:tc>
        <w:tc>
          <w:tcPr>
            <w:tcW w:w="711" w:type="pct"/>
            <w:vAlign w:val="center"/>
          </w:tcPr>
          <w:p w14:paraId="5E5ED9E7">
            <w:pPr>
              <w:jc w:val="center"/>
              <w:rPr>
                <w:rFonts w:hint="default" w:ascii="Times New Roman" w:hAnsi="Times New Roman" w:eastAsia="宋体" w:cs="Times New Roman"/>
                <w:color w:val="auto"/>
                <w:sz w:val="22"/>
                <w:lang w:val="en-US" w:eastAsia="zh-CN"/>
              </w:rPr>
            </w:pPr>
            <w:r>
              <w:rPr>
                <w:rFonts w:hint="eastAsia" w:ascii="Times New Roman" w:hAnsi="Times New Roman" w:eastAsia="宋体" w:cs="Times New Roman"/>
                <w:color w:val="auto"/>
                <w:sz w:val="22"/>
                <w:lang w:val="en-US" w:eastAsia="zh-CN"/>
              </w:rPr>
              <w:t>1.8</w:t>
            </w:r>
          </w:p>
        </w:tc>
        <w:tc>
          <w:tcPr>
            <w:tcW w:w="750" w:type="pct"/>
            <w:vAlign w:val="center"/>
          </w:tcPr>
          <w:p w14:paraId="4D36A1E9">
            <w:pPr>
              <w:jc w:val="center"/>
              <w:rPr>
                <w:rFonts w:hint="default" w:ascii="Times New Roman" w:hAnsi="Times New Roman" w:eastAsia="宋体" w:cs="Times New Roman"/>
                <w:color w:val="auto"/>
                <w:sz w:val="22"/>
                <w:lang w:val="en-US" w:eastAsia="zh-CN"/>
              </w:rPr>
            </w:pPr>
            <w:r>
              <w:rPr>
                <w:rFonts w:hint="eastAsia" w:ascii="Times New Roman" w:hAnsi="Times New Roman" w:eastAsia="宋体" w:cs="Times New Roman"/>
                <w:color w:val="auto"/>
                <w:sz w:val="22"/>
                <w:lang w:val="en-US" w:eastAsia="zh-CN"/>
              </w:rPr>
              <w:t>57</w:t>
            </w:r>
          </w:p>
        </w:tc>
        <w:tc>
          <w:tcPr>
            <w:tcW w:w="673" w:type="pct"/>
            <w:vAlign w:val="center"/>
          </w:tcPr>
          <w:p w14:paraId="727F615F">
            <w:pPr>
              <w:jc w:val="center"/>
              <w:rPr>
                <w:rFonts w:hint="default" w:ascii="Times New Roman" w:hAnsi="Times New Roman" w:eastAsia="宋体" w:cs="Times New Roman"/>
                <w:color w:val="auto"/>
                <w:sz w:val="22"/>
                <w:lang w:val="en-US" w:eastAsia="zh-CN"/>
              </w:rPr>
            </w:pPr>
            <w:r>
              <w:rPr>
                <w:rFonts w:hint="eastAsia" w:ascii="Times New Roman" w:hAnsi="Times New Roman" w:eastAsia="宋体" w:cs="Times New Roman"/>
                <w:color w:val="auto"/>
                <w:sz w:val="22"/>
                <w:lang w:val="en-US" w:eastAsia="zh-CN"/>
              </w:rPr>
              <w:t>24</w:t>
            </w:r>
            <w:r>
              <w:rPr>
                <w:rFonts w:ascii="Times New Roman" w:hAnsi="Times New Roman" w:eastAsia="宋体" w:cs="Times New Roman"/>
                <w:color w:val="auto"/>
                <w:sz w:val="22"/>
              </w:rPr>
              <w:t>~</w:t>
            </w:r>
            <w:r>
              <w:rPr>
                <w:rFonts w:hint="eastAsia" w:ascii="Times New Roman" w:hAnsi="Times New Roman" w:eastAsia="宋体" w:cs="Times New Roman"/>
                <w:color w:val="auto"/>
                <w:sz w:val="22"/>
                <w:lang w:val="en-US" w:eastAsia="zh-CN"/>
              </w:rPr>
              <w:t>29</w:t>
            </w:r>
          </w:p>
        </w:tc>
        <w:tc>
          <w:tcPr>
            <w:tcW w:w="720" w:type="pct"/>
            <w:vAlign w:val="center"/>
          </w:tcPr>
          <w:p w14:paraId="1CE7CD1A">
            <w:pPr>
              <w:jc w:val="center"/>
              <w:rPr>
                <w:rFonts w:hint="default" w:ascii="Times New Roman" w:hAnsi="Times New Roman" w:eastAsia="宋体" w:cs="Times New Roman"/>
                <w:color w:val="auto"/>
                <w:sz w:val="22"/>
                <w:lang w:val="en-US" w:eastAsia="zh-CN"/>
              </w:rPr>
            </w:pPr>
            <w:r>
              <w:rPr>
                <w:rFonts w:hint="eastAsia" w:ascii="Times New Roman" w:hAnsi="Times New Roman" w:eastAsia="宋体" w:cs="Times New Roman"/>
                <w:color w:val="auto"/>
                <w:sz w:val="22"/>
                <w:lang w:val="en-US" w:eastAsia="zh-CN"/>
              </w:rPr>
              <w:t>100.3</w:t>
            </w:r>
          </w:p>
        </w:tc>
      </w:tr>
      <w:tr w14:paraId="0EB89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719" w:type="pct"/>
            <w:vAlign w:val="center"/>
          </w:tcPr>
          <w:p w14:paraId="00C75C0C">
            <w:pPr>
              <w:jc w:val="center"/>
              <w:rPr>
                <w:rFonts w:hint="default" w:ascii="Times New Roman" w:hAnsi="Times New Roman" w:eastAsia="宋体" w:cs="Times New Roman"/>
                <w:color w:val="auto"/>
                <w:sz w:val="22"/>
                <w:lang w:val="en-US" w:eastAsia="zh-CN"/>
              </w:rPr>
            </w:pPr>
            <w:r>
              <w:rPr>
                <w:rFonts w:hint="eastAsia" w:ascii="Times New Roman" w:hAnsi="Times New Roman" w:eastAsia="宋体" w:cs="Times New Roman"/>
                <w:color w:val="auto"/>
                <w:sz w:val="22"/>
                <w:lang w:val="en-US" w:eastAsia="zh-CN"/>
              </w:rPr>
              <w:t>2022.6.2</w:t>
            </w:r>
          </w:p>
        </w:tc>
        <w:tc>
          <w:tcPr>
            <w:tcW w:w="711" w:type="pct"/>
            <w:vAlign w:val="center"/>
          </w:tcPr>
          <w:p w14:paraId="65D362AA">
            <w:pPr>
              <w:jc w:val="center"/>
              <w:rPr>
                <w:rFonts w:ascii="Times New Roman" w:hAnsi="Times New Roman" w:eastAsia="宋体" w:cs="Times New Roman"/>
                <w:color w:val="auto"/>
                <w:sz w:val="22"/>
              </w:rPr>
            </w:pPr>
            <w:r>
              <w:rPr>
                <w:rFonts w:hint="eastAsia" w:ascii="Times New Roman" w:hAnsi="Times New Roman" w:eastAsia="宋体" w:cs="Times New Roman"/>
                <w:color w:val="auto"/>
                <w:sz w:val="22"/>
                <w:lang w:val="en-US" w:eastAsia="zh-CN"/>
              </w:rPr>
              <w:t>阴</w:t>
            </w:r>
          </w:p>
        </w:tc>
        <w:tc>
          <w:tcPr>
            <w:tcW w:w="713" w:type="pct"/>
            <w:vAlign w:val="center"/>
          </w:tcPr>
          <w:p w14:paraId="0F660E0D">
            <w:pPr>
              <w:jc w:val="center"/>
              <w:rPr>
                <w:rFonts w:hint="default" w:ascii="Times New Roman" w:hAnsi="Times New Roman" w:eastAsia="宋体" w:cs="Times New Roman"/>
                <w:color w:val="auto"/>
                <w:sz w:val="22"/>
                <w:lang w:val="en-US" w:eastAsia="zh-CN"/>
              </w:rPr>
            </w:pPr>
            <w:r>
              <w:rPr>
                <w:rFonts w:hint="eastAsia" w:ascii="Times New Roman" w:hAnsi="Times New Roman" w:eastAsia="宋体" w:cs="Times New Roman"/>
                <w:color w:val="auto"/>
                <w:sz w:val="22"/>
                <w:lang w:val="en-US" w:eastAsia="zh-CN"/>
              </w:rPr>
              <w:t>东</w:t>
            </w:r>
          </w:p>
        </w:tc>
        <w:tc>
          <w:tcPr>
            <w:tcW w:w="711" w:type="pct"/>
            <w:vAlign w:val="center"/>
          </w:tcPr>
          <w:p w14:paraId="26C5AE75">
            <w:pPr>
              <w:jc w:val="center"/>
              <w:rPr>
                <w:rFonts w:hint="default" w:ascii="Times New Roman" w:hAnsi="Times New Roman" w:eastAsia="宋体" w:cs="Times New Roman"/>
                <w:color w:val="auto"/>
                <w:sz w:val="22"/>
                <w:lang w:val="en-US" w:eastAsia="zh-CN"/>
              </w:rPr>
            </w:pPr>
            <w:r>
              <w:rPr>
                <w:rFonts w:hint="eastAsia" w:ascii="Times New Roman" w:hAnsi="Times New Roman" w:eastAsia="宋体" w:cs="Times New Roman"/>
                <w:color w:val="auto"/>
                <w:sz w:val="22"/>
                <w:lang w:val="en-US" w:eastAsia="zh-CN"/>
              </w:rPr>
              <w:t>2.1</w:t>
            </w:r>
          </w:p>
        </w:tc>
        <w:tc>
          <w:tcPr>
            <w:tcW w:w="750" w:type="pct"/>
            <w:vAlign w:val="center"/>
          </w:tcPr>
          <w:p w14:paraId="5F131AB9">
            <w:pPr>
              <w:jc w:val="center"/>
              <w:rPr>
                <w:rFonts w:hint="default" w:ascii="Times New Roman" w:hAnsi="Times New Roman" w:eastAsia="宋体" w:cs="Times New Roman"/>
                <w:color w:val="auto"/>
                <w:sz w:val="22"/>
                <w:lang w:val="en-US" w:eastAsia="zh-CN"/>
              </w:rPr>
            </w:pPr>
            <w:r>
              <w:rPr>
                <w:rFonts w:hint="eastAsia" w:ascii="Times New Roman" w:hAnsi="Times New Roman" w:eastAsia="宋体" w:cs="Times New Roman"/>
                <w:color w:val="auto"/>
                <w:sz w:val="22"/>
                <w:lang w:val="en-US" w:eastAsia="zh-CN"/>
              </w:rPr>
              <w:t>59</w:t>
            </w:r>
          </w:p>
        </w:tc>
        <w:tc>
          <w:tcPr>
            <w:tcW w:w="673" w:type="pct"/>
            <w:vAlign w:val="center"/>
          </w:tcPr>
          <w:p w14:paraId="2B709074">
            <w:pPr>
              <w:jc w:val="center"/>
              <w:rPr>
                <w:rFonts w:hint="default" w:ascii="Times New Roman" w:hAnsi="Times New Roman" w:eastAsia="宋体" w:cs="Times New Roman"/>
                <w:color w:val="auto"/>
                <w:sz w:val="22"/>
                <w:lang w:val="en-US" w:eastAsia="zh-CN"/>
              </w:rPr>
            </w:pPr>
            <w:r>
              <w:rPr>
                <w:rFonts w:hint="eastAsia" w:ascii="Times New Roman" w:hAnsi="Times New Roman" w:eastAsia="宋体" w:cs="Times New Roman"/>
                <w:color w:val="auto"/>
                <w:sz w:val="22"/>
                <w:lang w:val="en-US" w:eastAsia="zh-CN"/>
              </w:rPr>
              <w:t>24</w:t>
            </w:r>
            <w:r>
              <w:rPr>
                <w:rFonts w:ascii="Times New Roman" w:hAnsi="Times New Roman" w:eastAsia="宋体" w:cs="Times New Roman"/>
                <w:color w:val="auto"/>
                <w:sz w:val="22"/>
              </w:rPr>
              <w:t>~</w:t>
            </w:r>
            <w:r>
              <w:rPr>
                <w:rFonts w:hint="eastAsia" w:ascii="Times New Roman" w:hAnsi="Times New Roman" w:eastAsia="宋体" w:cs="Times New Roman"/>
                <w:color w:val="auto"/>
                <w:sz w:val="22"/>
                <w:lang w:val="en-US" w:eastAsia="zh-CN"/>
              </w:rPr>
              <w:t>28</w:t>
            </w:r>
          </w:p>
        </w:tc>
        <w:tc>
          <w:tcPr>
            <w:tcW w:w="720" w:type="pct"/>
            <w:vAlign w:val="center"/>
          </w:tcPr>
          <w:p w14:paraId="0D38ED14">
            <w:pPr>
              <w:jc w:val="center"/>
              <w:rPr>
                <w:rFonts w:hint="default" w:ascii="Times New Roman" w:hAnsi="Times New Roman" w:eastAsia="宋体" w:cs="Times New Roman"/>
                <w:color w:val="auto"/>
                <w:sz w:val="22"/>
                <w:lang w:val="en-US" w:eastAsia="zh-CN"/>
              </w:rPr>
            </w:pPr>
            <w:r>
              <w:rPr>
                <w:rFonts w:hint="eastAsia" w:ascii="Times New Roman" w:hAnsi="Times New Roman" w:eastAsia="宋体" w:cs="Times New Roman"/>
                <w:color w:val="auto"/>
                <w:sz w:val="22"/>
                <w:lang w:val="en-US" w:eastAsia="zh-CN"/>
              </w:rPr>
              <w:t>100.5</w:t>
            </w:r>
          </w:p>
        </w:tc>
      </w:tr>
      <w:tr w14:paraId="108F3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719" w:type="pct"/>
            <w:vAlign w:val="center"/>
          </w:tcPr>
          <w:p w14:paraId="586FF8B7">
            <w:pPr>
              <w:jc w:val="center"/>
              <w:rPr>
                <w:rFonts w:hint="default" w:ascii="Times New Roman" w:hAnsi="Times New Roman" w:eastAsia="宋体" w:cs="Times New Roman"/>
                <w:color w:val="auto"/>
                <w:sz w:val="22"/>
                <w:lang w:val="en-US" w:eastAsia="zh-CN"/>
              </w:rPr>
            </w:pPr>
            <w:r>
              <w:rPr>
                <w:rFonts w:hint="eastAsia" w:ascii="Times New Roman" w:hAnsi="Times New Roman" w:eastAsia="宋体" w:cs="Times New Roman"/>
                <w:color w:val="auto"/>
                <w:sz w:val="22"/>
                <w:lang w:val="en-US" w:eastAsia="zh-CN"/>
              </w:rPr>
              <w:t>2022.6.3</w:t>
            </w:r>
          </w:p>
        </w:tc>
        <w:tc>
          <w:tcPr>
            <w:tcW w:w="711" w:type="pct"/>
            <w:vAlign w:val="center"/>
          </w:tcPr>
          <w:p w14:paraId="07083D6B">
            <w:pPr>
              <w:jc w:val="center"/>
              <w:rPr>
                <w:rFonts w:ascii="Times New Roman" w:hAnsi="Times New Roman" w:eastAsia="宋体" w:cs="Times New Roman"/>
                <w:color w:val="auto"/>
                <w:sz w:val="22"/>
              </w:rPr>
            </w:pPr>
            <w:r>
              <w:rPr>
                <w:rFonts w:hint="eastAsia" w:ascii="Times New Roman" w:hAnsi="Times New Roman" w:eastAsia="宋体" w:cs="Times New Roman"/>
                <w:color w:val="auto"/>
                <w:sz w:val="22"/>
                <w:lang w:val="en-US" w:eastAsia="zh-CN"/>
              </w:rPr>
              <w:t>阴</w:t>
            </w:r>
          </w:p>
        </w:tc>
        <w:tc>
          <w:tcPr>
            <w:tcW w:w="713" w:type="pct"/>
            <w:vAlign w:val="center"/>
          </w:tcPr>
          <w:p w14:paraId="08A84159">
            <w:pPr>
              <w:jc w:val="center"/>
              <w:rPr>
                <w:rFonts w:hint="eastAsia" w:ascii="Times New Roman" w:hAnsi="Times New Roman" w:eastAsia="宋体" w:cs="Times New Roman"/>
                <w:color w:val="auto"/>
                <w:sz w:val="22"/>
                <w:lang w:val="en-US" w:eastAsia="zh-CN"/>
              </w:rPr>
            </w:pPr>
            <w:r>
              <w:rPr>
                <w:rFonts w:hint="eastAsia" w:ascii="Times New Roman" w:hAnsi="Times New Roman" w:eastAsia="宋体" w:cs="Times New Roman"/>
                <w:color w:val="auto"/>
                <w:sz w:val="22"/>
                <w:lang w:val="en-US" w:eastAsia="zh-CN"/>
              </w:rPr>
              <w:t>西南</w:t>
            </w:r>
          </w:p>
        </w:tc>
        <w:tc>
          <w:tcPr>
            <w:tcW w:w="711" w:type="pct"/>
            <w:vAlign w:val="center"/>
          </w:tcPr>
          <w:p w14:paraId="5EBEAAE2">
            <w:pPr>
              <w:jc w:val="center"/>
              <w:rPr>
                <w:rFonts w:hint="default" w:ascii="Times New Roman" w:hAnsi="Times New Roman" w:eastAsia="宋体" w:cs="Times New Roman"/>
                <w:color w:val="auto"/>
                <w:sz w:val="22"/>
                <w:lang w:val="en-US" w:eastAsia="zh-CN"/>
              </w:rPr>
            </w:pPr>
            <w:r>
              <w:rPr>
                <w:rFonts w:hint="eastAsia" w:ascii="Times New Roman" w:hAnsi="Times New Roman" w:eastAsia="宋体" w:cs="Times New Roman"/>
                <w:color w:val="auto"/>
                <w:sz w:val="22"/>
                <w:lang w:val="en-US" w:eastAsia="zh-CN"/>
              </w:rPr>
              <w:t>2.2</w:t>
            </w:r>
          </w:p>
        </w:tc>
        <w:tc>
          <w:tcPr>
            <w:tcW w:w="750" w:type="pct"/>
            <w:vAlign w:val="center"/>
          </w:tcPr>
          <w:p w14:paraId="17A494BD">
            <w:pPr>
              <w:jc w:val="center"/>
              <w:rPr>
                <w:rFonts w:hint="default" w:ascii="Times New Roman" w:hAnsi="Times New Roman" w:eastAsia="宋体" w:cs="Times New Roman"/>
                <w:color w:val="auto"/>
                <w:sz w:val="22"/>
                <w:lang w:val="en-US" w:eastAsia="zh-CN"/>
              </w:rPr>
            </w:pPr>
            <w:r>
              <w:rPr>
                <w:rFonts w:hint="eastAsia" w:ascii="Times New Roman" w:hAnsi="Times New Roman" w:eastAsia="宋体" w:cs="Times New Roman"/>
                <w:color w:val="auto"/>
                <w:sz w:val="22"/>
                <w:lang w:val="en-US" w:eastAsia="zh-CN"/>
              </w:rPr>
              <w:t>60</w:t>
            </w:r>
          </w:p>
        </w:tc>
        <w:tc>
          <w:tcPr>
            <w:tcW w:w="673" w:type="pct"/>
            <w:vAlign w:val="center"/>
          </w:tcPr>
          <w:p w14:paraId="00B4344C">
            <w:pPr>
              <w:jc w:val="center"/>
              <w:rPr>
                <w:rFonts w:hint="default" w:ascii="Times New Roman" w:hAnsi="Times New Roman" w:eastAsia="宋体" w:cs="Times New Roman"/>
                <w:color w:val="auto"/>
                <w:sz w:val="22"/>
                <w:lang w:val="en-US" w:eastAsia="zh-CN"/>
              </w:rPr>
            </w:pPr>
            <w:r>
              <w:rPr>
                <w:rFonts w:hint="eastAsia" w:ascii="Times New Roman" w:hAnsi="Times New Roman" w:eastAsia="宋体" w:cs="Times New Roman"/>
                <w:color w:val="auto"/>
                <w:sz w:val="22"/>
                <w:lang w:val="en-US" w:eastAsia="zh-CN"/>
              </w:rPr>
              <w:t>23</w:t>
            </w:r>
            <w:r>
              <w:rPr>
                <w:rFonts w:ascii="Times New Roman" w:hAnsi="Times New Roman" w:eastAsia="宋体" w:cs="Times New Roman"/>
                <w:color w:val="auto"/>
                <w:sz w:val="22"/>
              </w:rPr>
              <w:t>~</w:t>
            </w:r>
            <w:r>
              <w:rPr>
                <w:rFonts w:hint="eastAsia" w:ascii="Times New Roman" w:hAnsi="Times New Roman" w:eastAsia="宋体" w:cs="Times New Roman"/>
                <w:color w:val="auto"/>
                <w:sz w:val="22"/>
                <w:lang w:val="en-US" w:eastAsia="zh-CN"/>
              </w:rPr>
              <w:t>29</w:t>
            </w:r>
          </w:p>
        </w:tc>
        <w:tc>
          <w:tcPr>
            <w:tcW w:w="720" w:type="pct"/>
            <w:vAlign w:val="center"/>
          </w:tcPr>
          <w:p w14:paraId="64FABF48">
            <w:pPr>
              <w:jc w:val="center"/>
              <w:rPr>
                <w:rFonts w:hint="default" w:ascii="Times New Roman" w:hAnsi="Times New Roman" w:eastAsia="宋体" w:cs="Times New Roman"/>
                <w:color w:val="auto"/>
                <w:sz w:val="22"/>
                <w:lang w:val="en-US" w:eastAsia="zh-CN"/>
              </w:rPr>
            </w:pPr>
            <w:r>
              <w:rPr>
                <w:rFonts w:hint="eastAsia" w:ascii="Times New Roman" w:hAnsi="Times New Roman" w:eastAsia="宋体" w:cs="Times New Roman"/>
                <w:color w:val="auto"/>
                <w:sz w:val="22"/>
                <w:lang w:val="en-US" w:eastAsia="zh-CN"/>
              </w:rPr>
              <w:t>101.3</w:t>
            </w:r>
          </w:p>
        </w:tc>
      </w:tr>
      <w:tr w14:paraId="73100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719" w:type="pct"/>
            <w:vAlign w:val="center"/>
          </w:tcPr>
          <w:p w14:paraId="5FFFD84D">
            <w:pPr>
              <w:jc w:val="center"/>
              <w:rPr>
                <w:rFonts w:hint="default" w:ascii="Times New Roman" w:hAnsi="Times New Roman" w:eastAsia="宋体" w:cs="Times New Roman"/>
                <w:color w:val="auto"/>
                <w:sz w:val="22"/>
                <w:lang w:val="en-US" w:eastAsia="zh-CN"/>
              </w:rPr>
            </w:pPr>
            <w:r>
              <w:rPr>
                <w:rFonts w:hint="eastAsia" w:ascii="Times New Roman" w:hAnsi="Times New Roman" w:eastAsia="宋体" w:cs="Times New Roman"/>
                <w:color w:val="auto"/>
                <w:sz w:val="22"/>
                <w:lang w:val="en-US" w:eastAsia="zh-CN"/>
              </w:rPr>
              <w:t>2022.6.4</w:t>
            </w:r>
          </w:p>
        </w:tc>
        <w:tc>
          <w:tcPr>
            <w:tcW w:w="711" w:type="pct"/>
            <w:vAlign w:val="center"/>
          </w:tcPr>
          <w:p w14:paraId="51649A16">
            <w:pPr>
              <w:jc w:val="center"/>
              <w:rPr>
                <w:rFonts w:ascii="Times New Roman" w:hAnsi="Times New Roman" w:eastAsia="宋体" w:cs="Times New Roman"/>
                <w:color w:val="auto"/>
                <w:sz w:val="22"/>
              </w:rPr>
            </w:pPr>
            <w:r>
              <w:rPr>
                <w:rFonts w:hint="eastAsia" w:ascii="Times New Roman" w:hAnsi="Times New Roman" w:eastAsia="宋体" w:cs="Times New Roman"/>
                <w:color w:val="auto"/>
                <w:sz w:val="22"/>
                <w:lang w:val="en-US" w:eastAsia="zh-CN"/>
              </w:rPr>
              <w:t>阴</w:t>
            </w:r>
          </w:p>
        </w:tc>
        <w:tc>
          <w:tcPr>
            <w:tcW w:w="713" w:type="pct"/>
            <w:vAlign w:val="center"/>
          </w:tcPr>
          <w:p w14:paraId="550D422E">
            <w:pPr>
              <w:jc w:val="center"/>
              <w:rPr>
                <w:rFonts w:hint="eastAsia" w:ascii="Times New Roman" w:hAnsi="Times New Roman" w:eastAsia="宋体" w:cs="Times New Roman"/>
                <w:color w:val="auto"/>
                <w:sz w:val="22"/>
                <w:lang w:val="en-US" w:eastAsia="zh-CN"/>
              </w:rPr>
            </w:pPr>
            <w:r>
              <w:rPr>
                <w:rFonts w:hint="eastAsia" w:ascii="Times New Roman" w:hAnsi="Times New Roman" w:eastAsia="宋体" w:cs="Times New Roman"/>
                <w:color w:val="auto"/>
                <w:sz w:val="22"/>
                <w:lang w:val="en-US" w:eastAsia="zh-CN"/>
              </w:rPr>
              <w:t>西南</w:t>
            </w:r>
          </w:p>
        </w:tc>
        <w:tc>
          <w:tcPr>
            <w:tcW w:w="711" w:type="pct"/>
            <w:vAlign w:val="center"/>
          </w:tcPr>
          <w:p w14:paraId="4E7503D2">
            <w:pPr>
              <w:jc w:val="center"/>
              <w:rPr>
                <w:rFonts w:hint="default" w:ascii="Times New Roman" w:hAnsi="Times New Roman" w:eastAsia="宋体" w:cs="Times New Roman"/>
                <w:color w:val="auto"/>
                <w:sz w:val="22"/>
                <w:lang w:val="en-US" w:eastAsia="zh-CN"/>
              </w:rPr>
            </w:pPr>
            <w:r>
              <w:rPr>
                <w:rFonts w:hint="eastAsia" w:ascii="Times New Roman" w:hAnsi="Times New Roman" w:eastAsia="宋体" w:cs="Times New Roman"/>
                <w:color w:val="auto"/>
                <w:sz w:val="22"/>
                <w:lang w:val="en-US" w:eastAsia="zh-CN"/>
              </w:rPr>
              <w:t>2.0</w:t>
            </w:r>
          </w:p>
        </w:tc>
        <w:tc>
          <w:tcPr>
            <w:tcW w:w="750" w:type="pct"/>
            <w:vAlign w:val="center"/>
          </w:tcPr>
          <w:p w14:paraId="11561A57">
            <w:pPr>
              <w:jc w:val="center"/>
              <w:rPr>
                <w:rFonts w:hint="default" w:ascii="Times New Roman" w:hAnsi="Times New Roman" w:eastAsia="宋体" w:cs="Times New Roman"/>
                <w:color w:val="auto"/>
                <w:sz w:val="22"/>
                <w:lang w:val="en-US" w:eastAsia="zh-CN"/>
              </w:rPr>
            </w:pPr>
            <w:r>
              <w:rPr>
                <w:rFonts w:hint="eastAsia" w:ascii="Times New Roman" w:hAnsi="Times New Roman" w:eastAsia="宋体" w:cs="Times New Roman"/>
                <w:color w:val="auto"/>
                <w:sz w:val="22"/>
                <w:lang w:val="en-US" w:eastAsia="zh-CN"/>
              </w:rPr>
              <w:t>61</w:t>
            </w:r>
          </w:p>
        </w:tc>
        <w:tc>
          <w:tcPr>
            <w:tcW w:w="673" w:type="pct"/>
            <w:vAlign w:val="center"/>
          </w:tcPr>
          <w:p w14:paraId="6D47FE08">
            <w:pPr>
              <w:jc w:val="center"/>
              <w:rPr>
                <w:rFonts w:hint="default" w:ascii="Times New Roman" w:hAnsi="Times New Roman" w:eastAsia="宋体" w:cs="Times New Roman"/>
                <w:color w:val="auto"/>
                <w:sz w:val="22"/>
                <w:lang w:val="en-US" w:eastAsia="zh-CN"/>
              </w:rPr>
            </w:pPr>
            <w:r>
              <w:rPr>
                <w:rFonts w:hint="eastAsia" w:ascii="Times New Roman" w:hAnsi="Times New Roman" w:eastAsia="宋体" w:cs="Times New Roman"/>
                <w:color w:val="auto"/>
                <w:sz w:val="22"/>
                <w:lang w:val="en-US" w:eastAsia="zh-CN"/>
              </w:rPr>
              <w:t>25</w:t>
            </w:r>
            <w:r>
              <w:rPr>
                <w:rFonts w:ascii="Times New Roman" w:hAnsi="Times New Roman" w:eastAsia="宋体" w:cs="Times New Roman"/>
                <w:color w:val="auto"/>
                <w:sz w:val="22"/>
              </w:rPr>
              <w:t>~</w:t>
            </w:r>
            <w:r>
              <w:rPr>
                <w:rFonts w:hint="eastAsia" w:ascii="Times New Roman" w:hAnsi="Times New Roman" w:eastAsia="宋体" w:cs="Times New Roman"/>
                <w:color w:val="auto"/>
                <w:sz w:val="22"/>
                <w:lang w:val="en-US" w:eastAsia="zh-CN"/>
              </w:rPr>
              <w:t>29</w:t>
            </w:r>
          </w:p>
        </w:tc>
        <w:tc>
          <w:tcPr>
            <w:tcW w:w="720" w:type="pct"/>
            <w:vAlign w:val="center"/>
          </w:tcPr>
          <w:p w14:paraId="23F4758F">
            <w:pPr>
              <w:jc w:val="center"/>
              <w:rPr>
                <w:rFonts w:hint="default" w:ascii="Times New Roman" w:hAnsi="Times New Roman" w:eastAsia="宋体" w:cs="Times New Roman"/>
                <w:color w:val="auto"/>
                <w:sz w:val="22"/>
                <w:lang w:val="en-US" w:eastAsia="zh-CN"/>
              </w:rPr>
            </w:pPr>
            <w:r>
              <w:rPr>
                <w:rFonts w:hint="eastAsia" w:ascii="Times New Roman" w:hAnsi="Times New Roman" w:eastAsia="宋体" w:cs="Times New Roman"/>
                <w:color w:val="auto"/>
                <w:sz w:val="22"/>
                <w:lang w:val="en-US" w:eastAsia="zh-CN"/>
              </w:rPr>
              <w:t>101.2</w:t>
            </w:r>
          </w:p>
        </w:tc>
      </w:tr>
    </w:tbl>
    <w:p w14:paraId="36969B79">
      <w:pPr>
        <w:spacing w:line="360" w:lineRule="auto"/>
        <w:ind w:firstLine="480" w:firstLineChars="200"/>
        <w:jc w:val="left"/>
        <w:rPr>
          <w:rFonts w:hint="eastAsia" w:cs="Times New Roman" w:asciiTheme="minorEastAsia" w:hAnsiTheme="minorEastAsia"/>
          <w:color w:val="auto"/>
          <w:sz w:val="24"/>
          <w:szCs w:val="28"/>
        </w:rPr>
      </w:pPr>
      <w:r>
        <w:rPr>
          <w:rFonts w:cs="Times New Roman" w:asciiTheme="minorEastAsia" w:hAnsiTheme="minorEastAsia"/>
          <w:color w:val="auto"/>
          <w:sz w:val="24"/>
          <w:szCs w:val="28"/>
        </w:rPr>
        <w:t>3、监测与评价结果</w:t>
      </w:r>
    </w:p>
    <w:p w14:paraId="4AD73404">
      <w:pPr>
        <w:spacing w:line="360" w:lineRule="auto"/>
        <w:ind w:firstLine="480" w:firstLineChars="200"/>
        <w:jc w:val="left"/>
        <w:rPr>
          <w:rFonts w:hint="eastAsia" w:cs="Times New Roman" w:asciiTheme="minorEastAsia" w:hAnsiTheme="minorEastAsia"/>
          <w:color w:val="auto"/>
          <w:sz w:val="24"/>
          <w:szCs w:val="28"/>
        </w:rPr>
      </w:pPr>
      <w:r>
        <w:rPr>
          <w:rFonts w:cs="Times New Roman" w:asciiTheme="minorEastAsia" w:hAnsiTheme="minorEastAsia"/>
          <w:color w:val="auto"/>
          <w:sz w:val="24"/>
          <w:szCs w:val="28"/>
        </w:rPr>
        <w:t>监测结果如下表。</w:t>
      </w:r>
    </w:p>
    <w:p w14:paraId="298330F0">
      <w:pPr>
        <w:spacing w:line="360" w:lineRule="auto"/>
        <w:rPr>
          <w:rFonts w:hint="eastAsia" w:cs="Times New Roman" w:asciiTheme="minorEastAsia" w:hAnsiTheme="minorEastAsia"/>
          <w:color w:val="auto"/>
          <w:sz w:val="24"/>
          <w:szCs w:val="28"/>
        </w:rPr>
        <w:sectPr>
          <w:pgSz w:w="11906" w:h="16838"/>
          <w:pgMar w:top="1440" w:right="1800" w:bottom="1440" w:left="1800" w:header="851" w:footer="992" w:gutter="0"/>
          <w:cols w:space="720" w:num="1"/>
          <w:docGrid w:type="lines" w:linePitch="312" w:charSpace="0"/>
        </w:sectPr>
      </w:pPr>
    </w:p>
    <w:p w14:paraId="61AD2448">
      <w:pPr>
        <w:pStyle w:val="6"/>
        <w:bidi w:val="0"/>
      </w:pPr>
      <w:r>
        <w:t>表</w:t>
      </w:r>
      <w:r>
        <w:rPr>
          <w:rFonts w:hint="eastAsia"/>
        </w:rPr>
        <w:t>5.4</w:t>
      </w:r>
      <w:r>
        <w:t>.</w:t>
      </w:r>
      <w:r>
        <w:rPr>
          <w:rFonts w:hint="eastAsia"/>
        </w:rPr>
        <w:t>1</w:t>
      </w:r>
      <w:r>
        <w:t>-</w:t>
      </w:r>
      <w:r>
        <w:rPr>
          <w:rFonts w:hint="eastAsia"/>
          <w:lang w:val="en-US" w:eastAsia="zh-CN"/>
        </w:rPr>
        <w:t>4</w:t>
      </w:r>
      <w:r>
        <w:t xml:space="preserve">  特征因子现状监测环境空气质量结果一览表</w:t>
      </w:r>
    </w:p>
    <w:tbl>
      <w:tblPr>
        <w:tblStyle w:val="41"/>
        <w:tblW w:w="5000" w:type="pct"/>
        <w:tblInd w:w="13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17"/>
        <w:gridCol w:w="3080"/>
        <w:gridCol w:w="1617"/>
        <w:gridCol w:w="1024"/>
        <w:gridCol w:w="1515"/>
        <w:gridCol w:w="1730"/>
        <w:gridCol w:w="1427"/>
        <w:gridCol w:w="1061"/>
        <w:gridCol w:w="803"/>
      </w:tblGrid>
      <w:tr w14:paraId="035B2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6" w:type="pct"/>
            <w:vMerge w:val="restart"/>
            <w:vAlign w:val="center"/>
          </w:tcPr>
          <w:p w14:paraId="4A55D3F1">
            <w:pPr>
              <w:jc w:val="center"/>
              <w:rPr>
                <w:b/>
                <w:bCs/>
                <w:color w:val="auto"/>
                <w:szCs w:val="21"/>
              </w:rPr>
            </w:pPr>
            <w:r>
              <w:rPr>
                <w:rFonts w:ascii="Times New Roman" w:hAnsi="Times New Roman" w:eastAsia="宋体" w:cs="Times New Roman"/>
                <w:b/>
                <w:bCs/>
                <w:color w:val="auto"/>
                <w:szCs w:val="21"/>
              </w:rPr>
              <w:t>监测点</w:t>
            </w:r>
          </w:p>
        </w:tc>
        <w:tc>
          <w:tcPr>
            <w:tcW w:w="1086" w:type="pct"/>
            <w:vAlign w:val="center"/>
          </w:tcPr>
          <w:p w14:paraId="59B0B312">
            <w:pPr>
              <w:jc w:val="center"/>
              <w:rPr>
                <w:b/>
                <w:bCs/>
                <w:color w:val="auto"/>
                <w:szCs w:val="21"/>
              </w:rPr>
            </w:pPr>
            <w:r>
              <w:rPr>
                <w:rFonts w:ascii="Times New Roman" w:hAnsi="Times New Roman" w:eastAsia="宋体" w:cs="Times New Roman"/>
                <w:b/>
                <w:bCs/>
                <w:color w:val="auto"/>
                <w:szCs w:val="21"/>
              </w:rPr>
              <w:t>监测点坐标</w:t>
            </w:r>
          </w:p>
        </w:tc>
        <w:tc>
          <w:tcPr>
            <w:tcW w:w="570" w:type="pct"/>
            <w:vMerge w:val="restart"/>
            <w:vAlign w:val="center"/>
          </w:tcPr>
          <w:p w14:paraId="6AD2904E">
            <w:pPr>
              <w:jc w:val="center"/>
              <w:rPr>
                <w:b/>
                <w:bCs/>
                <w:color w:val="auto"/>
                <w:szCs w:val="21"/>
              </w:rPr>
            </w:pPr>
            <w:r>
              <w:rPr>
                <w:rFonts w:ascii="Times New Roman" w:hAnsi="Times New Roman" w:eastAsia="宋体" w:cs="Times New Roman"/>
                <w:b/>
                <w:bCs/>
                <w:color w:val="auto"/>
                <w:szCs w:val="21"/>
              </w:rPr>
              <w:t>污染物</w:t>
            </w:r>
          </w:p>
        </w:tc>
        <w:tc>
          <w:tcPr>
            <w:tcW w:w="361" w:type="pct"/>
            <w:vMerge w:val="restart"/>
            <w:vAlign w:val="center"/>
          </w:tcPr>
          <w:p w14:paraId="2AF6E737">
            <w:pPr>
              <w:jc w:val="center"/>
              <w:rPr>
                <w:b/>
                <w:bCs/>
                <w:color w:val="auto"/>
                <w:szCs w:val="21"/>
              </w:rPr>
            </w:pPr>
            <w:r>
              <w:rPr>
                <w:rFonts w:ascii="Times New Roman" w:hAnsi="Times New Roman" w:eastAsia="宋体" w:cs="Times New Roman"/>
                <w:b/>
                <w:bCs/>
                <w:color w:val="auto"/>
                <w:szCs w:val="21"/>
              </w:rPr>
              <w:t>平均时间</w:t>
            </w:r>
          </w:p>
        </w:tc>
        <w:tc>
          <w:tcPr>
            <w:tcW w:w="534" w:type="pct"/>
            <w:vMerge w:val="restart"/>
            <w:vAlign w:val="center"/>
          </w:tcPr>
          <w:p w14:paraId="5D10EB97">
            <w:pPr>
              <w:jc w:val="center"/>
              <w:rPr>
                <w:b/>
                <w:bCs/>
                <w:color w:val="auto"/>
                <w:szCs w:val="21"/>
              </w:rPr>
            </w:pPr>
            <w:r>
              <w:rPr>
                <w:rFonts w:ascii="Times New Roman" w:hAnsi="Times New Roman" w:eastAsia="宋体" w:cs="Times New Roman"/>
                <w:b/>
                <w:bCs/>
                <w:color w:val="auto"/>
                <w:szCs w:val="21"/>
              </w:rPr>
              <w:t>评价标准/（</w:t>
            </w:r>
            <w:r>
              <w:rPr>
                <w:rFonts w:hint="eastAsia" w:ascii="Times New Roman" w:hAnsi="Times New Roman" w:eastAsia="宋体" w:cs="Times New Roman"/>
                <w:b/>
                <w:bCs/>
                <w:color w:val="auto"/>
                <w:szCs w:val="21"/>
                <w:lang w:val="en-US" w:eastAsia="zh-CN"/>
              </w:rPr>
              <w:t>m</w:t>
            </w:r>
            <w:r>
              <w:rPr>
                <w:rFonts w:ascii="Times New Roman" w:hAnsi="Times New Roman" w:eastAsia="宋体" w:cs="Times New Roman"/>
                <w:b/>
                <w:bCs/>
                <w:color w:val="auto"/>
                <w:szCs w:val="21"/>
              </w:rPr>
              <w:t>g/</w:t>
            </w:r>
            <w:r>
              <w:rPr>
                <w:rFonts w:hint="eastAsia" w:ascii="Times New Roman" w:hAnsi="Times New Roman" w:eastAsia="宋体" w:cs="Times New Roman"/>
                <w:b/>
                <w:bCs/>
                <w:color w:val="auto"/>
                <w:szCs w:val="21"/>
                <w:lang w:eastAsia="zh-CN"/>
              </w:rPr>
              <w:t>m</w:t>
            </w:r>
            <w:r>
              <w:rPr>
                <w:rFonts w:hint="eastAsia" w:ascii="Times New Roman" w:hAnsi="Times New Roman" w:eastAsia="宋体" w:cs="Times New Roman"/>
                <w:b/>
                <w:bCs/>
                <w:color w:val="auto"/>
                <w:szCs w:val="21"/>
                <w:vertAlign w:val="superscript"/>
                <w:lang w:eastAsia="zh-CN"/>
              </w:rPr>
              <w:t>3</w:t>
            </w:r>
            <w:r>
              <w:rPr>
                <w:rFonts w:ascii="Times New Roman" w:hAnsi="Times New Roman" w:eastAsia="宋体" w:cs="Times New Roman"/>
                <w:b/>
                <w:bCs/>
                <w:color w:val="auto"/>
                <w:szCs w:val="21"/>
              </w:rPr>
              <w:t>）</w:t>
            </w:r>
          </w:p>
        </w:tc>
        <w:tc>
          <w:tcPr>
            <w:tcW w:w="610" w:type="pct"/>
            <w:vMerge w:val="restart"/>
            <w:vAlign w:val="center"/>
          </w:tcPr>
          <w:p w14:paraId="6D2AEC0D">
            <w:pPr>
              <w:jc w:val="center"/>
              <w:rPr>
                <w:b/>
                <w:bCs/>
                <w:color w:val="auto"/>
                <w:szCs w:val="21"/>
              </w:rPr>
            </w:pPr>
            <w:r>
              <w:rPr>
                <w:rFonts w:ascii="Times New Roman" w:hAnsi="Times New Roman" w:eastAsia="宋体" w:cs="Times New Roman"/>
                <w:b/>
                <w:bCs/>
                <w:color w:val="auto"/>
                <w:szCs w:val="21"/>
              </w:rPr>
              <w:t>监测浓度范围（</w:t>
            </w:r>
            <w:r>
              <w:rPr>
                <w:rFonts w:hint="eastAsia" w:ascii="Times New Roman" w:hAnsi="Times New Roman" w:eastAsia="宋体" w:cs="Times New Roman"/>
                <w:b/>
                <w:bCs/>
                <w:color w:val="auto"/>
                <w:szCs w:val="21"/>
                <w:lang w:val="en-US" w:eastAsia="zh-CN"/>
              </w:rPr>
              <w:t>m</w:t>
            </w:r>
            <w:r>
              <w:rPr>
                <w:rFonts w:ascii="Times New Roman" w:hAnsi="Times New Roman" w:eastAsia="宋体" w:cs="Times New Roman"/>
                <w:b/>
                <w:bCs/>
                <w:color w:val="auto"/>
                <w:szCs w:val="21"/>
              </w:rPr>
              <w:t>g/</w:t>
            </w:r>
            <w:r>
              <w:rPr>
                <w:rFonts w:hint="eastAsia" w:ascii="Times New Roman" w:hAnsi="Times New Roman" w:eastAsia="宋体" w:cs="Times New Roman"/>
                <w:b/>
                <w:bCs/>
                <w:color w:val="auto"/>
                <w:szCs w:val="21"/>
                <w:lang w:eastAsia="zh-CN"/>
              </w:rPr>
              <w:t>m</w:t>
            </w:r>
            <w:r>
              <w:rPr>
                <w:rFonts w:hint="eastAsia" w:ascii="Times New Roman" w:hAnsi="Times New Roman" w:eastAsia="宋体" w:cs="Times New Roman"/>
                <w:b/>
                <w:bCs/>
                <w:color w:val="auto"/>
                <w:szCs w:val="21"/>
                <w:vertAlign w:val="superscript"/>
                <w:lang w:eastAsia="zh-CN"/>
              </w:rPr>
              <w:t>3</w:t>
            </w:r>
            <w:r>
              <w:rPr>
                <w:rFonts w:ascii="Times New Roman" w:hAnsi="Times New Roman" w:eastAsia="宋体" w:cs="Times New Roman"/>
                <w:b/>
                <w:bCs/>
                <w:color w:val="auto"/>
                <w:szCs w:val="21"/>
              </w:rPr>
              <w:t>）</w:t>
            </w:r>
          </w:p>
        </w:tc>
        <w:tc>
          <w:tcPr>
            <w:tcW w:w="503" w:type="pct"/>
            <w:vMerge w:val="restart"/>
            <w:vAlign w:val="center"/>
          </w:tcPr>
          <w:p w14:paraId="22AE93A7">
            <w:pPr>
              <w:jc w:val="center"/>
              <w:rPr>
                <w:b/>
                <w:bCs/>
                <w:color w:val="auto"/>
                <w:szCs w:val="21"/>
              </w:rPr>
            </w:pPr>
            <w:r>
              <w:rPr>
                <w:rFonts w:ascii="Times New Roman" w:hAnsi="Times New Roman" w:eastAsia="宋体" w:cs="Times New Roman"/>
                <w:b/>
                <w:bCs/>
                <w:color w:val="auto"/>
                <w:szCs w:val="21"/>
              </w:rPr>
              <w:t>最大浓度占标率/（%）</w:t>
            </w:r>
          </w:p>
        </w:tc>
        <w:tc>
          <w:tcPr>
            <w:tcW w:w="374" w:type="pct"/>
            <w:vMerge w:val="restart"/>
            <w:vAlign w:val="center"/>
          </w:tcPr>
          <w:p w14:paraId="1E633AEC">
            <w:pPr>
              <w:jc w:val="center"/>
              <w:rPr>
                <w:b/>
                <w:bCs/>
                <w:color w:val="auto"/>
                <w:szCs w:val="21"/>
              </w:rPr>
            </w:pPr>
            <w:r>
              <w:rPr>
                <w:rFonts w:ascii="Times New Roman" w:hAnsi="Times New Roman" w:eastAsia="宋体" w:cs="Times New Roman"/>
                <w:b/>
                <w:bCs/>
                <w:color w:val="auto"/>
                <w:szCs w:val="21"/>
              </w:rPr>
              <w:t>超标率（%）</w:t>
            </w:r>
          </w:p>
        </w:tc>
        <w:tc>
          <w:tcPr>
            <w:tcW w:w="283" w:type="pct"/>
            <w:vMerge w:val="restart"/>
            <w:vAlign w:val="center"/>
          </w:tcPr>
          <w:p w14:paraId="5FD82DA0">
            <w:pPr>
              <w:jc w:val="center"/>
              <w:rPr>
                <w:b/>
                <w:bCs/>
                <w:color w:val="auto"/>
                <w:szCs w:val="21"/>
              </w:rPr>
            </w:pPr>
            <w:r>
              <w:rPr>
                <w:rFonts w:ascii="Times New Roman" w:hAnsi="Times New Roman" w:eastAsia="宋体" w:cs="Times New Roman"/>
                <w:b/>
                <w:bCs/>
                <w:color w:val="auto"/>
                <w:szCs w:val="21"/>
              </w:rPr>
              <w:t>达标情况</w:t>
            </w:r>
          </w:p>
        </w:tc>
      </w:tr>
      <w:tr w14:paraId="32629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6" w:type="pct"/>
            <w:vMerge w:val="continue"/>
            <w:vAlign w:val="center"/>
          </w:tcPr>
          <w:p w14:paraId="5C0C8F13">
            <w:pPr>
              <w:jc w:val="center"/>
              <w:rPr>
                <w:color w:val="auto"/>
                <w:szCs w:val="21"/>
              </w:rPr>
            </w:pPr>
          </w:p>
        </w:tc>
        <w:tc>
          <w:tcPr>
            <w:tcW w:w="1086" w:type="pct"/>
            <w:vAlign w:val="center"/>
          </w:tcPr>
          <w:p w14:paraId="68D9A7D6">
            <w:pPr>
              <w:jc w:val="center"/>
              <w:rPr>
                <w:color w:val="auto"/>
                <w:szCs w:val="21"/>
              </w:rPr>
            </w:pPr>
            <w:r>
              <w:rPr>
                <w:rFonts w:ascii="Times New Roman" w:hAnsi="Times New Roman" w:eastAsia="宋体" w:cs="Times New Roman"/>
                <w:b/>
                <w:bCs/>
                <w:color w:val="auto"/>
                <w:szCs w:val="21"/>
              </w:rPr>
              <w:t>（X，Y）</w:t>
            </w:r>
          </w:p>
        </w:tc>
        <w:tc>
          <w:tcPr>
            <w:tcW w:w="570" w:type="pct"/>
            <w:vMerge w:val="continue"/>
            <w:vAlign w:val="center"/>
          </w:tcPr>
          <w:p w14:paraId="0108B814">
            <w:pPr>
              <w:jc w:val="center"/>
              <w:rPr>
                <w:color w:val="auto"/>
                <w:szCs w:val="21"/>
              </w:rPr>
            </w:pPr>
          </w:p>
        </w:tc>
        <w:tc>
          <w:tcPr>
            <w:tcW w:w="361" w:type="pct"/>
            <w:vMerge w:val="continue"/>
            <w:vAlign w:val="center"/>
          </w:tcPr>
          <w:p w14:paraId="468A89FE">
            <w:pPr>
              <w:jc w:val="center"/>
              <w:rPr>
                <w:color w:val="auto"/>
                <w:szCs w:val="21"/>
              </w:rPr>
            </w:pPr>
          </w:p>
        </w:tc>
        <w:tc>
          <w:tcPr>
            <w:tcW w:w="534" w:type="pct"/>
            <w:vMerge w:val="continue"/>
            <w:vAlign w:val="center"/>
          </w:tcPr>
          <w:p w14:paraId="4BDCADFD">
            <w:pPr>
              <w:jc w:val="center"/>
              <w:rPr>
                <w:color w:val="auto"/>
                <w:szCs w:val="21"/>
              </w:rPr>
            </w:pPr>
          </w:p>
        </w:tc>
        <w:tc>
          <w:tcPr>
            <w:tcW w:w="610" w:type="pct"/>
            <w:vMerge w:val="continue"/>
            <w:vAlign w:val="center"/>
          </w:tcPr>
          <w:p w14:paraId="6C0BAA9C">
            <w:pPr>
              <w:jc w:val="center"/>
              <w:rPr>
                <w:color w:val="auto"/>
                <w:szCs w:val="21"/>
              </w:rPr>
            </w:pPr>
          </w:p>
        </w:tc>
        <w:tc>
          <w:tcPr>
            <w:tcW w:w="503" w:type="pct"/>
            <w:vMerge w:val="continue"/>
            <w:vAlign w:val="center"/>
          </w:tcPr>
          <w:p w14:paraId="169D0B80">
            <w:pPr>
              <w:jc w:val="center"/>
              <w:rPr>
                <w:color w:val="auto"/>
                <w:szCs w:val="21"/>
              </w:rPr>
            </w:pPr>
          </w:p>
        </w:tc>
        <w:tc>
          <w:tcPr>
            <w:tcW w:w="374" w:type="pct"/>
            <w:vMerge w:val="continue"/>
            <w:vAlign w:val="center"/>
          </w:tcPr>
          <w:p w14:paraId="21CEE579">
            <w:pPr>
              <w:jc w:val="center"/>
              <w:rPr>
                <w:color w:val="auto"/>
                <w:szCs w:val="21"/>
              </w:rPr>
            </w:pPr>
          </w:p>
        </w:tc>
        <w:tc>
          <w:tcPr>
            <w:tcW w:w="283" w:type="pct"/>
            <w:vMerge w:val="continue"/>
            <w:vAlign w:val="center"/>
          </w:tcPr>
          <w:p w14:paraId="194620BC">
            <w:pPr>
              <w:jc w:val="center"/>
              <w:rPr>
                <w:color w:val="auto"/>
                <w:szCs w:val="21"/>
              </w:rPr>
            </w:pPr>
          </w:p>
        </w:tc>
      </w:tr>
      <w:tr w14:paraId="191F7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76" w:type="pct"/>
            <w:vMerge w:val="restart"/>
            <w:vAlign w:val="center"/>
          </w:tcPr>
          <w:p w14:paraId="0AEBBCA7">
            <w:pPr>
              <w:jc w:val="center"/>
              <w:rPr>
                <w:color w:val="auto"/>
                <w:szCs w:val="21"/>
              </w:rPr>
            </w:pPr>
            <w:r>
              <w:rPr>
                <w:rFonts w:ascii="Times New Roman" w:hAnsi="Times New Roman" w:eastAsia="宋体" w:cs="Times New Roman"/>
                <w:color w:val="auto"/>
                <w:szCs w:val="21"/>
              </w:rPr>
              <w:t>A1牛家老屋一类区</w:t>
            </w:r>
          </w:p>
        </w:tc>
        <w:tc>
          <w:tcPr>
            <w:tcW w:w="1086" w:type="pct"/>
            <w:vMerge w:val="restart"/>
            <w:vAlign w:val="center"/>
          </w:tcPr>
          <w:p w14:paraId="10B10AF1">
            <w:pPr>
              <w:jc w:val="center"/>
              <w:rPr>
                <w:color w:val="auto"/>
                <w:szCs w:val="21"/>
              </w:rPr>
            </w:pPr>
            <w:r>
              <w:rPr>
                <w:rFonts w:ascii="Times New Roman" w:hAnsi="Times New Roman" w:eastAsia="宋体" w:cs="Times New Roman"/>
                <w:color w:val="auto"/>
                <w:szCs w:val="21"/>
              </w:rPr>
              <w:t>E111.848151071；N29.548179585</w:t>
            </w:r>
          </w:p>
        </w:tc>
        <w:tc>
          <w:tcPr>
            <w:tcW w:w="570" w:type="pct"/>
            <w:shd w:val="clear" w:color="auto" w:fill="auto"/>
            <w:vAlign w:val="center"/>
          </w:tcPr>
          <w:p w14:paraId="72FD82D5">
            <w:pPr>
              <w:jc w:val="center"/>
              <w:rPr>
                <w:rFonts w:asciiTheme="minorHAnsi" w:hAnsiTheme="minorHAnsi" w:eastAsiaTheme="minorEastAsia" w:cstheme="minorBidi"/>
                <w:color w:val="auto"/>
                <w:kern w:val="2"/>
                <w:sz w:val="21"/>
                <w:szCs w:val="21"/>
                <w:lang w:val="en-US" w:eastAsia="zh-CN" w:bidi="ar-SA"/>
              </w:rPr>
            </w:pPr>
            <w:r>
              <w:rPr>
                <w:rFonts w:ascii="Times New Roman" w:hAnsi="Times New Roman" w:eastAsia="宋体" w:cs="Times New Roman"/>
                <w:color w:val="auto"/>
                <w:szCs w:val="21"/>
              </w:rPr>
              <w:t>硫化氢</w:t>
            </w:r>
          </w:p>
        </w:tc>
        <w:tc>
          <w:tcPr>
            <w:tcW w:w="361" w:type="pct"/>
            <w:shd w:val="clear" w:color="auto" w:fill="auto"/>
            <w:noWrap/>
            <w:vAlign w:val="center"/>
          </w:tcPr>
          <w:p w14:paraId="029129EE">
            <w:pPr>
              <w:jc w:val="center"/>
              <w:rPr>
                <w:rFonts w:asciiTheme="minorHAnsi" w:hAnsiTheme="minorHAnsi" w:eastAsiaTheme="minorEastAsia" w:cstheme="minorBidi"/>
                <w:color w:val="auto"/>
                <w:kern w:val="2"/>
                <w:sz w:val="21"/>
                <w:szCs w:val="21"/>
                <w:lang w:val="en-US" w:eastAsia="zh-CN" w:bidi="ar-SA"/>
              </w:rPr>
            </w:pPr>
            <w:r>
              <w:rPr>
                <w:rFonts w:ascii="Times New Roman" w:hAnsi="Times New Roman" w:eastAsia="宋体" w:cs="Times New Roman"/>
                <w:color w:val="auto"/>
                <w:szCs w:val="21"/>
              </w:rPr>
              <w:t>1h平均</w:t>
            </w:r>
          </w:p>
        </w:tc>
        <w:tc>
          <w:tcPr>
            <w:tcW w:w="534" w:type="pct"/>
            <w:shd w:val="clear" w:color="auto" w:fill="auto"/>
            <w:noWrap/>
            <w:vAlign w:val="center"/>
          </w:tcPr>
          <w:p w14:paraId="16024F61">
            <w:pPr>
              <w:jc w:val="center"/>
              <w:rPr>
                <w:rFonts w:hint="default" w:asciiTheme="minorHAnsi" w:hAnsiTheme="minorHAnsi" w:eastAsiaTheme="minorEastAsia" w:cstheme="minorBidi"/>
                <w:color w:val="auto"/>
                <w:kern w:val="2"/>
                <w:sz w:val="21"/>
                <w:szCs w:val="21"/>
                <w:lang w:val="en-US" w:eastAsia="zh-CN" w:bidi="ar-SA"/>
              </w:rPr>
            </w:pPr>
            <w:r>
              <w:rPr>
                <w:rFonts w:hint="eastAsia" w:ascii="Times New Roman" w:hAnsi="Times New Roman" w:eastAsia="宋体" w:cs="Times New Roman"/>
                <w:color w:val="auto"/>
                <w:szCs w:val="21"/>
                <w:lang w:val="en-US" w:eastAsia="zh-CN"/>
              </w:rPr>
              <w:t>0.01</w:t>
            </w:r>
          </w:p>
        </w:tc>
        <w:tc>
          <w:tcPr>
            <w:tcW w:w="610" w:type="pct"/>
            <w:shd w:val="clear" w:color="auto" w:fill="auto"/>
            <w:noWrap/>
            <w:vAlign w:val="center"/>
          </w:tcPr>
          <w:p w14:paraId="71ABED64">
            <w:pPr>
              <w:jc w:val="center"/>
              <w:rPr>
                <w:rFonts w:hint="default" w:asciiTheme="minorHAnsi" w:hAnsiTheme="minorHAnsi" w:eastAsiaTheme="minorEastAsia" w:cstheme="minorBidi"/>
                <w:color w:val="auto"/>
                <w:kern w:val="2"/>
                <w:sz w:val="21"/>
                <w:szCs w:val="21"/>
                <w:lang w:val="en-US" w:eastAsia="zh-CN" w:bidi="ar-SA"/>
              </w:rPr>
            </w:pPr>
            <w:r>
              <w:rPr>
                <w:rFonts w:ascii="Times New Roman" w:hAnsi="Times New Roman" w:eastAsia="宋体" w:cs="Times New Roman"/>
                <w:color w:val="auto"/>
                <w:szCs w:val="21"/>
              </w:rPr>
              <w:t>ND</w:t>
            </w:r>
          </w:p>
        </w:tc>
        <w:tc>
          <w:tcPr>
            <w:tcW w:w="503" w:type="pct"/>
            <w:shd w:val="clear" w:color="auto" w:fill="auto"/>
            <w:noWrap/>
            <w:vAlign w:val="center"/>
          </w:tcPr>
          <w:p w14:paraId="6BBF0C29">
            <w:pPr>
              <w:jc w:val="center"/>
              <w:rPr>
                <w:rFonts w:asciiTheme="minorHAnsi" w:hAnsiTheme="minorHAnsi" w:eastAsiaTheme="minorEastAsia" w:cstheme="minorBidi"/>
                <w:color w:val="auto"/>
                <w:kern w:val="2"/>
                <w:sz w:val="21"/>
                <w:szCs w:val="21"/>
                <w:lang w:val="en-US" w:eastAsia="zh-CN" w:bidi="ar-SA"/>
              </w:rPr>
            </w:pPr>
            <w:r>
              <w:rPr>
                <w:rFonts w:ascii="Times New Roman" w:hAnsi="Times New Roman" w:eastAsia="宋体" w:cs="Times New Roman"/>
                <w:color w:val="auto"/>
                <w:szCs w:val="21"/>
              </w:rPr>
              <w:t>/</w:t>
            </w:r>
          </w:p>
        </w:tc>
        <w:tc>
          <w:tcPr>
            <w:tcW w:w="374" w:type="pct"/>
            <w:shd w:val="clear" w:color="auto" w:fill="auto"/>
            <w:noWrap/>
            <w:vAlign w:val="center"/>
          </w:tcPr>
          <w:p w14:paraId="1B428465">
            <w:pPr>
              <w:jc w:val="center"/>
              <w:rPr>
                <w:rFonts w:asciiTheme="minorHAnsi" w:hAnsiTheme="minorHAnsi" w:eastAsiaTheme="minorEastAsia" w:cstheme="minorBidi"/>
                <w:color w:val="auto"/>
                <w:kern w:val="2"/>
                <w:sz w:val="21"/>
                <w:szCs w:val="21"/>
                <w:lang w:val="en-US" w:eastAsia="zh-CN" w:bidi="ar-SA"/>
              </w:rPr>
            </w:pPr>
            <w:r>
              <w:rPr>
                <w:rFonts w:ascii="Times New Roman" w:hAnsi="Times New Roman" w:eastAsia="宋体" w:cs="Times New Roman"/>
                <w:color w:val="auto"/>
                <w:szCs w:val="21"/>
              </w:rPr>
              <w:t>0</w:t>
            </w:r>
          </w:p>
        </w:tc>
        <w:tc>
          <w:tcPr>
            <w:tcW w:w="283" w:type="pct"/>
            <w:shd w:val="clear" w:color="auto" w:fill="auto"/>
            <w:noWrap/>
            <w:vAlign w:val="center"/>
          </w:tcPr>
          <w:p w14:paraId="61DDE823">
            <w:pPr>
              <w:jc w:val="center"/>
              <w:rPr>
                <w:rFonts w:asciiTheme="minorHAnsi" w:hAnsiTheme="minorHAnsi" w:eastAsiaTheme="minorEastAsia" w:cstheme="minorBidi"/>
                <w:color w:val="auto"/>
                <w:kern w:val="2"/>
                <w:sz w:val="21"/>
                <w:szCs w:val="21"/>
                <w:lang w:val="en-US" w:eastAsia="zh-CN" w:bidi="ar-SA"/>
              </w:rPr>
            </w:pPr>
            <w:r>
              <w:rPr>
                <w:rFonts w:ascii="Times New Roman" w:hAnsi="Times New Roman" w:eastAsia="宋体" w:cs="Times New Roman"/>
                <w:color w:val="auto"/>
                <w:szCs w:val="21"/>
              </w:rPr>
              <w:t>达标</w:t>
            </w:r>
          </w:p>
        </w:tc>
      </w:tr>
      <w:tr w14:paraId="75B46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76" w:type="pct"/>
            <w:vMerge w:val="continue"/>
            <w:vAlign w:val="center"/>
          </w:tcPr>
          <w:p w14:paraId="3235692B">
            <w:pPr>
              <w:jc w:val="center"/>
              <w:rPr>
                <w:color w:val="auto"/>
                <w:szCs w:val="21"/>
              </w:rPr>
            </w:pPr>
          </w:p>
        </w:tc>
        <w:tc>
          <w:tcPr>
            <w:tcW w:w="1086" w:type="pct"/>
            <w:vMerge w:val="continue"/>
            <w:vAlign w:val="center"/>
          </w:tcPr>
          <w:p w14:paraId="46107362">
            <w:pPr>
              <w:jc w:val="center"/>
              <w:rPr>
                <w:color w:val="auto"/>
                <w:szCs w:val="21"/>
              </w:rPr>
            </w:pPr>
          </w:p>
        </w:tc>
        <w:tc>
          <w:tcPr>
            <w:tcW w:w="570" w:type="pct"/>
            <w:shd w:val="clear" w:color="auto" w:fill="auto"/>
            <w:vAlign w:val="center"/>
          </w:tcPr>
          <w:p w14:paraId="00274B80">
            <w:pPr>
              <w:jc w:val="center"/>
              <w:rPr>
                <w:rFonts w:asciiTheme="minorHAnsi" w:hAnsiTheme="minorHAnsi" w:eastAsiaTheme="minorEastAsia" w:cstheme="minorBidi"/>
                <w:color w:val="auto"/>
                <w:kern w:val="2"/>
                <w:sz w:val="21"/>
                <w:szCs w:val="21"/>
                <w:lang w:val="en-US" w:eastAsia="zh-CN" w:bidi="ar-SA"/>
              </w:rPr>
            </w:pPr>
            <w:r>
              <w:rPr>
                <w:rFonts w:ascii="Times New Roman" w:hAnsi="Times New Roman" w:eastAsia="宋体" w:cs="Times New Roman"/>
                <w:color w:val="auto"/>
                <w:szCs w:val="21"/>
              </w:rPr>
              <w:t>氨</w:t>
            </w:r>
          </w:p>
        </w:tc>
        <w:tc>
          <w:tcPr>
            <w:tcW w:w="361" w:type="pct"/>
            <w:shd w:val="clear" w:color="auto" w:fill="auto"/>
            <w:noWrap/>
            <w:vAlign w:val="center"/>
          </w:tcPr>
          <w:p w14:paraId="7E881941">
            <w:pPr>
              <w:jc w:val="center"/>
              <w:rPr>
                <w:rFonts w:asciiTheme="minorHAnsi" w:hAnsiTheme="minorHAnsi" w:eastAsiaTheme="minorEastAsia" w:cstheme="minorBidi"/>
                <w:color w:val="auto"/>
                <w:kern w:val="2"/>
                <w:sz w:val="21"/>
                <w:szCs w:val="21"/>
                <w:lang w:val="en-US" w:eastAsia="zh-CN" w:bidi="ar-SA"/>
              </w:rPr>
            </w:pPr>
            <w:r>
              <w:rPr>
                <w:rFonts w:ascii="Times New Roman" w:hAnsi="Times New Roman" w:eastAsia="宋体" w:cs="Times New Roman"/>
                <w:color w:val="auto"/>
                <w:szCs w:val="21"/>
              </w:rPr>
              <w:t>1h平均</w:t>
            </w:r>
          </w:p>
        </w:tc>
        <w:tc>
          <w:tcPr>
            <w:tcW w:w="534" w:type="pct"/>
            <w:shd w:val="clear" w:color="auto" w:fill="auto"/>
            <w:noWrap/>
            <w:vAlign w:val="center"/>
          </w:tcPr>
          <w:p w14:paraId="463DD5D0">
            <w:pPr>
              <w:jc w:val="center"/>
              <w:rPr>
                <w:rFonts w:hint="default" w:asciiTheme="minorHAnsi" w:hAnsiTheme="minorHAnsi" w:eastAsiaTheme="minorEastAsia" w:cstheme="minorBidi"/>
                <w:color w:val="auto"/>
                <w:kern w:val="2"/>
                <w:sz w:val="21"/>
                <w:szCs w:val="21"/>
                <w:lang w:val="en-US" w:eastAsia="zh-CN" w:bidi="ar-SA"/>
              </w:rPr>
            </w:pPr>
            <w:r>
              <w:rPr>
                <w:rFonts w:hint="eastAsia" w:ascii="Times New Roman" w:hAnsi="Times New Roman" w:eastAsia="宋体" w:cs="Times New Roman"/>
                <w:color w:val="auto"/>
                <w:szCs w:val="21"/>
                <w:lang w:val="en-US" w:eastAsia="zh-CN"/>
              </w:rPr>
              <w:t>0.2</w:t>
            </w:r>
          </w:p>
        </w:tc>
        <w:tc>
          <w:tcPr>
            <w:tcW w:w="610" w:type="pct"/>
            <w:shd w:val="clear" w:color="auto" w:fill="auto"/>
            <w:noWrap/>
            <w:vAlign w:val="center"/>
          </w:tcPr>
          <w:p w14:paraId="4D4076E3">
            <w:pPr>
              <w:jc w:val="center"/>
              <w:rPr>
                <w:rFonts w:hint="eastAsia" w:eastAsia="宋体" w:asciiTheme="minorHAnsi" w:hAnsiTheme="minorHAnsi" w:cstheme="minorBidi"/>
                <w:color w:val="auto"/>
                <w:kern w:val="2"/>
                <w:sz w:val="21"/>
                <w:szCs w:val="21"/>
                <w:lang w:val="en-US" w:eastAsia="zh-CN" w:bidi="ar-SA"/>
              </w:rPr>
            </w:pPr>
            <w:r>
              <w:rPr>
                <w:rFonts w:ascii="Times New Roman" w:hAnsi="Times New Roman" w:eastAsia="宋体" w:cs="Times New Roman"/>
                <w:color w:val="auto"/>
                <w:szCs w:val="21"/>
              </w:rPr>
              <w:t>0.023~0.03</w:t>
            </w:r>
            <w:r>
              <w:rPr>
                <w:rFonts w:hint="eastAsia" w:ascii="Times New Roman" w:hAnsi="Times New Roman" w:eastAsia="宋体" w:cs="Times New Roman"/>
                <w:color w:val="auto"/>
                <w:szCs w:val="21"/>
                <w:lang w:val="en-US" w:eastAsia="zh-CN"/>
              </w:rPr>
              <w:t>6</w:t>
            </w:r>
          </w:p>
        </w:tc>
        <w:tc>
          <w:tcPr>
            <w:tcW w:w="503" w:type="pct"/>
            <w:shd w:val="clear" w:color="auto" w:fill="auto"/>
            <w:noWrap/>
            <w:vAlign w:val="center"/>
          </w:tcPr>
          <w:p w14:paraId="3D1DB2A3">
            <w:pPr>
              <w:jc w:val="center"/>
              <w:rPr>
                <w:rFonts w:asciiTheme="minorHAnsi" w:hAnsiTheme="minorHAnsi" w:eastAsiaTheme="minorEastAsia" w:cstheme="minorBidi"/>
                <w:color w:val="auto"/>
                <w:kern w:val="2"/>
                <w:sz w:val="21"/>
                <w:szCs w:val="21"/>
                <w:lang w:val="en-US" w:eastAsia="zh-CN" w:bidi="ar-SA"/>
              </w:rPr>
            </w:pPr>
            <w:r>
              <w:rPr>
                <w:rFonts w:ascii="Times New Roman" w:hAnsi="Times New Roman" w:eastAsia="宋体" w:cs="Times New Roman"/>
                <w:color w:val="auto"/>
                <w:szCs w:val="21"/>
              </w:rPr>
              <w:t>18</w:t>
            </w:r>
          </w:p>
        </w:tc>
        <w:tc>
          <w:tcPr>
            <w:tcW w:w="374" w:type="pct"/>
            <w:shd w:val="clear" w:color="auto" w:fill="auto"/>
            <w:noWrap/>
            <w:vAlign w:val="center"/>
          </w:tcPr>
          <w:p w14:paraId="375AFEB1">
            <w:pPr>
              <w:jc w:val="center"/>
              <w:rPr>
                <w:rFonts w:asciiTheme="minorHAnsi" w:hAnsiTheme="minorHAnsi" w:eastAsiaTheme="minorEastAsia" w:cstheme="minorBidi"/>
                <w:color w:val="auto"/>
                <w:kern w:val="2"/>
                <w:sz w:val="21"/>
                <w:szCs w:val="21"/>
                <w:lang w:val="en-US" w:eastAsia="zh-CN" w:bidi="ar-SA"/>
              </w:rPr>
            </w:pPr>
            <w:r>
              <w:rPr>
                <w:rFonts w:ascii="Times New Roman" w:hAnsi="Times New Roman" w:eastAsia="宋体" w:cs="Times New Roman"/>
                <w:color w:val="auto"/>
                <w:szCs w:val="21"/>
              </w:rPr>
              <w:t>0</w:t>
            </w:r>
          </w:p>
        </w:tc>
        <w:tc>
          <w:tcPr>
            <w:tcW w:w="283" w:type="pct"/>
            <w:shd w:val="clear" w:color="auto" w:fill="auto"/>
            <w:noWrap/>
            <w:vAlign w:val="center"/>
          </w:tcPr>
          <w:p w14:paraId="38E9A039">
            <w:pPr>
              <w:jc w:val="center"/>
              <w:rPr>
                <w:rFonts w:asciiTheme="minorHAnsi" w:hAnsiTheme="minorHAnsi" w:eastAsiaTheme="minorEastAsia" w:cstheme="minorBidi"/>
                <w:color w:val="auto"/>
                <w:kern w:val="2"/>
                <w:sz w:val="21"/>
                <w:szCs w:val="21"/>
                <w:lang w:val="en-US" w:eastAsia="zh-CN" w:bidi="ar-SA"/>
              </w:rPr>
            </w:pPr>
            <w:r>
              <w:rPr>
                <w:rFonts w:ascii="Times New Roman" w:hAnsi="Times New Roman" w:eastAsia="宋体" w:cs="Times New Roman"/>
                <w:color w:val="auto"/>
                <w:szCs w:val="21"/>
              </w:rPr>
              <w:t>达标</w:t>
            </w:r>
          </w:p>
        </w:tc>
      </w:tr>
      <w:tr w14:paraId="5B943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76" w:type="pct"/>
            <w:vMerge w:val="continue"/>
            <w:vAlign w:val="center"/>
          </w:tcPr>
          <w:p w14:paraId="2611E5C7">
            <w:pPr>
              <w:jc w:val="center"/>
              <w:rPr>
                <w:color w:val="auto"/>
                <w:szCs w:val="21"/>
              </w:rPr>
            </w:pPr>
          </w:p>
        </w:tc>
        <w:tc>
          <w:tcPr>
            <w:tcW w:w="1086" w:type="pct"/>
            <w:vMerge w:val="continue"/>
            <w:vAlign w:val="center"/>
          </w:tcPr>
          <w:p w14:paraId="17A8DA70">
            <w:pPr>
              <w:jc w:val="center"/>
              <w:rPr>
                <w:color w:val="auto"/>
                <w:szCs w:val="21"/>
              </w:rPr>
            </w:pPr>
          </w:p>
        </w:tc>
        <w:tc>
          <w:tcPr>
            <w:tcW w:w="570" w:type="pct"/>
            <w:shd w:val="clear" w:color="auto" w:fill="auto"/>
            <w:vAlign w:val="center"/>
          </w:tcPr>
          <w:p w14:paraId="43D0B7AE">
            <w:pPr>
              <w:jc w:val="center"/>
              <w:rPr>
                <w:rFonts w:asciiTheme="minorHAnsi" w:hAnsiTheme="minorHAnsi" w:eastAsiaTheme="minorEastAsia" w:cstheme="minorBidi"/>
                <w:color w:val="auto"/>
                <w:kern w:val="2"/>
                <w:sz w:val="21"/>
                <w:szCs w:val="21"/>
                <w:lang w:val="en-US" w:eastAsia="zh-CN" w:bidi="ar-SA"/>
              </w:rPr>
            </w:pPr>
            <w:r>
              <w:rPr>
                <w:rFonts w:ascii="Times New Roman" w:hAnsi="Times New Roman" w:eastAsia="宋体" w:cs="Times New Roman"/>
                <w:color w:val="auto"/>
                <w:szCs w:val="21"/>
              </w:rPr>
              <w:t>非甲烷总烃</w:t>
            </w:r>
          </w:p>
        </w:tc>
        <w:tc>
          <w:tcPr>
            <w:tcW w:w="361" w:type="pct"/>
            <w:shd w:val="clear" w:color="auto" w:fill="auto"/>
            <w:noWrap/>
            <w:vAlign w:val="center"/>
          </w:tcPr>
          <w:p w14:paraId="39236282">
            <w:pPr>
              <w:jc w:val="center"/>
              <w:rPr>
                <w:rFonts w:asciiTheme="minorHAnsi" w:hAnsiTheme="minorHAnsi" w:eastAsiaTheme="minorEastAsia" w:cstheme="minorBidi"/>
                <w:color w:val="auto"/>
                <w:kern w:val="2"/>
                <w:sz w:val="21"/>
                <w:szCs w:val="21"/>
                <w:lang w:val="en-US" w:eastAsia="zh-CN" w:bidi="ar-SA"/>
              </w:rPr>
            </w:pPr>
            <w:r>
              <w:rPr>
                <w:rFonts w:ascii="Times New Roman" w:hAnsi="Times New Roman" w:eastAsia="宋体" w:cs="Times New Roman"/>
                <w:color w:val="auto"/>
                <w:szCs w:val="21"/>
              </w:rPr>
              <w:t>1h平均</w:t>
            </w:r>
          </w:p>
        </w:tc>
        <w:tc>
          <w:tcPr>
            <w:tcW w:w="534" w:type="pct"/>
            <w:shd w:val="clear" w:color="auto" w:fill="auto"/>
            <w:noWrap/>
            <w:vAlign w:val="center"/>
          </w:tcPr>
          <w:p w14:paraId="1D86D5F8">
            <w:pPr>
              <w:jc w:val="center"/>
              <w:rPr>
                <w:rFonts w:hint="default" w:asciiTheme="minorHAnsi" w:hAnsiTheme="minorHAnsi" w:eastAsiaTheme="minorEastAsia" w:cstheme="minorBidi"/>
                <w:color w:val="auto"/>
                <w:kern w:val="2"/>
                <w:sz w:val="21"/>
                <w:szCs w:val="21"/>
                <w:lang w:val="en-US" w:eastAsia="zh-CN" w:bidi="ar-SA"/>
              </w:rPr>
            </w:pPr>
            <w:r>
              <w:rPr>
                <w:rFonts w:ascii="Times New Roman" w:hAnsi="Times New Roman" w:eastAsia="宋体" w:cs="Times New Roman"/>
                <w:color w:val="auto"/>
                <w:szCs w:val="21"/>
              </w:rPr>
              <w:t>2.0</w:t>
            </w:r>
          </w:p>
        </w:tc>
        <w:tc>
          <w:tcPr>
            <w:tcW w:w="610" w:type="pct"/>
            <w:shd w:val="clear" w:color="auto" w:fill="auto"/>
            <w:noWrap/>
            <w:vAlign w:val="center"/>
          </w:tcPr>
          <w:p w14:paraId="58CB3C2C">
            <w:pPr>
              <w:jc w:val="center"/>
              <w:rPr>
                <w:rFonts w:hint="eastAsia" w:asciiTheme="minorHAnsi" w:hAnsiTheme="minorHAnsi" w:eastAsiaTheme="minorEastAsia" w:cstheme="minorBidi"/>
                <w:color w:val="auto"/>
                <w:kern w:val="2"/>
                <w:sz w:val="21"/>
                <w:szCs w:val="21"/>
                <w:lang w:val="en-US" w:eastAsia="zh-CN" w:bidi="ar-SA"/>
              </w:rPr>
            </w:pPr>
            <w:r>
              <w:rPr>
                <w:rFonts w:ascii="Times New Roman" w:hAnsi="Times New Roman" w:eastAsia="宋体" w:cs="Times New Roman"/>
                <w:color w:val="auto"/>
                <w:szCs w:val="21"/>
              </w:rPr>
              <w:t>0.3~0.61</w:t>
            </w:r>
          </w:p>
        </w:tc>
        <w:tc>
          <w:tcPr>
            <w:tcW w:w="503" w:type="pct"/>
            <w:shd w:val="clear" w:color="auto" w:fill="auto"/>
            <w:noWrap/>
            <w:vAlign w:val="center"/>
          </w:tcPr>
          <w:p w14:paraId="07D03CDA">
            <w:pPr>
              <w:jc w:val="center"/>
              <w:rPr>
                <w:rFonts w:asciiTheme="minorHAnsi" w:hAnsiTheme="minorHAnsi" w:eastAsiaTheme="minorEastAsia" w:cstheme="minorBidi"/>
                <w:color w:val="auto"/>
                <w:kern w:val="2"/>
                <w:sz w:val="21"/>
                <w:szCs w:val="21"/>
                <w:lang w:val="en-US" w:eastAsia="zh-CN" w:bidi="ar-SA"/>
              </w:rPr>
            </w:pPr>
            <w:r>
              <w:rPr>
                <w:rFonts w:ascii="Times New Roman" w:hAnsi="Times New Roman" w:eastAsia="宋体" w:cs="Times New Roman"/>
                <w:color w:val="auto"/>
                <w:szCs w:val="21"/>
              </w:rPr>
              <w:t>30.5</w:t>
            </w:r>
          </w:p>
        </w:tc>
        <w:tc>
          <w:tcPr>
            <w:tcW w:w="374" w:type="pct"/>
            <w:shd w:val="clear" w:color="auto" w:fill="auto"/>
            <w:noWrap/>
            <w:vAlign w:val="center"/>
          </w:tcPr>
          <w:p w14:paraId="5ABB3B01">
            <w:pPr>
              <w:jc w:val="center"/>
              <w:rPr>
                <w:rFonts w:asciiTheme="minorHAnsi" w:hAnsiTheme="minorHAnsi" w:eastAsiaTheme="minorEastAsia" w:cstheme="minorBidi"/>
                <w:color w:val="auto"/>
                <w:kern w:val="2"/>
                <w:sz w:val="21"/>
                <w:szCs w:val="21"/>
                <w:lang w:val="en-US" w:eastAsia="zh-CN" w:bidi="ar-SA"/>
              </w:rPr>
            </w:pPr>
            <w:r>
              <w:rPr>
                <w:rFonts w:ascii="Times New Roman" w:hAnsi="Times New Roman" w:eastAsia="宋体" w:cs="Times New Roman"/>
                <w:color w:val="auto"/>
                <w:szCs w:val="21"/>
              </w:rPr>
              <w:t>0</w:t>
            </w:r>
          </w:p>
        </w:tc>
        <w:tc>
          <w:tcPr>
            <w:tcW w:w="283" w:type="pct"/>
            <w:shd w:val="clear" w:color="auto" w:fill="auto"/>
            <w:noWrap/>
            <w:vAlign w:val="center"/>
          </w:tcPr>
          <w:p w14:paraId="5BD37DF6">
            <w:pPr>
              <w:jc w:val="center"/>
              <w:rPr>
                <w:rFonts w:asciiTheme="minorHAnsi" w:hAnsiTheme="minorHAnsi" w:eastAsiaTheme="minorEastAsia" w:cstheme="minorBidi"/>
                <w:color w:val="auto"/>
                <w:kern w:val="2"/>
                <w:sz w:val="21"/>
                <w:szCs w:val="21"/>
                <w:lang w:val="en-US" w:eastAsia="zh-CN" w:bidi="ar-SA"/>
              </w:rPr>
            </w:pPr>
            <w:r>
              <w:rPr>
                <w:rFonts w:ascii="Times New Roman" w:hAnsi="Times New Roman" w:eastAsia="宋体" w:cs="Times New Roman"/>
                <w:color w:val="auto"/>
                <w:szCs w:val="21"/>
              </w:rPr>
              <w:t>达标</w:t>
            </w:r>
          </w:p>
        </w:tc>
      </w:tr>
      <w:tr w14:paraId="25F6A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76" w:type="pct"/>
            <w:vMerge w:val="continue"/>
            <w:vAlign w:val="center"/>
          </w:tcPr>
          <w:p w14:paraId="67D7DAA7">
            <w:pPr>
              <w:jc w:val="center"/>
              <w:rPr>
                <w:color w:val="auto"/>
                <w:szCs w:val="21"/>
              </w:rPr>
            </w:pPr>
          </w:p>
        </w:tc>
        <w:tc>
          <w:tcPr>
            <w:tcW w:w="1086" w:type="pct"/>
            <w:vMerge w:val="continue"/>
            <w:vAlign w:val="center"/>
          </w:tcPr>
          <w:p w14:paraId="5EEC1AE6">
            <w:pPr>
              <w:jc w:val="center"/>
              <w:rPr>
                <w:color w:val="auto"/>
                <w:szCs w:val="21"/>
              </w:rPr>
            </w:pPr>
          </w:p>
        </w:tc>
        <w:tc>
          <w:tcPr>
            <w:tcW w:w="570" w:type="pct"/>
            <w:shd w:val="clear" w:color="auto" w:fill="auto"/>
            <w:vAlign w:val="center"/>
          </w:tcPr>
          <w:p w14:paraId="22D0C86A">
            <w:pPr>
              <w:jc w:val="center"/>
              <w:rPr>
                <w:rFonts w:asciiTheme="minorHAnsi" w:hAnsiTheme="minorHAnsi" w:eastAsiaTheme="minorEastAsia" w:cstheme="minorBidi"/>
                <w:color w:val="auto"/>
                <w:kern w:val="2"/>
                <w:sz w:val="21"/>
                <w:szCs w:val="21"/>
                <w:lang w:val="en-US" w:eastAsia="zh-CN" w:bidi="ar-SA"/>
              </w:rPr>
            </w:pPr>
            <w:r>
              <w:rPr>
                <w:rFonts w:ascii="Times New Roman" w:hAnsi="Times New Roman" w:eastAsia="宋体" w:cs="Times New Roman"/>
                <w:color w:val="auto"/>
                <w:szCs w:val="21"/>
              </w:rPr>
              <w:t>臭气浓度</w:t>
            </w:r>
          </w:p>
        </w:tc>
        <w:tc>
          <w:tcPr>
            <w:tcW w:w="361" w:type="pct"/>
            <w:shd w:val="clear" w:color="auto" w:fill="auto"/>
            <w:noWrap/>
            <w:vAlign w:val="center"/>
          </w:tcPr>
          <w:p w14:paraId="3EA562B3">
            <w:pPr>
              <w:jc w:val="center"/>
              <w:rPr>
                <w:rFonts w:asciiTheme="minorHAnsi" w:hAnsiTheme="minorHAnsi" w:eastAsiaTheme="minorEastAsia" w:cstheme="minorBidi"/>
                <w:color w:val="auto"/>
                <w:kern w:val="2"/>
                <w:sz w:val="21"/>
                <w:szCs w:val="21"/>
                <w:lang w:val="en-US" w:eastAsia="zh-CN" w:bidi="ar-SA"/>
              </w:rPr>
            </w:pPr>
            <w:r>
              <w:rPr>
                <w:rFonts w:ascii="Times New Roman" w:hAnsi="Times New Roman" w:eastAsia="宋体" w:cs="Times New Roman"/>
                <w:color w:val="auto"/>
                <w:szCs w:val="21"/>
              </w:rPr>
              <w:t>1h平均</w:t>
            </w:r>
          </w:p>
        </w:tc>
        <w:tc>
          <w:tcPr>
            <w:tcW w:w="534" w:type="pct"/>
            <w:shd w:val="clear" w:color="auto" w:fill="auto"/>
            <w:noWrap/>
            <w:vAlign w:val="center"/>
          </w:tcPr>
          <w:p w14:paraId="69C83ED9">
            <w:pPr>
              <w:jc w:val="center"/>
              <w:rPr>
                <w:rFonts w:asciiTheme="minorHAnsi" w:hAnsiTheme="minorHAnsi" w:eastAsiaTheme="minorEastAsia" w:cstheme="minorBidi"/>
                <w:color w:val="auto"/>
                <w:kern w:val="2"/>
                <w:sz w:val="21"/>
                <w:szCs w:val="21"/>
                <w:lang w:val="en-US" w:eastAsia="zh-CN" w:bidi="ar-SA"/>
              </w:rPr>
            </w:pPr>
            <w:r>
              <w:rPr>
                <w:rFonts w:ascii="Times New Roman" w:hAnsi="Times New Roman" w:eastAsia="宋体" w:cs="Times New Roman"/>
                <w:color w:val="auto"/>
                <w:szCs w:val="21"/>
              </w:rPr>
              <w:t>/</w:t>
            </w:r>
          </w:p>
        </w:tc>
        <w:tc>
          <w:tcPr>
            <w:tcW w:w="610" w:type="pct"/>
            <w:shd w:val="clear" w:color="auto" w:fill="auto"/>
            <w:noWrap/>
            <w:vAlign w:val="center"/>
          </w:tcPr>
          <w:p w14:paraId="421FF229">
            <w:pPr>
              <w:jc w:val="center"/>
              <w:rPr>
                <w:rFonts w:asciiTheme="minorHAnsi" w:hAnsiTheme="minorHAnsi" w:eastAsiaTheme="minorEastAsia" w:cstheme="minorBidi"/>
                <w:color w:val="auto"/>
                <w:kern w:val="2"/>
                <w:sz w:val="21"/>
                <w:szCs w:val="21"/>
                <w:lang w:val="en-US" w:eastAsia="zh-CN" w:bidi="ar-SA"/>
              </w:rPr>
            </w:pPr>
            <w:r>
              <w:rPr>
                <w:rFonts w:ascii="Times New Roman" w:hAnsi="Times New Roman" w:eastAsia="宋体" w:cs="Times New Roman"/>
                <w:color w:val="auto"/>
                <w:szCs w:val="21"/>
              </w:rPr>
              <w:t>＜10</w:t>
            </w:r>
          </w:p>
        </w:tc>
        <w:tc>
          <w:tcPr>
            <w:tcW w:w="503" w:type="pct"/>
            <w:shd w:val="clear" w:color="auto" w:fill="auto"/>
            <w:noWrap/>
            <w:vAlign w:val="center"/>
          </w:tcPr>
          <w:p w14:paraId="5E99D4E0">
            <w:pPr>
              <w:jc w:val="center"/>
              <w:rPr>
                <w:rFonts w:asciiTheme="minorHAnsi" w:hAnsiTheme="minorHAnsi" w:eastAsiaTheme="minorEastAsia" w:cstheme="minorBidi"/>
                <w:color w:val="auto"/>
                <w:kern w:val="2"/>
                <w:sz w:val="21"/>
                <w:szCs w:val="21"/>
                <w:lang w:val="en-US" w:eastAsia="zh-CN" w:bidi="ar-SA"/>
              </w:rPr>
            </w:pPr>
            <w:r>
              <w:rPr>
                <w:rFonts w:ascii="Times New Roman" w:hAnsi="Times New Roman" w:eastAsia="宋体" w:cs="Times New Roman"/>
                <w:color w:val="auto"/>
                <w:szCs w:val="21"/>
              </w:rPr>
              <w:t>/</w:t>
            </w:r>
          </w:p>
        </w:tc>
        <w:tc>
          <w:tcPr>
            <w:tcW w:w="374" w:type="pct"/>
            <w:shd w:val="clear" w:color="auto" w:fill="auto"/>
            <w:noWrap/>
            <w:vAlign w:val="center"/>
          </w:tcPr>
          <w:p w14:paraId="4E88883D">
            <w:pPr>
              <w:jc w:val="center"/>
              <w:rPr>
                <w:rFonts w:asciiTheme="minorHAnsi" w:hAnsiTheme="minorHAnsi" w:eastAsiaTheme="minorEastAsia" w:cstheme="minorBidi"/>
                <w:color w:val="auto"/>
                <w:kern w:val="2"/>
                <w:sz w:val="21"/>
                <w:szCs w:val="21"/>
                <w:lang w:val="en-US" w:eastAsia="zh-CN" w:bidi="ar-SA"/>
              </w:rPr>
            </w:pPr>
            <w:r>
              <w:rPr>
                <w:rFonts w:ascii="Times New Roman" w:hAnsi="Times New Roman" w:eastAsia="宋体" w:cs="Times New Roman"/>
                <w:color w:val="auto"/>
                <w:szCs w:val="21"/>
              </w:rPr>
              <w:t>0</w:t>
            </w:r>
          </w:p>
        </w:tc>
        <w:tc>
          <w:tcPr>
            <w:tcW w:w="283" w:type="pct"/>
            <w:shd w:val="clear" w:color="auto" w:fill="auto"/>
            <w:noWrap/>
            <w:vAlign w:val="center"/>
          </w:tcPr>
          <w:p w14:paraId="66DF7775">
            <w:pPr>
              <w:jc w:val="center"/>
              <w:rPr>
                <w:rFonts w:asciiTheme="minorHAnsi" w:hAnsiTheme="minorHAnsi" w:eastAsiaTheme="minorEastAsia" w:cstheme="minorBidi"/>
                <w:color w:val="auto"/>
                <w:kern w:val="2"/>
                <w:sz w:val="21"/>
                <w:szCs w:val="21"/>
                <w:lang w:val="en-US" w:eastAsia="zh-CN" w:bidi="ar-SA"/>
              </w:rPr>
            </w:pPr>
            <w:r>
              <w:rPr>
                <w:rFonts w:ascii="Times New Roman" w:hAnsi="Times New Roman" w:eastAsia="宋体" w:cs="Times New Roman"/>
                <w:color w:val="auto"/>
                <w:szCs w:val="21"/>
              </w:rPr>
              <w:t>达标</w:t>
            </w:r>
          </w:p>
        </w:tc>
      </w:tr>
      <w:tr w14:paraId="08385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76" w:type="pct"/>
            <w:vMerge w:val="continue"/>
            <w:vAlign w:val="center"/>
          </w:tcPr>
          <w:p w14:paraId="01A00367">
            <w:pPr>
              <w:jc w:val="center"/>
              <w:rPr>
                <w:color w:val="auto"/>
                <w:szCs w:val="21"/>
              </w:rPr>
            </w:pPr>
          </w:p>
        </w:tc>
        <w:tc>
          <w:tcPr>
            <w:tcW w:w="1086" w:type="pct"/>
            <w:vMerge w:val="continue"/>
            <w:vAlign w:val="center"/>
          </w:tcPr>
          <w:p w14:paraId="69DCEB9E">
            <w:pPr>
              <w:jc w:val="center"/>
              <w:rPr>
                <w:color w:val="auto"/>
                <w:szCs w:val="21"/>
              </w:rPr>
            </w:pPr>
          </w:p>
        </w:tc>
        <w:tc>
          <w:tcPr>
            <w:tcW w:w="570" w:type="pct"/>
            <w:shd w:val="clear" w:color="auto" w:fill="auto"/>
            <w:vAlign w:val="center"/>
          </w:tcPr>
          <w:p w14:paraId="14A669BD">
            <w:pPr>
              <w:jc w:val="center"/>
              <w:rPr>
                <w:rFonts w:hint="default" w:asciiTheme="minorHAnsi" w:hAnsiTheme="minorHAnsi" w:eastAsiaTheme="minorEastAsia" w:cstheme="minorBidi"/>
                <w:color w:val="auto"/>
                <w:kern w:val="2"/>
                <w:sz w:val="21"/>
                <w:szCs w:val="21"/>
                <w:lang w:val="en-US" w:eastAsia="zh-CN" w:bidi="ar-SA"/>
              </w:rPr>
            </w:pPr>
            <w:r>
              <w:rPr>
                <w:rFonts w:hint="eastAsia"/>
                <w:color w:val="auto"/>
                <w:szCs w:val="21"/>
                <w:lang w:val="en-US" w:eastAsia="zh-CN"/>
              </w:rPr>
              <w:t>TSP</w:t>
            </w:r>
          </w:p>
        </w:tc>
        <w:tc>
          <w:tcPr>
            <w:tcW w:w="361" w:type="pct"/>
            <w:shd w:val="clear" w:color="auto" w:fill="auto"/>
            <w:noWrap/>
            <w:vAlign w:val="center"/>
          </w:tcPr>
          <w:p w14:paraId="2026A66B">
            <w:pPr>
              <w:jc w:val="center"/>
              <w:rPr>
                <w:rFonts w:hint="default" w:asciiTheme="minorHAnsi" w:hAnsiTheme="minorHAnsi" w:eastAsiaTheme="minorEastAsia" w:cstheme="minorBidi"/>
                <w:color w:val="auto"/>
                <w:kern w:val="2"/>
                <w:sz w:val="21"/>
                <w:szCs w:val="21"/>
                <w:lang w:val="en-US" w:eastAsia="zh-CN" w:bidi="ar-SA"/>
              </w:rPr>
            </w:pPr>
            <w:r>
              <w:rPr>
                <w:rFonts w:hint="eastAsia"/>
                <w:color w:val="auto"/>
                <w:szCs w:val="21"/>
                <w:lang w:val="en-US" w:eastAsia="zh-CN"/>
              </w:rPr>
              <w:t>24h平均</w:t>
            </w:r>
          </w:p>
        </w:tc>
        <w:tc>
          <w:tcPr>
            <w:tcW w:w="534" w:type="pct"/>
            <w:shd w:val="clear" w:color="auto" w:fill="auto"/>
            <w:noWrap/>
            <w:vAlign w:val="center"/>
          </w:tcPr>
          <w:p w14:paraId="3E85B0C9">
            <w:pPr>
              <w:jc w:val="center"/>
              <w:rPr>
                <w:rFonts w:hint="default" w:asciiTheme="minorHAnsi" w:hAnsiTheme="minorHAnsi" w:eastAsiaTheme="minorEastAsia" w:cstheme="minorBidi"/>
                <w:color w:val="auto"/>
                <w:kern w:val="2"/>
                <w:sz w:val="21"/>
                <w:szCs w:val="21"/>
                <w:lang w:val="en-US" w:eastAsia="zh-CN" w:bidi="ar-SA"/>
              </w:rPr>
            </w:pPr>
            <w:r>
              <w:rPr>
                <w:rFonts w:hint="eastAsia"/>
                <w:color w:val="auto"/>
                <w:szCs w:val="21"/>
                <w:lang w:val="en-US" w:eastAsia="zh-CN"/>
              </w:rPr>
              <w:t>0.12</w:t>
            </w:r>
          </w:p>
        </w:tc>
        <w:tc>
          <w:tcPr>
            <w:tcW w:w="610" w:type="pct"/>
            <w:shd w:val="clear" w:color="auto" w:fill="auto"/>
            <w:noWrap/>
            <w:vAlign w:val="center"/>
          </w:tcPr>
          <w:p w14:paraId="69E210FD">
            <w:pPr>
              <w:jc w:val="center"/>
              <w:rPr>
                <w:rFonts w:hint="default" w:eastAsia="宋体" w:asciiTheme="minorHAnsi" w:hAnsiTheme="minorHAnsi" w:cstheme="minorBidi"/>
                <w:color w:val="auto"/>
                <w:kern w:val="2"/>
                <w:sz w:val="21"/>
                <w:szCs w:val="21"/>
                <w:lang w:val="en-US" w:eastAsia="zh-CN" w:bidi="ar-SA"/>
              </w:rPr>
            </w:pPr>
            <w:r>
              <w:rPr>
                <w:rFonts w:hint="eastAsia" w:eastAsia="宋体"/>
                <w:color w:val="auto"/>
                <w:szCs w:val="21"/>
                <w:lang w:val="en-US" w:eastAsia="zh-CN"/>
              </w:rPr>
              <w:t>0.07</w:t>
            </w:r>
            <w:r>
              <w:rPr>
                <w:rFonts w:ascii="Times New Roman" w:hAnsi="Times New Roman" w:eastAsia="宋体" w:cs="Times New Roman"/>
                <w:color w:val="auto"/>
                <w:szCs w:val="21"/>
              </w:rPr>
              <w:t>~</w:t>
            </w:r>
            <w:r>
              <w:rPr>
                <w:rFonts w:hint="eastAsia" w:ascii="Times New Roman" w:hAnsi="Times New Roman" w:eastAsia="宋体" w:cs="Times New Roman"/>
                <w:color w:val="auto"/>
                <w:szCs w:val="21"/>
                <w:lang w:val="en-US" w:eastAsia="zh-CN"/>
              </w:rPr>
              <w:t>0.083</w:t>
            </w:r>
          </w:p>
        </w:tc>
        <w:tc>
          <w:tcPr>
            <w:tcW w:w="503" w:type="pct"/>
            <w:shd w:val="clear" w:color="auto" w:fill="auto"/>
            <w:noWrap/>
            <w:vAlign w:val="center"/>
          </w:tcPr>
          <w:p w14:paraId="61A1A0A2">
            <w:pPr>
              <w:jc w:val="center"/>
              <w:rPr>
                <w:rFonts w:hint="default" w:asciiTheme="minorHAnsi" w:hAnsiTheme="minorHAnsi" w:eastAsiaTheme="minorEastAsia" w:cstheme="minorBidi"/>
                <w:color w:val="auto"/>
                <w:kern w:val="2"/>
                <w:sz w:val="21"/>
                <w:szCs w:val="21"/>
                <w:lang w:val="en-US" w:eastAsia="zh-CN" w:bidi="ar-SA"/>
              </w:rPr>
            </w:pPr>
            <w:r>
              <w:rPr>
                <w:rFonts w:hint="eastAsia"/>
                <w:color w:val="auto"/>
                <w:szCs w:val="21"/>
                <w:lang w:val="en-US" w:eastAsia="zh-CN"/>
              </w:rPr>
              <w:t>69.2</w:t>
            </w:r>
          </w:p>
        </w:tc>
        <w:tc>
          <w:tcPr>
            <w:tcW w:w="374" w:type="pct"/>
            <w:shd w:val="clear" w:color="auto" w:fill="auto"/>
            <w:noWrap/>
            <w:vAlign w:val="center"/>
          </w:tcPr>
          <w:p w14:paraId="61AD6C88">
            <w:pPr>
              <w:jc w:val="center"/>
              <w:rPr>
                <w:rFonts w:hint="eastAsia" w:asciiTheme="minorHAnsi" w:hAnsiTheme="minorHAnsi" w:eastAsiaTheme="minorEastAsia" w:cstheme="minorBidi"/>
                <w:color w:val="auto"/>
                <w:kern w:val="2"/>
                <w:sz w:val="21"/>
                <w:szCs w:val="21"/>
                <w:lang w:val="en-US" w:eastAsia="zh-CN" w:bidi="ar-SA"/>
              </w:rPr>
            </w:pPr>
            <w:r>
              <w:rPr>
                <w:rFonts w:hint="eastAsia"/>
                <w:color w:val="auto"/>
                <w:szCs w:val="21"/>
                <w:lang w:val="en-US" w:eastAsia="zh-CN"/>
              </w:rPr>
              <w:t>0</w:t>
            </w:r>
          </w:p>
        </w:tc>
        <w:tc>
          <w:tcPr>
            <w:tcW w:w="283" w:type="pct"/>
            <w:shd w:val="clear" w:color="auto" w:fill="auto"/>
            <w:noWrap/>
            <w:vAlign w:val="center"/>
          </w:tcPr>
          <w:p w14:paraId="39A3C3F4">
            <w:pPr>
              <w:jc w:val="center"/>
              <w:rPr>
                <w:rFonts w:asciiTheme="minorHAnsi" w:hAnsiTheme="minorHAnsi" w:eastAsiaTheme="minorEastAsia" w:cstheme="minorBidi"/>
                <w:color w:val="auto"/>
                <w:kern w:val="2"/>
                <w:sz w:val="21"/>
                <w:szCs w:val="21"/>
                <w:lang w:val="en-US" w:eastAsia="zh-CN" w:bidi="ar-SA"/>
              </w:rPr>
            </w:pPr>
            <w:r>
              <w:rPr>
                <w:rFonts w:ascii="Times New Roman" w:hAnsi="Times New Roman" w:eastAsia="宋体" w:cs="Times New Roman"/>
                <w:color w:val="auto"/>
                <w:szCs w:val="21"/>
              </w:rPr>
              <w:t>达标</w:t>
            </w:r>
          </w:p>
        </w:tc>
      </w:tr>
      <w:tr w14:paraId="557BC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76" w:type="pct"/>
            <w:vMerge w:val="restart"/>
            <w:vAlign w:val="center"/>
          </w:tcPr>
          <w:p w14:paraId="4F0D68FE">
            <w:pPr>
              <w:jc w:val="center"/>
              <w:rPr>
                <w:rFonts w:hint="default" w:eastAsia="宋体"/>
                <w:color w:val="auto"/>
                <w:szCs w:val="21"/>
                <w:lang w:val="en-US" w:eastAsia="zh-CN"/>
              </w:rPr>
            </w:pPr>
            <w:r>
              <w:rPr>
                <w:rFonts w:ascii="Times New Roman" w:hAnsi="Times New Roman" w:eastAsia="宋体" w:cs="Times New Roman"/>
                <w:color w:val="auto"/>
                <w:szCs w:val="21"/>
              </w:rPr>
              <w:t>A2</w:t>
            </w:r>
            <w:r>
              <w:rPr>
                <w:rFonts w:hint="eastAsia" w:ascii="Times New Roman" w:hAnsi="Times New Roman" w:eastAsia="宋体" w:cs="Times New Roman"/>
                <w:color w:val="auto"/>
                <w:szCs w:val="21"/>
                <w:lang w:val="en-US" w:eastAsia="zh-CN"/>
              </w:rPr>
              <w:t>利尔生物</w:t>
            </w:r>
          </w:p>
        </w:tc>
        <w:tc>
          <w:tcPr>
            <w:tcW w:w="1086" w:type="pct"/>
            <w:vMerge w:val="restart"/>
            <w:vAlign w:val="center"/>
          </w:tcPr>
          <w:p w14:paraId="5081C7B1">
            <w:pPr>
              <w:jc w:val="center"/>
              <w:rPr>
                <w:color w:val="auto"/>
                <w:szCs w:val="21"/>
              </w:rPr>
            </w:pPr>
            <w:r>
              <w:rPr>
                <w:rFonts w:ascii="Times New Roman" w:hAnsi="Times New Roman" w:eastAsia="宋体" w:cs="Times New Roman"/>
                <w:color w:val="auto"/>
                <w:szCs w:val="21"/>
              </w:rPr>
              <w:t>E</w:t>
            </w:r>
            <w:r>
              <w:rPr>
                <w:rFonts w:hint="eastAsia" w:ascii="Times New Roman" w:hAnsi="Times New Roman" w:eastAsia="宋体" w:cs="Times New Roman"/>
                <w:color w:val="auto"/>
                <w:szCs w:val="21"/>
              </w:rPr>
              <w:t>111.85122728</w:t>
            </w:r>
            <w:r>
              <w:rPr>
                <w:rFonts w:ascii="Times New Roman" w:hAnsi="Times New Roman" w:eastAsia="宋体" w:cs="Times New Roman"/>
                <w:color w:val="auto"/>
                <w:szCs w:val="21"/>
              </w:rPr>
              <w:t>；N</w:t>
            </w:r>
            <w:r>
              <w:rPr>
                <w:rFonts w:hint="eastAsia" w:ascii="Times New Roman" w:hAnsi="Times New Roman" w:eastAsia="宋体" w:cs="Times New Roman"/>
                <w:color w:val="auto"/>
                <w:szCs w:val="21"/>
              </w:rPr>
              <w:t>29.55619302</w:t>
            </w:r>
          </w:p>
        </w:tc>
        <w:tc>
          <w:tcPr>
            <w:tcW w:w="570" w:type="pct"/>
            <w:shd w:val="clear" w:color="auto" w:fill="auto"/>
            <w:vAlign w:val="center"/>
          </w:tcPr>
          <w:p w14:paraId="1DD6AEF7">
            <w:pPr>
              <w:jc w:val="center"/>
              <w:rPr>
                <w:rFonts w:asciiTheme="minorHAnsi" w:hAnsiTheme="minorHAnsi" w:eastAsiaTheme="minorEastAsia" w:cstheme="minorBidi"/>
                <w:color w:val="auto"/>
                <w:kern w:val="2"/>
                <w:sz w:val="21"/>
                <w:szCs w:val="21"/>
                <w:lang w:val="en-US" w:eastAsia="zh-CN" w:bidi="ar-SA"/>
              </w:rPr>
            </w:pPr>
            <w:r>
              <w:rPr>
                <w:rFonts w:ascii="Times New Roman" w:hAnsi="Times New Roman" w:eastAsia="宋体" w:cs="Times New Roman"/>
                <w:color w:val="auto"/>
                <w:szCs w:val="21"/>
              </w:rPr>
              <w:t>硫化氢</w:t>
            </w:r>
          </w:p>
        </w:tc>
        <w:tc>
          <w:tcPr>
            <w:tcW w:w="361" w:type="pct"/>
            <w:shd w:val="clear" w:color="auto" w:fill="auto"/>
            <w:noWrap/>
            <w:vAlign w:val="center"/>
          </w:tcPr>
          <w:p w14:paraId="5002EF27">
            <w:pPr>
              <w:jc w:val="center"/>
              <w:rPr>
                <w:rFonts w:asciiTheme="minorHAnsi" w:hAnsiTheme="minorHAnsi" w:eastAsiaTheme="minorEastAsia" w:cstheme="minorBidi"/>
                <w:color w:val="auto"/>
                <w:kern w:val="2"/>
                <w:sz w:val="21"/>
                <w:szCs w:val="21"/>
                <w:lang w:val="en-US" w:eastAsia="zh-CN" w:bidi="ar-SA"/>
              </w:rPr>
            </w:pPr>
            <w:r>
              <w:rPr>
                <w:rFonts w:ascii="Times New Roman" w:hAnsi="Times New Roman" w:eastAsia="宋体" w:cs="Times New Roman"/>
                <w:color w:val="auto"/>
                <w:szCs w:val="21"/>
              </w:rPr>
              <w:t>1h平均</w:t>
            </w:r>
          </w:p>
        </w:tc>
        <w:tc>
          <w:tcPr>
            <w:tcW w:w="534" w:type="pct"/>
            <w:shd w:val="clear" w:color="auto" w:fill="auto"/>
            <w:noWrap/>
            <w:vAlign w:val="center"/>
          </w:tcPr>
          <w:p w14:paraId="1B9D9891">
            <w:pPr>
              <w:jc w:val="center"/>
              <w:rPr>
                <w:rFonts w:hint="default" w:asciiTheme="minorHAnsi" w:hAnsiTheme="minorHAnsi" w:eastAsiaTheme="minorEastAsia" w:cstheme="minorBidi"/>
                <w:color w:val="auto"/>
                <w:kern w:val="2"/>
                <w:sz w:val="21"/>
                <w:szCs w:val="21"/>
                <w:lang w:val="en-US" w:eastAsia="zh-CN" w:bidi="ar-SA"/>
              </w:rPr>
            </w:pPr>
            <w:r>
              <w:rPr>
                <w:rFonts w:hint="eastAsia"/>
                <w:color w:val="auto"/>
                <w:szCs w:val="21"/>
                <w:lang w:val="en-US" w:eastAsia="zh-CN"/>
              </w:rPr>
              <w:t>0.01</w:t>
            </w:r>
          </w:p>
        </w:tc>
        <w:tc>
          <w:tcPr>
            <w:tcW w:w="610" w:type="pct"/>
            <w:shd w:val="clear" w:color="auto" w:fill="auto"/>
            <w:noWrap/>
            <w:vAlign w:val="center"/>
          </w:tcPr>
          <w:p w14:paraId="07F2ADA6">
            <w:pPr>
              <w:jc w:val="center"/>
              <w:rPr>
                <w:rFonts w:hint="default" w:asciiTheme="minorHAnsi" w:hAnsiTheme="minorHAnsi" w:eastAsiaTheme="minorEastAsia" w:cstheme="minorBidi"/>
                <w:color w:val="auto"/>
                <w:kern w:val="2"/>
                <w:sz w:val="21"/>
                <w:szCs w:val="21"/>
                <w:lang w:val="en-US" w:eastAsia="zh-CN" w:bidi="ar-SA"/>
              </w:rPr>
            </w:pPr>
            <w:r>
              <w:rPr>
                <w:rFonts w:hint="eastAsia"/>
                <w:color w:val="auto"/>
                <w:szCs w:val="21"/>
                <w:lang w:val="en-US" w:eastAsia="zh-CN"/>
              </w:rPr>
              <w:t>ND</w:t>
            </w:r>
          </w:p>
        </w:tc>
        <w:tc>
          <w:tcPr>
            <w:tcW w:w="503" w:type="pct"/>
            <w:shd w:val="clear" w:color="auto" w:fill="auto"/>
            <w:noWrap/>
            <w:vAlign w:val="center"/>
          </w:tcPr>
          <w:p w14:paraId="03FC6AE9">
            <w:pPr>
              <w:jc w:val="center"/>
              <w:rPr>
                <w:rFonts w:hint="default" w:asciiTheme="minorHAnsi" w:hAnsiTheme="minorHAnsi" w:eastAsiaTheme="minorEastAsia" w:cstheme="minorBidi"/>
                <w:color w:val="auto"/>
                <w:kern w:val="2"/>
                <w:sz w:val="21"/>
                <w:szCs w:val="21"/>
                <w:lang w:val="en-US" w:eastAsia="zh-CN" w:bidi="ar-SA"/>
              </w:rPr>
            </w:pPr>
            <w:r>
              <w:rPr>
                <w:rFonts w:hint="eastAsia"/>
                <w:color w:val="auto"/>
                <w:szCs w:val="21"/>
                <w:lang w:val="en-US" w:eastAsia="zh-CN"/>
              </w:rPr>
              <w:t>/</w:t>
            </w:r>
          </w:p>
        </w:tc>
        <w:tc>
          <w:tcPr>
            <w:tcW w:w="374" w:type="pct"/>
            <w:shd w:val="clear" w:color="auto" w:fill="auto"/>
            <w:noWrap/>
            <w:vAlign w:val="center"/>
          </w:tcPr>
          <w:p w14:paraId="059E2991">
            <w:pPr>
              <w:jc w:val="center"/>
              <w:rPr>
                <w:rFonts w:asciiTheme="minorHAnsi" w:hAnsiTheme="minorHAnsi" w:eastAsiaTheme="minorEastAsia" w:cstheme="minorBidi"/>
                <w:color w:val="auto"/>
                <w:kern w:val="2"/>
                <w:sz w:val="21"/>
                <w:szCs w:val="21"/>
                <w:lang w:val="en-US" w:eastAsia="zh-CN" w:bidi="ar-SA"/>
              </w:rPr>
            </w:pPr>
            <w:r>
              <w:rPr>
                <w:rFonts w:ascii="Times New Roman" w:hAnsi="Times New Roman" w:eastAsia="宋体" w:cs="Times New Roman"/>
                <w:color w:val="auto"/>
                <w:szCs w:val="21"/>
              </w:rPr>
              <w:t>0</w:t>
            </w:r>
          </w:p>
        </w:tc>
        <w:tc>
          <w:tcPr>
            <w:tcW w:w="283" w:type="pct"/>
            <w:shd w:val="clear" w:color="auto" w:fill="auto"/>
            <w:noWrap/>
            <w:vAlign w:val="center"/>
          </w:tcPr>
          <w:p w14:paraId="1FAD46A4">
            <w:pPr>
              <w:jc w:val="center"/>
              <w:rPr>
                <w:rFonts w:asciiTheme="minorHAnsi" w:hAnsiTheme="minorHAnsi" w:eastAsiaTheme="minorEastAsia" w:cstheme="minorBidi"/>
                <w:color w:val="auto"/>
                <w:kern w:val="2"/>
                <w:sz w:val="21"/>
                <w:szCs w:val="21"/>
                <w:lang w:val="en-US" w:eastAsia="zh-CN" w:bidi="ar-SA"/>
              </w:rPr>
            </w:pPr>
            <w:r>
              <w:rPr>
                <w:rFonts w:ascii="Times New Roman" w:hAnsi="Times New Roman" w:eastAsia="宋体" w:cs="Times New Roman"/>
                <w:color w:val="auto"/>
                <w:szCs w:val="21"/>
              </w:rPr>
              <w:t>达标</w:t>
            </w:r>
          </w:p>
        </w:tc>
      </w:tr>
      <w:tr w14:paraId="62158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76" w:type="pct"/>
            <w:vMerge w:val="continue"/>
            <w:vAlign w:val="center"/>
          </w:tcPr>
          <w:p w14:paraId="08788DC2">
            <w:pPr>
              <w:jc w:val="center"/>
              <w:rPr>
                <w:color w:val="auto"/>
                <w:szCs w:val="21"/>
              </w:rPr>
            </w:pPr>
          </w:p>
        </w:tc>
        <w:tc>
          <w:tcPr>
            <w:tcW w:w="1086" w:type="pct"/>
            <w:vMerge w:val="continue"/>
            <w:vAlign w:val="center"/>
          </w:tcPr>
          <w:p w14:paraId="13E30181">
            <w:pPr>
              <w:jc w:val="center"/>
              <w:rPr>
                <w:color w:val="auto"/>
                <w:szCs w:val="21"/>
              </w:rPr>
            </w:pPr>
          </w:p>
        </w:tc>
        <w:tc>
          <w:tcPr>
            <w:tcW w:w="570" w:type="pct"/>
            <w:shd w:val="clear" w:color="auto" w:fill="auto"/>
            <w:vAlign w:val="center"/>
          </w:tcPr>
          <w:p w14:paraId="06BD63EB">
            <w:pPr>
              <w:jc w:val="center"/>
              <w:rPr>
                <w:rFonts w:asciiTheme="minorHAnsi" w:hAnsiTheme="minorHAnsi" w:eastAsiaTheme="minorEastAsia" w:cstheme="minorBidi"/>
                <w:color w:val="auto"/>
                <w:kern w:val="2"/>
                <w:sz w:val="21"/>
                <w:szCs w:val="21"/>
                <w:lang w:val="en-US" w:eastAsia="zh-CN" w:bidi="ar-SA"/>
              </w:rPr>
            </w:pPr>
            <w:r>
              <w:rPr>
                <w:rFonts w:ascii="Times New Roman" w:hAnsi="Times New Roman" w:eastAsia="宋体" w:cs="Times New Roman"/>
                <w:color w:val="auto"/>
                <w:szCs w:val="21"/>
              </w:rPr>
              <w:t>氨</w:t>
            </w:r>
          </w:p>
        </w:tc>
        <w:tc>
          <w:tcPr>
            <w:tcW w:w="361" w:type="pct"/>
            <w:shd w:val="clear" w:color="auto" w:fill="auto"/>
            <w:noWrap/>
            <w:vAlign w:val="center"/>
          </w:tcPr>
          <w:p w14:paraId="2AAEEEBC">
            <w:pPr>
              <w:jc w:val="center"/>
              <w:rPr>
                <w:rFonts w:asciiTheme="minorHAnsi" w:hAnsiTheme="minorHAnsi" w:eastAsiaTheme="minorEastAsia" w:cstheme="minorBidi"/>
                <w:color w:val="auto"/>
                <w:kern w:val="2"/>
                <w:sz w:val="21"/>
                <w:szCs w:val="21"/>
                <w:lang w:val="en-US" w:eastAsia="zh-CN" w:bidi="ar-SA"/>
              </w:rPr>
            </w:pPr>
            <w:r>
              <w:rPr>
                <w:rFonts w:ascii="Times New Roman" w:hAnsi="Times New Roman" w:eastAsia="宋体" w:cs="Times New Roman"/>
                <w:color w:val="auto"/>
                <w:szCs w:val="21"/>
              </w:rPr>
              <w:t>1h平均</w:t>
            </w:r>
          </w:p>
        </w:tc>
        <w:tc>
          <w:tcPr>
            <w:tcW w:w="534" w:type="pct"/>
            <w:shd w:val="clear" w:color="auto" w:fill="auto"/>
            <w:noWrap/>
            <w:vAlign w:val="center"/>
          </w:tcPr>
          <w:p w14:paraId="14097D43">
            <w:pPr>
              <w:jc w:val="center"/>
              <w:rPr>
                <w:rFonts w:hint="default" w:asciiTheme="minorHAnsi" w:hAnsiTheme="minorHAnsi" w:eastAsiaTheme="minorEastAsia" w:cstheme="minorBidi"/>
                <w:color w:val="auto"/>
                <w:kern w:val="2"/>
                <w:sz w:val="21"/>
                <w:szCs w:val="21"/>
                <w:lang w:val="en-US" w:eastAsia="zh-CN" w:bidi="ar-SA"/>
              </w:rPr>
            </w:pPr>
            <w:r>
              <w:rPr>
                <w:rFonts w:hint="eastAsia"/>
                <w:color w:val="auto"/>
                <w:szCs w:val="21"/>
                <w:lang w:val="en-US" w:eastAsia="zh-CN"/>
              </w:rPr>
              <w:t>0.2</w:t>
            </w:r>
          </w:p>
        </w:tc>
        <w:tc>
          <w:tcPr>
            <w:tcW w:w="610" w:type="pct"/>
            <w:shd w:val="clear" w:color="auto" w:fill="auto"/>
            <w:noWrap/>
            <w:vAlign w:val="center"/>
          </w:tcPr>
          <w:p w14:paraId="4B173A72">
            <w:pPr>
              <w:jc w:val="center"/>
              <w:rPr>
                <w:rFonts w:hint="default" w:eastAsia="宋体" w:asciiTheme="minorHAnsi" w:hAnsiTheme="minorHAnsi" w:cstheme="minorBidi"/>
                <w:color w:val="auto"/>
                <w:kern w:val="2"/>
                <w:sz w:val="21"/>
                <w:szCs w:val="21"/>
                <w:lang w:val="en-US" w:eastAsia="zh-CN" w:bidi="ar-SA"/>
              </w:rPr>
            </w:pPr>
            <w:r>
              <w:rPr>
                <w:rFonts w:hint="eastAsia"/>
                <w:color w:val="auto"/>
                <w:szCs w:val="21"/>
                <w:lang w:val="en-US" w:eastAsia="zh-CN"/>
              </w:rPr>
              <w:t>0.046</w:t>
            </w:r>
            <w:r>
              <w:rPr>
                <w:rFonts w:ascii="Times New Roman" w:hAnsi="Times New Roman" w:eastAsia="宋体" w:cs="Times New Roman"/>
                <w:color w:val="auto"/>
                <w:szCs w:val="21"/>
              </w:rPr>
              <w:t>~</w:t>
            </w:r>
            <w:r>
              <w:rPr>
                <w:rFonts w:hint="eastAsia" w:ascii="Times New Roman" w:hAnsi="Times New Roman" w:eastAsia="宋体" w:cs="Times New Roman"/>
                <w:color w:val="auto"/>
                <w:szCs w:val="21"/>
                <w:lang w:val="en-US" w:eastAsia="zh-CN"/>
              </w:rPr>
              <w:t>0.067</w:t>
            </w:r>
          </w:p>
        </w:tc>
        <w:tc>
          <w:tcPr>
            <w:tcW w:w="503" w:type="pct"/>
            <w:shd w:val="clear" w:color="auto" w:fill="auto"/>
            <w:noWrap/>
            <w:vAlign w:val="center"/>
          </w:tcPr>
          <w:p w14:paraId="552A0FB7">
            <w:pPr>
              <w:jc w:val="center"/>
              <w:rPr>
                <w:rFonts w:hint="eastAsia" w:asciiTheme="minorHAnsi" w:hAnsiTheme="minorHAnsi" w:eastAsiaTheme="minorEastAsia" w:cstheme="minorBidi"/>
                <w:color w:val="auto"/>
                <w:kern w:val="2"/>
                <w:sz w:val="21"/>
                <w:szCs w:val="21"/>
                <w:lang w:val="en-US" w:eastAsia="zh-CN" w:bidi="ar-SA"/>
              </w:rPr>
            </w:pPr>
            <w:r>
              <w:rPr>
                <w:rFonts w:hint="eastAsia"/>
                <w:color w:val="auto"/>
                <w:szCs w:val="21"/>
                <w:lang w:val="en-US" w:eastAsia="zh-CN"/>
              </w:rPr>
              <w:t>33.5</w:t>
            </w:r>
          </w:p>
        </w:tc>
        <w:tc>
          <w:tcPr>
            <w:tcW w:w="374" w:type="pct"/>
            <w:shd w:val="clear" w:color="auto" w:fill="auto"/>
            <w:noWrap/>
            <w:vAlign w:val="center"/>
          </w:tcPr>
          <w:p w14:paraId="49A9B353">
            <w:pPr>
              <w:jc w:val="center"/>
              <w:rPr>
                <w:rFonts w:asciiTheme="minorHAnsi" w:hAnsiTheme="minorHAnsi" w:eastAsiaTheme="minorEastAsia" w:cstheme="minorBidi"/>
                <w:color w:val="auto"/>
                <w:kern w:val="2"/>
                <w:sz w:val="21"/>
                <w:szCs w:val="21"/>
                <w:lang w:val="en-US" w:eastAsia="zh-CN" w:bidi="ar-SA"/>
              </w:rPr>
            </w:pPr>
            <w:r>
              <w:rPr>
                <w:rFonts w:ascii="Times New Roman" w:hAnsi="Times New Roman" w:eastAsia="宋体" w:cs="Times New Roman"/>
                <w:color w:val="auto"/>
                <w:szCs w:val="21"/>
              </w:rPr>
              <w:t>0</w:t>
            </w:r>
          </w:p>
        </w:tc>
        <w:tc>
          <w:tcPr>
            <w:tcW w:w="283" w:type="pct"/>
            <w:shd w:val="clear" w:color="auto" w:fill="auto"/>
            <w:noWrap/>
            <w:vAlign w:val="center"/>
          </w:tcPr>
          <w:p w14:paraId="0E515ACF">
            <w:pPr>
              <w:jc w:val="center"/>
              <w:rPr>
                <w:rFonts w:asciiTheme="minorHAnsi" w:hAnsiTheme="minorHAnsi" w:eastAsiaTheme="minorEastAsia" w:cstheme="minorBidi"/>
                <w:color w:val="auto"/>
                <w:kern w:val="2"/>
                <w:sz w:val="21"/>
                <w:szCs w:val="21"/>
                <w:lang w:val="en-US" w:eastAsia="zh-CN" w:bidi="ar-SA"/>
              </w:rPr>
            </w:pPr>
            <w:r>
              <w:rPr>
                <w:rFonts w:ascii="Times New Roman" w:hAnsi="Times New Roman" w:eastAsia="宋体" w:cs="Times New Roman"/>
                <w:color w:val="auto"/>
                <w:szCs w:val="21"/>
              </w:rPr>
              <w:t>达标</w:t>
            </w:r>
          </w:p>
        </w:tc>
      </w:tr>
      <w:tr w14:paraId="6294D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76" w:type="pct"/>
            <w:vMerge w:val="continue"/>
            <w:vAlign w:val="center"/>
          </w:tcPr>
          <w:p w14:paraId="6E02D9FA">
            <w:pPr>
              <w:jc w:val="center"/>
              <w:rPr>
                <w:color w:val="auto"/>
                <w:szCs w:val="21"/>
              </w:rPr>
            </w:pPr>
          </w:p>
        </w:tc>
        <w:tc>
          <w:tcPr>
            <w:tcW w:w="1086" w:type="pct"/>
            <w:vMerge w:val="continue"/>
            <w:vAlign w:val="center"/>
          </w:tcPr>
          <w:p w14:paraId="7E714B1F">
            <w:pPr>
              <w:jc w:val="center"/>
              <w:rPr>
                <w:color w:val="auto"/>
                <w:szCs w:val="21"/>
              </w:rPr>
            </w:pPr>
          </w:p>
        </w:tc>
        <w:tc>
          <w:tcPr>
            <w:tcW w:w="570" w:type="pct"/>
            <w:shd w:val="clear" w:color="auto" w:fill="auto"/>
            <w:vAlign w:val="center"/>
          </w:tcPr>
          <w:p w14:paraId="5B5BD57A">
            <w:pPr>
              <w:jc w:val="center"/>
              <w:rPr>
                <w:rFonts w:asciiTheme="minorHAnsi" w:hAnsiTheme="minorHAnsi" w:eastAsiaTheme="minorEastAsia" w:cstheme="minorBidi"/>
                <w:color w:val="auto"/>
                <w:kern w:val="2"/>
                <w:sz w:val="21"/>
                <w:szCs w:val="21"/>
                <w:lang w:val="en-US" w:eastAsia="zh-CN" w:bidi="ar-SA"/>
              </w:rPr>
            </w:pPr>
            <w:r>
              <w:rPr>
                <w:rFonts w:ascii="Times New Roman" w:hAnsi="Times New Roman" w:eastAsia="宋体" w:cs="Times New Roman"/>
                <w:color w:val="auto"/>
                <w:szCs w:val="21"/>
              </w:rPr>
              <w:t>非甲烷总烃</w:t>
            </w:r>
          </w:p>
        </w:tc>
        <w:tc>
          <w:tcPr>
            <w:tcW w:w="361" w:type="pct"/>
            <w:shd w:val="clear" w:color="auto" w:fill="auto"/>
            <w:noWrap/>
            <w:vAlign w:val="center"/>
          </w:tcPr>
          <w:p w14:paraId="6D1994D7">
            <w:pPr>
              <w:jc w:val="center"/>
              <w:rPr>
                <w:rFonts w:asciiTheme="minorHAnsi" w:hAnsiTheme="minorHAnsi" w:eastAsiaTheme="minorEastAsia" w:cstheme="minorBidi"/>
                <w:color w:val="auto"/>
                <w:kern w:val="2"/>
                <w:sz w:val="21"/>
                <w:szCs w:val="21"/>
                <w:lang w:val="en-US" w:eastAsia="zh-CN" w:bidi="ar-SA"/>
              </w:rPr>
            </w:pPr>
            <w:r>
              <w:rPr>
                <w:rFonts w:ascii="Times New Roman" w:hAnsi="Times New Roman" w:eastAsia="宋体" w:cs="Times New Roman"/>
                <w:color w:val="auto"/>
                <w:szCs w:val="21"/>
              </w:rPr>
              <w:t>1h平均</w:t>
            </w:r>
          </w:p>
        </w:tc>
        <w:tc>
          <w:tcPr>
            <w:tcW w:w="534" w:type="pct"/>
            <w:shd w:val="clear" w:color="auto" w:fill="auto"/>
            <w:noWrap/>
            <w:vAlign w:val="center"/>
          </w:tcPr>
          <w:p w14:paraId="096FEF0D">
            <w:pPr>
              <w:jc w:val="center"/>
              <w:rPr>
                <w:rFonts w:hint="default" w:asciiTheme="minorHAnsi" w:hAnsiTheme="minorHAnsi" w:eastAsiaTheme="minorEastAsia" w:cstheme="minorBidi"/>
                <w:color w:val="auto"/>
                <w:kern w:val="2"/>
                <w:sz w:val="21"/>
                <w:szCs w:val="21"/>
                <w:lang w:val="en-US" w:eastAsia="zh-CN" w:bidi="ar-SA"/>
              </w:rPr>
            </w:pPr>
            <w:r>
              <w:rPr>
                <w:rFonts w:hint="eastAsia"/>
                <w:color w:val="auto"/>
                <w:szCs w:val="21"/>
                <w:lang w:val="en-US" w:eastAsia="zh-CN"/>
              </w:rPr>
              <w:t>2.0</w:t>
            </w:r>
          </w:p>
        </w:tc>
        <w:tc>
          <w:tcPr>
            <w:tcW w:w="610" w:type="pct"/>
            <w:shd w:val="clear" w:color="auto" w:fill="auto"/>
            <w:noWrap/>
            <w:vAlign w:val="center"/>
          </w:tcPr>
          <w:p w14:paraId="26326B6A">
            <w:pPr>
              <w:jc w:val="center"/>
              <w:rPr>
                <w:rFonts w:hint="default" w:eastAsia="宋体" w:asciiTheme="minorHAnsi" w:hAnsiTheme="minorHAnsi" w:cstheme="minorBidi"/>
                <w:color w:val="auto"/>
                <w:kern w:val="2"/>
                <w:sz w:val="21"/>
                <w:szCs w:val="21"/>
                <w:lang w:val="en-US" w:eastAsia="zh-CN" w:bidi="ar-SA"/>
              </w:rPr>
            </w:pPr>
            <w:r>
              <w:rPr>
                <w:rFonts w:hint="eastAsia"/>
                <w:color w:val="auto"/>
                <w:szCs w:val="21"/>
                <w:lang w:val="en-US" w:eastAsia="zh-CN"/>
              </w:rPr>
              <w:t>0.3</w:t>
            </w:r>
            <w:r>
              <w:rPr>
                <w:rFonts w:ascii="Times New Roman" w:hAnsi="Times New Roman" w:eastAsia="宋体" w:cs="Times New Roman"/>
                <w:color w:val="auto"/>
                <w:szCs w:val="21"/>
              </w:rPr>
              <w:t>~</w:t>
            </w:r>
            <w:r>
              <w:rPr>
                <w:rFonts w:hint="eastAsia" w:ascii="Times New Roman" w:hAnsi="Times New Roman" w:eastAsia="宋体" w:cs="Times New Roman"/>
                <w:color w:val="auto"/>
                <w:szCs w:val="21"/>
                <w:lang w:val="en-US" w:eastAsia="zh-CN"/>
              </w:rPr>
              <w:t>0.58</w:t>
            </w:r>
          </w:p>
        </w:tc>
        <w:tc>
          <w:tcPr>
            <w:tcW w:w="503" w:type="pct"/>
            <w:shd w:val="clear" w:color="auto" w:fill="auto"/>
            <w:noWrap/>
            <w:vAlign w:val="center"/>
          </w:tcPr>
          <w:p w14:paraId="774F82FE">
            <w:pPr>
              <w:jc w:val="center"/>
              <w:rPr>
                <w:rFonts w:hint="default" w:asciiTheme="minorHAnsi" w:hAnsiTheme="minorHAnsi" w:eastAsiaTheme="minorEastAsia" w:cstheme="minorBidi"/>
                <w:color w:val="auto"/>
                <w:kern w:val="2"/>
                <w:sz w:val="21"/>
                <w:szCs w:val="21"/>
                <w:lang w:val="en-US" w:eastAsia="zh-CN" w:bidi="ar-SA"/>
              </w:rPr>
            </w:pPr>
            <w:r>
              <w:rPr>
                <w:rFonts w:hint="eastAsia"/>
                <w:color w:val="auto"/>
                <w:szCs w:val="21"/>
                <w:lang w:val="en-US" w:eastAsia="zh-CN"/>
              </w:rPr>
              <w:t>29</w:t>
            </w:r>
          </w:p>
        </w:tc>
        <w:tc>
          <w:tcPr>
            <w:tcW w:w="374" w:type="pct"/>
            <w:shd w:val="clear" w:color="auto" w:fill="auto"/>
            <w:noWrap/>
            <w:vAlign w:val="center"/>
          </w:tcPr>
          <w:p w14:paraId="40614109">
            <w:pPr>
              <w:jc w:val="center"/>
              <w:rPr>
                <w:rFonts w:asciiTheme="minorHAnsi" w:hAnsiTheme="minorHAnsi" w:eastAsiaTheme="minorEastAsia" w:cstheme="minorBidi"/>
                <w:color w:val="auto"/>
                <w:kern w:val="2"/>
                <w:sz w:val="21"/>
                <w:szCs w:val="21"/>
                <w:lang w:val="en-US" w:eastAsia="zh-CN" w:bidi="ar-SA"/>
              </w:rPr>
            </w:pPr>
            <w:r>
              <w:rPr>
                <w:rFonts w:ascii="Times New Roman" w:hAnsi="Times New Roman" w:eastAsia="宋体" w:cs="Times New Roman"/>
                <w:color w:val="auto"/>
                <w:szCs w:val="21"/>
              </w:rPr>
              <w:t>0</w:t>
            </w:r>
          </w:p>
        </w:tc>
        <w:tc>
          <w:tcPr>
            <w:tcW w:w="283" w:type="pct"/>
            <w:shd w:val="clear" w:color="auto" w:fill="auto"/>
            <w:noWrap/>
            <w:vAlign w:val="center"/>
          </w:tcPr>
          <w:p w14:paraId="6E08CC5C">
            <w:pPr>
              <w:jc w:val="center"/>
              <w:rPr>
                <w:rFonts w:asciiTheme="minorHAnsi" w:hAnsiTheme="minorHAnsi" w:eastAsiaTheme="minorEastAsia" w:cstheme="minorBidi"/>
                <w:color w:val="auto"/>
                <w:kern w:val="2"/>
                <w:sz w:val="21"/>
                <w:szCs w:val="21"/>
                <w:lang w:val="en-US" w:eastAsia="zh-CN" w:bidi="ar-SA"/>
              </w:rPr>
            </w:pPr>
            <w:r>
              <w:rPr>
                <w:rFonts w:ascii="Times New Roman" w:hAnsi="Times New Roman" w:eastAsia="宋体" w:cs="Times New Roman"/>
                <w:color w:val="auto"/>
                <w:szCs w:val="21"/>
              </w:rPr>
              <w:t>达标</w:t>
            </w:r>
          </w:p>
        </w:tc>
      </w:tr>
      <w:tr w14:paraId="2E41E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76" w:type="pct"/>
            <w:vMerge w:val="continue"/>
            <w:vAlign w:val="center"/>
          </w:tcPr>
          <w:p w14:paraId="0387F054">
            <w:pPr>
              <w:jc w:val="center"/>
              <w:rPr>
                <w:color w:val="auto"/>
                <w:szCs w:val="21"/>
              </w:rPr>
            </w:pPr>
          </w:p>
        </w:tc>
        <w:tc>
          <w:tcPr>
            <w:tcW w:w="1086" w:type="pct"/>
            <w:vMerge w:val="continue"/>
            <w:vAlign w:val="center"/>
          </w:tcPr>
          <w:p w14:paraId="111B8203">
            <w:pPr>
              <w:jc w:val="center"/>
              <w:rPr>
                <w:color w:val="auto"/>
                <w:szCs w:val="21"/>
              </w:rPr>
            </w:pPr>
          </w:p>
        </w:tc>
        <w:tc>
          <w:tcPr>
            <w:tcW w:w="570" w:type="pct"/>
            <w:shd w:val="clear" w:color="auto" w:fill="auto"/>
            <w:vAlign w:val="center"/>
          </w:tcPr>
          <w:p w14:paraId="6757691B">
            <w:pPr>
              <w:jc w:val="center"/>
              <w:rPr>
                <w:rFonts w:asciiTheme="minorHAnsi" w:hAnsiTheme="minorHAnsi" w:eastAsiaTheme="minorEastAsia" w:cstheme="minorBidi"/>
                <w:color w:val="auto"/>
                <w:kern w:val="2"/>
                <w:sz w:val="21"/>
                <w:szCs w:val="21"/>
                <w:lang w:val="en-US" w:eastAsia="zh-CN" w:bidi="ar-SA"/>
              </w:rPr>
            </w:pPr>
            <w:r>
              <w:rPr>
                <w:rFonts w:ascii="Times New Roman" w:hAnsi="Times New Roman" w:eastAsia="宋体" w:cs="Times New Roman"/>
                <w:color w:val="auto"/>
                <w:szCs w:val="21"/>
              </w:rPr>
              <w:t>臭气浓度</w:t>
            </w:r>
          </w:p>
        </w:tc>
        <w:tc>
          <w:tcPr>
            <w:tcW w:w="361" w:type="pct"/>
            <w:shd w:val="clear" w:color="auto" w:fill="auto"/>
            <w:noWrap/>
            <w:vAlign w:val="center"/>
          </w:tcPr>
          <w:p w14:paraId="1F681D9B">
            <w:pPr>
              <w:jc w:val="center"/>
              <w:rPr>
                <w:rFonts w:asciiTheme="minorHAnsi" w:hAnsiTheme="minorHAnsi" w:eastAsiaTheme="minorEastAsia" w:cstheme="minorBidi"/>
                <w:color w:val="auto"/>
                <w:kern w:val="2"/>
                <w:sz w:val="21"/>
                <w:szCs w:val="21"/>
                <w:lang w:val="en-US" w:eastAsia="zh-CN" w:bidi="ar-SA"/>
              </w:rPr>
            </w:pPr>
            <w:r>
              <w:rPr>
                <w:rFonts w:ascii="Times New Roman" w:hAnsi="Times New Roman" w:eastAsia="宋体" w:cs="Times New Roman"/>
                <w:color w:val="auto"/>
                <w:szCs w:val="21"/>
              </w:rPr>
              <w:t>1h平均</w:t>
            </w:r>
          </w:p>
        </w:tc>
        <w:tc>
          <w:tcPr>
            <w:tcW w:w="534" w:type="pct"/>
            <w:shd w:val="clear" w:color="auto" w:fill="auto"/>
            <w:noWrap/>
            <w:vAlign w:val="center"/>
          </w:tcPr>
          <w:p w14:paraId="78449341">
            <w:pPr>
              <w:jc w:val="center"/>
              <w:rPr>
                <w:rFonts w:hint="default" w:asciiTheme="minorHAnsi" w:hAnsiTheme="minorHAnsi" w:eastAsiaTheme="minorEastAsia" w:cstheme="minorBidi"/>
                <w:color w:val="auto"/>
                <w:kern w:val="2"/>
                <w:sz w:val="21"/>
                <w:szCs w:val="21"/>
                <w:lang w:val="en-US" w:eastAsia="zh-CN" w:bidi="ar-SA"/>
              </w:rPr>
            </w:pPr>
            <w:r>
              <w:rPr>
                <w:rFonts w:hint="eastAsia"/>
                <w:color w:val="auto"/>
                <w:szCs w:val="21"/>
                <w:lang w:val="en-US" w:eastAsia="zh-CN"/>
              </w:rPr>
              <w:t>/</w:t>
            </w:r>
          </w:p>
        </w:tc>
        <w:tc>
          <w:tcPr>
            <w:tcW w:w="610" w:type="pct"/>
            <w:shd w:val="clear" w:color="auto" w:fill="auto"/>
            <w:noWrap/>
            <w:vAlign w:val="center"/>
          </w:tcPr>
          <w:p w14:paraId="79D21D8B">
            <w:pPr>
              <w:jc w:val="center"/>
              <w:rPr>
                <w:rFonts w:hint="default" w:asciiTheme="minorHAnsi" w:hAnsiTheme="minorHAnsi" w:eastAsiaTheme="minorEastAsia" w:cstheme="minorBidi"/>
                <w:color w:val="auto"/>
                <w:kern w:val="2"/>
                <w:sz w:val="21"/>
                <w:szCs w:val="21"/>
                <w:lang w:val="en-US" w:eastAsia="zh-CN" w:bidi="ar-SA"/>
              </w:rPr>
            </w:pPr>
            <w:r>
              <w:rPr>
                <w:rFonts w:ascii="Times New Roman" w:hAnsi="Times New Roman" w:eastAsia="宋体" w:cs="Times New Roman"/>
                <w:color w:val="auto"/>
                <w:szCs w:val="21"/>
              </w:rPr>
              <w:t>＜10</w:t>
            </w:r>
          </w:p>
        </w:tc>
        <w:tc>
          <w:tcPr>
            <w:tcW w:w="503" w:type="pct"/>
            <w:shd w:val="clear" w:color="auto" w:fill="auto"/>
            <w:noWrap/>
            <w:vAlign w:val="center"/>
          </w:tcPr>
          <w:p w14:paraId="0CC4644C">
            <w:pPr>
              <w:jc w:val="center"/>
              <w:rPr>
                <w:rFonts w:hint="default" w:asciiTheme="minorHAnsi" w:hAnsiTheme="minorHAnsi" w:eastAsiaTheme="minorEastAsia" w:cstheme="minorBidi"/>
                <w:color w:val="auto"/>
                <w:kern w:val="2"/>
                <w:sz w:val="21"/>
                <w:szCs w:val="21"/>
                <w:lang w:val="en-US" w:eastAsia="zh-CN" w:bidi="ar-SA"/>
              </w:rPr>
            </w:pPr>
            <w:r>
              <w:rPr>
                <w:rFonts w:ascii="Times New Roman" w:hAnsi="Times New Roman" w:eastAsia="宋体" w:cs="Times New Roman"/>
                <w:color w:val="auto"/>
                <w:szCs w:val="21"/>
              </w:rPr>
              <w:t>/</w:t>
            </w:r>
          </w:p>
        </w:tc>
        <w:tc>
          <w:tcPr>
            <w:tcW w:w="374" w:type="pct"/>
            <w:shd w:val="clear" w:color="auto" w:fill="auto"/>
            <w:noWrap/>
            <w:vAlign w:val="center"/>
          </w:tcPr>
          <w:p w14:paraId="65486264">
            <w:pPr>
              <w:jc w:val="center"/>
              <w:rPr>
                <w:rFonts w:asciiTheme="minorHAnsi" w:hAnsiTheme="minorHAnsi" w:eastAsiaTheme="minorEastAsia" w:cstheme="minorBidi"/>
                <w:color w:val="auto"/>
                <w:kern w:val="2"/>
                <w:sz w:val="21"/>
                <w:szCs w:val="21"/>
                <w:lang w:val="en-US" w:eastAsia="zh-CN" w:bidi="ar-SA"/>
              </w:rPr>
            </w:pPr>
            <w:r>
              <w:rPr>
                <w:rFonts w:ascii="Times New Roman" w:hAnsi="Times New Roman" w:eastAsia="宋体" w:cs="Times New Roman"/>
                <w:color w:val="auto"/>
                <w:szCs w:val="21"/>
              </w:rPr>
              <w:t>0</w:t>
            </w:r>
          </w:p>
        </w:tc>
        <w:tc>
          <w:tcPr>
            <w:tcW w:w="283" w:type="pct"/>
            <w:shd w:val="clear" w:color="auto" w:fill="auto"/>
            <w:noWrap/>
            <w:vAlign w:val="center"/>
          </w:tcPr>
          <w:p w14:paraId="24F38BAB">
            <w:pPr>
              <w:jc w:val="center"/>
              <w:rPr>
                <w:rFonts w:asciiTheme="minorHAnsi" w:hAnsiTheme="minorHAnsi" w:eastAsiaTheme="minorEastAsia" w:cstheme="minorBidi"/>
                <w:color w:val="auto"/>
                <w:kern w:val="2"/>
                <w:sz w:val="21"/>
                <w:szCs w:val="21"/>
                <w:lang w:val="en-US" w:eastAsia="zh-CN" w:bidi="ar-SA"/>
              </w:rPr>
            </w:pPr>
            <w:r>
              <w:rPr>
                <w:rFonts w:ascii="Times New Roman" w:hAnsi="Times New Roman" w:eastAsia="宋体" w:cs="Times New Roman"/>
                <w:color w:val="auto"/>
                <w:szCs w:val="21"/>
              </w:rPr>
              <w:t>达标</w:t>
            </w:r>
          </w:p>
        </w:tc>
      </w:tr>
      <w:tr w14:paraId="24667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76" w:type="pct"/>
            <w:vMerge w:val="continue"/>
            <w:vAlign w:val="center"/>
          </w:tcPr>
          <w:p w14:paraId="77D2F361">
            <w:pPr>
              <w:jc w:val="center"/>
              <w:rPr>
                <w:color w:val="auto"/>
                <w:szCs w:val="21"/>
              </w:rPr>
            </w:pPr>
          </w:p>
        </w:tc>
        <w:tc>
          <w:tcPr>
            <w:tcW w:w="1086" w:type="pct"/>
            <w:vMerge w:val="continue"/>
            <w:vAlign w:val="center"/>
          </w:tcPr>
          <w:p w14:paraId="72CFB577">
            <w:pPr>
              <w:jc w:val="center"/>
              <w:rPr>
                <w:color w:val="auto"/>
                <w:szCs w:val="21"/>
              </w:rPr>
            </w:pPr>
          </w:p>
        </w:tc>
        <w:tc>
          <w:tcPr>
            <w:tcW w:w="570" w:type="pct"/>
            <w:shd w:val="clear" w:color="auto" w:fill="auto"/>
            <w:vAlign w:val="center"/>
          </w:tcPr>
          <w:p w14:paraId="25717F5B">
            <w:pPr>
              <w:jc w:val="center"/>
              <w:rPr>
                <w:rFonts w:hint="default" w:asciiTheme="minorHAnsi" w:hAnsiTheme="minorHAnsi" w:eastAsiaTheme="minorEastAsia" w:cstheme="minorBidi"/>
                <w:color w:val="auto"/>
                <w:kern w:val="2"/>
                <w:sz w:val="21"/>
                <w:szCs w:val="21"/>
                <w:lang w:val="en-US" w:eastAsia="zh-CN" w:bidi="ar-SA"/>
              </w:rPr>
            </w:pPr>
            <w:r>
              <w:rPr>
                <w:rFonts w:hint="eastAsia"/>
                <w:color w:val="auto"/>
                <w:szCs w:val="21"/>
                <w:lang w:val="en-US" w:eastAsia="zh-CN"/>
              </w:rPr>
              <w:t>TSP</w:t>
            </w:r>
          </w:p>
        </w:tc>
        <w:tc>
          <w:tcPr>
            <w:tcW w:w="361" w:type="pct"/>
            <w:shd w:val="clear" w:color="auto" w:fill="auto"/>
            <w:noWrap/>
            <w:vAlign w:val="center"/>
          </w:tcPr>
          <w:p w14:paraId="0E2F99E8">
            <w:pPr>
              <w:jc w:val="center"/>
              <w:rPr>
                <w:rFonts w:hint="default" w:asciiTheme="minorHAnsi" w:hAnsiTheme="minorHAnsi" w:eastAsiaTheme="minorEastAsia" w:cstheme="minorBidi"/>
                <w:color w:val="auto"/>
                <w:kern w:val="2"/>
                <w:sz w:val="21"/>
                <w:szCs w:val="21"/>
                <w:lang w:val="en-US" w:eastAsia="zh-CN" w:bidi="ar-SA"/>
              </w:rPr>
            </w:pPr>
            <w:r>
              <w:rPr>
                <w:rFonts w:hint="eastAsia"/>
                <w:color w:val="auto"/>
                <w:szCs w:val="21"/>
                <w:lang w:val="en-US" w:eastAsia="zh-CN"/>
              </w:rPr>
              <w:t>24h平均</w:t>
            </w:r>
          </w:p>
        </w:tc>
        <w:tc>
          <w:tcPr>
            <w:tcW w:w="534" w:type="pct"/>
            <w:shd w:val="clear" w:color="auto" w:fill="auto"/>
            <w:noWrap/>
            <w:vAlign w:val="center"/>
          </w:tcPr>
          <w:p w14:paraId="53301692">
            <w:pPr>
              <w:jc w:val="center"/>
              <w:rPr>
                <w:rFonts w:hint="eastAsia" w:asciiTheme="minorHAnsi" w:hAnsiTheme="minorHAnsi" w:eastAsiaTheme="minorEastAsia" w:cstheme="minorBidi"/>
                <w:color w:val="auto"/>
                <w:kern w:val="2"/>
                <w:sz w:val="21"/>
                <w:szCs w:val="21"/>
                <w:lang w:val="en-US" w:eastAsia="zh-CN" w:bidi="ar-SA"/>
              </w:rPr>
            </w:pPr>
            <w:r>
              <w:rPr>
                <w:rFonts w:hint="eastAsia"/>
                <w:color w:val="auto"/>
                <w:szCs w:val="21"/>
                <w:lang w:val="en-US" w:eastAsia="zh-CN"/>
              </w:rPr>
              <w:t>0.3</w:t>
            </w:r>
          </w:p>
        </w:tc>
        <w:tc>
          <w:tcPr>
            <w:tcW w:w="610" w:type="pct"/>
            <w:shd w:val="clear" w:color="auto" w:fill="auto"/>
            <w:noWrap/>
            <w:vAlign w:val="center"/>
          </w:tcPr>
          <w:p w14:paraId="76DECF34">
            <w:pPr>
              <w:jc w:val="center"/>
              <w:rPr>
                <w:rFonts w:hint="default" w:eastAsia="宋体" w:asciiTheme="minorHAnsi" w:hAnsiTheme="minorHAnsi" w:cstheme="minorBidi"/>
                <w:color w:val="auto"/>
                <w:kern w:val="2"/>
                <w:sz w:val="21"/>
                <w:szCs w:val="21"/>
                <w:lang w:val="en-US" w:eastAsia="zh-CN" w:bidi="ar-SA"/>
              </w:rPr>
            </w:pPr>
            <w:r>
              <w:rPr>
                <w:rFonts w:hint="eastAsia"/>
                <w:color w:val="auto"/>
                <w:szCs w:val="21"/>
                <w:lang w:val="en-US" w:eastAsia="zh-CN"/>
              </w:rPr>
              <w:t>0.074</w:t>
            </w:r>
            <w:r>
              <w:rPr>
                <w:rFonts w:ascii="Times New Roman" w:hAnsi="Times New Roman" w:eastAsia="宋体" w:cs="Times New Roman"/>
                <w:color w:val="auto"/>
                <w:szCs w:val="21"/>
              </w:rPr>
              <w:t>~</w:t>
            </w:r>
            <w:r>
              <w:rPr>
                <w:rFonts w:hint="eastAsia" w:ascii="Times New Roman" w:hAnsi="Times New Roman" w:eastAsia="宋体" w:cs="Times New Roman"/>
                <w:color w:val="auto"/>
                <w:szCs w:val="21"/>
                <w:lang w:val="en-US" w:eastAsia="zh-CN"/>
              </w:rPr>
              <w:t>0.096</w:t>
            </w:r>
          </w:p>
        </w:tc>
        <w:tc>
          <w:tcPr>
            <w:tcW w:w="503" w:type="pct"/>
            <w:shd w:val="clear" w:color="auto" w:fill="auto"/>
            <w:noWrap/>
            <w:vAlign w:val="center"/>
          </w:tcPr>
          <w:p w14:paraId="5CBFFADF">
            <w:pPr>
              <w:jc w:val="center"/>
              <w:rPr>
                <w:rFonts w:hint="default" w:asciiTheme="minorHAnsi" w:hAnsiTheme="minorHAnsi" w:eastAsiaTheme="minorEastAsia" w:cstheme="minorBidi"/>
                <w:color w:val="auto"/>
                <w:kern w:val="2"/>
                <w:sz w:val="21"/>
                <w:szCs w:val="21"/>
                <w:lang w:val="en-US" w:eastAsia="zh-CN" w:bidi="ar-SA"/>
              </w:rPr>
            </w:pPr>
            <w:r>
              <w:rPr>
                <w:rFonts w:hint="eastAsia"/>
                <w:color w:val="auto"/>
                <w:szCs w:val="21"/>
                <w:lang w:val="en-US" w:eastAsia="zh-CN"/>
              </w:rPr>
              <w:t>32</w:t>
            </w:r>
          </w:p>
        </w:tc>
        <w:tc>
          <w:tcPr>
            <w:tcW w:w="374" w:type="pct"/>
            <w:shd w:val="clear" w:color="auto" w:fill="auto"/>
            <w:noWrap/>
            <w:vAlign w:val="center"/>
          </w:tcPr>
          <w:p w14:paraId="4C0815F4">
            <w:pPr>
              <w:jc w:val="center"/>
              <w:rPr>
                <w:rFonts w:asciiTheme="minorHAnsi" w:hAnsiTheme="minorHAnsi" w:eastAsiaTheme="minorEastAsia" w:cstheme="minorBidi"/>
                <w:color w:val="auto"/>
                <w:kern w:val="2"/>
                <w:sz w:val="21"/>
                <w:szCs w:val="21"/>
                <w:lang w:val="en-US" w:eastAsia="zh-CN" w:bidi="ar-SA"/>
              </w:rPr>
            </w:pPr>
            <w:r>
              <w:rPr>
                <w:rFonts w:ascii="Times New Roman" w:hAnsi="Times New Roman" w:eastAsia="宋体" w:cs="Times New Roman"/>
                <w:color w:val="auto"/>
                <w:szCs w:val="21"/>
              </w:rPr>
              <w:t>0</w:t>
            </w:r>
          </w:p>
        </w:tc>
        <w:tc>
          <w:tcPr>
            <w:tcW w:w="283" w:type="pct"/>
            <w:shd w:val="clear" w:color="auto" w:fill="auto"/>
            <w:noWrap/>
            <w:vAlign w:val="center"/>
          </w:tcPr>
          <w:p w14:paraId="6D3EFC6B">
            <w:pPr>
              <w:jc w:val="center"/>
              <w:rPr>
                <w:rFonts w:asciiTheme="minorHAnsi" w:hAnsiTheme="minorHAnsi" w:eastAsiaTheme="minorEastAsia" w:cstheme="minorBidi"/>
                <w:color w:val="auto"/>
                <w:kern w:val="2"/>
                <w:sz w:val="21"/>
                <w:szCs w:val="21"/>
                <w:lang w:val="en-US" w:eastAsia="zh-CN" w:bidi="ar-SA"/>
              </w:rPr>
            </w:pPr>
            <w:r>
              <w:rPr>
                <w:rFonts w:ascii="Times New Roman" w:hAnsi="Times New Roman" w:eastAsia="宋体" w:cs="Times New Roman"/>
                <w:color w:val="auto"/>
                <w:szCs w:val="21"/>
              </w:rPr>
              <w:t>达标</w:t>
            </w:r>
          </w:p>
        </w:tc>
      </w:tr>
    </w:tbl>
    <w:p w14:paraId="63D21FCF">
      <w:pPr>
        <w:spacing w:line="360" w:lineRule="auto"/>
        <w:ind w:firstLine="480" w:firstLineChars="200"/>
        <w:rPr>
          <w:rFonts w:ascii="Times New Roman" w:hAnsi="Times New Roman" w:eastAsia="宋体" w:cs="宋体"/>
          <w:color w:val="auto"/>
          <w:sz w:val="24"/>
          <w:szCs w:val="24"/>
        </w:rPr>
      </w:pPr>
      <w:r>
        <w:rPr>
          <w:rFonts w:ascii="Times New Roman" w:hAnsi="Times New Roman" w:eastAsia="宋体" w:cs="宋体"/>
          <w:color w:val="auto"/>
          <w:sz w:val="24"/>
          <w:szCs w:val="24"/>
        </w:rPr>
        <w:t>监测数据结果表明：牛家老屋一类区监测因子</w:t>
      </w:r>
      <w:r>
        <w:rPr>
          <w:rFonts w:hint="eastAsia" w:ascii="Times New Roman" w:hAnsi="Times New Roman" w:eastAsia="宋体" w:cs="宋体"/>
          <w:color w:val="auto"/>
          <w:sz w:val="24"/>
          <w:szCs w:val="24"/>
          <w:lang w:val="en-US" w:eastAsia="zh-CN"/>
        </w:rPr>
        <w:t>TSP</w:t>
      </w:r>
      <w:r>
        <w:rPr>
          <w:rFonts w:ascii="Times New Roman" w:hAnsi="Times New Roman" w:eastAsia="宋体" w:cs="宋体"/>
          <w:color w:val="auto"/>
          <w:sz w:val="24"/>
          <w:szCs w:val="24"/>
        </w:rPr>
        <w:t>均满足《环境空气质量标准》（GB3095-2012）中的一级标准；氨、硫化氢、监测值浓度均满足《环境影响评价技术导则 大气环境》（HJ2.2-2018）附录D其他污染物空气质量浓度参考限值；</w:t>
      </w:r>
      <w:r>
        <w:rPr>
          <w:rFonts w:hint="eastAsia" w:ascii="Times New Roman" w:hAnsi="Times New Roman" w:eastAsia="宋体" w:cs="宋体"/>
          <w:color w:val="auto"/>
          <w:sz w:val="24"/>
          <w:szCs w:val="24"/>
        </w:rPr>
        <w:t>非甲烷总烃满足《大气污染物综合排放标准详解》中的限值。</w:t>
      </w:r>
    </w:p>
    <w:p w14:paraId="0F1B26E9">
      <w:pPr>
        <w:spacing w:line="360" w:lineRule="auto"/>
        <w:ind w:firstLine="480" w:firstLineChars="200"/>
        <w:rPr>
          <w:rFonts w:ascii="Times New Roman" w:hAnsi="Times New Roman" w:eastAsia="宋体" w:cs="宋体"/>
          <w:color w:val="auto"/>
          <w:sz w:val="24"/>
          <w:szCs w:val="24"/>
        </w:rPr>
      </w:pPr>
    </w:p>
    <w:p w14:paraId="37D3A11E">
      <w:pPr>
        <w:spacing w:line="360" w:lineRule="auto"/>
        <w:ind w:firstLine="480" w:firstLineChars="200"/>
        <w:rPr>
          <w:rFonts w:ascii="Times New Roman" w:hAnsi="Times New Roman" w:eastAsia="宋体" w:cs="宋体"/>
          <w:color w:val="FF0000"/>
          <w:sz w:val="24"/>
          <w:szCs w:val="24"/>
        </w:rPr>
        <w:sectPr>
          <w:pgSz w:w="16838" w:h="11906" w:orient="landscape"/>
          <w:pgMar w:top="1800" w:right="1440" w:bottom="1800" w:left="1440" w:header="851" w:footer="992" w:gutter="0"/>
          <w:cols w:space="720" w:num="1"/>
          <w:docGrid w:type="lines" w:linePitch="312" w:charSpace="0"/>
        </w:sectPr>
      </w:pPr>
    </w:p>
    <w:p w14:paraId="4BA4AC05">
      <w:pPr>
        <w:keepNext/>
        <w:keepLines/>
        <w:spacing w:before="156" w:beforeLines="50" w:after="156" w:afterLines="50" w:line="360" w:lineRule="auto"/>
        <w:outlineLvl w:val="2"/>
        <w:rPr>
          <w:rFonts w:ascii="Times New Roman" w:hAnsi="Times New Roman" w:eastAsia="宋体" w:cs="Times New Roman"/>
          <w:b/>
          <w:color w:val="auto"/>
          <w:kern w:val="0"/>
          <w:sz w:val="24"/>
          <w:szCs w:val="24"/>
        </w:rPr>
      </w:pPr>
      <w:r>
        <w:rPr>
          <w:rFonts w:ascii="Times New Roman" w:hAnsi="Times New Roman" w:eastAsia="宋体" w:cs="Times New Roman"/>
          <w:b/>
          <w:color w:val="auto"/>
          <w:kern w:val="0"/>
          <w:sz w:val="24"/>
          <w:szCs w:val="24"/>
        </w:rPr>
        <w:t>5.</w:t>
      </w:r>
      <w:r>
        <w:rPr>
          <w:rFonts w:hint="eastAsia" w:ascii="Times New Roman" w:hAnsi="Times New Roman" w:eastAsia="宋体" w:cs="Times New Roman"/>
          <w:b/>
          <w:color w:val="auto"/>
          <w:kern w:val="0"/>
          <w:sz w:val="24"/>
          <w:szCs w:val="24"/>
        </w:rPr>
        <w:t>4</w:t>
      </w:r>
      <w:r>
        <w:rPr>
          <w:rFonts w:ascii="Times New Roman" w:hAnsi="Times New Roman" w:eastAsia="宋体" w:cs="Times New Roman"/>
          <w:b/>
          <w:color w:val="auto"/>
          <w:kern w:val="0"/>
          <w:sz w:val="24"/>
          <w:szCs w:val="24"/>
        </w:rPr>
        <w:t>.</w:t>
      </w:r>
      <w:r>
        <w:rPr>
          <w:rFonts w:hint="eastAsia" w:ascii="Times New Roman" w:hAnsi="Times New Roman" w:eastAsia="宋体" w:cs="Times New Roman"/>
          <w:b/>
          <w:color w:val="auto"/>
          <w:kern w:val="0"/>
          <w:sz w:val="24"/>
          <w:szCs w:val="24"/>
        </w:rPr>
        <w:t>2地表水环境</w:t>
      </w:r>
      <w:r>
        <w:rPr>
          <w:rFonts w:ascii="Times New Roman" w:hAnsi="Times New Roman" w:eastAsia="宋体" w:cs="Times New Roman"/>
          <w:b/>
          <w:color w:val="auto"/>
          <w:kern w:val="0"/>
          <w:sz w:val="24"/>
          <w:szCs w:val="24"/>
        </w:rPr>
        <w:t>质量现状调查与评价</w:t>
      </w:r>
    </w:p>
    <w:p w14:paraId="076821DF">
      <w:pPr>
        <w:keepNext/>
        <w:keepLines/>
        <w:spacing w:before="156" w:beforeLines="50" w:after="156" w:afterLines="50" w:line="360" w:lineRule="auto"/>
        <w:outlineLvl w:val="2"/>
        <w:rPr>
          <w:rFonts w:ascii="Times New Roman" w:hAnsi="Times New Roman" w:eastAsia="宋体" w:cs="Times New Roman"/>
          <w:b/>
          <w:color w:val="auto"/>
          <w:kern w:val="0"/>
          <w:sz w:val="24"/>
          <w:szCs w:val="24"/>
        </w:rPr>
      </w:pPr>
      <w:r>
        <w:rPr>
          <w:rFonts w:ascii="Times New Roman" w:hAnsi="Times New Roman" w:eastAsia="宋体" w:cs="Times New Roman"/>
          <w:b/>
          <w:color w:val="auto"/>
          <w:kern w:val="0"/>
          <w:sz w:val="24"/>
          <w:szCs w:val="24"/>
        </w:rPr>
        <w:t>5.</w:t>
      </w:r>
      <w:r>
        <w:rPr>
          <w:rFonts w:hint="eastAsia" w:ascii="Times New Roman" w:hAnsi="Times New Roman" w:eastAsia="宋体" w:cs="Times New Roman"/>
          <w:b/>
          <w:color w:val="auto"/>
          <w:kern w:val="0"/>
          <w:sz w:val="24"/>
          <w:szCs w:val="24"/>
        </w:rPr>
        <w:t>4</w:t>
      </w:r>
      <w:r>
        <w:rPr>
          <w:rFonts w:ascii="Times New Roman" w:hAnsi="Times New Roman" w:eastAsia="宋体" w:cs="Times New Roman"/>
          <w:b/>
          <w:color w:val="auto"/>
          <w:kern w:val="0"/>
          <w:sz w:val="24"/>
          <w:szCs w:val="24"/>
        </w:rPr>
        <w:t>.</w:t>
      </w:r>
      <w:r>
        <w:rPr>
          <w:rFonts w:hint="eastAsia" w:ascii="Times New Roman" w:hAnsi="Times New Roman" w:eastAsia="宋体" w:cs="Times New Roman"/>
          <w:b/>
          <w:color w:val="auto"/>
          <w:kern w:val="0"/>
          <w:sz w:val="24"/>
          <w:szCs w:val="24"/>
        </w:rPr>
        <w:t>2</w:t>
      </w:r>
      <w:r>
        <w:rPr>
          <w:rFonts w:ascii="Times New Roman" w:hAnsi="Times New Roman" w:eastAsia="宋体" w:cs="Times New Roman"/>
          <w:b/>
          <w:color w:val="auto"/>
          <w:kern w:val="0"/>
          <w:sz w:val="24"/>
          <w:szCs w:val="24"/>
        </w:rPr>
        <w:t>.1</w:t>
      </w:r>
      <w:r>
        <w:rPr>
          <w:rFonts w:hint="eastAsia" w:ascii="Times New Roman" w:hAnsi="Times New Roman" w:eastAsia="宋体" w:cs="Times New Roman"/>
          <w:b/>
          <w:color w:val="auto"/>
          <w:kern w:val="0"/>
          <w:sz w:val="24"/>
          <w:szCs w:val="24"/>
        </w:rPr>
        <w:t>达标区判定</w:t>
      </w:r>
    </w:p>
    <w:p w14:paraId="40E82AA0">
      <w:pPr>
        <w:spacing w:line="360" w:lineRule="auto"/>
        <w:ind w:firstLine="480" w:firstLineChars="200"/>
        <w:rPr>
          <w:rFonts w:ascii="Times New Roman" w:hAnsi="Times New Roman" w:eastAsia="宋体" w:cs="宋体"/>
          <w:color w:val="auto"/>
          <w:sz w:val="24"/>
          <w:szCs w:val="24"/>
        </w:rPr>
      </w:pPr>
      <w:r>
        <w:rPr>
          <w:rFonts w:hint="eastAsia" w:ascii="Times New Roman" w:hAnsi="Times New Roman" w:eastAsia="宋体" w:cs="宋体"/>
          <w:color w:val="auto"/>
          <w:sz w:val="24"/>
          <w:szCs w:val="24"/>
        </w:rPr>
        <w:t>为了解项目区域澧水水环境质量现状，本次评价收集了《常德市生态环境局关于2023年12月全市环境质量状况的通报》，2023年12月澧水窑坡渡段区域水质状况如下：</w:t>
      </w:r>
    </w:p>
    <w:p w14:paraId="1F2FF8EF">
      <w:pPr>
        <w:pStyle w:val="6"/>
        <w:bidi w:val="0"/>
      </w:pPr>
      <w:r>
        <w:rPr>
          <w:rFonts w:hint="eastAsia"/>
        </w:rPr>
        <w:t xml:space="preserve">表5.4.2-1 </w:t>
      </w:r>
      <w:r>
        <w:rPr>
          <w:rFonts w:hint="eastAsia"/>
          <w:lang w:val="en-US" w:eastAsia="zh-CN"/>
        </w:rPr>
        <w:t xml:space="preserve"> </w:t>
      </w:r>
      <w:r>
        <w:rPr>
          <w:rFonts w:hint="eastAsia"/>
        </w:rPr>
        <w:t>2023年12月津市段澧水干流水质状况</w:t>
      </w:r>
    </w:p>
    <w:tbl>
      <w:tblPr>
        <w:tblStyle w:val="41"/>
        <w:tblW w:w="8533" w:type="dxa"/>
        <w:tblInd w:w="93" w:type="dxa"/>
        <w:tblLayout w:type="fixed"/>
        <w:tblCellMar>
          <w:top w:w="0" w:type="dxa"/>
          <w:left w:w="108" w:type="dxa"/>
          <w:bottom w:w="0" w:type="dxa"/>
          <w:right w:w="108" w:type="dxa"/>
        </w:tblCellMar>
      </w:tblPr>
      <w:tblGrid>
        <w:gridCol w:w="448"/>
        <w:gridCol w:w="885"/>
        <w:gridCol w:w="1095"/>
        <w:gridCol w:w="877"/>
        <w:gridCol w:w="944"/>
        <w:gridCol w:w="1221"/>
        <w:gridCol w:w="825"/>
        <w:gridCol w:w="735"/>
        <w:gridCol w:w="1503"/>
      </w:tblGrid>
      <w:tr w14:paraId="51B8DBDE">
        <w:tblPrEx>
          <w:tblCellMar>
            <w:top w:w="0" w:type="dxa"/>
            <w:left w:w="108" w:type="dxa"/>
            <w:bottom w:w="0" w:type="dxa"/>
            <w:right w:w="108" w:type="dxa"/>
          </w:tblCellMar>
        </w:tblPrEx>
        <w:trPr>
          <w:trHeight w:val="645" w:hRule="atLeast"/>
        </w:trPr>
        <w:tc>
          <w:tcPr>
            <w:tcW w:w="448" w:type="dxa"/>
            <w:vMerge w:val="restart"/>
            <w:tcBorders>
              <w:top w:val="single" w:color="000000" w:sz="4" w:space="0"/>
              <w:left w:val="single" w:color="000000" w:sz="4" w:space="0"/>
              <w:bottom w:val="single" w:color="000000" w:sz="4" w:space="0"/>
              <w:right w:val="single" w:color="000000" w:sz="4" w:space="0"/>
            </w:tcBorders>
            <w:vAlign w:val="center"/>
          </w:tcPr>
          <w:p w14:paraId="0E6DB601">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序号</w:t>
            </w:r>
          </w:p>
        </w:tc>
        <w:tc>
          <w:tcPr>
            <w:tcW w:w="885" w:type="dxa"/>
            <w:vMerge w:val="restart"/>
            <w:tcBorders>
              <w:top w:val="single" w:color="000000" w:sz="4" w:space="0"/>
              <w:left w:val="single" w:color="000000" w:sz="4" w:space="0"/>
              <w:bottom w:val="single" w:color="000000" w:sz="4" w:space="0"/>
              <w:right w:val="single" w:color="000000" w:sz="4" w:space="0"/>
            </w:tcBorders>
            <w:vAlign w:val="center"/>
          </w:tcPr>
          <w:p w14:paraId="21EBFB4A">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所在或考核区县</w:t>
            </w:r>
          </w:p>
        </w:tc>
        <w:tc>
          <w:tcPr>
            <w:tcW w:w="1095" w:type="dxa"/>
            <w:vMerge w:val="restart"/>
            <w:tcBorders>
              <w:top w:val="single" w:color="000000" w:sz="4" w:space="0"/>
              <w:left w:val="single" w:color="000000" w:sz="4" w:space="0"/>
              <w:bottom w:val="single" w:color="000000" w:sz="4" w:space="0"/>
              <w:right w:val="single" w:color="000000" w:sz="4" w:space="0"/>
            </w:tcBorders>
            <w:vAlign w:val="center"/>
          </w:tcPr>
          <w:p w14:paraId="7513FED3">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河湖名称</w:t>
            </w:r>
          </w:p>
        </w:tc>
        <w:tc>
          <w:tcPr>
            <w:tcW w:w="877" w:type="dxa"/>
            <w:vMerge w:val="restart"/>
            <w:tcBorders>
              <w:top w:val="single" w:color="000000" w:sz="4" w:space="0"/>
              <w:left w:val="single" w:color="000000" w:sz="4" w:space="0"/>
              <w:bottom w:val="single" w:color="000000" w:sz="4" w:space="0"/>
              <w:right w:val="single" w:color="000000" w:sz="4" w:space="0"/>
            </w:tcBorders>
            <w:vAlign w:val="center"/>
          </w:tcPr>
          <w:p w14:paraId="1B23E6A8">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断面名称</w:t>
            </w:r>
          </w:p>
        </w:tc>
        <w:tc>
          <w:tcPr>
            <w:tcW w:w="944" w:type="dxa"/>
            <w:vMerge w:val="restart"/>
            <w:tcBorders>
              <w:top w:val="single" w:color="000000" w:sz="4" w:space="0"/>
              <w:left w:val="single" w:color="000000" w:sz="4" w:space="0"/>
              <w:bottom w:val="single" w:color="000000" w:sz="4" w:space="0"/>
              <w:right w:val="single" w:color="000000" w:sz="4" w:space="0"/>
            </w:tcBorders>
            <w:vAlign w:val="center"/>
          </w:tcPr>
          <w:p w14:paraId="4B547434">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断面属性</w:t>
            </w:r>
          </w:p>
        </w:tc>
        <w:tc>
          <w:tcPr>
            <w:tcW w:w="1221" w:type="dxa"/>
            <w:vMerge w:val="restart"/>
            <w:tcBorders>
              <w:top w:val="single" w:color="000000" w:sz="4" w:space="0"/>
              <w:left w:val="single" w:color="000000" w:sz="4" w:space="0"/>
              <w:bottom w:val="single" w:color="000000" w:sz="4" w:space="0"/>
              <w:right w:val="single" w:color="000000" w:sz="4" w:space="0"/>
            </w:tcBorders>
            <w:vAlign w:val="center"/>
          </w:tcPr>
          <w:p w14:paraId="01FAB913">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上月（季）水质类别</w:t>
            </w:r>
          </w:p>
        </w:tc>
        <w:tc>
          <w:tcPr>
            <w:tcW w:w="825" w:type="dxa"/>
            <w:vMerge w:val="restart"/>
            <w:tcBorders>
              <w:top w:val="single" w:color="000000" w:sz="4" w:space="0"/>
              <w:left w:val="single" w:color="000000" w:sz="4" w:space="0"/>
              <w:bottom w:val="single" w:color="000000" w:sz="4" w:space="0"/>
              <w:right w:val="single" w:color="000000" w:sz="4" w:space="0"/>
            </w:tcBorders>
            <w:vAlign w:val="center"/>
          </w:tcPr>
          <w:p w14:paraId="0A9ABAA3">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上年同期水质类别</w:t>
            </w:r>
          </w:p>
        </w:tc>
        <w:tc>
          <w:tcPr>
            <w:tcW w:w="2238" w:type="dxa"/>
            <w:gridSpan w:val="2"/>
            <w:tcBorders>
              <w:top w:val="single" w:color="000000" w:sz="4" w:space="0"/>
              <w:left w:val="single" w:color="000000" w:sz="4" w:space="0"/>
              <w:bottom w:val="single" w:color="000000" w:sz="4" w:space="0"/>
              <w:right w:val="single" w:color="000000" w:sz="4" w:space="0"/>
            </w:tcBorders>
            <w:vAlign w:val="center"/>
          </w:tcPr>
          <w:p w14:paraId="6CF6C38D">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2023年12月</w:t>
            </w:r>
          </w:p>
        </w:tc>
      </w:tr>
      <w:tr w14:paraId="3D425A3E">
        <w:tblPrEx>
          <w:tblCellMar>
            <w:top w:w="0" w:type="dxa"/>
            <w:left w:w="108" w:type="dxa"/>
            <w:bottom w:w="0" w:type="dxa"/>
            <w:right w:w="108" w:type="dxa"/>
          </w:tblCellMar>
        </w:tblPrEx>
        <w:trPr>
          <w:trHeight w:val="645" w:hRule="atLeast"/>
        </w:trPr>
        <w:tc>
          <w:tcPr>
            <w:tcW w:w="448" w:type="dxa"/>
            <w:vMerge w:val="continue"/>
            <w:tcBorders>
              <w:top w:val="single" w:color="000000" w:sz="4" w:space="0"/>
              <w:left w:val="single" w:color="000000" w:sz="4" w:space="0"/>
              <w:bottom w:val="single" w:color="000000" w:sz="4" w:space="0"/>
              <w:right w:val="single" w:color="000000" w:sz="4" w:space="0"/>
            </w:tcBorders>
            <w:vAlign w:val="center"/>
          </w:tcPr>
          <w:p w14:paraId="3BD7B4AE">
            <w:pPr>
              <w:jc w:val="center"/>
              <w:rPr>
                <w:rFonts w:ascii="Times New Roman" w:hAnsi="Times New Roman" w:eastAsia="宋体" w:cs="Times New Roman"/>
                <w:b/>
                <w:bCs/>
                <w:color w:val="auto"/>
                <w:szCs w:val="21"/>
              </w:rPr>
            </w:pPr>
          </w:p>
        </w:tc>
        <w:tc>
          <w:tcPr>
            <w:tcW w:w="885" w:type="dxa"/>
            <w:vMerge w:val="continue"/>
            <w:tcBorders>
              <w:top w:val="single" w:color="000000" w:sz="4" w:space="0"/>
              <w:left w:val="single" w:color="000000" w:sz="4" w:space="0"/>
              <w:bottom w:val="single" w:color="000000" w:sz="4" w:space="0"/>
              <w:right w:val="single" w:color="000000" w:sz="4" w:space="0"/>
            </w:tcBorders>
            <w:vAlign w:val="center"/>
          </w:tcPr>
          <w:p w14:paraId="5D3B59AA">
            <w:pPr>
              <w:jc w:val="center"/>
              <w:rPr>
                <w:rFonts w:ascii="Times New Roman" w:hAnsi="Times New Roman" w:eastAsia="宋体" w:cs="Times New Roman"/>
                <w:b/>
                <w:bCs/>
                <w:color w:val="auto"/>
                <w:szCs w:val="21"/>
              </w:rPr>
            </w:pPr>
          </w:p>
        </w:tc>
        <w:tc>
          <w:tcPr>
            <w:tcW w:w="1095" w:type="dxa"/>
            <w:vMerge w:val="continue"/>
            <w:tcBorders>
              <w:top w:val="single" w:color="000000" w:sz="4" w:space="0"/>
              <w:left w:val="single" w:color="000000" w:sz="4" w:space="0"/>
              <w:bottom w:val="single" w:color="000000" w:sz="4" w:space="0"/>
              <w:right w:val="single" w:color="000000" w:sz="4" w:space="0"/>
            </w:tcBorders>
            <w:vAlign w:val="center"/>
          </w:tcPr>
          <w:p w14:paraId="48EBC286">
            <w:pPr>
              <w:jc w:val="center"/>
              <w:rPr>
                <w:rFonts w:ascii="Times New Roman" w:hAnsi="Times New Roman" w:eastAsia="宋体" w:cs="Times New Roman"/>
                <w:b/>
                <w:bCs/>
                <w:color w:val="auto"/>
                <w:szCs w:val="21"/>
              </w:rPr>
            </w:pPr>
          </w:p>
        </w:tc>
        <w:tc>
          <w:tcPr>
            <w:tcW w:w="877" w:type="dxa"/>
            <w:vMerge w:val="continue"/>
            <w:tcBorders>
              <w:top w:val="single" w:color="000000" w:sz="4" w:space="0"/>
              <w:left w:val="single" w:color="000000" w:sz="4" w:space="0"/>
              <w:bottom w:val="single" w:color="000000" w:sz="4" w:space="0"/>
              <w:right w:val="single" w:color="000000" w:sz="4" w:space="0"/>
            </w:tcBorders>
            <w:vAlign w:val="center"/>
          </w:tcPr>
          <w:p w14:paraId="17925A83">
            <w:pPr>
              <w:jc w:val="center"/>
              <w:rPr>
                <w:rFonts w:ascii="Times New Roman" w:hAnsi="Times New Roman" w:eastAsia="宋体" w:cs="Times New Roman"/>
                <w:b/>
                <w:bCs/>
                <w:color w:val="auto"/>
                <w:szCs w:val="21"/>
              </w:rPr>
            </w:pPr>
          </w:p>
        </w:tc>
        <w:tc>
          <w:tcPr>
            <w:tcW w:w="944" w:type="dxa"/>
            <w:vMerge w:val="continue"/>
            <w:tcBorders>
              <w:top w:val="single" w:color="000000" w:sz="4" w:space="0"/>
              <w:left w:val="single" w:color="000000" w:sz="4" w:space="0"/>
              <w:bottom w:val="single" w:color="000000" w:sz="4" w:space="0"/>
              <w:right w:val="single" w:color="000000" w:sz="4" w:space="0"/>
            </w:tcBorders>
            <w:vAlign w:val="center"/>
          </w:tcPr>
          <w:p w14:paraId="64A7002C">
            <w:pPr>
              <w:jc w:val="center"/>
              <w:rPr>
                <w:rFonts w:ascii="Times New Roman" w:hAnsi="Times New Roman" w:eastAsia="宋体" w:cs="Times New Roman"/>
                <w:b/>
                <w:bCs/>
                <w:color w:val="auto"/>
                <w:szCs w:val="21"/>
              </w:rPr>
            </w:pPr>
          </w:p>
        </w:tc>
        <w:tc>
          <w:tcPr>
            <w:tcW w:w="1221" w:type="dxa"/>
            <w:vMerge w:val="continue"/>
            <w:tcBorders>
              <w:top w:val="single" w:color="000000" w:sz="4" w:space="0"/>
              <w:left w:val="single" w:color="000000" w:sz="4" w:space="0"/>
              <w:bottom w:val="single" w:color="000000" w:sz="4" w:space="0"/>
              <w:right w:val="single" w:color="000000" w:sz="4" w:space="0"/>
            </w:tcBorders>
            <w:vAlign w:val="center"/>
          </w:tcPr>
          <w:p w14:paraId="75BE74BE">
            <w:pPr>
              <w:jc w:val="center"/>
              <w:rPr>
                <w:rFonts w:ascii="Times New Roman" w:hAnsi="Times New Roman" w:eastAsia="宋体" w:cs="Times New Roman"/>
                <w:b/>
                <w:bCs/>
                <w:color w:val="auto"/>
                <w:szCs w:val="21"/>
              </w:rPr>
            </w:pPr>
          </w:p>
        </w:tc>
        <w:tc>
          <w:tcPr>
            <w:tcW w:w="825" w:type="dxa"/>
            <w:vMerge w:val="continue"/>
            <w:tcBorders>
              <w:top w:val="single" w:color="000000" w:sz="4" w:space="0"/>
              <w:left w:val="single" w:color="000000" w:sz="4" w:space="0"/>
              <w:bottom w:val="single" w:color="000000" w:sz="4" w:space="0"/>
              <w:right w:val="single" w:color="000000" w:sz="4" w:space="0"/>
            </w:tcBorders>
            <w:vAlign w:val="center"/>
          </w:tcPr>
          <w:p w14:paraId="26919848">
            <w:pPr>
              <w:jc w:val="center"/>
              <w:rPr>
                <w:rFonts w:ascii="Times New Roman" w:hAnsi="Times New Roman" w:eastAsia="宋体" w:cs="Times New Roman"/>
                <w:b/>
                <w:bCs/>
                <w:color w:val="auto"/>
                <w:szCs w:val="21"/>
              </w:rPr>
            </w:pPr>
          </w:p>
        </w:tc>
        <w:tc>
          <w:tcPr>
            <w:tcW w:w="735" w:type="dxa"/>
            <w:tcBorders>
              <w:top w:val="single" w:color="000000" w:sz="4" w:space="0"/>
              <w:left w:val="single" w:color="000000" w:sz="4" w:space="0"/>
              <w:bottom w:val="single" w:color="000000" w:sz="4" w:space="0"/>
              <w:right w:val="single" w:color="000000" w:sz="4" w:space="0"/>
            </w:tcBorders>
            <w:vAlign w:val="center"/>
          </w:tcPr>
          <w:p w14:paraId="3A8BD45A">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水质类别</w:t>
            </w:r>
          </w:p>
        </w:tc>
        <w:tc>
          <w:tcPr>
            <w:tcW w:w="1503" w:type="dxa"/>
            <w:tcBorders>
              <w:top w:val="single" w:color="000000" w:sz="4" w:space="0"/>
              <w:left w:val="single" w:color="000000" w:sz="4" w:space="0"/>
              <w:bottom w:val="single" w:color="000000" w:sz="4" w:space="0"/>
              <w:right w:val="single" w:color="000000" w:sz="4" w:space="0"/>
            </w:tcBorders>
            <w:vAlign w:val="center"/>
          </w:tcPr>
          <w:p w14:paraId="215E6481">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超Ⅲ类标准的指标浓度（超标倍数）</w:t>
            </w:r>
          </w:p>
        </w:tc>
      </w:tr>
      <w:tr w14:paraId="42CDB216">
        <w:tblPrEx>
          <w:tblCellMar>
            <w:top w:w="0" w:type="dxa"/>
            <w:left w:w="108" w:type="dxa"/>
            <w:bottom w:w="0" w:type="dxa"/>
            <w:right w:w="108" w:type="dxa"/>
          </w:tblCellMar>
        </w:tblPrEx>
        <w:trPr>
          <w:trHeight w:val="345" w:hRule="atLeast"/>
        </w:trPr>
        <w:tc>
          <w:tcPr>
            <w:tcW w:w="448" w:type="dxa"/>
            <w:tcBorders>
              <w:top w:val="single" w:color="000000" w:sz="4" w:space="0"/>
              <w:left w:val="single" w:color="000000" w:sz="4" w:space="0"/>
              <w:bottom w:val="single" w:color="000000" w:sz="4" w:space="0"/>
              <w:right w:val="single" w:color="000000" w:sz="4" w:space="0"/>
            </w:tcBorders>
            <w:vAlign w:val="center"/>
          </w:tcPr>
          <w:p w14:paraId="358CCAE6">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1</w:t>
            </w:r>
          </w:p>
        </w:tc>
        <w:tc>
          <w:tcPr>
            <w:tcW w:w="885" w:type="dxa"/>
            <w:tcBorders>
              <w:top w:val="single" w:color="000000" w:sz="4" w:space="0"/>
              <w:left w:val="single" w:color="000000" w:sz="4" w:space="0"/>
              <w:bottom w:val="single" w:color="000000" w:sz="4" w:space="0"/>
              <w:right w:val="single" w:color="000000" w:sz="4" w:space="0"/>
            </w:tcBorders>
            <w:vAlign w:val="center"/>
          </w:tcPr>
          <w:p w14:paraId="7550B33E">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津市市</w:t>
            </w:r>
          </w:p>
        </w:tc>
        <w:tc>
          <w:tcPr>
            <w:tcW w:w="1095" w:type="dxa"/>
            <w:tcBorders>
              <w:top w:val="single" w:color="000000" w:sz="4" w:space="0"/>
              <w:left w:val="single" w:color="000000" w:sz="4" w:space="0"/>
              <w:bottom w:val="single" w:color="000000" w:sz="4" w:space="0"/>
              <w:right w:val="single" w:color="000000" w:sz="4" w:space="0"/>
            </w:tcBorders>
            <w:vAlign w:val="center"/>
          </w:tcPr>
          <w:p w14:paraId="33F93B9F">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澧水干流</w:t>
            </w:r>
          </w:p>
        </w:tc>
        <w:tc>
          <w:tcPr>
            <w:tcW w:w="877" w:type="dxa"/>
            <w:tcBorders>
              <w:top w:val="single" w:color="000000" w:sz="4" w:space="0"/>
              <w:left w:val="single" w:color="000000" w:sz="4" w:space="0"/>
              <w:bottom w:val="single" w:color="000000" w:sz="4" w:space="0"/>
              <w:right w:val="single" w:color="000000" w:sz="4" w:space="0"/>
            </w:tcBorders>
            <w:vAlign w:val="center"/>
          </w:tcPr>
          <w:p w14:paraId="7B712464">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窑坡渡</w:t>
            </w:r>
          </w:p>
        </w:tc>
        <w:tc>
          <w:tcPr>
            <w:tcW w:w="944" w:type="dxa"/>
            <w:tcBorders>
              <w:top w:val="single" w:color="000000" w:sz="4" w:space="0"/>
              <w:left w:val="single" w:color="000000" w:sz="4" w:space="0"/>
              <w:bottom w:val="single" w:color="000000" w:sz="4" w:space="0"/>
              <w:right w:val="single" w:color="000000" w:sz="4" w:space="0"/>
            </w:tcBorders>
            <w:vAlign w:val="center"/>
          </w:tcPr>
          <w:p w14:paraId="3E8E042B">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国家考核</w:t>
            </w:r>
          </w:p>
        </w:tc>
        <w:tc>
          <w:tcPr>
            <w:tcW w:w="1221" w:type="dxa"/>
            <w:tcBorders>
              <w:top w:val="single" w:color="000000" w:sz="4" w:space="0"/>
              <w:left w:val="single" w:color="000000" w:sz="4" w:space="0"/>
              <w:bottom w:val="single" w:color="000000" w:sz="4" w:space="0"/>
              <w:right w:val="single" w:color="000000" w:sz="4" w:space="0"/>
            </w:tcBorders>
            <w:vAlign w:val="center"/>
          </w:tcPr>
          <w:p w14:paraId="6942B891">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Ⅱ</w:t>
            </w:r>
          </w:p>
        </w:tc>
        <w:tc>
          <w:tcPr>
            <w:tcW w:w="825" w:type="dxa"/>
            <w:tcBorders>
              <w:top w:val="single" w:color="000000" w:sz="4" w:space="0"/>
              <w:left w:val="single" w:color="000000" w:sz="4" w:space="0"/>
              <w:bottom w:val="single" w:color="000000" w:sz="4" w:space="0"/>
              <w:right w:val="single" w:color="000000" w:sz="4" w:space="0"/>
            </w:tcBorders>
            <w:vAlign w:val="center"/>
          </w:tcPr>
          <w:p w14:paraId="3FAF6F70">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Ⅱ</w:t>
            </w:r>
          </w:p>
        </w:tc>
        <w:tc>
          <w:tcPr>
            <w:tcW w:w="735" w:type="dxa"/>
            <w:tcBorders>
              <w:top w:val="single" w:color="000000" w:sz="4" w:space="0"/>
              <w:left w:val="single" w:color="000000" w:sz="4" w:space="0"/>
              <w:bottom w:val="single" w:color="000000" w:sz="4" w:space="0"/>
              <w:right w:val="single" w:color="000000" w:sz="4" w:space="0"/>
            </w:tcBorders>
            <w:vAlign w:val="center"/>
          </w:tcPr>
          <w:p w14:paraId="4852F095">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Ⅱ</w:t>
            </w:r>
          </w:p>
        </w:tc>
        <w:tc>
          <w:tcPr>
            <w:tcW w:w="1503" w:type="dxa"/>
            <w:tcBorders>
              <w:top w:val="single" w:color="000000" w:sz="4" w:space="0"/>
              <w:left w:val="single" w:color="000000" w:sz="4" w:space="0"/>
              <w:bottom w:val="single" w:color="000000" w:sz="4" w:space="0"/>
              <w:right w:val="single" w:color="000000" w:sz="4" w:space="0"/>
            </w:tcBorders>
            <w:vAlign w:val="center"/>
          </w:tcPr>
          <w:p w14:paraId="30E45640">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w:t>
            </w:r>
          </w:p>
        </w:tc>
      </w:tr>
    </w:tbl>
    <w:p w14:paraId="73C08C8E">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宋体"/>
          <w:color w:val="auto"/>
          <w:sz w:val="24"/>
          <w:szCs w:val="24"/>
        </w:rPr>
        <w:t>由上表统计结果可知，2023年12月津市段澧水干流水质均能满足《地表水环境质量标准》（GB3838-2002）Ⅲ类水质标准要求，区域地表水环境质量状况良好。</w:t>
      </w:r>
      <w:r>
        <w:rPr>
          <w:rFonts w:hint="eastAsia" w:ascii="Times New Roman" w:hAnsi="Times New Roman" w:eastAsia="宋体" w:cs="Times New Roman"/>
          <w:color w:val="auto"/>
          <w:sz w:val="24"/>
          <w:szCs w:val="24"/>
        </w:rPr>
        <w:t>因此，项目所在水环境控制单元为达标区。</w:t>
      </w:r>
    </w:p>
    <w:p w14:paraId="3CDD2729">
      <w:pPr>
        <w:spacing w:line="360" w:lineRule="auto"/>
        <w:ind w:firstLine="480" w:firstLineChars="200"/>
        <w:rPr>
          <w:rFonts w:ascii="Times New Roman" w:hAnsi="Times New Roman" w:eastAsia="宋体" w:cs="Times New Roman"/>
          <w:color w:val="FF0000"/>
          <w:sz w:val="24"/>
          <w:szCs w:val="24"/>
        </w:rPr>
      </w:pPr>
    </w:p>
    <w:p w14:paraId="1ED0A3A5">
      <w:pPr>
        <w:spacing w:line="360" w:lineRule="auto"/>
        <w:ind w:firstLine="480" w:firstLineChars="200"/>
        <w:rPr>
          <w:rFonts w:ascii="Times New Roman" w:hAnsi="Times New Roman" w:eastAsia="宋体" w:cs="宋体"/>
          <w:color w:val="FF0000"/>
          <w:sz w:val="24"/>
          <w:szCs w:val="24"/>
        </w:rPr>
        <w:sectPr>
          <w:pgSz w:w="11906" w:h="16838"/>
          <w:pgMar w:top="1440" w:right="1800" w:bottom="1440" w:left="1800" w:header="851" w:footer="992" w:gutter="0"/>
          <w:pgNumType w:fmt="numberInDash"/>
          <w:cols w:space="720" w:num="1"/>
          <w:docGrid w:type="lines" w:linePitch="312" w:charSpace="0"/>
        </w:sectPr>
      </w:pPr>
    </w:p>
    <w:p w14:paraId="6AF8658E">
      <w:pPr>
        <w:spacing w:line="360" w:lineRule="auto"/>
        <w:ind w:firstLine="480" w:firstLineChars="200"/>
        <w:rPr>
          <w:rFonts w:ascii="Times New Roman" w:hAnsi="Times New Roman" w:eastAsia="宋体" w:cs="宋体"/>
          <w:color w:val="auto"/>
          <w:sz w:val="24"/>
          <w:szCs w:val="24"/>
        </w:rPr>
      </w:pPr>
      <w:r>
        <w:rPr>
          <w:rFonts w:hint="eastAsia" w:ascii="Times New Roman" w:hAnsi="Times New Roman" w:eastAsia="宋体" w:cs="宋体"/>
          <w:color w:val="auto"/>
          <w:sz w:val="24"/>
          <w:szCs w:val="24"/>
        </w:rPr>
        <w:t>为了解项目区域地表水环境现状，本次评价收集了《WT2022-12-008津市高新技术开发区跟踪环境监测报告》中2022年12月对评价区域澧水（W1和W2）、团湖（W3和W4）、胥家湖（W5）的水温、pH、SS、COD（除W3外）、BOD5（除W3外）、氨氮、总磷、总氮、石油类、氟化物、氯化物、硫酸盐、氰化物、硫化物、阴离子表面活性剂、粪大肠菌群、甲苯、二甲苯、三氯甲烷、二氯甲烷、电导率、高锰酸盐指数、汞、砷、硒、铜、铅、镉、锌、镍、挥发酚、六价铬等因子的监测数据；收集了《津市高新技术产业开发区产业布局调整规划环境影响报告书》中委托湖南中测湘源检测有限公司于2022年12月18日~20日对评价区域澧水（W1和W2）、团湖（W3和W4）、胥家湖（W5）的石油类、铊、1，1-二氯乙烷、1，2-二氯乙烷、乙苯、四氯化碳等因子的监测数据。本次评价地表水监测断面布设详见下表。</w:t>
      </w:r>
    </w:p>
    <w:p w14:paraId="565CD7AB">
      <w:pPr>
        <w:pStyle w:val="6"/>
        <w:bidi w:val="0"/>
      </w:pPr>
      <w:r>
        <w:rPr>
          <w:rFonts w:hint="eastAsia"/>
        </w:rPr>
        <w:t>表5.4.2-2    地表水环境质量现状监测断面</w:t>
      </w:r>
    </w:p>
    <w:tbl>
      <w:tblPr>
        <w:tblStyle w:val="4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3"/>
        <w:gridCol w:w="4548"/>
        <w:gridCol w:w="5770"/>
        <w:gridCol w:w="2643"/>
      </w:tblGrid>
      <w:tr w14:paraId="0182D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28" w:type="pct"/>
            <w:vAlign w:val="center"/>
          </w:tcPr>
          <w:p w14:paraId="42CAA84B">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水体</w:t>
            </w:r>
          </w:p>
        </w:tc>
        <w:tc>
          <w:tcPr>
            <w:tcW w:w="1604" w:type="pct"/>
            <w:vAlign w:val="center"/>
          </w:tcPr>
          <w:p w14:paraId="73A711AC">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监测断面名称</w:t>
            </w:r>
          </w:p>
        </w:tc>
        <w:tc>
          <w:tcPr>
            <w:tcW w:w="2035" w:type="pct"/>
          </w:tcPr>
          <w:p w14:paraId="6B5DD7D0">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监测因子</w:t>
            </w:r>
          </w:p>
        </w:tc>
        <w:tc>
          <w:tcPr>
            <w:tcW w:w="932" w:type="pct"/>
          </w:tcPr>
          <w:p w14:paraId="0A2D28CC">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监测频次</w:t>
            </w:r>
          </w:p>
        </w:tc>
      </w:tr>
      <w:tr w14:paraId="5B578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28" w:type="pct"/>
            <w:vMerge w:val="restart"/>
            <w:vAlign w:val="center"/>
          </w:tcPr>
          <w:p w14:paraId="12D93C5F">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澧水</w:t>
            </w:r>
          </w:p>
        </w:tc>
        <w:tc>
          <w:tcPr>
            <w:tcW w:w="1604" w:type="pct"/>
            <w:vAlign w:val="center"/>
          </w:tcPr>
          <w:p w14:paraId="32EDD637">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W1：津市市工业污水处理厂排污口上游1000m</w:t>
            </w:r>
          </w:p>
        </w:tc>
        <w:tc>
          <w:tcPr>
            <w:tcW w:w="2035" w:type="pct"/>
            <w:vMerge w:val="restart"/>
            <w:vAlign w:val="center"/>
          </w:tcPr>
          <w:p w14:paraId="693FC8D1">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水温、pH值、溶解氧、五日生化需氧量（除W3外）、化学需氧量（除W3外）、硫化物、氨氮（以N计）、总磷（以P计）、氟化物（以F-计）、铬（六价）、氰化物、挥发性酚类（以苯酚计）、石油类、铜、锌、汞、镉、铅、铊、甲苯、二甲苯、二氯甲烷、1，1-二氯乙烷、1，2-二氯乙烷、三氯甲烷、乙苯、四氯化碳</w:t>
            </w:r>
          </w:p>
        </w:tc>
        <w:tc>
          <w:tcPr>
            <w:tcW w:w="932" w:type="pct"/>
            <w:vMerge w:val="restart"/>
            <w:vAlign w:val="center"/>
          </w:tcPr>
          <w:p w14:paraId="4F07F166">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连续监测3天</w:t>
            </w:r>
          </w:p>
          <w:p w14:paraId="7EC4B4C3">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/每天1次</w:t>
            </w:r>
          </w:p>
        </w:tc>
      </w:tr>
      <w:tr w14:paraId="00D0E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28" w:type="pct"/>
            <w:vMerge w:val="continue"/>
            <w:vAlign w:val="center"/>
          </w:tcPr>
          <w:p w14:paraId="48DA9BA4">
            <w:pPr>
              <w:jc w:val="center"/>
              <w:rPr>
                <w:rFonts w:ascii="Times New Roman" w:hAnsi="Times New Roman" w:eastAsia="宋体" w:cs="Times New Roman"/>
                <w:color w:val="auto"/>
                <w:szCs w:val="21"/>
              </w:rPr>
            </w:pPr>
          </w:p>
        </w:tc>
        <w:tc>
          <w:tcPr>
            <w:tcW w:w="1604" w:type="pct"/>
            <w:vAlign w:val="center"/>
          </w:tcPr>
          <w:p w14:paraId="0591D021">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W2：津市市工业污水处理厂排污口下游1400m</w:t>
            </w:r>
          </w:p>
        </w:tc>
        <w:tc>
          <w:tcPr>
            <w:tcW w:w="2035" w:type="pct"/>
            <w:vMerge w:val="continue"/>
          </w:tcPr>
          <w:p w14:paraId="45EA2488">
            <w:pPr>
              <w:jc w:val="center"/>
              <w:rPr>
                <w:rFonts w:ascii="Times New Roman" w:hAnsi="Times New Roman" w:eastAsia="宋体" w:cs="Times New Roman"/>
                <w:color w:val="auto"/>
                <w:szCs w:val="21"/>
              </w:rPr>
            </w:pPr>
          </w:p>
        </w:tc>
        <w:tc>
          <w:tcPr>
            <w:tcW w:w="932" w:type="pct"/>
            <w:vMerge w:val="continue"/>
            <w:vAlign w:val="center"/>
          </w:tcPr>
          <w:p w14:paraId="42884521">
            <w:pPr>
              <w:jc w:val="center"/>
              <w:rPr>
                <w:rFonts w:ascii="Times New Roman" w:hAnsi="Times New Roman" w:eastAsia="宋体" w:cs="Times New Roman"/>
                <w:color w:val="auto"/>
                <w:szCs w:val="21"/>
              </w:rPr>
            </w:pPr>
          </w:p>
        </w:tc>
      </w:tr>
      <w:tr w14:paraId="4B64E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28" w:type="pct"/>
            <w:vMerge w:val="restart"/>
            <w:vAlign w:val="center"/>
          </w:tcPr>
          <w:p w14:paraId="693B7119">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团湖</w:t>
            </w:r>
          </w:p>
        </w:tc>
        <w:tc>
          <w:tcPr>
            <w:tcW w:w="1604" w:type="pct"/>
            <w:vAlign w:val="center"/>
          </w:tcPr>
          <w:p w14:paraId="286EB476">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W3：团湖张家垱</w:t>
            </w:r>
          </w:p>
        </w:tc>
        <w:tc>
          <w:tcPr>
            <w:tcW w:w="2035" w:type="pct"/>
            <w:vMerge w:val="continue"/>
          </w:tcPr>
          <w:p w14:paraId="3A0DD2C8">
            <w:pPr>
              <w:jc w:val="center"/>
              <w:rPr>
                <w:rFonts w:ascii="Times New Roman" w:hAnsi="Times New Roman" w:eastAsia="宋体" w:cs="Times New Roman"/>
                <w:color w:val="auto"/>
                <w:szCs w:val="21"/>
              </w:rPr>
            </w:pPr>
          </w:p>
        </w:tc>
        <w:tc>
          <w:tcPr>
            <w:tcW w:w="932" w:type="pct"/>
            <w:vMerge w:val="continue"/>
            <w:vAlign w:val="center"/>
          </w:tcPr>
          <w:p w14:paraId="3F5C1A2C">
            <w:pPr>
              <w:jc w:val="center"/>
              <w:rPr>
                <w:rFonts w:ascii="Times New Roman" w:hAnsi="Times New Roman" w:eastAsia="宋体" w:cs="Times New Roman"/>
                <w:color w:val="auto"/>
                <w:szCs w:val="21"/>
              </w:rPr>
            </w:pPr>
          </w:p>
        </w:tc>
      </w:tr>
      <w:tr w14:paraId="3BB72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28" w:type="pct"/>
            <w:vMerge w:val="continue"/>
            <w:vAlign w:val="center"/>
          </w:tcPr>
          <w:p w14:paraId="796ADCFA">
            <w:pPr>
              <w:jc w:val="center"/>
              <w:rPr>
                <w:rFonts w:ascii="Times New Roman" w:hAnsi="Times New Roman" w:eastAsia="宋体" w:cs="Times New Roman"/>
                <w:color w:val="auto"/>
                <w:szCs w:val="21"/>
              </w:rPr>
            </w:pPr>
          </w:p>
        </w:tc>
        <w:tc>
          <w:tcPr>
            <w:tcW w:w="1604" w:type="pct"/>
            <w:vAlign w:val="center"/>
          </w:tcPr>
          <w:p w14:paraId="13AC4BCC">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W4：团湖易家垱</w:t>
            </w:r>
          </w:p>
        </w:tc>
        <w:tc>
          <w:tcPr>
            <w:tcW w:w="2035" w:type="pct"/>
            <w:vMerge w:val="continue"/>
          </w:tcPr>
          <w:p w14:paraId="53E49704">
            <w:pPr>
              <w:jc w:val="center"/>
              <w:rPr>
                <w:rFonts w:ascii="Times New Roman" w:hAnsi="Times New Roman" w:eastAsia="宋体" w:cs="Times New Roman"/>
                <w:color w:val="auto"/>
                <w:szCs w:val="21"/>
              </w:rPr>
            </w:pPr>
          </w:p>
        </w:tc>
        <w:tc>
          <w:tcPr>
            <w:tcW w:w="932" w:type="pct"/>
            <w:vMerge w:val="continue"/>
            <w:vAlign w:val="center"/>
          </w:tcPr>
          <w:p w14:paraId="0382605B">
            <w:pPr>
              <w:jc w:val="center"/>
              <w:rPr>
                <w:rFonts w:ascii="Times New Roman" w:hAnsi="Times New Roman" w:eastAsia="宋体" w:cs="Times New Roman"/>
                <w:color w:val="auto"/>
                <w:szCs w:val="21"/>
              </w:rPr>
            </w:pPr>
          </w:p>
        </w:tc>
      </w:tr>
      <w:tr w14:paraId="20EFE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28" w:type="pct"/>
            <w:vAlign w:val="center"/>
          </w:tcPr>
          <w:p w14:paraId="7C301468">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胥家湖</w:t>
            </w:r>
          </w:p>
        </w:tc>
        <w:tc>
          <w:tcPr>
            <w:tcW w:w="1604" w:type="pct"/>
            <w:vAlign w:val="center"/>
          </w:tcPr>
          <w:p w14:paraId="5B8BDBEE">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W5：胥家湖</w:t>
            </w:r>
          </w:p>
        </w:tc>
        <w:tc>
          <w:tcPr>
            <w:tcW w:w="2035" w:type="pct"/>
            <w:vMerge w:val="continue"/>
          </w:tcPr>
          <w:p w14:paraId="1F8126EF">
            <w:pPr>
              <w:jc w:val="center"/>
              <w:rPr>
                <w:rFonts w:ascii="Times New Roman" w:hAnsi="Times New Roman" w:eastAsia="宋体" w:cs="Times New Roman"/>
                <w:color w:val="auto"/>
                <w:szCs w:val="21"/>
              </w:rPr>
            </w:pPr>
          </w:p>
        </w:tc>
        <w:tc>
          <w:tcPr>
            <w:tcW w:w="932" w:type="pct"/>
            <w:vMerge w:val="continue"/>
            <w:vAlign w:val="center"/>
          </w:tcPr>
          <w:p w14:paraId="38BF60C3">
            <w:pPr>
              <w:jc w:val="center"/>
              <w:rPr>
                <w:rFonts w:ascii="Times New Roman" w:hAnsi="Times New Roman" w:eastAsia="宋体" w:cs="Times New Roman"/>
                <w:color w:val="auto"/>
                <w:szCs w:val="21"/>
              </w:rPr>
            </w:pPr>
          </w:p>
        </w:tc>
      </w:tr>
    </w:tbl>
    <w:p w14:paraId="2F57D93B">
      <w:pPr>
        <w:spacing w:line="360" w:lineRule="auto"/>
        <w:ind w:firstLine="480" w:firstLineChars="200"/>
        <w:rPr>
          <w:rFonts w:ascii="Times New Roman" w:hAnsi="Times New Roman" w:eastAsia="宋体" w:cs="宋体"/>
          <w:color w:val="auto"/>
          <w:sz w:val="24"/>
          <w:szCs w:val="24"/>
        </w:rPr>
      </w:pPr>
      <w:r>
        <w:rPr>
          <w:rFonts w:hint="eastAsia" w:ascii="Times New Roman" w:hAnsi="Times New Roman" w:eastAsia="宋体" w:cs="宋体"/>
          <w:color w:val="auto"/>
          <w:sz w:val="24"/>
          <w:szCs w:val="24"/>
        </w:rPr>
        <w:t>地表水现状监测结果统计与评价见下表。</w:t>
      </w:r>
    </w:p>
    <w:p w14:paraId="4F5CC0A1">
      <w:pPr>
        <w:spacing w:line="360" w:lineRule="auto"/>
        <w:ind w:firstLine="480" w:firstLineChars="200"/>
        <w:rPr>
          <w:rFonts w:ascii="Times New Roman" w:hAnsi="Times New Roman" w:eastAsia="宋体" w:cs="Times New Roman"/>
          <w:color w:val="auto"/>
          <w:sz w:val="24"/>
          <w:szCs w:val="24"/>
        </w:rPr>
        <w:sectPr>
          <w:pgSz w:w="16838" w:h="11906" w:orient="landscape"/>
          <w:pgMar w:top="1800" w:right="1440" w:bottom="1800" w:left="1440" w:header="851" w:footer="992" w:gutter="0"/>
          <w:pgNumType w:fmt="numberInDash"/>
          <w:cols w:space="720" w:num="1"/>
          <w:docGrid w:type="lines" w:linePitch="312" w:charSpace="0"/>
        </w:sectPr>
      </w:pPr>
    </w:p>
    <w:p w14:paraId="1605D8C8">
      <w:pPr>
        <w:pStyle w:val="6"/>
        <w:bidi w:val="0"/>
      </w:pPr>
      <w:r>
        <w:rPr>
          <w:rFonts w:hint="eastAsia"/>
        </w:rPr>
        <w:t>表5.4.2-3    地表水环境现状监测结果统计与评价 单位：mg/L</w:t>
      </w:r>
    </w:p>
    <w:tbl>
      <w:tblPr>
        <w:tblStyle w:val="4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5"/>
        <w:gridCol w:w="2824"/>
        <w:gridCol w:w="1886"/>
        <w:gridCol w:w="1886"/>
        <w:gridCol w:w="1180"/>
        <w:gridCol w:w="1642"/>
        <w:gridCol w:w="1188"/>
        <w:gridCol w:w="1188"/>
        <w:gridCol w:w="1189"/>
      </w:tblGrid>
      <w:tr w14:paraId="155DE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18" w:type="pct"/>
            <w:noWrap/>
            <w:vAlign w:val="center"/>
          </w:tcPr>
          <w:p w14:paraId="795A233B">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监测点位</w:t>
            </w:r>
          </w:p>
        </w:tc>
        <w:tc>
          <w:tcPr>
            <w:tcW w:w="996" w:type="pct"/>
            <w:noWrap/>
            <w:vAlign w:val="center"/>
          </w:tcPr>
          <w:p w14:paraId="12067F94">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监测项目</w:t>
            </w:r>
          </w:p>
        </w:tc>
        <w:tc>
          <w:tcPr>
            <w:tcW w:w="665" w:type="pct"/>
            <w:noWrap/>
            <w:vAlign w:val="center"/>
          </w:tcPr>
          <w:p w14:paraId="1E590F09">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浓度范围</w:t>
            </w:r>
          </w:p>
        </w:tc>
        <w:tc>
          <w:tcPr>
            <w:tcW w:w="665" w:type="pct"/>
            <w:noWrap/>
            <w:vAlign w:val="center"/>
          </w:tcPr>
          <w:p w14:paraId="59A27D92">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平均值</w:t>
            </w:r>
          </w:p>
        </w:tc>
        <w:tc>
          <w:tcPr>
            <w:tcW w:w="416" w:type="pct"/>
            <w:noWrap/>
            <w:vAlign w:val="center"/>
          </w:tcPr>
          <w:p w14:paraId="49B837CF">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标准限值</w:t>
            </w:r>
          </w:p>
        </w:tc>
        <w:tc>
          <w:tcPr>
            <w:tcW w:w="579" w:type="pct"/>
            <w:noWrap/>
            <w:vAlign w:val="center"/>
          </w:tcPr>
          <w:p w14:paraId="3B41DE03">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最大标准指数</w:t>
            </w:r>
          </w:p>
        </w:tc>
        <w:tc>
          <w:tcPr>
            <w:tcW w:w="419" w:type="pct"/>
            <w:noWrap/>
            <w:vAlign w:val="center"/>
          </w:tcPr>
          <w:p w14:paraId="68EEDC73">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超标率</w:t>
            </w:r>
          </w:p>
        </w:tc>
        <w:tc>
          <w:tcPr>
            <w:tcW w:w="419" w:type="pct"/>
            <w:noWrap/>
            <w:vAlign w:val="center"/>
          </w:tcPr>
          <w:p w14:paraId="2E8C0CEF">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超标倍数</w:t>
            </w:r>
          </w:p>
        </w:tc>
        <w:tc>
          <w:tcPr>
            <w:tcW w:w="419" w:type="pct"/>
            <w:noWrap/>
            <w:vAlign w:val="center"/>
          </w:tcPr>
          <w:p w14:paraId="4DD8E88B">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达标情况</w:t>
            </w:r>
          </w:p>
        </w:tc>
      </w:tr>
      <w:tr w14:paraId="10BFE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18" w:type="pct"/>
            <w:vMerge w:val="restart"/>
            <w:vAlign w:val="center"/>
          </w:tcPr>
          <w:p w14:paraId="4F6A024E">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W1：津市市工业污水处理厂</w:t>
            </w:r>
          </w:p>
          <w:p w14:paraId="30E73B69">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排污口上游1000m</w:t>
            </w:r>
          </w:p>
        </w:tc>
        <w:tc>
          <w:tcPr>
            <w:tcW w:w="996" w:type="pct"/>
            <w:noWrap/>
            <w:vAlign w:val="center"/>
          </w:tcPr>
          <w:p w14:paraId="31DEF327">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水温（℃）</w:t>
            </w:r>
          </w:p>
        </w:tc>
        <w:tc>
          <w:tcPr>
            <w:tcW w:w="665" w:type="pct"/>
            <w:noWrap/>
            <w:vAlign w:val="center"/>
          </w:tcPr>
          <w:p w14:paraId="5122E7FF">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14.2~16.3</w:t>
            </w:r>
          </w:p>
        </w:tc>
        <w:tc>
          <w:tcPr>
            <w:tcW w:w="665" w:type="pct"/>
            <w:noWrap/>
            <w:vAlign w:val="center"/>
          </w:tcPr>
          <w:p w14:paraId="432B10C1">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15.033</w:t>
            </w:r>
          </w:p>
        </w:tc>
        <w:tc>
          <w:tcPr>
            <w:tcW w:w="416" w:type="pct"/>
            <w:noWrap/>
            <w:vAlign w:val="center"/>
          </w:tcPr>
          <w:p w14:paraId="662EA443">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c>
          <w:tcPr>
            <w:tcW w:w="579" w:type="pct"/>
            <w:noWrap/>
            <w:vAlign w:val="center"/>
          </w:tcPr>
          <w:p w14:paraId="26608A9D">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c>
          <w:tcPr>
            <w:tcW w:w="419" w:type="pct"/>
            <w:noWrap/>
            <w:vAlign w:val="center"/>
          </w:tcPr>
          <w:p w14:paraId="60B26E91">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c>
          <w:tcPr>
            <w:tcW w:w="419" w:type="pct"/>
            <w:noWrap/>
            <w:vAlign w:val="center"/>
          </w:tcPr>
          <w:p w14:paraId="3848A018">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c>
          <w:tcPr>
            <w:tcW w:w="419" w:type="pct"/>
            <w:noWrap/>
            <w:vAlign w:val="center"/>
          </w:tcPr>
          <w:p w14:paraId="55329661">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r>
      <w:tr w14:paraId="4913A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18" w:type="pct"/>
            <w:vMerge w:val="continue"/>
            <w:vAlign w:val="center"/>
          </w:tcPr>
          <w:p w14:paraId="2C754A94">
            <w:pPr>
              <w:jc w:val="center"/>
              <w:rPr>
                <w:rFonts w:ascii="Times New Roman" w:hAnsi="Times New Roman" w:eastAsia="宋体" w:cs="Times New Roman"/>
                <w:color w:val="auto"/>
                <w:sz w:val="22"/>
                <w:szCs w:val="24"/>
              </w:rPr>
            </w:pPr>
          </w:p>
        </w:tc>
        <w:tc>
          <w:tcPr>
            <w:tcW w:w="996" w:type="pct"/>
            <w:noWrap/>
            <w:vAlign w:val="center"/>
          </w:tcPr>
          <w:p w14:paraId="2ABACABC">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流量（</w:t>
            </w:r>
            <w:r>
              <w:rPr>
                <w:rFonts w:hint="eastAsia" w:ascii="Times New Roman" w:hAnsi="Times New Roman" w:eastAsia="宋体" w:cs="Times New Roman"/>
                <w:color w:val="auto"/>
                <w:sz w:val="22"/>
                <w:szCs w:val="24"/>
                <w:lang w:eastAsia="zh-CN"/>
              </w:rPr>
              <w:t>m</w:t>
            </w:r>
            <w:r>
              <w:rPr>
                <w:rFonts w:hint="eastAsia" w:ascii="Times New Roman" w:hAnsi="Times New Roman" w:eastAsia="宋体" w:cs="Times New Roman"/>
                <w:color w:val="auto"/>
                <w:sz w:val="22"/>
                <w:szCs w:val="24"/>
                <w:vertAlign w:val="superscript"/>
                <w:lang w:eastAsia="zh-CN"/>
              </w:rPr>
              <w:t>3</w:t>
            </w:r>
            <w:r>
              <w:rPr>
                <w:rFonts w:hint="eastAsia" w:ascii="Times New Roman" w:hAnsi="Times New Roman" w:eastAsia="宋体" w:cs="Times New Roman"/>
                <w:color w:val="auto"/>
                <w:sz w:val="22"/>
                <w:szCs w:val="24"/>
              </w:rPr>
              <w:t>/s）</w:t>
            </w:r>
          </w:p>
        </w:tc>
        <w:tc>
          <w:tcPr>
            <w:tcW w:w="665" w:type="pct"/>
            <w:noWrap/>
            <w:vAlign w:val="center"/>
          </w:tcPr>
          <w:p w14:paraId="5B006643">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356400~388800</w:t>
            </w:r>
          </w:p>
        </w:tc>
        <w:tc>
          <w:tcPr>
            <w:tcW w:w="665" w:type="pct"/>
            <w:noWrap/>
            <w:vAlign w:val="center"/>
          </w:tcPr>
          <w:p w14:paraId="395FFB9F">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378000</w:t>
            </w:r>
          </w:p>
        </w:tc>
        <w:tc>
          <w:tcPr>
            <w:tcW w:w="416" w:type="pct"/>
            <w:noWrap/>
            <w:vAlign w:val="center"/>
          </w:tcPr>
          <w:p w14:paraId="3244D017">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c>
          <w:tcPr>
            <w:tcW w:w="579" w:type="pct"/>
            <w:noWrap/>
            <w:vAlign w:val="center"/>
          </w:tcPr>
          <w:p w14:paraId="14EFC738">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c>
          <w:tcPr>
            <w:tcW w:w="419" w:type="pct"/>
            <w:noWrap/>
            <w:vAlign w:val="center"/>
          </w:tcPr>
          <w:p w14:paraId="4DBA600C">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c>
          <w:tcPr>
            <w:tcW w:w="419" w:type="pct"/>
            <w:noWrap/>
            <w:vAlign w:val="center"/>
          </w:tcPr>
          <w:p w14:paraId="020388C0">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c>
          <w:tcPr>
            <w:tcW w:w="419" w:type="pct"/>
            <w:noWrap/>
            <w:vAlign w:val="center"/>
          </w:tcPr>
          <w:p w14:paraId="5CA1DFCD">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r>
      <w:tr w14:paraId="1AFC7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18" w:type="pct"/>
            <w:vMerge w:val="continue"/>
            <w:vAlign w:val="center"/>
          </w:tcPr>
          <w:p w14:paraId="1142707F">
            <w:pPr>
              <w:jc w:val="center"/>
              <w:rPr>
                <w:rFonts w:ascii="Times New Roman" w:hAnsi="Times New Roman" w:eastAsia="宋体" w:cs="Times New Roman"/>
                <w:color w:val="auto"/>
                <w:sz w:val="22"/>
                <w:szCs w:val="24"/>
              </w:rPr>
            </w:pPr>
          </w:p>
        </w:tc>
        <w:tc>
          <w:tcPr>
            <w:tcW w:w="996" w:type="pct"/>
            <w:noWrap/>
            <w:vAlign w:val="center"/>
          </w:tcPr>
          <w:p w14:paraId="3CE2762E">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流速（m/s）</w:t>
            </w:r>
          </w:p>
        </w:tc>
        <w:tc>
          <w:tcPr>
            <w:tcW w:w="665" w:type="pct"/>
            <w:noWrap/>
            <w:vAlign w:val="center"/>
          </w:tcPr>
          <w:p w14:paraId="56DC8579">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0.11~0.12</w:t>
            </w:r>
          </w:p>
        </w:tc>
        <w:tc>
          <w:tcPr>
            <w:tcW w:w="665" w:type="pct"/>
            <w:noWrap/>
            <w:vAlign w:val="center"/>
          </w:tcPr>
          <w:p w14:paraId="64F946BA">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0.117</w:t>
            </w:r>
          </w:p>
        </w:tc>
        <w:tc>
          <w:tcPr>
            <w:tcW w:w="416" w:type="pct"/>
            <w:noWrap/>
            <w:vAlign w:val="center"/>
          </w:tcPr>
          <w:p w14:paraId="4A1B2A42">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c>
          <w:tcPr>
            <w:tcW w:w="579" w:type="pct"/>
            <w:noWrap/>
            <w:vAlign w:val="center"/>
          </w:tcPr>
          <w:p w14:paraId="0F30F3E8">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c>
          <w:tcPr>
            <w:tcW w:w="419" w:type="pct"/>
            <w:noWrap/>
            <w:vAlign w:val="center"/>
          </w:tcPr>
          <w:p w14:paraId="6409BB29">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c>
          <w:tcPr>
            <w:tcW w:w="419" w:type="pct"/>
            <w:noWrap/>
            <w:vAlign w:val="center"/>
          </w:tcPr>
          <w:p w14:paraId="645DF05B">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c>
          <w:tcPr>
            <w:tcW w:w="419" w:type="pct"/>
            <w:noWrap/>
            <w:vAlign w:val="center"/>
          </w:tcPr>
          <w:p w14:paraId="02DAB272">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r>
      <w:tr w14:paraId="1B2BA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18" w:type="pct"/>
            <w:vMerge w:val="continue"/>
            <w:vAlign w:val="center"/>
          </w:tcPr>
          <w:p w14:paraId="6320B75F">
            <w:pPr>
              <w:jc w:val="center"/>
              <w:rPr>
                <w:rFonts w:ascii="Times New Roman" w:hAnsi="Times New Roman" w:eastAsia="宋体" w:cs="Times New Roman"/>
                <w:color w:val="auto"/>
                <w:sz w:val="22"/>
                <w:szCs w:val="24"/>
              </w:rPr>
            </w:pPr>
          </w:p>
        </w:tc>
        <w:tc>
          <w:tcPr>
            <w:tcW w:w="996" w:type="pct"/>
            <w:noWrap/>
            <w:vAlign w:val="center"/>
          </w:tcPr>
          <w:p w14:paraId="79279219">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河宽（m）</w:t>
            </w:r>
          </w:p>
        </w:tc>
        <w:tc>
          <w:tcPr>
            <w:tcW w:w="665" w:type="pct"/>
            <w:noWrap/>
            <w:vAlign w:val="center"/>
          </w:tcPr>
          <w:p w14:paraId="7E1CBA12">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200</w:t>
            </w:r>
          </w:p>
        </w:tc>
        <w:tc>
          <w:tcPr>
            <w:tcW w:w="665" w:type="pct"/>
            <w:noWrap/>
            <w:vAlign w:val="center"/>
          </w:tcPr>
          <w:p w14:paraId="2F1B4172">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200</w:t>
            </w:r>
          </w:p>
        </w:tc>
        <w:tc>
          <w:tcPr>
            <w:tcW w:w="416" w:type="pct"/>
            <w:noWrap/>
            <w:vAlign w:val="center"/>
          </w:tcPr>
          <w:p w14:paraId="43AA8476">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c>
          <w:tcPr>
            <w:tcW w:w="579" w:type="pct"/>
            <w:noWrap/>
            <w:vAlign w:val="center"/>
          </w:tcPr>
          <w:p w14:paraId="7FA878BB">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c>
          <w:tcPr>
            <w:tcW w:w="419" w:type="pct"/>
            <w:noWrap/>
            <w:vAlign w:val="center"/>
          </w:tcPr>
          <w:p w14:paraId="7D2CA447">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c>
          <w:tcPr>
            <w:tcW w:w="419" w:type="pct"/>
            <w:noWrap/>
            <w:vAlign w:val="center"/>
          </w:tcPr>
          <w:p w14:paraId="34A72BDC">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c>
          <w:tcPr>
            <w:tcW w:w="419" w:type="pct"/>
            <w:noWrap/>
            <w:vAlign w:val="center"/>
          </w:tcPr>
          <w:p w14:paraId="0C4A5856">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r>
      <w:tr w14:paraId="2A82D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18" w:type="pct"/>
            <w:vMerge w:val="continue"/>
            <w:vAlign w:val="center"/>
          </w:tcPr>
          <w:p w14:paraId="7459349F">
            <w:pPr>
              <w:jc w:val="center"/>
              <w:rPr>
                <w:rFonts w:ascii="Times New Roman" w:hAnsi="Times New Roman" w:eastAsia="宋体" w:cs="Times New Roman"/>
                <w:color w:val="auto"/>
                <w:sz w:val="22"/>
                <w:szCs w:val="24"/>
              </w:rPr>
            </w:pPr>
          </w:p>
        </w:tc>
        <w:tc>
          <w:tcPr>
            <w:tcW w:w="996" w:type="pct"/>
            <w:noWrap/>
            <w:vAlign w:val="center"/>
          </w:tcPr>
          <w:p w14:paraId="1D44A54F">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河深（m）</w:t>
            </w:r>
          </w:p>
        </w:tc>
        <w:tc>
          <w:tcPr>
            <w:tcW w:w="665" w:type="pct"/>
            <w:noWrap/>
            <w:vAlign w:val="center"/>
          </w:tcPr>
          <w:p w14:paraId="6D8690C0">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4.5</w:t>
            </w:r>
          </w:p>
        </w:tc>
        <w:tc>
          <w:tcPr>
            <w:tcW w:w="665" w:type="pct"/>
            <w:noWrap/>
            <w:vAlign w:val="center"/>
          </w:tcPr>
          <w:p w14:paraId="5E6C19C6">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4.5</w:t>
            </w:r>
          </w:p>
        </w:tc>
        <w:tc>
          <w:tcPr>
            <w:tcW w:w="416" w:type="pct"/>
            <w:noWrap/>
            <w:vAlign w:val="center"/>
          </w:tcPr>
          <w:p w14:paraId="74259CDD">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c>
          <w:tcPr>
            <w:tcW w:w="579" w:type="pct"/>
            <w:noWrap/>
            <w:vAlign w:val="center"/>
          </w:tcPr>
          <w:p w14:paraId="61FFC59E">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c>
          <w:tcPr>
            <w:tcW w:w="419" w:type="pct"/>
            <w:noWrap/>
            <w:vAlign w:val="center"/>
          </w:tcPr>
          <w:p w14:paraId="2C4D17A4">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c>
          <w:tcPr>
            <w:tcW w:w="419" w:type="pct"/>
            <w:noWrap/>
            <w:vAlign w:val="center"/>
          </w:tcPr>
          <w:p w14:paraId="2490AEDE">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c>
          <w:tcPr>
            <w:tcW w:w="419" w:type="pct"/>
            <w:noWrap/>
            <w:vAlign w:val="center"/>
          </w:tcPr>
          <w:p w14:paraId="5D914EA4">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r>
      <w:tr w14:paraId="21CD1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18" w:type="pct"/>
            <w:vMerge w:val="continue"/>
            <w:vAlign w:val="center"/>
          </w:tcPr>
          <w:p w14:paraId="791EE88B">
            <w:pPr>
              <w:jc w:val="center"/>
              <w:rPr>
                <w:rFonts w:ascii="Times New Roman" w:hAnsi="Times New Roman" w:eastAsia="宋体" w:cs="Times New Roman"/>
                <w:color w:val="auto"/>
                <w:sz w:val="22"/>
                <w:szCs w:val="24"/>
              </w:rPr>
            </w:pPr>
          </w:p>
        </w:tc>
        <w:tc>
          <w:tcPr>
            <w:tcW w:w="996" w:type="pct"/>
            <w:noWrap/>
            <w:vAlign w:val="center"/>
          </w:tcPr>
          <w:p w14:paraId="31CC1A3A">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pH值（无量纲）</w:t>
            </w:r>
          </w:p>
        </w:tc>
        <w:tc>
          <w:tcPr>
            <w:tcW w:w="665" w:type="pct"/>
            <w:noWrap/>
            <w:vAlign w:val="center"/>
          </w:tcPr>
          <w:p w14:paraId="7E16F51D">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7.3</w:t>
            </w:r>
          </w:p>
        </w:tc>
        <w:tc>
          <w:tcPr>
            <w:tcW w:w="665" w:type="pct"/>
            <w:noWrap/>
            <w:vAlign w:val="center"/>
          </w:tcPr>
          <w:p w14:paraId="51C655C4">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7.3</w:t>
            </w:r>
          </w:p>
        </w:tc>
        <w:tc>
          <w:tcPr>
            <w:tcW w:w="416" w:type="pct"/>
            <w:noWrap/>
            <w:vAlign w:val="center"/>
          </w:tcPr>
          <w:p w14:paraId="40D52056">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6~9</w:t>
            </w:r>
          </w:p>
        </w:tc>
        <w:tc>
          <w:tcPr>
            <w:tcW w:w="579" w:type="pct"/>
            <w:noWrap/>
            <w:vAlign w:val="center"/>
          </w:tcPr>
          <w:p w14:paraId="4B465ECE">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c>
          <w:tcPr>
            <w:tcW w:w="419" w:type="pct"/>
            <w:noWrap/>
            <w:vAlign w:val="center"/>
          </w:tcPr>
          <w:p w14:paraId="65AFDD53">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w:t>
            </w:r>
          </w:p>
        </w:tc>
        <w:tc>
          <w:tcPr>
            <w:tcW w:w="419" w:type="pct"/>
            <w:noWrap/>
            <w:vAlign w:val="center"/>
          </w:tcPr>
          <w:p w14:paraId="26CAA6D9">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w:t>
            </w:r>
          </w:p>
        </w:tc>
        <w:tc>
          <w:tcPr>
            <w:tcW w:w="419" w:type="pct"/>
            <w:noWrap/>
            <w:vAlign w:val="center"/>
          </w:tcPr>
          <w:p w14:paraId="476FA9AC">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达标</w:t>
            </w:r>
          </w:p>
        </w:tc>
      </w:tr>
      <w:tr w14:paraId="369E1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18" w:type="pct"/>
            <w:vMerge w:val="continue"/>
            <w:vAlign w:val="center"/>
          </w:tcPr>
          <w:p w14:paraId="5451904B">
            <w:pPr>
              <w:jc w:val="center"/>
              <w:rPr>
                <w:rFonts w:ascii="Times New Roman" w:hAnsi="Times New Roman" w:eastAsia="宋体" w:cs="Times New Roman"/>
                <w:color w:val="auto"/>
                <w:sz w:val="22"/>
                <w:szCs w:val="24"/>
              </w:rPr>
            </w:pPr>
          </w:p>
        </w:tc>
        <w:tc>
          <w:tcPr>
            <w:tcW w:w="996" w:type="pct"/>
            <w:noWrap/>
            <w:vAlign w:val="center"/>
          </w:tcPr>
          <w:p w14:paraId="581972D9">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溶解氧</w:t>
            </w:r>
          </w:p>
        </w:tc>
        <w:tc>
          <w:tcPr>
            <w:tcW w:w="665" w:type="pct"/>
            <w:noWrap/>
            <w:vAlign w:val="center"/>
          </w:tcPr>
          <w:p w14:paraId="6357D45C">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7.2~7.6</w:t>
            </w:r>
          </w:p>
        </w:tc>
        <w:tc>
          <w:tcPr>
            <w:tcW w:w="665" w:type="pct"/>
            <w:noWrap/>
            <w:vAlign w:val="center"/>
          </w:tcPr>
          <w:p w14:paraId="3B7AABFB">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7.4</w:t>
            </w:r>
          </w:p>
        </w:tc>
        <w:tc>
          <w:tcPr>
            <w:tcW w:w="416" w:type="pct"/>
            <w:noWrap/>
            <w:vAlign w:val="center"/>
          </w:tcPr>
          <w:p w14:paraId="6C249EDD">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≥5</w:t>
            </w:r>
          </w:p>
        </w:tc>
        <w:tc>
          <w:tcPr>
            <w:tcW w:w="579" w:type="pct"/>
            <w:noWrap/>
            <w:vAlign w:val="center"/>
          </w:tcPr>
          <w:p w14:paraId="53EF6697">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c>
          <w:tcPr>
            <w:tcW w:w="419" w:type="pct"/>
            <w:noWrap/>
            <w:vAlign w:val="center"/>
          </w:tcPr>
          <w:p w14:paraId="223F94AF">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w:t>
            </w:r>
          </w:p>
        </w:tc>
        <w:tc>
          <w:tcPr>
            <w:tcW w:w="419" w:type="pct"/>
            <w:noWrap/>
            <w:vAlign w:val="center"/>
          </w:tcPr>
          <w:p w14:paraId="7C37D1A4">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w:t>
            </w:r>
          </w:p>
        </w:tc>
        <w:tc>
          <w:tcPr>
            <w:tcW w:w="419" w:type="pct"/>
            <w:noWrap/>
            <w:vAlign w:val="center"/>
          </w:tcPr>
          <w:p w14:paraId="04727924">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达标</w:t>
            </w:r>
          </w:p>
        </w:tc>
      </w:tr>
      <w:tr w14:paraId="25EB7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18" w:type="pct"/>
            <w:vMerge w:val="continue"/>
            <w:vAlign w:val="center"/>
          </w:tcPr>
          <w:p w14:paraId="69FC00ED">
            <w:pPr>
              <w:jc w:val="center"/>
              <w:rPr>
                <w:rFonts w:ascii="Times New Roman" w:hAnsi="Times New Roman" w:eastAsia="宋体" w:cs="Times New Roman"/>
                <w:color w:val="auto"/>
                <w:sz w:val="22"/>
                <w:szCs w:val="24"/>
              </w:rPr>
            </w:pPr>
          </w:p>
        </w:tc>
        <w:tc>
          <w:tcPr>
            <w:tcW w:w="996" w:type="pct"/>
            <w:noWrap/>
            <w:vAlign w:val="center"/>
          </w:tcPr>
          <w:p w14:paraId="03BC74B8">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BOD5</w:t>
            </w:r>
          </w:p>
        </w:tc>
        <w:tc>
          <w:tcPr>
            <w:tcW w:w="665" w:type="pct"/>
            <w:noWrap/>
            <w:vAlign w:val="center"/>
          </w:tcPr>
          <w:p w14:paraId="6FD66A8B">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2.2</w:t>
            </w:r>
          </w:p>
        </w:tc>
        <w:tc>
          <w:tcPr>
            <w:tcW w:w="665" w:type="pct"/>
            <w:noWrap/>
            <w:vAlign w:val="center"/>
          </w:tcPr>
          <w:p w14:paraId="0FC23D14">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2.2</w:t>
            </w:r>
          </w:p>
        </w:tc>
        <w:tc>
          <w:tcPr>
            <w:tcW w:w="416" w:type="pct"/>
            <w:noWrap/>
            <w:vAlign w:val="center"/>
          </w:tcPr>
          <w:p w14:paraId="29ADCF01">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4</w:t>
            </w:r>
          </w:p>
        </w:tc>
        <w:tc>
          <w:tcPr>
            <w:tcW w:w="579" w:type="pct"/>
            <w:noWrap/>
            <w:vAlign w:val="center"/>
          </w:tcPr>
          <w:p w14:paraId="0BEB2FAF">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0.55</w:t>
            </w:r>
          </w:p>
        </w:tc>
        <w:tc>
          <w:tcPr>
            <w:tcW w:w="419" w:type="pct"/>
            <w:noWrap/>
            <w:vAlign w:val="center"/>
          </w:tcPr>
          <w:p w14:paraId="589109A4">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w:t>
            </w:r>
          </w:p>
        </w:tc>
        <w:tc>
          <w:tcPr>
            <w:tcW w:w="419" w:type="pct"/>
            <w:noWrap/>
            <w:vAlign w:val="center"/>
          </w:tcPr>
          <w:p w14:paraId="4F2BB3D7">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w:t>
            </w:r>
          </w:p>
        </w:tc>
        <w:tc>
          <w:tcPr>
            <w:tcW w:w="419" w:type="pct"/>
            <w:noWrap/>
            <w:vAlign w:val="center"/>
          </w:tcPr>
          <w:p w14:paraId="5A9F2216">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达标</w:t>
            </w:r>
          </w:p>
        </w:tc>
      </w:tr>
      <w:tr w14:paraId="74DBA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18" w:type="pct"/>
            <w:vMerge w:val="continue"/>
            <w:vAlign w:val="center"/>
          </w:tcPr>
          <w:p w14:paraId="5646438B">
            <w:pPr>
              <w:jc w:val="center"/>
              <w:rPr>
                <w:rFonts w:ascii="Times New Roman" w:hAnsi="Times New Roman" w:eastAsia="宋体" w:cs="Times New Roman"/>
                <w:color w:val="auto"/>
                <w:sz w:val="22"/>
                <w:szCs w:val="24"/>
              </w:rPr>
            </w:pPr>
          </w:p>
        </w:tc>
        <w:tc>
          <w:tcPr>
            <w:tcW w:w="996" w:type="pct"/>
            <w:noWrap/>
            <w:vAlign w:val="center"/>
          </w:tcPr>
          <w:p w14:paraId="609A0110">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COD</w:t>
            </w:r>
          </w:p>
        </w:tc>
        <w:tc>
          <w:tcPr>
            <w:tcW w:w="665" w:type="pct"/>
            <w:noWrap/>
            <w:vAlign w:val="center"/>
          </w:tcPr>
          <w:p w14:paraId="0F27AD4A">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14</w:t>
            </w:r>
          </w:p>
        </w:tc>
        <w:tc>
          <w:tcPr>
            <w:tcW w:w="665" w:type="pct"/>
            <w:noWrap/>
            <w:vAlign w:val="center"/>
          </w:tcPr>
          <w:p w14:paraId="002FA7A2">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14</w:t>
            </w:r>
          </w:p>
        </w:tc>
        <w:tc>
          <w:tcPr>
            <w:tcW w:w="416" w:type="pct"/>
            <w:noWrap/>
            <w:vAlign w:val="center"/>
          </w:tcPr>
          <w:p w14:paraId="3F3EAAB9">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20</w:t>
            </w:r>
          </w:p>
        </w:tc>
        <w:tc>
          <w:tcPr>
            <w:tcW w:w="579" w:type="pct"/>
            <w:noWrap/>
            <w:vAlign w:val="center"/>
          </w:tcPr>
          <w:p w14:paraId="62284FE0">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0.7</w:t>
            </w:r>
          </w:p>
        </w:tc>
        <w:tc>
          <w:tcPr>
            <w:tcW w:w="419" w:type="pct"/>
            <w:noWrap/>
            <w:vAlign w:val="center"/>
          </w:tcPr>
          <w:p w14:paraId="3F8D3657">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w:t>
            </w:r>
          </w:p>
        </w:tc>
        <w:tc>
          <w:tcPr>
            <w:tcW w:w="419" w:type="pct"/>
            <w:noWrap/>
            <w:vAlign w:val="center"/>
          </w:tcPr>
          <w:p w14:paraId="276A8C03">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w:t>
            </w:r>
          </w:p>
        </w:tc>
        <w:tc>
          <w:tcPr>
            <w:tcW w:w="419" w:type="pct"/>
            <w:noWrap/>
            <w:vAlign w:val="center"/>
          </w:tcPr>
          <w:p w14:paraId="3D8A11DA">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达标</w:t>
            </w:r>
          </w:p>
        </w:tc>
      </w:tr>
      <w:tr w14:paraId="2A339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18" w:type="pct"/>
            <w:vMerge w:val="continue"/>
            <w:vAlign w:val="center"/>
          </w:tcPr>
          <w:p w14:paraId="2A60FF6B">
            <w:pPr>
              <w:jc w:val="center"/>
              <w:rPr>
                <w:rFonts w:ascii="Times New Roman" w:hAnsi="Times New Roman" w:eastAsia="宋体" w:cs="Times New Roman"/>
                <w:color w:val="auto"/>
                <w:sz w:val="22"/>
                <w:szCs w:val="24"/>
              </w:rPr>
            </w:pPr>
          </w:p>
        </w:tc>
        <w:tc>
          <w:tcPr>
            <w:tcW w:w="996" w:type="pct"/>
            <w:noWrap/>
            <w:vAlign w:val="center"/>
          </w:tcPr>
          <w:p w14:paraId="663379DF">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硫化物</w:t>
            </w:r>
          </w:p>
        </w:tc>
        <w:tc>
          <w:tcPr>
            <w:tcW w:w="665" w:type="pct"/>
            <w:noWrap/>
            <w:vAlign w:val="center"/>
          </w:tcPr>
          <w:p w14:paraId="5FD73D39">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0.02</w:t>
            </w:r>
          </w:p>
        </w:tc>
        <w:tc>
          <w:tcPr>
            <w:tcW w:w="665" w:type="pct"/>
            <w:noWrap/>
            <w:vAlign w:val="center"/>
          </w:tcPr>
          <w:p w14:paraId="5F548C0C">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0.02</w:t>
            </w:r>
          </w:p>
        </w:tc>
        <w:tc>
          <w:tcPr>
            <w:tcW w:w="416" w:type="pct"/>
            <w:noWrap/>
            <w:vAlign w:val="center"/>
          </w:tcPr>
          <w:p w14:paraId="498D881E">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0.2</w:t>
            </w:r>
          </w:p>
        </w:tc>
        <w:tc>
          <w:tcPr>
            <w:tcW w:w="579" w:type="pct"/>
            <w:noWrap/>
            <w:vAlign w:val="center"/>
          </w:tcPr>
          <w:p w14:paraId="55ABC5FB">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0.1</w:t>
            </w:r>
          </w:p>
        </w:tc>
        <w:tc>
          <w:tcPr>
            <w:tcW w:w="419" w:type="pct"/>
            <w:noWrap/>
            <w:vAlign w:val="center"/>
          </w:tcPr>
          <w:p w14:paraId="39D71B48">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w:t>
            </w:r>
          </w:p>
        </w:tc>
        <w:tc>
          <w:tcPr>
            <w:tcW w:w="419" w:type="pct"/>
            <w:noWrap/>
            <w:vAlign w:val="center"/>
          </w:tcPr>
          <w:p w14:paraId="0C3E5E9E">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w:t>
            </w:r>
          </w:p>
        </w:tc>
        <w:tc>
          <w:tcPr>
            <w:tcW w:w="419" w:type="pct"/>
            <w:noWrap/>
            <w:vAlign w:val="center"/>
          </w:tcPr>
          <w:p w14:paraId="4FC0957C">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达标</w:t>
            </w:r>
          </w:p>
        </w:tc>
      </w:tr>
      <w:tr w14:paraId="02922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18" w:type="pct"/>
            <w:vMerge w:val="continue"/>
            <w:vAlign w:val="center"/>
          </w:tcPr>
          <w:p w14:paraId="18547B6E">
            <w:pPr>
              <w:jc w:val="center"/>
              <w:rPr>
                <w:rFonts w:ascii="Times New Roman" w:hAnsi="Times New Roman" w:eastAsia="宋体" w:cs="Times New Roman"/>
                <w:color w:val="auto"/>
                <w:sz w:val="22"/>
                <w:szCs w:val="24"/>
              </w:rPr>
            </w:pPr>
          </w:p>
        </w:tc>
        <w:tc>
          <w:tcPr>
            <w:tcW w:w="996" w:type="pct"/>
            <w:noWrap/>
            <w:vAlign w:val="center"/>
          </w:tcPr>
          <w:p w14:paraId="7C0FF583">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氨氮（以N计）</w:t>
            </w:r>
          </w:p>
        </w:tc>
        <w:tc>
          <w:tcPr>
            <w:tcW w:w="665" w:type="pct"/>
            <w:noWrap/>
            <w:vAlign w:val="center"/>
          </w:tcPr>
          <w:p w14:paraId="0B4A9888">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0.098</w:t>
            </w:r>
          </w:p>
        </w:tc>
        <w:tc>
          <w:tcPr>
            <w:tcW w:w="665" w:type="pct"/>
            <w:noWrap/>
            <w:vAlign w:val="center"/>
          </w:tcPr>
          <w:p w14:paraId="47CA4949">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0.098</w:t>
            </w:r>
          </w:p>
        </w:tc>
        <w:tc>
          <w:tcPr>
            <w:tcW w:w="416" w:type="pct"/>
            <w:noWrap/>
            <w:vAlign w:val="center"/>
          </w:tcPr>
          <w:p w14:paraId="366A51FB">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1</w:t>
            </w:r>
          </w:p>
        </w:tc>
        <w:tc>
          <w:tcPr>
            <w:tcW w:w="579" w:type="pct"/>
            <w:noWrap/>
            <w:vAlign w:val="center"/>
          </w:tcPr>
          <w:p w14:paraId="27D7E992">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0.098</w:t>
            </w:r>
          </w:p>
        </w:tc>
        <w:tc>
          <w:tcPr>
            <w:tcW w:w="419" w:type="pct"/>
            <w:noWrap/>
            <w:vAlign w:val="center"/>
          </w:tcPr>
          <w:p w14:paraId="21284249">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w:t>
            </w:r>
          </w:p>
        </w:tc>
        <w:tc>
          <w:tcPr>
            <w:tcW w:w="419" w:type="pct"/>
            <w:noWrap/>
            <w:vAlign w:val="center"/>
          </w:tcPr>
          <w:p w14:paraId="20839F7F">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w:t>
            </w:r>
          </w:p>
        </w:tc>
        <w:tc>
          <w:tcPr>
            <w:tcW w:w="419" w:type="pct"/>
            <w:noWrap/>
            <w:vAlign w:val="center"/>
          </w:tcPr>
          <w:p w14:paraId="748A8EB8">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达标</w:t>
            </w:r>
          </w:p>
        </w:tc>
      </w:tr>
      <w:tr w14:paraId="33E50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18" w:type="pct"/>
            <w:vMerge w:val="continue"/>
            <w:vAlign w:val="center"/>
          </w:tcPr>
          <w:p w14:paraId="3B51CDB6">
            <w:pPr>
              <w:jc w:val="center"/>
              <w:rPr>
                <w:rFonts w:ascii="Times New Roman" w:hAnsi="Times New Roman" w:eastAsia="宋体" w:cs="Times New Roman"/>
                <w:color w:val="auto"/>
                <w:sz w:val="22"/>
                <w:szCs w:val="24"/>
              </w:rPr>
            </w:pPr>
          </w:p>
        </w:tc>
        <w:tc>
          <w:tcPr>
            <w:tcW w:w="996" w:type="pct"/>
            <w:noWrap/>
            <w:vAlign w:val="center"/>
          </w:tcPr>
          <w:p w14:paraId="4C4D9822">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总磷（以N计）</w:t>
            </w:r>
          </w:p>
        </w:tc>
        <w:tc>
          <w:tcPr>
            <w:tcW w:w="665" w:type="pct"/>
            <w:noWrap/>
            <w:vAlign w:val="center"/>
          </w:tcPr>
          <w:p w14:paraId="57D2391A">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0.19</w:t>
            </w:r>
          </w:p>
        </w:tc>
        <w:tc>
          <w:tcPr>
            <w:tcW w:w="665" w:type="pct"/>
            <w:noWrap/>
            <w:vAlign w:val="center"/>
          </w:tcPr>
          <w:p w14:paraId="36E571BD">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0.19</w:t>
            </w:r>
          </w:p>
        </w:tc>
        <w:tc>
          <w:tcPr>
            <w:tcW w:w="416" w:type="pct"/>
            <w:noWrap/>
            <w:vAlign w:val="center"/>
          </w:tcPr>
          <w:p w14:paraId="1B492A97">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0.2</w:t>
            </w:r>
          </w:p>
        </w:tc>
        <w:tc>
          <w:tcPr>
            <w:tcW w:w="579" w:type="pct"/>
            <w:noWrap/>
            <w:vAlign w:val="center"/>
          </w:tcPr>
          <w:p w14:paraId="60F3AEE8">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0.95</w:t>
            </w:r>
          </w:p>
        </w:tc>
        <w:tc>
          <w:tcPr>
            <w:tcW w:w="419" w:type="pct"/>
            <w:noWrap/>
            <w:vAlign w:val="center"/>
          </w:tcPr>
          <w:p w14:paraId="7F89E221">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w:t>
            </w:r>
          </w:p>
        </w:tc>
        <w:tc>
          <w:tcPr>
            <w:tcW w:w="419" w:type="pct"/>
            <w:noWrap/>
            <w:vAlign w:val="center"/>
          </w:tcPr>
          <w:p w14:paraId="67B502BF">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w:t>
            </w:r>
          </w:p>
        </w:tc>
        <w:tc>
          <w:tcPr>
            <w:tcW w:w="419" w:type="pct"/>
            <w:noWrap/>
            <w:vAlign w:val="center"/>
          </w:tcPr>
          <w:p w14:paraId="263755D8">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达标</w:t>
            </w:r>
          </w:p>
        </w:tc>
      </w:tr>
      <w:tr w14:paraId="2ACBE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18" w:type="pct"/>
            <w:vMerge w:val="continue"/>
            <w:vAlign w:val="center"/>
          </w:tcPr>
          <w:p w14:paraId="7556B0E5">
            <w:pPr>
              <w:jc w:val="center"/>
              <w:rPr>
                <w:rFonts w:ascii="Times New Roman" w:hAnsi="Times New Roman" w:eastAsia="宋体" w:cs="Times New Roman"/>
                <w:color w:val="auto"/>
                <w:sz w:val="22"/>
                <w:szCs w:val="24"/>
              </w:rPr>
            </w:pPr>
          </w:p>
        </w:tc>
        <w:tc>
          <w:tcPr>
            <w:tcW w:w="996" w:type="pct"/>
            <w:noWrap/>
            <w:vAlign w:val="center"/>
          </w:tcPr>
          <w:p w14:paraId="19CD496A">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氟化物（以F-计）</w:t>
            </w:r>
          </w:p>
        </w:tc>
        <w:tc>
          <w:tcPr>
            <w:tcW w:w="665" w:type="pct"/>
            <w:noWrap/>
            <w:vAlign w:val="center"/>
          </w:tcPr>
          <w:p w14:paraId="738623AC">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0.137</w:t>
            </w:r>
          </w:p>
        </w:tc>
        <w:tc>
          <w:tcPr>
            <w:tcW w:w="665" w:type="pct"/>
            <w:noWrap/>
            <w:vAlign w:val="center"/>
          </w:tcPr>
          <w:p w14:paraId="7C137837">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0.137</w:t>
            </w:r>
          </w:p>
        </w:tc>
        <w:tc>
          <w:tcPr>
            <w:tcW w:w="416" w:type="pct"/>
            <w:noWrap/>
            <w:vAlign w:val="center"/>
          </w:tcPr>
          <w:p w14:paraId="11F7C434">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1</w:t>
            </w:r>
          </w:p>
        </w:tc>
        <w:tc>
          <w:tcPr>
            <w:tcW w:w="579" w:type="pct"/>
            <w:noWrap/>
            <w:vAlign w:val="center"/>
          </w:tcPr>
          <w:p w14:paraId="692EB9DB">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0.137</w:t>
            </w:r>
          </w:p>
        </w:tc>
        <w:tc>
          <w:tcPr>
            <w:tcW w:w="419" w:type="pct"/>
            <w:noWrap/>
            <w:vAlign w:val="center"/>
          </w:tcPr>
          <w:p w14:paraId="409D04E3">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w:t>
            </w:r>
          </w:p>
        </w:tc>
        <w:tc>
          <w:tcPr>
            <w:tcW w:w="419" w:type="pct"/>
            <w:noWrap/>
            <w:vAlign w:val="center"/>
          </w:tcPr>
          <w:p w14:paraId="62D15BBE">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w:t>
            </w:r>
          </w:p>
        </w:tc>
        <w:tc>
          <w:tcPr>
            <w:tcW w:w="419" w:type="pct"/>
            <w:noWrap/>
            <w:vAlign w:val="center"/>
          </w:tcPr>
          <w:p w14:paraId="14B97BB7">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达标</w:t>
            </w:r>
          </w:p>
        </w:tc>
      </w:tr>
      <w:tr w14:paraId="3314A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18" w:type="pct"/>
            <w:vMerge w:val="continue"/>
            <w:vAlign w:val="center"/>
          </w:tcPr>
          <w:p w14:paraId="6A6A40AB">
            <w:pPr>
              <w:jc w:val="center"/>
              <w:rPr>
                <w:rFonts w:ascii="Times New Roman" w:hAnsi="Times New Roman" w:eastAsia="宋体" w:cs="Times New Roman"/>
                <w:color w:val="auto"/>
                <w:sz w:val="22"/>
                <w:szCs w:val="24"/>
              </w:rPr>
            </w:pPr>
          </w:p>
        </w:tc>
        <w:tc>
          <w:tcPr>
            <w:tcW w:w="996" w:type="pct"/>
            <w:noWrap/>
            <w:vAlign w:val="center"/>
          </w:tcPr>
          <w:p w14:paraId="093FE2E0">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铬（六价）</w:t>
            </w:r>
          </w:p>
        </w:tc>
        <w:tc>
          <w:tcPr>
            <w:tcW w:w="665" w:type="pct"/>
            <w:noWrap/>
            <w:vAlign w:val="center"/>
          </w:tcPr>
          <w:p w14:paraId="72EF5D6D">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0.004</w:t>
            </w:r>
          </w:p>
        </w:tc>
        <w:tc>
          <w:tcPr>
            <w:tcW w:w="665" w:type="pct"/>
            <w:noWrap/>
            <w:vAlign w:val="center"/>
          </w:tcPr>
          <w:p w14:paraId="63E00553">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0.004</w:t>
            </w:r>
          </w:p>
        </w:tc>
        <w:tc>
          <w:tcPr>
            <w:tcW w:w="416" w:type="pct"/>
            <w:noWrap/>
            <w:vAlign w:val="center"/>
          </w:tcPr>
          <w:p w14:paraId="24391C31">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0.05</w:t>
            </w:r>
          </w:p>
        </w:tc>
        <w:tc>
          <w:tcPr>
            <w:tcW w:w="579" w:type="pct"/>
            <w:noWrap/>
            <w:vAlign w:val="center"/>
          </w:tcPr>
          <w:p w14:paraId="3DFB51E0">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0.08</w:t>
            </w:r>
          </w:p>
        </w:tc>
        <w:tc>
          <w:tcPr>
            <w:tcW w:w="419" w:type="pct"/>
            <w:noWrap/>
            <w:vAlign w:val="center"/>
          </w:tcPr>
          <w:p w14:paraId="6D80E28D">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w:t>
            </w:r>
          </w:p>
        </w:tc>
        <w:tc>
          <w:tcPr>
            <w:tcW w:w="419" w:type="pct"/>
            <w:noWrap/>
            <w:vAlign w:val="center"/>
          </w:tcPr>
          <w:p w14:paraId="048035CF">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w:t>
            </w:r>
          </w:p>
        </w:tc>
        <w:tc>
          <w:tcPr>
            <w:tcW w:w="419" w:type="pct"/>
            <w:noWrap/>
            <w:vAlign w:val="center"/>
          </w:tcPr>
          <w:p w14:paraId="459CFFF8">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达标</w:t>
            </w:r>
          </w:p>
        </w:tc>
      </w:tr>
      <w:tr w14:paraId="7102C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18" w:type="pct"/>
            <w:vMerge w:val="continue"/>
            <w:vAlign w:val="center"/>
          </w:tcPr>
          <w:p w14:paraId="3A970D86">
            <w:pPr>
              <w:jc w:val="center"/>
              <w:rPr>
                <w:rFonts w:ascii="Times New Roman" w:hAnsi="Times New Roman" w:eastAsia="宋体" w:cs="Times New Roman"/>
                <w:color w:val="auto"/>
                <w:sz w:val="22"/>
                <w:szCs w:val="24"/>
              </w:rPr>
            </w:pPr>
          </w:p>
        </w:tc>
        <w:tc>
          <w:tcPr>
            <w:tcW w:w="996" w:type="pct"/>
            <w:noWrap/>
            <w:vAlign w:val="center"/>
          </w:tcPr>
          <w:p w14:paraId="4FEE9503">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氰化物</w:t>
            </w:r>
          </w:p>
        </w:tc>
        <w:tc>
          <w:tcPr>
            <w:tcW w:w="665" w:type="pct"/>
            <w:noWrap/>
            <w:vAlign w:val="center"/>
          </w:tcPr>
          <w:p w14:paraId="0ED76AEF">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0.004</w:t>
            </w:r>
          </w:p>
        </w:tc>
        <w:tc>
          <w:tcPr>
            <w:tcW w:w="665" w:type="pct"/>
            <w:noWrap/>
            <w:vAlign w:val="center"/>
          </w:tcPr>
          <w:p w14:paraId="792E1A4D">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0.004</w:t>
            </w:r>
          </w:p>
        </w:tc>
        <w:tc>
          <w:tcPr>
            <w:tcW w:w="416" w:type="pct"/>
            <w:noWrap/>
            <w:vAlign w:val="center"/>
          </w:tcPr>
          <w:p w14:paraId="78B4071D">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0.2</w:t>
            </w:r>
          </w:p>
        </w:tc>
        <w:tc>
          <w:tcPr>
            <w:tcW w:w="579" w:type="pct"/>
            <w:noWrap/>
            <w:vAlign w:val="center"/>
          </w:tcPr>
          <w:p w14:paraId="2D81C937">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0.02</w:t>
            </w:r>
          </w:p>
        </w:tc>
        <w:tc>
          <w:tcPr>
            <w:tcW w:w="419" w:type="pct"/>
            <w:noWrap/>
            <w:vAlign w:val="center"/>
          </w:tcPr>
          <w:p w14:paraId="67110930">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w:t>
            </w:r>
          </w:p>
        </w:tc>
        <w:tc>
          <w:tcPr>
            <w:tcW w:w="419" w:type="pct"/>
            <w:noWrap/>
            <w:vAlign w:val="center"/>
          </w:tcPr>
          <w:p w14:paraId="139A57D9">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w:t>
            </w:r>
          </w:p>
        </w:tc>
        <w:tc>
          <w:tcPr>
            <w:tcW w:w="419" w:type="pct"/>
            <w:noWrap/>
            <w:vAlign w:val="center"/>
          </w:tcPr>
          <w:p w14:paraId="2328D868">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达标</w:t>
            </w:r>
          </w:p>
        </w:tc>
      </w:tr>
      <w:tr w14:paraId="01670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18" w:type="pct"/>
            <w:vMerge w:val="continue"/>
            <w:vAlign w:val="center"/>
          </w:tcPr>
          <w:p w14:paraId="1288E978">
            <w:pPr>
              <w:jc w:val="center"/>
              <w:rPr>
                <w:rFonts w:ascii="Times New Roman" w:hAnsi="Times New Roman" w:eastAsia="宋体" w:cs="Times New Roman"/>
                <w:color w:val="auto"/>
                <w:sz w:val="22"/>
                <w:szCs w:val="24"/>
              </w:rPr>
            </w:pPr>
          </w:p>
        </w:tc>
        <w:tc>
          <w:tcPr>
            <w:tcW w:w="996" w:type="pct"/>
            <w:noWrap/>
            <w:vAlign w:val="center"/>
          </w:tcPr>
          <w:p w14:paraId="29716202">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挥发性酚类（以苯酚计）</w:t>
            </w:r>
          </w:p>
        </w:tc>
        <w:tc>
          <w:tcPr>
            <w:tcW w:w="665" w:type="pct"/>
            <w:noWrap/>
            <w:vAlign w:val="center"/>
          </w:tcPr>
          <w:p w14:paraId="7DC9B027">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0.0006</w:t>
            </w:r>
          </w:p>
        </w:tc>
        <w:tc>
          <w:tcPr>
            <w:tcW w:w="665" w:type="pct"/>
            <w:noWrap/>
            <w:vAlign w:val="center"/>
          </w:tcPr>
          <w:p w14:paraId="3D77C8AC">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0.0006</w:t>
            </w:r>
          </w:p>
        </w:tc>
        <w:tc>
          <w:tcPr>
            <w:tcW w:w="416" w:type="pct"/>
            <w:noWrap/>
            <w:vAlign w:val="center"/>
          </w:tcPr>
          <w:p w14:paraId="375A35BE">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0.005</w:t>
            </w:r>
          </w:p>
        </w:tc>
        <w:tc>
          <w:tcPr>
            <w:tcW w:w="579" w:type="pct"/>
            <w:noWrap/>
            <w:vAlign w:val="center"/>
          </w:tcPr>
          <w:p w14:paraId="1ACC89E6">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0.12</w:t>
            </w:r>
          </w:p>
        </w:tc>
        <w:tc>
          <w:tcPr>
            <w:tcW w:w="419" w:type="pct"/>
            <w:noWrap/>
            <w:vAlign w:val="center"/>
          </w:tcPr>
          <w:p w14:paraId="33D30829">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w:t>
            </w:r>
          </w:p>
        </w:tc>
        <w:tc>
          <w:tcPr>
            <w:tcW w:w="419" w:type="pct"/>
            <w:noWrap/>
            <w:vAlign w:val="center"/>
          </w:tcPr>
          <w:p w14:paraId="41ECCAEF">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w:t>
            </w:r>
          </w:p>
        </w:tc>
        <w:tc>
          <w:tcPr>
            <w:tcW w:w="419" w:type="pct"/>
            <w:noWrap/>
            <w:vAlign w:val="center"/>
          </w:tcPr>
          <w:p w14:paraId="34321BF3">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达标</w:t>
            </w:r>
          </w:p>
        </w:tc>
      </w:tr>
      <w:tr w14:paraId="69277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18" w:type="pct"/>
            <w:vMerge w:val="continue"/>
            <w:vAlign w:val="center"/>
          </w:tcPr>
          <w:p w14:paraId="696C620B">
            <w:pPr>
              <w:jc w:val="center"/>
              <w:rPr>
                <w:rFonts w:ascii="Times New Roman" w:hAnsi="Times New Roman" w:eastAsia="宋体" w:cs="Times New Roman"/>
                <w:color w:val="auto"/>
                <w:sz w:val="22"/>
                <w:szCs w:val="24"/>
              </w:rPr>
            </w:pPr>
          </w:p>
        </w:tc>
        <w:tc>
          <w:tcPr>
            <w:tcW w:w="996" w:type="pct"/>
            <w:noWrap/>
            <w:vAlign w:val="center"/>
          </w:tcPr>
          <w:p w14:paraId="7DFA3448">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铜</w:t>
            </w:r>
          </w:p>
        </w:tc>
        <w:tc>
          <w:tcPr>
            <w:tcW w:w="665" w:type="pct"/>
            <w:noWrap/>
            <w:vAlign w:val="center"/>
          </w:tcPr>
          <w:p w14:paraId="02B4B63B">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0.01</w:t>
            </w:r>
          </w:p>
        </w:tc>
        <w:tc>
          <w:tcPr>
            <w:tcW w:w="665" w:type="pct"/>
            <w:noWrap/>
            <w:vAlign w:val="center"/>
          </w:tcPr>
          <w:p w14:paraId="69BFA383">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0.01</w:t>
            </w:r>
          </w:p>
        </w:tc>
        <w:tc>
          <w:tcPr>
            <w:tcW w:w="416" w:type="pct"/>
            <w:noWrap/>
            <w:vAlign w:val="center"/>
          </w:tcPr>
          <w:p w14:paraId="77F0CDA1">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1</w:t>
            </w:r>
          </w:p>
        </w:tc>
        <w:tc>
          <w:tcPr>
            <w:tcW w:w="579" w:type="pct"/>
            <w:noWrap/>
            <w:vAlign w:val="center"/>
          </w:tcPr>
          <w:p w14:paraId="6C0D7FB0">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0.01</w:t>
            </w:r>
          </w:p>
        </w:tc>
        <w:tc>
          <w:tcPr>
            <w:tcW w:w="419" w:type="pct"/>
            <w:noWrap/>
            <w:vAlign w:val="center"/>
          </w:tcPr>
          <w:p w14:paraId="5CE879D9">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w:t>
            </w:r>
          </w:p>
        </w:tc>
        <w:tc>
          <w:tcPr>
            <w:tcW w:w="419" w:type="pct"/>
            <w:noWrap/>
            <w:vAlign w:val="center"/>
          </w:tcPr>
          <w:p w14:paraId="5D975DDC">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w:t>
            </w:r>
          </w:p>
        </w:tc>
        <w:tc>
          <w:tcPr>
            <w:tcW w:w="419" w:type="pct"/>
            <w:noWrap/>
            <w:vAlign w:val="center"/>
          </w:tcPr>
          <w:p w14:paraId="12F8AD92">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达标</w:t>
            </w:r>
          </w:p>
        </w:tc>
      </w:tr>
      <w:tr w14:paraId="055F0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18" w:type="pct"/>
            <w:vMerge w:val="continue"/>
            <w:vAlign w:val="center"/>
          </w:tcPr>
          <w:p w14:paraId="2ACED98A">
            <w:pPr>
              <w:jc w:val="center"/>
              <w:rPr>
                <w:rFonts w:ascii="Times New Roman" w:hAnsi="Times New Roman" w:eastAsia="宋体" w:cs="Times New Roman"/>
                <w:color w:val="auto"/>
                <w:sz w:val="22"/>
                <w:szCs w:val="24"/>
              </w:rPr>
            </w:pPr>
          </w:p>
        </w:tc>
        <w:tc>
          <w:tcPr>
            <w:tcW w:w="996" w:type="pct"/>
            <w:noWrap/>
            <w:vAlign w:val="center"/>
          </w:tcPr>
          <w:p w14:paraId="5C7C3C4D">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锌</w:t>
            </w:r>
          </w:p>
        </w:tc>
        <w:tc>
          <w:tcPr>
            <w:tcW w:w="665" w:type="pct"/>
            <w:noWrap/>
            <w:vAlign w:val="center"/>
          </w:tcPr>
          <w:p w14:paraId="25224684">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0.04</w:t>
            </w:r>
          </w:p>
        </w:tc>
        <w:tc>
          <w:tcPr>
            <w:tcW w:w="665" w:type="pct"/>
            <w:noWrap/>
            <w:vAlign w:val="center"/>
          </w:tcPr>
          <w:p w14:paraId="2EF8090D">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0.04</w:t>
            </w:r>
          </w:p>
        </w:tc>
        <w:tc>
          <w:tcPr>
            <w:tcW w:w="416" w:type="pct"/>
            <w:noWrap/>
            <w:vAlign w:val="center"/>
          </w:tcPr>
          <w:p w14:paraId="7C7FFC0E">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1</w:t>
            </w:r>
          </w:p>
        </w:tc>
        <w:tc>
          <w:tcPr>
            <w:tcW w:w="579" w:type="pct"/>
            <w:noWrap/>
            <w:vAlign w:val="center"/>
          </w:tcPr>
          <w:p w14:paraId="54F5981A">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0.04</w:t>
            </w:r>
          </w:p>
        </w:tc>
        <w:tc>
          <w:tcPr>
            <w:tcW w:w="419" w:type="pct"/>
            <w:noWrap/>
            <w:vAlign w:val="center"/>
          </w:tcPr>
          <w:p w14:paraId="6CD8F063">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w:t>
            </w:r>
          </w:p>
        </w:tc>
        <w:tc>
          <w:tcPr>
            <w:tcW w:w="419" w:type="pct"/>
            <w:noWrap/>
            <w:vAlign w:val="center"/>
          </w:tcPr>
          <w:p w14:paraId="598B0917">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w:t>
            </w:r>
          </w:p>
        </w:tc>
        <w:tc>
          <w:tcPr>
            <w:tcW w:w="419" w:type="pct"/>
            <w:noWrap/>
            <w:vAlign w:val="center"/>
          </w:tcPr>
          <w:p w14:paraId="45E88C66">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达标</w:t>
            </w:r>
          </w:p>
        </w:tc>
      </w:tr>
      <w:tr w14:paraId="7D2B1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18" w:type="pct"/>
            <w:vMerge w:val="continue"/>
            <w:vAlign w:val="center"/>
          </w:tcPr>
          <w:p w14:paraId="2953FE22">
            <w:pPr>
              <w:jc w:val="center"/>
              <w:rPr>
                <w:rFonts w:ascii="Times New Roman" w:hAnsi="Times New Roman" w:eastAsia="宋体" w:cs="Times New Roman"/>
                <w:color w:val="auto"/>
                <w:sz w:val="22"/>
                <w:szCs w:val="24"/>
              </w:rPr>
            </w:pPr>
          </w:p>
        </w:tc>
        <w:tc>
          <w:tcPr>
            <w:tcW w:w="996" w:type="pct"/>
            <w:noWrap/>
            <w:vAlign w:val="center"/>
          </w:tcPr>
          <w:p w14:paraId="1649149A">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汞</w:t>
            </w:r>
          </w:p>
        </w:tc>
        <w:tc>
          <w:tcPr>
            <w:tcW w:w="665" w:type="pct"/>
            <w:noWrap/>
            <w:vAlign w:val="center"/>
          </w:tcPr>
          <w:p w14:paraId="0CA81EE8">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0.00004</w:t>
            </w:r>
          </w:p>
        </w:tc>
        <w:tc>
          <w:tcPr>
            <w:tcW w:w="665" w:type="pct"/>
            <w:noWrap/>
            <w:vAlign w:val="center"/>
          </w:tcPr>
          <w:p w14:paraId="28B65E49">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0.04</w:t>
            </w:r>
          </w:p>
        </w:tc>
        <w:tc>
          <w:tcPr>
            <w:tcW w:w="416" w:type="pct"/>
            <w:noWrap/>
            <w:vAlign w:val="center"/>
          </w:tcPr>
          <w:p w14:paraId="774BCC3D">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0.0001</w:t>
            </w:r>
          </w:p>
        </w:tc>
        <w:tc>
          <w:tcPr>
            <w:tcW w:w="579" w:type="pct"/>
            <w:noWrap/>
            <w:vAlign w:val="center"/>
          </w:tcPr>
          <w:p w14:paraId="31E7496E">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0.4</w:t>
            </w:r>
          </w:p>
        </w:tc>
        <w:tc>
          <w:tcPr>
            <w:tcW w:w="419" w:type="pct"/>
            <w:noWrap/>
            <w:vAlign w:val="center"/>
          </w:tcPr>
          <w:p w14:paraId="10F8D1D0">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w:t>
            </w:r>
          </w:p>
        </w:tc>
        <w:tc>
          <w:tcPr>
            <w:tcW w:w="419" w:type="pct"/>
            <w:noWrap/>
            <w:vAlign w:val="center"/>
          </w:tcPr>
          <w:p w14:paraId="3495CBAA">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w:t>
            </w:r>
          </w:p>
        </w:tc>
        <w:tc>
          <w:tcPr>
            <w:tcW w:w="419" w:type="pct"/>
            <w:noWrap/>
            <w:vAlign w:val="center"/>
          </w:tcPr>
          <w:p w14:paraId="71B30DF3">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达标</w:t>
            </w:r>
          </w:p>
        </w:tc>
      </w:tr>
      <w:tr w14:paraId="51BF6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18" w:type="pct"/>
            <w:vMerge w:val="continue"/>
            <w:vAlign w:val="center"/>
          </w:tcPr>
          <w:p w14:paraId="784276C7">
            <w:pPr>
              <w:jc w:val="center"/>
              <w:rPr>
                <w:rFonts w:ascii="Times New Roman" w:hAnsi="Times New Roman" w:eastAsia="宋体" w:cs="Times New Roman"/>
                <w:color w:val="auto"/>
                <w:sz w:val="22"/>
                <w:szCs w:val="24"/>
              </w:rPr>
            </w:pPr>
          </w:p>
        </w:tc>
        <w:tc>
          <w:tcPr>
            <w:tcW w:w="996" w:type="pct"/>
            <w:noWrap/>
            <w:vAlign w:val="center"/>
          </w:tcPr>
          <w:p w14:paraId="28D3B418">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镉</w:t>
            </w:r>
          </w:p>
        </w:tc>
        <w:tc>
          <w:tcPr>
            <w:tcW w:w="665" w:type="pct"/>
            <w:noWrap/>
            <w:vAlign w:val="center"/>
          </w:tcPr>
          <w:p w14:paraId="5CB0C3AD">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0.00006</w:t>
            </w:r>
          </w:p>
        </w:tc>
        <w:tc>
          <w:tcPr>
            <w:tcW w:w="665" w:type="pct"/>
            <w:noWrap/>
            <w:vAlign w:val="center"/>
          </w:tcPr>
          <w:p w14:paraId="044F9E37">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0.06</w:t>
            </w:r>
          </w:p>
        </w:tc>
        <w:tc>
          <w:tcPr>
            <w:tcW w:w="416" w:type="pct"/>
            <w:noWrap/>
            <w:vAlign w:val="center"/>
          </w:tcPr>
          <w:p w14:paraId="7D7559B3">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0.005</w:t>
            </w:r>
          </w:p>
        </w:tc>
        <w:tc>
          <w:tcPr>
            <w:tcW w:w="579" w:type="pct"/>
            <w:noWrap/>
            <w:vAlign w:val="center"/>
          </w:tcPr>
          <w:p w14:paraId="19FF314C">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0.012</w:t>
            </w:r>
          </w:p>
        </w:tc>
        <w:tc>
          <w:tcPr>
            <w:tcW w:w="419" w:type="pct"/>
            <w:noWrap/>
            <w:vAlign w:val="center"/>
          </w:tcPr>
          <w:p w14:paraId="6E130174">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w:t>
            </w:r>
          </w:p>
        </w:tc>
        <w:tc>
          <w:tcPr>
            <w:tcW w:w="419" w:type="pct"/>
            <w:noWrap/>
            <w:vAlign w:val="center"/>
          </w:tcPr>
          <w:p w14:paraId="6A2BBEF7">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w:t>
            </w:r>
          </w:p>
        </w:tc>
        <w:tc>
          <w:tcPr>
            <w:tcW w:w="419" w:type="pct"/>
            <w:noWrap/>
            <w:vAlign w:val="center"/>
          </w:tcPr>
          <w:p w14:paraId="2B4A0570">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达标</w:t>
            </w:r>
          </w:p>
        </w:tc>
      </w:tr>
      <w:tr w14:paraId="7D8C0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18" w:type="pct"/>
            <w:vMerge w:val="continue"/>
            <w:vAlign w:val="center"/>
          </w:tcPr>
          <w:p w14:paraId="381BFB16">
            <w:pPr>
              <w:jc w:val="center"/>
              <w:rPr>
                <w:rFonts w:ascii="Times New Roman" w:hAnsi="Times New Roman" w:eastAsia="宋体" w:cs="Times New Roman"/>
                <w:color w:val="auto"/>
                <w:sz w:val="22"/>
                <w:szCs w:val="24"/>
              </w:rPr>
            </w:pPr>
          </w:p>
        </w:tc>
        <w:tc>
          <w:tcPr>
            <w:tcW w:w="996" w:type="pct"/>
            <w:noWrap/>
            <w:vAlign w:val="center"/>
          </w:tcPr>
          <w:p w14:paraId="247C591B">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铅</w:t>
            </w:r>
          </w:p>
        </w:tc>
        <w:tc>
          <w:tcPr>
            <w:tcW w:w="665" w:type="pct"/>
            <w:noWrap/>
            <w:vAlign w:val="center"/>
          </w:tcPr>
          <w:p w14:paraId="517319AE">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0.00013</w:t>
            </w:r>
          </w:p>
        </w:tc>
        <w:tc>
          <w:tcPr>
            <w:tcW w:w="665" w:type="pct"/>
            <w:noWrap/>
            <w:vAlign w:val="center"/>
          </w:tcPr>
          <w:p w14:paraId="47ACFCE1">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0.13</w:t>
            </w:r>
          </w:p>
        </w:tc>
        <w:tc>
          <w:tcPr>
            <w:tcW w:w="416" w:type="pct"/>
            <w:noWrap/>
            <w:vAlign w:val="center"/>
          </w:tcPr>
          <w:p w14:paraId="526E2751">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0.05</w:t>
            </w:r>
          </w:p>
        </w:tc>
        <w:tc>
          <w:tcPr>
            <w:tcW w:w="579" w:type="pct"/>
            <w:noWrap/>
            <w:vAlign w:val="center"/>
          </w:tcPr>
          <w:p w14:paraId="66E737A0">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0.0026</w:t>
            </w:r>
          </w:p>
        </w:tc>
        <w:tc>
          <w:tcPr>
            <w:tcW w:w="419" w:type="pct"/>
            <w:noWrap/>
            <w:vAlign w:val="center"/>
          </w:tcPr>
          <w:p w14:paraId="4F4DCFDD">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w:t>
            </w:r>
          </w:p>
        </w:tc>
        <w:tc>
          <w:tcPr>
            <w:tcW w:w="419" w:type="pct"/>
            <w:noWrap/>
            <w:vAlign w:val="center"/>
          </w:tcPr>
          <w:p w14:paraId="772C29D9">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w:t>
            </w:r>
          </w:p>
        </w:tc>
        <w:tc>
          <w:tcPr>
            <w:tcW w:w="419" w:type="pct"/>
            <w:noWrap/>
            <w:vAlign w:val="center"/>
          </w:tcPr>
          <w:p w14:paraId="744E5E7E">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达标</w:t>
            </w:r>
          </w:p>
        </w:tc>
      </w:tr>
      <w:tr w14:paraId="5B828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18" w:type="pct"/>
            <w:vMerge w:val="continue"/>
            <w:vAlign w:val="center"/>
          </w:tcPr>
          <w:p w14:paraId="7F0C9FB8">
            <w:pPr>
              <w:jc w:val="center"/>
              <w:rPr>
                <w:rFonts w:ascii="Times New Roman" w:hAnsi="Times New Roman" w:eastAsia="宋体" w:cs="Times New Roman"/>
                <w:color w:val="auto"/>
                <w:sz w:val="22"/>
                <w:szCs w:val="24"/>
              </w:rPr>
            </w:pPr>
          </w:p>
        </w:tc>
        <w:tc>
          <w:tcPr>
            <w:tcW w:w="996" w:type="pct"/>
            <w:vAlign w:val="center"/>
          </w:tcPr>
          <w:p w14:paraId="22586063">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铊</w:t>
            </w:r>
          </w:p>
        </w:tc>
        <w:tc>
          <w:tcPr>
            <w:tcW w:w="665" w:type="pct"/>
            <w:noWrap/>
            <w:vAlign w:val="center"/>
          </w:tcPr>
          <w:p w14:paraId="33768A43">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0.00004</w:t>
            </w:r>
          </w:p>
        </w:tc>
        <w:tc>
          <w:tcPr>
            <w:tcW w:w="665" w:type="pct"/>
            <w:noWrap/>
            <w:vAlign w:val="center"/>
          </w:tcPr>
          <w:p w14:paraId="65A2ED13">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0.00004</w:t>
            </w:r>
          </w:p>
        </w:tc>
        <w:tc>
          <w:tcPr>
            <w:tcW w:w="416" w:type="pct"/>
            <w:noWrap/>
            <w:vAlign w:val="center"/>
          </w:tcPr>
          <w:p w14:paraId="366DEFB5">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0.0001</w:t>
            </w:r>
          </w:p>
        </w:tc>
        <w:tc>
          <w:tcPr>
            <w:tcW w:w="579" w:type="pct"/>
            <w:noWrap/>
            <w:vAlign w:val="center"/>
          </w:tcPr>
          <w:p w14:paraId="3291CB9F">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0.4</w:t>
            </w:r>
          </w:p>
        </w:tc>
        <w:tc>
          <w:tcPr>
            <w:tcW w:w="419" w:type="pct"/>
            <w:noWrap/>
            <w:vAlign w:val="center"/>
          </w:tcPr>
          <w:p w14:paraId="1E3D5693">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w:t>
            </w:r>
          </w:p>
        </w:tc>
        <w:tc>
          <w:tcPr>
            <w:tcW w:w="419" w:type="pct"/>
            <w:noWrap/>
            <w:vAlign w:val="center"/>
          </w:tcPr>
          <w:p w14:paraId="322F07A4">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w:t>
            </w:r>
          </w:p>
        </w:tc>
        <w:tc>
          <w:tcPr>
            <w:tcW w:w="419" w:type="pct"/>
            <w:noWrap/>
            <w:vAlign w:val="center"/>
          </w:tcPr>
          <w:p w14:paraId="5144E7EF">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达标</w:t>
            </w:r>
          </w:p>
        </w:tc>
      </w:tr>
      <w:tr w14:paraId="1B591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18" w:type="pct"/>
            <w:vMerge w:val="continue"/>
            <w:vAlign w:val="center"/>
          </w:tcPr>
          <w:p w14:paraId="3AB497F1">
            <w:pPr>
              <w:jc w:val="center"/>
              <w:rPr>
                <w:rFonts w:ascii="Times New Roman" w:hAnsi="Times New Roman" w:eastAsia="宋体" w:cs="Times New Roman"/>
                <w:color w:val="auto"/>
                <w:sz w:val="22"/>
                <w:szCs w:val="24"/>
              </w:rPr>
            </w:pPr>
          </w:p>
        </w:tc>
        <w:tc>
          <w:tcPr>
            <w:tcW w:w="996" w:type="pct"/>
            <w:noWrap/>
            <w:vAlign w:val="center"/>
          </w:tcPr>
          <w:p w14:paraId="3D35C115">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甲苯</w:t>
            </w:r>
          </w:p>
        </w:tc>
        <w:tc>
          <w:tcPr>
            <w:tcW w:w="665" w:type="pct"/>
            <w:noWrap/>
            <w:vAlign w:val="center"/>
          </w:tcPr>
          <w:p w14:paraId="523D15E0">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0.0014</w:t>
            </w:r>
          </w:p>
        </w:tc>
        <w:tc>
          <w:tcPr>
            <w:tcW w:w="665" w:type="pct"/>
            <w:noWrap/>
            <w:vAlign w:val="center"/>
          </w:tcPr>
          <w:p w14:paraId="0C7D04A6">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0.0014</w:t>
            </w:r>
          </w:p>
        </w:tc>
        <w:tc>
          <w:tcPr>
            <w:tcW w:w="416" w:type="pct"/>
            <w:noWrap/>
            <w:vAlign w:val="center"/>
          </w:tcPr>
          <w:p w14:paraId="332818B7">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0.7</w:t>
            </w:r>
          </w:p>
        </w:tc>
        <w:tc>
          <w:tcPr>
            <w:tcW w:w="579" w:type="pct"/>
            <w:noWrap/>
            <w:vAlign w:val="center"/>
          </w:tcPr>
          <w:p w14:paraId="2448F81A">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0.002</w:t>
            </w:r>
          </w:p>
        </w:tc>
        <w:tc>
          <w:tcPr>
            <w:tcW w:w="419" w:type="pct"/>
            <w:noWrap/>
            <w:vAlign w:val="center"/>
          </w:tcPr>
          <w:p w14:paraId="1E62CC33">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w:t>
            </w:r>
          </w:p>
        </w:tc>
        <w:tc>
          <w:tcPr>
            <w:tcW w:w="419" w:type="pct"/>
            <w:noWrap/>
            <w:vAlign w:val="center"/>
          </w:tcPr>
          <w:p w14:paraId="4F407055">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w:t>
            </w:r>
          </w:p>
        </w:tc>
        <w:tc>
          <w:tcPr>
            <w:tcW w:w="419" w:type="pct"/>
            <w:noWrap/>
            <w:vAlign w:val="center"/>
          </w:tcPr>
          <w:p w14:paraId="7622425E">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达标</w:t>
            </w:r>
          </w:p>
        </w:tc>
      </w:tr>
      <w:tr w14:paraId="59499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18" w:type="pct"/>
            <w:vMerge w:val="continue"/>
            <w:vAlign w:val="center"/>
          </w:tcPr>
          <w:p w14:paraId="4447EDAF">
            <w:pPr>
              <w:jc w:val="center"/>
              <w:rPr>
                <w:rFonts w:ascii="Times New Roman" w:hAnsi="Times New Roman" w:eastAsia="宋体" w:cs="Times New Roman"/>
                <w:color w:val="auto"/>
                <w:sz w:val="22"/>
                <w:szCs w:val="24"/>
              </w:rPr>
            </w:pPr>
          </w:p>
        </w:tc>
        <w:tc>
          <w:tcPr>
            <w:tcW w:w="996" w:type="pct"/>
            <w:noWrap/>
            <w:vAlign w:val="center"/>
          </w:tcPr>
          <w:p w14:paraId="16763170">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二甲苯</w:t>
            </w:r>
          </w:p>
        </w:tc>
        <w:tc>
          <w:tcPr>
            <w:tcW w:w="665" w:type="pct"/>
            <w:noWrap/>
            <w:vAlign w:val="center"/>
          </w:tcPr>
          <w:p w14:paraId="4F534784">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0.0014</w:t>
            </w:r>
          </w:p>
        </w:tc>
        <w:tc>
          <w:tcPr>
            <w:tcW w:w="665" w:type="pct"/>
            <w:noWrap/>
            <w:vAlign w:val="center"/>
          </w:tcPr>
          <w:p w14:paraId="48EB64C6">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0.0014</w:t>
            </w:r>
          </w:p>
        </w:tc>
        <w:tc>
          <w:tcPr>
            <w:tcW w:w="416" w:type="pct"/>
            <w:noWrap/>
            <w:vAlign w:val="center"/>
          </w:tcPr>
          <w:p w14:paraId="0985E742">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0.5</w:t>
            </w:r>
          </w:p>
        </w:tc>
        <w:tc>
          <w:tcPr>
            <w:tcW w:w="579" w:type="pct"/>
            <w:noWrap/>
            <w:vAlign w:val="center"/>
          </w:tcPr>
          <w:p w14:paraId="710594F5">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0.0028</w:t>
            </w:r>
          </w:p>
        </w:tc>
        <w:tc>
          <w:tcPr>
            <w:tcW w:w="419" w:type="pct"/>
            <w:noWrap/>
            <w:vAlign w:val="center"/>
          </w:tcPr>
          <w:p w14:paraId="7E306DDE">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w:t>
            </w:r>
          </w:p>
        </w:tc>
        <w:tc>
          <w:tcPr>
            <w:tcW w:w="419" w:type="pct"/>
            <w:noWrap/>
            <w:vAlign w:val="center"/>
          </w:tcPr>
          <w:p w14:paraId="22F3C906">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w:t>
            </w:r>
          </w:p>
        </w:tc>
        <w:tc>
          <w:tcPr>
            <w:tcW w:w="419" w:type="pct"/>
            <w:noWrap/>
            <w:vAlign w:val="center"/>
          </w:tcPr>
          <w:p w14:paraId="7D73A9E4">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达标</w:t>
            </w:r>
          </w:p>
        </w:tc>
      </w:tr>
      <w:tr w14:paraId="3CCF3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18" w:type="pct"/>
            <w:vMerge w:val="continue"/>
            <w:vAlign w:val="center"/>
          </w:tcPr>
          <w:p w14:paraId="76583260">
            <w:pPr>
              <w:jc w:val="center"/>
              <w:rPr>
                <w:rFonts w:ascii="Times New Roman" w:hAnsi="Times New Roman" w:eastAsia="宋体" w:cs="Times New Roman"/>
                <w:color w:val="auto"/>
                <w:sz w:val="22"/>
                <w:szCs w:val="24"/>
              </w:rPr>
            </w:pPr>
          </w:p>
        </w:tc>
        <w:tc>
          <w:tcPr>
            <w:tcW w:w="996" w:type="pct"/>
            <w:noWrap/>
            <w:vAlign w:val="center"/>
          </w:tcPr>
          <w:p w14:paraId="3091934C">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二氯甲烷</w:t>
            </w:r>
          </w:p>
        </w:tc>
        <w:tc>
          <w:tcPr>
            <w:tcW w:w="665" w:type="pct"/>
            <w:noWrap/>
            <w:vAlign w:val="center"/>
          </w:tcPr>
          <w:p w14:paraId="5BCC9F5A">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0.0014</w:t>
            </w:r>
          </w:p>
        </w:tc>
        <w:tc>
          <w:tcPr>
            <w:tcW w:w="665" w:type="pct"/>
            <w:noWrap/>
            <w:vAlign w:val="center"/>
          </w:tcPr>
          <w:p w14:paraId="540A2A3E">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0.0014</w:t>
            </w:r>
          </w:p>
        </w:tc>
        <w:tc>
          <w:tcPr>
            <w:tcW w:w="416" w:type="pct"/>
            <w:noWrap/>
            <w:vAlign w:val="center"/>
          </w:tcPr>
          <w:p w14:paraId="2503719B">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0.02</w:t>
            </w:r>
          </w:p>
        </w:tc>
        <w:tc>
          <w:tcPr>
            <w:tcW w:w="579" w:type="pct"/>
            <w:noWrap/>
            <w:vAlign w:val="center"/>
          </w:tcPr>
          <w:p w14:paraId="1029FC10">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0.07</w:t>
            </w:r>
          </w:p>
        </w:tc>
        <w:tc>
          <w:tcPr>
            <w:tcW w:w="419" w:type="pct"/>
            <w:noWrap/>
            <w:vAlign w:val="center"/>
          </w:tcPr>
          <w:p w14:paraId="35B7A07E">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w:t>
            </w:r>
          </w:p>
        </w:tc>
        <w:tc>
          <w:tcPr>
            <w:tcW w:w="419" w:type="pct"/>
            <w:noWrap/>
            <w:vAlign w:val="center"/>
          </w:tcPr>
          <w:p w14:paraId="6094E1D4">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w:t>
            </w:r>
          </w:p>
        </w:tc>
        <w:tc>
          <w:tcPr>
            <w:tcW w:w="419" w:type="pct"/>
            <w:noWrap/>
            <w:vAlign w:val="center"/>
          </w:tcPr>
          <w:p w14:paraId="4AA87CF9">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达标</w:t>
            </w:r>
          </w:p>
        </w:tc>
      </w:tr>
      <w:tr w14:paraId="4AEAA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18" w:type="pct"/>
            <w:vMerge w:val="continue"/>
            <w:vAlign w:val="center"/>
          </w:tcPr>
          <w:p w14:paraId="74CD2E7E">
            <w:pPr>
              <w:jc w:val="center"/>
              <w:rPr>
                <w:rFonts w:ascii="Times New Roman" w:hAnsi="Times New Roman" w:eastAsia="宋体" w:cs="Times New Roman"/>
                <w:color w:val="auto"/>
                <w:sz w:val="22"/>
                <w:szCs w:val="24"/>
              </w:rPr>
            </w:pPr>
          </w:p>
        </w:tc>
        <w:tc>
          <w:tcPr>
            <w:tcW w:w="996" w:type="pct"/>
            <w:noWrap/>
            <w:vAlign w:val="center"/>
          </w:tcPr>
          <w:p w14:paraId="7E7D987F">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三氯甲烷</w:t>
            </w:r>
          </w:p>
        </w:tc>
        <w:tc>
          <w:tcPr>
            <w:tcW w:w="665" w:type="pct"/>
            <w:noWrap/>
            <w:vAlign w:val="center"/>
          </w:tcPr>
          <w:p w14:paraId="335042BD">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0.001</w:t>
            </w:r>
          </w:p>
        </w:tc>
        <w:tc>
          <w:tcPr>
            <w:tcW w:w="665" w:type="pct"/>
            <w:noWrap/>
            <w:vAlign w:val="center"/>
          </w:tcPr>
          <w:p w14:paraId="291D1737">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0.001</w:t>
            </w:r>
          </w:p>
        </w:tc>
        <w:tc>
          <w:tcPr>
            <w:tcW w:w="416" w:type="pct"/>
            <w:noWrap/>
            <w:vAlign w:val="center"/>
          </w:tcPr>
          <w:p w14:paraId="5C10688E">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0.06</w:t>
            </w:r>
          </w:p>
        </w:tc>
        <w:tc>
          <w:tcPr>
            <w:tcW w:w="579" w:type="pct"/>
            <w:noWrap/>
            <w:vAlign w:val="center"/>
          </w:tcPr>
          <w:p w14:paraId="7C87E5AD">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0.017</w:t>
            </w:r>
          </w:p>
        </w:tc>
        <w:tc>
          <w:tcPr>
            <w:tcW w:w="419" w:type="pct"/>
            <w:noWrap/>
            <w:vAlign w:val="center"/>
          </w:tcPr>
          <w:p w14:paraId="048312BD">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w:t>
            </w:r>
          </w:p>
        </w:tc>
        <w:tc>
          <w:tcPr>
            <w:tcW w:w="419" w:type="pct"/>
            <w:noWrap/>
            <w:vAlign w:val="center"/>
          </w:tcPr>
          <w:p w14:paraId="33729DEC">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w:t>
            </w:r>
          </w:p>
        </w:tc>
        <w:tc>
          <w:tcPr>
            <w:tcW w:w="419" w:type="pct"/>
            <w:noWrap/>
            <w:vAlign w:val="center"/>
          </w:tcPr>
          <w:p w14:paraId="4F214897">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达标</w:t>
            </w:r>
          </w:p>
        </w:tc>
      </w:tr>
      <w:tr w14:paraId="1BDC9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18" w:type="pct"/>
            <w:vMerge w:val="continue"/>
            <w:vAlign w:val="center"/>
          </w:tcPr>
          <w:p w14:paraId="27B80998">
            <w:pPr>
              <w:jc w:val="center"/>
              <w:rPr>
                <w:rFonts w:ascii="Times New Roman" w:hAnsi="Times New Roman" w:eastAsia="宋体" w:cs="Times New Roman"/>
                <w:color w:val="auto"/>
                <w:sz w:val="22"/>
                <w:szCs w:val="24"/>
              </w:rPr>
            </w:pPr>
          </w:p>
        </w:tc>
        <w:tc>
          <w:tcPr>
            <w:tcW w:w="996" w:type="pct"/>
            <w:vAlign w:val="center"/>
          </w:tcPr>
          <w:p w14:paraId="5A54DC2A">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1，1-二氯乙烷</w:t>
            </w:r>
          </w:p>
        </w:tc>
        <w:tc>
          <w:tcPr>
            <w:tcW w:w="665" w:type="pct"/>
            <w:noWrap/>
            <w:vAlign w:val="center"/>
          </w:tcPr>
          <w:p w14:paraId="048F3032">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ND</w:t>
            </w:r>
          </w:p>
        </w:tc>
        <w:tc>
          <w:tcPr>
            <w:tcW w:w="665" w:type="pct"/>
            <w:noWrap/>
            <w:vAlign w:val="center"/>
          </w:tcPr>
          <w:p w14:paraId="0438A816">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ND</w:t>
            </w:r>
          </w:p>
        </w:tc>
        <w:tc>
          <w:tcPr>
            <w:tcW w:w="416" w:type="pct"/>
            <w:noWrap/>
            <w:vAlign w:val="center"/>
          </w:tcPr>
          <w:p w14:paraId="0C951722">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c>
          <w:tcPr>
            <w:tcW w:w="579" w:type="pct"/>
            <w:noWrap/>
            <w:vAlign w:val="center"/>
          </w:tcPr>
          <w:p w14:paraId="4EA51D3C">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c>
          <w:tcPr>
            <w:tcW w:w="419" w:type="pct"/>
            <w:noWrap/>
            <w:vAlign w:val="center"/>
          </w:tcPr>
          <w:p w14:paraId="2F5F753E">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w:t>
            </w:r>
          </w:p>
        </w:tc>
        <w:tc>
          <w:tcPr>
            <w:tcW w:w="419" w:type="pct"/>
            <w:noWrap/>
            <w:vAlign w:val="center"/>
          </w:tcPr>
          <w:p w14:paraId="7C219B52">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w:t>
            </w:r>
          </w:p>
        </w:tc>
        <w:tc>
          <w:tcPr>
            <w:tcW w:w="419" w:type="pct"/>
            <w:noWrap/>
            <w:vAlign w:val="center"/>
          </w:tcPr>
          <w:p w14:paraId="305083CA">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达标</w:t>
            </w:r>
          </w:p>
        </w:tc>
      </w:tr>
      <w:tr w14:paraId="23A7F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18" w:type="pct"/>
            <w:vMerge w:val="continue"/>
            <w:vAlign w:val="center"/>
          </w:tcPr>
          <w:p w14:paraId="79BB233E">
            <w:pPr>
              <w:jc w:val="center"/>
              <w:rPr>
                <w:rFonts w:ascii="Times New Roman" w:hAnsi="Times New Roman" w:eastAsia="宋体" w:cs="Times New Roman"/>
                <w:color w:val="auto"/>
                <w:sz w:val="22"/>
                <w:szCs w:val="24"/>
              </w:rPr>
            </w:pPr>
          </w:p>
        </w:tc>
        <w:tc>
          <w:tcPr>
            <w:tcW w:w="996" w:type="pct"/>
            <w:vAlign w:val="center"/>
          </w:tcPr>
          <w:p w14:paraId="1B43FF2E">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1，2-二氯乙烷</w:t>
            </w:r>
          </w:p>
        </w:tc>
        <w:tc>
          <w:tcPr>
            <w:tcW w:w="665" w:type="pct"/>
            <w:noWrap/>
            <w:vAlign w:val="center"/>
          </w:tcPr>
          <w:p w14:paraId="1AA152B7">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ND</w:t>
            </w:r>
          </w:p>
        </w:tc>
        <w:tc>
          <w:tcPr>
            <w:tcW w:w="665" w:type="pct"/>
            <w:noWrap/>
            <w:vAlign w:val="center"/>
          </w:tcPr>
          <w:p w14:paraId="39EF0980">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ND</w:t>
            </w:r>
          </w:p>
        </w:tc>
        <w:tc>
          <w:tcPr>
            <w:tcW w:w="416" w:type="pct"/>
            <w:noWrap/>
            <w:vAlign w:val="center"/>
          </w:tcPr>
          <w:p w14:paraId="224C573B">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0.03</w:t>
            </w:r>
          </w:p>
        </w:tc>
        <w:tc>
          <w:tcPr>
            <w:tcW w:w="579" w:type="pct"/>
            <w:noWrap/>
            <w:vAlign w:val="center"/>
          </w:tcPr>
          <w:p w14:paraId="65BB4334">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c>
          <w:tcPr>
            <w:tcW w:w="419" w:type="pct"/>
            <w:noWrap/>
            <w:vAlign w:val="center"/>
          </w:tcPr>
          <w:p w14:paraId="5C0E1AC0">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w:t>
            </w:r>
          </w:p>
        </w:tc>
        <w:tc>
          <w:tcPr>
            <w:tcW w:w="419" w:type="pct"/>
            <w:noWrap/>
            <w:vAlign w:val="center"/>
          </w:tcPr>
          <w:p w14:paraId="24251111">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w:t>
            </w:r>
          </w:p>
        </w:tc>
        <w:tc>
          <w:tcPr>
            <w:tcW w:w="419" w:type="pct"/>
            <w:noWrap/>
            <w:vAlign w:val="center"/>
          </w:tcPr>
          <w:p w14:paraId="3D0C806F">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达标</w:t>
            </w:r>
          </w:p>
        </w:tc>
      </w:tr>
      <w:tr w14:paraId="58CC0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18" w:type="pct"/>
            <w:vMerge w:val="continue"/>
            <w:vAlign w:val="center"/>
          </w:tcPr>
          <w:p w14:paraId="7D035A20">
            <w:pPr>
              <w:jc w:val="center"/>
              <w:rPr>
                <w:rFonts w:ascii="Times New Roman" w:hAnsi="Times New Roman" w:eastAsia="宋体" w:cs="Times New Roman"/>
                <w:color w:val="auto"/>
                <w:sz w:val="22"/>
                <w:szCs w:val="24"/>
              </w:rPr>
            </w:pPr>
          </w:p>
        </w:tc>
        <w:tc>
          <w:tcPr>
            <w:tcW w:w="996" w:type="pct"/>
            <w:vAlign w:val="center"/>
          </w:tcPr>
          <w:p w14:paraId="04A58865">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乙苯</w:t>
            </w:r>
          </w:p>
        </w:tc>
        <w:tc>
          <w:tcPr>
            <w:tcW w:w="665" w:type="pct"/>
            <w:noWrap/>
            <w:vAlign w:val="center"/>
          </w:tcPr>
          <w:p w14:paraId="5D6E4D73">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ND</w:t>
            </w:r>
          </w:p>
        </w:tc>
        <w:tc>
          <w:tcPr>
            <w:tcW w:w="665" w:type="pct"/>
            <w:noWrap/>
            <w:vAlign w:val="center"/>
          </w:tcPr>
          <w:p w14:paraId="6B9E2EE8">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ND</w:t>
            </w:r>
          </w:p>
        </w:tc>
        <w:tc>
          <w:tcPr>
            <w:tcW w:w="416" w:type="pct"/>
            <w:noWrap/>
            <w:vAlign w:val="center"/>
          </w:tcPr>
          <w:p w14:paraId="2E7A7D55">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0.3</w:t>
            </w:r>
          </w:p>
        </w:tc>
        <w:tc>
          <w:tcPr>
            <w:tcW w:w="579" w:type="pct"/>
            <w:noWrap/>
            <w:vAlign w:val="center"/>
          </w:tcPr>
          <w:p w14:paraId="2C26F3E1">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c>
          <w:tcPr>
            <w:tcW w:w="419" w:type="pct"/>
            <w:noWrap/>
            <w:vAlign w:val="center"/>
          </w:tcPr>
          <w:p w14:paraId="6D66DBF2">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w:t>
            </w:r>
          </w:p>
        </w:tc>
        <w:tc>
          <w:tcPr>
            <w:tcW w:w="419" w:type="pct"/>
            <w:noWrap/>
            <w:vAlign w:val="center"/>
          </w:tcPr>
          <w:p w14:paraId="1E10D19F">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w:t>
            </w:r>
          </w:p>
        </w:tc>
        <w:tc>
          <w:tcPr>
            <w:tcW w:w="419" w:type="pct"/>
            <w:noWrap/>
            <w:vAlign w:val="center"/>
          </w:tcPr>
          <w:p w14:paraId="06467A3C">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达标</w:t>
            </w:r>
          </w:p>
        </w:tc>
      </w:tr>
      <w:tr w14:paraId="4EF42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18" w:type="pct"/>
            <w:vMerge w:val="continue"/>
            <w:vAlign w:val="center"/>
          </w:tcPr>
          <w:p w14:paraId="277AF106">
            <w:pPr>
              <w:jc w:val="center"/>
              <w:rPr>
                <w:rFonts w:ascii="Times New Roman" w:hAnsi="Times New Roman" w:eastAsia="宋体" w:cs="Times New Roman"/>
                <w:color w:val="auto"/>
                <w:sz w:val="22"/>
                <w:szCs w:val="24"/>
              </w:rPr>
            </w:pPr>
          </w:p>
        </w:tc>
        <w:tc>
          <w:tcPr>
            <w:tcW w:w="996" w:type="pct"/>
            <w:vAlign w:val="center"/>
          </w:tcPr>
          <w:p w14:paraId="327D3904">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四氯化碳</w:t>
            </w:r>
          </w:p>
        </w:tc>
        <w:tc>
          <w:tcPr>
            <w:tcW w:w="665" w:type="pct"/>
            <w:noWrap/>
            <w:vAlign w:val="center"/>
          </w:tcPr>
          <w:p w14:paraId="09010D06">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ND</w:t>
            </w:r>
          </w:p>
        </w:tc>
        <w:tc>
          <w:tcPr>
            <w:tcW w:w="665" w:type="pct"/>
            <w:noWrap/>
            <w:vAlign w:val="center"/>
          </w:tcPr>
          <w:p w14:paraId="085D45FF">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ND</w:t>
            </w:r>
          </w:p>
        </w:tc>
        <w:tc>
          <w:tcPr>
            <w:tcW w:w="416" w:type="pct"/>
            <w:noWrap/>
            <w:vAlign w:val="center"/>
          </w:tcPr>
          <w:p w14:paraId="7D52FE8E">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0.002</w:t>
            </w:r>
          </w:p>
        </w:tc>
        <w:tc>
          <w:tcPr>
            <w:tcW w:w="579" w:type="pct"/>
            <w:noWrap/>
            <w:vAlign w:val="center"/>
          </w:tcPr>
          <w:p w14:paraId="73FC9341">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c>
          <w:tcPr>
            <w:tcW w:w="419" w:type="pct"/>
            <w:noWrap/>
            <w:vAlign w:val="center"/>
          </w:tcPr>
          <w:p w14:paraId="3BAA269D">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w:t>
            </w:r>
          </w:p>
        </w:tc>
        <w:tc>
          <w:tcPr>
            <w:tcW w:w="419" w:type="pct"/>
            <w:noWrap/>
            <w:vAlign w:val="center"/>
          </w:tcPr>
          <w:p w14:paraId="09983493">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w:t>
            </w:r>
          </w:p>
        </w:tc>
        <w:tc>
          <w:tcPr>
            <w:tcW w:w="419" w:type="pct"/>
            <w:noWrap/>
            <w:vAlign w:val="center"/>
          </w:tcPr>
          <w:p w14:paraId="2F258F38">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达标</w:t>
            </w:r>
          </w:p>
        </w:tc>
      </w:tr>
      <w:tr w14:paraId="04822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18" w:type="pct"/>
            <w:vMerge w:val="continue"/>
            <w:vAlign w:val="center"/>
          </w:tcPr>
          <w:p w14:paraId="080CF564">
            <w:pPr>
              <w:jc w:val="center"/>
              <w:rPr>
                <w:rFonts w:ascii="Times New Roman" w:hAnsi="Times New Roman" w:eastAsia="宋体" w:cs="Times New Roman"/>
                <w:color w:val="auto"/>
                <w:sz w:val="22"/>
                <w:szCs w:val="24"/>
              </w:rPr>
            </w:pPr>
          </w:p>
        </w:tc>
        <w:tc>
          <w:tcPr>
            <w:tcW w:w="996" w:type="pct"/>
            <w:vAlign w:val="center"/>
          </w:tcPr>
          <w:p w14:paraId="742EA39D">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石油类</w:t>
            </w:r>
          </w:p>
        </w:tc>
        <w:tc>
          <w:tcPr>
            <w:tcW w:w="665" w:type="pct"/>
            <w:noWrap/>
            <w:vAlign w:val="center"/>
          </w:tcPr>
          <w:p w14:paraId="3C47B745">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ND</w:t>
            </w:r>
          </w:p>
        </w:tc>
        <w:tc>
          <w:tcPr>
            <w:tcW w:w="665" w:type="pct"/>
            <w:noWrap/>
            <w:vAlign w:val="center"/>
          </w:tcPr>
          <w:p w14:paraId="264EA803">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ND</w:t>
            </w:r>
          </w:p>
        </w:tc>
        <w:tc>
          <w:tcPr>
            <w:tcW w:w="416" w:type="pct"/>
            <w:noWrap/>
            <w:vAlign w:val="center"/>
          </w:tcPr>
          <w:p w14:paraId="32903BAE">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0.05</w:t>
            </w:r>
          </w:p>
        </w:tc>
        <w:tc>
          <w:tcPr>
            <w:tcW w:w="579" w:type="pct"/>
            <w:noWrap/>
            <w:vAlign w:val="center"/>
          </w:tcPr>
          <w:p w14:paraId="624E4BB7">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c>
          <w:tcPr>
            <w:tcW w:w="419" w:type="pct"/>
            <w:noWrap/>
            <w:vAlign w:val="center"/>
          </w:tcPr>
          <w:p w14:paraId="70BB8C96">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w:t>
            </w:r>
          </w:p>
        </w:tc>
        <w:tc>
          <w:tcPr>
            <w:tcW w:w="419" w:type="pct"/>
            <w:noWrap/>
            <w:vAlign w:val="center"/>
          </w:tcPr>
          <w:p w14:paraId="660D3FEA">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w:t>
            </w:r>
          </w:p>
        </w:tc>
        <w:tc>
          <w:tcPr>
            <w:tcW w:w="419" w:type="pct"/>
            <w:noWrap/>
            <w:vAlign w:val="center"/>
          </w:tcPr>
          <w:p w14:paraId="2559E3BA">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达标</w:t>
            </w:r>
          </w:p>
        </w:tc>
      </w:tr>
      <w:tr w14:paraId="2B3DC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18" w:type="pct"/>
            <w:vMerge w:val="restart"/>
            <w:vAlign w:val="center"/>
          </w:tcPr>
          <w:p w14:paraId="10882954">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W2：津市市工业污水处理厂</w:t>
            </w:r>
          </w:p>
          <w:p w14:paraId="52A6440C">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排污口下游1400m</w:t>
            </w:r>
          </w:p>
        </w:tc>
        <w:tc>
          <w:tcPr>
            <w:tcW w:w="996" w:type="pct"/>
            <w:noWrap/>
            <w:vAlign w:val="center"/>
          </w:tcPr>
          <w:p w14:paraId="4F8D539B">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水温（℃）</w:t>
            </w:r>
          </w:p>
        </w:tc>
        <w:tc>
          <w:tcPr>
            <w:tcW w:w="665" w:type="pct"/>
            <w:noWrap/>
            <w:vAlign w:val="center"/>
          </w:tcPr>
          <w:p w14:paraId="7BCD3394">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14.9~15.7</w:t>
            </w:r>
          </w:p>
        </w:tc>
        <w:tc>
          <w:tcPr>
            <w:tcW w:w="665" w:type="pct"/>
            <w:noWrap/>
            <w:vAlign w:val="center"/>
          </w:tcPr>
          <w:p w14:paraId="0A409F8B">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15.233</w:t>
            </w:r>
          </w:p>
        </w:tc>
        <w:tc>
          <w:tcPr>
            <w:tcW w:w="416" w:type="pct"/>
            <w:noWrap/>
            <w:vAlign w:val="center"/>
          </w:tcPr>
          <w:p w14:paraId="6C3544D3">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c>
          <w:tcPr>
            <w:tcW w:w="579" w:type="pct"/>
            <w:noWrap/>
            <w:vAlign w:val="center"/>
          </w:tcPr>
          <w:p w14:paraId="529E4EBC">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c>
          <w:tcPr>
            <w:tcW w:w="419" w:type="pct"/>
            <w:noWrap/>
            <w:vAlign w:val="center"/>
          </w:tcPr>
          <w:p w14:paraId="1E3F5459">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c>
          <w:tcPr>
            <w:tcW w:w="419" w:type="pct"/>
            <w:noWrap/>
            <w:vAlign w:val="center"/>
          </w:tcPr>
          <w:p w14:paraId="7E9389D5">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c>
          <w:tcPr>
            <w:tcW w:w="419" w:type="pct"/>
            <w:noWrap/>
            <w:vAlign w:val="center"/>
          </w:tcPr>
          <w:p w14:paraId="7D1BB6B9">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r>
      <w:tr w14:paraId="12466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18" w:type="pct"/>
            <w:vMerge w:val="continue"/>
            <w:vAlign w:val="center"/>
          </w:tcPr>
          <w:p w14:paraId="7CABFDD7">
            <w:pPr>
              <w:jc w:val="center"/>
              <w:rPr>
                <w:rFonts w:ascii="Times New Roman" w:hAnsi="Times New Roman" w:eastAsia="宋体" w:cs="Times New Roman"/>
                <w:color w:val="auto"/>
                <w:sz w:val="22"/>
                <w:szCs w:val="24"/>
              </w:rPr>
            </w:pPr>
          </w:p>
        </w:tc>
        <w:tc>
          <w:tcPr>
            <w:tcW w:w="996" w:type="pct"/>
            <w:noWrap/>
            <w:vAlign w:val="center"/>
          </w:tcPr>
          <w:p w14:paraId="6D3610E5">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流量（</w:t>
            </w:r>
            <w:r>
              <w:rPr>
                <w:rFonts w:hint="eastAsia" w:ascii="Times New Roman" w:hAnsi="Times New Roman" w:eastAsia="宋体" w:cs="Times New Roman"/>
                <w:color w:val="auto"/>
                <w:sz w:val="22"/>
                <w:szCs w:val="24"/>
                <w:lang w:eastAsia="zh-CN"/>
              </w:rPr>
              <w:t>m</w:t>
            </w:r>
            <w:r>
              <w:rPr>
                <w:rFonts w:hint="eastAsia" w:ascii="Times New Roman" w:hAnsi="Times New Roman" w:eastAsia="宋体" w:cs="Times New Roman"/>
                <w:color w:val="auto"/>
                <w:sz w:val="22"/>
                <w:szCs w:val="24"/>
                <w:vertAlign w:val="superscript"/>
                <w:lang w:eastAsia="zh-CN"/>
              </w:rPr>
              <w:t>3</w:t>
            </w:r>
            <w:r>
              <w:rPr>
                <w:rFonts w:hint="eastAsia" w:ascii="Times New Roman" w:hAnsi="Times New Roman" w:eastAsia="宋体" w:cs="Times New Roman"/>
                <w:color w:val="auto"/>
                <w:sz w:val="22"/>
                <w:szCs w:val="24"/>
              </w:rPr>
              <w:t>/s）</w:t>
            </w:r>
          </w:p>
        </w:tc>
        <w:tc>
          <w:tcPr>
            <w:tcW w:w="665" w:type="pct"/>
            <w:noWrap/>
            <w:vAlign w:val="center"/>
          </w:tcPr>
          <w:p w14:paraId="4E3321B1">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456300~491400</w:t>
            </w:r>
          </w:p>
        </w:tc>
        <w:tc>
          <w:tcPr>
            <w:tcW w:w="665" w:type="pct"/>
            <w:noWrap/>
            <w:vAlign w:val="center"/>
          </w:tcPr>
          <w:p w14:paraId="1AA070EC">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468000</w:t>
            </w:r>
          </w:p>
        </w:tc>
        <w:tc>
          <w:tcPr>
            <w:tcW w:w="416" w:type="pct"/>
            <w:noWrap/>
            <w:vAlign w:val="center"/>
          </w:tcPr>
          <w:p w14:paraId="1818DD9C">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c>
          <w:tcPr>
            <w:tcW w:w="579" w:type="pct"/>
            <w:noWrap/>
            <w:vAlign w:val="center"/>
          </w:tcPr>
          <w:p w14:paraId="0CFA7547">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c>
          <w:tcPr>
            <w:tcW w:w="419" w:type="pct"/>
            <w:noWrap/>
            <w:vAlign w:val="center"/>
          </w:tcPr>
          <w:p w14:paraId="7F71E2D4">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c>
          <w:tcPr>
            <w:tcW w:w="419" w:type="pct"/>
            <w:noWrap/>
            <w:vAlign w:val="center"/>
          </w:tcPr>
          <w:p w14:paraId="4F17EE81">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c>
          <w:tcPr>
            <w:tcW w:w="419" w:type="pct"/>
            <w:noWrap/>
            <w:vAlign w:val="center"/>
          </w:tcPr>
          <w:p w14:paraId="64259EB5">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r>
      <w:tr w14:paraId="21C45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18" w:type="pct"/>
            <w:vMerge w:val="continue"/>
            <w:vAlign w:val="center"/>
          </w:tcPr>
          <w:p w14:paraId="3246AAF3">
            <w:pPr>
              <w:jc w:val="center"/>
              <w:rPr>
                <w:rFonts w:ascii="Times New Roman" w:hAnsi="Times New Roman" w:eastAsia="宋体" w:cs="Times New Roman"/>
                <w:color w:val="auto"/>
                <w:sz w:val="22"/>
                <w:szCs w:val="24"/>
              </w:rPr>
            </w:pPr>
          </w:p>
        </w:tc>
        <w:tc>
          <w:tcPr>
            <w:tcW w:w="996" w:type="pct"/>
            <w:noWrap/>
            <w:vAlign w:val="center"/>
          </w:tcPr>
          <w:p w14:paraId="5C1902E5">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流速（m/s）</w:t>
            </w:r>
          </w:p>
        </w:tc>
        <w:tc>
          <w:tcPr>
            <w:tcW w:w="665" w:type="pct"/>
            <w:noWrap/>
            <w:vAlign w:val="center"/>
          </w:tcPr>
          <w:p w14:paraId="4690E422">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0.13~0.14</w:t>
            </w:r>
          </w:p>
        </w:tc>
        <w:tc>
          <w:tcPr>
            <w:tcW w:w="665" w:type="pct"/>
            <w:noWrap/>
            <w:vAlign w:val="center"/>
          </w:tcPr>
          <w:p w14:paraId="3F8CB721">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0.133</w:t>
            </w:r>
          </w:p>
        </w:tc>
        <w:tc>
          <w:tcPr>
            <w:tcW w:w="416" w:type="pct"/>
            <w:noWrap/>
            <w:vAlign w:val="center"/>
          </w:tcPr>
          <w:p w14:paraId="145A5178">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c>
          <w:tcPr>
            <w:tcW w:w="579" w:type="pct"/>
            <w:noWrap/>
            <w:vAlign w:val="center"/>
          </w:tcPr>
          <w:p w14:paraId="67F43252">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c>
          <w:tcPr>
            <w:tcW w:w="419" w:type="pct"/>
            <w:noWrap/>
            <w:vAlign w:val="center"/>
          </w:tcPr>
          <w:p w14:paraId="1E3B69CE">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c>
          <w:tcPr>
            <w:tcW w:w="419" w:type="pct"/>
            <w:noWrap/>
            <w:vAlign w:val="center"/>
          </w:tcPr>
          <w:p w14:paraId="6856BA88">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c>
          <w:tcPr>
            <w:tcW w:w="419" w:type="pct"/>
            <w:noWrap/>
            <w:vAlign w:val="center"/>
          </w:tcPr>
          <w:p w14:paraId="623EE42C">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r>
      <w:tr w14:paraId="463CC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18" w:type="pct"/>
            <w:vMerge w:val="continue"/>
            <w:vAlign w:val="center"/>
          </w:tcPr>
          <w:p w14:paraId="03D6C8E3">
            <w:pPr>
              <w:jc w:val="center"/>
              <w:rPr>
                <w:rFonts w:ascii="Times New Roman" w:hAnsi="Times New Roman" w:eastAsia="宋体" w:cs="Times New Roman"/>
                <w:color w:val="auto"/>
                <w:sz w:val="22"/>
                <w:szCs w:val="24"/>
              </w:rPr>
            </w:pPr>
          </w:p>
        </w:tc>
        <w:tc>
          <w:tcPr>
            <w:tcW w:w="996" w:type="pct"/>
            <w:noWrap/>
            <w:vAlign w:val="center"/>
          </w:tcPr>
          <w:p w14:paraId="61E553E0">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河宽（m）</w:t>
            </w:r>
          </w:p>
        </w:tc>
        <w:tc>
          <w:tcPr>
            <w:tcW w:w="665" w:type="pct"/>
            <w:noWrap/>
            <w:vAlign w:val="center"/>
          </w:tcPr>
          <w:p w14:paraId="35CFA70C">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195</w:t>
            </w:r>
          </w:p>
        </w:tc>
        <w:tc>
          <w:tcPr>
            <w:tcW w:w="665" w:type="pct"/>
            <w:noWrap/>
            <w:vAlign w:val="center"/>
          </w:tcPr>
          <w:p w14:paraId="7A4835B2">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195</w:t>
            </w:r>
          </w:p>
        </w:tc>
        <w:tc>
          <w:tcPr>
            <w:tcW w:w="416" w:type="pct"/>
            <w:noWrap/>
            <w:vAlign w:val="center"/>
          </w:tcPr>
          <w:p w14:paraId="3F40F2AA">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c>
          <w:tcPr>
            <w:tcW w:w="579" w:type="pct"/>
            <w:noWrap/>
            <w:vAlign w:val="center"/>
          </w:tcPr>
          <w:p w14:paraId="39AA271E">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c>
          <w:tcPr>
            <w:tcW w:w="419" w:type="pct"/>
            <w:noWrap/>
            <w:vAlign w:val="center"/>
          </w:tcPr>
          <w:p w14:paraId="4FAB8F0D">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c>
          <w:tcPr>
            <w:tcW w:w="419" w:type="pct"/>
            <w:noWrap/>
            <w:vAlign w:val="center"/>
          </w:tcPr>
          <w:p w14:paraId="039BC7CF">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c>
          <w:tcPr>
            <w:tcW w:w="419" w:type="pct"/>
            <w:noWrap/>
            <w:vAlign w:val="center"/>
          </w:tcPr>
          <w:p w14:paraId="0A4CFAC3">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r>
      <w:tr w14:paraId="7D591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18" w:type="pct"/>
            <w:vMerge w:val="continue"/>
            <w:vAlign w:val="center"/>
          </w:tcPr>
          <w:p w14:paraId="245AEFB8">
            <w:pPr>
              <w:jc w:val="center"/>
              <w:rPr>
                <w:rFonts w:ascii="Times New Roman" w:hAnsi="Times New Roman" w:eastAsia="宋体" w:cs="Times New Roman"/>
                <w:color w:val="auto"/>
                <w:sz w:val="22"/>
                <w:szCs w:val="24"/>
              </w:rPr>
            </w:pPr>
          </w:p>
        </w:tc>
        <w:tc>
          <w:tcPr>
            <w:tcW w:w="996" w:type="pct"/>
            <w:noWrap/>
            <w:vAlign w:val="center"/>
          </w:tcPr>
          <w:p w14:paraId="4FAB2DD9">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河深（m）</w:t>
            </w:r>
          </w:p>
        </w:tc>
        <w:tc>
          <w:tcPr>
            <w:tcW w:w="665" w:type="pct"/>
            <w:noWrap/>
            <w:vAlign w:val="center"/>
          </w:tcPr>
          <w:p w14:paraId="750ACD06">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5</w:t>
            </w:r>
          </w:p>
        </w:tc>
        <w:tc>
          <w:tcPr>
            <w:tcW w:w="665" w:type="pct"/>
            <w:noWrap/>
            <w:vAlign w:val="center"/>
          </w:tcPr>
          <w:p w14:paraId="3A684E4D">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5</w:t>
            </w:r>
          </w:p>
        </w:tc>
        <w:tc>
          <w:tcPr>
            <w:tcW w:w="416" w:type="pct"/>
            <w:noWrap/>
            <w:vAlign w:val="center"/>
          </w:tcPr>
          <w:p w14:paraId="4E90A1D6">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c>
          <w:tcPr>
            <w:tcW w:w="579" w:type="pct"/>
            <w:noWrap/>
            <w:vAlign w:val="center"/>
          </w:tcPr>
          <w:p w14:paraId="1D9D5B9F">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c>
          <w:tcPr>
            <w:tcW w:w="419" w:type="pct"/>
            <w:noWrap/>
            <w:vAlign w:val="center"/>
          </w:tcPr>
          <w:p w14:paraId="38D0A42D">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c>
          <w:tcPr>
            <w:tcW w:w="419" w:type="pct"/>
            <w:noWrap/>
            <w:vAlign w:val="center"/>
          </w:tcPr>
          <w:p w14:paraId="37371BC7">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c>
          <w:tcPr>
            <w:tcW w:w="419" w:type="pct"/>
            <w:noWrap/>
            <w:vAlign w:val="center"/>
          </w:tcPr>
          <w:p w14:paraId="58317B6E">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r>
      <w:tr w14:paraId="0BD68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18" w:type="pct"/>
            <w:vMerge w:val="continue"/>
            <w:vAlign w:val="center"/>
          </w:tcPr>
          <w:p w14:paraId="5E0DFC21">
            <w:pPr>
              <w:jc w:val="center"/>
              <w:rPr>
                <w:rFonts w:ascii="Times New Roman" w:hAnsi="Times New Roman" w:eastAsia="宋体" w:cs="Times New Roman"/>
                <w:color w:val="auto"/>
                <w:sz w:val="22"/>
                <w:szCs w:val="24"/>
              </w:rPr>
            </w:pPr>
          </w:p>
        </w:tc>
        <w:tc>
          <w:tcPr>
            <w:tcW w:w="996" w:type="pct"/>
            <w:noWrap/>
            <w:vAlign w:val="center"/>
          </w:tcPr>
          <w:p w14:paraId="598E7426">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pH值</w:t>
            </w:r>
          </w:p>
        </w:tc>
        <w:tc>
          <w:tcPr>
            <w:tcW w:w="665" w:type="pct"/>
            <w:noWrap/>
            <w:vAlign w:val="center"/>
          </w:tcPr>
          <w:p w14:paraId="490AC0CD">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7.7</w:t>
            </w:r>
          </w:p>
        </w:tc>
        <w:tc>
          <w:tcPr>
            <w:tcW w:w="665" w:type="pct"/>
            <w:noWrap/>
            <w:vAlign w:val="center"/>
          </w:tcPr>
          <w:p w14:paraId="3C936100">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7.7</w:t>
            </w:r>
          </w:p>
        </w:tc>
        <w:tc>
          <w:tcPr>
            <w:tcW w:w="416" w:type="pct"/>
            <w:noWrap/>
            <w:vAlign w:val="center"/>
          </w:tcPr>
          <w:p w14:paraId="7CFCFF62">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6~9</w:t>
            </w:r>
          </w:p>
        </w:tc>
        <w:tc>
          <w:tcPr>
            <w:tcW w:w="579" w:type="pct"/>
            <w:noWrap/>
            <w:vAlign w:val="center"/>
          </w:tcPr>
          <w:p w14:paraId="10DE5042">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c>
          <w:tcPr>
            <w:tcW w:w="419" w:type="pct"/>
            <w:noWrap/>
            <w:vAlign w:val="center"/>
          </w:tcPr>
          <w:p w14:paraId="3BB9BEFB">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w:t>
            </w:r>
          </w:p>
        </w:tc>
        <w:tc>
          <w:tcPr>
            <w:tcW w:w="419" w:type="pct"/>
            <w:noWrap/>
            <w:vAlign w:val="center"/>
          </w:tcPr>
          <w:p w14:paraId="5FE07634">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w:t>
            </w:r>
          </w:p>
        </w:tc>
        <w:tc>
          <w:tcPr>
            <w:tcW w:w="419" w:type="pct"/>
            <w:noWrap/>
            <w:vAlign w:val="center"/>
          </w:tcPr>
          <w:p w14:paraId="41238C9F">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达标</w:t>
            </w:r>
          </w:p>
        </w:tc>
      </w:tr>
      <w:tr w14:paraId="1E69D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18" w:type="pct"/>
            <w:vMerge w:val="continue"/>
            <w:vAlign w:val="center"/>
          </w:tcPr>
          <w:p w14:paraId="3F0DDA44">
            <w:pPr>
              <w:jc w:val="center"/>
              <w:rPr>
                <w:rFonts w:ascii="Times New Roman" w:hAnsi="Times New Roman" w:eastAsia="宋体" w:cs="Times New Roman"/>
                <w:color w:val="auto"/>
                <w:sz w:val="22"/>
                <w:szCs w:val="24"/>
              </w:rPr>
            </w:pPr>
          </w:p>
        </w:tc>
        <w:tc>
          <w:tcPr>
            <w:tcW w:w="996" w:type="pct"/>
            <w:noWrap/>
            <w:vAlign w:val="center"/>
          </w:tcPr>
          <w:p w14:paraId="117B3C05">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溶解氧</w:t>
            </w:r>
          </w:p>
        </w:tc>
        <w:tc>
          <w:tcPr>
            <w:tcW w:w="665" w:type="pct"/>
            <w:noWrap/>
            <w:vAlign w:val="center"/>
          </w:tcPr>
          <w:p w14:paraId="3FBA5313">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6.4~8.2</w:t>
            </w:r>
          </w:p>
        </w:tc>
        <w:tc>
          <w:tcPr>
            <w:tcW w:w="665" w:type="pct"/>
            <w:noWrap/>
            <w:vAlign w:val="center"/>
          </w:tcPr>
          <w:p w14:paraId="6A11CFC6">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7.3</w:t>
            </w:r>
          </w:p>
        </w:tc>
        <w:tc>
          <w:tcPr>
            <w:tcW w:w="416" w:type="pct"/>
            <w:noWrap/>
            <w:vAlign w:val="center"/>
          </w:tcPr>
          <w:p w14:paraId="485CD0E5">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≥5</w:t>
            </w:r>
          </w:p>
        </w:tc>
        <w:tc>
          <w:tcPr>
            <w:tcW w:w="579" w:type="pct"/>
            <w:noWrap/>
            <w:vAlign w:val="center"/>
          </w:tcPr>
          <w:p w14:paraId="2BC6C599">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c>
          <w:tcPr>
            <w:tcW w:w="419" w:type="pct"/>
            <w:noWrap/>
            <w:vAlign w:val="center"/>
          </w:tcPr>
          <w:p w14:paraId="03974159">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w:t>
            </w:r>
          </w:p>
        </w:tc>
        <w:tc>
          <w:tcPr>
            <w:tcW w:w="419" w:type="pct"/>
            <w:noWrap/>
            <w:vAlign w:val="center"/>
          </w:tcPr>
          <w:p w14:paraId="5CB2A0BD">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w:t>
            </w:r>
          </w:p>
        </w:tc>
        <w:tc>
          <w:tcPr>
            <w:tcW w:w="419" w:type="pct"/>
            <w:noWrap/>
            <w:vAlign w:val="center"/>
          </w:tcPr>
          <w:p w14:paraId="4BCD4F59">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达标</w:t>
            </w:r>
          </w:p>
        </w:tc>
      </w:tr>
      <w:tr w14:paraId="55EFF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18" w:type="pct"/>
            <w:vMerge w:val="continue"/>
            <w:vAlign w:val="center"/>
          </w:tcPr>
          <w:p w14:paraId="5D73D538">
            <w:pPr>
              <w:jc w:val="center"/>
              <w:rPr>
                <w:rFonts w:ascii="Times New Roman" w:hAnsi="Times New Roman" w:eastAsia="宋体" w:cs="Times New Roman"/>
                <w:color w:val="auto"/>
                <w:sz w:val="22"/>
                <w:szCs w:val="24"/>
              </w:rPr>
            </w:pPr>
          </w:p>
        </w:tc>
        <w:tc>
          <w:tcPr>
            <w:tcW w:w="996" w:type="pct"/>
            <w:noWrap/>
            <w:vAlign w:val="center"/>
          </w:tcPr>
          <w:p w14:paraId="3FC7A1CE">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BOD5</w:t>
            </w:r>
          </w:p>
        </w:tc>
        <w:tc>
          <w:tcPr>
            <w:tcW w:w="665" w:type="pct"/>
            <w:noWrap/>
            <w:vAlign w:val="center"/>
          </w:tcPr>
          <w:p w14:paraId="68973B38">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1.7</w:t>
            </w:r>
          </w:p>
        </w:tc>
        <w:tc>
          <w:tcPr>
            <w:tcW w:w="665" w:type="pct"/>
            <w:noWrap/>
            <w:vAlign w:val="center"/>
          </w:tcPr>
          <w:p w14:paraId="0CC7B5F4">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1.7</w:t>
            </w:r>
          </w:p>
        </w:tc>
        <w:tc>
          <w:tcPr>
            <w:tcW w:w="416" w:type="pct"/>
            <w:noWrap/>
            <w:vAlign w:val="center"/>
          </w:tcPr>
          <w:p w14:paraId="649C069D">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4</w:t>
            </w:r>
          </w:p>
        </w:tc>
        <w:tc>
          <w:tcPr>
            <w:tcW w:w="579" w:type="pct"/>
            <w:noWrap/>
            <w:vAlign w:val="center"/>
          </w:tcPr>
          <w:p w14:paraId="50B69EFC">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0.425</w:t>
            </w:r>
          </w:p>
        </w:tc>
        <w:tc>
          <w:tcPr>
            <w:tcW w:w="419" w:type="pct"/>
            <w:noWrap/>
            <w:vAlign w:val="center"/>
          </w:tcPr>
          <w:p w14:paraId="08FDFD3F">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w:t>
            </w:r>
          </w:p>
        </w:tc>
        <w:tc>
          <w:tcPr>
            <w:tcW w:w="419" w:type="pct"/>
            <w:noWrap/>
            <w:vAlign w:val="center"/>
          </w:tcPr>
          <w:p w14:paraId="12E9093F">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w:t>
            </w:r>
          </w:p>
        </w:tc>
        <w:tc>
          <w:tcPr>
            <w:tcW w:w="419" w:type="pct"/>
            <w:noWrap/>
            <w:vAlign w:val="center"/>
          </w:tcPr>
          <w:p w14:paraId="11146193">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达标</w:t>
            </w:r>
          </w:p>
        </w:tc>
      </w:tr>
      <w:tr w14:paraId="53A78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18" w:type="pct"/>
            <w:vMerge w:val="continue"/>
            <w:vAlign w:val="center"/>
          </w:tcPr>
          <w:p w14:paraId="716CEB43">
            <w:pPr>
              <w:jc w:val="center"/>
              <w:rPr>
                <w:rFonts w:ascii="Times New Roman" w:hAnsi="Times New Roman" w:eastAsia="宋体" w:cs="Times New Roman"/>
                <w:color w:val="auto"/>
                <w:sz w:val="22"/>
                <w:szCs w:val="24"/>
              </w:rPr>
            </w:pPr>
          </w:p>
        </w:tc>
        <w:tc>
          <w:tcPr>
            <w:tcW w:w="996" w:type="pct"/>
            <w:noWrap/>
            <w:vAlign w:val="center"/>
          </w:tcPr>
          <w:p w14:paraId="7A8A5D53">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COD</w:t>
            </w:r>
          </w:p>
        </w:tc>
        <w:tc>
          <w:tcPr>
            <w:tcW w:w="665" w:type="pct"/>
            <w:noWrap/>
            <w:vAlign w:val="center"/>
          </w:tcPr>
          <w:p w14:paraId="292B4040">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16</w:t>
            </w:r>
          </w:p>
        </w:tc>
        <w:tc>
          <w:tcPr>
            <w:tcW w:w="665" w:type="pct"/>
            <w:noWrap/>
            <w:vAlign w:val="center"/>
          </w:tcPr>
          <w:p w14:paraId="7B4C9DE7">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16</w:t>
            </w:r>
          </w:p>
        </w:tc>
        <w:tc>
          <w:tcPr>
            <w:tcW w:w="416" w:type="pct"/>
            <w:noWrap/>
            <w:vAlign w:val="center"/>
          </w:tcPr>
          <w:p w14:paraId="4552B222">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20</w:t>
            </w:r>
          </w:p>
        </w:tc>
        <w:tc>
          <w:tcPr>
            <w:tcW w:w="579" w:type="pct"/>
            <w:noWrap/>
            <w:vAlign w:val="center"/>
          </w:tcPr>
          <w:p w14:paraId="1088AF13">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0.8</w:t>
            </w:r>
          </w:p>
        </w:tc>
        <w:tc>
          <w:tcPr>
            <w:tcW w:w="419" w:type="pct"/>
            <w:noWrap/>
            <w:vAlign w:val="center"/>
          </w:tcPr>
          <w:p w14:paraId="66B134E1">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w:t>
            </w:r>
          </w:p>
        </w:tc>
        <w:tc>
          <w:tcPr>
            <w:tcW w:w="419" w:type="pct"/>
            <w:noWrap/>
            <w:vAlign w:val="center"/>
          </w:tcPr>
          <w:p w14:paraId="374698CB">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w:t>
            </w:r>
          </w:p>
        </w:tc>
        <w:tc>
          <w:tcPr>
            <w:tcW w:w="419" w:type="pct"/>
            <w:noWrap/>
            <w:vAlign w:val="center"/>
          </w:tcPr>
          <w:p w14:paraId="2A6083A8">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达标</w:t>
            </w:r>
          </w:p>
        </w:tc>
      </w:tr>
      <w:tr w14:paraId="3C990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18" w:type="pct"/>
            <w:vMerge w:val="continue"/>
            <w:vAlign w:val="center"/>
          </w:tcPr>
          <w:p w14:paraId="5D8066CA">
            <w:pPr>
              <w:jc w:val="center"/>
              <w:rPr>
                <w:rFonts w:ascii="Times New Roman" w:hAnsi="Times New Roman" w:eastAsia="宋体" w:cs="Times New Roman"/>
                <w:color w:val="auto"/>
                <w:sz w:val="22"/>
                <w:szCs w:val="24"/>
              </w:rPr>
            </w:pPr>
          </w:p>
        </w:tc>
        <w:tc>
          <w:tcPr>
            <w:tcW w:w="996" w:type="pct"/>
            <w:noWrap/>
            <w:vAlign w:val="center"/>
          </w:tcPr>
          <w:p w14:paraId="21F43FF5">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硫化物</w:t>
            </w:r>
          </w:p>
        </w:tc>
        <w:tc>
          <w:tcPr>
            <w:tcW w:w="665" w:type="pct"/>
            <w:noWrap/>
            <w:vAlign w:val="center"/>
          </w:tcPr>
          <w:p w14:paraId="3246550C">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0.01</w:t>
            </w:r>
          </w:p>
        </w:tc>
        <w:tc>
          <w:tcPr>
            <w:tcW w:w="665" w:type="pct"/>
            <w:noWrap/>
            <w:vAlign w:val="center"/>
          </w:tcPr>
          <w:p w14:paraId="4F398C4B">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0.01</w:t>
            </w:r>
          </w:p>
        </w:tc>
        <w:tc>
          <w:tcPr>
            <w:tcW w:w="416" w:type="pct"/>
            <w:noWrap/>
            <w:vAlign w:val="center"/>
          </w:tcPr>
          <w:p w14:paraId="6DC7F867">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0.2</w:t>
            </w:r>
          </w:p>
        </w:tc>
        <w:tc>
          <w:tcPr>
            <w:tcW w:w="579" w:type="pct"/>
            <w:noWrap/>
            <w:vAlign w:val="center"/>
          </w:tcPr>
          <w:p w14:paraId="2B917B7C">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0.05</w:t>
            </w:r>
          </w:p>
        </w:tc>
        <w:tc>
          <w:tcPr>
            <w:tcW w:w="419" w:type="pct"/>
            <w:noWrap/>
            <w:vAlign w:val="center"/>
          </w:tcPr>
          <w:p w14:paraId="073B0577">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w:t>
            </w:r>
          </w:p>
        </w:tc>
        <w:tc>
          <w:tcPr>
            <w:tcW w:w="419" w:type="pct"/>
            <w:noWrap/>
            <w:vAlign w:val="center"/>
          </w:tcPr>
          <w:p w14:paraId="7E4D494B">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w:t>
            </w:r>
          </w:p>
        </w:tc>
        <w:tc>
          <w:tcPr>
            <w:tcW w:w="419" w:type="pct"/>
            <w:noWrap/>
            <w:vAlign w:val="center"/>
          </w:tcPr>
          <w:p w14:paraId="7601C2BF">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达标</w:t>
            </w:r>
          </w:p>
        </w:tc>
      </w:tr>
      <w:tr w14:paraId="5E1F8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18" w:type="pct"/>
            <w:vMerge w:val="continue"/>
            <w:vAlign w:val="center"/>
          </w:tcPr>
          <w:p w14:paraId="55AEA7AD">
            <w:pPr>
              <w:jc w:val="center"/>
              <w:rPr>
                <w:rFonts w:ascii="Times New Roman" w:hAnsi="Times New Roman" w:eastAsia="宋体" w:cs="Times New Roman"/>
                <w:color w:val="auto"/>
                <w:sz w:val="22"/>
                <w:szCs w:val="24"/>
              </w:rPr>
            </w:pPr>
          </w:p>
        </w:tc>
        <w:tc>
          <w:tcPr>
            <w:tcW w:w="996" w:type="pct"/>
            <w:noWrap/>
            <w:vAlign w:val="center"/>
          </w:tcPr>
          <w:p w14:paraId="28636A6C">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氨氮（以N计）</w:t>
            </w:r>
          </w:p>
        </w:tc>
        <w:tc>
          <w:tcPr>
            <w:tcW w:w="665" w:type="pct"/>
            <w:noWrap/>
            <w:vAlign w:val="center"/>
          </w:tcPr>
          <w:p w14:paraId="08F66B28">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0.318</w:t>
            </w:r>
          </w:p>
        </w:tc>
        <w:tc>
          <w:tcPr>
            <w:tcW w:w="665" w:type="pct"/>
            <w:noWrap/>
            <w:vAlign w:val="center"/>
          </w:tcPr>
          <w:p w14:paraId="7079A0AA">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0.318</w:t>
            </w:r>
          </w:p>
        </w:tc>
        <w:tc>
          <w:tcPr>
            <w:tcW w:w="416" w:type="pct"/>
            <w:noWrap/>
            <w:vAlign w:val="center"/>
          </w:tcPr>
          <w:p w14:paraId="05159060">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1</w:t>
            </w:r>
          </w:p>
        </w:tc>
        <w:tc>
          <w:tcPr>
            <w:tcW w:w="579" w:type="pct"/>
            <w:noWrap/>
            <w:vAlign w:val="center"/>
          </w:tcPr>
          <w:p w14:paraId="275054AB">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0.318</w:t>
            </w:r>
          </w:p>
        </w:tc>
        <w:tc>
          <w:tcPr>
            <w:tcW w:w="419" w:type="pct"/>
            <w:noWrap/>
            <w:vAlign w:val="center"/>
          </w:tcPr>
          <w:p w14:paraId="4FCCFAE3">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w:t>
            </w:r>
          </w:p>
        </w:tc>
        <w:tc>
          <w:tcPr>
            <w:tcW w:w="419" w:type="pct"/>
            <w:noWrap/>
            <w:vAlign w:val="center"/>
          </w:tcPr>
          <w:p w14:paraId="05C1BD58">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w:t>
            </w:r>
          </w:p>
        </w:tc>
        <w:tc>
          <w:tcPr>
            <w:tcW w:w="419" w:type="pct"/>
            <w:noWrap/>
            <w:vAlign w:val="center"/>
          </w:tcPr>
          <w:p w14:paraId="74899B81">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达标</w:t>
            </w:r>
          </w:p>
        </w:tc>
      </w:tr>
      <w:tr w14:paraId="2B37B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18" w:type="pct"/>
            <w:vMerge w:val="continue"/>
            <w:vAlign w:val="center"/>
          </w:tcPr>
          <w:p w14:paraId="7ADB207A">
            <w:pPr>
              <w:jc w:val="center"/>
              <w:rPr>
                <w:rFonts w:ascii="Times New Roman" w:hAnsi="Times New Roman" w:eastAsia="宋体" w:cs="Times New Roman"/>
                <w:color w:val="auto"/>
                <w:sz w:val="22"/>
                <w:szCs w:val="24"/>
              </w:rPr>
            </w:pPr>
          </w:p>
        </w:tc>
        <w:tc>
          <w:tcPr>
            <w:tcW w:w="996" w:type="pct"/>
            <w:noWrap/>
            <w:vAlign w:val="center"/>
          </w:tcPr>
          <w:p w14:paraId="4379E274">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总磷（以N计）</w:t>
            </w:r>
          </w:p>
        </w:tc>
        <w:tc>
          <w:tcPr>
            <w:tcW w:w="665" w:type="pct"/>
            <w:noWrap/>
            <w:vAlign w:val="center"/>
          </w:tcPr>
          <w:p w14:paraId="35F158FA">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0.07</w:t>
            </w:r>
          </w:p>
        </w:tc>
        <w:tc>
          <w:tcPr>
            <w:tcW w:w="665" w:type="pct"/>
            <w:noWrap/>
            <w:vAlign w:val="center"/>
          </w:tcPr>
          <w:p w14:paraId="06EF4AB0">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0.07</w:t>
            </w:r>
          </w:p>
        </w:tc>
        <w:tc>
          <w:tcPr>
            <w:tcW w:w="416" w:type="pct"/>
            <w:noWrap/>
            <w:vAlign w:val="center"/>
          </w:tcPr>
          <w:p w14:paraId="2510E994">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0.2</w:t>
            </w:r>
          </w:p>
        </w:tc>
        <w:tc>
          <w:tcPr>
            <w:tcW w:w="579" w:type="pct"/>
            <w:noWrap/>
            <w:vAlign w:val="center"/>
          </w:tcPr>
          <w:p w14:paraId="14DD899E">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0.35</w:t>
            </w:r>
          </w:p>
        </w:tc>
        <w:tc>
          <w:tcPr>
            <w:tcW w:w="419" w:type="pct"/>
            <w:noWrap/>
            <w:vAlign w:val="center"/>
          </w:tcPr>
          <w:p w14:paraId="11F52461">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w:t>
            </w:r>
          </w:p>
        </w:tc>
        <w:tc>
          <w:tcPr>
            <w:tcW w:w="419" w:type="pct"/>
            <w:noWrap/>
            <w:vAlign w:val="center"/>
          </w:tcPr>
          <w:p w14:paraId="048156A3">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w:t>
            </w:r>
          </w:p>
        </w:tc>
        <w:tc>
          <w:tcPr>
            <w:tcW w:w="419" w:type="pct"/>
            <w:noWrap/>
            <w:vAlign w:val="center"/>
          </w:tcPr>
          <w:p w14:paraId="70E563EF">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达标</w:t>
            </w:r>
          </w:p>
        </w:tc>
      </w:tr>
      <w:tr w14:paraId="40CC2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18" w:type="pct"/>
            <w:vMerge w:val="continue"/>
            <w:vAlign w:val="center"/>
          </w:tcPr>
          <w:p w14:paraId="13248732">
            <w:pPr>
              <w:jc w:val="center"/>
              <w:rPr>
                <w:rFonts w:ascii="Times New Roman" w:hAnsi="Times New Roman" w:eastAsia="宋体" w:cs="Times New Roman"/>
                <w:color w:val="auto"/>
                <w:sz w:val="22"/>
                <w:szCs w:val="24"/>
              </w:rPr>
            </w:pPr>
          </w:p>
        </w:tc>
        <w:tc>
          <w:tcPr>
            <w:tcW w:w="996" w:type="pct"/>
            <w:noWrap/>
            <w:vAlign w:val="center"/>
          </w:tcPr>
          <w:p w14:paraId="7B634B3F">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氟化物（以F-计）</w:t>
            </w:r>
          </w:p>
        </w:tc>
        <w:tc>
          <w:tcPr>
            <w:tcW w:w="665" w:type="pct"/>
            <w:noWrap/>
            <w:vAlign w:val="center"/>
          </w:tcPr>
          <w:p w14:paraId="2B4AB808">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0.004</w:t>
            </w:r>
          </w:p>
        </w:tc>
        <w:tc>
          <w:tcPr>
            <w:tcW w:w="665" w:type="pct"/>
            <w:noWrap/>
            <w:vAlign w:val="center"/>
          </w:tcPr>
          <w:p w14:paraId="6C82E664">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0.004</w:t>
            </w:r>
          </w:p>
        </w:tc>
        <w:tc>
          <w:tcPr>
            <w:tcW w:w="416" w:type="pct"/>
            <w:noWrap/>
            <w:vAlign w:val="center"/>
          </w:tcPr>
          <w:p w14:paraId="74CD8236">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1</w:t>
            </w:r>
          </w:p>
        </w:tc>
        <w:tc>
          <w:tcPr>
            <w:tcW w:w="579" w:type="pct"/>
            <w:noWrap/>
            <w:vAlign w:val="center"/>
          </w:tcPr>
          <w:p w14:paraId="0B094370">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0.004</w:t>
            </w:r>
          </w:p>
        </w:tc>
        <w:tc>
          <w:tcPr>
            <w:tcW w:w="419" w:type="pct"/>
            <w:noWrap/>
            <w:vAlign w:val="center"/>
          </w:tcPr>
          <w:p w14:paraId="7D6CCFDD">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w:t>
            </w:r>
          </w:p>
        </w:tc>
        <w:tc>
          <w:tcPr>
            <w:tcW w:w="419" w:type="pct"/>
            <w:noWrap/>
            <w:vAlign w:val="center"/>
          </w:tcPr>
          <w:p w14:paraId="526F499F">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w:t>
            </w:r>
          </w:p>
        </w:tc>
        <w:tc>
          <w:tcPr>
            <w:tcW w:w="419" w:type="pct"/>
            <w:noWrap/>
            <w:vAlign w:val="center"/>
          </w:tcPr>
          <w:p w14:paraId="126827D0">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达标</w:t>
            </w:r>
          </w:p>
        </w:tc>
      </w:tr>
      <w:tr w14:paraId="2F99F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18" w:type="pct"/>
            <w:vMerge w:val="continue"/>
            <w:vAlign w:val="center"/>
          </w:tcPr>
          <w:p w14:paraId="724A6988">
            <w:pPr>
              <w:jc w:val="center"/>
              <w:rPr>
                <w:rFonts w:ascii="Times New Roman" w:hAnsi="Times New Roman" w:eastAsia="宋体" w:cs="Times New Roman"/>
                <w:color w:val="auto"/>
                <w:sz w:val="22"/>
                <w:szCs w:val="24"/>
              </w:rPr>
            </w:pPr>
          </w:p>
        </w:tc>
        <w:tc>
          <w:tcPr>
            <w:tcW w:w="996" w:type="pct"/>
            <w:noWrap/>
            <w:vAlign w:val="center"/>
          </w:tcPr>
          <w:p w14:paraId="2BBF6B69">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铬（六价）</w:t>
            </w:r>
          </w:p>
        </w:tc>
        <w:tc>
          <w:tcPr>
            <w:tcW w:w="665" w:type="pct"/>
            <w:noWrap/>
            <w:vAlign w:val="center"/>
          </w:tcPr>
          <w:p w14:paraId="69886F49">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0.004</w:t>
            </w:r>
          </w:p>
        </w:tc>
        <w:tc>
          <w:tcPr>
            <w:tcW w:w="665" w:type="pct"/>
            <w:noWrap/>
            <w:vAlign w:val="center"/>
          </w:tcPr>
          <w:p w14:paraId="3222430C">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0.004</w:t>
            </w:r>
          </w:p>
        </w:tc>
        <w:tc>
          <w:tcPr>
            <w:tcW w:w="416" w:type="pct"/>
            <w:noWrap/>
            <w:vAlign w:val="center"/>
          </w:tcPr>
          <w:p w14:paraId="6773030A">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0.05</w:t>
            </w:r>
          </w:p>
        </w:tc>
        <w:tc>
          <w:tcPr>
            <w:tcW w:w="579" w:type="pct"/>
            <w:noWrap/>
            <w:vAlign w:val="center"/>
          </w:tcPr>
          <w:p w14:paraId="4248951D">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0.08</w:t>
            </w:r>
          </w:p>
        </w:tc>
        <w:tc>
          <w:tcPr>
            <w:tcW w:w="419" w:type="pct"/>
            <w:noWrap/>
            <w:vAlign w:val="center"/>
          </w:tcPr>
          <w:p w14:paraId="758D4463">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w:t>
            </w:r>
          </w:p>
        </w:tc>
        <w:tc>
          <w:tcPr>
            <w:tcW w:w="419" w:type="pct"/>
            <w:noWrap/>
            <w:vAlign w:val="center"/>
          </w:tcPr>
          <w:p w14:paraId="47857569">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w:t>
            </w:r>
          </w:p>
        </w:tc>
        <w:tc>
          <w:tcPr>
            <w:tcW w:w="419" w:type="pct"/>
            <w:noWrap/>
            <w:vAlign w:val="center"/>
          </w:tcPr>
          <w:p w14:paraId="65F62944">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达标</w:t>
            </w:r>
          </w:p>
        </w:tc>
      </w:tr>
      <w:tr w14:paraId="7FCF3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18" w:type="pct"/>
            <w:vMerge w:val="continue"/>
            <w:vAlign w:val="center"/>
          </w:tcPr>
          <w:p w14:paraId="4025920E">
            <w:pPr>
              <w:jc w:val="center"/>
              <w:rPr>
                <w:rFonts w:ascii="Times New Roman" w:hAnsi="Times New Roman" w:eastAsia="宋体" w:cs="Times New Roman"/>
                <w:color w:val="auto"/>
                <w:sz w:val="22"/>
                <w:szCs w:val="24"/>
              </w:rPr>
            </w:pPr>
          </w:p>
        </w:tc>
        <w:tc>
          <w:tcPr>
            <w:tcW w:w="996" w:type="pct"/>
            <w:noWrap/>
            <w:vAlign w:val="center"/>
          </w:tcPr>
          <w:p w14:paraId="7C60FFFE">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氰化物</w:t>
            </w:r>
          </w:p>
        </w:tc>
        <w:tc>
          <w:tcPr>
            <w:tcW w:w="665" w:type="pct"/>
            <w:noWrap/>
            <w:vAlign w:val="center"/>
          </w:tcPr>
          <w:p w14:paraId="3049BC78">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0.004</w:t>
            </w:r>
          </w:p>
        </w:tc>
        <w:tc>
          <w:tcPr>
            <w:tcW w:w="665" w:type="pct"/>
            <w:noWrap/>
            <w:vAlign w:val="center"/>
          </w:tcPr>
          <w:p w14:paraId="17D0118D">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0.004</w:t>
            </w:r>
          </w:p>
        </w:tc>
        <w:tc>
          <w:tcPr>
            <w:tcW w:w="416" w:type="pct"/>
            <w:noWrap/>
            <w:vAlign w:val="center"/>
          </w:tcPr>
          <w:p w14:paraId="243E0C6A">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0.2</w:t>
            </w:r>
          </w:p>
        </w:tc>
        <w:tc>
          <w:tcPr>
            <w:tcW w:w="579" w:type="pct"/>
            <w:noWrap/>
            <w:vAlign w:val="center"/>
          </w:tcPr>
          <w:p w14:paraId="7B6F0F34">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0.02</w:t>
            </w:r>
          </w:p>
        </w:tc>
        <w:tc>
          <w:tcPr>
            <w:tcW w:w="419" w:type="pct"/>
            <w:noWrap/>
            <w:vAlign w:val="center"/>
          </w:tcPr>
          <w:p w14:paraId="6EA72FC7">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w:t>
            </w:r>
          </w:p>
        </w:tc>
        <w:tc>
          <w:tcPr>
            <w:tcW w:w="419" w:type="pct"/>
            <w:noWrap/>
            <w:vAlign w:val="center"/>
          </w:tcPr>
          <w:p w14:paraId="1EE0E918">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w:t>
            </w:r>
          </w:p>
        </w:tc>
        <w:tc>
          <w:tcPr>
            <w:tcW w:w="419" w:type="pct"/>
            <w:noWrap/>
            <w:vAlign w:val="center"/>
          </w:tcPr>
          <w:p w14:paraId="355B04AD">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达标</w:t>
            </w:r>
          </w:p>
        </w:tc>
      </w:tr>
      <w:tr w14:paraId="1F9AA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18" w:type="pct"/>
            <w:vMerge w:val="continue"/>
            <w:vAlign w:val="center"/>
          </w:tcPr>
          <w:p w14:paraId="4C1F62B4">
            <w:pPr>
              <w:jc w:val="center"/>
              <w:rPr>
                <w:rFonts w:ascii="Times New Roman" w:hAnsi="Times New Roman" w:eastAsia="宋体" w:cs="Times New Roman"/>
                <w:color w:val="auto"/>
                <w:sz w:val="22"/>
                <w:szCs w:val="24"/>
              </w:rPr>
            </w:pPr>
          </w:p>
        </w:tc>
        <w:tc>
          <w:tcPr>
            <w:tcW w:w="996" w:type="pct"/>
            <w:noWrap/>
            <w:vAlign w:val="center"/>
          </w:tcPr>
          <w:p w14:paraId="6B1A765E">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挥发性酚类（以苯酚计）</w:t>
            </w:r>
          </w:p>
        </w:tc>
        <w:tc>
          <w:tcPr>
            <w:tcW w:w="665" w:type="pct"/>
            <w:noWrap/>
            <w:vAlign w:val="center"/>
          </w:tcPr>
          <w:p w14:paraId="713BF253">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0.0004</w:t>
            </w:r>
          </w:p>
        </w:tc>
        <w:tc>
          <w:tcPr>
            <w:tcW w:w="665" w:type="pct"/>
            <w:noWrap/>
            <w:vAlign w:val="center"/>
          </w:tcPr>
          <w:p w14:paraId="23CC55DC">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0.0004</w:t>
            </w:r>
          </w:p>
        </w:tc>
        <w:tc>
          <w:tcPr>
            <w:tcW w:w="416" w:type="pct"/>
            <w:noWrap/>
            <w:vAlign w:val="center"/>
          </w:tcPr>
          <w:p w14:paraId="7106AE90">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0.005</w:t>
            </w:r>
          </w:p>
        </w:tc>
        <w:tc>
          <w:tcPr>
            <w:tcW w:w="579" w:type="pct"/>
            <w:noWrap/>
            <w:vAlign w:val="center"/>
          </w:tcPr>
          <w:p w14:paraId="2863BBC1">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0.08</w:t>
            </w:r>
          </w:p>
        </w:tc>
        <w:tc>
          <w:tcPr>
            <w:tcW w:w="419" w:type="pct"/>
            <w:noWrap/>
            <w:vAlign w:val="center"/>
          </w:tcPr>
          <w:p w14:paraId="1526B541">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w:t>
            </w:r>
          </w:p>
        </w:tc>
        <w:tc>
          <w:tcPr>
            <w:tcW w:w="419" w:type="pct"/>
            <w:noWrap/>
            <w:vAlign w:val="center"/>
          </w:tcPr>
          <w:p w14:paraId="090445CD">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w:t>
            </w:r>
          </w:p>
        </w:tc>
        <w:tc>
          <w:tcPr>
            <w:tcW w:w="419" w:type="pct"/>
            <w:noWrap/>
            <w:vAlign w:val="center"/>
          </w:tcPr>
          <w:p w14:paraId="03F66C05">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达标</w:t>
            </w:r>
          </w:p>
        </w:tc>
      </w:tr>
      <w:tr w14:paraId="28023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18" w:type="pct"/>
            <w:vMerge w:val="continue"/>
            <w:vAlign w:val="center"/>
          </w:tcPr>
          <w:p w14:paraId="0ABF9361">
            <w:pPr>
              <w:jc w:val="center"/>
              <w:rPr>
                <w:rFonts w:ascii="Times New Roman" w:hAnsi="Times New Roman" w:eastAsia="宋体" w:cs="Times New Roman"/>
                <w:color w:val="auto"/>
                <w:sz w:val="22"/>
                <w:szCs w:val="24"/>
              </w:rPr>
            </w:pPr>
          </w:p>
        </w:tc>
        <w:tc>
          <w:tcPr>
            <w:tcW w:w="996" w:type="pct"/>
            <w:noWrap/>
            <w:vAlign w:val="center"/>
          </w:tcPr>
          <w:p w14:paraId="7285B685">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铜</w:t>
            </w:r>
          </w:p>
        </w:tc>
        <w:tc>
          <w:tcPr>
            <w:tcW w:w="665" w:type="pct"/>
            <w:noWrap/>
            <w:vAlign w:val="center"/>
          </w:tcPr>
          <w:p w14:paraId="0EB7F4B2">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0.01</w:t>
            </w:r>
          </w:p>
        </w:tc>
        <w:tc>
          <w:tcPr>
            <w:tcW w:w="665" w:type="pct"/>
            <w:noWrap/>
            <w:vAlign w:val="center"/>
          </w:tcPr>
          <w:p w14:paraId="42330530">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0.01</w:t>
            </w:r>
          </w:p>
        </w:tc>
        <w:tc>
          <w:tcPr>
            <w:tcW w:w="416" w:type="pct"/>
            <w:noWrap/>
            <w:vAlign w:val="center"/>
          </w:tcPr>
          <w:p w14:paraId="3A5AE8F1">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1</w:t>
            </w:r>
          </w:p>
        </w:tc>
        <w:tc>
          <w:tcPr>
            <w:tcW w:w="579" w:type="pct"/>
            <w:noWrap/>
            <w:vAlign w:val="center"/>
          </w:tcPr>
          <w:p w14:paraId="4CA72B9C">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0.01</w:t>
            </w:r>
          </w:p>
        </w:tc>
        <w:tc>
          <w:tcPr>
            <w:tcW w:w="419" w:type="pct"/>
            <w:noWrap/>
            <w:vAlign w:val="center"/>
          </w:tcPr>
          <w:p w14:paraId="4440D324">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w:t>
            </w:r>
          </w:p>
        </w:tc>
        <w:tc>
          <w:tcPr>
            <w:tcW w:w="419" w:type="pct"/>
            <w:noWrap/>
            <w:vAlign w:val="center"/>
          </w:tcPr>
          <w:p w14:paraId="05F0F342">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w:t>
            </w:r>
          </w:p>
        </w:tc>
        <w:tc>
          <w:tcPr>
            <w:tcW w:w="419" w:type="pct"/>
            <w:noWrap/>
            <w:vAlign w:val="center"/>
          </w:tcPr>
          <w:p w14:paraId="07B0E307">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达标</w:t>
            </w:r>
          </w:p>
        </w:tc>
      </w:tr>
      <w:tr w14:paraId="7F29A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18" w:type="pct"/>
            <w:vMerge w:val="continue"/>
            <w:vAlign w:val="center"/>
          </w:tcPr>
          <w:p w14:paraId="77421548">
            <w:pPr>
              <w:jc w:val="center"/>
              <w:rPr>
                <w:rFonts w:ascii="Times New Roman" w:hAnsi="Times New Roman" w:eastAsia="宋体" w:cs="Times New Roman"/>
                <w:color w:val="auto"/>
                <w:sz w:val="22"/>
                <w:szCs w:val="24"/>
              </w:rPr>
            </w:pPr>
          </w:p>
        </w:tc>
        <w:tc>
          <w:tcPr>
            <w:tcW w:w="996" w:type="pct"/>
            <w:noWrap/>
            <w:vAlign w:val="center"/>
          </w:tcPr>
          <w:p w14:paraId="3D37503C">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锌</w:t>
            </w:r>
          </w:p>
        </w:tc>
        <w:tc>
          <w:tcPr>
            <w:tcW w:w="665" w:type="pct"/>
            <w:noWrap/>
            <w:vAlign w:val="center"/>
          </w:tcPr>
          <w:p w14:paraId="0E0DE8FD">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0.01</w:t>
            </w:r>
          </w:p>
        </w:tc>
        <w:tc>
          <w:tcPr>
            <w:tcW w:w="665" w:type="pct"/>
            <w:noWrap/>
            <w:vAlign w:val="center"/>
          </w:tcPr>
          <w:p w14:paraId="46AFE78F">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0.01</w:t>
            </w:r>
          </w:p>
        </w:tc>
        <w:tc>
          <w:tcPr>
            <w:tcW w:w="416" w:type="pct"/>
            <w:noWrap/>
            <w:vAlign w:val="center"/>
          </w:tcPr>
          <w:p w14:paraId="655334E2">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1</w:t>
            </w:r>
          </w:p>
        </w:tc>
        <w:tc>
          <w:tcPr>
            <w:tcW w:w="579" w:type="pct"/>
            <w:noWrap/>
            <w:vAlign w:val="center"/>
          </w:tcPr>
          <w:p w14:paraId="4420BD6F">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0.01</w:t>
            </w:r>
          </w:p>
        </w:tc>
        <w:tc>
          <w:tcPr>
            <w:tcW w:w="419" w:type="pct"/>
            <w:noWrap/>
            <w:vAlign w:val="center"/>
          </w:tcPr>
          <w:p w14:paraId="3710246A">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w:t>
            </w:r>
          </w:p>
        </w:tc>
        <w:tc>
          <w:tcPr>
            <w:tcW w:w="419" w:type="pct"/>
            <w:noWrap/>
            <w:vAlign w:val="center"/>
          </w:tcPr>
          <w:p w14:paraId="0151CF3A">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w:t>
            </w:r>
          </w:p>
        </w:tc>
        <w:tc>
          <w:tcPr>
            <w:tcW w:w="419" w:type="pct"/>
            <w:noWrap/>
            <w:vAlign w:val="center"/>
          </w:tcPr>
          <w:p w14:paraId="3A8799F2">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达标</w:t>
            </w:r>
          </w:p>
        </w:tc>
      </w:tr>
      <w:tr w14:paraId="3910F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18" w:type="pct"/>
            <w:vMerge w:val="continue"/>
            <w:vAlign w:val="center"/>
          </w:tcPr>
          <w:p w14:paraId="7B6E2DC2">
            <w:pPr>
              <w:jc w:val="center"/>
              <w:rPr>
                <w:rFonts w:ascii="Times New Roman" w:hAnsi="Times New Roman" w:eastAsia="宋体" w:cs="Times New Roman"/>
                <w:color w:val="auto"/>
                <w:sz w:val="22"/>
                <w:szCs w:val="24"/>
              </w:rPr>
            </w:pPr>
          </w:p>
        </w:tc>
        <w:tc>
          <w:tcPr>
            <w:tcW w:w="996" w:type="pct"/>
            <w:noWrap/>
            <w:vAlign w:val="center"/>
          </w:tcPr>
          <w:p w14:paraId="4CDE6430">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汞</w:t>
            </w:r>
          </w:p>
        </w:tc>
        <w:tc>
          <w:tcPr>
            <w:tcW w:w="665" w:type="pct"/>
            <w:noWrap/>
            <w:vAlign w:val="center"/>
          </w:tcPr>
          <w:p w14:paraId="0AB650E5">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0.00004</w:t>
            </w:r>
          </w:p>
        </w:tc>
        <w:tc>
          <w:tcPr>
            <w:tcW w:w="665" w:type="pct"/>
            <w:noWrap/>
            <w:vAlign w:val="center"/>
          </w:tcPr>
          <w:p w14:paraId="0F4A114C">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0.04</w:t>
            </w:r>
          </w:p>
        </w:tc>
        <w:tc>
          <w:tcPr>
            <w:tcW w:w="416" w:type="pct"/>
            <w:noWrap/>
            <w:vAlign w:val="center"/>
          </w:tcPr>
          <w:p w14:paraId="27865B9D">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0.0001</w:t>
            </w:r>
          </w:p>
        </w:tc>
        <w:tc>
          <w:tcPr>
            <w:tcW w:w="579" w:type="pct"/>
            <w:noWrap/>
            <w:vAlign w:val="center"/>
          </w:tcPr>
          <w:p w14:paraId="6875690E">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0.4</w:t>
            </w:r>
          </w:p>
        </w:tc>
        <w:tc>
          <w:tcPr>
            <w:tcW w:w="419" w:type="pct"/>
            <w:noWrap/>
            <w:vAlign w:val="center"/>
          </w:tcPr>
          <w:p w14:paraId="7B4C21D0">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w:t>
            </w:r>
          </w:p>
        </w:tc>
        <w:tc>
          <w:tcPr>
            <w:tcW w:w="419" w:type="pct"/>
            <w:noWrap/>
            <w:vAlign w:val="center"/>
          </w:tcPr>
          <w:p w14:paraId="32BA1FB3">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w:t>
            </w:r>
          </w:p>
        </w:tc>
        <w:tc>
          <w:tcPr>
            <w:tcW w:w="419" w:type="pct"/>
            <w:noWrap/>
            <w:vAlign w:val="center"/>
          </w:tcPr>
          <w:p w14:paraId="295EE8AD">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达标</w:t>
            </w:r>
          </w:p>
        </w:tc>
      </w:tr>
      <w:tr w14:paraId="00489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18" w:type="pct"/>
            <w:vMerge w:val="continue"/>
            <w:vAlign w:val="center"/>
          </w:tcPr>
          <w:p w14:paraId="5AB012AC">
            <w:pPr>
              <w:jc w:val="center"/>
              <w:rPr>
                <w:rFonts w:ascii="Times New Roman" w:hAnsi="Times New Roman" w:eastAsia="宋体" w:cs="Times New Roman"/>
                <w:color w:val="auto"/>
                <w:sz w:val="22"/>
                <w:szCs w:val="24"/>
              </w:rPr>
            </w:pPr>
          </w:p>
        </w:tc>
        <w:tc>
          <w:tcPr>
            <w:tcW w:w="996" w:type="pct"/>
            <w:noWrap/>
            <w:vAlign w:val="center"/>
          </w:tcPr>
          <w:p w14:paraId="2FC94779">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镉</w:t>
            </w:r>
          </w:p>
        </w:tc>
        <w:tc>
          <w:tcPr>
            <w:tcW w:w="665" w:type="pct"/>
            <w:noWrap/>
            <w:vAlign w:val="center"/>
          </w:tcPr>
          <w:p w14:paraId="57C7B184">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0.00005</w:t>
            </w:r>
          </w:p>
        </w:tc>
        <w:tc>
          <w:tcPr>
            <w:tcW w:w="665" w:type="pct"/>
            <w:noWrap/>
            <w:vAlign w:val="center"/>
          </w:tcPr>
          <w:p w14:paraId="22F1F683">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0.05</w:t>
            </w:r>
          </w:p>
        </w:tc>
        <w:tc>
          <w:tcPr>
            <w:tcW w:w="416" w:type="pct"/>
            <w:noWrap/>
            <w:vAlign w:val="center"/>
          </w:tcPr>
          <w:p w14:paraId="378AC619">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0.005</w:t>
            </w:r>
          </w:p>
        </w:tc>
        <w:tc>
          <w:tcPr>
            <w:tcW w:w="579" w:type="pct"/>
            <w:noWrap/>
            <w:vAlign w:val="center"/>
          </w:tcPr>
          <w:p w14:paraId="61DE83FF">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0.01</w:t>
            </w:r>
          </w:p>
        </w:tc>
        <w:tc>
          <w:tcPr>
            <w:tcW w:w="419" w:type="pct"/>
            <w:noWrap/>
            <w:vAlign w:val="center"/>
          </w:tcPr>
          <w:p w14:paraId="307AC274">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w:t>
            </w:r>
          </w:p>
        </w:tc>
        <w:tc>
          <w:tcPr>
            <w:tcW w:w="419" w:type="pct"/>
            <w:noWrap/>
            <w:vAlign w:val="center"/>
          </w:tcPr>
          <w:p w14:paraId="7082966F">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w:t>
            </w:r>
          </w:p>
        </w:tc>
        <w:tc>
          <w:tcPr>
            <w:tcW w:w="419" w:type="pct"/>
            <w:noWrap/>
            <w:vAlign w:val="center"/>
          </w:tcPr>
          <w:p w14:paraId="5CD2064D">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达标</w:t>
            </w:r>
          </w:p>
        </w:tc>
      </w:tr>
      <w:tr w14:paraId="0F312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18" w:type="pct"/>
            <w:vMerge w:val="continue"/>
            <w:vAlign w:val="center"/>
          </w:tcPr>
          <w:p w14:paraId="7C4ADC01">
            <w:pPr>
              <w:jc w:val="center"/>
              <w:rPr>
                <w:rFonts w:ascii="Times New Roman" w:hAnsi="Times New Roman" w:eastAsia="宋体" w:cs="Times New Roman"/>
                <w:color w:val="auto"/>
                <w:sz w:val="22"/>
                <w:szCs w:val="24"/>
              </w:rPr>
            </w:pPr>
          </w:p>
        </w:tc>
        <w:tc>
          <w:tcPr>
            <w:tcW w:w="996" w:type="pct"/>
            <w:noWrap/>
            <w:vAlign w:val="center"/>
          </w:tcPr>
          <w:p w14:paraId="5EE71929">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铅</w:t>
            </w:r>
          </w:p>
        </w:tc>
        <w:tc>
          <w:tcPr>
            <w:tcW w:w="665" w:type="pct"/>
            <w:noWrap/>
            <w:vAlign w:val="center"/>
          </w:tcPr>
          <w:p w14:paraId="62BD196D">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0.001</w:t>
            </w:r>
          </w:p>
        </w:tc>
        <w:tc>
          <w:tcPr>
            <w:tcW w:w="665" w:type="pct"/>
            <w:noWrap/>
            <w:vAlign w:val="center"/>
          </w:tcPr>
          <w:p w14:paraId="0B855B25">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0.1</w:t>
            </w:r>
          </w:p>
        </w:tc>
        <w:tc>
          <w:tcPr>
            <w:tcW w:w="416" w:type="pct"/>
            <w:noWrap/>
            <w:vAlign w:val="center"/>
          </w:tcPr>
          <w:p w14:paraId="1606472D">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0.05</w:t>
            </w:r>
          </w:p>
        </w:tc>
        <w:tc>
          <w:tcPr>
            <w:tcW w:w="579" w:type="pct"/>
            <w:noWrap/>
            <w:vAlign w:val="center"/>
          </w:tcPr>
          <w:p w14:paraId="09E54DB0">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0.02</w:t>
            </w:r>
          </w:p>
        </w:tc>
        <w:tc>
          <w:tcPr>
            <w:tcW w:w="419" w:type="pct"/>
            <w:noWrap/>
            <w:vAlign w:val="center"/>
          </w:tcPr>
          <w:p w14:paraId="3CE1FF3A">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w:t>
            </w:r>
          </w:p>
        </w:tc>
        <w:tc>
          <w:tcPr>
            <w:tcW w:w="419" w:type="pct"/>
            <w:noWrap/>
            <w:vAlign w:val="center"/>
          </w:tcPr>
          <w:p w14:paraId="450926F1">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w:t>
            </w:r>
          </w:p>
        </w:tc>
        <w:tc>
          <w:tcPr>
            <w:tcW w:w="419" w:type="pct"/>
            <w:noWrap/>
            <w:vAlign w:val="center"/>
          </w:tcPr>
          <w:p w14:paraId="0B27C159">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达标</w:t>
            </w:r>
          </w:p>
        </w:tc>
      </w:tr>
      <w:tr w14:paraId="18BBA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18" w:type="pct"/>
            <w:vMerge w:val="continue"/>
            <w:vAlign w:val="center"/>
          </w:tcPr>
          <w:p w14:paraId="6B8B064B">
            <w:pPr>
              <w:jc w:val="center"/>
              <w:rPr>
                <w:rFonts w:ascii="Times New Roman" w:hAnsi="Times New Roman" w:eastAsia="宋体" w:cs="Times New Roman"/>
                <w:color w:val="auto"/>
                <w:sz w:val="22"/>
                <w:szCs w:val="24"/>
              </w:rPr>
            </w:pPr>
          </w:p>
        </w:tc>
        <w:tc>
          <w:tcPr>
            <w:tcW w:w="996" w:type="pct"/>
            <w:vAlign w:val="center"/>
          </w:tcPr>
          <w:p w14:paraId="4F7D4B9A">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铊（mg/L）</w:t>
            </w:r>
          </w:p>
        </w:tc>
        <w:tc>
          <w:tcPr>
            <w:tcW w:w="665" w:type="pct"/>
            <w:noWrap/>
            <w:vAlign w:val="center"/>
          </w:tcPr>
          <w:p w14:paraId="14CA4391">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0.00003</w:t>
            </w:r>
          </w:p>
        </w:tc>
        <w:tc>
          <w:tcPr>
            <w:tcW w:w="665" w:type="pct"/>
            <w:noWrap/>
            <w:vAlign w:val="center"/>
          </w:tcPr>
          <w:p w14:paraId="2E8EC561">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0.00003</w:t>
            </w:r>
          </w:p>
        </w:tc>
        <w:tc>
          <w:tcPr>
            <w:tcW w:w="416" w:type="pct"/>
            <w:noWrap/>
            <w:vAlign w:val="center"/>
          </w:tcPr>
          <w:p w14:paraId="3636DA74">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0.0001</w:t>
            </w:r>
          </w:p>
        </w:tc>
        <w:tc>
          <w:tcPr>
            <w:tcW w:w="579" w:type="pct"/>
            <w:noWrap/>
            <w:vAlign w:val="center"/>
          </w:tcPr>
          <w:p w14:paraId="7167612A">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0.3</w:t>
            </w:r>
          </w:p>
        </w:tc>
        <w:tc>
          <w:tcPr>
            <w:tcW w:w="419" w:type="pct"/>
            <w:noWrap/>
            <w:vAlign w:val="center"/>
          </w:tcPr>
          <w:p w14:paraId="26077DF9">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w:t>
            </w:r>
          </w:p>
        </w:tc>
        <w:tc>
          <w:tcPr>
            <w:tcW w:w="419" w:type="pct"/>
            <w:noWrap/>
            <w:vAlign w:val="center"/>
          </w:tcPr>
          <w:p w14:paraId="08787AB9">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w:t>
            </w:r>
          </w:p>
        </w:tc>
        <w:tc>
          <w:tcPr>
            <w:tcW w:w="419" w:type="pct"/>
            <w:noWrap/>
            <w:vAlign w:val="center"/>
          </w:tcPr>
          <w:p w14:paraId="1108C6B4">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达标</w:t>
            </w:r>
          </w:p>
        </w:tc>
      </w:tr>
      <w:tr w14:paraId="7B53D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18" w:type="pct"/>
            <w:vMerge w:val="continue"/>
            <w:vAlign w:val="center"/>
          </w:tcPr>
          <w:p w14:paraId="7178B993">
            <w:pPr>
              <w:jc w:val="center"/>
              <w:rPr>
                <w:rFonts w:ascii="Times New Roman" w:hAnsi="Times New Roman" w:eastAsia="宋体" w:cs="Times New Roman"/>
                <w:color w:val="auto"/>
                <w:sz w:val="22"/>
                <w:szCs w:val="24"/>
              </w:rPr>
            </w:pPr>
          </w:p>
        </w:tc>
        <w:tc>
          <w:tcPr>
            <w:tcW w:w="996" w:type="pct"/>
            <w:noWrap/>
            <w:vAlign w:val="center"/>
          </w:tcPr>
          <w:p w14:paraId="3F7432B7">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甲苯</w:t>
            </w:r>
          </w:p>
        </w:tc>
        <w:tc>
          <w:tcPr>
            <w:tcW w:w="665" w:type="pct"/>
            <w:noWrap/>
            <w:vAlign w:val="center"/>
          </w:tcPr>
          <w:p w14:paraId="67CA6920">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0.0014</w:t>
            </w:r>
          </w:p>
        </w:tc>
        <w:tc>
          <w:tcPr>
            <w:tcW w:w="665" w:type="pct"/>
            <w:noWrap/>
            <w:vAlign w:val="center"/>
          </w:tcPr>
          <w:p w14:paraId="5B2FD7E0">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0.0014</w:t>
            </w:r>
          </w:p>
        </w:tc>
        <w:tc>
          <w:tcPr>
            <w:tcW w:w="416" w:type="pct"/>
            <w:vAlign w:val="center"/>
          </w:tcPr>
          <w:p w14:paraId="557991C1">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0.7</w:t>
            </w:r>
          </w:p>
        </w:tc>
        <w:tc>
          <w:tcPr>
            <w:tcW w:w="579" w:type="pct"/>
            <w:noWrap/>
            <w:vAlign w:val="center"/>
          </w:tcPr>
          <w:p w14:paraId="33D969BD">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0.002</w:t>
            </w:r>
          </w:p>
        </w:tc>
        <w:tc>
          <w:tcPr>
            <w:tcW w:w="419" w:type="pct"/>
            <w:noWrap/>
            <w:vAlign w:val="center"/>
          </w:tcPr>
          <w:p w14:paraId="36BA3C38">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w:t>
            </w:r>
          </w:p>
        </w:tc>
        <w:tc>
          <w:tcPr>
            <w:tcW w:w="419" w:type="pct"/>
            <w:noWrap/>
            <w:vAlign w:val="center"/>
          </w:tcPr>
          <w:p w14:paraId="21A511E7">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w:t>
            </w:r>
          </w:p>
        </w:tc>
        <w:tc>
          <w:tcPr>
            <w:tcW w:w="419" w:type="pct"/>
            <w:noWrap/>
            <w:vAlign w:val="center"/>
          </w:tcPr>
          <w:p w14:paraId="54AC916D">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达标</w:t>
            </w:r>
          </w:p>
        </w:tc>
      </w:tr>
      <w:tr w14:paraId="147AD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18" w:type="pct"/>
            <w:vMerge w:val="continue"/>
            <w:vAlign w:val="center"/>
          </w:tcPr>
          <w:p w14:paraId="5ACC6B67">
            <w:pPr>
              <w:jc w:val="center"/>
              <w:rPr>
                <w:rFonts w:ascii="Times New Roman" w:hAnsi="Times New Roman" w:eastAsia="宋体" w:cs="Times New Roman"/>
                <w:color w:val="auto"/>
                <w:sz w:val="22"/>
                <w:szCs w:val="24"/>
              </w:rPr>
            </w:pPr>
          </w:p>
        </w:tc>
        <w:tc>
          <w:tcPr>
            <w:tcW w:w="996" w:type="pct"/>
            <w:noWrap/>
            <w:vAlign w:val="center"/>
          </w:tcPr>
          <w:p w14:paraId="6F412F26">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二甲苯</w:t>
            </w:r>
          </w:p>
        </w:tc>
        <w:tc>
          <w:tcPr>
            <w:tcW w:w="665" w:type="pct"/>
            <w:noWrap/>
            <w:vAlign w:val="center"/>
          </w:tcPr>
          <w:p w14:paraId="32BAB1C0">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0.0014</w:t>
            </w:r>
          </w:p>
        </w:tc>
        <w:tc>
          <w:tcPr>
            <w:tcW w:w="665" w:type="pct"/>
            <w:noWrap/>
            <w:vAlign w:val="center"/>
          </w:tcPr>
          <w:p w14:paraId="3F41F0C9">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0.0014</w:t>
            </w:r>
          </w:p>
        </w:tc>
        <w:tc>
          <w:tcPr>
            <w:tcW w:w="416" w:type="pct"/>
            <w:vAlign w:val="center"/>
          </w:tcPr>
          <w:p w14:paraId="5FBF2749">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0.5</w:t>
            </w:r>
          </w:p>
        </w:tc>
        <w:tc>
          <w:tcPr>
            <w:tcW w:w="579" w:type="pct"/>
            <w:noWrap/>
            <w:vAlign w:val="center"/>
          </w:tcPr>
          <w:p w14:paraId="4352F44F">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0.0028</w:t>
            </w:r>
          </w:p>
        </w:tc>
        <w:tc>
          <w:tcPr>
            <w:tcW w:w="419" w:type="pct"/>
            <w:noWrap/>
            <w:vAlign w:val="center"/>
          </w:tcPr>
          <w:p w14:paraId="60735DE7">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w:t>
            </w:r>
          </w:p>
        </w:tc>
        <w:tc>
          <w:tcPr>
            <w:tcW w:w="419" w:type="pct"/>
            <w:noWrap/>
            <w:vAlign w:val="center"/>
          </w:tcPr>
          <w:p w14:paraId="44E653A4">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w:t>
            </w:r>
          </w:p>
        </w:tc>
        <w:tc>
          <w:tcPr>
            <w:tcW w:w="419" w:type="pct"/>
            <w:noWrap/>
            <w:vAlign w:val="center"/>
          </w:tcPr>
          <w:p w14:paraId="5323838F">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达标</w:t>
            </w:r>
          </w:p>
        </w:tc>
      </w:tr>
      <w:tr w14:paraId="2405C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18" w:type="pct"/>
            <w:vMerge w:val="continue"/>
            <w:vAlign w:val="center"/>
          </w:tcPr>
          <w:p w14:paraId="4849027C">
            <w:pPr>
              <w:jc w:val="center"/>
              <w:rPr>
                <w:rFonts w:ascii="Times New Roman" w:hAnsi="Times New Roman" w:eastAsia="宋体" w:cs="Times New Roman"/>
                <w:color w:val="auto"/>
                <w:sz w:val="22"/>
                <w:szCs w:val="24"/>
              </w:rPr>
            </w:pPr>
          </w:p>
        </w:tc>
        <w:tc>
          <w:tcPr>
            <w:tcW w:w="996" w:type="pct"/>
            <w:noWrap/>
            <w:vAlign w:val="center"/>
          </w:tcPr>
          <w:p w14:paraId="33F13C12">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二氯甲烷</w:t>
            </w:r>
          </w:p>
        </w:tc>
        <w:tc>
          <w:tcPr>
            <w:tcW w:w="665" w:type="pct"/>
            <w:noWrap/>
            <w:vAlign w:val="center"/>
          </w:tcPr>
          <w:p w14:paraId="489A3D07">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0.0014</w:t>
            </w:r>
          </w:p>
        </w:tc>
        <w:tc>
          <w:tcPr>
            <w:tcW w:w="665" w:type="pct"/>
            <w:noWrap/>
            <w:vAlign w:val="center"/>
          </w:tcPr>
          <w:p w14:paraId="6024221D">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0.0014</w:t>
            </w:r>
          </w:p>
        </w:tc>
        <w:tc>
          <w:tcPr>
            <w:tcW w:w="416" w:type="pct"/>
            <w:vAlign w:val="center"/>
          </w:tcPr>
          <w:p w14:paraId="653D93F1">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0.02</w:t>
            </w:r>
          </w:p>
        </w:tc>
        <w:tc>
          <w:tcPr>
            <w:tcW w:w="579" w:type="pct"/>
            <w:noWrap/>
            <w:vAlign w:val="center"/>
          </w:tcPr>
          <w:p w14:paraId="0661637D">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0.07</w:t>
            </w:r>
          </w:p>
        </w:tc>
        <w:tc>
          <w:tcPr>
            <w:tcW w:w="419" w:type="pct"/>
            <w:noWrap/>
            <w:vAlign w:val="center"/>
          </w:tcPr>
          <w:p w14:paraId="61326B34">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w:t>
            </w:r>
          </w:p>
        </w:tc>
        <w:tc>
          <w:tcPr>
            <w:tcW w:w="419" w:type="pct"/>
            <w:noWrap/>
            <w:vAlign w:val="center"/>
          </w:tcPr>
          <w:p w14:paraId="66479DF4">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w:t>
            </w:r>
          </w:p>
        </w:tc>
        <w:tc>
          <w:tcPr>
            <w:tcW w:w="419" w:type="pct"/>
            <w:noWrap/>
            <w:vAlign w:val="center"/>
          </w:tcPr>
          <w:p w14:paraId="64838157">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达标</w:t>
            </w:r>
          </w:p>
        </w:tc>
      </w:tr>
      <w:tr w14:paraId="07BAA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18" w:type="pct"/>
            <w:vMerge w:val="continue"/>
            <w:vAlign w:val="center"/>
          </w:tcPr>
          <w:p w14:paraId="0DF38D39">
            <w:pPr>
              <w:jc w:val="center"/>
              <w:rPr>
                <w:rFonts w:ascii="Times New Roman" w:hAnsi="Times New Roman" w:eastAsia="宋体" w:cs="Times New Roman"/>
                <w:color w:val="auto"/>
                <w:sz w:val="22"/>
                <w:szCs w:val="24"/>
              </w:rPr>
            </w:pPr>
          </w:p>
        </w:tc>
        <w:tc>
          <w:tcPr>
            <w:tcW w:w="996" w:type="pct"/>
            <w:noWrap/>
            <w:vAlign w:val="center"/>
          </w:tcPr>
          <w:p w14:paraId="537D8A83">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三氯甲烷</w:t>
            </w:r>
          </w:p>
        </w:tc>
        <w:tc>
          <w:tcPr>
            <w:tcW w:w="665" w:type="pct"/>
            <w:noWrap/>
            <w:vAlign w:val="center"/>
          </w:tcPr>
          <w:p w14:paraId="1237B662">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0.001</w:t>
            </w:r>
          </w:p>
        </w:tc>
        <w:tc>
          <w:tcPr>
            <w:tcW w:w="665" w:type="pct"/>
            <w:noWrap/>
            <w:vAlign w:val="center"/>
          </w:tcPr>
          <w:p w14:paraId="7E5C8B90">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0.001</w:t>
            </w:r>
          </w:p>
        </w:tc>
        <w:tc>
          <w:tcPr>
            <w:tcW w:w="416" w:type="pct"/>
            <w:noWrap/>
            <w:vAlign w:val="center"/>
          </w:tcPr>
          <w:p w14:paraId="3F631BD5">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0.06</w:t>
            </w:r>
          </w:p>
        </w:tc>
        <w:tc>
          <w:tcPr>
            <w:tcW w:w="579" w:type="pct"/>
            <w:noWrap/>
            <w:vAlign w:val="center"/>
          </w:tcPr>
          <w:p w14:paraId="582F926B">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0.017</w:t>
            </w:r>
          </w:p>
        </w:tc>
        <w:tc>
          <w:tcPr>
            <w:tcW w:w="419" w:type="pct"/>
            <w:noWrap/>
            <w:vAlign w:val="center"/>
          </w:tcPr>
          <w:p w14:paraId="3410FD1F">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w:t>
            </w:r>
          </w:p>
        </w:tc>
        <w:tc>
          <w:tcPr>
            <w:tcW w:w="419" w:type="pct"/>
            <w:noWrap/>
            <w:vAlign w:val="center"/>
          </w:tcPr>
          <w:p w14:paraId="0ACB5778">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w:t>
            </w:r>
          </w:p>
        </w:tc>
        <w:tc>
          <w:tcPr>
            <w:tcW w:w="419" w:type="pct"/>
            <w:noWrap/>
            <w:vAlign w:val="center"/>
          </w:tcPr>
          <w:p w14:paraId="35E75BD4">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达标</w:t>
            </w:r>
          </w:p>
        </w:tc>
      </w:tr>
      <w:tr w14:paraId="256D2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418" w:type="pct"/>
            <w:vMerge w:val="continue"/>
            <w:vAlign w:val="center"/>
          </w:tcPr>
          <w:p w14:paraId="1EBB0719">
            <w:pPr>
              <w:jc w:val="center"/>
              <w:rPr>
                <w:rFonts w:ascii="Times New Roman" w:hAnsi="Times New Roman" w:eastAsia="宋体" w:cs="Times New Roman"/>
                <w:color w:val="auto"/>
                <w:sz w:val="22"/>
                <w:szCs w:val="24"/>
              </w:rPr>
            </w:pPr>
          </w:p>
        </w:tc>
        <w:tc>
          <w:tcPr>
            <w:tcW w:w="996" w:type="pct"/>
            <w:vAlign w:val="center"/>
          </w:tcPr>
          <w:p w14:paraId="080BFE03">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1，1-二氯乙烷（mg/L）</w:t>
            </w:r>
          </w:p>
        </w:tc>
        <w:tc>
          <w:tcPr>
            <w:tcW w:w="665" w:type="pct"/>
            <w:noWrap/>
            <w:vAlign w:val="center"/>
          </w:tcPr>
          <w:p w14:paraId="4F1C67D8">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ND</w:t>
            </w:r>
          </w:p>
        </w:tc>
        <w:tc>
          <w:tcPr>
            <w:tcW w:w="665" w:type="pct"/>
            <w:noWrap/>
            <w:vAlign w:val="center"/>
          </w:tcPr>
          <w:p w14:paraId="0FC8B080">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ND</w:t>
            </w:r>
          </w:p>
        </w:tc>
        <w:tc>
          <w:tcPr>
            <w:tcW w:w="416" w:type="pct"/>
            <w:noWrap/>
            <w:vAlign w:val="center"/>
          </w:tcPr>
          <w:p w14:paraId="2127C89D">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c>
          <w:tcPr>
            <w:tcW w:w="579" w:type="pct"/>
            <w:noWrap/>
            <w:vAlign w:val="center"/>
          </w:tcPr>
          <w:p w14:paraId="0E47E5A9">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c>
          <w:tcPr>
            <w:tcW w:w="419" w:type="pct"/>
            <w:noWrap/>
            <w:vAlign w:val="center"/>
          </w:tcPr>
          <w:p w14:paraId="774247D4">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w:t>
            </w:r>
          </w:p>
        </w:tc>
        <w:tc>
          <w:tcPr>
            <w:tcW w:w="419" w:type="pct"/>
            <w:noWrap/>
            <w:vAlign w:val="center"/>
          </w:tcPr>
          <w:p w14:paraId="44CA7C23">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w:t>
            </w:r>
          </w:p>
        </w:tc>
        <w:tc>
          <w:tcPr>
            <w:tcW w:w="419" w:type="pct"/>
            <w:noWrap/>
            <w:vAlign w:val="center"/>
          </w:tcPr>
          <w:p w14:paraId="270928C0">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达标</w:t>
            </w:r>
          </w:p>
        </w:tc>
      </w:tr>
      <w:tr w14:paraId="185BB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18" w:type="pct"/>
            <w:vMerge w:val="continue"/>
            <w:vAlign w:val="center"/>
          </w:tcPr>
          <w:p w14:paraId="6758403E">
            <w:pPr>
              <w:jc w:val="center"/>
              <w:rPr>
                <w:rFonts w:ascii="Times New Roman" w:hAnsi="Times New Roman" w:eastAsia="宋体" w:cs="Times New Roman"/>
                <w:color w:val="auto"/>
                <w:sz w:val="22"/>
                <w:szCs w:val="24"/>
              </w:rPr>
            </w:pPr>
          </w:p>
        </w:tc>
        <w:tc>
          <w:tcPr>
            <w:tcW w:w="996" w:type="pct"/>
            <w:vAlign w:val="center"/>
          </w:tcPr>
          <w:p w14:paraId="3FA56DBB">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1，2-二氯乙烷（mg/L）</w:t>
            </w:r>
          </w:p>
        </w:tc>
        <w:tc>
          <w:tcPr>
            <w:tcW w:w="665" w:type="pct"/>
            <w:noWrap/>
            <w:vAlign w:val="center"/>
          </w:tcPr>
          <w:p w14:paraId="486F654B">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ND</w:t>
            </w:r>
          </w:p>
        </w:tc>
        <w:tc>
          <w:tcPr>
            <w:tcW w:w="665" w:type="pct"/>
            <w:noWrap/>
            <w:vAlign w:val="center"/>
          </w:tcPr>
          <w:p w14:paraId="748DB739">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ND</w:t>
            </w:r>
          </w:p>
        </w:tc>
        <w:tc>
          <w:tcPr>
            <w:tcW w:w="416" w:type="pct"/>
            <w:noWrap/>
            <w:vAlign w:val="center"/>
          </w:tcPr>
          <w:p w14:paraId="7BBB02C2">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0.03</w:t>
            </w:r>
          </w:p>
        </w:tc>
        <w:tc>
          <w:tcPr>
            <w:tcW w:w="579" w:type="pct"/>
            <w:noWrap/>
            <w:vAlign w:val="center"/>
          </w:tcPr>
          <w:p w14:paraId="5065D2D3">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c>
          <w:tcPr>
            <w:tcW w:w="419" w:type="pct"/>
            <w:noWrap/>
            <w:vAlign w:val="center"/>
          </w:tcPr>
          <w:p w14:paraId="6D55B65A">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w:t>
            </w:r>
          </w:p>
        </w:tc>
        <w:tc>
          <w:tcPr>
            <w:tcW w:w="419" w:type="pct"/>
            <w:noWrap/>
            <w:vAlign w:val="center"/>
          </w:tcPr>
          <w:p w14:paraId="0C418266">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w:t>
            </w:r>
          </w:p>
        </w:tc>
        <w:tc>
          <w:tcPr>
            <w:tcW w:w="419" w:type="pct"/>
            <w:noWrap/>
            <w:vAlign w:val="center"/>
          </w:tcPr>
          <w:p w14:paraId="48344584">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达标</w:t>
            </w:r>
          </w:p>
        </w:tc>
      </w:tr>
      <w:tr w14:paraId="643CD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18" w:type="pct"/>
            <w:vMerge w:val="continue"/>
            <w:vAlign w:val="center"/>
          </w:tcPr>
          <w:p w14:paraId="11907FCA">
            <w:pPr>
              <w:jc w:val="center"/>
              <w:rPr>
                <w:rFonts w:ascii="Times New Roman" w:hAnsi="Times New Roman" w:eastAsia="宋体" w:cs="Times New Roman"/>
                <w:color w:val="auto"/>
                <w:sz w:val="22"/>
                <w:szCs w:val="24"/>
              </w:rPr>
            </w:pPr>
          </w:p>
        </w:tc>
        <w:tc>
          <w:tcPr>
            <w:tcW w:w="996" w:type="pct"/>
            <w:vAlign w:val="center"/>
          </w:tcPr>
          <w:p w14:paraId="6F8334CF">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乙苯（mg/L）</w:t>
            </w:r>
          </w:p>
        </w:tc>
        <w:tc>
          <w:tcPr>
            <w:tcW w:w="665" w:type="pct"/>
            <w:noWrap/>
            <w:vAlign w:val="center"/>
          </w:tcPr>
          <w:p w14:paraId="178DCD88">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ND</w:t>
            </w:r>
          </w:p>
        </w:tc>
        <w:tc>
          <w:tcPr>
            <w:tcW w:w="665" w:type="pct"/>
            <w:noWrap/>
            <w:vAlign w:val="center"/>
          </w:tcPr>
          <w:p w14:paraId="36129646">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ND</w:t>
            </w:r>
          </w:p>
        </w:tc>
        <w:tc>
          <w:tcPr>
            <w:tcW w:w="416" w:type="pct"/>
            <w:noWrap/>
            <w:vAlign w:val="center"/>
          </w:tcPr>
          <w:p w14:paraId="021BDA4B">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0.3</w:t>
            </w:r>
          </w:p>
        </w:tc>
        <w:tc>
          <w:tcPr>
            <w:tcW w:w="579" w:type="pct"/>
            <w:noWrap/>
            <w:vAlign w:val="center"/>
          </w:tcPr>
          <w:p w14:paraId="01922114">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c>
          <w:tcPr>
            <w:tcW w:w="419" w:type="pct"/>
            <w:noWrap/>
            <w:vAlign w:val="center"/>
          </w:tcPr>
          <w:p w14:paraId="5E0BA7BA">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w:t>
            </w:r>
          </w:p>
        </w:tc>
        <w:tc>
          <w:tcPr>
            <w:tcW w:w="419" w:type="pct"/>
            <w:noWrap/>
            <w:vAlign w:val="center"/>
          </w:tcPr>
          <w:p w14:paraId="002E6289">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w:t>
            </w:r>
          </w:p>
        </w:tc>
        <w:tc>
          <w:tcPr>
            <w:tcW w:w="419" w:type="pct"/>
            <w:noWrap/>
            <w:vAlign w:val="center"/>
          </w:tcPr>
          <w:p w14:paraId="0E86CB95">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达标</w:t>
            </w:r>
          </w:p>
        </w:tc>
      </w:tr>
      <w:tr w14:paraId="0398C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18" w:type="pct"/>
            <w:vMerge w:val="continue"/>
            <w:vAlign w:val="center"/>
          </w:tcPr>
          <w:p w14:paraId="0CA730D0">
            <w:pPr>
              <w:jc w:val="center"/>
              <w:rPr>
                <w:rFonts w:ascii="Times New Roman" w:hAnsi="Times New Roman" w:eastAsia="宋体" w:cs="Times New Roman"/>
                <w:color w:val="auto"/>
                <w:sz w:val="22"/>
                <w:szCs w:val="24"/>
              </w:rPr>
            </w:pPr>
          </w:p>
        </w:tc>
        <w:tc>
          <w:tcPr>
            <w:tcW w:w="996" w:type="pct"/>
            <w:vAlign w:val="center"/>
          </w:tcPr>
          <w:p w14:paraId="050862E6">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四氯化碳（mg/L）</w:t>
            </w:r>
          </w:p>
        </w:tc>
        <w:tc>
          <w:tcPr>
            <w:tcW w:w="665" w:type="pct"/>
            <w:noWrap/>
            <w:vAlign w:val="center"/>
          </w:tcPr>
          <w:p w14:paraId="2DC6C209">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ND</w:t>
            </w:r>
          </w:p>
        </w:tc>
        <w:tc>
          <w:tcPr>
            <w:tcW w:w="665" w:type="pct"/>
            <w:noWrap/>
            <w:vAlign w:val="center"/>
          </w:tcPr>
          <w:p w14:paraId="3D0E9AC0">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ND</w:t>
            </w:r>
          </w:p>
        </w:tc>
        <w:tc>
          <w:tcPr>
            <w:tcW w:w="416" w:type="pct"/>
            <w:noWrap/>
            <w:vAlign w:val="center"/>
          </w:tcPr>
          <w:p w14:paraId="74539C87">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0.002</w:t>
            </w:r>
          </w:p>
        </w:tc>
        <w:tc>
          <w:tcPr>
            <w:tcW w:w="579" w:type="pct"/>
            <w:noWrap/>
            <w:vAlign w:val="center"/>
          </w:tcPr>
          <w:p w14:paraId="46A8CCA5">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c>
          <w:tcPr>
            <w:tcW w:w="419" w:type="pct"/>
            <w:noWrap/>
            <w:vAlign w:val="center"/>
          </w:tcPr>
          <w:p w14:paraId="54BFBB78">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w:t>
            </w:r>
          </w:p>
        </w:tc>
        <w:tc>
          <w:tcPr>
            <w:tcW w:w="419" w:type="pct"/>
            <w:noWrap/>
            <w:vAlign w:val="center"/>
          </w:tcPr>
          <w:p w14:paraId="5A87C927">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w:t>
            </w:r>
          </w:p>
        </w:tc>
        <w:tc>
          <w:tcPr>
            <w:tcW w:w="419" w:type="pct"/>
            <w:noWrap/>
            <w:vAlign w:val="center"/>
          </w:tcPr>
          <w:p w14:paraId="263CBFDA">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达标</w:t>
            </w:r>
          </w:p>
        </w:tc>
      </w:tr>
      <w:tr w14:paraId="11000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18" w:type="pct"/>
            <w:vMerge w:val="continue"/>
            <w:vAlign w:val="center"/>
          </w:tcPr>
          <w:p w14:paraId="178F868C">
            <w:pPr>
              <w:jc w:val="center"/>
              <w:rPr>
                <w:rFonts w:ascii="Times New Roman" w:hAnsi="Times New Roman" w:eastAsia="宋体" w:cs="Times New Roman"/>
                <w:color w:val="auto"/>
                <w:sz w:val="22"/>
                <w:szCs w:val="24"/>
              </w:rPr>
            </w:pPr>
          </w:p>
        </w:tc>
        <w:tc>
          <w:tcPr>
            <w:tcW w:w="996" w:type="pct"/>
            <w:vAlign w:val="center"/>
          </w:tcPr>
          <w:p w14:paraId="78295690">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石油类（mg/L）</w:t>
            </w:r>
          </w:p>
        </w:tc>
        <w:tc>
          <w:tcPr>
            <w:tcW w:w="665" w:type="pct"/>
            <w:noWrap/>
            <w:vAlign w:val="center"/>
          </w:tcPr>
          <w:p w14:paraId="64EACADF">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ND</w:t>
            </w:r>
          </w:p>
        </w:tc>
        <w:tc>
          <w:tcPr>
            <w:tcW w:w="665" w:type="pct"/>
            <w:noWrap/>
            <w:vAlign w:val="center"/>
          </w:tcPr>
          <w:p w14:paraId="1E75B0E5">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ND</w:t>
            </w:r>
          </w:p>
        </w:tc>
        <w:tc>
          <w:tcPr>
            <w:tcW w:w="416" w:type="pct"/>
            <w:noWrap/>
            <w:vAlign w:val="center"/>
          </w:tcPr>
          <w:p w14:paraId="240FF98A">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0.05</w:t>
            </w:r>
          </w:p>
        </w:tc>
        <w:tc>
          <w:tcPr>
            <w:tcW w:w="579" w:type="pct"/>
            <w:noWrap/>
            <w:vAlign w:val="center"/>
          </w:tcPr>
          <w:p w14:paraId="13E4ED64">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c>
          <w:tcPr>
            <w:tcW w:w="419" w:type="pct"/>
            <w:noWrap/>
            <w:vAlign w:val="center"/>
          </w:tcPr>
          <w:p w14:paraId="5073C907">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w:t>
            </w:r>
          </w:p>
        </w:tc>
        <w:tc>
          <w:tcPr>
            <w:tcW w:w="419" w:type="pct"/>
            <w:noWrap/>
            <w:vAlign w:val="center"/>
          </w:tcPr>
          <w:p w14:paraId="04F3F820">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w:t>
            </w:r>
          </w:p>
        </w:tc>
        <w:tc>
          <w:tcPr>
            <w:tcW w:w="419" w:type="pct"/>
            <w:noWrap/>
            <w:vAlign w:val="center"/>
          </w:tcPr>
          <w:p w14:paraId="1E828A4A">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达标</w:t>
            </w:r>
          </w:p>
        </w:tc>
      </w:tr>
      <w:tr w14:paraId="61EDE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18" w:type="pct"/>
            <w:vMerge w:val="restart"/>
            <w:vAlign w:val="center"/>
          </w:tcPr>
          <w:p w14:paraId="4948A6FC">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W3：团湖张家垱</w:t>
            </w:r>
          </w:p>
        </w:tc>
        <w:tc>
          <w:tcPr>
            <w:tcW w:w="996" w:type="pct"/>
            <w:noWrap/>
            <w:vAlign w:val="center"/>
          </w:tcPr>
          <w:p w14:paraId="033AEC70">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水温（℃）</w:t>
            </w:r>
          </w:p>
        </w:tc>
        <w:tc>
          <w:tcPr>
            <w:tcW w:w="665" w:type="pct"/>
            <w:noWrap/>
            <w:vAlign w:val="center"/>
          </w:tcPr>
          <w:p w14:paraId="068D44D4">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16.8~17.2</w:t>
            </w:r>
          </w:p>
        </w:tc>
        <w:tc>
          <w:tcPr>
            <w:tcW w:w="665" w:type="pct"/>
            <w:noWrap/>
            <w:vAlign w:val="center"/>
          </w:tcPr>
          <w:p w14:paraId="74963F13">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17</w:t>
            </w:r>
          </w:p>
        </w:tc>
        <w:tc>
          <w:tcPr>
            <w:tcW w:w="416" w:type="pct"/>
            <w:noWrap/>
            <w:vAlign w:val="center"/>
          </w:tcPr>
          <w:p w14:paraId="42FEA65E">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c>
          <w:tcPr>
            <w:tcW w:w="579" w:type="pct"/>
            <w:noWrap/>
            <w:vAlign w:val="center"/>
          </w:tcPr>
          <w:p w14:paraId="3E41330C">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c>
          <w:tcPr>
            <w:tcW w:w="419" w:type="pct"/>
            <w:noWrap/>
            <w:vAlign w:val="center"/>
          </w:tcPr>
          <w:p w14:paraId="66503776">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c>
          <w:tcPr>
            <w:tcW w:w="419" w:type="pct"/>
            <w:noWrap/>
            <w:vAlign w:val="center"/>
          </w:tcPr>
          <w:p w14:paraId="2E6C9D7C">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c>
          <w:tcPr>
            <w:tcW w:w="419" w:type="pct"/>
            <w:noWrap/>
            <w:vAlign w:val="center"/>
          </w:tcPr>
          <w:p w14:paraId="17E25BF1">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r>
      <w:tr w14:paraId="6B4F9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18" w:type="pct"/>
            <w:vMerge w:val="continue"/>
            <w:vAlign w:val="center"/>
          </w:tcPr>
          <w:p w14:paraId="7DEBFBE2">
            <w:pPr>
              <w:jc w:val="center"/>
              <w:rPr>
                <w:rFonts w:ascii="Times New Roman" w:hAnsi="Times New Roman" w:eastAsia="宋体" w:cs="Times New Roman"/>
                <w:color w:val="auto"/>
                <w:sz w:val="22"/>
                <w:szCs w:val="24"/>
              </w:rPr>
            </w:pPr>
          </w:p>
        </w:tc>
        <w:tc>
          <w:tcPr>
            <w:tcW w:w="996" w:type="pct"/>
            <w:noWrap/>
            <w:vAlign w:val="center"/>
          </w:tcPr>
          <w:p w14:paraId="612B0F66">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流量（</w:t>
            </w:r>
            <w:r>
              <w:rPr>
                <w:rFonts w:hint="eastAsia" w:ascii="Times New Roman" w:hAnsi="Times New Roman" w:eastAsia="宋体" w:cs="Times New Roman"/>
                <w:color w:val="auto"/>
                <w:sz w:val="22"/>
                <w:szCs w:val="24"/>
                <w:lang w:eastAsia="zh-CN"/>
              </w:rPr>
              <w:t>m</w:t>
            </w:r>
            <w:r>
              <w:rPr>
                <w:rFonts w:hint="eastAsia" w:ascii="Times New Roman" w:hAnsi="Times New Roman" w:eastAsia="宋体" w:cs="Times New Roman"/>
                <w:color w:val="auto"/>
                <w:sz w:val="22"/>
                <w:szCs w:val="24"/>
                <w:vertAlign w:val="superscript"/>
                <w:lang w:eastAsia="zh-CN"/>
              </w:rPr>
              <w:t>3</w:t>
            </w:r>
            <w:r>
              <w:rPr>
                <w:rFonts w:hint="eastAsia" w:ascii="Times New Roman" w:hAnsi="Times New Roman" w:eastAsia="宋体" w:cs="Times New Roman"/>
                <w:color w:val="auto"/>
                <w:sz w:val="22"/>
                <w:szCs w:val="24"/>
              </w:rPr>
              <w:t>/s）</w:t>
            </w:r>
          </w:p>
        </w:tc>
        <w:tc>
          <w:tcPr>
            <w:tcW w:w="665" w:type="pct"/>
            <w:noWrap/>
            <w:vAlign w:val="center"/>
          </w:tcPr>
          <w:p w14:paraId="4BFAB776">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c>
          <w:tcPr>
            <w:tcW w:w="665" w:type="pct"/>
            <w:noWrap/>
            <w:vAlign w:val="center"/>
          </w:tcPr>
          <w:p w14:paraId="6C5D09EC">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c>
          <w:tcPr>
            <w:tcW w:w="416" w:type="pct"/>
            <w:noWrap/>
            <w:vAlign w:val="center"/>
          </w:tcPr>
          <w:p w14:paraId="48529DB1">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c>
          <w:tcPr>
            <w:tcW w:w="579" w:type="pct"/>
            <w:noWrap/>
            <w:vAlign w:val="center"/>
          </w:tcPr>
          <w:p w14:paraId="24786BFD">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c>
          <w:tcPr>
            <w:tcW w:w="419" w:type="pct"/>
            <w:noWrap/>
            <w:vAlign w:val="center"/>
          </w:tcPr>
          <w:p w14:paraId="3AD396D6">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c>
          <w:tcPr>
            <w:tcW w:w="419" w:type="pct"/>
            <w:noWrap/>
            <w:vAlign w:val="center"/>
          </w:tcPr>
          <w:p w14:paraId="624E65FC">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c>
          <w:tcPr>
            <w:tcW w:w="419" w:type="pct"/>
            <w:noWrap/>
            <w:vAlign w:val="center"/>
          </w:tcPr>
          <w:p w14:paraId="74AB5101">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r>
      <w:tr w14:paraId="4CC38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18" w:type="pct"/>
            <w:vMerge w:val="continue"/>
            <w:vAlign w:val="center"/>
          </w:tcPr>
          <w:p w14:paraId="67B1A9DA">
            <w:pPr>
              <w:jc w:val="center"/>
              <w:rPr>
                <w:rFonts w:ascii="Times New Roman" w:hAnsi="Times New Roman" w:eastAsia="宋体" w:cs="Times New Roman"/>
                <w:color w:val="auto"/>
                <w:sz w:val="22"/>
                <w:szCs w:val="24"/>
              </w:rPr>
            </w:pPr>
          </w:p>
        </w:tc>
        <w:tc>
          <w:tcPr>
            <w:tcW w:w="996" w:type="pct"/>
            <w:noWrap/>
            <w:vAlign w:val="center"/>
          </w:tcPr>
          <w:p w14:paraId="25CDF294">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流速（m/s）</w:t>
            </w:r>
          </w:p>
        </w:tc>
        <w:tc>
          <w:tcPr>
            <w:tcW w:w="665" w:type="pct"/>
            <w:noWrap/>
            <w:vAlign w:val="center"/>
          </w:tcPr>
          <w:p w14:paraId="68DFDE32">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c>
          <w:tcPr>
            <w:tcW w:w="665" w:type="pct"/>
            <w:noWrap/>
            <w:vAlign w:val="center"/>
          </w:tcPr>
          <w:p w14:paraId="6F5C1A79">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c>
          <w:tcPr>
            <w:tcW w:w="416" w:type="pct"/>
            <w:noWrap/>
            <w:vAlign w:val="center"/>
          </w:tcPr>
          <w:p w14:paraId="3B708CE4">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c>
          <w:tcPr>
            <w:tcW w:w="579" w:type="pct"/>
            <w:noWrap/>
            <w:vAlign w:val="center"/>
          </w:tcPr>
          <w:p w14:paraId="67D9E742">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c>
          <w:tcPr>
            <w:tcW w:w="419" w:type="pct"/>
            <w:noWrap/>
            <w:vAlign w:val="center"/>
          </w:tcPr>
          <w:p w14:paraId="2D89C66A">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c>
          <w:tcPr>
            <w:tcW w:w="419" w:type="pct"/>
            <w:noWrap/>
            <w:vAlign w:val="center"/>
          </w:tcPr>
          <w:p w14:paraId="198D9884">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c>
          <w:tcPr>
            <w:tcW w:w="419" w:type="pct"/>
            <w:noWrap/>
            <w:vAlign w:val="center"/>
          </w:tcPr>
          <w:p w14:paraId="6820C8C8">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r>
      <w:tr w14:paraId="6775D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18" w:type="pct"/>
            <w:vMerge w:val="continue"/>
            <w:vAlign w:val="center"/>
          </w:tcPr>
          <w:p w14:paraId="056F8715">
            <w:pPr>
              <w:jc w:val="center"/>
              <w:rPr>
                <w:rFonts w:ascii="Times New Roman" w:hAnsi="Times New Roman" w:eastAsia="宋体" w:cs="Times New Roman"/>
                <w:color w:val="auto"/>
                <w:sz w:val="22"/>
                <w:szCs w:val="24"/>
              </w:rPr>
            </w:pPr>
          </w:p>
        </w:tc>
        <w:tc>
          <w:tcPr>
            <w:tcW w:w="996" w:type="pct"/>
            <w:noWrap/>
            <w:vAlign w:val="center"/>
          </w:tcPr>
          <w:p w14:paraId="229DF68A">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河宽（m）</w:t>
            </w:r>
          </w:p>
        </w:tc>
        <w:tc>
          <w:tcPr>
            <w:tcW w:w="665" w:type="pct"/>
            <w:noWrap/>
            <w:vAlign w:val="center"/>
          </w:tcPr>
          <w:p w14:paraId="2107D1AB">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c>
          <w:tcPr>
            <w:tcW w:w="665" w:type="pct"/>
            <w:noWrap/>
            <w:vAlign w:val="center"/>
          </w:tcPr>
          <w:p w14:paraId="4403562D">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c>
          <w:tcPr>
            <w:tcW w:w="416" w:type="pct"/>
            <w:noWrap/>
            <w:vAlign w:val="center"/>
          </w:tcPr>
          <w:p w14:paraId="4F0DDA02">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c>
          <w:tcPr>
            <w:tcW w:w="579" w:type="pct"/>
            <w:noWrap/>
            <w:vAlign w:val="center"/>
          </w:tcPr>
          <w:p w14:paraId="61715A83">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c>
          <w:tcPr>
            <w:tcW w:w="419" w:type="pct"/>
            <w:noWrap/>
            <w:vAlign w:val="center"/>
          </w:tcPr>
          <w:p w14:paraId="54AA40FC">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c>
          <w:tcPr>
            <w:tcW w:w="419" w:type="pct"/>
            <w:noWrap/>
            <w:vAlign w:val="center"/>
          </w:tcPr>
          <w:p w14:paraId="228BE4E1">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c>
          <w:tcPr>
            <w:tcW w:w="419" w:type="pct"/>
            <w:noWrap/>
            <w:vAlign w:val="center"/>
          </w:tcPr>
          <w:p w14:paraId="6BD863B4">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r>
      <w:tr w14:paraId="38594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18" w:type="pct"/>
            <w:vMerge w:val="continue"/>
            <w:vAlign w:val="center"/>
          </w:tcPr>
          <w:p w14:paraId="2E463AE3">
            <w:pPr>
              <w:jc w:val="center"/>
              <w:rPr>
                <w:rFonts w:ascii="Times New Roman" w:hAnsi="Times New Roman" w:eastAsia="宋体" w:cs="Times New Roman"/>
                <w:color w:val="auto"/>
                <w:sz w:val="22"/>
                <w:szCs w:val="24"/>
              </w:rPr>
            </w:pPr>
          </w:p>
        </w:tc>
        <w:tc>
          <w:tcPr>
            <w:tcW w:w="996" w:type="pct"/>
            <w:noWrap/>
            <w:vAlign w:val="center"/>
          </w:tcPr>
          <w:p w14:paraId="574DE24B">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河深（m）</w:t>
            </w:r>
          </w:p>
        </w:tc>
        <w:tc>
          <w:tcPr>
            <w:tcW w:w="665" w:type="pct"/>
            <w:noWrap/>
            <w:vAlign w:val="center"/>
          </w:tcPr>
          <w:p w14:paraId="61EF2A31">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c>
          <w:tcPr>
            <w:tcW w:w="665" w:type="pct"/>
            <w:noWrap/>
            <w:vAlign w:val="center"/>
          </w:tcPr>
          <w:p w14:paraId="2F327690">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c>
          <w:tcPr>
            <w:tcW w:w="416" w:type="pct"/>
            <w:noWrap/>
            <w:vAlign w:val="center"/>
          </w:tcPr>
          <w:p w14:paraId="3DFB4735">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c>
          <w:tcPr>
            <w:tcW w:w="579" w:type="pct"/>
            <w:noWrap/>
            <w:vAlign w:val="center"/>
          </w:tcPr>
          <w:p w14:paraId="6BE78E5F">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c>
          <w:tcPr>
            <w:tcW w:w="419" w:type="pct"/>
            <w:noWrap/>
            <w:vAlign w:val="center"/>
          </w:tcPr>
          <w:p w14:paraId="2D4DD5B6">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c>
          <w:tcPr>
            <w:tcW w:w="419" w:type="pct"/>
            <w:noWrap/>
            <w:vAlign w:val="center"/>
          </w:tcPr>
          <w:p w14:paraId="1E0C830E">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c>
          <w:tcPr>
            <w:tcW w:w="419" w:type="pct"/>
            <w:noWrap/>
            <w:vAlign w:val="center"/>
          </w:tcPr>
          <w:p w14:paraId="610C850E">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r>
      <w:tr w14:paraId="6FDBD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18" w:type="pct"/>
            <w:vMerge w:val="continue"/>
            <w:vAlign w:val="center"/>
          </w:tcPr>
          <w:p w14:paraId="5372EE10">
            <w:pPr>
              <w:jc w:val="center"/>
              <w:rPr>
                <w:rFonts w:ascii="Times New Roman" w:hAnsi="Times New Roman" w:eastAsia="宋体" w:cs="Times New Roman"/>
                <w:color w:val="auto"/>
                <w:sz w:val="22"/>
                <w:szCs w:val="24"/>
              </w:rPr>
            </w:pPr>
          </w:p>
        </w:tc>
        <w:tc>
          <w:tcPr>
            <w:tcW w:w="996" w:type="pct"/>
            <w:noWrap/>
            <w:vAlign w:val="center"/>
          </w:tcPr>
          <w:p w14:paraId="7B23B80C">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pH值</w:t>
            </w:r>
          </w:p>
        </w:tc>
        <w:tc>
          <w:tcPr>
            <w:tcW w:w="665" w:type="pct"/>
            <w:noWrap/>
            <w:vAlign w:val="center"/>
          </w:tcPr>
          <w:p w14:paraId="24589534">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7.2</w:t>
            </w:r>
          </w:p>
        </w:tc>
        <w:tc>
          <w:tcPr>
            <w:tcW w:w="665" w:type="pct"/>
            <w:noWrap/>
            <w:vAlign w:val="center"/>
          </w:tcPr>
          <w:p w14:paraId="7560B4A5">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7.2</w:t>
            </w:r>
          </w:p>
        </w:tc>
        <w:tc>
          <w:tcPr>
            <w:tcW w:w="416" w:type="pct"/>
            <w:noWrap/>
            <w:vAlign w:val="center"/>
          </w:tcPr>
          <w:p w14:paraId="19FF0618">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6~9</w:t>
            </w:r>
          </w:p>
        </w:tc>
        <w:tc>
          <w:tcPr>
            <w:tcW w:w="579" w:type="pct"/>
            <w:noWrap/>
            <w:vAlign w:val="center"/>
          </w:tcPr>
          <w:p w14:paraId="67998CC6">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c>
          <w:tcPr>
            <w:tcW w:w="419" w:type="pct"/>
            <w:noWrap/>
            <w:vAlign w:val="center"/>
          </w:tcPr>
          <w:p w14:paraId="08BA81C4">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w:t>
            </w:r>
          </w:p>
        </w:tc>
        <w:tc>
          <w:tcPr>
            <w:tcW w:w="419" w:type="pct"/>
            <w:noWrap/>
            <w:vAlign w:val="center"/>
          </w:tcPr>
          <w:p w14:paraId="7610FD03">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w:t>
            </w:r>
          </w:p>
        </w:tc>
        <w:tc>
          <w:tcPr>
            <w:tcW w:w="419" w:type="pct"/>
            <w:noWrap/>
            <w:vAlign w:val="center"/>
          </w:tcPr>
          <w:p w14:paraId="04C760DE">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达标</w:t>
            </w:r>
          </w:p>
        </w:tc>
      </w:tr>
      <w:tr w14:paraId="660B7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18" w:type="pct"/>
            <w:vMerge w:val="continue"/>
            <w:vAlign w:val="center"/>
          </w:tcPr>
          <w:p w14:paraId="5F3B9E17">
            <w:pPr>
              <w:jc w:val="center"/>
              <w:rPr>
                <w:rFonts w:ascii="Times New Roman" w:hAnsi="Times New Roman" w:eastAsia="宋体" w:cs="Times New Roman"/>
                <w:color w:val="auto"/>
                <w:sz w:val="22"/>
                <w:szCs w:val="24"/>
              </w:rPr>
            </w:pPr>
          </w:p>
        </w:tc>
        <w:tc>
          <w:tcPr>
            <w:tcW w:w="996" w:type="pct"/>
            <w:noWrap/>
            <w:vAlign w:val="center"/>
          </w:tcPr>
          <w:p w14:paraId="0D2CBD96">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溶解氧</w:t>
            </w:r>
          </w:p>
        </w:tc>
        <w:tc>
          <w:tcPr>
            <w:tcW w:w="665" w:type="pct"/>
            <w:noWrap/>
            <w:vAlign w:val="center"/>
          </w:tcPr>
          <w:p w14:paraId="0871E62F">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6.0~6.3</w:t>
            </w:r>
          </w:p>
        </w:tc>
        <w:tc>
          <w:tcPr>
            <w:tcW w:w="665" w:type="pct"/>
            <w:noWrap/>
            <w:vAlign w:val="center"/>
          </w:tcPr>
          <w:p w14:paraId="14983F84">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6.15</w:t>
            </w:r>
          </w:p>
        </w:tc>
        <w:tc>
          <w:tcPr>
            <w:tcW w:w="416" w:type="pct"/>
            <w:noWrap/>
            <w:vAlign w:val="center"/>
          </w:tcPr>
          <w:p w14:paraId="2FC96566">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≥5</w:t>
            </w:r>
          </w:p>
        </w:tc>
        <w:tc>
          <w:tcPr>
            <w:tcW w:w="579" w:type="pct"/>
            <w:noWrap/>
            <w:vAlign w:val="center"/>
          </w:tcPr>
          <w:p w14:paraId="5C43C79B">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c>
          <w:tcPr>
            <w:tcW w:w="419" w:type="pct"/>
            <w:noWrap/>
            <w:vAlign w:val="center"/>
          </w:tcPr>
          <w:p w14:paraId="2F4D5F13">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w:t>
            </w:r>
          </w:p>
        </w:tc>
        <w:tc>
          <w:tcPr>
            <w:tcW w:w="419" w:type="pct"/>
            <w:noWrap/>
            <w:vAlign w:val="center"/>
          </w:tcPr>
          <w:p w14:paraId="4645269B">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w:t>
            </w:r>
          </w:p>
        </w:tc>
        <w:tc>
          <w:tcPr>
            <w:tcW w:w="419" w:type="pct"/>
            <w:noWrap/>
            <w:vAlign w:val="center"/>
          </w:tcPr>
          <w:p w14:paraId="65E6E5D1">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达标</w:t>
            </w:r>
          </w:p>
        </w:tc>
      </w:tr>
      <w:tr w14:paraId="72C2A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18" w:type="pct"/>
            <w:vMerge w:val="continue"/>
            <w:vAlign w:val="center"/>
          </w:tcPr>
          <w:p w14:paraId="60E66F5A">
            <w:pPr>
              <w:jc w:val="center"/>
              <w:rPr>
                <w:rFonts w:ascii="Times New Roman" w:hAnsi="Times New Roman" w:eastAsia="宋体" w:cs="Times New Roman"/>
                <w:color w:val="auto"/>
                <w:sz w:val="22"/>
                <w:szCs w:val="24"/>
              </w:rPr>
            </w:pPr>
          </w:p>
        </w:tc>
        <w:tc>
          <w:tcPr>
            <w:tcW w:w="996" w:type="pct"/>
            <w:noWrap/>
            <w:vAlign w:val="center"/>
          </w:tcPr>
          <w:p w14:paraId="034AB048">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硫化物</w:t>
            </w:r>
          </w:p>
        </w:tc>
        <w:tc>
          <w:tcPr>
            <w:tcW w:w="665" w:type="pct"/>
            <w:noWrap/>
            <w:vAlign w:val="center"/>
          </w:tcPr>
          <w:p w14:paraId="635972CD">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0.01</w:t>
            </w:r>
          </w:p>
        </w:tc>
        <w:tc>
          <w:tcPr>
            <w:tcW w:w="665" w:type="pct"/>
            <w:noWrap/>
            <w:vAlign w:val="center"/>
          </w:tcPr>
          <w:p w14:paraId="79960899">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0.01</w:t>
            </w:r>
          </w:p>
        </w:tc>
        <w:tc>
          <w:tcPr>
            <w:tcW w:w="416" w:type="pct"/>
            <w:noWrap/>
            <w:vAlign w:val="center"/>
          </w:tcPr>
          <w:p w14:paraId="0BD4DC88">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0.2</w:t>
            </w:r>
          </w:p>
        </w:tc>
        <w:tc>
          <w:tcPr>
            <w:tcW w:w="579" w:type="pct"/>
            <w:noWrap/>
            <w:vAlign w:val="center"/>
          </w:tcPr>
          <w:p w14:paraId="001D0622">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0.05</w:t>
            </w:r>
          </w:p>
        </w:tc>
        <w:tc>
          <w:tcPr>
            <w:tcW w:w="419" w:type="pct"/>
            <w:noWrap/>
            <w:vAlign w:val="center"/>
          </w:tcPr>
          <w:p w14:paraId="7480E6B8">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w:t>
            </w:r>
          </w:p>
        </w:tc>
        <w:tc>
          <w:tcPr>
            <w:tcW w:w="419" w:type="pct"/>
            <w:noWrap/>
            <w:vAlign w:val="center"/>
          </w:tcPr>
          <w:p w14:paraId="10200CAC">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w:t>
            </w:r>
          </w:p>
        </w:tc>
        <w:tc>
          <w:tcPr>
            <w:tcW w:w="419" w:type="pct"/>
            <w:noWrap/>
            <w:vAlign w:val="center"/>
          </w:tcPr>
          <w:p w14:paraId="3892CCAB">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达标</w:t>
            </w:r>
          </w:p>
        </w:tc>
      </w:tr>
      <w:tr w14:paraId="13B26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18" w:type="pct"/>
            <w:vMerge w:val="continue"/>
            <w:vAlign w:val="center"/>
          </w:tcPr>
          <w:p w14:paraId="2F83DE95">
            <w:pPr>
              <w:jc w:val="center"/>
              <w:rPr>
                <w:rFonts w:ascii="Times New Roman" w:hAnsi="Times New Roman" w:eastAsia="宋体" w:cs="Times New Roman"/>
                <w:color w:val="auto"/>
                <w:sz w:val="22"/>
                <w:szCs w:val="24"/>
              </w:rPr>
            </w:pPr>
          </w:p>
        </w:tc>
        <w:tc>
          <w:tcPr>
            <w:tcW w:w="996" w:type="pct"/>
            <w:noWrap/>
            <w:vAlign w:val="center"/>
          </w:tcPr>
          <w:p w14:paraId="70FEC056">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氨氮（以N计）</w:t>
            </w:r>
          </w:p>
        </w:tc>
        <w:tc>
          <w:tcPr>
            <w:tcW w:w="665" w:type="pct"/>
            <w:noWrap/>
            <w:vAlign w:val="center"/>
          </w:tcPr>
          <w:p w14:paraId="782584A5">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0.918</w:t>
            </w:r>
          </w:p>
        </w:tc>
        <w:tc>
          <w:tcPr>
            <w:tcW w:w="665" w:type="pct"/>
            <w:noWrap/>
            <w:vAlign w:val="center"/>
          </w:tcPr>
          <w:p w14:paraId="525EB33D">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0.918</w:t>
            </w:r>
          </w:p>
        </w:tc>
        <w:tc>
          <w:tcPr>
            <w:tcW w:w="416" w:type="pct"/>
            <w:noWrap/>
            <w:vAlign w:val="center"/>
          </w:tcPr>
          <w:p w14:paraId="160F0A66">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1</w:t>
            </w:r>
          </w:p>
        </w:tc>
        <w:tc>
          <w:tcPr>
            <w:tcW w:w="579" w:type="pct"/>
            <w:noWrap/>
            <w:vAlign w:val="center"/>
          </w:tcPr>
          <w:p w14:paraId="5A0E995C">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0.918</w:t>
            </w:r>
          </w:p>
        </w:tc>
        <w:tc>
          <w:tcPr>
            <w:tcW w:w="419" w:type="pct"/>
            <w:noWrap/>
            <w:vAlign w:val="center"/>
          </w:tcPr>
          <w:p w14:paraId="7D1E4200">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w:t>
            </w:r>
          </w:p>
        </w:tc>
        <w:tc>
          <w:tcPr>
            <w:tcW w:w="419" w:type="pct"/>
            <w:noWrap/>
            <w:vAlign w:val="center"/>
          </w:tcPr>
          <w:p w14:paraId="0CD6E334">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w:t>
            </w:r>
          </w:p>
        </w:tc>
        <w:tc>
          <w:tcPr>
            <w:tcW w:w="419" w:type="pct"/>
            <w:noWrap/>
            <w:vAlign w:val="center"/>
          </w:tcPr>
          <w:p w14:paraId="2AD6F644">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达标</w:t>
            </w:r>
          </w:p>
        </w:tc>
      </w:tr>
      <w:tr w14:paraId="25CC0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18" w:type="pct"/>
            <w:vMerge w:val="continue"/>
            <w:vAlign w:val="center"/>
          </w:tcPr>
          <w:p w14:paraId="3E30905E">
            <w:pPr>
              <w:jc w:val="center"/>
              <w:rPr>
                <w:rFonts w:ascii="Times New Roman" w:hAnsi="Times New Roman" w:eastAsia="宋体" w:cs="Times New Roman"/>
                <w:color w:val="auto"/>
                <w:sz w:val="22"/>
                <w:szCs w:val="24"/>
              </w:rPr>
            </w:pPr>
          </w:p>
        </w:tc>
        <w:tc>
          <w:tcPr>
            <w:tcW w:w="996" w:type="pct"/>
            <w:noWrap/>
            <w:vAlign w:val="center"/>
          </w:tcPr>
          <w:p w14:paraId="681F38DE">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总磷（以N计）</w:t>
            </w:r>
          </w:p>
        </w:tc>
        <w:tc>
          <w:tcPr>
            <w:tcW w:w="665" w:type="pct"/>
            <w:noWrap/>
            <w:vAlign w:val="center"/>
          </w:tcPr>
          <w:p w14:paraId="10D58ADF">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0.12</w:t>
            </w:r>
          </w:p>
        </w:tc>
        <w:tc>
          <w:tcPr>
            <w:tcW w:w="665" w:type="pct"/>
            <w:noWrap/>
            <w:vAlign w:val="center"/>
          </w:tcPr>
          <w:p w14:paraId="6B3D47E7">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0.12</w:t>
            </w:r>
          </w:p>
        </w:tc>
        <w:tc>
          <w:tcPr>
            <w:tcW w:w="416" w:type="pct"/>
            <w:noWrap/>
            <w:vAlign w:val="center"/>
          </w:tcPr>
          <w:p w14:paraId="28FC6048">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0.05</w:t>
            </w:r>
          </w:p>
        </w:tc>
        <w:tc>
          <w:tcPr>
            <w:tcW w:w="579" w:type="pct"/>
            <w:noWrap/>
            <w:vAlign w:val="center"/>
          </w:tcPr>
          <w:p w14:paraId="75066B44">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2.4</w:t>
            </w:r>
          </w:p>
        </w:tc>
        <w:tc>
          <w:tcPr>
            <w:tcW w:w="419" w:type="pct"/>
            <w:noWrap/>
            <w:vAlign w:val="center"/>
          </w:tcPr>
          <w:p w14:paraId="124E09FD">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100</w:t>
            </w:r>
          </w:p>
        </w:tc>
        <w:tc>
          <w:tcPr>
            <w:tcW w:w="419" w:type="pct"/>
            <w:noWrap/>
            <w:vAlign w:val="center"/>
          </w:tcPr>
          <w:p w14:paraId="56E1F32B">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1.4</w:t>
            </w:r>
          </w:p>
        </w:tc>
        <w:tc>
          <w:tcPr>
            <w:tcW w:w="419" w:type="pct"/>
            <w:noWrap/>
            <w:vAlign w:val="center"/>
          </w:tcPr>
          <w:p w14:paraId="353AA4AB">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不达标</w:t>
            </w:r>
          </w:p>
        </w:tc>
      </w:tr>
      <w:tr w14:paraId="61065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18" w:type="pct"/>
            <w:vMerge w:val="continue"/>
            <w:vAlign w:val="center"/>
          </w:tcPr>
          <w:p w14:paraId="1FD32CF5">
            <w:pPr>
              <w:jc w:val="center"/>
              <w:rPr>
                <w:rFonts w:ascii="Times New Roman" w:hAnsi="Times New Roman" w:eastAsia="宋体" w:cs="Times New Roman"/>
                <w:color w:val="auto"/>
                <w:sz w:val="22"/>
                <w:szCs w:val="24"/>
              </w:rPr>
            </w:pPr>
          </w:p>
        </w:tc>
        <w:tc>
          <w:tcPr>
            <w:tcW w:w="996" w:type="pct"/>
            <w:noWrap/>
            <w:vAlign w:val="center"/>
          </w:tcPr>
          <w:p w14:paraId="0370692E">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氟化物（以F-计）</w:t>
            </w:r>
          </w:p>
        </w:tc>
        <w:tc>
          <w:tcPr>
            <w:tcW w:w="665" w:type="pct"/>
            <w:noWrap/>
            <w:vAlign w:val="center"/>
          </w:tcPr>
          <w:p w14:paraId="0A7FC9B4">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0.246</w:t>
            </w:r>
          </w:p>
        </w:tc>
        <w:tc>
          <w:tcPr>
            <w:tcW w:w="665" w:type="pct"/>
            <w:noWrap/>
            <w:vAlign w:val="center"/>
          </w:tcPr>
          <w:p w14:paraId="6369B683">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0.246</w:t>
            </w:r>
          </w:p>
        </w:tc>
        <w:tc>
          <w:tcPr>
            <w:tcW w:w="416" w:type="pct"/>
            <w:noWrap/>
            <w:vAlign w:val="center"/>
          </w:tcPr>
          <w:p w14:paraId="698B9B4D">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1</w:t>
            </w:r>
          </w:p>
        </w:tc>
        <w:tc>
          <w:tcPr>
            <w:tcW w:w="579" w:type="pct"/>
            <w:noWrap/>
            <w:vAlign w:val="center"/>
          </w:tcPr>
          <w:p w14:paraId="2BD1BF67">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0.246</w:t>
            </w:r>
          </w:p>
        </w:tc>
        <w:tc>
          <w:tcPr>
            <w:tcW w:w="419" w:type="pct"/>
            <w:noWrap/>
            <w:vAlign w:val="center"/>
          </w:tcPr>
          <w:p w14:paraId="28A89182">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w:t>
            </w:r>
          </w:p>
        </w:tc>
        <w:tc>
          <w:tcPr>
            <w:tcW w:w="419" w:type="pct"/>
            <w:noWrap/>
            <w:vAlign w:val="center"/>
          </w:tcPr>
          <w:p w14:paraId="65E2FFD1">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w:t>
            </w:r>
          </w:p>
        </w:tc>
        <w:tc>
          <w:tcPr>
            <w:tcW w:w="419" w:type="pct"/>
            <w:noWrap/>
            <w:vAlign w:val="center"/>
          </w:tcPr>
          <w:p w14:paraId="507CDBBA">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达标</w:t>
            </w:r>
          </w:p>
        </w:tc>
      </w:tr>
      <w:tr w14:paraId="35F71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18" w:type="pct"/>
            <w:vMerge w:val="continue"/>
            <w:vAlign w:val="center"/>
          </w:tcPr>
          <w:p w14:paraId="4A4B27D9">
            <w:pPr>
              <w:jc w:val="center"/>
              <w:rPr>
                <w:rFonts w:ascii="Times New Roman" w:hAnsi="Times New Roman" w:eastAsia="宋体" w:cs="Times New Roman"/>
                <w:color w:val="auto"/>
                <w:sz w:val="22"/>
                <w:szCs w:val="24"/>
              </w:rPr>
            </w:pPr>
          </w:p>
        </w:tc>
        <w:tc>
          <w:tcPr>
            <w:tcW w:w="996" w:type="pct"/>
            <w:noWrap/>
            <w:vAlign w:val="center"/>
          </w:tcPr>
          <w:p w14:paraId="40449882">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铬（六价）</w:t>
            </w:r>
          </w:p>
        </w:tc>
        <w:tc>
          <w:tcPr>
            <w:tcW w:w="665" w:type="pct"/>
            <w:noWrap/>
            <w:vAlign w:val="center"/>
          </w:tcPr>
          <w:p w14:paraId="229B838D">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0.006</w:t>
            </w:r>
          </w:p>
        </w:tc>
        <w:tc>
          <w:tcPr>
            <w:tcW w:w="665" w:type="pct"/>
            <w:noWrap/>
            <w:vAlign w:val="center"/>
          </w:tcPr>
          <w:p w14:paraId="43128746">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0.006</w:t>
            </w:r>
          </w:p>
        </w:tc>
        <w:tc>
          <w:tcPr>
            <w:tcW w:w="416" w:type="pct"/>
            <w:noWrap/>
            <w:vAlign w:val="center"/>
          </w:tcPr>
          <w:p w14:paraId="38DC541C">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0.05</w:t>
            </w:r>
          </w:p>
        </w:tc>
        <w:tc>
          <w:tcPr>
            <w:tcW w:w="579" w:type="pct"/>
            <w:noWrap/>
            <w:vAlign w:val="center"/>
          </w:tcPr>
          <w:p w14:paraId="77937B2E">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0.12</w:t>
            </w:r>
          </w:p>
        </w:tc>
        <w:tc>
          <w:tcPr>
            <w:tcW w:w="419" w:type="pct"/>
            <w:noWrap/>
            <w:vAlign w:val="center"/>
          </w:tcPr>
          <w:p w14:paraId="6FE978B6">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w:t>
            </w:r>
          </w:p>
        </w:tc>
        <w:tc>
          <w:tcPr>
            <w:tcW w:w="419" w:type="pct"/>
            <w:noWrap/>
            <w:vAlign w:val="center"/>
          </w:tcPr>
          <w:p w14:paraId="6AC8D89F">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w:t>
            </w:r>
          </w:p>
        </w:tc>
        <w:tc>
          <w:tcPr>
            <w:tcW w:w="419" w:type="pct"/>
            <w:noWrap/>
            <w:vAlign w:val="center"/>
          </w:tcPr>
          <w:p w14:paraId="362B4B5E">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达标</w:t>
            </w:r>
          </w:p>
        </w:tc>
      </w:tr>
      <w:tr w14:paraId="5EE73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18" w:type="pct"/>
            <w:vMerge w:val="continue"/>
            <w:vAlign w:val="center"/>
          </w:tcPr>
          <w:p w14:paraId="63011D8D">
            <w:pPr>
              <w:jc w:val="center"/>
              <w:rPr>
                <w:rFonts w:ascii="Times New Roman" w:hAnsi="Times New Roman" w:eastAsia="宋体" w:cs="Times New Roman"/>
                <w:color w:val="auto"/>
                <w:sz w:val="22"/>
                <w:szCs w:val="24"/>
              </w:rPr>
            </w:pPr>
          </w:p>
        </w:tc>
        <w:tc>
          <w:tcPr>
            <w:tcW w:w="996" w:type="pct"/>
            <w:noWrap/>
            <w:vAlign w:val="center"/>
          </w:tcPr>
          <w:p w14:paraId="3CD797B2">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氰化物</w:t>
            </w:r>
          </w:p>
        </w:tc>
        <w:tc>
          <w:tcPr>
            <w:tcW w:w="665" w:type="pct"/>
            <w:noWrap/>
            <w:vAlign w:val="center"/>
          </w:tcPr>
          <w:p w14:paraId="35E3499A">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0.004</w:t>
            </w:r>
          </w:p>
        </w:tc>
        <w:tc>
          <w:tcPr>
            <w:tcW w:w="665" w:type="pct"/>
            <w:noWrap/>
            <w:vAlign w:val="center"/>
          </w:tcPr>
          <w:p w14:paraId="6B8B6CCA">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0.004</w:t>
            </w:r>
          </w:p>
        </w:tc>
        <w:tc>
          <w:tcPr>
            <w:tcW w:w="416" w:type="pct"/>
            <w:noWrap/>
            <w:vAlign w:val="center"/>
          </w:tcPr>
          <w:p w14:paraId="5ED96509">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0.2</w:t>
            </w:r>
          </w:p>
        </w:tc>
        <w:tc>
          <w:tcPr>
            <w:tcW w:w="579" w:type="pct"/>
            <w:noWrap/>
            <w:vAlign w:val="center"/>
          </w:tcPr>
          <w:p w14:paraId="5505FA96">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0.02</w:t>
            </w:r>
          </w:p>
        </w:tc>
        <w:tc>
          <w:tcPr>
            <w:tcW w:w="419" w:type="pct"/>
            <w:noWrap/>
            <w:vAlign w:val="center"/>
          </w:tcPr>
          <w:p w14:paraId="616B310B">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w:t>
            </w:r>
          </w:p>
        </w:tc>
        <w:tc>
          <w:tcPr>
            <w:tcW w:w="419" w:type="pct"/>
            <w:noWrap/>
            <w:vAlign w:val="center"/>
          </w:tcPr>
          <w:p w14:paraId="68456A0E">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w:t>
            </w:r>
          </w:p>
        </w:tc>
        <w:tc>
          <w:tcPr>
            <w:tcW w:w="419" w:type="pct"/>
            <w:noWrap/>
            <w:vAlign w:val="center"/>
          </w:tcPr>
          <w:p w14:paraId="4A028CFA">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达标</w:t>
            </w:r>
          </w:p>
        </w:tc>
      </w:tr>
      <w:tr w14:paraId="65D49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18" w:type="pct"/>
            <w:vMerge w:val="continue"/>
            <w:vAlign w:val="center"/>
          </w:tcPr>
          <w:p w14:paraId="66331ADB">
            <w:pPr>
              <w:jc w:val="center"/>
              <w:rPr>
                <w:rFonts w:ascii="Times New Roman" w:hAnsi="Times New Roman" w:eastAsia="宋体" w:cs="Times New Roman"/>
                <w:color w:val="auto"/>
                <w:sz w:val="22"/>
                <w:szCs w:val="24"/>
              </w:rPr>
            </w:pPr>
          </w:p>
        </w:tc>
        <w:tc>
          <w:tcPr>
            <w:tcW w:w="996" w:type="pct"/>
            <w:noWrap/>
            <w:vAlign w:val="center"/>
          </w:tcPr>
          <w:p w14:paraId="519A3D51">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挥发性酚类（以苯酚计）</w:t>
            </w:r>
          </w:p>
        </w:tc>
        <w:tc>
          <w:tcPr>
            <w:tcW w:w="665" w:type="pct"/>
            <w:noWrap/>
            <w:vAlign w:val="center"/>
          </w:tcPr>
          <w:p w14:paraId="252F2CA3">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0.0004</w:t>
            </w:r>
          </w:p>
        </w:tc>
        <w:tc>
          <w:tcPr>
            <w:tcW w:w="665" w:type="pct"/>
            <w:noWrap/>
            <w:vAlign w:val="center"/>
          </w:tcPr>
          <w:p w14:paraId="1DD02562">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0.0004</w:t>
            </w:r>
          </w:p>
        </w:tc>
        <w:tc>
          <w:tcPr>
            <w:tcW w:w="416" w:type="pct"/>
            <w:noWrap/>
            <w:vAlign w:val="center"/>
          </w:tcPr>
          <w:p w14:paraId="5536F4F8">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0.005</w:t>
            </w:r>
          </w:p>
        </w:tc>
        <w:tc>
          <w:tcPr>
            <w:tcW w:w="579" w:type="pct"/>
            <w:noWrap/>
            <w:vAlign w:val="center"/>
          </w:tcPr>
          <w:p w14:paraId="3860BC2A">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0.08</w:t>
            </w:r>
          </w:p>
        </w:tc>
        <w:tc>
          <w:tcPr>
            <w:tcW w:w="419" w:type="pct"/>
            <w:noWrap/>
            <w:vAlign w:val="center"/>
          </w:tcPr>
          <w:p w14:paraId="721F6A93">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w:t>
            </w:r>
          </w:p>
        </w:tc>
        <w:tc>
          <w:tcPr>
            <w:tcW w:w="419" w:type="pct"/>
            <w:noWrap/>
            <w:vAlign w:val="center"/>
          </w:tcPr>
          <w:p w14:paraId="3A488902">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w:t>
            </w:r>
          </w:p>
        </w:tc>
        <w:tc>
          <w:tcPr>
            <w:tcW w:w="419" w:type="pct"/>
            <w:noWrap/>
            <w:vAlign w:val="center"/>
          </w:tcPr>
          <w:p w14:paraId="0BBCD218">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达标</w:t>
            </w:r>
          </w:p>
        </w:tc>
      </w:tr>
      <w:tr w14:paraId="115EF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18" w:type="pct"/>
            <w:vMerge w:val="continue"/>
            <w:vAlign w:val="center"/>
          </w:tcPr>
          <w:p w14:paraId="27BDEBE6">
            <w:pPr>
              <w:jc w:val="center"/>
              <w:rPr>
                <w:rFonts w:ascii="Times New Roman" w:hAnsi="Times New Roman" w:eastAsia="宋体" w:cs="Times New Roman"/>
                <w:color w:val="auto"/>
                <w:sz w:val="22"/>
                <w:szCs w:val="24"/>
              </w:rPr>
            </w:pPr>
          </w:p>
        </w:tc>
        <w:tc>
          <w:tcPr>
            <w:tcW w:w="996" w:type="pct"/>
            <w:noWrap/>
            <w:vAlign w:val="center"/>
          </w:tcPr>
          <w:p w14:paraId="3C0F987E">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铜</w:t>
            </w:r>
          </w:p>
        </w:tc>
        <w:tc>
          <w:tcPr>
            <w:tcW w:w="665" w:type="pct"/>
            <w:noWrap/>
            <w:vAlign w:val="center"/>
          </w:tcPr>
          <w:p w14:paraId="3D59ED9E">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0.01</w:t>
            </w:r>
          </w:p>
        </w:tc>
        <w:tc>
          <w:tcPr>
            <w:tcW w:w="665" w:type="pct"/>
            <w:noWrap/>
            <w:vAlign w:val="center"/>
          </w:tcPr>
          <w:p w14:paraId="3DFDAA0E">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0.01</w:t>
            </w:r>
          </w:p>
        </w:tc>
        <w:tc>
          <w:tcPr>
            <w:tcW w:w="416" w:type="pct"/>
            <w:noWrap/>
            <w:vAlign w:val="center"/>
          </w:tcPr>
          <w:p w14:paraId="4771A4E4">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1</w:t>
            </w:r>
          </w:p>
        </w:tc>
        <w:tc>
          <w:tcPr>
            <w:tcW w:w="579" w:type="pct"/>
            <w:noWrap/>
            <w:vAlign w:val="center"/>
          </w:tcPr>
          <w:p w14:paraId="6DCF9571">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0.01</w:t>
            </w:r>
          </w:p>
        </w:tc>
        <w:tc>
          <w:tcPr>
            <w:tcW w:w="419" w:type="pct"/>
            <w:noWrap/>
            <w:vAlign w:val="center"/>
          </w:tcPr>
          <w:p w14:paraId="4FA50F5A">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w:t>
            </w:r>
          </w:p>
        </w:tc>
        <w:tc>
          <w:tcPr>
            <w:tcW w:w="419" w:type="pct"/>
            <w:noWrap/>
            <w:vAlign w:val="center"/>
          </w:tcPr>
          <w:p w14:paraId="0A4AE0EA">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w:t>
            </w:r>
          </w:p>
        </w:tc>
        <w:tc>
          <w:tcPr>
            <w:tcW w:w="419" w:type="pct"/>
            <w:noWrap/>
            <w:vAlign w:val="center"/>
          </w:tcPr>
          <w:p w14:paraId="75A33617">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达标</w:t>
            </w:r>
          </w:p>
        </w:tc>
      </w:tr>
      <w:tr w14:paraId="5FA6E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18" w:type="pct"/>
            <w:vMerge w:val="continue"/>
            <w:vAlign w:val="center"/>
          </w:tcPr>
          <w:p w14:paraId="0402F29E">
            <w:pPr>
              <w:jc w:val="center"/>
              <w:rPr>
                <w:rFonts w:ascii="Times New Roman" w:hAnsi="Times New Roman" w:eastAsia="宋体" w:cs="Times New Roman"/>
                <w:color w:val="auto"/>
                <w:sz w:val="22"/>
                <w:szCs w:val="24"/>
              </w:rPr>
            </w:pPr>
          </w:p>
        </w:tc>
        <w:tc>
          <w:tcPr>
            <w:tcW w:w="996" w:type="pct"/>
            <w:noWrap/>
            <w:vAlign w:val="center"/>
          </w:tcPr>
          <w:p w14:paraId="0022518C">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锌</w:t>
            </w:r>
          </w:p>
        </w:tc>
        <w:tc>
          <w:tcPr>
            <w:tcW w:w="665" w:type="pct"/>
            <w:noWrap/>
            <w:vAlign w:val="center"/>
          </w:tcPr>
          <w:p w14:paraId="3F9F198A">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0.04</w:t>
            </w:r>
          </w:p>
        </w:tc>
        <w:tc>
          <w:tcPr>
            <w:tcW w:w="665" w:type="pct"/>
            <w:noWrap/>
            <w:vAlign w:val="center"/>
          </w:tcPr>
          <w:p w14:paraId="55A38705">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0.04</w:t>
            </w:r>
          </w:p>
        </w:tc>
        <w:tc>
          <w:tcPr>
            <w:tcW w:w="416" w:type="pct"/>
            <w:noWrap/>
            <w:vAlign w:val="center"/>
          </w:tcPr>
          <w:p w14:paraId="7D7FA267">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1</w:t>
            </w:r>
          </w:p>
        </w:tc>
        <w:tc>
          <w:tcPr>
            <w:tcW w:w="579" w:type="pct"/>
            <w:noWrap/>
            <w:vAlign w:val="center"/>
          </w:tcPr>
          <w:p w14:paraId="24865696">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0.04</w:t>
            </w:r>
          </w:p>
        </w:tc>
        <w:tc>
          <w:tcPr>
            <w:tcW w:w="419" w:type="pct"/>
            <w:noWrap/>
            <w:vAlign w:val="center"/>
          </w:tcPr>
          <w:p w14:paraId="50B4740F">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w:t>
            </w:r>
          </w:p>
        </w:tc>
        <w:tc>
          <w:tcPr>
            <w:tcW w:w="419" w:type="pct"/>
            <w:noWrap/>
            <w:vAlign w:val="center"/>
          </w:tcPr>
          <w:p w14:paraId="35D54CCD">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w:t>
            </w:r>
          </w:p>
        </w:tc>
        <w:tc>
          <w:tcPr>
            <w:tcW w:w="419" w:type="pct"/>
            <w:noWrap/>
            <w:vAlign w:val="center"/>
          </w:tcPr>
          <w:p w14:paraId="52F016C9">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达标</w:t>
            </w:r>
          </w:p>
        </w:tc>
      </w:tr>
      <w:tr w14:paraId="73ACF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18" w:type="pct"/>
            <w:vMerge w:val="continue"/>
            <w:vAlign w:val="center"/>
          </w:tcPr>
          <w:p w14:paraId="21EC1805">
            <w:pPr>
              <w:jc w:val="center"/>
              <w:rPr>
                <w:rFonts w:ascii="Times New Roman" w:hAnsi="Times New Roman" w:eastAsia="宋体" w:cs="Times New Roman"/>
                <w:color w:val="auto"/>
                <w:sz w:val="22"/>
                <w:szCs w:val="24"/>
              </w:rPr>
            </w:pPr>
          </w:p>
        </w:tc>
        <w:tc>
          <w:tcPr>
            <w:tcW w:w="996" w:type="pct"/>
            <w:noWrap/>
            <w:vAlign w:val="center"/>
          </w:tcPr>
          <w:p w14:paraId="7962437E">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汞</w:t>
            </w:r>
          </w:p>
        </w:tc>
        <w:tc>
          <w:tcPr>
            <w:tcW w:w="665" w:type="pct"/>
            <w:noWrap/>
            <w:vAlign w:val="center"/>
          </w:tcPr>
          <w:p w14:paraId="49C42425">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0.00004</w:t>
            </w:r>
          </w:p>
        </w:tc>
        <w:tc>
          <w:tcPr>
            <w:tcW w:w="665" w:type="pct"/>
            <w:noWrap/>
            <w:vAlign w:val="center"/>
          </w:tcPr>
          <w:p w14:paraId="04AB8486">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0.04</w:t>
            </w:r>
          </w:p>
        </w:tc>
        <w:tc>
          <w:tcPr>
            <w:tcW w:w="416" w:type="pct"/>
            <w:noWrap/>
            <w:vAlign w:val="center"/>
          </w:tcPr>
          <w:p w14:paraId="4307BD6E">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0.0001</w:t>
            </w:r>
          </w:p>
        </w:tc>
        <w:tc>
          <w:tcPr>
            <w:tcW w:w="579" w:type="pct"/>
            <w:noWrap/>
            <w:vAlign w:val="center"/>
          </w:tcPr>
          <w:p w14:paraId="1AFAFA02">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0.4</w:t>
            </w:r>
          </w:p>
        </w:tc>
        <w:tc>
          <w:tcPr>
            <w:tcW w:w="419" w:type="pct"/>
            <w:noWrap/>
            <w:vAlign w:val="center"/>
          </w:tcPr>
          <w:p w14:paraId="2955D86C">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w:t>
            </w:r>
          </w:p>
        </w:tc>
        <w:tc>
          <w:tcPr>
            <w:tcW w:w="419" w:type="pct"/>
            <w:noWrap/>
            <w:vAlign w:val="center"/>
          </w:tcPr>
          <w:p w14:paraId="5D5C7BD4">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w:t>
            </w:r>
          </w:p>
        </w:tc>
        <w:tc>
          <w:tcPr>
            <w:tcW w:w="419" w:type="pct"/>
            <w:noWrap/>
            <w:vAlign w:val="center"/>
          </w:tcPr>
          <w:p w14:paraId="400750A1">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达标</w:t>
            </w:r>
          </w:p>
        </w:tc>
      </w:tr>
      <w:tr w14:paraId="1FE47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18" w:type="pct"/>
            <w:vMerge w:val="continue"/>
            <w:vAlign w:val="center"/>
          </w:tcPr>
          <w:p w14:paraId="4D9DAAC7">
            <w:pPr>
              <w:jc w:val="center"/>
              <w:rPr>
                <w:rFonts w:ascii="Times New Roman" w:hAnsi="Times New Roman" w:eastAsia="宋体" w:cs="Times New Roman"/>
                <w:color w:val="auto"/>
                <w:sz w:val="22"/>
                <w:szCs w:val="24"/>
              </w:rPr>
            </w:pPr>
          </w:p>
        </w:tc>
        <w:tc>
          <w:tcPr>
            <w:tcW w:w="996" w:type="pct"/>
            <w:noWrap/>
            <w:vAlign w:val="center"/>
          </w:tcPr>
          <w:p w14:paraId="34AD7088">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镉</w:t>
            </w:r>
          </w:p>
        </w:tc>
        <w:tc>
          <w:tcPr>
            <w:tcW w:w="665" w:type="pct"/>
            <w:noWrap/>
            <w:vAlign w:val="center"/>
          </w:tcPr>
          <w:p w14:paraId="7CC2DBE2">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0.00005</w:t>
            </w:r>
          </w:p>
        </w:tc>
        <w:tc>
          <w:tcPr>
            <w:tcW w:w="665" w:type="pct"/>
            <w:noWrap/>
            <w:vAlign w:val="center"/>
          </w:tcPr>
          <w:p w14:paraId="5A7A5C12">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0.05</w:t>
            </w:r>
          </w:p>
        </w:tc>
        <w:tc>
          <w:tcPr>
            <w:tcW w:w="416" w:type="pct"/>
            <w:noWrap/>
            <w:vAlign w:val="center"/>
          </w:tcPr>
          <w:p w14:paraId="232AF8D4">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0.005</w:t>
            </w:r>
          </w:p>
        </w:tc>
        <w:tc>
          <w:tcPr>
            <w:tcW w:w="579" w:type="pct"/>
            <w:noWrap/>
            <w:vAlign w:val="center"/>
          </w:tcPr>
          <w:p w14:paraId="4298B222">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0.01</w:t>
            </w:r>
          </w:p>
        </w:tc>
        <w:tc>
          <w:tcPr>
            <w:tcW w:w="419" w:type="pct"/>
            <w:noWrap/>
            <w:vAlign w:val="center"/>
          </w:tcPr>
          <w:p w14:paraId="76F6A960">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w:t>
            </w:r>
          </w:p>
        </w:tc>
        <w:tc>
          <w:tcPr>
            <w:tcW w:w="419" w:type="pct"/>
            <w:noWrap/>
            <w:vAlign w:val="center"/>
          </w:tcPr>
          <w:p w14:paraId="6FCCBEB5">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w:t>
            </w:r>
          </w:p>
        </w:tc>
        <w:tc>
          <w:tcPr>
            <w:tcW w:w="419" w:type="pct"/>
            <w:noWrap/>
            <w:vAlign w:val="center"/>
          </w:tcPr>
          <w:p w14:paraId="1CBD2941">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达标</w:t>
            </w:r>
          </w:p>
        </w:tc>
      </w:tr>
      <w:tr w14:paraId="7DE86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18" w:type="pct"/>
            <w:vMerge w:val="continue"/>
            <w:vAlign w:val="center"/>
          </w:tcPr>
          <w:p w14:paraId="1A454E4D">
            <w:pPr>
              <w:jc w:val="center"/>
              <w:rPr>
                <w:rFonts w:ascii="Times New Roman" w:hAnsi="Times New Roman" w:eastAsia="宋体" w:cs="Times New Roman"/>
                <w:color w:val="auto"/>
                <w:sz w:val="22"/>
                <w:szCs w:val="24"/>
              </w:rPr>
            </w:pPr>
          </w:p>
        </w:tc>
        <w:tc>
          <w:tcPr>
            <w:tcW w:w="996" w:type="pct"/>
            <w:noWrap/>
            <w:vAlign w:val="center"/>
          </w:tcPr>
          <w:p w14:paraId="6FD99432">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铅</w:t>
            </w:r>
          </w:p>
        </w:tc>
        <w:tc>
          <w:tcPr>
            <w:tcW w:w="665" w:type="pct"/>
            <w:noWrap/>
            <w:vAlign w:val="center"/>
          </w:tcPr>
          <w:p w14:paraId="09173329">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0.0017</w:t>
            </w:r>
          </w:p>
        </w:tc>
        <w:tc>
          <w:tcPr>
            <w:tcW w:w="665" w:type="pct"/>
            <w:noWrap/>
            <w:vAlign w:val="center"/>
          </w:tcPr>
          <w:p w14:paraId="5A125C12">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0.17</w:t>
            </w:r>
          </w:p>
        </w:tc>
        <w:tc>
          <w:tcPr>
            <w:tcW w:w="416" w:type="pct"/>
            <w:noWrap/>
            <w:vAlign w:val="center"/>
          </w:tcPr>
          <w:p w14:paraId="0D6316E1">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0.05</w:t>
            </w:r>
          </w:p>
        </w:tc>
        <w:tc>
          <w:tcPr>
            <w:tcW w:w="579" w:type="pct"/>
            <w:noWrap/>
            <w:vAlign w:val="center"/>
          </w:tcPr>
          <w:p w14:paraId="2D715E47">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0.034</w:t>
            </w:r>
          </w:p>
        </w:tc>
        <w:tc>
          <w:tcPr>
            <w:tcW w:w="419" w:type="pct"/>
            <w:noWrap/>
            <w:vAlign w:val="center"/>
          </w:tcPr>
          <w:p w14:paraId="713A8788">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w:t>
            </w:r>
          </w:p>
        </w:tc>
        <w:tc>
          <w:tcPr>
            <w:tcW w:w="419" w:type="pct"/>
            <w:noWrap/>
            <w:vAlign w:val="center"/>
          </w:tcPr>
          <w:p w14:paraId="6D6E6005">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w:t>
            </w:r>
          </w:p>
        </w:tc>
        <w:tc>
          <w:tcPr>
            <w:tcW w:w="419" w:type="pct"/>
            <w:noWrap/>
            <w:vAlign w:val="center"/>
          </w:tcPr>
          <w:p w14:paraId="3E668425">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达标</w:t>
            </w:r>
          </w:p>
        </w:tc>
      </w:tr>
      <w:tr w14:paraId="55CC5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18" w:type="pct"/>
            <w:vMerge w:val="continue"/>
            <w:vAlign w:val="center"/>
          </w:tcPr>
          <w:p w14:paraId="56F7E258">
            <w:pPr>
              <w:jc w:val="center"/>
              <w:rPr>
                <w:rFonts w:ascii="Times New Roman" w:hAnsi="Times New Roman" w:eastAsia="宋体" w:cs="Times New Roman"/>
                <w:color w:val="auto"/>
                <w:sz w:val="22"/>
                <w:szCs w:val="24"/>
              </w:rPr>
            </w:pPr>
          </w:p>
        </w:tc>
        <w:tc>
          <w:tcPr>
            <w:tcW w:w="996" w:type="pct"/>
            <w:vAlign w:val="center"/>
          </w:tcPr>
          <w:p w14:paraId="7EB3224E">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铊（mg/L）</w:t>
            </w:r>
          </w:p>
        </w:tc>
        <w:tc>
          <w:tcPr>
            <w:tcW w:w="665" w:type="pct"/>
            <w:noWrap/>
            <w:vAlign w:val="center"/>
          </w:tcPr>
          <w:p w14:paraId="39381075">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0.00003</w:t>
            </w:r>
          </w:p>
        </w:tc>
        <w:tc>
          <w:tcPr>
            <w:tcW w:w="665" w:type="pct"/>
            <w:noWrap/>
            <w:vAlign w:val="center"/>
          </w:tcPr>
          <w:p w14:paraId="36DC37BD">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0.00003</w:t>
            </w:r>
          </w:p>
        </w:tc>
        <w:tc>
          <w:tcPr>
            <w:tcW w:w="416" w:type="pct"/>
            <w:noWrap/>
            <w:vAlign w:val="center"/>
          </w:tcPr>
          <w:p w14:paraId="39532254">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0.0001</w:t>
            </w:r>
          </w:p>
        </w:tc>
        <w:tc>
          <w:tcPr>
            <w:tcW w:w="579" w:type="pct"/>
            <w:noWrap/>
            <w:vAlign w:val="center"/>
          </w:tcPr>
          <w:p w14:paraId="4558D418">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0.3</w:t>
            </w:r>
          </w:p>
        </w:tc>
        <w:tc>
          <w:tcPr>
            <w:tcW w:w="419" w:type="pct"/>
            <w:noWrap/>
            <w:vAlign w:val="center"/>
          </w:tcPr>
          <w:p w14:paraId="7BCD85EA">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w:t>
            </w:r>
          </w:p>
        </w:tc>
        <w:tc>
          <w:tcPr>
            <w:tcW w:w="419" w:type="pct"/>
            <w:noWrap/>
            <w:vAlign w:val="center"/>
          </w:tcPr>
          <w:p w14:paraId="1697631D">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w:t>
            </w:r>
          </w:p>
        </w:tc>
        <w:tc>
          <w:tcPr>
            <w:tcW w:w="419" w:type="pct"/>
            <w:noWrap/>
            <w:vAlign w:val="center"/>
          </w:tcPr>
          <w:p w14:paraId="48C201D0">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达标</w:t>
            </w:r>
          </w:p>
        </w:tc>
      </w:tr>
      <w:tr w14:paraId="4C6C0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18" w:type="pct"/>
            <w:vMerge w:val="continue"/>
            <w:vAlign w:val="center"/>
          </w:tcPr>
          <w:p w14:paraId="1C3882FB">
            <w:pPr>
              <w:jc w:val="center"/>
              <w:rPr>
                <w:rFonts w:ascii="Times New Roman" w:hAnsi="Times New Roman" w:eastAsia="宋体" w:cs="Times New Roman"/>
                <w:color w:val="auto"/>
                <w:sz w:val="22"/>
                <w:szCs w:val="24"/>
              </w:rPr>
            </w:pPr>
          </w:p>
        </w:tc>
        <w:tc>
          <w:tcPr>
            <w:tcW w:w="996" w:type="pct"/>
            <w:noWrap/>
            <w:vAlign w:val="center"/>
          </w:tcPr>
          <w:p w14:paraId="3F059F6A">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甲苯</w:t>
            </w:r>
          </w:p>
        </w:tc>
        <w:tc>
          <w:tcPr>
            <w:tcW w:w="665" w:type="pct"/>
            <w:noWrap/>
            <w:vAlign w:val="center"/>
          </w:tcPr>
          <w:p w14:paraId="55C1833E">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0.0014</w:t>
            </w:r>
          </w:p>
        </w:tc>
        <w:tc>
          <w:tcPr>
            <w:tcW w:w="665" w:type="pct"/>
            <w:noWrap/>
            <w:vAlign w:val="center"/>
          </w:tcPr>
          <w:p w14:paraId="7BD4C447">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0.0014</w:t>
            </w:r>
          </w:p>
        </w:tc>
        <w:tc>
          <w:tcPr>
            <w:tcW w:w="416" w:type="pct"/>
            <w:vAlign w:val="center"/>
          </w:tcPr>
          <w:p w14:paraId="2C7AC112">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0.7</w:t>
            </w:r>
          </w:p>
        </w:tc>
        <w:tc>
          <w:tcPr>
            <w:tcW w:w="579" w:type="pct"/>
            <w:noWrap/>
            <w:vAlign w:val="center"/>
          </w:tcPr>
          <w:p w14:paraId="7C4D8AF4">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0.002</w:t>
            </w:r>
          </w:p>
        </w:tc>
        <w:tc>
          <w:tcPr>
            <w:tcW w:w="419" w:type="pct"/>
            <w:noWrap/>
            <w:vAlign w:val="center"/>
          </w:tcPr>
          <w:p w14:paraId="45D8B46B">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w:t>
            </w:r>
          </w:p>
        </w:tc>
        <w:tc>
          <w:tcPr>
            <w:tcW w:w="419" w:type="pct"/>
            <w:noWrap/>
            <w:vAlign w:val="center"/>
          </w:tcPr>
          <w:p w14:paraId="258E376D">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w:t>
            </w:r>
          </w:p>
        </w:tc>
        <w:tc>
          <w:tcPr>
            <w:tcW w:w="419" w:type="pct"/>
            <w:noWrap/>
            <w:vAlign w:val="center"/>
          </w:tcPr>
          <w:p w14:paraId="5BF1202C">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达标</w:t>
            </w:r>
          </w:p>
        </w:tc>
      </w:tr>
      <w:tr w14:paraId="3E506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18" w:type="pct"/>
            <w:vMerge w:val="continue"/>
            <w:vAlign w:val="center"/>
          </w:tcPr>
          <w:p w14:paraId="6864E3CA">
            <w:pPr>
              <w:jc w:val="center"/>
              <w:rPr>
                <w:rFonts w:ascii="Times New Roman" w:hAnsi="Times New Roman" w:eastAsia="宋体" w:cs="Times New Roman"/>
                <w:color w:val="auto"/>
                <w:sz w:val="22"/>
                <w:szCs w:val="24"/>
              </w:rPr>
            </w:pPr>
          </w:p>
        </w:tc>
        <w:tc>
          <w:tcPr>
            <w:tcW w:w="996" w:type="pct"/>
            <w:noWrap/>
            <w:vAlign w:val="center"/>
          </w:tcPr>
          <w:p w14:paraId="0183A403">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二甲苯</w:t>
            </w:r>
          </w:p>
        </w:tc>
        <w:tc>
          <w:tcPr>
            <w:tcW w:w="665" w:type="pct"/>
            <w:noWrap/>
            <w:vAlign w:val="center"/>
          </w:tcPr>
          <w:p w14:paraId="3237C296">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0.0014</w:t>
            </w:r>
          </w:p>
        </w:tc>
        <w:tc>
          <w:tcPr>
            <w:tcW w:w="665" w:type="pct"/>
            <w:noWrap/>
            <w:vAlign w:val="center"/>
          </w:tcPr>
          <w:p w14:paraId="2030B083">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0.0014</w:t>
            </w:r>
          </w:p>
        </w:tc>
        <w:tc>
          <w:tcPr>
            <w:tcW w:w="416" w:type="pct"/>
            <w:vAlign w:val="center"/>
          </w:tcPr>
          <w:p w14:paraId="06F06387">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0.5</w:t>
            </w:r>
          </w:p>
        </w:tc>
        <w:tc>
          <w:tcPr>
            <w:tcW w:w="579" w:type="pct"/>
            <w:noWrap/>
            <w:vAlign w:val="center"/>
          </w:tcPr>
          <w:p w14:paraId="4F26EA47">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0.0028</w:t>
            </w:r>
          </w:p>
        </w:tc>
        <w:tc>
          <w:tcPr>
            <w:tcW w:w="419" w:type="pct"/>
            <w:noWrap/>
            <w:vAlign w:val="center"/>
          </w:tcPr>
          <w:p w14:paraId="22F678C7">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w:t>
            </w:r>
          </w:p>
        </w:tc>
        <w:tc>
          <w:tcPr>
            <w:tcW w:w="419" w:type="pct"/>
            <w:noWrap/>
            <w:vAlign w:val="center"/>
          </w:tcPr>
          <w:p w14:paraId="64843751">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w:t>
            </w:r>
          </w:p>
        </w:tc>
        <w:tc>
          <w:tcPr>
            <w:tcW w:w="419" w:type="pct"/>
            <w:noWrap/>
            <w:vAlign w:val="center"/>
          </w:tcPr>
          <w:p w14:paraId="3F4B1423">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达标</w:t>
            </w:r>
          </w:p>
        </w:tc>
      </w:tr>
      <w:tr w14:paraId="2F7E6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18" w:type="pct"/>
            <w:vMerge w:val="continue"/>
            <w:vAlign w:val="center"/>
          </w:tcPr>
          <w:p w14:paraId="2E098D98">
            <w:pPr>
              <w:jc w:val="center"/>
              <w:rPr>
                <w:rFonts w:ascii="Times New Roman" w:hAnsi="Times New Roman" w:eastAsia="宋体" w:cs="Times New Roman"/>
                <w:color w:val="auto"/>
                <w:sz w:val="22"/>
                <w:szCs w:val="24"/>
              </w:rPr>
            </w:pPr>
          </w:p>
        </w:tc>
        <w:tc>
          <w:tcPr>
            <w:tcW w:w="996" w:type="pct"/>
            <w:noWrap/>
            <w:vAlign w:val="center"/>
          </w:tcPr>
          <w:p w14:paraId="3F89C05C">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二氯甲烷</w:t>
            </w:r>
          </w:p>
        </w:tc>
        <w:tc>
          <w:tcPr>
            <w:tcW w:w="665" w:type="pct"/>
            <w:noWrap/>
            <w:vAlign w:val="center"/>
          </w:tcPr>
          <w:p w14:paraId="22A54F7B">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0.0014</w:t>
            </w:r>
          </w:p>
        </w:tc>
        <w:tc>
          <w:tcPr>
            <w:tcW w:w="665" w:type="pct"/>
            <w:noWrap/>
            <w:vAlign w:val="center"/>
          </w:tcPr>
          <w:p w14:paraId="3AE6F528">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0.0014</w:t>
            </w:r>
          </w:p>
        </w:tc>
        <w:tc>
          <w:tcPr>
            <w:tcW w:w="416" w:type="pct"/>
            <w:vAlign w:val="center"/>
          </w:tcPr>
          <w:p w14:paraId="4957C058">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0.02</w:t>
            </w:r>
          </w:p>
        </w:tc>
        <w:tc>
          <w:tcPr>
            <w:tcW w:w="579" w:type="pct"/>
            <w:noWrap/>
            <w:vAlign w:val="center"/>
          </w:tcPr>
          <w:p w14:paraId="467ACE61">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0.07</w:t>
            </w:r>
          </w:p>
        </w:tc>
        <w:tc>
          <w:tcPr>
            <w:tcW w:w="419" w:type="pct"/>
            <w:noWrap/>
            <w:vAlign w:val="center"/>
          </w:tcPr>
          <w:p w14:paraId="704C33FB">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w:t>
            </w:r>
          </w:p>
        </w:tc>
        <w:tc>
          <w:tcPr>
            <w:tcW w:w="419" w:type="pct"/>
            <w:noWrap/>
            <w:vAlign w:val="center"/>
          </w:tcPr>
          <w:p w14:paraId="36730EBC">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w:t>
            </w:r>
          </w:p>
        </w:tc>
        <w:tc>
          <w:tcPr>
            <w:tcW w:w="419" w:type="pct"/>
            <w:noWrap/>
            <w:vAlign w:val="center"/>
          </w:tcPr>
          <w:p w14:paraId="77090129">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达标</w:t>
            </w:r>
          </w:p>
        </w:tc>
      </w:tr>
      <w:tr w14:paraId="7CAE4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18" w:type="pct"/>
            <w:vMerge w:val="continue"/>
            <w:vAlign w:val="center"/>
          </w:tcPr>
          <w:p w14:paraId="1FD992DE">
            <w:pPr>
              <w:jc w:val="center"/>
              <w:rPr>
                <w:rFonts w:ascii="Times New Roman" w:hAnsi="Times New Roman" w:eastAsia="宋体" w:cs="Times New Roman"/>
                <w:color w:val="auto"/>
                <w:sz w:val="22"/>
                <w:szCs w:val="24"/>
              </w:rPr>
            </w:pPr>
          </w:p>
        </w:tc>
        <w:tc>
          <w:tcPr>
            <w:tcW w:w="996" w:type="pct"/>
            <w:noWrap/>
            <w:vAlign w:val="center"/>
          </w:tcPr>
          <w:p w14:paraId="78E41707">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三氯甲烷</w:t>
            </w:r>
          </w:p>
        </w:tc>
        <w:tc>
          <w:tcPr>
            <w:tcW w:w="665" w:type="pct"/>
            <w:noWrap/>
            <w:vAlign w:val="center"/>
          </w:tcPr>
          <w:p w14:paraId="61545337">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0.001</w:t>
            </w:r>
          </w:p>
        </w:tc>
        <w:tc>
          <w:tcPr>
            <w:tcW w:w="665" w:type="pct"/>
            <w:noWrap/>
            <w:vAlign w:val="center"/>
          </w:tcPr>
          <w:p w14:paraId="7B093F91">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0.001</w:t>
            </w:r>
          </w:p>
        </w:tc>
        <w:tc>
          <w:tcPr>
            <w:tcW w:w="416" w:type="pct"/>
            <w:noWrap/>
            <w:vAlign w:val="center"/>
          </w:tcPr>
          <w:p w14:paraId="2CD88EAB">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0.06</w:t>
            </w:r>
          </w:p>
        </w:tc>
        <w:tc>
          <w:tcPr>
            <w:tcW w:w="579" w:type="pct"/>
            <w:noWrap/>
            <w:vAlign w:val="center"/>
          </w:tcPr>
          <w:p w14:paraId="0AE60CAB">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0.017</w:t>
            </w:r>
          </w:p>
        </w:tc>
        <w:tc>
          <w:tcPr>
            <w:tcW w:w="419" w:type="pct"/>
            <w:noWrap/>
            <w:vAlign w:val="center"/>
          </w:tcPr>
          <w:p w14:paraId="3680A7BB">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w:t>
            </w:r>
          </w:p>
        </w:tc>
        <w:tc>
          <w:tcPr>
            <w:tcW w:w="419" w:type="pct"/>
            <w:noWrap/>
            <w:vAlign w:val="center"/>
          </w:tcPr>
          <w:p w14:paraId="00AF7FD6">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w:t>
            </w:r>
          </w:p>
        </w:tc>
        <w:tc>
          <w:tcPr>
            <w:tcW w:w="419" w:type="pct"/>
            <w:noWrap/>
            <w:vAlign w:val="center"/>
          </w:tcPr>
          <w:p w14:paraId="67C7F27B">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达标</w:t>
            </w:r>
          </w:p>
        </w:tc>
      </w:tr>
      <w:tr w14:paraId="5754E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418" w:type="pct"/>
            <w:vMerge w:val="continue"/>
            <w:vAlign w:val="center"/>
          </w:tcPr>
          <w:p w14:paraId="45B1EF54">
            <w:pPr>
              <w:jc w:val="center"/>
              <w:rPr>
                <w:rFonts w:ascii="Times New Roman" w:hAnsi="Times New Roman" w:eastAsia="宋体" w:cs="Times New Roman"/>
                <w:color w:val="auto"/>
                <w:sz w:val="22"/>
                <w:szCs w:val="24"/>
              </w:rPr>
            </w:pPr>
          </w:p>
        </w:tc>
        <w:tc>
          <w:tcPr>
            <w:tcW w:w="996" w:type="pct"/>
            <w:vAlign w:val="center"/>
          </w:tcPr>
          <w:p w14:paraId="56373CC3">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1，1-二氯乙烷（mg/L）</w:t>
            </w:r>
          </w:p>
        </w:tc>
        <w:tc>
          <w:tcPr>
            <w:tcW w:w="665" w:type="pct"/>
            <w:noWrap/>
            <w:vAlign w:val="center"/>
          </w:tcPr>
          <w:p w14:paraId="2022D71D">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ND</w:t>
            </w:r>
          </w:p>
        </w:tc>
        <w:tc>
          <w:tcPr>
            <w:tcW w:w="665" w:type="pct"/>
            <w:noWrap/>
            <w:vAlign w:val="center"/>
          </w:tcPr>
          <w:p w14:paraId="73A337F1">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ND</w:t>
            </w:r>
          </w:p>
        </w:tc>
        <w:tc>
          <w:tcPr>
            <w:tcW w:w="416" w:type="pct"/>
            <w:noWrap/>
            <w:vAlign w:val="center"/>
          </w:tcPr>
          <w:p w14:paraId="57A61288">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c>
          <w:tcPr>
            <w:tcW w:w="579" w:type="pct"/>
            <w:noWrap/>
            <w:vAlign w:val="center"/>
          </w:tcPr>
          <w:p w14:paraId="1921E086">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c>
          <w:tcPr>
            <w:tcW w:w="419" w:type="pct"/>
            <w:noWrap/>
            <w:vAlign w:val="center"/>
          </w:tcPr>
          <w:p w14:paraId="43AF247C">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w:t>
            </w:r>
          </w:p>
        </w:tc>
        <w:tc>
          <w:tcPr>
            <w:tcW w:w="419" w:type="pct"/>
            <w:noWrap/>
            <w:vAlign w:val="center"/>
          </w:tcPr>
          <w:p w14:paraId="31177E8B">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w:t>
            </w:r>
          </w:p>
        </w:tc>
        <w:tc>
          <w:tcPr>
            <w:tcW w:w="419" w:type="pct"/>
            <w:noWrap/>
            <w:vAlign w:val="center"/>
          </w:tcPr>
          <w:p w14:paraId="6D5E57A3">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达标</w:t>
            </w:r>
          </w:p>
        </w:tc>
      </w:tr>
      <w:tr w14:paraId="4A0FC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trPr>
        <w:tc>
          <w:tcPr>
            <w:tcW w:w="418" w:type="pct"/>
            <w:vMerge w:val="continue"/>
            <w:vAlign w:val="center"/>
          </w:tcPr>
          <w:p w14:paraId="6FB2F658">
            <w:pPr>
              <w:jc w:val="center"/>
              <w:rPr>
                <w:rFonts w:ascii="Times New Roman" w:hAnsi="Times New Roman" w:eastAsia="宋体" w:cs="Times New Roman"/>
                <w:color w:val="auto"/>
                <w:sz w:val="22"/>
                <w:szCs w:val="24"/>
              </w:rPr>
            </w:pPr>
          </w:p>
        </w:tc>
        <w:tc>
          <w:tcPr>
            <w:tcW w:w="996" w:type="pct"/>
            <w:vAlign w:val="center"/>
          </w:tcPr>
          <w:p w14:paraId="3FA1937E">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1，2-二氯乙烷（mg/L）</w:t>
            </w:r>
          </w:p>
        </w:tc>
        <w:tc>
          <w:tcPr>
            <w:tcW w:w="665" w:type="pct"/>
            <w:noWrap/>
            <w:vAlign w:val="center"/>
          </w:tcPr>
          <w:p w14:paraId="34A416A0">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ND</w:t>
            </w:r>
          </w:p>
        </w:tc>
        <w:tc>
          <w:tcPr>
            <w:tcW w:w="665" w:type="pct"/>
            <w:noWrap/>
            <w:vAlign w:val="center"/>
          </w:tcPr>
          <w:p w14:paraId="1604C767">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ND</w:t>
            </w:r>
          </w:p>
        </w:tc>
        <w:tc>
          <w:tcPr>
            <w:tcW w:w="416" w:type="pct"/>
            <w:noWrap/>
            <w:vAlign w:val="center"/>
          </w:tcPr>
          <w:p w14:paraId="506274A3">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0.03</w:t>
            </w:r>
          </w:p>
        </w:tc>
        <w:tc>
          <w:tcPr>
            <w:tcW w:w="579" w:type="pct"/>
            <w:noWrap/>
            <w:vAlign w:val="center"/>
          </w:tcPr>
          <w:p w14:paraId="6C217039">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c>
          <w:tcPr>
            <w:tcW w:w="419" w:type="pct"/>
            <w:noWrap/>
            <w:vAlign w:val="center"/>
          </w:tcPr>
          <w:p w14:paraId="59DB20D5">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w:t>
            </w:r>
          </w:p>
        </w:tc>
        <w:tc>
          <w:tcPr>
            <w:tcW w:w="419" w:type="pct"/>
            <w:noWrap/>
            <w:vAlign w:val="center"/>
          </w:tcPr>
          <w:p w14:paraId="46877B66">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w:t>
            </w:r>
          </w:p>
        </w:tc>
        <w:tc>
          <w:tcPr>
            <w:tcW w:w="419" w:type="pct"/>
            <w:noWrap/>
            <w:vAlign w:val="center"/>
          </w:tcPr>
          <w:p w14:paraId="5695C0BC">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达标</w:t>
            </w:r>
          </w:p>
        </w:tc>
      </w:tr>
      <w:tr w14:paraId="619ED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18" w:type="pct"/>
            <w:vMerge w:val="continue"/>
            <w:vAlign w:val="center"/>
          </w:tcPr>
          <w:p w14:paraId="5B4AB1B6">
            <w:pPr>
              <w:jc w:val="center"/>
              <w:rPr>
                <w:rFonts w:ascii="Times New Roman" w:hAnsi="Times New Roman" w:eastAsia="宋体" w:cs="Times New Roman"/>
                <w:color w:val="auto"/>
                <w:sz w:val="22"/>
                <w:szCs w:val="24"/>
              </w:rPr>
            </w:pPr>
          </w:p>
        </w:tc>
        <w:tc>
          <w:tcPr>
            <w:tcW w:w="996" w:type="pct"/>
            <w:vAlign w:val="center"/>
          </w:tcPr>
          <w:p w14:paraId="5B907EA3">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乙苯（mg/L）</w:t>
            </w:r>
          </w:p>
        </w:tc>
        <w:tc>
          <w:tcPr>
            <w:tcW w:w="665" w:type="pct"/>
            <w:noWrap/>
            <w:vAlign w:val="center"/>
          </w:tcPr>
          <w:p w14:paraId="51572627">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ND</w:t>
            </w:r>
          </w:p>
        </w:tc>
        <w:tc>
          <w:tcPr>
            <w:tcW w:w="665" w:type="pct"/>
            <w:noWrap/>
            <w:vAlign w:val="center"/>
          </w:tcPr>
          <w:p w14:paraId="175F9870">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ND</w:t>
            </w:r>
          </w:p>
        </w:tc>
        <w:tc>
          <w:tcPr>
            <w:tcW w:w="416" w:type="pct"/>
            <w:noWrap/>
            <w:vAlign w:val="center"/>
          </w:tcPr>
          <w:p w14:paraId="4967B43D">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0.3</w:t>
            </w:r>
          </w:p>
        </w:tc>
        <w:tc>
          <w:tcPr>
            <w:tcW w:w="579" w:type="pct"/>
            <w:noWrap/>
            <w:vAlign w:val="center"/>
          </w:tcPr>
          <w:p w14:paraId="2A7A60CD">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c>
          <w:tcPr>
            <w:tcW w:w="419" w:type="pct"/>
            <w:noWrap/>
            <w:vAlign w:val="center"/>
          </w:tcPr>
          <w:p w14:paraId="33E06DBE">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w:t>
            </w:r>
          </w:p>
        </w:tc>
        <w:tc>
          <w:tcPr>
            <w:tcW w:w="419" w:type="pct"/>
            <w:noWrap/>
            <w:vAlign w:val="center"/>
          </w:tcPr>
          <w:p w14:paraId="43DEE0A0">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w:t>
            </w:r>
          </w:p>
        </w:tc>
        <w:tc>
          <w:tcPr>
            <w:tcW w:w="419" w:type="pct"/>
            <w:noWrap/>
            <w:vAlign w:val="center"/>
          </w:tcPr>
          <w:p w14:paraId="585C225B">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达标</w:t>
            </w:r>
          </w:p>
        </w:tc>
      </w:tr>
      <w:tr w14:paraId="33058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18" w:type="pct"/>
            <w:vMerge w:val="continue"/>
            <w:vAlign w:val="center"/>
          </w:tcPr>
          <w:p w14:paraId="263C8081">
            <w:pPr>
              <w:jc w:val="center"/>
              <w:rPr>
                <w:rFonts w:ascii="Times New Roman" w:hAnsi="Times New Roman" w:eastAsia="宋体" w:cs="Times New Roman"/>
                <w:color w:val="auto"/>
                <w:sz w:val="22"/>
                <w:szCs w:val="24"/>
              </w:rPr>
            </w:pPr>
          </w:p>
        </w:tc>
        <w:tc>
          <w:tcPr>
            <w:tcW w:w="996" w:type="pct"/>
            <w:vAlign w:val="center"/>
          </w:tcPr>
          <w:p w14:paraId="7A1A97C5">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四氯化碳（mg/L）</w:t>
            </w:r>
          </w:p>
        </w:tc>
        <w:tc>
          <w:tcPr>
            <w:tcW w:w="665" w:type="pct"/>
            <w:noWrap/>
            <w:vAlign w:val="center"/>
          </w:tcPr>
          <w:p w14:paraId="693D68A2">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ND</w:t>
            </w:r>
          </w:p>
        </w:tc>
        <w:tc>
          <w:tcPr>
            <w:tcW w:w="665" w:type="pct"/>
            <w:noWrap/>
            <w:vAlign w:val="center"/>
          </w:tcPr>
          <w:p w14:paraId="73E409A8">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ND</w:t>
            </w:r>
          </w:p>
        </w:tc>
        <w:tc>
          <w:tcPr>
            <w:tcW w:w="416" w:type="pct"/>
            <w:noWrap/>
            <w:vAlign w:val="center"/>
          </w:tcPr>
          <w:p w14:paraId="0E536713">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0.002</w:t>
            </w:r>
          </w:p>
        </w:tc>
        <w:tc>
          <w:tcPr>
            <w:tcW w:w="579" w:type="pct"/>
            <w:noWrap/>
            <w:vAlign w:val="center"/>
          </w:tcPr>
          <w:p w14:paraId="30A5ECE4">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c>
          <w:tcPr>
            <w:tcW w:w="419" w:type="pct"/>
            <w:noWrap/>
            <w:vAlign w:val="center"/>
          </w:tcPr>
          <w:p w14:paraId="687DA803">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w:t>
            </w:r>
          </w:p>
        </w:tc>
        <w:tc>
          <w:tcPr>
            <w:tcW w:w="419" w:type="pct"/>
            <w:noWrap/>
            <w:vAlign w:val="center"/>
          </w:tcPr>
          <w:p w14:paraId="37A37C58">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w:t>
            </w:r>
          </w:p>
        </w:tc>
        <w:tc>
          <w:tcPr>
            <w:tcW w:w="419" w:type="pct"/>
            <w:noWrap/>
            <w:vAlign w:val="center"/>
          </w:tcPr>
          <w:p w14:paraId="15E5FC1C">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达标</w:t>
            </w:r>
          </w:p>
        </w:tc>
      </w:tr>
      <w:tr w14:paraId="64BE3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18" w:type="pct"/>
            <w:vMerge w:val="continue"/>
            <w:vAlign w:val="center"/>
          </w:tcPr>
          <w:p w14:paraId="75AE9EE7">
            <w:pPr>
              <w:jc w:val="center"/>
              <w:rPr>
                <w:rFonts w:ascii="Times New Roman" w:hAnsi="Times New Roman" w:eastAsia="宋体" w:cs="Times New Roman"/>
                <w:color w:val="auto"/>
                <w:sz w:val="22"/>
                <w:szCs w:val="24"/>
              </w:rPr>
            </w:pPr>
          </w:p>
        </w:tc>
        <w:tc>
          <w:tcPr>
            <w:tcW w:w="996" w:type="pct"/>
            <w:vAlign w:val="center"/>
          </w:tcPr>
          <w:p w14:paraId="4712EB18">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石油类（mg/L）</w:t>
            </w:r>
          </w:p>
        </w:tc>
        <w:tc>
          <w:tcPr>
            <w:tcW w:w="665" w:type="pct"/>
            <w:noWrap/>
            <w:vAlign w:val="center"/>
          </w:tcPr>
          <w:p w14:paraId="3BD1D634">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ND</w:t>
            </w:r>
          </w:p>
        </w:tc>
        <w:tc>
          <w:tcPr>
            <w:tcW w:w="665" w:type="pct"/>
            <w:noWrap/>
            <w:vAlign w:val="center"/>
          </w:tcPr>
          <w:p w14:paraId="7C136499">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ND</w:t>
            </w:r>
          </w:p>
        </w:tc>
        <w:tc>
          <w:tcPr>
            <w:tcW w:w="416" w:type="pct"/>
            <w:noWrap/>
            <w:vAlign w:val="center"/>
          </w:tcPr>
          <w:p w14:paraId="0F074E60">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0.05</w:t>
            </w:r>
          </w:p>
        </w:tc>
        <w:tc>
          <w:tcPr>
            <w:tcW w:w="579" w:type="pct"/>
            <w:noWrap/>
            <w:vAlign w:val="center"/>
          </w:tcPr>
          <w:p w14:paraId="2656780B">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c>
          <w:tcPr>
            <w:tcW w:w="419" w:type="pct"/>
            <w:noWrap/>
            <w:vAlign w:val="center"/>
          </w:tcPr>
          <w:p w14:paraId="5E47F631">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w:t>
            </w:r>
          </w:p>
        </w:tc>
        <w:tc>
          <w:tcPr>
            <w:tcW w:w="419" w:type="pct"/>
            <w:noWrap/>
            <w:vAlign w:val="center"/>
          </w:tcPr>
          <w:p w14:paraId="09BC987C">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w:t>
            </w:r>
          </w:p>
        </w:tc>
        <w:tc>
          <w:tcPr>
            <w:tcW w:w="419" w:type="pct"/>
            <w:noWrap/>
            <w:vAlign w:val="center"/>
          </w:tcPr>
          <w:p w14:paraId="233288FE">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达标</w:t>
            </w:r>
          </w:p>
        </w:tc>
      </w:tr>
      <w:tr w14:paraId="3DEA6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18" w:type="pct"/>
            <w:vMerge w:val="restart"/>
            <w:vAlign w:val="center"/>
          </w:tcPr>
          <w:p w14:paraId="706D21BA">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W4：团湖易家垱</w:t>
            </w:r>
          </w:p>
        </w:tc>
        <w:tc>
          <w:tcPr>
            <w:tcW w:w="996" w:type="pct"/>
            <w:noWrap/>
            <w:vAlign w:val="center"/>
          </w:tcPr>
          <w:p w14:paraId="25B3D522">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水温（℃）</w:t>
            </w:r>
          </w:p>
        </w:tc>
        <w:tc>
          <w:tcPr>
            <w:tcW w:w="665" w:type="pct"/>
            <w:noWrap/>
            <w:vAlign w:val="center"/>
          </w:tcPr>
          <w:p w14:paraId="7F0436DD">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16.3~16.5</w:t>
            </w:r>
          </w:p>
        </w:tc>
        <w:tc>
          <w:tcPr>
            <w:tcW w:w="665" w:type="pct"/>
            <w:noWrap/>
            <w:vAlign w:val="center"/>
          </w:tcPr>
          <w:p w14:paraId="5FB9C15B">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16.43333333</w:t>
            </w:r>
          </w:p>
        </w:tc>
        <w:tc>
          <w:tcPr>
            <w:tcW w:w="416" w:type="pct"/>
            <w:noWrap/>
            <w:vAlign w:val="center"/>
          </w:tcPr>
          <w:p w14:paraId="743BB0AC">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c>
          <w:tcPr>
            <w:tcW w:w="579" w:type="pct"/>
            <w:noWrap/>
            <w:vAlign w:val="center"/>
          </w:tcPr>
          <w:p w14:paraId="30F5B6EA">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c>
          <w:tcPr>
            <w:tcW w:w="419" w:type="pct"/>
            <w:noWrap/>
            <w:vAlign w:val="center"/>
          </w:tcPr>
          <w:p w14:paraId="5D76EF5F">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c>
          <w:tcPr>
            <w:tcW w:w="419" w:type="pct"/>
            <w:noWrap/>
            <w:vAlign w:val="center"/>
          </w:tcPr>
          <w:p w14:paraId="36C9EA7A">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c>
          <w:tcPr>
            <w:tcW w:w="419" w:type="pct"/>
            <w:noWrap/>
            <w:vAlign w:val="center"/>
          </w:tcPr>
          <w:p w14:paraId="7B35116D">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r>
      <w:tr w14:paraId="37B79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18" w:type="pct"/>
            <w:vMerge w:val="continue"/>
            <w:vAlign w:val="center"/>
          </w:tcPr>
          <w:p w14:paraId="6513CD66">
            <w:pPr>
              <w:jc w:val="center"/>
              <w:rPr>
                <w:rFonts w:ascii="Times New Roman" w:hAnsi="Times New Roman" w:eastAsia="宋体" w:cs="Times New Roman"/>
                <w:color w:val="auto"/>
                <w:sz w:val="22"/>
                <w:szCs w:val="24"/>
              </w:rPr>
            </w:pPr>
          </w:p>
        </w:tc>
        <w:tc>
          <w:tcPr>
            <w:tcW w:w="996" w:type="pct"/>
            <w:noWrap/>
            <w:vAlign w:val="center"/>
          </w:tcPr>
          <w:p w14:paraId="43BBA5B6">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流量（</w:t>
            </w:r>
            <w:r>
              <w:rPr>
                <w:rFonts w:hint="eastAsia" w:ascii="Times New Roman" w:hAnsi="Times New Roman" w:eastAsia="宋体" w:cs="Times New Roman"/>
                <w:color w:val="auto"/>
                <w:sz w:val="22"/>
                <w:szCs w:val="24"/>
                <w:lang w:eastAsia="zh-CN"/>
              </w:rPr>
              <w:t>m</w:t>
            </w:r>
            <w:r>
              <w:rPr>
                <w:rFonts w:hint="eastAsia" w:ascii="Times New Roman" w:hAnsi="Times New Roman" w:eastAsia="宋体" w:cs="Times New Roman"/>
                <w:color w:val="auto"/>
                <w:sz w:val="22"/>
                <w:szCs w:val="24"/>
                <w:vertAlign w:val="superscript"/>
                <w:lang w:eastAsia="zh-CN"/>
              </w:rPr>
              <w:t>3</w:t>
            </w:r>
            <w:r>
              <w:rPr>
                <w:rFonts w:hint="eastAsia" w:ascii="Times New Roman" w:hAnsi="Times New Roman" w:eastAsia="宋体" w:cs="Times New Roman"/>
                <w:color w:val="auto"/>
                <w:sz w:val="22"/>
                <w:szCs w:val="24"/>
              </w:rPr>
              <w:t>/s）</w:t>
            </w:r>
          </w:p>
        </w:tc>
        <w:tc>
          <w:tcPr>
            <w:tcW w:w="665" w:type="pct"/>
            <w:noWrap/>
            <w:vAlign w:val="center"/>
          </w:tcPr>
          <w:p w14:paraId="10D100ED">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c>
          <w:tcPr>
            <w:tcW w:w="665" w:type="pct"/>
            <w:noWrap/>
            <w:vAlign w:val="center"/>
          </w:tcPr>
          <w:p w14:paraId="3D1D345A">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c>
          <w:tcPr>
            <w:tcW w:w="416" w:type="pct"/>
            <w:noWrap/>
            <w:vAlign w:val="center"/>
          </w:tcPr>
          <w:p w14:paraId="246E39A3">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c>
          <w:tcPr>
            <w:tcW w:w="579" w:type="pct"/>
            <w:noWrap/>
            <w:vAlign w:val="center"/>
          </w:tcPr>
          <w:p w14:paraId="33A5ECFF">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c>
          <w:tcPr>
            <w:tcW w:w="419" w:type="pct"/>
            <w:noWrap/>
            <w:vAlign w:val="center"/>
          </w:tcPr>
          <w:p w14:paraId="7F81B0C0">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c>
          <w:tcPr>
            <w:tcW w:w="419" w:type="pct"/>
            <w:noWrap/>
            <w:vAlign w:val="center"/>
          </w:tcPr>
          <w:p w14:paraId="2D66A5D8">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c>
          <w:tcPr>
            <w:tcW w:w="419" w:type="pct"/>
            <w:noWrap/>
            <w:vAlign w:val="center"/>
          </w:tcPr>
          <w:p w14:paraId="55F51F1E">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r>
      <w:tr w14:paraId="16E4E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18" w:type="pct"/>
            <w:vMerge w:val="continue"/>
            <w:vAlign w:val="center"/>
          </w:tcPr>
          <w:p w14:paraId="1A5A0DC6">
            <w:pPr>
              <w:jc w:val="center"/>
              <w:rPr>
                <w:rFonts w:ascii="Times New Roman" w:hAnsi="Times New Roman" w:eastAsia="宋体" w:cs="Times New Roman"/>
                <w:color w:val="auto"/>
                <w:sz w:val="22"/>
                <w:szCs w:val="24"/>
              </w:rPr>
            </w:pPr>
          </w:p>
        </w:tc>
        <w:tc>
          <w:tcPr>
            <w:tcW w:w="996" w:type="pct"/>
            <w:noWrap/>
            <w:vAlign w:val="center"/>
          </w:tcPr>
          <w:p w14:paraId="0BCF2692">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流速（m/s）</w:t>
            </w:r>
          </w:p>
        </w:tc>
        <w:tc>
          <w:tcPr>
            <w:tcW w:w="665" w:type="pct"/>
            <w:noWrap/>
            <w:vAlign w:val="center"/>
          </w:tcPr>
          <w:p w14:paraId="25076703">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c>
          <w:tcPr>
            <w:tcW w:w="665" w:type="pct"/>
            <w:noWrap/>
            <w:vAlign w:val="center"/>
          </w:tcPr>
          <w:p w14:paraId="2807ABDE">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c>
          <w:tcPr>
            <w:tcW w:w="416" w:type="pct"/>
            <w:noWrap/>
            <w:vAlign w:val="center"/>
          </w:tcPr>
          <w:p w14:paraId="49592BF4">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c>
          <w:tcPr>
            <w:tcW w:w="579" w:type="pct"/>
            <w:noWrap/>
            <w:vAlign w:val="center"/>
          </w:tcPr>
          <w:p w14:paraId="7CF81457">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c>
          <w:tcPr>
            <w:tcW w:w="419" w:type="pct"/>
            <w:noWrap/>
            <w:vAlign w:val="center"/>
          </w:tcPr>
          <w:p w14:paraId="5431529A">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c>
          <w:tcPr>
            <w:tcW w:w="419" w:type="pct"/>
            <w:noWrap/>
            <w:vAlign w:val="center"/>
          </w:tcPr>
          <w:p w14:paraId="033AC7AC">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c>
          <w:tcPr>
            <w:tcW w:w="419" w:type="pct"/>
            <w:noWrap/>
            <w:vAlign w:val="center"/>
          </w:tcPr>
          <w:p w14:paraId="010AD047">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r>
      <w:tr w14:paraId="33090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18" w:type="pct"/>
            <w:vMerge w:val="continue"/>
            <w:vAlign w:val="center"/>
          </w:tcPr>
          <w:p w14:paraId="67C55C82">
            <w:pPr>
              <w:jc w:val="center"/>
              <w:rPr>
                <w:rFonts w:ascii="Times New Roman" w:hAnsi="Times New Roman" w:eastAsia="宋体" w:cs="Times New Roman"/>
                <w:color w:val="auto"/>
                <w:sz w:val="22"/>
                <w:szCs w:val="24"/>
              </w:rPr>
            </w:pPr>
          </w:p>
        </w:tc>
        <w:tc>
          <w:tcPr>
            <w:tcW w:w="996" w:type="pct"/>
            <w:noWrap/>
            <w:vAlign w:val="center"/>
          </w:tcPr>
          <w:p w14:paraId="197AD1D5">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河宽（m）</w:t>
            </w:r>
          </w:p>
        </w:tc>
        <w:tc>
          <w:tcPr>
            <w:tcW w:w="665" w:type="pct"/>
            <w:noWrap/>
            <w:vAlign w:val="center"/>
          </w:tcPr>
          <w:p w14:paraId="17D0A5EF">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c>
          <w:tcPr>
            <w:tcW w:w="665" w:type="pct"/>
            <w:noWrap/>
            <w:vAlign w:val="center"/>
          </w:tcPr>
          <w:p w14:paraId="3A7A753A">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c>
          <w:tcPr>
            <w:tcW w:w="416" w:type="pct"/>
            <w:noWrap/>
            <w:vAlign w:val="center"/>
          </w:tcPr>
          <w:p w14:paraId="06EFFCC7">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c>
          <w:tcPr>
            <w:tcW w:w="579" w:type="pct"/>
            <w:noWrap/>
            <w:vAlign w:val="center"/>
          </w:tcPr>
          <w:p w14:paraId="3FC11571">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c>
          <w:tcPr>
            <w:tcW w:w="419" w:type="pct"/>
            <w:noWrap/>
            <w:vAlign w:val="center"/>
          </w:tcPr>
          <w:p w14:paraId="6D605DE6">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c>
          <w:tcPr>
            <w:tcW w:w="419" w:type="pct"/>
            <w:noWrap/>
            <w:vAlign w:val="center"/>
          </w:tcPr>
          <w:p w14:paraId="24FF3632">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c>
          <w:tcPr>
            <w:tcW w:w="419" w:type="pct"/>
            <w:noWrap/>
            <w:vAlign w:val="center"/>
          </w:tcPr>
          <w:p w14:paraId="6DCED688">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r>
      <w:tr w14:paraId="404CE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18" w:type="pct"/>
            <w:vMerge w:val="continue"/>
            <w:vAlign w:val="center"/>
          </w:tcPr>
          <w:p w14:paraId="7D2BB6BA">
            <w:pPr>
              <w:jc w:val="center"/>
              <w:rPr>
                <w:rFonts w:ascii="Times New Roman" w:hAnsi="Times New Roman" w:eastAsia="宋体" w:cs="Times New Roman"/>
                <w:color w:val="auto"/>
                <w:sz w:val="22"/>
                <w:szCs w:val="24"/>
              </w:rPr>
            </w:pPr>
          </w:p>
        </w:tc>
        <w:tc>
          <w:tcPr>
            <w:tcW w:w="996" w:type="pct"/>
            <w:noWrap/>
            <w:vAlign w:val="center"/>
          </w:tcPr>
          <w:p w14:paraId="110DFC34">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河深（m）</w:t>
            </w:r>
          </w:p>
        </w:tc>
        <w:tc>
          <w:tcPr>
            <w:tcW w:w="665" w:type="pct"/>
            <w:noWrap/>
            <w:vAlign w:val="center"/>
          </w:tcPr>
          <w:p w14:paraId="60910977">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c>
          <w:tcPr>
            <w:tcW w:w="665" w:type="pct"/>
            <w:noWrap/>
            <w:vAlign w:val="center"/>
          </w:tcPr>
          <w:p w14:paraId="37250B60">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c>
          <w:tcPr>
            <w:tcW w:w="416" w:type="pct"/>
            <w:noWrap/>
            <w:vAlign w:val="center"/>
          </w:tcPr>
          <w:p w14:paraId="23321FFE">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c>
          <w:tcPr>
            <w:tcW w:w="579" w:type="pct"/>
            <w:noWrap/>
            <w:vAlign w:val="center"/>
          </w:tcPr>
          <w:p w14:paraId="55021D00">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c>
          <w:tcPr>
            <w:tcW w:w="419" w:type="pct"/>
            <w:noWrap/>
            <w:vAlign w:val="center"/>
          </w:tcPr>
          <w:p w14:paraId="4D1F7F03">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c>
          <w:tcPr>
            <w:tcW w:w="419" w:type="pct"/>
            <w:noWrap/>
            <w:vAlign w:val="center"/>
          </w:tcPr>
          <w:p w14:paraId="4C587326">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c>
          <w:tcPr>
            <w:tcW w:w="419" w:type="pct"/>
            <w:noWrap/>
            <w:vAlign w:val="center"/>
          </w:tcPr>
          <w:p w14:paraId="78466992">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r>
      <w:tr w14:paraId="65432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18" w:type="pct"/>
            <w:vMerge w:val="continue"/>
            <w:vAlign w:val="center"/>
          </w:tcPr>
          <w:p w14:paraId="6254D3F7">
            <w:pPr>
              <w:jc w:val="center"/>
              <w:rPr>
                <w:rFonts w:ascii="Times New Roman" w:hAnsi="Times New Roman" w:eastAsia="宋体" w:cs="Times New Roman"/>
                <w:color w:val="auto"/>
                <w:sz w:val="22"/>
                <w:szCs w:val="24"/>
              </w:rPr>
            </w:pPr>
          </w:p>
        </w:tc>
        <w:tc>
          <w:tcPr>
            <w:tcW w:w="996" w:type="pct"/>
            <w:noWrap/>
            <w:vAlign w:val="center"/>
          </w:tcPr>
          <w:p w14:paraId="6B549EDE">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pH值</w:t>
            </w:r>
          </w:p>
        </w:tc>
        <w:tc>
          <w:tcPr>
            <w:tcW w:w="665" w:type="pct"/>
            <w:noWrap/>
            <w:vAlign w:val="center"/>
          </w:tcPr>
          <w:p w14:paraId="285F9952">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7.2</w:t>
            </w:r>
          </w:p>
        </w:tc>
        <w:tc>
          <w:tcPr>
            <w:tcW w:w="665" w:type="pct"/>
            <w:noWrap/>
            <w:vAlign w:val="center"/>
          </w:tcPr>
          <w:p w14:paraId="76899D34">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7.2</w:t>
            </w:r>
          </w:p>
        </w:tc>
        <w:tc>
          <w:tcPr>
            <w:tcW w:w="416" w:type="pct"/>
            <w:noWrap/>
            <w:vAlign w:val="center"/>
          </w:tcPr>
          <w:p w14:paraId="1860B97F">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6~9</w:t>
            </w:r>
          </w:p>
        </w:tc>
        <w:tc>
          <w:tcPr>
            <w:tcW w:w="579" w:type="pct"/>
            <w:noWrap/>
            <w:vAlign w:val="center"/>
          </w:tcPr>
          <w:p w14:paraId="51B8FC4D">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c>
          <w:tcPr>
            <w:tcW w:w="419" w:type="pct"/>
            <w:noWrap/>
            <w:vAlign w:val="center"/>
          </w:tcPr>
          <w:p w14:paraId="40B3F488">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w:t>
            </w:r>
          </w:p>
        </w:tc>
        <w:tc>
          <w:tcPr>
            <w:tcW w:w="419" w:type="pct"/>
            <w:noWrap/>
            <w:vAlign w:val="center"/>
          </w:tcPr>
          <w:p w14:paraId="52B8E816">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w:t>
            </w:r>
          </w:p>
        </w:tc>
        <w:tc>
          <w:tcPr>
            <w:tcW w:w="419" w:type="pct"/>
            <w:noWrap/>
            <w:vAlign w:val="center"/>
          </w:tcPr>
          <w:p w14:paraId="1AAC764D">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达标</w:t>
            </w:r>
          </w:p>
        </w:tc>
      </w:tr>
      <w:tr w14:paraId="1CE3A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18" w:type="pct"/>
            <w:vMerge w:val="continue"/>
            <w:vAlign w:val="center"/>
          </w:tcPr>
          <w:p w14:paraId="5C4CC7C1">
            <w:pPr>
              <w:jc w:val="center"/>
              <w:rPr>
                <w:rFonts w:ascii="Times New Roman" w:hAnsi="Times New Roman" w:eastAsia="宋体" w:cs="Times New Roman"/>
                <w:color w:val="auto"/>
                <w:sz w:val="22"/>
                <w:szCs w:val="24"/>
              </w:rPr>
            </w:pPr>
          </w:p>
        </w:tc>
        <w:tc>
          <w:tcPr>
            <w:tcW w:w="996" w:type="pct"/>
            <w:noWrap/>
            <w:vAlign w:val="center"/>
          </w:tcPr>
          <w:p w14:paraId="08982FAD">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溶解氧</w:t>
            </w:r>
          </w:p>
        </w:tc>
        <w:tc>
          <w:tcPr>
            <w:tcW w:w="665" w:type="pct"/>
            <w:noWrap/>
            <w:vAlign w:val="center"/>
          </w:tcPr>
          <w:p w14:paraId="5169BD4A">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7.2~7.5</w:t>
            </w:r>
          </w:p>
        </w:tc>
        <w:tc>
          <w:tcPr>
            <w:tcW w:w="665" w:type="pct"/>
            <w:noWrap/>
            <w:vAlign w:val="center"/>
          </w:tcPr>
          <w:p w14:paraId="608F979F">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7.35</w:t>
            </w:r>
          </w:p>
        </w:tc>
        <w:tc>
          <w:tcPr>
            <w:tcW w:w="416" w:type="pct"/>
            <w:noWrap/>
            <w:vAlign w:val="center"/>
          </w:tcPr>
          <w:p w14:paraId="7FB8A37F">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≥5</w:t>
            </w:r>
          </w:p>
        </w:tc>
        <w:tc>
          <w:tcPr>
            <w:tcW w:w="579" w:type="pct"/>
            <w:noWrap/>
            <w:vAlign w:val="center"/>
          </w:tcPr>
          <w:p w14:paraId="69653F30">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c>
          <w:tcPr>
            <w:tcW w:w="419" w:type="pct"/>
            <w:noWrap/>
            <w:vAlign w:val="center"/>
          </w:tcPr>
          <w:p w14:paraId="6C35FE9C">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w:t>
            </w:r>
          </w:p>
        </w:tc>
        <w:tc>
          <w:tcPr>
            <w:tcW w:w="419" w:type="pct"/>
            <w:noWrap/>
            <w:vAlign w:val="center"/>
          </w:tcPr>
          <w:p w14:paraId="6E758F45">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w:t>
            </w:r>
          </w:p>
        </w:tc>
        <w:tc>
          <w:tcPr>
            <w:tcW w:w="419" w:type="pct"/>
            <w:noWrap/>
            <w:vAlign w:val="center"/>
          </w:tcPr>
          <w:p w14:paraId="2F0639C9">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达标</w:t>
            </w:r>
          </w:p>
        </w:tc>
      </w:tr>
      <w:tr w14:paraId="5C532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18" w:type="pct"/>
            <w:vMerge w:val="continue"/>
            <w:vAlign w:val="center"/>
          </w:tcPr>
          <w:p w14:paraId="6494ADF9">
            <w:pPr>
              <w:jc w:val="center"/>
              <w:rPr>
                <w:rFonts w:ascii="Times New Roman" w:hAnsi="Times New Roman" w:eastAsia="宋体" w:cs="Times New Roman"/>
                <w:color w:val="auto"/>
                <w:sz w:val="22"/>
                <w:szCs w:val="24"/>
              </w:rPr>
            </w:pPr>
          </w:p>
        </w:tc>
        <w:tc>
          <w:tcPr>
            <w:tcW w:w="996" w:type="pct"/>
            <w:noWrap/>
            <w:vAlign w:val="center"/>
          </w:tcPr>
          <w:p w14:paraId="36E3143B">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BOD5</w:t>
            </w:r>
          </w:p>
        </w:tc>
        <w:tc>
          <w:tcPr>
            <w:tcW w:w="665" w:type="pct"/>
            <w:noWrap/>
            <w:vAlign w:val="center"/>
          </w:tcPr>
          <w:p w14:paraId="408BEF0E">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2</w:t>
            </w:r>
          </w:p>
        </w:tc>
        <w:tc>
          <w:tcPr>
            <w:tcW w:w="665" w:type="pct"/>
            <w:noWrap/>
            <w:vAlign w:val="center"/>
          </w:tcPr>
          <w:p w14:paraId="535EBAD6">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2</w:t>
            </w:r>
          </w:p>
        </w:tc>
        <w:tc>
          <w:tcPr>
            <w:tcW w:w="416" w:type="pct"/>
            <w:noWrap/>
            <w:vAlign w:val="center"/>
          </w:tcPr>
          <w:p w14:paraId="743279E8">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4</w:t>
            </w:r>
          </w:p>
        </w:tc>
        <w:tc>
          <w:tcPr>
            <w:tcW w:w="579" w:type="pct"/>
            <w:noWrap/>
            <w:vAlign w:val="center"/>
          </w:tcPr>
          <w:p w14:paraId="4F7BB523">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0.5</w:t>
            </w:r>
          </w:p>
        </w:tc>
        <w:tc>
          <w:tcPr>
            <w:tcW w:w="419" w:type="pct"/>
            <w:noWrap/>
            <w:vAlign w:val="center"/>
          </w:tcPr>
          <w:p w14:paraId="57E0E34B">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w:t>
            </w:r>
          </w:p>
        </w:tc>
        <w:tc>
          <w:tcPr>
            <w:tcW w:w="419" w:type="pct"/>
            <w:noWrap/>
            <w:vAlign w:val="center"/>
          </w:tcPr>
          <w:p w14:paraId="697C9D71">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w:t>
            </w:r>
          </w:p>
        </w:tc>
        <w:tc>
          <w:tcPr>
            <w:tcW w:w="419" w:type="pct"/>
            <w:noWrap/>
            <w:vAlign w:val="center"/>
          </w:tcPr>
          <w:p w14:paraId="6CB0F926">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达标</w:t>
            </w:r>
          </w:p>
        </w:tc>
      </w:tr>
      <w:tr w14:paraId="142FC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18" w:type="pct"/>
            <w:vMerge w:val="continue"/>
            <w:vAlign w:val="center"/>
          </w:tcPr>
          <w:p w14:paraId="7CDB6BBE">
            <w:pPr>
              <w:jc w:val="center"/>
              <w:rPr>
                <w:rFonts w:ascii="Times New Roman" w:hAnsi="Times New Roman" w:eastAsia="宋体" w:cs="Times New Roman"/>
                <w:color w:val="auto"/>
                <w:sz w:val="22"/>
                <w:szCs w:val="24"/>
              </w:rPr>
            </w:pPr>
          </w:p>
        </w:tc>
        <w:tc>
          <w:tcPr>
            <w:tcW w:w="996" w:type="pct"/>
            <w:noWrap/>
            <w:vAlign w:val="center"/>
          </w:tcPr>
          <w:p w14:paraId="08C15F0C">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COD</w:t>
            </w:r>
          </w:p>
        </w:tc>
        <w:tc>
          <w:tcPr>
            <w:tcW w:w="665" w:type="pct"/>
            <w:noWrap/>
            <w:vAlign w:val="center"/>
          </w:tcPr>
          <w:p w14:paraId="7D680F1F">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17</w:t>
            </w:r>
          </w:p>
        </w:tc>
        <w:tc>
          <w:tcPr>
            <w:tcW w:w="665" w:type="pct"/>
            <w:noWrap/>
            <w:vAlign w:val="center"/>
          </w:tcPr>
          <w:p w14:paraId="1C190835">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17</w:t>
            </w:r>
          </w:p>
        </w:tc>
        <w:tc>
          <w:tcPr>
            <w:tcW w:w="416" w:type="pct"/>
            <w:noWrap/>
            <w:vAlign w:val="center"/>
          </w:tcPr>
          <w:p w14:paraId="075C9B1F">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20</w:t>
            </w:r>
          </w:p>
        </w:tc>
        <w:tc>
          <w:tcPr>
            <w:tcW w:w="579" w:type="pct"/>
            <w:noWrap/>
            <w:vAlign w:val="center"/>
          </w:tcPr>
          <w:p w14:paraId="06B79AC7">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0.85</w:t>
            </w:r>
          </w:p>
        </w:tc>
        <w:tc>
          <w:tcPr>
            <w:tcW w:w="419" w:type="pct"/>
            <w:noWrap/>
            <w:vAlign w:val="center"/>
          </w:tcPr>
          <w:p w14:paraId="4CB985B4">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w:t>
            </w:r>
          </w:p>
        </w:tc>
        <w:tc>
          <w:tcPr>
            <w:tcW w:w="419" w:type="pct"/>
            <w:noWrap/>
            <w:vAlign w:val="center"/>
          </w:tcPr>
          <w:p w14:paraId="044B3A30">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w:t>
            </w:r>
          </w:p>
        </w:tc>
        <w:tc>
          <w:tcPr>
            <w:tcW w:w="419" w:type="pct"/>
            <w:noWrap/>
            <w:vAlign w:val="center"/>
          </w:tcPr>
          <w:p w14:paraId="5503F736">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达标</w:t>
            </w:r>
          </w:p>
        </w:tc>
      </w:tr>
      <w:tr w14:paraId="43E90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18" w:type="pct"/>
            <w:vMerge w:val="continue"/>
            <w:vAlign w:val="center"/>
          </w:tcPr>
          <w:p w14:paraId="06EBD42B">
            <w:pPr>
              <w:jc w:val="center"/>
              <w:rPr>
                <w:rFonts w:ascii="Times New Roman" w:hAnsi="Times New Roman" w:eastAsia="宋体" w:cs="Times New Roman"/>
                <w:color w:val="auto"/>
                <w:sz w:val="22"/>
                <w:szCs w:val="24"/>
              </w:rPr>
            </w:pPr>
          </w:p>
        </w:tc>
        <w:tc>
          <w:tcPr>
            <w:tcW w:w="996" w:type="pct"/>
            <w:noWrap/>
            <w:vAlign w:val="center"/>
          </w:tcPr>
          <w:p w14:paraId="20371EFC">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硫化物</w:t>
            </w:r>
          </w:p>
        </w:tc>
        <w:tc>
          <w:tcPr>
            <w:tcW w:w="665" w:type="pct"/>
            <w:noWrap/>
            <w:vAlign w:val="center"/>
          </w:tcPr>
          <w:p w14:paraId="7DAC6736">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0.02</w:t>
            </w:r>
          </w:p>
        </w:tc>
        <w:tc>
          <w:tcPr>
            <w:tcW w:w="665" w:type="pct"/>
            <w:noWrap/>
            <w:vAlign w:val="center"/>
          </w:tcPr>
          <w:p w14:paraId="5A006F43">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0.02</w:t>
            </w:r>
          </w:p>
        </w:tc>
        <w:tc>
          <w:tcPr>
            <w:tcW w:w="416" w:type="pct"/>
            <w:noWrap/>
            <w:vAlign w:val="center"/>
          </w:tcPr>
          <w:p w14:paraId="5DB945DD">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0.2</w:t>
            </w:r>
          </w:p>
        </w:tc>
        <w:tc>
          <w:tcPr>
            <w:tcW w:w="579" w:type="pct"/>
            <w:noWrap/>
            <w:vAlign w:val="center"/>
          </w:tcPr>
          <w:p w14:paraId="27BA1809">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0.1</w:t>
            </w:r>
          </w:p>
        </w:tc>
        <w:tc>
          <w:tcPr>
            <w:tcW w:w="419" w:type="pct"/>
            <w:noWrap/>
            <w:vAlign w:val="center"/>
          </w:tcPr>
          <w:p w14:paraId="2938E890">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w:t>
            </w:r>
          </w:p>
        </w:tc>
        <w:tc>
          <w:tcPr>
            <w:tcW w:w="419" w:type="pct"/>
            <w:noWrap/>
            <w:vAlign w:val="center"/>
          </w:tcPr>
          <w:p w14:paraId="073EA73F">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w:t>
            </w:r>
          </w:p>
        </w:tc>
        <w:tc>
          <w:tcPr>
            <w:tcW w:w="419" w:type="pct"/>
            <w:noWrap/>
            <w:vAlign w:val="center"/>
          </w:tcPr>
          <w:p w14:paraId="09A2C194">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达标</w:t>
            </w:r>
          </w:p>
        </w:tc>
      </w:tr>
      <w:tr w14:paraId="4D4CE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18" w:type="pct"/>
            <w:vMerge w:val="continue"/>
            <w:vAlign w:val="center"/>
          </w:tcPr>
          <w:p w14:paraId="5E87EA03">
            <w:pPr>
              <w:jc w:val="center"/>
              <w:rPr>
                <w:rFonts w:ascii="Times New Roman" w:hAnsi="Times New Roman" w:eastAsia="宋体" w:cs="Times New Roman"/>
                <w:color w:val="auto"/>
                <w:sz w:val="22"/>
                <w:szCs w:val="24"/>
              </w:rPr>
            </w:pPr>
          </w:p>
        </w:tc>
        <w:tc>
          <w:tcPr>
            <w:tcW w:w="996" w:type="pct"/>
            <w:noWrap/>
            <w:vAlign w:val="center"/>
          </w:tcPr>
          <w:p w14:paraId="1F294B1C">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氨氮（以N计）</w:t>
            </w:r>
          </w:p>
        </w:tc>
        <w:tc>
          <w:tcPr>
            <w:tcW w:w="665" w:type="pct"/>
            <w:noWrap/>
            <w:vAlign w:val="center"/>
          </w:tcPr>
          <w:p w14:paraId="0E3338BB">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0.57</w:t>
            </w:r>
          </w:p>
        </w:tc>
        <w:tc>
          <w:tcPr>
            <w:tcW w:w="665" w:type="pct"/>
            <w:noWrap/>
            <w:vAlign w:val="center"/>
          </w:tcPr>
          <w:p w14:paraId="5E142351">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0.57</w:t>
            </w:r>
          </w:p>
        </w:tc>
        <w:tc>
          <w:tcPr>
            <w:tcW w:w="416" w:type="pct"/>
            <w:noWrap/>
            <w:vAlign w:val="center"/>
          </w:tcPr>
          <w:p w14:paraId="459BBBE8">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1</w:t>
            </w:r>
          </w:p>
        </w:tc>
        <w:tc>
          <w:tcPr>
            <w:tcW w:w="579" w:type="pct"/>
            <w:noWrap/>
            <w:vAlign w:val="center"/>
          </w:tcPr>
          <w:p w14:paraId="02849930">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0.57</w:t>
            </w:r>
          </w:p>
        </w:tc>
        <w:tc>
          <w:tcPr>
            <w:tcW w:w="419" w:type="pct"/>
            <w:noWrap/>
            <w:vAlign w:val="center"/>
          </w:tcPr>
          <w:p w14:paraId="33F57B1D">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w:t>
            </w:r>
          </w:p>
        </w:tc>
        <w:tc>
          <w:tcPr>
            <w:tcW w:w="419" w:type="pct"/>
            <w:noWrap/>
            <w:vAlign w:val="center"/>
          </w:tcPr>
          <w:p w14:paraId="6B80D59C">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w:t>
            </w:r>
          </w:p>
        </w:tc>
        <w:tc>
          <w:tcPr>
            <w:tcW w:w="419" w:type="pct"/>
            <w:noWrap/>
            <w:vAlign w:val="center"/>
          </w:tcPr>
          <w:p w14:paraId="488FBCDB">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达标</w:t>
            </w:r>
          </w:p>
        </w:tc>
      </w:tr>
      <w:tr w14:paraId="6B4A8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18" w:type="pct"/>
            <w:vMerge w:val="continue"/>
            <w:vAlign w:val="center"/>
          </w:tcPr>
          <w:p w14:paraId="1A886F14">
            <w:pPr>
              <w:jc w:val="center"/>
              <w:rPr>
                <w:rFonts w:ascii="Times New Roman" w:hAnsi="Times New Roman" w:eastAsia="宋体" w:cs="Times New Roman"/>
                <w:color w:val="auto"/>
                <w:sz w:val="22"/>
                <w:szCs w:val="24"/>
              </w:rPr>
            </w:pPr>
          </w:p>
        </w:tc>
        <w:tc>
          <w:tcPr>
            <w:tcW w:w="996" w:type="pct"/>
            <w:noWrap/>
            <w:vAlign w:val="center"/>
          </w:tcPr>
          <w:p w14:paraId="7F1A0763">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总磷（以N计）</w:t>
            </w:r>
          </w:p>
        </w:tc>
        <w:tc>
          <w:tcPr>
            <w:tcW w:w="665" w:type="pct"/>
            <w:noWrap/>
            <w:vAlign w:val="center"/>
          </w:tcPr>
          <w:p w14:paraId="249A58DA">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0.18</w:t>
            </w:r>
          </w:p>
        </w:tc>
        <w:tc>
          <w:tcPr>
            <w:tcW w:w="665" w:type="pct"/>
            <w:noWrap/>
            <w:vAlign w:val="center"/>
          </w:tcPr>
          <w:p w14:paraId="504F6EA6">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0.18</w:t>
            </w:r>
          </w:p>
        </w:tc>
        <w:tc>
          <w:tcPr>
            <w:tcW w:w="416" w:type="pct"/>
            <w:noWrap/>
            <w:vAlign w:val="center"/>
          </w:tcPr>
          <w:p w14:paraId="1254ACC6">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0.05</w:t>
            </w:r>
          </w:p>
        </w:tc>
        <w:tc>
          <w:tcPr>
            <w:tcW w:w="579" w:type="pct"/>
            <w:noWrap/>
            <w:vAlign w:val="center"/>
          </w:tcPr>
          <w:p w14:paraId="5574F2EF">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3.6</w:t>
            </w:r>
          </w:p>
        </w:tc>
        <w:tc>
          <w:tcPr>
            <w:tcW w:w="419" w:type="pct"/>
            <w:noWrap/>
            <w:vAlign w:val="center"/>
          </w:tcPr>
          <w:p w14:paraId="02988DD9">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100</w:t>
            </w:r>
          </w:p>
        </w:tc>
        <w:tc>
          <w:tcPr>
            <w:tcW w:w="419" w:type="pct"/>
            <w:noWrap/>
            <w:vAlign w:val="center"/>
          </w:tcPr>
          <w:p w14:paraId="31867B33">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2.6</w:t>
            </w:r>
          </w:p>
        </w:tc>
        <w:tc>
          <w:tcPr>
            <w:tcW w:w="419" w:type="pct"/>
            <w:noWrap/>
            <w:vAlign w:val="center"/>
          </w:tcPr>
          <w:p w14:paraId="0F31244E">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不达标</w:t>
            </w:r>
          </w:p>
        </w:tc>
      </w:tr>
      <w:tr w14:paraId="7AB16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18" w:type="pct"/>
            <w:vMerge w:val="continue"/>
            <w:vAlign w:val="center"/>
          </w:tcPr>
          <w:p w14:paraId="253BFD35">
            <w:pPr>
              <w:jc w:val="center"/>
              <w:rPr>
                <w:rFonts w:ascii="Times New Roman" w:hAnsi="Times New Roman" w:eastAsia="宋体" w:cs="Times New Roman"/>
                <w:color w:val="auto"/>
                <w:sz w:val="22"/>
                <w:szCs w:val="24"/>
              </w:rPr>
            </w:pPr>
          </w:p>
        </w:tc>
        <w:tc>
          <w:tcPr>
            <w:tcW w:w="996" w:type="pct"/>
            <w:noWrap/>
            <w:vAlign w:val="center"/>
          </w:tcPr>
          <w:p w14:paraId="096DA26A">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氟化物（以F-计）</w:t>
            </w:r>
          </w:p>
        </w:tc>
        <w:tc>
          <w:tcPr>
            <w:tcW w:w="665" w:type="pct"/>
            <w:noWrap/>
            <w:vAlign w:val="center"/>
          </w:tcPr>
          <w:p w14:paraId="4DFC6CE9">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0.004</w:t>
            </w:r>
          </w:p>
        </w:tc>
        <w:tc>
          <w:tcPr>
            <w:tcW w:w="665" w:type="pct"/>
            <w:noWrap/>
            <w:vAlign w:val="center"/>
          </w:tcPr>
          <w:p w14:paraId="67EB0D85">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0.004</w:t>
            </w:r>
          </w:p>
        </w:tc>
        <w:tc>
          <w:tcPr>
            <w:tcW w:w="416" w:type="pct"/>
            <w:noWrap/>
            <w:vAlign w:val="center"/>
          </w:tcPr>
          <w:p w14:paraId="3F729037">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1</w:t>
            </w:r>
          </w:p>
        </w:tc>
        <w:tc>
          <w:tcPr>
            <w:tcW w:w="579" w:type="pct"/>
            <w:noWrap/>
            <w:vAlign w:val="center"/>
          </w:tcPr>
          <w:p w14:paraId="29137336">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0.004</w:t>
            </w:r>
          </w:p>
        </w:tc>
        <w:tc>
          <w:tcPr>
            <w:tcW w:w="419" w:type="pct"/>
            <w:noWrap/>
            <w:vAlign w:val="center"/>
          </w:tcPr>
          <w:p w14:paraId="6A37A14D">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w:t>
            </w:r>
          </w:p>
        </w:tc>
        <w:tc>
          <w:tcPr>
            <w:tcW w:w="419" w:type="pct"/>
            <w:noWrap/>
            <w:vAlign w:val="center"/>
          </w:tcPr>
          <w:p w14:paraId="7333FA22">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w:t>
            </w:r>
          </w:p>
        </w:tc>
        <w:tc>
          <w:tcPr>
            <w:tcW w:w="419" w:type="pct"/>
            <w:noWrap/>
            <w:vAlign w:val="center"/>
          </w:tcPr>
          <w:p w14:paraId="2C0FF186">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达标</w:t>
            </w:r>
          </w:p>
        </w:tc>
      </w:tr>
      <w:tr w14:paraId="257AF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18" w:type="pct"/>
            <w:vMerge w:val="continue"/>
            <w:vAlign w:val="center"/>
          </w:tcPr>
          <w:p w14:paraId="04050434">
            <w:pPr>
              <w:jc w:val="center"/>
              <w:rPr>
                <w:rFonts w:ascii="Times New Roman" w:hAnsi="Times New Roman" w:eastAsia="宋体" w:cs="Times New Roman"/>
                <w:color w:val="auto"/>
                <w:sz w:val="22"/>
                <w:szCs w:val="24"/>
              </w:rPr>
            </w:pPr>
          </w:p>
        </w:tc>
        <w:tc>
          <w:tcPr>
            <w:tcW w:w="996" w:type="pct"/>
            <w:noWrap/>
            <w:vAlign w:val="center"/>
          </w:tcPr>
          <w:p w14:paraId="4F7EE361">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铬（六价）</w:t>
            </w:r>
          </w:p>
        </w:tc>
        <w:tc>
          <w:tcPr>
            <w:tcW w:w="665" w:type="pct"/>
            <w:noWrap/>
            <w:vAlign w:val="center"/>
          </w:tcPr>
          <w:p w14:paraId="51E5EBAF">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0.004</w:t>
            </w:r>
          </w:p>
        </w:tc>
        <w:tc>
          <w:tcPr>
            <w:tcW w:w="665" w:type="pct"/>
            <w:noWrap/>
            <w:vAlign w:val="center"/>
          </w:tcPr>
          <w:p w14:paraId="7C8F848B">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0.004</w:t>
            </w:r>
          </w:p>
        </w:tc>
        <w:tc>
          <w:tcPr>
            <w:tcW w:w="416" w:type="pct"/>
            <w:noWrap/>
            <w:vAlign w:val="center"/>
          </w:tcPr>
          <w:p w14:paraId="28DCBEE2">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0.05</w:t>
            </w:r>
          </w:p>
        </w:tc>
        <w:tc>
          <w:tcPr>
            <w:tcW w:w="579" w:type="pct"/>
            <w:noWrap/>
            <w:vAlign w:val="center"/>
          </w:tcPr>
          <w:p w14:paraId="3793BDA4">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0.08</w:t>
            </w:r>
          </w:p>
        </w:tc>
        <w:tc>
          <w:tcPr>
            <w:tcW w:w="419" w:type="pct"/>
            <w:noWrap/>
            <w:vAlign w:val="center"/>
          </w:tcPr>
          <w:p w14:paraId="39DF18BE">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w:t>
            </w:r>
          </w:p>
        </w:tc>
        <w:tc>
          <w:tcPr>
            <w:tcW w:w="419" w:type="pct"/>
            <w:noWrap/>
            <w:vAlign w:val="center"/>
          </w:tcPr>
          <w:p w14:paraId="3EC4F489">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w:t>
            </w:r>
          </w:p>
        </w:tc>
        <w:tc>
          <w:tcPr>
            <w:tcW w:w="419" w:type="pct"/>
            <w:noWrap/>
            <w:vAlign w:val="center"/>
          </w:tcPr>
          <w:p w14:paraId="24E5F880">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达标</w:t>
            </w:r>
          </w:p>
        </w:tc>
      </w:tr>
      <w:tr w14:paraId="5FF36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18" w:type="pct"/>
            <w:vMerge w:val="continue"/>
            <w:vAlign w:val="center"/>
          </w:tcPr>
          <w:p w14:paraId="79D4BD7D">
            <w:pPr>
              <w:jc w:val="center"/>
              <w:rPr>
                <w:rFonts w:ascii="Times New Roman" w:hAnsi="Times New Roman" w:eastAsia="宋体" w:cs="Times New Roman"/>
                <w:color w:val="auto"/>
                <w:sz w:val="22"/>
                <w:szCs w:val="24"/>
              </w:rPr>
            </w:pPr>
          </w:p>
        </w:tc>
        <w:tc>
          <w:tcPr>
            <w:tcW w:w="996" w:type="pct"/>
            <w:noWrap/>
            <w:vAlign w:val="center"/>
          </w:tcPr>
          <w:p w14:paraId="71766429">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氰化物</w:t>
            </w:r>
          </w:p>
        </w:tc>
        <w:tc>
          <w:tcPr>
            <w:tcW w:w="665" w:type="pct"/>
            <w:noWrap/>
            <w:vAlign w:val="center"/>
          </w:tcPr>
          <w:p w14:paraId="65ED6D8E">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0.004</w:t>
            </w:r>
          </w:p>
        </w:tc>
        <w:tc>
          <w:tcPr>
            <w:tcW w:w="665" w:type="pct"/>
            <w:noWrap/>
            <w:vAlign w:val="center"/>
          </w:tcPr>
          <w:p w14:paraId="6090D9BE">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0.004</w:t>
            </w:r>
          </w:p>
        </w:tc>
        <w:tc>
          <w:tcPr>
            <w:tcW w:w="416" w:type="pct"/>
            <w:noWrap/>
            <w:vAlign w:val="center"/>
          </w:tcPr>
          <w:p w14:paraId="2FFE4336">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0.2</w:t>
            </w:r>
          </w:p>
        </w:tc>
        <w:tc>
          <w:tcPr>
            <w:tcW w:w="579" w:type="pct"/>
            <w:noWrap/>
            <w:vAlign w:val="center"/>
          </w:tcPr>
          <w:p w14:paraId="48654BC1">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0.02</w:t>
            </w:r>
          </w:p>
        </w:tc>
        <w:tc>
          <w:tcPr>
            <w:tcW w:w="419" w:type="pct"/>
            <w:noWrap/>
            <w:vAlign w:val="center"/>
          </w:tcPr>
          <w:p w14:paraId="7117FC7C">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w:t>
            </w:r>
          </w:p>
        </w:tc>
        <w:tc>
          <w:tcPr>
            <w:tcW w:w="419" w:type="pct"/>
            <w:noWrap/>
            <w:vAlign w:val="center"/>
          </w:tcPr>
          <w:p w14:paraId="403E04ED">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w:t>
            </w:r>
          </w:p>
        </w:tc>
        <w:tc>
          <w:tcPr>
            <w:tcW w:w="419" w:type="pct"/>
            <w:noWrap/>
            <w:vAlign w:val="center"/>
          </w:tcPr>
          <w:p w14:paraId="264FD6E2">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达标</w:t>
            </w:r>
          </w:p>
        </w:tc>
      </w:tr>
      <w:tr w14:paraId="02797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18" w:type="pct"/>
            <w:vMerge w:val="continue"/>
            <w:vAlign w:val="center"/>
          </w:tcPr>
          <w:p w14:paraId="18B5DF19">
            <w:pPr>
              <w:jc w:val="center"/>
              <w:rPr>
                <w:rFonts w:ascii="Times New Roman" w:hAnsi="Times New Roman" w:eastAsia="宋体" w:cs="Times New Roman"/>
                <w:color w:val="auto"/>
                <w:sz w:val="22"/>
                <w:szCs w:val="24"/>
              </w:rPr>
            </w:pPr>
          </w:p>
        </w:tc>
        <w:tc>
          <w:tcPr>
            <w:tcW w:w="996" w:type="pct"/>
            <w:noWrap/>
            <w:vAlign w:val="center"/>
          </w:tcPr>
          <w:p w14:paraId="143C82AC">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挥发性酚类（以苯酚计）</w:t>
            </w:r>
          </w:p>
        </w:tc>
        <w:tc>
          <w:tcPr>
            <w:tcW w:w="665" w:type="pct"/>
            <w:noWrap/>
            <w:vAlign w:val="center"/>
          </w:tcPr>
          <w:p w14:paraId="706DC9FD">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0.0005</w:t>
            </w:r>
          </w:p>
        </w:tc>
        <w:tc>
          <w:tcPr>
            <w:tcW w:w="665" w:type="pct"/>
            <w:noWrap/>
            <w:vAlign w:val="center"/>
          </w:tcPr>
          <w:p w14:paraId="3EEAD005">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0.0005</w:t>
            </w:r>
          </w:p>
        </w:tc>
        <w:tc>
          <w:tcPr>
            <w:tcW w:w="416" w:type="pct"/>
            <w:noWrap/>
            <w:vAlign w:val="center"/>
          </w:tcPr>
          <w:p w14:paraId="513B12E0">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0.005</w:t>
            </w:r>
          </w:p>
        </w:tc>
        <w:tc>
          <w:tcPr>
            <w:tcW w:w="579" w:type="pct"/>
            <w:noWrap/>
            <w:vAlign w:val="center"/>
          </w:tcPr>
          <w:p w14:paraId="62500B04">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0.1</w:t>
            </w:r>
          </w:p>
        </w:tc>
        <w:tc>
          <w:tcPr>
            <w:tcW w:w="419" w:type="pct"/>
            <w:noWrap/>
            <w:vAlign w:val="center"/>
          </w:tcPr>
          <w:p w14:paraId="33C38B05">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w:t>
            </w:r>
          </w:p>
        </w:tc>
        <w:tc>
          <w:tcPr>
            <w:tcW w:w="419" w:type="pct"/>
            <w:noWrap/>
            <w:vAlign w:val="center"/>
          </w:tcPr>
          <w:p w14:paraId="6FB90E3D">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w:t>
            </w:r>
          </w:p>
        </w:tc>
        <w:tc>
          <w:tcPr>
            <w:tcW w:w="419" w:type="pct"/>
            <w:noWrap/>
            <w:vAlign w:val="center"/>
          </w:tcPr>
          <w:p w14:paraId="296428AE">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达标</w:t>
            </w:r>
          </w:p>
        </w:tc>
      </w:tr>
      <w:tr w14:paraId="71845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18" w:type="pct"/>
            <w:vMerge w:val="continue"/>
            <w:vAlign w:val="center"/>
          </w:tcPr>
          <w:p w14:paraId="08194A92">
            <w:pPr>
              <w:jc w:val="center"/>
              <w:rPr>
                <w:rFonts w:ascii="Times New Roman" w:hAnsi="Times New Roman" w:eastAsia="宋体" w:cs="Times New Roman"/>
                <w:color w:val="auto"/>
                <w:sz w:val="22"/>
                <w:szCs w:val="24"/>
              </w:rPr>
            </w:pPr>
          </w:p>
        </w:tc>
        <w:tc>
          <w:tcPr>
            <w:tcW w:w="996" w:type="pct"/>
            <w:noWrap/>
            <w:vAlign w:val="center"/>
          </w:tcPr>
          <w:p w14:paraId="4D4E8175">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铜</w:t>
            </w:r>
          </w:p>
        </w:tc>
        <w:tc>
          <w:tcPr>
            <w:tcW w:w="665" w:type="pct"/>
            <w:noWrap/>
            <w:vAlign w:val="center"/>
          </w:tcPr>
          <w:p w14:paraId="57C93BBC">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0.01</w:t>
            </w:r>
          </w:p>
        </w:tc>
        <w:tc>
          <w:tcPr>
            <w:tcW w:w="665" w:type="pct"/>
            <w:noWrap/>
            <w:vAlign w:val="center"/>
          </w:tcPr>
          <w:p w14:paraId="5E058ED6">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0.01</w:t>
            </w:r>
          </w:p>
        </w:tc>
        <w:tc>
          <w:tcPr>
            <w:tcW w:w="416" w:type="pct"/>
            <w:noWrap/>
            <w:vAlign w:val="center"/>
          </w:tcPr>
          <w:p w14:paraId="16458508">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1</w:t>
            </w:r>
          </w:p>
        </w:tc>
        <w:tc>
          <w:tcPr>
            <w:tcW w:w="579" w:type="pct"/>
            <w:noWrap/>
            <w:vAlign w:val="center"/>
          </w:tcPr>
          <w:p w14:paraId="040D3CDB">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0.01</w:t>
            </w:r>
          </w:p>
        </w:tc>
        <w:tc>
          <w:tcPr>
            <w:tcW w:w="419" w:type="pct"/>
            <w:noWrap/>
            <w:vAlign w:val="center"/>
          </w:tcPr>
          <w:p w14:paraId="0AE452D6">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w:t>
            </w:r>
          </w:p>
        </w:tc>
        <w:tc>
          <w:tcPr>
            <w:tcW w:w="419" w:type="pct"/>
            <w:noWrap/>
            <w:vAlign w:val="center"/>
          </w:tcPr>
          <w:p w14:paraId="744A94D6">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w:t>
            </w:r>
          </w:p>
        </w:tc>
        <w:tc>
          <w:tcPr>
            <w:tcW w:w="419" w:type="pct"/>
            <w:noWrap/>
            <w:vAlign w:val="center"/>
          </w:tcPr>
          <w:p w14:paraId="6C3CBF50">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达标</w:t>
            </w:r>
          </w:p>
        </w:tc>
      </w:tr>
      <w:tr w14:paraId="186C4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18" w:type="pct"/>
            <w:vMerge w:val="continue"/>
            <w:vAlign w:val="center"/>
          </w:tcPr>
          <w:p w14:paraId="7E0C26D8">
            <w:pPr>
              <w:jc w:val="center"/>
              <w:rPr>
                <w:rFonts w:ascii="Times New Roman" w:hAnsi="Times New Roman" w:eastAsia="宋体" w:cs="Times New Roman"/>
                <w:color w:val="auto"/>
                <w:sz w:val="22"/>
                <w:szCs w:val="24"/>
              </w:rPr>
            </w:pPr>
          </w:p>
        </w:tc>
        <w:tc>
          <w:tcPr>
            <w:tcW w:w="996" w:type="pct"/>
            <w:noWrap/>
            <w:vAlign w:val="center"/>
          </w:tcPr>
          <w:p w14:paraId="333B25EE">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锌</w:t>
            </w:r>
          </w:p>
        </w:tc>
        <w:tc>
          <w:tcPr>
            <w:tcW w:w="665" w:type="pct"/>
            <w:noWrap/>
            <w:vAlign w:val="center"/>
          </w:tcPr>
          <w:p w14:paraId="7F2ADFDE">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0.01</w:t>
            </w:r>
          </w:p>
        </w:tc>
        <w:tc>
          <w:tcPr>
            <w:tcW w:w="665" w:type="pct"/>
            <w:noWrap/>
            <w:vAlign w:val="center"/>
          </w:tcPr>
          <w:p w14:paraId="2ADB41A2">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0.01</w:t>
            </w:r>
          </w:p>
        </w:tc>
        <w:tc>
          <w:tcPr>
            <w:tcW w:w="416" w:type="pct"/>
            <w:noWrap/>
            <w:vAlign w:val="center"/>
          </w:tcPr>
          <w:p w14:paraId="3871B29A">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1</w:t>
            </w:r>
          </w:p>
        </w:tc>
        <w:tc>
          <w:tcPr>
            <w:tcW w:w="579" w:type="pct"/>
            <w:noWrap/>
            <w:vAlign w:val="center"/>
          </w:tcPr>
          <w:p w14:paraId="7CDD941C">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0.01</w:t>
            </w:r>
          </w:p>
        </w:tc>
        <w:tc>
          <w:tcPr>
            <w:tcW w:w="419" w:type="pct"/>
            <w:noWrap/>
            <w:vAlign w:val="center"/>
          </w:tcPr>
          <w:p w14:paraId="5B87F207">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w:t>
            </w:r>
          </w:p>
        </w:tc>
        <w:tc>
          <w:tcPr>
            <w:tcW w:w="419" w:type="pct"/>
            <w:noWrap/>
            <w:vAlign w:val="center"/>
          </w:tcPr>
          <w:p w14:paraId="095CDA20">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w:t>
            </w:r>
          </w:p>
        </w:tc>
        <w:tc>
          <w:tcPr>
            <w:tcW w:w="419" w:type="pct"/>
            <w:noWrap/>
            <w:vAlign w:val="center"/>
          </w:tcPr>
          <w:p w14:paraId="4A28C076">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达标</w:t>
            </w:r>
          </w:p>
        </w:tc>
      </w:tr>
      <w:tr w14:paraId="57575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18" w:type="pct"/>
            <w:vMerge w:val="continue"/>
            <w:vAlign w:val="center"/>
          </w:tcPr>
          <w:p w14:paraId="0D5097E1">
            <w:pPr>
              <w:jc w:val="center"/>
              <w:rPr>
                <w:rFonts w:ascii="Times New Roman" w:hAnsi="Times New Roman" w:eastAsia="宋体" w:cs="Times New Roman"/>
                <w:color w:val="auto"/>
                <w:sz w:val="22"/>
                <w:szCs w:val="24"/>
              </w:rPr>
            </w:pPr>
          </w:p>
        </w:tc>
        <w:tc>
          <w:tcPr>
            <w:tcW w:w="996" w:type="pct"/>
            <w:noWrap/>
            <w:vAlign w:val="center"/>
          </w:tcPr>
          <w:p w14:paraId="67DF3AAC">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汞</w:t>
            </w:r>
          </w:p>
        </w:tc>
        <w:tc>
          <w:tcPr>
            <w:tcW w:w="665" w:type="pct"/>
            <w:noWrap/>
            <w:vAlign w:val="center"/>
          </w:tcPr>
          <w:p w14:paraId="79DAD191">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0.00004</w:t>
            </w:r>
          </w:p>
        </w:tc>
        <w:tc>
          <w:tcPr>
            <w:tcW w:w="665" w:type="pct"/>
            <w:noWrap/>
            <w:vAlign w:val="center"/>
          </w:tcPr>
          <w:p w14:paraId="5AA695E5">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0.04</w:t>
            </w:r>
          </w:p>
        </w:tc>
        <w:tc>
          <w:tcPr>
            <w:tcW w:w="416" w:type="pct"/>
            <w:noWrap/>
            <w:vAlign w:val="center"/>
          </w:tcPr>
          <w:p w14:paraId="43D15386">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0.0001</w:t>
            </w:r>
          </w:p>
        </w:tc>
        <w:tc>
          <w:tcPr>
            <w:tcW w:w="579" w:type="pct"/>
            <w:noWrap/>
            <w:vAlign w:val="center"/>
          </w:tcPr>
          <w:p w14:paraId="507E13A5">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0.4</w:t>
            </w:r>
          </w:p>
        </w:tc>
        <w:tc>
          <w:tcPr>
            <w:tcW w:w="419" w:type="pct"/>
            <w:noWrap/>
            <w:vAlign w:val="center"/>
          </w:tcPr>
          <w:p w14:paraId="0FC4843A">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w:t>
            </w:r>
          </w:p>
        </w:tc>
        <w:tc>
          <w:tcPr>
            <w:tcW w:w="419" w:type="pct"/>
            <w:noWrap/>
            <w:vAlign w:val="center"/>
          </w:tcPr>
          <w:p w14:paraId="01114C0A">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w:t>
            </w:r>
          </w:p>
        </w:tc>
        <w:tc>
          <w:tcPr>
            <w:tcW w:w="419" w:type="pct"/>
            <w:noWrap/>
            <w:vAlign w:val="center"/>
          </w:tcPr>
          <w:p w14:paraId="0F9EBA22">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达标</w:t>
            </w:r>
          </w:p>
        </w:tc>
      </w:tr>
      <w:tr w14:paraId="03315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18" w:type="pct"/>
            <w:vMerge w:val="continue"/>
            <w:vAlign w:val="center"/>
          </w:tcPr>
          <w:p w14:paraId="4D4D0FF9">
            <w:pPr>
              <w:jc w:val="center"/>
              <w:rPr>
                <w:rFonts w:ascii="Times New Roman" w:hAnsi="Times New Roman" w:eastAsia="宋体" w:cs="Times New Roman"/>
                <w:color w:val="auto"/>
                <w:sz w:val="22"/>
                <w:szCs w:val="24"/>
              </w:rPr>
            </w:pPr>
          </w:p>
        </w:tc>
        <w:tc>
          <w:tcPr>
            <w:tcW w:w="996" w:type="pct"/>
            <w:noWrap/>
            <w:vAlign w:val="center"/>
          </w:tcPr>
          <w:p w14:paraId="206AAA90">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镉</w:t>
            </w:r>
          </w:p>
        </w:tc>
        <w:tc>
          <w:tcPr>
            <w:tcW w:w="665" w:type="pct"/>
            <w:noWrap/>
            <w:vAlign w:val="center"/>
          </w:tcPr>
          <w:p w14:paraId="371E0764">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0.00005</w:t>
            </w:r>
          </w:p>
        </w:tc>
        <w:tc>
          <w:tcPr>
            <w:tcW w:w="665" w:type="pct"/>
            <w:noWrap/>
            <w:vAlign w:val="center"/>
          </w:tcPr>
          <w:p w14:paraId="160E6032">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0.05</w:t>
            </w:r>
          </w:p>
        </w:tc>
        <w:tc>
          <w:tcPr>
            <w:tcW w:w="416" w:type="pct"/>
            <w:noWrap/>
            <w:vAlign w:val="center"/>
          </w:tcPr>
          <w:p w14:paraId="408D21F9">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0.005</w:t>
            </w:r>
          </w:p>
        </w:tc>
        <w:tc>
          <w:tcPr>
            <w:tcW w:w="579" w:type="pct"/>
            <w:noWrap/>
            <w:vAlign w:val="center"/>
          </w:tcPr>
          <w:p w14:paraId="015D3610">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0.01</w:t>
            </w:r>
          </w:p>
        </w:tc>
        <w:tc>
          <w:tcPr>
            <w:tcW w:w="419" w:type="pct"/>
            <w:noWrap/>
            <w:vAlign w:val="center"/>
          </w:tcPr>
          <w:p w14:paraId="6FEFA6CD">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w:t>
            </w:r>
          </w:p>
        </w:tc>
        <w:tc>
          <w:tcPr>
            <w:tcW w:w="419" w:type="pct"/>
            <w:noWrap/>
            <w:vAlign w:val="center"/>
          </w:tcPr>
          <w:p w14:paraId="57DF0002">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w:t>
            </w:r>
          </w:p>
        </w:tc>
        <w:tc>
          <w:tcPr>
            <w:tcW w:w="419" w:type="pct"/>
            <w:noWrap/>
            <w:vAlign w:val="center"/>
          </w:tcPr>
          <w:p w14:paraId="21102392">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达标</w:t>
            </w:r>
          </w:p>
        </w:tc>
      </w:tr>
      <w:tr w14:paraId="0F46A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18" w:type="pct"/>
            <w:vMerge w:val="continue"/>
            <w:vAlign w:val="center"/>
          </w:tcPr>
          <w:p w14:paraId="182A5619">
            <w:pPr>
              <w:jc w:val="center"/>
              <w:rPr>
                <w:rFonts w:ascii="Times New Roman" w:hAnsi="Times New Roman" w:eastAsia="宋体" w:cs="Times New Roman"/>
                <w:color w:val="auto"/>
                <w:sz w:val="22"/>
                <w:szCs w:val="24"/>
              </w:rPr>
            </w:pPr>
          </w:p>
        </w:tc>
        <w:tc>
          <w:tcPr>
            <w:tcW w:w="996" w:type="pct"/>
            <w:noWrap/>
            <w:vAlign w:val="center"/>
          </w:tcPr>
          <w:p w14:paraId="2B35BC53">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铅</w:t>
            </w:r>
          </w:p>
        </w:tc>
        <w:tc>
          <w:tcPr>
            <w:tcW w:w="665" w:type="pct"/>
            <w:noWrap/>
            <w:vAlign w:val="center"/>
          </w:tcPr>
          <w:p w14:paraId="47869252">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0.0015</w:t>
            </w:r>
          </w:p>
        </w:tc>
        <w:tc>
          <w:tcPr>
            <w:tcW w:w="665" w:type="pct"/>
            <w:noWrap/>
            <w:vAlign w:val="center"/>
          </w:tcPr>
          <w:p w14:paraId="10A82949">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0.15</w:t>
            </w:r>
          </w:p>
        </w:tc>
        <w:tc>
          <w:tcPr>
            <w:tcW w:w="416" w:type="pct"/>
            <w:noWrap/>
            <w:vAlign w:val="center"/>
          </w:tcPr>
          <w:p w14:paraId="1E4492AA">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0.05</w:t>
            </w:r>
          </w:p>
        </w:tc>
        <w:tc>
          <w:tcPr>
            <w:tcW w:w="579" w:type="pct"/>
            <w:noWrap/>
            <w:vAlign w:val="center"/>
          </w:tcPr>
          <w:p w14:paraId="47BB3FA0">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0.03</w:t>
            </w:r>
          </w:p>
        </w:tc>
        <w:tc>
          <w:tcPr>
            <w:tcW w:w="419" w:type="pct"/>
            <w:noWrap/>
            <w:vAlign w:val="center"/>
          </w:tcPr>
          <w:p w14:paraId="7584BBFB">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w:t>
            </w:r>
          </w:p>
        </w:tc>
        <w:tc>
          <w:tcPr>
            <w:tcW w:w="419" w:type="pct"/>
            <w:noWrap/>
            <w:vAlign w:val="center"/>
          </w:tcPr>
          <w:p w14:paraId="002C8ABE">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w:t>
            </w:r>
          </w:p>
        </w:tc>
        <w:tc>
          <w:tcPr>
            <w:tcW w:w="419" w:type="pct"/>
            <w:noWrap/>
            <w:vAlign w:val="center"/>
          </w:tcPr>
          <w:p w14:paraId="47D3468E">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达标</w:t>
            </w:r>
          </w:p>
        </w:tc>
      </w:tr>
      <w:tr w14:paraId="4F524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18" w:type="pct"/>
            <w:vMerge w:val="continue"/>
            <w:vAlign w:val="center"/>
          </w:tcPr>
          <w:p w14:paraId="2409E55A">
            <w:pPr>
              <w:jc w:val="center"/>
              <w:rPr>
                <w:rFonts w:ascii="Times New Roman" w:hAnsi="Times New Roman" w:eastAsia="宋体" w:cs="Times New Roman"/>
                <w:color w:val="auto"/>
                <w:sz w:val="22"/>
                <w:szCs w:val="24"/>
              </w:rPr>
            </w:pPr>
          </w:p>
        </w:tc>
        <w:tc>
          <w:tcPr>
            <w:tcW w:w="996" w:type="pct"/>
            <w:vAlign w:val="center"/>
          </w:tcPr>
          <w:p w14:paraId="2AB075C7">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铊（mg/L）</w:t>
            </w:r>
          </w:p>
        </w:tc>
        <w:tc>
          <w:tcPr>
            <w:tcW w:w="665" w:type="pct"/>
            <w:noWrap/>
            <w:vAlign w:val="center"/>
          </w:tcPr>
          <w:p w14:paraId="4EA32317">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0.00003</w:t>
            </w:r>
          </w:p>
        </w:tc>
        <w:tc>
          <w:tcPr>
            <w:tcW w:w="665" w:type="pct"/>
            <w:noWrap/>
            <w:vAlign w:val="center"/>
          </w:tcPr>
          <w:p w14:paraId="6386145A">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0.00003</w:t>
            </w:r>
          </w:p>
        </w:tc>
        <w:tc>
          <w:tcPr>
            <w:tcW w:w="416" w:type="pct"/>
            <w:noWrap/>
            <w:vAlign w:val="center"/>
          </w:tcPr>
          <w:p w14:paraId="29C7A939">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0.0001</w:t>
            </w:r>
          </w:p>
        </w:tc>
        <w:tc>
          <w:tcPr>
            <w:tcW w:w="579" w:type="pct"/>
            <w:noWrap/>
            <w:vAlign w:val="center"/>
          </w:tcPr>
          <w:p w14:paraId="6BB3B217">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0.3</w:t>
            </w:r>
          </w:p>
        </w:tc>
        <w:tc>
          <w:tcPr>
            <w:tcW w:w="419" w:type="pct"/>
            <w:noWrap/>
            <w:vAlign w:val="center"/>
          </w:tcPr>
          <w:p w14:paraId="67C41A02">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w:t>
            </w:r>
          </w:p>
        </w:tc>
        <w:tc>
          <w:tcPr>
            <w:tcW w:w="419" w:type="pct"/>
            <w:noWrap/>
            <w:vAlign w:val="center"/>
          </w:tcPr>
          <w:p w14:paraId="6926B017">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w:t>
            </w:r>
          </w:p>
        </w:tc>
        <w:tc>
          <w:tcPr>
            <w:tcW w:w="419" w:type="pct"/>
            <w:noWrap/>
            <w:vAlign w:val="center"/>
          </w:tcPr>
          <w:p w14:paraId="0C3E5BBE">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达标</w:t>
            </w:r>
          </w:p>
        </w:tc>
      </w:tr>
      <w:tr w14:paraId="019E6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18" w:type="pct"/>
            <w:vMerge w:val="continue"/>
            <w:vAlign w:val="center"/>
          </w:tcPr>
          <w:p w14:paraId="223CDE1A">
            <w:pPr>
              <w:jc w:val="center"/>
              <w:rPr>
                <w:rFonts w:ascii="Times New Roman" w:hAnsi="Times New Roman" w:eastAsia="宋体" w:cs="Times New Roman"/>
                <w:color w:val="auto"/>
                <w:sz w:val="22"/>
                <w:szCs w:val="24"/>
              </w:rPr>
            </w:pPr>
          </w:p>
        </w:tc>
        <w:tc>
          <w:tcPr>
            <w:tcW w:w="996" w:type="pct"/>
            <w:noWrap/>
            <w:vAlign w:val="center"/>
          </w:tcPr>
          <w:p w14:paraId="14215DF2">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甲苯</w:t>
            </w:r>
          </w:p>
        </w:tc>
        <w:tc>
          <w:tcPr>
            <w:tcW w:w="665" w:type="pct"/>
            <w:noWrap/>
            <w:vAlign w:val="center"/>
          </w:tcPr>
          <w:p w14:paraId="5F1DBFDD">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0.0014</w:t>
            </w:r>
          </w:p>
        </w:tc>
        <w:tc>
          <w:tcPr>
            <w:tcW w:w="665" w:type="pct"/>
            <w:noWrap/>
          </w:tcPr>
          <w:p w14:paraId="13566EE9">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0.0014</w:t>
            </w:r>
          </w:p>
        </w:tc>
        <w:tc>
          <w:tcPr>
            <w:tcW w:w="416" w:type="pct"/>
            <w:vAlign w:val="center"/>
          </w:tcPr>
          <w:p w14:paraId="75E98A27">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0.7</w:t>
            </w:r>
          </w:p>
        </w:tc>
        <w:tc>
          <w:tcPr>
            <w:tcW w:w="579" w:type="pct"/>
            <w:noWrap/>
            <w:vAlign w:val="center"/>
          </w:tcPr>
          <w:p w14:paraId="1B65EC23">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0.002</w:t>
            </w:r>
          </w:p>
        </w:tc>
        <w:tc>
          <w:tcPr>
            <w:tcW w:w="419" w:type="pct"/>
            <w:noWrap/>
            <w:vAlign w:val="center"/>
          </w:tcPr>
          <w:p w14:paraId="3020B8D5">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w:t>
            </w:r>
          </w:p>
        </w:tc>
        <w:tc>
          <w:tcPr>
            <w:tcW w:w="419" w:type="pct"/>
            <w:noWrap/>
            <w:vAlign w:val="center"/>
          </w:tcPr>
          <w:p w14:paraId="725F8D1B">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w:t>
            </w:r>
          </w:p>
        </w:tc>
        <w:tc>
          <w:tcPr>
            <w:tcW w:w="419" w:type="pct"/>
            <w:noWrap/>
            <w:vAlign w:val="center"/>
          </w:tcPr>
          <w:p w14:paraId="56B53AD2">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达标</w:t>
            </w:r>
          </w:p>
        </w:tc>
      </w:tr>
      <w:tr w14:paraId="33C56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18" w:type="pct"/>
            <w:vMerge w:val="continue"/>
            <w:vAlign w:val="center"/>
          </w:tcPr>
          <w:p w14:paraId="34F291F9">
            <w:pPr>
              <w:jc w:val="center"/>
              <w:rPr>
                <w:rFonts w:ascii="Times New Roman" w:hAnsi="Times New Roman" w:eastAsia="宋体" w:cs="Times New Roman"/>
                <w:color w:val="auto"/>
                <w:sz w:val="22"/>
                <w:szCs w:val="24"/>
              </w:rPr>
            </w:pPr>
          </w:p>
        </w:tc>
        <w:tc>
          <w:tcPr>
            <w:tcW w:w="996" w:type="pct"/>
            <w:noWrap/>
            <w:vAlign w:val="center"/>
          </w:tcPr>
          <w:p w14:paraId="58D6BAF9">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二甲苯</w:t>
            </w:r>
          </w:p>
        </w:tc>
        <w:tc>
          <w:tcPr>
            <w:tcW w:w="665" w:type="pct"/>
            <w:noWrap/>
            <w:vAlign w:val="center"/>
          </w:tcPr>
          <w:p w14:paraId="40CFCCAB">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0.0014</w:t>
            </w:r>
          </w:p>
        </w:tc>
        <w:tc>
          <w:tcPr>
            <w:tcW w:w="665" w:type="pct"/>
            <w:noWrap/>
          </w:tcPr>
          <w:p w14:paraId="7EEB94FC">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0.0014</w:t>
            </w:r>
          </w:p>
        </w:tc>
        <w:tc>
          <w:tcPr>
            <w:tcW w:w="416" w:type="pct"/>
            <w:vAlign w:val="center"/>
          </w:tcPr>
          <w:p w14:paraId="2EBF71B9">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0.5</w:t>
            </w:r>
          </w:p>
        </w:tc>
        <w:tc>
          <w:tcPr>
            <w:tcW w:w="579" w:type="pct"/>
            <w:noWrap/>
            <w:vAlign w:val="center"/>
          </w:tcPr>
          <w:p w14:paraId="017A8886">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0.0028</w:t>
            </w:r>
          </w:p>
        </w:tc>
        <w:tc>
          <w:tcPr>
            <w:tcW w:w="419" w:type="pct"/>
            <w:noWrap/>
            <w:vAlign w:val="center"/>
          </w:tcPr>
          <w:p w14:paraId="54D426A3">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w:t>
            </w:r>
          </w:p>
        </w:tc>
        <w:tc>
          <w:tcPr>
            <w:tcW w:w="419" w:type="pct"/>
            <w:noWrap/>
            <w:vAlign w:val="center"/>
          </w:tcPr>
          <w:p w14:paraId="69DB30A0">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w:t>
            </w:r>
          </w:p>
        </w:tc>
        <w:tc>
          <w:tcPr>
            <w:tcW w:w="419" w:type="pct"/>
            <w:noWrap/>
            <w:vAlign w:val="center"/>
          </w:tcPr>
          <w:p w14:paraId="18E567A2">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达标</w:t>
            </w:r>
          </w:p>
        </w:tc>
      </w:tr>
      <w:tr w14:paraId="2021B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18" w:type="pct"/>
            <w:vMerge w:val="continue"/>
            <w:vAlign w:val="center"/>
          </w:tcPr>
          <w:p w14:paraId="383A28C4">
            <w:pPr>
              <w:jc w:val="center"/>
              <w:rPr>
                <w:rFonts w:ascii="Times New Roman" w:hAnsi="Times New Roman" w:eastAsia="宋体" w:cs="Times New Roman"/>
                <w:color w:val="auto"/>
                <w:sz w:val="22"/>
                <w:szCs w:val="24"/>
              </w:rPr>
            </w:pPr>
          </w:p>
        </w:tc>
        <w:tc>
          <w:tcPr>
            <w:tcW w:w="996" w:type="pct"/>
            <w:noWrap/>
            <w:vAlign w:val="center"/>
          </w:tcPr>
          <w:p w14:paraId="2A3AA7F1">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二氯甲烷</w:t>
            </w:r>
          </w:p>
        </w:tc>
        <w:tc>
          <w:tcPr>
            <w:tcW w:w="665" w:type="pct"/>
            <w:noWrap/>
            <w:vAlign w:val="center"/>
          </w:tcPr>
          <w:p w14:paraId="27499FFE">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0.0014</w:t>
            </w:r>
          </w:p>
        </w:tc>
        <w:tc>
          <w:tcPr>
            <w:tcW w:w="665" w:type="pct"/>
            <w:noWrap/>
          </w:tcPr>
          <w:p w14:paraId="4E8BAC23">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0.0014</w:t>
            </w:r>
          </w:p>
        </w:tc>
        <w:tc>
          <w:tcPr>
            <w:tcW w:w="416" w:type="pct"/>
            <w:vAlign w:val="center"/>
          </w:tcPr>
          <w:p w14:paraId="5F57A4E3">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0.02</w:t>
            </w:r>
          </w:p>
        </w:tc>
        <w:tc>
          <w:tcPr>
            <w:tcW w:w="579" w:type="pct"/>
            <w:noWrap/>
            <w:vAlign w:val="center"/>
          </w:tcPr>
          <w:p w14:paraId="405D8111">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0.07</w:t>
            </w:r>
          </w:p>
        </w:tc>
        <w:tc>
          <w:tcPr>
            <w:tcW w:w="419" w:type="pct"/>
            <w:noWrap/>
            <w:vAlign w:val="center"/>
          </w:tcPr>
          <w:p w14:paraId="5E2D3287">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w:t>
            </w:r>
          </w:p>
        </w:tc>
        <w:tc>
          <w:tcPr>
            <w:tcW w:w="419" w:type="pct"/>
            <w:noWrap/>
            <w:vAlign w:val="center"/>
          </w:tcPr>
          <w:p w14:paraId="06F85E95">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w:t>
            </w:r>
          </w:p>
        </w:tc>
        <w:tc>
          <w:tcPr>
            <w:tcW w:w="419" w:type="pct"/>
            <w:noWrap/>
            <w:vAlign w:val="center"/>
          </w:tcPr>
          <w:p w14:paraId="01511F13">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达标</w:t>
            </w:r>
          </w:p>
        </w:tc>
      </w:tr>
      <w:tr w14:paraId="71C90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18" w:type="pct"/>
            <w:vMerge w:val="continue"/>
            <w:vAlign w:val="center"/>
          </w:tcPr>
          <w:p w14:paraId="49858BC9">
            <w:pPr>
              <w:jc w:val="center"/>
              <w:rPr>
                <w:rFonts w:ascii="Times New Roman" w:hAnsi="Times New Roman" w:eastAsia="宋体" w:cs="Times New Roman"/>
                <w:color w:val="auto"/>
                <w:sz w:val="22"/>
                <w:szCs w:val="24"/>
              </w:rPr>
            </w:pPr>
          </w:p>
        </w:tc>
        <w:tc>
          <w:tcPr>
            <w:tcW w:w="996" w:type="pct"/>
            <w:noWrap/>
            <w:vAlign w:val="center"/>
          </w:tcPr>
          <w:p w14:paraId="23507BCB">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三氯甲烷</w:t>
            </w:r>
          </w:p>
        </w:tc>
        <w:tc>
          <w:tcPr>
            <w:tcW w:w="665" w:type="pct"/>
            <w:noWrap/>
            <w:vAlign w:val="center"/>
          </w:tcPr>
          <w:p w14:paraId="61A9EDC4">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0.001</w:t>
            </w:r>
          </w:p>
        </w:tc>
        <w:tc>
          <w:tcPr>
            <w:tcW w:w="665" w:type="pct"/>
            <w:noWrap/>
            <w:vAlign w:val="center"/>
          </w:tcPr>
          <w:p w14:paraId="4F135BEF">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0.001</w:t>
            </w:r>
          </w:p>
        </w:tc>
        <w:tc>
          <w:tcPr>
            <w:tcW w:w="416" w:type="pct"/>
            <w:noWrap/>
            <w:vAlign w:val="center"/>
          </w:tcPr>
          <w:p w14:paraId="34BAB099">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0.06</w:t>
            </w:r>
          </w:p>
        </w:tc>
        <w:tc>
          <w:tcPr>
            <w:tcW w:w="579" w:type="pct"/>
            <w:noWrap/>
            <w:vAlign w:val="center"/>
          </w:tcPr>
          <w:p w14:paraId="7915B013">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0.017</w:t>
            </w:r>
          </w:p>
        </w:tc>
        <w:tc>
          <w:tcPr>
            <w:tcW w:w="419" w:type="pct"/>
            <w:noWrap/>
            <w:vAlign w:val="center"/>
          </w:tcPr>
          <w:p w14:paraId="5010C894">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w:t>
            </w:r>
          </w:p>
        </w:tc>
        <w:tc>
          <w:tcPr>
            <w:tcW w:w="419" w:type="pct"/>
            <w:noWrap/>
            <w:vAlign w:val="center"/>
          </w:tcPr>
          <w:p w14:paraId="2EEBC363">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w:t>
            </w:r>
          </w:p>
        </w:tc>
        <w:tc>
          <w:tcPr>
            <w:tcW w:w="419" w:type="pct"/>
            <w:noWrap/>
            <w:vAlign w:val="center"/>
          </w:tcPr>
          <w:p w14:paraId="25B37CD7">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达标</w:t>
            </w:r>
          </w:p>
        </w:tc>
      </w:tr>
      <w:tr w14:paraId="206D8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418" w:type="pct"/>
            <w:vMerge w:val="continue"/>
            <w:vAlign w:val="center"/>
          </w:tcPr>
          <w:p w14:paraId="496C7728">
            <w:pPr>
              <w:jc w:val="center"/>
              <w:rPr>
                <w:rFonts w:ascii="Times New Roman" w:hAnsi="Times New Roman" w:eastAsia="宋体" w:cs="Times New Roman"/>
                <w:color w:val="auto"/>
                <w:sz w:val="22"/>
                <w:szCs w:val="24"/>
              </w:rPr>
            </w:pPr>
          </w:p>
        </w:tc>
        <w:tc>
          <w:tcPr>
            <w:tcW w:w="996" w:type="pct"/>
            <w:vAlign w:val="center"/>
          </w:tcPr>
          <w:p w14:paraId="612422A7">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1，1-二氯乙烷（mg/L）</w:t>
            </w:r>
          </w:p>
        </w:tc>
        <w:tc>
          <w:tcPr>
            <w:tcW w:w="665" w:type="pct"/>
            <w:noWrap/>
            <w:vAlign w:val="center"/>
          </w:tcPr>
          <w:p w14:paraId="42525ACD">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ND</w:t>
            </w:r>
          </w:p>
        </w:tc>
        <w:tc>
          <w:tcPr>
            <w:tcW w:w="665" w:type="pct"/>
            <w:noWrap/>
            <w:vAlign w:val="center"/>
          </w:tcPr>
          <w:p w14:paraId="6C724728">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ND</w:t>
            </w:r>
          </w:p>
        </w:tc>
        <w:tc>
          <w:tcPr>
            <w:tcW w:w="416" w:type="pct"/>
            <w:noWrap/>
            <w:vAlign w:val="center"/>
          </w:tcPr>
          <w:p w14:paraId="7720BDD1">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c>
          <w:tcPr>
            <w:tcW w:w="579" w:type="pct"/>
            <w:noWrap/>
            <w:vAlign w:val="center"/>
          </w:tcPr>
          <w:p w14:paraId="3E1EF788">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c>
          <w:tcPr>
            <w:tcW w:w="419" w:type="pct"/>
            <w:noWrap/>
            <w:vAlign w:val="center"/>
          </w:tcPr>
          <w:p w14:paraId="450AF8F1">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w:t>
            </w:r>
          </w:p>
        </w:tc>
        <w:tc>
          <w:tcPr>
            <w:tcW w:w="419" w:type="pct"/>
            <w:noWrap/>
            <w:vAlign w:val="center"/>
          </w:tcPr>
          <w:p w14:paraId="50FD1BE7">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w:t>
            </w:r>
          </w:p>
        </w:tc>
        <w:tc>
          <w:tcPr>
            <w:tcW w:w="419" w:type="pct"/>
            <w:noWrap/>
            <w:vAlign w:val="center"/>
          </w:tcPr>
          <w:p w14:paraId="19244B68">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达标</w:t>
            </w:r>
          </w:p>
        </w:tc>
      </w:tr>
      <w:tr w14:paraId="0B1A8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418" w:type="pct"/>
            <w:vMerge w:val="continue"/>
            <w:vAlign w:val="center"/>
          </w:tcPr>
          <w:p w14:paraId="2558FA6B">
            <w:pPr>
              <w:jc w:val="center"/>
              <w:rPr>
                <w:rFonts w:ascii="Times New Roman" w:hAnsi="Times New Roman" w:eastAsia="宋体" w:cs="Times New Roman"/>
                <w:color w:val="auto"/>
                <w:sz w:val="22"/>
                <w:szCs w:val="24"/>
              </w:rPr>
            </w:pPr>
          </w:p>
        </w:tc>
        <w:tc>
          <w:tcPr>
            <w:tcW w:w="996" w:type="pct"/>
            <w:vAlign w:val="center"/>
          </w:tcPr>
          <w:p w14:paraId="618B99F6">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1，2-二氯乙烷（mg/L）</w:t>
            </w:r>
          </w:p>
        </w:tc>
        <w:tc>
          <w:tcPr>
            <w:tcW w:w="665" w:type="pct"/>
            <w:noWrap/>
            <w:vAlign w:val="center"/>
          </w:tcPr>
          <w:p w14:paraId="439E49F5">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ND</w:t>
            </w:r>
          </w:p>
        </w:tc>
        <w:tc>
          <w:tcPr>
            <w:tcW w:w="665" w:type="pct"/>
            <w:noWrap/>
            <w:vAlign w:val="center"/>
          </w:tcPr>
          <w:p w14:paraId="2A8822CF">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ND</w:t>
            </w:r>
          </w:p>
        </w:tc>
        <w:tc>
          <w:tcPr>
            <w:tcW w:w="416" w:type="pct"/>
            <w:noWrap/>
            <w:vAlign w:val="center"/>
          </w:tcPr>
          <w:p w14:paraId="43AC1AC4">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0.03</w:t>
            </w:r>
          </w:p>
        </w:tc>
        <w:tc>
          <w:tcPr>
            <w:tcW w:w="579" w:type="pct"/>
            <w:noWrap/>
            <w:vAlign w:val="center"/>
          </w:tcPr>
          <w:p w14:paraId="3C8BBA8E">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c>
          <w:tcPr>
            <w:tcW w:w="419" w:type="pct"/>
            <w:noWrap/>
            <w:vAlign w:val="center"/>
          </w:tcPr>
          <w:p w14:paraId="57809BE5">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w:t>
            </w:r>
          </w:p>
        </w:tc>
        <w:tc>
          <w:tcPr>
            <w:tcW w:w="419" w:type="pct"/>
            <w:noWrap/>
            <w:vAlign w:val="center"/>
          </w:tcPr>
          <w:p w14:paraId="7BE996E0">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w:t>
            </w:r>
          </w:p>
        </w:tc>
        <w:tc>
          <w:tcPr>
            <w:tcW w:w="419" w:type="pct"/>
            <w:noWrap/>
            <w:vAlign w:val="center"/>
          </w:tcPr>
          <w:p w14:paraId="4B4E04CA">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达标</w:t>
            </w:r>
          </w:p>
        </w:tc>
      </w:tr>
      <w:tr w14:paraId="036B6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18" w:type="pct"/>
            <w:vMerge w:val="continue"/>
            <w:vAlign w:val="center"/>
          </w:tcPr>
          <w:p w14:paraId="13725BB2">
            <w:pPr>
              <w:jc w:val="center"/>
              <w:rPr>
                <w:rFonts w:ascii="Times New Roman" w:hAnsi="Times New Roman" w:eastAsia="宋体" w:cs="Times New Roman"/>
                <w:color w:val="auto"/>
                <w:sz w:val="22"/>
                <w:szCs w:val="24"/>
              </w:rPr>
            </w:pPr>
          </w:p>
        </w:tc>
        <w:tc>
          <w:tcPr>
            <w:tcW w:w="996" w:type="pct"/>
            <w:vAlign w:val="center"/>
          </w:tcPr>
          <w:p w14:paraId="2534762F">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乙苯（mg/L）</w:t>
            </w:r>
          </w:p>
        </w:tc>
        <w:tc>
          <w:tcPr>
            <w:tcW w:w="665" w:type="pct"/>
            <w:noWrap/>
            <w:vAlign w:val="center"/>
          </w:tcPr>
          <w:p w14:paraId="68A6BD97">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ND</w:t>
            </w:r>
          </w:p>
        </w:tc>
        <w:tc>
          <w:tcPr>
            <w:tcW w:w="665" w:type="pct"/>
            <w:noWrap/>
            <w:vAlign w:val="center"/>
          </w:tcPr>
          <w:p w14:paraId="5FC445DC">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ND</w:t>
            </w:r>
          </w:p>
        </w:tc>
        <w:tc>
          <w:tcPr>
            <w:tcW w:w="416" w:type="pct"/>
            <w:noWrap/>
            <w:vAlign w:val="center"/>
          </w:tcPr>
          <w:p w14:paraId="07B8FA5E">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0.3</w:t>
            </w:r>
          </w:p>
        </w:tc>
        <w:tc>
          <w:tcPr>
            <w:tcW w:w="579" w:type="pct"/>
            <w:noWrap/>
            <w:vAlign w:val="center"/>
          </w:tcPr>
          <w:p w14:paraId="5E699BC6">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c>
          <w:tcPr>
            <w:tcW w:w="419" w:type="pct"/>
            <w:noWrap/>
            <w:vAlign w:val="center"/>
          </w:tcPr>
          <w:p w14:paraId="1489DA8B">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w:t>
            </w:r>
          </w:p>
        </w:tc>
        <w:tc>
          <w:tcPr>
            <w:tcW w:w="419" w:type="pct"/>
            <w:noWrap/>
            <w:vAlign w:val="center"/>
          </w:tcPr>
          <w:p w14:paraId="0791B149">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w:t>
            </w:r>
          </w:p>
        </w:tc>
        <w:tc>
          <w:tcPr>
            <w:tcW w:w="419" w:type="pct"/>
            <w:noWrap/>
            <w:vAlign w:val="center"/>
          </w:tcPr>
          <w:p w14:paraId="7B4AE621">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达标</w:t>
            </w:r>
          </w:p>
        </w:tc>
      </w:tr>
      <w:tr w14:paraId="3A6F5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18" w:type="pct"/>
            <w:vMerge w:val="continue"/>
            <w:vAlign w:val="center"/>
          </w:tcPr>
          <w:p w14:paraId="4AF70E04">
            <w:pPr>
              <w:jc w:val="center"/>
              <w:rPr>
                <w:rFonts w:ascii="Times New Roman" w:hAnsi="Times New Roman" w:eastAsia="宋体" w:cs="Times New Roman"/>
                <w:color w:val="auto"/>
                <w:sz w:val="22"/>
                <w:szCs w:val="24"/>
              </w:rPr>
            </w:pPr>
          </w:p>
        </w:tc>
        <w:tc>
          <w:tcPr>
            <w:tcW w:w="996" w:type="pct"/>
            <w:vAlign w:val="center"/>
          </w:tcPr>
          <w:p w14:paraId="02E19B0E">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四氯化碳（mg/L）</w:t>
            </w:r>
          </w:p>
        </w:tc>
        <w:tc>
          <w:tcPr>
            <w:tcW w:w="665" w:type="pct"/>
            <w:noWrap/>
            <w:vAlign w:val="center"/>
          </w:tcPr>
          <w:p w14:paraId="24061545">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ND</w:t>
            </w:r>
          </w:p>
        </w:tc>
        <w:tc>
          <w:tcPr>
            <w:tcW w:w="665" w:type="pct"/>
            <w:noWrap/>
            <w:vAlign w:val="center"/>
          </w:tcPr>
          <w:p w14:paraId="186ABFDA">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ND</w:t>
            </w:r>
          </w:p>
        </w:tc>
        <w:tc>
          <w:tcPr>
            <w:tcW w:w="416" w:type="pct"/>
            <w:noWrap/>
            <w:vAlign w:val="center"/>
          </w:tcPr>
          <w:p w14:paraId="524ED91F">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0.002</w:t>
            </w:r>
          </w:p>
        </w:tc>
        <w:tc>
          <w:tcPr>
            <w:tcW w:w="579" w:type="pct"/>
            <w:noWrap/>
            <w:vAlign w:val="center"/>
          </w:tcPr>
          <w:p w14:paraId="35EC6CAE">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c>
          <w:tcPr>
            <w:tcW w:w="419" w:type="pct"/>
            <w:noWrap/>
            <w:vAlign w:val="center"/>
          </w:tcPr>
          <w:p w14:paraId="4A1210B3">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w:t>
            </w:r>
          </w:p>
        </w:tc>
        <w:tc>
          <w:tcPr>
            <w:tcW w:w="419" w:type="pct"/>
            <w:noWrap/>
            <w:vAlign w:val="center"/>
          </w:tcPr>
          <w:p w14:paraId="3217736D">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w:t>
            </w:r>
          </w:p>
        </w:tc>
        <w:tc>
          <w:tcPr>
            <w:tcW w:w="419" w:type="pct"/>
            <w:noWrap/>
            <w:vAlign w:val="center"/>
          </w:tcPr>
          <w:p w14:paraId="48B3F29D">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达标</w:t>
            </w:r>
          </w:p>
        </w:tc>
      </w:tr>
      <w:tr w14:paraId="171CC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18" w:type="pct"/>
            <w:vMerge w:val="continue"/>
            <w:vAlign w:val="center"/>
          </w:tcPr>
          <w:p w14:paraId="5D9AA263">
            <w:pPr>
              <w:jc w:val="center"/>
              <w:rPr>
                <w:rFonts w:ascii="Times New Roman" w:hAnsi="Times New Roman" w:eastAsia="宋体" w:cs="Times New Roman"/>
                <w:color w:val="auto"/>
                <w:sz w:val="22"/>
                <w:szCs w:val="24"/>
              </w:rPr>
            </w:pPr>
          </w:p>
        </w:tc>
        <w:tc>
          <w:tcPr>
            <w:tcW w:w="996" w:type="pct"/>
            <w:vAlign w:val="center"/>
          </w:tcPr>
          <w:p w14:paraId="10549173">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石油类（mg/L）</w:t>
            </w:r>
          </w:p>
        </w:tc>
        <w:tc>
          <w:tcPr>
            <w:tcW w:w="665" w:type="pct"/>
            <w:noWrap/>
            <w:vAlign w:val="center"/>
          </w:tcPr>
          <w:p w14:paraId="175CA852">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ND</w:t>
            </w:r>
          </w:p>
        </w:tc>
        <w:tc>
          <w:tcPr>
            <w:tcW w:w="665" w:type="pct"/>
            <w:noWrap/>
            <w:vAlign w:val="center"/>
          </w:tcPr>
          <w:p w14:paraId="58B20676">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ND</w:t>
            </w:r>
          </w:p>
        </w:tc>
        <w:tc>
          <w:tcPr>
            <w:tcW w:w="416" w:type="pct"/>
            <w:noWrap/>
            <w:vAlign w:val="center"/>
          </w:tcPr>
          <w:p w14:paraId="40AED14E">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0.05</w:t>
            </w:r>
          </w:p>
        </w:tc>
        <w:tc>
          <w:tcPr>
            <w:tcW w:w="579" w:type="pct"/>
            <w:noWrap/>
            <w:vAlign w:val="center"/>
          </w:tcPr>
          <w:p w14:paraId="0DA08185">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c>
          <w:tcPr>
            <w:tcW w:w="419" w:type="pct"/>
            <w:noWrap/>
            <w:vAlign w:val="center"/>
          </w:tcPr>
          <w:p w14:paraId="6195792C">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w:t>
            </w:r>
          </w:p>
        </w:tc>
        <w:tc>
          <w:tcPr>
            <w:tcW w:w="419" w:type="pct"/>
            <w:noWrap/>
            <w:vAlign w:val="center"/>
          </w:tcPr>
          <w:p w14:paraId="3E566D1E">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w:t>
            </w:r>
          </w:p>
        </w:tc>
        <w:tc>
          <w:tcPr>
            <w:tcW w:w="419" w:type="pct"/>
            <w:noWrap/>
            <w:vAlign w:val="center"/>
          </w:tcPr>
          <w:p w14:paraId="14A4F377">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达标</w:t>
            </w:r>
          </w:p>
        </w:tc>
      </w:tr>
      <w:tr w14:paraId="6A970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18" w:type="pct"/>
            <w:vMerge w:val="restart"/>
            <w:vAlign w:val="center"/>
          </w:tcPr>
          <w:p w14:paraId="472566C1">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W5：胥家湖</w:t>
            </w:r>
          </w:p>
        </w:tc>
        <w:tc>
          <w:tcPr>
            <w:tcW w:w="996" w:type="pct"/>
            <w:noWrap/>
            <w:vAlign w:val="center"/>
          </w:tcPr>
          <w:p w14:paraId="00E3D0F6">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水温（℃）</w:t>
            </w:r>
          </w:p>
        </w:tc>
        <w:tc>
          <w:tcPr>
            <w:tcW w:w="665" w:type="pct"/>
            <w:noWrap/>
            <w:vAlign w:val="center"/>
          </w:tcPr>
          <w:p w14:paraId="3ED40E7C">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17.1~18.4</w:t>
            </w:r>
          </w:p>
        </w:tc>
        <w:tc>
          <w:tcPr>
            <w:tcW w:w="665" w:type="pct"/>
            <w:noWrap/>
            <w:vAlign w:val="center"/>
          </w:tcPr>
          <w:p w14:paraId="683C8FD3">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17.57</w:t>
            </w:r>
          </w:p>
        </w:tc>
        <w:tc>
          <w:tcPr>
            <w:tcW w:w="416" w:type="pct"/>
            <w:noWrap/>
            <w:vAlign w:val="center"/>
          </w:tcPr>
          <w:p w14:paraId="766682B7">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c>
          <w:tcPr>
            <w:tcW w:w="579" w:type="pct"/>
            <w:noWrap/>
            <w:vAlign w:val="center"/>
          </w:tcPr>
          <w:p w14:paraId="55B1AA5A">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c>
          <w:tcPr>
            <w:tcW w:w="419" w:type="pct"/>
            <w:noWrap/>
            <w:vAlign w:val="center"/>
          </w:tcPr>
          <w:p w14:paraId="1BE132E9">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c>
          <w:tcPr>
            <w:tcW w:w="419" w:type="pct"/>
            <w:noWrap/>
            <w:vAlign w:val="center"/>
          </w:tcPr>
          <w:p w14:paraId="296AE3EC">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c>
          <w:tcPr>
            <w:tcW w:w="419" w:type="pct"/>
            <w:noWrap/>
            <w:vAlign w:val="center"/>
          </w:tcPr>
          <w:p w14:paraId="04B68EF5">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r>
      <w:tr w14:paraId="32D23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18" w:type="pct"/>
            <w:vMerge w:val="continue"/>
            <w:vAlign w:val="center"/>
          </w:tcPr>
          <w:p w14:paraId="3EC0976F">
            <w:pPr>
              <w:jc w:val="center"/>
              <w:rPr>
                <w:rFonts w:ascii="Times New Roman" w:hAnsi="Times New Roman" w:eastAsia="宋体" w:cs="Times New Roman"/>
                <w:color w:val="auto"/>
                <w:sz w:val="22"/>
                <w:szCs w:val="24"/>
              </w:rPr>
            </w:pPr>
          </w:p>
        </w:tc>
        <w:tc>
          <w:tcPr>
            <w:tcW w:w="996" w:type="pct"/>
            <w:noWrap/>
            <w:vAlign w:val="center"/>
          </w:tcPr>
          <w:p w14:paraId="7D7E46E6">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流量（</w:t>
            </w:r>
            <w:r>
              <w:rPr>
                <w:rFonts w:hint="eastAsia" w:ascii="Times New Roman" w:hAnsi="Times New Roman" w:eastAsia="宋体" w:cs="Times New Roman"/>
                <w:color w:val="auto"/>
                <w:sz w:val="22"/>
                <w:szCs w:val="24"/>
                <w:lang w:eastAsia="zh-CN"/>
              </w:rPr>
              <w:t>m</w:t>
            </w:r>
            <w:r>
              <w:rPr>
                <w:rFonts w:hint="eastAsia" w:ascii="Times New Roman" w:hAnsi="Times New Roman" w:eastAsia="宋体" w:cs="Times New Roman"/>
                <w:color w:val="auto"/>
                <w:sz w:val="22"/>
                <w:szCs w:val="24"/>
                <w:vertAlign w:val="superscript"/>
                <w:lang w:eastAsia="zh-CN"/>
              </w:rPr>
              <w:t>3</w:t>
            </w:r>
            <w:r>
              <w:rPr>
                <w:rFonts w:hint="eastAsia" w:ascii="Times New Roman" w:hAnsi="Times New Roman" w:eastAsia="宋体" w:cs="Times New Roman"/>
                <w:color w:val="auto"/>
                <w:sz w:val="22"/>
                <w:szCs w:val="24"/>
              </w:rPr>
              <w:t>/s）</w:t>
            </w:r>
          </w:p>
        </w:tc>
        <w:tc>
          <w:tcPr>
            <w:tcW w:w="665" w:type="pct"/>
            <w:noWrap/>
            <w:vAlign w:val="center"/>
          </w:tcPr>
          <w:p w14:paraId="7072F3FE">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c>
          <w:tcPr>
            <w:tcW w:w="665" w:type="pct"/>
            <w:noWrap/>
            <w:vAlign w:val="center"/>
          </w:tcPr>
          <w:p w14:paraId="05073CA8">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c>
          <w:tcPr>
            <w:tcW w:w="416" w:type="pct"/>
            <w:noWrap/>
            <w:vAlign w:val="center"/>
          </w:tcPr>
          <w:p w14:paraId="01AEA35F">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c>
          <w:tcPr>
            <w:tcW w:w="579" w:type="pct"/>
            <w:noWrap/>
            <w:vAlign w:val="center"/>
          </w:tcPr>
          <w:p w14:paraId="23BE18AE">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c>
          <w:tcPr>
            <w:tcW w:w="419" w:type="pct"/>
            <w:noWrap/>
            <w:vAlign w:val="center"/>
          </w:tcPr>
          <w:p w14:paraId="4EC58249">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c>
          <w:tcPr>
            <w:tcW w:w="419" w:type="pct"/>
            <w:noWrap/>
            <w:vAlign w:val="center"/>
          </w:tcPr>
          <w:p w14:paraId="0A240869">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c>
          <w:tcPr>
            <w:tcW w:w="419" w:type="pct"/>
            <w:noWrap/>
            <w:vAlign w:val="center"/>
          </w:tcPr>
          <w:p w14:paraId="2363481D">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r>
      <w:tr w14:paraId="60115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18" w:type="pct"/>
            <w:vMerge w:val="continue"/>
            <w:vAlign w:val="center"/>
          </w:tcPr>
          <w:p w14:paraId="46361C59">
            <w:pPr>
              <w:jc w:val="center"/>
              <w:rPr>
                <w:rFonts w:ascii="Times New Roman" w:hAnsi="Times New Roman" w:eastAsia="宋体" w:cs="Times New Roman"/>
                <w:color w:val="auto"/>
                <w:sz w:val="22"/>
                <w:szCs w:val="24"/>
              </w:rPr>
            </w:pPr>
          </w:p>
        </w:tc>
        <w:tc>
          <w:tcPr>
            <w:tcW w:w="996" w:type="pct"/>
            <w:noWrap/>
            <w:vAlign w:val="center"/>
          </w:tcPr>
          <w:p w14:paraId="24EA4FBC">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流速（m/s）</w:t>
            </w:r>
          </w:p>
        </w:tc>
        <w:tc>
          <w:tcPr>
            <w:tcW w:w="665" w:type="pct"/>
            <w:noWrap/>
            <w:vAlign w:val="center"/>
          </w:tcPr>
          <w:p w14:paraId="4C01AB20">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c>
          <w:tcPr>
            <w:tcW w:w="665" w:type="pct"/>
            <w:noWrap/>
            <w:vAlign w:val="center"/>
          </w:tcPr>
          <w:p w14:paraId="770EBD91">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c>
          <w:tcPr>
            <w:tcW w:w="416" w:type="pct"/>
            <w:noWrap/>
            <w:vAlign w:val="center"/>
          </w:tcPr>
          <w:p w14:paraId="0B8B66CE">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c>
          <w:tcPr>
            <w:tcW w:w="579" w:type="pct"/>
            <w:noWrap/>
            <w:vAlign w:val="center"/>
          </w:tcPr>
          <w:p w14:paraId="7DF39B83">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c>
          <w:tcPr>
            <w:tcW w:w="419" w:type="pct"/>
            <w:noWrap/>
            <w:vAlign w:val="center"/>
          </w:tcPr>
          <w:p w14:paraId="05A1F704">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c>
          <w:tcPr>
            <w:tcW w:w="419" w:type="pct"/>
            <w:noWrap/>
            <w:vAlign w:val="center"/>
          </w:tcPr>
          <w:p w14:paraId="318E02D6">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c>
          <w:tcPr>
            <w:tcW w:w="419" w:type="pct"/>
            <w:noWrap/>
            <w:vAlign w:val="center"/>
          </w:tcPr>
          <w:p w14:paraId="300F8FEE">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r>
      <w:tr w14:paraId="4A2A5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18" w:type="pct"/>
            <w:vMerge w:val="continue"/>
            <w:vAlign w:val="center"/>
          </w:tcPr>
          <w:p w14:paraId="150A0577">
            <w:pPr>
              <w:jc w:val="center"/>
              <w:rPr>
                <w:rFonts w:ascii="Times New Roman" w:hAnsi="Times New Roman" w:eastAsia="宋体" w:cs="Times New Roman"/>
                <w:color w:val="auto"/>
                <w:sz w:val="22"/>
                <w:szCs w:val="24"/>
              </w:rPr>
            </w:pPr>
          </w:p>
        </w:tc>
        <w:tc>
          <w:tcPr>
            <w:tcW w:w="996" w:type="pct"/>
            <w:noWrap/>
            <w:vAlign w:val="center"/>
          </w:tcPr>
          <w:p w14:paraId="3C8054E9">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河宽（m）</w:t>
            </w:r>
          </w:p>
        </w:tc>
        <w:tc>
          <w:tcPr>
            <w:tcW w:w="665" w:type="pct"/>
            <w:noWrap/>
            <w:vAlign w:val="center"/>
          </w:tcPr>
          <w:p w14:paraId="22464EB4">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c>
          <w:tcPr>
            <w:tcW w:w="665" w:type="pct"/>
            <w:noWrap/>
            <w:vAlign w:val="center"/>
          </w:tcPr>
          <w:p w14:paraId="7E4623FB">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c>
          <w:tcPr>
            <w:tcW w:w="416" w:type="pct"/>
            <w:noWrap/>
            <w:vAlign w:val="center"/>
          </w:tcPr>
          <w:p w14:paraId="63DF5728">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c>
          <w:tcPr>
            <w:tcW w:w="579" w:type="pct"/>
            <w:noWrap/>
            <w:vAlign w:val="center"/>
          </w:tcPr>
          <w:p w14:paraId="0A1F86DB">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c>
          <w:tcPr>
            <w:tcW w:w="419" w:type="pct"/>
            <w:noWrap/>
            <w:vAlign w:val="center"/>
          </w:tcPr>
          <w:p w14:paraId="7685338E">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c>
          <w:tcPr>
            <w:tcW w:w="419" w:type="pct"/>
            <w:noWrap/>
            <w:vAlign w:val="center"/>
          </w:tcPr>
          <w:p w14:paraId="6F17D109">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c>
          <w:tcPr>
            <w:tcW w:w="419" w:type="pct"/>
            <w:noWrap/>
            <w:vAlign w:val="center"/>
          </w:tcPr>
          <w:p w14:paraId="7FBB293F">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r>
      <w:tr w14:paraId="3458C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18" w:type="pct"/>
            <w:vMerge w:val="continue"/>
            <w:vAlign w:val="center"/>
          </w:tcPr>
          <w:p w14:paraId="54EAC577">
            <w:pPr>
              <w:jc w:val="center"/>
              <w:rPr>
                <w:rFonts w:ascii="Times New Roman" w:hAnsi="Times New Roman" w:eastAsia="宋体" w:cs="Times New Roman"/>
                <w:color w:val="auto"/>
                <w:sz w:val="22"/>
                <w:szCs w:val="24"/>
              </w:rPr>
            </w:pPr>
          </w:p>
        </w:tc>
        <w:tc>
          <w:tcPr>
            <w:tcW w:w="996" w:type="pct"/>
            <w:noWrap/>
            <w:vAlign w:val="center"/>
          </w:tcPr>
          <w:p w14:paraId="4DA63EA5">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河深（m）</w:t>
            </w:r>
          </w:p>
        </w:tc>
        <w:tc>
          <w:tcPr>
            <w:tcW w:w="665" w:type="pct"/>
            <w:noWrap/>
            <w:vAlign w:val="center"/>
          </w:tcPr>
          <w:p w14:paraId="7DBE26AA">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c>
          <w:tcPr>
            <w:tcW w:w="665" w:type="pct"/>
            <w:noWrap/>
            <w:vAlign w:val="center"/>
          </w:tcPr>
          <w:p w14:paraId="02DE4917">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c>
          <w:tcPr>
            <w:tcW w:w="416" w:type="pct"/>
            <w:noWrap/>
            <w:vAlign w:val="center"/>
          </w:tcPr>
          <w:p w14:paraId="24A69840">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c>
          <w:tcPr>
            <w:tcW w:w="579" w:type="pct"/>
            <w:noWrap/>
            <w:vAlign w:val="center"/>
          </w:tcPr>
          <w:p w14:paraId="262B9F21">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c>
          <w:tcPr>
            <w:tcW w:w="419" w:type="pct"/>
            <w:noWrap/>
            <w:vAlign w:val="center"/>
          </w:tcPr>
          <w:p w14:paraId="7284713A">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c>
          <w:tcPr>
            <w:tcW w:w="419" w:type="pct"/>
            <w:noWrap/>
            <w:vAlign w:val="center"/>
          </w:tcPr>
          <w:p w14:paraId="5DF8BFC5">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c>
          <w:tcPr>
            <w:tcW w:w="419" w:type="pct"/>
            <w:noWrap/>
            <w:vAlign w:val="center"/>
          </w:tcPr>
          <w:p w14:paraId="2AE1D297">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r>
      <w:tr w14:paraId="56FC2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18" w:type="pct"/>
            <w:vMerge w:val="continue"/>
            <w:vAlign w:val="center"/>
          </w:tcPr>
          <w:p w14:paraId="4C9E50EA">
            <w:pPr>
              <w:jc w:val="center"/>
              <w:rPr>
                <w:rFonts w:ascii="Times New Roman" w:hAnsi="Times New Roman" w:eastAsia="宋体" w:cs="Times New Roman"/>
                <w:color w:val="auto"/>
                <w:sz w:val="22"/>
                <w:szCs w:val="24"/>
              </w:rPr>
            </w:pPr>
          </w:p>
        </w:tc>
        <w:tc>
          <w:tcPr>
            <w:tcW w:w="996" w:type="pct"/>
            <w:noWrap/>
            <w:vAlign w:val="center"/>
          </w:tcPr>
          <w:p w14:paraId="7092F36D">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pH值</w:t>
            </w:r>
          </w:p>
        </w:tc>
        <w:tc>
          <w:tcPr>
            <w:tcW w:w="665" w:type="pct"/>
            <w:noWrap/>
            <w:vAlign w:val="center"/>
          </w:tcPr>
          <w:p w14:paraId="5091954E">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8.4</w:t>
            </w:r>
          </w:p>
        </w:tc>
        <w:tc>
          <w:tcPr>
            <w:tcW w:w="665" w:type="pct"/>
            <w:noWrap/>
            <w:vAlign w:val="center"/>
          </w:tcPr>
          <w:p w14:paraId="7C19C326">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8.4</w:t>
            </w:r>
          </w:p>
        </w:tc>
        <w:tc>
          <w:tcPr>
            <w:tcW w:w="416" w:type="pct"/>
            <w:noWrap/>
            <w:vAlign w:val="center"/>
          </w:tcPr>
          <w:p w14:paraId="036085A4">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6~9</w:t>
            </w:r>
          </w:p>
        </w:tc>
        <w:tc>
          <w:tcPr>
            <w:tcW w:w="579" w:type="pct"/>
            <w:noWrap/>
            <w:vAlign w:val="center"/>
          </w:tcPr>
          <w:p w14:paraId="28F3895F">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c>
          <w:tcPr>
            <w:tcW w:w="419" w:type="pct"/>
            <w:noWrap/>
            <w:vAlign w:val="center"/>
          </w:tcPr>
          <w:p w14:paraId="21E9BC1C">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w:t>
            </w:r>
          </w:p>
        </w:tc>
        <w:tc>
          <w:tcPr>
            <w:tcW w:w="419" w:type="pct"/>
            <w:noWrap/>
            <w:vAlign w:val="center"/>
          </w:tcPr>
          <w:p w14:paraId="1EE2334C">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w:t>
            </w:r>
          </w:p>
        </w:tc>
        <w:tc>
          <w:tcPr>
            <w:tcW w:w="419" w:type="pct"/>
            <w:noWrap/>
            <w:vAlign w:val="center"/>
          </w:tcPr>
          <w:p w14:paraId="66D6BC21">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达标</w:t>
            </w:r>
          </w:p>
        </w:tc>
      </w:tr>
      <w:tr w14:paraId="5958C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18" w:type="pct"/>
            <w:vMerge w:val="continue"/>
            <w:vAlign w:val="center"/>
          </w:tcPr>
          <w:p w14:paraId="23C2C84E">
            <w:pPr>
              <w:jc w:val="center"/>
              <w:rPr>
                <w:rFonts w:ascii="Times New Roman" w:hAnsi="Times New Roman" w:eastAsia="宋体" w:cs="Times New Roman"/>
                <w:color w:val="auto"/>
                <w:sz w:val="22"/>
                <w:szCs w:val="24"/>
              </w:rPr>
            </w:pPr>
          </w:p>
        </w:tc>
        <w:tc>
          <w:tcPr>
            <w:tcW w:w="996" w:type="pct"/>
            <w:noWrap/>
            <w:vAlign w:val="center"/>
          </w:tcPr>
          <w:p w14:paraId="028B2358">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溶解氧</w:t>
            </w:r>
          </w:p>
        </w:tc>
        <w:tc>
          <w:tcPr>
            <w:tcW w:w="665" w:type="pct"/>
            <w:noWrap/>
            <w:vAlign w:val="center"/>
          </w:tcPr>
          <w:p w14:paraId="2ED793A1">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5.8~6.1</w:t>
            </w:r>
          </w:p>
        </w:tc>
        <w:tc>
          <w:tcPr>
            <w:tcW w:w="665" w:type="pct"/>
            <w:noWrap/>
            <w:vAlign w:val="center"/>
          </w:tcPr>
          <w:p w14:paraId="1F4744DC">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5.95</w:t>
            </w:r>
          </w:p>
        </w:tc>
        <w:tc>
          <w:tcPr>
            <w:tcW w:w="416" w:type="pct"/>
            <w:noWrap/>
            <w:vAlign w:val="center"/>
          </w:tcPr>
          <w:p w14:paraId="0C296D56">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≥5</w:t>
            </w:r>
          </w:p>
        </w:tc>
        <w:tc>
          <w:tcPr>
            <w:tcW w:w="579" w:type="pct"/>
            <w:noWrap/>
            <w:vAlign w:val="center"/>
          </w:tcPr>
          <w:p w14:paraId="2C5445AC">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c>
          <w:tcPr>
            <w:tcW w:w="419" w:type="pct"/>
            <w:noWrap/>
            <w:vAlign w:val="center"/>
          </w:tcPr>
          <w:p w14:paraId="3801B1A0">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w:t>
            </w:r>
          </w:p>
        </w:tc>
        <w:tc>
          <w:tcPr>
            <w:tcW w:w="419" w:type="pct"/>
            <w:noWrap/>
            <w:vAlign w:val="center"/>
          </w:tcPr>
          <w:p w14:paraId="34080E4F">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w:t>
            </w:r>
          </w:p>
        </w:tc>
        <w:tc>
          <w:tcPr>
            <w:tcW w:w="419" w:type="pct"/>
            <w:noWrap/>
            <w:vAlign w:val="center"/>
          </w:tcPr>
          <w:p w14:paraId="3419B59B">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达标</w:t>
            </w:r>
          </w:p>
        </w:tc>
      </w:tr>
      <w:tr w14:paraId="60E1D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18" w:type="pct"/>
            <w:vMerge w:val="continue"/>
            <w:vAlign w:val="center"/>
          </w:tcPr>
          <w:p w14:paraId="3E71D5F0">
            <w:pPr>
              <w:jc w:val="center"/>
              <w:rPr>
                <w:rFonts w:ascii="Times New Roman" w:hAnsi="Times New Roman" w:eastAsia="宋体" w:cs="Times New Roman"/>
                <w:color w:val="auto"/>
                <w:sz w:val="22"/>
                <w:szCs w:val="24"/>
              </w:rPr>
            </w:pPr>
          </w:p>
        </w:tc>
        <w:tc>
          <w:tcPr>
            <w:tcW w:w="996" w:type="pct"/>
            <w:noWrap/>
            <w:vAlign w:val="center"/>
          </w:tcPr>
          <w:p w14:paraId="30291E79">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BOD5</w:t>
            </w:r>
          </w:p>
        </w:tc>
        <w:tc>
          <w:tcPr>
            <w:tcW w:w="665" w:type="pct"/>
            <w:noWrap/>
            <w:vAlign w:val="center"/>
          </w:tcPr>
          <w:p w14:paraId="3482C9F8">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1.7</w:t>
            </w:r>
          </w:p>
        </w:tc>
        <w:tc>
          <w:tcPr>
            <w:tcW w:w="665" w:type="pct"/>
            <w:noWrap/>
            <w:vAlign w:val="center"/>
          </w:tcPr>
          <w:p w14:paraId="188B09E9">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1.7</w:t>
            </w:r>
          </w:p>
        </w:tc>
        <w:tc>
          <w:tcPr>
            <w:tcW w:w="416" w:type="pct"/>
            <w:noWrap/>
            <w:vAlign w:val="center"/>
          </w:tcPr>
          <w:p w14:paraId="2907E8D1">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4</w:t>
            </w:r>
          </w:p>
        </w:tc>
        <w:tc>
          <w:tcPr>
            <w:tcW w:w="579" w:type="pct"/>
            <w:noWrap/>
            <w:vAlign w:val="center"/>
          </w:tcPr>
          <w:p w14:paraId="2F7B641B">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0.425</w:t>
            </w:r>
          </w:p>
        </w:tc>
        <w:tc>
          <w:tcPr>
            <w:tcW w:w="419" w:type="pct"/>
            <w:noWrap/>
            <w:vAlign w:val="center"/>
          </w:tcPr>
          <w:p w14:paraId="2BBC32E8">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w:t>
            </w:r>
          </w:p>
        </w:tc>
        <w:tc>
          <w:tcPr>
            <w:tcW w:w="419" w:type="pct"/>
            <w:noWrap/>
            <w:vAlign w:val="center"/>
          </w:tcPr>
          <w:p w14:paraId="6DF9B29D">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w:t>
            </w:r>
          </w:p>
        </w:tc>
        <w:tc>
          <w:tcPr>
            <w:tcW w:w="419" w:type="pct"/>
            <w:noWrap/>
            <w:vAlign w:val="center"/>
          </w:tcPr>
          <w:p w14:paraId="1F46240D">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达标</w:t>
            </w:r>
          </w:p>
        </w:tc>
      </w:tr>
      <w:tr w14:paraId="307D1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18" w:type="pct"/>
            <w:vMerge w:val="continue"/>
            <w:vAlign w:val="center"/>
          </w:tcPr>
          <w:p w14:paraId="536851E2">
            <w:pPr>
              <w:jc w:val="center"/>
              <w:rPr>
                <w:rFonts w:ascii="Times New Roman" w:hAnsi="Times New Roman" w:eastAsia="宋体" w:cs="Times New Roman"/>
                <w:color w:val="auto"/>
                <w:sz w:val="22"/>
                <w:szCs w:val="24"/>
              </w:rPr>
            </w:pPr>
          </w:p>
        </w:tc>
        <w:tc>
          <w:tcPr>
            <w:tcW w:w="996" w:type="pct"/>
            <w:noWrap/>
            <w:vAlign w:val="center"/>
          </w:tcPr>
          <w:p w14:paraId="641A1FFE">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COD</w:t>
            </w:r>
          </w:p>
        </w:tc>
        <w:tc>
          <w:tcPr>
            <w:tcW w:w="665" w:type="pct"/>
            <w:noWrap/>
            <w:vAlign w:val="center"/>
          </w:tcPr>
          <w:p w14:paraId="594A4BC2">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18</w:t>
            </w:r>
          </w:p>
        </w:tc>
        <w:tc>
          <w:tcPr>
            <w:tcW w:w="665" w:type="pct"/>
            <w:noWrap/>
            <w:vAlign w:val="center"/>
          </w:tcPr>
          <w:p w14:paraId="12492E51">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18</w:t>
            </w:r>
          </w:p>
        </w:tc>
        <w:tc>
          <w:tcPr>
            <w:tcW w:w="416" w:type="pct"/>
            <w:noWrap/>
            <w:vAlign w:val="center"/>
          </w:tcPr>
          <w:p w14:paraId="1C828EED">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20</w:t>
            </w:r>
          </w:p>
        </w:tc>
        <w:tc>
          <w:tcPr>
            <w:tcW w:w="579" w:type="pct"/>
            <w:noWrap/>
            <w:vAlign w:val="center"/>
          </w:tcPr>
          <w:p w14:paraId="57B1E819">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0.9</w:t>
            </w:r>
          </w:p>
        </w:tc>
        <w:tc>
          <w:tcPr>
            <w:tcW w:w="419" w:type="pct"/>
            <w:noWrap/>
            <w:vAlign w:val="center"/>
          </w:tcPr>
          <w:p w14:paraId="5F21E44B">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w:t>
            </w:r>
          </w:p>
        </w:tc>
        <w:tc>
          <w:tcPr>
            <w:tcW w:w="419" w:type="pct"/>
            <w:noWrap/>
            <w:vAlign w:val="center"/>
          </w:tcPr>
          <w:p w14:paraId="323FE996">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w:t>
            </w:r>
          </w:p>
        </w:tc>
        <w:tc>
          <w:tcPr>
            <w:tcW w:w="419" w:type="pct"/>
            <w:noWrap/>
            <w:vAlign w:val="center"/>
          </w:tcPr>
          <w:p w14:paraId="58F0FF40">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达标</w:t>
            </w:r>
          </w:p>
        </w:tc>
      </w:tr>
      <w:tr w14:paraId="6D418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18" w:type="pct"/>
            <w:vMerge w:val="continue"/>
            <w:vAlign w:val="center"/>
          </w:tcPr>
          <w:p w14:paraId="4A41BEF9">
            <w:pPr>
              <w:jc w:val="center"/>
              <w:rPr>
                <w:rFonts w:ascii="Times New Roman" w:hAnsi="Times New Roman" w:eastAsia="宋体" w:cs="Times New Roman"/>
                <w:color w:val="auto"/>
                <w:sz w:val="22"/>
                <w:szCs w:val="24"/>
              </w:rPr>
            </w:pPr>
          </w:p>
        </w:tc>
        <w:tc>
          <w:tcPr>
            <w:tcW w:w="996" w:type="pct"/>
            <w:noWrap/>
            <w:vAlign w:val="center"/>
          </w:tcPr>
          <w:p w14:paraId="57484247">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硫化物</w:t>
            </w:r>
          </w:p>
        </w:tc>
        <w:tc>
          <w:tcPr>
            <w:tcW w:w="665" w:type="pct"/>
            <w:noWrap/>
            <w:vAlign w:val="center"/>
          </w:tcPr>
          <w:p w14:paraId="0A23863F">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0.01</w:t>
            </w:r>
          </w:p>
        </w:tc>
        <w:tc>
          <w:tcPr>
            <w:tcW w:w="665" w:type="pct"/>
            <w:noWrap/>
            <w:vAlign w:val="center"/>
          </w:tcPr>
          <w:p w14:paraId="0FE1DA4F">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0.01</w:t>
            </w:r>
          </w:p>
        </w:tc>
        <w:tc>
          <w:tcPr>
            <w:tcW w:w="416" w:type="pct"/>
            <w:noWrap/>
            <w:vAlign w:val="center"/>
          </w:tcPr>
          <w:p w14:paraId="6680BDBF">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0.2</w:t>
            </w:r>
          </w:p>
        </w:tc>
        <w:tc>
          <w:tcPr>
            <w:tcW w:w="579" w:type="pct"/>
            <w:noWrap/>
            <w:vAlign w:val="center"/>
          </w:tcPr>
          <w:p w14:paraId="73FC394D">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0.05</w:t>
            </w:r>
          </w:p>
        </w:tc>
        <w:tc>
          <w:tcPr>
            <w:tcW w:w="419" w:type="pct"/>
            <w:noWrap/>
            <w:vAlign w:val="center"/>
          </w:tcPr>
          <w:p w14:paraId="2E2F34E9">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w:t>
            </w:r>
          </w:p>
        </w:tc>
        <w:tc>
          <w:tcPr>
            <w:tcW w:w="419" w:type="pct"/>
            <w:noWrap/>
            <w:vAlign w:val="center"/>
          </w:tcPr>
          <w:p w14:paraId="640DA4E3">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w:t>
            </w:r>
          </w:p>
        </w:tc>
        <w:tc>
          <w:tcPr>
            <w:tcW w:w="419" w:type="pct"/>
            <w:noWrap/>
            <w:vAlign w:val="center"/>
          </w:tcPr>
          <w:p w14:paraId="7A7B74EC">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达标</w:t>
            </w:r>
          </w:p>
        </w:tc>
      </w:tr>
      <w:tr w14:paraId="2268D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18" w:type="pct"/>
            <w:vMerge w:val="continue"/>
            <w:vAlign w:val="center"/>
          </w:tcPr>
          <w:p w14:paraId="05F75C5E">
            <w:pPr>
              <w:jc w:val="center"/>
              <w:rPr>
                <w:rFonts w:ascii="Times New Roman" w:hAnsi="Times New Roman" w:eastAsia="宋体" w:cs="Times New Roman"/>
                <w:color w:val="auto"/>
                <w:sz w:val="22"/>
                <w:szCs w:val="24"/>
              </w:rPr>
            </w:pPr>
          </w:p>
        </w:tc>
        <w:tc>
          <w:tcPr>
            <w:tcW w:w="996" w:type="pct"/>
            <w:noWrap/>
            <w:vAlign w:val="center"/>
          </w:tcPr>
          <w:p w14:paraId="7D9F3E2A">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氨氮（以N计）</w:t>
            </w:r>
          </w:p>
        </w:tc>
        <w:tc>
          <w:tcPr>
            <w:tcW w:w="665" w:type="pct"/>
            <w:noWrap/>
            <w:vAlign w:val="center"/>
          </w:tcPr>
          <w:p w14:paraId="6120BE0D">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0.318</w:t>
            </w:r>
          </w:p>
        </w:tc>
        <w:tc>
          <w:tcPr>
            <w:tcW w:w="665" w:type="pct"/>
            <w:noWrap/>
            <w:vAlign w:val="center"/>
          </w:tcPr>
          <w:p w14:paraId="4027EF09">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0.318</w:t>
            </w:r>
          </w:p>
        </w:tc>
        <w:tc>
          <w:tcPr>
            <w:tcW w:w="416" w:type="pct"/>
            <w:noWrap/>
            <w:vAlign w:val="center"/>
          </w:tcPr>
          <w:p w14:paraId="5709FED7">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1</w:t>
            </w:r>
          </w:p>
        </w:tc>
        <w:tc>
          <w:tcPr>
            <w:tcW w:w="579" w:type="pct"/>
            <w:noWrap/>
            <w:vAlign w:val="center"/>
          </w:tcPr>
          <w:p w14:paraId="35825E64">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0.318</w:t>
            </w:r>
          </w:p>
        </w:tc>
        <w:tc>
          <w:tcPr>
            <w:tcW w:w="419" w:type="pct"/>
            <w:noWrap/>
            <w:vAlign w:val="center"/>
          </w:tcPr>
          <w:p w14:paraId="656BE576">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w:t>
            </w:r>
          </w:p>
        </w:tc>
        <w:tc>
          <w:tcPr>
            <w:tcW w:w="419" w:type="pct"/>
            <w:noWrap/>
            <w:vAlign w:val="center"/>
          </w:tcPr>
          <w:p w14:paraId="774ED67A">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w:t>
            </w:r>
          </w:p>
        </w:tc>
        <w:tc>
          <w:tcPr>
            <w:tcW w:w="419" w:type="pct"/>
            <w:noWrap/>
            <w:vAlign w:val="center"/>
          </w:tcPr>
          <w:p w14:paraId="2686F4C4">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达标</w:t>
            </w:r>
          </w:p>
        </w:tc>
      </w:tr>
      <w:tr w14:paraId="37846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18" w:type="pct"/>
            <w:vMerge w:val="continue"/>
            <w:vAlign w:val="center"/>
          </w:tcPr>
          <w:p w14:paraId="2A7951BE">
            <w:pPr>
              <w:jc w:val="center"/>
              <w:rPr>
                <w:rFonts w:ascii="Times New Roman" w:hAnsi="Times New Roman" w:eastAsia="宋体" w:cs="Times New Roman"/>
                <w:color w:val="auto"/>
                <w:sz w:val="22"/>
                <w:szCs w:val="24"/>
              </w:rPr>
            </w:pPr>
          </w:p>
        </w:tc>
        <w:tc>
          <w:tcPr>
            <w:tcW w:w="996" w:type="pct"/>
            <w:noWrap/>
            <w:vAlign w:val="center"/>
          </w:tcPr>
          <w:p w14:paraId="0B419FF2">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总磷（以N计）</w:t>
            </w:r>
          </w:p>
        </w:tc>
        <w:tc>
          <w:tcPr>
            <w:tcW w:w="665" w:type="pct"/>
            <w:noWrap/>
            <w:vAlign w:val="center"/>
          </w:tcPr>
          <w:p w14:paraId="6FA1CA0C">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0.11</w:t>
            </w:r>
          </w:p>
        </w:tc>
        <w:tc>
          <w:tcPr>
            <w:tcW w:w="665" w:type="pct"/>
            <w:noWrap/>
            <w:vAlign w:val="center"/>
          </w:tcPr>
          <w:p w14:paraId="2CD124F9">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0.11</w:t>
            </w:r>
          </w:p>
        </w:tc>
        <w:tc>
          <w:tcPr>
            <w:tcW w:w="416" w:type="pct"/>
            <w:noWrap/>
            <w:vAlign w:val="center"/>
          </w:tcPr>
          <w:p w14:paraId="6E842C9C">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0.05</w:t>
            </w:r>
          </w:p>
        </w:tc>
        <w:tc>
          <w:tcPr>
            <w:tcW w:w="579" w:type="pct"/>
            <w:noWrap/>
            <w:vAlign w:val="center"/>
          </w:tcPr>
          <w:p w14:paraId="5FB059CD">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2.2</w:t>
            </w:r>
          </w:p>
        </w:tc>
        <w:tc>
          <w:tcPr>
            <w:tcW w:w="419" w:type="pct"/>
            <w:noWrap/>
            <w:vAlign w:val="center"/>
          </w:tcPr>
          <w:p w14:paraId="0B71F481">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100</w:t>
            </w:r>
          </w:p>
        </w:tc>
        <w:tc>
          <w:tcPr>
            <w:tcW w:w="419" w:type="pct"/>
            <w:noWrap/>
            <w:vAlign w:val="center"/>
          </w:tcPr>
          <w:p w14:paraId="2DBDA2F9">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1.2</w:t>
            </w:r>
          </w:p>
        </w:tc>
        <w:tc>
          <w:tcPr>
            <w:tcW w:w="419" w:type="pct"/>
            <w:noWrap/>
            <w:vAlign w:val="center"/>
          </w:tcPr>
          <w:p w14:paraId="5F220771">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不达标</w:t>
            </w:r>
          </w:p>
        </w:tc>
      </w:tr>
      <w:tr w14:paraId="3CC38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18" w:type="pct"/>
            <w:vMerge w:val="continue"/>
            <w:vAlign w:val="center"/>
          </w:tcPr>
          <w:p w14:paraId="6CF767F3">
            <w:pPr>
              <w:jc w:val="center"/>
              <w:rPr>
                <w:rFonts w:ascii="Times New Roman" w:hAnsi="Times New Roman" w:eastAsia="宋体" w:cs="Times New Roman"/>
                <w:color w:val="auto"/>
                <w:sz w:val="22"/>
                <w:szCs w:val="24"/>
              </w:rPr>
            </w:pPr>
          </w:p>
        </w:tc>
        <w:tc>
          <w:tcPr>
            <w:tcW w:w="996" w:type="pct"/>
            <w:noWrap/>
            <w:vAlign w:val="center"/>
          </w:tcPr>
          <w:p w14:paraId="6A5BD999">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氟化物（以F-计）</w:t>
            </w:r>
          </w:p>
        </w:tc>
        <w:tc>
          <w:tcPr>
            <w:tcW w:w="665" w:type="pct"/>
            <w:noWrap/>
            <w:vAlign w:val="center"/>
          </w:tcPr>
          <w:p w14:paraId="60B7BA64">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0.378</w:t>
            </w:r>
          </w:p>
        </w:tc>
        <w:tc>
          <w:tcPr>
            <w:tcW w:w="665" w:type="pct"/>
            <w:noWrap/>
            <w:vAlign w:val="center"/>
          </w:tcPr>
          <w:p w14:paraId="0376792E">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0.378</w:t>
            </w:r>
          </w:p>
        </w:tc>
        <w:tc>
          <w:tcPr>
            <w:tcW w:w="416" w:type="pct"/>
            <w:noWrap/>
            <w:vAlign w:val="center"/>
          </w:tcPr>
          <w:p w14:paraId="73138DEF">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1</w:t>
            </w:r>
          </w:p>
        </w:tc>
        <w:tc>
          <w:tcPr>
            <w:tcW w:w="579" w:type="pct"/>
            <w:noWrap/>
            <w:vAlign w:val="center"/>
          </w:tcPr>
          <w:p w14:paraId="5038FAD1">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0.378</w:t>
            </w:r>
          </w:p>
        </w:tc>
        <w:tc>
          <w:tcPr>
            <w:tcW w:w="419" w:type="pct"/>
            <w:noWrap/>
            <w:vAlign w:val="center"/>
          </w:tcPr>
          <w:p w14:paraId="34FAFA78">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w:t>
            </w:r>
          </w:p>
        </w:tc>
        <w:tc>
          <w:tcPr>
            <w:tcW w:w="419" w:type="pct"/>
            <w:noWrap/>
            <w:vAlign w:val="center"/>
          </w:tcPr>
          <w:p w14:paraId="1B679F91">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w:t>
            </w:r>
          </w:p>
        </w:tc>
        <w:tc>
          <w:tcPr>
            <w:tcW w:w="419" w:type="pct"/>
            <w:noWrap/>
            <w:vAlign w:val="center"/>
          </w:tcPr>
          <w:p w14:paraId="71614C93">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达标</w:t>
            </w:r>
          </w:p>
        </w:tc>
      </w:tr>
      <w:tr w14:paraId="01FE2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18" w:type="pct"/>
            <w:vMerge w:val="continue"/>
            <w:vAlign w:val="center"/>
          </w:tcPr>
          <w:p w14:paraId="3432537B">
            <w:pPr>
              <w:jc w:val="center"/>
              <w:rPr>
                <w:rFonts w:ascii="Times New Roman" w:hAnsi="Times New Roman" w:eastAsia="宋体" w:cs="Times New Roman"/>
                <w:color w:val="auto"/>
                <w:sz w:val="22"/>
                <w:szCs w:val="24"/>
              </w:rPr>
            </w:pPr>
          </w:p>
        </w:tc>
        <w:tc>
          <w:tcPr>
            <w:tcW w:w="996" w:type="pct"/>
            <w:noWrap/>
            <w:vAlign w:val="center"/>
          </w:tcPr>
          <w:p w14:paraId="09B95394">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铬（六价）</w:t>
            </w:r>
          </w:p>
        </w:tc>
        <w:tc>
          <w:tcPr>
            <w:tcW w:w="665" w:type="pct"/>
            <w:noWrap/>
            <w:vAlign w:val="center"/>
          </w:tcPr>
          <w:p w14:paraId="25C80998">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0.009</w:t>
            </w:r>
          </w:p>
        </w:tc>
        <w:tc>
          <w:tcPr>
            <w:tcW w:w="665" w:type="pct"/>
            <w:noWrap/>
            <w:vAlign w:val="center"/>
          </w:tcPr>
          <w:p w14:paraId="0624C1DF">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0.009</w:t>
            </w:r>
          </w:p>
        </w:tc>
        <w:tc>
          <w:tcPr>
            <w:tcW w:w="416" w:type="pct"/>
            <w:noWrap/>
            <w:vAlign w:val="center"/>
          </w:tcPr>
          <w:p w14:paraId="4B2E3D96">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0.05</w:t>
            </w:r>
          </w:p>
        </w:tc>
        <w:tc>
          <w:tcPr>
            <w:tcW w:w="579" w:type="pct"/>
            <w:noWrap/>
            <w:vAlign w:val="center"/>
          </w:tcPr>
          <w:p w14:paraId="47FD7876">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0.18</w:t>
            </w:r>
          </w:p>
        </w:tc>
        <w:tc>
          <w:tcPr>
            <w:tcW w:w="419" w:type="pct"/>
            <w:noWrap/>
            <w:vAlign w:val="center"/>
          </w:tcPr>
          <w:p w14:paraId="62031FF5">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w:t>
            </w:r>
          </w:p>
        </w:tc>
        <w:tc>
          <w:tcPr>
            <w:tcW w:w="419" w:type="pct"/>
            <w:noWrap/>
            <w:vAlign w:val="center"/>
          </w:tcPr>
          <w:p w14:paraId="2CEDD2B8">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w:t>
            </w:r>
          </w:p>
        </w:tc>
        <w:tc>
          <w:tcPr>
            <w:tcW w:w="419" w:type="pct"/>
            <w:noWrap/>
            <w:vAlign w:val="center"/>
          </w:tcPr>
          <w:p w14:paraId="3AB9B915">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达标</w:t>
            </w:r>
          </w:p>
        </w:tc>
      </w:tr>
      <w:tr w14:paraId="08A2D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18" w:type="pct"/>
            <w:vMerge w:val="continue"/>
            <w:vAlign w:val="center"/>
          </w:tcPr>
          <w:p w14:paraId="0DE26BC8">
            <w:pPr>
              <w:jc w:val="center"/>
              <w:rPr>
                <w:rFonts w:ascii="Times New Roman" w:hAnsi="Times New Roman" w:eastAsia="宋体" w:cs="Times New Roman"/>
                <w:color w:val="auto"/>
                <w:sz w:val="22"/>
                <w:szCs w:val="24"/>
              </w:rPr>
            </w:pPr>
          </w:p>
        </w:tc>
        <w:tc>
          <w:tcPr>
            <w:tcW w:w="996" w:type="pct"/>
            <w:noWrap/>
            <w:vAlign w:val="center"/>
          </w:tcPr>
          <w:p w14:paraId="424D8B82">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氰化物</w:t>
            </w:r>
          </w:p>
        </w:tc>
        <w:tc>
          <w:tcPr>
            <w:tcW w:w="665" w:type="pct"/>
            <w:noWrap/>
            <w:vAlign w:val="center"/>
          </w:tcPr>
          <w:p w14:paraId="33EDDF61">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0.004</w:t>
            </w:r>
          </w:p>
        </w:tc>
        <w:tc>
          <w:tcPr>
            <w:tcW w:w="665" w:type="pct"/>
            <w:noWrap/>
            <w:vAlign w:val="center"/>
          </w:tcPr>
          <w:p w14:paraId="479F6E52">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0.004</w:t>
            </w:r>
          </w:p>
        </w:tc>
        <w:tc>
          <w:tcPr>
            <w:tcW w:w="416" w:type="pct"/>
            <w:noWrap/>
            <w:vAlign w:val="center"/>
          </w:tcPr>
          <w:p w14:paraId="4A5810B6">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0.2</w:t>
            </w:r>
          </w:p>
        </w:tc>
        <w:tc>
          <w:tcPr>
            <w:tcW w:w="579" w:type="pct"/>
            <w:noWrap/>
            <w:vAlign w:val="center"/>
          </w:tcPr>
          <w:p w14:paraId="2F85F68D">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0.02</w:t>
            </w:r>
          </w:p>
        </w:tc>
        <w:tc>
          <w:tcPr>
            <w:tcW w:w="419" w:type="pct"/>
            <w:noWrap/>
            <w:vAlign w:val="center"/>
          </w:tcPr>
          <w:p w14:paraId="4150504C">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w:t>
            </w:r>
          </w:p>
        </w:tc>
        <w:tc>
          <w:tcPr>
            <w:tcW w:w="419" w:type="pct"/>
            <w:noWrap/>
            <w:vAlign w:val="center"/>
          </w:tcPr>
          <w:p w14:paraId="41253B9E">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w:t>
            </w:r>
          </w:p>
        </w:tc>
        <w:tc>
          <w:tcPr>
            <w:tcW w:w="419" w:type="pct"/>
            <w:noWrap/>
            <w:vAlign w:val="center"/>
          </w:tcPr>
          <w:p w14:paraId="4C6CE53A">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达标</w:t>
            </w:r>
          </w:p>
        </w:tc>
      </w:tr>
      <w:tr w14:paraId="7E0F4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18" w:type="pct"/>
            <w:vMerge w:val="continue"/>
            <w:vAlign w:val="center"/>
          </w:tcPr>
          <w:p w14:paraId="69400696">
            <w:pPr>
              <w:jc w:val="center"/>
              <w:rPr>
                <w:rFonts w:ascii="Times New Roman" w:hAnsi="Times New Roman" w:eastAsia="宋体" w:cs="Times New Roman"/>
                <w:color w:val="auto"/>
                <w:sz w:val="22"/>
                <w:szCs w:val="24"/>
              </w:rPr>
            </w:pPr>
          </w:p>
        </w:tc>
        <w:tc>
          <w:tcPr>
            <w:tcW w:w="996" w:type="pct"/>
            <w:noWrap/>
            <w:vAlign w:val="center"/>
          </w:tcPr>
          <w:p w14:paraId="584994C3">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挥发性酚类（以苯酚计）</w:t>
            </w:r>
          </w:p>
        </w:tc>
        <w:tc>
          <w:tcPr>
            <w:tcW w:w="665" w:type="pct"/>
            <w:noWrap/>
            <w:vAlign w:val="center"/>
          </w:tcPr>
          <w:p w14:paraId="19DCE8BD">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0.0003</w:t>
            </w:r>
          </w:p>
        </w:tc>
        <w:tc>
          <w:tcPr>
            <w:tcW w:w="665" w:type="pct"/>
            <w:noWrap/>
            <w:vAlign w:val="center"/>
          </w:tcPr>
          <w:p w14:paraId="4AD963B7">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0.0003</w:t>
            </w:r>
          </w:p>
        </w:tc>
        <w:tc>
          <w:tcPr>
            <w:tcW w:w="416" w:type="pct"/>
            <w:noWrap/>
            <w:vAlign w:val="center"/>
          </w:tcPr>
          <w:p w14:paraId="10D34125">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0.005</w:t>
            </w:r>
          </w:p>
        </w:tc>
        <w:tc>
          <w:tcPr>
            <w:tcW w:w="579" w:type="pct"/>
            <w:noWrap/>
            <w:vAlign w:val="center"/>
          </w:tcPr>
          <w:p w14:paraId="1376DDDE">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0.06</w:t>
            </w:r>
          </w:p>
        </w:tc>
        <w:tc>
          <w:tcPr>
            <w:tcW w:w="419" w:type="pct"/>
            <w:noWrap/>
            <w:vAlign w:val="center"/>
          </w:tcPr>
          <w:p w14:paraId="522A54AE">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w:t>
            </w:r>
          </w:p>
        </w:tc>
        <w:tc>
          <w:tcPr>
            <w:tcW w:w="419" w:type="pct"/>
            <w:noWrap/>
            <w:vAlign w:val="center"/>
          </w:tcPr>
          <w:p w14:paraId="3CFF788B">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w:t>
            </w:r>
          </w:p>
        </w:tc>
        <w:tc>
          <w:tcPr>
            <w:tcW w:w="419" w:type="pct"/>
            <w:noWrap/>
            <w:vAlign w:val="center"/>
          </w:tcPr>
          <w:p w14:paraId="2FC04477">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达标</w:t>
            </w:r>
          </w:p>
        </w:tc>
      </w:tr>
      <w:tr w14:paraId="4140C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18" w:type="pct"/>
            <w:vMerge w:val="continue"/>
            <w:vAlign w:val="center"/>
          </w:tcPr>
          <w:p w14:paraId="2B02ED22">
            <w:pPr>
              <w:jc w:val="center"/>
              <w:rPr>
                <w:rFonts w:ascii="Times New Roman" w:hAnsi="Times New Roman" w:eastAsia="宋体" w:cs="Times New Roman"/>
                <w:color w:val="auto"/>
                <w:sz w:val="22"/>
                <w:szCs w:val="24"/>
              </w:rPr>
            </w:pPr>
          </w:p>
        </w:tc>
        <w:tc>
          <w:tcPr>
            <w:tcW w:w="996" w:type="pct"/>
            <w:noWrap/>
            <w:vAlign w:val="center"/>
          </w:tcPr>
          <w:p w14:paraId="2A4FF636">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铜</w:t>
            </w:r>
          </w:p>
        </w:tc>
        <w:tc>
          <w:tcPr>
            <w:tcW w:w="665" w:type="pct"/>
            <w:noWrap/>
            <w:vAlign w:val="center"/>
          </w:tcPr>
          <w:p w14:paraId="58A54CAF">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0.01</w:t>
            </w:r>
          </w:p>
        </w:tc>
        <w:tc>
          <w:tcPr>
            <w:tcW w:w="665" w:type="pct"/>
            <w:noWrap/>
            <w:vAlign w:val="center"/>
          </w:tcPr>
          <w:p w14:paraId="587BB1F6">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0.01</w:t>
            </w:r>
          </w:p>
        </w:tc>
        <w:tc>
          <w:tcPr>
            <w:tcW w:w="416" w:type="pct"/>
            <w:noWrap/>
            <w:vAlign w:val="center"/>
          </w:tcPr>
          <w:p w14:paraId="1C6702C9">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1</w:t>
            </w:r>
          </w:p>
        </w:tc>
        <w:tc>
          <w:tcPr>
            <w:tcW w:w="579" w:type="pct"/>
            <w:noWrap/>
            <w:vAlign w:val="center"/>
          </w:tcPr>
          <w:p w14:paraId="36E29962">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0.01</w:t>
            </w:r>
          </w:p>
        </w:tc>
        <w:tc>
          <w:tcPr>
            <w:tcW w:w="419" w:type="pct"/>
            <w:noWrap/>
            <w:vAlign w:val="center"/>
          </w:tcPr>
          <w:p w14:paraId="2E231F91">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w:t>
            </w:r>
          </w:p>
        </w:tc>
        <w:tc>
          <w:tcPr>
            <w:tcW w:w="419" w:type="pct"/>
            <w:noWrap/>
            <w:vAlign w:val="center"/>
          </w:tcPr>
          <w:p w14:paraId="147EC4C9">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w:t>
            </w:r>
          </w:p>
        </w:tc>
        <w:tc>
          <w:tcPr>
            <w:tcW w:w="419" w:type="pct"/>
            <w:noWrap/>
            <w:vAlign w:val="center"/>
          </w:tcPr>
          <w:p w14:paraId="5E5014F4">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达标</w:t>
            </w:r>
          </w:p>
        </w:tc>
      </w:tr>
      <w:tr w14:paraId="789C3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18" w:type="pct"/>
            <w:vMerge w:val="continue"/>
            <w:vAlign w:val="center"/>
          </w:tcPr>
          <w:p w14:paraId="6E4C3E7C">
            <w:pPr>
              <w:jc w:val="center"/>
              <w:rPr>
                <w:rFonts w:ascii="Times New Roman" w:hAnsi="Times New Roman" w:eastAsia="宋体" w:cs="Times New Roman"/>
                <w:color w:val="auto"/>
                <w:sz w:val="22"/>
                <w:szCs w:val="24"/>
              </w:rPr>
            </w:pPr>
          </w:p>
        </w:tc>
        <w:tc>
          <w:tcPr>
            <w:tcW w:w="996" w:type="pct"/>
            <w:noWrap/>
            <w:vAlign w:val="center"/>
          </w:tcPr>
          <w:p w14:paraId="7E060B36">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锌</w:t>
            </w:r>
          </w:p>
        </w:tc>
        <w:tc>
          <w:tcPr>
            <w:tcW w:w="665" w:type="pct"/>
            <w:noWrap/>
            <w:vAlign w:val="center"/>
          </w:tcPr>
          <w:p w14:paraId="48E913AC">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0.01</w:t>
            </w:r>
          </w:p>
        </w:tc>
        <w:tc>
          <w:tcPr>
            <w:tcW w:w="665" w:type="pct"/>
            <w:noWrap/>
            <w:vAlign w:val="center"/>
          </w:tcPr>
          <w:p w14:paraId="30A48D78">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0.01</w:t>
            </w:r>
          </w:p>
        </w:tc>
        <w:tc>
          <w:tcPr>
            <w:tcW w:w="416" w:type="pct"/>
            <w:noWrap/>
            <w:vAlign w:val="center"/>
          </w:tcPr>
          <w:p w14:paraId="33D40238">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1</w:t>
            </w:r>
          </w:p>
        </w:tc>
        <w:tc>
          <w:tcPr>
            <w:tcW w:w="579" w:type="pct"/>
            <w:noWrap/>
            <w:vAlign w:val="center"/>
          </w:tcPr>
          <w:p w14:paraId="6765FF13">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0.01</w:t>
            </w:r>
          </w:p>
        </w:tc>
        <w:tc>
          <w:tcPr>
            <w:tcW w:w="419" w:type="pct"/>
            <w:noWrap/>
            <w:vAlign w:val="center"/>
          </w:tcPr>
          <w:p w14:paraId="4EF768D9">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w:t>
            </w:r>
          </w:p>
        </w:tc>
        <w:tc>
          <w:tcPr>
            <w:tcW w:w="419" w:type="pct"/>
            <w:noWrap/>
            <w:vAlign w:val="center"/>
          </w:tcPr>
          <w:p w14:paraId="047E2AB9">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w:t>
            </w:r>
          </w:p>
        </w:tc>
        <w:tc>
          <w:tcPr>
            <w:tcW w:w="419" w:type="pct"/>
            <w:noWrap/>
            <w:vAlign w:val="center"/>
          </w:tcPr>
          <w:p w14:paraId="77399F2B">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达标</w:t>
            </w:r>
          </w:p>
        </w:tc>
      </w:tr>
      <w:tr w14:paraId="3C9B5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18" w:type="pct"/>
            <w:vMerge w:val="continue"/>
            <w:vAlign w:val="center"/>
          </w:tcPr>
          <w:p w14:paraId="1CB747FC">
            <w:pPr>
              <w:jc w:val="center"/>
              <w:rPr>
                <w:rFonts w:ascii="Times New Roman" w:hAnsi="Times New Roman" w:eastAsia="宋体" w:cs="Times New Roman"/>
                <w:color w:val="auto"/>
                <w:sz w:val="22"/>
                <w:szCs w:val="24"/>
              </w:rPr>
            </w:pPr>
          </w:p>
        </w:tc>
        <w:tc>
          <w:tcPr>
            <w:tcW w:w="996" w:type="pct"/>
            <w:noWrap/>
            <w:vAlign w:val="center"/>
          </w:tcPr>
          <w:p w14:paraId="3E5162FE">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汞</w:t>
            </w:r>
          </w:p>
        </w:tc>
        <w:tc>
          <w:tcPr>
            <w:tcW w:w="665" w:type="pct"/>
            <w:noWrap/>
            <w:vAlign w:val="center"/>
          </w:tcPr>
          <w:p w14:paraId="534F78F3">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0.00004</w:t>
            </w:r>
          </w:p>
        </w:tc>
        <w:tc>
          <w:tcPr>
            <w:tcW w:w="665" w:type="pct"/>
            <w:noWrap/>
            <w:vAlign w:val="center"/>
          </w:tcPr>
          <w:p w14:paraId="2ADFD17A">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0.04</w:t>
            </w:r>
          </w:p>
        </w:tc>
        <w:tc>
          <w:tcPr>
            <w:tcW w:w="416" w:type="pct"/>
            <w:noWrap/>
            <w:vAlign w:val="center"/>
          </w:tcPr>
          <w:p w14:paraId="67740EEF">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0.0001</w:t>
            </w:r>
          </w:p>
        </w:tc>
        <w:tc>
          <w:tcPr>
            <w:tcW w:w="579" w:type="pct"/>
            <w:noWrap/>
            <w:vAlign w:val="center"/>
          </w:tcPr>
          <w:p w14:paraId="6A6DC9F4">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0.4</w:t>
            </w:r>
          </w:p>
        </w:tc>
        <w:tc>
          <w:tcPr>
            <w:tcW w:w="419" w:type="pct"/>
            <w:noWrap/>
            <w:vAlign w:val="center"/>
          </w:tcPr>
          <w:p w14:paraId="10E97B65">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w:t>
            </w:r>
          </w:p>
        </w:tc>
        <w:tc>
          <w:tcPr>
            <w:tcW w:w="419" w:type="pct"/>
            <w:noWrap/>
            <w:vAlign w:val="center"/>
          </w:tcPr>
          <w:p w14:paraId="682F9ECA">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w:t>
            </w:r>
          </w:p>
        </w:tc>
        <w:tc>
          <w:tcPr>
            <w:tcW w:w="419" w:type="pct"/>
            <w:noWrap/>
            <w:vAlign w:val="center"/>
          </w:tcPr>
          <w:p w14:paraId="05EBA811">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达标</w:t>
            </w:r>
          </w:p>
        </w:tc>
      </w:tr>
      <w:tr w14:paraId="232BB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18" w:type="pct"/>
            <w:vMerge w:val="continue"/>
            <w:vAlign w:val="center"/>
          </w:tcPr>
          <w:p w14:paraId="2D8892CA">
            <w:pPr>
              <w:jc w:val="center"/>
              <w:rPr>
                <w:rFonts w:ascii="Times New Roman" w:hAnsi="Times New Roman" w:eastAsia="宋体" w:cs="Times New Roman"/>
                <w:color w:val="auto"/>
                <w:sz w:val="22"/>
                <w:szCs w:val="24"/>
              </w:rPr>
            </w:pPr>
          </w:p>
        </w:tc>
        <w:tc>
          <w:tcPr>
            <w:tcW w:w="996" w:type="pct"/>
            <w:noWrap/>
            <w:vAlign w:val="center"/>
          </w:tcPr>
          <w:p w14:paraId="6B740BFF">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镉</w:t>
            </w:r>
          </w:p>
        </w:tc>
        <w:tc>
          <w:tcPr>
            <w:tcW w:w="665" w:type="pct"/>
            <w:noWrap/>
            <w:vAlign w:val="center"/>
          </w:tcPr>
          <w:p w14:paraId="5DFD33D1">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0.00005</w:t>
            </w:r>
          </w:p>
        </w:tc>
        <w:tc>
          <w:tcPr>
            <w:tcW w:w="665" w:type="pct"/>
            <w:noWrap/>
            <w:vAlign w:val="center"/>
          </w:tcPr>
          <w:p w14:paraId="55B9AE45">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0.05</w:t>
            </w:r>
          </w:p>
        </w:tc>
        <w:tc>
          <w:tcPr>
            <w:tcW w:w="416" w:type="pct"/>
            <w:noWrap/>
            <w:vAlign w:val="center"/>
          </w:tcPr>
          <w:p w14:paraId="4F5F62A2">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0.005</w:t>
            </w:r>
          </w:p>
        </w:tc>
        <w:tc>
          <w:tcPr>
            <w:tcW w:w="579" w:type="pct"/>
            <w:noWrap/>
            <w:vAlign w:val="center"/>
          </w:tcPr>
          <w:p w14:paraId="1957CB54">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0.01</w:t>
            </w:r>
          </w:p>
        </w:tc>
        <w:tc>
          <w:tcPr>
            <w:tcW w:w="419" w:type="pct"/>
            <w:noWrap/>
            <w:vAlign w:val="center"/>
          </w:tcPr>
          <w:p w14:paraId="58200D43">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w:t>
            </w:r>
          </w:p>
        </w:tc>
        <w:tc>
          <w:tcPr>
            <w:tcW w:w="419" w:type="pct"/>
            <w:noWrap/>
            <w:vAlign w:val="center"/>
          </w:tcPr>
          <w:p w14:paraId="60A9A292">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w:t>
            </w:r>
          </w:p>
        </w:tc>
        <w:tc>
          <w:tcPr>
            <w:tcW w:w="419" w:type="pct"/>
            <w:noWrap/>
            <w:vAlign w:val="center"/>
          </w:tcPr>
          <w:p w14:paraId="66CEB612">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达标</w:t>
            </w:r>
          </w:p>
        </w:tc>
      </w:tr>
      <w:tr w14:paraId="24F17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18" w:type="pct"/>
            <w:vMerge w:val="continue"/>
            <w:vAlign w:val="center"/>
          </w:tcPr>
          <w:p w14:paraId="5EA9CC19">
            <w:pPr>
              <w:jc w:val="center"/>
              <w:rPr>
                <w:rFonts w:ascii="Times New Roman" w:hAnsi="Times New Roman" w:eastAsia="宋体" w:cs="Times New Roman"/>
                <w:color w:val="auto"/>
                <w:sz w:val="22"/>
                <w:szCs w:val="24"/>
              </w:rPr>
            </w:pPr>
          </w:p>
        </w:tc>
        <w:tc>
          <w:tcPr>
            <w:tcW w:w="996" w:type="pct"/>
            <w:noWrap/>
            <w:vAlign w:val="center"/>
          </w:tcPr>
          <w:p w14:paraId="3307B5D2">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铅</w:t>
            </w:r>
          </w:p>
        </w:tc>
        <w:tc>
          <w:tcPr>
            <w:tcW w:w="665" w:type="pct"/>
            <w:noWrap/>
            <w:vAlign w:val="center"/>
          </w:tcPr>
          <w:p w14:paraId="49D711DB">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0.0009</w:t>
            </w:r>
          </w:p>
        </w:tc>
        <w:tc>
          <w:tcPr>
            <w:tcW w:w="665" w:type="pct"/>
            <w:noWrap/>
            <w:vAlign w:val="center"/>
          </w:tcPr>
          <w:p w14:paraId="5AD4CCDB">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0.09</w:t>
            </w:r>
          </w:p>
        </w:tc>
        <w:tc>
          <w:tcPr>
            <w:tcW w:w="416" w:type="pct"/>
            <w:noWrap/>
            <w:vAlign w:val="center"/>
          </w:tcPr>
          <w:p w14:paraId="30C3E6A5">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0.05</w:t>
            </w:r>
          </w:p>
        </w:tc>
        <w:tc>
          <w:tcPr>
            <w:tcW w:w="579" w:type="pct"/>
            <w:noWrap/>
            <w:vAlign w:val="center"/>
          </w:tcPr>
          <w:p w14:paraId="66740FCC">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0.018</w:t>
            </w:r>
          </w:p>
        </w:tc>
        <w:tc>
          <w:tcPr>
            <w:tcW w:w="419" w:type="pct"/>
            <w:noWrap/>
            <w:vAlign w:val="center"/>
          </w:tcPr>
          <w:p w14:paraId="0D8EE65F">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w:t>
            </w:r>
          </w:p>
        </w:tc>
        <w:tc>
          <w:tcPr>
            <w:tcW w:w="419" w:type="pct"/>
            <w:noWrap/>
            <w:vAlign w:val="center"/>
          </w:tcPr>
          <w:p w14:paraId="3E287525">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w:t>
            </w:r>
          </w:p>
        </w:tc>
        <w:tc>
          <w:tcPr>
            <w:tcW w:w="419" w:type="pct"/>
            <w:noWrap/>
            <w:vAlign w:val="center"/>
          </w:tcPr>
          <w:p w14:paraId="3122F3D8">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达标</w:t>
            </w:r>
          </w:p>
        </w:tc>
      </w:tr>
      <w:tr w14:paraId="06326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18" w:type="pct"/>
            <w:vMerge w:val="continue"/>
            <w:vAlign w:val="center"/>
          </w:tcPr>
          <w:p w14:paraId="5DBF619D">
            <w:pPr>
              <w:jc w:val="center"/>
              <w:rPr>
                <w:rFonts w:ascii="Times New Roman" w:hAnsi="Times New Roman" w:eastAsia="宋体" w:cs="Times New Roman"/>
                <w:color w:val="auto"/>
                <w:sz w:val="22"/>
                <w:szCs w:val="24"/>
              </w:rPr>
            </w:pPr>
          </w:p>
        </w:tc>
        <w:tc>
          <w:tcPr>
            <w:tcW w:w="996" w:type="pct"/>
            <w:vAlign w:val="center"/>
          </w:tcPr>
          <w:p w14:paraId="1210AFB6">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铊（mg/L）</w:t>
            </w:r>
          </w:p>
        </w:tc>
        <w:tc>
          <w:tcPr>
            <w:tcW w:w="665" w:type="pct"/>
            <w:noWrap/>
            <w:vAlign w:val="center"/>
          </w:tcPr>
          <w:p w14:paraId="25318D45">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0.00004~0.00005</w:t>
            </w:r>
          </w:p>
        </w:tc>
        <w:tc>
          <w:tcPr>
            <w:tcW w:w="665" w:type="pct"/>
            <w:noWrap/>
            <w:vAlign w:val="center"/>
          </w:tcPr>
          <w:p w14:paraId="790553B9">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0.00004~0.00005</w:t>
            </w:r>
          </w:p>
        </w:tc>
        <w:tc>
          <w:tcPr>
            <w:tcW w:w="416" w:type="pct"/>
            <w:noWrap/>
            <w:vAlign w:val="center"/>
          </w:tcPr>
          <w:p w14:paraId="5C69E13B">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0.0001</w:t>
            </w:r>
          </w:p>
        </w:tc>
        <w:tc>
          <w:tcPr>
            <w:tcW w:w="579" w:type="pct"/>
            <w:noWrap/>
            <w:vAlign w:val="center"/>
          </w:tcPr>
          <w:p w14:paraId="64F28C8B">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0.5</w:t>
            </w:r>
          </w:p>
        </w:tc>
        <w:tc>
          <w:tcPr>
            <w:tcW w:w="419" w:type="pct"/>
            <w:noWrap/>
            <w:vAlign w:val="center"/>
          </w:tcPr>
          <w:p w14:paraId="480690DB">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w:t>
            </w:r>
          </w:p>
        </w:tc>
        <w:tc>
          <w:tcPr>
            <w:tcW w:w="419" w:type="pct"/>
            <w:noWrap/>
            <w:vAlign w:val="center"/>
          </w:tcPr>
          <w:p w14:paraId="3EEFEBAA">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w:t>
            </w:r>
          </w:p>
        </w:tc>
        <w:tc>
          <w:tcPr>
            <w:tcW w:w="419" w:type="pct"/>
            <w:noWrap/>
            <w:vAlign w:val="center"/>
          </w:tcPr>
          <w:p w14:paraId="1530A4E3">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达标</w:t>
            </w:r>
          </w:p>
        </w:tc>
      </w:tr>
      <w:tr w14:paraId="639B8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18" w:type="pct"/>
            <w:vMerge w:val="continue"/>
            <w:vAlign w:val="center"/>
          </w:tcPr>
          <w:p w14:paraId="55BD0A03">
            <w:pPr>
              <w:jc w:val="center"/>
              <w:rPr>
                <w:rFonts w:ascii="Times New Roman" w:hAnsi="Times New Roman" w:eastAsia="宋体" w:cs="Times New Roman"/>
                <w:color w:val="auto"/>
                <w:sz w:val="22"/>
                <w:szCs w:val="24"/>
              </w:rPr>
            </w:pPr>
          </w:p>
        </w:tc>
        <w:tc>
          <w:tcPr>
            <w:tcW w:w="996" w:type="pct"/>
            <w:noWrap/>
            <w:vAlign w:val="center"/>
          </w:tcPr>
          <w:p w14:paraId="5035EB7B">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甲苯</w:t>
            </w:r>
          </w:p>
        </w:tc>
        <w:tc>
          <w:tcPr>
            <w:tcW w:w="665" w:type="pct"/>
            <w:noWrap/>
            <w:vAlign w:val="center"/>
          </w:tcPr>
          <w:p w14:paraId="3F97B815">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0.0014</w:t>
            </w:r>
          </w:p>
        </w:tc>
        <w:tc>
          <w:tcPr>
            <w:tcW w:w="665" w:type="pct"/>
            <w:noWrap/>
            <w:vAlign w:val="center"/>
          </w:tcPr>
          <w:p w14:paraId="3A7DD4C5">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1.4</w:t>
            </w:r>
          </w:p>
        </w:tc>
        <w:tc>
          <w:tcPr>
            <w:tcW w:w="416" w:type="pct"/>
            <w:vAlign w:val="center"/>
          </w:tcPr>
          <w:p w14:paraId="08586CED">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0.7</w:t>
            </w:r>
          </w:p>
        </w:tc>
        <w:tc>
          <w:tcPr>
            <w:tcW w:w="579" w:type="pct"/>
            <w:noWrap/>
            <w:vAlign w:val="center"/>
          </w:tcPr>
          <w:p w14:paraId="43576E07">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0.002</w:t>
            </w:r>
          </w:p>
        </w:tc>
        <w:tc>
          <w:tcPr>
            <w:tcW w:w="419" w:type="pct"/>
            <w:noWrap/>
            <w:vAlign w:val="center"/>
          </w:tcPr>
          <w:p w14:paraId="0C24E9A6">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w:t>
            </w:r>
          </w:p>
        </w:tc>
        <w:tc>
          <w:tcPr>
            <w:tcW w:w="419" w:type="pct"/>
            <w:noWrap/>
            <w:vAlign w:val="center"/>
          </w:tcPr>
          <w:p w14:paraId="7F243661">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w:t>
            </w:r>
          </w:p>
        </w:tc>
        <w:tc>
          <w:tcPr>
            <w:tcW w:w="419" w:type="pct"/>
            <w:noWrap/>
            <w:vAlign w:val="center"/>
          </w:tcPr>
          <w:p w14:paraId="2B472678">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达标</w:t>
            </w:r>
          </w:p>
        </w:tc>
      </w:tr>
      <w:tr w14:paraId="1FF50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18" w:type="pct"/>
            <w:vMerge w:val="continue"/>
            <w:vAlign w:val="center"/>
          </w:tcPr>
          <w:p w14:paraId="619250C2">
            <w:pPr>
              <w:jc w:val="center"/>
              <w:rPr>
                <w:rFonts w:ascii="Times New Roman" w:hAnsi="Times New Roman" w:eastAsia="宋体" w:cs="Times New Roman"/>
                <w:color w:val="auto"/>
                <w:sz w:val="22"/>
                <w:szCs w:val="24"/>
              </w:rPr>
            </w:pPr>
          </w:p>
        </w:tc>
        <w:tc>
          <w:tcPr>
            <w:tcW w:w="996" w:type="pct"/>
            <w:noWrap/>
            <w:vAlign w:val="center"/>
          </w:tcPr>
          <w:p w14:paraId="453109F4">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二甲苯</w:t>
            </w:r>
          </w:p>
        </w:tc>
        <w:tc>
          <w:tcPr>
            <w:tcW w:w="665" w:type="pct"/>
            <w:noWrap/>
            <w:vAlign w:val="center"/>
          </w:tcPr>
          <w:p w14:paraId="0557A990">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0.0014</w:t>
            </w:r>
          </w:p>
        </w:tc>
        <w:tc>
          <w:tcPr>
            <w:tcW w:w="665" w:type="pct"/>
            <w:noWrap/>
            <w:vAlign w:val="center"/>
          </w:tcPr>
          <w:p w14:paraId="0F10BD93">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1.4</w:t>
            </w:r>
          </w:p>
        </w:tc>
        <w:tc>
          <w:tcPr>
            <w:tcW w:w="416" w:type="pct"/>
            <w:vAlign w:val="center"/>
          </w:tcPr>
          <w:p w14:paraId="10457617">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0.5</w:t>
            </w:r>
          </w:p>
        </w:tc>
        <w:tc>
          <w:tcPr>
            <w:tcW w:w="579" w:type="pct"/>
            <w:noWrap/>
            <w:vAlign w:val="center"/>
          </w:tcPr>
          <w:p w14:paraId="53D000FC">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0.0028</w:t>
            </w:r>
          </w:p>
        </w:tc>
        <w:tc>
          <w:tcPr>
            <w:tcW w:w="419" w:type="pct"/>
            <w:noWrap/>
            <w:vAlign w:val="center"/>
          </w:tcPr>
          <w:p w14:paraId="6DC298F6">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w:t>
            </w:r>
          </w:p>
        </w:tc>
        <w:tc>
          <w:tcPr>
            <w:tcW w:w="419" w:type="pct"/>
            <w:noWrap/>
            <w:vAlign w:val="center"/>
          </w:tcPr>
          <w:p w14:paraId="5D731844">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w:t>
            </w:r>
          </w:p>
        </w:tc>
        <w:tc>
          <w:tcPr>
            <w:tcW w:w="419" w:type="pct"/>
            <w:noWrap/>
            <w:vAlign w:val="center"/>
          </w:tcPr>
          <w:p w14:paraId="2376CF22">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达标</w:t>
            </w:r>
          </w:p>
        </w:tc>
      </w:tr>
      <w:tr w14:paraId="229AC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18" w:type="pct"/>
            <w:vMerge w:val="continue"/>
            <w:vAlign w:val="center"/>
          </w:tcPr>
          <w:p w14:paraId="169E68A5">
            <w:pPr>
              <w:jc w:val="center"/>
              <w:rPr>
                <w:rFonts w:ascii="Times New Roman" w:hAnsi="Times New Roman" w:eastAsia="宋体" w:cs="Times New Roman"/>
                <w:color w:val="auto"/>
                <w:sz w:val="22"/>
                <w:szCs w:val="24"/>
              </w:rPr>
            </w:pPr>
          </w:p>
        </w:tc>
        <w:tc>
          <w:tcPr>
            <w:tcW w:w="996" w:type="pct"/>
            <w:noWrap/>
            <w:vAlign w:val="center"/>
          </w:tcPr>
          <w:p w14:paraId="56214261">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二氯甲烷</w:t>
            </w:r>
          </w:p>
        </w:tc>
        <w:tc>
          <w:tcPr>
            <w:tcW w:w="665" w:type="pct"/>
            <w:noWrap/>
            <w:vAlign w:val="center"/>
          </w:tcPr>
          <w:p w14:paraId="54FC652B">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0.0014</w:t>
            </w:r>
          </w:p>
        </w:tc>
        <w:tc>
          <w:tcPr>
            <w:tcW w:w="665" w:type="pct"/>
            <w:noWrap/>
            <w:vAlign w:val="center"/>
          </w:tcPr>
          <w:p w14:paraId="71C20BF8">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1.4</w:t>
            </w:r>
          </w:p>
        </w:tc>
        <w:tc>
          <w:tcPr>
            <w:tcW w:w="416" w:type="pct"/>
            <w:vAlign w:val="center"/>
          </w:tcPr>
          <w:p w14:paraId="3C5211C5">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0.02</w:t>
            </w:r>
          </w:p>
        </w:tc>
        <w:tc>
          <w:tcPr>
            <w:tcW w:w="579" w:type="pct"/>
            <w:noWrap/>
            <w:vAlign w:val="center"/>
          </w:tcPr>
          <w:p w14:paraId="338082F7">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0.07</w:t>
            </w:r>
          </w:p>
        </w:tc>
        <w:tc>
          <w:tcPr>
            <w:tcW w:w="419" w:type="pct"/>
            <w:noWrap/>
            <w:vAlign w:val="center"/>
          </w:tcPr>
          <w:p w14:paraId="642D13BF">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w:t>
            </w:r>
          </w:p>
        </w:tc>
        <w:tc>
          <w:tcPr>
            <w:tcW w:w="419" w:type="pct"/>
            <w:noWrap/>
            <w:vAlign w:val="center"/>
          </w:tcPr>
          <w:p w14:paraId="305B744F">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w:t>
            </w:r>
          </w:p>
        </w:tc>
        <w:tc>
          <w:tcPr>
            <w:tcW w:w="419" w:type="pct"/>
            <w:noWrap/>
            <w:vAlign w:val="center"/>
          </w:tcPr>
          <w:p w14:paraId="3F89C015">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达标</w:t>
            </w:r>
          </w:p>
        </w:tc>
      </w:tr>
      <w:tr w14:paraId="7922E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18" w:type="pct"/>
            <w:vMerge w:val="continue"/>
            <w:vAlign w:val="center"/>
          </w:tcPr>
          <w:p w14:paraId="26D56314">
            <w:pPr>
              <w:jc w:val="center"/>
              <w:rPr>
                <w:rFonts w:ascii="Times New Roman" w:hAnsi="Times New Roman" w:eastAsia="宋体" w:cs="Times New Roman"/>
                <w:color w:val="auto"/>
                <w:sz w:val="22"/>
                <w:szCs w:val="24"/>
              </w:rPr>
            </w:pPr>
          </w:p>
        </w:tc>
        <w:tc>
          <w:tcPr>
            <w:tcW w:w="996" w:type="pct"/>
            <w:noWrap/>
            <w:vAlign w:val="center"/>
          </w:tcPr>
          <w:p w14:paraId="6346AAF0">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三氯甲烷</w:t>
            </w:r>
          </w:p>
        </w:tc>
        <w:tc>
          <w:tcPr>
            <w:tcW w:w="665" w:type="pct"/>
            <w:noWrap/>
            <w:vAlign w:val="center"/>
          </w:tcPr>
          <w:p w14:paraId="2918ADA1">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0.001</w:t>
            </w:r>
          </w:p>
        </w:tc>
        <w:tc>
          <w:tcPr>
            <w:tcW w:w="665" w:type="pct"/>
            <w:noWrap/>
            <w:vAlign w:val="center"/>
          </w:tcPr>
          <w:p w14:paraId="32C9B74E">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1</w:t>
            </w:r>
          </w:p>
        </w:tc>
        <w:tc>
          <w:tcPr>
            <w:tcW w:w="416" w:type="pct"/>
            <w:noWrap/>
            <w:vAlign w:val="center"/>
          </w:tcPr>
          <w:p w14:paraId="7F89FF8D">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0.06</w:t>
            </w:r>
          </w:p>
        </w:tc>
        <w:tc>
          <w:tcPr>
            <w:tcW w:w="579" w:type="pct"/>
            <w:noWrap/>
            <w:vAlign w:val="center"/>
          </w:tcPr>
          <w:p w14:paraId="6C1DCAB7">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0.016666667</w:t>
            </w:r>
          </w:p>
        </w:tc>
        <w:tc>
          <w:tcPr>
            <w:tcW w:w="419" w:type="pct"/>
            <w:noWrap/>
            <w:vAlign w:val="center"/>
          </w:tcPr>
          <w:p w14:paraId="4DF6D07B">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w:t>
            </w:r>
          </w:p>
        </w:tc>
        <w:tc>
          <w:tcPr>
            <w:tcW w:w="419" w:type="pct"/>
            <w:noWrap/>
            <w:vAlign w:val="center"/>
          </w:tcPr>
          <w:p w14:paraId="10A8DE38">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w:t>
            </w:r>
          </w:p>
        </w:tc>
        <w:tc>
          <w:tcPr>
            <w:tcW w:w="419" w:type="pct"/>
            <w:noWrap/>
            <w:vAlign w:val="center"/>
          </w:tcPr>
          <w:p w14:paraId="3961D486">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达标</w:t>
            </w:r>
          </w:p>
        </w:tc>
      </w:tr>
      <w:tr w14:paraId="4A7DF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418" w:type="pct"/>
            <w:vMerge w:val="continue"/>
            <w:vAlign w:val="center"/>
          </w:tcPr>
          <w:p w14:paraId="4BBBF5A1">
            <w:pPr>
              <w:jc w:val="center"/>
              <w:rPr>
                <w:rFonts w:ascii="Times New Roman" w:hAnsi="Times New Roman" w:eastAsia="宋体" w:cs="Times New Roman"/>
                <w:color w:val="auto"/>
                <w:sz w:val="22"/>
                <w:szCs w:val="24"/>
              </w:rPr>
            </w:pPr>
          </w:p>
        </w:tc>
        <w:tc>
          <w:tcPr>
            <w:tcW w:w="996" w:type="pct"/>
            <w:vAlign w:val="center"/>
          </w:tcPr>
          <w:p w14:paraId="04CAEE25">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1，1-二氯乙烷（mg/L）</w:t>
            </w:r>
          </w:p>
        </w:tc>
        <w:tc>
          <w:tcPr>
            <w:tcW w:w="665" w:type="pct"/>
            <w:noWrap/>
            <w:vAlign w:val="center"/>
          </w:tcPr>
          <w:p w14:paraId="781EADF2">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ND</w:t>
            </w:r>
          </w:p>
        </w:tc>
        <w:tc>
          <w:tcPr>
            <w:tcW w:w="665" w:type="pct"/>
            <w:noWrap/>
            <w:vAlign w:val="center"/>
          </w:tcPr>
          <w:p w14:paraId="4C041912">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ND</w:t>
            </w:r>
          </w:p>
        </w:tc>
        <w:tc>
          <w:tcPr>
            <w:tcW w:w="416" w:type="pct"/>
            <w:noWrap/>
            <w:vAlign w:val="center"/>
          </w:tcPr>
          <w:p w14:paraId="5442A0A1">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c>
          <w:tcPr>
            <w:tcW w:w="579" w:type="pct"/>
            <w:noWrap/>
            <w:vAlign w:val="center"/>
          </w:tcPr>
          <w:p w14:paraId="1B191935">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c>
          <w:tcPr>
            <w:tcW w:w="419" w:type="pct"/>
            <w:noWrap/>
            <w:vAlign w:val="center"/>
          </w:tcPr>
          <w:p w14:paraId="2CE8BC21">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w:t>
            </w:r>
          </w:p>
        </w:tc>
        <w:tc>
          <w:tcPr>
            <w:tcW w:w="419" w:type="pct"/>
            <w:noWrap/>
            <w:vAlign w:val="center"/>
          </w:tcPr>
          <w:p w14:paraId="77860877">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w:t>
            </w:r>
          </w:p>
        </w:tc>
        <w:tc>
          <w:tcPr>
            <w:tcW w:w="419" w:type="pct"/>
            <w:noWrap/>
            <w:vAlign w:val="center"/>
          </w:tcPr>
          <w:p w14:paraId="6BFFAC32">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达标</w:t>
            </w:r>
          </w:p>
        </w:tc>
      </w:tr>
      <w:tr w14:paraId="66E90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418" w:type="pct"/>
            <w:vMerge w:val="continue"/>
            <w:vAlign w:val="center"/>
          </w:tcPr>
          <w:p w14:paraId="5E0BF91E">
            <w:pPr>
              <w:jc w:val="center"/>
              <w:rPr>
                <w:rFonts w:ascii="Times New Roman" w:hAnsi="Times New Roman" w:eastAsia="宋体" w:cs="Times New Roman"/>
                <w:color w:val="auto"/>
                <w:sz w:val="22"/>
                <w:szCs w:val="24"/>
              </w:rPr>
            </w:pPr>
          </w:p>
        </w:tc>
        <w:tc>
          <w:tcPr>
            <w:tcW w:w="996" w:type="pct"/>
            <w:vAlign w:val="center"/>
          </w:tcPr>
          <w:p w14:paraId="0C60E1E6">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1，2-二氯乙烷（mg/L）</w:t>
            </w:r>
          </w:p>
        </w:tc>
        <w:tc>
          <w:tcPr>
            <w:tcW w:w="665" w:type="pct"/>
            <w:noWrap/>
            <w:vAlign w:val="center"/>
          </w:tcPr>
          <w:p w14:paraId="7BC6DA8A">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ND</w:t>
            </w:r>
          </w:p>
        </w:tc>
        <w:tc>
          <w:tcPr>
            <w:tcW w:w="665" w:type="pct"/>
            <w:noWrap/>
            <w:vAlign w:val="center"/>
          </w:tcPr>
          <w:p w14:paraId="16BAE3DC">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ND</w:t>
            </w:r>
          </w:p>
        </w:tc>
        <w:tc>
          <w:tcPr>
            <w:tcW w:w="416" w:type="pct"/>
            <w:noWrap/>
            <w:vAlign w:val="center"/>
          </w:tcPr>
          <w:p w14:paraId="1AC42EFD">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0.03</w:t>
            </w:r>
          </w:p>
        </w:tc>
        <w:tc>
          <w:tcPr>
            <w:tcW w:w="579" w:type="pct"/>
            <w:noWrap/>
            <w:vAlign w:val="center"/>
          </w:tcPr>
          <w:p w14:paraId="734B5EFF">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c>
          <w:tcPr>
            <w:tcW w:w="419" w:type="pct"/>
            <w:noWrap/>
            <w:vAlign w:val="center"/>
          </w:tcPr>
          <w:p w14:paraId="2D885A98">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w:t>
            </w:r>
          </w:p>
        </w:tc>
        <w:tc>
          <w:tcPr>
            <w:tcW w:w="419" w:type="pct"/>
            <w:noWrap/>
            <w:vAlign w:val="center"/>
          </w:tcPr>
          <w:p w14:paraId="630839BB">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w:t>
            </w:r>
          </w:p>
        </w:tc>
        <w:tc>
          <w:tcPr>
            <w:tcW w:w="419" w:type="pct"/>
            <w:noWrap/>
            <w:vAlign w:val="center"/>
          </w:tcPr>
          <w:p w14:paraId="4D9BA3D5">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达标</w:t>
            </w:r>
          </w:p>
        </w:tc>
      </w:tr>
      <w:tr w14:paraId="4958B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18" w:type="pct"/>
            <w:vMerge w:val="continue"/>
            <w:vAlign w:val="center"/>
          </w:tcPr>
          <w:p w14:paraId="14D5AE5C">
            <w:pPr>
              <w:jc w:val="center"/>
              <w:rPr>
                <w:rFonts w:ascii="Times New Roman" w:hAnsi="Times New Roman" w:eastAsia="宋体" w:cs="Times New Roman"/>
                <w:color w:val="auto"/>
                <w:sz w:val="22"/>
                <w:szCs w:val="24"/>
              </w:rPr>
            </w:pPr>
          </w:p>
        </w:tc>
        <w:tc>
          <w:tcPr>
            <w:tcW w:w="996" w:type="pct"/>
            <w:vAlign w:val="center"/>
          </w:tcPr>
          <w:p w14:paraId="648ECC39">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乙苯（mg/L）</w:t>
            </w:r>
          </w:p>
        </w:tc>
        <w:tc>
          <w:tcPr>
            <w:tcW w:w="665" w:type="pct"/>
            <w:noWrap/>
            <w:vAlign w:val="center"/>
          </w:tcPr>
          <w:p w14:paraId="553D8783">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ND</w:t>
            </w:r>
          </w:p>
        </w:tc>
        <w:tc>
          <w:tcPr>
            <w:tcW w:w="665" w:type="pct"/>
            <w:noWrap/>
            <w:vAlign w:val="center"/>
          </w:tcPr>
          <w:p w14:paraId="3484A081">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ND</w:t>
            </w:r>
          </w:p>
        </w:tc>
        <w:tc>
          <w:tcPr>
            <w:tcW w:w="416" w:type="pct"/>
            <w:noWrap/>
            <w:vAlign w:val="center"/>
          </w:tcPr>
          <w:p w14:paraId="5F0E4EA0">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0.3</w:t>
            </w:r>
          </w:p>
        </w:tc>
        <w:tc>
          <w:tcPr>
            <w:tcW w:w="579" w:type="pct"/>
            <w:noWrap/>
            <w:vAlign w:val="center"/>
          </w:tcPr>
          <w:p w14:paraId="42EB4131">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c>
          <w:tcPr>
            <w:tcW w:w="419" w:type="pct"/>
            <w:noWrap/>
            <w:vAlign w:val="center"/>
          </w:tcPr>
          <w:p w14:paraId="5630D24F">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w:t>
            </w:r>
          </w:p>
        </w:tc>
        <w:tc>
          <w:tcPr>
            <w:tcW w:w="419" w:type="pct"/>
            <w:noWrap/>
            <w:vAlign w:val="center"/>
          </w:tcPr>
          <w:p w14:paraId="2A0114EA">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w:t>
            </w:r>
          </w:p>
        </w:tc>
        <w:tc>
          <w:tcPr>
            <w:tcW w:w="419" w:type="pct"/>
            <w:noWrap/>
            <w:vAlign w:val="center"/>
          </w:tcPr>
          <w:p w14:paraId="068C2449">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达标</w:t>
            </w:r>
          </w:p>
        </w:tc>
      </w:tr>
      <w:tr w14:paraId="29162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18" w:type="pct"/>
            <w:vMerge w:val="continue"/>
            <w:vAlign w:val="center"/>
          </w:tcPr>
          <w:p w14:paraId="6C9A37AB">
            <w:pPr>
              <w:jc w:val="center"/>
              <w:rPr>
                <w:rFonts w:ascii="Times New Roman" w:hAnsi="Times New Roman" w:eastAsia="宋体" w:cs="Times New Roman"/>
                <w:color w:val="auto"/>
                <w:sz w:val="22"/>
                <w:szCs w:val="24"/>
              </w:rPr>
            </w:pPr>
          </w:p>
        </w:tc>
        <w:tc>
          <w:tcPr>
            <w:tcW w:w="996" w:type="pct"/>
            <w:vAlign w:val="center"/>
          </w:tcPr>
          <w:p w14:paraId="7356813F">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四氯化碳（mg/L）</w:t>
            </w:r>
          </w:p>
        </w:tc>
        <w:tc>
          <w:tcPr>
            <w:tcW w:w="665" w:type="pct"/>
            <w:noWrap/>
            <w:vAlign w:val="center"/>
          </w:tcPr>
          <w:p w14:paraId="58A93DE7">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ND</w:t>
            </w:r>
          </w:p>
        </w:tc>
        <w:tc>
          <w:tcPr>
            <w:tcW w:w="665" w:type="pct"/>
            <w:noWrap/>
            <w:vAlign w:val="center"/>
          </w:tcPr>
          <w:p w14:paraId="6FB8B609">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ND</w:t>
            </w:r>
          </w:p>
        </w:tc>
        <w:tc>
          <w:tcPr>
            <w:tcW w:w="416" w:type="pct"/>
            <w:noWrap/>
            <w:vAlign w:val="center"/>
          </w:tcPr>
          <w:p w14:paraId="1C2C5F6C">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0.002</w:t>
            </w:r>
          </w:p>
        </w:tc>
        <w:tc>
          <w:tcPr>
            <w:tcW w:w="579" w:type="pct"/>
            <w:noWrap/>
            <w:vAlign w:val="center"/>
          </w:tcPr>
          <w:p w14:paraId="6D55784A">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c>
          <w:tcPr>
            <w:tcW w:w="419" w:type="pct"/>
            <w:noWrap/>
            <w:vAlign w:val="center"/>
          </w:tcPr>
          <w:p w14:paraId="02F4A8B8">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w:t>
            </w:r>
          </w:p>
        </w:tc>
        <w:tc>
          <w:tcPr>
            <w:tcW w:w="419" w:type="pct"/>
            <w:noWrap/>
            <w:vAlign w:val="center"/>
          </w:tcPr>
          <w:p w14:paraId="7EF95BCE">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w:t>
            </w:r>
          </w:p>
        </w:tc>
        <w:tc>
          <w:tcPr>
            <w:tcW w:w="419" w:type="pct"/>
            <w:noWrap/>
            <w:vAlign w:val="center"/>
          </w:tcPr>
          <w:p w14:paraId="3F43DA2F">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达标</w:t>
            </w:r>
          </w:p>
        </w:tc>
      </w:tr>
      <w:tr w14:paraId="434E6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418" w:type="pct"/>
            <w:vMerge w:val="continue"/>
            <w:vAlign w:val="center"/>
          </w:tcPr>
          <w:p w14:paraId="50EF8FDE">
            <w:pPr>
              <w:jc w:val="center"/>
              <w:rPr>
                <w:rFonts w:ascii="Times New Roman" w:hAnsi="Times New Roman" w:eastAsia="宋体" w:cs="Times New Roman"/>
                <w:color w:val="auto"/>
                <w:sz w:val="22"/>
                <w:szCs w:val="24"/>
              </w:rPr>
            </w:pPr>
          </w:p>
        </w:tc>
        <w:tc>
          <w:tcPr>
            <w:tcW w:w="996" w:type="pct"/>
            <w:vAlign w:val="center"/>
          </w:tcPr>
          <w:p w14:paraId="116F1264">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石油类（mg/L）</w:t>
            </w:r>
          </w:p>
        </w:tc>
        <w:tc>
          <w:tcPr>
            <w:tcW w:w="665" w:type="pct"/>
            <w:noWrap/>
            <w:vAlign w:val="center"/>
          </w:tcPr>
          <w:p w14:paraId="6D213887">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ND</w:t>
            </w:r>
          </w:p>
        </w:tc>
        <w:tc>
          <w:tcPr>
            <w:tcW w:w="665" w:type="pct"/>
            <w:noWrap/>
            <w:vAlign w:val="center"/>
          </w:tcPr>
          <w:p w14:paraId="2E8287B5">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ND</w:t>
            </w:r>
          </w:p>
        </w:tc>
        <w:tc>
          <w:tcPr>
            <w:tcW w:w="416" w:type="pct"/>
            <w:noWrap/>
            <w:vAlign w:val="center"/>
          </w:tcPr>
          <w:p w14:paraId="609CFD8C">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0.05</w:t>
            </w:r>
          </w:p>
        </w:tc>
        <w:tc>
          <w:tcPr>
            <w:tcW w:w="579" w:type="pct"/>
            <w:noWrap/>
            <w:vAlign w:val="center"/>
          </w:tcPr>
          <w:p w14:paraId="01B7D90D">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w:t>
            </w:r>
          </w:p>
        </w:tc>
        <w:tc>
          <w:tcPr>
            <w:tcW w:w="419" w:type="pct"/>
            <w:noWrap/>
            <w:vAlign w:val="center"/>
          </w:tcPr>
          <w:p w14:paraId="050E7E80">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w:t>
            </w:r>
          </w:p>
        </w:tc>
        <w:tc>
          <w:tcPr>
            <w:tcW w:w="419" w:type="pct"/>
            <w:noWrap/>
            <w:vAlign w:val="center"/>
          </w:tcPr>
          <w:p w14:paraId="18179F84">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0</w:t>
            </w:r>
          </w:p>
        </w:tc>
        <w:tc>
          <w:tcPr>
            <w:tcW w:w="419" w:type="pct"/>
            <w:noWrap/>
            <w:vAlign w:val="center"/>
          </w:tcPr>
          <w:p w14:paraId="5D4F3919">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达标</w:t>
            </w:r>
          </w:p>
        </w:tc>
      </w:tr>
    </w:tbl>
    <w:p w14:paraId="30E5F7B7">
      <w:pPr>
        <w:spacing w:line="360" w:lineRule="auto"/>
        <w:ind w:firstLine="480" w:firstLineChars="200"/>
        <w:rPr>
          <w:rFonts w:ascii="Times New Roman" w:hAnsi="Times New Roman" w:eastAsia="宋体" w:cs="宋体"/>
          <w:color w:val="auto"/>
          <w:sz w:val="24"/>
          <w:szCs w:val="24"/>
        </w:rPr>
      </w:pPr>
      <w:r>
        <w:rPr>
          <w:rFonts w:hint="eastAsia" w:ascii="Times New Roman" w:hAnsi="Times New Roman" w:eastAsia="宋体" w:cs="宋体"/>
          <w:color w:val="auto"/>
          <w:sz w:val="24"/>
          <w:szCs w:val="24"/>
        </w:rPr>
        <w:t>由监测结果可知，W3团湖张家垱、W4团湖易家垱、W5胥家湖的总磷出现超标，为附近居民耕种农作物的污染导致；澧水、团湖、胥家湖其余点位各因子均满足《地表水环境质量标准》（GB3838-2002）Ⅲ类水质标准。</w:t>
      </w:r>
    </w:p>
    <w:p w14:paraId="015CF8A2">
      <w:pPr>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br w:type="page"/>
      </w:r>
    </w:p>
    <w:p w14:paraId="66BB0776">
      <w:pPr>
        <w:keepNext/>
        <w:keepLines/>
        <w:spacing w:before="156" w:beforeLines="50" w:after="156" w:afterLines="50" w:line="360" w:lineRule="auto"/>
        <w:outlineLvl w:val="2"/>
        <w:rPr>
          <w:rFonts w:ascii="Times New Roman" w:hAnsi="Times New Roman" w:eastAsia="宋体" w:cs="Times New Roman"/>
          <w:b/>
          <w:color w:val="auto"/>
          <w:kern w:val="0"/>
          <w:sz w:val="24"/>
          <w:szCs w:val="24"/>
        </w:rPr>
      </w:pPr>
      <w:r>
        <w:rPr>
          <w:rFonts w:ascii="Times New Roman" w:hAnsi="Times New Roman" w:eastAsia="宋体" w:cs="Times New Roman"/>
          <w:b/>
          <w:color w:val="auto"/>
          <w:kern w:val="0"/>
          <w:sz w:val="24"/>
          <w:szCs w:val="24"/>
        </w:rPr>
        <w:t>5.</w:t>
      </w:r>
      <w:r>
        <w:rPr>
          <w:rFonts w:hint="eastAsia" w:ascii="Times New Roman" w:hAnsi="Times New Roman" w:eastAsia="宋体" w:cs="Times New Roman"/>
          <w:b/>
          <w:color w:val="auto"/>
          <w:kern w:val="0"/>
          <w:sz w:val="24"/>
          <w:szCs w:val="24"/>
        </w:rPr>
        <w:t>4</w:t>
      </w:r>
      <w:r>
        <w:rPr>
          <w:rFonts w:ascii="Times New Roman" w:hAnsi="Times New Roman" w:eastAsia="宋体" w:cs="Times New Roman"/>
          <w:b/>
          <w:color w:val="auto"/>
          <w:kern w:val="0"/>
          <w:sz w:val="24"/>
          <w:szCs w:val="24"/>
        </w:rPr>
        <w:t>.3地下水环境质量现状调查与评价</w:t>
      </w:r>
    </w:p>
    <w:p w14:paraId="301A24F1">
      <w:pPr>
        <w:spacing w:line="360" w:lineRule="auto"/>
        <w:ind w:firstLine="720" w:firstLineChars="300"/>
        <w:rPr>
          <w:rFonts w:ascii="Times New Roman" w:hAnsi="Times New Roman" w:eastAsia="宋体" w:cs="宋体"/>
          <w:color w:val="auto"/>
          <w:sz w:val="24"/>
          <w:szCs w:val="24"/>
        </w:rPr>
      </w:pPr>
      <w:r>
        <w:rPr>
          <w:rFonts w:hint="eastAsia" w:ascii="Times New Roman" w:hAnsi="Times New Roman" w:eastAsia="宋体" w:cs="宋体"/>
          <w:color w:val="auto"/>
          <w:sz w:val="24"/>
          <w:szCs w:val="24"/>
        </w:rPr>
        <w:t>本项目地下水环境评价等级为</w:t>
      </w:r>
      <w:r>
        <w:rPr>
          <w:rFonts w:hint="eastAsia" w:ascii="Times New Roman" w:hAnsi="Times New Roman" w:eastAsia="宋体" w:cs="宋体"/>
          <w:color w:val="auto"/>
          <w:sz w:val="24"/>
          <w:szCs w:val="24"/>
          <w:lang w:val="en-US" w:eastAsia="zh-CN"/>
        </w:rPr>
        <w:t>三</w:t>
      </w:r>
      <w:r>
        <w:rPr>
          <w:rFonts w:hint="eastAsia" w:ascii="Times New Roman" w:hAnsi="Times New Roman" w:eastAsia="宋体" w:cs="宋体"/>
          <w:color w:val="auto"/>
          <w:sz w:val="24"/>
          <w:szCs w:val="24"/>
        </w:rPr>
        <w:t>级，根据《环境影响评价技术导则 地下水环境》（HJ 610-2016），</w:t>
      </w:r>
      <w:r>
        <w:rPr>
          <w:rFonts w:hint="eastAsia" w:ascii="Times New Roman" w:hAnsi="Times New Roman" w:eastAsia="宋体" w:cs="宋体"/>
          <w:color w:val="auto"/>
          <w:sz w:val="24"/>
          <w:szCs w:val="24"/>
          <w:lang w:val="en-US" w:eastAsia="zh-CN"/>
        </w:rPr>
        <w:t>三</w:t>
      </w:r>
      <w:r>
        <w:rPr>
          <w:rFonts w:hint="eastAsia" w:ascii="Times New Roman" w:hAnsi="Times New Roman" w:eastAsia="宋体" w:cs="宋体"/>
          <w:color w:val="auto"/>
          <w:sz w:val="24"/>
          <w:szCs w:val="24"/>
        </w:rPr>
        <w:t>级评价项目水质监测点位不少于</w:t>
      </w:r>
      <w:r>
        <w:rPr>
          <w:rFonts w:hint="eastAsia" w:ascii="Times New Roman" w:hAnsi="Times New Roman" w:eastAsia="宋体" w:cs="宋体"/>
          <w:color w:val="auto"/>
          <w:sz w:val="24"/>
          <w:szCs w:val="24"/>
          <w:lang w:val="en-US" w:eastAsia="zh-CN"/>
        </w:rPr>
        <w:t>3</w:t>
      </w:r>
      <w:r>
        <w:rPr>
          <w:rFonts w:hint="eastAsia" w:ascii="Times New Roman" w:hAnsi="Times New Roman" w:eastAsia="宋体" w:cs="宋体"/>
          <w:color w:val="auto"/>
          <w:sz w:val="24"/>
          <w:szCs w:val="24"/>
        </w:rPr>
        <w:t>个，水位监测点位不少于</w:t>
      </w:r>
      <w:r>
        <w:rPr>
          <w:rFonts w:hint="eastAsia" w:ascii="Times New Roman" w:hAnsi="Times New Roman" w:eastAsia="宋体" w:cs="宋体"/>
          <w:color w:val="auto"/>
          <w:sz w:val="24"/>
          <w:szCs w:val="24"/>
          <w:lang w:val="en-US" w:eastAsia="zh-CN"/>
        </w:rPr>
        <w:t>6</w:t>
      </w:r>
      <w:r>
        <w:rPr>
          <w:rFonts w:hint="eastAsia" w:ascii="Times New Roman" w:hAnsi="Times New Roman" w:eastAsia="宋体" w:cs="宋体"/>
          <w:color w:val="auto"/>
          <w:sz w:val="24"/>
          <w:szCs w:val="24"/>
        </w:rPr>
        <w:t>个，建设项目场地上游</w:t>
      </w:r>
      <w:r>
        <w:rPr>
          <w:rFonts w:hint="eastAsia" w:ascii="Times New Roman" w:hAnsi="Times New Roman" w:eastAsia="宋体" w:cs="宋体"/>
          <w:color w:val="auto"/>
          <w:sz w:val="24"/>
          <w:szCs w:val="24"/>
          <w:lang w:val="en-US" w:eastAsia="zh-CN"/>
        </w:rPr>
        <w:t>及下游影响区</w:t>
      </w:r>
      <w:r>
        <w:rPr>
          <w:rFonts w:hint="eastAsia" w:ascii="Times New Roman" w:hAnsi="Times New Roman" w:eastAsia="宋体" w:cs="宋体"/>
          <w:color w:val="auto"/>
          <w:sz w:val="24"/>
          <w:szCs w:val="24"/>
        </w:rPr>
        <w:t>的地下水水质监测点不少于1个。根据区域水文地质条件及地下水径补排关系，区域地下水流向为由西向东至澧水区域，监测点应主要布设在建设项目场地、周围环境敏感点、地下水污染源以及对于确定边界条件有控制意义的地点，现状监测井的布设应兼顾地下水环境影响跟踪监测计划。本次评价拟布设</w:t>
      </w:r>
      <w:r>
        <w:rPr>
          <w:rFonts w:hint="eastAsia" w:ascii="Times New Roman" w:hAnsi="Times New Roman" w:eastAsia="宋体" w:cs="宋体"/>
          <w:color w:val="auto"/>
          <w:sz w:val="24"/>
          <w:szCs w:val="24"/>
          <w:lang w:val="en-US" w:eastAsia="zh-CN"/>
        </w:rPr>
        <w:t>3</w:t>
      </w:r>
      <w:r>
        <w:rPr>
          <w:rFonts w:hint="eastAsia" w:ascii="Times New Roman" w:hAnsi="Times New Roman" w:eastAsia="宋体" w:cs="宋体"/>
          <w:color w:val="auto"/>
          <w:sz w:val="24"/>
          <w:szCs w:val="24"/>
        </w:rPr>
        <w:t>个地下水水质监测点，分别为</w:t>
      </w:r>
      <w:r>
        <w:rPr>
          <w:rFonts w:hint="eastAsia" w:ascii="Times New Roman" w:hAnsi="Times New Roman" w:eastAsia="宋体" w:cs="宋体"/>
          <w:color w:val="auto"/>
          <w:sz w:val="24"/>
          <w:szCs w:val="24"/>
          <w:lang w:val="en-US" w:eastAsia="zh-CN"/>
        </w:rPr>
        <w:t>西侧</w:t>
      </w:r>
      <w:r>
        <w:rPr>
          <w:rFonts w:hint="eastAsia" w:ascii="Times New Roman" w:hAnsi="Times New Roman" w:eastAsia="宋体" w:cs="宋体"/>
          <w:color w:val="auto"/>
          <w:sz w:val="24"/>
          <w:szCs w:val="24"/>
        </w:rPr>
        <w:t>(</w:t>
      </w:r>
      <w:r>
        <w:rPr>
          <w:rFonts w:hint="eastAsia" w:ascii="Times New Roman" w:hAnsi="Times New Roman" w:eastAsia="宋体" w:cs="宋体"/>
          <w:color w:val="auto"/>
          <w:sz w:val="24"/>
          <w:szCs w:val="24"/>
          <w:lang w:val="en-US" w:eastAsia="zh-CN"/>
        </w:rPr>
        <w:t>上游</w:t>
      </w:r>
      <w:r>
        <w:rPr>
          <w:rFonts w:hint="eastAsia" w:ascii="Times New Roman" w:hAnsi="Times New Roman" w:eastAsia="宋体" w:cs="宋体"/>
          <w:color w:val="auto"/>
          <w:sz w:val="24"/>
          <w:szCs w:val="24"/>
        </w:rPr>
        <w:t>1个）、</w:t>
      </w:r>
      <w:r>
        <w:rPr>
          <w:rFonts w:hint="eastAsia" w:ascii="Times New Roman" w:hAnsi="Times New Roman" w:eastAsia="宋体" w:cs="宋体"/>
          <w:color w:val="auto"/>
          <w:sz w:val="24"/>
          <w:szCs w:val="24"/>
          <w:lang w:val="en-US" w:eastAsia="zh-CN"/>
        </w:rPr>
        <w:t>东北</w:t>
      </w:r>
      <w:r>
        <w:rPr>
          <w:rFonts w:hint="eastAsia" w:ascii="Times New Roman" w:hAnsi="Times New Roman" w:eastAsia="宋体" w:cs="宋体"/>
          <w:color w:val="auto"/>
          <w:sz w:val="24"/>
          <w:szCs w:val="24"/>
        </w:rPr>
        <w:t>侧(</w:t>
      </w:r>
      <w:r>
        <w:rPr>
          <w:rFonts w:hint="eastAsia" w:ascii="Times New Roman" w:hAnsi="Times New Roman" w:eastAsia="宋体" w:cs="宋体"/>
          <w:color w:val="auto"/>
          <w:sz w:val="24"/>
          <w:szCs w:val="24"/>
          <w:lang w:val="en-US" w:eastAsia="zh-CN"/>
        </w:rPr>
        <w:t>下游</w:t>
      </w:r>
      <w:r>
        <w:rPr>
          <w:rFonts w:hint="eastAsia" w:ascii="Times New Roman" w:hAnsi="Times New Roman" w:eastAsia="宋体" w:cs="宋体"/>
          <w:color w:val="auto"/>
          <w:sz w:val="24"/>
          <w:szCs w:val="24"/>
        </w:rPr>
        <w:t>1个）、</w:t>
      </w:r>
      <w:r>
        <w:rPr>
          <w:rFonts w:hint="eastAsia" w:ascii="Times New Roman" w:hAnsi="Times New Roman" w:eastAsia="宋体" w:cs="宋体"/>
          <w:color w:val="auto"/>
          <w:sz w:val="24"/>
          <w:szCs w:val="24"/>
          <w:lang w:val="en-US" w:eastAsia="zh-CN"/>
        </w:rPr>
        <w:t>北</w:t>
      </w:r>
      <w:r>
        <w:rPr>
          <w:rFonts w:hint="eastAsia" w:ascii="Times New Roman" w:hAnsi="Times New Roman" w:eastAsia="宋体" w:cs="宋体"/>
          <w:color w:val="auto"/>
          <w:sz w:val="24"/>
          <w:szCs w:val="24"/>
        </w:rPr>
        <w:t>侧（</w:t>
      </w:r>
      <w:r>
        <w:rPr>
          <w:rFonts w:hint="eastAsia" w:ascii="Times New Roman" w:hAnsi="Times New Roman" w:eastAsia="宋体" w:cs="宋体"/>
          <w:color w:val="auto"/>
          <w:sz w:val="24"/>
          <w:szCs w:val="24"/>
          <w:lang w:val="en-US" w:eastAsia="zh-CN"/>
        </w:rPr>
        <w:t>侧向1</w:t>
      </w:r>
      <w:r>
        <w:rPr>
          <w:rFonts w:hint="eastAsia" w:ascii="Times New Roman" w:hAnsi="Times New Roman" w:eastAsia="宋体" w:cs="宋体"/>
          <w:color w:val="auto"/>
          <w:sz w:val="24"/>
          <w:szCs w:val="24"/>
        </w:rPr>
        <w:t>个），</w:t>
      </w:r>
      <w:r>
        <w:rPr>
          <w:rFonts w:hint="eastAsia" w:ascii="Times New Roman" w:hAnsi="Times New Roman" w:eastAsia="宋体" w:cs="宋体"/>
          <w:color w:val="auto"/>
          <w:sz w:val="24"/>
          <w:szCs w:val="24"/>
          <w:lang w:val="en-US" w:eastAsia="zh-CN"/>
        </w:rPr>
        <w:t>本项目已靠近澧水区域，</w:t>
      </w:r>
      <w:r>
        <w:rPr>
          <w:rFonts w:hint="eastAsia" w:ascii="Times New Roman" w:hAnsi="Times New Roman" w:eastAsia="宋体" w:cs="宋体"/>
          <w:color w:val="auto"/>
          <w:sz w:val="24"/>
          <w:szCs w:val="24"/>
        </w:rPr>
        <w:t>监测点位均在地下水评价范围内，收集了项目周边已有历史监测数据，具体监测点位、因子、数据来源和监测时间的详细信息见下表。由表可知，本项目地下水监测点位的选取符合《环境影响评价技术导则 地下水环境》（HJ 610-2016）要求，监测时间均为3年内，所引用的监测数据具有有效性和代表性。</w:t>
      </w:r>
    </w:p>
    <w:p w14:paraId="76080624">
      <w:pPr>
        <w:pStyle w:val="6"/>
        <w:bidi w:val="0"/>
      </w:pPr>
      <w:r>
        <w:rPr>
          <w:rFonts w:hint="eastAsia"/>
        </w:rPr>
        <w:t>表5.4.3-1    地下水监测点位、因子、数据来源及监测时间一览表</w:t>
      </w:r>
    </w:p>
    <w:tbl>
      <w:tblPr>
        <w:tblStyle w:val="4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5"/>
        <w:gridCol w:w="950"/>
        <w:gridCol w:w="1469"/>
        <w:gridCol w:w="1469"/>
        <w:gridCol w:w="4813"/>
        <w:gridCol w:w="3661"/>
        <w:gridCol w:w="1157"/>
      </w:tblGrid>
      <w:tr w14:paraId="5B137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1" w:type="pct"/>
            <w:vAlign w:val="center"/>
          </w:tcPr>
          <w:p w14:paraId="2CE0960E">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编号</w:t>
            </w:r>
          </w:p>
        </w:tc>
        <w:tc>
          <w:tcPr>
            <w:tcW w:w="335" w:type="pct"/>
            <w:vAlign w:val="center"/>
          </w:tcPr>
          <w:p w14:paraId="3EE95E0B">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名称</w:t>
            </w:r>
          </w:p>
        </w:tc>
        <w:tc>
          <w:tcPr>
            <w:tcW w:w="518" w:type="pct"/>
            <w:vAlign w:val="center"/>
          </w:tcPr>
          <w:p w14:paraId="19C9A65D">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地下水流场</w:t>
            </w:r>
          </w:p>
        </w:tc>
        <w:tc>
          <w:tcPr>
            <w:tcW w:w="518" w:type="pct"/>
            <w:vAlign w:val="center"/>
          </w:tcPr>
          <w:p w14:paraId="67FFF382">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与项目相对位置</w:t>
            </w:r>
          </w:p>
        </w:tc>
        <w:tc>
          <w:tcPr>
            <w:tcW w:w="1697" w:type="pct"/>
            <w:vAlign w:val="center"/>
          </w:tcPr>
          <w:p w14:paraId="612DA521">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监测因子</w:t>
            </w:r>
          </w:p>
        </w:tc>
        <w:tc>
          <w:tcPr>
            <w:tcW w:w="1291" w:type="pct"/>
            <w:vAlign w:val="center"/>
          </w:tcPr>
          <w:p w14:paraId="2F24DA33">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数据来源</w:t>
            </w:r>
          </w:p>
        </w:tc>
        <w:tc>
          <w:tcPr>
            <w:tcW w:w="408" w:type="pct"/>
            <w:vAlign w:val="center"/>
          </w:tcPr>
          <w:p w14:paraId="33D3AFFE">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监测时间</w:t>
            </w:r>
          </w:p>
        </w:tc>
      </w:tr>
      <w:tr w14:paraId="7F8B2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1" w:type="pct"/>
            <w:vMerge w:val="restart"/>
            <w:shd w:val="clear" w:color="auto" w:fill="auto"/>
            <w:vAlign w:val="center"/>
          </w:tcPr>
          <w:p w14:paraId="572B6825">
            <w:pPr>
              <w:jc w:val="center"/>
              <w:rPr>
                <w:rFonts w:hint="eastAsia"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rPr>
              <w:t>D</w:t>
            </w:r>
            <w:r>
              <w:rPr>
                <w:rFonts w:hint="eastAsia" w:ascii="Times New Roman" w:hAnsi="Times New Roman" w:eastAsia="宋体" w:cs="Times New Roman"/>
                <w:color w:val="auto"/>
                <w:sz w:val="22"/>
                <w:szCs w:val="24"/>
                <w:lang w:val="en-US" w:eastAsia="zh-CN"/>
              </w:rPr>
              <w:t>1</w:t>
            </w:r>
          </w:p>
        </w:tc>
        <w:tc>
          <w:tcPr>
            <w:tcW w:w="335" w:type="pct"/>
            <w:vMerge w:val="restart"/>
            <w:shd w:val="clear" w:color="auto" w:fill="auto"/>
            <w:vAlign w:val="center"/>
          </w:tcPr>
          <w:p w14:paraId="446FF358">
            <w:pPr>
              <w:jc w:val="center"/>
              <w:rPr>
                <w:rFonts w:hint="eastAsia"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rPr>
              <w:t>鸿科建材</w:t>
            </w:r>
          </w:p>
        </w:tc>
        <w:tc>
          <w:tcPr>
            <w:tcW w:w="518" w:type="pct"/>
            <w:vMerge w:val="restart"/>
            <w:shd w:val="clear" w:color="auto" w:fill="auto"/>
            <w:vAlign w:val="center"/>
          </w:tcPr>
          <w:p w14:paraId="27BB5651">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kern w:val="2"/>
                <w:sz w:val="22"/>
                <w:szCs w:val="24"/>
                <w:lang w:val="en-US" w:eastAsia="zh-CN" w:bidi="ar-SA"/>
              </w:rPr>
              <w:t>上游</w:t>
            </w:r>
          </w:p>
        </w:tc>
        <w:tc>
          <w:tcPr>
            <w:tcW w:w="518" w:type="pct"/>
            <w:vMerge w:val="restart"/>
            <w:shd w:val="clear" w:color="auto" w:fill="auto"/>
            <w:vAlign w:val="center"/>
          </w:tcPr>
          <w:p w14:paraId="226882FD">
            <w:pPr>
              <w:jc w:val="center"/>
              <w:rPr>
                <w:rFonts w:hint="eastAsia"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rPr>
              <w:t>西侧</w:t>
            </w:r>
            <w:r>
              <w:rPr>
                <w:rFonts w:hint="eastAsia" w:ascii="Times New Roman" w:hAnsi="Times New Roman" w:eastAsia="宋体" w:cs="Times New Roman"/>
                <w:color w:val="auto"/>
                <w:sz w:val="22"/>
                <w:szCs w:val="24"/>
                <w:lang w:val="en-US" w:eastAsia="zh-CN"/>
              </w:rPr>
              <w:t>2952</w:t>
            </w:r>
            <w:r>
              <w:rPr>
                <w:rFonts w:hint="eastAsia" w:ascii="Times New Roman" w:hAnsi="Times New Roman" w:eastAsia="宋体" w:cs="Times New Roman"/>
                <w:color w:val="auto"/>
                <w:sz w:val="22"/>
                <w:szCs w:val="24"/>
              </w:rPr>
              <w:t>m</w:t>
            </w:r>
          </w:p>
        </w:tc>
        <w:tc>
          <w:tcPr>
            <w:tcW w:w="1697" w:type="pct"/>
            <w:shd w:val="clear" w:color="auto" w:fill="auto"/>
            <w:vAlign w:val="center"/>
          </w:tcPr>
          <w:p w14:paraId="060FA629">
            <w:pPr>
              <w:jc w:val="center"/>
              <w:rPr>
                <w:rFonts w:hint="eastAsia"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rPr>
              <w:t>耗氧量（CODMn法）、硫化物、总大肠菌群、细菌总数、阴离子表面活性剂、硝酸盐（以N计）、亚硝酸盐（以N计）、镍、钴、铊、铁、甲苯</w:t>
            </w:r>
          </w:p>
        </w:tc>
        <w:tc>
          <w:tcPr>
            <w:tcW w:w="1291" w:type="pct"/>
            <w:shd w:val="clear" w:color="auto" w:fill="auto"/>
            <w:vAlign w:val="center"/>
          </w:tcPr>
          <w:p w14:paraId="7839C602">
            <w:pPr>
              <w:jc w:val="center"/>
              <w:rPr>
                <w:rFonts w:hint="eastAsia"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rPr>
              <w:t>《津市高新技术产业开发区产业布局调整规划环境影响报告书》</w:t>
            </w:r>
          </w:p>
        </w:tc>
        <w:tc>
          <w:tcPr>
            <w:tcW w:w="408" w:type="pct"/>
            <w:shd w:val="clear" w:color="auto" w:fill="auto"/>
            <w:vAlign w:val="center"/>
          </w:tcPr>
          <w:p w14:paraId="5F02D254">
            <w:pPr>
              <w:jc w:val="center"/>
              <w:rPr>
                <w:rFonts w:hint="eastAsia"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rPr>
              <w:t>2022年12月21日</w:t>
            </w:r>
          </w:p>
        </w:tc>
      </w:tr>
      <w:tr w14:paraId="73012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1" w:type="pct"/>
            <w:vMerge w:val="continue"/>
            <w:vAlign w:val="center"/>
          </w:tcPr>
          <w:p w14:paraId="50ABD59C">
            <w:pPr>
              <w:jc w:val="center"/>
              <w:rPr>
                <w:rFonts w:hint="eastAsia" w:ascii="Times New Roman" w:hAnsi="Times New Roman" w:eastAsia="宋体" w:cs="Times New Roman"/>
                <w:color w:val="auto"/>
                <w:sz w:val="22"/>
                <w:szCs w:val="24"/>
              </w:rPr>
            </w:pPr>
          </w:p>
        </w:tc>
        <w:tc>
          <w:tcPr>
            <w:tcW w:w="335" w:type="pct"/>
            <w:vMerge w:val="continue"/>
            <w:vAlign w:val="center"/>
          </w:tcPr>
          <w:p w14:paraId="5F1626BF">
            <w:pPr>
              <w:jc w:val="center"/>
              <w:rPr>
                <w:rFonts w:hint="eastAsia" w:ascii="Times New Roman" w:hAnsi="Times New Roman" w:eastAsia="宋体" w:cs="Times New Roman"/>
                <w:color w:val="auto"/>
                <w:sz w:val="22"/>
                <w:szCs w:val="24"/>
              </w:rPr>
            </w:pPr>
          </w:p>
        </w:tc>
        <w:tc>
          <w:tcPr>
            <w:tcW w:w="518" w:type="pct"/>
            <w:vMerge w:val="continue"/>
            <w:vAlign w:val="center"/>
          </w:tcPr>
          <w:p w14:paraId="07D41E70">
            <w:pPr>
              <w:jc w:val="center"/>
              <w:rPr>
                <w:rFonts w:hint="eastAsia" w:ascii="Times New Roman" w:hAnsi="Times New Roman" w:eastAsia="宋体" w:cs="Times New Roman"/>
                <w:color w:val="auto"/>
                <w:sz w:val="22"/>
                <w:szCs w:val="24"/>
              </w:rPr>
            </w:pPr>
          </w:p>
        </w:tc>
        <w:tc>
          <w:tcPr>
            <w:tcW w:w="518" w:type="pct"/>
            <w:vMerge w:val="continue"/>
            <w:vAlign w:val="center"/>
          </w:tcPr>
          <w:p w14:paraId="1CB859C0">
            <w:pPr>
              <w:jc w:val="center"/>
              <w:rPr>
                <w:rFonts w:hint="eastAsia" w:ascii="Times New Roman" w:hAnsi="Times New Roman" w:eastAsia="宋体" w:cs="Times New Roman"/>
                <w:color w:val="auto"/>
                <w:sz w:val="22"/>
                <w:szCs w:val="24"/>
              </w:rPr>
            </w:pPr>
          </w:p>
        </w:tc>
        <w:tc>
          <w:tcPr>
            <w:tcW w:w="1697" w:type="pct"/>
            <w:shd w:val="clear" w:color="auto" w:fill="auto"/>
            <w:vAlign w:val="center"/>
          </w:tcPr>
          <w:p w14:paraId="41456838">
            <w:pPr>
              <w:jc w:val="center"/>
              <w:rPr>
                <w:rFonts w:hint="eastAsia"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rPr>
              <w:t>水位、pH值、氨氮、挥发性酚类、氰化物、溶解性总固体、硫酸盐、氯化物、砷、汞、六价铬、铜、锌、总硬度、铅、氟化物、镉、甲苯、二氯甲烷、三氯甲烷、K+、Na+、Ca2+、Mg2+、CO32-、HCO3-、Cl-、SO42-、</w:t>
            </w:r>
          </w:p>
        </w:tc>
        <w:tc>
          <w:tcPr>
            <w:tcW w:w="1291" w:type="pct"/>
            <w:shd w:val="clear" w:color="auto" w:fill="auto"/>
            <w:vAlign w:val="center"/>
          </w:tcPr>
          <w:p w14:paraId="12A05784">
            <w:pPr>
              <w:jc w:val="center"/>
              <w:rPr>
                <w:rFonts w:hint="eastAsia"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rPr>
              <w:t>《津市高新技术产业开发区跟踪环境检测实施方案》</w:t>
            </w:r>
          </w:p>
        </w:tc>
        <w:tc>
          <w:tcPr>
            <w:tcW w:w="408" w:type="pct"/>
            <w:shd w:val="clear" w:color="auto" w:fill="auto"/>
            <w:vAlign w:val="center"/>
          </w:tcPr>
          <w:p w14:paraId="5FCD6083">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2022年12月9日</w:t>
            </w:r>
          </w:p>
          <w:p w14:paraId="35F7A0C4">
            <w:pPr>
              <w:jc w:val="center"/>
              <w:rPr>
                <w:rFonts w:hint="eastAsia" w:ascii="Times New Roman" w:hAnsi="Times New Roman" w:eastAsia="宋体" w:cs="Times New Roman"/>
                <w:color w:val="auto"/>
                <w:kern w:val="2"/>
                <w:sz w:val="22"/>
                <w:szCs w:val="24"/>
                <w:lang w:val="en-US" w:eastAsia="zh-CN" w:bidi="ar-SA"/>
              </w:rPr>
            </w:pPr>
          </w:p>
        </w:tc>
      </w:tr>
      <w:tr w14:paraId="33649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1" w:type="pct"/>
            <w:vMerge w:val="continue"/>
            <w:vAlign w:val="center"/>
          </w:tcPr>
          <w:p w14:paraId="6649012A">
            <w:pPr>
              <w:jc w:val="center"/>
              <w:rPr>
                <w:rFonts w:hint="eastAsia" w:ascii="Times New Roman" w:hAnsi="Times New Roman" w:eastAsia="宋体" w:cs="Times New Roman"/>
                <w:color w:val="auto"/>
                <w:sz w:val="22"/>
                <w:szCs w:val="24"/>
              </w:rPr>
            </w:pPr>
          </w:p>
        </w:tc>
        <w:tc>
          <w:tcPr>
            <w:tcW w:w="335" w:type="pct"/>
            <w:vMerge w:val="continue"/>
            <w:vAlign w:val="center"/>
          </w:tcPr>
          <w:p w14:paraId="053CCBD2">
            <w:pPr>
              <w:jc w:val="center"/>
              <w:rPr>
                <w:rFonts w:hint="eastAsia" w:ascii="Times New Roman" w:hAnsi="Times New Roman" w:eastAsia="宋体" w:cs="Times New Roman"/>
                <w:color w:val="auto"/>
                <w:sz w:val="22"/>
                <w:szCs w:val="24"/>
              </w:rPr>
            </w:pPr>
          </w:p>
        </w:tc>
        <w:tc>
          <w:tcPr>
            <w:tcW w:w="518" w:type="pct"/>
            <w:vMerge w:val="continue"/>
            <w:vAlign w:val="center"/>
          </w:tcPr>
          <w:p w14:paraId="1F3C646F">
            <w:pPr>
              <w:jc w:val="center"/>
              <w:rPr>
                <w:rFonts w:hint="eastAsia" w:ascii="Times New Roman" w:hAnsi="Times New Roman" w:eastAsia="宋体" w:cs="Times New Roman"/>
                <w:color w:val="auto"/>
                <w:sz w:val="22"/>
                <w:szCs w:val="24"/>
              </w:rPr>
            </w:pPr>
          </w:p>
        </w:tc>
        <w:tc>
          <w:tcPr>
            <w:tcW w:w="518" w:type="pct"/>
            <w:vMerge w:val="continue"/>
            <w:vAlign w:val="center"/>
          </w:tcPr>
          <w:p w14:paraId="15AF3FA3">
            <w:pPr>
              <w:jc w:val="center"/>
              <w:rPr>
                <w:rFonts w:hint="eastAsia" w:ascii="Times New Roman" w:hAnsi="Times New Roman" w:eastAsia="宋体" w:cs="Times New Roman"/>
                <w:color w:val="auto"/>
                <w:sz w:val="22"/>
                <w:szCs w:val="24"/>
              </w:rPr>
            </w:pPr>
          </w:p>
        </w:tc>
        <w:tc>
          <w:tcPr>
            <w:tcW w:w="1697" w:type="pct"/>
            <w:shd w:val="clear" w:color="auto" w:fill="auto"/>
            <w:vAlign w:val="center"/>
          </w:tcPr>
          <w:p w14:paraId="1CAA6134">
            <w:pPr>
              <w:jc w:val="center"/>
              <w:rPr>
                <w:rFonts w:hint="eastAsia"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rPr>
              <w:t>锰、高锰酸盐指数</w:t>
            </w:r>
          </w:p>
        </w:tc>
        <w:tc>
          <w:tcPr>
            <w:tcW w:w="1291" w:type="pct"/>
            <w:shd w:val="clear" w:color="auto" w:fill="auto"/>
            <w:vAlign w:val="center"/>
          </w:tcPr>
          <w:p w14:paraId="15D31BEE">
            <w:pPr>
              <w:jc w:val="center"/>
              <w:rPr>
                <w:rFonts w:hint="eastAsia"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rPr>
              <w:t>《湖南新合新生物医药有限公司年产2200吨甾体药物关键中间体绿色生物智造项目（一期）环境影响报告书》</w:t>
            </w:r>
          </w:p>
        </w:tc>
        <w:tc>
          <w:tcPr>
            <w:tcW w:w="408" w:type="pct"/>
            <w:shd w:val="clear" w:color="auto" w:fill="auto"/>
            <w:vAlign w:val="center"/>
          </w:tcPr>
          <w:p w14:paraId="56EBB7B5">
            <w:pPr>
              <w:jc w:val="center"/>
              <w:rPr>
                <w:rFonts w:hint="eastAsia"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rPr>
              <w:t>2024年4月12日</w:t>
            </w:r>
          </w:p>
        </w:tc>
      </w:tr>
      <w:tr w14:paraId="7855A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1" w:type="pct"/>
            <w:shd w:val="clear" w:color="auto" w:fill="auto"/>
            <w:vAlign w:val="center"/>
          </w:tcPr>
          <w:p w14:paraId="0E6D9F9C">
            <w:pPr>
              <w:jc w:val="center"/>
              <w:rPr>
                <w:rFonts w:hint="eastAsia"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rPr>
              <w:t>D</w:t>
            </w:r>
            <w:r>
              <w:rPr>
                <w:rFonts w:hint="eastAsia" w:ascii="Times New Roman" w:hAnsi="Times New Roman" w:eastAsia="宋体" w:cs="Times New Roman"/>
                <w:color w:val="auto"/>
                <w:sz w:val="22"/>
                <w:szCs w:val="24"/>
                <w:lang w:val="en-US" w:eastAsia="zh-CN"/>
              </w:rPr>
              <w:t>2</w:t>
            </w:r>
          </w:p>
        </w:tc>
        <w:tc>
          <w:tcPr>
            <w:tcW w:w="335" w:type="pct"/>
            <w:shd w:val="clear" w:color="auto" w:fill="auto"/>
            <w:vAlign w:val="center"/>
          </w:tcPr>
          <w:p w14:paraId="19959CC6">
            <w:pPr>
              <w:jc w:val="center"/>
              <w:rPr>
                <w:rFonts w:hint="eastAsia"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rPr>
              <w:t>鸿鹰生物厂内监测井</w:t>
            </w:r>
          </w:p>
        </w:tc>
        <w:tc>
          <w:tcPr>
            <w:tcW w:w="518" w:type="pct"/>
            <w:shd w:val="clear" w:color="auto" w:fill="auto"/>
            <w:vAlign w:val="center"/>
          </w:tcPr>
          <w:p w14:paraId="066A7A22">
            <w:pPr>
              <w:jc w:val="center"/>
              <w:rPr>
                <w:rFonts w:hint="eastAsia"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rPr>
              <w:t>下游</w:t>
            </w:r>
          </w:p>
        </w:tc>
        <w:tc>
          <w:tcPr>
            <w:tcW w:w="518" w:type="pct"/>
            <w:shd w:val="clear" w:color="auto" w:fill="auto"/>
            <w:vAlign w:val="center"/>
          </w:tcPr>
          <w:p w14:paraId="1E13B409">
            <w:pPr>
              <w:jc w:val="center"/>
              <w:rPr>
                <w:rFonts w:hint="eastAsia"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lang w:val="en-US" w:eastAsia="zh-CN"/>
              </w:rPr>
              <w:t>东北</w:t>
            </w:r>
            <w:r>
              <w:rPr>
                <w:rFonts w:hint="eastAsia" w:ascii="Times New Roman" w:hAnsi="Times New Roman" w:eastAsia="宋体" w:cs="Times New Roman"/>
                <w:color w:val="auto"/>
                <w:sz w:val="22"/>
                <w:szCs w:val="24"/>
              </w:rPr>
              <w:t>侧</w:t>
            </w:r>
            <w:r>
              <w:rPr>
                <w:rFonts w:hint="eastAsia" w:ascii="Times New Roman" w:hAnsi="Times New Roman" w:eastAsia="宋体" w:cs="Times New Roman"/>
                <w:color w:val="auto"/>
                <w:sz w:val="22"/>
                <w:szCs w:val="24"/>
                <w:lang w:val="en-US" w:eastAsia="zh-CN"/>
              </w:rPr>
              <w:t>251</w:t>
            </w:r>
            <w:r>
              <w:rPr>
                <w:rFonts w:hint="eastAsia" w:ascii="Times New Roman" w:hAnsi="Times New Roman" w:eastAsia="宋体" w:cs="Times New Roman"/>
                <w:color w:val="auto"/>
                <w:sz w:val="22"/>
                <w:szCs w:val="24"/>
              </w:rPr>
              <w:t>m</w:t>
            </w:r>
          </w:p>
        </w:tc>
        <w:tc>
          <w:tcPr>
            <w:tcW w:w="1697" w:type="pct"/>
            <w:shd w:val="clear" w:color="auto" w:fill="auto"/>
            <w:vAlign w:val="center"/>
          </w:tcPr>
          <w:p w14:paraId="6B583329">
            <w:pPr>
              <w:jc w:val="center"/>
              <w:rPr>
                <w:rFonts w:hint="eastAsia"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rPr>
              <w:t>pH、氨氮、硝酸盐、亚硝酸盐、挥发性酚类、氰化物、砷、汞、铬(六价)、总硬度、铅、氟、镉、铁、锰、溶解性总固体、高锰酸盐指数、硫酸盐、氯化物、总大肠菌群、细菌总数、K+、Na+、Ca2+、Mg2+、CO32-、HCO3-、Cl-、SO42-、甲苯、二氯甲烷、三氯甲烷</w:t>
            </w:r>
          </w:p>
        </w:tc>
        <w:tc>
          <w:tcPr>
            <w:tcW w:w="1291" w:type="pct"/>
            <w:shd w:val="clear" w:color="auto" w:fill="auto"/>
            <w:vAlign w:val="center"/>
          </w:tcPr>
          <w:p w14:paraId="34DF80A5">
            <w:pPr>
              <w:jc w:val="center"/>
              <w:rPr>
                <w:rFonts w:hint="eastAsia"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rPr>
              <w:t>《湖南新合新生物医药有限公司年产2200吨甾体药物关键中间体绿色生物智造项目（一期）环境影响报告书》</w:t>
            </w:r>
          </w:p>
        </w:tc>
        <w:tc>
          <w:tcPr>
            <w:tcW w:w="408" w:type="pct"/>
            <w:shd w:val="clear" w:color="auto" w:fill="auto"/>
            <w:vAlign w:val="center"/>
          </w:tcPr>
          <w:p w14:paraId="50B916DA">
            <w:pPr>
              <w:jc w:val="center"/>
              <w:rPr>
                <w:rFonts w:hint="eastAsia"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rPr>
              <w:t>2024年4月12日</w:t>
            </w:r>
          </w:p>
        </w:tc>
      </w:tr>
      <w:tr w14:paraId="4FB3F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1" w:type="pct"/>
            <w:vAlign w:val="center"/>
          </w:tcPr>
          <w:p w14:paraId="15015B3A">
            <w:pPr>
              <w:jc w:val="center"/>
              <w:rPr>
                <w:rFonts w:hint="eastAsia"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rPr>
              <w:t>D</w:t>
            </w:r>
            <w:r>
              <w:rPr>
                <w:rFonts w:hint="eastAsia" w:ascii="Times New Roman" w:hAnsi="Times New Roman" w:eastAsia="宋体" w:cs="Times New Roman"/>
                <w:color w:val="auto"/>
                <w:sz w:val="22"/>
                <w:szCs w:val="24"/>
                <w:lang w:val="en-US" w:eastAsia="zh-CN"/>
              </w:rPr>
              <w:t>3</w:t>
            </w:r>
          </w:p>
        </w:tc>
        <w:tc>
          <w:tcPr>
            <w:tcW w:w="335" w:type="pct"/>
            <w:vAlign w:val="center"/>
          </w:tcPr>
          <w:p w14:paraId="70158C6B">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污水处理厂</w:t>
            </w:r>
          </w:p>
        </w:tc>
        <w:tc>
          <w:tcPr>
            <w:tcW w:w="518" w:type="pct"/>
            <w:vAlign w:val="center"/>
          </w:tcPr>
          <w:p w14:paraId="05B8E899">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侧向</w:t>
            </w:r>
          </w:p>
        </w:tc>
        <w:tc>
          <w:tcPr>
            <w:tcW w:w="518" w:type="pct"/>
            <w:vAlign w:val="center"/>
          </w:tcPr>
          <w:p w14:paraId="21BFF5A6">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lang w:val="en-US" w:eastAsia="zh-CN"/>
              </w:rPr>
              <w:t>北</w:t>
            </w:r>
            <w:r>
              <w:rPr>
                <w:rFonts w:hint="eastAsia" w:ascii="Times New Roman" w:hAnsi="Times New Roman" w:eastAsia="宋体" w:cs="Times New Roman"/>
                <w:color w:val="auto"/>
                <w:sz w:val="22"/>
                <w:szCs w:val="24"/>
              </w:rPr>
              <w:t>侧780m</w:t>
            </w:r>
          </w:p>
        </w:tc>
        <w:tc>
          <w:tcPr>
            <w:tcW w:w="1697" w:type="pct"/>
            <w:vAlign w:val="center"/>
          </w:tcPr>
          <w:p w14:paraId="5C3FA065">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pH、氨氮、硝酸盐、亚硝酸盐、挥发性酚类、氰化物、砷、汞、铬(六价)、总硬度、铅、氟、镉、铁、锰、溶解性总固体、高锰酸盐指数、硫酸盐、氯化物、总大肠菌群、细菌总数、K+、Na+、Ca2+、Mg2+、CO32-、HCO3-、Cl-、SO42-、甲苯、二氯甲烷、三氯甲烷</w:t>
            </w:r>
          </w:p>
        </w:tc>
        <w:tc>
          <w:tcPr>
            <w:tcW w:w="1291" w:type="pct"/>
            <w:vAlign w:val="center"/>
          </w:tcPr>
          <w:p w14:paraId="0FF91A49">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《湖南新合新生物医药有限公司年产2200吨甾体药物关键中间体绿色生物智造项目（一期）环境影响报告书》</w:t>
            </w:r>
          </w:p>
        </w:tc>
        <w:tc>
          <w:tcPr>
            <w:tcW w:w="408" w:type="pct"/>
            <w:vAlign w:val="center"/>
          </w:tcPr>
          <w:p w14:paraId="627222F5">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2024年4月12日</w:t>
            </w:r>
          </w:p>
        </w:tc>
      </w:tr>
      <w:tr w14:paraId="4FC22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9" w:hRule="atLeast"/>
          <w:jc w:val="center"/>
        </w:trPr>
        <w:tc>
          <w:tcPr>
            <w:tcW w:w="231" w:type="pct"/>
            <w:vAlign w:val="center"/>
          </w:tcPr>
          <w:p w14:paraId="0F0B492E">
            <w:pPr>
              <w:jc w:val="center"/>
              <w:rPr>
                <w:rFonts w:hint="eastAsia"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rPr>
              <w:t>D</w:t>
            </w:r>
            <w:r>
              <w:rPr>
                <w:rFonts w:hint="eastAsia" w:ascii="Times New Roman" w:hAnsi="Times New Roman" w:eastAsia="宋体" w:cs="Times New Roman"/>
                <w:color w:val="auto"/>
                <w:sz w:val="22"/>
                <w:szCs w:val="24"/>
                <w:lang w:val="en-US" w:eastAsia="zh-CN"/>
              </w:rPr>
              <w:t>4</w:t>
            </w:r>
          </w:p>
        </w:tc>
        <w:tc>
          <w:tcPr>
            <w:tcW w:w="335" w:type="pct"/>
            <w:vAlign w:val="center"/>
          </w:tcPr>
          <w:p w14:paraId="3F03135F">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龙腾生物厂内检测井</w:t>
            </w:r>
          </w:p>
        </w:tc>
        <w:tc>
          <w:tcPr>
            <w:tcW w:w="518" w:type="pct"/>
            <w:vAlign w:val="center"/>
          </w:tcPr>
          <w:p w14:paraId="740AFD0C">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下游</w:t>
            </w:r>
          </w:p>
        </w:tc>
        <w:tc>
          <w:tcPr>
            <w:tcW w:w="518" w:type="pct"/>
            <w:vAlign w:val="center"/>
          </w:tcPr>
          <w:p w14:paraId="649AB7E2">
            <w:pPr>
              <w:jc w:val="center"/>
              <w:rPr>
                <w:rFonts w:hint="eastAsia"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厂区内</w:t>
            </w:r>
          </w:p>
        </w:tc>
        <w:tc>
          <w:tcPr>
            <w:tcW w:w="1697" w:type="pct"/>
            <w:vAlign w:val="center"/>
          </w:tcPr>
          <w:p w14:paraId="1E8D4321">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水位</w:t>
            </w:r>
          </w:p>
        </w:tc>
        <w:tc>
          <w:tcPr>
            <w:tcW w:w="1291" w:type="pct"/>
            <w:vAlign w:val="center"/>
          </w:tcPr>
          <w:p w14:paraId="2C54FD4A">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《湖南利尔生物科技有限公司生物发酵技术产业建设项目环境影响报告书》</w:t>
            </w:r>
          </w:p>
        </w:tc>
        <w:tc>
          <w:tcPr>
            <w:tcW w:w="408" w:type="pct"/>
            <w:vAlign w:val="center"/>
          </w:tcPr>
          <w:p w14:paraId="5385D17B">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2022年3月1日</w:t>
            </w:r>
          </w:p>
        </w:tc>
      </w:tr>
      <w:tr w14:paraId="73196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1" w:type="pct"/>
            <w:vAlign w:val="center"/>
          </w:tcPr>
          <w:p w14:paraId="58FBF40A">
            <w:pPr>
              <w:jc w:val="center"/>
              <w:rPr>
                <w:rFonts w:hint="eastAsia"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rPr>
              <w:t>D</w:t>
            </w:r>
            <w:r>
              <w:rPr>
                <w:rFonts w:hint="eastAsia" w:ascii="Times New Roman" w:hAnsi="Times New Roman" w:eastAsia="宋体" w:cs="Times New Roman"/>
                <w:color w:val="auto"/>
                <w:sz w:val="22"/>
                <w:szCs w:val="24"/>
                <w:lang w:val="en-US" w:eastAsia="zh-CN"/>
              </w:rPr>
              <w:t>5</w:t>
            </w:r>
          </w:p>
        </w:tc>
        <w:tc>
          <w:tcPr>
            <w:tcW w:w="335" w:type="pct"/>
            <w:vAlign w:val="center"/>
          </w:tcPr>
          <w:p w14:paraId="54CE0530">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引航生物厂内监测井</w:t>
            </w:r>
          </w:p>
        </w:tc>
        <w:tc>
          <w:tcPr>
            <w:tcW w:w="518" w:type="pct"/>
            <w:vAlign w:val="center"/>
          </w:tcPr>
          <w:p w14:paraId="7EA9EF4E">
            <w:pPr>
              <w:jc w:val="center"/>
              <w:rPr>
                <w:rFonts w:hint="eastAsia"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上游</w:t>
            </w:r>
          </w:p>
        </w:tc>
        <w:tc>
          <w:tcPr>
            <w:tcW w:w="518" w:type="pct"/>
            <w:vAlign w:val="center"/>
          </w:tcPr>
          <w:p w14:paraId="584E809D">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西</w:t>
            </w:r>
            <w:r>
              <w:rPr>
                <w:rFonts w:hint="eastAsia" w:ascii="Times New Roman" w:hAnsi="Times New Roman" w:eastAsia="宋体" w:cs="Times New Roman"/>
                <w:color w:val="auto"/>
                <w:sz w:val="22"/>
                <w:szCs w:val="24"/>
                <w:lang w:val="en-US" w:eastAsia="zh-CN"/>
              </w:rPr>
              <w:t>被</w:t>
            </w:r>
            <w:r>
              <w:rPr>
                <w:rFonts w:hint="eastAsia" w:ascii="Times New Roman" w:hAnsi="Times New Roman" w:eastAsia="宋体" w:cs="Times New Roman"/>
                <w:color w:val="auto"/>
                <w:sz w:val="22"/>
                <w:szCs w:val="24"/>
              </w:rPr>
              <w:t>侧</w:t>
            </w:r>
            <w:r>
              <w:rPr>
                <w:rFonts w:hint="eastAsia" w:ascii="Times New Roman" w:hAnsi="Times New Roman" w:eastAsia="宋体" w:cs="Times New Roman"/>
                <w:color w:val="auto"/>
                <w:sz w:val="22"/>
                <w:szCs w:val="24"/>
                <w:lang w:val="en-US" w:eastAsia="zh-CN"/>
              </w:rPr>
              <w:t>1673</w:t>
            </w:r>
            <w:r>
              <w:rPr>
                <w:rFonts w:hint="eastAsia" w:ascii="Times New Roman" w:hAnsi="Times New Roman" w:eastAsia="宋体" w:cs="Times New Roman"/>
                <w:color w:val="auto"/>
                <w:sz w:val="22"/>
                <w:szCs w:val="24"/>
              </w:rPr>
              <w:t>m</w:t>
            </w:r>
          </w:p>
        </w:tc>
        <w:tc>
          <w:tcPr>
            <w:tcW w:w="1697" w:type="pct"/>
            <w:vAlign w:val="center"/>
          </w:tcPr>
          <w:p w14:paraId="56A8FBD9">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水位</w:t>
            </w:r>
          </w:p>
        </w:tc>
        <w:tc>
          <w:tcPr>
            <w:tcW w:w="1291" w:type="pct"/>
            <w:vAlign w:val="center"/>
          </w:tcPr>
          <w:p w14:paraId="2BD2947E">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《湖南利尔生物科技有限公司生物发酵技术产业建设项目环境影响报告书》</w:t>
            </w:r>
          </w:p>
        </w:tc>
        <w:tc>
          <w:tcPr>
            <w:tcW w:w="408" w:type="pct"/>
            <w:vAlign w:val="center"/>
          </w:tcPr>
          <w:p w14:paraId="48976563">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2022年3月1日</w:t>
            </w:r>
          </w:p>
        </w:tc>
      </w:tr>
      <w:tr w14:paraId="377E2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1" w:type="pct"/>
            <w:vAlign w:val="center"/>
          </w:tcPr>
          <w:p w14:paraId="12430FE6">
            <w:pPr>
              <w:jc w:val="center"/>
              <w:rPr>
                <w:rFonts w:hint="eastAsia"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rPr>
              <w:t>D</w:t>
            </w:r>
            <w:r>
              <w:rPr>
                <w:rFonts w:hint="eastAsia" w:ascii="Times New Roman" w:hAnsi="Times New Roman" w:eastAsia="宋体" w:cs="Times New Roman"/>
                <w:color w:val="auto"/>
                <w:sz w:val="22"/>
                <w:szCs w:val="24"/>
                <w:lang w:val="en-US" w:eastAsia="zh-CN"/>
              </w:rPr>
              <w:t>6</w:t>
            </w:r>
          </w:p>
        </w:tc>
        <w:tc>
          <w:tcPr>
            <w:tcW w:w="335" w:type="pct"/>
            <w:vAlign w:val="center"/>
          </w:tcPr>
          <w:p w14:paraId="31C5A500">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利尔生物厂区内</w:t>
            </w:r>
          </w:p>
        </w:tc>
        <w:tc>
          <w:tcPr>
            <w:tcW w:w="518" w:type="pct"/>
            <w:vAlign w:val="center"/>
          </w:tcPr>
          <w:p w14:paraId="0657BE8E">
            <w:pPr>
              <w:jc w:val="center"/>
              <w:rPr>
                <w:rFonts w:hint="eastAsia" w:ascii="Times New Roman" w:hAnsi="Times New Roman" w:eastAsia="宋体" w:cs="Times New Roman"/>
                <w:color w:val="auto"/>
                <w:sz w:val="22"/>
                <w:szCs w:val="24"/>
                <w:lang w:eastAsia="zh-CN"/>
              </w:rPr>
            </w:pPr>
            <w:r>
              <w:rPr>
                <w:rFonts w:hint="eastAsia" w:ascii="Times New Roman" w:hAnsi="Times New Roman" w:eastAsia="宋体" w:cs="Times New Roman"/>
                <w:color w:val="auto"/>
                <w:sz w:val="22"/>
                <w:szCs w:val="24"/>
                <w:lang w:val="en-US" w:eastAsia="zh-CN"/>
              </w:rPr>
              <w:t>上游</w:t>
            </w:r>
          </w:p>
        </w:tc>
        <w:tc>
          <w:tcPr>
            <w:tcW w:w="518" w:type="pct"/>
            <w:vAlign w:val="center"/>
          </w:tcPr>
          <w:p w14:paraId="6F3600FC">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西南侧</w:t>
            </w:r>
            <w:r>
              <w:rPr>
                <w:rFonts w:hint="eastAsia" w:ascii="Times New Roman" w:hAnsi="Times New Roman" w:eastAsia="宋体" w:cs="Times New Roman"/>
                <w:color w:val="auto"/>
                <w:sz w:val="22"/>
                <w:szCs w:val="24"/>
                <w:lang w:val="en-US" w:eastAsia="zh-CN"/>
              </w:rPr>
              <w:t>2021</w:t>
            </w:r>
            <w:r>
              <w:rPr>
                <w:rFonts w:hint="eastAsia" w:ascii="Times New Roman" w:hAnsi="Times New Roman" w:eastAsia="宋体" w:cs="Times New Roman"/>
                <w:color w:val="auto"/>
                <w:sz w:val="22"/>
                <w:szCs w:val="24"/>
              </w:rPr>
              <w:t>m</w:t>
            </w:r>
          </w:p>
        </w:tc>
        <w:tc>
          <w:tcPr>
            <w:tcW w:w="1697" w:type="pct"/>
            <w:vAlign w:val="center"/>
          </w:tcPr>
          <w:p w14:paraId="05D0B49E">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水位</w:t>
            </w:r>
          </w:p>
        </w:tc>
        <w:tc>
          <w:tcPr>
            <w:tcW w:w="1291" w:type="pct"/>
            <w:vAlign w:val="center"/>
          </w:tcPr>
          <w:p w14:paraId="32ADC89F">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《湖南利尔生物科技有限公司生物发酵技术产业建设项目环境影响报告书》</w:t>
            </w:r>
          </w:p>
        </w:tc>
        <w:tc>
          <w:tcPr>
            <w:tcW w:w="408" w:type="pct"/>
            <w:vAlign w:val="center"/>
          </w:tcPr>
          <w:p w14:paraId="4FF65094">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2022年3月1日</w:t>
            </w:r>
          </w:p>
        </w:tc>
      </w:tr>
    </w:tbl>
    <w:p w14:paraId="712CF5FC">
      <w:pPr>
        <w:spacing w:line="360" w:lineRule="auto"/>
        <w:ind w:firstLine="480" w:firstLineChars="200"/>
        <w:rPr>
          <w:rFonts w:ascii="Times New Roman" w:hAnsi="Times New Roman" w:eastAsia="宋体" w:cs="宋体"/>
          <w:color w:val="FF0000"/>
          <w:sz w:val="24"/>
          <w:szCs w:val="24"/>
        </w:rPr>
      </w:pPr>
    </w:p>
    <w:p w14:paraId="4F3CA546">
      <w:pPr>
        <w:pStyle w:val="6"/>
        <w:bidi w:val="0"/>
      </w:pPr>
      <w:r>
        <w:rPr>
          <w:rFonts w:hint="eastAsia"/>
        </w:rPr>
        <w:t>表5.4.3-2    地下水现状监测结果统计与评价  单位：mg/L（pH无量纲、水位m）</w:t>
      </w:r>
    </w:p>
    <w:tbl>
      <w:tblPr>
        <w:tblStyle w:val="41"/>
        <w:tblW w:w="499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20"/>
        <w:gridCol w:w="1687"/>
        <w:gridCol w:w="1721"/>
        <w:gridCol w:w="1585"/>
        <w:gridCol w:w="1749"/>
        <w:gridCol w:w="1845"/>
        <w:gridCol w:w="1460"/>
        <w:gridCol w:w="1379"/>
      </w:tblGrid>
      <w:tr w14:paraId="767CC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 w:type="pct"/>
            <w:vMerge w:val="restart"/>
            <w:vAlign w:val="center"/>
          </w:tcPr>
          <w:p w14:paraId="649D53CE">
            <w:pPr>
              <w:jc w:val="center"/>
              <w:rPr>
                <w:rFonts w:hint="eastAsia" w:ascii="宋体" w:hAnsi="宋体" w:eastAsia="宋体" w:cs="宋体"/>
                <w:b/>
                <w:bCs/>
                <w:color w:val="auto"/>
                <w:szCs w:val="21"/>
              </w:rPr>
            </w:pPr>
            <w:r>
              <w:rPr>
                <w:rFonts w:hint="eastAsia" w:ascii="宋体" w:hAnsi="宋体" w:eastAsia="宋体" w:cs="宋体"/>
                <w:b/>
                <w:bCs/>
                <w:color w:val="auto"/>
                <w:szCs w:val="21"/>
              </w:rPr>
              <w:t>检测项目</w:t>
            </w:r>
          </w:p>
        </w:tc>
        <w:tc>
          <w:tcPr>
            <w:tcW w:w="3550" w:type="pct"/>
            <w:gridSpan w:val="6"/>
            <w:vAlign w:val="center"/>
          </w:tcPr>
          <w:p w14:paraId="02A4FCD3">
            <w:pPr>
              <w:jc w:val="center"/>
              <w:rPr>
                <w:rFonts w:hint="eastAsia" w:ascii="宋体" w:hAnsi="宋体" w:eastAsia="宋体" w:cs="宋体"/>
                <w:b/>
                <w:bCs/>
                <w:color w:val="auto"/>
                <w:szCs w:val="21"/>
              </w:rPr>
            </w:pPr>
            <w:r>
              <w:rPr>
                <w:rFonts w:hint="eastAsia" w:ascii="宋体" w:hAnsi="宋体" w:eastAsia="宋体" w:cs="宋体"/>
                <w:b/>
                <w:bCs/>
                <w:color w:val="auto"/>
                <w:szCs w:val="21"/>
              </w:rPr>
              <w:t>监测点位</w:t>
            </w:r>
          </w:p>
        </w:tc>
        <w:tc>
          <w:tcPr>
            <w:tcW w:w="487" w:type="pct"/>
            <w:vMerge w:val="restart"/>
            <w:vAlign w:val="center"/>
          </w:tcPr>
          <w:p w14:paraId="0E83EF37">
            <w:pPr>
              <w:jc w:val="center"/>
              <w:rPr>
                <w:rFonts w:hint="eastAsia" w:ascii="宋体" w:hAnsi="宋体" w:eastAsia="宋体" w:cs="宋体"/>
                <w:color w:val="auto"/>
                <w:szCs w:val="21"/>
              </w:rPr>
            </w:pPr>
            <w:r>
              <w:rPr>
                <w:rFonts w:hint="eastAsia" w:ascii="宋体" w:hAnsi="宋体" w:eastAsia="宋体" w:cs="宋体"/>
                <w:b/>
                <w:bCs/>
                <w:color w:val="auto"/>
                <w:szCs w:val="21"/>
              </w:rPr>
              <w:t>标准值</w:t>
            </w:r>
          </w:p>
        </w:tc>
      </w:tr>
      <w:tr w14:paraId="0693F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 w:type="pct"/>
            <w:vMerge w:val="continue"/>
            <w:vAlign w:val="center"/>
          </w:tcPr>
          <w:p w14:paraId="2CB1B7DC">
            <w:pPr>
              <w:jc w:val="center"/>
              <w:rPr>
                <w:rFonts w:hint="eastAsia" w:ascii="宋体" w:hAnsi="宋体" w:eastAsia="宋体" w:cs="宋体"/>
                <w:b/>
                <w:bCs/>
                <w:color w:val="auto"/>
                <w:szCs w:val="21"/>
              </w:rPr>
            </w:pPr>
          </w:p>
        </w:tc>
        <w:tc>
          <w:tcPr>
            <w:tcW w:w="1204" w:type="pct"/>
            <w:gridSpan w:val="2"/>
            <w:vAlign w:val="center"/>
          </w:tcPr>
          <w:p w14:paraId="38E740C6">
            <w:pPr>
              <w:jc w:val="center"/>
              <w:rPr>
                <w:rFonts w:hint="eastAsia" w:ascii="宋体" w:hAnsi="宋体" w:eastAsia="宋体" w:cs="宋体"/>
                <w:b/>
                <w:bCs/>
                <w:color w:val="auto"/>
                <w:szCs w:val="21"/>
              </w:rPr>
            </w:pPr>
            <w:r>
              <w:rPr>
                <w:rFonts w:hint="eastAsia" w:ascii="宋体" w:hAnsi="宋体" w:eastAsia="宋体" w:cs="宋体"/>
                <w:b/>
                <w:bCs/>
                <w:color w:val="auto"/>
                <w:szCs w:val="21"/>
              </w:rPr>
              <w:t>D1</w:t>
            </w:r>
          </w:p>
        </w:tc>
        <w:tc>
          <w:tcPr>
            <w:tcW w:w="1178" w:type="pct"/>
            <w:gridSpan w:val="2"/>
            <w:vAlign w:val="center"/>
          </w:tcPr>
          <w:p w14:paraId="1AACBB35">
            <w:pPr>
              <w:jc w:val="center"/>
              <w:rPr>
                <w:rFonts w:hint="eastAsia" w:ascii="宋体" w:hAnsi="宋体" w:eastAsia="宋体" w:cs="宋体"/>
                <w:b/>
                <w:bCs/>
                <w:color w:val="auto"/>
                <w:szCs w:val="21"/>
              </w:rPr>
            </w:pPr>
            <w:r>
              <w:rPr>
                <w:rFonts w:hint="eastAsia" w:ascii="宋体" w:hAnsi="宋体" w:eastAsia="宋体" w:cs="宋体"/>
                <w:b/>
                <w:bCs/>
                <w:color w:val="auto"/>
                <w:szCs w:val="21"/>
              </w:rPr>
              <w:t>D2</w:t>
            </w:r>
          </w:p>
        </w:tc>
        <w:tc>
          <w:tcPr>
            <w:tcW w:w="1167" w:type="pct"/>
            <w:gridSpan w:val="2"/>
            <w:vAlign w:val="center"/>
          </w:tcPr>
          <w:p w14:paraId="577D6893">
            <w:pPr>
              <w:jc w:val="center"/>
              <w:rPr>
                <w:rFonts w:hint="eastAsia" w:ascii="宋体" w:hAnsi="宋体" w:eastAsia="宋体" w:cs="宋体"/>
                <w:b/>
                <w:bCs/>
                <w:color w:val="auto"/>
                <w:szCs w:val="21"/>
              </w:rPr>
            </w:pPr>
            <w:r>
              <w:rPr>
                <w:rFonts w:hint="eastAsia" w:ascii="宋体" w:hAnsi="宋体" w:eastAsia="宋体" w:cs="宋体"/>
                <w:b/>
                <w:bCs/>
                <w:color w:val="auto"/>
                <w:szCs w:val="21"/>
              </w:rPr>
              <w:t>D3</w:t>
            </w:r>
          </w:p>
        </w:tc>
        <w:tc>
          <w:tcPr>
            <w:tcW w:w="487" w:type="pct"/>
            <w:vMerge w:val="continue"/>
            <w:vAlign w:val="center"/>
          </w:tcPr>
          <w:p w14:paraId="0121BE73">
            <w:pPr>
              <w:jc w:val="center"/>
              <w:rPr>
                <w:rFonts w:hint="eastAsia" w:ascii="宋体" w:hAnsi="宋体" w:eastAsia="宋体" w:cs="宋体"/>
                <w:color w:val="auto"/>
                <w:szCs w:val="21"/>
              </w:rPr>
            </w:pPr>
          </w:p>
        </w:tc>
      </w:tr>
      <w:tr w14:paraId="39B8C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 w:type="pct"/>
            <w:vMerge w:val="continue"/>
            <w:vAlign w:val="center"/>
          </w:tcPr>
          <w:p w14:paraId="764E439C">
            <w:pPr>
              <w:jc w:val="center"/>
              <w:rPr>
                <w:rFonts w:hint="eastAsia" w:ascii="宋体" w:hAnsi="宋体" w:eastAsia="宋体" w:cs="宋体"/>
                <w:b/>
                <w:bCs/>
                <w:color w:val="auto"/>
                <w:szCs w:val="21"/>
              </w:rPr>
            </w:pPr>
          </w:p>
        </w:tc>
        <w:tc>
          <w:tcPr>
            <w:tcW w:w="596" w:type="pct"/>
            <w:vAlign w:val="center"/>
          </w:tcPr>
          <w:p w14:paraId="3384AEB1">
            <w:pPr>
              <w:jc w:val="center"/>
              <w:rPr>
                <w:rFonts w:hint="eastAsia" w:ascii="宋体" w:hAnsi="宋体" w:eastAsia="宋体" w:cs="宋体"/>
                <w:b/>
                <w:bCs/>
                <w:color w:val="auto"/>
                <w:szCs w:val="21"/>
              </w:rPr>
            </w:pPr>
            <w:r>
              <w:rPr>
                <w:rFonts w:hint="eastAsia" w:ascii="宋体" w:hAnsi="宋体" w:eastAsia="宋体" w:cs="宋体"/>
                <w:b/>
                <w:bCs/>
                <w:color w:val="auto"/>
                <w:szCs w:val="21"/>
              </w:rPr>
              <w:t>监测值</w:t>
            </w:r>
          </w:p>
        </w:tc>
        <w:tc>
          <w:tcPr>
            <w:tcW w:w="608" w:type="pct"/>
            <w:vAlign w:val="center"/>
          </w:tcPr>
          <w:p w14:paraId="042E9000">
            <w:pPr>
              <w:jc w:val="center"/>
              <w:rPr>
                <w:rFonts w:hint="eastAsia" w:ascii="宋体" w:hAnsi="宋体" w:eastAsia="宋体" w:cs="宋体"/>
                <w:b/>
                <w:bCs/>
                <w:color w:val="auto"/>
                <w:szCs w:val="21"/>
              </w:rPr>
            </w:pPr>
            <w:r>
              <w:rPr>
                <w:rFonts w:hint="eastAsia" w:ascii="宋体" w:hAnsi="宋体" w:eastAsia="宋体" w:cs="宋体"/>
                <w:b/>
                <w:bCs/>
                <w:color w:val="auto"/>
                <w:szCs w:val="21"/>
              </w:rPr>
              <w:t>达标情况</w:t>
            </w:r>
          </w:p>
        </w:tc>
        <w:tc>
          <w:tcPr>
            <w:tcW w:w="560" w:type="pct"/>
            <w:vAlign w:val="center"/>
          </w:tcPr>
          <w:p w14:paraId="0956FF5C">
            <w:pPr>
              <w:jc w:val="center"/>
              <w:rPr>
                <w:rFonts w:hint="eastAsia" w:ascii="宋体" w:hAnsi="宋体" w:eastAsia="宋体" w:cs="宋体"/>
                <w:b/>
                <w:bCs/>
                <w:color w:val="auto"/>
                <w:szCs w:val="21"/>
              </w:rPr>
            </w:pPr>
            <w:r>
              <w:rPr>
                <w:rFonts w:hint="eastAsia" w:ascii="宋体" w:hAnsi="宋体" w:eastAsia="宋体" w:cs="宋体"/>
                <w:b/>
                <w:bCs/>
                <w:color w:val="auto"/>
                <w:szCs w:val="21"/>
              </w:rPr>
              <w:t>监测值</w:t>
            </w:r>
          </w:p>
        </w:tc>
        <w:tc>
          <w:tcPr>
            <w:tcW w:w="618" w:type="pct"/>
            <w:vAlign w:val="center"/>
          </w:tcPr>
          <w:p w14:paraId="698F181A">
            <w:pPr>
              <w:jc w:val="center"/>
              <w:rPr>
                <w:rFonts w:hint="eastAsia" w:ascii="宋体" w:hAnsi="宋体" w:eastAsia="宋体" w:cs="宋体"/>
                <w:b/>
                <w:bCs/>
                <w:color w:val="auto"/>
                <w:szCs w:val="21"/>
              </w:rPr>
            </w:pPr>
            <w:r>
              <w:rPr>
                <w:rFonts w:hint="eastAsia" w:ascii="宋体" w:hAnsi="宋体" w:eastAsia="宋体" w:cs="宋体"/>
                <w:b/>
                <w:bCs/>
                <w:color w:val="auto"/>
                <w:szCs w:val="21"/>
              </w:rPr>
              <w:t>达标情况</w:t>
            </w:r>
          </w:p>
        </w:tc>
        <w:tc>
          <w:tcPr>
            <w:tcW w:w="652" w:type="pct"/>
            <w:vAlign w:val="center"/>
          </w:tcPr>
          <w:p w14:paraId="319C99AD">
            <w:pPr>
              <w:jc w:val="center"/>
              <w:rPr>
                <w:rFonts w:hint="eastAsia" w:ascii="宋体" w:hAnsi="宋体" w:eastAsia="宋体" w:cs="宋体"/>
                <w:b/>
                <w:bCs/>
                <w:color w:val="auto"/>
                <w:szCs w:val="21"/>
              </w:rPr>
            </w:pPr>
            <w:r>
              <w:rPr>
                <w:rFonts w:hint="eastAsia" w:ascii="宋体" w:hAnsi="宋体" w:eastAsia="宋体" w:cs="宋体"/>
                <w:b/>
                <w:bCs/>
                <w:color w:val="auto"/>
                <w:szCs w:val="21"/>
              </w:rPr>
              <w:t>监测值</w:t>
            </w:r>
          </w:p>
        </w:tc>
        <w:tc>
          <w:tcPr>
            <w:tcW w:w="515" w:type="pct"/>
            <w:vAlign w:val="center"/>
          </w:tcPr>
          <w:p w14:paraId="227CD94E">
            <w:pPr>
              <w:jc w:val="center"/>
              <w:rPr>
                <w:rFonts w:hint="eastAsia" w:ascii="宋体" w:hAnsi="宋体" w:eastAsia="宋体" w:cs="宋体"/>
                <w:b/>
                <w:bCs/>
                <w:color w:val="auto"/>
                <w:szCs w:val="21"/>
              </w:rPr>
            </w:pPr>
            <w:r>
              <w:rPr>
                <w:rFonts w:hint="eastAsia" w:ascii="宋体" w:hAnsi="宋体" w:eastAsia="宋体" w:cs="宋体"/>
                <w:b/>
                <w:bCs/>
                <w:color w:val="auto"/>
                <w:szCs w:val="21"/>
              </w:rPr>
              <w:t>达标情况</w:t>
            </w:r>
          </w:p>
        </w:tc>
        <w:tc>
          <w:tcPr>
            <w:tcW w:w="487" w:type="pct"/>
            <w:vMerge w:val="continue"/>
            <w:vAlign w:val="center"/>
          </w:tcPr>
          <w:p w14:paraId="2AA93DE9">
            <w:pPr>
              <w:jc w:val="center"/>
              <w:rPr>
                <w:rFonts w:hint="eastAsia" w:ascii="宋体" w:hAnsi="宋体" w:eastAsia="宋体" w:cs="宋体"/>
                <w:color w:val="auto"/>
                <w:szCs w:val="21"/>
              </w:rPr>
            </w:pPr>
          </w:p>
        </w:tc>
      </w:tr>
      <w:tr w14:paraId="54646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 w:type="pct"/>
            <w:vAlign w:val="center"/>
          </w:tcPr>
          <w:p w14:paraId="0187D8C1">
            <w:pPr>
              <w:jc w:val="center"/>
              <w:rPr>
                <w:rFonts w:hint="eastAsia" w:ascii="宋体" w:hAnsi="宋体" w:eastAsia="宋体" w:cs="宋体"/>
                <w:color w:val="auto"/>
                <w:szCs w:val="21"/>
              </w:rPr>
            </w:pPr>
            <w:r>
              <w:rPr>
                <w:rFonts w:hint="eastAsia" w:ascii="宋体" w:hAnsi="宋体" w:eastAsia="宋体" w:cs="宋体"/>
                <w:color w:val="auto"/>
                <w:szCs w:val="21"/>
              </w:rPr>
              <w:t>水位</w:t>
            </w:r>
          </w:p>
        </w:tc>
        <w:tc>
          <w:tcPr>
            <w:tcW w:w="596" w:type="pct"/>
            <w:shd w:val="clear" w:color="auto" w:fill="auto"/>
            <w:vAlign w:val="center"/>
          </w:tcPr>
          <w:p w14:paraId="53932573">
            <w:pPr>
              <w:jc w:val="center"/>
              <w:rPr>
                <w:rFonts w:hint="eastAsia" w:ascii="宋体" w:hAnsi="宋体" w:eastAsia="宋体" w:cs="宋体"/>
                <w:color w:val="auto"/>
                <w:w w:val="90"/>
                <w:kern w:val="2"/>
                <w:sz w:val="21"/>
                <w:szCs w:val="21"/>
                <w:lang w:val="en-US" w:eastAsia="zh-CN" w:bidi="ar-SA"/>
              </w:rPr>
            </w:pPr>
            <w:r>
              <w:rPr>
                <w:rFonts w:hint="eastAsia" w:ascii="宋体" w:hAnsi="宋体" w:eastAsia="宋体" w:cs="宋体"/>
                <w:color w:val="auto"/>
                <w:w w:val="90"/>
                <w:szCs w:val="21"/>
              </w:rPr>
              <w:t>2.1</w:t>
            </w:r>
          </w:p>
        </w:tc>
        <w:tc>
          <w:tcPr>
            <w:tcW w:w="608" w:type="pct"/>
            <w:shd w:val="clear" w:color="auto" w:fill="auto"/>
            <w:vAlign w:val="center"/>
          </w:tcPr>
          <w:p w14:paraId="4F10959A">
            <w:pPr>
              <w:jc w:val="center"/>
              <w:rPr>
                <w:rFonts w:hint="eastAsia" w:ascii="宋体" w:hAnsi="宋体" w:eastAsia="宋体" w:cs="宋体"/>
                <w:color w:val="auto"/>
                <w:w w:val="90"/>
                <w:kern w:val="2"/>
                <w:sz w:val="21"/>
                <w:szCs w:val="21"/>
                <w:lang w:val="en-US" w:eastAsia="zh-CN" w:bidi="ar-SA"/>
              </w:rPr>
            </w:pPr>
            <w:r>
              <w:rPr>
                <w:rFonts w:hint="eastAsia" w:ascii="宋体" w:hAnsi="宋体" w:eastAsia="宋体" w:cs="宋体"/>
                <w:color w:val="auto"/>
                <w:w w:val="90"/>
                <w:szCs w:val="21"/>
              </w:rPr>
              <w:t>/</w:t>
            </w:r>
          </w:p>
        </w:tc>
        <w:tc>
          <w:tcPr>
            <w:tcW w:w="560" w:type="pct"/>
            <w:shd w:val="clear" w:color="auto" w:fill="auto"/>
            <w:vAlign w:val="center"/>
          </w:tcPr>
          <w:p w14:paraId="4A481EAB">
            <w:pPr>
              <w:jc w:val="center"/>
              <w:rPr>
                <w:rFonts w:hint="eastAsia" w:ascii="宋体" w:hAnsi="宋体" w:eastAsia="宋体" w:cs="宋体"/>
                <w:color w:val="auto"/>
                <w:w w:val="90"/>
                <w:kern w:val="2"/>
                <w:sz w:val="21"/>
                <w:szCs w:val="21"/>
                <w:lang w:val="en-US" w:eastAsia="zh-CN" w:bidi="ar-SA"/>
              </w:rPr>
            </w:pPr>
            <w:r>
              <w:rPr>
                <w:rFonts w:hint="eastAsia" w:ascii="宋体" w:hAnsi="宋体" w:eastAsia="宋体" w:cs="宋体"/>
                <w:color w:val="auto"/>
                <w:w w:val="90"/>
                <w:szCs w:val="21"/>
              </w:rPr>
              <w:t>12.5</w:t>
            </w:r>
          </w:p>
        </w:tc>
        <w:tc>
          <w:tcPr>
            <w:tcW w:w="618" w:type="pct"/>
            <w:shd w:val="clear" w:color="auto" w:fill="auto"/>
            <w:vAlign w:val="center"/>
          </w:tcPr>
          <w:p w14:paraId="4BCD6B46">
            <w:pPr>
              <w:jc w:val="center"/>
              <w:rPr>
                <w:rFonts w:hint="eastAsia" w:ascii="宋体" w:hAnsi="宋体" w:eastAsia="宋体" w:cs="宋体"/>
                <w:color w:val="auto"/>
                <w:w w:val="90"/>
                <w:kern w:val="2"/>
                <w:sz w:val="21"/>
                <w:szCs w:val="21"/>
                <w:lang w:val="en-US" w:eastAsia="zh-CN" w:bidi="ar-SA"/>
              </w:rPr>
            </w:pPr>
            <w:r>
              <w:rPr>
                <w:rFonts w:hint="eastAsia" w:ascii="宋体" w:hAnsi="宋体" w:eastAsia="宋体" w:cs="宋体"/>
                <w:color w:val="auto"/>
                <w:w w:val="90"/>
                <w:szCs w:val="21"/>
              </w:rPr>
              <w:t>/</w:t>
            </w:r>
          </w:p>
        </w:tc>
        <w:tc>
          <w:tcPr>
            <w:tcW w:w="652" w:type="pct"/>
            <w:shd w:val="clear" w:color="auto" w:fill="auto"/>
            <w:vAlign w:val="center"/>
          </w:tcPr>
          <w:p w14:paraId="22993E83">
            <w:pPr>
              <w:jc w:val="center"/>
              <w:rPr>
                <w:rFonts w:hint="eastAsia" w:ascii="宋体" w:hAnsi="宋体" w:eastAsia="宋体" w:cs="宋体"/>
                <w:color w:val="auto"/>
                <w:w w:val="90"/>
                <w:kern w:val="2"/>
                <w:sz w:val="21"/>
                <w:szCs w:val="21"/>
                <w:lang w:val="en-US" w:eastAsia="zh-CN" w:bidi="ar-SA"/>
              </w:rPr>
            </w:pPr>
            <w:r>
              <w:rPr>
                <w:rFonts w:hint="eastAsia" w:ascii="宋体" w:hAnsi="宋体" w:eastAsia="宋体" w:cs="宋体"/>
                <w:color w:val="auto"/>
                <w:w w:val="90"/>
                <w:szCs w:val="21"/>
              </w:rPr>
              <w:t>11.6</w:t>
            </w:r>
          </w:p>
        </w:tc>
        <w:tc>
          <w:tcPr>
            <w:tcW w:w="515" w:type="pct"/>
            <w:shd w:val="clear" w:color="auto" w:fill="auto"/>
            <w:vAlign w:val="center"/>
          </w:tcPr>
          <w:p w14:paraId="6F1E10F9">
            <w:pPr>
              <w:jc w:val="center"/>
              <w:rPr>
                <w:rFonts w:hint="eastAsia" w:ascii="宋体" w:hAnsi="宋体" w:eastAsia="宋体" w:cs="宋体"/>
                <w:color w:val="auto"/>
                <w:w w:val="90"/>
                <w:szCs w:val="21"/>
              </w:rPr>
            </w:pPr>
            <w:r>
              <w:rPr>
                <w:rFonts w:hint="eastAsia" w:ascii="宋体" w:hAnsi="宋体" w:eastAsia="宋体" w:cs="宋体"/>
                <w:color w:val="auto"/>
                <w:w w:val="90"/>
                <w:szCs w:val="21"/>
              </w:rPr>
              <w:t>/</w:t>
            </w:r>
          </w:p>
        </w:tc>
        <w:tc>
          <w:tcPr>
            <w:tcW w:w="487" w:type="pct"/>
            <w:vAlign w:val="center"/>
          </w:tcPr>
          <w:p w14:paraId="6F7E1E7C">
            <w:pPr>
              <w:jc w:val="center"/>
              <w:rPr>
                <w:rFonts w:hint="eastAsia" w:ascii="宋体" w:hAnsi="宋体" w:eastAsia="宋体" w:cs="宋体"/>
                <w:color w:val="auto"/>
                <w:w w:val="90"/>
                <w:szCs w:val="21"/>
              </w:rPr>
            </w:pPr>
          </w:p>
        </w:tc>
      </w:tr>
      <w:tr w14:paraId="378CD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961" w:type="pct"/>
            <w:vAlign w:val="center"/>
          </w:tcPr>
          <w:p w14:paraId="2B1BB78E">
            <w:pPr>
              <w:jc w:val="center"/>
              <w:rPr>
                <w:rFonts w:hint="eastAsia" w:ascii="宋体" w:hAnsi="宋体" w:eastAsia="宋体" w:cs="宋体"/>
                <w:color w:val="auto"/>
                <w:szCs w:val="21"/>
              </w:rPr>
            </w:pPr>
            <w:r>
              <w:rPr>
                <w:rFonts w:hint="eastAsia" w:ascii="宋体" w:hAnsi="宋体" w:eastAsia="宋体" w:cs="宋体"/>
                <w:color w:val="auto"/>
                <w:szCs w:val="21"/>
              </w:rPr>
              <w:t>pH值</w:t>
            </w:r>
          </w:p>
        </w:tc>
        <w:tc>
          <w:tcPr>
            <w:tcW w:w="596" w:type="pct"/>
            <w:shd w:val="clear" w:color="auto" w:fill="auto"/>
            <w:vAlign w:val="center"/>
          </w:tcPr>
          <w:p w14:paraId="615D84AC">
            <w:pPr>
              <w:jc w:val="center"/>
              <w:rPr>
                <w:rFonts w:hint="eastAsia" w:ascii="宋体" w:hAnsi="宋体" w:eastAsia="宋体" w:cs="宋体"/>
                <w:color w:val="auto"/>
                <w:w w:val="90"/>
                <w:kern w:val="2"/>
                <w:sz w:val="21"/>
                <w:szCs w:val="21"/>
                <w:lang w:val="en-US" w:eastAsia="zh-CN" w:bidi="ar-SA"/>
              </w:rPr>
            </w:pPr>
            <w:r>
              <w:rPr>
                <w:rFonts w:hint="eastAsia" w:ascii="宋体" w:hAnsi="宋体" w:eastAsia="宋体" w:cs="宋体"/>
                <w:color w:val="auto"/>
                <w:w w:val="90"/>
                <w:szCs w:val="21"/>
              </w:rPr>
              <w:t>7</w:t>
            </w:r>
          </w:p>
        </w:tc>
        <w:tc>
          <w:tcPr>
            <w:tcW w:w="608" w:type="pct"/>
            <w:shd w:val="clear" w:color="auto" w:fill="auto"/>
            <w:vAlign w:val="center"/>
          </w:tcPr>
          <w:p w14:paraId="5BB79C44">
            <w:pPr>
              <w:jc w:val="center"/>
              <w:rPr>
                <w:rFonts w:hint="eastAsia" w:ascii="宋体" w:hAnsi="宋体" w:eastAsia="宋体" w:cs="宋体"/>
                <w:color w:val="auto"/>
                <w:w w:val="90"/>
                <w:kern w:val="2"/>
                <w:sz w:val="21"/>
                <w:szCs w:val="21"/>
                <w:lang w:val="en-US" w:eastAsia="zh-CN" w:bidi="ar-SA"/>
              </w:rPr>
            </w:pPr>
            <w:r>
              <w:rPr>
                <w:rFonts w:hint="eastAsia" w:ascii="宋体" w:hAnsi="宋体" w:eastAsia="宋体" w:cs="宋体"/>
                <w:color w:val="auto"/>
                <w:w w:val="90"/>
                <w:szCs w:val="21"/>
              </w:rPr>
              <w:t>达标</w:t>
            </w:r>
          </w:p>
        </w:tc>
        <w:tc>
          <w:tcPr>
            <w:tcW w:w="560" w:type="pct"/>
            <w:shd w:val="clear" w:color="auto" w:fill="auto"/>
            <w:vAlign w:val="center"/>
          </w:tcPr>
          <w:p w14:paraId="2DF2B81E">
            <w:pPr>
              <w:jc w:val="center"/>
              <w:rPr>
                <w:rFonts w:hint="eastAsia" w:ascii="宋体" w:hAnsi="宋体" w:eastAsia="宋体" w:cs="宋体"/>
                <w:color w:val="auto"/>
                <w:w w:val="90"/>
                <w:kern w:val="2"/>
                <w:sz w:val="21"/>
                <w:szCs w:val="21"/>
                <w:lang w:val="en-US" w:eastAsia="zh-CN" w:bidi="ar-SA"/>
              </w:rPr>
            </w:pPr>
            <w:r>
              <w:rPr>
                <w:rFonts w:hint="eastAsia" w:ascii="宋体" w:hAnsi="宋体" w:eastAsia="宋体" w:cs="宋体"/>
                <w:color w:val="auto"/>
                <w:w w:val="90"/>
                <w:szCs w:val="21"/>
              </w:rPr>
              <w:t>7.2</w:t>
            </w:r>
          </w:p>
        </w:tc>
        <w:tc>
          <w:tcPr>
            <w:tcW w:w="618" w:type="pct"/>
            <w:shd w:val="clear" w:color="auto" w:fill="auto"/>
            <w:vAlign w:val="center"/>
          </w:tcPr>
          <w:p w14:paraId="538E2174">
            <w:pPr>
              <w:jc w:val="center"/>
              <w:rPr>
                <w:rFonts w:hint="eastAsia" w:ascii="宋体" w:hAnsi="宋体" w:eastAsia="宋体" w:cs="宋体"/>
                <w:color w:val="auto"/>
                <w:w w:val="90"/>
                <w:kern w:val="2"/>
                <w:sz w:val="21"/>
                <w:szCs w:val="21"/>
                <w:lang w:val="en-US" w:eastAsia="zh-CN" w:bidi="ar-SA"/>
              </w:rPr>
            </w:pPr>
            <w:r>
              <w:rPr>
                <w:rFonts w:hint="eastAsia" w:ascii="宋体" w:hAnsi="宋体" w:eastAsia="宋体" w:cs="宋体"/>
                <w:color w:val="auto"/>
                <w:w w:val="90"/>
                <w:szCs w:val="21"/>
              </w:rPr>
              <w:t>达标</w:t>
            </w:r>
          </w:p>
        </w:tc>
        <w:tc>
          <w:tcPr>
            <w:tcW w:w="652" w:type="pct"/>
            <w:shd w:val="clear" w:color="auto" w:fill="auto"/>
            <w:vAlign w:val="center"/>
          </w:tcPr>
          <w:p w14:paraId="0EA62EB8">
            <w:pPr>
              <w:jc w:val="center"/>
              <w:rPr>
                <w:rFonts w:hint="eastAsia" w:ascii="宋体" w:hAnsi="宋体" w:eastAsia="宋体" w:cs="宋体"/>
                <w:color w:val="auto"/>
                <w:w w:val="90"/>
                <w:kern w:val="2"/>
                <w:sz w:val="21"/>
                <w:szCs w:val="21"/>
                <w:lang w:val="en-US" w:eastAsia="zh-CN" w:bidi="ar-SA"/>
              </w:rPr>
            </w:pPr>
            <w:r>
              <w:rPr>
                <w:rFonts w:hint="eastAsia" w:ascii="宋体" w:hAnsi="宋体" w:eastAsia="宋体" w:cs="宋体"/>
                <w:color w:val="auto"/>
                <w:w w:val="90"/>
                <w:szCs w:val="21"/>
              </w:rPr>
              <w:t>6.8</w:t>
            </w:r>
          </w:p>
        </w:tc>
        <w:tc>
          <w:tcPr>
            <w:tcW w:w="515" w:type="pct"/>
            <w:shd w:val="clear" w:color="auto" w:fill="auto"/>
            <w:vAlign w:val="center"/>
          </w:tcPr>
          <w:p w14:paraId="4FD77EA0">
            <w:pPr>
              <w:jc w:val="center"/>
              <w:rPr>
                <w:rFonts w:hint="eastAsia" w:ascii="宋体" w:hAnsi="宋体" w:eastAsia="宋体" w:cs="宋体"/>
                <w:color w:val="auto"/>
                <w:w w:val="90"/>
                <w:szCs w:val="21"/>
              </w:rPr>
            </w:pPr>
            <w:r>
              <w:rPr>
                <w:rFonts w:hint="eastAsia" w:ascii="宋体" w:hAnsi="宋体" w:eastAsia="宋体" w:cs="宋体"/>
                <w:color w:val="auto"/>
                <w:w w:val="90"/>
                <w:szCs w:val="21"/>
              </w:rPr>
              <w:t>达标</w:t>
            </w:r>
          </w:p>
        </w:tc>
        <w:tc>
          <w:tcPr>
            <w:tcW w:w="487" w:type="pct"/>
            <w:vAlign w:val="center"/>
          </w:tcPr>
          <w:p w14:paraId="19218F8D">
            <w:pPr>
              <w:jc w:val="center"/>
              <w:rPr>
                <w:rFonts w:hint="eastAsia" w:ascii="宋体" w:hAnsi="宋体" w:eastAsia="宋体" w:cs="宋体"/>
                <w:color w:val="auto"/>
                <w:w w:val="90"/>
                <w:szCs w:val="21"/>
              </w:rPr>
            </w:pPr>
            <w:r>
              <w:rPr>
                <w:rFonts w:hint="eastAsia" w:ascii="宋体" w:hAnsi="宋体" w:eastAsia="宋体" w:cs="宋体"/>
                <w:color w:val="auto"/>
                <w:w w:val="90"/>
                <w:szCs w:val="21"/>
              </w:rPr>
              <w:t>6.5-8.5</w:t>
            </w:r>
          </w:p>
        </w:tc>
      </w:tr>
      <w:tr w14:paraId="05414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 w:type="pct"/>
            <w:vAlign w:val="center"/>
          </w:tcPr>
          <w:p w14:paraId="31EF4C02">
            <w:pPr>
              <w:jc w:val="center"/>
              <w:rPr>
                <w:rFonts w:hint="eastAsia" w:ascii="宋体" w:hAnsi="宋体" w:eastAsia="宋体" w:cs="宋体"/>
                <w:color w:val="auto"/>
                <w:szCs w:val="21"/>
              </w:rPr>
            </w:pPr>
            <w:r>
              <w:rPr>
                <w:rFonts w:hint="eastAsia" w:ascii="宋体" w:hAnsi="宋体" w:eastAsia="宋体" w:cs="宋体"/>
                <w:color w:val="auto"/>
                <w:szCs w:val="21"/>
              </w:rPr>
              <w:t>氨氮</w:t>
            </w:r>
          </w:p>
        </w:tc>
        <w:tc>
          <w:tcPr>
            <w:tcW w:w="596" w:type="pct"/>
            <w:shd w:val="clear" w:color="auto" w:fill="auto"/>
            <w:vAlign w:val="center"/>
          </w:tcPr>
          <w:p w14:paraId="4443A93D">
            <w:pPr>
              <w:jc w:val="center"/>
              <w:rPr>
                <w:rFonts w:hint="eastAsia" w:ascii="宋体" w:hAnsi="宋体" w:eastAsia="宋体" w:cs="宋体"/>
                <w:color w:val="auto"/>
                <w:w w:val="90"/>
                <w:kern w:val="2"/>
                <w:sz w:val="21"/>
                <w:szCs w:val="21"/>
                <w:lang w:val="en-US" w:eastAsia="zh-CN" w:bidi="ar-SA"/>
              </w:rPr>
            </w:pPr>
            <w:r>
              <w:rPr>
                <w:rFonts w:hint="eastAsia" w:ascii="宋体" w:hAnsi="宋体" w:eastAsia="宋体" w:cs="宋体"/>
                <w:color w:val="auto"/>
                <w:w w:val="90"/>
                <w:szCs w:val="21"/>
              </w:rPr>
              <w:t>0.432</w:t>
            </w:r>
          </w:p>
        </w:tc>
        <w:tc>
          <w:tcPr>
            <w:tcW w:w="608" w:type="pct"/>
            <w:shd w:val="clear" w:color="auto" w:fill="auto"/>
            <w:vAlign w:val="center"/>
          </w:tcPr>
          <w:p w14:paraId="72C0720F">
            <w:pPr>
              <w:jc w:val="center"/>
              <w:rPr>
                <w:rFonts w:hint="eastAsia" w:ascii="宋体" w:hAnsi="宋体" w:eastAsia="宋体" w:cs="宋体"/>
                <w:color w:val="auto"/>
                <w:w w:val="90"/>
                <w:kern w:val="2"/>
                <w:sz w:val="21"/>
                <w:szCs w:val="21"/>
                <w:lang w:val="en-US" w:eastAsia="zh-CN" w:bidi="ar-SA"/>
              </w:rPr>
            </w:pPr>
            <w:r>
              <w:rPr>
                <w:rFonts w:hint="eastAsia" w:ascii="宋体" w:hAnsi="宋体" w:eastAsia="宋体" w:cs="宋体"/>
                <w:color w:val="auto"/>
                <w:w w:val="90"/>
                <w:szCs w:val="21"/>
              </w:rPr>
              <w:t>达标</w:t>
            </w:r>
          </w:p>
        </w:tc>
        <w:tc>
          <w:tcPr>
            <w:tcW w:w="560" w:type="pct"/>
            <w:shd w:val="clear" w:color="auto" w:fill="auto"/>
            <w:vAlign w:val="center"/>
          </w:tcPr>
          <w:p w14:paraId="5BE48EAD">
            <w:pPr>
              <w:jc w:val="center"/>
              <w:rPr>
                <w:rFonts w:hint="eastAsia" w:ascii="宋体" w:hAnsi="宋体" w:eastAsia="宋体" w:cs="宋体"/>
                <w:color w:val="auto"/>
                <w:w w:val="90"/>
                <w:kern w:val="2"/>
                <w:sz w:val="21"/>
                <w:szCs w:val="21"/>
                <w:lang w:val="en-US" w:eastAsia="zh-CN" w:bidi="ar-SA"/>
              </w:rPr>
            </w:pPr>
            <w:r>
              <w:rPr>
                <w:rFonts w:hint="eastAsia" w:ascii="宋体" w:hAnsi="宋体" w:eastAsia="宋体" w:cs="宋体"/>
                <w:color w:val="auto"/>
                <w:w w:val="90"/>
                <w:szCs w:val="21"/>
              </w:rPr>
              <w:t>0.262</w:t>
            </w:r>
          </w:p>
        </w:tc>
        <w:tc>
          <w:tcPr>
            <w:tcW w:w="618" w:type="pct"/>
            <w:shd w:val="clear" w:color="auto" w:fill="auto"/>
            <w:vAlign w:val="center"/>
          </w:tcPr>
          <w:p w14:paraId="6A426BF8">
            <w:pPr>
              <w:jc w:val="center"/>
              <w:rPr>
                <w:rFonts w:hint="eastAsia" w:ascii="宋体" w:hAnsi="宋体" w:eastAsia="宋体" w:cs="宋体"/>
                <w:color w:val="auto"/>
                <w:w w:val="90"/>
                <w:kern w:val="2"/>
                <w:sz w:val="21"/>
                <w:szCs w:val="21"/>
                <w:lang w:val="en-US" w:eastAsia="zh-CN" w:bidi="ar-SA"/>
              </w:rPr>
            </w:pPr>
            <w:r>
              <w:rPr>
                <w:rFonts w:hint="eastAsia" w:ascii="宋体" w:hAnsi="宋体" w:eastAsia="宋体" w:cs="宋体"/>
                <w:color w:val="auto"/>
                <w:w w:val="90"/>
                <w:szCs w:val="21"/>
              </w:rPr>
              <w:t>达标</w:t>
            </w:r>
          </w:p>
        </w:tc>
        <w:tc>
          <w:tcPr>
            <w:tcW w:w="652" w:type="pct"/>
            <w:shd w:val="clear" w:color="auto" w:fill="auto"/>
            <w:vAlign w:val="center"/>
          </w:tcPr>
          <w:p w14:paraId="1135033B">
            <w:pPr>
              <w:jc w:val="center"/>
              <w:rPr>
                <w:rFonts w:hint="eastAsia" w:ascii="宋体" w:hAnsi="宋体" w:eastAsia="宋体" w:cs="宋体"/>
                <w:color w:val="auto"/>
                <w:w w:val="90"/>
                <w:kern w:val="2"/>
                <w:sz w:val="21"/>
                <w:szCs w:val="21"/>
                <w:lang w:val="en-US" w:eastAsia="zh-CN" w:bidi="ar-SA"/>
              </w:rPr>
            </w:pPr>
            <w:r>
              <w:rPr>
                <w:rFonts w:hint="eastAsia" w:ascii="宋体" w:hAnsi="宋体" w:eastAsia="宋体" w:cs="宋体"/>
                <w:color w:val="auto"/>
                <w:w w:val="90"/>
                <w:szCs w:val="21"/>
              </w:rPr>
              <w:t>0.148</w:t>
            </w:r>
          </w:p>
        </w:tc>
        <w:tc>
          <w:tcPr>
            <w:tcW w:w="515" w:type="pct"/>
            <w:shd w:val="clear" w:color="auto" w:fill="auto"/>
            <w:vAlign w:val="center"/>
          </w:tcPr>
          <w:p w14:paraId="3332ADDF">
            <w:pPr>
              <w:jc w:val="center"/>
              <w:rPr>
                <w:rFonts w:hint="eastAsia" w:ascii="宋体" w:hAnsi="宋体" w:eastAsia="宋体" w:cs="宋体"/>
                <w:color w:val="auto"/>
                <w:w w:val="90"/>
                <w:szCs w:val="21"/>
              </w:rPr>
            </w:pPr>
            <w:r>
              <w:rPr>
                <w:rFonts w:hint="eastAsia" w:ascii="宋体" w:hAnsi="宋体" w:eastAsia="宋体" w:cs="宋体"/>
                <w:color w:val="auto"/>
                <w:w w:val="90"/>
                <w:szCs w:val="21"/>
              </w:rPr>
              <w:t>达标</w:t>
            </w:r>
          </w:p>
        </w:tc>
        <w:tc>
          <w:tcPr>
            <w:tcW w:w="487" w:type="pct"/>
            <w:vAlign w:val="center"/>
          </w:tcPr>
          <w:p w14:paraId="3A450799">
            <w:pPr>
              <w:jc w:val="center"/>
              <w:rPr>
                <w:rFonts w:hint="eastAsia" w:ascii="宋体" w:hAnsi="宋体" w:eastAsia="宋体" w:cs="宋体"/>
                <w:color w:val="auto"/>
                <w:w w:val="90"/>
                <w:szCs w:val="21"/>
              </w:rPr>
            </w:pPr>
            <w:r>
              <w:rPr>
                <w:rFonts w:hint="eastAsia" w:ascii="宋体" w:hAnsi="宋体" w:eastAsia="宋体" w:cs="宋体"/>
                <w:color w:val="auto"/>
                <w:w w:val="90"/>
                <w:szCs w:val="21"/>
              </w:rPr>
              <w:t>0.5</w:t>
            </w:r>
          </w:p>
        </w:tc>
      </w:tr>
      <w:tr w14:paraId="07FF0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 w:type="pct"/>
            <w:vAlign w:val="center"/>
          </w:tcPr>
          <w:p w14:paraId="35181583">
            <w:pPr>
              <w:jc w:val="center"/>
              <w:rPr>
                <w:rFonts w:hint="eastAsia" w:ascii="宋体" w:hAnsi="宋体" w:eastAsia="宋体" w:cs="宋体"/>
                <w:color w:val="auto"/>
                <w:szCs w:val="21"/>
              </w:rPr>
            </w:pPr>
            <w:r>
              <w:rPr>
                <w:rFonts w:hint="eastAsia" w:ascii="宋体" w:hAnsi="宋体" w:eastAsia="宋体" w:cs="宋体"/>
                <w:color w:val="auto"/>
                <w:szCs w:val="21"/>
              </w:rPr>
              <w:t>硝酸盐</w:t>
            </w:r>
          </w:p>
        </w:tc>
        <w:tc>
          <w:tcPr>
            <w:tcW w:w="596" w:type="pct"/>
            <w:shd w:val="clear" w:color="auto" w:fill="auto"/>
            <w:vAlign w:val="center"/>
          </w:tcPr>
          <w:p w14:paraId="77FE14A2">
            <w:pPr>
              <w:jc w:val="center"/>
              <w:rPr>
                <w:rFonts w:hint="eastAsia" w:ascii="宋体" w:hAnsi="宋体" w:eastAsia="宋体" w:cs="宋体"/>
                <w:color w:val="auto"/>
                <w:w w:val="90"/>
                <w:kern w:val="2"/>
                <w:sz w:val="21"/>
                <w:szCs w:val="21"/>
                <w:lang w:val="en-US" w:eastAsia="zh-CN" w:bidi="ar-SA"/>
              </w:rPr>
            </w:pPr>
            <w:r>
              <w:rPr>
                <w:rFonts w:hint="eastAsia" w:ascii="宋体" w:hAnsi="宋体" w:eastAsia="宋体" w:cs="宋体"/>
                <w:color w:val="auto"/>
                <w:w w:val="90"/>
                <w:szCs w:val="21"/>
              </w:rPr>
              <w:t>ND</w:t>
            </w:r>
          </w:p>
        </w:tc>
        <w:tc>
          <w:tcPr>
            <w:tcW w:w="608" w:type="pct"/>
            <w:shd w:val="clear" w:color="auto" w:fill="auto"/>
            <w:vAlign w:val="center"/>
          </w:tcPr>
          <w:p w14:paraId="696A8715">
            <w:pPr>
              <w:jc w:val="center"/>
              <w:rPr>
                <w:rFonts w:hint="eastAsia" w:ascii="宋体" w:hAnsi="宋体" w:eastAsia="宋体" w:cs="宋体"/>
                <w:color w:val="auto"/>
                <w:w w:val="90"/>
                <w:kern w:val="2"/>
                <w:sz w:val="21"/>
                <w:szCs w:val="21"/>
                <w:lang w:val="en-US" w:eastAsia="zh-CN" w:bidi="ar-SA"/>
              </w:rPr>
            </w:pPr>
            <w:r>
              <w:rPr>
                <w:rFonts w:hint="eastAsia" w:ascii="宋体" w:hAnsi="宋体" w:eastAsia="宋体" w:cs="宋体"/>
                <w:color w:val="auto"/>
                <w:w w:val="90"/>
                <w:szCs w:val="21"/>
              </w:rPr>
              <w:t>达标</w:t>
            </w:r>
          </w:p>
        </w:tc>
        <w:tc>
          <w:tcPr>
            <w:tcW w:w="560" w:type="pct"/>
            <w:shd w:val="clear" w:color="auto" w:fill="auto"/>
            <w:vAlign w:val="center"/>
          </w:tcPr>
          <w:p w14:paraId="36CD10C3">
            <w:pPr>
              <w:jc w:val="center"/>
              <w:rPr>
                <w:rFonts w:hint="eastAsia" w:ascii="宋体" w:hAnsi="宋体" w:eastAsia="宋体" w:cs="宋体"/>
                <w:color w:val="auto"/>
                <w:w w:val="90"/>
                <w:kern w:val="2"/>
                <w:sz w:val="21"/>
                <w:szCs w:val="21"/>
                <w:lang w:val="en-US" w:eastAsia="zh-CN" w:bidi="ar-SA"/>
              </w:rPr>
            </w:pPr>
            <w:r>
              <w:rPr>
                <w:rFonts w:hint="eastAsia" w:ascii="宋体" w:hAnsi="宋体" w:eastAsia="宋体" w:cs="宋体"/>
                <w:color w:val="auto"/>
                <w:w w:val="90"/>
                <w:szCs w:val="21"/>
              </w:rPr>
              <w:t>0.165</w:t>
            </w:r>
          </w:p>
        </w:tc>
        <w:tc>
          <w:tcPr>
            <w:tcW w:w="618" w:type="pct"/>
            <w:shd w:val="clear" w:color="auto" w:fill="auto"/>
            <w:vAlign w:val="center"/>
          </w:tcPr>
          <w:p w14:paraId="7408E466">
            <w:pPr>
              <w:jc w:val="center"/>
              <w:rPr>
                <w:rFonts w:hint="eastAsia" w:ascii="宋体" w:hAnsi="宋体" w:eastAsia="宋体" w:cs="宋体"/>
                <w:color w:val="auto"/>
                <w:w w:val="90"/>
                <w:kern w:val="2"/>
                <w:sz w:val="21"/>
                <w:szCs w:val="21"/>
                <w:lang w:val="en-US" w:eastAsia="zh-CN" w:bidi="ar-SA"/>
              </w:rPr>
            </w:pPr>
            <w:r>
              <w:rPr>
                <w:rFonts w:hint="eastAsia" w:ascii="宋体" w:hAnsi="宋体" w:eastAsia="宋体" w:cs="宋体"/>
                <w:color w:val="auto"/>
                <w:w w:val="90"/>
                <w:szCs w:val="21"/>
              </w:rPr>
              <w:t>达标</w:t>
            </w:r>
          </w:p>
        </w:tc>
        <w:tc>
          <w:tcPr>
            <w:tcW w:w="652" w:type="pct"/>
            <w:shd w:val="clear" w:color="auto" w:fill="auto"/>
            <w:vAlign w:val="center"/>
          </w:tcPr>
          <w:p w14:paraId="142F1BE9">
            <w:pPr>
              <w:jc w:val="center"/>
              <w:rPr>
                <w:rFonts w:hint="eastAsia" w:ascii="宋体" w:hAnsi="宋体" w:eastAsia="宋体" w:cs="宋体"/>
                <w:color w:val="auto"/>
                <w:w w:val="90"/>
                <w:kern w:val="2"/>
                <w:sz w:val="21"/>
                <w:szCs w:val="21"/>
                <w:lang w:val="en-US" w:eastAsia="zh-CN" w:bidi="ar-SA"/>
              </w:rPr>
            </w:pPr>
            <w:r>
              <w:rPr>
                <w:rFonts w:hint="eastAsia" w:ascii="宋体" w:hAnsi="宋体" w:eastAsia="宋体" w:cs="宋体"/>
                <w:color w:val="auto"/>
                <w:w w:val="90"/>
                <w:szCs w:val="21"/>
              </w:rPr>
              <w:t>0.141</w:t>
            </w:r>
          </w:p>
        </w:tc>
        <w:tc>
          <w:tcPr>
            <w:tcW w:w="515" w:type="pct"/>
            <w:shd w:val="clear" w:color="auto" w:fill="auto"/>
            <w:vAlign w:val="center"/>
          </w:tcPr>
          <w:p w14:paraId="4F5C5D24">
            <w:pPr>
              <w:jc w:val="center"/>
              <w:rPr>
                <w:rFonts w:hint="eastAsia" w:ascii="宋体" w:hAnsi="宋体" w:eastAsia="宋体" w:cs="宋体"/>
                <w:color w:val="auto"/>
                <w:w w:val="90"/>
                <w:szCs w:val="21"/>
              </w:rPr>
            </w:pPr>
            <w:r>
              <w:rPr>
                <w:rFonts w:hint="eastAsia" w:ascii="宋体" w:hAnsi="宋体" w:eastAsia="宋体" w:cs="宋体"/>
                <w:color w:val="auto"/>
                <w:w w:val="90"/>
                <w:szCs w:val="21"/>
              </w:rPr>
              <w:t>达标</w:t>
            </w:r>
          </w:p>
        </w:tc>
        <w:tc>
          <w:tcPr>
            <w:tcW w:w="487" w:type="pct"/>
            <w:vAlign w:val="center"/>
          </w:tcPr>
          <w:p w14:paraId="256DFFE7">
            <w:pPr>
              <w:jc w:val="center"/>
              <w:rPr>
                <w:rFonts w:hint="eastAsia" w:ascii="宋体" w:hAnsi="宋体" w:eastAsia="宋体" w:cs="宋体"/>
                <w:color w:val="auto"/>
                <w:w w:val="90"/>
                <w:szCs w:val="21"/>
              </w:rPr>
            </w:pPr>
            <w:r>
              <w:rPr>
                <w:rFonts w:hint="eastAsia" w:ascii="宋体" w:hAnsi="宋体" w:eastAsia="宋体" w:cs="宋体"/>
                <w:color w:val="auto"/>
                <w:w w:val="90"/>
                <w:szCs w:val="21"/>
              </w:rPr>
              <w:t>20</w:t>
            </w:r>
          </w:p>
        </w:tc>
      </w:tr>
      <w:tr w14:paraId="02864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 w:type="pct"/>
            <w:vAlign w:val="center"/>
          </w:tcPr>
          <w:p w14:paraId="5CF80115">
            <w:pPr>
              <w:jc w:val="center"/>
              <w:rPr>
                <w:rFonts w:hint="eastAsia" w:ascii="宋体" w:hAnsi="宋体" w:eastAsia="宋体" w:cs="宋体"/>
                <w:color w:val="auto"/>
                <w:szCs w:val="21"/>
              </w:rPr>
            </w:pPr>
            <w:r>
              <w:rPr>
                <w:rFonts w:hint="eastAsia" w:ascii="宋体" w:hAnsi="宋体" w:eastAsia="宋体" w:cs="宋体"/>
                <w:color w:val="auto"/>
                <w:szCs w:val="21"/>
              </w:rPr>
              <w:t>亚硝酸盐</w:t>
            </w:r>
          </w:p>
        </w:tc>
        <w:tc>
          <w:tcPr>
            <w:tcW w:w="596" w:type="pct"/>
            <w:shd w:val="clear" w:color="auto" w:fill="auto"/>
            <w:vAlign w:val="center"/>
          </w:tcPr>
          <w:p w14:paraId="314E757F">
            <w:pPr>
              <w:jc w:val="center"/>
              <w:rPr>
                <w:rFonts w:hint="eastAsia" w:ascii="宋体" w:hAnsi="宋体" w:eastAsia="宋体" w:cs="宋体"/>
                <w:color w:val="auto"/>
                <w:w w:val="90"/>
                <w:kern w:val="2"/>
                <w:sz w:val="21"/>
                <w:szCs w:val="21"/>
                <w:lang w:val="en-US" w:eastAsia="zh-CN" w:bidi="ar-SA"/>
              </w:rPr>
            </w:pPr>
            <w:r>
              <w:rPr>
                <w:rFonts w:hint="eastAsia" w:ascii="宋体" w:hAnsi="宋体" w:eastAsia="宋体" w:cs="宋体"/>
                <w:color w:val="auto"/>
                <w:w w:val="90"/>
                <w:szCs w:val="21"/>
              </w:rPr>
              <w:t>ND</w:t>
            </w:r>
          </w:p>
        </w:tc>
        <w:tc>
          <w:tcPr>
            <w:tcW w:w="608" w:type="pct"/>
            <w:shd w:val="clear" w:color="auto" w:fill="auto"/>
            <w:vAlign w:val="center"/>
          </w:tcPr>
          <w:p w14:paraId="29FE4E13">
            <w:pPr>
              <w:jc w:val="center"/>
              <w:rPr>
                <w:rFonts w:hint="eastAsia" w:ascii="宋体" w:hAnsi="宋体" w:eastAsia="宋体" w:cs="宋体"/>
                <w:color w:val="auto"/>
                <w:w w:val="90"/>
                <w:kern w:val="2"/>
                <w:sz w:val="21"/>
                <w:szCs w:val="21"/>
                <w:lang w:val="en-US" w:eastAsia="zh-CN" w:bidi="ar-SA"/>
              </w:rPr>
            </w:pPr>
            <w:r>
              <w:rPr>
                <w:rFonts w:hint="eastAsia" w:ascii="宋体" w:hAnsi="宋体" w:eastAsia="宋体" w:cs="宋体"/>
                <w:color w:val="auto"/>
                <w:w w:val="90"/>
                <w:szCs w:val="21"/>
              </w:rPr>
              <w:t>达标</w:t>
            </w:r>
          </w:p>
        </w:tc>
        <w:tc>
          <w:tcPr>
            <w:tcW w:w="560" w:type="pct"/>
            <w:shd w:val="clear" w:color="auto" w:fill="auto"/>
            <w:vAlign w:val="center"/>
          </w:tcPr>
          <w:p w14:paraId="1C05E694">
            <w:pPr>
              <w:jc w:val="center"/>
              <w:rPr>
                <w:rFonts w:hint="eastAsia" w:ascii="宋体" w:hAnsi="宋体" w:eastAsia="宋体" w:cs="宋体"/>
                <w:color w:val="auto"/>
                <w:w w:val="90"/>
                <w:kern w:val="2"/>
                <w:sz w:val="21"/>
                <w:szCs w:val="21"/>
                <w:lang w:val="en-US" w:eastAsia="zh-CN" w:bidi="ar-SA"/>
              </w:rPr>
            </w:pPr>
            <w:r>
              <w:rPr>
                <w:rFonts w:hint="eastAsia" w:ascii="宋体" w:hAnsi="宋体" w:eastAsia="宋体" w:cs="宋体"/>
                <w:color w:val="auto"/>
                <w:w w:val="90"/>
                <w:szCs w:val="21"/>
              </w:rPr>
              <w:t>0.023</w:t>
            </w:r>
          </w:p>
        </w:tc>
        <w:tc>
          <w:tcPr>
            <w:tcW w:w="618" w:type="pct"/>
            <w:shd w:val="clear" w:color="auto" w:fill="auto"/>
            <w:vAlign w:val="center"/>
          </w:tcPr>
          <w:p w14:paraId="296B6DAB">
            <w:pPr>
              <w:jc w:val="center"/>
              <w:rPr>
                <w:rFonts w:hint="eastAsia" w:ascii="宋体" w:hAnsi="宋体" w:eastAsia="宋体" w:cs="宋体"/>
                <w:color w:val="auto"/>
                <w:w w:val="90"/>
                <w:kern w:val="2"/>
                <w:sz w:val="21"/>
                <w:szCs w:val="21"/>
                <w:lang w:val="en-US" w:eastAsia="zh-CN" w:bidi="ar-SA"/>
              </w:rPr>
            </w:pPr>
            <w:r>
              <w:rPr>
                <w:rFonts w:hint="eastAsia" w:ascii="宋体" w:hAnsi="宋体" w:eastAsia="宋体" w:cs="宋体"/>
                <w:color w:val="auto"/>
                <w:w w:val="90"/>
                <w:szCs w:val="21"/>
              </w:rPr>
              <w:t>达标</w:t>
            </w:r>
          </w:p>
        </w:tc>
        <w:tc>
          <w:tcPr>
            <w:tcW w:w="652" w:type="pct"/>
            <w:shd w:val="clear" w:color="auto" w:fill="auto"/>
            <w:vAlign w:val="center"/>
          </w:tcPr>
          <w:p w14:paraId="195B11EA">
            <w:pPr>
              <w:jc w:val="center"/>
              <w:rPr>
                <w:rFonts w:hint="eastAsia" w:ascii="宋体" w:hAnsi="宋体" w:eastAsia="宋体" w:cs="宋体"/>
                <w:color w:val="auto"/>
                <w:w w:val="90"/>
                <w:kern w:val="2"/>
                <w:sz w:val="21"/>
                <w:szCs w:val="21"/>
                <w:lang w:val="en-US" w:eastAsia="zh-CN" w:bidi="ar-SA"/>
              </w:rPr>
            </w:pPr>
            <w:r>
              <w:rPr>
                <w:rFonts w:hint="eastAsia" w:ascii="宋体" w:hAnsi="宋体" w:eastAsia="宋体" w:cs="宋体"/>
                <w:color w:val="auto"/>
                <w:w w:val="90"/>
                <w:szCs w:val="21"/>
              </w:rPr>
              <w:t>0.026</w:t>
            </w:r>
          </w:p>
        </w:tc>
        <w:tc>
          <w:tcPr>
            <w:tcW w:w="515" w:type="pct"/>
            <w:shd w:val="clear" w:color="auto" w:fill="auto"/>
            <w:vAlign w:val="center"/>
          </w:tcPr>
          <w:p w14:paraId="3DAD9A8E">
            <w:pPr>
              <w:jc w:val="center"/>
              <w:rPr>
                <w:rFonts w:hint="eastAsia" w:ascii="宋体" w:hAnsi="宋体" w:eastAsia="宋体" w:cs="宋体"/>
                <w:color w:val="auto"/>
                <w:w w:val="90"/>
                <w:szCs w:val="21"/>
              </w:rPr>
            </w:pPr>
            <w:r>
              <w:rPr>
                <w:rFonts w:hint="eastAsia" w:ascii="宋体" w:hAnsi="宋体" w:eastAsia="宋体" w:cs="宋体"/>
                <w:color w:val="auto"/>
                <w:w w:val="90"/>
                <w:szCs w:val="21"/>
              </w:rPr>
              <w:t>达标</w:t>
            </w:r>
          </w:p>
        </w:tc>
        <w:tc>
          <w:tcPr>
            <w:tcW w:w="487" w:type="pct"/>
            <w:vAlign w:val="center"/>
          </w:tcPr>
          <w:p w14:paraId="480F002B">
            <w:pPr>
              <w:jc w:val="center"/>
              <w:rPr>
                <w:rFonts w:hint="eastAsia" w:ascii="宋体" w:hAnsi="宋体" w:eastAsia="宋体" w:cs="宋体"/>
                <w:color w:val="auto"/>
                <w:w w:val="90"/>
                <w:szCs w:val="21"/>
              </w:rPr>
            </w:pPr>
            <w:r>
              <w:rPr>
                <w:rFonts w:hint="eastAsia" w:ascii="宋体" w:hAnsi="宋体" w:eastAsia="宋体" w:cs="宋体"/>
                <w:color w:val="auto"/>
                <w:w w:val="90"/>
                <w:szCs w:val="21"/>
              </w:rPr>
              <w:t>1.0</w:t>
            </w:r>
          </w:p>
        </w:tc>
      </w:tr>
      <w:tr w14:paraId="4CDDB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 w:type="pct"/>
            <w:vAlign w:val="center"/>
          </w:tcPr>
          <w:p w14:paraId="75A4F88D">
            <w:pPr>
              <w:jc w:val="center"/>
              <w:rPr>
                <w:rFonts w:hint="eastAsia" w:ascii="宋体" w:hAnsi="宋体" w:eastAsia="宋体" w:cs="宋体"/>
                <w:color w:val="auto"/>
                <w:szCs w:val="21"/>
              </w:rPr>
            </w:pPr>
            <w:r>
              <w:rPr>
                <w:rFonts w:hint="eastAsia" w:ascii="宋体" w:hAnsi="宋体" w:eastAsia="宋体" w:cs="宋体"/>
                <w:color w:val="auto"/>
                <w:szCs w:val="21"/>
              </w:rPr>
              <w:t>挥发性酚类</w:t>
            </w:r>
          </w:p>
        </w:tc>
        <w:tc>
          <w:tcPr>
            <w:tcW w:w="596" w:type="pct"/>
            <w:shd w:val="clear" w:color="auto" w:fill="auto"/>
            <w:vAlign w:val="center"/>
          </w:tcPr>
          <w:p w14:paraId="54E0409F">
            <w:pPr>
              <w:jc w:val="center"/>
              <w:rPr>
                <w:rFonts w:hint="eastAsia" w:ascii="宋体" w:hAnsi="宋体" w:eastAsia="宋体" w:cs="宋体"/>
                <w:color w:val="auto"/>
                <w:w w:val="90"/>
                <w:kern w:val="2"/>
                <w:sz w:val="21"/>
                <w:szCs w:val="21"/>
                <w:lang w:val="en-US" w:eastAsia="zh-CN" w:bidi="ar-SA"/>
              </w:rPr>
            </w:pPr>
            <w:r>
              <w:rPr>
                <w:rFonts w:hint="eastAsia" w:ascii="宋体" w:hAnsi="宋体" w:eastAsia="宋体" w:cs="宋体"/>
                <w:color w:val="auto"/>
                <w:w w:val="90"/>
                <w:szCs w:val="21"/>
              </w:rPr>
              <w:t>0.0005</w:t>
            </w:r>
          </w:p>
        </w:tc>
        <w:tc>
          <w:tcPr>
            <w:tcW w:w="608" w:type="pct"/>
            <w:shd w:val="clear" w:color="auto" w:fill="auto"/>
            <w:vAlign w:val="center"/>
          </w:tcPr>
          <w:p w14:paraId="3A1BE6DC">
            <w:pPr>
              <w:jc w:val="center"/>
              <w:rPr>
                <w:rFonts w:hint="eastAsia" w:ascii="宋体" w:hAnsi="宋体" w:eastAsia="宋体" w:cs="宋体"/>
                <w:color w:val="auto"/>
                <w:w w:val="90"/>
                <w:kern w:val="2"/>
                <w:sz w:val="21"/>
                <w:szCs w:val="21"/>
                <w:lang w:val="en-US" w:eastAsia="zh-CN" w:bidi="ar-SA"/>
              </w:rPr>
            </w:pPr>
            <w:r>
              <w:rPr>
                <w:rFonts w:hint="eastAsia" w:ascii="宋体" w:hAnsi="宋体" w:eastAsia="宋体" w:cs="宋体"/>
                <w:color w:val="auto"/>
                <w:w w:val="90"/>
                <w:szCs w:val="21"/>
              </w:rPr>
              <w:t>达标</w:t>
            </w:r>
          </w:p>
        </w:tc>
        <w:tc>
          <w:tcPr>
            <w:tcW w:w="560" w:type="pct"/>
            <w:shd w:val="clear" w:color="auto" w:fill="auto"/>
            <w:vAlign w:val="center"/>
          </w:tcPr>
          <w:p w14:paraId="5B744A41">
            <w:pPr>
              <w:jc w:val="center"/>
              <w:rPr>
                <w:rFonts w:hint="eastAsia" w:ascii="宋体" w:hAnsi="宋体" w:eastAsia="宋体" w:cs="宋体"/>
                <w:color w:val="auto"/>
                <w:w w:val="90"/>
                <w:kern w:val="2"/>
                <w:sz w:val="21"/>
                <w:szCs w:val="21"/>
                <w:lang w:val="en-US" w:eastAsia="zh-CN" w:bidi="ar-SA"/>
              </w:rPr>
            </w:pPr>
            <w:r>
              <w:rPr>
                <w:rFonts w:hint="eastAsia" w:ascii="宋体" w:hAnsi="宋体" w:eastAsia="宋体" w:cs="宋体"/>
                <w:color w:val="auto"/>
                <w:w w:val="90"/>
                <w:szCs w:val="21"/>
              </w:rPr>
              <w:t>ND</w:t>
            </w:r>
          </w:p>
        </w:tc>
        <w:tc>
          <w:tcPr>
            <w:tcW w:w="618" w:type="pct"/>
            <w:shd w:val="clear" w:color="auto" w:fill="auto"/>
            <w:vAlign w:val="center"/>
          </w:tcPr>
          <w:p w14:paraId="175192A2">
            <w:pPr>
              <w:jc w:val="center"/>
              <w:rPr>
                <w:rFonts w:hint="eastAsia" w:ascii="宋体" w:hAnsi="宋体" w:eastAsia="宋体" w:cs="宋体"/>
                <w:color w:val="auto"/>
                <w:w w:val="90"/>
                <w:kern w:val="2"/>
                <w:sz w:val="21"/>
                <w:szCs w:val="21"/>
                <w:lang w:val="en-US" w:eastAsia="zh-CN" w:bidi="ar-SA"/>
              </w:rPr>
            </w:pPr>
            <w:r>
              <w:rPr>
                <w:rFonts w:hint="eastAsia" w:ascii="宋体" w:hAnsi="宋体" w:eastAsia="宋体" w:cs="宋体"/>
                <w:color w:val="auto"/>
                <w:w w:val="90"/>
                <w:szCs w:val="21"/>
              </w:rPr>
              <w:t>达标</w:t>
            </w:r>
          </w:p>
        </w:tc>
        <w:tc>
          <w:tcPr>
            <w:tcW w:w="652" w:type="pct"/>
            <w:shd w:val="clear" w:color="auto" w:fill="auto"/>
            <w:vAlign w:val="center"/>
          </w:tcPr>
          <w:p w14:paraId="2F72FD5C">
            <w:pPr>
              <w:jc w:val="center"/>
              <w:rPr>
                <w:rFonts w:hint="eastAsia" w:ascii="宋体" w:hAnsi="宋体" w:eastAsia="宋体" w:cs="宋体"/>
                <w:color w:val="auto"/>
                <w:w w:val="90"/>
                <w:kern w:val="2"/>
                <w:sz w:val="21"/>
                <w:szCs w:val="21"/>
                <w:lang w:val="en-US" w:eastAsia="zh-CN" w:bidi="ar-SA"/>
              </w:rPr>
            </w:pPr>
            <w:r>
              <w:rPr>
                <w:rFonts w:hint="eastAsia" w:ascii="宋体" w:hAnsi="宋体" w:eastAsia="宋体" w:cs="宋体"/>
                <w:color w:val="auto"/>
                <w:w w:val="90"/>
                <w:szCs w:val="21"/>
              </w:rPr>
              <w:t>ND</w:t>
            </w:r>
          </w:p>
        </w:tc>
        <w:tc>
          <w:tcPr>
            <w:tcW w:w="515" w:type="pct"/>
            <w:shd w:val="clear" w:color="auto" w:fill="auto"/>
            <w:vAlign w:val="center"/>
          </w:tcPr>
          <w:p w14:paraId="7290763A">
            <w:pPr>
              <w:jc w:val="center"/>
              <w:rPr>
                <w:rFonts w:hint="eastAsia" w:ascii="宋体" w:hAnsi="宋体" w:eastAsia="宋体" w:cs="宋体"/>
                <w:color w:val="auto"/>
                <w:w w:val="90"/>
                <w:szCs w:val="21"/>
              </w:rPr>
            </w:pPr>
            <w:r>
              <w:rPr>
                <w:rFonts w:hint="eastAsia" w:ascii="宋体" w:hAnsi="宋体" w:eastAsia="宋体" w:cs="宋体"/>
                <w:color w:val="auto"/>
                <w:w w:val="90"/>
                <w:szCs w:val="21"/>
              </w:rPr>
              <w:t>达标</w:t>
            </w:r>
          </w:p>
        </w:tc>
        <w:tc>
          <w:tcPr>
            <w:tcW w:w="487" w:type="pct"/>
            <w:vAlign w:val="center"/>
          </w:tcPr>
          <w:p w14:paraId="2B148276">
            <w:pPr>
              <w:jc w:val="center"/>
              <w:rPr>
                <w:rFonts w:hint="eastAsia" w:ascii="宋体" w:hAnsi="宋体" w:eastAsia="宋体" w:cs="宋体"/>
                <w:color w:val="auto"/>
                <w:w w:val="90"/>
                <w:szCs w:val="21"/>
              </w:rPr>
            </w:pPr>
            <w:r>
              <w:rPr>
                <w:rFonts w:hint="eastAsia" w:ascii="宋体" w:hAnsi="宋体" w:eastAsia="宋体" w:cs="宋体"/>
                <w:color w:val="auto"/>
                <w:w w:val="90"/>
                <w:szCs w:val="21"/>
              </w:rPr>
              <w:t>0.002</w:t>
            </w:r>
          </w:p>
        </w:tc>
      </w:tr>
      <w:tr w14:paraId="69797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961" w:type="pct"/>
            <w:vAlign w:val="center"/>
          </w:tcPr>
          <w:p w14:paraId="70F0FD87">
            <w:pPr>
              <w:jc w:val="center"/>
              <w:rPr>
                <w:rFonts w:hint="eastAsia" w:ascii="宋体" w:hAnsi="宋体" w:eastAsia="宋体" w:cs="宋体"/>
                <w:color w:val="auto"/>
                <w:szCs w:val="21"/>
              </w:rPr>
            </w:pPr>
            <w:r>
              <w:rPr>
                <w:rFonts w:hint="eastAsia" w:ascii="宋体" w:hAnsi="宋体" w:eastAsia="宋体" w:cs="宋体"/>
                <w:color w:val="auto"/>
                <w:szCs w:val="21"/>
              </w:rPr>
              <w:t>氰化物</w:t>
            </w:r>
          </w:p>
        </w:tc>
        <w:tc>
          <w:tcPr>
            <w:tcW w:w="596" w:type="pct"/>
            <w:shd w:val="clear" w:color="auto" w:fill="auto"/>
            <w:vAlign w:val="center"/>
          </w:tcPr>
          <w:p w14:paraId="683B254B">
            <w:pPr>
              <w:jc w:val="center"/>
              <w:rPr>
                <w:rFonts w:hint="eastAsia" w:ascii="宋体" w:hAnsi="宋体" w:eastAsia="宋体" w:cs="宋体"/>
                <w:color w:val="auto"/>
                <w:w w:val="90"/>
                <w:kern w:val="2"/>
                <w:sz w:val="21"/>
                <w:szCs w:val="21"/>
                <w:lang w:val="en-US" w:eastAsia="zh-CN" w:bidi="ar-SA"/>
              </w:rPr>
            </w:pPr>
            <w:r>
              <w:rPr>
                <w:rFonts w:hint="eastAsia" w:ascii="宋体" w:hAnsi="宋体" w:eastAsia="宋体" w:cs="宋体"/>
                <w:color w:val="auto"/>
                <w:w w:val="90"/>
                <w:szCs w:val="21"/>
              </w:rPr>
              <w:t>0.002</w:t>
            </w:r>
          </w:p>
        </w:tc>
        <w:tc>
          <w:tcPr>
            <w:tcW w:w="608" w:type="pct"/>
            <w:shd w:val="clear" w:color="auto" w:fill="auto"/>
            <w:vAlign w:val="center"/>
          </w:tcPr>
          <w:p w14:paraId="401294D3">
            <w:pPr>
              <w:jc w:val="center"/>
              <w:rPr>
                <w:rFonts w:hint="eastAsia" w:ascii="宋体" w:hAnsi="宋体" w:eastAsia="宋体" w:cs="宋体"/>
                <w:color w:val="auto"/>
                <w:w w:val="90"/>
                <w:kern w:val="2"/>
                <w:sz w:val="21"/>
                <w:szCs w:val="21"/>
                <w:lang w:val="en-US" w:eastAsia="zh-CN" w:bidi="ar-SA"/>
              </w:rPr>
            </w:pPr>
            <w:r>
              <w:rPr>
                <w:rFonts w:hint="eastAsia" w:ascii="宋体" w:hAnsi="宋体" w:eastAsia="宋体" w:cs="宋体"/>
                <w:color w:val="auto"/>
                <w:w w:val="90"/>
                <w:szCs w:val="21"/>
              </w:rPr>
              <w:t>达标</w:t>
            </w:r>
          </w:p>
        </w:tc>
        <w:tc>
          <w:tcPr>
            <w:tcW w:w="560" w:type="pct"/>
            <w:shd w:val="clear" w:color="auto" w:fill="auto"/>
            <w:vAlign w:val="center"/>
          </w:tcPr>
          <w:p w14:paraId="23E42FAE">
            <w:pPr>
              <w:jc w:val="center"/>
              <w:rPr>
                <w:rFonts w:hint="eastAsia" w:ascii="宋体" w:hAnsi="宋体" w:eastAsia="宋体" w:cs="宋体"/>
                <w:color w:val="auto"/>
                <w:w w:val="90"/>
                <w:kern w:val="2"/>
                <w:sz w:val="21"/>
                <w:szCs w:val="21"/>
                <w:lang w:val="en-US" w:eastAsia="zh-CN" w:bidi="ar-SA"/>
              </w:rPr>
            </w:pPr>
            <w:r>
              <w:rPr>
                <w:rFonts w:hint="eastAsia" w:ascii="宋体" w:hAnsi="宋体" w:eastAsia="宋体" w:cs="宋体"/>
                <w:color w:val="auto"/>
                <w:w w:val="90"/>
                <w:szCs w:val="21"/>
              </w:rPr>
              <w:t>ND</w:t>
            </w:r>
          </w:p>
        </w:tc>
        <w:tc>
          <w:tcPr>
            <w:tcW w:w="618" w:type="pct"/>
            <w:shd w:val="clear" w:color="auto" w:fill="auto"/>
            <w:vAlign w:val="center"/>
          </w:tcPr>
          <w:p w14:paraId="0405F590">
            <w:pPr>
              <w:jc w:val="center"/>
              <w:rPr>
                <w:rFonts w:hint="eastAsia" w:ascii="宋体" w:hAnsi="宋体" w:eastAsia="宋体" w:cs="宋体"/>
                <w:color w:val="auto"/>
                <w:w w:val="90"/>
                <w:kern w:val="2"/>
                <w:sz w:val="21"/>
                <w:szCs w:val="21"/>
                <w:lang w:val="en-US" w:eastAsia="zh-CN" w:bidi="ar-SA"/>
              </w:rPr>
            </w:pPr>
            <w:r>
              <w:rPr>
                <w:rFonts w:hint="eastAsia" w:ascii="宋体" w:hAnsi="宋体" w:eastAsia="宋体" w:cs="宋体"/>
                <w:color w:val="auto"/>
                <w:w w:val="90"/>
                <w:szCs w:val="21"/>
              </w:rPr>
              <w:t>达标</w:t>
            </w:r>
          </w:p>
        </w:tc>
        <w:tc>
          <w:tcPr>
            <w:tcW w:w="652" w:type="pct"/>
            <w:shd w:val="clear" w:color="auto" w:fill="auto"/>
            <w:vAlign w:val="center"/>
          </w:tcPr>
          <w:p w14:paraId="73AA567F">
            <w:pPr>
              <w:jc w:val="center"/>
              <w:rPr>
                <w:rFonts w:hint="eastAsia" w:ascii="宋体" w:hAnsi="宋体" w:eastAsia="宋体" w:cs="宋体"/>
                <w:color w:val="auto"/>
                <w:w w:val="90"/>
                <w:kern w:val="2"/>
                <w:sz w:val="21"/>
                <w:szCs w:val="21"/>
                <w:lang w:val="en-US" w:eastAsia="zh-CN" w:bidi="ar-SA"/>
              </w:rPr>
            </w:pPr>
            <w:r>
              <w:rPr>
                <w:rFonts w:hint="eastAsia" w:ascii="宋体" w:hAnsi="宋体" w:eastAsia="宋体" w:cs="宋体"/>
                <w:color w:val="auto"/>
                <w:w w:val="90"/>
                <w:szCs w:val="21"/>
              </w:rPr>
              <w:t>ND</w:t>
            </w:r>
          </w:p>
        </w:tc>
        <w:tc>
          <w:tcPr>
            <w:tcW w:w="515" w:type="pct"/>
            <w:shd w:val="clear" w:color="auto" w:fill="auto"/>
            <w:vAlign w:val="center"/>
          </w:tcPr>
          <w:p w14:paraId="013FC5B5">
            <w:pPr>
              <w:jc w:val="center"/>
              <w:rPr>
                <w:rFonts w:hint="eastAsia" w:ascii="宋体" w:hAnsi="宋体" w:eastAsia="宋体" w:cs="宋体"/>
                <w:color w:val="auto"/>
                <w:w w:val="90"/>
                <w:szCs w:val="21"/>
              </w:rPr>
            </w:pPr>
            <w:r>
              <w:rPr>
                <w:rFonts w:hint="eastAsia" w:ascii="宋体" w:hAnsi="宋体" w:eastAsia="宋体" w:cs="宋体"/>
                <w:color w:val="auto"/>
                <w:w w:val="90"/>
                <w:szCs w:val="21"/>
              </w:rPr>
              <w:t>达标</w:t>
            </w:r>
          </w:p>
        </w:tc>
        <w:tc>
          <w:tcPr>
            <w:tcW w:w="487" w:type="pct"/>
            <w:vAlign w:val="center"/>
          </w:tcPr>
          <w:p w14:paraId="069050D4">
            <w:pPr>
              <w:jc w:val="center"/>
              <w:rPr>
                <w:rFonts w:hint="eastAsia" w:ascii="宋体" w:hAnsi="宋体" w:eastAsia="宋体" w:cs="宋体"/>
                <w:color w:val="auto"/>
                <w:w w:val="90"/>
                <w:szCs w:val="21"/>
              </w:rPr>
            </w:pPr>
            <w:r>
              <w:rPr>
                <w:rFonts w:hint="eastAsia" w:ascii="宋体" w:hAnsi="宋体" w:eastAsia="宋体" w:cs="宋体"/>
                <w:color w:val="auto"/>
                <w:w w:val="90"/>
                <w:szCs w:val="21"/>
              </w:rPr>
              <w:t>0.05</w:t>
            </w:r>
          </w:p>
        </w:tc>
      </w:tr>
      <w:tr w14:paraId="41251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 w:type="pct"/>
            <w:vAlign w:val="center"/>
          </w:tcPr>
          <w:p w14:paraId="74FAB803">
            <w:pPr>
              <w:jc w:val="center"/>
              <w:rPr>
                <w:rFonts w:hint="eastAsia" w:ascii="宋体" w:hAnsi="宋体" w:eastAsia="宋体" w:cs="宋体"/>
                <w:color w:val="auto"/>
                <w:szCs w:val="21"/>
              </w:rPr>
            </w:pPr>
            <w:r>
              <w:rPr>
                <w:rFonts w:hint="eastAsia" w:ascii="宋体" w:hAnsi="宋体" w:eastAsia="宋体" w:cs="宋体"/>
                <w:color w:val="auto"/>
                <w:szCs w:val="21"/>
              </w:rPr>
              <w:t>砷</w:t>
            </w:r>
          </w:p>
        </w:tc>
        <w:tc>
          <w:tcPr>
            <w:tcW w:w="596" w:type="pct"/>
            <w:shd w:val="clear" w:color="auto" w:fill="auto"/>
            <w:vAlign w:val="center"/>
          </w:tcPr>
          <w:p w14:paraId="5172326A">
            <w:pPr>
              <w:jc w:val="center"/>
              <w:rPr>
                <w:rFonts w:hint="eastAsia" w:ascii="宋体" w:hAnsi="宋体" w:eastAsia="宋体" w:cs="宋体"/>
                <w:color w:val="auto"/>
                <w:w w:val="90"/>
                <w:kern w:val="2"/>
                <w:sz w:val="21"/>
                <w:szCs w:val="21"/>
                <w:lang w:val="en-US" w:eastAsia="zh-CN" w:bidi="ar-SA"/>
              </w:rPr>
            </w:pPr>
            <w:r>
              <w:rPr>
                <w:rFonts w:hint="eastAsia" w:ascii="宋体" w:hAnsi="宋体" w:eastAsia="宋体" w:cs="宋体"/>
                <w:color w:val="auto"/>
                <w:w w:val="90"/>
                <w:szCs w:val="21"/>
              </w:rPr>
              <w:t>0.0003</w:t>
            </w:r>
          </w:p>
        </w:tc>
        <w:tc>
          <w:tcPr>
            <w:tcW w:w="608" w:type="pct"/>
            <w:shd w:val="clear" w:color="auto" w:fill="auto"/>
            <w:vAlign w:val="center"/>
          </w:tcPr>
          <w:p w14:paraId="2504F8EE">
            <w:pPr>
              <w:jc w:val="center"/>
              <w:rPr>
                <w:rFonts w:hint="eastAsia" w:ascii="宋体" w:hAnsi="宋体" w:eastAsia="宋体" w:cs="宋体"/>
                <w:color w:val="auto"/>
                <w:w w:val="90"/>
                <w:kern w:val="2"/>
                <w:sz w:val="21"/>
                <w:szCs w:val="21"/>
                <w:lang w:val="en-US" w:eastAsia="zh-CN" w:bidi="ar-SA"/>
              </w:rPr>
            </w:pPr>
            <w:r>
              <w:rPr>
                <w:rFonts w:hint="eastAsia" w:ascii="宋体" w:hAnsi="宋体" w:eastAsia="宋体" w:cs="宋体"/>
                <w:color w:val="auto"/>
                <w:w w:val="90"/>
                <w:szCs w:val="21"/>
              </w:rPr>
              <w:t>达标</w:t>
            </w:r>
          </w:p>
        </w:tc>
        <w:tc>
          <w:tcPr>
            <w:tcW w:w="560" w:type="pct"/>
            <w:shd w:val="clear" w:color="auto" w:fill="auto"/>
            <w:vAlign w:val="center"/>
          </w:tcPr>
          <w:p w14:paraId="4ACE95EE">
            <w:pPr>
              <w:jc w:val="center"/>
              <w:rPr>
                <w:rFonts w:hint="eastAsia" w:ascii="宋体" w:hAnsi="宋体" w:eastAsia="宋体" w:cs="宋体"/>
                <w:color w:val="auto"/>
                <w:w w:val="90"/>
                <w:kern w:val="2"/>
                <w:sz w:val="21"/>
                <w:szCs w:val="21"/>
                <w:lang w:val="en-US" w:eastAsia="zh-CN" w:bidi="ar-SA"/>
              </w:rPr>
            </w:pPr>
            <w:r>
              <w:rPr>
                <w:rFonts w:hint="eastAsia" w:ascii="宋体" w:hAnsi="宋体" w:eastAsia="宋体" w:cs="宋体"/>
                <w:color w:val="auto"/>
                <w:w w:val="90"/>
                <w:szCs w:val="21"/>
              </w:rPr>
              <w:t>0.00046</w:t>
            </w:r>
          </w:p>
        </w:tc>
        <w:tc>
          <w:tcPr>
            <w:tcW w:w="618" w:type="pct"/>
            <w:shd w:val="clear" w:color="auto" w:fill="auto"/>
            <w:vAlign w:val="center"/>
          </w:tcPr>
          <w:p w14:paraId="725AB2A2">
            <w:pPr>
              <w:jc w:val="center"/>
              <w:rPr>
                <w:rFonts w:hint="eastAsia" w:ascii="宋体" w:hAnsi="宋体" w:eastAsia="宋体" w:cs="宋体"/>
                <w:color w:val="auto"/>
                <w:w w:val="90"/>
                <w:kern w:val="2"/>
                <w:sz w:val="21"/>
                <w:szCs w:val="21"/>
                <w:lang w:val="en-US" w:eastAsia="zh-CN" w:bidi="ar-SA"/>
              </w:rPr>
            </w:pPr>
            <w:r>
              <w:rPr>
                <w:rFonts w:hint="eastAsia" w:ascii="宋体" w:hAnsi="宋体" w:eastAsia="宋体" w:cs="宋体"/>
                <w:color w:val="auto"/>
                <w:w w:val="90"/>
                <w:szCs w:val="21"/>
              </w:rPr>
              <w:t>达标</w:t>
            </w:r>
          </w:p>
        </w:tc>
        <w:tc>
          <w:tcPr>
            <w:tcW w:w="652" w:type="pct"/>
            <w:shd w:val="clear" w:color="auto" w:fill="auto"/>
            <w:vAlign w:val="center"/>
          </w:tcPr>
          <w:p w14:paraId="1C83F5A1">
            <w:pPr>
              <w:jc w:val="center"/>
              <w:rPr>
                <w:rFonts w:hint="eastAsia" w:ascii="宋体" w:hAnsi="宋体" w:eastAsia="宋体" w:cs="宋体"/>
                <w:color w:val="auto"/>
                <w:w w:val="90"/>
                <w:kern w:val="2"/>
                <w:sz w:val="21"/>
                <w:szCs w:val="21"/>
                <w:lang w:val="en-US" w:eastAsia="zh-CN" w:bidi="ar-SA"/>
              </w:rPr>
            </w:pPr>
            <w:r>
              <w:rPr>
                <w:rFonts w:hint="eastAsia" w:ascii="宋体" w:hAnsi="宋体" w:eastAsia="宋体" w:cs="宋体"/>
                <w:color w:val="auto"/>
                <w:w w:val="90"/>
                <w:szCs w:val="21"/>
              </w:rPr>
              <w:t>0.00042</w:t>
            </w:r>
          </w:p>
        </w:tc>
        <w:tc>
          <w:tcPr>
            <w:tcW w:w="515" w:type="pct"/>
            <w:shd w:val="clear" w:color="auto" w:fill="auto"/>
            <w:vAlign w:val="center"/>
          </w:tcPr>
          <w:p w14:paraId="0FE279DE">
            <w:pPr>
              <w:jc w:val="center"/>
              <w:rPr>
                <w:rFonts w:hint="eastAsia" w:ascii="宋体" w:hAnsi="宋体" w:eastAsia="宋体" w:cs="宋体"/>
                <w:color w:val="auto"/>
                <w:w w:val="90"/>
                <w:szCs w:val="21"/>
              </w:rPr>
            </w:pPr>
            <w:r>
              <w:rPr>
                <w:rFonts w:hint="eastAsia" w:ascii="宋体" w:hAnsi="宋体" w:eastAsia="宋体" w:cs="宋体"/>
                <w:color w:val="auto"/>
                <w:w w:val="90"/>
                <w:szCs w:val="21"/>
              </w:rPr>
              <w:t>达标</w:t>
            </w:r>
          </w:p>
        </w:tc>
        <w:tc>
          <w:tcPr>
            <w:tcW w:w="487" w:type="pct"/>
            <w:vAlign w:val="center"/>
          </w:tcPr>
          <w:p w14:paraId="7E69EFE5">
            <w:pPr>
              <w:jc w:val="center"/>
              <w:rPr>
                <w:rFonts w:hint="eastAsia" w:ascii="宋体" w:hAnsi="宋体" w:eastAsia="宋体" w:cs="宋体"/>
                <w:color w:val="auto"/>
                <w:w w:val="90"/>
                <w:szCs w:val="21"/>
              </w:rPr>
            </w:pPr>
            <w:r>
              <w:rPr>
                <w:rFonts w:hint="eastAsia" w:ascii="宋体" w:hAnsi="宋体" w:eastAsia="宋体" w:cs="宋体"/>
                <w:color w:val="auto"/>
                <w:w w:val="90"/>
                <w:szCs w:val="21"/>
              </w:rPr>
              <w:t>0.01</w:t>
            </w:r>
          </w:p>
        </w:tc>
      </w:tr>
      <w:tr w14:paraId="775BB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 w:type="pct"/>
            <w:vAlign w:val="center"/>
          </w:tcPr>
          <w:p w14:paraId="461DA907">
            <w:pPr>
              <w:jc w:val="center"/>
              <w:rPr>
                <w:rFonts w:hint="eastAsia" w:ascii="宋体" w:hAnsi="宋体" w:eastAsia="宋体" w:cs="宋体"/>
                <w:color w:val="auto"/>
                <w:szCs w:val="21"/>
              </w:rPr>
            </w:pPr>
            <w:r>
              <w:rPr>
                <w:rFonts w:hint="eastAsia" w:ascii="宋体" w:hAnsi="宋体" w:eastAsia="宋体" w:cs="宋体"/>
                <w:color w:val="auto"/>
                <w:szCs w:val="21"/>
              </w:rPr>
              <w:t>汞</w:t>
            </w:r>
          </w:p>
        </w:tc>
        <w:tc>
          <w:tcPr>
            <w:tcW w:w="596" w:type="pct"/>
            <w:shd w:val="clear" w:color="auto" w:fill="auto"/>
            <w:vAlign w:val="center"/>
          </w:tcPr>
          <w:p w14:paraId="7AEA5498">
            <w:pPr>
              <w:jc w:val="center"/>
              <w:rPr>
                <w:rFonts w:hint="eastAsia" w:ascii="宋体" w:hAnsi="宋体" w:eastAsia="宋体" w:cs="宋体"/>
                <w:color w:val="auto"/>
                <w:w w:val="90"/>
                <w:kern w:val="2"/>
                <w:sz w:val="21"/>
                <w:szCs w:val="21"/>
                <w:lang w:val="en-US" w:eastAsia="zh-CN" w:bidi="ar-SA"/>
              </w:rPr>
            </w:pPr>
            <w:r>
              <w:rPr>
                <w:rFonts w:hint="eastAsia" w:ascii="宋体" w:hAnsi="宋体" w:eastAsia="宋体" w:cs="宋体"/>
                <w:color w:val="auto"/>
                <w:w w:val="90"/>
                <w:szCs w:val="21"/>
              </w:rPr>
              <w:t>0.00004</w:t>
            </w:r>
          </w:p>
        </w:tc>
        <w:tc>
          <w:tcPr>
            <w:tcW w:w="608" w:type="pct"/>
            <w:shd w:val="clear" w:color="auto" w:fill="auto"/>
            <w:vAlign w:val="center"/>
          </w:tcPr>
          <w:p w14:paraId="0ABC505F">
            <w:pPr>
              <w:jc w:val="center"/>
              <w:rPr>
                <w:rFonts w:hint="eastAsia" w:ascii="宋体" w:hAnsi="宋体" w:eastAsia="宋体" w:cs="宋体"/>
                <w:color w:val="auto"/>
                <w:w w:val="90"/>
                <w:kern w:val="2"/>
                <w:sz w:val="21"/>
                <w:szCs w:val="21"/>
                <w:lang w:val="en-US" w:eastAsia="zh-CN" w:bidi="ar-SA"/>
              </w:rPr>
            </w:pPr>
            <w:r>
              <w:rPr>
                <w:rFonts w:hint="eastAsia" w:ascii="宋体" w:hAnsi="宋体" w:eastAsia="宋体" w:cs="宋体"/>
                <w:color w:val="auto"/>
                <w:w w:val="90"/>
                <w:szCs w:val="21"/>
              </w:rPr>
              <w:t>达标</w:t>
            </w:r>
          </w:p>
        </w:tc>
        <w:tc>
          <w:tcPr>
            <w:tcW w:w="560" w:type="pct"/>
            <w:shd w:val="clear" w:color="auto" w:fill="auto"/>
            <w:vAlign w:val="center"/>
          </w:tcPr>
          <w:p w14:paraId="7563F771">
            <w:pPr>
              <w:jc w:val="center"/>
              <w:rPr>
                <w:rFonts w:hint="eastAsia" w:ascii="宋体" w:hAnsi="宋体" w:eastAsia="宋体" w:cs="宋体"/>
                <w:color w:val="auto"/>
                <w:w w:val="90"/>
                <w:kern w:val="2"/>
                <w:sz w:val="21"/>
                <w:szCs w:val="21"/>
                <w:lang w:val="en-US" w:eastAsia="zh-CN" w:bidi="ar-SA"/>
              </w:rPr>
            </w:pPr>
            <w:r>
              <w:rPr>
                <w:rFonts w:hint="eastAsia" w:ascii="宋体" w:hAnsi="宋体" w:eastAsia="宋体" w:cs="宋体"/>
                <w:color w:val="auto"/>
                <w:w w:val="90"/>
                <w:szCs w:val="21"/>
              </w:rPr>
              <w:t>ND</w:t>
            </w:r>
          </w:p>
        </w:tc>
        <w:tc>
          <w:tcPr>
            <w:tcW w:w="618" w:type="pct"/>
            <w:shd w:val="clear" w:color="auto" w:fill="auto"/>
            <w:vAlign w:val="center"/>
          </w:tcPr>
          <w:p w14:paraId="1718AD54">
            <w:pPr>
              <w:jc w:val="center"/>
              <w:rPr>
                <w:rFonts w:hint="eastAsia" w:ascii="宋体" w:hAnsi="宋体" w:eastAsia="宋体" w:cs="宋体"/>
                <w:color w:val="auto"/>
                <w:w w:val="90"/>
                <w:kern w:val="2"/>
                <w:sz w:val="21"/>
                <w:szCs w:val="21"/>
                <w:lang w:val="en-US" w:eastAsia="zh-CN" w:bidi="ar-SA"/>
              </w:rPr>
            </w:pPr>
            <w:r>
              <w:rPr>
                <w:rFonts w:hint="eastAsia" w:ascii="宋体" w:hAnsi="宋体" w:eastAsia="宋体" w:cs="宋体"/>
                <w:color w:val="auto"/>
                <w:w w:val="90"/>
                <w:szCs w:val="21"/>
              </w:rPr>
              <w:t>达标</w:t>
            </w:r>
          </w:p>
        </w:tc>
        <w:tc>
          <w:tcPr>
            <w:tcW w:w="652" w:type="pct"/>
            <w:shd w:val="clear" w:color="auto" w:fill="auto"/>
            <w:vAlign w:val="center"/>
          </w:tcPr>
          <w:p w14:paraId="28BE2BFC">
            <w:pPr>
              <w:jc w:val="center"/>
              <w:rPr>
                <w:rFonts w:hint="eastAsia" w:ascii="宋体" w:hAnsi="宋体" w:eastAsia="宋体" w:cs="宋体"/>
                <w:color w:val="auto"/>
                <w:w w:val="90"/>
                <w:kern w:val="2"/>
                <w:sz w:val="21"/>
                <w:szCs w:val="21"/>
                <w:lang w:val="en-US" w:eastAsia="zh-CN" w:bidi="ar-SA"/>
              </w:rPr>
            </w:pPr>
            <w:r>
              <w:rPr>
                <w:rFonts w:hint="eastAsia" w:ascii="宋体" w:hAnsi="宋体" w:eastAsia="宋体" w:cs="宋体"/>
                <w:color w:val="auto"/>
                <w:w w:val="90"/>
                <w:szCs w:val="21"/>
              </w:rPr>
              <w:t>ND</w:t>
            </w:r>
          </w:p>
        </w:tc>
        <w:tc>
          <w:tcPr>
            <w:tcW w:w="515" w:type="pct"/>
            <w:shd w:val="clear" w:color="auto" w:fill="auto"/>
            <w:vAlign w:val="center"/>
          </w:tcPr>
          <w:p w14:paraId="28F4E70E">
            <w:pPr>
              <w:jc w:val="center"/>
              <w:rPr>
                <w:rFonts w:hint="eastAsia" w:ascii="宋体" w:hAnsi="宋体" w:eastAsia="宋体" w:cs="宋体"/>
                <w:color w:val="auto"/>
                <w:w w:val="90"/>
                <w:szCs w:val="21"/>
              </w:rPr>
            </w:pPr>
            <w:r>
              <w:rPr>
                <w:rFonts w:hint="eastAsia" w:ascii="宋体" w:hAnsi="宋体" w:eastAsia="宋体" w:cs="宋体"/>
                <w:color w:val="auto"/>
                <w:w w:val="90"/>
                <w:szCs w:val="21"/>
              </w:rPr>
              <w:t>达标</w:t>
            </w:r>
          </w:p>
        </w:tc>
        <w:tc>
          <w:tcPr>
            <w:tcW w:w="487" w:type="pct"/>
            <w:vAlign w:val="center"/>
          </w:tcPr>
          <w:p w14:paraId="5650DDD9">
            <w:pPr>
              <w:jc w:val="center"/>
              <w:rPr>
                <w:rFonts w:hint="eastAsia" w:ascii="宋体" w:hAnsi="宋体" w:eastAsia="宋体" w:cs="宋体"/>
                <w:color w:val="auto"/>
                <w:w w:val="90"/>
                <w:szCs w:val="21"/>
              </w:rPr>
            </w:pPr>
            <w:r>
              <w:rPr>
                <w:rFonts w:hint="eastAsia" w:ascii="宋体" w:hAnsi="宋体" w:eastAsia="宋体" w:cs="宋体"/>
                <w:color w:val="auto"/>
                <w:w w:val="90"/>
                <w:szCs w:val="21"/>
              </w:rPr>
              <w:t>0.001</w:t>
            </w:r>
          </w:p>
        </w:tc>
      </w:tr>
      <w:tr w14:paraId="51648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61" w:type="pct"/>
            <w:vAlign w:val="center"/>
          </w:tcPr>
          <w:p w14:paraId="15B75B11">
            <w:pPr>
              <w:jc w:val="center"/>
              <w:rPr>
                <w:rFonts w:hint="eastAsia" w:ascii="宋体" w:hAnsi="宋体" w:eastAsia="宋体" w:cs="宋体"/>
                <w:color w:val="auto"/>
                <w:szCs w:val="21"/>
              </w:rPr>
            </w:pPr>
            <w:r>
              <w:rPr>
                <w:rFonts w:hint="eastAsia" w:ascii="宋体" w:hAnsi="宋体" w:eastAsia="宋体" w:cs="宋体"/>
                <w:color w:val="auto"/>
                <w:szCs w:val="21"/>
              </w:rPr>
              <w:t>铬</w:t>
            </w:r>
          </w:p>
        </w:tc>
        <w:tc>
          <w:tcPr>
            <w:tcW w:w="596" w:type="pct"/>
            <w:shd w:val="clear" w:color="auto" w:fill="auto"/>
            <w:vAlign w:val="center"/>
          </w:tcPr>
          <w:p w14:paraId="362D6907">
            <w:pPr>
              <w:jc w:val="center"/>
              <w:rPr>
                <w:rFonts w:hint="eastAsia" w:ascii="宋体" w:hAnsi="宋体" w:eastAsia="宋体" w:cs="宋体"/>
                <w:color w:val="auto"/>
                <w:w w:val="90"/>
                <w:kern w:val="2"/>
                <w:sz w:val="21"/>
                <w:szCs w:val="21"/>
                <w:lang w:val="en-US" w:eastAsia="zh-CN" w:bidi="ar-SA"/>
              </w:rPr>
            </w:pPr>
            <w:r>
              <w:rPr>
                <w:rFonts w:hint="eastAsia" w:ascii="宋体" w:hAnsi="宋体" w:eastAsia="宋体" w:cs="宋体"/>
                <w:color w:val="auto"/>
                <w:w w:val="90"/>
                <w:szCs w:val="21"/>
              </w:rPr>
              <w:t>0.004</w:t>
            </w:r>
          </w:p>
        </w:tc>
        <w:tc>
          <w:tcPr>
            <w:tcW w:w="608" w:type="pct"/>
            <w:shd w:val="clear" w:color="auto" w:fill="auto"/>
            <w:vAlign w:val="center"/>
          </w:tcPr>
          <w:p w14:paraId="072300D2">
            <w:pPr>
              <w:jc w:val="center"/>
              <w:rPr>
                <w:rFonts w:hint="eastAsia" w:ascii="宋体" w:hAnsi="宋体" w:eastAsia="宋体" w:cs="宋体"/>
                <w:color w:val="auto"/>
                <w:w w:val="90"/>
                <w:kern w:val="2"/>
                <w:sz w:val="21"/>
                <w:szCs w:val="21"/>
                <w:lang w:val="en-US" w:eastAsia="zh-CN" w:bidi="ar-SA"/>
              </w:rPr>
            </w:pPr>
            <w:r>
              <w:rPr>
                <w:rFonts w:hint="eastAsia" w:ascii="宋体" w:hAnsi="宋体" w:eastAsia="宋体" w:cs="宋体"/>
                <w:color w:val="auto"/>
                <w:w w:val="90"/>
                <w:szCs w:val="21"/>
              </w:rPr>
              <w:t>达标</w:t>
            </w:r>
          </w:p>
        </w:tc>
        <w:tc>
          <w:tcPr>
            <w:tcW w:w="560" w:type="pct"/>
            <w:shd w:val="clear" w:color="auto" w:fill="auto"/>
            <w:vAlign w:val="center"/>
          </w:tcPr>
          <w:p w14:paraId="64E33282">
            <w:pPr>
              <w:jc w:val="center"/>
              <w:rPr>
                <w:rFonts w:hint="eastAsia" w:ascii="宋体" w:hAnsi="宋体" w:eastAsia="宋体" w:cs="宋体"/>
                <w:color w:val="auto"/>
                <w:w w:val="90"/>
                <w:kern w:val="2"/>
                <w:sz w:val="21"/>
                <w:szCs w:val="21"/>
                <w:lang w:val="en-US" w:eastAsia="zh-CN" w:bidi="ar-SA"/>
              </w:rPr>
            </w:pPr>
            <w:r>
              <w:rPr>
                <w:rFonts w:hint="eastAsia" w:ascii="宋体" w:hAnsi="宋体" w:eastAsia="宋体" w:cs="宋体"/>
                <w:color w:val="auto"/>
                <w:w w:val="90"/>
                <w:szCs w:val="21"/>
              </w:rPr>
              <w:t>ND</w:t>
            </w:r>
          </w:p>
        </w:tc>
        <w:tc>
          <w:tcPr>
            <w:tcW w:w="618" w:type="pct"/>
            <w:shd w:val="clear" w:color="auto" w:fill="auto"/>
            <w:vAlign w:val="center"/>
          </w:tcPr>
          <w:p w14:paraId="7B15843B">
            <w:pPr>
              <w:jc w:val="center"/>
              <w:rPr>
                <w:rFonts w:hint="eastAsia" w:ascii="宋体" w:hAnsi="宋体" w:eastAsia="宋体" w:cs="宋体"/>
                <w:color w:val="auto"/>
                <w:w w:val="90"/>
                <w:kern w:val="2"/>
                <w:sz w:val="21"/>
                <w:szCs w:val="21"/>
                <w:lang w:val="en-US" w:eastAsia="zh-CN" w:bidi="ar-SA"/>
              </w:rPr>
            </w:pPr>
            <w:r>
              <w:rPr>
                <w:rFonts w:hint="eastAsia" w:ascii="宋体" w:hAnsi="宋体" w:eastAsia="宋体" w:cs="宋体"/>
                <w:color w:val="auto"/>
                <w:w w:val="90"/>
                <w:szCs w:val="21"/>
              </w:rPr>
              <w:t>达标</w:t>
            </w:r>
          </w:p>
        </w:tc>
        <w:tc>
          <w:tcPr>
            <w:tcW w:w="652" w:type="pct"/>
            <w:shd w:val="clear" w:color="auto" w:fill="auto"/>
            <w:vAlign w:val="center"/>
          </w:tcPr>
          <w:p w14:paraId="037ED7EE">
            <w:pPr>
              <w:jc w:val="center"/>
              <w:rPr>
                <w:rFonts w:hint="eastAsia" w:ascii="宋体" w:hAnsi="宋体" w:eastAsia="宋体" w:cs="宋体"/>
                <w:color w:val="auto"/>
                <w:w w:val="90"/>
                <w:kern w:val="2"/>
                <w:sz w:val="21"/>
                <w:szCs w:val="21"/>
                <w:lang w:val="en-US" w:eastAsia="zh-CN" w:bidi="ar-SA"/>
              </w:rPr>
            </w:pPr>
            <w:r>
              <w:rPr>
                <w:rFonts w:hint="eastAsia" w:ascii="宋体" w:hAnsi="宋体" w:eastAsia="宋体" w:cs="宋体"/>
                <w:color w:val="auto"/>
                <w:w w:val="90"/>
                <w:szCs w:val="21"/>
              </w:rPr>
              <w:t>ND</w:t>
            </w:r>
          </w:p>
        </w:tc>
        <w:tc>
          <w:tcPr>
            <w:tcW w:w="515" w:type="pct"/>
            <w:shd w:val="clear" w:color="auto" w:fill="auto"/>
            <w:vAlign w:val="center"/>
          </w:tcPr>
          <w:p w14:paraId="3360706A">
            <w:pPr>
              <w:jc w:val="center"/>
              <w:rPr>
                <w:rFonts w:hint="eastAsia" w:ascii="宋体" w:hAnsi="宋体" w:eastAsia="宋体" w:cs="宋体"/>
                <w:color w:val="auto"/>
                <w:w w:val="90"/>
                <w:szCs w:val="21"/>
              </w:rPr>
            </w:pPr>
            <w:r>
              <w:rPr>
                <w:rFonts w:hint="eastAsia" w:ascii="宋体" w:hAnsi="宋体" w:eastAsia="宋体" w:cs="宋体"/>
                <w:color w:val="auto"/>
                <w:w w:val="90"/>
                <w:szCs w:val="21"/>
              </w:rPr>
              <w:t>达标</w:t>
            </w:r>
          </w:p>
        </w:tc>
        <w:tc>
          <w:tcPr>
            <w:tcW w:w="487" w:type="pct"/>
            <w:vAlign w:val="center"/>
          </w:tcPr>
          <w:p w14:paraId="15C56947">
            <w:pPr>
              <w:jc w:val="center"/>
              <w:rPr>
                <w:rFonts w:hint="eastAsia" w:ascii="宋体" w:hAnsi="宋体" w:eastAsia="宋体" w:cs="宋体"/>
                <w:color w:val="auto"/>
                <w:w w:val="90"/>
                <w:szCs w:val="21"/>
              </w:rPr>
            </w:pPr>
            <w:r>
              <w:rPr>
                <w:rFonts w:hint="eastAsia" w:ascii="宋体" w:hAnsi="宋体" w:eastAsia="宋体" w:cs="宋体"/>
                <w:color w:val="auto"/>
                <w:w w:val="90"/>
                <w:szCs w:val="21"/>
              </w:rPr>
              <w:t>0.05</w:t>
            </w:r>
          </w:p>
        </w:tc>
      </w:tr>
      <w:tr w14:paraId="76D84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61" w:type="pct"/>
            <w:vAlign w:val="center"/>
          </w:tcPr>
          <w:p w14:paraId="18F45E3D">
            <w:pPr>
              <w:jc w:val="center"/>
              <w:rPr>
                <w:rFonts w:hint="eastAsia" w:ascii="宋体" w:hAnsi="宋体" w:eastAsia="宋体" w:cs="宋体"/>
                <w:color w:val="auto"/>
                <w:szCs w:val="21"/>
              </w:rPr>
            </w:pPr>
            <w:r>
              <w:rPr>
                <w:rFonts w:hint="eastAsia" w:ascii="宋体" w:hAnsi="宋体" w:eastAsia="宋体" w:cs="宋体"/>
                <w:color w:val="auto"/>
                <w:szCs w:val="21"/>
              </w:rPr>
              <w:t>总硬度</w:t>
            </w:r>
          </w:p>
        </w:tc>
        <w:tc>
          <w:tcPr>
            <w:tcW w:w="596" w:type="pct"/>
            <w:shd w:val="clear" w:color="auto" w:fill="auto"/>
            <w:vAlign w:val="center"/>
          </w:tcPr>
          <w:p w14:paraId="71D00906">
            <w:pPr>
              <w:jc w:val="center"/>
              <w:rPr>
                <w:rFonts w:hint="eastAsia" w:ascii="宋体" w:hAnsi="宋体" w:eastAsia="宋体" w:cs="宋体"/>
                <w:color w:val="auto"/>
                <w:w w:val="90"/>
                <w:kern w:val="2"/>
                <w:sz w:val="21"/>
                <w:szCs w:val="21"/>
                <w:lang w:val="en-US" w:eastAsia="zh-CN" w:bidi="ar-SA"/>
              </w:rPr>
            </w:pPr>
            <w:r>
              <w:rPr>
                <w:rFonts w:hint="eastAsia" w:ascii="宋体" w:hAnsi="宋体" w:eastAsia="宋体" w:cs="宋体"/>
                <w:color w:val="auto"/>
                <w:w w:val="90"/>
                <w:szCs w:val="21"/>
              </w:rPr>
              <w:t>181</w:t>
            </w:r>
          </w:p>
        </w:tc>
        <w:tc>
          <w:tcPr>
            <w:tcW w:w="608" w:type="pct"/>
            <w:shd w:val="clear" w:color="auto" w:fill="auto"/>
            <w:vAlign w:val="center"/>
          </w:tcPr>
          <w:p w14:paraId="54F7143A">
            <w:pPr>
              <w:jc w:val="center"/>
              <w:rPr>
                <w:rFonts w:hint="eastAsia" w:ascii="宋体" w:hAnsi="宋体" w:eastAsia="宋体" w:cs="宋体"/>
                <w:color w:val="auto"/>
                <w:w w:val="90"/>
                <w:kern w:val="2"/>
                <w:sz w:val="21"/>
                <w:szCs w:val="21"/>
                <w:lang w:val="en-US" w:eastAsia="zh-CN" w:bidi="ar-SA"/>
              </w:rPr>
            </w:pPr>
            <w:r>
              <w:rPr>
                <w:rFonts w:hint="eastAsia" w:ascii="宋体" w:hAnsi="宋体" w:eastAsia="宋体" w:cs="宋体"/>
                <w:color w:val="auto"/>
                <w:w w:val="90"/>
                <w:szCs w:val="21"/>
              </w:rPr>
              <w:t>达标</w:t>
            </w:r>
          </w:p>
        </w:tc>
        <w:tc>
          <w:tcPr>
            <w:tcW w:w="560" w:type="pct"/>
            <w:shd w:val="clear" w:color="auto" w:fill="auto"/>
            <w:vAlign w:val="center"/>
          </w:tcPr>
          <w:p w14:paraId="25CFE863">
            <w:pPr>
              <w:jc w:val="center"/>
              <w:rPr>
                <w:rFonts w:hint="eastAsia" w:ascii="宋体" w:hAnsi="宋体" w:eastAsia="宋体" w:cs="宋体"/>
                <w:color w:val="auto"/>
                <w:w w:val="90"/>
                <w:kern w:val="2"/>
                <w:sz w:val="21"/>
                <w:szCs w:val="21"/>
                <w:lang w:val="en-US" w:eastAsia="zh-CN" w:bidi="ar-SA"/>
              </w:rPr>
            </w:pPr>
            <w:r>
              <w:rPr>
                <w:rFonts w:hint="eastAsia" w:ascii="宋体" w:hAnsi="宋体" w:eastAsia="宋体" w:cs="宋体"/>
                <w:color w:val="auto"/>
                <w:w w:val="90"/>
                <w:szCs w:val="21"/>
              </w:rPr>
              <w:t>327</w:t>
            </w:r>
          </w:p>
        </w:tc>
        <w:tc>
          <w:tcPr>
            <w:tcW w:w="618" w:type="pct"/>
            <w:shd w:val="clear" w:color="auto" w:fill="auto"/>
            <w:vAlign w:val="center"/>
          </w:tcPr>
          <w:p w14:paraId="3412E659">
            <w:pPr>
              <w:jc w:val="center"/>
              <w:rPr>
                <w:rFonts w:hint="eastAsia" w:ascii="宋体" w:hAnsi="宋体" w:eastAsia="宋体" w:cs="宋体"/>
                <w:color w:val="auto"/>
                <w:w w:val="90"/>
                <w:kern w:val="2"/>
                <w:sz w:val="21"/>
                <w:szCs w:val="21"/>
                <w:lang w:val="en-US" w:eastAsia="zh-CN" w:bidi="ar-SA"/>
              </w:rPr>
            </w:pPr>
            <w:r>
              <w:rPr>
                <w:rFonts w:hint="eastAsia" w:ascii="宋体" w:hAnsi="宋体" w:eastAsia="宋体" w:cs="宋体"/>
                <w:color w:val="auto"/>
                <w:w w:val="90"/>
                <w:szCs w:val="21"/>
              </w:rPr>
              <w:t>达标</w:t>
            </w:r>
          </w:p>
        </w:tc>
        <w:tc>
          <w:tcPr>
            <w:tcW w:w="652" w:type="pct"/>
            <w:shd w:val="clear" w:color="auto" w:fill="auto"/>
            <w:vAlign w:val="center"/>
          </w:tcPr>
          <w:p w14:paraId="541BA9A4">
            <w:pPr>
              <w:jc w:val="center"/>
              <w:rPr>
                <w:rFonts w:hint="eastAsia" w:ascii="宋体" w:hAnsi="宋体" w:eastAsia="宋体" w:cs="宋体"/>
                <w:color w:val="auto"/>
                <w:w w:val="90"/>
                <w:kern w:val="2"/>
                <w:sz w:val="21"/>
                <w:szCs w:val="21"/>
                <w:lang w:val="en-US" w:eastAsia="zh-CN" w:bidi="ar-SA"/>
              </w:rPr>
            </w:pPr>
            <w:r>
              <w:rPr>
                <w:rFonts w:hint="eastAsia" w:ascii="宋体" w:hAnsi="宋体" w:eastAsia="宋体" w:cs="宋体"/>
                <w:color w:val="auto"/>
                <w:w w:val="90"/>
                <w:szCs w:val="21"/>
              </w:rPr>
              <w:t>318</w:t>
            </w:r>
          </w:p>
        </w:tc>
        <w:tc>
          <w:tcPr>
            <w:tcW w:w="515" w:type="pct"/>
            <w:shd w:val="clear" w:color="auto" w:fill="auto"/>
            <w:vAlign w:val="center"/>
          </w:tcPr>
          <w:p w14:paraId="0965AFFB">
            <w:pPr>
              <w:jc w:val="center"/>
              <w:rPr>
                <w:rFonts w:hint="eastAsia" w:ascii="宋体" w:hAnsi="宋体" w:eastAsia="宋体" w:cs="宋体"/>
                <w:color w:val="auto"/>
                <w:w w:val="90"/>
                <w:szCs w:val="21"/>
              </w:rPr>
            </w:pPr>
            <w:r>
              <w:rPr>
                <w:rFonts w:hint="eastAsia" w:ascii="宋体" w:hAnsi="宋体" w:eastAsia="宋体" w:cs="宋体"/>
                <w:color w:val="auto"/>
                <w:w w:val="90"/>
                <w:szCs w:val="21"/>
              </w:rPr>
              <w:t>达标</w:t>
            </w:r>
          </w:p>
        </w:tc>
        <w:tc>
          <w:tcPr>
            <w:tcW w:w="487" w:type="pct"/>
            <w:vAlign w:val="center"/>
          </w:tcPr>
          <w:p w14:paraId="1D1CD9B2">
            <w:pPr>
              <w:jc w:val="center"/>
              <w:rPr>
                <w:rFonts w:hint="eastAsia" w:ascii="宋体" w:hAnsi="宋体" w:eastAsia="宋体" w:cs="宋体"/>
                <w:color w:val="auto"/>
                <w:w w:val="90"/>
                <w:szCs w:val="21"/>
              </w:rPr>
            </w:pPr>
            <w:r>
              <w:rPr>
                <w:rFonts w:hint="eastAsia" w:ascii="宋体" w:hAnsi="宋体" w:eastAsia="宋体" w:cs="宋体"/>
                <w:color w:val="auto"/>
                <w:w w:val="90"/>
                <w:szCs w:val="21"/>
              </w:rPr>
              <w:t>450</w:t>
            </w:r>
          </w:p>
        </w:tc>
      </w:tr>
      <w:tr w14:paraId="64CCF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 w:type="pct"/>
            <w:vAlign w:val="center"/>
          </w:tcPr>
          <w:p w14:paraId="63190E1B">
            <w:pPr>
              <w:jc w:val="center"/>
              <w:rPr>
                <w:rFonts w:hint="eastAsia" w:ascii="宋体" w:hAnsi="宋体" w:eastAsia="宋体" w:cs="宋体"/>
                <w:color w:val="auto"/>
                <w:szCs w:val="21"/>
              </w:rPr>
            </w:pPr>
            <w:r>
              <w:rPr>
                <w:rFonts w:hint="eastAsia" w:ascii="宋体" w:hAnsi="宋体" w:eastAsia="宋体" w:cs="宋体"/>
                <w:color w:val="auto"/>
                <w:szCs w:val="21"/>
              </w:rPr>
              <w:t>铅</w:t>
            </w:r>
          </w:p>
        </w:tc>
        <w:tc>
          <w:tcPr>
            <w:tcW w:w="596" w:type="pct"/>
            <w:shd w:val="clear" w:color="auto" w:fill="auto"/>
            <w:vAlign w:val="center"/>
          </w:tcPr>
          <w:p w14:paraId="533F0AEF">
            <w:pPr>
              <w:jc w:val="center"/>
              <w:rPr>
                <w:rFonts w:hint="eastAsia" w:ascii="宋体" w:hAnsi="宋体" w:eastAsia="宋体" w:cs="宋体"/>
                <w:color w:val="auto"/>
                <w:w w:val="90"/>
                <w:kern w:val="2"/>
                <w:sz w:val="21"/>
                <w:szCs w:val="21"/>
                <w:lang w:val="en-US" w:eastAsia="zh-CN" w:bidi="ar-SA"/>
              </w:rPr>
            </w:pPr>
            <w:r>
              <w:rPr>
                <w:rFonts w:hint="eastAsia" w:ascii="宋体" w:hAnsi="宋体" w:eastAsia="宋体" w:cs="宋体"/>
                <w:color w:val="auto"/>
                <w:w w:val="90"/>
                <w:szCs w:val="21"/>
              </w:rPr>
              <w:t>0.00018</w:t>
            </w:r>
          </w:p>
        </w:tc>
        <w:tc>
          <w:tcPr>
            <w:tcW w:w="608" w:type="pct"/>
            <w:shd w:val="clear" w:color="auto" w:fill="auto"/>
            <w:vAlign w:val="center"/>
          </w:tcPr>
          <w:p w14:paraId="34934698">
            <w:pPr>
              <w:jc w:val="center"/>
              <w:rPr>
                <w:rFonts w:hint="eastAsia" w:ascii="宋体" w:hAnsi="宋体" w:eastAsia="宋体" w:cs="宋体"/>
                <w:color w:val="auto"/>
                <w:w w:val="90"/>
                <w:kern w:val="2"/>
                <w:sz w:val="21"/>
                <w:szCs w:val="21"/>
                <w:lang w:val="en-US" w:eastAsia="zh-CN" w:bidi="ar-SA"/>
              </w:rPr>
            </w:pPr>
            <w:r>
              <w:rPr>
                <w:rFonts w:hint="eastAsia" w:ascii="宋体" w:hAnsi="宋体" w:eastAsia="宋体" w:cs="宋体"/>
                <w:color w:val="auto"/>
                <w:w w:val="90"/>
                <w:szCs w:val="21"/>
              </w:rPr>
              <w:t>达标</w:t>
            </w:r>
          </w:p>
        </w:tc>
        <w:tc>
          <w:tcPr>
            <w:tcW w:w="560" w:type="pct"/>
            <w:shd w:val="clear" w:color="auto" w:fill="auto"/>
            <w:vAlign w:val="center"/>
          </w:tcPr>
          <w:p w14:paraId="110811E9">
            <w:pPr>
              <w:jc w:val="center"/>
              <w:rPr>
                <w:rFonts w:hint="eastAsia" w:ascii="宋体" w:hAnsi="宋体" w:eastAsia="宋体" w:cs="宋体"/>
                <w:color w:val="auto"/>
                <w:w w:val="90"/>
                <w:kern w:val="2"/>
                <w:sz w:val="21"/>
                <w:szCs w:val="21"/>
                <w:lang w:val="en-US" w:eastAsia="zh-CN" w:bidi="ar-SA"/>
              </w:rPr>
            </w:pPr>
            <w:r>
              <w:rPr>
                <w:rFonts w:hint="eastAsia" w:ascii="宋体" w:hAnsi="宋体" w:eastAsia="宋体" w:cs="宋体"/>
                <w:color w:val="auto"/>
                <w:w w:val="90"/>
                <w:szCs w:val="21"/>
              </w:rPr>
              <w:t>ND</w:t>
            </w:r>
          </w:p>
        </w:tc>
        <w:tc>
          <w:tcPr>
            <w:tcW w:w="618" w:type="pct"/>
            <w:shd w:val="clear" w:color="auto" w:fill="auto"/>
            <w:vAlign w:val="center"/>
          </w:tcPr>
          <w:p w14:paraId="7DA3BF34">
            <w:pPr>
              <w:jc w:val="center"/>
              <w:rPr>
                <w:rFonts w:hint="eastAsia" w:ascii="宋体" w:hAnsi="宋体" w:eastAsia="宋体" w:cs="宋体"/>
                <w:color w:val="auto"/>
                <w:w w:val="90"/>
                <w:kern w:val="2"/>
                <w:sz w:val="21"/>
                <w:szCs w:val="21"/>
                <w:lang w:val="en-US" w:eastAsia="zh-CN" w:bidi="ar-SA"/>
              </w:rPr>
            </w:pPr>
            <w:r>
              <w:rPr>
                <w:rFonts w:hint="eastAsia" w:ascii="宋体" w:hAnsi="宋体" w:eastAsia="宋体" w:cs="宋体"/>
                <w:color w:val="auto"/>
                <w:w w:val="90"/>
                <w:szCs w:val="21"/>
              </w:rPr>
              <w:t>达标</w:t>
            </w:r>
          </w:p>
        </w:tc>
        <w:tc>
          <w:tcPr>
            <w:tcW w:w="652" w:type="pct"/>
            <w:shd w:val="clear" w:color="auto" w:fill="auto"/>
            <w:vAlign w:val="center"/>
          </w:tcPr>
          <w:p w14:paraId="0DEB2A80">
            <w:pPr>
              <w:jc w:val="center"/>
              <w:rPr>
                <w:rFonts w:hint="eastAsia" w:ascii="宋体" w:hAnsi="宋体" w:eastAsia="宋体" w:cs="宋体"/>
                <w:color w:val="auto"/>
                <w:w w:val="90"/>
                <w:kern w:val="2"/>
                <w:sz w:val="21"/>
                <w:szCs w:val="21"/>
                <w:lang w:val="en-US" w:eastAsia="zh-CN" w:bidi="ar-SA"/>
              </w:rPr>
            </w:pPr>
            <w:r>
              <w:rPr>
                <w:rFonts w:hint="eastAsia" w:ascii="宋体" w:hAnsi="宋体" w:eastAsia="宋体" w:cs="宋体"/>
                <w:color w:val="auto"/>
                <w:w w:val="90"/>
                <w:szCs w:val="21"/>
              </w:rPr>
              <w:t>ND</w:t>
            </w:r>
          </w:p>
        </w:tc>
        <w:tc>
          <w:tcPr>
            <w:tcW w:w="515" w:type="pct"/>
            <w:shd w:val="clear" w:color="auto" w:fill="auto"/>
            <w:vAlign w:val="center"/>
          </w:tcPr>
          <w:p w14:paraId="5D9B9117">
            <w:pPr>
              <w:jc w:val="center"/>
              <w:rPr>
                <w:rFonts w:hint="eastAsia" w:ascii="宋体" w:hAnsi="宋体" w:eastAsia="宋体" w:cs="宋体"/>
                <w:color w:val="auto"/>
                <w:w w:val="90"/>
                <w:szCs w:val="21"/>
              </w:rPr>
            </w:pPr>
            <w:r>
              <w:rPr>
                <w:rFonts w:hint="eastAsia" w:ascii="宋体" w:hAnsi="宋体" w:eastAsia="宋体" w:cs="宋体"/>
                <w:color w:val="auto"/>
                <w:w w:val="90"/>
                <w:szCs w:val="21"/>
              </w:rPr>
              <w:t>达标</w:t>
            </w:r>
          </w:p>
        </w:tc>
        <w:tc>
          <w:tcPr>
            <w:tcW w:w="487" w:type="pct"/>
            <w:vAlign w:val="center"/>
          </w:tcPr>
          <w:p w14:paraId="341A0209">
            <w:pPr>
              <w:jc w:val="center"/>
              <w:rPr>
                <w:rFonts w:hint="eastAsia" w:ascii="宋体" w:hAnsi="宋体" w:eastAsia="宋体" w:cs="宋体"/>
                <w:color w:val="auto"/>
                <w:w w:val="90"/>
                <w:szCs w:val="21"/>
              </w:rPr>
            </w:pPr>
            <w:r>
              <w:rPr>
                <w:rFonts w:hint="eastAsia" w:ascii="宋体" w:hAnsi="宋体" w:eastAsia="宋体" w:cs="宋体"/>
                <w:color w:val="auto"/>
                <w:w w:val="90"/>
                <w:szCs w:val="21"/>
              </w:rPr>
              <w:t>0.01</w:t>
            </w:r>
          </w:p>
        </w:tc>
      </w:tr>
      <w:tr w14:paraId="121F9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 w:type="pct"/>
            <w:vAlign w:val="center"/>
          </w:tcPr>
          <w:p w14:paraId="25F5EE3B">
            <w:pPr>
              <w:jc w:val="center"/>
              <w:rPr>
                <w:rFonts w:hint="eastAsia" w:ascii="宋体" w:hAnsi="宋体" w:eastAsia="宋体" w:cs="宋体"/>
                <w:color w:val="auto"/>
                <w:szCs w:val="21"/>
              </w:rPr>
            </w:pPr>
            <w:r>
              <w:rPr>
                <w:rFonts w:hint="eastAsia" w:ascii="宋体" w:hAnsi="宋体" w:eastAsia="宋体" w:cs="宋体"/>
                <w:color w:val="auto"/>
                <w:szCs w:val="21"/>
              </w:rPr>
              <w:t>氟化物</w:t>
            </w:r>
          </w:p>
        </w:tc>
        <w:tc>
          <w:tcPr>
            <w:tcW w:w="596" w:type="pct"/>
            <w:shd w:val="clear" w:color="auto" w:fill="auto"/>
            <w:vAlign w:val="center"/>
          </w:tcPr>
          <w:p w14:paraId="66C12180">
            <w:pPr>
              <w:jc w:val="center"/>
              <w:rPr>
                <w:rFonts w:hint="eastAsia" w:ascii="宋体" w:hAnsi="宋体" w:eastAsia="宋体" w:cs="宋体"/>
                <w:color w:val="auto"/>
                <w:w w:val="90"/>
                <w:kern w:val="2"/>
                <w:sz w:val="21"/>
                <w:szCs w:val="21"/>
                <w:lang w:val="en-US" w:eastAsia="zh-CN" w:bidi="ar-SA"/>
              </w:rPr>
            </w:pPr>
            <w:r>
              <w:rPr>
                <w:rFonts w:hint="eastAsia" w:ascii="宋体" w:hAnsi="宋体" w:eastAsia="宋体" w:cs="宋体"/>
                <w:color w:val="auto"/>
                <w:w w:val="90"/>
                <w:szCs w:val="21"/>
              </w:rPr>
              <w:t>0.35</w:t>
            </w:r>
          </w:p>
        </w:tc>
        <w:tc>
          <w:tcPr>
            <w:tcW w:w="608" w:type="pct"/>
            <w:shd w:val="clear" w:color="auto" w:fill="auto"/>
            <w:vAlign w:val="center"/>
          </w:tcPr>
          <w:p w14:paraId="1A2F2410">
            <w:pPr>
              <w:jc w:val="center"/>
              <w:rPr>
                <w:rFonts w:hint="eastAsia" w:ascii="宋体" w:hAnsi="宋体" w:eastAsia="宋体" w:cs="宋体"/>
                <w:color w:val="auto"/>
                <w:w w:val="90"/>
                <w:kern w:val="2"/>
                <w:sz w:val="21"/>
                <w:szCs w:val="21"/>
                <w:lang w:val="en-US" w:eastAsia="zh-CN" w:bidi="ar-SA"/>
              </w:rPr>
            </w:pPr>
            <w:r>
              <w:rPr>
                <w:rFonts w:hint="eastAsia" w:ascii="宋体" w:hAnsi="宋体" w:eastAsia="宋体" w:cs="宋体"/>
                <w:color w:val="auto"/>
                <w:w w:val="90"/>
                <w:szCs w:val="21"/>
              </w:rPr>
              <w:t>达标</w:t>
            </w:r>
          </w:p>
        </w:tc>
        <w:tc>
          <w:tcPr>
            <w:tcW w:w="560" w:type="pct"/>
            <w:shd w:val="clear" w:color="auto" w:fill="auto"/>
            <w:vAlign w:val="center"/>
          </w:tcPr>
          <w:p w14:paraId="1D873742">
            <w:pPr>
              <w:jc w:val="center"/>
              <w:rPr>
                <w:rFonts w:hint="eastAsia" w:ascii="宋体" w:hAnsi="宋体" w:eastAsia="宋体" w:cs="宋体"/>
                <w:color w:val="auto"/>
                <w:w w:val="90"/>
                <w:kern w:val="2"/>
                <w:sz w:val="21"/>
                <w:szCs w:val="21"/>
                <w:lang w:val="en-US" w:eastAsia="zh-CN" w:bidi="ar-SA"/>
              </w:rPr>
            </w:pPr>
            <w:r>
              <w:rPr>
                <w:rFonts w:hint="eastAsia" w:ascii="宋体" w:hAnsi="宋体" w:eastAsia="宋体" w:cs="宋体"/>
                <w:color w:val="auto"/>
                <w:w w:val="90"/>
                <w:szCs w:val="21"/>
              </w:rPr>
              <w:t>0.449</w:t>
            </w:r>
          </w:p>
        </w:tc>
        <w:tc>
          <w:tcPr>
            <w:tcW w:w="618" w:type="pct"/>
            <w:shd w:val="clear" w:color="auto" w:fill="auto"/>
            <w:vAlign w:val="center"/>
          </w:tcPr>
          <w:p w14:paraId="675F905A">
            <w:pPr>
              <w:jc w:val="center"/>
              <w:rPr>
                <w:rFonts w:hint="eastAsia" w:ascii="宋体" w:hAnsi="宋体" w:eastAsia="宋体" w:cs="宋体"/>
                <w:color w:val="auto"/>
                <w:w w:val="90"/>
                <w:kern w:val="2"/>
                <w:sz w:val="21"/>
                <w:szCs w:val="21"/>
                <w:lang w:val="en-US" w:eastAsia="zh-CN" w:bidi="ar-SA"/>
              </w:rPr>
            </w:pPr>
            <w:r>
              <w:rPr>
                <w:rFonts w:hint="eastAsia" w:ascii="宋体" w:hAnsi="宋体" w:eastAsia="宋体" w:cs="宋体"/>
                <w:color w:val="auto"/>
                <w:w w:val="90"/>
                <w:szCs w:val="21"/>
              </w:rPr>
              <w:t>达标</w:t>
            </w:r>
          </w:p>
        </w:tc>
        <w:tc>
          <w:tcPr>
            <w:tcW w:w="652" w:type="pct"/>
            <w:shd w:val="clear" w:color="auto" w:fill="auto"/>
            <w:vAlign w:val="center"/>
          </w:tcPr>
          <w:p w14:paraId="5831C16F">
            <w:pPr>
              <w:jc w:val="center"/>
              <w:rPr>
                <w:rFonts w:hint="eastAsia" w:ascii="宋体" w:hAnsi="宋体" w:eastAsia="宋体" w:cs="宋体"/>
                <w:color w:val="auto"/>
                <w:w w:val="90"/>
                <w:kern w:val="2"/>
                <w:sz w:val="21"/>
                <w:szCs w:val="21"/>
                <w:lang w:val="en-US" w:eastAsia="zh-CN" w:bidi="ar-SA"/>
              </w:rPr>
            </w:pPr>
            <w:r>
              <w:rPr>
                <w:rFonts w:hint="eastAsia" w:ascii="宋体" w:hAnsi="宋体" w:eastAsia="宋体" w:cs="宋体"/>
                <w:color w:val="auto"/>
                <w:w w:val="90"/>
                <w:szCs w:val="21"/>
              </w:rPr>
              <w:t>0.676</w:t>
            </w:r>
          </w:p>
        </w:tc>
        <w:tc>
          <w:tcPr>
            <w:tcW w:w="515" w:type="pct"/>
            <w:shd w:val="clear" w:color="auto" w:fill="auto"/>
            <w:vAlign w:val="center"/>
          </w:tcPr>
          <w:p w14:paraId="60E29D09">
            <w:pPr>
              <w:jc w:val="center"/>
              <w:rPr>
                <w:rFonts w:hint="eastAsia" w:ascii="宋体" w:hAnsi="宋体" w:eastAsia="宋体" w:cs="宋体"/>
                <w:color w:val="auto"/>
                <w:w w:val="90"/>
                <w:szCs w:val="21"/>
              </w:rPr>
            </w:pPr>
            <w:r>
              <w:rPr>
                <w:rFonts w:hint="eastAsia" w:ascii="宋体" w:hAnsi="宋体" w:eastAsia="宋体" w:cs="宋体"/>
                <w:color w:val="auto"/>
                <w:w w:val="90"/>
                <w:szCs w:val="21"/>
              </w:rPr>
              <w:t>达标</w:t>
            </w:r>
          </w:p>
        </w:tc>
        <w:tc>
          <w:tcPr>
            <w:tcW w:w="487" w:type="pct"/>
            <w:vAlign w:val="center"/>
          </w:tcPr>
          <w:p w14:paraId="70AF5A14">
            <w:pPr>
              <w:jc w:val="center"/>
              <w:rPr>
                <w:rFonts w:hint="eastAsia" w:ascii="宋体" w:hAnsi="宋体" w:eastAsia="宋体" w:cs="宋体"/>
                <w:color w:val="auto"/>
                <w:w w:val="90"/>
                <w:szCs w:val="21"/>
              </w:rPr>
            </w:pPr>
            <w:r>
              <w:rPr>
                <w:rFonts w:hint="eastAsia" w:ascii="宋体" w:hAnsi="宋体" w:eastAsia="宋体" w:cs="宋体"/>
                <w:color w:val="auto"/>
                <w:w w:val="90"/>
                <w:szCs w:val="21"/>
              </w:rPr>
              <w:t>1.0</w:t>
            </w:r>
          </w:p>
        </w:tc>
      </w:tr>
      <w:tr w14:paraId="40D75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 w:type="pct"/>
            <w:vAlign w:val="center"/>
          </w:tcPr>
          <w:p w14:paraId="61B4DF46">
            <w:pPr>
              <w:jc w:val="center"/>
              <w:rPr>
                <w:rFonts w:hint="eastAsia" w:ascii="宋体" w:hAnsi="宋体" w:eastAsia="宋体" w:cs="宋体"/>
                <w:color w:val="auto"/>
                <w:szCs w:val="21"/>
              </w:rPr>
            </w:pPr>
            <w:r>
              <w:rPr>
                <w:rFonts w:hint="eastAsia" w:ascii="宋体" w:hAnsi="宋体" w:eastAsia="宋体" w:cs="宋体"/>
                <w:color w:val="auto"/>
                <w:szCs w:val="21"/>
              </w:rPr>
              <w:t>镉</w:t>
            </w:r>
          </w:p>
        </w:tc>
        <w:tc>
          <w:tcPr>
            <w:tcW w:w="596" w:type="pct"/>
            <w:shd w:val="clear" w:color="auto" w:fill="auto"/>
            <w:vAlign w:val="center"/>
          </w:tcPr>
          <w:p w14:paraId="72E658FE">
            <w:pPr>
              <w:jc w:val="center"/>
              <w:rPr>
                <w:rFonts w:hint="eastAsia" w:ascii="宋体" w:hAnsi="宋体" w:eastAsia="宋体" w:cs="宋体"/>
                <w:color w:val="auto"/>
                <w:w w:val="90"/>
                <w:kern w:val="2"/>
                <w:sz w:val="21"/>
                <w:szCs w:val="21"/>
                <w:lang w:val="en-US" w:eastAsia="zh-CN" w:bidi="ar-SA"/>
              </w:rPr>
            </w:pPr>
            <w:r>
              <w:rPr>
                <w:rFonts w:hint="eastAsia" w:ascii="宋体" w:hAnsi="宋体" w:eastAsia="宋体" w:cs="宋体"/>
                <w:color w:val="auto"/>
                <w:w w:val="90"/>
                <w:szCs w:val="21"/>
              </w:rPr>
              <w:t>0.0001</w:t>
            </w:r>
          </w:p>
        </w:tc>
        <w:tc>
          <w:tcPr>
            <w:tcW w:w="608" w:type="pct"/>
            <w:shd w:val="clear" w:color="auto" w:fill="auto"/>
            <w:vAlign w:val="center"/>
          </w:tcPr>
          <w:p w14:paraId="09F0FCF1">
            <w:pPr>
              <w:jc w:val="center"/>
              <w:rPr>
                <w:rFonts w:hint="eastAsia" w:ascii="宋体" w:hAnsi="宋体" w:eastAsia="宋体" w:cs="宋体"/>
                <w:color w:val="auto"/>
                <w:w w:val="90"/>
                <w:kern w:val="2"/>
                <w:sz w:val="21"/>
                <w:szCs w:val="21"/>
                <w:lang w:val="en-US" w:eastAsia="zh-CN" w:bidi="ar-SA"/>
              </w:rPr>
            </w:pPr>
            <w:r>
              <w:rPr>
                <w:rFonts w:hint="eastAsia" w:ascii="宋体" w:hAnsi="宋体" w:eastAsia="宋体" w:cs="宋体"/>
                <w:color w:val="auto"/>
                <w:w w:val="90"/>
                <w:szCs w:val="21"/>
              </w:rPr>
              <w:t>达标</w:t>
            </w:r>
          </w:p>
        </w:tc>
        <w:tc>
          <w:tcPr>
            <w:tcW w:w="560" w:type="pct"/>
            <w:shd w:val="clear" w:color="auto" w:fill="auto"/>
            <w:vAlign w:val="center"/>
          </w:tcPr>
          <w:p w14:paraId="7D2455FB">
            <w:pPr>
              <w:jc w:val="center"/>
              <w:rPr>
                <w:rFonts w:hint="eastAsia" w:ascii="宋体" w:hAnsi="宋体" w:eastAsia="宋体" w:cs="宋体"/>
                <w:color w:val="auto"/>
                <w:w w:val="90"/>
                <w:kern w:val="2"/>
                <w:sz w:val="21"/>
                <w:szCs w:val="21"/>
                <w:lang w:val="en-US" w:eastAsia="zh-CN" w:bidi="ar-SA"/>
              </w:rPr>
            </w:pPr>
            <w:r>
              <w:rPr>
                <w:rFonts w:hint="eastAsia" w:ascii="宋体" w:hAnsi="宋体" w:eastAsia="宋体" w:cs="宋体"/>
                <w:color w:val="auto"/>
                <w:w w:val="90"/>
                <w:szCs w:val="21"/>
              </w:rPr>
              <w:t>ND</w:t>
            </w:r>
          </w:p>
        </w:tc>
        <w:tc>
          <w:tcPr>
            <w:tcW w:w="618" w:type="pct"/>
            <w:shd w:val="clear" w:color="auto" w:fill="auto"/>
            <w:vAlign w:val="center"/>
          </w:tcPr>
          <w:p w14:paraId="7603735E">
            <w:pPr>
              <w:jc w:val="center"/>
              <w:rPr>
                <w:rFonts w:hint="eastAsia" w:ascii="宋体" w:hAnsi="宋体" w:eastAsia="宋体" w:cs="宋体"/>
                <w:color w:val="auto"/>
                <w:w w:val="90"/>
                <w:kern w:val="2"/>
                <w:sz w:val="21"/>
                <w:szCs w:val="21"/>
                <w:lang w:val="en-US" w:eastAsia="zh-CN" w:bidi="ar-SA"/>
              </w:rPr>
            </w:pPr>
            <w:r>
              <w:rPr>
                <w:rFonts w:hint="eastAsia" w:ascii="宋体" w:hAnsi="宋体" w:eastAsia="宋体" w:cs="宋体"/>
                <w:color w:val="auto"/>
                <w:w w:val="90"/>
                <w:szCs w:val="21"/>
              </w:rPr>
              <w:t>达标</w:t>
            </w:r>
          </w:p>
        </w:tc>
        <w:tc>
          <w:tcPr>
            <w:tcW w:w="652" w:type="pct"/>
            <w:shd w:val="clear" w:color="auto" w:fill="auto"/>
            <w:vAlign w:val="center"/>
          </w:tcPr>
          <w:p w14:paraId="7D6DE0A5">
            <w:pPr>
              <w:jc w:val="center"/>
              <w:rPr>
                <w:rFonts w:hint="eastAsia" w:ascii="宋体" w:hAnsi="宋体" w:eastAsia="宋体" w:cs="宋体"/>
                <w:color w:val="auto"/>
                <w:w w:val="90"/>
                <w:kern w:val="2"/>
                <w:sz w:val="21"/>
                <w:szCs w:val="21"/>
                <w:lang w:val="en-US" w:eastAsia="zh-CN" w:bidi="ar-SA"/>
              </w:rPr>
            </w:pPr>
            <w:r>
              <w:rPr>
                <w:rFonts w:hint="eastAsia" w:ascii="宋体" w:hAnsi="宋体" w:eastAsia="宋体" w:cs="宋体"/>
                <w:color w:val="auto"/>
                <w:w w:val="90"/>
                <w:szCs w:val="21"/>
              </w:rPr>
              <w:t>ND</w:t>
            </w:r>
          </w:p>
        </w:tc>
        <w:tc>
          <w:tcPr>
            <w:tcW w:w="515" w:type="pct"/>
            <w:shd w:val="clear" w:color="auto" w:fill="auto"/>
            <w:vAlign w:val="center"/>
          </w:tcPr>
          <w:p w14:paraId="530FAED6">
            <w:pPr>
              <w:jc w:val="center"/>
              <w:rPr>
                <w:rFonts w:hint="eastAsia" w:ascii="宋体" w:hAnsi="宋体" w:eastAsia="宋体" w:cs="宋体"/>
                <w:color w:val="auto"/>
                <w:w w:val="90"/>
                <w:szCs w:val="21"/>
              </w:rPr>
            </w:pPr>
            <w:r>
              <w:rPr>
                <w:rFonts w:hint="eastAsia" w:ascii="宋体" w:hAnsi="宋体" w:eastAsia="宋体" w:cs="宋体"/>
                <w:color w:val="auto"/>
                <w:w w:val="90"/>
                <w:szCs w:val="21"/>
              </w:rPr>
              <w:t>达标</w:t>
            </w:r>
          </w:p>
        </w:tc>
        <w:tc>
          <w:tcPr>
            <w:tcW w:w="487" w:type="pct"/>
            <w:vAlign w:val="center"/>
          </w:tcPr>
          <w:p w14:paraId="1BB3191E">
            <w:pPr>
              <w:jc w:val="center"/>
              <w:rPr>
                <w:rFonts w:hint="eastAsia" w:ascii="宋体" w:hAnsi="宋体" w:eastAsia="宋体" w:cs="宋体"/>
                <w:color w:val="auto"/>
                <w:w w:val="90"/>
                <w:szCs w:val="21"/>
              </w:rPr>
            </w:pPr>
            <w:r>
              <w:rPr>
                <w:rFonts w:hint="eastAsia" w:ascii="宋体" w:hAnsi="宋体" w:eastAsia="宋体" w:cs="宋体"/>
                <w:color w:val="auto"/>
                <w:w w:val="90"/>
                <w:szCs w:val="21"/>
              </w:rPr>
              <w:t>0.005</w:t>
            </w:r>
          </w:p>
        </w:tc>
      </w:tr>
      <w:tr w14:paraId="1E3E6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961" w:type="pct"/>
            <w:vAlign w:val="center"/>
          </w:tcPr>
          <w:p w14:paraId="1F5B2E38">
            <w:pPr>
              <w:jc w:val="center"/>
              <w:rPr>
                <w:rFonts w:hint="eastAsia" w:ascii="宋体" w:hAnsi="宋体" w:eastAsia="宋体" w:cs="宋体"/>
                <w:color w:val="auto"/>
                <w:szCs w:val="21"/>
              </w:rPr>
            </w:pPr>
            <w:r>
              <w:rPr>
                <w:rFonts w:hint="eastAsia" w:ascii="宋体" w:hAnsi="宋体" w:eastAsia="宋体" w:cs="宋体"/>
                <w:color w:val="auto"/>
                <w:szCs w:val="21"/>
              </w:rPr>
              <w:t>铁</w:t>
            </w:r>
          </w:p>
        </w:tc>
        <w:tc>
          <w:tcPr>
            <w:tcW w:w="596" w:type="pct"/>
            <w:shd w:val="clear" w:color="auto" w:fill="auto"/>
            <w:vAlign w:val="center"/>
          </w:tcPr>
          <w:p w14:paraId="0808E49A">
            <w:pPr>
              <w:jc w:val="center"/>
              <w:rPr>
                <w:rFonts w:hint="eastAsia" w:ascii="宋体" w:hAnsi="宋体" w:eastAsia="宋体" w:cs="宋体"/>
                <w:color w:val="auto"/>
                <w:w w:val="90"/>
                <w:kern w:val="2"/>
                <w:sz w:val="21"/>
                <w:szCs w:val="21"/>
                <w:lang w:val="en-US" w:eastAsia="zh-CN" w:bidi="ar-SA"/>
              </w:rPr>
            </w:pPr>
            <w:r>
              <w:rPr>
                <w:rFonts w:hint="eastAsia" w:ascii="宋体" w:hAnsi="宋体" w:eastAsia="宋体" w:cs="宋体"/>
                <w:color w:val="auto"/>
                <w:w w:val="90"/>
                <w:szCs w:val="21"/>
              </w:rPr>
              <w:t>0.00145</w:t>
            </w:r>
          </w:p>
        </w:tc>
        <w:tc>
          <w:tcPr>
            <w:tcW w:w="608" w:type="pct"/>
            <w:shd w:val="clear" w:color="auto" w:fill="auto"/>
            <w:vAlign w:val="center"/>
          </w:tcPr>
          <w:p w14:paraId="58369BA5">
            <w:pPr>
              <w:jc w:val="center"/>
              <w:rPr>
                <w:rFonts w:hint="eastAsia" w:ascii="宋体" w:hAnsi="宋体" w:eastAsia="宋体" w:cs="宋体"/>
                <w:color w:val="auto"/>
                <w:w w:val="90"/>
                <w:kern w:val="2"/>
                <w:sz w:val="21"/>
                <w:szCs w:val="21"/>
                <w:lang w:val="en-US" w:eastAsia="zh-CN" w:bidi="ar-SA"/>
              </w:rPr>
            </w:pPr>
            <w:r>
              <w:rPr>
                <w:rFonts w:hint="eastAsia" w:ascii="宋体" w:hAnsi="宋体" w:eastAsia="宋体" w:cs="宋体"/>
                <w:color w:val="auto"/>
                <w:w w:val="90"/>
                <w:szCs w:val="21"/>
              </w:rPr>
              <w:t>达标</w:t>
            </w:r>
          </w:p>
        </w:tc>
        <w:tc>
          <w:tcPr>
            <w:tcW w:w="560" w:type="pct"/>
            <w:shd w:val="clear" w:color="auto" w:fill="auto"/>
            <w:vAlign w:val="center"/>
          </w:tcPr>
          <w:p w14:paraId="41FDEF85">
            <w:pPr>
              <w:jc w:val="center"/>
              <w:rPr>
                <w:rFonts w:hint="eastAsia" w:ascii="宋体" w:hAnsi="宋体" w:eastAsia="宋体" w:cs="宋体"/>
                <w:color w:val="auto"/>
                <w:w w:val="90"/>
                <w:kern w:val="2"/>
                <w:sz w:val="21"/>
                <w:szCs w:val="21"/>
                <w:lang w:val="en-US" w:eastAsia="zh-CN" w:bidi="ar-SA"/>
              </w:rPr>
            </w:pPr>
            <w:r>
              <w:rPr>
                <w:rFonts w:hint="eastAsia" w:ascii="宋体" w:hAnsi="宋体" w:eastAsia="宋体" w:cs="宋体"/>
                <w:color w:val="auto"/>
                <w:w w:val="90"/>
                <w:szCs w:val="21"/>
              </w:rPr>
              <w:t>0.19</w:t>
            </w:r>
          </w:p>
        </w:tc>
        <w:tc>
          <w:tcPr>
            <w:tcW w:w="618" w:type="pct"/>
            <w:shd w:val="clear" w:color="auto" w:fill="auto"/>
            <w:vAlign w:val="center"/>
          </w:tcPr>
          <w:p w14:paraId="45DA8E58">
            <w:pPr>
              <w:jc w:val="center"/>
              <w:rPr>
                <w:rFonts w:hint="eastAsia" w:ascii="宋体" w:hAnsi="宋体" w:eastAsia="宋体" w:cs="宋体"/>
                <w:color w:val="auto"/>
                <w:w w:val="90"/>
                <w:kern w:val="2"/>
                <w:sz w:val="21"/>
                <w:szCs w:val="21"/>
                <w:lang w:val="en-US" w:eastAsia="zh-CN" w:bidi="ar-SA"/>
              </w:rPr>
            </w:pPr>
            <w:r>
              <w:rPr>
                <w:rFonts w:hint="eastAsia" w:ascii="宋体" w:hAnsi="宋体" w:eastAsia="宋体" w:cs="宋体"/>
                <w:color w:val="auto"/>
                <w:w w:val="90"/>
                <w:szCs w:val="21"/>
              </w:rPr>
              <w:t>达标</w:t>
            </w:r>
          </w:p>
        </w:tc>
        <w:tc>
          <w:tcPr>
            <w:tcW w:w="652" w:type="pct"/>
            <w:shd w:val="clear" w:color="auto" w:fill="auto"/>
            <w:vAlign w:val="center"/>
          </w:tcPr>
          <w:p w14:paraId="6C939551">
            <w:pPr>
              <w:jc w:val="center"/>
              <w:rPr>
                <w:rFonts w:hint="eastAsia" w:ascii="宋体" w:hAnsi="宋体" w:eastAsia="宋体" w:cs="宋体"/>
                <w:color w:val="auto"/>
                <w:w w:val="90"/>
                <w:kern w:val="2"/>
                <w:sz w:val="21"/>
                <w:szCs w:val="21"/>
                <w:lang w:val="en-US" w:eastAsia="zh-CN" w:bidi="ar-SA"/>
              </w:rPr>
            </w:pPr>
            <w:r>
              <w:rPr>
                <w:rFonts w:hint="eastAsia" w:ascii="宋体" w:hAnsi="宋体" w:eastAsia="宋体" w:cs="宋体"/>
                <w:color w:val="auto"/>
                <w:w w:val="90"/>
                <w:szCs w:val="21"/>
              </w:rPr>
              <w:t>0.23</w:t>
            </w:r>
          </w:p>
        </w:tc>
        <w:tc>
          <w:tcPr>
            <w:tcW w:w="515" w:type="pct"/>
            <w:shd w:val="clear" w:color="auto" w:fill="auto"/>
            <w:vAlign w:val="center"/>
          </w:tcPr>
          <w:p w14:paraId="69B7F655">
            <w:pPr>
              <w:jc w:val="center"/>
              <w:rPr>
                <w:rFonts w:hint="eastAsia" w:ascii="宋体" w:hAnsi="宋体" w:eastAsia="宋体" w:cs="宋体"/>
                <w:color w:val="auto"/>
                <w:w w:val="90"/>
                <w:szCs w:val="21"/>
              </w:rPr>
            </w:pPr>
            <w:r>
              <w:rPr>
                <w:rFonts w:hint="eastAsia" w:ascii="宋体" w:hAnsi="宋体" w:eastAsia="宋体" w:cs="宋体"/>
                <w:color w:val="auto"/>
                <w:w w:val="90"/>
                <w:szCs w:val="21"/>
              </w:rPr>
              <w:t>达标</w:t>
            </w:r>
          </w:p>
        </w:tc>
        <w:tc>
          <w:tcPr>
            <w:tcW w:w="487" w:type="pct"/>
            <w:vAlign w:val="center"/>
          </w:tcPr>
          <w:p w14:paraId="51720534">
            <w:pPr>
              <w:jc w:val="center"/>
              <w:rPr>
                <w:rFonts w:hint="eastAsia" w:ascii="宋体" w:hAnsi="宋体" w:eastAsia="宋体" w:cs="宋体"/>
                <w:color w:val="auto"/>
                <w:w w:val="90"/>
                <w:szCs w:val="21"/>
              </w:rPr>
            </w:pPr>
            <w:r>
              <w:rPr>
                <w:rFonts w:hint="eastAsia" w:ascii="宋体" w:hAnsi="宋体" w:eastAsia="宋体" w:cs="宋体"/>
                <w:color w:val="auto"/>
                <w:w w:val="90"/>
                <w:szCs w:val="21"/>
              </w:rPr>
              <w:t>0.3</w:t>
            </w:r>
          </w:p>
        </w:tc>
      </w:tr>
      <w:tr w14:paraId="2988E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 w:type="pct"/>
            <w:vAlign w:val="center"/>
          </w:tcPr>
          <w:p w14:paraId="5BC48949">
            <w:pPr>
              <w:jc w:val="center"/>
              <w:rPr>
                <w:rFonts w:hint="eastAsia" w:ascii="宋体" w:hAnsi="宋体" w:eastAsia="宋体" w:cs="宋体"/>
                <w:color w:val="auto"/>
                <w:szCs w:val="21"/>
              </w:rPr>
            </w:pPr>
            <w:r>
              <w:rPr>
                <w:rFonts w:hint="eastAsia" w:ascii="宋体" w:hAnsi="宋体" w:eastAsia="宋体" w:cs="宋体"/>
                <w:color w:val="auto"/>
                <w:szCs w:val="21"/>
              </w:rPr>
              <w:t>锰</w:t>
            </w:r>
          </w:p>
        </w:tc>
        <w:tc>
          <w:tcPr>
            <w:tcW w:w="596" w:type="pct"/>
            <w:shd w:val="clear" w:color="auto" w:fill="auto"/>
            <w:vAlign w:val="center"/>
          </w:tcPr>
          <w:p w14:paraId="1DD3AFCE">
            <w:pPr>
              <w:jc w:val="center"/>
              <w:rPr>
                <w:rFonts w:hint="eastAsia" w:ascii="宋体" w:hAnsi="宋体" w:eastAsia="宋体" w:cs="宋体"/>
                <w:color w:val="auto"/>
                <w:w w:val="90"/>
                <w:kern w:val="2"/>
                <w:sz w:val="21"/>
                <w:szCs w:val="21"/>
                <w:lang w:val="en-US" w:eastAsia="zh-CN" w:bidi="ar-SA"/>
              </w:rPr>
            </w:pPr>
            <w:r>
              <w:rPr>
                <w:rFonts w:hint="eastAsia" w:ascii="宋体" w:hAnsi="宋体" w:eastAsia="宋体" w:cs="宋体"/>
                <w:color w:val="auto"/>
                <w:w w:val="90"/>
                <w:szCs w:val="21"/>
              </w:rPr>
              <w:t>4.73</w:t>
            </w:r>
          </w:p>
        </w:tc>
        <w:tc>
          <w:tcPr>
            <w:tcW w:w="608" w:type="pct"/>
            <w:shd w:val="clear" w:color="auto" w:fill="auto"/>
            <w:vAlign w:val="center"/>
          </w:tcPr>
          <w:p w14:paraId="5D0C3618">
            <w:pPr>
              <w:jc w:val="center"/>
              <w:rPr>
                <w:rFonts w:hint="eastAsia" w:ascii="宋体" w:hAnsi="宋体" w:eastAsia="宋体" w:cs="宋体"/>
                <w:color w:val="auto"/>
                <w:w w:val="90"/>
                <w:kern w:val="2"/>
                <w:sz w:val="21"/>
                <w:szCs w:val="21"/>
                <w:lang w:val="en-US" w:eastAsia="zh-CN" w:bidi="ar-SA"/>
              </w:rPr>
            </w:pPr>
            <w:r>
              <w:rPr>
                <w:rFonts w:hint="eastAsia" w:ascii="宋体" w:hAnsi="宋体" w:eastAsia="宋体" w:cs="宋体"/>
                <w:b/>
                <w:bCs/>
                <w:color w:val="auto"/>
                <w:w w:val="90"/>
                <w:szCs w:val="21"/>
              </w:rPr>
              <w:t>超标</w:t>
            </w:r>
          </w:p>
        </w:tc>
        <w:tc>
          <w:tcPr>
            <w:tcW w:w="560" w:type="pct"/>
            <w:shd w:val="clear" w:color="auto" w:fill="auto"/>
            <w:vAlign w:val="center"/>
          </w:tcPr>
          <w:p w14:paraId="388422C4">
            <w:pPr>
              <w:jc w:val="center"/>
              <w:rPr>
                <w:rFonts w:hint="eastAsia" w:ascii="宋体" w:hAnsi="宋体" w:eastAsia="宋体" w:cs="宋体"/>
                <w:color w:val="auto"/>
                <w:w w:val="90"/>
                <w:kern w:val="2"/>
                <w:sz w:val="21"/>
                <w:szCs w:val="21"/>
                <w:lang w:val="en-US" w:eastAsia="zh-CN" w:bidi="ar-SA"/>
              </w:rPr>
            </w:pPr>
            <w:r>
              <w:rPr>
                <w:rFonts w:hint="eastAsia" w:ascii="宋体" w:hAnsi="宋体" w:eastAsia="宋体" w:cs="宋体"/>
                <w:color w:val="auto"/>
                <w:w w:val="90"/>
                <w:szCs w:val="21"/>
              </w:rPr>
              <w:t>0.35</w:t>
            </w:r>
          </w:p>
        </w:tc>
        <w:tc>
          <w:tcPr>
            <w:tcW w:w="618" w:type="pct"/>
            <w:shd w:val="clear" w:color="auto" w:fill="auto"/>
            <w:vAlign w:val="center"/>
          </w:tcPr>
          <w:p w14:paraId="40369032">
            <w:pPr>
              <w:jc w:val="center"/>
              <w:rPr>
                <w:rFonts w:hint="eastAsia" w:ascii="宋体" w:hAnsi="宋体" w:eastAsia="宋体" w:cs="宋体"/>
                <w:color w:val="auto"/>
                <w:w w:val="90"/>
                <w:kern w:val="2"/>
                <w:sz w:val="21"/>
                <w:szCs w:val="21"/>
                <w:lang w:val="en-US" w:eastAsia="zh-CN" w:bidi="ar-SA"/>
              </w:rPr>
            </w:pPr>
            <w:r>
              <w:rPr>
                <w:rFonts w:hint="eastAsia" w:ascii="宋体" w:hAnsi="宋体" w:eastAsia="宋体" w:cs="宋体"/>
                <w:b/>
                <w:bCs/>
                <w:color w:val="auto"/>
                <w:w w:val="90"/>
                <w:szCs w:val="21"/>
              </w:rPr>
              <w:t>超标</w:t>
            </w:r>
          </w:p>
        </w:tc>
        <w:tc>
          <w:tcPr>
            <w:tcW w:w="652" w:type="pct"/>
            <w:shd w:val="clear" w:color="auto" w:fill="auto"/>
            <w:vAlign w:val="center"/>
          </w:tcPr>
          <w:p w14:paraId="0846A396">
            <w:pPr>
              <w:jc w:val="center"/>
              <w:rPr>
                <w:rFonts w:hint="eastAsia" w:ascii="宋体" w:hAnsi="宋体" w:eastAsia="宋体" w:cs="宋体"/>
                <w:color w:val="auto"/>
                <w:w w:val="90"/>
                <w:kern w:val="2"/>
                <w:sz w:val="21"/>
                <w:szCs w:val="21"/>
                <w:lang w:val="en-US" w:eastAsia="zh-CN" w:bidi="ar-SA"/>
              </w:rPr>
            </w:pPr>
            <w:r>
              <w:rPr>
                <w:rFonts w:hint="eastAsia" w:ascii="宋体" w:hAnsi="宋体" w:eastAsia="宋体" w:cs="宋体"/>
                <w:color w:val="auto"/>
                <w:w w:val="90"/>
                <w:szCs w:val="21"/>
              </w:rPr>
              <w:t>0.34</w:t>
            </w:r>
          </w:p>
        </w:tc>
        <w:tc>
          <w:tcPr>
            <w:tcW w:w="515" w:type="pct"/>
            <w:shd w:val="clear" w:color="auto" w:fill="auto"/>
            <w:vAlign w:val="center"/>
          </w:tcPr>
          <w:p w14:paraId="240A241F">
            <w:pPr>
              <w:jc w:val="center"/>
              <w:rPr>
                <w:rFonts w:hint="eastAsia" w:ascii="宋体" w:hAnsi="宋体" w:eastAsia="宋体" w:cs="宋体"/>
                <w:color w:val="auto"/>
                <w:w w:val="90"/>
                <w:szCs w:val="21"/>
              </w:rPr>
            </w:pPr>
            <w:r>
              <w:rPr>
                <w:rFonts w:hint="eastAsia" w:ascii="宋体" w:hAnsi="宋体" w:eastAsia="宋体" w:cs="宋体"/>
                <w:b/>
                <w:bCs/>
                <w:color w:val="auto"/>
                <w:w w:val="90"/>
                <w:szCs w:val="21"/>
              </w:rPr>
              <w:t>超标</w:t>
            </w:r>
          </w:p>
        </w:tc>
        <w:tc>
          <w:tcPr>
            <w:tcW w:w="487" w:type="pct"/>
            <w:vAlign w:val="center"/>
          </w:tcPr>
          <w:p w14:paraId="3418768E">
            <w:pPr>
              <w:jc w:val="center"/>
              <w:rPr>
                <w:rFonts w:hint="eastAsia" w:ascii="宋体" w:hAnsi="宋体" w:eastAsia="宋体" w:cs="宋体"/>
                <w:color w:val="auto"/>
                <w:w w:val="90"/>
                <w:szCs w:val="21"/>
              </w:rPr>
            </w:pPr>
            <w:r>
              <w:rPr>
                <w:rFonts w:hint="eastAsia" w:ascii="宋体" w:hAnsi="宋体" w:eastAsia="宋体" w:cs="宋体"/>
                <w:color w:val="auto"/>
                <w:w w:val="90"/>
                <w:szCs w:val="21"/>
              </w:rPr>
              <w:t>0.1</w:t>
            </w:r>
          </w:p>
        </w:tc>
      </w:tr>
      <w:tr w14:paraId="0F41F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961" w:type="pct"/>
            <w:vAlign w:val="center"/>
          </w:tcPr>
          <w:p w14:paraId="0554A5F3">
            <w:pPr>
              <w:jc w:val="center"/>
              <w:rPr>
                <w:rFonts w:hint="eastAsia" w:ascii="宋体" w:hAnsi="宋体" w:eastAsia="宋体" w:cs="宋体"/>
                <w:color w:val="auto"/>
                <w:szCs w:val="21"/>
              </w:rPr>
            </w:pPr>
            <w:r>
              <w:rPr>
                <w:rFonts w:hint="eastAsia" w:ascii="宋体" w:hAnsi="宋体" w:eastAsia="宋体" w:cs="宋体"/>
                <w:color w:val="auto"/>
                <w:szCs w:val="21"/>
              </w:rPr>
              <w:t>溶解性总固体</w:t>
            </w:r>
          </w:p>
        </w:tc>
        <w:tc>
          <w:tcPr>
            <w:tcW w:w="596" w:type="pct"/>
            <w:shd w:val="clear" w:color="auto" w:fill="auto"/>
            <w:vAlign w:val="center"/>
          </w:tcPr>
          <w:p w14:paraId="1B6F0DDB">
            <w:pPr>
              <w:jc w:val="center"/>
              <w:rPr>
                <w:rFonts w:hint="eastAsia" w:ascii="宋体" w:hAnsi="宋体" w:eastAsia="宋体" w:cs="宋体"/>
                <w:color w:val="auto"/>
                <w:w w:val="90"/>
                <w:kern w:val="2"/>
                <w:sz w:val="21"/>
                <w:szCs w:val="21"/>
                <w:lang w:val="en-US" w:eastAsia="zh-CN" w:bidi="ar-SA"/>
              </w:rPr>
            </w:pPr>
            <w:r>
              <w:rPr>
                <w:rFonts w:hint="eastAsia" w:ascii="宋体" w:hAnsi="宋体" w:eastAsia="宋体" w:cs="宋体"/>
                <w:color w:val="auto"/>
                <w:w w:val="90"/>
                <w:szCs w:val="21"/>
              </w:rPr>
              <w:t>240</w:t>
            </w:r>
          </w:p>
        </w:tc>
        <w:tc>
          <w:tcPr>
            <w:tcW w:w="608" w:type="pct"/>
            <w:shd w:val="clear" w:color="auto" w:fill="auto"/>
            <w:vAlign w:val="center"/>
          </w:tcPr>
          <w:p w14:paraId="0E735557">
            <w:pPr>
              <w:jc w:val="center"/>
              <w:rPr>
                <w:rFonts w:hint="eastAsia" w:ascii="宋体" w:hAnsi="宋体" w:eastAsia="宋体" w:cs="宋体"/>
                <w:color w:val="auto"/>
                <w:w w:val="90"/>
                <w:kern w:val="2"/>
                <w:sz w:val="21"/>
                <w:szCs w:val="21"/>
                <w:lang w:val="en-US" w:eastAsia="zh-CN" w:bidi="ar-SA"/>
              </w:rPr>
            </w:pPr>
            <w:r>
              <w:rPr>
                <w:rFonts w:hint="eastAsia" w:ascii="宋体" w:hAnsi="宋体" w:eastAsia="宋体" w:cs="宋体"/>
                <w:color w:val="auto"/>
                <w:w w:val="90"/>
                <w:szCs w:val="21"/>
              </w:rPr>
              <w:t>达标</w:t>
            </w:r>
          </w:p>
        </w:tc>
        <w:tc>
          <w:tcPr>
            <w:tcW w:w="560" w:type="pct"/>
            <w:shd w:val="clear" w:color="auto" w:fill="auto"/>
            <w:vAlign w:val="center"/>
          </w:tcPr>
          <w:p w14:paraId="799DA8B8">
            <w:pPr>
              <w:jc w:val="center"/>
              <w:rPr>
                <w:rFonts w:hint="eastAsia" w:ascii="宋体" w:hAnsi="宋体" w:eastAsia="宋体" w:cs="宋体"/>
                <w:color w:val="auto"/>
                <w:w w:val="90"/>
                <w:kern w:val="2"/>
                <w:sz w:val="21"/>
                <w:szCs w:val="21"/>
                <w:lang w:val="en-US" w:eastAsia="zh-CN" w:bidi="ar-SA"/>
              </w:rPr>
            </w:pPr>
            <w:r>
              <w:rPr>
                <w:rFonts w:hint="eastAsia" w:ascii="宋体" w:hAnsi="宋体" w:eastAsia="宋体" w:cs="宋体"/>
                <w:color w:val="auto"/>
                <w:w w:val="90"/>
                <w:szCs w:val="21"/>
              </w:rPr>
              <w:t>643</w:t>
            </w:r>
          </w:p>
        </w:tc>
        <w:tc>
          <w:tcPr>
            <w:tcW w:w="618" w:type="pct"/>
            <w:shd w:val="clear" w:color="auto" w:fill="auto"/>
            <w:vAlign w:val="center"/>
          </w:tcPr>
          <w:p w14:paraId="305E8AF0">
            <w:pPr>
              <w:jc w:val="center"/>
              <w:rPr>
                <w:rFonts w:hint="eastAsia" w:ascii="宋体" w:hAnsi="宋体" w:eastAsia="宋体" w:cs="宋体"/>
                <w:color w:val="auto"/>
                <w:w w:val="90"/>
                <w:kern w:val="2"/>
                <w:sz w:val="21"/>
                <w:szCs w:val="21"/>
                <w:lang w:val="en-US" w:eastAsia="zh-CN" w:bidi="ar-SA"/>
              </w:rPr>
            </w:pPr>
            <w:r>
              <w:rPr>
                <w:rFonts w:hint="eastAsia" w:ascii="宋体" w:hAnsi="宋体" w:eastAsia="宋体" w:cs="宋体"/>
                <w:color w:val="auto"/>
                <w:w w:val="90"/>
                <w:szCs w:val="21"/>
              </w:rPr>
              <w:t>达标</w:t>
            </w:r>
          </w:p>
        </w:tc>
        <w:tc>
          <w:tcPr>
            <w:tcW w:w="652" w:type="pct"/>
            <w:shd w:val="clear" w:color="auto" w:fill="auto"/>
            <w:vAlign w:val="center"/>
          </w:tcPr>
          <w:p w14:paraId="3604E8D6">
            <w:pPr>
              <w:jc w:val="center"/>
              <w:rPr>
                <w:rFonts w:hint="eastAsia" w:ascii="宋体" w:hAnsi="宋体" w:eastAsia="宋体" w:cs="宋体"/>
                <w:color w:val="auto"/>
                <w:w w:val="90"/>
                <w:kern w:val="2"/>
                <w:sz w:val="21"/>
                <w:szCs w:val="21"/>
                <w:lang w:val="en-US" w:eastAsia="zh-CN" w:bidi="ar-SA"/>
              </w:rPr>
            </w:pPr>
            <w:r>
              <w:rPr>
                <w:rFonts w:hint="eastAsia" w:ascii="宋体" w:hAnsi="宋体" w:eastAsia="宋体" w:cs="宋体"/>
                <w:color w:val="auto"/>
                <w:w w:val="90"/>
                <w:szCs w:val="21"/>
              </w:rPr>
              <w:t>608</w:t>
            </w:r>
          </w:p>
        </w:tc>
        <w:tc>
          <w:tcPr>
            <w:tcW w:w="515" w:type="pct"/>
            <w:shd w:val="clear" w:color="auto" w:fill="auto"/>
            <w:vAlign w:val="center"/>
          </w:tcPr>
          <w:p w14:paraId="18243FF6">
            <w:pPr>
              <w:jc w:val="center"/>
              <w:rPr>
                <w:rFonts w:hint="eastAsia" w:ascii="宋体" w:hAnsi="宋体" w:eastAsia="宋体" w:cs="宋体"/>
                <w:color w:val="auto"/>
                <w:w w:val="90"/>
                <w:szCs w:val="21"/>
              </w:rPr>
            </w:pPr>
            <w:r>
              <w:rPr>
                <w:rFonts w:hint="eastAsia" w:ascii="宋体" w:hAnsi="宋体" w:eastAsia="宋体" w:cs="宋体"/>
                <w:color w:val="auto"/>
                <w:w w:val="90"/>
                <w:szCs w:val="21"/>
              </w:rPr>
              <w:t>达标</w:t>
            </w:r>
          </w:p>
        </w:tc>
        <w:tc>
          <w:tcPr>
            <w:tcW w:w="487" w:type="pct"/>
            <w:vAlign w:val="center"/>
          </w:tcPr>
          <w:p w14:paraId="41B6720B">
            <w:pPr>
              <w:jc w:val="center"/>
              <w:rPr>
                <w:rFonts w:hint="eastAsia" w:ascii="宋体" w:hAnsi="宋体" w:eastAsia="宋体" w:cs="宋体"/>
                <w:color w:val="auto"/>
                <w:w w:val="90"/>
                <w:szCs w:val="21"/>
              </w:rPr>
            </w:pPr>
            <w:r>
              <w:rPr>
                <w:rFonts w:hint="eastAsia" w:ascii="宋体" w:hAnsi="宋体" w:eastAsia="宋体" w:cs="宋体"/>
                <w:color w:val="auto"/>
                <w:w w:val="90"/>
                <w:szCs w:val="21"/>
              </w:rPr>
              <w:t>1000</w:t>
            </w:r>
          </w:p>
        </w:tc>
      </w:tr>
      <w:tr w14:paraId="19E4A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 w:type="pct"/>
            <w:vAlign w:val="center"/>
          </w:tcPr>
          <w:p w14:paraId="712A0C17">
            <w:pPr>
              <w:jc w:val="center"/>
              <w:rPr>
                <w:rFonts w:hint="eastAsia" w:ascii="宋体" w:hAnsi="宋体" w:eastAsia="宋体" w:cs="宋体"/>
                <w:color w:val="auto"/>
                <w:szCs w:val="21"/>
              </w:rPr>
            </w:pPr>
            <w:r>
              <w:rPr>
                <w:rFonts w:hint="eastAsia" w:ascii="宋体" w:hAnsi="宋体" w:eastAsia="宋体" w:cs="宋体"/>
                <w:color w:val="auto"/>
                <w:szCs w:val="21"/>
              </w:rPr>
              <w:t>高锰酸盐指数</w:t>
            </w:r>
          </w:p>
        </w:tc>
        <w:tc>
          <w:tcPr>
            <w:tcW w:w="596" w:type="pct"/>
            <w:shd w:val="clear" w:color="auto" w:fill="auto"/>
            <w:vAlign w:val="center"/>
          </w:tcPr>
          <w:p w14:paraId="751EB9F3">
            <w:pPr>
              <w:jc w:val="center"/>
              <w:rPr>
                <w:rFonts w:hint="eastAsia" w:ascii="宋体" w:hAnsi="宋体" w:eastAsia="宋体" w:cs="宋体"/>
                <w:color w:val="auto"/>
                <w:w w:val="90"/>
                <w:kern w:val="2"/>
                <w:sz w:val="21"/>
                <w:szCs w:val="21"/>
                <w:lang w:val="en-US" w:eastAsia="zh-CN" w:bidi="ar-SA"/>
              </w:rPr>
            </w:pPr>
            <w:r>
              <w:rPr>
                <w:rFonts w:hint="eastAsia" w:ascii="宋体" w:hAnsi="宋体" w:eastAsia="宋体" w:cs="宋体"/>
                <w:color w:val="auto"/>
                <w:w w:val="90"/>
                <w:szCs w:val="21"/>
              </w:rPr>
              <w:t>1.3</w:t>
            </w:r>
          </w:p>
        </w:tc>
        <w:tc>
          <w:tcPr>
            <w:tcW w:w="608" w:type="pct"/>
            <w:shd w:val="clear" w:color="auto" w:fill="auto"/>
            <w:vAlign w:val="center"/>
          </w:tcPr>
          <w:p w14:paraId="36D09930">
            <w:pPr>
              <w:jc w:val="center"/>
              <w:rPr>
                <w:rFonts w:hint="eastAsia" w:ascii="宋体" w:hAnsi="宋体" w:eastAsia="宋体" w:cs="宋体"/>
                <w:color w:val="auto"/>
                <w:w w:val="90"/>
                <w:kern w:val="2"/>
                <w:sz w:val="21"/>
                <w:szCs w:val="21"/>
                <w:lang w:val="en-US" w:eastAsia="zh-CN" w:bidi="ar-SA"/>
              </w:rPr>
            </w:pPr>
            <w:r>
              <w:rPr>
                <w:rFonts w:hint="eastAsia" w:ascii="宋体" w:hAnsi="宋体" w:eastAsia="宋体" w:cs="宋体"/>
                <w:color w:val="auto"/>
                <w:w w:val="90"/>
                <w:szCs w:val="21"/>
              </w:rPr>
              <w:t>达标</w:t>
            </w:r>
          </w:p>
        </w:tc>
        <w:tc>
          <w:tcPr>
            <w:tcW w:w="560" w:type="pct"/>
            <w:shd w:val="clear" w:color="auto" w:fill="auto"/>
            <w:vAlign w:val="center"/>
          </w:tcPr>
          <w:p w14:paraId="7B918E4A">
            <w:pPr>
              <w:jc w:val="center"/>
              <w:rPr>
                <w:rFonts w:hint="eastAsia" w:ascii="宋体" w:hAnsi="宋体" w:eastAsia="宋体" w:cs="宋体"/>
                <w:color w:val="auto"/>
                <w:w w:val="90"/>
                <w:kern w:val="2"/>
                <w:sz w:val="21"/>
                <w:szCs w:val="21"/>
                <w:lang w:val="en-US" w:eastAsia="zh-CN" w:bidi="ar-SA"/>
              </w:rPr>
            </w:pPr>
            <w:r>
              <w:rPr>
                <w:rFonts w:hint="eastAsia" w:ascii="宋体" w:hAnsi="宋体" w:eastAsia="宋体" w:cs="宋体"/>
                <w:color w:val="auto"/>
                <w:w w:val="90"/>
                <w:szCs w:val="21"/>
              </w:rPr>
              <w:t>0.7</w:t>
            </w:r>
          </w:p>
        </w:tc>
        <w:tc>
          <w:tcPr>
            <w:tcW w:w="618" w:type="pct"/>
            <w:shd w:val="clear" w:color="auto" w:fill="auto"/>
            <w:vAlign w:val="center"/>
          </w:tcPr>
          <w:p w14:paraId="1A0CB481">
            <w:pPr>
              <w:jc w:val="center"/>
              <w:rPr>
                <w:rFonts w:hint="eastAsia" w:ascii="宋体" w:hAnsi="宋体" w:eastAsia="宋体" w:cs="宋体"/>
                <w:color w:val="auto"/>
                <w:w w:val="90"/>
                <w:kern w:val="2"/>
                <w:sz w:val="21"/>
                <w:szCs w:val="21"/>
                <w:lang w:val="en-US" w:eastAsia="zh-CN" w:bidi="ar-SA"/>
              </w:rPr>
            </w:pPr>
            <w:r>
              <w:rPr>
                <w:rFonts w:hint="eastAsia" w:ascii="宋体" w:hAnsi="宋体" w:eastAsia="宋体" w:cs="宋体"/>
                <w:color w:val="auto"/>
                <w:w w:val="90"/>
                <w:szCs w:val="21"/>
              </w:rPr>
              <w:t>达标</w:t>
            </w:r>
          </w:p>
        </w:tc>
        <w:tc>
          <w:tcPr>
            <w:tcW w:w="652" w:type="pct"/>
            <w:shd w:val="clear" w:color="auto" w:fill="auto"/>
            <w:vAlign w:val="center"/>
          </w:tcPr>
          <w:p w14:paraId="74758A02">
            <w:pPr>
              <w:jc w:val="center"/>
              <w:rPr>
                <w:rFonts w:hint="eastAsia" w:ascii="宋体" w:hAnsi="宋体" w:eastAsia="宋体" w:cs="宋体"/>
                <w:color w:val="auto"/>
                <w:w w:val="90"/>
                <w:kern w:val="2"/>
                <w:sz w:val="21"/>
                <w:szCs w:val="21"/>
                <w:lang w:val="en-US" w:eastAsia="zh-CN" w:bidi="ar-SA"/>
              </w:rPr>
            </w:pPr>
            <w:r>
              <w:rPr>
                <w:rFonts w:hint="eastAsia" w:ascii="宋体" w:hAnsi="宋体" w:eastAsia="宋体" w:cs="宋体"/>
                <w:color w:val="auto"/>
                <w:w w:val="90"/>
                <w:szCs w:val="21"/>
              </w:rPr>
              <w:t>0.7</w:t>
            </w:r>
          </w:p>
        </w:tc>
        <w:tc>
          <w:tcPr>
            <w:tcW w:w="515" w:type="pct"/>
            <w:shd w:val="clear" w:color="auto" w:fill="auto"/>
            <w:vAlign w:val="center"/>
          </w:tcPr>
          <w:p w14:paraId="6B8CECE7">
            <w:pPr>
              <w:jc w:val="center"/>
              <w:rPr>
                <w:rFonts w:hint="eastAsia" w:ascii="宋体" w:hAnsi="宋体" w:eastAsia="宋体" w:cs="宋体"/>
                <w:color w:val="auto"/>
                <w:w w:val="90"/>
                <w:szCs w:val="21"/>
              </w:rPr>
            </w:pPr>
            <w:r>
              <w:rPr>
                <w:rFonts w:hint="eastAsia" w:ascii="宋体" w:hAnsi="宋体" w:eastAsia="宋体" w:cs="宋体"/>
                <w:color w:val="auto"/>
                <w:w w:val="90"/>
                <w:szCs w:val="21"/>
              </w:rPr>
              <w:t>达标</w:t>
            </w:r>
          </w:p>
        </w:tc>
        <w:tc>
          <w:tcPr>
            <w:tcW w:w="487" w:type="pct"/>
            <w:vAlign w:val="center"/>
          </w:tcPr>
          <w:p w14:paraId="18694765">
            <w:pPr>
              <w:jc w:val="center"/>
              <w:rPr>
                <w:rFonts w:hint="eastAsia" w:ascii="宋体" w:hAnsi="宋体" w:eastAsia="宋体" w:cs="宋体"/>
                <w:color w:val="auto"/>
                <w:w w:val="90"/>
                <w:szCs w:val="21"/>
              </w:rPr>
            </w:pPr>
            <w:r>
              <w:rPr>
                <w:rFonts w:hint="eastAsia" w:ascii="宋体" w:hAnsi="宋体" w:eastAsia="宋体" w:cs="宋体"/>
                <w:color w:val="auto"/>
                <w:w w:val="90"/>
                <w:szCs w:val="21"/>
              </w:rPr>
              <w:t>3</w:t>
            </w:r>
          </w:p>
        </w:tc>
      </w:tr>
      <w:tr w14:paraId="41CB0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 w:type="pct"/>
            <w:vAlign w:val="center"/>
          </w:tcPr>
          <w:p w14:paraId="72E541D8">
            <w:pPr>
              <w:jc w:val="center"/>
              <w:rPr>
                <w:rFonts w:hint="eastAsia" w:ascii="宋体" w:hAnsi="宋体" w:eastAsia="宋体" w:cs="宋体"/>
                <w:color w:val="auto"/>
                <w:szCs w:val="21"/>
              </w:rPr>
            </w:pPr>
            <w:r>
              <w:rPr>
                <w:rFonts w:hint="eastAsia" w:ascii="宋体" w:hAnsi="宋体" w:eastAsia="宋体" w:cs="宋体"/>
                <w:color w:val="auto"/>
                <w:szCs w:val="21"/>
              </w:rPr>
              <w:t>硫酸盐</w:t>
            </w:r>
          </w:p>
        </w:tc>
        <w:tc>
          <w:tcPr>
            <w:tcW w:w="596" w:type="pct"/>
            <w:shd w:val="clear" w:color="auto" w:fill="auto"/>
            <w:vAlign w:val="center"/>
          </w:tcPr>
          <w:p w14:paraId="601BDFF2">
            <w:pPr>
              <w:jc w:val="center"/>
              <w:rPr>
                <w:rFonts w:hint="eastAsia" w:ascii="宋体" w:hAnsi="宋体" w:eastAsia="宋体" w:cs="宋体"/>
                <w:color w:val="auto"/>
                <w:w w:val="90"/>
                <w:kern w:val="2"/>
                <w:sz w:val="21"/>
                <w:szCs w:val="21"/>
                <w:lang w:val="en-US" w:eastAsia="zh-CN" w:bidi="ar-SA"/>
              </w:rPr>
            </w:pPr>
            <w:r>
              <w:rPr>
                <w:rFonts w:hint="eastAsia" w:ascii="宋体" w:hAnsi="宋体" w:eastAsia="宋体" w:cs="宋体"/>
                <w:color w:val="auto"/>
                <w:w w:val="90"/>
                <w:szCs w:val="21"/>
              </w:rPr>
              <w:t>31.7</w:t>
            </w:r>
          </w:p>
        </w:tc>
        <w:tc>
          <w:tcPr>
            <w:tcW w:w="608" w:type="pct"/>
            <w:shd w:val="clear" w:color="auto" w:fill="auto"/>
            <w:vAlign w:val="center"/>
          </w:tcPr>
          <w:p w14:paraId="286B3715">
            <w:pPr>
              <w:jc w:val="center"/>
              <w:rPr>
                <w:rFonts w:hint="eastAsia" w:ascii="宋体" w:hAnsi="宋体" w:eastAsia="宋体" w:cs="宋体"/>
                <w:color w:val="auto"/>
                <w:w w:val="90"/>
                <w:kern w:val="2"/>
                <w:sz w:val="21"/>
                <w:szCs w:val="21"/>
                <w:lang w:val="en-US" w:eastAsia="zh-CN" w:bidi="ar-SA"/>
              </w:rPr>
            </w:pPr>
            <w:r>
              <w:rPr>
                <w:rFonts w:hint="eastAsia" w:ascii="宋体" w:hAnsi="宋体" w:eastAsia="宋体" w:cs="宋体"/>
                <w:color w:val="auto"/>
                <w:w w:val="90"/>
                <w:szCs w:val="21"/>
              </w:rPr>
              <w:t>达标</w:t>
            </w:r>
          </w:p>
        </w:tc>
        <w:tc>
          <w:tcPr>
            <w:tcW w:w="560" w:type="pct"/>
            <w:shd w:val="clear" w:color="auto" w:fill="auto"/>
            <w:vAlign w:val="center"/>
          </w:tcPr>
          <w:p w14:paraId="342CF73F">
            <w:pPr>
              <w:jc w:val="center"/>
              <w:rPr>
                <w:rFonts w:hint="eastAsia" w:ascii="宋体" w:hAnsi="宋体" w:eastAsia="宋体" w:cs="宋体"/>
                <w:color w:val="auto"/>
                <w:w w:val="90"/>
                <w:kern w:val="2"/>
                <w:sz w:val="21"/>
                <w:szCs w:val="21"/>
                <w:lang w:val="en-US" w:eastAsia="zh-CN" w:bidi="ar-SA"/>
              </w:rPr>
            </w:pPr>
            <w:r>
              <w:rPr>
                <w:rFonts w:hint="eastAsia" w:ascii="宋体" w:hAnsi="宋体" w:eastAsia="宋体" w:cs="宋体"/>
                <w:color w:val="auto"/>
                <w:w w:val="90"/>
                <w:szCs w:val="21"/>
              </w:rPr>
              <w:t>11.0</w:t>
            </w:r>
          </w:p>
        </w:tc>
        <w:tc>
          <w:tcPr>
            <w:tcW w:w="618" w:type="pct"/>
            <w:shd w:val="clear" w:color="auto" w:fill="auto"/>
            <w:vAlign w:val="center"/>
          </w:tcPr>
          <w:p w14:paraId="3C1604D4">
            <w:pPr>
              <w:jc w:val="center"/>
              <w:rPr>
                <w:rFonts w:hint="eastAsia" w:ascii="宋体" w:hAnsi="宋体" w:eastAsia="宋体" w:cs="宋体"/>
                <w:color w:val="auto"/>
                <w:w w:val="90"/>
                <w:kern w:val="2"/>
                <w:sz w:val="21"/>
                <w:szCs w:val="21"/>
                <w:lang w:val="en-US" w:eastAsia="zh-CN" w:bidi="ar-SA"/>
              </w:rPr>
            </w:pPr>
            <w:r>
              <w:rPr>
                <w:rFonts w:hint="eastAsia" w:ascii="宋体" w:hAnsi="宋体" w:eastAsia="宋体" w:cs="宋体"/>
                <w:color w:val="auto"/>
                <w:w w:val="90"/>
                <w:szCs w:val="21"/>
              </w:rPr>
              <w:t>达标</w:t>
            </w:r>
          </w:p>
        </w:tc>
        <w:tc>
          <w:tcPr>
            <w:tcW w:w="652" w:type="pct"/>
            <w:shd w:val="clear" w:color="auto" w:fill="auto"/>
            <w:vAlign w:val="center"/>
          </w:tcPr>
          <w:p w14:paraId="33C403CC">
            <w:pPr>
              <w:jc w:val="center"/>
              <w:rPr>
                <w:rFonts w:hint="eastAsia" w:ascii="宋体" w:hAnsi="宋体" w:eastAsia="宋体" w:cs="宋体"/>
                <w:color w:val="auto"/>
                <w:w w:val="90"/>
                <w:kern w:val="2"/>
                <w:sz w:val="21"/>
                <w:szCs w:val="21"/>
                <w:lang w:val="en-US" w:eastAsia="zh-CN" w:bidi="ar-SA"/>
              </w:rPr>
            </w:pPr>
            <w:r>
              <w:rPr>
                <w:rFonts w:hint="eastAsia" w:ascii="宋体" w:hAnsi="宋体" w:eastAsia="宋体" w:cs="宋体"/>
                <w:color w:val="auto"/>
                <w:w w:val="90"/>
                <w:szCs w:val="21"/>
              </w:rPr>
              <w:t>10.9</w:t>
            </w:r>
          </w:p>
        </w:tc>
        <w:tc>
          <w:tcPr>
            <w:tcW w:w="515" w:type="pct"/>
            <w:shd w:val="clear" w:color="auto" w:fill="auto"/>
            <w:vAlign w:val="center"/>
          </w:tcPr>
          <w:p w14:paraId="208CB714">
            <w:pPr>
              <w:jc w:val="center"/>
              <w:rPr>
                <w:rFonts w:hint="eastAsia" w:ascii="宋体" w:hAnsi="宋体" w:eastAsia="宋体" w:cs="宋体"/>
                <w:color w:val="auto"/>
                <w:w w:val="90"/>
                <w:szCs w:val="21"/>
              </w:rPr>
            </w:pPr>
            <w:r>
              <w:rPr>
                <w:rFonts w:hint="eastAsia" w:ascii="宋体" w:hAnsi="宋体" w:eastAsia="宋体" w:cs="宋体"/>
                <w:color w:val="auto"/>
                <w:w w:val="90"/>
                <w:szCs w:val="21"/>
              </w:rPr>
              <w:t>达标</w:t>
            </w:r>
          </w:p>
        </w:tc>
        <w:tc>
          <w:tcPr>
            <w:tcW w:w="487" w:type="pct"/>
            <w:vAlign w:val="center"/>
          </w:tcPr>
          <w:p w14:paraId="51584139">
            <w:pPr>
              <w:jc w:val="center"/>
              <w:rPr>
                <w:rFonts w:hint="eastAsia" w:ascii="宋体" w:hAnsi="宋体" w:eastAsia="宋体" w:cs="宋体"/>
                <w:color w:val="auto"/>
                <w:w w:val="90"/>
                <w:szCs w:val="21"/>
              </w:rPr>
            </w:pPr>
            <w:r>
              <w:rPr>
                <w:rFonts w:hint="eastAsia" w:ascii="宋体" w:hAnsi="宋体" w:eastAsia="宋体" w:cs="宋体"/>
                <w:color w:val="auto"/>
                <w:w w:val="90"/>
                <w:szCs w:val="21"/>
              </w:rPr>
              <w:t>250</w:t>
            </w:r>
          </w:p>
        </w:tc>
      </w:tr>
      <w:tr w14:paraId="5BD31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61" w:type="pct"/>
            <w:vAlign w:val="center"/>
          </w:tcPr>
          <w:p w14:paraId="241B48A1">
            <w:pPr>
              <w:jc w:val="center"/>
              <w:rPr>
                <w:rFonts w:hint="eastAsia" w:ascii="宋体" w:hAnsi="宋体" w:eastAsia="宋体" w:cs="宋体"/>
                <w:color w:val="auto"/>
                <w:szCs w:val="21"/>
              </w:rPr>
            </w:pPr>
            <w:r>
              <w:rPr>
                <w:rFonts w:hint="eastAsia" w:ascii="宋体" w:hAnsi="宋体" w:eastAsia="宋体" w:cs="宋体"/>
                <w:color w:val="auto"/>
                <w:szCs w:val="21"/>
              </w:rPr>
              <w:t>氯化物</w:t>
            </w:r>
          </w:p>
        </w:tc>
        <w:tc>
          <w:tcPr>
            <w:tcW w:w="596" w:type="pct"/>
            <w:shd w:val="clear" w:color="auto" w:fill="auto"/>
            <w:vAlign w:val="center"/>
          </w:tcPr>
          <w:p w14:paraId="45BE0508">
            <w:pPr>
              <w:jc w:val="center"/>
              <w:rPr>
                <w:rFonts w:hint="eastAsia" w:ascii="宋体" w:hAnsi="宋体" w:eastAsia="宋体" w:cs="宋体"/>
                <w:color w:val="auto"/>
                <w:w w:val="90"/>
                <w:kern w:val="2"/>
                <w:sz w:val="21"/>
                <w:szCs w:val="21"/>
                <w:lang w:val="en-US" w:eastAsia="zh-CN" w:bidi="ar-SA"/>
              </w:rPr>
            </w:pPr>
            <w:r>
              <w:rPr>
                <w:rFonts w:hint="eastAsia" w:ascii="宋体" w:hAnsi="宋体" w:eastAsia="宋体" w:cs="宋体"/>
                <w:color w:val="auto"/>
                <w:w w:val="90"/>
                <w:szCs w:val="21"/>
              </w:rPr>
              <w:t>9.56</w:t>
            </w:r>
          </w:p>
        </w:tc>
        <w:tc>
          <w:tcPr>
            <w:tcW w:w="608" w:type="pct"/>
            <w:shd w:val="clear" w:color="auto" w:fill="auto"/>
            <w:vAlign w:val="center"/>
          </w:tcPr>
          <w:p w14:paraId="25D3D4C1">
            <w:pPr>
              <w:jc w:val="center"/>
              <w:rPr>
                <w:rFonts w:hint="eastAsia" w:ascii="宋体" w:hAnsi="宋体" w:eastAsia="宋体" w:cs="宋体"/>
                <w:color w:val="auto"/>
                <w:w w:val="90"/>
                <w:kern w:val="2"/>
                <w:sz w:val="21"/>
                <w:szCs w:val="21"/>
                <w:lang w:val="en-US" w:eastAsia="zh-CN" w:bidi="ar-SA"/>
              </w:rPr>
            </w:pPr>
            <w:r>
              <w:rPr>
                <w:rFonts w:hint="eastAsia" w:ascii="宋体" w:hAnsi="宋体" w:eastAsia="宋体" w:cs="宋体"/>
                <w:color w:val="auto"/>
                <w:w w:val="90"/>
                <w:szCs w:val="21"/>
              </w:rPr>
              <w:t>达标</w:t>
            </w:r>
          </w:p>
        </w:tc>
        <w:tc>
          <w:tcPr>
            <w:tcW w:w="560" w:type="pct"/>
            <w:shd w:val="clear" w:color="auto" w:fill="auto"/>
            <w:vAlign w:val="center"/>
          </w:tcPr>
          <w:p w14:paraId="4A95C994">
            <w:pPr>
              <w:jc w:val="center"/>
              <w:rPr>
                <w:rFonts w:hint="eastAsia" w:ascii="宋体" w:hAnsi="宋体" w:eastAsia="宋体" w:cs="宋体"/>
                <w:color w:val="auto"/>
                <w:w w:val="90"/>
                <w:kern w:val="2"/>
                <w:sz w:val="21"/>
                <w:szCs w:val="21"/>
                <w:lang w:val="en-US" w:eastAsia="zh-CN" w:bidi="ar-SA"/>
              </w:rPr>
            </w:pPr>
            <w:r>
              <w:rPr>
                <w:rFonts w:hint="eastAsia" w:ascii="宋体" w:hAnsi="宋体" w:eastAsia="宋体" w:cs="宋体"/>
                <w:color w:val="auto"/>
                <w:w w:val="90"/>
                <w:szCs w:val="21"/>
              </w:rPr>
              <w:t>14.1</w:t>
            </w:r>
          </w:p>
        </w:tc>
        <w:tc>
          <w:tcPr>
            <w:tcW w:w="618" w:type="pct"/>
            <w:shd w:val="clear" w:color="auto" w:fill="auto"/>
            <w:vAlign w:val="center"/>
          </w:tcPr>
          <w:p w14:paraId="6F6307F5">
            <w:pPr>
              <w:jc w:val="center"/>
              <w:rPr>
                <w:rFonts w:hint="eastAsia" w:ascii="宋体" w:hAnsi="宋体" w:eastAsia="宋体" w:cs="宋体"/>
                <w:color w:val="auto"/>
                <w:w w:val="90"/>
                <w:kern w:val="2"/>
                <w:sz w:val="21"/>
                <w:szCs w:val="21"/>
                <w:lang w:val="en-US" w:eastAsia="zh-CN" w:bidi="ar-SA"/>
              </w:rPr>
            </w:pPr>
            <w:r>
              <w:rPr>
                <w:rFonts w:hint="eastAsia" w:ascii="宋体" w:hAnsi="宋体" w:eastAsia="宋体" w:cs="宋体"/>
                <w:color w:val="auto"/>
                <w:w w:val="90"/>
                <w:szCs w:val="21"/>
              </w:rPr>
              <w:t>达标</w:t>
            </w:r>
          </w:p>
        </w:tc>
        <w:tc>
          <w:tcPr>
            <w:tcW w:w="652" w:type="pct"/>
            <w:shd w:val="clear" w:color="auto" w:fill="auto"/>
            <w:vAlign w:val="center"/>
          </w:tcPr>
          <w:p w14:paraId="45353000">
            <w:pPr>
              <w:jc w:val="center"/>
              <w:rPr>
                <w:rFonts w:hint="eastAsia" w:ascii="宋体" w:hAnsi="宋体" w:eastAsia="宋体" w:cs="宋体"/>
                <w:color w:val="auto"/>
                <w:w w:val="90"/>
                <w:kern w:val="2"/>
                <w:sz w:val="21"/>
                <w:szCs w:val="21"/>
                <w:lang w:val="en-US" w:eastAsia="zh-CN" w:bidi="ar-SA"/>
              </w:rPr>
            </w:pPr>
            <w:r>
              <w:rPr>
                <w:rFonts w:hint="eastAsia" w:ascii="宋体" w:hAnsi="宋体" w:eastAsia="宋体" w:cs="宋体"/>
                <w:color w:val="auto"/>
                <w:w w:val="90"/>
                <w:szCs w:val="21"/>
              </w:rPr>
              <w:t>14.6</w:t>
            </w:r>
          </w:p>
        </w:tc>
        <w:tc>
          <w:tcPr>
            <w:tcW w:w="515" w:type="pct"/>
            <w:shd w:val="clear" w:color="auto" w:fill="auto"/>
            <w:vAlign w:val="center"/>
          </w:tcPr>
          <w:p w14:paraId="4E5BD270">
            <w:pPr>
              <w:jc w:val="center"/>
              <w:rPr>
                <w:rFonts w:hint="eastAsia" w:ascii="宋体" w:hAnsi="宋体" w:eastAsia="宋体" w:cs="宋体"/>
                <w:color w:val="auto"/>
                <w:w w:val="90"/>
                <w:szCs w:val="21"/>
              </w:rPr>
            </w:pPr>
            <w:r>
              <w:rPr>
                <w:rFonts w:hint="eastAsia" w:ascii="宋体" w:hAnsi="宋体" w:eastAsia="宋体" w:cs="宋体"/>
                <w:color w:val="auto"/>
                <w:w w:val="90"/>
                <w:szCs w:val="21"/>
              </w:rPr>
              <w:t>达标</w:t>
            </w:r>
          </w:p>
        </w:tc>
        <w:tc>
          <w:tcPr>
            <w:tcW w:w="487" w:type="pct"/>
            <w:vAlign w:val="center"/>
          </w:tcPr>
          <w:p w14:paraId="33A4FEE3">
            <w:pPr>
              <w:jc w:val="center"/>
              <w:rPr>
                <w:rFonts w:hint="eastAsia" w:ascii="宋体" w:hAnsi="宋体" w:eastAsia="宋体" w:cs="宋体"/>
                <w:color w:val="auto"/>
                <w:w w:val="90"/>
                <w:szCs w:val="21"/>
              </w:rPr>
            </w:pPr>
            <w:r>
              <w:rPr>
                <w:rFonts w:hint="eastAsia" w:ascii="宋体" w:hAnsi="宋体" w:eastAsia="宋体" w:cs="宋体"/>
                <w:color w:val="auto"/>
                <w:w w:val="90"/>
                <w:szCs w:val="21"/>
              </w:rPr>
              <w:t>250</w:t>
            </w:r>
          </w:p>
        </w:tc>
      </w:tr>
      <w:tr w14:paraId="11F2F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 w:type="pct"/>
            <w:vAlign w:val="center"/>
          </w:tcPr>
          <w:p w14:paraId="4BC6114C">
            <w:pPr>
              <w:jc w:val="center"/>
              <w:rPr>
                <w:rFonts w:hint="eastAsia" w:ascii="宋体" w:hAnsi="宋体" w:eastAsia="宋体" w:cs="宋体"/>
                <w:color w:val="auto"/>
                <w:szCs w:val="21"/>
              </w:rPr>
            </w:pPr>
            <w:r>
              <w:rPr>
                <w:rFonts w:hint="eastAsia" w:ascii="宋体" w:hAnsi="宋体" w:eastAsia="宋体" w:cs="宋体"/>
                <w:color w:val="auto"/>
                <w:szCs w:val="21"/>
              </w:rPr>
              <w:t>总大肠菌群（MPN/100m/L）</w:t>
            </w:r>
          </w:p>
        </w:tc>
        <w:tc>
          <w:tcPr>
            <w:tcW w:w="596" w:type="pct"/>
            <w:shd w:val="clear" w:color="auto" w:fill="auto"/>
            <w:vAlign w:val="center"/>
          </w:tcPr>
          <w:p w14:paraId="08925D31">
            <w:pPr>
              <w:jc w:val="center"/>
              <w:rPr>
                <w:rFonts w:hint="eastAsia" w:ascii="宋体" w:hAnsi="宋体" w:eastAsia="宋体" w:cs="宋体"/>
                <w:color w:val="auto"/>
                <w:w w:val="90"/>
                <w:kern w:val="2"/>
                <w:sz w:val="21"/>
                <w:szCs w:val="21"/>
                <w:lang w:val="en-US" w:eastAsia="zh-CN" w:bidi="ar-SA"/>
              </w:rPr>
            </w:pPr>
            <w:r>
              <w:rPr>
                <w:rFonts w:hint="eastAsia" w:ascii="宋体" w:hAnsi="宋体" w:eastAsia="宋体" w:cs="宋体"/>
                <w:color w:val="auto"/>
                <w:w w:val="90"/>
                <w:szCs w:val="21"/>
              </w:rPr>
              <w:t>ND</w:t>
            </w:r>
          </w:p>
        </w:tc>
        <w:tc>
          <w:tcPr>
            <w:tcW w:w="608" w:type="pct"/>
            <w:shd w:val="clear" w:color="auto" w:fill="auto"/>
            <w:vAlign w:val="center"/>
          </w:tcPr>
          <w:p w14:paraId="720DC656">
            <w:pPr>
              <w:jc w:val="center"/>
              <w:rPr>
                <w:rFonts w:hint="eastAsia" w:ascii="宋体" w:hAnsi="宋体" w:eastAsia="宋体" w:cs="宋体"/>
                <w:color w:val="auto"/>
                <w:w w:val="90"/>
                <w:kern w:val="2"/>
                <w:sz w:val="21"/>
                <w:szCs w:val="21"/>
                <w:lang w:val="en-US" w:eastAsia="zh-CN" w:bidi="ar-SA"/>
              </w:rPr>
            </w:pPr>
            <w:r>
              <w:rPr>
                <w:rFonts w:hint="eastAsia" w:ascii="宋体" w:hAnsi="宋体" w:eastAsia="宋体" w:cs="宋体"/>
                <w:color w:val="auto"/>
                <w:w w:val="90"/>
                <w:szCs w:val="21"/>
              </w:rPr>
              <w:t>达标</w:t>
            </w:r>
          </w:p>
        </w:tc>
        <w:tc>
          <w:tcPr>
            <w:tcW w:w="560" w:type="pct"/>
            <w:shd w:val="clear" w:color="auto" w:fill="auto"/>
            <w:vAlign w:val="center"/>
          </w:tcPr>
          <w:p w14:paraId="157ED186">
            <w:pPr>
              <w:jc w:val="center"/>
              <w:rPr>
                <w:rFonts w:hint="eastAsia" w:ascii="宋体" w:hAnsi="宋体" w:eastAsia="宋体" w:cs="宋体"/>
                <w:color w:val="auto"/>
                <w:w w:val="90"/>
                <w:kern w:val="2"/>
                <w:sz w:val="21"/>
                <w:szCs w:val="21"/>
                <w:lang w:val="en-US" w:eastAsia="zh-CN" w:bidi="ar-SA"/>
              </w:rPr>
            </w:pPr>
            <w:r>
              <w:rPr>
                <w:rFonts w:hint="eastAsia" w:ascii="宋体" w:hAnsi="宋体" w:eastAsia="宋体" w:cs="宋体"/>
                <w:color w:val="auto"/>
                <w:w w:val="90"/>
                <w:szCs w:val="21"/>
              </w:rPr>
              <w:t>2</w:t>
            </w:r>
          </w:p>
        </w:tc>
        <w:tc>
          <w:tcPr>
            <w:tcW w:w="618" w:type="pct"/>
            <w:shd w:val="clear" w:color="auto" w:fill="auto"/>
            <w:vAlign w:val="center"/>
          </w:tcPr>
          <w:p w14:paraId="3D38B3F5">
            <w:pPr>
              <w:jc w:val="center"/>
              <w:rPr>
                <w:rFonts w:hint="eastAsia" w:ascii="宋体" w:hAnsi="宋体" w:eastAsia="宋体" w:cs="宋体"/>
                <w:color w:val="auto"/>
                <w:w w:val="90"/>
                <w:kern w:val="2"/>
                <w:sz w:val="21"/>
                <w:szCs w:val="21"/>
                <w:lang w:val="en-US" w:eastAsia="zh-CN" w:bidi="ar-SA"/>
              </w:rPr>
            </w:pPr>
            <w:r>
              <w:rPr>
                <w:rFonts w:hint="eastAsia" w:ascii="宋体" w:hAnsi="宋体" w:eastAsia="宋体" w:cs="宋体"/>
                <w:color w:val="auto"/>
                <w:w w:val="90"/>
                <w:szCs w:val="21"/>
              </w:rPr>
              <w:t>达标</w:t>
            </w:r>
          </w:p>
        </w:tc>
        <w:tc>
          <w:tcPr>
            <w:tcW w:w="652" w:type="pct"/>
            <w:shd w:val="clear" w:color="auto" w:fill="auto"/>
            <w:vAlign w:val="center"/>
          </w:tcPr>
          <w:p w14:paraId="435C9346">
            <w:pPr>
              <w:jc w:val="center"/>
              <w:rPr>
                <w:rFonts w:hint="eastAsia" w:ascii="宋体" w:hAnsi="宋体" w:eastAsia="宋体" w:cs="宋体"/>
                <w:color w:val="auto"/>
                <w:w w:val="90"/>
                <w:kern w:val="2"/>
                <w:sz w:val="21"/>
                <w:szCs w:val="21"/>
                <w:lang w:val="en-US" w:eastAsia="zh-CN" w:bidi="ar-SA"/>
              </w:rPr>
            </w:pPr>
            <w:r>
              <w:rPr>
                <w:rFonts w:hint="eastAsia" w:ascii="宋体" w:hAnsi="宋体" w:eastAsia="宋体" w:cs="宋体"/>
                <w:color w:val="auto"/>
                <w:w w:val="90"/>
                <w:szCs w:val="21"/>
              </w:rPr>
              <w:t>2</w:t>
            </w:r>
          </w:p>
        </w:tc>
        <w:tc>
          <w:tcPr>
            <w:tcW w:w="515" w:type="pct"/>
            <w:shd w:val="clear" w:color="auto" w:fill="auto"/>
            <w:vAlign w:val="center"/>
          </w:tcPr>
          <w:p w14:paraId="7137C977">
            <w:pPr>
              <w:jc w:val="center"/>
              <w:rPr>
                <w:rFonts w:hint="eastAsia" w:ascii="宋体" w:hAnsi="宋体" w:eastAsia="宋体" w:cs="宋体"/>
                <w:color w:val="auto"/>
                <w:w w:val="90"/>
                <w:szCs w:val="21"/>
              </w:rPr>
            </w:pPr>
            <w:r>
              <w:rPr>
                <w:rFonts w:hint="eastAsia" w:ascii="宋体" w:hAnsi="宋体" w:eastAsia="宋体" w:cs="宋体"/>
                <w:color w:val="auto"/>
                <w:w w:val="90"/>
                <w:szCs w:val="21"/>
              </w:rPr>
              <w:t>达标</w:t>
            </w:r>
          </w:p>
        </w:tc>
        <w:tc>
          <w:tcPr>
            <w:tcW w:w="487" w:type="pct"/>
            <w:vAlign w:val="center"/>
          </w:tcPr>
          <w:p w14:paraId="0438CBE7">
            <w:pPr>
              <w:jc w:val="center"/>
              <w:rPr>
                <w:rFonts w:hint="eastAsia" w:ascii="宋体" w:hAnsi="宋体" w:eastAsia="宋体" w:cs="宋体"/>
                <w:color w:val="auto"/>
                <w:w w:val="90"/>
                <w:szCs w:val="21"/>
              </w:rPr>
            </w:pPr>
            <w:r>
              <w:rPr>
                <w:rFonts w:hint="eastAsia" w:ascii="宋体" w:hAnsi="宋体" w:eastAsia="宋体" w:cs="宋体"/>
                <w:color w:val="auto"/>
                <w:w w:val="90"/>
                <w:szCs w:val="21"/>
              </w:rPr>
              <w:t>3</w:t>
            </w:r>
          </w:p>
        </w:tc>
      </w:tr>
      <w:tr w14:paraId="73FC7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 w:type="pct"/>
            <w:vAlign w:val="center"/>
          </w:tcPr>
          <w:p w14:paraId="3233A21C">
            <w:pPr>
              <w:jc w:val="center"/>
              <w:rPr>
                <w:rFonts w:hint="eastAsia" w:ascii="宋体" w:hAnsi="宋体" w:eastAsia="宋体" w:cs="宋体"/>
                <w:color w:val="auto"/>
                <w:szCs w:val="21"/>
              </w:rPr>
            </w:pPr>
            <w:r>
              <w:rPr>
                <w:rFonts w:hint="eastAsia" w:ascii="宋体" w:hAnsi="宋体" w:eastAsia="宋体" w:cs="宋体"/>
                <w:color w:val="auto"/>
                <w:szCs w:val="21"/>
              </w:rPr>
              <w:t>细菌总数（CFU/mL）</w:t>
            </w:r>
          </w:p>
        </w:tc>
        <w:tc>
          <w:tcPr>
            <w:tcW w:w="596" w:type="pct"/>
            <w:shd w:val="clear" w:color="auto" w:fill="auto"/>
            <w:vAlign w:val="center"/>
          </w:tcPr>
          <w:p w14:paraId="01DEDA54">
            <w:pPr>
              <w:jc w:val="center"/>
              <w:rPr>
                <w:rFonts w:hint="eastAsia" w:ascii="宋体" w:hAnsi="宋体" w:eastAsia="宋体" w:cs="宋体"/>
                <w:color w:val="auto"/>
                <w:w w:val="90"/>
                <w:kern w:val="2"/>
                <w:sz w:val="21"/>
                <w:szCs w:val="21"/>
                <w:lang w:val="en-US" w:eastAsia="zh-CN" w:bidi="ar-SA"/>
              </w:rPr>
            </w:pPr>
            <w:r>
              <w:rPr>
                <w:rFonts w:hint="eastAsia" w:ascii="宋体" w:hAnsi="宋体" w:eastAsia="宋体" w:cs="宋体"/>
                <w:color w:val="auto"/>
                <w:w w:val="90"/>
                <w:szCs w:val="21"/>
              </w:rPr>
              <w:t>31</w:t>
            </w:r>
          </w:p>
        </w:tc>
        <w:tc>
          <w:tcPr>
            <w:tcW w:w="608" w:type="pct"/>
            <w:shd w:val="clear" w:color="auto" w:fill="auto"/>
            <w:vAlign w:val="center"/>
          </w:tcPr>
          <w:p w14:paraId="5D6A66EF">
            <w:pPr>
              <w:jc w:val="center"/>
              <w:rPr>
                <w:rFonts w:hint="eastAsia" w:ascii="宋体" w:hAnsi="宋体" w:eastAsia="宋体" w:cs="宋体"/>
                <w:color w:val="auto"/>
                <w:w w:val="90"/>
                <w:kern w:val="2"/>
                <w:sz w:val="21"/>
                <w:szCs w:val="21"/>
                <w:lang w:val="en-US" w:eastAsia="zh-CN" w:bidi="ar-SA"/>
              </w:rPr>
            </w:pPr>
            <w:r>
              <w:rPr>
                <w:rFonts w:hint="eastAsia" w:ascii="宋体" w:hAnsi="宋体" w:eastAsia="宋体" w:cs="宋体"/>
                <w:color w:val="auto"/>
                <w:w w:val="90"/>
                <w:szCs w:val="21"/>
              </w:rPr>
              <w:t>达标</w:t>
            </w:r>
          </w:p>
        </w:tc>
        <w:tc>
          <w:tcPr>
            <w:tcW w:w="560" w:type="pct"/>
            <w:shd w:val="clear" w:color="auto" w:fill="auto"/>
            <w:vAlign w:val="center"/>
          </w:tcPr>
          <w:p w14:paraId="55FBD54A">
            <w:pPr>
              <w:jc w:val="center"/>
              <w:rPr>
                <w:rFonts w:hint="eastAsia" w:ascii="宋体" w:hAnsi="宋体" w:eastAsia="宋体" w:cs="宋体"/>
                <w:color w:val="auto"/>
                <w:w w:val="90"/>
                <w:kern w:val="2"/>
                <w:sz w:val="21"/>
                <w:szCs w:val="21"/>
                <w:lang w:val="en-US" w:eastAsia="zh-CN" w:bidi="ar-SA"/>
              </w:rPr>
            </w:pPr>
            <w:r>
              <w:rPr>
                <w:rFonts w:hint="eastAsia" w:ascii="宋体" w:hAnsi="宋体" w:eastAsia="宋体" w:cs="宋体"/>
                <w:color w:val="auto"/>
                <w:w w:val="90"/>
                <w:szCs w:val="21"/>
              </w:rPr>
              <w:t>70</w:t>
            </w:r>
          </w:p>
        </w:tc>
        <w:tc>
          <w:tcPr>
            <w:tcW w:w="618" w:type="pct"/>
            <w:shd w:val="clear" w:color="auto" w:fill="auto"/>
            <w:vAlign w:val="center"/>
          </w:tcPr>
          <w:p w14:paraId="39324908">
            <w:pPr>
              <w:jc w:val="center"/>
              <w:rPr>
                <w:rFonts w:hint="eastAsia" w:ascii="宋体" w:hAnsi="宋体" w:eastAsia="宋体" w:cs="宋体"/>
                <w:color w:val="auto"/>
                <w:w w:val="90"/>
                <w:kern w:val="2"/>
                <w:sz w:val="21"/>
                <w:szCs w:val="21"/>
                <w:lang w:val="en-US" w:eastAsia="zh-CN" w:bidi="ar-SA"/>
              </w:rPr>
            </w:pPr>
            <w:r>
              <w:rPr>
                <w:rFonts w:hint="eastAsia" w:ascii="宋体" w:hAnsi="宋体" w:eastAsia="宋体" w:cs="宋体"/>
                <w:color w:val="auto"/>
                <w:w w:val="90"/>
                <w:szCs w:val="21"/>
              </w:rPr>
              <w:t>达标</w:t>
            </w:r>
          </w:p>
        </w:tc>
        <w:tc>
          <w:tcPr>
            <w:tcW w:w="652" w:type="pct"/>
            <w:shd w:val="clear" w:color="auto" w:fill="auto"/>
            <w:vAlign w:val="center"/>
          </w:tcPr>
          <w:p w14:paraId="592886E1">
            <w:pPr>
              <w:jc w:val="center"/>
              <w:rPr>
                <w:rFonts w:hint="eastAsia" w:ascii="宋体" w:hAnsi="宋体" w:eastAsia="宋体" w:cs="宋体"/>
                <w:color w:val="auto"/>
                <w:w w:val="90"/>
                <w:kern w:val="2"/>
                <w:sz w:val="21"/>
                <w:szCs w:val="21"/>
                <w:lang w:val="en-US" w:eastAsia="zh-CN" w:bidi="ar-SA"/>
              </w:rPr>
            </w:pPr>
            <w:r>
              <w:rPr>
                <w:rFonts w:hint="eastAsia" w:ascii="宋体" w:hAnsi="宋体" w:eastAsia="宋体" w:cs="宋体"/>
                <w:color w:val="auto"/>
                <w:w w:val="90"/>
                <w:szCs w:val="21"/>
              </w:rPr>
              <w:t>80</w:t>
            </w:r>
          </w:p>
        </w:tc>
        <w:tc>
          <w:tcPr>
            <w:tcW w:w="515" w:type="pct"/>
            <w:shd w:val="clear" w:color="auto" w:fill="auto"/>
            <w:vAlign w:val="center"/>
          </w:tcPr>
          <w:p w14:paraId="04AA993D">
            <w:pPr>
              <w:jc w:val="center"/>
              <w:rPr>
                <w:rFonts w:hint="eastAsia" w:ascii="宋体" w:hAnsi="宋体" w:eastAsia="宋体" w:cs="宋体"/>
                <w:color w:val="auto"/>
                <w:w w:val="90"/>
                <w:szCs w:val="21"/>
              </w:rPr>
            </w:pPr>
            <w:r>
              <w:rPr>
                <w:rFonts w:hint="eastAsia" w:ascii="宋体" w:hAnsi="宋体" w:eastAsia="宋体" w:cs="宋体"/>
                <w:color w:val="auto"/>
                <w:w w:val="90"/>
                <w:szCs w:val="21"/>
              </w:rPr>
              <w:t>达标</w:t>
            </w:r>
          </w:p>
        </w:tc>
        <w:tc>
          <w:tcPr>
            <w:tcW w:w="487" w:type="pct"/>
            <w:vAlign w:val="center"/>
          </w:tcPr>
          <w:p w14:paraId="1FC56D3D">
            <w:pPr>
              <w:jc w:val="center"/>
              <w:rPr>
                <w:rFonts w:hint="eastAsia" w:ascii="宋体" w:hAnsi="宋体" w:eastAsia="宋体" w:cs="宋体"/>
                <w:color w:val="auto"/>
                <w:w w:val="90"/>
                <w:szCs w:val="21"/>
              </w:rPr>
            </w:pPr>
            <w:r>
              <w:rPr>
                <w:rFonts w:hint="eastAsia" w:ascii="宋体" w:hAnsi="宋体" w:eastAsia="宋体" w:cs="宋体"/>
                <w:color w:val="auto"/>
                <w:w w:val="90"/>
                <w:szCs w:val="21"/>
              </w:rPr>
              <w:t>100</w:t>
            </w:r>
          </w:p>
        </w:tc>
      </w:tr>
      <w:tr w14:paraId="73FEA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 w:type="pct"/>
            <w:vAlign w:val="center"/>
          </w:tcPr>
          <w:p w14:paraId="37DB7EFB">
            <w:pPr>
              <w:jc w:val="center"/>
              <w:rPr>
                <w:rFonts w:hint="eastAsia" w:ascii="宋体" w:hAnsi="宋体" w:eastAsia="宋体" w:cs="宋体"/>
                <w:color w:val="auto"/>
                <w:szCs w:val="21"/>
              </w:rPr>
            </w:pPr>
            <w:r>
              <w:rPr>
                <w:rFonts w:hint="eastAsia" w:ascii="宋体" w:hAnsi="宋体" w:eastAsia="宋体" w:cs="宋体"/>
                <w:color w:val="auto"/>
                <w:szCs w:val="21"/>
              </w:rPr>
              <w:t>K</w:t>
            </w:r>
            <w:r>
              <w:rPr>
                <w:rFonts w:hint="eastAsia" w:ascii="宋体" w:hAnsi="宋体" w:eastAsia="宋体" w:cs="宋体"/>
                <w:color w:val="auto"/>
                <w:szCs w:val="21"/>
                <w:vertAlign w:val="superscript"/>
              </w:rPr>
              <w:t>+</w:t>
            </w:r>
          </w:p>
        </w:tc>
        <w:tc>
          <w:tcPr>
            <w:tcW w:w="596" w:type="pct"/>
            <w:shd w:val="clear" w:color="auto" w:fill="auto"/>
            <w:vAlign w:val="center"/>
          </w:tcPr>
          <w:p w14:paraId="7AA3347A">
            <w:pPr>
              <w:jc w:val="center"/>
              <w:rPr>
                <w:rFonts w:hint="eastAsia" w:ascii="宋体" w:hAnsi="宋体" w:eastAsia="宋体" w:cs="宋体"/>
                <w:color w:val="auto"/>
                <w:w w:val="90"/>
                <w:kern w:val="2"/>
                <w:sz w:val="21"/>
                <w:szCs w:val="21"/>
                <w:lang w:val="en-US" w:eastAsia="zh-CN" w:bidi="ar-SA"/>
              </w:rPr>
            </w:pPr>
            <w:r>
              <w:rPr>
                <w:rFonts w:hint="eastAsia" w:ascii="宋体" w:hAnsi="宋体" w:eastAsia="宋体" w:cs="宋体"/>
                <w:color w:val="auto"/>
                <w:w w:val="90"/>
                <w:szCs w:val="21"/>
              </w:rPr>
              <w:t>2.78</w:t>
            </w:r>
          </w:p>
        </w:tc>
        <w:tc>
          <w:tcPr>
            <w:tcW w:w="608" w:type="pct"/>
            <w:shd w:val="clear" w:color="auto" w:fill="auto"/>
            <w:vAlign w:val="center"/>
          </w:tcPr>
          <w:p w14:paraId="62212F98">
            <w:pPr>
              <w:jc w:val="center"/>
              <w:rPr>
                <w:rFonts w:hint="eastAsia" w:ascii="宋体" w:hAnsi="宋体" w:eastAsia="宋体" w:cs="宋体"/>
                <w:color w:val="auto"/>
                <w:w w:val="90"/>
                <w:kern w:val="2"/>
                <w:sz w:val="21"/>
                <w:szCs w:val="21"/>
                <w:lang w:val="en-US" w:eastAsia="zh-CN" w:bidi="ar-SA"/>
              </w:rPr>
            </w:pPr>
            <w:r>
              <w:rPr>
                <w:rFonts w:hint="eastAsia" w:ascii="宋体" w:hAnsi="宋体" w:eastAsia="宋体" w:cs="宋体"/>
                <w:color w:val="auto"/>
                <w:w w:val="90"/>
                <w:szCs w:val="21"/>
              </w:rPr>
              <w:t>/</w:t>
            </w:r>
          </w:p>
        </w:tc>
        <w:tc>
          <w:tcPr>
            <w:tcW w:w="560" w:type="pct"/>
            <w:shd w:val="clear" w:color="auto" w:fill="auto"/>
            <w:vAlign w:val="center"/>
          </w:tcPr>
          <w:p w14:paraId="2E2BBD0D">
            <w:pPr>
              <w:jc w:val="center"/>
              <w:rPr>
                <w:rFonts w:hint="eastAsia" w:ascii="宋体" w:hAnsi="宋体" w:eastAsia="宋体" w:cs="宋体"/>
                <w:color w:val="auto"/>
                <w:w w:val="90"/>
                <w:kern w:val="2"/>
                <w:sz w:val="21"/>
                <w:szCs w:val="21"/>
                <w:lang w:val="en-US" w:eastAsia="zh-CN" w:bidi="ar-SA"/>
              </w:rPr>
            </w:pPr>
            <w:r>
              <w:rPr>
                <w:rFonts w:hint="eastAsia" w:ascii="宋体" w:hAnsi="宋体" w:eastAsia="宋体" w:cs="宋体"/>
                <w:color w:val="auto"/>
                <w:w w:val="90"/>
                <w:szCs w:val="21"/>
              </w:rPr>
              <w:t>0.13</w:t>
            </w:r>
          </w:p>
        </w:tc>
        <w:tc>
          <w:tcPr>
            <w:tcW w:w="618" w:type="pct"/>
            <w:shd w:val="clear" w:color="auto" w:fill="auto"/>
            <w:vAlign w:val="center"/>
          </w:tcPr>
          <w:p w14:paraId="5F00659A">
            <w:pPr>
              <w:jc w:val="center"/>
              <w:rPr>
                <w:rFonts w:hint="eastAsia" w:ascii="宋体" w:hAnsi="宋体" w:eastAsia="宋体" w:cs="宋体"/>
                <w:color w:val="auto"/>
                <w:w w:val="90"/>
                <w:kern w:val="2"/>
                <w:sz w:val="21"/>
                <w:szCs w:val="21"/>
                <w:lang w:val="en-US" w:eastAsia="zh-CN" w:bidi="ar-SA"/>
              </w:rPr>
            </w:pPr>
            <w:r>
              <w:rPr>
                <w:rFonts w:hint="eastAsia" w:ascii="宋体" w:hAnsi="宋体" w:eastAsia="宋体" w:cs="宋体"/>
                <w:color w:val="auto"/>
                <w:w w:val="90"/>
                <w:szCs w:val="21"/>
              </w:rPr>
              <w:t>/</w:t>
            </w:r>
          </w:p>
        </w:tc>
        <w:tc>
          <w:tcPr>
            <w:tcW w:w="652" w:type="pct"/>
            <w:shd w:val="clear" w:color="auto" w:fill="auto"/>
            <w:vAlign w:val="center"/>
          </w:tcPr>
          <w:p w14:paraId="2D46A288">
            <w:pPr>
              <w:jc w:val="center"/>
              <w:rPr>
                <w:rFonts w:hint="eastAsia" w:ascii="宋体" w:hAnsi="宋体" w:eastAsia="宋体" w:cs="宋体"/>
                <w:color w:val="auto"/>
                <w:w w:val="90"/>
                <w:kern w:val="2"/>
                <w:sz w:val="21"/>
                <w:szCs w:val="21"/>
                <w:lang w:val="en-US" w:eastAsia="zh-CN" w:bidi="ar-SA"/>
              </w:rPr>
            </w:pPr>
            <w:r>
              <w:rPr>
                <w:rFonts w:hint="eastAsia" w:ascii="宋体" w:hAnsi="宋体" w:eastAsia="宋体" w:cs="宋体"/>
                <w:color w:val="auto"/>
                <w:w w:val="90"/>
                <w:szCs w:val="21"/>
              </w:rPr>
              <w:t>0.12</w:t>
            </w:r>
          </w:p>
        </w:tc>
        <w:tc>
          <w:tcPr>
            <w:tcW w:w="515" w:type="pct"/>
            <w:shd w:val="clear" w:color="auto" w:fill="auto"/>
            <w:vAlign w:val="center"/>
          </w:tcPr>
          <w:p w14:paraId="20E3A175">
            <w:pPr>
              <w:jc w:val="center"/>
              <w:rPr>
                <w:rFonts w:hint="eastAsia" w:ascii="宋体" w:hAnsi="宋体" w:eastAsia="宋体" w:cs="宋体"/>
                <w:color w:val="auto"/>
                <w:w w:val="90"/>
                <w:szCs w:val="21"/>
              </w:rPr>
            </w:pPr>
            <w:r>
              <w:rPr>
                <w:rFonts w:hint="eastAsia" w:ascii="宋体" w:hAnsi="宋体" w:eastAsia="宋体" w:cs="宋体"/>
                <w:color w:val="auto"/>
                <w:w w:val="90"/>
                <w:szCs w:val="21"/>
              </w:rPr>
              <w:t>/</w:t>
            </w:r>
          </w:p>
        </w:tc>
        <w:tc>
          <w:tcPr>
            <w:tcW w:w="487" w:type="pct"/>
            <w:vAlign w:val="center"/>
          </w:tcPr>
          <w:p w14:paraId="57B5C976">
            <w:pPr>
              <w:jc w:val="center"/>
              <w:rPr>
                <w:rFonts w:hint="eastAsia" w:ascii="宋体" w:hAnsi="宋体" w:eastAsia="宋体" w:cs="宋体"/>
                <w:color w:val="auto"/>
                <w:w w:val="90"/>
                <w:szCs w:val="21"/>
              </w:rPr>
            </w:pPr>
            <w:r>
              <w:rPr>
                <w:rFonts w:hint="eastAsia" w:ascii="宋体" w:hAnsi="宋体" w:eastAsia="宋体" w:cs="宋体"/>
                <w:color w:val="auto"/>
                <w:w w:val="90"/>
                <w:szCs w:val="21"/>
              </w:rPr>
              <w:t>/</w:t>
            </w:r>
          </w:p>
        </w:tc>
      </w:tr>
      <w:tr w14:paraId="47504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 w:type="pct"/>
            <w:vAlign w:val="center"/>
          </w:tcPr>
          <w:p w14:paraId="0BDC18E6">
            <w:pPr>
              <w:jc w:val="center"/>
              <w:rPr>
                <w:rFonts w:hint="eastAsia" w:ascii="宋体" w:hAnsi="宋体" w:eastAsia="宋体" w:cs="宋体"/>
                <w:color w:val="auto"/>
                <w:szCs w:val="21"/>
                <w:vertAlign w:val="superscript"/>
              </w:rPr>
            </w:pPr>
            <w:r>
              <w:rPr>
                <w:rFonts w:hint="eastAsia" w:ascii="宋体" w:hAnsi="宋体" w:eastAsia="宋体" w:cs="宋体"/>
                <w:color w:val="auto"/>
                <w:szCs w:val="21"/>
              </w:rPr>
              <w:t>Na</w:t>
            </w:r>
            <w:r>
              <w:rPr>
                <w:rFonts w:hint="eastAsia" w:ascii="宋体" w:hAnsi="宋体" w:eastAsia="宋体" w:cs="宋体"/>
                <w:color w:val="auto"/>
                <w:szCs w:val="21"/>
                <w:vertAlign w:val="superscript"/>
              </w:rPr>
              <w:t>+</w:t>
            </w:r>
          </w:p>
        </w:tc>
        <w:tc>
          <w:tcPr>
            <w:tcW w:w="596" w:type="pct"/>
            <w:shd w:val="clear" w:color="auto" w:fill="auto"/>
            <w:vAlign w:val="center"/>
          </w:tcPr>
          <w:p w14:paraId="15B3DD30">
            <w:pPr>
              <w:jc w:val="center"/>
              <w:rPr>
                <w:rFonts w:hint="eastAsia" w:ascii="宋体" w:hAnsi="宋体" w:eastAsia="宋体" w:cs="宋体"/>
                <w:color w:val="auto"/>
                <w:w w:val="90"/>
                <w:kern w:val="2"/>
                <w:sz w:val="21"/>
                <w:szCs w:val="21"/>
                <w:lang w:val="en-US" w:eastAsia="zh-CN" w:bidi="ar-SA"/>
              </w:rPr>
            </w:pPr>
            <w:r>
              <w:rPr>
                <w:rFonts w:hint="eastAsia" w:ascii="宋体" w:hAnsi="宋体" w:eastAsia="宋体" w:cs="宋体"/>
                <w:color w:val="auto"/>
                <w:w w:val="90"/>
                <w:szCs w:val="21"/>
              </w:rPr>
              <w:t>22.4</w:t>
            </w:r>
          </w:p>
        </w:tc>
        <w:tc>
          <w:tcPr>
            <w:tcW w:w="608" w:type="pct"/>
            <w:shd w:val="clear" w:color="auto" w:fill="auto"/>
            <w:vAlign w:val="center"/>
          </w:tcPr>
          <w:p w14:paraId="303945AB">
            <w:pPr>
              <w:jc w:val="center"/>
              <w:rPr>
                <w:rFonts w:hint="eastAsia" w:ascii="宋体" w:hAnsi="宋体" w:eastAsia="宋体" w:cs="宋体"/>
                <w:color w:val="auto"/>
                <w:w w:val="90"/>
                <w:kern w:val="2"/>
                <w:sz w:val="21"/>
                <w:szCs w:val="21"/>
                <w:lang w:val="en-US" w:eastAsia="zh-CN" w:bidi="ar-SA"/>
              </w:rPr>
            </w:pPr>
            <w:r>
              <w:rPr>
                <w:rFonts w:hint="eastAsia" w:ascii="宋体" w:hAnsi="宋体" w:eastAsia="宋体" w:cs="宋体"/>
                <w:color w:val="auto"/>
                <w:w w:val="90"/>
                <w:szCs w:val="21"/>
              </w:rPr>
              <w:t>/</w:t>
            </w:r>
          </w:p>
        </w:tc>
        <w:tc>
          <w:tcPr>
            <w:tcW w:w="560" w:type="pct"/>
            <w:shd w:val="clear" w:color="auto" w:fill="auto"/>
            <w:vAlign w:val="center"/>
          </w:tcPr>
          <w:p w14:paraId="203272B0">
            <w:pPr>
              <w:jc w:val="center"/>
              <w:rPr>
                <w:rFonts w:hint="eastAsia" w:ascii="宋体" w:hAnsi="宋体" w:eastAsia="宋体" w:cs="宋体"/>
                <w:color w:val="auto"/>
                <w:w w:val="90"/>
                <w:kern w:val="2"/>
                <w:sz w:val="21"/>
                <w:szCs w:val="21"/>
                <w:lang w:val="en-US" w:eastAsia="zh-CN" w:bidi="ar-SA"/>
              </w:rPr>
            </w:pPr>
            <w:r>
              <w:rPr>
                <w:rFonts w:hint="eastAsia" w:ascii="宋体" w:hAnsi="宋体" w:eastAsia="宋体" w:cs="宋体"/>
                <w:color w:val="auto"/>
                <w:w w:val="90"/>
                <w:szCs w:val="21"/>
              </w:rPr>
              <w:t>3.53</w:t>
            </w:r>
          </w:p>
        </w:tc>
        <w:tc>
          <w:tcPr>
            <w:tcW w:w="618" w:type="pct"/>
            <w:shd w:val="clear" w:color="auto" w:fill="auto"/>
            <w:vAlign w:val="center"/>
          </w:tcPr>
          <w:p w14:paraId="4A667AF1">
            <w:pPr>
              <w:jc w:val="center"/>
              <w:rPr>
                <w:rFonts w:hint="eastAsia" w:ascii="宋体" w:hAnsi="宋体" w:eastAsia="宋体" w:cs="宋体"/>
                <w:color w:val="auto"/>
                <w:w w:val="90"/>
                <w:kern w:val="2"/>
                <w:sz w:val="21"/>
                <w:szCs w:val="21"/>
                <w:lang w:val="en-US" w:eastAsia="zh-CN" w:bidi="ar-SA"/>
              </w:rPr>
            </w:pPr>
            <w:r>
              <w:rPr>
                <w:rFonts w:hint="eastAsia" w:ascii="宋体" w:hAnsi="宋体" w:eastAsia="宋体" w:cs="宋体"/>
                <w:color w:val="auto"/>
                <w:w w:val="90"/>
                <w:szCs w:val="21"/>
              </w:rPr>
              <w:t>/</w:t>
            </w:r>
          </w:p>
        </w:tc>
        <w:tc>
          <w:tcPr>
            <w:tcW w:w="652" w:type="pct"/>
            <w:shd w:val="clear" w:color="auto" w:fill="auto"/>
            <w:vAlign w:val="center"/>
          </w:tcPr>
          <w:p w14:paraId="58874172">
            <w:pPr>
              <w:jc w:val="center"/>
              <w:rPr>
                <w:rFonts w:hint="eastAsia" w:ascii="宋体" w:hAnsi="宋体" w:eastAsia="宋体" w:cs="宋体"/>
                <w:color w:val="auto"/>
                <w:w w:val="90"/>
                <w:kern w:val="2"/>
                <w:sz w:val="21"/>
                <w:szCs w:val="21"/>
                <w:lang w:val="en-US" w:eastAsia="zh-CN" w:bidi="ar-SA"/>
              </w:rPr>
            </w:pPr>
            <w:r>
              <w:rPr>
                <w:rFonts w:hint="eastAsia" w:ascii="宋体" w:hAnsi="宋体" w:eastAsia="宋体" w:cs="宋体"/>
                <w:color w:val="auto"/>
                <w:w w:val="90"/>
                <w:szCs w:val="21"/>
              </w:rPr>
              <w:t>3.40</w:t>
            </w:r>
          </w:p>
        </w:tc>
        <w:tc>
          <w:tcPr>
            <w:tcW w:w="515" w:type="pct"/>
            <w:shd w:val="clear" w:color="auto" w:fill="auto"/>
            <w:vAlign w:val="center"/>
          </w:tcPr>
          <w:p w14:paraId="7E3174D5">
            <w:pPr>
              <w:jc w:val="center"/>
              <w:rPr>
                <w:rFonts w:hint="eastAsia" w:ascii="宋体" w:hAnsi="宋体" w:eastAsia="宋体" w:cs="宋体"/>
                <w:color w:val="auto"/>
                <w:w w:val="90"/>
                <w:szCs w:val="21"/>
              </w:rPr>
            </w:pPr>
            <w:r>
              <w:rPr>
                <w:rFonts w:hint="eastAsia" w:ascii="宋体" w:hAnsi="宋体" w:eastAsia="宋体" w:cs="宋体"/>
                <w:color w:val="auto"/>
                <w:w w:val="90"/>
                <w:szCs w:val="21"/>
              </w:rPr>
              <w:t>/</w:t>
            </w:r>
          </w:p>
        </w:tc>
        <w:tc>
          <w:tcPr>
            <w:tcW w:w="487" w:type="pct"/>
            <w:vAlign w:val="center"/>
          </w:tcPr>
          <w:p w14:paraId="4A5C059E">
            <w:pPr>
              <w:jc w:val="center"/>
              <w:rPr>
                <w:rFonts w:hint="eastAsia" w:ascii="宋体" w:hAnsi="宋体" w:eastAsia="宋体" w:cs="宋体"/>
                <w:color w:val="auto"/>
                <w:w w:val="90"/>
                <w:szCs w:val="21"/>
              </w:rPr>
            </w:pPr>
            <w:r>
              <w:rPr>
                <w:rFonts w:hint="eastAsia" w:ascii="宋体" w:hAnsi="宋体" w:eastAsia="宋体" w:cs="宋体"/>
                <w:color w:val="auto"/>
                <w:w w:val="90"/>
                <w:szCs w:val="21"/>
              </w:rPr>
              <w:t>/</w:t>
            </w:r>
          </w:p>
        </w:tc>
      </w:tr>
      <w:tr w14:paraId="3A150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 w:type="pct"/>
            <w:vAlign w:val="center"/>
          </w:tcPr>
          <w:p w14:paraId="6E398625">
            <w:pPr>
              <w:jc w:val="center"/>
              <w:rPr>
                <w:rFonts w:hint="eastAsia" w:ascii="宋体" w:hAnsi="宋体" w:eastAsia="宋体" w:cs="宋体"/>
                <w:color w:val="auto"/>
                <w:szCs w:val="21"/>
              </w:rPr>
            </w:pPr>
            <w:r>
              <w:rPr>
                <w:rFonts w:hint="eastAsia" w:ascii="宋体" w:hAnsi="宋体" w:eastAsia="宋体" w:cs="宋体"/>
                <w:color w:val="auto"/>
                <w:szCs w:val="21"/>
              </w:rPr>
              <w:t>Ca</w:t>
            </w:r>
            <w:r>
              <w:rPr>
                <w:rFonts w:hint="eastAsia" w:ascii="宋体" w:hAnsi="宋体" w:eastAsia="宋体" w:cs="宋体"/>
                <w:color w:val="auto"/>
                <w:szCs w:val="21"/>
                <w:vertAlign w:val="superscript"/>
              </w:rPr>
              <w:t>2+</w:t>
            </w:r>
          </w:p>
        </w:tc>
        <w:tc>
          <w:tcPr>
            <w:tcW w:w="596" w:type="pct"/>
            <w:shd w:val="clear" w:color="auto" w:fill="auto"/>
            <w:vAlign w:val="center"/>
          </w:tcPr>
          <w:p w14:paraId="2FDC1A53">
            <w:pPr>
              <w:jc w:val="center"/>
              <w:rPr>
                <w:rFonts w:hint="eastAsia" w:ascii="宋体" w:hAnsi="宋体" w:eastAsia="宋体" w:cs="宋体"/>
                <w:color w:val="auto"/>
                <w:w w:val="90"/>
                <w:kern w:val="2"/>
                <w:sz w:val="21"/>
                <w:szCs w:val="21"/>
                <w:lang w:val="en-US" w:eastAsia="zh-CN" w:bidi="ar-SA"/>
              </w:rPr>
            </w:pPr>
            <w:r>
              <w:rPr>
                <w:rFonts w:hint="eastAsia" w:ascii="宋体" w:hAnsi="宋体" w:eastAsia="宋体" w:cs="宋体"/>
                <w:color w:val="auto"/>
                <w:w w:val="90"/>
                <w:szCs w:val="21"/>
              </w:rPr>
              <w:t>69.4</w:t>
            </w:r>
          </w:p>
        </w:tc>
        <w:tc>
          <w:tcPr>
            <w:tcW w:w="608" w:type="pct"/>
            <w:shd w:val="clear" w:color="auto" w:fill="auto"/>
            <w:vAlign w:val="center"/>
          </w:tcPr>
          <w:p w14:paraId="29EAB6C0">
            <w:pPr>
              <w:jc w:val="center"/>
              <w:rPr>
                <w:rFonts w:hint="eastAsia" w:ascii="宋体" w:hAnsi="宋体" w:eastAsia="宋体" w:cs="宋体"/>
                <w:color w:val="auto"/>
                <w:w w:val="90"/>
                <w:kern w:val="2"/>
                <w:sz w:val="21"/>
                <w:szCs w:val="21"/>
                <w:lang w:val="en-US" w:eastAsia="zh-CN" w:bidi="ar-SA"/>
              </w:rPr>
            </w:pPr>
            <w:r>
              <w:rPr>
                <w:rFonts w:hint="eastAsia" w:ascii="宋体" w:hAnsi="宋体" w:eastAsia="宋体" w:cs="宋体"/>
                <w:color w:val="auto"/>
                <w:w w:val="90"/>
                <w:szCs w:val="21"/>
              </w:rPr>
              <w:t>/</w:t>
            </w:r>
          </w:p>
        </w:tc>
        <w:tc>
          <w:tcPr>
            <w:tcW w:w="560" w:type="pct"/>
            <w:shd w:val="clear" w:color="auto" w:fill="auto"/>
            <w:vAlign w:val="center"/>
          </w:tcPr>
          <w:p w14:paraId="2C719A00">
            <w:pPr>
              <w:jc w:val="center"/>
              <w:rPr>
                <w:rFonts w:hint="eastAsia" w:ascii="宋体" w:hAnsi="宋体" w:eastAsia="宋体" w:cs="宋体"/>
                <w:color w:val="auto"/>
                <w:w w:val="90"/>
                <w:kern w:val="2"/>
                <w:sz w:val="21"/>
                <w:szCs w:val="21"/>
                <w:lang w:val="en-US" w:eastAsia="zh-CN" w:bidi="ar-SA"/>
              </w:rPr>
            </w:pPr>
            <w:r>
              <w:rPr>
                <w:rFonts w:hint="eastAsia" w:ascii="宋体" w:hAnsi="宋体" w:eastAsia="宋体" w:cs="宋体"/>
                <w:color w:val="auto"/>
                <w:w w:val="90"/>
                <w:szCs w:val="21"/>
              </w:rPr>
              <w:t>23.4</w:t>
            </w:r>
          </w:p>
        </w:tc>
        <w:tc>
          <w:tcPr>
            <w:tcW w:w="618" w:type="pct"/>
            <w:shd w:val="clear" w:color="auto" w:fill="auto"/>
            <w:vAlign w:val="center"/>
          </w:tcPr>
          <w:p w14:paraId="1D2DB8F6">
            <w:pPr>
              <w:jc w:val="center"/>
              <w:rPr>
                <w:rFonts w:hint="eastAsia" w:ascii="宋体" w:hAnsi="宋体" w:eastAsia="宋体" w:cs="宋体"/>
                <w:color w:val="auto"/>
                <w:w w:val="90"/>
                <w:kern w:val="2"/>
                <w:sz w:val="21"/>
                <w:szCs w:val="21"/>
                <w:lang w:val="en-US" w:eastAsia="zh-CN" w:bidi="ar-SA"/>
              </w:rPr>
            </w:pPr>
            <w:r>
              <w:rPr>
                <w:rFonts w:hint="eastAsia" w:ascii="宋体" w:hAnsi="宋体" w:eastAsia="宋体" w:cs="宋体"/>
                <w:color w:val="auto"/>
                <w:w w:val="90"/>
                <w:szCs w:val="21"/>
              </w:rPr>
              <w:t>/</w:t>
            </w:r>
          </w:p>
        </w:tc>
        <w:tc>
          <w:tcPr>
            <w:tcW w:w="652" w:type="pct"/>
            <w:shd w:val="clear" w:color="auto" w:fill="auto"/>
            <w:vAlign w:val="center"/>
          </w:tcPr>
          <w:p w14:paraId="7E1D695D">
            <w:pPr>
              <w:jc w:val="center"/>
              <w:rPr>
                <w:rFonts w:hint="eastAsia" w:ascii="宋体" w:hAnsi="宋体" w:eastAsia="宋体" w:cs="宋体"/>
                <w:color w:val="auto"/>
                <w:w w:val="90"/>
                <w:kern w:val="2"/>
                <w:sz w:val="21"/>
                <w:szCs w:val="21"/>
                <w:lang w:val="en-US" w:eastAsia="zh-CN" w:bidi="ar-SA"/>
              </w:rPr>
            </w:pPr>
            <w:r>
              <w:rPr>
                <w:rFonts w:hint="eastAsia" w:ascii="宋体" w:hAnsi="宋体" w:eastAsia="宋体" w:cs="宋体"/>
                <w:color w:val="auto"/>
                <w:w w:val="90"/>
                <w:szCs w:val="21"/>
              </w:rPr>
              <w:t>23.8</w:t>
            </w:r>
          </w:p>
        </w:tc>
        <w:tc>
          <w:tcPr>
            <w:tcW w:w="515" w:type="pct"/>
            <w:shd w:val="clear" w:color="auto" w:fill="auto"/>
            <w:vAlign w:val="center"/>
          </w:tcPr>
          <w:p w14:paraId="1F886C7F">
            <w:pPr>
              <w:jc w:val="center"/>
              <w:rPr>
                <w:rFonts w:hint="eastAsia" w:ascii="宋体" w:hAnsi="宋体" w:eastAsia="宋体" w:cs="宋体"/>
                <w:color w:val="auto"/>
                <w:w w:val="90"/>
                <w:szCs w:val="21"/>
              </w:rPr>
            </w:pPr>
            <w:r>
              <w:rPr>
                <w:rFonts w:hint="eastAsia" w:ascii="宋体" w:hAnsi="宋体" w:eastAsia="宋体" w:cs="宋体"/>
                <w:color w:val="auto"/>
                <w:w w:val="90"/>
                <w:szCs w:val="21"/>
              </w:rPr>
              <w:t>/</w:t>
            </w:r>
          </w:p>
        </w:tc>
        <w:tc>
          <w:tcPr>
            <w:tcW w:w="487" w:type="pct"/>
            <w:vAlign w:val="center"/>
          </w:tcPr>
          <w:p w14:paraId="4FB6FD02">
            <w:pPr>
              <w:jc w:val="center"/>
              <w:rPr>
                <w:rFonts w:hint="eastAsia" w:ascii="宋体" w:hAnsi="宋体" w:eastAsia="宋体" w:cs="宋体"/>
                <w:color w:val="auto"/>
                <w:w w:val="90"/>
                <w:szCs w:val="21"/>
              </w:rPr>
            </w:pPr>
            <w:r>
              <w:rPr>
                <w:rFonts w:hint="eastAsia" w:ascii="宋体" w:hAnsi="宋体" w:eastAsia="宋体" w:cs="宋体"/>
                <w:color w:val="auto"/>
                <w:w w:val="90"/>
                <w:szCs w:val="21"/>
              </w:rPr>
              <w:t>/</w:t>
            </w:r>
          </w:p>
        </w:tc>
      </w:tr>
      <w:tr w14:paraId="47E06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 w:type="pct"/>
            <w:vAlign w:val="center"/>
          </w:tcPr>
          <w:p w14:paraId="543CA845">
            <w:pPr>
              <w:jc w:val="center"/>
              <w:rPr>
                <w:rFonts w:hint="eastAsia" w:ascii="宋体" w:hAnsi="宋体" w:eastAsia="宋体" w:cs="宋体"/>
                <w:color w:val="auto"/>
                <w:szCs w:val="21"/>
              </w:rPr>
            </w:pPr>
            <w:r>
              <w:rPr>
                <w:rFonts w:hint="eastAsia" w:ascii="宋体" w:hAnsi="宋体" w:eastAsia="宋体" w:cs="宋体"/>
                <w:color w:val="auto"/>
                <w:szCs w:val="21"/>
              </w:rPr>
              <w:t>Mg2</w:t>
            </w:r>
            <w:r>
              <w:rPr>
                <w:rFonts w:hint="eastAsia" w:ascii="宋体" w:hAnsi="宋体" w:eastAsia="宋体" w:cs="宋体"/>
                <w:color w:val="auto"/>
                <w:szCs w:val="21"/>
                <w:vertAlign w:val="superscript"/>
              </w:rPr>
              <w:t>+</w:t>
            </w:r>
          </w:p>
        </w:tc>
        <w:tc>
          <w:tcPr>
            <w:tcW w:w="596" w:type="pct"/>
            <w:shd w:val="clear" w:color="auto" w:fill="auto"/>
            <w:vAlign w:val="center"/>
          </w:tcPr>
          <w:p w14:paraId="36104844">
            <w:pPr>
              <w:jc w:val="center"/>
              <w:rPr>
                <w:rFonts w:hint="eastAsia" w:ascii="宋体" w:hAnsi="宋体" w:eastAsia="宋体" w:cs="宋体"/>
                <w:color w:val="auto"/>
                <w:w w:val="90"/>
                <w:kern w:val="2"/>
                <w:sz w:val="21"/>
                <w:szCs w:val="21"/>
                <w:lang w:val="en-US" w:eastAsia="zh-CN" w:bidi="ar-SA"/>
              </w:rPr>
            </w:pPr>
            <w:r>
              <w:rPr>
                <w:rFonts w:hint="eastAsia" w:ascii="宋体" w:hAnsi="宋体" w:eastAsia="宋体" w:cs="宋体"/>
                <w:color w:val="auto"/>
                <w:w w:val="90"/>
                <w:szCs w:val="21"/>
              </w:rPr>
              <w:t>19</w:t>
            </w:r>
          </w:p>
        </w:tc>
        <w:tc>
          <w:tcPr>
            <w:tcW w:w="608" w:type="pct"/>
            <w:shd w:val="clear" w:color="auto" w:fill="auto"/>
            <w:vAlign w:val="center"/>
          </w:tcPr>
          <w:p w14:paraId="29B13371">
            <w:pPr>
              <w:jc w:val="center"/>
              <w:rPr>
                <w:rFonts w:hint="eastAsia" w:ascii="宋体" w:hAnsi="宋体" w:eastAsia="宋体" w:cs="宋体"/>
                <w:color w:val="auto"/>
                <w:w w:val="90"/>
                <w:kern w:val="2"/>
                <w:sz w:val="21"/>
                <w:szCs w:val="21"/>
                <w:lang w:val="en-US" w:eastAsia="zh-CN" w:bidi="ar-SA"/>
              </w:rPr>
            </w:pPr>
            <w:r>
              <w:rPr>
                <w:rFonts w:hint="eastAsia" w:ascii="宋体" w:hAnsi="宋体" w:eastAsia="宋体" w:cs="宋体"/>
                <w:color w:val="auto"/>
                <w:w w:val="90"/>
                <w:szCs w:val="21"/>
              </w:rPr>
              <w:t>/</w:t>
            </w:r>
          </w:p>
        </w:tc>
        <w:tc>
          <w:tcPr>
            <w:tcW w:w="560" w:type="pct"/>
            <w:shd w:val="clear" w:color="auto" w:fill="auto"/>
            <w:vAlign w:val="center"/>
          </w:tcPr>
          <w:p w14:paraId="0E0F4E9F">
            <w:pPr>
              <w:jc w:val="center"/>
              <w:rPr>
                <w:rFonts w:hint="eastAsia" w:ascii="宋体" w:hAnsi="宋体" w:eastAsia="宋体" w:cs="宋体"/>
                <w:color w:val="auto"/>
                <w:w w:val="90"/>
                <w:kern w:val="2"/>
                <w:sz w:val="21"/>
                <w:szCs w:val="21"/>
                <w:lang w:val="en-US" w:eastAsia="zh-CN" w:bidi="ar-SA"/>
              </w:rPr>
            </w:pPr>
            <w:r>
              <w:rPr>
                <w:rFonts w:hint="eastAsia" w:ascii="宋体" w:hAnsi="宋体" w:eastAsia="宋体" w:cs="宋体"/>
                <w:color w:val="auto"/>
                <w:w w:val="90"/>
                <w:szCs w:val="21"/>
              </w:rPr>
              <w:t>9.6</w:t>
            </w:r>
          </w:p>
        </w:tc>
        <w:tc>
          <w:tcPr>
            <w:tcW w:w="618" w:type="pct"/>
            <w:shd w:val="clear" w:color="auto" w:fill="auto"/>
            <w:vAlign w:val="center"/>
          </w:tcPr>
          <w:p w14:paraId="7C47D1B2">
            <w:pPr>
              <w:jc w:val="center"/>
              <w:rPr>
                <w:rFonts w:hint="eastAsia" w:ascii="宋体" w:hAnsi="宋体" w:eastAsia="宋体" w:cs="宋体"/>
                <w:color w:val="auto"/>
                <w:w w:val="90"/>
                <w:kern w:val="2"/>
                <w:sz w:val="21"/>
                <w:szCs w:val="21"/>
                <w:lang w:val="en-US" w:eastAsia="zh-CN" w:bidi="ar-SA"/>
              </w:rPr>
            </w:pPr>
            <w:r>
              <w:rPr>
                <w:rFonts w:hint="eastAsia" w:ascii="宋体" w:hAnsi="宋体" w:eastAsia="宋体" w:cs="宋体"/>
                <w:color w:val="auto"/>
                <w:w w:val="90"/>
                <w:szCs w:val="21"/>
              </w:rPr>
              <w:t>/</w:t>
            </w:r>
          </w:p>
        </w:tc>
        <w:tc>
          <w:tcPr>
            <w:tcW w:w="652" w:type="pct"/>
            <w:shd w:val="clear" w:color="auto" w:fill="auto"/>
            <w:vAlign w:val="center"/>
          </w:tcPr>
          <w:p w14:paraId="6A4492BF">
            <w:pPr>
              <w:jc w:val="center"/>
              <w:rPr>
                <w:rFonts w:hint="eastAsia" w:ascii="宋体" w:hAnsi="宋体" w:eastAsia="宋体" w:cs="宋体"/>
                <w:color w:val="auto"/>
                <w:w w:val="90"/>
                <w:kern w:val="2"/>
                <w:sz w:val="21"/>
                <w:szCs w:val="21"/>
                <w:lang w:val="en-US" w:eastAsia="zh-CN" w:bidi="ar-SA"/>
              </w:rPr>
            </w:pPr>
            <w:r>
              <w:rPr>
                <w:rFonts w:hint="eastAsia" w:ascii="宋体" w:hAnsi="宋体" w:eastAsia="宋体" w:cs="宋体"/>
                <w:color w:val="auto"/>
                <w:w w:val="90"/>
                <w:szCs w:val="21"/>
              </w:rPr>
              <w:t>9.2</w:t>
            </w:r>
          </w:p>
        </w:tc>
        <w:tc>
          <w:tcPr>
            <w:tcW w:w="515" w:type="pct"/>
            <w:shd w:val="clear" w:color="auto" w:fill="auto"/>
            <w:vAlign w:val="center"/>
          </w:tcPr>
          <w:p w14:paraId="62AD61B6">
            <w:pPr>
              <w:jc w:val="center"/>
              <w:rPr>
                <w:rFonts w:hint="eastAsia" w:ascii="宋体" w:hAnsi="宋体" w:eastAsia="宋体" w:cs="宋体"/>
                <w:color w:val="auto"/>
                <w:w w:val="90"/>
                <w:szCs w:val="21"/>
              </w:rPr>
            </w:pPr>
            <w:r>
              <w:rPr>
                <w:rFonts w:hint="eastAsia" w:ascii="宋体" w:hAnsi="宋体" w:eastAsia="宋体" w:cs="宋体"/>
                <w:color w:val="auto"/>
                <w:w w:val="90"/>
                <w:szCs w:val="21"/>
              </w:rPr>
              <w:t>/</w:t>
            </w:r>
          </w:p>
        </w:tc>
        <w:tc>
          <w:tcPr>
            <w:tcW w:w="487" w:type="pct"/>
            <w:vAlign w:val="center"/>
          </w:tcPr>
          <w:p w14:paraId="308A620D">
            <w:pPr>
              <w:jc w:val="center"/>
              <w:rPr>
                <w:rFonts w:hint="eastAsia" w:ascii="宋体" w:hAnsi="宋体" w:eastAsia="宋体" w:cs="宋体"/>
                <w:color w:val="auto"/>
                <w:w w:val="90"/>
                <w:szCs w:val="21"/>
              </w:rPr>
            </w:pPr>
            <w:r>
              <w:rPr>
                <w:rFonts w:hint="eastAsia" w:ascii="宋体" w:hAnsi="宋体" w:eastAsia="宋体" w:cs="宋体"/>
                <w:color w:val="auto"/>
                <w:w w:val="90"/>
                <w:szCs w:val="21"/>
              </w:rPr>
              <w:t>/</w:t>
            </w:r>
          </w:p>
        </w:tc>
      </w:tr>
      <w:tr w14:paraId="461BD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 w:type="pct"/>
            <w:vAlign w:val="center"/>
          </w:tcPr>
          <w:p w14:paraId="07978ACE">
            <w:pPr>
              <w:jc w:val="center"/>
              <w:rPr>
                <w:rFonts w:hint="eastAsia" w:ascii="宋体" w:hAnsi="宋体" w:eastAsia="宋体" w:cs="宋体"/>
                <w:color w:val="auto"/>
                <w:szCs w:val="21"/>
              </w:rPr>
            </w:pPr>
            <w:r>
              <w:rPr>
                <w:rFonts w:hint="eastAsia" w:ascii="宋体" w:hAnsi="宋体" w:eastAsia="宋体" w:cs="宋体"/>
                <w:color w:val="auto"/>
                <w:szCs w:val="21"/>
              </w:rPr>
              <w:t>CO</w:t>
            </w:r>
            <w:r>
              <w:rPr>
                <w:rFonts w:hint="eastAsia" w:ascii="宋体" w:hAnsi="宋体" w:eastAsia="宋体" w:cs="宋体"/>
                <w:color w:val="auto"/>
                <w:szCs w:val="21"/>
                <w:vertAlign w:val="subscript"/>
              </w:rPr>
              <w:t>3</w:t>
            </w:r>
            <w:r>
              <w:rPr>
                <w:rFonts w:hint="eastAsia" w:ascii="宋体" w:hAnsi="宋体" w:eastAsia="宋体" w:cs="宋体"/>
                <w:color w:val="auto"/>
                <w:szCs w:val="21"/>
                <w:vertAlign w:val="superscript"/>
              </w:rPr>
              <w:t>2-</w:t>
            </w:r>
          </w:p>
        </w:tc>
        <w:tc>
          <w:tcPr>
            <w:tcW w:w="596" w:type="pct"/>
            <w:shd w:val="clear" w:color="auto" w:fill="auto"/>
            <w:vAlign w:val="center"/>
          </w:tcPr>
          <w:p w14:paraId="5BB4C22C">
            <w:pPr>
              <w:jc w:val="center"/>
              <w:rPr>
                <w:rFonts w:hint="eastAsia" w:ascii="宋体" w:hAnsi="宋体" w:eastAsia="宋体" w:cs="宋体"/>
                <w:color w:val="auto"/>
                <w:w w:val="90"/>
                <w:kern w:val="2"/>
                <w:sz w:val="21"/>
                <w:szCs w:val="21"/>
                <w:lang w:val="en-US" w:eastAsia="zh-CN" w:bidi="ar-SA"/>
              </w:rPr>
            </w:pPr>
            <w:r>
              <w:rPr>
                <w:rFonts w:hint="eastAsia" w:ascii="宋体" w:hAnsi="宋体" w:eastAsia="宋体" w:cs="宋体"/>
                <w:color w:val="auto"/>
                <w:w w:val="90"/>
                <w:szCs w:val="21"/>
              </w:rPr>
              <w:t>0</w:t>
            </w:r>
          </w:p>
        </w:tc>
        <w:tc>
          <w:tcPr>
            <w:tcW w:w="608" w:type="pct"/>
            <w:shd w:val="clear" w:color="auto" w:fill="auto"/>
            <w:vAlign w:val="center"/>
          </w:tcPr>
          <w:p w14:paraId="4089FACF">
            <w:pPr>
              <w:jc w:val="center"/>
              <w:rPr>
                <w:rFonts w:hint="eastAsia" w:ascii="宋体" w:hAnsi="宋体" w:eastAsia="宋体" w:cs="宋体"/>
                <w:color w:val="auto"/>
                <w:w w:val="90"/>
                <w:kern w:val="2"/>
                <w:sz w:val="21"/>
                <w:szCs w:val="21"/>
                <w:lang w:val="en-US" w:eastAsia="zh-CN" w:bidi="ar-SA"/>
              </w:rPr>
            </w:pPr>
            <w:r>
              <w:rPr>
                <w:rFonts w:hint="eastAsia" w:ascii="宋体" w:hAnsi="宋体" w:eastAsia="宋体" w:cs="宋体"/>
                <w:color w:val="auto"/>
                <w:w w:val="90"/>
                <w:szCs w:val="21"/>
              </w:rPr>
              <w:t>/</w:t>
            </w:r>
          </w:p>
        </w:tc>
        <w:tc>
          <w:tcPr>
            <w:tcW w:w="560" w:type="pct"/>
            <w:shd w:val="clear" w:color="auto" w:fill="auto"/>
            <w:vAlign w:val="center"/>
          </w:tcPr>
          <w:p w14:paraId="0867B576">
            <w:pPr>
              <w:jc w:val="center"/>
              <w:rPr>
                <w:rFonts w:hint="eastAsia" w:ascii="宋体" w:hAnsi="宋体" w:eastAsia="宋体" w:cs="宋体"/>
                <w:color w:val="auto"/>
                <w:w w:val="90"/>
                <w:kern w:val="2"/>
                <w:sz w:val="21"/>
                <w:szCs w:val="21"/>
                <w:lang w:val="en-US" w:eastAsia="zh-CN" w:bidi="ar-SA"/>
              </w:rPr>
            </w:pPr>
            <w:r>
              <w:rPr>
                <w:rFonts w:hint="eastAsia" w:ascii="宋体" w:hAnsi="宋体" w:eastAsia="宋体" w:cs="宋体"/>
                <w:color w:val="auto"/>
                <w:w w:val="90"/>
                <w:szCs w:val="21"/>
              </w:rPr>
              <w:t>ND</w:t>
            </w:r>
          </w:p>
        </w:tc>
        <w:tc>
          <w:tcPr>
            <w:tcW w:w="618" w:type="pct"/>
            <w:shd w:val="clear" w:color="auto" w:fill="auto"/>
            <w:vAlign w:val="center"/>
          </w:tcPr>
          <w:p w14:paraId="0DA936AE">
            <w:pPr>
              <w:jc w:val="center"/>
              <w:rPr>
                <w:rFonts w:hint="eastAsia" w:ascii="宋体" w:hAnsi="宋体" w:eastAsia="宋体" w:cs="宋体"/>
                <w:color w:val="auto"/>
                <w:w w:val="90"/>
                <w:kern w:val="2"/>
                <w:sz w:val="21"/>
                <w:szCs w:val="21"/>
                <w:lang w:val="en-US" w:eastAsia="zh-CN" w:bidi="ar-SA"/>
              </w:rPr>
            </w:pPr>
            <w:r>
              <w:rPr>
                <w:rFonts w:hint="eastAsia" w:ascii="宋体" w:hAnsi="宋体" w:eastAsia="宋体" w:cs="宋体"/>
                <w:color w:val="auto"/>
                <w:w w:val="90"/>
                <w:szCs w:val="21"/>
              </w:rPr>
              <w:t>/</w:t>
            </w:r>
          </w:p>
        </w:tc>
        <w:tc>
          <w:tcPr>
            <w:tcW w:w="652" w:type="pct"/>
            <w:shd w:val="clear" w:color="auto" w:fill="auto"/>
            <w:vAlign w:val="center"/>
          </w:tcPr>
          <w:p w14:paraId="2FA35747">
            <w:pPr>
              <w:jc w:val="center"/>
              <w:rPr>
                <w:rFonts w:hint="eastAsia" w:ascii="宋体" w:hAnsi="宋体" w:eastAsia="宋体" w:cs="宋体"/>
                <w:color w:val="auto"/>
                <w:w w:val="90"/>
                <w:kern w:val="2"/>
                <w:sz w:val="21"/>
                <w:szCs w:val="21"/>
                <w:lang w:val="en-US" w:eastAsia="zh-CN" w:bidi="ar-SA"/>
              </w:rPr>
            </w:pPr>
            <w:r>
              <w:rPr>
                <w:rFonts w:hint="eastAsia" w:ascii="宋体" w:hAnsi="宋体" w:eastAsia="宋体" w:cs="宋体"/>
                <w:color w:val="auto"/>
                <w:w w:val="90"/>
                <w:szCs w:val="21"/>
              </w:rPr>
              <w:t>ND</w:t>
            </w:r>
          </w:p>
        </w:tc>
        <w:tc>
          <w:tcPr>
            <w:tcW w:w="515" w:type="pct"/>
            <w:shd w:val="clear" w:color="auto" w:fill="auto"/>
            <w:vAlign w:val="center"/>
          </w:tcPr>
          <w:p w14:paraId="3A73D6C2">
            <w:pPr>
              <w:jc w:val="center"/>
              <w:rPr>
                <w:rFonts w:hint="eastAsia" w:ascii="宋体" w:hAnsi="宋体" w:eastAsia="宋体" w:cs="宋体"/>
                <w:color w:val="auto"/>
                <w:w w:val="90"/>
                <w:szCs w:val="21"/>
              </w:rPr>
            </w:pPr>
            <w:r>
              <w:rPr>
                <w:rFonts w:hint="eastAsia" w:ascii="宋体" w:hAnsi="宋体" w:eastAsia="宋体" w:cs="宋体"/>
                <w:color w:val="auto"/>
                <w:w w:val="90"/>
                <w:szCs w:val="21"/>
              </w:rPr>
              <w:t>/</w:t>
            </w:r>
          </w:p>
        </w:tc>
        <w:tc>
          <w:tcPr>
            <w:tcW w:w="487" w:type="pct"/>
            <w:vAlign w:val="center"/>
          </w:tcPr>
          <w:p w14:paraId="0902A90C">
            <w:pPr>
              <w:jc w:val="center"/>
              <w:rPr>
                <w:rFonts w:hint="eastAsia" w:ascii="宋体" w:hAnsi="宋体" w:eastAsia="宋体" w:cs="宋体"/>
                <w:color w:val="auto"/>
                <w:w w:val="90"/>
                <w:szCs w:val="21"/>
              </w:rPr>
            </w:pPr>
            <w:r>
              <w:rPr>
                <w:rFonts w:hint="eastAsia" w:ascii="宋体" w:hAnsi="宋体" w:eastAsia="宋体" w:cs="宋体"/>
                <w:color w:val="auto"/>
                <w:w w:val="90"/>
                <w:szCs w:val="21"/>
              </w:rPr>
              <w:t>/</w:t>
            </w:r>
          </w:p>
        </w:tc>
      </w:tr>
      <w:tr w14:paraId="0AF48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 w:type="pct"/>
            <w:vAlign w:val="center"/>
          </w:tcPr>
          <w:p w14:paraId="356C0B55">
            <w:pPr>
              <w:jc w:val="center"/>
              <w:rPr>
                <w:rFonts w:hint="eastAsia" w:ascii="宋体" w:hAnsi="宋体" w:eastAsia="宋体" w:cs="宋体"/>
                <w:color w:val="auto"/>
                <w:szCs w:val="21"/>
              </w:rPr>
            </w:pPr>
            <w:r>
              <w:rPr>
                <w:rFonts w:hint="eastAsia" w:ascii="宋体" w:hAnsi="宋体" w:eastAsia="宋体" w:cs="宋体"/>
                <w:color w:val="auto"/>
                <w:szCs w:val="21"/>
              </w:rPr>
              <w:t>HCO</w:t>
            </w:r>
            <w:r>
              <w:rPr>
                <w:rFonts w:hint="eastAsia" w:ascii="宋体" w:hAnsi="宋体" w:eastAsia="宋体" w:cs="宋体"/>
                <w:color w:val="auto"/>
                <w:szCs w:val="21"/>
                <w:vertAlign w:val="subscript"/>
              </w:rPr>
              <w:t>3</w:t>
            </w:r>
            <w:r>
              <w:rPr>
                <w:rFonts w:hint="eastAsia" w:ascii="宋体" w:hAnsi="宋体" w:eastAsia="宋体" w:cs="宋体"/>
                <w:color w:val="auto"/>
                <w:szCs w:val="21"/>
                <w:vertAlign w:val="superscript"/>
              </w:rPr>
              <w:t>-</w:t>
            </w:r>
          </w:p>
        </w:tc>
        <w:tc>
          <w:tcPr>
            <w:tcW w:w="596" w:type="pct"/>
            <w:shd w:val="clear" w:color="auto" w:fill="auto"/>
            <w:vAlign w:val="center"/>
          </w:tcPr>
          <w:p w14:paraId="0CFB83BD">
            <w:pPr>
              <w:jc w:val="center"/>
              <w:rPr>
                <w:rFonts w:hint="eastAsia" w:ascii="宋体" w:hAnsi="宋体" w:eastAsia="宋体" w:cs="宋体"/>
                <w:color w:val="auto"/>
                <w:w w:val="90"/>
                <w:kern w:val="2"/>
                <w:sz w:val="21"/>
                <w:szCs w:val="21"/>
                <w:lang w:val="en-US" w:eastAsia="zh-CN" w:bidi="ar-SA"/>
              </w:rPr>
            </w:pPr>
            <w:r>
              <w:rPr>
                <w:rFonts w:hint="eastAsia" w:ascii="宋体" w:hAnsi="宋体" w:eastAsia="宋体" w:cs="宋体"/>
                <w:color w:val="auto"/>
                <w:w w:val="90"/>
                <w:szCs w:val="21"/>
              </w:rPr>
              <w:t>177</w:t>
            </w:r>
          </w:p>
        </w:tc>
        <w:tc>
          <w:tcPr>
            <w:tcW w:w="608" w:type="pct"/>
            <w:shd w:val="clear" w:color="auto" w:fill="auto"/>
            <w:vAlign w:val="center"/>
          </w:tcPr>
          <w:p w14:paraId="27F9A48E">
            <w:pPr>
              <w:jc w:val="center"/>
              <w:rPr>
                <w:rFonts w:hint="eastAsia" w:ascii="宋体" w:hAnsi="宋体" w:eastAsia="宋体" w:cs="宋体"/>
                <w:color w:val="auto"/>
                <w:w w:val="90"/>
                <w:kern w:val="2"/>
                <w:sz w:val="21"/>
                <w:szCs w:val="21"/>
                <w:lang w:val="en-US" w:eastAsia="zh-CN" w:bidi="ar-SA"/>
              </w:rPr>
            </w:pPr>
            <w:r>
              <w:rPr>
                <w:rFonts w:hint="eastAsia" w:ascii="宋体" w:hAnsi="宋体" w:eastAsia="宋体" w:cs="宋体"/>
                <w:color w:val="auto"/>
                <w:w w:val="90"/>
                <w:szCs w:val="21"/>
              </w:rPr>
              <w:t>/</w:t>
            </w:r>
          </w:p>
        </w:tc>
        <w:tc>
          <w:tcPr>
            <w:tcW w:w="560" w:type="pct"/>
            <w:shd w:val="clear" w:color="auto" w:fill="auto"/>
            <w:vAlign w:val="center"/>
          </w:tcPr>
          <w:p w14:paraId="2F2AAC96">
            <w:pPr>
              <w:jc w:val="center"/>
              <w:rPr>
                <w:rFonts w:hint="eastAsia" w:ascii="宋体" w:hAnsi="宋体" w:eastAsia="宋体" w:cs="宋体"/>
                <w:color w:val="auto"/>
                <w:w w:val="90"/>
                <w:kern w:val="2"/>
                <w:sz w:val="21"/>
                <w:szCs w:val="21"/>
                <w:lang w:val="en-US" w:eastAsia="zh-CN" w:bidi="ar-SA"/>
              </w:rPr>
            </w:pPr>
            <w:r>
              <w:rPr>
                <w:rFonts w:hint="eastAsia" w:ascii="宋体" w:hAnsi="宋体" w:eastAsia="宋体" w:cs="宋体"/>
                <w:color w:val="auto"/>
                <w:w w:val="90"/>
                <w:szCs w:val="21"/>
              </w:rPr>
              <w:t>91.6</w:t>
            </w:r>
          </w:p>
        </w:tc>
        <w:tc>
          <w:tcPr>
            <w:tcW w:w="618" w:type="pct"/>
            <w:shd w:val="clear" w:color="auto" w:fill="auto"/>
            <w:vAlign w:val="center"/>
          </w:tcPr>
          <w:p w14:paraId="132BB788">
            <w:pPr>
              <w:jc w:val="center"/>
              <w:rPr>
                <w:rFonts w:hint="eastAsia" w:ascii="宋体" w:hAnsi="宋体" w:eastAsia="宋体" w:cs="宋体"/>
                <w:color w:val="auto"/>
                <w:w w:val="90"/>
                <w:kern w:val="2"/>
                <w:sz w:val="21"/>
                <w:szCs w:val="21"/>
                <w:lang w:val="en-US" w:eastAsia="zh-CN" w:bidi="ar-SA"/>
              </w:rPr>
            </w:pPr>
            <w:r>
              <w:rPr>
                <w:rFonts w:hint="eastAsia" w:ascii="宋体" w:hAnsi="宋体" w:eastAsia="宋体" w:cs="宋体"/>
                <w:color w:val="auto"/>
                <w:w w:val="90"/>
                <w:szCs w:val="21"/>
              </w:rPr>
              <w:t>/</w:t>
            </w:r>
          </w:p>
        </w:tc>
        <w:tc>
          <w:tcPr>
            <w:tcW w:w="652" w:type="pct"/>
            <w:shd w:val="clear" w:color="auto" w:fill="auto"/>
            <w:vAlign w:val="center"/>
          </w:tcPr>
          <w:p w14:paraId="0F2CA95C">
            <w:pPr>
              <w:jc w:val="center"/>
              <w:rPr>
                <w:rFonts w:hint="eastAsia" w:ascii="宋体" w:hAnsi="宋体" w:eastAsia="宋体" w:cs="宋体"/>
                <w:color w:val="auto"/>
                <w:w w:val="90"/>
                <w:kern w:val="2"/>
                <w:sz w:val="21"/>
                <w:szCs w:val="21"/>
                <w:lang w:val="en-US" w:eastAsia="zh-CN" w:bidi="ar-SA"/>
              </w:rPr>
            </w:pPr>
            <w:r>
              <w:rPr>
                <w:rFonts w:hint="eastAsia" w:ascii="宋体" w:hAnsi="宋体" w:eastAsia="宋体" w:cs="宋体"/>
                <w:color w:val="auto"/>
                <w:w w:val="90"/>
                <w:szCs w:val="21"/>
              </w:rPr>
              <w:t>83.8</w:t>
            </w:r>
          </w:p>
        </w:tc>
        <w:tc>
          <w:tcPr>
            <w:tcW w:w="515" w:type="pct"/>
            <w:shd w:val="clear" w:color="auto" w:fill="auto"/>
            <w:vAlign w:val="center"/>
          </w:tcPr>
          <w:p w14:paraId="3042DB19">
            <w:pPr>
              <w:jc w:val="center"/>
              <w:rPr>
                <w:rFonts w:hint="eastAsia" w:ascii="宋体" w:hAnsi="宋体" w:eastAsia="宋体" w:cs="宋体"/>
                <w:color w:val="auto"/>
                <w:w w:val="90"/>
                <w:szCs w:val="21"/>
              </w:rPr>
            </w:pPr>
            <w:r>
              <w:rPr>
                <w:rFonts w:hint="eastAsia" w:ascii="宋体" w:hAnsi="宋体" w:eastAsia="宋体" w:cs="宋体"/>
                <w:color w:val="auto"/>
                <w:w w:val="90"/>
                <w:szCs w:val="21"/>
              </w:rPr>
              <w:t>/</w:t>
            </w:r>
          </w:p>
        </w:tc>
        <w:tc>
          <w:tcPr>
            <w:tcW w:w="487" w:type="pct"/>
            <w:vAlign w:val="center"/>
          </w:tcPr>
          <w:p w14:paraId="0FDC2141">
            <w:pPr>
              <w:jc w:val="center"/>
              <w:rPr>
                <w:rFonts w:hint="eastAsia" w:ascii="宋体" w:hAnsi="宋体" w:eastAsia="宋体" w:cs="宋体"/>
                <w:color w:val="auto"/>
                <w:w w:val="90"/>
                <w:szCs w:val="21"/>
              </w:rPr>
            </w:pPr>
            <w:r>
              <w:rPr>
                <w:rFonts w:hint="eastAsia" w:ascii="宋体" w:hAnsi="宋体" w:eastAsia="宋体" w:cs="宋体"/>
                <w:color w:val="auto"/>
                <w:w w:val="90"/>
                <w:szCs w:val="21"/>
              </w:rPr>
              <w:t>/</w:t>
            </w:r>
          </w:p>
        </w:tc>
      </w:tr>
      <w:tr w14:paraId="5D1BE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 w:type="pct"/>
            <w:vAlign w:val="center"/>
          </w:tcPr>
          <w:p w14:paraId="61C250E6">
            <w:pPr>
              <w:jc w:val="center"/>
              <w:rPr>
                <w:rFonts w:hint="eastAsia" w:ascii="宋体" w:hAnsi="宋体" w:eastAsia="宋体" w:cs="宋体"/>
                <w:color w:val="auto"/>
                <w:szCs w:val="21"/>
              </w:rPr>
            </w:pPr>
            <w:r>
              <w:rPr>
                <w:rFonts w:hint="eastAsia" w:ascii="宋体" w:hAnsi="宋体" w:eastAsia="宋体" w:cs="宋体"/>
                <w:color w:val="auto"/>
                <w:szCs w:val="21"/>
              </w:rPr>
              <w:t>Cl</w:t>
            </w:r>
            <w:r>
              <w:rPr>
                <w:rFonts w:hint="eastAsia" w:ascii="宋体" w:hAnsi="宋体" w:eastAsia="宋体" w:cs="宋体"/>
                <w:color w:val="auto"/>
                <w:szCs w:val="21"/>
                <w:vertAlign w:val="superscript"/>
              </w:rPr>
              <w:t>-</w:t>
            </w:r>
          </w:p>
        </w:tc>
        <w:tc>
          <w:tcPr>
            <w:tcW w:w="596" w:type="pct"/>
            <w:shd w:val="clear" w:color="auto" w:fill="auto"/>
            <w:vAlign w:val="center"/>
          </w:tcPr>
          <w:p w14:paraId="76A68129">
            <w:pPr>
              <w:jc w:val="center"/>
              <w:rPr>
                <w:rFonts w:hint="eastAsia" w:ascii="宋体" w:hAnsi="宋体" w:eastAsia="宋体" w:cs="宋体"/>
                <w:color w:val="auto"/>
                <w:w w:val="90"/>
                <w:kern w:val="2"/>
                <w:sz w:val="21"/>
                <w:szCs w:val="21"/>
                <w:lang w:val="en-US" w:eastAsia="zh-CN" w:bidi="ar-SA"/>
              </w:rPr>
            </w:pPr>
            <w:r>
              <w:rPr>
                <w:rFonts w:hint="eastAsia" w:ascii="宋体" w:hAnsi="宋体" w:eastAsia="宋体" w:cs="宋体"/>
                <w:color w:val="auto"/>
                <w:w w:val="90"/>
                <w:szCs w:val="21"/>
              </w:rPr>
              <w:t>9.56</w:t>
            </w:r>
          </w:p>
        </w:tc>
        <w:tc>
          <w:tcPr>
            <w:tcW w:w="608" w:type="pct"/>
            <w:shd w:val="clear" w:color="auto" w:fill="auto"/>
            <w:vAlign w:val="center"/>
          </w:tcPr>
          <w:p w14:paraId="6CB5FA87">
            <w:pPr>
              <w:jc w:val="center"/>
              <w:rPr>
                <w:rFonts w:hint="eastAsia" w:ascii="宋体" w:hAnsi="宋体" w:eastAsia="宋体" w:cs="宋体"/>
                <w:color w:val="auto"/>
                <w:w w:val="90"/>
                <w:kern w:val="2"/>
                <w:sz w:val="21"/>
                <w:szCs w:val="21"/>
                <w:lang w:val="en-US" w:eastAsia="zh-CN" w:bidi="ar-SA"/>
              </w:rPr>
            </w:pPr>
            <w:r>
              <w:rPr>
                <w:rFonts w:hint="eastAsia" w:ascii="宋体" w:hAnsi="宋体" w:eastAsia="宋体" w:cs="宋体"/>
                <w:color w:val="auto"/>
                <w:w w:val="90"/>
                <w:szCs w:val="21"/>
              </w:rPr>
              <w:t>/</w:t>
            </w:r>
          </w:p>
        </w:tc>
        <w:tc>
          <w:tcPr>
            <w:tcW w:w="560" w:type="pct"/>
            <w:shd w:val="clear" w:color="auto" w:fill="auto"/>
            <w:vAlign w:val="center"/>
          </w:tcPr>
          <w:p w14:paraId="1C58F7F8">
            <w:pPr>
              <w:jc w:val="center"/>
              <w:rPr>
                <w:rFonts w:hint="eastAsia" w:ascii="宋体" w:hAnsi="宋体" w:eastAsia="宋体" w:cs="宋体"/>
                <w:color w:val="auto"/>
                <w:w w:val="90"/>
                <w:kern w:val="2"/>
                <w:sz w:val="21"/>
                <w:szCs w:val="21"/>
                <w:lang w:val="en-US" w:eastAsia="zh-CN" w:bidi="ar-SA"/>
              </w:rPr>
            </w:pPr>
            <w:r>
              <w:rPr>
                <w:rFonts w:hint="eastAsia" w:ascii="宋体" w:hAnsi="宋体" w:eastAsia="宋体" w:cs="宋体"/>
                <w:color w:val="auto"/>
                <w:w w:val="90"/>
                <w:szCs w:val="21"/>
              </w:rPr>
              <w:t>14.6</w:t>
            </w:r>
          </w:p>
        </w:tc>
        <w:tc>
          <w:tcPr>
            <w:tcW w:w="618" w:type="pct"/>
            <w:shd w:val="clear" w:color="auto" w:fill="auto"/>
            <w:vAlign w:val="center"/>
          </w:tcPr>
          <w:p w14:paraId="1C2DA05D">
            <w:pPr>
              <w:jc w:val="center"/>
              <w:rPr>
                <w:rFonts w:hint="eastAsia" w:ascii="宋体" w:hAnsi="宋体" w:eastAsia="宋体" w:cs="宋体"/>
                <w:color w:val="auto"/>
                <w:w w:val="90"/>
                <w:kern w:val="2"/>
                <w:sz w:val="21"/>
                <w:szCs w:val="21"/>
                <w:lang w:val="en-US" w:eastAsia="zh-CN" w:bidi="ar-SA"/>
              </w:rPr>
            </w:pPr>
            <w:r>
              <w:rPr>
                <w:rFonts w:hint="eastAsia" w:ascii="宋体" w:hAnsi="宋体" w:eastAsia="宋体" w:cs="宋体"/>
                <w:color w:val="auto"/>
                <w:w w:val="90"/>
                <w:szCs w:val="21"/>
              </w:rPr>
              <w:t>/</w:t>
            </w:r>
          </w:p>
        </w:tc>
        <w:tc>
          <w:tcPr>
            <w:tcW w:w="652" w:type="pct"/>
            <w:shd w:val="clear" w:color="auto" w:fill="auto"/>
            <w:vAlign w:val="center"/>
          </w:tcPr>
          <w:p w14:paraId="1D6DDD43">
            <w:pPr>
              <w:jc w:val="center"/>
              <w:rPr>
                <w:rFonts w:hint="eastAsia" w:ascii="宋体" w:hAnsi="宋体" w:eastAsia="宋体" w:cs="宋体"/>
                <w:color w:val="auto"/>
                <w:w w:val="90"/>
                <w:kern w:val="2"/>
                <w:sz w:val="21"/>
                <w:szCs w:val="21"/>
                <w:lang w:val="en-US" w:eastAsia="zh-CN" w:bidi="ar-SA"/>
              </w:rPr>
            </w:pPr>
            <w:r>
              <w:rPr>
                <w:rFonts w:hint="eastAsia" w:ascii="宋体" w:hAnsi="宋体" w:eastAsia="宋体" w:cs="宋体"/>
                <w:color w:val="auto"/>
                <w:w w:val="90"/>
                <w:szCs w:val="21"/>
              </w:rPr>
              <w:t>14.6</w:t>
            </w:r>
          </w:p>
        </w:tc>
        <w:tc>
          <w:tcPr>
            <w:tcW w:w="515" w:type="pct"/>
            <w:shd w:val="clear" w:color="auto" w:fill="auto"/>
            <w:vAlign w:val="center"/>
          </w:tcPr>
          <w:p w14:paraId="413E936C">
            <w:pPr>
              <w:jc w:val="center"/>
              <w:rPr>
                <w:rFonts w:hint="eastAsia" w:ascii="宋体" w:hAnsi="宋体" w:eastAsia="宋体" w:cs="宋体"/>
                <w:color w:val="auto"/>
                <w:w w:val="90"/>
                <w:szCs w:val="21"/>
              </w:rPr>
            </w:pPr>
            <w:r>
              <w:rPr>
                <w:rFonts w:hint="eastAsia" w:ascii="宋体" w:hAnsi="宋体" w:eastAsia="宋体" w:cs="宋体"/>
                <w:color w:val="auto"/>
                <w:w w:val="90"/>
                <w:szCs w:val="21"/>
              </w:rPr>
              <w:t>/</w:t>
            </w:r>
          </w:p>
        </w:tc>
        <w:tc>
          <w:tcPr>
            <w:tcW w:w="487" w:type="pct"/>
            <w:vAlign w:val="center"/>
          </w:tcPr>
          <w:p w14:paraId="18AA6CC7">
            <w:pPr>
              <w:jc w:val="center"/>
              <w:rPr>
                <w:rFonts w:hint="eastAsia" w:ascii="宋体" w:hAnsi="宋体" w:eastAsia="宋体" w:cs="宋体"/>
                <w:color w:val="auto"/>
                <w:w w:val="90"/>
                <w:szCs w:val="21"/>
              </w:rPr>
            </w:pPr>
            <w:r>
              <w:rPr>
                <w:rFonts w:hint="eastAsia" w:ascii="宋体" w:hAnsi="宋体" w:eastAsia="宋体" w:cs="宋体"/>
                <w:color w:val="auto"/>
                <w:w w:val="90"/>
                <w:szCs w:val="21"/>
              </w:rPr>
              <w:t>/</w:t>
            </w:r>
          </w:p>
        </w:tc>
      </w:tr>
      <w:tr w14:paraId="2D5A7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 w:type="pct"/>
            <w:vAlign w:val="center"/>
          </w:tcPr>
          <w:p w14:paraId="11775F9B">
            <w:pPr>
              <w:jc w:val="center"/>
              <w:rPr>
                <w:rFonts w:hint="eastAsia" w:ascii="宋体" w:hAnsi="宋体" w:eastAsia="宋体" w:cs="宋体"/>
                <w:color w:val="auto"/>
                <w:szCs w:val="21"/>
              </w:rPr>
            </w:pPr>
            <w:r>
              <w:rPr>
                <w:rFonts w:hint="eastAsia" w:ascii="宋体" w:hAnsi="宋体" w:eastAsia="宋体" w:cs="宋体"/>
                <w:color w:val="auto"/>
                <w:szCs w:val="21"/>
              </w:rPr>
              <w:t>SO</w:t>
            </w:r>
            <w:r>
              <w:rPr>
                <w:rFonts w:hint="eastAsia" w:ascii="宋体" w:hAnsi="宋体" w:eastAsia="宋体" w:cs="宋体"/>
                <w:color w:val="auto"/>
                <w:szCs w:val="21"/>
                <w:vertAlign w:val="subscript"/>
              </w:rPr>
              <w:t>4</w:t>
            </w:r>
            <w:r>
              <w:rPr>
                <w:rFonts w:hint="eastAsia" w:ascii="宋体" w:hAnsi="宋体" w:eastAsia="宋体" w:cs="宋体"/>
                <w:color w:val="auto"/>
                <w:szCs w:val="21"/>
                <w:vertAlign w:val="superscript"/>
              </w:rPr>
              <w:t>2-</w:t>
            </w:r>
          </w:p>
        </w:tc>
        <w:tc>
          <w:tcPr>
            <w:tcW w:w="596" w:type="pct"/>
            <w:shd w:val="clear" w:color="auto" w:fill="auto"/>
            <w:vAlign w:val="center"/>
          </w:tcPr>
          <w:p w14:paraId="58493F6A">
            <w:pPr>
              <w:jc w:val="center"/>
              <w:rPr>
                <w:rFonts w:hint="eastAsia" w:ascii="宋体" w:hAnsi="宋体" w:eastAsia="宋体" w:cs="宋体"/>
                <w:color w:val="auto"/>
                <w:w w:val="90"/>
                <w:kern w:val="2"/>
                <w:sz w:val="21"/>
                <w:szCs w:val="21"/>
                <w:lang w:val="en-US" w:eastAsia="zh-CN" w:bidi="ar-SA"/>
              </w:rPr>
            </w:pPr>
            <w:r>
              <w:rPr>
                <w:rFonts w:hint="eastAsia" w:ascii="宋体" w:hAnsi="宋体" w:eastAsia="宋体" w:cs="宋体"/>
                <w:color w:val="auto"/>
                <w:w w:val="90"/>
                <w:szCs w:val="21"/>
              </w:rPr>
              <w:t>31.7</w:t>
            </w:r>
          </w:p>
        </w:tc>
        <w:tc>
          <w:tcPr>
            <w:tcW w:w="608" w:type="pct"/>
            <w:shd w:val="clear" w:color="auto" w:fill="auto"/>
            <w:vAlign w:val="center"/>
          </w:tcPr>
          <w:p w14:paraId="06CC6EFA">
            <w:pPr>
              <w:jc w:val="center"/>
              <w:rPr>
                <w:rFonts w:hint="eastAsia" w:ascii="宋体" w:hAnsi="宋体" w:eastAsia="宋体" w:cs="宋体"/>
                <w:color w:val="auto"/>
                <w:w w:val="90"/>
                <w:kern w:val="2"/>
                <w:sz w:val="21"/>
                <w:szCs w:val="21"/>
                <w:lang w:val="en-US" w:eastAsia="zh-CN" w:bidi="ar-SA"/>
              </w:rPr>
            </w:pPr>
            <w:r>
              <w:rPr>
                <w:rFonts w:hint="eastAsia" w:ascii="宋体" w:hAnsi="宋体" w:eastAsia="宋体" w:cs="宋体"/>
                <w:color w:val="auto"/>
                <w:w w:val="90"/>
                <w:szCs w:val="21"/>
              </w:rPr>
              <w:t>/</w:t>
            </w:r>
          </w:p>
        </w:tc>
        <w:tc>
          <w:tcPr>
            <w:tcW w:w="560" w:type="pct"/>
            <w:shd w:val="clear" w:color="auto" w:fill="auto"/>
            <w:vAlign w:val="center"/>
          </w:tcPr>
          <w:p w14:paraId="6BCA2AB5">
            <w:pPr>
              <w:jc w:val="center"/>
              <w:rPr>
                <w:rFonts w:hint="eastAsia" w:ascii="宋体" w:hAnsi="宋体" w:eastAsia="宋体" w:cs="宋体"/>
                <w:color w:val="auto"/>
                <w:w w:val="90"/>
                <w:kern w:val="2"/>
                <w:sz w:val="21"/>
                <w:szCs w:val="21"/>
                <w:lang w:val="en-US" w:eastAsia="zh-CN" w:bidi="ar-SA"/>
              </w:rPr>
            </w:pPr>
            <w:r>
              <w:rPr>
                <w:rFonts w:hint="eastAsia" w:ascii="宋体" w:hAnsi="宋体" w:eastAsia="宋体" w:cs="宋体"/>
                <w:color w:val="auto"/>
                <w:w w:val="90"/>
                <w:szCs w:val="21"/>
              </w:rPr>
              <w:t>10.9</w:t>
            </w:r>
          </w:p>
        </w:tc>
        <w:tc>
          <w:tcPr>
            <w:tcW w:w="618" w:type="pct"/>
            <w:shd w:val="clear" w:color="auto" w:fill="auto"/>
            <w:vAlign w:val="center"/>
          </w:tcPr>
          <w:p w14:paraId="45D5634E">
            <w:pPr>
              <w:jc w:val="center"/>
              <w:rPr>
                <w:rFonts w:hint="eastAsia" w:ascii="宋体" w:hAnsi="宋体" w:eastAsia="宋体" w:cs="宋体"/>
                <w:color w:val="auto"/>
                <w:w w:val="90"/>
                <w:kern w:val="2"/>
                <w:sz w:val="21"/>
                <w:szCs w:val="21"/>
                <w:lang w:val="en-US" w:eastAsia="zh-CN" w:bidi="ar-SA"/>
              </w:rPr>
            </w:pPr>
            <w:r>
              <w:rPr>
                <w:rFonts w:hint="eastAsia" w:ascii="宋体" w:hAnsi="宋体" w:eastAsia="宋体" w:cs="宋体"/>
                <w:color w:val="auto"/>
                <w:w w:val="90"/>
                <w:szCs w:val="21"/>
              </w:rPr>
              <w:t>/</w:t>
            </w:r>
          </w:p>
        </w:tc>
        <w:tc>
          <w:tcPr>
            <w:tcW w:w="652" w:type="pct"/>
            <w:shd w:val="clear" w:color="auto" w:fill="auto"/>
            <w:vAlign w:val="center"/>
          </w:tcPr>
          <w:p w14:paraId="264F836D">
            <w:pPr>
              <w:jc w:val="center"/>
              <w:rPr>
                <w:rFonts w:hint="eastAsia" w:ascii="宋体" w:hAnsi="宋体" w:eastAsia="宋体" w:cs="宋体"/>
                <w:color w:val="auto"/>
                <w:w w:val="90"/>
                <w:kern w:val="2"/>
                <w:sz w:val="21"/>
                <w:szCs w:val="21"/>
                <w:lang w:val="en-US" w:eastAsia="zh-CN" w:bidi="ar-SA"/>
              </w:rPr>
            </w:pPr>
            <w:r>
              <w:rPr>
                <w:rFonts w:hint="eastAsia" w:ascii="宋体" w:hAnsi="宋体" w:eastAsia="宋体" w:cs="宋体"/>
                <w:color w:val="auto"/>
                <w:w w:val="90"/>
                <w:szCs w:val="21"/>
              </w:rPr>
              <w:t>10.9</w:t>
            </w:r>
          </w:p>
        </w:tc>
        <w:tc>
          <w:tcPr>
            <w:tcW w:w="515" w:type="pct"/>
            <w:shd w:val="clear" w:color="auto" w:fill="auto"/>
            <w:vAlign w:val="center"/>
          </w:tcPr>
          <w:p w14:paraId="1EA8ECDE">
            <w:pPr>
              <w:jc w:val="center"/>
              <w:rPr>
                <w:rFonts w:hint="eastAsia" w:ascii="宋体" w:hAnsi="宋体" w:eastAsia="宋体" w:cs="宋体"/>
                <w:color w:val="auto"/>
                <w:w w:val="90"/>
                <w:szCs w:val="21"/>
              </w:rPr>
            </w:pPr>
            <w:r>
              <w:rPr>
                <w:rFonts w:hint="eastAsia" w:ascii="宋体" w:hAnsi="宋体" w:eastAsia="宋体" w:cs="宋体"/>
                <w:color w:val="auto"/>
                <w:w w:val="90"/>
                <w:szCs w:val="21"/>
              </w:rPr>
              <w:t>/</w:t>
            </w:r>
          </w:p>
        </w:tc>
        <w:tc>
          <w:tcPr>
            <w:tcW w:w="487" w:type="pct"/>
            <w:vAlign w:val="center"/>
          </w:tcPr>
          <w:p w14:paraId="5193C788">
            <w:pPr>
              <w:jc w:val="center"/>
              <w:rPr>
                <w:rFonts w:hint="eastAsia" w:ascii="宋体" w:hAnsi="宋体" w:eastAsia="宋体" w:cs="宋体"/>
                <w:color w:val="auto"/>
                <w:w w:val="90"/>
                <w:szCs w:val="21"/>
              </w:rPr>
            </w:pPr>
            <w:r>
              <w:rPr>
                <w:rFonts w:hint="eastAsia" w:ascii="宋体" w:hAnsi="宋体" w:eastAsia="宋体" w:cs="宋体"/>
                <w:color w:val="auto"/>
                <w:w w:val="90"/>
                <w:szCs w:val="21"/>
              </w:rPr>
              <w:t>/</w:t>
            </w:r>
          </w:p>
        </w:tc>
      </w:tr>
      <w:tr w14:paraId="6F193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 w:type="pct"/>
            <w:vAlign w:val="center"/>
          </w:tcPr>
          <w:p w14:paraId="03E5BBAF">
            <w:pPr>
              <w:jc w:val="center"/>
              <w:rPr>
                <w:rFonts w:hint="eastAsia" w:ascii="宋体" w:hAnsi="宋体" w:eastAsia="宋体" w:cs="宋体"/>
                <w:color w:val="auto"/>
                <w:szCs w:val="21"/>
              </w:rPr>
            </w:pPr>
            <w:r>
              <w:rPr>
                <w:rFonts w:hint="eastAsia" w:ascii="宋体" w:hAnsi="宋体" w:eastAsia="宋体" w:cs="宋体"/>
                <w:color w:val="auto"/>
                <w:szCs w:val="21"/>
              </w:rPr>
              <w:t>耗氧量</w:t>
            </w:r>
          </w:p>
        </w:tc>
        <w:tc>
          <w:tcPr>
            <w:tcW w:w="596" w:type="pct"/>
            <w:shd w:val="clear" w:color="auto" w:fill="auto"/>
            <w:vAlign w:val="center"/>
          </w:tcPr>
          <w:p w14:paraId="1F5DE4BE">
            <w:pPr>
              <w:jc w:val="center"/>
              <w:rPr>
                <w:rFonts w:hint="eastAsia" w:ascii="宋体" w:hAnsi="宋体" w:eastAsia="宋体" w:cs="宋体"/>
                <w:color w:val="auto"/>
                <w:w w:val="90"/>
                <w:kern w:val="2"/>
                <w:sz w:val="21"/>
                <w:szCs w:val="21"/>
                <w:lang w:val="en-US" w:eastAsia="zh-CN" w:bidi="ar-SA"/>
              </w:rPr>
            </w:pPr>
            <w:r>
              <w:rPr>
                <w:rFonts w:hint="eastAsia" w:ascii="宋体" w:hAnsi="宋体" w:eastAsia="宋体" w:cs="宋体"/>
                <w:color w:val="auto"/>
                <w:w w:val="90"/>
                <w:szCs w:val="21"/>
              </w:rPr>
              <w:t>1.85</w:t>
            </w:r>
          </w:p>
        </w:tc>
        <w:tc>
          <w:tcPr>
            <w:tcW w:w="608" w:type="pct"/>
            <w:shd w:val="clear" w:color="auto" w:fill="auto"/>
            <w:vAlign w:val="center"/>
          </w:tcPr>
          <w:p w14:paraId="701D2164">
            <w:pPr>
              <w:jc w:val="center"/>
              <w:rPr>
                <w:rFonts w:hint="eastAsia" w:ascii="宋体" w:hAnsi="宋体" w:eastAsia="宋体" w:cs="宋体"/>
                <w:color w:val="auto"/>
                <w:w w:val="90"/>
                <w:kern w:val="2"/>
                <w:sz w:val="21"/>
                <w:szCs w:val="21"/>
                <w:lang w:val="en-US" w:eastAsia="zh-CN" w:bidi="ar-SA"/>
              </w:rPr>
            </w:pPr>
            <w:r>
              <w:rPr>
                <w:rFonts w:hint="eastAsia" w:ascii="宋体" w:hAnsi="宋体" w:eastAsia="宋体" w:cs="宋体"/>
                <w:color w:val="auto"/>
                <w:w w:val="90"/>
                <w:szCs w:val="21"/>
              </w:rPr>
              <w:t>达标</w:t>
            </w:r>
          </w:p>
        </w:tc>
        <w:tc>
          <w:tcPr>
            <w:tcW w:w="560" w:type="pct"/>
            <w:shd w:val="clear" w:color="auto" w:fill="auto"/>
            <w:vAlign w:val="center"/>
          </w:tcPr>
          <w:p w14:paraId="2896E766">
            <w:pPr>
              <w:jc w:val="center"/>
              <w:rPr>
                <w:rFonts w:hint="eastAsia" w:ascii="宋体" w:hAnsi="宋体" w:eastAsia="宋体" w:cs="宋体"/>
                <w:color w:val="auto"/>
                <w:w w:val="90"/>
                <w:kern w:val="2"/>
                <w:sz w:val="21"/>
                <w:szCs w:val="21"/>
                <w:lang w:val="en-US" w:eastAsia="zh-CN" w:bidi="ar-SA"/>
              </w:rPr>
            </w:pPr>
            <w:r>
              <w:rPr>
                <w:rFonts w:hint="eastAsia" w:ascii="宋体" w:hAnsi="宋体" w:eastAsia="宋体" w:cs="宋体"/>
                <w:color w:val="auto"/>
                <w:w w:val="90"/>
                <w:szCs w:val="21"/>
              </w:rPr>
              <w:t>/</w:t>
            </w:r>
          </w:p>
        </w:tc>
        <w:tc>
          <w:tcPr>
            <w:tcW w:w="618" w:type="pct"/>
            <w:shd w:val="clear" w:color="auto" w:fill="auto"/>
            <w:vAlign w:val="center"/>
          </w:tcPr>
          <w:p w14:paraId="40380773">
            <w:pPr>
              <w:jc w:val="center"/>
              <w:rPr>
                <w:rFonts w:hint="eastAsia" w:ascii="宋体" w:hAnsi="宋体" w:eastAsia="宋体" w:cs="宋体"/>
                <w:color w:val="auto"/>
                <w:w w:val="90"/>
                <w:kern w:val="2"/>
                <w:sz w:val="21"/>
                <w:szCs w:val="21"/>
                <w:lang w:val="en-US" w:eastAsia="zh-CN" w:bidi="ar-SA"/>
              </w:rPr>
            </w:pPr>
            <w:r>
              <w:rPr>
                <w:rFonts w:hint="eastAsia" w:ascii="宋体" w:hAnsi="宋体" w:eastAsia="宋体" w:cs="宋体"/>
                <w:color w:val="auto"/>
                <w:w w:val="90"/>
                <w:szCs w:val="21"/>
              </w:rPr>
              <w:t>/</w:t>
            </w:r>
          </w:p>
        </w:tc>
        <w:tc>
          <w:tcPr>
            <w:tcW w:w="652" w:type="pct"/>
            <w:shd w:val="clear" w:color="auto" w:fill="auto"/>
            <w:vAlign w:val="center"/>
          </w:tcPr>
          <w:p w14:paraId="4082A6FC">
            <w:pPr>
              <w:jc w:val="center"/>
              <w:rPr>
                <w:rFonts w:hint="eastAsia" w:ascii="宋体" w:hAnsi="宋体" w:eastAsia="宋体" w:cs="宋体"/>
                <w:color w:val="auto"/>
                <w:w w:val="90"/>
                <w:kern w:val="2"/>
                <w:sz w:val="21"/>
                <w:szCs w:val="21"/>
                <w:lang w:val="en-US" w:eastAsia="zh-CN" w:bidi="ar-SA"/>
              </w:rPr>
            </w:pPr>
            <w:r>
              <w:rPr>
                <w:rFonts w:hint="eastAsia" w:ascii="宋体" w:hAnsi="宋体" w:eastAsia="宋体" w:cs="宋体"/>
                <w:color w:val="auto"/>
                <w:w w:val="90"/>
                <w:szCs w:val="21"/>
              </w:rPr>
              <w:t>/</w:t>
            </w:r>
          </w:p>
        </w:tc>
        <w:tc>
          <w:tcPr>
            <w:tcW w:w="515" w:type="pct"/>
            <w:shd w:val="clear" w:color="auto" w:fill="auto"/>
            <w:vAlign w:val="center"/>
          </w:tcPr>
          <w:p w14:paraId="0DFA85C6">
            <w:pPr>
              <w:jc w:val="center"/>
              <w:rPr>
                <w:rFonts w:hint="eastAsia" w:ascii="宋体" w:hAnsi="宋体" w:eastAsia="宋体" w:cs="宋体"/>
                <w:color w:val="auto"/>
                <w:w w:val="90"/>
                <w:szCs w:val="21"/>
              </w:rPr>
            </w:pPr>
            <w:r>
              <w:rPr>
                <w:rFonts w:hint="eastAsia" w:ascii="宋体" w:hAnsi="宋体" w:eastAsia="宋体" w:cs="宋体"/>
                <w:color w:val="auto"/>
                <w:w w:val="90"/>
                <w:szCs w:val="21"/>
              </w:rPr>
              <w:t>/</w:t>
            </w:r>
          </w:p>
        </w:tc>
        <w:tc>
          <w:tcPr>
            <w:tcW w:w="487" w:type="pct"/>
            <w:vAlign w:val="center"/>
          </w:tcPr>
          <w:p w14:paraId="5EEAC1CA">
            <w:pPr>
              <w:jc w:val="center"/>
              <w:rPr>
                <w:rFonts w:hint="eastAsia" w:ascii="宋体" w:hAnsi="宋体" w:eastAsia="宋体" w:cs="宋体"/>
                <w:color w:val="auto"/>
                <w:w w:val="90"/>
                <w:szCs w:val="21"/>
              </w:rPr>
            </w:pPr>
            <w:r>
              <w:rPr>
                <w:rFonts w:hint="eastAsia" w:ascii="宋体" w:hAnsi="宋体" w:eastAsia="宋体" w:cs="宋体"/>
                <w:color w:val="auto"/>
                <w:w w:val="90"/>
                <w:szCs w:val="21"/>
              </w:rPr>
              <w:t>3</w:t>
            </w:r>
          </w:p>
        </w:tc>
      </w:tr>
      <w:tr w14:paraId="49C0F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 w:type="pct"/>
            <w:vAlign w:val="center"/>
          </w:tcPr>
          <w:p w14:paraId="35BDCD2A">
            <w:pPr>
              <w:jc w:val="center"/>
              <w:rPr>
                <w:rFonts w:hint="eastAsia" w:ascii="宋体" w:hAnsi="宋体" w:eastAsia="宋体" w:cs="宋体"/>
                <w:color w:val="auto"/>
                <w:szCs w:val="21"/>
              </w:rPr>
            </w:pPr>
            <w:r>
              <w:rPr>
                <w:rFonts w:hint="eastAsia" w:ascii="宋体" w:hAnsi="宋体" w:eastAsia="宋体" w:cs="宋体"/>
                <w:color w:val="auto"/>
                <w:szCs w:val="21"/>
              </w:rPr>
              <w:t>硫化物</w:t>
            </w:r>
          </w:p>
        </w:tc>
        <w:tc>
          <w:tcPr>
            <w:tcW w:w="596" w:type="pct"/>
            <w:shd w:val="clear" w:color="auto" w:fill="auto"/>
            <w:vAlign w:val="center"/>
          </w:tcPr>
          <w:p w14:paraId="4D749CBF">
            <w:pPr>
              <w:jc w:val="center"/>
              <w:rPr>
                <w:rFonts w:hint="eastAsia" w:ascii="宋体" w:hAnsi="宋体" w:eastAsia="宋体" w:cs="宋体"/>
                <w:color w:val="auto"/>
                <w:w w:val="90"/>
                <w:kern w:val="2"/>
                <w:sz w:val="21"/>
                <w:szCs w:val="21"/>
                <w:lang w:val="en-US" w:eastAsia="zh-CN" w:bidi="ar-SA"/>
              </w:rPr>
            </w:pPr>
            <w:r>
              <w:rPr>
                <w:rFonts w:hint="eastAsia" w:ascii="宋体" w:hAnsi="宋体" w:eastAsia="宋体" w:cs="宋体"/>
                <w:color w:val="auto"/>
                <w:w w:val="90"/>
                <w:szCs w:val="21"/>
              </w:rPr>
              <w:t>ND</w:t>
            </w:r>
          </w:p>
        </w:tc>
        <w:tc>
          <w:tcPr>
            <w:tcW w:w="608" w:type="pct"/>
            <w:shd w:val="clear" w:color="auto" w:fill="auto"/>
            <w:vAlign w:val="center"/>
          </w:tcPr>
          <w:p w14:paraId="0DAE3916">
            <w:pPr>
              <w:jc w:val="center"/>
              <w:rPr>
                <w:rFonts w:hint="eastAsia" w:ascii="宋体" w:hAnsi="宋体" w:eastAsia="宋体" w:cs="宋体"/>
                <w:color w:val="auto"/>
                <w:w w:val="90"/>
                <w:kern w:val="2"/>
                <w:sz w:val="21"/>
                <w:szCs w:val="21"/>
                <w:lang w:val="en-US" w:eastAsia="zh-CN" w:bidi="ar-SA"/>
              </w:rPr>
            </w:pPr>
            <w:r>
              <w:rPr>
                <w:rFonts w:hint="eastAsia" w:ascii="宋体" w:hAnsi="宋体" w:eastAsia="宋体" w:cs="宋体"/>
                <w:color w:val="auto"/>
                <w:w w:val="90"/>
                <w:szCs w:val="21"/>
              </w:rPr>
              <w:t>达标</w:t>
            </w:r>
          </w:p>
        </w:tc>
        <w:tc>
          <w:tcPr>
            <w:tcW w:w="560" w:type="pct"/>
            <w:shd w:val="clear" w:color="auto" w:fill="auto"/>
            <w:vAlign w:val="center"/>
          </w:tcPr>
          <w:p w14:paraId="6FD0B178">
            <w:pPr>
              <w:jc w:val="center"/>
              <w:rPr>
                <w:rFonts w:hint="eastAsia" w:ascii="宋体" w:hAnsi="宋体" w:eastAsia="宋体" w:cs="宋体"/>
                <w:color w:val="auto"/>
                <w:w w:val="90"/>
                <w:kern w:val="2"/>
                <w:sz w:val="21"/>
                <w:szCs w:val="21"/>
                <w:lang w:val="en-US" w:eastAsia="zh-CN" w:bidi="ar-SA"/>
              </w:rPr>
            </w:pPr>
            <w:r>
              <w:rPr>
                <w:rFonts w:hint="eastAsia" w:ascii="宋体" w:hAnsi="宋体" w:eastAsia="宋体" w:cs="宋体"/>
                <w:color w:val="auto"/>
                <w:w w:val="90"/>
                <w:szCs w:val="21"/>
              </w:rPr>
              <w:t>/</w:t>
            </w:r>
          </w:p>
        </w:tc>
        <w:tc>
          <w:tcPr>
            <w:tcW w:w="618" w:type="pct"/>
            <w:shd w:val="clear" w:color="auto" w:fill="auto"/>
            <w:vAlign w:val="center"/>
          </w:tcPr>
          <w:p w14:paraId="34353671">
            <w:pPr>
              <w:jc w:val="center"/>
              <w:rPr>
                <w:rFonts w:hint="eastAsia" w:ascii="宋体" w:hAnsi="宋体" w:eastAsia="宋体" w:cs="宋体"/>
                <w:color w:val="auto"/>
                <w:w w:val="90"/>
                <w:kern w:val="2"/>
                <w:sz w:val="21"/>
                <w:szCs w:val="21"/>
                <w:lang w:val="en-US" w:eastAsia="zh-CN" w:bidi="ar-SA"/>
              </w:rPr>
            </w:pPr>
            <w:r>
              <w:rPr>
                <w:rFonts w:hint="eastAsia" w:ascii="宋体" w:hAnsi="宋体" w:eastAsia="宋体" w:cs="宋体"/>
                <w:color w:val="auto"/>
                <w:w w:val="90"/>
                <w:szCs w:val="21"/>
              </w:rPr>
              <w:t>/</w:t>
            </w:r>
          </w:p>
        </w:tc>
        <w:tc>
          <w:tcPr>
            <w:tcW w:w="652" w:type="pct"/>
            <w:shd w:val="clear" w:color="auto" w:fill="auto"/>
            <w:vAlign w:val="center"/>
          </w:tcPr>
          <w:p w14:paraId="78764B9D">
            <w:pPr>
              <w:jc w:val="center"/>
              <w:rPr>
                <w:rFonts w:hint="eastAsia" w:ascii="宋体" w:hAnsi="宋体" w:eastAsia="宋体" w:cs="宋体"/>
                <w:color w:val="auto"/>
                <w:w w:val="90"/>
                <w:kern w:val="2"/>
                <w:sz w:val="21"/>
                <w:szCs w:val="21"/>
                <w:lang w:val="en-US" w:eastAsia="zh-CN" w:bidi="ar-SA"/>
              </w:rPr>
            </w:pPr>
            <w:r>
              <w:rPr>
                <w:rFonts w:hint="eastAsia" w:ascii="宋体" w:hAnsi="宋体" w:eastAsia="宋体" w:cs="宋体"/>
                <w:color w:val="auto"/>
                <w:w w:val="90"/>
                <w:szCs w:val="21"/>
              </w:rPr>
              <w:t>/</w:t>
            </w:r>
          </w:p>
        </w:tc>
        <w:tc>
          <w:tcPr>
            <w:tcW w:w="515" w:type="pct"/>
            <w:shd w:val="clear" w:color="auto" w:fill="auto"/>
            <w:vAlign w:val="center"/>
          </w:tcPr>
          <w:p w14:paraId="75174B0F">
            <w:pPr>
              <w:jc w:val="center"/>
              <w:rPr>
                <w:rFonts w:hint="eastAsia" w:ascii="宋体" w:hAnsi="宋体" w:eastAsia="宋体" w:cs="宋体"/>
                <w:color w:val="auto"/>
                <w:w w:val="90"/>
                <w:szCs w:val="21"/>
              </w:rPr>
            </w:pPr>
            <w:r>
              <w:rPr>
                <w:rFonts w:hint="eastAsia" w:ascii="宋体" w:hAnsi="宋体" w:eastAsia="宋体" w:cs="宋体"/>
                <w:color w:val="auto"/>
                <w:w w:val="90"/>
                <w:szCs w:val="21"/>
              </w:rPr>
              <w:t>/</w:t>
            </w:r>
          </w:p>
        </w:tc>
        <w:tc>
          <w:tcPr>
            <w:tcW w:w="487" w:type="pct"/>
            <w:vAlign w:val="center"/>
          </w:tcPr>
          <w:p w14:paraId="19A77F07">
            <w:pPr>
              <w:jc w:val="center"/>
              <w:rPr>
                <w:rFonts w:hint="eastAsia" w:ascii="宋体" w:hAnsi="宋体" w:eastAsia="宋体" w:cs="宋体"/>
                <w:color w:val="auto"/>
                <w:w w:val="90"/>
                <w:szCs w:val="21"/>
              </w:rPr>
            </w:pPr>
            <w:r>
              <w:rPr>
                <w:rFonts w:hint="eastAsia" w:ascii="宋体" w:hAnsi="宋体" w:eastAsia="宋体" w:cs="宋体"/>
                <w:color w:val="auto"/>
                <w:w w:val="90"/>
                <w:szCs w:val="21"/>
              </w:rPr>
              <w:t>0.02</w:t>
            </w:r>
          </w:p>
        </w:tc>
      </w:tr>
      <w:tr w14:paraId="12479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 w:type="pct"/>
            <w:vAlign w:val="center"/>
          </w:tcPr>
          <w:p w14:paraId="0BD15A74">
            <w:pPr>
              <w:jc w:val="center"/>
              <w:rPr>
                <w:rFonts w:hint="eastAsia" w:ascii="宋体" w:hAnsi="宋体" w:eastAsia="宋体" w:cs="宋体"/>
                <w:color w:val="auto"/>
                <w:szCs w:val="21"/>
              </w:rPr>
            </w:pPr>
            <w:r>
              <w:rPr>
                <w:rFonts w:hint="eastAsia" w:ascii="宋体" w:hAnsi="宋体" w:eastAsia="宋体" w:cs="宋体"/>
                <w:color w:val="auto"/>
                <w:szCs w:val="21"/>
              </w:rPr>
              <w:t>LAS</w:t>
            </w:r>
          </w:p>
        </w:tc>
        <w:tc>
          <w:tcPr>
            <w:tcW w:w="596" w:type="pct"/>
            <w:shd w:val="clear" w:color="auto" w:fill="auto"/>
            <w:vAlign w:val="center"/>
          </w:tcPr>
          <w:p w14:paraId="7987BDDF">
            <w:pPr>
              <w:jc w:val="center"/>
              <w:rPr>
                <w:rFonts w:hint="eastAsia" w:ascii="宋体" w:hAnsi="宋体" w:eastAsia="宋体" w:cs="宋体"/>
                <w:color w:val="auto"/>
                <w:w w:val="90"/>
                <w:kern w:val="2"/>
                <w:sz w:val="21"/>
                <w:szCs w:val="21"/>
                <w:lang w:val="en-US" w:eastAsia="zh-CN" w:bidi="ar-SA"/>
              </w:rPr>
            </w:pPr>
            <w:r>
              <w:rPr>
                <w:rFonts w:hint="eastAsia" w:ascii="宋体" w:hAnsi="宋体" w:eastAsia="宋体" w:cs="宋体"/>
                <w:color w:val="auto"/>
                <w:w w:val="90"/>
                <w:szCs w:val="21"/>
              </w:rPr>
              <w:t>ND</w:t>
            </w:r>
          </w:p>
        </w:tc>
        <w:tc>
          <w:tcPr>
            <w:tcW w:w="608" w:type="pct"/>
            <w:shd w:val="clear" w:color="auto" w:fill="auto"/>
            <w:vAlign w:val="center"/>
          </w:tcPr>
          <w:p w14:paraId="678C1AE1">
            <w:pPr>
              <w:jc w:val="center"/>
              <w:rPr>
                <w:rFonts w:hint="eastAsia" w:ascii="宋体" w:hAnsi="宋体" w:eastAsia="宋体" w:cs="宋体"/>
                <w:color w:val="auto"/>
                <w:w w:val="90"/>
                <w:kern w:val="2"/>
                <w:sz w:val="21"/>
                <w:szCs w:val="21"/>
                <w:lang w:val="en-US" w:eastAsia="zh-CN" w:bidi="ar-SA"/>
              </w:rPr>
            </w:pPr>
            <w:r>
              <w:rPr>
                <w:rFonts w:hint="eastAsia" w:ascii="宋体" w:hAnsi="宋体" w:eastAsia="宋体" w:cs="宋体"/>
                <w:color w:val="auto"/>
                <w:w w:val="90"/>
                <w:szCs w:val="21"/>
              </w:rPr>
              <w:t>达标</w:t>
            </w:r>
          </w:p>
        </w:tc>
        <w:tc>
          <w:tcPr>
            <w:tcW w:w="560" w:type="pct"/>
            <w:shd w:val="clear" w:color="auto" w:fill="auto"/>
            <w:vAlign w:val="center"/>
          </w:tcPr>
          <w:p w14:paraId="04F02825">
            <w:pPr>
              <w:jc w:val="center"/>
              <w:rPr>
                <w:rFonts w:hint="eastAsia" w:ascii="宋体" w:hAnsi="宋体" w:eastAsia="宋体" w:cs="宋体"/>
                <w:color w:val="auto"/>
                <w:w w:val="90"/>
                <w:kern w:val="2"/>
                <w:sz w:val="21"/>
                <w:szCs w:val="21"/>
                <w:lang w:val="en-US" w:eastAsia="zh-CN" w:bidi="ar-SA"/>
              </w:rPr>
            </w:pPr>
            <w:r>
              <w:rPr>
                <w:rFonts w:hint="eastAsia" w:ascii="宋体" w:hAnsi="宋体" w:eastAsia="宋体" w:cs="宋体"/>
                <w:color w:val="auto"/>
                <w:w w:val="90"/>
                <w:szCs w:val="21"/>
              </w:rPr>
              <w:t>/</w:t>
            </w:r>
          </w:p>
        </w:tc>
        <w:tc>
          <w:tcPr>
            <w:tcW w:w="618" w:type="pct"/>
            <w:shd w:val="clear" w:color="auto" w:fill="auto"/>
            <w:vAlign w:val="center"/>
          </w:tcPr>
          <w:p w14:paraId="0C40D754">
            <w:pPr>
              <w:jc w:val="center"/>
              <w:rPr>
                <w:rFonts w:hint="eastAsia" w:ascii="宋体" w:hAnsi="宋体" w:eastAsia="宋体" w:cs="宋体"/>
                <w:color w:val="auto"/>
                <w:w w:val="90"/>
                <w:kern w:val="2"/>
                <w:sz w:val="21"/>
                <w:szCs w:val="21"/>
                <w:lang w:val="en-US" w:eastAsia="zh-CN" w:bidi="ar-SA"/>
              </w:rPr>
            </w:pPr>
            <w:r>
              <w:rPr>
                <w:rFonts w:hint="eastAsia" w:ascii="宋体" w:hAnsi="宋体" w:eastAsia="宋体" w:cs="宋体"/>
                <w:color w:val="auto"/>
                <w:w w:val="90"/>
                <w:szCs w:val="21"/>
              </w:rPr>
              <w:t>/</w:t>
            </w:r>
          </w:p>
        </w:tc>
        <w:tc>
          <w:tcPr>
            <w:tcW w:w="652" w:type="pct"/>
            <w:shd w:val="clear" w:color="auto" w:fill="auto"/>
            <w:vAlign w:val="center"/>
          </w:tcPr>
          <w:p w14:paraId="2E917AB9">
            <w:pPr>
              <w:jc w:val="center"/>
              <w:rPr>
                <w:rFonts w:hint="eastAsia" w:ascii="宋体" w:hAnsi="宋体" w:eastAsia="宋体" w:cs="宋体"/>
                <w:color w:val="auto"/>
                <w:w w:val="90"/>
                <w:kern w:val="2"/>
                <w:sz w:val="21"/>
                <w:szCs w:val="21"/>
                <w:lang w:val="en-US" w:eastAsia="zh-CN" w:bidi="ar-SA"/>
              </w:rPr>
            </w:pPr>
            <w:r>
              <w:rPr>
                <w:rFonts w:hint="eastAsia" w:ascii="宋体" w:hAnsi="宋体" w:eastAsia="宋体" w:cs="宋体"/>
                <w:color w:val="auto"/>
                <w:w w:val="90"/>
                <w:szCs w:val="21"/>
              </w:rPr>
              <w:t>/</w:t>
            </w:r>
          </w:p>
        </w:tc>
        <w:tc>
          <w:tcPr>
            <w:tcW w:w="515" w:type="pct"/>
            <w:shd w:val="clear" w:color="auto" w:fill="auto"/>
            <w:vAlign w:val="center"/>
          </w:tcPr>
          <w:p w14:paraId="45625C59">
            <w:pPr>
              <w:jc w:val="center"/>
              <w:rPr>
                <w:rFonts w:hint="eastAsia" w:ascii="宋体" w:hAnsi="宋体" w:eastAsia="宋体" w:cs="宋体"/>
                <w:color w:val="auto"/>
                <w:w w:val="90"/>
                <w:szCs w:val="21"/>
              </w:rPr>
            </w:pPr>
            <w:r>
              <w:rPr>
                <w:rFonts w:hint="eastAsia" w:ascii="宋体" w:hAnsi="宋体" w:eastAsia="宋体" w:cs="宋体"/>
                <w:color w:val="auto"/>
                <w:w w:val="90"/>
                <w:szCs w:val="21"/>
              </w:rPr>
              <w:t>/</w:t>
            </w:r>
          </w:p>
        </w:tc>
        <w:tc>
          <w:tcPr>
            <w:tcW w:w="487" w:type="pct"/>
            <w:vAlign w:val="center"/>
          </w:tcPr>
          <w:p w14:paraId="697D9846">
            <w:pPr>
              <w:jc w:val="center"/>
              <w:rPr>
                <w:rFonts w:hint="eastAsia" w:ascii="宋体" w:hAnsi="宋体" w:eastAsia="宋体" w:cs="宋体"/>
                <w:color w:val="auto"/>
                <w:w w:val="90"/>
                <w:szCs w:val="21"/>
              </w:rPr>
            </w:pPr>
            <w:r>
              <w:rPr>
                <w:rFonts w:hint="eastAsia" w:ascii="宋体" w:hAnsi="宋体" w:eastAsia="宋体" w:cs="宋体"/>
                <w:color w:val="auto"/>
                <w:w w:val="90"/>
                <w:szCs w:val="21"/>
              </w:rPr>
              <w:t>0.3</w:t>
            </w:r>
          </w:p>
        </w:tc>
      </w:tr>
      <w:tr w14:paraId="6F821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 w:type="pct"/>
            <w:vAlign w:val="center"/>
          </w:tcPr>
          <w:p w14:paraId="6047251B">
            <w:pPr>
              <w:jc w:val="center"/>
              <w:rPr>
                <w:rFonts w:hint="eastAsia" w:ascii="宋体" w:hAnsi="宋体" w:eastAsia="宋体" w:cs="宋体"/>
                <w:color w:val="auto"/>
                <w:szCs w:val="21"/>
              </w:rPr>
            </w:pPr>
            <w:r>
              <w:rPr>
                <w:rFonts w:hint="eastAsia" w:ascii="宋体" w:hAnsi="宋体" w:eastAsia="宋体" w:cs="宋体"/>
                <w:color w:val="auto"/>
                <w:szCs w:val="21"/>
              </w:rPr>
              <w:t>铜</w:t>
            </w:r>
          </w:p>
        </w:tc>
        <w:tc>
          <w:tcPr>
            <w:tcW w:w="596" w:type="pct"/>
            <w:shd w:val="clear" w:color="auto" w:fill="auto"/>
            <w:vAlign w:val="center"/>
          </w:tcPr>
          <w:p w14:paraId="24675DEB">
            <w:pPr>
              <w:jc w:val="center"/>
              <w:rPr>
                <w:rFonts w:hint="eastAsia" w:ascii="宋体" w:hAnsi="宋体" w:eastAsia="宋体" w:cs="宋体"/>
                <w:color w:val="auto"/>
                <w:w w:val="90"/>
                <w:kern w:val="2"/>
                <w:sz w:val="21"/>
                <w:szCs w:val="21"/>
                <w:lang w:val="en-US" w:eastAsia="zh-CN" w:bidi="ar-SA"/>
              </w:rPr>
            </w:pPr>
            <w:r>
              <w:rPr>
                <w:rFonts w:hint="eastAsia" w:ascii="宋体" w:hAnsi="宋体" w:eastAsia="宋体" w:cs="宋体"/>
                <w:color w:val="auto"/>
                <w:w w:val="90"/>
                <w:szCs w:val="21"/>
              </w:rPr>
              <w:t>0.01</w:t>
            </w:r>
          </w:p>
        </w:tc>
        <w:tc>
          <w:tcPr>
            <w:tcW w:w="608" w:type="pct"/>
            <w:shd w:val="clear" w:color="auto" w:fill="auto"/>
            <w:vAlign w:val="center"/>
          </w:tcPr>
          <w:p w14:paraId="2C8AC36F">
            <w:pPr>
              <w:jc w:val="center"/>
              <w:rPr>
                <w:rFonts w:hint="eastAsia" w:ascii="宋体" w:hAnsi="宋体" w:eastAsia="宋体" w:cs="宋体"/>
                <w:color w:val="auto"/>
                <w:w w:val="90"/>
                <w:kern w:val="2"/>
                <w:sz w:val="21"/>
                <w:szCs w:val="21"/>
                <w:lang w:val="en-US" w:eastAsia="zh-CN" w:bidi="ar-SA"/>
              </w:rPr>
            </w:pPr>
            <w:r>
              <w:rPr>
                <w:rFonts w:hint="eastAsia" w:ascii="宋体" w:hAnsi="宋体" w:eastAsia="宋体" w:cs="宋体"/>
                <w:color w:val="auto"/>
                <w:w w:val="90"/>
                <w:szCs w:val="21"/>
              </w:rPr>
              <w:t>达标</w:t>
            </w:r>
          </w:p>
        </w:tc>
        <w:tc>
          <w:tcPr>
            <w:tcW w:w="560" w:type="pct"/>
            <w:shd w:val="clear" w:color="auto" w:fill="auto"/>
            <w:vAlign w:val="center"/>
          </w:tcPr>
          <w:p w14:paraId="6278429A">
            <w:pPr>
              <w:jc w:val="center"/>
              <w:rPr>
                <w:rFonts w:hint="eastAsia" w:ascii="宋体" w:hAnsi="宋体" w:eastAsia="宋体" w:cs="宋体"/>
                <w:color w:val="auto"/>
                <w:w w:val="90"/>
                <w:kern w:val="2"/>
                <w:sz w:val="21"/>
                <w:szCs w:val="21"/>
                <w:lang w:val="en-US" w:eastAsia="zh-CN" w:bidi="ar-SA"/>
              </w:rPr>
            </w:pPr>
            <w:r>
              <w:rPr>
                <w:rFonts w:hint="eastAsia" w:ascii="宋体" w:hAnsi="宋体" w:eastAsia="宋体" w:cs="宋体"/>
                <w:color w:val="auto"/>
                <w:w w:val="90"/>
                <w:szCs w:val="21"/>
              </w:rPr>
              <w:t>/</w:t>
            </w:r>
          </w:p>
        </w:tc>
        <w:tc>
          <w:tcPr>
            <w:tcW w:w="618" w:type="pct"/>
            <w:shd w:val="clear" w:color="auto" w:fill="auto"/>
            <w:vAlign w:val="center"/>
          </w:tcPr>
          <w:p w14:paraId="3AA00083">
            <w:pPr>
              <w:jc w:val="center"/>
              <w:rPr>
                <w:rFonts w:hint="eastAsia" w:ascii="宋体" w:hAnsi="宋体" w:eastAsia="宋体" w:cs="宋体"/>
                <w:color w:val="auto"/>
                <w:w w:val="90"/>
                <w:kern w:val="2"/>
                <w:sz w:val="21"/>
                <w:szCs w:val="21"/>
                <w:lang w:val="en-US" w:eastAsia="zh-CN" w:bidi="ar-SA"/>
              </w:rPr>
            </w:pPr>
            <w:r>
              <w:rPr>
                <w:rFonts w:hint="eastAsia" w:ascii="宋体" w:hAnsi="宋体" w:eastAsia="宋体" w:cs="宋体"/>
                <w:color w:val="auto"/>
                <w:w w:val="90"/>
                <w:szCs w:val="21"/>
              </w:rPr>
              <w:t>/</w:t>
            </w:r>
          </w:p>
        </w:tc>
        <w:tc>
          <w:tcPr>
            <w:tcW w:w="652" w:type="pct"/>
            <w:shd w:val="clear" w:color="auto" w:fill="auto"/>
            <w:vAlign w:val="center"/>
          </w:tcPr>
          <w:p w14:paraId="27407104">
            <w:pPr>
              <w:jc w:val="center"/>
              <w:rPr>
                <w:rFonts w:hint="eastAsia" w:ascii="宋体" w:hAnsi="宋体" w:eastAsia="宋体" w:cs="宋体"/>
                <w:color w:val="auto"/>
                <w:w w:val="90"/>
                <w:kern w:val="2"/>
                <w:sz w:val="21"/>
                <w:szCs w:val="21"/>
                <w:lang w:val="en-US" w:eastAsia="zh-CN" w:bidi="ar-SA"/>
              </w:rPr>
            </w:pPr>
            <w:r>
              <w:rPr>
                <w:rFonts w:hint="eastAsia" w:ascii="宋体" w:hAnsi="宋体" w:eastAsia="宋体" w:cs="宋体"/>
                <w:color w:val="auto"/>
                <w:w w:val="90"/>
                <w:szCs w:val="21"/>
              </w:rPr>
              <w:t>/</w:t>
            </w:r>
          </w:p>
        </w:tc>
        <w:tc>
          <w:tcPr>
            <w:tcW w:w="515" w:type="pct"/>
            <w:shd w:val="clear" w:color="auto" w:fill="auto"/>
            <w:vAlign w:val="center"/>
          </w:tcPr>
          <w:p w14:paraId="1912E9CE">
            <w:pPr>
              <w:jc w:val="center"/>
              <w:rPr>
                <w:rFonts w:hint="eastAsia" w:ascii="宋体" w:hAnsi="宋体" w:eastAsia="宋体" w:cs="宋体"/>
                <w:color w:val="auto"/>
                <w:w w:val="90"/>
                <w:szCs w:val="21"/>
              </w:rPr>
            </w:pPr>
            <w:r>
              <w:rPr>
                <w:rFonts w:hint="eastAsia" w:ascii="宋体" w:hAnsi="宋体" w:eastAsia="宋体" w:cs="宋体"/>
                <w:color w:val="auto"/>
                <w:w w:val="90"/>
                <w:szCs w:val="21"/>
              </w:rPr>
              <w:t>/</w:t>
            </w:r>
          </w:p>
        </w:tc>
        <w:tc>
          <w:tcPr>
            <w:tcW w:w="487" w:type="pct"/>
            <w:vAlign w:val="center"/>
          </w:tcPr>
          <w:p w14:paraId="05A03E49">
            <w:pPr>
              <w:jc w:val="center"/>
              <w:rPr>
                <w:rFonts w:hint="eastAsia" w:ascii="宋体" w:hAnsi="宋体" w:eastAsia="宋体" w:cs="宋体"/>
                <w:color w:val="auto"/>
                <w:w w:val="90"/>
                <w:szCs w:val="21"/>
              </w:rPr>
            </w:pPr>
            <w:r>
              <w:rPr>
                <w:rFonts w:hint="eastAsia" w:ascii="宋体" w:hAnsi="宋体" w:eastAsia="宋体" w:cs="宋体"/>
                <w:color w:val="auto"/>
                <w:w w:val="90"/>
                <w:szCs w:val="21"/>
              </w:rPr>
              <w:t>1</w:t>
            </w:r>
          </w:p>
        </w:tc>
      </w:tr>
      <w:tr w14:paraId="1BB70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 w:type="pct"/>
            <w:vAlign w:val="center"/>
          </w:tcPr>
          <w:p w14:paraId="6DBA8284">
            <w:pPr>
              <w:jc w:val="center"/>
              <w:rPr>
                <w:rFonts w:hint="eastAsia" w:ascii="宋体" w:hAnsi="宋体" w:eastAsia="宋体" w:cs="宋体"/>
                <w:color w:val="auto"/>
                <w:szCs w:val="21"/>
              </w:rPr>
            </w:pPr>
            <w:r>
              <w:rPr>
                <w:rFonts w:hint="eastAsia" w:ascii="宋体" w:hAnsi="宋体" w:eastAsia="宋体" w:cs="宋体"/>
                <w:color w:val="auto"/>
                <w:szCs w:val="21"/>
              </w:rPr>
              <w:t>锌</w:t>
            </w:r>
          </w:p>
        </w:tc>
        <w:tc>
          <w:tcPr>
            <w:tcW w:w="596" w:type="pct"/>
            <w:shd w:val="clear" w:color="auto" w:fill="auto"/>
            <w:vAlign w:val="center"/>
          </w:tcPr>
          <w:p w14:paraId="272DF32C">
            <w:pPr>
              <w:jc w:val="center"/>
              <w:rPr>
                <w:rFonts w:hint="eastAsia" w:ascii="宋体" w:hAnsi="宋体" w:eastAsia="宋体" w:cs="宋体"/>
                <w:color w:val="auto"/>
                <w:w w:val="90"/>
                <w:kern w:val="2"/>
                <w:sz w:val="21"/>
                <w:szCs w:val="21"/>
                <w:lang w:val="en-US" w:eastAsia="zh-CN" w:bidi="ar-SA"/>
              </w:rPr>
            </w:pPr>
            <w:r>
              <w:rPr>
                <w:rFonts w:hint="eastAsia" w:ascii="宋体" w:hAnsi="宋体" w:eastAsia="宋体" w:cs="宋体"/>
                <w:color w:val="auto"/>
                <w:w w:val="90"/>
                <w:szCs w:val="21"/>
              </w:rPr>
              <w:t>0.06</w:t>
            </w:r>
          </w:p>
        </w:tc>
        <w:tc>
          <w:tcPr>
            <w:tcW w:w="608" w:type="pct"/>
            <w:shd w:val="clear" w:color="auto" w:fill="auto"/>
            <w:vAlign w:val="center"/>
          </w:tcPr>
          <w:p w14:paraId="28D6A425">
            <w:pPr>
              <w:jc w:val="center"/>
              <w:rPr>
                <w:rFonts w:hint="eastAsia" w:ascii="宋体" w:hAnsi="宋体" w:eastAsia="宋体" w:cs="宋体"/>
                <w:color w:val="auto"/>
                <w:w w:val="90"/>
                <w:kern w:val="2"/>
                <w:sz w:val="21"/>
                <w:szCs w:val="21"/>
                <w:lang w:val="en-US" w:eastAsia="zh-CN" w:bidi="ar-SA"/>
              </w:rPr>
            </w:pPr>
            <w:r>
              <w:rPr>
                <w:rFonts w:hint="eastAsia" w:ascii="宋体" w:hAnsi="宋体" w:eastAsia="宋体" w:cs="宋体"/>
                <w:color w:val="auto"/>
                <w:w w:val="90"/>
                <w:szCs w:val="21"/>
              </w:rPr>
              <w:t>达标</w:t>
            </w:r>
          </w:p>
        </w:tc>
        <w:tc>
          <w:tcPr>
            <w:tcW w:w="560" w:type="pct"/>
            <w:shd w:val="clear" w:color="auto" w:fill="auto"/>
            <w:vAlign w:val="center"/>
          </w:tcPr>
          <w:p w14:paraId="4D63EC05">
            <w:pPr>
              <w:jc w:val="center"/>
              <w:rPr>
                <w:rFonts w:hint="eastAsia" w:ascii="宋体" w:hAnsi="宋体" w:eastAsia="宋体" w:cs="宋体"/>
                <w:color w:val="auto"/>
                <w:w w:val="90"/>
                <w:kern w:val="2"/>
                <w:sz w:val="21"/>
                <w:szCs w:val="21"/>
                <w:lang w:val="en-US" w:eastAsia="zh-CN" w:bidi="ar-SA"/>
              </w:rPr>
            </w:pPr>
            <w:r>
              <w:rPr>
                <w:rFonts w:hint="eastAsia" w:ascii="宋体" w:hAnsi="宋体" w:eastAsia="宋体" w:cs="宋体"/>
                <w:color w:val="auto"/>
                <w:w w:val="90"/>
                <w:szCs w:val="21"/>
              </w:rPr>
              <w:t>/</w:t>
            </w:r>
          </w:p>
        </w:tc>
        <w:tc>
          <w:tcPr>
            <w:tcW w:w="618" w:type="pct"/>
            <w:shd w:val="clear" w:color="auto" w:fill="auto"/>
            <w:vAlign w:val="center"/>
          </w:tcPr>
          <w:p w14:paraId="0D6247B9">
            <w:pPr>
              <w:jc w:val="center"/>
              <w:rPr>
                <w:rFonts w:hint="eastAsia" w:ascii="宋体" w:hAnsi="宋体" w:eastAsia="宋体" w:cs="宋体"/>
                <w:color w:val="auto"/>
                <w:w w:val="90"/>
                <w:kern w:val="2"/>
                <w:sz w:val="21"/>
                <w:szCs w:val="21"/>
                <w:lang w:val="en-US" w:eastAsia="zh-CN" w:bidi="ar-SA"/>
              </w:rPr>
            </w:pPr>
            <w:r>
              <w:rPr>
                <w:rFonts w:hint="eastAsia" w:ascii="宋体" w:hAnsi="宋体" w:eastAsia="宋体" w:cs="宋体"/>
                <w:color w:val="auto"/>
                <w:w w:val="90"/>
                <w:szCs w:val="21"/>
              </w:rPr>
              <w:t>/</w:t>
            </w:r>
          </w:p>
        </w:tc>
        <w:tc>
          <w:tcPr>
            <w:tcW w:w="652" w:type="pct"/>
            <w:shd w:val="clear" w:color="auto" w:fill="auto"/>
            <w:vAlign w:val="center"/>
          </w:tcPr>
          <w:p w14:paraId="0E6637C3">
            <w:pPr>
              <w:jc w:val="center"/>
              <w:rPr>
                <w:rFonts w:hint="eastAsia" w:ascii="宋体" w:hAnsi="宋体" w:eastAsia="宋体" w:cs="宋体"/>
                <w:color w:val="auto"/>
                <w:w w:val="90"/>
                <w:kern w:val="2"/>
                <w:sz w:val="21"/>
                <w:szCs w:val="21"/>
                <w:lang w:val="en-US" w:eastAsia="zh-CN" w:bidi="ar-SA"/>
              </w:rPr>
            </w:pPr>
            <w:r>
              <w:rPr>
                <w:rFonts w:hint="eastAsia" w:ascii="宋体" w:hAnsi="宋体" w:eastAsia="宋体" w:cs="宋体"/>
                <w:color w:val="auto"/>
                <w:w w:val="90"/>
                <w:szCs w:val="21"/>
              </w:rPr>
              <w:t>/</w:t>
            </w:r>
          </w:p>
        </w:tc>
        <w:tc>
          <w:tcPr>
            <w:tcW w:w="515" w:type="pct"/>
            <w:shd w:val="clear" w:color="auto" w:fill="auto"/>
            <w:vAlign w:val="center"/>
          </w:tcPr>
          <w:p w14:paraId="1373B2BF">
            <w:pPr>
              <w:jc w:val="center"/>
              <w:rPr>
                <w:rFonts w:hint="eastAsia" w:ascii="宋体" w:hAnsi="宋体" w:eastAsia="宋体" w:cs="宋体"/>
                <w:color w:val="auto"/>
                <w:w w:val="90"/>
                <w:szCs w:val="21"/>
              </w:rPr>
            </w:pPr>
            <w:r>
              <w:rPr>
                <w:rFonts w:hint="eastAsia" w:ascii="宋体" w:hAnsi="宋体" w:eastAsia="宋体" w:cs="宋体"/>
                <w:color w:val="auto"/>
                <w:w w:val="90"/>
                <w:szCs w:val="21"/>
              </w:rPr>
              <w:t>/</w:t>
            </w:r>
          </w:p>
        </w:tc>
        <w:tc>
          <w:tcPr>
            <w:tcW w:w="487" w:type="pct"/>
            <w:vAlign w:val="center"/>
          </w:tcPr>
          <w:p w14:paraId="589D0ADF">
            <w:pPr>
              <w:jc w:val="center"/>
              <w:rPr>
                <w:rFonts w:hint="eastAsia" w:ascii="宋体" w:hAnsi="宋体" w:eastAsia="宋体" w:cs="宋体"/>
                <w:color w:val="auto"/>
                <w:w w:val="90"/>
                <w:szCs w:val="21"/>
              </w:rPr>
            </w:pPr>
            <w:r>
              <w:rPr>
                <w:rFonts w:hint="eastAsia" w:ascii="宋体" w:hAnsi="宋体" w:eastAsia="宋体" w:cs="宋体"/>
                <w:color w:val="auto"/>
                <w:w w:val="90"/>
                <w:szCs w:val="21"/>
              </w:rPr>
              <w:t>1</w:t>
            </w:r>
          </w:p>
        </w:tc>
      </w:tr>
      <w:tr w14:paraId="4DDE1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 w:type="pct"/>
            <w:vAlign w:val="center"/>
          </w:tcPr>
          <w:p w14:paraId="571898F2">
            <w:pPr>
              <w:jc w:val="center"/>
              <w:rPr>
                <w:rFonts w:hint="eastAsia" w:ascii="宋体" w:hAnsi="宋体" w:eastAsia="宋体" w:cs="宋体"/>
                <w:color w:val="auto"/>
                <w:szCs w:val="21"/>
              </w:rPr>
            </w:pPr>
            <w:r>
              <w:rPr>
                <w:rFonts w:hint="eastAsia" w:ascii="宋体" w:hAnsi="宋体" w:eastAsia="宋体" w:cs="宋体"/>
                <w:color w:val="auto"/>
                <w:szCs w:val="21"/>
              </w:rPr>
              <w:t>镍</w:t>
            </w:r>
          </w:p>
        </w:tc>
        <w:tc>
          <w:tcPr>
            <w:tcW w:w="596" w:type="pct"/>
            <w:shd w:val="clear" w:color="auto" w:fill="auto"/>
            <w:vAlign w:val="center"/>
          </w:tcPr>
          <w:p w14:paraId="65B069D5">
            <w:pPr>
              <w:jc w:val="center"/>
              <w:rPr>
                <w:rFonts w:hint="eastAsia" w:ascii="宋体" w:hAnsi="宋体" w:eastAsia="宋体" w:cs="宋体"/>
                <w:color w:val="auto"/>
                <w:w w:val="90"/>
                <w:kern w:val="2"/>
                <w:sz w:val="21"/>
                <w:szCs w:val="21"/>
                <w:lang w:val="en-US" w:eastAsia="zh-CN" w:bidi="ar-SA"/>
              </w:rPr>
            </w:pPr>
            <w:r>
              <w:rPr>
                <w:rFonts w:hint="eastAsia" w:ascii="宋体" w:hAnsi="宋体" w:eastAsia="宋体" w:cs="宋体"/>
                <w:color w:val="auto"/>
                <w:w w:val="90"/>
                <w:szCs w:val="21"/>
              </w:rPr>
              <w:t>0.00006</w:t>
            </w:r>
          </w:p>
        </w:tc>
        <w:tc>
          <w:tcPr>
            <w:tcW w:w="608" w:type="pct"/>
            <w:shd w:val="clear" w:color="auto" w:fill="auto"/>
            <w:vAlign w:val="center"/>
          </w:tcPr>
          <w:p w14:paraId="3BD8FC20">
            <w:pPr>
              <w:jc w:val="center"/>
              <w:rPr>
                <w:rFonts w:hint="eastAsia" w:ascii="宋体" w:hAnsi="宋体" w:eastAsia="宋体" w:cs="宋体"/>
                <w:color w:val="auto"/>
                <w:w w:val="90"/>
                <w:kern w:val="2"/>
                <w:sz w:val="21"/>
                <w:szCs w:val="21"/>
                <w:lang w:val="en-US" w:eastAsia="zh-CN" w:bidi="ar-SA"/>
              </w:rPr>
            </w:pPr>
            <w:r>
              <w:rPr>
                <w:rFonts w:hint="eastAsia" w:ascii="宋体" w:hAnsi="宋体" w:eastAsia="宋体" w:cs="宋体"/>
                <w:color w:val="auto"/>
                <w:w w:val="90"/>
                <w:szCs w:val="21"/>
              </w:rPr>
              <w:t>达标</w:t>
            </w:r>
          </w:p>
        </w:tc>
        <w:tc>
          <w:tcPr>
            <w:tcW w:w="560" w:type="pct"/>
            <w:shd w:val="clear" w:color="auto" w:fill="auto"/>
            <w:vAlign w:val="center"/>
          </w:tcPr>
          <w:p w14:paraId="0E4D391C">
            <w:pPr>
              <w:jc w:val="center"/>
              <w:rPr>
                <w:rFonts w:hint="eastAsia" w:ascii="宋体" w:hAnsi="宋体" w:eastAsia="宋体" w:cs="宋体"/>
                <w:color w:val="auto"/>
                <w:w w:val="90"/>
                <w:kern w:val="2"/>
                <w:sz w:val="21"/>
                <w:szCs w:val="21"/>
                <w:lang w:val="en-US" w:eastAsia="zh-CN" w:bidi="ar-SA"/>
              </w:rPr>
            </w:pPr>
            <w:r>
              <w:rPr>
                <w:rFonts w:hint="eastAsia" w:ascii="宋体" w:hAnsi="宋体" w:eastAsia="宋体" w:cs="宋体"/>
                <w:color w:val="auto"/>
                <w:w w:val="90"/>
                <w:szCs w:val="21"/>
              </w:rPr>
              <w:t>/</w:t>
            </w:r>
          </w:p>
        </w:tc>
        <w:tc>
          <w:tcPr>
            <w:tcW w:w="618" w:type="pct"/>
            <w:shd w:val="clear" w:color="auto" w:fill="auto"/>
            <w:vAlign w:val="center"/>
          </w:tcPr>
          <w:p w14:paraId="4394A6B6">
            <w:pPr>
              <w:jc w:val="center"/>
              <w:rPr>
                <w:rFonts w:hint="eastAsia" w:ascii="宋体" w:hAnsi="宋体" w:eastAsia="宋体" w:cs="宋体"/>
                <w:color w:val="auto"/>
                <w:w w:val="90"/>
                <w:kern w:val="2"/>
                <w:sz w:val="21"/>
                <w:szCs w:val="21"/>
                <w:lang w:val="en-US" w:eastAsia="zh-CN" w:bidi="ar-SA"/>
              </w:rPr>
            </w:pPr>
            <w:r>
              <w:rPr>
                <w:rFonts w:hint="eastAsia" w:ascii="宋体" w:hAnsi="宋体" w:eastAsia="宋体" w:cs="宋体"/>
                <w:color w:val="auto"/>
                <w:w w:val="90"/>
                <w:szCs w:val="21"/>
              </w:rPr>
              <w:t>/</w:t>
            </w:r>
          </w:p>
        </w:tc>
        <w:tc>
          <w:tcPr>
            <w:tcW w:w="652" w:type="pct"/>
            <w:shd w:val="clear" w:color="auto" w:fill="auto"/>
            <w:vAlign w:val="center"/>
          </w:tcPr>
          <w:p w14:paraId="38CC6F28">
            <w:pPr>
              <w:jc w:val="center"/>
              <w:rPr>
                <w:rFonts w:hint="eastAsia" w:ascii="宋体" w:hAnsi="宋体" w:eastAsia="宋体" w:cs="宋体"/>
                <w:color w:val="auto"/>
                <w:w w:val="90"/>
                <w:kern w:val="2"/>
                <w:sz w:val="21"/>
                <w:szCs w:val="21"/>
                <w:lang w:val="en-US" w:eastAsia="zh-CN" w:bidi="ar-SA"/>
              </w:rPr>
            </w:pPr>
            <w:r>
              <w:rPr>
                <w:rFonts w:hint="eastAsia" w:ascii="宋体" w:hAnsi="宋体" w:eastAsia="宋体" w:cs="宋体"/>
                <w:color w:val="auto"/>
                <w:w w:val="90"/>
                <w:szCs w:val="21"/>
              </w:rPr>
              <w:t>/</w:t>
            </w:r>
          </w:p>
        </w:tc>
        <w:tc>
          <w:tcPr>
            <w:tcW w:w="515" w:type="pct"/>
            <w:shd w:val="clear" w:color="auto" w:fill="auto"/>
            <w:vAlign w:val="center"/>
          </w:tcPr>
          <w:p w14:paraId="6F650629">
            <w:pPr>
              <w:jc w:val="center"/>
              <w:rPr>
                <w:rFonts w:hint="eastAsia" w:ascii="宋体" w:hAnsi="宋体" w:eastAsia="宋体" w:cs="宋体"/>
                <w:color w:val="auto"/>
                <w:w w:val="90"/>
                <w:szCs w:val="21"/>
              </w:rPr>
            </w:pPr>
            <w:r>
              <w:rPr>
                <w:rFonts w:hint="eastAsia" w:ascii="宋体" w:hAnsi="宋体" w:eastAsia="宋体" w:cs="宋体"/>
                <w:color w:val="auto"/>
                <w:w w:val="90"/>
                <w:szCs w:val="21"/>
              </w:rPr>
              <w:t>/</w:t>
            </w:r>
          </w:p>
        </w:tc>
        <w:tc>
          <w:tcPr>
            <w:tcW w:w="487" w:type="pct"/>
            <w:vAlign w:val="center"/>
          </w:tcPr>
          <w:p w14:paraId="11AA507A">
            <w:pPr>
              <w:jc w:val="center"/>
              <w:rPr>
                <w:rFonts w:hint="eastAsia" w:ascii="宋体" w:hAnsi="宋体" w:eastAsia="宋体" w:cs="宋体"/>
                <w:color w:val="auto"/>
                <w:w w:val="90"/>
                <w:szCs w:val="21"/>
              </w:rPr>
            </w:pPr>
            <w:r>
              <w:rPr>
                <w:rFonts w:hint="eastAsia" w:ascii="宋体" w:hAnsi="宋体" w:eastAsia="宋体" w:cs="宋体"/>
                <w:color w:val="auto"/>
                <w:w w:val="90"/>
                <w:szCs w:val="21"/>
              </w:rPr>
              <w:t>0.02</w:t>
            </w:r>
          </w:p>
        </w:tc>
      </w:tr>
      <w:tr w14:paraId="7B7C8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 w:type="pct"/>
            <w:vAlign w:val="center"/>
          </w:tcPr>
          <w:p w14:paraId="5CEFC654">
            <w:pPr>
              <w:jc w:val="center"/>
              <w:rPr>
                <w:rFonts w:hint="eastAsia" w:ascii="宋体" w:hAnsi="宋体" w:eastAsia="宋体" w:cs="宋体"/>
                <w:color w:val="auto"/>
                <w:szCs w:val="21"/>
              </w:rPr>
            </w:pPr>
            <w:r>
              <w:rPr>
                <w:rFonts w:hint="eastAsia" w:ascii="宋体" w:hAnsi="宋体" w:eastAsia="宋体" w:cs="宋体"/>
                <w:color w:val="auto"/>
                <w:szCs w:val="21"/>
              </w:rPr>
              <w:t>钴</w:t>
            </w:r>
          </w:p>
        </w:tc>
        <w:tc>
          <w:tcPr>
            <w:tcW w:w="596" w:type="pct"/>
            <w:shd w:val="clear" w:color="auto" w:fill="auto"/>
            <w:vAlign w:val="center"/>
          </w:tcPr>
          <w:p w14:paraId="75986BFD">
            <w:pPr>
              <w:jc w:val="center"/>
              <w:rPr>
                <w:rFonts w:hint="eastAsia" w:ascii="宋体" w:hAnsi="宋体" w:eastAsia="宋体" w:cs="宋体"/>
                <w:color w:val="auto"/>
                <w:w w:val="90"/>
                <w:kern w:val="2"/>
                <w:sz w:val="21"/>
                <w:szCs w:val="21"/>
                <w:lang w:val="en-US" w:eastAsia="zh-CN" w:bidi="ar-SA"/>
              </w:rPr>
            </w:pPr>
            <w:r>
              <w:rPr>
                <w:rFonts w:hint="eastAsia" w:ascii="宋体" w:hAnsi="宋体" w:eastAsia="宋体" w:cs="宋体"/>
                <w:color w:val="auto"/>
                <w:w w:val="90"/>
                <w:szCs w:val="21"/>
              </w:rPr>
              <w:t>0.00007</w:t>
            </w:r>
          </w:p>
        </w:tc>
        <w:tc>
          <w:tcPr>
            <w:tcW w:w="608" w:type="pct"/>
            <w:shd w:val="clear" w:color="auto" w:fill="auto"/>
            <w:vAlign w:val="center"/>
          </w:tcPr>
          <w:p w14:paraId="7373C331">
            <w:pPr>
              <w:jc w:val="center"/>
              <w:rPr>
                <w:rFonts w:hint="eastAsia" w:ascii="宋体" w:hAnsi="宋体" w:eastAsia="宋体" w:cs="宋体"/>
                <w:color w:val="auto"/>
                <w:w w:val="90"/>
                <w:kern w:val="2"/>
                <w:sz w:val="21"/>
                <w:szCs w:val="21"/>
                <w:lang w:val="en-US" w:eastAsia="zh-CN" w:bidi="ar-SA"/>
              </w:rPr>
            </w:pPr>
            <w:r>
              <w:rPr>
                <w:rFonts w:hint="eastAsia" w:ascii="宋体" w:hAnsi="宋体" w:eastAsia="宋体" w:cs="宋体"/>
                <w:color w:val="auto"/>
                <w:w w:val="90"/>
                <w:szCs w:val="21"/>
              </w:rPr>
              <w:t>达标</w:t>
            </w:r>
          </w:p>
        </w:tc>
        <w:tc>
          <w:tcPr>
            <w:tcW w:w="560" w:type="pct"/>
            <w:shd w:val="clear" w:color="auto" w:fill="auto"/>
            <w:vAlign w:val="center"/>
          </w:tcPr>
          <w:p w14:paraId="3B14196D">
            <w:pPr>
              <w:jc w:val="center"/>
              <w:rPr>
                <w:rFonts w:hint="eastAsia" w:ascii="宋体" w:hAnsi="宋体" w:eastAsia="宋体" w:cs="宋体"/>
                <w:color w:val="auto"/>
                <w:w w:val="90"/>
                <w:kern w:val="2"/>
                <w:sz w:val="21"/>
                <w:szCs w:val="21"/>
                <w:lang w:val="en-US" w:eastAsia="zh-CN" w:bidi="ar-SA"/>
              </w:rPr>
            </w:pPr>
            <w:r>
              <w:rPr>
                <w:rFonts w:hint="eastAsia" w:ascii="宋体" w:hAnsi="宋体" w:eastAsia="宋体" w:cs="宋体"/>
                <w:color w:val="auto"/>
                <w:w w:val="90"/>
                <w:szCs w:val="21"/>
              </w:rPr>
              <w:t>/</w:t>
            </w:r>
          </w:p>
        </w:tc>
        <w:tc>
          <w:tcPr>
            <w:tcW w:w="618" w:type="pct"/>
            <w:shd w:val="clear" w:color="auto" w:fill="auto"/>
            <w:vAlign w:val="center"/>
          </w:tcPr>
          <w:p w14:paraId="0D20305C">
            <w:pPr>
              <w:jc w:val="center"/>
              <w:rPr>
                <w:rFonts w:hint="eastAsia" w:ascii="宋体" w:hAnsi="宋体" w:eastAsia="宋体" w:cs="宋体"/>
                <w:color w:val="auto"/>
                <w:w w:val="90"/>
                <w:kern w:val="2"/>
                <w:sz w:val="21"/>
                <w:szCs w:val="21"/>
                <w:lang w:val="en-US" w:eastAsia="zh-CN" w:bidi="ar-SA"/>
              </w:rPr>
            </w:pPr>
            <w:r>
              <w:rPr>
                <w:rFonts w:hint="eastAsia" w:ascii="宋体" w:hAnsi="宋体" w:eastAsia="宋体" w:cs="宋体"/>
                <w:color w:val="auto"/>
                <w:w w:val="90"/>
                <w:szCs w:val="21"/>
              </w:rPr>
              <w:t>/</w:t>
            </w:r>
          </w:p>
        </w:tc>
        <w:tc>
          <w:tcPr>
            <w:tcW w:w="652" w:type="pct"/>
            <w:shd w:val="clear" w:color="auto" w:fill="auto"/>
            <w:vAlign w:val="center"/>
          </w:tcPr>
          <w:p w14:paraId="26EBF105">
            <w:pPr>
              <w:jc w:val="center"/>
              <w:rPr>
                <w:rFonts w:hint="eastAsia" w:ascii="宋体" w:hAnsi="宋体" w:eastAsia="宋体" w:cs="宋体"/>
                <w:color w:val="auto"/>
                <w:w w:val="90"/>
                <w:kern w:val="2"/>
                <w:sz w:val="21"/>
                <w:szCs w:val="21"/>
                <w:lang w:val="en-US" w:eastAsia="zh-CN" w:bidi="ar-SA"/>
              </w:rPr>
            </w:pPr>
            <w:r>
              <w:rPr>
                <w:rFonts w:hint="eastAsia" w:ascii="宋体" w:hAnsi="宋体" w:eastAsia="宋体" w:cs="宋体"/>
                <w:color w:val="auto"/>
                <w:w w:val="90"/>
                <w:szCs w:val="21"/>
              </w:rPr>
              <w:t>/</w:t>
            </w:r>
          </w:p>
        </w:tc>
        <w:tc>
          <w:tcPr>
            <w:tcW w:w="515" w:type="pct"/>
            <w:shd w:val="clear" w:color="auto" w:fill="auto"/>
            <w:vAlign w:val="center"/>
          </w:tcPr>
          <w:p w14:paraId="0134B97B">
            <w:pPr>
              <w:jc w:val="center"/>
              <w:rPr>
                <w:rFonts w:hint="eastAsia" w:ascii="宋体" w:hAnsi="宋体" w:eastAsia="宋体" w:cs="宋体"/>
                <w:color w:val="auto"/>
                <w:w w:val="90"/>
                <w:szCs w:val="21"/>
              </w:rPr>
            </w:pPr>
            <w:r>
              <w:rPr>
                <w:rFonts w:hint="eastAsia" w:ascii="宋体" w:hAnsi="宋体" w:eastAsia="宋体" w:cs="宋体"/>
                <w:color w:val="auto"/>
                <w:w w:val="90"/>
                <w:szCs w:val="21"/>
              </w:rPr>
              <w:t>/</w:t>
            </w:r>
          </w:p>
        </w:tc>
        <w:tc>
          <w:tcPr>
            <w:tcW w:w="487" w:type="pct"/>
            <w:vAlign w:val="center"/>
          </w:tcPr>
          <w:p w14:paraId="5EBC5E5A">
            <w:pPr>
              <w:jc w:val="center"/>
              <w:rPr>
                <w:rFonts w:hint="eastAsia" w:ascii="宋体" w:hAnsi="宋体" w:eastAsia="宋体" w:cs="宋体"/>
                <w:color w:val="auto"/>
                <w:w w:val="90"/>
                <w:szCs w:val="21"/>
              </w:rPr>
            </w:pPr>
            <w:r>
              <w:rPr>
                <w:rFonts w:hint="eastAsia" w:ascii="宋体" w:hAnsi="宋体" w:eastAsia="宋体" w:cs="宋体"/>
                <w:color w:val="auto"/>
                <w:w w:val="90"/>
                <w:szCs w:val="21"/>
              </w:rPr>
              <w:t>0.05</w:t>
            </w:r>
          </w:p>
        </w:tc>
      </w:tr>
      <w:tr w14:paraId="061D7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 w:type="pct"/>
            <w:vAlign w:val="center"/>
          </w:tcPr>
          <w:p w14:paraId="730D0208">
            <w:pPr>
              <w:jc w:val="center"/>
              <w:rPr>
                <w:rFonts w:hint="eastAsia" w:ascii="宋体" w:hAnsi="宋体" w:eastAsia="宋体" w:cs="宋体"/>
                <w:color w:val="auto"/>
                <w:szCs w:val="21"/>
              </w:rPr>
            </w:pPr>
            <w:r>
              <w:rPr>
                <w:rFonts w:hint="eastAsia" w:ascii="宋体" w:hAnsi="宋体" w:eastAsia="宋体" w:cs="宋体"/>
                <w:color w:val="auto"/>
                <w:szCs w:val="21"/>
              </w:rPr>
              <w:t>铊</w:t>
            </w:r>
          </w:p>
        </w:tc>
        <w:tc>
          <w:tcPr>
            <w:tcW w:w="596" w:type="pct"/>
            <w:shd w:val="clear" w:color="auto" w:fill="auto"/>
            <w:vAlign w:val="center"/>
          </w:tcPr>
          <w:p w14:paraId="5513D73B">
            <w:pPr>
              <w:jc w:val="center"/>
              <w:rPr>
                <w:rFonts w:hint="eastAsia" w:ascii="宋体" w:hAnsi="宋体" w:eastAsia="宋体" w:cs="宋体"/>
                <w:color w:val="auto"/>
                <w:w w:val="90"/>
                <w:kern w:val="2"/>
                <w:sz w:val="21"/>
                <w:szCs w:val="21"/>
                <w:lang w:val="en-US" w:eastAsia="zh-CN" w:bidi="ar-SA"/>
              </w:rPr>
            </w:pPr>
            <w:r>
              <w:rPr>
                <w:rFonts w:hint="eastAsia" w:ascii="宋体" w:hAnsi="宋体" w:eastAsia="宋体" w:cs="宋体"/>
                <w:color w:val="auto"/>
                <w:w w:val="90"/>
                <w:szCs w:val="21"/>
              </w:rPr>
              <w:t>0.00003</w:t>
            </w:r>
          </w:p>
        </w:tc>
        <w:tc>
          <w:tcPr>
            <w:tcW w:w="608" w:type="pct"/>
            <w:shd w:val="clear" w:color="auto" w:fill="auto"/>
            <w:vAlign w:val="center"/>
          </w:tcPr>
          <w:p w14:paraId="7534C2AE">
            <w:pPr>
              <w:jc w:val="center"/>
              <w:rPr>
                <w:rFonts w:hint="eastAsia" w:ascii="宋体" w:hAnsi="宋体" w:eastAsia="宋体" w:cs="宋体"/>
                <w:color w:val="auto"/>
                <w:w w:val="90"/>
                <w:kern w:val="2"/>
                <w:sz w:val="21"/>
                <w:szCs w:val="21"/>
                <w:lang w:val="en-US" w:eastAsia="zh-CN" w:bidi="ar-SA"/>
              </w:rPr>
            </w:pPr>
            <w:r>
              <w:rPr>
                <w:rFonts w:hint="eastAsia" w:ascii="宋体" w:hAnsi="宋体" w:eastAsia="宋体" w:cs="宋体"/>
                <w:color w:val="auto"/>
                <w:w w:val="90"/>
                <w:szCs w:val="21"/>
              </w:rPr>
              <w:t>达标</w:t>
            </w:r>
          </w:p>
        </w:tc>
        <w:tc>
          <w:tcPr>
            <w:tcW w:w="560" w:type="pct"/>
            <w:shd w:val="clear" w:color="auto" w:fill="auto"/>
            <w:vAlign w:val="center"/>
          </w:tcPr>
          <w:p w14:paraId="041D7BA9">
            <w:pPr>
              <w:jc w:val="center"/>
              <w:rPr>
                <w:rFonts w:hint="eastAsia" w:ascii="宋体" w:hAnsi="宋体" w:eastAsia="宋体" w:cs="宋体"/>
                <w:color w:val="auto"/>
                <w:w w:val="90"/>
                <w:kern w:val="2"/>
                <w:sz w:val="21"/>
                <w:szCs w:val="21"/>
                <w:lang w:val="en-US" w:eastAsia="zh-CN" w:bidi="ar-SA"/>
              </w:rPr>
            </w:pPr>
            <w:r>
              <w:rPr>
                <w:rFonts w:hint="eastAsia" w:ascii="宋体" w:hAnsi="宋体" w:eastAsia="宋体" w:cs="宋体"/>
                <w:color w:val="auto"/>
                <w:w w:val="90"/>
                <w:szCs w:val="21"/>
              </w:rPr>
              <w:t>/</w:t>
            </w:r>
          </w:p>
        </w:tc>
        <w:tc>
          <w:tcPr>
            <w:tcW w:w="618" w:type="pct"/>
            <w:shd w:val="clear" w:color="auto" w:fill="auto"/>
            <w:vAlign w:val="center"/>
          </w:tcPr>
          <w:p w14:paraId="7A1DABFA">
            <w:pPr>
              <w:jc w:val="center"/>
              <w:rPr>
                <w:rFonts w:hint="eastAsia" w:ascii="宋体" w:hAnsi="宋体" w:eastAsia="宋体" w:cs="宋体"/>
                <w:color w:val="auto"/>
                <w:w w:val="90"/>
                <w:kern w:val="2"/>
                <w:sz w:val="21"/>
                <w:szCs w:val="21"/>
                <w:lang w:val="en-US" w:eastAsia="zh-CN" w:bidi="ar-SA"/>
              </w:rPr>
            </w:pPr>
            <w:r>
              <w:rPr>
                <w:rFonts w:hint="eastAsia" w:ascii="宋体" w:hAnsi="宋体" w:eastAsia="宋体" w:cs="宋体"/>
                <w:color w:val="auto"/>
                <w:w w:val="90"/>
                <w:szCs w:val="21"/>
              </w:rPr>
              <w:t>/</w:t>
            </w:r>
          </w:p>
        </w:tc>
        <w:tc>
          <w:tcPr>
            <w:tcW w:w="652" w:type="pct"/>
            <w:shd w:val="clear" w:color="auto" w:fill="auto"/>
            <w:vAlign w:val="center"/>
          </w:tcPr>
          <w:p w14:paraId="5F5B8EC1">
            <w:pPr>
              <w:jc w:val="center"/>
              <w:rPr>
                <w:rFonts w:hint="eastAsia" w:ascii="宋体" w:hAnsi="宋体" w:eastAsia="宋体" w:cs="宋体"/>
                <w:color w:val="auto"/>
                <w:w w:val="90"/>
                <w:kern w:val="2"/>
                <w:sz w:val="21"/>
                <w:szCs w:val="21"/>
                <w:lang w:val="en-US" w:eastAsia="zh-CN" w:bidi="ar-SA"/>
              </w:rPr>
            </w:pPr>
            <w:r>
              <w:rPr>
                <w:rFonts w:hint="eastAsia" w:ascii="宋体" w:hAnsi="宋体" w:eastAsia="宋体" w:cs="宋体"/>
                <w:color w:val="auto"/>
                <w:w w:val="90"/>
                <w:szCs w:val="21"/>
              </w:rPr>
              <w:t>/</w:t>
            </w:r>
          </w:p>
        </w:tc>
        <w:tc>
          <w:tcPr>
            <w:tcW w:w="515" w:type="pct"/>
            <w:shd w:val="clear" w:color="auto" w:fill="auto"/>
            <w:vAlign w:val="center"/>
          </w:tcPr>
          <w:p w14:paraId="6DF850AA">
            <w:pPr>
              <w:jc w:val="center"/>
              <w:rPr>
                <w:rFonts w:hint="eastAsia" w:ascii="宋体" w:hAnsi="宋体" w:eastAsia="宋体" w:cs="宋体"/>
                <w:color w:val="auto"/>
                <w:w w:val="90"/>
                <w:szCs w:val="21"/>
              </w:rPr>
            </w:pPr>
            <w:r>
              <w:rPr>
                <w:rFonts w:hint="eastAsia" w:ascii="宋体" w:hAnsi="宋体" w:eastAsia="宋体" w:cs="宋体"/>
                <w:color w:val="auto"/>
                <w:w w:val="90"/>
                <w:szCs w:val="21"/>
              </w:rPr>
              <w:t>/</w:t>
            </w:r>
          </w:p>
        </w:tc>
        <w:tc>
          <w:tcPr>
            <w:tcW w:w="487" w:type="pct"/>
            <w:vAlign w:val="center"/>
          </w:tcPr>
          <w:p w14:paraId="6A3B75A7">
            <w:pPr>
              <w:jc w:val="center"/>
              <w:rPr>
                <w:rFonts w:hint="eastAsia" w:ascii="宋体" w:hAnsi="宋体" w:eastAsia="宋体" w:cs="宋体"/>
                <w:color w:val="auto"/>
                <w:w w:val="90"/>
                <w:szCs w:val="21"/>
              </w:rPr>
            </w:pPr>
            <w:r>
              <w:rPr>
                <w:rFonts w:hint="eastAsia" w:ascii="宋体" w:hAnsi="宋体" w:eastAsia="宋体" w:cs="宋体"/>
                <w:color w:val="auto"/>
                <w:w w:val="90"/>
                <w:szCs w:val="21"/>
              </w:rPr>
              <w:t>0.0001</w:t>
            </w:r>
          </w:p>
        </w:tc>
      </w:tr>
      <w:tr w14:paraId="5E8EC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 w:type="pct"/>
            <w:vAlign w:val="center"/>
          </w:tcPr>
          <w:p w14:paraId="336E64A7">
            <w:pPr>
              <w:jc w:val="center"/>
              <w:rPr>
                <w:rFonts w:hint="eastAsia" w:ascii="宋体" w:hAnsi="宋体" w:eastAsia="宋体" w:cs="宋体"/>
                <w:color w:val="auto"/>
                <w:szCs w:val="21"/>
              </w:rPr>
            </w:pPr>
            <w:r>
              <w:rPr>
                <w:rFonts w:hint="eastAsia" w:ascii="宋体" w:hAnsi="宋体" w:eastAsia="宋体" w:cs="宋体"/>
                <w:color w:val="auto"/>
                <w:szCs w:val="21"/>
              </w:rPr>
              <w:t>甲苯</w:t>
            </w:r>
          </w:p>
        </w:tc>
        <w:tc>
          <w:tcPr>
            <w:tcW w:w="596" w:type="pct"/>
            <w:shd w:val="clear" w:color="auto" w:fill="auto"/>
            <w:vAlign w:val="center"/>
          </w:tcPr>
          <w:p w14:paraId="2D183675">
            <w:pPr>
              <w:jc w:val="center"/>
              <w:rPr>
                <w:rFonts w:hint="eastAsia" w:ascii="宋体" w:hAnsi="宋体" w:eastAsia="宋体" w:cs="宋体"/>
                <w:color w:val="auto"/>
                <w:w w:val="90"/>
                <w:kern w:val="2"/>
                <w:sz w:val="21"/>
                <w:szCs w:val="21"/>
                <w:lang w:val="en-US" w:eastAsia="zh-CN" w:bidi="ar-SA"/>
              </w:rPr>
            </w:pPr>
            <w:r>
              <w:rPr>
                <w:rFonts w:hint="eastAsia" w:ascii="宋体" w:hAnsi="宋体" w:eastAsia="宋体" w:cs="宋体"/>
                <w:color w:val="auto"/>
                <w:w w:val="90"/>
                <w:szCs w:val="21"/>
              </w:rPr>
              <w:t>0.0014</w:t>
            </w:r>
          </w:p>
        </w:tc>
        <w:tc>
          <w:tcPr>
            <w:tcW w:w="608" w:type="pct"/>
            <w:shd w:val="clear" w:color="auto" w:fill="auto"/>
            <w:vAlign w:val="center"/>
          </w:tcPr>
          <w:p w14:paraId="14EDED8A">
            <w:pPr>
              <w:jc w:val="center"/>
              <w:rPr>
                <w:rFonts w:hint="eastAsia" w:ascii="宋体" w:hAnsi="宋体" w:eastAsia="宋体" w:cs="宋体"/>
                <w:color w:val="auto"/>
                <w:w w:val="90"/>
                <w:kern w:val="2"/>
                <w:sz w:val="21"/>
                <w:szCs w:val="21"/>
                <w:lang w:val="en-US" w:eastAsia="zh-CN" w:bidi="ar-SA"/>
              </w:rPr>
            </w:pPr>
            <w:r>
              <w:rPr>
                <w:rFonts w:hint="eastAsia" w:ascii="宋体" w:hAnsi="宋体" w:eastAsia="宋体" w:cs="宋体"/>
                <w:color w:val="auto"/>
                <w:w w:val="90"/>
                <w:szCs w:val="21"/>
              </w:rPr>
              <w:t>达标</w:t>
            </w:r>
          </w:p>
        </w:tc>
        <w:tc>
          <w:tcPr>
            <w:tcW w:w="560" w:type="pct"/>
            <w:shd w:val="clear" w:color="auto" w:fill="auto"/>
            <w:vAlign w:val="center"/>
          </w:tcPr>
          <w:p w14:paraId="06BE821B">
            <w:pPr>
              <w:jc w:val="center"/>
              <w:rPr>
                <w:rFonts w:hint="eastAsia" w:ascii="宋体" w:hAnsi="宋体" w:eastAsia="宋体" w:cs="宋体"/>
                <w:color w:val="auto"/>
                <w:w w:val="90"/>
                <w:kern w:val="2"/>
                <w:sz w:val="21"/>
                <w:szCs w:val="21"/>
                <w:lang w:val="en-US" w:eastAsia="zh-CN" w:bidi="ar-SA"/>
              </w:rPr>
            </w:pPr>
            <w:r>
              <w:rPr>
                <w:rFonts w:hint="eastAsia" w:ascii="宋体" w:hAnsi="宋体" w:eastAsia="宋体" w:cs="宋体"/>
                <w:color w:val="auto"/>
                <w:w w:val="90"/>
                <w:szCs w:val="21"/>
              </w:rPr>
              <w:t>ND</w:t>
            </w:r>
          </w:p>
        </w:tc>
        <w:tc>
          <w:tcPr>
            <w:tcW w:w="618" w:type="pct"/>
            <w:shd w:val="clear" w:color="auto" w:fill="auto"/>
            <w:vAlign w:val="center"/>
          </w:tcPr>
          <w:p w14:paraId="5591F769">
            <w:pPr>
              <w:jc w:val="center"/>
              <w:rPr>
                <w:rFonts w:hint="eastAsia" w:ascii="宋体" w:hAnsi="宋体" w:eastAsia="宋体" w:cs="宋体"/>
                <w:color w:val="auto"/>
                <w:w w:val="90"/>
                <w:kern w:val="2"/>
                <w:sz w:val="21"/>
                <w:szCs w:val="21"/>
                <w:lang w:val="en-US" w:eastAsia="zh-CN" w:bidi="ar-SA"/>
              </w:rPr>
            </w:pPr>
            <w:r>
              <w:rPr>
                <w:rFonts w:hint="eastAsia" w:ascii="宋体" w:hAnsi="宋体" w:eastAsia="宋体" w:cs="宋体"/>
                <w:color w:val="auto"/>
                <w:w w:val="90"/>
                <w:szCs w:val="21"/>
              </w:rPr>
              <w:t>达标</w:t>
            </w:r>
          </w:p>
        </w:tc>
        <w:tc>
          <w:tcPr>
            <w:tcW w:w="652" w:type="pct"/>
            <w:shd w:val="clear" w:color="auto" w:fill="auto"/>
            <w:vAlign w:val="center"/>
          </w:tcPr>
          <w:p w14:paraId="5BCD5A6C">
            <w:pPr>
              <w:jc w:val="center"/>
              <w:rPr>
                <w:rFonts w:hint="eastAsia" w:ascii="宋体" w:hAnsi="宋体" w:eastAsia="宋体" w:cs="宋体"/>
                <w:color w:val="auto"/>
                <w:w w:val="90"/>
                <w:kern w:val="2"/>
                <w:sz w:val="21"/>
                <w:szCs w:val="21"/>
                <w:lang w:val="en-US" w:eastAsia="zh-CN" w:bidi="ar-SA"/>
              </w:rPr>
            </w:pPr>
            <w:r>
              <w:rPr>
                <w:rFonts w:hint="eastAsia" w:ascii="宋体" w:hAnsi="宋体" w:eastAsia="宋体" w:cs="宋体"/>
                <w:color w:val="auto"/>
                <w:w w:val="90"/>
                <w:szCs w:val="21"/>
              </w:rPr>
              <w:t>ND</w:t>
            </w:r>
          </w:p>
        </w:tc>
        <w:tc>
          <w:tcPr>
            <w:tcW w:w="515" w:type="pct"/>
            <w:shd w:val="clear" w:color="auto" w:fill="auto"/>
            <w:vAlign w:val="center"/>
          </w:tcPr>
          <w:p w14:paraId="101D89C3">
            <w:pPr>
              <w:jc w:val="center"/>
              <w:rPr>
                <w:rFonts w:hint="eastAsia" w:ascii="宋体" w:hAnsi="宋体" w:eastAsia="宋体" w:cs="宋体"/>
                <w:color w:val="auto"/>
                <w:w w:val="90"/>
                <w:szCs w:val="21"/>
              </w:rPr>
            </w:pPr>
            <w:r>
              <w:rPr>
                <w:rFonts w:hint="eastAsia" w:ascii="宋体" w:hAnsi="宋体" w:eastAsia="宋体" w:cs="宋体"/>
                <w:color w:val="auto"/>
                <w:w w:val="90"/>
                <w:szCs w:val="21"/>
              </w:rPr>
              <w:t>达标</w:t>
            </w:r>
          </w:p>
        </w:tc>
        <w:tc>
          <w:tcPr>
            <w:tcW w:w="487" w:type="pct"/>
            <w:vAlign w:val="center"/>
          </w:tcPr>
          <w:p w14:paraId="583AB06A">
            <w:pPr>
              <w:jc w:val="center"/>
              <w:rPr>
                <w:rFonts w:hint="eastAsia" w:ascii="宋体" w:hAnsi="宋体" w:eastAsia="宋体" w:cs="宋体"/>
                <w:color w:val="auto"/>
                <w:w w:val="90"/>
                <w:szCs w:val="21"/>
              </w:rPr>
            </w:pPr>
            <w:r>
              <w:rPr>
                <w:rFonts w:hint="eastAsia" w:ascii="宋体" w:hAnsi="宋体" w:eastAsia="宋体" w:cs="宋体"/>
                <w:color w:val="auto"/>
                <w:w w:val="90"/>
                <w:szCs w:val="21"/>
              </w:rPr>
              <w:t>0.7</w:t>
            </w:r>
          </w:p>
        </w:tc>
      </w:tr>
      <w:tr w14:paraId="353E5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 w:type="pct"/>
            <w:vAlign w:val="center"/>
          </w:tcPr>
          <w:p w14:paraId="25F49BC9">
            <w:pPr>
              <w:jc w:val="center"/>
              <w:rPr>
                <w:rFonts w:hint="eastAsia" w:ascii="宋体" w:hAnsi="宋体" w:eastAsia="宋体" w:cs="宋体"/>
                <w:color w:val="auto"/>
                <w:szCs w:val="21"/>
              </w:rPr>
            </w:pPr>
            <w:r>
              <w:rPr>
                <w:rFonts w:hint="eastAsia" w:ascii="宋体" w:hAnsi="宋体" w:eastAsia="宋体" w:cs="宋体"/>
                <w:color w:val="auto"/>
                <w:szCs w:val="21"/>
              </w:rPr>
              <w:t>二氯甲烷</w:t>
            </w:r>
          </w:p>
        </w:tc>
        <w:tc>
          <w:tcPr>
            <w:tcW w:w="596" w:type="pct"/>
            <w:shd w:val="clear" w:color="auto" w:fill="auto"/>
            <w:vAlign w:val="center"/>
          </w:tcPr>
          <w:p w14:paraId="340937C0">
            <w:pPr>
              <w:jc w:val="center"/>
              <w:rPr>
                <w:rFonts w:hint="eastAsia" w:ascii="宋体" w:hAnsi="宋体" w:eastAsia="宋体" w:cs="宋体"/>
                <w:color w:val="auto"/>
                <w:w w:val="90"/>
                <w:kern w:val="2"/>
                <w:sz w:val="21"/>
                <w:szCs w:val="21"/>
                <w:lang w:val="en-US" w:eastAsia="zh-CN" w:bidi="ar-SA"/>
              </w:rPr>
            </w:pPr>
            <w:r>
              <w:rPr>
                <w:rFonts w:hint="eastAsia" w:ascii="宋体" w:hAnsi="宋体" w:eastAsia="宋体" w:cs="宋体"/>
                <w:color w:val="auto"/>
                <w:w w:val="90"/>
                <w:szCs w:val="21"/>
              </w:rPr>
              <w:t>0.001</w:t>
            </w:r>
          </w:p>
        </w:tc>
        <w:tc>
          <w:tcPr>
            <w:tcW w:w="608" w:type="pct"/>
            <w:shd w:val="clear" w:color="auto" w:fill="auto"/>
            <w:vAlign w:val="center"/>
          </w:tcPr>
          <w:p w14:paraId="60AC9066">
            <w:pPr>
              <w:jc w:val="center"/>
              <w:rPr>
                <w:rFonts w:hint="eastAsia" w:ascii="宋体" w:hAnsi="宋体" w:eastAsia="宋体" w:cs="宋体"/>
                <w:color w:val="auto"/>
                <w:w w:val="90"/>
                <w:kern w:val="2"/>
                <w:sz w:val="21"/>
                <w:szCs w:val="21"/>
                <w:lang w:val="en-US" w:eastAsia="zh-CN" w:bidi="ar-SA"/>
              </w:rPr>
            </w:pPr>
            <w:r>
              <w:rPr>
                <w:rFonts w:hint="eastAsia" w:ascii="宋体" w:hAnsi="宋体" w:eastAsia="宋体" w:cs="宋体"/>
                <w:color w:val="auto"/>
                <w:w w:val="90"/>
                <w:szCs w:val="21"/>
              </w:rPr>
              <w:t>达标</w:t>
            </w:r>
          </w:p>
        </w:tc>
        <w:tc>
          <w:tcPr>
            <w:tcW w:w="560" w:type="pct"/>
            <w:shd w:val="clear" w:color="auto" w:fill="auto"/>
            <w:vAlign w:val="center"/>
          </w:tcPr>
          <w:p w14:paraId="572C761D">
            <w:pPr>
              <w:jc w:val="center"/>
              <w:rPr>
                <w:rFonts w:hint="eastAsia" w:ascii="宋体" w:hAnsi="宋体" w:eastAsia="宋体" w:cs="宋体"/>
                <w:color w:val="auto"/>
                <w:w w:val="90"/>
                <w:kern w:val="2"/>
                <w:sz w:val="21"/>
                <w:szCs w:val="21"/>
                <w:lang w:val="en-US" w:eastAsia="zh-CN" w:bidi="ar-SA"/>
              </w:rPr>
            </w:pPr>
            <w:r>
              <w:rPr>
                <w:rFonts w:hint="eastAsia" w:ascii="宋体" w:hAnsi="宋体" w:eastAsia="宋体" w:cs="宋体"/>
                <w:color w:val="auto"/>
                <w:w w:val="90"/>
                <w:szCs w:val="21"/>
              </w:rPr>
              <w:t>ND</w:t>
            </w:r>
          </w:p>
        </w:tc>
        <w:tc>
          <w:tcPr>
            <w:tcW w:w="618" w:type="pct"/>
            <w:shd w:val="clear" w:color="auto" w:fill="auto"/>
            <w:vAlign w:val="center"/>
          </w:tcPr>
          <w:p w14:paraId="5FBC274D">
            <w:pPr>
              <w:jc w:val="center"/>
              <w:rPr>
                <w:rFonts w:hint="eastAsia" w:ascii="宋体" w:hAnsi="宋体" w:eastAsia="宋体" w:cs="宋体"/>
                <w:color w:val="auto"/>
                <w:w w:val="90"/>
                <w:kern w:val="2"/>
                <w:sz w:val="21"/>
                <w:szCs w:val="21"/>
                <w:lang w:val="en-US" w:eastAsia="zh-CN" w:bidi="ar-SA"/>
              </w:rPr>
            </w:pPr>
            <w:r>
              <w:rPr>
                <w:rFonts w:hint="eastAsia" w:ascii="宋体" w:hAnsi="宋体" w:eastAsia="宋体" w:cs="宋体"/>
                <w:color w:val="auto"/>
                <w:w w:val="90"/>
                <w:szCs w:val="21"/>
              </w:rPr>
              <w:t>达标</w:t>
            </w:r>
          </w:p>
        </w:tc>
        <w:tc>
          <w:tcPr>
            <w:tcW w:w="652" w:type="pct"/>
            <w:shd w:val="clear" w:color="auto" w:fill="auto"/>
            <w:vAlign w:val="center"/>
          </w:tcPr>
          <w:p w14:paraId="503C9CF9">
            <w:pPr>
              <w:jc w:val="center"/>
              <w:rPr>
                <w:rFonts w:hint="eastAsia" w:ascii="宋体" w:hAnsi="宋体" w:eastAsia="宋体" w:cs="宋体"/>
                <w:color w:val="auto"/>
                <w:w w:val="90"/>
                <w:kern w:val="2"/>
                <w:sz w:val="21"/>
                <w:szCs w:val="21"/>
                <w:lang w:val="en-US" w:eastAsia="zh-CN" w:bidi="ar-SA"/>
              </w:rPr>
            </w:pPr>
            <w:r>
              <w:rPr>
                <w:rFonts w:hint="eastAsia" w:ascii="宋体" w:hAnsi="宋体" w:eastAsia="宋体" w:cs="宋体"/>
                <w:color w:val="auto"/>
                <w:w w:val="90"/>
                <w:szCs w:val="21"/>
              </w:rPr>
              <w:t>ND</w:t>
            </w:r>
          </w:p>
        </w:tc>
        <w:tc>
          <w:tcPr>
            <w:tcW w:w="515" w:type="pct"/>
            <w:shd w:val="clear" w:color="auto" w:fill="auto"/>
            <w:vAlign w:val="center"/>
          </w:tcPr>
          <w:p w14:paraId="418CBF16">
            <w:pPr>
              <w:jc w:val="center"/>
              <w:rPr>
                <w:rFonts w:hint="eastAsia" w:ascii="宋体" w:hAnsi="宋体" w:eastAsia="宋体" w:cs="宋体"/>
                <w:color w:val="auto"/>
                <w:w w:val="90"/>
                <w:szCs w:val="21"/>
              </w:rPr>
            </w:pPr>
            <w:r>
              <w:rPr>
                <w:rFonts w:hint="eastAsia" w:ascii="宋体" w:hAnsi="宋体" w:eastAsia="宋体" w:cs="宋体"/>
                <w:color w:val="auto"/>
                <w:w w:val="90"/>
                <w:szCs w:val="21"/>
              </w:rPr>
              <w:t>达标</w:t>
            </w:r>
          </w:p>
        </w:tc>
        <w:tc>
          <w:tcPr>
            <w:tcW w:w="487" w:type="pct"/>
            <w:vAlign w:val="center"/>
          </w:tcPr>
          <w:p w14:paraId="4F8B7CC4">
            <w:pPr>
              <w:jc w:val="center"/>
              <w:rPr>
                <w:rFonts w:hint="eastAsia" w:ascii="宋体" w:hAnsi="宋体" w:eastAsia="宋体" w:cs="宋体"/>
                <w:color w:val="auto"/>
                <w:w w:val="90"/>
                <w:szCs w:val="21"/>
              </w:rPr>
            </w:pPr>
            <w:r>
              <w:rPr>
                <w:rFonts w:hint="eastAsia" w:ascii="宋体" w:hAnsi="宋体" w:eastAsia="宋体" w:cs="宋体"/>
                <w:color w:val="auto"/>
                <w:w w:val="90"/>
                <w:szCs w:val="21"/>
              </w:rPr>
              <w:t>0.02</w:t>
            </w:r>
          </w:p>
        </w:tc>
      </w:tr>
      <w:tr w14:paraId="4B2E0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1" w:type="pct"/>
            <w:vAlign w:val="center"/>
          </w:tcPr>
          <w:p w14:paraId="340AA4B7">
            <w:pPr>
              <w:jc w:val="center"/>
              <w:rPr>
                <w:rFonts w:hint="eastAsia" w:ascii="宋体" w:hAnsi="宋体" w:eastAsia="宋体" w:cs="宋体"/>
                <w:color w:val="auto"/>
                <w:szCs w:val="21"/>
              </w:rPr>
            </w:pPr>
            <w:r>
              <w:rPr>
                <w:rFonts w:hint="eastAsia" w:ascii="宋体" w:hAnsi="宋体" w:eastAsia="宋体" w:cs="宋体"/>
                <w:color w:val="auto"/>
                <w:szCs w:val="21"/>
              </w:rPr>
              <w:t>三氯甲烷</w:t>
            </w:r>
          </w:p>
        </w:tc>
        <w:tc>
          <w:tcPr>
            <w:tcW w:w="596" w:type="pct"/>
            <w:shd w:val="clear" w:color="auto" w:fill="auto"/>
            <w:vAlign w:val="center"/>
          </w:tcPr>
          <w:p w14:paraId="175DDF1E">
            <w:pPr>
              <w:jc w:val="center"/>
              <w:rPr>
                <w:rFonts w:hint="eastAsia" w:ascii="宋体" w:hAnsi="宋体" w:eastAsia="宋体" w:cs="宋体"/>
                <w:color w:val="auto"/>
                <w:w w:val="90"/>
                <w:kern w:val="2"/>
                <w:sz w:val="21"/>
                <w:szCs w:val="21"/>
                <w:lang w:val="en-US" w:eastAsia="zh-CN" w:bidi="ar-SA"/>
              </w:rPr>
            </w:pPr>
            <w:r>
              <w:rPr>
                <w:rFonts w:hint="eastAsia" w:ascii="宋体" w:hAnsi="宋体" w:eastAsia="宋体" w:cs="宋体"/>
                <w:color w:val="auto"/>
                <w:w w:val="90"/>
                <w:szCs w:val="21"/>
              </w:rPr>
              <w:t>0.0014</w:t>
            </w:r>
          </w:p>
        </w:tc>
        <w:tc>
          <w:tcPr>
            <w:tcW w:w="608" w:type="pct"/>
            <w:shd w:val="clear" w:color="auto" w:fill="auto"/>
            <w:vAlign w:val="center"/>
          </w:tcPr>
          <w:p w14:paraId="07454530">
            <w:pPr>
              <w:jc w:val="center"/>
              <w:rPr>
                <w:rFonts w:hint="eastAsia" w:ascii="宋体" w:hAnsi="宋体" w:eastAsia="宋体" w:cs="宋体"/>
                <w:color w:val="auto"/>
                <w:w w:val="90"/>
                <w:kern w:val="2"/>
                <w:sz w:val="21"/>
                <w:szCs w:val="21"/>
                <w:lang w:val="en-US" w:eastAsia="zh-CN" w:bidi="ar-SA"/>
              </w:rPr>
            </w:pPr>
            <w:r>
              <w:rPr>
                <w:rFonts w:hint="eastAsia" w:ascii="宋体" w:hAnsi="宋体" w:eastAsia="宋体" w:cs="宋体"/>
                <w:color w:val="auto"/>
                <w:w w:val="90"/>
                <w:szCs w:val="21"/>
              </w:rPr>
              <w:t>达标</w:t>
            </w:r>
          </w:p>
        </w:tc>
        <w:tc>
          <w:tcPr>
            <w:tcW w:w="560" w:type="pct"/>
            <w:shd w:val="clear" w:color="auto" w:fill="auto"/>
            <w:vAlign w:val="center"/>
          </w:tcPr>
          <w:p w14:paraId="077BFA43">
            <w:pPr>
              <w:jc w:val="center"/>
              <w:rPr>
                <w:rFonts w:hint="eastAsia" w:ascii="宋体" w:hAnsi="宋体" w:eastAsia="宋体" w:cs="宋体"/>
                <w:color w:val="auto"/>
                <w:w w:val="90"/>
                <w:kern w:val="2"/>
                <w:sz w:val="21"/>
                <w:szCs w:val="21"/>
                <w:lang w:val="en-US" w:eastAsia="zh-CN" w:bidi="ar-SA"/>
              </w:rPr>
            </w:pPr>
            <w:r>
              <w:rPr>
                <w:rFonts w:hint="eastAsia" w:ascii="宋体" w:hAnsi="宋体" w:eastAsia="宋体" w:cs="宋体"/>
                <w:color w:val="auto"/>
                <w:w w:val="90"/>
                <w:szCs w:val="21"/>
              </w:rPr>
              <w:t>ND</w:t>
            </w:r>
          </w:p>
        </w:tc>
        <w:tc>
          <w:tcPr>
            <w:tcW w:w="618" w:type="pct"/>
            <w:shd w:val="clear" w:color="auto" w:fill="auto"/>
            <w:vAlign w:val="center"/>
          </w:tcPr>
          <w:p w14:paraId="3A3C9C2E">
            <w:pPr>
              <w:jc w:val="center"/>
              <w:rPr>
                <w:rFonts w:hint="eastAsia" w:ascii="宋体" w:hAnsi="宋体" w:eastAsia="宋体" w:cs="宋体"/>
                <w:color w:val="auto"/>
                <w:w w:val="90"/>
                <w:kern w:val="2"/>
                <w:sz w:val="21"/>
                <w:szCs w:val="21"/>
                <w:lang w:val="en-US" w:eastAsia="zh-CN" w:bidi="ar-SA"/>
              </w:rPr>
            </w:pPr>
            <w:r>
              <w:rPr>
                <w:rFonts w:hint="eastAsia" w:ascii="宋体" w:hAnsi="宋体" w:eastAsia="宋体" w:cs="宋体"/>
                <w:color w:val="auto"/>
                <w:w w:val="90"/>
                <w:szCs w:val="21"/>
              </w:rPr>
              <w:t>达标</w:t>
            </w:r>
          </w:p>
        </w:tc>
        <w:tc>
          <w:tcPr>
            <w:tcW w:w="652" w:type="pct"/>
            <w:shd w:val="clear" w:color="auto" w:fill="auto"/>
            <w:vAlign w:val="center"/>
          </w:tcPr>
          <w:p w14:paraId="42406142">
            <w:pPr>
              <w:jc w:val="center"/>
              <w:rPr>
                <w:rFonts w:hint="eastAsia" w:ascii="宋体" w:hAnsi="宋体" w:eastAsia="宋体" w:cs="宋体"/>
                <w:color w:val="auto"/>
                <w:w w:val="90"/>
                <w:kern w:val="2"/>
                <w:sz w:val="21"/>
                <w:szCs w:val="21"/>
                <w:lang w:val="en-US" w:eastAsia="zh-CN" w:bidi="ar-SA"/>
              </w:rPr>
            </w:pPr>
            <w:r>
              <w:rPr>
                <w:rFonts w:hint="eastAsia" w:ascii="宋体" w:hAnsi="宋体" w:eastAsia="宋体" w:cs="宋体"/>
                <w:color w:val="auto"/>
                <w:w w:val="90"/>
                <w:szCs w:val="21"/>
              </w:rPr>
              <w:t>ND</w:t>
            </w:r>
          </w:p>
        </w:tc>
        <w:tc>
          <w:tcPr>
            <w:tcW w:w="515" w:type="pct"/>
            <w:shd w:val="clear" w:color="auto" w:fill="auto"/>
            <w:vAlign w:val="center"/>
          </w:tcPr>
          <w:p w14:paraId="2A02AB82">
            <w:pPr>
              <w:jc w:val="center"/>
              <w:rPr>
                <w:rFonts w:hint="eastAsia" w:ascii="宋体" w:hAnsi="宋体" w:eastAsia="宋体" w:cs="宋体"/>
                <w:color w:val="auto"/>
                <w:w w:val="90"/>
                <w:szCs w:val="21"/>
              </w:rPr>
            </w:pPr>
            <w:r>
              <w:rPr>
                <w:rFonts w:hint="eastAsia" w:ascii="宋体" w:hAnsi="宋体" w:eastAsia="宋体" w:cs="宋体"/>
                <w:color w:val="auto"/>
                <w:w w:val="90"/>
                <w:szCs w:val="21"/>
              </w:rPr>
              <w:t>达标</w:t>
            </w:r>
          </w:p>
        </w:tc>
        <w:tc>
          <w:tcPr>
            <w:tcW w:w="487" w:type="pct"/>
            <w:vAlign w:val="center"/>
          </w:tcPr>
          <w:p w14:paraId="437A702B">
            <w:pPr>
              <w:jc w:val="center"/>
              <w:rPr>
                <w:rFonts w:hint="eastAsia" w:ascii="宋体" w:hAnsi="宋体" w:eastAsia="宋体" w:cs="宋体"/>
                <w:color w:val="auto"/>
                <w:w w:val="90"/>
                <w:szCs w:val="21"/>
              </w:rPr>
            </w:pPr>
            <w:r>
              <w:rPr>
                <w:rFonts w:hint="eastAsia" w:ascii="宋体" w:hAnsi="宋体" w:eastAsia="宋体" w:cs="宋体"/>
                <w:color w:val="auto"/>
                <w:w w:val="90"/>
                <w:szCs w:val="21"/>
              </w:rPr>
              <w:t>0.06</w:t>
            </w:r>
          </w:p>
        </w:tc>
      </w:tr>
    </w:tbl>
    <w:p w14:paraId="1CC17D64">
      <w:pPr>
        <w:pStyle w:val="6"/>
        <w:bidi w:val="0"/>
      </w:pPr>
      <w:r>
        <w:rPr>
          <w:rFonts w:hint="eastAsia"/>
        </w:rPr>
        <w:t>表5.4.3-3    地下水水位监测统计表</w:t>
      </w:r>
    </w:p>
    <w:tbl>
      <w:tblPr>
        <w:tblStyle w:val="41"/>
        <w:tblW w:w="324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90"/>
        <w:gridCol w:w="975"/>
        <w:gridCol w:w="975"/>
        <w:gridCol w:w="1190"/>
        <w:gridCol w:w="964"/>
        <w:gridCol w:w="1190"/>
        <w:gridCol w:w="1409"/>
      </w:tblGrid>
      <w:tr w14:paraId="3F4EE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3" w:type="pct"/>
            <w:vAlign w:val="center"/>
          </w:tcPr>
          <w:p w14:paraId="45F42864">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点位</w:t>
            </w:r>
          </w:p>
        </w:tc>
        <w:tc>
          <w:tcPr>
            <w:tcW w:w="530" w:type="pct"/>
            <w:vAlign w:val="center"/>
          </w:tcPr>
          <w:p w14:paraId="42BE4D9C">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D1</w:t>
            </w:r>
          </w:p>
        </w:tc>
        <w:tc>
          <w:tcPr>
            <w:tcW w:w="530" w:type="pct"/>
            <w:vAlign w:val="center"/>
          </w:tcPr>
          <w:p w14:paraId="19B425E0">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D2</w:t>
            </w:r>
          </w:p>
        </w:tc>
        <w:tc>
          <w:tcPr>
            <w:tcW w:w="647" w:type="pct"/>
            <w:vAlign w:val="center"/>
          </w:tcPr>
          <w:p w14:paraId="2F1DD1CD">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D3</w:t>
            </w:r>
          </w:p>
        </w:tc>
        <w:tc>
          <w:tcPr>
            <w:tcW w:w="524" w:type="pct"/>
            <w:vAlign w:val="center"/>
          </w:tcPr>
          <w:p w14:paraId="26066DA1">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D4</w:t>
            </w:r>
          </w:p>
        </w:tc>
        <w:tc>
          <w:tcPr>
            <w:tcW w:w="647" w:type="pct"/>
            <w:vAlign w:val="center"/>
          </w:tcPr>
          <w:p w14:paraId="5FA89041">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D5</w:t>
            </w:r>
          </w:p>
        </w:tc>
        <w:tc>
          <w:tcPr>
            <w:tcW w:w="765" w:type="pct"/>
            <w:vAlign w:val="center"/>
          </w:tcPr>
          <w:p w14:paraId="60B2F47D">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D6</w:t>
            </w:r>
          </w:p>
        </w:tc>
      </w:tr>
      <w:tr w14:paraId="094CB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3" w:type="pct"/>
            <w:vAlign w:val="center"/>
          </w:tcPr>
          <w:p w14:paraId="50BB5D52">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水位（m）</w:t>
            </w:r>
          </w:p>
        </w:tc>
        <w:tc>
          <w:tcPr>
            <w:tcW w:w="530" w:type="pct"/>
            <w:vAlign w:val="center"/>
          </w:tcPr>
          <w:p w14:paraId="3EF7E86F">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2.1</w:t>
            </w:r>
          </w:p>
        </w:tc>
        <w:tc>
          <w:tcPr>
            <w:tcW w:w="530" w:type="pct"/>
            <w:vAlign w:val="center"/>
          </w:tcPr>
          <w:p w14:paraId="479CB567">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12.5</w:t>
            </w:r>
          </w:p>
        </w:tc>
        <w:tc>
          <w:tcPr>
            <w:tcW w:w="647" w:type="pct"/>
            <w:vAlign w:val="center"/>
          </w:tcPr>
          <w:p w14:paraId="61E80A68">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11.6</w:t>
            </w:r>
          </w:p>
        </w:tc>
        <w:tc>
          <w:tcPr>
            <w:tcW w:w="524" w:type="pct"/>
            <w:vAlign w:val="center"/>
          </w:tcPr>
          <w:p w14:paraId="1DE41764">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12.24</w:t>
            </w:r>
          </w:p>
        </w:tc>
        <w:tc>
          <w:tcPr>
            <w:tcW w:w="647" w:type="pct"/>
            <w:vAlign w:val="center"/>
          </w:tcPr>
          <w:p w14:paraId="5262287A">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12.55</w:t>
            </w:r>
          </w:p>
        </w:tc>
        <w:tc>
          <w:tcPr>
            <w:tcW w:w="765" w:type="pct"/>
            <w:vAlign w:val="center"/>
          </w:tcPr>
          <w:p w14:paraId="1AB79F4C">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2.52</w:t>
            </w:r>
          </w:p>
        </w:tc>
      </w:tr>
    </w:tbl>
    <w:p w14:paraId="5A22D7EB">
      <w:pPr>
        <w:spacing w:line="360" w:lineRule="auto"/>
        <w:ind w:firstLine="480" w:firstLineChars="200"/>
        <w:rPr>
          <w:rFonts w:ascii="Times New Roman" w:hAnsi="Times New Roman" w:eastAsia="宋体" w:cs="宋体"/>
          <w:color w:val="auto"/>
          <w:sz w:val="24"/>
          <w:szCs w:val="24"/>
        </w:rPr>
      </w:pPr>
      <w:r>
        <w:rPr>
          <w:rFonts w:hint="eastAsia" w:ascii="Times New Roman" w:hAnsi="Times New Roman" w:eastAsia="宋体" w:cs="宋体"/>
          <w:color w:val="auto"/>
          <w:sz w:val="24"/>
          <w:szCs w:val="24"/>
        </w:rPr>
        <w:t>由表可知，D1-D</w:t>
      </w:r>
      <w:r>
        <w:rPr>
          <w:rFonts w:hint="eastAsia" w:ascii="Times New Roman" w:hAnsi="Times New Roman" w:eastAsia="宋体" w:cs="宋体"/>
          <w:color w:val="auto"/>
          <w:sz w:val="24"/>
          <w:szCs w:val="24"/>
          <w:lang w:val="en-US" w:eastAsia="zh-CN"/>
        </w:rPr>
        <w:t>3</w:t>
      </w:r>
      <w:r>
        <w:rPr>
          <w:rFonts w:hint="eastAsia" w:ascii="Times New Roman" w:hAnsi="Times New Roman" w:eastAsia="宋体" w:cs="宋体"/>
          <w:color w:val="auto"/>
          <w:sz w:val="24"/>
          <w:szCs w:val="24"/>
        </w:rPr>
        <w:t>锰存在超标情况，为区域地下水普遍现象，其余各监测点监测因子均满足《地下水质量标准》（GB/T 14848-2017）中</w:t>
      </w:r>
      <w:r>
        <w:rPr>
          <w:rFonts w:hint="eastAsia" w:ascii="Times New Roman" w:hAnsi="Times New Roman" w:eastAsia="宋体" w:cs="宋体"/>
          <w:color w:val="auto"/>
          <w:sz w:val="24"/>
          <w:szCs w:val="24"/>
        </w:rPr>
        <w:fldChar w:fldCharType="begin"/>
      </w:r>
      <w:r>
        <w:rPr>
          <w:rFonts w:hint="eastAsia" w:ascii="Times New Roman" w:hAnsi="Times New Roman" w:eastAsia="宋体" w:cs="宋体"/>
          <w:color w:val="auto"/>
          <w:sz w:val="24"/>
          <w:szCs w:val="24"/>
        </w:rPr>
        <w:instrText xml:space="preserve"> = 3 \* ROMAN </w:instrText>
      </w:r>
      <w:r>
        <w:rPr>
          <w:rFonts w:hint="eastAsia" w:ascii="Times New Roman" w:hAnsi="Times New Roman" w:eastAsia="宋体" w:cs="宋体"/>
          <w:color w:val="auto"/>
          <w:sz w:val="24"/>
          <w:szCs w:val="24"/>
        </w:rPr>
        <w:fldChar w:fldCharType="separate"/>
      </w:r>
      <w:r>
        <w:rPr>
          <w:rFonts w:hint="eastAsia" w:ascii="Times New Roman" w:hAnsi="Times New Roman" w:eastAsia="宋体" w:cs="宋体"/>
          <w:color w:val="auto"/>
          <w:sz w:val="24"/>
          <w:szCs w:val="24"/>
        </w:rPr>
        <w:t>III</w:t>
      </w:r>
      <w:r>
        <w:rPr>
          <w:rFonts w:hint="eastAsia" w:ascii="Times New Roman" w:hAnsi="Times New Roman" w:eastAsia="宋体" w:cs="宋体"/>
          <w:color w:val="auto"/>
          <w:sz w:val="24"/>
          <w:szCs w:val="24"/>
        </w:rPr>
        <w:fldChar w:fldCharType="end"/>
      </w:r>
      <w:r>
        <w:rPr>
          <w:rFonts w:hint="eastAsia" w:ascii="Times New Roman" w:hAnsi="Times New Roman" w:eastAsia="宋体" w:cs="宋体"/>
          <w:color w:val="auto"/>
          <w:sz w:val="24"/>
          <w:szCs w:val="24"/>
        </w:rPr>
        <w:t>类标准。</w:t>
      </w:r>
    </w:p>
    <w:p w14:paraId="4C50C742">
      <w:pPr>
        <w:keepNext/>
        <w:keepLines/>
        <w:spacing w:before="156" w:beforeLines="50" w:after="156" w:afterLines="50" w:line="360" w:lineRule="auto"/>
        <w:outlineLvl w:val="2"/>
        <w:rPr>
          <w:rFonts w:ascii="Times New Roman" w:hAnsi="Times New Roman" w:eastAsia="宋体" w:cs="Times New Roman"/>
          <w:b/>
          <w:color w:val="FF0000"/>
          <w:kern w:val="0"/>
          <w:sz w:val="24"/>
          <w:szCs w:val="24"/>
        </w:rPr>
        <w:sectPr>
          <w:pgSz w:w="16838" w:h="11906" w:orient="landscape"/>
          <w:pgMar w:top="1800" w:right="1440" w:bottom="1800" w:left="1440" w:header="851" w:footer="992" w:gutter="0"/>
          <w:pgNumType w:fmt="numberInDash"/>
          <w:cols w:space="720" w:num="1"/>
          <w:docGrid w:type="lines" w:linePitch="312" w:charSpace="0"/>
        </w:sectPr>
      </w:pPr>
    </w:p>
    <w:p w14:paraId="38068C5C">
      <w:pPr>
        <w:keepNext/>
        <w:keepLines/>
        <w:spacing w:before="156" w:beforeLines="50" w:after="156" w:afterLines="50" w:line="360" w:lineRule="auto"/>
        <w:outlineLvl w:val="2"/>
        <w:rPr>
          <w:rFonts w:ascii="Times New Roman" w:hAnsi="Times New Roman" w:eastAsia="宋体" w:cs="Times New Roman"/>
          <w:b/>
          <w:color w:val="auto"/>
          <w:kern w:val="0"/>
          <w:sz w:val="24"/>
          <w:szCs w:val="24"/>
        </w:rPr>
      </w:pPr>
      <w:r>
        <w:rPr>
          <w:rFonts w:ascii="Times New Roman" w:hAnsi="Times New Roman" w:eastAsia="宋体" w:cs="Times New Roman"/>
          <w:b/>
          <w:color w:val="auto"/>
          <w:kern w:val="0"/>
          <w:sz w:val="24"/>
          <w:szCs w:val="24"/>
        </w:rPr>
        <w:t>5.</w:t>
      </w:r>
      <w:r>
        <w:rPr>
          <w:rFonts w:hint="eastAsia" w:ascii="Times New Roman" w:hAnsi="Times New Roman" w:eastAsia="宋体" w:cs="Times New Roman"/>
          <w:b/>
          <w:color w:val="auto"/>
          <w:kern w:val="0"/>
          <w:sz w:val="24"/>
          <w:szCs w:val="24"/>
        </w:rPr>
        <w:t>4</w:t>
      </w:r>
      <w:r>
        <w:rPr>
          <w:rFonts w:ascii="Times New Roman" w:hAnsi="Times New Roman" w:eastAsia="宋体" w:cs="Times New Roman"/>
          <w:b/>
          <w:color w:val="auto"/>
          <w:kern w:val="0"/>
          <w:sz w:val="24"/>
          <w:szCs w:val="24"/>
        </w:rPr>
        <w:t>.4土壤环境质量现状监测与评价</w:t>
      </w:r>
    </w:p>
    <w:p w14:paraId="6FC04583">
      <w:pPr>
        <w:spacing w:line="360" w:lineRule="auto"/>
        <w:ind w:firstLine="480" w:firstLineChars="200"/>
        <w:rPr>
          <w:rFonts w:hint="default" w:ascii="Times New Roman" w:hAnsi="Times New Roman" w:eastAsia="宋体" w:cs="宋体"/>
          <w:color w:val="auto"/>
          <w:sz w:val="24"/>
          <w:szCs w:val="24"/>
          <w:lang w:val="en-US" w:eastAsia="zh-CN"/>
        </w:rPr>
      </w:pPr>
      <w:r>
        <w:rPr>
          <w:rFonts w:ascii="Times New Roman" w:hAnsi="Times New Roman" w:eastAsia="宋体" w:cs="宋体"/>
          <w:color w:val="auto"/>
          <w:sz w:val="24"/>
          <w:szCs w:val="24"/>
        </w:rPr>
        <w:t>项目选址位于</w:t>
      </w:r>
      <w:r>
        <w:rPr>
          <w:rFonts w:hint="eastAsia" w:ascii="Times New Roman" w:hAnsi="Times New Roman" w:eastAsia="宋体" w:cs="宋体"/>
          <w:color w:val="auto"/>
          <w:sz w:val="24"/>
          <w:szCs w:val="24"/>
        </w:rPr>
        <w:t>津市高新技术产业开发区</w:t>
      </w:r>
      <w:r>
        <w:rPr>
          <w:rFonts w:ascii="Times New Roman" w:hAnsi="Times New Roman" w:eastAsia="宋体" w:cs="宋体"/>
          <w:color w:val="auto"/>
          <w:sz w:val="24"/>
          <w:szCs w:val="24"/>
        </w:rPr>
        <w:t>，</w:t>
      </w:r>
      <w:r>
        <w:rPr>
          <w:rFonts w:hint="eastAsia" w:ascii="Times New Roman" w:hAnsi="Times New Roman" w:eastAsia="宋体" w:cs="宋体"/>
          <w:color w:val="auto"/>
          <w:sz w:val="24"/>
          <w:szCs w:val="24"/>
        </w:rPr>
        <w:t>周边均为园区工业用地或工业企业，不属于土壤环境敏感目标（耕地、牧草地、饮用水水源地或居民区、学校、医院等）</w:t>
      </w:r>
      <w:r>
        <w:rPr>
          <w:rFonts w:ascii="Times New Roman" w:hAnsi="Times New Roman" w:eastAsia="宋体" w:cs="宋体"/>
          <w:color w:val="auto"/>
          <w:sz w:val="24"/>
          <w:szCs w:val="24"/>
        </w:rPr>
        <w:t>，土壤环境敏感程度为</w:t>
      </w:r>
      <w:r>
        <w:rPr>
          <w:rFonts w:hint="eastAsia" w:ascii="Times New Roman" w:hAnsi="Times New Roman" w:eastAsia="宋体" w:cs="宋体"/>
          <w:color w:val="auto"/>
          <w:sz w:val="24"/>
          <w:szCs w:val="24"/>
        </w:rPr>
        <w:t>不</w:t>
      </w:r>
      <w:r>
        <w:rPr>
          <w:rFonts w:ascii="Times New Roman" w:hAnsi="Times New Roman" w:eastAsia="宋体" w:cs="宋体"/>
          <w:color w:val="auto"/>
          <w:sz w:val="24"/>
          <w:szCs w:val="24"/>
        </w:rPr>
        <w:t>敏感。对照《环境影响评价技术导则 土壤环境（试行）》（HJ 964-2018）附录A，本项目属于</w:t>
      </w:r>
      <w:r>
        <w:rPr>
          <w:rFonts w:hint="eastAsia" w:ascii="Times New Roman" w:hAnsi="Times New Roman" w:eastAsia="宋体" w:cs="宋体"/>
          <w:color w:val="auto"/>
          <w:sz w:val="24"/>
          <w:szCs w:val="24"/>
        </w:rPr>
        <w:t>“粮食及饲料加工”，属于</w:t>
      </w:r>
      <w:r>
        <w:rPr>
          <w:rFonts w:hint="eastAsia" w:ascii="宋体" w:hAnsi="宋体" w:eastAsia="宋体" w:cs="宋体"/>
          <w:color w:val="auto"/>
          <w:sz w:val="24"/>
          <w:szCs w:val="24"/>
        </w:rPr>
        <w:t>Ⅳ</w:t>
      </w:r>
      <w:r>
        <w:rPr>
          <w:rFonts w:ascii="Times New Roman" w:hAnsi="Times New Roman" w:eastAsia="宋体" w:cs="宋体"/>
          <w:color w:val="auto"/>
          <w:sz w:val="24"/>
          <w:szCs w:val="24"/>
        </w:rPr>
        <w:t>类项目。</w:t>
      </w:r>
      <w:r>
        <w:rPr>
          <w:rFonts w:hint="eastAsia" w:ascii="Times New Roman" w:hAnsi="Times New Roman" w:eastAsia="宋体" w:cs="宋体"/>
          <w:color w:val="auto"/>
          <w:sz w:val="24"/>
          <w:szCs w:val="24"/>
          <w:lang w:val="en-US" w:eastAsia="zh-CN"/>
        </w:rPr>
        <w:t>本项目可不开展土壤环境影响评价工作，不开展土壤环境质量现状监测。</w:t>
      </w:r>
    </w:p>
    <w:p w14:paraId="4FB0254B">
      <w:pPr>
        <w:keepNext/>
        <w:keepLines/>
        <w:spacing w:before="156" w:beforeLines="50" w:after="156" w:afterLines="50" w:line="360" w:lineRule="auto"/>
        <w:outlineLvl w:val="2"/>
        <w:rPr>
          <w:rFonts w:ascii="Times New Roman" w:hAnsi="Times New Roman" w:eastAsia="宋体" w:cs="Times New Roman"/>
          <w:b/>
          <w:color w:val="auto"/>
          <w:kern w:val="0"/>
          <w:sz w:val="24"/>
          <w:szCs w:val="24"/>
        </w:rPr>
      </w:pPr>
      <w:r>
        <w:rPr>
          <w:rFonts w:ascii="Times New Roman" w:hAnsi="Times New Roman" w:eastAsia="宋体" w:cs="Times New Roman"/>
          <w:b/>
          <w:color w:val="auto"/>
          <w:kern w:val="0"/>
          <w:sz w:val="24"/>
          <w:szCs w:val="24"/>
        </w:rPr>
        <w:t>5.</w:t>
      </w:r>
      <w:r>
        <w:rPr>
          <w:rFonts w:hint="eastAsia" w:ascii="Times New Roman" w:hAnsi="Times New Roman" w:eastAsia="宋体" w:cs="Times New Roman"/>
          <w:b/>
          <w:color w:val="auto"/>
          <w:kern w:val="0"/>
          <w:sz w:val="24"/>
          <w:szCs w:val="24"/>
        </w:rPr>
        <w:t>4.</w:t>
      </w:r>
      <w:r>
        <w:rPr>
          <w:rFonts w:ascii="Times New Roman" w:hAnsi="Times New Roman" w:eastAsia="宋体" w:cs="Times New Roman"/>
          <w:b/>
          <w:color w:val="auto"/>
          <w:kern w:val="0"/>
          <w:sz w:val="24"/>
          <w:szCs w:val="24"/>
        </w:rPr>
        <w:t>5声环境质量现状监测与评价</w:t>
      </w:r>
    </w:p>
    <w:p w14:paraId="08D9ED09">
      <w:pPr>
        <w:spacing w:line="360" w:lineRule="auto"/>
        <w:ind w:firstLine="480" w:firstLineChars="200"/>
        <w:rPr>
          <w:rFonts w:hint="eastAsia" w:ascii="Times New Roman" w:hAnsi="Times New Roman" w:eastAsia="宋体" w:cs="宋体"/>
          <w:color w:val="auto"/>
          <w:sz w:val="24"/>
          <w:szCs w:val="24"/>
          <w:lang w:eastAsia="zh-CN"/>
        </w:rPr>
      </w:pPr>
      <w:r>
        <w:rPr>
          <w:rFonts w:hint="eastAsia" w:ascii="Times New Roman" w:hAnsi="Times New Roman" w:eastAsia="宋体" w:cs="宋体"/>
          <w:color w:val="auto"/>
          <w:sz w:val="24"/>
          <w:szCs w:val="24"/>
        </w:rPr>
        <w:t>项目周边无噪声敏感点，</w:t>
      </w:r>
      <w:r>
        <w:rPr>
          <w:rFonts w:hint="eastAsia" w:ascii="Times New Roman" w:hAnsi="Times New Roman" w:eastAsia="宋体" w:cs="宋体"/>
          <w:color w:val="auto"/>
          <w:sz w:val="24"/>
          <w:szCs w:val="24"/>
          <w:lang w:val="en-US" w:eastAsia="zh-CN"/>
        </w:rPr>
        <w:t>厂界200m范围内均为企业</w:t>
      </w:r>
      <w:r>
        <w:rPr>
          <w:rFonts w:hint="eastAsia" w:ascii="Times New Roman" w:hAnsi="Times New Roman" w:eastAsia="宋体" w:cs="宋体"/>
          <w:color w:val="auto"/>
          <w:sz w:val="24"/>
          <w:szCs w:val="24"/>
        </w:rPr>
        <w:t>。为了解项目地周边的声环境现状，本次评价</w:t>
      </w:r>
      <w:r>
        <w:rPr>
          <w:rFonts w:hint="eastAsia" w:ascii="Times New Roman" w:hAnsi="Times New Roman" w:eastAsia="宋体" w:cs="宋体"/>
          <w:color w:val="auto"/>
          <w:sz w:val="24"/>
          <w:szCs w:val="24"/>
          <w:lang w:val="en-US" w:eastAsia="zh-CN"/>
        </w:rPr>
        <w:t>委托常德市常环环境科技有限公司</w:t>
      </w:r>
      <w:r>
        <w:rPr>
          <w:rFonts w:hint="eastAsia" w:ascii="Times New Roman" w:hAnsi="Times New Roman" w:eastAsia="宋体" w:cs="宋体"/>
          <w:color w:val="auto"/>
          <w:sz w:val="24"/>
          <w:szCs w:val="24"/>
        </w:rPr>
        <w:t>于2024年</w:t>
      </w:r>
      <w:r>
        <w:rPr>
          <w:rFonts w:hint="eastAsia" w:ascii="Times New Roman" w:hAnsi="Times New Roman" w:eastAsia="宋体" w:cs="宋体"/>
          <w:color w:val="auto"/>
          <w:sz w:val="24"/>
          <w:szCs w:val="24"/>
          <w:lang w:val="en-US" w:eastAsia="zh-CN"/>
        </w:rPr>
        <w:t>10</w:t>
      </w:r>
      <w:r>
        <w:rPr>
          <w:rFonts w:hint="eastAsia" w:ascii="Times New Roman" w:hAnsi="Times New Roman" w:eastAsia="宋体" w:cs="宋体"/>
          <w:color w:val="auto"/>
          <w:sz w:val="24"/>
          <w:szCs w:val="24"/>
        </w:rPr>
        <w:t>月</w:t>
      </w:r>
      <w:r>
        <w:rPr>
          <w:rFonts w:hint="eastAsia" w:ascii="Times New Roman" w:hAnsi="Times New Roman" w:eastAsia="宋体" w:cs="宋体"/>
          <w:color w:val="auto"/>
          <w:sz w:val="24"/>
          <w:szCs w:val="24"/>
          <w:lang w:val="en-US" w:eastAsia="zh-CN"/>
        </w:rPr>
        <w:t>15</w:t>
      </w:r>
      <w:r>
        <w:rPr>
          <w:rFonts w:hint="eastAsia" w:ascii="Times New Roman" w:hAnsi="Times New Roman" w:eastAsia="宋体" w:cs="宋体"/>
          <w:color w:val="auto"/>
          <w:sz w:val="24"/>
          <w:szCs w:val="24"/>
        </w:rPr>
        <w:t>日对厂界噪声监测</w:t>
      </w:r>
      <w:r>
        <w:rPr>
          <w:rFonts w:hint="eastAsia" w:ascii="Times New Roman" w:hAnsi="Times New Roman" w:eastAsia="宋体" w:cs="宋体"/>
          <w:color w:val="auto"/>
          <w:sz w:val="24"/>
          <w:szCs w:val="24"/>
          <w:lang w:eastAsia="zh-CN"/>
        </w:rPr>
        <w:t>。</w:t>
      </w:r>
    </w:p>
    <w:p w14:paraId="6166B17C">
      <w:pPr>
        <w:spacing w:line="360" w:lineRule="auto"/>
        <w:ind w:firstLine="480" w:firstLineChars="200"/>
        <w:rPr>
          <w:rFonts w:hint="eastAsia" w:ascii="Times New Roman" w:hAnsi="Times New Roman" w:eastAsia="宋体" w:cs="宋体"/>
          <w:color w:val="auto"/>
          <w:sz w:val="24"/>
          <w:szCs w:val="24"/>
          <w:lang w:eastAsia="zh-CN"/>
        </w:rPr>
      </w:pPr>
      <w:r>
        <w:rPr>
          <w:rFonts w:hint="eastAsia" w:ascii="Times New Roman" w:hAnsi="Times New Roman" w:eastAsia="宋体" w:cs="宋体"/>
          <w:color w:val="auto"/>
          <w:sz w:val="24"/>
          <w:szCs w:val="24"/>
          <w:lang w:eastAsia="zh-CN"/>
        </w:rPr>
        <w:t>1、监测布点</w:t>
      </w:r>
    </w:p>
    <w:p w14:paraId="57448739">
      <w:pPr>
        <w:spacing w:line="360" w:lineRule="auto"/>
        <w:ind w:firstLine="480" w:firstLineChars="200"/>
        <w:rPr>
          <w:rFonts w:hint="eastAsia" w:ascii="Times New Roman" w:hAnsi="Times New Roman" w:eastAsia="宋体" w:cs="宋体"/>
          <w:color w:val="auto"/>
          <w:sz w:val="24"/>
          <w:szCs w:val="24"/>
          <w:lang w:eastAsia="zh-CN"/>
        </w:rPr>
      </w:pPr>
      <w:r>
        <w:rPr>
          <w:rFonts w:hint="eastAsia" w:ascii="Times New Roman" w:hAnsi="Times New Roman" w:eastAsia="宋体" w:cs="宋体"/>
          <w:color w:val="auto"/>
          <w:sz w:val="24"/>
          <w:szCs w:val="24"/>
          <w:lang w:eastAsia="zh-CN"/>
        </w:rPr>
        <w:t>本评价委托</w:t>
      </w:r>
      <w:r>
        <w:rPr>
          <w:rFonts w:hint="eastAsia" w:ascii="Times New Roman" w:hAnsi="Times New Roman" w:eastAsia="宋体" w:cs="宋体"/>
          <w:color w:val="auto"/>
          <w:sz w:val="24"/>
          <w:szCs w:val="24"/>
          <w:lang w:val="en-US" w:eastAsia="zh-CN"/>
        </w:rPr>
        <w:t>常德市常环环境科技有限公司</w:t>
      </w:r>
      <w:r>
        <w:rPr>
          <w:rFonts w:hint="eastAsia" w:ascii="Times New Roman" w:hAnsi="Times New Roman" w:eastAsia="宋体" w:cs="宋体"/>
          <w:color w:val="auto"/>
          <w:sz w:val="24"/>
          <w:szCs w:val="24"/>
          <w:lang w:eastAsia="zh-CN"/>
        </w:rPr>
        <w:t>对本项目拟建地厂界四周进行了布点监测，监测点布设见附图监测点位示意图。</w:t>
      </w:r>
    </w:p>
    <w:p w14:paraId="5D419921">
      <w:pPr>
        <w:spacing w:line="360" w:lineRule="auto"/>
        <w:ind w:firstLine="480" w:firstLineChars="200"/>
        <w:rPr>
          <w:rFonts w:hint="eastAsia" w:ascii="Times New Roman" w:hAnsi="Times New Roman" w:eastAsia="宋体" w:cs="宋体"/>
          <w:color w:val="auto"/>
          <w:sz w:val="24"/>
          <w:szCs w:val="24"/>
          <w:lang w:eastAsia="zh-CN"/>
        </w:rPr>
      </w:pPr>
      <w:r>
        <w:rPr>
          <w:rFonts w:hint="eastAsia" w:ascii="Times New Roman" w:hAnsi="Times New Roman" w:eastAsia="宋体" w:cs="宋体"/>
          <w:color w:val="auto"/>
          <w:sz w:val="24"/>
          <w:szCs w:val="24"/>
          <w:lang w:eastAsia="zh-CN"/>
        </w:rPr>
        <w:t>2、监测时间与频率</w:t>
      </w:r>
    </w:p>
    <w:p w14:paraId="5A924202">
      <w:pPr>
        <w:spacing w:line="360" w:lineRule="auto"/>
        <w:ind w:firstLine="480" w:firstLineChars="200"/>
        <w:rPr>
          <w:rFonts w:hint="eastAsia" w:ascii="Times New Roman" w:hAnsi="Times New Roman" w:eastAsia="宋体" w:cs="宋体"/>
          <w:color w:val="auto"/>
          <w:sz w:val="24"/>
          <w:szCs w:val="24"/>
          <w:lang w:eastAsia="zh-CN"/>
        </w:rPr>
      </w:pPr>
      <w:r>
        <w:rPr>
          <w:rFonts w:hint="eastAsia" w:ascii="Times New Roman" w:hAnsi="Times New Roman" w:eastAsia="宋体" w:cs="宋体"/>
          <w:color w:val="auto"/>
          <w:sz w:val="24"/>
          <w:szCs w:val="24"/>
          <w:lang w:val="en-US" w:eastAsia="zh-CN"/>
        </w:rPr>
        <w:t>常德市常环环境科技有限公司</w:t>
      </w:r>
      <w:r>
        <w:rPr>
          <w:rFonts w:hint="eastAsia" w:ascii="Times New Roman" w:hAnsi="Times New Roman" w:eastAsia="宋体" w:cs="宋体"/>
          <w:color w:val="auto"/>
          <w:sz w:val="24"/>
          <w:szCs w:val="24"/>
          <w:lang w:eastAsia="zh-CN"/>
        </w:rPr>
        <w:t>于</w:t>
      </w:r>
      <w:r>
        <w:rPr>
          <w:rFonts w:hint="eastAsia" w:ascii="Times New Roman" w:hAnsi="Times New Roman" w:eastAsia="宋体" w:cs="宋体"/>
          <w:color w:val="auto"/>
          <w:sz w:val="24"/>
          <w:szCs w:val="24"/>
          <w:lang w:val="en-US" w:eastAsia="zh-CN"/>
        </w:rPr>
        <w:t xml:space="preserve"> </w:t>
      </w:r>
      <w:r>
        <w:rPr>
          <w:rFonts w:hint="eastAsia" w:ascii="Times New Roman" w:hAnsi="Times New Roman" w:eastAsia="宋体" w:cs="宋体"/>
          <w:color w:val="auto"/>
          <w:sz w:val="24"/>
          <w:szCs w:val="24"/>
          <w:lang w:eastAsia="zh-CN"/>
        </w:rPr>
        <w:t>2024年</w:t>
      </w:r>
      <w:r>
        <w:rPr>
          <w:rFonts w:hint="eastAsia" w:ascii="Times New Roman" w:hAnsi="Times New Roman" w:eastAsia="宋体" w:cs="宋体"/>
          <w:color w:val="auto"/>
          <w:sz w:val="24"/>
          <w:szCs w:val="24"/>
          <w:lang w:val="en-US" w:eastAsia="zh-CN"/>
        </w:rPr>
        <w:t>10</w:t>
      </w:r>
      <w:r>
        <w:rPr>
          <w:rFonts w:hint="eastAsia" w:ascii="Times New Roman" w:hAnsi="Times New Roman" w:eastAsia="宋体" w:cs="宋体"/>
          <w:color w:val="auto"/>
          <w:sz w:val="24"/>
          <w:szCs w:val="24"/>
          <w:lang w:eastAsia="zh-CN"/>
        </w:rPr>
        <w:t>月</w:t>
      </w:r>
      <w:r>
        <w:rPr>
          <w:rFonts w:hint="eastAsia" w:ascii="Times New Roman" w:hAnsi="Times New Roman" w:eastAsia="宋体" w:cs="宋体"/>
          <w:color w:val="auto"/>
          <w:sz w:val="24"/>
          <w:szCs w:val="24"/>
          <w:lang w:val="en-US" w:eastAsia="zh-CN"/>
        </w:rPr>
        <w:t>15</w:t>
      </w:r>
      <w:r>
        <w:rPr>
          <w:rFonts w:hint="eastAsia" w:ascii="Times New Roman" w:hAnsi="Times New Roman" w:eastAsia="宋体" w:cs="宋体"/>
          <w:color w:val="auto"/>
          <w:sz w:val="24"/>
          <w:szCs w:val="24"/>
          <w:lang w:eastAsia="zh-CN"/>
        </w:rPr>
        <w:t>日对本项目厂界进行了噪声监测，分昼、夜两个时段监测。</w:t>
      </w:r>
    </w:p>
    <w:p w14:paraId="0A1D83C1">
      <w:pPr>
        <w:spacing w:line="360" w:lineRule="auto"/>
        <w:ind w:firstLine="480" w:firstLineChars="200"/>
        <w:rPr>
          <w:rFonts w:hint="eastAsia" w:ascii="Times New Roman" w:hAnsi="Times New Roman" w:eastAsia="宋体" w:cs="宋体"/>
          <w:color w:val="auto"/>
          <w:sz w:val="24"/>
          <w:szCs w:val="24"/>
          <w:lang w:eastAsia="zh-CN"/>
        </w:rPr>
      </w:pPr>
      <w:r>
        <w:rPr>
          <w:rFonts w:hint="eastAsia" w:ascii="Times New Roman" w:hAnsi="Times New Roman" w:eastAsia="宋体" w:cs="宋体"/>
          <w:color w:val="auto"/>
          <w:sz w:val="24"/>
          <w:szCs w:val="24"/>
          <w:lang w:eastAsia="zh-CN"/>
        </w:rPr>
        <w:t>3、监测结果及评价</w:t>
      </w:r>
    </w:p>
    <w:p w14:paraId="49A4CB4D">
      <w:pPr>
        <w:spacing w:line="360" w:lineRule="auto"/>
        <w:ind w:firstLine="480" w:firstLineChars="200"/>
        <w:rPr>
          <w:rFonts w:hint="eastAsia" w:ascii="Times New Roman" w:hAnsi="Times New Roman" w:eastAsia="宋体" w:cs="宋体"/>
          <w:color w:val="auto"/>
          <w:sz w:val="24"/>
          <w:szCs w:val="24"/>
          <w:lang w:eastAsia="zh-CN"/>
        </w:rPr>
      </w:pPr>
      <w:r>
        <w:rPr>
          <w:rFonts w:hint="eastAsia" w:ascii="Times New Roman" w:hAnsi="Times New Roman" w:eastAsia="宋体" w:cs="宋体"/>
          <w:color w:val="auto"/>
          <w:sz w:val="24"/>
          <w:szCs w:val="24"/>
          <w:lang w:eastAsia="zh-CN"/>
        </w:rPr>
        <w:t>厂界四周声环境质量现状监测结果列于下表。</w:t>
      </w:r>
    </w:p>
    <w:p w14:paraId="33939653">
      <w:pPr>
        <w:spacing w:line="360" w:lineRule="auto"/>
        <w:ind w:firstLine="480" w:firstLineChars="200"/>
        <w:rPr>
          <w:rFonts w:ascii="Times New Roman" w:hAnsi="Times New Roman" w:eastAsia="宋体" w:cs="宋体"/>
          <w:color w:val="auto"/>
          <w:sz w:val="24"/>
          <w:szCs w:val="24"/>
        </w:rPr>
      </w:pPr>
      <w:r>
        <w:rPr>
          <w:rFonts w:hint="eastAsia" w:ascii="Times New Roman" w:hAnsi="Times New Roman" w:eastAsia="宋体" w:cs="宋体"/>
          <w:color w:val="auto"/>
          <w:sz w:val="24"/>
          <w:szCs w:val="24"/>
        </w:rPr>
        <w:t>监测结果如下表。</w:t>
      </w:r>
    </w:p>
    <w:p w14:paraId="3FFAAD18">
      <w:pPr>
        <w:pStyle w:val="6"/>
        <w:bidi w:val="0"/>
      </w:pPr>
      <w:r>
        <w:rPr>
          <w:rFonts w:hint="eastAsia"/>
        </w:rPr>
        <w:t>表5.4.5-1    噪声检测结果及评价 单位：dB（A）</w:t>
      </w:r>
    </w:p>
    <w:tbl>
      <w:tblPr>
        <w:tblStyle w:val="41"/>
        <w:tblW w:w="84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5"/>
        <w:gridCol w:w="1363"/>
        <w:gridCol w:w="1657"/>
        <w:gridCol w:w="1888"/>
        <w:gridCol w:w="1800"/>
      </w:tblGrid>
      <w:tr w14:paraId="744F2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5" w:type="dxa"/>
            <w:noWrap w:val="0"/>
            <w:vAlign w:val="center"/>
          </w:tcPr>
          <w:p w14:paraId="4766FA55">
            <w:pPr>
              <w:pStyle w:val="21"/>
              <w:spacing w:line="240" w:lineRule="auto"/>
              <w:ind w:firstLine="0"/>
              <w:jc w:val="center"/>
              <w:rPr>
                <w:rFonts w:hint="default" w:ascii="Times New Roman" w:hAnsi="Times New Roman"/>
                <w:b/>
                <w:bCs/>
                <w:color w:val="auto"/>
                <w:sz w:val="22"/>
                <w:szCs w:val="24"/>
                <w:u w:val="none" w:color="auto"/>
              </w:rPr>
            </w:pPr>
            <w:r>
              <w:rPr>
                <w:rFonts w:hint="default" w:ascii="Times New Roman" w:hAnsi="Times New Roman"/>
                <w:b/>
                <w:bCs/>
                <w:color w:val="auto"/>
                <w:sz w:val="22"/>
                <w:szCs w:val="24"/>
                <w:u w:val="none" w:color="auto"/>
              </w:rPr>
              <w:t>监测点位</w:t>
            </w:r>
          </w:p>
        </w:tc>
        <w:tc>
          <w:tcPr>
            <w:tcW w:w="1363" w:type="dxa"/>
            <w:noWrap w:val="0"/>
            <w:vAlign w:val="center"/>
          </w:tcPr>
          <w:p w14:paraId="13F8D50C">
            <w:pPr>
              <w:pStyle w:val="21"/>
              <w:spacing w:line="240" w:lineRule="auto"/>
              <w:ind w:firstLine="0"/>
              <w:jc w:val="center"/>
              <w:rPr>
                <w:rFonts w:hint="default" w:ascii="Times New Roman" w:hAnsi="Times New Roman"/>
                <w:b/>
                <w:bCs/>
                <w:color w:val="auto"/>
                <w:sz w:val="22"/>
                <w:szCs w:val="24"/>
                <w:u w:val="none" w:color="auto"/>
              </w:rPr>
            </w:pPr>
            <w:r>
              <w:rPr>
                <w:rFonts w:hint="default" w:ascii="Times New Roman" w:hAnsi="Times New Roman"/>
                <w:b/>
                <w:bCs/>
                <w:color w:val="auto"/>
                <w:sz w:val="22"/>
                <w:szCs w:val="24"/>
                <w:u w:val="none" w:color="auto"/>
              </w:rPr>
              <w:t>监测时段</w:t>
            </w:r>
          </w:p>
        </w:tc>
        <w:tc>
          <w:tcPr>
            <w:tcW w:w="1657" w:type="dxa"/>
            <w:noWrap w:val="0"/>
            <w:vAlign w:val="center"/>
          </w:tcPr>
          <w:p w14:paraId="7C861D48">
            <w:pPr>
              <w:pStyle w:val="21"/>
              <w:spacing w:line="240" w:lineRule="auto"/>
              <w:ind w:firstLine="0"/>
              <w:jc w:val="center"/>
              <w:rPr>
                <w:rFonts w:hint="default" w:ascii="Times New Roman" w:hAnsi="Times New Roman"/>
                <w:b/>
                <w:bCs/>
                <w:color w:val="auto"/>
                <w:sz w:val="22"/>
                <w:szCs w:val="24"/>
                <w:u w:val="none" w:color="auto"/>
              </w:rPr>
            </w:pPr>
            <w:r>
              <w:rPr>
                <w:rFonts w:hint="default" w:ascii="Times New Roman" w:hAnsi="Times New Roman"/>
                <w:b/>
                <w:bCs/>
                <w:color w:val="auto"/>
                <w:sz w:val="22"/>
                <w:szCs w:val="24"/>
                <w:u w:val="none" w:color="auto"/>
              </w:rPr>
              <w:t>监测结果</w:t>
            </w:r>
          </w:p>
        </w:tc>
        <w:tc>
          <w:tcPr>
            <w:tcW w:w="1888" w:type="dxa"/>
            <w:noWrap w:val="0"/>
            <w:vAlign w:val="center"/>
          </w:tcPr>
          <w:p w14:paraId="02984040">
            <w:pPr>
              <w:pStyle w:val="21"/>
              <w:spacing w:line="240" w:lineRule="auto"/>
              <w:ind w:firstLine="0"/>
              <w:jc w:val="center"/>
              <w:rPr>
                <w:rFonts w:hint="default" w:ascii="Times New Roman" w:hAnsi="Times New Roman"/>
                <w:b/>
                <w:bCs/>
                <w:color w:val="auto"/>
                <w:sz w:val="22"/>
                <w:szCs w:val="24"/>
                <w:u w:val="none" w:color="auto"/>
              </w:rPr>
            </w:pPr>
            <w:r>
              <w:rPr>
                <w:rFonts w:hint="default" w:ascii="Times New Roman" w:hAnsi="Times New Roman"/>
                <w:b/>
                <w:bCs/>
                <w:color w:val="auto"/>
                <w:sz w:val="22"/>
                <w:szCs w:val="24"/>
                <w:u w:val="none" w:color="auto"/>
              </w:rPr>
              <w:t>标准值</w:t>
            </w:r>
          </w:p>
        </w:tc>
        <w:tc>
          <w:tcPr>
            <w:tcW w:w="1800" w:type="dxa"/>
            <w:noWrap w:val="0"/>
            <w:vAlign w:val="center"/>
          </w:tcPr>
          <w:p w14:paraId="6AC62CAB">
            <w:pPr>
              <w:pStyle w:val="21"/>
              <w:spacing w:line="240" w:lineRule="auto"/>
              <w:ind w:firstLine="0"/>
              <w:jc w:val="center"/>
              <w:rPr>
                <w:rFonts w:hint="default" w:ascii="Times New Roman" w:hAnsi="Times New Roman"/>
                <w:b/>
                <w:bCs/>
                <w:color w:val="auto"/>
                <w:sz w:val="22"/>
                <w:szCs w:val="24"/>
                <w:u w:val="none" w:color="auto"/>
              </w:rPr>
            </w:pPr>
            <w:r>
              <w:rPr>
                <w:rFonts w:hint="default" w:ascii="Times New Roman" w:hAnsi="Times New Roman"/>
                <w:b/>
                <w:bCs/>
                <w:color w:val="auto"/>
                <w:sz w:val="22"/>
                <w:szCs w:val="24"/>
                <w:u w:val="none" w:color="auto"/>
              </w:rPr>
              <w:t>超标值</w:t>
            </w:r>
          </w:p>
        </w:tc>
      </w:tr>
      <w:tr w14:paraId="1E4CE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5" w:type="dxa"/>
            <w:vMerge w:val="restart"/>
            <w:noWrap w:val="0"/>
            <w:vAlign w:val="center"/>
          </w:tcPr>
          <w:p w14:paraId="111EDA82">
            <w:pPr>
              <w:pStyle w:val="21"/>
              <w:spacing w:line="240" w:lineRule="auto"/>
              <w:ind w:firstLine="0"/>
              <w:jc w:val="center"/>
              <w:rPr>
                <w:rFonts w:hint="default" w:ascii="Times New Roman" w:hAnsi="Times New Roman" w:eastAsia="宋体"/>
                <w:color w:val="auto"/>
                <w:sz w:val="22"/>
                <w:szCs w:val="24"/>
                <w:u w:val="none" w:color="auto"/>
                <w:lang w:val="en-US" w:eastAsia="zh-CN"/>
              </w:rPr>
            </w:pPr>
            <w:r>
              <w:rPr>
                <w:rFonts w:hint="eastAsia" w:ascii="Times New Roman" w:hAnsi="Times New Roman"/>
                <w:color w:val="auto"/>
                <w:sz w:val="22"/>
                <w:szCs w:val="24"/>
                <w:u w:val="none" w:color="auto"/>
                <w:lang w:val="en-US" w:eastAsia="zh-CN"/>
              </w:rPr>
              <w:t>厂界西N1</w:t>
            </w:r>
          </w:p>
        </w:tc>
        <w:tc>
          <w:tcPr>
            <w:tcW w:w="1363" w:type="dxa"/>
            <w:noWrap w:val="0"/>
            <w:vAlign w:val="center"/>
          </w:tcPr>
          <w:p w14:paraId="1B2AA76B">
            <w:pPr>
              <w:pStyle w:val="21"/>
              <w:spacing w:line="240" w:lineRule="auto"/>
              <w:ind w:firstLine="0"/>
              <w:jc w:val="center"/>
              <w:rPr>
                <w:rFonts w:hint="default" w:ascii="Times New Roman" w:hAnsi="Times New Roman"/>
                <w:color w:val="auto"/>
                <w:sz w:val="22"/>
                <w:szCs w:val="24"/>
                <w:u w:val="none" w:color="auto"/>
              </w:rPr>
            </w:pPr>
            <w:r>
              <w:rPr>
                <w:rFonts w:hint="default" w:ascii="Times New Roman" w:hAnsi="Times New Roman"/>
                <w:color w:val="auto"/>
                <w:sz w:val="22"/>
                <w:szCs w:val="24"/>
                <w:u w:val="none" w:color="auto"/>
              </w:rPr>
              <w:t>昼间</w:t>
            </w:r>
          </w:p>
        </w:tc>
        <w:tc>
          <w:tcPr>
            <w:tcW w:w="1657" w:type="dxa"/>
            <w:noWrap w:val="0"/>
            <w:vAlign w:val="center"/>
          </w:tcPr>
          <w:p w14:paraId="24AE71D0">
            <w:pPr>
              <w:pStyle w:val="21"/>
              <w:spacing w:line="240" w:lineRule="auto"/>
              <w:ind w:firstLine="0"/>
              <w:jc w:val="center"/>
              <w:rPr>
                <w:rFonts w:hint="default" w:ascii="Times New Roman" w:hAnsi="Times New Roman" w:eastAsia="宋体"/>
                <w:color w:val="auto"/>
                <w:sz w:val="22"/>
                <w:szCs w:val="24"/>
                <w:u w:val="none" w:color="auto"/>
                <w:lang w:val="en-US" w:eastAsia="zh-CN"/>
              </w:rPr>
            </w:pPr>
            <w:r>
              <w:rPr>
                <w:rFonts w:hint="eastAsia" w:ascii="Times New Roman" w:hAnsi="Times New Roman"/>
                <w:color w:val="auto"/>
                <w:sz w:val="22"/>
                <w:szCs w:val="24"/>
                <w:u w:val="none" w:color="auto"/>
                <w:lang w:val="en-US" w:eastAsia="zh-CN"/>
              </w:rPr>
              <w:t>62.1</w:t>
            </w:r>
          </w:p>
        </w:tc>
        <w:tc>
          <w:tcPr>
            <w:tcW w:w="1888" w:type="dxa"/>
            <w:noWrap w:val="0"/>
            <w:vAlign w:val="center"/>
          </w:tcPr>
          <w:p w14:paraId="5F4CA4E4">
            <w:pPr>
              <w:pStyle w:val="21"/>
              <w:spacing w:line="240" w:lineRule="auto"/>
              <w:ind w:firstLine="0"/>
              <w:jc w:val="center"/>
              <w:rPr>
                <w:rFonts w:hint="default" w:ascii="Times New Roman" w:hAnsi="Times New Roman" w:eastAsia="宋体"/>
                <w:color w:val="auto"/>
                <w:sz w:val="22"/>
                <w:szCs w:val="24"/>
                <w:u w:val="none" w:color="auto"/>
                <w:lang w:val="en-US" w:eastAsia="zh-CN"/>
              </w:rPr>
            </w:pPr>
            <w:r>
              <w:rPr>
                <w:rFonts w:hint="eastAsia" w:ascii="Times New Roman" w:hAnsi="Times New Roman"/>
                <w:color w:val="auto"/>
                <w:sz w:val="22"/>
                <w:szCs w:val="24"/>
                <w:u w:val="none" w:color="auto"/>
                <w:lang w:val="en-US" w:eastAsia="zh-CN"/>
              </w:rPr>
              <w:t>70</w:t>
            </w:r>
          </w:p>
        </w:tc>
        <w:tc>
          <w:tcPr>
            <w:tcW w:w="1800" w:type="dxa"/>
            <w:noWrap w:val="0"/>
            <w:vAlign w:val="center"/>
          </w:tcPr>
          <w:p w14:paraId="01A96B3B">
            <w:pPr>
              <w:pStyle w:val="21"/>
              <w:spacing w:line="240" w:lineRule="auto"/>
              <w:ind w:firstLine="0"/>
              <w:jc w:val="center"/>
              <w:rPr>
                <w:rFonts w:hint="default" w:ascii="Times New Roman" w:hAnsi="Times New Roman"/>
                <w:color w:val="auto"/>
                <w:sz w:val="22"/>
                <w:szCs w:val="24"/>
                <w:u w:val="none" w:color="auto"/>
              </w:rPr>
            </w:pPr>
            <w:r>
              <w:rPr>
                <w:rFonts w:hint="default" w:ascii="Times New Roman" w:hAnsi="Times New Roman"/>
                <w:color w:val="auto"/>
                <w:sz w:val="22"/>
                <w:szCs w:val="24"/>
                <w:u w:val="none" w:color="auto"/>
              </w:rPr>
              <w:t>0</w:t>
            </w:r>
          </w:p>
        </w:tc>
      </w:tr>
      <w:tr w14:paraId="48437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5" w:type="dxa"/>
            <w:vMerge w:val="continue"/>
            <w:noWrap w:val="0"/>
            <w:vAlign w:val="center"/>
          </w:tcPr>
          <w:p w14:paraId="69292430">
            <w:pPr>
              <w:pStyle w:val="21"/>
              <w:spacing w:line="240" w:lineRule="auto"/>
              <w:ind w:firstLine="0"/>
              <w:jc w:val="center"/>
              <w:rPr>
                <w:rFonts w:hint="default" w:ascii="Times New Roman" w:hAnsi="Times New Roman"/>
                <w:color w:val="auto"/>
                <w:sz w:val="22"/>
                <w:szCs w:val="24"/>
                <w:u w:val="none" w:color="auto"/>
              </w:rPr>
            </w:pPr>
          </w:p>
        </w:tc>
        <w:tc>
          <w:tcPr>
            <w:tcW w:w="1363" w:type="dxa"/>
            <w:noWrap w:val="0"/>
            <w:vAlign w:val="center"/>
          </w:tcPr>
          <w:p w14:paraId="75AB14AC">
            <w:pPr>
              <w:pStyle w:val="21"/>
              <w:spacing w:line="240" w:lineRule="auto"/>
              <w:ind w:firstLine="0"/>
              <w:jc w:val="center"/>
              <w:rPr>
                <w:rFonts w:hint="default" w:ascii="Times New Roman" w:hAnsi="Times New Roman"/>
                <w:color w:val="auto"/>
                <w:sz w:val="22"/>
                <w:szCs w:val="24"/>
                <w:u w:val="none" w:color="auto"/>
              </w:rPr>
            </w:pPr>
            <w:r>
              <w:rPr>
                <w:rFonts w:hint="default" w:ascii="Times New Roman" w:hAnsi="Times New Roman"/>
                <w:color w:val="auto"/>
                <w:sz w:val="22"/>
                <w:szCs w:val="24"/>
                <w:u w:val="none" w:color="auto"/>
              </w:rPr>
              <w:t>夜间</w:t>
            </w:r>
          </w:p>
        </w:tc>
        <w:tc>
          <w:tcPr>
            <w:tcW w:w="1657" w:type="dxa"/>
            <w:noWrap w:val="0"/>
            <w:vAlign w:val="center"/>
          </w:tcPr>
          <w:p w14:paraId="336D6F55">
            <w:pPr>
              <w:pStyle w:val="21"/>
              <w:spacing w:line="240" w:lineRule="auto"/>
              <w:ind w:firstLine="0"/>
              <w:jc w:val="center"/>
              <w:rPr>
                <w:rFonts w:hint="default" w:ascii="Times New Roman" w:hAnsi="Times New Roman" w:eastAsia="宋体"/>
                <w:color w:val="auto"/>
                <w:sz w:val="22"/>
                <w:szCs w:val="24"/>
                <w:u w:val="none" w:color="auto"/>
                <w:lang w:val="en-US" w:eastAsia="zh-CN"/>
              </w:rPr>
            </w:pPr>
            <w:r>
              <w:rPr>
                <w:rFonts w:hint="eastAsia" w:ascii="Times New Roman" w:hAnsi="Times New Roman"/>
                <w:color w:val="auto"/>
                <w:sz w:val="22"/>
                <w:szCs w:val="24"/>
                <w:u w:val="none" w:color="auto"/>
                <w:lang w:val="en-US" w:eastAsia="zh-CN"/>
              </w:rPr>
              <w:t>39.2</w:t>
            </w:r>
          </w:p>
        </w:tc>
        <w:tc>
          <w:tcPr>
            <w:tcW w:w="1888" w:type="dxa"/>
            <w:noWrap w:val="0"/>
            <w:vAlign w:val="center"/>
          </w:tcPr>
          <w:p w14:paraId="4DB0B5CF">
            <w:pPr>
              <w:pStyle w:val="21"/>
              <w:spacing w:line="240" w:lineRule="auto"/>
              <w:ind w:firstLine="0"/>
              <w:jc w:val="center"/>
              <w:rPr>
                <w:rFonts w:hint="default" w:ascii="Times New Roman" w:hAnsi="Times New Roman"/>
                <w:color w:val="auto"/>
                <w:sz w:val="22"/>
                <w:szCs w:val="24"/>
                <w:u w:val="none" w:color="auto"/>
              </w:rPr>
            </w:pPr>
            <w:r>
              <w:rPr>
                <w:rFonts w:hint="default" w:ascii="Times New Roman" w:hAnsi="Times New Roman"/>
                <w:color w:val="auto"/>
                <w:sz w:val="22"/>
                <w:szCs w:val="24"/>
                <w:u w:val="none" w:color="auto"/>
              </w:rPr>
              <w:t>55</w:t>
            </w:r>
          </w:p>
        </w:tc>
        <w:tc>
          <w:tcPr>
            <w:tcW w:w="1800" w:type="dxa"/>
            <w:noWrap w:val="0"/>
            <w:vAlign w:val="center"/>
          </w:tcPr>
          <w:p w14:paraId="08332C67">
            <w:pPr>
              <w:pStyle w:val="21"/>
              <w:spacing w:line="240" w:lineRule="auto"/>
              <w:ind w:firstLine="0"/>
              <w:jc w:val="center"/>
              <w:rPr>
                <w:rFonts w:hint="default" w:ascii="Times New Roman" w:hAnsi="Times New Roman"/>
                <w:color w:val="auto"/>
                <w:sz w:val="22"/>
                <w:szCs w:val="24"/>
                <w:u w:val="none" w:color="auto"/>
              </w:rPr>
            </w:pPr>
            <w:r>
              <w:rPr>
                <w:rFonts w:hint="default" w:ascii="Times New Roman" w:hAnsi="Times New Roman"/>
                <w:color w:val="auto"/>
                <w:sz w:val="22"/>
                <w:szCs w:val="24"/>
                <w:u w:val="none" w:color="auto"/>
              </w:rPr>
              <w:t>0</w:t>
            </w:r>
          </w:p>
        </w:tc>
      </w:tr>
      <w:tr w14:paraId="3C098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5" w:type="dxa"/>
            <w:vMerge w:val="restart"/>
            <w:noWrap w:val="0"/>
            <w:vAlign w:val="center"/>
          </w:tcPr>
          <w:p w14:paraId="6D9AB8B5">
            <w:pPr>
              <w:pStyle w:val="21"/>
              <w:spacing w:line="240" w:lineRule="auto"/>
              <w:ind w:firstLine="0"/>
              <w:jc w:val="center"/>
              <w:rPr>
                <w:rFonts w:hint="default" w:ascii="Times New Roman" w:hAnsi="Times New Roman" w:eastAsia="宋体"/>
                <w:color w:val="auto"/>
                <w:sz w:val="22"/>
                <w:szCs w:val="24"/>
                <w:u w:val="none" w:color="auto"/>
                <w:lang w:val="en-US" w:eastAsia="zh-CN"/>
              </w:rPr>
            </w:pPr>
            <w:r>
              <w:rPr>
                <w:rFonts w:hint="eastAsia" w:ascii="Times New Roman" w:hAnsi="Times New Roman"/>
                <w:color w:val="auto"/>
                <w:sz w:val="22"/>
                <w:szCs w:val="24"/>
                <w:u w:val="none" w:color="auto"/>
                <w:lang w:val="en-US" w:eastAsia="zh-CN"/>
              </w:rPr>
              <w:t>厂界北N2</w:t>
            </w:r>
          </w:p>
        </w:tc>
        <w:tc>
          <w:tcPr>
            <w:tcW w:w="1363" w:type="dxa"/>
            <w:noWrap w:val="0"/>
            <w:vAlign w:val="center"/>
          </w:tcPr>
          <w:p w14:paraId="2EA4D763">
            <w:pPr>
              <w:pStyle w:val="21"/>
              <w:spacing w:line="240" w:lineRule="auto"/>
              <w:ind w:firstLine="0"/>
              <w:jc w:val="center"/>
              <w:rPr>
                <w:rFonts w:hint="default" w:ascii="Times New Roman" w:hAnsi="Times New Roman"/>
                <w:color w:val="auto"/>
                <w:sz w:val="22"/>
                <w:szCs w:val="24"/>
                <w:u w:val="none" w:color="auto"/>
              </w:rPr>
            </w:pPr>
            <w:r>
              <w:rPr>
                <w:rFonts w:hint="default" w:ascii="Times New Roman" w:hAnsi="Times New Roman"/>
                <w:color w:val="auto"/>
                <w:sz w:val="22"/>
                <w:szCs w:val="24"/>
                <w:u w:val="none" w:color="auto"/>
              </w:rPr>
              <w:t>昼间</w:t>
            </w:r>
          </w:p>
        </w:tc>
        <w:tc>
          <w:tcPr>
            <w:tcW w:w="1657" w:type="dxa"/>
            <w:noWrap w:val="0"/>
            <w:vAlign w:val="center"/>
          </w:tcPr>
          <w:p w14:paraId="1A9A1513">
            <w:pPr>
              <w:pStyle w:val="21"/>
              <w:spacing w:line="240" w:lineRule="auto"/>
              <w:ind w:firstLine="0"/>
              <w:jc w:val="center"/>
              <w:rPr>
                <w:rFonts w:hint="default" w:ascii="Times New Roman" w:hAnsi="Times New Roman" w:eastAsia="宋体"/>
                <w:color w:val="auto"/>
                <w:sz w:val="22"/>
                <w:szCs w:val="24"/>
                <w:u w:val="none" w:color="auto"/>
                <w:lang w:val="en-US" w:eastAsia="zh-CN"/>
              </w:rPr>
            </w:pPr>
            <w:r>
              <w:rPr>
                <w:rFonts w:hint="eastAsia" w:ascii="Times New Roman" w:hAnsi="Times New Roman"/>
                <w:color w:val="auto"/>
                <w:sz w:val="22"/>
                <w:szCs w:val="24"/>
                <w:u w:val="none" w:color="auto"/>
                <w:lang w:val="en-US" w:eastAsia="zh-CN"/>
              </w:rPr>
              <w:t>54.2</w:t>
            </w:r>
          </w:p>
        </w:tc>
        <w:tc>
          <w:tcPr>
            <w:tcW w:w="1888" w:type="dxa"/>
            <w:shd w:val="clear" w:color="auto" w:fill="auto"/>
            <w:noWrap w:val="0"/>
            <w:vAlign w:val="center"/>
          </w:tcPr>
          <w:p w14:paraId="4221801E">
            <w:pPr>
              <w:pStyle w:val="21"/>
              <w:spacing w:line="240" w:lineRule="auto"/>
              <w:ind w:firstLine="0" w:firstLineChars="0"/>
              <w:jc w:val="center"/>
              <w:rPr>
                <w:rFonts w:hint="default" w:ascii="Times New Roman" w:hAnsi="Times New Roman" w:eastAsia="宋体" w:cs="Times New Roman"/>
                <w:color w:val="auto"/>
                <w:kern w:val="2"/>
                <w:sz w:val="22"/>
                <w:szCs w:val="24"/>
                <w:u w:val="none" w:color="auto"/>
                <w:lang w:val="en-US" w:eastAsia="zh-CN" w:bidi="ar-SA"/>
              </w:rPr>
            </w:pPr>
            <w:r>
              <w:rPr>
                <w:rFonts w:hint="default" w:ascii="Times New Roman" w:hAnsi="Times New Roman"/>
                <w:color w:val="auto"/>
                <w:sz w:val="22"/>
                <w:szCs w:val="24"/>
                <w:u w:val="none" w:color="auto"/>
              </w:rPr>
              <w:t>65</w:t>
            </w:r>
          </w:p>
        </w:tc>
        <w:tc>
          <w:tcPr>
            <w:tcW w:w="1800" w:type="dxa"/>
            <w:noWrap w:val="0"/>
            <w:vAlign w:val="center"/>
          </w:tcPr>
          <w:p w14:paraId="7E3440E6">
            <w:pPr>
              <w:pStyle w:val="21"/>
              <w:spacing w:line="240" w:lineRule="auto"/>
              <w:ind w:firstLine="0"/>
              <w:jc w:val="center"/>
              <w:rPr>
                <w:rFonts w:hint="default" w:ascii="Times New Roman" w:hAnsi="Times New Roman"/>
                <w:color w:val="auto"/>
                <w:sz w:val="22"/>
                <w:szCs w:val="24"/>
                <w:u w:val="none" w:color="auto"/>
              </w:rPr>
            </w:pPr>
            <w:r>
              <w:rPr>
                <w:rFonts w:hint="default" w:ascii="Times New Roman" w:hAnsi="Times New Roman"/>
                <w:color w:val="auto"/>
                <w:sz w:val="22"/>
                <w:szCs w:val="24"/>
                <w:u w:val="none" w:color="auto"/>
              </w:rPr>
              <w:t>0</w:t>
            </w:r>
          </w:p>
        </w:tc>
      </w:tr>
      <w:tr w14:paraId="17746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5" w:type="dxa"/>
            <w:vMerge w:val="continue"/>
            <w:noWrap w:val="0"/>
            <w:vAlign w:val="center"/>
          </w:tcPr>
          <w:p w14:paraId="422DE7EA">
            <w:pPr>
              <w:pStyle w:val="21"/>
              <w:spacing w:line="240" w:lineRule="auto"/>
              <w:ind w:firstLine="0"/>
              <w:jc w:val="center"/>
              <w:rPr>
                <w:rFonts w:hint="default" w:ascii="Times New Roman" w:hAnsi="Times New Roman"/>
                <w:color w:val="auto"/>
                <w:sz w:val="22"/>
                <w:szCs w:val="24"/>
                <w:u w:val="none" w:color="auto"/>
              </w:rPr>
            </w:pPr>
          </w:p>
        </w:tc>
        <w:tc>
          <w:tcPr>
            <w:tcW w:w="1363" w:type="dxa"/>
            <w:noWrap w:val="0"/>
            <w:vAlign w:val="center"/>
          </w:tcPr>
          <w:p w14:paraId="6DCB7BC4">
            <w:pPr>
              <w:pStyle w:val="21"/>
              <w:spacing w:line="240" w:lineRule="auto"/>
              <w:ind w:firstLine="0"/>
              <w:jc w:val="center"/>
              <w:rPr>
                <w:rFonts w:hint="default" w:ascii="Times New Roman" w:hAnsi="Times New Roman"/>
                <w:color w:val="auto"/>
                <w:sz w:val="22"/>
                <w:szCs w:val="24"/>
                <w:u w:val="none" w:color="auto"/>
              </w:rPr>
            </w:pPr>
            <w:r>
              <w:rPr>
                <w:rFonts w:hint="default" w:ascii="Times New Roman" w:hAnsi="Times New Roman"/>
                <w:color w:val="auto"/>
                <w:sz w:val="22"/>
                <w:szCs w:val="24"/>
                <w:u w:val="none" w:color="auto"/>
              </w:rPr>
              <w:t>夜间</w:t>
            </w:r>
          </w:p>
        </w:tc>
        <w:tc>
          <w:tcPr>
            <w:tcW w:w="1657" w:type="dxa"/>
            <w:noWrap w:val="0"/>
            <w:vAlign w:val="center"/>
          </w:tcPr>
          <w:p w14:paraId="0D83D299">
            <w:pPr>
              <w:pStyle w:val="21"/>
              <w:spacing w:line="240" w:lineRule="auto"/>
              <w:ind w:firstLine="0"/>
              <w:jc w:val="center"/>
              <w:rPr>
                <w:rFonts w:hint="default" w:ascii="Times New Roman" w:hAnsi="Times New Roman" w:eastAsia="宋体"/>
                <w:color w:val="auto"/>
                <w:sz w:val="22"/>
                <w:szCs w:val="24"/>
                <w:u w:val="none" w:color="auto"/>
                <w:lang w:val="en-US" w:eastAsia="zh-CN"/>
              </w:rPr>
            </w:pPr>
            <w:r>
              <w:rPr>
                <w:rFonts w:hint="eastAsia" w:ascii="Times New Roman" w:hAnsi="Times New Roman"/>
                <w:color w:val="auto"/>
                <w:sz w:val="22"/>
                <w:szCs w:val="24"/>
                <w:u w:val="none" w:color="auto"/>
                <w:lang w:val="en-US" w:eastAsia="zh-CN"/>
              </w:rPr>
              <w:t>41.3</w:t>
            </w:r>
          </w:p>
        </w:tc>
        <w:tc>
          <w:tcPr>
            <w:tcW w:w="1888" w:type="dxa"/>
            <w:shd w:val="clear" w:color="auto" w:fill="auto"/>
            <w:noWrap w:val="0"/>
            <w:vAlign w:val="center"/>
          </w:tcPr>
          <w:p w14:paraId="1B0E0CE2">
            <w:pPr>
              <w:pStyle w:val="21"/>
              <w:spacing w:line="240" w:lineRule="auto"/>
              <w:ind w:firstLine="0" w:firstLineChars="0"/>
              <w:jc w:val="center"/>
              <w:rPr>
                <w:rFonts w:hint="default" w:ascii="Times New Roman" w:hAnsi="Times New Roman" w:eastAsia="宋体" w:cs="Times New Roman"/>
                <w:color w:val="auto"/>
                <w:kern w:val="2"/>
                <w:sz w:val="22"/>
                <w:szCs w:val="24"/>
                <w:u w:val="none" w:color="auto"/>
                <w:lang w:val="en-US" w:eastAsia="zh-CN" w:bidi="ar-SA"/>
              </w:rPr>
            </w:pPr>
            <w:r>
              <w:rPr>
                <w:rFonts w:hint="default" w:ascii="Times New Roman" w:hAnsi="Times New Roman"/>
                <w:color w:val="auto"/>
                <w:sz w:val="22"/>
                <w:szCs w:val="24"/>
                <w:u w:val="none" w:color="auto"/>
              </w:rPr>
              <w:t>55</w:t>
            </w:r>
          </w:p>
        </w:tc>
        <w:tc>
          <w:tcPr>
            <w:tcW w:w="1800" w:type="dxa"/>
            <w:noWrap w:val="0"/>
            <w:vAlign w:val="center"/>
          </w:tcPr>
          <w:p w14:paraId="79629E20">
            <w:pPr>
              <w:pStyle w:val="21"/>
              <w:spacing w:line="240" w:lineRule="auto"/>
              <w:ind w:firstLine="0"/>
              <w:jc w:val="center"/>
              <w:rPr>
                <w:rFonts w:hint="default" w:ascii="Times New Roman" w:hAnsi="Times New Roman"/>
                <w:color w:val="auto"/>
                <w:sz w:val="22"/>
                <w:szCs w:val="24"/>
                <w:u w:val="none" w:color="auto"/>
              </w:rPr>
            </w:pPr>
            <w:r>
              <w:rPr>
                <w:rFonts w:hint="default" w:ascii="Times New Roman" w:hAnsi="Times New Roman"/>
                <w:color w:val="auto"/>
                <w:sz w:val="22"/>
                <w:szCs w:val="24"/>
                <w:u w:val="none" w:color="auto"/>
              </w:rPr>
              <w:t>0</w:t>
            </w:r>
          </w:p>
        </w:tc>
      </w:tr>
      <w:tr w14:paraId="4F37C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5" w:type="dxa"/>
            <w:vMerge w:val="restart"/>
            <w:noWrap w:val="0"/>
            <w:vAlign w:val="center"/>
          </w:tcPr>
          <w:p w14:paraId="73F8B861">
            <w:pPr>
              <w:pStyle w:val="21"/>
              <w:spacing w:line="240" w:lineRule="auto"/>
              <w:ind w:firstLine="0"/>
              <w:jc w:val="center"/>
              <w:rPr>
                <w:rFonts w:hint="default" w:ascii="Times New Roman" w:hAnsi="Times New Roman" w:eastAsia="宋体"/>
                <w:color w:val="auto"/>
                <w:sz w:val="22"/>
                <w:szCs w:val="24"/>
                <w:u w:val="none" w:color="auto"/>
                <w:lang w:val="en-US" w:eastAsia="zh-CN"/>
              </w:rPr>
            </w:pPr>
            <w:r>
              <w:rPr>
                <w:rFonts w:hint="eastAsia" w:ascii="Times New Roman" w:hAnsi="Times New Roman"/>
                <w:color w:val="auto"/>
                <w:sz w:val="22"/>
                <w:szCs w:val="24"/>
                <w:u w:val="none" w:color="auto"/>
                <w:lang w:val="en-US" w:eastAsia="zh-CN"/>
              </w:rPr>
              <w:t>厂界东N3</w:t>
            </w:r>
          </w:p>
        </w:tc>
        <w:tc>
          <w:tcPr>
            <w:tcW w:w="1363" w:type="dxa"/>
            <w:noWrap w:val="0"/>
            <w:vAlign w:val="center"/>
          </w:tcPr>
          <w:p w14:paraId="6A2BB258">
            <w:pPr>
              <w:pStyle w:val="21"/>
              <w:spacing w:line="240" w:lineRule="auto"/>
              <w:ind w:firstLine="0"/>
              <w:jc w:val="center"/>
              <w:rPr>
                <w:rFonts w:hint="default" w:ascii="Times New Roman" w:hAnsi="Times New Roman"/>
                <w:color w:val="auto"/>
                <w:sz w:val="22"/>
                <w:szCs w:val="24"/>
                <w:u w:val="none" w:color="auto"/>
              </w:rPr>
            </w:pPr>
            <w:r>
              <w:rPr>
                <w:rFonts w:hint="default" w:ascii="Times New Roman" w:hAnsi="Times New Roman"/>
                <w:color w:val="auto"/>
                <w:sz w:val="22"/>
                <w:szCs w:val="24"/>
                <w:u w:val="none" w:color="auto"/>
              </w:rPr>
              <w:t>昼间</w:t>
            </w:r>
          </w:p>
        </w:tc>
        <w:tc>
          <w:tcPr>
            <w:tcW w:w="1657" w:type="dxa"/>
            <w:noWrap w:val="0"/>
            <w:vAlign w:val="center"/>
          </w:tcPr>
          <w:p w14:paraId="4171E66B">
            <w:pPr>
              <w:pStyle w:val="21"/>
              <w:spacing w:line="240" w:lineRule="auto"/>
              <w:ind w:firstLine="0"/>
              <w:jc w:val="center"/>
              <w:rPr>
                <w:rFonts w:hint="default" w:ascii="Times New Roman" w:hAnsi="Times New Roman" w:eastAsia="宋体"/>
                <w:color w:val="auto"/>
                <w:sz w:val="22"/>
                <w:szCs w:val="24"/>
                <w:u w:val="none" w:color="auto"/>
                <w:lang w:val="en-US" w:eastAsia="zh-CN"/>
              </w:rPr>
            </w:pPr>
            <w:r>
              <w:rPr>
                <w:rFonts w:hint="eastAsia" w:ascii="Times New Roman" w:hAnsi="Times New Roman"/>
                <w:color w:val="auto"/>
                <w:sz w:val="22"/>
                <w:szCs w:val="24"/>
                <w:u w:val="none" w:color="auto"/>
                <w:lang w:val="en-US" w:eastAsia="zh-CN"/>
              </w:rPr>
              <w:t>50.3</w:t>
            </w:r>
          </w:p>
        </w:tc>
        <w:tc>
          <w:tcPr>
            <w:tcW w:w="1888" w:type="dxa"/>
            <w:noWrap w:val="0"/>
            <w:vAlign w:val="center"/>
          </w:tcPr>
          <w:p w14:paraId="37DD822B">
            <w:pPr>
              <w:pStyle w:val="21"/>
              <w:spacing w:line="240" w:lineRule="auto"/>
              <w:ind w:firstLine="0"/>
              <w:jc w:val="center"/>
              <w:rPr>
                <w:rFonts w:hint="default" w:ascii="Times New Roman" w:hAnsi="Times New Roman"/>
                <w:color w:val="auto"/>
                <w:sz w:val="22"/>
                <w:szCs w:val="24"/>
                <w:u w:val="none" w:color="auto"/>
              </w:rPr>
            </w:pPr>
            <w:r>
              <w:rPr>
                <w:rFonts w:hint="default" w:ascii="Times New Roman" w:hAnsi="Times New Roman"/>
                <w:color w:val="auto"/>
                <w:sz w:val="22"/>
                <w:szCs w:val="24"/>
                <w:u w:val="none" w:color="auto"/>
              </w:rPr>
              <w:t>65</w:t>
            </w:r>
          </w:p>
        </w:tc>
        <w:tc>
          <w:tcPr>
            <w:tcW w:w="1800" w:type="dxa"/>
            <w:noWrap w:val="0"/>
            <w:vAlign w:val="center"/>
          </w:tcPr>
          <w:p w14:paraId="76A94F50">
            <w:pPr>
              <w:pStyle w:val="21"/>
              <w:spacing w:line="240" w:lineRule="auto"/>
              <w:ind w:firstLine="0"/>
              <w:jc w:val="center"/>
              <w:rPr>
                <w:rFonts w:hint="default" w:ascii="Times New Roman" w:hAnsi="Times New Roman"/>
                <w:color w:val="auto"/>
                <w:sz w:val="22"/>
                <w:szCs w:val="24"/>
                <w:u w:val="none" w:color="auto"/>
              </w:rPr>
            </w:pPr>
            <w:r>
              <w:rPr>
                <w:rFonts w:hint="default" w:ascii="Times New Roman" w:hAnsi="Times New Roman"/>
                <w:color w:val="auto"/>
                <w:sz w:val="22"/>
                <w:szCs w:val="24"/>
                <w:u w:val="none" w:color="auto"/>
              </w:rPr>
              <w:t>0</w:t>
            </w:r>
          </w:p>
        </w:tc>
      </w:tr>
      <w:tr w14:paraId="090EA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5" w:type="dxa"/>
            <w:vMerge w:val="continue"/>
            <w:noWrap w:val="0"/>
            <w:vAlign w:val="center"/>
          </w:tcPr>
          <w:p w14:paraId="23ECCBD1">
            <w:pPr>
              <w:pStyle w:val="21"/>
              <w:spacing w:line="240" w:lineRule="auto"/>
              <w:ind w:firstLine="0"/>
              <w:jc w:val="center"/>
              <w:rPr>
                <w:rFonts w:hint="default" w:ascii="Times New Roman" w:hAnsi="Times New Roman"/>
                <w:color w:val="auto"/>
                <w:sz w:val="22"/>
                <w:szCs w:val="24"/>
                <w:u w:val="none" w:color="auto"/>
              </w:rPr>
            </w:pPr>
          </w:p>
        </w:tc>
        <w:tc>
          <w:tcPr>
            <w:tcW w:w="1363" w:type="dxa"/>
            <w:noWrap w:val="0"/>
            <w:vAlign w:val="center"/>
          </w:tcPr>
          <w:p w14:paraId="18A1BD7F">
            <w:pPr>
              <w:pStyle w:val="21"/>
              <w:spacing w:line="240" w:lineRule="auto"/>
              <w:ind w:firstLine="0"/>
              <w:jc w:val="center"/>
              <w:rPr>
                <w:rFonts w:hint="default" w:ascii="Times New Roman" w:hAnsi="Times New Roman"/>
                <w:color w:val="auto"/>
                <w:sz w:val="22"/>
                <w:szCs w:val="24"/>
                <w:u w:val="none" w:color="auto"/>
              </w:rPr>
            </w:pPr>
            <w:r>
              <w:rPr>
                <w:rFonts w:hint="default" w:ascii="Times New Roman" w:hAnsi="Times New Roman"/>
                <w:color w:val="auto"/>
                <w:sz w:val="22"/>
                <w:szCs w:val="24"/>
                <w:u w:val="none" w:color="auto"/>
              </w:rPr>
              <w:t>夜间</w:t>
            </w:r>
          </w:p>
        </w:tc>
        <w:tc>
          <w:tcPr>
            <w:tcW w:w="1657" w:type="dxa"/>
            <w:noWrap w:val="0"/>
            <w:vAlign w:val="center"/>
          </w:tcPr>
          <w:p w14:paraId="7858FD7A">
            <w:pPr>
              <w:pStyle w:val="21"/>
              <w:spacing w:line="240" w:lineRule="auto"/>
              <w:ind w:firstLine="0"/>
              <w:jc w:val="center"/>
              <w:rPr>
                <w:rFonts w:hint="default" w:ascii="Times New Roman" w:hAnsi="Times New Roman" w:eastAsia="宋体"/>
                <w:color w:val="auto"/>
                <w:sz w:val="22"/>
                <w:szCs w:val="24"/>
                <w:u w:val="none" w:color="auto"/>
                <w:lang w:val="en-US" w:eastAsia="zh-CN"/>
              </w:rPr>
            </w:pPr>
            <w:r>
              <w:rPr>
                <w:rFonts w:hint="eastAsia" w:ascii="Times New Roman" w:hAnsi="Times New Roman"/>
                <w:color w:val="auto"/>
                <w:sz w:val="22"/>
                <w:szCs w:val="24"/>
                <w:u w:val="none" w:color="auto"/>
                <w:lang w:val="en-US" w:eastAsia="zh-CN"/>
              </w:rPr>
              <w:t>41.7</w:t>
            </w:r>
          </w:p>
        </w:tc>
        <w:tc>
          <w:tcPr>
            <w:tcW w:w="1888" w:type="dxa"/>
            <w:noWrap w:val="0"/>
            <w:vAlign w:val="center"/>
          </w:tcPr>
          <w:p w14:paraId="4639C653">
            <w:pPr>
              <w:pStyle w:val="21"/>
              <w:spacing w:line="240" w:lineRule="auto"/>
              <w:ind w:firstLine="0"/>
              <w:jc w:val="center"/>
              <w:rPr>
                <w:rFonts w:hint="default" w:ascii="Times New Roman" w:hAnsi="Times New Roman"/>
                <w:color w:val="auto"/>
                <w:sz w:val="22"/>
                <w:szCs w:val="24"/>
                <w:u w:val="none" w:color="auto"/>
              </w:rPr>
            </w:pPr>
            <w:r>
              <w:rPr>
                <w:rFonts w:hint="default" w:ascii="Times New Roman" w:hAnsi="Times New Roman"/>
                <w:color w:val="auto"/>
                <w:sz w:val="22"/>
                <w:szCs w:val="24"/>
                <w:u w:val="none" w:color="auto"/>
              </w:rPr>
              <w:t>55</w:t>
            </w:r>
          </w:p>
        </w:tc>
        <w:tc>
          <w:tcPr>
            <w:tcW w:w="1800" w:type="dxa"/>
            <w:noWrap w:val="0"/>
            <w:vAlign w:val="center"/>
          </w:tcPr>
          <w:p w14:paraId="4E881556">
            <w:pPr>
              <w:pStyle w:val="21"/>
              <w:spacing w:line="240" w:lineRule="auto"/>
              <w:ind w:firstLine="0"/>
              <w:jc w:val="center"/>
              <w:rPr>
                <w:rFonts w:hint="default" w:ascii="Times New Roman" w:hAnsi="Times New Roman"/>
                <w:color w:val="auto"/>
                <w:sz w:val="22"/>
                <w:szCs w:val="24"/>
                <w:u w:val="none" w:color="auto"/>
              </w:rPr>
            </w:pPr>
            <w:r>
              <w:rPr>
                <w:rFonts w:hint="default" w:ascii="Times New Roman" w:hAnsi="Times New Roman"/>
                <w:color w:val="auto"/>
                <w:sz w:val="22"/>
                <w:szCs w:val="24"/>
                <w:u w:val="none" w:color="auto"/>
              </w:rPr>
              <w:t>0</w:t>
            </w:r>
          </w:p>
        </w:tc>
      </w:tr>
      <w:tr w14:paraId="19997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5" w:type="dxa"/>
            <w:vMerge w:val="restart"/>
            <w:noWrap w:val="0"/>
            <w:vAlign w:val="center"/>
          </w:tcPr>
          <w:p w14:paraId="4FB26507">
            <w:pPr>
              <w:pStyle w:val="21"/>
              <w:spacing w:line="240" w:lineRule="auto"/>
              <w:ind w:firstLine="0"/>
              <w:jc w:val="center"/>
              <w:rPr>
                <w:rFonts w:hint="default" w:ascii="Times New Roman" w:hAnsi="Times New Roman" w:eastAsia="宋体"/>
                <w:color w:val="auto"/>
                <w:sz w:val="22"/>
                <w:szCs w:val="24"/>
                <w:u w:val="none" w:color="auto"/>
                <w:lang w:val="en-US" w:eastAsia="zh-CN"/>
              </w:rPr>
            </w:pPr>
            <w:r>
              <w:rPr>
                <w:rFonts w:hint="eastAsia" w:ascii="Times New Roman" w:hAnsi="Times New Roman"/>
                <w:color w:val="auto"/>
                <w:sz w:val="22"/>
                <w:szCs w:val="24"/>
                <w:u w:val="none" w:color="auto"/>
                <w:lang w:val="en-US" w:eastAsia="zh-CN"/>
              </w:rPr>
              <w:t>厂界南N4</w:t>
            </w:r>
          </w:p>
        </w:tc>
        <w:tc>
          <w:tcPr>
            <w:tcW w:w="1363" w:type="dxa"/>
            <w:noWrap w:val="0"/>
            <w:vAlign w:val="center"/>
          </w:tcPr>
          <w:p w14:paraId="03EDCDC8">
            <w:pPr>
              <w:pStyle w:val="21"/>
              <w:spacing w:line="240" w:lineRule="auto"/>
              <w:ind w:firstLine="0"/>
              <w:jc w:val="center"/>
              <w:rPr>
                <w:rFonts w:hint="default" w:ascii="Times New Roman" w:hAnsi="Times New Roman"/>
                <w:color w:val="auto"/>
                <w:sz w:val="22"/>
                <w:szCs w:val="24"/>
                <w:u w:val="none" w:color="auto"/>
              </w:rPr>
            </w:pPr>
            <w:r>
              <w:rPr>
                <w:rFonts w:hint="default" w:ascii="Times New Roman" w:hAnsi="Times New Roman"/>
                <w:color w:val="auto"/>
                <w:sz w:val="22"/>
                <w:szCs w:val="24"/>
                <w:u w:val="none" w:color="auto"/>
              </w:rPr>
              <w:t>昼间</w:t>
            </w:r>
          </w:p>
        </w:tc>
        <w:tc>
          <w:tcPr>
            <w:tcW w:w="1657" w:type="dxa"/>
            <w:noWrap w:val="0"/>
            <w:vAlign w:val="center"/>
          </w:tcPr>
          <w:p w14:paraId="4C95F3A1">
            <w:pPr>
              <w:pStyle w:val="21"/>
              <w:spacing w:line="240" w:lineRule="auto"/>
              <w:ind w:firstLine="0"/>
              <w:jc w:val="center"/>
              <w:rPr>
                <w:rFonts w:hint="default" w:ascii="Times New Roman" w:hAnsi="Times New Roman" w:eastAsia="宋体"/>
                <w:color w:val="auto"/>
                <w:sz w:val="22"/>
                <w:szCs w:val="24"/>
                <w:u w:val="none" w:color="auto"/>
                <w:lang w:val="en-US" w:eastAsia="zh-CN"/>
              </w:rPr>
            </w:pPr>
            <w:r>
              <w:rPr>
                <w:rFonts w:hint="eastAsia" w:ascii="Times New Roman" w:hAnsi="Times New Roman"/>
                <w:color w:val="auto"/>
                <w:sz w:val="22"/>
                <w:szCs w:val="24"/>
                <w:u w:val="none" w:color="auto"/>
                <w:lang w:val="en-US" w:eastAsia="zh-CN"/>
              </w:rPr>
              <w:t>52.1</w:t>
            </w:r>
          </w:p>
        </w:tc>
        <w:tc>
          <w:tcPr>
            <w:tcW w:w="1888" w:type="dxa"/>
            <w:noWrap w:val="0"/>
            <w:vAlign w:val="center"/>
          </w:tcPr>
          <w:p w14:paraId="1810A50A">
            <w:pPr>
              <w:pStyle w:val="21"/>
              <w:spacing w:line="240" w:lineRule="auto"/>
              <w:ind w:firstLine="0"/>
              <w:jc w:val="center"/>
              <w:rPr>
                <w:rFonts w:hint="default" w:ascii="Times New Roman" w:hAnsi="Times New Roman" w:eastAsia="宋体"/>
                <w:color w:val="auto"/>
                <w:sz w:val="22"/>
                <w:szCs w:val="24"/>
                <w:u w:val="none" w:color="auto"/>
                <w:lang w:val="en-US" w:eastAsia="zh-CN"/>
              </w:rPr>
            </w:pPr>
            <w:r>
              <w:rPr>
                <w:rFonts w:hint="eastAsia" w:ascii="Times New Roman" w:hAnsi="Times New Roman"/>
                <w:color w:val="auto"/>
                <w:sz w:val="22"/>
                <w:szCs w:val="24"/>
                <w:u w:val="none" w:color="auto"/>
                <w:lang w:val="en-US" w:eastAsia="zh-CN"/>
              </w:rPr>
              <w:t>65</w:t>
            </w:r>
          </w:p>
        </w:tc>
        <w:tc>
          <w:tcPr>
            <w:tcW w:w="1800" w:type="dxa"/>
            <w:noWrap w:val="0"/>
            <w:vAlign w:val="center"/>
          </w:tcPr>
          <w:p w14:paraId="5109B6DB">
            <w:pPr>
              <w:pStyle w:val="21"/>
              <w:spacing w:line="240" w:lineRule="auto"/>
              <w:ind w:firstLine="0"/>
              <w:jc w:val="center"/>
              <w:rPr>
                <w:rFonts w:hint="default" w:ascii="Times New Roman" w:hAnsi="Times New Roman"/>
                <w:color w:val="auto"/>
                <w:sz w:val="22"/>
                <w:szCs w:val="24"/>
                <w:u w:val="none" w:color="auto"/>
              </w:rPr>
            </w:pPr>
            <w:r>
              <w:rPr>
                <w:rFonts w:hint="default" w:ascii="Times New Roman" w:hAnsi="Times New Roman"/>
                <w:color w:val="auto"/>
                <w:sz w:val="22"/>
                <w:szCs w:val="24"/>
                <w:u w:val="none" w:color="auto"/>
              </w:rPr>
              <w:t>0</w:t>
            </w:r>
          </w:p>
        </w:tc>
      </w:tr>
      <w:tr w14:paraId="0562A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5" w:type="dxa"/>
            <w:vMerge w:val="continue"/>
            <w:noWrap w:val="0"/>
            <w:vAlign w:val="center"/>
          </w:tcPr>
          <w:p w14:paraId="5F70F939">
            <w:pPr>
              <w:pStyle w:val="21"/>
              <w:spacing w:line="240" w:lineRule="auto"/>
              <w:ind w:firstLine="0"/>
              <w:jc w:val="center"/>
              <w:rPr>
                <w:rFonts w:hint="default" w:ascii="Times New Roman" w:hAnsi="Times New Roman"/>
                <w:color w:val="auto"/>
                <w:sz w:val="22"/>
                <w:szCs w:val="24"/>
                <w:u w:val="none" w:color="auto"/>
              </w:rPr>
            </w:pPr>
          </w:p>
        </w:tc>
        <w:tc>
          <w:tcPr>
            <w:tcW w:w="1363" w:type="dxa"/>
            <w:noWrap w:val="0"/>
            <w:vAlign w:val="center"/>
          </w:tcPr>
          <w:p w14:paraId="6518A3EA">
            <w:pPr>
              <w:pStyle w:val="21"/>
              <w:spacing w:line="240" w:lineRule="auto"/>
              <w:ind w:firstLine="0"/>
              <w:jc w:val="center"/>
              <w:rPr>
                <w:rFonts w:hint="default" w:ascii="Times New Roman" w:hAnsi="Times New Roman"/>
                <w:color w:val="auto"/>
                <w:sz w:val="22"/>
                <w:szCs w:val="24"/>
                <w:u w:val="none" w:color="auto"/>
              </w:rPr>
            </w:pPr>
            <w:r>
              <w:rPr>
                <w:rFonts w:hint="default" w:ascii="Times New Roman" w:hAnsi="Times New Roman"/>
                <w:color w:val="auto"/>
                <w:sz w:val="22"/>
                <w:szCs w:val="24"/>
                <w:u w:val="none" w:color="auto"/>
              </w:rPr>
              <w:t>夜间</w:t>
            </w:r>
          </w:p>
        </w:tc>
        <w:tc>
          <w:tcPr>
            <w:tcW w:w="1657" w:type="dxa"/>
            <w:noWrap w:val="0"/>
            <w:vAlign w:val="center"/>
          </w:tcPr>
          <w:p w14:paraId="514A1A6E">
            <w:pPr>
              <w:pStyle w:val="21"/>
              <w:spacing w:line="240" w:lineRule="auto"/>
              <w:ind w:firstLine="0"/>
              <w:jc w:val="center"/>
              <w:rPr>
                <w:rFonts w:hint="default" w:ascii="Times New Roman" w:hAnsi="Times New Roman" w:eastAsia="宋体"/>
                <w:color w:val="auto"/>
                <w:sz w:val="22"/>
                <w:szCs w:val="24"/>
                <w:u w:val="none" w:color="auto"/>
                <w:lang w:val="en-US" w:eastAsia="zh-CN"/>
              </w:rPr>
            </w:pPr>
            <w:r>
              <w:rPr>
                <w:rFonts w:hint="eastAsia" w:ascii="Times New Roman" w:hAnsi="Times New Roman"/>
                <w:color w:val="auto"/>
                <w:sz w:val="22"/>
                <w:szCs w:val="24"/>
                <w:u w:val="none" w:color="auto"/>
                <w:lang w:val="en-US" w:eastAsia="zh-CN"/>
              </w:rPr>
              <w:t>42.3</w:t>
            </w:r>
          </w:p>
        </w:tc>
        <w:tc>
          <w:tcPr>
            <w:tcW w:w="1888" w:type="dxa"/>
            <w:noWrap w:val="0"/>
            <w:vAlign w:val="center"/>
          </w:tcPr>
          <w:p w14:paraId="7CB612C8">
            <w:pPr>
              <w:pStyle w:val="21"/>
              <w:spacing w:line="240" w:lineRule="auto"/>
              <w:ind w:firstLine="0"/>
              <w:jc w:val="center"/>
              <w:rPr>
                <w:rFonts w:hint="default" w:ascii="Times New Roman" w:hAnsi="Times New Roman"/>
                <w:color w:val="auto"/>
                <w:sz w:val="22"/>
                <w:szCs w:val="24"/>
                <w:u w:val="none" w:color="auto"/>
              </w:rPr>
            </w:pPr>
            <w:r>
              <w:rPr>
                <w:rFonts w:hint="default" w:ascii="Times New Roman" w:hAnsi="Times New Roman"/>
                <w:color w:val="auto"/>
                <w:sz w:val="22"/>
                <w:szCs w:val="24"/>
                <w:u w:val="none" w:color="auto"/>
              </w:rPr>
              <w:t>55</w:t>
            </w:r>
          </w:p>
        </w:tc>
        <w:tc>
          <w:tcPr>
            <w:tcW w:w="1800" w:type="dxa"/>
            <w:noWrap w:val="0"/>
            <w:vAlign w:val="center"/>
          </w:tcPr>
          <w:p w14:paraId="11550C0C">
            <w:pPr>
              <w:pStyle w:val="21"/>
              <w:spacing w:line="240" w:lineRule="auto"/>
              <w:ind w:firstLine="0"/>
              <w:jc w:val="center"/>
              <w:rPr>
                <w:rFonts w:hint="default" w:ascii="Times New Roman" w:hAnsi="Times New Roman"/>
                <w:color w:val="auto"/>
                <w:sz w:val="22"/>
                <w:szCs w:val="24"/>
                <w:u w:val="none" w:color="auto"/>
              </w:rPr>
            </w:pPr>
            <w:r>
              <w:rPr>
                <w:rFonts w:hint="default" w:ascii="Times New Roman" w:hAnsi="Times New Roman"/>
                <w:color w:val="auto"/>
                <w:sz w:val="22"/>
                <w:szCs w:val="24"/>
                <w:u w:val="none" w:color="auto"/>
              </w:rPr>
              <w:t>0</w:t>
            </w:r>
          </w:p>
        </w:tc>
      </w:tr>
    </w:tbl>
    <w:p w14:paraId="75296FAE">
      <w:pPr>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宋体"/>
          <w:color w:val="auto"/>
          <w:sz w:val="24"/>
          <w:szCs w:val="24"/>
        </w:rPr>
        <w:t>以上监测结果表明，</w:t>
      </w:r>
      <w:r>
        <w:rPr>
          <w:rFonts w:hint="eastAsia" w:ascii="Times New Roman" w:hAnsi="Times New Roman" w:eastAsia="宋体" w:cs="宋体"/>
          <w:color w:val="auto"/>
          <w:sz w:val="24"/>
          <w:szCs w:val="24"/>
          <w:lang w:val="en-US" w:eastAsia="zh-CN"/>
        </w:rPr>
        <w:t>北侧、东侧、南侧</w:t>
      </w:r>
      <w:r>
        <w:rPr>
          <w:rFonts w:ascii="Times New Roman" w:hAnsi="Times New Roman" w:eastAsia="宋体" w:cs="宋体"/>
          <w:color w:val="auto"/>
          <w:sz w:val="24"/>
          <w:szCs w:val="24"/>
        </w:rPr>
        <w:t>环境监测点昼夜间噪声值均能满足《工业企业厂界环境噪声排放标准》（GB12348-2008）中3类标准，</w:t>
      </w:r>
      <w:r>
        <w:rPr>
          <w:rFonts w:hint="eastAsia" w:ascii="Times New Roman" w:hAnsi="Times New Roman" w:eastAsia="宋体" w:cs="宋体"/>
          <w:color w:val="auto"/>
          <w:sz w:val="24"/>
          <w:szCs w:val="24"/>
          <w:lang w:val="en-US" w:eastAsia="zh-CN"/>
        </w:rPr>
        <w:t>西侧</w:t>
      </w:r>
      <w:r>
        <w:rPr>
          <w:rFonts w:ascii="Times New Roman" w:hAnsi="Times New Roman" w:eastAsia="宋体" w:cs="宋体"/>
          <w:color w:val="auto"/>
          <w:sz w:val="24"/>
          <w:szCs w:val="24"/>
        </w:rPr>
        <w:t>环境监测点昼夜间噪声值均能满足《工业企业厂界环境噪声排放标准》（GB12348-2008）中</w:t>
      </w:r>
      <w:r>
        <w:rPr>
          <w:rFonts w:hint="eastAsia" w:ascii="Times New Roman" w:hAnsi="Times New Roman" w:eastAsia="宋体" w:cs="宋体"/>
          <w:color w:val="auto"/>
          <w:sz w:val="24"/>
          <w:szCs w:val="24"/>
          <w:lang w:val="en-US" w:eastAsia="zh-CN"/>
        </w:rPr>
        <w:t>4a</w:t>
      </w:r>
      <w:r>
        <w:rPr>
          <w:rFonts w:ascii="Times New Roman" w:hAnsi="Times New Roman" w:eastAsia="宋体" w:cs="宋体"/>
          <w:color w:val="auto"/>
          <w:sz w:val="24"/>
          <w:szCs w:val="24"/>
        </w:rPr>
        <w:t>类标准，表明区域声环境质量能满足工业区环境质量要求。</w:t>
      </w:r>
    </w:p>
    <w:p w14:paraId="51AE4D76">
      <w:pPr>
        <w:keepNext/>
        <w:keepLines/>
        <w:spacing w:before="156" w:beforeLines="50" w:after="156" w:afterLines="50" w:line="360" w:lineRule="auto"/>
        <w:outlineLvl w:val="2"/>
        <w:rPr>
          <w:rFonts w:ascii="Times New Roman" w:hAnsi="Times New Roman" w:eastAsia="宋体" w:cs="Times New Roman"/>
          <w:b/>
          <w:color w:val="auto"/>
          <w:kern w:val="0"/>
          <w:sz w:val="24"/>
          <w:szCs w:val="24"/>
        </w:rPr>
      </w:pPr>
      <w:r>
        <w:rPr>
          <w:rFonts w:ascii="Times New Roman" w:hAnsi="Times New Roman" w:eastAsia="宋体" w:cs="Times New Roman"/>
          <w:b/>
          <w:color w:val="auto"/>
          <w:kern w:val="0"/>
          <w:sz w:val="24"/>
          <w:szCs w:val="24"/>
        </w:rPr>
        <w:t>5.2.6</w:t>
      </w:r>
      <w:r>
        <w:rPr>
          <w:rFonts w:hint="eastAsia" w:ascii="Times New Roman" w:hAnsi="Times New Roman" w:eastAsia="宋体" w:cs="Times New Roman"/>
          <w:b/>
          <w:color w:val="auto"/>
          <w:kern w:val="0"/>
          <w:sz w:val="24"/>
          <w:szCs w:val="24"/>
        </w:rPr>
        <w:t>生态环境现状调查与评价</w:t>
      </w:r>
    </w:p>
    <w:p w14:paraId="26DE8D66">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1、</w:t>
      </w:r>
      <w:r>
        <w:rPr>
          <w:rFonts w:ascii="Times New Roman" w:hAnsi="Times New Roman" w:eastAsia="宋体" w:cs="Times New Roman"/>
          <w:color w:val="auto"/>
          <w:sz w:val="24"/>
          <w:szCs w:val="24"/>
        </w:rPr>
        <w:t>水生生态</w:t>
      </w:r>
    </w:p>
    <w:p w14:paraId="42E33A40">
      <w:pPr>
        <w:spacing w:line="360" w:lineRule="auto"/>
        <w:ind w:firstLine="480" w:firstLineChars="200"/>
        <w:rPr>
          <w:rFonts w:ascii="Times New Roman" w:hAnsi="Times New Roman" w:eastAsia="宋体" w:cs="宋体"/>
          <w:color w:val="auto"/>
          <w:sz w:val="24"/>
          <w:szCs w:val="24"/>
        </w:rPr>
      </w:pPr>
      <w:r>
        <w:rPr>
          <w:rFonts w:hint="eastAsia" w:ascii="Times New Roman" w:hAnsi="Times New Roman" w:eastAsia="宋体" w:cs="宋体"/>
          <w:color w:val="auto"/>
          <w:sz w:val="24"/>
          <w:szCs w:val="24"/>
        </w:rPr>
        <w:t>津市境内水域浮游植物共6门45属65种，其中绿藻门种类最多，共23属35种，镰形纤维藻、双对栅藻为优势种；蓝藻门10属14种，微小色球藻、绿色藻、史氏棒胶藻为优势种；硅藻门6属8种，优势种为肘状针杆藻、钝脆杆菌；隐藻门、甲藻门、裸藻门种类较少，分别有1属2种、2属3种、3属3种。细胞密度在5.66x106~4.32x107ind./L之间，平均1.67x107ind./L。生物量在1.84~4.46mg/L之间，平均3.83mg/L。</w:t>
      </w:r>
    </w:p>
    <w:p w14:paraId="223E8BEF">
      <w:pPr>
        <w:spacing w:line="360" w:lineRule="auto"/>
        <w:ind w:firstLine="480" w:firstLineChars="200"/>
        <w:rPr>
          <w:rFonts w:ascii="Times New Roman" w:hAnsi="Times New Roman" w:eastAsia="宋体" w:cs="宋体"/>
          <w:color w:val="auto"/>
          <w:sz w:val="24"/>
          <w:szCs w:val="24"/>
        </w:rPr>
      </w:pPr>
      <w:r>
        <w:rPr>
          <w:rFonts w:hint="eastAsia" w:ascii="Times New Roman" w:hAnsi="Times New Roman" w:eastAsia="宋体" w:cs="宋体"/>
          <w:color w:val="auto"/>
          <w:sz w:val="24"/>
          <w:szCs w:val="24"/>
        </w:rPr>
        <w:t>浮游动物共4门21种。轮虫类种类最多，为12种，其中曲腿龟甲轮虫、裂足臂尾轮虫和对棘同尾轮虫为优势种；原生动物5种；枝角类和足类较少，各2种，剑水蚤为优势种。丰度在2.22x103~1.62x104ind./L之间，平均1.57x104id.L.生物量在1.84~4.46mgL之间，平均2.65mngL。</w:t>
      </w:r>
    </w:p>
    <w:p w14:paraId="548B0BC4">
      <w:pPr>
        <w:spacing w:line="360" w:lineRule="auto"/>
        <w:ind w:firstLine="480" w:firstLineChars="200"/>
        <w:rPr>
          <w:rFonts w:ascii="Times New Roman" w:hAnsi="Times New Roman" w:eastAsia="宋体" w:cs="宋体"/>
          <w:color w:val="auto"/>
          <w:sz w:val="24"/>
          <w:szCs w:val="24"/>
        </w:rPr>
      </w:pPr>
      <w:r>
        <w:rPr>
          <w:rFonts w:hint="eastAsia" w:ascii="Times New Roman" w:hAnsi="Times New Roman" w:eastAsia="宋体" w:cs="宋体"/>
          <w:color w:val="auto"/>
          <w:sz w:val="24"/>
          <w:szCs w:val="24"/>
        </w:rPr>
        <w:t>底栖生物共计48种，隶属于3门6纲10日20科40属。其中，环节动物门2纲2目2科4属6种；软体动物门2纲3目8科13属19种；节肢动物门2纲6目10科22属23种。</w:t>
      </w:r>
    </w:p>
    <w:p w14:paraId="754F4407">
      <w:pPr>
        <w:spacing w:line="360" w:lineRule="auto"/>
        <w:ind w:firstLine="480" w:firstLineChars="200"/>
        <w:rPr>
          <w:rFonts w:ascii="Times New Roman" w:hAnsi="Times New Roman" w:eastAsia="宋体" w:cs="宋体"/>
          <w:color w:val="auto"/>
          <w:sz w:val="24"/>
          <w:szCs w:val="24"/>
        </w:rPr>
      </w:pPr>
      <w:r>
        <w:rPr>
          <w:rFonts w:hint="eastAsia" w:ascii="Times New Roman" w:hAnsi="Times New Roman" w:eastAsia="宋体" w:cs="宋体"/>
          <w:color w:val="auto"/>
          <w:sz w:val="24"/>
          <w:szCs w:val="24"/>
        </w:rPr>
        <w:t>水生植物总46种，隶属于3纲20目40属，分为沉水植物、挺水植物、浮叶植物和漂浮植物四种生态型。其中双子叶植物种类最多，12目17科20属22种；单子叶植物次之，6目9科17属21种；藏类植物最少，仅2目3科3属3种。</w:t>
      </w:r>
    </w:p>
    <w:p w14:paraId="7CF1BAF9">
      <w:pPr>
        <w:spacing w:line="360" w:lineRule="auto"/>
        <w:ind w:firstLine="480" w:firstLineChars="200"/>
        <w:rPr>
          <w:rFonts w:ascii="Times New Roman" w:hAnsi="Times New Roman" w:eastAsia="宋体" w:cs="宋体"/>
          <w:color w:val="auto"/>
          <w:sz w:val="24"/>
          <w:szCs w:val="24"/>
        </w:rPr>
      </w:pPr>
      <w:r>
        <w:rPr>
          <w:rFonts w:hint="eastAsia" w:ascii="Times New Roman" w:hAnsi="Times New Roman" w:eastAsia="宋体" w:cs="宋体"/>
          <w:color w:val="auto"/>
          <w:sz w:val="24"/>
          <w:szCs w:val="24"/>
        </w:rPr>
        <w:t>鱼类共计96种，隶属于10目23科，鲤科鱼类为大宗，有55种，占鱼类总数的57.3%，其次是鲿科、沙鳅科、鳅科、钝头鮠科、鲇科和沙塘鳢科，分别有9种、4种、4种、3种、2种和2种，分别占总数的9.4%、4.2%、4.2%、3.1%、2.1%和2.1%，其它科鱼类较少，15科共15种，共占总数的15.6%。</w:t>
      </w:r>
    </w:p>
    <w:p w14:paraId="609EDB2A">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2、</w:t>
      </w:r>
      <w:r>
        <w:rPr>
          <w:rFonts w:ascii="Times New Roman" w:hAnsi="Times New Roman" w:eastAsia="宋体" w:cs="Times New Roman"/>
          <w:color w:val="auto"/>
          <w:sz w:val="24"/>
          <w:szCs w:val="24"/>
        </w:rPr>
        <w:t>动物资源</w:t>
      </w:r>
    </w:p>
    <w:p w14:paraId="494ACC13">
      <w:pPr>
        <w:spacing w:line="360" w:lineRule="auto"/>
        <w:ind w:firstLine="480" w:firstLineChars="200"/>
        <w:rPr>
          <w:rFonts w:ascii="Times New Roman" w:hAnsi="Times New Roman" w:eastAsia="宋体" w:cs="宋体"/>
          <w:color w:val="auto"/>
          <w:sz w:val="24"/>
          <w:szCs w:val="24"/>
        </w:rPr>
      </w:pPr>
      <w:r>
        <w:rPr>
          <w:rFonts w:hint="eastAsia" w:ascii="Times New Roman" w:hAnsi="Times New Roman" w:eastAsia="宋体" w:cs="宋体"/>
          <w:color w:val="auto"/>
          <w:sz w:val="24"/>
          <w:szCs w:val="24"/>
        </w:rPr>
        <w:t>根据津市林业局提供资料和查阅资料，野生动物资源调查以脊椎动物(包括鱼纲、两栖纲、爬行纲、鸟纲和哺乳纲)为主，脊椎动物5纲32目81科260种。其中，鱼纲8目16科77种；两栖纲2目6科14种；爬行纲3目8科25种；鸟纲15目43科127种；哺乳纲4目8科18种。</w:t>
      </w:r>
    </w:p>
    <w:p w14:paraId="5583CB5E">
      <w:pPr>
        <w:spacing w:line="360" w:lineRule="auto"/>
        <w:ind w:firstLine="480" w:firstLineChars="200"/>
        <w:rPr>
          <w:rFonts w:ascii="Times New Roman" w:hAnsi="Times New Roman" w:eastAsia="宋体" w:cs="宋体"/>
          <w:color w:val="auto"/>
          <w:sz w:val="24"/>
          <w:szCs w:val="24"/>
        </w:rPr>
      </w:pPr>
      <w:r>
        <w:rPr>
          <w:rFonts w:hint="eastAsia" w:ascii="Times New Roman" w:hAnsi="Times New Roman" w:eastAsia="宋体" w:cs="宋体"/>
          <w:color w:val="auto"/>
          <w:sz w:val="24"/>
          <w:szCs w:val="24"/>
        </w:rPr>
        <w:t>津市市陆生脊椎动物(含两栖纲、爬行纲、鸟纲、哺乳纲)183种中，列入国家重点保护野生动物名录的种类18种，占陆生脊椎动物总种数的9.83%(均为国家II级保护种类，没有国家I级保护种类)；列入湖南重点保护物种的117利占总种数的63.93%；列入国家保护有益的或有重要经济、科学研究价值的生动物(国家林业局7号令，2000.8.1)(简称NBES，下同)的138种，占总种数的75.41%(这里的总种数仅指陆生脊椎动物的种类数量)。</w:t>
      </w:r>
    </w:p>
    <w:p w14:paraId="3C1DC684">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3、</w:t>
      </w:r>
      <w:r>
        <w:rPr>
          <w:rFonts w:ascii="Times New Roman" w:hAnsi="Times New Roman" w:eastAsia="宋体" w:cs="Times New Roman"/>
          <w:color w:val="auto"/>
          <w:sz w:val="24"/>
          <w:szCs w:val="24"/>
        </w:rPr>
        <w:t>植物资源</w:t>
      </w:r>
    </w:p>
    <w:p w14:paraId="5D5588F9">
      <w:pPr>
        <w:spacing w:line="360" w:lineRule="auto"/>
        <w:ind w:firstLine="480" w:firstLineChars="200"/>
        <w:rPr>
          <w:rFonts w:ascii="Times New Roman" w:hAnsi="Times New Roman" w:eastAsia="宋体" w:cs="宋体"/>
          <w:color w:val="auto"/>
          <w:sz w:val="24"/>
          <w:szCs w:val="24"/>
        </w:rPr>
      </w:pPr>
      <w:r>
        <w:rPr>
          <w:rFonts w:hint="eastAsia" w:ascii="Times New Roman" w:hAnsi="Times New Roman" w:eastAsia="宋体" w:cs="宋体"/>
          <w:color w:val="auto"/>
          <w:sz w:val="24"/>
          <w:szCs w:val="24"/>
        </w:rPr>
        <w:t>津市位于湖南西北部，是中亚热带向北亚热带过渡带，属亚热带季风气候区，境内气候温和、雨量充沛、雨热同期、日照充足、四季分明。优越的地理位置和自然条件，孕育了较为丰富的野生植物资源。陆地植被以草从为主，森林以人工林为主。</w:t>
      </w:r>
    </w:p>
    <w:p w14:paraId="35749C30">
      <w:pPr>
        <w:spacing w:line="360" w:lineRule="auto"/>
        <w:ind w:firstLine="480" w:firstLineChars="200"/>
        <w:rPr>
          <w:rFonts w:ascii="Times New Roman" w:hAnsi="Times New Roman" w:eastAsia="宋体" w:cs="宋体"/>
          <w:color w:val="auto"/>
          <w:sz w:val="24"/>
          <w:szCs w:val="24"/>
        </w:rPr>
      </w:pPr>
      <w:r>
        <w:rPr>
          <w:rFonts w:hint="eastAsia" w:ascii="Times New Roman" w:hAnsi="Times New Roman" w:eastAsia="宋体" w:cs="宋体"/>
          <w:color w:val="auto"/>
          <w:sz w:val="24"/>
          <w:szCs w:val="24"/>
        </w:rPr>
        <w:t>调查统计结果显示:津市共有维管束植物90科、272属、403种，其中蕨类植物12科、14属、15种；裸子植物1科1属1种，被子植物77科、257属、387种。</w:t>
      </w:r>
    </w:p>
    <w:p w14:paraId="5598AE36">
      <w:pPr>
        <w:spacing w:line="360" w:lineRule="auto"/>
        <w:ind w:firstLine="480" w:firstLineChars="200"/>
        <w:rPr>
          <w:rFonts w:ascii="Times New Roman" w:hAnsi="Times New Roman" w:eastAsia="宋体" w:cs="宋体"/>
          <w:color w:val="auto"/>
          <w:sz w:val="24"/>
          <w:szCs w:val="24"/>
        </w:rPr>
      </w:pPr>
      <w:r>
        <w:rPr>
          <w:rFonts w:hint="eastAsia" w:ascii="Times New Roman" w:hAnsi="Times New Roman" w:eastAsia="宋体" w:cs="宋体"/>
          <w:color w:val="auto"/>
          <w:sz w:val="24"/>
          <w:szCs w:val="24"/>
        </w:rPr>
        <w:t>津市地区共有国家重点保护植物4种，其中I级1种(水杉)，Ⅱ级3种(金荞麦、细果野菱、莲)，项目区附近有居民房屋旁种植有水杉，均为人工栽培，未见到野生分布种。</w:t>
      </w:r>
    </w:p>
    <w:p w14:paraId="5D60201D">
      <w:pPr>
        <w:spacing w:line="360" w:lineRule="auto"/>
        <w:ind w:firstLine="480" w:firstLineChars="200"/>
        <w:rPr>
          <w:rFonts w:ascii="Times New Roman" w:hAnsi="Times New Roman" w:eastAsia="宋体" w:cs="宋体"/>
          <w:color w:val="auto"/>
          <w:sz w:val="24"/>
          <w:szCs w:val="24"/>
        </w:rPr>
      </w:pPr>
      <w:r>
        <w:rPr>
          <w:rFonts w:hint="eastAsia" w:ascii="Times New Roman" w:hAnsi="Times New Roman" w:eastAsia="宋体" w:cs="宋体"/>
          <w:color w:val="auto"/>
          <w:sz w:val="24"/>
          <w:szCs w:val="24"/>
        </w:rPr>
        <w:t>根据查阅《津市市古树名木资源普查数据表》资料和现场勘查，津市高新区规划区范围内无名木古树分布。</w:t>
      </w:r>
    </w:p>
    <w:p w14:paraId="4BBCD1D9">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4、</w:t>
      </w:r>
      <w:r>
        <w:rPr>
          <w:rFonts w:ascii="Times New Roman" w:hAnsi="Times New Roman" w:eastAsia="宋体" w:cs="Times New Roman"/>
          <w:color w:val="auto"/>
          <w:sz w:val="24"/>
          <w:szCs w:val="24"/>
        </w:rPr>
        <w:t>水土流失现状</w:t>
      </w:r>
    </w:p>
    <w:p w14:paraId="25CB5F74">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宋体"/>
          <w:color w:val="auto"/>
          <w:sz w:val="24"/>
          <w:szCs w:val="24"/>
        </w:rPr>
        <w:t>高新区区域属于《湖南省水利厅关于湖南省水土流失重点预防区和重点治理区划定公告》(湖南省水利厅2017年1月22号)中划定的“洞庭湖平原湿地省级水土流失重点预防区"区划范围。土壤侵蚀类型属轻度侵蚀区，水土流失侵钟类型以水钟为主，水蚀主要为面蚀、其次为沟蚀。根据《土壤侵蚀分类分级标准》(SL1902007)中土壤侵蚀强度分类分级标准，在全国土壤侵蚀类型区划上，本项目属于以水力侵蚀为主的类型区中的南方红壤丘陵区，其土壤容许流失量为500tk</w:t>
      </w:r>
      <w:r>
        <w:rPr>
          <w:rFonts w:hint="eastAsia" w:ascii="Times New Roman" w:hAnsi="Times New Roman" w:eastAsia="宋体" w:cs="宋体"/>
          <w:color w:val="auto"/>
          <w:sz w:val="24"/>
          <w:szCs w:val="24"/>
          <w:lang w:eastAsia="zh-CN"/>
        </w:rPr>
        <w:t>m</w:t>
      </w:r>
      <w:r>
        <w:rPr>
          <w:rFonts w:hint="eastAsia" w:ascii="Times New Roman" w:hAnsi="Times New Roman" w:eastAsia="宋体" w:cs="宋体"/>
          <w:color w:val="auto"/>
          <w:sz w:val="24"/>
          <w:szCs w:val="24"/>
          <w:vertAlign w:val="superscript"/>
          <w:lang w:eastAsia="zh-CN"/>
        </w:rPr>
        <w:t>2</w:t>
      </w:r>
      <w:r>
        <w:rPr>
          <w:rFonts w:hint="eastAsia" w:ascii="Times New Roman" w:hAnsi="Times New Roman" w:eastAsia="宋体" w:cs="宋体"/>
          <w:color w:val="auto"/>
          <w:sz w:val="24"/>
          <w:szCs w:val="24"/>
        </w:rPr>
        <w:t>a。高新区土壤侵蚀类型以水力侵蚀为主，侵蚀形态主要为面蚀，其次为沟蚀，属于轻、微度土壤侵蚀区域。防治措施主要以保护为主，产生水土流失的环节主要发生在建设过程的表层剥离、施工过程的土石开挖及回填方处理、建筑基础修建及附属设施等。防治措施主要是做好施工中的土石方调运及临时防护。</w:t>
      </w:r>
      <w:bookmarkEnd w:id="222"/>
    </w:p>
    <w:p w14:paraId="0619B505">
      <w:pPr>
        <w:spacing w:line="360" w:lineRule="auto"/>
        <w:ind w:firstLine="480" w:firstLineChars="200"/>
        <w:rPr>
          <w:rFonts w:ascii="Times New Roman" w:hAnsi="Times New Roman" w:eastAsia="宋体" w:cs="Times New Roman"/>
          <w:color w:val="FF0000"/>
          <w:sz w:val="24"/>
          <w:szCs w:val="24"/>
        </w:rPr>
      </w:pPr>
    </w:p>
    <w:p w14:paraId="04611F31">
      <w:pPr>
        <w:spacing w:line="360" w:lineRule="auto"/>
        <w:ind w:firstLine="480" w:firstLineChars="200"/>
        <w:rPr>
          <w:rFonts w:ascii="Times New Roman" w:hAnsi="Times New Roman" w:eastAsia="宋体" w:cs="Times New Roman"/>
          <w:color w:val="FF0000"/>
          <w:sz w:val="24"/>
          <w:szCs w:val="24"/>
        </w:rPr>
        <w:sectPr>
          <w:pgSz w:w="11906" w:h="16838"/>
          <w:pgMar w:top="1440" w:right="1800" w:bottom="1440" w:left="1800" w:header="851" w:footer="992" w:gutter="0"/>
          <w:pgNumType w:fmt="numberInDash"/>
          <w:cols w:space="425" w:num="1"/>
          <w:docGrid w:type="lines" w:linePitch="312" w:charSpace="0"/>
        </w:sectPr>
      </w:pPr>
    </w:p>
    <w:p w14:paraId="3BBACB7E">
      <w:pPr>
        <w:pStyle w:val="2"/>
        <w:spacing w:before="0" w:after="0" w:line="360" w:lineRule="auto"/>
        <w:jc w:val="center"/>
        <w:rPr>
          <w:rFonts w:ascii="Times New Roman" w:hAnsi="Times New Roman"/>
          <w:bCs w:val="0"/>
          <w:color w:val="auto"/>
          <w:sz w:val="32"/>
        </w:rPr>
      </w:pPr>
      <w:bookmarkStart w:id="248" w:name="_Toc14334"/>
      <w:bookmarkStart w:id="249" w:name="_Toc535149959"/>
      <w:bookmarkStart w:id="250" w:name="_Toc535150353"/>
      <w:bookmarkStart w:id="251" w:name="_Toc29259"/>
      <w:bookmarkStart w:id="252" w:name="_Toc5128334"/>
      <w:bookmarkStart w:id="253" w:name="_Toc17206468"/>
      <w:bookmarkStart w:id="254" w:name="_Toc517849922"/>
      <w:bookmarkStart w:id="255" w:name="_Toc121561286"/>
      <w:bookmarkStart w:id="256" w:name="_Toc512320180"/>
      <w:bookmarkStart w:id="257" w:name="_Toc535149961"/>
      <w:bookmarkStart w:id="258" w:name="_Toc121561288"/>
      <w:bookmarkStart w:id="259" w:name="_Toc17206470"/>
      <w:bookmarkStart w:id="260" w:name="_Toc535150355"/>
      <w:bookmarkStart w:id="261" w:name="_Toc5128336"/>
      <w:r>
        <w:rPr>
          <w:rFonts w:ascii="Times New Roman" w:hAnsi="Times New Roman"/>
          <w:bCs w:val="0"/>
          <w:color w:val="auto"/>
          <w:sz w:val="32"/>
        </w:rPr>
        <w:t>6、环境影响分析</w:t>
      </w:r>
      <w:bookmarkEnd w:id="248"/>
      <w:bookmarkEnd w:id="249"/>
      <w:bookmarkEnd w:id="250"/>
      <w:bookmarkEnd w:id="251"/>
      <w:bookmarkEnd w:id="252"/>
      <w:bookmarkEnd w:id="253"/>
      <w:bookmarkEnd w:id="254"/>
      <w:bookmarkEnd w:id="255"/>
      <w:bookmarkEnd w:id="256"/>
    </w:p>
    <w:p w14:paraId="081D638A">
      <w:pPr>
        <w:pStyle w:val="3"/>
        <w:spacing w:before="100" w:beforeAutospacing="1" w:after="100" w:afterAutospacing="1" w:line="360" w:lineRule="auto"/>
        <w:rPr>
          <w:rFonts w:ascii="Times New Roman" w:hAnsi="Times New Roman"/>
          <w:color w:val="auto"/>
          <w:kern w:val="0"/>
          <w:sz w:val="28"/>
          <w:szCs w:val="28"/>
        </w:rPr>
      </w:pPr>
      <w:bookmarkStart w:id="262" w:name="_Toc535150354"/>
      <w:bookmarkStart w:id="263" w:name="_Toc17206469"/>
      <w:bookmarkStart w:id="264" w:name="_Toc535149960"/>
      <w:bookmarkStart w:id="265" w:name="_Toc512320181"/>
      <w:bookmarkStart w:id="266" w:name="_Toc5128335"/>
      <w:bookmarkStart w:id="267" w:name="_Toc5126"/>
      <w:bookmarkStart w:id="268" w:name="_Toc121561287"/>
      <w:bookmarkStart w:id="269" w:name="_Toc517849923"/>
      <w:bookmarkStart w:id="270" w:name="_Toc21652"/>
      <w:r>
        <w:rPr>
          <w:rFonts w:ascii="Times New Roman" w:hAnsi="Times New Roman"/>
          <w:color w:val="auto"/>
          <w:kern w:val="0"/>
          <w:sz w:val="28"/>
          <w:szCs w:val="28"/>
        </w:rPr>
        <w:t>6.1施工期环境影响分析</w:t>
      </w:r>
      <w:bookmarkEnd w:id="262"/>
      <w:bookmarkEnd w:id="263"/>
      <w:bookmarkEnd w:id="264"/>
      <w:bookmarkEnd w:id="265"/>
      <w:bookmarkEnd w:id="266"/>
      <w:bookmarkEnd w:id="267"/>
      <w:bookmarkEnd w:id="268"/>
      <w:bookmarkEnd w:id="269"/>
      <w:bookmarkEnd w:id="270"/>
    </w:p>
    <w:p w14:paraId="348E6D4D">
      <w:pPr>
        <w:spacing w:line="360" w:lineRule="auto"/>
        <w:ind w:firstLine="480" w:firstLineChars="2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本项目无新增土建工程，仅在现有厂房内安装部分生产设备，基本无施工期环境影响，因此报告书不不再分析施工期环境影响分析。</w:t>
      </w:r>
    </w:p>
    <w:p w14:paraId="2A0A7281"/>
    <w:p w14:paraId="52B9C448">
      <w:pPr>
        <w:pStyle w:val="3"/>
        <w:spacing w:before="0" w:beforeAutospacing="0" w:after="0" w:afterAutospacing="0" w:line="240" w:lineRule="auto"/>
        <w:rPr>
          <w:rFonts w:ascii="Times New Roman" w:hAnsi="Times New Roman"/>
          <w:color w:val="auto"/>
          <w:kern w:val="0"/>
          <w:sz w:val="28"/>
          <w:szCs w:val="28"/>
        </w:rPr>
      </w:pPr>
      <w:bookmarkStart w:id="271" w:name="_Toc14624"/>
      <w:bookmarkStart w:id="272" w:name="_Toc4895"/>
      <w:r>
        <w:rPr>
          <w:rFonts w:ascii="Times New Roman" w:hAnsi="Times New Roman"/>
          <w:color w:val="auto"/>
          <w:kern w:val="0"/>
          <w:sz w:val="28"/>
          <w:szCs w:val="28"/>
        </w:rPr>
        <w:t>6.2营运期环境影响分析</w:t>
      </w:r>
      <w:bookmarkEnd w:id="257"/>
      <w:bookmarkEnd w:id="258"/>
      <w:bookmarkEnd w:id="259"/>
      <w:bookmarkEnd w:id="260"/>
      <w:bookmarkEnd w:id="261"/>
      <w:bookmarkEnd w:id="271"/>
      <w:bookmarkEnd w:id="272"/>
    </w:p>
    <w:p w14:paraId="3BABF18C">
      <w:pPr>
        <w:pStyle w:val="4"/>
        <w:spacing w:before="156" w:beforeLines="50" w:after="156" w:afterLines="50" w:line="360" w:lineRule="auto"/>
        <w:rPr>
          <w:rFonts w:ascii="Times New Roman" w:hAnsi="Times New Roman"/>
          <w:bCs w:val="0"/>
          <w:color w:val="auto"/>
          <w:kern w:val="0"/>
          <w:sz w:val="24"/>
          <w:szCs w:val="24"/>
        </w:rPr>
      </w:pPr>
      <w:r>
        <w:rPr>
          <w:rFonts w:ascii="Times New Roman" w:hAnsi="Times New Roman"/>
          <w:bCs w:val="0"/>
          <w:color w:val="auto"/>
          <w:kern w:val="0"/>
          <w:sz w:val="24"/>
          <w:szCs w:val="24"/>
        </w:rPr>
        <w:t>6.2.1大气环境影响分析</w:t>
      </w:r>
    </w:p>
    <w:p w14:paraId="4E5E5735">
      <w:pPr>
        <w:pStyle w:val="4"/>
        <w:spacing w:before="156" w:beforeLines="50" w:after="156" w:afterLines="50" w:line="360" w:lineRule="auto"/>
        <w:rPr>
          <w:rFonts w:ascii="Times New Roman" w:hAnsi="Times New Roman"/>
          <w:bCs w:val="0"/>
          <w:color w:val="auto"/>
          <w:kern w:val="0"/>
          <w:sz w:val="24"/>
          <w:szCs w:val="24"/>
        </w:rPr>
      </w:pPr>
      <w:r>
        <w:rPr>
          <w:rFonts w:ascii="Times New Roman" w:hAnsi="Times New Roman"/>
          <w:bCs w:val="0"/>
          <w:color w:val="auto"/>
          <w:kern w:val="0"/>
          <w:sz w:val="24"/>
          <w:szCs w:val="24"/>
        </w:rPr>
        <w:t>6.2.1.1</w:t>
      </w:r>
      <w:r>
        <w:rPr>
          <w:rFonts w:hint="eastAsia" w:ascii="Times New Roman" w:hAnsi="Times New Roman"/>
          <w:bCs w:val="0"/>
          <w:color w:val="auto"/>
          <w:kern w:val="0"/>
          <w:sz w:val="24"/>
          <w:szCs w:val="24"/>
        </w:rPr>
        <w:t>预测模型及参数选择</w:t>
      </w:r>
    </w:p>
    <w:p w14:paraId="0FFAA0C2">
      <w:pPr>
        <w:spacing w:line="360" w:lineRule="auto"/>
        <w:ind w:firstLine="480" w:firstLineChars="200"/>
        <w:textAlignment w:val="center"/>
        <w:rPr>
          <w:rFonts w:hint="eastAsia" w:ascii="Times New Roman" w:hAnsi="Times New Roman"/>
          <w:color w:val="auto"/>
          <w:sz w:val="24"/>
          <w:szCs w:val="24"/>
        </w:rPr>
      </w:pPr>
      <w:r>
        <w:rPr>
          <w:rFonts w:hint="eastAsia" w:ascii="Times New Roman" w:hAnsi="Times New Roman"/>
          <w:color w:val="auto"/>
          <w:sz w:val="24"/>
          <w:szCs w:val="24"/>
          <w:lang w:val="en-US" w:eastAsia="zh-CN"/>
        </w:rPr>
        <w:t>由估算模式计算结果可知，本项目</w:t>
      </w:r>
      <w:r>
        <w:rPr>
          <w:rFonts w:hint="eastAsia" w:ascii="Times New Roman" w:hAnsi="Times New Roman" w:eastAsia="宋体" w:cs="Times New Roman"/>
          <w:color w:val="auto"/>
          <w:sz w:val="24"/>
          <w:szCs w:val="24"/>
          <w:u w:val="none"/>
          <w:lang w:val="en-US" w:eastAsia="zh-CN"/>
        </w:rPr>
        <w:t>DA001</w:t>
      </w:r>
      <w:r>
        <w:rPr>
          <w:rFonts w:hint="eastAsia" w:ascii="Times New Roman" w:hAnsi="Times New Roman" w:eastAsia="宋体" w:cs="Times New Roman"/>
          <w:color w:val="auto"/>
          <w:sz w:val="24"/>
          <w:szCs w:val="24"/>
          <w:u w:val="none"/>
        </w:rPr>
        <w:t>的</w:t>
      </w:r>
      <w:r>
        <w:rPr>
          <w:rFonts w:hint="eastAsia" w:ascii="Times New Roman" w:hAnsi="Times New Roman" w:eastAsia="宋体" w:cs="Times New Roman"/>
          <w:color w:val="auto"/>
          <w:sz w:val="24"/>
          <w:szCs w:val="24"/>
          <w:u w:val="none"/>
          <w:lang w:val="en-US" w:eastAsia="zh-CN"/>
        </w:rPr>
        <w:t>TSP有组织排放</w:t>
      </w:r>
      <w:r>
        <w:rPr>
          <w:rFonts w:hint="eastAsia" w:ascii="Times New Roman" w:hAnsi="Times New Roman" w:eastAsia="宋体" w:cs="Times New Roman"/>
          <w:color w:val="auto"/>
          <w:sz w:val="24"/>
          <w:szCs w:val="24"/>
          <w:u w:val="none"/>
        </w:rPr>
        <w:t>浓度最大占标率为</w:t>
      </w:r>
      <w:r>
        <w:rPr>
          <w:rFonts w:hint="eastAsia" w:ascii="Times New Roman" w:hAnsi="Times New Roman" w:eastAsia="宋体" w:cs="Times New Roman"/>
          <w:color w:val="auto"/>
          <w:sz w:val="24"/>
          <w:szCs w:val="24"/>
          <w:u w:val="none"/>
          <w:lang w:val="en-US" w:eastAsia="zh-CN"/>
        </w:rPr>
        <w:t>3.56</w:t>
      </w:r>
      <w:r>
        <w:rPr>
          <w:rFonts w:hint="eastAsia" w:ascii="Times New Roman" w:hAnsi="Times New Roman" w:eastAsia="宋体" w:cs="Times New Roman"/>
          <w:color w:val="auto"/>
          <w:sz w:val="24"/>
          <w:szCs w:val="24"/>
          <w:u w:val="none"/>
        </w:rPr>
        <w:t>%</w:t>
      </w:r>
      <w:r>
        <w:rPr>
          <w:rFonts w:hint="default" w:ascii="Times New Roman" w:hAnsi="Times New Roman" w:eastAsia="宋体" w:cs="Times New Roman"/>
          <w:color w:val="auto"/>
          <w:sz w:val="24"/>
          <w:szCs w:val="24"/>
          <w:u w:val="none"/>
        </w:rPr>
        <w:t>&lt;</w:t>
      </w:r>
      <w:r>
        <w:rPr>
          <w:rFonts w:hint="eastAsia" w:ascii="Times New Roman" w:hAnsi="Times New Roman" w:eastAsia="宋体" w:cs="Times New Roman"/>
          <w:color w:val="auto"/>
          <w:sz w:val="24"/>
          <w:szCs w:val="24"/>
          <w:u w:val="none"/>
        </w:rPr>
        <w:t>10%</w:t>
      </w:r>
      <w:r>
        <w:rPr>
          <w:rFonts w:hint="eastAsia" w:ascii="Times New Roman" w:hAnsi="Times New Roman"/>
          <w:color w:val="auto"/>
          <w:sz w:val="24"/>
          <w:szCs w:val="24"/>
          <w:lang w:val="en-US" w:eastAsia="zh-CN"/>
        </w:rPr>
        <w:t>，确定本项目大气评价等级为二级。</w:t>
      </w:r>
    </w:p>
    <w:p w14:paraId="4959D0F9">
      <w:pPr>
        <w:spacing w:line="360" w:lineRule="auto"/>
        <w:ind w:firstLine="480" w:firstLineChars="200"/>
        <w:rPr>
          <w:rFonts w:hint="eastAsia" w:ascii="Times New Roman" w:hAnsi="Times New Roman"/>
          <w:color w:val="auto"/>
          <w:sz w:val="24"/>
          <w:szCs w:val="24"/>
          <w:lang w:val="en-US" w:eastAsia="zh-CN"/>
        </w:rPr>
      </w:pPr>
      <w:r>
        <w:rPr>
          <w:rFonts w:hint="eastAsia" w:ascii="Times New Roman" w:hAnsi="Times New Roman"/>
          <w:color w:val="auto"/>
          <w:sz w:val="24"/>
          <w:szCs w:val="24"/>
          <w:lang w:val="en-US" w:eastAsia="zh-CN"/>
        </w:rPr>
        <w:t>根据《环境影响评价技术导则 大气环境》（</w:t>
      </w:r>
      <w:r>
        <w:rPr>
          <w:rFonts w:hint="default" w:ascii="Times New Roman" w:hAnsi="Times New Roman"/>
          <w:color w:val="auto"/>
          <w:sz w:val="24"/>
          <w:szCs w:val="24"/>
          <w:lang w:val="en-US" w:eastAsia="zh-CN"/>
        </w:rPr>
        <w:t>HJ2.2-2018</w:t>
      </w:r>
      <w:r>
        <w:rPr>
          <w:rFonts w:hint="eastAsia" w:ascii="Times New Roman" w:hAnsi="Times New Roman"/>
          <w:color w:val="auto"/>
          <w:sz w:val="24"/>
          <w:szCs w:val="24"/>
          <w:lang w:val="en-US" w:eastAsia="zh-CN"/>
        </w:rPr>
        <w:t>）：二级评级项目不进行进一步预测与评价，只对污染物排放量进行核算。</w:t>
      </w:r>
    </w:p>
    <w:p w14:paraId="5270CF1C">
      <w:pPr>
        <w:pStyle w:val="4"/>
        <w:spacing w:before="156" w:beforeLines="50" w:after="156" w:afterLines="50" w:line="360" w:lineRule="auto"/>
        <w:rPr>
          <w:rFonts w:ascii="Times New Roman" w:hAnsi="Times New Roman"/>
          <w:bCs w:val="0"/>
          <w:color w:val="auto"/>
          <w:kern w:val="0"/>
          <w:sz w:val="24"/>
          <w:szCs w:val="24"/>
        </w:rPr>
      </w:pPr>
      <w:r>
        <w:rPr>
          <w:rFonts w:ascii="Times New Roman" w:hAnsi="Times New Roman"/>
          <w:bCs w:val="0"/>
          <w:color w:val="auto"/>
          <w:kern w:val="0"/>
          <w:sz w:val="24"/>
          <w:szCs w:val="24"/>
        </w:rPr>
        <w:t>6.2.1.</w:t>
      </w:r>
      <w:r>
        <w:rPr>
          <w:rFonts w:hint="eastAsia" w:ascii="Times New Roman" w:hAnsi="Times New Roman"/>
          <w:bCs w:val="0"/>
          <w:color w:val="auto"/>
          <w:kern w:val="0"/>
          <w:sz w:val="24"/>
          <w:szCs w:val="24"/>
          <w:lang w:val="en-US" w:eastAsia="zh-CN"/>
        </w:rPr>
        <w:t>2</w:t>
      </w:r>
      <w:r>
        <w:rPr>
          <w:rFonts w:hint="eastAsia" w:ascii="Times New Roman" w:hAnsi="Times New Roman"/>
          <w:bCs w:val="0"/>
          <w:color w:val="auto"/>
          <w:kern w:val="0"/>
          <w:sz w:val="24"/>
          <w:szCs w:val="24"/>
        </w:rPr>
        <w:t>污染物排放量核算</w:t>
      </w:r>
    </w:p>
    <w:p w14:paraId="4CC65441">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1、有组织排放量核算</w:t>
      </w:r>
    </w:p>
    <w:p w14:paraId="6F9B1322">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由污染源分析可知，本项目有组织排放污染物情况如下表所示：</w:t>
      </w:r>
    </w:p>
    <w:p w14:paraId="2B39F12B">
      <w:pPr>
        <w:pStyle w:val="6"/>
        <w:bidi w:val="0"/>
      </w:pPr>
      <w:r>
        <w:rPr>
          <w:rFonts w:hint="eastAsia"/>
        </w:rPr>
        <w:t>表</w:t>
      </w:r>
      <w:r>
        <w:t>6.2</w:t>
      </w:r>
      <w:r>
        <w:rPr>
          <w:rFonts w:hint="eastAsia"/>
          <w:lang w:val="en-US" w:eastAsia="zh-CN"/>
        </w:rPr>
        <w:t>.1</w:t>
      </w:r>
      <w:r>
        <w:rPr>
          <w:rFonts w:hint="eastAsia"/>
        </w:rPr>
        <w:t>-</w:t>
      </w:r>
      <w:r>
        <w:rPr>
          <w:rFonts w:hint="eastAsia"/>
          <w:lang w:val="en-US" w:eastAsia="zh-CN"/>
        </w:rPr>
        <w:t>1</w:t>
      </w:r>
      <w:r>
        <w:t xml:space="preserve">    大气污染物有组织排放核算一览表</w:t>
      </w:r>
    </w:p>
    <w:tbl>
      <w:tblPr>
        <w:tblStyle w:val="4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1"/>
        <w:gridCol w:w="1296"/>
        <w:gridCol w:w="1550"/>
        <w:gridCol w:w="1510"/>
        <w:gridCol w:w="1872"/>
        <w:gridCol w:w="1513"/>
      </w:tblGrid>
      <w:tr w14:paraId="5B658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noWrap w:val="0"/>
            <w:vAlign w:val="center"/>
          </w:tcPr>
          <w:p w14:paraId="2AC7E485">
            <w:pPr>
              <w:keepNext w:val="0"/>
              <w:keepLines w:val="0"/>
              <w:pageBreakBefore w:val="0"/>
              <w:widowControl w:val="0"/>
              <w:tabs>
                <w:tab w:val="left" w:pos="540"/>
                <w:tab w:val="left" w:pos="1080"/>
                <w:tab w:val="left" w:pos="1800"/>
              </w:tabs>
              <w:kinsoku/>
              <w:wordWrap/>
              <w:overflowPunct/>
              <w:topLinePunct w:val="0"/>
              <w:autoSpaceDE/>
              <w:autoSpaceDN/>
              <w:bidi w:val="0"/>
              <w:adjustRightInd w:val="0"/>
              <w:snapToGrid/>
              <w:spacing w:line="240" w:lineRule="auto"/>
              <w:ind w:left="0" w:leftChars="0" w:right="0" w:rightChars="0" w:firstLine="0" w:firstLineChars="0"/>
              <w:jc w:val="center"/>
              <w:textAlignment w:val="auto"/>
              <w:outlineLvl w:val="9"/>
              <w:rPr>
                <w:rFonts w:hint="default" w:ascii="Times New Roman" w:hAnsi="Times New Roman" w:cs="Times New Roman"/>
                <w:b/>
                <w:bCs/>
                <w:color w:val="auto"/>
                <w:sz w:val="21"/>
                <w:szCs w:val="21"/>
                <w:u w:val="none"/>
                <w:vertAlign w:val="baseline"/>
                <w:lang w:val="en-US" w:eastAsia="zh-CN"/>
              </w:rPr>
            </w:pPr>
            <w:r>
              <w:rPr>
                <w:rFonts w:hint="eastAsia" w:ascii="Times New Roman" w:hAnsi="Times New Roman" w:cs="Times New Roman"/>
                <w:b/>
                <w:bCs/>
                <w:color w:val="auto"/>
                <w:sz w:val="21"/>
                <w:szCs w:val="21"/>
                <w:u w:val="none"/>
                <w:vertAlign w:val="baseline"/>
                <w:lang w:val="en-US" w:eastAsia="zh-CN"/>
              </w:rPr>
              <w:t>序号</w:t>
            </w:r>
          </w:p>
        </w:tc>
        <w:tc>
          <w:tcPr>
            <w:tcW w:w="1296" w:type="dxa"/>
            <w:noWrap w:val="0"/>
            <w:vAlign w:val="center"/>
          </w:tcPr>
          <w:p w14:paraId="01E1E5D4">
            <w:pPr>
              <w:keepNext w:val="0"/>
              <w:keepLines w:val="0"/>
              <w:pageBreakBefore w:val="0"/>
              <w:widowControl w:val="0"/>
              <w:tabs>
                <w:tab w:val="left" w:pos="540"/>
                <w:tab w:val="left" w:pos="1080"/>
                <w:tab w:val="left" w:pos="1800"/>
              </w:tabs>
              <w:kinsoku/>
              <w:wordWrap/>
              <w:overflowPunct/>
              <w:topLinePunct w:val="0"/>
              <w:autoSpaceDE/>
              <w:autoSpaceDN/>
              <w:bidi w:val="0"/>
              <w:adjustRightInd w:val="0"/>
              <w:snapToGrid/>
              <w:spacing w:line="240" w:lineRule="auto"/>
              <w:ind w:left="0" w:leftChars="0" w:right="0" w:rightChars="0" w:firstLine="0" w:firstLineChars="0"/>
              <w:jc w:val="center"/>
              <w:textAlignment w:val="auto"/>
              <w:outlineLvl w:val="9"/>
              <w:rPr>
                <w:rFonts w:hint="default" w:ascii="Times New Roman" w:hAnsi="Times New Roman" w:cs="Times New Roman"/>
                <w:b/>
                <w:bCs/>
                <w:color w:val="auto"/>
                <w:sz w:val="21"/>
                <w:szCs w:val="21"/>
                <w:u w:val="none"/>
                <w:vertAlign w:val="baseline"/>
                <w:lang w:val="en-US" w:eastAsia="zh-CN"/>
              </w:rPr>
            </w:pPr>
            <w:r>
              <w:rPr>
                <w:rFonts w:hint="eastAsia" w:ascii="Times New Roman" w:hAnsi="Times New Roman" w:cs="Times New Roman"/>
                <w:b/>
                <w:bCs/>
                <w:color w:val="auto"/>
                <w:sz w:val="21"/>
                <w:szCs w:val="21"/>
                <w:u w:val="none"/>
                <w:vertAlign w:val="baseline"/>
                <w:lang w:val="en-US" w:eastAsia="zh-CN"/>
              </w:rPr>
              <w:t>排放口编号</w:t>
            </w:r>
          </w:p>
        </w:tc>
        <w:tc>
          <w:tcPr>
            <w:tcW w:w="1550" w:type="dxa"/>
            <w:noWrap w:val="0"/>
            <w:vAlign w:val="center"/>
          </w:tcPr>
          <w:p w14:paraId="6E4EA939">
            <w:pPr>
              <w:keepNext w:val="0"/>
              <w:keepLines w:val="0"/>
              <w:pageBreakBefore w:val="0"/>
              <w:widowControl w:val="0"/>
              <w:tabs>
                <w:tab w:val="left" w:pos="540"/>
                <w:tab w:val="left" w:pos="1080"/>
                <w:tab w:val="left" w:pos="1800"/>
              </w:tabs>
              <w:kinsoku/>
              <w:wordWrap/>
              <w:overflowPunct/>
              <w:topLinePunct w:val="0"/>
              <w:autoSpaceDE/>
              <w:autoSpaceDN/>
              <w:bidi w:val="0"/>
              <w:adjustRightInd w:val="0"/>
              <w:snapToGrid/>
              <w:spacing w:line="240" w:lineRule="auto"/>
              <w:ind w:left="0" w:leftChars="0" w:right="0" w:rightChars="0" w:firstLine="0" w:firstLineChars="0"/>
              <w:jc w:val="center"/>
              <w:textAlignment w:val="auto"/>
              <w:outlineLvl w:val="9"/>
              <w:rPr>
                <w:rFonts w:hint="default" w:ascii="Times New Roman" w:hAnsi="Times New Roman" w:cs="Times New Roman"/>
                <w:b/>
                <w:bCs/>
                <w:color w:val="auto"/>
                <w:sz w:val="21"/>
                <w:szCs w:val="21"/>
                <w:u w:val="none"/>
                <w:vertAlign w:val="baseline"/>
                <w:lang w:val="en-US" w:eastAsia="zh-CN"/>
              </w:rPr>
            </w:pPr>
            <w:r>
              <w:rPr>
                <w:rFonts w:hint="eastAsia" w:ascii="Times New Roman" w:hAnsi="Times New Roman" w:cs="Times New Roman"/>
                <w:b/>
                <w:bCs/>
                <w:color w:val="auto"/>
                <w:sz w:val="21"/>
                <w:szCs w:val="21"/>
                <w:u w:val="none"/>
                <w:vertAlign w:val="baseline"/>
                <w:lang w:val="en-US" w:eastAsia="zh-CN"/>
              </w:rPr>
              <w:t>污染物</w:t>
            </w:r>
          </w:p>
        </w:tc>
        <w:tc>
          <w:tcPr>
            <w:tcW w:w="1510" w:type="dxa"/>
            <w:noWrap w:val="0"/>
            <w:vAlign w:val="center"/>
          </w:tcPr>
          <w:p w14:paraId="3FE6571F">
            <w:pPr>
              <w:keepNext w:val="0"/>
              <w:keepLines w:val="0"/>
              <w:pageBreakBefore w:val="0"/>
              <w:widowControl w:val="0"/>
              <w:tabs>
                <w:tab w:val="left" w:pos="540"/>
                <w:tab w:val="left" w:pos="1080"/>
                <w:tab w:val="left" w:pos="1800"/>
              </w:tabs>
              <w:kinsoku/>
              <w:wordWrap/>
              <w:overflowPunct/>
              <w:topLinePunct w:val="0"/>
              <w:autoSpaceDE/>
              <w:autoSpaceDN/>
              <w:bidi w:val="0"/>
              <w:adjustRightInd w:val="0"/>
              <w:snapToGrid/>
              <w:spacing w:line="240" w:lineRule="auto"/>
              <w:ind w:left="0" w:leftChars="0" w:right="0" w:rightChars="0" w:firstLine="0" w:firstLineChars="0"/>
              <w:jc w:val="center"/>
              <w:textAlignment w:val="auto"/>
              <w:outlineLvl w:val="9"/>
              <w:rPr>
                <w:rFonts w:hint="default" w:ascii="Times New Roman" w:hAnsi="Times New Roman" w:cs="Times New Roman"/>
                <w:b/>
                <w:bCs/>
                <w:color w:val="auto"/>
                <w:sz w:val="21"/>
                <w:szCs w:val="21"/>
                <w:u w:val="none"/>
                <w:vertAlign w:val="baseline"/>
                <w:lang w:val="en-US" w:eastAsia="zh-CN"/>
              </w:rPr>
            </w:pPr>
            <w:r>
              <w:rPr>
                <w:rFonts w:hint="eastAsia" w:ascii="Times New Roman" w:hAnsi="Times New Roman" w:cs="Times New Roman"/>
                <w:b/>
                <w:bCs/>
                <w:color w:val="auto"/>
                <w:sz w:val="21"/>
                <w:szCs w:val="21"/>
                <w:u w:val="none"/>
                <w:vertAlign w:val="baseline"/>
                <w:lang w:val="en-US" w:eastAsia="zh-CN"/>
              </w:rPr>
              <w:t>核算排放浓度（ug/m</w:t>
            </w:r>
            <w:r>
              <w:rPr>
                <w:rFonts w:hint="eastAsia" w:ascii="Times New Roman" w:hAnsi="Times New Roman" w:cs="Times New Roman"/>
                <w:b/>
                <w:bCs/>
                <w:color w:val="auto"/>
                <w:sz w:val="21"/>
                <w:szCs w:val="21"/>
                <w:u w:val="none"/>
                <w:vertAlign w:val="superscript"/>
                <w:lang w:val="en-US" w:eastAsia="zh-CN"/>
              </w:rPr>
              <w:t>3</w:t>
            </w:r>
            <w:r>
              <w:rPr>
                <w:rFonts w:hint="eastAsia" w:ascii="Times New Roman" w:hAnsi="Times New Roman" w:cs="Times New Roman"/>
                <w:b/>
                <w:bCs/>
                <w:color w:val="auto"/>
                <w:sz w:val="21"/>
                <w:szCs w:val="21"/>
                <w:u w:val="none"/>
                <w:vertAlign w:val="baseline"/>
                <w:lang w:val="en-US" w:eastAsia="zh-CN"/>
              </w:rPr>
              <w:t>）</w:t>
            </w:r>
          </w:p>
        </w:tc>
        <w:tc>
          <w:tcPr>
            <w:tcW w:w="1872" w:type="dxa"/>
            <w:noWrap w:val="0"/>
            <w:vAlign w:val="center"/>
          </w:tcPr>
          <w:p w14:paraId="46E44516">
            <w:pPr>
              <w:keepNext w:val="0"/>
              <w:keepLines w:val="0"/>
              <w:pageBreakBefore w:val="0"/>
              <w:widowControl w:val="0"/>
              <w:tabs>
                <w:tab w:val="left" w:pos="540"/>
                <w:tab w:val="left" w:pos="1080"/>
                <w:tab w:val="left" w:pos="1800"/>
              </w:tabs>
              <w:kinsoku/>
              <w:wordWrap/>
              <w:overflowPunct/>
              <w:topLinePunct w:val="0"/>
              <w:autoSpaceDE/>
              <w:autoSpaceDN/>
              <w:bidi w:val="0"/>
              <w:adjustRightInd w:val="0"/>
              <w:snapToGrid/>
              <w:spacing w:line="240" w:lineRule="auto"/>
              <w:ind w:left="0" w:leftChars="0" w:right="0" w:rightChars="0" w:firstLine="0" w:firstLineChars="0"/>
              <w:jc w:val="center"/>
              <w:textAlignment w:val="auto"/>
              <w:outlineLvl w:val="9"/>
              <w:rPr>
                <w:rFonts w:hint="default" w:ascii="Times New Roman" w:hAnsi="Times New Roman" w:cs="Times New Roman"/>
                <w:b/>
                <w:bCs/>
                <w:color w:val="auto"/>
                <w:sz w:val="21"/>
                <w:szCs w:val="21"/>
                <w:u w:val="none"/>
                <w:vertAlign w:val="baseline"/>
                <w:lang w:val="en-US" w:eastAsia="zh-CN"/>
              </w:rPr>
            </w:pPr>
            <w:r>
              <w:rPr>
                <w:rFonts w:hint="eastAsia" w:ascii="Times New Roman" w:hAnsi="Times New Roman" w:cs="Times New Roman"/>
                <w:b/>
                <w:bCs/>
                <w:color w:val="auto"/>
                <w:sz w:val="21"/>
                <w:szCs w:val="21"/>
                <w:u w:val="none"/>
                <w:vertAlign w:val="baseline"/>
                <w:lang w:val="en-US" w:eastAsia="zh-CN"/>
              </w:rPr>
              <w:t>核算排放速率（kg/h）</w:t>
            </w:r>
          </w:p>
        </w:tc>
        <w:tc>
          <w:tcPr>
            <w:tcW w:w="1513" w:type="dxa"/>
            <w:noWrap w:val="0"/>
            <w:vAlign w:val="center"/>
          </w:tcPr>
          <w:p w14:paraId="7E94D65E">
            <w:pPr>
              <w:keepNext w:val="0"/>
              <w:keepLines w:val="0"/>
              <w:pageBreakBefore w:val="0"/>
              <w:widowControl w:val="0"/>
              <w:tabs>
                <w:tab w:val="left" w:pos="540"/>
                <w:tab w:val="left" w:pos="1080"/>
                <w:tab w:val="left" w:pos="1800"/>
              </w:tabs>
              <w:kinsoku/>
              <w:wordWrap/>
              <w:overflowPunct/>
              <w:topLinePunct w:val="0"/>
              <w:autoSpaceDE/>
              <w:autoSpaceDN/>
              <w:bidi w:val="0"/>
              <w:adjustRightInd w:val="0"/>
              <w:snapToGrid/>
              <w:spacing w:line="240" w:lineRule="auto"/>
              <w:ind w:left="0" w:leftChars="0" w:right="0" w:rightChars="0" w:firstLine="0" w:firstLineChars="0"/>
              <w:jc w:val="center"/>
              <w:textAlignment w:val="auto"/>
              <w:outlineLvl w:val="9"/>
              <w:rPr>
                <w:rFonts w:hint="default" w:ascii="Times New Roman" w:hAnsi="Times New Roman" w:cs="Times New Roman"/>
                <w:b/>
                <w:bCs/>
                <w:color w:val="auto"/>
                <w:sz w:val="21"/>
                <w:szCs w:val="21"/>
                <w:u w:val="none"/>
                <w:vertAlign w:val="baseline"/>
                <w:lang w:val="en-US" w:eastAsia="zh-CN"/>
              </w:rPr>
            </w:pPr>
            <w:r>
              <w:rPr>
                <w:rFonts w:hint="eastAsia" w:ascii="Times New Roman" w:hAnsi="Times New Roman" w:cs="Times New Roman"/>
                <w:b/>
                <w:bCs/>
                <w:color w:val="auto"/>
                <w:sz w:val="21"/>
                <w:szCs w:val="21"/>
                <w:u w:val="none"/>
                <w:vertAlign w:val="baseline"/>
                <w:lang w:val="en-US" w:eastAsia="zh-CN"/>
              </w:rPr>
              <w:t>核算年排放量（t/a）</w:t>
            </w:r>
          </w:p>
        </w:tc>
      </w:tr>
      <w:tr w14:paraId="1EA5E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6"/>
            <w:noWrap w:val="0"/>
            <w:vAlign w:val="center"/>
          </w:tcPr>
          <w:p w14:paraId="4981DFA5">
            <w:pPr>
              <w:keepNext w:val="0"/>
              <w:keepLines w:val="0"/>
              <w:pageBreakBefore w:val="0"/>
              <w:widowControl w:val="0"/>
              <w:tabs>
                <w:tab w:val="left" w:pos="540"/>
                <w:tab w:val="left" w:pos="1080"/>
                <w:tab w:val="left" w:pos="1800"/>
              </w:tabs>
              <w:kinsoku/>
              <w:wordWrap/>
              <w:overflowPunct/>
              <w:topLinePunct w:val="0"/>
              <w:autoSpaceDE/>
              <w:autoSpaceDN/>
              <w:bidi w:val="0"/>
              <w:adjustRightInd w:val="0"/>
              <w:snapToGrid/>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u w:val="none"/>
                <w:vertAlign w:val="baseline"/>
                <w:lang w:val="en-US" w:eastAsia="zh-CN"/>
              </w:rPr>
            </w:pPr>
            <w:r>
              <w:rPr>
                <w:rFonts w:hint="eastAsia" w:ascii="Times New Roman" w:hAnsi="Times New Roman" w:cs="Times New Roman"/>
                <w:color w:val="auto"/>
                <w:sz w:val="21"/>
                <w:szCs w:val="21"/>
                <w:u w:val="none"/>
                <w:vertAlign w:val="baseline"/>
                <w:lang w:val="en-US" w:eastAsia="zh-CN"/>
              </w:rPr>
              <w:t>一般排放口</w:t>
            </w:r>
          </w:p>
        </w:tc>
      </w:tr>
      <w:tr w14:paraId="27AD8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noWrap w:val="0"/>
            <w:vAlign w:val="center"/>
          </w:tcPr>
          <w:p w14:paraId="4E2E0313">
            <w:pPr>
              <w:keepNext w:val="0"/>
              <w:keepLines w:val="0"/>
              <w:pageBreakBefore w:val="0"/>
              <w:widowControl w:val="0"/>
              <w:tabs>
                <w:tab w:val="left" w:pos="540"/>
                <w:tab w:val="left" w:pos="1080"/>
                <w:tab w:val="left" w:pos="1800"/>
              </w:tabs>
              <w:kinsoku/>
              <w:wordWrap/>
              <w:overflowPunct/>
              <w:topLinePunct w:val="0"/>
              <w:autoSpaceDE/>
              <w:autoSpaceDN/>
              <w:bidi w:val="0"/>
              <w:adjustRightInd w:val="0"/>
              <w:snapToGrid/>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u w:val="none"/>
                <w:vertAlign w:val="baseline"/>
                <w:lang w:val="en-US" w:eastAsia="zh-CN"/>
              </w:rPr>
            </w:pPr>
            <w:r>
              <w:rPr>
                <w:rFonts w:hint="eastAsia" w:ascii="Times New Roman" w:hAnsi="Times New Roman" w:cs="Times New Roman"/>
                <w:color w:val="auto"/>
                <w:sz w:val="21"/>
                <w:szCs w:val="21"/>
                <w:u w:val="none"/>
                <w:vertAlign w:val="baseline"/>
                <w:lang w:val="en-US" w:eastAsia="zh-CN"/>
              </w:rPr>
              <w:t>1</w:t>
            </w:r>
          </w:p>
        </w:tc>
        <w:tc>
          <w:tcPr>
            <w:tcW w:w="1296" w:type="dxa"/>
            <w:vMerge w:val="restart"/>
            <w:noWrap w:val="0"/>
            <w:vAlign w:val="center"/>
          </w:tcPr>
          <w:p w14:paraId="54762554">
            <w:pPr>
              <w:keepNext w:val="0"/>
              <w:keepLines w:val="0"/>
              <w:pageBreakBefore w:val="0"/>
              <w:widowControl w:val="0"/>
              <w:tabs>
                <w:tab w:val="left" w:pos="540"/>
                <w:tab w:val="left" w:pos="1080"/>
                <w:tab w:val="left" w:pos="1800"/>
              </w:tabs>
              <w:kinsoku/>
              <w:wordWrap/>
              <w:overflowPunct/>
              <w:topLinePunct w:val="0"/>
              <w:autoSpaceDE/>
              <w:autoSpaceDN/>
              <w:bidi w:val="0"/>
              <w:adjustRightInd w:val="0"/>
              <w:snapToGrid/>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u w:val="none"/>
                <w:vertAlign w:val="baseline"/>
                <w:lang w:val="en-US" w:eastAsia="zh-CN"/>
              </w:rPr>
            </w:pPr>
            <w:r>
              <w:rPr>
                <w:rFonts w:hint="eastAsia" w:ascii="Times New Roman" w:hAnsi="Times New Roman" w:cs="Times New Roman"/>
                <w:color w:val="auto"/>
                <w:sz w:val="21"/>
                <w:szCs w:val="21"/>
                <w:u w:val="none"/>
                <w:vertAlign w:val="baseline"/>
                <w:lang w:val="en-US" w:eastAsia="zh-CN"/>
              </w:rPr>
              <w:t>DA001</w:t>
            </w:r>
          </w:p>
        </w:tc>
        <w:tc>
          <w:tcPr>
            <w:tcW w:w="1550" w:type="dxa"/>
            <w:shd w:val="clear" w:color="auto" w:fill="auto"/>
            <w:noWrap w:val="0"/>
            <w:vAlign w:val="center"/>
          </w:tcPr>
          <w:p w14:paraId="0B54CF1E">
            <w:pPr>
              <w:pStyle w:val="52"/>
              <w:bidi w:val="0"/>
              <w:rPr>
                <w:rFonts w:hint="default" w:ascii="Times New Roman" w:hAnsi="Times New Roman" w:eastAsia="宋体" w:cs="Times New Roman"/>
                <w:color w:val="000000"/>
                <w:kern w:val="2"/>
                <w:sz w:val="21"/>
                <w:szCs w:val="28"/>
                <w:highlight w:val="none"/>
                <w:lang w:val="en-US" w:eastAsia="zh-CN" w:bidi="ar-SA"/>
              </w:rPr>
            </w:pPr>
            <w:r>
              <w:rPr>
                <w:rFonts w:hint="default" w:ascii="Times New Roman" w:hAnsi="Times New Roman" w:eastAsia="宋体" w:cs="Times New Roman"/>
                <w:highlight w:val="none"/>
                <w:lang w:val="en-US" w:eastAsia="zh-CN"/>
              </w:rPr>
              <w:t>非甲烷总烃</w:t>
            </w:r>
          </w:p>
        </w:tc>
        <w:tc>
          <w:tcPr>
            <w:tcW w:w="1510" w:type="dxa"/>
            <w:shd w:val="clear" w:color="auto" w:fill="auto"/>
            <w:noWrap w:val="0"/>
            <w:vAlign w:val="center"/>
          </w:tcPr>
          <w:p w14:paraId="27EE6EF1">
            <w:pPr>
              <w:pStyle w:val="52"/>
              <w:bidi w:val="0"/>
              <w:rPr>
                <w:rFonts w:hint="default" w:ascii="Times New Roman" w:hAnsi="Times New Roman" w:eastAsia="宋体" w:cs="Times New Roman"/>
                <w:color w:val="000000"/>
                <w:kern w:val="2"/>
                <w:sz w:val="21"/>
                <w:szCs w:val="28"/>
                <w:highlight w:val="none"/>
                <w:lang w:val="en-US" w:eastAsia="zh-CN" w:bidi="ar-SA"/>
              </w:rPr>
            </w:pPr>
            <w:r>
              <w:rPr>
                <w:rFonts w:hint="default" w:ascii="Times New Roman" w:hAnsi="Times New Roman" w:eastAsia="宋体" w:cs="Times New Roman"/>
                <w:color w:val="000000"/>
                <w:kern w:val="2"/>
                <w:sz w:val="21"/>
                <w:szCs w:val="28"/>
                <w:highlight w:val="none"/>
                <w:lang w:val="en-US" w:eastAsia="zh-CN" w:bidi="ar-SA"/>
              </w:rPr>
              <w:t>9.33</w:t>
            </w:r>
          </w:p>
        </w:tc>
        <w:tc>
          <w:tcPr>
            <w:tcW w:w="1872" w:type="dxa"/>
            <w:shd w:val="clear" w:color="auto" w:fill="auto"/>
            <w:noWrap w:val="0"/>
            <w:vAlign w:val="center"/>
          </w:tcPr>
          <w:p w14:paraId="232AC038">
            <w:pPr>
              <w:pStyle w:val="52"/>
              <w:bidi w:val="0"/>
              <w:rPr>
                <w:rFonts w:hint="default" w:ascii="Times New Roman" w:hAnsi="Times New Roman" w:eastAsia="宋体" w:cs="Times New Roman"/>
                <w:color w:val="000000"/>
                <w:kern w:val="2"/>
                <w:sz w:val="21"/>
                <w:szCs w:val="28"/>
                <w:highlight w:val="none"/>
                <w:lang w:val="en-US" w:eastAsia="zh-CN" w:bidi="ar-SA"/>
              </w:rPr>
            </w:pPr>
            <w:r>
              <w:rPr>
                <w:rFonts w:hint="default" w:ascii="Times New Roman" w:hAnsi="Times New Roman" w:eastAsia="宋体" w:cs="Times New Roman"/>
                <w:color w:val="000000"/>
                <w:kern w:val="2"/>
                <w:sz w:val="21"/>
                <w:szCs w:val="28"/>
                <w:highlight w:val="none"/>
                <w:lang w:val="en-US" w:eastAsia="zh-CN" w:bidi="ar-SA"/>
              </w:rPr>
              <w:t>0.14</w:t>
            </w:r>
          </w:p>
        </w:tc>
        <w:tc>
          <w:tcPr>
            <w:tcW w:w="1513" w:type="dxa"/>
            <w:shd w:val="clear" w:color="auto" w:fill="auto"/>
            <w:noWrap w:val="0"/>
            <w:vAlign w:val="center"/>
          </w:tcPr>
          <w:p w14:paraId="07AE7956">
            <w:pPr>
              <w:pStyle w:val="52"/>
              <w:bidi w:val="0"/>
              <w:rPr>
                <w:rFonts w:hint="default" w:ascii="Times New Roman" w:hAnsi="Times New Roman" w:eastAsia="宋体" w:cs="Times New Roman"/>
                <w:color w:val="000000"/>
                <w:kern w:val="2"/>
                <w:sz w:val="21"/>
                <w:szCs w:val="28"/>
                <w:highlight w:val="none"/>
                <w:lang w:val="en-US" w:eastAsia="zh-CN" w:bidi="ar-SA"/>
              </w:rPr>
            </w:pPr>
            <w:r>
              <w:rPr>
                <w:rFonts w:hint="default" w:ascii="Times New Roman" w:hAnsi="Times New Roman" w:eastAsia="宋体" w:cs="Times New Roman"/>
                <w:highlight w:val="none"/>
                <w:lang w:val="en-US" w:eastAsia="zh-CN"/>
              </w:rPr>
              <w:t>1.008</w:t>
            </w:r>
          </w:p>
        </w:tc>
      </w:tr>
      <w:tr w14:paraId="2CFCA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noWrap w:val="0"/>
            <w:vAlign w:val="center"/>
          </w:tcPr>
          <w:p w14:paraId="4DE3AB7A">
            <w:pPr>
              <w:keepNext w:val="0"/>
              <w:keepLines w:val="0"/>
              <w:pageBreakBefore w:val="0"/>
              <w:widowControl w:val="0"/>
              <w:tabs>
                <w:tab w:val="left" w:pos="540"/>
                <w:tab w:val="left" w:pos="1080"/>
                <w:tab w:val="left" w:pos="1800"/>
              </w:tabs>
              <w:kinsoku/>
              <w:wordWrap/>
              <w:overflowPunct/>
              <w:topLinePunct w:val="0"/>
              <w:autoSpaceDE/>
              <w:autoSpaceDN/>
              <w:bidi w:val="0"/>
              <w:adjustRightInd w:val="0"/>
              <w:snapToGrid/>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u w:val="none"/>
                <w:vertAlign w:val="baseline"/>
                <w:lang w:val="en-US" w:eastAsia="zh-CN"/>
              </w:rPr>
            </w:pPr>
            <w:r>
              <w:rPr>
                <w:rFonts w:hint="eastAsia" w:ascii="Times New Roman" w:hAnsi="Times New Roman" w:cs="Times New Roman"/>
                <w:color w:val="auto"/>
                <w:sz w:val="21"/>
                <w:szCs w:val="21"/>
                <w:u w:val="none"/>
                <w:vertAlign w:val="baseline"/>
                <w:lang w:val="en-US" w:eastAsia="zh-CN"/>
              </w:rPr>
              <w:t>2</w:t>
            </w:r>
          </w:p>
        </w:tc>
        <w:tc>
          <w:tcPr>
            <w:tcW w:w="1296" w:type="dxa"/>
            <w:vMerge w:val="continue"/>
            <w:noWrap w:val="0"/>
            <w:vAlign w:val="center"/>
          </w:tcPr>
          <w:p w14:paraId="0E4AFB1C">
            <w:pPr>
              <w:keepNext w:val="0"/>
              <w:keepLines w:val="0"/>
              <w:pageBreakBefore w:val="0"/>
              <w:widowControl w:val="0"/>
              <w:tabs>
                <w:tab w:val="left" w:pos="540"/>
                <w:tab w:val="left" w:pos="1080"/>
                <w:tab w:val="left" w:pos="1800"/>
              </w:tabs>
              <w:kinsoku/>
              <w:wordWrap/>
              <w:overflowPunct/>
              <w:topLinePunct w:val="0"/>
              <w:autoSpaceDE/>
              <w:autoSpaceDN/>
              <w:bidi w:val="0"/>
              <w:adjustRightInd w:val="0"/>
              <w:snapToGrid/>
              <w:spacing w:line="240" w:lineRule="auto"/>
              <w:ind w:left="0" w:leftChars="0" w:right="0" w:rightChars="0" w:firstLine="0" w:firstLineChars="0"/>
              <w:jc w:val="center"/>
              <w:textAlignment w:val="auto"/>
              <w:outlineLvl w:val="9"/>
              <w:rPr>
                <w:rFonts w:hint="eastAsia" w:ascii="Times New Roman" w:hAnsi="Times New Roman" w:cs="Times New Roman"/>
                <w:color w:val="auto"/>
                <w:sz w:val="21"/>
                <w:szCs w:val="21"/>
                <w:u w:val="none"/>
                <w:vertAlign w:val="baseline"/>
                <w:lang w:val="en-US" w:eastAsia="zh-CN"/>
              </w:rPr>
            </w:pPr>
          </w:p>
        </w:tc>
        <w:tc>
          <w:tcPr>
            <w:tcW w:w="1550" w:type="dxa"/>
            <w:shd w:val="clear" w:color="auto" w:fill="auto"/>
            <w:noWrap w:val="0"/>
            <w:vAlign w:val="center"/>
          </w:tcPr>
          <w:p w14:paraId="6AC2C1EF">
            <w:pPr>
              <w:pStyle w:val="52"/>
              <w:bidi w:val="0"/>
              <w:rPr>
                <w:rFonts w:hint="default" w:ascii="Times New Roman" w:hAnsi="Times New Roman" w:eastAsia="宋体" w:cs="Times New Roman"/>
                <w:color w:val="000000"/>
                <w:kern w:val="2"/>
                <w:sz w:val="21"/>
                <w:szCs w:val="28"/>
                <w:highlight w:val="none"/>
                <w:lang w:val="en-US" w:eastAsia="zh-CN" w:bidi="ar-SA"/>
              </w:rPr>
            </w:pPr>
            <w:r>
              <w:rPr>
                <w:rFonts w:hint="default" w:ascii="Times New Roman" w:hAnsi="Times New Roman" w:eastAsia="宋体" w:cs="Times New Roman"/>
                <w:highlight w:val="none"/>
                <w:lang w:val="en-US" w:eastAsia="zh-CN"/>
              </w:rPr>
              <w:t>颗粒物</w:t>
            </w:r>
          </w:p>
        </w:tc>
        <w:tc>
          <w:tcPr>
            <w:tcW w:w="1510" w:type="dxa"/>
            <w:shd w:val="clear" w:color="auto" w:fill="auto"/>
            <w:noWrap w:val="0"/>
            <w:vAlign w:val="center"/>
          </w:tcPr>
          <w:p w14:paraId="0E7D5B85">
            <w:pPr>
              <w:pStyle w:val="52"/>
              <w:bidi w:val="0"/>
              <w:rPr>
                <w:rFonts w:hint="default" w:ascii="Times New Roman" w:hAnsi="Times New Roman" w:eastAsia="宋体" w:cs="Times New Roman"/>
                <w:color w:val="000000"/>
                <w:kern w:val="2"/>
                <w:sz w:val="21"/>
                <w:szCs w:val="28"/>
                <w:highlight w:val="none"/>
                <w:lang w:val="en-US" w:eastAsia="zh-CN" w:bidi="ar-SA"/>
              </w:rPr>
            </w:pPr>
            <w:r>
              <w:rPr>
                <w:rFonts w:hint="eastAsia" w:cs="Times New Roman"/>
                <w:color w:val="000000"/>
                <w:kern w:val="2"/>
                <w:sz w:val="21"/>
                <w:szCs w:val="28"/>
                <w:highlight w:val="none"/>
                <w:lang w:val="en-US" w:eastAsia="zh-CN" w:bidi="ar-SA"/>
              </w:rPr>
              <w:t>36.7</w:t>
            </w:r>
          </w:p>
        </w:tc>
        <w:tc>
          <w:tcPr>
            <w:tcW w:w="1872" w:type="dxa"/>
            <w:shd w:val="clear" w:color="auto" w:fill="auto"/>
            <w:noWrap w:val="0"/>
            <w:vAlign w:val="center"/>
          </w:tcPr>
          <w:p w14:paraId="03D38C11">
            <w:pPr>
              <w:pStyle w:val="52"/>
              <w:bidi w:val="0"/>
              <w:rPr>
                <w:rFonts w:hint="default" w:ascii="Times New Roman" w:hAnsi="Times New Roman" w:eastAsia="宋体" w:cs="Times New Roman"/>
                <w:color w:val="000000"/>
                <w:kern w:val="2"/>
                <w:sz w:val="21"/>
                <w:szCs w:val="28"/>
                <w:highlight w:val="none"/>
                <w:lang w:val="en-US" w:eastAsia="zh-CN" w:bidi="ar-SA"/>
              </w:rPr>
            </w:pPr>
            <w:r>
              <w:rPr>
                <w:rFonts w:hint="eastAsia" w:cs="Times New Roman"/>
                <w:color w:val="000000"/>
                <w:kern w:val="2"/>
                <w:sz w:val="21"/>
                <w:szCs w:val="28"/>
                <w:highlight w:val="none"/>
                <w:lang w:val="en-US" w:eastAsia="zh-CN" w:bidi="ar-SA"/>
              </w:rPr>
              <w:t>0.55</w:t>
            </w:r>
          </w:p>
        </w:tc>
        <w:tc>
          <w:tcPr>
            <w:tcW w:w="1513" w:type="dxa"/>
            <w:shd w:val="clear" w:color="auto" w:fill="auto"/>
            <w:noWrap w:val="0"/>
            <w:vAlign w:val="center"/>
          </w:tcPr>
          <w:p w14:paraId="024B627E">
            <w:pPr>
              <w:pStyle w:val="52"/>
              <w:bidi w:val="0"/>
              <w:rPr>
                <w:rFonts w:hint="default" w:ascii="Times New Roman" w:hAnsi="Times New Roman" w:eastAsia="宋体" w:cs="Times New Roman"/>
                <w:color w:val="000000"/>
                <w:kern w:val="2"/>
                <w:sz w:val="21"/>
                <w:szCs w:val="28"/>
                <w:highlight w:val="none"/>
                <w:lang w:val="en-US" w:eastAsia="zh-CN" w:bidi="ar-SA"/>
              </w:rPr>
            </w:pPr>
            <w:r>
              <w:rPr>
                <w:rFonts w:hint="default" w:ascii="Times New Roman" w:hAnsi="Times New Roman" w:eastAsia="宋体" w:cs="Times New Roman"/>
                <w:color w:val="000000"/>
                <w:kern w:val="2"/>
                <w:sz w:val="21"/>
                <w:szCs w:val="28"/>
                <w:highlight w:val="none"/>
                <w:lang w:val="en-US" w:eastAsia="zh-CN" w:bidi="ar-SA"/>
              </w:rPr>
              <w:t>2.9</w:t>
            </w:r>
            <w:r>
              <w:rPr>
                <w:rFonts w:hint="eastAsia" w:cs="Times New Roman"/>
                <w:color w:val="000000"/>
                <w:kern w:val="2"/>
                <w:sz w:val="21"/>
                <w:szCs w:val="28"/>
                <w:highlight w:val="none"/>
                <w:lang w:val="en-US" w:eastAsia="zh-CN" w:bidi="ar-SA"/>
              </w:rPr>
              <w:t>79</w:t>
            </w:r>
          </w:p>
        </w:tc>
      </w:tr>
      <w:tr w14:paraId="3A7BD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noWrap w:val="0"/>
            <w:vAlign w:val="center"/>
          </w:tcPr>
          <w:p w14:paraId="36D6DFF6">
            <w:pPr>
              <w:keepNext w:val="0"/>
              <w:keepLines w:val="0"/>
              <w:pageBreakBefore w:val="0"/>
              <w:widowControl w:val="0"/>
              <w:tabs>
                <w:tab w:val="left" w:pos="540"/>
                <w:tab w:val="left" w:pos="1080"/>
                <w:tab w:val="left" w:pos="1800"/>
              </w:tabs>
              <w:kinsoku/>
              <w:wordWrap/>
              <w:overflowPunct/>
              <w:topLinePunct w:val="0"/>
              <w:autoSpaceDE/>
              <w:autoSpaceDN/>
              <w:bidi w:val="0"/>
              <w:adjustRightInd w:val="0"/>
              <w:snapToGrid/>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u w:val="none"/>
                <w:vertAlign w:val="baseline"/>
                <w:lang w:val="en-US" w:eastAsia="zh-CN"/>
              </w:rPr>
            </w:pPr>
            <w:r>
              <w:rPr>
                <w:rFonts w:hint="eastAsia" w:ascii="Times New Roman" w:hAnsi="Times New Roman" w:cs="Times New Roman"/>
                <w:color w:val="auto"/>
                <w:sz w:val="21"/>
                <w:szCs w:val="21"/>
                <w:u w:val="none"/>
                <w:vertAlign w:val="baseline"/>
                <w:lang w:val="en-US" w:eastAsia="zh-CN"/>
              </w:rPr>
              <w:t>3</w:t>
            </w:r>
          </w:p>
        </w:tc>
        <w:tc>
          <w:tcPr>
            <w:tcW w:w="1296" w:type="dxa"/>
            <w:vMerge w:val="continue"/>
            <w:noWrap w:val="0"/>
            <w:vAlign w:val="center"/>
          </w:tcPr>
          <w:p w14:paraId="3E6D0B13">
            <w:pPr>
              <w:keepNext w:val="0"/>
              <w:keepLines w:val="0"/>
              <w:pageBreakBefore w:val="0"/>
              <w:widowControl w:val="0"/>
              <w:tabs>
                <w:tab w:val="left" w:pos="540"/>
                <w:tab w:val="left" w:pos="1080"/>
                <w:tab w:val="left" w:pos="1800"/>
              </w:tabs>
              <w:kinsoku/>
              <w:wordWrap/>
              <w:overflowPunct/>
              <w:topLinePunct w:val="0"/>
              <w:autoSpaceDE/>
              <w:autoSpaceDN/>
              <w:bidi w:val="0"/>
              <w:adjustRightInd w:val="0"/>
              <w:snapToGrid/>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u w:val="none"/>
                <w:vertAlign w:val="baseline"/>
                <w:lang w:val="en-US" w:eastAsia="zh-CN"/>
              </w:rPr>
            </w:pPr>
          </w:p>
        </w:tc>
        <w:tc>
          <w:tcPr>
            <w:tcW w:w="1550" w:type="dxa"/>
            <w:shd w:val="clear" w:color="auto" w:fill="auto"/>
            <w:noWrap w:val="0"/>
            <w:vAlign w:val="center"/>
          </w:tcPr>
          <w:p w14:paraId="30E7CD15">
            <w:pPr>
              <w:pStyle w:val="52"/>
              <w:bidi w:val="0"/>
              <w:rPr>
                <w:rFonts w:hint="default" w:ascii="Times New Roman" w:hAnsi="Times New Roman" w:eastAsia="宋体" w:cs="Times New Roman"/>
                <w:color w:val="000000"/>
                <w:kern w:val="2"/>
                <w:sz w:val="21"/>
                <w:szCs w:val="28"/>
                <w:highlight w:val="none"/>
                <w:lang w:val="en-US" w:eastAsia="zh-CN" w:bidi="ar-SA"/>
              </w:rPr>
            </w:pPr>
            <w:r>
              <w:rPr>
                <w:rFonts w:hint="default" w:ascii="Times New Roman" w:hAnsi="Times New Roman" w:eastAsia="宋体" w:cs="Times New Roman"/>
                <w:highlight w:val="none"/>
              </w:rPr>
              <w:t>氨气</w:t>
            </w:r>
          </w:p>
        </w:tc>
        <w:tc>
          <w:tcPr>
            <w:tcW w:w="1510" w:type="dxa"/>
            <w:shd w:val="clear" w:color="auto" w:fill="auto"/>
            <w:noWrap w:val="0"/>
            <w:vAlign w:val="center"/>
          </w:tcPr>
          <w:p w14:paraId="28E2001B">
            <w:pPr>
              <w:pStyle w:val="52"/>
              <w:bidi w:val="0"/>
              <w:rPr>
                <w:rFonts w:hint="default" w:ascii="Times New Roman" w:hAnsi="Times New Roman" w:eastAsia="宋体" w:cs="Times New Roman"/>
                <w:color w:val="000000"/>
                <w:kern w:val="2"/>
                <w:sz w:val="21"/>
                <w:szCs w:val="28"/>
                <w:highlight w:val="none"/>
                <w:lang w:val="en-US" w:eastAsia="zh-CN" w:bidi="ar-SA"/>
              </w:rPr>
            </w:pPr>
            <w:r>
              <w:rPr>
                <w:rFonts w:hint="default" w:ascii="Times New Roman" w:hAnsi="Times New Roman" w:eastAsia="宋体" w:cs="Times New Roman"/>
                <w:color w:val="000000"/>
                <w:kern w:val="2"/>
                <w:sz w:val="21"/>
                <w:szCs w:val="28"/>
                <w:highlight w:val="none"/>
                <w:lang w:val="en-US" w:eastAsia="zh-CN" w:bidi="ar-SA"/>
              </w:rPr>
              <w:t>2.87</w:t>
            </w:r>
          </w:p>
        </w:tc>
        <w:tc>
          <w:tcPr>
            <w:tcW w:w="1872" w:type="dxa"/>
            <w:shd w:val="clear" w:color="auto" w:fill="auto"/>
            <w:noWrap w:val="0"/>
            <w:vAlign w:val="center"/>
          </w:tcPr>
          <w:p w14:paraId="64EC6AE9">
            <w:pPr>
              <w:pStyle w:val="52"/>
              <w:bidi w:val="0"/>
              <w:rPr>
                <w:rFonts w:hint="default" w:ascii="Times New Roman" w:hAnsi="Times New Roman" w:eastAsia="宋体" w:cs="Times New Roman"/>
                <w:color w:val="000000"/>
                <w:kern w:val="2"/>
                <w:sz w:val="21"/>
                <w:szCs w:val="28"/>
                <w:highlight w:val="none"/>
                <w:lang w:val="en-US" w:eastAsia="zh-CN" w:bidi="ar-SA"/>
              </w:rPr>
            </w:pPr>
            <w:r>
              <w:rPr>
                <w:rFonts w:hint="default" w:ascii="Times New Roman" w:hAnsi="Times New Roman" w:eastAsia="宋体" w:cs="Times New Roman"/>
                <w:color w:val="000000"/>
                <w:kern w:val="2"/>
                <w:sz w:val="21"/>
                <w:szCs w:val="28"/>
                <w:highlight w:val="none"/>
                <w:lang w:val="en-US" w:eastAsia="zh-CN" w:bidi="ar-SA"/>
              </w:rPr>
              <w:t>0.043</w:t>
            </w:r>
          </w:p>
        </w:tc>
        <w:tc>
          <w:tcPr>
            <w:tcW w:w="1513" w:type="dxa"/>
            <w:shd w:val="clear" w:color="auto" w:fill="auto"/>
            <w:noWrap w:val="0"/>
            <w:vAlign w:val="center"/>
          </w:tcPr>
          <w:p w14:paraId="7076BF3B">
            <w:pPr>
              <w:pStyle w:val="52"/>
              <w:bidi w:val="0"/>
              <w:rPr>
                <w:rFonts w:hint="default" w:ascii="Times New Roman" w:hAnsi="Times New Roman" w:eastAsia="宋体" w:cs="Times New Roman"/>
                <w:color w:val="000000"/>
                <w:kern w:val="2"/>
                <w:sz w:val="21"/>
                <w:szCs w:val="28"/>
                <w:highlight w:val="none"/>
                <w:lang w:val="en-US" w:eastAsia="zh-CN" w:bidi="ar-SA"/>
              </w:rPr>
            </w:pPr>
            <w:r>
              <w:rPr>
                <w:rFonts w:hint="default" w:ascii="Times New Roman" w:hAnsi="Times New Roman" w:eastAsia="宋体" w:cs="Times New Roman"/>
                <w:highlight w:val="none"/>
                <w:lang w:val="en-US" w:eastAsia="zh-CN"/>
              </w:rPr>
              <w:t>0.3096</w:t>
            </w:r>
          </w:p>
        </w:tc>
      </w:tr>
      <w:tr w14:paraId="5D62E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noWrap w:val="0"/>
            <w:vAlign w:val="center"/>
          </w:tcPr>
          <w:p w14:paraId="42FDE017">
            <w:pPr>
              <w:keepNext w:val="0"/>
              <w:keepLines w:val="0"/>
              <w:pageBreakBefore w:val="0"/>
              <w:widowControl w:val="0"/>
              <w:tabs>
                <w:tab w:val="left" w:pos="540"/>
                <w:tab w:val="left" w:pos="1080"/>
                <w:tab w:val="left" w:pos="1800"/>
              </w:tabs>
              <w:kinsoku/>
              <w:wordWrap/>
              <w:overflowPunct/>
              <w:topLinePunct w:val="0"/>
              <w:autoSpaceDE/>
              <w:autoSpaceDN/>
              <w:bidi w:val="0"/>
              <w:adjustRightInd w:val="0"/>
              <w:snapToGrid/>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u w:val="none"/>
                <w:vertAlign w:val="baseline"/>
                <w:lang w:val="en-US" w:eastAsia="zh-CN"/>
              </w:rPr>
            </w:pPr>
            <w:r>
              <w:rPr>
                <w:rFonts w:hint="eastAsia" w:ascii="Times New Roman" w:hAnsi="Times New Roman" w:cs="Times New Roman"/>
                <w:color w:val="auto"/>
                <w:sz w:val="21"/>
                <w:szCs w:val="21"/>
                <w:u w:val="none"/>
                <w:vertAlign w:val="baseline"/>
                <w:lang w:val="en-US" w:eastAsia="zh-CN"/>
              </w:rPr>
              <w:t>3</w:t>
            </w:r>
          </w:p>
        </w:tc>
        <w:tc>
          <w:tcPr>
            <w:tcW w:w="1296" w:type="dxa"/>
            <w:vMerge w:val="restart"/>
            <w:noWrap w:val="0"/>
            <w:vAlign w:val="center"/>
          </w:tcPr>
          <w:p w14:paraId="5AF46D3B">
            <w:pPr>
              <w:keepNext w:val="0"/>
              <w:keepLines w:val="0"/>
              <w:pageBreakBefore w:val="0"/>
              <w:widowControl w:val="0"/>
              <w:tabs>
                <w:tab w:val="left" w:pos="540"/>
                <w:tab w:val="left" w:pos="1080"/>
                <w:tab w:val="left" w:pos="1800"/>
              </w:tabs>
              <w:kinsoku/>
              <w:wordWrap/>
              <w:overflowPunct/>
              <w:topLinePunct w:val="0"/>
              <w:autoSpaceDE/>
              <w:autoSpaceDN/>
              <w:bidi w:val="0"/>
              <w:adjustRightInd w:val="0"/>
              <w:snapToGrid/>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u w:val="none"/>
                <w:vertAlign w:val="baseline"/>
                <w:lang w:val="en-US" w:eastAsia="zh-CN"/>
              </w:rPr>
            </w:pPr>
            <w:r>
              <w:rPr>
                <w:rFonts w:hint="eastAsia" w:ascii="Times New Roman" w:hAnsi="Times New Roman" w:cs="Times New Roman"/>
                <w:color w:val="auto"/>
                <w:sz w:val="21"/>
                <w:szCs w:val="21"/>
                <w:u w:val="none"/>
                <w:vertAlign w:val="baseline"/>
                <w:lang w:val="en-US" w:eastAsia="zh-CN"/>
              </w:rPr>
              <w:t>DA002</w:t>
            </w:r>
          </w:p>
        </w:tc>
        <w:tc>
          <w:tcPr>
            <w:tcW w:w="1550" w:type="dxa"/>
            <w:shd w:val="clear" w:color="auto" w:fill="auto"/>
            <w:noWrap w:val="0"/>
            <w:vAlign w:val="center"/>
          </w:tcPr>
          <w:p w14:paraId="5B483DB1">
            <w:pPr>
              <w:pStyle w:val="52"/>
              <w:bidi w:val="0"/>
              <w:rPr>
                <w:rFonts w:hint="eastAsia" w:ascii="Times New Roman" w:hAnsi="Times New Roman" w:eastAsia="宋体" w:cs="Times New Roman"/>
                <w:color w:val="auto"/>
                <w:kern w:val="2"/>
                <w:sz w:val="21"/>
                <w:szCs w:val="28"/>
                <w:highlight w:val="none"/>
                <w:lang w:val="en-US" w:eastAsia="zh-CN" w:bidi="ar-SA"/>
              </w:rPr>
            </w:pPr>
            <w:r>
              <w:rPr>
                <w:rFonts w:hint="default" w:ascii="Times New Roman" w:hAnsi="Times New Roman" w:eastAsia="宋体" w:cs="Times New Roman"/>
                <w:color w:val="auto"/>
                <w:highlight w:val="none"/>
                <w:lang w:val="en-US" w:eastAsia="zh-CN"/>
              </w:rPr>
              <w:t>氨气</w:t>
            </w:r>
          </w:p>
        </w:tc>
        <w:tc>
          <w:tcPr>
            <w:tcW w:w="1510" w:type="dxa"/>
            <w:shd w:val="clear" w:color="auto" w:fill="auto"/>
            <w:noWrap w:val="0"/>
            <w:vAlign w:val="center"/>
          </w:tcPr>
          <w:p w14:paraId="4184D61D">
            <w:pPr>
              <w:pStyle w:val="52"/>
              <w:bidi w:val="0"/>
              <w:rPr>
                <w:rFonts w:hint="eastAsia" w:ascii="Times New Roman" w:hAnsi="Times New Roman" w:eastAsia="宋体" w:cs="Times New Roman"/>
                <w:color w:val="auto"/>
                <w:kern w:val="2"/>
                <w:sz w:val="21"/>
                <w:szCs w:val="28"/>
                <w:highlight w:val="none"/>
                <w:lang w:val="en-US" w:eastAsia="zh-CN" w:bidi="ar-SA"/>
              </w:rPr>
            </w:pPr>
            <w:r>
              <w:rPr>
                <w:rFonts w:hint="default" w:ascii="Times New Roman" w:hAnsi="Times New Roman" w:eastAsia="宋体" w:cs="Times New Roman"/>
                <w:color w:val="auto"/>
                <w:highlight w:val="none"/>
                <w:lang w:val="en-US" w:eastAsia="zh-CN"/>
              </w:rPr>
              <w:t>0.99</w:t>
            </w:r>
          </w:p>
        </w:tc>
        <w:tc>
          <w:tcPr>
            <w:tcW w:w="1872" w:type="dxa"/>
            <w:shd w:val="clear" w:color="auto" w:fill="auto"/>
            <w:noWrap w:val="0"/>
            <w:vAlign w:val="center"/>
          </w:tcPr>
          <w:p w14:paraId="1265C391">
            <w:pPr>
              <w:pStyle w:val="52"/>
              <w:bidi w:val="0"/>
              <w:rPr>
                <w:rFonts w:hint="eastAsia" w:ascii="Times New Roman" w:hAnsi="Times New Roman" w:eastAsia="宋体" w:cs="Times New Roman"/>
                <w:color w:val="auto"/>
                <w:kern w:val="2"/>
                <w:sz w:val="21"/>
                <w:szCs w:val="28"/>
                <w:highlight w:val="none"/>
                <w:lang w:val="en-US" w:eastAsia="zh-CN" w:bidi="ar-SA"/>
              </w:rPr>
            </w:pPr>
            <w:r>
              <w:rPr>
                <w:rFonts w:hint="default" w:ascii="Times New Roman" w:hAnsi="Times New Roman" w:eastAsia="宋体" w:cs="Times New Roman"/>
                <w:color w:val="auto"/>
                <w:highlight w:val="none"/>
                <w:lang w:val="en-US" w:eastAsia="zh-CN"/>
              </w:rPr>
              <w:t>0.0042</w:t>
            </w:r>
          </w:p>
        </w:tc>
        <w:tc>
          <w:tcPr>
            <w:tcW w:w="1513" w:type="dxa"/>
            <w:shd w:val="clear" w:color="auto" w:fill="auto"/>
            <w:noWrap w:val="0"/>
            <w:vAlign w:val="center"/>
          </w:tcPr>
          <w:p w14:paraId="59FD10B6">
            <w:pPr>
              <w:pStyle w:val="52"/>
              <w:bidi w:val="0"/>
              <w:rPr>
                <w:rFonts w:hint="eastAsia" w:ascii="Times New Roman" w:hAnsi="Times New Roman" w:eastAsia="宋体" w:cs="Times New Roman"/>
                <w:color w:val="auto"/>
                <w:kern w:val="2"/>
                <w:sz w:val="21"/>
                <w:szCs w:val="28"/>
                <w:highlight w:val="none"/>
                <w:lang w:val="en-US" w:eastAsia="zh-CN" w:bidi="ar-SA"/>
              </w:rPr>
            </w:pPr>
            <w:r>
              <w:rPr>
                <w:rFonts w:hint="default" w:ascii="Times New Roman" w:hAnsi="Times New Roman" w:eastAsia="宋体" w:cs="Times New Roman"/>
                <w:color w:val="auto"/>
                <w:highlight w:val="none"/>
                <w:lang w:val="en-US" w:eastAsia="zh-CN"/>
              </w:rPr>
              <w:t>0.03024</w:t>
            </w:r>
          </w:p>
        </w:tc>
      </w:tr>
      <w:tr w14:paraId="71AA0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noWrap w:val="0"/>
            <w:vAlign w:val="center"/>
          </w:tcPr>
          <w:p w14:paraId="60F4B089">
            <w:pPr>
              <w:keepNext w:val="0"/>
              <w:keepLines w:val="0"/>
              <w:pageBreakBefore w:val="0"/>
              <w:widowControl w:val="0"/>
              <w:tabs>
                <w:tab w:val="left" w:pos="540"/>
                <w:tab w:val="left" w:pos="1080"/>
                <w:tab w:val="left" w:pos="1800"/>
              </w:tabs>
              <w:kinsoku/>
              <w:wordWrap/>
              <w:overflowPunct/>
              <w:topLinePunct w:val="0"/>
              <w:autoSpaceDE/>
              <w:autoSpaceDN/>
              <w:bidi w:val="0"/>
              <w:adjustRightInd w:val="0"/>
              <w:snapToGrid/>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u w:val="none"/>
                <w:vertAlign w:val="baseline"/>
                <w:lang w:val="en-US" w:eastAsia="zh-CN"/>
              </w:rPr>
            </w:pPr>
            <w:r>
              <w:rPr>
                <w:rFonts w:hint="eastAsia" w:ascii="Times New Roman" w:hAnsi="Times New Roman" w:cs="Times New Roman"/>
                <w:color w:val="auto"/>
                <w:sz w:val="21"/>
                <w:szCs w:val="21"/>
                <w:u w:val="none"/>
                <w:vertAlign w:val="baseline"/>
                <w:lang w:val="en-US" w:eastAsia="zh-CN"/>
              </w:rPr>
              <w:t>4</w:t>
            </w:r>
          </w:p>
        </w:tc>
        <w:tc>
          <w:tcPr>
            <w:tcW w:w="1296" w:type="dxa"/>
            <w:vMerge w:val="continue"/>
            <w:noWrap w:val="0"/>
            <w:vAlign w:val="center"/>
          </w:tcPr>
          <w:p w14:paraId="195B4955">
            <w:pPr>
              <w:keepNext w:val="0"/>
              <w:keepLines w:val="0"/>
              <w:pageBreakBefore w:val="0"/>
              <w:widowControl w:val="0"/>
              <w:tabs>
                <w:tab w:val="left" w:pos="540"/>
                <w:tab w:val="left" w:pos="1080"/>
                <w:tab w:val="left" w:pos="1800"/>
              </w:tabs>
              <w:kinsoku/>
              <w:wordWrap/>
              <w:overflowPunct/>
              <w:topLinePunct w:val="0"/>
              <w:autoSpaceDE/>
              <w:autoSpaceDN/>
              <w:bidi w:val="0"/>
              <w:adjustRightInd w:val="0"/>
              <w:snapToGrid/>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u w:val="none"/>
                <w:vertAlign w:val="baseline"/>
                <w:lang w:val="en-US" w:eastAsia="zh-CN"/>
              </w:rPr>
            </w:pPr>
          </w:p>
        </w:tc>
        <w:tc>
          <w:tcPr>
            <w:tcW w:w="1550" w:type="dxa"/>
            <w:shd w:val="clear" w:color="auto" w:fill="auto"/>
            <w:noWrap w:val="0"/>
            <w:vAlign w:val="center"/>
          </w:tcPr>
          <w:p w14:paraId="44DEAF21">
            <w:pPr>
              <w:pStyle w:val="52"/>
              <w:bidi w:val="0"/>
              <w:rPr>
                <w:rFonts w:hint="eastAsia" w:ascii="Times New Roman" w:hAnsi="Times New Roman" w:eastAsia="宋体" w:cs="Times New Roman"/>
                <w:color w:val="auto"/>
                <w:kern w:val="2"/>
                <w:sz w:val="21"/>
                <w:szCs w:val="28"/>
                <w:highlight w:val="none"/>
                <w:lang w:val="en-US" w:eastAsia="zh-CN" w:bidi="ar-SA"/>
              </w:rPr>
            </w:pPr>
            <w:r>
              <w:rPr>
                <w:rFonts w:hint="default" w:ascii="Times New Roman" w:hAnsi="Times New Roman" w:eastAsia="宋体" w:cs="Times New Roman"/>
                <w:color w:val="auto"/>
                <w:highlight w:val="none"/>
                <w:lang w:val="en-US" w:eastAsia="zh-CN"/>
              </w:rPr>
              <w:t>硫化氢</w:t>
            </w:r>
          </w:p>
        </w:tc>
        <w:tc>
          <w:tcPr>
            <w:tcW w:w="1510" w:type="dxa"/>
            <w:shd w:val="clear" w:color="auto" w:fill="auto"/>
            <w:noWrap w:val="0"/>
            <w:vAlign w:val="center"/>
          </w:tcPr>
          <w:p w14:paraId="0413CB64">
            <w:pPr>
              <w:pStyle w:val="52"/>
              <w:bidi w:val="0"/>
              <w:rPr>
                <w:rFonts w:hint="eastAsia" w:ascii="Times New Roman" w:hAnsi="Times New Roman" w:eastAsia="宋体" w:cs="Times New Roman"/>
                <w:color w:val="auto"/>
                <w:kern w:val="2"/>
                <w:sz w:val="21"/>
                <w:szCs w:val="28"/>
                <w:highlight w:val="none"/>
                <w:lang w:val="en-US" w:eastAsia="zh-CN" w:bidi="ar-SA"/>
              </w:rPr>
            </w:pPr>
            <w:r>
              <w:rPr>
                <w:rFonts w:hint="default" w:ascii="Times New Roman" w:hAnsi="Times New Roman" w:eastAsia="宋体" w:cs="Times New Roman"/>
                <w:color w:val="auto"/>
                <w:highlight w:val="none"/>
                <w:lang w:val="en-US" w:eastAsia="zh-CN"/>
              </w:rPr>
              <w:t>0.333</w:t>
            </w:r>
          </w:p>
        </w:tc>
        <w:tc>
          <w:tcPr>
            <w:tcW w:w="1872" w:type="dxa"/>
            <w:shd w:val="clear" w:color="auto" w:fill="auto"/>
            <w:noWrap w:val="0"/>
            <w:vAlign w:val="center"/>
          </w:tcPr>
          <w:p w14:paraId="3CC94A55">
            <w:pPr>
              <w:pStyle w:val="52"/>
              <w:bidi w:val="0"/>
              <w:rPr>
                <w:rFonts w:hint="eastAsia" w:ascii="Times New Roman" w:hAnsi="Times New Roman" w:eastAsia="宋体" w:cs="Times New Roman"/>
                <w:color w:val="auto"/>
                <w:kern w:val="2"/>
                <w:sz w:val="21"/>
                <w:szCs w:val="28"/>
                <w:highlight w:val="none"/>
                <w:lang w:val="en-US" w:eastAsia="zh-CN" w:bidi="ar-SA"/>
              </w:rPr>
            </w:pPr>
            <w:r>
              <w:rPr>
                <w:rFonts w:hint="default" w:ascii="Times New Roman" w:hAnsi="Times New Roman" w:eastAsia="宋体" w:cs="Times New Roman"/>
                <w:color w:val="auto"/>
                <w:highlight w:val="none"/>
                <w:lang w:val="en-US" w:eastAsia="zh-CN"/>
              </w:rPr>
              <w:t>0.0014</w:t>
            </w:r>
          </w:p>
        </w:tc>
        <w:tc>
          <w:tcPr>
            <w:tcW w:w="1513" w:type="dxa"/>
            <w:shd w:val="clear" w:color="auto" w:fill="auto"/>
            <w:noWrap w:val="0"/>
            <w:vAlign w:val="center"/>
          </w:tcPr>
          <w:p w14:paraId="6C4570CE">
            <w:pPr>
              <w:pStyle w:val="52"/>
              <w:bidi w:val="0"/>
              <w:rPr>
                <w:rFonts w:hint="eastAsia" w:ascii="Times New Roman" w:hAnsi="Times New Roman" w:eastAsia="宋体" w:cs="Times New Roman"/>
                <w:color w:val="auto"/>
                <w:kern w:val="2"/>
                <w:sz w:val="21"/>
                <w:szCs w:val="28"/>
                <w:highlight w:val="none"/>
                <w:lang w:val="en-US" w:eastAsia="zh-CN" w:bidi="ar-SA"/>
              </w:rPr>
            </w:pPr>
            <w:r>
              <w:rPr>
                <w:rFonts w:hint="default" w:ascii="Times New Roman" w:hAnsi="Times New Roman" w:eastAsia="宋体" w:cs="Times New Roman"/>
                <w:color w:val="auto"/>
                <w:highlight w:val="none"/>
                <w:lang w:val="en-US" w:eastAsia="zh-CN"/>
              </w:rPr>
              <w:t>0.01008</w:t>
            </w:r>
          </w:p>
        </w:tc>
      </w:tr>
      <w:tr w14:paraId="620A2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6"/>
            <w:noWrap w:val="0"/>
            <w:vAlign w:val="center"/>
          </w:tcPr>
          <w:p w14:paraId="74DA52B1">
            <w:pPr>
              <w:keepNext w:val="0"/>
              <w:keepLines w:val="0"/>
              <w:pageBreakBefore w:val="0"/>
              <w:widowControl w:val="0"/>
              <w:tabs>
                <w:tab w:val="left" w:pos="540"/>
                <w:tab w:val="left" w:pos="1080"/>
                <w:tab w:val="left" w:pos="1800"/>
              </w:tabs>
              <w:kinsoku/>
              <w:wordWrap/>
              <w:overflowPunct/>
              <w:topLinePunct w:val="0"/>
              <w:autoSpaceDE/>
              <w:autoSpaceDN/>
              <w:bidi w:val="0"/>
              <w:adjustRightInd w:val="0"/>
              <w:snapToGrid/>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u w:val="none"/>
                <w:vertAlign w:val="baseline"/>
                <w:lang w:val="en-US" w:eastAsia="zh-CN"/>
              </w:rPr>
            </w:pPr>
            <w:r>
              <w:rPr>
                <w:rFonts w:hint="eastAsia" w:ascii="Times New Roman" w:hAnsi="Times New Roman" w:cs="Times New Roman"/>
                <w:color w:val="auto"/>
                <w:sz w:val="21"/>
                <w:szCs w:val="21"/>
                <w:u w:val="none"/>
                <w:vertAlign w:val="baseline"/>
                <w:lang w:val="en-US" w:eastAsia="zh-CN"/>
              </w:rPr>
              <w:t>一般排放口合计</w:t>
            </w:r>
          </w:p>
        </w:tc>
      </w:tr>
      <w:tr w14:paraId="77307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7" w:type="dxa"/>
            <w:gridSpan w:val="2"/>
            <w:vMerge w:val="restart"/>
            <w:noWrap w:val="0"/>
            <w:vAlign w:val="center"/>
          </w:tcPr>
          <w:p w14:paraId="6C1A854E">
            <w:pPr>
              <w:keepNext w:val="0"/>
              <w:keepLines w:val="0"/>
              <w:pageBreakBefore w:val="0"/>
              <w:widowControl w:val="0"/>
              <w:tabs>
                <w:tab w:val="left" w:pos="540"/>
                <w:tab w:val="left" w:pos="1080"/>
                <w:tab w:val="left" w:pos="1800"/>
              </w:tabs>
              <w:kinsoku/>
              <w:wordWrap/>
              <w:overflowPunct/>
              <w:topLinePunct w:val="0"/>
              <w:autoSpaceDE/>
              <w:autoSpaceDN/>
              <w:bidi w:val="0"/>
              <w:adjustRightInd w:val="0"/>
              <w:snapToGrid/>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u w:val="none"/>
                <w:vertAlign w:val="baseline"/>
                <w:lang w:val="en-US" w:eastAsia="zh-CN"/>
              </w:rPr>
            </w:pPr>
            <w:r>
              <w:rPr>
                <w:rFonts w:hint="eastAsia" w:ascii="Times New Roman" w:hAnsi="Times New Roman" w:cs="Times New Roman"/>
                <w:color w:val="auto"/>
                <w:sz w:val="21"/>
                <w:szCs w:val="21"/>
                <w:u w:val="none"/>
                <w:vertAlign w:val="baseline"/>
                <w:lang w:val="en-US" w:eastAsia="zh-CN"/>
              </w:rPr>
              <w:t>一般排放口合计</w:t>
            </w:r>
          </w:p>
        </w:tc>
        <w:tc>
          <w:tcPr>
            <w:tcW w:w="4932" w:type="dxa"/>
            <w:gridSpan w:val="3"/>
            <w:shd w:val="clear" w:color="auto" w:fill="auto"/>
            <w:noWrap w:val="0"/>
            <w:vAlign w:val="center"/>
          </w:tcPr>
          <w:p w14:paraId="1DABCECF">
            <w:pPr>
              <w:pStyle w:val="52"/>
              <w:bidi w:val="0"/>
              <w:rPr>
                <w:rFonts w:hint="default" w:ascii="Times New Roman" w:hAnsi="Times New Roman" w:eastAsia="宋体" w:cs="Times New Roman"/>
                <w:color w:val="000000"/>
                <w:kern w:val="2"/>
                <w:sz w:val="21"/>
                <w:szCs w:val="28"/>
                <w:highlight w:val="none"/>
                <w:lang w:val="en-US" w:eastAsia="zh-CN" w:bidi="ar-SA"/>
              </w:rPr>
            </w:pPr>
            <w:r>
              <w:rPr>
                <w:rFonts w:hint="default" w:ascii="Times New Roman" w:hAnsi="Times New Roman" w:eastAsia="宋体" w:cs="Times New Roman"/>
                <w:highlight w:val="none"/>
                <w:lang w:val="en-US" w:eastAsia="zh-CN"/>
              </w:rPr>
              <w:t>非甲烷总烃</w:t>
            </w:r>
          </w:p>
        </w:tc>
        <w:tc>
          <w:tcPr>
            <w:tcW w:w="1513" w:type="dxa"/>
            <w:noWrap w:val="0"/>
            <w:vAlign w:val="center"/>
          </w:tcPr>
          <w:p w14:paraId="1D31C379">
            <w:pPr>
              <w:keepNext w:val="0"/>
              <w:keepLines w:val="0"/>
              <w:pageBreakBefore w:val="0"/>
              <w:widowControl w:val="0"/>
              <w:tabs>
                <w:tab w:val="left" w:pos="540"/>
                <w:tab w:val="left" w:pos="1080"/>
                <w:tab w:val="left" w:pos="1800"/>
              </w:tabs>
              <w:kinsoku/>
              <w:wordWrap/>
              <w:overflowPunct/>
              <w:topLinePunct w:val="0"/>
              <w:autoSpaceDE/>
              <w:autoSpaceDN/>
              <w:bidi w:val="0"/>
              <w:adjustRightInd w:val="0"/>
              <w:snapToGrid/>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u w:val="none"/>
                <w:vertAlign w:val="baseline"/>
                <w:lang w:val="en-US" w:eastAsia="zh-CN"/>
              </w:rPr>
            </w:pPr>
            <w:r>
              <w:rPr>
                <w:rFonts w:hint="eastAsia" w:ascii="Times New Roman" w:hAnsi="Times New Roman" w:cs="Times New Roman"/>
                <w:color w:val="auto"/>
                <w:sz w:val="21"/>
                <w:szCs w:val="21"/>
                <w:u w:val="none"/>
                <w:vertAlign w:val="baseline"/>
                <w:lang w:val="en-US" w:eastAsia="zh-CN"/>
              </w:rPr>
              <w:t>1.008</w:t>
            </w:r>
          </w:p>
        </w:tc>
      </w:tr>
      <w:tr w14:paraId="2FAB0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7" w:type="dxa"/>
            <w:gridSpan w:val="2"/>
            <w:vMerge w:val="continue"/>
            <w:noWrap w:val="0"/>
            <w:vAlign w:val="center"/>
          </w:tcPr>
          <w:p w14:paraId="01FC498A">
            <w:pPr>
              <w:keepNext w:val="0"/>
              <w:keepLines w:val="0"/>
              <w:pageBreakBefore w:val="0"/>
              <w:widowControl w:val="0"/>
              <w:tabs>
                <w:tab w:val="left" w:pos="540"/>
                <w:tab w:val="left" w:pos="1080"/>
                <w:tab w:val="left" w:pos="1800"/>
              </w:tabs>
              <w:kinsoku/>
              <w:wordWrap/>
              <w:overflowPunct/>
              <w:topLinePunct w:val="0"/>
              <w:autoSpaceDE/>
              <w:autoSpaceDN/>
              <w:bidi w:val="0"/>
              <w:adjustRightInd w:val="0"/>
              <w:snapToGrid/>
              <w:spacing w:line="240" w:lineRule="auto"/>
              <w:ind w:left="0" w:leftChars="0" w:right="0" w:rightChars="0" w:firstLine="0" w:firstLineChars="0"/>
              <w:jc w:val="center"/>
              <w:textAlignment w:val="auto"/>
              <w:outlineLvl w:val="9"/>
              <w:rPr>
                <w:rFonts w:hint="eastAsia" w:ascii="Times New Roman" w:hAnsi="Times New Roman" w:cs="Times New Roman"/>
                <w:color w:val="auto"/>
                <w:sz w:val="21"/>
                <w:szCs w:val="21"/>
                <w:u w:val="none"/>
                <w:vertAlign w:val="baseline"/>
                <w:lang w:val="en-US" w:eastAsia="zh-CN"/>
              </w:rPr>
            </w:pPr>
          </w:p>
        </w:tc>
        <w:tc>
          <w:tcPr>
            <w:tcW w:w="4932" w:type="dxa"/>
            <w:gridSpan w:val="3"/>
            <w:shd w:val="clear" w:color="auto" w:fill="auto"/>
            <w:noWrap w:val="0"/>
            <w:vAlign w:val="center"/>
          </w:tcPr>
          <w:p w14:paraId="25181FF3">
            <w:pPr>
              <w:pStyle w:val="52"/>
              <w:bidi w:val="0"/>
              <w:rPr>
                <w:rFonts w:hint="eastAsia" w:ascii="Times New Roman" w:hAnsi="Times New Roman" w:eastAsia="宋体" w:cs="Times New Roman"/>
                <w:color w:val="000000"/>
                <w:kern w:val="2"/>
                <w:sz w:val="21"/>
                <w:szCs w:val="28"/>
                <w:highlight w:val="none"/>
                <w:lang w:val="en-US" w:eastAsia="zh-CN" w:bidi="ar-SA"/>
              </w:rPr>
            </w:pPr>
            <w:r>
              <w:rPr>
                <w:rFonts w:hint="default" w:ascii="Times New Roman" w:hAnsi="Times New Roman" w:eastAsia="宋体" w:cs="Times New Roman"/>
                <w:highlight w:val="none"/>
                <w:lang w:val="en-US" w:eastAsia="zh-CN"/>
              </w:rPr>
              <w:t>颗粒物</w:t>
            </w:r>
          </w:p>
        </w:tc>
        <w:tc>
          <w:tcPr>
            <w:tcW w:w="1513" w:type="dxa"/>
            <w:noWrap w:val="0"/>
            <w:vAlign w:val="center"/>
          </w:tcPr>
          <w:p w14:paraId="11003C51">
            <w:pPr>
              <w:keepNext w:val="0"/>
              <w:keepLines w:val="0"/>
              <w:pageBreakBefore w:val="0"/>
              <w:widowControl w:val="0"/>
              <w:tabs>
                <w:tab w:val="left" w:pos="540"/>
                <w:tab w:val="left" w:pos="1080"/>
                <w:tab w:val="left" w:pos="1800"/>
              </w:tabs>
              <w:kinsoku/>
              <w:wordWrap/>
              <w:overflowPunct/>
              <w:topLinePunct w:val="0"/>
              <w:autoSpaceDE/>
              <w:autoSpaceDN/>
              <w:bidi w:val="0"/>
              <w:adjustRightInd w:val="0"/>
              <w:snapToGrid/>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u w:val="none"/>
                <w:vertAlign w:val="baseline"/>
                <w:lang w:val="en-US" w:eastAsia="zh-CN"/>
              </w:rPr>
            </w:pPr>
            <w:r>
              <w:rPr>
                <w:rFonts w:hint="eastAsia" w:ascii="Times New Roman" w:hAnsi="Times New Roman" w:cs="Times New Roman"/>
                <w:color w:val="auto"/>
                <w:sz w:val="21"/>
                <w:szCs w:val="21"/>
                <w:u w:val="none"/>
                <w:vertAlign w:val="baseline"/>
                <w:lang w:val="en-US" w:eastAsia="zh-CN"/>
              </w:rPr>
              <w:t>2.979</w:t>
            </w:r>
          </w:p>
        </w:tc>
      </w:tr>
      <w:tr w14:paraId="31DC5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7" w:type="dxa"/>
            <w:gridSpan w:val="2"/>
            <w:vMerge w:val="continue"/>
            <w:noWrap w:val="0"/>
            <w:vAlign w:val="center"/>
          </w:tcPr>
          <w:p w14:paraId="1A2EABB5">
            <w:pPr>
              <w:keepNext w:val="0"/>
              <w:keepLines w:val="0"/>
              <w:pageBreakBefore w:val="0"/>
              <w:widowControl w:val="0"/>
              <w:tabs>
                <w:tab w:val="left" w:pos="540"/>
                <w:tab w:val="left" w:pos="1080"/>
                <w:tab w:val="left" w:pos="1800"/>
              </w:tabs>
              <w:kinsoku/>
              <w:wordWrap/>
              <w:overflowPunct/>
              <w:topLinePunct w:val="0"/>
              <w:autoSpaceDE/>
              <w:autoSpaceDN/>
              <w:bidi w:val="0"/>
              <w:adjustRightInd w:val="0"/>
              <w:snapToGrid/>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u w:val="none"/>
                <w:vertAlign w:val="baseline"/>
                <w:lang w:val="en-US" w:eastAsia="zh-CN"/>
              </w:rPr>
            </w:pPr>
          </w:p>
        </w:tc>
        <w:tc>
          <w:tcPr>
            <w:tcW w:w="4932" w:type="dxa"/>
            <w:gridSpan w:val="3"/>
            <w:shd w:val="clear" w:color="auto" w:fill="auto"/>
            <w:noWrap w:val="0"/>
            <w:vAlign w:val="center"/>
          </w:tcPr>
          <w:p w14:paraId="4587E0D1">
            <w:pPr>
              <w:pStyle w:val="52"/>
              <w:bidi w:val="0"/>
              <w:rPr>
                <w:rFonts w:hint="default" w:ascii="Times New Roman" w:hAnsi="Times New Roman" w:eastAsia="宋体" w:cs="Times New Roman"/>
                <w:color w:val="000000"/>
                <w:kern w:val="2"/>
                <w:sz w:val="21"/>
                <w:szCs w:val="28"/>
                <w:highlight w:val="none"/>
                <w:lang w:val="en-US" w:eastAsia="zh-CN" w:bidi="ar-SA"/>
              </w:rPr>
            </w:pPr>
            <w:r>
              <w:rPr>
                <w:rFonts w:hint="default" w:ascii="Times New Roman" w:hAnsi="Times New Roman" w:eastAsia="宋体" w:cs="Times New Roman"/>
                <w:highlight w:val="none"/>
              </w:rPr>
              <w:t>氨气</w:t>
            </w:r>
          </w:p>
        </w:tc>
        <w:tc>
          <w:tcPr>
            <w:tcW w:w="1513" w:type="dxa"/>
            <w:noWrap w:val="0"/>
            <w:vAlign w:val="center"/>
          </w:tcPr>
          <w:p w14:paraId="3091165A">
            <w:pPr>
              <w:widowControl w:val="0"/>
              <w:autoSpaceDE w:val="0"/>
              <w:autoSpaceDN w:val="0"/>
              <w:spacing w:line="240" w:lineRule="auto"/>
              <w:ind w:left="0" w:leftChars="0" w:right="0" w:rightChars="0" w:firstLine="0" w:firstLineChars="0"/>
              <w:jc w:val="center"/>
              <w:rPr>
                <w:rFonts w:hint="default" w:ascii="Times New Roman" w:hAnsi="Times New Roman" w:cs="Times New Roman"/>
                <w:color w:val="auto"/>
                <w:sz w:val="21"/>
                <w:szCs w:val="21"/>
                <w:u w:val="none"/>
                <w:vertAlign w:val="baseline"/>
                <w:lang w:val="en-US" w:eastAsia="zh-CN"/>
              </w:rPr>
            </w:pPr>
            <w:r>
              <w:rPr>
                <w:rFonts w:hint="eastAsia" w:ascii="Times New Roman" w:hAnsi="Times New Roman" w:cs="Times New Roman"/>
                <w:color w:val="auto"/>
                <w:sz w:val="21"/>
                <w:szCs w:val="21"/>
                <w:u w:val="none"/>
                <w:vertAlign w:val="baseline"/>
                <w:lang w:val="en-US" w:eastAsia="zh-CN"/>
              </w:rPr>
              <w:t>0.33984</w:t>
            </w:r>
          </w:p>
        </w:tc>
      </w:tr>
      <w:tr w14:paraId="001EC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7" w:type="dxa"/>
            <w:gridSpan w:val="2"/>
            <w:vMerge w:val="continue"/>
            <w:noWrap w:val="0"/>
            <w:vAlign w:val="center"/>
          </w:tcPr>
          <w:p w14:paraId="05426E2C">
            <w:pPr>
              <w:keepNext w:val="0"/>
              <w:keepLines w:val="0"/>
              <w:pageBreakBefore w:val="0"/>
              <w:widowControl w:val="0"/>
              <w:tabs>
                <w:tab w:val="left" w:pos="540"/>
                <w:tab w:val="left" w:pos="1080"/>
                <w:tab w:val="left" w:pos="1800"/>
              </w:tabs>
              <w:kinsoku/>
              <w:wordWrap/>
              <w:overflowPunct/>
              <w:topLinePunct w:val="0"/>
              <w:autoSpaceDE/>
              <w:autoSpaceDN/>
              <w:bidi w:val="0"/>
              <w:adjustRightInd w:val="0"/>
              <w:snapToGrid/>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u w:val="none"/>
                <w:vertAlign w:val="baseline"/>
                <w:lang w:val="en-US" w:eastAsia="zh-CN"/>
              </w:rPr>
            </w:pPr>
          </w:p>
        </w:tc>
        <w:tc>
          <w:tcPr>
            <w:tcW w:w="4932" w:type="dxa"/>
            <w:gridSpan w:val="3"/>
            <w:noWrap w:val="0"/>
            <w:vAlign w:val="center"/>
          </w:tcPr>
          <w:p w14:paraId="13BFDFAE">
            <w:pPr>
              <w:keepNext w:val="0"/>
              <w:keepLines w:val="0"/>
              <w:pageBreakBefore w:val="0"/>
              <w:widowControl w:val="0"/>
              <w:tabs>
                <w:tab w:val="left" w:pos="540"/>
                <w:tab w:val="left" w:pos="1080"/>
                <w:tab w:val="left" w:pos="1800"/>
              </w:tabs>
              <w:kinsoku/>
              <w:wordWrap/>
              <w:overflowPunct/>
              <w:topLinePunct w:val="0"/>
              <w:autoSpaceDE/>
              <w:autoSpaceDN/>
              <w:bidi w:val="0"/>
              <w:adjustRightInd w:val="0"/>
              <w:snapToGrid/>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u w:val="none"/>
                <w:vertAlign w:val="baseline"/>
                <w:lang w:val="en-US" w:eastAsia="zh-CN"/>
              </w:rPr>
            </w:pPr>
            <w:r>
              <w:rPr>
                <w:rFonts w:hint="eastAsia" w:ascii="Times New Roman" w:hAnsi="Times New Roman" w:cs="Times New Roman"/>
                <w:color w:val="auto"/>
                <w:sz w:val="21"/>
                <w:szCs w:val="21"/>
                <w:u w:val="none"/>
                <w:vertAlign w:val="baseline"/>
                <w:lang w:val="en-US" w:eastAsia="zh-CN"/>
              </w:rPr>
              <w:t>硫化氢</w:t>
            </w:r>
          </w:p>
        </w:tc>
        <w:tc>
          <w:tcPr>
            <w:tcW w:w="1513" w:type="dxa"/>
            <w:noWrap w:val="0"/>
            <w:vAlign w:val="center"/>
          </w:tcPr>
          <w:p w14:paraId="0D951743">
            <w:pPr>
              <w:widowControl w:val="0"/>
              <w:autoSpaceDE w:val="0"/>
              <w:autoSpaceDN w:val="0"/>
              <w:spacing w:line="240" w:lineRule="auto"/>
              <w:ind w:left="0" w:leftChars="0" w:right="0" w:rightChars="0" w:firstLine="0" w:firstLineChars="0"/>
              <w:jc w:val="center"/>
              <w:rPr>
                <w:rFonts w:hint="default" w:ascii="Times New Roman" w:hAnsi="Times New Roman" w:eastAsia="宋体" w:cs="Times New Roman"/>
                <w:color w:val="auto"/>
                <w:kern w:val="0"/>
                <w:sz w:val="21"/>
                <w:szCs w:val="21"/>
                <w:lang w:val="en-US" w:eastAsia="zh-CN" w:bidi="zh-CN"/>
              </w:rPr>
            </w:pPr>
            <w:r>
              <w:rPr>
                <w:rFonts w:hint="eastAsia" w:ascii="Times New Roman" w:hAnsi="Times New Roman" w:eastAsia="宋体" w:cs="Times New Roman"/>
                <w:color w:val="auto"/>
                <w:kern w:val="0"/>
                <w:sz w:val="21"/>
                <w:szCs w:val="21"/>
                <w:lang w:val="en-US" w:eastAsia="zh-CN" w:bidi="zh-CN"/>
              </w:rPr>
              <w:t>0.01008</w:t>
            </w:r>
          </w:p>
        </w:tc>
      </w:tr>
      <w:tr w14:paraId="5D218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6"/>
            <w:noWrap w:val="0"/>
            <w:vAlign w:val="center"/>
          </w:tcPr>
          <w:p w14:paraId="04DF2C03">
            <w:pPr>
              <w:keepNext w:val="0"/>
              <w:keepLines w:val="0"/>
              <w:pageBreakBefore w:val="0"/>
              <w:widowControl w:val="0"/>
              <w:tabs>
                <w:tab w:val="left" w:pos="540"/>
                <w:tab w:val="left" w:pos="1080"/>
                <w:tab w:val="left" w:pos="1800"/>
              </w:tabs>
              <w:kinsoku/>
              <w:wordWrap/>
              <w:overflowPunct/>
              <w:topLinePunct w:val="0"/>
              <w:autoSpaceDE/>
              <w:autoSpaceDN/>
              <w:bidi w:val="0"/>
              <w:adjustRightInd w:val="0"/>
              <w:snapToGrid/>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u w:val="none"/>
                <w:vertAlign w:val="baseline"/>
                <w:lang w:val="en-US" w:eastAsia="zh-CN"/>
              </w:rPr>
            </w:pPr>
            <w:r>
              <w:rPr>
                <w:rFonts w:hint="eastAsia" w:ascii="Times New Roman" w:hAnsi="Times New Roman" w:cs="Times New Roman"/>
                <w:color w:val="auto"/>
                <w:sz w:val="21"/>
                <w:szCs w:val="21"/>
                <w:u w:val="none"/>
                <w:vertAlign w:val="baseline"/>
                <w:lang w:val="en-US" w:eastAsia="zh-CN"/>
              </w:rPr>
              <w:t>有组织排放总计</w:t>
            </w:r>
          </w:p>
        </w:tc>
      </w:tr>
      <w:tr w14:paraId="4C760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7" w:type="dxa"/>
            <w:gridSpan w:val="2"/>
            <w:vMerge w:val="restart"/>
            <w:noWrap w:val="0"/>
            <w:vAlign w:val="center"/>
          </w:tcPr>
          <w:p w14:paraId="0F2A4173">
            <w:pPr>
              <w:keepNext w:val="0"/>
              <w:keepLines w:val="0"/>
              <w:pageBreakBefore w:val="0"/>
              <w:widowControl w:val="0"/>
              <w:tabs>
                <w:tab w:val="left" w:pos="540"/>
                <w:tab w:val="left" w:pos="1080"/>
                <w:tab w:val="left" w:pos="1800"/>
              </w:tabs>
              <w:kinsoku/>
              <w:wordWrap/>
              <w:overflowPunct/>
              <w:topLinePunct w:val="0"/>
              <w:autoSpaceDE/>
              <w:autoSpaceDN/>
              <w:bidi w:val="0"/>
              <w:adjustRightInd w:val="0"/>
              <w:snapToGrid/>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u w:val="none"/>
                <w:vertAlign w:val="baseline"/>
                <w:lang w:val="en-US" w:eastAsia="zh-CN"/>
              </w:rPr>
            </w:pPr>
            <w:r>
              <w:rPr>
                <w:rFonts w:hint="eastAsia" w:ascii="Times New Roman" w:hAnsi="Times New Roman" w:cs="Times New Roman"/>
                <w:color w:val="auto"/>
                <w:sz w:val="21"/>
                <w:szCs w:val="21"/>
                <w:u w:val="none"/>
                <w:vertAlign w:val="baseline"/>
                <w:lang w:val="en-US" w:eastAsia="zh-CN"/>
              </w:rPr>
              <w:t>有组织排放总计</w:t>
            </w:r>
          </w:p>
        </w:tc>
        <w:tc>
          <w:tcPr>
            <w:tcW w:w="4932" w:type="dxa"/>
            <w:gridSpan w:val="3"/>
            <w:shd w:val="clear" w:color="auto" w:fill="auto"/>
            <w:noWrap w:val="0"/>
            <w:vAlign w:val="center"/>
          </w:tcPr>
          <w:p w14:paraId="783CCEA9">
            <w:pPr>
              <w:pStyle w:val="52"/>
              <w:bidi w:val="0"/>
              <w:rPr>
                <w:rFonts w:hint="default" w:ascii="Times New Roman" w:hAnsi="Times New Roman" w:eastAsia="宋体" w:cs="Times New Roman"/>
                <w:color w:val="000000"/>
                <w:kern w:val="2"/>
                <w:sz w:val="21"/>
                <w:szCs w:val="28"/>
                <w:highlight w:val="none"/>
                <w:lang w:val="en-US" w:eastAsia="zh-CN" w:bidi="ar-SA"/>
              </w:rPr>
            </w:pPr>
            <w:r>
              <w:rPr>
                <w:rFonts w:hint="default" w:ascii="Times New Roman" w:hAnsi="Times New Roman" w:eastAsia="宋体" w:cs="Times New Roman"/>
                <w:highlight w:val="none"/>
                <w:lang w:val="en-US" w:eastAsia="zh-CN"/>
              </w:rPr>
              <w:t>非甲烷总烃</w:t>
            </w:r>
          </w:p>
        </w:tc>
        <w:tc>
          <w:tcPr>
            <w:tcW w:w="1513" w:type="dxa"/>
            <w:shd w:val="clear" w:color="auto" w:fill="auto"/>
            <w:noWrap w:val="0"/>
            <w:vAlign w:val="center"/>
          </w:tcPr>
          <w:p w14:paraId="3BA79770">
            <w:pPr>
              <w:keepNext w:val="0"/>
              <w:keepLines w:val="0"/>
              <w:pageBreakBefore w:val="0"/>
              <w:widowControl w:val="0"/>
              <w:tabs>
                <w:tab w:val="left" w:pos="540"/>
                <w:tab w:val="left" w:pos="1080"/>
                <w:tab w:val="left" w:pos="1800"/>
              </w:tabs>
              <w:kinsoku/>
              <w:wordWrap/>
              <w:overflowPunct/>
              <w:topLinePunct w:val="0"/>
              <w:autoSpaceDE/>
              <w:autoSpaceDN/>
              <w:bidi w:val="0"/>
              <w:adjustRightInd w:val="0"/>
              <w:snapToGrid/>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kern w:val="2"/>
                <w:sz w:val="21"/>
                <w:szCs w:val="21"/>
                <w:u w:val="none"/>
                <w:vertAlign w:val="baseline"/>
                <w:lang w:val="en-US" w:eastAsia="zh-CN" w:bidi="ar-SA"/>
              </w:rPr>
            </w:pPr>
            <w:r>
              <w:rPr>
                <w:rFonts w:hint="eastAsia" w:ascii="Times New Roman" w:hAnsi="Times New Roman" w:cs="Times New Roman"/>
                <w:color w:val="auto"/>
                <w:sz w:val="21"/>
                <w:szCs w:val="21"/>
                <w:u w:val="none"/>
                <w:vertAlign w:val="baseline"/>
                <w:lang w:val="en-US" w:eastAsia="zh-CN"/>
              </w:rPr>
              <w:t>1.008</w:t>
            </w:r>
          </w:p>
        </w:tc>
      </w:tr>
      <w:tr w14:paraId="66F45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7" w:type="dxa"/>
            <w:gridSpan w:val="2"/>
            <w:vMerge w:val="continue"/>
            <w:noWrap w:val="0"/>
            <w:vAlign w:val="center"/>
          </w:tcPr>
          <w:p w14:paraId="736DEDC7">
            <w:pPr>
              <w:keepNext w:val="0"/>
              <w:keepLines w:val="0"/>
              <w:pageBreakBefore w:val="0"/>
              <w:widowControl w:val="0"/>
              <w:tabs>
                <w:tab w:val="left" w:pos="540"/>
                <w:tab w:val="left" w:pos="1080"/>
                <w:tab w:val="left" w:pos="1800"/>
              </w:tabs>
              <w:kinsoku/>
              <w:wordWrap/>
              <w:overflowPunct/>
              <w:topLinePunct w:val="0"/>
              <w:autoSpaceDE/>
              <w:autoSpaceDN/>
              <w:bidi w:val="0"/>
              <w:adjustRightInd w:val="0"/>
              <w:snapToGrid/>
              <w:spacing w:line="240" w:lineRule="auto"/>
              <w:ind w:left="0" w:leftChars="0" w:right="0" w:rightChars="0" w:firstLine="0" w:firstLineChars="0"/>
              <w:jc w:val="center"/>
              <w:textAlignment w:val="auto"/>
              <w:outlineLvl w:val="9"/>
              <w:rPr>
                <w:rFonts w:hint="eastAsia" w:ascii="Times New Roman" w:hAnsi="Times New Roman" w:cs="Times New Roman"/>
                <w:color w:val="auto"/>
                <w:sz w:val="21"/>
                <w:szCs w:val="21"/>
                <w:u w:val="none"/>
                <w:vertAlign w:val="baseline"/>
                <w:lang w:val="en-US" w:eastAsia="zh-CN"/>
              </w:rPr>
            </w:pPr>
          </w:p>
        </w:tc>
        <w:tc>
          <w:tcPr>
            <w:tcW w:w="4932" w:type="dxa"/>
            <w:gridSpan w:val="3"/>
            <w:shd w:val="clear" w:color="auto" w:fill="auto"/>
            <w:noWrap w:val="0"/>
            <w:vAlign w:val="center"/>
          </w:tcPr>
          <w:p w14:paraId="187BF96B">
            <w:pPr>
              <w:pStyle w:val="52"/>
              <w:bidi w:val="0"/>
              <w:rPr>
                <w:rFonts w:hint="eastAsia" w:ascii="Times New Roman" w:hAnsi="Times New Roman" w:eastAsia="宋体" w:cs="Times New Roman"/>
                <w:color w:val="000000"/>
                <w:kern w:val="2"/>
                <w:sz w:val="21"/>
                <w:szCs w:val="28"/>
                <w:highlight w:val="none"/>
                <w:lang w:val="en-US" w:eastAsia="zh-CN" w:bidi="ar-SA"/>
              </w:rPr>
            </w:pPr>
            <w:r>
              <w:rPr>
                <w:rFonts w:hint="default" w:ascii="Times New Roman" w:hAnsi="Times New Roman" w:eastAsia="宋体" w:cs="Times New Roman"/>
                <w:highlight w:val="none"/>
                <w:lang w:val="en-US" w:eastAsia="zh-CN"/>
              </w:rPr>
              <w:t>颗粒物</w:t>
            </w:r>
          </w:p>
        </w:tc>
        <w:tc>
          <w:tcPr>
            <w:tcW w:w="1513" w:type="dxa"/>
            <w:shd w:val="clear" w:color="auto" w:fill="auto"/>
            <w:noWrap w:val="0"/>
            <w:vAlign w:val="center"/>
          </w:tcPr>
          <w:p w14:paraId="57A83CF8">
            <w:pPr>
              <w:keepNext w:val="0"/>
              <w:keepLines w:val="0"/>
              <w:pageBreakBefore w:val="0"/>
              <w:widowControl w:val="0"/>
              <w:tabs>
                <w:tab w:val="left" w:pos="540"/>
                <w:tab w:val="left" w:pos="1080"/>
                <w:tab w:val="left" w:pos="1800"/>
              </w:tabs>
              <w:kinsoku/>
              <w:wordWrap/>
              <w:overflowPunct/>
              <w:topLinePunct w:val="0"/>
              <w:autoSpaceDE/>
              <w:autoSpaceDN/>
              <w:bidi w:val="0"/>
              <w:adjustRightInd w:val="0"/>
              <w:snapToGrid/>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kern w:val="2"/>
                <w:sz w:val="21"/>
                <w:szCs w:val="21"/>
                <w:u w:val="none"/>
                <w:vertAlign w:val="baseline"/>
                <w:lang w:val="en-US" w:eastAsia="zh-CN" w:bidi="ar-SA"/>
              </w:rPr>
            </w:pPr>
            <w:r>
              <w:rPr>
                <w:rFonts w:hint="eastAsia" w:ascii="Times New Roman" w:hAnsi="Times New Roman" w:cs="Times New Roman"/>
                <w:color w:val="auto"/>
                <w:sz w:val="21"/>
                <w:szCs w:val="21"/>
                <w:u w:val="none"/>
                <w:vertAlign w:val="baseline"/>
                <w:lang w:val="en-US" w:eastAsia="zh-CN"/>
              </w:rPr>
              <w:t>2.979</w:t>
            </w:r>
          </w:p>
        </w:tc>
      </w:tr>
      <w:tr w14:paraId="69016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7" w:type="dxa"/>
            <w:gridSpan w:val="2"/>
            <w:vMerge w:val="continue"/>
            <w:noWrap w:val="0"/>
            <w:vAlign w:val="center"/>
          </w:tcPr>
          <w:p w14:paraId="47D196F2">
            <w:pPr>
              <w:keepNext w:val="0"/>
              <w:keepLines w:val="0"/>
              <w:pageBreakBefore w:val="0"/>
              <w:widowControl w:val="0"/>
              <w:tabs>
                <w:tab w:val="left" w:pos="540"/>
                <w:tab w:val="left" w:pos="1080"/>
                <w:tab w:val="left" w:pos="1800"/>
              </w:tabs>
              <w:kinsoku/>
              <w:wordWrap/>
              <w:overflowPunct/>
              <w:topLinePunct w:val="0"/>
              <w:autoSpaceDE/>
              <w:autoSpaceDN/>
              <w:bidi w:val="0"/>
              <w:adjustRightInd w:val="0"/>
              <w:snapToGrid/>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u w:val="none"/>
                <w:vertAlign w:val="baseline"/>
                <w:lang w:val="en-US" w:eastAsia="zh-CN"/>
              </w:rPr>
            </w:pPr>
          </w:p>
        </w:tc>
        <w:tc>
          <w:tcPr>
            <w:tcW w:w="4932" w:type="dxa"/>
            <w:gridSpan w:val="3"/>
            <w:shd w:val="clear" w:color="auto" w:fill="auto"/>
            <w:noWrap w:val="0"/>
            <w:vAlign w:val="center"/>
          </w:tcPr>
          <w:p w14:paraId="367C492F">
            <w:pPr>
              <w:pStyle w:val="52"/>
              <w:bidi w:val="0"/>
              <w:rPr>
                <w:rFonts w:hint="default" w:ascii="Times New Roman" w:hAnsi="Times New Roman" w:eastAsia="宋体" w:cs="Times New Roman"/>
                <w:color w:val="000000"/>
                <w:kern w:val="2"/>
                <w:sz w:val="21"/>
                <w:szCs w:val="28"/>
                <w:highlight w:val="none"/>
                <w:lang w:val="en-US" w:eastAsia="zh-CN" w:bidi="ar-SA"/>
              </w:rPr>
            </w:pPr>
            <w:r>
              <w:rPr>
                <w:rFonts w:hint="default" w:ascii="Times New Roman" w:hAnsi="Times New Roman" w:eastAsia="宋体" w:cs="Times New Roman"/>
                <w:highlight w:val="none"/>
              </w:rPr>
              <w:t>氨气</w:t>
            </w:r>
          </w:p>
        </w:tc>
        <w:tc>
          <w:tcPr>
            <w:tcW w:w="1513" w:type="dxa"/>
            <w:shd w:val="clear" w:color="auto" w:fill="auto"/>
            <w:noWrap w:val="0"/>
            <w:vAlign w:val="center"/>
          </w:tcPr>
          <w:p w14:paraId="1EC00A3F">
            <w:pPr>
              <w:widowControl w:val="0"/>
              <w:autoSpaceDE w:val="0"/>
              <w:autoSpaceDN w:val="0"/>
              <w:spacing w:line="240" w:lineRule="auto"/>
              <w:ind w:left="0" w:leftChars="0" w:right="0" w:rightChars="0" w:firstLine="0" w:firstLineChars="0"/>
              <w:jc w:val="center"/>
              <w:rPr>
                <w:rFonts w:hint="default" w:ascii="Times New Roman" w:hAnsi="Times New Roman" w:cs="Times New Roman" w:eastAsiaTheme="minorEastAsia"/>
                <w:color w:val="auto"/>
                <w:kern w:val="2"/>
                <w:sz w:val="21"/>
                <w:szCs w:val="21"/>
                <w:u w:val="none"/>
                <w:vertAlign w:val="baseline"/>
                <w:lang w:val="en-US" w:eastAsia="zh-CN" w:bidi="ar-SA"/>
              </w:rPr>
            </w:pPr>
            <w:r>
              <w:rPr>
                <w:rFonts w:hint="eastAsia" w:ascii="Times New Roman" w:hAnsi="Times New Roman" w:cs="Times New Roman"/>
                <w:color w:val="auto"/>
                <w:sz w:val="21"/>
                <w:szCs w:val="21"/>
                <w:u w:val="none"/>
                <w:vertAlign w:val="baseline"/>
                <w:lang w:val="en-US" w:eastAsia="zh-CN"/>
              </w:rPr>
              <w:t>0.33984</w:t>
            </w:r>
          </w:p>
        </w:tc>
      </w:tr>
      <w:tr w14:paraId="47334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7" w:type="dxa"/>
            <w:gridSpan w:val="2"/>
            <w:vMerge w:val="continue"/>
            <w:noWrap w:val="0"/>
            <w:vAlign w:val="center"/>
          </w:tcPr>
          <w:p w14:paraId="2E64FC86">
            <w:pPr>
              <w:keepNext w:val="0"/>
              <w:keepLines w:val="0"/>
              <w:pageBreakBefore w:val="0"/>
              <w:widowControl w:val="0"/>
              <w:tabs>
                <w:tab w:val="left" w:pos="540"/>
                <w:tab w:val="left" w:pos="1080"/>
                <w:tab w:val="left" w:pos="1800"/>
              </w:tabs>
              <w:kinsoku/>
              <w:wordWrap/>
              <w:overflowPunct/>
              <w:topLinePunct w:val="0"/>
              <w:autoSpaceDE/>
              <w:autoSpaceDN/>
              <w:bidi w:val="0"/>
              <w:adjustRightInd w:val="0"/>
              <w:snapToGrid/>
              <w:spacing w:line="240" w:lineRule="auto"/>
              <w:ind w:left="0" w:leftChars="0" w:right="0" w:rightChars="0" w:firstLine="0" w:firstLineChars="0"/>
              <w:jc w:val="center"/>
              <w:textAlignment w:val="auto"/>
              <w:outlineLvl w:val="9"/>
              <w:rPr>
                <w:rFonts w:hint="default" w:ascii="Times New Roman" w:hAnsi="Times New Roman" w:cs="Times New Roman"/>
                <w:color w:val="auto"/>
                <w:sz w:val="21"/>
                <w:szCs w:val="21"/>
                <w:u w:val="none"/>
                <w:vertAlign w:val="baseline"/>
                <w:lang w:val="en-US" w:eastAsia="zh-CN"/>
              </w:rPr>
            </w:pPr>
          </w:p>
        </w:tc>
        <w:tc>
          <w:tcPr>
            <w:tcW w:w="4932" w:type="dxa"/>
            <w:gridSpan w:val="3"/>
            <w:shd w:val="clear" w:color="auto" w:fill="auto"/>
            <w:noWrap w:val="0"/>
            <w:vAlign w:val="center"/>
          </w:tcPr>
          <w:p w14:paraId="57DCD4EE">
            <w:pPr>
              <w:keepNext w:val="0"/>
              <w:keepLines w:val="0"/>
              <w:pageBreakBefore w:val="0"/>
              <w:widowControl w:val="0"/>
              <w:tabs>
                <w:tab w:val="left" w:pos="540"/>
                <w:tab w:val="left" w:pos="1080"/>
                <w:tab w:val="left" w:pos="1800"/>
              </w:tabs>
              <w:kinsoku/>
              <w:wordWrap/>
              <w:overflowPunct/>
              <w:topLinePunct w:val="0"/>
              <w:autoSpaceDE/>
              <w:autoSpaceDN/>
              <w:bidi w:val="0"/>
              <w:adjustRightInd w:val="0"/>
              <w:snapToGrid/>
              <w:spacing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auto"/>
                <w:kern w:val="2"/>
                <w:sz w:val="21"/>
                <w:szCs w:val="21"/>
                <w:u w:val="none"/>
                <w:vertAlign w:val="baseline"/>
                <w:lang w:val="en-US" w:eastAsia="zh-CN" w:bidi="ar-SA"/>
              </w:rPr>
            </w:pPr>
            <w:r>
              <w:rPr>
                <w:rFonts w:hint="eastAsia" w:ascii="Times New Roman" w:hAnsi="Times New Roman" w:cs="Times New Roman"/>
                <w:color w:val="auto"/>
                <w:sz w:val="21"/>
                <w:szCs w:val="21"/>
                <w:u w:val="none"/>
                <w:vertAlign w:val="baseline"/>
                <w:lang w:val="en-US" w:eastAsia="zh-CN"/>
              </w:rPr>
              <w:t>硫化氢</w:t>
            </w:r>
          </w:p>
        </w:tc>
        <w:tc>
          <w:tcPr>
            <w:tcW w:w="1513" w:type="dxa"/>
            <w:shd w:val="clear" w:color="auto" w:fill="auto"/>
            <w:noWrap w:val="0"/>
            <w:vAlign w:val="center"/>
          </w:tcPr>
          <w:p w14:paraId="624152F7">
            <w:pPr>
              <w:widowControl w:val="0"/>
              <w:autoSpaceDE w:val="0"/>
              <w:autoSpaceDN w:val="0"/>
              <w:spacing w:line="240" w:lineRule="auto"/>
              <w:ind w:left="0" w:leftChars="0" w:right="0" w:rightChars="0" w:firstLine="0" w:firstLineChars="0"/>
              <w:jc w:val="center"/>
              <w:rPr>
                <w:rFonts w:hint="eastAsia" w:ascii="Times New Roman" w:hAnsi="Times New Roman" w:eastAsia="宋体" w:cs="Times New Roman"/>
                <w:color w:val="auto"/>
                <w:kern w:val="0"/>
                <w:sz w:val="21"/>
                <w:szCs w:val="21"/>
                <w:lang w:val="en-US" w:eastAsia="zh-CN" w:bidi="zh-CN"/>
              </w:rPr>
            </w:pPr>
            <w:r>
              <w:rPr>
                <w:rFonts w:hint="eastAsia" w:ascii="Times New Roman" w:hAnsi="Times New Roman" w:eastAsia="宋体" w:cs="Times New Roman"/>
                <w:color w:val="auto"/>
                <w:kern w:val="0"/>
                <w:sz w:val="21"/>
                <w:szCs w:val="21"/>
                <w:lang w:val="en-US" w:eastAsia="zh-CN" w:bidi="zh-CN"/>
              </w:rPr>
              <w:t>0.01008</w:t>
            </w:r>
          </w:p>
        </w:tc>
      </w:tr>
    </w:tbl>
    <w:p w14:paraId="75713229">
      <w:pPr>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2、无组织排放量核算</w:t>
      </w:r>
    </w:p>
    <w:p w14:paraId="3A383630">
      <w:pPr>
        <w:spacing w:line="360" w:lineRule="auto"/>
        <w:ind w:firstLine="480" w:firstLineChars="200"/>
        <w:rPr>
          <w:rFonts w:hint="eastAsia" w:ascii="Times New Roman" w:hAnsi="Times New Roman" w:eastAsia="宋体" w:cs="Times New Roman"/>
          <w:color w:val="auto"/>
          <w:sz w:val="24"/>
          <w:szCs w:val="24"/>
          <w:lang w:eastAsia="zh-CN"/>
        </w:rPr>
      </w:pPr>
      <w:r>
        <w:rPr>
          <w:rFonts w:ascii="Times New Roman" w:hAnsi="Times New Roman" w:eastAsia="宋体" w:cs="Times New Roman"/>
          <w:color w:val="auto"/>
          <w:sz w:val="24"/>
          <w:szCs w:val="24"/>
        </w:rPr>
        <w:t>由污染源分析可知，本项目无组织排放量如下表所示</w:t>
      </w:r>
      <w:r>
        <w:rPr>
          <w:rFonts w:hint="eastAsia" w:ascii="Times New Roman" w:hAnsi="Times New Roman" w:eastAsia="宋体" w:cs="Times New Roman"/>
          <w:color w:val="auto"/>
          <w:sz w:val="24"/>
          <w:szCs w:val="24"/>
          <w:lang w:eastAsia="zh-CN"/>
        </w:rPr>
        <w:t>。</w:t>
      </w:r>
    </w:p>
    <w:p w14:paraId="1FF4226C">
      <w:pPr>
        <w:pStyle w:val="6"/>
        <w:bidi w:val="0"/>
      </w:pPr>
      <w:r>
        <w:rPr>
          <w:rFonts w:hint="eastAsia"/>
        </w:rPr>
        <w:t>表</w:t>
      </w:r>
      <w:r>
        <w:t>6.2</w:t>
      </w:r>
      <w:r>
        <w:rPr>
          <w:rFonts w:hint="eastAsia"/>
          <w:lang w:val="en-US" w:eastAsia="zh-CN"/>
        </w:rPr>
        <w:t>.1</w:t>
      </w:r>
      <w:r>
        <w:rPr>
          <w:rFonts w:hint="eastAsia"/>
        </w:rPr>
        <w:t>-</w:t>
      </w:r>
      <w:r>
        <w:rPr>
          <w:rFonts w:hint="eastAsia"/>
          <w:lang w:val="en-US" w:eastAsia="zh-CN"/>
        </w:rPr>
        <w:t>2</w:t>
      </w:r>
      <w:r>
        <w:t xml:space="preserve">    大气污染物无组织排放量核算表</w:t>
      </w:r>
    </w:p>
    <w:tbl>
      <w:tblPr>
        <w:tblStyle w:val="4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
        <w:gridCol w:w="930"/>
        <w:gridCol w:w="918"/>
        <w:gridCol w:w="912"/>
        <w:gridCol w:w="1548"/>
        <w:gridCol w:w="1704"/>
        <w:gridCol w:w="1063"/>
        <w:gridCol w:w="963"/>
      </w:tblGrid>
      <w:tr w14:paraId="702A9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82" w:type="pct"/>
            <w:vMerge w:val="restart"/>
            <w:tcBorders>
              <w:top w:val="single" w:color="auto" w:sz="4" w:space="0"/>
              <w:left w:val="single" w:color="auto" w:sz="0" w:space="0"/>
            </w:tcBorders>
            <w:noWrap w:val="0"/>
            <w:vAlign w:val="center"/>
          </w:tcPr>
          <w:p w14:paraId="20B33445">
            <w:pPr>
              <w:ind w:left="0" w:leftChars="0" w:right="0" w:rightChars="0" w:firstLine="0" w:firstLineChars="0"/>
              <w:jc w:val="center"/>
              <w:rPr>
                <w:rFonts w:hint="default" w:ascii="Times New Roman" w:hAnsi="Times New Roman" w:cs="Times New Roman"/>
                <w:b/>
                <w:bCs/>
                <w:color w:val="auto"/>
                <w:sz w:val="21"/>
                <w:szCs w:val="21"/>
                <w:u w:val="none"/>
                <w:lang w:val="en-US" w:eastAsia="zh-CN"/>
              </w:rPr>
            </w:pPr>
            <w:r>
              <w:rPr>
                <w:rFonts w:hint="default" w:ascii="Times New Roman" w:hAnsi="Times New Roman" w:cs="Times New Roman"/>
                <w:b/>
                <w:bCs/>
                <w:color w:val="auto"/>
                <w:sz w:val="21"/>
                <w:szCs w:val="21"/>
                <w:u w:val="none"/>
                <w:lang w:val="en-US" w:eastAsia="zh-CN"/>
              </w:rPr>
              <w:t>序号</w:t>
            </w:r>
          </w:p>
        </w:tc>
        <w:tc>
          <w:tcPr>
            <w:tcW w:w="545" w:type="pct"/>
            <w:vMerge w:val="restart"/>
            <w:tcBorders>
              <w:top w:val="single" w:color="auto" w:sz="4" w:space="0"/>
            </w:tcBorders>
            <w:noWrap w:val="0"/>
            <w:vAlign w:val="center"/>
          </w:tcPr>
          <w:p w14:paraId="103F18FA">
            <w:pPr>
              <w:ind w:left="0" w:leftChars="0" w:right="0" w:rightChars="0" w:firstLine="0" w:firstLineChars="0"/>
              <w:jc w:val="center"/>
              <w:rPr>
                <w:rFonts w:hint="default" w:ascii="Times New Roman" w:hAnsi="Times New Roman" w:cs="Times New Roman"/>
                <w:b/>
                <w:bCs/>
                <w:color w:val="auto"/>
                <w:sz w:val="21"/>
                <w:szCs w:val="21"/>
                <w:u w:val="none"/>
                <w:lang w:val="en-US" w:eastAsia="zh-CN"/>
              </w:rPr>
            </w:pPr>
            <w:r>
              <w:rPr>
                <w:rFonts w:hint="default" w:ascii="Times New Roman" w:hAnsi="Times New Roman" w:cs="Times New Roman"/>
                <w:b/>
                <w:bCs/>
                <w:color w:val="auto"/>
                <w:sz w:val="21"/>
                <w:szCs w:val="21"/>
                <w:u w:val="none"/>
                <w:lang w:val="en-US" w:eastAsia="zh-CN"/>
              </w:rPr>
              <w:t>排放口编号</w:t>
            </w:r>
          </w:p>
        </w:tc>
        <w:tc>
          <w:tcPr>
            <w:tcW w:w="538" w:type="pct"/>
            <w:vMerge w:val="restart"/>
            <w:tcBorders>
              <w:top w:val="single" w:color="auto" w:sz="4" w:space="0"/>
            </w:tcBorders>
            <w:noWrap w:val="0"/>
            <w:vAlign w:val="center"/>
          </w:tcPr>
          <w:p w14:paraId="6B2B69FB">
            <w:pPr>
              <w:ind w:left="0" w:leftChars="0" w:right="0" w:rightChars="0" w:firstLine="0" w:firstLineChars="0"/>
              <w:jc w:val="center"/>
              <w:rPr>
                <w:rFonts w:hint="default" w:ascii="Times New Roman" w:hAnsi="Times New Roman" w:cs="Times New Roman"/>
                <w:b/>
                <w:bCs/>
                <w:color w:val="auto"/>
                <w:sz w:val="21"/>
                <w:szCs w:val="21"/>
                <w:u w:val="none"/>
                <w:lang w:val="en-US" w:eastAsia="zh-CN"/>
              </w:rPr>
            </w:pPr>
            <w:r>
              <w:rPr>
                <w:rFonts w:hint="default" w:ascii="Times New Roman" w:hAnsi="Times New Roman" w:cs="Times New Roman"/>
                <w:b/>
                <w:bCs/>
                <w:color w:val="auto"/>
                <w:sz w:val="21"/>
                <w:szCs w:val="21"/>
                <w:u w:val="none"/>
                <w:lang w:val="en-US" w:eastAsia="zh-CN"/>
              </w:rPr>
              <w:t>产污</w:t>
            </w:r>
          </w:p>
          <w:p w14:paraId="3791C58F">
            <w:pPr>
              <w:ind w:left="0" w:leftChars="0" w:right="0" w:rightChars="0" w:firstLine="0" w:firstLineChars="0"/>
              <w:jc w:val="center"/>
              <w:rPr>
                <w:rFonts w:hint="default" w:ascii="Times New Roman" w:hAnsi="Times New Roman" w:cs="Times New Roman"/>
                <w:b/>
                <w:bCs/>
                <w:color w:val="auto"/>
                <w:sz w:val="21"/>
                <w:szCs w:val="21"/>
                <w:u w:val="none"/>
                <w:lang w:val="en-US" w:eastAsia="zh-CN"/>
              </w:rPr>
            </w:pPr>
            <w:r>
              <w:rPr>
                <w:rFonts w:hint="default" w:ascii="Times New Roman" w:hAnsi="Times New Roman" w:cs="Times New Roman"/>
                <w:b/>
                <w:bCs/>
                <w:color w:val="auto"/>
                <w:sz w:val="21"/>
                <w:szCs w:val="21"/>
                <w:u w:val="none"/>
                <w:lang w:val="en-US" w:eastAsia="zh-CN"/>
              </w:rPr>
              <w:t>环节</w:t>
            </w:r>
          </w:p>
        </w:tc>
        <w:tc>
          <w:tcPr>
            <w:tcW w:w="535" w:type="pct"/>
            <w:vMerge w:val="restart"/>
            <w:tcBorders>
              <w:top w:val="single" w:color="auto" w:sz="4" w:space="0"/>
            </w:tcBorders>
            <w:noWrap w:val="0"/>
            <w:vAlign w:val="center"/>
          </w:tcPr>
          <w:p w14:paraId="23CA8C2A">
            <w:pPr>
              <w:ind w:left="0" w:leftChars="0" w:right="0" w:rightChars="0" w:firstLine="0" w:firstLineChars="0"/>
              <w:jc w:val="center"/>
              <w:rPr>
                <w:rFonts w:hint="default" w:ascii="Times New Roman" w:hAnsi="Times New Roman" w:cs="Times New Roman"/>
                <w:b/>
                <w:bCs/>
                <w:color w:val="auto"/>
                <w:sz w:val="21"/>
                <w:szCs w:val="21"/>
                <w:u w:val="none"/>
                <w:lang w:val="en-US" w:eastAsia="zh-CN"/>
              </w:rPr>
            </w:pPr>
            <w:r>
              <w:rPr>
                <w:rFonts w:hint="default" w:ascii="Times New Roman" w:hAnsi="Times New Roman" w:cs="Times New Roman"/>
                <w:b/>
                <w:bCs/>
                <w:color w:val="auto"/>
                <w:sz w:val="21"/>
                <w:szCs w:val="21"/>
                <w:u w:val="none"/>
                <w:lang w:val="en-US" w:eastAsia="zh-CN"/>
              </w:rPr>
              <w:t>污染物</w:t>
            </w:r>
          </w:p>
        </w:tc>
        <w:tc>
          <w:tcPr>
            <w:tcW w:w="908" w:type="pct"/>
            <w:vMerge w:val="restart"/>
            <w:tcBorders>
              <w:top w:val="single" w:color="auto" w:sz="4" w:space="0"/>
            </w:tcBorders>
            <w:noWrap w:val="0"/>
            <w:vAlign w:val="center"/>
          </w:tcPr>
          <w:p w14:paraId="074CCF22">
            <w:pPr>
              <w:ind w:left="0" w:leftChars="0" w:right="0" w:rightChars="0" w:firstLine="0" w:firstLineChars="0"/>
              <w:jc w:val="center"/>
              <w:rPr>
                <w:rFonts w:hint="default" w:ascii="Times New Roman" w:hAnsi="Times New Roman" w:cs="Times New Roman"/>
                <w:b/>
                <w:bCs/>
                <w:color w:val="auto"/>
                <w:sz w:val="21"/>
                <w:szCs w:val="21"/>
                <w:u w:val="none"/>
                <w:lang w:val="en-US" w:eastAsia="zh-CN"/>
              </w:rPr>
            </w:pPr>
            <w:r>
              <w:rPr>
                <w:rFonts w:hint="default" w:ascii="Times New Roman" w:hAnsi="Times New Roman" w:cs="Times New Roman"/>
                <w:b/>
                <w:bCs/>
                <w:color w:val="auto"/>
                <w:sz w:val="21"/>
                <w:szCs w:val="21"/>
                <w:u w:val="none"/>
                <w:lang w:val="en-US" w:eastAsia="zh-CN"/>
              </w:rPr>
              <w:t>主要污染防治措施</w:t>
            </w:r>
          </w:p>
        </w:tc>
        <w:tc>
          <w:tcPr>
            <w:tcW w:w="1624" w:type="pct"/>
            <w:gridSpan w:val="2"/>
            <w:tcBorders>
              <w:top w:val="single" w:color="auto" w:sz="4" w:space="0"/>
              <w:right w:val="nil"/>
            </w:tcBorders>
            <w:noWrap w:val="0"/>
            <w:vAlign w:val="center"/>
          </w:tcPr>
          <w:p w14:paraId="48904D55">
            <w:pPr>
              <w:ind w:left="0" w:leftChars="0" w:right="0" w:rightChars="0" w:firstLine="0" w:firstLineChars="0"/>
              <w:jc w:val="center"/>
              <w:rPr>
                <w:rFonts w:hint="default" w:ascii="Times New Roman" w:hAnsi="Times New Roman" w:cs="Times New Roman"/>
                <w:b/>
                <w:bCs/>
                <w:color w:val="auto"/>
                <w:sz w:val="21"/>
                <w:szCs w:val="21"/>
                <w:u w:val="none"/>
                <w:lang w:val="en-US" w:eastAsia="zh-CN"/>
              </w:rPr>
            </w:pPr>
            <w:r>
              <w:rPr>
                <w:rFonts w:hint="default" w:ascii="Times New Roman" w:hAnsi="Times New Roman" w:cs="Times New Roman"/>
                <w:b/>
                <w:bCs/>
                <w:color w:val="auto"/>
                <w:sz w:val="21"/>
                <w:szCs w:val="21"/>
                <w:u w:val="none"/>
                <w:lang w:val="en-US" w:eastAsia="zh-CN"/>
              </w:rPr>
              <w:t>国家或地方污染物排放标准</w:t>
            </w:r>
          </w:p>
        </w:tc>
        <w:tc>
          <w:tcPr>
            <w:tcW w:w="565" w:type="pct"/>
            <w:vMerge w:val="restart"/>
            <w:tcBorders>
              <w:top w:val="single" w:color="auto" w:sz="4" w:space="0"/>
              <w:right w:val="single" w:color="auto" w:sz="4" w:space="0"/>
            </w:tcBorders>
            <w:noWrap w:val="0"/>
            <w:vAlign w:val="center"/>
          </w:tcPr>
          <w:p w14:paraId="688CEEAF">
            <w:pPr>
              <w:ind w:left="0" w:leftChars="0" w:right="0" w:rightChars="0" w:firstLine="0" w:firstLineChars="0"/>
              <w:jc w:val="center"/>
              <w:rPr>
                <w:rFonts w:hint="default" w:ascii="Times New Roman" w:hAnsi="Times New Roman" w:cs="Times New Roman"/>
                <w:color w:val="auto"/>
                <w:sz w:val="21"/>
                <w:szCs w:val="21"/>
                <w:u w:val="none"/>
                <w:lang w:val="en-US" w:eastAsia="zh-CN"/>
              </w:rPr>
            </w:pPr>
            <w:r>
              <w:rPr>
                <w:rFonts w:hint="default" w:ascii="Times New Roman" w:hAnsi="Times New Roman" w:cs="Times New Roman"/>
                <w:b/>
                <w:bCs/>
                <w:color w:val="auto"/>
                <w:sz w:val="21"/>
                <w:szCs w:val="21"/>
                <w:u w:val="none"/>
                <w:lang w:val="en-US" w:eastAsia="zh-CN"/>
              </w:rPr>
              <w:t>年排放量/（t/a）</w:t>
            </w:r>
          </w:p>
        </w:tc>
      </w:tr>
      <w:tr w14:paraId="08F03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82" w:type="pct"/>
            <w:vMerge w:val="continue"/>
            <w:tcBorders>
              <w:left w:val="single" w:color="auto" w:sz="4" w:space="0"/>
            </w:tcBorders>
            <w:noWrap w:val="0"/>
            <w:vAlign w:val="center"/>
          </w:tcPr>
          <w:p w14:paraId="4F0937F6">
            <w:pPr>
              <w:ind w:left="0" w:leftChars="0" w:right="0" w:rightChars="0" w:firstLine="0" w:firstLineChars="0"/>
              <w:jc w:val="center"/>
              <w:rPr>
                <w:rFonts w:hint="default" w:ascii="Times New Roman" w:hAnsi="Times New Roman" w:cs="Times New Roman"/>
                <w:b/>
                <w:bCs/>
                <w:color w:val="auto"/>
                <w:sz w:val="21"/>
                <w:szCs w:val="21"/>
                <w:u w:val="none"/>
                <w:lang w:val="en-US" w:eastAsia="zh-CN"/>
              </w:rPr>
            </w:pPr>
          </w:p>
        </w:tc>
        <w:tc>
          <w:tcPr>
            <w:tcW w:w="545" w:type="pct"/>
            <w:vMerge w:val="continue"/>
            <w:noWrap w:val="0"/>
            <w:vAlign w:val="center"/>
          </w:tcPr>
          <w:p w14:paraId="631325AF">
            <w:pPr>
              <w:ind w:left="0" w:leftChars="0" w:right="0" w:rightChars="0" w:firstLine="0" w:firstLineChars="0"/>
              <w:jc w:val="center"/>
              <w:rPr>
                <w:rFonts w:hint="default" w:ascii="Times New Roman" w:hAnsi="Times New Roman" w:cs="Times New Roman"/>
                <w:b/>
                <w:bCs/>
                <w:color w:val="auto"/>
                <w:sz w:val="21"/>
                <w:szCs w:val="21"/>
                <w:u w:val="none"/>
                <w:lang w:val="en-US" w:eastAsia="zh-CN"/>
              </w:rPr>
            </w:pPr>
          </w:p>
        </w:tc>
        <w:tc>
          <w:tcPr>
            <w:tcW w:w="538" w:type="pct"/>
            <w:vMerge w:val="continue"/>
            <w:noWrap w:val="0"/>
            <w:vAlign w:val="center"/>
          </w:tcPr>
          <w:p w14:paraId="0220737D">
            <w:pPr>
              <w:ind w:left="0" w:leftChars="0" w:right="0" w:rightChars="0" w:firstLine="0" w:firstLineChars="0"/>
              <w:jc w:val="center"/>
              <w:rPr>
                <w:rFonts w:hint="default" w:ascii="Times New Roman" w:hAnsi="Times New Roman" w:cs="Times New Roman"/>
                <w:b/>
                <w:bCs/>
                <w:color w:val="auto"/>
                <w:sz w:val="21"/>
                <w:szCs w:val="21"/>
                <w:u w:val="none"/>
                <w:lang w:val="en-US" w:eastAsia="zh-CN"/>
              </w:rPr>
            </w:pPr>
          </w:p>
        </w:tc>
        <w:tc>
          <w:tcPr>
            <w:tcW w:w="535" w:type="pct"/>
            <w:vMerge w:val="continue"/>
            <w:noWrap w:val="0"/>
            <w:vAlign w:val="center"/>
          </w:tcPr>
          <w:p w14:paraId="1A211851">
            <w:pPr>
              <w:ind w:left="0" w:leftChars="0" w:right="0" w:rightChars="0" w:firstLine="0" w:firstLineChars="0"/>
              <w:jc w:val="center"/>
              <w:rPr>
                <w:rFonts w:hint="default" w:ascii="Times New Roman" w:hAnsi="Times New Roman" w:cs="Times New Roman"/>
                <w:b/>
                <w:bCs/>
                <w:color w:val="auto"/>
                <w:sz w:val="21"/>
                <w:szCs w:val="21"/>
                <w:u w:val="none"/>
                <w:lang w:val="en-US" w:eastAsia="zh-CN"/>
              </w:rPr>
            </w:pPr>
          </w:p>
        </w:tc>
        <w:tc>
          <w:tcPr>
            <w:tcW w:w="908" w:type="pct"/>
            <w:vMerge w:val="continue"/>
            <w:noWrap w:val="0"/>
            <w:vAlign w:val="center"/>
          </w:tcPr>
          <w:p w14:paraId="2E0D6149">
            <w:pPr>
              <w:ind w:left="0" w:leftChars="0" w:right="0" w:rightChars="0" w:firstLine="0" w:firstLineChars="0"/>
              <w:jc w:val="center"/>
              <w:rPr>
                <w:rFonts w:hint="default" w:ascii="Times New Roman" w:hAnsi="Times New Roman" w:cs="Times New Roman"/>
                <w:b/>
                <w:bCs/>
                <w:color w:val="auto"/>
                <w:sz w:val="21"/>
                <w:szCs w:val="21"/>
                <w:u w:val="none"/>
                <w:lang w:val="en-US" w:eastAsia="zh-CN"/>
              </w:rPr>
            </w:pPr>
          </w:p>
        </w:tc>
        <w:tc>
          <w:tcPr>
            <w:tcW w:w="1000" w:type="pct"/>
            <w:tcBorders>
              <w:right w:val="nil"/>
            </w:tcBorders>
            <w:noWrap w:val="0"/>
            <w:vAlign w:val="center"/>
          </w:tcPr>
          <w:p w14:paraId="65DFE7FF">
            <w:pPr>
              <w:ind w:left="0" w:leftChars="0" w:right="0" w:rightChars="0" w:firstLine="0" w:firstLineChars="0"/>
              <w:jc w:val="center"/>
              <w:rPr>
                <w:rFonts w:hint="default" w:ascii="Times New Roman" w:hAnsi="Times New Roman" w:cs="Times New Roman"/>
                <w:b/>
                <w:bCs/>
                <w:color w:val="auto"/>
                <w:sz w:val="21"/>
                <w:szCs w:val="21"/>
                <w:u w:val="none"/>
                <w:lang w:val="en-US" w:eastAsia="zh-CN"/>
              </w:rPr>
            </w:pPr>
            <w:r>
              <w:rPr>
                <w:rFonts w:hint="default" w:ascii="Times New Roman" w:hAnsi="Times New Roman" w:cs="Times New Roman"/>
                <w:b/>
                <w:bCs/>
                <w:color w:val="auto"/>
                <w:sz w:val="21"/>
                <w:szCs w:val="21"/>
                <w:u w:val="none"/>
                <w:lang w:val="en-US" w:eastAsia="zh-CN"/>
              </w:rPr>
              <w:t>标准名称</w:t>
            </w:r>
          </w:p>
        </w:tc>
        <w:tc>
          <w:tcPr>
            <w:tcW w:w="623" w:type="pct"/>
            <w:tcBorders>
              <w:right w:val="nil"/>
            </w:tcBorders>
            <w:noWrap w:val="0"/>
            <w:vAlign w:val="center"/>
          </w:tcPr>
          <w:p w14:paraId="2A246C93">
            <w:pPr>
              <w:ind w:left="0" w:leftChars="0" w:right="0" w:rightChars="0" w:firstLine="0" w:firstLineChars="0"/>
              <w:jc w:val="center"/>
              <w:rPr>
                <w:rFonts w:hint="default" w:ascii="Times New Roman" w:hAnsi="Times New Roman" w:cs="Times New Roman"/>
                <w:b/>
                <w:bCs/>
                <w:color w:val="auto"/>
                <w:sz w:val="21"/>
                <w:szCs w:val="21"/>
                <w:u w:val="none"/>
                <w:lang w:val="en-US" w:eastAsia="zh-CN"/>
              </w:rPr>
            </w:pPr>
            <w:r>
              <w:rPr>
                <w:rFonts w:hint="default" w:ascii="Times New Roman" w:hAnsi="Times New Roman" w:cs="Times New Roman"/>
                <w:b/>
                <w:bCs/>
                <w:color w:val="auto"/>
                <w:sz w:val="21"/>
                <w:szCs w:val="21"/>
                <w:u w:val="none"/>
                <w:lang w:val="en-US" w:eastAsia="zh-CN"/>
              </w:rPr>
              <w:t>浓度限值/（ug/</w:t>
            </w:r>
            <w:r>
              <w:rPr>
                <w:rFonts w:hint="eastAsia" w:ascii="Times New Roman" w:hAnsi="Times New Roman" w:cs="Times New Roman"/>
                <w:b/>
                <w:bCs/>
                <w:color w:val="auto"/>
                <w:sz w:val="21"/>
                <w:szCs w:val="21"/>
                <w:u w:val="none"/>
                <w:lang w:val="en-US" w:eastAsia="zh-CN"/>
              </w:rPr>
              <w:t>m</w:t>
            </w:r>
            <w:r>
              <w:rPr>
                <w:rFonts w:hint="eastAsia" w:ascii="Times New Roman" w:hAnsi="Times New Roman" w:cs="Times New Roman"/>
                <w:b/>
                <w:bCs/>
                <w:color w:val="auto"/>
                <w:sz w:val="21"/>
                <w:szCs w:val="21"/>
                <w:u w:val="none"/>
                <w:vertAlign w:val="superscript"/>
                <w:lang w:val="en-US" w:eastAsia="zh-CN"/>
              </w:rPr>
              <w:t>3</w:t>
            </w:r>
            <w:r>
              <w:rPr>
                <w:rFonts w:hint="default" w:ascii="Times New Roman" w:hAnsi="Times New Roman" w:cs="Times New Roman"/>
                <w:b/>
                <w:bCs/>
                <w:color w:val="auto"/>
                <w:sz w:val="21"/>
                <w:szCs w:val="21"/>
                <w:u w:val="none"/>
                <w:lang w:val="en-US" w:eastAsia="zh-CN"/>
              </w:rPr>
              <w:t>）</w:t>
            </w:r>
          </w:p>
        </w:tc>
        <w:tc>
          <w:tcPr>
            <w:tcW w:w="565" w:type="pct"/>
            <w:vMerge w:val="continue"/>
            <w:tcBorders>
              <w:right w:val="single" w:color="auto" w:sz="4" w:space="0"/>
            </w:tcBorders>
            <w:noWrap w:val="0"/>
            <w:vAlign w:val="center"/>
          </w:tcPr>
          <w:p w14:paraId="56AA80E1">
            <w:pPr>
              <w:ind w:left="0" w:leftChars="0" w:right="0" w:rightChars="0" w:firstLine="0" w:firstLineChars="0"/>
              <w:jc w:val="center"/>
              <w:rPr>
                <w:rFonts w:hint="default" w:ascii="Times New Roman" w:hAnsi="Times New Roman" w:cs="Times New Roman"/>
                <w:color w:val="auto"/>
                <w:sz w:val="21"/>
                <w:szCs w:val="21"/>
                <w:u w:val="none"/>
                <w:lang w:val="en-US" w:eastAsia="zh-CN"/>
              </w:rPr>
            </w:pPr>
          </w:p>
        </w:tc>
      </w:tr>
      <w:tr w14:paraId="0A97B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9" w:hRule="atLeast"/>
        </w:trPr>
        <w:tc>
          <w:tcPr>
            <w:tcW w:w="282" w:type="pct"/>
            <w:tcBorders>
              <w:left w:val="single" w:color="auto" w:sz="4" w:space="0"/>
            </w:tcBorders>
            <w:noWrap w:val="0"/>
            <w:vAlign w:val="center"/>
          </w:tcPr>
          <w:p w14:paraId="7C9447E9">
            <w:pPr>
              <w:ind w:left="0" w:leftChars="0" w:right="0" w:rightChars="0" w:firstLine="0" w:firstLineChars="0"/>
              <w:jc w:val="center"/>
              <w:rPr>
                <w:rFonts w:hint="default" w:ascii="Times New Roman" w:hAnsi="Times New Roman" w:cs="Times New Roman"/>
                <w:color w:val="auto"/>
                <w:sz w:val="21"/>
                <w:szCs w:val="21"/>
                <w:u w:val="none"/>
                <w:lang w:val="en-US" w:eastAsia="zh-CN"/>
              </w:rPr>
            </w:pPr>
            <w:r>
              <w:rPr>
                <w:rFonts w:hint="eastAsia" w:ascii="Times New Roman" w:hAnsi="Times New Roman" w:cs="Times New Roman"/>
                <w:color w:val="auto"/>
                <w:sz w:val="21"/>
                <w:szCs w:val="21"/>
                <w:u w:val="none"/>
                <w:lang w:val="en-US" w:eastAsia="zh-CN"/>
              </w:rPr>
              <w:t>1</w:t>
            </w:r>
          </w:p>
        </w:tc>
        <w:tc>
          <w:tcPr>
            <w:tcW w:w="545" w:type="pct"/>
            <w:vMerge w:val="restart"/>
            <w:noWrap w:val="0"/>
            <w:vAlign w:val="center"/>
          </w:tcPr>
          <w:p w14:paraId="0FB9A53D">
            <w:pPr>
              <w:ind w:left="0" w:leftChars="0" w:right="0" w:rightChars="0" w:firstLine="0" w:firstLineChars="0"/>
              <w:jc w:val="center"/>
              <w:rPr>
                <w:rFonts w:hint="default" w:ascii="Times New Roman" w:hAnsi="Times New Roman" w:cs="Times New Roman"/>
                <w:color w:val="auto"/>
                <w:sz w:val="21"/>
                <w:szCs w:val="21"/>
                <w:u w:val="none"/>
                <w:lang w:val="en-US" w:eastAsia="zh-CN"/>
              </w:rPr>
            </w:pPr>
            <w:r>
              <w:rPr>
                <w:rFonts w:hint="eastAsia" w:ascii="Times New Roman" w:hAnsi="Times New Roman" w:cs="Times New Roman"/>
                <w:color w:val="auto"/>
                <w:sz w:val="21"/>
                <w:szCs w:val="21"/>
                <w:u w:val="none"/>
                <w:lang w:val="en-US" w:eastAsia="zh-CN"/>
              </w:rPr>
              <w:t>污水处理站</w:t>
            </w:r>
          </w:p>
        </w:tc>
        <w:tc>
          <w:tcPr>
            <w:tcW w:w="538" w:type="pct"/>
            <w:vMerge w:val="restart"/>
            <w:noWrap w:val="0"/>
            <w:vAlign w:val="center"/>
          </w:tcPr>
          <w:p w14:paraId="2ADB3406">
            <w:pPr>
              <w:ind w:left="0" w:leftChars="0" w:right="0" w:rightChars="0" w:firstLine="0" w:firstLineChars="0"/>
              <w:jc w:val="center"/>
              <w:rPr>
                <w:rFonts w:hint="default" w:ascii="Times New Roman" w:hAnsi="Times New Roman" w:cs="Times New Roman"/>
                <w:color w:val="auto"/>
                <w:sz w:val="21"/>
                <w:szCs w:val="21"/>
                <w:u w:val="none"/>
                <w:lang w:val="en-US" w:eastAsia="zh-CN"/>
              </w:rPr>
            </w:pPr>
            <w:r>
              <w:rPr>
                <w:rFonts w:hint="eastAsia" w:ascii="Times New Roman" w:hAnsi="Times New Roman" w:cs="Times New Roman"/>
                <w:color w:val="auto"/>
                <w:sz w:val="21"/>
                <w:szCs w:val="21"/>
                <w:u w:val="none"/>
                <w:lang w:val="en-US" w:eastAsia="zh-CN"/>
              </w:rPr>
              <w:t>污水处理</w:t>
            </w:r>
          </w:p>
        </w:tc>
        <w:tc>
          <w:tcPr>
            <w:tcW w:w="535" w:type="pct"/>
            <w:shd w:val="clear" w:color="auto" w:fill="auto"/>
            <w:noWrap w:val="0"/>
            <w:vAlign w:val="center"/>
          </w:tcPr>
          <w:p w14:paraId="23FBC2D4">
            <w:pPr>
              <w:ind w:left="0" w:leftChars="0" w:right="0" w:rightChars="0" w:firstLine="0" w:firstLineChars="0"/>
              <w:jc w:val="center"/>
              <w:rPr>
                <w:rFonts w:hint="default" w:ascii="Times New Roman" w:hAnsi="Times New Roman" w:cs="Times New Roman" w:eastAsiaTheme="minorEastAsia"/>
                <w:color w:val="auto"/>
                <w:kern w:val="2"/>
                <w:sz w:val="21"/>
                <w:szCs w:val="21"/>
                <w:u w:val="none"/>
                <w:lang w:val="en-US" w:eastAsia="zh-CN" w:bidi="ar-SA"/>
              </w:rPr>
            </w:pPr>
            <w:r>
              <w:rPr>
                <w:rFonts w:hint="eastAsia" w:ascii="Times New Roman" w:hAnsi="Times New Roman" w:cs="Times New Roman"/>
                <w:color w:val="auto"/>
                <w:sz w:val="21"/>
                <w:szCs w:val="21"/>
                <w:u w:val="none"/>
                <w:lang w:val="en-US" w:eastAsia="zh-CN"/>
              </w:rPr>
              <w:t>硫化氢</w:t>
            </w:r>
          </w:p>
        </w:tc>
        <w:tc>
          <w:tcPr>
            <w:tcW w:w="908" w:type="pct"/>
            <w:vMerge w:val="restart"/>
            <w:noWrap w:val="0"/>
            <w:vAlign w:val="center"/>
          </w:tcPr>
          <w:p w14:paraId="68ECD775">
            <w:pPr>
              <w:ind w:left="0" w:leftChars="0" w:right="0" w:rightChars="0" w:firstLine="0" w:firstLineChars="0"/>
              <w:jc w:val="center"/>
              <w:rPr>
                <w:rFonts w:hint="default" w:ascii="Times New Roman" w:hAnsi="Times New Roman" w:cs="Times New Roman"/>
                <w:color w:val="auto"/>
                <w:sz w:val="21"/>
                <w:szCs w:val="21"/>
                <w:u w:val="none"/>
                <w:lang w:val="en-US" w:eastAsia="zh-CN"/>
              </w:rPr>
            </w:pPr>
            <w:r>
              <w:rPr>
                <w:rFonts w:hint="eastAsia" w:ascii="Times New Roman" w:hAnsi="Times New Roman" w:cs="Times New Roman"/>
                <w:color w:val="auto"/>
                <w:sz w:val="21"/>
                <w:szCs w:val="21"/>
                <w:u w:val="none"/>
                <w:lang w:val="en-US" w:eastAsia="zh-CN"/>
              </w:rPr>
              <w:t>周边种植绿化植被</w:t>
            </w:r>
          </w:p>
        </w:tc>
        <w:tc>
          <w:tcPr>
            <w:tcW w:w="1000" w:type="pct"/>
            <w:vMerge w:val="restart"/>
            <w:tcBorders>
              <w:right w:val="nil"/>
            </w:tcBorders>
            <w:noWrap w:val="0"/>
            <w:vAlign w:val="center"/>
          </w:tcPr>
          <w:p w14:paraId="254A933E">
            <w:pPr>
              <w:ind w:left="0" w:leftChars="0" w:right="0" w:rightChars="0" w:firstLine="0" w:firstLineChars="0"/>
              <w:jc w:val="center"/>
              <w:rPr>
                <w:rFonts w:hint="default" w:ascii="Times New Roman" w:hAnsi="Times New Roman" w:cs="Times New Roman"/>
                <w:color w:val="auto"/>
                <w:sz w:val="21"/>
                <w:szCs w:val="21"/>
                <w:highlight w:val="none"/>
                <w:u w:val="none"/>
                <w:lang w:val="en-US" w:eastAsia="zh-CN"/>
              </w:rPr>
            </w:pPr>
            <w:r>
              <w:rPr>
                <w:rFonts w:hint="default" w:ascii="Times New Roman" w:hAnsi="Times New Roman" w:cs="Times New Roman"/>
                <w:color w:val="auto"/>
                <w:sz w:val="21"/>
                <w:szCs w:val="21"/>
                <w:highlight w:val="none"/>
              </w:rPr>
              <w:t>GB</w:t>
            </w:r>
            <w:r>
              <w:rPr>
                <w:rFonts w:hint="default" w:ascii="Times New Roman" w:hAnsi="Times New Roman" w:cs="Times New Roman"/>
                <w:color w:val="auto"/>
                <w:sz w:val="21"/>
                <w:szCs w:val="21"/>
                <w:highlight w:val="none"/>
                <w:lang w:val="en-US" w:eastAsia="zh-CN"/>
              </w:rPr>
              <w:t>16297-1996表2中无组织排放监控浓度</w:t>
            </w:r>
            <w:r>
              <w:rPr>
                <w:rFonts w:hint="default" w:ascii="Times New Roman" w:hAnsi="Times New Roman" w:cs="Times New Roman"/>
                <w:color w:val="auto"/>
                <w:sz w:val="21"/>
                <w:szCs w:val="21"/>
                <w:highlight w:val="none"/>
              </w:rPr>
              <w:t>限值</w:t>
            </w:r>
          </w:p>
        </w:tc>
        <w:tc>
          <w:tcPr>
            <w:tcW w:w="623" w:type="pct"/>
            <w:tcBorders>
              <w:right w:val="nil"/>
            </w:tcBorders>
            <w:noWrap w:val="0"/>
            <w:vAlign w:val="center"/>
          </w:tcPr>
          <w:p w14:paraId="3A1AB71E">
            <w:pPr>
              <w:ind w:left="0" w:leftChars="0" w:right="0" w:rightChars="0" w:firstLine="0" w:firstLineChars="0"/>
              <w:jc w:val="center"/>
              <w:rPr>
                <w:rFonts w:hint="default" w:ascii="Times New Roman" w:hAnsi="Times New Roman" w:cs="Times New Roman"/>
                <w:color w:val="auto"/>
                <w:sz w:val="21"/>
                <w:szCs w:val="21"/>
                <w:highlight w:val="none"/>
                <w:u w:val="none"/>
                <w:lang w:val="en-US" w:eastAsia="zh-CN"/>
              </w:rPr>
            </w:pPr>
            <w:r>
              <w:rPr>
                <w:rFonts w:hint="eastAsia" w:ascii="Times New Roman" w:hAnsi="Times New Roman" w:cs="Times New Roman"/>
                <w:color w:val="auto"/>
                <w:sz w:val="21"/>
                <w:szCs w:val="21"/>
                <w:highlight w:val="none"/>
                <w:u w:val="none"/>
                <w:lang w:val="en-US" w:eastAsia="zh-CN"/>
              </w:rPr>
              <w:t>100</w:t>
            </w:r>
          </w:p>
        </w:tc>
        <w:tc>
          <w:tcPr>
            <w:tcW w:w="565" w:type="pct"/>
            <w:tcBorders>
              <w:right w:val="single" w:color="auto" w:sz="4" w:space="0"/>
            </w:tcBorders>
            <w:noWrap w:val="0"/>
            <w:vAlign w:val="center"/>
          </w:tcPr>
          <w:p w14:paraId="7A0C3BED">
            <w:pPr>
              <w:ind w:left="0" w:leftChars="0" w:right="0" w:rightChars="0" w:firstLine="0" w:firstLineChars="0"/>
              <w:jc w:val="center"/>
              <w:rPr>
                <w:rFonts w:hint="default" w:ascii="Times New Roman" w:hAnsi="Times New Roman" w:cs="Times New Roman"/>
                <w:color w:val="auto"/>
                <w:sz w:val="21"/>
                <w:szCs w:val="21"/>
                <w:u w:val="none"/>
                <w:lang w:val="en-US" w:eastAsia="zh-CN"/>
              </w:rPr>
            </w:pPr>
            <w:r>
              <w:rPr>
                <w:rFonts w:hint="eastAsia" w:ascii="Times New Roman" w:hAnsi="Times New Roman" w:cs="Times New Roman"/>
                <w:color w:val="auto"/>
                <w:sz w:val="21"/>
                <w:szCs w:val="21"/>
                <w:u w:val="none"/>
                <w:lang w:val="en-US" w:eastAsia="zh-CN"/>
              </w:rPr>
              <w:t>0.0018</w:t>
            </w:r>
          </w:p>
        </w:tc>
      </w:tr>
      <w:tr w14:paraId="21736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3" w:hRule="atLeast"/>
        </w:trPr>
        <w:tc>
          <w:tcPr>
            <w:tcW w:w="282" w:type="pct"/>
            <w:tcBorders>
              <w:left w:val="single" w:color="auto" w:sz="4" w:space="0"/>
            </w:tcBorders>
            <w:noWrap w:val="0"/>
            <w:vAlign w:val="center"/>
          </w:tcPr>
          <w:p w14:paraId="6F37571D">
            <w:pPr>
              <w:ind w:left="0" w:leftChars="0" w:right="0" w:rightChars="0" w:firstLine="0" w:firstLineChars="0"/>
              <w:jc w:val="center"/>
              <w:rPr>
                <w:rFonts w:hint="default" w:ascii="Times New Roman" w:hAnsi="Times New Roman" w:cs="Times New Roman"/>
                <w:color w:val="auto"/>
                <w:sz w:val="21"/>
                <w:szCs w:val="21"/>
                <w:u w:val="none"/>
                <w:lang w:val="en-US" w:eastAsia="zh-CN"/>
              </w:rPr>
            </w:pPr>
            <w:r>
              <w:rPr>
                <w:rFonts w:hint="eastAsia" w:ascii="Times New Roman" w:hAnsi="Times New Roman" w:cs="Times New Roman"/>
                <w:color w:val="auto"/>
                <w:sz w:val="21"/>
                <w:szCs w:val="21"/>
                <w:u w:val="none"/>
                <w:lang w:val="en-US" w:eastAsia="zh-CN"/>
              </w:rPr>
              <w:t>2</w:t>
            </w:r>
          </w:p>
        </w:tc>
        <w:tc>
          <w:tcPr>
            <w:tcW w:w="545" w:type="pct"/>
            <w:vMerge w:val="continue"/>
            <w:noWrap w:val="0"/>
            <w:vAlign w:val="center"/>
          </w:tcPr>
          <w:p w14:paraId="484EEBA5">
            <w:pPr>
              <w:ind w:left="0" w:leftChars="0" w:right="0" w:rightChars="0" w:firstLine="0" w:firstLineChars="0"/>
              <w:jc w:val="center"/>
              <w:rPr>
                <w:rFonts w:hint="eastAsia" w:ascii="Times New Roman" w:hAnsi="Times New Roman" w:cs="Times New Roman"/>
                <w:color w:val="auto"/>
                <w:sz w:val="21"/>
                <w:szCs w:val="21"/>
                <w:u w:val="none"/>
                <w:lang w:val="en-US" w:eastAsia="zh-CN"/>
              </w:rPr>
            </w:pPr>
          </w:p>
        </w:tc>
        <w:tc>
          <w:tcPr>
            <w:tcW w:w="538" w:type="pct"/>
            <w:vMerge w:val="continue"/>
            <w:noWrap w:val="0"/>
            <w:vAlign w:val="center"/>
          </w:tcPr>
          <w:p w14:paraId="0B0055F8">
            <w:pPr>
              <w:ind w:left="0" w:leftChars="0" w:right="0" w:rightChars="0" w:firstLine="0" w:firstLineChars="0"/>
              <w:jc w:val="center"/>
              <w:rPr>
                <w:rFonts w:hint="default" w:ascii="Times New Roman" w:hAnsi="Times New Roman" w:cs="Times New Roman"/>
                <w:color w:val="auto"/>
                <w:sz w:val="21"/>
                <w:szCs w:val="21"/>
                <w:u w:val="none"/>
                <w:lang w:val="en-US" w:eastAsia="zh-CN"/>
              </w:rPr>
            </w:pPr>
          </w:p>
        </w:tc>
        <w:tc>
          <w:tcPr>
            <w:tcW w:w="535" w:type="pct"/>
            <w:shd w:val="clear" w:color="auto" w:fill="auto"/>
            <w:noWrap w:val="0"/>
            <w:vAlign w:val="center"/>
          </w:tcPr>
          <w:p w14:paraId="4B4FD221">
            <w:pPr>
              <w:ind w:left="0" w:leftChars="0" w:right="0" w:rightChars="0" w:firstLine="0" w:firstLineChars="0"/>
              <w:jc w:val="center"/>
              <w:rPr>
                <w:rFonts w:hint="default" w:ascii="Times New Roman" w:hAnsi="Times New Roman" w:cs="Times New Roman" w:eastAsiaTheme="minorEastAsia"/>
                <w:color w:val="auto"/>
                <w:kern w:val="2"/>
                <w:sz w:val="21"/>
                <w:szCs w:val="21"/>
                <w:u w:val="none"/>
                <w:lang w:val="en-US" w:eastAsia="zh-CN" w:bidi="ar-SA"/>
              </w:rPr>
            </w:pPr>
            <w:r>
              <w:rPr>
                <w:rFonts w:hint="eastAsia" w:ascii="Times New Roman" w:hAnsi="Times New Roman" w:cs="Times New Roman"/>
                <w:color w:val="auto"/>
                <w:sz w:val="21"/>
                <w:szCs w:val="21"/>
                <w:u w:val="none"/>
                <w:lang w:val="en-US" w:eastAsia="zh-CN"/>
              </w:rPr>
              <w:t>氨气</w:t>
            </w:r>
          </w:p>
        </w:tc>
        <w:tc>
          <w:tcPr>
            <w:tcW w:w="908" w:type="pct"/>
            <w:vMerge w:val="continue"/>
            <w:noWrap w:val="0"/>
            <w:vAlign w:val="center"/>
          </w:tcPr>
          <w:p w14:paraId="3C8EFC8D">
            <w:pPr>
              <w:ind w:left="0" w:leftChars="0" w:right="0" w:rightChars="0" w:firstLine="0" w:firstLineChars="0"/>
              <w:jc w:val="center"/>
              <w:rPr>
                <w:rFonts w:hint="default" w:ascii="Times New Roman" w:hAnsi="Times New Roman" w:cs="Times New Roman"/>
                <w:color w:val="auto"/>
                <w:sz w:val="21"/>
                <w:szCs w:val="21"/>
                <w:u w:val="none"/>
                <w:lang w:val="en-US" w:eastAsia="zh-CN"/>
              </w:rPr>
            </w:pPr>
          </w:p>
        </w:tc>
        <w:tc>
          <w:tcPr>
            <w:tcW w:w="1000" w:type="pct"/>
            <w:vMerge w:val="continue"/>
            <w:tcBorders>
              <w:right w:val="nil"/>
            </w:tcBorders>
            <w:noWrap w:val="0"/>
            <w:vAlign w:val="center"/>
          </w:tcPr>
          <w:p w14:paraId="6B3755CF">
            <w:pPr>
              <w:ind w:left="0" w:leftChars="0" w:right="0" w:rightChars="0" w:firstLine="0" w:firstLineChars="0"/>
              <w:jc w:val="center"/>
              <w:rPr>
                <w:rFonts w:hint="default" w:ascii="Times New Roman" w:hAnsi="Times New Roman" w:cs="Times New Roman"/>
                <w:color w:val="auto"/>
                <w:sz w:val="21"/>
                <w:szCs w:val="21"/>
                <w:highlight w:val="none"/>
              </w:rPr>
            </w:pPr>
          </w:p>
        </w:tc>
        <w:tc>
          <w:tcPr>
            <w:tcW w:w="623" w:type="pct"/>
            <w:tcBorders>
              <w:right w:val="nil"/>
            </w:tcBorders>
            <w:noWrap w:val="0"/>
            <w:vAlign w:val="center"/>
          </w:tcPr>
          <w:p w14:paraId="6DC131D2">
            <w:pPr>
              <w:ind w:left="0" w:leftChars="0" w:right="0" w:rightChars="0" w:firstLine="0" w:firstLineChars="0"/>
              <w:jc w:val="center"/>
              <w:rPr>
                <w:rFonts w:hint="default" w:ascii="Times New Roman" w:hAnsi="Times New Roman" w:cs="Times New Roman"/>
                <w:color w:val="auto"/>
                <w:sz w:val="21"/>
                <w:szCs w:val="21"/>
                <w:highlight w:val="none"/>
                <w:u w:val="none"/>
                <w:lang w:val="en-US" w:eastAsia="zh-CN"/>
              </w:rPr>
            </w:pPr>
            <w:r>
              <w:rPr>
                <w:rFonts w:hint="eastAsia" w:ascii="Times New Roman" w:hAnsi="Times New Roman" w:cs="Times New Roman"/>
                <w:color w:val="auto"/>
                <w:sz w:val="21"/>
                <w:szCs w:val="21"/>
                <w:highlight w:val="none"/>
                <w:u w:val="none"/>
                <w:lang w:val="en-US" w:eastAsia="zh-CN"/>
              </w:rPr>
              <w:t>2000</w:t>
            </w:r>
          </w:p>
        </w:tc>
        <w:tc>
          <w:tcPr>
            <w:tcW w:w="565" w:type="pct"/>
            <w:tcBorders>
              <w:right w:val="single" w:color="auto" w:sz="4" w:space="0"/>
            </w:tcBorders>
            <w:noWrap w:val="0"/>
            <w:vAlign w:val="center"/>
          </w:tcPr>
          <w:p w14:paraId="79DBD2CB">
            <w:pPr>
              <w:ind w:left="0" w:leftChars="0" w:right="0" w:rightChars="0" w:firstLine="0" w:firstLineChars="0"/>
              <w:jc w:val="center"/>
              <w:rPr>
                <w:rFonts w:hint="default" w:ascii="Times New Roman" w:hAnsi="Times New Roman" w:cs="Times New Roman"/>
                <w:color w:val="auto"/>
                <w:sz w:val="21"/>
                <w:szCs w:val="21"/>
                <w:u w:val="none"/>
                <w:lang w:val="en-US" w:eastAsia="zh-CN"/>
              </w:rPr>
            </w:pPr>
            <w:r>
              <w:rPr>
                <w:rFonts w:hint="eastAsia" w:ascii="Times New Roman" w:hAnsi="Times New Roman" w:cs="Times New Roman"/>
                <w:color w:val="auto"/>
                <w:sz w:val="21"/>
                <w:szCs w:val="21"/>
                <w:u w:val="none"/>
                <w:lang w:val="en-US" w:eastAsia="zh-CN"/>
              </w:rPr>
              <w:t>0.042</w:t>
            </w:r>
          </w:p>
        </w:tc>
      </w:tr>
      <w:tr w14:paraId="40C99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000" w:type="pct"/>
            <w:gridSpan w:val="8"/>
            <w:tcBorders>
              <w:left w:val="single" w:color="auto" w:sz="4" w:space="0"/>
              <w:right w:val="single" w:color="auto" w:sz="4" w:space="0"/>
            </w:tcBorders>
            <w:noWrap w:val="0"/>
            <w:vAlign w:val="center"/>
          </w:tcPr>
          <w:p w14:paraId="45B9DE9C">
            <w:pPr>
              <w:ind w:left="0" w:leftChars="0" w:right="0" w:rightChars="0" w:firstLine="0" w:firstLineChars="0"/>
              <w:jc w:val="center"/>
              <w:rPr>
                <w:rFonts w:hint="default" w:ascii="Times New Roman" w:hAnsi="Times New Roman" w:cs="Times New Roman"/>
                <w:color w:val="auto"/>
                <w:sz w:val="21"/>
                <w:szCs w:val="21"/>
                <w:u w:val="none"/>
                <w:lang w:val="en-US" w:eastAsia="zh-CN"/>
              </w:rPr>
            </w:pPr>
            <w:r>
              <w:rPr>
                <w:rFonts w:hint="default" w:ascii="Times New Roman" w:hAnsi="Times New Roman" w:cs="Times New Roman"/>
                <w:color w:val="auto"/>
                <w:sz w:val="21"/>
                <w:szCs w:val="21"/>
                <w:u w:val="none"/>
                <w:lang w:val="en-US" w:eastAsia="zh-CN"/>
              </w:rPr>
              <w:t>无组织排放总计</w:t>
            </w:r>
          </w:p>
        </w:tc>
      </w:tr>
      <w:tr w14:paraId="0DE7F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902" w:type="pct"/>
            <w:gridSpan w:val="4"/>
            <w:vMerge w:val="restart"/>
            <w:tcBorders>
              <w:left w:val="single" w:color="auto" w:sz="4" w:space="0"/>
            </w:tcBorders>
            <w:noWrap w:val="0"/>
            <w:vAlign w:val="center"/>
          </w:tcPr>
          <w:p w14:paraId="523D2C7E">
            <w:pPr>
              <w:ind w:left="0" w:leftChars="0" w:right="0" w:rightChars="0" w:firstLine="0" w:firstLineChars="0"/>
              <w:jc w:val="center"/>
              <w:rPr>
                <w:rFonts w:hint="default" w:ascii="Times New Roman" w:hAnsi="Times New Roman" w:cs="Times New Roman"/>
                <w:color w:val="auto"/>
                <w:sz w:val="21"/>
                <w:szCs w:val="21"/>
                <w:u w:val="none"/>
                <w:lang w:val="en-US" w:eastAsia="zh-CN"/>
              </w:rPr>
            </w:pPr>
            <w:r>
              <w:rPr>
                <w:rFonts w:hint="default" w:ascii="Times New Roman" w:hAnsi="Times New Roman" w:cs="Times New Roman"/>
                <w:color w:val="auto"/>
                <w:sz w:val="21"/>
                <w:szCs w:val="21"/>
                <w:u w:val="none"/>
                <w:lang w:val="en-US" w:eastAsia="zh-CN"/>
              </w:rPr>
              <w:t>无组织排放总计</w:t>
            </w:r>
          </w:p>
        </w:tc>
        <w:tc>
          <w:tcPr>
            <w:tcW w:w="2532" w:type="pct"/>
            <w:gridSpan w:val="3"/>
            <w:tcBorders>
              <w:right w:val="nil"/>
            </w:tcBorders>
            <w:shd w:val="clear" w:color="auto" w:fill="auto"/>
            <w:noWrap w:val="0"/>
            <w:vAlign w:val="center"/>
          </w:tcPr>
          <w:p w14:paraId="76DAF69D">
            <w:pPr>
              <w:ind w:left="0" w:leftChars="0" w:right="0" w:rightChars="0" w:firstLine="0" w:firstLineChars="0"/>
              <w:jc w:val="center"/>
              <w:rPr>
                <w:rFonts w:hint="default" w:ascii="Times New Roman" w:hAnsi="Times New Roman" w:cs="Times New Roman" w:eastAsiaTheme="minorEastAsia"/>
                <w:color w:val="auto"/>
                <w:kern w:val="2"/>
                <w:sz w:val="21"/>
                <w:szCs w:val="21"/>
                <w:u w:val="none"/>
                <w:lang w:val="en-US" w:eastAsia="zh-CN" w:bidi="ar-SA"/>
              </w:rPr>
            </w:pPr>
            <w:r>
              <w:rPr>
                <w:rFonts w:hint="eastAsia" w:ascii="Times New Roman" w:hAnsi="Times New Roman" w:cs="Times New Roman"/>
                <w:color w:val="auto"/>
                <w:sz w:val="21"/>
                <w:szCs w:val="21"/>
                <w:u w:val="none"/>
                <w:lang w:val="en-US" w:eastAsia="zh-CN"/>
              </w:rPr>
              <w:t>硫化氢</w:t>
            </w:r>
          </w:p>
        </w:tc>
        <w:tc>
          <w:tcPr>
            <w:tcW w:w="565" w:type="pct"/>
            <w:tcBorders>
              <w:right w:val="single" w:color="auto" w:sz="4" w:space="0"/>
            </w:tcBorders>
            <w:shd w:val="clear" w:color="auto" w:fill="auto"/>
            <w:noWrap w:val="0"/>
            <w:vAlign w:val="center"/>
          </w:tcPr>
          <w:p w14:paraId="238721CC">
            <w:pPr>
              <w:ind w:left="0" w:leftChars="0" w:right="0" w:rightChars="0" w:firstLine="0" w:firstLineChars="0"/>
              <w:jc w:val="center"/>
              <w:rPr>
                <w:rFonts w:hint="default" w:ascii="Times New Roman" w:hAnsi="Times New Roman" w:cs="Times New Roman" w:eastAsiaTheme="minorEastAsia"/>
                <w:color w:val="auto"/>
                <w:kern w:val="2"/>
                <w:sz w:val="21"/>
                <w:szCs w:val="21"/>
                <w:u w:val="none"/>
                <w:lang w:val="en-US" w:eastAsia="zh-CN" w:bidi="ar-SA"/>
              </w:rPr>
            </w:pPr>
            <w:r>
              <w:rPr>
                <w:rFonts w:hint="eastAsia" w:ascii="Times New Roman" w:hAnsi="Times New Roman" w:cs="Times New Roman"/>
                <w:color w:val="auto"/>
                <w:sz w:val="21"/>
                <w:szCs w:val="21"/>
                <w:u w:val="none"/>
                <w:lang w:val="en-US" w:eastAsia="zh-CN"/>
              </w:rPr>
              <w:t>0.0018</w:t>
            </w:r>
          </w:p>
        </w:tc>
      </w:tr>
      <w:tr w14:paraId="2F947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902" w:type="pct"/>
            <w:gridSpan w:val="4"/>
            <w:vMerge w:val="continue"/>
            <w:tcBorders>
              <w:left w:val="single" w:color="auto" w:sz="4" w:space="0"/>
            </w:tcBorders>
            <w:noWrap w:val="0"/>
            <w:vAlign w:val="center"/>
          </w:tcPr>
          <w:p w14:paraId="7B30B2A6">
            <w:pPr>
              <w:ind w:left="0" w:leftChars="0" w:right="0" w:rightChars="0" w:firstLine="0" w:firstLineChars="0"/>
              <w:jc w:val="center"/>
              <w:rPr>
                <w:rFonts w:hint="default" w:ascii="Times New Roman" w:hAnsi="Times New Roman" w:cs="Times New Roman"/>
                <w:color w:val="auto"/>
                <w:sz w:val="21"/>
                <w:szCs w:val="21"/>
                <w:u w:val="none"/>
                <w:lang w:val="en-US" w:eastAsia="zh-CN"/>
              </w:rPr>
            </w:pPr>
          </w:p>
        </w:tc>
        <w:tc>
          <w:tcPr>
            <w:tcW w:w="2532" w:type="pct"/>
            <w:gridSpan w:val="3"/>
            <w:tcBorders>
              <w:right w:val="nil"/>
            </w:tcBorders>
            <w:shd w:val="clear" w:color="auto" w:fill="auto"/>
            <w:noWrap w:val="0"/>
            <w:vAlign w:val="center"/>
          </w:tcPr>
          <w:p w14:paraId="02FE07DF">
            <w:pPr>
              <w:ind w:left="0" w:leftChars="0" w:right="0" w:rightChars="0" w:firstLine="0" w:firstLineChars="0"/>
              <w:jc w:val="center"/>
              <w:rPr>
                <w:rFonts w:hint="default" w:ascii="Times New Roman" w:hAnsi="Times New Roman" w:cs="Times New Roman" w:eastAsiaTheme="minorEastAsia"/>
                <w:color w:val="auto"/>
                <w:kern w:val="2"/>
                <w:sz w:val="21"/>
                <w:szCs w:val="21"/>
                <w:u w:val="none"/>
                <w:lang w:val="en-US" w:eastAsia="zh-CN" w:bidi="ar-SA"/>
              </w:rPr>
            </w:pPr>
            <w:r>
              <w:rPr>
                <w:rFonts w:hint="eastAsia" w:ascii="Times New Roman" w:hAnsi="Times New Roman" w:cs="Times New Roman"/>
                <w:color w:val="auto"/>
                <w:sz w:val="21"/>
                <w:szCs w:val="21"/>
                <w:u w:val="none"/>
                <w:lang w:val="en-US" w:eastAsia="zh-CN"/>
              </w:rPr>
              <w:t>氨气</w:t>
            </w:r>
          </w:p>
        </w:tc>
        <w:tc>
          <w:tcPr>
            <w:tcW w:w="565" w:type="pct"/>
            <w:tcBorders>
              <w:right w:val="single" w:color="auto" w:sz="4" w:space="0"/>
            </w:tcBorders>
            <w:shd w:val="clear" w:color="auto" w:fill="auto"/>
            <w:noWrap w:val="0"/>
            <w:vAlign w:val="center"/>
          </w:tcPr>
          <w:p w14:paraId="1B25ECCC">
            <w:pPr>
              <w:ind w:left="0" w:leftChars="0" w:right="0" w:rightChars="0" w:firstLine="0" w:firstLineChars="0"/>
              <w:jc w:val="center"/>
              <w:rPr>
                <w:rFonts w:hint="default" w:ascii="Times New Roman" w:hAnsi="Times New Roman" w:cs="Times New Roman" w:eastAsiaTheme="minorEastAsia"/>
                <w:color w:val="auto"/>
                <w:kern w:val="2"/>
                <w:sz w:val="21"/>
                <w:szCs w:val="21"/>
                <w:u w:val="none"/>
                <w:lang w:val="en-US" w:eastAsia="zh-CN" w:bidi="ar-SA"/>
              </w:rPr>
            </w:pPr>
            <w:r>
              <w:rPr>
                <w:rFonts w:hint="eastAsia" w:ascii="Times New Roman" w:hAnsi="Times New Roman" w:cs="Times New Roman"/>
                <w:color w:val="auto"/>
                <w:sz w:val="21"/>
                <w:szCs w:val="21"/>
                <w:u w:val="none"/>
                <w:lang w:val="en-US" w:eastAsia="zh-CN"/>
              </w:rPr>
              <w:t>0.042</w:t>
            </w:r>
          </w:p>
        </w:tc>
      </w:tr>
    </w:tbl>
    <w:p w14:paraId="5FD2DEDC">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val="en-US" w:eastAsia="zh-CN"/>
        </w:rPr>
        <w:t>3</w:t>
      </w:r>
      <w:r>
        <w:rPr>
          <w:rFonts w:ascii="Times New Roman" w:hAnsi="Times New Roman" w:eastAsia="宋体" w:cs="Times New Roman"/>
          <w:color w:val="auto"/>
          <w:sz w:val="24"/>
          <w:szCs w:val="24"/>
        </w:rPr>
        <w:t>、项目大气污染物年排放量核算</w:t>
      </w:r>
    </w:p>
    <w:p w14:paraId="37BC9821">
      <w:pPr>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由污染源分析可知，本项目大气污染物年排放量如下表所示：</w:t>
      </w:r>
    </w:p>
    <w:p w14:paraId="59250DA4">
      <w:pPr>
        <w:pStyle w:val="6"/>
        <w:bidi w:val="0"/>
      </w:pPr>
      <w:r>
        <w:t>表6.2</w:t>
      </w:r>
      <w:r>
        <w:rPr>
          <w:rFonts w:hint="eastAsia"/>
          <w:lang w:val="en-US" w:eastAsia="zh-CN"/>
        </w:rPr>
        <w:t>.1</w:t>
      </w:r>
      <w:r>
        <w:rPr>
          <w:rFonts w:hint="eastAsia"/>
        </w:rPr>
        <w:t>-</w:t>
      </w:r>
      <w:r>
        <w:t>-</w:t>
      </w:r>
      <w:r>
        <w:rPr>
          <w:rFonts w:hint="eastAsia"/>
          <w:lang w:val="en-US" w:eastAsia="zh-CN"/>
        </w:rPr>
        <w:t>3</w:t>
      </w:r>
      <w:r>
        <w:t xml:space="preserve">   大气污染物年排放量核算表</w:t>
      </w:r>
    </w:p>
    <w:tbl>
      <w:tblPr>
        <w:tblStyle w:val="4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13"/>
        <w:gridCol w:w="2875"/>
        <w:gridCol w:w="2934"/>
      </w:tblGrid>
      <w:tr w14:paraId="74E4F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1591" w:type="pct"/>
            <w:vAlign w:val="center"/>
          </w:tcPr>
          <w:p w14:paraId="7D893CBE">
            <w:pPr>
              <w:jc w:val="center"/>
              <w:rPr>
                <w:rFonts w:ascii="Times New Roman" w:hAnsi="Times New Roman" w:eastAsia="宋体" w:cs="Times New Roman"/>
                <w:color w:val="auto"/>
                <w:sz w:val="22"/>
              </w:rPr>
            </w:pPr>
            <w:r>
              <w:rPr>
                <w:rFonts w:ascii="Times New Roman" w:hAnsi="Times New Roman" w:eastAsia="宋体" w:cs="Times New Roman"/>
                <w:color w:val="auto"/>
                <w:sz w:val="22"/>
              </w:rPr>
              <w:t>序号</w:t>
            </w:r>
          </w:p>
        </w:tc>
        <w:tc>
          <w:tcPr>
            <w:tcW w:w="1686" w:type="pct"/>
            <w:vAlign w:val="center"/>
          </w:tcPr>
          <w:p w14:paraId="14EC4202">
            <w:pPr>
              <w:jc w:val="center"/>
              <w:rPr>
                <w:rFonts w:ascii="Times New Roman" w:hAnsi="Times New Roman" w:eastAsia="宋体" w:cs="Times New Roman"/>
                <w:color w:val="auto"/>
                <w:sz w:val="22"/>
              </w:rPr>
            </w:pPr>
            <w:r>
              <w:rPr>
                <w:rFonts w:ascii="Times New Roman" w:hAnsi="Times New Roman" w:eastAsia="宋体" w:cs="Times New Roman"/>
                <w:color w:val="auto"/>
                <w:sz w:val="22"/>
              </w:rPr>
              <w:t>污染物</w:t>
            </w:r>
          </w:p>
        </w:tc>
        <w:tc>
          <w:tcPr>
            <w:tcW w:w="1721" w:type="pct"/>
            <w:vAlign w:val="center"/>
          </w:tcPr>
          <w:p w14:paraId="46ACF94E">
            <w:pPr>
              <w:jc w:val="center"/>
              <w:rPr>
                <w:rFonts w:ascii="Times New Roman" w:hAnsi="Times New Roman" w:eastAsia="宋体" w:cs="Times New Roman"/>
                <w:color w:val="auto"/>
                <w:sz w:val="22"/>
              </w:rPr>
            </w:pPr>
            <w:r>
              <w:rPr>
                <w:rFonts w:ascii="Times New Roman" w:hAnsi="Times New Roman" w:eastAsia="宋体" w:cs="Times New Roman"/>
                <w:color w:val="auto"/>
                <w:sz w:val="22"/>
              </w:rPr>
              <w:t>年排放量/（t/a）</w:t>
            </w:r>
          </w:p>
        </w:tc>
      </w:tr>
      <w:tr w14:paraId="20110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1" w:type="pct"/>
            <w:vAlign w:val="center"/>
          </w:tcPr>
          <w:p w14:paraId="0DDC6D04">
            <w:pPr>
              <w:jc w:val="center"/>
              <w:rPr>
                <w:rFonts w:ascii="Times New Roman" w:hAnsi="Times New Roman" w:eastAsia="宋体" w:cs="Times New Roman"/>
                <w:color w:val="auto"/>
                <w:sz w:val="22"/>
              </w:rPr>
            </w:pPr>
            <w:r>
              <w:rPr>
                <w:rFonts w:ascii="Times New Roman" w:hAnsi="Times New Roman" w:eastAsia="宋体" w:cs="Times New Roman"/>
                <w:color w:val="auto"/>
                <w:sz w:val="22"/>
              </w:rPr>
              <w:t>1</w:t>
            </w:r>
          </w:p>
        </w:tc>
        <w:tc>
          <w:tcPr>
            <w:tcW w:w="1686" w:type="pct"/>
            <w:shd w:val="clear" w:color="auto" w:fill="auto"/>
            <w:vAlign w:val="center"/>
          </w:tcPr>
          <w:p w14:paraId="5C4EFC42">
            <w:pPr>
              <w:pStyle w:val="52"/>
              <w:bidi w:val="0"/>
              <w:rPr>
                <w:rFonts w:hint="default" w:ascii="Times New Roman" w:hAnsi="Times New Roman" w:eastAsia="宋体" w:cs="Times New Roman"/>
                <w:color w:val="auto"/>
                <w:kern w:val="2"/>
                <w:sz w:val="21"/>
                <w:szCs w:val="28"/>
                <w:highlight w:val="none"/>
                <w:lang w:val="en-US" w:eastAsia="zh-CN" w:bidi="ar-SA"/>
              </w:rPr>
            </w:pPr>
            <w:r>
              <w:rPr>
                <w:rFonts w:hint="default" w:ascii="Times New Roman" w:hAnsi="Times New Roman" w:eastAsia="宋体" w:cs="Times New Roman"/>
                <w:color w:val="auto"/>
                <w:highlight w:val="none"/>
                <w:lang w:val="en-US" w:eastAsia="zh-CN"/>
              </w:rPr>
              <w:t>非甲烷总烃</w:t>
            </w:r>
          </w:p>
        </w:tc>
        <w:tc>
          <w:tcPr>
            <w:tcW w:w="1721" w:type="pct"/>
            <w:shd w:val="clear" w:color="auto" w:fill="auto"/>
            <w:vAlign w:val="center"/>
          </w:tcPr>
          <w:p w14:paraId="5D304698">
            <w:pPr>
              <w:keepNext w:val="0"/>
              <w:keepLines w:val="0"/>
              <w:pageBreakBefore w:val="0"/>
              <w:widowControl w:val="0"/>
              <w:tabs>
                <w:tab w:val="left" w:pos="540"/>
                <w:tab w:val="left" w:pos="1080"/>
                <w:tab w:val="left" w:pos="1800"/>
              </w:tabs>
              <w:kinsoku/>
              <w:wordWrap/>
              <w:overflowPunct/>
              <w:topLinePunct w:val="0"/>
              <w:autoSpaceDE/>
              <w:autoSpaceDN/>
              <w:bidi w:val="0"/>
              <w:adjustRightInd w:val="0"/>
              <w:snapToGrid/>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kern w:val="2"/>
                <w:sz w:val="21"/>
                <w:szCs w:val="21"/>
                <w:u w:val="none"/>
                <w:vertAlign w:val="baseline"/>
                <w:lang w:val="en-US" w:eastAsia="zh-CN" w:bidi="ar-SA"/>
              </w:rPr>
            </w:pPr>
            <w:r>
              <w:rPr>
                <w:rFonts w:hint="eastAsia" w:ascii="Times New Roman" w:hAnsi="Times New Roman" w:cs="Times New Roman"/>
                <w:color w:val="auto"/>
                <w:sz w:val="21"/>
                <w:szCs w:val="21"/>
                <w:u w:val="none"/>
                <w:vertAlign w:val="baseline"/>
                <w:lang w:val="en-US" w:eastAsia="zh-CN"/>
              </w:rPr>
              <w:t>1.008</w:t>
            </w:r>
          </w:p>
        </w:tc>
      </w:tr>
      <w:tr w14:paraId="2D268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1" w:type="pct"/>
            <w:vAlign w:val="center"/>
          </w:tcPr>
          <w:p w14:paraId="495905AC">
            <w:pPr>
              <w:jc w:val="center"/>
              <w:rPr>
                <w:rFonts w:ascii="Times New Roman" w:hAnsi="Times New Roman" w:eastAsia="宋体" w:cs="Times New Roman"/>
                <w:color w:val="auto"/>
                <w:sz w:val="22"/>
              </w:rPr>
            </w:pPr>
            <w:r>
              <w:rPr>
                <w:rFonts w:ascii="Times New Roman" w:hAnsi="Times New Roman" w:eastAsia="宋体" w:cs="Times New Roman"/>
                <w:color w:val="auto"/>
                <w:sz w:val="22"/>
              </w:rPr>
              <w:t>2</w:t>
            </w:r>
          </w:p>
        </w:tc>
        <w:tc>
          <w:tcPr>
            <w:tcW w:w="1686" w:type="pct"/>
            <w:shd w:val="clear" w:color="auto" w:fill="auto"/>
            <w:vAlign w:val="center"/>
          </w:tcPr>
          <w:p w14:paraId="773B7BF6">
            <w:pPr>
              <w:pStyle w:val="52"/>
              <w:bidi w:val="0"/>
              <w:rPr>
                <w:rFonts w:hint="eastAsia" w:ascii="Times New Roman" w:hAnsi="Times New Roman" w:eastAsia="宋体" w:cs="Times New Roman"/>
                <w:color w:val="auto"/>
                <w:kern w:val="2"/>
                <w:sz w:val="21"/>
                <w:szCs w:val="28"/>
                <w:highlight w:val="none"/>
                <w:lang w:val="en-US" w:eastAsia="zh-CN" w:bidi="ar-SA"/>
              </w:rPr>
            </w:pPr>
            <w:r>
              <w:rPr>
                <w:rFonts w:hint="default" w:ascii="Times New Roman" w:hAnsi="Times New Roman" w:eastAsia="宋体" w:cs="Times New Roman"/>
                <w:color w:val="auto"/>
                <w:highlight w:val="none"/>
                <w:lang w:val="en-US" w:eastAsia="zh-CN"/>
              </w:rPr>
              <w:t>颗粒物</w:t>
            </w:r>
          </w:p>
        </w:tc>
        <w:tc>
          <w:tcPr>
            <w:tcW w:w="1721" w:type="pct"/>
            <w:shd w:val="clear" w:color="auto" w:fill="auto"/>
            <w:vAlign w:val="center"/>
          </w:tcPr>
          <w:p w14:paraId="400F7C76">
            <w:pPr>
              <w:keepNext w:val="0"/>
              <w:keepLines w:val="0"/>
              <w:pageBreakBefore w:val="0"/>
              <w:widowControl w:val="0"/>
              <w:tabs>
                <w:tab w:val="left" w:pos="540"/>
                <w:tab w:val="left" w:pos="1080"/>
                <w:tab w:val="left" w:pos="1800"/>
              </w:tabs>
              <w:kinsoku/>
              <w:wordWrap/>
              <w:overflowPunct/>
              <w:topLinePunct w:val="0"/>
              <w:autoSpaceDE/>
              <w:autoSpaceDN/>
              <w:bidi w:val="0"/>
              <w:adjustRightInd w:val="0"/>
              <w:snapToGrid/>
              <w:spacing w:line="240" w:lineRule="auto"/>
              <w:ind w:left="0" w:leftChars="0" w:right="0" w:rightChars="0" w:firstLine="0" w:firstLineChars="0"/>
              <w:jc w:val="center"/>
              <w:textAlignment w:val="auto"/>
              <w:outlineLvl w:val="9"/>
              <w:rPr>
                <w:rFonts w:hint="default" w:ascii="Times New Roman" w:hAnsi="Times New Roman" w:cs="Times New Roman" w:eastAsiaTheme="minorEastAsia"/>
                <w:color w:val="auto"/>
                <w:kern w:val="2"/>
                <w:sz w:val="21"/>
                <w:szCs w:val="21"/>
                <w:u w:val="none"/>
                <w:vertAlign w:val="baseline"/>
                <w:lang w:val="en-US" w:eastAsia="zh-CN" w:bidi="ar-SA"/>
              </w:rPr>
            </w:pPr>
            <w:r>
              <w:rPr>
                <w:rFonts w:hint="eastAsia" w:ascii="Times New Roman" w:hAnsi="Times New Roman" w:cs="Times New Roman"/>
                <w:color w:val="auto"/>
                <w:kern w:val="2"/>
                <w:sz w:val="21"/>
                <w:szCs w:val="21"/>
                <w:u w:val="none"/>
                <w:vertAlign w:val="baseline"/>
                <w:lang w:val="en-US" w:eastAsia="zh-CN" w:bidi="ar-SA"/>
              </w:rPr>
              <w:t>2.979</w:t>
            </w:r>
          </w:p>
        </w:tc>
      </w:tr>
      <w:tr w14:paraId="66561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1" w:type="pct"/>
            <w:vAlign w:val="center"/>
          </w:tcPr>
          <w:p w14:paraId="3A9CC704">
            <w:pPr>
              <w:jc w:val="center"/>
              <w:rPr>
                <w:rFonts w:ascii="Times New Roman" w:hAnsi="Times New Roman" w:eastAsia="宋体" w:cs="Times New Roman"/>
                <w:color w:val="auto"/>
                <w:sz w:val="22"/>
              </w:rPr>
            </w:pPr>
            <w:r>
              <w:rPr>
                <w:rFonts w:ascii="Times New Roman" w:hAnsi="Times New Roman" w:eastAsia="宋体" w:cs="Times New Roman"/>
                <w:color w:val="auto"/>
                <w:sz w:val="22"/>
              </w:rPr>
              <w:t>3</w:t>
            </w:r>
          </w:p>
        </w:tc>
        <w:tc>
          <w:tcPr>
            <w:tcW w:w="1686" w:type="pct"/>
            <w:shd w:val="clear" w:color="auto" w:fill="auto"/>
            <w:vAlign w:val="center"/>
          </w:tcPr>
          <w:p w14:paraId="2B8BAEDC">
            <w:pPr>
              <w:pStyle w:val="52"/>
              <w:bidi w:val="0"/>
              <w:rPr>
                <w:rFonts w:hint="default" w:ascii="Times New Roman" w:hAnsi="Times New Roman" w:eastAsia="宋体" w:cs="Times New Roman"/>
                <w:color w:val="auto"/>
                <w:kern w:val="2"/>
                <w:sz w:val="21"/>
                <w:szCs w:val="28"/>
                <w:highlight w:val="none"/>
                <w:lang w:val="en-US" w:eastAsia="zh-CN" w:bidi="ar-SA"/>
              </w:rPr>
            </w:pPr>
            <w:r>
              <w:rPr>
                <w:rFonts w:hint="default" w:ascii="Times New Roman" w:hAnsi="Times New Roman" w:eastAsia="宋体" w:cs="Times New Roman"/>
                <w:color w:val="auto"/>
                <w:highlight w:val="none"/>
              </w:rPr>
              <w:t>氨气</w:t>
            </w:r>
          </w:p>
        </w:tc>
        <w:tc>
          <w:tcPr>
            <w:tcW w:w="1721" w:type="pct"/>
            <w:shd w:val="clear" w:color="auto" w:fill="auto"/>
            <w:vAlign w:val="center"/>
          </w:tcPr>
          <w:p w14:paraId="28BFEF90">
            <w:pPr>
              <w:widowControl w:val="0"/>
              <w:autoSpaceDE w:val="0"/>
              <w:autoSpaceDN w:val="0"/>
              <w:spacing w:line="240" w:lineRule="auto"/>
              <w:ind w:left="0" w:leftChars="0" w:right="0" w:rightChars="0" w:firstLine="0" w:firstLineChars="0"/>
              <w:jc w:val="center"/>
              <w:rPr>
                <w:rFonts w:hint="default" w:ascii="Times New Roman" w:hAnsi="Times New Roman" w:cs="Times New Roman" w:eastAsiaTheme="minorEastAsia"/>
                <w:color w:val="auto"/>
                <w:kern w:val="2"/>
                <w:sz w:val="21"/>
                <w:szCs w:val="21"/>
                <w:u w:val="none"/>
                <w:vertAlign w:val="baseline"/>
                <w:lang w:val="en-US" w:eastAsia="zh-CN" w:bidi="ar-SA"/>
              </w:rPr>
            </w:pPr>
            <w:r>
              <w:rPr>
                <w:rFonts w:hint="eastAsia" w:ascii="Times New Roman" w:hAnsi="Times New Roman" w:cs="Times New Roman"/>
                <w:color w:val="auto"/>
                <w:sz w:val="21"/>
                <w:szCs w:val="21"/>
                <w:u w:val="none"/>
                <w:vertAlign w:val="baseline"/>
                <w:lang w:val="en-US" w:eastAsia="zh-CN"/>
              </w:rPr>
              <w:t>0.38184</w:t>
            </w:r>
          </w:p>
        </w:tc>
      </w:tr>
      <w:tr w14:paraId="0D59E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91" w:type="pct"/>
            <w:vAlign w:val="center"/>
          </w:tcPr>
          <w:p w14:paraId="10FB014C">
            <w:pPr>
              <w:jc w:val="center"/>
              <w:rPr>
                <w:rFonts w:ascii="Times New Roman" w:hAnsi="Times New Roman" w:eastAsia="宋体" w:cs="Times New Roman"/>
                <w:color w:val="auto"/>
                <w:sz w:val="22"/>
              </w:rPr>
            </w:pPr>
            <w:r>
              <w:rPr>
                <w:rFonts w:ascii="Times New Roman" w:hAnsi="Times New Roman" w:eastAsia="宋体" w:cs="Times New Roman"/>
                <w:color w:val="auto"/>
                <w:sz w:val="22"/>
              </w:rPr>
              <w:t>4</w:t>
            </w:r>
          </w:p>
        </w:tc>
        <w:tc>
          <w:tcPr>
            <w:tcW w:w="1686" w:type="pct"/>
            <w:shd w:val="clear" w:color="auto" w:fill="auto"/>
            <w:vAlign w:val="center"/>
          </w:tcPr>
          <w:p w14:paraId="086D88EB">
            <w:pPr>
              <w:keepNext w:val="0"/>
              <w:keepLines w:val="0"/>
              <w:pageBreakBefore w:val="0"/>
              <w:widowControl w:val="0"/>
              <w:tabs>
                <w:tab w:val="left" w:pos="540"/>
                <w:tab w:val="left" w:pos="1080"/>
                <w:tab w:val="left" w:pos="1800"/>
              </w:tabs>
              <w:kinsoku/>
              <w:wordWrap/>
              <w:overflowPunct/>
              <w:topLinePunct w:val="0"/>
              <w:autoSpaceDE/>
              <w:autoSpaceDN/>
              <w:bidi w:val="0"/>
              <w:adjustRightInd w:val="0"/>
              <w:snapToGrid/>
              <w:spacing w:line="240" w:lineRule="auto"/>
              <w:ind w:left="0" w:leftChars="0" w:right="0" w:rightChars="0" w:firstLine="0" w:firstLineChars="0"/>
              <w:jc w:val="center"/>
              <w:textAlignment w:val="auto"/>
              <w:outlineLvl w:val="9"/>
              <w:rPr>
                <w:rFonts w:hint="eastAsia" w:ascii="Times New Roman" w:hAnsi="Times New Roman" w:cs="Times New Roman" w:eastAsiaTheme="minorEastAsia"/>
                <w:color w:val="auto"/>
                <w:kern w:val="2"/>
                <w:sz w:val="21"/>
                <w:szCs w:val="21"/>
                <w:u w:val="none"/>
                <w:vertAlign w:val="baseline"/>
                <w:lang w:val="en-US" w:eastAsia="zh-CN" w:bidi="ar-SA"/>
              </w:rPr>
            </w:pPr>
            <w:r>
              <w:rPr>
                <w:rFonts w:hint="eastAsia" w:ascii="Times New Roman" w:hAnsi="Times New Roman" w:cs="Times New Roman"/>
                <w:color w:val="auto"/>
                <w:sz w:val="21"/>
                <w:szCs w:val="21"/>
                <w:u w:val="none"/>
                <w:vertAlign w:val="baseline"/>
                <w:lang w:val="en-US" w:eastAsia="zh-CN"/>
              </w:rPr>
              <w:t>硫化氢</w:t>
            </w:r>
          </w:p>
        </w:tc>
        <w:tc>
          <w:tcPr>
            <w:tcW w:w="1721" w:type="pct"/>
            <w:shd w:val="clear" w:color="auto" w:fill="auto"/>
            <w:vAlign w:val="center"/>
          </w:tcPr>
          <w:p w14:paraId="6D2A5DB6">
            <w:pPr>
              <w:widowControl w:val="0"/>
              <w:autoSpaceDE w:val="0"/>
              <w:autoSpaceDN w:val="0"/>
              <w:spacing w:line="240" w:lineRule="auto"/>
              <w:ind w:left="0" w:leftChars="0" w:right="0" w:rightChars="0" w:firstLine="0" w:firstLineChars="0"/>
              <w:jc w:val="center"/>
              <w:rPr>
                <w:rFonts w:hint="default" w:ascii="Times New Roman" w:hAnsi="Times New Roman" w:eastAsia="宋体" w:cs="Times New Roman"/>
                <w:color w:val="auto"/>
                <w:kern w:val="0"/>
                <w:sz w:val="21"/>
                <w:szCs w:val="21"/>
                <w:lang w:val="en-US" w:eastAsia="zh-CN" w:bidi="zh-CN"/>
              </w:rPr>
            </w:pPr>
            <w:r>
              <w:rPr>
                <w:rFonts w:hint="eastAsia" w:ascii="Times New Roman" w:hAnsi="Times New Roman" w:eastAsia="宋体" w:cs="Times New Roman"/>
                <w:color w:val="auto"/>
                <w:kern w:val="0"/>
                <w:sz w:val="21"/>
                <w:szCs w:val="21"/>
                <w:lang w:val="en-US" w:eastAsia="zh-CN" w:bidi="zh-CN"/>
              </w:rPr>
              <w:t>0.01188</w:t>
            </w:r>
          </w:p>
        </w:tc>
      </w:tr>
    </w:tbl>
    <w:p w14:paraId="0F14881A">
      <w:pPr>
        <w:pStyle w:val="4"/>
        <w:spacing w:before="156" w:beforeLines="50" w:after="156" w:afterLines="50" w:line="360" w:lineRule="auto"/>
        <w:rPr>
          <w:rFonts w:ascii="Times New Roman" w:hAnsi="Times New Roman"/>
          <w:bCs w:val="0"/>
          <w:color w:val="auto"/>
          <w:kern w:val="0"/>
          <w:sz w:val="24"/>
          <w:szCs w:val="24"/>
        </w:rPr>
      </w:pPr>
      <w:r>
        <w:rPr>
          <w:rFonts w:ascii="Times New Roman" w:hAnsi="Times New Roman"/>
          <w:bCs w:val="0"/>
          <w:color w:val="auto"/>
          <w:kern w:val="0"/>
          <w:sz w:val="24"/>
          <w:szCs w:val="24"/>
        </w:rPr>
        <w:t>6.2.1.11</w:t>
      </w:r>
      <w:r>
        <w:rPr>
          <w:rFonts w:hint="eastAsia" w:ascii="Times New Roman" w:hAnsi="Times New Roman"/>
          <w:bCs w:val="0"/>
          <w:color w:val="auto"/>
          <w:kern w:val="0"/>
          <w:sz w:val="24"/>
          <w:szCs w:val="24"/>
        </w:rPr>
        <w:t>排气筒高度校核</w:t>
      </w:r>
    </w:p>
    <w:p w14:paraId="21B5FA2E">
      <w:pPr>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为确保烟囱高度的合理可行，评价按《制定地方大气污染物排放标准的技术方法》（GB/T13201-91）中推荐的排放系数法，对各主要烟囱高度再次进行校核。用下列公式计算出排放系数R，再由《制定地方大气污染物排放标准的技术方法》（GB/T13201-91）中的表4查出其需达到的有效高度。</w:t>
      </w:r>
    </w:p>
    <w:p w14:paraId="5D4B7B0B">
      <w:pPr>
        <w:spacing w:line="360" w:lineRule="auto"/>
        <w:ind w:firstLine="480" w:firstLineChars="200"/>
        <w:jc w:val="center"/>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Q=CmRKe</w:t>
      </w:r>
    </w:p>
    <w:p w14:paraId="33BC4803">
      <w:pPr>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式中：Q—排放速率，Kg/h；Cm—标准浓度，mg/</w:t>
      </w:r>
      <w:r>
        <w:rPr>
          <w:rFonts w:hint="eastAsia" w:ascii="Times New Roman" w:hAnsi="Times New Roman" w:eastAsia="宋体" w:cs="Times New Roman"/>
          <w:color w:val="auto"/>
          <w:sz w:val="24"/>
          <w:szCs w:val="24"/>
          <w:lang w:eastAsia="zh-CN"/>
        </w:rPr>
        <w:t>m</w:t>
      </w:r>
      <w:r>
        <w:rPr>
          <w:rFonts w:hint="eastAsia" w:ascii="Times New Roman" w:hAnsi="Times New Roman" w:eastAsia="宋体" w:cs="Times New Roman"/>
          <w:color w:val="auto"/>
          <w:sz w:val="24"/>
          <w:szCs w:val="24"/>
          <w:vertAlign w:val="superscript"/>
          <w:lang w:eastAsia="zh-CN"/>
        </w:rPr>
        <w:t>3</w:t>
      </w:r>
      <w:r>
        <w:rPr>
          <w:rFonts w:ascii="Times New Roman" w:hAnsi="Times New Roman" w:eastAsia="宋体" w:cs="Times New Roman"/>
          <w:color w:val="auto"/>
          <w:sz w:val="24"/>
          <w:szCs w:val="24"/>
        </w:rPr>
        <w:t>；K</w:t>
      </w:r>
      <w:r>
        <w:rPr>
          <w:rFonts w:ascii="Times New Roman" w:hAnsi="Times New Roman" w:eastAsia="宋体" w:cs="Times New Roman"/>
          <w:color w:val="auto"/>
          <w:sz w:val="24"/>
          <w:szCs w:val="24"/>
          <w:vertAlign w:val="subscript"/>
        </w:rPr>
        <w:t>e</w:t>
      </w:r>
      <w:r>
        <w:rPr>
          <w:rFonts w:ascii="Times New Roman" w:hAnsi="Times New Roman" w:eastAsia="宋体" w:cs="Times New Roman"/>
          <w:color w:val="auto"/>
          <w:sz w:val="24"/>
          <w:szCs w:val="24"/>
        </w:rPr>
        <w:t>—地区性经济系数，取值为0.5-1.5，根据当地经济发展现状，本评价取1。</w:t>
      </w:r>
    </w:p>
    <w:p w14:paraId="59236DF6">
      <w:pPr>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取各排气筒中污染物的排放速率，按上式求得各排放系数R，再按照GB/T13201-91中表4内插得到所需烟囱有效高度，如下表所示：</w:t>
      </w:r>
    </w:p>
    <w:p w14:paraId="3F3E4C29">
      <w:pPr>
        <w:pStyle w:val="6"/>
        <w:bidi w:val="0"/>
      </w:pPr>
      <w:r>
        <w:rPr>
          <w:rFonts w:hint="eastAsia"/>
        </w:rPr>
        <w:t>表</w:t>
      </w:r>
      <w:r>
        <w:t>6.2</w:t>
      </w:r>
      <w:r>
        <w:rPr>
          <w:rFonts w:hint="eastAsia"/>
          <w:lang w:val="en-US" w:eastAsia="zh-CN"/>
        </w:rPr>
        <w:t>.1</w:t>
      </w:r>
      <w:r>
        <w:rPr>
          <w:rFonts w:hint="eastAsia"/>
        </w:rPr>
        <w:t>-</w:t>
      </w:r>
      <w:r>
        <w:rPr>
          <w:rFonts w:hint="eastAsia"/>
          <w:lang w:val="en-US" w:eastAsia="zh-CN"/>
        </w:rPr>
        <w:t>4</w:t>
      </w:r>
      <w:r>
        <w:rPr>
          <w:rFonts w:hint="eastAsia"/>
        </w:rPr>
        <w:t xml:space="preserve"> </w:t>
      </w:r>
      <w:r>
        <w:t xml:space="preserve">   排放系数法校核主要烟囱高度结果</w:t>
      </w:r>
    </w:p>
    <w:tbl>
      <w:tblPr>
        <w:tblStyle w:val="41"/>
        <w:tblW w:w="5126" w:type="pct"/>
        <w:tblInd w:w="-1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6"/>
        <w:gridCol w:w="1166"/>
        <w:gridCol w:w="1458"/>
        <w:gridCol w:w="1200"/>
        <w:gridCol w:w="1213"/>
        <w:gridCol w:w="628"/>
        <w:gridCol w:w="886"/>
        <w:gridCol w:w="1050"/>
      </w:tblGrid>
      <w:tr w14:paraId="03CEA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pct"/>
            <w:vAlign w:val="center"/>
          </w:tcPr>
          <w:p w14:paraId="53FC99E9">
            <w:pPr>
              <w:jc w:val="center"/>
              <w:rPr>
                <w:rFonts w:ascii="Times New Roman" w:hAnsi="Times New Roman" w:eastAsia="宋体" w:cs="Times New Roman"/>
                <w:b/>
                <w:bCs/>
                <w:color w:val="auto"/>
                <w:sz w:val="22"/>
              </w:rPr>
            </w:pPr>
            <w:r>
              <w:rPr>
                <w:rFonts w:ascii="Times New Roman" w:hAnsi="Times New Roman" w:eastAsia="宋体" w:cs="Times New Roman"/>
                <w:b/>
                <w:bCs/>
                <w:color w:val="auto"/>
                <w:sz w:val="22"/>
              </w:rPr>
              <w:t>排气筒</w:t>
            </w:r>
          </w:p>
          <w:p w14:paraId="1CA95165">
            <w:pPr>
              <w:jc w:val="center"/>
              <w:rPr>
                <w:rFonts w:ascii="Times New Roman" w:hAnsi="Times New Roman" w:eastAsia="宋体" w:cs="Times New Roman"/>
                <w:b/>
                <w:bCs/>
                <w:color w:val="auto"/>
                <w:sz w:val="22"/>
              </w:rPr>
            </w:pPr>
            <w:r>
              <w:rPr>
                <w:rFonts w:ascii="Times New Roman" w:hAnsi="Times New Roman" w:eastAsia="宋体" w:cs="Times New Roman"/>
                <w:b/>
                <w:bCs/>
                <w:color w:val="auto"/>
                <w:sz w:val="22"/>
              </w:rPr>
              <w:t>名称</w:t>
            </w:r>
          </w:p>
        </w:tc>
        <w:tc>
          <w:tcPr>
            <w:tcW w:w="667" w:type="pct"/>
            <w:vAlign w:val="center"/>
          </w:tcPr>
          <w:p w14:paraId="26A449B0">
            <w:pPr>
              <w:jc w:val="center"/>
              <w:rPr>
                <w:rFonts w:ascii="Times New Roman" w:hAnsi="Times New Roman" w:eastAsia="宋体" w:cs="Times New Roman"/>
                <w:b/>
                <w:bCs/>
                <w:color w:val="auto"/>
                <w:sz w:val="22"/>
              </w:rPr>
            </w:pPr>
            <w:r>
              <w:rPr>
                <w:rFonts w:ascii="Times New Roman" w:hAnsi="Times New Roman" w:eastAsia="宋体" w:cs="Times New Roman"/>
                <w:b/>
                <w:bCs/>
                <w:color w:val="auto"/>
                <w:sz w:val="22"/>
              </w:rPr>
              <w:t>几何高度（m）</w:t>
            </w:r>
          </w:p>
        </w:tc>
        <w:tc>
          <w:tcPr>
            <w:tcW w:w="834" w:type="pct"/>
            <w:vAlign w:val="center"/>
          </w:tcPr>
          <w:p w14:paraId="07ABAF0C">
            <w:pPr>
              <w:jc w:val="center"/>
              <w:rPr>
                <w:rFonts w:ascii="Times New Roman" w:hAnsi="Times New Roman" w:eastAsia="宋体" w:cs="Times New Roman"/>
                <w:b/>
                <w:bCs/>
                <w:color w:val="auto"/>
                <w:sz w:val="22"/>
              </w:rPr>
            </w:pPr>
            <w:r>
              <w:rPr>
                <w:rFonts w:ascii="Times New Roman" w:hAnsi="Times New Roman" w:eastAsia="宋体" w:cs="Times New Roman"/>
                <w:b/>
                <w:bCs/>
                <w:color w:val="auto"/>
                <w:sz w:val="22"/>
              </w:rPr>
              <w:t>污染物</w:t>
            </w:r>
          </w:p>
        </w:tc>
        <w:tc>
          <w:tcPr>
            <w:tcW w:w="686" w:type="pct"/>
            <w:vAlign w:val="center"/>
          </w:tcPr>
          <w:p w14:paraId="6067051F">
            <w:pPr>
              <w:jc w:val="center"/>
              <w:rPr>
                <w:rFonts w:ascii="Times New Roman" w:hAnsi="Times New Roman" w:eastAsia="宋体" w:cs="Times New Roman"/>
                <w:b/>
                <w:bCs/>
                <w:color w:val="auto"/>
                <w:sz w:val="22"/>
              </w:rPr>
            </w:pPr>
            <w:r>
              <w:rPr>
                <w:rFonts w:ascii="Times New Roman" w:hAnsi="Times New Roman" w:eastAsia="宋体" w:cs="Times New Roman"/>
                <w:b/>
                <w:bCs/>
                <w:color w:val="auto"/>
                <w:sz w:val="22"/>
              </w:rPr>
              <w:t>Q</w:t>
            </w:r>
          </w:p>
          <w:p w14:paraId="6B3C6514">
            <w:pPr>
              <w:jc w:val="center"/>
              <w:rPr>
                <w:rFonts w:ascii="Times New Roman" w:hAnsi="Times New Roman" w:eastAsia="宋体" w:cs="Times New Roman"/>
                <w:b/>
                <w:bCs/>
                <w:color w:val="auto"/>
                <w:sz w:val="22"/>
              </w:rPr>
            </w:pPr>
            <w:r>
              <w:rPr>
                <w:rFonts w:ascii="Times New Roman" w:hAnsi="Times New Roman" w:eastAsia="宋体" w:cs="Times New Roman"/>
                <w:b/>
                <w:bCs/>
                <w:color w:val="auto"/>
                <w:sz w:val="22"/>
              </w:rPr>
              <w:t>（kg/h）</w:t>
            </w:r>
          </w:p>
        </w:tc>
        <w:tc>
          <w:tcPr>
            <w:tcW w:w="694" w:type="pct"/>
            <w:vAlign w:val="center"/>
          </w:tcPr>
          <w:p w14:paraId="06FEA2E9">
            <w:pPr>
              <w:jc w:val="center"/>
              <w:rPr>
                <w:rFonts w:ascii="Times New Roman" w:hAnsi="Times New Roman" w:eastAsia="宋体" w:cs="Times New Roman"/>
                <w:b/>
                <w:bCs/>
                <w:color w:val="auto"/>
                <w:sz w:val="22"/>
              </w:rPr>
            </w:pPr>
            <w:r>
              <w:rPr>
                <w:rFonts w:ascii="Times New Roman" w:hAnsi="Times New Roman" w:eastAsia="宋体" w:cs="Times New Roman"/>
                <w:b/>
                <w:bCs/>
                <w:color w:val="auto"/>
                <w:sz w:val="22"/>
              </w:rPr>
              <w:t>Cm</w:t>
            </w:r>
          </w:p>
          <w:p w14:paraId="71BC74D2">
            <w:pPr>
              <w:jc w:val="center"/>
              <w:rPr>
                <w:rFonts w:ascii="Times New Roman" w:hAnsi="Times New Roman" w:eastAsia="宋体" w:cs="Times New Roman"/>
                <w:b/>
                <w:bCs/>
                <w:color w:val="auto"/>
                <w:sz w:val="22"/>
              </w:rPr>
            </w:pPr>
            <w:r>
              <w:rPr>
                <w:rFonts w:ascii="Times New Roman" w:hAnsi="Times New Roman" w:eastAsia="宋体" w:cs="Times New Roman"/>
                <w:b/>
                <w:bCs/>
                <w:color w:val="auto"/>
                <w:sz w:val="22"/>
              </w:rPr>
              <w:t>（mg/</w:t>
            </w:r>
            <w:r>
              <w:rPr>
                <w:rFonts w:hint="eastAsia" w:ascii="Times New Roman" w:hAnsi="Times New Roman" w:eastAsia="宋体" w:cs="Times New Roman"/>
                <w:b/>
                <w:bCs/>
                <w:color w:val="auto"/>
                <w:sz w:val="22"/>
                <w:lang w:eastAsia="zh-CN"/>
              </w:rPr>
              <w:t>m</w:t>
            </w:r>
            <w:r>
              <w:rPr>
                <w:rFonts w:hint="eastAsia" w:ascii="Times New Roman" w:hAnsi="Times New Roman" w:eastAsia="宋体" w:cs="Times New Roman"/>
                <w:b/>
                <w:bCs/>
                <w:color w:val="auto"/>
                <w:sz w:val="22"/>
                <w:vertAlign w:val="superscript"/>
                <w:lang w:eastAsia="zh-CN"/>
              </w:rPr>
              <w:t>3</w:t>
            </w:r>
            <w:r>
              <w:rPr>
                <w:rFonts w:ascii="Times New Roman" w:hAnsi="Times New Roman" w:eastAsia="宋体" w:cs="Times New Roman"/>
                <w:b/>
                <w:bCs/>
                <w:color w:val="auto"/>
                <w:sz w:val="22"/>
              </w:rPr>
              <w:t>）</w:t>
            </w:r>
          </w:p>
        </w:tc>
        <w:tc>
          <w:tcPr>
            <w:tcW w:w="359" w:type="pct"/>
            <w:vAlign w:val="center"/>
          </w:tcPr>
          <w:p w14:paraId="65DA949F">
            <w:pPr>
              <w:jc w:val="center"/>
              <w:rPr>
                <w:rFonts w:ascii="Times New Roman" w:hAnsi="Times New Roman" w:eastAsia="宋体" w:cs="Times New Roman"/>
                <w:b/>
                <w:bCs/>
                <w:color w:val="auto"/>
                <w:sz w:val="22"/>
              </w:rPr>
            </w:pPr>
            <w:r>
              <w:rPr>
                <w:rFonts w:ascii="Times New Roman" w:hAnsi="Times New Roman" w:eastAsia="宋体" w:cs="Times New Roman"/>
                <w:b/>
                <w:bCs/>
                <w:color w:val="auto"/>
                <w:sz w:val="22"/>
              </w:rPr>
              <w:t>Ke</w:t>
            </w:r>
          </w:p>
        </w:tc>
        <w:tc>
          <w:tcPr>
            <w:tcW w:w="507" w:type="pct"/>
            <w:vAlign w:val="center"/>
          </w:tcPr>
          <w:p w14:paraId="0D848D2E">
            <w:pPr>
              <w:jc w:val="center"/>
              <w:rPr>
                <w:rFonts w:ascii="Times New Roman" w:hAnsi="Times New Roman" w:eastAsia="宋体" w:cs="Times New Roman"/>
                <w:b/>
                <w:bCs/>
                <w:color w:val="auto"/>
                <w:sz w:val="22"/>
              </w:rPr>
            </w:pPr>
            <w:r>
              <w:rPr>
                <w:rFonts w:ascii="Times New Roman" w:hAnsi="Times New Roman" w:eastAsia="宋体" w:cs="Times New Roman"/>
                <w:b/>
                <w:bCs/>
                <w:color w:val="auto"/>
                <w:sz w:val="22"/>
              </w:rPr>
              <w:t>R</w:t>
            </w:r>
          </w:p>
        </w:tc>
        <w:tc>
          <w:tcPr>
            <w:tcW w:w="600" w:type="pct"/>
            <w:vAlign w:val="center"/>
          </w:tcPr>
          <w:p w14:paraId="3128C307">
            <w:pPr>
              <w:jc w:val="center"/>
              <w:rPr>
                <w:rFonts w:ascii="Times New Roman" w:hAnsi="Times New Roman" w:eastAsia="宋体" w:cs="Times New Roman"/>
                <w:b/>
                <w:bCs/>
                <w:color w:val="auto"/>
                <w:sz w:val="22"/>
              </w:rPr>
            </w:pPr>
            <w:r>
              <w:rPr>
                <w:rFonts w:ascii="Times New Roman" w:hAnsi="Times New Roman" w:eastAsia="宋体" w:cs="Times New Roman"/>
                <w:b/>
                <w:bCs/>
                <w:color w:val="auto"/>
                <w:sz w:val="22"/>
              </w:rPr>
              <w:t>所需烟囱有效高度(m)</w:t>
            </w:r>
          </w:p>
        </w:tc>
      </w:tr>
      <w:tr w14:paraId="5888F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pct"/>
            <w:vMerge w:val="restart"/>
            <w:vAlign w:val="center"/>
          </w:tcPr>
          <w:p w14:paraId="2A250E3A">
            <w:pPr>
              <w:jc w:val="center"/>
              <w:rPr>
                <w:rFonts w:ascii="Times New Roman" w:hAnsi="Times New Roman" w:eastAsia="宋体" w:cs="Times New Roman"/>
                <w:color w:val="auto"/>
                <w:sz w:val="22"/>
              </w:rPr>
            </w:pPr>
            <w:r>
              <w:rPr>
                <w:rFonts w:ascii="Times New Roman" w:hAnsi="Times New Roman" w:eastAsia="宋体" w:cs="Times New Roman"/>
                <w:color w:val="auto"/>
                <w:kern w:val="0"/>
                <w:sz w:val="22"/>
                <w:szCs w:val="24"/>
              </w:rPr>
              <w:t>DA001</w:t>
            </w:r>
          </w:p>
        </w:tc>
        <w:tc>
          <w:tcPr>
            <w:tcW w:w="667" w:type="pct"/>
            <w:vMerge w:val="restart"/>
            <w:vAlign w:val="center"/>
          </w:tcPr>
          <w:p w14:paraId="6A9F9B36">
            <w:pPr>
              <w:jc w:val="center"/>
              <w:rPr>
                <w:rFonts w:hint="default" w:ascii="Times New Roman" w:hAnsi="Times New Roman" w:eastAsia="宋体" w:cs="Times New Roman"/>
                <w:color w:val="auto"/>
                <w:sz w:val="22"/>
                <w:lang w:val="en-US" w:eastAsia="zh-CN"/>
              </w:rPr>
            </w:pPr>
            <w:r>
              <w:rPr>
                <w:rFonts w:hint="eastAsia" w:ascii="Times New Roman" w:hAnsi="Times New Roman" w:eastAsia="宋体" w:cs="Times New Roman"/>
                <w:color w:val="auto"/>
                <w:sz w:val="22"/>
                <w:lang w:val="en-US" w:eastAsia="zh-CN"/>
              </w:rPr>
              <w:t>21</w:t>
            </w:r>
          </w:p>
        </w:tc>
        <w:tc>
          <w:tcPr>
            <w:tcW w:w="834" w:type="pct"/>
            <w:vAlign w:val="center"/>
          </w:tcPr>
          <w:p w14:paraId="08126626">
            <w:pPr>
              <w:jc w:val="center"/>
              <w:rPr>
                <w:rFonts w:hint="default" w:ascii="Times New Roman" w:hAnsi="Times New Roman" w:eastAsia="宋体" w:cs="Times New Roman"/>
                <w:color w:val="auto"/>
                <w:sz w:val="22"/>
                <w:lang w:val="en-US" w:eastAsia="zh-CN"/>
              </w:rPr>
            </w:pPr>
            <w:r>
              <w:rPr>
                <w:rFonts w:hint="eastAsia" w:ascii="Times New Roman" w:hAnsi="Times New Roman" w:eastAsia="宋体" w:cs="Times New Roman"/>
                <w:color w:val="auto"/>
                <w:sz w:val="22"/>
                <w:lang w:val="en-US" w:eastAsia="zh-CN"/>
              </w:rPr>
              <w:t>非甲烷总烃</w:t>
            </w:r>
          </w:p>
        </w:tc>
        <w:tc>
          <w:tcPr>
            <w:tcW w:w="686" w:type="pct"/>
            <w:shd w:val="clear" w:color="auto" w:fill="auto"/>
            <w:vAlign w:val="center"/>
          </w:tcPr>
          <w:p w14:paraId="44E57920">
            <w:pPr>
              <w:pStyle w:val="52"/>
              <w:bidi w:val="0"/>
              <w:rPr>
                <w:rFonts w:hint="default" w:ascii="Times New Roman" w:hAnsi="Times New Roman" w:eastAsia="宋体" w:cs="Times New Roman"/>
                <w:color w:val="auto"/>
                <w:kern w:val="2"/>
                <w:sz w:val="21"/>
                <w:szCs w:val="28"/>
                <w:highlight w:val="none"/>
                <w:lang w:val="en-US" w:eastAsia="zh-CN" w:bidi="ar-SA"/>
              </w:rPr>
            </w:pPr>
            <w:r>
              <w:rPr>
                <w:rFonts w:hint="default" w:ascii="Times New Roman" w:hAnsi="Times New Roman" w:eastAsia="宋体" w:cs="Times New Roman"/>
                <w:color w:val="auto"/>
                <w:kern w:val="2"/>
                <w:sz w:val="21"/>
                <w:szCs w:val="28"/>
                <w:highlight w:val="none"/>
                <w:lang w:val="en-US" w:eastAsia="zh-CN" w:bidi="ar-SA"/>
              </w:rPr>
              <w:t>0.14</w:t>
            </w:r>
          </w:p>
        </w:tc>
        <w:tc>
          <w:tcPr>
            <w:tcW w:w="694" w:type="pct"/>
            <w:vAlign w:val="center"/>
          </w:tcPr>
          <w:p w14:paraId="326498BE">
            <w:pPr>
              <w:jc w:val="center"/>
              <w:rPr>
                <w:rFonts w:hint="default" w:ascii="Times New Roman" w:hAnsi="Times New Roman" w:eastAsia="宋体" w:cs="Times New Roman"/>
                <w:color w:val="auto"/>
                <w:sz w:val="22"/>
                <w:lang w:val="en-US" w:eastAsia="zh-CN"/>
              </w:rPr>
            </w:pPr>
            <w:r>
              <w:rPr>
                <w:rFonts w:hint="eastAsia" w:ascii="Times New Roman" w:hAnsi="Times New Roman" w:eastAsia="宋体" w:cs="Times New Roman"/>
                <w:color w:val="auto"/>
                <w:sz w:val="22"/>
                <w:lang w:val="en-US" w:eastAsia="zh-CN"/>
              </w:rPr>
              <w:t>2</w:t>
            </w:r>
          </w:p>
        </w:tc>
        <w:tc>
          <w:tcPr>
            <w:tcW w:w="359" w:type="pct"/>
            <w:vAlign w:val="center"/>
          </w:tcPr>
          <w:p w14:paraId="58447BE0">
            <w:pPr>
              <w:jc w:val="center"/>
              <w:rPr>
                <w:rFonts w:ascii="Times New Roman" w:hAnsi="Times New Roman" w:eastAsia="宋体" w:cs="Times New Roman"/>
                <w:color w:val="auto"/>
                <w:sz w:val="22"/>
              </w:rPr>
            </w:pPr>
            <w:r>
              <w:rPr>
                <w:rFonts w:hint="eastAsia" w:ascii="Times New Roman" w:hAnsi="Times New Roman" w:eastAsia="宋体" w:cs="Times New Roman"/>
                <w:color w:val="auto"/>
                <w:sz w:val="22"/>
              </w:rPr>
              <w:t>1</w:t>
            </w:r>
          </w:p>
        </w:tc>
        <w:tc>
          <w:tcPr>
            <w:tcW w:w="507" w:type="pct"/>
            <w:vAlign w:val="center"/>
          </w:tcPr>
          <w:p w14:paraId="56512BD2">
            <w:pPr>
              <w:jc w:val="center"/>
              <w:rPr>
                <w:rFonts w:hint="default" w:ascii="Times New Roman" w:hAnsi="Times New Roman" w:eastAsia="宋体" w:cs="Times New Roman"/>
                <w:color w:val="auto"/>
                <w:sz w:val="22"/>
                <w:lang w:val="en-US" w:eastAsia="zh-CN"/>
              </w:rPr>
            </w:pPr>
            <w:r>
              <w:rPr>
                <w:rFonts w:hint="eastAsia" w:ascii="Times New Roman" w:hAnsi="Times New Roman" w:eastAsia="宋体" w:cs="Times New Roman"/>
                <w:color w:val="auto"/>
                <w:sz w:val="22"/>
                <w:lang w:val="en-US" w:eastAsia="zh-CN"/>
              </w:rPr>
              <w:t>0.07</w:t>
            </w:r>
          </w:p>
        </w:tc>
        <w:tc>
          <w:tcPr>
            <w:tcW w:w="600" w:type="pct"/>
          </w:tcPr>
          <w:p w14:paraId="030B0344">
            <w:pPr>
              <w:jc w:val="center"/>
              <w:rPr>
                <w:rFonts w:ascii="Times New Roman" w:hAnsi="Times New Roman" w:eastAsia="宋体" w:cs="Times New Roman"/>
                <w:color w:val="auto"/>
                <w:sz w:val="22"/>
              </w:rPr>
            </w:pPr>
            <w:r>
              <w:rPr>
                <w:rFonts w:ascii="Times New Roman" w:hAnsi="Times New Roman" w:eastAsia="宋体" w:cs="Times New Roman"/>
                <w:color w:val="auto"/>
                <w:sz w:val="22"/>
              </w:rPr>
              <w:t>&lt;15</w:t>
            </w:r>
          </w:p>
        </w:tc>
      </w:tr>
      <w:tr w14:paraId="53F10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pct"/>
            <w:vMerge w:val="continue"/>
            <w:vAlign w:val="center"/>
          </w:tcPr>
          <w:p w14:paraId="18A05654">
            <w:pPr>
              <w:jc w:val="center"/>
              <w:rPr>
                <w:rFonts w:ascii="Times New Roman" w:hAnsi="Times New Roman" w:eastAsia="宋体" w:cs="Times New Roman"/>
                <w:color w:val="auto"/>
                <w:sz w:val="22"/>
              </w:rPr>
            </w:pPr>
          </w:p>
        </w:tc>
        <w:tc>
          <w:tcPr>
            <w:tcW w:w="667" w:type="pct"/>
            <w:vMerge w:val="continue"/>
            <w:vAlign w:val="center"/>
          </w:tcPr>
          <w:p w14:paraId="5A1CA151">
            <w:pPr>
              <w:jc w:val="center"/>
              <w:rPr>
                <w:rFonts w:ascii="Times New Roman" w:hAnsi="Times New Roman" w:eastAsia="宋体" w:cs="Times New Roman"/>
                <w:color w:val="auto"/>
                <w:sz w:val="22"/>
              </w:rPr>
            </w:pPr>
          </w:p>
        </w:tc>
        <w:tc>
          <w:tcPr>
            <w:tcW w:w="834" w:type="pct"/>
            <w:vAlign w:val="center"/>
          </w:tcPr>
          <w:p w14:paraId="1765813C">
            <w:pPr>
              <w:jc w:val="center"/>
              <w:rPr>
                <w:rFonts w:hint="eastAsia" w:ascii="Times New Roman" w:hAnsi="Times New Roman" w:eastAsia="宋体" w:cs="Times New Roman"/>
                <w:color w:val="auto"/>
                <w:sz w:val="22"/>
                <w:lang w:val="en-US" w:eastAsia="zh-CN"/>
              </w:rPr>
            </w:pPr>
            <w:r>
              <w:rPr>
                <w:rFonts w:hint="eastAsia" w:ascii="Times New Roman" w:hAnsi="Times New Roman" w:eastAsia="宋体" w:cs="Times New Roman"/>
                <w:color w:val="auto"/>
                <w:sz w:val="22"/>
                <w:lang w:val="en-US" w:eastAsia="zh-CN"/>
              </w:rPr>
              <w:t>颗粒物</w:t>
            </w:r>
          </w:p>
        </w:tc>
        <w:tc>
          <w:tcPr>
            <w:tcW w:w="686" w:type="pct"/>
            <w:shd w:val="clear" w:color="auto" w:fill="auto"/>
            <w:vAlign w:val="center"/>
          </w:tcPr>
          <w:p w14:paraId="2C1BA859">
            <w:pPr>
              <w:pStyle w:val="52"/>
              <w:bidi w:val="0"/>
              <w:rPr>
                <w:rFonts w:hint="default" w:ascii="Times New Roman" w:hAnsi="Times New Roman" w:eastAsia="宋体" w:cs="Times New Roman"/>
                <w:color w:val="auto"/>
                <w:kern w:val="2"/>
                <w:sz w:val="21"/>
                <w:szCs w:val="28"/>
                <w:highlight w:val="none"/>
                <w:lang w:val="en-US" w:eastAsia="zh-CN" w:bidi="ar-SA"/>
              </w:rPr>
            </w:pPr>
            <w:r>
              <w:rPr>
                <w:rFonts w:hint="default" w:ascii="Times New Roman" w:hAnsi="Times New Roman" w:eastAsia="宋体" w:cs="Times New Roman"/>
                <w:color w:val="auto"/>
                <w:kern w:val="2"/>
                <w:sz w:val="21"/>
                <w:szCs w:val="28"/>
                <w:highlight w:val="none"/>
                <w:lang w:val="en-US" w:eastAsia="zh-CN" w:bidi="ar-SA"/>
              </w:rPr>
              <w:t>0.5</w:t>
            </w:r>
            <w:r>
              <w:rPr>
                <w:rFonts w:hint="eastAsia" w:cs="Times New Roman"/>
                <w:color w:val="auto"/>
                <w:kern w:val="2"/>
                <w:sz w:val="21"/>
                <w:szCs w:val="28"/>
                <w:highlight w:val="none"/>
                <w:lang w:val="en-US" w:eastAsia="zh-CN" w:bidi="ar-SA"/>
              </w:rPr>
              <w:t>5</w:t>
            </w:r>
          </w:p>
        </w:tc>
        <w:tc>
          <w:tcPr>
            <w:tcW w:w="694" w:type="pct"/>
            <w:vAlign w:val="center"/>
          </w:tcPr>
          <w:p w14:paraId="3C163819">
            <w:pPr>
              <w:jc w:val="center"/>
              <w:rPr>
                <w:rFonts w:hint="default" w:ascii="Times New Roman" w:hAnsi="Times New Roman" w:eastAsia="宋体" w:cs="Times New Roman"/>
                <w:color w:val="auto"/>
                <w:sz w:val="22"/>
                <w:lang w:val="en-US" w:eastAsia="zh-CN"/>
              </w:rPr>
            </w:pPr>
            <w:r>
              <w:rPr>
                <w:rFonts w:hint="eastAsia" w:ascii="Times New Roman" w:hAnsi="Times New Roman" w:eastAsia="宋体" w:cs="Times New Roman"/>
                <w:color w:val="auto"/>
                <w:sz w:val="22"/>
                <w:lang w:val="en-US" w:eastAsia="zh-CN"/>
              </w:rPr>
              <w:t>0.9</w:t>
            </w:r>
          </w:p>
        </w:tc>
        <w:tc>
          <w:tcPr>
            <w:tcW w:w="359" w:type="pct"/>
            <w:vAlign w:val="center"/>
          </w:tcPr>
          <w:p w14:paraId="3B72E1C9">
            <w:pPr>
              <w:jc w:val="center"/>
              <w:rPr>
                <w:rFonts w:ascii="Times New Roman" w:hAnsi="Times New Roman" w:eastAsia="宋体" w:cs="Times New Roman"/>
                <w:color w:val="auto"/>
                <w:sz w:val="22"/>
              </w:rPr>
            </w:pPr>
            <w:r>
              <w:rPr>
                <w:rFonts w:hint="eastAsia" w:ascii="Times New Roman" w:hAnsi="Times New Roman" w:eastAsia="宋体" w:cs="Times New Roman"/>
                <w:color w:val="auto"/>
                <w:sz w:val="22"/>
              </w:rPr>
              <w:t>1</w:t>
            </w:r>
          </w:p>
        </w:tc>
        <w:tc>
          <w:tcPr>
            <w:tcW w:w="507" w:type="pct"/>
            <w:vAlign w:val="center"/>
          </w:tcPr>
          <w:p w14:paraId="414CB988">
            <w:pPr>
              <w:jc w:val="center"/>
              <w:rPr>
                <w:rFonts w:hint="default" w:ascii="Times New Roman" w:hAnsi="Times New Roman" w:eastAsia="宋体" w:cs="Times New Roman"/>
                <w:color w:val="auto"/>
                <w:sz w:val="22"/>
                <w:lang w:val="en-US" w:eastAsia="zh-CN"/>
              </w:rPr>
            </w:pPr>
            <w:r>
              <w:rPr>
                <w:rFonts w:hint="eastAsia" w:ascii="Times New Roman" w:hAnsi="Times New Roman" w:eastAsia="宋体" w:cs="Times New Roman"/>
                <w:color w:val="auto"/>
                <w:sz w:val="22"/>
                <w:lang w:val="en-US" w:eastAsia="zh-CN"/>
              </w:rPr>
              <w:t>0.61</w:t>
            </w:r>
          </w:p>
        </w:tc>
        <w:tc>
          <w:tcPr>
            <w:tcW w:w="600" w:type="pct"/>
          </w:tcPr>
          <w:p w14:paraId="37766442">
            <w:pPr>
              <w:jc w:val="center"/>
              <w:rPr>
                <w:rFonts w:ascii="Times New Roman" w:hAnsi="Times New Roman" w:eastAsia="宋体" w:cs="Times New Roman"/>
                <w:color w:val="auto"/>
                <w:sz w:val="22"/>
              </w:rPr>
            </w:pPr>
            <w:r>
              <w:rPr>
                <w:rFonts w:ascii="Times New Roman" w:hAnsi="Times New Roman" w:eastAsia="宋体" w:cs="Times New Roman"/>
                <w:color w:val="auto"/>
                <w:sz w:val="22"/>
              </w:rPr>
              <w:t>&lt;15</w:t>
            </w:r>
          </w:p>
        </w:tc>
      </w:tr>
      <w:tr w14:paraId="44552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pct"/>
            <w:vMerge w:val="continue"/>
            <w:vAlign w:val="center"/>
          </w:tcPr>
          <w:p w14:paraId="60B002D5">
            <w:pPr>
              <w:jc w:val="center"/>
              <w:rPr>
                <w:rFonts w:ascii="Times New Roman" w:hAnsi="Times New Roman" w:eastAsia="宋体" w:cs="Times New Roman"/>
                <w:color w:val="auto"/>
                <w:sz w:val="22"/>
              </w:rPr>
            </w:pPr>
          </w:p>
        </w:tc>
        <w:tc>
          <w:tcPr>
            <w:tcW w:w="667" w:type="pct"/>
            <w:vMerge w:val="continue"/>
            <w:vAlign w:val="center"/>
          </w:tcPr>
          <w:p w14:paraId="5B698463">
            <w:pPr>
              <w:jc w:val="center"/>
              <w:rPr>
                <w:rFonts w:ascii="Times New Roman" w:hAnsi="Times New Roman" w:eastAsia="宋体" w:cs="Times New Roman"/>
                <w:color w:val="auto"/>
                <w:sz w:val="22"/>
              </w:rPr>
            </w:pPr>
          </w:p>
        </w:tc>
        <w:tc>
          <w:tcPr>
            <w:tcW w:w="834" w:type="pct"/>
            <w:vAlign w:val="center"/>
          </w:tcPr>
          <w:p w14:paraId="7A08B017">
            <w:pPr>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氨气</w:t>
            </w:r>
          </w:p>
        </w:tc>
        <w:tc>
          <w:tcPr>
            <w:tcW w:w="686" w:type="pct"/>
            <w:shd w:val="clear" w:color="auto" w:fill="auto"/>
            <w:vAlign w:val="center"/>
          </w:tcPr>
          <w:p w14:paraId="3A58524D">
            <w:pPr>
              <w:pStyle w:val="52"/>
              <w:bidi w:val="0"/>
              <w:rPr>
                <w:rFonts w:hint="default" w:ascii="Times New Roman" w:hAnsi="Times New Roman" w:eastAsia="宋体" w:cs="Times New Roman"/>
                <w:color w:val="auto"/>
                <w:kern w:val="2"/>
                <w:sz w:val="21"/>
                <w:szCs w:val="28"/>
                <w:highlight w:val="none"/>
                <w:lang w:val="en-US" w:eastAsia="zh-CN" w:bidi="ar-SA"/>
              </w:rPr>
            </w:pPr>
            <w:r>
              <w:rPr>
                <w:rFonts w:hint="default" w:ascii="Times New Roman" w:hAnsi="Times New Roman" w:eastAsia="宋体" w:cs="Times New Roman"/>
                <w:color w:val="auto"/>
                <w:kern w:val="2"/>
                <w:sz w:val="21"/>
                <w:szCs w:val="28"/>
                <w:highlight w:val="none"/>
                <w:lang w:val="en-US" w:eastAsia="zh-CN" w:bidi="ar-SA"/>
              </w:rPr>
              <w:t>0.043</w:t>
            </w:r>
          </w:p>
        </w:tc>
        <w:tc>
          <w:tcPr>
            <w:tcW w:w="694" w:type="pct"/>
            <w:vAlign w:val="center"/>
          </w:tcPr>
          <w:p w14:paraId="695A15D5">
            <w:pPr>
              <w:jc w:val="center"/>
              <w:rPr>
                <w:rFonts w:hint="default" w:ascii="Times New Roman" w:hAnsi="Times New Roman" w:eastAsia="宋体" w:cs="Times New Roman"/>
                <w:color w:val="auto"/>
                <w:sz w:val="22"/>
                <w:lang w:val="en-US" w:eastAsia="zh-CN"/>
              </w:rPr>
            </w:pPr>
            <w:r>
              <w:rPr>
                <w:rFonts w:hint="eastAsia" w:ascii="Times New Roman" w:hAnsi="Times New Roman" w:eastAsia="宋体" w:cs="Times New Roman"/>
                <w:color w:val="auto"/>
                <w:sz w:val="22"/>
                <w:lang w:val="en-US" w:eastAsia="zh-CN"/>
              </w:rPr>
              <w:t>0.2</w:t>
            </w:r>
          </w:p>
        </w:tc>
        <w:tc>
          <w:tcPr>
            <w:tcW w:w="359" w:type="pct"/>
            <w:vAlign w:val="center"/>
          </w:tcPr>
          <w:p w14:paraId="40047F9E">
            <w:pPr>
              <w:jc w:val="center"/>
              <w:rPr>
                <w:rFonts w:ascii="Times New Roman" w:hAnsi="Times New Roman" w:eastAsia="宋体" w:cs="Times New Roman"/>
                <w:color w:val="auto"/>
                <w:sz w:val="22"/>
              </w:rPr>
            </w:pPr>
            <w:r>
              <w:rPr>
                <w:rFonts w:hint="eastAsia" w:ascii="Times New Roman" w:hAnsi="Times New Roman" w:eastAsia="宋体" w:cs="Times New Roman"/>
                <w:color w:val="auto"/>
                <w:sz w:val="22"/>
              </w:rPr>
              <w:t>1</w:t>
            </w:r>
          </w:p>
        </w:tc>
        <w:tc>
          <w:tcPr>
            <w:tcW w:w="507" w:type="pct"/>
            <w:vAlign w:val="center"/>
          </w:tcPr>
          <w:p w14:paraId="07A0B82E">
            <w:pPr>
              <w:jc w:val="center"/>
              <w:rPr>
                <w:rFonts w:hint="default" w:ascii="Times New Roman" w:hAnsi="Times New Roman" w:eastAsia="宋体" w:cs="Times New Roman"/>
                <w:color w:val="auto"/>
                <w:sz w:val="22"/>
                <w:lang w:val="en-US" w:eastAsia="zh-CN"/>
              </w:rPr>
            </w:pPr>
            <w:r>
              <w:rPr>
                <w:rFonts w:hint="eastAsia" w:ascii="Times New Roman" w:hAnsi="Times New Roman" w:eastAsia="宋体" w:cs="Times New Roman"/>
                <w:color w:val="auto"/>
                <w:sz w:val="22"/>
                <w:lang w:val="en-US" w:eastAsia="zh-CN"/>
              </w:rPr>
              <w:t>0.215</w:t>
            </w:r>
          </w:p>
        </w:tc>
        <w:tc>
          <w:tcPr>
            <w:tcW w:w="600" w:type="pct"/>
          </w:tcPr>
          <w:p w14:paraId="3BC65FC7">
            <w:pPr>
              <w:jc w:val="center"/>
              <w:rPr>
                <w:rFonts w:ascii="Times New Roman" w:hAnsi="Times New Roman" w:eastAsia="宋体" w:cs="Times New Roman"/>
                <w:color w:val="auto"/>
                <w:sz w:val="22"/>
              </w:rPr>
            </w:pPr>
            <w:r>
              <w:rPr>
                <w:rFonts w:ascii="Times New Roman" w:hAnsi="Times New Roman" w:eastAsia="宋体" w:cs="Times New Roman"/>
                <w:color w:val="auto"/>
                <w:sz w:val="22"/>
              </w:rPr>
              <w:t>&lt;15</w:t>
            </w:r>
          </w:p>
        </w:tc>
      </w:tr>
      <w:tr w14:paraId="73778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pct"/>
            <w:vMerge w:val="restart"/>
            <w:vAlign w:val="center"/>
          </w:tcPr>
          <w:p w14:paraId="26269806">
            <w:pPr>
              <w:jc w:val="center"/>
              <w:rPr>
                <w:rFonts w:hint="default" w:ascii="Times New Roman" w:hAnsi="Times New Roman" w:eastAsia="宋体" w:cs="Times New Roman"/>
                <w:color w:val="auto"/>
                <w:sz w:val="22"/>
                <w:lang w:val="en-US" w:eastAsia="zh-CN"/>
              </w:rPr>
            </w:pPr>
            <w:r>
              <w:rPr>
                <w:rFonts w:hint="eastAsia" w:ascii="Times New Roman" w:hAnsi="Times New Roman" w:eastAsia="宋体" w:cs="Times New Roman"/>
                <w:color w:val="auto"/>
                <w:sz w:val="22"/>
                <w:lang w:val="en-US" w:eastAsia="zh-CN"/>
              </w:rPr>
              <w:t>DA002</w:t>
            </w:r>
          </w:p>
        </w:tc>
        <w:tc>
          <w:tcPr>
            <w:tcW w:w="667" w:type="pct"/>
            <w:vMerge w:val="restart"/>
            <w:vAlign w:val="center"/>
          </w:tcPr>
          <w:p w14:paraId="6BCC0530">
            <w:pPr>
              <w:jc w:val="center"/>
              <w:rPr>
                <w:rFonts w:hint="default" w:ascii="Times New Roman" w:hAnsi="Times New Roman" w:eastAsia="宋体" w:cs="Times New Roman"/>
                <w:color w:val="auto"/>
                <w:sz w:val="22"/>
                <w:lang w:val="en-US" w:eastAsia="zh-CN"/>
              </w:rPr>
            </w:pPr>
            <w:r>
              <w:rPr>
                <w:rFonts w:hint="eastAsia" w:ascii="Times New Roman" w:hAnsi="Times New Roman" w:eastAsia="宋体" w:cs="Times New Roman"/>
                <w:color w:val="auto"/>
                <w:sz w:val="22"/>
                <w:lang w:val="en-US" w:eastAsia="zh-CN"/>
              </w:rPr>
              <w:t>20</w:t>
            </w:r>
          </w:p>
        </w:tc>
        <w:tc>
          <w:tcPr>
            <w:tcW w:w="834" w:type="pct"/>
            <w:vAlign w:val="center"/>
          </w:tcPr>
          <w:p w14:paraId="7818405F">
            <w:pPr>
              <w:jc w:val="center"/>
              <w:rPr>
                <w:rFonts w:hint="eastAsia" w:ascii="Times New Roman" w:hAnsi="Times New Roman" w:cs="Times New Roman" w:eastAsiaTheme="minorEastAsia"/>
                <w:color w:val="auto"/>
                <w:lang w:val="en-US" w:eastAsia="zh-CN"/>
              </w:rPr>
            </w:pPr>
            <w:r>
              <w:rPr>
                <w:rFonts w:hint="eastAsia" w:ascii="Times New Roman" w:hAnsi="Times New Roman" w:cs="Times New Roman"/>
                <w:color w:val="auto"/>
                <w:lang w:val="en-US" w:eastAsia="zh-CN"/>
              </w:rPr>
              <w:t>氨气</w:t>
            </w:r>
          </w:p>
        </w:tc>
        <w:tc>
          <w:tcPr>
            <w:tcW w:w="686" w:type="pct"/>
            <w:shd w:val="clear" w:color="auto" w:fill="auto"/>
            <w:vAlign w:val="center"/>
          </w:tcPr>
          <w:p w14:paraId="2F3FD86B">
            <w:pPr>
              <w:pStyle w:val="52"/>
              <w:bidi w:val="0"/>
              <w:rPr>
                <w:rFonts w:hint="eastAsia" w:ascii="Times New Roman" w:hAnsi="Times New Roman" w:eastAsia="宋体" w:cs="Times New Roman"/>
                <w:color w:val="auto"/>
                <w:kern w:val="2"/>
                <w:sz w:val="21"/>
                <w:szCs w:val="28"/>
                <w:highlight w:val="none"/>
                <w:lang w:val="en-US" w:eastAsia="zh-CN" w:bidi="ar-SA"/>
              </w:rPr>
            </w:pPr>
            <w:r>
              <w:rPr>
                <w:rFonts w:hint="default" w:ascii="Times New Roman" w:hAnsi="Times New Roman" w:eastAsia="宋体" w:cs="Times New Roman"/>
                <w:color w:val="auto"/>
                <w:highlight w:val="none"/>
                <w:lang w:val="en-US" w:eastAsia="zh-CN"/>
              </w:rPr>
              <w:t>0.0042</w:t>
            </w:r>
          </w:p>
        </w:tc>
        <w:tc>
          <w:tcPr>
            <w:tcW w:w="694" w:type="pct"/>
            <w:vAlign w:val="center"/>
          </w:tcPr>
          <w:p w14:paraId="074FA9DF">
            <w:pPr>
              <w:jc w:val="center"/>
              <w:rPr>
                <w:rFonts w:hint="default" w:ascii="Times New Roman" w:hAnsi="Times New Roman" w:eastAsia="宋体" w:cs="Times New Roman"/>
                <w:color w:val="auto"/>
                <w:sz w:val="22"/>
                <w:lang w:val="en-US" w:eastAsia="zh-CN"/>
              </w:rPr>
            </w:pPr>
            <w:r>
              <w:rPr>
                <w:rFonts w:hint="eastAsia" w:ascii="Times New Roman" w:hAnsi="Times New Roman" w:eastAsia="宋体" w:cs="Times New Roman"/>
                <w:color w:val="auto"/>
                <w:sz w:val="22"/>
                <w:lang w:val="en-US" w:eastAsia="zh-CN"/>
              </w:rPr>
              <w:t>0.2</w:t>
            </w:r>
          </w:p>
        </w:tc>
        <w:tc>
          <w:tcPr>
            <w:tcW w:w="359" w:type="pct"/>
            <w:vAlign w:val="center"/>
          </w:tcPr>
          <w:p w14:paraId="02D91E42">
            <w:pPr>
              <w:jc w:val="center"/>
              <w:rPr>
                <w:rFonts w:hint="default" w:ascii="Times New Roman" w:hAnsi="Times New Roman" w:eastAsia="宋体" w:cs="Times New Roman"/>
                <w:color w:val="auto"/>
                <w:sz w:val="22"/>
                <w:lang w:val="en-US" w:eastAsia="zh-CN"/>
              </w:rPr>
            </w:pPr>
            <w:r>
              <w:rPr>
                <w:rFonts w:hint="eastAsia" w:ascii="Times New Roman" w:hAnsi="Times New Roman" w:eastAsia="宋体" w:cs="Times New Roman"/>
                <w:color w:val="auto"/>
                <w:sz w:val="22"/>
                <w:lang w:val="en-US" w:eastAsia="zh-CN"/>
              </w:rPr>
              <w:t>1</w:t>
            </w:r>
          </w:p>
        </w:tc>
        <w:tc>
          <w:tcPr>
            <w:tcW w:w="507" w:type="pct"/>
            <w:vAlign w:val="center"/>
          </w:tcPr>
          <w:p w14:paraId="782BA68E">
            <w:pPr>
              <w:jc w:val="center"/>
              <w:rPr>
                <w:rFonts w:hint="default" w:ascii="Times New Roman" w:hAnsi="Times New Roman" w:eastAsia="等线" w:cs="Times New Roman"/>
                <w:color w:val="auto"/>
                <w:sz w:val="22"/>
                <w:lang w:val="en-US" w:eastAsia="zh-CN"/>
              </w:rPr>
            </w:pPr>
            <w:r>
              <w:rPr>
                <w:rFonts w:hint="eastAsia" w:ascii="Times New Roman" w:hAnsi="Times New Roman" w:eastAsia="等线" w:cs="Times New Roman"/>
                <w:color w:val="auto"/>
                <w:sz w:val="22"/>
                <w:lang w:val="en-US" w:eastAsia="zh-CN"/>
              </w:rPr>
              <w:t>0.021</w:t>
            </w:r>
          </w:p>
        </w:tc>
        <w:tc>
          <w:tcPr>
            <w:tcW w:w="600" w:type="pct"/>
            <w:shd w:val="clear" w:color="auto" w:fill="auto"/>
            <w:vAlign w:val="top"/>
          </w:tcPr>
          <w:p w14:paraId="515B4017">
            <w:pPr>
              <w:jc w:val="center"/>
              <w:rPr>
                <w:rFonts w:ascii="Times New Roman" w:hAnsi="Times New Roman" w:eastAsia="宋体" w:cs="Times New Roman"/>
                <w:color w:val="auto"/>
                <w:kern w:val="2"/>
                <w:sz w:val="22"/>
                <w:szCs w:val="22"/>
                <w:lang w:val="en-US" w:eastAsia="zh-CN" w:bidi="ar-SA"/>
              </w:rPr>
            </w:pPr>
            <w:r>
              <w:rPr>
                <w:rFonts w:ascii="Times New Roman" w:hAnsi="Times New Roman" w:eastAsia="宋体" w:cs="Times New Roman"/>
                <w:color w:val="auto"/>
                <w:sz w:val="22"/>
              </w:rPr>
              <w:t>&lt;15</w:t>
            </w:r>
          </w:p>
        </w:tc>
      </w:tr>
      <w:tr w14:paraId="35397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pct"/>
            <w:vMerge w:val="continue"/>
            <w:vAlign w:val="center"/>
          </w:tcPr>
          <w:p w14:paraId="617CB817">
            <w:pPr>
              <w:jc w:val="center"/>
              <w:rPr>
                <w:rFonts w:ascii="Times New Roman" w:hAnsi="Times New Roman" w:eastAsia="宋体" w:cs="Times New Roman"/>
                <w:color w:val="auto"/>
                <w:sz w:val="22"/>
              </w:rPr>
            </w:pPr>
          </w:p>
        </w:tc>
        <w:tc>
          <w:tcPr>
            <w:tcW w:w="667" w:type="pct"/>
            <w:vMerge w:val="continue"/>
            <w:vAlign w:val="center"/>
          </w:tcPr>
          <w:p w14:paraId="2190F931">
            <w:pPr>
              <w:jc w:val="center"/>
              <w:rPr>
                <w:rFonts w:ascii="Times New Roman" w:hAnsi="Times New Roman" w:eastAsia="宋体" w:cs="Times New Roman"/>
                <w:color w:val="auto"/>
                <w:sz w:val="22"/>
              </w:rPr>
            </w:pPr>
          </w:p>
        </w:tc>
        <w:tc>
          <w:tcPr>
            <w:tcW w:w="834" w:type="pct"/>
            <w:vAlign w:val="center"/>
          </w:tcPr>
          <w:p w14:paraId="188FB503">
            <w:pPr>
              <w:jc w:val="center"/>
              <w:rPr>
                <w:rFonts w:hint="eastAsia" w:ascii="Times New Roman" w:hAnsi="Times New Roman" w:cs="Times New Roman" w:eastAsiaTheme="minorEastAsia"/>
                <w:color w:val="auto"/>
                <w:lang w:val="en-US" w:eastAsia="zh-CN"/>
              </w:rPr>
            </w:pPr>
            <w:r>
              <w:rPr>
                <w:rFonts w:hint="eastAsia" w:ascii="Times New Roman" w:hAnsi="Times New Roman" w:cs="Times New Roman"/>
                <w:color w:val="auto"/>
                <w:lang w:val="en-US" w:eastAsia="zh-CN"/>
              </w:rPr>
              <w:t>硫化氢</w:t>
            </w:r>
          </w:p>
        </w:tc>
        <w:tc>
          <w:tcPr>
            <w:tcW w:w="686" w:type="pct"/>
            <w:shd w:val="clear" w:color="auto" w:fill="auto"/>
            <w:vAlign w:val="center"/>
          </w:tcPr>
          <w:p w14:paraId="3AE8ACFD">
            <w:pPr>
              <w:pStyle w:val="52"/>
              <w:bidi w:val="0"/>
              <w:rPr>
                <w:rFonts w:hint="eastAsia" w:ascii="Times New Roman" w:hAnsi="Times New Roman" w:eastAsia="宋体" w:cs="Times New Roman"/>
                <w:color w:val="auto"/>
                <w:kern w:val="2"/>
                <w:sz w:val="21"/>
                <w:szCs w:val="28"/>
                <w:highlight w:val="none"/>
                <w:lang w:val="en-US" w:eastAsia="zh-CN" w:bidi="ar-SA"/>
              </w:rPr>
            </w:pPr>
            <w:r>
              <w:rPr>
                <w:rFonts w:hint="default" w:ascii="Times New Roman" w:hAnsi="Times New Roman" w:eastAsia="宋体" w:cs="Times New Roman"/>
                <w:color w:val="auto"/>
                <w:highlight w:val="none"/>
                <w:lang w:val="en-US" w:eastAsia="zh-CN"/>
              </w:rPr>
              <w:t>0.0014</w:t>
            </w:r>
          </w:p>
        </w:tc>
        <w:tc>
          <w:tcPr>
            <w:tcW w:w="694" w:type="pct"/>
            <w:vAlign w:val="center"/>
          </w:tcPr>
          <w:p w14:paraId="361DF722">
            <w:pPr>
              <w:jc w:val="center"/>
              <w:rPr>
                <w:rFonts w:hint="default" w:ascii="Times New Roman" w:hAnsi="Times New Roman" w:eastAsia="宋体" w:cs="Times New Roman"/>
                <w:color w:val="auto"/>
                <w:sz w:val="22"/>
                <w:lang w:val="en-US" w:eastAsia="zh-CN"/>
              </w:rPr>
            </w:pPr>
            <w:r>
              <w:rPr>
                <w:rFonts w:hint="eastAsia" w:ascii="Times New Roman" w:hAnsi="Times New Roman" w:eastAsia="宋体" w:cs="Times New Roman"/>
                <w:color w:val="auto"/>
                <w:sz w:val="22"/>
                <w:lang w:val="en-US" w:eastAsia="zh-CN"/>
              </w:rPr>
              <w:t>0.01</w:t>
            </w:r>
          </w:p>
        </w:tc>
        <w:tc>
          <w:tcPr>
            <w:tcW w:w="359" w:type="pct"/>
            <w:vAlign w:val="center"/>
          </w:tcPr>
          <w:p w14:paraId="556A9D59">
            <w:pPr>
              <w:jc w:val="center"/>
              <w:rPr>
                <w:rFonts w:hint="eastAsia" w:ascii="Times New Roman" w:hAnsi="Times New Roman" w:eastAsia="宋体" w:cs="Times New Roman"/>
                <w:color w:val="auto"/>
                <w:sz w:val="22"/>
                <w:lang w:val="en-US" w:eastAsia="zh-CN"/>
              </w:rPr>
            </w:pPr>
            <w:r>
              <w:rPr>
                <w:rFonts w:hint="eastAsia" w:ascii="Times New Roman" w:hAnsi="Times New Roman" w:eastAsia="宋体" w:cs="Times New Roman"/>
                <w:color w:val="auto"/>
                <w:sz w:val="22"/>
                <w:lang w:val="en-US" w:eastAsia="zh-CN"/>
              </w:rPr>
              <w:t>1</w:t>
            </w:r>
          </w:p>
        </w:tc>
        <w:tc>
          <w:tcPr>
            <w:tcW w:w="507" w:type="pct"/>
            <w:vAlign w:val="center"/>
          </w:tcPr>
          <w:p w14:paraId="346FDD24">
            <w:pPr>
              <w:jc w:val="center"/>
              <w:rPr>
                <w:rFonts w:hint="default" w:ascii="Times New Roman" w:hAnsi="Times New Roman" w:eastAsia="等线" w:cs="Times New Roman"/>
                <w:color w:val="auto"/>
                <w:sz w:val="22"/>
                <w:lang w:val="en-US" w:eastAsia="zh-CN"/>
              </w:rPr>
            </w:pPr>
            <w:r>
              <w:rPr>
                <w:rFonts w:hint="eastAsia" w:ascii="Times New Roman" w:hAnsi="Times New Roman" w:eastAsia="等线" w:cs="Times New Roman"/>
                <w:color w:val="auto"/>
                <w:sz w:val="22"/>
                <w:lang w:val="en-US" w:eastAsia="zh-CN"/>
              </w:rPr>
              <w:t>0.14</w:t>
            </w:r>
          </w:p>
        </w:tc>
        <w:tc>
          <w:tcPr>
            <w:tcW w:w="600" w:type="pct"/>
            <w:shd w:val="clear" w:color="auto" w:fill="auto"/>
            <w:vAlign w:val="top"/>
          </w:tcPr>
          <w:p w14:paraId="743947B9">
            <w:pPr>
              <w:jc w:val="center"/>
              <w:rPr>
                <w:rFonts w:ascii="Times New Roman" w:hAnsi="Times New Roman" w:eastAsia="宋体" w:cs="Times New Roman"/>
                <w:color w:val="auto"/>
                <w:kern w:val="2"/>
                <w:sz w:val="22"/>
                <w:szCs w:val="22"/>
                <w:lang w:val="en-US" w:eastAsia="zh-CN" w:bidi="ar-SA"/>
              </w:rPr>
            </w:pPr>
            <w:r>
              <w:rPr>
                <w:rFonts w:ascii="Times New Roman" w:hAnsi="Times New Roman" w:eastAsia="宋体" w:cs="Times New Roman"/>
                <w:color w:val="auto"/>
                <w:sz w:val="22"/>
              </w:rPr>
              <w:t>&lt;15</w:t>
            </w:r>
          </w:p>
        </w:tc>
      </w:tr>
    </w:tbl>
    <w:p w14:paraId="0CFAB617">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由上表可知，按照环评建议排气筒高度均高于所需烟囱有效高度，因此，本项目各排气筒高度可行。</w:t>
      </w:r>
    </w:p>
    <w:p w14:paraId="092835AC">
      <w:pPr>
        <w:pStyle w:val="4"/>
        <w:spacing w:before="156" w:beforeLines="50" w:after="156" w:afterLines="50" w:line="360" w:lineRule="auto"/>
        <w:rPr>
          <w:rFonts w:ascii="Times New Roman" w:hAnsi="Times New Roman"/>
          <w:bCs w:val="0"/>
          <w:color w:val="auto"/>
          <w:kern w:val="0"/>
          <w:sz w:val="24"/>
          <w:szCs w:val="24"/>
        </w:rPr>
      </w:pPr>
      <w:r>
        <w:rPr>
          <w:rFonts w:ascii="Times New Roman" w:hAnsi="Times New Roman"/>
          <w:bCs w:val="0"/>
          <w:color w:val="auto"/>
          <w:kern w:val="0"/>
          <w:sz w:val="24"/>
          <w:szCs w:val="24"/>
        </w:rPr>
        <w:t>6.2.1.12</w:t>
      </w:r>
      <w:r>
        <w:rPr>
          <w:rFonts w:hint="eastAsia" w:ascii="Times New Roman" w:hAnsi="Times New Roman"/>
          <w:bCs w:val="0"/>
          <w:color w:val="auto"/>
          <w:kern w:val="0"/>
          <w:sz w:val="24"/>
          <w:szCs w:val="24"/>
        </w:rPr>
        <w:t>环境防护距离</w:t>
      </w:r>
    </w:p>
    <w:p w14:paraId="669FCC7E">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1、大气防护距离</w:t>
      </w:r>
    </w:p>
    <w:p w14:paraId="417000CB">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本项目大气评价等级为二级，没有进行进一步预测，不需要设置大气防护距离。</w:t>
      </w:r>
    </w:p>
    <w:p w14:paraId="6E2CC06F">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2、环境防护距离</w:t>
      </w:r>
    </w:p>
    <w:p w14:paraId="49CF5F3E">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建设单位胞嘧啶生产线建设项目的环评批复已对项目厂界设置了100米的环境防护距离，根据大气环境影响预测结果，本项目外排污染物无环境质量超标点，不需要设置大气防护距离，因此，本项目不对新合新厂区设置额外的防护距离，依据</w:t>
      </w:r>
      <w:r>
        <w:rPr>
          <w:rFonts w:hint="eastAsia"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常德市生态环境局关于年产1500吨胞嘧啶中间体生产线项目环境影响报告书的批复</w:t>
      </w:r>
      <w:r>
        <w:rPr>
          <w:rFonts w:hint="eastAsia"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仍将厂界外延100米作为龙腾公司环境防护距离，根据现场调查可知，设置的防护距离内无居民、学校、医院等大气环境敏感目标，符合保护要求。</w:t>
      </w:r>
    </w:p>
    <w:p w14:paraId="06A1BB5A">
      <w:pPr>
        <w:spacing w:line="360" w:lineRule="auto"/>
        <w:rPr>
          <w:rFonts w:ascii="Times New Roman" w:hAnsi="Times New Roman" w:eastAsia="宋体" w:cs="Times New Roman"/>
          <w:color w:val="FF0000"/>
          <w:sz w:val="24"/>
          <w:szCs w:val="24"/>
        </w:rPr>
      </w:pPr>
      <w:r>
        <w:drawing>
          <wp:inline distT="0" distB="0" distL="114300" distR="114300">
            <wp:extent cx="5274310" cy="4013200"/>
            <wp:effectExtent l="0" t="0" r="2540" b="6350"/>
            <wp:docPr id="6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3"/>
                    <pic:cNvPicPr>
                      <a:picLocks noChangeAspect="1"/>
                    </pic:cNvPicPr>
                  </pic:nvPicPr>
                  <pic:blipFill>
                    <a:blip r:embed="rId36"/>
                    <a:stretch>
                      <a:fillRect/>
                    </a:stretch>
                  </pic:blipFill>
                  <pic:spPr>
                    <a:xfrm>
                      <a:off x="0" y="0"/>
                      <a:ext cx="5274310" cy="4013200"/>
                    </a:xfrm>
                    <a:prstGeom prst="rect">
                      <a:avLst/>
                    </a:prstGeom>
                    <a:noFill/>
                    <a:ln>
                      <a:noFill/>
                    </a:ln>
                  </pic:spPr>
                </pic:pic>
              </a:graphicData>
            </a:graphic>
          </wp:inline>
        </w:drawing>
      </w:r>
    </w:p>
    <w:p w14:paraId="059D18E2">
      <w:pPr>
        <w:pStyle w:val="6"/>
        <w:bidi w:val="0"/>
      </w:pPr>
      <w:r>
        <w:rPr>
          <w:rFonts w:hint="eastAsia"/>
        </w:rPr>
        <w:t>图</w:t>
      </w:r>
      <w:r>
        <w:t>6.2</w:t>
      </w:r>
      <w:r>
        <w:rPr>
          <w:rFonts w:hint="eastAsia"/>
          <w:lang w:val="en-US" w:eastAsia="zh-CN"/>
        </w:rPr>
        <w:t>.1</w:t>
      </w:r>
      <w:r>
        <w:rPr>
          <w:rFonts w:hint="eastAsia"/>
        </w:rPr>
        <w:t>-</w:t>
      </w:r>
      <w:r>
        <w:rPr>
          <w:rFonts w:hint="eastAsia"/>
          <w:lang w:val="en-US" w:eastAsia="zh-CN"/>
        </w:rPr>
        <w:t>1</w:t>
      </w:r>
      <w:r>
        <w:rPr>
          <w:rFonts w:hint="eastAsia"/>
        </w:rPr>
        <w:t xml:space="preserve">   厂区环境防护距离示意图</w:t>
      </w:r>
    </w:p>
    <w:p w14:paraId="76D03784">
      <w:pPr>
        <w:pStyle w:val="4"/>
        <w:spacing w:before="156" w:beforeLines="50" w:after="156" w:afterLines="50" w:line="360" w:lineRule="auto"/>
        <w:rPr>
          <w:rFonts w:ascii="Times New Roman" w:hAnsi="Times New Roman"/>
          <w:bCs w:val="0"/>
          <w:color w:val="auto"/>
          <w:kern w:val="0"/>
          <w:sz w:val="24"/>
          <w:szCs w:val="24"/>
        </w:rPr>
      </w:pPr>
      <w:r>
        <w:rPr>
          <w:rFonts w:ascii="Times New Roman" w:hAnsi="Times New Roman"/>
          <w:bCs w:val="0"/>
          <w:color w:val="auto"/>
          <w:kern w:val="0"/>
          <w:sz w:val="24"/>
          <w:szCs w:val="24"/>
        </w:rPr>
        <w:t>6.2.1.1</w:t>
      </w:r>
      <w:r>
        <w:rPr>
          <w:rFonts w:hint="eastAsia" w:ascii="Times New Roman" w:hAnsi="Times New Roman"/>
          <w:bCs w:val="0"/>
          <w:color w:val="auto"/>
          <w:kern w:val="0"/>
          <w:sz w:val="24"/>
          <w:szCs w:val="24"/>
        </w:rPr>
        <w:t>3恶臭气体影响分析</w:t>
      </w:r>
    </w:p>
    <w:p w14:paraId="2CEEC39B">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1、恶臭气体污染源分析</w:t>
      </w:r>
    </w:p>
    <w:p w14:paraId="5ED2E680">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本项目具有异味的物料主要为氨、硫化氢、臭气浓度等，主要危害有以下六个方面：</w:t>
      </w:r>
    </w:p>
    <w:p w14:paraId="5BE1AA7E">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①危害呼吸系统。人们突然闻到异味，就会产生反射性的抑制吸气，使呼吸次数减少，深度变浅，甚至会暂时停止吸气，妨碍正常呼吸功能。</w:t>
      </w:r>
    </w:p>
    <w:p w14:paraId="7B56967C">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②危害循环系统。随着呼吸的变化，会出现脉搏和血压的变化。使血压出现先下降后上升，脉搏先减慢后加快的现象。</w:t>
      </w:r>
    </w:p>
    <w:p w14:paraId="43D816C5">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③危害消化系统。经常接触异味，会使人厌食、恶心，甚至呕吐，进而发展为消化功能减退。</w:t>
      </w:r>
    </w:p>
    <w:p w14:paraId="53EE69FE">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④危害内分泌系统。经常受异味刺激，会使内分泌系统的分泌功能紊乱，影响机体的代谢活动。</w:t>
      </w:r>
    </w:p>
    <w:p w14:paraId="7C651AB9">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⑤危害神经系统。长期受到一种或几种低浓度异味物质的刺激，会引起嗅觉脱失、嗅觉疲劳等障碍。“久闻而不知其臭”，使嗅觉丧失了第一道防御功能，但脑神经仍不断受到刺激和损伤，最后导致大脑皮层兴奋和抑制的调节功能失调。</w:t>
      </w:r>
    </w:p>
    <w:p w14:paraId="4DBF2929">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⑥对精神的影响。异味使人精神烦躁不安，思想不集中，工作效率减低，判断力和记忆力下降，影响大脑的思考活动。</w:t>
      </w:r>
    </w:p>
    <w:p w14:paraId="399AF0C6">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2、恶臭气体影响分析</w:t>
      </w:r>
    </w:p>
    <w:p w14:paraId="08139E78">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本项目臭气源主要为生产车间、危险废物暂存间收集固废以及污水处理站产生的恶臭。</w:t>
      </w:r>
    </w:p>
    <w:p w14:paraId="73B32075">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val="en-US" w:eastAsia="zh-CN"/>
        </w:rPr>
        <w:t>发酵1车间废气经专用管道收集后，经厂房外碱喷淋系统预处理后进入</w:t>
      </w:r>
      <w:r>
        <w:rPr>
          <w:rFonts w:hint="eastAsia" w:ascii="Times New Roman" w:hAnsi="Times New Roman" w:eastAsia="宋体" w:cs="Times New Roman"/>
          <w:color w:val="auto"/>
          <w:sz w:val="24"/>
          <w:szCs w:val="24"/>
          <w:highlight w:val="none"/>
          <w:u w:val="none"/>
          <w:lang w:val="en-US" w:eastAsia="zh-CN"/>
        </w:rPr>
        <w:t>集中式生物除臭处理设施进一步处理，尾气经21m高DA001排气筒排放，</w:t>
      </w:r>
      <w:r>
        <w:rPr>
          <w:rFonts w:hint="eastAsia" w:ascii="Times New Roman" w:hAnsi="Times New Roman" w:eastAsia="宋体" w:cs="Times New Roman"/>
          <w:color w:val="auto"/>
          <w:sz w:val="24"/>
          <w:szCs w:val="24"/>
        </w:rPr>
        <w:t>厂区污水处理站、污泥干化间、危险废物暂存间废气经专用管道收集后，经</w:t>
      </w:r>
      <w:r>
        <w:rPr>
          <w:rFonts w:hint="eastAsia" w:ascii="Times New Roman" w:hAnsi="Times New Roman" w:eastAsia="宋体" w:cs="Times New Roman"/>
          <w:color w:val="auto"/>
          <w:sz w:val="24"/>
          <w:szCs w:val="24"/>
          <w:u w:val="none"/>
          <w:lang w:val="en-US" w:eastAsia="zh-CN"/>
        </w:rPr>
        <w:t>碱喷淋塔+水喷淋塔+生物除臭处理设施</w:t>
      </w:r>
      <w:r>
        <w:rPr>
          <w:rFonts w:hint="eastAsia" w:ascii="Times New Roman" w:hAnsi="Times New Roman" w:eastAsia="宋体" w:cs="Times New Roman"/>
          <w:color w:val="auto"/>
          <w:sz w:val="24"/>
          <w:szCs w:val="24"/>
        </w:rPr>
        <w:t>处理，尾气经2</w:t>
      </w:r>
      <w:r>
        <w:rPr>
          <w:rFonts w:hint="eastAsia" w:ascii="Times New Roman" w:hAnsi="Times New Roman" w:eastAsia="宋体" w:cs="Times New Roman"/>
          <w:color w:val="auto"/>
          <w:sz w:val="24"/>
          <w:szCs w:val="24"/>
          <w:lang w:val="en-US" w:eastAsia="zh-CN"/>
        </w:rPr>
        <w:t>0</w:t>
      </w:r>
      <w:r>
        <w:rPr>
          <w:rFonts w:hint="eastAsia" w:ascii="Times New Roman" w:hAnsi="Times New Roman" w:eastAsia="宋体" w:cs="Times New Roman"/>
          <w:color w:val="auto"/>
          <w:sz w:val="24"/>
          <w:szCs w:val="24"/>
        </w:rPr>
        <w:t>m高DA00</w:t>
      </w:r>
      <w:r>
        <w:rPr>
          <w:rFonts w:hint="eastAsia" w:ascii="Times New Roman" w:hAnsi="Times New Roman" w:eastAsia="宋体" w:cs="Times New Roman"/>
          <w:color w:val="auto"/>
          <w:sz w:val="24"/>
          <w:szCs w:val="24"/>
          <w:lang w:val="en-US" w:eastAsia="zh-CN"/>
        </w:rPr>
        <w:t>2</w:t>
      </w:r>
      <w:r>
        <w:rPr>
          <w:rFonts w:hint="eastAsia" w:ascii="Times New Roman" w:hAnsi="Times New Roman" w:eastAsia="宋体" w:cs="Times New Roman"/>
          <w:color w:val="auto"/>
          <w:sz w:val="24"/>
          <w:szCs w:val="24"/>
        </w:rPr>
        <w:t>排放。由现有工程现状监测可知，厂界无组织排放的</w:t>
      </w:r>
      <w:r>
        <w:rPr>
          <w:rFonts w:hint="eastAsia" w:ascii="Times New Roman" w:hAnsi="Times New Roman" w:eastAsia="宋体" w:cs="Times New Roman"/>
          <w:color w:val="auto"/>
          <w:sz w:val="24"/>
          <w:szCs w:val="24"/>
          <w:lang w:val="en-US" w:eastAsia="zh-CN"/>
        </w:rPr>
        <w:t>非甲烷总烃</w:t>
      </w:r>
      <w:r>
        <w:rPr>
          <w:rFonts w:hint="eastAsia" w:ascii="Times New Roman" w:hAnsi="Times New Roman" w:eastAsia="宋体" w:cs="Times New Roman"/>
          <w:color w:val="auto"/>
          <w:sz w:val="24"/>
          <w:szCs w:val="24"/>
        </w:rPr>
        <w:t>、氨、硫化氢等恶臭污染物均满足《恶臭污染物排放标准》（GB14554-93）、《大气污染物综合排放标准》（GB16297-1996）。</w:t>
      </w:r>
    </w:p>
    <w:p w14:paraId="39F1118E">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为进一步减少厂区恶臭污染物对周边环境的影响，本评价建议建设单位对密封设备参照《挥发性有机物无组织排放控制标准》（GB37822-2019）进行泄漏监测与控制，一旦发现泄漏，应及时维修，并做好记录修复时间，并保存相关记录。</w:t>
      </w:r>
    </w:p>
    <w:p w14:paraId="703B4189">
      <w:pPr>
        <w:spacing w:line="360" w:lineRule="auto"/>
        <w:ind w:firstLine="480" w:firstLineChars="200"/>
        <w:rPr>
          <w:color w:val="auto"/>
        </w:rPr>
      </w:pPr>
      <w:r>
        <w:rPr>
          <w:rFonts w:hint="eastAsia" w:ascii="Times New Roman" w:hAnsi="Times New Roman" w:eastAsia="宋体" w:cs="Times New Roman"/>
          <w:color w:val="auto"/>
          <w:sz w:val="24"/>
          <w:szCs w:val="24"/>
        </w:rPr>
        <w:t>采取上述措施后，项目建设产生的异味对周围大气环境影响较小。</w:t>
      </w:r>
    </w:p>
    <w:p w14:paraId="2C4E1384">
      <w:pPr>
        <w:pStyle w:val="4"/>
        <w:spacing w:before="156" w:beforeLines="50" w:after="156" w:afterLines="50" w:line="360" w:lineRule="auto"/>
        <w:rPr>
          <w:rFonts w:ascii="Times New Roman" w:hAnsi="Times New Roman"/>
          <w:bCs w:val="0"/>
          <w:color w:val="auto"/>
          <w:kern w:val="0"/>
          <w:sz w:val="24"/>
          <w:szCs w:val="24"/>
        </w:rPr>
      </w:pPr>
      <w:r>
        <w:rPr>
          <w:rFonts w:ascii="Times New Roman" w:hAnsi="Times New Roman"/>
          <w:bCs w:val="0"/>
          <w:color w:val="auto"/>
          <w:kern w:val="0"/>
          <w:sz w:val="24"/>
          <w:szCs w:val="24"/>
        </w:rPr>
        <w:t>6.2.2地表水环境影响分析</w:t>
      </w:r>
    </w:p>
    <w:p w14:paraId="4A4F7469">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根据《环境影响评价技术导则  地表水环境》（HJ2.3-2018），本项目地表水评价等级为三级B，主要评价依托污水处理设施的环境可行性。</w:t>
      </w:r>
    </w:p>
    <w:p w14:paraId="6531C898">
      <w:pPr>
        <w:spacing w:line="360" w:lineRule="auto"/>
        <w:ind w:firstLine="482" w:firstLineChars="200"/>
        <w:rPr>
          <w:rFonts w:ascii="Times New Roman" w:hAnsi="Times New Roman" w:eastAsia="宋体" w:cs="Times New Roman"/>
          <w:b/>
          <w:color w:val="auto"/>
          <w:sz w:val="24"/>
          <w:szCs w:val="24"/>
        </w:rPr>
      </w:pPr>
      <w:r>
        <w:rPr>
          <w:rFonts w:ascii="Times New Roman" w:hAnsi="Times New Roman" w:eastAsia="宋体" w:cs="Times New Roman"/>
          <w:b/>
          <w:color w:val="auto"/>
          <w:sz w:val="24"/>
          <w:szCs w:val="24"/>
        </w:rPr>
        <w:t>接管可行性分析：</w:t>
      </w:r>
    </w:p>
    <w:p w14:paraId="41E95100">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本项目位于常德市津市孟姜女大道与鸿祥路交汇处东南角，根据现场踏勘，</w:t>
      </w:r>
      <w:r>
        <w:rPr>
          <w:rFonts w:hint="eastAsia" w:ascii="Times New Roman" w:hAnsi="Times New Roman" w:eastAsia="宋体" w:cs="Times New Roman"/>
          <w:color w:val="auto"/>
          <w:sz w:val="24"/>
          <w:szCs w:val="24"/>
          <w:lang w:val="en-US" w:eastAsia="zh-CN"/>
        </w:rPr>
        <w:t>建设单位实行“一企一管”，污水经企业专管接入</w:t>
      </w:r>
      <w:r>
        <w:rPr>
          <w:rFonts w:hint="eastAsia" w:ascii="Times New Roman" w:hAnsi="Times New Roman" w:eastAsia="宋体" w:cs="Times New Roman"/>
          <w:color w:val="auto"/>
          <w:sz w:val="24"/>
          <w:szCs w:val="24"/>
        </w:rPr>
        <w:t xml:space="preserve">津市高新区工业污水处理厂。 </w:t>
      </w:r>
    </w:p>
    <w:p w14:paraId="2ED5486A">
      <w:pPr>
        <w:spacing w:line="360" w:lineRule="auto"/>
        <w:ind w:firstLine="482" w:firstLineChars="200"/>
        <w:rPr>
          <w:rFonts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处理能力可行性分析：</w:t>
      </w:r>
    </w:p>
    <w:p w14:paraId="4747D510">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津市高新区工业污水处理厂现阶段设计处理规模为</w:t>
      </w:r>
      <w:r>
        <w:rPr>
          <w:rFonts w:ascii="Times New Roman" w:hAnsi="Times New Roman" w:eastAsia="宋体" w:cs="Times New Roman"/>
          <w:color w:val="auto"/>
          <w:sz w:val="24"/>
          <w:szCs w:val="24"/>
        </w:rPr>
        <w:t>2.0万m³/d，</w:t>
      </w:r>
      <w:r>
        <w:rPr>
          <w:rFonts w:hint="eastAsia" w:ascii="Times New Roman" w:hAnsi="Times New Roman" w:eastAsia="宋体" w:cs="Times New Roman"/>
          <w:color w:val="auto"/>
          <w:sz w:val="24"/>
          <w:szCs w:val="24"/>
        </w:rPr>
        <w:t>2022年1~10月现状进水量高值约为1.39万m³/d，日平均为1.0万m³/d</w:t>
      </w:r>
      <w:r>
        <w:rPr>
          <w:rFonts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rPr>
        <w:t>本项目</w:t>
      </w:r>
      <w:r>
        <w:rPr>
          <w:rFonts w:hint="eastAsia" w:ascii="Times New Roman" w:hAnsi="Times New Roman" w:eastAsia="宋体" w:cs="Times New Roman"/>
          <w:color w:val="auto"/>
          <w:sz w:val="24"/>
          <w:szCs w:val="24"/>
          <w:lang w:val="en-US" w:eastAsia="zh-CN"/>
        </w:rPr>
        <w:t>新增</w:t>
      </w:r>
      <w:r>
        <w:rPr>
          <w:rFonts w:hint="eastAsia" w:ascii="Times New Roman" w:hAnsi="Times New Roman" w:eastAsia="宋体" w:cs="Times New Roman"/>
          <w:color w:val="auto"/>
          <w:sz w:val="24"/>
          <w:szCs w:val="24"/>
        </w:rPr>
        <w:t>废水排放量为</w:t>
      </w:r>
      <w:r>
        <w:rPr>
          <w:rFonts w:hint="eastAsia" w:ascii="Times New Roman" w:hAnsi="Times New Roman" w:eastAsia="宋体" w:cs="Times New Roman"/>
          <w:color w:val="auto"/>
          <w:sz w:val="24"/>
          <w:szCs w:val="24"/>
          <w:lang w:val="en-US" w:eastAsia="zh-CN"/>
        </w:rPr>
        <w:t>364.45</w:t>
      </w:r>
      <w:r>
        <w:rPr>
          <w:rFonts w:hint="eastAsia" w:ascii="Times New Roman" w:hAnsi="Times New Roman" w:eastAsia="宋体" w:cs="Times New Roman"/>
          <w:color w:val="auto"/>
          <w:sz w:val="24"/>
          <w:szCs w:val="24"/>
          <w:lang w:eastAsia="zh-CN"/>
        </w:rPr>
        <w:t>m</w:t>
      </w:r>
      <w:r>
        <w:rPr>
          <w:rFonts w:hint="eastAsia" w:ascii="Times New Roman" w:hAnsi="Times New Roman" w:eastAsia="宋体" w:cs="Times New Roman"/>
          <w:color w:val="auto"/>
          <w:sz w:val="24"/>
          <w:szCs w:val="24"/>
          <w:vertAlign w:val="superscript"/>
          <w:lang w:eastAsia="zh-CN"/>
        </w:rPr>
        <w:t>3</w:t>
      </w:r>
      <w:r>
        <w:rPr>
          <w:rFonts w:ascii="Times New Roman" w:hAnsi="Times New Roman" w:eastAsia="宋体" w:cs="Times New Roman"/>
          <w:color w:val="auto"/>
          <w:sz w:val="24"/>
          <w:szCs w:val="24"/>
        </w:rPr>
        <w:t>/d</w:t>
      </w:r>
      <w:r>
        <w:rPr>
          <w:rFonts w:hint="eastAsia" w:ascii="Times New Roman" w:hAnsi="Times New Roman" w:eastAsia="宋体" w:cs="Times New Roman"/>
          <w:color w:val="auto"/>
          <w:sz w:val="24"/>
          <w:szCs w:val="24"/>
        </w:rPr>
        <w:t>，污水处理厂尚有足够余量接纳本项目厂区废水。</w:t>
      </w:r>
    </w:p>
    <w:p w14:paraId="29C59663">
      <w:pPr>
        <w:spacing w:line="360" w:lineRule="auto"/>
        <w:ind w:firstLine="482" w:firstLineChars="200"/>
        <w:rPr>
          <w:rFonts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达标排放可行性分析：</w:t>
      </w:r>
    </w:p>
    <w:p w14:paraId="1C272A0F">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津市高新区工业污水处理厂处理工艺如下所示：</w:t>
      </w:r>
    </w:p>
    <w:p w14:paraId="25854FFA">
      <w:pPr>
        <w:spacing w:line="360" w:lineRule="auto"/>
        <w:rPr>
          <w:rFonts w:ascii="Times New Roman" w:hAnsi="Times New Roman" w:eastAsia="宋体" w:cs="Times New Roman"/>
          <w:color w:val="FF0000"/>
          <w:sz w:val="24"/>
          <w:szCs w:val="24"/>
        </w:rPr>
      </w:pPr>
      <w:r>
        <w:rPr>
          <w:color w:val="FF0000"/>
        </w:rPr>
        <w:drawing>
          <wp:inline distT="0" distB="0" distL="0" distR="0">
            <wp:extent cx="5194300" cy="3750945"/>
            <wp:effectExtent l="9525" t="9525" r="15875" b="11430"/>
            <wp:docPr id="229" name="图片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22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5194300" cy="3750945"/>
                    </a:xfrm>
                    <a:prstGeom prst="rect">
                      <a:avLst/>
                    </a:prstGeom>
                    <a:noFill/>
                    <a:ln>
                      <a:solidFill>
                        <a:schemeClr val="tx1"/>
                      </a:solidFill>
                    </a:ln>
                  </pic:spPr>
                </pic:pic>
              </a:graphicData>
            </a:graphic>
          </wp:inline>
        </w:drawing>
      </w:r>
    </w:p>
    <w:p w14:paraId="0659EB16">
      <w:pPr>
        <w:pStyle w:val="6"/>
        <w:bidi w:val="0"/>
      </w:pPr>
      <w:r>
        <w:rPr>
          <w:rFonts w:hint="eastAsia"/>
        </w:rPr>
        <w:t>图6.2</w:t>
      </w:r>
      <w:r>
        <w:rPr>
          <w:rFonts w:hint="eastAsia"/>
          <w:lang w:val="en-US" w:eastAsia="zh-CN"/>
        </w:rPr>
        <w:t>.2</w:t>
      </w:r>
      <w:r>
        <w:rPr>
          <w:rFonts w:hint="eastAsia"/>
        </w:rPr>
        <w:t>-</w:t>
      </w:r>
      <w:r>
        <w:rPr>
          <w:rFonts w:hint="eastAsia"/>
          <w:lang w:val="en-US" w:eastAsia="zh-CN"/>
        </w:rPr>
        <w:t>1</w:t>
      </w:r>
      <w:r>
        <w:rPr>
          <w:rFonts w:hint="eastAsia"/>
        </w:rPr>
        <w:t xml:space="preserve">    津市高新区工业污水处理厂处理工艺流程图</w:t>
      </w:r>
    </w:p>
    <w:p w14:paraId="429C667C">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本项目生产废水经自建污水处理站预处理后，其废水排放浓度与污水处理厂进水水质要求对照情况如下表所示：</w:t>
      </w:r>
    </w:p>
    <w:p w14:paraId="0514856F">
      <w:pPr>
        <w:pStyle w:val="6"/>
        <w:bidi w:val="0"/>
      </w:pPr>
      <w:r>
        <w:rPr>
          <w:rFonts w:hint="eastAsia"/>
        </w:rPr>
        <w:t>表6.2</w:t>
      </w:r>
      <w:r>
        <w:rPr>
          <w:rFonts w:hint="eastAsia"/>
          <w:lang w:val="en-US" w:eastAsia="zh-CN"/>
        </w:rPr>
        <w:t>.2-1</w:t>
      </w:r>
      <w:r>
        <w:t xml:space="preserve">    </w:t>
      </w:r>
      <w:r>
        <w:rPr>
          <w:rFonts w:hint="eastAsia"/>
        </w:rPr>
        <w:t>厂区废水总排口污染物排放浓度一览表</w:t>
      </w:r>
    </w:p>
    <w:tbl>
      <w:tblPr>
        <w:tblStyle w:val="42"/>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5"/>
        <w:gridCol w:w="878"/>
        <w:gridCol w:w="1054"/>
        <w:gridCol w:w="1096"/>
        <w:gridCol w:w="1008"/>
        <w:gridCol w:w="1127"/>
        <w:gridCol w:w="1055"/>
        <w:gridCol w:w="1064"/>
      </w:tblGrid>
      <w:tr w14:paraId="2117D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5" w:type="pct"/>
            <w:vAlign w:val="center"/>
          </w:tcPr>
          <w:p w14:paraId="7F4F9364">
            <w:pPr>
              <w:jc w:val="center"/>
              <w:rPr>
                <w:rFonts w:ascii="Times New Roman" w:hAnsi="Times New Roman" w:eastAsia="宋体" w:cs="Times New Roman"/>
                <w:color w:val="auto"/>
                <w:sz w:val="22"/>
              </w:rPr>
            </w:pPr>
          </w:p>
        </w:tc>
        <w:tc>
          <w:tcPr>
            <w:tcW w:w="515" w:type="pct"/>
            <w:vAlign w:val="center"/>
          </w:tcPr>
          <w:p w14:paraId="2AD659A4">
            <w:pPr>
              <w:jc w:val="center"/>
              <w:rPr>
                <w:rFonts w:ascii="Times New Roman" w:hAnsi="Times New Roman" w:eastAsia="宋体" w:cs="Times New Roman"/>
                <w:color w:val="auto"/>
                <w:sz w:val="22"/>
              </w:rPr>
            </w:pPr>
            <w:r>
              <w:rPr>
                <w:rFonts w:ascii="Times New Roman" w:hAnsi="Times New Roman" w:eastAsia="宋体" w:cs="Times New Roman"/>
                <w:color w:val="auto"/>
                <w:sz w:val="22"/>
              </w:rPr>
              <w:t>pH</w:t>
            </w:r>
          </w:p>
        </w:tc>
        <w:tc>
          <w:tcPr>
            <w:tcW w:w="618" w:type="pct"/>
            <w:vAlign w:val="center"/>
          </w:tcPr>
          <w:p w14:paraId="7C39BB38">
            <w:pPr>
              <w:jc w:val="center"/>
              <w:rPr>
                <w:rFonts w:ascii="Times New Roman" w:hAnsi="Times New Roman" w:eastAsia="宋体" w:cs="Times New Roman"/>
                <w:color w:val="auto"/>
                <w:sz w:val="22"/>
              </w:rPr>
            </w:pPr>
            <w:r>
              <w:rPr>
                <w:rFonts w:hint="eastAsia" w:ascii="Times New Roman" w:hAnsi="Times New Roman" w:eastAsia="宋体" w:cs="Times New Roman"/>
                <w:color w:val="auto"/>
                <w:sz w:val="22"/>
              </w:rPr>
              <w:t>S</w:t>
            </w:r>
            <w:r>
              <w:rPr>
                <w:rFonts w:ascii="Times New Roman" w:hAnsi="Times New Roman" w:eastAsia="宋体" w:cs="Times New Roman"/>
                <w:color w:val="auto"/>
                <w:sz w:val="22"/>
              </w:rPr>
              <w:t>S</w:t>
            </w:r>
          </w:p>
        </w:tc>
        <w:tc>
          <w:tcPr>
            <w:tcW w:w="643" w:type="pct"/>
            <w:vAlign w:val="center"/>
          </w:tcPr>
          <w:p w14:paraId="4DD060F5">
            <w:pPr>
              <w:jc w:val="center"/>
              <w:rPr>
                <w:rFonts w:ascii="Times New Roman" w:hAnsi="Times New Roman" w:eastAsia="宋体" w:cs="Times New Roman"/>
                <w:color w:val="auto"/>
                <w:sz w:val="22"/>
              </w:rPr>
            </w:pPr>
            <w:r>
              <w:rPr>
                <w:rFonts w:hint="eastAsia" w:ascii="Times New Roman" w:hAnsi="Times New Roman" w:eastAsia="宋体" w:cs="Times New Roman"/>
                <w:color w:val="auto"/>
                <w:sz w:val="22"/>
              </w:rPr>
              <w:t>C</w:t>
            </w:r>
            <w:r>
              <w:rPr>
                <w:rFonts w:ascii="Times New Roman" w:hAnsi="Times New Roman" w:eastAsia="宋体" w:cs="Times New Roman"/>
                <w:color w:val="auto"/>
                <w:sz w:val="22"/>
              </w:rPr>
              <w:t>OD</w:t>
            </w:r>
          </w:p>
        </w:tc>
        <w:tc>
          <w:tcPr>
            <w:tcW w:w="591" w:type="pct"/>
            <w:vAlign w:val="center"/>
          </w:tcPr>
          <w:p w14:paraId="4E247C88">
            <w:pPr>
              <w:jc w:val="center"/>
              <w:rPr>
                <w:rFonts w:ascii="Times New Roman" w:hAnsi="Times New Roman" w:eastAsia="宋体" w:cs="Times New Roman"/>
                <w:color w:val="auto"/>
                <w:sz w:val="22"/>
              </w:rPr>
            </w:pPr>
            <w:r>
              <w:rPr>
                <w:rFonts w:hint="eastAsia" w:ascii="Times New Roman" w:hAnsi="Times New Roman" w:eastAsia="宋体" w:cs="Times New Roman"/>
                <w:color w:val="auto"/>
                <w:sz w:val="22"/>
              </w:rPr>
              <w:t>BOD</w:t>
            </w:r>
            <w:r>
              <w:rPr>
                <w:rFonts w:hint="eastAsia" w:ascii="Times New Roman" w:hAnsi="Times New Roman" w:eastAsia="宋体" w:cs="Times New Roman"/>
                <w:color w:val="auto"/>
                <w:sz w:val="22"/>
                <w:vertAlign w:val="subscript"/>
              </w:rPr>
              <w:t>5</w:t>
            </w:r>
          </w:p>
        </w:tc>
        <w:tc>
          <w:tcPr>
            <w:tcW w:w="661" w:type="pct"/>
            <w:vAlign w:val="center"/>
          </w:tcPr>
          <w:p w14:paraId="68CA4BF7">
            <w:pPr>
              <w:jc w:val="center"/>
              <w:rPr>
                <w:rFonts w:ascii="Times New Roman" w:hAnsi="Times New Roman" w:eastAsia="宋体" w:cs="Times New Roman"/>
                <w:color w:val="auto"/>
                <w:sz w:val="22"/>
              </w:rPr>
            </w:pPr>
            <w:r>
              <w:rPr>
                <w:rFonts w:hint="eastAsia" w:ascii="Times New Roman" w:hAnsi="Times New Roman" w:eastAsia="宋体" w:cs="Times New Roman"/>
                <w:color w:val="auto"/>
                <w:sz w:val="22"/>
              </w:rPr>
              <w:t>N</w:t>
            </w:r>
            <w:r>
              <w:rPr>
                <w:rFonts w:ascii="Times New Roman" w:hAnsi="Times New Roman" w:eastAsia="宋体" w:cs="Times New Roman"/>
                <w:color w:val="auto"/>
                <w:sz w:val="22"/>
              </w:rPr>
              <w:t>H</w:t>
            </w:r>
            <w:r>
              <w:rPr>
                <w:rFonts w:ascii="Times New Roman" w:hAnsi="Times New Roman" w:eastAsia="宋体" w:cs="Times New Roman"/>
                <w:color w:val="auto"/>
                <w:sz w:val="22"/>
                <w:vertAlign w:val="subscript"/>
              </w:rPr>
              <w:t>3</w:t>
            </w:r>
            <w:r>
              <w:rPr>
                <w:rFonts w:ascii="Times New Roman" w:hAnsi="Times New Roman" w:eastAsia="宋体" w:cs="Times New Roman"/>
                <w:color w:val="auto"/>
                <w:sz w:val="22"/>
              </w:rPr>
              <w:t>-N</w:t>
            </w:r>
          </w:p>
        </w:tc>
        <w:tc>
          <w:tcPr>
            <w:tcW w:w="619" w:type="pct"/>
            <w:vAlign w:val="center"/>
          </w:tcPr>
          <w:p w14:paraId="33D12569">
            <w:pPr>
              <w:jc w:val="center"/>
              <w:rPr>
                <w:rFonts w:ascii="Times New Roman" w:hAnsi="Times New Roman" w:eastAsia="宋体" w:cs="Times New Roman"/>
                <w:color w:val="auto"/>
                <w:sz w:val="22"/>
              </w:rPr>
            </w:pPr>
            <w:r>
              <w:rPr>
                <w:rFonts w:hint="eastAsia" w:ascii="Times New Roman" w:hAnsi="Times New Roman" w:eastAsia="宋体" w:cs="Times New Roman"/>
                <w:color w:val="auto"/>
                <w:sz w:val="22"/>
              </w:rPr>
              <w:t>T</w:t>
            </w:r>
            <w:r>
              <w:rPr>
                <w:rFonts w:ascii="Times New Roman" w:hAnsi="Times New Roman" w:eastAsia="宋体" w:cs="Times New Roman"/>
                <w:color w:val="auto"/>
                <w:sz w:val="22"/>
              </w:rPr>
              <w:t>P</w:t>
            </w:r>
          </w:p>
        </w:tc>
        <w:tc>
          <w:tcPr>
            <w:tcW w:w="624" w:type="pct"/>
            <w:vAlign w:val="center"/>
          </w:tcPr>
          <w:p w14:paraId="79950F72">
            <w:pPr>
              <w:jc w:val="center"/>
              <w:rPr>
                <w:rFonts w:ascii="Times New Roman" w:hAnsi="Times New Roman" w:eastAsia="宋体" w:cs="Times New Roman"/>
                <w:color w:val="auto"/>
                <w:sz w:val="22"/>
              </w:rPr>
            </w:pPr>
            <w:r>
              <w:rPr>
                <w:rFonts w:hint="eastAsia" w:ascii="Times New Roman" w:hAnsi="Times New Roman" w:eastAsia="宋体" w:cs="Times New Roman"/>
                <w:color w:val="auto"/>
                <w:sz w:val="22"/>
              </w:rPr>
              <w:t>T</w:t>
            </w:r>
            <w:r>
              <w:rPr>
                <w:rFonts w:ascii="Times New Roman" w:hAnsi="Times New Roman" w:eastAsia="宋体" w:cs="Times New Roman"/>
                <w:color w:val="auto"/>
                <w:sz w:val="22"/>
              </w:rPr>
              <w:t>N</w:t>
            </w:r>
          </w:p>
        </w:tc>
      </w:tr>
      <w:tr w14:paraId="7C2A4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5" w:type="pct"/>
            <w:vAlign w:val="center"/>
          </w:tcPr>
          <w:p w14:paraId="29F1854F">
            <w:pPr>
              <w:jc w:val="center"/>
              <w:rPr>
                <w:rFonts w:ascii="Times New Roman" w:hAnsi="Times New Roman" w:eastAsia="宋体" w:cs="Times New Roman"/>
                <w:color w:val="auto"/>
                <w:sz w:val="22"/>
              </w:rPr>
            </w:pPr>
            <w:r>
              <w:rPr>
                <w:rFonts w:hint="eastAsia" w:ascii="Times New Roman" w:hAnsi="Times New Roman" w:eastAsia="宋体" w:cs="Times New Roman"/>
                <w:color w:val="auto"/>
                <w:sz w:val="22"/>
              </w:rPr>
              <w:t>总排口</w:t>
            </w:r>
          </w:p>
        </w:tc>
        <w:tc>
          <w:tcPr>
            <w:tcW w:w="515" w:type="pct"/>
            <w:vAlign w:val="center"/>
          </w:tcPr>
          <w:p w14:paraId="3193E105">
            <w:pPr>
              <w:jc w:val="center"/>
              <w:rPr>
                <w:rFonts w:ascii="Times New Roman" w:hAnsi="Times New Roman" w:eastAsia="宋体" w:cs="Times New Roman"/>
                <w:color w:val="auto"/>
                <w:sz w:val="22"/>
              </w:rPr>
            </w:pPr>
            <w:r>
              <w:rPr>
                <w:rFonts w:hint="eastAsia" w:ascii="Times New Roman" w:hAnsi="Times New Roman" w:eastAsia="宋体" w:cs="Times New Roman"/>
                <w:color w:val="auto"/>
                <w:sz w:val="22"/>
              </w:rPr>
              <w:t>6-</w:t>
            </w:r>
            <w:r>
              <w:rPr>
                <w:rFonts w:ascii="Times New Roman" w:hAnsi="Times New Roman" w:eastAsia="宋体" w:cs="Times New Roman"/>
                <w:color w:val="auto"/>
                <w:sz w:val="22"/>
              </w:rPr>
              <w:t>9</w:t>
            </w:r>
          </w:p>
        </w:tc>
        <w:tc>
          <w:tcPr>
            <w:tcW w:w="618" w:type="pct"/>
            <w:vAlign w:val="center"/>
          </w:tcPr>
          <w:p w14:paraId="112C54EF">
            <w:pPr>
              <w:jc w:val="center"/>
              <w:rPr>
                <w:rFonts w:hint="default" w:ascii="Times New Roman" w:hAnsi="Times New Roman" w:eastAsia="宋体" w:cs="Times New Roman"/>
                <w:color w:val="auto"/>
                <w:sz w:val="22"/>
                <w:lang w:val="en-US" w:eastAsia="zh-CN"/>
              </w:rPr>
            </w:pPr>
            <w:r>
              <w:rPr>
                <w:rFonts w:hint="eastAsia" w:ascii="Times New Roman" w:hAnsi="Times New Roman" w:eastAsia="宋体" w:cs="Times New Roman"/>
                <w:color w:val="auto"/>
                <w:sz w:val="22"/>
                <w:lang w:val="en-US" w:eastAsia="zh-CN"/>
              </w:rPr>
              <w:t>12.87</w:t>
            </w:r>
          </w:p>
        </w:tc>
        <w:tc>
          <w:tcPr>
            <w:tcW w:w="643" w:type="pct"/>
            <w:vAlign w:val="center"/>
          </w:tcPr>
          <w:p w14:paraId="6CC31FAD">
            <w:pPr>
              <w:jc w:val="center"/>
              <w:rPr>
                <w:rFonts w:hint="default" w:ascii="Times New Roman" w:hAnsi="Times New Roman" w:eastAsia="宋体" w:cs="Times New Roman"/>
                <w:color w:val="auto"/>
                <w:sz w:val="22"/>
                <w:lang w:val="en-US" w:eastAsia="zh-CN"/>
              </w:rPr>
            </w:pPr>
            <w:r>
              <w:rPr>
                <w:rFonts w:hint="eastAsia" w:ascii="Times New Roman" w:hAnsi="Times New Roman" w:eastAsia="宋体" w:cs="Times New Roman"/>
                <w:color w:val="auto"/>
                <w:sz w:val="22"/>
                <w:lang w:val="en-US" w:eastAsia="zh-CN"/>
              </w:rPr>
              <w:t>357.2</w:t>
            </w:r>
          </w:p>
        </w:tc>
        <w:tc>
          <w:tcPr>
            <w:tcW w:w="591" w:type="pct"/>
            <w:vAlign w:val="center"/>
          </w:tcPr>
          <w:p w14:paraId="14A31B4C">
            <w:pPr>
              <w:jc w:val="center"/>
              <w:rPr>
                <w:rFonts w:hint="eastAsia" w:ascii="Times New Roman" w:hAnsi="Times New Roman" w:eastAsia="宋体" w:cs="Times New Roman"/>
                <w:color w:val="auto"/>
                <w:sz w:val="22"/>
                <w:lang w:eastAsia="zh-CN"/>
              </w:rPr>
            </w:pPr>
            <w:r>
              <w:rPr>
                <w:rFonts w:hint="eastAsia" w:ascii="Times New Roman" w:hAnsi="Times New Roman" w:eastAsia="宋体" w:cs="Times New Roman"/>
                <w:color w:val="auto"/>
                <w:sz w:val="22"/>
                <w:lang w:val="en-US" w:eastAsia="zh-CN"/>
              </w:rPr>
              <w:t>/</w:t>
            </w:r>
          </w:p>
        </w:tc>
        <w:tc>
          <w:tcPr>
            <w:tcW w:w="661" w:type="pct"/>
            <w:vAlign w:val="center"/>
          </w:tcPr>
          <w:p w14:paraId="505AF85E">
            <w:pPr>
              <w:jc w:val="center"/>
              <w:rPr>
                <w:rFonts w:hint="default" w:ascii="Times New Roman" w:hAnsi="Times New Roman" w:eastAsia="宋体" w:cs="Times New Roman"/>
                <w:color w:val="auto"/>
                <w:sz w:val="22"/>
                <w:lang w:val="en-US" w:eastAsia="zh-CN"/>
              </w:rPr>
            </w:pPr>
            <w:r>
              <w:rPr>
                <w:rFonts w:hint="eastAsia" w:ascii="Times New Roman" w:hAnsi="Times New Roman" w:eastAsia="宋体" w:cs="Times New Roman"/>
                <w:color w:val="auto"/>
                <w:sz w:val="22"/>
                <w:lang w:val="en-US" w:eastAsia="zh-CN"/>
              </w:rPr>
              <w:t>16.31</w:t>
            </w:r>
          </w:p>
        </w:tc>
        <w:tc>
          <w:tcPr>
            <w:tcW w:w="619" w:type="pct"/>
            <w:vAlign w:val="center"/>
          </w:tcPr>
          <w:p w14:paraId="4CF70C1C">
            <w:pPr>
              <w:jc w:val="center"/>
              <w:rPr>
                <w:rFonts w:hint="default" w:ascii="Times New Roman" w:hAnsi="Times New Roman" w:eastAsia="宋体" w:cs="Times New Roman"/>
                <w:color w:val="auto"/>
                <w:sz w:val="22"/>
                <w:lang w:val="en-US" w:eastAsia="zh-CN"/>
              </w:rPr>
            </w:pPr>
            <w:r>
              <w:rPr>
                <w:rFonts w:hint="eastAsia" w:ascii="Times New Roman" w:hAnsi="Times New Roman" w:eastAsia="宋体" w:cs="Times New Roman"/>
                <w:color w:val="auto"/>
                <w:sz w:val="22"/>
                <w:lang w:val="en-US" w:eastAsia="zh-CN"/>
              </w:rPr>
              <w:t>3.968</w:t>
            </w:r>
          </w:p>
        </w:tc>
        <w:tc>
          <w:tcPr>
            <w:tcW w:w="624" w:type="pct"/>
            <w:vAlign w:val="center"/>
          </w:tcPr>
          <w:p w14:paraId="3C985F78">
            <w:pPr>
              <w:jc w:val="center"/>
              <w:rPr>
                <w:rFonts w:hint="default" w:ascii="Times New Roman" w:hAnsi="Times New Roman" w:eastAsia="宋体" w:cs="Times New Roman"/>
                <w:color w:val="auto"/>
                <w:sz w:val="22"/>
                <w:lang w:val="en-US" w:eastAsia="zh-CN"/>
              </w:rPr>
            </w:pPr>
            <w:r>
              <w:rPr>
                <w:rFonts w:hint="eastAsia" w:ascii="Times New Roman" w:hAnsi="Times New Roman" w:eastAsia="宋体" w:cs="Times New Roman"/>
                <w:color w:val="auto"/>
                <w:sz w:val="22"/>
                <w:lang w:val="en-US" w:eastAsia="zh-CN"/>
              </w:rPr>
              <w:t>24.912</w:t>
            </w:r>
          </w:p>
        </w:tc>
      </w:tr>
      <w:tr w14:paraId="77677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5" w:type="pct"/>
            <w:vAlign w:val="center"/>
          </w:tcPr>
          <w:p w14:paraId="7CE6E48A">
            <w:pPr>
              <w:jc w:val="center"/>
              <w:rPr>
                <w:rFonts w:ascii="Times New Roman" w:hAnsi="Times New Roman" w:eastAsia="宋体" w:cs="Times New Roman"/>
                <w:color w:val="auto"/>
                <w:sz w:val="22"/>
              </w:rPr>
            </w:pPr>
            <w:r>
              <w:rPr>
                <w:rFonts w:hint="eastAsia" w:ascii="Times New Roman" w:hAnsi="Times New Roman" w:eastAsia="宋体" w:cs="Times New Roman"/>
                <w:color w:val="auto"/>
                <w:sz w:val="22"/>
              </w:rPr>
              <w:t>进水</w:t>
            </w:r>
          </w:p>
          <w:p w14:paraId="40DA863B">
            <w:pPr>
              <w:jc w:val="center"/>
              <w:rPr>
                <w:rFonts w:ascii="Times New Roman" w:hAnsi="Times New Roman" w:eastAsia="宋体" w:cs="Times New Roman"/>
                <w:color w:val="auto"/>
                <w:sz w:val="22"/>
              </w:rPr>
            </w:pPr>
            <w:r>
              <w:rPr>
                <w:rFonts w:hint="eastAsia" w:ascii="Times New Roman" w:hAnsi="Times New Roman" w:eastAsia="宋体" w:cs="Times New Roman"/>
                <w:color w:val="auto"/>
                <w:sz w:val="22"/>
              </w:rPr>
              <w:t>要求</w:t>
            </w:r>
          </w:p>
        </w:tc>
        <w:tc>
          <w:tcPr>
            <w:tcW w:w="515" w:type="pct"/>
            <w:vAlign w:val="center"/>
          </w:tcPr>
          <w:p w14:paraId="1A5C6844">
            <w:pPr>
              <w:jc w:val="center"/>
              <w:rPr>
                <w:rFonts w:ascii="Times New Roman" w:hAnsi="Times New Roman" w:eastAsia="宋体" w:cs="Times New Roman"/>
                <w:color w:val="auto"/>
                <w:sz w:val="22"/>
              </w:rPr>
            </w:pPr>
            <w:r>
              <w:rPr>
                <w:rFonts w:hint="eastAsia" w:ascii="Times New Roman" w:hAnsi="Times New Roman" w:eastAsia="宋体" w:cs="Times New Roman"/>
                <w:color w:val="auto"/>
                <w:sz w:val="22"/>
              </w:rPr>
              <w:t>6-</w:t>
            </w:r>
            <w:r>
              <w:rPr>
                <w:rFonts w:ascii="Times New Roman" w:hAnsi="Times New Roman" w:eastAsia="宋体" w:cs="Times New Roman"/>
                <w:color w:val="auto"/>
                <w:sz w:val="22"/>
              </w:rPr>
              <w:t>9</w:t>
            </w:r>
          </w:p>
        </w:tc>
        <w:tc>
          <w:tcPr>
            <w:tcW w:w="618" w:type="pct"/>
            <w:vAlign w:val="center"/>
          </w:tcPr>
          <w:p w14:paraId="6618C295">
            <w:pPr>
              <w:jc w:val="center"/>
              <w:rPr>
                <w:rFonts w:ascii="Times New Roman" w:hAnsi="Times New Roman" w:eastAsia="宋体" w:cs="Times New Roman"/>
                <w:color w:val="auto"/>
                <w:sz w:val="22"/>
              </w:rPr>
            </w:pPr>
            <w:r>
              <w:rPr>
                <w:rFonts w:hint="eastAsia" w:ascii="Times New Roman" w:hAnsi="Times New Roman" w:eastAsia="宋体" w:cs="Times New Roman"/>
                <w:color w:val="auto"/>
                <w:sz w:val="22"/>
              </w:rPr>
              <w:t>300</w:t>
            </w:r>
          </w:p>
        </w:tc>
        <w:tc>
          <w:tcPr>
            <w:tcW w:w="643" w:type="pct"/>
            <w:vAlign w:val="center"/>
          </w:tcPr>
          <w:p w14:paraId="5EEDABB6">
            <w:pPr>
              <w:jc w:val="center"/>
              <w:rPr>
                <w:rFonts w:ascii="Times New Roman" w:hAnsi="Times New Roman" w:eastAsia="宋体" w:cs="Times New Roman"/>
                <w:color w:val="auto"/>
                <w:sz w:val="22"/>
              </w:rPr>
            </w:pPr>
            <w:r>
              <w:rPr>
                <w:rFonts w:hint="eastAsia" w:ascii="Times New Roman" w:hAnsi="Times New Roman" w:eastAsia="宋体" w:cs="Times New Roman"/>
                <w:color w:val="auto"/>
                <w:sz w:val="22"/>
              </w:rPr>
              <w:t>450</w:t>
            </w:r>
          </w:p>
        </w:tc>
        <w:tc>
          <w:tcPr>
            <w:tcW w:w="591" w:type="pct"/>
            <w:vAlign w:val="center"/>
          </w:tcPr>
          <w:p w14:paraId="5EE1604C">
            <w:pPr>
              <w:jc w:val="center"/>
              <w:rPr>
                <w:rFonts w:hint="default" w:ascii="Times New Roman" w:hAnsi="Times New Roman" w:eastAsia="宋体" w:cs="Times New Roman"/>
                <w:color w:val="auto"/>
                <w:sz w:val="22"/>
                <w:lang w:val="en-US" w:eastAsia="zh-CN"/>
              </w:rPr>
            </w:pPr>
            <w:r>
              <w:rPr>
                <w:rFonts w:hint="eastAsia" w:ascii="Times New Roman" w:hAnsi="Times New Roman" w:eastAsia="宋体" w:cs="Times New Roman"/>
                <w:color w:val="auto"/>
                <w:sz w:val="22"/>
                <w:lang w:val="en-US" w:eastAsia="zh-CN"/>
              </w:rPr>
              <w:t>250</w:t>
            </w:r>
          </w:p>
        </w:tc>
        <w:tc>
          <w:tcPr>
            <w:tcW w:w="661" w:type="pct"/>
            <w:vAlign w:val="center"/>
          </w:tcPr>
          <w:p w14:paraId="07383521">
            <w:pPr>
              <w:jc w:val="center"/>
              <w:rPr>
                <w:rFonts w:ascii="Times New Roman" w:hAnsi="Times New Roman" w:eastAsia="宋体" w:cs="Times New Roman"/>
                <w:color w:val="auto"/>
                <w:sz w:val="22"/>
              </w:rPr>
            </w:pPr>
            <w:r>
              <w:rPr>
                <w:rFonts w:hint="eastAsia" w:ascii="Times New Roman" w:hAnsi="Times New Roman" w:eastAsia="宋体" w:cs="Times New Roman"/>
                <w:color w:val="auto"/>
                <w:sz w:val="22"/>
              </w:rPr>
              <w:t>35</w:t>
            </w:r>
          </w:p>
        </w:tc>
        <w:tc>
          <w:tcPr>
            <w:tcW w:w="619" w:type="pct"/>
            <w:vAlign w:val="center"/>
          </w:tcPr>
          <w:p w14:paraId="125AED96">
            <w:pPr>
              <w:jc w:val="center"/>
              <w:rPr>
                <w:rFonts w:ascii="Times New Roman" w:hAnsi="Times New Roman" w:eastAsia="宋体" w:cs="Times New Roman"/>
                <w:color w:val="auto"/>
                <w:sz w:val="22"/>
              </w:rPr>
            </w:pPr>
            <w:r>
              <w:rPr>
                <w:rFonts w:hint="eastAsia" w:ascii="Times New Roman" w:hAnsi="Times New Roman" w:eastAsia="宋体" w:cs="Times New Roman"/>
                <w:color w:val="auto"/>
                <w:sz w:val="22"/>
              </w:rPr>
              <w:t>35</w:t>
            </w:r>
          </w:p>
        </w:tc>
        <w:tc>
          <w:tcPr>
            <w:tcW w:w="624" w:type="pct"/>
            <w:vAlign w:val="center"/>
          </w:tcPr>
          <w:p w14:paraId="4559489E">
            <w:pPr>
              <w:jc w:val="center"/>
              <w:rPr>
                <w:rFonts w:ascii="Times New Roman" w:hAnsi="Times New Roman" w:eastAsia="宋体" w:cs="Times New Roman"/>
                <w:color w:val="auto"/>
                <w:sz w:val="22"/>
              </w:rPr>
            </w:pPr>
            <w:r>
              <w:rPr>
                <w:rFonts w:hint="eastAsia" w:ascii="Times New Roman" w:hAnsi="Times New Roman" w:eastAsia="宋体" w:cs="Times New Roman"/>
                <w:color w:val="auto"/>
                <w:sz w:val="22"/>
              </w:rPr>
              <w:t>45</w:t>
            </w:r>
          </w:p>
        </w:tc>
      </w:tr>
    </w:tbl>
    <w:p w14:paraId="575442E7">
      <w:pPr>
        <w:spacing w:line="360" w:lineRule="auto"/>
        <w:ind w:firstLine="480" w:firstLineChars="200"/>
        <w:rPr>
          <w:rFonts w:ascii="Times New Roman" w:hAnsi="Times New Roman" w:eastAsia="宋体" w:cs="Times New Roman"/>
          <w:color w:val="auto"/>
          <w:sz w:val="24"/>
          <w:szCs w:val="24"/>
        </w:rPr>
      </w:pPr>
    </w:p>
    <w:p w14:paraId="5697896F">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由上表可知，项目总排口出水各项污染物浓度均满足污水处理厂进水水质要求，其正常工况下排水不会对津市高新区工业污水处理厂产生冲击。</w:t>
      </w:r>
    </w:p>
    <w:p w14:paraId="298862F1">
      <w:pPr>
        <w:spacing w:line="360" w:lineRule="auto"/>
        <w:ind w:firstLine="480" w:firstLineChars="200"/>
        <w:rPr>
          <w:rFonts w:ascii="Times New Roman" w:hAnsi="Times New Roman" w:eastAsia="宋体" w:cs="Times New Roman"/>
          <w:color w:val="FF0000"/>
          <w:sz w:val="24"/>
          <w:szCs w:val="24"/>
        </w:rPr>
      </w:pPr>
    </w:p>
    <w:p w14:paraId="704874D7">
      <w:pPr>
        <w:spacing w:line="360" w:lineRule="auto"/>
        <w:ind w:firstLine="480" w:firstLineChars="200"/>
        <w:rPr>
          <w:rFonts w:ascii="Times New Roman" w:hAnsi="Times New Roman" w:eastAsia="宋体" w:cs="Times New Roman"/>
          <w:color w:val="FF0000"/>
          <w:sz w:val="24"/>
          <w:szCs w:val="24"/>
        </w:rPr>
      </w:pPr>
    </w:p>
    <w:p w14:paraId="13640336">
      <w:pPr>
        <w:spacing w:line="360" w:lineRule="auto"/>
        <w:ind w:firstLine="480" w:firstLineChars="200"/>
        <w:rPr>
          <w:rFonts w:ascii="Times New Roman" w:hAnsi="Times New Roman" w:eastAsia="宋体" w:cs="Times New Roman"/>
          <w:color w:val="FF0000"/>
          <w:sz w:val="24"/>
          <w:szCs w:val="24"/>
        </w:rPr>
        <w:sectPr>
          <w:pgSz w:w="11906" w:h="16838"/>
          <w:pgMar w:top="1440" w:right="1800" w:bottom="1440" w:left="1800" w:header="851" w:footer="992" w:gutter="0"/>
          <w:pgNumType w:fmt="numberInDash"/>
          <w:cols w:space="425" w:num="1"/>
          <w:docGrid w:type="lines" w:linePitch="312" w:charSpace="0"/>
        </w:sectPr>
      </w:pPr>
    </w:p>
    <w:p w14:paraId="60F5F01F">
      <w:pPr>
        <w:pStyle w:val="6"/>
        <w:bidi w:val="0"/>
      </w:pPr>
      <w:r>
        <w:rPr>
          <w:rFonts w:hint="eastAsia"/>
        </w:rPr>
        <w:t>表6.2</w:t>
      </w:r>
      <w:r>
        <w:rPr>
          <w:rFonts w:hint="eastAsia"/>
          <w:lang w:val="en-US" w:eastAsia="zh-CN"/>
        </w:rPr>
        <w:t>.2</w:t>
      </w:r>
      <w:r>
        <w:t>-</w:t>
      </w:r>
      <w:r>
        <w:rPr>
          <w:rFonts w:hint="eastAsia"/>
          <w:lang w:val="en-US" w:eastAsia="zh-CN"/>
        </w:rPr>
        <w:t>2</w:t>
      </w:r>
      <w:r>
        <w:t xml:space="preserve">    废水类别、污染物及污染治理设施信息表</w:t>
      </w:r>
    </w:p>
    <w:tbl>
      <w:tblPr>
        <w:tblStyle w:val="41"/>
        <w:tblW w:w="139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1747"/>
        <w:gridCol w:w="1372"/>
        <w:gridCol w:w="1124"/>
        <w:gridCol w:w="1064"/>
        <w:gridCol w:w="1296"/>
        <w:gridCol w:w="1377"/>
        <w:gridCol w:w="1745"/>
        <w:gridCol w:w="947"/>
        <w:gridCol w:w="1129"/>
        <w:gridCol w:w="1443"/>
      </w:tblGrid>
      <w:tr w14:paraId="6CF9F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Merge w:val="restart"/>
            <w:vAlign w:val="center"/>
          </w:tcPr>
          <w:p w14:paraId="5609B52B">
            <w:pPr>
              <w:pStyle w:val="52"/>
              <w:bidi w:val="0"/>
              <w:rPr>
                <w:color w:val="auto"/>
              </w:rPr>
            </w:pPr>
            <w:r>
              <w:rPr>
                <w:color w:val="auto"/>
              </w:rPr>
              <w:t>序号</w:t>
            </w:r>
          </w:p>
        </w:tc>
        <w:tc>
          <w:tcPr>
            <w:tcW w:w="1747" w:type="dxa"/>
            <w:vMerge w:val="restart"/>
            <w:vAlign w:val="center"/>
          </w:tcPr>
          <w:p w14:paraId="4D781FA4">
            <w:pPr>
              <w:pStyle w:val="52"/>
              <w:bidi w:val="0"/>
              <w:rPr>
                <w:color w:val="auto"/>
              </w:rPr>
            </w:pPr>
            <w:r>
              <w:rPr>
                <w:color w:val="auto"/>
              </w:rPr>
              <w:t>废水类别</w:t>
            </w:r>
          </w:p>
        </w:tc>
        <w:tc>
          <w:tcPr>
            <w:tcW w:w="1372" w:type="dxa"/>
            <w:vMerge w:val="restart"/>
            <w:vAlign w:val="center"/>
          </w:tcPr>
          <w:p w14:paraId="1462BB6F">
            <w:pPr>
              <w:pStyle w:val="52"/>
              <w:bidi w:val="0"/>
              <w:rPr>
                <w:color w:val="auto"/>
              </w:rPr>
            </w:pPr>
            <w:r>
              <w:rPr>
                <w:color w:val="auto"/>
              </w:rPr>
              <w:t>污染物种类</w:t>
            </w:r>
          </w:p>
        </w:tc>
        <w:tc>
          <w:tcPr>
            <w:tcW w:w="1124" w:type="dxa"/>
            <w:vMerge w:val="restart"/>
            <w:vAlign w:val="center"/>
          </w:tcPr>
          <w:p w14:paraId="2ABD5789">
            <w:pPr>
              <w:pStyle w:val="52"/>
              <w:bidi w:val="0"/>
              <w:rPr>
                <w:color w:val="auto"/>
              </w:rPr>
            </w:pPr>
            <w:r>
              <w:rPr>
                <w:color w:val="auto"/>
              </w:rPr>
              <w:t>排放去向</w:t>
            </w:r>
          </w:p>
        </w:tc>
        <w:tc>
          <w:tcPr>
            <w:tcW w:w="1064" w:type="dxa"/>
            <w:vMerge w:val="restart"/>
            <w:vAlign w:val="center"/>
          </w:tcPr>
          <w:p w14:paraId="3CD3DDD0">
            <w:pPr>
              <w:pStyle w:val="52"/>
              <w:bidi w:val="0"/>
              <w:rPr>
                <w:color w:val="auto"/>
              </w:rPr>
            </w:pPr>
            <w:r>
              <w:rPr>
                <w:color w:val="auto"/>
              </w:rPr>
              <w:t>排放规律</w:t>
            </w:r>
          </w:p>
        </w:tc>
        <w:tc>
          <w:tcPr>
            <w:tcW w:w="4418" w:type="dxa"/>
            <w:gridSpan w:val="3"/>
            <w:vAlign w:val="center"/>
          </w:tcPr>
          <w:p w14:paraId="26F15380">
            <w:pPr>
              <w:pStyle w:val="52"/>
              <w:bidi w:val="0"/>
              <w:rPr>
                <w:color w:val="auto"/>
              </w:rPr>
            </w:pPr>
            <w:r>
              <w:rPr>
                <w:color w:val="auto"/>
              </w:rPr>
              <w:t>污染治理设施</w:t>
            </w:r>
          </w:p>
        </w:tc>
        <w:tc>
          <w:tcPr>
            <w:tcW w:w="947" w:type="dxa"/>
            <w:vMerge w:val="restart"/>
            <w:vAlign w:val="center"/>
          </w:tcPr>
          <w:p w14:paraId="131D0E4C">
            <w:pPr>
              <w:pStyle w:val="52"/>
              <w:bidi w:val="0"/>
              <w:rPr>
                <w:color w:val="auto"/>
              </w:rPr>
            </w:pPr>
            <w:r>
              <w:rPr>
                <w:color w:val="auto"/>
              </w:rPr>
              <w:t>排放口编号</w:t>
            </w:r>
          </w:p>
        </w:tc>
        <w:tc>
          <w:tcPr>
            <w:tcW w:w="1129" w:type="dxa"/>
            <w:vMerge w:val="restart"/>
            <w:vAlign w:val="center"/>
          </w:tcPr>
          <w:p w14:paraId="5CBA474F">
            <w:pPr>
              <w:pStyle w:val="52"/>
              <w:bidi w:val="0"/>
              <w:rPr>
                <w:color w:val="auto"/>
              </w:rPr>
            </w:pPr>
            <w:r>
              <w:rPr>
                <w:color w:val="auto"/>
              </w:rPr>
              <w:t>排放口设置是否符合要求</w:t>
            </w:r>
          </w:p>
        </w:tc>
        <w:tc>
          <w:tcPr>
            <w:tcW w:w="1443" w:type="dxa"/>
            <w:vMerge w:val="restart"/>
            <w:vAlign w:val="center"/>
          </w:tcPr>
          <w:p w14:paraId="714E8966">
            <w:pPr>
              <w:pStyle w:val="52"/>
              <w:bidi w:val="0"/>
              <w:rPr>
                <w:color w:val="auto"/>
              </w:rPr>
            </w:pPr>
            <w:r>
              <w:rPr>
                <w:color w:val="auto"/>
              </w:rPr>
              <w:t>排放口类型</w:t>
            </w:r>
          </w:p>
        </w:tc>
      </w:tr>
      <w:tr w14:paraId="7A885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Merge w:val="continue"/>
            <w:vAlign w:val="center"/>
          </w:tcPr>
          <w:p w14:paraId="4C80F413">
            <w:pPr>
              <w:pStyle w:val="52"/>
              <w:bidi w:val="0"/>
              <w:rPr>
                <w:color w:val="auto"/>
              </w:rPr>
            </w:pPr>
          </w:p>
        </w:tc>
        <w:tc>
          <w:tcPr>
            <w:tcW w:w="1747" w:type="dxa"/>
            <w:vMerge w:val="continue"/>
            <w:vAlign w:val="center"/>
          </w:tcPr>
          <w:p w14:paraId="0A204AC2">
            <w:pPr>
              <w:pStyle w:val="52"/>
              <w:bidi w:val="0"/>
              <w:rPr>
                <w:color w:val="auto"/>
              </w:rPr>
            </w:pPr>
          </w:p>
        </w:tc>
        <w:tc>
          <w:tcPr>
            <w:tcW w:w="1372" w:type="dxa"/>
            <w:vMerge w:val="continue"/>
            <w:vAlign w:val="center"/>
          </w:tcPr>
          <w:p w14:paraId="13E09D64">
            <w:pPr>
              <w:pStyle w:val="52"/>
              <w:bidi w:val="0"/>
              <w:rPr>
                <w:color w:val="auto"/>
              </w:rPr>
            </w:pPr>
          </w:p>
        </w:tc>
        <w:tc>
          <w:tcPr>
            <w:tcW w:w="1124" w:type="dxa"/>
            <w:vMerge w:val="continue"/>
            <w:vAlign w:val="center"/>
          </w:tcPr>
          <w:p w14:paraId="2B02BF8D">
            <w:pPr>
              <w:pStyle w:val="52"/>
              <w:bidi w:val="0"/>
              <w:rPr>
                <w:color w:val="auto"/>
              </w:rPr>
            </w:pPr>
          </w:p>
        </w:tc>
        <w:tc>
          <w:tcPr>
            <w:tcW w:w="1064" w:type="dxa"/>
            <w:vMerge w:val="continue"/>
            <w:vAlign w:val="center"/>
          </w:tcPr>
          <w:p w14:paraId="237B3CDF">
            <w:pPr>
              <w:pStyle w:val="52"/>
              <w:bidi w:val="0"/>
              <w:rPr>
                <w:color w:val="auto"/>
              </w:rPr>
            </w:pPr>
          </w:p>
        </w:tc>
        <w:tc>
          <w:tcPr>
            <w:tcW w:w="1296" w:type="dxa"/>
            <w:vAlign w:val="center"/>
          </w:tcPr>
          <w:p w14:paraId="49DAF6C7">
            <w:pPr>
              <w:pStyle w:val="52"/>
              <w:bidi w:val="0"/>
              <w:rPr>
                <w:color w:val="auto"/>
              </w:rPr>
            </w:pPr>
            <w:r>
              <w:rPr>
                <w:color w:val="auto"/>
              </w:rPr>
              <w:t>污染治理设施编号</w:t>
            </w:r>
          </w:p>
        </w:tc>
        <w:tc>
          <w:tcPr>
            <w:tcW w:w="1377" w:type="dxa"/>
            <w:vAlign w:val="center"/>
          </w:tcPr>
          <w:p w14:paraId="7039F9DF">
            <w:pPr>
              <w:pStyle w:val="52"/>
              <w:bidi w:val="0"/>
              <w:rPr>
                <w:color w:val="auto"/>
              </w:rPr>
            </w:pPr>
            <w:r>
              <w:rPr>
                <w:color w:val="auto"/>
              </w:rPr>
              <w:t>污染治理设施名称</w:t>
            </w:r>
          </w:p>
        </w:tc>
        <w:tc>
          <w:tcPr>
            <w:tcW w:w="1745" w:type="dxa"/>
            <w:vAlign w:val="center"/>
          </w:tcPr>
          <w:p w14:paraId="7B33C815">
            <w:pPr>
              <w:pStyle w:val="52"/>
              <w:bidi w:val="0"/>
              <w:rPr>
                <w:color w:val="auto"/>
              </w:rPr>
            </w:pPr>
            <w:r>
              <w:rPr>
                <w:color w:val="auto"/>
              </w:rPr>
              <w:t>污染治理设施工艺</w:t>
            </w:r>
          </w:p>
        </w:tc>
        <w:tc>
          <w:tcPr>
            <w:tcW w:w="947" w:type="dxa"/>
            <w:vMerge w:val="continue"/>
            <w:vAlign w:val="center"/>
          </w:tcPr>
          <w:p w14:paraId="0C8FD960">
            <w:pPr>
              <w:pStyle w:val="52"/>
              <w:bidi w:val="0"/>
              <w:rPr>
                <w:color w:val="auto"/>
              </w:rPr>
            </w:pPr>
          </w:p>
        </w:tc>
        <w:tc>
          <w:tcPr>
            <w:tcW w:w="1129" w:type="dxa"/>
            <w:vMerge w:val="continue"/>
            <w:vAlign w:val="center"/>
          </w:tcPr>
          <w:p w14:paraId="0592E237">
            <w:pPr>
              <w:pStyle w:val="52"/>
              <w:bidi w:val="0"/>
              <w:rPr>
                <w:color w:val="auto"/>
              </w:rPr>
            </w:pPr>
          </w:p>
        </w:tc>
        <w:tc>
          <w:tcPr>
            <w:tcW w:w="1443" w:type="dxa"/>
            <w:vMerge w:val="continue"/>
            <w:vAlign w:val="center"/>
          </w:tcPr>
          <w:p w14:paraId="6EFCFD24">
            <w:pPr>
              <w:pStyle w:val="52"/>
              <w:bidi w:val="0"/>
              <w:rPr>
                <w:color w:val="auto"/>
              </w:rPr>
            </w:pPr>
          </w:p>
        </w:tc>
      </w:tr>
      <w:tr w14:paraId="7F11F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14:paraId="5AB9EBB2">
            <w:pPr>
              <w:pStyle w:val="52"/>
              <w:bidi w:val="0"/>
              <w:rPr>
                <w:color w:val="auto"/>
              </w:rPr>
            </w:pPr>
            <w:r>
              <w:rPr>
                <w:rFonts w:hint="eastAsia"/>
                <w:color w:val="auto"/>
              </w:rPr>
              <w:t>1</w:t>
            </w:r>
          </w:p>
        </w:tc>
        <w:tc>
          <w:tcPr>
            <w:tcW w:w="1747" w:type="dxa"/>
            <w:shd w:val="clear" w:color="auto" w:fill="auto"/>
            <w:vAlign w:val="center"/>
          </w:tcPr>
          <w:p w14:paraId="2993E61B">
            <w:pPr>
              <w:pStyle w:val="52"/>
              <w:bidi w:val="0"/>
              <w:rPr>
                <w:rFonts w:hint="default"/>
                <w:color w:val="auto"/>
                <w:lang w:val="en-US" w:eastAsia="zh-CN"/>
              </w:rPr>
            </w:pPr>
            <w:r>
              <w:rPr>
                <w:rFonts w:hint="eastAsia"/>
                <w:color w:val="auto"/>
                <w:lang w:val="en-US" w:eastAsia="zh-CN"/>
              </w:rPr>
              <w:t>加热浓缩冷凝水</w:t>
            </w:r>
          </w:p>
        </w:tc>
        <w:tc>
          <w:tcPr>
            <w:tcW w:w="1372" w:type="dxa"/>
            <w:vMerge w:val="restart"/>
            <w:vAlign w:val="center"/>
          </w:tcPr>
          <w:p w14:paraId="29EF5681">
            <w:pPr>
              <w:pStyle w:val="52"/>
              <w:bidi w:val="0"/>
              <w:rPr>
                <w:rFonts w:hint="default"/>
                <w:color w:val="auto"/>
                <w:lang w:val="en-US" w:eastAsia="zh-CN"/>
              </w:rPr>
            </w:pPr>
            <w:r>
              <w:rPr>
                <w:rFonts w:hint="eastAsia"/>
                <w:color w:val="auto"/>
                <w:lang w:val="en-US" w:eastAsia="zh-CN"/>
              </w:rPr>
              <w:t>COD、SS、氨氮、总磷、总氮</w:t>
            </w:r>
          </w:p>
        </w:tc>
        <w:tc>
          <w:tcPr>
            <w:tcW w:w="1124" w:type="dxa"/>
            <w:vMerge w:val="restart"/>
            <w:vAlign w:val="center"/>
          </w:tcPr>
          <w:p w14:paraId="5DD64B48">
            <w:pPr>
              <w:pStyle w:val="52"/>
              <w:bidi w:val="0"/>
              <w:rPr>
                <w:rFonts w:hint="eastAsia"/>
                <w:color w:val="auto"/>
                <w:lang w:eastAsia="zh-CN"/>
              </w:rPr>
            </w:pPr>
            <w:r>
              <w:rPr>
                <w:rFonts w:hint="eastAsia"/>
                <w:color w:val="auto"/>
                <w:lang w:eastAsia="zh-CN"/>
              </w:rPr>
              <w:t>津市工业污水处理厂</w:t>
            </w:r>
          </w:p>
        </w:tc>
        <w:tc>
          <w:tcPr>
            <w:tcW w:w="1064" w:type="dxa"/>
            <w:vMerge w:val="restart"/>
            <w:vAlign w:val="center"/>
          </w:tcPr>
          <w:p w14:paraId="011300BF">
            <w:pPr>
              <w:pStyle w:val="52"/>
              <w:bidi w:val="0"/>
              <w:rPr>
                <w:rFonts w:hint="default"/>
                <w:color w:val="auto"/>
                <w:lang w:val="en-US" w:eastAsia="zh-CN"/>
              </w:rPr>
            </w:pPr>
            <w:r>
              <w:rPr>
                <w:rFonts w:hint="eastAsia"/>
                <w:color w:val="auto"/>
                <w:lang w:val="en-US" w:eastAsia="zh-CN"/>
              </w:rPr>
              <w:t>间断排放</w:t>
            </w:r>
          </w:p>
        </w:tc>
        <w:tc>
          <w:tcPr>
            <w:tcW w:w="1296" w:type="dxa"/>
            <w:vMerge w:val="restart"/>
            <w:vAlign w:val="center"/>
          </w:tcPr>
          <w:p w14:paraId="51104EF7">
            <w:pPr>
              <w:pStyle w:val="52"/>
              <w:bidi w:val="0"/>
              <w:rPr>
                <w:color w:val="auto"/>
              </w:rPr>
            </w:pPr>
            <w:r>
              <w:rPr>
                <w:color w:val="auto"/>
              </w:rPr>
              <w:t>TW001</w:t>
            </w:r>
          </w:p>
        </w:tc>
        <w:tc>
          <w:tcPr>
            <w:tcW w:w="1377" w:type="dxa"/>
            <w:vMerge w:val="restart"/>
            <w:vAlign w:val="center"/>
          </w:tcPr>
          <w:p w14:paraId="79B240AE">
            <w:pPr>
              <w:pStyle w:val="52"/>
              <w:bidi w:val="0"/>
              <w:rPr>
                <w:rFonts w:hint="default"/>
                <w:color w:val="auto"/>
                <w:lang w:val="en-US" w:eastAsia="zh-CN"/>
              </w:rPr>
            </w:pPr>
            <w:r>
              <w:rPr>
                <w:rFonts w:hint="eastAsia"/>
                <w:color w:val="auto"/>
                <w:lang w:val="en-US" w:eastAsia="zh-CN"/>
              </w:rPr>
              <w:t>污水处理站</w:t>
            </w:r>
          </w:p>
        </w:tc>
        <w:tc>
          <w:tcPr>
            <w:tcW w:w="1745" w:type="dxa"/>
            <w:vMerge w:val="restart"/>
            <w:vAlign w:val="center"/>
          </w:tcPr>
          <w:p w14:paraId="46684E8B">
            <w:pPr>
              <w:pStyle w:val="52"/>
              <w:bidi w:val="0"/>
              <w:rPr>
                <w:color w:val="auto"/>
              </w:rPr>
            </w:pPr>
            <w:r>
              <w:rPr>
                <w:rFonts w:hint="eastAsia"/>
                <w:color w:val="auto"/>
              </w:rPr>
              <w:t>物化+厌氧+A/O+气浮</w:t>
            </w:r>
          </w:p>
        </w:tc>
        <w:tc>
          <w:tcPr>
            <w:tcW w:w="947" w:type="dxa"/>
            <w:vMerge w:val="restart"/>
            <w:vAlign w:val="center"/>
          </w:tcPr>
          <w:p w14:paraId="2A9A03BD">
            <w:pPr>
              <w:pStyle w:val="52"/>
              <w:bidi w:val="0"/>
              <w:rPr>
                <w:color w:val="auto"/>
              </w:rPr>
            </w:pPr>
            <w:r>
              <w:rPr>
                <w:rFonts w:hint="eastAsia"/>
                <w:color w:val="auto"/>
              </w:rPr>
              <w:t>DW001</w:t>
            </w:r>
          </w:p>
        </w:tc>
        <w:tc>
          <w:tcPr>
            <w:tcW w:w="1129" w:type="dxa"/>
            <w:vMerge w:val="restart"/>
            <w:vAlign w:val="center"/>
          </w:tcPr>
          <w:p w14:paraId="718E29F2">
            <w:pPr>
              <w:pStyle w:val="52"/>
              <w:bidi w:val="0"/>
              <w:rPr>
                <w:color w:val="auto"/>
              </w:rPr>
            </w:pPr>
            <w:r>
              <w:rPr>
                <w:rFonts w:hint="eastAsia"/>
                <w:color w:val="auto"/>
              </w:rPr>
              <w:t>是</w:t>
            </w:r>
          </w:p>
        </w:tc>
        <w:tc>
          <w:tcPr>
            <w:tcW w:w="1443" w:type="dxa"/>
            <w:vMerge w:val="restart"/>
            <w:vAlign w:val="center"/>
          </w:tcPr>
          <w:p w14:paraId="75EC2345">
            <w:pPr>
              <w:pStyle w:val="52"/>
              <w:bidi w:val="0"/>
              <w:rPr>
                <w:color w:val="auto"/>
              </w:rPr>
            </w:pPr>
            <w:r>
              <w:rPr>
                <w:rFonts w:hint="eastAsia"/>
                <w:color w:val="auto"/>
              </w:rPr>
              <w:t>厂区总排口</w:t>
            </w:r>
          </w:p>
        </w:tc>
      </w:tr>
      <w:tr w14:paraId="3EC6B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14:paraId="708C97E6">
            <w:pPr>
              <w:pStyle w:val="52"/>
              <w:bidi w:val="0"/>
              <w:rPr>
                <w:color w:val="auto"/>
              </w:rPr>
            </w:pPr>
            <w:r>
              <w:rPr>
                <w:rFonts w:hint="eastAsia"/>
                <w:color w:val="auto"/>
              </w:rPr>
              <w:t>2</w:t>
            </w:r>
          </w:p>
        </w:tc>
        <w:tc>
          <w:tcPr>
            <w:tcW w:w="1747" w:type="dxa"/>
            <w:shd w:val="clear" w:color="auto" w:fill="auto"/>
            <w:vAlign w:val="center"/>
          </w:tcPr>
          <w:p w14:paraId="5CAC5335">
            <w:pPr>
              <w:pStyle w:val="52"/>
              <w:bidi w:val="0"/>
              <w:rPr>
                <w:rFonts w:hint="default"/>
                <w:color w:val="auto"/>
                <w:lang w:val="en-US" w:eastAsia="zh-CN"/>
              </w:rPr>
            </w:pPr>
            <w:r>
              <w:rPr>
                <w:rFonts w:hint="eastAsia"/>
                <w:color w:val="auto"/>
                <w:lang w:val="en-US" w:eastAsia="zh-CN"/>
              </w:rPr>
              <w:t>工艺废水</w:t>
            </w:r>
          </w:p>
        </w:tc>
        <w:tc>
          <w:tcPr>
            <w:tcW w:w="1372" w:type="dxa"/>
            <w:vMerge w:val="continue"/>
            <w:vAlign w:val="center"/>
          </w:tcPr>
          <w:p w14:paraId="5A00ED72">
            <w:pPr>
              <w:pStyle w:val="52"/>
              <w:bidi w:val="0"/>
              <w:rPr>
                <w:color w:val="auto"/>
              </w:rPr>
            </w:pPr>
          </w:p>
        </w:tc>
        <w:tc>
          <w:tcPr>
            <w:tcW w:w="1124" w:type="dxa"/>
            <w:vMerge w:val="continue"/>
            <w:vAlign w:val="center"/>
          </w:tcPr>
          <w:p w14:paraId="70A21C68">
            <w:pPr>
              <w:pStyle w:val="52"/>
              <w:bidi w:val="0"/>
              <w:rPr>
                <w:color w:val="auto"/>
              </w:rPr>
            </w:pPr>
          </w:p>
        </w:tc>
        <w:tc>
          <w:tcPr>
            <w:tcW w:w="1064" w:type="dxa"/>
            <w:vMerge w:val="continue"/>
            <w:vAlign w:val="center"/>
          </w:tcPr>
          <w:p w14:paraId="1628B480">
            <w:pPr>
              <w:pStyle w:val="52"/>
              <w:bidi w:val="0"/>
              <w:rPr>
                <w:color w:val="auto"/>
              </w:rPr>
            </w:pPr>
          </w:p>
        </w:tc>
        <w:tc>
          <w:tcPr>
            <w:tcW w:w="1296" w:type="dxa"/>
            <w:vMerge w:val="continue"/>
            <w:vAlign w:val="center"/>
          </w:tcPr>
          <w:p w14:paraId="32A14993">
            <w:pPr>
              <w:pStyle w:val="52"/>
              <w:bidi w:val="0"/>
              <w:rPr>
                <w:color w:val="auto"/>
              </w:rPr>
            </w:pPr>
          </w:p>
        </w:tc>
        <w:tc>
          <w:tcPr>
            <w:tcW w:w="1377" w:type="dxa"/>
            <w:vMerge w:val="continue"/>
            <w:shd w:val="clear" w:color="auto" w:fill="auto"/>
            <w:vAlign w:val="center"/>
          </w:tcPr>
          <w:p w14:paraId="70905348">
            <w:pPr>
              <w:pStyle w:val="52"/>
              <w:bidi w:val="0"/>
              <w:rPr>
                <w:rFonts w:hint="default"/>
                <w:color w:val="auto"/>
                <w:lang w:val="en-US" w:eastAsia="zh-CN"/>
              </w:rPr>
            </w:pPr>
          </w:p>
        </w:tc>
        <w:tc>
          <w:tcPr>
            <w:tcW w:w="1745" w:type="dxa"/>
            <w:vMerge w:val="continue"/>
            <w:vAlign w:val="center"/>
          </w:tcPr>
          <w:p w14:paraId="6BD7EAEA">
            <w:pPr>
              <w:pStyle w:val="52"/>
              <w:bidi w:val="0"/>
              <w:rPr>
                <w:color w:val="auto"/>
              </w:rPr>
            </w:pPr>
          </w:p>
        </w:tc>
        <w:tc>
          <w:tcPr>
            <w:tcW w:w="947" w:type="dxa"/>
            <w:vMerge w:val="continue"/>
            <w:vAlign w:val="center"/>
          </w:tcPr>
          <w:p w14:paraId="555BF34A">
            <w:pPr>
              <w:pStyle w:val="52"/>
              <w:bidi w:val="0"/>
              <w:rPr>
                <w:color w:val="auto"/>
              </w:rPr>
            </w:pPr>
          </w:p>
        </w:tc>
        <w:tc>
          <w:tcPr>
            <w:tcW w:w="1129" w:type="dxa"/>
            <w:vMerge w:val="continue"/>
            <w:vAlign w:val="center"/>
          </w:tcPr>
          <w:p w14:paraId="43914775">
            <w:pPr>
              <w:pStyle w:val="52"/>
              <w:bidi w:val="0"/>
              <w:rPr>
                <w:color w:val="auto"/>
              </w:rPr>
            </w:pPr>
          </w:p>
        </w:tc>
        <w:tc>
          <w:tcPr>
            <w:tcW w:w="1443" w:type="dxa"/>
            <w:vMerge w:val="continue"/>
            <w:vAlign w:val="center"/>
          </w:tcPr>
          <w:p w14:paraId="376F2AB9">
            <w:pPr>
              <w:pStyle w:val="52"/>
              <w:bidi w:val="0"/>
              <w:rPr>
                <w:color w:val="auto"/>
              </w:rPr>
            </w:pPr>
          </w:p>
        </w:tc>
      </w:tr>
      <w:tr w14:paraId="2C253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14:paraId="69A0A4CB">
            <w:pPr>
              <w:pStyle w:val="52"/>
              <w:bidi w:val="0"/>
              <w:rPr>
                <w:color w:val="auto"/>
              </w:rPr>
            </w:pPr>
            <w:r>
              <w:rPr>
                <w:rFonts w:hint="eastAsia"/>
                <w:color w:val="auto"/>
              </w:rPr>
              <w:t>3</w:t>
            </w:r>
          </w:p>
        </w:tc>
        <w:tc>
          <w:tcPr>
            <w:tcW w:w="1747" w:type="dxa"/>
            <w:shd w:val="clear" w:color="auto" w:fill="auto"/>
            <w:vAlign w:val="center"/>
          </w:tcPr>
          <w:p w14:paraId="52DEE739">
            <w:pPr>
              <w:pStyle w:val="52"/>
              <w:bidi w:val="0"/>
              <w:rPr>
                <w:rFonts w:hint="default"/>
                <w:color w:val="auto"/>
                <w:lang w:val="en-US" w:eastAsia="zh-CN"/>
              </w:rPr>
            </w:pPr>
            <w:r>
              <w:rPr>
                <w:rFonts w:hint="eastAsia"/>
                <w:color w:val="auto"/>
                <w:lang w:val="en-US" w:eastAsia="zh-CN"/>
              </w:rPr>
              <w:t>设备清洗水</w:t>
            </w:r>
          </w:p>
        </w:tc>
        <w:tc>
          <w:tcPr>
            <w:tcW w:w="1372" w:type="dxa"/>
            <w:vMerge w:val="continue"/>
            <w:vAlign w:val="center"/>
          </w:tcPr>
          <w:p w14:paraId="4C5949A0">
            <w:pPr>
              <w:pStyle w:val="52"/>
              <w:bidi w:val="0"/>
              <w:rPr>
                <w:color w:val="auto"/>
              </w:rPr>
            </w:pPr>
          </w:p>
        </w:tc>
        <w:tc>
          <w:tcPr>
            <w:tcW w:w="1124" w:type="dxa"/>
            <w:vMerge w:val="continue"/>
            <w:vAlign w:val="center"/>
          </w:tcPr>
          <w:p w14:paraId="186A69C0">
            <w:pPr>
              <w:pStyle w:val="52"/>
              <w:bidi w:val="0"/>
              <w:rPr>
                <w:color w:val="auto"/>
              </w:rPr>
            </w:pPr>
          </w:p>
        </w:tc>
        <w:tc>
          <w:tcPr>
            <w:tcW w:w="1064" w:type="dxa"/>
            <w:vMerge w:val="continue"/>
            <w:vAlign w:val="center"/>
          </w:tcPr>
          <w:p w14:paraId="4567B06F">
            <w:pPr>
              <w:pStyle w:val="52"/>
              <w:bidi w:val="0"/>
              <w:rPr>
                <w:color w:val="auto"/>
              </w:rPr>
            </w:pPr>
          </w:p>
        </w:tc>
        <w:tc>
          <w:tcPr>
            <w:tcW w:w="1296" w:type="dxa"/>
            <w:vMerge w:val="continue"/>
            <w:vAlign w:val="center"/>
          </w:tcPr>
          <w:p w14:paraId="35E86951">
            <w:pPr>
              <w:pStyle w:val="52"/>
              <w:bidi w:val="0"/>
              <w:rPr>
                <w:color w:val="auto"/>
              </w:rPr>
            </w:pPr>
          </w:p>
        </w:tc>
        <w:tc>
          <w:tcPr>
            <w:tcW w:w="1377" w:type="dxa"/>
            <w:vMerge w:val="continue"/>
            <w:shd w:val="clear" w:color="auto" w:fill="auto"/>
            <w:vAlign w:val="center"/>
          </w:tcPr>
          <w:p w14:paraId="301D1DD8">
            <w:pPr>
              <w:pStyle w:val="52"/>
              <w:bidi w:val="0"/>
              <w:rPr>
                <w:rFonts w:hint="default"/>
                <w:color w:val="auto"/>
                <w:lang w:val="en-US" w:eastAsia="zh-CN"/>
              </w:rPr>
            </w:pPr>
          </w:p>
        </w:tc>
        <w:tc>
          <w:tcPr>
            <w:tcW w:w="1745" w:type="dxa"/>
            <w:vMerge w:val="continue"/>
            <w:vAlign w:val="center"/>
          </w:tcPr>
          <w:p w14:paraId="680EC401">
            <w:pPr>
              <w:pStyle w:val="52"/>
              <w:bidi w:val="0"/>
              <w:rPr>
                <w:color w:val="auto"/>
              </w:rPr>
            </w:pPr>
          </w:p>
        </w:tc>
        <w:tc>
          <w:tcPr>
            <w:tcW w:w="947" w:type="dxa"/>
            <w:vMerge w:val="continue"/>
            <w:vAlign w:val="center"/>
          </w:tcPr>
          <w:p w14:paraId="198240B8">
            <w:pPr>
              <w:pStyle w:val="52"/>
              <w:bidi w:val="0"/>
              <w:rPr>
                <w:color w:val="auto"/>
              </w:rPr>
            </w:pPr>
          </w:p>
        </w:tc>
        <w:tc>
          <w:tcPr>
            <w:tcW w:w="1129" w:type="dxa"/>
            <w:vMerge w:val="continue"/>
            <w:vAlign w:val="center"/>
          </w:tcPr>
          <w:p w14:paraId="34F98AF7">
            <w:pPr>
              <w:pStyle w:val="52"/>
              <w:bidi w:val="0"/>
              <w:rPr>
                <w:color w:val="auto"/>
              </w:rPr>
            </w:pPr>
          </w:p>
        </w:tc>
        <w:tc>
          <w:tcPr>
            <w:tcW w:w="1443" w:type="dxa"/>
            <w:vMerge w:val="continue"/>
            <w:vAlign w:val="center"/>
          </w:tcPr>
          <w:p w14:paraId="64550171">
            <w:pPr>
              <w:pStyle w:val="52"/>
              <w:bidi w:val="0"/>
              <w:rPr>
                <w:color w:val="auto"/>
              </w:rPr>
            </w:pPr>
          </w:p>
        </w:tc>
      </w:tr>
      <w:tr w14:paraId="46E5A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14:paraId="2A0E57C6">
            <w:pPr>
              <w:pStyle w:val="52"/>
              <w:bidi w:val="0"/>
              <w:rPr>
                <w:color w:val="auto"/>
              </w:rPr>
            </w:pPr>
            <w:r>
              <w:rPr>
                <w:rFonts w:hint="eastAsia"/>
                <w:color w:val="auto"/>
              </w:rPr>
              <w:t>4</w:t>
            </w:r>
          </w:p>
        </w:tc>
        <w:tc>
          <w:tcPr>
            <w:tcW w:w="1747" w:type="dxa"/>
            <w:shd w:val="clear" w:color="auto" w:fill="auto"/>
            <w:vAlign w:val="center"/>
          </w:tcPr>
          <w:p w14:paraId="034A1E86">
            <w:pPr>
              <w:pStyle w:val="52"/>
              <w:bidi w:val="0"/>
              <w:rPr>
                <w:rFonts w:hint="default"/>
                <w:color w:val="auto"/>
                <w:lang w:val="en-US" w:eastAsia="zh-CN"/>
              </w:rPr>
            </w:pPr>
            <w:r>
              <w:rPr>
                <w:rFonts w:hint="eastAsia"/>
                <w:color w:val="auto"/>
                <w:lang w:val="en-US" w:eastAsia="zh-CN"/>
              </w:rPr>
              <w:t>车间地面清洗水</w:t>
            </w:r>
          </w:p>
        </w:tc>
        <w:tc>
          <w:tcPr>
            <w:tcW w:w="1372" w:type="dxa"/>
            <w:vMerge w:val="continue"/>
            <w:vAlign w:val="center"/>
          </w:tcPr>
          <w:p w14:paraId="4D81BB1E">
            <w:pPr>
              <w:pStyle w:val="52"/>
              <w:bidi w:val="0"/>
              <w:rPr>
                <w:color w:val="auto"/>
              </w:rPr>
            </w:pPr>
          </w:p>
        </w:tc>
        <w:tc>
          <w:tcPr>
            <w:tcW w:w="1124" w:type="dxa"/>
            <w:vMerge w:val="continue"/>
            <w:vAlign w:val="center"/>
          </w:tcPr>
          <w:p w14:paraId="04F44FD6">
            <w:pPr>
              <w:pStyle w:val="52"/>
              <w:bidi w:val="0"/>
              <w:rPr>
                <w:color w:val="auto"/>
              </w:rPr>
            </w:pPr>
          </w:p>
        </w:tc>
        <w:tc>
          <w:tcPr>
            <w:tcW w:w="1064" w:type="dxa"/>
            <w:vMerge w:val="continue"/>
            <w:vAlign w:val="center"/>
          </w:tcPr>
          <w:p w14:paraId="2BA7785F">
            <w:pPr>
              <w:pStyle w:val="52"/>
              <w:bidi w:val="0"/>
              <w:rPr>
                <w:color w:val="auto"/>
              </w:rPr>
            </w:pPr>
          </w:p>
        </w:tc>
        <w:tc>
          <w:tcPr>
            <w:tcW w:w="1296" w:type="dxa"/>
            <w:vMerge w:val="continue"/>
            <w:vAlign w:val="center"/>
          </w:tcPr>
          <w:p w14:paraId="52C18DC2">
            <w:pPr>
              <w:pStyle w:val="52"/>
              <w:bidi w:val="0"/>
              <w:rPr>
                <w:color w:val="auto"/>
              </w:rPr>
            </w:pPr>
          </w:p>
        </w:tc>
        <w:tc>
          <w:tcPr>
            <w:tcW w:w="1377" w:type="dxa"/>
            <w:vMerge w:val="continue"/>
            <w:shd w:val="clear" w:color="auto" w:fill="auto"/>
            <w:vAlign w:val="center"/>
          </w:tcPr>
          <w:p w14:paraId="66681C9F">
            <w:pPr>
              <w:pStyle w:val="52"/>
              <w:bidi w:val="0"/>
              <w:rPr>
                <w:rFonts w:hint="default"/>
                <w:color w:val="auto"/>
                <w:lang w:val="en-US" w:eastAsia="zh-CN"/>
              </w:rPr>
            </w:pPr>
          </w:p>
        </w:tc>
        <w:tc>
          <w:tcPr>
            <w:tcW w:w="1745" w:type="dxa"/>
            <w:vMerge w:val="continue"/>
            <w:vAlign w:val="center"/>
          </w:tcPr>
          <w:p w14:paraId="431EF519">
            <w:pPr>
              <w:pStyle w:val="52"/>
              <w:bidi w:val="0"/>
              <w:rPr>
                <w:color w:val="auto"/>
              </w:rPr>
            </w:pPr>
          </w:p>
        </w:tc>
        <w:tc>
          <w:tcPr>
            <w:tcW w:w="947" w:type="dxa"/>
            <w:vMerge w:val="continue"/>
            <w:vAlign w:val="center"/>
          </w:tcPr>
          <w:p w14:paraId="15ADAB28">
            <w:pPr>
              <w:pStyle w:val="52"/>
              <w:bidi w:val="0"/>
              <w:rPr>
                <w:color w:val="auto"/>
              </w:rPr>
            </w:pPr>
          </w:p>
        </w:tc>
        <w:tc>
          <w:tcPr>
            <w:tcW w:w="1129" w:type="dxa"/>
            <w:vMerge w:val="continue"/>
            <w:vAlign w:val="center"/>
          </w:tcPr>
          <w:p w14:paraId="428BE6A9">
            <w:pPr>
              <w:pStyle w:val="52"/>
              <w:bidi w:val="0"/>
              <w:rPr>
                <w:color w:val="auto"/>
              </w:rPr>
            </w:pPr>
          </w:p>
        </w:tc>
        <w:tc>
          <w:tcPr>
            <w:tcW w:w="1443" w:type="dxa"/>
            <w:vMerge w:val="continue"/>
            <w:vAlign w:val="center"/>
          </w:tcPr>
          <w:p w14:paraId="0C1CC607">
            <w:pPr>
              <w:pStyle w:val="52"/>
              <w:bidi w:val="0"/>
              <w:rPr>
                <w:color w:val="auto"/>
              </w:rPr>
            </w:pPr>
          </w:p>
        </w:tc>
      </w:tr>
      <w:tr w14:paraId="3A466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14:paraId="73FE6B3C">
            <w:pPr>
              <w:pStyle w:val="52"/>
              <w:bidi w:val="0"/>
              <w:rPr>
                <w:color w:val="auto"/>
              </w:rPr>
            </w:pPr>
            <w:r>
              <w:rPr>
                <w:rFonts w:hint="eastAsia"/>
                <w:color w:val="auto"/>
              </w:rPr>
              <w:t>5</w:t>
            </w:r>
          </w:p>
        </w:tc>
        <w:tc>
          <w:tcPr>
            <w:tcW w:w="1747" w:type="dxa"/>
            <w:shd w:val="clear" w:color="auto" w:fill="auto"/>
            <w:vAlign w:val="center"/>
          </w:tcPr>
          <w:p w14:paraId="0264E0F9">
            <w:pPr>
              <w:pStyle w:val="52"/>
              <w:bidi w:val="0"/>
              <w:rPr>
                <w:rFonts w:hint="default"/>
                <w:color w:val="auto"/>
                <w:lang w:val="en-US" w:eastAsia="zh-CN"/>
              </w:rPr>
            </w:pPr>
            <w:r>
              <w:rPr>
                <w:rFonts w:hint="eastAsia"/>
                <w:color w:val="auto"/>
                <w:lang w:val="en-US" w:eastAsia="zh-CN"/>
              </w:rPr>
              <w:t>废气处理废水</w:t>
            </w:r>
          </w:p>
        </w:tc>
        <w:tc>
          <w:tcPr>
            <w:tcW w:w="1372" w:type="dxa"/>
            <w:vMerge w:val="continue"/>
            <w:vAlign w:val="center"/>
          </w:tcPr>
          <w:p w14:paraId="731773D1">
            <w:pPr>
              <w:pStyle w:val="52"/>
              <w:bidi w:val="0"/>
              <w:rPr>
                <w:color w:val="auto"/>
              </w:rPr>
            </w:pPr>
          </w:p>
        </w:tc>
        <w:tc>
          <w:tcPr>
            <w:tcW w:w="1124" w:type="dxa"/>
            <w:vMerge w:val="continue"/>
            <w:vAlign w:val="center"/>
          </w:tcPr>
          <w:p w14:paraId="65C2FE14">
            <w:pPr>
              <w:pStyle w:val="52"/>
              <w:bidi w:val="0"/>
              <w:rPr>
                <w:color w:val="auto"/>
              </w:rPr>
            </w:pPr>
          </w:p>
        </w:tc>
        <w:tc>
          <w:tcPr>
            <w:tcW w:w="1064" w:type="dxa"/>
            <w:vMerge w:val="continue"/>
            <w:vAlign w:val="center"/>
          </w:tcPr>
          <w:p w14:paraId="049A3E6E">
            <w:pPr>
              <w:pStyle w:val="52"/>
              <w:bidi w:val="0"/>
              <w:rPr>
                <w:color w:val="auto"/>
              </w:rPr>
            </w:pPr>
          </w:p>
        </w:tc>
        <w:tc>
          <w:tcPr>
            <w:tcW w:w="1296" w:type="dxa"/>
            <w:vMerge w:val="continue"/>
            <w:vAlign w:val="center"/>
          </w:tcPr>
          <w:p w14:paraId="2C59AA6C">
            <w:pPr>
              <w:pStyle w:val="52"/>
              <w:bidi w:val="0"/>
              <w:rPr>
                <w:color w:val="auto"/>
              </w:rPr>
            </w:pPr>
          </w:p>
        </w:tc>
        <w:tc>
          <w:tcPr>
            <w:tcW w:w="1377" w:type="dxa"/>
            <w:vMerge w:val="continue"/>
            <w:shd w:val="clear" w:color="auto" w:fill="auto"/>
            <w:vAlign w:val="center"/>
          </w:tcPr>
          <w:p w14:paraId="06EBCE60">
            <w:pPr>
              <w:pStyle w:val="52"/>
              <w:bidi w:val="0"/>
              <w:rPr>
                <w:rFonts w:hint="default"/>
                <w:color w:val="auto"/>
                <w:lang w:val="en-US" w:eastAsia="zh-CN"/>
              </w:rPr>
            </w:pPr>
          </w:p>
        </w:tc>
        <w:tc>
          <w:tcPr>
            <w:tcW w:w="1745" w:type="dxa"/>
            <w:vMerge w:val="continue"/>
            <w:vAlign w:val="center"/>
          </w:tcPr>
          <w:p w14:paraId="1F58E3E3">
            <w:pPr>
              <w:pStyle w:val="52"/>
              <w:bidi w:val="0"/>
              <w:rPr>
                <w:color w:val="auto"/>
              </w:rPr>
            </w:pPr>
          </w:p>
        </w:tc>
        <w:tc>
          <w:tcPr>
            <w:tcW w:w="947" w:type="dxa"/>
            <w:vMerge w:val="continue"/>
            <w:vAlign w:val="center"/>
          </w:tcPr>
          <w:p w14:paraId="302B38FB">
            <w:pPr>
              <w:pStyle w:val="52"/>
              <w:bidi w:val="0"/>
              <w:rPr>
                <w:color w:val="auto"/>
              </w:rPr>
            </w:pPr>
          </w:p>
        </w:tc>
        <w:tc>
          <w:tcPr>
            <w:tcW w:w="1129" w:type="dxa"/>
            <w:vMerge w:val="continue"/>
            <w:vAlign w:val="center"/>
          </w:tcPr>
          <w:p w14:paraId="0535D3E6">
            <w:pPr>
              <w:pStyle w:val="52"/>
              <w:bidi w:val="0"/>
              <w:rPr>
                <w:color w:val="auto"/>
              </w:rPr>
            </w:pPr>
          </w:p>
        </w:tc>
        <w:tc>
          <w:tcPr>
            <w:tcW w:w="1443" w:type="dxa"/>
            <w:vMerge w:val="continue"/>
            <w:vAlign w:val="center"/>
          </w:tcPr>
          <w:p w14:paraId="7D0EC271">
            <w:pPr>
              <w:pStyle w:val="52"/>
              <w:bidi w:val="0"/>
              <w:rPr>
                <w:color w:val="auto"/>
              </w:rPr>
            </w:pPr>
          </w:p>
        </w:tc>
      </w:tr>
      <w:tr w14:paraId="184FB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14:paraId="3A49540C">
            <w:pPr>
              <w:pStyle w:val="52"/>
              <w:bidi w:val="0"/>
              <w:rPr>
                <w:color w:val="auto"/>
              </w:rPr>
            </w:pPr>
            <w:r>
              <w:rPr>
                <w:rFonts w:hint="eastAsia"/>
                <w:color w:val="auto"/>
              </w:rPr>
              <w:t>6</w:t>
            </w:r>
          </w:p>
        </w:tc>
        <w:tc>
          <w:tcPr>
            <w:tcW w:w="1747" w:type="dxa"/>
            <w:shd w:val="clear" w:color="auto" w:fill="auto"/>
            <w:vAlign w:val="center"/>
          </w:tcPr>
          <w:p w14:paraId="2A2A2B53">
            <w:pPr>
              <w:pStyle w:val="52"/>
              <w:bidi w:val="0"/>
              <w:rPr>
                <w:rFonts w:hint="default"/>
                <w:color w:val="auto"/>
                <w:lang w:val="en-US" w:eastAsia="zh-CN"/>
              </w:rPr>
            </w:pPr>
            <w:r>
              <w:rPr>
                <w:rFonts w:hint="eastAsia"/>
                <w:color w:val="auto"/>
                <w:lang w:val="en-US" w:eastAsia="zh-CN"/>
              </w:rPr>
              <w:t>循环冷却水</w:t>
            </w:r>
          </w:p>
        </w:tc>
        <w:tc>
          <w:tcPr>
            <w:tcW w:w="1372" w:type="dxa"/>
            <w:vMerge w:val="continue"/>
            <w:vAlign w:val="center"/>
          </w:tcPr>
          <w:p w14:paraId="2ECCD643">
            <w:pPr>
              <w:pStyle w:val="52"/>
              <w:bidi w:val="0"/>
              <w:rPr>
                <w:color w:val="auto"/>
              </w:rPr>
            </w:pPr>
          </w:p>
        </w:tc>
        <w:tc>
          <w:tcPr>
            <w:tcW w:w="1124" w:type="dxa"/>
            <w:vMerge w:val="continue"/>
            <w:vAlign w:val="center"/>
          </w:tcPr>
          <w:p w14:paraId="03448A48">
            <w:pPr>
              <w:pStyle w:val="52"/>
              <w:bidi w:val="0"/>
              <w:rPr>
                <w:color w:val="auto"/>
              </w:rPr>
            </w:pPr>
          </w:p>
        </w:tc>
        <w:tc>
          <w:tcPr>
            <w:tcW w:w="1064" w:type="dxa"/>
            <w:vMerge w:val="continue"/>
            <w:vAlign w:val="center"/>
          </w:tcPr>
          <w:p w14:paraId="777999A2">
            <w:pPr>
              <w:pStyle w:val="52"/>
              <w:bidi w:val="0"/>
              <w:rPr>
                <w:color w:val="auto"/>
              </w:rPr>
            </w:pPr>
          </w:p>
        </w:tc>
        <w:tc>
          <w:tcPr>
            <w:tcW w:w="1296" w:type="dxa"/>
            <w:vMerge w:val="continue"/>
            <w:vAlign w:val="center"/>
          </w:tcPr>
          <w:p w14:paraId="0F07E5E0">
            <w:pPr>
              <w:pStyle w:val="52"/>
              <w:bidi w:val="0"/>
              <w:rPr>
                <w:color w:val="auto"/>
              </w:rPr>
            </w:pPr>
          </w:p>
        </w:tc>
        <w:tc>
          <w:tcPr>
            <w:tcW w:w="1377" w:type="dxa"/>
            <w:vMerge w:val="continue"/>
            <w:shd w:val="clear" w:color="auto" w:fill="auto"/>
            <w:vAlign w:val="center"/>
          </w:tcPr>
          <w:p w14:paraId="3D0A7CE5">
            <w:pPr>
              <w:pStyle w:val="52"/>
              <w:bidi w:val="0"/>
              <w:rPr>
                <w:rFonts w:hint="default"/>
                <w:color w:val="auto"/>
                <w:lang w:val="en-US" w:eastAsia="zh-CN"/>
              </w:rPr>
            </w:pPr>
          </w:p>
        </w:tc>
        <w:tc>
          <w:tcPr>
            <w:tcW w:w="1745" w:type="dxa"/>
            <w:vMerge w:val="continue"/>
            <w:vAlign w:val="center"/>
          </w:tcPr>
          <w:p w14:paraId="566631B6">
            <w:pPr>
              <w:pStyle w:val="52"/>
              <w:bidi w:val="0"/>
              <w:rPr>
                <w:color w:val="auto"/>
              </w:rPr>
            </w:pPr>
          </w:p>
        </w:tc>
        <w:tc>
          <w:tcPr>
            <w:tcW w:w="947" w:type="dxa"/>
            <w:vMerge w:val="continue"/>
            <w:vAlign w:val="center"/>
          </w:tcPr>
          <w:p w14:paraId="298DE8C3">
            <w:pPr>
              <w:pStyle w:val="52"/>
              <w:bidi w:val="0"/>
              <w:rPr>
                <w:color w:val="auto"/>
              </w:rPr>
            </w:pPr>
          </w:p>
        </w:tc>
        <w:tc>
          <w:tcPr>
            <w:tcW w:w="1129" w:type="dxa"/>
            <w:vMerge w:val="continue"/>
            <w:vAlign w:val="center"/>
          </w:tcPr>
          <w:p w14:paraId="44274BEB">
            <w:pPr>
              <w:pStyle w:val="52"/>
              <w:bidi w:val="0"/>
              <w:rPr>
                <w:color w:val="auto"/>
              </w:rPr>
            </w:pPr>
          </w:p>
        </w:tc>
        <w:tc>
          <w:tcPr>
            <w:tcW w:w="1443" w:type="dxa"/>
            <w:vMerge w:val="continue"/>
            <w:vAlign w:val="center"/>
          </w:tcPr>
          <w:p w14:paraId="3298505C">
            <w:pPr>
              <w:pStyle w:val="52"/>
              <w:bidi w:val="0"/>
              <w:rPr>
                <w:color w:val="auto"/>
              </w:rPr>
            </w:pPr>
          </w:p>
        </w:tc>
      </w:tr>
      <w:tr w14:paraId="1D2C6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5BAAF872">
            <w:pPr>
              <w:pStyle w:val="52"/>
              <w:bidi w:val="0"/>
              <w:rPr>
                <w:rFonts w:hint="eastAsia"/>
                <w:color w:val="auto"/>
                <w:lang w:val="en-US" w:eastAsia="zh-CN"/>
              </w:rPr>
            </w:pPr>
            <w:r>
              <w:rPr>
                <w:rFonts w:hint="eastAsia"/>
                <w:color w:val="auto"/>
                <w:lang w:val="en-US" w:eastAsia="zh-CN"/>
              </w:rPr>
              <w:t>7</w:t>
            </w:r>
          </w:p>
        </w:tc>
        <w:tc>
          <w:tcPr>
            <w:tcW w:w="1747" w:type="dxa"/>
            <w:shd w:val="clear" w:color="auto" w:fill="auto"/>
            <w:vAlign w:val="center"/>
          </w:tcPr>
          <w:p w14:paraId="5FF3CA68">
            <w:pPr>
              <w:pStyle w:val="52"/>
              <w:bidi w:val="0"/>
              <w:rPr>
                <w:rFonts w:hint="default"/>
                <w:color w:val="auto"/>
                <w:lang w:val="en-US" w:eastAsia="zh-CN"/>
              </w:rPr>
            </w:pPr>
            <w:r>
              <w:rPr>
                <w:rFonts w:hint="eastAsia"/>
                <w:color w:val="auto"/>
                <w:lang w:val="en-US" w:eastAsia="zh-CN"/>
              </w:rPr>
              <w:t>纯水制备浓水</w:t>
            </w:r>
          </w:p>
        </w:tc>
        <w:tc>
          <w:tcPr>
            <w:tcW w:w="1372" w:type="dxa"/>
            <w:vMerge w:val="continue"/>
            <w:vAlign w:val="center"/>
          </w:tcPr>
          <w:p w14:paraId="07903728">
            <w:pPr>
              <w:pStyle w:val="52"/>
              <w:bidi w:val="0"/>
              <w:rPr>
                <w:color w:val="auto"/>
              </w:rPr>
            </w:pPr>
          </w:p>
        </w:tc>
        <w:tc>
          <w:tcPr>
            <w:tcW w:w="1124" w:type="dxa"/>
            <w:vMerge w:val="continue"/>
            <w:vAlign w:val="center"/>
          </w:tcPr>
          <w:p w14:paraId="413EE401">
            <w:pPr>
              <w:pStyle w:val="52"/>
              <w:bidi w:val="0"/>
              <w:rPr>
                <w:color w:val="auto"/>
              </w:rPr>
            </w:pPr>
          </w:p>
        </w:tc>
        <w:tc>
          <w:tcPr>
            <w:tcW w:w="1064" w:type="dxa"/>
            <w:vMerge w:val="continue"/>
            <w:vAlign w:val="center"/>
          </w:tcPr>
          <w:p w14:paraId="491C2FD1">
            <w:pPr>
              <w:pStyle w:val="52"/>
              <w:bidi w:val="0"/>
              <w:rPr>
                <w:color w:val="auto"/>
              </w:rPr>
            </w:pPr>
          </w:p>
        </w:tc>
        <w:tc>
          <w:tcPr>
            <w:tcW w:w="1296" w:type="dxa"/>
            <w:vMerge w:val="continue"/>
            <w:vAlign w:val="center"/>
          </w:tcPr>
          <w:p w14:paraId="3E0FDA2B">
            <w:pPr>
              <w:pStyle w:val="52"/>
              <w:bidi w:val="0"/>
              <w:rPr>
                <w:color w:val="auto"/>
              </w:rPr>
            </w:pPr>
          </w:p>
        </w:tc>
        <w:tc>
          <w:tcPr>
            <w:tcW w:w="1377" w:type="dxa"/>
            <w:vMerge w:val="continue"/>
            <w:shd w:val="clear" w:color="auto" w:fill="auto"/>
            <w:vAlign w:val="center"/>
          </w:tcPr>
          <w:p w14:paraId="555641A8">
            <w:pPr>
              <w:pStyle w:val="52"/>
              <w:bidi w:val="0"/>
              <w:rPr>
                <w:rFonts w:hint="default"/>
                <w:color w:val="auto"/>
                <w:lang w:val="en-US" w:eastAsia="zh-CN"/>
              </w:rPr>
            </w:pPr>
          </w:p>
        </w:tc>
        <w:tc>
          <w:tcPr>
            <w:tcW w:w="1745" w:type="dxa"/>
            <w:vMerge w:val="continue"/>
            <w:vAlign w:val="center"/>
          </w:tcPr>
          <w:p w14:paraId="4B1969CD">
            <w:pPr>
              <w:pStyle w:val="52"/>
              <w:bidi w:val="0"/>
              <w:rPr>
                <w:color w:val="auto"/>
              </w:rPr>
            </w:pPr>
          </w:p>
        </w:tc>
        <w:tc>
          <w:tcPr>
            <w:tcW w:w="947" w:type="dxa"/>
            <w:vMerge w:val="continue"/>
            <w:vAlign w:val="center"/>
          </w:tcPr>
          <w:p w14:paraId="4017F3E3">
            <w:pPr>
              <w:pStyle w:val="52"/>
              <w:bidi w:val="0"/>
              <w:rPr>
                <w:color w:val="auto"/>
              </w:rPr>
            </w:pPr>
          </w:p>
        </w:tc>
        <w:tc>
          <w:tcPr>
            <w:tcW w:w="1129" w:type="dxa"/>
            <w:vMerge w:val="continue"/>
            <w:vAlign w:val="center"/>
          </w:tcPr>
          <w:p w14:paraId="05F6B018">
            <w:pPr>
              <w:pStyle w:val="52"/>
              <w:bidi w:val="0"/>
              <w:rPr>
                <w:color w:val="auto"/>
              </w:rPr>
            </w:pPr>
          </w:p>
        </w:tc>
        <w:tc>
          <w:tcPr>
            <w:tcW w:w="1443" w:type="dxa"/>
            <w:vMerge w:val="continue"/>
            <w:vAlign w:val="center"/>
          </w:tcPr>
          <w:p w14:paraId="5AC26870">
            <w:pPr>
              <w:pStyle w:val="52"/>
              <w:bidi w:val="0"/>
              <w:rPr>
                <w:color w:val="auto"/>
              </w:rPr>
            </w:pPr>
          </w:p>
        </w:tc>
      </w:tr>
      <w:tr w14:paraId="454C0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Align w:val="center"/>
          </w:tcPr>
          <w:p w14:paraId="7B626CC7">
            <w:pPr>
              <w:pStyle w:val="52"/>
              <w:bidi w:val="0"/>
              <w:rPr>
                <w:rFonts w:hint="eastAsia"/>
                <w:color w:val="auto"/>
                <w:lang w:val="en-US" w:eastAsia="zh-CN"/>
              </w:rPr>
            </w:pPr>
            <w:r>
              <w:rPr>
                <w:rFonts w:hint="eastAsia"/>
                <w:color w:val="auto"/>
                <w:lang w:val="en-US" w:eastAsia="zh-CN"/>
              </w:rPr>
              <w:t>8</w:t>
            </w:r>
          </w:p>
        </w:tc>
        <w:tc>
          <w:tcPr>
            <w:tcW w:w="1747" w:type="dxa"/>
            <w:shd w:val="clear" w:color="auto" w:fill="auto"/>
            <w:vAlign w:val="center"/>
          </w:tcPr>
          <w:p w14:paraId="4602A34C">
            <w:pPr>
              <w:pStyle w:val="52"/>
              <w:bidi w:val="0"/>
              <w:rPr>
                <w:rFonts w:hint="default"/>
                <w:color w:val="auto"/>
                <w:lang w:val="en-US" w:eastAsia="zh-CN"/>
              </w:rPr>
            </w:pPr>
            <w:r>
              <w:rPr>
                <w:rFonts w:hint="eastAsia"/>
                <w:color w:val="auto"/>
                <w:lang w:val="en-US" w:eastAsia="zh-CN"/>
              </w:rPr>
              <w:t>生活用水</w:t>
            </w:r>
          </w:p>
        </w:tc>
        <w:tc>
          <w:tcPr>
            <w:tcW w:w="1372" w:type="dxa"/>
            <w:vMerge w:val="continue"/>
            <w:vAlign w:val="center"/>
          </w:tcPr>
          <w:p w14:paraId="59B0548B">
            <w:pPr>
              <w:pStyle w:val="52"/>
              <w:bidi w:val="0"/>
              <w:rPr>
                <w:color w:val="auto"/>
              </w:rPr>
            </w:pPr>
          </w:p>
        </w:tc>
        <w:tc>
          <w:tcPr>
            <w:tcW w:w="1124" w:type="dxa"/>
            <w:vMerge w:val="continue"/>
            <w:vAlign w:val="center"/>
          </w:tcPr>
          <w:p w14:paraId="2220853A">
            <w:pPr>
              <w:pStyle w:val="52"/>
              <w:bidi w:val="0"/>
              <w:rPr>
                <w:color w:val="auto"/>
              </w:rPr>
            </w:pPr>
          </w:p>
        </w:tc>
        <w:tc>
          <w:tcPr>
            <w:tcW w:w="1064" w:type="dxa"/>
            <w:vMerge w:val="continue"/>
            <w:vAlign w:val="center"/>
          </w:tcPr>
          <w:p w14:paraId="5B95AA58">
            <w:pPr>
              <w:pStyle w:val="52"/>
              <w:bidi w:val="0"/>
              <w:rPr>
                <w:color w:val="auto"/>
              </w:rPr>
            </w:pPr>
          </w:p>
        </w:tc>
        <w:tc>
          <w:tcPr>
            <w:tcW w:w="1296" w:type="dxa"/>
            <w:vAlign w:val="center"/>
          </w:tcPr>
          <w:p w14:paraId="7DC2A9D0">
            <w:pPr>
              <w:pStyle w:val="52"/>
              <w:bidi w:val="0"/>
              <w:rPr>
                <w:rFonts w:hint="default"/>
                <w:color w:val="auto"/>
                <w:lang w:val="en-US" w:eastAsia="zh-CN"/>
              </w:rPr>
            </w:pPr>
            <w:r>
              <w:rPr>
                <w:rFonts w:hint="eastAsia"/>
                <w:color w:val="auto"/>
                <w:lang w:val="en-US" w:eastAsia="zh-CN"/>
              </w:rPr>
              <w:t>TW002</w:t>
            </w:r>
          </w:p>
        </w:tc>
        <w:tc>
          <w:tcPr>
            <w:tcW w:w="1377" w:type="dxa"/>
            <w:shd w:val="clear" w:color="auto" w:fill="auto"/>
            <w:vAlign w:val="center"/>
          </w:tcPr>
          <w:p w14:paraId="063E677A">
            <w:pPr>
              <w:pStyle w:val="52"/>
              <w:bidi w:val="0"/>
              <w:rPr>
                <w:rFonts w:hint="default"/>
                <w:color w:val="auto"/>
                <w:lang w:val="en-US" w:eastAsia="zh-CN"/>
              </w:rPr>
            </w:pPr>
            <w:r>
              <w:rPr>
                <w:rFonts w:hint="eastAsia"/>
                <w:color w:val="auto"/>
                <w:lang w:val="en-US" w:eastAsia="zh-CN"/>
              </w:rPr>
              <w:t>化粪池+污水处理站</w:t>
            </w:r>
          </w:p>
        </w:tc>
        <w:tc>
          <w:tcPr>
            <w:tcW w:w="1745" w:type="dxa"/>
            <w:vAlign w:val="center"/>
          </w:tcPr>
          <w:p w14:paraId="4D44D022">
            <w:pPr>
              <w:pStyle w:val="52"/>
              <w:bidi w:val="0"/>
              <w:rPr>
                <w:rFonts w:hint="default"/>
                <w:color w:val="auto"/>
                <w:lang w:val="en-US" w:eastAsia="zh-CN"/>
              </w:rPr>
            </w:pPr>
            <w:r>
              <w:rPr>
                <w:rFonts w:hint="eastAsia"/>
                <w:color w:val="auto"/>
                <w:lang w:val="en-US" w:eastAsia="zh-CN"/>
              </w:rPr>
              <w:t>厌氧沉淀+</w:t>
            </w:r>
            <w:r>
              <w:rPr>
                <w:rFonts w:hint="eastAsia"/>
                <w:color w:val="auto"/>
              </w:rPr>
              <w:t>物化+厌氧+A/O+气浮</w:t>
            </w:r>
          </w:p>
        </w:tc>
        <w:tc>
          <w:tcPr>
            <w:tcW w:w="947" w:type="dxa"/>
            <w:vMerge w:val="continue"/>
            <w:vAlign w:val="center"/>
          </w:tcPr>
          <w:p w14:paraId="7A1896B5">
            <w:pPr>
              <w:pStyle w:val="52"/>
              <w:bidi w:val="0"/>
              <w:rPr>
                <w:color w:val="auto"/>
              </w:rPr>
            </w:pPr>
          </w:p>
        </w:tc>
        <w:tc>
          <w:tcPr>
            <w:tcW w:w="1129" w:type="dxa"/>
            <w:vMerge w:val="continue"/>
            <w:vAlign w:val="center"/>
          </w:tcPr>
          <w:p w14:paraId="3CC4DDFB">
            <w:pPr>
              <w:pStyle w:val="52"/>
              <w:bidi w:val="0"/>
              <w:rPr>
                <w:color w:val="auto"/>
              </w:rPr>
            </w:pPr>
          </w:p>
        </w:tc>
        <w:tc>
          <w:tcPr>
            <w:tcW w:w="1443" w:type="dxa"/>
            <w:vMerge w:val="continue"/>
            <w:vAlign w:val="center"/>
          </w:tcPr>
          <w:p w14:paraId="46644140">
            <w:pPr>
              <w:pStyle w:val="52"/>
              <w:bidi w:val="0"/>
              <w:rPr>
                <w:color w:val="auto"/>
              </w:rPr>
            </w:pPr>
          </w:p>
        </w:tc>
      </w:tr>
    </w:tbl>
    <w:p w14:paraId="7CEB9D0F">
      <w:pPr>
        <w:pStyle w:val="6"/>
        <w:bidi w:val="0"/>
      </w:pPr>
      <w:r>
        <w:rPr>
          <w:rFonts w:hint="eastAsia"/>
        </w:rPr>
        <w:t>表6.2</w:t>
      </w:r>
      <w:r>
        <w:rPr>
          <w:rFonts w:hint="eastAsia"/>
          <w:lang w:val="en-US" w:eastAsia="zh-CN"/>
        </w:rPr>
        <w:t>.2</w:t>
      </w:r>
      <w:r>
        <w:t>-</w:t>
      </w:r>
      <w:r>
        <w:rPr>
          <w:rFonts w:hint="eastAsia"/>
          <w:lang w:val="en-US" w:eastAsia="zh-CN"/>
        </w:rPr>
        <w:t>3</w:t>
      </w:r>
      <w:r>
        <w:t xml:space="preserve">    废水间接排放口基本情况表</w:t>
      </w:r>
    </w:p>
    <w:tbl>
      <w:tblPr>
        <w:tblStyle w:val="41"/>
        <w:tblW w:w="139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3"/>
        <w:gridCol w:w="943"/>
        <w:gridCol w:w="1391"/>
        <w:gridCol w:w="1239"/>
        <w:gridCol w:w="1158"/>
        <w:gridCol w:w="1490"/>
        <w:gridCol w:w="1113"/>
        <w:gridCol w:w="1113"/>
        <w:gridCol w:w="1398"/>
        <w:gridCol w:w="1537"/>
        <w:gridCol w:w="1883"/>
      </w:tblGrid>
      <w:tr w14:paraId="7D78A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vMerge w:val="restart"/>
            <w:vAlign w:val="center"/>
          </w:tcPr>
          <w:p w14:paraId="75F53385">
            <w:pPr>
              <w:pStyle w:val="52"/>
              <w:bidi w:val="0"/>
            </w:pPr>
            <w:r>
              <w:t>序号</w:t>
            </w:r>
          </w:p>
        </w:tc>
        <w:tc>
          <w:tcPr>
            <w:tcW w:w="943" w:type="dxa"/>
            <w:vMerge w:val="restart"/>
            <w:vAlign w:val="center"/>
          </w:tcPr>
          <w:p w14:paraId="5AC664E2">
            <w:pPr>
              <w:pStyle w:val="52"/>
              <w:bidi w:val="0"/>
            </w:pPr>
            <w:r>
              <w:t>排放口编号</w:t>
            </w:r>
          </w:p>
        </w:tc>
        <w:tc>
          <w:tcPr>
            <w:tcW w:w="2630" w:type="dxa"/>
            <w:gridSpan w:val="2"/>
            <w:vAlign w:val="center"/>
          </w:tcPr>
          <w:p w14:paraId="08191DC7">
            <w:pPr>
              <w:pStyle w:val="52"/>
              <w:bidi w:val="0"/>
            </w:pPr>
            <w:r>
              <w:t>排放口地理坐标</w:t>
            </w:r>
          </w:p>
        </w:tc>
        <w:tc>
          <w:tcPr>
            <w:tcW w:w="1158" w:type="dxa"/>
            <w:vMerge w:val="restart"/>
            <w:vAlign w:val="center"/>
          </w:tcPr>
          <w:p w14:paraId="46980F71">
            <w:pPr>
              <w:pStyle w:val="52"/>
              <w:bidi w:val="0"/>
            </w:pPr>
            <w:r>
              <w:t>废水排放量（t/a）</w:t>
            </w:r>
          </w:p>
        </w:tc>
        <w:tc>
          <w:tcPr>
            <w:tcW w:w="1490" w:type="dxa"/>
            <w:vMerge w:val="restart"/>
            <w:vAlign w:val="center"/>
          </w:tcPr>
          <w:p w14:paraId="52954C13">
            <w:pPr>
              <w:pStyle w:val="52"/>
              <w:bidi w:val="0"/>
            </w:pPr>
            <w:r>
              <w:t>排放去向</w:t>
            </w:r>
          </w:p>
        </w:tc>
        <w:tc>
          <w:tcPr>
            <w:tcW w:w="1113" w:type="dxa"/>
            <w:vMerge w:val="restart"/>
            <w:vAlign w:val="center"/>
          </w:tcPr>
          <w:p w14:paraId="44944F91">
            <w:pPr>
              <w:pStyle w:val="52"/>
              <w:bidi w:val="0"/>
            </w:pPr>
            <w:r>
              <w:t>排放规律</w:t>
            </w:r>
          </w:p>
        </w:tc>
        <w:tc>
          <w:tcPr>
            <w:tcW w:w="1113" w:type="dxa"/>
            <w:vMerge w:val="restart"/>
            <w:vAlign w:val="center"/>
          </w:tcPr>
          <w:p w14:paraId="08BD3F47">
            <w:pPr>
              <w:pStyle w:val="52"/>
              <w:bidi w:val="0"/>
            </w:pPr>
            <w:r>
              <w:t>间歇排放时段</w:t>
            </w:r>
          </w:p>
        </w:tc>
        <w:tc>
          <w:tcPr>
            <w:tcW w:w="4818" w:type="dxa"/>
            <w:gridSpan w:val="3"/>
            <w:vAlign w:val="center"/>
          </w:tcPr>
          <w:p w14:paraId="5F3132D9">
            <w:pPr>
              <w:pStyle w:val="52"/>
              <w:bidi w:val="0"/>
            </w:pPr>
            <w:r>
              <w:t>受纳污水处理厂信息</w:t>
            </w:r>
          </w:p>
        </w:tc>
      </w:tr>
      <w:tr w14:paraId="4C8BA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3" w:type="dxa"/>
            <w:vMerge w:val="continue"/>
            <w:vAlign w:val="center"/>
          </w:tcPr>
          <w:p w14:paraId="18C04AE0">
            <w:pPr>
              <w:pStyle w:val="52"/>
              <w:bidi w:val="0"/>
            </w:pPr>
          </w:p>
        </w:tc>
        <w:tc>
          <w:tcPr>
            <w:tcW w:w="943" w:type="dxa"/>
            <w:vMerge w:val="continue"/>
            <w:vAlign w:val="center"/>
          </w:tcPr>
          <w:p w14:paraId="24054307">
            <w:pPr>
              <w:pStyle w:val="52"/>
              <w:bidi w:val="0"/>
            </w:pPr>
          </w:p>
        </w:tc>
        <w:tc>
          <w:tcPr>
            <w:tcW w:w="1391" w:type="dxa"/>
            <w:vAlign w:val="center"/>
          </w:tcPr>
          <w:p w14:paraId="78E91A3D">
            <w:pPr>
              <w:pStyle w:val="52"/>
              <w:bidi w:val="0"/>
            </w:pPr>
            <w:r>
              <w:t>经度（E）</w:t>
            </w:r>
          </w:p>
        </w:tc>
        <w:tc>
          <w:tcPr>
            <w:tcW w:w="1239" w:type="dxa"/>
            <w:vAlign w:val="center"/>
          </w:tcPr>
          <w:p w14:paraId="21A086EE">
            <w:pPr>
              <w:pStyle w:val="52"/>
              <w:bidi w:val="0"/>
            </w:pPr>
            <w:r>
              <w:t>纬度（N）</w:t>
            </w:r>
          </w:p>
        </w:tc>
        <w:tc>
          <w:tcPr>
            <w:tcW w:w="1158" w:type="dxa"/>
            <w:vMerge w:val="continue"/>
            <w:vAlign w:val="center"/>
          </w:tcPr>
          <w:p w14:paraId="26651A2D">
            <w:pPr>
              <w:pStyle w:val="52"/>
              <w:bidi w:val="0"/>
            </w:pPr>
          </w:p>
        </w:tc>
        <w:tc>
          <w:tcPr>
            <w:tcW w:w="1490" w:type="dxa"/>
            <w:vMerge w:val="continue"/>
            <w:vAlign w:val="center"/>
          </w:tcPr>
          <w:p w14:paraId="0FA9EF4A">
            <w:pPr>
              <w:pStyle w:val="52"/>
              <w:bidi w:val="0"/>
            </w:pPr>
          </w:p>
        </w:tc>
        <w:tc>
          <w:tcPr>
            <w:tcW w:w="1113" w:type="dxa"/>
            <w:vMerge w:val="continue"/>
            <w:vAlign w:val="center"/>
          </w:tcPr>
          <w:p w14:paraId="054DB38B">
            <w:pPr>
              <w:pStyle w:val="52"/>
              <w:bidi w:val="0"/>
            </w:pPr>
          </w:p>
        </w:tc>
        <w:tc>
          <w:tcPr>
            <w:tcW w:w="1113" w:type="dxa"/>
            <w:vMerge w:val="continue"/>
            <w:vAlign w:val="center"/>
          </w:tcPr>
          <w:p w14:paraId="10ED7DD1">
            <w:pPr>
              <w:pStyle w:val="52"/>
              <w:bidi w:val="0"/>
            </w:pPr>
          </w:p>
        </w:tc>
        <w:tc>
          <w:tcPr>
            <w:tcW w:w="1398" w:type="dxa"/>
            <w:vAlign w:val="center"/>
          </w:tcPr>
          <w:p w14:paraId="020075C0">
            <w:pPr>
              <w:pStyle w:val="52"/>
              <w:bidi w:val="0"/>
            </w:pPr>
            <w:r>
              <w:t>名称</w:t>
            </w:r>
          </w:p>
        </w:tc>
        <w:tc>
          <w:tcPr>
            <w:tcW w:w="1537" w:type="dxa"/>
            <w:vAlign w:val="center"/>
          </w:tcPr>
          <w:p w14:paraId="66B1EA6A">
            <w:pPr>
              <w:pStyle w:val="52"/>
              <w:bidi w:val="0"/>
            </w:pPr>
            <w:r>
              <w:t>污染物种类</w:t>
            </w:r>
          </w:p>
        </w:tc>
        <w:tc>
          <w:tcPr>
            <w:tcW w:w="1883" w:type="dxa"/>
            <w:vAlign w:val="center"/>
          </w:tcPr>
          <w:p w14:paraId="527AD008">
            <w:pPr>
              <w:pStyle w:val="52"/>
              <w:bidi w:val="0"/>
            </w:pPr>
            <w:r>
              <w:t>国家或地方污染物排放浓度限值（mg/L）</w:t>
            </w:r>
          </w:p>
        </w:tc>
      </w:tr>
      <w:tr w14:paraId="67490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 w:hRule="atLeast"/>
        </w:trPr>
        <w:tc>
          <w:tcPr>
            <w:tcW w:w="683" w:type="dxa"/>
            <w:vMerge w:val="restart"/>
            <w:vAlign w:val="center"/>
          </w:tcPr>
          <w:p w14:paraId="247ECC40">
            <w:pPr>
              <w:pStyle w:val="52"/>
              <w:bidi w:val="0"/>
            </w:pPr>
            <w:r>
              <w:t>1</w:t>
            </w:r>
          </w:p>
        </w:tc>
        <w:tc>
          <w:tcPr>
            <w:tcW w:w="943" w:type="dxa"/>
            <w:vMerge w:val="restart"/>
            <w:vAlign w:val="center"/>
          </w:tcPr>
          <w:p w14:paraId="2F6E67A0">
            <w:pPr>
              <w:pStyle w:val="52"/>
              <w:bidi w:val="0"/>
            </w:pPr>
            <w:r>
              <w:t>DW001</w:t>
            </w:r>
          </w:p>
        </w:tc>
        <w:tc>
          <w:tcPr>
            <w:tcW w:w="1391" w:type="dxa"/>
            <w:vMerge w:val="restart"/>
            <w:vAlign w:val="center"/>
          </w:tcPr>
          <w:p w14:paraId="398A3DB1">
            <w:pPr>
              <w:pStyle w:val="52"/>
              <w:bidi w:val="0"/>
            </w:pPr>
            <w:r>
              <w:rPr>
                <w:rFonts w:hint="eastAsia"/>
              </w:rPr>
              <w:t>111°5</w:t>
            </w:r>
            <w:r>
              <w:rPr>
                <w:rFonts w:hint="eastAsia"/>
                <w:lang w:val="en-US" w:eastAsia="zh-CN"/>
              </w:rPr>
              <w:t>2</w:t>
            </w:r>
            <w:r>
              <w:rPr>
                <w:rFonts w:hint="eastAsia"/>
              </w:rPr>
              <w:t>′</w:t>
            </w:r>
            <w:r>
              <w:rPr>
                <w:rFonts w:hint="eastAsia"/>
                <w:lang w:val="en-US" w:eastAsia="zh-CN"/>
              </w:rPr>
              <w:t>41.16</w:t>
            </w:r>
            <w:r>
              <w:rPr>
                <w:rFonts w:hint="eastAsia"/>
              </w:rPr>
              <w:t>″</w:t>
            </w:r>
          </w:p>
        </w:tc>
        <w:tc>
          <w:tcPr>
            <w:tcW w:w="1239" w:type="dxa"/>
            <w:vMerge w:val="restart"/>
            <w:vAlign w:val="center"/>
          </w:tcPr>
          <w:p w14:paraId="076D7D9B">
            <w:pPr>
              <w:pStyle w:val="52"/>
              <w:bidi w:val="0"/>
            </w:pPr>
            <w:r>
              <w:t>29°</w:t>
            </w:r>
            <w:r>
              <w:rPr>
                <w:rFonts w:hint="eastAsia"/>
                <w:lang w:val="en-US" w:eastAsia="zh-CN"/>
              </w:rPr>
              <w:t>33</w:t>
            </w:r>
            <w:r>
              <w:t>′</w:t>
            </w:r>
            <w:r>
              <w:rPr>
                <w:rFonts w:hint="eastAsia"/>
                <w:lang w:val="en-US" w:eastAsia="zh-CN"/>
              </w:rPr>
              <w:t>29.59</w:t>
            </w:r>
            <w:r>
              <w:t>″</w:t>
            </w:r>
          </w:p>
        </w:tc>
        <w:tc>
          <w:tcPr>
            <w:tcW w:w="1158" w:type="dxa"/>
            <w:vMerge w:val="restart"/>
            <w:vAlign w:val="center"/>
          </w:tcPr>
          <w:p w14:paraId="0E784FAB">
            <w:pPr>
              <w:pStyle w:val="52"/>
              <w:bidi w:val="0"/>
              <w:rPr>
                <w:rFonts w:hint="default"/>
                <w:lang w:val="en-US" w:eastAsia="zh-CN"/>
              </w:rPr>
            </w:pPr>
            <w:r>
              <w:rPr>
                <w:rFonts w:hint="eastAsia"/>
                <w:lang w:val="en-US" w:eastAsia="zh-CN"/>
              </w:rPr>
              <w:t>109340.84</w:t>
            </w:r>
          </w:p>
        </w:tc>
        <w:tc>
          <w:tcPr>
            <w:tcW w:w="1490" w:type="dxa"/>
            <w:vMerge w:val="restart"/>
            <w:vAlign w:val="center"/>
          </w:tcPr>
          <w:p w14:paraId="38951AFA">
            <w:pPr>
              <w:pStyle w:val="52"/>
              <w:bidi w:val="0"/>
            </w:pPr>
            <w:r>
              <w:rPr>
                <w:rFonts w:hint="eastAsia"/>
              </w:rPr>
              <w:t>津市高新区工业污水处理厂</w:t>
            </w:r>
          </w:p>
        </w:tc>
        <w:tc>
          <w:tcPr>
            <w:tcW w:w="1113" w:type="dxa"/>
            <w:vMerge w:val="restart"/>
            <w:vAlign w:val="center"/>
          </w:tcPr>
          <w:p w14:paraId="4B38CA14">
            <w:pPr>
              <w:pStyle w:val="52"/>
              <w:bidi w:val="0"/>
            </w:pPr>
            <w:r>
              <w:t>间断排放</w:t>
            </w:r>
          </w:p>
        </w:tc>
        <w:tc>
          <w:tcPr>
            <w:tcW w:w="1113" w:type="dxa"/>
            <w:vMerge w:val="restart"/>
            <w:vAlign w:val="center"/>
          </w:tcPr>
          <w:p w14:paraId="5CAD3243">
            <w:pPr>
              <w:pStyle w:val="52"/>
              <w:bidi w:val="0"/>
            </w:pPr>
            <w:r>
              <w:t>/</w:t>
            </w:r>
          </w:p>
        </w:tc>
        <w:tc>
          <w:tcPr>
            <w:tcW w:w="1398" w:type="dxa"/>
            <w:vMerge w:val="restart"/>
            <w:vAlign w:val="center"/>
          </w:tcPr>
          <w:p w14:paraId="7B6E1BBD">
            <w:pPr>
              <w:pStyle w:val="52"/>
              <w:bidi w:val="0"/>
            </w:pPr>
            <w:r>
              <w:rPr>
                <w:rFonts w:hint="eastAsia"/>
              </w:rPr>
              <w:t>津市高新区工业污水处理厂</w:t>
            </w:r>
          </w:p>
        </w:tc>
        <w:tc>
          <w:tcPr>
            <w:tcW w:w="1537" w:type="dxa"/>
            <w:vAlign w:val="center"/>
          </w:tcPr>
          <w:p w14:paraId="4A2B14F9">
            <w:pPr>
              <w:pStyle w:val="52"/>
              <w:bidi w:val="0"/>
            </w:pPr>
            <w:r>
              <w:t>CODcr</w:t>
            </w:r>
          </w:p>
        </w:tc>
        <w:tc>
          <w:tcPr>
            <w:tcW w:w="1883" w:type="dxa"/>
            <w:vAlign w:val="center"/>
          </w:tcPr>
          <w:p w14:paraId="71D08346">
            <w:pPr>
              <w:pStyle w:val="52"/>
              <w:bidi w:val="0"/>
            </w:pPr>
            <w:r>
              <w:rPr>
                <w:rFonts w:hint="eastAsia"/>
              </w:rPr>
              <w:t>450</w:t>
            </w:r>
          </w:p>
        </w:tc>
      </w:tr>
      <w:tr w14:paraId="6E20F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 w:hRule="atLeast"/>
        </w:trPr>
        <w:tc>
          <w:tcPr>
            <w:tcW w:w="683" w:type="dxa"/>
            <w:vMerge w:val="continue"/>
            <w:vAlign w:val="center"/>
          </w:tcPr>
          <w:p w14:paraId="4A5CDFDE">
            <w:pPr>
              <w:pStyle w:val="52"/>
              <w:bidi w:val="0"/>
            </w:pPr>
          </w:p>
        </w:tc>
        <w:tc>
          <w:tcPr>
            <w:tcW w:w="943" w:type="dxa"/>
            <w:vMerge w:val="continue"/>
            <w:vAlign w:val="center"/>
          </w:tcPr>
          <w:p w14:paraId="5B001412">
            <w:pPr>
              <w:pStyle w:val="52"/>
              <w:bidi w:val="0"/>
            </w:pPr>
          </w:p>
        </w:tc>
        <w:tc>
          <w:tcPr>
            <w:tcW w:w="1391" w:type="dxa"/>
            <w:vMerge w:val="continue"/>
            <w:vAlign w:val="center"/>
          </w:tcPr>
          <w:p w14:paraId="51F6FB55">
            <w:pPr>
              <w:pStyle w:val="52"/>
              <w:bidi w:val="0"/>
            </w:pPr>
          </w:p>
        </w:tc>
        <w:tc>
          <w:tcPr>
            <w:tcW w:w="1239" w:type="dxa"/>
            <w:vMerge w:val="continue"/>
            <w:vAlign w:val="center"/>
          </w:tcPr>
          <w:p w14:paraId="06A87F7C">
            <w:pPr>
              <w:pStyle w:val="52"/>
              <w:bidi w:val="0"/>
            </w:pPr>
          </w:p>
        </w:tc>
        <w:tc>
          <w:tcPr>
            <w:tcW w:w="1158" w:type="dxa"/>
            <w:vMerge w:val="continue"/>
            <w:vAlign w:val="center"/>
          </w:tcPr>
          <w:p w14:paraId="7B5A1ED6">
            <w:pPr>
              <w:pStyle w:val="52"/>
              <w:bidi w:val="0"/>
            </w:pPr>
          </w:p>
        </w:tc>
        <w:tc>
          <w:tcPr>
            <w:tcW w:w="1490" w:type="dxa"/>
            <w:vMerge w:val="continue"/>
            <w:vAlign w:val="center"/>
          </w:tcPr>
          <w:p w14:paraId="45F60DC3">
            <w:pPr>
              <w:pStyle w:val="52"/>
              <w:bidi w:val="0"/>
            </w:pPr>
          </w:p>
        </w:tc>
        <w:tc>
          <w:tcPr>
            <w:tcW w:w="1113" w:type="dxa"/>
            <w:vMerge w:val="continue"/>
            <w:vAlign w:val="center"/>
          </w:tcPr>
          <w:p w14:paraId="002C0399">
            <w:pPr>
              <w:pStyle w:val="52"/>
              <w:bidi w:val="0"/>
            </w:pPr>
          </w:p>
        </w:tc>
        <w:tc>
          <w:tcPr>
            <w:tcW w:w="1113" w:type="dxa"/>
            <w:vMerge w:val="continue"/>
            <w:vAlign w:val="center"/>
          </w:tcPr>
          <w:p w14:paraId="6B7AF7F4">
            <w:pPr>
              <w:pStyle w:val="52"/>
              <w:bidi w:val="0"/>
            </w:pPr>
          </w:p>
        </w:tc>
        <w:tc>
          <w:tcPr>
            <w:tcW w:w="1398" w:type="dxa"/>
            <w:vMerge w:val="continue"/>
            <w:vAlign w:val="center"/>
          </w:tcPr>
          <w:p w14:paraId="7B628788">
            <w:pPr>
              <w:pStyle w:val="52"/>
              <w:bidi w:val="0"/>
            </w:pPr>
          </w:p>
        </w:tc>
        <w:tc>
          <w:tcPr>
            <w:tcW w:w="1537" w:type="dxa"/>
            <w:vAlign w:val="center"/>
          </w:tcPr>
          <w:p w14:paraId="705A1221">
            <w:pPr>
              <w:pStyle w:val="52"/>
              <w:bidi w:val="0"/>
              <w:rPr>
                <w:rFonts w:hint="default" w:eastAsia="宋体"/>
                <w:lang w:val="en-US" w:eastAsia="zh-CN"/>
              </w:rPr>
            </w:pPr>
            <w:r>
              <w:rPr>
                <w:rFonts w:hint="eastAsia"/>
                <w:lang w:val="en-US" w:eastAsia="zh-CN"/>
              </w:rPr>
              <w:t>BOD</w:t>
            </w:r>
            <w:r>
              <w:rPr>
                <w:rFonts w:hint="eastAsia"/>
                <w:vertAlign w:val="subscript"/>
                <w:lang w:val="en-US" w:eastAsia="zh-CN"/>
              </w:rPr>
              <w:t>5</w:t>
            </w:r>
          </w:p>
        </w:tc>
        <w:tc>
          <w:tcPr>
            <w:tcW w:w="1883" w:type="dxa"/>
            <w:vAlign w:val="center"/>
          </w:tcPr>
          <w:p w14:paraId="140698B1">
            <w:pPr>
              <w:pStyle w:val="52"/>
              <w:bidi w:val="0"/>
              <w:rPr>
                <w:rFonts w:hint="default" w:eastAsia="宋体"/>
                <w:lang w:val="en-US" w:eastAsia="zh-CN"/>
              </w:rPr>
            </w:pPr>
            <w:r>
              <w:rPr>
                <w:rFonts w:hint="eastAsia"/>
                <w:lang w:val="en-US" w:eastAsia="zh-CN"/>
              </w:rPr>
              <w:t>250</w:t>
            </w:r>
          </w:p>
        </w:tc>
      </w:tr>
      <w:tr w14:paraId="29485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 w:hRule="atLeast"/>
        </w:trPr>
        <w:tc>
          <w:tcPr>
            <w:tcW w:w="683" w:type="dxa"/>
            <w:vMerge w:val="continue"/>
            <w:vAlign w:val="center"/>
          </w:tcPr>
          <w:p w14:paraId="23ACE096">
            <w:pPr>
              <w:pStyle w:val="52"/>
              <w:bidi w:val="0"/>
            </w:pPr>
          </w:p>
        </w:tc>
        <w:tc>
          <w:tcPr>
            <w:tcW w:w="943" w:type="dxa"/>
            <w:vMerge w:val="continue"/>
            <w:vAlign w:val="center"/>
          </w:tcPr>
          <w:p w14:paraId="680532DE">
            <w:pPr>
              <w:pStyle w:val="52"/>
              <w:bidi w:val="0"/>
            </w:pPr>
          </w:p>
        </w:tc>
        <w:tc>
          <w:tcPr>
            <w:tcW w:w="1391" w:type="dxa"/>
            <w:vMerge w:val="continue"/>
            <w:vAlign w:val="center"/>
          </w:tcPr>
          <w:p w14:paraId="2A7D6C14">
            <w:pPr>
              <w:pStyle w:val="52"/>
              <w:bidi w:val="0"/>
            </w:pPr>
          </w:p>
        </w:tc>
        <w:tc>
          <w:tcPr>
            <w:tcW w:w="1239" w:type="dxa"/>
            <w:vMerge w:val="continue"/>
            <w:vAlign w:val="center"/>
          </w:tcPr>
          <w:p w14:paraId="28A817A7">
            <w:pPr>
              <w:pStyle w:val="52"/>
              <w:bidi w:val="0"/>
            </w:pPr>
          </w:p>
        </w:tc>
        <w:tc>
          <w:tcPr>
            <w:tcW w:w="1158" w:type="dxa"/>
            <w:vMerge w:val="continue"/>
            <w:vAlign w:val="center"/>
          </w:tcPr>
          <w:p w14:paraId="53A03A15">
            <w:pPr>
              <w:pStyle w:val="52"/>
              <w:bidi w:val="0"/>
            </w:pPr>
          </w:p>
        </w:tc>
        <w:tc>
          <w:tcPr>
            <w:tcW w:w="1490" w:type="dxa"/>
            <w:vMerge w:val="continue"/>
            <w:vAlign w:val="center"/>
          </w:tcPr>
          <w:p w14:paraId="44E11E5B">
            <w:pPr>
              <w:pStyle w:val="52"/>
              <w:bidi w:val="0"/>
            </w:pPr>
          </w:p>
        </w:tc>
        <w:tc>
          <w:tcPr>
            <w:tcW w:w="1113" w:type="dxa"/>
            <w:vMerge w:val="continue"/>
            <w:vAlign w:val="center"/>
          </w:tcPr>
          <w:p w14:paraId="0B566406">
            <w:pPr>
              <w:pStyle w:val="52"/>
              <w:bidi w:val="0"/>
            </w:pPr>
          </w:p>
        </w:tc>
        <w:tc>
          <w:tcPr>
            <w:tcW w:w="1113" w:type="dxa"/>
            <w:vMerge w:val="continue"/>
            <w:vAlign w:val="center"/>
          </w:tcPr>
          <w:p w14:paraId="0C48014A">
            <w:pPr>
              <w:pStyle w:val="52"/>
              <w:bidi w:val="0"/>
            </w:pPr>
          </w:p>
        </w:tc>
        <w:tc>
          <w:tcPr>
            <w:tcW w:w="1398" w:type="dxa"/>
            <w:vMerge w:val="continue"/>
            <w:vAlign w:val="center"/>
          </w:tcPr>
          <w:p w14:paraId="416635D2">
            <w:pPr>
              <w:pStyle w:val="52"/>
              <w:bidi w:val="0"/>
            </w:pPr>
          </w:p>
        </w:tc>
        <w:tc>
          <w:tcPr>
            <w:tcW w:w="1537" w:type="dxa"/>
            <w:vAlign w:val="center"/>
          </w:tcPr>
          <w:p w14:paraId="092B8D23">
            <w:pPr>
              <w:pStyle w:val="52"/>
              <w:bidi w:val="0"/>
            </w:pPr>
            <w:r>
              <w:rPr>
                <w:rFonts w:hint="eastAsia"/>
              </w:rPr>
              <w:t>氨氮</w:t>
            </w:r>
          </w:p>
        </w:tc>
        <w:tc>
          <w:tcPr>
            <w:tcW w:w="1883" w:type="dxa"/>
            <w:vAlign w:val="center"/>
          </w:tcPr>
          <w:p w14:paraId="66D23501">
            <w:pPr>
              <w:pStyle w:val="52"/>
              <w:bidi w:val="0"/>
            </w:pPr>
            <w:r>
              <w:rPr>
                <w:rFonts w:hint="eastAsia"/>
              </w:rPr>
              <w:t>35</w:t>
            </w:r>
          </w:p>
        </w:tc>
      </w:tr>
      <w:tr w14:paraId="5E943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 w:hRule="atLeast"/>
        </w:trPr>
        <w:tc>
          <w:tcPr>
            <w:tcW w:w="683" w:type="dxa"/>
            <w:vMerge w:val="continue"/>
            <w:vAlign w:val="center"/>
          </w:tcPr>
          <w:p w14:paraId="5752D306">
            <w:pPr>
              <w:pStyle w:val="52"/>
              <w:bidi w:val="0"/>
            </w:pPr>
          </w:p>
        </w:tc>
        <w:tc>
          <w:tcPr>
            <w:tcW w:w="943" w:type="dxa"/>
            <w:vMerge w:val="continue"/>
            <w:vAlign w:val="center"/>
          </w:tcPr>
          <w:p w14:paraId="1F76661F">
            <w:pPr>
              <w:pStyle w:val="52"/>
              <w:bidi w:val="0"/>
            </w:pPr>
          </w:p>
        </w:tc>
        <w:tc>
          <w:tcPr>
            <w:tcW w:w="1391" w:type="dxa"/>
            <w:vMerge w:val="continue"/>
            <w:vAlign w:val="center"/>
          </w:tcPr>
          <w:p w14:paraId="1C387E0B">
            <w:pPr>
              <w:pStyle w:val="52"/>
              <w:bidi w:val="0"/>
            </w:pPr>
          </w:p>
        </w:tc>
        <w:tc>
          <w:tcPr>
            <w:tcW w:w="1239" w:type="dxa"/>
            <w:vMerge w:val="continue"/>
            <w:vAlign w:val="center"/>
          </w:tcPr>
          <w:p w14:paraId="3E482A1D">
            <w:pPr>
              <w:pStyle w:val="52"/>
              <w:bidi w:val="0"/>
            </w:pPr>
          </w:p>
        </w:tc>
        <w:tc>
          <w:tcPr>
            <w:tcW w:w="1158" w:type="dxa"/>
            <w:vMerge w:val="continue"/>
            <w:vAlign w:val="center"/>
          </w:tcPr>
          <w:p w14:paraId="71846443">
            <w:pPr>
              <w:pStyle w:val="52"/>
              <w:bidi w:val="0"/>
            </w:pPr>
          </w:p>
        </w:tc>
        <w:tc>
          <w:tcPr>
            <w:tcW w:w="1490" w:type="dxa"/>
            <w:vMerge w:val="continue"/>
            <w:vAlign w:val="center"/>
          </w:tcPr>
          <w:p w14:paraId="7F075459">
            <w:pPr>
              <w:pStyle w:val="52"/>
              <w:bidi w:val="0"/>
            </w:pPr>
          </w:p>
        </w:tc>
        <w:tc>
          <w:tcPr>
            <w:tcW w:w="1113" w:type="dxa"/>
            <w:vMerge w:val="continue"/>
            <w:vAlign w:val="center"/>
          </w:tcPr>
          <w:p w14:paraId="573BDDD5">
            <w:pPr>
              <w:pStyle w:val="52"/>
              <w:bidi w:val="0"/>
            </w:pPr>
          </w:p>
        </w:tc>
        <w:tc>
          <w:tcPr>
            <w:tcW w:w="1113" w:type="dxa"/>
            <w:vMerge w:val="continue"/>
            <w:vAlign w:val="center"/>
          </w:tcPr>
          <w:p w14:paraId="2EBA05D4">
            <w:pPr>
              <w:pStyle w:val="52"/>
              <w:bidi w:val="0"/>
            </w:pPr>
          </w:p>
        </w:tc>
        <w:tc>
          <w:tcPr>
            <w:tcW w:w="1398" w:type="dxa"/>
            <w:vMerge w:val="continue"/>
            <w:vAlign w:val="center"/>
          </w:tcPr>
          <w:p w14:paraId="317E5A80">
            <w:pPr>
              <w:pStyle w:val="52"/>
              <w:bidi w:val="0"/>
            </w:pPr>
          </w:p>
        </w:tc>
        <w:tc>
          <w:tcPr>
            <w:tcW w:w="1537" w:type="dxa"/>
            <w:vAlign w:val="center"/>
          </w:tcPr>
          <w:p w14:paraId="5762BB16">
            <w:pPr>
              <w:pStyle w:val="52"/>
              <w:bidi w:val="0"/>
            </w:pPr>
            <w:r>
              <w:rPr>
                <w:rFonts w:hint="eastAsia"/>
              </w:rPr>
              <w:t>总氮</w:t>
            </w:r>
          </w:p>
        </w:tc>
        <w:tc>
          <w:tcPr>
            <w:tcW w:w="1883" w:type="dxa"/>
            <w:vAlign w:val="center"/>
          </w:tcPr>
          <w:p w14:paraId="01B02BFD">
            <w:pPr>
              <w:pStyle w:val="52"/>
              <w:bidi w:val="0"/>
            </w:pPr>
            <w:r>
              <w:rPr>
                <w:rFonts w:hint="eastAsia"/>
              </w:rPr>
              <w:t>45</w:t>
            </w:r>
          </w:p>
        </w:tc>
      </w:tr>
      <w:tr w14:paraId="09B0B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 w:hRule="atLeast"/>
        </w:trPr>
        <w:tc>
          <w:tcPr>
            <w:tcW w:w="683" w:type="dxa"/>
            <w:vMerge w:val="continue"/>
            <w:vAlign w:val="center"/>
          </w:tcPr>
          <w:p w14:paraId="775EF954">
            <w:pPr>
              <w:pStyle w:val="52"/>
              <w:bidi w:val="0"/>
            </w:pPr>
          </w:p>
        </w:tc>
        <w:tc>
          <w:tcPr>
            <w:tcW w:w="943" w:type="dxa"/>
            <w:vMerge w:val="continue"/>
            <w:vAlign w:val="center"/>
          </w:tcPr>
          <w:p w14:paraId="118FF16C">
            <w:pPr>
              <w:pStyle w:val="52"/>
              <w:bidi w:val="0"/>
            </w:pPr>
          </w:p>
        </w:tc>
        <w:tc>
          <w:tcPr>
            <w:tcW w:w="1391" w:type="dxa"/>
            <w:vMerge w:val="continue"/>
            <w:vAlign w:val="center"/>
          </w:tcPr>
          <w:p w14:paraId="5A2D70E8">
            <w:pPr>
              <w:pStyle w:val="52"/>
              <w:bidi w:val="0"/>
            </w:pPr>
          </w:p>
        </w:tc>
        <w:tc>
          <w:tcPr>
            <w:tcW w:w="1239" w:type="dxa"/>
            <w:vMerge w:val="continue"/>
            <w:vAlign w:val="center"/>
          </w:tcPr>
          <w:p w14:paraId="1C5168B9">
            <w:pPr>
              <w:pStyle w:val="52"/>
              <w:bidi w:val="0"/>
            </w:pPr>
          </w:p>
        </w:tc>
        <w:tc>
          <w:tcPr>
            <w:tcW w:w="1158" w:type="dxa"/>
            <w:vMerge w:val="continue"/>
            <w:vAlign w:val="center"/>
          </w:tcPr>
          <w:p w14:paraId="7A2B3F05">
            <w:pPr>
              <w:pStyle w:val="52"/>
              <w:bidi w:val="0"/>
            </w:pPr>
          </w:p>
        </w:tc>
        <w:tc>
          <w:tcPr>
            <w:tcW w:w="1490" w:type="dxa"/>
            <w:vMerge w:val="continue"/>
            <w:vAlign w:val="center"/>
          </w:tcPr>
          <w:p w14:paraId="681D9D66">
            <w:pPr>
              <w:pStyle w:val="52"/>
              <w:bidi w:val="0"/>
            </w:pPr>
          </w:p>
        </w:tc>
        <w:tc>
          <w:tcPr>
            <w:tcW w:w="1113" w:type="dxa"/>
            <w:vMerge w:val="continue"/>
            <w:vAlign w:val="center"/>
          </w:tcPr>
          <w:p w14:paraId="532C3230">
            <w:pPr>
              <w:pStyle w:val="52"/>
              <w:bidi w:val="0"/>
            </w:pPr>
          </w:p>
        </w:tc>
        <w:tc>
          <w:tcPr>
            <w:tcW w:w="1113" w:type="dxa"/>
            <w:vMerge w:val="continue"/>
            <w:vAlign w:val="center"/>
          </w:tcPr>
          <w:p w14:paraId="618E3700">
            <w:pPr>
              <w:pStyle w:val="52"/>
              <w:bidi w:val="0"/>
            </w:pPr>
          </w:p>
        </w:tc>
        <w:tc>
          <w:tcPr>
            <w:tcW w:w="1398" w:type="dxa"/>
            <w:vMerge w:val="continue"/>
            <w:vAlign w:val="center"/>
          </w:tcPr>
          <w:p w14:paraId="27E0D37E">
            <w:pPr>
              <w:pStyle w:val="52"/>
              <w:bidi w:val="0"/>
            </w:pPr>
          </w:p>
        </w:tc>
        <w:tc>
          <w:tcPr>
            <w:tcW w:w="1537" w:type="dxa"/>
            <w:vAlign w:val="center"/>
          </w:tcPr>
          <w:p w14:paraId="771E501A">
            <w:pPr>
              <w:pStyle w:val="52"/>
              <w:bidi w:val="0"/>
            </w:pPr>
            <w:r>
              <w:rPr>
                <w:rFonts w:hint="eastAsia"/>
              </w:rPr>
              <w:t>总磷</w:t>
            </w:r>
          </w:p>
        </w:tc>
        <w:tc>
          <w:tcPr>
            <w:tcW w:w="1883" w:type="dxa"/>
            <w:vAlign w:val="center"/>
          </w:tcPr>
          <w:p w14:paraId="60F3F2A6">
            <w:pPr>
              <w:pStyle w:val="52"/>
              <w:bidi w:val="0"/>
            </w:pPr>
            <w:r>
              <w:rPr>
                <w:rFonts w:hint="eastAsia"/>
              </w:rPr>
              <w:t>35</w:t>
            </w:r>
          </w:p>
        </w:tc>
      </w:tr>
      <w:tr w14:paraId="0A883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 w:hRule="atLeast"/>
        </w:trPr>
        <w:tc>
          <w:tcPr>
            <w:tcW w:w="683" w:type="dxa"/>
            <w:vMerge w:val="continue"/>
            <w:vAlign w:val="center"/>
          </w:tcPr>
          <w:p w14:paraId="5B984E74">
            <w:pPr>
              <w:pStyle w:val="52"/>
              <w:bidi w:val="0"/>
            </w:pPr>
          </w:p>
        </w:tc>
        <w:tc>
          <w:tcPr>
            <w:tcW w:w="943" w:type="dxa"/>
            <w:vMerge w:val="continue"/>
            <w:vAlign w:val="center"/>
          </w:tcPr>
          <w:p w14:paraId="7D06999E">
            <w:pPr>
              <w:pStyle w:val="52"/>
              <w:bidi w:val="0"/>
            </w:pPr>
          </w:p>
        </w:tc>
        <w:tc>
          <w:tcPr>
            <w:tcW w:w="1391" w:type="dxa"/>
            <w:vMerge w:val="continue"/>
            <w:vAlign w:val="center"/>
          </w:tcPr>
          <w:p w14:paraId="01404EAB">
            <w:pPr>
              <w:pStyle w:val="52"/>
              <w:bidi w:val="0"/>
            </w:pPr>
          </w:p>
        </w:tc>
        <w:tc>
          <w:tcPr>
            <w:tcW w:w="1239" w:type="dxa"/>
            <w:vMerge w:val="continue"/>
            <w:vAlign w:val="center"/>
          </w:tcPr>
          <w:p w14:paraId="1B16AACC">
            <w:pPr>
              <w:pStyle w:val="52"/>
              <w:bidi w:val="0"/>
            </w:pPr>
          </w:p>
        </w:tc>
        <w:tc>
          <w:tcPr>
            <w:tcW w:w="1158" w:type="dxa"/>
            <w:vMerge w:val="continue"/>
            <w:vAlign w:val="center"/>
          </w:tcPr>
          <w:p w14:paraId="4FA3222F">
            <w:pPr>
              <w:pStyle w:val="52"/>
              <w:bidi w:val="0"/>
            </w:pPr>
          </w:p>
        </w:tc>
        <w:tc>
          <w:tcPr>
            <w:tcW w:w="1490" w:type="dxa"/>
            <w:vMerge w:val="continue"/>
            <w:vAlign w:val="center"/>
          </w:tcPr>
          <w:p w14:paraId="406354C1">
            <w:pPr>
              <w:pStyle w:val="52"/>
              <w:bidi w:val="0"/>
            </w:pPr>
          </w:p>
        </w:tc>
        <w:tc>
          <w:tcPr>
            <w:tcW w:w="1113" w:type="dxa"/>
            <w:vMerge w:val="continue"/>
            <w:vAlign w:val="center"/>
          </w:tcPr>
          <w:p w14:paraId="3DB75305">
            <w:pPr>
              <w:pStyle w:val="52"/>
              <w:bidi w:val="0"/>
            </w:pPr>
          </w:p>
        </w:tc>
        <w:tc>
          <w:tcPr>
            <w:tcW w:w="1113" w:type="dxa"/>
            <w:vMerge w:val="continue"/>
            <w:vAlign w:val="center"/>
          </w:tcPr>
          <w:p w14:paraId="3CF8B7AA">
            <w:pPr>
              <w:pStyle w:val="52"/>
              <w:bidi w:val="0"/>
            </w:pPr>
          </w:p>
        </w:tc>
        <w:tc>
          <w:tcPr>
            <w:tcW w:w="1398" w:type="dxa"/>
            <w:vMerge w:val="continue"/>
            <w:vAlign w:val="center"/>
          </w:tcPr>
          <w:p w14:paraId="2CAACE39">
            <w:pPr>
              <w:pStyle w:val="52"/>
              <w:bidi w:val="0"/>
            </w:pPr>
          </w:p>
        </w:tc>
        <w:tc>
          <w:tcPr>
            <w:tcW w:w="1537" w:type="dxa"/>
            <w:vAlign w:val="center"/>
          </w:tcPr>
          <w:p w14:paraId="2FB635E7">
            <w:pPr>
              <w:pStyle w:val="52"/>
              <w:bidi w:val="0"/>
            </w:pPr>
            <w:r>
              <w:rPr>
                <w:rFonts w:hint="eastAsia"/>
              </w:rPr>
              <w:t>S</w:t>
            </w:r>
            <w:r>
              <w:t>S</w:t>
            </w:r>
          </w:p>
        </w:tc>
        <w:tc>
          <w:tcPr>
            <w:tcW w:w="1883" w:type="dxa"/>
            <w:vAlign w:val="center"/>
          </w:tcPr>
          <w:p w14:paraId="7C3EA68C">
            <w:pPr>
              <w:pStyle w:val="52"/>
              <w:bidi w:val="0"/>
            </w:pPr>
            <w:r>
              <w:rPr>
                <w:rFonts w:hint="eastAsia"/>
              </w:rPr>
              <w:t>300</w:t>
            </w:r>
          </w:p>
        </w:tc>
      </w:tr>
    </w:tbl>
    <w:p w14:paraId="4B0058A0">
      <w:pPr>
        <w:spacing w:line="360" w:lineRule="auto"/>
        <w:ind w:firstLine="442" w:firstLineChars="200"/>
        <w:jc w:val="center"/>
        <w:rPr>
          <w:rFonts w:hint="eastAsia" w:ascii="Times New Roman" w:hAnsi="Times New Roman" w:eastAsia="宋体" w:cs="Times New Roman"/>
          <w:b/>
          <w:bCs/>
          <w:color w:val="auto"/>
          <w:sz w:val="22"/>
        </w:rPr>
      </w:pPr>
    </w:p>
    <w:p w14:paraId="51474D3D">
      <w:pPr>
        <w:spacing w:line="360" w:lineRule="auto"/>
        <w:ind w:firstLine="442" w:firstLineChars="200"/>
        <w:jc w:val="center"/>
        <w:rPr>
          <w:rFonts w:hint="eastAsia" w:ascii="Times New Roman" w:hAnsi="Times New Roman" w:eastAsia="宋体" w:cs="Times New Roman"/>
          <w:b/>
          <w:bCs/>
          <w:color w:val="auto"/>
          <w:sz w:val="22"/>
        </w:rPr>
      </w:pPr>
    </w:p>
    <w:p w14:paraId="023725FE">
      <w:pPr>
        <w:pStyle w:val="6"/>
        <w:bidi w:val="0"/>
      </w:pPr>
      <w:r>
        <w:rPr>
          <w:rFonts w:hint="eastAsia"/>
        </w:rPr>
        <w:t>表6.2</w:t>
      </w:r>
      <w:r>
        <w:rPr>
          <w:rFonts w:hint="eastAsia"/>
          <w:lang w:val="en-US" w:eastAsia="zh-CN"/>
        </w:rPr>
        <w:t>.2</w:t>
      </w:r>
      <w:r>
        <w:t>-</w:t>
      </w:r>
      <w:r>
        <w:rPr>
          <w:rFonts w:hint="eastAsia"/>
          <w:lang w:val="en-US" w:eastAsia="zh-CN"/>
        </w:rPr>
        <w:t>4</w:t>
      </w:r>
      <w:r>
        <w:t xml:space="preserve">    废水污染物排放执行标准表</w:t>
      </w:r>
    </w:p>
    <w:tbl>
      <w:tblPr>
        <w:tblStyle w:val="41"/>
        <w:tblW w:w="139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0"/>
        <w:gridCol w:w="2977"/>
        <w:gridCol w:w="2551"/>
        <w:gridCol w:w="3650"/>
        <w:gridCol w:w="2790"/>
      </w:tblGrid>
      <w:tr w14:paraId="502A4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vMerge w:val="restart"/>
            <w:vAlign w:val="center"/>
          </w:tcPr>
          <w:p w14:paraId="18B92E4F">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序号</w:t>
            </w:r>
          </w:p>
        </w:tc>
        <w:tc>
          <w:tcPr>
            <w:tcW w:w="2977" w:type="dxa"/>
            <w:vMerge w:val="restart"/>
            <w:vAlign w:val="center"/>
          </w:tcPr>
          <w:p w14:paraId="1332468D">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排放口编号</w:t>
            </w:r>
          </w:p>
        </w:tc>
        <w:tc>
          <w:tcPr>
            <w:tcW w:w="2551" w:type="dxa"/>
            <w:vMerge w:val="restart"/>
            <w:vAlign w:val="center"/>
          </w:tcPr>
          <w:p w14:paraId="0AC93C09">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污染物种类</w:t>
            </w:r>
          </w:p>
        </w:tc>
        <w:tc>
          <w:tcPr>
            <w:tcW w:w="6440" w:type="dxa"/>
            <w:gridSpan w:val="2"/>
            <w:vAlign w:val="center"/>
          </w:tcPr>
          <w:p w14:paraId="6510CA35">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国家或地方污染物排放标准或其他规定商定的排放协议</w:t>
            </w:r>
          </w:p>
        </w:tc>
      </w:tr>
      <w:tr w14:paraId="05126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0" w:type="dxa"/>
            <w:vMerge w:val="continue"/>
            <w:vAlign w:val="center"/>
          </w:tcPr>
          <w:p w14:paraId="00387F0E">
            <w:pPr>
              <w:jc w:val="center"/>
              <w:rPr>
                <w:rFonts w:ascii="Times New Roman" w:hAnsi="Times New Roman" w:eastAsia="宋体" w:cs="Times New Roman"/>
                <w:color w:val="auto"/>
                <w:sz w:val="22"/>
                <w:szCs w:val="24"/>
              </w:rPr>
            </w:pPr>
          </w:p>
        </w:tc>
        <w:tc>
          <w:tcPr>
            <w:tcW w:w="2977" w:type="dxa"/>
            <w:vMerge w:val="continue"/>
            <w:vAlign w:val="center"/>
          </w:tcPr>
          <w:p w14:paraId="126EE7FF">
            <w:pPr>
              <w:jc w:val="center"/>
              <w:rPr>
                <w:rFonts w:ascii="Times New Roman" w:hAnsi="Times New Roman" w:eastAsia="宋体" w:cs="Times New Roman"/>
                <w:color w:val="auto"/>
                <w:sz w:val="22"/>
                <w:szCs w:val="24"/>
              </w:rPr>
            </w:pPr>
          </w:p>
        </w:tc>
        <w:tc>
          <w:tcPr>
            <w:tcW w:w="2551" w:type="dxa"/>
            <w:vMerge w:val="continue"/>
            <w:vAlign w:val="center"/>
          </w:tcPr>
          <w:p w14:paraId="43C6E60C">
            <w:pPr>
              <w:jc w:val="center"/>
              <w:rPr>
                <w:rFonts w:ascii="Times New Roman" w:hAnsi="Times New Roman" w:eastAsia="宋体" w:cs="Times New Roman"/>
                <w:color w:val="auto"/>
                <w:sz w:val="22"/>
                <w:szCs w:val="24"/>
              </w:rPr>
            </w:pPr>
          </w:p>
        </w:tc>
        <w:tc>
          <w:tcPr>
            <w:tcW w:w="3650" w:type="dxa"/>
            <w:vAlign w:val="center"/>
          </w:tcPr>
          <w:p w14:paraId="40743C59">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名称</w:t>
            </w:r>
          </w:p>
        </w:tc>
        <w:tc>
          <w:tcPr>
            <w:tcW w:w="2790" w:type="dxa"/>
            <w:vAlign w:val="center"/>
          </w:tcPr>
          <w:p w14:paraId="463BF427">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浓度限值（mg/L）</w:t>
            </w:r>
          </w:p>
        </w:tc>
      </w:tr>
      <w:tr w14:paraId="62202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 w:hRule="atLeast"/>
        </w:trPr>
        <w:tc>
          <w:tcPr>
            <w:tcW w:w="1980" w:type="dxa"/>
            <w:vMerge w:val="restart"/>
            <w:vAlign w:val="center"/>
          </w:tcPr>
          <w:p w14:paraId="2D7FC51F">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1</w:t>
            </w:r>
          </w:p>
        </w:tc>
        <w:tc>
          <w:tcPr>
            <w:tcW w:w="2977" w:type="dxa"/>
            <w:vMerge w:val="restart"/>
            <w:vAlign w:val="center"/>
          </w:tcPr>
          <w:p w14:paraId="19BA02C4">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DW001</w:t>
            </w:r>
          </w:p>
        </w:tc>
        <w:tc>
          <w:tcPr>
            <w:tcW w:w="2551" w:type="dxa"/>
            <w:vAlign w:val="center"/>
          </w:tcPr>
          <w:p w14:paraId="1008DE24">
            <w:pPr>
              <w:jc w:val="center"/>
              <w:rPr>
                <w:rFonts w:ascii="Times New Roman" w:hAnsi="Times New Roman" w:eastAsia="宋体" w:cs="Times New Roman"/>
                <w:color w:val="auto"/>
                <w:szCs w:val="21"/>
              </w:rPr>
            </w:pPr>
            <w:r>
              <w:rPr>
                <w:rFonts w:ascii="Times New Roman" w:hAnsi="Times New Roman" w:eastAsia="宋体" w:cs="Times New Roman"/>
                <w:color w:val="auto"/>
                <w:sz w:val="22"/>
              </w:rPr>
              <w:t>CODcr</w:t>
            </w:r>
          </w:p>
        </w:tc>
        <w:tc>
          <w:tcPr>
            <w:tcW w:w="3650" w:type="dxa"/>
            <w:vMerge w:val="restart"/>
            <w:vAlign w:val="center"/>
          </w:tcPr>
          <w:p w14:paraId="3F3EC2C0">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rPr>
              <w:t>津市高新区工业污水处理厂</w:t>
            </w:r>
          </w:p>
        </w:tc>
        <w:tc>
          <w:tcPr>
            <w:tcW w:w="2790" w:type="dxa"/>
            <w:vAlign w:val="center"/>
          </w:tcPr>
          <w:p w14:paraId="65C21803">
            <w:pPr>
              <w:pStyle w:val="268"/>
              <w:adjustRightInd/>
              <w:snapToGrid/>
              <w:spacing w:after="0" w:line="240" w:lineRule="auto"/>
              <w:ind w:firstLine="0" w:firstLineChars="0"/>
              <w:jc w:val="center"/>
              <w:rPr>
                <w:rFonts w:ascii="Times New Roman" w:cs="Times New Roman"/>
                <w:color w:val="auto"/>
                <w:sz w:val="21"/>
                <w:szCs w:val="21"/>
              </w:rPr>
            </w:pPr>
            <w:r>
              <w:rPr>
                <w:rFonts w:hint="eastAsia" w:ascii="Times New Roman" w:cs="Times New Roman"/>
                <w:color w:val="auto"/>
                <w:sz w:val="21"/>
                <w:szCs w:val="21"/>
              </w:rPr>
              <w:t>450</w:t>
            </w:r>
          </w:p>
        </w:tc>
      </w:tr>
      <w:tr w14:paraId="26FD5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 w:hRule="atLeast"/>
        </w:trPr>
        <w:tc>
          <w:tcPr>
            <w:tcW w:w="1980" w:type="dxa"/>
            <w:vMerge w:val="continue"/>
            <w:vAlign w:val="center"/>
          </w:tcPr>
          <w:p w14:paraId="61946AA2">
            <w:pPr>
              <w:jc w:val="center"/>
              <w:rPr>
                <w:rFonts w:ascii="Times New Roman" w:hAnsi="Times New Roman" w:eastAsia="宋体" w:cs="Times New Roman"/>
                <w:color w:val="auto"/>
                <w:sz w:val="22"/>
                <w:szCs w:val="24"/>
              </w:rPr>
            </w:pPr>
          </w:p>
        </w:tc>
        <w:tc>
          <w:tcPr>
            <w:tcW w:w="2977" w:type="dxa"/>
            <w:vMerge w:val="continue"/>
            <w:vAlign w:val="center"/>
          </w:tcPr>
          <w:p w14:paraId="15CBB593">
            <w:pPr>
              <w:jc w:val="center"/>
              <w:rPr>
                <w:rFonts w:ascii="Times New Roman" w:hAnsi="Times New Roman" w:eastAsia="宋体" w:cs="Times New Roman"/>
                <w:color w:val="auto"/>
                <w:sz w:val="22"/>
                <w:szCs w:val="24"/>
              </w:rPr>
            </w:pPr>
          </w:p>
        </w:tc>
        <w:tc>
          <w:tcPr>
            <w:tcW w:w="2551" w:type="dxa"/>
            <w:vAlign w:val="center"/>
          </w:tcPr>
          <w:p w14:paraId="43019162">
            <w:pPr>
              <w:pStyle w:val="268"/>
              <w:adjustRightInd/>
              <w:snapToGrid/>
              <w:spacing w:after="0" w:line="240" w:lineRule="auto"/>
              <w:ind w:firstLine="0" w:firstLineChars="0"/>
              <w:jc w:val="center"/>
              <w:rPr>
                <w:rFonts w:ascii="Times New Roman" w:cs="Times New Roman"/>
                <w:color w:val="auto"/>
                <w:sz w:val="21"/>
                <w:szCs w:val="21"/>
              </w:rPr>
            </w:pPr>
            <w:r>
              <w:rPr>
                <w:rFonts w:hint="eastAsia" w:ascii="Times New Roman" w:cs="Times New Roman"/>
                <w:color w:val="auto"/>
                <w:sz w:val="22"/>
              </w:rPr>
              <w:t>氨氮</w:t>
            </w:r>
          </w:p>
        </w:tc>
        <w:tc>
          <w:tcPr>
            <w:tcW w:w="3650" w:type="dxa"/>
            <w:vMerge w:val="continue"/>
            <w:vAlign w:val="center"/>
          </w:tcPr>
          <w:p w14:paraId="2E33334C">
            <w:pPr>
              <w:jc w:val="center"/>
              <w:rPr>
                <w:rFonts w:ascii="Times New Roman" w:hAnsi="Times New Roman" w:eastAsia="宋体" w:cs="Times New Roman"/>
                <w:color w:val="auto"/>
                <w:sz w:val="22"/>
                <w:szCs w:val="24"/>
              </w:rPr>
            </w:pPr>
          </w:p>
        </w:tc>
        <w:tc>
          <w:tcPr>
            <w:tcW w:w="2790" w:type="dxa"/>
            <w:vAlign w:val="center"/>
          </w:tcPr>
          <w:p w14:paraId="7D43A427">
            <w:pPr>
              <w:pStyle w:val="268"/>
              <w:adjustRightInd/>
              <w:snapToGrid/>
              <w:spacing w:after="0" w:line="240" w:lineRule="auto"/>
              <w:ind w:firstLine="0" w:firstLineChars="0"/>
              <w:jc w:val="center"/>
              <w:rPr>
                <w:rFonts w:ascii="Times New Roman" w:cs="Times New Roman"/>
                <w:color w:val="auto"/>
                <w:sz w:val="21"/>
                <w:szCs w:val="21"/>
              </w:rPr>
            </w:pPr>
            <w:r>
              <w:rPr>
                <w:rFonts w:hint="eastAsia" w:ascii="Times New Roman" w:cs="Times New Roman"/>
                <w:color w:val="auto"/>
                <w:sz w:val="21"/>
                <w:szCs w:val="21"/>
              </w:rPr>
              <w:t>35</w:t>
            </w:r>
          </w:p>
        </w:tc>
      </w:tr>
      <w:tr w14:paraId="05EA3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 w:hRule="atLeast"/>
        </w:trPr>
        <w:tc>
          <w:tcPr>
            <w:tcW w:w="1980" w:type="dxa"/>
            <w:vMerge w:val="continue"/>
            <w:vAlign w:val="center"/>
          </w:tcPr>
          <w:p w14:paraId="60536B5D">
            <w:pPr>
              <w:jc w:val="center"/>
              <w:rPr>
                <w:rFonts w:ascii="Times New Roman" w:hAnsi="Times New Roman" w:eastAsia="宋体" w:cs="Times New Roman"/>
                <w:color w:val="auto"/>
                <w:sz w:val="22"/>
                <w:szCs w:val="24"/>
              </w:rPr>
            </w:pPr>
          </w:p>
        </w:tc>
        <w:tc>
          <w:tcPr>
            <w:tcW w:w="2977" w:type="dxa"/>
            <w:vMerge w:val="continue"/>
            <w:vAlign w:val="center"/>
          </w:tcPr>
          <w:p w14:paraId="7B4AC252">
            <w:pPr>
              <w:jc w:val="center"/>
              <w:rPr>
                <w:rFonts w:ascii="Times New Roman" w:hAnsi="Times New Roman" w:eastAsia="宋体" w:cs="Times New Roman"/>
                <w:color w:val="auto"/>
                <w:sz w:val="22"/>
                <w:szCs w:val="24"/>
              </w:rPr>
            </w:pPr>
          </w:p>
        </w:tc>
        <w:tc>
          <w:tcPr>
            <w:tcW w:w="2551" w:type="dxa"/>
            <w:vAlign w:val="center"/>
          </w:tcPr>
          <w:p w14:paraId="7E0DC76F">
            <w:pPr>
              <w:pStyle w:val="268"/>
              <w:adjustRightInd/>
              <w:snapToGrid/>
              <w:spacing w:after="0" w:line="240" w:lineRule="auto"/>
              <w:ind w:firstLine="0" w:firstLineChars="0"/>
              <w:jc w:val="center"/>
              <w:rPr>
                <w:rFonts w:ascii="Times New Roman" w:cs="Times New Roman"/>
                <w:color w:val="auto"/>
                <w:sz w:val="21"/>
                <w:szCs w:val="21"/>
              </w:rPr>
            </w:pPr>
            <w:r>
              <w:rPr>
                <w:rFonts w:hint="eastAsia" w:ascii="Times New Roman" w:cs="Times New Roman"/>
                <w:color w:val="auto"/>
                <w:sz w:val="22"/>
              </w:rPr>
              <w:t>总氮</w:t>
            </w:r>
          </w:p>
        </w:tc>
        <w:tc>
          <w:tcPr>
            <w:tcW w:w="3650" w:type="dxa"/>
            <w:vMerge w:val="continue"/>
            <w:vAlign w:val="center"/>
          </w:tcPr>
          <w:p w14:paraId="71A8F312">
            <w:pPr>
              <w:jc w:val="center"/>
              <w:rPr>
                <w:rFonts w:ascii="Times New Roman" w:hAnsi="Times New Roman" w:eastAsia="宋体" w:cs="Times New Roman"/>
                <w:color w:val="auto"/>
                <w:sz w:val="22"/>
                <w:szCs w:val="24"/>
              </w:rPr>
            </w:pPr>
          </w:p>
        </w:tc>
        <w:tc>
          <w:tcPr>
            <w:tcW w:w="2790" w:type="dxa"/>
            <w:vAlign w:val="center"/>
          </w:tcPr>
          <w:p w14:paraId="7981DC37">
            <w:pPr>
              <w:pStyle w:val="268"/>
              <w:adjustRightInd/>
              <w:snapToGrid/>
              <w:spacing w:after="0" w:line="240" w:lineRule="auto"/>
              <w:ind w:firstLine="0" w:firstLineChars="0"/>
              <w:jc w:val="center"/>
              <w:rPr>
                <w:rFonts w:ascii="Times New Roman" w:cs="Times New Roman"/>
                <w:color w:val="auto"/>
                <w:sz w:val="21"/>
                <w:szCs w:val="21"/>
              </w:rPr>
            </w:pPr>
            <w:r>
              <w:rPr>
                <w:rFonts w:hint="eastAsia" w:ascii="Times New Roman" w:cs="Times New Roman"/>
                <w:color w:val="auto"/>
                <w:sz w:val="21"/>
                <w:szCs w:val="21"/>
              </w:rPr>
              <w:t>45</w:t>
            </w:r>
          </w:p>
        </w:tc>
      </w:tr>
      <w:tr w14:paraId="78062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 w:hRule="atLeast"/>
        </w:trPr>
        <w:tc>
          <w:tcPr>
            <w:tcW w:w="1980" w:type="dxa"/>
            <w:vMerge w:val="continue"/>
            <w:vAlign w:val="center"/>
          </w:tcPr>
          <w:p w14:paraId="04A8D015">
            <w:pPr>
              <w:jc w:val="center"/>
              <w:rPr>
                <w:rFonts w:ascii="Times New Roman" w:hAnsi="Times New Roman" w:eastAsia="宋体" w:cs="Times New Roman"/>
                <w:color w:val="auto"/>
                <w:sz w:val="22"/>
                <w:szCs w:val="24"/>
              </w:rPr>
            </w:pPr>
          </w:p>
        </w:tc>
        <w:tc>
          <w:tcPr>
            <w:tcW w:w="2977" w:type="dxa"/>
            <w:vMerge w:val="continue"/>
            <w:vAlign w:val="center"/>
          </w:tcPr>
          <w:p w14:paraId="5B43662E">
            <w:pPr>
              <w:jc w:val="center"/>
              <w:rPr>
                <w:rFonts w:ascii="Times New Roman" w:hAnsi="Times New Roman" w:eastAsia="宋体" w:cs="Times New Roman"/>
                <w:color w:val="auto"/>
                <w:sz w:val="22"/>
                <w:szCs w:val="24"/>
              </w:rPr>
            </w:pPr>
          </w:p>
        </w:tc>
        <w:tc>
          <w:tcPr>
            <w:tcW w:w="2551" w:type="dxa"/>
            <w:vAlign w:val="center"/>
          </w:tcPr>
          <w:p w14:paraId="43B3E786">
            <w:pPr>
              <w:pStyle w:val="268"/>
              <w:adjustRightInd/>
              <w:snapToGrid/>
              <w:spacing w:after="0" w:line="240" w:lineRule="auto"/>
              <w:ind w:firstLine="0" w:firstLineChars="0"/>
              <w:jc w:val="center"/>
              <w:rPr>
                <w:rFonts w:ascii="Times New Roman" w:cs="Times New Roman"/>
                <w:color w:val="auto"/>
                <w:sz w:val="22"/>
              </w:rPr>
            </w:pPr>
            <w:r>
              <w:rPr>
                <w:rFonts w:hint="eastAsia" w:ascii="Times New Roman" w:cs="Times New Roman"/>
                <w:color w:val="auto"/>
                <w:sz w:val="22"/>
              </w:rPr>
              <w:t>总磷</w:t>
            </w:r>
          </w:p>
        </w:tc>
        <w:tc>
          <w:tcPr>
            <w:tcW w:w="3650" w:type="dxa"/>
            <w:vMerge w:val="continue"/>
            <w:vAlign w:val="center"/>
          </w:tcPr>
          <w:p w14:paraId="67C5E056">
            <w:pPr>
              <w:jc w:val="center"/>
              <w:rPr>
                <w:rFonts w:ascii="Times New Roman" w:hAnsi="Times New Roman" w:eastAsia="宋体" w:cs="Times New Roman"/>
                <w:color w:val="auto"/>
                <w:sz w:val="22"/>
                <w:szCs w:val="24"/>
              </w:rPr>
            </w:pPr>
          </w:p>
        </w:tc>
        <w:tc>
          <w:tcPr>
            <w:tcW w:w="2790" w:type="dxa"/>
            <w:vAlign w:val="center"/>
          </w:tcPr>
          <w:p w14:paraId="2D3C2939">
            <w:pPr>
              <w:pStyle w:val="268"/>
              <w:adjustRightInd/>
              <w:snapToGrid/>
              <w:spacing w:after="0" w:line="240" w:lineRule="auto"/>
              <w:ind w:firstLine="0" w:firstLineChars="0"/>
              <w:jc w:val="center"/>
              <w:rPr>
                <w:rFonts w:ascii="Times New Roman" w:cs="Times New Roman"/>
                <w:color w:val="auto"/>
                <w:sz w:val="22"/>
              </w:rPr>
            </w:pPr>
            <w:r>
              <w:rPr>
                <w:rFonts w:hint="eastAsia" w:ascii="Times New Roman" w:cs="Times New Roman"/>
                <w:color w:val="auto"/>
                <w:sz w:val="21"/>
                <w:szCs w:val="21"/>
              </w:rPr>
              <w:t>35</w:t>
            </w:r>
          </w:p>
        </w:tc>
      </w:tr>
      <w:tr w14:paraId="0AE45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 w:hRule="atLeast"/>
        </w:trPr>
        <w:tc>
          <w:tcPr>
            <w:tcW w:w="1980" w:type="dxa"/>
            <w:vMerge w:val="continue"/>
            <w:vAlign w:val="center"/>
          </w:tcPr>
          <w:p w14:paraId="1FB9E5A7">
            <w:pPr>
              <w:jc w:val="center"/>
              <w:rPr>
                <w:rFonts w:ascii="Times New Roman" w:hAnsi="Times New Roman" w:eastAsia="宋体" w:cs="Times New Roman"/>
                <w:color w:val="auto"/>
                <w:sz w:val="22"/>
                <w:szCs w:val="24"/>
              </w:rPr>
            </w:pPr>
          </w:p>
        </w:tc>
        <w:tc>
          <w:tcPr>
            <w:tcW w:w="2977" w:type="dxa"/>
            <w:vMerge w:val="continue"/>
            <w:vAlign w:val="center"/>
          </w:tcPr>
          <w:p w14:paraId="39ABF5EF">
            <w:pPr>
              <w:jc w:val="center"/>
              <w:rPr>
                <w:rFonts w:ascii="Times New Roman" w:hAnsi="Times New Roman" w:eastAsia="宋体" w:cs="Times New Roman"/>
                <w:color w:val="auto"/>
                <w:sz w:val="22"/>
                <w:szCs w:val="24"/>
              </w:rPr>
            </w:pPr>
          </w:p>
        </w:tc>
        <w:tc>
          <w:tcPr>
            <w:tcW w:w="2551" w:type="dxa"/>
            <w:vAlign w:val="center"/>
          </w:tcPr>
          <w:p w14:paraId="1506A97E">
            <w:pPr>
              <w:pStyle w:val="268"/>
              <w:adjustRightInd/>
              <w:snapToGrid/>
              <w:spacing w:after="0" w:line="240" w:lineRule="auto"/>
              <w:ind w:firstLine="0" w:firstLineChars="0"/>
              <w:jc w:val="center"/>
              <w:rPr>
                <w:rFonts w:ascii="Times New Roman" w:cs="Times New Roman"/>
                <w:color w:val="auto"/>
                <w:sz w:val="21"/>
                <w:szCs w:val="21"/>
              </w:rPr>
            </w:pPr>
            <w:r>
              <w:rPr>
                <w:rFonts w:hint="eastAsia" w:ascii="Times New Roman" w:cs="Times New Roman"/>
                <w:color w:val="auto"/>
                <w:sz w:val="22"/>
              </w:rPr>
              <w:t>S</w:t>
            </w:r>
            <w:r>
              <w:rPr>
                <w:rFonts w:ascii="Times New Roman" w:cs="Times New Roman"/>
                <w:color w:val="auto"/>
                <w:sz w:val="22"/>
              </w:rPr>
              <w:t>S</w:t>
            </w:r>
          </w:p>
        </w:tc>
        <w:tc>
          <w:tcPr>
            <w:tcW w:w="3650" w:type="dxa"/>
            <w:vMerge w:val="continue"/>
            <w:vAlign w:val="center"/>
          </w:tcPr>
          <w:p w14:paraId="3BA10E2E">
            <w:pPr>
              <w:jc w:val="center"/>
              <w:rPr>
                <w:rFonts w:ascii="Times New Roman" w:hAnsi="Times New Roman" w:eastAsia="宋体" w:cs="Times New Roman"/>
                <w:color w:val="auto"/>
                <w:sz w:val="22"/>
                <w:szCs w:val="24"/>
              </w:rPr>
            </w:pPr>
          </w:p>
        </w:tc>
        <w:tc>
          <w:tcPr>
            <w:tcW w:w="2790" w:type="dxa"/>
            <w:vAlign w:val="center"/>
          </w:tcPr>
          <w:p w14:paraId="2CA9D886">
            <w:pPr>
              <w:pStyle w:val="268"/>
              <w:adjustRightInd/>
              <w:snapToGrid/>
              <w:spacing w:after="0" w:line="240" w:lineRule="auto"/>
              <w:ind w:firstLine="0" w:firstLineChars="0"/>
              <w:jc w:val="center"/>
              <w:rPr>
                <w:rFonts w:ascii="Times New Roman" w:cs="Times New Roman"/>
                <w:color w:val="auto"/>
                <w:sz w:val="21"/>
                <w:szCs w:val="21"/>
              </w:rPr>
            </w:pPr>
            <w:r>
              <w:rPr>
                <w:rFonts w:hint="eastAsia" w:ascii="Times New Roman" w:cs="Times New Roman"/>
                <w:color w:val="auto"/>
                <w:sz w:val="21"/>
                <w:szCs w:val="21"/>
              </w:rPr>
              <w:t>300</w:t>
            </w:r>
          </w:p>
        </w:tc>
      </w:tr>
    </w:tbl>
    <w:p w14:paraId="73DF74C8">
      <w:pPr>
        <w:spacing w:line="360" w:lineRule="auto"/>
        <w:ind w:firstLine="480" w:firstLineChars="200"/>
        <w:rPr>
          <w:rFonts w:ascii="Times New Roman" w:hAnsi="Times New Roman" w:eastAsia="宋体" w:cs="Times New Roman"/>
          <w:color w:val="FF0000"/>
          <w:sz w:val="24"/>
          <w:szCs w:val="24"/>
        </w:rPr>
      </w:pPr>
    </w:p>
    <w:p w14:paraId="5E902519">
      <w:pPr>
        <w:pStyle w:val="6"/>
        <w:bidi w:val="0"/>
      </w:pPr>
      <w:r>
        <w:t>表</w:t>
      </w:r>
      <w:r>
        <w:rPr>
          <w:rFonts w:hint="eastAsia"/>
        </w:rPr>
        <w:t>6.2</w:t>
      </w:r>
      <w:r>
        <w:rPr>
          <w:rFonts w:hint="eastAsia"/>
          <w:lang w:val="en-US" w:eastAsia="zh-CN"/>
        </w:rPr>
        <w:t>.2</w:t>
      </w:r>
      <w:r>
        <w:t>-</w:t>
      </w:r>
      <w:r>
        <w:rPr>
          <w:rFonts w:hint="eastAsia"/>
          <w:lang w:val="en-US" w:eastAsia="zh-CN"/>
        </w:rPr>
        <w:t>5</w:t>
      </w:r>
      <w:r>
        <w:t xml:space="preserve">    废水污染物排放信息表</w:t>
      </w:r>
    </w:p>
    <w:tbl>
      <w:tblPr>
        <w:tblStyle w:val="4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94"/>
        <w:gridCol w:w="2301"/>
        <w:gridCol w:w="2298"/>
        <w:gridCol w:w="2306"/>
        <w:gridCol w:w="2302"/>
        <w:gridCol w:w="2302"/>
      </w:tblGrid>
      <w:tr w14:paraId="7A7B7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94" w:type="dxa"/>
            <w:shd w:val="clear" w:color="auto" w:fill="auto"/>
            <w:vAlign w:val="center"/>
          </w:tcPr>
          <w:p w14:paraId="5AEC2771">
            <w:pPr>
              <w:jc w:val="center"/>
              <w:rPr>
                <w:rFonts w:ascii="Times New Roman" w:hAnsi="Times New Roman" w:eastAsia="宋体" w:cs="Times New Roman"/>
                <w:color w:val="auto"/>
                <w:kern w:val="0"/>
                <w:sz w:val="22"/>
                <w:szCs w:val="24"/>
              </w:rPr>
            </w:pPr>
            <w:r>
              <w:rPr>
                <w:rFonts w:ascii="Times New Roman" w:hAnsi="Times New Roman" w:eastAsia="宋体" w:cs="Times New Roman"/>
                <w:color w:val="auto"/>
                <w:kern w:val="0"/>
                <w:sz w:val="22"/>
                <w:szCs w:val="24"/>
              </w:rPr>
              <w:t>序号</w:t>
            </w:r>
          </w:p>
        </w:tc>
        <w:tc>
          <w:tcPr>
            <w:tcW w:w="2301" w:type="dxa"/>
            <w:shd w:val="clear" w:color="auto" w:fill="auto"/>
            <w:vAlign w:val="center"/>
          </w:tcPr>
          <w:p w14:paraId="30B20174">
            <w:pPr>
              <w:jc w:val="center"/>
              <w:rPr>
                <w:rFonts w:ascii="Times New Roman" w:hAnsi="Times New Roman" w:eastAsia="宋体" w:cs="Times New Roman"/>
                <w:color w:val="auto"/>
                <w:kern w:val="0"/>
                <w:sz w:val="22"/>
                <w:szCs w:val="24"/>
              </w:rPr>
            </w:pPr>
            <w:r>
              <w:rPr>
                <w:rFonts w:ascii="Times New Roman" w:hAnsi="Times New Roman" w:eastAsia="宋体" w:cs="Times New Roman"/>
                <w:color w:val="auto"/>
                <w:kern w:val="0"/>
                <w:sz w:val="22"/>
                <w:szCs w:val="24"/>
              </w:rPr>
              <w:t>排放口编号</w:t>
            </w:r>
          </w:p>
        </w:tc>
        <w:tc>
          <w:tcPr>
            <w:tcW w:w="2298" w:type="dxa"/>
            <w:shd w:val="clear" w:color="auto" w:fill="auto"/>
            <w:vAlign w:val="center"/>
          </w:tcPr>
          <w:p w14:paraId="37EE8C18">
            <w:pPr>
              <w:jc w:val="center"/>
              <w:rPr>
                <w:rFonts w:ascii="Times New Roman" w:hAnsi="Times New Roman" w:eastAsia="宋体" w:cs="Times New Roman"/>
                <w:color w:val="auto"/>
                <w:kern w:val="0"/>
                <w:sz w:val="22"/>
                <w:szCs w:val="24"/>
              </w:rPr>
            </w:pPr>
            <w:r>
              <w:rPr>
                <w:rFonts w:ascii="Times New Roman" w:hAnsi="Times New Roman" w:eastAsia="宋体" w:cs="Times New Roman"/>
                <w:color w:val="auto"/>
                <w:kern w:val="0"/>
                <w:sz w:val="22"/>
                <w:szCs w:val="24"/>
              </w:rPr>
              <w:t>污染物种类</w:t>
            </w:r>
          </w:p>
        </w:tc>
        <w:tc>
          <w:tcPr>
            <w:tcW w:w="2306" w:type="dxa"/>
            <w:shd w:val="clear" w:color="auto" w:fill="auto"/>
            <w:vAlign w:val="center"/>
          </w:tcPr>
          <w:p w14:paraId="55813D19">
            <w:pPr>
              <w:jc w:val="center"/>
              <w:rPr>
                <w:rFonts w:ascii="Times New Roman" w:hAnsi="Times New Roman" w:eastAsia="宋体" w:cs="Times New Roman"/>
                <w:color w:val="auto"/>
                <w:kern w:val="0"/>
                <w:sz w:val="22"/>
                <w:szCs w:val="24"/>
              </w:rPr>
            </w:pPr>
            <w:r>
              <w:rPr>
                <w:rFonts w:ascii="Times New Roman" w:hAnsi="Times New Roman" w:eastAsia="宋体" w:cs="Times New Roman"/>
                <w:color w:val="auto"/>
                <w:kern w:val="0"/>
                <w:sz w:val="22"/>
                <w:szCs w:val="24"/>
              </w:rPr>
              <w:t>排放浓度/（mg/L）</w:t>
            </w:r>
          </w:p>
        </w:tc>
        <w:tc>
          <w:tcPr>
            <w:tcW w:w="2302" w:type="dxa"/>
            <w:shd w:val="clear" w:color="auto" w:fill="auto"/>
            <w:vAlign w:val="center"/>
          </w:tcPr>
          <w:p w14:paraId="5A11D3C1">
            <w:pPr>
              <w:jc w:val="center"/>
              <w:rPr>
                <w:rFonts w:ascii="Times New Roman" w:hAnsi="Times New Roman" w:eastAsia="宋体" w:cs="Times New Roman"/>
                <w:color w:val="auto"/>
                <w:kern w:val="0"/>
                <w:sz w:val="22"/>
                <w:szCs w:val="24"/>
              </w:rPr>
            </w:pPr>
            <w:r>
              <w:rPr>
                <w:rFonts w:ascii="Times New Roman" w:hAnsi="Times New Roman" w:eastAsia="宋体" w:cs="Times New Roman"/>
                <w:color w:val="auto"/>
                <w:kern w:val="0"/>
                <w:sz w:val="22"/>
                <w:szCs w:val="24"/>
              </w:rPr>
              <w:t>日排放量/（t/d）</w:t>
            </w:r>
          </w:p>
        </w:tc>
        <w:tc>
          <w:tcPr>
            <w:tcW w:w="2302" w:type="dxa"/>
            <w:shd w:val="clear" w:color="auto" w:fill="auto"/>
            <w:vAlign w:val="center"/>
          </w:tcPr>
          <w:p w14:paraId="78F56DA0">
            <w:pPr>
              <w:jc w:val="center"/>
              <w:rPr>
                <w:rFonts w:ascii="Times New Roman" w:hAnsi="Times New Roman" w:eastAsia="宋体" w:cs="Times New Roman"/>
                <w:color w:val="auto"/>
                <w:kern w:val="0"/>
                <w:sz w:val="22"/>
                <w:szCs w:val="24"/>
              </w:rPr>
            </w:pPr>
            <w:r>
              <w:rPr>
                <w:rFonts w:ascii="Times New Roman" w:hAnsi="Times New Roman" w:eastAsia="宋体" w:cs="Times New Roman"/>
                <w:color w:val="auto"/>
                <w:kern w:val="0"/>
                <w:sz w:val="22"/>
                <w:szCs w:val="24"/>
              </w:rPr>
              <w:t>年排放量/（t/a）</w:t>
            </w:r>
          </w:p>
        </w:tc>
      </w:tr>
      <w:tr w14:paraId="26861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94" w:type="dxa"/>
            <w:vMerge w:val="restart"/>
            <w:shd w:val="clear" w:color="auto" w:fill="auto"/>
            <w:vAlign w:val="center"/>
          </w:tcPr>
          <w:p w14:paraId="6E7CF58A">
            <w:pPr>
              <w:jc w:val="center"/>
              <w:rPr>
                <w:rFonts w:ascii="Times New Roman" w:hAnsi="Times New Roman" w:eastAsia="宋体" w:cs="Times New Roman"/>
                <w:color w:val="auto"/>
                <w:kern w:val="0"/>
                <w:sz w:val="22"/>
                <w:szCs w:val="24"/>
              </w:rPr>
            </w:pPr>
            <w:r>
              <w:rPr>
                <w:rFonts w:ascii="Times New Roman" w:hAnsi="Times New Roman" w:eastAsia="宋体" w:cs="Times New Roman"/>
                <w:color w:val="auto"/>
                <w:kern w:val="0"/>
                <w:sz w:val="22"/>
                <w:szCs w:val="24"/>
              </w:rPr>
              <w:t>1</w:t>
            </w:r>
          </w:p>
        </w:tc>
        <w:tc>
          <w:tcPr>
            <w:tcW w:w="2301" w:type="dxa"/>
            <w:vMerge w:val="restart"/>
            <w:shd w:val="clear" w:color="auto" w:fill="auto"/>
            <w:vAlign w:val="center"/>
          </w:tcPr>
          <w:p w14:paraId="4AE4AE23">
            <w:pPr>
              <w:jc w:val="center"/>
              <w:rPr>
                <w:rFonts w:ascii="Times New Roman" w:hAnsi="Times New Roman" w:eastAsia="宋体" w:cs="Times New Roman"/>
                <w:color w:val="auto"/>
                <w:kern w:val="0"/>
                <w:sz w:val="22"/>
                <w:szCs w:val="24"/>
              </w:rPr>
            </w:pPr>
            <w:r>
              <w:rPr>
                <w:rFonts w:ascii="Times New Roman" w:hAnsi="Times New Roman" w:eastAsia="宋体" w:cs="Times New Roman"/>
                <w:color w:val="auto"/>
                <w:kern w:val="0"/>
                <w:sz w:val="22"/>
                <w:szCs w:val="24"/>
              </w:rPr>
              <w:t>DW001</w:t>
            </w:r>
          </w:p>
        </w:tc>
        <w:tc>
          <w:tcPr>
            <w:tcW w:w="2298" w:type="dxa"/>
            <w:shd w:val="clear" w:color="auto" w:fill="auto"/>
            <w:vAlign w:val="center"/>
          </w:tcPr>
          <w:p w14:paraId="41F94A0F">
            <w:pPr>
              <w:pStyle w:val="52"/>
              <w:bidi w:val="0"/>
              <w:rPr>
                <w:rFonts w:hint="eastAsia" w:ascii="Times New Roman" w:hAnsi="Times New Roman" w:eastAsia="宋体" w:cs="Times New Roman"/>
                <w:color w:val="auto"/>
                <w:kern w:val="2"/>
                <w:sz w:val="21"/>
                <w:szCs w:val="28"/>
                <w:lang w:val="en-US" w:eastAsia="zh-CN" w:bidi="ar-SA"/>
              </w:rPr>
            </w:pPr>
            <w:r>
              <w:rPr>
                <w:rFonts w:hint="eastAsia"/>
                <w:color w:val="auto"/>
                <w:lang w:eastAsia="zh-CN"/>
              </w:rPr>
              <w:t>CODCr</w:t>
            </w:r>
          </w:p>
        </w:tc>
        <w:tc>
          <w:tcPr>
            <w:tcW w:w="2306" w:type="dxa"/>
            <w:shd w:val="clear" w:color="auto" w:fill="auto"/>
          </w:tcPr>
          <w:p w14:paraId="139AF705">
            <w:pPr>
              <w:jc w:val="center"/>
              <w:rPr>
                <w:rFonts w:ascii="Times New Roman" w:hAnsi="Times New Roman" w:eastAsia="宋体" w:cs="Times New Roman"/>
                <w:color w:val="auto"/>
                <w:kern w:val="0"/>
                <w:sz w:val="22"/>
                <w:szCs w:val="24"/>
              </w:rPr>
            </w:pPr>
            <w:r>
              <w:rPr>
                <w:rFonts w:hint="eastAsia" w:ascii="Times New Roman" w:hAnsi="Times New Roman" w:eastAsia="宋体" w:cs="Times New Roman"/>
                <w:color w:val="auto"/>
                <w:sz w:val="22"/>
              </w:rPr>
              <w:t>46</w:t>
            </w:r>
          </w:p>
        </w:tc>
        <w:tc>
          <w:tcPr>
            <w:tcW w:w="2302" w:type="dxa"/>
            <w:shd w:val="clear" w:color="auto" w:fill="auto"/>
            <w:vAlign w:val="center"/>
          </w:tcPr>
          <w:p w14:paraId="3B033EED">
            <w:pPr>
              <w:jc w:val="center"/>
              <w:rPr>
                <w:rFonts w:hint="default" w:ascii="Times New Roman" w:hAnsi="Times New Roman" w:eastAsia="宋体" w:cs="Times New Roman"/>
                <w:color w:val="auto"/>
                <w:kern w:val="0"/>
                <w:sz w:val="22"/>
                <w:szCs w:val="24"/>
                <w:lang w:val="en-US" w:eastAsia="zh-CN"/>
              </w:rPr>
            </w:pPr>
            <w:r>
              <w:rPr>
                <w:rFonts w:hint="eastAsia" w:ascii="Times New Roman" w:hAnsi="Times New Roman" w:eastAsia="宋体" w:cs="Times New Roman"/>
                <w:color w:val="auto"/>
                <w:kern w:val="0"/>
                <w:sz w:val="22"/>
                <w:szCs w:val="24"/>
                <w:lang w:val="en-US" w:eastAsia="zh-CN"/>
              </w:rPr>
              <w:t>0.1302</w:t>
            </w:r>
          </w:p>
        </w:tc>
        <w:tc>
          <w:tcPr>
            <w:tcW w:w="2302" w:type="dxa"/>
            <w:shd w:val="clear" w:color="auto" w:fill="auto"/>
            <w:vAlign w:val="center"/>
          </w:tcPr>
          <w:p w14:paraId="0691E836">
            <w:pPr>
              <w:jc w:val="center"/>
              <w:rPr>
                <w:rFonts w:hint="default" w:ascii="Times New Roman" w:hAnsi="Times New Roman" w:eastAsia="宋体" w:cs="Times New Roman"/>
                <w:color w:val="auto"/>
                <w:kern w:val="2"/>
                <w:sz w:val="22"/>
                <w:szCs w:val="22"/>
                <w:lang w:val="en-US" w:eastAsia="zh-CN" w:bidi="ar-SA"/>
              </w:rPr>
            </w:pPr>
            <w:r>
              <w:rPr>
                <w:rFonts w:hint="eastAsia" w:ascii="Times New Roman" w:hAnsi="Times New Roman" w:eastAsia="宋体" w:cs="Times New Roman"/>
                <w:color w:val="auto"/>
                <w:sz w:val="22"/>
                <w:lang w:val="en-US" w:eastAsia="zh-CN"/>
              </w:rPr>
              <w:t>39.06</w:t>
            </w:r>
          </w:p>
        </w:tc>
      </w:tr>
      <w:tr w14:paraId="5BD8B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94" w:type="dxa"/>
            <w:vMerge w:val="continue"/>
            <w:shd w:val="clear" w:color="auto" w:fill="auto"/>
            <w:vAlign w:val="center"/>
          </w:tcPr>
          <w:p w14:paraId="01664815">
            <w:pPr>
              <w:jc w:val="center"/>
              <w:rPr>
                <w:rFonts w:ascii="Times New Roman" w:hAnsi="Times New Roman" w:eastAsia="宋体" w:cs="Times New Roman"/>
                <w:color w:val="auto"/>
                <w:kern w:val="0"/>
                <w:sz w:val="22"/>
                <w:szCs w:val="24"/>
              </w:rPr>
            </w:pPr>
          </w:p>
        </w:tc>
        <w:tc>
          <w:tcPr>
            <w:tcW w:w="2301" w:type="dxa"/>
            <w:vMerge w:val="continue"/>
            <w:shd w:val="clear" w:color="auto" w:fill="auto"/>
            <w:vAlign w:val="center"/>
          </w:tcPr>
          <w:p w14:paraId="4BE80AD8">
            <w:pPr>
              <w:jc w:val="center"/>
              <w:rPr>
                <w:rFonts w:ascii="Times New Roman" w:hAnsi="Times New Roman" w:eastAsia="宋体" w:cs="Times New Roman"/>
                <w:color w:val="auto"/>
                <w:kern w:val="0"/>
                <w:sz w:val="22"/>
                <w:szCs w:val="24"/>
              </w:rPr>
            </w:pPr>
          </w:p>
        </w:tc>
        <w:tc>
          <w:tcPr>
            <w:tcW w:w="2298" w:type="dxa"/>
            <w:shd w:val="clear" w:color="auto" w:fill="auto"/>
            <w:vAlign w:val="center"/>
          </w:tcPr>
          <w:p w14:paraId="1FF4E9AC">
            <w:pPr>
              <w:pStyle w:val="52"/>
              <w:bidi w:val="0"/>
              <w:rPr>
                <w:rFonts w:hint="default" w:ascii="Times New Roman" w:hAnsi="Times New Roman" w:eastAsia="宋体" w:cs="Times New Roman"/>
                <w:color w:val="auto"/>
                <w:kern w:val="2"/>
                <w:sz w:val="21"/>
                <w:szCs w:val="28"/>
                <w:lang w:val="en-US" w:eastAsia="zh-CN" w:bidi="ar-SA"/>
              </w:rPr>
            </w:pPr>
            <w:r>
              <w:rPr>
                <w:rFonts w:hint="eastAsia" w:cs="Times New Roman"/>
                <w:color w:val="auto"/>
                <w:kern w:val="2"/>
                <w:sz w:val="21"/>
                <w:szCs w:val="28"/>
                <w:lang w:val="en-US" w:eastAsia="zh-CN" w:bidi="ar-SA"/>
              </w:rPr>
              <w:t>SS</w:t>
            </w:r>
          </w:p>
        </w:tc>
        <w:tc>
          <w:tcPr>
            <w:tcW w:w="2306" w:type="dxa"/>
            <w:shd w:val="clear" w:color="auto" w:fill="auto"/>
          </w:tcPr>
          <w:p w14:paraId="11B52B54">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rPr>
              <w:t>0.226</w:t>
            </w:r>
          </w:p>
        </w:tc>
        <w:tc>
          <w:tcPr>
            <w:tcW w:w="2302" w:type="dxa"/>
            <w:shd w:val="clear" w:color="auto" w:fill="auto"/>
            <w:vAlign w:val="center"/>
          </w:tcPr>
          <w:p w14:paraId="6E4BDFB3">
            <w:pPr>
              <w:jc w:val="center"/>
              <w:rPr>
                <w:rFonts w:hint="default" w:ascii="Times New Roman" w:hAnsi="Times New Roman" w:eastAsia="宋体" w:cs="Times New Roman"/>
                <w:color w:val="auto"/>
                <w:kern w:val="0"/>
                <w:sz w:val="22"/>
                <w:szCs w:val="24"/>
                <w:lang w:val="en-US" w:eastAsia="zh-CN"/>
              </w:rPr>
            </w:pPr>
            <w:r>
              <w:rPr>
                <w:rFonts w:hint="eastAsia" w:ascii="Times New Roman" w:hAnsi="Times New Roman" w:eastAsia="宋体" w:cs="Times New Roman"/>
                <w:color w:val="auto"/>
                <w:kern w:val="0"/>
                <w:sz w:val="22"/>
                <w:szCs w:val="24"/>
                <w:lang w:val="en-US" w:eastAsia="zh-CN"/>
              </w:rPr>
              <w:t>0.0047</w:t>
            </w:r>
          </w:p>
        </w:tc>
        <w:tc>
          <w:tcPr>
            <w:tcW w:w="2302" w:type="dxa"/>
            <w:shd w:val="clear" w:color="auto" w:fill="auto"/>
            <w:vAlign w:val="center"/>
          </w:tcPr>
          <w:p w14:paraId="6FD1B9FB">
            <w:pPr>
              <w:jc w:val="center"/>
              <w:rPr>
                <w:rFonts w:hint="default" w:ascii="Times New Roman" w:hAnsi="Times New Roman" w:eastAsia="宋体" w:cs="Times New Roman"/>
                <w:color w:val="auto"/>
                <w:kern w:val="2"/>
                <w:sz w:val="22"/>
                <w:szCs w:val="22"/>
                <w:lang w:val="en-US" w:eastAsia="zh-CN" w:bidi="ar-SA"/>
              </w:rPr>
            </w:pPr>
            <w:r>
              <w:rPr>
                <w:rFonts w:hint="eastAsia" w:ascii="Times New Roman" w:hAnsi="Times New Roman" w:eastAsia="宋体" w:cs="Times New Roman"/>
                <w:color w:val="auto"/>
                <w:sz w:val="22"/>
                <w:lang w:val="en-US" w:eastAsia="zh-CN"/>
              </w:rPr>
              <w:t>1.41</w:t>
            </w:r>
          </w:p>
        </w:tc>
      </w:tr>
      <w:tr w14:paraId="1DACF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94" w:type="dxa"/>
            <w:vMerge w:val="continue"/>
            <w:shd w:val="clear" w:color="auto" w:fill="auto"/>
            <w:vAlign w:val="center"/>
          </w:tcPr>
          <w:p w14:paraId="24181F3D">
            <w:pPr>
              <w:jc w:val="center"/>
              <w:rPr>
                <w:rFonts w:ascii="Times New Roman" w:hAnsi="Times New Roman" w:eastAsia="宋体" w:cs="Times New Roman"/>
                <w:color w:val="auto"/>
                <w:kern w:val="0"/>
                <w:sz w:val="22"/>
                <w:szCs w:val="24"/>
              </w:rPr>
            </w:pPr>
          </w:p>
        </w:tc>
        <w:tc>
          <w:tcPr>
            <w:tcW w:w="2301" w:type="dxa"/>
            <w:vMerge w:val="continue"/>
            <w:shd w:val="clear" w:color="auto" w:fill="auto"/>
            <w:vAlign w:val="center"/>
          </w:tcPr>
          <w:p w14:paraId="4C7319F6">
            <w:pPr>
              <w:jc w:val="center"/>
              <w:rPr>
                <w:rFonts w:ascii="Times New Roman" w:hAnsi="Times New Roman" w:eastAsia="宋体" w:cs="Times New Roman"/>
                <w:color w:val="auto"/>
                <w:kern w:val="0"/>
                <w:sz w:val="22"/>
                <w:szCs w:val="24"/>
              </w:rPr>
            </w:pPr>
          </w:p>
        </w:tc>
        <w:tc>
          <w:tcPr>
            <w:tcW w:w="2298" w:type="dxa"/>
            <w:shd w:val="clear" w:color="auto" w:fill="auto"/>
            <w:vAlign w:val="center"/>
          </w:tcPr>
          <w:p w14:paraId="76B7D20C">
            <w:pPr>
              <w:pStyle w:val="52"/>
              <w:bidi w:val="0"/>
              <w:rPr>
                <w:rFonts w:hint="default" w:ascii="Times New Roman" w:hAnsi="Times New Roman" w:eastAsia="宋体" w:cs="Times New Roman"/>
                <w:color w:val="auto"/>
                <w:kern w:val="2"/>
                <w:sz w:val="21"/>
                <w:szCs w:val="28"/>
                <w:lang w:val="en-US" w:eastAsia="zh-CN" w:bidi="ar-SA"/>
              </w:rPr>
            </w:pPr>
            <w:r>
              <w:rPr>
                <w:rFonts w:hint="eastAsia" w:cs="Times New Roman"/>
                <w:color w:val="auto"/>
                <w:kern w:val="2"/>
                <w:sz w:val="21"/>
                <w:szCs w:val="28"/>
                <w:lang w:val="en-US" w:eastAsia="zh-CN" w:bidi="ar-SA"/>
              </w:rPr>
              <w:t>氨氮</w:t>
            </w:r>
          </w:p>
        </w:tc>
        <w:tc>
          <w:tcPr>
            <w:tcW w:w="2306" w:type="dxa"/>
            <w:shd w:val="clear" w:color="auto" w:fill="auto"/>
          </w:tcPr>
          <w:p w14:paraId="050214D8">
            <w:pPr>
              <w:jc w:val="center"/>
              <w:rPr>
                <w:rFonts w:ascii="Times New Roman" w:hAnsi="Times New Roman" w:eastAsia="宋体" w:cs="Times New Roman"/>
                <w:color w:val="auto"/>
                <w:kern w:val="0"/>
                <w:sz w:val="22"/>
                <w:szCs w:val="24"/>
              </w:rPr>
            </w:pPr>
            <w:r>
              <w:rPr>
                <w:rFonts w:hint="eastAsia" w:ascii="Times New Roman" w:hAnsi="Times New Roman" w:eastAsia="宋体" w:cs="Times New Roman"/>
                <w:color w:val="auto"/>
                <w:sz w:val="22"/>
              </w:rPr>
              <w:t>12.8</w:t>
            </w:r>
          </w:p>
        </w:tc>
        <w:tc>
          <w:tcPr>
            <w:tcW w:w="2302" w:type="dxa"/>
            <w:shd w:val="clear" w:color="auto" w:fill="auto"/>
            <w:vAlign w:val="center"/>
          </w:tcPr>
          <w:p w14:paraId="3BE646F6">
            <w:pPr>
              <w:jc w:val="center"/>
              <w:rPr>
                <w:rFonts w:hint="default" w:ascii="Times New Roman" w:hAnsi="Times New Roman" w:eastAsia="宋体" w:cs="Times New Roman"/>
                <w:color w:val="auto"/>
                <w:kern w:val="0"/>
                <w:sz w:val="22"/>
                <w:szCs w:val="24"/>
                <w:lang w:val="en-US" w:eastAsia="zh-CN"/>
              </w:rPr>
            </w:pPr>
            <w:r>
              <w:rPr>
                <w:rFonts w:hint="eastAsia" w:ascii="Times New Roman" w:hAnsi="Times New Roman" w:eastAsia="宋体" w:cs="Times New Roman"/>
                <w:color w:val="auto"/>
                <w:kern w:val="0"/>
                <w:sz w:val="22"/>
                <w:szCs w:val="24"/>
                <w:lang w:val="en-US" w:eastAsia="zh-CN"/>
              </w:rPr>
              <w:t>0.0059</w:t>
            </w:r>
          </w:p>
        </w:tc>
        <w:tc>
          <w:tcPr>
            <w:tcW w:w="2302" w:type="dxa"/>
            <w:shd w:val="clear" w:color="auto" w:fill="auto"/>
            <w:vAlign w:val="center"/>
          </w:tcPr>
          <w:p w14:paraId="0C3D1074">
            <w:pPr>
              <w:jc w:val="center"/>
              <w:rPr>
                <w:rFonts w:hint="default" w:ascii="Times New Roman" w:hAnsi="Times New Roman" w:eastAsia="宋体" w:cs="Times New Roman"/>
                <w:color w:val="auto"/>
                <w:kern w:val="2"/>
                <w:sz w:val="22"/>
                <w:szCs w:val="22"/>
                <w:lang w:val="en-US" w:eastAsia="zh-CN" w:bidi="ar-SA"/>
              </w:rPr>
            </w:pPr>
            <w:r>
              <w:rPr>
                <w:rFonts w:hint="eastAsia" w:ascii="Times New Roman" w:hAnsi="Times New Roman" w:eastAsia="宋体" w:cs="Times New Roman"/>
                <w:color w:val="auto"/>
                <w:sz w:val="22"/>
                <w:lang w:val="en-US" w:eastAsia="zh-CN"/>
              </w:rPr>
              <w:t>1.78</w:t>
            </w:r>
          </w:p>
        </w:tc>
      </w:tr>
      <w:tr w14:paraId="3C64E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94" w:type="dxa"/>
            <w:vMerge w:val="continue"/>
            <w:shd w:val="clear" w:color="auto" w:fill="auto"/>
            <w:vAlign w:val="center"/>
          </w:tcPr>
          <w:p w14:paraId="0FA950C7">
            <w:pPr>
              <w:jc w:val="center"/>
              <w:rPr>
                <w:rFonts w:ascii="Times New Roman" w:hAnsi="Times New Roman" w:eastAsia="宋体" w:cs="Times New Roman"/>
                <w:color w:val="auto"/>
                <w:kern w:val="0"/>
                <w:sz w:val="22"/>
                <w:szCs w:val="24"/>
              </w:rPr>
            </w:pPr>
          </w:p>
        </w:tc>
        <w:tc>
          <w:tcPr>
            <w:tcW w:w="2301" w:type="dxa"/>
            <w:vMerge w:val="continue"/>
            <w:shd w:val="clear" w:color="auto" w:fill="auto"/>
            <w:vAlign w:val="center"/>
          </w:tcPr>
          <w:p w14:paraId="6D8C9577">
            <w:pPr>
              <w:jc w:val="center"/>
              <w:rPr>
                <w:rFonts w:ascii="Times New Roman" w:hAnsi="Times New Roman" w:eastAsia="宋体" w:cs="Times New Roman"/>
                <w:color w:val="auto"/>
                <w:kern w:val="0"/>
                <w:sz w:val="22"/>
                <w:szCs w:val="24"/>
              </w:rPr>
            </w:pPr>
          </w:p>
        </w:tc>
        <w:tc>
          <w:tcPr>
            <w:tcW w:w="2298" w:type="dxa"/>
            <w:shd w:val="clear" w:color="auto" w:fill="auto"/>
            <w:vAlign w:val="center"/>
          </w:tcPr>
          <w:p w14:paraId="454EF8C1">
            <w:pPr>
              <w:pStyle w:val="52"/>
              <w:bidi w:val="0"/>
              <w:rPr>
                <w:rFonts w:hint="default" w:ascii="Times New Roman" w:hAnsi="Times New Roman" w:eastAsia="宋体" w:cs="Times New Roman"/>
                <w:color w:val="auto"/>
                <w:kern w:val="2"/>
                <w:sz w:val="21"/>
                <w:szCs w:val="28"/>
                <w:lang w:val="en-US" w:eastAsia="zh-CN" w:bidi="ar-SA"/>
              </w:rPr>
            </w:pPr>
            <w:r>
              <w:rPr>
                <w:rFonts w:hint="eastAsia" w:cs="Times New Roman"/>
                <w:color w:val="auto"/>
                <w:kern w:val="2"/>
                <w:sz w:val="21"/>
                <w:szCs w:val="28"/>
                <w:lang w:val="en-US" w:eastAsia="zh-CN" w:bidi="ar-SA"/>
              </w:rPr>
              <w:t>总磷</w:t>
            </w:r>
          </w:p>
        </w:tc>
        <w:tc>
          <w:tcPr>
            <w:tcW w:w="2306" w:type="dxa"/>
            <w:shd w:val="clear" w:color="auto" w:fill="auto"/>
          </w:tcPr>
          <w:p w14:paraId="01A9EE24">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rPr>
              <w:t>3.37</w:t>
            </w:r>
          </w:p>
        </w:tc>
        <w:tc>
          <w:tcPr>
            <w:tcW w:w="2302" w:type="dxa"/>
            <w:shd w:val="clear" w:color="auto" w:fill="auto"/>
            <w:vAlign w:val="center"/>
          </w:tcPr>
          <w:p w14:paraId="6F218F60">
            <w:pPr>
              <w:jc w:val="center"/>
              <w:rPr>
                <w:rFonts w:hint="default" w:ascii="Times New Roman" w:hAnsi="Times New Roman" w:eastAsia="宋体" w:cs="Times New Roman"/>
                <w:color w:val="auto"/>
                <w:kern w:val="0"/>
                <w:sz w:val="22"/>
                <w:szCs w:val="24"/>
                <w:lang w:val="en-US" w:eastAsia="zh-CN"/>
              </w:rPr>
            </w:pPr>
            <w:r>
              <w:rPr>
                <w:rFonts w:hint="eastAsia" w:ascii="Times New Roman" w:hAnsi="Times New Roman" w:eastAsia="宋体" w:cs="Times New Roman"/>
                <w:color w:val="auto"/>
                <w:kern w:val="0"/>
                <w:sz w:val="22"/>
                <w:szCs w:val="24"/>
                <w:lang w:val="en-US" w:eastAsia="zh-CN"/>
              </w:rPr>
              <w:t>0.0014</w:t>
            </w:r>
          </w:p>
        </w:tc>
        <w:tc>
          <w:tcPr>
            <w:tcW w:w="2302" w:type="dxa"/>
            <w:shd w:val="clear" w:color="auto" w:fill="auto"/>
            <w:vAlign w:val="center"/>
          </w:tcPr>
          <w:p w14:paraId="75864DD5">
            <w:pPr>
              <w:jc w:val="center"/>
              <w:rPr>
                <w:rFonts w:hint="default" w:ascii="Times New Roman" w:hAnsi="Times New Roman" w:eastAsia="宋体" w:cs="Times New Roman"/>
                <w:color w:val="auto"/>
                <w:kern w:val="2"/>
                <w:sz w:val="22"/>
                <w:szCs w:val="22"/>
                <w:lang w:val="en-US" w:eastAsia="zh-CN" w:bidi="ar-SA"/>
              </w:rPr>
            </w:pPr>
            <w:r>
              <w:rPr>
                <w:rFonts w:hint="eastAsia" w:ascii="Times New Roman" w:hAnsi="Times New Roman" w:eastAsia="宋体" w:cs="Times New Roman"/>
                <w:color w:val="auto"/>
                <w:sz w:val="22"/>
                <w:lang w:val="en-US" w:eastAsia="zh-CN"/>
              </w:rPr>
              <w:t>0.43</w:t>
            </w:r>
          </w:p>
        </w:tc>
      </w:tr>
      <w:tr w14:paraId="7EC37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94" w:type="dxa"/>
            <w:vMerge w:val="continue"/>
            <w:shd w:val="clear" w:color="auto" w:fill="auto"/>
            <w:vAlign w:val="center"/>
          </w:tcPr>
          <w:p w14:paraId="0642F2A3">
            <w:pPr>
              <w:jc w:val="center"/>
              <w:rPr>
                <w:rFonts w:ascii="Times New Roman" w:hAnsi="Times New Roman" w:eastAsia="宋体" w:cs="Times New Roman"/>
                <w:color w:val="auto"/>
                <w:kern w:val="0"/>
                <w:sz w:val="22"/>
                <w:szCs w:val="24"/>
              </w:rPr>
            </w:pPr>
          </w:p>
        </w:tc>
        <w:tc>
          <w:tcPr>
            <w:tcW w:w="2301" w:type="dxa"/>
            <w:vMerge w:val="continue"/>
            <w:shd w:val="clear" w:color="auto" w:fill="auto"/>
            <w:vAlign w:val="center"/>
          </w:tcPr>
          <w:p w14:paraId="5163109C">
            <w:pPr>
              <w:jc w:val="center"/>
              <w:rPr>
                <w:rFonts w:ascii="Times New Roman" w:hAnsi="Times New Roman" w:eastAsia="宋体" w:cs="Times New Roman"/>
                <w:color w:val="auto"/>
                <w:kern w:val="0"/>
                <w:sz w:val="22"/>
                <w:szCs w:val="24"/>
              </w:rPr>
            </w:pPr>
          </w:p>
        </w:tc>
        <w:tc>
          <w:tcPr>
            <w:tcW w:w="2298" w:type="dxa"/>
            <w:shd w:val="clear" w:color="auto" w:fill="auto"/>
            <w:vAlign w:val="center"/>
          </w:tcPr>
          <w:p w14:paraId="60810FC1">
            <w:pPr>
              <w:pStyle w:val="52"/>
              <w:bidi w:val="0"/>
              <w:rPr>
                <w:rFonts w:hint="default" w:ascii="Times New Roman" w:hAnsi="Times New Roman" w:eastAsia="宋体" w:cs="Times New Roman"/>
                <w:color w:val="auto"/>
                <w:kern w:val="2"/>
                <w:sz w:val="21"/>
                <w:szCs w:val="28"/>
                <w:lang w:val="en-US" w:eastAsia="zh-CN" w:bidi="ar-SA"/>
              </w:rPr>
            </w:pPr>
            <w:r>
              <w:rPr>
                <w:rFonts w:hint="eastAsia" w:cs="Times New Roman"/>
                <w:color w:val="auto"/>
                <w:kern w:val="2"/>
                <w:sz w:val="21"/>
                <w:szCs w:val="28"/>
                <w:lang w:val="en-US" w:eastAsia="zh-CN" w:bidi="ar-SA"/>
              </w:rPr>
              <w:t>总氮</w:t>
            </w:r>
          </w:p>
        </w:tc>
        <w:tc>
          <w:tcPr>
            <w:tcW w:w="2306" w:type="dxa"/>
            <w:shd w:val="clear" w:color="auto" w:fill="auto"/>
          </w:tcPr>
          <w:p w14:paraId="52464C35">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rPr>
              <w:t>9.44</w:t>
            </w:r>
          </w:p>
        </w:tc>
        <w:tc>
          <w:tcPr>
            <w:tcW w:w="2302" w:type="dxa"/>
            <w:shd w:val="clear" w:color="auto" w:fill="auto"/>
            <w:vAlign w:val="center"/>
          </w:tcPr>
          <w:p w14:paraId="6DE67913">
            <w:pPr>
              <w:jc w:val="center"/>
              <w:rPr>
                <w:rFonts w:hint="default" w:ascii="Times New Roman" w:hAnsi="Times New Roman" w:eastAsia="宋体" w:cs="Times New Roman"/>
                <w:color w:val="auto"/>
                <w:kern w:val="0"/>
                <w:sz w:val="22"/>
                <w:szCs w:val="24"/>
                <w:lang w:val="en-US" w:eastAsia="zh-CN"/>
              </w:rPr>
            </w:pPr>
            <w:r>
              <w:rPr>
                <w:rFonts w:hint="eastAsia" w:ascii="Times New Roman" w:hAnsi="Times New Roman" w:eastAsia="宋体" w:cs="Times New Roman"/>
                <w:color w:val="auto"/>
                <w:kern w:val="0"/>
                <w:sz w:val="22"/>
                <w:szCs w:val="24"/>
                <w:lang w:val="en-US" w:eastAsia="zh-CN"/>
              </w:rPr>
              <w:t>0.0091</w:t>
            </w:r>
          </w:p>
        </w:tc>
        <w:tc>
          <w:tcPr>
            <w:tcW w:w="2302" w:type="dxa"/>
            <w:shd w:val="clear" w:color="auto" w:fill="auto"/>
            <w:vAlign w:val="center"/>
          </w:tcPr>
          <w:p w14:paraId="3DBFB65A">
            <w:pPr>
              <w:jc w:val="center"/>
              <w:rPr>
                <w:rFonts w:hint="default" w:ascii="Times New Roman" w:hAnsi="Times New Roman" w:eastAsia="宋体" w:cs="Times New Roman"/>
                <w:color w:val="auto"/>
                <w:kern w:val="2"/>
                <w:sz w:val="22"/>
                <w:szCs w:val="22"/>
                <w:lang w:val="en-US" w:eastAsia="zh-CN" w:bidi="ar-SA"/>
              </w:rPr>
            </w:pPr>
            <w:r>
              <w:rPr>
                <w:rFonts w:hint="eastAsia" w:ascii="Times New Roman" w:hAnsi="Times New Roman" w:eastAsia="宋体" w:cs="Times New Roman"/>
                <w:color w:val="auto"/>
                <w:sz w:val="22"/>
                <w:lang w:val="en-US" w:eastAsia="zh-CN"/>
              </w:rPr>
              <w:t>2.72</w:t>
            </w:r>
          </w:p>
        </w:tc>
      </w:tr>
    </w:tbl>
    <w:p w14:paraId="283B3233">
      <w:pPr>
        <w:spacing w:line="360" w:lineRule="auto"/>
        <w:ind w:firstLine="480" w:firstLineChars="200"/>
        <w:rPr>
          <w:rFonts w:ascii="Times New Roman" w:hAnsi="Times New Roman" w:eastAsia="宋体" w:cs="Times New Roman"/>
          <w:color w:val="FF0000"/>
          <w:sz w:val="24"/>
          <w:szCs w:val="24"/>
        </w:rPr>
      </w:pPr>
    </w:p>
    <w:p w14:paraId="0D84F7B8">
      <w:pPr>
        <w:spacing w:line="360" w:lineRule="auto"/>
        <w:ind w:firstLine="480" w:firstLineChars="200"/>
        <w:rPr>
          <w:rFonts w:ascii="Times New Roman" w:hAnsi="Times New Roman" w:eastAsia="宋体" w:cs="Times New Roman"/>
          <w:color w:val="FF0000"/>
          <w:sz w:val="24"/>
          <w:szCs w:val="24"/>
        </w:rPr>
        <w:sectPr>
          <w:pgSz w:w="16838" w:h="11906" w:orient="landscape"/>
          <w:pgMar w:top="1800" w:right="1440" w:bottom="1800" w:left="1440" w:header="851" w:footer="992" w:gutter="0"/>
          <w:pgNumType w:fmt="numberInDash"/>
          <w:cols w:space="425" w:num="1"/>
          <w:docGrid w:type="lines" w:linePitch="312" w:charSpace="0"/>
        </w:sectPr>
      </w:pPr>
    </w:p>
    <w:p w14:paraId="3D27914A">
      <w:pPr>
        <w:pStyle w:val="4"/>
        <w:spacing w:before="166" w:beforeLines="50" w:after="166" w:afterLines="50" w:line="360" w:lineRule="auto"/>
        <w:rPr>
          <w:rFonts w:ascii="Times New Roman" w:hAnsi="Times New Roman"/>
          <w:bCs w:val="0"/>
          <w:color w:val="auto"/>
          <w:kern w:val="0"/>
          <w:sz w:val="24"/>
          <w:szCs w:val="24"/>
        </w:rPr>
      </w:pPr>
      <w:r>
        <w:rPr>
          <w:rFonts w:ascii="Times New Roman" w:hAnsi="Times New Roman"/>
          <w:bCs w:val="0"/>
          <w:color w:val="auto"/>
          <w:kern w:val="0"/>
          <w:sz w:val="24"/>
          <w:szCs w:val="24"/>
        </w:rPr>
        <w:t>6.2.3噪声环境影响分析</w:t>
      </w:r>
    </w:p>
    <w:p w14:paraId="31FDA5AA">
      <w:pPr>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1、</w:t>
      </w:r>
      <w:r>
        <w:rPr>
          <w:rFonts w:hint="eastAsia" w:ascii="Times New Roman" w:hAnsi="Times New Roman" w:eastAsia="宋体" w:cs="Times New Roman"/>
          <w:color w:val="auto"/>
          <w:sz w:val="24"/>
          <w:szCs w:val="24"/>
        </w:rPr>
        <w:t>预测模型</w:t>
      </w:r>
    </w:p>
    <w:p w14:paraId="6AC9462B">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 xml:space="preserve">根据项目建设内容及《环境影响评价技术导则 </w:t>
      </w:r>
      <w:r>
        <w:rPr>
          <w:rFonts w:ascii="Times New Roman" w:hAnsi="Times New Roman" w:eastAsia="宋体" w:cs="Times New Roman"/>
          <w:color w:val="auto"/>
          <w:sz w:val="24"/>
          <w:szCs w:val="24"/>
        </w:rPr>
        <w:t xml:space="preserve"> </w:t>
      </w:r>
      <w:r>
        <w:rPr>
          <w:rFonts w:hint="eastAsia" w:ascii="Times New Roman" w:hAnsi="Times New Roman" w:eastAsia="宋体" w:cs="Times New Roman"/>
          <w:color w:val="auto"/>
          <w:sz w:val="24"/>
          <w:szCs w:val="24"/>
        </w:rPr>
        <w:t>声环境》（</w:t>
      </w:r>
      <w:r>
        <w:rPr>
          <w:rFonts w:ascii="Times New Roman" w:hAnsi="Times New Roman" w:eastAsia="宋体" w:cs="Times New Roman"/>
          <w:color w:val="auto"/>
          <w:sz w:val="24"/>
          <w:szCs w:val="24"/>
        </w:rPr>
        <w:t>HJ2.4-2021）的要求，项目环评采用的模型为《环境影响评价技术导则  声环境》(HJ2.4.2021)附录A（规范性附录）户外声传播的衰减和附录B（规范性附录）中“B.1工业噪声预测计算模型”。</w:t>
      </w:r>
    </w:p>
    <w:p w14:paraId="4695D08A">
      <w:pPr>
        <w:pStyle w:val="199"/>
        <w:ind w:firstLine="480"/>
        <w:rPr>
          <w:color w:val="auto"/>
        </w:rPr>
      </w:pPr>
      <w:r>
        <w:rPr>
          <w:rFonts w:hint="eastAsia"/>
          <w:color w:val="auto"/>
        </w:rPr>
        <w:t>2、预测参数</w:t>
      </w:r>
    </w:p>
    <w:p w14:paraId="7C6E0DC7">
      <w:pPr>
        <w:pStyle w:val="199"/>
        <w:ind w:firstLine="480"/>
        <w:rPr>
          <w:color w:val="auto"/>
        </w:rPr>
      </w:pPr>
      <w:r>
        <w:rPr>
          <w:rFonts w:hint="eastAsia"/>
          <w:color w:val="auto"/>
        </w:rPr>
        <w:t>（</w:t>
      </w:r>
      <w:r>
        <w:rPr>
          <w:color w:val="auto"/>
        </w:rPr>
        <w:t>1）噪声源强</w:t>
      </w:r>
    </w:p>
    <w:p w14:paraId="4E6D4EE9">
      <w:pPr>
        <w:pStyle w:val="267"/>
        <w:ind w:firstLine="480"/>
        <w:rPr>
          <w:color w:val="FF0000"/>
        </w:rPr>
        <w:sectPr>
          <w:pgSz w:w="11906" w:h="16838"/>
          <w:pgMar w:top="1440" w:right="1803" w:bottom="1440" w:left="1803" w:header="851" w:footer="992" w:gutter="0"/>
          <w:pgNumType w:fmt="numberInDash"/>
          <w:cols w:space="720" w:num="1"/>
          <w:docGrid w:type="lines" w:linePitch="332" w:charSpace="0"/>
        </w:sectPr>
      </w:pPr>
      <w:r>
        <w:rPr>
          <w:rFonts w:hint="eastAsia" w:cs="Times New Roman"/>
          <w:color w:val="auto"/>
        </w:rPr>
        <w:t>项目在生产过程中产生的噪声主要源自各类机械加工设备、风机和泵产生的机械噪声，</w:t>
      </w:r>
      <w:r>
        <w:rPr>
          <w:rFonts w:cs="Times New Roman"/>
          <w:color w:val="auto"/>
        </w:rPr>
        <w:t>这些设备产生的噪声声级一般在75dB以上。项目产生噪声的噪声源强调查清单见表4.4</w:t>
      </w:r>
      <w:r>
        <w:rPr>
          <w:rFonts w:hint="eastAsia" w:cs="Times New Roman"/>
          <w:color w:val="auto"/>
        </w:rPr>
        <w:t>-</w:t>
      </w:r>
      <w:r>
        <w:rPr>
          <w:rFonts w:cs="Times New Roman"/>
          <w:color w:val="auto"/>
        </w:rPr>
        <w:t>27。</w:t>
      </w:r>
    </w:p>
    <w:p w14:paraId="2E9A4D3D">
      <w:pPr>
        <w:adjustRightInd w:val="0"/>
        <w:snapToGrid w:val="0"/>
        <w:jc w:val="center"/>
        <w:rPr>
          <w:rFonts w:ascii="Times New Roman" w:hAnsi="Times New Roman" w:eastAsia="宋体" w:cs="Times New Roman"/>
          <w:b/>
          <w:bCs/>
          <w:color w:val="FF0000"/>
          <w:szCs w:val="21"/>
        </w:rPr>
      </w:pPr>
    </w:p>
    <w:p w14:paraId="7091F8CB">
      <w:pPr>
        <w:pStyle w:val="6"/>
        <w:bidi w:val="0"/>
      </w:pPr>
      <w:r>
        <w:t>表6.2</w:t>
      </w:r>
      <w:r>
        <w:rPr>
          <w:rFonts w:hint="eastAsia"/>
          <w:lang w:val="en-US" w:eastAsia="zh-CN"/>
        </w:rPr>
        <w:t>.3</w:t>
      </w:r>
      <w:r>
        <w:t>-</w:t>
      </w:r>
      <w:r>
        <w:rPr>
          <w:rFonts w:hint="eastAsia"/>
          <w:lang w:val="en-US" w:eastAsia="zh-CN"/>
        </w:rPr>
        <w:t>1</w:t>
      </w:r>
      <w:r>
        <w:rPr>
          <w:rFonts w:hint="eastAsia"/>
        </w:rPr>
        <w:t xml:space="preserve"> </w:t>
      </w:r>
      <w:r>
        <w:t xml:space="preserve">   工业企业噪声源强调查清单</w:t>
      </w:r>
    </w:p>
    <w:tbl>
      <w:tblPr>
        <w:tblStyle w:val="41"/>
        <w:tblW w:w="140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0"/>
        <w:gridCol w:w="1026"/>
        <w:gridCol w:w="1740"/>
        <w:gridCol w:w="1709"/>
        <w:gridCol w:w="1325"/>
        <w:gridCol w:w="813"/>
        <w:gridCol w:w="898"/>
        <w:gridCol w:w="725"/>
        <w:gridCol w:w="968"/>
        <w:gridCol w:w="846"/>
        <w:gridCol w:w="1363"/>
        <w:gridCol w:w="873"/>
        <w:gridCol w:w="1059"/>
      </w:tblGrid>
      <w:tr w14:paraId="300A7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exact"/>
          <w:jc w:val="center"/>
        </w:trPr>
        <w:tc>
          <w:tcPr>
            <w:tcW w:w="660" w:type="dxa"/>
            <w:vMerge w:val="restart"/>
            <w:vAlign w:val="center"/>
          </w:tcPr>
          <w:p w14:paraId="2B028992">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序号</w:t>
            </w:r>
          </w:p>
        </w:tc>
        <w:tc>
          <w:tcPr>
            <w:tcW w:w="1026" w:type="dxa"/>
            <w:vMerge w:val="restart"/>
            <w:vAlign w:val="center"/>
          </w:tcPr>
          <w:p w14:paraId="1B646967">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建筑物名称</w:t>
            </w:r>
          </w:p>
        </w:tc>
        <w:tc>
          <w:tcPr>
            <w:tcW w:w="1740" w:type="dxa"/>
            <w:vMerge w:val="restart"/>
            <w:vAlign w:val="center"/>
          </w:tcPr>
          <w:p w14:paraId="762C5334">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声源名称</w:t>
            </w:r>
          </w:p>
        </w:tc>
        <w:tc>
          <w:tcPr>
            <w:tcW w:w="1709" w:type="dxa"/>
            <w:vAlign w:val="center"/>
          </w:tcPr>
          <w:p w14:paraId="1D80FA56">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声源源强</w:t>
            </w:r>
          </w:p>
        </w:tc>
        <w:tc>
          <w:tcPr>
            <w:tcW w:w="1325" w:type="dxa"/>
            <w:vMerge w:val="restart"/>
            <w:shd w:val="clear" w:color="auto" w:fill="auto"/>
            <w:vAlign w:val="center"/>
          </w:tcPr>
          <w:p w14:paraId="593EE243">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声源控制措施</w:t>
            </w:r>
          </w:p>
        </w:tc>
        <w:tc>
          <w:tcPr>
            <w:tcW w:w="2436" w:type="dxa"/>
            <w:gridSpan w:val="3"/>
            <w:vAlign w:val="center"/>
          </w:tcPr>
          <w:p w14:paraId="2CFAB990">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空间相对位置/m</w:t>
            </w:r>
          </w:p>
        </w:tc>
        <w:tc>
          <w:tcPr>
            <w:tcW w:w="968" w:type="dxa"/>
            <w:vMerge w:val="restart"/>
            <w:vAlign w:val="center"/>
          </w:tcPr>
          <w:p w14:paraId="29AD9644">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室内边界声级/dB(A)</w:t>
            </w:r>
          </w:p>
        </w:tc>
        <w:tc>
          <w:tcPr>
            <w:tcW w:w="846" w:type="dxa"/>
            <w:vMerge w:val="restart"/>
            <w:vAlign w:val="center"/>
          </w:tcPr>
          <w:p w14:paraId="036A7716">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运行时段</w:t>
            </w:r>
          </w:p>
        </w:tc>
        <w:tc>
          <w:tcPr>
            <w:tcW w:w="1363" w:type="dxa"/>
            <w:vMerge w:val="restart"/>
            <w:vAlign w:val="center"/>
          </w:tcPr>
          <w:p w14:paraId="26674C4E">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建筑物插入损失/dB（A）</w:t>
            </w:r>
          </w:p>
        </w:tc>
        <w:tc>
          <w:tcPr>
            <w:tcW w:w="1932" w:type="dxa"/>
            <w:gridSpan w:val="2"/>
            <w:vAlign w:val="center"/>
          </w:tcPr>
          <w:p w14:paraId="63E7007C">
            <w:pPr>
              <w:jc w:val="center"/>
              <w:rPr>
                <w:rFonts w:ascii="Times New Roman" w:hAnsi="Times New Roman" w:eastAsia="宋体" w:cs="Times New Roman"/>
                <w:color w:val="auto"/>
                <w:szCs w:val="21"/>
              </w:rPr>
            </w:pPr>
            <w:r>
              <w:rPr>
                <w:rFonts w:ascii="Times New Roman" w:hAnsi="Times New Roman" w:eastAsia="宋体" w:cs="Times New Roman"/>
                <w:color w:val="auto"/>
              </w:rPr>
              <w:t>建筑物外噪声</w:t>
            </w:r>
          </w:p>
        </w:tc>
      </w:tr>
      <w:tr w14:paraId="5B0D9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exact"/>
          <w:jc w:val="center"/>
        </w:trPr>
        <w:tc>
          <w:tcPr>
            <w:tcW w:w="660" w:type="dxa"/>
            <w:vMerge w:val="continue"/>
            <w:vAlign w:val="center"/>
          </w:tcPr>
          <w:p w14:paraId="1DB9B034">
            <w:pPr>
              <w:jc w:val="center"/>
              <w:rPr>
                <w:rFonts w:ascii="Times New Roman" w:hAnsi="Times New Roman" w:eastAsia="宋体" w:cs="Times New Roman"/>
                <w:color w:val="auto"/>
                <w:szCs w:val="21"/>
              </w:rPr>
            </w:pPr>
          </w:p>
        </w:tc>
        <w:tc>
          <w:tcPr>
            <w:tcW w:w="1026" w:type="dxa"/>
            <w:vMerge w:val="continue"/>
            <w:vAlign w:val="center"/>
          </w:tcPr>
          <w:p w14:paraId="77A98C7C">
            <w:pPr>
              <w:jc w:val="center"/>
              <w:rPr>
                <w:rFonts w:ascii="Times New Roman" w:hAnsi="Times New Roman" w:eastAsia="宋体" w:cs="Times New Roman"/>
                <w:color w:val="auto"/>
                <w:szCs w:val="21"/>
              </w:rPr>
            </w:pPr>
          </w:p>
        </w:tc>
        <w:tc>
          <w:tcPr>
            <w:tcW w:w="1740" w:type="dxa"/>
            <w:vMerge w:val="continue"/>
            <w:vAlign w:val="center"/>
          </w:tcPr>
          <w:p w14:paraId="3E7F69D5">
            <w:pPr>
              <w:jc w:val="center"/>
              <w:rPr>
                <w:rFonts w:ascii="Times New Roman" w:hAnsi="Times New Roman" w:eastAsia="宋体" w:cs="Times New Roman"/>
                <w:color w:val="auto"/>
                <w:szCs w:val="21"/>
              </w:rPr>
            </w:pPr>
          </w:p>
        </w:tc>
        <w:tc>
          <w:tcPr>
            <w:tcW w:w="1709" w:type="dxa"/>
            <w:vAlign w:val="center"/>
          </w:tcPr>
          <w:p w14:paraId="390BE2BA">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 xml:space="preserve">声压级 dB(A)/距声源距离 m </w:t>
            </w:r>
          </w:p>
        </w:tc>
        <w:tc>
          <w:tcPr>
            <w:tcW w:w="1325" w:type="dxa"/>
            <w:vMerge w:val="continue"/>
            <w:vAlign w:val="center"/>
          </w:tcPr>
          <w:p w14:paraId="1805C4F3">
            <w:pPr>
              <w:jc w:val="center"/>
              <w:rPr>
                <w:rFonts w:ascii="Times New Roman" w:hAnsi="Times New Roman" w:eastAsia="宋体" w:cs="Times New Roman"/>
                <w:color w:val="auto"/>
                <w:szCs w:val="21"/>
              </w:rPr>
            </w:pPr>
          </w:p>
        </w:tc>
        <w:tc>
          <w:tcPr>
            <w:tcW w:w="813" w:type="dxa"/>
            <w:vAlign w:val="center"/>
          </w:tcPr>
          <w:p w14:paraId="30616DC7">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X</w:t>
            </w:r>
          </w:p>
        </w:tc>
        <w:tc>
          <w:tcPr>
            <w:tcW w:w="898" w:type="dxa"/>
            <w:vAlign w:val="center"/>
          </w:tcPr>
          <w:p w14:paraId="24BD3A6B">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Y</w:t>
            </w:r>
          </w:p>
        </w:tc>
        <w:tc>
          <w:tcPr>
            <w:tcW w:w="725" w:type="dxa"/>
            <w:vAlign w:val="center"/>
          </w:tcPr>
          <w:p w14:paraId="0A76ED85">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Z</w:t>
            </w:r>
          </w:p>
        </w:tc>
        <w:tc>
          <w:tcPr>
            <w:tcW w:w="968" w:type="dxa"/>
            <w:vMerge w:val="continue"/>
            <w:vAlign w:val="center"/>
          </w:tcPr>
          <w:p w14:paraId="0F82C835">
            <w:pPr>
              <w:jc w:val="center"/>
              <w:rPr>
                <w:rFonts w:ascii="Times New Roman" w:hAnsi="Times New Roman" w:eastAsia="宋体" w:cs="Times New Roman"/>
                <w:color w:val="auto"/>
                <w:szCs w:val="21"/>
              </w:rPr>
            </w:pPr>
          </w:p>
        </w:tc>
        <w:tc>
          <w:tcPr>
            <w:tcW w:w="846" w:type="dxa"/>
            <w:vMerge w:val="continue"/>
            <w:vAlign w:val="center"/>
          </w:tcPr>
          <w:p w14:paraId="27475845">
            <w:pPr>
              <w:jc w:val="center"/>
              <w:rPr>
                <w:rFonts w:ascii="Times New Roman" w:hAnsi="Times New Roman" w:eastAsia="宋体" w:cs="Times New Roman"/>
                <w:color w:val="auto"/>
                <w:szCs w:val="21"/>
              </w:rPr>
            </w:pPr>
          </w:p>
        </w:tc>
        <w:tc>
          <w:tcPr>
            <w:tcW w:w="1363" w:type="dxa"/>
            <w:vMerge w:val="continue"/>
            <w:vAlign w:val="center"/>
          </w:tcPr>
          <w:p w14:paraId="77121FB0">
            <w:pPr>
              <w:jc w:val="center"/>
              <w:rPr>
                <w:rFonts w:ascii="Times New Roman" w:hAnsi="Times New Roman" w:eastAsia="宋体" w:cs="Times New Roman"/>
                <w:color w:val="auto"/>
                <w:szCs w:val="21"/>
              </w:rPr>
            </w:pPr>
          </w:p>
        </w:tc>
        <w:tc>
          <w:tcPr>
            <w:tcW w:w="873" w:type="dxa"/>
            <w:vAlign w:val="center"/>
          </w:tcPr>
          <w:p w14:paraId="0D568DDD">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声压级/dB(A)</w:t>
            </w:r>
          </w:p>
        </w:tc>
        <w:tc>
          <w:tcPr>
            <w:tcW w:w="1059" w:type="dxa"/>
            <w:vAlign w:val="center"/>
          </w:tcPr>
          <w:p w14:paraId="4C8D128E">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建筑物外距离/m</w:t>
            </w:r>
          </w:p>
        </w:tc>
      </w:tr>
      <w:tr w14:paraId="4A5AE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exact"/>
          <w:jc w:val="center"/>
        </w:trPr>
        <w:tc>
          <w:tcPr>
            <w:tcW w:w="660" w:type="dxa"/>
            <w:vAlign w:val="center"/>
          </w:tcPr>
          <w:p w14:paraId="349BFB9C">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1</w:t>
            </w:r>
          </w:p>
        </w:tc>
        <w:tc>
          <w:tcPr>
            <w:tcW w:w="1026" w:type="dxa"/>
            <w:vMerge w:val="restart"/>
            <w:vAlign w:val="center"/>
          </w:tcPr>
          <w:p w14:paraId="5F105E7F">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提取1车间</w:t>
            </w:r>
          </w:p>
        </w:tc>
        <w:tc>
          <w:tcPr>
            <w:tcW w:w="1740" w:type="dxa"/>
            <w:shd w:val="clear" w:color="auto" w:fill="auto"/>
            <w:vAlign w:val="center"/>
          </w:tcPr>
          <w:p w14:paraId="12060B47">
            <w:pPr>
              <w:jc w:val="center"/>
              <w:rPr>
                <w:rFonts w:hint="default" w:ascii="Times New Roman" w:hAnsi="Times New Roman" w:eastAsia="宋体" w:cs="Times New Roman"/>
                <w:color w:val="auto"/>
                <w:kern w:val="2"/>
                <w:sz w:val="22"/>
                <w:szCs w:val="22"/>
                <w:lang w:val="en-US" w:eastAsia="zh-CN" w:bidi="ar-SA"/>
              </w:rPr>
            </w:pPr>
            <w:r>
              <w:rPr>
                <w:rFonts w:hint="eastAsia" w:ascii="Times New Roman" w:hAnsi="Times New Roman" w:eastAsia="宋体" w:cs="Times New Roman"/>
                <w:color w:val="auto"/>
                <w:sz w:val="22"/>
                <w:lang w:val="en-US" w:eastAsia="zh-CN"/>
              </w:rPr>
              <w:t>粗品析晶釜1</w:t>
            </w:r>
          </w:p>
        </w:tc>
        <w:tc>
          <w:tcPr>
            <w:tcW w:w="1709" w:type="dxa"/>
            <w:vAlign w:val="center"/>
          </w:tcPr>
          <w:p w14:paraId="0CEB4DCE">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70</w:t>
            </w:r>
            <w:r>
              <w:rPr>
                <w:rFonts w:ascii="Times New Roman" w:hAnsi="Times New Roman" w:eastAsia="宋体" w:cs="Times New Roman"/>
                <w:color w:val="auto"/>
                <w:szCs w:val="21"/>
              </w:rPr>
              <w:t>dB(A)，1m</w:t>
            </w:r>
          </w:p>
        </w:tc>
        <w:tc>
          <w:tcPr>
            <w:tcW w:w="1325" w:type="dxa"/>
            <w:vMerge w:val="restart"/>
            <w:shd w:val="clear" w:color="auto" w:fill="auto"/>
            <w:vAlign w:val="center"/>
          </w:tcPr>
          <w:p w14:paraId="3A14955A">
            <w:pPr>
              <w:jc w:val="center"/>
              <w:rPr>
                <w:rFonts w:hint="default"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szCs w:val="21"/>
              </w:rPr>
              <w:t>选用低噪设备、基础减振</w:t>
            </w:r>
            <w:r>
              <w:rPr>
                <w:rFonts w:hint="eastAsia" w:ascii="Times New Roman" w:hAnsi="Times New Roman" w:eastAsia="宋体" w:cs="Times New Roman"/>
                <w:color w:val="auto"/>
                <w:szCs w:val="21"/>
                <w:lang w:eastAsia="zh-CN"/>
              </w:rPr>
              <w:t>、</w:t>
            </w:r>
            <w:r>
              <w:rPr>
                <w:rFonts w:hint="eastAsia" w:ascii="Times New Roman" w:hAnsi="Times New Roman" w:eastAsia="宋体" w:cs="Times New Roman"/>
                <w:color w:val="auto"/>
                <w:szCs w:val="21"/>
                <w:lang w:val="en-US" w:eastAsia="zh-CN"/>
              </w:rPr>
              <w:t>厂房隔音</w:t>
            </w:r>
          </w:p>
        </w:tc>
        <w:tc>
          <w:tcPr>
            <w:tcW w:w="813" w:type="dxa"/>
            <w:vAlign w:val="center"/>
          </w:tcPr>
          <w:p w14:paraId="42B27C68">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93.05</w:t>
            </w:r>
          </w:p>
        </w:tc>
        <w:tc>
          <w:tcPr>
            <w:tcW w:w="898" w:type="dxa"/>
            <w:vAlign w:val="center"/>
          </w:tcPr>
          <w:p w14:paraId="545B6C09">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246.82</w:t>
            </w:r>
          </w:p>
        </w:tc>
        <w:tc>
          <w:tcPr>
            <w:tcW w:w="725" w:type="dxa"/>
            <w:vAlign w:val="center"/>
          </w:tcPr>
          <w:p w14:paraId="524C6F55">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37</w:t>
            </w:r>
          </w:p>
        </w:tc>
        <w:tc>
          <w:tcPr>
            <w:tcW w:w="968" w:type="dxa"/>
            <w:vAlign w:val="center"/>
          </w:tcPr>
          <w:p w14:paraId="5957F674">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68</w:t>
            </w:r>
          </w:p>
        </w:tc>
        <w:tc>
          <w:tcPr>
            <w:tcW w:w="846" w:type="dxa"/>
            <w:vAlign w:val="center"/>
          </w:tcPr>
          <w:p w14:paraId="1E96B388">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0~24h</w:t>
            </w:r>
          </w:p>
        </w:tc>
        <w:tc>
          <w:tcPr>
            <w:tcW w:w="1363" w:type="dxa"/>
            <w:vAlign w:val="center"/>
          </w:tcPr>
          <w:p w14:paraId="167237C2">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15</w:t>
            </w:r>
          </w:p>
        </w:tc>
        <w:tc>
          <w:tcPr>
            <w:tcW w:w="873" w:type="dxa"/>
            <w:vAlign w:val="center"/>
          </w:tcPr>
          <w:p w14:paraId="36D1CEAA">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53</w:t>
            </w:r>
          </w:p>
        </w:tc>
        <w:tc>
          <w:tcPr>
            <w:tcW w:w="1059" w:type="dxa"/>
            <w:vAlign w:val="center"/>
          </w:tcPr>
          <w:p w14:paraId="29F22AA6">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1</w:t>
            </w:r>
          </w:p>
        </w:tc>
      </w:tr>
      <w:tr w14:paraId="38A50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exact"/>
          <w:jc w:val="center"/>
        </w:trPr>
        <w:tc>
          <w:tcPr>
            <w:tcW w:w="660" w:type="dxa"/>
            <w:shd w:val="clear" w:color="auto" w:fill="auto"/>
            <w:vAlign w:val="center"/>
          </w:tcPr>
          <w:p w14:paraId="36E90AFA">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2</w:t>
            </w:r>
          </w:p>
        </w:tc>
        <w:tc>
          <w:tcPr>
            <w:tcW w:w="1026" w:type="dxa"/>
            <w:vMerge w:val="continue"/>
            <w:vAlign w:val="center"/>
          </w:tcPr>
          <w:p w14:paraId="58CE1D9F">
            <w:pPr>
              <w:jc w:val="center"/>
              <w:rPr>
                <w:rFonts w:hint="eastAsia" w:ascii="Times New Roman" w:hAnsi="Times New Roman" w:eastAsia="宋体" w:cs="Times New Roman"/>
                <w:color w:val="auto"/>
                <w:szCs w:val="21"/>
                <w:lang w:val="en-US" w:eastAsia="zh-CN"/>
              </w:rPr>
            </w:pPr>
          </w:p>
        </w:tc>
        <w:tc>
          <w:tcPr>
            <w:tcW w:w="1740" w:type="dxa"/>
            <w:shd w:val="clear" w:color="auto" w:fill="auto"/>
            <w:vAlign w:val="center"/>
          </w:tcPr>
          <w:p w14:paraId="02F98C26">
            <w:pPr>
              <w:jc w:val="center"/>
              <w:rPr>
                <w:rFonts w:hint="default" w:ascii="Times New Roman" w:hAnsi="Times New Roman" w:eastAsia="宋体" w:cs="Times New Roman"/>
                <w:color w:val="auto"/>
                <w:kern w:val="2"/>
                <w:sz w:val="22"/>
                <w:szCs w:val="22"/>
                <w:lang w:val="en-US" w:eastAsia="zh-CN" w:bidi="ar-SA"/>
              </w:rPr>
            </w:pPr>
            <w:r>
              <w:rPr>
                <w:rFonts w:hint="eastAsia" w:ascii="Times New Roman" w:hAnsi="Times New Roman" w:eastAsia="宋体" w:cs="Times New Roman"/>
                <w:color w:val="auto"/>
                <w:sz w:val="22"/>
                <w:lang w:val="en-US" w:eastAsia="zh-CN"/>
              </w:rPr>
              <w:t>粗品析晶釜2</w:t>
            </w:r>
          </w:p>
        </w:tc>
        <w:tc>
          <w:tcPr>
            <w:tcW w:w="1709" w:type="dxa"/>
            <w:shd w:val="clear" w:color="auto" w:fill="auto"/>
            <w:vAlign w:val="center"/>
          </w:tcPr>
          <w:p w14:paraId="33AAEBBF">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70</w:t>
            </w:r>
            <w:r>
              <w:rPr>
                <w:rFonts w:ascii="Times New Roman" w:hAnsi="Times New Roman" w:eastAsia="宋体" w:cs="Times New Roman"/>
                <w:color w:val="auto"/>
                <w:szCs w:val="21"/>
              </w:rPr>
              <w:t>dB(A)，1m</w:t>
            </w:r>
          </w:p>
        </w:tc>
        <w:tc>
          <w:tcPr>
            <w:tcW w:w="1325" w:type="dxa"/>
            <w:vMerge w:val="continue"/>
            <w:shd w:val="clear" w:color="auto" w:fill="auto"/>
            <w:vAlign w:val="center"/>
          </w:tcPr>
          <w:p w14:paraId="10DD7F5C">
            <w:pPr>
              <w:jc w:val="center"/>
              <w:rPr>
                <w:rFonts w:hint="default" w:ascii="Times New Roman" w:hAnsi="Times New Roman" w:eastAsia="宋体" w:cs="Times New Roman"/>
                <w:color w:val="auto"/>
                <w:kern w:val="2"/>
                <w:sz w:val="21"/>
                <w:szCs w:val="21"/>
                <w:lang w:val="en-US" w:eastAsia="zh-CN" w:bidi="ar-SA"/>
              </w:rPr>
            </w:pPr>
          </w:p>
        </w:tc>
        <w:tc>
          <w:tcPr>
            <w:tcW w:w="813" w:type="dxa"/>
            <w:shd w:val="clear" w:color="auto" w:fill="auto"/>
            <w:vAlign w:val="center"/>
          </w:tcPr>
          <w:p w14:paraId="27977BF2">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96.17</w:t>
            </w:r>
          </w:p>
        </w:tc>
        <w:tc>
          <w:tcPr>
            <w:tcW w:w="898" w:type="dxa"/>
            <w:shd w:val="clear" w:color="auto" w:fill="auto"/>
            <w:vAlign w:val="center"/>
          </w:tcPr>
          <w:p w14:paraId="28BC00A2">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243.7</w:t>
            </w:r>
          </w:p>
        </w:tc>
        <w:tc>
          <w:tcPr>
            <w:tcW w:w="725" w:type="dxa"/>
            <w:shd w:val="clear" w:color="auto" w:fill="auto"/>
            <w:vAlign w:val="center"/>
          </w:tcPr>
          <w:p w14:paraId="0C0B67BF">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37</w:t>
            </w:r>
          </w:p>
        </w:tc>
        <w:tc>
          <w:tcPr>
            <w:tcW w:w="968" w:type="dxa"/>
            <w:shd w:val="clear" w:color="auto" w:fill="auto"/>
            <w:vAlign w:val="center"/>
          </w:tcPr>
          <w:p w14:paraId="45155840">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68</w:t>
            </w:r>
          </w:p>
        </w:tc>
        <w:tc>
          <w:tcPr>
            <w:tcW w:w="846" w:type="dxa"/>
            <w:shd w:val="clear" w:color="auto" w:fill="auto"/>
            <w:vAlign w:val="center"/>
          </w:tcPr>
          <w:p w14:paraId="5BE1F8B0">
            <w:pPr>
              <w:jc w:val="center"/>
              <w:rPr>
                <w:rFonts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szCs w:val="21"/>
              </w:rPr>
              <w:t>0~24h</w:t>
            </w:r>
          </w:p>
        </w:tc>
        <w:tc>
          <w:tcPr>
            <w:tcW w:w="1363" w:type="dxa"/>
            <w:shd w:val="clear" w:color="auto" w:fill="auto"/>
            <w:vAlign w:val="center"/>
          </w:tcPr>
          <w:p w14:paraId="30DBC02F">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rPr>
              <w:t>15</w:t>
            </w:r>
          </w:p>
        </w:tc>
        <w:tc>
          <w:tcPr>
            <w:tcW w:w="873" w:type="dxa"/>
            <w:shd w:val="clear" w:color="auto" w:fill="auto"/>
            <w:vAlign w:val="center"/>
          </w:tcPr>
          <w:p w14:paraId="2A7BB01C">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53</w:t>
            </w:r>
          </w:p>
        </w:tc>
        <w:tc>
          <w:tcPr>
            <w:tcW w:w="1059" w:type="dxa"/>
            <w:shd w:val="clear" w:color="auto" w:fill="auto"/>
            <w:vAlign w:val="center"/>
          </w:tcPr>
          <w:p w14:paraId="537D6E26">
            <w:pPr>
              <w:jc w:val="center"/>
              <w:rPr>
                <w:rFonts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szCs w:val="21"/>
              </w:rPr>
              <w:t>1</w:t>
            </w:r>
          </w:p>
        </w:tc>
      </w:tr>
      <w:tr w14:paraId="64EAB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exact"/>
          <w:jc w:val="center"/>
        </w:trPr>
        <w:tc>
          <w:tcPr>
            <w:tcW w:w="660" w:type="dxa"/>
            <w:shd w:val="clear" w:color="auto" w:fill="auto"/>
            <w:vAlign w:val="center"/>
          </w:tcPr>
          <w:p w14:paraId="0366C0FF">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3</w:t>
            </w:r>
          </w:p>
        </w:tc>
        <w:tc>
          <w:tcPr>
            <w:tcW w:w="1026" w:type="dxa"/>
            <w:vMerge w:val="continue"/>
            <w:vAlign w:val="center"/>
          </w:tcPr>
          <w:p w14:paraId="3B6B0770">
            <w:pPr>
              <w:jc w:val="center"/>
              <w:rPr>
                <w:rFonts w:hint="eastAsia" w:ascii="Times New Roman" w:hAnsi="Times New Roman" w:eastAsia="宋体" w:cs="Times New Roman"/>
                <w:color w:val="auto"/>
                <w:szCs w:val="21"/>
                <w:lang w:val="en-US" w:eastAsia="zh-CN"/>
              </w:rPr>
            </w:pPr>
          </w:p>
        </w:tc>
        <w:tc>
          <w:tcPr>
            <w:tcW w:w="1740" w:type="dxa"/>
            <w:shd w:val="clear" w:color="auto" w:fill="auto"/>
            <w:vAlign w:val="center"/>
          </w:tcPr>
          <w:p w14:paraId="13D0D16D">
            <w:pPr>
              <w:jc w:val="center"/>
              <w:rPr>
                <w:rFonts w:hint="default" w:ascii="Times New Roman" w:hAnsi="Times New Roman" w:eastAsia="宋体" w:cs="Times New Roman"/>
                <w:color w:val="auto"/>
                <w:kern w:val="2"/>
                <w:sz w:val="22"/>
                <w:szCs w:val="22"/>
                <w:lang w:val="en-US" w:eastAsia="zh-CN" w:bidi="ar-SA"/>
              </w:rPr>
            </w:pPr>
            <w:r>
              <w:rPr>
                <w:rFonts w:hint="eastAsia" w:ascii="Times New Roman" w:hAnsi="Times New Roman" w:eastAsia="宋体" w:cs="Times New Roman"/>
                <w:color w:val="auto"/>
                <w:sz w:val="22"/>
                <w:lang w:val="en-US" w:eastAsia="zh-CN"/>
              </w:rPr>
              <w:t>粗品析晶釜3</w:t>
            </w:r>
          </w:p>
        </w:tc>
        <w:tc>
          <w:tcPr>
            <w:tcW w:w="1709" w:type="dxa"/>
            <w:shd w:val="clear" w:color="auto" w:fill="auto"/>
            <w:vAlign w:val="center"/>
          </w:tcPr>
          <w:p w14:paraId="0884BA91">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70</w:t>
            </w:r>
            <w:r>
              <w:rPr>
                <w:rFonts w:ascii="Times New Roman" w:hAnsi="Times New Roman" w:eastAsia="宋体" w:cs="Times New Roman"/>
                <w:color w:val="auto"/>
                <w:szCs w:val="21"/>
              </w:rPr>
              <w:t>dB(A)，1m</w:t>
            </w:r>
          </w:p>
        </w:tc>
        <w:tc>
          <w:tcPr>
            <w:tcW w:w="1325" w:type="dxa"/>
            <w:vMerge w:val="continue"/>
            <w:shd w:val="clear" w:color="auto" w:fill="auto"/>
            <w:vAlign w:val="center"/>
          </w:tcPr>
          <w:p w14:paraId="6211D66E">
            <w:pPr>
              <w:jc w:val="center"/>
              <w:rPr>
                <w:rFonts w:hint="default" w:ascii="Times New Roman" w:hAnsi="Times New Roman" w:eastAsia="宋体" w:cs="Times New Roman"/>
                <w:color w:val="auto"/>
                <w:kern w:val="2"/>
                <w:sz w:val="21"/>
                <w:szCs w:val="21"/>
                <w:lang w:val="en-US" w:eastAsia="zh-CN" w:bidi="ar-SA"/>
              </w:rPr>
            </w:pPr>
          </w:p>
        </w:tc>
        <w:tc>
          <w:tcPr>
            <w:tcW w:w="813" w:type="dxa"/>
            <w:shd w:val="clear" w:color="auto" w:fill="auto"/>
            <w:vAlign w:val="center"/>
          </w:tcPr>
          <w:p w14:paraId="34BDFADE">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97.2</w:t>
            </w:r>
          </w:p>
        </w:tc>
        <w:tc>
          <w:tcPr>
            <w:tcW w:w="898" w:type="dxa"/>
            <w:shd w:val="clear" w:color="auto" w:fill="auto"/>
            <w:vAlign w:val="center"/>
          </w:tcPr>
          <w:p w14:paraId="69FFCED7">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250.8</w:t>
            </w:r>
          </w:p>
        </w:tc>
        <w:tc>
          <w:tcPr>
            <w:tcW w:w="725" w:type="dxa"/>
            <w:shd w:val="clear" w:color="auto" w:fill="auto"/>
            <w:vAlign w:val="center"/>
          </w:tcPr>
          <w:p w14:paraId="0E3A1F4E">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37</w:t>
            </w:r>
          </w:p>
        </w:tc>
        <w:tc>
          <w:tcPr>
            <w:tcW w:w="968" w:type="dxa"/>
            <w:shd w:val="clear" w:color="auto" w:fill="auto"/>
            <w:vAlign w:val="center"/>
          </w:tcPr>
          <w:p w14:paraId="0004D7B3">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68</w:t>
            </w:r>
          </w:p>
        </w:tc>
        <w:tc>
          <w:tcPr>
            <w:tcW w:w="846" w:type="dxa"/>
            <w:shd w:val="clear" w:color="auto" w:fill="auto"/>
            <w:vAlign w:val="center"/>
          </w:tcPr>
          <w:p w14:paraId="08B8528E">
            <w:pPr>
              <w:jc w:val="center"/>
              <w:rPr>
                <w:rFonts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szCs w:val="21"/>
              </w:rPr>
              <w:t>0~24h</w:t>
            </w:r>
          </w:p>
        </w:tc>
        <w:tc>
          <w:tcPr>
            <w:tcW w:w="1363" w:type="dxa"/>
            <w:shd w:val="clear" w:color="auto" w:fill="auto"/>
            <w:vAlign w:val="center"/>
          </w:tcPr>
          <w:p w14:paraId="6DC22E8A">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rPr>
              <w:t>15</w:t>
            </w:r>
          </w:p>
        </w:tc>
        <w:tc>
          <w:tcPr>
            <w:tcW w:w="873" w:type="dxa"/>
            <w:shd w:val="clear" w:color="auto" w:fill="auto"/>
            <w:vAlign w:val="center"/>
          </w:tcPr>
          <w:p w14:paraId="7696E282">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53</w:t>
            </w:r>
          </w:p>
        </w:tc>
        <w:tc>
          <w:tcPr>
            <w:tcW w:w="1059" w:type="dxa"/>
            <w:shd w:val="clear" w:color="auto" w:fill="auto"/>
            <w:vAlign w:val="center"/>
          </w:tcPr>
          <w:p w14:paraId="3BF582E4">
            <w:pPr>
              <w:jc w:val="center"/>
              <w:rPr>
                <w:rFonts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szCs w:val="21"/>
              </w:rPr>
              <w:t>1</w:t>
            </w:r>
          </w:p>
        </w:tc>
      </w:tr>
      <w:tr w14:paraId="4526C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exact"/>
          <w:jc w:val="center"/>
        </w:trPr>
        <w:tc>
          <w:tcPr>
            <w:tcW w:w="660" w:type="dxa"/>
            <w:shd w:val="clear" w:color="auto" w:fill="auto"/>
            <w:vAlign w:val="center"/>
          </w:tcPr>
          <w:p w14:paraId="4110B2B6">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4</w:t>
            </w:r>
          </w:p>
        </w:tc>
        <w:tc>
          <w:tcPr>
            <w:tcW w:w="1026" w:type="dxa"/>
            <w:vMerge w:val="continue"/>
            <w:vAlign w:val="center"/>
          </w:tcPr>
          <w:p w14:paraId="7165FCE2">
            <w:pPr>
              <w:jc w:val="center"/>
              <w:rPr>
                <w:rFonts w:hint="eastAsia" w:ascii="Times New Roman" w:hAnsi="Times New Roman" w:eastAsia="宋体" w:cs="Times New Roman"/>
                <w:color w:val="auto"/>
                <w:szCs w:val="21"/>
                <w:lang w:val="en-US" w:eastAsia="zh-CN"/>
              </w:rPr>
            </w:pPr>
          </w:p>
        </w:tc>
        <w:tc>
          <w:tcPr>
            <w:tcW w:w="1740" w:type="dxa"/>
            <w:shd w:val="clear" w:color="auto" w:fill="auto"/>
            <w:vAlign w:val="center"/>
          </w:tcPr>
          <w:p w14:paraId="40A4C56C">
            <w:pPr>
              <w:jc w:val="center"/>
              <w:rPr>
                <w:rFonts w:hint="default" w:ascii="Times New Roman" w:hAnsi="Times New Roman" w:eastAsia="宋体" w:cs="Times New Roman"/>
                <w:color w:val="auto"/>
                <w:kern w:val="2"/>
                <w:sz w:val="22"/>
                <w:szCs w:val="22"/>
                <w:lang w:val="en-US" w:eastAsia="zh-CN" w:bidi="ar-SA"/>
              </w:rPr>
            </w:pPr>
            <w:r>
              <w:rPr>
                <w:rFonts w:hint="eastAsia" w:ascii="Times New Roman" w:hAnsi="Times New Roman" w:eastAsia="宋体" w:cs="Times New Roman"/>
                <w:color w:val="auto"/>
                <w:sz w:val="22"/>
                <w:lang w:val="en-US" w:eastAsia="zh-CN"/>
              </w:rPr>
              <w:t>粗品析晶釜4</w:t>
            </w:r>
          </w:p>
        </w:tc>
        <w:tc>
          <w:tcPr>
            <w:tcW w:w="1709" w:type="dxa"/>
            <w:shd w:val="clear" w:color="auto" w:fill="auto"/>
            <w:vAlign w:val="center"/>
          </w:tcPr>
          <w:p w14:paraId="77652570">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70</w:t>
            </w:r>
            <w:r>
              <w:rPr>
                <w:rFonts w:ascii="Times New Roman" w:hAnsi="Times New Roman" w:eastAsia="宋体" w:cs="Times New Roman"/>
                <w:color w:val="auto"/>
                <w:szCs w:val="21"/>
              </w:rPr>
              <w:t>dB(A)，1m</w:t>
            </w:r>
          </w:p>
        </w:tc>
        <w:tc>
          <w:tcPr>
            <w:tcW w:w="1325" w:type="dxa"/>
            <w:vMerge w:val="continue"/>
            <w:shd w:val="clear" w:color="auto" w:fill="auto"/>
            <w:vAlign w:val="center"/>
          </w:tcPr>
          <w:p w14:paraId="7899F86B">
            <w:pPr>
              <w:jc w:val="center"/>
              <w:rPr>
                <w:rFonts w:hint="default" w:ascii="Times New Roman" w:hAnsi="Times New Roman" w:eastAsia="宋体" w:cs="Times New Roman"/>
                <w:color w:val="auto"/>
                <w:kern w:val="2"/>
                <w:sz w:val="21"/>
                <w:szCs w:val="21"/>
                <w:lang w:val="en-US" w:eastAsia="zh-CN" w:bidi="ar-SA"/>
              </w:rPr>
            </w:pPr>
          </w:p>
        </w:tc>
        <w:tc>
          <w:tcPr>
            <w:tcW w:w="813" w:type="dxa"/>
            <w:shd w:val="clear" w:color="auto" w:fill="auto"/>
            <w:vAlign w:val="center"/>
          </w:tcPr>
          <w:p w14:paraId="654B771B">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100.84</w:t>
            </w:r>
          </w:p>
        </w:tc>
        <w:tc>
          <w:tcPr>
            <w:tcW w:w="898" w:type="dxa"/>
            <w:shd w:val="clear" w:color="auto" w:fill="auto"/>
            <w:vAlign w:val="center"/>
          </w:tcPr>
          <w:p w14:paraId="15ACB229">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274.98</w:t>
            </w:r>
          </w:p>
        </w:tc>
        <w:tc>
          <w:tcPr>
            <w:tcW w:w="725" w:type="dxa"/>
            <w:shd w:val="clear" w:color="auto" w:fill="auto"/>
            <w:vAlign w:val="center"/>
          </w:tcPr>
          <w:p w14:paraId="0CBC47F7">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37</w:t>
            </w:r>
          </w:p>
        </w:tc>
        <w:tc>
          <w:tcPr>
            <w:tcW w:w="968" w:type="dxa"/>
            <w:shd w:val="clear" w:color="auto" w:fill="auto"/>
            <w:vAlign w:val="center"/>
          </w:tcPr>
          <w:p w14:paraId="77A2BDC7">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68</w:t>
            </w:r>
          </w:p>
        </w:tc>
        <w:tc>
          <w:tcPr>
            <w:tcW w:w="846" w:type="dxa"/>
            <w:shd w:val="clear" w:color="auto" w:fill="auto"/>
            <w:vAlign w:val="center"/>
          </w:tcPr>
          <w:p w14:paraId="777EE645">
            <w:pPr>
              <w:jc w:val="center"/>
              <w:rPr>
                <w:rFonts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szCs w:val="21"/>
              </w:rPr>
              <w:t>0~24h</w:t>
            </w:r>
          </w:p>
        </w:tc>
        <w:tc>
          <w:tcPr>
            <w:tcW w:w="1363" w:type="dxa"/>
            <w:shd w:val="clear" w:color="auto" w:fill="auto"/>
            <w:vAlign w:val="center"/>
          </w:tcPr>
          <w:p w14:paraId="1DEAC811">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rPr>
              <w:t>15</w:t>
            </w:r>
          </w:p>
        </w:tc>
        <w:tc>
          <w:tcPr>
            <w:tcW w:w="873" w:type="dxa"/>
            <w:shd w:val="clear" w:color="auto" w:fill="auto"/>
            <w:vAlign w:val="center"/>
          </w:tcPr>
          <w:p w14:paraId="45FA4532">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53</w:t>
            </w:r>
          </w:p>
        </w:tc>
        <w:tc>
          <w:tcPr>
            <w:tcW w:w="1059" w:type="dxa"/>
            <w:shd w:val="clear" w:color="auto" w:fill="auto"/>
            <w:vAlign w:val="center"/>
          </w:tcPr>
          <w:p w14:paraId="5A0A3513">
            <w:pPr>
              <w:jc w:val="center"/>
              <w:rPr>
                <w:rFonts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szCs w:val="21"/>
              </w:rPr>
              <w:t>1</w:t>
            </w:r>
          </w:p>
        </w:tc>
      </w:tr>
      <w:tr w14:paraId="16A83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exact"/>
          <w:jc w:val="center"/>
        </w:trPr>
        <w:tc>
          <w:tcPr>
            <w:tcW w:w="660" w:type="dxa"/>
            <w:shd w:val="clear" w:color="auto" w:fill="auto"/>
            <w:vAlign w:val="center"/>
          </w:tcPr>
          <w:p w14:paraId="22A464C1">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5</w:t>
            </w:r>
          </w:p>
        </w:tc>
        <w:tc>
          <w:tcPr>
            <w:tcW w:w="1026" w:type="dxa"/>
            <w:vMerge w:val="continue"/>
            <w:vAlign w:val="center"/>
          </w:tcPr>
          <w:p w14:paraId="65091AA3">
            <w:pPr>
              <w:jc w:val="center"/>
              <w:rPr>
                <w:rFonts w:hint="eastAsia" w:ascii="Times New Roman" w:hAnsi="Times New Roman" w:eastAsia="宋体" w:cs="Times New Roman"/>
                <w:color w:val="auto"/>
                <w:szCs w:val="21"/>
                <w:lang w:val="en-US" w:eastAsia="zh-CN"/>
              </w:rPr>
            </w:pPr>
          </w:p>
        </w:tc>
        <w:tc>
          <w:tcPr>
            <w:tcW w:w="1740" w:type="dxa"/>
            <w:shd w:val="clear" w:color="auto" w:fill="auto"/>
            <w:vAlign w:val="center"/>
          </w:tcPr>
          <w:p w14:paraId="1024B8AD">
            <w:pPr>
              <w:jc w:val="center"/>
              <w:rPr>
                <w:rFonts w:hint="default" w:ascii="Times New Roman" w:hAnsi="Times New Roman" w:eastAsia="宋体" w:cs="Times New Roman"/>
                <w:color w:val="auto"/>
                <w:kern w:val="2"/>
                <w:sz w:val="22"/>
                <w:szCs w:val="22"/>
                <w:lang w:val="en-US" w:eastAsia="zh-CN" w:bidi="ar-SA"/>
              </w:rPr>
            </w:pPr>
            <w:r>
              <w:rPr>
                <w:rFonts w:hint="eastAsia" w:ascii="Times New Roman" w:hAnsi="Times New Roman" w:eastAsia="宋体" w:cs="Times New Roman"/>
                <w:color w:val="auto"/>
                <w:sz w:val="22"/>
                <w:lang w:val="en-US" w:eastAsia="zh-CN"/>
              </w:rPr>
              <w:t>粗品析晶釜5</w:t>
            </w:r>
          </w:p>
        </w:tc>
        <w:tc>
          <w:tcPr>
            <w:tcW w:w="1709" w:type="dxa"/>
            <w:shd w:val="clear" w:color="auto" w:fill="auto"/>
            <w:vAlign w:val="center"/>
          </w:tcPr>
          <w:p w14:paraId="2E61B169">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70</w:t>
            </w:r>
            <w:r>
              <w:rPr>
                <w:rFonts w:ascii="Times New Roman" w:hAnsi="Times New Roman" w:eastAsia="宋体" w:cs="Times New Roman"/>
                <w:color w:val="auto"/>
                <w:szCs w:val="21"/>
              </w:rPr>
              <w:t>dB(A)，1m</w:t>
            </w:r>
          </w:p>
        </w:tc>
        <w:tc>
          <w:tcPr>
            <w:tcW w:w="1325" w:type="dxa"/>
            <w:vMerge w:val="continue"/>
            <w:shd w:val="clear" w:color="auto" w:fill="auto"/>
            <w:vAlign w:val="center"/>
          </w:tcPr>
          <w:p w14:paraId="0D3E6127">
            <w:pPr>
              <w:jc w:val="center"/>
              <w:rPr>
                <w:rFonts w:hint="default" w:ascii="Times New Roman" w:hAnsi="Times New Roman" w:eastAsia="宋体" w:cs="Times New Roman"/>
                <w:color w:val="auto"/>
                <w:kern w:val="2"/>
                <w:sz w:val="21"/>
                <w:szCs w:val="21"/>
                <w:lang w:val="en-US" w:eastAsia="zh-CN" w:bidi="ar-SA"/>
              </w:rPr>
            </w:pPr>
          </w:p>
        </w:tc>
        <w:tc>
          <w:tcPr>
            <w:tcW w:w="813" w:type="dxa"/>
            <w:shd w:val="clear" w:color="auto" w:fill="auto"/>
            <w:vAlign w:val="center"/>
          </w:tcPr>
          <w:p w14:paraId="64C1F85F">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105.26</w:t>
            </w:r>
          </w:p>
        </w:tc>
        <w:tc>
          <w:tcPr>
            <w:tcW w:w="898" w:type="dxa"/>
            <w:shd w:val="clear" w:color="auto" w:fill="auto"/>
            <w:vAlign w:val="center"/>
          </w:tcPr>
          <w:p w14:paraId="46ADC9FA">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243.18</w:t>
            </w:r>
          </w:p>
        </w:tc>
        <w:tc>
          <w:tcPr>
            <w:tcW w:w="725" w:type="dxa"/>
            <w:shd w:val="clear" w:color="auto" w:fill="auto"/>
            <w:vAlign w:val="center"/>
          </w:tcPr>
          <w:p w14:paraId="07D62A38">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37</w:t>
            </w:r>
          </w:p>
        </w:tc>
        <w:tc>
          <w:tcPr>
            <w:tcW w:w="968" w:type="dxa"/>
            <w:shd w:val="clear" w:color="auto" w:fill="auto"/>
            <w:vAlign w:val="center"/>
          </w:tcPr>
          <w:p w14:paraId="5EA28C5F">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68</w:t>
            </w:r>
          </w:p>
        </w:tc>
        <w:tc>
          <w:tcPr>
            <w:tcW w:w="846" w:type="dxa"/>
            <w:shd w:val="clear" w:color="auto" w:fill="auto"/>
            <w:vAlign w:val="center"/>
          </w:tcPr>
          <w:p w14:paraId="26BE71C4">
            <w:pPr>
              <w:jc w:val="center"/>
              <w:rPr>
                <w:rFonts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szCs w:val="21"/>
              </w:rPr>
              <w:t>0~24h</w:t>
            </w:r>
          </w:p>
        </w:tc>
        <w:tc>
          <w:tcPr>
            <w:tcW w:w="1363" w:type="dxa"/>
            <w:shd w:val="clear" w:color="auto" w:fill="auto"/>
            <w:vAlign w:val="center"/>
          </w:tcPr>
          <w:p w14:paraId="56CA5315">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rPr>
              <w:t>15</w:t>
            </w:r>
          </w:p>
        </w:tc>
        <w:tc>
          <w:tcPr>
            <w:tcW w:w="873" w:type="dxa"/>
            <w:shd w:val="clear" w:color="auto" w:fill="auto"/>
            <w:vAlign w:val="center"/>
          </w:tcPr>
          <w:p w14:paraId="6D71E711">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53</w:t>
            </w:r>
          </w:p>
        </w:tc>
        <w:tc>
          <w:tcPr>
            <w:tcW w:w="1059" w:type="dxa"/>
            <w:shd w:val="clear" w:color="auto" w:fill="auto"/>
            <w:vAlign w:val="center"/>
          </w:tcPr>
          <w:p w14:paraId="6D5F2043">
            <w:pPr>
              <w:jc w:val="center"/>
              <w:rPr>
                <w:rFonts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szCs w:val="21"/>
              </w:rPr>
              <w:t>1</w:t>
            </w:r>
          </w:p>
        </w:tc>
      </w:tr>
      <w:tr w14:paraId="4AB18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exact"/>
          <w:jc w:val="center"/>
        </w:trPr>
        <w:tc>
          <w:tcPr>
            <w:tcW w:w="660" w:type="dxa"/>
            <w:shd w:val="clear" w:color="auto" w:fill="auto"/>
            <w:vAlign w:val="center"/>
          </w:tcPr>
          <w:p w14:paraId="1BADF579">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6</w:t>
            </w:r>
          </w:p>
        </w:tc>
        <w:tc>
          <w:tcPr>
            <w:tcW w:w="1026" w:type="dxa"/>
            <w:vMerge w:val="restart"/>
            <w:vAlign w:val="center"/>
          </w:tcPr>
          <w:p w14:paraId="7BAEF66D">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提取2车间</w:t>
            </w:r>
          </w:p>
        </w:tc>
        <w:tc>
          <w:tcPr>
            <w:tcW w:w="1740" w:type="dxa"/>
            <w:shd w:val="clear" w:color="auto" w:fill="auto"/>
            <w:vAlign w:val="center"/>
          </w:tcPr>
          <w:p w14:paraId="02309AC7">
            <w:pPr>
              <w:jc w:val="center"/>
              <w:rPr>
                <w:rFonts w:hint="default" w:ascii="Times New Roman" w:hAnsi="Times New Roman" w:eastAsia="宋体" w:cs="Times New Roman"/>
                <w:color w:val="auto"/>
                <w:kern w:val="2"/>
                <w:sz w:val="22"/>
                <w:szCs w:val="22"/>
                <w:lang w:val="en-US" w:eastAsia="zh-CN" w:bidi="ar-SA"/>
              </w:rPr>
            </w:pPr>
            <w:r>
              <w:rPr>
                <w:rFonts w:hint="eastAsia" w:ascii="Times New Roman" w:hAnsi="Times New Roman" w:eastAsia="宋体" w:cs="Times New Roman"/>
                <w:color w:val="auto"/>
                <w:sz w:val="22"/>
                <w:lang w:val="en-US" w:eastAsia="zh-CN"/>
              </w:rPr>
              <w:t>脱色釜1</w:t>
            </w:r>
          </w:p>
        </w:tc>
        <w:tc>
          <w:tcPr>
            <w:tcW w:w="1709" w:type="dxa"/>
            <w:vAlign w:val="center"/>
          </w:tcPr>
          <w:p w14:paraId="1DAE7C6B">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70</w:t>
            </w:r>
            <w:r>
              <w:rPr>
                <w:rFonts w:ascii="Times New Roman" w:hAnsi="Times New Roman" w:eastAsia="宋体" w:cs="Times New Roman"/>
                <w:color w:val="auto"/>
                <w:szCs w:val="21"/>
              </w:rPr>
              <w:t>dB(A)，1m</w:t>
            </w:r>
          </w:p>
        </w:tc>
        <w:tc>
          <w:tcPr>
            <w:tcW w:w="1325" w:type="dxa"/>
            <w:vMerge w:val="continue"/>
            <w:vAlign w:val="center"/>
          </w:tcPr>
          <w:p w14:paraId="49E7CA39">
            <w:pPr>
              <w:jc w:val="center"/>
              <w:rPr>
                <w:rFonts w:ascii="Times New Roman" w:hAnsi="Times New Roman" w:eastAsia="宋体" w:cs="Times New Roman"/>
                <w:color w:val="auto"/>
                <w:szCs w:val="21"/>
              </w:rPr>
            </w:pPr>
          </w:p>
        </w:tc>
        <w:tc>
          <w:tcPr>
            <w:tcW w:w="813" w:type="dxa"/>
            <w:vAlign w:val="center"/>
          </w:tcPr>
          <w:p w14:paraId="5C45C3C6">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111.75</w:t>
            </w:r>
          </w:p>
        </w:tc>
        <w:tc>
          <w:tcPr>
            <w:tcW w:w="898" w:type="dxa"/>
            <w:vAlign w:val="center"/>
          </w:tcPr>
          <w:p w14:paraId="7B745F50">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260.59</w:t>
            </w:r>
          </w:p>
        </w:tc>
        <w:tc>
          <w:tcPr>
            <w:tcW w:w="725" w:type="dxa"/>
            <w:shd w:val="clear" w:color="auto" w:fill="auto"/>
            <w:vAlign w:val="center"/>
          </w:tcPr>
          <w:p w14:paraId="3A797ED8">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37</w:t>
            </w:r>
          </w:p>
        </w:tc>
        <w:tc>
          <w:tcPr>
            <w:tcW w:w="968" w:type="dxa"/>
            <w:vAlign w:val="center"/>
          </w:tcPr>
          <w:p w14:paraId="36CFF91C">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68</w:t>
            </w:r>
          </w:p>
        </w:tc>
        <w:tc>
          <w:tcPr>
            <w:tcW w:w="846" w:type="dxa"/>
            <w:vAlign w:val="center"/>
          </w:tcPr>
          <w:p w14:paraId="4A6E9A57">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0~24h</w:t>
            </w:r>
          </w:p>
        </w:tc>
        <w:tc>
          <w:tcPr>
            <w:tcW w:w="1363" w:type="dxa"/>
            <w:vAlign w:val="center"/>
          </w:tcPr>
          <w:p w14:paraId="1023E914">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15</w:t>
            </w:r>
          </w:p>
        </w:tc>
        <w:tc>
          <w:tcPr>
            <w:tcW w:w="873" w:type="dxa"/>
            <w:vAlign w:val="center"/>
          </w:tcPr>
          <w:p w14:paraId="4CB16634">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53</w:t>
            </w:r>
          </w:p>
        </w:tc>
        <w:tc>
          <w:tcPr>
            <w:tcW w:w="1059" w:type="dxa"/>
            <w:vAlign w:val="center"/>
          </w:tcPr>
          <w:p w14:paraId="4CAAACBC">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1</w:t>
            </w:r>
          </w:p>
        </w:tc>
      </w:tr>
      <w:tr w14:paraId="2C27B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exact"/>
          <w:jc w:val="center"/>
        </w:trPr>
        <w:tc>
          <w:tcPr>
            <w:tcW w:w="660" w:type="dxa"/>
            <w:shd w:val="clear" w:color="auto" w:fill="auto"/>
            <w:vAlign w:val="center"/>
          </w:tcPr>
          <w:p w14:paraId="6CF94A60">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7</w:t>
            </w:r>
          </w:p>
        </w:tc>
        <w:tc>
          <w:tcPr>
            <w:tcW w:w="1026" w:type="dxa"/>
            <w:vMerge w:val="continue"/>
            <w:vAlign w:val="center"/>
          </w:tcPr>
          <w:p w14:paraId="219E6312">
            <w:pPr>
              <w:jc w:val="center"/>
              <w:rPr>
                <w:rFonts w:ascii="Times New Roman" w:hAnsi="Times New Roman" w:eastAsia="宋体" w:cs="Times New Roman"/>
                <w:color w:val="auto"/>
                <w:szCs w:val="21"/>
              </w:rPr>
            </w:pPr>
          </w:p>
        </w:tc>
        <w:tc>
          <w:tcPr>
            <w:tcW w:w="1740" w:type="dxa"/>
            <w:shd w:val="clear" w:color="auto" w:fill="auto"/>
            <w:vAlign w:val="center"/>
          </w:tcPr>
          <w:p w14:paraId="6E3E665E">
            <w:pPr>
              <w:jc w:val="center"/>
              <w:rPr>
                <w:rFonts w:hint="default" w:ascii="Times New Roman" w:hAnsi="Times New Roman" w:eastAsia="宋体" w:cs="Times New Roman"/>
                <w:color w:val="auto"/>
                <w:kern w:val="2"/>
                <w:sz w:val="22"/>
                <w:szCs w:val="22"/>
                <w:lang w:val="en-US" w:eastAsia="zh-CN" w:bidi="ar-SA"/>
              </w:rPr>
            </w:pPr>
            <w:r>
              <w:rPr>
                <w:rFonts w:hint="eastAsia" w:ascii="Times New Roman" w:hAnsi="Times New Roman" w:eastAsia="宋体" w:cs="Times New Roman"/>
                <w:color w:val="auto"/>
                <w:sz w:val="22"/>
                <w:lang w:val="en-US" w:eastAsia="zh-CN"/>
              </w:rPr>
              <w:t>脱色釜2</w:t>
            </w:r>
          </w:p>
        </w:tc>
        <w:tc>
          <w:tcPr>
            <w:tcW w:w="1709" w:type="dxa"/>
            <w:shd w:val="clear" w:color="auto" w:fill="auto"/>
            <w:vAlign w:val="center"/>
          </w:tcPr>
          <w:p w14:paraId="4BE89F06">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70</w:t>
            </w:r>
            <w:r>
              <w:rPr>
                <w:rFonts w:ascii="Times New Roman" w:hAnsi="Times New Roman" w:eastAsia="宋体" w:cs="Times New Roman"/>
                <w:color w:val="auto"/>
                <w:szCs w:val="21"/>
              </w:rPr>
              <w:t>dB(A)，1m</w:t>
            </w:r>
          </w:p>
        </w:tc>
        <w:tc>
          <w:tcPr>
            <w:tcW w:w="1325" w:type="dxa"/>
            <w:vMerge w:val="continue"/>
            <w:shd w:val="clear" w:color="auto" w:fill="auto"/>
            <w:vAlign w:val="center"/>
          </w:tcPr>
          <w:p w14:paraId="4244BB4C">
            <w:pPr>
              <w:jc w:val="center"/>
              <w:rPr>
                <w:rFonts w:ascii="Times New Roman" w:hAnsi="Times New Roman" w:eastAsia="宋体" w:cs="Times New Roman"/>
                <w:color w:val="auto"/>
                <w:kern w:val="2"/>
                <w:sz w:val="21"/>
                <w:szCs w:val="21"/>
                <w:lang w:val="en-US" w:eastAsia="zh-CN" w:bidi="ar-SA"/>
              </w:rPr>
            </w:pPr>
          </w:p>
        </w:tc>
        <w:tc>
          <w:tcPr>
            <w:tcW w:w="813" w:type="dxa"/>
            <w:shd w:val="clear" w:color="auto" w:fill="auto"/>
            <w:vAlign w:val="center"/>
          </w:tcPr>
          <w:p w14:paraId="2D9D8EA4">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116.17</w:t>
            </w:r>
          </w:p>
        </w:tc>
        <w:tc>
          <w:tcPr>
            <w:tcW w:w="898" w:type="dxa"/>
            <w:shd w:val="clear" w:color="auto" w:fill="auto"/>
            <w:vAlign w:val="center"/>
          </w:tcPr>
          <w:p w14:paraId="1E58498D">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263.97</w:t>
            </w:r>
          </w:p>
        </w:tc>
        <w:tc>
          <w:tcPr>
            <w:tcW w:w="725" w:type="dxa"/>
            <w:shd w:val="clear" w:color="auto" w:fill="auto"/>
            <w:vAlign w:val="center"/>
          </w:tcPr>
          <w:p w14:paraId="68778B1C">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37</w:t>
            </w:r>
          </w:p>
        </w:tc>
        <w:tc>
          <w:tcPr>
            <w:tcW w:w="968" w:type="dxa"/>
            <w:shd w:val="clear" w:color="auto" w:fill="auto"/>
            <w:vAlign w:val="center"/>
          </w:tcPr>
          <w:p w14:paraId="015445F3">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68</w:t>
            </w:r>
          </w:p>
        </w:tc>
        <w:tc>
          <w:tcPr>
            <w:tcW w:w="846" w:type="dxa"/>
            <w:shd w:val="clear" w:color="auto" w:fill="auto"/>
            <w:vAlign w:val="center"/>
          </w:tcPr>
          <w:p w14:paraId="03EBECD1">
            <w:pPr>
              <w:jc w:val="center"/>
              <w:rPr>
                <w:rFonts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szCs w:val="21"/>
              </w:rPr>
              <w:t>0~24h</w:t>
            </w:r>
          </w:p>
        </w:tc>
        <w:tc>
          <w:tcPr>
            <w:tcW w:w="1363" w:type="dxa"/>
            <w:shd w:val="clear" w:color="auto" w:fill="auto"/>
            <w:vAlign w:val="center"/>
          </w:tcPr>
          <w:p w14:paraId="085F3117">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rPr>
              <w:t>15</w:t>
            </w:r>
          </w:p>
        </w:tc>
        <w:tc>
          <w:tcPr>
            <w:tcW w:w="873" w:type="dxa"/>
            <w:shd w:val="clear" w:color="auto" w:fill="auto"/>
            <w:vAlign w:val="center"/>
          </w:tcPr>
          <w:p w14:paraId="1C67E663">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53</w:t>
            </w:r>
          </w:p>
        </w:tc>
        <w:tc>
          <w:tcPr>
            <w:tcW w:w="1059" w:type="dxa"/>
            <w:shd w:val="clear" w:color="auto" w:fill="auto"/>
            <w:vAlign w:val="center"/>
          </w:tcPr>
          <w:p w14:paraId="5BF30977">
            <w:pPr>
              <w:jc w:val="center"/>
              <w:rPr>
                <w:rFonts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szCs w:val="21"/>
              </w:rPr>
              <w:t>1</w:t>
            </w:r>
          </w:p>
        </w:tc>
      </w:tr>
      <w:tr w14:paraId="67D58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exact"/>
          <w:jc w:val="center"/>
        </w:trPr>
        <w:tc>
          <w:tcPr>
            <w:tcW w:w="660" w:type="dxa"/>
            <w:shd w:val="clear" w:color="auto" w:fill="auto"/>
            <w:vAlign w:val="center"/>
          </w:tcPr>
          <w:p w14:paraId="4C372819">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8</w:t>
            </w:r>
          </w:p>
        </w:tc>
        <w:tc>
          <w:tcPr>
            <w:tcW w:w="1026" w:type="dxa"/>
            <w:vMerge w:val="continue"/>
            <w:vAlign w:val="center"/>
          </w:tcPr>
          <w:p w14:paraId="7A0584F7">
            <w:pPr>
              <w:jc w:val="center"/>
              <w:rPr>
                <w:rFonts w:ascii="Times New Roman" w:hAnsi="Times New Roman" w:eastAsia="宋体" w:cs="Times New Roman"/>
                <w:color w:val="auto"/>
                <w:szCs w:val="21"/>
              </w:rPr>
            </w:pPr>
          </w:p>
        </w:tc>
        <w:tc>
          <w:tcPr>
            <w:tcW w:w="1740" w:type="dxa"/>
            <w:shd w:val="clear" w:color="auto" w:fill="auto"/>
            <w:vAlign w:val="center"/>
          </w:tcPr>
          <w:p w14:paraId="46C65921">
            <w:pPr>
              <w:jc w:val="center"/>
              <w:rPr>
                <w:rFonts w:hint="default" w:ascii="Times New Roman" w:hAnsi="Times New Roman" w:eastAsia="宋体" w:cs="Times New Roman"/>
                <w:color w:val="auto"/>
                <w:kern w:val="2"/>
                <w:sz w:val="22"/>
                <w:szCs w:val="22"/>
                <w:lang w:val="en-US" w:eastAsia="zh-CN" w:bidi="ar-SA"/>
              </w:rPr>
            </w:pPr>
            <w:r>
              <w:rPr>
                <w:rFonts w:hint="eastAsia" w:ascii="Times New Roman" w:hAnsi="Times New Roman" w:eastAsia="宋体" w:cs="Times New Roman"/>
                <w:color w:val="auto"/>
                <w:sz w:val="22"/>
                <w:lang w:val="en-US" w:eastAsia="zh-CN"/>
              </w:rPr>
              <w:t>脱色釜3</w:t>
            </w:r>
          </w:p>
        </w:tc>
        <w:tc>
          <w:tcPr>
            <w:tcW w:w="1709" w:type="dxa"/>
            <w:shd w:val="clear" w:color="auto" w:fill="auto"/>
            <w:vAlign w:val="center"/>
          </w:tcPr>
          <w:p w14:paraId="673FACCE">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70</w:t>
            </w:r>
            <w:r>
              <w:rPr>
                <w:rFonts w:ascii="Times New Roman" w:hAnsi="Times New Roman" w:eastAsia="宋体" w:cs="Times New Roman"/>
                <w:color w:val="auto"/>
                <w:szCs w:val="21"/>
              </w:rPr>
              <w:t>dB(A)，1m</w:t>
            </w:r>
          </w:p>
        </w:tc>
        <w:tc>
          <w:tcPr>
            <w:tcW w:w="1325" w:type="dxa"/>
            <w:vMerge w:val="continue"/>
            <w:shd w:val="clear" w:color="auto" w:fill="auto"/>
            <w:vAlign w:val="center"/>
          </w:tcPr>
          <w:p w14:paraId="4B481DF9">
            <w:pPr>
              <w:jc w:val="center"/>
              <w:rPr>
                <w:rFonts w:ascii="Times New Roman" w:hAnsi="Times New Roman" w:eastAsia="宋体" w:cs="Times New Roman"/>
                <w:color w:val="auto"/>
                <w:kern w:val="2"/>
                <w:sz w:val="21"/>
                <w:szCs w:val="21"/>
                <w:lang w:val="en-US" w:eastAsia="zh-CN" w:bidi="ar-SA"/>
              </w:rPr>
            </w:pPr>
          </w:p>
        </w:tc>
        <w:tc>
          <w:tcPr>
            <w:tcW w:w="813" w:type="dxa"/>
            <w:shd w:val="clear" w:color="auto" w:fill="auto"/>
            <w:vAlign w:val="center"/>
          </w:tcPr>
          <w:p w14:paraId="1E5A00A8">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118.77</w:t>
            </w:r>
          </w:p>
        </w:tc>
        <w:tc>
          <w:tcPr>
            <w:tcW w:w="898" w:type="dxa"/>
            <w:shd w:val="clear" w:color="auto" w:fill="auto"/>
            <w:vAlign w:val="center"/>
          </w:tcPr>
          <w:p w14:paraId="332069E5">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265.52</w:t>
            </w:r>
          </w:p>
        </w:tc>
        <w:tc>
          <w:tcPr>
            <w:tcW w:w="725" w:type="dxa"/>
            <w:shd w:val="clear" w:color="auto" w:fill="auto"/>
            <w:vAlign w:val="center"/>
          </w:tcPr>
          <w:p w14:paraId="353250C4">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37</w:t>
            </w:r>
          </w:p>
        </w:tc>
        <w:tc>
          <w:tcPr>
            <w:tcW w:w="968" w:type="dxa"/>
            <w:shd w:val="clear" w:color="auto" w:fill="auto"/>
            <w:vAlign w:val="center"/>
          </w:tcPr>
          <w:p w14:paraId="75321B26">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68</w:t>
            </w:r>
          </w:p>
        </w:tc>
        <w:tc>
          <w:tcPr>
            <w:tcW w:w="846" w:type="dxa"/>
            <w:shd w:val="clear" w:color="auto" w:fill="auto"/>
            <w:vAlign w:val="center"/>
          </w:tcPr>
          <w:p w14:paraId="2DF29359">
            <w:pPr>
              <w:jc w:val="center"/>
              <w:rPr>
                <w:rFonts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szCs w:val="21"/>
              </w:rPr>
              <w:t>0~24h</w:t>
            </w:r>
          </w:p>
        </w:tc>
        <w:tc>
          <w:tcPr>
            <w:tcW w:w="1363" w:type="dxa"/>
            <w:shd w:val="clear" w:color="auto" w:fill="auto"/>
            <w:vAlign w:val="center"/>
          </w:tcPr>
          <w:p w14:paraId="024B9CC8">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rPr>
              <w:t>15</w:t>
            </w:r>
          </w:p>
        </w:tc>
        <w:tc>
          <w:tcPr>
            <w:tcW w:w="873" w:type="dxa"/>
            <w:shd w:val="clear" w:color="auto" w:fill="auto"/>
            <w:vAlign w:val="center"/>
          </w:tcPr>
          <w:p w14:paraId="1651403C">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53</w:t>
            </w:r>
          </w:p>
        </w:tc>
        <w:tc>
          <w:tcPr>
            <w:tcW w:w="1059" w:type="dxa"/>
            <w:shd w:val="clear" w:color="auto" w:fill="auto"/>
            <w:vAlign w:val="center"/>
          </w:tcPr>
          <w:p w14:paraId="57FDC4FB">
            <w:pPr>
              <w:jc w:val="center"/>
              <w:rPr>
                <w:rFonts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szCs w:val="21"/>
              </w:rPr>
              <w:t>1</w:t>
            </w:r>
          </w:p>
        </w:tc>
      </w:tr>
      <w:tr w14:paraId="368DD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exact"/>
          <w:jc w:val="center"/>
        </w:trPr>
        <w:tc>
          <w:tcPr>
            <w:tcW w:w="660" w:type="dxa"/>
            <w:shd w:val="clear" w:color="auto" w:fill="auto"/>
            <w:vAlign w:val="center"/>
          </w:tcPr>
          <w:p w14:paraId="6F157014">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9</w:t>
            </w:r>
          </w:p>
        </w:tc>
        <w:tc>
          <w:tcPr>
            <w:tcW w:w="1026" w:type="dxa"/>
            <w:vMerge w:val="continue"/>
            <w:vAlign w:val="center"/>
          </w:tcPr>
          <w:p w14:paraId="0CCA54B5">
            <w:pPr>
              <w:jc w:val="center"/>
              <w:rPr>
                <w:rFonts w:ascii="Times New Roman" w:hAnsi="Times New Roman" w:eastAsia="宋体" w:cs="Times New Roman"/>
                <w:color w:val="auto"/>
                <w:szCs w:val="21"/>
              </w:rPr>
            </w:pPr>
          </w:p>
        </w:tc>
        <w:tc>
          <w:tcPr>
            <w:tcW w:w="1740" w:type="dxa"/>
            <w:shd w:val="clear" w:color="auto" w:fill="auto"/>
            <w:vAlign w:val="center"/>
          </w:tcPr>
          <w:p w14:paraId="67531B82">
            <w:pPr>
              <w:jc w:val="center"/>
              <w:rPr>
                <w:rFonts w:hint="default" w:ascii="Times New Roman" w:hAnsi="Times New Roman" w:eastAsia="宋体" w:cs="Times New Roman"/>
                <w:color w:val="auto"/>
                <w:kern w:val="2"/>
                <w:sz w:val="22"/>
                <w:szCs w:val="22"/>
                <w:lang w:val="en-US" w:eastAsia="zh-CN" w:bidi="ar-SA"/>
              </w:rPr>
            </w:pPr>
            <w:r>
              <w:rPr>
                <w:rFonts w:hint="eastAsia" w:ascii="Times New Roman" w:hAnsi="Times New Roman" w:eastAsia="宋体" w:cs="Times New Roman"/>
                <w:color w:val="auto"/>
                <w:sz w:val="22"/>
                <w:lang w:val="en-US" w:eastAsia="zh-CN"/>
              </w:rPr>
              <w:t>脱色釜4</w:t>
            </w:r>
          </w:p>
        </w:tc>
        <w:tc>
          <w:tcPr>
            <w:tcW w:w="1709" w:type="dxa"/>
            <w:shd w:val="clear" w:color="auto" w:fill="auto"/>
            <w:vAlign w:val="center"/>
          </w:tcPr>
          <w:p w14:paraId="0E5C7947">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70</w:t>
            </w:r>
            <w:r>
              <w:rPr>
                <w:rFonts w:ascii="Times New Roman" w:hAnsi="Times New Roman" w:eastAsia="宋体" w:cs="Times New Roman"/>
                <w:color w:val="auto"/>
                <w:szCs w:val="21"/>
              </w:rPr>
              <w:t>dB(A)，1m</w:t>
            </w:r>
          </w:p>
        </w:tc>
        <w:tc>
          <w:tcPr>
            <w:tcW w:w="1325" w:type="dxa"/>
            <w:vMerge w:val="continue"/>
            <w:shd w:val="clear" w:color="auto" w:fill="auto"/>
            <w:vAlign w:val="center"/>
          </w:tcPr>
          <w:p w14:paraId="0C750DCA">
            <w:pPr>
              <w:jc w:val="center"/>
              <w:rPr>
                <w:rFonts w:ascii="Times New Roman" w:hAnsi="Times New Roman" w:eastAsia="宋体" w:cs="Times New Roman"/>
                <w:color w:val="auto"/>
                <w:kern w:val="2"/>
                <w:sz w:val="21"/>
                <w:szCs w:val="21"/>
                <w:lang w:val="en-US" w:eastAsia="zh-CN" w:bidi="ar-SA"/>
              </w:rPr>
            </w:pPr>
          </w:p>
        </w:tc>
        <w:tc>
          <w:tcPr>
            <w:tcW w:w="813" w:type="dxa"/>
            <w:shd w:val="clear" w:color="auto" w:fill="auto"/>
            <w:vAlign w:val="center"/>
          </w:tcPr>
          <w:p w14:paraId="13688F1D">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121.11</w:t>
            </w:r>
          </w:p>
        </w:tc>
        <w:tc>
          <w:tcPr>
            <w:tcW w:w="898" w:type="dxa"/>
            <w:shd w:val="clear" w:color="auto" w:fill="auto"/>
            <w:vAlign w:val="center"/>
          </w:tcPr>
          <w:p w14:paraId="6631AFB8">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262.67</w:t>
            </w:r>
          </w:p>
        </w:tc>
        <w:tc>
          <w:tcPr>
            <w:tcW w:w="725" w:type="dxa"/>
            <w:shd w:val="clear" w:color="auto" w:fill="auto"/>
            <w:vAlign w:val="center"/>
          </w:tcPr>
          <w:p w14:paraId="718B784B">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37</w:t>
            </w:r>
          </w:p>
        </w:tc>
        <w:tc>
          <w:tcPr>
            <w:tcW w:w="968" w:type="dxa"/>
            <w:shd w:val="clear" w:color="auto" w:fill="auto"/>
            <w:vAlign w:val="center"/>
          </w:tcPr>
          <w:p w14:paraId="14E0F014">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68</w:t>
            </w:r>
          </w:p>
        </w:tc>
        <w:tc>
          <w:tcPr>
            <w:tcW w:w="846" w:type="dxa"/>
            <w:shd w:val="clear" w:color="auto" w:fill="auto"/>
            <w:vAlign w:val="center"/>
          </w:tcPr>
          <w:p w14:paraId="026F0C91">
            <w:pPr>
              <w:jc w:val="center"/>
              <w:rPr>
                <w:rFonts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szCs w:val="21"/>
              </w:rPr>
              <w:t>0~24h</w:t>
            </w:r>
          </w:p>
        </w:tc>
        <w:tc>
          <w:tcPr>
            <w:tcW w:w="1363" w:type="dxa"/>
            <w:shd w:val="clear" w:color="auto" w:fill="auto"/>
            <w:vAlign w:val="center"/>
          </w:tcPr>
          <w:p w14:paraId="16698B74">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rPr>
              <w:t>15</w:t>
            </w:r>
          </w:p>
        </w:tc>
        <w:tc>
          <w:tcPr>
            <w:tcW w:w="873" w:type="dxa"/>
            <w:shd w:val="clear" w:color="auto" w:fill="auto"/>
            <w:vAlign w:val="center"/>
          </w:tcPr>
          <w:p w14:paraId="4A0D7751">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53</w:t>
            </w:r>
          </w:p>
        </w:tc>
        <w:tc>
          <w:tcPr>
            <w:tcW w:w="1059" w:type="dxa"/>
            <w:shd w:val="clear" w:color="auto" w:fill="auto"/>
            <w:vAlign w:val="center"/>
          </w:tcPr>
          <w:p w14:paraId="33FCDF5F">
            <w:pPr>
              <w:jc w:val="center"/>
              <w:rPr>
                <w:rFonts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szCs w:val="21"/>
              </w:rPr>
              <w:t>1</w:t>
            </w:r>
          </w:p>
        </w:tc>
      </w:tr>
      <w:tr w14:paraId="3FF57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exact"/>
          <w:jc w:val="center"/>
        </w:trPr>
        <w:tc>
          <w:tcPr>
            <w:tcW w:w="660" w:type="dxa"/>
            <w:shd w:val="clear" w:color="auto" w:fill="auto"/>
            <w:vAlign w:val="center"/>
          </w:tcPr>
          <w:p w14:paraId="54D9BDA6">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10</w:t>
            </w:r>
          </w:p>
        </w:tc>
        <w:tc>
          <w:tcPr>
            <w:tcW w:w="1026" w:type="dxa"/>
            <w:vMerge w:val="continue"/>
            <w:vAlign w:val="center"/>
          </w:tcPr>
          <w:p w14:paraId="0C610B9E">
            <w:pPr>
              <w:jc w:val="center"/>
              <w:rPr>
                <w:rFonts w:ascii="Times New Roman" w:hAnsi="Times New Roman" w:eastAsia="宋体" w:cs="Times New Roman"/>
                <w:color w:val="auto"/>
                <w:szCs w:val="21"/>
              </w:rPr>
            </w:pPr>
          </w:p>
        </w:tc>
        <w:tc>
          <w:tcPr>
            <w:tcW w:w="1740" w:type="dxa"/>
            <w:shd w:val="clear" w:color="auto" w:fill="auto"/>
            <w:vAlign w:val="center"/>
          </w:tcPr>
          <w:p w14:paraId="5AD938A3">
            <w:pPr>
              <w:jc w:val="center"/>
              <w:rPr>
                <w:rFonts w:hint="default" w:ascii="Times New Roman" w:hAnsi="Times New Roman" w:eastAsia="宋体" w:cs="Times New Roman"/>
                <w:color w:val="auto"/>
                <w:kern w:val="2"/>
                <w:sz w:val="22"/>
                <w:szCs w:val="22"/>
                <w:lang w:val="en-US" w:eastAsia="zh-CN" w:bidi="ar-SA"/>
              </w:rPr>
            </w:pPr>
            <w:r>
              <w:rPr>
                <w:rFonts w:hint="eastAsia" w:ascii="Times New Roman" w:hAnsi="Times New Roman" w:eastAsia="宋体" w:cs="Times New Roman"/>
                <w:color w:val="auto"/>
                <w:sz w:val="22"/>
                <w:lang w:val="en-US" w:eastAsia="zh-CN"/>
              </w:rPr>
              <w:t>脱色釜5</w:t>
            </w:r>
          </w:p>
        </w:tc>
        <w:tc>
          <w:tcPr>
            <w:tcW w:w="1709" w:type="dxa"/>
            <w:shd w:val="clear" w:color="auto" w:fill="auto"/>
            <w:vAlign w:val="center"/>
          </w:tcPr>
          <w:p w14:paraId="6FF17452">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70</w:t>
            </w:r>
            <w:r>
              <w:rPr>
                <w:rFonts w:ascii="Times New Roman" w:hAnsi="Times New Roman" w:eastAsia="宋体" w:cs="Times New Roman"/>
                <w:color w:val="auto"/>
                <w:szCs w:val="21"/>
              </w:rPr>
              <w:t>dB(A)，1m</w:t>
            </w:r>
          </w:p>
        </w:tc>
        <w:tc>
          <w:tcPr>
            <w:tcW w:w="1325" w:type="dxa"/>
            <w:vMerge w:val="continue"/>
            <w:shd w:val="clear" w:color="auto" w:fill="auto"/>
            <w:vAlign w:val="center"/>
          </w:tcPr>
          <w:p w14:paraId="47B2E486">
            <w:pPr>
              <w:jc w:val="center"/>
              <w:rPr>
                <w:rFonts w:ascii="Times New Roman" w:hAnsi="Times New Roman" w:eastAsia="宋体" w:cs="Times New Roman"/>
                <w:color w:val="auto"/>
                <w:kern w:val="2"/>
                <w:sz w:val="21"/>
                <w:szCs w:val="21"/>
                <w:lang w:val="en-US" w:eastAsia="zh-CN" w:bidi="ar-SA"/>
              </w:rPr>
            </w:pPr>
          </w:p>
        </w:tc>
        <w:tc>
          <w:tcPr>
            <w:tcW w:w="813" w:type="dxa"/>
            <w:shd w:val="clear" w:color="auto" w:fill="auto"/>
            <w:vAlign w:val="center"/>
          </w:tcPr>
          <w:p w14:paraId="128ADF4B">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123.7</w:t>
            </w:r>
          </w:p>
        </w:tc>
        <w:tc>
          <w:tcPr>
            <w:tcW w:w="898" w:type="dxa"/>
            <w:shd w:val="clear" w:color="auto" w:fill="auto"/>
            <w:vAlign w:val="center"/>
          </w:tcPr>
          <w:p w14:paraId="34A58121">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258.25</w:t>
            </w:r>
          </w:p>
        </w:tc>
        <w:tc>
          <w:tcPr>
            <w:tcW w:w="725" w:type="dxa"/>
            <w:shd w:val="clear" w:color="auto" w:fill="auto"/>
            <w:vAlign w:val="center"/>
          </w:tcPr>
          <w:p w14:paraId="57BC3003">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37</w:t>
            </w:r>
          </w:p>
        </w:tc>
        <w:tc>
          <w:tcPr>
            <w:tcW w:w="968" w:type="dxa"/>
            <w:shd w:val="clear" w:color="auto" w:fill="auto"/>
            <w:vAlign w:val="center"/>
          </w:tcPr>
          <w:p w14:paraId="615495CD">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68</w:t>
            </w:r>
          </w:p>
        </w:tc>
        <w:tc>
          <w:tcPr>
            <w:tcW w:w="846" w:type="dxa"/>
            <w:shd w:val="clear" w:color="auto" w:fill="auto"/>
            <w:vAlign w:val="center"/>
          </w:tcPr>
          <w:p w14:paraId="6B0AC1E2">
            <w:pPr>
              <w:jc w:val="center"/>
              <w:rPr>
                <w:rFonts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szCs w:val="21"/>
              </w:rPr>
              <w:t>0~24h</w:t>
            </w:r>
          </w:p>
        </w:tc>
        <w:tc>
          <w:tcPr>
            <w:tcW w:w="1363" w:type="dxa"/>
            <w:shd w:val="clear" w:color="auto" w:fill="auto"/>
            <w:vAlign w:val="center"/>
          </w:tcPr>
          <w:p w14:paraId="0C266B16">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rPr>
              <w:t>15</w:t>
            </w:r>
          </w:p>
        </w:tc>
        <w:tc>
          <w:tcPr>
            <w:tcW w:w="873" w:type="dxa"/>
            <w:shd w:val="clear" w:color="auto" w:fill="auto"/>
            <w:vAlign w:val="center"/>
          </w:tcPr>
          <w:p w14:paraId="23E12814">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53</w:t>
            </w:r>
          </w:p>
        </w:tc>
        <w:tc>
          <w:tcPr>
            <w:tcW w:w="1059" w:type="dxa"/>
            <w:shd w:val="clear" w:color="auto" w:fill="auto"/>
            <w:vAlign w:val="center"/>
          </w:tcPr>
          <w:p w14:paraId="6B59E348">
            <w:pPr>
              <w:jc w:val="center"/>
              <w:rPr>
                <w:rFonts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szCs w:val="21"/>
              </w:rPr>
              <w:t>1</w:t>
            </w:r>
          </w:p>
        </w:tc>
      </w:tr>
      <w:tr w14:paraId="40374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exact"/>
          <w:jc w:val="center"/>
        </w:trPr>
        <w:tc>
          <w:tcPr>
            <w:tcW w:w="660" w:type="dxa"/>
            <w:shd w:val="clear" w:color="auto" w:fill="auto"/>
            <w:vAlign w:val="center"/>
          </w:tcPr>
          <w:p w14:paraId="1852D973">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11</w:t>
            </w:r>
          </w:p>
        </w:tc>
        <w:tc>
          <w:tcPr>
            <w:tcW w:w="1026" w:type="dxa"/>
            <w:vMerge w:val="continue"/>
            <w:vAlign w:val="center"/>
          </w:tcPr>
          <w:p w14:paraId="3D6CC108">
            <w:pPr>
              <w:jc w:val="center"/>
              <w:rPr>
                <w:rFonts w:ascii="Times New Roman" w:hAnsi="Times New Roman" w:eastAsia="宋体" w:cs="Times New Roman"/>
                <w:color w:val="auto"/>
                <w:szCs w:val="21"/>
              </w:rPr>
            </w:pPr>
          </w:p>
        </w:tc>
        <w:tc>
          <w:tcPr>
            <w:tcW w:w="1740" w:type="dxa"/>
            <w:shd w:val="clear" w:color="auto" w:fill="auto"/>
            <w:vAlign w:val="center"/>
          </w:tcPr>
          <w:p w14:paraId="103628D9">
            <w:pPr>
              <w:jc w:val="center"/>
              <w:rPr>
                <w:rFonts w:hint="default" w:ascii="Times New Roman" w:hAnsi="Times New Roman" w:eastAsia="宋体" w:cs="Times New Roman"/>
                <w:color w:val="auto"/>
                <w:kern w:val="2"/>
                <w:sz w:val="22"/>
                <w:szCs w:val="22"/>
                <w:lang w:val="en-US" w:eastAsia="zh-CN" w:bidi="ar-SA"/>
              </w:rPr>
            </w:pPr>
            <w:r>
              <w:rPr>
                <w:rFonts w:hint="eastAsia" w:ascii="Times New Roman" w:hAnsi="Times New Roman" w:eastAsia="宋体" w:cs="Times New Roman"/>
                <w:color w:val="auto"/>
                <w:sz w:val="22"/>
                <w:lang w:val="en-US" w:eastAsia="zh-CN"/>
              </w:rPr>
              <w:t>精品析晶釜1</w:t>
            </w:r>
          </w:p>
        </w:tc>
        <w:tc>
          <w:tcPr>
            <w:tcW w:w="1709" w:type="dxa"/>
            <w:vAlign w:val="center"/>
          </w:tcPr>
          <w:p w14:paraId="08C9D79D">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70</w:t>
            </w:r>
            <w:r>
              <w:rPr>
                <w:rFonts w:ascii="Times New Roman" w:hAnsi="Times New Roman" w:eastAsia="宋体" w:cs="Times New Roman"/>
                <w:color w:val="auto"/>
                <w:szCs w:val="21"/>
              </w:rPr>
              <w:t>dB(A)，1m</w:t>
            </w:r>
          </w:p>
        </w:tc>
        <w:tc>
          <w:tcPr>
            <w:tcW w:w="1325" w:type="dxa"/>
            <w:vMerge w:val="continue"/>
            <w:vAlign w:val="center"/>
          </w:tcPr>
          <w:p w14:paraId="42616027">
            <w:pPr>
              <w:jc w:val="center"/>
              <w:rPr>
                <w:rFonts w:ascii="Times New Roman" w:hAnsi="Times New Roman" w:eastAsia="宋体" w:cs="Times New Roman"/>
                <w:color w:val="auto"/>
                <w:szCs w:val="21"/>
              </w:rPr>
            </w:pPr>
          </w:p>
        </w:tc>
        <w:tc>
          <w:tcPr>
            <w:tcW w:w="813" w:type="dxa"/>
            <w:vAlign w:val="center"/>
          </w:tcPr>
          <w:p w14:paraId="2CB281E6">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117.47</w:t>
            </w:r>
          </w:p>
        </w:tc>
        <w:tc>
          <w:tcPr>
            <w:tcW w:w="898" w:type="dxa"/>
            <w:vAlign w:val="center"/>
          </w:tcPr>
          <w:p w14:paraId="572E2434">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259.29</w:t>
            </w:r>
          </w:p>
        </w:tc>
        <w:tc>
          <w:tcPr>
            <w:tcW w:w="725" w:type="dxa"/>
            <w:shd w:val="clear" w:color="auto" w:fill="auto"/>
            <w:vAlign w:val="center"/>
          </w:tcPr>
          <w:p w14:paraId="202FBBF4">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37</w:t>
            </w:r>
          </w:p>
        </w:tc>
        <w:tc>
          <w:tcPr>
            <w:tcW w:w="968" w:type="dxa"/>
            <w:vAlign w:val="center"/>
          </w:tcPr>
          <w:p w14:paraId="624A4A0B">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68</w:t>
            </w:r>
          </w:p>
        </w:tc>
        <w:tc>
          <w:tcPr>
            <w:tcW w:w="846" w:type="dxa"/>
            <w:vAlign w:val="center"/>
          </w:tcPr>
          <w:p w14:paraId="57076FFF">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0~24h</w:t>
            </w:r>
          </w:p>
        </w:tc>
        <w:tc>
          <w:tcPr>
            <w:tcW w:w="1363" w:type="dxa"/>
            <w:vAlign w:val="center"/>
          </w:tcPr>
          <w:p w14:paraId="536067F8">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15</w:t>
            </w:r>
          </w:p>
        </w:tc>
        <w:tc>
          <w:tcPr>
            <w:tcW w:w="873" w:type="dxa"/>
            <w:vAlign w:val="center"/>
          </w:tcPr>
          <w:p w14:paraId="3481893C">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53</w:t>
            </w:r>
          </w:p>
        </w:tc>
        <w:tc>
          <w:tcPr>
            <w:tcW w:w="1059" w:type="dxa"/>
            <w:vAlign w:val="center"/>
          </w:tcPr>
          <w:p w14:paraId="687A8B1A">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1</w:t>
            </w:r>
          </w:p>
        </w:tc>
      </w:tr>
      <w:tr w14:paraId="77234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exact"/>
          <w:jc w:val="center"/>
        </w:trPr>
        <w:tc>
          <w:tcPr>
            <w:tcW w:w="660" w:type="dxa"/>
            <w:shd w:val="clear" w:color="auto" w:fill="auto"/>
            <w:vAlign w:val="center"/>
          </w:tcPr>
          <w:p w14:paraId="0475A29B">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12</w:t>
            </w:r>
          </w:p>
        </w:tc>
        <w:tc>
          <w:tcPr>
            <w:tcW w:w="1026" w:type="dxa"/>
            <w:vMerge w:val="continue"/>
            <w:vAlign w:val="center"/>
          </w:tcPr>
          <w:p w14:paraId="1E6C40D8">
            <w:pPr>
              <w:jc w:val="center"/>
              <w:rPr>
                <w:rFonts w:ascii="Times New Roman" w:hAnsi="Times New Roman" w:eastAsia="宋体" w:cs="Times New Roman"/>
                <w:color w:val="auto"/>
                <w:szCs w:val="21"/>
              </w:rPr>
            </w:pPr>
          </w:p>
        </w:tc>
        <w:tc>
          <w:tcPr>
            <w:tcW w:w="1740" w:type="dxa"/>
            <w:shd w:val="clear" w:color="auto" w:fill="auto"/>
            <w:vAlign w:val="center"/>
          </w:tcPr>
          <w:p w14:paraId="328D7D23">
            <w:pPr>
              <w:jc w:val="center"/>
              <w:rPr>
                <w:rFonts w:hint="default" w:ascii="Times New Roman" w:hAnsi="Times New Roman" w:eastAsia="宋体" w:cs="Times New Roman"/>
                <w:color w:val="auto"/>
                <w:kern w:val="2"/>
                <w:sz w:val="22"/>
                <w:szCs w:val="22"/>
                <w:lang w:val="en-US" w:eastAsia="zh-CN" w:bidi="ar-SA"/>
              </w:rPr>
            </w:pPr>
            <w:r>
              <w:rPr>
                <w:rFonts w:hint="eastAsia" w:ascii="Times New Roman" w:hAnsi="Times New Roman" w:eastAsia="宋体" w:cs="Times New Roman"/>
                <w:color w:val="auto"/>
                <w:sz w:val="22"/>
                <w:lang w:val="en-US" w:eastAsia="zh-CN"/>
              </w:rPr>
              <w:t>精品析晶釜2</w:t>
            </w:r>
          </w:p>
        </w:tc>
        <w:tc>
          <w:tcPr>
            <w:tcW w:w="1709" w:type="dxa"/>
            <w:shd w:val="clear" w:color="auto" w:fill="auto"/>
            <w:vAlign w:val="center"/>
          </w:tcPr>
          <w:p w14:paraId="11A1D033">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70</w:t>
            </w:r>
            <w:r>
              <w:rPr>
                <w:rFonts w:ascii="Times New Roman" w:hAnsi="Times New Roman" w:eastAsia="宋体" w:cs="Times New Roman"/>
                <w:color w:val="auto"/>
                <w:szCs w:val="21"/>
              </w:rPr>
              <w:t>dB(A)，1m</w:t>
            </w:r>
          </w:p>
        </w:tc>
        <w:tc>
          <w:tcPr>
            <w:tcW w:w="1325" w:type="dxa"/>
            <w:vMerge w:val="continue"/>
            <w:shd w:val="clear" w:color="auto" w:fill="auto"/>
            <w:vAlign w:val="center"/>
          </w:tcPr>
          <w:p w14:paraId="5AAA7FA6">
            <w:pPr>
              <w:jc w:val="center"/>
              <w:rPr>
                <w:rFonts w:ascii="Times New Roman" w:hAnsi="Times New Roman" w:eastAsia="宋体" w:cs="Times New Roman"/>
                <w:color w:val="auto"/>
                <w:kern w:val="2"/>
                <w:sz w:val="21"/>
                <w:szCs w:val="21"/>
                <w:lang w:val="en-US" w:eastAsia="zh-CN" w:bidi="ar-SA"/>
              </w:rPr>
            </w:pPr>
          </w:p>
        </w:tc>
        <w:tc>
          <w:tcPr>
            <w:tcW w:w="813" w:type="dxa"/>
            <w:shd w:val="clear" w:color="auto" w:fill="auto"/>
            <w:vAlign w:val="center"/>
          </w:tcPr>
          <w:p w14:paraId="6AB693DD">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119.29</w:t>
            </w:r>
          </w:p>
        </w:tc>
        <w:tc>
          <w:tcPr>
            <w:tcW w:w="898" w:type="dxa"/>
            <w:shd w:val="clear" w:color="auto" w:fill="auto"/>
            <w:vAlign w:val="center"/>
          </w:tcPr>
          <w:p w14:paraId="72287ADB">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256.69</w:t>
            </w:r>
          </w:p>
        </w:tc>
        <w:tc>
          <w:tcPr>
            <w:tcW w:w="725" w:type="dxa"/>
            <w:shd w:val="clear" w:color="auto" w:fill="auto"/>
            <w:vAlign w:val="center"/>
          </w:tcPr>
          <w:p w14:paraId="063465F6">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37</w:t>
            </w:r>
          </w:p>
        </w:tc>
        <w:tc>
          <w:tcPr>
            <w:tcW w:w="968" w:type="dxa"/>
            <w:shd w:val="clear" w:color="auto" w:fill="auto"/>
            <w:vAlign w:val="center"/>
          </w:tcPr>
          <w:p w14:paraId="726FB42E">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68</w:t>
            </w:r>
          </w:p>
        </w:tc>
        <w:tc>
          <w:tcPr>
            <w:tcW w:w="846" w:type="dxa"/>
            <w:shd w:val="clear" w:color="auto" w:fill="auto"/>
            <w:vAlign w:val="center"/>
          </w:tcPr>
          <w:p w14:paraId="0B7633E9">
            <w:pPr>
              <w:jc w:val="center"/>
              <w:rPr>
                <w:rFonts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szCs w:val="21"/>
              </w:rPr>
              <w:t>0~24h</w:t>
            </w:r>
          </w:p>
        </w:tc>
        <w:tc>
          <w:tcPr>
            <w:tcW w:w="1363" w:type="dxa"/>
            <w:shd w:val="clear" w:color="auto" w:fill="auto"/>
            <w:vAlign w:val="center"/>
          </w:tcPr>
          <w:p w14:paraId="6DC72B70">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rPr>
              <w:t>15</w:t>
            </w:r>
          </w:p>
        </w:tc>
        <w:tc>
          <w:tcPr>
            <w:tcW w:w="873" w:type="dxa"/>
            <w:shd w:val="clear" w:color="auto" w:fill="auto"/>
            <w:vAlign w:val="center"/>
          </w:tcPr>
          <w:p w14:paraId="44BCA10F">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53</w:t>
            </w:r>
          </w:p>
        </w:tc>
        <w:tc>
          <w:tcPr>
            <w:tcW w:w="1059" w:type="dxa"/>
            <w:shd w:val="clear" w:color="auto" w:fill="auto"/>
            <w:vAlign w:val="center"/>
          </w:tcPr>
          <w:p w14:paraId="44050D3F">
            <w:pPr>
              <w:jc w:val="center"/>
              <w:rPr>
                <w:rFonts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szCs w:val="21"/>
              </w:rPr>
              <w:t>1</w:t>
            </w:r>
          </w:p>
        </w:tc>
      </w:tr>
      <w:tr w14:paraId="7E981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exact"/>
          <w:jc w:val="center"/>
        </w:trPr>
        <w:tc>
          <w:tcPr>
            <w:tcW w:w="660" w:type="dxa"/>
            <w:shd w:val="clear" w:color="auto" w:fill="auto"/>
            <w:vAlign w:val="center"/>
          </w:tcPr>
          <w:p w14:paraId="52C9FD67">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13</w:t>
            </w:r>
          </w:p>
        </w:tc>
        <w:tc>
          <w:tcPr>
            <w:tcW w:w="1026" w:type="dxa"/>
            <w:vMerge w:val="continue"/>
            <w:vAlign w:val="center"/>
          </w:tcPr>
          <w:p w14:paraId="5E103870">
            <w:pPr>
              <w:jc w:val="center"/>
              <w:rPr>
                <w:rFonts w:ascii="Times New Roman" w:hAnsi="Times New Roman" w:eastAsia="宋体" w:cs="Times New Roman"/>
                <w:color w:val="auto"/>
                <w:szCs w:val="21"/>
              </w:rPr>
            </w:pPr>
          </w:p>
        </w:tc>
        <w:tc>
          <w:tcPr>
            <w:tcW w:w="1740" w:type="dxa"/>
            <w:shd w:val="clear" w:color="auto" w:fill="auto"/>
            <w:vAlign w:val="center"/>
          </w:tcPr>
          <w:p w14:paraId="03880C41">
            <w:pPr>
              <w:jc w:val="center"/>
              <w:rPr>
                <w:rFonts w:hint="default" w:ascii="Times New Roman" w:hAnsi="Times New Roman" w:eastAsia="宋体" w:cs="Times New Roman"/>
                <w:color w:val="auto"/>
                <w:kern w:val="2"/>
                <w:sz w:val="22"/>
                <w:szCs w:val="22"/>
                <w:lang w:val="en-US" w:eastAsia="zh-CN" w:bidi="ar-SA"/>
              </w:rPr>
            </w:pPr>
            <w:r>
              <w:rPr>
                <w:rFonts w:hint="eastAsia" w:ascii="Times New Roman" w:hAnsi="Times New Roman" w:eastAsia="宋体" w:cs="Times New Roman"/>
                <w:color w:val="auto"/>
                <w:sz w:val="22"/>
                <w:lang w:val="en-US" w:eastAsia="zh-CN"/>
              </w:rPr>
              <w:t>精品析晶釜3</w:t>
            </w:r>
          </w:p>
        </w:tc>
        <w:tc>
          <w:tcPr>
            <w:tcW w:w="1709" w:type="dxa"/>
            <w:shd w:val="clear" w:color="auto" w:fill="auto"/>
            <w:vAlign w:val="center"/>
          </w:tcPr>
          <w:p w14:paraId="2A07DF91">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70</w:t>
            </w:r>
            <w:r>
              <w:rPr>
                <w:rFonts w:ascii="Times New Roman" w:hAnsi="Times New Roman" w:eastAsia="宋体" w:cs="Times New Roman"/>
                <w:color w:val="auto"/>
                <w:szCs w:val="21"/>
              </w:rPr>
              <w:t>dB(A)，1m</w:t>
            </w:r>
          </w:p>
        </w:tc>
        <w:tc>
          <w:tcPr>
            <w:tcW w:w="1325" w:type="dxa"/>
            <w:vMerge w:val="continue"/>
            <w:shd w:val="clear" w:color="auto" w:fill="auto"/>
            <w:vAlign w:val="center"/>
          </w:tcPr>
          <w:p w14:paraId="6D2EAAA4">
            <w:pPr>
              <w:jc w:val="center"/>
              <w:rPr>
                <w:rFonts w:ascii="Times New Roman" w:hAnsi="Times New Roman" w:eastAsia="宋体" w:cs="Times New Roman"/>
                <w:color w:val="auto"/>
                <w:kern w:val="2"/>
                <w:sz w:val="21"/>
                <w:szCs w:val="21"/>
                <w:lang w:val="en-US" w:eastAsia="zh-CN" w:bidi="ar-SA"/>
              </w:rPr>
            </w:pPr>
          </w:p>
        </w:tc>
        <w:tc>
          <w:tcPr>
            <w:tcW w:w="813" w:type="dxa"/>
            <w:shd w:val="clear" w:color="auto" w:fill="auto"/>
            <w:vAlign w:val="center"/>
          </w:tcPr>
          <w:p w14:paraId="18150C7B">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120.59</w:t>
            </w:r>
          </w:p>
        </w:tc>
        <w:tc>
          <w:tcPr>
            <w:tcW w:w="898" w:type="dxa"/>
            <w:shd w:val="clear" w:color="auto" w:fill="auto"/>
            <w:vAlign w:val="center"/>
          </w:tcPr>
          <w:p w14:paraId="4B698D9A">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253.83</w:t>
            </w:r>
          </w:p>
        </w:tc>
        <w:tc>
          <w:tcPr>
            <w:tcW w:w="725" w:type="dxa"/>
            <w:shd w:val="clear" w:color="auto" w:fill="auto"/>
            <w:vAlign w:val="center"/>
          </w:tcPr>
          <w:p w14:paraId="77737424">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37</w:t>
            </w:r>
          </w:p>
        </w:tc>
        <w:tc>
          <w:tcPr>
            <w:tcW w:w="968" w:type="dxa"/>
            <w:shd w:val="clear" w:color="auto" w:fill="auto"/>
            <w:vAlign w:val="center"/>
          </w:tcPr>
          <w:p w14:paraId="600577AC">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68</w:t>
            </w:r>
          </w:p>
        </w:tc>
        <w:tc>
          <w:tcPr>
            <w:tcW w:w="846" w:type="dxa"/>
            <w:shd w:val="clear" w:color="auto" w:fill="auto"/>
            <w:vAlign w:val="center"/>
          </w:tcPr>
          <w:p w14:paraId="15757DD4">
            <w:pPr>
              <w:jc w:val="center"/>
              <w:rPr>
                <w:rFonts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szCs w:val="21"/>
              </w:rPr>
              <w:t>0~24h</w:t>
            </w:r>
          </w:p>
        </w:tc>
        <w:tc>
          <w:tcPr>
            <w:tcW w:w="1363" w:type="dxa"/>
            <w:shd w:val="clear" w:color="auto" w:fill="auto"/>
            <w:vAlign w:val="center"/>
          </w:tcPr>
          <w:p w14:paraId="44EA496D">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rPr>
              <w:t>15</w:t>
            </w:r>
          </w:p>
        </w:tc>
        <w:tc>
          <w:tcPr>
            <w:tcW w:w="873" w:type="dxa"/>
            <w:shd w:val="clear" w:color="auto" w:fill="auto"/>
            <w:vAlign w:val="center"/>
          </w:tcPr>
          <w:p w14:paraId="40EDF35E">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53</w:t>
            </w:r>
          </w:p>
        </w:tc>
        <w:tc>
          <w:tcPr>
            <w:tcW w:w="1059" w:type="dxa"/>
            <w:shd w:val="clear" w:color="auto" w:fill="auto"/>
            <w:vAlign w:val="center"/>
          </w:tcPr>
          <w:p w14:paraId="54A46A3C">
            <w:pPr>
              <w:jc w:val="center"/>
              <w:rPr>
                <w:rFonts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szCs w:val="21"/>
              </w:rPr>
              <w:t>1</w:t>
            </w:r>
          </w:p>
        </w:tc>
      </w:tr>
      <w:tr w14:paraId="59D04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exact"/>
          <w:jc w:val="center"/>
        </w:trPr>
        <w:tc>
          <w:tcPr>
            <w:tcW w:w="660" w:type="dxa"/>
            <w:shd w:val="clear" w:color="auto" w:fill="auto"/>
            <w:vAlign w:val="center"/>
          </w:tcPr>
          <w:p w14:paraId="23FE1571">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14</w:t>
            </w:r>
          </w:p>
        </w:tc>
        <w:tc>
          <w:tcPr>
            <w:tcW w:w="1026" w:type="dxa"/>
            <w:vMerge w:val="continue"/>
            <w:vAlign w:val="center"/>
          </w:tcPr>
          <w:p w14:paraId="65895356">
            <w:pPr>
              <w:jc w:val="center"/>
              <w:rPr>
                <w:rFonts w:ascii="Times New Roman" w:hAnsi="Times New Roman" w:eastAsia="宋体" w:cs="Times New Roman"/>
                <w:color w:val="auto"/>
                <w:szCs w:val="21"/>
              </w:rPr>
            </w:pPr>
          </w:p>
        </w:tc>
        <w:tc>
          <w:tcPr>
            <w:tcW w:w="1740" w:type="dxa"/>
            <w:shd w:val="clear" w:color="auto" w:fill="auto"/>
            <w:vAlign w:val="center"/>
          </w:tcPr>
          <w:p w14:paraId="604EE86D">
            <w:pPr>
              <w:jc w:val="center"/>
              <w:rPr>
                <w:rFonts w:hint="default" w:ascii="Times New Roman" w:hAnsi="Times New Roman" w:eastAsia="宋体" w:cs="Times New Roman"/>
                <w:color w:val="auto"/>
                <w:kern w:val="2"/>
                <w:sz w:val="22"/>
                <w:szCs w:val="22"/>
                <w:lang w:val="en-US" w:eastAsia="zh-CN" w:bidi="ar-SA"/>
              </w:rPr>
            </w:pPr>
            <w:r>
              <w:rPr>
                <w:rFonts w:hint="eastAsia" w:ascii="Times New Roman" w:hAnsi="Times New Roman" w:eastAsia="宋体" w:cs="Times New Roman"/>
                <w:color w:val="auto"/>
                <w:sz w:val="22"/>
                <w:lang w:val="en-US" w:eastAsia="zh-CN"/>
              </w:rPr>
              <w:t>离心机1</w:t>
            </w:r>
          </w:p>
        </w:tc>
        <w:tc>
          <w:tcPr>
            <w:tcW w:w="1709" w:type="dxa"/>
            <w:vAlign w:val="center"/>
          </w:tcPr>
          <w:p w14:paraId="4E3783CD">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90</w:t>
            </w:r>
            <w:r>
              <w:rPr>
                <w:rFonts w:ascii="Times New Roman" w:hAnsi="Times New Roman" w:eastAsia="宋体" w:cs="Times New Roman"/>
                <w:color w:val="auto"/>
                <w:szCs w:val="21"/>
              </w:rPr>
              <w:t>dB(A)，1m</w:t>
            </w:r>
          </w:p>
        </w:tc>
        <w:tc>
          <w:tcPr>
            <w:tcW w:w="1325" w:type="dxa"/>
            <w:vMerge w:val="continue"/>
            <w:vAlign w:val="center"/>
          </w:tcPr>
          <w:p w14:paraId="42C82005">
            <w:pPr>
              <w:jc w:val="center"/>
              <w:rPr>
                <w:rFonts w:ascii="Times New Roman" w:hAnsi="Times New Roman" w:eastAsia="宋体" w:cs="Times New Roman"/>
                <w:color w:val="auto"/>
                <w:szCs w:val="21"/>
              </w:rPr>
            </w:pPr>
          </w:p>
        </w:tc>
        <w:tc>
          <w:tcPr>
            <w:tcW w:w="813" w:type="dxa"/>
            <w:vAlign w:val="center"/>
          </w:tcPr>
          <w:p w14:paraId="128143C6">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117.99</w:t>
            </w:r>
          </w:p>
        </w:tc>
        <w:tc>
          <w:tcPr>
            <w:tcW w:w="898" w:type="dxa"/>
            <w:vAlign w:val="center"/>
          </w:tcPr>
          <w:p w14:paraId="0411C240">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247.6</w:t>
            </w:r>
          </w:p>
        </w:tc>
        <w:tc>
          <w:tcPr>
            <w:tcW w:w="725" w:type="dxa"/>
            <w:shd w:val="clear" w:color="auto" w:fill="auto"/>
            <w:vAlign w:val="center"/>
          </w:tcPr>
          <w:p w14:paraId="3855B105">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37</w:t>
            </w:r>
          </w:p>
        </w:tc>
        <w:tc>
          <w:tcPr>
            <w:tcW w:w="968" w:type="dxa"/>
            <w:vAlign w:val="center"/>
          </w:tcPr>
          <w:p w14:paraId="4A74E741">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88</w:t>
            </w:r>
          </w:p>
        </w:tc>
        <w:tc>
          <w:tcPr>
            <w:tcW w:w="846" w:type="dxa"/>
            <w:vAlign w:val="center"/>
          </w:tcPr>
          <w:p w14:paraId="01D88BAC">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0~24h</w:t>
            </w:r>
          </w:p>
        </w:tc>
        <w:tc>
          <w:tcPr>
            <w:tcW w:w="1363" w:type="dxa"/>
            <w:vAlign w:val="center"/>
          </w:tcPr>
          <w:p w14:paraId="6B72FDE7">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15</w:t>
            </w:r>
          </w:p>
        </w:tc>
        <w:tc>
          <w:tcPr>
            <w:tcW w:w="873" w:type="dxa"/>
            <w:vAlign w:val="center"/>
          </w:tcPr>
          <w:p w14:paraId="35837E82">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73</w:t>
            </w:r>
          </w:p>
        </w:tc>
        <w:tc>
          <w:tcPr>
            <w:tcW w:w="1059" w:type="dxa"/>
            <w:vAlign w:val="center"/>
          </w:tcPr>
          <w:p w14:paraId="109907E3">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1</w:t>
            </w:r>
          </w:p>
        </w:tc>
      </w:tr>
      <w:tr w14:paraId="0BDD0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exact"/>
          <w:jc w:val="center"/>
        </w:trPr>
        <w:tc>
          <w:tcPr>
            <w:tcW w:w="660" w:type="dxa"/>
            <w:shd w:val="clear" w:color="auto" w:fill="auto"/>
            <w:vAlign w:val="center"/>
          </w:tcPr>
          <w:p w14:paraId="2217D56A">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15</w:t>
            </w:r>
          </w:p>
        </w:tc>
        <w:tc>
          <w:tcPr>
            <w:tcW w:w="1026" w:type="dxa"/>
            <w:vMerge w:val="continue"/>
            <w:vAlign w:val="center"/>
          </w:tcPr>
          <w:p w14:paraId="76293BDC">
            <w:pPr>
              <w:jc w:val="center"/>
              <w:rPr>
                <w:rFonts w:ascii="Times New Roman" w:hAnsi="Times New Roman" w:eastAsia="宋体" w:cs="Times New Roman"/>
                <w:color w:val="auto"/>
                <w:szCs w:val="21"/>
              </w:rPr>
            </w:pPr>
          </w:p>
        </w:tc>
        <w:tc>
          <w:tcPr>
            <w:tcW w:w="1740" w:type="dxa"/>
            <w:shd w:val="clear" w:color="auto" w:fill="auto"/>
            <w:vAlign w:val="center"/>
          </w:tcPr>
          <w:p w14:paraId="7DAF4300">
            <w:pPr>
              <w:jc w:val="center"/>
              <w:rPr>
                <w:rFonts w:hint="default" w:ascii="Times New Roman" w:hAnsi="Times New Roman" w:eastAsia="宋体" w:cs="Times New Roman"/>
                <w:color w:val="auto"/>
                <w:kern w:val="2"/>
                <w:sz w:val="22"/>
                <w:szCs w:val="22"/>
                <w:lang w:val="en-US" w:eastAsia="zh-CN" w:bidi="ar-SA"/>
              </w:rPr>
            </w:pPr>
            <w:r>
              <w:rPr>
                <w:rFonts w:hint="eastAsia" w:ascii="Times New Roman" w:hAnsi="Times New Roman" w:eastAsia="宋体" w:cs="Times New Roman"/>
                <w:color w:val="auto"/>
                <w:sz w:val="22"/>
                <w:lang w:val="en-US" w:eastAsia="zh-CN"/>
              </w:rPr>
              <w:t>离心机2</w:t>
            </w:r>
          </w:p>
        </w:tc>
        <w:tc>
          <w:tcPr>
            <w:tcW w:w="1709" w:type="dxa"/>
            <w:shd w:val="clear" w:color="auto" w:fill="auto"/>
            <w:vAlign w:val="center"/>
          </w:tcPr>
          <w:p w14:paraId="6FBCEB08">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90</w:t>
            </w:r>
            <w:r>
              <w:rPr>
                <w:rFonts w:ascii="Times New Roman" w:hAnsi="Times New Roman" w:eastAsia="宋体" w:cs="Times New Roman"/>
                <w:color w:val="auto"/>
                <w:szCs w:val="21"/>
              </w:rPr>
              <w:t>dB(A)，1m</w:t>
            </w:r>
          </w:p>
        </w:tc>
        <w:tc>
          <w:tcPr>
            <w:tcW w:w="1325" w:type="dxa"/>
            <w:vMerge w:val="continue"/>
            <w:shd w:val="clear" w:color="auto" w:fill="auto"/>
            <w:vAlign w:val="center"/>
          </w:tcPr>
          <w:p w14:paraId="459B50E8">
            <w:pPr>
              <w:jc w:val="center"/>
              <w:rPr>
                <w:rFonts w:ascii="Times New Roman" w:hAnsi="Times New Roman" w:eastAsia="宋体" w:cs="Times New Roman"/>
                <w:color w:val="auto"/>
                <w:kern w:val="2"/>
                <w:sz w:val="21"/>
                <w:szCs w:val="21"/>
                <w:lang w:val="en-US" w:eastAsia="zh-CN" w:bidi="ar-SA"/>
              </w:rPr>
            </w:pPr>
          </w:p>
        </w:tc>
        <w:tc>
          <w:tcPr>
            <w:tcW w:w="813" w:type="dxa"/>
            <w:shd w:val="clear" w:color="auto" w:fill="auto"/>
            <w:vAlign w:val="center"/>
          </w:tcPr>
          <w:p w14:paraId="78E65136">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120.85</w:t>
            </w:r>
          </w:p>
        </w:tc>
        <w:tc>
          <w:tcPr>
            <w:tcW w:w="898" w:type="dxa"/>
            <w:shd w:val="clear" w:color="auto" w:fill="auto"/>
            <w:vAlign w:val="center"/>
          </w:tcPr>
          <w:p w14:paraId="0DA33B80">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244.22</w:t>
            </w:r>
          </w:p>
        </w:tc>
        <w:tc>
          <w:tcPr>
            <w:tcW w:w="725" w:type="dxa"/>
            <w:shd w:val="clear" w:color="auto" w:fill="auto"/>
            <w:vAlign w:val="center"/>
          </w:tcPr>
          <w:p w14:paraId="7F025F3C">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37</w:t>
            </w:r>
          </w:p>
        </w:tc>
        <w:tc>
          <w:tcPr>
            <w:tcW w:w="968" w:type="dxa"/>
            <w:shd w:val="clear" w:color="auto" w:fill="auto"/>
            <w:vAlign w:val="center"/>
          </w:tcPr>
          <w:p w14:paraId="4AAC0FDF">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88</w:t>
            </w:r>
          </w:p>
        </w:tc>
        <w:tc>
          <w:tcPr>
            <w:tcW w:w="846" w:type="dxa"/>
            <w:shd w:val="clear" w:color="auto" w:fill="auto"/>
            <w:vAlign w:val="center"/>
          </w:tcPr>
          <w:p w14:paraId="1D2A7CC6">
            <w:pPr>
              <w:jc w:val="center"/>
              <w:rPr>
                <w:rFonts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szCs w:val="21"/>
              </w:rPr>
              <w:t>0~24h</w:t>
            </w:r>
          </w:p>
        </w:tc>
        <w:tc>
          <w:tcPr>
            <w:tcW w:w="1363" w:type="dxa"/>
            <w:shd w:val="clear" w:color="auto" w:fill="auto"/>
            <w:vAlign w:val="center"/>
          </w:tcPr>
          <w:p w14:paraId="47E0F6BB">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rPr>
              <w:t>15</w:t>
            </w:r>
          </w:p>
        </w:tc>
        <w:tc>
          <w:tcPr>
            <w:tcW w:w="873" w:type="dxa"/>
            <w:shd w:val="clear" w:color="auto" w:fill="auto"/>
            <w:vAlign w:val="center"/>
          </w:tcPr>
          <w:p w14:paraId="1D0AE4E7">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73</w:t>
            </w:r>
          </w:p>
        </w:tc>
        <w:tc>
          <w:tcPr>
            <w:tcW w:w="1059" w:type="dxa"/>
            <w:shd w:val="clear" w:color="auto" w:fill="auto"/>
            <w:vAlign w:val="center"/>
          </w:tcPr>
          <w:p w14:paraId="0CD88E5D">
            <w:pPr>
              <w:jc w:val="center"/>
              <w:rPr>
                <w:rFonts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szCs w:val="21"/>
              </w:rPr>
              <w:t>1</w:t>
            </w:r>
          </w:p>
        </w:tc>
      </w:tr>
      <w:tr w14:paraId="61132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exact"/>
          <w:jc w:val="center"/>
        </w:trPr>
        <w:tc>
          <w:tcPr>
            <w:tcW w:w="660" w:type="dxa"/>
            <w:shd w:val="clear" w:color="auto" w:fill="auto"/>
            <w:vAlign w:val="center"/>
          </w:tcPr>
          <w:p w14:paraId="2C94244F">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16</w:t>
            </w:r>
          </w:p>
        </w:tc>
        <w:tc>
          <w:tcPr>
            <w:tcW w:w="1026" w:type="dxa"/>
            <w:vMerge w:val="continue"/>
            <w:vAlign w:val="center"/>
          </w:tcPr>
          <w:p w14:paraId="408D373D">
            <w:pPr>
              <w:jc w:val="center"/>
              <w:rPr>
                <w:rFonts w:ascii="Times New Roman" w:hAnsi="Times New Roman" w:eastAsia="宋体" w:cs="Times New Roman"/>
                <w:color w:val="auto"/>
                <w:szCs w:val="21"/>
              </w:rPr>
            </w:pPr>
          </w:p>
        </w:tc>
        <w:tc>
          <w:tcPr>
            <w:tcW w:w="1740" w:type="dxa"/>
            <w:shd w:val="clear" w:color="auto" w:fill="auto"/>
            <w:vAlign w:val="center"/>
          </w:tcPr>
          <w:p w14:paraId="55742900">
            <w:pPr>
              <w:jc w:val="center"/>
              <w:rPr>
                <w:rFonts w:hint="default" w:ascii="Times New Roman" w:hAnsi="Times New Roman" w:eastAsia="宋体" w:cs="Times New Roman"/>
                <w:color w:val="auto"/>
                <w:kern w:val="2"/>
                <w:sz w:val="22"/>
                <w:szCs w:val="22"/>
                <w:lang w:val="en-US" w:eastAsia="zh-CN" w:bidi="ar-SA"/>
              </w:rPr>
            </w:pPr>
            <w:r>
              <w:rPr>
                <w:rFonts w:hint="eastAsia" w:ascii="Times New Roman" w:hAnsi="Times New Roman" w:eastAsia="宋体" w:cs="Times New Roman"/>
                <w:color w:val="auto"/>
                <w:sz w:val="22"/>
                <w:lang w:val="en-US" w:eastAsia="zh-CN"/>
              </w:rPr>
              <w:t>离心机3</w:t>
            </w:r>
          </w:p>
        </w:tc>
        <w:tc>
          <w:tcPr>
            <w:tcW w:w="1709" w:type="dxa"/>
            <w:shd w:val="clear" w:color="auto" w:fill="auto"/>
            <w:vAlign w:val="center"/>
          </w:tcPr>
          <w:p w14:paraId="0FA7D047">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90</w:t>
            </w:r>
            <w:r>
              <w:rPr>
                <w:rFonts w:ascii="Times New Roman" w:hAnsi="Times New Roman" w:eastAsia="宋体" w:cs="Times New Roman"/>
                <w:color w:val="auto"/>
                <w:szCs w:val="21"/>
              </w:rPr>
              <w:t>dB(A)，1m</w:t>
            </w:r>
          </w:p>
        </w:tc>
        <w:tc>
          <w:tcPr>
            <w:tcW w:w="1325" w:type="dxa"/>
            <w:vMerge w:val="continue"/>
            <w:shd w:val="clear" w:color="auto" w:fill="auto"/>
            <w:vAlign w:val="center"/>
          </w:tcPr>
          <w:p w14:paraId="3BAC1D67">
            <w:pPr>
              <w:jc w:val="center"/>
              <w:rPr>
                <w:rFonts w:ascii="Times New Roman" w:hAnsi="Times New Roman" w:eastAsia="宋体" w:cs="Times New Roman"/>
                <w:color w:val="auto"/>
                <w:kern w:val="2"/>
                <w:sz w:val="21"/>
                <w:szCs w:val="21"/>
                <w:lang w:val="en-US" w:eastAsia="zh-CN" w:bidi="ar-SA"/>
              </w:rPr>
            </w:pPr>
          </w:p>
        </w:tc>
        <w:tc>
          <w:tcPr>
            <w:tcW w:w="813" w:type="dxa"/>
            <w:shd w:val="clear" w:color="auto" w:fill="auto"/>
            <w:vAlign w:val="center"/>
          </w:tcPr>
          <w:p w14:paraId="210E9534">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123.44</w:t>
            </w:r>
          </w:p>
        </w:tc>
        <w:tc>
          <w:tcPr>
            <w:tcW w:w="898" w:type="dxa"/>
            <w:shd w:val="clear" w:color="auto" w:fill="auto"/>
            <w:vAlign w:val="center"/>
          </w:tcPr>
          <w:p w14:paraId="6D4DA3F7">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241.1</w:t>
            </w:r>
          </w:p>
        </w:tc>
        <w:tc>
          <w:tcPr>
            <w:tcW w:w="725" w:type="dxa"/>
            <w:shd w:val="clear" w:color="auto" w:fill="auto"/>
            <w:vAlign w:val="center"/>
          </w:tcPr>
          <w:p w14:paraId="3544862C">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37</w:t>
            </w:r>
          </w:p>
        </w:tc>
        <w:tc>
          <w:tcPr>
            <w:tcW w:w="968" w:type="dxa"/>
            <w:shd w:val="clear" w:color="auto" w:fill="auto"/>
            <w:vAlign w:val="center"/>
          </w:tcPr>
          <w:p w14:paraId="398C786B">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88</w:t>
            </w:r>
          </w:p>
        </w:tc>
        <w:tc>
          <w:tcPr>
            <w:tcW w:w="846" w:type="dxa"/>
            <w:shd w:val="clear" w:color="auto" w:fill="auto"/>
            <w:vAlign w:val="center"/>
          </w:tcPr>
          <w:p w14:paraId="5A5065AE">
            <w:pPr>
              <w:jc w:val="center"/>
              <w:rPr>
                <w:rFonts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szCs w:val="21"/>
              </w:rPr>
              <w:t>0~24h</w:t>
            </w:r>
          </w:p>
        </w:tc>
        <w:tc>
          <w:tcPr>
            <w:tcW w:w="1363" w:type="dxa"/>
            <w:shd w:val="clear" w:color="auto" w:fill="auto"/>
            <w:vAlign w:val="center"/>
          </w:tcPr>
          <w:p w14:paraId="1F60B592">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rPr>
              <w:t>15</w:t>
            </w:r>
          </w:p>
        </w:tc>
        <w:tc>
          <w:tcPr>
            <w:tcW w:w="873" w:type="dxa"/>
            <w:shd w:val="clear" w:color="auto" w:fill="auto"/>
            <w:vAlign w:val="center"/>
          </w:tcPr>
          <w:p w14:paraId="12A3F360">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73</w:t>
            </w:r>
          </w:p>
        </w:tc>
        <w:tc>
          <w:tcPr>
            <w:tcW w:w="1059" w:type="dxa"/>
            <w:shd w:val="clear" w:color="auto" w:fill="auto"/>
            <w:vAlign w:val="center"/>
          </w:tcPr>
          <w:p w14:paraId="11C715B1">
            <w:pPr>
              <w:jc w:val="center"/>
              <w:rPr>
                <w:rFonts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szCs w:val="21"/>
              </w:rPr>
              <w:t>1</w:t>
            </w:r>
          </w:p>
        </w:tc>
      </w:tr>
      <w:tr w14:paraId="705D4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exact"/>
          <w:jc w:val="center"/>
        </w:trPr>
        <w:tc>
          <w:tcPr>
            <w:tcW w:w="660" w:type="dxa"/>
            <w:shd w:val="clear" w:color="auto" w:fill="auto"/>
            <w:vAlign w:val="center"/>
          </w:tcPr>
          <w:p w14:paraId="644EE8E1">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17</w:t>
            </w:r>
          </w:p>
        </w:tc>
        <w:tc>
          <w:tcPr>
            <w:tcW w:w="1026" w:type="dxa"/>
            <w:vMerge w:val="continue"/>
            <w:vAlign w:val="center"/>
          </w:tcPr>
          <w:p w14:paraId="20B6591E">
            <w:pPr>
              <w:jc w:val="center"/>
              <w:rPr>
                <w:rFonts w:ascii="Times New Roman" w:hAnsi="Times New Roman" w:eastAsia="宋体" w:cs="Times New Roman"/>
                <w:color w:val="auto"/>
                <w:szCs w:val="21"/>
              </w:rPr>
            </w:pPr>
          </w:p>
        </w:tc>
        <w:tc>
          <w:tcPr>
            <w:tcW w:w="1740" w:type="dxa"/>
            <w:shd w:val="clear" w:color="auto" w:fill="auto"/>
            <w:vAlign w:val="center"/>
          </w:tcPr>
          <w:p w14:paraId="29A59DFC">
            <w:pPr>
              <w:jc w:val="center"/>
              <w:rPr>
                <w:rFonts w:hint="default" w:ascii="Times New Roman" w:hAnsi="Times New Roman" w:eastAsia="宋体" w:cs="Times New Roman"/>
                <w:color w:val="auto"/>
                <w:kern w:val="2"/>
                <w:sz w:val="22"/>
                <w:szCs w:val="22"/>
                <w:lang w:val="en-US" w:eastAsia="zh-CN" w:bidi="ar-SA"/>
              </w:rPr>
            </w:pPr>
            <w:r>
              <w:rPr>
                <w:rFonts w:hint="eastAsia" w:ascii="Times New Roman" w:hAnsi="Times New Roman" w:eastAsia="宋体" w:cs="Times New Roman"/>
                <w:color w:val="auto"/>
                <w:sz w:val="22"/>
                <w:lang w:val="en-US" w:eastAsia="zh-CN"/>
              </w:rPr>
              <w:t>离心机4</w:t>
            </w:r>
          </w:p>
        </w:tc>
        <w:tc>
          <w:tcPr>
            <w:tcW w:w="1709" w:type="dxa"/>
            <w:shd w:val="clear" w:color="auto" w:fill="auto"/>
            <w:vAlign w:val="center"/>
          </w:tcPr>
          <w:p w14:paraId="38CBDA66">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90</w:t>
            </w:r>
            <w:r>
              <w:rPr>
                <w:rFonts w:ascii="Times New Roman" w:hAnsi="Times New Roman" w:eastAsia="宋体" w:cs="Times New Roman"/>
                <w:color w:val="auto"/>
                <w:szCs w:val="21"/>
              </w:rPr>
              <w:t>dB(A)，1m</w:t>
            </w:r>
          </w:p>
        </w:tc>
        <w:tc>
          <w:tcPr>
            <w:tcW w:w="1325" w:type="dxa"/>
            <w:vMerge w:val="continue"/>
            <w:shd w:val="clear" w:color="auto" w:fill="auto"/>
            <w:vAlign w:val="center"/>
          </w:tcPr>
          <w:p w14:paraId="4E8DA601">
            <w:pPr>
              <w:jc w:val="center"/>
              <w:rPr>
                <w:rFonts w:ascii="Times New Roman" w:hAnsi="Times New Roman" w:eastAsia="宋体" w:cs="Times New Roman"/>
                <w:color w:val="auto"/>
                <w:kern w:val="2"/>
                <w:sz w:val="21"/>
                <w:szCs w:val="21"/>
                <w:lang w:val="en-US" w:eastAsia="zh-CN" w:bidi="ar-SA"/>
              </w:rPr>
            </w:pPr>
          </w:p>
        </w:tc>
        <w:tc>
          <w:tcPr>
            <w:tcW w:w="813" w:type="dxa"/>
            <w:shd w:val="clear" w:color="auto" w:fill="auto"/>
            <w:vAlign w:val="center"/>
          </w:tcPr>
          <w:p w14:paraId="49B35910">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126.56</w:t>
            </w:r>
          </w:p>
        </w:tc>
        <w:tc>
          <w:tcPr>
            <w:tcW w:w="898" w:type="dxa"/>
            <w:shd w:val="clear" w:color="auto" w:fill="auto"/>
            <w:vAlign w:val="center"/>
          </w:tcPr>
          <w:p w14:paraId="39A9E286">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238.77</w:t>
            </w:r>
          </w:p>
        </w:tc>
        <w:tc>
          <w:tcPr>
            <w:tcW w:w="725" w:type="dxa"/>
            <w:shd w:val="clear" w:color="auto" w:fill="auto"/>
            <w:vAlign w:val="center"/>
          </w:tcPr>
          <w:p w14:paraId="5C28F0F6">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37</w:t>
            </w:r>
          </w:p>
        </w:tc>
        <w:tc>
          <w:tcPr>
            <w:tcW w:w="968" w:type="dxa"/>
            <w:shd w:val="clear" w:color="auto" w:fill="auto"/>
            <w:vAlign w:val="center"/>
          </w:tcPr>
          <w:p w14:paraId="6094CADC">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88</w:t>
            </w:r>
          </w:p>
        </w:tc>
        <w:tc>
          <w:tcPr>
            <w:tcW w:w="846" w:type="dxa"/>
            <w:shd w:val="clear" w:color="auto" w:fill="auto"/>
            <w:vAlign w:val="center"/>
          </w:tcPr>
          <w:p w14:paraId="60D3DE03">
            <w:pPr>
              <w:jc w:val="center"/>
              <w:rPr>
                <w:rFonts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szCs w:val="21"/>
              </w:rPr>
              <w:t>0~24h</w:t>
            </w:r>
          </w:p>
        </w:tc>
        <w:tc>
          <w:tcPr>
            <w:tcW w:w="1363" w:type="dxa"/>
            <w:shd w:val="clear" w:color="auto" w:fill="auto"/>
            <w:vAlign w:val="center"/>
          </w:tcPr>
          <w:p w14:paraId="4A79C1D0">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rPr>
              <w:t>15</w:t>
            </w:r>
          </w:p>
        </w:tc>
        <w:tc>
          <w:tcPr>
            <w:tcW w:w="873" w:type="dxa"/>
            <w:shd w:val="clear" w:color="auto" w:fill="auto"/>
            <w:vAlign w:val="center"/>
          </w:tcPr>
          <w:p w14:paraId="14FD36CC">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73</w:t>
            </w:r>
          </w:p>
        </w:tc>
        <w:tc>
          <w:tcPr>
            <w:tcW w:w="1059" w:type="dxa"/>
            <w:shd w:val="clear" w:color="auto" w:fill="auto"/>
            <w:vAlign w:val="center"/>
          </w:tcPr>
          <w:p w14:paraId="42F1C2C1">
            <w:pPr>
              <w:jc w:val="center"/>
              <w:rPr>
                <w:rFonts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szCs w:val="21"/>
              </w:rPr>
              <w:t>1</w:t>
            </w:r>
          </w:p>
        </w:tc>
      </w:tr>
      <w:tr w14:paraId="5975F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exact"/>
          <w:jc w:val="center"/>
        </w:trPr>
        <w:tc>
          <w:tcPr>
            <w:tcW w:w="660" w:type="dxa"/>
            <w:shd w:val="clear" w:color="auto" w:fill="auto"/>
            <w:vAlign w:val="center"/>
          </w:tcPr>
          <w:p w14:paraId="2EAF5B50">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18</w:t>
            </w:r>
          </w:p>
        </w:tc>
        <w:tc>
          <w:tcPr>
            <w:tcW w:w="1026" w:type="dxa"/>
            <w:vMerge w:val="continue"/>
            <w:vAlign w:val="center"/>
          </w:tcPr>
          <w:p w14:paraId="09038B76">
            <w:pPr>
              <w:jc w:val="center"/>
              <w:rPr>
                <w:rFonts w:hint="default" w:ascii="Times New Roman" w:hAnsi="Times New Roman" w:eastAsia="宋体" w:cs="Times New Roman"/>
                <w:color w:val="auto"/>
                <w:szCs w:val="21"/>
                <w:lang w:val="en-US"/>
              </w:rPr>
            </w:pPr>
          </w:p>
        </w:tc>
        <w:tc>
          <w:tcPr>
            <w:tcW w:w="1740" w:type="dxa"/>
            <w:shd w:val="clear" w:color="auto" w:fill="auto"/>
            <w:vAlign w:val="center"/>
          </w:tcPr>
          <w:p w14:paraId="56848BF5">
            <w:pPr>
              <w:jc w:val="center"/>
              <w:rPr>
                <w:rFonts w:hint="default" w:ascii="Times New Roman" w:hAnsi="Times New Roman" w:eastAsia="宋体" w:cs="Times New Roman"/>
                <w:color w:val="auto"/>
                <w:kern w:val="2"/>
                <w:sz w:val="22"/>
                <w:szCs w:val="22"/>
                <w:lang w:val="en-US" w:eastAsia="zh-CN" w:bidi="ar-SA"/>
              </w:rPr>
            </w:pPr>
            <w:r>
              <w:rPr>
                <w:rFonts w:hint="eastAsia" w:ascii="Times New Roman" w:hAnsi="Times New Roman" w:eastAsia="宋体" w:cs="Times New Roman"/>
                <w:color w:val="auto"/>
                <w:sz w:val="22"/>
                <w:lang w:val="en-US" w:eastAsia="zh-CN"/>
              </w:rPr>
              <w:t>离心机5</w:t>
            </w:r>
          </w:p>
        </w:tc>
        <w:tc>
          <w:tcPr>
            <w:tcW w:w="1709" w:type="dxa"/>
            <w:shd w:val="clear" w:color="auto" w:fill="auto"/>
            <w:vAlign w:val="center"/>
          </w:tcPr>
          <w:p w14:paraId="60087670">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90</w:t>
            </w:r>
            <w:r>
              <w:rPr>
                <w:rFonts w:ascii="Times New Roman" w:hAnsi="Times New Roman" w:eastAsia="宋体" w:cs="Times New Roman"/>
                <w:color w:val="auto"/>
                <w:szCs w:val="21"/>
              </w:rPr>
              <w:t>dB(A)，1m</w:t>
            </w:r>
          </w:p>
        </w:tc>
        <w:tc>
          <w:tcPr>
            <w:tcW w:w="1325" w:type="dxa"/>
            <w:vMerge w:val="continue"/>
            <w:shd w:val="clear" w:color="auto" w:fill="auto"/>
            <w:vAlign w:val="center"/>
          </w:tcPr>
          <w:p w14:paraId="5951ED11">
            <w:pPr>
              <w:jc w:val="center"/>
              <w:rPr>
                <w:rFonts w:ascii="Times New Roman" w:hAnsi="Times New Roman" w:eastAsia="宋体" w:cs="Times New Roman"/>
                <w:color w:val="auto"/>
                <w:kern w:val="2"/>
                <w:sz w:val="21"/>
                <w:szCs w:val="21"/>
                <w:lang w:val="en-US" w:eastAsia="zh-CN" w:bidi="ar-SA"/>
              </w:rPr>
            </w:pPr>
          </w:p>
        </w:tc>
        <w:tc>
          <w:tcPr>
            <w:tcW w:w="813" w:type="dxa"/>
            <w:shd w:val="clear" w:color="auto" w:fill="auto"/>
            <w:vAlign w:val="center"/>
          </w:tcPr>
          <w:p w14:paraId="7BE5AEB0">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127.08</w:t>
            </w:r>
          </w:p>
        </w:tc>
        <w:tc>
          <w:tcPr>
            <w:tcW w:w="898" w:type="dxa"/>
            <w:shd w:val="clear" w:color="auto" w:fill="auto"/>
            <w:vAlign w:val="center"/>
          </w:tcPr>
          <w:p w14:paraId="4B99E3AF">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234.61</w:t>
            </w:r>
          </w:p>
        </w:tc>
        <w:tc>
          <w:tcPr>
            <w:tcW w:w="725" w:type="dxa"/>
            <w:shd w:val="clear" w:color="auto" w:fill="auto"/>
            <w:vAlign w:val="center"/>
          </w:tcPr>
          <w:p w14:paraId="655F51F6">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37</w:t>
            </w:r>
          </w:p>
        </w:tc>
        <w:tc>
          <w:tcPr>
            <w:tcW w:w="968" w:type="dxa"/>
            <w:shd w:val="clear" w:color="auto" w:fill="auto"/>
            <w:vAlign w:val="center"/>
          </w:tcPr>
          <w:p w14:paraId="72DBBC20">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88</w:t>
            </w:r>
          </w:p>
        </w:tc>
        <w:tc>
          <w:tcPr>
            <w:tcW w:w="846" w:type="dxa"/>
            <w:shd w:val="clear" w:color="auto" w:fill="auto"/>
            <w:vAlign w:val="center"/>
          </w:tcPr>
          <w:p w14:paraId="58F5A0F0">
            <w:pPr>
              <w:jc w:val="center"/>
              <w:rPr>
                <w:rFonts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szCs w:val="21"/>
              </w:rPr>
              <w:t>0~24h</w:t>
            </w:r>
          </w:p>
        </w:tc>
        <w:tc>
          <w:tcPr>
            <w:tcW w:w="1363" w:type="dxa"/>
            <w:shd w:val="clear" w:color="auto" w:fill="auto"/>
            <w:vAlign w:val="center"/>
          </w:tcPr>
          <w:p w14:paraId="49FC4455">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rPr>
              <w:t>15</w:t>
            </w:r>
          </w:p>
        </w:tc>
        <w:tc>
          <w:tcPr>
            <w:tcW w:w="873" w:type="dxa"/>
            <w:shd w:val="clear" w:color="auto" w:fill="auto"/>
            <w:vAlign w:val="center"/>
          </w:tcPr>
          <w:p w14:paraId="72F612B7">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73</w:t>
            </w:r>
          </w:p>
        </w:tc>
        <w:tc>
          <w:tcPr>
            <w:tcW w:w="1059" w:type="dxa"/>
            <w:shd w:val="clear" w:color="auto" w:fill="auto"/>
            <w:vAlign w:val="center"/>
          </w:tcPr>
          <w:p w14:paraId="37CFEB9E">
            <w:pPr>
              <w:jc w:val="center"/>
              <w:rPr>
                <w:rFonts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szCs w:val="21"/>
              </w:rPr>
              <w:t>1</w:t>
            </w:r>
          </w:p>
        </w:tc>
      </w:tr>
      <w:tr w14:paraId="5FBEB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exact"/>
          <w:jc w:val="center"/>
        </w:trPr>
        <w:tc>
          <w:tcPr>
            <w:tcW w:w="660" w:type="dxa"/>
            <w:shd w:val="clear" w:color="auto" w:fill="auto"/>
            <w:vAlign w:val="center"/>
          </w:tcPr>
          <w:p w14:paraId="274B7637">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19</w:t>
            </w:r>
          </w:p>
        </w:tc>
        <w:tc>
          <w:tcPr>
            <w:tcW w:w="1026" w:type="dxa"/>
            <w:vAlign w:val="center"/>
          </w:tcPr>
          <w:p w14:paraId="1502D707">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干燥车间</w:t>
            </w:r>
          </w:p>
        </w:tc>
        <w:tc>
          <w:tcPr>
            <w:tcW w:w="1740" w:type="dxa"/>
            <w:shd w:val="clear" w:color="auto" w:fill="auto"/>
            <w:vAlign w:val="center"/>
          </w:tcPr>
          <w:p w14:paraId="28FFE01E">
            <w:pPr>
              <w:jc w:val="center"/>
              <w:rPr>
                <w:rFonts w:ascii="Times New Roman" w:hAnsi="Times New Roman" w:eastAsia="宋体" w:cs="Times New Roman"/>
                <w:color w:val="auto"/>
                <w:kern w:val="2"/>
                <w:sz w:val="22"/>
                <w:szCs w:val="22"/>
                <w:lang w:val="en-US" w:eastAsia="zh-CN" w:bidi="ar-SA"/>
              </w:rPr>
            </w:pPr>
            <w:r>
              <w:rPr>
                <w:rFonts w:hint="eastAsia" w:ascii="Times New Roman" w:hAnsi="Times New Roman" w:eastAsia="宋体" w:cs="Times New Roman"/>
                <w:color w:val="auto"/>
                <w:sz w:val="22"/>
              </w:rPr>
              <w:t>闪蒸干燥机</w:t>
            </w:r>
          </w:p>
        </w:tc>
        <w:tc>
          <w:tcPr>
            <w:tcW w:w="1709" w:type="dxa"/>
            <w:vAlign w:val="center"/>
          </w:tcPr>
          <w:p w14:paraId="7B4597B1">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8</w:t>
            </w:r>
            <w:r>
              <w:rPr>
                <w:rFonts w:hint="eastAsia" w:ascii="Times New Roman" w:hAnsi="Times New Roman" w:eastAsia="宋体" w:cs="Times New Roman"/>
                <w:color w:val="auto"/>
                <w:szCs w:val="21"/>
                <w:lang w:val="en-US" w:eastAsia="zh-CN"/>
              </w:rPr>
              <w:t>0</w:t>
            </w:r>
            <w:r>
              <w:rPr>
                <w:rFonts w:ascii="Times New Roman" w:hAnsi="Times New Roman" w:eastAsia="宋体" w:cs="Times New Roman"/>
                <w:color w:val="auto"/>
                <w:szCs w:val="21"/>
              </w:rPr>
              <w:t>dB(A)，1m</w:t>
            </w:r>
          </w:p>
        </w:tc>
        <w:tc>
          <w:tcPr>
            <w:tcW w:w="1325" w:type="dxa"/>
            <w:vMerge w:val="continue"/>
            <w:vAlign w:val="center"/>
          </w:tcPr>
          <w:p w14:paraId="37D9555E">
            <w:pPr>
              <w:jc w:val="center"/>
              <w:rPr>
                <w:rFonts w:ascii="Times New Roman" w:hAnsi="Times New Roman" w:eastAsia="宋体" w:cs="Times New Roman"/>
                <w:color w:val="auto"/>
                <w:szCs w:val="21"/>
              </w:rPr>
            </w:pPr>
          </w:p>
        </w:tc>
        <w:tc>
          <w:tcPr>
            <w:tcW w:w="813" w:type="dxa"/>
            <w:vAlign w:val="center"/>
          </w:tcPr>
          <w:p w14:paraId="27ACB890">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79.28</w:t>
            </w:r>
          </w:p>
        </w:tc>
        <w:tc>
          <w:tcPr>
            <w:tcW w:w="898" w:type="dxa"/>
            <w:vAlign w:val="center"/>
          </w:tcPr>
          <w:p w14:paraId="283135BE">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233.57</w:t>
            </w:r>
          </w:p>
        </w:tc>
        <w:tc>
          <w:tcPr>
            <w:tcW w:w="725" w:type="dxa"/>
            <w:shd w:val="clear" w:color="auto" w:fill="auto"/>
            <w:vAlign w:val="center"/>
          </w:tcPr>
          <w:p w14:paraId="02E7942B">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37</w:t>
            </w:r>
          </w:p>
        </w:tc>
        <w:tc>
          <w:tcPr>
            <w:tcW w:w="968" w:type="dxa"/>
            <w:vAlign w:val="center"/>
          </w:tcPr>
          <w:p w14:paraId="092BD672">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78</w:t>
            </w:r>
          </w:p>
        </w:tc>
        <w:tc>
          <w:tcPr>
            <w:tcW w:w="846" w:type="dxa"/>
            <w:vAlign w:val="center"/>
          </w:tcPr>
          <w:p w14:paraId="71CE75F5">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0~24h</w:t>
            </w:r>
          </w:p>
        </w:tc>
        <w:tc>
          <w:tcPr>
            <w:tcW w:w="1363" w:type="dxa"/>
            <w:vAlign w:val="center"/>
          </w:tcPr>
          <w:p w14:paraId="18901EB9">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15</w:t>
            </w:r>
          </w:p>
        </w:tc>
        <w:tc>
          <w:tcPr>
            <w:tcW w:w="873" w:type="dxa"/>
            <w:vAlign w:val="center"/>
          </w:tcPr>
          <w:p w14:paraId="6BF76AF5">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63</w:t>
            </w:r>
          </w:p>
        </w:tc>
        <w:tc>
          <w:tcPr>
            <w:tcW w:w="1059" w:type="dxa"/>
            <w:vAlign w:val="center"/>
          </w:tcPr>
          <w:p w14:paraId="0DCF2B59">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1</w:t>
            </w:r>
          </w:p>
        </w:tc>
      </w:tr>
      <w:tr w14:paraId="404F3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exact"/>
          <w:jc w:val="center"/>
        </w:trPr>
        <w:tc>
          <w:tcPr>
            <w:tcW w:w="660" w:type="dxa"/>
            <w:shd w:val="clear" w:color="auto" w:fill="auto"/>
            <w:vAlign w:val="center"/>
          </w:tcPr>
          <w:p w14:paraId="37191DC4">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20</w:t>
            </w:r>
          </w:p>
        </w:tc>
        <w:tc>
          <w:tcPr>
            <w:tcW w:w="1026" w:type="dxa"/>
            <w:vMerge w:val="restart"/>
            <w:vAlign w:val="center"/>
          </w:tcPr>
          <w:p w14:paraId="4D4C6930">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提取2车间</w:t>
            </w:r>
          </w:p>
        </w:tc>
        <w:tc>
          <w:tcPr>
            <w:tcW w:w="1740" w:type="dxa"/>
            <w:shd w:val="clear" w:color="auto" w:fill="auto"/>
            <w:vAlign w:val="center"/>
          </w:tcPr>
          <w:p w14:paraId="1B9559BC">
            <w:pPr>
              <w:jc w:val="center"/>
              <w:rPr>
                <w:rFonts w:hint="eastAsia" w:ascii="Times New Roman" w:hAnsi="Times New Roman" w:eastAsia="宋体" w:cs="Times New Roman"/>
                <w:color w:val="auto"/>
                <w:kern w:val="2"/>
                <w:sz w:val="22"/>
                <w:szCs w:val="22"/>
                <w:lang w:val="en-US" w:eastAsia="zh-CN" w:bidi="ar-SA"/>
              </w:rPr>
            </w:pPr>
            <w:r>
              <w:rPr>
                <w:rFonts w:hint="eastAsia" w:ascii="Times New Roman" w:hAnsi="Times New Roman" w:eastAsia="宋体" w:cs="Times New Roman"/>
                <w:color w:val="auto"/>
                <w:sz w:val="22"/>
              </w:rPr>
              <w:t>板框压滤机</w:t>
            </w:r>
            <w:r>
              <w:rPr>
                <w:rFonts w:hint="eastAsia" w:ascii="Times New Roman" w:hAnsi="Times New Roman" w:eastAsia="宋体" w:cs="Times New Roman"/>
                <w:color w:val="auto"/>
                <w:sz w:val="22"/>
                <w:lang w:val="en-US" w:eastAsia="zh-CN"/>
              </w:rPr>
              <w:t>1</w:t>
            </w:r>
          </w:p>
        </w:tc>
        <w:tc>
          <w:tcPr>
            <w:tcW w:w="1709" w:type="dxa"/>
            <w:shd w:val="clear" w:color="auto" w:fill="auto"/>
            <w:vAlign w:val="center"/>
          </w:tcPr>
          <w:p w14:paraId="648924B9">
            <w:pPr>
              <w:jc w:val="center"/>
              <w:rPr>
                <w:rFonts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szCs w:val="21"/>
              </w:rPr>
              <w:t>85dB(A)，1m</w:t>
            </w:r>
          </w:p>
        </w:tc>
        <w:tc>
          <w:tcPr>
            <w:tcW w:w="1325" w:type="dxa"/>
            <w:vMerge w:val="continue"/>
            <w:shd w:val="clear" w:color="auto" w:fill="auto"/>
            <w:vAlign w:val="center"/>
          </w:tcPr>
          <w:p w14:paraId="0F12F2C4">
            <w:pPr>
              <w:jc w:val="center"/>
              <w:rPr>
                <w:rFonts w:ascii="Times New Roman" w:hAnsi="Times New Roman" w:eastAsia="宋体" w:cs="Times New Roman"/>
                <w:color w:val="auto"/>
                <w:kern w:val="2"/>
                <w:sz w:val="21"/>
                <w:szCs w:val="21"/>
                <w:lang w:val="en-US" w:eastAsia="zh-CN" w:bidi="ar-SA"/>
              </w:rPr>
            </w:pPr>
          </w:p>
        </w:tc>
        <w:tc>
          <w:tcPr>
            <w:tcW w:w="813" w:type="dxa"/>
            <w:shd w:val="clear" w:color="auto" w:fill="auto"/>
            <w:vAlign w:val="center"/>
          </w:tcPr>
          <w:p w14:paraId="78D82D1B">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126.3</w:t>
            </w:r>
          </w:p>
        </w:tc>
        <w:tc>
          <w:tcPr>
            <w:tcW w:w="898" w:type="dxa"/>
            <w:shd w:val="clear" w:color="auto" w:fill="auto"/>
            <w:vAlign w:val="center"/>
          </w:tcPr>
          <w:p w14:paraId="03E27397">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253.31</w:t>
            </w:r>
          </w:p>
        </w:tc>
        <w:tc>
          <w:tcPr>
            <w:tcW w:w="725" w:type="dxa"/>
            <w:shd w:val="clear" w:color="auto" w:fill="auto"/>
            <w:vAlign w:val="center"/>
          </w:tcPr>
          <w:p w14:paraId="70A98E58">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37</w:t>
            </w:r>
          </w:p>
        </w:tc>
        <w:tc>
          <w:tcPr>
            <w:tcW w:w="968" w:type="dxa"/>
            <w:shd w:val="clear" w:color="auto" w:fill="auto"/>
            <w:vAlign w:val="center"/>
          </w:tcPr>
          <w:p w14:paraId="5D1753A0">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83</w:t>
            </w:r>
          </w:p>
        </w:tc>
        <w:tc>
          <w:tcPr>
            <w:tcW w:w="846" w:type="dxa"/>
            <w:shd w:val="clear" w:color="auto" w:fill="auto"/>
            <w:vAlign w:val="center"/>
          </w:tcPr>
          <w:p w14:paraId="0C4CBCD4">
            <w:pPr>
              <w:jc w:val="center"/>
              <w:rPr>
                <w:rFonts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szCs w:val="21"/>
              </w:rPr>
              <w:t>0~24h</w:t>
            </w:r>
          </w:p>
        </w:tc>
        <w:tc>
          <w:tcPr>
            <w:tcW w:w="1363" w:type="dxa"/>
            <w:shd w:val="clear" w:color="auto" w:fill="auto"/>
            <w:vAlign w:val="center"/>
          </w:tcPr>
          <w:p w14:paraId="10A0DF4A">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rPr>
              <w:t>15</w:t>
            </w:r>
          </w:p>
        </w:tc>
        <w:tc>
          <w:tcPr>
            <w:tcW w:w="873" w:type="dxa"/>
            <w:shd w:val="clear" w:color="auto" w:fill="auto"/>
            <w:vAlign w:val="center"/>
          </w:tcPr>
          <w:p w14:paraId="0B075ECB">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68</w:t>
            </w:r>
          </w:p>
        </w:tc>
        <w:tc>
          <w:tcPr>
            <w:tcW w:w="1059" w:type="dxa"/>
            <w:shd w:val="clear" w:color="auto" w:fill="auto"/>
            <w:vAlign w:val="center"/>
          </w:tcPr>
          <w:p w14:paraId="18668BEC">
            <w:pPr>
              <w:jc w:val="center"/>
              <w:rPr>
                <w:rFonts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szCs w:val="21"/>
              </w:rPr>
              <w:t>1</w:t>
            </w:r>
          </w:p>
        </w:tc>
      </w:tr>
      <w:tr w14:paraId="51B03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exact"/>
          <w:jc w:val="center"/>
        </w:trPr>
        <w:tc>
          <w:tcPr>
            <w:tcW w:w="660" w:type="dxa"/>
            <w:shd w:val="clear" w:color="auto" w:fill="auto"/>
            <w:vAlign w:val="center"/>
          </w:tcPr>
          <w:p w14:paraId="413B17C9">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21</w:t>
            </w:r>
          </w:p>
        </w:tc>
        <w:tc>
          <w:tcPr>
            <w:tcW w:w="1026" w:type="dxa"/>
            <w:vMerge w:val="continue"/>
            <w:vAlign w:val="center"/>
          </w:tcPr>
          <w:p w14:paraId="1AA48D15">
            <w:pPr>
              <w:jc w:val="center"/>
              <w:rPr>
                <w:rFonts w:ascii="Times New Roman" w:hAnsi="Times New Roman" w:eastAsia="宋体" w:cs="Times New Roman"/>
                <w:color w:val="auto"/>
                <w:szCs w:val="21"/>
              </w:rPr>
            </w:pPr>
          </w:p>
        </w:tc>
        <w:tc>
          <w:tcPr>
            <w:tcW w:w="1740" w:type="dxa"/>
            <w:shd w:val="clear" w:color="auto" w:fill="auto"/>
            <w:vAlign w:val="center"/>
          </w:tcPr>
          <w:p w14:paraId="22D1A938">
            <w:pPr>
              <w:jc w:val="center"/>
              <w:rPr>
                <w:rFonts w:hint="eastAsia" w:ascii="Times New Roman" w:hAnsi="Times New Roman" w:eastAsia="宋体" w:cs="Times New Roman"/>
                <w:color w:val="auto"/>
                <w:kern w:val="2"/>
                <w:sz w:val="22"/>
                <w:szCs w:val="22"/>
                <w:lang w:val="en-US" w:eastAsia="zh-CN" w:bidi="ar-SA"/>
              </w:rPr>
            </w:pPr>
            <w:r>
              <w:rPr>
                <w:rFonts w:hint="eastAsia" w:ascii="Times New Roman" w:hAnsi="Times New Roman" w:eastAsia="宋体" w:cs="Times New Roman"/>
                <w:color w:val="auto"/>
                <w:sz w:val="22"/>
              </w:rPr>
              <w:t>板框压滤机</w:t>
            </w:r>
            <w:r>
              <w:rPr>
                <w:rFonts w:hint="eastAsia" w:ascii="Times New Roman" w:hAnsi="Times New Roman" w:eastAsia="宋体" w:cs="Times New Roman"/>
                <w:color w:val="auto"/>
                <w:sz w:val="22"/>
                <w:lang w:val="en-US" w:eastAsia="zh-CN"/>
              </w:rPr>
              <w:t>2</w:t>
            </w:r>
          </w:p>
        </w:tc>
        <w:tc>
          <w:tcPr>
            <w:tcW w:w="1709" w:type="dxa"/>
            <w:shd w:val="clear" w:color="auto" w:fill="auto"/>
            <w:vAlign w:val="center"/>
          </w:tcPr>
          <w:p w14:paraId="08602F39">
            <w:pPr>
              <w:jc w:val="center"/>
              <w:rPr>
                <w:rFonts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szCs w:val="21"/>
              </w:rPr>
              <w:t>85dB(A)，1m</w:t>
            </w:r>
          </w:p>
        </w:tc>
        <w:tc>
          <w:tcPr>
            <w:tcW w:w="1325" w:type="dxa"/>
            <w:vMerge w:val="continue"/>
            <w:shd w:val="clear" w:color="auto" w:fill="auto"/>
            <w:vAlign w:val="center"/>
          </w:tcPr>
          <w:p w14:paraId="77E6D71C">
            <w:pPr>
              <w:jc w:val="center"/>
              <w:rPr>
                <w:rFonts w:ascii="Times New Roman" w:hAnsi="Times New Roman" w:eastAsia="宋体" w:cs="Times New Roman"/>
                <w:color w:val="auto"/>
                <w:kern w:val="2"/>
                <w:sz w:val="21"/>
                <w:szCs w:val="21"/>
                <w:lang w:val="en-US" w:eastAsia="zh-CN" w:bidi="ar-SA"/>
              </w:rPr>
            </w:pPr>
          </w:p>
        </w:tc>
        <w:tc>
          <w:tcPr>
            <w:tcW w:w="813" w:type="dxa"/>
            <w:shd w:val="clear" w:color="auto" w:fill="auto"/>
            <w:vAlign w:val="center"/>
          </w:tcPr>
          <w:p w14:paraId="60AF2E1A">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128.9</w:t>
            </w:r>
          </w:p>
        </w:tc>
        <w:tc>
          <w:tcPr>
            <w:tcW w:w="898" w:type="dxa"/>
            <w:shd w:val="clear" w:color="auto" w:fill="auto"/>
            <w:vAlign w:val="center"/>
          </w:tcPr>
          <w:p w14:paraId="49BA62B6">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249.94</w:t>
            </w:r>
          </w:p>
        </w:tc>
        <w:tc>
          <w:tcPr>
            <w:tcW w:w="725" w:type="dxa"/>
            <w:shd w:val="clear" w:color="auto" w:fill="auto"/>
            <w:vAlign w:val="center"/>
          </w:tcPr>
          <w:p w14:paraId="32F15A52">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37</w:t>
            </w:r>
          </w:p>
        </w:tc>
        <w:tc>
          <w:tcPr>
            <w:tcW w:w="968" w:type="dxa"/>
            <w:shd w:val="clear" w:color="auto" w:fill="auto"/>
            <w:vAlign w:val="center"/>
          </w:tcPr>
          <w:p w14:paraId="5A3739C0">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83</w:t>
            </w:r>
          </w:p>
        </w:tc>
        <w:tc>
          <w:tcPr>
            <w:tcW w:w="846" w:type="dxa"/>
            <w:shd w:val="clear" w:color="auto" w:fill="auto"/>
            <w:vAlign w:val="center"/>
          </w:tcPr>
          <w:p w14:paraId="700F8908">
            <w:pPr>
              <w:jc w:val="center"/>
              <w:rPr>
                <w:rFonts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szCs w:val="21"/>
              </w:rPr>
              <w:t>0~24h</w:t>
            </w:r>
          </w:p>
        </w:tc>
        <w:tc>
          <w:tcPr>
            <w:tcW w:w="1363" w:type="dxa"/>
            <w:shd w:val="clear" w:color="auto" w:fill="auto"/>
            <w:vAlign w:val="center"/>
          </w:tcPr>
          <w:p w14:paraId="5FD74DF8">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rPr>
              <w:t>15</w:t>
            </w:r>
          </w:p>
        </w:tc>
        <w:tc>
          <w:tcPr>
            <w:tcW w:w="873" w:type="dxa"/>
            <w:shd w:val="clear" w:color="auto" w:fill="auto"/>
            <w:vAlign w:val="center"/>
          </w:tcPr>
          <w:p w14:paraId="0CF0DAB2">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68</w:t>
            </w:r>
          </w:p>
        </w:tc>
        <w:tc>
          <w:tcPr>
            <w:tcW w:w="1059" w:type="dxa"/>
            <w:shd w:val="clear" w:color="auto" w:fill="auto"/>
            <w:vAlign w:val="center"/>
          </w:tcPr>
          <w:p w14:paraId="33A08278">
            <w:pPr>
              <w:jc w:val="center"/>
              <w:rPr>
                <w:rFonts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szCs w:val="21"/>
              </w:rPr>
              <w:t>1</w:t>
            </w:r>
          </w:p>
        </w:tc>
      </w:tr>
      <w:tr w14:paraId="08A8F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exact"/>
          <w:jc w:val="center"/>
        </w:trPr>
        <w:tc>
          <w:tcPr>
            <w:tcW w:w="660" w:type="dxa"/>
            <w:shd w:val="clear" w:color="auto" w:fill="auto"/>
            <w:vAlign w:val="center"/>
          </w:tcPr>
          <w:p w14:paraId="6BEA18F7">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22</w:t>
            </w:r>
          </w:p>
        </w:tc>
        <w:tc>
          <w:tcPr>
            <w:tcW w:w="1026" w:type="dxa"/>
            <w:vMerge w:val="continue"/>
            <w:vAlign w:val="center"/>
          </w:tcPr>
          <w:p w14:paraId="161EEFA7">
            <w:pPr>
              <w:jc w:val="center"/>
              <w:rPr>
                <w:rFonts w:ascii="Times New Roman" w:hAnsi="Times New Roman" w:eastAsia="宋体" w:cs="Times New Roman"/>
                <w:color w:val="auto"/>
                <w:szCs w:val="21"/>
              </w:rPr>
            </w:pPr>
          </w:p>
        </w:tc>
        <w:tc>
          <w:tcPr>
            <w:tcW w:w="1740" w:type="dxa"/>
            <w:shd w:val="clear" w:color="auto" w:fill="auto"/>
            <w:vAlign w:val="center"/>
          </w:tcPr>
          <w:p w14:paraId="592E8315">
            <w:pPr>
              <w:jc w:val="center"/>
              <w:rPr>
                <w:rFonts w:hint="eastAsia" w:ascii="Times New Roman" w:hAnsi="Times New Roman" w:eastAsia="宋体" w:cs="Times New Roman"/>
                <w:color w:val="auto"/>
                <w:kern w:val="2"/>
                <w:sz w:val="22"/>
                <w:szCs w:val="22"/>
                <w:lang w:val="en-US" w:eastAsia="zh-CN" w:bidi="ar-SA"/>
              </w:rPr>
            </w:pPr>
            <w:r>
              <w:rPr>
                <w:rFonts w:hint="eastAsia" w:ascii="Times New Roman" w:hAnsi="Times New Roman" w:eastAsia="宋体" w:cs="Times New Roman"/>
                <w:color w:val="auto"/>
                <w:sz w:val="22"/>
              </w:rPr>
              <w:t>板框压滤机</w:t>
            </w:r>
            <w:r>
              <w:rPr>
                <w:rFonts w:hint="eastAsia" w:ascii="Times New Roman" w:hAnsi="Times New Roman" w:eastAsia="宋体" w:cs="Times New Roman"/>
                <w:color w:val="auto"/>
                <w:sz w:val="22"/>
                <w:lang w:val="en-US" w:eastAsia="zh-CN"/>
              </w:rPr>
              <w:t>3</w:t>
            </w:r>
          </w:p>
        </w:tc>
        <w:tc>
          <w:tcPr>
            <w:tcW w:w="1709" w:type="dxa"/>
            <w:shd w:val="clear" w:color="auto" w:fill="auto"/>
            <w:vAlign w:val="center"/>
          </w:tcPr>
          <w:p w14:paraId="4B67AD50">
            <w:pPr>
              <w:jc w:val="center"/>
              <w:rPr>
                <w:rFonts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szCs w:val="21"/>
              </w:rPr>
              <w:t>85dB(A)，1m</w:t>
            </w:r>
          </w:p>
        </w:tc>
        <w:tc>
          <w:tcPr>
            <w:tcW w:w="1325" w:type="dxa"/>
            <w:vMerge w:val="continue"/>
            <w:shd w:val="clear" w:color="auto" w:fill="auto"/>
            <w:vAlign w:val="center"/>
          </w:tcPr>
          <w:p w14:paraId="7908B5F9">
            <w:pPr>
              <w:jc w:val="center"/>
              <w:rPr>
                <w:rFonts w:ascii="Times New Roman" w:hAnsi="Times New Roman" w:eastAsia="宋体" w:cs="Times New Roman"/>
                <w:color w:val="auto"/>
                <w:kern w:val="2"/>
                <w:sz w:val="21"/>
                <w:szCs w:val="21"/>
                <w:lang w:val="en-US" w:eastAsia="zh-CN" w:bidi="ar-SA"/>
              </w:rPr>
            </w:pPr>
          </w:p>
        </w:tc>
        <w:tc>
          <w:tcPr>
            <w:tcW w:w="813" w:type="dxa"/>
            <w:shd w:val="clear" w:color="auto" w:fill="auto"/>
            <w:vAlign w:val="center"/>
          </w:tcPr>
          <w:p w14:paraId="33E81604">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132.54</w:t>
            </w:r>
          </w:p>
        </w:tc>
        <w:tc>
          <w:tcPr>
            <w:tcW w:w="898" w:type="dxa"/>
            <w:shd w:val="clear" w:color="auto" w:fill="auto"/>
            <w:vAlign w:val="center"/>
          </w:tcPr>
          <w:p w14:paraId="0BF18123">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244.74</w:t>
            </w:r>
          </w:p>
        </w:tc>
        <w:tc>
          <w:tcPr>
            <w:tcW w:w="725" w:type="dxa"/>
            <w:shd w:val="clear" w:color="auto" w:fill="auto"/>
            <w:vAlign w:val="center"/>
          </w:tcPr>
          <w:p w14:paraId="08E62FF7">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37</w:t>
            </w:r>
          </w:p>
        </w:tc>
        <w:tc>
          <w:tcPr>
            <w:tcW w:w="968" w:type="dxa"/>
            <w:shd w:val="clear" w:color="auto" w:fill="auto"/>
            <w:vAlign w:val="center"/>
          </w:tcPr>
          <w:p w14:paraId="14530156">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83</w:t>
            </w:r>
          </w:p>
        </w:tc>
        <w:tc>
          <w:tcPr>
            <w:tcW w:w="846" w:type="dxa"/>
            <w:shd w:val="clear" w:color="auto" w:fill="auto"/>
            <w:vAlign w:val="center"/>
          </w:tcPr>
          <w:p w14:paraId="38D2EBDF">
            <w:pPr>
              <w:jc w:val="center"/>
              <w:rPr>
                <w:rFonts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szCs w:val="21"/>
              </w:rPr>
              <w:t>0~24h</w:t>
            </w:r>
          </w:p>
        </w:tc>
        <w:tc>
          <w:tcPr>
            <w:tcW w:w="1363" w:type="dxa"/>
            <w:shd w:val="clear" w:color="auto" w:fill="auto"/>
            <w:vAlign w:val="center"/>
          </w:tcPr>
          <w:p w14:paraId="6D8BDB75">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rPr>
              <w:t>15</w:t>
            </w:r>
          </w:p>
        </w:tc>
        <w:tc>
          <w:tcPr>
            <w:tcW w:w="873" w:type="dxa"/>
            <w:shd w:val="clear" w:color="auto" w:fill="auto"/>
            <w:vAlign w:val="center"/>
          </w:tcPr>
          <w:p w14:paraId="1035F7A5">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68</w:t>
            </w:r>
          </w:p>
        </w:tc>
        <w:tc>
          <w:tcPr>
            <w:tcW w:w="1059" w:type="dxa"/>
            <w:shd w:val="clear" w:color="auto" w:fill="auto"/>
            <w:vAlign w:val="center"/>
          </w:tcPr>
          <w:p w14:paraId="2EF63C8B">
            <w:pPr>
              <w:jc w:val="center"/>
              <w:rPr>
                <w:rFonts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szCs w:val="21"/>
              </w:rPr>
              <w:t>1</w:t>
            </w:r>
          </w:p>
        </w:tc>
      </w:tr>
      <w:tr w14:paraId="13786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exact"/>
          <w:jc w:val="center"/>
        </w:trPr>
        <w:tc>
          <w:tcPr>
            <w:tcW w:w="660" w:type="dxa"/>
            <w:vAlign w:val="center"/>
          </w:tcPr>
          <w:p w14:paraId="3172D275">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23</w:t>
            </w:r>
          </w:p>
        </w:tc>
        <w:tc>
          <w:tcPr>
            <w:tcW w:w="1026" w:type="dxa"/>
            <w:vMerge w:val="continue"/>
            <w:vAlign w:val="center"/>
          </w:tcPr>
          <w:p w14:paraId="1D009FE8">
            <w:pPr>
              <w:jc w:val="center"/>
              <w:rPr>
                <w:rFonts w:ascii="Times New Roman" w:hAnsi="Times New Roman" w:eastAsia="宋体" w:cs="Times New Roman"/>
                <w:color w:val="auto"/>
                <w:szCs w:val="21"/>
              </w:rPr>
            </w:pPr>
          </w:p>
        </w:tc>
        <w:tc>
          <w:tcPr>
            <w:tcW w:w="1740" w:type="dxa"/>
            <w:shd w:val="clear" w:color="auto" w:fill="auto"/>
            <w:vAlign w:val="center"/>
          </w:tcPr>
          <w:p w14:paraId="3C03531C">
            <w:pPr>
              <w:jc w:val="center"/>
              <w:rPr>
                <w:rFonts w:hint="eastAsia" w:ascii="Times New Roman" w:hAnsi="Times New Roman" w:eastAsia="宋体" w:cs="Times New Roman"/>
                <w:color w:val="auto"/>
                <w:kern w:val="2"/>
                <w:sz w:val="22"/>
                <w:szCs w:val="22"/>
                <w:lang w:val="en-US" w:eastAsia="zh-CN" w:bidi="ar-SA"/>
              </w:rPr>
            </w:pPr>
            <w:r>
              <w:rPr>
                <w:rFonts w:hint="eastAsia" w:ascii="Times New Roman" w:hAnsi="Times New Roman" w:eastAsia="宋体" w:cs="Times New Roman"/>
                <w:color w:val="auto"/>
                <w:sz w:val="22"/>
              </w:rPr>
              <w:t>板框压滤机</w:t>
            </w:r>
            <w:r>
              <w:rPr>
                <w:rFonts w:hint="eastAsia" w:ascii="Times New Roman" w:hAnsi="Times New Roman" w:eastAsia="宋体" w:cs="Times New Roman"/>
                <w:color w:val="auto"/>
                <w:sz w:val="22"/>
                <w:lang w:val="en-US" w:eastAsia="zh-CN"/>
              </w:rPr>
              <w:t>4</w:t>
            </w:r>
          </w:p>
        </w:tc>
        <w:tc>
          <w:tcPr>
            <w:tcW w:w="1709" w:type="dxa"/>
            <w:vAlign w:val="center"/>
          </w:tcPr>
          <w:p w14:paraId="66982C1E">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85dB(A)，1m</w:t>
            </w:r>
          </w:p>
        </w:tc>
        <w:tc>
          <w:tcPr>
            <w:tcW w:w="1325" w:type="dxa"/>
            <w:vMerge w:val="continue"/>
            <w:vAlign w:val="center"/>
          </w:tcPr>
          <w:p w14:paraId="76E157A8">
            <w:pPr>
              <w:jc w:val="center"/>
              <w:rPr>
                <w:rFonts w:ascii="Times New Roman" w:hAnsi="Times New Roman" w:eastAsia="宋体" w:cs="Times New Roman"/>
                <w:color w:val="auto"/>
                <w:szCs w:val="21"/>
              </w:rPr>
            </w:pPr>
          </w:p>
        </w:tc>
        <w:tc>
          <w:tcPr>
            <w:tcW w:w="813" w:type="dxa"/>
            <w:vAlign w:val="center"/>
          </w:tcPr>
          <w:p w14:paraId="3DECC34A">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134.87</w:t>
            </w:r>
          </w:p>
        </w:tc>
        <w:tc>
          <w:tcPr>
            <w:tcW w:w="898" w:type="dxa"/>
            <w:vAlign w:val="center"/>
          </w:tcPr>
          <w:p w14:paraId="3F0CC014">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240.06</w:t>
            </w:r>
          </w:p>
        </w:tc>
        <w:tc>
          <w:tcPr>
            <w:tcW w:w="725" w:type="dxa"/>
            <w:shd w:val="clear" w:color="auto" w:fill="auto"/>
            <w:vAlign w:val="center"/>
          </w:tcPr>
          <w:p w14:paraId="6731A311">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37</w:t>
            </w:r>
          </w:p>
        </w:tc>
        <w:tc>
          <w:tcPr>
            <w:tcW w:w="968" w:type="dxa"/>
            <w:vAlign w:val="center"/>
          </w:tcPr>
          <w:p w14:paraId="7649C147">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83</w:t>
            </w:r>
          </w:p>
        </w:tc>
        <w:tc>
          <w:tcPr>
            <w:tcW w:w="846" w:type="dxa"/>
            <w:vAlign w:val="center"/>
          </w:tcPr>
          <w:p w14:paraId="0688B589">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0~24h</w:t>
            </w:r>
          </w:p>
        </w:tc>
        <w:tc>
          <w:tcPr>
            <w:tcW w:w="1363" w:type="dxa"/>
            <w:vAlign w:val="center"/>
          </w:tcPr>
          <w:p w14:paraId="45A8FC3F">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15</w:t>
            </w:r>
          </w:p>
        </w:tc>
        <w:tc>
          <w:tcPr>
            <w:tcW w:w="873" w:type="dxa"/>
            <w:vAlign w:val="center"/>
          </w:tcPr>
          <w:p w14:paraId="7EE1CE8E">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68</w:t>
            </w:r>
          </w:p>
        </w:tc>
        <w:tc>
          <w:tcPr>
            <w:tcW w:w="1059" w:type="dxa"/>
            <w:vAlign w:val="center"/>
          </w:tcPr>
          <w:p w14:paraId="37BE1D57">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1</w:t>
            </w:r>
          </w:p>
        </w:tc>
      </w:tr>
      <w:tr w14:paraId="5247E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exact"/>
          <w:jc w:val="center"/>
        </w:trPr>
        <w:tc>
          <w:tcPr>
            <w:tcW w:w="660" w:type="dxa"/>
            <w:vAlign w:val="center"/>
          </w:tcPr>
          <w:p w14:paraId="0C2A7701">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24</w:t>
            </w:r>
          </w:p>
        </w:tc>
        <w:tc>
          <w:tcPr>
            <w:tcW w:w="1026" w:type="dxa"/>
            <w:vMerge w:val="restart"/>
            <w:vAlign w:val="center"/>
          </w:tcPr>
          <w:p w14:paraId="54242938">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提取3车间</w:t>
            </w:r>
          </w:p>
        </w:tc>
        <w:tc>
          <w:tcPr>
            <w:tcW w:w="1740" w:type="dxa"/>
            <w:shd w:val="clear" w:color="auto" w:fill="auto"/>
            <w:vAlign w:val="center"/>
          </w:tcPr>
          <w:p w14:paraId="0A4E2A9B">
            <w:pPr>
              <w:jc w:val="center"/>
              <w:rPr>
                <w:rFonts w:hint="eastAsia" w:ascii="Times New Roman" w:hAnsi="Times New Roman" w:eastAsia="宋体" w:cs="Times New Roman"/>
                <w:color w:val="auto"/>
                <w:kern w:val="2"/>
                <w:sz w:val="22"/>
                <w:szCs w:val="22"/>
                <w:lang w:val="en-US" w:eastAsia="zh-CN" w:bidi="ar-SA"/>
              </w:rPr>
            </w:pPr>
            <w:r>
              <w:rPr>
                <w:rFonts w:hint="eastAsia" w:ascii="Times New Roman" w:hAnsi="Times New Roman" w:eastAsia="宋体" w:cs="Times New Roman"/>
                <w:color w:val="auto"/>
                <w:sz w:val="22"/>
              </w:rPr>
              <w:t>板框压滤机</w:t>
            </w:r>
            <w:r>
              <w:rPr>
                <w:rFonts w:hint="eastAsia" w:ascii="Times New Roman" w:hAnsi="Times New Roman" w:eastAsia="宋体" w:cs="Times New Roman"/>
                <w:color w:val="auto"/>
                <w:sz w:val="22"/>
                <w:lang w:val="en-US" w:eastAsia="zh-CN"/>
              </w:rPr>
              <w:t>1</w:t>
            </w:r>
          </w:p>
        </w:tc>
        <w:tc>
          <w:tcPr>
            <w:tcW w:w="1709" w:type="dxa"/>
            <w:vAlign w:val="center"/>
          </w:tcPr>
          <w:p w14:paraId="73C526F1">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85dB(A)，1m</w:t>
            </w:r>
          </w:p>
        </w:tc>
        <w:tc>
          <w:tcPr>
            <w:tcW w:w="1325" w:type="dxa"/>
            <w:vMerge w:val="continue"/>
            <w:vAlign w:val="center"/>
          </w:tcPr>
          <w:p w14:paraId="6D73D2F3">
            <w:pPr>
              <w:jc w:val="center"/>
              <w:rPr>
                <w:rFonts w:ascii="Times New Roman" w:hAnsi="Times New Roman" w:eastAsia="宋体" w:cs="Times New Roman"/>
                <w:color w:val="auto"/>
                <w:szCs w:val="21"/>
              </w:rPr>
            </w:pPr>
          </w:p>
        </w:tc>
        <w:tc>
          <w:tcPr>
            <w:tcW w:w="813" w:type="dxa"/>
            <w:shd w:val="clear" w:color="auto" w:fill="auto"/>
            <w:vAlign w:val="center"/>
          </w:tcPr>
          <w:p w14:paraId="0F70A798">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116.69</w:t>
            </w:r>
          </w:p>
        </w:tc>
        <w:tc>
          <w:tcPr>
            <w:tcW w:w="898" w:type="dxa"/>
            <w:shd w:val="clear" w:color="auto" w:fill="auto"/>
            <w:vAlign w:val="center"/>
          </w:tcPr>
          <w:p w14:paraId="6FDA3AAC">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183.43</w:t>
            </w:r>
          </w:p>
        </w:tc>
        <w:tc>
          <w:tcPr>
            <w:tcW w:w="725" w:type="dxa"/>
            <w:shd w:val="clear" w:color="auto" w:fill="auto"/>
            <w:vAlign w:val="center"/>
          </w:tcPr>
          <w:p w14:paraId="2209CB20">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37</w:t>
            </w:r>
          </w:p>
        </w:tc>
        <w:tc>
          <w:tcPr>
            <w:tcW w:w="968" w:type="dxa"/>
            <w:vAlign w:val="center"/>
          </w:tcPr>
          <w:p w14:paraId="6CC2612A">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83</w:t>
            </w:r>
          </w:p>
        </w:tc>
        <w:tc>
          <w:tcPr>
            <w:tcW w:w="846" w:type="dxa"/>
            <w:vAlign w:val="center"/>
          </w:tcPr>
          <w:p w14:paraId="78168097">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0~24h</w:t>
            </w:r>
          </w:p>
        </w:tc>
        <w:tc>
          <w:tcPr>
            <w:tcW w:w="1363" w:type="dxa"/>
            <w:vAlign w:val="center"/>
          </w:tcPr>
          <w:p w14:paraId="12501645">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15</w:t>
            </w:r>
          </w:p>
        </w:tc>
        <w:tc>
          <w:tcPr>
            <w:tcW w:w="873" w:type="dxa"/>
            <w:vAlign w:val="center"/>
          </w:tcPr>
          <w:p w14:paraId="257320D2">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68</w:t>
            </w:r>
          </w:p>
        </w:tc>
        <w:tc>
          <w:tcPr>
            <w:tcW w:w="1059" w:type="dxa"/>
            <w:vAlign w:val="center"/>
          </w:tcPr>
          <w:p w14:paraId="4CBEE444">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1</w:t>
            </w:r>
          </w:p>
        </w:tc>
      </w:tr>
      <w:tr w14:paraId="674ED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exact"/>
          <w:jc w:val="center"/>
        </w:trPr>
        <w:tc>
          <w:tcPr>
            <w:tcW w:w="660" w:type="dxa"/>
            <w:vAlign w:val="center"/>
          </w:tcPr>
          <w:p w14:paraId="3F9369AC">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25</w:t>
            </w:r>
          </w:p>
        </w:tc>
        <w:tc>
          <w:tcPr>
            <w:tcW w:w="1026" w:type="dxa"/>
            <w:vMerge w:val="continue"/>
            <w:vAlign w:val="center"/>
          </w:tcPr>
          <w:p w14:paraId="75995C6D">
            <w:pPr>
              <w:jc w:val="center"/>
              <w:rPr>
                <w:rFonts w:hint="eastAsia" w:ascii="Times New Roman" w:hAnsi="Times New Roman" w:eastAsia="宋体" w:cs="Times New Roman"/>
                <w:color w:val="auto"/>
                <w:szCs w:val="21"/>
                <w:lang w:val="en-US" w:eastAsia="zh-CN"/>
              </w:rPr>
            </w:pPr>
          </w:p>
        </w:tc>
        <w:tc>
          <w:tcPr>
            <w:tcW w:w="1740" w:type="dxa"/>
            <w:shd w:val="clear" w:color="auto" w:fill="auto"/>
            <w:vAlign w:val="center"/>
          </w:tcPr>
          <w:p w14:paraId="5C60D91E">
            <w:pPr>
              <w:jc w:val="center"/>
              <w:rPr>
                <w:rFonts w:hint="eastAsia" w:ascii="Times New Roman" w:hAnsi="Times New Roman" w:eastAsia="宋体" w:cs="Times New Roman"/>
                <w:color w:val="auto"/>
                <w:kern w:val="2"/>
                <w:sz w:val="22"/>
                <w:szCs w:val="22"/>
                <w:lang w:val="en-US" w:eastAsia="zh-CN" w:bidi="ar-SA"/>
              </w:rPr>
            </w:pPr>
            <w:r>
              <w:rPr>
                <w:rFonts w:hint="eastAsia" w:ascii="Times New Roman" w:hAnsi="Times New Roman" w:eastAsia="宋体" w:cs="Times New Roman"/>
                <w:color w:val="auto"/>
                <w:sz w:val="22"/>
              </w:rPr>
              <w:t>板框压滤机</w:t>
            </w:r>
            <w:r>
              <w:rPr>
                <w:rFonts w:hint="eastAsia" w:ascii="Times New Roman" w:hAnsi="Times New Roman" w:eastAsia="宋体" w:cs="Times New Roman"/>
                <w:color w:val="auto"/>
                <w:sz w:val="22"/>
                <w:lang w:val="en-US" w:eastAsia="zh-CN"/>
              </w:rPr>
              <w:t>2</w:t>
            </w:r>
          </w:p>
        </w:tc>
        <w:tc>
          <w:tcPr>
            <w:tcW w:w="1709" w:type="dxa"/>
            <w:shd w:val="clear" w:color="auto" w:fill="auto"/>
            <w:vAlign w:val="center"/>
          </w:tcPr>
          <w:p w14:paraId="7882FCC9">
            <w:pPr>
              <w:jc w:val="center"/>
              <w:rPr>
                <w:rFonts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szCs w:val="21"/>
              </w:rPr>
              <w:t>85dB(A)，1m</w:t>
            </w:r>
          </w:p>
        </w:tc>
        <w:tc>
          <w:tcPr>
            <w:tcW w:w="1325" w:type="dxa"/>
            <w:vMerge w:val="continue"/>
            <w:shd w:val="clear" w:color="auto" w:fill="auto"/>
            <w:vAlign w:val="center"/>
          </w:tcPr>
          <w:p w14:paraId="230E2AEB">
            <w:pPr>
              <w:jc w:val="center"/>
              <w:rPr>
                <w:rFonts w:ascii="Times New Roman" w:hAnsi="Times New Roman" w:eastAsia="宋体" w:cs="Times New Roman"/>
                <w:color w:val="auto"/>
                <w:kern w:val="2"/>
                <w:sz w:val="21"/>
                <w:szCs w:val="21"/>
                <w:lang w:val="en-US" w:eastAsia="zh-CN" w:bidi="ar-SA"/>
              </w:rPr>
            </w:pPr>
          </w:p>
        </w:tc>
        <w:tc>
          <w:tcPr>
            <w:tcW w:w="813" w:type="dxa"/>
            <w:shd w:val="clear" w:color="auto" w:fill="auto"/>
            <w:vAlign w:val="center"/>
          </w:tcPr>
          <w:p w14:paraId="2D29AF0E">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121.88</w:t>
            </w:r>
          </w:p>
        </w:tc>
        <w:tc>
          <w:tcPr>
            <w:tcW w:w="898" w:type="dxa"/>
            <w:shd w:val="clear" w:color="auto" w:fill="auto"/>
            <w:vAlign w:val="center"/>
          </w:tcPr>
          <w:p w14:paraId="6066169D">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186.03</w:t>
            </w:r>
          </w:p>
        </w:tc>
        <w:tc>
          <w:tcPr>
            <w:tcW w:w="725" w:type="dxa"/>
            <w:shd w:val="clear" w:color="auto" w:fill="auto"/>
            <w:vAlign w:val="center"/>
          </w:tcPr>
          <w:p w14:paraId="2ED0B12F">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37</w:t>
            </w:r>
          </w:p>
        </w:tc>
        <w:tc>
          <w:tcPr>
            <w:tcW w:w="968" w:type="dxa"/>
            <w:shd w:val="clear" w:color="auto" w:fill="auto"/>
            <w:vAlign w:val="center"/>
          </w:tcPr>
          <w:p w14:paraId="219412BC">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83</w:t>
            </w:r>
          </w:p>
        </w:tc>
        <w:tc>
          <w:tcPr>
            <w:tcW w:w="846" w:type="dxa"/>
            <w:shd w:val="clear" w:color="auto" w:fill="auto"/>
            <w:vAlign w:val="center"/>
          </w:tcPr>
          <w:p w14:paraId="4DD9B25E">
            <w:pPr>
              <w:jc w:val="center"/>
              <w:rPr>
                <w:rFonts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szCs w:val="21"/>
              </w:rPr>
              <w:t>0~24h</w:t>
            </w:r>
          </w:p>
        </w:tc>
        <w:tc>
          <w:tcPr>
            <w:tcW w:w="1363" w:type="dxa"/>
            <w:shd w:val="clear" w:color="auto" w:fill="auto"/>
            <w:vAlign w:val="center"/>
          </w:tcPr>
          <w:p w14:paraId="7854155B">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rPr>
              <w:t>15</w:t>
            </w:r>
          </w:p>
        </w:tc>
        <w:tc>
          <w:tcPr>
            <w:tcW w:w="873" w:type="dxa"/>
            <w:shd w:val="clear" w:color="auto" w:fill="auto"/>
            <w:vAlign w:val="center"/>
          </w:tcPr>
          <w:p w14:paraId="3A9CF424">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68</w:t>
            </w:r>
          </w:p>
        </w:tc>
        <w:tc>
          <w:tcPr>
            <w:tcW w:w="1059" w:type="dxa"/>
            <w:shd w:val="clear" w:color="auto" w:fill="auto"/>
            <w:vAlign w:val="center"/>
          </w:tcPr>
          <w:p w14:paraId="05C5432C">
            <w:pPr>
              <w:jc w:val="center"/>
              <w:rPr>
                <w:rFonts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szCs w:val="21"/>
              </w:rPr>
              <w:t>1</w:t>
            </w:r>
          </w:p>
        </w:tc>
      </w:tr>
      <w:tr w14:paraId="6F29F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exact"/>
          <w:jc w:val="center"/>
        </w:trPr>
        <w:tc>
          <w:tcPr>
            <w:tcW w:w="660" w:type="dxa"/>
            <w:vAlign w:val="center"/>
          </w:tcPr>
          <w:p w14:paraId="2B3F8003">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26</w:t>
            </w:r>
          </w:p>
        </w:tc>
        <w:tc>
          <w:tcPr>
            <w:tcW w:w="1026" w:type="dxa"/>
            <w:vMerge w:val="continue"/>
            <w:vAlign w:val="center"/>
          </w:tcPr>
          <w:p w14:paraId="3E1EC8BC">
            <w:pPr>
              <w:jc w:val="center"/>
              <w:rPr>
                <w:rFonts w:ascii="Times New Roman" w:hAnsi="Times New Roman" w:eastAsia="宋体" w:cs="Times New Roman"/>
                <w:color w:val="auto"/>
                <w:szCs w:val="21"/>
              </w:rPr>
            </w:pPr>
          </w:p>
        </w:tc>
        <w:tc>
          <w:tcPr>
            <w:tcW w:w="1740" w:type="dxa"/>
            <w:shd w:val="clear" w:color="auto" w:fill="auto"/>
            <w:vAlign w:val="center"/>
          </w:tcPr>
          <w:p w14:paraId="3E079F60">
            <w:pPr>
              <w:jc w:val="center"/>
              <w:rPr>
                <w:rFonts w:hint="eastAsia" w:ascii="Times New Roman" w:hAnsi="Times New Roman" w:eastAsia="宋体" w:cs="Times New Roman"/>
                <w:color w:val="auto"/>
                <w:kern w:val="2"/>
                <w:sz w:val="22"/>
                <w:szCs w:val="22"/>
                <w:lang w:val="en-US" w:eastAsia="zh-CN" w:bidi="ar-SA"/>
              </w:rPr>
            </w:pPr>
            <w:r>
              <w:rPr>
                <w:rFonts w:hint="eastAsia" w:ascii="Times New Roman" w:hAnsi="Times New Roman" w:eastAsia="宋体" w:cs="Times New Roman"/>
                <w:color w:val="auto"/>
                <w:sz w:val="22"/>
              </w:rPr>
              <w:t>多效浓缩器</w:t>
            </w:r>
            <w:r>
              <w:rPr>
                <w:rFonts w:hint="eastAsia" w:ascii="Times New Roman" w:hAnsi="Times New Roman" w:eastAsia="宋体" w:cs="Times New Roman"/>
                <w:color w:val="auto"/>
                <w:sz w:val="22"/>
                <w:lang w:val="en-US" w:eastAsia="zh-CN"/>
              </w:rPr>
              <w:t>1</w:t>
            </w:r>
          </w:p>
        </w:tc>
        <w:tc>
          <w:tcPr>
            <w:tcW w:w="1709" w:type="dxa"/>
            <w:vAlign w:val="center"/>
          </w:tcPr>
          <w:p w14:paraId="4579FFDD">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70</w:t>
            </w:r>
            <w:r>
              <w:rPr>
                <w:rFonts w:ascii="Times New Roman" w:hAnsi="Times New Roman" w:eastAsia="宋体" w:cs="Times New Roman"/>
                <w:color w:val="auto"/>
                <w:szCs w:val="21"/>
              </w:rPr>
              <w:t>dB(A)，1m</w:t>
            </w:r>
          </w:p>
        </w:tc>
        <w:tc>
          <w:tcPr>
            <w:tcW w:w="1325" w:type="dxa"/>
            <w:vMerge w:val="continue"/>
            <w:vAlign w:val="center"/>
          </w:tcPr>
          <w:p w14:paraId="7459A0E4">
            <w:pPr>
              <w:jc w:val="center"/>
              <w:rPr>
                <w:rFonts w:ascii="Times New Roman" w:hAnsi="Times New Roman" w:eastAsia="宋体" w:cs="Times New Roman"/>
                <w:color w:val="auto"/>
                <w:szCs w:val="21"/>
              </w:rPr>
            </w:pPr>
          </w:p>
        </w:tc>
        <w:tc>
          <w:tcPr>
            <w:tcW w:w="813" w:type="dxa"/>
            <w:shd w:val="clear" w:color="auto" w:fill="auto"/>
            <w:vAlign w:val="center"/>
          </w:tcPr>
          <w:p w14:paraId="2D7E4257">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128.12</w:t>
            </w:r>
          </w:p>
        </w:tc>
        <w:tc>
          <w:tcPr>
            <w:tcW w:w="898" w:type="dxa"/>
            <w:shd w:val="clear" w:color="auto" w:fill="auto"/>
            <w:vAlign w:val="center"/>
          </w:tcPr>
          <w:p w14:paraId="5FC3D2A7">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189.15</w:t>
            </w:r>
          </w:p>
        </w:tc>
        <w:tc>
          <w:tcPr>
            <w:tcW w:w="725" w:type="dxa"/>
            <w:shd w:val="clear" w:color="auto" w:fill="auto"/>
            <w:vAlign w:val="center"/>
          </w:tcPr>
          <w:p w14:paraId="767542B5">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37</w:t>
            </w:r>
          </w:p>
        </w:tc>
        <w:tc>
          <w:tcPr>
            <w:tcW w:w="968" w:type="dxa"/>
            <w:vAlign w:val="center"/>
          </w:tcPr>
          <w:p w14:paraId="0B8D0521">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68</w:t>
            </w:r>
          </w:p>
        </w:tc>
        <w:tc>
          <w:tcPr>
            <w:tcW w:w="846" w:type="dxa"/>
            <w:vAlign w:val="center"/>
          </w:tcPr>
          <w:p w14:paraId="3C0A81B4">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0~24h</w:t>
            </w:r>
          </w:p>
        </w:tc>
        <w:tc>
          <w:tcPr>
            <w:tcW w:w="1363" w:type="dxa"/>
            <w:vAlign w:val="center"/>
          </w:tcPr>
          <w:p w14:paraId="7A1EB180">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15</w:t>
            </w:r>
          </w:p>
        </w:tc>
        <w:tc>
          <w:tcPr>
            <w:tcW w:w="873" w:type="dxa"/>
            <w:vAlign w:val="center"/>
          </w:tcPr>
          <w:p w14:paraId="068C76E9">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53</w:t>
            </w:r>
          </w:p>
        </w:tc>
        <w:tc>
          <w:tcPr>
            <w:tcW w:w="1059" w:type="dxa"/>
            <w:vAlign w:val="center"/>
          </w:tcPr>
          <w:p w14:paraId="55BA826A">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1</w:t>
            </w:r>
          </w:p>
        </w:tc>
      </w:tr>
      <w:tr w14:paraId="5D3E4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exact"/>
          <w:jc w:val="center"/>
        </w:trPr>
        <w:tc>
          <w:tcPr>
            <w:tcW w:w="660" w:type="dxa"/>
            <w:vAlign w:val="center"/>
          </w:tcPr>
          <w:p w14:paraId="779EC8A0">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27</w:t>
            </w:r>
          </w:p>
        </w:tc>
        <w:tc>
          <w:tcPr>
            <w:tcW w:w="1026" w:type="dxa"/>
            <w:vMerge w:val="continue"/>
            <w:vAlign w:val="center"/>
          </w:tcPr>
          <w:p w14:paraId="15E65BBE">
            <w:pPr>
              <w:jc w:val="center"/>
              <w:rPr>
                <w:rFonts w:ascii="Times New Roman" w:hAnsi="Times New Roman" w:eastAsia="宋体" w:cs="Times New Roman"/>
                <w:color w:val="auto"/>
                <w:szCs w:val="21"/>
              </w:rPr>
            </w:pPr>
          </w:p>
        </w:tc>
        <w:tc>
          <w:tcPr>
            <w:tcW w:w="1740" w:type="dxa"/>
            <w:shd w:val="clear" w:color="auto" w:fill="auto"/>
            <w:vAlign w:val="center"/>
          </w:tcPr>
          <w:p w14:paraId="36E522BF">
            <w:pPr>
              <w:jc w:val="center"/>
              <w:rPr>
                <w:rFonts w:hint="eastAsia" w:ascii="Times New Roman" w:hAnsi="Times New Roman" w:eastAsia="宋体" w:cs="Times New Roman"/>
                <w:color w:val="auto"/>
                <w:kern w:val="2"/>
                <w:sz w:val="22"/>
                <w:szCs w:val="22"/>
                <w:lang w:val="en-US" w:eastAsia="zh-CN" w:bidi="ar-SA"/>
              </w:rPr>
            </w:pPr>
            <w:r>
              <w:rPr>
                <w:rFonts w:hint="eastAsia" w:ascii="Times New Roman" w:hAnsi="Times New Roman" w:eastAsia="宋体" w:cs="Times New Roman"/>
                <w:color w:val="auto"/>
                <w:sz w:val="22"/>
              </w:rPr>
              <w:t>多效浓缩器</w:t>
            </w:r>
            <w:r>
              <w:rPr>
                <w:rFonts w:hint="eastAsia" w:ascii="Times New Roman" w:hAnsi="Times New Roman" w:eastAsia="宋体" w:cs="Times New Roman"/>
                <w:color w:val="auto"/>
                <w:sz w:val="22"/>
                <w:lang w:val="en-US" w:eastAsia="zh-CN"/>
              </w:rPr>
              <w:t>2</w:t>
            </w:r>
          </w:p>
        </w:tc>
        <w:tc>
          <w:tcPr>
            <w:tcW w:w="1709" w:type="dxa"/>
            <w:shd w:val="clear" w:color="auto" w:fill="auto"/>
            <w:vAlign w:val="center"/>
          </w:tcPr>
          <w:p w14:paraId="0BA84EAC">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70</w:t>
            </w:r>
            <w:r>
              <w:rPr>
                <w:rFonts w:ascii="Times New Roman" w:hAnsi="Times New Roman" w:eastAsia="宋体" w:cs="Times New Roman"/>
                <w:color w:val="auto"/>
                <w:szCs w:val="21"/>
              </w:rPr>
              <w:t>dB(A)，1m</w:t>
            </w:r>
          </w:p>
        </w:tc>
        <w:tc>
          <w:tcPr>
            <w:tcW w:w="1325" w:type="dxa"/>
            <w:vMerge w:val="continue"/>
            <w:shd w:val="clear" w:color="auto" w:fill="auto"/>
            <w:vAlign w:val="center"/>
          </w:tcPr>
          <w:p w14:paraId="6D75B376">
            <w:pPr>
              <w:jc w:val="center"/>
              <w:rPr>
                <w:rFonts w:ascii="Times New Roman" w:hAnsi="Times New Roman" w:eastAsia="宋体" w:cs="Times New Roman"/>
                <w:color w:val="auto"/>
                <w:kern w:val="2"/>
                <w:sz w:val="21"/>
                <w:szCs w:val="21"/>
                <w:lang w:val="en-US" w:eastAsia="zh-CN" w:bidi="ar-SA"/>
              </w:rPr>
            </w:pPr>
          </w:p>
        </w:tc>
        <w:tc>
          <w:tcPr>
            <w:tcW w:w="813" w:type="dxa"/>
            <w:shd w:val="clear" w:color="auto" w:fill="auto"/>
            <w:vAlign w:val="center"/>
          </w:tcPr>
          <w:p w14:paraId="3C511095">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133.06</w:t>
            </w:r>
          </w:p>
        </w:tc>
        <w:tc>
          <w:tcPr>
            <w:tcW w:w="898" w:type="dxa"/>
            <w:shd w:val="clear" w:color="auto" w:fill="auto"/>
            <w:vAlign w:val="center"/>
          </w:tcPr>
          <w:p w14:paraId="130F2FD2">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190.19</w:t>
            </w:r>
          </w:p>
        </w:tc>
        <w:tc>
          <w:tcPr>
            <w:tcW w:w="725" w:type="dxa"/>
            <w:shd w:val="clear" w:color="auto" w:fill="auto"/>
            <w:vAlign w:val="center"/>
          </w:tcPr>
          <w:p w14:paraId="7F6F98E2">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37</w:t>
            </w:r>
          </w:p>
        </w:tc>
        <w:tc>
          <w:tcPr>
            <w:tcW w:w="968" w:type="dxa"/>
            <w:shd w:val="clear" w:color="auto" w:fill="auto"/>
            <w:vAlign w:val="center"/>
          </w:tcPr>
          <w:p w14:paraId="242F952C">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68</w:t>
            </w:r>
          </w:p>
        </w:tc>
        <w:tc>
          <w:tcPr>
            <w:tcW w:w="846" w:type="dxa"/>
            <w:shd w:val="clear" w:color="auto" w:fill="auto"/>
            <w:vAlign w:val="center"/>
          </w:tcPr>
          <w:p w14:paraId="5E4AB055">
            <w:pPr>
              <w:jc w:val="center"/>
              <w:rPr>
                <w:rFonts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szCs w:val="21"/>
              </w:rPr>
              <w:t>0~24h</w:t>
            </w:r>
          </w:p>
        </w:tc>
        <w:tc>
          <w:tcPr>
            <w:tcW w:w="1363" w:type="dxa"/>
            <w:shd w:val="clear" w:color="auto" w:fill="auto"/>
            <w:vAlign w:val="center"/>
          </w:tcPr>
          <w:p w14:paraId="6C0B0713">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rPr>
              <w:t>15</w:t>
            </w:r>
          </w:p>
        </w:tc>
        <w:tc>
          <w:tcPr>
            <w:tcW w:w="873" w:type="dxa"/>
            <w:shd w:val="clear" w:color="auto" w:fill="auto"/>
            <w:vAlign w:val="center"/>
          </w:tcPr>
          <w:p w14:paraId="0C2416E2">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53</w:t>
            </w:r>
          </w:p>
        </w:tc>
        <w:tc>
          <w:tcPr>
            <w:tcW w:w="1059" w:type="dxa"/>
            <w:shd w:val="clear" w:color="auto" w:fill="auto"/>
            <w:vAlign w:val="center"/>
          </w:tcPr>
          <w:p w14:paraId="0D29B898">
            <w:pPr>
              <w:jc w:val="center"/>
              <w:rPr>
                <w:rFonts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szCs w:val="21"/>
              </w:rPr>
              <w:t>1</w:t>
            </w:r>
          </w:p>
        </w:tc>
      </w:tr>
      <w:tr w14:paraId="7FD8B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exact"/>
          <w:jc w:val="center"/>
        </w:trPr>
        <w:tc>
          <w:tcPr>
            <w:tcW w:w="660" w:type="dxa"/>
            <w:vAlign w:val="center"/>
          </w:tcPr>
          <w:p w14:paraId="194D97C7">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28</w:t>
            </w:r>
          </w:p>
        </w:tc>
        <w:tc>
          <w:tcPr>
            <w:tcW w:w="1026" w:type="dxa"/>
            <w:vMerge w:val="continue"/>
            <w:vAlign w:val="center"/>
          </w:tcPr>
          <w:p w14:paraId="21BB86BB">
            <w:pPr>
              <w:jc w:val="center"/>
              <w:rPr>
                <w:rFonts w:ascii="Times New Roman" w:hAnsi="Times New Roman" w:eastAsia="宋体" w:cs="Times New Roman"/>
                <w:color w:val="auto"/>
                <w:szCs w:val="21"/>
              </w:rPr>
            </w:pPr>
          </w:p>
        </w:tc>
        <w:tc>
          <w:tcPr>
            <w:tcW w:w="1740" w:type="dxa"/>
            <w:shd w:val="clear" w:color="auto" w:fill="auto"/>
            <w:vAlign w:val="center"/>
          </w:tcPr>
          <w:p w14:paraId="3F0739B6">
            <w:pPr>
              <w:jc w:val="center"/>
              <w:rPr>
                <w:rFonts w:hint="eastAsia" w:ascii="Times New Roman" w:hAnsi="Times New Roman" w:eastAsia="宋体" w:cs="Times New Roman"/>
                <w:color w:val="auto"/>
                <w:kern w:val="2"/>
                <w:sz w:val="22"/>
                <w:szCs w:val="22"/>
                <w:lang w:val="en-US" w:eastAsia="zh-CN" w:bidi="ar-SA"/>
              </w:rPr>
            </w:pPr>
            <w:r>
              <w:rPr>
                <w:rFonts w:hint="eastAsia" w:ascii="Times New Roman" w:hAnsi="Times New Roman" w:eastAsia="宋体" w:cs="Times New Roman"/>
                <w:color w:val="auto"/>
                <w:sz w:val="22"/>
              </w:rPr>
              <w:t>多效浓缩器</w:t>
            </w:r>
            <w:r>
              <w:rPr>
                <w:rFonts w:hint="eastAsia" w:ascii="Times New Roman" w:hAnsi="Times New Roman" w:eastAsia="宋体" w:cs="Times New Roman"/>
                <w:color w:val="auto"/>
                <w:sz w:val="22"/>
                <w:lang w:val="en-US" w:eastAsia="zh-CN"/>
              </w:rPr>
              <w:t>3</w:t>
            </w:r>
          </w:p>
        </w:tc>
        <w:tc>
          <w:tcPr>
            <w:tcW w:w="1709" w:type="dxa"/>
            <w:shd w:val="clear" w:color="auto" w:fill="auto"/>
            <w:vAlign w:val="center"/>
          </w:tcPr>
          <w:p w14:paraId="589BCBB5">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70</w:t>
            </w:r>
            <w:r>
              <w:rPr>
                <w:rFonts w:ascii="Times New Roman" w:hAnsi="Times New Roman" w:eastAsia="宋体" w:cs="Times New Roman"/>
                <w:color w:val="auto"/>
                <w:szCs w:val="21"/>
              </w:rPr>
              <w:t>dB(A)，1m</w:t>
            </w:r>
          </w:p>
        </w:tc>
        <w:tc>
          <w:tcPr>
            <w:tcW w:w="1325" w:type="dxa"/>
            <w:vMerge w:val="continue"/>
            <w:shd w:val="clear" w:color="auto" w:fill="auto"/>
            <w:vAlign w:val="center"/>
          </w:tcPr>
          <w:p w14:paraId="306B345A">
            <w:pPr>
              <w:jc w:val="center"/>
              <w:rPr>
                <w:rFonts w:ascii="Times New Roman" w:hAnsi="Times New Roman" w:eastAsia="宋体" w:cs="Times New Roman"/>
                <w:color w:val="auto"/>
                <w:kern w:val="2"/>
                <w:sz w:val="21"/>
                <w:szCs w:val="21"/>
                <w:lang w:val="en-US" w:eastAsia="zh-CN" w:bidi="ar-SA"/>
              </w:rPr>
            </w:pPr>
          </w:p>
        </w:tc>
        <w:tc>
          <w:tcPr>
            <w:tcW w:w="813" w:type="dxa"/>
            <w:shd w:val="clear" w:color="auto" w:fill="auto"/>
            <w:vAlign w:val="center"/>
          </w:tcPr>
          <w:p w14:paraId="008A4E5F">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137.47</w:t>
            </w:r>
          </w:p>
        </w:tc>
        <w:tc>
          <w:tcPr>
            <w:tcW w:w="898" w:type="dxa"/>
            <w:shd w:val="clear" w:color="auto" w:fill="auto"/>
            <w:vAlign w:val="center"/>
          </w:tcPr>
          <w:p w14:paraId="6F773E27">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194.08</w:t>
            </w:r>
          </w:p>
        </w:tc>
        <w:tc>
          <w:tcPr>
            <w:tcW w:w="725" w:type="dxa"/>
            <w:shd w:val="clear" w:color="auto" w:fill="auto"/>
            <w:vAlign w:val="center"/>
          </w:tcPr>
          <w:p w14:paraId="374C2816">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37</w:t>
            </w:r>
          </w:p>
        </w:tc>
        <w:tc>
          <w:tcPr>
            <w:tcW w:w="968" w:type="dxa"/>
            <w:shd w:val="clear" w:color="auto" w:fill="auto"/>
            <w:vAlign w:val="center"/>
          </w:tcPr>
          <w:p w14:paraId="7DC6D488">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68</w:t>
            </w:r>
          </w:p>
        </w:tc>
        <w:tc>
          <w:tcPr>
            <w:tcW w:w="846" w:type="dxa"/>
            <w:shd w:val="clear" w:color="auto" w:fill="auto"/>
            <w:vAlign w:val="center"/>
          </w:tcPr>
          <w:p w14:paraId="45D60BD3">
            <w:pPr>
              <w:jc w:val="center"/>
              <w:rPr>
                <w:rFonts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szCs w:val="21"/>
              </w:rPr>
              <w:t>0~24h</w:t>
            </w:r>
          </w:p>
        </w:tc>
        <w:tc>
          <w:tcPr>
            <w:tcW w:w="1363" w:type="dxa"/>
            <w:shd w:val="clear" w:color="auto" w:fill="auto"/>
            <w:vAlign w:val="center"/>
          </w:tcPr>
          <w:p w14:paraId="4045B73F">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rPr>
              <w:t>15</w:t>
            </w:r>
          </w:p>
        </w:tc>
        <w:tc>
          <w:tcPr>
            <w:tcW w:w="873" w:type="dxa"/>
            <w:shd w:val="clear" w:color="auto" w:fill="auto"/>
            <w:vAlign w:val="center"/>
          </w:tcPr>
          <w:p w14:paraId="293ED3E7">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53</w:t>
            </w:r>
          </w:p>
        </w:tc>
        <w:tc>
          <w:tcPr>
            <w:tcW w:w="1059" w:type="dxa"/>
            <w:shd w:val="clear" w:color="auto" w:fill="auto"/>
            <w:vAlign w:val="center"/>
          </w:tcPr>
          <w:p w14:paraId="603A6C98">
            <w:pPr>
              <w:jc w:val="center"/>
              <w:rPr>
                <w:rFonts w:ascii="Times New Roman" w:hAnsi="Times New Roman" w:eastAsia="宋体" w:cs="Times New Roman"/>
                <w:color w:val="auto"/>
                <w:kern w:val="2"/>
                <w:sz w:val="21"/>
                <w:szCs w:val="21"/>
                <w:lang w:val="en-US" w:eastAsia="zh-CN" w:bidi="ar-SA"/>
              </w:rPr>
            </w:pPr>
            <w:r>
              <w:rPr>
                <w:rFonts w:ascii="Times New Roman" w:hAnsi="Times New Roman" w:eastAsia="宋体" w:cs="Times New Roman"/>
                <w:color w:val="auto"/>
                <w:szCs w:val="21"/>
              </w:rPr>
              <w:t>1</w:t>
            </w:r>
          </w:p>
        </w:tc>
      </w:tr>
    </w:tbl>
    <w:p w14:paraId="1FBAC456">
      <w:pPr>
        <w:pStyle w:val="267"/>
        <w:ind w:firstLine="480"/>
        <w:rPr>
          <w:color w:val="FF0000"/>
        </w:rPr>
      </w:pPr>
    </w:p>
    <w:p w14:paraId="7C8F597F">
      <w:pPr>
        <w:pStyle w:val="199"/>
        <w:ind w:firstLine="480"/>
        <w:rPr>
          <w:color w:val="FF0000"/>
        </w:rPr>
        <w:sectPr>
          <w:pgSz w:w="16838" w:h="11906" w:orient="landscape"/>
          <w:pgMar w:top="1800" w:right="1440" w:bottom="1800" w:left="1440" w:header="851" w:footer="992" w:gutter="0"/>
          <w:pgNumType w:fmt="numberInDash"/>
          <w:cols w:space="425" w:num="1"/>
          <w:docGrid w:type="lines" w:linePitch="312" w:charSpace="0"/>
        </w:sectPr>
      </w:pPr>
    </w:p>
    <w:p w14:paraId="1C63B31A">
      <w:pPr>
        <w:pStyle w:val="199"/>
        <w:ind w:firstLine="480"/>
        <w:rPr>
          <w:color w:val="auto"/>
        </w:rPr>
      </w:pPr>
      <w:r>
        <w:rPr>
          <w:rFonts w:hint="eastAsia"/>
          <w:color w:val="auto"/>
        </w:rPr>
        <w:t>（</w:t>
      </w:r>
      <w:r>
        <w:rPr>
          <w:color w:val="auto"/>
        </w:rPr>
        <w:t>2）基础数据</w:t>
      </w:r>
    </w:p>
    <w:p w14:paraId="37DA9DD3">
      <w:pPr>
        <w:pStyle w:val="199"/>
        <w:ind w:firstLine="480"/>
        <w:rPr>
          <w:color w:val="auto"/>
        </w:rPr>
      </w:pPr>
      <w:r>
        <w:rPr>
          <w:rFonts w:hint="eastAsia"/>
          <w:color w:val="auto"/>
        </w:rPr>
        <w:t>项目噪声环境影响预测基础数据见下表</w:t>
      </w:r>
      <w:r>
        <w:rPr>
          <w:color w:val="auto"/>
        </w:rPr>
        <w:t>。</w:t>
      </w:r>
    </w:p>
    <w:p w14:paraId="58E57607">
      <w:pPr>
        <w:pStyle w:val="6"/>
        <w:bidi w:val="0"/>
      </w:pPr>
      <w:r>
        <w:rPr>
          <w:rFonts w:hint="eastAsia"/>
        </w:rPr>
        <w:t>表</w:t>
      </w:r>
      <w:r>
        <w:t>6.2</w:t>
      </w:r>
      <w:r>
        <w:rPr>
          <w:rFonts w:hint="eastAsia"/>
          <w:lang w:val="en-US" w:eastAsia="zh-CN"/>
        </w:rPr>
        <w:t>.3</w:t>
      </w:r>
      <w:r>
        <w:t>-</w:t>
      </w:r>
      <w:r>
        <w:rPr>
          <w:rFonts w:hint="eastAsia"/>
          <w:lang w:val="en-US" w:eastAsia="zh-CN"/>
        </w:rPr>
        <w:t>2</w:t>
      </w:r>
      <w:r>
        <w:t xml:space="preserve">   项目噪声环境影响预测基础数据表</w:t>
      </w:r>
    </w:p>
    <w:tbl>
      <w:tblPr>
        <w:tblStyle w:val="4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74"/>
        <w:gridCol w:w="2074"/>
        <w:gridCol w:w="2074"/>
        <w:gridCol w:w="2074"/>
      </w:tblGrid>
      <w:tr w14:paraId="71736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4" w:type="dxa"/>
            <w:vAlign w:val="center"/>
          </w:tcPr>
          <w:p w14:paraId="75EDC43B">
            <w:pPr>
              <w:pStyle w:val="199"/>
              <w:ind w:firstLine="0" w:firstLineChars="0"/>
              <w:jc w:val="center"/>
              <w:rPr>
                <w:color w:val="auto"/>
                <w:sz w:val="22"/>
              </w:rPr>
            </w:pPr>
            <w:r>
              <w:rPr>
                <w:rFonts w:hint="eastAsia"/>
                <w:color w:val="auto"/>
                <w:sz w:val="22"/>
              </w:rPr>
              <w:t>序号</w:t>
            </w:r>
          </w:p>
        </w:tc>
        <w:tc>
          <w:tcPr>
            <w:tcW w:w="2074" w:type="dxa"/>
            <w:vAlign w:val="center"/>
          </w:tcPr>
          <w:p w14:paraId="3D8DF588">
            <w:pPr>
              <w:pStyle w:val="199"/>
              <w:ind w:firstLine="0" w:firstLineChars="0"/>
              <w:jc w:val="center"/>
              <w:rPr>
                <w:color w:val="auto"/>
                <w:sz w:val="22"/>
              </w:rPr>
            </w:pPr>
            <w:r>
              <w:rPr>
                <w:rFonts w:hint="eastAsia"/>
                <w:color w:val="auto"/>
                <w:sz w:val="22"/>
              </w:rPr>
              <w:t>名称</w:t>
            </w:r>
          </w:p>
        </w:tc>
        <w:tc>
          <w:tcPr>
            <w:tcW w:w="2074" w:type="dxa"/>
            <w:vAlign w:val="center"/>
          </w:tcPr>
          <w:p w14:paraId="0A11440B">
            <w:pPr>
              <w:pStyle w:val="199"/>
              <w:ind w:firstLine="0" w:firstLineChars="0"/>
              <w:jc w:val="center"/>
              <w:rPr>
                <w:color w:val="auto"/>
                <w:sz w:val="22"/>
              </w:rPr>
            </w:pPr>
            <w:r>
              <w:rPr>
                <w:rFonts w:hint="eastAsia"/>
                <w:color w:val="auto"/>
                <w:sz w:val="22"/>
              </w:rPr>
              <w:t>单位</w:t>
            </w:r>
          </w:p>
        </w:tc>
        <w:tc>
          <w:tcPr>
            <w:tcW w:w="2074" w:type="dxa"/>
            <w:vAlign w:val="center"/>
          </w:tcPr>
          <w:p w14:paraId="536C011C">
            <w:pPr>
              <w:pStyle w:val="199"/>
              <w:ind w:firstLine="0" w:firstLineChars="0"/>
              <w:jc w:val="center"/>
              <w:rPr>
                <w:color w:val="auto"/>
                <w:sz w:val="22"/>
              </w:rPr>
            </w:pPr>
            <w:r>
              <w:rPr>
                <w:rFonts w:hint="eastAsia"/>
                <w:color w:val="auto"/>
                <w:sz w:val="22"/>
              </w:rPr>
              <w:t>数据</w:t>
            </w:r>
          </w:p>
        </w:tc>
      </w:tr>
      <w:tr w14:paraId="22163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4" w:type="dxa"/>
            <w:vAlign w:val="center"/>
          </w:tcPr>
          <w:p w14:paraId="728235EA">
            <w:pPr>
              <w:pStyle w:val="199"/>
              <w:ind w:firstLine="0" w:firstLineChars="0"/>
              <w:jc w:val="center"/>
              <w:rPr>
                <w:color w:val="auto"/>
                <w:sz w:val="22"/>
              </w:rPr>
            </w:pPr>
            <w:r>
              <w:rPr>
                <w:color w:val="auto"/>
                <w:sz w:val="22"/>
              </w:rPr>
              <w:t>1</w:t>
            </w:r>
          </w:p>
        </w:tc>
        <w:tc>
          <w:tcPr>
            <w:tcW w:w="2074" w:type="dxa"/>
            <w:vAlign w:val="center"/>
          </w:tcPr>
          <w:p w14:paraId="085B5583">
            <w:pPr>
              <w:pStyle w:val="199"/>
              <w:ind w:firstLine="0" w:firstLineChars="0"/>
              <w:jc w:val="center"/>
              <w:rPr>
                <w:color w:val="auto"/>
                <w:sz w:val="22"/>
              </w:rPr>
            </w:pPr>
            <w:r>
              <w:rPr>
                <w:color w:val="auto"/>
                <w:sz w:val="22"/>
              </w:rPr>
              <w:t>年平均风速</w:t>
            </w:r>
          </w:p>
        </w:tc>
        <w:tc>
          <w:tcPr>
            <w:tcW w:w="2074" w:type="dxa"/>
            <w:vAlign w:val="center"/>
          </w:tcPr>
          <w:p w14:paraId="32EC2DAD">
            <w:pPr>
              <w:pStyle w:val="199"/>
              <w:ind w:firstLine="0" w:firstLineChars="0"/>
              <w:jc w:val="center"/>
              <w:rPr>
                <w:color w:val="auto"/>
                <w:sz w:val="22"/>
              </w:rPr>
            </w:pPr>
            <w:r>
              <w:rPr>
                <w:color w:val="auto"/>
                <w:sz w:val="22"/>
              </w:rPr>
              <w:t>m/s</w:t>
            </w:r>
          </w:p>
        </w:tc>
        <w:tc>
          <w:tcPr>
            <w:tcW w:w="2074" w:type="dxa"/>
            <w:vAlign w:val="center"/>
          </w:tcPr>
          <w:p w14:paraId="29A10A55">
            <w:pPr>
              <w:pStyle w:val="199"/>
              <w:ind w:firstLine="0" w:firstLineChars="0"/>
              <w:jc w:val="center"/>
              <w:rPr>
                <w:color w:val="auto"/>
                <w:sz w:val="22"/>
              </w:rPr>
            </w:pPr>
            <w:r>
              <w:rPr>
                <w:color w:val="auto"/>
                <w:sz w:val="22"/>
              </w:rPr>
              <w:t>2.1</w:t>
            </w:r>
          </w:p>
        </w:tc>
      </w:tr>
      <w:tr w14:paraId="56A43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4" w:type="dxa"/>
            <w:vAlign w:val="center"/>
          </w:tcPr>
          <w:p w14:paraId="49A77B39">
            <w:pPr>
              <w:pStyle w:val="199"/>
              <w:ind w:firstLine="0" w:firstLineChars="0"/>
              <w:jc w:val="center"/>
              <w:rPr>
                <w:color w:val="auto"/>
                <w:sz w:val="22"/>
              </w:rPr>
            </w:pPr>
            <w:r>
              <w:rPr>
                <w:color w:val="auto"/>
                <w:sz w:val="22"/>
              </w:rPr>
              <w:t>2</w:t>
            </w:r>
          </w:p>
        </w:tc>
        <w:tc>
          <w:tcPr>
            <w:tcW w:w="2074" w:type="dxa"/>
            <w:vAlign w:val="center"/>
          </w:tcPr>
          <w:p w14:paraId="392F1040">
            <w:pPr>
              <w:pStyle w:val="199"/>
              <w:ind w:firstLine="0" w:firstLineChars="0"/>
              <w:jc w:val="center"/>
              <w:rPr>
                <w:color w:val="auto"/>
                <w:sz w:val="22"/>
              </w:rPr>
            </w:pPr>
            <w:r>
              <w:rPr>
                <w:color w:val="auto"/>
                <w:sz w:val="22"/>
              </w:rPr>
              <w:t>主导风向</w:t>
            </w:r>
          </w:p>
        </w:tc>
        <w:tc>
          <w:tcPr>
            <w:tcW w:w="2074" w:type="dxa"/>
            <w:vAlign w:val="center"/>
          </w:tcPr>
          <w:p w14:paraId="5D8F3938">
            <w:pPr>
              <w:pStyle w:val="199"/>
              <w:ind w:firstLine="0" w:firstLineChars="0"/>
              <w:jc w:val="center"/>
              <w:rPr>
                <w:color w:val="auto"/>
                <w:sz w:val="22"/>
              </w:rPr>
            </w:pPr>
            <w:r>
              <w:rPr>
                <w:color w:val="auto"/>
                <w:sz w:val="22"/>
              </w:rPr>
              <w:t>/</w:t>
            </w:r>
          </w:p>
        </w:tc>
        <w:tc>
          <w:tcPr>
            <w:tcW w:w="2074" w:type="dxa"/>
            <w:vAlign w:val="center"/>
          </w:tcPr>
          <w:p w14:paraId="5A930E9B">
            <w:pPr>
              <w:pStyle w:val="199"/>
              <w:ind w:firstLine="0" w:firstLineChars="0"/>
              <w:jc w:val="center"/>
              <w:rPr>
                <w:color w:val="auto"/>
                <w:sz w:val="22"/>
              </w:rPr>
            </w:pPr>
            <w:r>
              <w:rPr>
                <w:rFonts w:hint="eastAsia"/>
                <w:color w:val="auto"/>
                <w:sz w:val="22"/>
              </w:rPr>
              <w:t>北北东</w:t>
            </w:r>
            <w:r>
              <w:rPr>
                <w:color w:val="auto"/>
                <w:sz w:val="22"/>
              </w:rPr>
              <w:t>风</w:t>
            </w:r>
          </w:p>
        </w:tc>
      </w:tr>
      <w:tr w14:paraId="09658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4" w:type="dxa"/>
            <w:vAlign w:val="center"/>
          </w:tcPr>
          <w:p w14:paraId="747B93C2">
            <w:pPr>
              <w:pStyle w:val="199"/>
              <w:ind w:firstLine="0" w:firstLineChars="0"/>
              <w:jc w:val="center"/>
              <w:rPr>
                <w:color w:val="auto"/>
                <w:sz w:val="22"/>
              </w:rPr>
            </w:pPr>
            <w:r>
              <w:rPr>
                <w:color w:val="auto"/>
                <w:sz w:val="22"/>
              </w:rPr>
              <w:t>3</w:t>
            </w:r>
          </w:p>
        </w:tc>
        <w:tc>
          <w:tcPr>
            <w:tcW w:w="2074" w:type="dxa"/>
            <w:vAlign w:val="center"/>
          </w:tcPr>
          <w:p w14:paraId="43E05DBB">
            <w:pPr>
              <w:pStyle w:val="199"/>
              <w:ind w:firstLine="0" w:firstLineChars="0"/>
              <w:jc w:val="center"/>
              <w:rPr>
                <w:color w:val="auto"/>
                <w:sz w:val="22"/>
              </w:rPr>
            </w:pPr>
            <w:r>
              <w:rPr>
                <w:color w:val="auto"/>
                <w:sz w:val="22"/>
              </w:rPr>
              <w:t>年平均气温</w:t>
            </w:r>
          </w:p>
        </w:tc>
        <w:tc>
          <w:tcPr>
            <w:tcW w:w="2074" w:type="dxa"/>
            <w:vAlign w:val="center"/>
          </w:tcPr>
          <w:p w14:paraId="1178AA46">
            <w:pPr>
              <w:pStyle w:val="199"/>
              <w:ind w:firstLine="0" w:firstLineChars="0"/>
              <w:jc w:val="center"/>
              <w:rPr>
                <w:color w:val="auto"/>
                <w:sz w:val="22"/>
              </w:rPr>
            </w:pPr>
            <w:r>
              <w:rPr>
                <w:rFonts w:hint="eastAsia"/>
                <w:color w:val="auto"/>
                <w:sz w:val="22"/>
              </w:rPr>
              <w:t>℃</w:t>
            </w:r>
          </w:p>
        </w:tc>
        <w:tc>
          <w:tcPr>
            <w:tcW w:w="2074" w:type="dxa"/>
            <w:vAlign w:val="center"/>
          </w:tcPr>
          <w:p w14:paraId="5D290303">
            <w:pPr>
              <w:pStyle w:val="199"/>
              <w:ind w:firstLine="0" w:firstLineChars="0"/>
              <w:jc w:val="center"/>
              <w:rPr>
                <w:color w:val="auto"/>
                <w:sz w:val="22"/>
              </w:rPr>
            </w:pPr>
            <w:r>
              <w:rPr>
                <w:color w:val="auto"/>
                <w:sz w:val="22"/>
              </w:rPr>
              <w:t>16.7</w:t>
            </w:r>
          </w:p>
        </w:tc>
      </w:tr>
      <w:tr w14:paraId="7B24A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4" w:type="dxa"/>
            <w:vAlign w:val="center"/>
          </w:tcPr>
          <w:p w14:paraId="168B7B87">
            <w:pPr>
              <w:pStyle w:val="199"/>
              <w:ind w:firstLine="0" w:firstLineChars="0"/>
              <w:jc w:val="center"/>
              <w:rPr>
                <w:color w:val="auto"/>
                <w:sz w:val="22"/>
              </w:rPr>
            </w:pPr>
            <w:r>
              <w:rPr>
                <w:color w:val="auto"/>
                <w:sz w:val="22"/>
              </w:rPr>
              <w:t>4</w:t>
            </w:r>
          </w:p>
        </w:tc>
        <w:tc>
          <w:tcPr>
            <w:tcW w:w="2074" w:type="dxa"/>
            <w:vAlign w:val="center"/>
          </w:tcPr>
          <w:p w14:paraId="000E95BB">
            <w:pPr>
              <w:pStyle w:val="199"/>
              <w:ind w:firstLine="0" w:firstLineChars="0"/>
              <w:jc w:val="center"/>
              <w:rPr>
                <w:color w:val="auto"/>
                <w:sz w:val="22"/>
              </w:rPr>
            </w:pPr>
            <w:r>
              <w:rPr>
                <w:color w:val="auto"/>
                <w:sz w:val="22"/>
              </w:rPr>
              <w:t>年平均相对湿度</w:t>
            </w:r>
          </w:p>
        </w:tc>
        <w:tc>
          <w:tcPr>
            <w:tcW w:w="2074" w:type="dxa"/>
            <w:vAlign w:val="center"/>
          </w:tcPr>
          <w:p w14:paraId="4A92D670">
            <w:pPr>
              <w:pStyle w:val="199"/>
              <w:ind w:firstLine="0" w:firstLineChars="0"/>
              <w:jc w:val="center"/>
              <w:rPr>
                <w:color w:val="auto"/>
                <w:sz w:val="22"/>
              </w:rPr>
            </w:pPr>
            <w:r>
              <w:rPr>
                <w:color w:val="auto"/>
                <w:sz w:val="22"/>
              </w:rPr>
              <w:t>%</w:t>
            </w:r>
          </w:p>
        </w:tc>
        <w:tc>
          <w:tcPr>
            <w:tcW w:w="2074" w:type="dxa"/>
            <w:vAlign w:val="center"/>
          </w:tcPr>
          <w:p w14:paraId="7E3966AB">
            <w:pPr>
              <w:pStyle w:val="199"/>
              <w:ind w:firstLine="0" w:firstLineChars="0"/>
              <w:jc w:val="center"/>
              <w:rPr>
                <w:color w:val="auto"/>
                <w:sz w:val="22"/>
              </w:rPr>
            </w:pPr>
            <w:r>
              <w:rPr>
                <w:color w:val="auto"/>
                <w:sz w:val="22"/>
              </w:rPr>
              <w:t>50</w:t>
            </w:r>
          </w:p>
        </w:tc>
      </w:tr>
      <w:tr w14:paraId="4DEB0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74" w:type="dxa"/>
            <w:vAlign w:val="center"/>
          </w:tcPr>
          <w:p w14:paraId="49771584">
            <w:pPr>
              <w:pStyle w:val="199"/>
              <w:ind w:firstLine="0" w:firstLineChars="0"/>
              <w:jc w:val="center"/>
              <w:rPr>
                <w:color w:val="auto"/>
                <w:sz w:val="22"/>
              </w:rPr>
            </w:pPr>
            <w:r>
              <w:rPr>
                <w:color w:val="auto"/>
                <w:sz w:val="22"/>
              </w:rPr>
              <w:t>5</w:t>
            </w:r>
          </w:p>
        </w:tc>
        <w:tc>
          <w:tcPr>
            <w:tcW w:w="2074" w:type="dxa"/>
            <w:vAlign w:val="center"/>
          </w:tcPr>
          <w:p w14:paraId="78814EC7">
            <w:pPr>
              <w:pStyle w:val="199"/>
              <w:ind w:firstLine="0" w:firstLineChars="0"/>
              <w:jc w:val="center"/>
              <w:rPr>
                <w:color w:val="auto"/>
                <w:sz w:val="22"/>
              </w:rPr>
            </w:pPr>
            <w:r>
              <w:rPr>
                <w:color w:val="auto"/>
                <w:sz w:val="22"/>
              </w:rPr>
              <w:t>大气压强</w:t>
            </w:r>
          </w:p>
        </w:tc>
        <w:tc>
          <w:tcPr>
            <w:tcW w:w="2074" w:type="dxa"/>
            <w:vAlign w:val="center"/>
          </w:tcPr>
          <w:p w14:paraId="13B822BB">
            <w:pPr>
              <w:pStyle w:val="199"/>
              <w:ind w:firstLine="0" w:firstLineChars="0"/>
              <w:jc w:val="center"/>
              <w:rPr>
                <w:color w:val="auto"/>
                <w:sz w:val="22"/>
              </w:rPr>
            </w:pPr>
            <w:r>
              <w:rPr>
                <w:color w:val="auto"/>
                <w:sz w:val="22"/>
              </w:rPr>
              <w:t>atm</w:t>
            </w:r>
          </w:p>
        </w:tc>
        <w:tc>
          <w:tcPr>
            <w:tcW w:w="2074" w:type="dxa"/>
            <w:vAlign w:val="center"/>
          </w:tcPr>
          <w:p w14:paraId="1A190BEB">
            <w:pPr>
              <w:pStyle w:val="199"/>
              <w:ind w:firstLine="0" w:firstLineChars="0"/>
              <w:jc w:val="center"/>
              <w:rPr>
                <w:color w:val="auto"/>
                <w:sz w:val="22"/>
              </w:rPr>
            </w:pPr>
            <w:r>
              <w:rPr>
                <w:color w:val="auto"/>
                <w:sz w:val="22"/>
              </w:rPr>
              <w:t>1</w:t>
            </w:r>
          </w:p>
        </w:tc>
      </w:tr>
    </w:tbl>
    <w:p w14:paraId="4BAEF240">
      <w:pPr>
        <w:pStyle w:val="199"/>
        <w:ind w:firstLine="480"/>
        <w:rPr>
          <w:color w:val="auto"/>
        </w:rPr>
      </w:pPr>
    </w:p>
    <w:p w14:paraId="11905061">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声源和预测点间的地形、高差、障碍物、树林、灌木等的分布情况以及地面覆盖情况（如草地、水面、水泥地面、土质地面等）根据现场踏勘、项目总平图等，并结合卫星图片地理信息数据确定，数据精度为</w:t>
      </w:r>
      <w:r>
        <w:rPr>
          <w:rFonts w:ascii="Times New Roman" w:hAnsi="Times New Roman" w:eastAsia="宋体" w:cs="Times New Roman"/>
          <w:color w:val="auto"/>
          <w:sz w:val="24"/>
          <w:szCs w:val="24"/>
        </w:rPr>
        <w:t>10m。</w:t>
      </w:r>
    </w:p>
    <w:p w14:paraId="68684585">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（3）预测结果</w:t>
      </w:r>
    </w:p>
    <w:p w14:paraId="033FE692">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通过预测模型计算，项目厂界噪声预测结果与达标分析如下表所示：</w:t>
      </w:r>
    </w:p>
    <w:p w14:paraId="457D2E0E">
      <w:pPr>
        <w:pStyle w:val="6"/>
        <w:bidi w:val="0"/>
      </w:pPr>
      <w:r>
        <w:rPr>
          <w:rFonts w:hint="eastAsia"/>
        </w:rPr>
        <w:t>表</w:t>
      </w:r>
      <w:r>
        <w:t>6.2</w:t>
      </w:r>
      <w:r>
        <w:rPr>
          <w:rFonts w:hint="eastAsia"/>
          <w:lang w:val="en-US" w:eastAsia="zh-CN"/>
        </w:rPr>
        <w:t>.3</w:t>
      </w:r>
      <w:r>
        <w:t>-</w:t>
      </w:r>
      <w:r>
        <w:rPr>
          <w:rFonts w:hint="eastAsia"/>
          <w:lang w:val="en-US" w:eastAsia="zh-CN"/>
        </w:rPr>
        <w:t>3</w:t>
      </w:r>
      <w:r>
        <w:t xml:space="preserve">    </w:t>
      </w:r>
      <w:r>
        <w:rPr>
          <w:rFonts w:hint="eastAsia"/>
        </w:rPr>
        <w:t>厂界噪声预测结果与达标分析表</w:t>
      </w:r>
    </w:p>
    <w:tbl>
      <w:tblPr>
        <w:tblStyle w:val="41"/>
        <w:tblW w:w="94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5"/>
        <w:gridCol w:w="990"/>
        <w:gridCol w:w="851"/>
        <w:gridCol w:w="708"/>
        <w:gridCol w:w="694"/>
        <w:gridCol w:w="1119"/>
        <w:gridCol w:w="1172"/>
        <w:gridCol w:w="1159"/>
        <w:gridCol w:w="1159"/>
        <w:gridCol w:w="783"/>
      </w:tblGrid>
      <w:tr w14:paraId="0BF5C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785" w:type="dxa"/>
            <w:vMerge w:val="restart"/>
            <w:vAlign w:val="center"/>
          </w:tcPr>
          <w:p w14:paraId="6E5C9FB5">
            <w:pPr>
              <w:jc w:val="center"/>
              <w:rPr>
                <w:rFonts w:ascii="Times New Roman" w:hAnsi="Times New Roman" w:eastAsia="宋体" w:cs="Times New Roman"/>
                <w:color w:val="auto"/>
                <w:sz w:val="22"/>
              </w:rPr>
            </w:pPr>
            <w:r>
              <w:rPr>
                <w:rFonts w:ascii="Times New Roman" w:hAnsi="Times New Roman" w:eastAsia="宋体" w:cs="Times New Roman"/>
                <w:color w:val="auto"/>
                <w:sz w:val="22"/>
              </w:rPr>
              <w:t>预测</w:t>
            </w:r>
          </w:p>
          <w:p w14:paraId="7267E4AD">
            <w:pPr>
              <w:jc w:val="center"/>
              <w:rPr>
                <w:rFonts w:ascii="Times New Roman" w:hAnsi="Times New Roman" w:eastAsia="宋体" w:cs="Times New Roman"/>
                <w:color w:val="auto"/>
                <w:sz w:val="22"/>
              </w:rPr>
            </w:pPr>
            <w:r>
              <w:rPr>
                <w:rFonts w:ascii="Times New Roman" w:hAnsi="Times New Roman" w:eastAsia="宋体" w:cs="Times New Roman"/>
                <w:color w:val="auto"/>
                <w:sz w:val="22"/>
              </w:rPr>
              <w:t>方位</w:t>
            </w:r>
          </w:p>
        </w:tc>
        <w:tc>
          <w:tcPr>
            <w:tcW w:w="2549" w:type="dxa"/>
            <w:gridSpan w:val="3"/>
            <w:vAlign w:val="center"/>
          </w:tcPr>
          <w:p w14:paraId="16BCBFDB">
            <w:pPr>
              <w:jc w:val="center"/>
              <w:rPr>
                <w:rFonts w:ascii="Times New Roman" w:hAnsi="Times New Roman" w:eastAsia="宋体" w:cs="Times New Roman"/>
                <w:color w:val="auto"/>
                <w:sz w:val="22"/>
              </w:rPr>
            </w:pPr>
            <w:r>
              <w:rPr>
                <w:rFonts w:ascii="Times New Roman" w:hAnsi="Times New Roman" w:eastAsia="宋体" w:cs="Times New Roman"/>
                <w:color w:val="auto"/>
                <w:sz w:val="22"/>
              </w:rPr>
              <w:t>空间相对位置/m</w:t>
            </w:r>
          </w:p>
        </w:tc>
        <w:tc>
          <w:tcPr>
            <w:tcW w:w="694" w:type="dxa"/>
            <w:vMerge w:val="restart"/>
            <w:vAlign w:val="center"/>
          </w:tcPr>
          <w:p w14:paraId="6218E389">
            <w:pPr>
              <w:jc w:val="center"/>
              <w:rPr>
                <w:rFonts w:ascii="Times New Roman" w:hAnsi="Times New Roman" w:eastAsia="宋体" w:cs="Times New Roman"/>
                <w:color w:val="auto"/>
                <w:sz w:val="22"/>
              </w:rPr>
            </w:pPr>
            <w:r>
              <w:rPr>
                <w:rFonts w:ascii="Times New Roman" w:hAnsi="Times New Roman" w:eastAsia="宋体" w:cs="Times New Roman"/>
                <w:color w:val="auto"/>
                <w:sz w:val="22"/>
              </w:rPr>
              <w:t>时段</w:t>
            </w:r>
          </w:p>
        </w:tc>
        <w:tc>
          <w:tcPr>
            <w:tcW w:w="1119" w:type="dxa"/>
            <w:vMerge w:val="restart"/>
            <w:vAlign w:val="center"/>
          </w:tcPr>
          <w:p w14:paraId="5A5B62C7">
            <w:pPr>
              <w:jc w:val="center"/>
              <w:rPr>
                <w:rFonts w:hint="default" w:ascii="Times New Roman" w:hAnsi="Times New Roman" w:eastAsia="宋体" w:cs="Times New Roman"/>
                <w:color w:val="auto"/>
                <w:sz w:val="22"/>
                <w:lang w:val="en-US" w:eastAsia="zh-CN"/>
              </w:rPr>
            </w:pPr>
            <w:r>
              <w:rPr>
                <w:rFonts w:hint="eastAsia" w:ascii="Times New Roman" w:hAnsi="Times New Roman" w:eastAsia="宋体" w:cs="Times New Roman"/>
                <w:color w:val="auto"/>
                <w:sz w:val="22"/>
                <w:lang w:val="en-US" w:eastAsia="zh-CN"/>
              </w:rPr>
              <w:t>贡献值</w:t>
            </w:r>
            <w:r>
              <w:rPr>
                <w:rFonts w:ascii="Times New Roman" w:hAnsi="Times New Roman" w:eastAsia="宋体" w:cs="Times New Roman"/>
                <w:color w:val="auto"/>
                <w:sz w:val="22"/>
              </w:rPr>
              <w:t>（dB(A)）</w:t>
            </w:r>
          </w:p>
        </w:tc>
        <w:tc>
          <w:tcPr>
            <w:tcW w:w="1172" w:type="dxa"/>
            <w:vMerge w:val="restart"/>
            <w:vAlign w:val="center"/>
          </w:tcPr>
          <w:p w14:paraId="19B1A289">
            <w:pPr>
              <w:jc w:val="center"/>
              <w:rPr>
                <w:rFonts w:hint="eastAsia" w:ascii="Times New Roman" w:hAnsi="Times New Roman" w:eastAsia="宋体" w:cs="Times New Roman"/>
                <w:color w:val="auto"/>
                <w:sz w:val="22"/>
                <w:lang w:val="en-US" w:eastAsia="zh-CN"/>
              </w:rPr>
            </w:pPr>
            <w:r>
              <w:rPr>
                <w:rFonts w:hint="eastAsia" w:ascii="Times New Roman" w:hAnsi="Times New Roman" w:eastAsia="宋体" w:cs="Times New Roman"/>
                <w:color w:val="auto"/>
                <w:sz w:val="22"/>
                <w:lang w:val="en-US" w:eastAsia="zh-CN"/>
              </w:rPr>
              <w:t>背景值</w:t>
            </w:r>
            <w:r>
              <w:rPr>
                <w:rFonts w:ascii="Times New Roman" w:hAnsi="Times New Roman" w:eastAsia="宋体" w:cs="Times New Roman"/>
                <w:color w:val="auto"/>
                <w:sz w:val="22"/>
              </w:rPr>
              <w:t>（dB(A)）</w:t>
            </w:r>
          </w:p>
        </w:tc>
        <w:tc>
          <w:tcPr>
            <w:tcW w:w="1159" w:type="dxa"/>
            <w:vMerge w:val="restart"/>
            <w:vAlign w:val="center"/>
          </w:tcPr>
          <w:p w14:paraId="6FDDFAB3">
            <w:pPr>
              <w:jc w:val="center"/>
              <w:rPr>
                <w:rFonts w:ascii="Times New Roman" w:hAnsi="Times New Roman" w:eastAsia="宋体" w:cs="Times New Roman"/>
                <w:color w:val="auto"/>
                <w:sz w:val="22"/>
              </w:rPr>
            </w:pPr>
            <w:r>
              <w:rPr>
                <w:rFonts w:ascii="Times New Roman" w:hAnsi="Times New Roman" w:eastAsia="宋体" w:cs="Times New Roman"/>
                <w:color w:val="auto"/>
                <w:sz w:val="22"/>
              </w:rPr>
              <w:t>预测值（dB(A)）</w:t>
            </w:r>
          </w:p>
        </w:tc>
        <w:tc>
          <w:tcPr>
            <w:tcW w:w="1159" w:type="dxa"/>
            <w:vMerge w:val="restart"/>
            <w:vAlign w:val="center"/>
          </w:tcPr>
          <w:p w14:paraId="31E78F80">
            <w:pPr>
              <w:jc w:val="center"/>
              <w:rPr>
                <w:rFonts w:ascii="Times New Roman" w:hAnsi="Times New Roman" w:eastAsia="宋体" w:cs="Times New Roman"/>
                <w:color w:val="auto"/>
                <w:sz w:val="22"/>
              </w:rPr>
            </w:pPr>
            <w:r>
              <w:rPr>
                <w:rFonts w:ascii="Times New Roman" w:hAnsi="Times New Roman" w:eastAsia="宋体" w:cs="Times New Roman"/>
                <w:color w:val="auto"/>
                <w:sz w:val="22"/>
              </w:rPr>
              <w:t>标准限值（dB(A)）</w:t>
            </w:r>
          </w:p>
        </w:tc>
        <w:tc>
          <w:tcPr>
            <w:tcW w:w="783" w:type="dxa"/>
            <w:vMerge w:val="restart"/>
            <w:vAlign w:val="center"/>
          </w:tcPr>
          <w:p w14:paraId="1B78FFB0">
            <w:pPr>
              <w:jc w:val="center"/>
              <w:rPr>
                <w:rFonts w:ascii="Times New Roman" w:hAnsi="Times New Roman" w:eastAsia="宋体" w:cs="Times New Roman"/>
                <w:color w:val="auto"/>
                <w:sz w:val="22"/>
              </w:rPr>
            </w:pPr>
            <w:r>
              <w:rPr>
                <w:rFonts w:ascii="Times New Roman" w:hAnsi="Times New Roman" w:eastAsia="宋体" w:cs="Times New Roman"/>
                <w:color w:val="auto"/>
                <w:sz w:val="22"/>
              </w:rPr>
              <w:t>达标情况</w:t>
            </w:r>
          </w:p>
        </w:tc>
      </w:tr>
      <w:tr w14:paraId="4CD7A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785" w:type="dxa"/>
            <w:vMerge w:val="continue"/>
            <w:shd w:val="clear" w:color="auto" w:fill="FFFFFF"/>
            <w:vAlign w:val="center"/>
          </w:tcPr>
          <w:p w14:paraId="6E3E1CD7">
            <w:pPr>
              <w:jc w:val="center"/>
              <w:rPr>
                <w:rFonts w:ascii="Times New Roman" w:hAnsi="Times New Roman" w:eastAsia="宋体" w:cs="Times New Roman"/>
                <w:color w:val="auto"/>
                <w:sz w:val="22"/>
              </w:rPr>
            </w:pPr>
          </w:p>
        </w:tc>
        <w:tc>
          <w:tcPr>
            <w:tcW w:w="990" w:type="dxa"/>
            <w:shd w:val="clear" w:color="auto" w:fill="FFFFFF"/>
            <w:vAlign w:val="center"/>
          </w:tcPr>
          <w:p w14:paraId="5FE5480F">
            <w:pPr>
              <w:jc w:val="center"/>
              <w:rPr>
                <w:rFonts w:ascii="Times New Roman" w:hAnsi="Times New Roman" w:eastAsia="宋体" w:cs="Times New Roman"/>
                <w:color w:val="auto"/>
                <w:sz w:val="22"/>
              </w:rPr>
            </w:pPr>
            <w:r>
              <w:rPr>
                <w:rFonts w:ascii="Times New Roman" w:hAnsi="Times New Roman" w:eastAsia="宋体" w:cs="Times New Roman"/>
                <w:color w:val="auto"/>
                <w:sz w:val="22"/>
              </w:rPr>
              <w:t>X</w:t>
            </w:r>
          </w:p>
        </w:tc>
        <w:tc>
          <w:tcPr>
            <w:tcW w:w="851" w:type="dxa"/>
            <w:shd w:val="clear" w:color="auto" w:fill="FFFFFF"/>
            <w:vAlign w:val="center"/>
          </w:tcPr>
          <w:p w14:paraId="7A0A4D46">
            <w:pPr>
              <w:jc w:val="center"/>
              <w:rPr>
                <w:rFonts w:ascii="Times New Roman" w:hAnsi="Times New Roman" w:eastAsia="宋体" w:cs="Times New Roman"/>
                <w:color w:val="auto"/>
                <w:sz w:val="22"/>
              </w:rPr>
            </w:pPr>
            <w:r>
              <w:rPr>
                <w:rFonts w:ascii="Times New Roman" w:hAnsi="Times New Roman" w:eastAsia="宋体" w:cs="Times New Roman"/>
                <w:color w:val="auto"/>
                <w:sz w:val="22"/>
              </w:rPr>
              <w:t>Y</w:t>
            </w:r>
          </w:p>
        </w:tc>
        <w:tc>
          <w:tcPr>
            <w:tcW w:w="708" w:type="dxa"/>
            <w:shd w:val="clear" w:color="auto" w:fill="FFFFFF"/>
            <w:vAlign w:val="center"/>
          </w:tcPr>
          <w:p w14:paraId="784370DC">
            <w:pPr>
              <w:jc w:val="center"/>
              <w:rPr>
                <w:rFonts w:ascii="Times New Roman" w:hAnsi="Times New Roman" w:eastAsia="宋体" w:cs="Times New Roman"/>
                <w:color w:val="auto"/>
                <w:sz w:val="22"/>
              </w:rPr>
            </w:pPr>
            <w:r>
              <w:rPr>
                <w:rFonts w:ascii="Times New Roman" w:hAnsi="Times New Roman" w:eastAsia="宋体" w:cs="Times New Roman"/>
                <w:color w:val="auto"/>
                <w:sz w:val="22"/>
              </w:rPr>
              <w:t>Z</w:t>
            </w:r>
          </w:p>
        </w:tc>
        <w:tc>
          <w:tcPr>
            <w:tcW w:w="694" w:type="dxa"/>
            <w:vMerge w:val="continue"/>
            <w:shd w:val="clear" w:color="auto" w:fill="FFFFFF"/>
            <w:vAlign w:val="center"/>
          </w:tcPr>
          <w:p w14:paraId="4E4DA0A1">
            <w:pPr>
              <w:jc w:val="center"/>
              <w:rPr>
                <w:rFonts w:ascii="Times New Roman" w:hAnsi="Times New Roman" w:eastAsia="宋体" w:cs="Times New Roman"/>
                <w:color w:val="auto"/>
                <w:sz w:val="22"/>
              </w:rPr>
            </w:pPr>
          </w:p>
        </w:tc>
        <w:tc>
          <w:tcPr>
            <w:tcW w:w="1119" w:type="dxa"/>
            <w:vMerge w:val="continue"/>
            <w:shd w:val="clear" w:color="auto" w:fill="FFFFFF"/>
            <w:vAlign w:val="center"/>
          </w:tcPr>
          <w:p w14:paraId="1318324F">
            <w:pPr>
              <w:jc w:val="center"/>
              <w:rPr>
                <w:rFonts w:ascii="Times New Roman" w:hAnsi="Times New Roman" w:eastAsia="宋体" w:cs="Times New Roman"/>
                <w:color w:val="auto"/>
                <w:sz w:val="22"/>
              </w:rPr>
            </w:pPr>
          </w:p>
        </w:tc>
        <w:tc>
          <w:tcPr>
            <w:tcW w:w="1172" w:type="dxa"/>
            <w:vMerge w:val="continue"/>
            <w:shd w:val="clear" w:color="auto" w:fill="FFFFFF"/>
            <w:vAlign w:val="center"/>
          </w:tcPr>
          <w:p w14:paraId="5B27948F">
            <w:pPr>
              <w:jc w:val="center"/>
              <w:rPr>
                <w:rFonts w:ascii="Times New Roman" w:hAnsi="Times New Roman" w:eastAsia="宋体" w:cs="Times New Roman"/>
                <w:color w:val="auto"/>
                <w:sz w:val="22"/>
              </w:rPr>
            </w:pPr>
          </w:p>
        </w:tc>
        <w:tc>
          <w:tcPr>
            <w:tcW w:w="1159" w:type="dxa"/>
            <w:vMerge w:val="continue"/>
            <w:shd w:val="clear" w:color="auto" w:fill="FFFFFF"/>
            <w:vAlign w:val="center"/>
          </w:tcPr>
          <w:p w14:paraId="781215ED">
            <w:pPr>
              <w:jc w:val="center"/>
              <w:rPr>
                <w:rFonts w:ascii="Times New Roman" w:hAnsi="Times New Roman" w:eastAsia="宋体" w:cs="Times New Roman"/>
                <w:color w:val="auto"/>
                <w:sz w:val="22"/>
              </w:rPr>
            </w:pPr>
          </w:p>
        </w:tc>
        <w:tc>
          <w:tcPr>
            <w:tcW w:w="1159" w:type="dxa"/>
            <w:vMerge w:val="continue"/>
            <w:shd w:val="clear" w:color="auto" w:fill="FFFFFF"/>
            <w:vAlign w:val="center"/>
          </w:tcPr>
          <w:p w14:paraId="224EB0CE">
            <w:pPr>
              <w:jc w:val="center"/>
              <w:rPr>
                <w:rFonts w:ascii="Times New Roman" w:hAnsi="Times New Roman" w:eastAsia="宋体" w:cs="Times New Roman"/>
                <w:color w:val="auto"/>
                <w:sz w:val="22"/>
              </w:rPr>
            </w:pPr>
          </w:p>
        </w:tc>
        <w:tc>
          <w:tcPr>
            <w:tcW w:w="783" w:type="dxa"/>
            <w:vMerge w:val="continue"/>
            <w:shd w:val="clear" w:color="auto" w:fill="FFFFFF"/>
            <w:vAlign w:val="center"/>
          </w:tcPr>
          <w:p w14:paraId="3FE199D7">
            <w:pPr>
              <w:jc w:val="center"/>
              <w:rPr>
                <w:rFonts w:ascii="Times New Roman" w:hAnsi="Times New Roman" w:eastAsia="宋体" w:cs="Times New Roman"/>
                <w:color w:val="auto"/>
                <w:sz w:val="22"/>
              </w:rPr>
            </w:pPr>
          </w:p>
        </w:tc>
      </w:tr>
      <w:tr w14:paraId="0BB51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5" w:type="dxa"/>
            <w:vMerge w:val="restart"/>
            <w:shd w:val="clear" w:color="auto" w:fill="FFFFFF"/>
            <w:vAlign w:val="center"/>
          </w:tcPr>
          <w:p w14:paraId="0726CF5C">
            <w:pPr>
              <w:jc w:val="center"/>
              <w:rPr>
                <w:rFonts w:ascii="Times New Roman" w:hAnsi="Times New Roman" w:eastAsia="宋体" w:cs="Times New Roman"/>
                <w:color w:val="auto"/>
                <w:sz w:val="22"/>
              </w:rPr>
            </w:pPr>
            <w:r>
              <w:rPr>
                <w:rFonts w:hint="eastAsia" w:ascii="Times New Roman" w:hAnsi="Times New Roman" w:eastAsia="宋体" w:cs="Times New Roman"/>
                <w:color w:val="auto"/>
                <w:sz w:val="22"/>
                <w:lang w:val="en-US" w:eastAsia="zh-CN"/>
              </w:rPr>
              <w:t>南</w:t>
            </w:r>
            <w:r>
              <w:rPr>
                <w:rFonts w:ascii="Times New Roman" w:hAnsi="Times New Roman" w:eastAsia="宋体" w:cs="Times New Roman"/>
                <w:color w:val="auto"/>
                <w:sz w:val="22"/>
              </w:rPr>
              <w:t>侧</w:t>
            </w:r>
          </w:p>
        </w:tc>
        <w:tc>
          <w:tcPr>
            <w:tcW w:w="990" w:type="dxa"/>
            <w:vMerge w:val="restart"/>
            <w:shd w:val="clear" w:color="auto" w:fill="FFFFFF"/>
            <w:vAlign w:val="center"/>
          </w:tcPr>
          <w:p w14:paraId="76EDA6D4">
            <w:pPr>
              <w:jc w:val="center"/>
              <w:rPr>
                <w:rFonts w:hint="default" w:ascii="Times New Roman" w:hAnsi="Times New Roman" w:eastAsia="宋体" w:cs="Times New Roman"/>
                <w:color w:val="auto"/>
                <w:sz w:val="22"/>
                <w:lang w:val="en-US" w:eastAsia="zh-CN"/>
              </w:rPr>
            </w:pPr>
            <w:r>
              <w:rPr>
                <w:rFonts w:hint="eastAsia" w:ascii="Times New Roman" w:hAnsi="Times New Roman" w:eastAsia="宋体" w:cs="Times New Roman"/>
                <w:color w:val="auto"/>
                <w:sz w:val="22"/>
                <w:lang w:val="en-US" w:eastAsia="zh-CN"/>
              </w:rPr>
              <w:t>184.86</w:t>
            </w:r>
          </w:p>
        </w:tc>
        <w:tc>
          <w:tcPr>
            <w:tcW w:w="851" w:type="dxa"/>
            <w:vMerge w:val="restart"/>
            <w:shd w:val="clear" w:color="auto" w:fill="FFFFFF"/>
            <w:vAlign w:val="center"/>
          </w:tcPr>
          <w:p w14:paraId="16260BE1">
            <w:pPr>
              <w:jc w:val="center"/>
              <w:rPr>
                <w:rFonts w:hint="default" w:ascii="Times New Roman" w:hAnsi="Times New Roman" w:eastAsia="宋体" w:cs="Times New Roman"/>
                <w:color w:val="auto"/>
                <w:sz w:val="22"/>
                <w:lang w:val="en-US" w:eastAsia="zh-CN"/>
              </w:rPr>
            </w:pPr>
            <w:r>
              <w:rPr>
                <w:rFonts w:hint="eastAsia" w:ascii="Times New Roman" w:hAnsi="Times New Roman" w:eastAsia="宋体" w:cs="Times New Roman"/>
                <w:color w:val="auto"/>
                <w:sz w:val="22"/>
                <w:lang w:val="en-US" w:eastAsia="zh-CN"/>
              </w:rPr>
              <w:t>134.06</w:t>
            </w:r>
          </w:p>
        </w:tc>
        <w:tc>
          <w:tcPr>
            <w:tcW w:w="708" w:type="dxa"/>
            <w:shd w:val="clear" w:color="auto" w:fill="FFFFFF"/>
            <w:vAlign w:val="center"/>
          </w:tcPr>
          <w:p w14:paraId="4CA269C4">
            <w:pPr>
              <w:jc w:val="center"/>
              <w:rPr>
                <w:rFonts w:hint="default" w:ascii="Times New Roman" w:hAnsi="Times New Roman" w:eastAsia="宋体" w:cs="Times New Roman"/>
                <w:color w:val="auto"/>
                <w:sz w:val="22"/>
                <w:lang w:val="en-US" w:eastAsia="zh-CN"/>
              </w:rPr>
            </w:pPr>
            <w:r>
              <w:rPr>
                <w:rFonts w:hint="eastAsia" w:ascii="Times New Roman" w:hAnsi="Times New Roman" w:eastAsia="宋体" w:cs="Times New Roman"/>
                <w:color w:val="auto"/>
                <w:sz w:val="22"/>
                <w:lang w:val="en-US" w:eastAsia="zh-CN"/>
              </w:rPr>
              <w:t>37</w:t>
            </w:r>
          </w:p>
        </w:tc>
        <w:tc>
          <w:tcPr>
            <w:tcW w:w="694" w:type="dxa"/>
            <w:shd w:val="clear" w:color="auto" w:fill="FFFFFF"/>
            <w:vAlign w:val="center"/>
          </w:tcPr>
          <w:p w14:paraId="0DC0526F">
            <w:pPr>
              <w:jc w:val="center"/>
              <w:rPr>
                <w:rFonts w:ascii="Times New Roman" w:hAnsi="Times New Roman" w:eastAsia="宋体" w:cs="Times New Roman"/>
                <w:color w:val="auto"/>
                <w:sz w:val="22"/>
              </w:rPr>
            </w:pPr>
            <w:r>
              <w:rPr>
                <w:rFonts w:ascii="Times New Roman" w:hAnsi="Times New Roman" w:eastAsia="宋体" w:cs="Times New Roman"/>
                <w:color w:val="auto"/>
                <w:sz w:val="22"/>
              </w:rPr>
              <w:t>昼间</w:t>
            </w:r>
          </w:p>
        </w:tc>
        <w:tc>
          <w:tcPr>
            <w:tcW w:w="1119" w:type="dxa"/>
            <w:shd w:val="clear" w:color="auto" w:fill="FFFFFF"/>
            <w:vAlign w:val="center"/>
          </w:tcPr>
          <w:p w14:paraId="5362F579">
            <w:pPr>
              <w:jc w:val="center"/>
              <w:rPr>
                <w:rFonts w:hint="default" w:ascii="Times New Roman" w:hAnsi="Times New Roman" w:eastAsia="宋体" w:cs="Times New Roman"/>
                <w:color w:val="auto"/>
                <w:sz w:val="22"/>
                <w:lang w:val="en-US" w:eastAsia="zh-CN"/>
              </w:rPr>
            </w:pPr>
            <w:r>
              <w:rPr>
                <w:rFonts w:hint="eastAsia" w:ascii="Times New Roman" w:hAnsi="Times New Roman" w:eastAsia="宋体" w:cs="Times New Roman"/>
                <w:color w:val="auto"/>
                <w:sz w:val="22"/>
                <w:lang w:val="en-US" w:eastAsia="zh-CN"/>
              </w:rPr>
              <w:t>33.71</w:t>
            </w:r>
          </w:p>
        </w:tc>
        <w:tc>
          <w:tcPr>
            <w:tcW w:w="1172" w:type="dxa"/>
            <w:shd w:val="clear" w:color="auto" w:fill="FFFFFF"/>
            <w:vAlign w:val="center"/>
          </w:tcPr>
          <w:p w14:paraId="6018837E">
            <w:pPr>
              <w:jc w:val="center"/>
              <w:rPr>
                <w:rFonts w:hint="default" w:ascii="Times New Roman" w:hAnsi="Times New Roman" w:eastAsia="宋体" w:cs="Times New Roman"/>
                <w:color w:val="auto"/>
                <w:sz w:val="22"/>
                <w:lang w:val="en-US" w:eastAsia="zh-CN"/>
              </w:rPr>
            </w:pPr>
            <w:r>
              <w:rPr>
                <w:rFonts w:hint="eastAsia" w:ascii="Times New Roman" w:hAnsi="Times New Roman" w:eastAsia="宋体" w:cs="Times New Roman"/>
                <w:color w:val="auto"/>
                <w:sz w:val="22"/>
                <w:lang w:val="en-US" w:eastAsia="zh-CN"/>
              </w:rPr>
              <w:t>52.10</w:t>
            </w:r>
          </w:p>
        </w:tc>
        <w:tc>
          <w:tcPr>
            <w:tcW w:w="1159" w:type="dxa"/>
            <w:shd w:val="clear" w:color="auto" w:fill="FFFFFF"/>
            <w:vAlign w:val="center"/>
          </w:tcPr>
          <w:p w14:paraId="262711B7">
            <w:pPr>
              <w:jc w:val="center"/>
              <w:rPr>
                <w:rFonts w:hint="default" w:ascii="Times New Roman" w:hAnsi="Times New Roman" w:eastAsia="宋体" w:cs="Times New Roman"/>
                <w:color w:val="auto"/>
                <w:sz w:val="22"/>
                <w:lang w:val="en-US" w:eastAsia="zh-CN"/>
              </w:rPr>
            </w:pPr>
            <w:r>
              <w:rPr>
                <w:rFonts w:hint="eastAsia" w:ascii="Times New Roman" w:hAnsi="Times New Roman" w:eastAsia="宋体" w:cs="Times New Roman"/>
                <w:color w:val="auto"/>
                <w:sz w:val="22"/>
                <w:lang w:val="en-US" w:eastAsia="zh-CN"/>
              </w:rPr>
              <w:t>51.49</w:t>
            </w:r>
          </w:p>
        </w:tc>
        <w:tc>
          <w:tcPr>
            <w:tcW w:w="1159" w:type="dxa"/>
            <w:shd w:val="clear" w:color="auto" w:fill="FFFFFF"/>
            <w:vAlign w:val="center"/>
          </w:tcPr>
          <w:p w14:paraId="43DF6575">
            <w:pPr>
              <w:jc w:val="center"/>
              <w:rPr>
                <w:rFonts w:hint="default" w:ascii="Times New Roman" w:hAnsi="Times New Roman" w:eastAsia="宋体" w:cs="Times New Roman"/>
                <w:color w:val="auto"/>
                <w:sz w:val="22"/>
                <w:lang w:val="en-US" w:eastAsia="zh-CN"/>
              </w:rPr>
            </w:pPr>
            <w:r>
              <w:rPr>
                <w:rFonts w:hint="eastAsia" w:ascii="Times New Roman" w:hAnsi="Times New Roman" w:eastAsia="宋体" w:cs="Times New Roman"/>
                <w:color w:val="auto"/>
                <w:sz w:val="22"/>
                <w:lang w:val="en-US" w:eastAsia="zh-CN"/>
              </w:rPr>
              <w:t>65</w:t>
            </w:r>
          </w:p>
        </w:tc>
        <w:tc>
          <w:tcPr>
            <w:tcW w:w="783" w:type="dxa"/>
            <w:shd w:val="clear" w:color="auto" w:fill="FFFFFF"/>
            <w:vAlign w:val="center"/>
          </w:tcPr>
          <w:p w14:paraId="6C441A62">
            <w:pPr>
              <w:jc w:val="center"/>
              <w:rPr>
                <w:rFonts w:ascii="Times New Roman" w:hAnsi="Times New Roman" w:eastAsia="宋体" w:cs="Times New Roman"/>
                <w:color w:val="auto"/>
                <w:sz w:val="22"/>
              </w:rPr>
            </w:pPr>
            <w:r>
              <w:rPr>
                <w:rFonts w:ascii="Times New Roman" w:hAnsi="Times New Roman" w:eastAsia="宋体" w:cs="Times New Roman"/>
                <w:color w:val="auto"/>
                <w:sz w:val="22"/>
              </w:rPr>
              <w:t>达标</w:t>
            </w:r>
          </w:p>
        </w:tc>
      </w:tr>
      <w:tr w14:paraId="08934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5" w:type="dxa"/>
            <w:vMerge w:val="continue"/>
            <w:shd w:val="clear" w:color="auto" w:fill="FFFFFF"/>
            <w:vAlign w:val="center"/>
          </w:tcPr>
          <w:p w14:paraId="3E1296B1">
            <w:pPr>
              <w:jc w:val="center"/>
              <w:rPr>
                <w:rFonts w:ascii="Times New Roman" w:hAnsi="Times New Roman" w:eastAsia="宋体" w:cs="Times New Roman"/>
                <w:color w:val="auto"/>
                <w:sz w:val="22"/>
              </w:rPr>
            </w:pPr>
          </w:p>
        </w:tc>
        <w:tc>
          <w:tcPr>
            <w:tcW w:w="990" w:type="dxa"/>
            <w:vMerge w:val="continue"/>
            <w:shd w:val="clear" w:color="auto" w:fill="FFFFFF"/>
            <w:vAlign w:val="center"/>
          </w:tcPr>
          <w:p w14:paraId="6A2BCF60">
            <w:pPr>
              <w:jc w:val="center"/>
              <w:rPr>
                <w:rFonts w:ascii="Times New Roman" w:hAnsi="Times New Roman" w:eastAsia="宋体" w:cs="Times New Roman"/>
                <w:color w:val="auto"/>
                <w:sz w:val="22"/>
              </w:rPr>
            </w:pPr>
          </w:p>
        </w:tc>
        <w:tc>
          <w:tcPr>
            <w:tcW w:w="851" w:type="dxa"/>
            <w:vMerge w:val="continue"/>
            <w:shd w:val="clear" w:color="auto" w:fill="FFFFFF"/>
            <w:vAlign w:val="center"/>
          </w:tcPr>
          <w:p w14:paraId="2DBF963B">
            <w:pPr>
              <w:jc w:val="center"/>
              <w:rPr>
                <w:rFonts w:ascii="Times New Roman" w:hAnsi="Times New Roman" w:eastAsia="宋体" w:cs="Times New Roman"/>
                <w:color w:val="auto"/>
                <w:sz w:val="22"/>
              </w:rPr>
            </w:pPr>
          </w:p>
        </w:tc>
        <w:tc>
          <w:tcPr>
            <w:tcW w:w="708" w:type="dxa"/>
            <w:shd w:val="clear" w:color="auto" w:fill="FFFFFF"/>
            <w:vAlign w:val="center"/>
          </w:tcPr>
          <w:p w14:paraId="29F30EAE">
            <w:pPr>
              <w:jc w:val="center"/>
              <w:rPr>
                <w:rFonts w:hint="default" w:ascii="Times New Roman" w:hAnsi="Times New Roman" w:eastAsia="宋体" w:cs="Times New Roman"/>
                <w:color w:val="auto"/>
                <w:sz w:val="22"/>
                <w:lang w:val="en-US" w:eastAsia="zh-CN"/>
              </w:rPr>
            </w:pPr>
            <w:r>
              <w:rPr>
                <w:rFonts w:hint="eastAsia" w:ascii="Times New Roman" w:hAnsi="Times New Roman" w:eastAsia="宋体" w:cs="Times New Roman"/>
                <w:color w:val="auto"/>
                <w:sz w:val="22"/>
                <w:lang w:val="en-US" w:eastAsia="zh-CN"/>
              </w:rPr>
              <w:t>37</w:t>
            </w:r>
          </w:p>
        </w:tc>
        <w:tc>
          <w:tcPr>
            <w:tcW w:w="694" w:type="dxa"/>
            <w:shd w:val="clear" w:color="auto" w:fill="FFFFFF"/>
            <w:vAlign w:val="center"/>
          </w:tcPr>
          <w:p w14:paraId="6C86FA5B">
            <w:pPr>
              <w:jc w:val="center"/>
              <w:rPr>
                <w:rFonts w:ascii="Times New Roman" w:hAnsi="Times New Roman" w:eastAsia="宋体" w:cs="Times New Roman"/>
                <w:color w:val="auto"/>
                <w:sz w:val="22"/>
              </w:rPr>
            </w:pPr>
            <w:r>
              <w:rPr>
                <w:rFonts w:ascii="Times New Roman" w:hAnsi="Times New Roman" w:eastAsia="宋体" w:cs="Times New Roman"/>
                <w:color w:val="auto"/>
                <w:sz w:val="22"/>
              </w:rPr>
              <w:t>夜间</w:t>
            </w:r>
          </w:p>
        </w:tc>
        <w:tc>
          <w:tcPr>
            <w:tcW w:w="1119" w:type="dxa"/>
            <w:shd w:val="clear" w:color="auto" w:fill="FFFFFF"/>
            <w:vAlign w:val="center"/>
          </w:tcPr>
          <w:p w14:paraId="245E7F27">
            <w:pPr>
              <w:jc w:val="center"/>
              <w:rPr>
                <w:rFonts w:hint="default" w:ascii="Times New Roman" w:hAnsi="Times New Roman" w:eastAsia="宋体" w:cs="Times New Roman"/>
                <w:color w:val="auto"/>
                <w:sz w:val="22"/>
                <w:lang w:val="en-US" w:eastAsia="zh-CN"/>
              </w:rPr>
            </w:pPr>
            <w:r>
              <w:rPr>
                <w:rFonts w:hint="eastAsia" w:ascii="Times New Roman" w:hAnsi="Times New Roman" w:eastAsia="宋体" w:cs="Times New Roman"/>
                <w:color w:val="auto"/>
                <w:sz w:val="22"/>
                <w:lang w:val="en-US" w:eastAsia="zh-CN"/>
              </w:rPr>
              <w:t>33.70</w:t>
            </w:r>
          </w:p>
        </w:tc>
        <w:tc>
          <w:tcPr>
            <w:tcW w:w="1172" w:type="dxa"/>
            <w:shd w:val="clear" w:color="auto" w:fill="FFFFFF"/>
            <w:vAlign w:val="center"/>
          </w:tcPr>
          <w:p w14:paraId="1F7B3C0F">
            <w:pPr>
              <w:jc w:val="center"/>
              <w:rPr>
                <w:rFonts w:hint="default" w:ascii="Times New Roman" w:hAnsi="Times New Roman" w:eastAsia="宋体" w:cs="Times New Roman"/>
                <w:color w:val="auto"/>
                <w:sz w:val="22"/>
                <w:lang w:val="en-US" w:eastAsia="zh-CN"/>
              </w:rPr>
            </w:pPr>
            <w:r>
              <w:rPr>
                <w:rFonts w:hint="eastAsia" w:ascii="Times New Roman" w:hAnsi="Times New Roman" w:eastAsia="宋体" w:cs="Times New Roman"/>
                <w:color w:val="auto"/>
                <w:sz w:val="22"/>
                <w:lang w:val="en-US" w:eastAsia="zh-CN"/>
              </w:rPr>
              <w:t>42.30</w:t>
            </w:r>
          </w:p>
        </w:tc>
        <w:tc>
          <w:tcPr>
            <w:tcW w:w="1159" w:type="dxa"/>
            <w:shd w:val="clear" w:color="auto" w:fill="FFFFFF"/>
            <w:vAlign w:val="center"/>
          </w:tcPr>
          <w:p w14:paraId="113F6A66">
            <w:pPr>
              <w:jc w:val="center"/>
              <w:rPr>
                <w:rFonts w:hint="default" w:ascii="Times New Roman" w:hAnsi="Times New Roman" w:eastAsia="宋体" w:cs="Times New Roman"/>
                <w:color w:val="auto"/>
                <w:sz w:val="22"/>
                <w:lang w:val="en-US" w:eastAsia="zh-CN"/>
              </w:rPr>
            </w:pPr>
            <w:r>
              <w:rPr>
                <w:rFonts w:hint="eastAsia" w:ascii="Times New Roman" w:hAnsi="Times New Roman" w:eastAsia="宋体" w:cs="Times New Roman"/>
                <w:color w:val="auto"/>
                <w:sz w:val="22"/>
                <w:lang w:val="en-US" w:eastAsia="zh-CN"/>
              </w:rPr>
              <w:t>42.86</w:t>
            </w:r>
          </w:p>
        </w:tc>
        <w:tc>
          <w:tcPr>
            <w:tcW w:w="1159" w:type="dxa"/>
            <w:shd w:val="clear" w:color="auto" w:fill="FFFFFF"/>
            <w:vAlign w:val="center"/>
          </w:tcPr>
          <w:p w14:paraId="48E18FEA">
            <w:pPr>
              <w:jc w:val="center"/>
              <w:rPr>
                <w:rFonts w:hint="default" w:ascii="Times New Roman" w:hAnsi="Times New Roman" w:eastAsia="宋体" w:cs="Times New Roman"/>
                <w:color w:val="auto"/>
                <w:sz w:val="22"/>
                <w:lang w:val="en-US" w:eastAsia="zh-CN"/>
              </w:rPr>
            </w:pPr>
            <w:r>
              <w:rPr>
                <w:rFonts w:hint="eastAsia" w:ascii="Times New Roman" w:hAnsi="Times New Roman" w:eastAsia="宋体" w:cs="Times New Roman"/>
                <w:color w:val="auto"/>
                <w:sz w:val="22"/>
                <w:lang w:val="en-US" w:eastAsia="zh-CN"/>
              </w:rPr>
              <w:t>55</w:t>
            </w:r>
          </w:p>
        </w:tc>
        <w:tc>
          <w:tcPr>
            <w:tcW w:w="783" w:type="dxa"/>
            <w:shd w:val="clear" w:color="auto" w:fill="FFFFFF"/>
            <w:vAlign w:val="center"/>
          </w:tcPr>
          <w:p w14:paraId="105ADB14">
            <w:pPr>
              <w:jc w:val="center"/>
              <w:rPr>
                <w:rFonts w:ascii="Times New Roman" w:hAnsi="Times New Roman" w:eastAsia="宋体" w:cs="Times New Roman"/>
                <w:color w:val="auto"/>
                <w:sz w:val="22"/>
              </w:rPr>
            </w:pPr>
            <w:r>
              <w:rPr>
                <w:rFonts w:ascii="Times New Roman" w:hAnsi="Times New Roman" w:eastAsia="宋体" w:cs="Times New Roman"/>
                <w:color w:val="auto"/>
                <w:sz w:val="22"/>
              </w:rPr>
              <w:t>达标</w:t>
            </w:r>
          </w:p>
        </w:tc>
      </w:tr>
      <w:tr w14:paraId="6E2FD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5" w:type="dxa"/>
            <w:vMerge w:val="restart"/>
            <w:shd w:val="clear" w:color="auto" w:fill="FFFFFF"/>
            <w:vAlign w:val="center"/>
          </w:tcPr>
          <w:p w14:paraId="14AFA34D">
            <w:pPr>
              <w:jc w:val="center"/>
              <w:rPr>
                <w:rFonts w:hint="eastAsia" w:ascii="Times New Roman" w:hAnsi="Times New Roman" w:eastAsia="宋体" w:cs="Times New Roman"/>
                <w:color w:val="auto"/>
                <w:sz w:val="22"/>
                <w:lang w:val="en-US" w:eastAsia="zh-CN"/>
              </w:rPr>
            </w:pPr>
            <w:r>
              <w:rPr>
                <w:rFonts w:hint="eastAsia" w:ascii="Times New Roman" w:hAnsi="Times New Roman" w:eastAsia="宋体" w:cs="Times New Roman"/>
                <w:color w:val="auto"/>
                <w:sz w:val="22"/>
                <w:lang w:val="en-US" w:eastAsia="zh-CN"/>
              </w:rPr>
              <w:t>西侧</w:t>
            </w:r>
          </w:p>
        </w:tc>
        <w:tc>
          <w:tcPr>
            <w:tcW w:w="990" w:type="dxa"/>
            <w:vMerge w:val="restart"/>
            <w:shd w:val="clear" w:color="auto" w:fill="FFFFFF"/>
            <w:vAlign w:val="center"/>
          </w:tcPr>
          <w:p w14:paraId="31188156">
            <w:pPr>
              <w:jc w:val="center"/>
              <w:rPr>
                <w:rFonts w:hint="default" w:ascii="Times New Roman" w:hAnsi="Times New Roman" w:eastAsia="宋体" w:cs="Times New Roman"/>
                <w:color w:val="auto"/>
                <w:sz w:val="22"/>
                <w:lang w:val="en-US" w:eastAsia="zh-CN"/>
              </w:rPr>
            </w:pPr>
            <w:r>
              <w:rPr>
                <w:rFonts w:hint="eastAsia" w:ascii="Times New Roman" w:hAnsi="Times New Roman" w:eastAsia="宋体" w:cs="Times New Roman"/>
                <w:color w:val="auto"/>
                <w:sz w:val="22"/>
                <w:lang w:val="en-US" w:eastAsia="zh-CN"/>
              </w:rPr>
              <w:t>-29.66</w:t>
            </w:r>
          </w:p>
        </w:tc>
        <w:tc>
          <w:tcPr>
            <w:tcW w:w="851" w:type="dxa"/>
            <w:vMerge w:val="restart"/>
            <w:shd w:val="clear" w:color="auto" w:fill="FFFFFF"/>
            <w:vAlign w:val="center"/>
          </w:tcPr>
          <w:p w14:paraId="14269B35">
            <w:pPr>
              <w:jc w:val="center"/>
              <w:rPr>
                <w:rFonts w:hint="default" w:ascii="Times New Roman" w:hAnsi="Times New Roman" w:eastAsia="宋体" w:cs="Times New Roman"/>
                <w:color w:val="auto"/>
                <w:sz w:val="22"/>
                <w:lang w:val="en-US" w:eastAsia="zh-CN"/>
              </w:rPr>
            </w:pPr>
            <w:r>
              <w:rPr>
                <w:rFonts w:hint="eastAsia" w:ascii="Times New Roman" w:hAnsi="Times New Roman" w:eastAsia="宋体" w:cs="Times New Roman"/>
                <w:color w:val="auto"/>
                <w:sz w:val="22"/>
                <w:lang w:val="en-US" w:eastAsia="zh-CN"/>
              </w:rPr>
              <w:t>74.59</w:t>
            </w:r>
          </w:p>
        </w:tc>
        <w:tc>
          <w:tcPr>
            <w:tcW w:w="708" w:type="dxa"/>
            <w:shd w:val="clear" w:color="auto" w:fill="FFFFFF"/>
            <w:vAlign w:val="center"/>
          </w:tcPr>
          <w:p w14:paraId="281D075D">
            <w:pPr>
              <w:jc w:val="center"/>
              <w:rPr>
                <w:rFonts w:hint="default" w:ascii="Times New Roman" w:hAnsi="Times New Roman" w:eastAsia="宋体" w:cs="Times New Roman"/>
                <w:color w:val="auto"/>
                <w:sz w:val="22"/>
                <w:lang w:val="en-US" w:eastAsia="zh-CN"/>
              </w:rPr>
            </w:pPr>
            <w:r>
              <w:rPr>
                <w:rFonts w:hint="eastAsia" w:ascii="Times New Roman" w:hAnsi="Times New Roman" w:eastAsia="宋体" w:cs="Times New Roman"/>
                <w:color w:val="auto"/>
                <w:sz w:val="22"/>
                <w:lang w:val="en-US" w:eastAsia="zh-CN"/>
              </w:rPr>
              <w:t>37</w:t>
            </w:r>
          </w:p>
        </w:tc>
        <w:tc>
          <w:tcPr>
            <w:tcW w:w="694" w:type="dxa"/>
            <w:shd w:val="clear" w:color="auto" w:fill="FFFFFF"/>
            <w:vAlign w:val="center"/>
          </w:tcPr>
          <w:p w14:paraId="7CB03CB8">
            <w:pPr>
              <w:jc w:val="center"/>
              <w:rPr>
                <w:rFonts w:ascii="Times New Roman" w:hAnsi="Times New Roman" w:eastAsia="宋体" w:cs="Times New Roman"/>
                <w:color w:val="auto"/>
                <w:sz w:val="22"/>
              </w:rPr>
            </w:pPr>
            <w:r>
              <w:rPr>
                <w:rFonts w:ascii="Times New Roman" w:hAnsi="Times New Roman" w:eastAsia="宋体" w:cs="Times New Roman"/>
                <w:color w:val="auto"/>
                <w:sz w:val="22"/>
              </w:rPr>
              <w:t>昼间</w:t>
            </w:r>
          </w:p>
        </w:tc>
        <w:tc>
          <w:tcPr>
            <w:tcW w:w="1119" w:type="dxa"/>
            <w:shd w:val="clear" w:color="auto" w:fill="FFFFFF"/>
            <w:vAlign w:val="center"/>
          </w:tcPr>
          <w:p w14:paraId="198C7393">
            <w:pPr>
              <w:jc w:val="center"/>
              <w:rPr>
                <w:rFonts w:hint="default" w:ascii="Times New Roman" w:hAnsi="Times New Roman" w:eastAsia="宋体" w:cs="Times New Roman"/>
                <w:color w:val="auto"/>
                <w:sz w:val="22"/>
                <w:lang w:val="en-US" w:eastAsia="zh-CN"/>
              </w:rPr>
            </w:pPr>
            <w:r>
              <w:rPr>
                <w:rFonts w:hint="eastAsia" w:ascii="Times New Roman" w:hAnsi="Times New Roman" w:eastAsia="宋体" w:cs="Times New Roman"/>
                <w:color w:val="auto"/>
                <w:sz w:val="22"/>
                <w:lang w:val="en-US" w:eastAsia="zh-CN"/>
              </w:rPr>
              <w:t>29.62</w:t>
            </w:r>
          </w:p>
        </w:tc>
        <w:tc>
          <w:tcPr>
            <w:tcW w:w="1172" w:type="dxa"/>
            <w:shd w:val="clear" w:color="auto" w:fill="FFFFFF"/>
            <w:vAlign w:val="center"/>
          </w:tcPr>
          <w:p w14:paraId="7F3D1240">
            <w:pPr>
              <w:jc w:val="center"/>
              <w:rPr>
                <w:rFonts w:hint="default" w:ascii="Times New Roman" w:hAnsi="Times New Roman" w:eastAsia="宋体" w:cs="Times New Roman"/>
                <w:color w:val="auto"/>
                <w:sz w:val="22"/>
                <w:lang w:val="en-US" w:eastAsia="zh-CN"/>
              </w:rPr>
            </w:pPr>
            <w:r>
              <w:rPr>
                <w:rFonts w:hint="eastAsia" w:ascii="Times New Roman" w:hAnsi="Times New Roman" w:eastAsia="宋体" w:cs="Times New Roman"/>
                <w:color w:val="auto"/>
                <w:sz w:val="22"/>
                <w:lang w:val="en-US" w:eastAsia="zh-CN"/>
              </w:rPr>
              <w:t>62.10</w:t>
            </w:r>
          </w:p>
        </w:tc>
        <w:tc>
          <w:tcPr>
            <w:tcW w:w="1159" w:type="dxa"/>
            <w:shd w:val="clear" w:color="auto" w:fill="FFFFFF"/>
            <w:vAlign w:val="center"/>
          </w:tcPr>
          <w:p w14:paraId="1016590E">
            <w:pPr>
              <w:jc w:val="center"/>
              <w:rPr>
                <w:rFonts w:hint="default" w:ascii="Times New Roman" w:hAnsi="Times New Roman" w:eastAsia="宋体" w:cs="Times New Roman"/>
                <w:color w:val="auto"/>
                <w:sz w:val="22"/>
                <w:lang w:val="en-US" w:eastAsia="zh-CN"/>
              </w:rPr>
            </w:pPr>
            <w:r>
              <w:rPr>
                <w:rFonts w:hint="eastAsia" w:ascii="Times New Roman" w:hAnsi="Times New Roman" w:eastAsia="宋体" w:cs="Times New Roman"/>
                <w:color w:val="auto"/>
                <w:sz w:val="22"/>
                <w:lang w:val="en-US" w:eastAsia="zh-CN"/>
              </w:rPr>
              <w:t>62.10</w:t>
            </w:r>
          </w:p>
        </w:tc>
        <w:tc>
          <w:tcPr>
            <w:tcW w:w="1159" w:type="dxa"/>
            <w:shd w:val="clear" w:color="auto" w:fill="FFFFFF"/>
            <w:vAlign w:val="center"/>
          </w:tcPr>
          <w:p w14:paraId="44632B74">
            <w:pPr>
              <w:jc w:val="center"/>
              <w:rPr>
                <w:rFonts w:hint="default" w:ascii="Times New Roman" w:hAnsi="Times New Roman" w:eastAsia="宋体" w:cs="Times New Roman"/>
                <w:color w:val="auto"/>
                <w:sz w:val="22"/>
                <w:lang w:val="en-US" w:eastAsia="zh-CN"/>
              </w:rPr>
            </w:pPr>
            <w:r>
              <w:rPr>
                <w:rFonts w:hint="eastAsia" w:ascii="Times New Roman" w:hAnsi="Times New Roman" w:eastAsia="宋体" w:cs="Times New Roman"/>
                <w:color w:val="auto"/>
                <w:sz w:val="22"/>
                <w:lang w:val="en-US" w:eastAsia="zh-CN"/>
              </w:rPr>
              <w:t>70</w:t>
            </w:r>
          </w:p>
        </w:tc>
        <w:tc>
          <w:tcPr>
            <w:tcW w:w="783" w:type="dxa"/>
            <w:shd w:val="clear" w:color="auto" w:fill="FFFFFF"/>
            <w:vAlign w:val="center"/>
          </w:tcPr>
          <w:p w14:paraId="2B86D1EA">
            <w:pPr>
              <w:jc w:val="center"/>
              <w:rPr>
                <w:rFonts w:ascii="Times New Roman" w:hAnsi="Times New Roman" w:eastAsia="宋体" w:cs="Times New Roman"/>
                <w:color w:val="auto"/>
                <w:sz w:val="22"/>
              </w:rPr>
            </w:pPr>
            <w:r>
              <w:rPr>
                <w:rFonts w:ascii="Times New Roman" w:hAnsi="Times New Roman" w:eastAsia="宋体" w:cs="Times New Roman"/>
                <w:color w:val="auto"/>
                <w:sz w:val="22"/>
              </w:rPr>
              <w:t>达标</w:t>
            </w:r>
          </w:p>
        </w:tc>
      </w:tr>
      <w:tr w14:paraId="23924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5" w:type="dxa"/>
            <w:vMerge w:val="continue"/>
            <w:shd w:val="clear" w:color="auto" w:fill="FFFFFF"/>
            <w:vAlign w:val="center"/>
          </w:tcPr>
          <w:p w14:paraId="3B5EBE2E">
            <w:pPr>
              <w:jc w:val="center"/>
              <w:rPr>
                <w:rFonts w:ascii="Times New Roman" w:hAnsi="Times New Roman" w:eastAsia="宋体" w:cs="Times New Roman"/>
                <w:color w:val="auto"/>
                <w:sz w:val="22"/>
              </w:rPr>
            </w:pPr>
          </w:p>
        </w:tc>
        <w:tc>
          <w:tcPr>
            <w:tcW w:w="990" w:type="dxa"/>
            <w:vMerge w:val="continue"/>
            <w:shd w:val="clear" w:color="auto" w:fill="FFFFFF"/>
            <w:vAlign w:val="center"/>
          </w:tcPr>
          <w:p w14:paraId="3CB2B1F8">
            <w:pPr>
              <w:jc w:val="center"/>
              <w:rPr>
                <w:rFonts w:ascii="Times New Roman" w:hAnsi="Times New Roman" w:eastAsia="宋体" w:cs="Times New Roman"/>
                <w:color w:val="auto"/>
                <w:sz w:val="22"/>
              </w:rPr>
            </w:pPr>
          </w:p>
        </w:tc>
        <w:tc>
          <w:tcPr>
            <w:tcW w:w="851" w:type="dxa"/>
            <w:vMerge w:val="continue"/>
            <w:shd w:val="clear" w:color="auto" w:fill="FFFFFF"/>
            <w:vAlign w:val="center"/>
          </w:tcPr>
          <w:p w14:paraId="2E6246F8">
            <w:pPr>
              <w:jc w:val="center"/>
              <w:rPr>
                <w:rFonts w:ascii="Times New Roman" w:hAnsi="Times New Roman" w:eastAsia="宋体" w:cs="Times New Roman"/>
                <w:color w:val="auto"/>
                <w:sz w:val="22"/>
              </w:rPr>
            </w:pPr>
          </w:p>
        </w:tc>
        <w:tc>
          <w:tcPr>
            <w:tcW w:w="708" w:type="dxa"/>
            <w:shd w:val="clear" w:color="auto" w:fill="FFFFFF"/>
            <w:vAlign w:val="center"/>
          </w:tcPr>
          <w:p w14:paraId="0B4963B3">
            <w:pPr>
              <w:jc w:val="center"/>
              <w:rPr>
                <w:rFonts w:hint="default" w:ascii="Times New Roman" w:hAnsi="Times New Roman" w:eastAsia="宋体" w:cs="Times New Roman"/>
                <w:color w:val="auto"/>
                <w:sz w:val="22"/>
                <w:lang w:val="en-US" w:eastAsia="zh-CN"/>
              </w:rPr>
            </w:pPr>
            <w:r>
              <w:rPr>
                <w:rFonts w:hint="eastAsia" w:ascii="Times New Roman" w:hAnsi="Times New Roman" w:eastAsia="宋体" w:cs="Times New Roman"/>
                <w:color w:val="auto"/>
                <w:sz w:val="22"/>
                <w:lang w:val="en-US" w:eastAsia="zh-CN"/>
              </w:rPr>
              <w:t>37</w:t>
            </w:r>
          </w:p>
        </w:tc>
        <w:tc>
          <w:tcPr>
            <w:tcW w:w="694" w:type="dxa"/>
            <w:shd w:val="clear" w:color="auto" w:fill="FFFFFF"/>
            <w:vAlign w:val="center"/>
          </w:tcPr>
          <w:p w14:paraId="19828812">
            <w:pPr>
              <w:jc w:val="center"/>
              <w:rPr>
                <w:rFonts w:ascii="Times New Roman" w:hAnsi="Times New Roman" w:eastAsia="宋体" w:cs="Times New Roman"/>
                <w:color w:val="auto"/>
                <w:sz w:val="22"/>
              </w:rPr>
            </w:pPr>
            <w:r>
              <w:rPr>
                <w:rFonts w:ascii="Times New Roman" w:hAnsi="Times New Roman" w:eastAsia="宋体" w:cs="Times New Roman"/>
                <w:color w:val="auto"/>
                <w:sz w:val="22"/>
              </w:rPr>
              <w:t>夜间</w:t>
            </w:r>
          </w:p>
        </w:tc>
        <w:tc>
          <w:tcPr>
            <w:tcW w:w="1119" w:type="dxa"/>
            <w:shd w:val="clear" w:color="auto" w:fill="FFFFFF"/>
            <w:vAlign w:val="center"/>
          </w:tcPr>
          <w:p w14:paraId="5BBE8549">
            <w:pPr>
              <w:jc w:val="center"/>
              <w:rPr>
                <w:rFonts w:hint="default" w:ascii="Times New Roman" w:hAnsi="Times New Roman" w:eastAsia="宋体" w:cs="Times New Roman"/>
                <w:color w:val="auto"/>
                <w:sz w:val="22"/>
                <w:lang w:val="en-US" w:eastAsia="zh-CN"/>
              </w:rPr>
            </w:pPr>
            <w:r>
              <w:rPr>
                <w:rFonts w:hint="eastAsia" w:ascii="Times New Roman" w:hAnsi="Times New Roman" w:eastAsia="宋体" w:cs="Times New Roman"/>
                <w:color w:val="auto"/>
                <w:sz w:val="22"/>
                <w:lang w:val="en-US" w:eastAsia="zh-CN"/>
              </w:rPr>
              <w:t>29.40</w:t>
            </w:r>
          </w:p>
        </w:tc>
        <w:tc>
          <w:tcPr>
            <w:tcW w:w="1172" w:type="dxa"/>
            <w:shd w:val="clear" w:color="auto" w:fill="FFFFFF"/>
            <w:vAlign w:val="center"/>
          </w:tcPr>
          <w:p w14:paraId="76FE752D">
            <w:pPr>
              <w:jc w:val="center"/>
              <w:rPr>
                <w:rFonts w:hint="default" w:ascii="Times New Roman" w:hAnsi="Times New Roman" w:eastAsia="宋体" w:cs="Times New Roman"/>
                <w:color w:val="auto"/>
                <w:sz w:val="22"/>
                <w:lang w:val="en-US" w:eastAsia="zh-CN"/>
              </w:rPr>
            </w:pPr>
            <w:r>
              <w:rPr>
                <w:rFonts w:hint="eastAsia" w:ascii="Times New Roman" w:hAnsi="Times New Roman" w:eastAsia="宋体" w:cs="Times New Roman"/>
                <w:color w:val="auto"/>
                <w:sz w:val="22"/>
                <w:lang w:val="en-US" w:eastAsia="zh-CN"/>
              </w:rPr>
              <w:t>39.20</w:t>
            </w:r>
          </w:p>
        </w:tc>
        <w:tc>
          <w:tcPr>
            <w:tcW w:w="1159" w:type="dxa"/>
            <w:shd w:val="clear" w:color="auto" w:fill="FFFFFF"/>
            <w:vAlign w:val="center"/>
          </w:tcPr>
          <w:p w14:paraId="3FAADD4D">
            <w:pPr>
              <w:jc w:val="center"/>
              <w:rPr>
                <w:rFonts w:hint="default" w:ascii="Times New Roman" w:hAnsi="Times New Roman" w:eastAsia="宋体" w:cs="Times New Roman"/>
                <w:color w:val="auto"/>
                <w:sz w:val="22"/>
                <w:lang w:val="en-US" w:eastAsia="zh-CN"/>
              </w:rPr>
            </w:pPr>
            <w:r>
              <w:rPr>
                <w:rFonts w:hint="eastAsia" w:ascii="Times New Roman" w:hAnsi="Times New Roman" w:eastAsia="宋体" w:cs="Times New Roman"/>
                <w:color w:val="auto"/>
                <w:sz w:val="22"/>
                <w:lang w:val="en-US" w:eastAsia="zh-CN"/>
              </w:rPr>
              <w:t>39.63</w:t>
            </w:r>
          </w:p>
        </w:tc>
        <w:tc>
          <w:tcPr>
            <w:tcW w:w="1159" w:type="dxa"/>
            <w:shd w:val="clear" w:color="auto" w:fill="FFFFFF"/>
            <w:vAlign w:val="center"/>
          </w:tcPr>
          <w:p w14:paraId="18F8A6BF">
            <w:pPr>
              <w:jc w:val="center"/>
              <w:rPr>
                <w:rFonts w:hint="default" w:ascii="Times New Roman" w:hAnsi="Times New Roman" w:eastAsia="宋体" w:cs="Times New Roman"/>
                <w:color w:val="auto"/>
                <w:sz w:val="22"/>
                <w:lang w:val="en-US" w:eastAsia="zh-CN"/>
              </w:rPr>
            </w:pPr>
            <w:r>
              <w:rPr>
                <w:rFonts w:hint="eastAsia" w:ascii="Times New Roman" w:hAnsi="Times New Roman" w:eastAsia="宋体" w:cs="Times New Roman"/>
                <w:color w:val="auto"/>
                <w:sz w:val="22"/>
                <w:lang w:val="en-US" w:eastAsia="zh-CN"/>
              </w:rPr>
              <w:t>55</w:t>
            </w:r>
          </w:p>
        </w:tc>
        <w:tc>
          <w:tcPr>
            <w:tcW w:w="783" w:type="dxa"/>
            <w:shd w:val="clear" w:color="auto" w:fill="FFFFFF"/>
            <w:vAlign w:val="center"/>
          </w:tcPr>
          <w:p w14:paraId="1621A3B6">
            <w:pPr>
              <w:jc w:val="center"/>
              <w:rPr>
                <w:rFonts w:ascii="Times New Roman" w:hAnsi="Times New Roman" w:eastAsia="宋体" w:cs="Times New Roman"/>
                <w:color w:val="auto"/>
                <w:sz w:val="22"/>
              </w:rPr>
            </w:pPr>
            <w:r>
              <w:rPr>
                <w:rFonts w:ascii="Times New Roman" w:hAnsi="Times New Roman" w:eastAsia="宋体" w:cs="Times New Roman"/>
                <w:color w:val="auto"/>
                <w:sz w:val="22"/>
              </w:rPr>
              <w:t>达标</w:t>
            </w:r>
          </w:p>
        </w:tc>
      </w:tr>
      <w:tr w14:paraId="7B013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5" w:type="dxa"/>
            <w:vMerge w:val="restart"/>
            <w:shd w:val="clear" w:color="auto" w:fill="FFFFFF"/>
            <w:vAlign w:val="center"/>
          </w:tcPr>
          <w:p w14:paraId="3E55BB3D">
            <w:pPr>
              <w:jc w:val="center"/>
              <w:rPr>
                <w:rFonts w:hint="eastAsia" w:ascii="Times New Roman" w:hAnsi="Times New Roman" w:eastAsia="宋体" w:cs="Times New Roman"/>
                <w:color w:val="auto"/>
                <w:sz w:val="22"/>
                <w:lang w:val="en-US" w:eastAsia="zh-CN"/>
              </w:rPr>
            </w:pPr>
            <w:r>
              <w:rPr>
                <w:rFonts w:hint="eastAsia" w:ascii="Times New Roman" w:hAnsi="Times New Roman" w:eastAsia="宋体" w:cs="Times New Roman"/>
                <w:color w:val="auto"/>
                <w:sz w:val="22"/>
                <w:lang w:val="en-US" w:eastAsia="zh-CN"/>
              </w:rPr>
              <w:t>东侧</w:t>
            </w:r>
          </w:p>
        </w:tc>
        <w:tc>
          <w:tcPr>
            <w:tcW w:w="990" w:type="dxa"/>
            <w:vMerge w:val="restart"/>
            <w:shd w:val="clear" w:color="auto" w:fill="FFFFFF"/>
            <w:vAlign w:val="center"/>
          </w:tcPr>
          <w:p w14:paraId="79FCEF9E">
            <w:pPr>
              <w:jc w:val="center"/>
              <w:rPr>
                <w:rFonts w:hint="default" w:ascii="Times New Roman" w:hAnsi="Times New Roman" w:eastAsia="宋体" w:cs="Times New Roman"/>
                <w:color w:val="auto"/>
                <w:sz w:val="22"/>
                <w:lang w:val="en-US" w:eastAsia="zh-CN"/>
              </w:rPr>
            </w:pPr>
            <w:r>
              <w:rPr>
                <w:rFonts w:hint="eastAsia" w:ascii="Times New Roman" w:hAnsi="Times New Roman" w:eastAsia="宋体" w:cs="Times New Roman"/>
                <w:color w:val="auto"/>
                <w:sz w:val="22"/>
                <w:lang w:val="en-US" w:eastAsia="zh-CN"/>
              </w:rPr>
              <w:t>203.45</w:t>
            </w:r>
          </w:p>
        </w:tc>
        <w:tc>
          <w:tcPr>
            <w:tcW w:w="851" w:type="dxa"/>
            <w:vMerge w:val="restart"/>
            <w:shd w:val="clear" w:color="auto" w:fill="FFFFFF"/>
            <w:vAlign w:val="center"/>
          </w:tcPr>
          <w:p w14:paraId="77818624">
            <w:pPr>
              <w:jc w:val="center"/>
              <w:rPr>
                <w:rFonts w:hint="default" w:ascii="Times New Roman" w:hAnsi="Times New Roman" w:eastAsia="宋体" w:cs="Times New Roman"/>
                <w:color w:val="auto"/>
                <w:sz w:val="22"/>
                <w:lang w:val="en-US" w:eastAsia="zh-CN"/>
              </w:rPr>
            </w:pPr>
            <w:r>
              <w:rPr>
                <w:rFonts w:hint="eastAsia" w:ascii="Times New Roman" w:hAnsi="Times New Roman" w:eastAsia="宋体" w:cs="Times New Roman"/>
                <w:color w:val="auto"/>
                <w:sz w:val="22"/>
                <w:lang w:val="en-US" w:eastAsia="zh-CN"/>
              </w:rPr>
              <w:t>244.51</w:t>
            </w:r>
          </w:p>
        </w:tc>
        <w:tc>
          <w:tcPr>
            <w:tcW w:w="708" w:type="dxa"/>
            <w:shd w:val="clear" w:color="auto" w:fill="FFFFFF"/>
            <w:vAlign w:val="center"/>
          </w:tcPr>
          <w:p w14:paraId="3F041C1F">
            <w:pPr>
              <w:jc w:val="center"/>
              <w:rPr>
                <w:rFonts w:hint="default" w:ascii="Times New Roman" w:hAnsi="Times New Roman" w:eastAsia="宋体" w:cs="Times New Roman"/>
                <w:color w:val="auto"/>
                <w:sz w:val="22"/>
                <w:lang w:val="en-US" w:eastAsia="zh-CN"/>
              </w:rPr>
            </w:pPr>
            <w:r>
              <w:rPr>
                <w:rFonts w:hint="eastAsia" w:ascii="Times New Roman" w:hAnsi="Times New Roman" w:eastAsia="宋体" w:cs="Times New Roman"/>
                <w:color w:val="auto"/>
                <w:sz w:val="22"/>
                <w:lang w:val="en-US" w:eastAsia="zh-CN"/>
              </w:rPr>
              <w:t>37</w:t>
            </w:r>
          </w:p>
        </w:tc>
        <w:tc>
          <w:tcPr>
            <w:tcW w:w="694" w:type="dxa"/>
            <w:shd w:val="clear" w:color="auto" w:fill="FFFFFF"/>
            <w:vAlign w:val="center"/>
          </w:tcPr>
          <w:p w14:paraId="1BB7B3A5">
            <w:pPr>
              <w:jc w:val="center"/>
              <w:rPr>
                <w:rFonts w:ascii="Times New Roman" w:hAnsi="Times New Roman" w:eastAsia="宋体" w:cs="Times New Roman"/>
                <w:color w:val="auto"/>
                <w:sz w:val="22"/>
              </w:rPr>
            </w:pPr>
            <w:r>
              <w:rPr>
                <w:rFonts w:ascii="Times New Roman" w:hAnsi="Times New Roman" w:eastAsia="宋体" w:cs="Times New Roman"/>
                <w:color w:val="auto"/>
                <w:sz w:val="22"/>
              </w:rPr>
              <w:t>昼间</w:t>
            </w:r>
          </w:p>
        </w:tc>
        <w:tc>
          <w:tcPr>
            <w:tcW w:w="1119" w:type="dxa"/>
            <w:shd w:val="clear" w:color="auto" w:fill="FFFFFF"/>
            <w:vAlign w:val="center"/>
          </w:tcPr>
          <w:p w14:paraId="3BF34839">
            <w:pPr>
              <w:jc w:val="center"/>
              <w:rPr>
                <w:rFonts w:hint="default" w:ascii="Times New Roman" w:hAnsi="Times New Roman" w:eastAsia="宋体" w:cs="Times New Roman"/>
                <w:color w:val="auto"/>
                <w:sz w:val="22"/>
                <w:lang w:val="en-US" w:eastAsia="zh-CN"/>
              </w:rPr>
            </w:pPr>
            <w:r>
              <w:rPr>
                <w:rFonts w:hint="eastAsia" w:ascii="Times New Roman" w:hAnsi="Times New Roman" w:eastAsia="宋体" w:cs="Times New Roman"/>
                <w:color w:val="auto"/>
                <w:sz w:val="22"/>
                <w:lang w:val="en-US" w:eastAsia="zh-CN"/>
              </w:rPr>
              <w:t>45.28</w:t>
            </w:r>
          </w:p>
        </w:tc>
        <w:tc>
          <w:tcPr>
            <w:tcW w:w="1172" w:type="dxa"/>
            <w:shd w:val="clear" w:color="auto" w:fill="FFFFFF"/>
            <w:vAlign w:val="center"/>
          </w:tcPr>
          <w:p w14:paraId="33FA8509">
            <w:pPr>
              <w:jc w:val="center"/>
              <w:rPr>
                <w:rFonts w:hint="default" w:ascii="Times New Roman" w:hAnsi="Times New Roman" w:eastAsia="宋体" w:cs="Times New Roman"/>
                <w:color w:val="auto"/>
                <w:sz w:val="22"/>
                <w:lang w:val="en-US" w:eastAsia="zh-CN"/>
              </w:rPr>
            </w:pPr>
            <w:r>
              <w:rPr>
                <w:rFonts w:hint="eastAsia" w:ascii="Times New Roman" w:hAnsi="Times New Roman" w:eastAsia="宋体" w:cs="Times New Roman"/>
                <w:color w:val="auto"/>
                <w:sz w:val="22"/>
                <w:lang w:val="en-US" w:eastAsia="zh-CN"/>
              </w:rPr>
              <w:t>50.30</w:t>
            </w:r>
          </w:p>
        </w:tc>
        <w:tc>
          <w:tcPr>
            <w:tcW w:w="1159" w:type="dxa"/>
            <w:shd w:val="clear" w:color="auto" w:fill="FFFFFF"/>
            <w:vAlign w:val="center"/>
          </w:tcPr>
          <w:p w14:paraId="7173875F">
            <w:pPr>
              <w:jc w:val="center"/>
              <w:rPr>
                <w:rFonts w:hint="default" w:ascii="Times New Roman" w:hAnsi="Times New Roman" w:eastAsia="宋体" w:cs="Times New Roman"/>
                <w:color w:val="auto"/>
                <w:sz w:val="22"/>
                <w:lang w:val="en-US" w:eastAsia="zh-CN"/>
              </w:rPr>
            </w:pPr>
            <w:r>
              <w:rPr>
                <w:rFonts w:hint="eastAsia" w:ascii="Times New Roman" w:hAnsi="Times New Roman" w:eastAsia="宋体" w:cs="Times New Roman"/>
                <w:color w:val="auto"/>
                <w:sz w:val="22"/>
                <w:lang w:val="en-US" w:eastAsia="zh-CN"/>
              </w:rPr>
              <w:t>51.49</w:t>
            </w:r>
          </w:p>
        </w:tc>
        <w:tc>
          <w:tcPr>
            <w:tcW w:w="1159" w:type="dxa"/>
            <w:shd w:val="clear" w:color="auto" w:fill="FFFFFF"/>
            <w:vAlign w:val="center"/>
          </w:tcPr>
          <w:p w14:paraId="781D3DD2">
            <w:pPr>
              <w:jc w:val="center"/>
              <w:rPr>
                <w:rFonts w:hint="default" w:ascii="Times New Roman" w:hAnsi="Times New Roman" w:eastAsia="宋体" w:cs="Times New Roman"/>
                <w:color w:val="auto"/>
                <w:sz w:val="22"/>
                <w:lang w:val="en-US" w:eastAsia="zh-CN"/>
              </w:rPr>
            </w:pPr>
            <w:r>
              <w:rPr>
                <w:rFonts w:hint="eastAsia" w:ascii="Times New Roman" w:hAnsi="Times New Roman" w:eastAsia="宋体" w:cs="Times New Roman"/>
                <w:color w:val="auto"/>
                <w:sz w:val="22"/>
                <w:lang w:val="en-US" w:eastAsia="zh-CN"/>
              </w:rPr>
              <w:t>65</w:t>
            </w:r>
          </w:p>
        </w:tc>
        <w:tc>
          <w:tcPr>
            <w:tcW w:w="783" w:type="dxa"/>
            <w:shd w:val="clear" w:color="auto" w:fill="FFFFFF"/>
            <w:vAlign w:val="center"/>
          </w:tcPr>
          <w:p w14:paraId="14D99A4D">
            <w:pPr>
              <w:jc w:val="center"/>
              <w:rPr>
                <w:rFonts w:ascii="Times New Roman" w:hAnsi="Times New Roman" w:eastAsia="宋体" w:cs="Times New Roman"/>
                <w:color w:val="auto"/>
                <w:sz w:val="22"/>
              </w:rPr>
            </w:pPr>
            <w:r>
              <w:rPr>
                <w:rFonts w:ascii="Times New Roman" w:hAnsi="Times New Roman" w:eastAsia="宋体" w:cs="Times New Roman"/>
                <w:color w:val="auto"/>
                <w:sz w:val="22"/>
              </w:rPr>
              <w:t>达标</w:t>
            </w:r>
          </w:p>
        </w:tc>
      </w:tr>
      <w:tr w14:paraId="356C5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5" w:type="dxa"/>
            <w:vMerge w:val="continue"/>
            <w:shd w:val="clear" w:color="auto" w:fill="FFFFFF"/>
            <w:vAlign w:val="center"/>
          </w:tcPr>
          <w:p w14:paraId="798B892B">
            <w:pPr>
              <w:jc w:val="center"/>
              <w:rPr>
                <w:rFonts w:ascii="Times New Roman" w:hAnsi="Times New Roman" w:eastAsia="宋体" w:cs="Times New Roman"/>
                <w:color w:val="auto"/>
                <w:sz w:val="22"/>
              </w:rPr>
            </w:pPr>
          </w:p>
        </w:tc>
        <w:tc>
          <w:tcPr>
            <w:tcW w:w="990" w:type="dxa"/>
            <w:vMerge w:val="continue"/>
            <w:shd w:val="clear" w:color="auto" w:fill="FFFFFF"/>
            <w:vAlign w:val="center"/>
          </w:tcPr>
          <w:p w14:paraId="791A29A2">
            <w:pPr>
              <w:jc w:val="center"/>
              <w:rPr>
                <w:rFonts w:ascii="Times New Roman" w:hAnsi="Times New Roman" w:eastAsia="宋体" w:cs="Times New Roman"/>
                <w:color w:val="auto"/>
                <w:sz w:val="22"/>
              </w:rPr>
            </w:pPr>
          </w:p>
        </w:tc>
        <w:tc>
          <w:tcPr>
            <w:tcW w:w="851" w:type="dxa"/>
            <w:vMerge w:val="continue"/>
            <w:shd w:val="clear" w:color="auto" w:fill="FFFFFF"/>
            <w:vAlign w:val="center"/>
          </w:tcPr>
          <w:p w14:paraId="7BBC2528">
            <w:pPr>
              <w:jc w:val="center"/>
              <w:rPr>
                <w:rFonts w:ascii="Times New Roman" w:hAnsi="Times New Roman" w:eastAsia="宋体" w:cs="Times New Roman"/>
                <w:color w:val="auto"/>
                <w:sz w:val="22"/>
              </w:rPr>
            </w:pPr>
          </w:p>
        </w:tc>
        <w:tc>
          <w:tcPr>
            <w:tcW w:w="708" w:type="dxa"/>
            <w:shd w:val="clear" w:color="auto" w:fill="FFFFFF"/>
            <w:vAlign w:val="center"/>
          </w:tcPr>
          <w:p w14:paraId="7BEA72BA">
            <w:pPr>
              <w:jc w:val="center"/>
              <w:rPr>
                <w:rFonts w:hint="default" w:ascii="Times New Roman" w:hAnsi="Times New Roman" w:eastAsia="宋体" w:cs="Times New Roman"/>
                <w:color w:val="auto"/>
                <w:sz w:val="22"/>
                <w:lang w:val="en-US" w:eastAsia="zh-CN"/>
              </w:rPr>
            </w:pPr>
            <w:r>
              <w:rPr>
                <w:rFonts w:hint="eastAsia" w:ascii="Times New Roman" w:hAnsi="Times New Roman" w:eastAsia="宋体" w:cs="Times New Roman"/>
                <w:color w:val="auto"/>
                <w:sz w:val="22"/>
                <w:lang w:val="en-US" w:eastAsia="zh-CN"/>
              </w:rPr>
              <w:t>37</w:t>
            </w:r>
          </w:p>
        </w:tc>
        <w:tc>
          <w:tcPr>
            <w:tcW w:w="694" w:type="dxa"/>
            <w:shd w:val="clear" w:color="auto" w:fill="FFFFFF"/>
            <w:vAlign w:val="center"/>
          </w:tcPr>
          <w:p w14:paraId="6C404BDE">
            <w:pPr>
              <w:jc w:val="center"/>
              <w:rPr>
                <w:rFonts w:ascii="Times New Roman" w:hAnsi="Times New Roman" w:eastAsia="宋体" w:cs="Times New Roman"/>
                <w:color w:val="auto"/>
                <w:sz w:val="22"/>
              </w:rPr>
            </w:pPr>
            <w:r>
              <w:rPr>
                <w:rFonts w:ascii="Times New Roman" w:hAnsi="Times New Roman" w:eastAsia="宋体" w:cs="Times New Roman"/>
                <w:color w:val="auto"/>
                <w:sz w:val="22"/>
              </w:rPr>
              <w:t>夜间</w:t>
            </w:r>
          </w:p>
        </w:tc>
        <w:tc>
          <w:tcPr>
            <w:tcW w:w="1119" w:type="dxa"/>
            <w:shd w:val="clear" w:color="auto" w:fill="FFFFFF"/>
            <w:vAlign w:val="center"/>
          </w:tcPr>
          <w:p w14:paraId="1BBC25AC">
            <w:pPr>
              <w:jc w:val="center"/>
              <w:rPr>
                <w:rFonts w:hint="default" w:ascii="Times New Roman" w:hAnsi="Times New Roman" w:eastAsia="宋体" w:cs="Times New Roman"/>
                <w:color w:val="auto"/>
                <w:sz w:val="22"/>
                <w:lang w:val="en-US" w:eastAsia="zh-CN"/>
              </w:rPr>
            </w:pPr>
            <w:r>
              <w:rPr>
                <w:rFonts w:hint="eastAsia" w:ascii="Times New Roman" w:hAnsi="Times New Roman" w:eastAsia="宋体" w:cs="Times New Roman"/>
                <w:color w:val="auto"/>
                <w:sz w:val="22"/>
                <w:lang w:val="en-US" w:eastAsia="zh-CN"/>
              </w:rPr>
              <w:t>45.28</w:t>
            </w:r>
          </w:p>
        </w:tc>
        <w:tc>
          <w:tcPr>
            <w:tcW w:w="1172" w:type="dxa"/>
            <w:shd w:val="clear" w:color="auto" w:fill="FFFFFF"/>
            <w:vAlign w:val="center"/>
          </w:tcPr>
          <w:p w14:paraId="44C2BB1C">
            <w:pPr>
              <w:jc w:val="center"/>
              <w:rPr>
                <w:rFonts w:hint="default" w:ascii="Times New Roman" w:hAnsi="Times New Roman" w:eastAsia="宋体" w:cs="Times New Roman"/>
                <w:color w:val="auto"/>
                <w:sz w:val="22"/>
                <w:lang w:val="en-US" w:eastAsia="zh-CN"/>
              </w:rPr>
            </w:pPr>
            <w:r>
              <w:rPr>
                <w:rFonts w:hint="eastAsia" w:ascii="Times New Roman" w:hAnsi="Times New Roman" w:eastAsia="宋体" w:cs="Times New Roman"/>
                <w:color w:val="auto"/>
                <w:sz w:val="22"/>
                <w:lang w:val="en-US" w:eastAsia="zh-CN"/>
              </w:rPr>
              <w:t>41.7</w:t>
            </w:r>
          </w:p>
        </w:tc>
        <w:tc>
          <w:tcPr>
            <w:tcW w:w="1159" w:type="dxa"/>
            <w:shd w:val="clear" w:color="auto" w:fill="FFFFFF"/>
            <w:vAlign w:val="center"/>
          </w:tcPr>
          <w:p w14:paraId="2E9469F9">
            <w:pPr>
              <w:jc w:val="center"/>
              <w:rPr>
                <w:rFonts w:hint="default" w:ascii="Times New Roman" w:hAnsi="Times New Roman" w:eastAsia="宋体" w:cs="Times New Roman"/>
                <w:color w:val="auto"/>
                <w:sz w:val="22"/>
                <w:lang w:val="en-US" w:eastAsia="zh-CN"/>
              </w:rPr>
            </w:pPr>
            <w:r>
              <w:rPr>
                <w:rFonts w:hint="eastAsia" w:ascii="Times New Roman" w:hAnsi="Times New Roman" w:eastAsia="宋体" w:cs="Times New Roman"/>
                <w:color w:val="auto"/>
                <w:sz w:val="22"/>
                <w:lang w:val="en-US" w:eastAsia="zh-CN"/>
              </w:rPr>
              <w:t>46.86</w:t>
            </w:r>
          </w:p>
        </w:tc>
        <w:tc>
          <w:tcPr>
            <w:tcW w:w="1159" w:type="dxa"/>
            <w:shd w:val="clear" w:color="auto" w:fill="FFFFFF"/>
            <w:vAlign w:val="center"/>
          </w:tcPr>
          <w:p w14:paraId="43361C38">
            <w:pPr>
              <w:jc w:val="center"/>
              <w:rPr>
                <w:rFonts w:hint="default" w:ascii="Times New Roman" w:hAnsi="Times New Roman" w:eastAsia="宋体" w:cs="Times New Roman"/>
                <w:color w:val="auto"/>
                <w:sz w:val="22"/>
                <w:lang w:val="en-US" w:eastAsia="zh-CN"/>
              </w:rPr>
            </w:pPr>
            <w:r>
              <w:rPr>
                <w:rFonts w:hint="eastAsia" w:ascii="Times New Roman" w:hAnsi="Times New Roman" w:eastAsia="宋体" w:cs="Times New Roman"/>
                <w:color w:val="auto"/>
                <w:sz w:val="22"/>
                <w:lang w:val="en-US" w:eastAsia="zh-CN"/>
              </w:rPr>
              <w:t>55</w:t>
            </w:r>
          </w:p>
        </w:tc>
        <w:tc>
          <w:tcPr>
            <w:tcW w:w="783" w:type="dxa"/>
            <w:shd w:val="clear" w:color="auto" w:fill="FFFFFF"/>
            <w:vAlign w:val="center"/>
          </w:tcPr>
          <w:p w14:paraId="0DE56BFC">
            <w:pPr>
              <w:jc w:val="center"/>
              <w:rPr>
                <w:rFonts w:ascii="Times New Roman" w:hAnsi="Times New Roman" w:eastAsia="宋体" w:cs="Times New Roman"/>
                <w:color w:val="auto"/>
                <w:sz w:val="22"/>
              </w:rPr>
            </w:pPr>
            <w:r>
              <w:rPr>
                <w:rFonts w:ascii="Times New Roman" w:hAnsi="Times New Roman" w:eastAsia="宋体" w:cs="Times New Roman"/>
                <w:color w:val="auto"/>
                <w:sz w:val="22"/>
              </w:rPr>
              <w:t>达标</w:t>
            </w:r>
          </w:p>
        </w:tc>
      </w:tr>
      <w:tr w14:paraId="2541A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5" w:type="dxa"/>
            <w:vMerge w:val="restart"/>
            <w:shd w:val="clear" w:color="auto" w:fill="FFFFFF"/>
            <w:vAlign w:val="center"/>
          </w:tcPr>
          <w:p w14:paraId="19048C28">
            <w:pPr>
              <w:jc w:val="center"/>
              <w:rPr>
                <w:rFonts w:hint="eastAsia" w:ascii="Times New Roman" w:hAnsi="Times New Roman" w:eastAsia="宋体" w:cs="Times New Roman"/>
                <w:color w:val="auto"/>
                <w:sz w:val="22"/>
                <w:lang w:val="en-US" w:eastAsia="zh-CN"/>
              </w:rPr>
            </w:pPr>
            <w:r>
              <w:rPr>
                <w:rFonts w:hint="eastAsia" w:ascii="Times New Roman" w:hAnsi="Times New Roman" w:eastAsia="宋体" w:cs="Times New Roman"/>
                <w:color w:val="auto"/>
                <w:sz w:val="22"/>
                <w:lang w:val="en-US" w:eastAsia="zh-CN"/>
              </w:rPr>
              <w:t>北侧</w:t>
            </w:r>
          </w:p>
        </w:tc>
        <w:tc>
          <w:tcPr>
            <w:tcW w:w="990" w:type="dxa"/>
            <w:vMerge w:val="restart"/>
            <w:shd w:val="clear" w:color="auto" w:fill="FFFFFF"/>
            <w:vAlign w:val="center"/>
          </w:tcPr>
          <w:p w14:paraId="5E818B62">
            <w:pPr>
              <w:jc w:val="center"/>
              <w:rPr>
                <w:rFonts w:hint="default" w:ascii="Times New Roman" w:hAnsi="Times New Roman" w:eastAsia="宋体" w:cs="Times New Roman"/>
                <w:color w:val="auto"/>
                <w:sz w:val="22"/>
                <w:lang w:val="en-US" w:eastAsia="zh-CN"/>
              </w:rPr>
            </w:pPr>
            <w:r>
              <w:rPr>
                <w:rFonts w:hint="eastAsia" w:ascii="Times New Roman" w:hAnsi="Times New Roman" w:eastAsia="宋体" w:cs="Times New Roman"/>
                <w:color w:val="auto"/>
                <w:sz w:val="22"/>
                <w:lang w:val="en-US" w:eastAsia="zh-CN"/>
              </w:rPr>
              <w:t>66.87</w:t>
            </w:r>
          </w:p>
        </w:tc>
        <w:tc>
          <w:tcPr>
            <w:tcW w:w="851" w:type="dxa"/>
            <w:vMerge w:val="restart"/>
            <w:shd w:val="clear" w:color="auto" w:fill="FFFFFF"/>
            <w:vAlign w:val="center"/>
          </w:tcPr>
          <w:p w14:paraId="2ACD18ED">
            <w:pPr>
              <w:jc w:val="center"/>
              <w:rPr>
                <w:rFonts w:hint="default" w:ascii="Times New Roman" w:hAnsi="Times New Roman" w:eastAsia="宋体" w:cs="Times New Roman"/>
                <w:color w:val="auto"/>
                <w:sz w:val="22"/>
                <w:lang w:val="en-US" w:eastAsia="zh-CN"/>
              </w:rPr>
            </w:pPr>
            <w:r>
              <w:rPr>
                <w:rFonts w:hint="eastAsia" w:ascii="Times New Roman" w:hAnsi="Times New Roman" w:eastAsia="宋体" w:cs="Times New Roman"/>
                <w:color w:val="auto"/>
                <w:sz w:val="22"/>
                <w:lang w:val="en-US" w:eastAsia="zh-CN"/>
              </w:rPr>
              <w:t>257.10</w:t>
            </w:r>
          </w:p>
        </w:tc>
        <w:tc>
          <w:tcPr>
            <w:tcW w:w="708" w:type="dxa"/>
            <w:shd w:val="clear" w:color="auto" w:fill="FFFFFF"/>
            <w:vAlign w:val="center"/>
          </w:tcPr>
          <w:p w14:paraId="19420C46">
            <w:pPr>
              <w:jc w:val="center"/>
              <w:rPr>
                <w:rFonts w:hint="default" w:ascii="Times New Roman" w:hAnsi="Times New Roman" w:eastAsia="宋体" w:cs="Times New Roman"/>
                <w:color w:val="auto"/>
                <w:sz w:val="22"/>
                <w:lang w:val="en-US" w:eastAsia="zh-CN"/>
              </w:rPr>
            </w:pPr>
            <w:r>
              <w:rPr>
                <w:rFonts w:hint="eastAsia" w:ascii="Times New Roman" w:hAnsi="Times New Roman" w:eastAsia="宋体" w:cs="Times New Roman"/>
                <w:color w:val="auto"/>
                <w:sz w:val="22"/>
                <w:lang w:val="en-US" w:eastAsia="zh-CN"/>
              </w:rPr>
              <w:t>37</w:t>
            </w:r>
          </w:p>
        </w:tc>
        <w:tc>
          <w:tcPr>
            <w:tcW w:w="694" w:type="dxa"/>
            <w:shd w:val="clear" w:color="auto" w:fill="FFFFFF"/>
            <w:vAlign w:val="center"/>
          </w:tcPr>
          <w:p w14:paraId="15DD9A8C">
            <w:pPr>
              <w:jc w:val="center"/>
              <w:rPr>
                <w:rFonts w:ascii="Times New Roman" w:hAnsi="Times New Roman" w:eastAsia="宋体" w:cs="Times New Roman"/>
                <w:color w:val="auto"/>
                <w:sz w:val="22"/>
              </w:rPr>
            </w:pPr>
            <w:r>
              <w:rPr>
                <w:rFonts w:ascii="Times New Roman" w:hAnsi="Times New Roman" w:eastAsia="宋体" w:cs="Times New Roman"/>
                <w:color w:val="auto"/>
                <w:sz w:val="22"/>
              </w:rPr>
              <w:t>昼间</w:t>
            </w:r>
          </w:p>
        </w:tc>
        <w:tc>
          <w:tcPr>
            <w:tcW w:w="1119" w:type="dxa"/>
            <w:shd w:val="clear" w:color="auto" w:fill="FFFFFF"/>
            <w:vAlign w:val="center"/>
          </w:tcPr>
          <w:p w14:paraId="46E411BE">
            <w:pPr>
              <w:jc w:val="center"/>
              <w:rPr>
                <w:rFonts w:hint="default" w:ascii="Times New Roman" w:hAnsi="Times New Roman" w:eastAsia="宋体" w:cs="Times New Roman"/>
                <w:color w:val="auto"/>
                <w:sz w:val="22"/>
                <w:lang w:val="en-US" w:eastAsia="zh-CN"/>
              </w:rPr>
            </w:pPr>
            <w:r>
              <w:rPr>
                <w:rFonts w:hint="eastAsia" w:ascii="Times New Roman" w:hAnsi="Times New Roman" w:eastAsia="宋体" w:cs="Times New Roman"/>
                <w:color w:val="auto"/>
                <w:sz w:val="22"/>
                <w:lang w:val="en-US" w:eastAsia="zh-CN"/>
              </w:rPr>
              <w:t>46.56</w:t>
            </w:r>
          </w:p>
        </w:tc>
        <w:tc>
          <w:tcPr>
            <w:tcW w:w="1172" w:type="dxa"/>
            <w:shd w:val="clear" w:color="auto" w:fill="FFFFFF"/>
            <w:vAlign w:val="center"/>
          </w:tcPr>
          <w:p w14:paraId="289F546E">
            <w:pPr>
              <w:jc w:val="center"/>
              <w:rPr>
                <w:rFonts w:hint="default" w:ascii="Times New Roman" w:hAnsi="Times New Roman" w:eastAsia="宋体" w:cs="Times New Roman"/>
                <w:color w:val="auto"/>
                <w:sz w:val="22"/>
                <w:lang w:val="en-US" w:eastAsia="zh-CN"/>
              </w:rPr>
            </w:pPr>
            <w:r>
              <w:rPr>
                <w:rFonts w:hint="eastAsia" w:ascii="Times New Roman" w:hAnsi="Times New Roman" w:eastAsia="宋体" w:cs="Times New Roman"/>
                <w:color w:val="auto"/>
                <w:sz w:val="22"/>
                <w:lang w:val="en-US" w:eastAsia="zh-CN"/>
              </w:rPr>
              <w:t>54.20</w:t>
            </w:r>
          </w:p>
        </w:tc>
        <w:tc>
          <w:tcPr>
            <w:tcW w:w="1159" w:type="dxa"/>
            <w:shd w:val="clear" w:color="auto" w:fill="FFFFFF"/>
            <w:vAlign w:val="center"/>
          </w:tcPr>
          <w:p w14:paraId="717E9A6A">
            <w:pPr>
              <w:jc w:val="center"/>
              <w:rPr>
                <w:rFonts w:hint="default" w:ascii="Times New Roman" w:hAnsi="Times New Roman" w:eastAsia="宋体" w:cs="Times New Roman"/>
                <w:color w:val="auto"/>
                <w:sz w:val="22"/>
                <w:lang w:val="en-US" w:eastAsia="zh-CN"/>
              </w:rPr>
            </w:pPr>
            <w:r>
              <w:rPr>
                <w:rFonts w:hint="eastAsia" w:ascii="Times New Roman" w:hAnsi="Times New Roman" w:eastAsia="宋体" w:cs="Times New Roman"/>
                <w:color w:val="auto"/>
                <w:sz w:val="22"/>
                <w:lang w:val="en-US" w:eastAsia="zh-CN"/>
              </w:rPr>
              <w:t>54.89</w:t>
            </w:r>
          </w:p>
        </w:tc>
        <w:tc>
          <w:tcPr>
            <w:tcW w:w="1159" w:type="dxa"/>
            <w:shd w:val="clear" w:color="auto" w:fill="FFFFFF"/>
            <w:vAlign w:val="center"/>
          </w:tcPr>
          <w:p w14:paraId="20F6BF22">
            <w:pPr>
              <w:jc w:val="center"/>
              <w:rPr>
                <w:rFonts w:hint="default" w:ascii="Times New Roman" w:hAnsi="Times New Roman" w:eastAsia="宋体" w:cs="Times New Roman"/>
                <w:color w:val="auto"/>
                <w:sz w:val="22"/>
                <w:lang w:val="en-US" w:eastAsia="zh-CN"/>
              </w:rPr>
            </w:pPr>
            <w:r>
              <w:rPr>
                <w:rFonts w:hint="eastAsia" w:ascii="Times New Roman" w:hAnsi="Times New Roman" w:eastAsia="宋体" w:cs="Times New Roman"/>
                <w:color w:val="auto"/>
                <w:sz w:val="22"/>
                <w:lang w:val="en-US" w:eastAsia="zh-CN"/>
              </w:rPr>
              <w:t>65</w:t>
            </w:r>
          </w:p>
        </w:tc>
        <w:tc>
          <w:tcPr>
            <w:tcW w:w="783" w:type="dxa"/>
            <w:shd w:val="clear" w:color="auto" w:fill="FFFFFF"/>
            <w:vAlign w:val="center"/>
          </w:tcPr>
          <w:p w14:paraId="350F411C">
            <w:pPr>
              <w:jc w:val="center"/>
              <w:rPr>
                <w:rFonts w:ascii="Times New Roman" w:hAnsi="Times New Roman" w:eastAsia="宋体" w:cs="Times New Roman"/>
                <w:color w:val="auto"/>
                <w:sz w:val="22"/>
              </w:rPr>
            </w:pPr>
            <w:r>
              <w:rPr>
                <w:rFonts w:ascii="Times New Roman" w:hAnsi="Times New Roman" w:eastAsia="宋体" w:cs="Times New Roman"/>
                <w:color w:val="auto"/>
                <w:sz w:val="22"/>
              </w:rPr>
              <w:t>达标</w:t>
            </w:r>
          </w:p>
        </w:tc>
      </w:tr>
      <w:tr w14:paraId="40219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5" w:type="dxa"/>
            <w:vMerge w:val="continue"/>
            <w:shd w:val="clear" w:color="auto" w:fill="FFFFFF"/>
            <w:vAlign w:val="center"/>
          </w:tcPr>
          <w:p w14:paraId="639BC2A6">
            <w:pPr>
              <w:jc w:val="center"/>
              <w:rPr>
                <w:rFonts w:ascii="Times New Roman" w:hAnsi="Times New Roman" w:eastAsia="宋体" w:cs="Times New Roman"/>
                <w:color w:val="auto"/>
                <w:sz w:val="22"/>
              </w:rPr>
            </w:pPr>
          </w:p>
        </w:tc>
        <w:tc>
          <w:tcPr>
            <w:tcW w:w="990" w:type="dxa"/>
            <w:vMerge w:val="continue"/>
            <w:shd w:val="clear" w:color="auto" w:fill="FFFFFF"/>
            <w:vAlign w:val="center"/>
          </w:tcPr>
          <w:p w14:paraId="69873737">
            <w:pPr>
              <w:jc w:val="center"/>
              <w:rPr>
                <w:rFonts w:ascii="Times New Roman" w:hAnsi="Times New Roman" w:eastAsia="宋体" w:cs="Times New Roman"/>
                <w:color w:val="auto"/>
                <w:sz w:val="22"/>
              </w:rPr>
            </w:pPr>
          </w:p>
        </w:tc>
        <w:tc>
          <w:tcPr>
            <w:tcW w:w="851" w:type="dxa"/>
            <w:vMerge w:val="continue"/>
            <w:shd w:val="clear" w:color="auto" w:fill="FFFFFF"/>
            <w:vAlign w:val="center"/>
          </w:tcPr>
          <w:p w14:paraId="035E1BD1">
            <w:pPr>
              <w:jc w:val="center"/>
              <w:rPr>
                <w:rFonts w:ascii="Times New Roman" w:hAnsi="Times New Roman" w:eastAsia="宋体" w:cs="Times New Roman"/>
                <w:color w:val="auto"/>
                <w:sz w:val="22"/>
              </w:rPr>
            </w:pPr>
          </w:p>
        </w:tc>
        <w:tc>
          <w:tcPr>
            <w:tcW w:w="708" w:type="dxa"/>
            <w:shd w:val="clear" w:color="auto" w:fill="FFFFFF"/>
            <w:vAlign w:val="center"/>
          </w:tcPr>
          <w:p w14:paraId="4C5DC471">
            <w:pPr>
              <w:jc w:val="center"/>
              <w:rPr>
                <w:rFonts w:hint="default" w:ascii="Times New Roman" w:hAnsi="Times New Roman" w:eastAsia="宋体" w:cs="Times New Roman"/>
                <w:color w:val="auto"/>
                <w:sz w:val="22"/>
                <w:lang w:val="en-US" w:eastAsia="zh-CN"/>
              </w:rPr>
            </w:pPr>
            <w:r>
              <w:rPr>
                <w:rFonts w:hint="eastAsia" w:ascii="Times New Roman" w:hAnsi="Times New Roman" w:eastAsia="宋体" w:cs="Times New Roman"/>
                <w:color w:val="auto"/>
                <w:sz w:val="22"/>
                <w:lang w:val="en-US" w:eastAsia="zh-CN"/>
              </w:rPr>
              <w:t>37</w:t>
            </w:r>
          </w:p>
        </w:tc>
        <w:tc>
          <w:tcPr>
            <w:tcW w:w="694" w:type="dxa"/>
            <w:shd w:val="clear" w:color="auto" w:fill="FFFFFF"/>
            <w:vAlign w:val="center"/>
          </w:tcPr>
          <w:p w14:paraId="444600A3">
            <w:pPr>
              <w:jc w:val="center"/>
              <w:rPr>
                <w:rFonts w:ascii="Times New Roman" w:hAnsi="Times New Roman" w:eastAsia="宋体" w:cs="Times New Roman"/>
                <w:color w:val="auto"/>
                <w:sz w:val="22"/>
              </w:rPr>
            </w:pPr>
            <w:r>
              <w:rPr>
                <w:rFonts w:ascii="Times New Roman" w:hAnsi="Times New Roman" w:eastAsia="宋体" w:cs="Times New Roman"/>
                <w:color w:val="auto"/>
                <w:sz w:val="22"/>
              </w:rPr>
              <w:t>夜间</w:t>
            </w:r>
          </w:p>
        </w:tc>
        <w:tc>
          <w:tcPr>
            <w:tcW w:w="1119" w:type="dxa"/>
            <w:shd w:val="clear" w:color="auto" w:fill="FFFFFF"/>
            <w:vAlign w:val="center"/>
          </w:tcPr>
          <w:p w14:paraId="21A05568">
            <w:pPr>
              <w:jc w:val="center"/>
              <w:rPr>
                <w:rFonts w:hint="default" w:ascii="Times New Roman" w:hAnsi="Times New Roman" w:eastAsia="宋体" w:cs="Times New Roman"/>
                <w:color w:val="auto"/>
                <w:sz w:val="22"/>
                <w:lang w:val="en-US" w:eastAsia="zh-CN"/>
              </w:rPr>
            </w:pPr>
            <w:r>
              <w:rPr>
                <w:rFonts w:hint="eastAsia" w:ascii="Times New Roman" w:hAnsi="Times New Roman" w:eastAsia="宋体" w:cs="Times New Roman"/>
                <w:color w:val="auto"/>
                <w:sz w:val="22"/>
                <w:lang w:val="en-US" w:eastAsia="zh-CN"/>
              </w:rPr>
              <w:t>45.98</w:t>
            </w:r>
          </w:p>
        </w:tc>
        <w:tc>
          <w:tcPr>
            <w:tcW w:w="1172" w:type="dxa"/>
            <w:shd w:val="clear" w:color="auto" w:fill="FFFFFF"/>
            <w:vAlign w:val="center"/>
          </w:tcPr>
          <w:p w14:paraId="639B29CC">
            <w:pPr>
              <w:jc w:val="center"/>
              <w:rPr>
                <w:rFonts w:hint="default" w:ascii="Times New Roman" w:hAnsi="Times New Roman" w:eastAsia="宋体" w:cs="Times New Roman"/>
                <w:color w:val="auto"/>
                <w:sz w:val="22"/>
                <w:lang w:val="en-US" w:eastAsia="zh-CN"/>
              </w:rPr>
            </w:pPr>
            <w:r>
              <w:rPr>
                <w:rFonts w:hint="eastAsia" w:ascii="Times New Roman" w:hAnsi="Times New Roman" w:eastAsia="宋体" w:cs="Times New Roman"/>
                <w:color w:val="auto"/>
                <w:sz w:val="22"/>
                <w:lang w:val="en-US" w:eastAsia="zh-CN"/>
              </w:rPr>
              <w:t>41.30</w:t>
            </w:r>
          </w:p>
        </w:tc>
        <w:tc>
          <w:tcPr>
            <w:tcW w:w="1159" w:type="dxa"/>
            <w:shd w:val="clear" w:color="auto" w:fill="FFFFFF"/>
            <w:vAlign w:val="center"/>
          </w:tcPr>
          <w:p w14:paraId="4C934209">
            <w:pPr>
              <w:jc w:val="center"/>
              <w:rPr>
                <w:rFonts w:hint="default" w:ascii="Times New Roman" w:hAnsi="Times New Roman" w:eastAsia="宋体" w:cs="Times New Roman"/>
                <w:color w:val="auto"/>
                <w:sz w:val="22"/>
                <w:lang w:val="en-US" w:eastAsia="zh-CN"/>
              </w:rPr>
            </w:pPr>
            <w:r>
              <w:rPr>
                <w:rFonts w:hint="eastAsia" w:ascii="Times New Roman" w:hAnsi="Times New Roman" w:eastAsia="宋体" w:cs="Times New Roman"/>
                <w:color w:val="auto"/>
                <w:sz w:val="22"/>
                <w:lang w:val="en-US" w:eastAsia="zh-CN"/>
              </w:rPr>
              <w:t>47.25</w:t>
            </w:r>
          </w:p>
        </w:tc>
        <w:tc>
          <w:tcPr>
            <w:tcW w:w="1159" w:type="dxa"/>
            <w:shd w:val="clear" w:color="auto" w:fill="FFFFFF"/>
            <w:vAlign w:val="center"/>
          </w:tcPr>
          <w:p w14:paraId="48591E6C">
            <w:pPr>
              <w:jc w:val="center"/>
              <w:rPr>
                <w:rFonts w:hint="default" w:ascii="Times New Roman" w:hAnsi="Times New Roman" w:eastAsia="宋体" w:cs="Times New Roman"/>
                <w:color w:val="auto"/>
                <w:sz w:val="22"/>
                <w:lang w:val="en-US" w:eastAsia="zh-CN"/>
              </w:rPr>
            </w:pPr>
            <w:r>
              <w:rPr>
                <w:rFonts w:hint="eastAsia" w:ascii="Times New Roman" w:hAnsi="Times New Roman" w:eastAsia="宋体" w:cs="Times New Roman"/>
                <w:color w:val="auto"/>
                <w:sz w:val="22"/>
                <w:lang w:val="en-US" w:eastAsia="zh-CN"/>
              </w:rPr>
              <w:t>55</w:t>
            </w:r>
          </w:p>
        </w:tc>
        <w:tc>
          <w:tcPr>
            <w:tcW w:w="783" w:type="dxa"/>
            <w:shd w:val="clear" w:color="auto" w:fill="FFFFFF"/>
            <w:vAlign w:val="center"/>
          </w:tcPr>
          <w:p w14:paraId="1DF0F632">
            <w:pPr>
              <w:jc w:val="center"/>
              <w:rPr>
                <w:rFonts w:ascii="Times New Roman" w:hAnsi="Times New Roman" w:eastAsia="宋体" w:cs="Times New Roman"/>
                <w:color w:val="auto"/>
                <w:sz w:val="22"/>
              </w:rPr>
            </w:pPr>
            <w:r>
              <w:rPr>
                <w:rFonts w:ascii="Times New Roman" w:hAnsi="Times New Roman" w:eastAsia="宋体" w:cs="Times New Roman"/>
                <w:color w:val="auto"/>
                <w:sz w:val="22"/>
              </w:rPr>
              <w:t>达标</w:t>
            </w:r>
          </w:p>
        </w:tc>
      </w:tr>
    </w:tbl>
    <w:p w14:paraId="62CF9567">
      <w:pPr>
        <w:spacing w:line="360" w:lineRule="auto"/>
        <w:ind w:firstLine="480" w:firstLineChars="200"/>
        <w:rPr>
          <w:rFonts w:ascii="Times New Roman" w:hAnsi="Times New Roman" w:eastAsia="宋体" w:cs="Times New Roman"/>
          <w:color w:val="auto"/>
          <w:sz w:val="24"/>
          <w:szCs w:val="24"/>
        </w:rPr>
      </w:pPr>
    </w:p>
    <w:p w14:paraId="50A3823C">
      <w:pPr>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根据预测结果可知，项目厂</w:t>
      </w:r>
      <w:r>
        <w:rPr>
          <w:rFonts w:hint="eastAsia" w:ascii="Times New Roman" w:hAnsi="Times New Roman" w:eastAsia="宋体" w:cs="Times New Roman"/>
          <w:color w:val="auto"/>
          <w:sz w:val="24"/>
          <w:szCs w:val="24"/>
        </w:rPr>
        <w:t>区南侧、</w:t>
      </w:r>
      <w:r>
        <w:rPr>
          <w:rFonts w:hint="eastAsia" w:ascii="Times New Roman" w:hAnsi="Times New Roman" w:eastAsia="宋体" w:cs="Times New Roman"/>
          <w:color w:val="auto"/>
          <w:sz w:val="24"/>
          <w:szCs w:val="24"/>
          <w:lang w:val="en-US" w:eastAsia="zh-CN"/>
        </w:rPr>
        <w:t>北</w:t>
      </w:r>
      <w:r>
        <w:rPr>
          <w:rFonts w:hint="eastAsia" w:ascii="Times New Roman" w:hAnsi="Times New Roman" w:eastAsia="宋体" w:cs="Times New Roman"/>
          <w:color w:val="auto"/>
          <w:sz w:val="24"/>
          <w:szCs w:val="24"/>
        </w:rPr>
        <w:t>侧</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东侧</w:t>
      </w:r>
      <w:r>
        <w:rPr>
          <w:rFonts w:hint="eastAsia" w:ascii="Times New Roman" w:hAnsi="Times New Roman" w:eastAsia="宋体" w:cs="Times New Roman"/>
          <w:color w:val="auto"/>
          <w:sz w:val="24"/>
          <w:szCs w:val="24"/>
        </w:rPr>
        <w:t>厂界</w:t>
      </w:r>
      <w:r>
        <w:rPr>
          <w:rFonts w:ascii="Times New Roman" w:hAnsi="Times New Roman" w:eastAsia="宋体" w:cs="Times New Roman"/>
          <w:color w:val="auto"/>
          <w:sz w:val="24"/>
          <w:szCs w:val="24"/>
        </w:rPr>
        <w:t>昼、夜间噪声预测值均符合《工业企业厂界环境噪声排放标准》（GB12348-2008）中3类标准</w:t>
      </w:r>
      <w:r>
        <w:rPr>
          <w:rFonts w:hint="eastAsia" w:ascii="Times New Roman" w:hAnsi="Times New Roman" w:eastAsia="宋体" w:cs="Times New Roman"/>
          <w:color w:val="auto"/>
          <w:sz w:val="24"/>
          <w:szCs w:val="24"/>
        </w:rPr>
        <w:t>；</w:t>
      </w:r>
      <w:r>
        <w:rPr>
          <w:rFonts w:ascii="Times New Roman" w:hAnsi="Times New Roman" w:eastAsia="宋体" w:cs="Times New Roman"/>
          <w:color w:val="auto"/>
          <w:sz w:val="24"/>
          <w:szCs w:val="24"/>
        </w:rPr>
        <w:t>项目厂</w:t>
      </w:r>
      <w:r>
        <w:rPr>
          <w:rFonts w:hint="eastAsia" w:ascii="Times New Roman" w:hAnsi="Times New Roman" w:eastAsia="宋体" w:cs="Times New Roman"/>
          <w:color w:val="auto"/>
          <w:sz w:val="24"/>
          <w:szCs w:val="24"/>
        </w:rPr>
        <w:t>区</w:t>
      </w:r>
      <w:r>
        <w:rPr>
          <w:rFonts w:hint="eastAsia" w:ascii="Times New Roman" w:hAnsi="Times New Roman" w:eastAsia="宋体" w:cs="Times New Roman"/>
          <w:color w:val="auto"/>
          <w:sz w:val="24"/>
          <w:szCs w:val="24"/>
          <w:lang w:val="en-US" w:eastAsia="zh-CN"/>
        </w:rPr>
        <w:t>西</w:t>
      </w:r>
      <w:r>
        <w:rPr>
          <w:rFonts w:hint="eastAsia" w:ascii="Times New Roman" w:hAnsi="Times New Roman" w:eastAsia="宋体" w:cs="Times New Roman"/>
          <w:color w:val="auto"/>
          <w:sz w:val="24"/>
          <w:szCs w:val="24"/>
        </w:rPr>
        <w:t>侧厂界</w:t>
      </w:r>
      <w:r>
        <w:rPr>
          <w:rFonts w:ascii="Times New Roman" w:hAnsi="Times New Roman" w:eastAsia="宋体" w:cs="Times New Roman"/>
          <w:color w:val="auto"/>
          <w:sz w:val="24"/>
          <w:szCs w:val="24"/>
        </w:rPr>
        <w:t>昼、夜间噪声预测值均符合《工业企业厂界环境噪声排放标准》（GB12348-2008）中4类标准</w:t>
      </w:r>
      <w:r>
        <w:rPr>
          <w:rFonts w:hint="eastAsia" w:ascii="Times New Roman" w:hAnsi="Times New Roman" w:eastAsia="宋体" w:cs="Times New Roman"/>
          <w:color w:val="auto"/>
          <w:sz w:val="24"/>
          <w:szCs w:val="24"/>
        </w:rPr>
        <w:t>。</w:t>
      </w:r>
    </w:p>
    <w:p w14:paraId="2BC80E44">
      <w:pPr>
        <w:spacing w:line="360" w:lineRule="auto"/>
        <w:rPr>
          <w:rFonts w:ascii="Times New Roman" w:hAnsi="Times New Roman" w:eastAsia="宋体" w:cs="Times New Roman"/>
          <w:color w:val="FF0000"/>
          <w:sz w:val="24"/>
          <w:szCs w:val="24"/>
        </w:rPr>
      </w:pPr>
      <w:r>
        <w:drawing>
          <wp:inline distT="0" distB="0" distL="114300" distR="114300">
            <wp:extent cx="5267960" cy="3667125"/>
            <wp:effectExtent l="0" t="0" r="8890" b="9525"/>
            <wp:docPr id="2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
                    <pic:cNvPicPr>
                      <a:picLocks noChangeAspect="1"/>
                    </pic:cNvPicPr>
                  </pic:nvPicPr>
                  <pic:blipFill>
                    <a:blip r:embed="rId43"/>
                    <a:stretch>
                      <a:fillRect/>
                    </a:stretch>
                  </pic:blipFill>
                  <pic:spPr>
                    <a:xfrm>
                      <a:off x="0" y="0"/>
                      <a:ext cx="5267960" cy="3667125"/>
                    </a:xfrm>
                    <a:prstGeom prst="rect">
                      <a:avLst/>
                    </a:prstGeom>
                    <a:noFill/>
                    <a:ln>
                      <a:noFill/>
                    </a:ln>
                  </pic:spPr>
                </pic:pic>
              </a:graphicData>
            </a:graphic>
          </wp:inline>
        </w:drawing>
      </w:r>
    </w:p>
    <w:p w14:paraId="34D811B5">
      <w:pPr>
        <w:pStyle w:val="6"/>
        <w:bidi w:val="0"/>
      </w:pPr>
      <w:r>
        <w:rPr>
          <w:rFonts w:hint="eastAsia"/>
        </w:rPr>
        <w:t>图</w:t>
      </w:r>
      <w:r>
        <w:t>6.2</w:t>
      </w:r>
      <w:r>
        <w:rPr>
          <w:rFonts w:hint="eastAsia"/>
          <w:lang w:val="en-US" w:eastAsia="zh-CN"/>
        </w:rPr>
        <w:t>.3</w:t>
      </w:r>
      <w:r>
        <w:t>-</w:t>
      </w:r>
      <w:r>
        <w:rPr>
          <w:rFonts w:hint="eastAsia"/>
          <w:lang w:val="en-US" w:eastAsia="zh-CN"/>
        </w:rPr>
        <w:t>1</w:t>
      </w:r>
      <w:r>
        <w:rPr>
          <w:rFonts w:hint="eastAsia"/>
        </w:rPr>
        <w:t xml:space="preserve"> </w:t>
      </w:r>
      <w:r>
        <w:t xml:space="preserve">   </w:t>
      </w:r>
      <w:r>
        <w:rPr>
          <w:rFonts w:hint="eastAsia"/>
        </w:rPr>
        <w:t>项目贡献值等值线图</w:t>
      </w:r>
    </w:p>
    <w:p w14:paraId="602C1FC6">
      <w:pPr>
        <w:pStyle w:val="4"/>
        <w:spacing w:before="156" w:beforeLines="50" w:after="156" w:afterLines="50" w:line="360" w:lineRule="auto"/>
        <w:rPr>
          <w:rFonts w:ascii="Times New Roman" w:hAnsi="Times New Roman"/>
          <w:bCs w:val="0"/>
          <w:color w:val="auto"/>
          <w:kern w:val="0"/>
          <w:sz w:val="24"/>
          <w:szCs w:val="24"/>
        </w:rPr>
      </w:pPr>
      <w:r>
        <w:rPr>
          <w:rFonts w:ascii="Times New Roman" w:hAnsi="Times New Roman"/>
          <w:bCs w:val="0"/>
          <w:color w:val="auto"/>
          <w:kern w:val="0"/>
          <w:sz w:val="24"/>
          <w:szCs w:val="24"/>
        </w:rPr>
        <w:t>6.2.4固体废物环境影响分析</w:t>
      </w:r>
    </w:p>
    <w:p w14:paraId="015D6E2C">
      <w:pPr>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由工程分析可知，本项目产生的</w:t>
      </w:r>
      <w:r>
        <w:rPr>
          <w:rFonts w:hint="eastAsia" w:ascii="Times New Roman" w:hAnsi="Times New Roman" w:eastAsia="宋体" w:cs="Times New Roman"/>
          <w:color w:val="auto"/>
          <w:sz w:val="24"/>
          <w:szCs w:val="24"/>
        </w:rPr>
        <w:t>危险废物主要为</w:t>
      </w:r>
      <w:r>
        <w:rPr>
          <w:rFonts w:hint="eastAsia" w:ascii="Times New Roman" w:hAnsi="Times New Roman" w:eastAsia="宋体" w:cs="Times New Roman"/>
          <w:color w:val="auto"/>
          <w:sz w:val="24"/>
          <w:szCs w:val="24"/>
          <w:lang w:val="en-US" w:eastAsia="zh-CN"/>
        </w:rPr>
        <w:t>废矿物油</w:t>
      </w:r>
      <w:r>
        <w:rPr>
          <w:rFonts w:hint="eastAsia" w:ascii="Times New Roman" w:hAnsi="Times New Roman" w:eastAsia="宋体" w:cs="Times New Roman"/>
          <w:color w:val="auto"/>
          <w:sz w:val="24"/>
          <w:szCs w:val="24"/>
        </w:rPr>
        <w:t>。厂区内已建成</w:t>
      </w:r>
      <w:r>
        <w:rPr>
          <w:rFonts w:ascii="Times New Roman" w:hAnsi="Times New Roman" w:eastAsia="宋体" w:cs="Times New Roman"/>
          <w:color w:val="auto"/>
          <w:sz w:val="24"/>
          <w:szCs w:val="24"/>
        </w:rPr>
        <w:t>一座危废暂存间</w:t>
      </w:r>
      <w:r>
        <w:rPr>
          <w:rFonts w:hint="eastAsia" w:ascii="Times New Roman" w:hAnsi="Times New Roman" w:eastAsia="宋体" w:cs="Times New Roman"/>
          <w:color w:val="auto"/>
          <w:sz w:val="24"/>
          <w:szCs w:val="24"/>
        </w:rPr>
        <w:t>7</w:t>
      </w:r>
      <w:r>
        <w:rPr>
          <w:rFonts w:ascii="Times New Roman" w:hAnsi="Times New Roman" w:eastAsia="宋体" w:cs="Times New Roman"/>
          <w:color w:val="auto"/>
          <w:sz w:val="24"/>
          <w:szCs w:val="24"/>
        </w:rPr>
        <w:t>0</w:t>
      </w:r>
      <w:r>
        <w:rPr>
          <w:rFonts w:hint="eastAsia" w:ascii="Times New Roman" w:hAnsi="Times New Roman" w:eastAsia="宋体" w:cs="Times New Roman"/>
          <w:color w:val="auto"/>
          <w:sz w:val="24"/>
          <w:szCs w:val="24"/>
          <w:lang w:eastAsia="zh-CN"/>
        </w:rPr>
        <w:t>m</w:t>
      </w:r>
      <w:r>
        <w:rPr>
          <w:rFonts w:hint="eastAsia" w:ascii="Times New Roman" w:hAnsi="Times New Roman" w:eastAsia="宋体" w:cs="Times New Roman"/>
          <w:color w:val="auto"/>
          <w:sz w:val="24"/>
          <w:szCs w:val="24"/>
          <w:vertAlign w:val="superscript"/>
          <w:lang w:eastAsia="zh-CN"/>
        </w:rPr>
        <w:t>2</w:t>
      </w:r>
      <w:r>
        <w:rPr>
          <w:rFonts w:hint="eastAsia" w:ascii="Times New Roman" w:hAnsi="Times New Roman" w:eastAsia="宋体" w:cs="Times New Roman"/>
          <w:color w:val="auto"/>
          <w:sz w:val="24"/>
          <w:szCs w:val="24"/>
        </w:rPr>
        <w:t>，建设单位已按照</w:t>
      </w:r>
      <w:r>
        <w:rPr>
          <w:rFonts w:ascii="Times New Roman" w:hAnsi="Times New Roman" w:eastAsia="宋体" w:cs="Times New Roman"/>
          <w:color w:val="auto"/>
          <w:sz w:val="24"/>
          <w:szCs w:val="24"/>
        </w:rPr>
        <w:t>《危险废物贮存污染控制标准》（GB18597-2001）及修改单</w:t>
      </w:r>
      <w:r>
        <w:rPr>
          <w:rFonts w:hint="eastAsia" w:ascii="Times New Roman" w:hAnsi="Times New Roman" w:eastAsia="宋体" w:cs="Times New Roman"/>
          <w:color w:val="auto"/>
          <w:sz w:val="24"/>
          <w:szCs w:val="24"/>
        </w:rPr>
        <w:t>对厂区内危废进行管理。上述危险废物在厂区内危废间暂存后，定期交由有资质单位处置。</w:t>
      </w:r>
    </w:p>
    <w:p w14:paraId="78583A1D">
      <w:pPr>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综上，在采取上述措施后，各类固体废物可得到妥善处理处置。</w:t>
      </w:r>
    </w:p>
    <w:p w14:paraId="6BBA6A36">
      <w:pPr>
        <w:pStyle w:val="4"/>
        <w:spacing w:before="156" w:beforeLines="50" w:after="156" w:afterLines="50" w:line="360" w:lineRule="auto"/>
        <w:rPr>
          <w:rFonts w:ascii="Times New Roman" w:hAnsi="Times New Roman"/>
          <w:bCs w:val="0"/>
          <w:color w:val="auto"/>
          <w:kern w:val="0"/>
          <w:sz w:val="24"/>
          <w:szCs w:val="24"/>
        </w:rPr>
      </w:pPr>
      <w:r>
        <w:rPr>
          <w:rFonts w:ascii="Times New Roman" w:hAnsi="Times New Roman"/>
          <w:bCs w:val="0"/>
          <w:color w:val="auto"/>
          <w:kern w:val="0"/>
          <w:sz w:val="24"/>
          <w:szCs w:val="24"/>
        </w:rPr>
        <w:t>6.2.5地下水环境影响分析</w:t>
      </w:r>
    </w:p>
    <w:p w14:paraId="698992C6">
      <w:pPr>
        <w:pStyle w:val="82"/>
        <w:rPr>
          <w:rFonts w:hint="eastAsia"/>
          <w:color w:val="auto"/>
        </w:rPr>
      </w:pPr>
      <w:r>
        <w:rPr>
          <w:rFonts w:hint="eastAsia"/>
          <w:color w:val="auto"/>
        </w:rPr>
        <w:t>1、正常工况下厂区地下水影响分析</w:t>
      </w:r>
    </w:p>
    <w:p w14:paraId="5DD0AB31">
      <w:pPr>
        <w:pStyle w:val="82"/>
        <w:rPr>
          <w:rFonts w:hint="eastAsia"/>
          <w:color w:val="auto"/>
        </w:rPr>
      </w:pPr>
      <w:r>
        <w:rPr>
          <w:rFonts w:hint="eastAsia"/>
          <w:color w:val="auto"/>
        </w:rPr>
        <w:t>本项目生产废水经管道收集后进入厂区自建污水处理站预处理达标后，排入园区污水处理厂。各生产线生产过程中产生的废水经厂区管道输送进入厂区污水处理站处理；厂区各功能区均设计有良好的排水系统，不会出现积水与内涝情况；厂区各功能分区均按照分区防渗要求进行防腐、防渗处理。</w:t>
      </w:r>
    </w:p>
    <w:p w14:paraId="29445AE8">
      <w:pPr>
        <w:pStyle w:val="82"/>
        <w:rPr>
          <w:rFonts w:hint="eastAsia"/>
          <w:color w:val="auto"/>
        </w:rPr>
      </w:pPr>
      <w:r>
        <w:rPr>
          <w:rFonts w:hint="eastAsia"/>
          <w:color w:val="auto"/>
        </w:rPr>
        <w:t>综上，正常工况下，项目产生的废水与固废经收集后均进行了妥善处理，不会直接排入外环境，同时，厂区将进行有效的分区防渗，各污染物存贮建筑物基本不会有污水的渗漏情况发生，从而在源头上减少了污染物进入含水层的渗漏了量。另外，本项目将建立完善的风险应急预案、设置合理有效的地下水监测井，加强地下水环境监测。因此，正常工况下，项目对地下水的影响较小。</w:t>
      </w:r>
    </w:p>
    <w:p w14:paraId="3E604388">
      <w:pPr>
        <w:pStyle w:val="82"/>
        <w:rPr>
          <w:rFonts w:hint="eastAsia"/>
          <w:color w:val="auto"/>
        </w:rPr>
      </w:pPr>
      <w:r>
        <w:rPr>
          <w:rFonts w:hint="eastAsia"/>
          <w:color w:val="auto"/>
        </w:rPr>
        <w:t>根据</w:t>
      </w:r>
      <w:r>
        <w:rPr>
          <w:color w:val="auto"/>
        </w:rPr>
        <w:t>《环境影响评价技术导则  地下水》（HJ610-2016）</w:t>
      </w:r>
      <w:r>
        <w:rPr>
          <w:rFonts w:hint="eastAsia"/>
          <w:color w:val="auto"/>
        </w:rPr>
        <w:t>，按照设计地下水污染防渗措施的建设项目，本项目可不进行正常工况情景下的地下水预测。</w:t>
      </w:r>
    </w:p>
    <w:p w14:paraId="0E0B9CAA">
      <w:pPr>
        <w:pStyle w:val="267"/>
        <w:ind w:firstLine="480"/>
        <w:rPr>
          <w:color w:val="auto"/>
        </w:rPr>
      </w:pPr>
      <w:r>
        <w:rPr>
          <w:rFonts w:hint="eastAsia"/>
          <w:color w:val="auto"/>
        </w:rPr>
        <w:t>2、非正常工况</w:t>
      </w:r>
    </w:p>
    <w:p w14:paraId="69F2C08C">
      <w:pPr>
        <w:pStyle w:val="267"/>
        <w:ind w:firstLine="480"/>
        <w:rPr>
          <w:rFonts w:hint="eastAsia"/>
          <w:color w:val="auto"/>
        </w:rPr>
      </w:pPr>
      <w:r>
        <w:rPr>
          <w:rFonts w:hint="eastAsia"/>
          <w:color w:val="auto"/>
        </w:rPr>
        <w:t>非正常工况指建设项目的</w:t>
      </w:r>
      <w:r>
        <w:rPr>
          <w:rFonts w:hint="eastAsia"/>
          <w:color w:val="auto"/>
          <w:lang w:val="en-US" w:eastAsia="zh-CN"/>
        </w:rPr>
        <w:t>污水处理站</w:t>
      </w:r>
      <w:r>
        <w:rPr>
          <w:rFonts w:hint="eastAsia"/>
          <w:color w:val="auto"/>
        </w:rPr>
        <w:t>工艺设备或</w:t>
      </w:r>
      <w:r>
        <w:rPr>
          <w:rFonts w:hint="eastAsia"/>
          <w:color w:val="auto"/>
          <w:lang w:val="en-US" w:eastAsia="zh-CN"/>
        </w:rPr>
        <w:t>防渗工程因</w:t>
      </w:r>
      <w:r>
        <w:rPr>
          <w:rFonts w:hint="eastAsia"/>
          <w:color w:val="auto"/>
        </w:rPr>
        <w:t>系统老化、腐蚀等原因能保护效果达不到设计要求时的运行状况，包括运营过程中存在的一些工程瑕疵以及防渗工程本身的缺陷等，导致渗漏到地下的情况。</w:t>
      </w:r>
    </w:p>
    <w:p w14:paraId="714B9EB3">
      <w:pPr>
        <w:pStyle w:val="267"/>
        <w:ind w:firstLine="480"/>
        <w:rPr>
          <w:rFonts w:hint="default" w:eastAsia="宋体" w:cs="Times New Roman"/>
          <w:color w:val="auto"/>
          <w:lang w:val="en-US" w:eastAsia="zh-CN"/>
        </w:rPr>
      </w:pPr>
      <w:r>
        <w:rPr>
          <w:rFonts w:hint="eastAsia" w:cs="Times New Roman"/>
          <w:color w:val="auto"/>
          <w:lang w:val="en-US" w:eastAsia="zh-CN"/>
        </w:rPr>
        <w:t>3、水文地质情况</w:t>
      </w:r>
    </w:p>
    <w:p w14:paraId="7D09CFBE">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1</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rPr>
        <w:t>区域水文地质概况</w:t>
      </w:r>
    </w:p>
    <w:p w14:paraId="7C73B6A3">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根据含水岩组的赋存条件，水理性质和水力特征，可将区内地下水分为：基岩裂隙水、红层碎屑岩裂隙孔隙水和松散岩类孔隙水。</w:t>
      </w:r>
    </w:p>
    <w:p w14:paraId="7E328CEA">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1）基岩裂隙水富水特征</w:t>
      </w:r>
    </w:p>
    <w:p w14:paraId="7454D707">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主要分布在西毛里湖西部的基岩山区，岩性主要为前寒武系的浅变质岩和震旦系的砂岩、板岩。浅部风化裂隙发育，风化带深一般为10-14m，局部可达172.04m；面裂隙率为0.1-6.167%，局部最大达20.22%。较普遍含风化裂隙水，泉水流量一般为0.014-0.967L/s，个别达2.70L/s；地下水径流一般为0.054-2.89L/s·k</w:t>
      </w:r>
      <w:r>
        <w:rPr>
          <w:rFonts w:hint="eastAsia" w:ascii="Times New Roman" w:hAnsi="Times New Roman" w:eastAsia="宋体" w:cs="Times New Roman"/>
          <w:color w:val="auto"/>
          <w:sz w:val="24"/>
          <w:szCs w:val="24"/>
          <w:lang w:eastAsia="zh-CN"/>
        </w:rPr>
        <w:t>m</w:t>
      </w:r>
      <w:r>
        <w:rPr>
          <w:rFonts w:hint="eastAsia" w:ascii="Times New Roman" w:hAnsi="Times New Roman" w:eastAsia="宋体" w:cs="Times New Roman"/>
          <w:color w:val="auto"/>
          <w:sz w:val="24"/>
          <w:szCs w:val="24"/>
          <w:vertAlign w:val="superscript"/>
          <w:lang w:eastAsia="zh-CN"/>
        </w:rPr>
        <w:t>2</w:t>
      </w:r>
      <w:r>
        <w:rPr>
          <w:rFonts w:hint="eastAsia" w:ascii="Times New Roman" w:hAnsi="Times New Roman" w:eastAsia="宋体" w:cs="Times New Roman"/>
          <w:color w:val="auto"/>
          <w:sz w:val="24"/>
          <w:szCs w:val="24"/>
        </w:rPr>
        <w:t>，局部达5.43L/s·k</w:t>
      </w:r>
      <w:r>
        <w:rPr>
          <w:rFonts w:hint="eastAsia" w:ascii="Times New Roman" w:hAnsi="Times New Roman" w:eastAsia="宋体" w:cs="Times New Roman"/>
          <w:color w:val="auto"/>
          <w:sz w:val="24"/>
          <w:szCs w:val="24"/>
          <w:lang w:eastAsia="zh-CN"/>
        </w:rPr>
        <w:t>m</w:t>
      </w:r>
      <w:r>
        <w:rPr>
          <w:rFonts w:hint="eastAsia" w:ascii="Times New Roman" w:hAnsi="Times New Roman" w:eastAsia="宋体" w:cs="Times New Roman"/>
          <w:color w:val="auto"/>
          <w:sz w:val="24"/>
          <w:szCs w:val="24"/>
          <w:vertAlign w:val="superscript"/>
          <w:lang w:eastAsia="zh-CN"/>
        </w:rPr>
        <w:t>2</w:t>
      </w:r>
      <w:r>
        <w:rPr>
          <w:rFonts w:hint="eastAsia" w:ascii="Times New Roman" w:hAnsi="Times New Roman" w:eastAsia="宋体" w:cs="Times New Roman"/>
          <w:color w:val="auto"/>
          <w:sz w:val="24"/>
          <w:szCs w:val="24"/>
        </w:rPr>
        <w:t>。故其富水程度多为贫乏至中等。</w:t>
      </w:r>
    </w:p>
    <w:p w14:paraId="75CA28A4">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2）红层碎屑岩裂隙孔隙水</w:t>
      </w:r>
    </w:p>
    <w:p w14:paraId="67861A94">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红层指白垩系、古近系地层，在研究区西部的山岗区有露头，同时在湖区松散层下部也广泛分布。岩性为一套典型的陆相碎屑岩，区内总厚最大可达1900余米。红层中地下水赋存特征基本分为四种状态：（1）风化裂隙孔隙潜水。分布较普遍，风化裂隙含水，水量多贫乏，泉水流量一般为0.01-0.1L/s，枯季径流模数为0.04-0.657L/s·k</w:t>
      </w:r>
      <w:r>
        <w:rPr>
          <w:rFonts w:hint="eastAsia" w:ascii="Times New Roman" w:hAnsi="Times New Roman" w:eastAsia="宋体" w:cs="Times New Roman"/>
          <w:color w:val="auto"/>
          <w:sz w:val="24"/>
          <w:szCs w:val="24"/>
          <w:lang w:eastAsia="zh-CN"/>
        </w:rPr>
        <w:t>m</w:t>
      </w:r>
      <w:r>
        <w:rPr>
          <w:rFonts w:hint="eastAsia" w:ascii="Times New Roman" w:hAnsi="Times New Roman" w:eastAsia="宋体" w:cs="Times New Roman"/>
          <w:color w:val="auto"/>
          <w:sz w:val="24"/>
          <w:szCs w:val="24"/>
          <w:vertAlign w:val="superscript"/>
          <w:lang w:eastAsia="zh-CN"/>
        </w:rPr>
        <w:t>2</w:t>
      </w:r>
      <w:r>
        <w:rPr>
          <w:rFonts w:hint="eastAsia" w:ascii="Times New Roman" w:hAnsi="Times New Roman" w:eastAsia="宋体" w:cs="Times New Roman"/>
          <w:color w:val="auto"/>
          <w:sz w:val="24"/>
          <w:szCs w:val="24"/>
        </w:rPr>
        <w:t>。（2）钙质泥岩、钙质粉砂岩溶孔水。岩层中发育溶蚀孔洞，含溶孔水。见于衡阳盆地和常桃盆地一带，含水层总厚60-100m，埋深10-63.5m。含水贫乏至中等，泉水流量0.01-0.48L/s，单井涌水量一般为100-800</w:t>
      </w:r>
      <w:r>
        <w:rPr>
          <w:rFonts w:hint="eastAsia" w:ascii="Times New Roman" w:hAnsi="Times New Roman" w:eastAsia="宋体" w:cs="Times New Roman"/>
          <w:color w:val="auto"/>
          <w:sz w:val="24"/>
          <w:szCs w:val="24"/>
          <w:lang w:eastAsia="zh-CN"/>
        </w:rPr>
        <w:t>m</w:t>
      </w:r>
      <w:r>
        <w:rPr>
          <w:rFonts w:hint="eastAsia" w:ascii="Times New Roman" w:hAnsi="Times New Roman" w:eastAsia="宋体" w:cs="Times New Roman"/>
          <w:color w:val="auto"/>
          <w:sz w:val="24"/>
          <w:szCs w:val="24"/>
          <w:vertAlign w:val="superscript"/>
          <w:lang w:eastAsia="zh-CN"/>
        </w:rPr>
        <w:t>3</w:t>
      </w:r>
      <w:r>
        <w:rPr>
          <w:rFonts w:hint="eastAsia" w:ascii="Times New Roman" w:hAnsi="Times New Roman" w:eastAsia="宋体" w:cs="Times New Roman"/>
          <w:color w:val="auto"/>
          <w:sz w:val="24"/>
          <w:szCs w:val="24"/>
        </w:rPr>
        <w:t>/d，最大达3663.4</w:t>
      </w:r>
      <w:r>
        <w:rPr>
          <w:rFonts w:hint="eastAsia" w:ascii="Times New Roman" w:hAnsi="Times New Roman" w:eastAsia="宋体" w:cs="Times New Roman"/>
          <w:color w:val="auto"/>
          <w:sz w:val="24"/>
          <w:szCs w:val="24"/>
          <w:lang w:eastAsia="zh-CN"/>
        </w:rPr>
        <w:t>m</w:t>
      </w:r>
      <w:r>
        <w:rPr>
          <w:rFonts w:hint="eastAsia" w:ascii="Times New Roman" w:hAnsi="Times New Roman" w:eastAsia="宋体" w:cs="Times New Roman"/>
          <w:color w:val="auto"/>
          <w:sz w:val="24"/>
          <w:szCs w:val="24"/>
          <w:vertAlign w:val="superscript"/>
          <w:lang w:eastAsia="zh-CN"/>
        </w:rPr>
        <w:t>3</w:t>
      </w:r>
      <w:r>
        <w:rPr>
          <w:rFonts w:hint="eastAsia" w:ascii="Times New Roman" w:hAnsi="Times New Roman" w:eastAsia="宋体" w:cs="Times New Roman"/>
          <w:color w:val="auto"/>
          <w:sz w:val="24"/>
          <w:szCs w:val="24"/>
        </w:rPr>
        <w:t>/d。水位一般高出溶孔带顶板，故具承压性质。溶蚀溶孔带具多层发育特征，一般5-10层，多者达12层以上，单层厚1-15m，最厚30余米。溶蚀溶孔带发育受岩性、地貌、构造等控制，岩石含钙质高是前提。（3）砂岩构造裂隙层间承压水，各地不同程度存在，衡阳盆地一带埋深一般在20-103m，含水段总厚3-93.8m。含水贫乏—中等，泉水流量为0.01-0.34L/s，单井涌水量一般在100</w:t>
      </w:r>
      <w:r>
        <w:rPr>
          <w:rFonts w:hint="eastAsia" w:ascii="Times New Roman" w:hAnsi="Times New Roman" w:eastAsia="宋体" w:cs="Times New Roman"/>
          <w:color w:val="auto"/>
          <w:sz w:val="24"/>
          <w:szCs w:val="24"/>
          <w:lang w:eastAsia="zh-CN"/>
        </w:rPr>
        <w:t>m</w:t>
      </w:r>
      <w:r>
        <w:rPr>
          <w:rFonts w:hint="eastAsia" w:ascii="Times New Roman" w:hAnsi="Times New Roman" w:eastAsia="宋体" w:cs="Times New Roman"/>
          <w:color w:val="auto"/>
          <w:sz w:val="24"/>
          <w:szCs w:val="24"/>
          <w:vertAlign w:val="superscript"/>
          <w:lang w:eastAsia="zh-CN"/>
        </w:rPr>
        <w:t>3</w:t>
      </w:r>
      <w:r>
        <w:rPr>
          <w:rFonts w:hint="eastAsia" w:ascii="Times New Roman" w:hAnsi="Times New Roman" w:eastAsia="宋体" w:cs="Times New Roman"/>
          <w:color w:val="auto"/>
          <w:sz w:val="24"/>
          <w:szCs w:val="24"/>
        </w:rPr>
        <w:t>/d以下，个别最大达524.5</w:t>
      </w:r>
      <w:r>
        <w:rPr>
          <w:rFonts w:hint="eastAsia" w:ascii="Times New Roman" w:hAnsi="Times New Roman" w:eastAsia="宋体" w:cs="Times New Roman"/>
          <w:color w:val="auto"/>
          <w:sz w:val="24"/>
          <w:szCs w:val="24"/>
          <w:lang w:eastAsia="zh-CN"/>
        </w:rPr>
        <w:t>m</w:t>
      </w:r>
      <w:r>
        <w:rPr>
          <w:rFonts w:hint="eastAsia" w:ascii="Times New Roman" w:hAnsi="Times New Roman" w:eastAsia="宋体" w:cs="Times New Roman"/>
          <w:color w:val="auto"/>
          <w:sz w:val="24"/>
          <w:szCs w:val="24"/>
          <w:vertAlign w:val="superscript"/>
          <w:lang w:eastAsia="zh-CN"/>
        </w:rPr>
        <w:t>3</w:t>
      </w:r>
      <w:r>
        <w:rPr>
          <w:rFonts w:hint="eastAsia" w:ascii="Times New Roman" w:hAnsi="Times New Roman" w:eastAsia="宋体" w:cs="Times New Roman"/>
          <w:color w:val="auto"/>
          <w:sz w:val="24"/>
          <w:szCs w:val="24"/>
        </w:rPr>
        <w:t>/d。（4）灰质砾岩裂隙溶洞水。主要见于衡阳、湘潭、茶永、石门等红层盆地边缘地带。由于多覆于弱透水的泥岩，含砾砂岩层之下，构成层间承压水，局部水头高出地表。已知含水带厚20-70m，最大埋深280m。泉水流量最大可达35L/s，单井最大涌水量可达41934.7</w:t>
      </w:r>
      <w:r>
        <w:rPr>
          <w:rFonts w:hint="eastAsia" w:ascii="Times New Roman" w:hAnsi="Times New Roman" w:eastAsia="宋体" w:cs="Times New Roman"/>
          <w:color w:val="auto"/>
          <w:sz w:val="24"/>
          <w:szCs w:val="24"/>
          <w:lang w:eastAsia="zh-CN"/>
        </w:rPr>
        <w:t>m</w:t>
      </w:r>
      <w:r>
        <w:rPr>
          <w:rFonts w:hint="eastAsia" w:ascii="Times New Roman" w:hAnsi="Times New Roman" w:eastAsia="宋体" w:cs="Times New Roman"/>
          <w:color w:val="auto"/>
          <w:sz w:val="24"/>
          <w:szCs w:val="24"/>
          <w:vertAlign w:val="superscript"/>
          <w:lang w:eastAsia="zh-CN"/>
        </w:rPr>
        <w:t>3</w:t>
      </w:r>
      <w:r>
        <w:rPr>
          <w:rFonts w:hint="eastAsia" w:ascii="Times New Roman" w:hAnsi="Times New Roman" w:eastAsia="宋体" w:cs="Times New Roman"/>
          <w:color w:val="auto"/>
          <w:sz w:val="24"/>
          <w:szCs w:val="24"/>
        </w:rPr>
        <w:t>/d。</w:t>
      </w:r>
    </w:p>
    <w:p w14:paraId="1EB69B79">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3）松散岩类孔隙水</w:t>
      </w:r>
    </w:p>
    <w:p w14:paraId="5E774686">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主要分布于湖区及河流沿岸。按水力性质分为潜水和承压水两个亚类：</w:t>
      </w:r>
    </w:p>
    <w:p w14:paraId="20D96D28">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a、孔隙潜水</w:t>
      </w:r>
    </w:p>
    <w:p w14:paraId="503D4F47">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要分布于湖区浅部、河流两岸阶地。含水层为冲积、冲湖积等形成的砂、砂砾石、砂卵石、含粘土砂砾石层及粉砂土等。岩层一般多呈二元结构，上部为粘土、砂质粘土等。总厚数米至几十米。含贫乏—中等孔隙潜水，泉水流量一般少于1L/s，水位埋深一般在3m以上。</w:t>
      </w:r>
    </w:p>
    <w:p w14:paraId="5B173607">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b、孔隙承压水</w:t>
      </w:r>
    </w:p>
    <w:p w14:paraId="24807F37">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分布在湖区中央部分。其上部及浅部孔隙潜水层间有较厚的粘土，砂质粘土层相隔，因而形成承压含水层。含水层为多层性冲湖积和湖积砂、砂卵石层。岩层富水性较好，富水程度为中等—丰富，单井涌水量最大可达29715</w:t>
      </w:r>
      <w:r>
        <w:rPr>
          <w:rFonts w:hint="eastAsia" w:ascii="Times New Roman" w:hAnsi="Times New Roman" w:eastAsia="宋体" w:cs="Times New Roman"/>
          <w:color w:val="auto"/>
          <w:sz w:val="24"/>
          <w:szCs w:val="24"/>
          <w:lang w:eastAsia="zh-CN"/>
        </w:rPr>
        <w:t>m</w:t>
      </w:r>
      <w:r>
        <w:rPr>
          <w:rFonts w:hint="eastAsia" w:ascii="Times New Roman" w:hAnsi="Times New Roman" w:eastAsia="宋体" w:cs="Times New Roman"/>
          <w:color w:val="auto"/>
          <w:sz w:val="24"/>
          <w:szCs w:val="24"/>
          <w:vertAlign w:val="superscript"/>
          <w:lang w:eastAsia="zh-CN"/>
        </w:rPr>
        <w:t>3</w:t>
      </w:r>
      <w:r>
        <w:rPr>
          <w:rFonts w:hint="eastAsia" w:ascii="Times New Roman" w:hAnsi="Times New Roman" w:eastAsia="宋体" w:cs="Times New Roman"/>
          <w:color w:val="auto"/>
          <w:sz w:val="24"/>
          <w:szCs w:val="24"/>
        </w:rPr>
        <w:t>/d。据含水层的岩性结构及展布情况可将承压含水岩层划分为两个相对独立的含水岩组。上含水岩组包括中、上更新统地层，下含水岩组为由下更新统地层组成。其间大部地段有数米至30余米的弱透水的粘土、砂质粘土层相隔，故两含水岩组间基本无水力联系。但局部地段可能由于弱透水层缺失以及越流而发生水力联系。</w:t>
      </w:r>
    </w:p>
    <w:p w14:paraId="709D1E32">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本项目所在区域地下水类型主要为松散堆积层孔隙水、基岩裂隙水和裂隙岩溶水。松散堆积层孔隙水分布于项目区域西部和北部，水量中等，涌水量0.23~2.32L/s·m；基岩裂隙水分布于项目区域南部，水量贫乏，泉水流量小于0.1L/s，径流模数小于3L/s·k</w:t>
      </w:r>
      <w:r>
        <w:rPr>
          <w:rFonts w:hint="eastAsia" w:ascii="Times New Roman" w:hAnsi="Times New Roman" w:eastAsia="宋体" w:cs="Times New Roman"/>
          <w:color w:val="auto"/>
          <w:sz w:val="24"/>
          <w:szCs w:val="24"/>
          <w:lang w:eastAsia="zh-CN"/>
        </w:rPr>
        <w:t>m</w:t>
      </w:r>
      <w:r>
        <w:rPr>
          <w:rFonts w:hint="eastAsia" w:ascii="Times New Roman" w:hAnsi="Times New Roman" w:eastAsia="宋体" w:cs="Times New Roman"/>
          <w:color w:val="auto"/>
          <w:sz w:val="24"/>
          <w:szCs w:val="24"/>
          <w:vertAlign w:val="superscript"/>
          <w:lang w:eastAsia="zh-CN"/>
        </w:rPr>
        <w:t>2</w:t>
      </w:r>
      <w:r>
        <w:rPr>
          <w:rFonts w:hint="eastAsia" w:ascii="Times New Roman" w:hAnsi="Times New Roman" w:eastAsia="宋体" w:cs="Times New Roman"/>
          <w:color w:val="auto"/>
          <w:sz w:val="24"/>
          <w:szCs w:val="24"/>
        </w:rPr>
        <w:t>；裂隙岩溶水分布于项目区域东部和北部，中等发育，地下河流量10~100L/s，径流模数3~5L/s·k</w:t>
      </w:r>
      <w:r>
        <w:rPr>
          <w:rFonts w:hint="eastAsia" w:ascii="Times New Roman" w:hAnsi="Times New Roman" w:eastAsia="宋体" w:cs="Times New Roman"/>
          <w:color w:val="auto"/>
          <w:sz w:val="24"/>
          <w:szCs w:val="24"/>
          <w:lang w:eastAsia="zh-CN"/>
        </w:rPr>
        <w:t>m</w:t>
      </w:r>
      <w:r>
        <w:rPr>
          <w:rFonts w:hint="eastAsia" w:ascii="Times New Roman" w:hAnsi="Times New Roman" w:eastAsia="宋体" w:cs="Times New Roman"/>
          <w:color w:val="auto"/>
          <w:sz w:val="24"/>
          <w:szCs w:val="24"/>
          <w:vertAlign w:val="superscript"/>
          <w:lang w:eastAsia="zh-CN"/>
        </w:rPr>
        <w:t>2</w:t>
      </w:r>
      <w:r>
        <w:rPr>
          <w:rFonts w:hint="eastAsia" w:ascii="Times New Roman" w:hAnsi="Times New Roman" w:eastAsia="宋体" w:cs="Times New Roman"/>
          <w:color w:val="auto"/>
          <w:sz w:val="24"/>
          <w:szCs w:val="24"/>
        </w:rPr>
        <w:t>；区域地下水排泄方向为向东排入澧水。</w:t>
      </w:r>
    </w:p>
    <w:p w14:paraId="569C4D5D">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（2）地下水开发利用现状</w:t>
      </w:r>
    </w:p>
    <w:p w14:paraId="4550C386">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项目区域内没有集中式的地下水水源地，区域内居民、企业均以澧水为水源，地下水开发利用程度较低。</w:t>
      </w:r>
    </w:p>
    <w:p w14:paraId="4669C43F">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（3）地下水补-径-排条件</w:t>
      </w:r>
    </w:p>
    <w:p w14:paraId="629A732F">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a、地下水补给条件</w:t>
      </w:r>
    </w:p>
    <w:p w14:paraId="5A41CB28">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丘陵岗地松散堆积层孔隙潜水以大气降水补给为主，由于砾石层已出露地表，可直接接受大气降水的渗入补给。澧水一级阶地孔隙水除接受大气降水补给外，还受高阶地孔隙水补给。冲湖积平原孔隙潜水，由于砂砾石层上覆厚10-20余米的砂质粘土和淤泥层，接受大气降水补给较少。</w:t>
      </w:r>
    </w:p>
    <w:p w14:paraId="291BABC1">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故津市高新技术产业开发区区域内地下水重要补给来源为大气降水，少有地表水补给。</w:t>
      </w:r>
    </w:p>
    <w:p w14:paraId="2598C602">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b、径流条件</w:t>
      </w:r>
    </w:p>
    <w:p w14:paraId="70F10BB9">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岗丘地带的孔隙潜水径流途径短，无一定流动方向，就地补给就地排泄，交替循环强烈。平原及滨湖地带，地下水具有一定径流方向，即由边缘向洞庭湖中心汇集，区域地下水流向为自西北向东南，地下水运动相当缓慢，越近湖心越慢。实测地下水流速为0.94-0.97m/s。</w:t>
      </w:r>
    </w:p>
    <w:p w14:paraId="6A5B9F9B">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c、排泄条件</w:t>
      </w:r>
    </w:p>
    <w:p w14:paraId="5806F09F">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岗丘地带的孔隙潜水排泄条件好，以附近河流为排泄场所，以下降泉或渗流的形式沿砂砾石与基岩接触面排泄于河流中。评价区域地下主要以大气降水为补给水源，缓慢向东南流向，最终向洞庭湖区域排泄。</w:t>
      </w:r>
    </w:p>
    <w:p w14:paraId="1D49F282">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d、动态变化</w:t>
      </w:r>
    </w:p>
    <w:p w14:paraId="38E92A89">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津市高新技术产业开发区区域孔隙承压水运动极为缓慢，水位变化很小，地下水动态受季节变化的影响相对较小，据洪、枯期井水位实测资料，稳定水位埋深在30-42m不等，地下水位变幅一般仅5.0m，属较稳定类型。</w:t>
      </w:r>
    </w:p>
    <w:p w14:paraId="3776EC09">
      <w:pPr>
        <w:numPr>
          <w:ilvl w:val="0"/>
          <w:numId w:val="0"/>
        </w:numPr>
        <w:spacing w:line="360" w:lineRule="auto"/>
        <w:ind w:left="0" w:leftChars="0" w:firstLine="480" w:firstLineChars="2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kern w:val="2"/>
          <w:sz w:val="24"/>
          <w:szCs w:val="24"/>
          <w:lang w:val="en-US" w:eastAsia="zh-CN" w:bidi="ar-SA"/>
        </w:rPr>
        <w:t>4、</w:t>
      </w:r>
      <w:r>
        <w:rPr>
          <w:rFonts w:hint="eastAsia" w:ascii="Times New Roman" w:hAnsi="Times New Roman" w:eastAsia="宋体" w:cs="Times New Roman"/>
          <w:color w:val="auto"/>
          <w:sz w:val="24"/>
          <w:szCs w:val="24"/>
          <w:lang w:val="en-US" w:eastAsia="zh-CN"/>
        </w:rPr>
        <w:t>影响分析及评价</w:t>
      </w:r>
    </w:p>
    <w:p w14:paraId="663C1139">
      <w:pPr>
        <w:numPr>
          <w:ilvl w:val="0"/>
          <w:numId w:val="0"/>
        </w:numPr>
        <w:spacing w:line="360" w:lineRule="auto"/>
        <w:ind w:firstLine="480" w:firstLineChars="2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本项目地下水评价等级为三级评价，采用类比分析法对本项目地下水影响进行分析。本项目与湖南龙腾生物科技有限公司年产1500吨胞嘧啶中间体生产线项目可类比性分析如下表。</w:t>
      </w:r>
    </w:p>
    <w:p w14:paraId="43A4C8D3">
      <w:pPr>
        <w:pStyle w:val="51"/>
        <w:bidi w:val="0"/>
        <w:rPr>
          <w:rFonts w:hint="eastAsia"/>
          <w:lang w:val="en-US" w:eastAsia="zh-CN"/>
        </w:rPr>
      </w:pPr>
    </w:p>
    <w:p w14:paraId="19F35B84">
      <w:pPr>
        <w:pStyle w:val="51"/>
        <w:bidi w:val="0"/>
        <w:rPr>
          <w:rFonts w:hint="eastAsia"/>
          <w:lang w:val="en-US" w:eastAsia="zh-CN"/>
        </w:rPr>
      </w:pPr>
    </w:p>
    <w:p w14:paraId="06CB354C">
      <w:pPr>
        <w:pStyle w:val="51"/>
        <w:bidi w:val="0"/>
        <w:rPr>
          <w:rFonts w:hint="eastAsia"/>
          <w:lang w:val="en-US" w:eastAsia="zh-CN"/>
        </w:rPr>
      </w:pPr>
    </w:p>
    <w:p w14:paraId="1F3AD909">
      <w:pPr>
        <w:pStyle w:val="6"/>
        <w:bidi w:val="0"/>
        <w:rPr>
          <w:rFonts w:hint="eastAsia"/>
          <w:lang w:val="en-US" w:eastAsia="zh-CN"/>
        </w:rPr>
      </w:pPr>
      <w:r>
        <w:rPr>
          <w:rFonts w:hint="eastAsia"/>
          <w:lang w:val="en-US" w:eastAsia="zh-CN"/>
        </w:rPr>
        <w:t>表6.2.5-1 可类比性分析情况一览表</w:t>
      </w:r>
    </w:p>
    <w:tbl>
      <w:tblPr>
        <w:tblStyle w:val="4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25"/>
        <w:gridCol w:w="1772"/>
        <w:gridCol w:w="1650"/>
        <w:gridCol w:w="2128"/>
        <w:gridCol w:w="1247"/>
      </w:tblGrid>
      <w:tr w14:paraId="61D16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5" w:type="dxa"/>
            <w:vAlign w:val="center"/>
          </w:tcPr>
          <w:p w14:paraId="484F7B40">
            <w:pPr>
              <w:pStyle w:val="52"/>
              <w:bidi w:val="0"/>
              <w:jc w:val="center"/>
              <w:rPr>
                <w:rFonts w:hint="default"/>
                <w:lang w:val="en-US" w:eastAsia="zh-CN"/>
              </w:rPr>
            </w:pPr>
            <w:r>
              <w:rPr>
                <w:rFonts w:hint="eastAsia"/>
                <w:lang w:val="en-US" w:eastAsia="zh-CN"/>
              </w:rPr>
              <w:t>类比来源</w:t>
            </w:r>
          </w:p>
        </w:tc>
        <w:tc>
          <w:tcPr>
            <w:tcW w:w="1772" w:type="dxa"/>
            <w:vAlign w:val="center"/>
          </w:tcPr>
          <w:p w14:paraId="3ECAAA4D">
            <w:pPr>
              <w:pStyle w:val="52"/>
              <w:bidi w:val="0"/>
              <w:jc w:val="center"/>
              <w:rPr>
                <w:rFonts w:hint="default"/>
                <w:lang w:val="en-US" w:eastAsia="zh-CN"/>
              </w:rPr>
            </w:pPr>
            <w:r>
              <w:rPr>
                <w:rFonts w:hint="eastAsia"/>
                <w:lang w:val="en-US" w:eastAsia="zh-CN"/>
              </w:rPr>
              <w:t>环境水文地质条件、水动力场条件</w:t>
            </w:r>
          </w:p>
        </w:tc>
        <w:tc>
          <w:tcPr>
            <w:tcW w:w="1650" w:type="dxa"/>
            <w:vAlign w:val="center"/>
          </w:tcPr>
          <w:p w14:paraId="488781E6">
            <w:pPr>
              <w:pStyle w:val="52"/>
              <w:bidi w:val="0"/>
              <w:jc w:val="center"/>
              <w:rPr>
                <w:rFonts w:hint="default"/>
                <w:lang w:val="en-US" w:eastAsia="zh-CN"/>
              </w:rPr>
            </w:pPr>
            <w:r>
              <w:rPr>
                <w:rFonts w:hint="eastAsia"/>
                <w:lang w:val="en-US" w:eastAsia="zh-CN"/>
              </w:rPr>
              <w:t>工程类型</w:t>
            </w:r>
          </w:p>
        </w:tc>
        <w:tc>
          <w:tcPr>
            <w:tcW w:w="2128" w:type="dxa"/>
            <w:vAlign w:val="center"/>
          </w:tcPr>
          <w:p w14:paraId="4BF6EF90">
            <w:pPr>
              <w:pStyle w:val="52"/>
              <w:bidi w:val="0"/>
              <w:jc w:val="center"/>
              <w:rPr>
                <w:rFonts w:hint="default"/>
                <w:lang w:val="en-US" w:eastAsia="zh-CN"/>
              </w:rPr>
            </w:pPr>
            <w:r>
              <w:rPr>
                <w:rFonts w:hint="eastAsia"/>
                <w:lang w:val="en-US" w:eastAsia="zh-CN"/>
              </w:rPr>
              <w:t>规模</w:t>
            </w:r>
          </w:p>
        </w:tc>
        <w:tc>
          <w:tcPr>
            <w:tcW w:w="1247" w:type="dxa"/>
            <w:vAlign w:val="center"/>
          </w:tcPr>
          <w:p w14:paraId="23EA2A88">
            <w:pPr>
              <w:pStyle w:val="52"/>
              <w:bidi w:val="0"/>
              <w:jc w:val="center"/>
              <w:rPr>
                <w:rFonts w:hint="default"/>
                <w:lang w:val="en-US" w:eastAsia="zh-CN"/>
              </w:rPr>
            </w:pPr>
            <w:r>
              <w:rPr>
                <w:rFonts w:hint="eastAsia"/>
                <w:lang w:val="en-US" w:eastAsia="zh-CN"/>
              </w:rPr>
              <w:t>特征因子</w:t>
            </w:r>
          </w:p>
        </w:tc>
      </w:tr>
      <w:tr w14:paraId="0B72E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5" w:type="dxa"/>
            <w:vAlign w:val="center"/>
          </w:tcPr>
          <w:p w14:paraId="378AD98D">
            <w:pPr>
              <w:pStyle w:val="52"/>
              <w:bidi w:val="0"/>
              <w:jc w:val="center"/>
              <w:rPr>
                <w:rFonts w:hint="default"/>
                <w:lang w:val="en-US" w:eastAsia="zh-CN"/>
              </w:rPr>
            </w:pPr>
            <w:r>
              <w:rPr>
                <w:rFonts w:hint="default"/>
                <w:lang w:val="en-US" w:eastAsia="zh-CN"/>
              </w:rPr>
              <w:t>湖南龙腾生物科技有限公司</w:t>
            </w:r>
            <w:r>
              <w:rPr>
                <w:rFonts w:hint="eastAsia"/>
                <w:lang w:val="en-US" w:eastAsia="zh-CN"/>
              </w:rPr>
              <w:t>《年产1500吨胞嘧啶中间体生产线建设项目》</w:t>
            </w:r>
          </w:p>
        </w:tc>
        <w:tc>
          <w:tcPr>
            <w:tcW w:w="1772" w:type="dxa"/>
            <w:vAlign w:val="center"/>
          </w:tcPr>
          <w:p w14:paraId="12F13345">
            <w:pPr>
              <w:pStyle w:val="52"/>
              <w:bidi w:val="0"/>
              <w:jc w:val="center"/>
              <w:rPr>
                <w:rFonts w:hint="default"/>
                <w:lang w:val="en-US" w:eastAsia="zh-CN"/>
              </w:rPr>
            </w:pPr>
            <w:r>
              <w:rPr>
                <w:rFonts w:hint="eastAsia"/>
                <w:lang w:val="en-US" w:eastAsia="zh-CN"/>
              </w:rPr>
              <w:t>位于湖南新合新生物科技有限公司厂区内</w:t>
            </w:r>
          </w:p>
        </w:tc>
        <w:tc>
          <w:tcPr>
            <w:tcW w:w="1650" w:type="dxa"/>
            <w:vAlign w:val="center"/>
          </w:tcPr>
          <w:p w14:paraId="625BDF6B">
            <w:pPr>
              <w:pStyle w:val="52"/>
              <w:bidi w:val="0"/>
              <w:jc w:val="center"/>
              <w:rPr>
                <w:rFonts w:hint="default"/>
                <w:lang w:val="en-US" w:eastAsia="zh-CN"/>
              </w:rPr>
            </w:pPr>
            <w:r>
              <w:rPr>
                <w:rFonts w:hint="default"/>
                <w:lang w:val="en-US" w:eastAsia="zh-CN"/>
              </w:rPr>
              <w:t>生物药品制品制造 276</w:t>
            </w:r>
          </w:p>
        </w:tc>
        <w:tc>
          <w:tcPr>
            <w:tcW w:w="2128" w:type="dxa"/>
            <w:vAlign w:val="center"/>
          </w:tcPr>
          <w:p w14:paraId="7DE5FF9C">
            <w:pPr>
              <w:pStyle w:val="52"/>
              <w:bidi w:val="0"/>
              <w:jc w:val="center"/>
              <w:rPr>
                <w:rFonts w:hint="default"/>
                <w:lang w:val="en-US" w:eastAsia="zh-CN"/>
              </w:rPr>
            </w:pPr>
            <w:r>
              <w:rPr>
                <w:rFonts w:hint="eastAsia"/>
                <w:lang w:val="en-US" w:eastAsia="zh-CN"/>
              </w:rPr>
              <w:t>年产1500吨胞嘧啶中间体</w:t>
            </w:r>
          </w:p>
        </w:tc>
        <w:tc>
          <w:tcPr>
            <w:tcW w:w="1247" w:type="dxa"/>
            <w:vAlign w:val="center"/>
          </w:tcPr>
          <w:p w14:paraId="41451691">
            <w:pPr>
              <w:pStyle w:val="52"/>
              <w:bidi w:val="0"/>
              <w:jc w:val="center"/>
              <w:rPr>
                <w:rFonts w:hint="default"/>
                <w:lang w:val="en-US" w:eastAsia="zh-CN"/>
              </w:rPr>
            </w:pPr>
            <w:r>
              <w:rPr>
                <w:rFonts w:hint="eastAsia"/>
                <w:lang w:val="en-US" w:eastAsia="zh-CN"/>
              </w:rPr>
              <w:t>COD、氨氮</w:t>
            </w:r>
          </w:p>
        </w:tc>
      </w:tr>
      <w:tr w14:paraId="2CC58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5" w:type="dxa"/>
            <w:vAlign w:val="center"/>
          </w:tcPr>
          <w:p w14:paraId="156029BB">
            <w:pPr>
              <w:pStyle w:val="52"/>
              <w:bidi w:val="0"/>
              <w:jc w:val="center"/>
              <w:rPr>
                <w:rFonts w:hint="default"/>
                <w:lang w:val="en-US" w:eastAsia="zh-CN"/>
              </w:rPr>
            </w:pPr>
            <w:r>
              <w:rPr>
                <w:rFonts w:hint="eastAsia"/>
                <w:lang w:val="en-US" w:eastAsia="zh-CN"/>
              </w:rPr>
              <w:t>本改扩建项目</w:t>
            </w:r>
          </w:p>
        </w:tc>
        <w:tc>
          <w:tcPr>
            <w:tcW w:w="1772" w:type="dxa"/>
            <w:vAlign w:val="center"/>
          </w:tcPr>
          <w:p w14:paraId="09EC40C3">
            <w:pPr>
              <w:pStyle w:val="52"/>
              <w:bidi w:val="0"/>
              <w:jc w:val="center"/>
              <w:rPr>
                <w:rFonts w:hint="default"/>
                <w:lang w:val="en-US" w:eastAsia="zh-CN"/>
              </w:rPr>
            </w:pPr>
            <w:r>
              <w:rPr>
                <w:rFonts w:hint="eastAsia"/>
                <w:lang w:val="en-US" w:eastAsia="zh-CN"/>
              </w:rPr>
              <w:t>位于湖南新合新生物科技有限公司厂区内</w:t>
            </w:r>
          </w:p>
        </w:tc>
        <w:tc>
          <w:tcPr>
            <w:tcW w:w="1650" w:type="dxa"/>
            <w:vAlign w:val="center"/>
          </w:tcPr>
          <w:p w14:paraId="2C0CFCE8">
            <w:pPr>
              <w:pStyle w:val="52"/>
              <w:bidi w:val="0"/>
              <w:jc w:val="center"/>
              <w:rPr>
                <w:rFonts w:hint="default"/>
                <w:lang w:val="en-US" w:eastAsia="zh-CN"/>
              </w:rPr>
            </w:pPr>
            <w:r>
              <w:rPr>
                <w:rFonts w:hint="default"/>
                <w:lang w:val="en-US" w:eastAsia="zh-CN"/>
              </w:rPr>
              <w:t>其他食品制造149-有发酵工艺的饲料添加剂制造</w:t>
            </w:r>
            <w:r>
              <w:rPr>
                <w:rFonts w:hint="eastAsia"/>
                <w:lang w:val="en-US" w:eastAsia="zh-CN"/>
              </w:rPr>
              <w:t>、制糖业134</w:t>
            </w:r>
          </w:p>
        </w:tc>
        <w:tc>
          <w:tcPr>
            <w:tcW w:w="2128" w:type="dxa"/>
            <w:vAlign w:val="center"/>
          </w:tcPr>
          <w:p w14:paraId="6374C61C">
            <w:pPr>
              <w:pStyle w:val="52"/>
              <w:bidi w:val="0"/>
              <w:jc w:val="center"/>
              <w:rPr>
                <w:rFonts w:hint="default"/>
                <w:lang w:val="en-US" w:eastAsia="zh-CN"/>
              </w:rPr>
            </w:pPr>
            <w:r>
              <w:rPr>
                <w:rFonts w:hint="eastAsia"/>
                <w:lang w:val="en-US" w:eastAsia="zh-CN"/>
              </w:rPr>
              <w:t>年产1000吨肌醇饲料添加剂、年产30000吨液糖</w:t>
            </w:r>
          </w:p>
        </w:tc>
        <w:tc>
          <w:tcPr>
            <w:tcW w:w="1247" w:type="dxa"/>
            <w:vAlign w:val="center"/>
          </w:tcPr>
          <w:p w14:paraId="11D29E3C">
            <w:pPr>
              <w:pStyle w:val="52"/>
              <w:bidi w:val="0"/>
              <w:jc w:val="center"/>
              <w:rPr>
                <w:rFonts w:hint="default"/>
                <w:lang w:val="en-US" w:eastAsia="zh-CN"/>
              </w:rPr>
            </w:pPr>
            <w:r>
              <w:rPr>
                <w:rFonts w:hint="eastAsia"/>
                <w:lang w:val="en-US" w:eastAsia="zh-CN"/>
              </w:rPr>
              <w:t>COD、氨氮</w:t>
            </w:r>
          </w:p>
        </w:tc>
      </w:tr>
      <w:tr w14:paraId="02E0B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5" w:type="dxa"/>
            <w:vAlign w:val="center"/>
          </w:tcPr>
          <w:p w14:paraId="5786B1FC">
            <w:pPr>
              <w:pStyle w:val="52"/>
              <w:bidi w:val="0"/>
              <w:jc w:val="center"/>
              <w:rPr>
                <w:rFonts w:hint="default"/>
                <w:lang w:val="en-US" w:eastAsia="zh-CN"/>
              </w:rPr>
            </w:pPr>
            <w:r>
              <w:rPr>
                <w:rFonts w:hint="eastAsia"/>
                <w:lang w:val="en-US" w:eastAsia="zh-CN"/>
              </w:rPr>
              <w:t>可类比性</w:t>
            </w:r>
          </w:p>
        </w:tc>
        <w:tc>
          <w:tcPr>
            <w:tcW w:w="1772" w:type="dxa"/>
            <w:vAlign w:val="center"/>
          </w:tcPr>
          <w:p w14:paraId="278F8B38">
            <w:pPr>
              <w:pStyle w:val="52"/>
              <w:bidi w:val="0"/>
              <w:jc w:val="center"/>
              <w:rPr>
                <w:rFonts w:hint="default"/>
                <w:lang w:val="en-US" w:eastAsia="zh-CN"/>
              </w:rPr>
            </w:pPr>
            <w:r>
              <w:rPr>
                <w:rFonts w:hint="eastAsia"/>
                <w:lang w:val="en-US" w:eastAsia="zh-CN"/>
              </w:rPr>
              <w:t>两项目均位于湖南新合新生物科技有限公司厂区内，环境水文地质条件、水动力场条件均一致</w:t>
            </w:r>
          </w:p>
        </w:tc>
        <w:tc>
          <w:tcPr>
            <w:tcW w:w="1650" w:type="dxa"/>
            <w:vAlign w:val="center"/>
          </w:tcPr>
          <w:p w14:paraId="2FF0CF0D">
            <w:pPr>
              <w:pStyle w:val="52"/>
              <w:bidi w:val="0"/>
              <w:jc w:val="center"/>
              <w:rPr>
                <w:rFonts w:hint="default"/>
                <w:lang w:val="en-US" w:eastAsia="zh-CN"/>
              </w:rPr>
            </w:pPr>
            <w:r>
              <w:rPr>
                <w:rFonts w:hint="eastAsia"/>
                <w:lang w:val="en-US" w:eastAsia="zh-CN"/>
              </w:rPr>
              <w:t>根据工程分析，两项目均有发酵工艺</w:t>
            </w:r>
          </w:p>
        </w:tc>
        <w:tc>
          <w:tcPr>
            <w:tcW w:w="2128" w:type="dxa"/>
            <w:vAlign w:val="center"/>
          </w:tcPr>
          <w:p w14:paraId="3C1A17C3">
            <w:pPr>
              <w:pStyle w:val="52"/>
              <w:bidi w:val="0"/>
              <w:jc w:val="center"/>
              <w:rPr>
                <w:rFonts w:hint="default"/>
                <w:lang w:val="en-US" w:eastAsia="zh-CN"/>
              </w:rPr>
            </w:pPr>
            <w:r>
              <w:rPr>
                <w:rFonts w:hint="eastAsia"/>
                <w:lang w:val="en-US" w:eastAsia="zh-CN"/>
              </w:rPr>
              <w:t>年产30000吨液糖生产过程中废水主要为低浓度冷凝水，对地下水影响较小；有发酵工艺的产品生产规模差别较小，可视为对地下水环境影响程度一致</w:t>
            </w:r>
          </w:p>
        </w:tc>
        <w:tc>
          <w:tcPr>
            <w:tcW w:w="1247" w:type="dxa"/>
            <w:vAlign w:val="center"/>
          </w:tcPr>
          <w:p w14:paraId="35AF1723">
            <w:pPr>
              <w:pStyle w:val="52"/>
              <w:bidi w:val="0"/>
              <w:jc w:val="center"/>
              <w:rPr>
                <w:rFonts w:hint="default"/>
                <w:lang w:val="en-US" w:eastAsia="zh-CN"/>
              </w:rPr>
            </w:pPr>
            <w:r>
              <w:rPr>
                <w:rFonts w:hint="eastAsia"/>
                <w:lang w:val="en-US" w:eastAsia="zh-CN"/>
              </w:rPr>
              <w:t>特征因子一致</w:t>
            </w:r>
          </w:p>
        </w:tc>
      </w:tr>
    </w:tbl>
    <w:p w14:paraId="114C28DA">
      <w:pPr>
        <w:numPr>
          <w:ilvl w:val="0"/>
          <w:numId w:val="0"/>
        </w:numPr>
        <w:spacing w:line="360" w:lineRule="auto"/>
        <w:ind w:firstLine="48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类比胞嘧啶生产线项目地下水预测分析，非正常工况下，污水处理站出现破裂情景下，污染物在运移的过程中随着地下水的稀释作用，浓度逐渐降低，随着时间的增长，污染物运移范围随之扩大。第3600d时，COD、氨氮沿地下水流向最大超标距离240m，宽度为40m，该范围已超出了厂界，但未到达区域地表水澧水。</w:t>
      </w:r>
    </w:p>
    <w:p w14:paraId="2C33242B">
      <w:pPr>
        <w:numPr>
          <w:ilvl w:val="0"/>
          <w:numId w:val="0"/>
        </w:numPr>
        <w:spacing w:line="360" w:lineRule="auto"/>
        <w:ind w:firstLine="48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本项目污水</w:t>
      </w:r>
      <w:r>
        <w:rPr>
          <w:rFonts w:hint="eastAsia" w:ascii="Times New Roman" w:hAnsi="Times New Roman" w:eastAsia="宋体" w:cs="Times New Roman"/>
          <w:color w:val="auto"/>
          <w:sz w:val="24"/>
          <w:szCs w:val="24"/>
          <w:lang w:val="en-US" w:eastAsia="zh-CN"/>
        </w:rPr>
        <w:t>处理站</w:t>
      </w:r>
      <w:r>
        <w:rPr>
          <w:rFonts w:hint="default" w:ascii="Times New Roman" w:hAnsi="Times New Roman" w:eastAsia="宋体" w:cs="Times New Roman"/>
          <w:color w:val="auto"/>
          <w:sz w:val="24"/>
          <w:szCs w:val="24"/>
          <w:lang w:val="en-US" w:eastAsia="zh-CN"/>
        </w:rPr>
        <w:t>发生事故时，泄漏的污染物将对厂区外的地下水环境造成一定影响，但影响范围不会涉及澧水。</w:t>
      </w:r>
    </w:p>
    <w:p w14:paraId="12EE8F2E">
      <w:pPr>
        <w:pStyle w:val="4"/>
        <w:spacing w:before="156" w:beforeLines="50" w:after="156" w:afterLines="50" w:line="360" w:lineRule="auto"/>
        <w:rPr>
          <w:rFonts w:ascii="Times New Roman" w:hAnsi="Times New Roman"/>
          <w:bCs w:val="0"/>
          <w:color w:val="auto"/>
          <w:kern w:val="0"/>
          <w:sz w:val="24"/>
          <w:szCs w:val="24"/>
        </w:rPr>
      </w:pPr>
      <w:r>
        <w:rPr>
          <w:rFonts w:ascii="Times New Roman" w:hAnsi="Times New Roman"/>
          <w:bCs w:val="0"/>
          <w:color w:val="auto"/>
          <w:kern w:val="0"/>
          <w:sz w:val="24"/>
          <w:szCs w:val="24"/>
        </w:rPr>
        <w:t>6.2.6</w:t>
      </w:r>
      <w:r>
        <w:rPr>
          <w:rFonts w:hint="eastAsia" w:ascii="Times New Roman" w:hAnsi="Times New Roman"/>
          <w:bCs w:val="0"/>
          <w:color w:val="auto"/>
          <w:kern w:val="0"/>
          <w:sz w:val="24"/>
          <w:szCs w:val="24"/>
        </w:rPr>
        <w:t>土壤</w:t>
      </w:r>
      <w:r>
        <w:rPr>
          <w:rFonts w:ascii="Times New Roman" w:hAnsi="Times New Roman"/>
          <w:bCs w:val="0"/>
          <w:color w:val="auto"/>
          <w:kern w:val="0"/>
          <w:sz w:val="24"/>
          <w:szCs w:val="24"/>
        </w:rPr>
        <w:t>环境影响分析</w:t>
      </w:r>
    </w:p>
    <w:p w14:paraId="2DE4DBE1">
      <w:pPr>
        <w:numPr>
          <w:ilvl w:val="0"/>
          <w:numId w:val="0"/>
        </w:numPr>
        <w:spacing w:line="360" w:lineRule="auto"/>
        <w:ind w:firstLine="480"/>
        <w:rPr>
          <w:rFonts w:hint="eastAsia" w:ascii="Times New Roman" w:hAnsi="Times New Roman" w:eastAsia="宋体" w:cs="Times New Roman"/>
          <w:color w:val="auto"/>
          <w:sz w:val="24"/>
          <w:szCs w:val="24"/>
          <w:lang w:val="en-US" w:eastAsia="zh-CN"/>
        </w:rPr>
        <w:sectPr>
          <w:headerReference r:id="rId10" w:type="default"/>
          <w:footerReference r:id="rId11" w:type="default"/>
          <w:pgSz w:w="11906" w:h="16838"/>
          <w:pgMar w:top="1440" w:right="1800" w:bottom="1440" w:left="1800" w:header="851" w:footer="992" w:gutter="0"/>
          <w:cols w:space="720" w:num="1"/>
          <w:docGrid w:type="lines" w:linePitch="312" w:charSpace="0"/>
        </w:sectPr>
      </w:pPr>
      <w:bookmarkStart w:id="273" w:name="_Toc8111"/>
      <w:r>
        <w:rPr>
          <w:rFonts w:hint="eastAsia" w:ascii="Times New Roman" w:hAnsi="Times New Roman" w:eastAsia="宋体" w:cs="Times New Roman"/>
          <w:color w:val="auto"/>
          <w:sz w:val="24"/>
          <w:szCs w:val="24"/>
          <w:lang w:val="en-US" w:eastAsia="zh-CN"/>
        </w:rPr>
        <w:t>本项目位于津市高新技术产业开发区，周边均为园区工业用地或工业企业，不属于土壤环境敏感目标（耕地、牧草地、饮用水水源地或居民区、学校、医院等），土壤环境敏感程度为不敏感。对照《环境影响评价技术导则 土壤环境（试行）》（HJ 964-2018）附录A，本项目属于“粮食及饲料加工”，属于Ⅳ类项目。本项目可不开展土壤环境影响评价工作。</w:t>
      </w:r>
    </w:p>
    <w:p w14:paraId="4BA04C56">
      <w:pPr>
        <w:keepNext/>
        <w:keepLines/>
        <w:spacing w:before="340" w:after="330" w:line="576" w:lineRule="auto"/>
        <w:jc w:val="center"/>
        <w:outlineLvl w:val="0"/>
        <w:rPr>
          <w:rFonts w:ascii="Times New Roman" w:hAnsi="Times New Roman" w:eastAsia="宋体" w:cs="Times New Roman"/>
          <w:b/>
          <w:color w:val="auto"/>
          <w:kern w:val="44"/>
          <w:sz w:val="32"/>
          <w:szCs w:val="44"/>
        </w:rPr>
      </w:pPr>
      <w:bookmarkStart w:id="274" w:name="_Toc184"/>
      <w:r>
        <w:rPr>
          <w:rFonts w:ascii="Times New Roman" w:hAnsi="Times New Roman" w:eastAsia="宋体" w:cs="Times New Roman"/>
          <w:b/>
          <w:color w:val="auto"/>
          <w:kern w:val="44"/>
          <w:sz w:val="32"/>
          <w:szCs w:val="44"/>
        </w:rPr>
        <w:t>7、污染防治措施及</w:t>
      </w:r>
      <w:r>
        <w:rPr>
          <w:rFonts w:hint="eastAsia" w:ascii="Times New Roman" w:hAnsi="Times New Roman" w:eastAsia="宋体" w:cs="Times New Roman"/>
          <w:b/>
          <w:color w:val="auto"/>
          <w:kern w:val="44"/>
          <w:sz w:val="32"/>
          <w:szCs w:val="44"/>
        </w:rPr>
        <w:t>可行性分析</w:t>
      </w:r>
      <w:bookmarkEnd w:id="273"/>
      <w:bookmarkEnd w:id="274"/>
    </w:p>
    <w:p w14:paraId="5F9D5C87">
      <w:pPr>
        <w:keepNext/>
        <w:keepLines/>
        <w:spacing w:before="100" w:beforeAutospacing="1" w:after="100" w:afterAutospacing="1" w:line="360" w:lineRule="auto"/>
        <w:outlineLvl w:val="1"/>
        <w:rPr>
          <w:rFonts w:ascii="Times New Roman" w:hAnsi="Times New Roman" w:eastAsia="宋体" w:cs="Times New Roman"/>
          <w:b/>
          <w:bCs/>
          <w:color w:val="auto"/>
          <w:kern w:val="0"/>
          <w:sz w:val="28"/>
          <w:szCs w:val="28"/>
        </w:rPr>
      </w:pPr>
      <w:bookmarkStart w:id="275" w:name="_Toc28658"/>
      <w:bookmarkStart w:id="276" w:name="_Toc9761"/>
      <w:r>
        <w:rPr>
          <w:rFonts w:hint="eastAsia" w:ascii="Times New Roman" w:hAnsi="Times New Roman" w:eastAsia="宋体" w:cs="Times New Roman"/>
          <w:b/>
          <w:bCs/>
          <w:color w:val="auto"/>
          <w:kern w:val="0"/>
          <w:sz w:val="28"/>
          <w:szCs w:val="28"/>
        </w:rPr>
        <w:t>7.1 施工期污染防治措施及可行性分析</w:t>
      </w:r>
      <w:bookmarkEnd w:id="275"/>
      <w:bookmarkEnd w:id="276"/>
    </w:p>
    <w:p w14:paraId="1BA7C89F">
      <w:pPr>
        <w:spacing w:line="360" w:lineRule="auto"/>
        <w:ind w:firstLine="480" w:firstLineChars="200"/>
        <w:rPr>
          <w:rFonts w:hint="eastAsia" w:ascii="Times New Roman" w:hAnsi="Times New Roman" w:eastAsia="宋体" w:cs="宋体"/>
          <w:color w:val="auto"/>
          <w:sz w:val="24"/>
          <w:szCs w:val="24"/>
          <w:lang w:val="en-US" w:eastAsia="zh-CN"/>
        </w:rPr>
      </w:pPr>
      <w:r>
        <w:rPr>
          <w:rFonts w:hint="eastAsia" w:ascii="Times New Roman" w:hAnsi="Times New Roman" w:eastAsia="宋体" w:cs="宋体"/>
          <w:color w:val="auto"/>
          <w:sz w:val="24"/>
          <w:szCs w:val="24"/>
          <w:lang w:val="en-US" w:eastAsia="zh-CN"/>
        </w:rPr>
        <w:t>本项目无新增土建工程，仅在现有厂房内安装部分生产设备，基本无施工期环境影响，因此报告书不不再分析施工期环保措施的可行性。</w:t>
      </w:r>
    </w:p>
    <w:p w14:paraId="60900732">
      <w:pPr>
        <w:pStyle w:val="3"/>
        <w:spacing w:before="100" w:beforeAutospacing="1" w:after="100" w:afterAutospacing="1" w:line="360" w:lineRule="auto"/>
        <w:rPr>
          <w:rFonts w:ascii="Times New Roman" w:hAnsi="Times New Roman"/>
          <w:color w:val="auto"/>
          <w:kern w:val="0"/>
          <w:sz w:val="28"/>
          <w:szCs w:val="28"/>
        </w:rPr>
      </w:pPr>
      <w:bookmarkStart w:id="277" w:name="_Toc7975"/>
      <w:r>
        <w:rPr>
          <w:rFonts w:hint="eastAsia" w:ascii="Times New Roman" w:hAnsi="Times New Roman"/>
          <w:color w:val="auto"/>
          <w:kern w:val="0"/>
          <w:sz w:val="28"/>
          <w:szCs w:val="28"/>
        </w:rPr>
        <w:t xml:space="preserve">7.2 </w:t>
      </w:r>
      <w:bookmarkStart w:id="278" w:name="_Toc1907"/>
      <w:bookmarkStart w:id="279" w:name="_Toc28756"/>
      <w:r>
        <w:rPr>
          <w:rFonts w:hint="eastAsia" w:ascii="Times New Roman" w:hAnsi="Times New Roman"/>
          <w:color w:val="auto"/>
          <w:kern w:val="0"/>
          <w:sz w:val="28"/>
          <w:szCs w:val="28"/>
        </w:rPr>
        <w:t>营运期污染防治措施及可行性分析</w:t>
      </w:r>
      <w:bookmarkEnd w:id="277"/>
      <w:bookmarkEnd w:id="278"/>
      <w:bookmarkEnd w:id="279"/>
    </w:p>
    <w:p w14:paraId="1070E900">
      <w:pPr>
        <w:keepNext/>
        <w:keepLines/>
        <w:spacing w:before="156" w:beforeLines="50" w:after="156" w:afterLines="50" w:line="416" w:lineRule="auto"/>
        <w:outlineLvl w:val="2"/>
        <w:rPr>
          <w:rFonts w:ascii="Times New Roman" w:hAnsi="Times New Roman" w:eastAsia="宋体" w:cs="Times New Roman"/>
          <w:b/>
          <w:color w:val="auto"/>
          <w:kern w:val="0"/>
          <w:sz w:val="24"/>
          <w:szCs w:val="24"/>
        </w:rPr>
      </w:pPr>
      <w:r>
        <w:rPr>
          <w:rFonts w:hint="eastAsia" w:ascii="Times New Roman" w:hAnsi="Times New Roman" w:eastAsia="宋体" w:cs="Times New Roman"/>
          <w:b/>
          <w:color w:val="auto"/>
          <w:kern w:val="0"/>
          <w:sz w:val="24"/>
          <w:szCs w:val="24"/>
        </w:rPr>
        <w:t>7.2.1 营运期废气污染防治措施及可行性分析</w:t>
      </w:r>
    </w:p>
    <w:p w14:paraId="6ECE9CE9">
      <w:pPr>
        <w:spacing w:line="360" w:lineRule="auto"/>
        <w:ind w:firstLine="482" w:firstLineChars="200"/>
        <w:rPr>
          <w:rFonts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1、有组织废气</w:t>
      </w:r>
    </w:p>
    <w:p w14:paraId="1956356C">
      <w:pPr>
        <w:spacing w:line="360" w:lineRule="auto"/>
        <w:ind w:firstLine="480" w:firstLineChars="200"/>
        <w:rPr>
          <w:rFonts w:hint="eastAsia" w:ascii="Times New Roman" w:hAnsi="Times New Roman" w:eastAsia="宋体" w:cs="Times New Roman"/>
          <w:color w:val="auto"/>
          <w:sz w:val="24"/>
          <w:szCs w:val="24"/>
          <w:u w:val="none"/>
          <w:lang w:val="en-US" w:eastAsia="zh-CN"/>
        </w:rPr>
      </w:pPr>
      <w:r>
        <w:rPr>
          <w:rFonts w:hint="eastAsia" w:ascii="Times New Roman" w:hAnsi="Times New Roman" w:eastAsia="宋体" w:cs="Times New Roman"/>
          <w:color w:val="auto"/>
          <w:sz w:val="24"/>
          <w:szCs w:val="24"/>
          <w:u w:val="none"/>
          <w:lang w:val="en-US" w:eastAsia="zh-CN"/>
        </w:rPr>
        <w:t>有组织废气包括发酵废气、干燥废气和污水处理站废气，主要污染物为非甲烷总烃和恶臭气体，主要大气污染防治措施如下：</w:t>
      </w:r>
    </w:p>
    <w:p w14:paraId="44B261C5">
      <w:pPr>
        <w:spacing w:line="360" w:lineRule="auto"/>
        <w:ind w:firstLine="480" w:firstLineChars="200"/>
        <w:rPr>
          <w:rFonts w:hint="default" w:ascii="Times New Roman" w:hAnsi="Times New Roman" w:eastAsia="宋体" w:cs="Times New Roman"/>
          <w:color w:val="auto"/>
          <w:sz w:val="24"/>
          <w:szCs w:val="24"/>
          <w:u w:val="none"/>
          <w:lang w:val="en-US" w:eastAsia="zh-CN"/>
        </w:rPr>
      </w:pPr>
      <w:r>
        <w:rPr>
          <w:rFonts w:hint="eastAsia" w:ascii="Times New Roman" w:hAnsi="Times New Roman" w:eastAsia="宋体" w:cs="Times New Roman"/>
          <w:color w:val="auto"/>
          <w:sz w:val="24"/>
          <w:szCs w:val="24"/>
          <w:u w:val="none"/>
          <w:lang w:val="en-US" w:eastAsia="zh-CN"/>
        </w:rPr>
        <w:t>（1）废气收集</w:t>
      </w:r>
    </w:p>
    <w:p w14:paraId="665A0FDE">
      <w:pPr>
        <w:spacing w:line="360" w:lineRule="auto"/>
        <w:ind w:firstLine="480" w:firstLineChars="200"/>
        <w:rPr>
          <w:rFonts w:hint="eastAsia" w:ascii="Times New Roman" w:hAnsi="Times New Roman" w:eastAsia="宋体" w:cs="Times New Roman"/>
          <w:color w:val="auto"/>
          <w:sz w:val="24"/>
          <w:szCs w:val="24"/>
          <w:u w:val="none"/>
          <w:lang w:val="en-US" w:eastAsia="zh-CN"/>
        </w:rPr>
      </w:pPr>
      <w:r>
        <w:rPr>
          <w:rFonts w:hint="eastAsia" w:ascii="Times New Roman" w:hAnsi="Times New Roman" w:eastAsia="宋体" w:cs="Times New Roman"/>
          <w:color w:val="auto"/>
          <w:sz w:val="24"/>
          <w:szCs w:val="24"/>
          <w:u w:val="none"/>
          <w:lang w:val="en-US" w:eastAsia="zh-CN"/>
        </w:rPr>
        <w:t>①发酵过程中产生的废气在反应罐（种子罐、发酵罐）内直接收集，避免无组织废气的逸散。</w:t>
      </w:r>
    </w:p>
    <w:p w14:paraId="48751E26">
      <w:pPr>
        <w:spacing w:line="360" w:lineRule="auto"/>
        <w:ind w:firstLine="480" w:firstLineChars="200"/>
        <w:rPr>
          <w:rFonts w:hint="eastAsia" w:ascii="Times New Roman" w:hAnsi="Times New Roman" w:eastAsia="宋体" w:cs="Times New Roman"/>
          <w:color w:val="auto"/>
          <w:sz w:val="24"/>
          <w:szCs w:val="24"/>
          <w:u w:val="none"/>
          <w:lang w:val="en-US" w:eastAsia="zh-CN"/>
        </w:rPr>
      </w:pPr>
      <w:r>
        <w:rPr>
          <w:rFonts w:hint="eastAsia" w:ascii="Times New Roman" w:hAnsi="Times New Roman" w:eastAsia="宋体" w:cs="Times New Roman"/>
          <w:color w:val="auto"/>
          <w:sz w:val="24"/>
          <w:szCs w:val="24"/>
          <w:u w:val="none"/>
          <w:lang w:val="en-US" w:eastAsia="zh-CN"/>
        </w:rPr>
        <w:t>②干燥过程中产生的废气由机械泵抽气、呼吸口、放空管等直接从反应装置中收集导出至废气收集处理系统，在反应期间，反应设备的进料口、出料口、检修口、搅拌口等开口（孔）在不操作时保持密闭。</w:t>
      </w:r>
    </w:p>
    <w:p w14:paraId="72D920DA">
      <w:pPr>
        <w:spacing w:line="360" w:lineRule="auto"/>
        <w:ind w:firstLine="480" w:firstLineChars="200"/>
        <w:rPr>
          <w:rFonts w:hint="default" w:ascii="Times New Roman" w:hAnsi="Times New Roman" w:eastAsia="宋体" w:cs="Times New Roman"/>
          <w:color w:val="auto"/>
          <w:sz w:val="24"/>
          <w:szCs w:val="24"/>
          <w:u w:val="none"/>
          <w:lang w:val="en-US" w:eastAsia="zh-CN"/>
        </w:rPr>
      </w:pPr>
      <w:r>
        <w:rPr>
          <w:rFonts w:hint="eastAsia" w:ascii="Times New Roman" w:hAnsi="Times New Roman" w:eastAsia="宋体" w:cs="Times New Roman"/>
          <w:color w:val="auto"/>
          <w:sz w:val="24"/>
          <w:szCs w:val="24"/>
          <w:u w:val="none"/>
          <w:lang w:val="en-US" w:eastAsia="zh-CN"/>
        </w:rPr>
        <w:t>③污水处理站格栅、调节池、生化反应池及污泥间、危废暂存间等加盖负压抽风收集。</w:t>
      </w:r>
    </w:p>
    <w:p w14:paraId="0E9B21FB">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（2）废气排放</w:t>
      </w:r>
    </w:p>
    <w:p w14:paraId="7073415E">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rPr>
        <w:t>①</w:t>
      </w:r>
      <w:r>
        <w:rPr>
          <w:rFonts w:hint="eastAsia" w:ascii="Times New Roman" w:hAnsi="Times New Roman" w:eastAsia="宋体" w:cs="Times New Roman"/>
          <w:color w:val="auto"/>
          <w:sz w:val="24"/>
          <w:szCs w:val="24"/>
          <w:lang w:val="en-US" w:eastAsia="zh-CN"/>
        </w:rPr>
        <w:t>发酵废气</w:t>
      </w:r>
    </w:p>
    <w:p w14:paraId="48CD9798">
      <w:pPr>
        <w:spacing w:line="360" w:lineRule="auto"/>
        <w:ind w:firstLine="480" w:firstLineChars="200"/>
        <w:rPr>
          <w:rFonts w:hint="eastAsia" w:ascii="Times New Roman" w:hAnsi="Times New Roman" w:eastAsia="宋体" w:cs="Times New Roman"/>
          <w:color w:val="auto"/>
          <w:sz w:val="24"/>
          <w:szCs w:val="24"/>
          <w:highlight w:val="none"/>
          <w:u w:val="none"/>
          <w:lang w:val="en-US" w:eastAsia="zh-CN"/>
        </w:rPr>
      </w:pPr>
      <w:r>
        <w:rPr>
          <w:rFonts w:hint="eastAsia" w:ascii="Times New Roman" w:hAnsi="Times New Roman" w:eastAsia="宋体" w:cs="Times New Roman"/>
          <w:color w:val="auto"/>
          <w:sz w:val="24"/>
          <w:szCs w:val="24"/>
          <w:lang w:val="en-US" w:eastAsia="zh-CN"/>
        </w:rPr>
        <w:t>发酵1车间产生的发酵废气主要污染物为非甲烷总烃、颗粒物、氨气，依托发酵1车间现有碱喷淋设施，</w:t>
      </w:r>
      <w:r>
        <w:rPr>
          <w:rFonts w:hint="eastAsia" w:ascii="Times New Roman" w:hAnsi="Times New Roman" w:eastAsia="宋体" w:cs="Times New Roman"/>
          <w:color w:val="auto"/>
          <w:sz w:val="24"/>
          <w:szCs w:val="24"/>
          <w:highlight w:val="none"/>
          <w:u w:val="none"/>
          <w:lang w:val="en-US" w:eastAsia="zh-CN"/>
        </w:rPr>
        <w:t>处理废气风量为20000m</w:t>
      </w:r>
      <w:r>
        <w:rPr>
          <w:rFonts w:hint="eastAsia" w:ascii="Times New Roman" w:hAnsi="Times New Roman" w:eastAsia="宋体" w:cs="Times New Roman"/>
          <w:color w:val="auto"/>
          <w:sz w:val="24"/>
          <w:szCs w:val="24"/>
          <w:highlight w:val="none"/>
          <w:u w:val="none"/>
          <w:vertAlign w:val="superscript"/>
          <w:lang w:val="en-US" w:eastAsia="zh-CN"/>
        </w:rPr>
        <w:t>3</w:t>
      </w:r>
      <w:r>
        <w:rPr>
          <w:rFonts w:hint="eastAsia" w:ascii="Times New Roman" w:hAnsi="Times New Roman" w:eastAsia="宋体" w:cs="Times New Roman"/>
          <w:color w:val="auto"/>
          <w:sz w:val="24"/>
          <w:szCs w:val="24"/>
          <w:highlight w:val="none"/>
          <w:u w:val="none"/>
          <w:lang w:val="en-US" w:eastAsia="zh-CN"/>
        </w:rPr>
        <w:t>/h，发酵1车间内发酵废气经碱喷淋系统预处理后进入集中式生物除臭处理设施进一步处理，集中式生物除臭处理设施设计处理风量65000m</w:t>
      </w:r>
      <w:r>
        <w:rPr>
          <w:rFonts w:hint="eastAsia" w:ascii="Times New Roman" w:hAnsi="Times New Roman" w:eastAsia="宋体" w:cs="Times New Roman"/>
          <w:color w:val="auto"/>
          <w:sz w:val="24"/>
          <w:szCs w:val="24"/>
          <w:highlight w:val="none"/>
          <w:u w:val="none"/>
          <w:vertAlign w:val="superscript"/>
          <w:lang w:val="en-US" w:eastAsia="zh-CN"/>
        </w:rPr>
        <w:t>3</w:t>
      </w:r>
      <w:r>
        <w:rPr>
          <w:rFonts w:hint="eastAsia" w:ascii="Times New Roman" w:hAnsi="Times New Roman" w:eastAsia="宋体" w:cs="Times New Roman"/>
          <w:color w:val="auto"/>
          <w:sz w:val="24"/>
          <w:szCs w:val="24"/>
          <w:highlight w:val="none"/>
          <w:u w:val="none"/>
          <w:lang w:val="en-US" w:eastAsia="zh-CN"/>
        </w:rPr>
        <w:t>/h，尾气经21m高DA001排气筒排放，内径1.2m。</w:t>
      </w:r>
    </w:p>
    <w:p w14:paraId="6E9B9F95">
      <w:pPr>
        <w:spacing w:line="360" w:lineRule="auto"/>
        <w:ind w:firstLine="480" w:firstLineChars="200"/>
        <w:rPr>
          <w:rFonts w:hint="eastAsia" w:ascii="Times New Roman" w:hAnsi="Times New Roman" w:eastAsia="宋体" w:cs="Times New Roman"/>
          <w:color w:val="000000"/>
          <w:kern w:val="2"/>
          <w:sz w:val="24"/>
          <w:szCs w:val="24"/>
          <w:u w:val="none" w:color="auto"/>
          <w:vertAlign w:val="baseline"/>
          <w:lang w:val="en-US" w:eastAsia="zh-CN" w:bidi="ar-SA"/>
        </w:rPr>
      </w:pPr>
      <w:r>
        <w:rPr>
          <w:rFonts w:hint="eastAsia" w:ascii="Times New Roman" w:hAnsi="Times New Roman" w:eastAsia="宋体" w:cs="Times New Roman"/>
          <w:color w:val="auto"/>
          <w:sz w:val="24"/>
          <w:szCs w:val="24"/>
          <w:highlight w:val="none"/>
          <w:u w:val="none"/>
          <w:lang w:val="en-US" w:eastAsia="zh-CN"/>
        </w:rPr>
        <w:t>发酵废气采用“碱喷淋预处理+集中式生物除臭”设施处理后，设计风量为10000m</w:t>
      </w:r>
      <w:r>
        <w:rPr>
          <w:rFonts w:hint="eastAsia" w:ascii="Times New Roman" w:hAnsi="Times New Roman" w:eastAsia="宋体" w:cs="Times New Roman"/>
          <w:color w:val="auto"/>
          <w:sz w:val="24"/>
          <w:szCs w:val="24"/>
          <w:highlight w:val="none"/>
          <w:u w:val="none"/>
          <w:vertAlign w:val="superscript"/>
          <w:lang w:val="en-US" w:eastAsia="zh-CN"/>
        </w:rPr>
        <w:t>3</w:t>
      </w:r>
      <w:r>
        <w:rPr>
          <w:rFonts w:hint="eastAsia" w:ascii="Times New Roman" w:hAnsi="Times New Roman" w:eastAsia="宋体" w:cs="Times New Roman"/>
          <w:color w:val="auto"/>
          <w:sz w:val="24"/>
          <w:szCs w:val="24"/>
          <w:highlight w:val="none"/>
          <w:u w:val="none"/>
          <w:lang w:val="en-US" w:eastAsia="zh-CN"/>
        </w:rPr>
        <w:t>/h非甲烷总烃处理效率84.69%，颗粒物处理效率75.75%，氨气处理效率22.64%，臭气浓度处理效率25.9%。处理后污染因子中非甲烷总烃排放速率0.14kg/h，排放浓度13.63</w:t>
      </w:r>
      <w:r>
        <w:rPr>
          <w:rFonts w:hint="eastAsia" w:ascii="Times New Roman" w:hAnsi="Times New Roman" w:eastAsia="宋体" w:cs="Times New Roman"/>
          <w:color w:val="000000"/>
          <w:kern w:val="2"/>
          <w:sz w:val="24"/>
          <w:szCs w:val="24"/>
          <w:u w:val="none" w:color="auto"/>
          <w:lang w:val="en-US" w:eastAsia="zh-CN" w:bidi="ar-SA"/>
        </w:rPr>
        <w:t>mg/m</w:t>
      </w:r>
      <w:r>
        <w:rPr>
          <w:rFonts w:hint="eastAsia" w:ascii="Times New Roman" w:hAnsi="Times New Roman" w:eastAsia="宋体" w:cs="Times New Roman"/>
          <w:color w:val="000000"/>
          <w:kern w:val="2"/>
          <w:sz w:val="24"/>
          <w:szCs w:val="24"/>
          <w:u w:val="none" w:color="auto"/>
          <w:vertAlign w:val="superscript"/>
          <w:lang w:val="en-US" w:eastAsia="zh-CN" w:bidi="ar-SA"/>
        </w:rPr>
        <w:t>3</w:t>
      </w:r>
      <w:r>
        <w:rPr>
          <w:rFonts w:hint="eastAsia" w:ascii="Times New Roman" w:hAnsi="Times New Roman" w:eastAsia="宋体" w:cs="Times New Roman"/>
          <w:color w:val="000000"/>
          <w:kern w:val="2"/>
          <w:sz w:val="24"/>
          <w:szCs w:val="24"/>
          <w:u w:val="none" w:color="auto"/>
          <w:vertAlign w:val="baseline"/>
          <w:lang w:val="en-US" w:eastAsia="zh-CN" w:bidi="ar-SA"/>
        </w:rPr>
        <w:t>；颗粒物排放速率0.38kg/h，排放浓度38.07</w:t>
      </w:r>
      <w:r>
        <w:rPr>
          <w:rFonts w:hint="eastAsia" w:ascii="Times New Roman" w:hAnsi="Times New Roman" w:eastAsia="宋体" w:cs="Times New Roman"/>
          <w:color w:val="000000"/>
          <w:kern w:val="2"/>
          <w:sz w:val="24"/>
          <w:szCs w:val="24"/>
          <w:u w:val="none" w:color="auto"/>
          <w:lang w:val="en-US" w:eastAsia="zh-CN" w:bidi="ar-SA"/>
        </w:rPr>
        <w:t>mg/m</w:t>
      </w:r>
      <w:r>
        <w:rPr>
          <w:rFonts w:hint="eastAsia" w:ascii="Times New Roman" w:hAnsi="Times New Roman" w:eastAsia="宋体" w:cs="Times New Roman"/>
          <w:color w:val="000000"/>
          <w:kern w:val="2"/>
          <w:sz w:val="24"/>
          <w:szCs w:val="24"/>
          <w:u w:val="none" w:color="auto"/>
          <w:vertAlign w:val="superscript"/>
          <w:lang w:val="en-US" w:eastAsia="zh-CN" w:bidi="ar-SA"/>
        </w:rPr>
        <w:t>3</w:t>
      </w:r>
      <w:r>
        <w:rPr>
          <w:rFonts w:hint="eastAsia" w:ascii="Times New Roman" w:hAnsi="Times New Roman" w:eastAsia="宋体" w:cs="Times New Roman"/>
          <w:color w:val="000000"/>
          <w:kern w:val="2"/>
          <w:sz w:val="24"/>
          <w:szCs w:val="24"/>
          <w:u w:val="none" w:color="auto"/>
          <w:vertAlign w:val="baseline"/>
          <w:lang w:val="en-US" w:eastAsia="zh-CN" w:bidi="ar-SA"/>
        </w:rPr>
        <w:t>；氨气排放速率0.043kg/h，排放浓度4.25</w:t>
      </w:r>
      <w:r>
        <w:rPr>
          <w:rFonts w:hint="eastAsia" w:ascii="Times New Roman" w:hAnsi="Times New Roman" w:eastAsia="宋体" w:cs="Times New Roman"/>
          <w:color w:val="000000"/>
          <w:kern w:val="2"/>
          <w:sz w:val="24"/>
          <w:szCs w:val="24"/>
          <w:u w:val="none" w:color="auto"/>
          <w:lang w:val="en-US" w:eastAsia="zh-CN" w:bidi="ar-SA"/>
        </w:rPr>
        <w:t>mg/m</w:t>
      </w:r>
      <w:r>
        <w:rPr>
          <w:rFonts w:hint="eastAsia" w:ascii="Times New Roman" w:hAnsi="Times New Roman" w:eastAsia="宋体" w:cs="Times New Roman"/>
          <w:color w:val="000000"/>
          <w:kern w:val="2"/>
          <w:sz w:val="24"/>
          <w:szCs w:val="24"/>
          <w:u w:val="none" w:color="auto"/>
          <w:vertAlign w:val="superscript"/>
          <w:lang w:val="en-US" w:eastAsia="zh-CN" w:bidi="ar-SA"/>
        </w:rPr>
        <w:t>3</w:t>
      </w:r>
      <w:r>
        <w:rPr>
          <w:rFonts w:hint="eastAsia" w:ascii="Times New Roman" w:hAnsi="Times New Roman" w:eastAsia="宋体" w:cs="Times New Roman"/>
          <w:color w:val="000000"/>
          <w:kern w:val="2"/>
          <w:sz w:val="24"/>
          <w:szCs w:val="24"/>
          <w:u w:val="none" w:color="auto"/>
          <w:vertAlign w:val="baseline"/>
          <w:lang w:val="en-US" w:eastAsia="zh-CN" w:bidi="ar-SA"/>
        </w:rPr>
        <w:t>；臭气浓度607无量纲。</w:t>
      </w:r>
    </w:p>
    <w:p w14:paraId="677FDBAF">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非甲烷总烃、颗粒物执行《大气污染物综合排放标准》（GB16297-1996）表2限值，排放浓度控制指标是非甲烷总烃≤120mg/m³，颗粒物≤120mg/m³，排放速率控制指标为非甲烷总烃≤17</w:t>
      </w:r>
      <w:r>
        <w:rPr>
          <w:rFonts w:hint="default" w:ascii="Times New Roman" w:hAnsi="Times New Roman" w:eastAsia="宋体" w:cs="Times New Roman"/>
          <w:color w:val="auto"/>
          <w:highlight w:val="none"/>
        </w:rPr>
        <w:t>kg/h</w:t>
      </w:r>
      <w:r>
        <w:rPr>
          <w:rFonts w:hint="eastAsia" w:ascii="Times New Roman" w:hAnsi="Times New Roman" w:eastAsia="宋体" w:cs="Times New Roman"/>
          <w:color w:val="auto"/>
          <w:sz w:val="24"/>
          <w:szCs w:val="24"/>
          <w:highlight w:val="none"/>
          <w:lang w:val="en-US" w:eastAsia="zh-CN"/>
        </w:rPr>
        <w:t>，颗粒物≤5.9</w:t>
      </w:r>
      <w:r>
        <w:rPr>
          <w:rFonts w:hint="default" w:ascii="Times New Roman" w:hAnsi="Times New Roman" w:eastAsia="宋体" w:cs="Times New Roman"/>
          <w:color w:val="auto"/>
          <w:highlight w:val="none"/>
        </w:rPr>
        <w:t>kg/h</w:t>
      </w:r>
      <w:r>
        <w:rPr>
          <w:rFonts w:hint="eastAsia" w:ascii="Times New Roman" w:hAnsi="Times New Roman" w:eastAsia="宋体" w:cs="Times New Roman"/>
          <w:color w:val="auto"/>
          <w:highlight w:val="none"/>
          <w:lang w:eastAsia="zh-CN"/>
        </w:rPr>
        <w:t>；</w:t>
      </w:r>
      <w:r>
        <w:rPr>
          <w:rFonts w:hint="eastAsia" w:ascii="Times New Roman" w:hAnsi="Times New Roman" w:eastAsia="宋体" w:cs="Times New Roman"/>
          <w:color w:val="auto"/>
          <w:sz w:val="24"/>
          <w:szCs w:val="24"/>
          <w:highlight w:val="none"/>
          <w:lang w:val="en-US" w:eastAsia="zh-CN"/>
        </w:rPr>
        <w:t>氨气、臭气浓度执行《恶臭污染物排放标准》（GB14554-93）表2限值，控制指标为氨气≤8.7</w:t>
      </w:r>
      <w:r>
        <w:rPr>
          <w:rFonts w:hint="default" w:ascii="Times New Roman" w:hAnsi="Times New Roman" w:eastAsia="宋体" w:cs="Times New Roman"/>
          <w:color w:val="auto"/>
          <w:highlight w:val="none"/>
        </w:rPr>
        <w:t>kg/h</w:t>
      </w:r>
      <w:r>
        <w:rPr>
          <w:rFonts w:hint="eastAsia" w:ascii="Times New Roman" w:hAnsi="Times New Roman" w:eastAsia="宋体" w:cs="Times New Roman"/>
          <w:color w:val="auto"/>
          <w:sz w:val="24"/>
          <w:szCs w:val="24"/>
          <w:highlight w:val="none"/>
          <w:lang w:val="en-US" w:eastAsia="zh-CN"/>
        </w:rPr>
        <w:t>，臭气浓度≤6000（无量纲），本项目发酵废气经处理后可达标排放。</w:t>
      </w:r>
    </w:p>
    <w:p w14:paraId="41880DAA">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对照《排污许可申请与核发技术规范 食品制造工业—方便食品、食品及饲料添加剂制造工业》（HJ 1030.3-2019）中废气治理可行技术要求，所采用废气处理工艺均属于排污许可证申请与核发技术规范中的可行技术。</w:t>
      </w:r>
    </w:p>
    <w:p w14:paraId="5FE456B5">
      <w:pPr>
        <w:spacing w:line="360" w:lineRule="auto"/>
        <w:ind w:firstLine="480" w:firstLineChars="200"/>
        <w:rPr>
          <w:rFonts w:hint="eastAsia" w:ascii="Times New Roman" w:hAnsi="Times New Roman" w:eastAsia="宋体" w:cs="Times New Roman"/>
          <w:color w:val="auto"/>
          <w:sz w:val="24"/>
          <w:szCs w:val="24"/>
          <w:highlight w:val="none"/>
          <w:u w:val="none"/>
          <w:lang w:val="en-US" w:eastAsia="zh-CN"/>
        </w:rPr>
      </w:pPr>
      <w:r>
        <w:rPr>
          <w:rFonts w:hint="eastAsia" w:ascii="Times New Roman" w:hAnsi="Times New Roman" w:eastAsia="宋体" w:cs="Times New Roman"/>
          <w:color w:val="auto"/>
          <w:sz w:val="24"/>
          <w:szCs w:val="24"/>
          <w:highlight w:val="none"/>
          <w:u w:val="none"/>
          <w:lang w:val="en-US" w:eastAsia="zh-CN"/>
        </w:rPr>
        <w:t>②干燥废气</w:t>
      </w:r>
    </w:p>
    <w:p w14:paraId="365F052B">
      <w:pPr>
        <w:spacing w:line="360" w:lineRule="auto"/>
        <w:ind w:firstLine="480" w:firstLineChars="200"/>
        <w:rPr>
          <w:rFonts w:hint="eastAsia" w:ascii="Times New Roman" w:hAnsi="Times New Roman" w:eastAsia="宋体" w:cs="Times New Roman"/>
          <w:color w:val="auto"/>
          <w:sz w:val="24"/>
          <w:szCs w:val="24"/>
          <w:highlight w:val="none"/>
          <w:u w:val="none"/>
          <w:lang w:val="en-US" w:eastAsia="zh-CN"/>
        </w:rPr>
      </w:pPr>
      <w:r>
        <w:rPr>
          <w:rFonts w:hint="eastAsia" w:ascii="Times New Roman" w:hAnsi="Times New Roman" w:eastAsia="宋体" w:cs="Times New Roman"/>
          <w:color w:val="auto"/>
          <w:sz w:val="24"/>
          <w:szCs w:val="24"/>
          <w:highlight w:val="none"/>
          <w:u w:val="none"/>
          <w:lang w:val="en-US" w:eastAsia="zh-CN"/>
        </w:rPr>
        <w:t>提取2车间产生的干燥废气主要污染物为颗粒物，依托现有“碱喷淋+集中式生物除臭”处理设施处理，集中式生物除臭处理设施设计处理风量65000m</w:t>
      </w:r>
      <w:r>
        <w:rPr>
          <w:rFonts w:hint="eastAsia" w:ascii="Times New Roman" w:hAnsi="Times New Roman" w:eastAsia="宋体" w:cs="Times New Roman"/>
          <w:color w:val="auto"/>
          <w:sz w:val="24"/>
          <w:szCs w:val="24"/>
          <w:highlight w:val="none"/>
          <w:u w:val="none"/>
          <w:vertAlign w:val="superscript"/>
          <w:lang w:val="en-US" w:eastAsia="zh-CN"/>
        </w:rPr>
        <w:t>3</w:t>
      </w:r>
      <w:r>
        <w:rPr>
          <w:rFonts w:hint="eastAsia" w:ascii="Times New Roman" w:hAnsi="Times New Roman" w:eastAsia="宋体" w:cs="Times New Roman"/>
          <w:color w:val="auto"/>
          <w:sz w:val="24"/>
          <w:szCs w:val="24"/>
          <w:highlight w:val="none"/>
          <w:u w:val="none"/>
          <w:lang w:val="en-US" w:eastAsia="zh-CN"/>
        </w:rPr>
        <w:t>/h，尾气经21m高DA001排气筒排放，内径1.2m。</w:t>
      </w:r>
    </w:p>
    <w:p w14:paraId="71BDF5C8">
      <w:pPr>
        <w:spacing w:line="360" w:lineRule="auto"/>
        <w:ind w:firstLine="480" w:firstLineChars="200"/>
        <w:rPr>
          <w:rFonts w:hint="eastAsia" w:ascii="Times New Roman" w:hAnsi="Times New Roman" w:eastAsia="宋体" w:cs="Times New Roman"/>
          <w:color w:val="000000"/>
          <w:kern w:val="2"/>
          <w:sz w:val="24"/>
          <w:szCs w:val="24"/>
          <w:u w:val="none" w:color="auto"/>
          <w:vertAlign w:val="baseline"/>
          <w:lang w:val="en-US" w:eastAsia="zh-CN" w:bidi="ar-SA"/>
        </w:rPr>
      </w:pPr>
      <w:r>
        <w:rPr>
          <w:rFonts w:hint="eastAsia" w:ascii="Times New Roman" w:hAnsi="Times New Roman" w:eastAsia="宋体" w:cs="Times New Roman"/>
          <w:color w:val="auto"/>
          <w:sz w:val="24"/>
          <w:szCs w:val="24"/>
          <w:lang w:val="en-US" w:eastAsia="zh-CN"/>
        </w:rPr>
        <w:t>干燥废气</w:t>
      </w:r>
      <w:r>
        <w:rPr>
          <w:rFonts w:hint="eastAsia" w:ascii="Times New Roman" w:hAnsi="Times New Roman" w:eastAsia="宋体" w:cs="Times New Roman"/>
          <w:color w:val="auto"/>
          <w:sz w:val="24"/>
          <w:szCs w:val="24"/>
          <w:highlight w:val="none"/>
          <w:u w:val="none"/>
          <w:lang w:val="en-US" w:eastAsia="zh-CN"/>
        </w:rPr>
        <w:t>采用“碱喷淋+集中式生物除臭”设施处理，设计风量为5000m</w:t>
      </w:r>
      <w:r>
        <w:rPr>
          <w:rFonts w:hint="eastAsia" w:ascii="Times New Roman" w:hAnsi="Times New Roman" w:eastAsia="宋体" w:cs="Times New Roman"/>
          <w:color w:val="auto"/>
          <w:sz w:val="24"/>
          <w:szCs w:val="24"/>
          <w:highlight w:val="none"/>
          <w:u w:val="none"/>
          <w:vertAlign w:val="superscript"/>
          <w:lang w:val="en-US" w:eastAsia="zh-CN"/>
        </w:rPr>
        <w:t>3</w:t>
      </w:r>
      <w:r>
        <w:rPr>
          <w:rFonts w:hint="eastAsia" w:ascii="Times New Roman" w:hAnsi="Times New Roman" w:eastAsia="宋体" w:cs="Times New Roman"/>
          <w:color w:val="auto"/>
          <w:sz w:val="24"/>
          <w:szCs w:val="24"/>
          <w:highlight w:val="none"/>
          <w:u w:val="none"/>
          <w:lang w:val="en-US" w:eastAsia="zh-CN"/>
        </w:rPr>
        <w:t>/h，颗粒物处理效率75.75%。处理后污染因子中颗粒物排放速率0.7kg/h，排放浓度33.95</w:t>
      </w:r>
      <w:r>
        <w:rPr>
          <w:rFonts w:hint="eastAsia" w:ascii="Times New Roman" w:hAnsi="Times New Roman" w:eastAsia="宋体" w:cs="Times New Roman"/>
          <w:color w:val="000000"/>
          <w:kern w:val="2"/>
          <w:sz w:val="24"/>
          <w:szCs w:val="24"/>
          <w:u w:val="none" w:color="auto"/>
          <w:lang w:val="en-US" w:eastAsia="zh-CN" w:bidi="ar-SA"/>
        </w:rPr>
        <w:t>mg/m</w:t>
      </w:r>
      <w:r>
        <w:rPr>
          <w:rFonts w:hint="eastAsia" w:ascii="Times New Roman" w:hAnsi="Times New Roman" w:eastAsia="宋体" w:cs="Times New Roman"/>
          <w:color w:val="000000"/>
          <w:kern w:val="2"/>
          <w:sz w:val="24"/>
          <w:szCs w:val="24"/>
          <w:u w:val="none" w:color="auto"/>
          <w:vertAlign w:val="superscript"/>
          <w:lang w:val="en-US" w:eastAsia="zh-CN" w:bidi="ar-SA"/>
        </w:rPr>
        <w:t>3</w:t>
      </w:r>
      <w:r>
        <w:rPr>
          <w:rFonts w:hint="eastAsia" w:ascii="Times New Roman" w:hAnsi="Times New Roman" w:eastAsia="宋体" w:cs="Times New Roman"/>
          <w:color w:val="000000"/>
          <w:kern w:val="2"/>
          <w:sz w:val="24"/>
          <w:szCs w:val="24"/>
          <w:u w:val="none" w:color="auto"/>
          <w:vertAlign w:val="baseline"/>
          <w:lang w:val="en-US" w:eastAsia="zh-CN" w:bidi="ar-SA"/>
        </w:rPr>
        <w:t>；满足</w:t>
      </w:r>
      <w:r>
        <w:rPr>
          <w:rFonts w:hint="eastAsia" w:ascii="Times New Roman" w:hAnsi="Times New Roman" w:eastAsia="宋体" w:cs="Times New Roman"/>
          <w:color w:val="auto"/>
          <w:sz w:val="24"/>
          <w:szCs w:val="24"/>
          <w:highlight w:val="none"/>
          <w:lang w:val="en-US" w:eastAsia="zh-CN"/>
        </w:rPr>
        <w:t>执行《大气污染物综合排放标准》（GB16297-1996）表2限值</w:t>
      </w:r>
      <w:r>
        <w:rPr>
          <w:rFonts w:hint="eastAsia" w:ascii="Times New Roman" w:hAnsi="Times New Roman" w:eastAsia="宋体" w:cs="Times New Roman"/>
          <w:color w:val="000000"/>
          <w:kern w:val="2"/>
          <w:sz w:val="24"/>
          <w:szCs w:val="24"/>
          <w:u w:val="none" w:color="auto"/>
          <w:vertAlign w:val="baseline"/>
          <w:lang w:val="en-US" w:eastAsia="zh-CN" w:bidi="ar-SA"/>
        </w:rPr>
        <w:t>。</w:t>
      </w:r>
    </w:p>
    <w:p w14:paraId="42576695">
      <w:pPr>
        <w:spacing w:line="360" w:lineRule="auto"/>
        <w:ind w:firstLine="480" w:firstLineChars="200"/>
        <w:rPr>
          <w:rFonts w:hint="eastAsia" w:ascii="Times New Roman" w:hAnsi="Times New Roman" w:eastAsia="宋体" w:cs="Times New Roman"/>
          <w:color w:val="000000"/>
          <w:kern w:val="2"/>
          <w:sz w:val="24"/>
          <w:szCs w:val="24"/>
          <w:u w:val="none" w:color="auto"/>
          <w:vertAlign w:val="baseline"/>
          <w:lang w:val="en-US" w:eastAsia="zh-CN" w:bidi="ar-SA"/>
        </w:rPr>
      </w:pPr>
      <w:r>
        <w:rPr>
          <w:rFonts w:hint="eastAsia" w:ascii="Times New Roman" w:hAnsi="Times New Roman" w:eastAsia="宋体" w:cs="Times New Roman"/>
          <w:color w:val="000000"/>
          <w:kern w:val="2"/>
          <w:sz w:val="24"/>
          <w:szCs w:val="24"/>
          <w:u w:val="none" w:color="auto"/>
          <w:vertAlign w:val="baseline"/>
          <w:lang w:val="en-US" w:eastAsia="zh-CN" w:bidi="ar-SA"/>
        </w:rPr>
        <w:t>③污水处理站废气</w:t>
      </w:r>
    </w:p>
    <w:p w14:paraId="7DA78B3E">
      <w:pPr>
        <w:spacing w:line="360" w:lineRule="auto"/>
        <w:ind w:firstLine="480" w:firstLineChars="200"/>
        <w:rPr>
          <w:rFonts w:hint="eastAsia" w:ascii="Times New Roman" w:hAnsi="Times New Roman" w:eastAsia="宋体" w:cs="Times New Roman"/>
          <w:color w:val="auto"/>
          <w:sz w:val="24"/>
          <w:szCs w:val="24"/>
          <w:u w:val="none"/>
          <w:lang w:val="en-US" w:eastAsia="zh-CN"/>
        </w:rPr>
      </w:pPr>
      <w:r>
        <w:rPr>
          <w:rFonts w:hint="eastAsia" w:ascii="Times New Roman" w:hAnsi="Times New Roman" w:eastAsia="宋体" w:cs="Times New Roman"/>
          <w:color w:val="000000"/>
          <w:kern w:val="2"/>
          <w:sz w:val="24"/>
          <w:szCs w:val="24"/>
          <w:u w:val="none" w:color="auto"/>
          <w:vertAlign w:val="baseline"/>
          <w:lang w:val="en-US" w:eastAsia="zh-CN" w:bidi="ar-SA"/>
        </w:rPr>
        <w:t>污水处理站废气</w:t>
      </w:r>
      <w:r>
        <w:rPr>
          <w:rFonts w:hint="eastAsia" w:ascii="Times New Roman" w:hAnsi="Times New Roman" w:eastAsia="宋体" w:cs="Times New Roman"/>
          <w:color w:val="auto"/>
          <w:sz w:val="24"/>
          <w:szCs w:val="24"/>
          <w:highlight w:val="none"/>
          <w:u w:val="none"/>
          <w:lang w:val="en-US" w:eastAsia="zh-CN"/>
        </w:rPr>
        <w:t>主要污染物为氨气、硫化氢、臭气浓度，本项目依托原有废气处理设施，对污水站好氧池、沉淀池、污泥脱水间等产废气区域进行玻璃钢盖板密封或者负压密闭处理，统一收集后由引风机输送到</w:t>
      </w:r>
      <w:r>
        <w:rPr>
          <w:rFonts w:hint="eastAsia" w:ascii="Times New Roman" w:hAnsi="Times New Roman" w:eastAsia="宋体" w:cs="Times New Roman"/>
          <w:color w:val="auto"/>
          <w:sz w:val="24"/>
          <w:szCs w:val="24"/>
          <w:u w:val="none"/>
          <w:lang w:val="en-US" w:eastAsia="zh-CN"/>
        </w:rPr>
        <w:t>碱喷淋塔+水喷淋塔+生物除臭处理设施，</w:t>
      </w:r>
      <w:r>
        <w:rPr>
          <w:rFonts w:hint="eastAsia" w:ascii="Times New Roman" w:hAnsi="Times New Roman" w:eastAsia="宋体" w:cs="Times New Roman"/>
          <w:color w:val="auto"/>
          <w:sz w:val="24"/>
          <w:szCs w:val="24"/>
          <w:highlight w:val="none"/>
          <w:u w:val="none"/>
          <w:lang w:val="en-US" w:eastAsia="zh-CN"/>
        </w:rPr>
        <w:t>处理废气风量为10000m</w:t>
      </w:r>
      <w:r>
        <w:rPr>
          <w:rFonts w:hint="eastAsia" w:ascii="Times New Roman" w:hAnsi="Times New Roman" w:eastAsia="宋体" w:cs="Times New Roman"/>
          <w:color w:val="auto"/>
          <w:sz w:val="24"/>
          <w:szCs w:val="24"/>
          <w:highlight w:val="none"/>
          <w:u w:val="none"/>
          <w:vertAlign w:val="superscript"/>
          <w:lang w:val="en-US" w:eastAsia="zh-CN"/>
        </w:rPr>
        <w:t>3</w:t>
      </w:r>
      <w:r>
        <w:rPr>
          <w:rFonts w:hint="eastAsia" w:ascii="Times New Roman" w:hAnsi="Times New Roman" w:eastAsia="宋体" w:cs="Times New Roman"/>
          <w:color w:val="auto"/>
          <w:sz w:val="24"/>
          <w:szCs w:val="24"/>
          <w:highlight w:val="none"/>
          <w:u w:val="none"/>
          <w:lang w:val="en-US" w:eastAsia="zh-CN"/>
        </w:rPr>
        <w:t>/h，</w:t>
      </w:r>
      <w:r>
        <w:rPr>
          <w:rFonts w:hint="eastAsia" w:ascii="Times New Roman" w:hAnsi="Times New Roman" w:eastAsia="宋体" w:cs="Times New Roman"/>
          <w:color w:val="auto"/>
          <w:sz w:val="24"/>
          <w:szCs w:val="24"/>
          <w:u w:val="none"/>
          <w:lang w:val="en-US" w:eastAsia="zh-CN"/>
        </w:rPr>
        <w:t>尾气经20m高DA002排气筒排放，内径0.6m。</w:t>
      </w:r>
    </w:p>
    <w:p w14:paraId="220E0E9F">
      <w:pPr>
        <w:numPr>
          <w:ilvl w:val="0"/>
          <w:numId w:val="6"/>
        </w:numPr>
        <w:spacing w:line="360" w:lineRule="auto"/>
        <w:ind w:firstLine="480" w:firstLineChars="200"/>
        <w:rPr>
          <w:rFonts w:hint="eastAsia" w:ascii="Times New Roman" w:hAnsi="Times New Roman" w:eastAsia="宋体" w:cs="Times New Roman"/>
          <w:color w:val="auto"/>
          <w:sz w:val="24"/>
          <w:szCs w:val="24"/>
          <w:u w:val="none"/>
          <w:lang w:val="en-US" w:eastAsia="zh-CN"/>
        </w:rPr>
      </w:pPr>
      <w:r>
        <w:rPr>
          <w:rFonts w:hint="eastAsia" w:ascii="Times New Roman" w:hAnsi="Times New Roman" w:eastAsia="宋体" w:cs="Times New Roman"/>
          <w:color w:val="auto"/>
          <w:sz w:val="24"/>
          <w:szCs w:val="24"/>
          <w:u w:val="none"/>
          <w:lang w:val="en-US" w:eastAsia="zh-CN"/>
        </w:rPr>
        <w:t>废气处理工艺</w:t>
      </w:r>
    </w:p>
    <w:p w14:paraId="6538D787">
      <w:pPr>
        <w:numPr>
          <w:ilvl w:val="0"/>
          <w:numId w:val="0"/>
        </w:numPr>
        <w:spacing w:line="360" w:lineRule="auto"/>
        <w:ind w:firstLine="480"/>
        <w:rPr>
          <w:rFonts w:hint="eastAsia" w:ascii="Times New Roman" w:hAnsi="Times New Roman" w:eastAsia="宋体" w:cs="Times New Roman"/>
          <w:color w:val="auto"/>
          <w:sz w:val="24"/>
          <w:szCs w:val="24"/>
          <w:u w:val="none"/>
          <w:lang w:val="en-US" w:eastAsia="zh-CN"/>
        </w:rPr>
      </w:pPr>
      <w:r>
        <w:rPr>
          <w:rFonts w:hint="eastAsia" w:ascii="Times New Roman" w:hAnsi="Times New Roman" w:eastAsia="宋体" w:cs="Times New Roman"/>
          <w:color w:val="auto"/>
          <w:sz w:val="24"/>
          <w:szCs w:val="24"/>
          <w:u w:val="none"/>
          <w:lang w:val="en-US" w:eastAsia="zh-CN"/>
        </w:rPr>
        <w:t>①碱喷淋</w:t>
      </w:r>
    </w:p>
    <w:p w14:paraId="7FEF55BE">
      <w:pPr>
        <w:numPr>
          <w:ilvl w:val="0"/>
          <w:numId w:val="0"/>
        </w:numPr>
        <w:spacing w:line="360" w:lineRule="auto"/>
        <w:ind w:firstLine="480"/>
        <w:rPr>
          <w:rFonts w:hint="default" w:ascii="Times New Roman" w:hAnsi="Times New Roman" w:eastAsia="宋体" w:cs="Times New Roman"/>
          <w:color w:val="auto"/>
          <w:sz w:val="24"/>
          <w:szCs w:val="24"/>
          <w:u w:val="none"/>
          <w:lang w:val="en-US" w:eastAsia="zh-CN"/>
        </w:rPr>
      </w:pPr>
      <w:r>
        <w:rPr>
          <w:rFonts w:hint="default" w:ascii="Times New Roman" w:hAnsi="Times New Roman" w:eastAsia="宋体" w:cs="Times New Roman"/>
          <w:color w:val="auto"/>
          <w:sz w:val="24"/>
          <w:szCs w:val="24"/>
          <w:u w:val="none"/>
          <w:lang w:val="en-US" w:eastAsia="zh-CN"/>
        </w:rPr>
        <w:t>喷淋塔工作原理：项目产生废气由风机通过布置的风道泵入喷淋塔（具有废气流量小、风阻小、废气与碱液充分接触、处理效果好等特点），气体从下到上高速移动，并从上到下与洗涤液接触。由于塔内装有多层拉环填料，增加了气液接触面积和接触时间，使气液在塔内和塔板表面充分接触。在与喷淋水接触的过程中，废气中的污染物（酸性气体、氨气）被碱液充分吸收，可以得到净化；废气中的酸性气体通过在喷淋水中加入一定比例的NaOH使喷淋水呈碱性。在喷淋过程中，当水与尾气接触时，会发生生化反应，中和酸性气态污染物，达到良好的处理效果。在整个废气净化过程中，设备无需清洗，喷淋水可循环使用，整个处理过程可自动控制，操作简单。</w:t>
      </w:r>
    </w:p>
    <w:p w14:paraId="5A3CF310">
      <w:pPr>
        <w:numPr>
          <w:ilvl w:val="0"/>
          <w:numId w:val="0"/>
        </w:numPr>
        <w:spacing w:line="360" w:lineRule="auto"/>
        <w:ind w:firstLine="480"/>
        <w:rPr>
          <w:rFonts w:hint="default" w:ascii="Times New Roman" w:hAnsi="Times New Roman" w:eastAsia="宋体" w:cs="Times New Roman"/>
          <w:color w:val="auto"/>
          <w:sz w:val="24"/>
          <w:szCs w:val="24"/>
          <w:u w:val="none"/>
          <w:lang w:val="en-US" w:eastAsia="zh-CN"/>
        </w:rPr>
      </w:pPr>
      <w:r>
        <w:rPr>
          <w:rFonts w:hint="default" w:ascii="Times New Roman" w:hAnsi="Times New Roman" w:eastAsia="宋体" w:cs="Times New Roman"/>
          <w:color w:val="auto"/>
          <w:sz w:val="24"/>
          <w:szCs w:val="24"/>
          <w:u w:val="none"/>
          <w:lang w:val="en-US" w:eastAsia="zh-CN"/>
        </w:rPr>
        <w:t>循环水泵将循环水箱中的药液泵送至塔上部进行喷淋。由于特殊的螺旋喷嘴和特殊的塔结构，从喷嘴出来的药液可以达到完全雾化状态，形成细水雾，并与上游气体形成完全接触。水分子通过范德华力和分子间的重力作用，充分吸收气体中的酸性气体及氨气，达到净化的目的，净化后的气体直接从喷淋塔顶部的排气管排出，洗涤液在沉淀池中沉淀后进入循环水箱，再经喷淋塔顶部的排气管排出喷淋水由循环泵提升循环使用。</w:t>
      </w:r>
    </w:p>
    <w:p w14:paraId="4C9EF72F">
      <w:pPr>
        <w:numPr>
          <w:ilvl w:val="0"/>
          <w:numId w:val="0"/>
        </w:numPr>
        <w:spacing w:line="360" w:lineRule="auto"/>
        <w:ind w:firstLine="480"/>
        <w:rPr>
          <w:rFonts w:hint="eastAsia" w:ascii="Times New Roman" w:hAnsi="Times New Roman" w:eastAsia="宋体" w:cs="Times New Roman"/>
          <w:color w:val="auto"/>
          <w:sz w:val="24"/>
          <w:szCs w:val="24"/>
          <w:u w:val="none"/>
          <w:lang w:val="en-US" w:eastAsia="zh-CN"/>
        </w:rPr>
      </w:pPr>
      <w:r>
        <w:rPr>
          <w:rFonts w:hint="eastAsia" w:ascii="Times New Roman" w:hAnsi="Times New Roman" w:eastAsia="宋体" w:cs="Times New Roman"/>
          <w:color w:val="auto"/>
          <w:sz w:val="24"/>
          <w:szCs w:val="24"/>
          <w:u w:val="none"/>
          <w:lang w:val="en-US" w:eastAsia="zh-CN"/>
        </w:rPr>
        <w:t>②生物除臭</w:t>
      </w:r>
    </w:p>
    <w:p w14:paraId="4A841BFF">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工作原理：</w:t>
      </w:r>
    </w:p>
    <w:p w14:paraId="147D59AE">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生物喷淋除臭采用专用喷雾机喷洒成雾状，在特定的空间内扩散的液滴。在液滴（植物液）中的有效除臭分子中间含有具有生物活性、化学活性、共轭双键等活性基团，可以与不同的异味发生作用。不仅能有效地吸咐在空气中的异味分子，同时也能使被吸附的异味分子的立体构型发生改变，削弱了异味分子中的化合键，使得异味分子的不稳定性增加，容易与其他分子进行化学反应，从而达到彻底除味、除臭，发挥有效的空气净化作用。</w:t>
      </w:r>
    </w:p>
    <w:p w14:paraId="23774826">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除臭过程：</w:t>
      </w:r>
    </w:p>
    <w:p w14:paraId="738E7BF9">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1、通过控制设备经专用喷雾机喷洒成雾状，在区域空间内扩散为液滴。</w:t>
      </w:r>
    </w:p>
    <w:p w14:paraId="6D31DF32">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2、液滴表面有效地吸附空气中的异味分子，同时使异味分子的立体构型发生变化、消弱恶臭分子的化合键使恶臭分子的不稳定性增加，更易与其他分子进行化学反应。</w:t>
      </w:r>
    </w:p>
    <w:p w14:paraId="79644FF2">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3、植物提取液大多含有多个共轭双键体系增加了异味分子的反应活性。</w:t>
      </w:r>
    </w:p>
    <w:p w14:paraId="14016CCD">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4、通过植物液与恶臭异味气体的酸碱反应、催化氧反应、吸附与溶解以及脂化反应来有效去除恶臭气味。</w:t>
      </w:r>
    </w:p>
    <w:p w14:paraId="35E934BB">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产品特点：</w:t>
      </w:r>
    </w:p>
    <w:p w14:paraId="1C7C5500">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1、具有显著分解氨、硫化氢、甲基硫醇、三甲胺等有机臭源物质的能力和作用。</w:t>
      </w:r>
    </w:p>
    <w:p w14:paraId="06E01C6F">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2、本品采用生物萃取浓缩精华技术、浓度高，活性强。</w:t>
      </w:r>
    </w:p>
    <w:p w14:paraId="19E2B10F">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3、本产品用量少，运行成本低。</w:t>
      </w:r>
    </w:p>
    <w:p w14:paraId="775EA90B">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3</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依托可行性分析</w:t>
      </w:r>
    </w:p>
    <w:p w14:paraId="35734ED7">
      <w:pPr>
        <w:spacing w:line="360" w:lineRule="auto"/>
        <w:ind w:firstLine="480" w:firstLineChars="200"/>
        <w:rPr>
          <w:rFonts w:hint="eastAsia" w:ascii="Times New Roman" w:hAnsi="Times New Roman" w:eastAsia="宋体" w:cs="Times New Roman"/>
          <w:color w:val="auto"/>
          <w:sz w:val="24"/>
          <w:szCs w:val="24"/>
          <w:highlight w:val="none"/>
          <w:u w:val="none"/>
          <w:lang w:val="en-US" w:eastAsia="zh-CN"/>
        </w:rPr>
      </w:pPr>
      <w:r>
        <w:rPr>
          <w:rFonts w:hint="eastAsia" w:ascii="Times New Roman" w:hAnsi="Times New Roman" w:eastAsia="宋体" w:cs="Times New Roman"/>
          <w:color w:val="auto"/>
          <w:sz w:val="24"/>
          <w:szCs w:val="24"/>
          <w:lang w:val="en-US" w:eastAsia="zh-CN"/>
        </w:rPr>
        <w:t>本项目发酵废气设计处理风量为10000</w:t>
      </w:r>
      <w:r>
        <w:rPr>
          <w:rFonts w:hint="eastAsia" w:ascii="Times New Roman" w:hAnsi="Times New Roman" w:eastAsia="宋体" w:cs="Times New Roman"/>
          <w:color w:val="auto"/>
          <w:sz w:val="24"/>
          <w:szCs w:val="24"/>
          <w:highlight w:val="none"/>
          <w:u w:val="none"/>
          <w:lang w:val="en-US" w:eastAsia="zh-CN"/>
        </w:rPr>
        <w:t>m</w:t>
      </w:r>
      <w:r>
        <w:rPr>
          <w:rFonts w:hint="eastAsia" w:ascii="Times New Roman" w:hAnsi="Times New Roman" w:eastAsia="宋体" w:cs="Times New Roman"/>
          <w:color w:val="auto"/>
          <w:sz w:val="24"/>
          <w:szCs w:val="24"/>
          <w:highlight w:val="none"/>
          <w:u w:val="none"/>
          <w:vertAlign w:val="superscript"/>
          <w:lang w:val="en-US" w:eastAsia="zh-CN"/>
        </w:rPr>
        <w:t>3</w:t>
      </w:r>
      <w:r>
        <w:rPr>
          <w:rFonts w:hint="eastAsia" w:ascii="Times New Roman" w:hAnsi="Times New Roman" w:eastAsia="宋体" w:cs="Times New Roman"/>
          <w:color w:val="auto"/>
          <w:sz w:val="24"/>
          <w:szCs w:val="24"/>
          <w:highlight w:val="none"/>
          <w:u w:val="none"/>
          <w:lang w:val="en-US" w:eastAsia="zh-CN"/>
        </w:rPr>
        <w:t>/h，依托现有发酵1车间外碱喷淋预处理后进入集中式生物除臭系统。碱喷淋设施处理风量为20000m</w:t>
      </w:r>
      <w:r>
        <w:rPr>
          <w:rFonts w:hint="eastAsia" w:ascii="Times New Roman" w:hAnsi="Times New Roman" w:eastAsia="宋体" w:cs="Times New Roman"/>
          <w:color w:val="auto"/>
          <w:sz w:val="24"/>
          <w:szCs w:val="24"/>
          <w:highlight w:val="none"/>
          <w:u w:val="none"/>
          <w:vertAlign w:val="superscript"/>
          <w:lang w:val="en-US" w:eastAsia="zh-CN"/>
        </w:rPr>
        <w:t>3</w:t>
      </w:r>
      <w:r>
        <w:rPr>
          <w:rFonts w:hint="eastAsia" w:ascii="Times New Roman" w:hAnsi="Times New Roman" w:eastAsia="宋体" w:cs="Times New Roman"/>
          <w:color w:val="auto"/>
          <w:sz w:val="24"/>
          <w:szCs w:val="24"/>
          <w:highlight w:val="none"/>
          <w:u w:val="none"/>
          <w:lang w:val="en-US" w:eastAsia="zh-CN"/>
        </w:rPr>
        <w:t>/h，保留产品年产1万标吨糖化酶发酵生产生产线位于发酵1车间，其生产废气进入发酵1车间外碱喷淋预处理，根据10万标吨系列酶制剂生产线验收监测报告，引风机最大风量为16760m</w:t>
      </w:r>
      <w:r>
        <w:rPr>
          <w:rFonts w:hint="eastAsia" w:ascii="Times New Roman" w:hAnsi="Times New Roman" w:eastAsia="宋体" w:cs="Times New Roman"/>
          <w:color w:val="auto"/>
          <w:sz w:val="24"/>
          <w:szCs w:val="24"/>
          <w:highlight w:val="none"/>
          <w:u w:val="none"/>
          <w:vertAlign w:val="superscript"/>
          <w:lang w:val="en-US" w:eastAsia="zh-CN"/>
        </w:rPr>
        <w:t>3</w:t>
      </w:r>
      <w:r>
        <w:rPr>
          <w:rFonts w:hint="eastAsia" w:ascii="Times New Roman" w:hAnsi="Times New Roman" w:eastAsia="宋体" w:cs="Times New Roman"/>
          <w:color w:val="auto"/>
          <w:sz w:val="24"/>
          <w:szCs w:val="24"/>
          <w:highlight w:val="none"/>
          <w:u w:val="none"/>
          <w:lang w:val="en-US" w:eastAsia="zh-CN"/>
        </w:rPr>
        <w:t>/h，核算改扩建后产量降为1万标吨糖化酶所设计处理风量为1676m</w:t>
      </w:r>
      <w:r>
        <w:rPr>
          <w:rFonts w:hint="eastAsia" w:ascii="Times New Roman" w:hAnsi="Times New Roman" w:eastAsia="宋体" w:cs="Times New Roman"/>
          <w:color w:val="auto"/>
          <w:sz w:val="24"/>
          <w:szCs w:val="24"/>
          <w:highlight w:val="none"/>
          <w:u w:val="none"/>
          <w:vertAlign w:val="superscript"/>
          <w:lang w:val="en-US" w:eastAsia="zh-CN"/>
        </w:rPr>
        <w:t>3</w:t>
      </w:r>
      <w:r>
        <w:rPr>
          <w:rFonts w:hint="eastAsia" w:ascii="Times New Roman" w:hAnsi="Times New Roman" w:eastAsia="宋体" w:cs="Times New Roman"/>
          <w:color w:val="auto"/>
          <w:sz w:val="24"/>
          <w:szCs w:val="24"/>
          <w:highlight w:val="none"/>
          <w:u w:val="none"/>
          <w:lang w:val="en-US" w:eastAsia="zh-CN"/>
        </w:rPr>
        <w:t>/h。本项目改扩建完成后，碱喷淋预处理设施处理风量可满足本项目生产废气设计处理风量。</w:t>
      </w:r>
    </w:p>
    <w:p w14:paraId="667BCB97">
      <w:pPr>
        <w:spacing w:line="360" w:lineRule="auto"/>
        <w:ind w:firstLine="480" w:firstLineChars="200"/>
        <w:rPr>
          <w:rFonts w:ascii="Calibri" w:hAnsi="Calibri" w:eastAsia="宋体" w:cs="Times New Roman"/>
          <w:color w:val="FF0000"/>
          <w:szCs w:val="24"/>
        </w:rPr>
      </w:pPr>
      <w:r>
        <w:rPr>
          <w:rFonts w:hint="eastAsia" w:ascii="Times New Roman" w:hAnsi="Times New Roman" w:eastAsia="宋体" w:cs="Times New Roman"/>
          <w:color w:val="auto"/>
          <w:sz w:val="24"/>
          <w:szCs w:val="24"/>
          <w:highlight w:val="none"/>
          <w:u w:val="none"/>
          <w:lang w:val="en-US" w:eastAsia="zh-CN"/>
        </w:rPr>
        <w:t>本改扩建项目完成后，肌醇饲料添加剂生产产生的发酵废气和干燥废气，以及保留产品年产1万标吨糖化酶生产线和年产2000吨泛酸钙饲料添加剂生产线产生的生产废气，均进入集中式生物除臭设施，处理风量65000m</w:t>
      </w:r>
      <w:r>
        <w:rPr>
          <w:rFonts w:hint="eastAsia" w:ascii="Times New Roman" w:hAnsi="Times New Roman" w:eastAsia="宋体" w:cs="Times New Roman"/>
          <w:color w:val="auto"/>
          <w:sz w:val="24"/>
          <w:szCs w:val="24"/>
          <w:highlight w:val="none"/>
          <w:u w:val="none"/>
          <w:vertAlign w:val="superscript"/>
          <w:lang w:val="en-US" w:eastAsia="zh-CN"/>
        </w:rPr>
        <w:t>3</w:t>
      </w:r>
      <w:r>
        <w:rPr>
          <w:rFonts w:hint="eastAsia" w:ascii="Times New Roman" w:hAnsi="Times New Roman" w:eastAsia="宋体" w:cs="Times New Roman"/>
          <w:color w:val="auto"/>
          <w:sz w:val="24"/>
          <w:szCs w:val="24"/>
          <w:highlight w:val="none"/>
          <w:u w:val="none"/>
          <w:lang w:val="en-US" w:eastAsia="zh-CN"/>
        </w:rPr>
        <w:t>/h。现有工程泛酸钙饲料添加剂废气处理最大风量为40400m</w:t>
      </w:r>
      <w:r>
        <w:rPr>
          <w:rFonts w:hint="eastAsia" w:ascii="Times New Roman" w:hAnsi="Times New Roman" w:eastAsia="宋体" w:cs="Times New Roman"/>
          <w:color w:val="auto"/>
          <w:sz w:val="24"/>
          <w:szCs w:val="24"/>
          <w:highlight w:val="none"/>
          <w:u w:val="none"/>
          <w:vertAlign w:val="superscript"/>
          <w:lang w:val="en-US" w:eastAsia="zh-CN"/>
        </w:rPr>
        <w:t>3</w:t>
      </w:r>
      <w:r>
        <w:rPr>
          <w:rFonts w:hint="eastAsia" w:ascii="Times New Roman" w:hAnsi="Times New Roman" w:eastAsia="宋体" w:cs="Times New Roman"/>
          <w:color w:val="auto"/>
          <w:sz w:val="24"/>
          <w:szCs w:val="24"/>
          <w:highlight w:val="none"/>
          <w:u w:val="none"/>
          <w:lang w:val="en-US" w:eastAsia="zh-CN"/>
        </w:rPr>
        <w:t>/h（2024年自行监测报告废气处理设施出口风量最大值），本项目新增风量15000m</w:t>
      </w:r>
      <w:r>
        <w:rPr>
          <w:rFonts w:hint="eastAsia" w:ascii="Times New Roman" w:hAnsi="Times New Roman" w:eastAsia="宋体" w:cs="Times New Roman"/>
          <w:color w:val="auto"/>
          <w:sz w:val="24"/>
          <w:szCs w:val="24"/>
          <w:highlight w:val="none"/>
          <w:u w:val="none"/>
          <w:vertAlign w:val="superscript"/>
          <w:lang w:val="en-US" w:eastAsia="zh-CN"/>
        </w:rPr>
        <w:t>3</w:t>
      </w:r>
      <w:r>
        <w:rPr>
          <w:rFonts w:hint="eastAsia" w:ascii="Times New Roman" w:hAnsi="Times New Roman" w:eastAsia="宋体" w:cs="Times New Roman"/>
          <w:color w:val="auto"/>
          <w:sz w:val="24"/>
          <w:szCs w:val="24"/>
          <w:highlight w:val="none"/>
          <w:u w:val="none"/>
          <w:lang w:val="en-US" w:eastAsia="zh-CN"/>
        </w:rPr>
        <w:t>/h，保留产品年产1万标吨糖化酶生产线风量1676m</w:t>
      </w:r>
      <w:r>
        <w:rPr>
          <w:rFonts w:hint="eastAsia" w:ascii="Times New Roman" w:hAnsi="Times New Roman" w:eastAsia="宋体" w:cs="Times New Roman"/>
          <w:color w:val="auto"/>
          <w:sz w:val="24"/>
          <w:szCs w:val="24"/>
          <w:highlight w:val="none"/>
          <w:u w:val="none"/>
          <w:vertAlign w:val="superscript"/>
          <w:lang w:val="en-US" w:eastAsia="zh-CN"/>
        </w:rPr>
        <w:t>3</w:t>
      </w:r>
      <w:r>
        <w:rPr>
          <w:rFonts w:hint="eastAsia" w:ascii="Times New Roman" w:hAnsi="Times New Roman" w:eastAsia="宋体" w:cs="Times New Roman"/>
          <w:color w:val="auto"/>
          <w:sz w:val="24"/>
          <w:szCs w:val="24"/>
          <w:highlight w:val="none"/>
          <w:u w:val="none"/>
          <w:lang w:val="en-US" w:eastAsia="zh-CN"/>
        </w:rPr>
        <w:t>/h，本项目完成后总风量不超过处理风量，废气处理设施依托可行。</w:t>
      </w:r>
    </w:p>
    <w:p w14:paraId="363E5964">
      <w:pPr>
        <w:spacing w:line="360" w:lineRule="auto"/>
        <w:ind w:firstLine="482" w:firstLineChars="200"/>
        <w:rPr>
          <w:rFonts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2、无组织废气</w:t>
      </w:r>
    </w:p>
    <w:p w14:paraId="5B45F1D8">
      <w:pPr>
        <w:spacing w:line="360" w:lineRule="auto"/>
        <w:ind w:firstLine="480" w:firstLineChars="200"/>
        <w:rPr>
          <w:rFonts w:hint="eastAsia" w:cs="仿宋"/>
          <w:b w:val="0"/>
          <w:bCs w:val="0"/>
          <w:color w:val="auto"/>
          <w:sz w:val="24"/>
          <w:szCs w:val="24"/>
          <w:lang w:val="en-US" w:eastAsia="zh-CN"/>
        </w:rPr>
      </w:pPr>
      <w:r>
        <w:rPr>
          <w:rFonts w:hint="eastAsia" w:cs="仿宋"/>
          <w:b w:val="0"/>
          <w:bCs w:val="0"/>
          <w:color w:val="auto"/>
          <w:sz w:val="24"/>
          <w:szCs w:val="24"/>
          <w:lang w:val="en-US" w:eastAsia="zh-CN"/>
        </w:rPr>
        <w:t>所有发酵车间及提取车间从投料、中转、发酵、提取、出料整体工艺均已进行封闭，各废气收集管道直接连接入废气产生点进行收集，同时压滤区域进行局部封闭，并设置抽风系统，对产生恶臭进行收集，生产工序产生的废气整体进入改造的废气处理系统进行处理。本项目依托现有车间生产，现有车间所采取废气收集方式可大大减少车间无组织废气外排。</w:t>
      </w:r>
    </w:p>
    <w:p w14:paraId="094B6CD5">
      <w:pPr>
        <w:spacing w:line="360" w:lineRule="auto"/>
        <w:ind w:firstLine="480" w:firstLineChars="200"/>
        <w:rPr>
          <w:rFonts w:hint="eastAsia" w:cs="仿宋"/>
          <w:b w:val="0"/>
          <w:bCs w:val="0"/>
          <w:color w:val="auto"/>
          <w:sz w:val="24"/>
          <w:szCs w:val="24"/>
          <w:lang w:val="en-US" w:eastAsia="zh-CN"/>
        </w:rPr>
      </w:pPr>
      <w:r>
        <w:rPr>
          <w:rFonts w:hint="eastAsia" w:cs="仿宋"/>
          <w:b w:val="0"/>
          <w:bCs w:val="0"/>
          <w:color w:val="auto"/>
          <w:sz w:val="24"/>
          <w:szCs w:val="24"/>
          <w:lang w:val="en-US" w:eastAsia="zh-CN"/>
        </w:rPr>
        <w:t>对污水处理站调节池、好氧池、厌氧池的采取集气罩负压抽风、脱臭处理措施，收集后经碱喷淋塔+水喷淋塔+生物除臭设施处理后有组织排放。</w:t>
      </w:r>
    </w:p>
    <w:p w14:paraId="009A9105">
      <w:pPr>
        <w:spacing w:line="360" w:lineRule="auto"/>
        <w:ind w:firstLine="480" w:firstLineChars="200"/>
        <w:rPr>
          <w:rFonts w:hint="eastAsia" w:cs="仿宋"/>
          <w:b w:val="0"/>
          <w:bCs w:val="0"/>
          <w:color w:val="auto"/>
          <w:sz w:val="24"/>
          <w:szCs w:val="24"/>
          <w:lang w:val="en-US" w:eastAsia="zh-CN"/>
        </w:rPr>
      </w:pPr>
      <w:r>
        <w:rPr>
          <w:rFonts w:hint="eastAsia" w:cs="仿宋"/>
          <w:b w:val="0"/>
          <w:bCs w:val="0"/>
          <w:color w:val="auto"/>
          <w:sz w:val="24"/>
          <w:szCs w:val="24"/>
          <w:lang w:val="en-US" w:eastAsia="zh-CN"/>
        </w:rPr>
        <w:t>建设单位采取加强卫生管理，及时清运产生的脱水的污泥滤饼，保持污泥脱水间清洁干燥，加强脱水间通风换气，污泥间及危废间产生的恶臭气体均收集至生物除臭系统进行处理，最大化减少无组织排放的废气。</w:t>
      </w:r>
    </w:p>
    <w:p w14:paraId="4BA58DBD">
      <w:pPr>
        <w:spacing w:line="360" w:lineRule="auto"/>
        <w:ind w:firstLine="480" w:firstLineChars="200"/>
        <w:rPr>
          <w:rFonts w:hint="eastAsia" w:cs="仿宋"/>
          <w:b w:val="0"/>
          <w:bCs w:val="0"/>
          <w:color w:val="auto"/>
          <w:sz w:val="24"/>
          <w:szCs w:val="24"/>
          <w:lang w:val="en-US" w:eastAsia="zh-CN"/>
        </w:rPr>
      </w:pPr>
      <w:r>
        <w:rPr>
          <w:rFonts w:hint="eastAsia" w:cs="仿宋"/>
          <w:b w:val="0"/>
          <w:bCs w:val="0"/>
          <w:color w:val="auto"/>
          <w:sz w:val="24"/>
          <w:szCs w:val="24"/>
          <w:lang w:val="en-US" w:eastAsia="zh-CN"/>
        </w:rPr>
        <w:t>综上所述，本项目拟采取的大气污染防治措施是合理的，可行的。</w:t>
      </w:r>
    </w:p>
    <w:p w14:paraId="4682DB5E">
      <w:pPr>
        <w:keepNext/>
        <w:keepLines/>
        <w:spacing w:before="156" w:beforeLines="50" w:after="156" w:afterLines="50" w:line="416" w:lineRule="auto"/>
        <w:outlineLvl w:val="2"/>
        <w:rPr>
          <w:rFonts w:ascii="Times New Roman" w:hAnsi="Times New Roman" w:eastAsia="宋体" w:cs="Times New Roman"/>
          <w:b/>
          <w:color w:val="auto"/>
          <w:kern w:val="0"/>
          <w:sz w:val="24"/>
          <w:szCs w:val="24"/>
        </w:rPr>
      </w:pPr>
      <w:r>
        <w:rPr>
          <w:rFonts w:hint="eastAsia" w:ascii="Times New Roman" w:hAnsi="Times New Roman" w:eastAsia="宋体" w:cs="Times New Roman"/>
          <w:b/>
          <w:color w:val="auto"/>
          <w:kern w:val="0"/>
          <w:sz w:val="24"/>
          <w:szCs w:val="24"/>
        </w:rPr>
        <w:t>7.2.2 营运期废水污染防治措施及可行性分析</w:t>
      </w:r>
    </w:p>
    <w:p w14:paraId="2526867B">
      <w:pPr>
        <w:keepNext/>
        <w:keepLines/>
        <w:spacing w:line="360" w:lineRule="auto"/>
        <w:outlineLvl w:val="3"/>
        <w:rPr>
          <w:rFonts w:ascii="Times New Roman" w:hAnsi="Times New Roman" w:eastAsia="黑体" w:cs="Times New Roman"/>
          <w:b/>
          <w:color w:val="auto"/>
          <w:sz w:val="24"/>
          <w:szCs w:val="24"/>
        </w:rPr>
      </w:pPr>
      <w:r>
        <w:rPr>
          <w:rFonts w:hint="eastAsia" w:ascii="Times New Roman" w:hAnsi="Times New Roman" w:eastAsia="黑体" w:cs="Times New Roman"/>
          <w:b/>
          <w:color w:val="auto"/>
          <w:sz w:val="24"/>
          <w:szCs w:val="24"/>
        </w:rPr>
        <w:t>7.2.2.1</w:t>
      </w:r>
      <w:r>
        <w:rPr>
          <w:rFonts w:hint="eastAsia" w:ascii="宋体" w:hAnsi="宋体" w:eastAsia="宋体" w:cs="宋体"/>
          <w:b/>
          <w:color w:val="auto"/>
          <w:sz w:val="24"/>
          <w:szCs w:val="24"/>
        </w:rPr>
        <w:t xml:space="preserve"> 废水污染防治措施</w:t>
      </w:r>
    </w:p>
    <w:p w14:paraId="7E0CC640">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kern w:val="0"/>
          <w:sz w:val="24"/>
          <w:szCs w:val="24"/>
          <w:lang w:val="en-US" w:eastAsia="zh-CN" w:bidi="ar"/>
        </w:rPr>
        <w:t>建设单位</w:t>
      </w:r>
      <w:r>
        <w:rPr>
          <w:rFonts w:hint="eastAsia" w:ascii="Times New Roman" w:hAnsi="Times New Roman" w:eastAsia="宋体" w:cs="Times New Roman"/>
          <w:color w:val="auto"/>
          <w:kern w:val="0"/>
          <w:sz w:val="24"/>
          <w:szCs w:val="24"/>
          <w:lang w:bidi="ar"/>
        </w:rPr>
        <w:t>厂区废水采取雨污分流。</w:t>
      </w:r>
      <w:r>
        <w:rPr>
          <w:rFonts w:ascii="Times New Roman" w:hAnsi="Times New Roman" w:eastAsia="宋体" w:cs="Times New Roman"/>
          <w:color w:val="auto"/>
          <w:sz w:val="24"/>
          <w:szCs w:val="24"/>
          <w:u w:val="none"/>
        </w:rPr>
        <w:t>雨水经厂区内雨水沟收集后进入园区雨水管网，</w:t>
      </w:r>
      <w:r>
        <w:rPr>
          <w:rFonts w:hint="eastAsia" w:ascii="Times New Roman" w:hAnsi="Times New Roman" w:eastAsia="宋体" w:cs="Times New Roman"/>
          <w:color w:val="auto"/>
          <w:sz w:val="24"/>
          <w:szCs w:val="24"/>
          <w:u w:val="none"/>
          <w:lang w:val="en-US" w:eastAsia="zh-CN"/>
        </w:rPr>
        <w:t>初期雨水依托现有初期雨水收集池收集，生活污水经化粪池处理后与生产废水进入现有污水处理站处理，</w:t>
      </w:r>
      <w:r>
        <w:rPr>
          <w:rFonts w:hint="eastAsia" w:ascii="Times New Roman" w:hAnsi="Times New Roman" w:eastAsia="宋体" w:cs="Times New Roman"/>
          <w:color w:val="auto"/>
          <w:sz w:val="24"/>
          <w:szCs w:val="24"/>
        </w:rPr>
        <w:t>设计处理能力为</w:t>
      </w:r>
      <w:r>
        <w:rPr>
          <w:rFonts w:hint="eastAsia" w:ascii="Times New Roman" w:hAnsi="Times New Roman" w:eastAsia="宋体" w:cs="Times New Roman"/>
          <w:color w:val="auto"/>
          <w:sz w:val="24"/>
          <w:szCs w:val="24"/>
          <w:lang w:val="en-US" w:eastAsia="zh-CN"/>
        </w:rPr>
        <w:t>800</w:t>
      </w:r>
      <w:r>
        <w:rPr>
          <w:rFonts w:hint="eastAsia" w:ascii="Times New Roman" w:hAnsi="Times New Roman" w:eastAsia="宋体" w:cs="Times New Roman"/>
          <w:color w:val="auto"/>
          <w:sz w:val="24"/>
          <w:szCs w:val="24"/>
          <w:lang w:eastAsia="zh-CN"/>
        </w:rPr>
        <w:t>m</w:t>
      </w:r>
      <w:r>
        <w:rPr>
          <w:rFonts w:hint="eastAsia" w:ascii="Times New Roman" w:hAnsi="Times New Roman" w:eastAsia="宋体" w:cs="Times New Roman"/>
          <w:color w:val="auto"/>
          <w:sz w:val="24"/>
          <w:szCs w:val="24"/>
          <w:vertAlign w:val="superscript"/>
          <w:lang w:eastAsia="zh-CN"/>
        </w:rPr>
        <w:t>3</w:t>
      </w:r>
      <w:r>
        <w:rPr>
          <w:rFonts w:hint="eastAsia" w:ascii="Times New Roman" w:hAnsi="Times New Roman" w:eastAsia="宋体" w:cs="Times New Roman"/>
          <w:color w:val="auto"/>
          <w:sz w:val="24"/>
          <w:szCs w:val="24"/>
        </w:rPr>
        <w:t>/d，污水处理站处理系统采用“物化+厌氧+A/O+气浮”处理工艺，出水经专管排入津市高新区工业污水处理厂，由津市高新区工业污水处理厂深度处理后排至澧水。</w:t>
      </w:r>
    </w:p>
    <w:p w14:paraId="617E6B58">
      <w:pPr>
        <w:spacing w:line="360" w:lineRule="auto"/>
        <w:ind w:firstLine="480" w:firstLineChars="2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各种废水由专用管道泵入污水站贮存池进行收集，贮存池废水由提升泵泵入物化反应沉淀池，</w:t>
      </w:r>
      <w:r>
        <w:rPr>
          <w:rFonts w:hint="eastAsia" w:ascii="Times New Roman" w:hAnsi="Times New Roman" w:eastAsia="宋体" w:cs="Times New Roman"/>
          <w:color w:val="auto"/>
          <w:sz w:val="24"/>
          <w:szCs w:val="24"/>
          <w:highlight w:val="none"/>
          <w:lang w:val="en-US" w:eastAsia="zh-CN"/>
        </w:rPr>
        <w:t>上清液自流进入一级气浮机二次泥水分离，</w:t>
      </w:r>
      <w:r>
        <w:rPr>
          <w:rFonts w:hint="eastAsia" w:ascii="Times New Roman" w:hAnsi="Times New Roman" w:eastAsia="宋体" w:cs="Times New Roman"/>
          <w:color w:val="auto"/>
          <w:sz w:val="24"/>
          <w:szCs w:val="24"/>
        </w:rPr>
        <w:t>初步去除废水中易沉降的部分SS和少量COD，</w:t>
      </w:r>
      <w:r>
        <w:rPr>
          <w:rFonts w:hint="eastAsia" w:ascii="Times New Roman" w:hAnsi="Times New Roman" w:eastAsia="宋体" w:cs="Times New Roman"/>
          <w:color w:val="auto"/>
          <w:sz w:val="24"/>
          <w:szCs w:val="24"/>
          <w:lang w:val="en-US" w:eastAsia="zh-CN"/>
        </w:rPr>
        <w:t>上清液由泵泵入调配池进行盐度、PH 调节，调节后废水由泵泵入厌氧 UASB，</w:t>
      </w:r>
      <w:r>
        <w:rPr>
          <w:rFonts w:hint="eastAsia" w:ascii="Times New Roman" w:hAnsi="Times New Roman" w:eastAsia="宋体" w:cs="Times New Roman"/>
          <w:color w:val="auto"/>
          <w:sz w:val="24"/>
          <w:szCs w:val="24"/>
        </w:rPr>
        <w:t>污染物在厌氧微生物的作用下吸收、分解，达到污染物初步去除，同时提高废水的可生化性。</w:t>
      </w:r>
      <w:r>
        <w:rPr>
          <w:rFonts w:hint="eastAsia" w:ascii="Times New Roman" w:hAnsi="Times New Roman" w:eastAsia="宋体" w:cs="Times New Roman"/>
          <w:color w:val="auto"/>
          <w:sz w:val="24"/>
          <w:szCs w:val="24"/>
          <w:lang w:val="en-US" w:eastAsia="zh-CN"/>
        </w:rPr>
        <w:t>厌氧出水直流进入二期好氧池进行好氧硝化反应，经好氧硝化反应的废水再由泵抽入一期A/O池，进行硝化、反硝化反应，然后经沉淀池沉淀后抽入沉淀桶进一步沉淀，沉淀后废水经</w:t>
      </w:r>
      <w:r>
        <w:rPr>
          <w:rFonts w:hint="eastAsia" w:ascii="Times New Roman" w:hAnsi="Times New Roman" w:eastAsia="宋体" w:cs="Times New Roman"/>
          <w:color w:val="auto"/>
          <w:sz w:val="24"/>
          <w:szCs w:val="24"/>
        </w:rPr>
        <w:t>专管排入津市高新区工业污水处理厂</w:t>
      </w:r>
      <w:r>
        <w:rPr>
          <w:rFonts w:hint="eastAsia" w:ascii="Times New Roman" w:hAnsi="Times New Roman" w:eastAsia="宋体" w:cs="Times New Roman"/>
          <w:color w:val="auto"/>
          <w:sz w:val="24"/>
          <w:szCs w:val="24"/>
          <w:lang w:val="en-US" w:eastAsia="zh-CN"/>
        </w:rPr>
        <w:t>进一步处理。</w:t>
      </w:r>
      <w:r>
        <w:rPr>
          <w:rFonts w:hint="eastAsia" w:ascii="Times New Roman" w:hAnsi="Times New Roman" w:eastAsia="宋体" w:cs="Times New Roman"/>
          <w:color w:val="auto"/>
          <w:sz w:val="24"/>
          <w:szCs w:val="24"/>
        </w:rPr>
        <w:t>主要处理工艺流程图</w:t>
      </w:r>
      <w:r>
        <w:rPr>
          <w:rFonts w:hint="eastAsia" w:ascii="Times New Roman" w:hAnsi="Times New Roman" w:eastAsia="宋体" w:cs="Times New Roman"/>
          <w:color w:val="auto"/>
          <w:sz w:val="24"/>
          <w:szCs w:val="24"/>
          <w:lang w:val="en-US" w:eastAsia="zh-CN"/>
        </w:rPr>
        <w:t>如下：</w:t>
      </w:r>
    </w:p>
    <w:p w14:paraId="3E9EC648">
      <w:pPr>
        <w:spacing w:line="360" w:lineRule="auto"/>
      </w:pPr>
      <w:r>
        <w:drawing>
          <wp:inline distT="0" distB="0" distL="114300" distR="114300">
            <wp:extent cx="5272405" cy="2179320"/>
            <wp:effectExtent l="0" t="0" r="4445" b="11430"/>
            <wp:docPr id="3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
                    <pic:cNvPicPr>
                      <a:picLocks noChangeAspect="1"/>
                    </pic:cNvPicPr>
                  </pic:nvPicPr>
                  <pic:blipFill>
                    <a:blip r:embed="rId44"/>
                    <a:stretch>
                      <a:fillRect/>
                    </a:stretch>
                  </pic:blipFill>
                  <pic:spPr>
                    <a:xfrm>
                      <a:off x="0" y="0"/>
                      <a:ext cx="5272405" cy="2179320"/>
                    </a:xfrm>
                    <a:prstGeom prst="rect">
                      <a:avLst/>
                    </a:prstGeom>
                    <a:noFill/>
                    <a:ln>
                      <a:noFill/>
                    </a:ln>
                  </pic:spPr>
                </pic:pic>
              </a:graphicData>
            </a:graphic>
          </wp:inline>
        </w:drawing>
      </w:r>
    </w:p>
    <w:p w14:paraId="538E4E81">
      <w:pPr>
        <w:pStyle w:val="6"/>
        <w:bidi w:val="0"/>
        <w:rPr>
          <w:rFonts w:hint="default"/>
          <w:lang w:val="en-US" w:eastAsia="zh-CN"/>
        </w:rPr>
      </w:pPr>
      <w:r>
        <w:rPr>
          <w:rFonts w:hint="eastAsia"/>
          <w:lang w:val="en-US" w:eastAsia="zh-CN"/>
        </w:rPr>
        <w:t>图7.2.2-1 污水处理站工艺流程图</w:t>
      </w:r>
    </w:p>
    <w:p w14:paraId="7379B2D1">
      <w:pPr>
        <w:spacing w:line="360" w:lineRule="auto"/>
        <w:ind w:firstLine="480" w:firstLineChars="200"/>
        <w:rPr>
          <w:rFonts w:ascii="Times New Roman" w:hAnsi="Times New Roman" w:eastAsia="宋体" w:cs="Times New Roman"/>
          <w:color w:val="auto"/>
          <w:kern w:val="0"/>
          <w:sz w:val="24"/>
          <w:szCs w:val="24"/>
          <w:lang w:bidi="ar"/>
        </w:rPr>
      </w:pPr>
      <w:r>
        <w:rPr>
          <w:rFonts w:hint="eastAsia" w:ascii="Times New Roman" w:hAnsi="Times New Roman" w:eastAsia="宋体" w:cs="Times New Roman"/>
          <w:color w:val="auto"/>
          <w:kern w:val="0"/>
          <w:sz w:val="24"/>
          <w:szCs w:val="24"/>
          <w:lang w:bidi="ar"/>
        </w:rPr>
        <w:t>全厂达产后水平衡如下所示：</w:t>
      </w:r>
    </w:p>
    <w:p w14:paraId="1ECDE727">
      <w:pPr>
        <w:spacing w:line="360" w:lineRule="auto"/>
        <w:rPr>
          <w:rFonts w:ascii="Times New Roman" w:hAnsi="Times New Roman" w:eastAsia="宋体" w:cs="Times New Roman"/>
          <w:color w:val="FF0000"/>
          <w:kern w:val="0"/>
          <w:sz w:val="24"/>
          <w:szCs w:val="24"/>
          <w:lang w:bidi="ar"/>
        </w:rPr>
      </w:pPr>
      <w:r>
        <w:drawing>
          <wp:inline distT="0" distB="0" distL="114300" distR="114300">
            <wp:extent cx="5230495" cy="6452235"/>
            <wp:effectExtent l="0" t="0" r="8255" b="5715"/>
            <wp:docPr id="6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4"/>
                    <pic:cNvPicPr>
                      <a:picLocks noChangeAspect="1"/>
                    </pic:cNvPicPr>
                  </pic:nvPicPr>
                  <pic:blipFill>
                    <a:blip r:embed="rId45"/>
                    <a:srcRect l="2711" r="1349"/>
                    <a:stretch>
                      <a:fillRect/>
                    </a:stretch>
                  </pic:blipFill>
                  <pic:spPr>
                    <a:xfrm>
                      <a:off x="0" y="0"/>
                      <a:ext cx="5230495" cy="6452235"/>
                    </a:xfrm>
                    <a:prstGeom prst="rect">
                      <a:avLst/>
                    </a:prstGeom>
                    <a:noFill/>
                    <a:ln>
                      <a:noFill/>
                    </a:ln>
                  </pic:spPr>
                </pic:pic>
              </a:graphicData>
            </a:graphic>
          </wp:inline>
        </w:drawing>
      </w:r>
    </w:p>
    <w:p w14:paraId="5C2973F2">
      <w:pPr>
        <w:pStyle w:val="6"/>
        <w:bidi w:val="0"/>
      </w:pPr>
      <w:r>
        <w:rPr>
          <w:rFonts w:hint="eastAsia"/>
        </w:rPr>
        <w:t>图7.2.2-</w:t>
      </w:r>
      <w:r>
        <w:rPr>
          <w:rFonts w:hint="eastAsia"/>
          <w:lang w:val="en-US" w:eastAsia="zh-CN"/>
        </w:rPr>
        <w:t>2</w:t>
      </w:r>
      <w:r>
        <w:rPr>
          <w:rFonts w:hint="eastAsia"/>
        </w:rPr>
        <w:t xml:space="preserve"> 全厂水平衡（单位：</w:t>
      </w:r>
      <w:r>
        <w:rPr>
          <w:rFonts w:hint="eastAsia"/>
          <w:lang w:eastAsia="zh-CN"/>
        </w:rPr>
        <w:t>m3</w:t>
      </w:r>
      <w:r>
        <w:rPr>
          <w:rFonts w:hint="eastAsia"/>
        </w:rPr>
        <w:t>/a）</w:t>
      </w:r>
    </w:p>
    <w:p w14:paraId="7ED8E0AA">
      <w:pPr>
        <w:spacing w:line="360" w:lineRule="auto"/>
        <w:ind w:firstLine="480" w:firstLineChars="200"/>
        <w:rPr>
          <w:rFonts w:hint="default" w:ascii="Times New Roman" w:hAnsi="Times New Roman" w:eastAsia="宋体" w:cs="Times New Roman"/>
          <w:b w:val="0"/>
          <w:bCs w:val="0"/>
          <w:color w:val="auto"/>
          <w:kern w:val="0"/>
          <w:sz w:val="24"/>
          <w:szCs w:val="24"/>
          <w:lang w:val="en-US" w:eastAsia="zh-CN" w:bidi="ar"/>
        </w:rPr>
      </w:pPr>
      <w:r>
        <w:rPr>
          <w:rFonts w:hint="eastAsia" w:ascii="Times New Roman" w:hAnsi="Times New Roman" w:eastAsia="宋体" w:cs="Times New Roman"/>
          <w:b w:val="0"/>
          <w:bCs w:val="0"/>
          <w:color w:val="auto"/>
          <w:kern w:val="0"/>
          <w:sz w:val="24"/>
          <w:szCs w:val="24"/>
          <w:lang w:val="en-US" w:eastAsia="zh-CN" w:bidi="ar"/>
        </w:rPr>
        <w:t>现有污水处理站处理能力为800m</w:t>
      </w:r>
      <w:r>
        <w:rPr>
          <w:rFonts w:hint="eastAsia" w:ascii="Times New Roman" w:hAnsi="Times New Roman" w:eastAsia="宋体" w:cs="Times New Roman"/>
          <w:b w:val="0"/>
          <w:bCs w:val="0"/>
          <w:color w:val="auto"/>
          <w:kern w:val="0"/>
          <w:sz w:val="24"/>
          <w:szCs w:val="24"/>
          <w:vertAlign w:val="superscript"/>
          <w:lang w:val="en-US" w:eastAsia="zh-CN" w:bidi="ar"/>
        </w:rPr>
        <w:t>3</w:t>
      </w:r>
      <w:r>
        <w:rPr>
          <w:rFonts w:hint="eastAsia" w:ascii="Times New Roman" w:hAnsi="Times New Roman" w:eastAsia="宋体" w:cs="Times New Roman"/>
          <w:b w:val="0"/>
          <w:bCs w:val="0"/>
          <w:color w:val="auto"/>
          <w:kern w:val="0"/>
          <w:sz w:val="24"/>
          <w:szCs w:val="24"/>
          <w:lang w:val="en-US" w:eastAsia="zh-CN" w:bidi="ar"/>
        </w:rPr>
        <w:t>/d，根据全厂达产后水平衡分析，废水排放量为488.84m</w:t>
      </w:r>
      <w:r>
        <w:rPr>
          <w:rFonts w:hint="eastAsia" w:ascii="Times New Roman" w:hAnsi="Times New Roman" w:eastAsia="宋体" w:cs="Times New Roman"/>
          <w:b w:val="0"/>
          <w:bCs w:val="0"/>
          <w:color w:val="auto"/>
          <w:kern w:val="0"/>
          <w:sz w:val="24"/>
          <w:szCs w:val="24"/>
          <w:vertAlign w:val="superscript"/>
          <w:lang w:val="en-US" w:eastAsia="zh-CN" w:bidi="ar"/>
        </w:rPr>
        <w:t>3</w:t>
      </w:r>
      <w:r>
        <w:rPr>
          <w:rFonts w:hint="eastAsia" w:ascii="Times New Roman" w:hAnsi="Times New Roman" w:eastAsia="宋体" w:cs="Times New Roman"/>
          <w:b w:val="0"/>
          <w:bCs w:val="0"/>
          <w:color w:val="auto"/>
          <w:kern w:val="0"/>
          <w:sz w:val="24"/>
          <w:szCs w:val="24"/>
          <w:lang w:val="en-US" w:eastAsia="zh-CN" w:bidi="ar"/>
        </w:rPr>
        <w:t>/d，依托现有污水处理站处理可行。</w:t>
      </w:r>
    </w:p>
    <w:p w14:paraId="7DB6DD97">
      <w:pPr>
        <w:keepNext/>
        <w:keepLines/>
        <w:spacing w:line="360" w:lineRule="auto"/>
        <w:outlineLvl w:val="3"/>
        <w:rPr>
          <w:rFonts w:ascii="Times New Roman" w:hAnsi="Times New Roman" w:eastAsia="黑体" w:cs="Times New Roman"/>
          <w:b/>
          <w:color w:val="auto"/>
          <w:sz w:val="24"/>
          <w:szCs w:val="24"/>
        </w:rPr>
      </w:pPr>
      <w:r>
        <w:rPr>
          <w:rFonts w:hint="eastAsia" w:ascii="Times New Roman" w:hAnsi="Times New Roman" w:eastAsia="黑体" w:cs="Times New Roman"/>
          <w:b/>
          <w:color w:val="auto"/>
          <w:sz w:val="24"/>
          <w:szCs w:val="24"/>
        </w:rPr>
        <w:t xml:space="preserve">7.2.2.2 </w:t>
      </w:r>
      <w:r>
        <w:rPr>
          <w:rFonts w:hint="eastAsia" w:ascii="宋体" w:hAnsi="宋体" w:eastAsia="宋体" w:cs="宋体"/>
          <w:b/>
          <w:color w:val="auto"/>
          <w:sz w:val="24"/>
          <w:szCs w:val="24"/>
        </w:rPr>
        <w:t>废水污染防治措施可行性分析</w:t>
      </w:r>
    </w:p>
    <w:p w14:paraId="6B5FE3E9">
      <w:pPr>
        <w:spacing w:line="360" w:lineRule="auto"/>
        <w:ind w:firstLine="482" w:firstLineChars="200"/>
        <w:rPr>
          <w:rFonts w:ascii="Times New Roman" w:hAnsi="Times New Roman" w:eastAsia="宋体" w:cs="Times New Roman"/>
          <w:b/>
          <w:bCs/>
          <w:color w:val="auto"/>
          <w:kern w:val="0"/>
          <w:sz w:val="24"/>
          <w:szCs w:val="24"/>
          <w:lang w:bidi="ar"/>
        </w:rPr>
      </w:pPr>
      <w:r>
        <w:rPr>
          <w:rFonts w:hint="eastAsia" w:ascii="Times New Roman" w:hAnsi="Times New Roman" w:eastAsia="宋体" w:cs="Times New Roman"/>
          <w:b/>
          <w:bCs/>
          <w:color w:val="auto"/>
          <w:kern w:val="0"/>
          <w:sz w:val="24"/>
          <w:szCs w:val="24"/>
          <w:lang w:bidi="ar"/>
        </w:rPr>
        <w:t>主要处理设施及方法简介：</w:t>
      </w:r>
    </w:p>
    <w:p w14:paraId="3E84FE7A">
      <w:pPr>
        <w:widowControl/>
        <w:wordWrap w:val="0"/>
        <w:spacing w:line="360" w:lineRule="auto"/>
        <w:ind w:firstLine="482" w:firstLineChars="200"/>
        <w:jc w:val="left"/>
        <w:rPr>
          <w:rFonts w:hint="default" w:ascii="宋体" w:hAnsi="宋体" w:eastAsia="宋体" w:cs="宋体"/>
          <w:b/>
          <w:bCs/>
          <w:color w:val="auto"/>
          <w:kern w:val="0"/>
          <w:sz w:val="24"/>
          <w:szCs w:val="24"/>
          <w:lang w:val="en-US" w:eastAsia="zh-CN"/>
        </w:rPr>
      </w:pPr>
      <w:r>
        <w:rPr>
          <w:rFonts w:hint="eastAsia" w:ascii="宋体" w:hAnsi="宋体" w:eastAsia="宋体" w:cs="宋体"/>
          <w:b/>
          <w:bCs/>
          <w:color w:val="auto"/>
          <w:kern w:val="0"/>
          <w:sz w:val="24"/>
          <w:szCs w:val="24"/>
        </w:rPr>
        <w:t>（1）</w:t>
      </w:r>
      <w:r>
        <w:rPr>
          <w:rFonts w:hint="eastAsia" w:ascii="宋体" w:hAnsi="宋体" w:eastAsia="宋体" w:cs="宋体"/>
          <w:b/>
          <w:bCs/>
          <w:color w:val="auto"/>
          <w:kern w:val="0"/>
          <w:sz w:val="24"/>
          <w:szCs w:val="24"/>
          <w:lang w:val="en-US" w:eastAsia="zh-CN"/>
        </w:rPr>
        <w:t>贮存池</w:t>
      </w:r>
    </w:p>
    <w:p w14:paraId="0C912F6C">
      <w:pPr>
        <w:spacing w:line="360" w:lineRule="auto"/>
        <w:ind w:firstLine="480" w:firstLineChars="200"/>
        <w:rPr>
          <w:rFonts w:ascii="Times New Roman" w:hAnsi="Times New Roman" w:eastAsia="宋体" w:cs="Times New Roman"/>
          <w:color w:val="auto"/>
          <w:kern w:val="0"/>
          <w:sz w:val="24"/>
          <w:szCs w:val="24"/>
          <w:highlight w:val="yellow"/>
        </w:rPr>
      </w:pPr>
      <w:r>
        <w:rPr>
          <w:rFonts w:hint="eastAsia" w:ascii="Times New Roman" w:hAnsi="Times New Roman" w:eastAsia="宋体" w:cs="Times New Roman"/>
          <w:color w:val="auto"/>
          <w:kern w:val="0"/>
          <w:sz w:val="24"/>
          <w:szCs w:val="24"/>
          <w:lang w:val="en-US" w:eastAsia="zh-CN"/>
        </w:rPr>
        <w:t>贮存未处理废水，</w:t>
      </w:r>
      <w:r>
        <w:rPr>
          <w:rFonts w:ascii="Times New Roman" w:hAnsi="Times New Roman" w:eastAsia="宋体" w:cs="Times New Roman"/>
          <w:color w:val="auto"/>
          <w:kern w:val="0"/>
          <w:sz w:val="24"/>
          <w:szCs w:val="24"/>
        </w:rPr>
        <w:t>用以调节进水流量的构筑物。主要起对水量和水质的调节作用，以及对污水pH值、水温，还可用作事故排水</w:t>
      </w:r>
      <w:r>
        <w:rPr>
          <w:rFonts w:ascii="Times New Roman" w:hAnsi="Times New Roman" w:eastAsia="宋体" w:cs="Times New Roman"/>
          <w:color w:val="auto"/>
          <w:kern w:val="0"/>
          <w:sz w:val="24"/>
          <w:szCs w:val="24"/>
          <w:highlight w:val="none"/>
        </w:rPr>
        <w:t>。</w:t>
      </w:r>
    </w:p>
    <w:p w14:paraId="023FFCFD">
      <w:pPr>
        <w:numPr>
          <w:ilvl w:val="0"/>
          <w:numId w:val="7"/>
        </w:numPr>
        <w:spacing w:line="360" w:lineRule="auto"/>
        <w:ind w:firstLine="482" w:firstLineChars="200"/>
        <w:rPr>
          <w:rFonts w:hint="eastAsia" w:ascii="Times New Roman" w:hAnsi="Times New Roman" w:eastAsia="宋体" w:cs="Times New Roman"/>
          <w:b/>
          <w:bCs/>
          <w:color w:val="auto"/>
          <w:kern w:val="0"/>
          <w:sz w:val="24"/>
          <w:szCs w:val="24"/>
          <w:lang w:val="en-US" w:eastAsia="zh-CN"/>
        </w:rPr>
      </w:pPr>
      <w:r>
        <w:rPr>
          <w:rFonts w:hint="eastAsia" w:ascii="Times New Roman" w:hAnsi="Times New Roman" w:eastAsia="宋体" w:cs="Times New Roman"/>
          <w:b/>
          <w:bCs/>
          <w:color w:val="auto"/>
          <w:kern w:val="0"/>
          <w:sz w:val="24"/>
          <w:szCs w:val="24"/>
          <w:lang w:val="en-US" w:eastAsia="zh-CN"/>
        </w:rPr>
        <w:t>物化反应沉淀池</w:t>
      </w:r>
    </w:p>
    <w:p w14:paraId="71797CC7">
      <w:pPr>
        <w:numPr>
          <w:ilvl w:val="0"/>
          <w:numId w:val="0"/>
        </w:numPr>
        <w:spacing w:line="360" w:lineRule="auto"/>
        <w:ind w:firstLine="480"/>
        <w:rPr>
          <w:rFonts w:hint="eastAsia" w:ascii="Times New Roman" w:hAnsi="Times New Roman" w:eastAsia="宋体" w:cs="Times New Roman"/>
          <w:color w:val="auto"/>
          <w:kern w:val="0"/>
          <w:sz w:val="24"/>
          <w:szCs w:val="24"/>
          <w:lang w:val="en-US" w:eastAsia="zh-CN"/>
        </w:rPr>
      </w:pPr>
      <w:r>
        <w:rPr>
          <w:rFonts w:hint="eastAsia" w:ascii="Times New Roman" w:hAnsi="Times New Roman" w:eastAsia="宋体" w:cs="Times New Roman"/>
          <w:color w:val="auto"/>
          <w:kern w:val="0"/>
          <w:sz w:val="24"/>
          <w:szCs w:val="24"/>
          <w:lang w:val="en-US" w:eastAsia="zh-CN"/>
        </w:rPr>
        <w:t>应用沉淀作用去除水中悬浮物的一种构筑物，沉淀废水中悬浮物，上清液泵入一级气浮池。</w:t>
      </w:r>
    </w:p>
    <w:p w14:paraId="333FE7DE">
      <w:pPr>
        <w:numPr>
          <w:ilvl w:val="0"/>
          <w:numId w:val="7"/>
        </w:numPr>
        <w:spacing w:line="360" w:lineRule="auto"/>
        <w:ind w:left="0" w:leftChars="0" w:firstLine="482" w:firstLineChars="200"/>
        <w:rPr>
          <w:rFonts w:hint="eastAsia" w:ascii="Times New Roman" w:hAnsi="Times New Roman" w:eastAsia="宋体" w:cs="Times New Roman"/>
          <w:b/>
          <w:bCs/>
          <w:color w:val="auto"/>
          <w:kern w:val="0"/>
          <w:sz w:val="24"/>
          <w:szCs w:val="24"/>
          <w:lang w:val="en-US" w:eastAsia="zh-CN"/>
        </w:rPr>
      </w:pPr>
      <w:r>
        <w:rPr>
          <w:rFonts w:hint="eastAsia" w:ascii="Times New Roman" w:hAnsi="Times New Roman" w:eastAsia="宋体" w:cs="Times New Roman"/>
          <w:b/>
          <w:bCs/>
          <w:color w:val="auto"/>
          <w:kern w:val="0"/>
          <w:sz w:val="24"/>
          <w:szCs w:val="24"/>
          <w:lang w:val="en-US" w:eastAsia="zh-CN"/>
        </w:rPr>
        <w:t>气浮池</w:t>
      </w:r>
    </w:p>
    <w:p w14:paraId="0F00186A">
      <w:pPr>
        <w:numPr>
          <w:ilvl w:val="0"/>
          <w:numId w:val="0"/>
        </w:numPr>
        <w:spacing w:line="360" w:lineRule="auto"/>
        <w:ind w:firstLine="480" w:firstLineChars="200"/>
        <w:rPr>
          <w:rFonts w:hint="eastAsia" w:ascii="Times New Roman" w:hAnsi="Times New Roman" w:eastAsia="宋体" w:cs="Times New Roman"/>
          <w:color w:val="auto"/>
          <w:sz w:val="24"/>
          <w:szCs w:val="24"/>
          <w:lang w:eastAsia="zh-CN"/>
        </w:rPr>
      </w:pPr>
      <w:r>
        <w:rPr>
          <w:rFonts w:hint="default" w:ascii="Times New Roman" w:hAnsi="Times New Roman" w:eastAsia="宋体" w:cs="Times New Roman"/>
          <w:color w:val="auto"/>
          <w:kern w:val="0"/>
          <w:sz w:val="24"/>
          <w:szCs w:val="24"/>
          <w:lang w:val="en-US" w:eastAsia="zh-CN"/>
        </w:rPr>
        <w:t>运用大量微气泡扑捉吸附细小颗粒胶黏物使之上浮，达到固液分离的效果的池子。</w:t>
      </w:r>
      <w:r>
        <w:rPr>
          <w:rFonts w:hint="eastAsia" w:ascii="Times New Roman" w:hAnsi="Times New Roman" w:eastAsia="宋体" w:cs="Times New Roman"/>
          <w:color w:val="auto"/>
          <w:sz w:val="24"/>
          <w:szCs w:val="24"/>
        </w:rPr>
        <w:t>废水中易沉降的部分SS和少量COD</w:t>
      </w:r>
      <w:r>
        <w:rPr>
          <w:rFonts w:hint="eastAsia" w:ascii="Times New Roman" w:hAnsi="Times New Roman" w:eastAsia="宋体" w:cs="Times New Roman"/>
          <w:color w:val="auto"/>
          <w:sz w:val="24"/>
          <w:szCs w:val="24"/>
          <w:lang w:eastAsia="zh-CN"/>
        </w:rPr>
        <w:t>，有预曝气的调节作用。</w:t>
      </w:r>
    </w:p>
    <w:p w14:paraId="0A14B699">
      <w:pPr>
        <w:numPr>
          <w:ilvl w:val="0"/>
          <w:numId w:val="7"/>
        </w:numPr>
        <w:spacing w:line="360" w:lineRule="auto"/>
        <w:ind w:left="0" w:leftChars="0" w:firstLine="482" w:firstLineChars="200"/>
        <w:rPr>
          <w:rFonts w:hint="eastAsia"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调配池</w:t>
      </w:r>
    </w:p>
    <w:p w14:paraId="43AE40BC">
      <w:pPr>
        <w:numPr>
          <w:ilvl w:val="0"/>
          <w:numId w:val="0"/>
        </w:numPr>
        <w:spacing w:line="360" w:lineRule="auto"/>
        <w:ind w:firstLine="480" w:firstLineChars="200"/>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调节废水中盐度、PH，还可调节进水流量，厌氧反应对水质、水量和冲击负荷较为敏感，对水质、水量的调节是厌氧反应稳定运行的保证。</w:t>
      </w:r>
    </w:p>
    <w:p w14:paraId="5999BE82">
      <w:pPr>
        <w:widowControl/>
        <w:wordWrap w:val="0"/>
        <w:spacing w:line="360" w:lineRule="auto"/>
        <w:ind w:firstLine="482" w:firstLineChars="200"/>
        <w:jc w:val="left"/>
        <w:rPr>
          <w:rFonts w:ascii="Times New Roman" w:hAnsi="Times New Roman" w:eastAsia="宋体" w:cs="Times New Roman"/>
          <w:b/>
          <w:bCs/>
          <w:color w:val="auto"/>
          <w:kern w:val="0"/>
          <w:sz w:val="24"/>
          <w:szCs w:val="24"/>
        </w:rPr>
      </w:pPr>
      <w:r>
        <w:rPr>
          <w:rFonts w:ascii="Times New Roman" w:hAnsi="Times New Roman" w:eastAsia="宋体" w:cs="Times New Roman"/>
          <w:b/>
          <w:bCs/>
          <w:color w:val="auto"/>
          <w:kern w:val="0"/>
          <w:sz w:val="24"/>
          <w:szCs w:val="24"/>
        </w:rPr>
        <w:t>（</w:t>
      </w:r>
      <w:r>
        <w:rPr>
          <w:rFonts w:hint="eastAsia" w:ascii="Times New Roman" w:hAnsi="Times New Roman" w:eastAsia="宋体" w:cs="Times New Roman"/>
          <w:b/>
          <w:bCs/>
          <w:color w:val="auto"/>
          <w:kern w:val="0"/>
          <w:sz w:val="24"/>
          <w:szCs w:val="24"/>
          <w:lang w:val="en-US" w:eastAsia="zh-CN"/>
        </w:rPr>
        <w:t>5</w:t>
      </w:r>
      <w:r>
        <w:rPr>
          <w:rFonts w:ascii="Times New Roman" w:hAnsi="Times New Roman" w:eastAsia="宋体" w:cs="Times New Roman"/>
          <w:b/>
          <w:bCs/>
          <w:color w:val="auto"/>
          <w:kern w:val="0"/>
          <w:sz w:val="24"/>
          <w:szCs w:val="24"/>
        </w:rPr>
        <w:t>）</w:t>
      </w:r>
      <w:r>
        <w:rPr>
          <w:rFonts w:hint="eastAsia" w:ascii="Times New Roman" w:hAnsi="Times New Roman" w:eastAsia="宋体" w:cs="Times New Roman"/>
          <w:b/>
          <w:bCs/>
          <w:color w:val="auto"/>
          <w:kern w:val="0"/>
          <w:sz w:val="24"/>
          <w:szCs w:val="24"/>
          <w:lang w:val="en-US" w:eastAsia="zh-CN"/>
        </w:rPr>
        <w:t>UASB</w:t>
      </w:r>
      <w:r>
        <w:rPr>
          <w:rFonts w:ascii="Times New Roman" w:hAnsi="Times New Roman" w:eastAsia="宋体" w:cs="Times New Roman"/>
          <w:b/>
          <w:bCs/>
          <w:color w:val="auto"/>
          <w:kern w:val="0"/>
          <w:sz w:val="24"/>
          <w:szCs w:val="24"/>
        </w:rPr>
        <w:t>池</w:t>
      </w:r>
    </w:p>
    <w:p w14:paraId="7A2E6F11">
      <w:pPr>
        <w:widowControl/>
        <w:wordWrap w:val="0"/>
        <w:spacing w:line="360" w:lineRule="auto"/>
        <w:ind w:firstLine="480" w:firstLineChars="200"/>
        <w:jc w:val="left"/>
        <w:rPr>
          <w:rFonts w:ascii="Times New Roman" w:hAnsi="Times New Roman" w:eastAsia="宋体" w:cs="Times New Roman"/>
          <w:color w:val="auto"/>
          <w:kern w:val="0"/>
          <w:sz w:val="24"/>
          <w:szCs w:val="24"/>
        </w:rPr>
      </w:pPr>
      <w:r>
        <w:rPr>
          <w:rFonts w:hint="eastAsia" w:ascii="Times New Roman" w:hAnsi="Times New Roman" w:eastAsia="宋体" w:cs="Times New Roman"/>
          <w:color w:val="auto"/>
          <w:kern w:val="0"/>
          <w:sz w:val="24"/>
          <w:szCs w:val="24"/>
          <w:lang w:val="en-US" w:eastAsia="zh-CN"/>
        </w:rPr>
        <w:t>即上流式厌氧污泥床反应器，污水自下而上通过UASB。反应器底部有一个高浓度、高活性的污泥床，污水中的大部分有机污染物在此间</w:t>
      </w:r>
      <w:r>
        <w:rPr>
          <w:rFonts w:ascii="Times New Roman" w:hAnsi="Times New Roman" w:eastAsia="宋体" w:cs="Times New Roman"/>
          <w:color w:val="auto"/>
          <w:kern w:val="0"/>
          <w:sz w:val="24"/>
          <w:szCs w:val="24"/>
        </w:rPr>
        <w:t>发生水解、酸化和甲烷化，去除废水中的有机物，并提高污水的可生化性，有利于后续的好氧处理。</w:t>
      </w:r>
    </w:p>
    <w:p w14:paraId="6267EA51">
      <w:pPr>
        <w:widowControl/>
        <w:wordWrap w:val="0"/>
        <w:spacing w:line="360" w:lineRule="auto"/>
        <w:ind w:firstLine="482" w:firstLineChars="200"/>
        <w:jc w:val="left"/>
        <w:rPr>
          <w:rFonts w:ascii="Times New Roman" w:hAnsi="Times New Roman" w:eastAsia="宋体" w:cs="Times New Roman"/>
          <w:b/>
          <w:bCs/>
          <w:color w:val="auto"/>
          <w:kern w:val="0"/>
          <w:sz w:val="24"/>
          <w:szCs w:val="24"/>
        </w:rPr>
      </w:pPr>
      <w:r>
        <w:rPr>
          <w:rFonts w:ascii="Times New Roman" w:hAnsi="Times New Roman" w:eastAsia="宋体" w:cs="Times New Roman"/>
          <w:b/>
          <w:bCs/>
          <w:color w:val="auto"/>
          <w:kern w:val="0"/>
          <w:sz w:val="24"/>
          <w:szCs w:val="24"/>
        </w:rPr>
        <w:t>（</w:t>
      </w:r>
      <w:r>
        <w:rPr>
          <w:rFonts w:hint="eastAsia" w:ascii="Times New Roman" w:hAnsi="Times New Roman" w:eastAsia="宋体" w:cs="Times New Roman"/>
          <w:b/>
          <w:bCs/>
          <w:color w:val="auto"/>
          <w:kern w:val="0"/>
          <w:sz w:val="24"/>
          <w:szCs w:val="24"/>
          <w:lang w:val="en-US" w:eastAsia="zh-CN"/>
        </w:rPr>
        <w:t>6</w:t>
      </w:r>
      <w:r>
        <w:rPr>
          <w:rFonts w:ascii="Times New Roman" w:hAnsi="Times New Roman" w:eastAsia="宋体" w:cs="Times New Roman"/>
          <w:b/>
          <w:bCs/>
          <w:color w:val="auto"/>
          <w:kern w:val="0"/>
          <w:sz w:val="24"/>
          <w:szCs w:val="24"/>
        </w:rPr>
        <w:t>）</w:t>
      </w:r>
      <w:r>
        <w:rPr>
          <w:rFonts w:hint="eastAsia" w:ascii="Times New Roman" w:hAnsi="Times New Roman" w:eastAsia="宋体" w:cs="Times New Roman"/>
          <w:b/>
          <w:bCs/>
          <w:color w:val="auto"/>
          <w:kern w:val="0"/>
          <w:sz w:val="24"/>
          <w:szCs w:val="24"/>
          <w:lang w:val="en-US" w:eastAsia="zh-CN"/>
        </w:rPr>
        <w:t>好氧</w:t>
      </w:r>
      <w:r>
        <w:rPr>
          <w:rFonts w:ascii="Times New Roman" w:hAnsi="Times New Roman" w:eastAsia="宋体" w:cs="Times New Roman"/>
          <w:b/>
          <w:bCs/>
          <w:color w:val="auto"/>
          <w:kern w:val="0"/>
          <w:sz w:val="24"/>
          <w:szCs w:val="24"/>
        </w:rPr>
        <w:t>池</w:t>
      </w:r>
    </w:p>
    <w:p w14:paraId="47950B1A">
      <w:pPr>
        <w:widowControl/>
        <w:wordWrap w:val="0"/>
        <w:spacing w:line="360" w:lineRule="auto"/>
        <w:ind w:firstLine="480" w:firstLineChars="200"/>
        <w:jc w:val="left"/>
        <w:rPr>
          <w:rFonts w:ascii="Times New Roman" w:hAnsi="Times New Roman" w:eastAsia="宋体" w:cs="Times New Roman"/>
          <w:color w:val="auto"/>
          <w:kern w:val="0"/>
          <w:sz w:val="24"/>
          <w:szCs w:val="24"/>
        </w:rPr>
      </w:pPr>
      <w:r>
        <w:rPr>
          <w:rFonts w:hint="eastAsia" w:ascii="Times New Roman" w:hAnsi="Times New Roman" w:eastAsia="宋体" w:cs="Times New Roman"/>
          <w:color w:val="auto"/>
          <w:kern w:val="0"/>
          <w:sz w:val="24"/>
          <w:szCs w:val="24"/>
        </w:rPr>
        <w:t>活性污泥进行有氧呼吸，</w:t>
      </w:r>
      <w:r>
        <w:rPr>
          <w:rFonts w:hint="eastAsia" w:ascii="Times New Roman" w:hAnsi="Times New Roman" w:eastAsia="宋体" w:cs="Times New Roman"/>
          <w:color w:val="auto"/>
          <w:kern w:val="0"/>
          <w:sz w:val="24"/>
          <w:szCs w:val="24"/>
          <w:lang w:val="en-US" w:eastAsia="zh-CN"/>
        </w:rPr>
        <w:t>在好氧池内进行好氧</w:t>
      </w:r>
      <w:r>
        <w:rPr>
          <w:rFonts w:hint="eastAsia" w:ascii="Times New Roman" w:hAnsi="Times New Roman" w:eastAsia="宋体" w:cs="Times New Roman"/>
          <w:color w:val="auto"/>
          <w:sz w:val="24"/>
          <w:szCs w:val="24"/>
          <w:lang w:val="en-US" w:eastAsia="zh-CN"/>
        </w:rPr>
        <w:t>硝化反应，</w:t>
      </w:r>
      <w:r>
        <w:rPr>
          <w:rFonts w:hint="eastAsia" w:ascii="Times New Roman" w:hAnsi="Times New Roman" w:eastAsia="宋体" w:cs="Times New Roman"/>
          <w:color w:val="auto"/>
          <w:kern w:val="0"/>
          <w:sz w:val="24"/>
          <w:szCs w:val="24"/>
        </w:rPr>
        <w:t>进一步把有机物分解成无机物。</w:t>
      </w:r>
    </w:p>
    <w:p w14:paraId="3BD7D0F1">
      <w:pPr>
        <w:widowControl/>
        <w:wordWrap w:val="0"/>
        <w:spacing w:line="360" w:lineRule="auto"/>
        <w:ind w:firstLine="482" w:firstLineChars="200"/>
        <w:jc w:val="left"/>
        <w:rPr>
          <w:rFonts w:ascii="Times New Roman" w:hAnsi="Times New Roman" w:eastAsia="宋体" w:cs="Times New Roman"/>
          <w:b/>
          <w:bCs/>
          <w:color w:val="auto"/>
          <w:kern w:val="0"/>
          <w:sz w:val="24"/>
          <w:szCs w:val="24"/>
        </w:rPr>
      </w:pPr>
      <w:r>
        <w:rPr>
          <w:rFonts w:ascii="Times New Roman" w:hAnsi="Times New Roman" w:eastAsia="宋体" w:cs="Times New Roman"/>
          <w:b/>
          <w:bCs/>
          <w:color w:val="auto"/>
          <w:kern w:val="0"/>
          <w:sz w:val="24"/>
          <w:szCs w:val="24"/>
        </w:rPr>
        <w:t>（</w:t>
      </w:r>
      <w:r>
        <w:rPr>
          <w:rFonts w:hint="eastAsia" w:ascii="Times New Roman" w:hAnsi="Times New Roman" w:eastAsia="宋体" w:cs="Times New Roman"/>
          <w:b/>
          <w:bCs/>
          <w:color w:val="auto"/>
          <w:kern w:val="0"/>
          <w:sz w:val="24"/>
          <w:szCs w:val="24"/>
          <w:lang w:val="en-US" w:eastAsia="zh-CN"/>
        </w:rPr>
        <w:t>7</w:t>
      </w:r>
      <w:r>
        <w:rPr>
          <w:rFonts w:ascii="Times New Roman" w:hAnsi="Times New Roman" w:eastAsia="宋体" w:cs="Times New Roman"/>
          <w:b/>
          <w:bCs/>
          <w:color w:val="auto"/>
          <w:kern w:val="0"/>
          <w:sz w:val="24"/>
          <w:szCs w:val="24"/>
        </w:rPr>
        <w:t>）A/O池</w:t>
      </w:r>
    </w:p>
    <w:p w14:paraId="617787FD">
      <w:pPr>
        <w:widowControl/>
        <w:wordWrap w:val="0"/>
        <w:spacing w:line="360" w:lineRule="auto"/>
        <w:ind w:firstLine="480" w:firstLineChars="200"/>
        <w:jc w:val="left"/>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A/O池是一种兼有活性污泥法和生物膜法特点的一种新的废水生化处理法。这种方法的主要设备是生物接触氧化滤池。在不透气的曝气池中装有焦炭、砾石、塑料蜂窝等填料，填料被水浸没，用鼓风机在填料底部曝气充氧,这种方式称谓鼓风曝气装置；空气能自下而上，夹带待处理的废水，自由通过滤料部分到达地面，空气逸走后，废水则在滤料间格自上向下返回池底。活性污泥附在填料表面，不随水流动，因生物膜直接受到上升气流的强烈搅动，不断更新，从而提高了净化效果。</w:t>
      </w:r>
    </w:p>
    <w:p w14:paraId="41A8D7F7">
      <w:pPr>
        <w:widowControl/>
        <w:wordWrap w:val="0"/>
        <w:spacing w:line="360" w:lineRule="auto"/>
        <w:ind w:firstLine="482" w:firstLineChars="200"/>
        <w:jc w:val="left"/>
        <w:rPr>
          <w:rFonts w:hint="default" w:ascii="Times New Roman" w:hAnsi="Times New Roman" w:eastAsia="宋体" w:cs="Times New Roman"/>
          <w:b/>
          <w:bCs/>
          <w:color w:val="auto"/>
          <w:kern w:val="0"/>
          <w:sz w:val="24"/>
          <w:szCs w:val="24"/>
          <w:lang w:val="en-US" w:eastAsia="zh-CN"/>
        </w:rPr>
      </w:pPr>
      <w:r>
        <w:rPr>
          <w:rFonts w:ascii="Times New Roman" w:hAnsi="Times New Roman" w:eastAsia="宋体" w:cs="Times New Roman"/>
          <w:b/>
          <w:bCs/>
          <w:color w:val="auto"/>
          <w:kern w:val="0"/>
          <w:sz w:val="24"/>
          <w:szCs w:val="24"/>
        </w:rPr>
        <w:t>（</w:t>
      </w:r>
      <w:r>
        <w:rPr>
          <w:rFonts w:hint="eastAsia" w:ascii="Times New Roman" w:hAnsi="Times New Roman" w:eastAsia="宋体" w:cs="Times New Roman"/>
          <w:b/>
          <w:bCs/>
          <w:color w:val="auto"/>
          <w:kern w:val="0"/>
          <w:sz w:val="24"/>
          <w:szCs w:val="24"/>
          <w:lang w:val="en-US" w:eastAsia="zh-CN"/>
        </w:rPr>
        <w:t>8</w:t>
      </w:r>
      <w:r>
        <w:rPr>
          <w:rFonts w:ascii="Times New Roman" w:hAnsi="Times New Roman" w:eastAsia="宋体" w:cs="Times New Roman"/>
          <w:b/>
          <w:bCs/>
          <w:color w:val="auto"/>
          <w:kern w:val="0"/>
          <w:sz w:val="24"/>
          <w:szCs w:val="24"/>
        </w:rPr>
        <w:t>）</w:t>
      </w:r>
      <w:r>
        <w:rPr>
          <w:rFonts w:hint="eastAsia" w:ascii="Times New Roman" w:hAnsi="Times New Roman" w:eastAsia="宋体" w:cs="Times New Roman"/>
          <w:b/>
          <w:bCs/>
          <w:color w:val="auto"/>
          <w:kern w:val="0"/>
          <w:sz w:val="24"/>
          <w:szCs w:val="24"/>
          <w:lang w:val="en-US" w:eastAsia="zh-CN"/>
        </w:rPr>
        <w:t>絮凝气浮</w:t>
      </w:r>
    </w:p>
    <w:p w14:paraId="0571FD85">
      <w:pPr>
        <w:widowControl/>
        <w:wordWrap w:val="0"/>
        <w:spacing w:line="360" w:lineRule="auto"/>
        <w:ind w:firstLine="480" w:firstLineChars="200"/>
        <w:jc w:val="left"/>
        <w:rPr>
          <w:rFonts w:hint="default" w:ascii="Times New Roman" w:hAnsi="Times New Roman" w:eastAsia="宋体" w:cs="Times New Roman"/>
          <w:color w:val="auto"/>
          <w:kern w:val="0"/>
          <w:sz w:val="24"/>
          <w:szCs w:val="24"/>
          <w:lang w:val="en-US" w:eastAsia="zh-CN"/>
        </w:rPr>
      </w:pPr>
      <w:r>
        <w:rPr>
          <w:rFonts w:hint="eastAsia" w:ascii="Times New Roman" w:hAnsi="Times New Roman" w:eastAsia="宋体" w:cs="Times New Roman"/>
          <w:color w:val="auto"/>
          <w:kern w:val="0"/>
          <w:sz w:val="24"/>
          <w:szCs w:val="24"/>
          <w:lang w:val="en-US" w:eastAsia="zh-CN"/>
        </w:rPr>
        <w:t>投加絮凝剂，使水或液体中悬浮微粒集聚变大，或形成絮团，从而加快粒子的聚沉，达到固-液分离的目的，未沉淀的细小颗粒经</w:t>
      </w:r>
      <w:r>
        <w:rPr>
          <w:rFonts w:hint="default" w:ascii="Times New Roman" w:hAnsi="Times New Roman" w:eastAsia="宋体" w:cs="Times New Roman"/>
          <w:color w:val="auto"/>
          <w:kern w:val="0"/>
          <w:sz w:val="24"/>
          <w:szCs w:val="24"/>
          <w:lang w:val="en-US" w:eastAsia="zh-CN"/>
        </w:rPr>
        <w:t>大量微气泡扑捉吸附使之上浮</w:t>
      </w:r>
      <w:r>
        <w:rPr>
          <w:rFonts w:hint="eastAsia" w:ascii="Times New Roman" w:hAnsi="Times New Roman" w:eastAsia="宋体" w:cs="Times New Roman"/>
          <w:color w:val="auto"/>
          <w:kern w:val="0"/>
          <w:sz w:val="24"/>
          <w:szCs w:val="24"/>
          <w:lang w:val="en-US" w:eastAsia="zh-CN"/>
        </w:rPr>
        <w:t>，有效去除水中悬浮物。</w:t>
      </w:r>
    </w:p>
    <w:p w14:paraId="0117822E">
      <w:pPr>
        <w:widowControl/>
        <w:wordWrap w:val="0"/>
        <w:spacing w:line="360" w:lineRule="auto"/>
        <w:ind w:firstLine="482" w:firstLineChars="200"/>
        <w:jc w:val="left"/>
        <w:rPr>
          <w:rFonts w:hint="default" w:ascii="Times New Roman" w:hAnsi="Times New Roman" w:eastAsia="宋体" w:cs="Times New Roman"/>
          <w:b/>
          <w:bCs/>
          <w:color w:val="auto"/>
          <w:kern w:val="0"/>
          <w:sz w:val="24"/>
          <w:szCs w:val="24"/>
          <w:lang w:val="en-US" w:eastAsia="zh-CN"/>
        </w:rPr>
      </w:pPr>
      <w:r>
        <w:rPr>
          <w:rFonts w:ascii="Times New Roman" w:hAnsi="Times New Roman" w:eastAsia="宋体" w:cs="Times New Roman"/>
          <w:b/>
          <w:bCs/>
          <w:color w:val="auto"/>
          <w:kern w:val="0"/>
          <w:sz w:val="24"/>
          <w:szCs w:val="24"/>
        </w:rPr>
        <w:t>（</w:t>
      </w:r>
      <w:r>
        <w:rPr>
          <w:rFonts w:hint="eastAsia" w:ascii="Times New Roman" w:hAnsi="Times New Roman" w:eastAsia="宋体" w:cs="Times New Roman"/>
          <w:b/>
          <w:bCs/>
          <w:color w:val="auto"/>
          <w:kern w:val="0"/>
          <w:sz w:val="24"/>
          <w:szCs w:val="24"/>
          <w:lang w:val="en-US" w:eastAsia="zh-CN"/>
        </w:rPr>
        <w:t>9</w:t>
      </w:r>
      <w:r>
        <w:rPr>
          <w:rFonts w:ascii="Times New Roman" w:hAnsi="Times New Roman" w:eastAsia="宋体" w:cs="Times New Roman"/>
          <w:b/>
          <w:bCs/>
          <w:color w:val="auto"/>
          <w:kern w:val="0"/>
          <w:sz w:val="24"/>
          <w:szCs w:val="24"/>
        </w:rPr>
        <w:t>）</w:t>
      </w:r>
      <w:r>
        <w:rPr>
          <w:rFonts w:hint="eastAsia" w:ascii="Times New Roman" w:hAnsi="Times New Roman" w:eastAsia="宋体" w:cs="Times New Roman"/>
          <w:b/>
          <w:bCs/>
          <w:color w:val="auto"/>
          <w:kern w:val="0"/>
          <w:sz w:val="24"/>
          <w:szCs w:val="24"/>
          <w:lang w:val="en-US" w:eastAsia="zh-CN"/>
        </w:rPr>
        <w:t>沉淀罐</w:t>
      </w:r>
    </w:p>
    <w:p w14:paraId="7DE9CE49">
      <w:pPr>
        <w:spacing w:line="360" w:lineRule="auto"/>
        <w:ind w:firstLine="480" w:firstLineChars="200"/>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将废水中的颗粒物沉淀，上清液</w:t>
      </w:r>
      <w:r>
        <w:rPr>
          <w:rFonts w:hint="eastAsia" w:ascii="Times New Roman" w:hAnsi="Times New Roman" w:eastAsia="宋体" w:cs="Times New Roman"/>
          <w:color w:val="auto"/>
          <w:kern w:val="0"/>
          <w:sz w:val="24"/>
          <w:szCs w:val="24"/>
          <w:lang w:val="en-US" w:eastAsia="zh-CN"/>
        </w:rPr>
        <w:t>由废水总排口排至津市高新区工业污水处理厂</w:t>
      </w:r>
      <w:r>
        <w:rPr>
          <w:rFonts w:ascii="Times New Roman" w:hAnsi="Times New Roman" w:eastAsia="宋体" w:cs="Times New Roman"/>
          <w:color w:val="auto"/>
          <w:kern w:val="0"/>
          <w:sz w:val="24"/>
          <w:szCs w:val="24"/>
        </w:rPr>
        <w:t>，底泥进入污泥浓缩池。</w:t>
      </w:r>
    </w:p>
    <w:p w14:paraId="0D9BD3D7">
      <w:pPr>
        <w:spacing w:line="360" w:lineRule="auto"/>
        <w:ind w:firstLine="482" w:firstLineChars="200"/>
        <w:rPr>
          <w:rFonts w:ascii="Times New Roman" w:hAnsi="Times New Roman" w:eastAsia="宋体" w:cs="Times New Roman"/>
          <w:b/>
          <w:bCs/>
          <w:color w:val="auto"/>
          <w:kern w:val="0"/>
          <w:sz w:val="24"/>
          <w:szCs w:val="24"/>
        </w:rPr>
      </w:pPr>
      <w:r>
        <w:rPr>
          <w:rFonts w:hint="eastAsia" w:ascii="Times New Roman" w:hAnsi="Times New Roman" w:eastAsia="宋体" w:cs="Times New Roman"/>
          <w:b/>
          <w:bCs/>
          <w:color w:val="auto"/>
          <w:kern w:val="0"/>
          <w:sz w:val="24"/>
          <w:szCs w:val="24"/>
        </w:rPr>
        <w:t>达标可行性分析：</w:t>
      </w:r>
    </w:p>
    <w:p w14:paraId="4BBE3814">
      <w:pPr>
        <w:spacing w:line="360" w:lineRule="auto"/>
        <w:ind w:firstLine="480" w:firstLineChars="200"/>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为更好的说明本扩建项目采用的废水处理工艺可行性，参考</w:t>
      </w:r>
      <w:r>
        <w:rPr>
          <w:rFonts w:hint="eastAsia" w:ascii="Times New Roman" w:hAnsi="Times New Roman" w:eastAsia="宋体" w:cs="Times New Roman"/>
          <w:color w:val="auto"/>
          <w:kern w:val="0"/>
          <w:sz w:val="24"/>
          <w:szCs w:val="24"/>
          <w:lang w:val="en-US" w:eastAsia="zh-CN"/>
        </w:rPr>
        <w:t>新合新生物</w:t>
      </w:r>
      <w:r>
        <w:rPr>
          <w:rFonts w:ascii="Times New Roman" w:hAnsi="Times New Roman" w:eastAsia="宋体" w:cs="Times New Roman"/>
          <w:color w:val="auto"/>
          <w:kern w:val="0"/>
          <w:sz w:val="24"/>
          <w:szCs w:val="24"/>
        </w:rPr>
        <w:t>公司现有工程厂区污水</w:t>
      </w:r>
      <w:r>
        <w:rPr>
          <w:rFonts w:hint="eastAsia" w:ascii="Times New Roman" w:hAnsi="Times New Roman" w:eastAsia="宋体" w:cs="Times New Roman"/>
          <w:color w:val="auto"/>
          <w:kern w:val="0"/>
          <w:sz w:val="24"/>
          <w:szCs w:val="24"/>
        </w:rPr>
        <w:t>处理</w:t>
      </w:r>
      <w:r>
        <w:rPr>
          <w:rFonts w:ascii="Times New Roman" w:hAnsi="Times New Roman" w:eastAsia="宋体" w:cs="Times New Roman"/>
          <w:color w:val="auto"/>
          <w:kern w:val="0"/>
          <w:sz w:val="24"/>
          <w:szCs w:val="24"/>
        </w:rPr>
        <w:t>站</w:t>
      </w:r>
      <w:r>
        <w:rPr>
          <w:rFonts w:hint="eastAsia" w:ascii="Times New Roman" w:hAnsi="Times New Roman" w:eastAsia="宋体" w:cs="Times New Roman"/>
          <w:color w:val="auto"/>
          <w:kern w:val="0"/>
          <w:sz w:val="24"/>
          <w:szCs w:val="24"/>
        </w:rPr>
        <w:t>的</w:t>
      </w:r>
      <w:r>
        <w:rPr>
          <w:rFonts w:ascii="Times New Roman" w:hAnsi="Times New Roman" w:eastAsia="宋体" w:cs="Times New Roman"/>
          <w:color w:val="auto"/>
          <w:kern w:val="0"/>
          <w:sz w:val="24"/>
          <w:szCs w:val="24"/>
        </w:rPr>
        <w:t>出水数据</w:t>
      </w:r>
      <w:r>
        <w:rPr>
          <w:rFonts w:hint="eastAsia" w:ascii="Times New Roman" w:hAnsi="Times New Roman" w:eastAsia="宋体" w:cs="Times New Roman"/>
          <w:color w:val="auto"/>
          <w:kern w:val="0"/>
          <w:sz w:val="24"/>
          <w:szCs w:val="24"/>
        </w:rPr>
        <w:t>（详见现有工程达标排放情况章节）</w:t>
      </w:r>
      <w:r>
        <w:rPr>
          <w:rFonts w:ascii="Times New Roman" w:hAnsi="Times New Roman" w:eastAsia="宋体" w:cs="Times New Roman"/>
          <w:color w:val="auto"/>
          <w:kern w:val="0"/>
          <w:sz w:val="24"/>
          <w:szCs w:val="24"/>
        </w:rPr>
        <w:t>。</w:t>
      </w:r>
      <w:r>
        <w:rPr>
          <w:rFonts w:hint="eastAsia" w:ascii="Times New Roman" w:hAnsi="Times New Roman" w:eastAsia="宋体" w:cs="Times New Roman"/>
          <w:color w:val="auto"/>
          <w:kern w:val="0"/>
          <w:sz w:val="24"/>
          <w:szCs w:val="24"/>
        </w:rPr>
        <w:t>根据企业</w:t>
      </w:r>
      <w:r>
        <w:rPr>
          <w:rFonts w:ascii="Times New Roman" w:hAnsi="Times New Roman" w:eastAsia="宋体" w:cs="Times New Roman"/>
          <w:color w:val="auto"/>
          <w:kern w:val="0"/>
          <w:sz w:val="24"/>
          <w:szCs w:val="24"/>
        </w:rPr>
        <w:t>开展的常规检测</w:t>
      </w:r>
      <w:r>
        <w:rPr>
          <w:rFonts w:hint="eastAsia" w:ascii="Times New Roman" w:hAnsi="Times New Roman" w:eastAsia="宋体" w:cs="Times New Roman"/>
          <w:color w:val="auto"/>
          <w:kern w:val="0"/>
          <w:sz w:val="24"/>
          <w:szCs w:val="24"/>
        </w:rPr>
        <w:t>结果可知</w:t>
      </w:r>
      <w:r>
        <w:rPr>
          <w:rFonts w:ascii="Times New Roman" w:hAnsi="Times New Roman" w:eastAsia="宋体" w:cs="Times New Roman"/>
          <w:color w:val="auto"/>
          <w:kern w:val="0"/>
          <w:sz w:val="24"/>
          <w:szCs w:val="24"/>
        </w:rPr>
        <w:t>，</w:t>
      </w:r>
      <w:r>
        <w:rPr>
          <w:rFonts w:hint="eastAsia" w:ascii="Times New Roman" w:hAnsi="Times New Roman" w:eastAsia="宋体" w:cs="Times New Roman"/>
          <w:color w:val="auto"/>
          <w:kern w:val="0"/>
          <w:sz w:val="24"/>
          <w:szCs w:val="24"/>
          <w:lang w:val="en-US" w:eastAsia="zh-CN"/>
        </w:rPr>
        <w:t>新合新生物</w:t>
      </w:r>
      <w:r>
        <w:rPr>
          <w:rFonts w:hint="eastAsia" w:ascii="Times New Roman" w:hAnsi="Times New Roman" w:eastAsia="宋体" w:cs="Times New Roman"/>
          <w:color w:val="auto"/>
          <w:kern w:val="0"/>
          <w:sz w:val="24"/>
          <w:szCs w:val="24"/>
        </w:rPr>
        <w:t>公司</w:t>
      </w:r>
      <w:r>
        <w:rPr>
          <w:rFonts w:ascii="Times New Roman" w:hAnsi="Times New Roman" w:eastAsia="宋体" w:cs="Times New Roman"/>
          <w:color w:val="auto"/>
          <w:kern w:val="0"/>
          <w:sz w:val="24"/>
          <w:szCs w:val="24"/>
        </w:rPr>
        <w:t>生产期间排放废水中</w:t>
      </w:r>
      <w:r>
        <w:rPr>
          <w:rFonts w:ascii="Times New Roman" w:hAnsi="Times New Roman" w:eastAsia="宋体" w:cs="Times New Roman"/>
          <w:color w:val="auto"/>
          <w:sz w:val="24"/>
          <w:szCs w:val="24"/>
        </w:rPr>
        <w:t>pH</w:t>
      </w:r>
      <w:r>
        <w:rPr>
          <w:rFonts w:hint="eastAsia" w:ascii="Times New Roman" w:hAnsi="Times New Roman" w:eastAsia="宋体" w:cs="Times New Roman"/>
          <w:color w:val="auto"/>
          <w:sz w:val="24"/>
          <w:szCs w:val="24"/>
        </w:rPr>
        <w:t>、</w:t>
      </w:r>
      <w:r>
        <w:rPr>
          <w:rFonts w:ascii="Times New Roman" w:hAnsi="Times New Roman" w:eastAsia="宋体" w:cs="Times New Roman"/>
          <w:color w:val="auto"/>
          <w:sz w:val="24"/>
          <w:szCs w:val="24"/>
        </w:rPr>
        <w:t>COD</w:t>
      </w:r>
      <w:r>
        <w:rPr>
          <w:rFonts w:ascii="Times New Roman" w:hAnsi="Times New Roman" w:eastAsia="宋体" w:cs="Times New Roman"/>
          <w:color w:val="auto"/>
          <w:sz w:val="24"/>
          <w:szCs w:val="24"/>
          <w:vertAlign w:val="subscript"/>
        </w:rPr>
        <w:t>Cr</w:t>
      </w:r>
      <w:r>
        <w:rPr>
          <w:rFonts w:hint="eastAsia" w:ascii="Times New Roman" w:hAnsi="Times New Roman" w:eastAsia="宋体" w:cs="Times New Roman"/>
          <w:color w:val="auto"/>
          <w:sz w:val="24"/>
          <w:szCs w:val="24"/>
        </w:rPr>
        <w:t>、</w:t>
      </w:r>
      <w:r>
        <w:rPr>
          <w:rFonts w:ascii="Times New Roman" w:hAnsi="Times New Roman" w:eastAsia="宋体" w:cs="Times New Roman"/>
          <w:color w:val="auto"/>
          <w:sz w:val="24"/>
          <w:szCs w:val="24"/>
        </w:rPr>
        <w:t>氨氮</w:t>
      </w:r>
      <w:r>
        <w:rPr>
          <w:rFonts w:hint="eastAsia" w:ascii="Times New Roman" w:hAnsi="Times New Roman" w:eastAsia="宋体" w:cs="Times New Roman"/>
          <w:color w:val="auto"/>
          <w:sz w:val="24"/>
          <w:szCs w:val="24"/>
        </w:rPr>
        <w:t>、</w:t>
      </w:r>
      <w:r>
        <w:rPr>
          <w:rFonts w:ascii="Times New Roman" w:hAnsi="Times New Roman" w:eastAsia="宋体" w:cs="Times New Roman"/>
          <w:color w:val="auto"/>
          <w:sz w:val="24"/>
          <w:szCs w:val="24"/>
        </w:rPr>
        <w:t>TN</w:t>
      </w:r>
      <w:r>
        <w:rPr>
          <w:rFonts w:hint="eastAsia" w:ascii="Times New Roman" w:hAnsi="Times New Roman" w:eastAsia="宋体" w:cs="Times New Roman"/>
          <w:color w:val="auto"/>
          <w:sz w:val="24"/>
          <w:szCs w:val="24"/>
        </w:rPr>
        <w:t>、</w:t>
      </w:r>
      <w:r>
        <w:rPr>
          <w:rFonts w:ascii="Times New Roman" w:hAnsi="Times New Roman" w:eastAsia="宋体" w:cs="Times New Roman"/>
          <w:color w:val="auto"/>
          <w:sz w:val="24"/>
          <w:szCs w:val="24"/>
        </w:rPr>
        <w:t>SS</w:t>
      </w:r>
      <w:r>
        <w:rPr>
          <w:rFonts w:hint="eastAsia" w:ascii="Times New Roman" w:hAnsi="Times New Roman" w:eastAsia="宋体" w:cs="Times New Roman"/>
          <w:color w:val="auto"/>
          <w:sz w:val="24"/>
          <w:szCs w:val="24"/>
        </w:rPr>
        <w:t>、</w:t>
      </w:r>
      <w:r>
        <w:rPr>
          <w:rFonts w:ascii="Times New Roman" w:hAnsi="Times New Roman" w:eastAsia="宋体" w:cs="Times New Roman"/>
          <w:color w:val="auto"/>
          <w:sz w:val="24"/>
          <w:szCs w:val="24"/>
        </w:rPr>
        <w:t>TP</w:t>
      </w:r>
      <w:r>
        <w:rPr>
          <w:rFonts w:hint="eastAsia" w:ascii="Times New Roman" w:hAnsi="Times New Roman" w:eastAsia="宋体" w:cs="Times New Roman"/>
          <w:color w:val="auto"/>
          <w:sz w:val="24"/>
          <w:szCs w:val="24"/>
        </w:rPr>
        <w:t>等</w:t>
      </w:r>
      <w:r>
        <w:rPr>
          <w:rFonts w:ascii="Times New Roman" w:hAnsi="Times New Roman" w:eastAsia="宋体" w:cs="Times New Roman"/>
          <w:color w:val="auto"/>
          <w:kern w:val="0"/>
          <w:sz w:val="24"/>
          <w:szCs w:val="24"/>
        </w:rPr>
        <w:t>污染因子</w:t>
      </w:r>
      <w:r>
        <w:rPr>
          <w:rFonts w:hint="eastAsia" w:ascii="Times New Roman" w:hAnsi="Times New Roman" w:eastAsia="宋体" w:cs="Times New Roman"/>
          <w:color w:val="auto"/>
          <w:kern w:val="0"/>
          <w:sz w:val="24"/>
          <w:szCs w:val="24"/>
        </w:rPr>
        <w:t>均满足</w:t>
      </w:r>
      <w:r>
        <w:rPr>
          <w:rFonts w:hint="eastAsia" w:ascii="Times New Roman" w:hAnsi="Times New Roman" w:eastAsia="宋体" w:cs="Times New Roman"/>
          <w:color w:val="auto"/>
          <w:kern w:val="0"/>
          <w:sz w:val="24"/>
          <w:szCs w:val="24"/>
          <w:lang w:bidi="ar"/>
        </w:rPr>
        <w:t>津市高新区工业污水处理厂</w:t>
      </w:r>
      <w:r>
        <w:rPr>
          <w:rFonts w:hint="eastAsia" w:ascii="Times New Roman" w:hAnsi="Times New Roman" w:eastAsia="宋体" w:cs="Times New Roman"/>
          <w:color w:val="auto"/>
          <w:kern w:val="0"/>
          <w:sz w:val="24"/>
          <w:szCs w:val="24"/>
          <w:lang w:val="en-US" w:eastAsia="zh-CN" w:bidi="ar"/>
        </w:rPr>
        <w:t>要求的进水</w:t>
      </w:r>
      <w:r>
        <w:rPr>
          <w:rFonts w:hint="eastAsia" w:ascii="Times New Roman" w:hAnsi="Times New Roman" w:eastAsia="宋体" w:cs="宋体"/>
          <w:color w:val="auto"/>
          <w:sz w:val="24"/>
          <w:szCs w:val="24"/>
          <w:lang w:val="zh-CN"/>
        </w:rPr>
        <w:t>废水</w:t>
      </w:r>
      <w:r>
        <w:rPr>
          <w:rFonts w:ascii="Times New Roman" w:hAnsi="Times New Roman" w:eastAsia="宋体" w:cs="宋体"/>
          <w:color w:val="auto"/>
          <w:sz w:val="24"/>
          <w:szCs w:val="24"/>
          <w:lang w:val="zh-CN"/>
        </w:rPr>
        <w:t>水质标准</w:t>
      </w:r>
      <w:r>
        <w:rPr>
          <w:rFonts w:hint="eastAsia" w:ascii="Times New Roman" w:hAnsi="Times New Roman" w:eastAsia="宋体" w:cs="宋体"/>
          <w:color w:val="auto"/>
          <w:sz w:val="24"/>
          <w:szCs w:val="24"/>
          <w:lang w:val="zh-CN"/>
        </w:rPr>
        <w:t>，</w:t>
      </w:r>
      <w:r>
        <w:rPr>
          <w:rFonts w:hint="eastAsia" w:ascii="Times New Roman" w:hAnsi="Times New Roman" w:eastAsia="宋体" w:cs="Times New Roman"/>
          <w:color w:val="auto"/>
          <w:kern w:val="0"/>
          <w:sz w:val="24"/>
          <w:szCs w:val="24"/>
        </w:rPr>
        <w:t>本项目生产废水依托现有污水处理系统，可实现达标排放，措施可行。</w:t>
      </w:r>
    </w:p>
    <w:p w14:paraId="61C03EC8">
      <w:pPr>
        <w:spacing w:line="360" w:lineRule="auto"/>
        <w:ind w:firstLine="482" w:firstLineChars="200"/>
        <w:rPr>
          <w:rFonts w:ascii="Times New Roman" w:hAnsi="Times New Roman" w:eastAsia="宋体" w:cs="Times New Roman"/>
          <w:color w:val="auto"/>
          <w:kern w:val="0"/>
          <w:sz w:val="24"/>
          <w:szCs w:val="24"/>
        </w:rPr>
      </w:pPr>
      <w:r>
        <w:rPr>
          <w:rFonts w:hint="eastAsia" w:ascii="Times New Roman" w:hAnsi="Times New Roman" w:eastAsia="宋体" w:cs="Times New Roman"/>
          <w:b/>
          <w:bCs/>
          <w:color w:val="auto"/>
          <w:kern w:val="0"/>
          <w:sz w:val="24"/>
          <w:szCs w:val="24"/>
        </w:rPr>
        <w:t>依托现有工程污水处理站的可行性：</w:t>
      </w:r>
    </w:p>
    <w:p w14:paraId="27355D98">
      <w:pPr>
        <w:spacing w:line="360" w:lineRule="auto"/>
        <w:ind w:firstLine="480" w:firstLineChars="200"/>
        <w:rPr>
          <w:rFonts w:ascii="Times New Roman" w:hAnsi="Times New Roman" w:eastAsia="宋体" w:cs="Times New Roman"/>
          <w:color w:val="auto"/>
          <w:kern w:val="0"/>
          <w:sz w:val="24"/>
          <w:szCs w:val="24"/>
        </w:rPr>
      </w:pPr>
      <w:r>
        <w:rPr>
          <w:rFonts w:hint="eastAsia" w:ascii="Times New Roman" w:hAnsi="Times New Roman" w:eastAsia="宋体" w:cs="Times New Roman"/>
          <w:color w:val="auto"/>
          <w:kern w:val="0"/>
          <w:sz w:val="24"/>
          <w:szCs w:val="24"/>
        </w:rPr>
        <w:t>由全厂水平衡可知，项目达产后全厂废水排放总量为</w:t>
      </w:r>
      <w:r>
        <w:rPr>
          <w:rFonts w:hint="eastAsia" w:ascii="Times New Roman" w:hAnsi="Times New Roman" w:eastAsia="宋体" w:cs="Times New Roman"/>
          <w:b w:val="0"/>
          <w:bCs w:val="0"/>
          <w:color w:val="auto"/>
          <w:kern w:val="0"/>
          <w:sz w:val="24"/>
          <w:szCs w:val="24"/>
          <w:lang w:val="en-US" w:eastAsia="zh-CN" w:bidi="ar"/>
        </w:rPr>
        <w:t>488.84</w:t>
      </w:r>
      <w:r>
        <w:rPr>
          <w:rFonts w:ascii="Times New Roman" w:hAnsi="Times New Roman" w:eastAsia="宋体" w:cs="Times New Roman"/>
          <w:color w:val="auto"/>
          <w:kern w:val="0"/>
          <w:sz w:val="24"/>
          <w:szCs w:val="24"/>
        </w:rPr>
        <w:t>t/d（</w:t>
      </w:r>
      <w:r>
        <w:rPr>
          <w:rFonts w:hint="eastAsia" w:ascii="Times New Roman" w:hAnsi="Times New Roman" w:eastAsia="宋体" w:cs="Times New Roman"/>
          <w:color w:val="auto"/>
          <w:kern w:val="0"/>
          <w:sz w:val="24"/>
          <w:szCs w:val="24"/>
          <w:lang w:val="en-US" w:eastAsia="zh-CN"/>
        </w:rPr>
        <w:t>146652.83</w:t>
      </w:r>
      <w:r>
        <w:rPr>
          <w:rFonts w:ascii="Times New Roman" w:hAnsi="Times New Roman" w:eastAsia="宋体" w:cs="Times New Roman"/>
          <w:color w:val="auto"/>
          <w:kern w:val="0"/>
          <w:sz w:val="24"/>
          <w:szCs w:val="24"/>
        </w:rPr>
        <w:t>t/a）</w:t>
      </w:r>
      <w:r>
        <w:rPr>
          <w:rFonts w:hint="eastAsia" w:ascii="Times New Roman" w:hAnsi="Times New Roman" w:eastAsia="宋体" w:cs="Times New Roman"/>
          <w:color w:val="auto"/>
          <w:kern w:val="0"/>
          <w:sz w:val="24"/>
          <w:szCs w:val="24"/>
        </w:rPr>
        <w:t>，</w:t>
      </w:r>
      <w:r>
        <w:rPr>
          <w:rFonts w:ascii="Times New Roman" w:hAnsi="Times New Roman" w:eastAsia="宋体" w:cs="Times New Roman"/>
          <w:color w:val="auto"/>
          <w:kern w:val="0"/>
          <w:sz w:val="24"/>
          <w:szCs w:val="24"/>
        </w:rPr>
        <w:t>厂区污水处理站处理规模为</w:t>
      </w:r>
      <w:r>
        <w:rPr>
          <w:rFonts w:hint="eastAsia" w:ascii="Times New Roman" w:hAnsi="Times New Roman" w:eastAsia="宋体" w:cs="Times New Roman"/>
          <w:color w:val="auto"/>
          <w:kern w:val="0"/>
          <w:sz w:val="24"/>
          <w:szCs w:val="24"/>
          <w:lang w:val="en-US" w:eastAsia="zh-CN"/>
        </w:rPr>
        <w:t>800</w:t>
      </w:r>
      <w:r>
        <w:rPr>
          <w:rFonts w:ascii="Times New Roman" w:hAnsi="Times New Roman" w:eastAsia="宋体" w:cs="Times New Roman"/>
          <w:color w:val="auto"/>
          <w:kern w:val="0"/>
          <w:sz w:val="24"/>
          <w:szCs w:val="24"/>
        </w:rPr>
        <w:t>t/d，有足够的容量接纳本项目产生</w:t>
      </w:r>
      <w:r>
        <w:rPr>
          <w:rFonts w:hint="eastAsia" w:ascii="Times New Roman" w:hAnsi="Times New Roman" w:eastAsia="宋体" w:cs="Times New Roman"/>
          <w:color w:val="auto"/>
          <w:kern w:val="0"/>
          <w:sz w:val="24"/>
          <w:szCs w:val="24"/>
        </w:rPr>
        <w:t>的</w:t>
      </w:r>
      <w:r>
        <w:rPr>
          <w:rFonts w:ascii="Times New Roman" w:hAnsi="Times New Roman" w:eastAsia="宋体" w:cs="Times New Roman"/>
          <w:color w:val="auto"/>
          <w:kern w:val="0"/>
          <w:sz w:val="24"/>
          <w:szCs w:val="24"/>
        </w:rPr>
        <w:t>废水。</w:t>
      </w:r>
    </w:p>
    <w:p w14:paraId="45544904">
      <w:pPr>
        <w:spacing w:line="360" w:lineRule="auto"/>
        <w:ind w:firstLine="482" w:firstLineChars="200"/>
        <w:rPr>
          <w:rFonts w:ascii="Times New Roman" w:hAnsi="Times New Roman" w:eastAsia="宋体" w:cs="Times New Roman"/>
          <w:b/>
          <w:bCs/>
          <w:color w:val="auto"/>
          <w:kern w:val="0"/>
          <w:sz w:val="24"/>
          <w:szCs w:val="24"/>
        </w:rPr>
      </w:pPr>
      <w:r>
        <w:rPr>
          <w:rFonts w:hint="eastAsia" w:ascii="宋体" w:hAnsi="宋体" w:eastAsia="宋体" w:cs="宋体"/>
          <w:b/>
          <w:bCs/>
          <w:color w:val="auto"/>
          <w:kern w:val="0"/>
          <w:sz w:val="24"/>
          <w:szCs w:val="24"/>
        </w:rPr>
        <w:t>津市高新区工业污水处理厂</w:t>
      </w:r>
      <w:r>
        <w:rPr>
          <w:rFonts w:ascii="Times New Roman" w:hAnsi="Times New Roman" w:eastAsia="宋体" w:cs="Times New Roman"/>
          <w:b/>
          <w:bCs/>
          <w:color w:val="auto"/>
          <w:kern w:val="0"/>
          <w:sz w:val="24"/>
          <w:szCs w:val="24"/>
        </w:rPr>
        <w:t>（一期、二期及二期扩容）</w:t>
      </w:r>
      <w:r>
        <w:rPr>
          <w:rFonts w:hint="eastAsia" w:ascii="宋体" w:hAnsi="宋体" w:eastAsia="宋体" w:cs="宋体"/>
          <w:b/>
          <w:bCs/>
          <w:color w:val="auto"/>
          <w:kern w:val="0"/>
          <w:sz w:val="24"/>
          <w:szCs w:val="24"/>
        </w:rPr>
        <w:t>接纳性分析：</w:t>
      </w:r>
    </w:p>
    <w:p w14:paraId="4D81EC27">
      <w:pPr>
        <w:widowControl/>
        <w:spacing w:line="360" w:lineRule="auto"/>
        <w:ind w:firstLine="480" w:firstLineChars="20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lang w:val="en-US" w:eastAsia="zh-CN"/>
        </w:rPr>
        <w:t>新合新生物</w:t>
      </w:r>
      <w:r>
        <w:rPr>
          <w:rFonts w:hint="eastAsia" w:ascii="宋体" w:hAnsi="宋体" w:eastAsia="宋体" w:cs="宋体"/>
          <w:color w:val="auto"/>
          <w:kern w:val="0"/>
          <w:sz w:val="24"/>
          <w:szCs w:val="24"/>
        </w:rPr>
        <w:t>公司与津市高新区工业污水处理厂</w:t>
      </w:r>
      <w:r>
        <w:rPr>
          <w:rFonts w:ascii="Times New Roman" w:hAnsi="Times New Roman" w:eastAsia="宋体" w:cs="Times New Roman"/>
          <w:color w:val="auto"/>
          <w:kern w:val="0"/>
          <w:sz w:val="24"/>
          <w:szCs w:val="24"/>
        </w:rPr>
        <w:t>（一期、二期及二期扩容）</w:t>
      </w:r>
      <w:r>
        <w:rPr>
          <w:rFonts w:hint="eastAsia" w:ascii="宋体" w:hAnsi="宋体" w:eastAsia="宋体" w:cs="宋体"/>
          <w:color w:val="auto"/>
          <w:kern w:val="0"/>
          <w:sz w:val="24"/>
          <w:szCs w:val="24"/>
        </w:rPr>
        <w:t>签订了污水处理服务合同，本项目污水处理站出水最终进入津市高新区工业污水处理厂</w:t>
      </w:r>
      <w:r>
        <w:rPr>
          <w:rFonts w:ascii="Times New Roman" w:hAnsi="Times New Roman" w:eastAsia="宋体" w:cs="Times New Roman"/>
          <w:color w:val="auto"/>
          <w:kern w:val="0"/>
          <w:sz w:val="24"/>
          <w:szCs w:val="24"/>
        </w:rPr>
        <w:t>（一期、二期及二期扩容）</w:t>
      </w:r>
      <w:r>
        <w:rPr>
          <w:rFonts w:hint="eastAsia" w:ascii="宋体" w:hAnsi="宋体" w:eastAsia="宋体" w:cs="宋体"/>
          <w:color w:val="auto"/>
          <w:kern w:val="0"/>
          <w:sz w:val="24"/>
          <w:szCs w:val="24"/>
        </w:rPr>
        <w:t>，进水水质要求如下表所示：</w:t>
      </w:r>
    </w:p>
    <w:p w14:paraId="0C4D7BDF">
      <w:pPr>
        <w:jc w:val="center"/>
        <w:rPr>
          <w:rFonts w:ascii="Times New Roman" w:hAnsi="Times New Roman" w:eastAsia="宋体" w:cs="Times New Roman"/>
          <w:b/>
          <w:color w:val="auto"/>
          <w:szCs w:val="20"/>
        </w:rPr>
      </w:pPr>
      <w:r>
        <w:rPr>
          <w:rFonts w:ascii="Times New Roman" w:hAnsi="Times New Roman" w:eastAsia="宋体" w:cs="Times New Roman"/>
          <w:b/>
          <w:color w:val="auto"/>
          <w:szCs w:val="20"/>
        </w:rPr>
        <w:t>表</w:t>
      </w:r>
      <w:r>
        <w:rPr>
          <w:rFonts w:hint="eastAsia" w:ascii="Times New Roman" w:hAnsi="Times New Roman" w:eastAsia="宋体" w:cs="Times New Roman"/>
          <w:b/>
          <w:color w:val="auto"/>
          <w:szCs w:val="20"/>
        </w:rPr>
        <w:t>7.2</w:t>
      </w:r>
      <w:r>
        <w:rPr>
          <w:rFonts w:ascii="Times New Roman" w:hAnsi="Times New Roman" w:eastAsia="宋体" w:cs="Times New Roman"/>
          <w:b/>
          <w:color w:val="auto"/>
          <w:szCs w:val="20"/>
        </w:rPr>
        <w:t>.2-</w:t>
      </w:r>
      <w:r>
        <w:rPr>
          <w:rFonts w:hint="eastAsia" w:ascii="Times New Roman" w:hAnsi="Times New Roman" w:eastAsia="宋体" w:cs="Times New Roman"/>
          <w:b/>
          <w:color w:val="auto"/>
          <w:szCs w:val="20"/>
        </w:rPr>
        <w:t>2</w:t>
      </w:r>
      <w:r>
        <w:rPr>
          <w:rFonts w:ascii="Times New Roman" w:hAnsi="Times New Roman" w:eastAsia="宋体" w:cs="Times New Roman"/>
          <w:b/>
          <w:color w:val="auto"/>
          <w:szCs w:val="20"/>
        </w:rPr>
        <w:t xml:space="preserve"> 津市高新区工业污水处理厂进水  单位：mg/L</w:t>
      </w:r>
    </w:p>
    <w:tbl>
      <w:tblPr>
        <w:tblStyle w:val="41"/>
        <w:tblW w:w="499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1384"/>
        <w:gridCol w:w="1154"/>
        <w:gridCol w:w="1154"/>
        <w:gridCol w:w="1154"/>
        <w:gridCol w:w="1154"/>
        <w:gridCol w:w="1155"/>
        <w:gridCol w:w="1159"/>
      </w:tblGrid>
      <w:tr w14:paraId="1E038B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832" w:type="pct"/>
            <w:tcBorders>
              <w:top w:val="single" w:color="auto" w:sz="4" w:space="0"/>
              <w:left w:val="single" w:color="auto" w:sz="4" w:space="0"/>
            </w:tcBorders>
          </w:tcPr>
          <w:p w14:paraId="1395DC7A">
            <w:pPr>
              <w:jc w:val="center"/>
              <w:rPr>
                <w:rFonts w:ascii="Times New Roman" w:hAnsi="Times New Roman" w:eastAsia="宋体" w:cs="Times New Roman"/>
                <w:b/>
                <w:bCs/>
                <w:color w:val="auto"/>
                <w:szCs w:val="21"/>
              </w:rPr>
            </w:pPr>
            <w:r>
              <w:rPr>
                <w:rFonts w:ascii="Times New Roman" w:hAnsi="Times New Roman" w:eastAsia="宋体" w:cs="Times New Roman"/>
                <w:b/>
                <w:bCs/>
                <w:color w:val="auto"/>
                <w:szCs w:val="21"/>
              </w:rPr>
              <w:t>项目</w:t>
            </w:r>
          </w:p>
        </w:tc>
        <w:tc>
          <w:tcPr>
            <w:tcW w:w="694" w:type="pct"/>
            <w:tcBorders>
              <w:top w:val="single" w:color="auto" w:sz="4" w:space="0"/>
            </w:tcBorders>
          </w:tcPr>
          <w:p w14:paraId="7737EC37">
            <w:pPr>
              <w:jc w:val="center"/>
              <w:rPr>
                <w:rFonts w:ascii="Times New Roman" w:hAnsi="Times New Roman" w:eastAsia="宋体" w:cs="Times New Roman"/>
                <w:b/>
                <w:bCs/>
                <w:color w:val="auto"/>
                <w:szCs w:val="21"/>
              </w:rPr>
            </w:pPr>
            <w:r>
              <w:rPr>
                <w:rFonts w:ascii="Times New Roman" w:hAnsi="Times New Roman" w:eastAsia="宋体" w:cs="Times New Roman"/>
                <w:b/>
                <w:bCs/>
                <w:color w:val="auto"/>
                <w:szCs w:val="21"/>
              </w:rPr>
              <w:t>COD</w:t>
            </w:r>
          </w:p>
        </w:tc>
        <w:tc>
          <w:tcPr>
            <w:tcW w:w="694" w:type="pct"/>
            <w:tcBorders>
              <w:top w:val="single" w:color="auto" w:sz="4" w:space="0"/>
            </w:tcBorders>
          </w:tcPr>
          <w:p w14:paraId="32847336">
            <w:pPr>
              <w:jc w:val="center"/>
              <w:rPr>
                <w:rFonts w:hint="default" w:ascii="Times New Roman" w:hAnsi="Times New Roman" w:eastAsia="宋体" w:cs="Times New Roman"/>
                <w:b/>
                <w:bCs/>
                <w:color w:val="auto"/>
                <w:szCs w:val="21"/>
                <w:lang w:val="en-US" w:eastAsia="zh-CN"/>
              </w:rPr>
            </w:pPr>
            <w:r>
              <w:rPr>
                <w:rFonts w:hint="eastAsia" w:ascii="Times New Roman" w:hAnsi="Times New Roman" w:eastAsia="宋体" w:cs="Times New Roman"/>
                <w:b/>
                <w:bCs/>
                <w:color w:val="auto"/>
                <w:szCs w:val="21"/>
                <w:lang w:val="en-US" w:eastAsia="zh-CN"/>
              </w:rPr>
              <w:t>BOD</w:t>
            </w:r>
            <w:r>
              <w:rPr>
                <w:rFonts w:hint="eastAsia" w:ascii="Times New Roman" w:hAnsi="Times New Roman" w:eastAsia="宋体" w:cs="Times New Roman"/>
                <w:b/>
                <w:bCs/>
                <w:color w:val="auto"/>
                <w:szCs w:val="21"/>
                <w:vertAlign w:val="subscript"/>
                <w:lang w:val="en-US" w:eastAsia="zh-CN"/>
              </w:rPr>
              <w:t>5</w:t>
            </w:r>
          </w:p>
        </w:tc>
        <w:tc>
          <w:tcPr>
            <w:tcW w:w="694" w:type="pct"/>
            <w:tcBorders>
              <w:top w:val="single" w:color="auto" w:sz="4" w:space="0"/>
            </w:tcBorders>
          </w:tcPr>
          <w:p w14:paraId="0E498FAC">
            <w:pPr>
              <w:jc w:val="center"/>
              <w:rPr>
                <w:rFonts w:ascii="Times New Roman" w:hAnsi="Times New Roman" w:eastAsia="宋体" w:cs="Times New Roman"/>
                <w:b/>
                <w:bCs/>
                <w:color w:val="auto"/>
                <w:szCs w:val="21"/>
              </w:rPr>
            </w:pPr>
            <w:r>
              <w:rPr>
                <w:rFonts w:ascii="Times New Roman" w:hAnsi="Times New Roman" w:eastAsia="宋体" w:cs="Times New Roman"/>
                <w:b/>
                <w:bCs/>
                <w:color w:val="auto"/>
                <w:szCs w:val="21"/>
              </w:rPr>
              <w:t>SS</w:t>
            </w:r>
          </w:p>
        </w:tc>
        <w:tc>
          <w:tcPr>
            <w:tcW w:w="694" w:type="pct"/>
            <w:tcBorders>
              <w:top w:val="single" w:color="auto" w:sz="4" w:space="0"/>
            </w:tcBorders>
          </w:tcPr>
          <w:p w14:paraId="37197E6B">
            <w:pPr>
              <w:jc w:val="center"/>
              <w:rPr>
                <w:rFonts w:ascii="Times New Roman" w:hAnsi="Times New Roman" w:eastAsia="宋体" w:cs="Times New Roman"/>
                <w:b/>
                <w:bCs/>
                <w:color w:val="auto"/>
                <w:szCs w:val="21"/>
              </w:rPr>
            </w:pPr>
            <w:r>
              <w:rPr>
                <w:rFonts w:ascii="Times New Roman" w:hAnsi="Times New Roman" w:eastAsia="宋体" w:cs="Times New Roman"/>
                <w:b/>
                <w:bCs/>
                <w:color w:val="auto"/>
                <w:szCs w:val="21"/>
              </w:rPr>
              <w:t>TN</w:t>
            </w:r>
          </w:p>
        </w:tc>
        <w:tc>
          <w:tcPr>
            <w:tcW w:w="694" w:type="pct"/>
            <w:tcBorders>
              <w:top w:val="single" w:color="auto" w:sz="4" w:space="0"/>
            </w:tcBorders>
          </w:tcPr>
          <w:p w14:paraId="6813ACE7">
            <w:pPr>
              <w:jc w:val="center"/>
              <w:rPr>
                <w:rFonts w:ascii="Times New Roman" w:hAnsi="Times New Roman" w:eastAsia="宋体" w:cs="Times New Roman"/>
                <w:b/>
                <w:bCs/>
                <w:color w:val="auto"/>
                <w:szCs w:val="21"/>
              </w:rPr>
            </w:pPr>
            <w:r>
              <w:rPr>
                <w:rFonts w:ascii="Times New Roman" w:hAnsi="Times New Roman" w:eastAsia="宋体" w:cs="Times New Roman"/>
                <w:b/>
                <w:bCs/>
                <w:color w:val="auto"/>
                <w:szCs w:val="21"/>
              </w:rPr>
              <w:t>NH</w:t>
            </w:r>
            <w:r>
              <w:rPr>
                <w:rFonts w:ascii="Times New Roman" w:hAnsi="Times New Roman" w:eastAsia="宋体" w:cs="Times New Roman"/>
                <w:b/>
                <w:bCs/>
                <w:color w:val="auto"/>
                <w:szCs w:val="21"/>
                <w:vertAlign w:val="subscript"/>
              </w:rPr>
              <w:t>3</w:t>
            </w:r>
            <w:r>
              <w:rPr>
                <w:rFonts w:ascii="Times New Roman" w:hAnsi="Times New Roman" w:eastAsia="宋体" w:cs="Times New Roman"/>
                <w:b/>
                <w:bCs/>
                <w:color w:val="auto"/>
                <w:szCs w:val="21"/>
              </w:rPr>
              <w:t>-N</w:t>
            </w:r>
          </w:p>
        </w:tc>
        <w:tc>
          <w:tcPr>
            <w:tcW w:w="696" w:type="pct"/>
            <w:tcBorders>
              <w:top w:val="single" w:color="auto" w:sz="4" w:space="0"/>
              <w:right w:val="single" w:color="auto" w:sz="4" w:space="0"/>
            </w:tcBorders>
          </w:tcPr>
          <w:p w14:paraId="55DD188C">
            <w:pPr>
              <w:jc w:val="center"/>
              <w:rPr>
                <w:rFonts w:ascii="Times New Roman" w:hAnsi="Times New Roman" w:eastAsia="宋体" w:cs="Times New Roman"/>
                <w:b/>
                <w:bCs/>
                <w:color w:val="auto"/>
                <w:szCs w:val="21"/>
              </w:rPr>
            </w:pPr>
            <w:r>
              <w:rPr>
                <w:rFonts w:ascii="Times New Roman" w:hAnsi="Times New Roman" w:eastAsia="宋体" w:cs="Times New Roman"/>
                <w:b/>
                <w:bCs/>
                <w:color w:val="auto"/>
                <w:szCs w:val="21"/>
              </w:rPr>
              <w:t>TP</w:t>
            </w:r>
          </w:p>
        </w:tc>
      </w:tr>
      <w:tr w14:paraId="1C6566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jc w:val="center"/>
        </w:trPr>
        <w:tc>
          <w:tcPr>
            <w:tcW w:w="832" w:type="pct"/>
            <w:tcBorders>
              <w:left w:val="single" w:color="auto" w:sz="4" w:space="0"/>
              <w:bottom w:val="single" w:color="auto" w:sz="4" w:space="0"/>
            </w:tcBorders>
          </w:tcPr>
          <w:p w14:paraId="09114283">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进水水质</w:t>
            </w:r>
          </w:p>
        </w:tc>
        <w:tc>
          <w:tcPr>
            <w:tcW w:w="694" w:type="pct"/>
            <w:tcBorders>
              <w:bottom w:val="single" w:color="auto" w:sz="4" w:space="0"/>
            </w:tcBorders>
          </w:tcPr>
          <w:p w14:paraId="763161F2">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450</w:t>
            </w:r>
          </w:p>
        </w:tc>
        <w:tc>
          <w:tcPr>
            <w:tcW w:w="694" w:type="pct"/>
            <w:tcBorders>
              <w:bottom w:val="single" w:color="auto" w:sz="4" w:space="0"/>
            </w:tcBorders>
          </w:tcPr>
          <w:p w14:paraId="72EB0F41">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250</w:t>
            </w:r>
          </w:p>
        </w:tc>
        <w:tc>
          <w:tcPr>
            <w:tcW w:w="694" w:type="pct"/>
            <w:tcBorders>
              <w:bottom w:val="single" w:color="auto" w:sz="4" w:space="0"/>
            </w:tcBorders>
          </w:tcPr>
          <w:p w14:paraId="69EA6AD1">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300</w:t>
            </w:r>
          </w:p>
        </w:tc>
        <w:tc>
          <w:tcPr>
            <w:tcW w:w="694" w:type="pct"/>
            <w:tcBorders>
              <w:bottom w:val="single" w:color="auto" w:sz="4" w:space="0"/>
            </w:tcBorders>
          </w:tcPr>
          <w:p w14:paraId="6110C1C5">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45</w:t>
            </w:r>
          </w:p>
        </w:tc>
        <w:tc>
          <w:tcPr>
            <w:tcW w:w="694" w:type="pct"/>
            <w:tcBorders>
              <w:bottom w:val="single" w:color="auto" w:sz="4" w:space="0"/>
            </w:tcBorders>
          </w:tcPr>
          <w:p w14:paraId="5AE68758">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35</w:t>
            </w:r>
          </w:p>
        </w:tc>
        <w:tc>
          <w:tcPr>
            <w:tcW w:w="696" w:type="pct"/>
            <w:tcBorders>
              <w:bottom w:val="single" w:color="auto" w:sz="4" w:space="0"/>
              <w:right w:val="single" w:color="auto" w:sz="4" w:space="0"/>
            </w:tcBorders>
          </w:tcPr>
          <w:p w14:paraId="58E32092">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5</w:t>
            </w:r>
          </w:p>
        </w:tc>
      </w:tr>
    </w:tbl>
    <w:p w14:paraId="091BA9B4">
      <w:pPr>
        <w:widowControl/>
        <w:spacing w:line="360" w:lineRule="auto"/>
        <w:ind w:firstLine="480" w:firstLineChars="200"/>
        <w:jc w:val="left"/>
        <w:rPr>
          <w:rFonts w:hint="eastAsia" w:ascii="宋体" w:hAnsi="宋体" w:eastAsia="宋体" w:cs="宋体"/>
          <w:color w:val="auto"/>
          <w:kern w:val="0"/>
          <w:sz w:val="24"/>
          <w:szCs w:val="24"/>
        </w:rPr>
      </w:pPr>
      <w:r>
        <w:rPr>
          <w:rFonts w:ascii="Times New Roman" w:hAnsi="Times New Roman" w:eastAsia="宋体" w:cs="Times New Roman"/>
          <w:color w:val="auto"/>
          <w:kern w:val="0"/>
          <w:sz w:val="24"/>
          <w:szCs w:val="24"/>
        </w:rPr>
        <w:t>对比厂区污水站</w:t>
      </w:r>
      <w:r>
        <w:rPr>
          <w:rFonts w:hint="eastAsia" w:ascii="Times New Roman" w:hAnsi="Times New Roman" w:eastAsia="宋体" w:cs="Times New Roman"/>
          <w:color w:val="auto"/>
          <w:kern w:val="0"/>
          <w:sz w:val="24"/>
          <w:szCs w:val="24"/>
          <w:lang w:val="en-US" w:eastAsia="zh-CN"/>
        </w:rPr>
        <w:t>日常</w:t>
      </w:r>
      <w:r>
        <w:rPr>
          <w:rFonts w:ascii="Times New Roman" w:hAnsi="Times New Roman" w:eastAsia="宋体" w:cs="Times New Roman"/>
          <w:color w:val="auto"/>
          <w:kern w:val="0"/>
          <w:sz w:val="24"/>
          <w:szCs w:val="24"/>
        </w:rPr>
        <w:t>监测数据和津市高新区工业污水处理厂（一期、二期及二期扩容）进水水质要求，企业排放的污染物COD、</w:t>
      </w:r>
      <w:r>
        <w:rPr>
          <w:rFonts w:hint="eastAsia" w:ascii="Times New Roman" w:hAnsi="Times New Roman" w:eastAsia="宋体" w:cs="Times New Roman"/>
          <w:color w:val="auto"/>
          <w:kern w:val="0"/>
          <w:sz w:val="24"/>
          <w:szCs w:val="24"/>
        </w:rPr>
        <w:t>BOD</w:t>
      </w:r>
      <w:r>
        <w:rPr>
          <w:rFonts w:hint="eastAsia" w:ascii="Times New Roman" w:hAnsi="Times New Roman" w:eastAsia="宋体" w:cs="Times New Roman"/>
          <w:color w:val="auto"/>
          <w:kern w:val="0"/>
          <w:sz w:val="24"/>
          <w:szCs w:val="24"/>
          <w:vertAlign w:val="subscript"/>
        </w:rPr>
        <w:t>5</w:t>
      </w:r>
      <w:r>
        <w:rPr>
          <w:rFonts w:hint="eastAsia" w:ascii="Times New Roman" w:hAnsi="Times New Roman" w:eastAsia="宋体" w:cs="Times New Roman"/>
          <w:color w:val="auto"/>
          <w:kern w:val="0"/>
          <w:sz w:val="24"/>
          <w:szCs w:val="24"/>
        </w:rPr>
        <w:t>、SS、TN、</w:t>
      </w:r>
      <w:r>
        <w:rPr>
          <w:rFonts w:ascii="Times New Roman" w:hAnsi="Times New Roman" w:eastAsia="宋体" w:cs="Times New Roman"/>
          <w:color w:val="auto"/>
          <w:sz w:val="24"/>
          <w:szCs w:val="24"/>
        </w:rPr>
        <w:t>NH</w:t>
      </w:r>
      <w:r>
        <w:rPr>
          <w:rFonts w:ascii="Times New Roman" w:hAnsi="Times New Roman" w:eastAsia="宋体" w:cs="Times New Roman"/>
          <w:color w:val="auto"/>
          <w:sz w:val="24"/>
          <w:szCs w:val="24"/>
          <w:vertAlign w:val="subscript"/>
        </w:rPr>
        <w:t>3</w:t>
      </w:r>
      <w:r>
        <w:rPr>
          <w:rFonts w:ascii="Times New Roman" w:hAnsi="Times New Roman" w:eastAsia="宋体" w:cs="Times New Roman"/>
          <w:color w:val="auto"/>
          <w:sz w:val="24"/>
          <w:szCs w:val="24"/>
        </w:rPr>
        <w:t>-N</w:t>
      </w:r>
      <w:r>
        <w:rPr>
          <w:rFonts w:hint="eastAsia" w:ascii="Times New Roman" w:hAnsi="Times New Roman" w:eastAsia="宋体" w:cs="Times New Roman"/>
          <w:color w:val="auto"/>
          <w:sz w:val="24"/>
          <w:szCs w:val="24"/>
        </w:rPr>
        <w:t>、TP等基本因子</w:t>
      </w:r>
      <w:r>
        <w:rPr>
          <w:rFonts w:ascii="Times New Roman" w:hAnsi="Times New Roman" w:eastAsia="宋体" w:cs="Times New Roman"/>
          <w:color w:val="auto"/>
          <w:kern w:val="0"/>
          <w:sz w:val="24"/>
          <w:szCs w:val="24"/>
        </w:rPr>
        <w:t>浓度远低于津</w:t>
      </w:r>
      <w:r>
        <w:rPr>
          <w:rFonts w:hint="eastAsia" w:ascii="宋体" w:hAnsi="宋体" w:eastAsia="宋体" w:cs="宋体"/>
          <w:color w:val="auto"/>
          <w:kern w:val="0"/>
          <w:sz w:val="24"/>
          <w:szCs w:val="24"/>
        </w:rPr>
        <w:t>市高新区工业污水处理厂</w:t>
      </w:r>
      <w:r>
        <w:rPr>
          <w:rFonts w:ascii="Times New Roman" w:hAnsi="Times New Roman" w:eastAsia="宋体" w:cs="Times New Roman"/>
          <w:color w:val="auto"/>
          <w:kern w:val="0"/>
          <w:sz w:val="24"/>
          <w:szCs w:val="24"/>
        </w:rPr>
        <w:t>（一期、二期及二期扩容）</w:t>
      </w:r>
      <w:r>
        <w:rPr>
          <w:rFonts w:hint="eastAsia" w:ascii="宋体" w:hAnsi="宋体" w:eastAsia="宋体" w:cs="宋体"/>
          <w:color w:val="auto"/>
          <w:kern w:val="0"/>
          <w:sz w:val="24"/>
          <w:szCs w:val="24"/>
        </w:rPr>
        <w:t>进水水质要求，同时，本项目排放的特征因子均满足</w:t>
      </w:r>
      <w:r>
        <w:rPr>
          <w:rFonts w:ascii="Times New Roman" w:hAnsi="Times New Roman" w:eastAsia="宋体" w:cs="Times New Roman"/>
          <w:color w:val="auto"/>
          <w:kern w:val="0"/>
          <w:sz w:val="24"/>
          <w:szCs w:val="24"/>
        </w:rPr>
        <w:t>津</w:t>
      </w:r>
      <w:r>
        <w:rPr>
          <w:rFonts w:hint="eastAsia" w:ascii="宋体" w:hAnsi="宋体" w:eastAsia="宋体" w:cs="宋体"/>
          <w:color w:val="auto"/>
          <w:kern w:val="0"/>
          <w:sz w:val="24"/>
          <w:szCs w:val="24"/>
        </w:rPr>
        <w:t>市高新区工业污水处理厂</w:t>
      </w:r>
      <w:r>
        <w:rPr>
          <w:rFonts w:ascii="Times New Roman" w:hAnsi="Times New Roman" w:eastAsia="宋体" w:cs="Times New Roman"/>
          <w:color w:val="auto"/>
          <w:kern w:val="0"/>
          <w:sz w:val="24"/>
          <w:szCs w:val="24"/>
        </w:rPr>
        <w:t>（一期、二期及二期扩容）</w:t>
      </w:r>
      <w:r>
        <w:rPr>
          <w:rFonts w:hint="eastAsia" w:ascii="宋体" w:hAnsi="宋体" w:eastAsia="宋体" w:cs="宋体"/>
          <w:color w:val="auto"/>
          <w:kern w:val="0"/>
          <w:sz w:val="24"/>
          <w:szCs w:val="24"/>
        </w:rPr>
        <w:t>进水水质要求。环评认为本扩建项目污水依托新合新公司厂区扩建后的污水处理站处理后进入津市高新区工业污水处理厂</w:t>
      </w:r>
      <w:r>
        <w:rPr>
          <w:rFonts w:ascii="Times New Roman" w:hAnsi="Times New Roman" w:eastAsia="宋体" w:cs="Times New Roman"/>
          <w:color w:val="auto"/>
          <w:kern w:val="0"/>
          <w:sz w:val="24"/>
          <w:szCs w:val="24"/>
        </w:rPr>
        <w:t>（一期、二期及二期扩容）</w:t>
      </w:r>
      <w:r>
        <w:rPr>
          <w:rFonts w:hint="eastAsia" w:ascii="宋体" w:hAnsi="宋体" w:eastAsia="宋体" w:cs="宋体"/>
          <w:color w:val="auto"/>
          <w:kern w:val="0"/>
          <w:sz w:val="24"/>
          <w:szCs w:val="24"/>
        </w:rPr>
        <w:t>进行进一步处理的方式是合理可行的。</w:t>
      </w:r>
    </w:p>
    <w:p w14:paraId="054A24D4">
      <w:pPr>
        <w:widowControl/>
        <w:wordWrap w:val="0"/>
        <w:spacing w:line="360" w:lineRule="auto"/>
        <w:ind w:firstLine="480" w:firstLineChars="200"/>
        <w:jc w:val="left"/>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津市高新区工业污水处理厂（一期、二期及二期扩容）位于高新区孟姜女大道东侧，鸿祥路南侧，沿江路以西。高新区工业污水处理厂主要处理高新区工业废水，已建成处理能力1.5万</w:t>
      </w:r>
      <w:r>
        <w:rPr>
          <w:rFonts w:hint="eastAsia" w:ascii="Times New Roman" w:hAnsi="Times New Roman" w:eastAsia="宋体" w:cs="Times New Roman"/>
          <w:color w:val="auto"/>
          <w:kern w:val="0"/>
          <w:sz w:val="24"/>
          <w:szCs w:val="24"/>
          <w:lang w:eastAsia="zh-CN"/>
        </w:rPr>
        <w:t>m</w:t>
      </w:r>
      <w:r>
        <w:rPr>
          <w:rFonts w:hint="eastAsia" w:ascii="Times New Roman" w:hAnsi="Times New Roman" w:eastAsia="宋体" w:cs="Times New Roman"/>
          <w:color w:val="auto"/>
          <w:kern w:val="0"/>
          <w:sz w:val="24"/>
          <w:szCs w:val="24"/>
          <w:vertAlign w:val="superscript"/>
          <w:lang w:eastAsia="zh-CN"/>
        </w:rPr>
        <w:t>3</w:t>
      </w:r>
      <w:r>
        <w:rPr>
          <w:rFonts w:ascii="Times New Roman" w:hAnsi="Times New Roman" w:eastAsia="宋体" w:cs="Times New Roman"/>
          <w:color w:val="auto"/>
          <w:kern w:val="0"/>
          <w:sz w:val="24"/>
          <w:szCs w:val="24"/>
        </w:rPr>
        <w:t>/d，其中一期工程规模为0.5万</w:t>
      </w:r>
      <w:r>
        <w:rPr>
          <w:rFonts w:hint="eastAsia" w:ascii="Times New Roman" w:hAnsi="Times New Roman" w:eastAsia="宋体" w:cs="Times New Roman"/>
          <w:color w:val="auto"/>
          <w:kern w:val="0"/>
          <w:sz w:val="24"/>
          <w:szCs w:val="24"/>
          <w:lang w:eastAsia="zh-CN"/>
        </w:rPr>
        <w:t>m</w:t>
      </w:r>
      <w:r>
        <w:rPr>
          <w:rFonts w:hint="eastAsia" w:ascii="Times New Roman" w:hAnsi="Times New Roman" w:eastAsia="宋体" w:cs="Times New Roman"/>
          <w:color w:val="auto"/>
          <w:kern w:val="0"/>
          <w:sz w:val="24"/>
          <w:szCs w:val="24"/>
          <w:vertAlign w:val="superscript"/>
          <w:lang w:eastAsia="zh-CN"/>
        </w:rPr>
        <w:t>3</w:t>
      </w:r>
      <w:r>
        <w:rPr>
          <w:rFonts w:ascii="Times New Roman" w:hAnsi="Times New Roman" w:eastAsia="宋体" w:cs="Times New Roman"/>
          <w:color w:val="auto"/>
          <w:kern w:val="0"/>
          <w:sz w:val="24"/>
          <w:szCs w:val="24"/>
        </w:rPr>
        <w:t>/d，于2018年10月建设完成，二期工程规模为1.0万</w:t>
      </w:r>
      <w:r>
        <w:rPr>
          <w:rFonts w:hint="eastAsia" w:ascii="Times New Roman" w:hAnsi="Times New Roman" w:eastAsia="宋体" w:cs="Times New Roman"/>
          <w:color w:val="auto"/>
          <w:kern w:val="0"/>
          <w:sz w:val="24"/>
          <w:szCs w:val="24"/>
          <w:lang w:eastAsia="zh-CN"/>
        </w:rPr>
        <w:t>m</w:t>
      </w:r>
      <w:r>
        <w:rPr>
          <w:rFonts w:hint="eastAsia" w:ascii="Times New Roman" w:hAnsi="Times New Roman" w:eastAsia="宋体" w:cs="Times New Roman"/>
          <w:color w:val="auto"/>
          <w:kern w:val="0"/>
          <w:sz w:val="24"/>
          <w:szCs w:val="24"/>
          <w:vertAlign w:val="superscript"/>
          <w:lang w:eastAsia="zh-CN"/>
        </w:rPr>
        <w:t>3</w:t>
      </w:r>
      <w:r>
        <w:rPr>
          <w:rFonts w:ascii="Times New Roman" w:hAnsi="Times New Roman" w:eastAsia="宋体" w:cs="Times New Roman"/>
          <w:color w:val="auto"/>
          <w:kern w:val="0"/>
          <w:sz w:val="24"/>
          <w:szCs w:val="24"/>
        </w:rPr>
        <w:t>/d，津市高新区工业污水处理厂二期工程于2020年8月18日获得批复（常环建</w:t>
      </w:r>
      <w:r>
        <w:rPr>
          <w:rFonts w:hint="eastAsia" w:ascii="Times New Roman" w:hAnsi="Times New Roman" w:eastAsia="宋体" w:cs="Times New Roman"/>
          <w:color w:val="auto"/>
          <w:kern w:val="0"/>
          <w:sz w:val="24"/>
          <w:szCs w:val="24"/>
        </w:rPr>
        <w:t>（8）</w:t>
      </w:r>
      <w:r>
        <w:rPr>
          <w:rFonts w:ascii="Times New Roman" w:hAnsi="Times New Roman" w:eastAsia="宋体" w:cs="Times New Roman"/>
          <w:color w:val="auto"/>
          <w:kern w:val="0"/>
          <w:sz w:val="24"/>
          <w:szCs w:val="24"/>
        </w:rPr>
        <w:t>〔2020〕13号），扩建规模1万</w:t>
      </w:r>
      <w:r>
        <w:rPr>
          <w:rFonts w:hint="eastAsia" w:ascii="Times New Roman" w:hAnsi="Times New Roman" w:eastAsia="宋体" w:cs="Times New Roman"/>
          <w:color w:val="auto"/>
          <w:kern w:val="0"/>
          <w:sz w:val="24"/>
          <w:szCs w:val="24"/>
          <w:lang w:eastAsia="zh-CN"/>
        </w:rPr>
        <w:t>m</w:t>
      </w:r>
      <w:r>
        <w:rPr>
          <w:rFonts w:hint="eastAsia" w:ascii="Times New Roman" w:hAnsi="Times New Roman" w:eastAsia="宋体" w:cs="Times New Roman"/>
          <w:color w:val="auto"/>
          <w:kern w:val="0"/>
          <w:sz w:val="24"/>
          <w:szCs w:val="24"/>
          <w:vertAlign w:val="superscript"/>
          <w:lang w:eastAsia="zh-CN"/>
        </w:rPr>
        <w:t>3</w:t>
      </w:r>
      <w:r>
        <w:rPr>
          <w:rFonts w:ascii="Times New Roman" w:hAnsi="Times New Roman" w:eastAsia="宋体" w:cs="Times New Roman"/>
          <w:color w:val="auto"/>
          <w:kern w:val="0"/>
          <w:sz w:val="24"/>
          <w:szCs w:val="24"/>
        </w:rPr>
        <w:t>/d（土建规模1.5</w:t>
      </w:r>
      <w:r>
        <w:rPr>
          <w:rFonts w:hint="eastAsia" w:ascii="Times New Roman" w:hAnsi="Times New Roman" w:eastAsia="宋体" w:cs="Times New Roman"/>
          <w:color w:val="auto"/>
          <w:kern w:val="0"/>
          <w:sz w:val="24"/>
          <w:szCs w:val="24"/>
          <w:lang w:eastAsia="zh-CN"/>
        </w:rPr>
        <w:t>m</w:t>
      </w:r>
      <w:r>
        <w:rPr>
          <w:rFonts w:hint="eastAsia" w:ascii="Times New Roman" w:hAnsi="Times New Roman" w:eastAsia="宋体" w:cs="Times New Roman"/>
          <w:color w:val="auto"/>
          <w:kern w:val="0"/>
          <w:sz w:val="24"/>
          <w:szCs w:val="24"/>
          <w:vertAlign w:val="superscript"/>
          <w:lang w:eastAsia="zh-CN"/>
        </w:rPr>
        <w:t>3</w:t>
      </w:r>
      <w:r>
        <w:rPr>
          <w:rFonts w:ascii="Times New Roman" w:hAnsi="Times New Roman" w:eastAsia="宋体" w:cs="Times New Roman"/>
          <w:color w:val="auto"/>
          <w:kern w:val="0"/>
          <w:sz w:val="24"/>
          <w:szCs w:val="24"/>
        </w:rPr>
        <w:t>/d，预留0.5万</w:t>
      </w:r>
      <w:r>
        <w:rPr>
          <w:rFonts w:hint="eastAsia" w:ascii="Times New Roman" w:hAnsi="Times New Roman" w:eastAsia="宋体" w:cs="Times New Roman"/>
          <w:color w:val="auto"/>
          <w:kern w:val="0"/>
          <w:sz w:val="24"/>
          <w:szCs w:val="24"/>
          <w:lang w:eastAsia="zh-CN"/>
        </w:rPr>
        <w:t>m</w:t>
      </w:r>
      <w:r>
        <w:rPr>
          <w:rFonts w:hint="eastAsia" w:ascii="Times New Roman" w:hAnsi="Times New Roman" w:eastAsia="宋体" w:cs="Times New Roman"/>
          <w:color w:val="auto"/>
          <w:kern w:val="0"/>
          <w:sz w:val="24"/>
          <w:szCs w:val="24"/>
          <w:vertAlign w:val="superscript"/>
          <w:lang w:eastAsia="zh-CN"/>
        </w:rPr>
        <w:t>3</w:t>
      </w:r>
      <w:r>
        <w:rPr>
          <w:rFonts w:ascii="Times New Roman" w:hAnsi="Times New Roman" w:eastAsia="宋体" w:cs="Times New Roman"/>
          <w:color w:val="auto"/>
          <w:kern w:val="0"/>
          <w:sz w:val="24"/>
          <w:szCs w:val="24"/>
        </w:rPr>
        <w:t>/d空间），于2021年3月建设完成，同时对现有0.5万</w:t>
      </w:r>
      <w:r>
        <w:rPr>
          <w:rFonts w:hint="eastAsia" w:ascii="Times New Roman" w:hAnsi="Times New Roman" w:eastAsia="宋体" w:cs="Times New Roman"/>
          <w:color w:val="auto"/>
          <w:kern w:val="0"/>
          <w:sz w:val="24"/>
          <w:szCs w:val="24"/>
          <w:lang w:eastAsia="zh-CN"/>
        </w:rPr>
        <w:t>m</w:t>
      </w:r>
      <w:r>
        <w:rPr>
          <w:rFonts w:hint="eastAsia" w:ascii="Times New Roman" w:hAnsi="Times New Roman" w:eastAsia="宋体" w:cs="Times New Roman"/>
          <w:color w:val="auto"/>
          <w:kern w:val="0"/>
          <w:sz w:val="24"/>
          <w:szCs w:val="24"/>
          <w:vertAlign w:val="superscript"/>
          <w:lang w:eastAsia="zh-CN"/>
        </w:rPr>
        <w:t>3</w:t>
      </w:r>
      <w:r>
        <w:rPr>
          <w:rFonts w:ascii="Times New Roman" w:hAnsi="Times New Roman" w:eastAsia="宋体" w:cs="Times New Roman"/>
          <w:color w:val="auto"/>
          <w:kern w:val="0"/>
          <w:sz w:val="24"/>
          <w:szCs w:val="24"/>
        </w:rPr>
        <w:t>/d污水处理设施进行改造并增设7400</w:t>
      </w:r>
      <w:r>
        <w:rPr>
          <w:rFonts w:hint="eastAsia" w:ascii="Times New Roman" w:hAnsi="Times New Roman" w:eastAsia="宋体" w:cs="Times New Roman"/>
          <w:color w:val="auto"/>
          <w:kern w:val="0"/>
          <w:sz w:val="24"/>
          <w:szCs w:val="24"/>
          <w:lang w:eastAsia="zh-CN"/>
        </w:rPr>
        <w:t>m</w:t>
      </w:r>
      <w:r>
        <w:rPr>
          <w:rFonts w:hint="eastAsia" w:ascii="Times New Roman" w:hAnsi="Times New Roman" w:eastAsia="宋体" w:cs="Times New Roman"/>
          <w:color w:val="auto"/>
          <w:kern w:val="0"/>
          <w:sz w:val="24"/>
          <w:szCs w:val="24"/>
          <w:vertAlign w:val="superscript"/>
          <w:lang w:eastAsia="zh-CN"/>
        </w:rPr>
        <w:t>3</w:t>
      </w:r>
      <w:r>
        <w:rPr>
          <w:rFonts w:ascii="Times New Roman" w:hAnsi="Times New Roman" w:eastAsia="宋体" w:cs="Times New Roman"/>
          <w:color w:val="auto"/>
          <w:kern w:val="0"/>
          <w:sz w:val="24"/>
          <w:szCs w:val="24"/>
        </w:rPr>
        <w:t>的事故池，建成后总处理规模为1.5万</w:t>
      </w:r>
      <w:r>
        <w:rPr>
          <w:rFonts w:hint="eastAsia" w:ascii="Times New Roman" w:hAnsi="Times New Roman" w:eastAsia="宋体" w:cs="Times New Roman"/>
          <w:color w:val="auto"/>
          <w:kern w:val="0"/>
          <w:sz w:val="24"/>
          <w:szCs w:val="24"/>
          <w:lang w:eastAsia="zh-CN"/>
        </w:rPr>
        <w:t>m</w:t>
      </w:r>
      <w:r>
        <w:rPr>
          <w:rFonts w:hint="eastAsia" w:ascii="Times New Roman" w:hAnsi="Times New Roman" w:eastAsia="宋体" w:cs="Times New Roman"/>
          <w:color w:val="auto"/>
          <w:kern w:val="0"/>
          <w:sz w:val="24"/>
          <w:szCs w:val="24"/>
          <w:vertAlign w:val="superscript"/>
          <w:lang w:eastAsia="zh-CN"/>
        </w:rPr>
        <w:t>3</w:t>
      </w:r>
      <w:r>
        <w:rPr>
          <w:rFonts w:ascii="Times New Roman" w:hAnsi="Times New Roman" w:eastAsia="宋体" w:cs="Times New Roman"/>
          <w:color w:val="auto"/>
          <w:kern w:val="0"/>
          <w:sz w:val="24"/>
          <w:szCs w:val="24"/>
        </w:rPr>
        <w:t>/d。二期扩建工程完成后该污水处理厂采</w:t>
      </w:r>
      <w:r>
        <w:rPr>
          <w:rFonts w:hint="eastAsia" w:ascii="宋体" w:hAnsi="宋体" w:eastAsia="宋体" w:cs="宋体"/>
          <w:color w:val="auto"/>
          <w:kern w:val="0"/>
          <w:sz w:val="24"/>
          <w:szCs w:val="24"/>
        </w:rPr>
        <w:t>用“格</w:t>
      </w:r>
      <w:r>
        <w:rPr>
          <w:rFonts w:ascii="Times New Roman" w:hAnsi="Times New Roman" w:eastAsia="宋体" w:cs="Times New Roman"/>
          <w:color w:val="auto"/>
          <w:kern w:val="0"/>
          <w:sz w:val="24"/>
          <w:szCs w:val="24"/>
        </w:rPr>
        <w:t>栅及沉砂池＋事故池+缓冲均化初沉池+水解酸化池＋A2/O生化池＋二沉池+高效沉淀池+臭氧催化氧化接触池+曝气生物滤池（BAF）+滤布滤池＋次氯酸钠</w:t>
      </w:r>
      <w:r>
        <w:rPr>
          <w:rFonts w:hint="eastAsia" w:ascii="宋体" w:hAnsi="宋体" w:eastAsia="宋体" w:cs="宋体"/>
          <w:color w:val="auto"/>
          <w:kern w:val="0"/>
          <w:sz w:val="24"/>
          <w:szCs w:val="24"/>
        </w:rPr>
        <w:t>消毒”</w:t>
      </w:r>
      <w:r>
        <w:rPr>
          <w:rFonts w:ascii="Times New Roman" w:hAnsi="Times New Roman" w:eastAsia="宋体" w:cs="Times New Roman"/>
          <w:color w:val="auto"/>
          <w:kern w:val="0"/>
          <w:sz w:val="24"/>
          <w:szCs w:val="24"/>
        </w:rPr>
        <w:t>的主体处理工艺，出水执行《城镇污水处理厂污染物排放标准》（GB18918-2002）中的一级A标准。</w:t>
      </w:r>
    </w:p>
    <w:p w14:paraId="0873829B">
      <w:pPr>
        <w:widowControl/>
        <w:spacing w:line="360" w:lineRule="auto"/>
        <w:ind w:firstLine="480" w:firstLineChars="200"/>
        <w:jc w:val="left"/>
        <w:rPr>
          <w:rFonts w:ascii="Times New Roman" w:hAnsi="Times New Roman" w:eastAsia="宋体" w:cs="Times New Roman"/>
          <w:color w:val="auto"/>
          <w:sz w:val="24"/>
          <w:szCs w:val="24"/>
        </w:rPr>
      </w:pPr>
      <w:r>
        <w:rPr>
          <w:rFonts w:hint="eastAsia" w:ascii="宋体" w:hAnsi="宋体" w:eastAsia="宋体" w:cs="宋体"/>
          <w:color w:val="auto"/>
          <w:kern w:val="0"/>
          <w:sz w:val="24"/>
          <w:szCs w:val="24"/>
          <w:lang w:bidi="ar"/>
        </w:rPr>
        <w:t>津市工业园污水处理厂二期扩容工程主要建设内容为增加</w:t>
      </w:r>
      <w:r>
        <w:rPr>
          <w:rFonts w:ascii="Times New Roman" w:hAnsi="Times New Roman" w:eastAsia="宋体" w:cs="Times New Roman"/>
          <w:color w:val="auto"/>
          <w:kern w:val="0"/>
          <w:sz w:val="24"/>
          <w:szCs w:val="24"/>
          <w:lang w:bidi="ar"/>
        </w:rPr>
        <w:t>0.5</w:t>
      </w:r>
      <w:r>
        <w:rPr>
          <w:rFonts w:hint="eastAsia" w:ascii="宋体" w:hAnsi="宋体" w:eastAsia="宋体" w:cs="宋体"/>
          <w:color w:val="auto"/>
          <w:kern w:val="0"/>
          <w:sz w:val="24"/>
          <w:szCs w:val="24"/>
          <w:lang w:bidi="ar"/>
        </w:rPr>
        <w:t>万</w:t>
      </w:r>
      <w:r>
        <w:rPr>
          <w:rFonts w:hint="eastAsia" w:ascii="Times New Roman" w:hAnsi="Times New Roman" w:eastAsia="宋体" w:cs="Times New Roman"/>
          <w:color w:val="auto"/>
          <w:kern w:val="0"/>
          <w:sz w:val="24"/>
          <w:szCs w:val="24"/>
          <w:lang w:eastAsia="zh-CN" w:bidi="ar"/>
        </w:rPr>
        <w:t>m</w:t>
      </w:r>
      <w:r>
        <w:rPr>
          <w:rFonts w:hint="eastAsia" w:ascii="Times New Roman" w:hAnsi="Times New Roman" w:eastAsia="宋体" w:cs="Times New Roman"/>
          <w:color w:val="auto"/>
          <w:kern w:val="0"/>
          <w:sz w:val="24"/>
          <w:szCs w:val="24"/>
          <w:vertAlign w:val="superscript"/>
          <w:lang w:eastAsia="zh-CN" w:bidi="ar"/>
        </w:rPr>
        <w:t>3</w:t>
      </w:r>
      <w:r>
        <w:rPr>
          <w:rFonts w:ascii="Times New Roman" w:hAnsi="Times New Roman" w:eastAsia="宋体" w:cs="Times New Roman"/>
          <w:color w:val="auto"/>
          <w:kern w:val="0"/>
          <w:sz w:val="24"/>
          <w:szCs w:val="24"/>
          <w:lang w:bidi="ar"/>
        </w:rPr>
        <w:t>/d</w:t>
      </w:r>
      <w:r>
        <w:rPr>
          <w:rFonts w:hint="eastAsia" w:ascii="宋体" w:hAnsi="宋体" w:eastAsia="宋体" w:cs="宋体"/>
          <w:color w:val="auto"/>
          <w:kern w:val="0"/>
          <w:sz w:val="24"/>
          <w:szCs w:val="24"/>
          <w:lang w:bidi="ar"/>
        </w:rPr>
        <w:t>处理能力。二期扩容工程具体建设内容如下：拟改造现状污泥处理系统，对现状预处理系统、水解酸化系统、曝气生物滤池、滤布滤池、接触消毒池、加药间及变配电间、除臭系统、污泥泵站进行设备扩容，同时完善管网工程、电气工程、仪表系统、自控及监控系统，该项目已于</w:t>
      </w:r>
      <w:r>
        <w:rPr>
          <w:rFonts w:ascii="Times New Roman" w:hAnsi="Times New Roman" w:eastAsia="宋体" w:cs="Times New Roman"/>
          <w:color w:val="auto"/>
          <w:kern w:val="0"/>
          <w:sz w:val="24"/>
          <w:szCs w:val="24"/>
          <w:lang w:bidi="ar"/>
        </w:rPr>
        <w:t>2022</w:t>
      </w:r>
      <w:r>
        <w:rPr>
          <w:rFonts w:hint="eastAsia" w:ascii="宋体" w:hAnsi="宋体" w:eastAsia="宋体" w:cs="宋体"/>
          <w:color w:val="auto"/>
          <w:kern w:val="0"/>
          <w:sz w:val="24"/>
          <w:szCs w:val="24"/>
          <w:lang w:bidi="ar"/>
        </w:rPr>
        <w:t>年</w:t>
      </w:r>
      <w:r>
        <w:rPr>
          <w:rFonts w:ascii="Times New Roman" w:hAnsi="Times New Roman" w:eastAsia="宋体" w:cs="Times New Roman"/>
          <w:color w:val="auto"/>
          <w:kern w:val="0"/>
          <w:sz w:val="24"/>
          <w:szCs w:val="24"/>
          <w:lang w:bidi="ar"/>
        </w:rPr>
        <w:t>3</w:t>
      </w:r>
      <w:r>
        <w:rPr>
          <w:rFonts w:hint="eastAsia" w:ascii="宋体" w:hAnsi="宋体" w:eastAsia="宋体" w:cs="宋体"/>
          <w:color w:val="auto"/>
          <w:kern w:val="0"/>
          <w:sz w:val="24"/>
          <w:szCs w:val="24"/>
          <w:lang w:bidi="ar"/>
        </w:rPr>
        <w:t>月取得津市住建部门批复，目前处于环境影响评价阶段，项目正在建设中。</w:t>
      </w:r>
    </w:p>
    <w:p w14:paraId="52662084">
      <w:pPr>
        <w:widowControl/>
        <w:wordWrap w:val="0"/>
        <w:spacing w:line="360" w:lineRule="auto"/>
        <w:ind w:firstLine="480" w:firstLineChars="200"/>
        <w:jc w:val="left"/>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在二期工程建设过程中，将津市高新区工业污水处理厂出厂排污口改道，现阶段工业污水处理厂尾水不再进入工程东北侧嘉山电排前池，而是通过泵抽连续排放，处理达标后的尾水通过1根230m地埋排污专管（DN500mm）穿越澧水大堤，排放至排污明渠，经排污明渠约260m后排入澧水。</w:t>
      </w:r>
    </w:p>
    <w:p w14:paraId="32FA483D">
      <w:pPr>
        <w:widowControl/>
        <w:wordWrap w:val="0"/>
        <w:jc w:val="center"/>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drawing>
          <wp:inline distT="0" distB="0" distL="114300" distR="114300">
            <wp:extent cx="5059045" cy="3653155"/>
            <wp:effectExtent l="9525" t="9525" r="17780" b="13970"/>
            <wp:docPr id="11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2"/>
                    <pic:cNvPicPr>
                      <a:picLocks noChangeAspect="1"/>
                    </pic:cNvPicPr>
                  </pic:nvPicPr>
                  <pic:blipFill>
                    <a:blip r:embed="rId37"/>
                    <a:stretch>
                      <a:fillRect/>
                    </a:stretch>
                  </pic:blipFill>
                  <pic:spPr>
                    <a:xfrm>
                      <a:off x="0" y="0"/>
                      <a:ext cx="5059045" cy="3653155"/>
                    </a:xfrm>
                    <a:prstGeom prst="rect">
                      <a:avLst/>
                    </a:prstGeom>
                    <a:noFill/>
                    <a:ln w="9525" cap="flat" cmpd="sng">
                      <a:solidFill>
                        <a:srgbClr val="000000"/>
                      </a:solidFill>
                      <a:prstDash val="solid"/>
                      <a:round/>
                      <a:headEnd type="none" w="med" len="med"/>
                      <a:tailEnd type="none" w="med" len="med"/>
                    </a:ln>
                  </pic:spPr>
                </pic:pic>
              </a:graphicData>
            </a:graphic>
          </wp:inline>
        </w:drawing>
      </w:r>
    </w:p>
    <w:p w14:paraId="46B20F4C">
      <w:pPr>
        <w:pStyle w:val="6"/>
        <w:bidi w:val="0"/>
      </w:pPr>
      <w:r>
        <w:t>图</w:t>
      </w:r>
      <w:r>
        <w:rPr>
          <w:rFonts w:hint="eastAsia"/>
        </w:rPr>
        <w:t>7.2</w:t>
      </w:r>
      <w:r>
        <w:t>.2-</w:t>
      </w:r>
      <w:r>
        <w:rPr>
          <w:rFonts w:hint="eastAsia"/>
        </w:rPr>
        <w:t>3</w:t>
      </w:r>
      <w:r>
        <w:t xml:space="preserve"> 津市高新区工业污水处理厂处理工艺图</w:t>
      </w:r>
    </w:p>
    <w:p w14:paraId="3801A6DC">
      <w:pPr>
        <w:spacing w:line="360" w:lineRule="auto"/>
        <w:ind w:firstLine="480" w:firstLineChars="200"/>
        <w:jc w:val="left"/>
        <w:rPr>
          <w:rFonts w:ascii="Times New Roman" w:hAnsi="Times New Roman" w:eastAsia="宋体" w:cs="Times New Roman"/>
          <w:color w:val="auto"/>
          <w:kern w:val="0"/>
          <w:sz w:val="24"/>
          <w:szCs w:val="24"/>
        </w:rPr>
      </w:pPr>
      <w:r>
        <w:rPr>
          <w:rFonts w:hint="eastAsia" w:ascii="Times New Roman" w:hAnsi="Times New Roman" w:eastAsia="宋体" w:cs="Times New Roman"/>
          <w:color w:val="auto"/>
          <w:kern w:val="0"/>
          <w:sz w:val="24"/>
          <w:szCs w:val="24"/>
        </w:rPr>
        <w:t>经调查</w:t>
      </w:r>
      <w:r>
        <w:rPr>
          <w:rFonts w:ascii="Times New Roman" w:hAnsi="Times New Roman" w:eastAsia="宋体" w:cs="Times New Roman"/>
          <w:color w:val="auto"/>
          <w:kern w:val="0"/>
          <w:sz w:val="24"/>
          <w:szCs w:val="24"/>
        </w:rPr>
        <w:t>津市高新区污水处理厂（一期、二期及二期扩容）</w:t>
      </w:r>
      <w:r>
        <w:rPr>
          <w:rFonts w:hint="eastAsia" w:ascii="Times New Roman" w:hAnsi="Times New Roman" w:eastAsia="宋体" w:cs="Times New Roman"/>
          <w:color w:val="auto"/>
          <w:kern w:val="0"/>
          <w:sz w:val="24"/>
          <w:szCs w:val="24"/>
        </w:rPr>
        <w:t>2021年-2023年</w:t>
      </w:r>
      <w:r>
        <w:rPr>
          <w:rFonts w:ascii="Times New Roman" w:hAnsi="Times New Roman" w:eastAsia="宋体" w:cs="Times New Roman"/>
          <w:color w:val="auto"/>
          <w:kern w:val="0"/>
          <w:sz w:val="24"/>
          <w:szCs w:val="24"/>
        </w:rPr>
        <w:t>的实际日平均污水排放量数据，</w:t>
      </w:r>
      <w:r>
        <w:rPr>
          <w:rFonts w:hint="eastAsia" w:ascii="Times New Roman" w:hAnsi="Times New Roman" w:eastAsia="宋体" w:cs="Times New Roman"/>
          <w:color w:val="auto"/>
          <w:kern w:val="0"/>
          <w:sz w:val="24"/>
          <w:szCs w:val="24"/>
        </w:rPr>
        <w:t>具体如下：</w:t>
      </w:r>
    </w:p>
    <w:p w14:paraId="326B0E01">
      <w:pPr>
        <w:pStyle w:val="6"/>
        <w:bidi w:val="0"/>
      </w:pPr>
      <w:r>
        <w:rPr>
          <w:rFonts w:hint="eastAsia"/>
        </w:rPr>
        <w:t>表7.2.2-</w:t>
      </w:r>
      <w:r>
        <w:rPr>
          <w:rFonts w:hint="eastAsia"/>
          <w:lang w:val="en-US" w:eastAsia="zh-CN"/>
        </w:rPr>
        <w:t>1</w:t>
      </w:r>
      <w:r>
        <w:rPr>
          <w:rFonts w:hint="eastAsia"/>
        </w:rPr>
        <w:t xml:space="preserve"> </w:t>
      </w:r>
      <w:r>
        <w:t>津市高新区污水处理厂</w:t>
      </w:r>
      <w:r>
        <w:rPr>
          <w:rFonts w:hint="eastAsia"/>
        </w:rPr>
        <w:t>2021年1-12月实际处理水量  单位：</w:t>
      </w:r>
      <w:r>
        <w:rPr>
          <w:rFonts w:hint="eastAsia"/>
          <w:lang w:eastAsia="zh-CN"/>
        </w:rPr>
        <w:t>m3</w:t>
      </w:r>
      <w:r>
        <w:rPr>
          <w:rFonts w:hint="eastAsia"/>
        </w:rPr>
        <w:t>/d</w:t>
      </w:r>
    </w:p>
    <w:tbl>
      <w:tblPr>
        <w:tblStyle w:val="41"/>
        <w:tblW w:w="524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7"/>
        <w:gridCol w:w="617"/>
        <w:gridCol w:w="551"/>
        <w:gridCol w:w="619"/>
        <w:gridCol w:w="707"/>
        <w:gridCol w:w="707"/>
        <w:gridCol w:w="607"/>
        <w:gridCol w:w="732"/>
        <w:gridCol w:w="666"/>
        <w:gridCol w:w="676"/>
        <w:gridCol w:w="732"/>
        <w:gridCol w:w="918"/>
        <w:gridCol w:w="794"/>
      </w:tblGrid>
      <w:tr w14:paraId="42489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9" w:type="pct"/>
            <w:vAlign w:val="center"/>
          </w:tcPr>
          <w:p w14:paraId="50050C29">
            <w:pPr>
              <w:jc w:val="center"/>
              <w:rPr>
                <w:rFonts w:ascii="Times New Roman" w:hAnsi="Times New Roman" w:eastAsia="宋体" w:cs="Times New Roman"/>
                <w:b/>
                <w:bCs/>
                <w:color w:val="auto"/>
                <w:kern w:val="0"/>
                <w:sz w:val="18"/>
                <w:szCs w:val="18"/>
              </w:rPr>
            </w:pPr>
            <w:r>
              <w:rPr>
                <w:rFonts w:hint="eastAsia" w:ascii="Times New Roman" w:hAnsi="Times New Roman" w:eastAsia="宋体" w:cs="Times New Roman"/>
                <w:b/>
                <w:bCs/>
                <w:color w:val="auto"/>
                <w:kern w:val="0"/>
                <w:sz w:val="18"/>
                <w:szCs w:val="18"/>
              </w:rPr>
              <w:t>月份</w:t>
            </w:r>
          </w:p>
        </w:tc>
        <w:tc>
          <w:tcPr>
            <w:tcW w:w="345" w:type="pct"/>
            <w:vAlign w:val="center"/>
          </w:tcPr>
          <w:p w14:paraId="6CB06BE4">
            <w:pPr>
              <w:jc w:val="center"/>
              <w:rPr>
                <w:rFonts w:ascii="Times New Roman" w:hAnsi="Times New Roman" w:eastAsia="宋体" w:cs="Times New Roman"/>
                <w:b/>
                <w:bCs/>
                <w:color w:val="auto"/>
                <w:kern w:val="0"/>
                <w:sz w:val="18"/>
                <w:szCs w:val="18"/>
              </w:rPr>
            </w:pPr>
            <w:r>
              <w:rPr>
                <w:rFonts w:hint="eastAsia" w:ascii="Times New Roman" w:hAnsi="Times New Roman" w:eastAsia="宋体" w:cs="Times New Roman"/>
                <w:b/>
                <w:bCs/>
                <w:color w:val="auto"/>
                <w:kern w:val="0"/>
                <w:sz w:val="18"/>
                <w:szCs w:val="18"/>
              </w:rPr>
              <w:t>1月</w:t>
            </w:r>
          </w:p>
        </w:tc>
        <w:tc>
          <w:tcPr>
            <w:tcW w:w="308" w:type="pct"/>
            <w:vAlign w:val="center"/>
          </w:tcPr>
          <w:p w14:paraId="4727F25A">
            <w:pPr>
              <w:jc w:val="center"/>
              <w:rPr>
                <w:rFonts w:ascii="Times New Roman" w:hAnsi="Times New Roman" w:eastAsia="宋体" w:cs="Times New Roman"/>
                <w:b/>
                <w:bCs/>
                <w:color w:val="auto"/>
                <w:kern w:val="0"/>
                <w:sz w:val="18"/>
                <w:szCs w:val="18"/>
              </w:rPr>
            </w:pPr>
            <w:r>
              <w:rPr>
                <w:rFonts w:hint="eastAsia" w:ascii="Times New Roman" w:hAnsi="Times New Roman" w:eastAsia="宋体" w:cs="Times New Roman"/>
                <w:b/>
                <w:bCs/>
                <w:color w:val="auto"/>
                <w:kern w:val="0"/>
                <w:sz w:val="18"/>
                <w:szCs w:val="18"/>
              </w:rPr>
              <w:t>2月</w:t>
            </w:r>
          </w:p>
        </w:tc>
        <w:tc>
          <w:tcPr>
            <w:tcW w:w="346" w:type="pct"/>
            <w:vAlign w:val="center"/>
          </w:tcPr>
          <w:p w14:paraId="62894F85">
            <w:pPr>
              <w:jc w:val="center"/>
              <w:rPr>
                <w:rFonts w:ascii="Times New Roman" w:hAnsi="Times New Roman" w:eastAsia="宋体" w:cs="Times New Roman"/>
                <w:b/>
                <w:bCs/>
                <w:color w:val="auto"/>
                <w:kern w:val="0"/>
                <w:sz w:val="18"/>
                <w:szCs w:val="18"/>
              </w:rPr>
            </w:pPr>
            <w:r>
              <w:rPr>
                <w:rFonts w:hint="eastAsia" w:ascii="Times New Roman" w:hAnsi="Times New Roman" w:eastAsia="宋体" w:cs="Times New Roman"/>
                <w:b/>
                <w:bCs/>
                <w:color w:val="auto"/>
                <w:kern w:val="0"/>
                <w:sz w:val="18"/>
                <w:szCs w:val="18"/>
              </w:rPr>
              <w:t>3月</w:t>
            </w:r>
          </w:p>
        </w:tc>
        <w:tc>
          <w:tcPr>
            <w:tcW w:w="395" w:type="pct"/>
            <w:vAlign w:val="center"/>
          </w:tcPr>
          <w:p w14:paraId="48BC7F93">
            <w:pPr>
              <w:jc w:val="center"/>
              <w:rPr>
                <w:rFonts w:ascii="Times New Roman" w:hAnsi="Times New Roman" w:eastAsia="宋体" w:cs="Times New Roman"/>
                <w:b/>
                <w:bCs/>
                <w:color w:val="auto"/>
                <w:kern w:val="0"/>
                <w:sz w:val="18"/>
                <w:szCs w:val="18"/>
              </w:rPr>
            </w:pPr>
            <w:r>
              <w:rPr>
                <w:rFonts w:hint="eastAsia" w:ascii="Times New Roman" w:hAnsi="Times New Roman" w:eastAsia="宋体" w:cs="Times New Roman"/>
                <w:b/>
                <w:bCs/>
                <w:color w:val="auto"/>
                <w:kern w:val="0"/>
                <w:sz w:val="18"/>
                <w:szCs w:val="18"/>
              </w:rPr>
              <w:t>4月</w:t>
            </w:r>
          </w:p>
        </w:tc>
        <w:tc>
          <w:tcPr>
            <w:tcW w:w="395" w:type="pct"/>
            <w:vAlign w:val="center"/>
          </w:tcPr>
          <w:p w14:paraId="02771794">
            <w:pPr>
              <w:jc w:val="center"/>
              <w:rPr>
                <w:rFonts w:ascii="Times New Roman" w:hAnsi="Times New Roman" w:eastAsia="宋体" w:cs="Times New Roman"/>
                <w:b/>
                <w:bCs/>
                <w:color w:val="auto"/>
                <w:kern w:val="0"/>
                <w:sz w:val="18"/>
                <w:szCs w:val="18"/>
              </w:rPr>
            </w:pPr>
            <w:r>
              <w:rPr>
                <w:rFonts w:hint="eastAsia" w:ascii="Times New Roman" w:hAnsi="Times New Roman" w:eastAsia="宋体" w:cs="Times New Roman"/>
                <w:b/>
                <w:bCs/>
                <w:color w:val="auto"/>
                <w:kern w:val="0"/>
                <w:sz w:val="18"/>
                <w:szCs w:val="18"/>
              </w:rPr>
              <w:t>5月</w:t>
            </w:r>
          </w:p>
        </w:tc>
        <w:tc>
          <w:tcPr>
            <w:tcW w:w="339" w:type="pct"/>
            <w:vAlign w:val="center"/>
          </w:tcPr>
          <w:p w14:paraId="2DD02ED5">
            <w:pPr>
              <w:jc w:val="center"/>
              <w:rPr>
                <w:rFonts w:ascii="Times New Roman" w:hAnsi="Times New Roman" w:eastAsia="宋体" w:cs="Times New Roman"/>
                <w:b/>
                <w:bCs/>
                <w:color w:val="auto"/>
                <w:kern w:val="0"/>
                <w:sz w:val="18"/>
                <w:szCs w:val="18"/>
              </w:rPr>
            </w:pPr>
            <w:r>
              <w:rPr>
                <w:rFonts w:hint="eastAsia" w:ascii="Times New Roman" w:hAnsi="Times New Roman" w:eastAsia="宋体" w:cs="Times New Roman"/>
                <w:b/>
                <w:bCs/>
                <w:color w:val="auto"/>
                <w:kern w:val="0"/>
                <w:sz w:val="18"/>
                <w:szCs w:val="18"/>
              </w:rPr>
              <w:t>6月</w:t>
            </w:r>
          </w:p>
        </w:tc>
        <w:tc>
          <w:tcPr>
            <w:tcW w:w="409" w:type="pct"/>
            <w:vAlign w:val="center"/>
          </w:tcPr>
          <w:p w14:paraId="26A15F59">
            <w:pPr>
              <w:jc w:val="center"/>
              <w:rPr>
                <w:rFonts w:ascii="Times New Roman" w:hAnsi="Times New Roman" w:eastAsia="宋体" w:cs="Times New Roman"/>
                <w:b/>
                <w:bCs/>
                <w:color w:val="auto"/>
                <w:kern w:val="0"/>
                <w:sz w:val="18"/>
                <w:szCs w:val="18"/>
              </w:rPr>
            </w:pPr>
            <w:r>
              <w:rPr>
                <w:rFonts w:hint="eastAsia" w:ascii="Times New Roman" w:hAnsi="Times New Roman" w:eastAsia="宋体" w:cs="Times New Roman"/>
                <w:b/>
                <w:bCs/>
                <w:color w:val="auto"/>
                <w:kern w:val="0"/>
                <w:sz w:val="18"/>
                <w:szCs w:val="18"/>
              </w:rPr>
              <w:t>7月</w:t>
            </w:r>
          </w:p>
        </w:tc>
        <w:tc>
          <w:tcPr>
            <w:tcW w:w="372" w:type="pct"/>
            <w:vAlign w:val="center"/>
          </w:tcPr>
          <w:p w14:paraId="17D3AC21">
            <w:pPr>
              <w:jc w:val="center"/>
              <w:rPr>
                <w:rFonts w:ascii="Times New Roman" w:hAnsi="Times New Roman" w:eastAsia="宋体" w:cs="Times New Roman"/>
                <w:b/>
                <w:bCs/>
                <w:color w:val="auto"/>
                <w:kern w:val="0"/>
                <w:sz w:val="18"/>
                <w:szCs w:val="18"/>
              </w:rPr>
            </w:pPr>
            <w:r>
              <w:rPr>
                <w:rFonts w:hint="eastAsia" w:ascii="Times New Roman" w:hAnsi="Times New Roman" w:eastAsia="宋体" w:cs="Times New Roman"/>
                <w:b/>
                <w:bCs/>
                <w:color w:val="auto"/>
                <w:kern w:val="0"/>
                <w:sz w:val="18"/>
                <w:szCs w:val="18"/>
              </w:rPr>
              <w:t>8月</w:t>
            </w:r>
          </w:p>
        </w:tc>
        <w:tc>
          <w:tcPr>
            <w:tcW w:w="378" w:type="pct"/>
            <w:vAlign w:val="center"/>
          </w:tcPr>
          <w:p w14:paraId="2E7F3CD0">
            <w:pPr>
              <w:jc w:val="center"/>
              <w:rPr>
                <w:rFonts w:ascii="Times New Roman" w:hAnsi="Times New Roman" w:eastAsia="宋体" w:cs="Times New Roman"/>
                <w:b/>
                <w:bCs/>
                <w:color w:val="auto"/>
                <w:kern w:val="0"/>
                <w:sz w:val="18"/>
                <w:szCs w:val="18"/>
              </w:rPr>
            </w:pPr>
            <w:r>
              <w:rPr>
                <w:rFonts w:hint="eastAsia" w:ascii="Times New Roman" w:hAnsi="Times New Roman" w:eastAsia="宋体" w:cs="Times New Roman"/>
                <w:b/>
                <w:bCs/>
                <w:color w:val="auto"/>
                <w:kern w:val="0"/>
                <w:sz w:val="18"/>
                <w:szCs w:val="18"/>
              </w:rPr>
              <w:t>9月</w:t>
            </w:r>
          </w:p>
        </w:tc>
        <w:tc>
          <w:tcPr>
            <w:tcW w:w="409" w:type="pct"/>
            <w:vAlign w:val="center"/>
          </w:tcPr>
          <w:p w14:paraId="624CD4B2">
            <w:pPr>
              <w:jc w:val="center"/>
              <w:rPr>
                <w:rFonts w:ascii="Times New Roman" w:hAnsi="Times New Roman" w:eastAsia="宋体" w:cs="Times New Roman"/>
                <w:b/>
                <w:bCs/>
                <w:color w:val="auto"/>
                <w:kern w:val="0"/>
                <w:sz w:val="18"/>
                <w:szCs w:val="18"/>
              </w:rPr>
            </w:pPr>
            <w:r>
              <w:rPr>
                <w:rFonts w:hint="eastAsia" w:ascii="Times New Roman" w:hAnsi="Times New Roman" w:eastAsia="宋体" w:cs="Times New Roman"/>
                <w:b/>
                <w:bCs/>
                <w:color w:val="auto"/>
                <w:kern w:val="0"/>
                <w:sz w:val="18"/>
                <w:szCs w:val="18"/>
              </w:rPr>
              <w:t>10月</w:t>
            </w:r>
          </w:p>
        </w:tc>
        <w:tc>
          <w:tcPr>
            <w:tcW w:w="513" w:type="pct"/>
            <w:vAlign w:val="center"/>
          </w:tcPr>
          <w:p w14:paraId="3888A866">
            <w:pPr>
              <w:jc w:val="center"/>
              <w:rPr>
                <w:rFonts w:ascii="Times New Roman" w:hAnsi="Times New Roman" w:eastAsia="宋体" w:cs="Times New Roman"/>
                <w:b/>
                <w:bCs/>
                <w:color w:val="auto"/>
                <w:kern w:val="0"/>
                <w:sz w:val="18"/>
                <w:szCs w:val="18"/>
              </w:rPr>
            </w:pPr>
            <w:r>
              <w:rPr>
                <w:rFonts w:hint="eastAsia" w:ascii="Times New Roman" w:hAnsi="Times New Roman" w:eastAsia="宋体" w:cs="Times New Roman"/>
                <w:b/>
                <w:bCs/>
                <w:color w:val="auto"/>
                <w:kern w:val="0"/>
                <w:sz w:val="18"/>
                <w:szCs w:val="18"/>
              </w:rPr>
              <w:t>11月</w:t>
            </w:r>
          </w:p>
        </w:tc>
        <w:tc>
          <w:tcPr>
            <w:tcW w:w="444" w:type="pct"/>
            <w:vAlign w:val="center"/>
          </w:tcPr>
          <w:p w14:paraId="6DB134EE">
            <w:pPr>
              <w:jc w:val="center"/>
              <w:rPr>
                <w:rFonts w:ascii="Times New Roman" w:hAnsi="Times New Roman" w:eastAsia="宋体" w:cs="Times New Roman"/>
                <w:b/>
                <w:bCs/>
                <w:color w:val="auto"/>
                <w:kern w:val="0"/>
                <w:sz w:val="18"/>
                <w:szCs w:val="18"/>
              </w:rPr>
            </w:pPr>
            <w:r>
              <w:rPr>
                <w:rFonts w:hint="eastAsia" w:ascii="Times New Roman" w:hAnsi="Times New Roman" w:eastAsia="宋体" w:cs="Times New Roman"/>
                <w:b/>
                <w:bCs/>
                <w:color w:val="auto"/>
                <w:kern w:val="0"/>
                <w:sz w:val="18"/>
                <w:szCs w:val="18"/>
              </w:rPr>
              <w:t>12月</w:t>
            </w:r>
          </w:p>
        </w:tc>
      </w:tr>
      <w:tr w14:paraId="46A3B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9" w:type="pct"/>
            <w:vAlign w:val="center"/>
          </w:tcPr>
          <w:p w14:paraId="7550B905">
            <w:pPr>
              <w:jc w:val="center"/>
              <w:rPr>
                <w:rFonts w:ascii="Times New Roman" w:hAnsi="Times New Roman" w:eastAsia="宋体" w:cs="Times New Roman"/>
                <w:color w:val="auto"/>
                <w:kern w:val="0"/>
                <w:sz w:val="18"/>
                <w:szCs w:val="18"/>
              </w:rPr>
            </w:pPr>
            <w:r>
              <w:rPr>
                <w:rFonts w:hint="eastAsia" w:ascii="Times New Roman" w:hAnsi="Times New Roman" w:eastAsia="宋体" w:cs="Times New Roman"/>
                <w:color w:val="auto"/>
                <w:kern w:val="0"/>
                <w:sz w:val="18"/>
                <w:szCs w:val="18"/>
              </w:rPr>
              <w:t>水量</w:t>
            </w:r>
          </w:p>
        </w:tc>
        <w:tc>
          <w:tcPr>
            <w:tcW w:w="345" w:type="pct"/>
            <w:vAlign w:val="center"/>
          </w:tcPr>
          <w:p w14:paraId="34D6F53F">
            <w:pPr>
              <w:jc w:val="center"/>
              <w:rPr>
                <w:rFonts w:ascii="Times New Roman" w:hAnsi="Times New Roman" w:eastAsia="宋体" w:cs="Times New Roman"/>
                <w:color w:val="auto"/>
                <w:kern w:val="0"/>
                <w:sz w:val="18"/>
                <w:szCs w:val="18"/>
              </w:rPr>
            </w:pPr>
            <w:r>
              <w:rPr>
                <w:rFonts w:hint="eastAsia" w:ascii="Times New Roman" w:hAnsi="Times New Roman" w:eastAsia="宋体" w:cs="Times New Roman"/>
                <w:color w:val="auto"/>
                <w:kern w:val="0"/>
                <w:sz w:val="18"/>
                <w:szCs w:val="18"/>
              </w:rPr>
              <w:t>372</w:t>
            </w:r>
          </w:p>
        </w:tc>
        <w:tc>
          <w:tcPr>
            <w:tcW w:w="308" w:type="pct"/>
            <w:vAlign w:val="center"/>
          </w:tcPr>
          <w:p w14:paraId="358B3240">
            <w:pPr>
              <w:jc w:val="center"/>
              <w:rPr>
                <w:rFonts w:ascii="Times New Roman" w:hAnsi="Times New Roman" w:eastAsia="宋体" w:cs="Times New Roman"/>
                <w:color w:val="auto"/>
                <w:kern w:val="0"/>
                <w:sz w:val="18"/>
                <w:szCs w:val="18"/>
              </w:rPr>
            </w:pPr>
            <w:r>
              <w:rPr>
                <w:rFonts w:hint="eastAsia" w:ascii="Times New Roman" w:hAnsi="Times New Roman" w:eastAsia="宋体" w:cs="Times New Roman"/>
                <w:color w:val="auto"/>
                <w:kern w:val="0"/>
                <w:sz w:val="18"/>
                <w:szCs w:val="18"/>
              </w:rPr>
              <w:t>406</w:t>
            </w:r>
          </w:p>
        </w:tc>
        <w:tc>
          <w:tcPr>
            <w:tcW w:w="346" w:type="pct"/>
            <w:vAlign w:val="center"/>
          </w:tcPr>
          <w:p w14:paraId="38139C37">
            <w:pPr>
              <w:jc w:val="center"/>
              <w:rPr>
                <w:rFonts w:ascii="Times New Roman" w:hAnsi="Times New Roman" w:eastAsia="宋体" w:cs="Times New Roman"/>
                <w:color w:val="auto"/>
                <w:kern w:val="0"/>
                <w:sz w:val="18"/>
                <w:szCs w:val="18"/>
              </w:rPr>
            </w:pPr>
            <w:r>
              <w:rPr>
                <w:rFonts w:hint="eastAsia" w:ascii="Times New Roman" w:hAnsi="Times New Roman" w:eastAsia="宋体" w:cs="Times New Roman"/>
                <w:color w:val="auto"/>
                <w:kern w:val="0"/>
                <w:sz w:val="18"/>
                <w:szCs w:val="18"/>
              </w:rPr>
              <w:t>5552</w:t>
            </w:r>
          </w:p>
        </w:tc>
        <w:tc>
          <w:tcPr>
            <w:tcW w:w="395" w:type="pct"/>
            <w:vAlign w:val="center"/>
          </w:tcPr>
          <w:p w14:paraId="635CB116">
            <w:pPr>
              <w:jc w:val="center"/>
              <w:rPr>
                <w:rFonts w:ascii="Times New Roman" w:hAnsi="Times New Roman" w:eastAsia="宋体" w:cs="Times New Roman"/>
                <w:color w:val="auto"/>
                <w:kern w:val="0"/>
                <w:sz w:val="18"/>
                <w:szCs w:val="18"/>
              </w:rPr>
            </w:pPr>
            <w:r>
              <w:rPr>
                <w:rFonts w:hint="eastAsia" w:ascii="Times New Roman" w:hAnsi="Times New Roman" w:eastAsia="宋体" w:cs="Times New Roman"/>
                <w:color w:val="auto"/>
                <w:kern w:val="0"/>
                <w:sz w:val="18"/>
                <w:szCs w:val="18"/>
              </w:rPr>
              <w:t>11684</w:t>
            </w:r>
          </w:p>
        </w:tc>
        <w:tc>
          <w:tcPr>
            <w:tcW w:w="395" w:type="pct"/>
            <w:vAlign w:val="center"/>
          </w:tcPr>
          <w:p w14:paraId="7602814A">
            <w:pPr>
              <w:jc w:val="center"/>
              <w:rPr>
                <w:rFonts w:ascii="Times New Roman" w:hAnsi="Times New Roman" w:eastAsia="宋体" w:cs="Times New Roman"/>
                <w:color w:val="auto"/>
                <w:kern w:val="0"/>
                <w:sz w:val="18"/>
                <w:szCs w:val="18"/>
              </w:rPr>
            </w:pPr>
            <w:r>
              <w:rPr>
                <w:rFonts w:hint="eastAsia" w:ascii="Times New Roman" w:hAnsi="Times New Roman" w:eastAsia="宋体" w:cs="Times New Roman"/>
                <w:color w:val="auto"/>
                <w:kern w:val="0"/>
                <w:sz w:val="18"/>
                <w:szCs w:val="18"/>
              </w:rPr>
              <w:t>11003</w:t>
            </w:r>
          </w:p>
        </w:tc>
        <w:tc>
          <w:tcPr>
            <w:tcW w:w="339" w:type="pct"/>
            <w:vAlign w:val="center"/>
          </w:tcPr>
          <w:p w14:paraId="5926EE17">
            <w:pPr>
              <w:jc w:val="center"/>
              <w:rPr>
                <w:rFonts w:ascii="Times New Roman" w:hAnsi="Times New Roman" w:eastAsia="宋体" w:cs="Times New Roman"/>
                <w:color w:val="auto"/>
                <w:kern w:val="0"/>
                <w:sz w:val="18"/>
                <w:szCs w:val="18"/>
              </w:rPr>
            </w:pPr>
            <w:r>
              <w:rPr>
                <w:rFonts w:hint="eastAsia" w:ascii="Times New Roman" w:hAnsi="Times New Roman" w:eastAsia="宋体" w:cs="Times New Roman"/>
                <w:color w:val="auto"/>
                <w:kern w:val="0"/>
                <w:sz w:val="18"/>
                <w:szCs w:val="18"/>
              </w:rPr>
              <w:t>8839</w:t>
            </w:r>
          </w:p>
        </w:tc>
        <w:tc>
          <w:tcPr>
            <w:tcW w:w="409" w:type="pct"/>
            <w:vAlign w:val="center"/>
          </w:tcPr>
          <w:p w14:paraId="4588CC16">
            <w:pPr>
              <w:jc w:val="center"/>
              <w:rPr>
                <w:rFonts w:ascii="Times New Roman" w:hAnsi="Times New Roman" w:eastAsia="宋体" w:cs="Times New Roman"/>
                <w:color w:val="auto"/>
                <w:kern w:val="0"/>
                <w:sz w:val="18"/>
                <w:szCs w:val="18"/>
              </w:rPr>
            </w:pPr>
            <w:r>
              <w:rPr>
                <w:rFonts w:hint="eastAsia" w:ascii="Times New Roman" w:hAnsi="Times New Roman" w:eastAsia="宋体" w:cs="Times New Roman"/>
                <w:color w:val="auto"/>
                <w:kern w:val="0"/>
                <w:sz w:val="18"/>
                <w:szCs w:val="18"/>
              </w:rPr>
              <w:t>13089</w:t>
            </w:r>
          </w:p>
        </w:tc>
        <w:tc>
          <w:tcPr>
            <w:tcW w:w="372" w:type="pct"/>
            <w:vAlign w:val="center"/>
          </w:tcPr>
          <w:p w14:paraId="2C0A38C4">
            <w:pPr>
              <w:jc w:val="center"/>
              <w:rPr>
                <w:rFonts w:ascii="Times New Roman" w:hAnsi="Times New Roman" w:eastAsia="宋体" w:cs="Times New Roman"/>
                <w:color w:val="auto"/>
                <w:kern w:val="0"/>
                <w:sz w:val="18"/>
                <w:szCs w:val="18"/>
              </w:rPr>
            </w:pPr>
            <w:r>
              <w:rPr>
                <w:rFonts w:hint="eastAsia" w:ascii="Times New Roman" w:hAnsi="Times New Roman" w:eastAsia="宋体" w:cs="Times New Roman"/>
                <w:color w:val="auto"/>
                <w:kern w:val="0"/>
                <w:sz w:val="18"/>
                <w:szCs w:val="18"/>
              </w:rPr>
              <w:t>13730</w:t>
            </w:r>
          </w:p>
        </w:tc>
        <w:tc>
          <w:tcPr>
            <w:tcW w:w="378" w:type="pct"/>
            <w:vAlign w:val="center"/>
          </w:tcPr>
          <w:p w14:paraId="1F3089B4">
            <w:pPr>
              <w:jc w:val="center"/>
              <w:rPr>
                <w:rFonts w:ascii="Times New Roman" w:hAnsi="Times New Roman" w:eastAsia="宋体" w:cs="Times New Roman"/>
                <w:color w:val="auto"/>
                <w:kern w:val="0"/>
                <w:sz w:val="18"/>
                <w:szCs w:val="18"/>
              </w:rPr>
            </w:pPr>
            <w:r>
              <w:rPr>
                <w:rFonts w:hint="eastAsia" w:ascii="Times New Roman" w:hAnsi="Times New Roman" w:eastAsia="宋体" w:cs="Times New Roman"/>
                <w:color w:val="auto"/>
                <w:kern w:val="0"/>
                <w:sz w:val="18"/>
                <w:szCs w:val="18"/>
              </w:rPr>
              <w:t>12612</w:t>
            </w:r>
          </w:p>
        </w:tc>
        <w:tc>
          <w:tcPr>
            <w:tcW w:w="409" w:type="pct"/>
            <w:vAlign w:val="center"/>
          </w:tcPr>
          <w:p w14:paraId="241F7158">
            <w:pPr>
              <w:jc w:val="center"/>
              <w:rPr>
                <w:rFonts w:ascii="Times New Roman" w:hAnsi="Times New Roman" w:eastAsia="宋体" w:cs="Times New Roman"/>
                <w:color w:val="auto"/>
                <w:kern w:val="0"/>
                <w:sz w:val="18"/>
                <w:szCs w:val="18"/>
              </w:rPr>
            </w:pPr>
            <w:r>
              <w:rPr>
                <w:rFonts w:hint="eastAsia" w:ascii="Times New Roman" w:hAnsi="Times New Roman" w:eastAsia="宋体" w:cs="Times New Roman"/>
                <w:color w:val="auto"/>
                <w:kern w:val="0"/>
                <w:sz w:val="18"/>
                <w:szCs w:val="18"/>
              </w:rPr>
              <w:t>13097</w:t>
            </w:r>
          </w:p>
        </w:tc>
        <w:tc>
          <w:tcPr>
            <w:tcW w:w="513" w:type="pct"/>
            <w:vAlign w:val="center"/>
          </w:tcPr>
          <w:p w14:paraId="654C0439">
            <w:pPr>
              <w:jc w:val="center"/>
              <w:rPr>
                <w:rFonts w:ascii="Times New Roman" w:hAnsi="Times New Roman" w:eastAsia="宋体" w:cs="Times New Roman"/>
                <w:color w:val="auto"/>
                <w:kern w:val="0"/>
                <w:sz w:val="18"/>
                <w:szCs w:val="18"/>
              </w:rPr>
            </w:pPr>
            <w:r>
              <w:rPr>
                <w:rFonts w:hint="eastAsia" w:ascii="Times New Roman" w:hAnsi="Times New Roman" w:eastAsia="宋体" w:cs="Times New Roman"/>
                <w:color w:val="auto"/>
                <w:kern w:val="0"/>
                <w:sz w:val="18"/>
                <w:szCs w:val="18"/>
              </w:rPr>
              <w:t>9034</w:t>
            </w:r>
          </w:p>
        </w:tc>
        <w:tc>
          <w:tcPr>
            <w:tcW w:w="444" w:type="pct"/>
            <w:vAlign w:val="center"/>
          </w:tcPr>
          <w:p w14:paraId="304AF4F2">
            <w:pPr>
              <w:jc w:val="center"/>
              <w:rPr>
                <w:rFonts w:ascii="Times New Roman" w:hAnsi="Times New Roman" w:eastAsia="宋体" w:cs="Times New Roman"/>
                <w:color w:val="auto"/>
                <w:kern w:val="0"/>
                <w:sz w:val="18"/>
                <w:szCs w:val="18"/>
              </w:rPr>
            </w:pPr>
            <w:r>
              <w:rPr>
                <w:rFonts w:hint="eastAsia" w:ascii="Times New Roman" w:hAnsi="Times New Roman" w:eastAsia="宋体" w:cs="Times New Roman"/>
                <w:color w:val="auto"/>
                <w:kern w:val="0"/>
                <w:sz w:val="18"/>
                <w:szCs w:val="18"/>
              </w:rPr>
              <w:t>7939</w:t>
            </w:r>
          </w:p>
        </w:tc>
      </w:tr>
    </w:tbl>
    <w:p w14:paraId="112AB35C">
      <w:pPr>
        <w:pStyle w:val="6"/>
        <w:bidi w:val="0"/>
      </w:pPr>
      <w:r>
        <w:rPr>
          <w:rFonts w:hint="eastAsia"/>
        </w:rPr>
        <w:t>表7.2.2-</w:t>
      </w:r>
      <w:r>
        <w:rPr>
          <w:rFonts w:hint="eastAsia"/>
          <w:lang w:val="en-US" w:eastAsia="zh-CN"/>
        </w:rPr>
        <w:t>2</w:t>
      </w:r>
      <w:r>
        <w:rPr>
          <w:rFonts w:hint="eastAsia"/>
        </w:rPr>
        <w:t xml:space="preserve"> 津市高新区污水处理厂2022年1-12月实际处理水量  单位：</w:t>
      </w:r>
      <w:r>
        <w:rPr>
          <w:rFonts w:hint="eastAsia"/>
          <w:lang w:eastAsia="zh-CN"/>
        </w:rPr>
        <w:t>m3</w:t>
      </w:r>
      <w:r>
        <w:rPr>
          <w:rFonts w:hint="eastAsia"/>
        </w:rPr>
        <w:t>/d</w:t>
      </w:r>
    </w:p>
    <w:tbl>
      <w:tblPr>
        <w:tblStyle w:val="41"/>
        <w:tblW w:w="525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7"/>
        <w:gridCol w:w="628"/>
        <w:gridCol w:w="689"/>
        <w:gridCol w:w="720"/>
        <w:gridCol w:w="751"/>
        <w:gridCol w:w="735"/>
        <w:gridCol w:w="690"/>
        <w:gridCol w:w="629"/>
        <w:gridCol w:w="735"/>
        <w:gridCol w:w="677"/>
        <w:gridCol w:w="614"/>
        <w:gridCol w:w="841"/>
        <w:gridCol w:w="660"/>
      </w:tblGrid>
      <w:tr w14:paraId="5877B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3" w:type="pct"/>
            <w:vAlign w:val="center"/>
          </w:tcPr>
          <w:p w14:paraId="2E2F932F">
            <w:pPr>
              <w:jc w:val="center"/>
              <w:rPr>
                <w:rFonts w:ascii="Times New Roman" w:hAnsi="Times New Roman" w:eastAsia="宋体" w:cs="Times New Roman"/>
                <w:b/>
                <w:bCs/>
                <w:color w:val="auto"/>
                <w:kern w:val="0"/>
                <w:sz w:val="18"/>
                <w:szCs w:val="18"/>
              </w:rPr>
            </w:pPr>
            <w:r>
              <w:rPr>
                <w:rFonts w:hint="eastAsia" w:ascii="Times New Roman" w:hAnsi="Times New Roman" w:eastAsia="宋体" w:cs="Times New Roman"/>
                <w:b/>
                <w:bCs/>
                <w:color w:val="auto"/>
                <w:kern w:val="0"/>
                <w:sz w:val="18"/>
                <w:szCs w:val="18"/>
              </w:rPr>
              <w:t>月份</w:t>
            </w:r>
          </w:p>
        </w:tc>
        <w:tc>
          <w:tcPr>
            <w:tcW w:w="351" w:type="pct"/>
            <w:vAlign w:val="center"/>
          </w:tcPr>
          <w:p w14:paraId="722E45D7">
            <w:pPr>
              <w:jc w:val="center"/>
              <w:rPr>
                <w:rFonts w:ascii="Times New Roman" w:hAnsi="Times New Roman" w:eastAsia="宋体" w:cs="Times New Roman"/>
                <w:b/>
                <w:bCs/>
                <w:color w:val="auto"/>
                <w:kern w:val="0"/>
                <w:sz w:val="18"/>
                <w:szCs w:val="18"/>
              </w:rPr>
            </w:pPr>
            <w:r>
              <w:rPr>
                <w:rFonts w:hint="eastAsia" w:ascii="Times New Roman" w:hAnsi="Times New Roman" w:eastAsia="宋体" w:cs="Times New Roman"/>
                <w:b/>
                <w:bCs/>
                <w:color w:val="auto"/>
                <w:kern w:val="0"/>
                <w:sz w:val="18"/>
                <w:szCs w:val="18"/>
              </w:rPr>
              <w:t>1月</w:t>
            </w:r>
          </w:p>
        </w:tc>
        <w:tc>
          <w:tcPr>
            <w:tcW w:w="385" w:type="pct"/>
            <w:vAlign w:val="center"/>
          </w:tcPr>
          <w:p w14:paraId="743A4C27">
            <w:pPr>
              <w:jc w:val="center"/>
              <w:rPr>
                <w:rFonts w:ascii="Times New Roman" w:hAnsi="Times New Roman" w:eastAsia="宋体" w:cs="Times New Roman"/>
                <w:b/>
                <w:bCs/>
                <w:color w:val="auto"/>
                <w:kern w:val="0"/>
                <w:sz w:val="18"/>
                <w:szCs w:val="18"/>
              </w:rPr>
            </w:pPr>
            <w:r>
              <w:rPr>
                <w:rFonts w:hint="eastAsia" w:ascii="Times New Roman" w:hAnsi="Times New Roman" w:eastAsia="宋体" w:cs="Times New Roman"/>
                <w:b/>
                <w:bCs/>
                <w:color w:val="auto"/>
                <w:kern w:val="0"/>
                <w:sz w:val="18"/>
                <w:szCs w:val="18"/>
              </w:rPr>
              <w:t>2月</w:t>
            </w:r>
          </w:p>
        </w:tc>
        <w:tc>
          <w:tcPr>
            <w:tcW w:w="402" w:type="pct"/>
            <w:vAlign w:val="center"/>
          </w:tcPr>
          <w:p w14:paraId="7B886887">
            <w:pPr>
              <w:jc w:val="center"/>
              <w:rPr>
                <w:rFonts w:ascii="Times New Roman" w:hAnsi="Times New Roman" w:eastAsia="宋体" w:cs="Times New Roman"/>
                <w:b/>
                <w:bCs/>
                <w:color w:val="auto"/>
                <w:kern w:val="0"/>
                <w:sz w:val="18"/>
                <w:szCs w:val="18"/>
              </w:rPr>
            </w:pPr>
            <w:r>
              <w:rPr>
                <w:rFonts w:hint="eastAsia" w:ascii="Times New Roman" w:hAnsi="Times New Roman" w:eastAsia="宋体" w:cs="Times New Roman"/>
                <w:b/>
                <w:bCs/>
                <w:color w:val="auto"/>
                <w:kern w:val="0"/>
                <w:sz w:val="18"/>
                <w:szCs w:val="18"/>
              </w:rPr>
              <w:t>3月</w:t>
            </w:r>
          </w:p>
        </w:tc>
        <w:tc>
          <w:tcPr>
            <w:tcW w:w="419" w:type="pct"/>
            <w:vAlign w:val="center"/>
          </w:tcPr>
          <w:p w14:paraId="3B1F06B1">
            <w:pPr>
              <w:jc w:val="center"/>
              <w:rPr>
                <w:rFonts w:ascii="Times New Roman" w:hAnsi="Times New Roman" w:eastAsia="宋体" w:cs="Times New Roman"/>
                <w:b/>
                <w:bCs/>
                <w:color w:val="auto"/>
                <w:kern w:val="0"/>
                <w:sz w:val="18"/>
                <w:szCs w:val="18"/>
              </w:rPr>
            </w:pPr>
            <w:r>
              <w:rPr>
                <w:rFonts w:hint="eastAsia" w:ascii="Times New Roman" w:hAnsi="Times New Roman" w:eastAsia="宋体" w:cs="Times New Roman"/>
                <w:b/>
                <w:bCs/>
                <w:color w:val="auto"/>
                <w:kern w:val="0"/>
                <w:sz w:val="18"/>
                <w:szCs w:val="18"/>
              </w:rPr>
              <w:t>4月</w:t>
            </w:r>
          </w:p>
        </w:tc>
        <w:tc>
          <w:tcPr>
            <w:tcW w:w="410" w:type="pct"/>
            <w:vAlign w:val="center"/>
          </w:tcPr>
          <w:p w14:paraId="305093B0">
            <w:pPr>
              <w:jc w:val="center"/>
              <w:rPr>
                <w:rFonts w:ascii="Times New Roman" w:hAnsi="Times New Roman" w:eastAsia="宋体" w:cs="Times New Roman"/>
                <w:b/>
                <w:bCs/>
                <w:color w:val="auto"/>
                <w:kern w:val="0"/>
                <w:sz w:val="18"/>
                <w:szCs w:val="18"/>
              </w:rPr>
            </w:pPr>
            <w:r>
              <w:rPr>
                <w:rFonts w:hint="eastAsia" w:ascii="Times New Roman" w:hAnsi="Times New Roman" w:eastAsia="宋体" w:cs="Times New Roman"/>
                <w:b/>
                <w:bCs/>
                <w:color w:val="auto"/>
                <w:kern w:val="0"/>
                <w:sz w:val="18"/>
                <w:szCs w:val="18"/>
              </w:rPr>
              <w:t>5月</w:t>
            </w:r>
          </w:p>
        </w:tc>
        <w:tc>
          <w:tcPr>
            <w:tcW w:w="385" w:type="pct"/>
            <w:vAlign w:val="center"/>
          </w:tcPr>
          <w:p w14:paraId="1E3E832F">
            <w:pPr>
              <w:jc w:val="center"/>
              <w:rPr>
                <w:rFonts w:ascii="Times New Roman" w:hAnsi="Times New Roman" w:eastAsia="宋体" w:cs="Times New Roman"/>
                <w:b/>
                <w:bCs/>
                <w:color w:val="auto"/>
                <w:kern w:val="0"/>
                <w:sz w:val="18"/>
                <w:szCs w:val="18"/>
              </w:rPr>
            </w:pPr>
            <w:r>
              <w:rPr>
                <w:rFonts w:hint="eastAsia" w:ascii="Times New Roman" w:hAnsi="Times New Roman" w:eastAsia="宋体" w:cs="Times New Roman"/>
                <w:b/>
                <w:bCs/>
                <w:color w:val="auto"/>
                <w:kern w:val="0"/>
                <w:sz w:val="18"/>
                <w:szCs w:val="18"/>
              </w:rPr>
              <w:t>6月</w:t>
            </w:r>
          </w:p>
        </w:tc>
        <w:tc>
          <w:tcPr>
            <w:tcW w:w="351" w:type="pct"/>
            <w:vAlign w:val="center"/>
          </w:tcPr>
          <w:p w14:paraId="5F3B570C">
            <w:pPr>
              <w:jc w:val="center"/>
              <w:rPr>
                <w:rFonts w:ascii="Times New Roman" w:hAnsi="Times New Roman" w:eastAsia="宋体" w:cs="Times New Roman"/>
                <w:b/>
                <w:bCs/>
                <w:color w:val="auto"/>
                <w:kern w:val="0"/>
                <w:sz w:val="18"/>
                <w:szCs w:val="18"/>
              </w:rPr>
            </w:pPr>
            <w:r>
              <w:rPr>
                <w:rFonts w:hint="eastAsia" w:ascii="Times New Roman" w:hAnsi="Times New Roman" w:eastAsia="宋体" w:cs="Times New Roman"/>
                <w:b/>
                <w:bCs/>
                <w:color w:val="auto"/>
                <w:kern w:val="0"/>
                <w:sz w:val="18"/>
                <w:szCs w:val="18"/>
              </w:rPr>
              <w:t>7月</w:t>
            </w:r>
          </w:p>
        </w:tc>
        <w:tc>
          <w:tcPr>
            <w:tcW w:w="410" w:type="pct"/>
            <w:vAlign w:val="center"/>
          </w:tcPr>
          <w:p w14:paraId="02875150">
            <w:pPr>
              <w:jc w:val="center"/>
              <w:rPr>
                <w:rFonts w:ascii="Times New Roman" w:hAnsi="Times New Roman" w:eastAsia="宋体" w:cs="Times New Roman"/>
                <w:b/>
                <w:bCs/>
                <w:color w:val="auto"/>
                <w:kern w:val="0"/>
                <w:sz w:val="18"/>
                <w:szCs w:val="18"/>
              </w:rPr>
            </w:pPr>
            <w:r>
              <w:rPr>
                <w:rFonts w:hint="eastAsia" w:ascii="Times New Roman" w:hAnsi="Times New Roman" w:eastAsia="宋体" w:cs="Times New Roman"/>
                <w:b/>
                <w:bCs/>
                <w:color w:val="auto"/>
                <w:kern w:val="0"/>
                <w:sz w:val="18"/>
                <w:szCs w:val="18"/>
              </w:rPr>
              <w:t>8月</w:t>
            </w:r>
          </w:p>
        </w:tc>
        <w:tc>
          <w:tcPr>
            <w:tcW w:w="377" w:type="pct"/>
            <w:vAlign w:val="center"/>
          </w:tcPr>
          <w:p w14:paraId="1C471766">
            <w:pPr>
              <w:jc w:val="center"/>
              <w:rPr>
                <w:rFonts w:ascii="Times New Roman" w:hAnsi="Times New Roman" w:eastAsia="宋体" w:cs="Times New Roman"/>
                <w:b/>
                <w:bCs/>
                <w:color w:val="auto"/>
                <w:kern w:val="0"/>
                <w:sz w:val="18"/>
                <w:szCs w:val="18"/>
              </w:rPr>
            </w:pPr>
            <w:r>
              <w:rPr>
                <w:rFonts w:hint="eastAsia" w:ascii="Times New Roman" w:hAnsi="Times New Roman" w:eastAsia="宋体" w:cs="Times New Roman"/>
                <w:b/>
                <w:bCs/>
                <w:color w:val="auto"/>
                <w:kern w:val="0"/>
                <w:sz w:val="18"/>
                <w:szCs w:val="18"/>
              </w:rPr>
              <w:t>9月</w:t>
            </w:r>
          </w:p>
        </w:tc>
        <w:tc>
          <w:tcPr>
            <w:tcW w:w="343" w:type="pct"/>
            <w:vAlign w:val="center"/>
          </w:tcPr>
          <w:p w14:paraId="6E595369">
            <w:pPr>
              <w:jc w:val="center"/>
              <w:rPr>
                <w:rFonts w:ascii="Times New Roman" w:hAnsi="Times New Roman" w:eastAsia="宋体" w:cs="Times New Roman"/>
                <w:b/>
                <w:bCs/>
                <w:color w:val="auto"/>
                <w:kern w:val="0"/>
                <w:sz w:val="18"/>
                <w:szCs w:val="18"/>
              </w:rPr>
            </w:pPr>
            <w:r>
              <w:rPr>
                <w:rFonts w:hint="eastAsia" w:ascii="Times New Roman" w:hAnsi="Times New Roman" w:eastAsia="宋体" w:cs="Times New Roman"/>
                <w:b/>
                <w:bCs/>
                <w:color w:val="auto"/>
                <w:kern w:val="0"/>
                <w:sz w:val="18"/>
                <w:szCs w:val="18"/>
              </w:rPr>
              <w:t>10月</w:t>
            </w:r>
          </w:p>
        </w:tc>
        <w:tc>
          <w:tcPr>
            <w:tcW w:w="469" w:type="pct"/>
            <w:vAlign w:val="center"/>
          </w:tcPr>
          <w:p w14:paraId="73E1CC31">
            <w:pPr>
              <w:jc w:val="center"/>
              <w:rPr>
                <w:rFonts w:ascii="Times New Roman" w:hAnsi="Times New Roman" w:eastAsia="宋体" w:cs="Times New Roman"/>
                <w:b/>
                <w:bCs/>
                <w:color w:val="auto"/>
                <w:kern w:val="0"/>
                <w:sz w:val="18"/>
                <w:szCs w:val="18"/>
              </w:rPr>
            </w:pPr>
            <w:r>
              <w:rPr>
                <w:rFonts w:hint="eastAsia" w:ascii="Times New Roman" w:hAnsi="Times New Roman" w:eastAsia="宋体" w:cs="Times New Roman"/>
                <w:b/>
                <w:bCs/>
                <w:color w:val="auto"/>
                <w:kern w:val="0"/>
                <w:sz w:val="18"/>
                <w:szCs w:val="18"/>
              </w:rPr>
              <w:t>11月</w:t>
            </w:r>
          </w:p>
        </w:tc>
        <w:tc>
          <w:tcPr>
            <w:tcW w:w="368" w:type="pct"/>
            <w:vAlign w:val="center"/>
          </w:tcPr>
          <w:p w14:paraId="3863671E">
            <w:pPr>
              <w:jc w:val="center"/>
              <w:rPr>
                <w:rFonts w:ascii="Times New Roman" w:hAnsi="Times New Roman" w:eastAsia="宋体" w:cs="Times New Roman"/>
                <w:b/>
                <w:bCs/>
                <w:color w:val="auto"/>
                <w:kern w:val="0"/>
                <w:sz w:val="18"/>
                <w:szCs w:val="18"/>
              </w:rPr>
            </w:pPr>
            <w:r>
              <w:rPr>
                <w:rFonts w:hint="eastAsia" w:ascii="Times New Roman" w:hAnsi="Times New Roman" w:eastAsia="宋体" w:cs="Times New Roman"/>
                <w:b/>
                <w:bCs/>
                <w:color w:val="auto"/>
                <w:kern w:val="0"/>
                <w:sz w:val="18"/>
                <w:szCs w:val="18"/>
              </w:rPr>
              <w:t>12月</w:t>
            </w:r>
          </w:p>
        </w:tc>
      </w:tr>
      <w:tr w14:paraId="2E235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3" w:type="pct"/>
            <w:vAlign w:val="center"/>
          </w:tcPr>
          <w:p w14:paraId="03021957">
            <w:pPr>
              <w:jc w:val="center"/>
              <w:rPr>
                <w:rFonts w:ascii="Times New Roman" w:hAnsi="Times New Roman" w:eastAsia="宋体" w:cs="Times New Roman"/>
                <w:color w:val="auto"/>
                <w:kern w:val="0"/>
                <w:sz w:val="18"/>
                <w:szCs w:val="18"/>
              </w:rPr>
            </w:pPr>
            <w:r>
              <w:rPr>
                <w:rFonts w:hint="eastAsia" w:ascii="Times New Roman" w:hAnsi="Times New Roman" w:eastAsia="宋体" w:cs="Times New Roman"/>
                <w:color w:val="auto"/>
                <w:kern w:val="0"/>
                <w:sz w:val="18"/>
                <w:szCs w:val="18"/>
              </w:rPr>
              <w:t>水量</w:t>
            </w:r>
          </w:p>
        </w:tc>
        <w:tc>
          <w:tcPr>
            <w:tcW w:w="351" w:type="pct"/>
            <w:vAlign w:val="center"/>
          </w:tcPr>
          <w:p w14:paraId="0292CEA3">
            <w:pPr>
              <w:jc w:val="center"/>
              <w:rPr>
                <w:rFonts w:ascii="Times New Roman" w:hAnsi="Times New Roman" w:eastAsia="宋体" w:cs="Times New Roman"/>
                <w:color w:val="auto"/>
                <w:kern w:val="0"/>
                <w:sz w:val="18"/>
                <w:szCs w:val="18"/>
              </w:rPr>
            </w:pPr>
            <w:r>
              <w:rPr>
                <w:rFonts w:hint="eastAsia" w:ascii="Times New Roman" w:hAnsi="Times New Roman" w:eastAsia="宋体" w:cs="Times New Roman"/>
                <w:color w:val="auto"/>
                <w:kern w:val="0"/>
                <w:sz w:val="18"/>
                <w:szCs w:val="18"/>
              </w:rPr>
              <w:t>8569</w:t>
            </w:r>
          </w:p>
        </w:tc>
        <w:tc>
          <w:tcPr>
            <w:tcW w:w="385" w:type="pct"/>
            <w:vAlign w:val="center"/>
          </w:tcPr>
          <w:p w14:paraId="550E0740">
            <w:pPr>
              <w:jc w:val="center"/>
              <w:rPr>
                <w:rFonts w:ascii="Times New Roman" w:hAnsi="Times New Roman" w:eastAsia="宋体" w:cs="Times New Roman"/>
                <w:color w:val="auto"/>
                <w:kern w:val="0"/>
                <w:sz w:val="18"/>
                <w:szCs w:val="18"/>
              </w:rPr>
            </w:pPr>
            <w:r>
              <w:rPr>
                <w:rFonts w:hint="eastAsia" w:ascii="Times New Roman" w:hAnsi="Times New Roman" w:eastAsia="宋体" w:cs="Times New Roman"/>
                <w:color w:val="auto"/>
                <w:kern w:val="0"/>
                <w:sz w:val="18"/>
                <w:szCs w:val="18"/>
              </w:rPr>
              <w:t>12082</w:t>
            </w:r>
          </w:p>
        </w:tc>
        <w:tc>
          <w:tcPr>
            <w:tcW w:w="402" w:type="pct"/>
            <w:vAlign w:val="center"/>
          </w:tcPr>
          <w:p w14:paraId="16391065">
            <w:pPr>
              <w:jc w:val="center"/>
              <w:rPr>
                <w:rFonts w:ascii="Times New Roman" w:hAnsi="Times New Roman" w:eastAsia="宋体" w:cs="Times New Roman"/>
                <w:color w:val="auto"/>
                <w:kern w:val="0"/>
                <w:sz w:val="18"/>
                <w:szCs w:val="18"/>
              </w:rPr>
            </w:pPr>
            <w:r>
              <w:rPr>
                <w:rFonts w:hint="eastAsia" w:ascii="Times New Roman" w:hAnsi="Times New Roman" w:eastAsia="宋体" w:cs="Times New Roman"/>
                <w:color w:val="auto"/>
                <w:kern w:val="0"/>
                <w:sz w:val="18"/>
                <w:szCs w:val="18"/>
              </w:rPr>
              <w:t>12899</w:t>
            </w:r>
          </w:p>
        </w:tc>
        <w:tc>
          <w:tcPr>
            <w:tcW w:w="419" w:type="pct"/>
            <w:vAlign w:val="center"/>
          </w:tcPr>
          <w:p w14:paraId="26369EFA">
            <w:pPr>
              <w:jc w:val="center"/>
              <w:rPr>
                <w:rFonts w:ascii="Times New Roman" w:hAnsi="Times New Roman" w:eastAsia="宋体" w:cs="Times New Roman"/>
                <w:color w:val="auto"/>
                <w:kern w:val="0"/>
                <w:sz w:val="18"/>
                <w:szCs w:val="18"/>
              </w:rPr>
            </w:pPr>
            <w:r>
              <w:rPr>
                <w:rFonts w:hint="eastAsia" w:ascii="Times New Roman" w:hAnsi="Times New Roman" w:eastAsia="宋体" w:cs="Times New Roman"/>
                <w:color w:val="auto"/>
                <w:kern w:val="0"/>
                <w:sz w:val="18"/>
                <w:szCs w:val="18"/>
              </w:rPr>
              <w:t>13862</w:t>
            </w:r>
          </w:p>
        </w:tc>
        <w:tc>
          <w:tcPr>
            <w:tcW w:w="410" w:type="pct"/>
            <w:vAlign w:val="center"/>
          </w:tcPr>
          <w:p w14:paraId="187D9DB6">
            <w:pPr>
              <w:jc w:val="center"/>
              <w:rPr>
                <w:rFonts w:ascii="Times New Roman" w:hAnsi="Times New Roman" w:eastAsia="宋体" w:cs="Times New Roman"/>
                <w:color w:val="auto"/>
                <w:kern w:val="0"/>
                <w:sz w:val="18"/>
                <w:szCs w:val="18"/>
              </w:rPr>
            </w:pPr>
            <w:r>
              <w:rPr>
                <w:rFonts w:hint="eastAsia" w:ascii="Times New Roman" w:hAnsi="Times New Roman" w:eastAsia="宋体" w:cs="Times New Roman"/>
                <w:color w:val="auto"/>
                <w:kern w:val="0"/>
                <w:sz w:val="18"/>
                <w:szCs w:val="18"/>
              </w:rPr>
              <w:t>10756</w:t>
            </w:r>
          </w:p>
        </w:tc>
        <w:tc>
          <w:tcPr>
            <w:tcW w:w="385" w:type="pct"/>
            <w:vAlign w:val="center"/>
          </w:tcPr>
          <w:p w14:paraId="26180E22">
            <w:pPr>
              <w:jc w:val="center"/>
              <w:rPr>
                <w:rFonts w:ascii="Times New Roman" w:hAnsi="Times New Roman" w:eastAsia="宋体" w:cs="Times New Roman"/>
                <w:color w:val="auto"/>
                <w:kern w:val="0"/>
                <w:sz w:val="18"/>
                <w:szCs w:val="18"/>
              </w:rPr>
            </w:pPr>
            <w:r>
              <w:rPr>
                <w:rFonts w:hint="eastAsia" w:ascii="Times New Roman" w:hAnsi="Times New Roman" w:eastAsia="宋体" w:cs="Times New Roman"/>
                <w:color w:val="auto"/>
                <w:kern w:val="0"/>
                <w:sz w:val="18"/>
                <w:szCs w:val="18"/>
              </w:rPr>
              <w:t>11719</w:t>
            </w:r>
          </w:p>
        </w:tc>
        <w:tc>
          <w:tcPr>
            <w:tcW w:w="351" w:type="pct"/>
            <w:vAlign w:val="center"/>
          </w:tcPr>
          <w:p w14:paraId="03E2FEFA">
            <w:pPr>
              <w:jc w:val="center"/>
              <w:rPr>
                <w:rFonts w:ascii="Times New Roman" w:hAnsi="Times New Roman" w:eastAsia="宋体" w:cs="Times New Roman"/>
                <w:color w:val="auto"/>
                <w:kern w:val="0"/>
                <w:sz w:val="18"/>
                <w:szCs w:val="18"/>
              </w:rPr>
            </w:pPr>
            <w:r>
              <w:rPr>
                <w:rFonts w:hint="eastAsia" w:ascii="Times New Roman" w:hAnsi="Times New Roman" w:eastAsia="宋体" w:cs="Times New Roman"/>
                <w:color w:val="auto"/>
                <w:kern w:val="0"/>
                <w:sz w:val="18"/>
                <w:szCs w:val="18"/>
              </w:rPr>
              <w:t>7634</w:t>
            </w:r>
          </w:p>
        </w:tc>
        <w:tc>
          <w:tcPr>
            <w:tcW w:w="410" w:type="pct"/>
            <w:vAlign w:val="center"/>
          </w:tcPr>
          <w:p w14:paraId="365C8161">
            <w:pPr>
              <w:jc w:val="center"/>
              <w:rPr>
                <w:rFonts w:ascii="Times New Roman" w:hAnsi="Times New Roman" w:eastAsia="宋体" w:cs="Times New Roman"/>
                <w:color w:val="auto"/>
                <w:kern w:val="0"/>
                <w:sz w:val="18"/>
                <w:szCs w:val="18"/>
              </w:rPr>
            </w:pPr>
            <w:r>
              <w:rPr>
                <w:rFonts w:hint="eastAsia" w:ascii="Times New Roman" w:hAnsi="Times New Roman" w:eastAsia="宋体" w:cs="Times New Roman"/>
                <w:color w:val="auto"/>
                <w:kern w:val="0"/>
                <w:sz w:val="18"/>
                <w:szCs w:val="18"/>
              </w:rPr>
              <w:t>11812</w:t>
            </w:r>
          </w:p>
        </w:tc>
        <w:tc>
          <w:tcPr>
            <w:tcW w:w="377" w:type="pct"/>
            <w:vAlign w:val="center"/>
          </w:tcPr>
          <w:p w14:paraId="15DC47CC">
            <w:pPr>
              <w:jc w:val="center"/>
              <w:rPr>
                <w:rFonts w:ascii="Times New Roman" w:hAnsi="Times New Roman" w:eastAsia="宋体" w:cs="Times New Roman"/>
                <w:color w:val="auto"/>
                <w:kern w:val="0"/>
                <w:sz w:val="18"/>
                <w:szCs w:val="18"/>
              </w:rPr>
            </w:pPr>
            <w:r>
              <w:rPr>
                <w:rFonts w:hint="eastAsia" w:ascii="Times New Roman" w:hAnsi="Times New Roman" w:eastAsia="宋体" w:cs="Times New Roman"/>
                <w:color w:val="auto"/>
                <w:kern w:val="0"/>
                <w:sz w:val="18"/>
                <w:szCs w:val="18"/>
              </w:rPr>
              <w:t>10293</w:t>
            </w:r>
          </w:p>
        </w:tc>
        <w:tc>
          <w:tcPr>
            <w:tcW w:w="343" w:type="pct"/>
            <w:vAlign w:val="center"/>
          </w:tcPr>
          <w:p w14:paraId="3EBB239E">
            <w:pPr>
              <w:jc w:val="center"/>
              <w:rPr>
                <w:rFonts w:ascii="Times New Roman" w:hAnsi="Times New Roman" w:eastAsia="宋体" w:cs="Times New Roman"/>
                <w:color w:val="auto"/>
                <w:kern w:val="0"/>
                <w:sz w:val="18"/>
                <w:szCs w:val="18"/>
              </w:rPr>
            </w:pPr>
            <w:r>
              <w:rPr>
                <w:rFonts w:hint="eastAsia" w:ascii="Times New Roman" w:hAnsi="Times New Roman" w:eastAsia="宋体" w:cs="Times New Roman"/>
                <w:color w:val="auto"/>
                <w:kern w:val="0"/>
                <w:sz w:val="18"/>
                <w:szCs w:val="18"/>
              </w:rPr>
              <w:t>9621</w:t>
            </w:r>
          </w:p>
        </w:tc>
        <w:tc>
          <w:tcPr>
            <w:tcW w:w="469" w:type="pct"/>
            <w:vAlign w:val="center"/>
          </w:tcPr>
          <w:p w14:paraId="2C523B51">
            <w:pPr>
              <w:jc w:val="center"/>
              <w:rPr>
                <w:rFonts w:ascii="Times New Roman" w:hAnsi="Times New Roman" w:eastAsia="宋体" w:cs="Times New Roman"/>
                <w:color w:val="auto"/>
                <w:kern w:val="0"/>
                <w:sz w:val="18"/>
                <w:szCs w:val="18"/>
              </w:rPr>
            </w:pPr>
            <w:r>
              <w:rPr>
                <w:rFonts w:hint="eastAsia" w:ascii="Times New Roman" w:hAnsi="Times New Roman" w:eastAsia="宋体" w:cs="Times New Roman"/>
                <w:color w:val="auto"/>
                <w:kern w:val="0"/>
                <w:sz w:val="18"/>
                <w:szCs w:val="18"/>
              </w:rPr>
              <w:t>8280</w:t>
            </w:r>
          </w:p>
        </w:tc>
        <w:tc>
          <w:tcPr>
            <w:tcW w:w="368" w:type="pct"/>
            <w:vAlign w:val="center"/>
          </w:tcPr>
          <w:p w14:paraId="69BA60E0">
            <w:pPr>
              <w:jc w:val="center"/>
              <w:rPr>
                <w:rFonts w:ascii="Times New Roman" w:hAnsi="Times New Roman" w:eastAsia="宋体" w:cs="Times New Roman"/>
                <w:color w:val="auto"/>
                <w:kern w:val="0"/>
                <w:sz w:val="18"/>
                <w:szCs w:val="18"/>
              </w:rPr>
            </w:pPr>
            <w:r>
              <w:rPr>
                <w:rFonts w:hint="eastAsia" w:ascii="Times New Roman" w:hAnsi="Times New Roman" w:eastAsia="宋体" w:cs="Times New Roman"/>
                <w:color w:val="auto"/>
                <w:kern w:val="0"/>
                <w:sz w:val="18"/>
                <w:szCs w:val="18"/>
              </w:rPr>
              <w:t>8890</w:t>
            </w:r>
          </w:p>
        </w:tc>
      </w:tr>
    </w:tbl>
    <w:p w14:paraId="1C0EE2E3">
      <w:pPr>
        <w:pStyle w:val="6"/>
        <w:bidi w:val="0"/>
      </w:pPr>
      <w:r>
        <w:rPr>
          <w:rFonts w:hint="eastAsia"/>
        </w:rPr>
        <w:t>表7.2.2-</w:t>
      </w:r>
      <w:r>
        <w:rPr>
          <w:rFonts w:hint="eastAsia"/>
          <w:lang w:val="en-US" w:eastAsia="zh-CN"/>
        </w:rPr>
        <w:t>3</w:t>
      </w:r>
      <w:r>
        <w:rPr>
          <w:rFonts w:hint="eastAsia"/>
        </w:rPr>
        <w:t xml:space="preserve"> 津市高新区污水处理厂2023年1-12月实际处理水量  单位：</w:t>
      </w:r>
      <w:r>
        <w:rPr>
          <w:rFonts w:hint="eastAsia"/>
          <w:lang w:eastAsia="zh-CN"/>
        </w:rPr>
        <w:t>m3</w:t>
      </w:r>
      <w:r>
        <w:rPr>
          <w:rFonts w:hint="eastAsia"/>
        </w:rPr>
        <w:t>/d</w:t>
      </w:r>
    </w:p>
    <w:tbl>
      <w:tblPr>
        <w:tblStyle w:val="41"/>
        <w:tblW w:w="525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9"/>
        <w:gridCol w:w="630"/>
        <w:gridCol w:w="690"/>
        <w:gridCol w:w="720"/>
        <w:gridCol w:w="753"/>
        <w:gridCol w:w="734"/>
        <w:gridCol w:w="690"/>
        <w:gridCol w:w="689"/>
        <w:gridCol w:w="675"/>
        <w:gridCol w:w="675"/>
        <w:gridCol w:w="704"/>
        <w:gridCol w:w="733"/>
        <w:gridCol w:w="675"/>
      </w:tblGrid>
      <w:tr w14:paraId="53F45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3" w:type="pct"/>
            <w:vAlign w:val="center"/>
          </w:tcPr>
          <w:p w14:paraId="0222DA1D">
            <w:pPr>
              <w:jc w:val="center"/>
              <w:rPr>
                <w:rFonts w:ascii="Times New Roman" w:hAnsi="Times New Roman" w:eastAsia="宋体" w:cs="Times New Roman"/>
                <w:b/>
                <w:bCs/>
                <w:color w:val="auto"/>
                <w:kern w:val="0"/>
                <w:sz w:val="18"/>
                <w:szCs w:val="18"/>
              </w:rPr>
            </w:pPr>
            <w:r>
              <w:rPr>
                <w:rFonts w:hint="eastAsia" w:ascii="Times New Roman" w:hAnsi="Times New Roman" w:eastAsia="宋体" w:cs="Times New Roman"/>
                <w:b/>
                <w:bCs/>
                <w:color w:val="auto"/>
                <w:kern w:val="0"/>
                <w:sz w:val="18"/>
                <w:szCs w:val="18"/>
              </w:rPr>
              <w:t>月份</w:t>
            </w:r>
          </w:p>
        </w:tc>
        <w:tc>
          <w:tcPr>
            <w:tcW w:w="351" w:type="pct"/>
            <w:vAlign w:val="center"/>
          </w:tcPr>
          <w:p w14:paraId="0E162E21">
            <w:pPr>
              <w:jc w:val="center"/>
              <w:rPr>
                <w:rFonts w:ascii="Times New Roman" w:hAnsi="Times New Roman" w:eastAsia="宋体" w:cs="Times New Roman"/>
                <w:b/>
                <w:bCs/>
                <w:color w:val="auto"/>
                <w:kern w:val="0"/>
                <w:sz w:val="18"/>
                <w:szCs w:val="18"/>
              </w:rPr>
            </w:pPr>
            <w:r>
              <w:rPr>
                <w:rFonts w:hint="eastAsia" w:ascii="Times New Roman" w:hAnsi="Times New Roman" w:eastAsia="宋体" w:cs="Times New Roman"/>
                <w:b/>
                <w:bCs/>
                <w:color w:val="auto"/>
                <w:kern w:val="0"/>
                <w:sz w:val="18"/>
                <w:szCs w:val="18"/>
              </w:rPr>
              <w:t>1月</w:t>
            </w:r>
          </w:p>
        </w:tc>
        <w:tc>
          <w:tcPr>
            <w:tcW w:w="385" w:type="pct"/>
            <w:vAlign w:val="center"/>
          </w:tcPr>
          <w:p w14:paraId="03F4662F">
            <w:pPr>
              <w:jc w:val="center"/>
              <w:rPr>
                <w:rFonts w:ascii="Times New Roman" w:hAnsi="Times New Roman" w:eastAsia="宋体" w:cs="Times New Roman"/>
                <w:b/>
                <w:bCs/>
                <w:color w:val="auto"/>
                <w:kern w:val="0"/>
                <w:sz w:val="18"/>
                <w:szCs w:val="18"/>
              </w:rPr>
            </w:pPr>
            <w:r>
              <w:rPr>
                <w:rFonts w:hint="eastAsia" w:ascii="Times New Roman" w:hAnsi="Times New Roman" w:eastAsia="宋体" w:cs="Times New Roman"/>
                <w:b/>
                <w:bCs/>
                <w:color w:val="auto"/>
                <w:kern w:val="0"/>
                <w:sz w:val="18"/>
                <w:szCs w:val="18"/>
              </w:rPr>
              <w:t>2月</w:t>
            </w:r>
          </w:p>
        </w:tc>
        <w:tc>
          <w:tcPr>
            <w:tcW w:w="402" w:type="pct"/>
            <w:vAlign w:val="center"/>
          </w:tcPr>
          <w:p w14:paraId="5200DA69">
            <w:pPr>
              <w:jc w:val="center"/>
              <w:rPr>
                <w:rFonts w:ascii="Times New Roman" w:hAnsi="Times New Roman" w:eastAsia="宋体" w:cs="Times New Roman"/>
                <w:b/>
                <w:bCs/>
                <w:color w:val="auto"/>
                <w:kern w:val="0"/>
                <w:sz w:val="18"/>
                <w:szCs w:val="18"/>
              </w:rPr>
            </w:pPr>
            <w:r>
              <w:rPr>
                <w:rFonts w:hint="eastAsia" w:ascii="Times New Roman" w:hAnsi="Times New Roman" w:eastAsia="宋体" w:cs="Times New Roman"/>
                <w:b/>
                <w:bCs/>
                <w:color w:val="auto"/>
                <w:kern w:val="0"/>
                <w:sz w:val="18"/>
                <w:szCs w:val="18"/>
              </w:rPr>
              <w:t>3月</w:t>
            </w:r>
          </w:p>
        </w:tc>
        <w:tc>
          <w:tcPr>
            <w:tcW w:w="419" w:type="pct"/>
            <w:vAlign w:val="center"/>
          </w:tcPr>
          <w:p w14:paraId="05C7D6F9">
            <w:pPr>
              <w:jc w:val="center"/>
              <w:rPr>
                <w:rFonts w:ascii="Times New Roman" w:hAnsi="Times New Roman" w:eastAsia="宋体" w:cs="Times New Roman"/>
                <w:b/>
                <w:bCs/>
                <w:color w:val="auto"/>
                <w:kern w:val="0"/>
                <w:sz w:val="18"/>
                <w:szCs w:val="18"/>
              </w:rPr>
            </w:pPr>
            <w:r>
              <w:rPr>
                <w:rFonts w:hint="eastAsia" w:ascii="Times New Roman" w:hAnsi="Times New Roman" w:eastAsia="宋体" w:cs="Times New Roman"/>
                <w:b/>
                <w:bCs/>
                <w:color w:val="auto"/>
                <w:kern w:val="0"/>
                <w:sz w:val="18"/>
                <w:szCs w:val="18"/>
              </w:rPr>
              <w:t>4月</w:t>
            </w:r>
          </w:p>
        </w:tc>
        <w:tc>
          <w:tcPr>
            <w:tcW w:w="410" w:type="pct"/>
            <w:vAlign w:val="center"/>
          </w:tcPr>
          <w:p w14:paraId="5E8EC65A">
            <w:pPr>
              <w:jc w:val="center"/>
              <w:rPr>
                <w:rFonts w:ascii="Times New Roman" w:hAnsi="Times New Roman" w:eastAsia="宋体" w:cs="Times New Roman"/>
                <w:b/>
                <w:bCs/>
                <w:color w:val="auto"/>
                <w:kern w:val="0"/>
                <w:sz w:val="18"/>
                <w:szCs w:val="18"/>
              </w:rPr>
            </w:pPr>
            <w:r>
              <w:rPr>
                <w:rFonts w:hint="eastAsia" w:ascii="Times New Roman" w:hAnsi="Times New Roman" w:eastAsia="宋体" w:cs="Times New Roman"/>
                <w:b/>
                <w:bCs/>
                <w:color w:val="auto"/>
                <w:kern w:val="0"/>
                <w:sz w:val="18"/>
                <w:szCs w:val="18"/>
              </w:rPr>
              <w:t>5月</w:t>
            </w:r>
          </w:p>
        </w:tc>
        <w:tc>
          <w:tcPr>
            <w:tcW w:w="385" w:type="pct"/>
            <w:vAlign w:val="center"/>
          </w:tcPr>
          <w:p w14:paraId="265C57DE">
            <w:pPr>
              <w:jc w:val="center"/>
              <w:rPr>
                <w:rFonts w:ascii="Times New Roman" w:hAnsi="Times New Roman" w:eastAsia="宋体" w:cs="Times New Roman"/>
                <w:b/>
                <w:bCs/>
                <w:color w:val="auto"/>
                <w:kern w:val="0"/>
                <w:sz w:val="18"/>
                <w:szCs w:val="18"/>
              </w:rPr>
            </w:pPr>
            <w:r>
              <w:rPr>
                <w:rFonts w:hint="eastAsia" w:ascii="Times New Roman" w:hAnsi="Times New Roman" w:eastAsia="宋体" w:cs="Times New Roman"/>
                <w:b/>
                <w:bCs/>
                <w:color w:val="auto"/>
                <w:kern w:val="0"/>
                <w:sz w:val="18"/>
                <w:szCs w:val="18"/>
              </w:rPr>
              <w:t>6月</w:t>
            </w:r>
          </w:p>
        </w:tc>
        <w:tc>
          <w:tcPr>
            <w:tcW w:w="385" w:type="pct"/>
            <w:vAlign w:val="center"/>
          </w:tcPr>
          <w:p w14:paraId="3FA3AC13">
            <w:pPr>
              <w:jc w:val="center"/>
              <w:rPr>
                <w:rFonts w:ascii="Times New Roman" w:hAnsi="Times New Roman" w:eastAsia="宋体" w:cs="Times New Roman"/>
                <w:b/>
                <w:bCs/>
                <w:color w:val="auto"/>
                <w:kern w:val="0"/>
                <w:sz w:val="18"/>
                <w:szCs w:val="18"/>
              </w:rPr>
            </w:pPr>
            <w:r>
              <w:rPr>
                <w:rFonts w:hint="eastAsia" w:ascii="Times New Roman" w:hAnsi="Times New Roman" w:eastAsia="宋体" w:cs="Times New Roman"/>
                <w:b/>
                <w:bCs/>
                <w:color w:val="auto"/>
                <w:kern w:val="0"/>
                <w:sz w:val="18"/>
                <w:szCs w:val="18"/>
              </w:rPr>
              <w:t>7月</w:t>
            </w:r>
          </w:p>
        </w:tc>
        <w:tc>
          <w:tcPr>
            <w:tcW w:w="377" w:type="pct"/>
            <w:vAlign w:val="center"/>
          </w:tcPr>
          <w:p w14:paraId="050D393C">
            <w:pPr>
              <w:jc w:val="center"/>
              <w:rPr>
                <w:rFonts w:ascii="Times New Roman" w:hAnsi="Times New Roman" w:eastAsia="宋体" w:cs="Times New Roman"/>
                <w:b/>
                <w:bCs/>
                <w:color w:val="auto"/>
                <w:kern w:val="0"/>
                <w:sz w:val="18"/>
                <w:szCs w:val="18"/>
              </w:rPr>
            </w:pPr>
            <w:r>
              <w:rPr>
                <w:rFonts w:hint="eastAsia" w:ascii="Times New Roman" w:hAnsi="Times New Roman" w:eastAsia="宋体" w:cs="Times New Roman"/>
                <w:b/>
                <w:bCs/>
                <w:color w:val="auto"/>
                <w:kern w:val="0"/>
                <w:sz w:val="18"/>
                <w:szCs w:val="18"/>
              </w:rPr>
              <w:t>8月</w:t>
            </w:r>
          </w:p>
        </w:tc>
        <w:tc>
          <w:tcPr>
            <w:tcW w:w="377" w:type="pct"/>
            <w:vAlign w:val="center"/>
          </w:tcPr>
          <w:p w14:paraId="67596E96">
            <w:pPr>
              <w:jc w:val="center"/>
              <w:rPr>
                <w:rFonts w:ascii="Times New Roman" w:hAnsi="Times New Roman" w:eastAsia="宋体" w:cs="Times New Roman"/>
                <w:b/>
                <w:bCs/>
                <w:color w:val="auto"/>
                <w:kern w:val="0"/>
                <w:sz w:val="18"/>
                <w:szCs w:val="18"/>
              </w:rPr>
            </w:pPr>
            <w:r>
              <w:rPr>
                <w:rFonts w:hint="eastAsia" w:ascii="Times New Roman" w:hAnsi="Times New Roman" w:eastAsia="宋体" w:cs="Times New Roman"/>
                <w:b/>
                <w:bCs/>
                <w:color w:val="auto"/>
                <w:kern w:val="0"/>
                <w:sz w:val="18"/>
                <w:szCs w:val="18"/>
              </w:rPr>
              <w:t>9月</w:t>
            </w:r>
          </w:p>
        </w:tc>
        <w:tc>
          <w:tcPr>
            <w:tcW w:w="393" w:type="pct"/>
            <w:vAlign w:val="center"/>
          </w:tcPr>
          <w:p w14:paraId="6CF46EBE">
            <w:pPr>
              <w:jc w:val="center"/>
              <w:rPr>
                <w:rFonts w:ascii="Times New Roman" w:hAnsi="Times New Roman" w:eastAsia="宋体" w:cs="Times New Roman"/>
                <w:b/>
                <w:bCs/>
                <w:color w:val="auto"/>
                <w:kern w:val="0"/>
                <w:sz w:val="18"/>
                <w:szCs w:val="18"/>
              </w:rPr>
            </w:pPr>
            <w:r>
              <w:rPr>
                <w:rFonts w:hint="eastAsia" w:ascii="Times New Roman" w:hAnsi="Times New Roman" w:eastAsia="宋体" w:cs="Times New Roman"/>
                <w:b/>
                <w:bCs/>
                <w:color w:val="auto"/>
                <w:kern w:val="0"/>
                <w:sz w:val="18"/>
                <w:szCs w:val="18"/>
              </w:rPr>
              <w:t>10月</w:t>
            </w:r>
          </w:p>
        </w:tc>
        <w:tc>
          <w:tcPr>
            <w:tcW w:w="410" w:type="pct"/>
            <w:vAlign w:val="center"/>
          </w:tcPr>
          <w:p w14:paraId="784971B2">
            <w:pPr>
              <w:jc w:val="center"/>
              <w:rPr>
                <w:rFonts w:ascii="Times New Roman" w:hAnsi="Times New Roman" w:eastAsia="宋体" w:cs="Times New Roman"/>
                <w:b/>
                <w:bCs/>
                <w:color w:val="auto"/>
                <w:kern w:val="0"/>
                <w:sz w:val="18"/>
                <w:szCs w:val="18"/>
              </w:rPr>
            </w:pPr>
            <w:r>
              <w:rPr>
                <w:rFonts w:hint="eastAsia" w:ascii="Times New Roman" w:hAnsi="Times New Roman" w:eastAsia="宋体" w:cs="Times New Roman"/>
                <w:b/>
                <w:bCs/>
                <w:color w:val="auto"/>
                <w:kern w:val="0"/>
                <w:sz w:val="18"/>
                <w:szCs w:val="18"/>
              </w:rPr>
              <w:t>11月</w:t>
            </w:r>
          </w:p>
        </w:tc>
        <w:tc>
          <w:tcPr>
            <w:tcW w:w="377" w:type="pct"/>
            <w:vAlign w:val="center"/>
          </w:tcPr>
          <w:p w14:paraId="349BB17A">
            <w:pPr>
              <w:jc w:val="center"/>
              <w:rPr>
                <w:rFonts w:ascii="Times New Roman" w:hAnsi="Times New Roman" w:eastAsia="宋体" w:cs="Times New Roman"/>
                <w:b/>
                <w:bCs/>
                <w:color w:val="auto"/>
                <w:kern w:val="0"/>
                <w:sz w:val="18"/>
                <w:szCs w:val="18"/>
              </w:rPr>
            </w:pPr>
            <w:r>
              <w:rPr>
                <w:rFonts w:hint="eastAsia" w:ascii="Times New Roman" w:hAnsi="Times New Roman" w:eastAsia="宋体" w:cs="Times New Roman"/>
                <w:b/>
                <w:bCs/>
                <w:color w:val="auto"/>
                <w:kern w:val="0"/>
                <w:sz w:val="18"/>
                <w:szCs w:val="18"/>
              </w:rPr>
              <w:t>12月</w:t>
            </w:r>
          </w:p>
        </w:tc>
      </w:tr>
      <w:tr w14:paraId="109A2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3" w:type="pct"/>
            <w:vAlign w:val="center"/>
          </w:tcPr>
          <w:p w14:paraId="6028EE4B">
            <w:pPr>
              <w:jc w:val="center"/>
              <w:rPr>
                <w:rFonts w:ascii="Times New Roman" w:hAnsi="Times New Roman" w:eastAsia="宋体" w:cs="Times New Roman"/>
                <w:color w:val="auto"/>
                <w:kern w:val="0"/>
                <w:sz w:val="18"/>
                <w:szCs w:val="18"/>
              </w:rPr>
            </w:pPr>
            <w:r>
              <w:rPr>
                <w:rFonts w:hint="eastAsia" w:ascii="Times New Roman" w:hAnsi="Times New Roman" w:eastAsia="宋体" w:cs="Times New Roman"/>
                <w:color w:val="auto"/>
                <w:kern w:val="0"/>
                <w:sz w:val="18"/>
                <w:szCs w:val="18"/>
              </w:rPr>
              <w:t>水量</w:t>
            </w:r>
          </w:p>
        </w:tc>
        <w:tc>
          <w:tcPr>
            <w:tcW w:w="351" w:type="pct"/>
            <w:vAlign w:val="center"/>
          </w:tcPr>
          <w:p w14:paraId="1D4AA01F">
            <w:pPr>
              <w:jc w:val="center"/>
              <w:rPr>
                <w:rFonts w:ascii="Times New Roman" w:hAnsi="Times New Roman" w:eastAsia="宋体" w:cs="Times New Roman"/>
                <w:color w:val="auto"/>
                <w:kern w:val="0"/>
                <w:sz w:val="18"/>
                <w:szCs w:val="18"/>
              </w:rPr>
            </w:pPr>
            <w:r>
              <w:rPr>
                <w:rFonts w:hint="eastAsia" w:ascii="Times New Roman" w:hAnsi="Times New Roman" w:eastAsia="宋体" w:cs="Times New Roman"/>
                <w:color w:val="auto"/>
                <w:kern w:val="0"/>
                <w:sz w:val="18"/>
                <w:szCs w:val="18"/>
              </w:rPr>
              <w:t>9140</w:t>
            </w:r>
          </w:p>
        </w:tc>
        <w:tc>
          <w:tcPr>
            <w:tcW w:w="385" w:type="pct"/>
            <w:vAlign w:val="center"/>
          </w:tcPr>
          <w:p w14:paraId="52ED75D0">
            <w:pPr>
              <w:jc w:val="center"/>
              <w:rPr>
                <w:rFonts w:ascii="Times New Roman" w:hAnsi="Times New Roman" w:eastAsia="宋体" w:cs="Times New Roman"/>
                <w:color w:val="auto"/>
                <w:kern w:val="0"/>
                <w:sz w:val="18"/>
                <w:szCs w:val="18"/>
              </w:rPr>
            </w:pPr>
            <w:r>
              <w:rPr>
                <w:rFonts w:hint="eastAsia" w:ascii="Times New Roman" w:hAnsi="Times New Roman" w:eastAsia="宋体" w:cs="Times New Roman"/>
                <w:color w:val="auto"/>
                <w:kern w:val="0"/>
                <w:sz w:val="18"/>
                <w:szCs w:val="18"/>
              </w:rPr>
              <w:t>11649</w:t>
            </w:r>
          </w:p>
        </w:tc>
        <w:tc>
          <w:tcPr>
            <w:tcW w:w="402" w:type="pct"/>
            <w:vAlign w:val="center"/>
          </w:tcPr>
          <w:p w14:paraId="7ACDA15F">
            <w:pPr>
              <w:jc w:val="center"/>
              <w:rPr>
                <w:rFonts w:ascii="Times New Roman" w:hAnsi="Times New Roman" w:eastAsia="宋体" w:cs="Times New Roman"/>
                <w:color w:val="auto"/>
                <w:kern w:val="0"/>
                <w:sz w:val="18"/>
                <w:szCs w:val="18"/>
              </w:rPr>
            </w:pPr>
            <w:r>
              <w:rPr>
                <w:rFonts w:hint="eastAsia" w:ascii="Times New Roman" w:hAnsi="Times New Roman" w:eastAsia="宋体" w:cs="Times New Roman"/>
                <w:color w:val="auto"/>
                <w:kern w:val="0"/>
                <w:sz w:val="18"/>
                <w:szCs w:val="18"/>
              </w:rPr>
              <w:t>12266</w:t>
            </w:r>
          </w:p>
        </w:tc>
        <w:tc>
          <w:tcPr>
            <w:tcW w:w="419" w:type="pct"/>
            <w:vAlign w:val="center"/>
          </w:tcPr>
          <w:p w14:paraId="3DB4C088">
            <w:pPr>
              <w:jc w:val="center"/>
              <w:rPr>
                <w:rFonts w:ascii="Times New Roman" w:hAnsi="Times New Roman" w:eastAsia="宋体" w:cs="Times New Roman"/>
                <w:color w:val="auto"/>
                <w:kern w:val="0"/>
                <w:sz w:val="18"/>
                <w:szCs w:val="18"/>
              </w:rPr>
            </w:pPr>
            <w:r>
              <w:rPr>
                <w:rFonts w:hint="eastAsia" w:ascii="Times New Roman" w:hAnsi="Times New Roman" w:eastAsia="宋体" w:cs="Times New Roman"/>
                <w:color w:val="auto"/>
                <w:kern w:val="0"/>
                <w:sz w:val="18"/>
                <w:szCs w:val="18"/>
              </w:rPr>
              <w:t>11856</w:t>
            </w:r>
          </w:p>
        </w:tc>
        <w:tc>
          <w:tcPr>
            <w:tcW w:w="410" w:type="pct"/>
            <w:vAlign w:val="center"/>
          </w:tcPr>
          <w:p w14:paraId="5A4B0788">
            <w:pPr>
              <w:jc w:val="center"/>
              <w:rPr>
                <w:rFonts w:ascii="Times New Roman" w:hAnsi="Times New Roman" w:eastAsia="宋体" w:cs="Times New Roman"/>
                <w:color w:val="auto"/>
                <w:kern w:val="0"/>
                <w:sz w:val="18"/>
                <w:szCs w:val="18"/>
              </w:rPr>
            </w:pPr>
            <w:r>
              <w:rPr>
                <w:rFonts w:hint="eastAsia" w:ascii="Times New Roman" w:hAnsi="Times New Roman" w:eastAsia="宋体" w:cs="Times New Roman"/>
                <w:color w:val="auto"/>
                <w:kern w:val="0"/>
                <w:sz w:val="18"/>
                <w:szCs w:val="18"/>
              </w:rPr>
              <w:t>12362</w:t>
            </w:r>
          </w:p>
        </w:tc>
        <w:tc>
          <w:tcPr>
            <w:tcW w:w="385" w:type="pct"/>
            <w:vAlign w:val="center"/>
          </w:tcPr>
          <w:p w14:paraId="0B6CDC5A">
            <w:pPr>
              <w:jc w:val="center"/>
              <w:rPr>
                <w:rFonts w:ascii="Times New Roman" w:hAnsi="Times New Roman" w:eastAsia="宋体" w:cs="Times New Roman"/>
                <w:color w:val="auto"/>
                <w:kern w:val="0"/>
                <w:sz w:val="18"/>
                <w:szCs w:val="18"/>
              </w:rPr>
            </w:pPr>
            <w:r>
              <w:rPr>
                <w:rFonts w:hint="eastAsia" w:ascii="Times New Roman" w:hAnsi="Times New Roman" w:eastAsia="宋体" w:cs="Times New Roman"/>
                <w:color w:val="auto"/>
                <w:kern w:val="0"/>
                <w:sz w:val="18"/>
                <w:szCs w:val="18"/>
              </w:rPr>
              <w:t>12725</w:t>
            </w:r>
          </w:p>
        </w:tc>
        <w:tc>
          <w:tcPr>
            <w:tcW w:w="385" w:type="pct"/>
            <w:vAlign w:val="center"/>
          </w:tcPr>
          <w:p w14:paraId="6A4E2A68">
            <w:pPr>
              <w:jc w:val="center"/>
              <w:rPr>
                <w:rFonts w:ascii="Times New Roman" w:hAnsi="Times New Roman" w:eastAsia="宋体" w:cs="Times New Roman"/>
                <w:color w:val="auto"/>
                <w:kern w:val="0"/>
                <w:sz w:val="18"/>
                <w:szCs w:val="18"/>
              </w:rPr>
            </w:pPr>
            <w:r>
              <w:rPr>
                <w:rFonts w:hint="eastAsia" w:ascii="Times New Roman" w:hAnsi="Times New Roman" w:eastAsia="宋体" w:cs="Times New Roman"/>
                <w:color w:val="auto"/>
                <w:kern w:val="0"/>
                <w:sz w:val="18"/>
                <w:szCs w:val="18"/>
              </w:rPr>
              <w:t>12176</w:t>
            </w:r>
          </w:p>
        </w:tc>
        <w:tc>
          <w:tcPr>
            <w:tcW w:w="377" w:type="pct"/>
            <w:vAlign w:val="center"/>
          </w:tcPr>
          <w:p w14:paraId="53BDBD15">
            <w:pPr>
              <w:jc w:val="center"/>
              <w:rPr>
                <w:rFonts w:ascii="Times New Roman" w:hAnsi="Times New Roman" w:eastAsia="宋体" w:cs="Times New Roman"/>
                <w:color w:val="auto"/>
                <w:kern w:val="0"/>
                <w:sz w:val="18"/>
                <w:szCs w:val="18"/>
              </w:rPr>
            </w:pPr>
            <w:r>
              <w:rPr>
                <w:rFonts w:hint="eastAsia" w:ascii="Times New Roman" w:hAnsi="Times New Roman" w:eastAsia="宋体" w:cs="Times New Roman"/>
                <w:color w:val="auto"/>
                <w:kern w:val="0"/>
                <w:sz w:val="18"/>
                <w:szCs w:val="18"/>
              </w:rPr>
              <w:t>9869</w:t>
            </w:r>
          </w:p>
        </w:tc>
        <w:tc>
          <w:tcPr>
            <w:tcW w:w="377" w:type="pct"/>
            <w:vAlign w:val="center"/>
          </w:tcPr>
          <w:p w14:paraId="310BBEA6">
            <w:pPr>
              <w:jc w:val="center"/>
              <w:rPr>
                <w:rFonts w:ascii="Times New Roman" w:hAnsi="Times New Roman" w:eastAsia="宋体" w:cs="Times New Roman"/>
                <w:color w:val="auto"/>
                <w:kern w:val="0"/>
                <w:sz w:val="18"/>
                <w:szCs w:val="18"/>
              </w:rPr>
            </w:pPr>
            <w:r>
              <w:rPr>
                <w:rFonts w:hint="eastAsia" w:ascii="Times New Roman" w:hAnsi="Times New Roman" w:eastAsia="宋体" w:cs="Times New Roman"/>
                <w:color w:val="auto"/>
                <w:kern w:val="0"/>
                <w:sz w:val="18"/>
                <w:szCs w:val="18"/>
              </w:rPr>
              <w:t>12788</w:t>
            </w:r>
          </w:p>
        </w:tc>
        <w:tc>
          <w:tcPr>
            <w:tcW w:w="393" w:type="pct"/>
            <w:vAlign w:val="center"/>
          </w:tcPr>
          <w:p w14:paraId="2A9DAEFD">
            <w:pPr>
              <w:jc w:val="center"/>
              <w:rPr>
                <w:rFonts w:ascii="Times New Roman" w:hAnsi="Times New Roman" w:eastAsia="宋体" w:cs="Times New Roman"/>
                <w:color w:val="auto"/>
                <w:kern w:val="0"/>
                <w:sz w:val="18"/>
                <w:szCs w:val="18"/>
              </w:rPr>
            </w:pPr>
            <w:r>
              <w:rPr>
                <w:rFonts w:hint="eastAsia" w:ascii="Times New Roman" w:hAnsi="Times New Roman" w:eastAsia="宋体" w:cs="Times New Roman"/>
                <w:color w:val="auto"/>
                <w:kern w:val="0"/>
                <w:sz w:val="18"/>
                <w:szCs w:val="18"/>
              </w:rPr>
              <w:t>11004</w:t>
            </w:r>
          </w:p>
        </w:tc>
        <w:tc>
          <w:tcPr>
            <w:tcW w:w="410" w:type="pct"/>
            <w:vAlign w:val="center"/>
          </w:tcPr>
          <w:p w14:paraId="7E4EDABA">
            <w:pPr>
              <w:jc w:val="center"/>
              <w:rPr>
                <w:rFonts w:ascii="Times New Roman" w:hAnsi="Times New Roman" w:eastAsia="宋体" w:cs="Times New Roman"/>
                <w:color w:val="auto"/>
                <w:kern w:val="0"/>
                <w:sz w:val="18"/>
                <w:szCs w:val="18"/>
              </w:rPr>
            </w:pPr>
            <w:r>
              <w:rPr>
                <w:rFonts w:hint="eastAsia" w:ascii="Times New Roman" w:hAnsi="Times New Roman" w:eastAsia="宋体" w:cs="Times New Roman"/>
                <w:color w:val="auto"/>
                <w:kern w:val="0"/>
                <w:sz w:val="18"/>
                <w:szCs w:val="18"/>
              </w:rPr>
              <w:t>11897</w:t>
            </w:r>
          </w:p>
        </w:tc>
        <w:tc>
          <w:tcPr>
            <w:tcW w:w="377" w:type="pct"/>
            <w:vAlign w:val="center"/>
          </w:tcPr>
          <w:p w14:paraId="322A01F7">
            <w:pPr>
              <w:jc w:val="center"/>
              <w:rPr>
                <w:rFonts w:ascii="Times New Roman" w:hAnsi="Times New Roman" w:eastAsia="宋体" w:cs="Times New Roman"/>
                <w:color w:val="auto"/>
                <w:kern w:val="0"/>
                <w:sz w:val="18"/>
                <w:szCs w:val="18"/>
              </w:rPr>
            </w:pPr>
            <w:r>
              <w:rPr>
                <w:rFonts w:hint="eastAsia" w:ascii="Times New Roman" w:hAnsi="Times New Roman" w:eastAsia="宋体" w:cs="Times New Roman"/>
                <w:color w:val="auto"/>
                <w:kern w:val="0"/>
                <w:sz w:val="18"/>
                <w:szCs w:val="18"/>
              </w:rPr>
              <w:t>11908</w:t>
            </w:r>
          </w:p>
        </w:tc>
      </w:tr>
    </w:tbl>
    <w:p w14:paraId="04AC6869">
      <w:pPr>
        <w:spacing w:line="360" w:lineRule="auto"/>
        <w:ind w:firstLine="480" w:firstLineChars="200"/>
        <w:jc w:val="left"/>
        <w:rPr>
          <w:rFonts w:ascii="Times New Roman" w:hAnsi="Times New Roman" w:eastAsia="宋体" w:cs="Times New Roman"/>
          <w:color w:val="auto"/>
          <w:sz w:val="24"/>
          <w:szCs w:val="24"/>
        </w:rPr>
      </w:pPr>
      <w:r>
        <w:rPr>
          <w:rFonts w:hint="eastAsia" w:ascii="Times New Roman" w:hAnsi="Times New Roman" w:eastAsia="宋体" w:cs="Times New Roman"/>
          <w:color w:val="auto"/>
          <w:kern w:val="0"/>
          <w:sz w:val="24"/>
          <w:szCs w:val="24"/>
        </w:rPr>
        <w:t>由上表可知，</w:t>
      </w:r>
      <w:r>
        <w:rPr>
          <w:rFonts w:ascii="Times New Roman" w:hAnsi="Times New Roman" w:eastAsia="宋体" w:cs="Times New Roman"/>
          <w:color w:val="auto"/>
          <w:kern w:val="0"/>
          <w:sz w:val="24"/>
          <w:szCs w:val="24"/>
        </w:rPr>
        <w:t>津市高新区污水处理厂（一期、二期及二期扩容）2021年全年现状进水量高值约为1.3</w:t>
      </w:r>
      <w:r>
        <w:rPr>
          <w:rFonts w:hint="eastAsia" w:ascii="Times New Roman" w:hAnsi="Times New Roman" w:eastAsia="宋体" w:cs="Times New Roman"/>
          <w:color w:val="auto"/>
          <w:kern w:val="0"/>
          <w:sz w:val="24"/>
          <w:szCs w:val="24"/>
        </w:rPr>
        <w:t>73</w:t>
      </w:r>
      <w:r>
        <w:rPr>
          <w:rFonts w:ascii="Times New Roman" w:hAnsi="Times New Roman" w:eastAsia="宋体" w:cs="Times New Roman"/>
          <w:color w:val="auto"/>
          <w:kern w:val="0"/>
          <w:sz w:val="24"/>
          <w:szCs w:val="24"/>
        </w:rPr>
        <w:t>万m³/d，日平均为0.89万m³/d，2022年1~</w:t>
      </w:r>
      <w:r>
        <w:rPr>
          <w:rFonts w:hint="eastAsia" w:ascii="Times New Roman" w:hAnsi="Times New Roman" w:eastAsia="宋体" w:cs="Times New Roman"/>
          <w:color w:val="auto"/>
          <w:kern w:val="0"/>
          <w:sz w:val="24"/>
          <w:szCs w:val="24"/>
        </w:rPr>
        <w:t>12</w:t>
      </w:r>
      <w:r>
        <w:rPr>
          <w:rFonts w:ascii="Times New Roman" w:hAnsi="Times New Roman" w:eastAsia="宋体" w:cs="Times New Roman"/>
          <w:color w:val="auto"/>
          <w:kern w:val="0"/>
          <w:sz w:val="24"/>
          <w:szCs w:val="24"/>
        </w:rPr>
        <w:t>月现状进水量高值约为1.39万m³/d，日平均为1.0万m³/d</w:t>
      </w:r>
      <w:r>
        <w:rPr>
          <w:rFonts w:hint="eastAsia" w:ascii="Times New Roman" w:hAnsi="Times New Roman" w:eastAsia="宋体" w:cs="Times New Roman"/>
          <w:color w:val="auto"/>
          <w:kern w:val="0"/>
          <w:sz w:val="24"/>
          <w:szCs w:val="24"/>
        </w:rPr>
        <w:t>，2023年全年现状进水量高值约为1.24万</w:t>
      </w:r>
      <w:r>
        <w:rPr>
          <w:rFonts w:ascii="Times New Roman" w:hAnsi="Times New Roman" w:eastAsia="宋体" w:cs="Times New Roman"/>
          <w:color w:val="auto"/>
          <w:kern w:val="0"/>
          <w:sz w:val="24"/>
          <w:szCs w:val="24"/>
        </w:rPr>
        <w:t>m³/d，日平均为</w:t>
      </w:r>
      <w:r>
        <w:rPr>
          <w:rFonts w:hint="eastAsia" w:ascii="Times New Roman" w:hAnsi="Times New Roman" w:eastAsia="宋体" w:cs="Times New Roman"/>
          <w:color w:val="auto"/>
          <w:kern w:val="0"/>
          <w:sz w:val="24"/>
          <w:szCs w:val="24"/>
        </w:rPr>
        <w:t>1.16</w:t>
      </w:r>
      <w:r>
        <w:rPr>
          <w:rFonts w:ascii="Times New Roman" w:hAnsi="Times New Roman" w:eastAsia="宋体" w:cs="Times New Roman"/>
          <w:color w:val="auto"/>
          <w:kern w:val="0"/>
          <w:sz w:val="24"/>
          <w:szCs w:val="24"/>
        </w:rPr>
        <w:t>万m³/d。</w:t>
      </w:r>
      <w:r>
        <w:rPr>
          <w:rFonts w:hint="eastAsia" w:ascii="Times New Roman" w:hAnsi="Times New Roman" w:eastAsia="宋体" w:cs="Times New Roman"/>
          <w:color w:val="auto"/>
          <w:kern w:val="0"/>
          <w:sz w:val="24"/>
          <w:szCs w:val="24"/>
        </w:rPr>
        <w:t>对比现状排水，</w:t>
      </w:r>
      <w:r>
        <w:rPr>
          <w:rFonts w:ascii="Times New Roman" w:hAnsi="Times New Roman" w:eastAsia="宋体" w:cs="Times New Roman"/>
          <w:color w:val="auto"/>
          <w:kern w:val="0"/>
          <w:sz w:val="24"/>
          <w:szCs w:val="24"/>
        </w:rPr>
        <w:t>本项目</w:t>
      </w:r>
      <w:r>
        <w:rPr>
          <w:rFonts w:hint="eastAsia" w:ascii="Times New Roman" w:hAnsi="Times New Roman" w:eastAsia="宋体" w:cs="Times New Roman"/>
          <w:color w:val="auto"/>
          <w:kern w:val="0"/>
          <w:sz w:val="24"/>
          <w:szCs w:val="24"/>
        </w:rPr>
        <w:t>全厂达产后，</w:t>
      </w:r>
      <w:r>
        <w:rPr>
          <w:rFonts w:ascii="Times New Roman" w:hAnsi="Times New Roman" w:eastAsia="宋体" w:cs="Times New Roman"/>
          <w:color w:val="auto"/>
          <w:kern w:val="0"/>
          <w:sz w:val="24"/>
          <w:szCs w:val="24"/>
        </w:rPr>
        <w:t>排入津市高新区污水处理厂的废水量约为</w:t>
      </w:r>
      <w:r>
        <w:rPr>
          <w:rFonts w:hint="eastAsia" w:ascii="Times New Roman" w:hAnsi="Times New Roman" w:eastAsia="宋体" w:cs="Times New Roman"/>
          <w:color w:val="auto"/>
          <w:kern w:val="0"/>
          <w:sz w:val="24"/>
          <w:szCs w:val="24"/>
          <w:lang w:val="en-US" w:eastAsia="zh-CN"/>
        </w:rPr>
        <w:t>488.84</w:t>
      </w:r>
      <w:r>
        <w:rPr>
          <w:rFonts w:ascii="Times New Roman" w:hAnsi="Times New Roman" w:eastAsia="宋体" w:cs="Times New Roman"/>
          <w:color w:val="auto"/>
          <w:kern w:val="0"/>
          <w:sz w:val="24"/>
          <w:szCs w:val="24"/>
        </w:rPr>
        <w:t>m³/d，津市高新区污水处理厂（一期、二期及二期扩容）</w:t>
      </w:r>
      <w:r>
        <w:rPr>
          <w:rFonts w:ascii="Times New Roman" w:hAnsi="Times New Roman" w:eastAsia="宋体" w:cs="Times New Roman"/>
          <w:color w:val="auto"/>
          <w:sz w:val="24"/>
          <w:szCs w:val="24"/>
        </w:rPr>
        <w:t>尚有足够余量处理本项目废水。</w:t>
      </w:r>
    </w:p>
    <w:p w14:paraId="652E29AF">
      <w:pPr>
        <w:spacing w:line="360" w:lineRule="auto"/>
        <w:ind w:firstLine="480" w:firstLineChars="200"/>
        <w:jc w:val="left"/>
        <w:rPr>
          <w:rFonts w:ascii="Times New Roman" w:hAnsi="Times New Roman" w:eastAsia="宋体" w:cs="Times New Roman"/>
          <w:color w:val="auto"/>
          <w:kern w:val="0"/>
          <w:sz w:val="24"/>
          <w:szCs w:val="24"/>
        </w:rPr>
      </w:pPr>
      <w:r>
        <w:rPr>
          <w:rFonts w:hint="eastAsia" w:ascii="Times New Roman" w:hAnsi="Times New Roman" w:eastAsia="宋体" w:cs="Times New Roman"/>
          <w:color w:val="auto"/>
          <w:kern w:val="0"/>
          <w:sz w:val="24"/>
          <w:szCs w:val="24"/>
        </w:rPr>
        <w:t>经调查</w:t>
      </w:r>
      <w:r>
        <w:rPr>
          <w:rFonts w:ascii="Times New Roman" w:hAnsi="Times New Roman" w:eastAsia="宋体" w:cs="Times New Roman"/>
          <w:color w:val="auto"/>
          <w:kern w:val="0"/>
          <w:sz w:val="24"/>
          <w:szCs w:val="24"/>
        </w:rPr>
        <w:t>津市高新区污水处理厂（一期、二期及二期扩容）</w:t>
      </w:r>
      <w:r>
        <w:rPr>
          <w:rFonts w:hint="eastAsia" w:ascii="Times New Roman" w:hAnsi="Times New Roman" w:eastAsia="宋体" w:cs="Times New Roman"/>
          <w:color w:val="auto"/>
          <w:kern w:val="0"/>
          <w:sz w:val="24"/>
          <w:szCs w:val="24"/>
        </w:rPr>
        <w:t>2022年-2023年</w:t>
      </w:r>
      <w:r>
        <w:rPr>
          <w:rFonts w:ascii="Times New Roman" w:hAnsi="Times New Roman" w:eastAsia="宋体" w:cs="Times New Roman"/>
          <w:color w:val="auto"/>
          <w:kern w:val="0"/>
          <w:sz w:val="24"/>
          <w:szCs w:val="24"/>
        </w:rPr>
        <w:t>的</w:t>
      </w:r>
      <w:r>
        <w:rPr>
          <w:rFonts w:hint="eastAsia" w:ascii="Times New Roman" w:hAnsi="Times New Roman" w:eastAsia="宋体" w:cs="Times New Roman"/>
          <w:color w:val="auto"/>
          <w:kern w:val="0"/>
          <w:sz w:val="24"/>
          <w:szCs w:val="24"/>
        </w:rPr>
        <w:t>实际出水水质</w:t>
      </w:r>
      <w:r>
        <w:rPr>
          <w:rFonts w:ascii="Times New Roman" w:hAnsi="Times New Roman" w:eastAsia="宋体" w:cs="Times New Roman"/>
          <w:color w:val="auto"/>
          <w:kern w:val="0"/>
          <w:sz w:val="24"/>
          <w:szCs w:val="24"/>
        </w:rPr>
        <w:t>，</w:t>
      </w:r>
      <w:r>
        <w:rPr>
          <w:rFonts w:hint="eastAsia" w:ascii="Times New Roman" w:hAnsi="Times New Roman" w:eastAsia="宋体" w:cs="Times New Roman"/>
          <w:color w:val="auto"/>
          <w:kern w:val="0"/>
          <w:sz w:val="24"/>
          <w:szCs w:val="24"/>
        </w:rPr>
        <w:t>具体如下：</w:t>
      </w:r>
    </w:p>
    <w:p w14:paraId="3701F87D">
      <w:pPr>
        <w:spacing w:line="360" w:lineRule="auto"/>
        <w:ind w:firstLine="480" w:firstLineChars="200"/>
        <w:jc w:val="left"/>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①在线监测</w:t>
      </w:r>
    </w:p>
    <w:p w14:paraId="61A6AC0C">
      <w:pPr>
        <w:pStyle w:val="6"/>
        <w:bidi w:val="0"/>
      </w:pPr>
      <w:r>
        <w:rPr>
          <w:rFonts w:hint="eastAsia"/>
        </w:rPr>
        <w:t>表7.2.2-</w:t>
      </w:r>
      <w:r>
        <w:rPr>
          <w:rFonts w:hint="eastAsia"/>
          <w:lang w:val="en-US" w:eastAsia="zh-CN"/>
        </w:rPr>
        <w:t>4</w:t>
      </w:r>
      <w:r>
        <w:rPr>
          <w:rFonts w:hint="eastAsia"/>
        </w:rPr>
        <w:t xml:space="preserve"> 津市高新区污水处理厂2022年1-12月实际出水水质在线监测数据</w:t>
      </w:r>
    </w:p>
    <w:tbl>
      <w:tblPr>
        <w:tblStyle w:val="4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4"/>
        <w:gridCol w:w="1892"/>
        <w:gridCol w:w="1892"/>
        <w:gridCol w:w="1892"/>
        <w:gridCol w:w="1892"/>
      </w:tblGrid>
      <w:tr w14:paraId="72D1F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4" w:type="dxa"/>
            <w:vAlign w:val="center"/>
          </w:tcPr>
          <w:p w14:paraId="522343FE">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时间</w:t>
            </w:r>
          </w:p>
        </w:tc>
        <w:tc>
          <w:tcPr>
            <w:tcW w:w="1892" w:type="dxa"/>
            <w:vAlign w:val="center"/>
          </w:tcPr>
          <w:p w14:paraId="2DF435E0">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COD（mg/L）</w:t>
            </w:r>
          </w:p>
        </w:tc>
        <w:tc>
          <w:tcPr>
            <w:tcW w:w="1892" w:type="dxa"/>
            <w:vAlign w:val="center"/>
          </w:tcPr>
          <w:p w14:paraId="0CC39A9C">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氨氮（mg/L）</w:t>
            </w:r>
          </w:p>
        </w:tc>
        <w:tc>
          <w:tcPr>
            <w:tcW w:w="1892" w:type="dxa"/>
            <w:vAlign w:val="center"/>
          </w:tcPr>
          <w:p w14:paraId="470F0A0B">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总磷（mg/L）</w:t>
            </w:r>
          </w:p>
        </w:tc>
        <w:tc>
          <w:tcPr>
            <w:tcW w:w="1892" w:type="dxa"/>
            <w:vAlign w:val="center"/>
          </w:tcPr>
          <w:p w14:paraId="27012AC1">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总氮（mg/L）</w:t>
            </w:r>
          </w:p>
        </w:tc>
      </w:tr>
      <w:tr w14:paraId="6D551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4" w:type="dxa"/>
            <w:vAlign w:val="center"/>
          </w:tcPr>
          <w:p w14:paraId="7B1854E2">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1月</w:t>
            </w:r>
          </w:p>
        </w:tc>
        <w:tc>
          <w:tcPr>
            <w:tcW w:w="1892" w:type="dxa"/>
            <w:vAlign w:val="center"/>
          </w:tcPr>
          <w:p w14:paraId="6F7D5CE8">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37.02</w:t>
            </w:r>
          </w:p>
        </w:tc>
        <w:tc>
          <w:tcPr>
            <w:tcW w:w="1892" w:type="dxa"/>
            <w:vAlign w:val="center"/>
          </w:tcPr>
          <w:p w14:paraId="37622565">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1.37</w:t>
            </w:r>
          </w:p>
        </w:tc>
        <w:tc>
          <w:tcPr>
            <w:tcW w:w="1892" w:type="dxa"/>
            <w:vAlign w:val="center"/>
          </w:tcPr>
          <w:p w14:paraId="4B4169EF">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0.35</w:t>
            </w:r>
          </w:p>
        </w:tc>
        <w:tc>
          <w:tcPr>
            <w:tcW w:w="1892" w:type="dxa"/>
            <w:vAlign w:val="center"/>
          </w:tcPr>
          <w:p w14:paraId="2789D24A">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9.83</w:t>
            </w:r>
          </w:p>
        </w:tc>
      </w:tr>
      <w:tr w14:paraId="74CA6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4" w:type="dxa"/>
            <w:vAlign w:val="center"/>
          </w:tcPr>
          <w:p w14:paraId="74CF9585">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2月</w:t>
            </w:r>
          </w:p>
        </w:tc>
        <w:tc>
          <w:tcPr>
            <w:tcW w:w="1892" w:type="dxa"/>
            <w:vAlign w:val="center"/>
          </w:tcPr>
          <w:p w14:paraId="5AA81104">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27.91</w:t>
            </w:r>
          </w:p>
        </w:tc>
        <w:tc>
          <w:tcPr>
            <w:tcW w:w="1892" w:type="dxa"/>
            <w:vAlign w:val="center"/>
          </w:tcPr>
          <w:p w14:paraId="7CA1B079">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1.49</w:t>
            </w:r>
          </w:p>
        </w:tc>
        <w:tc>
          <w:tcPr>
            <w:tcW w:w="1892" w:type="dxa"/>
            <w:vAlign w:val="center"/>
          </w:tcPr>
          <w:p w14:paraId="61FC12FB">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0.22</w:t>
            </w:r>
          </w:p>
        </w:tc>
        <w:tc>
          <w:tcPr>
            <w:tcW w:w="1892" w:type="dxa"/>
            <w:vAlign w:val="center"/>
          </w:tcPr>
          <w:p w14:paraId="1E711F4C">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9.32</w:t>
            </w:r>
          </w:p>
        </w:tc>
      </w:tr>
      <w:tr w14:paraId="2CE3D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4" w:type="dxa"/>
            <w:vAlign w:val="center"/>
          </w:tcPr>
          <w:p w14:paraId="12E8E46A">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3月</w:t>
            </w:r>
          </w:p>
        </w:tc>
        <w:tc>
          <w:tcPr>
            <w:tcW w:w="1892" w:type="dxa"/>
            <w:vAlign w:val="center"/>
          </w:tcPr>
          <w:p w14:paraId="0B8F82B7">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30.14</w:t>
            </w:r>
          </w:p>
        </w:tc>
        <w:tc>
          <w:tcPr>
            <w:tcW w:w="1892" w:type="dxa"/>
            <w:vAlign w:val="center"/>
          </w:tcPr>
          <w:p w14:paraId="1B964F8B">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3.18</w:t>
            </w:r>
          </w:p>
        </w:tc>
        <w:tc>
          <w:tcPr>
            <w:tcW w:w="1892" w:type="dxa"/>
            <w:vAlign w:val="center"/>
          </w:tcPr>
          <w:p w14:paraId="70764FA6">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0.29</w:t>
            </w:r>
          </w:p>
        </w:tc>
        <w:tc>
          <w:tcPr>
            <w:tcW w:w="1892" w:type="dxa"/>
            <w:vAlign w:val="center"/>
          </w:tcPr>
          <w:p w14:paraId="05DA9070">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9.85</w:t>
            </w:r>
          </w:p>
        </w:tc>
      </w:tr>
      <w:tr w14:paraId="4C0A3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4" w:type="dxa"/>
            <w:vAlign w:val="center"/>
          </w:tcPr>
          <w:p w14:paraId="3C16222B">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4月</w:t>
            </w:r>
          </w:p>
        </w:tc>
        <w:tc>
          <w:tcPr>
            <w:tcW w:w="1892" w:type="dxa"/>
            <w:vAlign w:val="center"/>
          </w:tcPr>
          <w:p w14:paraId="3829A89C">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31.96</w:t>
            </w:r>
          </w:p>
        </w:tc>
        <w:tc>
          <w:tcPr>
            <w:tcW w:w="1892" w:type="dxa"/>
            <w:vAlign w:val="center"/>
          </w:tcPr>
          <w:p w14:paraId="31362C1C">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2.59</w:t>
            </w:r>
          </w:p>
        </w:tc>
        <w:tc>
          <w:tcPr>
            <w:tcW w:w="1892" w:type="dxa"/>
            <w:vAlign w:val="center"/>
          </w:tcPr>
          <w:p w14:paraId="0646F3EF">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0.20</w:t>
            </w:r>
          </w:p>
        </w:tc>
        <w:tc>
          <w:tcPr>
            <w:tcW w:w="1892" w:type="dxa"/>
            <w:vAlign w:val="center"/>
          </w:tcPr>
          <w:p w14:paraId="6B08CF6B">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9.05</w:t>
            </w:r>
          </w:p>
        </w:tc>
      </w:tr>
      <w:tr w14:paraId="3CAA0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4" w:type="dxa"/>
            <w:vAlign w:val="center"/>
          </w:tcPr>
          <w:p w14:paraId="3E67C565">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5月</w:t>
            </w:r>
          </w:p>
        </w:tc>
        <w:tc>
          <w:tcPr>
            <w:tcW w:w="1892" w:type="dxa"/>
            <w:vAlign w:val="center"/>
          </w:tcPr>
          <w:p w14:paraId="2E0C7721">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26.64</w:t>
            </w:r>
          </w:p>
        </w:tc>
        <w:tc>
          <w:tcPr>
            <w:tcW w:w="1892" w:type="dxa"/>
            <w:vAlign w:val="center"/>
          </w:tcPr>
          <w:p w14:paraId="2F42F2BF">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1.37</w:t>
            </w:r>
          </w:p>
        </w:tc>
        <w:tc>
          <w:tcPr>
            <w:tcW w:w="1892" w:type="dxa"/>
            <w:vAlign w:val="center"/>
          </w:tcPr>
          <w:p w14:paraId="36676759">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0.31</w:t>
            </w:r>
          </w:p>
        </w:tc>
        <w:tc>
          <w:tcPr>
            <w:tcW w:w="1892" w:type="dxa"/>
            <w:vAlign w:val="center"/>
          </w:tcPr>
          <w:p w14:paraId="37F492A1">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9.32</w:t>
            </w:r>
          </w:p>
        </w:tc>
      </w:tr>
      <w:tr w14:paraId="21E87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4" w:type="dxa"/>
            <w:vAlign w:val="center"/>
          </w:tcPr>
          <w:p w14:paraId="61EAB6E2">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6月</w:t>
            </w:r>
          </w:p>
        </w:tc>
        <w:tc>
          <w:tcPr>
            <w:tcW w:w="1892" w:type="dxa"/>
            <w:vAlign w:val="center"/>
          </w:tcPr>
          <w:p w14:paraId="0476EC59">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33.33</w:t>
            </w:r>
          </w:p>
        </w:tc>
        <w:tc>
          <w:tcPr>
            <w:tcW w:w="1892" w:type="dxa"/>
            <w:vAlign w:val="center"/>
          </w:tcPr>
          <w:p w14:paraId="6155C98D">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0.64</w:t>
            </w:r>
          </w:p>
        </w:tc>
        <w:tc>
          <w:tcPr>
            <w:tcW w:w="1892" w:type="dxa"/>
            <w:vAlign w:val="center"/>
          </w:tcPr>
          <w:p w14:paraId="33222168">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0.23</w:t>
            </w:r>
          </w:p>
        </w:tc>
        <w:tc>
          <w:tcPr>
            <w:tcW w:w="1892" w:type="dxa"/>
            <w:vAlign w:val="center"/>
          </w:tcPr>
          <w:p w14:paraId="3F685DEF">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10.54</w:t>
            </w:r>
          </w:p>
        </w:tc>
      </w:tr>
      <w:tr w14:paraId="1585C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4" w:type="dxa"/>
            <w:vAlign w:val="center"/>
          </w:tcPr>
          <w:p w14:paraId="6EBB2624">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7月</w:t>
            </w:r>
          </w:p>
        </w:tc>
        <w:tc>
          <w:tcPr>
            <w:tcW w:w="1892" w:type="dxa"/>
            <w:vAlign w:val="center"/>
          </w:tcPr>
          <w:p w14:paraId="1CB32AF7">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33.14</w:t>
            </w:r>
          </w:p>
        </w:tc>
        <w:tc>
          <w:tcPr>
            <w:tcW w:w="1892" w:type="dxa"/>
            <w:vAlign w:val="center"/>
          </w:tcPr>
          <w:p w14:paraId="2084112F">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0.54</w:t>
            </w:r>
          </w:p>
        </w:tc>
        <w:tc>
          <w:tcPr>
            <w:tcW w:w="1892" w:type="dxa"/>
            <w:vAlign w:val="center"/>
          </w:tcPr>
          <w:p w14:paraId="05940E8C">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0.23</w:t>
            </w:r>
          </w:p>
        </w:tc>
        <w:tc>
          <w:tcPr>
            <w:tcW w:w="1892" w:type="dxa"/>
            <w:vAlign w:val="center"/>
          </w:tcPr>
          <w:p w14:paraId="1BFEB580">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10.6</w:t>
            </w:r>
          </w:p>
        </w:tc>
      </w:tr>
      <w:tr w14:paraId="274D1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4" w:type="dxa"/>
            <w:vAlign w:val="center"/>
          </w:tcPr>
          <w:p w14:paraId="47844C0C">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8月</w:t>
            </w:r>
          </w:p>
        </w:tc>
        <w:tc>
          <w:tcPr>
            <w:tcW w:w="1892" w:type="dxa"/>
            <w:vAlign w:val="center"/>
          </w:tcPr>
          <w:p w14:paraId="39663922">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33.26</w:t>
            </w:r>
          </w:p>
        </w:tc>
        <w:tc>
          <w:tcPr>
            <w:tcW w:w="1892" w:type="dxa"/>
            <w:vAlign w:val="center"/>
          </w:tcPr>
          <w:p w14:paraId="21AA9FDA">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1.23</w:t>
            </w:r>
          </w:p>
        </w:tc>
        <w:tc>
          <w:tcPr>
            <w:tcW w:w="1892" w:type="dxa"/>
            <w:vAlign w:val="center"/>
          </w:tcPr>
          <w:p w14:paraId="29C32126">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0.28</w:t>
            </w:r>
          </w:p>
        </w:tc>
        <w:tc>
          <w:tcPr>
            <w:tcW w:w="1892" w:type="dxa"/>
            <w:vAlign w:val="center"/>
          </w:tcPr>
          <w:p w14:paraId="3DDB7610">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10.97</w:t>
            </w:r>
          </w:p>
        </w:tc>
      </w:tr>
      <w:tr w14:paraId="346DC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4" w:type="dxa"/>
            <w:vAlign w:val="center"/>
          </w:tcPr>
          <w:p w14:paraId="52F9128A">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9月</w:t>
            </w:r>
          </w:p>
        </w:tc>
        <w:tc>
          <w:tcPr>
            <w:tcW w:w="1892" w:type="dxa"/>
            <w:vAlign w:val="center"/>
          </w:tcPr>
          <w:p w14:paraId="38491C8A">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35.62</w:t>
            </w:r>
          </w:p>
        </w:tc>
        <w:tc>
          <w:tcPr>
            <w:tcW w:w="1892" w:type="dxa"/>
            <w:vAlign w:val="center"/>
          </w:tcPr>
          <w:p w14:paraId="67D89CE4">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0.38</w:t>
            </w:r>
          </w:p>
        </w:tc>
        <w:tc>
          <w:tcPr>
            <w:tcW w:w="1892" w:type="dxa"/>
            <w:vAlign w:val="center"/>
          </w:tcPr>
          <w:p w14:paraId="7C07D0F5">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0.12</w:t>
            </w:r>
          </w:p>
        </w:tc>
        <w:tc>
          <w:tcPr>
            <w:tcW w:w="1892" w:type="dxa"/>
            <w:vAlign w:val="center"/>
          </w:tcPr>
          <w:p w14:paraId="52E84A0D">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10.83</w:t>
            </w:r>
          </w:p>
        </w:tc>
      </w:tr>
      <w:tr w14:paraId="0F2C1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4" w:type="dxa"/>
            <w:vAlign w:val="center"/>
          </w:tcPr>
          <w:p w14:paraId="72C82E33">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10月</w:t>
            </w:r>
          </w:p>
        </w:tc>
        <w:tc>
          <w:tcPr>
            <w:tcW w:w="1892" w:type="dxa"/>
            <w:vAlign w:val="center"/>
          </w:tcPr>
          <w:p w14:paraId="04A1593C">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36.38</w:t>
            </w:r>
          </w:p>
        </w:tc>
        <w:tc>
          <w:tcPr>
            <w:tcW w:w="1892" w:type="dxa"/>
            <w:vAlign w:val="center"/>
          </w:tcPr>
          <w:p w14:paraId="3CE90C44">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0.74</w:t>
            </w:r>
          </w:p>
        </w:tc>
        <w:tc>
          <w:tcPr>
            <w:tcW w:w="1892" w:type="dxa"/>
            <w:vAlign w:val="center"/>
          </w:tcPr>
          <w:p w14:paraId="538872C1">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0.09</w:t>
            </w:r>
          </w:p>
        </w:tc>
        <w:tc>
          <w:tcPr>
            <w:tcW w:w="1892" w:type="dxa"/>
            <w:vAlign w:val="center"/>
          </w:tcPr>
          <w:p w14:paraId="34A73F17">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9.82</w:t>
            </w:r>
          </w:p>
        </w:tc>
      </w:tr>
      <w:tr w14:paraId="0BD1D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4" w:type="dxa"/>
            <w:vAlign w:val="center"/>
          </w:tcPr>
          <w:p w14:paraId="2A1BE55E">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11月</w:t>
            </w:r>
          </w:p>
        </w:tc>
        <w:tc>
          <w:tcPr>
            <w:tcW w:w="1892" w:type="dxa"/>
            <w:vAlign w:val="center"/>
          </w:tcPr>
          <w:p w14:paraId="0B3B1454">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44.01</w:t>
            </w:r>
          </w:p>
        </w:tc>
        <w:tc>
          <w:tcPr>
            <w:tcW w:w="1892" w:type="dxa"/>
            <w:vAlign w:val="center"/>
          </w:tcPr>
          <w:p w14:paraId="7487916F">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1.46</w:t>
            </w:r>
          </w:p>
        </w:tc>
        <w:tc>
          <w:tcPr>
            <w:tcW w:w="1892" w:type="dxa"/>
            <w:vAlign w:val="center"/>
          </w:tcPr>
          <w:p w14:paraId="0FE35500">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0.12</w:t>
            </w:r>
          </w:p>
        </w:tc>
        <w:tc>
          <w:tcPr>
            <w:tcW w:w="1892" w:type="dxa"/>
            <w:vAlign w:val="center"/>
          </w:tcPr>
          <w:p w14:paraId="1F409647">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10.77</w:t>
            </w:r>
          </w:p>
        </w:tc>
      </w:tr>
      <w:tr w14:paraId="288BF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4" w:type="dxa"/>
            <w:vAlign w:val="center"/>
          </w:tcPr>
          <w:p w14:paraId="0CC7200B">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12月</w:t>
            </w:r>
          </w:p>
        </w:tc>
        <w:tc>
          <w:tcPr>
            <w:tcW w:w="1892" w:type="dxa"/>
            <w:vAlign w:val="center"/>
          </w:tcPr>
          <w:p w14:paraId="4E24F6D9">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42.77</w:t>
            </w:r>
          </w:p>
        </w:tc>
        <w:tc>
          <w:tcPr>
            <w:tcW w:w="1892" w:type="dxa"/>
            <w:vAlign w:val="center"/>
          </w:tcPr>
          <w:p w14:paraId="7B1ECD27">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1.06</w:t>
            </w:r>
          </w:p>
        </w:tc>
        <w:tc>
          <w:tcPr>
            <w:tcW w:w="1892" w:type="dxa"/>
            <w:vAlign w:val="center"/>
          </w:tcPr>
          <w:p w14:paraId="67B147B4">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0.14</w:t>
            </w:r>
          </w:p>
        </w:tc>
        <w:tc>
          <w:tcPr>
            <w:tcW w:w="1892" w:type="dxa"/>
            <w:vAlign w:val="center"/>
          </w:tcPr>
          <w:p w14:paraId="1718AC05">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9.9</w:t>
            </w:r>
          </w:p>
        </w:tc>
      </w:tr>
    </w:tbl>
    <w:p w14:paraId="1C9B7415">
      <w:pPr>
        <w:spacing w:line="360" w:lineRule="auto"/>
        <w:ind w:firstLine="480" w:firstLineChars="200"/>
        <w:jc w:val="left"/>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根据在线监测数据可知，</w:t>
      </w:r>
      <w:r>
        <w:rPr>
          <w:rFonts w:ascii="Times New Roman" w:hAnsi="Times New Roman" w:eastAsia="宋体" w:cs="Times New Roman"/>
          <w:color w:val="auto"/>
          <w:sz w:val="24"/>
          <w:szCs w:val="24"/>
        </w:rPr>
        <w:t>2022</w:t>
      </w:r>
      <w:r>
        <w:rPr>
          <w:rFonts w:hint="eastAsia" w:ascii="Times New Roman" w:hAnsi="Times New Roman" w:eastAsia="宋体" w:cs="Times New Roman"/>
          <w:color w:val="auto"/>
          <w:sz w:val="24"/>
          <w:szCs w:val="24"/>
        </w:rPr>
        <w:t>年</w:t>
      </w:r>
      <w:r>
        <w:rPr>
          <w:rFonts w:ascii="Times New Roman" w:hAnsi="Times New Roman" w:eastAsia="宋体" w:cs="Times New Roman"/>
          <w:color w:val="auto"/>
          <w:sz w:val="24"/>
          <w:szCs w:val="24"/>
        </w:rPr>
        <w:t>1</w:t>
      </w:r>
      <w:r>
        <w:rPr>
          <w:rFonts w:hint="eastAsia" w:ascii="Times New Roman" w:hAnsi="Times New Roman" w:eastAsia="宋体" w:cs="Times New Roman"/>
          <w:color w:val="auto"/>
          <w:sz w:val="24"/>
          <w:szCs w:val="24"/>
        </w:rPr>
        <w:t>月</w:t>
      </w:r>
      <w:r>
        <w:rPr>
          <w:rFonts w:ascii="Times New Roman" w:hAnsi="Times New Roman" w:eastAsia="宋体" w:cs="Times New Roman"/>
          <w:color w:val="auto"/>
          <w:sz w:val="24"/>
          <w:szCs w:val="24"/>
        </w:rPr>
        <w:t>-12</w:t>
      </w:r>
      <w:r>
        <w:rPr>
          <w:rFonts w:hint="eastAsia" w:ascii="Times New Roman" w:hAnsi="Times New Roman" w:eastAsia="宋体" w:cs="Times New Roman"/>
          <w:color w:val="auto"/>
          <w:sz w:val="24"/>
          <w:szCs w:val="24"/>
        </w:rPr>
        <w:t>月，</w:t>
      </w:r>
      <w:r>
        <w:rPr>
          <w:rFonts w:ascii="Times New Roman" w:hAnsi="Times New Roman" w:eastAsia="宋体" w:cs="Times New Roman"/>
          <w:color w:val="auto"/>
          <w:kern w:val="0"/>
          <w:sz w:val="24"/>
          <w:szCs w:val="24"/>
        </w:rPr>
        <w:t>津市高新区污水处理厂（一期、二期及二期扩容）</w:t>
      </w:r>
      <w:r>
        <w:rPr>
          <w:rFonts w:ascii="Times New Roman" w:hAnsi="Times New Roman" w:eastAsia="宋体" w:cs="Times New Roman"/>
          <w:color w:val="auto"/>
          <w:sz w:val="24"/>
          <w:szCs w:val="24"/>
        </w:rPr>
        <w:t>COD</w:t>
      </w:r>
      <w:r>
        <w:rPr>
          <w:rFonts w:hint="eastAsia" w:ascii="Times New Roman" w:hAnsi="Times New Roman" w:eastAsia="宋体" w:cs="Times New Roman"/>
          <w:color w:val="auto"/>
          <w:sz w:val="24"/>
          <w:szCs w:val="24"/>
        </w:rPr>
        <w:t>出水浓度范围为</w:t>
      </w:r>
      <w:r>
        <w:rPr>
          <w:rFonts w:ascii="Times New Roman" w:hAnsi="Times New Roman" w:eastAsia="宋体" w:cs="Times New Roman"/>
          <w:color w:val="auto"/>
          <w:sz w:val="24"/>
          <w:szCs w:val="24"/>
        </w:rPr>
        <w:t>26.64mg/L~44mg/L</w:t>
      </w:r>
      <w:r>
        <w:rPr>
          <w:rFonts w:hint="eastAsia" w:ascii="Times New Roman" w:hAnsi="Times New Roman" w:eastAsia="宋体" w:cs="Times New Roman"/>
          <w:color w:val="auto"/>
          <w:sz w:val="24"/>
          <w:szCs w:val="24"/>
        </w:rPr>
        <w:t>、氨氮出水浓度范围为</w:t>
      </w:r>
      <w:r>
        <w:rPr>
          <w:rFonts w:ascii="Times New Roman" w:hAnsi="Times New Roman" w:eastAsia="宋体" w:cs="Times New Roman"/>
          <w:color w:val="auto"/>
          <w:sz w:val="24"/>
          <w:szCs w:val="24"/>
        </w:rPr>
        <w:t>0.3</w:t>
      </w:r>
      <w:r>
        <w:rPr>
          <w:rFonts w:hint="eastAsia" w:ascii="Times New Roman" w:hAnsi="Times New Roman" w:eastAsia="宋体" w:cs="Times New Roman"/>
          <w:color w:val="auto"/>
          <w:sz w:val="24"/>
          <w:szCs w:val="24"/>
        </w:rPr>
        <w:t>8</w:t>
      </w:r>
      <w:r>
        <w:rPr>
          <w:rFonts w:ascii="Times New Roman" w:hAnsi="Times New Roman" w:eastAsia="宋体" w:cs="Times New Roman"/>
          <w:color w:val="auto"/>
          <w:sz w:val="24"/>
          <w:szCs w:val="24"/>
        </w:rPr>
        <w:t>mg/L~3.18mg/L</w:t>
      </w:r>
      <w:r>
        <w:rPr>
          <w:rFonts w:hint="eastAsia" w:ascii="Times New Roman" w:hAnsi="Times New Roman" w:eastAsia="宋体" w:cs="Times New Roman"/>
          <w:color w:val="auto"/>
          <w:sz w:val="24"/>
          <w:szCs w:val="24"/>
        </w:rPr>
        <w:t>、总磷出水浓度范围为</w:t>
      </w:r>
      <w:r>
        <w:rPr>
          <w:rFonts w:ascii="Times New Roman" w:hAnsi="Times New Roman" w:eastAsia="宋体" w:cs="Times New Roman"/>
          <w:color w:val="auto"/>
          <w:sz w:val="24"/>
          <w:szCs w:val="24"/>
        </w:rPr>
        <w:t>0.09mg/L~0.3</w:t>
      </w:r>
      <w:r>
        <w:rPr>
          <w:rFonts w:hint="eastAsia" w:ascii="Times New Roman" w:hAnsi="Times New Roman" w:eastAsia="宋体" w:cs="Times New Roman"/>
          <w:color w:val="auto"/>
          <w:sz w:val="24"/>
          <w:szCs w:val="24"/>
        </w:rPr>
        <w:t>5</w:t>
      </w:r>
      <w:r>
        <w:rPr>
          <w:rFonts w:ascii="Times New Roman" w:hAnsi="Times New Roman" w:eastAsia="宋体" w:cs="Times New Roman"/>
          <w:color w:val="auto"/>
          <w:sz w:val="24"/>
          <w:szCs w:val="24"/>
        </w:rPr>
        <w:t>mg/L</w:t>
      </w:r>
      <w:r>
        <w:rPr>
          <w:rFonts w:hint="eastAsia" w:ascii="Times New Roman" w:hAnsi="Times New Roman" w:eastAsia="宋体" w:cs="Times New Roman"/>
          <w:color w:val="auto"/>
          <w:sz w:val="24"/>
          <w:szCs w:val="24"/>
        </w:rPr>
        <w:t>、总氮出水浓度范围为</w:t>
      </w:r>
      <w:r>
        <w:rPr>
          <w:rFonts w:ascii="Times New Roman" w:hAnsi="Times New Roman" w:eastAsia="宋体" w:cs="Times New Roman"/>
          <w:color w:val="auto"/>
          <w:sz w:val="24"/>
          <w:szCs w:val="24"/>
        </w:rPr>
        <w:t>9.05mg/L~10.97mg/L</w:t>
      </w:r>
      <w:r>
        <w:rPr>
          <w:rFonts w:hint="eastAsia" w:ascii="Times New Roman" w:hAnsi="Times New Roman" w:eastAsia="宋体" w:cs="Times New Roman"/>
          <w:color w:val="auto"/>
          <w:sz w:val="24"/>
          <w:szCs w:val="24"/>
        </w:rPr>
        <w:t>，出水能稳定达到《城镇污水处理厂污染物排放标准》（</w:t>
      </w:r>
      <w:r>
        <w:rPr>
          <w:rFonts w:ascii="Times New Roman" w:hAnsi="Times New Roman" w:eastAsia="宋体" w:cs="Times New Roman"/>
          <w:color w:val="auto"/>
          <w:sz w:val="24"/>
          <w:szCs w:val="24"/>
        </w:rPr>
        <w:t>GB18918-2002</w:t>
      </w:r>
      <w:r>
        <w:rPr>
          <w:rFonts w:hint="eastAsia" w:ascii="Times New Roman" w:hAnsi="Times New Roman" w:eastAsia="宋体" w:cs="Times New Roman"/>
          <w:color w:val="auto"/>
          <w:sz w:val="24"/>
          <w:szCs w:val="24"/>
        </w:rPr>
        <w:t>）中一级</w:t>
      </w:r>
      <w:r>
        <w:rPr>
          <w:rFonts w:ascii="Times New Roman" w:hAnsi="Times New Roman" w:eastAsia="宋体" w:cs="Times New Roman"/>
          <w:color w:val="auto"/>
          <w:sz w:val="24"/>
          <w:szCs w:val="24"/>
        </w:rPr>
        <w:t>A</w:t>
      </w:r>
      <w:r>
        <w:rPr>
          <w:rFonts w:hint="eastAsia" w:ascii="Times New Roman" w:hAnsi="Times New Roman" w:eastAsia="宋体" w:cs="Times New Roman"/>
          <w:color w:val="auto"/>
          <w:sz w:val="24"/>
          <w:szCs w:val="24"/>
        </w:rPr>
        <w:t>标准。</w:t>
      </w:r>
    </w:p>
    <w:p w14:paraId="12C11011">
      <w:pPr>
        <w:pStyle w:val="6"/>
        <w:bidi w:val="0"/>
      </w:pPr>
      <w:r>
        <w:rPr>
          <w:rFonts w:hint="eastAsia"/>
        </w:rPr>
        <w:t>表7.2.2-</w:t>
      </w:r>
      <w:r>
        <w:rPr>
          <w:rFonts w:hint="eastAsia"/>
          <w:lang w:val="en-US" w:eastAsia="zh-CN"/>
        </w:rPr>
        <w:t>5</w:t>
      </w:r>
      <w:r>
        <w:rPr>
          <w:rFonts w:hint="eastAsia"/>
        </w:rPr>
        <w:t xml:space="preserve"> 津市高新区污水处理厂2023年1-12月实际出水水质在线监测数据</w:t>
      </w:r>
    </w:p>
    <w:tbl>
      <w:tblPr>
        <w:tblStyle w:val="4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4"/>
        <w:gridCol w:w="1892"/>
        <w:gridCol w:w="1892"/>
        <w:gridCol w:w="1892"/>
        <w:gridCol w:w="1892"/>
      </w:tblGrid>
      <w:tr w14:paraId="74DA9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4" w:type="dxa"/>
            <w:vAlign w:val="center"/>
          </w:tcPr>
          <w:p w14:paraId="139205C4">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时间</w:t>
            </w:r>
          </w:p>
        </w:tc>
        <w:tc>
          <w:tcPr>
            <w:tcW w:w="1892" w:type="dxa"/>
            <w:vAlign w:val="center"/>
          </w:tcPr>
          <w:p w14:paraId="63F3DC69">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COD（mg/L）</w:t>
            </w:r>
          </w:p>
        </w:tc>
        <w:tc>
          <w:tcPr>
            <w:tcW w:w="1892" w:type="dxa"/>
            <w:vAlign w:val="center"/>
          </w:tcPr>
          <w:p w14:paraId="1D5B886E">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氨氮（mg/L）</w:t>
            </w:r>
          </w:p>
        </w:tc>
        <w:tc>
          <w:tcPr>
            <w:tcW w:w="1892" w:type="dxa"/>
            <w:vAlign w:val="center"/>
          </w:tcPr>
          <w:p w14:paraId="5B8DA718">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总磷（mg/L）</w:t>
            </w:r>
          </w:p>
        </w:tc>
        <w:tc>
          <w:tcPr>
            <w:tcW w:w="1892" w:type="dxa"/>
            <w:vAlign w:val="center"/>
          </w:tcPr>
          <w:p w14:paraId="64503A54">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总氮（mg/L）</w:t>
            </w:r>
          </w:p>
        </w:tc>
      </w:tr>
      <w:tr w14:paraId="025B3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4" w:type="dxa"/>
            <w:vAlign w:val="center"/>
          </w:tcPr>
          <w:p w14:paraId="00DE2B2C">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1月</w:t>
            </w:r>
          </w:p>
        </w:tc>
        <w:tc>
          <w:tcPr>
            <w:tcW w:w="1892" w:type="dxa"/>
            <w:vAlign w:val="center"/>
          </w:tcPr>
          <w:p w14:paraId="662AD554">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40.78</w:t>
            </w:r>
          </w:p>
        </w:tc>
        <w:tc>
          <w:tcPr>
            <w:tcW w:w="1892" w:type="dxa"/>
            <w:vAlign w:val="center"/>
          </w:tcPr>
          <w:p w14:paraId="1446E703">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1.35</w:t>
            </w:r>
          </w:p>
        </w:tc>
        <w:tc>
          <w:tcPr>
            <w:tcW w:w="1892" w:type="dxa"/>
            <w:vAlign w:val="center"/>
          </w:tcPr>
          <w:p w14:paraId="7F1927D1">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0.15</w:t>
            </w:r>
          </w:p>
        </w:tc>
        <w:tc>
          <w:tcPr>
            <w:tcW w:w="1892" w:type="dxa"/>
            <w:vAlign w:val="center"/>
          </w:tcPr>
          <w:p w14:paraId="031972F1">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9.77</w:t>
            </w:r>
          </w:p>
        </w:tc>
      </w:tr>
      <w:tr w14:paraId="557AA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4" w:type="dxa"/>
            <w:vAlign w:val="center"/>
          </w:tcPr>
          <w:p w14:paraId="0172C788">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2月</w:t>
            </w:r>
          </w:p>
        </w:tc>
        <w:tc>
          <w:tcPr>
            <w:tcW w:w="1892" w:type="dxa"/>
            <w:vAlign w:val="center"/>
          </w:tcPr>
          <w:p w14:paraId="2B5D5A8F">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40.53</w:t>
            </w:r>
          </w:p>
        </w:tc>
        <w:tc>
          <w:tcPr>
            <w:tcW w:w="1892" w:type="dxa"/>
            <w:vAlign w:val="center"/>
          </w:tcPr>
          <w:p w14:paraId="3767EDF7">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0.58</w:t>
            </w:r>
          </w:p>
        </w:tc>
        <w:tc>
          <w:tcPr>
            <w:tcW w:w="1892" w:type="dxa"/>
            <w:vAlign w:val="center"/>
          </w:tcPr>
          <w:p w14:paraId="2920F5F9">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0.25</w:t>
            </w:r>
          </w:p>
        </w:tc>
        <w:tc>
          <w:tcPr>
            <w:tcW w:w="1892" w:type="dxa"/>
            <w:vAlign w:val="center"/>
          </w:tcPr>
          <w:p w14:paraId="708911BE">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9.28</w:t>
            </w:r>
          </w:p>
        </w:tc>
      </w:tr>
      <w:tr w14:paraId="0817D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4" w:type="dxa"/>
            <w:vAlign w:val="center"/>
          </w:tcPr>
          <w:p w14:paraId="5C679AE7">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3月</w:t>
            </w:r>
          </w:p>
        </w:tc>
        <w:tc>
          <w:tcPr>
            <w:tcW w:w="1892" w:type="dxa"/>
            <w:vAlign w:val="center"/>
          </w:tcPr>
          <w:p w14:paraId="0DAE7ED1">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38.67</w:t>
            </w:r>
          </w:p>
        </w:tc>
        <w:tc>
          <w:tcPr>
            <w:tcW w:w="1892" w:type="dxa"/>
            <w:vAlign w:val="center"/>
          </w:tcPr>
          <w:p w14:paraId="7A43C4CE">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0.21</w:t>
            </w:r>
          </w:p>
        </w:tc>
        <w:tc>
          <w:tcPr>
            <w:tcW w:w="1892" w:type="dxa"/>
            <w:vAlign w:val="center"/>
          </w:tcPr>
          <w:p w14:paraId="14E20B79">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0.18</w:t>
            </w:r>
          </w:p>
        </w:tc>
        <w:tc>
          <w:tcPr>
            <w:tcW w:w="1892" w:type="dxa"/>
            <w:vAlign w:val="center"/>
          </w:tcPr>
          <w:p w14:paraId="3EDEE584">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6.71</w:t>
            </w:r>
          </w:p>
        </w:tc>
      </w:tr>
      <w:tr w14:paraId="1E3BD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4" w:type="dxa"/>
            <w:vAlign w:val="center"/>
          </w:tcPr>
          <w:p w14:paraId="16269A1A">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4月</w:t>
            </w:r>
          </w:p>
        </w:tc>
        <w:tc>
          <w:tcPr>
            <w:tcW w:w="1892" w:type="dxa"/>
            <w:vAlign w:val="center"/>
          </w:tcPr>
          <w:p w14:paraId="61F287FF">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38.93</w:t>
            </w:r>
          </w:p>
        </w:tc>
        <w:tc>
          <w:tcPr>
            <w:tcW w:w="1892" w:type="dxa"/>
            <w:vAlign w:val="center"/>
          </w:tcPr>
          <w:p w14:paraId="30583674">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0.13</w:t>
            </w:r>
          </w:p>
        </w:tc>
        <w:tc>
          <w:tcPr>
            <w:tcW w:w="1892" w:type="dxa"/>
            <w:vAlign w:val="center"/>
          </w:tcPr>
          <w:p w14:paraId="432DBA6F">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0.17</w:t>
            </w:r>
          </w:p>
        </w:tc>
        <w:tc>
          <w:tcPr>
            <w:tcW w:w="1892" w:type="dxa"/>
            <w:vAlign w:val="center"/>
          </w:tcPr>
          <w:p w14:paraId="4C561A4D">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9.71</w:t>
            </w:r>
          </w:p>
        </w:tc>
      </w:tr>
      <w:tr w14:paraId="00E25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4" w:type="dxa"/>
            <w:vAlign w:val="center"/>
          </w:tcPr>
          <w:p w14:paraId="79BFB022">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5月</w:t>
            </w:r>
          </w:p>
        </w:tc>
        <w:tc>
          <w:tcPr>
            <w:tcW w:w="1892" w:type="dxa"/>
            <w:vAlign w:val="center"/>
          </w:tcPr>
          <w:p w14:paraId="49D51345">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38.29</w:t>
            </w:r>
          </w:p>
        </w:tc>
        <w:tc>
          <w:tcPr>
            <w:tcW w:w="1892" w:type="dxa"/>
            <w:vAlign w:val="center"/>
          </w:tcPr>
          <w:p w14:paraId="0E510EEB">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0.14</w:t>
            </w:r>
          </w:p>
        </w:tc>
        <w:tc>
          <w:tcPr>
            <w:tcW w:w="1892" w:type="dxa"/>
            <w:vAlign w:val="center"/>
          </w:tcPr>
          <w:p w14:paraId="56B60079">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0.19</w:t>
            </w:r>
          </w:p>
        </w:tc>
        <w:tc>
          <w:tcPr>
            <w:tcW w:w="1892" w:type="dxa"/>
            <w:vAlign w:val="center"/>
          </w:tcPr>
          <w:p w14:paraId="1F3CF727">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8.44</w:t>
            </w:r>
          </w:p>
        </w:tc>
      </w:tr>
      <w:tr w14:paraId="113E3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4" w:type="dxa"/>
            <w:vAlign w:val="center"/>
          </w:tcPr>
          <w:p w14:paraId="06C236D4">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6月</w:t>
            </w:r>
          </w:p>
        </w:tc>
        <w:tc>
          <w:tcPr>
            <w:tcW w:w="1892" w:type="dxa"/>
            <w:vAlign w:val="center"/>
          </w:tcPr>
          <w:p w14:paraId="63BE1A03">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39.45</w:t>
            </w:r>
          </w:p>
        </w:tc>
        <w:tc>
          <w:tcPr>
            <w:tcW w:w="1892" w:type="dxa"/>
            <w:vAlign w:val="center"/>
          </w:tcPr>
          <w:p w14:paraId="0EF8D6DF">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0.32</w:t>
            </w:r>
          </w:p>
        </w:tc>
        <w:tc>
          <w:tcPr>
            <w:tcW w:w="1892" w:type="dxa"/>
            <w:vAlign w:val="center"/>
          </w:tcPr>
          <w:p w14:paraId="7B57E8D9">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0.21</w:t>
            </w:r>
          </w:p>
        </w:tc>
        <w:tc>
          <w:tcPr>
            <w:tcW w:w="1892" w:type="dxa"/>
            <w:vAlign w:val="center"/>
          </w:tcPr>
          <w:p w14:paraId="768CC3BD">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7.64</w:t>
            </w:r>
          </w:p>
        </w:tc>
      </w:tr>
      <w:tr w14:paraId="64260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4" w:type="dxa"/>
            <w:vAlign w:val="center"/>
          </w:tcPr>
          <w:p w14:paraId="1A5FC372">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7月</w:t>
            </w:r>
          </w:p>
        </w:tc>
        <w:tc>
          <w:tcPr>
            <w:tcW w:w="1892" w:type="dxa"/>
            <w:vAlign w:val="center"/>
          </w:tcPr>
          <w:p w14:paraId="66D9B564">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39.55</w:t>
            </w:r>
          </w:p>
        </w:tc>
        <w:tc>
          <w:tcPr>
            <w:tcW w:w="1892" w:type="dxa"/>
            <w:vAlign w:val="center"/>
          </w:tcPr>
          <w:p w14:paraId="4910BA62">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0.06</w:t>
            </w:r>
          </w:p>
        </w:tc>
        <w:tc>
          <w:tcPr>
            <w:tcW w:w="1892" w:type="dxa"/>
            <w:vAlign w:val="center"/>
          </w:tcPr>
          <w:p w14:paraId="21CB2183">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0.13</w:t>
            </w:r>
          </w:p>
        </w:tc>
        <w:tc>
          <w:tcPr>
            <w:tcW w:w="1892" w:type="dxa"/>
            <w:vAlign w:val="center"/>
          </w:tcPr>
          <w:p w14:paraId="08D16540">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4.5</w:t>
            </w:r>
          </w:p>
        </w:tc>
      </w:tr>
      <w:tr w14:paraId="7C9C1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4" w:type="dxa"/>
            <w:vAlign w:val="center"/>
          </w:tcPr>
          <w:p w14:paraId="21DD6D3C">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8月</w:t>
            </w:r>
          </w:p>
        </w:tc>
        <w:tc>
          <w:tcPr>
            <w:tcW w:w="1892" w:type="dxa"/>
            <w:vAlign w:val="center"/>
          </w:tcPr>
          <w:p w14:paraId="46B451D7">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33.74</w:t>
            </w:r>
          </w:p>
        </w:tc>
        <w:tc>
          <w:tcPr>
            <w:tcW w:w="1892" w:type="dxa"/>
            <w:vAlign w:val="center"/>
          </w:tcPr>
          <w:p w14:paraId="0EB4840B">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0.13</w:t>
            </w:r>
          </w:p>
        </w:tc>
        <w:tc>
          <w:tcPr>
            <w:tcW w:w="1892" w:type="dxa"/>
            <w:vAlign w:val="center"/>
          </w:tcPr>
          <w:p w14:paraId="3E3A52CB">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0.12</w:t>
            </w:r>
          </w:p>
        </w:tc>
        <w:tc>
          <w:tcPr>
            <w:tcW w:w="1892" w:type="dxa"/>
            <w:vAlign w:val="center"/>
          </w:tcPr>
          <w:p w14:paraId="5E870372">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5.52</w:t>
            </w:r>
          </w:p>
        </w:tc>
      </w:tr>
      <w:tr w14:paraId="7D15F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4" w:type="dxa"/>
            <w:vAlign w:val="center"/>
          </w:tcPr>
          <w:p w14:paraId="0ABC855D">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9月</w:t>
            </w:r>
          </w:p>
        </w:tc>
        <w:tc>
          <w:tcPr>
            <w:tcW w:w="1892" w:type="dxa"/>
            <w:vAlign w:val="center"/>
          </w:tcPr>
          <w:p w14:paraId="7D54F8C1">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20.75</w:t>
            </w:r>
          </w:p>
        </w:tc>
        <w:tc>
          <w:tcPr>
            <w:tcW w:w="1892" w:type="dxa"/>
            <w:vAlign w:val="center"/>
          </w:tcPr>
          <w:p w14:paraId="3FD7F841">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0.08</w:t>
            </w:r>
          </w:p>
        </w:tc>
        <w:tc>
          <w:tcPr>
            <w:tcW w:w="1892" w:type="dxa"/>
            <w:vAlign w:val="center"/>
          </w:tcPr>
          <w:p w14:paraId="5B5B9E11">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0.22</w:t>
            </w:r>
          </w:p>
        </w:tc>
        <w:tc>
          <w:tcPr>
            <w:tcW w:w="1892" w:type="dxa"/>
            <w:vAlign w:val="center"/>
          </w:tcPr>
          <w:p w14:paraId="64CBE4D0">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5.86</w:t>
            </w:r>
          </w:p>
        </w:tc>
      </w:tr>
      <w:tr w14:paraId="35E1B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4" w:type="dxa"/>
            <w:vAlign w:val="center"/>
          </w:tcPr>
          <w:p w14:paraId="4F7D99D3">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10月</w:t>
            </w:r>
          </w:p>
        </w:tc>
        <w:tc>
          <w:tcPr>
            <w:tcW w:w="1892" w:type="dxa"/>
            <w:vAlign w:val="center"/>
          </w:tcPr>
          <w:p w14:paraId="20830ACC">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23.25</w:t>
            </w:r>
          </w:p>
        </w:tc>
        <w:tc>
          <w:tcPr>
            <w:tcW w:w="1892" w:type="dxa"/>
            <w:vAlign w:val="center"/>
          </w:tcPr>
          <w:p w14:paraId="5E41F119">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0.06</w:t>
            </w:r>
          </w:p>
        </w:tc>
        <w:tc>
          <w:tcPr>
            <w:tcW w:w="1892" w:type="dxa"/>
            <w:vAlign w:val="center"/>
          </w:tcPr>
          <w:p w14:paraId="22CB46BE">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0.33</w:t>
            </w:r>
          </w:p>
        </w:tc>
        <w:tc>
          <w:tcPr>
            <w:tcW w:w="1892" w:type="dxa"/>
            <w:vAlign w:val="center"/>
          </w:tcPr>
          <w:p w14:paraId="6B65A7C2">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4.55</w:t>
            </w:r>
          </w:p>
        </w:tc>
      </w:tr>
      <w:tr w14:paraId="60769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4" w:type="dxa"/>
            <w:vAlign w:val="center"/>
          </w:tcPr>
          <w:p w14:paraId="2FDA9219">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11月</w:t>
            </w:r>
          </w:p>
        </w:tc>
        <w:tc>
          <w:tcPr>
            <w:tcW w:w="1892" w:type="dxa"/>
            <w:vAlign w:val="center"/>
          </w:tcPr>
          <w:p w14:paraId="6F2393DC">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28.72</w:t>
            </w:r>
          </w:p>
        </w:tc>
        <w:tc>
          <w:tcPr>
            <w:tcW w:w="1892" w:type="dxa"/>
            <w:vAlign w:val="center"/>
          </w:tcPr>
          <w:p w14:paraId="42EC4367">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0.08</w:t>
            </w:r>
          </w:p>
        </w:tc>
        <w:tc>
          <w:tcPr>
            <w:tcW w:w="1892" w:type="dxa"/>
            <w:vAlign w:val="center"/>
          </w:tcPr>
          <w:p w14:paraId="7CE29038">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0.32</w:t>
            </w:r>
          </w:p>
        </w:tc>
        <w:tc>
          <w:tcPr>
            <w:tcW w:w="1892" w:type="dxa"/>
            <w:vAlign w:val="center"/>
          </w:tcPr>
          <w:p w14:paraId="1AC3B154">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5.01</w:t>
            </w:r>
          </w:p>
        </w:tc>
      </w:tr>
      <w:tr w14:paraId="07132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4" w:type="dxa"/>
            <w:vAlign w:val="center"/>
          </w:tcPr>
          <w:p w14:paraId="4068E17F">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12月</w:t>
            </w:r>
          </w:p>
        </w:tc>
        <w:tc>
          <w:tcPr>
            <w:tcW w:w="1892" w:type="dxa"/>
            <w:vAlign w:val="center"/>
          </w:tcPr>
          <w:p w14:paraId="129FA99E">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34.77</w:t>
            </w:r>
          </w:p>
        </w:tc>
        <w:tc>
          <w:tcPr>
            <w:tcW w:w="1892" w:type="dxa"/>
            <w:vAlign w:val="center"/>
          </w:tcPr>
          <w:p w14:paraId="123ADC22">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0.07</w:t>
            </w:r>
          </w:p>
        </w:tc>
        <w:tc>
          <w:tcPr>
            <w:tcW w:w="1892" w:type="dxa"/>
            <w:vAlign w:val="center"/>
          </w:tcPr>
          <w:p w14:paraId="771BADA2">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0.31</w:t>
            </w:r>
          </w:p>
        </w:tc>
        <w:tc>
          <w:tcPr>
            <w:tcW w:w="1892" w:type="dxa"/>
            <w:vAlign w:val="center"/>
          </w:tcPr>
          <w:p w14:paraId="7BE12346">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5.19</w:t>
            </w:r>
          </w:p>
        </w:tc>
      </w:tr>
    </w:tbl>
    <w:p w14:paraId="048C96FC">
      <w:pPr>
        <w:spacing w:line="360" w:lineRule="auto"/>
        <w:ind w:firstLine="480" w:firstLineChars="200"/>
        <w:jc w:val="left"/>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根据在线监测数据可知，</w:t>
      </w:r>
      <w:r>
        <w:rPr>
          <w:rFonts w:ascii="Times New Roman" w:hAnsi="Times New Roman" w:eastAsia="宋体" w:cs="Times New Roman"/>
          <w:color w:val="auto"/>
          <w:sz w:val="24"/>
          <w:szCs w:val="24"/>
        </w:rPr>
        <w:t>2023</w:t>
      </w:r>
      <w:r>
        <w:rPr>
          <w:rFonts w:hint="eastAsia" w:ascii="Times New Roman" w:hAnsi="Times New Roman" w:eastAsia="宋体" w:cs="Times New Roman"/>
          <w:color w:val="auto"/>
          <w:sz w:val="24"/>
          <w:szCs w:val="24"/>
        </w:rPr>
        <w:t>年</w:t>
      </w:r>
      <w:r>
        <w:rPr>
          <w:rFonts w:ascii="Times New Roman" w:hAnsi="Times New Roman" w:eastAsia="宋体" w:cs="Times New Roman"/>
          <w:color w:val="auto"/>
          <w:sz w:val="24"/>
          <w:szCs w:val="24"/>
        </w:rPr>
        <w:t>1</w:t>
      </w:r>
      <w:r>
        <w:rPr>
          <w:rFonts w:hint="eastAsia" w:ascii="Times New Roman" w:hAnsi="Times New Roman" w:eastAsia="宋体" w:cs="Times New Roman"/>
          <w:color w:val="auto"/>
          <w:sz w:val="24"/>
          <w:szCs w:val="24"/>
        </w:rPr>
        <w:t>月</w:t>
      </w:r>
      <w:r>
        <w:rPr>
          <w:rFonts w:ascii="Times New Roman" w:hAnsi="Times New Roman" w:eastAsia="宋体" w:cs="Times New Roman"/>
          <w:color w:val="auto"/>
          <w:sz w:val="24"/>
          <w:szCs w:val="24"/>
        </w:rPr>
        <w:t>-12</w:t>
      </w:r>
      <w:r>
        <w:rPr>
          <w:rFonts w:hint="eastAsia" w:ascii="Times New Roman" w:hAnsi="Times New Roman" w:eastAsia="宋体" w:cs="Times New Roman"/>
          <w:color w:val="auto"/>
          <w:sz w:val="24"/>
          <w:szCs w:val="24"/>
        </w:rPr>
        <w:t>月，</w:t>
      </w:r>
      <w:r>
        <w:rPr>
          <w:rFonts w:ascii="Times New Roman" w:hAnsi="Times New Roman" w:eastAsia="宋体" w:cs="Times New Roman"/>
          <w:color w:val="auto"/>
          <w:kern w:val="0"/>
          <w:sz w:val="24"/>
          <w:szCs w:val="24"/>
        </w:rPr>
        <w:t>津市高新区污水处理厂（一期、二期及二期扩容）</w:t>
      </w:r>
      <w:r>
        <w:rPr>
          <w:rFonts w:ascii="Times New Roman" w:hAnsi="Times New Roman" w:eastAsia="宋体" w:cs="Times New Roman"/>
          <w:color w:val="auto"/>
          <w:sz w:val="24"/>
          <w:szCs w:val="24"/>
        </w:rPr>
        <w:t>COD</w:t>
      </w:r>
      <w:r>
        <w:rPr>
          <w:rFonts w:hint="eastAsia" w:ascii="Times New Roman" w:hAnsi="Times New Roman" w:eastAsia="宋体" w:cs="Times New Roman"/>
          <w:color w:val="auto"/>
          <w:sz w:val="24"/>
          <w:szCs w:val="24"/>
        </w:rPr>
        <w:t>出水浓度范围为</w:t>
      </w:r>
      <w:r>
        <w:rPr>
          <w:rFonts w:ascii="Times New Roman" w:hAnsi="Times New Roman" w:eastAsia="宋体" w:cs="Times New Roman"/>
          <w:color w:val="auto"/>
          <w:sz w:val="24"/>
          <w:szCs w:val="24"/>
        </w:rPr>
        <w:t>20.7</w:t>
      </w:r>
      <w:r>
        <w:rPr>
          <w:rFonts w:hint="eastAsia" w:ascii="Times New Roman" w:hAnsi="Times New Roman" w:eastAsia="宋体" w:cs="Times New Roman"/>
          <w:color w:val="auto"/>
          <w:sz w:val="24"/>
          <w:szCs w:val="24"/>
        </w:rPr>
        <w:t>5</w:t>
      </w:r>
      <w:r>
        <w:rPr>
          <w:rFonts w:ascii="Times New Roman" w:hAnsi="Times New Roman" w:eastAsia="宋体" w:cs="Times New Roman"/>
          <w:color w:val="auto"/>
          <w:sz w:val="24"/>
          <w:szCs w:val="24"/>
        </w:rPr>
        <w:t>mg/L~40.7</w:t>
      </w:r>
      <w:r>
        <w:rPr>
          <w:rFonts w:hint="eastAsia" w:ascii="Times New Roman" w:hAnsi="Times New Roman" w:eastAsia="宋体" w:cs="Times New Roman"/>
          <w:color w:val="auto"/>
          <w:sz w:val="24"/>
          <w:szCs w:val="24"/>
        </w:rPr>
        <w:t>8</w:t>
      </w:r>
      <w:r>
        <w:rPr>
          <w:rFonts w:ascii="Times New Roman" w:hAnsi="Times New Roman" w:eastAsia="宋体" w:cs="Times New Roman"/>
          <w:color w:val="auto"/>
          <w:sz w:val="24"/>
          <w:szCs w:val="24"/>
        </w:rPr>
        <w:t>mg/L</w:t>
      </w:r>
      <w:r>
        <w:rPr>
          <w:rFonts w:hint="eastAsia" w:ascii="Times New Roman" w:hAnsi="Times New Roman" w:eastAsia="宋体" w:cs="Times New Roman"/>
          <w:color w:val="auto"/>
          <w:sz w:val="24"/>
          <w:szCs w:val="24"/>
        </w:rPr>
        <w:t>、氨氮出水浓度范围为</w:t>
      </w:r>
      <w:r>
        <w:rPr>
          <w:rFonts w:ascii="Times New Roman" w:hAnsi="Times New Roman" w:eastAsia="宋体" w:cs="Times New Roman"/>
          <w:color w:val="auto"/>
          <w:sz w:val="24"/>
          <w:szCs w:val="24"/>
        </w:rPr>
        <w:t>0.0</w:t>
      </w:r>
      <w:r>
        <w:rPr>
          <w:rFonts w:hint="eastAsia" w:ascii="Times New Roman" w:hAnsi="Times New Roman" w:eastAsia="宋体" w:cs="Times New Roman"/>
          <w:color w:val="auto"/>
          <w:sz w:val="24"/>
          <w:szCs w:val="24"/>
        </w:rPr>
        <w:t>6</w:t>
      </w:r>
      <w:r>
        <w:rPr>
          <w:rFonts w:ascii="Times New Roman" w:hAnsi="Times New Roman" w:eastAsia="宋体" w:cs="Times New Roman"/>
          <w:color w:val="auto"/>
          <w:sz w:val="24"/>
          <w:szCs w:val="24"/>
        </w:rPr>
        <w:t>mg/L~1.35mg/L</w:t>
      </w:r>
      <w:r>
        <w:rPr>
          <w:rFonts w:hint="eastAsia" w:ascii="Times New Roman" w:hAnsi="Times New Roman" w:eastAsia="宋体" w:cs="Times New Roman"/>
          <w:color w:val="auto"/>
          <w:sz w:val="24"/>
          <w:szCs w:val="24"/>
        </w:rPr>
        <w:t>、总磷出水浓度范围为</w:t>
      </w:r>
      <w:r>
        <w:rPr>
          <w:rFonts w:ascii="Times New Roman" w:hAnsi="Times New Roman" w:eastAsia="宋体" w:cs="Times New Roman"/>
          <w:color w:val="auto"/>
          <w:sz w:val="24"/>
          <w:szCs w:val="24"/>
        </w:rPr>
        <w:t>0.12mg/L~0.32mg/L</w:t>
      </w:r>
      <w:r>
        <w:rPr>
          <w:rFonts w:hint="eastAsia" w:ascii="Times New Roman" w:hAnsi="Times New Roman" w:eastAsia="宋体" w:cs="Times New Roman"/>
          <w:color w:val="auto"/>
          <w:sz w:val="24"/>
          <w:szCs w:val="24"/>
        </w:rPr>
        <w:t>、总氮出水浓度范围为</w:t>
      </w:r>
      <w:r>
        <w:rPr>
          <w:rFonts w:ascii="Times New Roman" w:hAnsi="Times New Roman" w:eastAsia="宋体" w:cs="Times New Roman"/>
          <w:color w:val="auto"/>
          <w:sz w:val="24"/>
          <w:szCs w:val="24"/>
        </w:rPr>
        <w:t>4.5mg/L~9.7</w:t>
      </w:r>
      <w:r>
        <w:rPr>
          <w:rFonts w:hint="eastAsia" w:ascii="Times New Roman" w:hAnsi="Times New Roman" w:eastAsia="宋体" w:cs="Times New Roman"/>
          <w:color w:val="auto"/>
          <w:sz w:val="24"/>
          <w:szCs w:val="24"/>
        </w:rPr>
        <w:t>7</w:t>
      </w:r>
      <w:r>
        <w:rPr>
          <w:rFonts w:ascii="Times New Roman" w:hAnsi="Times New Roman" w:eastAsia="宋体" w:cs="Times New Roman"/>
          <w:color w:val="auto"/>
          <w:sz w:val="24"/>
          <w:szCs w:val="24"/>
        </w:rPr>
        <w:t>mg/L</w:t>
      </w:r>
      <w:r>
        <w:rPr>
          <w:rFonts w:hint="eastAsia" w:ascii="Times New Roman" w:hAnsi="Times New Roman" w:eastAsia="宋体" w:cs="Times New Roman"/>
          <w:color w:val="auto"/>
          <w:sz w:val="24"/>
          <w:szCs w:val="24"/>
        </w:rPr>
        <w:t>，出水能稳定达到《城镇污水处理厂污染物排放标准》（</w:t>
      </w:r>
      <w:r>
        <w:rPr>
          <w:rFonts w:ascii="Times New Roman" w:hAnsi="Times New Roman" w:eastAsia="宋体" w:cs="Times New Roman"/>
          <w:color w:val="auto"/>
          <w:sz w:val="24"/>
          <w:szCs w:val="24"/>
        </w:rPr>
        <w:t>GB18918-2002</w:t>
      </w:r>
      <w:r>
        <w:rPr>
          <w:rFonts w:hint="eastAsia" w:ascii="Times New Roman" w:hAnsi="Times New Roman" w:eastAsia="宋体" w:cs="Times New Roman"/>
          <w:color w:val="auto"/>
          <w:sz w:val="24"/>
          <w:szCs w:val="24"/>
        </w:rPr>
        <w:t>）中一级</w:t>
      </w:r>
      <w:r>
        <w:rPr>
          <w:rFonts w:ascii="Times New Roman" w:hAnsi="Times New Roman" w:eastAsia="宋体" w:cs="Times New Roman"/>
          <w:color w:val="auto"/>
          <w:sz w:val="24"/>
          <w:szCs w:val="24"/>
        </w:rPr>
        <w:t>A</w:t>
      </w:r>
      <w:r>
        <w:rPr>
          <w:rFonts w:hint="eastAsia" w:ascii="Times New Roman" w:hAnsi="Times New Roman" w:eastAsia="宋体" w:cs="Times New Roman"/>
          <w:color w:val="auto"/>
          <w:sz w:val="24"/>
          <w:szCs w:val="24"/>
        </w:rPr>
        <w:t>标准。</w:t>
      </w:r>
    </w:p>
    <w:p w14:paraId="2088F83F">
      <w:pPr>
        <w:spacing w:line="360" w:lineRule="auto"/>
        <w:ind w:firstLine="480" w:firstLineChars="200"/>
        <w:jc w:val="left"/>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②第三方监测</w:t>
      </w:r>
    </w:p>
    <w:p w14:paraId="41A8534A">
      <w:pPr>
        <w:spacing w:line="360" w:lineRule="auto"/>
        <w:ind w:firstLine="480" w:firstLineChars="200"/>
        <w:jc w:val="left"/>
        <w:rPr>
          <w:rFonts w:ascii="Times New Roman" w:hAnsi="Times New Roman" w:eastAsia="宋体" w:cs="Times New Roman"/>
          <w:color w:val="auto"/>
          <w:sz w:val="24"/>
          <w:szCs w:val="24"/>
        </w:rPr>
      </w:pPr>
    </w:p>
    <w:p w14:paraId="70AAB4CF">
      <w:pPr>
        <w:spacing w:line="360" w:lineRule="auto"/>
        <w:ind w:firstLine="480" w:firstLineChars="200"/>
        <w:jc w:val="left"/>
        <w:rPr>
          <w:rFonts w:ascii="Times New Roman" w:hAnsi="Times New Roman" w:eastAsia="宋体" w:cs="Times New Roman"/>
          <w:color w:val="auto"/>
          <w:sz w:val="24"/>
        </w:rPr>
        <w:sectPr>
          <w:headerReference r:id="rId12" w:type="default"/>
          <w:footerReference r:id="rId13" w:type="default"/>
          <w:pgSz w:w="11906" w:h="16838"/>
          <w:pgMar w:top="1440" w:right="1800" w:bottom="1440" w:left="1800" w:header="851" w:footer="992" w:gutter="0"/>
          <w:cols w:space="720" w:num="1"/>
          <w:docGrid w:type="lines" w:linePitch="312" w:charSpace="0"/>
        </w:sectPr>
      </w:pPr>
    </w:p>
    <w:p w14:paraId="420A2D70">
      <w:pPr>
        <w:pStyle w:val="6"/>
        <w:bidi w:val="0"/>
      </w:pPr>
      <w:r>
        <w:rPr>
          <w:rFonts w:hint="eastAsia"/>
        </w:rPr>
        <w:t>表7.2.2-6 津市高新区污水处理厂2023年度第三方监测数据   单位：mg/L</w:t>
      </w:r>
    </w:p>
    <w:tbl>
      <w:tblPr>
        <w:tblStyle w:val="4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1"/>
        <w:gridCol w:w="904"/>
        <w:gridCol w:w="798"/>
        <w:gridCol w:w="798"/>
        <w:gridCol w:w="798"/>
        <w:gridCol w:w="798"/>
        <w:gridCol w:w="798"/>
        <w:gridCol w:w="798"/>
        <w:gridCol w:w="798"/>
        <w:gridCol w:w="798"/>
        <w:gridCol w:w="798"/>
        <w:gridCol w:w="798"/>
        <w:gridCol w:w="798"/>
        <w:gridCol w:w="798"/>
        <w:gridCol w:w="798"/>
        <w:gridCol w:w="798"/>
        <w:gridCol w:w="798"/>
        <w:gridCol w:w="809"/>
      </w:tblGrid>
      <w:tr w14:paraId="71EC1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1" w:type="dxa"/>
            <w:vMerge w:val="restart"/>
            <w:vAlign w:val="center"/>
          </w:tcPr>
          <w:p w14:paraId="1B7DEF8A">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序号</w:t>
            </w:r>
          </w:p>
        </w:tc>
        <w:tc>
          <w:tcPr>
            <w:tcW w:w="904" w:type="dxa"/>
            <w:vMerge w:val="restart"/>
            <w:vAlign w:val="center"/>
          </w:tcPr>
          <w:p w14:paraId="495B5068">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项目</w:t>
            </w:r>
          </w:p>
        </w:tc>
        <w:tc>
          <w:tcPr>
            <w:tcW w:w="2394" w:type="dxa"/>
            <w:gridSpan w:val="3"/>
            <w:vAlign w:val="center"/>
          </w:tcPr>
          <w:p w14:paraId="4F28865D">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2023.1.2</w:t>
            </w:r>
          </w:p>
        </w:tc>
        <w:tc>
          <w:tcPr>
            <w:tcW w:w="2394" w:type="dxa"/>
            <w:gridSpan w:val="3"/>
            <w:vAlign w:val="center"/>
          </w:tcPr>
          <w:p w14:paraId="60B77CCB">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2023.2.4</w:t>
            </w:r>
          </w:p>
        </w:tc>
        <w:tc>
          <w:tcPr>
            <w:tcW w:w="2394" w:type="dxa"/>
            <w:gridSpan w:val="3"/>
            <w:vAlign w:val="center"/>
          </w:tcPr>
          <w:p w14:paraId="7A3B5DDF">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2023.3.3</w:t>
            </w:r>
          </w:p>
        </w:tc>
        <w:tc>
          <w:tcPr>
            <w:tcW w:w="2394" w:type="dxa"/>
            <w:gridSpan w:val="3"/>
            <w:vAlign w:val="center"/>
          </w:tcPr>
          <w:p w14:paraId="528D23F4">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2023.6.7</w:t>
            </w:r>
          </w:p>
        </w:tc>
        <w:tc>
          <w:tcPr>
            <w:tcW w:w="2394" w:type="dxa"/>
            <w:gridSpan w:val="3"/>
            <w:vAlign w:val="center"/>
          </w:tcPr>
          <w:p w14:paraId="0BA92FDF">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2023.9.4</w:t>
            </w:r>
          </w:p>
        </w:tc>
        <w:tc>
          <w:tcPr>
            <w:tcW w:w="809" w:type="dxa"/>
            <w:vMerge w:val="restart"/>
            <w:vAlign w:val="center"/>
          </w:tcPr>
          <w:p w14:paraId="749E2486">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排放标准</w:t>
            </w:r>
          </w:p>
        </w:tc>
      </w:tr>
      <w:tr w14:paraId="7D70A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1" w:type="dxa"/>
            <w:vMerge w:val="continue"/>
            <w:vAlign w:val="center"/>
          </w:tcPr>
          <w:p w14:paraId="08402203">
            <w:pPr>
              <w:jc w:val="center"/>
              <w:rPr>
                <w:rFonts w:ascii="Times New Roman" w:hAnsi="Times New Roman" w:eastAsia="宋体" w:cs="Times New Roman"/>
                <w:color w:val="auto"/>
                <w:szCs w:val="21"/>
              </w:rPr>
            </w:pPr>
          </w:p>
        </w:tc>
        <w:tc>
          <w:tcPr>
            <w:tcW w:w="904" w:type="dxa"/>
            <w:vMerge w:val="continue"/>
            <w:vAlign w:val="center"/>
          </w:tcPr>
          <w:p w14:paraId="1F6587E9">
            <w:pPr>
              <w:jc w:val="center"/>
              <w:rPr>
                <w:rFonts w:ascii="Times New Roman" w:hAnsi="Times New Roman" w:eastAsia="宋体" w:cs="Times New Roman"/>
                <w:color w:val="auto"/>
                <w:szCs w:val="21"/>
              </w:rPr>
            </w:pPr>
          </w:p>
        </w:tc>
        <w:tc>
          <w:tcPr>
            <w:tcW w:w="2394" w:type="dxa"/>
            <w:gridSpan w:val="3"/>
            <w:vAlign w:val="center"/>
          </w:tcPr>
          <w:p w14:paraId="151BBFAD">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总排口</w:t>
            </w:r>
          </w:p>
        </w:tc>
        <w:tc>
          <w:tcPr>
            <w:tcW w:w="2394" w:type="dxa"/>
            <w:gridSpan w:val="3"/>
            <w:vAlign w:val="center"/>
          </w:tcPr>
          <w:p w14:paraId="64951501">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总排口</w:t>
            </w:r>
          </w:p>
        </w:tc>
        <w:tc>
          <w:tcPr>
            <w:tcW w:w="2394" w:type="dxa"/>
            <w:gridSpan w:val="3"/>
            <w:vAlign w:val="center"/>
          </w:tcPr>
          <w:p w14:paraId="4653BA4E">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总排口</w:t>
            </w:r>
          </w:p>
        </w:tc>
        <w:tc>
          <w:tcPr>
            <w:tcW w:w="2394" w:type="dxa"/>
            <w:gridSpan w:val="3"/>
            <w:vAlign w:val="center"/>
          </w:tcPr>
          <w:p w14:paraId="151F0E3E">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总排口</w:t>
            </w:r>
          </w:p>
        </w:tc>
        <w:tc>
          <w:tcPr>
            <w:tcW w:w="2394" w:type="dxa"/>
            <w:gridSpan w:val="3"/>
            <w:vAlign w:val="center"/>
          </w:tcPr>
          <w:p w14:paraId="63721413">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总排口</w:t>
            </w:r>
          </w:p>
        </w:tc>
        <w:tc>
          <w:tcPr>
            <w:tcW w:w="809" w:type="dxa"/>
            <w:vMerge w:val="continue"/>
            <w:vAlign w:val="center"/>
          </w:tcPr>
          <w:p w14:paraId="2A78F58B">
            <w:pPr>
              <w:jc w:val="center"/>
              <w:rPr>
                <w:rFonts w:ascii="Times New Roman" w:hAnsi="Times New Roman" w:eastAsia="宋体" w:cs="Times New Roman"/>
                <w:color w:val="auto"/>
                <w:szCs w:val="21"/>
              </w:rPr>
            </w:pPr>
          </w:p>
        </w:tc>
      </w:tr>
      <w:tr w14:paraId="77851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1" w:type="dxa"/>
            <w:vAlign w:val="center"/>
          </w:tcPr>
          <w:p w14:paraId="6653EFCD">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1</w:t>
            </w:r>
          </w:p>
        </w:tc>
        <w:tc>
          <w:tcPr>
            <w:tcW w:w="904" w:type="dxa"/>
            <w:vAlign w:val="center"/>
          </w:tcPr>
          <w:p w14:paraId="3D237A24">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BOD</w:t>
            </w:r>
            <w:r>
              <w:rPr>
                <w:rFonts w:hint="eastAsia" w:ascii="Times New Roman" w:hAnsi="Times New Roman" w:eastAsia="宋体" w:cs="Times New Roman"/>
                <w:color w:val="auto"/>
                <w:szCs w:val="21"/>
                <w:vertAlign w:val="subscript"/>
              </w:rPr>
              <w:t>5</w:t>
            </w:r>
          </w:p>
        </w:tc>
        <w:tc>
          <w:tcPr>
            <w:tcW w:w="798" w:type="dxa"/>
            <w:vAlign w:val="center"/>
          </w:tcPr>
          <w:p w14:paraId="15119BC9">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8.1</w:t>
            </w:r>
          </w:p>
        </w:tc>
        <w:tc>
          <w:tcPr>
            <w:tcW w:w="798" w:type="dxa"/>
            <w:vAlign w:val="center"/>
          </w:tcPr>
          <w:p w14:paraId="5F92264A">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7.7</w:t>
            </w:r>
          </w:p>
        </w:tc>
        <w:tc>
          <w:tcPr>
            <w:tcW w:w="798" w:type="dxa"/>
            <w:vAlign w:val="center"/>
          </w:tcPr>
          <w:p w14:paraId="04D3CE89">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8.4</w:t>
            </w:r>
          </w:p>
        </w:tc>
        <w:tc>
          <w:tcPr>
            <w:tcW w:w="798" w:type="dxa"/>
            <w:vAlign w:val="center"/>
          </w:tcPr>
          <w:p w14:paraId="4CA71597">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9.0</w:t>
            </w:r>
          </w:p>
        </w:tc>
        <w:tc>
          <w:tcPr>
            <w:tcW w:w="798" w:type="dxa"/>
            <w:vAlign w:val="center"/>
          </w:tcPr>
          <w:p w14:paraId="40F4280F">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9.5</w:t>
            </w:r>
          </w:p>
        </w:tc>
        <w:tc>
          <w:tcPr>
            <w:tcW w:w="798" w:type="dxa"/>
            <w:vAlign w:val="center"/>
          </w:tcPr>
          <w:p w14:paraId="71B197FF">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8.6</w:t>
            </w:r>
          </w:p>
        </w:tc>
        <w:tc>
          <w:tcPr>
            <w:tcW w:w="798" w:type="dxa"/>
            <w:vAlign w:val="center"/>
          </w:tcPr>
          <w:p w14:paraId="4520F597">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8.0</w:t>
            </w:r>
          </w:p>
        </w:tc>
        <w:tc>
          <w:tcPr>
            <w:tcW w:w="798" w:type="dxa"/>
            <w:vAlign w:val="center"/>
          </w:tcPr>
          <w:p w14:paraId="1C7A87AF">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8.6</w:t>
            </w:r>
          </w:p>
        </w:tc>
        <w:tc>
          <w:tcPr>
            <w:tcW w:w="798" w:type="dxa"/>
            <w:vAlign w:val="center"/>
          </w:tcPr>
          <w:p w14:paraId="23B418A5">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8.3</w:t>
            </w:r>
          </w:p>
        </w:tc>
        <w:tc>
          <w:tcPr>
            <w:tcW w:w="798" w:type="dxa"/>
            <w:vAlign w:val="center"/>
          </w:tcPr>
          <w:p w14:paraId="4F224423">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9.3</w:t>
            </w:r>
          </w:p>
        </w:tc>
        <w:tc>
          <w:tcPr>
            <w:tcW w:w="798" w:type="dxa"/>
            <w:vAlign w:val="center"/>
          </w:tcPr>
          <w:p w14:paraId="709CD684">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8.9</w:t>
            </w:r>
          </w:p>
        </w:tc>
        <w:tc>
          <w:tcPr>
            <w:tcW w:w="798" w:type="dxa"/>
            <w:vAlign w:val="center"/>
          </w:tcPr>
          <w:p w14:paraId="4BDE840F">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8.5</w:t>
            </w:r>
          </w:p>
        </w:tc>
        <w:tc>
          <w:tcPr>
            <w:tcW w:w="798" w:type="dxa"/>
            <w:vAlign w:val="center"/>
          </w:tcPr>
          <w:p w14:paraId="327D01E6">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7.6</w:t>
            </w:r>
          </w:p>
        </w:tc>
        <w:tc>
          <w:tcPr>
            <w:tcW w:w="798" w:type="dxa"/>
            <w:vAlign w:val="center"/>
          </w:tcPr>
          <w:p w14:paraId="00BEB537">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8.2</w:t>
            </w:r>
          </w:p>
        </w:tc>
        <w:tc>
          <w:tcPr>
            <w:tcW w:w="798" w:type="dxa"/>
            <w:vAlign w:val="center"/>
          </w:tcPr>
          <w:p w14:paraId="2F3ABE99">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7.1</w:t>
            </w:r>
          </w:p>
        </w:tc>
        <w:tc>
          <w:tcPr>
            <w:tcW w:w="809" w:type="dxa"/>
            <w:vAlign w:val="center"/>
          </w:tcPr>
          <w:p w14:paraId="7BAEAF39">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≤10</w:t>
            </w:r>
          </w:p>
        </w:tc>
      </w:tr>
      <w:tr w14:paraId="59CA6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1" w:type="dxa"/>
            <w:vAlign w:val="center"/>
          </w:tcPr>
          <w:p w14:paraId="48311CFF">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2</w:t>
            </w:r>
          </w:p>
        </w:tc>
        <w:tc>
          <w:tcPr>
            <w:tcW w:w="904" w:type="dxa"/>
            <w:vAlign w:val="center"/>
          </w:tcPr>
          <w:p w14:paraId="1F322B18">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石油类</w:t>
            </w:r>
          </w:p>
        </w:tc>
        <w:tc>
          <w:tcPr>
            <w:tcW w:w="798" w:type="dxa"/>
            <w:vAlign w:val="center"/>
          </w:tcPr>
          <w:p w14:paraId="62AC03FE">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0.28</w:t>
            </w:r>
          </w:p>
        </w:tc>
        <w:tc>
          <w:tcPr>
            <w:tcW w:w="798" w:type="dxa"/>
            <w:vAlign w:val="center"/>
          </w:tcPr>
          <w:p w14:paraId="7C222407">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0.27</w:t>
            </w:r>
          </w:p>
        </w:tc>
        <w:tc>
          <w:tcPr>
            <w:tcW w:w="798" w:type="dxa"/>
            <w:vAlign w:val="center"/>
          </w:tcPr>
          <w:p w14:paraId="44CD0AF1">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0.31</w:t>
            </w:r>
          </w:p>
        </w:tc>
        <w:tc>
          <w:tcPr>
            <w:tcW w:w="798" w:type="dxa"/>
            <w:vAlign w:val="center"/>
          </w:tcPr>
          <w:p w14:paraId="092996B2">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0.09</w:t>
            </w:r>
          </w:p>
        </w:tc>
        <w:tc>
          <w:tcPr>
            <w:tcW w:w="798" w:type="dxa"/>
            <w:vAlign w:val="center"/>
          </w:tcPr>
          <w:p w14:paraId="1B86E7A9">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0.32</w:t>
            </w:r>
          </w:p>
        </w:tc>
        <w:tc>
          <w:tcPr>
            <w:tcW w:w="798" w:type="dxa"/>
            <w:vAlign w:val="center"/>
          </w:tcPr>
          <w:p w14:paraId="2171EC54">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0.10</w:t>
            </w:r>
          </w:p>
        </w:tc>
        <w:tc>
          <w:tcPr>
            <w:tcW w:w="798" w:type="dxa"/>
            <w:vAlign w:val="center"/>
          </w:tcPr>
          <w:p w14:paraId="2A841341">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0.64</w:t>
            </w:r>
          </w:p>
        </w:tc>
        <w:tc>
          <w:tcPr>
            <w:tcW w:w="798" w:type="dxa"/>
            <w:vAlign w:val="center"/>
          </w:tcPr>
          <w:p w14:paraId="27E37C0E">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0.60</w:t>
            </w:r>
          </w:p>
        </w:tc>
        <w:tc>
          <w:tcPr>
            <w:tcW w:w="798" w:type="dxa"/>
            <w:vAlign w:val="center"/>
          </w:tcPr>
          <w:p w14:paraId="5D1AFDF3">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0.69</w:t>
            </w:r>
          </w:p>
        </w:tc>
        <w:tc>
          <w:tcPr>
            <w:tcW w:w="798" w:type="dxa"/>
            <w:vAlign w:val="center"/>
          </w:tcPr>
          <w:p w14:paraId="6F8D3D73">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0.93</w:t>
            </w:r>
          </w:p>
        </w:tc>
        <w:tc>
          <w:tcPr>
            <w:tcW w:w="798" w:type="dxa"/>
            <w:vAlign w:val="center"/>
          </w:tcPr>
          <w:p w14:paraId="187B4D61">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0.45</w:t>
            </w:r>
          </w:p>
        </w:tc>
        <w:tc>
          <w:tcPr>
            <w:tcW w:w="798" w:type="dxa"/>
            <w:vAlign w:val="center"/>
          </w:tcPr>
          <w:p w14:paraId="4D544B98">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0.86</w:t>
            </w:r>
          </w:p>
        </w:tc>
        <w:tc>
          <w:tcPr>
            <w:tcW w:w="798" w:type="dxa"/>
            <w:vAlign w:val="center"/>
          </w:tcPr>
          <w:p w14:paraId="35E4D964">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0.97</w:t>
            </w:r>
          </w:p>
        </w:tc>
        <w:tc>
          <w:tcPr>
            <w:tcW w:w="798" w:type="dxa"/>
            <w:vAlign w:val="center"/>
          </w:tcPr>
          <w:p w14:paraId="27749CA2">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0.70</w:t>
            </w:r>
          </w:p>
        </w:tc>
        <w:tc>
          <w:tcPr>
            <w:tcW w:w="798" w:type="dxa"/>
            <w:vAlign w:val="center"/>
          </w:tcPr>
          <w:p w14:paraId="3FA9BB62">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0.62</w:t>
            </w:r>
          </w:p>
        </w:tc>
        <w:tc>
          <w:tcPr>
            <w:tcW w:w="809" w:type="dxa"/>
            <w:vAlign w:val="center"/>
          </w:tcPr>
          <w:p w14:paraId="6D8671D8">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≤1</w:t>
            </w:r>
          </w:p>
        </w:tc>
      </w:tr>
      <w:tr w14:paraId="24758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1" w:type="dxa"/>
            <w:vAlign w:val="center"/>
          </w:tcPr>
          <w:p w14:paraId="446F245E">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3</w:t>
            </w:r>
          </w:p>
        </w:tc>
        <w:tc>
          <w:tcPr>
            <w:tcW w:w="904" w:type="dxa"/>
            <w:vAlign w:val="center"/>
          </w:tcPr>
          <w:p w14:paraId="76D30BB4">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动植物油</w:t>
            </w:r>
          </w:p>
        </w:tc>
        <w:tc>
          <w:tcPr>
            <w:tcW w:w="798" w:type="dxa"/>
            <w:vAlign w:val="center"/>
          </w:tcPr>
          <w:p w14:paraId="1974E544">
            <w:pPr>
              <w:jc w:val="center"/>
              <w:rPr>
                <w:rFonts w:ascii="Times New Roman" w:hAnsi="Times New Roman" w:eastAsia="宋体" w:cs="Times New Roman"/>
                <w:color w:val="auto"/>
                <w:szCs w:val="21"/>
              </w:rPr>
            </w:pPr>
          </w:p>
        </w:tc>
        <w:tc>
          <w:tcPr>
            <w:tcW w:w="798" w:type="dxa"/>
            <w:vAlign w:val="center"/>
          </w:tcPr>
          <w:p w14:paraId="348C1255">
            <w:pPr>
              <w:jc w:val="center"/>
              <w:rPr>
                <w:rFonts w:ascii="Times New Roman" w:hAnsi="Times New Roman" w:eastAsia="宋体" w:cs="Times New Roman"/>
                <w:color w:val="auto"/>
                <w:szCs w:val="21"/>
              </w:rPr>
            </w:pPr>
          </w:p>
        </w:tc>
        <w:tc>
          <w:tcPr>
            <w:tcW w:w="798" w:type="dxa"/>
            <w:vAlign w:val="center"/>
          </w:tcPr>
          <w:p w14:paraId="7CA81C4B">
            <w:pPr>
              <w:jc w:val="center"/>
              <w:rPr>
                <w:rFonts w:ascii="Times New Roman" w:hAnsi="Times New Roman" w:eastAsia="宋体" w:cs="Times New Roman"/>
                <w:color w:val="auto"/>
                <w:szCs w:val="21"/>
              </w:rPr>
            </w:pPr>
          </w:p>
        </w:tc>
        <w:tc>
          <w:tcPr>
            <w:tcW w:w="798" w:type="dxa"/>
            <w:vAlign w:val="center"/>
          </w:tcPr>
          <w:p w14:paraId="58526C25">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0.10</w:t>
            </w:r>
          </w:p>
        </w:tc>
        <w:tc>
          <w:tcPr>
            <w:tcW w:w="798" w:type="dxa"/>
            <w:vAlign w:val="center"/>
          </w:tcPr>
          <w:p w14:paraId="6D0BADDE">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0.29</w:t>
            </w:r>
          </w:p>
        </w:tc>
        <w:tc>
          <w:tcPr>
            <w:tcW w:w="798" w:type="dxa"/>
            <w:vAlign w:val="center"/>
          </w:tcPr>
          <w:p w14:paraId="741A0319">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0.10</w:t>
            </w:r>
          </w:p>
        </w:tc>
        <w:tc>
          <w:tcPr>
            <w:tcW w:w="798" w:type="dxa"/>
            <w:vAlign w:val="center"/>
          </w:tcPr>
          <w:p w14:paraId="24F5D430">
            <w:pPr>
              <w:jc w:val="center"/>
              <w:rPr>
                <w:rFonts w:ascii="Times New Roman" w:hAnsi="Times New Roman" w:eastAsia="宋体" w:cs="Times New Roman"/>
                <w:color w:val="auto"/>
                <w:szCs w:val="21"/>
              </w:rPr>
            </w:pPr>
          </w:p>
        </w:tc>
        <w:tc>
          <w:tcPr>
            <w:tcW w:w="798" w:type="dxa"/>
            <w:vAlign w:val="center"/>
          </w:tcPr>
          <w:p w14:paraId="05DA03E4">
            <w:pPr>
              <w:jc w:val="center"/>
              <w:rPr>
                <w:rFonts w:ascii="Times New Roman" w:hAnsi="Times New Roman" w:eastAsia="宋体" w:cs="Times New Roman"/>
                <w:color w:val="auto"/>
                <w:szCs w:val="21"/>
              </w:rPr>
            </w:pPr>
          </w:p>
        </w:tc>
        <w:tc>
          <w:tcPr>
            <w:tcW w:w="798" w:type="dxa"/>
            <w:vAlign w:val="center"/>
          </w:tcPr>
          <w:p w14:paraId="17D3FC20">
            <w:pPr>
              <w:jc w:val="center"/>
              <w:rPr>
                <w:rFonts w:ascii="Times New Roman" w:hAnsi="Times New Roman" w:eastAsia="宋体" w:cs="Times New Roman"/>
                <w:color w:val="auto"/>
                <w:szCs w:val="21"/>
              </w:rPr>
            </w:pPr>
          </w:p>
        </w:tc>
        <w:tc>
          <w:tcPr>
            <w:tcW w:w="798" w:type="dxa"/>
            <w:vAlign w:val="center"/>
          </w:tcPr>
          <w:p w14:paraId="3A7C173D">
            <w:pPr>
              <w:jc w:val="center"/>
              <w:rPr>
                <w:rFonts w:ascii="Times New Roman" w:hAnsi="Times New Roman" w:eastAsia="宋体" w:cs="Times New Roman"/>
                <w:color w:val="auto"/>
                <w:szCs w:val="21"/>
              </w:rPr>
            </w:pPr>
          </w:p>
        </w:tc>
        <w:tc>
          <w:tcPr>
            <w:tcW w:w="798" w:type="dxa"/>
            <w:vAlign w:val="center"/>
          </w:tcPr>
          <w:p w14:paraId="4594612B">
            <w:pPr>
              <w:jc w:val="center"/>
              <w:rPr>
                <w:rFonts w:ascii="Times New Roman" w:hAnsi="Times New Roman" w:eastAsia="宋体" w:cs="Times New Roman"/>
                <w:color w:val="auto"/>
                <w:szCs w:val="21"/>
              </w:rPr>
            </w:pPr>
          </w:p>
        </w:tc>
        <w:tc>
          <w:tcPr>
            <w:tcW w:w="798" w:type="dxa"/>
            <w:vAlign w:val="center"/>
          </w:tcPr>
          <w:p w14:paraId="68607893">
            <w:pPr>
              <w:jc w:val="center"/>
              <w:rPr>
                <w:rFonts w:ascii="Times New Roman" w:hAnsi="Times New Roman" w:eastAsia="宋体" w:cs="Times New Roman"/>
                <w:color w:val="auto"/>
                <w:szCs w:val="21"/>
              </w:rPr>
            </w:pPr>
          </w:p>
        </w:tc>
        <w:tc>
          <w:tcPr>
            <w:tcW w:w="798" w:type="dxa"/>
            <w:vAlign w:val="center"/>
          </w:tcPr>
          <w:p w14:paraId="57FE83F4">
            <w:pPr>
              <w:jc w:val="center"/>
              <w:rPr>
                <w:rFonts w:ascii="Times New Roman" w:hAnsi="Times New Roman" w:eastAsia="宋体" w:cs="Times New Roman"/>
                <w:color w:val="auto"/>
                <w:szCs w:val="21"/>
              </w:rPr>
            </w:pPr>
          </w:p>
        </w:tc>
        <w:tc>
          <w:tcPr>
            <w:tcW w:w="798" w:type="dxa"/>
            <w:vAlign w:val="center"/>
          </w:tcPr>
          <w:p w14:paraId="5A191EB3">
            <w:pPr>
              <w:jc w:val="center"/>
              <w:rPr>
                <w:rFonts w:ascii="Times New Roman" w:hAnsi="Times New Roman" w:eastAsia="宋体" w:cs="Times New Roman"/>
                <w:color w:val="auto"/>
                <w:szCs w:val="21"/>
              </w:rPr>
            </w:pPr>
          </w:p>
        </w:tc>
        <w:tc>
          <w:tcPr>
            <w:tcW w:w="798" w:type="dxa"/>
            <w:vAlign w:val="center"/>
          </w:tcPr>
          <w:p w14:paraId="10BBAAEC">
            <w:pPr>
              <w:jc w:val="center"/>
              <w:rPr>
                <w:rFonts w:ascii="Times New Roman" w:hAnsi="Times New Roman" w:eastAsia="宋体" w:cs="Times New Roman"/>
                <w:color w:val="auto"/>
                <w:szCs w:val="21"/>
              </w:rPr>
            </w:pPr>
          </w:p>
        </w:tc>
        <w:tc>
          <w:tcPr>
            <w:tcW w:w="809" w:type="dxa"/>
            <w:vAlign w:val="center"/>
          </w:tcPr>
          <w:p w14:paraId="0A98D6CF">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≤1</w:t>
            </w:r>
          </w:p>
        </w:tc>
      </w:tr>
      <w:tr w14:paraId="6D941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1" w:type="dxa"/>
            <w:vAlign w:val="center"/>
          </w:tcPr>
          <w:p w14:paraId="4C3F1B06">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4</w:t>
            </w:r>
          </w:p>
        </w:tc>
        <w:tc>
          <w:tcPr>
            <w:tcW w:w="904" w:type="dxa"/>
            <w:vAlign w:val="center"/>
          </w:tcPr>
          <w:p w14:paraId="2BFC9564">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阴离子表面活性剂</w:t>
            </w:r>
          </w:p>
        </w:tc>
        <w:tc>
          <w:tcPr>
            <w:tcW w:w="798" w:type="dxa"/>
            <w:vAlign w:val="center"/>
          </w:tcPr>
          <w:p w14:paraId="13FBD980">
            <w:pPr>
              <w:jc w:val="center"/>
              <w:rPr>
                <w:rFonts w:ascii="Times New Roman" w:hAnsi="Times New Roman" w:eastAsia="宋体" w:cs="Times New Roman"/>
                <w:color w:val="auto"/>
                <w:szCs w:val="21"/>
              </w:rPr>
            </w:pPr>
          </w:p>
        </w:tc>
        <w:tc>
          <w:tcPr>
            <w:tcW w:w="798" w:type="dxa"/>
            <w:vAlign w:val="center"/>
          </w:tcPr>
          <w:p w14:paraId="3FD3B182">
            <w:pPr>
              <w:jc w:val="center"/>
              <w:rPr>
                <w:rFonts w:ascii="Times New Roman" w:hAnsi="Times New Roman" w:eastAsia="宋体" w:cs="Times New Roman"/>
                <w:color w:val="auto"/>
                <w:szCs w:val="21"/>
              </w:rPr>
            </w:pPr>
          </w:p>
        </w:tc>
        <w:tc>
          <w:tcPr>
            <w:tcW w:w="798" w:type="dxa"/>
            <w:vAlign w:val="center"/>
          </w:tcPr>
          <w:p w14:paraId="374D8FEF">
            <w:pPr>
              <w:jc w:val="center"/>
              <w:rPr>
                <w:rFonts w:ascii="Times New Roman" w:hAnsi="Times New Roman" w:eastAsia="宋体" w:cs="Times New Roman"/>
                <w:color w:val="auto"/>
                <w:szCs w:val="21"/>
              </w:rPr>
            </w:pPr>
          </w:p>
        </w:tc>
        <w:tc>
          <w:tcPr>
            <w:tcW w:w="798" w:type="dxa"/>
            <w:vAlign w:val="center"/>
          </w:tcPr>
          <w:p w14:paraId="35979725">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0.067</w:t>
            </w:r>
          </w:p>
        </w:tc>
        <w:tc>
          <w:tcPr>
            <w:tcW w:w="798" w:type="dxa"/>
            <w:vAlign w:val="center"/>
          </w:tcPr>
          <w:p w14:paraId="138E3FAF">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0.079</w:t>
            </w:r>
          </w:p>
        </w:tc>
        <w:tc>
          <w:tcPr>
            <w:tcW w:w="798" w:type="dxa"/>
            <w:vAlign w:val="center"/>
          </w:tcPr>
          <w:p w14:paraId="532DDCDD">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0.071</w:t>
            </w:r>
          </w:p>
        </w:tc>
        <w:tc>
          <w:tcPr>
            <w:tcW w:w="798" w:type="dxa"/>
            <w:vAlign w:val="center"/>
          </w:tcPr>
          <w:p w14:paraId="217EDE48">
            <w:pPr>
              <w:jc w:val="center"/>
              <w:rPr>
                <w:rFonts w:ascii="Times New Roman" w:hAnsi="Times New Roman" w:eastAsia="宋体" w:cs="Times New Roman"/>
                <w:color w:val="auto"/>
                <w:szCs w:val="21"/>
              </w:rPr>
            </w:pPr>
          </w:p>
        </w:tc>
        <w:tc>
          <w:tcPr>
            <w:tcW w:w="798" w:type="dxa"/>
            <w:vAlign w:val="center"/>
          </w:tcPr>
          <w:p w14:paraId="1B223B63">
            <w:pPr>
              <w:jc w:val="center"/>
              <w:rPr>
                <w:rFonts w:ascii="Times New Roman" w:hAnsi="Times New Roman" w:eastAsia="宋体" w:cs="Times New Roman"/>
                <w:color w:val="auto"/>
                <w:szCs w:val="21"/>
              </w:rPr>
            </w:pPr>
          </w:p>
        </w:tc>
        <w:tc>
          <w:tcPr>
            <w:tcW w:w="798" w:type="dxa"/>
            <w:vAlign w:val="center"/>
          </w:tcPr>
          <w:p w14:paraId="0B4D0688">
            <w:pPr>
              <w:jc w:val="center"/>
              <w:rPr>
                <w:rFonts w:ascii="Times New Roman" w:hAnsi="Times New Roman" w:eastAsia="宋体" w:cs="Times New Roman"/>
                <w:color w:val="auto"/>
                <w:szCs w:val="21"/>
              </w:rPr>
            </w:pPr>
          </w:p>
        </w:tc>
        <w:tc>
          <w:tcPr>
            <w:tcW w:w="798" w:type="dxa"/>
            <w:vAlign w:val="center"/>
          </w:tcPr>
          <w:p w14:paraId="25004069">
            <w:pPr>
              <w:jc w:val="center"/>
              <w:rPr>
                <w:rFonts w:ascii="Times New Roman" w:hAnsi="Times New Roman" w:eastAsia="宋体" w:cs="Times New Roman"/>
                <w:color w:val="auto"/>
                <w:szCs w:val="21"/>
              </w:rPr>
            </w:pPr>
          </w:p>
        </w:tc>
        <w:tc>
          <w:tcPr>
            <w:tcW w:w="798" w:type="dxa"/>
            <w:vAlign w:val="center"/>
          </w:tcPr>
          <w:p w14:paraId="15B3CE0B">
            <w:pPr>
              <w:jc w:val="center"/>
              <w:rPr>
                <w:rFonts w:ascii="Times New Roman" w:hAnsi="Times New Roman" w:eastAsia="宋体" w:cs="Times New Roman"/>
                <w:color w:val="auto"/>
                <w:szCs w:val="21"/>
              </w:rPr>
            </w:pPr>
          </w:p>
        </w:tc>
        <w:tc>
          <w:tcPr>
            <w:tcW w:w="798" w:type="dxa"/>
            <w:vAlign w:val="center"/>
          </w:tcPr>
          <w:p w14:paraId="2DF443EE">
            <w:pPr>
              <w:jc w:val="center"/>
              <w:rPr>
                <w:rFonts w:ascii="Times New Roman" w:hAnsi="Times New Roman" w:eastAsia="宋体" w:cs="Times New Roman"/>
                <w:color w:val="auto"/>
                <w:szCs w:val="21"/>
              </w:rPr>
            </w:pPr>
          </w:p>
        </w:tc>
        <w:tc>
          <w:tcPr>
            <w:tcW w:w="798" w:type="dxa"/>
            <w:vAlign w:val="center"/>
          </w:tcPr>
          <w:p w14:paraId="0EDEC354">
            <w:pPr>
              <w:jc w:val="center"/>
              <w:rPr>
                <w:rFonts w:ascii="Times New Roman" w:hAnsi="Times New Roman" w:eastAsia="宋体" w:cs="Times New Roman"/>
                <w:color w:val="auto"/>
                <w:szCs w:val="21"/>
              </w:rPr>
            </w:pPr>
          </w:p>
        </w:tc>
        <w:tc>
          <w:tcPr>
            <w:tcW w:w="798" w:type="dxa"/>
            <w:vAlign w:val="center"/>
          </w:tcPr>
          <w:p w14:paraId="12F81408">
            <w:pPr>
              <w:jc w:val="center"/>
              <w:rPr>
                <w:rFonts w:ascii="Times New Roman" w:hAnsi="Times New Roman" w:eastAsia="宋体" w:cs="Times New Roman"/>
                <w:color w:val="auto"/>
                <w:szCs w:val="21"/>
              </w:rPr>
            </w:pPr>
          </w:p>
        </w:tc>
        <w:tc>
          <w:tcPr>
            <w:tcW w:w="798" w:type="dxa"/>
            <w:vAlign w:val="center"/>
          </w:tcPr>
          <w:p w14:paraId="52253851">
            <w:pPr>
              <w:jc w:val="center"/>
              <w:rPr>
                <w:rFonts w:ascii="Times New Roman" w:hAnsi="Times New Roman" w:eastAsia="宋体" w:cs="Times New Roman"/>
                <w:color w:val="auto"/>
                <w:szCs w:val="21"/>
              </w:rPr>
            </w:pPr>
          </w:p>
        </w:tc>
        <w:tc>
          <w:tcPr>
            <w:tcW w:w="809" w:type="dxa"/>
            <w:vAlign w:val="center"/>
          </w:tcPr>
          <w:p w14:paraId="78EE6B37">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≤0.5</w:t>
            </w:r>
          </w:p>
        </w:tc>
      </w:tr>
      <w:tr w14:paraId="28A30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1" w:type="dxa"/>
            <w:vAlign w:val="center"/>
          </w:tcPr>
          <w:p w14:paraId="663BE54D">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5</w:t>
            </w:r>
          </w:p>
        </w:tc>
        <w:tc>
          <w:tcPr>
            <w:tcW w:w="904" w:type="dxa"/>
            <w:vAlign w:val="center"/>
          </w:tcPr>
          <w:p w14:paraId="22D8B149">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总汞</w:t>
            </w:r>
          </w:p>
        </w:tc>
        <w:tc>
          <w:tcPr>
            <w:tcW w:w="798" w:type="dxa"/>
            <w:vAlign w:val="center"/>
          </w:tcPr>
          <w:p w14:paraId="6E161017">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ND</w:t>
            </w:r>
          </w:p>
        </w:tc>
        <w:tc>
          <w:tcPr>
            <w:tcW w:w="798" w:type="dxa"/>
            <w:vAlign w:val="center"/>
          </w:tcPr>
          <w:p w14:paraId="5F7422A3">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ND</w:t>
            </w:r>
          </w:p>
        </w:tc>
        <w:tc>
          <w:tcPr>
            <w:tcW w:w="798" w:type="dxa"/>
            <w:vAlign w:val="center"/>
          </w:tcPr>
          <w:p w14:paraId="0561B0CB">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ND</w:t>
            </w:r>
          </w:p>
        </w:tc>
        <w:tc>
          <w:tcPr>
            <w:tcW w:w="798" w:type="dxa"/>
            <w:vAlign w:val="center"/>
          </w:tcPr>
          <w:p w14:paraId="0FC80C9A">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ND</w:t>
            </w:r>
          </w:p>
        </w:tc>
        <w:tc>
          <w:tcPr>
            <w:tcW w:w="798" w:type="dxa"/>
            <w:vAlign w:val="center"/>
          </w:tcPr>
          <w:p w14:paraId="089833E9">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ND</w:t>
            </w:r>
          </w:p>
        </w:tc>
        <w:tc>
          <w:tcPr>
            <w:tcW w:w="798" w:type="dxa"/>
            <w:vAlign w:val="center"/>
          </w:tcPr>
          <w:p w14:paraId="520C1B74">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ND</w:t>
            </w:r>
          </w:p>
        </w:tc>
        <w:tc>
          <w:tcPr>
            <w:tcW w:w="798" w:type="dxa"/>
            <w:vAlign w:val="center"/>
          </w:tcPr>
          <w:p w14:paraId="3586189E">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2.46×10</w:t>
            </w:r>
            <w:r>
              <w:rPr>
                <w:rFonts w:hint="eastAsia" w:ascii="Times New Roman" w:hAnsi="Times New Roman" w:eastAsia="宋体" w:cs="Times New Roman"/>
                <w:color w:val="auto"/>
                <w:szCs w:val="21"/>
                <w:vertAlign w:val="superscript"/>
              </w:rPr>
              <w:t>-3</w:t>
            </w:r>
          </w:p>
        </w:tc>
        <w:tc>
          <w:tcPr>
            <w:tcW w:w="798" w:type="dxa"/>
            <w:vAlign w:val="center"/>
          </w:tcPr>
          <w:p w14:paraId="746B3951">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2.78×10</w:t>
            </w:r>
            <w:r>
              <w:rPr>
                <w:rFonts w:hint="eastAsia" w:ascii="Times New Roman" w:hAnsi="Times New Roman" w:eastAsia="宋体" w:cs="Times New Roman"/>
                <w:color w:val="auto"/>
                <w:szCs w:val="21"/>
                <w:vertAlign w:val="superscript"/>
              </w:rPr>
              <w:t>-3</w:t>
            </w:r>
          </w:p>
        </w:tc>
        <w:tc>
          <w:tcPr>
            <w:tcW w:w="798" w:type="dxa"/>
            <w:vAlign w:val="center"/>
          </w:tcPr>
          <w:p w14:paraId="5082C30C">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2.92×10</w:t>
            </w:r>
            <w:r>
              <w:rPr>
                <w:rFonts w:hint="eastAsia" w:ascii="Times New Roman" w:hAnsi="Times New Roman" w:eastAsia="宋体" w:cs="Times New Roman"/>
                <w:color w:val="auto"/>
                <w:szCs w:val="21"/>
                <w:vertAlign w:val="superscript"/>
              </w:rPr>
              <w:t>-3</w:t>
            </w:r>
          </w:p>
        </w:tc>
        <w:tc>
          <w:tcPr>
            <w:tcW w:w="798" w:type="dxa"/>
            <w:vAlign w:val="center"/>
          </w:tcPr>
          <w:p w14:paraId="43818F7B">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ND</w:t>
            </w:r>
          </w:p>
        </w:tc>
        <w:tc>
          <w:tcPr>
            <w:tcW w:w="798" w:type="dxa"/>
            <w:vAlign w:val="center"/>
          </w:tcPr>
          <w:p w14:paraId="5C6A3FA4">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ND</w:t>
            </w:r>
          </w:p>
        </w:tc>
        <w:tc>
          <w:tcPr>
            <w:tcW w:w="798" w:type="dxa"/>
            <w:vAlign w:val="center"/>
          </w:tcPr>
          <w:p w14:paraId="73186E3C">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ND</w:t>
            </w:r>
          </w:p>
        </w:tc>
        <w:tc>
          <w:tcPr>
            <w:tcW w:w="798" w:type="dxa"/>
            <w:vAlign w:val="center"/>
          </w:tcPr>
          <w:p w14:paraId="0B49F713">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ND</w:t>
            </w:r>
          </w:p>
        </w:tc>
        <w:tc>
          <w:tcPr>
            <w:tcW w:w="798" w:type="dxa"/>
            <w:vAlign w:val="center"/>
          </w:tcPr>
          <w:p w14:paraId="2F98505F">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ND</w:t>
            </w:r>
          </w:p>
        </w:tc>
        <w:tc>
          <w:tcPr>
            <w:tcW w:w="798" w:type="dxa"/>
            <w:vAlign w:val="center"/>
          </w:tcPr>
          <w:p w14:paraId="01501665">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ND</w:t>
            </w:r>
          </w:p>
        </w:tc>
        <w:tc>
          <w:tcPr>
            <w:tcW w:w="809" w:type="dxa"/>
            <w:vAlign w:val="center"/>
          </w:tcPr>
          <w:p w14:paraId="7877D7E9">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≤0.001</w:t>
            </w:r>
          </w:p>
        </w:tc>
      </w:tr>
      <w:tr w14:paraId="3E122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1" w:type="dxa"/>
            <w:vAlign w:val="center"/>
          </w:tcPr>
          <w:p w14:paraId="10639BB6">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6</w:t>
            </w:r>
          </w:p>
        </w:tc>
        <w:tc>
          <w:tcPr>
            <w:tcW w:w="904" w:type="dxa"/>
            <w:vAlign w:val="center"/>
          </w:tcPr>
          <w:p w14:paraId="58594EA9">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六价铬</w:t>
            </w:r>
          </w:p>
        </w:tc>
        <w:tc>
          <w:tcPr>
            <w:tcW w:w="798" w:type="dxa"/>
            <w:vAlign w:val="center"/>
          </w:tcPr>
          <w:p w14:paraId="752B966A">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ND</w:t>
            </w:r>
          </w:p>
        </w:tc>
        <w:tc>
          <w:tcPr>
            <w:tcW w:w="798" w:type="dxa"/>
            <w:vAlign w:val="center"/>
          </w:tcPr>
          <w:p w14:paraId="2436455D">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ND</w:t>
            </w:r>
          </w:p>
        </w:tc>
        <w:tc>
          <w:tcPr>
            <w:tcW w:w="798" w:type="dxa"/>
            <w:vAlign w:val="center"/>
          </w:tcPr>
          <w:p w14:paraId="510FC724">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ND</w:t>
            </w:r>
          </w:p>
        </w:tc>
        <w:tc>
          <w:tcPr>
            <w:tcW w:w="798" w:type="dxa"/>
            <w:vAlign w:val="center"/>
          </w:tcPr>
          <w:p w14:paraId="65579F6B">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ND</w:t>
            </w:r>
          </w:p>
        </w:tc>
        <w:tc>
          <w:tcPr>
            <w:tcW w:w="798" w:type="dxa"/>
            <w:vAlign w:val="center"/>
          </w:tcPr>
          <w:p w14:paraId="6D8BC8ED">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ND</w:t>
            </w:r>
          </w:p>
        </w:tc>
        <w:tc>
          <w:tcPr>
            <w:tcW w:w="798" w:type="dxa"/>
            <w:vAlign w:val="center"/>
          </w:tcPr>
          <w:p w14:paraId="26A80C02">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ND</w:t>
            </w:r>
          </w:p>
        </w:tc>
        <w:tc>
          <w:tcPr>
            <w:tcW w:w="798" w:type="dxa"/>
            <w:vAlign w:val="center"/>
          </w:tcPr>
          <w:p w14:paraId="17E16F63">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0.50×10</w:t>
            </w:r>
            <w:r>
              <w:rPr>
                <w:rFonts w:hint="eastAsia" w:ascii="Times New Roman" w:hAnsi="Times New Roman" w:eastAsia="宋体" w:cs="Times New Roman"/>
                <w:color w:val="auto"/>
                <w:szCs w:val="21"/>
                <w:vertAlign w:val="superscript"/>
              </w:rPr>
              <w:t>-3</w:t>
            </w:r>
          </w:p>
        </w:tc>
        <w:tc>
          <w:tcPr>
            <w:tcW w:w="798" w:type="dxa"/>
            <w:vAlign w:val="center"/>
          </w:tcPr>
          <w:p w14:paraId="3E7AE775">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0.54×10</w:t>
            </w:r>
            <w:r>
              <w:rPr>
                <w:rFonts w:hint="eastAsia" w:ascii="Times New Roman" w:hAnsi="Times New Roman" w:eastAsia="宋体" w:cs="Times New Roman"/>
                <w:color w:val="auto"/>
                <w:szCs w:val="21"/>
                <w:vertAlign w:val="superscript"/>
              </w:rPr>
              <w:t>-3</w:t>
            </w:r>
          </w:p>
        </w:tc>
        <w:tc>
          <w:tcPr>
            <w:tcW w:w="798" w:type="dxa"/>
            <w:vAlign w:val="center"/>
          </w:tcPr>
          <w:p w14:paraId="0C0E39B7">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0.40×10</w:t>
            </w:r>
            <w:r>
              <w:rPr>
                <w:rFonts w:hint="eastAsia" w:ascii="Times New Roman" w:hAnsi="Times New Roman" w:eastAsia="宋体" w:cs="Times New Roman"/>
                <w:color w:val="auto"/>
                <w:szCs w:val="21"/>
                <w:vertAlign w:val="superscript"/>
              </w:rPr>
              <w:t>-3</w:t>
            </w:r>
          </w:p>
        </w:tc>
        <w:tc>
          <w:tcPr>
            <w:tcW w:w="798" w:type="dxa"/>
            <w:vAlign w:val="center"/>
          </w:tcPr>
          <w:p w14:paraId="18C8DC87">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0.006</w:t>
            </w:r>
          </w:p>
        </w:tc>
        <w:tc>
          <w:tcPr>
            <w:tcW w:w="798" w:type="dxa"/>
            <w:vAlign w:val="center"/>
          </w:tcPr>
          <w:p w14:paraId="6CC0DF9D">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0.006</w:t>
            </w:r>
          </w:p>
        </w:tc>
        <w:tc>
          <w:tcPr>
            <w:tcW w:w="798" w:type="dxa"/>
            <w:vAlign w:val="center"/>
          </w:tcPr>
          <w:p w14:paraId="3E4F6932">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0.005</w:t>
            </w:r>
          </w:p>
        </w:tc>
        <w:tc>
          <w:tcPr>
            <w:tcW w:w="798" w:type="dxa"/>
            <w:vAlign w:val="center"/>
          </w:tcPr>
          <w:p w14:paraId="07837105">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0.006</w:t>
            </w:r>
          </w:p>
        </w:tc>
        <w:tc>
          <w:tcPr>
            <w:tcW w:w="798" w:type="dxa"/>
            <w:vAlign w:val="center"/>
          </w:tcPr>
          <w:p w14:paraId="589375BA">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0.006</w:t>
            </w:r>
          </w:p>
        </w:tc>
        <w:tc>
          <w:tcPr>
            <w:tcW w:w="798" w:type="dxa"/>
            <w:vAlign w:val="center"/>
          </w:tcPr>
          <w:p w14:paraId="2C184128">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0.006</w:t>
            </w:r>
          </w:p>
        </w:tc>
        <w:tc>
          <w:tcPr>
            <w:tcW w:w="809" w:type="dxa"/>
            <w:vAlign w:val="center"/>
          </w:tcPr>
          <w:p w14:paraId="3988542E">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≤0.05</w:t>
            </w:r>
          </w:p>
        </w:tc>
      </w:tr>
      <w:tr w14:paraId="5B277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1" w:type="dxa"/>
            <w:vAlign w:val="center"/>
          </w:tcPr>
          <w:p w14:paraId="59A799E6">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7</w:t>
            </w:r>
          </w:p>
        </w:tc>
        <w:tc>
          <w:tcPr>
            <w:tcW w:w="904" w:type="dxa"/>
            <w:vAlign w:val="center"/>
          </w:tcPr>
          <w:p w14:paraId="0DC7F4A2">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总铬</w:t>
            </w:r>
          </w:p>
        </w:tc>
        <w:tc>
          <w:tcPr>
            <w:tcW w:w="798" w:type="dxa"/>
            <w:vAlign w:val="center"/>
          </w:tcPr>
          <w:p w14:paraId="4B00A9CA">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1.49×10</w:t>
            </w:r>
            <w:r>
              <w:rPr>
                <w:rFonts w:hint="eastAsia" w:ascii="Times New Roman" w:hAnsi="Times New Roman" w:eastAsia="宋体" w:cs="Times New Roman"/>
                <w:color w:val="auto"/>
                <w:szCs w:val="21"/>
                <w:vertAlign w:val="superscript"/>
              </w:rPr>
              <w:t>-3</w:t>
            </w:r>
          </w:p>
        </w:tc>
        <w:tc>
          <w:tcPr>
            <w:tcW w:w="798" w:type="dxa"/>
            <w:vAlign w:val="center"/>
          </w:tcPr>
          <w:p w14:paraId="737E9A66">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1.46×10</w:t>
            </w:r>
            <w:r>
              <w:rPr>
                <w:rFonts w:hint="eastAsia" w:ascii="Times New Roman" w:hAnsi="Times New Roman" w:eastAsia="宋体" w:cs="Times New Roman"/>
                <w:color w:val="auto"/>
                <w:szCs w:val="21"/>
                <w:vertAlign w:val="superscript"/>
              </w:rPr>
              <w:t>-3</w:t>
            </w:r>
          </w:p>
        </w:tc>
        <w:tc>
          <w:tcPr>
            <w:tcW w:w="798" w:type="dxa"/>
            <w:vAlign w:val="center"/>
          </w:tcPr>
          <w:p w14:paraId="5AF62A19">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1.48×10</w:t>
            </w:r>
            <w:r>
              <w:rPr>
                <w:rFonts w:hint="eastAsia" w:ascii="Times New Roman" w:hAnsi="Times New Roman" w:eastAsia="宋体" w:cs="Times New Roman"/>
                <w:color w:val="auto"/>
                <w:szCs w:val="21"/>
                <w:vertAlign w:val="superscript"/>
              </w:rPr>
              <w:t>-3</w:t>
            </w:r>
          </w:p>
        </w:tc>
        <w:tc>
          <w:tcPr>
            <w:tcW w:w="798" w:type="dxa"/>
            <w:vAlign w:val="center"/>
          </w:tcPr>
          <w:p w14:paraId="30B9E26A">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3.51×10</w:t>
            </w:r>
            <w:r>
              <w:rPr>
                <w:rFonts w:hint="eastAsia" w:ascii="Times New Roman" w:hAnsi="Times New Roman" w:eastAsia="宋体" w:cs="Times New Roman"/>
                <w:color w:val="auto"/>
                <w:szCs w:val="21"/>
                <w:vertAlign w:val="superscript"/>
              </w:rPr>
              <w:t>-3</w:t>
            </w:r>
          </w:p>
        </w:tc>
        <w:tc>
          <w:tcPr>
            <w:tcW w:w="798" w:type="dxa"/>
            <w:vAlign w:val="center"/>
          </w:tcPr>
          <w:p w14:paraId="662FD479">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3.52×10</w:t>
            </w:r>
            <w:r>
              <w:rPr>
                <w:rFonts w:hint="eastAsia" w:ascii="Times New Roman" w:hAnsi="Times New Roman" w:eastAsia="宋体" w:cs="Times New Roman"/>
                <w:color w:val="auto"/>
                <w:szCs w:val="21"/>
                <w:vertAlign w:val="superscript"/>
              </w:rPr>
              <w:t>-3</w:t>
            </w:r>
          </w:p>
        </w:tc>
        <w:tc>
          <w:tcPr>
            <w:tcW w:w="798" w:type="dxa"/>
            <w:vAlign w:val="center"/>
          </w:tcPr>
          <w:p w14:paraId="53F7093C">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3.51×10</w:t>
            </w:r>
            <w:r>
              <w:rPr>
                <w:rFonts w:hint="eastAsia" w:ascii="Times New Roman" w:hAnsi="Times New Roman" w:eastAsia="宋体" w:cs="Times New Roman"/>
                <w:color w:val="auto"/>
                <w:szCs w:val="21"/>
                <w:vertAlign w:val="superscript"/>
              </w:rPr>
              <w:t>-3</w:t>
            </w:r>
          </w:p>
        </w:tc>
        <w:tc>
          <w:tcPr>
            <w:tcW w:w="798" w:type="dxa"/>
            <w:vAlign w:val="center"/>
          </w:tcPr>
          <w:p w14:paraId="472A367C">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2.46×10</w:t>
            </w:r>
            <w:r>
              <w:rPr>
                <w:rFonts w:hint="eastAsia" w:ascii="Times New Roman" w:hAnsi="Times New Roman" w:eastAsia="宋体" w:cs="Times New Roman"/>
                <w:color w:val="auto"/>
                <w:szCs w:val="21"/>
                <w:vertAlign w:val="superscript"/>
              </w:rPr>
              <w:t>-3</w:t>
            </w:r>
          </w:p>
        </w:tc>
        <w:tc>
          <w:tcPr>
            <w:tcW w:w="798" w:type="dxa"/>
            <w:vAlign w:val="center"/>
          </w:tcPr>
          <w:p w14:paraId="39791E45">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2.78×10</w:t>
            </w:r>
            <w:r>
              <w:rPr>
                <w:rFonts w:hint="eastAsia" w:ascii="Times New Roman" w:hAnsi="Times New Roman" w:eastAsia="宋体" w:cs="Times New Roman"/>
                <w:color w:val="auto"/>
                <w:szCs w:val="21"/>
                <w:vertAlign w:val="superscript"/>
              </w:rPr>
              <w:t>-3</w:t>
            </w:r>
          </w:p>
        </w:tc>
        <w:tc>
          <w:tcPr>
            <w:tcW w:w="798" w:type="dxa"/>
            <w:vAlign w:val="center"/>
          </w:tcPr>
          <w:p w14:paraId="768B1421">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2.92×10</w:t>
            </w:r>
            <w:r>
              <w:rPr>
                <w:rFonts w:hint="eastAsia" w:ascii="Times New Roman" w:hAnsi="Times New Roman" w:eastAsia="宋体" w:cs="Times New Roman"/>
                <w:color w:val="auto"/>
                <w:szCs w:val="21"/>
                <w:vertAlign w:val="superscript"/>
              </w:rPr>
              <w:t>-3</w:t>
            </w:r>
          </w:p>
        </w:tc>
        <w:tc>
          <w:tcPr>
            <w:tcW w:w="798" w:type="dxa"/>
            <w:vAlign w:val="center"/>
          </w:tcPr>
          <w:p w14:paraId="509038BD">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2.24×10</w:t>
            </w:r>
            <w:r>
              <w:rPr>
                <w:rFonts w:hint="eastAsia" w:ascii="Times New Roman" w:hAnsi="Times New Roman" w:eastAsia="宋体" w:cs="Times New Roman"/>
                <w:color w:val="auto"/>
                <w:szCs w:val="21"/>
                <w:vertAlign w:val="superscript"/>
              </w:rPr>
              <w:t>-3</w:t>
            </w:r>
          </w:p>
        </w:tc>
        <w:tc>
          <w:tcPr>
            <w:tcW w:w="798" w:type="dxa"/>
            <w:vAlign w:val="center"/>
          </w:tcPr>
          <w:p w14:paraId="47DD8326">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2.43×10</w:t>
            </w:r>
            <w:r>
              <w:rPr>
                <w:rFonts w:hint="eastAsia" w:ascii="Times New Roman" w:hAnsi="Times New Roman" w:eastAsia="宋体" w:cs="Times New Roman"/>
                <w:color w:val="auto"/>
                <w:szCs w:val="21"/>
                <w:vertAlign w:val="superscript"/>
              </w:rPr>
              <w:t>-3</w:t>
            </w:r>
          </w:p>
        </w:tc>
        <w:tc>
          <w:tcPr>
            <w:tcW w:w="798" w:type="dxa"/>
            <w:vAlign w:val="center"/>
          </w:tcPr>
          <w:p w14:paraId="17FD3681">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2.52×10</w:t>
            </w:r>
            <w:r>
              <w:rPr>
                <w:rFonts w:hint="eastAsia" w:ascii="Times New Roman" w:hAnsi="Times New Roman" w:eastAsia="宋体" w:cs="Times New Roman"/>
                <w:color w:val="auto"/>
                <w:szCs w:val="21"/>
                <w:vertAlign w:val="superscript"/>
              </w:rPr>
              <w:t>-3</w:t>
            </w:r>
          </w:p>
        </w:tc>
        <w:tc>
          <w:tcPr>
            <w:tcW w:w="798" w:type="dxa"/>
            <w:vAlign w:val="center"/>
          </w:tcPr>
          <w:p w14:paraId="6820A357">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4.20×10</w:t>
            </w:r>
            <w:r>
              <w:rPr>
                <w:rFonts w:hint="eastAsia" w:ascii="Times New Roman" w:hAnsi="Times New Roman" w:eastAsia="宋体" w:cs="Times New Roman"/>
                <w:color w:val="auto"/>
                <w:szCs w:val="21"/>
                <w:vertAlign w:val="superscript"/>
              </w:rPr>
              <w:t>-3</w:t>
            </w:r>
          </w:p>
        </w:tc>
        <w:tc>
          <w:tcPr>
            <w:tcW w:w="798" w:type="dxa"/>
            <w:vAlign w:val="center"/>
          </w:tcPr>
          <w:p w14:paraId="47272E73">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4.34×10</w:t>
            </w:r>
            <w:r>
              <w:rPr>
                <w:rFonts w:hint="eastAsia" w:ascii="Times New Roman" w:hAnsi="Times New Roman" w:eastAsia="宋体" w:cs="Times New Roman"/>
                <w:color w:val="auto"/>
                <w:szCs w:val="21"/>
                <w:vertAlign w:val="superscript"/>
              </w:rPr>
              <w:t>-3</w:t>
            </w:r>
          </w:p>
        </w:tc>
        <w:tc>
          <w:tcPr>
            <w:tcW w:w="798" w:type="dxa"/>
            <w:vAlign w:val="center"/>
          </w:tcPr>
          <w:p w14:paraId="452DD68E">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4.41×10</w:t>
            </w:r>
            <w:r>
              <w:rPr>
                <w:rFonts w:hint="eastAsia" w:ascii="Times New Roman" w:hAnsi="Times New Roman" w:eastAsia="宋体" w:cs="Times New Roman"/>
                <w:color w:val="auto"/>
                <w:szCs w:val="21"/>
                <w:vertAlign w:val="superscript"/>
              </w:rPr>
              <w:t>-3</w:t>
            </w:r>
          </w:p>
        </w:tc>
        <w:tc>
          <w:tcPr>
            <w:tcW w:w="809" w:type="dxa"/>
            <w:vAlign w:val="center"/>
          </w:tcPr>
          <w:p w14:paraId="0A8CEB31">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≤0.1</w:t>
            </w:r>
          </w:p>
        </w:tc>
      </w:tr>
      <w:tr w14:paraId="27A95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1" w:type="dxa"/>
            <w:vAlign w:val="center"/>
          </w:tcPr>
          <w:p w14:paraId="13E5634B">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8</w:t>
            </w:r>
          </w:p>
        </w:tc>
        <w:tc>
          <w:tcPr>
            <w:tcW w:w="904" w:type="dxa"/>
            <w:vAlign w:val="center"/>
          </w:tcPr>
          <w:p w14:paraId="621EF090">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总铅</w:t>
            </w:r>
          </w:p>
        </w:tc>
        <w:tc>
          <w:tcPr>
            <w:tcW w:w="798" w:type="dxa"/>
            <w:vAlign w:val="center"/>
          </w:tcPr>
          <w:p w14:paraId="57FFA69E">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0.77×10</w:t>
            </w:r>
            <w:r>
              <w:rPr>
                <w:rFonts w:hint="eastAsia" w:ascii="Times New Roman" w:hAnsi="Times New Roman" w:eastAsia="宋体" w:cs="Times New Roman"/>
                <w:color w:val="auto"/>
                <w:szCs w:val="21"/>
                <w:vertAlign w:val="superscript"/>
              </w:rPr>
              <w:t>-3</w:t>
            </w:r>
          </w:p>
        </w:tc>
        <w:tc>
          <w:tcPr>
            <w:tcW w:w="798" w:type="dxa"/>
            <w:vAlign w:val="center"/>
          </w:tcPr>
          <w:p w14:paraId="05A7E13B">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0.8×10</w:t>
            </w:r>
            <w:r>
              <w:rPr>
                <w:rFonts w:hint="eastAsia" w:ascii="Times New Roman" w:hAnsi="Times New Roman" w:eastAsia="宋体" w:cs="Times New Roman"/>
                <w:color w:val="auto"/>
                <w:szCs w:val="21"/>
                <w:vertAlign w:val="superscript"/>
              </w:rPr>
              <w:t>-3</w:t>
            </w:r>
          </w:p>
        </w:tc>
        <w:tc>
          <w:tcPr>
            <w:tcW w:w="798" w:type="dxa"/>
            <w:vAlign w:val="center"/>
          </w:tcPr>
          <w:p w14:paraId="14784225">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0.76×10</w:t>
            </w:r>
            <w:r>
              <w:rPr>
                <w:rFonts w:hint="eastAsia" w:ascii="Times New Roman" w:hAnsi="Times New Roman" w:eastAsia="宋体" w:cs="Times New Roman"/>
                <w:color w:val="auto"/>
                <w:szCs w:val="21"/>
                <w:vertAlign w:val="superscript"/>
              </w:rPr>
              <w:t>-3</w:t>
            </w:r>
          </w:p>
        </w:tc>
        <w:tc>
          <w:tcPr>
            <w:tcW w:w="798" w:type="dxa"/>
            <w:vAlign w:val="center"/>
          </w:tcPr>
          <w:p w14:paraId="648E3146">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ND</w:t>
            </w:r>
          </w:p>
        </w:tc>
        <w:tc>
          <w:tcPr>
            <w:tcW w:w="798" w:type="dxa"/>
            <w:vAlign w:val="center"/>
          </w:tcPr>
          <w:p w14:paraId="3E052E3C">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ND</w:t>
            </w:r>
          </w:p>
        </w:tc>
        <w:tc>
          <w:tcPr>
            <w:tcW w:w="798" w:type="dxa"/>
            <w:vAlign w:val="center"/>
          </w:tcPr>
          <w:p w14:paraId="67CB8B89">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ND</w:t>
            </w:r>
          </w:p>
        </w:tc>
        <w:tc>
          <w:tcPr>
            <w:tcW w:w="798" w:type="dxa"/>
            <w:vAlign w:val="center"/>
          </w:tcPr>
          <w:p w14:paraId="06B4FB83">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0.31×10</w:t>
            </w:r>
            <w:r>
              <w:rPr>
                <w:rFonts w:hint="eastAsia" w:ascii="Times New Roman" w:hAnsi="Times New Roman" w:eastAsia="宋体" w:cs="Times New Roman"/>
                <w:color w:val="auto"/>
                <w:szCs w:val="21"/>
                <w:vertAlign w:val="superscript"/>
              </w:rPr>
              <w:t>-3</w:t>
            </w:r>
          </w:p>
        </w:tc>
        <w:tc>
          <w:tcPr>
            <w:tcW w:w="798" w:type="dxa"/>
            <w:vAlign w:val="center"/>
          </w:tcPr>
          <w:p w14:paraId="682183EA">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0.19×10</w:t>
            </w:r>
            <w:r>
              <w:rPr>
                <w:rFonts w:hint="eastAsia" w:ascii="Times New Roman" w:hAnsi="Times New Roman" w:eastAsia="宋体" w:cs="Times New Roman"/>
                <w:color w:val="auto"/>
                <w:szCs w:val="21"/>
                <w:vertAlign w:val="superscript"/>
              </w:rPr>
              <w:t>-3</w:t>
            </w:r>
          </w:p>
        </w:tc>
        <w:tc>
          <w:tcPr>
            <w:tcW w:w="798" w:type="dxa"/>
            <w:vAlign w:val="center"/>
          </w:tcPr>
          <w:p w14:paraId="68CE921B">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0.17×10</w:t>
            </w:r>
            <w:r>
              <w:rPr>
                <w:rFonts w:hint="eastAsia" w:ascii="Times New Roman" w:hAnsi="Times New Roman" w:eastAsia="宋体" w:cs="Times New Roman"/>
                <w:color w:val="auto"/>
                <w:szCs w:val="21"/>
                <w:vertAlign w:val="superscript"/>
              </w:rPr>
              <w:t>-3</w:t>
            </w:r>
          </w:p>
        </w:tc>
        <w:tc>
          <w:tcPr>
            <w:tcW w:w="798" w:type="dxa"/>
            <w:vAlign w:val="center"/>
          </w:tcPr>
          <w:p w14:paraId="57C7F770">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ND</w:t>
            </w:r>
          </w:p>
        </w:tc>
        <w:tc>
          <w:tcPr>
            <w:tcW w:w="798" w:type="dxa"/>
            <w:vAlign w:val="center"/>
          </w:tcPr>
          <w:p w14:paraId="2D6C7787">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ND</w:t>
            </w:r>
          </w:p>
        </w:tc>
        <w:tc>
          <w:tcPr>
            <w:tcW w:w="798" w:type="dxa"/>
            <w:vAlign w:val="center"/>
          </w:tcPr>
          <w:p w14:paraId="353248D7">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ND</w:t>
            </w:r>
          </w:p>
        </w:tc>
        <w:tc>
          <w:tcPr>
            <w:tcW w:w="798" w:type="dxa"/>
            <w:vAlign w:val="center"/>
          </w:tcPr>
          <w:p w14:paraId="65212EEE">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ND</w:t>
            </w:r>
          </w:p>
        </w:tc>
        <w:tc>
          <w:tcPr>
            <w:tcW w:w="798" w:type="dxa"/>
            <w:vAlign w:val="center"/>
          </w:tcPr>
          <w:p w14:paraId="45123D99">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ND</w:t>
            </w:r>
          </w:p>
        </w:tc>
        <w:tc>
          <w:tcPr>
            <w:tcW w:w="798" w:type="dxa"/>
            <w:vAlign w:val="center"/>
          </w:tcPr>
          <w:p w14:paraId="67D1E7F4">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ND</w:t>
            </w:r>
          </w:p>
        </w:tc>
        <w:tc>
          <w:tcPr>
            <w:tcW w:w="809" w:type="dxa"/>
            <w:vAlign w:val="center"/>
          </w:tcPr>
          <w:p w14:paraId="7ABC5F84">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≤0.1</w:t>
            </w:r>
          </w:p>
        </w:tc>
      </w:tr>
      <w:tr w14:paraId="38875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1" w:type="dxa"/>
            <w:vAlign w:val="center"/>
          </w:tcPr>
          <w:p w14:paraId="256FE6CD">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9</w:t>
            </w:r>
          </w:p>
        </w:tc>
        <w:tc>
          <w:tcPr>
            <w:tcW w:w="904" w:type="dxa"/>
            <w:vAlign w:val="center"/>
          </w:tcPr>
          <w:p w14:paraId="50F5FA2C">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总砷</w:t>
            </w:r>
          </w:p>
        </w:tc>
        <w:tc>
          <w:tcPr>
            <w:tcW w:w="798" w:type="dxa"/>
            <w:vAlign w:val="center"/>
          </w:tcPr>
          <w:p w14:paraId="078B5091">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ND</w:t>
            </w:r>
          </w:p>
        </w:tc>
        <w:tc>
          <w:tcPr>
            <w:tcW w:w="798" w:type="dxa"/>
            <w:vAlign w:val="center"/>
          </w:tcPr>
          <w:p w14:paraId="069E7158">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ND</w:t>
            </w:r>
          </w:p>
        </w:tc>
        <w:tc>
          <w:tcPr>
            <w:tcW w:w="798" w:type="dxa"/>
            <w:vAlign w:val="center"/>
          </w:tcPr>
          <w:p w14:paraId="076EE5F5">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ND</w:t>
            </w:r>
          </w:p>
        </w:tc>
        <w:tc>
          <w:tcPr>
            <w:tcW w:w="798" w:type="dxa"/>
            <w:vAlign w:val="center"/>
          </w:tcPr>
          <w:p w14:paraId="4478A931">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2.14×10</w:t>
            </w:r>
            <w:r>
              <w:rPr>
                <w:rFonts w:hint="eastAsia" w:ascii="Times New Roman" w:hAnsi="Times New Roman" w:eastAsia="宋体" w:cs="Times New Roman"/>
                <w:color w:val="auto"/>
                <w:szCs w:val="21"/>
                <w:vertAlign w:val="superscript"/>
              </w:rPr>
              <w:t>-3</w:t>
            </w:r>
          </w:p>
        </w:tc>
        <w:tc>
          <w:tcPr>
            <w:tcW w:w="798" w:type="dxa"/>
            <w:vAlign w:val="center"/>
          </w:tcPr>
          <w:p w14:paraId="63FF97B0">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2.15×10</w:t>
            </w:r>
            <w:r>
              <w:rPr>
                <w:rFonts w:hint="eastAsia" w:ascii="Times New Roman" w:hAnsi="Times New Roman" w:eastAsia="宋体" w:cs="Times New Roman"/>
                <w:color w:val="auto"/>
                <w:szCs w:val="21"/>
                <w:vertAlign w:val="superscript"/>
              </w:rPr>
              <w:t>-3</w:t>
            </w:r>
          </w:p>
        </w:tc>
        <w:tc>
          <w:tcPr>
            <w:tcW w:w="798" w:type="dxa"/>
            <w:vAlign w:val="center"/>
          </w:tcPr>
          <w:p w14:paraId="5F6B2170">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2.18×10</w:t>
            </w:r>
            <w:r>
              <w:rPr>
                <w:rFonts w:hint="eastAsia" w:ascii="Times New Roman" w:hAnsi="Times New Roman" w:eastAsia="宋体" w:cs="Times New Roman"/>
                <w:color w:val="auto"/>
                <w:szCs w:val="21"/>
                <w:vertAlign w:val="superscript"/>
              </w:rPr>
              <w:t>-3</w:t>
            </w:r>
          </w:p>
        </w:tc>
        <w:tc>
          <w:tcPr>
            <w:tcW w:w="798" w:type="dxa"/>
            <w:vAlign w:val="center"/>
          </w:tcPr>
          <w:p w14:paraId="2BEEB21C">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0.50×10</w:t>
            </w:r>
            <w:r>
              <w:rPr>
                <w:rFonts w:hint="eastAsia" w:ascii="Times New Roman" w:hAnsi="Times New Roman" w:eastAsia="宋体" w:cs="Times New Roman"/>
                <w:color w:val="auto"/>
                <w:szCs w:val="21"/>
                <w:vertAlign w:val="superscript"/>
              </w:rPr>
              <w:t>-3</w:t>
            </w:r>
          </w:p>
        </w:tc>
        <w:tc>
          <w:tcPr>
            <w:tcW w:w="798" w:type="dxa"/>
            <w:vAlign w:val="center"/>
          </w:tcPr>
          <w:p w14:paraId="7F33AFA3">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0.54×10</w:t>
            </w:r>
            <w:r>
              <w:rPr>
                <w:rFonts w:hint="eastAsia" w:ascii="Times New Roman" w:hAnsi="Times New Roman" w:eastAsia="宋体" w:cs="Times New Roman"/>
                <w:color w:val="auto"/>
                <w:szCs w:val="21"/>
                <w:vertAlign w:val="superscript"/>
              </w:rPr>
              <w:t>-3</w:t>
            </w:r>
          </w:p>
        </w:tc>
        <w:tc>
          <w:tcPr>
            <w:tcW w:w="798" w:type="dxa"/>
            <w:vAlign w:val="center"/>
          </w:tcPr>
          <w:p w14:paraId="7CE60DC0">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0.40×10</w:t>
            </w:r>
            <w:r>
              <w:rPr>
                <w:rFonts w:hint="eastAsia" w:ascii="Times New Roman" w:hAnsi="Times New Roman" w:eastAsia="宋体" w:cs="Times New Roman"/>
                <w:color w:val="auto"/>
                <w:szCs w:val="21"/>
                <w:vertAlign w:val="superscript"/>
              </w:rPr>
              <w:t>-3</w:t>
            </w:r>
          </w:p>
        </w:tc>
        <w:tc>
          <w:tcPr>
            <w:tcW w:w="798" w:type="dxa"/>
            <w:vAlign w:val="center"/>
          </w:tcPr>
          <w:p w14:paraId="20AA839A">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0.21×10</w:t>
            </w:r>
            <w:r>
              <w:rPr>
                <w:rFonts w:hint="eastAsia" w:ascii="Times New Roman" w:hAnsi="Times New Roman" w:eastAsia="宋体" w:cs="Times New Roman"/>
                <w:color w:val="auto"/>
                <w:szCs w:val="21"/>
                <w:vertAlign w:val="superscript"/>
              </w:rPr>
              <w:t>-3</w:t>
            </w:r>
          </w:p>
        </w:tc>
        <w:tc>
          <w:tcPr>
            <w:tcW w:w="798" w:type="dxa"/>
            <w:vAlign w:val="center"/>
          </w:tcPr>
          <w:p w14:paraId="4887605E">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0.25×10</w:t>
            </w:r>
            <w:r>
              <w:rPr>
                <w:rFonts w:hint="eastAsia" w:ascii="Times New Roman" w:hAnsi="Times New Roman" w:eastAsia="宋体" w:cs="Times New Roman"/>
                <w:color w:val="auto"/>
                <w:szCs w:val="21"/>
                <w:vertAlign w:val="superscript"/>
              </w:rPr>
              <w:t>-3</w:t>
            </w:r>
          </w:p>
        </w:tc>
        <w:tc>
          <w:tcPr>
            <w:tcW w:w="798" w:type="dxa"/>
            <w:vAlign w:val="center"/>
          </w:tcPr>
          <w:p w14:paraId="0C88E38C">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0.23×10</w:t>
            </w:r>
            <w:r>
              <w:rPr>
                <w:rFonts w:hint="eastAsia" w:ascii="Times New Roman" w:hAnsi="Times New Roman" w:eastAsia="宋体" w:cs="Times New Roman"/>
                <w:color w:val="auto"/>
                <w:szCs w:val="21"/>
                <w:vertAlign w:val="superscript"/>
              </w:rPr>
              <w:t>-3</w:t>
            </w:r>
          </w:p>
        </w:tc>
        <w:tc>
          <w:tcPr>
            <w:tcW w:w="798" w:type="dxa"/>
            <w:vAlign w:val="center"/>
          </w:tcPr>
          <w:p w14:paraId="7A8E2CD3">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0.45×10</w:t>
            </w:r>
            <w:r>
              <w:rPr>
                <w:rFonts w:hint="eastAsia" w:ascii="Times New Roman" w:hAnsi="Times New Roman" w:eastAsia="宋体" w:cs="Times New Roman"/>
                <w:color w:val="auto"/>
                <w:szCs w:val="21"/>
                <w:vertAlign w:val="superscript"/>
              </w:rPr>
              <w:t>-3</w:t>
            </w:r>
          </w:p>
        </w:tc>
        <w:tc>
          <w:tcPr>
            <w:tcW w:w="798" w:type="dxa"/>
            <w:vAlign w:val="center"/>
          </w:tcPr>
          <w:p w14:paraId="3B5A98FB">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0.45×10</w:t>
            </w:r>
            <w:r>
              <w:rPr>
                <w:rFonts w:hint="eastAsia" w:ascii="Times New Roman" w:hAnsi="Times New Roman" w:eastAsia="宋体" w:cs="Times New Roman"/>
                <w:color w:val="auto"/>
                <w:szCs w:val="21"/>
                <w:vertAlign w:val="superscript"/>
              </w:rPr>
              <w:t>-3</w:t>
            </w:r>
          </w:p>
        </w:tc>
        <w:tc>
          <w:tcPr>
            <w:tcW w:w="798" w:type="dxa"/>
            <w:vAlign w:val="center"/>
          </w:tcPr>
          <w:p w14:paraId="1DABB89E">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0.45×10</w:t>
            </w:r>
            <w:r>
              <w:rPr>
                <w:rFonts w:hint="eastAsia" w:ascii="Times New Roman" w:hAnsi="Times New Roman" w:eastAsia="宋体" w:cs="Times New Roman"/>
                <w:color w:val="auto"/>
                <w:szCs w:val="21"/>
                <w:vertAlign w:val="superscript"/>
              </w:rPr>
              <w:t>-3</w:t>
            </w:r>
          </w:p>
        </w:tc>
        <w:tc>
          <w:tcPr>
            <w:tcW w:w="809" w:type="dxa"/>
            <w:vAlign w:val="center"/>
          </w:tcPr>
          <w:p w14:paraId="5FD63A4C">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≤0.1</w:t>
            </w:r>
          </w:p>
        </w:tc>
      </w:tr>
      <w:tr w14:paraId="03515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1" w:type="dxa"/>
            <w:vAlign w:val="center"/>
          </w:tcPr>
          <w:p w14:paraId="3B5E70AC">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10</w:t>
            </w:r>
          </w:p>
        </w:tc>
        <w:tc>
          <w:tcPr>
            <w:tcW w:w="904" w:type="dxa"/>
            <w:vAlign w:val="center"/>
          </w:tcPr>
          <w:p w14:paraId="31154BD4">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总镉</w:t>
            </w:r>
          </w:p>
        </w:tc>
        <w:tc>
          <w:tcPr>
            <w:tcW w:w="798" w:type="dxa"/>
            <w:vAlign w:val="center"/>
          </w:tcPr>
          <w:p w14:paraId="190AD996">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0.08×10</w:t>
            </w:r>
            <w:r>
              <w:rPr>
                <w:rFonts w:hint="eastAsia" w:ascii="Times New Roman" w:hAnsi="Times New Roman" w:eastAsia="宋体" w:cs="Times New Roman"/>
                <w:color w:val="auto"/>
                <w:szCs w:val="21"/>
                <w:vertAlign w:val="superscript"/>
              </w:rPr>
              <w:t>-3</w:t>
            </w:r>
          </w:p>
        </w:tc>
        <w:tc>
          <w:tcPr>
            <w:tcW w:w="798" w:type="dxa"/>
            <w:vAlign w:val="center"/>
          </w:tcPr>
          <w:p w14:paraId="504A139A">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0.1×10</w:t>
            </w:r>
            <w:r>
              <w:rPr>
                <w:rFonts w:hint="eastAsia" w:ascii="Times New Roman" w:hAnsi="Times New Roman" w:eastAsia="宋体" w:cs="Times New Roman"/>
                <w:color w:val="auto"/>
                <w:szCs w:val="21"/>
                <w:vertAlign w:val="superscript"/>
              </w:rPr>
              <w:t>-3</w:t>
            </w:r>
          </w:p>
        </w:tc>
        <w:tc>
          <w:tcPr>
            <w:tcW w:w="798" w:type="dxa"/>
            <w:vAlign w:val="center"/>
          </w:tcPr>
          <w:p w14:paraId="44DED90E">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0.1×10</w:t>
            </w:r>
            <w:r>
              <w:rPr>
                <w:rFonts w:hint="eastAsia" w:ascii="Times New Roman" w:hAnsi="Times New Roman" w:eastAsia="宋体" w:cs="Times New Roman"/>
                <w:color w:val="auto"/>
                <w:szCs w:val="21"/>
                <w:vertAlign w:val="superscript"/>
              </w:rPr>
              <w:t>-3</w:t>
            </w:r>
          </w:p>
        </w:tc>
        <w:tc>
          <w:tcPr>
            <w:tcW w:w="798" w:type="dxa"/>
            <w:vAlign w:val="center"/>
          </w:tcPr>
          <w:p w14:paraId="3439CD52">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0.06×10</w:t>
            </w:r>
            <w:r>
              <w:rPr>
                <w:rFonts w:hint="eastAsia" w:ascii="Times New Roman" w:hAnsi="Times New Roman" w:eastAsia="宋体" w:cs="Times New Roman"/>
                <w:color w:val="auto"/>
                <w:szCs w:val="21"/>
                <w:vertAlign w:val="superscript"/>
              </w:rPr>
              <w:t>-3</w:t>
            </w:r>
          </w:p>
        </w:tc>
        <w:tc>
          <w:tcPr>
            <w:tcW w:w="798" w:type="dxa"/>
            <w:vAlign w:val="center"/>
          </w:tcPr>
          <w:p w14:paraId="28869776">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0.06×10</w:t>
            </w:r>
            <w:r>
              <w:rPr>
                <w:rFonts w:hint="eastAsia" w:ascii="Times New Roman" w:hAnsi="Times New Roman" w:eastAsia="宋体" w:cs="Times New Roman"/>
                <w:color w:val="auto"/>
                <w:szCs w:val="21"/>
                <w:vertAlign w:val="superscript"/>
              </w:rPr>
              <w:t>-3</w:t>
            </w:r>
          </w:p>
        </w:tc>
        <w:tc>
          <w:tcPr>
            <w:tcW w:w="798" w:type="dxa"/>
            <w:vAlign w:val="center"/>
          </w:tcPr>
          <w:p w14:paraId="4E6D4715">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0.06×10</w:t>
            </w:r>
            <w:r>
              <w:rPr>
                <w:rFonts w:hint="eastAsia" w:ascii="Times New Roman" w:hAnsi="Times New Roman" w:eastAsia="宋体" w:cs="Times New Roman"/>
                <w:color w:val="auto"/>
                <w:szCs w:val="21"/>
                <w:vertAlign w:val="superscript"/>
              </w:rPr>
              <w:t>-3</w:t>
            </w:r>
          </w:p>
        </w:tc>
        <w:tc>
          <w:tcPr>
            <w:tcW w:w="798" w:type="dxa"/>
            <w:vAlign w:val="center"/>
          </w:tcPr>
          <w:p w14:paraId="514CD9D4">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0.10×10</w:t>
            </w:r>
            <w:r>
              <w:rPr>
                <w:rFonts w:hint="eastAsia" w:ascii="Times New Roman" w:hAnsi="Times New Roman" w:eastAsia="宋体" w:cs="Times New Roman"/>
                <w:color w:val="auto"/>
                <w:szCs w:val="21"/>
                <w:vertAlign w:val="superscript"/>
              </w:rPr>
              <w:t>-3</w:t>
            </w:r>
          </w:p>
        </w:tc>
        <w:tc>
          <w:tcPr>
            <w:tcW w:w="798" w:type="dxa"/>
            <w:vAlign w:val="center"/>
          </w:tcPr>
          <w:p w14:paraId="0C4D74C2">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0.08×10</w:t>
            </w:r>
            <w:r>
              <w:rPr>
                <w:rFonts w:hint="eastAsia" w:ascii="Times New Roman" w:hAnsi="Times New Roman" w:eastAsia="宋体" w:cs="Times New Roman"/>
                <w:color w:val="auto"/>
                <w:szCs w:val="21"/>
                <w:vertAlign w:val="superscript"/>
              </w:rPr>
              <w:t>-3</w:t>
            </w:r>
          </w:p>
        </w:tc>
        <w:tc>
          <w:tcPr>
            <w:tcW w:w="798" w:type="dxa"/>
            <w:vAlign w:val="center"/>
          </w:tcPr>
          <w:p w14:paraId="1284E8AE">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0.07×10</w:t>
            </w:r>
            <w:r>
              <w:rPr>
                <w:rFonts w:hint="eastAsia" w:ascii="Times New Roman" w:hAnsi="Times New Roman" w:eastAsia="宋体" w:cs="Times New Roman"/>
                <w:color w:val="auto"/>
                <w:szCs w:val="21"/>
                <w:vertAlign w:val="superscript"/>
              </w:rPr>
              <w:t>-3</w:t>
            </w:r>
          </w:p>
        </w:tc>
        <w:tc>
          <w:tcPr>
            <w:tcW w:w="798" w:type="dxa"/>
            <w:vAlign w:val="center"/>
          </w:tcPr>
          <w:p w14:paraId="0FDF2984">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ND</w:t>
            </w:r>
          </w:p>
        </w:tc>
        <w:tc>
          <w:tcPr>
            <w:tcW w:w="798" w:type="dxa"/>
            <w:vAlign w:val="center"/>
          </w:tcPr>
          <w:p w14:paraId="7F48594F">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ND</w:t>
            </w:r>
          </w:p>
        </w:tc>
        <w:tc>
          <w:tcPr>
            <w:tcW w:w="798" w:type="dxa"/>
            <w:vAlign w:val="center"/>
          </w:tcPr>
          <w:p w14:paraId="159719EC">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ND</w:t>
            </w:r>
          </w:p>
        </w:tc>
        <w:tc>
          <w:tcPr>
            <w:tcW w:w="798" w:type="dxa"/>
            <w:vAlign w:val="center"/>
          </w:tcPr>
          <w:p w14:paraId="60CA2DB4">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ND</w:t>
            </w:r>
          </w:p>
        </w:tc>
        <w:tc>
          <w:tcPr>
            <w:tcW w:w="798" w:type="dxa"/>
            <w:vAlign w:val="center"/>
          </w:tcPr>
          <w:p w14:paraId="47482A5B">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ND</w:t>
            </w:r>
          </w:p>
        </w:tc>
        <w:tc>
          <w:tcPr>
            <w:tcW w:w="798" w:type="dxa"/>
            <w:vAlign w:val="center"/>
          </w:tcPr>
          <w:p w14:paraId="368DC857">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ND</w:t>
            </w:r>
          </w:p>
        </w:tc>
        <w:tc>
          <w:tcPr>
            <w:tcW w:w="809" w:type="dxa"/>
            <w:vAlign w:val="center"/>
          </w:tcPr>
          <w:p w14:paraId="784B7EEE">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≤0.01</w:t>
            </w:r>
          </w:p>
        </w:tc>
      </w:tr>
      <w:tr w14:paraId="19BD3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1" w:type="dxa"/>
            <w:vAlign w:val="center"/>
          </w:tcPr>
          <w:p w14:paraId="63371FB7">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11</w:t>
            </w:r>
          </w:p>
        </w:tc>
        <w:tc>
          <w:tcPr>
            <w:tcW w:w="904" w:type="dxa"/>
            <w:vAlign w:val="center"/>
          </w:tcPr>
          <w:p w14:paraId="54C892D6">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粪大肠杆菌MPN/L</w:t>
            </w:r>
          </w:p>
        </w:tc>
        <w:tc>
          <w:tcPr>
            <w:tcW w:w="798" w:type="dxa"/>
            <w:vAlign w:val="center"/>
          </w:tcPr>
          <w:p w14:paraId="2DB6070A">
            <w:pPr>
              <w:jc w:val="center"/>
              <w:rPr>
                <w:rFonts w:ascii="Times New Roman" w:hAnsi="Times New Roman" w:eastAsia="宋体" w:cs="Times New Roman"/>
                <w:color w:val="auto"/>
                <w:szCs w:val="21"/>
              </w:rPr>
            </w:pPr>
          </w:p>
        </w:tc>
        <w:tc>
          <w:tcPr>
            <w:tcW w:w="798" w:type="dxa"/>
            <w:vAlign w:val="center"/>
          </w:tcPr>
          <w:p w14:paraId="3B38E8AB">
            <w:pPr>
              <w:jc w:val="center"/>
              <w:rPr>
                <w:rFonts w:ascii="Times New Roman" w:hAnsi="Times New Roman" w:eastAsia="宋体" w:cs="Times New Roman"/>
                <w:color w:val="auto"/>
                <w:szCs w:val="21"/>
              </w:rPr>
            </w:pPr>
          </w:p>
        </w:tc>
        <w:tc>
          <w:tcPr>
            <w:tcW w:w="798" w:type="dxa"/>
            <w:vAlign w:val="center"/>
          </w:tcPr>
          <w:p w14:paraId="1142C064">
            <w:pPr>
              <w:jc w:val="center"/>
              <w:rPr>
                <w:rFonts w:ascii="Times New Roman" w:hAnsi="Times New Roman" w:eastAsia="宋体" w:cs="Times New Roman"/>
                <w:color w:val="auto"/>
                <w:szCs w:val="21"/>
              </w:rPr>
            </w:pPr>
          </w:p>
        </w:tc>
        <w:tc>
          <w:tcPr>
            <w:tcW w:w="798" w:type="dxa"/>
            <w:vAlign w:val="center"/>
          </w:tcPr>
          <w:p w14:paraId="48DB6EC1">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2.7×10</w:t>
            </w:r>
            <w:r>
              <w:rPr>
                <w:rFonts w:hint="eastAsia" w:ascii="Times New Roman" w:hAnsi="Times New Roman" w:eastAsia="宋体" w:cs="Times New Roman"/>
                <w:color w:val="auto"/>
                <w:szCs w:val="21"/>
                <w:vertAlign w:val="superscript"/>
              </w:rPr>
              <w:t>2</w:t>
            </w:r>
          </w:p>
        </w:tc>
        <w:tc>
          <w:tcPr>
            <w:tcW w:w="798" w:type="dxa"/>
            <w:vAlign w:val="center"/>
          </w:tcPr>
          <w:p w14:paraId="2534C552">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4.0×10</w:t>
            </w:r>
            <w:r>
              <w:rPr>
                <w:rFonts w:hint="eastAsia" w:ascii="Times New Roman" w:hAnsi="Times New Roman" w:eastAsia="宋体" w:cs="Times New Roman"/>
                <w:color w:val="auto"/>
                <w:szCs w:val="21"/>
                <w:vertAlign w:val="superscript"/>
              </w:rPr>
              <w:t>2</w:t>
            </w:r>
          </w:p>
        </w:tc>
        <w:tc>
          <w:tcPr>
            <w:tcW w:w="798" w:type="dxa"/>
            <w:vAlign w:val="center"/>
          </w:tcPr>
          <w:p w14:paraId="7482A125">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3.9×10</w:t>
            </w:r>
            <w:r>
              <w:rPr>
                <w:rFonts w:hint="eastAsia" w:ascii="Times New Roman" w:hAnsi="Times New Roman" w:eastAsia="宋体" w:cs="Times New Roman"/>
                <w:color w:val="auto"/>
                <w:szCs w:val="21"/>
                <w:vertAlign w:val="superscript"/>
              </w:rPr>
              <w:t>2</w:t>
            </w:r>
          </w:p>
        </w:tc>
        <w:tc>
          <w:tcPr>
            <w:tcW w:w="798" w:type="dxa"/>
            <w:vAlign w:val="center"/>
          </w:tcPr>
          <w:p w14:paraId="526CF7C9">
            <w:pPr>
              <w:jc w:val="center"/>
              <w:rPr>
                <w:rFonts w:ascii="Times New Roman" w:hAnsi="Times New Roman" w:eastAsia="宋体" w:cs="Times New Roman"/>
                <w:color w:val="auto"/>
                <w:szCs w:val="21"/>
              </w:rPr>
            </w:pPr>
          </w:p>
        </w:tc>
        <w:tc>
          <w:tcPr>
            <w:tcW w:w="798" w:type="dxa"/>
            <w:vAlign w:val="center"/>
          </w:tcPr>
          <w:p w14:paraId="396AB0DD">
            <w:pPr>
              <w:jc w:val="center"/>
              <w:rPr>
                <w:rFonts w:ascii="Times New Roman" w:hAnsi="Times New Roman" w:eastAsia="宋体" w:cs="Times New Roman"/>
                <w:color w:val="auto"/>
                <w:szCs w:val="21"/>
              </w:rPr>
            </w:pPr>
          </w:p>
        </w:tc>
        <w:tc>
          <w:tcPr>
            <w:tcW w:w="798" w:type="dxa"/>
            <w:vAlign w:val="center"/>
          </w:tcPr>
          <w:p w14:paraId="4D0FD5C4">
            <w:pPr>
              <w:jc w:val="center"/>
              <w:rPr>
                <w:rFonts w:ascii="Times New Roman" w:hAnsi="Times New Roman" w:eastAsia="宋体" w:cs="Times New Roman"/>
                <w:color w:val="auto"/>
                <w:szCs w:val="21"/>
              </w:rPr>
            </w:pPr>
          </w:p>
        </w:tc>
        <w:tc>
          <w:tcPr>
            <w:tcW w:w="798" w:type="dxa"/>
            <w:vAlign w:val="center"/>
          </w:tcPr>
          <w:p w14:paraId="7388A4FB">
            <w:pPr>
              <w:jc w:val="center"/>
              <w:rPr>
                <w:rFonts w:ascii="Times New Roman" w:hAnsi="Times New Roman" w:eastAsia="宋体" w:cs="Times New Roman"/>
                <w:color w:val="auto"/>
                <w:szCs w:val="21"/>
              </w:rPr>
            </w:pPr>
          </w:p>
        </w:tc>
        <w:tc>
          <w:tcPr>
            <w:tcW w:w="798" w:type="dxa"/>
            <w:vAlign w:val="center"/>
          </w:tcPr>
          <w:p w14:paraId="5C2E16C9">
            <w:pPr>
              <w:jc w:val="center"/>
              <w:rPr>
                <w:rFonts w:ascii="Times New Roman" w:hAnsi="Times New Roman" w:eastAsia="宋体" w:cs="Times New Roman"/>
                <w:color w:val="auto"/>
                <w:szCs w:val="21"/>
              </w:rPr>
            </w:pPr>
          </w:p>
        </w:tc>
        <w:tc>
          <w:tcPr>
            <w:tcW w:w="798" w:type="dxa"/>
            <w:vAlign w:val="center"/>
          </w:tcPr>
          <w:p w14:paraId="6F2D028B">
            <w:pPr>
              <w:jc w:val="center"/>
              <w:rPr>
                <w:rFonts w:ascii="Times New Roman" w:hAnsi="Times New Roman" w:eastAsia="宋体" w:cs="Times New Roman"/>
                <w:color w:val="auto"/>
                <w:szCs w:val="21"/>
              </w:rPr>
            </w:pPr>
          </w:p>
        </w:tc>
        <w:tc>
          <w:tcPr>
            <w:tcW w:w="798" w:type="dxa"/>
            <w:vAlign w:val="center"/>
          </w:tcPr>
          <w:p w14:paraId="2CC7936C">
            <w:pPr>
              <w:jc w:val="center"/>
              <w:rPr>
                <w:rFonts w:ascii="Times New Roman" w:hAnsi="Times New Roman" w:eastAsia="宋体" w:cs="Times New Roman"/>
                <w:color w:val="auto"/>
                <w:szCs w:val="21"/>
              </w:rPr>
            </w:pPr>
          </w:p>
        </w:tc>
        <w:tc>
          <w:tcPr>
            <w:tcW w:w="798" w:type="dxa"/>
            <w:vAlign w:val="center"/>
          </w:tcPr>
          <w:p w14:paraId="7F6F52B3">
            <w:pPr>
              <w:jc w:val="center"/>
              <w:rPr>
                <w:rFonts w:ascii="Times New Roman" w:hAnsi="Times New Roman" w:eastAsia="宋体" w:cs="Times New Roman"/>
                <w:color w:val="auto"/>
                <w:szCs w:val="21"/>
              </w:rPr>
            </w:pPr>
          </w:p>
        </w:tc>
        <w:tc>
          <w:tcPr>
            <w:tcW w:w="798" w:type="dxa"/>
            <w:vAlign w:val="center"/>
          </w:tcPr>
          <w:p w14:paraId="6CC48D44">
            <w:pPr>
              <w:jc w:val="center"/>
              <w:rPr>
                <w:rFonts w:ascii="Times New Roman" w:hAnsi="Times New Roman" w:eastAsia="宋体" w:cs="Times New Roman"/>
                <w:color w:val="auto"/>
                <w:szCs w:val="21"/>
              </w:rPr>
            </w:pPr>
          </w:p>
        </w:tc>
        <w:tc>
          <w:tcPr>
            <w:tcW w:w="809" w:type="dxa"/>
            <w:vAlign w:val="center"/>
          </w:tcPr>
          <w:p w14:paraId="4B6C6DCD">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≤10</w:t>
            </w:r>
            <w:r>
              <w:rPr>
                <w:rFonts w:hint="eastAsia" w:ascii="Times New Roman" w:hAnsi="Times New Roman" w:eastAsia="宋体" w:cs="Times New Roman"/>
                <w:color w:val="auto"/>
                <w:szCs w:val="21"/>
                <w:vertAlign w:val="superscript"/>
              </w:rPr>
              <w:t>3</w:t>
            </w:r>
          </w:p>
        </w:tc>
      </w:tr>
      <w:tr w14:paraId="543C6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1" w:type="dxa"/>
            <w:vAlign w:val="center"/>
          </w:tcPr>
          <w:p w14:paraId="0A8C5E38">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12</w:t>
            </w:r>
          </w:p>
        </w:tc>
        <w:tc>
          <w:tcPr>
            <w:tcW w:w="904" w:type="dxa"/>
            <w:vAlign w:val="center"/>
          </w:tcPr>
          <w:p w14:paraId="46074191">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烷基汞</w:t>
            </w:r>
          </w:p>
        </w:tc>
        <w:tc>
          <w:tcPr>
            <w:tcW w:w="798" w:type="dxa"/>
            <w:vAlign w:val="center"/>
          </w:tcPr>
          <w:p w14:paraId="1F6B2C7F">
            <w:pPr>
              <w:jc w:val="center"/>
              <w:rPr>
                <w:rFonts w:ascii="Times New Roman" w:hAnsi="Times New Roman" w:eastAsia="宋体" w:cs="Times New Roman"/>
                <w:color w:val="auto"/>
                <w:szCs w:val="21"/>
              </w:rPr>
            </w:pPr>
          </w:p>
        </w:tc>
        <w:tc>
          <w:tcPr>
            <w:tcW w:w="798" w:type="dxa"/>
            <w:vAlign w:val="center"/>
          </w:tcPr>
          <w:p w14:paraId="6D96CF4A">
            <w:pPr>
              <w:jc w:val="center"/>
              <w:rPr>
                <w:rFonts w:ascii="Times New Roman" w:hAnsi="Times New Roman" w:eastAsia="宋体" w:cs="Times New Roman"/>
                <w:color w:val="auto"/>
                <w:szCs w:val="21"/>
              </w:rPr>
            </w:pPr>
          </w:p>
        </w:tc>
        <w:tc>
          <w:tcPr>
            <w:tcW w:w="798" w:type="dxa"/>
            <w:vAlign w:val="center"/>
          </w:tcPr>
          <w:p w14:paraId="4D9B2AD7">
            <w:pPr>
              <w:jc w:val="center"/>
              <w:rPr>
                <w:rFonts w:ascii="Times New Roman" w:hAnsi="Times New Roman" w:eastAsia="宋体" w:cs="Times New Roman"/>
                <w:color w:val="auto"/>
                <w:szCs w:val="21"/>
              </w:rPr>
            </w:pPr>
          </w:p>
        </w:tc>
        <w:tc>
          <w:tcPr>
            <w:tcW w:w="798" w:type="dxa"/>
            <w:vAlign w:val="center"/>
          </w:tcPr>
          <w:p w14:paraId="54C755BE">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ND</w:t>
            </w:r>
          </w:p>
        </w:tc>
        <w:tc>
          <w:tcPr>
            <w:tcW w:w="798" w:type="dxa"/>
            <w:vAlign w:val="center"/>
          </w:tcPr>
          <w:p w14:paraId="7E31397B">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ND</w:t>
            </w:r>
          </w:p>
        </w:tc>
        <w:tc>
          <w:tcPr>
            <w:tcW w:w="798" w:type="dxa"/>
            <w:vAlign w:val="center"/>
          </w:tcPr>
          <w:p w14:paraId="41770D42">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ND</w:t>
            </w:r>
          </w:p>
        </w:tc>
        <w:tc>
          <w:tcPr>
            <w:tcW w:w="798" w:type="dxa"/>
            <w:vAlign w:val="center"/>
          </w:tcPr>
          <w:p w14:paraId="0F447445">
            <w:pPr>
              <w:jc w:val="center"/>
              <w:rPr>
                <w:rFonts w:ascii="Times New Roman" w:hAnsi="Times New Roman" w:eastAsia="宋体" w:cs="Times New Roman"/>
                <w:color w:val="auto"/>
                <w:szCs w:val="21"/>
              </w:rPr>
            </w:pPr>
          </w:p>
        </w:tc>
        <w:tc>
          <w:tcPr>
            <w:tcW w:w="798" w:type="dxa"/>
            <w:vAlign w:val="center"/>
          </w:tcPr>
          <w:p w14:paraId="502D45FE">
            <w:pPr>
              <w:jc w:val="center"/>
              <w:rPr>
                <w:rFonts w:ascii="Times New Roman" w:hAnsi="Times New Roman" w:eastAsia="宋体" w:cs="Times New Roman"/>
                <w:color w:val="auto"/>
                <w:szCs w:val="21"/>
              </w:rPr>
            </w:pPr>
          </w:p>
        </w:tc>
        <w:tc>
          <w:tcPr>
            <w:tcW w:w="798" w:type="dxa"/>
            <w:vAlign w:val="center"/>
          </w:tcPr>
          <w:p w14:paraId="73E313B0">
            <w:pPr>
              <w:jc w:val="center"/>
              <w:rPr>
                <w:rFonts w:ascii="Times New Roman" w:hAnsi="Times New Roman" w:eastAsia="宋体" w:cs="Times New Roman"/>
                <w:color w:val="auto"/>
                <w:szCs w:val="21"/>
              </w:rPr>
            </w:pPr>
          </w:p>
        </w:tc>
        <w:tc>
          <w:tcPr>
            <w:tcW w:w="798" w:type="dxa"/>
            <w:vAlign w:val="center"/>
          </w:tcPr>
          <w:p w14:paraId="69772EC9">
            <w:pPr>
              <w:jc w:val="center"/>
              <w:rPr>
                <w:rFonts w:ascii="Times New Roman" w:hAnsi="Times New Roman" w:eastAsia="宋体" w:cs="Times New Roman"/>
                <w:color w:val="auto"/>
                <w:szCs w:val="21"/>
              </w:rPr>
            </w:pPr>
          </w:p>
        </w:tc>
        <w:tc>
          <w:tcPr>
            <w:tcW w:w="798" w:type="dxa"/>
            <w:vAlign w:val="center"/>
          </w:tcPr>
          <w:p w14:paraId="1C4ACBEF">
            <w:pPr>
              <w:jc w:val="center"/>
              <w:rPr>
                <w:rFonts w:ascii="Times New Roman" w:hAnsi="Times New Roman" w:eastAsia="宋体" w:cs="Times New Roman"/>
                <w:color w:val="auto"/>
                <w:szCs w:val="21"/>
              </w:rPr>
            </w:pPr>
          </w:p>
        </w:tc>
        <w:tc>
          <w:tcPr>
            <w:tcW w:w="798" w:type="dxa"/>
            <w:vAlign w:val="center"/>
          </w:tcPr>
          <w:p w14:paraId="7C7E4D69">
            <w:pPr>
              <w:jc w:val="center"/>
              <w:rPr>
                <w:rFonts w:ascii="Times New Roman" w:hAnsi="Times New Roman" w:eastAsia="宋体" w:cs="Times New Roman"/>
                <w:color w:val="auto"/>
                <w:szCs w:val="21"/>
              </w:rPr>
            </w:pPr>
          </w:p>
        </w:tc>
        <w:tc>
          <w:tcPr>
            <w:tcW w:w="798" w:type="dxa"/>
            <w:vAlign w:val="center"/>
          </w:tcPr>
          <w:p w14:paraId="146CC130">
            <w:pPr>
              <w:jc w:val="center"/>
              <w:rPr>
                <w:rFonts w:ascii="Times New Roman" w:hAnsi="Times New Roman" w:eastAsia="宋体" w:cs="Times New Roman"/>
                <w:color w:val="auto"/>
                <w:szCs w:val="21"/>
              </w:rPr>
            </w:pPr>
          </w:p>
        </w:tc>
        <w:tc>
          <w:tcPr>
            <w:tcW w:w="798" w:type="dxa"/>
            <w:vAlign w:val="center"/>
          </w:tcPr>
          <w:p w14:paraId="2B3C14A6">
            <w:pPr>
              <w:jc w:val="center"/>
              <w:rPr>
                <w:rFonts w:ascii="Times New Roman" w:hAnsi="Times New Roman" w:eastAsia="宋体" w:cs="Times New Roman"/>
                <w:color w:val="auto"/>
                <w:szCs w:val="21"/>
              </w:rPr>
            </w:pPr>
          </w:p>
        </w:tc>
        <w:tc>
          <w:tcPr>
            <w:tcW w:w="798" w:type="dxa"/>
            <w:vAlign w:val="center"/>
          </w:tcPr>
          <w:p w14:paraId="3AF0DF59">
            <w:pPr>
              <w:jc w:val="center"/>
              <w:rPr>
                <w:rFonts w:ascii="Times New Roman" w:hAnsi="Times New Roman" w:eastAsia="宋体" w:cs="Times New Roman"/>
                <w:color w:val="auto"/>
                <w:szCs w:val="21"/>
              </w:rPr>
            </w:pPr>
          </w:p>
        </w:tc>
        <w:tc>
          <w:tcPr>
            <w:tcW w:w="809" w:type="dxa"/>
            <w:vAlign w:val="center"/>
          </w:tcPr>
          <w:p w14:paraId="45B53844">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不得检出</w:t>
            </w:r>
          </w:p>
        </w:tc>
      </w:tr>
      <w:tr w14:paraId="26BAC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1" w:type="dxa"/>
            <w:vAlign w:val="center"/>
          </w:tcPr>
          <w:p w14:paraId="2C6956FD">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13</w:t>
            </w:r>
          </w:p>
        </w:tc>
        <w:tc>
          <w:tcPr>
            <w:tcW w:w="904" w:type="dxa"/>
            <w:vAlign w:val="center"/>
          </w:tcPr>
          <w:p w14:paraId="603AE93F">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甲苯</w:t>
            </w:r>
          </w:p>
        </w:tc>
        <w:tc>
          <w:tcPr>
            <w:tcW w:w="798" w:type="dxa"/>
            <w:vAlign w:val="center"/>
          </w:tcPr>
          <w:p w14:paraId="4F12FEB6">
            <w:pPr>
              <w:jc w:val="center"/>
              <w:rPr>
                <w:rFonts w:ascii="Times New Roman" w:hAnsi="Times New Roman" w:eastAsia="宋体" w:cs="Times New Roman"/>
                <w:color w:val="auto"/>
                <w:szCs w:val="21"/>
              </w:rPr>
            </w:pPr>
          </w:p>
        </w:tc>
        <w:tc>
          <w:tcPr>
            <w:tcW w:w="798" w:type="dxa"/>
            <w:vAlign w:val="center"/>
          </w:tcPr>
          <w:p w14:paraId="26C26A61">
            <w:pPr>
              <w:jc w:val="center"/>
              <w:rPr>
                <w:rFonts w:ascii="Times New Roman" w:hAnsi="Times New Roman" w:eastAsia="宋体" w:cs="Times New Roman"/>
                <w:color w:val="auto"/>
                <w:szCs w:val="21"/>
              </w:rPr>
            </w:pPr>
          </w:p>
        </w:tc>
        <w:tc>
          <w:tcPr>
            <w:tcW w:w="798" w:type="dxa"/>
            <w:vAlign w:val="center"/>
          </w:tcPr>
          <w:p w14:paraId="0B77D20D">
            <w:pPr>
              <w:jc w:val="center"/>
              <w:rPr>
                <w:rFonts w:ascii="Times New Roman" w:hAnsi="Times New Roman" w:eastAsia="宋体" w:cs="Times New Roman"/>
                <w:color w:val="auto"/>
                <w:szCs w:val="21"/>
              </w:rPr>
            </w:pPr>
          </w:p>
        </w:tc>
        <w:tc>
          <w:tcPr>
            <w:tcW w:w="798" w:type="dxa"/>
            <w:vAlign w:val="center"/>
          </w:tcPr>
          <w:p w14:paraId="0EC1E2CA">
            <w:pPr>
              <w:jc w:val="center"/>
              <w:rPr>
                <w:rFonts w:ascii="Times New Roman" w:hAnsi="Times New Roman" w:eastAsia="宋体" w:cs="Times New Roman"/>
                <w:color w:val="auto"/>
                <w:szCs w:val="21"/>
              </w:rPr>
            </w:pPr>
          </w:p>
        </w:tc>
        <w:tc>
          <w:tcPr>
            <w:tcW w:w="798" w:type="dxa"/>
            <w:vAlign w:val="center"/>
          </w:tcPr>
          <w:p w14:paraId="3F261D59">
            <w:pPr>
              <w:jc w:val="center"/>
              <w:rPr>
                <w:rFonts w:ascii="Times New Roman" w:hAnsi="Times New Roman" w:eastAsia="宋体" w:cs="Times New Roman"/>
                <w:color w:val="auto"/>
                <w:szCs w:val="21"/>
              </w:rPr>
            </w:pPr>
          </w:p>
        </w:tc>
        <w:tc>
          <w:tcPr>
            <w:tcW w:w="798" w:type="dxa"/>
            <w:vAlign w:val="center"/>
          </w:tcPr>
          <w:p w14:paraId="3440C17D">
            <w:pPr>
              <w:jc w:val="center"/>
              <w:rPr>
                <w:rFonts w:ascii="Times New Roman" w:hAnsi="Times New Roman" w:eastAsia="宋体" w:cs="Times New Roman"/>
                <w:color w:val="auto"/>
                <w:szCs w:val="21"/>
              </w:rPr>
            </w:pPr>
          </w:p>
        </w:tc>
        <w:tc>
          <w:tcPr>
            <w:tcW w:w="798" w:type="dxa"/>
            <w:vAlign w:val="center"/>
          </w:tcPr>
          <w:p w14:paraId="334BB04D">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ND</w:t>
            </w:r>
          </w:p>
        </w:tc>
        <w:tc>
          <w:tcPr>
            <w:tcW w:w="798" w:type="dxa"/>
            <w:vAlign w:val="center"/>
          </w:tcPr>
          <w:p w14:paraId="79B75648">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ND</w:t>
            </w:r>
          </w:p>
        </w:tc>
        <w:tc>
          <w:tcPr>
            <w:tcW w:w="798" w:type="dxa"/>
            <w:vAlign w:val="center"/>
          </w:tcPr>
          <w:p w14:paraId="0975FFF8">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ND</w:t>
            </w:r>
          </w:p>
        </w:tc>
        <w:tc>
          <w:tcPr>
            <w:tcW w:w="798" w:type="dxa"/>
            <w:vAlign w:val="center"/>
          </w:tcPr>
          <w:p w14:paraId="0EE991A8">
            <w:pPr>
              <w:jc w:val="center"/>
              <w:rPr>
                <w:rFonts w:ascii="Times New Roman" w:hAnsi="Times New Roman" w:eastAsia="宋体" w:cs="Times New Roman"/>
                <w:color w:val="auto"/>
                <w:szCs w:val="21"/>
              </w:rPr>
            </w:pPr>
          </w:p>
        </w:tc>
        <w:tc>
          <w:tcPr>
            <w:tcW w:w="798" w:type="dxa"/>
            <w:vAlign w:val="center"/>
          </w:tcPr>
          <w:p w14:paraId="3185953A">
            <w:pPr>
              <w:jc w:val="center"/>
              <w:rPr>
                <w:rFonts w:ascii="Times New Roman" w:hAnsi="Times New Roman" w:eastAsia="宋体" w:cs="Times New Roman"/>
                <w:color w:val="auto"/>
                <w:szCs w:val="21"/>
              </w:rPr>
            </w:pPr>
          </w:p>
        </w:tc>
        <w:tc>
          <w:tcPr>
            <w:tcW w:w="798" w:type="dxa"/>
            <w:vAlign w:val="center"/>
          </w:tcPr>
          <w:p w14:paraId="6CBA9893">
            <w:pPr>
              <w:jc w:val="center"/>
              <w:rPr>
                <w:rFonts w:ascii="Times New Roman" w:hAnsi="Times New Roman" w:eastAsia="宋体" w:cs="Times New Roman"/>
                <w:color w:val="auto"/>
                <w:szCs w:val="21"/>
              </w:rPr>
            </w:pPr>
          </w:p>
        </w:tc>
        <w:tc>
          <w:tcPr>
            <w:tcW w:w="798" w:type="dxa"/>
            <w:vAlign w:val="center"/>
          </w:tcPr>
          <w:p w14:paraId="4D7C3CAF">
            <w:pPr>
              <w:jc w:val="center"/>
              <w:rPr>
                <w:rFonts w:ascii="Times New Roman" w:hAnsi="Times New Roman" w:eastAsia="宋体" w:cs="Times New Roman"/>
                <w:color w:val="auto"/>
                <w:szCs w:val="21"/>
              </w:rPr>
            </w:pPr>
          </w:p>
        </w:tc>
        <w:tc>
          <w:tcPr>
            <w:tcW w:w="798" w:type="dxa"/>
            <w:vAlign w:val="center"/>
          </w:tcPr>
          <w:p w14:paraId="3230D406">
            <w:pPr>
              <w:jc w:val="center"/>
              <w:rPr>
                <w:rFonts w:ascii="Times New Roman" w:hAnsi="Times New Roman" w:eastAsia="宋体" w:cs="Times New Roman"/>
                <w:color w:val="auto"/>
                <w:szCs w:val="21"/>
              </w:rPr>
            </w:pPr>
          </w:p>
        </w:tc>
        <w:tc>
          <w:tcPr>
            <w:tcW w:w="798" w:type="dxa"/>
            <w:vAlign w:val="center"/>
          </w:tcPr>
          <w:p w14:paraId="1642CAD7">
            <w:pPr>
              <w:jc w:val="center"/>
              <w:rPr>
                <w:rFonts w:ascii="Times New Roman" w:hAnsi="Times New Roman" w:eastAsia="宋体" w:cs="Times New Roman"/>
                <w:color w:val="auto"/>
                <w:szCs w:val="21"/>
              </w:rPr>
            </w:pPr>
          </w:p>
        </w:tc>
        <w:tc>
          <w:tcPr>
            <w:tcW w:w="809" w:type="dxa"/>
            <w:vAlign w:val="center"/>
          </w:tcPr>
          <w:p w14:paraId="1B6C59B9">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0.1</w:t>
            </w:r>
          </w:p>
        </w:tc>
      </w:tr>
      <w:tr w14:paraId="4D167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1" w:type="dxa"/>
            <w:vAlign w:val="center"/>
          </w:tcPr>
          <w:p w14:paraId="66DE7A26">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14</w:t>
            </w:r>
          </w:p>
        </w:tc>
        <w:tc>
          <w:tcPr>
            <w:tcW w:w="904" w:type="dxa"/>
            <w:vAlign w:val="center"/>
          </w:tcPr>
          <w:p w14:paraId="0000E85D">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二甲苯</w:t>
            </w:r>
          </w:p>
        </w:tc>
        <w:tc>
          <w:tcPr>
            <w:tcW w:w="798" w:type="dxa"/>
            <w:vAlign w:val="center"/>
          </w:tcPr>
          <w:p w14:paraId="3DDEE21F">
            <w:pPr>
              <w:jc w:val="center"/>
              <w:rPr>
                <w:rFonts w:ascii="Times New Roman" w:hAnsi="Times New Roman" w:eastAsia="宋体" w:cs="Times New Roman"/>
                <w:color w:val="auto"/>
                <w:szCs w:val="21"/>
              </w:rPr>
            </w:pPr>
          </w:p>
        </w:tc>
        <w:tc>
          <w:tcPr>
            <w:tcW w:w="798" w:type="dxa"/>
            <w:vAlign w:val="center"/>
          </w:tcPr>
          <w:p w14:paraId="2A958ACB">
            <w:pPr>
              <w:jc w:val="center"/>
              <w:rPr>
                <w:rFonts w:ascii="Times New Roman" w:hAnsi="Times New Roman" w:eastAsia="宋体" w:cs="Times New Roman"/>
                <w:color w:val="auto"/>
                <w:szCs w:val="21"/>
              </w:rPr>
            </w:pPr>
          </w:p>
        </w:tc>
        <w:tc>
          <w:tcPr>
            <w:tcW w:w="798" w:type="dxa"/>
            <w:vAlign w:val="center"/>
          </w:tcPr>
          <w:p w14:paraId="45FA529B">
            <w:pPr>
              <w:jc w:val="center"/>
              <w:rPr>
                <w:rFonts w:ascii="Times New Roman" w:hAnsi="Times New Roman" w:eastAsia="宋体" w:cs="Times New Roman"/>
                <w:color w:val="auto"/>
                <w:szCs w:val="21"/>
              </w:rPr>
            </w:pPr>
          </w:p>
        </w:tc>
        <w:tc>
          <w:tcPr>
            <w:tcW w:w="798" w:type="dxa"/>
            <w:vAlign w:val="center"/>
          </w:tcPr>
          <w:p w14:paraId="2F3FDB60">
            <w:pPr>
              <w:jc w:val="center"/>
              <w:rPr>
                <w:rFonts w:ascii="Times New Roman" w:hAnsi="Times New Roman" w:eastAsia="宋体" w:cs="Times New Roman"/>
                <w:color w:val="auto"/>
                <w:szCs w:val="21"/>
              </w:rPr>
            </w:pPr>
          </w:p>
        </w:tc>
        <w:tc>
          <w:tcPr>
            <w:tcW w:w="798" w:type="dxa"/>
            <w:vAlign w:val="center"/>
          </w:tcPr>
          <w:p w14:paraId="3FCFCE43">
            <w:pPr>
              <w:jc w:val="center"/>
              <w:rPr>
                <w:rFonts w:ascii="Times New Roman" w:hAnsi="Times New Roman" w:eastAsia="宋体" w:cs="Times New Roman"/>
                <w:color w:val="auto"/>
                <w:szCs w:val="21"/>
              </w:rPr>
            </w:pPr>
          </w:p>
        </w:tc>
        <w:tc>
          <w:tcPr>
            <w:tcW w:w="798" w:type="dxa"/>
            <w:vAlign w:val="center"/>
          </w:tcPr>
          <w:p w14:paraId="2228B8C2">
            <w:pPr>
              <w:jc w:val="center"/>
              <w:rPr>
                <w:rFonts w:ascii="Times New Roman" w:hAnsi="Times New Roman" w:eastAsia="宋体" w:cs="Times New Roman"/>
                <w:color w:val="auto"/>
                <w:szCs w:val="21"/>
              </w:rPr>
            </w:pPr>
          </w:p>
        </w:tc>
        <w:tc>
          <w:tcPr>
            <w:tcW w:w="798" w:type="dxa"/>
            <w:vAlign w:val="center"/>
          </w:tcPr>
          <w:p w14:paraId="0F44AAD8">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ND</w:t>
            </w:r>
          </w:p>
        </w:tc>
        <w:tc>
          <w:tcPr>
            <w:tcW w:w="798" w:type="dxa"/>
            <w:vAlign w:val="center"/>
          </w:tcPr>
          <w:p w14:paraId="585AD511">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ND</w:t>
            </w:r>
          </w:p>
        </w:tc>
        <w:tc>
          <w:tcPr>
            <w:tcW w:w="798" w:type="dxa"/>
            <w:vAlign w:val="center"/>
          </w:tcPr>
          <w:p w14:paraId="2FACDAA6">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ND</w:t>
            </w:r>
          </w:p>
        </w:tc>
        <w:tc>
          <w:tcPr>
            <w:tcW w:w="798" w:type="dxa"/>
            <w:vAlign w:val="center"/>
          </w:tcPr>
          <w:p w14:paraId="154CD43F">
            <w:pPr>
              <w:jc w:val="center"/>
              <w:rPr>
                <w:rFonts w:ascii="Times New Roman" w:hAnsi="Times New Roman" w:eastAsia="宋体" w:cs="Times New Roman"/>
                <w:color w:val="auto"/>
                <w:szCs w:val="21"/>
              </w:rPr>
            </w:pPr>
          </w:p>
        </w:tc>
        <w:tc>
          <w:tcPr>
            <w:tcW w:w="798" w:type="dxa"/>
            <w:vAlign w:val="center"/>
          </w:tcPr>
          <w:p w14:paraId="3F77225E">
            <w:pPr>
              <w:jc w:val="center"/>
              <w:rPr>
                <w:rFonts w:ascii="Times New Roman" w:hAnsi="Times New Roman" w:eastAsia="宋体" w:cs="Times New Roman"/>
                <w:color w:val="auto"/>
                <w:szCs w:val="21"/>
              </w:rPr>
            </w:pPr>
          </w:p>
        </w:tc>
        <w:tc>
          <w:tcPr>
            <w:tcW w:w="798" w:type="dxa"/>
            <w:vAlign w:val="center"/>
          </w:tcPr>
          <w:p w14:paraId="586E53CD">
            <w:pPr>
              <w:jc w:val="center"/>
              <w:rPr>
                <w:rFonts w:ascii="Times New Roman" w:hAnsi="Times New Roman" w:eastAsia="宋体" w:cs="Times New Roman"/>
                <w:color w:val="auto"/>
                <w:szCs w:val="21"/>
              </w:rPr>
            </w:pPr>
          </w:p>
        </w:tc>
        <w:tc>
          <w:tcPr>
            <w:tcW w:w="798" w:type="dxa"/>
            <w:vAlign w:val="center"/>
          </w:tcPr>
          <w:p w14:paraId="1B91CFA5">
            <w:pPr>
              <w:jc w:val="center"/>
              <w:rPr>
                <w:rFonts w:ascii="Times New Roman" w:hAnsi="Times New Roman" w:eastAsia="宋体" w:cs="Times New Roman"/>
                <w:color w:val="auto"/>
                <w:szCs w:val="21"/>
              </w:rPr>
            </w:pPr>
          </w:p>
        </w:tc>
        <w:tc>
          <w:tcPr>
            <w:tcW w:w="798" w:type="dxa"/>
            <w:vAlign w:val="center"/>
          </w:tcPr>
          <w:p w14:paraId="43D79D32">
            <w:pPr>
              <w:jc w:val="center"/>
              <w:rPr>
                <w:rFonts w:ascii="Times New Roman" w:hAnsi="Times New Roman" w:eastAsia="宋体" w:cs="Times New Roman"/>
                <w:color w:val="auto"/>
                <w:szCs w:val="21"/>
              </w:rPr>
            </w:pPr>
          </w:p>
        </w:tc>
        <w:tc>
          <w:tcPr>
            <w:tcW w:w="798" w:type="dxa"/>
            <w:vAlign w:val="center"/>
          </w:tcPr>
          <w:p w14:paraId="41B6601B">
            <w:pPr>
              <w:jc w:val="center"/>
              <w:rPr>
                <w:rFonts w:ascii="Times New Roman" w:hAnsi="Times New Roman" w:eastAsia="宋体" w:cs="Times New Roman"/>
                <w:color w:val="auto"/>
                <w:szCs w:val="21"/>
              </w:rPr>
            </w:pPr>
          </w:p>
        </w:tc>
        <w:tc>
          <w:tcPr>
            <w:tcW w:w="809" w:type="dxa"/>
            <w:vAlign w:val="center"/>
          </w:tcPr>
          <w:p w14:paraId="0C91B697">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0.4</w:t>
            </w:r>
          </w:p>
        </w:tc>
      </w:tr>
      <w:tr w14:paraId="31070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1" w:type="dxa"/>
            <w:vAlign w:val="center"/>
          </w:tcPr>
          <w:p w14:paraId="72C5262F">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15</w:t>
            </w:r>
          </w:p>
        </w:tc>
        <w:tc>
          <w:tcPr>
            <w:tcW w:w="904" w:type="dxa"/>
            <w:vAlign w:val="center"/>
          </w:tcPr>
          <w:p w14:paraId="1056CF17">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三氯甲烷</w:t>
            </w:r>
          </w:p>
        </w:tc>
        <w:tc>
          <w:tcPr>
            <w:tcW w:w="798" w:type="dxa"/>
            <w:vAlign w:val="center"/>
          </w:tcPr>
          <w:p w14:paraId="6D535C20">
            <w:pPr>
              <w:jc w:val="center"/>
              <w:rPr>
                <w:rFonts w:ascii="Times New Roman" w:hAnsi="Times New Roman" w:eastAsia="宋体" w:cs="Times New Roman"/>
                <w:color w:val="auto"/>
                <w:szCs w:val="21"/>
              </w:rPr>
            </w:pPr>
          </w:p>
        </w:tc>
        <w:tc>
          <w:tcPr>
            <w:tcW w:w="798" w:type="dxa"/>
            <w:vAlign w:val="center"/>
          </w:tcPr>
          <w:p w14:paraId="32022F5D">
            <w:pPr>
              <w:jc w:val="center"/>
              <w:rPr>
                <w:rFonts w:ascii="Times New Roman" w:hAnsi="Times New Roman" w:eastAsia="宋体" w:cs="Times New Roman"/>
                <w:color w:val="auto"/>
                <w:szCs w:val="21"/>
              </w:rPr>
            </w:pPr>
          </w:p>
        </w:tc>
        <w:tc>
          <w:tcPr>
            <w:tcW w:w="798" w:type="dxa"/>
            <w:vAlign w:val="center"/>
          </w:tcPr>
          <w:p w14:paraId="18DFC074">
            <w:pPr>
              <w:jc w:val="center"/>
              <w:rPr>
                <w:rFonts w:ascii="Times New Roman" w:hAnsi="Times New Roman" w:eastAsia="宋体" w:cs="Times New Roman"/>
                <w:color w:val="auto"/>
                <w:szCs w:val="21"/>
              </w:rPr>
            </w:pPr>
          </w:p>
        </w:tc>
        <w:tc>
          <w:tcPr>
            <w:tcW w:w="798" w:type="dxa"/>
            <w:vAlign w:val="center"/>
          </w:tcPr>
          <w:p w14:paraId="5AE6E86C">
            <w:pPr>
              <w:jc w:val="center"/>
              <w:rPr>
                <w:rFonts w:ascii="Times New Roman" w:hAnsi="Times New Roman" w:eastAsia="宋体" w:cs="Times New Roman"/>
                <w:color w:val="auto"/>
                <w:szCs w:val="21"/>
              </w:rPr>
            </w:pPr>
          </w:p>
        </w:tc>
        <w:tc>
          <w:tcPr>
            <w:tcW w:w="798" w:type="dxa"/>
            <w:vAlign w:val="center"/>
          </w:tcPr>
          <w:p w14:paraId="676F5F9B">
            <w:pPr>
              <w:jc w:val="center"/>
              <w:rPr>
                <w:rFonts w:ascii="Times New Roman" w:hAnsi="Times New Roman" w:eastAsia="宋体" w:cs="Times New Roman"/>
                <w:color w:val="auto"/>
                <w:szCs w:val="21"/>
              </w:rPr>
            </w:pPr>
          </w:p>
        </w:tc>
        <w:tc>
          <w:tcPr>
            <w:tcW w:w="798" w:type="dxa"/>
            <w:vAlign w:val="center"/>
          </w:tcPr>
          <w:p w14:paraId="36B3BE7C">
            <w:pPr>
              <w:jc w:val="center"/>
              <w:rPr>
                <w:rFonts w:ascii="Times New Roman" w:hAnsi="Times New Roman" w:eastAsia="宋体" w:cs="Times New Roman"/>
                <w:color w:val="auto"/>
                <w:szCs w:val="21"/>
              </w:rPr>
            </w:pPr>
          </w:p>
        </w:tc>
        <w:tc>
          <w:tcPr>
            <w:tcW w:w="798" w:type="dxa"/>
            <w:vAlign w:val="center"/>
          </w:tcPr>
          <w:p w14:paraId="289F7A95">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ND</w:t>
            </w:r>
          </w:p>
        </w:tc>
        <w:tc>
          <w:tcPr>
            <w:tcW w:w="798" w:type="dxa"/>
            <w:vAlign w:val="center"/>
          </w:tcPr>
          <w:p w14:paraId="092E7050">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ND</w:t>
            </w:r>
          </w:p>
        </w:tc>
        <w:tc>
          <w:tcPr>
            <w:tcW w:w="798" w:type="dxa"/>
            <w:vAlign w:val="center"/>
          </w:tcPr>
          <w:p w14:paraId="559759CB">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ND</w:t>
            </w:r>
          </w:p>
        </w:tc>
        <w:tc>
          <w:tcPr>
            <w:tcW w:w="798" w:type="dxa"/>
            <w:vAlign w:val="center"/>
          </w:tcPr>
          <w:p w14:paraId="2A5CAB72">
            <w:pPr>
              <w:jc w:val="center"/>
              <w:rPr>
                <w:rFonts w:ascii="Times New Roman" w:hAnsi="Times New Roman" w:eastAsia="宋体" w:cs="Times New Roman"/>
                <w:color w:val="auto"/>
                <w:szCs w:val="21"/>
              </w:rPr>
            </w:pPr>
          </w:p>
        </w:tc>
        <w:tc>
          <w:tcPr>
            <w:tcW w:w="798" w:type="dxa"/>
            <w:vAlign w:val="center"/>
          </w:tcPr>
          <w:p w14:paraId="402A0111">
            <w:pPr>
              <w:jc w:val="center"/>
              <w:rPr>
                <w:rFonts w:ascii="Times New Roman" w:hAnsi="Times New Roman" w:eastAsia="宋体" w:cs="Times New Roman"/>
                <w:color w:val="auto"/>
                <w:szCs w:val="21"/>
              </w:rPr>
            </w:pPr>
          </w:p>
        </w:tc>
        <w:tc>
          <w:tcPr>
            <w:tcW w:w="798" w:type="dxa"/>
            <w:vAlign w:val="center"/>
          </w:tcPr>
          <w:p w14:paraId="2677BC0C">
            <w:pPr>
              <w:jc w:val="center"/>
              <w:rPr>
                <w:rFonts w:ascii="Times New Roman" w:hAnsi="Times New Roman" w:eastAsia="宋体" w:cs="Times New Roman"/>
                <w:color w:val="auto"/>
                <w:szCs w:val="21"/>
              </w:rPr>
            </w:pPr>
          </w:p>
        </w:tc>
        <w:tc>
          <w:tcPr>
            <w:tcW w:w="798" w:type="dxa"/>
            <w:vAlign w:val="center"/>
          </w:tcPr>
          <w:p w14:paraId="5A75EE27">
            <w:pPr>
              <w:jc w:val="center"/>
              <w:rPr>
                <w:rFonts w:ascii="Times New Roman" w:hAnsi="Times New Roman" w:eastAsia="宋体" w:cs="Times New Roman"/>
                <w:color w:val="auto"/>
                <w:szCs w:val="21"/>
              </w:rPr>
            </w:pPr>
          </w:p>
        </w:tc>
        <w:tc>
          <w:tcPr>
            <w:tcW w:w="798" w:type="dxa"/>
            <w:vAlign w:val="center"/>
          </w:tcPr>
          <w:p w14:paraId="793E272E">
            <w:pPr>
              <w:jc w:val="center"/>
              <w:rPr>
                <w:rFonts w:ascii="Times New Roman" w:hAnsi="Times New Roman" w:eastAsia="宋体" w:cs="Times New Roman"/>
                <w:color w:val="auto"/>
                <w:szCs w:val="21"/>
              </w:rPr>
            </w:pPr>
          </w:p>
        </w:tc>
        <w:tc>
          <w:tcPr>
            <w:tcW w:w="798" w:type="dxa"/>
            <w:vAlign w:val="center"/>
          </w:tcPr>
          <w:p w14:paraId="607207D2">
            <w:pPr>
              <w:jc w:val="center"/>
              <w:rPr>
                <w:rFonts w:ascii="Times New Roman" w:hAnsi="Times New Roman" w:eastAsia="宋体" w:cs="Times New Roman"/>
                <w:color w:val="auto"/>
                <w:szCs w:val="21"/>
              </w:rPr>
            </w:pPr>
          </w:p>
        </w:tc>
        <w:tc>
          <w:tcPr>
            <w:tcW w:w="809" w:type="dxa"/>
            <w:vAlign w:val="center"/>
          </w:tcPr>
          <w:p w14:paraId="11A2E3BA">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0.3</w:t>
            </w:r>
          </w:p>
        </w:tc>
      </w:tr>
      <w:tr w14:paraId="0F3CB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1" w:type="dxa"/>
            <w:vAlign w:val="center"/>
          </w:tcPr>
          <w:p w14:paraId="74C8EF29">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15</w:t>
            </w:r>
          </w:p>
        </w:tc>
        <w:tc>
          <w:tcPr>
            <w:tcW w:w="904" w:type="dxa"/>
            <w:vAlign w:val="center"/>
          </w:tcPr>
          <w:p w14:paraId="5B8BE716">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二氯甲烷</w:t>
            </w:r>
          </w:p>
        </w:tc>
        <w:tc>
          <w:tcPr>
            <w:tcW w:w="798" w:type="dxa"/>
            <w:vAlign w:val="center"/>
          </w:tcPr>
          <w:p w14:paraId="212D261D">
            <w:pPr>
              <w:jc w:val="center"/>
              <w:rPr>
                <w:rFonts w:ascii="Times New Roman" w:hAnsi="Times New Roman" w:eastAsia="宋体" w:cs="Times New Roman"/>
                <w:color w:val="auto"/>
                <w:szCs w:val="21"/>
              </w:rPr>
            </w:pPr>
          </w:p>
        </w:tc>
        <w:tc>
          <w:tcPr>
            <w:tcW w:w="798" w:type="dxa"/>
            <w:vAlign w:val="center"/>
          </w:tcPr>
          <w:p w14:paraId="5C1BE852">
            <w:pPr>
              <w:jc w:val="center"/>
              <w:rPr>
                <w:rFonts w:ascii="Times New Roman" w:hAnsi="Times New Roman" w:eastAsia="宋体" w:cs="Times New Roman"/>
                <w:color w:val="auto"/>
                <w:szCs w:val="21"/>
              </w:rPr>
            </w:pPr>
          </w:p>
        </w:tc>
        <w:tc>
          <w:tcPr>
            <w:tcW w:w="798" w:type="dxa"/>
            <w:vAlign w:val="center"/>
          </w:tcPr>
          <w:p w14:paraId="35AC7E10">
            <w:pPr>
              <w:jc w:val="center"/>
              <w:rPr>
                <w:rFonts w:ascii="Times New Roman" w:hAnsi="Times New Roman" w:eastAsia="宋体" w:cs="Times New Roman"/>
                <w:color w:val="auto"/>
                <w:szCs w:val="21"/>
              </w:rPr>
            </w:pPr>
          </w:p>
        </w:tc>
        <w:tc>
          <w:tcPr>
            <w:tcW w:w="798" w:type="dxa"/>
            <w:vAlign w:val="center"/>
          </w:tcPr>
          <w:p w14:paraId="356CF159">
            <w:pPr>
              <w:jc w:val="center"/>
              <w:rPr>
                <w:rFonts w:ascii="Times New Roman" w:hAnsi="Times New Roman" w:eastAsia="宋体" w:cs="Times New Roman"/>
                <w:color w:val="auto"/>
                <w:szCs w:val="21"/>
              </w:rPr>
            </w:pPr>
          </w:p>
        </w:tc>
        <w:tc>
          <w:tcPr>
            <w:tcW w:w="798" w:type="dxa"/>
            <w:vAlign w:val="center"/>
          </w:tcPr>
          <w:p w14:paraId="2F73AC63">
            <w:pPr>
              <w:jc w:val="center"/>
              <w:rPr>
                <w:rFonts w:ascii="Times New Roman" w:hAnsi="Times New Roman" w:eastAsia="宋体" w:cs="Times New Roman"/>
                <w:color w:val="auto"/>
                <w:szCs w:val="21"/>
              </w:rPr>
            </w:pPr>
          </w:p>
        </w:tc>
        <w:tc>
          <w:tcPr>
            <w:tcW w:w="798" w:type="dxa"/>
            <w:vAlign w:val="center"/>
          </w:tcPr>
          <w:p w14:paraId="03A92FA1">
            <w:pPr>
              <w:jc w:val="center"/>
              <w:rPr>
                <w:rFonts w:ascii="Times New Roman" w:hAnsi="Times New Roman" w:eastAsia="宋体" w:cs="Times New Roman"/>
                <w:color w:val="auto"/>
                <w:szCs w:val="21"/>
              </w:rPr>
            </w:pPr>
          </w:p>
        </w:tc>
        <w:tc>
          <w:tcPr>
            <w:tcW w:w="798" w:type="dxa"/>
            <w:vAlign w:val="center"/>
          </w:tcPr>
          <w:p w14:paraId="0C94E8EA">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ND</w:t>
            </w:r>
          </w:p>
        </w:tc>
        <w:tc>
          <w:tcPr>
            <w:tcW w:w="798" w:type="dxa"/>
            <w:vAlign w:val="center"/>
          </w:tcPr>
          <w:p w14:paraId="47B8200A">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ND</w:t>
            </w:r>
          </w:p>
        </w:tc>
        <w:tc>
          <w:tcPr>
            <w:tcW w:w="798" w:type="dxa"/>
            <w:vAlign w:val="center"/>
          </w:tcPr>
          <w:p w14:paraId="7DB200F6">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ND</w:t>
            </w:r>
          </w:p>
        </w:tc>
        <w:tc>
          <w:tcPr>
            <w:tcW w:w="798" w:type="dxa"/>
            <w:vAlign w:val="center"/>
          </w:tcPr>
          <w:p w14:paraId="30DBDBB3">
            <w:pPr>
              <w:jc w:val="center"/>
              <w:rPr>
                <w:rFonts w:ascii="Times New Roman" w:hAnsi="Times New Roman" w:eastAsia="宋体" w:cs="Times New Roman"/>
                <w:color w:val="auto"/>
                <w:szCs w:val="21"/>
              </w:rPr>
            </w:pPr>
          </w:p>
        </w:tc>
        <w:tc>
          <w:tcPr>
            <w:tcW w:w="798" w:type="dxa"/>
            <w:vAlign w:val="center"/>
          </w:tcPr>
          <w:p w14:paraId="7D881F17">
            <w:pPr>
              <w:jc w:val="center"/>
              <w:rPr>
                <w:rFonts w:ascii="Times New Roman" w:hAnsi="Times New Roman" w:eastAsia="宋体" w:cs="Times New Roman"/>
                <w:color w:val="auto"/>
                <w:szCs w:val="21"/>
              </w:rPr>
            </w:pPr>
          </w:p>
        </w:tc>
        <w:tc>
          <w:tcPr>
            <w:tcW w:w="798" w:type="dxa"/>
            <w:vAlign w:val="center"/>
          </w:tcPr>
          <w:p w14:paraId="6A1DB6FB">
            <w:pPr>
              <w:jc w:val="center"/>
              <w:rPr>
                <w:rFonts w:ascii="Times New Roman" w:hAnsi="Times New Roman" w:eastAsia="宋体" w:cs="Times New Roman"/>
                <w:color w:val="auto"/>
                <w:szCs w:val="21"/>
              </w:rPr>
            </w:pPr>
          </w:p>
        </w:tc>
        <w:tc>
          <w:tcPr>
            <w:tcW w:w="798" w:type="dxa"/>
            <w:vAlign w:val="center"/>
          </w:tcPr>
          <w:p w14:paraId="11019E51">
            <w:pPr>
              <w:jc w:val="center"/>
              <w:rPr>
                <w:rFonts w:ascii="Times New Roman" w:hAnsi="Times New Roman" w:eastAsia="宋体" w:cs="Times New Roman"/>
                <w:color w:val="auto"/>
                <w:szCs w:val="21"/>
              </w:rPr>
            </w:pPr>
          </w:p>
        </w:tc>
        <w:tc>
          <w:tcPr>
            <w:tcW w:w="798" w:type="dxa"/>
            <w:vAlign w:val="center"/>
          </w:tcPr>
          <w:p w14:paraId="062348D2">
            <w:pPr>
              <w:jc w:val="center"/>
              <w:rPr>
                <w:rFonts w:ascii="Times New Roman" w:hAnsi="Times New Roman" w:eastAsia="宋体" w:cs="Times New Roman"/>
                <w:color w:val="auto"/>
                <w:szCs w:val="21"/>
              </w:rPr>
            </w:pPr>
          </w:p>
        </w:tc>
        <w:tc>
          <w:tcPr>
            <w:tcW w:w="798" w:type="dxa"/>
            <w:vAlign w:val="center"/>
          </w:tcPr>
          <w:p w14:paraId="12AD4708">
            <w:pPr>
              <w:jc w:val="center"/>
              <w:rPr>
                <w:rFonts w:ascii="Times New Roman" w:hAnsi="Times New Roman" w:eastAsia="宋体" w:cs="Times New Roman"/>
                <w:color w:val="auto"/>
                <w:szCs w:val="21"/>
              </w:rPr>
            </w:pPr>
          </w:p>
        </w:tc>
        <w:tc>
          <w:tcPr>
            <w:tcW w:w="809" w:type="dxa"/>
            <w:vAlign w:val="center"/>
          </w:tcPr>
          <w:p w14:paraId="1C8AADDD">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0.3</w:t>
            </w:r>
          </w:p>
        </w:tc>
      </w:tr>
    </w:tbl>
    <w:p w14:paraId="26DFBBF6">
      <w:pPr>
        <w:spacing w:line="360" w:lineRule="auto"/>
        <w:ind w:firstLine="480" w:firstLineChars="200"/>
        <w:jc w:val="left"/>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根据监测结果，</w:t>
      </w:r>
      <w:r>
        <w:rPr>
          <w:rFonts w:ascii="Times New Roman" w:hAnsi="Times New Roman" w:eastAsia="宋体" w:cs="Times New Roman"/>
          <w:color w:val="auto"/>
          <w:sz w:val="24"/>
          <w:szCs w:val="24"/>
        </w:rPr>
        <w:t>津市高新区污水处理厂（一期、二期及二期扩容）</w:t>
      </w:r>
      <w:r>
        <w:rPr>
          <w:rFonts w:hint="eastAsia" w:ascii="Times New Roman" w:hAnsi="Times New Roman" w:eastAsia="宋体" w:cs="Times New Roman"/>
          <w:color w:val="auto"/>
          <w:sz w:val="24"/>
          <w:szCs w:val="24"/>
        </w:rPr>
        <w:t>总排口出水满足《城镇污水处理厂污染物排放标准》（</w:t>
      </w:r>
      <w:r>
        <w:rPr>
          <w:rFonts w:ascii="Times New Roman" w:hAnsi="Times New Roman" w:eastAsia="宋体" w:cs="Times New Roman"/>
          <w:color w:val="auto"/>
          <w:sz w:val="24"/>
          <w:szCs w:val="24"/>
        </w:rPr>
        <w:t>GB18918-2002</w:t>
      </w:r>
      <w:r>
        <w:rPr>
          <w:rFonts w:hint="eastAsia" w:ascii="Times New Roman" w:hAnsi="Times New Roman" w:eastAsia="宋体" w:cs="Times New Roman"/>
          <w:color w:val="auto"/>
          <w:sz w:val="24"/>
          <w:szCs w:val="24"/>
        </w:rPr>
        <w:t>）中一级</w:t>
      </w:r>
      <w:r>
        <w:rPr>
          <w:rFonts w:ascii="Times New Roman" w:hAnsi="Times New Roman" w:eastAsia="宋体" w:cs="Times New Roman"/>
          <w:color w:val="auto"/>
          <w:sz w:val="24"/>
          <w:szCs w:val="24"/>
        </w:rPr>
        <w:t>A</w:t>
      </w:r>
      <w:r>
        <w:rPr>
          <w:rFonts w:hint="eastAsia" w:ascii="Times New Roman" w:hAnsi="Times New Roman" w:eastAsia="宋体" w:cs="Times New Roman"/>
          <w:color w:val="auto"/>
          <w:sz w:val="24"/>
          <w:szCs w:val="24"/>
        </w:rPr>
        <w:t>标准，甲苯、二甲苯、三氯甲烷、二氯甲烷监测项目全部低于检出限。</w:t>
      </w:r>
    </w:p>
    <w:p w14:paraId="703A88FB">
      <w:pPr>
        <w:spacing w:line="360" w:lineRule="auto"/>
        <w:ind w:firstLine="480" w:firstLineChars="200"/>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lang w:val="zh-CN"/>
        </w:rPr>
        <w:t>综上所述，</w:t>
      </w:r>
      <w:r>
        <w:rPr>
          <w:rFonts w:ascii="Times New Roman" w:hAnsi="Times New Roman" w:eastAsia="宋体" w:cs="Times New Roman"/>
          <w:color w:val="auto"/>
          <w:kern w:val="0"/>
          <w:sz w:val="24"/>
          <w:szCs w:val="24"/>
        </w:rPr>
        <w:t>本项目废水经过处理后，废水水质能满足项目与津市高新区工业污水处理厂</w:t>
      </w:r>
      <w:r>
        <w:rPr>
          <w:rFonts w:ascii="Times New Roman" w:hAnsi="Times New Roman" w:eastAsia="宋体" w:cs="Times New Roman"/>
          <w:color w:val="auto"/>
          <w:sz w:val="24"/>
          <w:szCs w:val="24"/>
        </w:rPr>
        <w:t>（一期、二期及二期扩容）</w:t>
      </w:r>
      <w:r>
        <w:rPr>
          <w:rFonts w:ascii="Times New Roman" w:hAnsi="Times New Roman" w:eastAsia="宋体" w:cs="Times New Roman"/>
          <w:color w:val="auto"/>
          <w:kern w:val="0"/>
          <w:sz w:val="24"/>
          <w:szCs w:val="24"/>
        </w:rPr>
        <w:t>进水水质要求，不会对津市高新区工业污水处理厂</w:t>
      </w:r>
      <w:r>
        <w:rPr>
          <w:rFonts w:ascii="Times New Roman" w:hAnsi="Times New Roman" w:eastAsia="宋体" w:cs="Times New Roman"/>
          <w:color w:val="auto"/>
          <w:sz w:val="24"/>
          <w:szCs w:val="24"/>
        </w:rPr>
        <w:t>（一期、二期及二期扩容）</w:t>
      </w:r>
      <w:r>
        <w:rPr>
          <w:rFonts w:ascii="Times New Roman" w:hAnsi="Times New Roman" w:eastAsia="宋体" w:cs="Times New Roman"/>
          <w:color w:val="auto"/>
          <w:kern w:val="0"/>
          <w:sz w:val="24"/>
          <w:szCs w:val="24"/>
        </w:rPr>
        <w:t>产生明显影响。</w:t>
      </w:r>
    </w:p>
    <w:p w14:paraId="10A6035E">
      <w:pPr>
        <w:spacing w:line="360" w:lineRule="auto"/>
        <w:ind w:firstLine="480" w:firstLineChars="200"/>
        <w:jc w:val="left"/>
        <w:rPr>
          <w:rFonts w:ascii="Times New Roman" w:hAnsi="Times New Roman" w:eastAsia="宋体" w:cs="Times New Roman"/>
          <w:color w:val="FF0000"/>
          <w:sz w:val="24"/>
          <w:szCs w:val="24"/>
        </w:rPr>
      </w:pPr>
    </w:p>
    <w:p w14:paraId="4BDBDC21">
      <w:pPr>
        <w:spacing w:line="360" w:lineRule="auto"/>
        <w:ind w:firstLine="480" w:firstLineChars="200"/>
        <w:jc w:val="left"/>
        <w:rPr>
          <w:rFonts w:ascii="Times New Roman" w:hAnsi="Times New Roman" w:eastAsia="宋体" w:cs="Times New Roman"/>
          <w:color w:val="FF0000"/>
          <w:sz w:val="24"/>
          <w:szCs w:val="24"/>
        </w:rPr>
      </w:pPr>
    </w:p>
    <w:p w14:paraId="4C98B38E">
      <w:pPr>
        <w:spacing w:line="360" w:lineRule="auto"/>
        <w:ind w:firstLine="480" w:firstLineChars="200"/>
        <w:jc w:val="left"/>
        <w:rPr>
          <w:rFonts w:ascii="Times New Roman" w:hAnsi="Times New Roman" w:eastAsia="宋体" w:cs="Times New Roman"/>
          <w:color w:val="FF0000"/>
          <w:sz w:val="24"/>
          <w:szCs w:val="24"/>
        </w:rPr>
      </w:pPr>
    </w:p>
    <w:p w14:paraId="0FA0F4A1">
      <w:pPr>
        <w:spacing w:line="360" w:lineRule="auto"/>
        <w:ind w:firstLine="480" w:firstLineChars="200"/>
        <w:jc w:val="left"/>
        <w:rPr>
          <w:rFonts w:ascii="Times New Roman" w:hAnsi="Times New Roman" w:eastAsia="宋体" w:cs="Times New Roman"/>
          <w:color w:val="FF0000"/>
          <w:sz w:val="24"/>
        </w:rPr>
        <w:sectPr>
          <w:pgSz w:w="16838" w:h="11906" w:orient="landscape"/>
          <w:pgMar w:top="1803" w:right="1440" w:bottom="1803" w:left="1440" w:header="851" w:footer="992" w:gutter="0"/>
          <w:cols w:space="0" w:num="1"/>
          <w:docGrid w:type="lines" w:linePitch="319" w:charSpace="0"/>
        </w:sectPr>
      </w:pPr>
    </w:p>
    <w:p w14:paraId="65A8BAD1">
      <w:pPr>
        <w:keepNext/>
        <w:keepLines/>
        <w:spacing w:line="360" w:lineRule="auto"/>
        <w:outlineLvl w:val="3"/>
        <w:rPr>
          <w:rFonts w:ascii="Times New Roman" w:hAnsi="Times New Roman" w:eastAsia="黑体" w:cs="Times New Roman"/>
          <w:b/>
          <w:color w:val="auto"/>
          <w:sz w:val="24"/>
          <w:szCs w:val="24"/>
        </w:rPr>
      </w:pPr>
      <w:r>
        <w:rPr>
          <w:rFonts w:hint="eastAsia" w:ascii="Times New Roman" w:hAnsi="Times New Roman" w:eastAsia="黑体" w:cs="Times New Roman"/>
          <w:b/>
          <w:color w:val="auto"/>
          <w:sz w:val="24"/>
          <w:szCs w:val="24"/>
        </w:rPr>
        <w:t xml:space="preserve">7.2.2.3 </w:t>
      </w:r>
      <w:r>
        <w:rPr>
          <w:rFonts w:hint="eastAsia" w:ascii="宋体" w:hAnsi="宋体" w:eastAsia="宋体" w:cs="宋体"/>
          <w:b/>
          <w:color w:val="auto"/>
          <w:sz w:val="24"/>
          <w:szCs w:val="24"/>
        </w:rPr>
        <w:t>地下水污染防治措施及可行性分析</w:t>
      </w:r>
    </w:p>
    <w:p w14:paraId="1B88E57F">
      <w:pPr>
        <w:spacing w:line="360" w:lineRule="auto"/>
        <w:ind w:firstLine="480" w:firstLineChars="200"/>
        <w:rPr>
          <w:rFonts w:hint="eastAsia" w:ascii="Times New Roman" w:hAnsi="Times New Roman" w:eastAsia="宋体" w:cs="Times New Roman"/>
          <w:color w:val="auto"/>
          <w:kern w:val="0"/>
          <w:sz w:val="24"/>
          <w:szCs w:val="24"/>
          <w:lang w:val="zh-CN"/>
        </w:rPr>
      </w:pPr>
      <w:r>
        <w:rPr>
          <w:rFonts w:hint="eastAsia" w:ascii="Times New Roman" w:hAnsi="Times New Roman" w:eastAsia="宋体" w:cs="Times New Roman"/>
          <w:color w:val="auto"/>
          <w:kern w:val="0"/>
          <w:sz w:val="24"/>
          <w:szCs w:val="24"/>
          <w:lang w:val="zh-CN"/>
        </w:rPr>
        <w:t>地下水污染防治措施按照“源头控制、分区防控、污染监控、应急响应”相结合的原则，从污染物的产生、入渗、扩散、应急响应全方位进行控制。</w:t>
      </w:r>
    </w:p>
    <w:p w14:paraId="1C516DE8">
      <w:pPr>
        <w:spacing w:line="360" w:lineRule="auto"/>
        <w:ind w:firstLine="482" w:firstLineChars="200"/>
        <w:rPr>
          <w:rFonts w:hint="eastAsia" w:ascii="Times New Roman" w:hAnsi="Times New Roman" w:eastAsia="宋体" w:cs="Times New Roman"/>
          <w:b/>
          <w:bCs/>
          <w:color w:val="auto"/>
          <w:kern w:val="0"/>
          <w:sz w:val="24"/>
          <w:szCs w:val="24"/>
          <w:lang w:val="zh-CN"/>
        </w:rPr>
      </w:pPr>
      <w:r>
        <w:rPr>
          <w:rFonts w:hint="eastAsia" w:ascii="Times New Roman" w:hAnsi="Times New Roman" w:eastAsia="宋体" w:cs="Times New Roman"/>
          <w:b/>
          <w:bCs/>
          <w:color w:val="auto"/>
          <w:kern w:val="0"/>
          <w:sz w:val="24"/>
          <w:szCs w:val="24"/>
          <w:lang w:val="zh-CN"/>
        </w:rPr>
        <w:t>（1）原则</w:t>
      </w:r>
    </w:p>
    <w:p w14:paraId="7A92F6BC">
      <w:pPr>
        <w:spacing w:line="360" w:lineRule="auto"/>
        <w:ind w:firstLine="480" w:firstLineChars="200"/>
        <w:rPr>
          <w:rFonts w:hint="eastAsia" w:ascii="Times New Roman" w:hAnsi="Times New Roman" w:eastAsia="宋体" w:cs="Times New Roman"/>
          <w:color w:val="auto"/>
          <w:kern w:val="0"/>
          <w:sz w:val="24"/>
          <w:szCs w:val="24"/>
          <w:lang w:val="zh-CN"/>
        </w:rPr>
      </w:pPr>
      <w:r>
        <w:rPr>
          <w:rFonts w:hint="eastAsia" w:ascii="Times New Roman" w:hAnsi="Times New Roman" w:eastAsia="宋体" w:cs="Times New Roman"/>
          <w:color w:val="auto"/>
          <w:kern w:val="0"/>
          <w:sz w:val="24"/>
          <w:szCs w:val="24"/>
          <w:lang w:val="zh-CN"/>
        </w:rPr>
        <w:t>为防止项目涉及的有毒、有害物料及含有污染物的介质泄/渗漏对地下水造成污染，应从原料产品储存、装卸、运输、生产过程、污水处理设施等全过程进行控制，同时对有害物质可能泄漏到地面的区域采取防渗措施，阻止其渗入地下水，即从源头到末端全方位采取控制措施。</w:t>
      </w:r>
    </w:p>
    <w:p w14:paraId="47C23615">
      <w:pPr>
        <w:spacing w:line="360" w:lineRule="auto"/>
        <w:ind w:firstLine="480" w:firstLineChars="200"/>
        <w:rPr>
          <w:rFonts w:hint="eastAsia" w:ascii="Times New Roman" w:hAnsi="Times New Roman" w:eastAsia="宋体" w:cs="Times New Roman"/>
          <w:color w:val="auto"/>
          <w:kern w:val="0"/>
          <w:sz w:val="24"/>
          <w:szCs w:val="24"/>
          <w:lang w:val="zh-CN"/>
        </w:rPr>
      </w:pPr>
      <w:r>
        <w:rPr>
          <w:rFonts w:hint="eastAsia" w:ascii="Times New Roman" w:hAnsi="Times New Roman" w:eastAsia="宋体" w:cs="Times New Roman"/>
          <w:color w:val="auto"/>
          <w:kern w:val="0"/>
          <w:sz w:val="24"/>
          <w:szCs w:val="24"/>
          <w:lang w:val="zh-CN"/>
        </w:rPr>
        <w:t>防止地下水污染应遵循下列原则：</w:t>
      </w:r>
    </w:p>
    <w:p w14:paraId="6A094C41">
      <w:pPr>
        <w:spacing w:line="360" w:lineRule="auto"/>
        <w:ind w:firstLine="480" w:firstLineChars="200"/>
        <w:rPr>
          <w:rFonts w:hint="eastAsia" w:ascii="Times New Roman" w:hAnsi="Times New Roman" w:eastAsia="宋体" w:cs="Times New Roman"/>
          <w:color w:val="auto"/>
          <w:kern w:val="0"/>
          <w:sz w:val="24"/>
          <w:szCs w:val="24"/>
          <w:lang w:val="zh-CN"/>
        </w:rPr>
      </w:pPr>
      <w:r>
        <w:rPr>
          <w:rFonts w:hint="eastAsia" w:ascii="Times New Roman" w:hAnsi="Times New Roman" w:eastAsia="宋体" w:cs="Times New Roman"/>
          <w:color w:val="auto"/>
          <w:kern w:val="0"/>
          <w:sz w:val="24"/>
          <w:szCs w:val="24"/>
          <w:lang w:val="zh-CN"/>
        </w:rPr>
        <w:t>①源头控制、防止渗漏、污染监测及事故应急处理的主动及被动防渗相结合；</w:t>
      </w:r>
    </w:p>
    <w:p w14:paraId="6F470E68">
      <w:pPr>
        <w:spacing w:line="360" w:lineRule="auto"/>
        <w:ind w:firstLine="480" w:firstLineChars="200"/>
        <w:rPr>
          <w:rFonts w:hint="eastAsia" w:ascii="Times New Roman" w:hAnsi="Times New Roman" w:eastAsia="宋体" w:cs="Times New Roman"/>
          <w:color w:val="auto"/>
          <w:kern w:val="0"/>
          <w:sz w:val="24"/>
          <w:szCs w:val="24"/>
          <w:lang w:val="zh-CN"/>
        </w:rPr>
      </w:pPr>
      <w:r>
        <w:rPr>
          <w:rFonts w:hint="eastAsia" w:ascii="Times New Roman" w:hAnsi="Times New Roman" w:eastAsia="宋体" w:cs="Times New Roman"/>
          <w:color w:val="auto"/>
          <w:kern w:val="0"/>
          <w:sz w:val="24"/>
          <w:szCs w:val="24"/>
          <w:lang w:val="zh-CN"/>
        </w:rPr>
        <w:t>②地上污染地上治理，地下污染地下治理；</w:t>
      </w:r>
    </w:p>
    <w:p w14:paraId="2E7536DB">
      <w:pPr>
        <w:spacing w:line="360" w:lineRule="auto"/>
        <w:ind w:firstLine="480" w:firstLineChars="200"/>
        <w:rPr>
          <w:rFonts w:hint="eastAsia" w:ascii="Times New Roman" w:hAnsi="Times New Roman" w:eastAsia="宋体" w:cs="Times New Roman"/>
          <w:color w:val="auto"/>
          <w:kern w:val="0"/>
          <w:sz w:val="24"/>
          <w:szCs w:val="24"/>
          <w:lang w:val="zh-CN"/>
        </w:rPr>
      </w:pPr>
      <w:r>
        <w:rPr>
          <w:rFonts w:hint="eastAsia" w:ascii="Times New Roman" w:hAnsi="Times New Roman" w:eastAsia="宋体" w:cs="Times New Roman"/>
          <w:color w:val="auto"/>
          <w:kern w:val="0"/>
          <w:sz w:val="24"/>
          <w:szCs w:val="24"/>
          <w:lang w:val="zh-CN"/>
        </w:rPr>
        <w:t>③按污染物渗漏的可能性严格划分为污染区和非污染区；</w:t>
      </w:r>
    </w:p>
    <w:p w14:paraId="340C310E">
      <w:pPr>
        <w:spacing w:line="360" w:lineRule="auto"/>
        <w:ind w:firstLine="480" w:firstLineChars="200"/>
        <w:rPr>
          <w:rFonts w:hint="eastAsia" w:ascii="Times New Roman" w:hAnsi="Times New Roman" w:eastAsia="宋体" w:cs="Times New Roman"/>
          <w:color w:val="auto"/>
          <w:kern w:val="0"/>
          <w:sz w:val="24"/>
          <w:szCs w:val="24"/>
          <w:lang w:val="zh-CN"/>
        </w:rPr>
      </w:pPr>
      <w:r>
        <w:rPr>
          <w:rFonts w:hint="eastAsia" w:ascii="Times New Roman" w:hAnsi="Times New Roman" w:eastAsia="宋体" w:cs="Times New Roman"/>
          <w:color w:val="auto"/>
          <w:kern w:val="0"/>
          <w:sz w:val="24"/>
          <w:szCs w:val="24"/>
          <w:lang w:val="zh-CN"/>
        </w:rPr>
        <w:t>④污染区应根据可能泄露污染物的性质划分为非污染区、一般污染防治区和重点污染防治区，其中装置区和储罐区为重点污染防治；</w:t>
      </w:r>
    </w:p>
    <w:p w14:paraId="7330A563">
      <w:pPr>
        <w:spacing w:line="360" w:lineRule="auto"/>
        <w:ind w:firstLine="480" w:firstLineChars="200"/>
        <w:rPr>
          <w:rFonts w:hint="eastAsia" w:ascii="Times New Roman" w:hAnsi="Times New Roman" w:eastAsia="宋体" w:cs="Times New Roman"/>
          <w:color w:val="auto"/>
          <w:kern w:val="0"/>
          <w:sz w:val="24"/>
          <w:szCs w:val="24"/>
          <w:lang w:val="zh-CN"/>
        </w:rPr>
      </w:pPr>
      <w:r>
        <w:rPr>
          <w:rFonts w:hint="eastAsia" w:ascii="Times New Roman" w:hAnsi="Times New Roman" w:eastAsia="宋体" w:cs="Times New Roman"/>
          <w:color w:val="auto"/>
          <w:kern w:val="0"/>
          <w:sz w:val="24"/>
          <w:szCs w:val="24"/>
          <w:lang w:val="zh-CN"/>
        </w:rPr>
        <w:t>⑤不同的污染防治区应结合包气带天然防渗性能采取相应的防渗措施；</w:t>
      </w:r>
    </w:p>
    <w:p w14:paraId="051F51B8">
      <w:pPr>
        <w:spacing w:line="360" w:lineRule="auto"/>
        <w:ind w:firstLine="480" w:firstLineChars="200"/>
        <w:rPr>
          <w:rFonts w:hint="eastAsia" w:ascii="Times New Roman" w:hAnsi="Times New Roman" w:eastAsia="宋体" w:cs="Times New Roman"/>
          <w:color w:val="auto"/>
          <w:kern w:val="0"/>
          <w:sz w:val="24"/>
          <w:szCs w:val="24"/>
          <w:lang w:val="zh-CN"/>
        </w:rPr>
      </w:pPr>
      <w:r>
        <w:rPr>
          <w:rFonts w:hint="eastAsia" w:ascii="Times New Roman" w:hAnsi="Times New Roman" w:eastAsia="宋体" w:cs="Times New Roman"/>
          <w:color w:val="auto"/>
          <w:kern w:val="0"/>
          <w:sz w:val="24"/>
          <w:szCs w:val="24"/>
          <w:lang w:val="zh-CN"/>
        </w:rPr>
        <w:t>⑥污染区内应根据可能泄露污染物的性质、数量及场所的不同，设置相应的污染物收集及排放系统；</w:t>
      </w:r>
    </w:p>
    <w:p w14:paraId="6296FD3A">
      <w:pPr>
        <w:spacing w:line="360" w:lineRule="auto"/>
        <w:ind w:firstLine="480" w:firstLineChars="200"/>
        <w:rPr>
          <w:rFonts w:hint="eastAsia" w:ascii="Times New Roman" w:hAnsi="Times New Roman" w:eastAsia="宋体" w:cs="Times New Roman"/>
          <w:color w:val="auto"/>
          <w:kern w:val="0"/>
          <w:sz w:val="24"/>
          <w:szCs w:val="24"/>
          <w:lang w:val="zh-CN"/>
        </w:rPr>
      </w:pPr>
      <w:r>
        <w:rPr>
          <w:rFonts w:hint="eastAsia" w:ascii="Times New Roman" w:hAnsi="Times New Roman" w:eastAsia="宋体" w:cs="Times New Roman"/>
          <w:color w:val="auto"/>
          <w:kern w:val="0"/>
          <w:sz w:val="24"/>
          <w:szCs w:val="24"/>
          <w:lang w:val="zh-CN"/>
        </w:rPr>
        <w:t>⑦污染区内应设置污染物泄/渗漏检测设施，及时发现并处理泄/渗漏的污染物。</w:t>
      </w:r>
    </w:p>
    <w:p w14:paraId="229CE172">
      <w:pPr>
        <w:spacing w:line="360" w:lineRule="auto"/>
        <w:ind w:firstLine="482" w:firstLineChars="200"/>
        <w:rPr>
          <w:rFonts w:hint="eastAsia" w:ascii="Times New Roman" w:hAnsi="Times New Roman" w:eastAsia="宋体" w:cs="Times New Roman"/>
          <w:b/>
          <w:bCs/>
          <w:color w:val="auto"/>
          <w:kern w:val="0"/>
          <w:sz w:val="24"/>
          <w:szCs w:val="24"/>
          <w:lang w:val="zh-CN"/>
        </w:rPr>
      </w:pPr>
      <w:r>
        <w:rPr>
          <w:rFonts w:hint="eastAsia" w:ascii="Times New Roman" w:hAnsi="Times New Roman" w:eastAsia="宋体" w:cs="Times New Roman"/>
          <w:b/>
          <w:bCs/>
          <w:color w:val="auto"/>
          <w:kern w:val="0"/>
          <w:sz w:val="24"/>
          <w:szCs w:val="24"/>
          <w:lang w:val="zh-CN"/>
        </w:rPr>
        <w:t>（2）源头控制措施</w:t>
      </w:r>
    </w:p>
    <w:p w14:paraId="68EB4B38">
      <w:pPr>
        <w:spacing w:line="360" w:lineRule="auto"/>
        <w:ind w:firstLine="480" w:firstLineChars="200"/>
        <w:rPr>
          <w:rFonts w:hint="eastAsia" w:ascii="Times New Roman" w:hAnsi="Times New Roman" w:eastAsia="宋体" w:cs="Times New Roman"/>
          <w:color w:val="auto"/>
          <w:kern w:val="0"/>
          <w:sz w:val="24"/>
          <w:szCs w:val="24"/>
          <w:lang w:val="zh-CN"/>
        </w:rPr>
      </w:pPr>
      <w:r>
        <w:rPr>
          <w:rFonts w:hint="eastAsia" w:ascii="Times New Roman" w:hAnsi="Times New Roman" w:eastAsia="宋体" w:cs="Times New Roman"/>
          <w:color w:val="auto"/>
          <w:kern w:val="0"/>
          <w:sz w:val="24"/>
          <w:szCs w:val="24"/>
          <w:lang w:val="zh-CN"/>
        </w:rPr>
        <w:t>本项目将选择先进、成熟、可靠的工艺技术和较清洁的原辅材料，并对产生的废物进行合理的回用和治理。以尽可能从源头上减少污染物排放。</w:t>
      </w:r>
    </w:p>
    <w:p w14:paraId="6650D4F8">
      <w:pPr>
        <w:spacing w:line="360" w:lineRule="auto"/>
        <w:ind w:firstLine="480" w:firstLineChars="200"/>
        <w:rPr>
          <w:rFonts w:hint="eastAsia" w:ascii="Times New Roman" w:hAnsi="Times New Roman" w:eastAsia="宋体" w:cs="Times New Roman"/>
          <w:color w:val="auto"/>
          <w:kern w:val="0"/>
          <w:sz w:val="24"/>
          <w:szCs w:val="24"/>
          <w:lang w:val="zh-CN"/>
        </w:rPr>
      </w:pPr>
      <w:r>
        <w:rPr>
          <w:rFonts w:hint="eastAsia" w:ascii="Times New Roman" w:hAnsi="Times New Roman" w:eastAsia="宋体" w:cs="Times New Roman"/>
          <w:color w:val="auto"/>
          <w:kern w:val="0"/>
          <w:sz w:val="24"/>
          <w:szCs w:val="24"/>
          <w:lang w:val="zh-CN"/>
        </w:rPr>
        <w:t>主要包括在工艺、管道、设备、污水储存及处理构筑物采取相应措施，防止和降低污染物跑、冒、滴、漏；尽量“可视化”，做到污染物“早发现、早处理”。</w:t>
      </w:r>
    </w:p>
    <w:p w14:paraId="3371484E">
      <w:pPr>
        <w:spacing w:line="360" w:lineRule="auto"/>
        <w:ind w:firstLine="480" w:firstLineChars="200"/>
        <w:rPr>
          <w:rFonts w:hint="eastAsia" w:ascii="Times New Roman" w:hAnsi="Times New Roman" w:eastAsia="宋体" w:cs="Times New Roman"/>
          <w:color w:val="auto"/>
          <w:kern w:val="0"/>
          <w:sz w:val="24"/>
          <w:szCs w:val="24"/>
          <w:lang w:val="zh-CN"/>
        </w:rPr>
      </w:pPr>
      <w:r>
        <w:rPr>
          <w:rFonts w:hint="eastAsia" w:ascii="Times New Roman" w:hAnsi="Times New Roman" w:eastAsia="宋体" w:cs="Times New Roman"/>
          <w:color w:val="auto"/>
          <w:kern w:val="0"/>
          <w:sz w:val="24"/>
          <w:szCs w:val="24"/>
          <w:lang w:val="zh-CN"/>
        </w:rPr>
        <w:t>输送工艺介质的离心泵和转子泵的轴封应优先选配机械密封，输送水及类似水的介质，可根据具体条件和重要性确定密封型式。</w:t>
      </w:r>
    </w:p>
    <w:p w14:paraId="152A695F">
      <w:pPr>
        <w:spacing w:line="360" w:lineRule="auto"/>
        <w:ind w:firstLine="480" w:firstLineChars="200"/>
        <w:rPr>
          <w:rFonts w:hint="eastAsia" w:ascii="Times New Roman" w:hAnsi="Times New Roman" w:eastAsia="宋体" w:cs="Times New Roman"/>
          <w:color w:val="auto"/>
          <w:kern w:val="0"/>
          <w:sz w:val="24"/>
          <w:szCs w:val="24"/>
          <w:lang w:val="zh-CN"/>
        </w:rPr>
      </w:pPr>
      <w:r>
        <w:rPr>
          <w:rFonts w:hint="eastAsia" w:ascii="Times New Roman" w:hAnsi="Times New Roman" w:eastAsia="宋体" w:cs="Times New Roman"/>
          <w:color w:val="auto"/>
          <w:kern w:val="0"/>
          <w:sz w:val="24"/>
          <w:szCs w:val="24"/>
          <w:lang w:val="zh-CN"/>
        </w:rPr>
        <w:t>输送有毒介质且机械密封不满足安全、健康、环保要求时，可考虑选用无密封离心泵。</w:t>
      </w:r>
    </w:p>
    <w:p w14:paraId="0399D836">
      <w:pPr>
        <w:spacing w:line="360" w:lineRule="auto"/>
        <w:ind w:firstLine="480" w:firstLineChars="200"/>
        <w:rPr>
          <w:rFonts w:hint="eastAsia" w:ascii="Times New Roman" w:hAnsi="Times New Roman" w:eastAsia="宋体" w:cs="Times New Roman"/>
          <w:color w:val="auto"/>
          <w:kern w:val="0"/>
          <w:sz w:val="24"/>
          <w:szCs w:val="24"/>
          <w:lang w:val="zh-CN"/>
        </w:rPr>
      </w:pPr>
      <w:r>
        <w:rPr>
          <w:rFonts w:hint="eastAsia" w:ascii="Times New Roman" w:hAnsi="Times New Roman" w:eastAsia="宋体" w:cs="Times New Roman"/>
          <w:color w:val="auto"/>
          <w:kern w:val="0"/>
          <w:sz w:val="24"/>
          <w:szCs w:val="24"/>
          <w:lang w:val="zh-CN"/>
        </w:rPr>
        <w:t>自采样、溢流、事故及管道低点排出的物料（如油品、溶剂、化学药剂等），应进入密闭的收集系统或其他收集设施。不得就地排放和排入排水系统。</w:t>
      </w:r>
    </w:p>
    <w:p w14:paraId="135D4431">
      <w:pPr>
        <w:spacing w:line="360" w:lineRule="auto"/>
        <w:ind w:firstLine="480" w:firstLineChars="200"/>
        <w:rPr>
          <w:rFonts w:hint="eastAsia" w:ascii="Times New Roman" w:hAnsi="Times New Roman" w:eastAsia="宋体" w:cs="Times New Roman"/>
          <w:color w:val="auto"/>
          <w:kern w:val="0"/>
          <w:sz w:val="24"/>
          <w:szCs w:val="24"/>
          <w:lang w:val="zh-CN"/>
        </w:rPr>
      </w:pPr>
      <w:r>
        <w:rPr>
          <w:rFonts w:hint="eastAsia" w:ascii="Times New Roman" w:hAnsi="Times New Roman" w:eastAsia="宋体" w:cs="Times New Roman"/>
          <w:color w:val="auto"/>
          <w:kern w:val="0"/>
          <w:sz w:val="24"/>
          <w:szCs w:val="24"/>
          <w:lang w:val="zh-CN"/>
        </w:rPr>
        <w:t>装置内应根据生产实际需要设收集罐，用以收集各取样点、低点排液等少量液体介质，并以自流、间断用惰性气体压送或泵送等方式送至相应系统。装置因事故或正常停工后，应通过正常操作管道将装置内物料送往相应罐区。</w:t>
      </w:r>
    </w:p>
    <w:p w14:paraId="3270142D">
      <w:pPr>
        <w:spacing w:line="360" w:lineRule="auto"/>
        <w:ind w:firstLine="480" w:firstLineChars="200"/>
        <w:rPr>
          <w:rFonts w:hint="eastAsia" w:ascii="Times New Roman" w:hAnsi="Times New Roman" w:eastAsia="宋体" w:cs="Times New Roman"/>
          <w:color w:val="auto"/>
          <w:kern w:val="0"/>
          <w:sz w:val="24"/>
          <w:szCs w:val="24"/>
          <w:lang w:val="zh-CN"/>
        </w:rPr>
      </w:pPr>
      <w:r>
        <w:rPr>
          <w:rFonts w:hint="eastAsia" w:ascii="Times New Roman" w:hAnsi="Times New Roman" w:eastAsia="宋体" w:cs="Times New Roman"/>
          <w:color w:val="auto"/>
          <w:kern w:val="0"/>
          <w:sz w:val="24"/>
          <w:szCs w:val="24"/>
          <w:lang w:val="zh-CN"/>
        </w:rPr>
        <w:t>有毒有害介质设备的设备法兰及接管法兰的密封面和垫片适当提高密封等级，必要时采用焊接连接。设备的排净及排空口不采用螺纹密封结构，且不直接排放。</w:t>
      </w:r>
    </w:p>
    <w:p w14:paraId="7E94F935">
      <w:pPr>
        <w:spacing w:line="360" w:lineRule="auto"/>
        <w:ind w:firstLine="480" w:firstLineChars="200"/>
        <w:rPr>
          <w:rFonts w:hint="eastAsia" w:ascii="Times New Roman" w:hAnsi="Times New Roman" w:eastAsia="宋体" w:cs="Times New Roman"/>
          <w:color w:val="auto"/>
          <w:kern w:val="0"/>
          <w:sz w:val="24"/>
          <w:szCs w:val="24"/>
          <w:lang w:val="zh-CN"/>
        </w:rPr>
      </w:pPr>
      <w:r>
        <w:rPr>
          <w:rFonts w:hint="eastAsia" w:ascii="Times New Roman" w:hAnsi="Times New Roman" w:eastAsia="宋体" w:cs="Times New Roman"/>
          <w:color w:val="auto"/>
          <w:kern w:val="0"/>
          <w:sz w:val="24"/>
          <w:szCs w:val="24"/>
          <w:lang w:val="zh-CN"/>
        </w:rPr>
        <w:t>搅拌设备的轴封选择适当的密封形式。</w:t>
      </w:r>
    </w:p>
    <w:p w14:paraId="6B23DE9F">
      <w:pPr>
        <w:spacing w:line="360" w:lineRule="auto"/>
        <w:ind w:firstLine="480" w:firstLineChars="200"/>
        <w:rPr>
          <w:rFonts w:hint="eastAsia" w:ascii="Times New Roman" w:hAnsi="Times New Roman" w:eastAsia="宋体" w:cs="Times New Roman"/>
          <w:color w:val="auto"/>
          <w:kern w:val="0"/>
          <w:sz w:val="24"/>
          <w:szCs w:val="24"/>
          <w:lang w:val="zh-CN"/>
        </w:rPr>
      </w:pPr>
      <w:r>
        <w:rPr>
          <w:rFonts w:hint="eastAsia" w:ascii="Times New Roman" w:hAnsi="Times New Roman" w:eastAsia="宋体" w:cs="Times New Roman"/>
          <w:color w:val="auto"/>
          <w:kern w:val="0"/>
          <w:sz w:val="24"/>
          <w:szCs w:val="24"/>
          <w:lang w:val="zh-CN"/>
        </w:rPr>
        <w:t>对输送有毒有害介质的泵选用无密封泵（磁力泵、屏蔽泵等）。所有输送工艺物料的离心泵及回转泵采用机械密封，对输送重组分介质的离心泵及回转泵，适当提高密封等级（如增加停车密封、干气密封或采用串联密封等措施）。所有转动设备均提供集液盆式底座，并能将集液全部收集并集中排放。</w:t>
      </w:r>
    </w:p>
    <w:p w14:paraId="724AD957">
      <w:pPr>
        <w:spacing w:line="360" w:lineRule="auto"/>
        <w:ind w:firstLine="480" w:firstLineChars="200"/>
        <w:rPr>
          <w:rFonts w:hint="eastAsia" w:ascii="Times New Roman" w:hAnsi="Times New Roman" w:eastAsia="宋体" w:cs="Times New Roman"/>
          <w:color w:val="auto"/>
          <w:kern w:val="0"/>
          <w:sz w:val="24"/>
          <w:szCs w:val="24"/>
          <w:lang w:val="zh-CN"/>
        </w:rPr>
      </w:pPr>
      <w:r>
        <w:rPr>
          <w:rFonts w:hint="eastAsia" w:ascii="Times New Roman" w:hAnsi="Times New Roman" w:eastAsia="宋体" w:cs="Times New Roman"/>
          <w:color w:val="auto"/>
          <w:kern w:val="0"/>
          <w:sz w:val="24"/>
          <w:szCs w:val="24"/>
          <w:lang w:val="zh-CN"/>
        </w:rPr>
        <w:t>输送污水压力管道采用地上敷设，埋地敷设的排水管道在穿越厂（库）区干道时采用套管保护。所有穿过污水处理构筑物壁的管道预先设置防水套管，防水套管的环缝隙采用不透水的柔性材料填塞。</w:t>
      </w:r>
    </w:p>
    <w:p w14:paraId="1F053779">
      <w:pPr>
        <w:spacing w:line="360" w:lineRule="auto"/>
        <w:ind w:firstLine="480" w:firstLineChars="200"/>
        <w:rPr>
          <w:rFonts w:hint="eastAsia" w:ascii="Times New Roman" w:hAnsi="Times New Roman" w:eastAsia="宋体" w:cs="Times New Roman"/>
          <w:color w:val="auto"/>
          <w:kern w:val="0"/>
          <w:sz w:val="24"/>
          <w:szCs w:val="24"/>
          <w:lang w:val="zh-CN"/>
        </w:rPr>
      </w:pPr>
      <w:r>
        <w:rPr>
          <w:rFonts w:hint="eastAsia" w:ascii="Times New Roman" w:hAnsi="Times New Roman" w:eastAsia="宋体" w:cs="Times New Roman"/>
          <w:color w:val="auto"/>
          <w:kern w:val="0"/>
          <w:sz w:val="24"/>
          <w:szCs w:val="24"/>
          <w:lang w:val="zh-CN"/>
        </w:rPr>
        <w:t>埋地管线宜采用钢管，连接方式应采用焊接，焊缝质量等级不应低于Ⅱ级，管道设计壁厚应加厚，当设计没有要求时，腐蚀余量可取2mm，且外防腐的防腐等级应提高一级。</w:t>
      </w:r>
    </w:p>
    <w:p w14:paraId="660436EF">
      <w:pPr>
        <w:spacing w:line="360" w:lineRule="auto"/>
        <w:ind w:firstLine="482" w:firstLineChars="200"/>
        <w:rPr>
          <w:rFonts w:hint="eastAsia" w:ascii="Times New Roman" w:hAnsi="Times New Roman" w:eastAsia="宋体" w:cs="Times New Roman"/>
          <w:b/>
          <w:bCs/>
          <w:color w:val="auto"/>
          <w:kern w:val="0"/>
          <w:sz w:val="24"/>
          <w:szCs w:val="24"/>
          <w:lang w:val="zh-CN"/>
        </w:rPr>
      </w:pPr>
      <w:r>
        <w:rPr>
          <w:rFonts w:hint="eastAsia" w:ascii="Times New Roman" w:hAnsi="Times New Roman" w:eastAsia="宋体" w:cs="Times New Roman"/>
          <w:b/>
          <w:bCs/>
          <w:color w:val="auto"/>
          <w:kern w:val="0"/>
          <w:sz w:val="24"/>
          <w:szCs w:val="24"/>
          <w:lang w:val="zh-CN"/>
        </w:rPr>
        <w:t>（3）厂址区污染防控分区</w:t>
      </w:r>
    </w:p>
    <w:p w14:paraId="1048E28F">
      <w:pPr>
        <w:spacing w:line="360" w:lineRule="auto"/>
        <w:ind w:firstLine="480" w:firstLineChars="200"/>
        <w:rPr>
          <w:rFonts w:hint="eastAsia" w:ascii="Times New Roman" w:hAnsi="Times New Roman" w:eastAsia="宋体" w:cs="Times New Roman"/>
          <w:color w:val="auto"/>
          <w:kern w:val="0"/>
          <w:sz w:val="24"/>
          <w:szCs w:val="24"/>
          <w:lang w:val="zh-CN"/>
        </w:rPr>
      </w:pPr>
      <w:r>
        <w:rPr>
          <w:rFonts w:hint="eastAsia" w:ascii="Times New Roman" w:hAnsi="Times New Roman" w:eastAsia="宋体" w:cs="Times New Roman"/>
          <w:color w:val="auto"/>
          <w:kern w:val="0"/>
          <w:sz w:val="24"/>
          <w:szCs w:val="24"/>
          <w:lang w:val="zh-CN"/>
        </w:rPr>
        <w:t>根据《环境影响评价技术导则-地下水环境》（HJ610-2016），厂区防渗区域划分为重点污染防渗区、一般污染防渗区和简单防渗区，本次龙腾公司依托现有厂房，不需新增防渗区，厂区总体已按要求进行了分区防渗，具体见下表及下图。</w:t>
      </w:r>
    </w:p>
    <w:p w14:paraId="7EF718CF">
      <w:pPr>
        <w:spacing w:line="360" w:lineRule="auto"/>
        <w:ind w:firstLine="480" w:firstLineChars="200"/>
        <w:rPr>
          <w:rFonts w:hint="eastAsia" w:ascii="Times New Roman" w:hAnsi="Times New Roman" w:eastAsia="宋体" w:cs="Times New Roman"/>
          <w:color w:val="auto"/>
          <w:kern w:val="0"/>
          <w:sz w:val="24"/>
          <w:szCs w:val="24"/>
          <w:lang w:val="zh-CN"/>
        </w:rPr>
      </w:pPr>
      <w:r>
        <w:rPr>
          <w:rFonts w:hint="eastAsia" w:ascii="Times New Roman" w:hAnsi="Times New Roman" w:eastAsia="宋体" w:cs="Times New Roman"/>
          <w:color w:val="auto"/>
          <w:kern w:val="0"/>
          <w:sz w:val="24"/>
          <w:szCs w:val="24"/>
          <w:lang w:val="zh-CN"/>
        </w:rPr>
        <w:t>①重点污染防渗区</w:t>
      </w:r>
    </w:p>
    <w:p w14:paraId="51AAE531">
      <w:pPr>
        <w:spacing w:line="360" w:lineRule="auto"/>
        <w:ind w:firstLine="480" w:firstLineChars="200"/>
        <w:rPr>
          <w:rFonts w:hint="eastAsia" w:ascii="Times New Roman" w:hAnsi="Times New Roman" w:eastAsia="宋体" w:cs="Times New Roman"/>
          <w:color w:val="auto"/>
          <w:kern w:val="0"/>
          <w:sz w:val="24"/>
          <w:szCs w:val="24"/>
          <w:lang w:val="zh-CN"/>
        </w:rPr>
      </w:pPr>
      <w:r>
        <w:rPr>
          <w:rFonts w:hint="eastAsia" w:ascii="Times New Roman" w:hAnsi="Times New Roman" w:eastAsia="宋体" w:cs="Times New Roman"/>
          <w:color w:val="auto"/>
          <w:kern w:val="0"/>
          <w:sz w:val="24"/>
          <w:szCs w:val="24"/>
          <w:lang w:val="zh-CN"/>
        </w:rPr>
        <w:t>重点污染防渗区是指对地下水环境有较大污染的物料或污染物泄漏后，不能及时发现和处理的区域或部位。主要包括生产车间、储罐区、甲类仓库、污水处理区、事故池、固废暂存间等。</w:t>
      </w:r>
    </w:p>
    <w:p w14:paraId="7AD71405">
      <w:pPr>
        <w:spacing w:line="360" w:lineRule="auto"/>
        <w:ind w:firstLine="480" w:firstLineChars="200"/>
        <w:rPr>
          <w:rFonts w:hint="eastAsia" w:ascii="Times New Roman" w:hAnsi="Times New Roman" w:eastAsia="宋体" w:cs="Times New Roman"/>
          <w:color w:val="auto"/>
          <w:kern w:val="0"/>
          <w:sz w:val="24"/>
          <w:szCs w:val="24"/>
          <w:lang w:val="zh-CN"/>
        </w:rPr>
      </w:pPr>
      <w:r>
        <w:rPr>
          <w:rFonts w:hint="eastAsia" w:ascii="Times New Roman" w:hAnsi="Times New Roman" w:eastAsia="宋体" w:cs="Times New Roman"/>
          <w:color w:val="auto"/>
          <w:kern w:val="0"/>
          <w:sz w:val="24"/>
          <w:szCs w:val="24"/>
          <w:lang w:val="zh-CN"/>
        </w:rPr>
        <w:t>②一般污染防渗区</w:t>
      </w:r>
    </w:p>
    <w:p w14:paraId="7770C480">
      <w:pPr>
        <w:spacing w:line="360" w:lineRule="auto"/>
        <w:ind w:firstLine="480" w:firstLineChars="200"/>
        <w:rPr>
          <w:rFonts w:hint="eastAsia" w:ascii="Times New Roman" w:hAnsi="Times New Roman" w:eastAsia="宋体" w:cs="Times New Roman"/>
          <w:color w:val="auto"/>
          <w:kern w:val="0"/>
          <w:sz w:val="24"/>
          <w:szCs w:val="24"/>
          <w:lang w:val="zh-CN"/>
        </w:rPr>
      </w:pPr>
      <w:r>
        <w:rPr>
          <w:rFonts w:hint="eastAsia" w:ascii="Times New Roman" w:hAnsi="Times New Roman" w:eastAsia="宋体" w:cs="Times New Roman"/>
          <w:color w:val="auto"/>
          <w:kern w:val="0"/>
          <w:sz w:val="24"/>
          <w:szCs w:val="24"/>
          <w:lang w:val="zh-CN"/>
        </w:rPr>
        <w:t>一般污染防渗区是指对地下水环境有污染的物料或污染物泄漏后，可及时发现和处理的区域或部位，主要包括变配电间、公用工程站、消防循环水池、机修车间、初期雨水池。</w:t>
      </w:r>
    </w:p>
    <w:p w14:paraId="41AAE0FF">
      <w:pPr>
        <w:spacing w:line="360" w:lineRule="auto"/>
        <w:ind w:firstLine="480" w:firstLineChars="200"/>
        <w:rPr>
          <w:rFonts w:hint="eastAsia" w:ascii="Times New Roman" w:hAnsi="Times New Roman" w:eastAsia="宋体" w:cs="Times New Roman"/>
          <w:color w:val="auto"/>
          <w:kern w:val="0"/>
          <w:sz w:val="24"/>
          <w:szCs w:val="24"/>
          <w:lang w:val="zh-CN"/>
        </w:rPr>
      </w:pPr>
      <w:r>
        <w:rPr>
          <w:rFonts w:hint="eastAsia" w:ascii="Times New Roman" w:hAnsi="Times New Roman" w:eastAsia="宋体" w:cs="Times New Roman"/>
          <w:color w:val="auto"/>
          <w:kern w:val="0"/>
          <w:sz w:val="24"/>
          <w:szCs w:val="24"/>
          <w:lang w:val="zh-CN"/>
        </w:rPr>
        <w:t>③简单防渗区</w:t>
      </w:r>
    </w:p>
    <w:p w14:paraId="73001B24">
      <w:pPr>
        <w:spacing w:line="360" w:lineRule="auto"/>
        <w:ind w:firstLine="480" w:firstLineChars="200"/>
        <w:rPr>
          <w:rFonts w:hint="eastAsia" w:ascii="Times New Roman" w:hAnsi="Times New Roman" w:eastAsia="宋体" w:cs="Times New Roman"/>
          <w:color w:val="auto"/>
          <w:kern w:val="0"/>
          <w:sz w:val="24"/>
          <w:szCs w:val="24"/>
          <w:lang w:val="zh-CN"/>
        </w:rPr>
      </w:pPr>
      <w:r>
        <w:rPr>
          <w:rFonts w:hint="eastAsia" w:ascii="Times New Roman" w:hAnsi="Times New Roman" w:eastAsia="宋体" w:cs="Times New Roman"/>
          <w:color w:val="auto"/>
          <w:kern w:val="0"/>
          <w:sz w:val="24"/>
          <w:szCs w:val="24"/>
          <w:lang w:val="zh-CN"/>
        </w:rPr>
        <w:t>简单防渗区是指一般和重点污染防治区以外的区域或部位。主要包括宿舍、食堂、小车停车场等地。</w:t>
      </w:r>
    </w:p>
    <w:p w14:paraId="577C4BC1">
      <w:pPr>
        <w:spacing w:line="360" w:lineRule="auto"/>
        <w:ind w:firstLine="482" w:firstLineChars="200"/>
        <w:rPr>
          <w:rFonts w:hint="eastAsia" w:ascii="Times New Roman" w:hAnsi="Times New Roman" w:eastAsia="宋体" w:cs="Times New Roman"/>
          <w:b/>
          <w:bCs/>
          <w:color w:val="auto"/>
          <w:kern w:val="0"/>
          <w:sz w:val="24"/>
          <w:szCs w:val="24"/>
          <w:lang w:val="zh-CN"/>
        </w:rPr>
      </w:pPr>
      <w:r>
        <w:rPr>
          <w:rFonts w:hint="eastAsia" w:ascii="Times New Roman" w:hAnsi="Times New Roman" w:eastAsia="宋体" w:cs="Times New Roman"/>
          <w:b/>
          <w:bCs/>
          <w:color w:val="auto"/>
          <w:kern w:val="0"/>
          <w:sz w:val="24"/>
          <w:szCs w:val="24"/>
          <w:lang w:val="zh-CN"/>
        </w:rPr>
        <w:t>（4）分区防渗措施</w:t>
      </w:r>
    </w:p>
    <w:p w14:paraId="1AC6EB89">
      <w:pPr>
        <w:spacing w:line="360" w:lineRule="auto"/>
        <w:ind w:firstLine="480" w:firstLineChars="200"/>
        <w:rPr>
          <w:rFonts w:hint="eastAsia" w:ascii="Times New Roman" w:hAnsi="Times New Roman" w:eastAsia="宋体" w:cs="Times New Roman"/>
          <w:color w:val="auto"/>
          <w:kern w:val="0"/>
          <w:sz w:val="24"/>
          <w:szCs w:val="24"/>
          <w:lang w:val="zh-CN"/>
        </w:rPr>
      </w:pPr>
      <w:r>
        <w:rPr>
          <w:rFonts w:hint="eastAsia" w:ascii="Times New Roman" w:hAnsi="Times New Roman" w:eastAsia="宋体" w:cs="Times New Roman"/>
          <w:color w:val="auto"/>
          <w:kern w:val="0"/>
          <w:sz w:val="24"/>
          <w:szCs w:val="24"/>
          <w:lang w:val="en-US" w:eastAsia="zh-CN"/>
        </w:rPr>
        <w:t>新合新生物科技公司</w:t>
      </w:r>
      <w:r>
        <w:rPr>
          <w:rFonts w:hint="eastAsia" w:ascii="Times New Roman" w:hAnsi="Times New Roman" w:eastAsia="宋体" w:cs="Times New Roman"/>
          <w:color w:val="auto"/>
          <w:kern w:val="0"/>
          <w:sz w:val="24"/>
          <w:szCs w:val="24"/>
          <w:lang w:val="zh-CN"/>
        </w:rPr>
        <w:t>厂区污染防渗措施参照《环境影响评价技术导则-地下水环境》（HJ610-2016）规定的防渗标准，已针对不同的防渗区域采用局部防渗措施。</w:t>
      </w:r>
    </w:p>
    <w:p w14:paraId="08E061F3">
      <w:pPr>
        <w:spacing w:line="360" w:lineRule="auto"/>
        <w:ind w:firstLine="480" w:firstLineChars="200"/>
        <w:rPr>
          <w:rFonts w:hint="eastAsia" w:ascii="Times New Roman" w:hAnsi="Times New Roman" w:eastAsia="宋体" w:cs="Times New Roman"/>
          <w:color w:val="auto"/>
          <w:kern w:val="0"/>
          <w:sz w:val="24"/>
          <w:szCs w:val="24"/>
          <w:lang w:val="zh-CN"/>
        </w:rPr>
      </w:pPr>
      <w:r>
        <w:rPr>
          <w:rFonts w:hint="eastAsia" w:ascii="Times New Roman" w:hAnsi="Times New Roman" w:eastAsia="宋体" w:cs="Times New Roman"/>
          <w:color w:val="auto"/>
          <w:kern w:val="0"/>
          <w:sz w:val="24"/>
          <w:szCs w:val="24"/>
          <w:lang w:val="zh-CN"/>
        </w:rPr>
        <w:t>① 重点污染防渗区</w:t>
      </w:r>
    </w:p>
    <w:p w14:paraId="4EA74773">
      <w:pPr>
        <w:spacing w:line="360" w:lineRule="auto"/>
        <w:ind w:firstLine="480" w:firstLineChars="200"/>
        <w:rPr>
          <w:rFonts w:hint="eastAsia" w:ascii="Times New Roman" w:hAnsi="Times New Roman" w:eastAsia="宋体" w:cs="Times New Roman"/>
          <w:color w:val="auto"/>
          <w:kern w:val="0"/>
          <w:sz w:val="24"/>
          <w:szCs w:val="24"/>
          <w:lang w:val="zh-CN"/>
        </w:rPr>
      </w:pPr>
      <w:r>
        <w:rPr>
          <w:rFonts w:hint="eastAsia" w:ascii="Times New Roman" w:hAnsi="Times New Roman" w:eastAsia="宋体" w:cs="Times New Roman"/>
          <w:color w:val="auto"/>
          <w:kern w:val="0"/>
          <w:sz w:val="24"/>
          <w:szCs w:val="24"/>
          <w:lang w:val="zh-CN"/>
        </w:rPr>
        <w:t>参照《环境影响评价技术导则-地下水环境》（HJ610-2016），重点污染防渗区防渗层的防渗性能等效于6.0m厚渗透系数为1.0×10-7cm/s的黏土层的防渗性能。</w:t>
      </w:r>
    </w:p>
    <w:p w14:paraId="62162E96">
      <w:pPr>
        <w:spacing w:line="360" w:lineRule="auto"/>
        <w:ind w:firstLine="480" w:firstLineChars="200"/>
        <w:rPr>
          <w:rFonts w:hint="eastAsia" w:ascii="Times New Roman" w:hAnsi="Times New Roman" w:eastAsia="宋体" w:cs="Times New Roman"/>
          <w:color w:val="auto"/>
          <w:kern w:val="0"/>
          <w:sz w:val="24"/>
          <w:szCs w:val="24"/>
          <w:lang w:val="zh-CN"/>
        </w:rPr>
      </w:pPr>
      <w:r>
        <w:rPr>
          <w:rFonts w:hint="eastAsia" w:ascii="Times New Roman" w:hAnsi="Times New Roman" w:eastAsia="宋体" w:cs="Times New Roman"/>
          <w:color w:val="auto"/>
          <w:kern w:val="0"/>
          <w:sz w:val="24"/>
          <w:szCs w:val="24"/>
          <w:lang w:val="zh-CN"/>
        </w:rPr>
        <w:t>② 一般污染防渗区</w:t>
      </w:r>
    </w:p>
    <w:p w14:paraId="21214AE2">
      <w:pPr>
        <w:spacing w:line="360" w:lineRule="auto"/>
        <w:ind w:firstLine="480" w:firstLineChars="200"/>
        <w:rPr>
          <w:rFonts w:hint="eastAsia" w:ascii="Times New Roman" w:hAnsi="Times New Roman" w:eastAsia="宋体" w:cs="Times New Roman"/>
          <w:color w:val="auto"/>
          <w:kern w:val="0"/>
          <w:sz w:val="24"/>
          <w:szCs w:val="24"/>
          <w:lang w:val="zh-CN"/>
        </w:rPr>
      </w:pPr>
      <w:r>
        <w:rPr>
          <w:rFonts w:hint="eastAsia" w:ascii="Times New Roman" w:hAnsi="Times New Roman" w:eastAsia="宋体" w:cs="Times New Roman"/>
          <w:color w:val="auto"/>
          <w:kern w:val="0"/>
          <w:sz w:val="24"/>
          <w:szCs w:val="24"/>
          <w:lang w:val="zh-CN"/>
        </w:rPr>
        <w:t>《环境影响评价技术导则-地下水环境》（HJ610-2016），一般污染防渗区防渗层的防渗性能等效于1.5m厚渗透系数为1.0×10-7cm/s的黏土层的防渗性能。</w:t>
      </w:r>
    </w:p>
    <w:p w14:paraId="43B0AE43">
      <w:pPr>
        <w:spacing w:line="360" w:lineRule="auto"/>
        <w:ind w:firstLine="480" w:firstLineChars="200"/>
        <w:rPr>
          <w:rFonts w:hint="eastAsia" w:ascii="Times New Roman" w:hAnsi="Times New Roman" w:eastAsia="宋体" w:cs="Times New Roman"/>
          <w:color w:val="auto"/>
          <w:kern w:val="0"/>
          <w:sz w:val="24"/>
          <w:szCs w:val="24"/>
          <w:lang w:val="zh-CN"/>
        </w:rPr>
      </w:pPr>
      <w:r>
        <w:rPr>
          <w:rFonts w:hint="eastAsia" w:ascii="Times New Roman" w:hAnsi="Times New Roman" w:eastAsia="宋体" w:cs="Times New Roman"/>
          <w:color w:val="auto"/>
          <w:kern w:val="0"/>
          <w:sz w:val="24"/>
          <w:szCs w:val="24"/>
          <w:lang w:val="zh-CN"/>
        </w:rPr>
        <w:t>③ 简单防渗区</w:t>
      </w:r>
    </w:p>
    <w:p w14:paraId="3CC064DA">
      <w:pPr>
        <w:spacing w:line="360" w:lineRule="auto"/>
        <w:ind w:firstLine="480" w:firstLineChars="200"/>
        <w:rPr>
          <w:rFonts w:hint="eastAsia" w:ascii="Times New Roman" w:hAnsi="Times New Roman" w:eastAsia="宋体" w:cs="Times New Roman"/>
          <w:color w:val="auto"/>
          <w:kern w:val="0"/>
          <w:sz w:val="24"/>
          <w:szCs w:val="24"/>
          <w:lang w:val="zh-CN"/>
        </w:rPr>
      </w:pPr>
      <w:r>
        <w:rPr>
          <w:rFonts w:hint="eastAsia" w:ascii="Times New Roman" w:hAnsi="Times New Roman" w:eastAsia="宋体" w:cs="Times New Roman"/>
          <w:color w:val="auto"/>
          <w:kern w:val="0"/>
          <w:sz w:val="24"/>
          <w:szCs w:val="24"/>
          <w:lang w:val="zh-CN"/>
        </w:rPr>
        <w:t>只需对基础以下采取原土夯实，渗透系数不大于1.0×10-6cm/s，即可达到防渗的目的。</w:t>
      </w:r>
    </w:p>
    <w:p w14:paraId="55BD93BE">
      <w:pPr>
        <w:spacing w:line="360" w:lineRule="auto"/>
        <w:ind w:firstLine="480" w:firstLineChars="200"/>
        <w:rPr>
          <w:rFonts w:hint="eastAsia" w:ascii="Times New Roman" w:hAnsi="Times New Roman" w:eastAsia="宋体" w:cs="Times New Roman"/>
          <w:color w:val="auto"/>
          <w:kern w:val="0"/>
          <w:sz w:val="24"/>
          <w:szCs w:val="24"/>
          <w:lang w:val="zh-CN"/>
        </w:rPr>
      </w:pPr>
      <w:r>
        <w:rPr>
          <w:rFonts w:hint="eastAsia" w:ascii="Times New Roman" w:hAnsi="Times New Roman" w:eastAsia="宋体" w:cs="Times New Roman"/>
          <w:color w:val="auto"/>
          <w:kern w:val="0"/>
          <w:sz w:val="24"/>
          <w:szCs w:val="24"/>
          <w:lang w:val="en-US" w:eastAsia="zh-CN"/>
        </w:rPr>
        <w:t>新合新生物科技公司</w:t>
      </w:r>
      <w:r>
        <w:rPr>
          <w:rFonts w:hint="eastAsia" w:ascii="Times New Roman" w:hAnsi="Times New Roman" w:eastAsia="宋体" w:cs="Times New Roman"/>
          <w:color w:val="auto"/>
          <w:kern w:val="0"/>
          <w:sz w:val="24"/>
          <w:szCs w:val="24"/>
          <w:lang w:val="zh-CN"/>
        </w:rPr>
        <w:t>地下水污染防渗分区情况见下表：</w:t>
      </w:r>
    </w:p>
    <w:p w14:paraId="1AD76B81">
      <w:pPr>
        <w:pStyle w:val="6"/>
        <w:bidi w:val="0"/>
        <w:rPr>
          <w:rFonts w:hint="eastAsia"/>
          <w:lang w:val="en-US" w:eastAsia="zh-CN"/>
        </w:rPr>
      </w:pPr>
      <w:r>
        <w:rPr>
          <w:rFonts w:hint="eastAsia"/>
          <w:lang w:val="en-US" w:eastAsia="zh-CN"/>
        </w:rPr>
        <w:t>表7.2.2-7 地下水污染防渗分区一览表</w:t>
      </w:r>
    </w:p>
    <w:tbl>
      <w:tblPr>
        <w:tblStyle w:val="41"/>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33"/>
        <w:gridCol w:w="2896"/>
        <w:gridCol w:w="3593"/>
      </w:tblGrid>
      <w:tr w14:paraId="1716A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33" w:type="dxa"/>
            <w:tcBorders>
              <w:tl2br w:val="nil"/>
              <w:tr2bl w:val="nil"/>
            </w:tcBorders>
            <w:noWrap w:val="0"/>
            <w:vAlign w:val="center"/>
          </w:tcPr>
          <w:p w14:paraId="47FD9070">
            <w:pPr>
              <w:pStyle w:val="52"/>
              <w:bidi w:val="0"/>
              <w:rPr>
                <w:rFonts w:hint="eastAsia"/>
              </w:rPr>
            </w:pPr>
            <w:r>
              <w:rPr>
                <w:rFonts w:hint="eastAsia"/>
              </w:rPr>
              <w:t>防渗分区</w:t>
            </w:r>
          </w:p>
        </w:tc>
        <w:tc>
          <w:tcPr>
            <w:tcW w:w="2896" w:type="dxa"/>
            <w:tcBorders>
              <w:tl2br w:val="nil"/>
              <w:tr2bl w:val="nil"/>
            </w:tcBorders>
            <w:noWrap w:val="0"/>
            <w:vAlign w:val="center"/>
          </w:tcPr>
          <w:p w14:paraId="16A2CFCE">
            <w:pPr>
              <w:pStyle w:val="52"/>
              <w:bidi w:val="0"/>
              <w:rPr>
                <w:rFonts w:hint="eastAsia"/>
              </w:rPr>
            </w:pPr>
            <w:r>
              <w:rPr>
                <w:rFonts w:hint="eastAsia"/>
              </w:rPr>
              <w:t>工作区</w:t>
            </w:r>
          </w:p>
        </w:tc>
        <w:tc>
          <w:tcPr>
            <w:tcW w:w="3593" w:type="dxa"/>
            <w:tcBorders>
              <w:tl2br w:val="nil"/>
              <w:tr2bl w:val="nil"/>
            </w:tcBorders>
            <w:noWrap w:val="0"/>
            <w:vAlign w:val="center"/>
          </w:tcPr>
          <w:p w14:paraId="4F3EE6F5">
            <w:pPr>
              <w:pStyle w:val="52"/>
              <w:bidi w:val="0"/>
              <w:rPr>
                <w:rFonts w:hint="eastAsia"/>
              </w:rPr>
            </w:pPr>
            <w:r>
              <w:rPr>
                <w:rFonts w:hint="eastAsia"/>
              </w:rPr>
              <w:t>防渗要求</w:t>
            </w:r>
          </w:p>
        </w:tc>
      </w:tr>
      <w:tr w14:paraId="55971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33" w:type="dxa"/>
            <w:vMerge w:val="restart"/>
            <w:tcBorders>
              <w:tl2br w:val="nil"/>
              <w:tr2bl w:val="nil"/>
            </w:tcBorders>
            <w:noWrap w:val="0"/>
            <w:vAlign w:val="center"/>
          </w:tcPr>
          <w:p w14:paraId="630FE098">
            <w:pPr>
              <w:pStyle w:val="52"/>
              <w:bidi w:val="0"/>
              <w:rPr>
                <w:rFonts w:hint="eastAsia"/>
              </w:rPr>
            </w:pPr>
            <w:r>
              <w:rPr>
                <w:rFonts w:hint="eastAsia"/>
              </w:rPr>
              <w:t>重点防渗区</w:t>
            </w:r>
          </w:p>
        </w:tc>
        <w:tc>
          <w:tcPr>
            <w:tcW w:w="2896" w:type="dxa"/>
            <w:tcBorders>
              <w:tl2br w:val="nil"/>
              <w:tr2bl w:val="nil"/>
            </w:tcBorders>
            <w:noWrap w:val="0"/>
            <w:vAlign w:val="center"/>
          </w:tcPr>
          <w:p w14:paraId="7C052D78">
            <w:pPr>
              <w:pStyle w:val="52"/>
              <w:bidi w:val="0"/>
              <w:rPr>
                <w:rFonts w:hint="eastAsia"/>
                <w:lang w:eastAsia="zh-CN"/>
              </w:rPr>
            </w:pPr>
            <w:r>
              <w:rPr>
                <w:rFonts w:hint="eastAsia"/>
                <w:lang w:eastAsia="zh-CN"/>
              </w:rPr>
              <w:t>发酵车间、</w:t>
            </w:r>
            <w:r>
              <w:rPr>
                <w:rFonts w:hint="eastAsia"/>
                <w:lang w:val="en-US" w:eastAsia="zh-CN"/>
              </w:rPr>
              <w:t>提取车间</w:t>
            </w:r>
          </w:p>
        </w:tc>
        <w:tc>
          <w:tcPr>
            <w:tcW w:w="3593" w:type="dxa"/>
            <w:vMerge w:val="restart"/>
            <w:tcBorders>
              <w:tl2br w:val="nil"/>
              <w:tr2bl w:val="nil"/>
            </w:tcBorders>
            <w:noWrap w:val="0"/>
            <w:vAlign w:val="center"/>
          </w:tcPr>
          <w:p w14:paraId="655A8A92">
            <w:pPr>
              <w:pStyle w:val="52"/>
              <w:bidi w:val="0"/>
              <w:rPr>
                <w:rFonts w:hint="eastAsia"/>
              </w:rPr>
            </w:pPr>
            <w:r>
              <w:rPr>
                <w:rFonts w:hint="eastAsia"/>
              </w:rPr>
              <w:t>防渗性能等效于6.0m厚渗透系数为1.0×10-7cm/s的黏土层的防渗性能</w:t>
            </w:r>
          </w:p>
        </w:tc>
      </w:tr>
      <w:tr w14:paraId="262EB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33" w:type="dxa"/>
            <w:vMerge w:val="continue"/>
            <w:tcBorders>
              <w:tl2br w:val="nil"/>
              <w:tr2bl w:val="nil"/>
            </w:tcBorders>
            <w:noWrap w:val="0"/>
            <w:vAlign w:val="center"/>
          </w:tcPr>
          <w:p w14:paraId="7F0754E3">
            <w:pPr>
              <w:pStyle w:val="52"/>
              <w:bidi w:val="0"/>
              <w:rPr>
                <w:rFonts w:hint="eastAsia"/>
              </w:rPr>
            </w:pPr>
          </w:p>
        </w:tc>
        <w:tc>
          <w:tcPr>
            <w:tcW w:w="2896" w:type="dxa"/>
            <w:tcBorders>
              <w:tl2br w:val="nil"/>
              <w:tr2bl w:val="nil"/>
            </w:tcBorders>
            <w:noWrap w:val="0"/>
            <w:vAlign w:val="center"/>
          </w:tcPr>
          <w:p w14:paraId="2D341AF9">
            <w:pPr>
              <w:pStyle w:val="52"/>
              <w:bidi w:val="0"/>
              <w:rPr>
                <w:rFonts w:hint="eastAsia"/>
              </w:rPr>
            </w:pPr>
            <w:r>
              <w:rPr>
                <w:rFonts w:hint="eastAsia"/>
              </w:rPr>
              <w:t>废水处理系统</w:t>
            </w:r>
          </w:p>
        </w:tc>
        <w:tc>
          <w:tcPr>
            <w:tcW w:w="3593" w:type="dxa"/>
            <w:vMerge w:val="continue"/>
            <w:tcBorders>
              <w:tl2br w:val="nil"/>
              <w:tr2bl w:val="nil"/>
            </w:tcBorders>
            <w:noWrap w:val="0"/>
            <w:vAlign w:val="center"/>
          </w:tcPr>
          <w:p w14:paraId="064774EC">
            <w:pPr>
              <w:pStyle w:val="52"/>
              <w:bidi w:val="0"/>
              <w:rPr>
                <w:rFonts w:hint="eastAsia"/>
              </w:rPr>
            </w:pPr>
          </w:p>
        </w:tc>
      </w:tr>
      <w:tr w14:paraId="127BF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33" w:type="dxa"/>
            <w:vMerge w:val="continue"/>
            <w:tcBorders>
              <w:tl2br w:val="nil"/>
              <w:tr2bl w:val="nil"/>
            </w:tcBorders>
            <w:noWrap w:val="0"/>
            <w:vAlign w:val="center"/>
          </w:tcPr>
          <w:p w14:paraId="32CD3109">
            <w:pPr>
              <w:pStyle w:val="52"/>
              <w:bidi w:val="0"/>
              <w:rPr>
                <w:rFonts w:hint="eastAsia"/>
              </w:rPr>
            </w:pPr>
          </w:p>
        </w:tc>
        <w:tc>
          <w:tcPr>
            <w:tcW w:w="2896" w:type="dxa"/>
            <w:tcBorders>
              <w:tl2br w:val="nil"/>
              <w:tr2bl w:val="nil"/>
            </w:tcBorders>
            <w:noWrap w:val="0"/>
            <w:vAlign w:val="center"/>
          </w:tcPr>
          <w:p w14:paraId="06DFAFC3">
            <w:pPr>
              <w:pStyle w:val="52"/>
              <w:bidi w:val="0"/>
              <w:rPr>
                <w:rFonts w:hint="default"/>
                <w:lang w:val="en-US" w:eastAsia="zh-CN"/>
              </w:rPr>
            </w:pPr>
            <w:r>
              <w:rPr>
                <w:rFonts w:hint="eastAsia"/>
                <w:lang w:val="en-US" w:eastAsia="zh-CN"/>
              </w:rPr>
              <w:t>事故池</w:t>
            </w:r>
          </w:p>
        </w:tc>
        <w:tc>
          <w:tcPr>
            <w:tcW w:w="3593" w:type="dxa"/>
            <w:vMerge w:val="continue"/>
            <w:tcBorders>
              <w:tl2br w:val="nil"/>
              <w:tr2bl w:val="nil"/>
            </w:tcBorders>
            <w:noWrap w:val="0"/>
            <w:vAlign w:val="center"/>
          </w:tcPr>
          <w:p w14:paraId="2009B216">
            <w:pPr>
              <w:pStyle w:val="52"/>
              <w:bidi w:val="0"/>
              <w:rPr>
                <w:rFonts w:hint="eastAsia"/>
              </w:rPr>
            </w:pPr>
          </w:p>
        </w:tc>
      </w:tr>
      <w:tr w14:paraId="5AC16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33" w:type="dxa"/>
            <w:vMerge w:val="continue"/>
            <w:tcBorders>
              <w:tl2br w:val="nil"/>
              <w:tr2bl w:val="nil"/>
            </w:tcBorders>
            <w:noWrap w:val="0"/>
            <w:vAlign w:val="center"/>
          </w:tcPr>
          <w:p w14:paraId="650D22B8">
            <w:pPr>
              <w:pStyle w:val="52"/>
              <w:bidi w:val="0"/>
              <w:rPr>
                <w:rFonts w:hint="eastAsia"/>
              </w:rPr>
            </w:pPr>
          </w:p>
        </w:tc>
        <w:tc>
          <w:tcPr>
            <w:tcW w:w="2896" w:type="dxa"/>
            <w:tcBorders>
              <w:tl2br w:val="nil"/>
              <w:tr2bl w:val="nil"/>
            </w:tcBorders>
            <w:noWrap w:val="0"/>
            <w:vAlign w:val="center"/>
          </w:tcPr>
          <w:p w14:paraId="35752025">
            <w:pPr>
              <w:pStyle w:val="52"/>
              <w:bidi w:val="0"/>
              <w:rPr>
                <w:rFonts w:hint="eastAsia"/>
              </w:rPr>
            </w:pPr>
            <w:r>
              <w:rPr>
                <w:rFonts w:hint="eastAsia"/>
              </w:rPr>
              <w:t>危废暂存间</w:t>
            </w:r>
          </w:p>
        </w:tc>
        <w:tc>
          <w:tcPr>
            <w:tcW w:w="3593" w:type="dxa"/>
            <w:vMerge w:val="continue"/>
            <w:tcBorders>
              <w:tl2br w:val="nil"/>
              <w:tr2bl w:val="nil"/>
            </w:tcBorders>
            <w:noWrap w:val="0"/>
            <w:vAlign w:val="center"/>
          </w:tcPr>
          <w:p w14:paraId="231D5448">
            <w:pPr>
              <w:pStyle w:val="52"/>
              <w:bidi w:val="0"/>
              <w:rPr>
                <w:rFonts w:hint="eastAsia"/>
              </w:rPr>
            </w:pPr>
          </w:p>
        </w:tc>
      </w:tr>
      <w:tr w14:paraId="4686F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33" w:type="dxa"/>
            <w:vMerge w:val="continue"/>
            <w:tcBorders>
              <w:tl2br w:val="nil"/>
              <w:tr2bl w:val="nil"/>
            </w:tcBorders>
            <w:noWrap w:val="0"/>
            <w:vAlign w:val="center"/>
          </w:tcPr>
          <w:p w14:paraId="083ADA27">
            <w:pPr>
              <w:pStyle w:val="52"/>
              <w:bidi w:val="0"/>
              <w:rPr>
                <w:rFonts w:hint="eastAsia"/>
              </w:rPr>
            </w:pPr>
          </w:p>
        </w:tc>
        <w:tc>
          <w:tcPr>
            <w:tcW w:w="2896" w:type="dxa"/>
            <w:tcBorders>
              <w:tl2br w:val="nil"/>
              <w:tr2bl w:val="nil"/>
            </w:tcBorders>
            <w:noWrap w:val="0"/>
            <w:vAlign w:val="center"/>
          </w:tcPr>
          <w:p w14:paraId="43E9EB29">
            <w:pPr>
              <w:pStyle w:val="52"/>
              <w:bidi w:val="0"/>
              <w:rPr>
                <w:rFonts w:hint="eastAsia"/>
              </w:rPr>
            </w:pPr>
            <w:r>
              <w:rPr>
                <w:rFonts w:hint="eastAsia"/>
              </w:rPr>
              <w:t>储罐区</w:t>
            </w:r>
          </w:p>
        </w:tc>
        <w:tc>
          <w:tcPr>
            <w:tcW w:w="3593" w:type="dxa"/>
            <w:vMerge w:val="continue"/>
            <w:tcBorders>
              <w:tl2br w:val="nil"/>
              <w:tr2bl w:val="nil"/>
            </w:tcBorders>
            <w:noWrap w:val="0"/>
            <w:vAlign w:val="center"/>
          </w:tcPr>
          <w:p w14:paraId="5D41C894">
            <w:pPr>
              <w:pStyle w:val="52"/>
              <w:bidi w:val="0"/>
              <w:rPr>
                <w:rFonts w:hint="eastAsia"/>
              </w:rPr>
            </w:pPr>
          </w:p>
        </w:tc>
      </w:tr>
      <w:tr w14:paraId="389F0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33" w:type="dxa"/>
            <w:vMerge w:val="continue"/>
            <w:tcBorders>
              <w:tl2br w:val="nil"/>
              <w:tr2bl w:val="nil"/>
            </w:tcBorders>
            <w:noWrap w:val="0"/>
            <w:vAlign w:val="center"/>
          </w:tcPr>
          <w:p w14:paraId="66801B7A">
            <w:pPr>
              <w:pStyle w:val="52"/>
              <w:bidi w:val="0"/>
              <w:rPr>
                <w:rFonts w:hint="eastAsia"/>
              </w:rPr>
            </w:pPr>
          </w:p>
        </w:tc>
        <w:tc>
          <w:tcPr>
            <w:tcW w:w="2896" w:type="dxa"/>
            <w:tcBorders>
              <w:tl2br w:val="nil"/>
              <w:tr2bl w:val="nil"/>
            </w:tcBorders>
            <w:noWrap w:val="0"/>
            <w:vAlign w:val="center"/>
          </w:tcPr>
          <w:p w14:paraId="7AD2D594">
            <w:pPr>
              <w:pStyle w:val="52"/>
              <w:bidi w:val="0"/>
              <w:rPr>
                <w:rFonts w:hint="eastAsia"/>
              </w:rPr>
            </w:pPr>
            <w:r>
              <w:rPr>
                <w:rFonts w:hint="eastAsia"/>
                <w:lang w:val="en-US" w:eastAsia="zh-CN"/>
              </w:rPr>
              <w:t>危化品库</w:t>
            </w:r>
          </w:p>
        </w:tc>
        <w:tc>
          <w:tcPr>
            <w:tcW w:w="3593" w:type="dxa"/>
            <w:vMerge w:val="continue"/>
            <w:tcBorders>
              <w:tl2br w:val="nil"/>
              <w:tr2bl w:val="nil"/>
            </w:tcBorders>
            <w:noWrap w:val="0"/>
            <w:vAlign w:val="center"/>
          </w:tcPr>
          <w:p w14:paraId="650C48FC">
            <w:pPr>
              <w:pStyle w:val="52"/>
              <w:bidi w:val="0"/>
              <w:rPr>
                <w:rFonts w:hint="eastAsia"/>
              </w:rPr>
            </w:pPr>
          </w:p>
        </w:tc>
      </w:tr>
      <w:tr w14:paraId="352A3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33" w:type="dxa"/>
            <w:vMerge w:val="continue"/>
            <w:tcBorders>
              <w:tl2br w:val="nil"/>
              <w:tr2bl w:val="nil"/>
            </w:tcBorders>
            <w:noWrap w:val="0"/>
            <w:vAlign w:val="center"/>
          </w:tcPr>
          <w:p w14:paraId="052CC8A0">
            <w:pPr>
              <w:pStyle w:val="52"/>
              <w:bidi w:val="0"/>
              <w:rPr>
                <w:rFonts w:hint="eastAsia"/>
              </w:rPr>
            </w:pPr>
          </w:p>
        </w:tc>
        <w:tc>
          <w:tcPr>
            <w:tcW w:w="2896" w:type="dxa"/>
            <w:tcBorders>
              <w:tl2br w:val="nil"/>
              <w:tr2bl w:val="nil"/>
            </w:tcBorders>
            <w:noWrap w:val="0"/>
            <w:vAlign w:val="center"/>
          </w:tcPr>
          <w:p w14:paraId="1DBB5A24">
            <w:pPr>
              <w:pStyle w:val="52"/>
              <w:bidi w:val="0"/>
              <w:rPr>
                <w:rFonts w:hint="eastAsia"/>
                <w:lang w:val="en-US" w:eastAsia="zh-CN"/>
              </w:rPr>
            </w:pPr>
            <w:r>
              <w:rPr>
                <w:rFonts w:hint="eastAsia"/>
                <w:lang w:val="en-US" w:eastAsia="zh-CN"/>
              </w:rPr>
              <w:t>液氨仓库</w:t>
            </w:r>
          </w:p>
        </w:tc>
        <w:tc>
          <w:tcPr>
            <w:tcW w:w="3593" w:type="dxa"/>
            <w:vMerge w:val="continue"/>
            <w:tcBorders>
              <w:tl2br w:val="nil"/>
              <w:tr2bl w:val="nil"/>
            </w:tcBorders>
            <w:noWrap w:val="0"/>
            <w:vAlign w:val="center"/>
          </w:tcPr>
          <w:p w14:paraId="3532429B">
            <w:pPr>
              <w:pStyle w:val="52"/>
              <w:bidi w:val="0"/>
              <w:rPr>
                <w:rFonts w:hint="eastAsia"/>
              </w:rPr>
            </w:pPr>
          </w:p>
        </w:tc>
      </w:tr>
      <w:tr w14:paraId="41D4A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33" w:type="dxa"/>
            <w:vMerge w:val="restart"/>
            <w:tcBorders>
              <w:tl2br w:val="nil"/>
              <w:tr2bl w:val="nil"/>
            </w:tcBorders>
            <w:noWrap w:val="0"/>
            <w:vAlign w:val="center"/>
          </w:tcPr>
          <w:p w14:paraId="0F330362">
            <w:pPr>
              <w:pStyle w:val="52"/>
              <w:bidi w:val="0"/>
              <w:rPr>
                <w:rFonts w:hint="eastAsia"/>
              </w:rPr>
            </w:pPr>
            <w:r>
              <w:rPr>
                <w:rFonts w:hint="eastAsia"/>
              </w:rPr>
              <w:t>一般防渗区</w:t>
            </w:r>
          </w:p>
        </w:tc>
        <w:tc>
          <w:tcPr>
            <w:tcW w:w="2896" w:type="dxa"/>
            <w:tcBorders>
              <w:tl2br w:val="nil"/>
              <w:tr2bl w:val="nil"/>
            </w:tcBorders>
            <w:noWrap w:val="0"/>
            <w:vAlign w:val="center"/>
          </w:tcPr>
          <w:p w14:paraId="26775C52">
            <w:pPr>
              <w:pStyle w:val="52"/>
              <w:bidi w:val="0"/>
              <w:rPr>
                <w:rFonts w:hint="default"/>
                <w:lang w:val="en-US" w:eastAsia="zh-CN"/>
              </w:rPr>
            </w:pPr>
            <w:r>
              <w:rPr>
                <w:rFonts w:hint="eastAsia"/>
                <w:lang w:val="en-US" w:eastAsia="zh-CN"/>
              </w:rPr>
              <w:t>办公楼</w:t>
            </w:r>
          </w:p>
        </w:tc>
        <w:tc>
          <w:tcPr>
            <w:tcW w:w="3593" w:type="dxa"/>
            <w:vMerge w:val="restart"/>
            <w:tcBorders>
              <w:tl2br w:val="nil"/>
              <w:tr2bl w:val="nil"/>
            </w:tcBorders>
            <w:noWrap w:val="0"/>
            <w:vAlign w:val="center"/>
          </w:tcPr>
          <w:p w14:paraId="2EA4F8CE">
            <w:pPr>
              <w:pStyle w:val="52"/>
              <w:bidi w:val="0"/>
              <w:rPr>
                <w:rFonts w:hint="eastAsia"/>
              </w:rPr>
            </w:pPr>
            <w:r>
              <w:rPr>
                <w:rFonts w:hint="eastAsia"/>
              </w:rPr>
              <w:t>防渗性能等效于1.5m厚渗透系数为1.0×10-7cm/s的黏土层的防渗性能</w:t>
            </w:r>
          </w:p>
        </w:tc>
      </w:tr>
      <w:tr w14:paraId="11C8F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33" w:type="dxa"/>
            <w:vMerge w:val="continue"/>
            <w:tcBorders>
              <w:tl2br w:val="nil"/>
              <w:tr2bl w:val="nil"/>
            </w:tcBorders>
            <w:noWrap w:val="0"/>
            <w:vAlign w:val="center"/>
          </w:tcPr>
          <w:p w14:paraId="5474D995">
            <w:pPr>
              <w:pStyle w:val="52"/>
              <w:bidi w:val="0"/>
              <w:rPr>
                <w:rFonts w:hint="eastAsia"/>
              </w:rPr>
            </w:pPr>
          </w:p>
        </w:tc>
        <w:tc>
          <w:tcPr>
            <w:tcW w:w="2896" w:type="dxa"/>
            <w:tcBorders>
              <w:tl2br w:val="nil"/>
              <w:tr2bl w:val="nil"/>
            </w:tcBorders>
            <w:noWrap w:val="0"/>
            <w:vAlign w:val="center"/>
          </w:tcPr>
          <w:p w14:paraId="14C39EC6">
            <w:pPr>
              <w:pStyle w:val="52"/>
              <w:bidi w:val="0"/>
              <w:rPr>
                <w:rFonts w:hint="default"/>
                <w:lang w:val="en-US" w:eastAsia="zh-CN"/>
              </w:rPr>
            </w:pPr>
            <w:r>
              <w:rPr>
                <w:rFonts w:hint="eastAsia"/>
                <w:lang w:val="en-US" w:eastAsia="zh-CN"/>
              </w:rPr>
              <w:t>初期雨水池</w:t>
            </w:r>
          </w:p>
        </w:tc>
        <w:tc>
          <w:tcPr>
            <w:tcW w:w="3593" w:type="dxa"/>
            <w:vMerge w:val="continue"/>
            <w:tcBorders>
              <w:tl2br w:val="nil"/>
              <w:tr2bl w:val="nil"/>
            </w:tcBorders>
            <w:noWrap w:val="0"/>
            <w:vAlign w:val="center"/>
          </w:tcPr>
          <w:p w14:paraId="64EE831E">
            <w:pPr>
              <w:pStyle w:val="52"/>
              <w:bidi w:val="0"/>
              <w:rPr>
                <w:rFonts w:hint="eastAsia"/>
              </w:rPr>
            </w:pPr>
          </w:p>
        </w:tc>
      </w:tr>
      <w:tr w14:paraId="012F8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33" w:type="dxa"/>
            <w:vMerge w:val="continue"/>
            <w:tcBorders>
              <w:tl2br w:val="nil"/>
              <w:tr2bl w:val="nil"/>
            </w:tcBorders>
            <w:noWrap w:val="0"/>
            <w:vAlign w:val="center"/>
          </w:tcPr>
          <w:p w14:paraId="3813BAA3">
            <w:pPr>
              <w:pStyle w:val="52"/>
              <w:bidi w:val="0"/>
              <w:rPr>
                <w:rFonts w:hint="eastAsia"/>
              </w:rPr>
            </w:pPr>
          </w:p>
        </w:tc>
        <w:tc>
          <w:tcPr>
            <w:tcW w:w="2896" w:type="dxa"/>
            <w:tcBorders>
              <w:tl2br w:val="nil"/>
              <w:tr2bl w:val="nil"/>
            </w:tcBorders>
            <w:noWrap w:val="0"/>
            <w:vAlign w:val="center"/>
          </w:tcPr>
          <w:p w14:paraId="1D996605">
            <w:pPr>
              <w:pStyle w:val="52"/>
              <w:bidi w:val="0"/>
              <w:rPr>
                <w:rFonts w:hint="default"/>
                <w:lang w:val="en-US" w:eastAsia="zh-CN"/>
              </w:rPr>
            </w:pPr>
            <w:r>
              <w:rPr>
                <w:rFonts w:hint="eastAsia"/>
                <w:lang w:val="en-US" w:eastAsia="zh-CN"/>
              </w:rPr>
              <w:t>仓库、原料库、成品库</w:t>
            </w:r>
          </w:p>
        </w:tc>
        <w:tc>
          <w:tcPr>
            <w:tcW w:w="3593" w:type="dxa"/>
            <w:vMerge w:val="continue"/>
            <w:tcBorders>
              <w:tl2br w:val="nil"/>
              <w:tr2bl w:val="nil"/>
            </w:tcBorders>
            <w:noWrap w:val="0"/>
            <w:vAlign w:val="center"/>
          </w:tcPr>
          <w:p w14:paraId="248E5C96">
            <w:pPr>
              <w:pStyle w:val="52"/>
              <w:bidi w:val="0"/>
              <w:rPr>
                <w:rFonts w:hint="eastAsia"/>
              </w:rPr>
            </w:pPr>
          </w:p>
        </w:tc>
      </w:tr>
      <w:tr w14:paraId="447EA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33" w:type="dxa"/>
            <w:vMerge w:val="continue"/>
            <w:tcBorders>
              <w:tl2br w:val="nil"/>
              <w:tr2bl w:val="nil"/>
            </w:tcBorders>
            <w:noWrap w:val="0"/>
            <w:vAlign w:val="center"/>
          </w:tcPr>
          <w:p w14:paraId="703D0619">
            <w:pPr>
              <w:pStyle w:val="52"/>
              <w:bidi w:val="0"/>
              <w:rPr>
                <w:rFonts w:hint="eastAsia"/>
              </w:rPr>
            </w:pPr>
          </w:p>
        </w:tc>
        <w:tc>
          <w:tcPr>
            <w:tcW w:w="2896" w:type="dxa"/>
            <w:tcBorders>
              <w:tl2br w:val="nil"/>
              <w:tr2bl w:val="nil"/>
            </w:tcBorders>
            <w:noWrap w:val="0"/>
            <w:vAlign w:val="center"/>
          </w:tcPr>
          <w:p w14:paraId="13BE690F">
            <w:pPr>
              <w:pStyle w:val="52"/>
              <w:bidi w:val="0"/>
              <w:rPr>
                <w:rFonts w:hint="default"/>
                <w:lang w:val="en-US" w:eastAsia="zh-CN"/>
              </w:rPr>
            </w:pPr>
            <w:r>
              <w:rPr>
                <w:rFonts w:hint="eastAsia"/>
                <w:lang w:val="en-US" w:eastAsia="zh-CN"/>
              </w:rPr>
              <w:t>循环水池</w:t>
            </w:r>
          </w:p>
        </w:tc>
        <w:tc>
          <w:tcPr>
            <w:tcW w:w="3593" w:type="dxa"/>
            <w:vMerge w:val="continue"/>
            <w:tcBorders>
              <w:tl2br w:val="nil"/>
              <w:tr2bl w:val="nil"/>
            </w:tcBorders>
            <w:noWrap w:val="0"/>
            <w:vAlign w:val="center"/>
          </w:tcPr>
          <w:p w14:paraId="4C507C83">
            <w:pPr>
              <w:pStyle w:val="52"/>
              <w:bidi w:val="0"/>
              <w:rPr>
                <w:rFonts w:hint="eastAsia"/>
              </w:rPr>
            </w:pPr>
          </w:p>
        </w:tc>
      </w:tr>
      <w:tr w14:paraId="4DBC0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33" w:type="dxa"/>
            <w:vMerge w:val="continue"/>
            <w:tcBorders>
              <w:tl2br w:val="nil"/>
              <w:tr2bl w:val="nil"/>
            </w:tcBorders>
            <w:noWrap w:val="0"/>
            <w:vAlign w:val="center"/>
          </w:tcPr>
          <w:p w14:paraId="3980EF8F">
            <w:pPr>
              <w:pStyle w:val="52"/>
              <w:bidi w:val="0"/>
              <w:rPr>
                <w:rFonts w:hint="eastAsia"/>
              </w:rPr>
            </w:pPr>
          </w:p>
        </w:tc>
        <w:tc>
          <w:tcPr>
            <w:tcW w:w="2896" w:type="dxa"/>
            <w:tcBorders>
              <w:tl2br w:val="nil"/>
              <w:tr2bl w:val="nil"/>
            </w:tcBorders>
            <w:noWrap w:val="0"/>
            <w:vAlign w:val="center"/>
          </w:tcPr>
          <w:p w14:paraId="12F6AAD4">
            <w:pPr>
              <w:pStyle w:val="52"/>
              <w:bidi w:val="0"/>
              <w:rPr>
                <w:rFonts w:hint="default"/>
                <w:lang w:val="en-US" w:eastAsia="zh-CN"/>
              </w:rPr>
            </w:pPr>
            <w:r>
              <w:rPr>
                <w:rFonts w:hint="eastAsia"/>
                <w:lang w:val="en-US" w:eastAsia="zh-CN"/>
              </w:rPr>
              <w:t>机修车间</w:t>
            </w:r>
          </w:p>
        </w:tc>
        <w:tc>
          <w:tcPr>
            <w:tcW w:w="3593" w:type="dxa"/>
            <w:vMerge w:val="continue"/>
            <w:tcBorders>
              <w:tl2br w:val="nil"/>
              <w:tr2bl w:val="nil"/>
            </w:tcBorders>
            <w:noWrap w:val="0"/>
            <w:vAlign w:val="center"/>
          </w:tcPr>
          <w:p w14:paraId="51CD52FA">
            <w:pPr>
              <w:pStyle w:val="52"/>
              <w:bidi w:val="0"/>
              <w:rPr>
                <w:rFonts w:hint="eastAsia"/>
              </w:rPr>
            </w:pPr>
          </w:p>
        </w:tc>
      </w:tr>
      <w:tr w14:paraId="08432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33" w:type="dxa"/>
            <w:vMerge w:val="continue"/>
            <w:tcBorders>
              <w:tl2br w:val="nil"/>
              <w:tr2bl w:val="nil"/>
            </w:tcBorders>
            <w:noWrap w:val="0"/>
            <w:vAlign w:val="center"/>
          </w:tcPr>
          <w:p w14:paraId="40565523">
            <w:pPr>
              <w:pStyle w:val="52"/>
              <w:bidi w:val="0"/>
              <w:rPr>
                <w:rFonts w:hint="eastAsia"/>
              </w:rPr>
            </w:pPr>
          </w:p>
        </w:tc>
        <w:tc>
          <w:tcPr>
            <w:tcW w:w="2896" w:type="dxa"/>
            <w:tcBorders>
              <w:tl2br w:val="nil"/>
              <w:tr2bl w:val="nil"/>
            </w:tcBorders>
            <w:noWrap w:val="0"/>
            <w:vAlign w:val="center"/>
          </w:tcPr>
          <w:p w14:paraId="35C49EB6">
            <w:pPr>
              <w:pStyle w:val="52"/>
              <w:bidi w:val="0"/>
              <w:rPr>
                <w:rFonts w:hint="default"/>
                <w:lang w:val="en-US" w:eastAsia="zh-CN"/>
              </w:rPr>
            </w:pPr>
            <w:r>
              <w:rPr>
                <w:rFonts w:hint="eastAsia"/>
                <w:lang w:val="en-US" w:eastAsia="zh-CN"/>
              </w:rPr>
              <w:t>烘干车间</w:t>
            </w:r>
          </w:p>
        </w:tc>
        <w:tc>
          <w:tcPr>
            <w:tcW w:w="3593" w:type="dxa"/>
            <w:vMerge w:val="continue"/>
            <w:tcBorders>
              <w:tl2br w:val="nil"/>
              <w:tr2bl w:val="nil"/>
            </w:tcBorders>
            <w:noWrap w:val="0"/>
            <w:vAlign w:val="center"/>
          </w:tcPr>
          <w:p w14:paraId="36B34430">
            <w:pPr>
              <w:pStyle w:val="52"/>
              <w:bidi w:val="0"/>
              <w:rPr>
                <w:rFonts w:hint="eastAsia"/>
              </w:rPr>
            </w:pPr>
          </w:p>
        </w:tc>
      </w:tr>
    </w:tbl>
    <w:p w14:paraId="10E23C6E">
      <w:pPr>
        <w:spacing w:line="360" w:lineRule="auto"/>
        <w:rPr>
          <w:rFonts w:hint="eastAsia"/>
          <w:b/>
          <w:bCs/>
          <w:color w:val="auto"/>
          <w:u w:val="none"/>
          <w:lang w:val="en-US" w:eastAsia="zh-CN"/>
        </w:rPr>
      </w:pPr>
      <w:r>
        <w:drawing>
          <wp:inline distT="0" distB="0" distL="114300" distR="114300">
            <wp:extent cx="5266690" cy="2889250"/>
            <wp:effectExtent l="0" t="0" r="10160" b="635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46"/>
                    <a:stretch>
                      <a:fillRect/>
                    </a:stretch>
                  </pic:blipFill>
                  <pic:spPr>
                    <a:xfrm>
                      <a:off x="0" y="0"/>
                      <a:ext cx="5266690" cy="2889250"/>
                    </a:xfrm>
                    <a:prstGeom prst="rect">
                      <a:avLst/>
                    </a:prstGeom>
                    <a:noFill/>
                    <a:ln>
                      <a:noFill/>
                    </a:ln>
                  </pic:spPr>
                </pic:pic>
              </a:graphicData>
            </a:graphic>
          </wp:inline>
        </w:drawing>
      </w:r>
    </w:p>
    <w:p w14:paraId="5BEE0B3C">
      <w:pPr>
        <w:pStyle w:val="6"/>
        <w:bidi w:val="0"/>
        <w:rPr>
          <w:rFonts w:hint="default"/>
          <w:lang w:val="en-US" w:eastAsia="zh-CN"/>
        </w:rPr>
      </w:pPr>
      <w:r>
        <w:rPr>
          <w:rFonts w:hint="eastAsia"/>
          <w:lang w:val="en-US" w:eastAsia="zh-CN"/>
        </w:rPr>
        <w:t>图7.2.2-4 新合新生物科技公司分区防渗示意图</w:t>
      </w:r>
    </w:p>
    <w:p w14:paraId="276AE596">
      <w:pPr>
        <w:widowControl/>
        <w:spacing w:line="360" w:lineRule="auto"/>
        <w:ind w:firstLine="480" w:firstLineChars="200"/>
        <w:jc w:val="left"/>
        <w:rPr>
          <w:rFonts w:ascii="Times New Roman" w:hAnsi="Times New Roman" w:eastAsia="宋体" w:cs="Times New Roman"/>
          <w:color w:val="auto"/>
          <w:kern w:val="0"/>
          <w:sz w:val="24"/>
          <w:szCs w:val="24"/>
        </w:rPr>
      </w:pPr>
      <w:r>
        <w:rPr>
          <w:rFonts w:hint="eastAsia" w:ascii="Times New Roman" w:hAnsi="Times New Roman" w:eastAsia="宋体" w:cs="Times New Roman"/>
          <w:color w:val="auto"/>
          <w:kern w:val="0"/>
          <w:sz w:val="24"/>
          <w:szCs w:val="24"/>
          <w:lang w:val="en-US" w:eastAsia="zh-CN"/>
        </w:rPr>
        <w:t>新合新生物科技</w:t>
      </w:r>
      <w:r>
        <w:rPr>
          <w:rFonts w:ascii="Times New Roman" w:hAnsi="Times New Roman" w:eastAsia="宋体" w:cs="Times New Roman"/>
          <w:color w:val="auto"/>
          <w:kern w:val="0"/>
          <w:sz w:val="24"/>
          <w:szCs w:val="24"/>
        </w:rPr>
        <w:t>公司</w:t>
      </w:r>
      <w:r>
        <w:rPr>
          <w:rFonts w:hint="eastAsia" w:ascii="Times New Roman" w:hAnsi="Times New Roman" w:eastAsia="宋体" w:cs="Times New Roman"/>
          <w:color w:val="auto"/>
          <w:kern w:val="0"/>
          <w:sz w:val="24"/>
          <w:szCs w:val="24"/>
          <w:lang w:val="en-US" w:eastAsia="zh-CN"/>
        </w:rPr>
        <w:t>已完成</w:t>
      </w:r>
      <w:r>
        <w:rPr>
          <w:rFonts w:ascii="Times New Roman" w:hAnsi="Times New Roman" w:eastAsia="宋体" w:cs="Times New Roman"/>
          <w:color w:val="auto"/>
          <w:kern w:val="0"/>
          <w:sz w:val="24"/>
          <w:szCs w:val="24"/>
        </w:rPr>
        <w:t>车间及环保设施</w:t>
      </w:r>
      <w:r>
        <w:rPr>
          <w:rFonts w:hint="eastAsia" w:ascii="Times New Roman" w:hAnsi="Times New Roman" w:eastAsia="宋体" w:cs="Times New Roman"/>
          <w:color w:val="auto"/>
          <w:kern w:val="0"/>
          <w:sz w:val="24"/>
          <w:szCs w:val="24"/>
          <w:lang w:val="en-US" w:eastAsia="zh-CN"/>
        </w:rPr>
        <w:t>建设，</w:t>
      </w:r>
      <w:r>
        <w:rPr>
          <w:rFonts w:ascii="Times New Roman" w:hAnsi="Times New Roman" w:eastAsia="宋体" w:cs="Times New Roman"/>
          <w:color w:val="auto"/>
          <w:kern w:val="0"/>
          <w:sz w:val="24"/>
          <w:szCs w:val="24"/>
        </w:rPr>
        <w:t>各项指标均</w:t>
      </w:r>
      <w:r>
        <w:rPr>
          <w:rFonts w:hint="eastAsia" w:ascii="Times New Roman" w:hAnsi="Times New Roman" w:eastAsia="宋体" w:cs="Times New Roman"/>
          <w:color w:val="auto"/>
          <w:kern w:val="0"/>
          <w:sz w:val="24"/>
          <w:szCs w:val="24"/>
        </w:rPr>
        <w:t>应</w:t>
      </w:r>
      <w:r>
        <w:rPr>
          <w:rFonts w:ascii="Times New Roman" w:hAnsi="Times New Roman" w:eastAsia="宋体" w:cs="Times New Roman"/>
          <w:color w:val="auto"/>
          <w:kern w:val="0"/>
          <w:sz w:val="24"/>
          <w:szCs w:val="24"/>
        </w:rPr>
        <w:t>符合下列要求：</w:t>
      </w:r>
    </w:p>
    <w:p w14:paraId="4AF66CAE">
      <w:pPr>
        <w:widowControl/>
        <w:spacing w:line="360" w:lineRule="auto"/>
        <w:ind w:firstLine="480" w:firstLineChars="200"/>
        <w:jc w:val="left"/>
        <w:rPr>
          <w:rFonts w:ascii="Times New Roman" w:hAnsi="Times New Roman" w:eastAsia="宋体" w:cs="Times New Roman"/>
          <w:b w:val="0"/>
          <w:bCs w:val="0"/>
          <w:color w:val="auto"/>
          <w:kern w:val="0"/>
          <w:sz w:val="24"/>
          <w:szCs w:val="24"/>
        </w:rPr>
      </w:pPr>
      <w:r>
        <w:rPr>
          <w:rFonts w:ascii="Times New Roman" w:hAnsi="Times New Roman" w:eastAsia="宋体" w:cs="Times New Roman"/>
          <w:b w:val="0"/>
          <w:bCs w:val="0"/>
          <w:color w:val="auto"/>
          <w:kern w:val="0"/>
          <w:sz w:val="24"/>
          <w:szCs w:val="24"/>
        </w:rPr>
        <w:t>（</w:t>
      </w:r>
      <w:r>
        <w:rPr>
          <w:rFonts w:hint="eastAsia" w:ascii="Times New Roman" w:hAnsi="Times New Roman" w:eastAsia="宋体" w:cs="Times New Roman"/>
          <w:b w:val="0"/>
          <w:bCs w:val="0"/>
          <w:color w:val="auto"/>
          <w:kern w:val="0"/>
          <w:sz w:val="24"/>
          <w:szCs w:val="24"/>
          <w:lang w:val="en-US" w:eastAsia="zh-CN"/>
        </w:rPr>
        <w:t>一</w:t>
      </w:r>
      <w:r>
        <w:rPr>
          <w:rFonts w:ascii="Times New Roman" w:hAnsi="Times New Roman" w:eastAsia="宋体" w:cs="Times New Roman"/>
          <w:b w:val="0"/>
          <w:bCs w:val="0"/>
          <w:color w:val="auto"/>
          <w:kern w:val="0"/>
          <w:sz w:val="24"/>
          <w:szCs w:val="24"/>
        </w:rPr>
        <w:t>）一般要求</w:t>
      </w:r>
    </w:p>
    <w:p w14:paraId="6AB42A19">
      <w:pPr>
        <w:spacing w:line="360" w:lineRule="auto"/>
        <w:ind w:firstLine="480" w:firstLineChars="200"/>
        <w:jc w:val="left"/>
        <w:rPr>
          <w:rFonts w:ascii="Times New Roman" w:hAnsi="Times New Roman" w:eastAsia="宋体" w:cs="Times New Roman"/>
          <w:b w:val="0"/>
          <w:bCs w:val="0"/>
          <w:color w:val="auto"/>
          <w:kern w:val="0"/>
          <w:sz w:val="24"/>
          <w:szCs w:val="24"/>
        </w:rPr>
      </w:pPr>
      <w:r>
        <w:rPr>
          <w:rFonts w:ascii="Times New Roman" w:hAnsi="Times New Roman" w:eastAsia="宋体" w:cs="Times New Roman"/>
          <w:b w:val="0"/>
          <w:bCs w:val="0"/>
          <w:color w:val="auto"/>
          <w:kern w:val="0"/>
          <w:sz w:val="24"/>
          <w:szCs w:val="24"/>
        </w:rPr>
        <w:t>①各设备、地下管道或建构筑物防渗的设计使用年限分别不低于相应设备、地下管道或建、构筑物的设计使用年限；</w:t>
      </w:r>
    </w:p>
    <w:p w14:paraId="1CBFE796">
      <w:pPr>
        <w:widowControl/>
        <w:spacing w:line="360" w:lineRule="auto"/>
        <w:ind w:firstLine="480" w:firstLineChars="200"/>
        <w:jc w:val="left"/>
        <w:rPr>
          <w:rFonts w:ascii="Times New Roman" w:hAnsi="Times New Roman" w:eastAsia="宋体" w:cs="Times New Roman"/>
          <w:b w:val="0"/>
          <w:bCs w:val="0"/>
          <w:color w:val="auto"/>
          <w:kern w:val="0"/>
          <w:sz w:val="24"/>
          <w:szCs w:val="24"/>
        </w:rPr>
      </w:pPr>
      <w:r>
        <w:rPr>
          <w:rFonts w:ascii="Times New Roman" w:hAnsi="Times New Roman" w:eastAsia="宋体" w:cs="Times New Roman"/>
          <w:b w:val="0"/>
          <w:bCs w:val="0"/>
          <w:color w:val="auto"/>
          <w:kern w:val="0"/>
          <w:sz w:val="24"/>
          <w:szCs w:val="24"/>
        </w:rPr>
        <w:t>②污染防治区应设置防渗层，防渗层的渗透系数不应大于1.0×10</w:t>
      </w:r>
      <w:r>
        <w:rPr>
          <w:rFonts w:ascii="Times New Roman" w:hAnsi="Times New Roman" w:eastAsia="宋体" w:cs="Times New Roman"/>
          <w:b w:val="0"/>
          <w:bCs w:val="0"/>
          <w:color w:val="auto"/>
          <w:kern w:val="0"/>
          <w:sz w:val="24"/>
          <w:szCs w:val="24"/>
          <w:vertAlign w:val="superscript"/>
        </w:rPr>
        <w:t>-7</w:t>
      </w:r>
      <w:r>
        <w:rPr>
          <w:rFonts w:ascii="Times New Roman" w:hAnsi="Times New Roman" w:eastAsia="宋体" w:cs="Times New Roman"/>
          <w:b w:val="0"/>
          <w:bCs w:val="0"/>
          <w:color w:val="auto"/>
          <w:kern w:val="0"/>
          <w:sz w:val="24"/>
          <w:szCs w:val="24"/>
        </w:rPr>
        <w:t>cm/s。一般污染防治区的防渗性能不应低于1.5m厚渗透系数为1.0×10</w:t>
      </w:r>
      <w:r>
        <w:rPr>
          <w:rFonts w:ascii="Times New Roman" w:hAnsi="Times New Roman" w:eastAsia="宋体" w:cs="Times New Roman"/>
          <w:b w:val="0"/>
          <w:bCs w:val="0"/>
          <w:color w:val="auto"/>
          <w:kern w:val="0"/>
          <w:sz w:val="24"/>
          <w:szCs w:val="24"/>
          <w:vertAlign w:val="superscript"/>
        </w:rPr>
        <w:t>-7</w:t>
      </w:r>
      <w:r>
        <w:rPr>
          <w:rFonts w:ascii="Times New Roman" w:hAnsi="Times New Roman" w:eastAsia="宋体" w:cs="Times New Roman"/>
          <w:b w:val="0"/>
          <w:bCs w:val="0"/>
          <w:color w:val="auto"/>
          <w:kern w:val="0"/>
          <w:sz w:val="24"/>
          <w:szCs w:val="24"/>
        </w:rPr>
        <w:t>cm/s粘土层的防渗性能；重点污染防治区的防渗性能不应低于6.0m 厚渗透系数为1.0×10</w:t>
      </w:r>
      <w:r>
        <w:rPr>
          <w:rFonts w:ascii="Times New Roman" w:hAnsi="Times New Roman" w:eastAsia="宋体" w:cs="Times New Roman"/>
          <w:b w:val="0"/>
          <w:bCs w:val="0"/>
          <w:color w:val="auto"/>
          <w:kern w:val="0"/>
          <w:sz w:val="24"/>
          <w:szCs w:val="24"/>
          <w:vertAlign w:val="superscript"/>
        </w:rPr>
        <w:t>-7</w:t>
      </w:r>
      <w:r>
        <w:rPr>
          <w:rFonts w:ascii="Times New Roman" w:hAnsi="Times New Roman" w:eastAsia="宋体" w:cs="Times New Roman"/>
          <w:b w:val="0"/>
          <w:bCs w:val="0"/>
          <w:color w:val="auto"/>
          <w:kern w:val="0"/>
          <w:sz w:val="24"/>
          <w:szCs w:val="24"/>
        </w:rPr>
        <w:t>cm/s粘土层的防渗性能。</w:t>
      </w:r>
    </w:p>
    <w:p w14:paraId="09242B8E">
      <w:pPr>
        <w:widowControl/>
        <w:spacing w:line="360" w:lineRule="auto"/>
        <w:ind w:firstLine="480" w:firstLineChars="200"/>
        <w:jc w:val="left"/>
        <w:rPr>
          <w:rFonts w:ascii="Times New Roman" w:hAnsi="Times New Roman" w:eastAsia="宋体" w:cs="Times New Roman"/>
          <w:b w:val="0"/>
          <w:bCs w:val="0"/>
          <w:color w:val="auto"/>
          <w:kern w:val="0"/>
          <w:sz w:val="24"/>
          <w:szCs w:val="24"/>
        </w:rPr>
      </w:pPr>
      <w:r>
        <w:rPr>
          <w:rFonts w:ascii="Times New Roman" w:hAnsi="Times New Roman" w:eastAsia="宋体" w:cs="Times New Roman"/>
          <w:b w:val="0"/>
          <w:bCs w:val="0"/>
          <w:color w:val="auto"/>
          <w:kern w:val="0"/>
          <w:sz w:val="24"/>
          <w:szCs w:val="24"/>
        </w:rPr>
        <w:t>（</w:t>
      </w:r>
      <w:r>
        <w:rPr>
          <w:rFonts w:hint="eastAsia" w:ascii="Times New Roman" w:hAnsi="Times New Roman" w:eastAsia="宋体" w:cs="Times New Roman"/>
          <w:b w:val="0"/>
          <w:bCs w:val="0"/>
          <w:color w:val="auto"/>
          <w:kern w:val="0"/>
          <w:sz w:val="24"/>
          <w:szCs w:val="24"/>
          <w:lang w:val="en-US" w:eastAsia="zh-CN"/>
        </w:rPr>
        <w:t>二</w:t>
      </w:r>
      <w:r>
        <w:rPr>
          <w:rFonts w:ascii="Times New Roman" w:hAnsi="Times New Roman" w:eastAsia="宋体" w:cs="Times New Roman"/>
          <w:b w:val="0"/>
          <w:bCs w:val="0"/>
          <w:color w:val="auto"/>
          <w:kern w:val="0"/>
          <w:sz w:val="24"/>
          <w:szCs w:val="24"/>
        </w:rPr>
        <w:t>）地面防渗</w:t>
      </w:r>
    </w:p>
    <w:p w14:paraId="4BA793B1">
      <w:pPr>
        <w:widowControl/>
        <w:spacing w:line="360" w:lineRule="auto"/>
        <w:ind w:firstLine="480" w:firstLineChars="200"/>
        <w:jc w:val="left"/>
        <w:rPr>
          <w:rFonts w:ascii="Times New Roman" w:hAnsi="Times New Roman" w:eastAsia="宋体" w:cs="Times New Roman"/>
          <w:b w:val="0"/>
          <w:bCs w:val="0"/>
          <w:color w:val="auto"/>
          <w:kern w:val="0"/>
          <w:sz w:val="24"/>
          <w:szCs w:val="24"/>
        </w:rPr>
      </w:pPr>
      <w:r>
        <w:rPr>
          <w:rFonts w:ascii="Times New Roman" w:hAnsi="Times New Roman" w:eastAsia="宋体" w:cs="Times New Roman"/>
          <w:b w:val="0"/>
          <w:bCs w:val="0"/>
          <w:color w:val="auto"/>
          <w:kern w:val="0"/>
          <w:sz w:val="24"/>
          <w:szCs w:val="24"/>
        </w:rPr>
        <w:t>①地面防渗层可采用黏土、抗渗混凝土、高密度聚乙烯（HDPE）膜、钠基膨润土防水毯或其他防渗性能等效的材料。</w:t>
      </w:r>
    </w:p>
    <w:p w14:paraId="76D9D479">
      <w:pPr>
        <w:widowControl/>
        <w:spacing w:line="360" w:lineRule="auto"/>
        <w:ind w:firstLine="480" w:firstLineChars="200"/>
        <w:jc w:val="left"/>
        <w:rPr>
          <w:rFonts w:ascii="Times New Roman" w:hAnsi="Times New Roman" w:eastAsia="宋体" w:cs="Times New Roman"/>
          <w:b w:val="0"/>
          <w:bCs w:val="0"/>
          <w:color w:val="auto"/>
          <w:kern w:val="0"/>
          <w:sz w:val="24"/>
          <w:szCs w:val="24"/>
        </w:rPr>
      </w:pPr>
      <w:r>
        <w:rPr>
          <w:rFonts w:ascii="Times New Roman" w:hAnsi="Times New Roman" w:eastAsia="宋体" w:cs="Times New Roman"/>
          <w:b w:val="0"/>
          <w:bCs w:val="0"/>
          <w:color w:val="auto"/>
          <w:kern w:val="0"/>
          <w:sz w:val="24"/>
          <w:szCs w:val="24"/>
        </w:rPr>
        <w:t>②当建设场地具有符合要求的黏土时，地面防渗宜采用黏土防渗层，防渗层顶面宜采用混凝土地面或设置厚度不小于200mm的砂石层。</w:t>
      </w:r>
    </w:p>
    <w:p w14:paraId="1DB92ABB">
      <w:pPr>
        <w:widowControl/>
        <w:spacing w:line="360" w:lineRule="auto"/>
        <w:ind w:firstLine="480" w:firstLineChars="200"/>
        <w:jc w:val="left"/>
        <w:rPr>
          <w:rFonts w:ascii="Times New Roman" w:hAnsi="Times New Roman" w:eastAsia="宋体" w:cs="Times New Roman"/>
          <w:b w:val="0"/>
          <w:bCs w:val="0"/>
          <w:color w:val="auto"/>
          <w:kern w:val="0"/>
          <w:sz w:val="24"/>
          <w:szCs w:val="24"/>
        </w:rPr>
      </w:pPr>
      <w:r>
        <w:rPr>
          <w:rFonts w:ascii="Times New Roman" w:hAnsi="Times New Roman" w:eastAsia="宋体" w:cs="Times New Roman"/>
          <w:b w:val="0"/>
          <w:bCs w:val="0"/>
          <w:color w:val="auto"/>
          <w:kern w:val="0"/>
          <w:sz w:val="24"/>
          <w:szCs w:val="24"/>
        </w:rPr>
        <w:t>③混凝土防渗层可采用抗渗钢纤维混凝土、抗渗合成纤维混凝土、抗渗钢筋混凝土和抗渗素混凝土。</w:t>
      </w:r>
    </w:p>
    <w:p w14:paraId="63A91CAD">
      <w:pPr>
        <w:widowControl/>
        <w:spacing w:line="360" w:lineRule="auto"/>
        <w:ind w:firstLine="480" w:firstLineChars="200"/>
        <w:jc w:val="left"/>
        <w:rPr>
          <w:rFonts w:ascii="Times New Roman" w:hAnsi="Times New Roman" w:eastAsia="宋体" w:cs="Times New Roman"/>
          <w:b w:val="0"/>
          <w:bCs w:val="0"/>
          <w:color w:val="auto"/>
          <w:kern w:val="0"/>
          <w:sz w:val="24"/>
          <w:szCs w:val="24"/>
        </w:rPr>
      </w:pPr>
      <w:r>
        <w:rPr>
          <w:rFonts w:ascii="Times New Roman" w:hAnsi="Times New Roman" w:eastAsia="宋体" w:cs="Times New Roman"/>
          <w:b w:val="0"/>
          <w:bCs w:val="0"/>
          <w:color w:val="auto"/>
          <w:kern w:val="0"/>
          <w:sz w:val="24"/>
          <w:szCs w:val="24"/>
        </w:rPr>
        <w:t>④混凝土防渗层的耐久性应符合现行国家标准《混凝土结构设计规范》</w:t>
      </w:r>
      <w:r>
        <w:rPr>
          <w:rFonts w:hint="eastAsia" w:ascii="Times New Roman" w:hAnsi="Times New Roman" w:eastAsia="宋体" w:cs="Times New Roman"/>
          <w:b w:val="0"/>
          <w:bCs w:val="0"/>
          <w:color w:val="auto"/>
          <w:kern w:val="0"/>
          <w:sz w:val="24"/>
          <w:szCs w:val="24"/>
        </w:rPr>
        <w:t>（</w:t>
      </w:r>
      <w:r>
        <w:rPr>
          <w:rFonts w:ascii="Times New Roman" w:hAnsi="Times New Roman" w:eastAsia="宋体" w:cs="Times New Roman"/>
          <w:b w:val="0"/>
          <w:bCs w:val="0"/>
          <w:color w:val="auto"/>
          <w:kern w:val="0"/>
          <w:sz w:val="24"/>
          <w:szCs w:val="24"/>
        </w:rPr>
        <w:t>GB50010</w:t>
      </w:r>
      <w:r>
        <w:rPr>
          <w:rFonts w:hint="eastAsia" w:ascii="Times New Roman" w:hAnsi="Times New Roman" w:eastAsia="宋体" w:cs="Times New Roman"/>
          <w:b w:val="0"/>
          <w:bCs w:val="0"/>
          <w:color w:val="auto"/>
          <w:kern w:val="0"/>
          <w:sz w:val="24"/>
          <w:szCs w:val="24"/>
        </w:rPr>
        <w:t>）</w:t>
      </w:r>
      <w:r>
        <w:rPr>
          <w:rFonts w:ascii="Times New Roman" w:hAnsi="Times New Roman" w:eastAsia="宋体" w:cs="Times New Roman"/>
          <w:b w:val="0"/>
          <w:bCs w:val="0"/>
          <w:color w:val="auto"/>
          <w:kern w:val="0"/>
          <w:sz w:val="24"/>
          <w:szCs w:val="24"/>
        </w:rPr>
        <w:t>的有关规定，并应符合下列规定：</w:t>
      </w:r>
    </w:p>
    <w:p w14:paraId="69BE0365">
      <w:pPr>
        <w:widowControl/>
        <w:spacing w:line="360" w:lineRule="auto"/>
        <w:ind w:firstLine="480" w:firstLineChars="200"/>
        <w:jc w:val="left"/>
        <w:rPr>
          <w:rFonts w:ascii="Times New Roman" w:hAnsi="Times New Roman" w:eastAsia="宋体" w:cs="Times New Roman"/>
          <w:b w:val="0"/>
          <w:bCs w:val="0"/>
          <w:color w:val="auto"/>
          <w:kern w:val="0"/>
          <w:sz w:val="24"/>
          <w:szCs w:val="24"/>
        </w:rPr>
      </w:pPr>
      <w:r>
        <w:rPr>
          <w:rFonts w:ascii="Times New Roman" w:hAnsi="Times New Roman" w:eastAsia="宋体" w:cs="Times New Roman"/>
          <w:b w:val="0"/>
          <w:bCs w:val="0"/>
          <w:color w:val="auto"/>
          <w:kern w:val="0"/>
          <w:sz w:val="24"/>
          <w:szCs w:val="24"/>
        </w:rPr>
        <w:t>1）混凝土的强度等级不应低于C25，抗渗等级不应低于P6，厚度不应小于100mm；</w:t>
      </w:r>
    </w:p>
    <w:p w14:paraId="39951EC5">
      <w:pPr>
        <w:widowControl/>
        <w:spacing w:line="360" w:lineRule="auto"/>
        <w:ind w:firstLine="480" w:firstLineChars="200"/>
        <w:jc w:val="left"/>
        <w:rPr>
          <w:rFonts w:ascii="Times New Roman" w:hAnsi="Times New Roman" w:eastAsia="宋体" w:cs="Times New Roman"/>
          <w:b w:val="0"/>
          <w:bCs w:val="0"/>
          <w:color w:val="auto"/>
          <w:kern w:val="0"/>
          <w:sz w:val="24"/>
          <w:szCs w:val="24"/>
        </w:rPr>
      </w:pPr>
      <w:r>
        <w:rPr>
          <w:rFonts w:ascii="Times New Roman" w:hAnsi="Times New Roman" w:eastAsia="宋体" w:cs="Times New Roman"/>
          <w:b w:val="0"/>
          <w:bCs w:val="0"/>
          <w:color w:val="auto"/>
          <w:kern w:val="0"/>
          <w:sz w:val="24"/>
          <w:szCs w:val="24"/>
        </w:rPr>
        <w:t>2）钢纤维体积率宜为0.25%~1.00%；</w:t>
      </w:r>
    </w:p>
    <w:p w14:paraId="28CA46AE">
      <w:pPr>
        <w:widowControl/>
        <w:spacing w:line="360" w:lineRule="auto"/>
        <w:ind w:firstLine="480" w:firstLineChars="200"/>
        <w:jc w:val="left"/>
        <w:rPr>
          <w:rFonts w:ascii="Times New Roman" w:hAnsi="Times New Roman" w:eastAsia="宋体" w:cs="Times New Roman"/>
          <w:b w:val="0"/>
          <w:bCs w:val="0"/>
          <w:color w:val="auto"/>
          <w:kern w:val="0"/>
          <w:sz w:val="24"/>
          <w:szCs w:val="24"/>
        </w:rPr>
      </w:pPr>
      <w:r>
        <w:rPr>
          <w:rFonts w:ascii="Times New Roman" w:hAnsi="Times New Roman" w:eastAsia="宋体" w:cs="Times New Roman"/>
          <w:b w:val="0"/>
          <w:bCs w:val="0"/>
          <w:color w:val="auto"/>
          <w:kern w:val="0"/>
          <w:sz w:val="24"/>
          <w:szCs w:val="24"/>
        </w:rPr>
        <w:t>3）合成纤维体积率宜为0.10%~0.20%；</w:t>
      </w:r>
    </w:p>
    <w:p w14:paraId="73065640">
      <w:pPr>
        <w:widowControl/>
        <w:spacing w:line="360" w:lineRule="auto"/>
        <w:ind w:firstLine="480" w:firstLineChars="200"/>
        <w:jc w:val="left"/>
        <w:rPr>
          <w:rFonts w:ascii="Times New Roman" w:hAnsi="Times New Roman" w:eastAsia="宋体" w:cs="Times New Roman"/>
          <w:b w:val="0"/>
          <w:bCs w:val="0"/>
          <w:color w:val="auto"/>
          <w:kern w:val="0"/>
          <w:sz w:val="24"/>
          <w:szCs w:val="24"/>
        </w:rPr>
      </w:pPr>
      <w:r>
        <w:rPr>
          <w:rFonts w:ascii="Times New Roman" w:hAnsi="Times New Roman" w:eastAsia="宋体" w:cs="Times New Roman"/>
          <w:b w:val="0"/>
          <w:bCs w:val="0"/>
          <w:color w:val="auto"/>
          <w:kern w:val="0"/>
          <w:sz w:val="24"/>
          <w:szCs w:val="24"/>
        </w:rPr>
        <w:t>4）混凝土的配合比设计应符合现行行业标准《普通混凝土配合比设计规程》</w:t>
      </w:r>
      <w:r>
        <w:rPr>
          <w:rFonts w:hint="eastAsia" w:ascii="Times New Roman" w:hAnsi="Times New Roman" w:eastAsia="宋体" w:cs="Times New Roman"/>
          <w:b w:val="0"/>
          <w:bCs w:val="0"/>
          <w:color w:val="auto"/>
          <w:kern w:val="0"/>
          <w:sz w:val="24"/>
          <w:szCs w:val="24"/>
        </w:rPr>
        <w:t>（</w:t>
      </w:r>
      <w:r>
        <w:rPr>
          <w:rFonts w:ascii="Times New Roman" w:hAnsi="Times New Roman" w:eastAsia="宋体" w:cs="Times New Roman"/>
          <w:b w:val="0"/>
          <w:bCs w:val="0"/>
          <w:color w:val="auto"/>
          <w:kern w:val="0"/>
          <w:sz w:val="24"/>
          <w:szCs w:val="24"/>
        </w:rPr>
        <w:t>JGJ55</w:t>
      </w:r>
      <w:r>
        <w:rPr>
          <w:rFonts w:hint="eastAsia" w:ascii="Times New Roman" w:hAnsi="Times New Roman" w:eastAsia="宋体" w:cs="Times New Roman"/>
          <w:b w:val="0"/>
          <w:bCs w:val="0"/>
          <w:color w:val="auto"/>
          <w:kern w:val="0"/>
          <w:sz w:val="24"/>
          <w:szCs w:val="24"/>
        </w:rPr>
        <w:t>）</w:t>
      </w:r>
      <w:r>
        <w:rPr>
          <w:rFonts w:ascii="Times New Roman" w:hAnsi="Times New Roman" w:eastAsia="宋体" w:cs="Times New Roman"/>
          <w:b w:val="0"/>
          <w:bCs w:val="0"/>
          <w:color w:val="auto"/>
          <w:kern w:val="0"/>
          <w:sz w:val="24"/>
          <w:szCs w:val="24"/>
        </w:rPr>
        <w:t>和《纤维混凝土应用技术规程》</w:t>
      </w:r>
      <w:r>
        <w:rPr>
          <w:rFonts w:hint="eastAsia" w:ascii="Times New Roman" w:hAnsi="Times New Roman" w:eastAsia="宋体" w:cs="Times New Roman"/>
          <w:b w:val="0"/>
          <w:bCs w:val="0"/>
          <w:color w:val="auto"/>
          <w:kern w:val="0"/>
          <w:sz w:val="24"/>
          <w:szCs w:val="24"/>
        </w:rPr>
        <w:t>（</w:t>
      </w:r>
      <w:r>
        <w:rPr>
          <w:rFonts w:ascii="Times New Roman" w:hAnsi="Times New Roman" w:eastAsia="宋体" w:cs="Times New Roman"/>
          <w:b w:val="0"/>
          <w:bCs w:val="0"/>
          <w:color w:val="auto"/>
          <w:kern w:val="0"/>
          <w:sz w:val="24"/>
          <w:szCs w:val="24"/>
        </w:rPr>
        <w:t>JGJ/T221</w:t>
      </w:r>
      <w:r>
        <w:rPr>
          <w:rFonts w:hint="eastAsia" w:ascii="Times New Roman" w:hAnsi="Times New Roman" w:eastAsia="宋体" w:cs="Times New Roman"/>
          <w:b w:val="0"/>
          <w:bCs w:val="0"/>
          <w:color w:val="auto"/>
          <w:kern w:val="0"/>
          <w:sz w:val="24"/>
          <w:szCs w:val="24"/>
        </w:rPr>
        <w:t>）</w:t>
      </w:r>
      <w:r>
        <w:rPr>
          <w:rFonts w:ascii="Times New Roman" w:hAnsi="Times New Roman" w:eastAsia="宋体" w:cs="Times New Roman"/>
          <w:b w:val="0"/>
          <w:bCs w:val="0"/>
          <w:color w:val="auto"/>
          <w:kern w:val="0"/>
          <w:sz w:val="24"/>
          <w:szCs w:val="24"/>
        </w:rPr>
        <w:t>的有关规定。</w:t>
      </w:r>
    </w:p>
    <w:p w14:paraId="5527DBAC">
      <w:pPr>
        <w:widowControl/>
        <w:spacing w:line="360" w:lineRule="auto"/>
        <w:ind w:firstLine="480" w:firstLineChars="200"/>
        <w:jc w:val="left"/>
        <w:rPr>
          <w:rFonts w:ascii="Times New Roman" w:hAnsi="Times New Roman" w:eastAsia="宋体" w:cs="Times New Roman"/>
          <w:b w:val="0"/>
          <w:bCs w:val="0"/>
          <w:color w:val="auto"/>
          <w:kern w:val="0"/>
          <w:sz w:val="24"/>
          <w:szCs w:val="24"/>
        </w:rPr>
      </w:pPr>
      <w:r>
        <w:rPr>
          <w:rFonts w:ascii="Times New Roman" w:hAnsi="Times New Roman" w:eastAsia="宋体" w:cs="Times New Roman"/>
          <w:b w:val="0"/>
          <w:bCs w:val="0"/>
          <w:color w:val="auto"/>
          <w:kern w:val="0"/>
          <w:sz w:val="24"/>
          <w:szCs w:val="24"/>
        </w:rPr>
        <w:t>⑤混凝土防渗层应设置缩缝和胀缝，并应符合相应规定：</w:t>
      </w:r>
    </w:p>
    <w:p w14:paraId="75232A3A">
      <w:pPr>
        <w:widowControl/>
        <w:spacing w:line="360" w:lineRule="auto"/>
        <w:ind w:firstLine="480" w:firstLineChars="200"/>
        <w:jc w:val="left"/>
        <w:rPr>
          <w:rFonts w:ascii="Times New Roman" w:hAnsi="Times New Roman" w:eastAsia="宋体" w:cs="Times New Roman"/>
          <w:b w:val="0"/>
          <w:bCs w:val="0"/>
          <w:color w:val="auto"/>
          <w:kern w:val="0"/>
          <w:sz w:val="24"/>
          <w:szCs w:val="24"/>
        </w:rPr>
      </w:pPr>
      <w:r>
        <w:rPr>
          <w:rFonts w:ascii="Times New Roman" w:hAnsi="Times New Roman" w:eastAsia="宋体" w:cs="Times New Roman"/>
          <w:b w:val="0"/>
          <w:bCs w:val="0"/>
          <w:color w:val="auto"/>
          <w:kern w:val="0"/>
          <w:sz w:val="24"/>
          <w:szCs w:val="24"/>
        </w:rPr>
        <w:t>1）纵向和横向缩缝、胀缝宜垂直相交；</w:t>
      </w:r>
    </w:p>
    <w:p w14:paraId="6117DD9E">
      <w:pPr>
        <w:widowControl/>
        <w:spacing w:line="360" w:lineRule="auto"/>
        <w:ind w:firstLine="480" w:firstLineChars="200"/>
        <w:jc w:val="left"/>
        <w:rPr>
          <w:rFonts w:ascii="Times New Roman" w:hAnsi="Times New Roman" w:eastAsia="宋体" w:cs="Times New Roman"/>
          <w:b w:val="0"/>
          <w:bCs w:val="0"/>
          <w:color w:val="auto"/>
          <w:kern w:val="0"/>
          <w:sz w:val="24"/>
          <w:szCs w:val="24"/>
        </w:rPr>
      </w:pPr>
      <w:r>
        <w:rPr>
          <w:rFonts w:ascii="Times New Roman" w:hAnsi="Times New Roman" w:eastAsia="宋体" w:cs="Times New Roman"/>
          <w:b w:val="0"/>
          <w:bCs w:val="0"/>
          <w:color w:val="auto"/>
          <w:kern w:val="0"/>
          <w:sz w:val="24"/>
          <w:szCs w:val="24"/>
        </w:rPr>
        <w:t>2）缩缝和胀缝的间距应符合规范要求。</w:t>
      </w:r>
    </w:p>
    <w:p w14:paraId="6B9DDBA0">
      <w:pPr>
        <w:widowControl/>
        <w:spacing w:line="360" w:lineRule="auto"/>
        <w:ind w:firstLine="480" w:firstLineChars="200"/>
        <w:jc w:val="left"/>
        <w:rPr>
          <w:rFonts w:ascii="Times New Roman" w:hAnsi="Times New Roman" w:eastAsia="宋体" w:cs="Times New Roman"/>
          <w:b w:val="0"/>
          <w:bCs w:val="0"/>
          <w:color w:val="auto"/>
          <w:kern w:val="0"/>
          <w:sz w:val="24"/>
          <w:szCs w:val="24"/>
        </w:rPr>
      </w:pPr>
      <w:r>
        <w:rPr>
          <w:rFonts w:ascii="Times New Roman" w:hAnsi="Times New Roman" w:eastAsia="宋体" w:cs="Times New Roman"/>
          <w:b w:val="0"/>
          <w:bCs w:val="0"/>
          <w:color w:val="auto"/>
          <w:kern w:val="0"/>
          <w:sz w:val="24"/>
          <w:szCs w:val="24"/>
        </w:rPr>
        <w:t>（</w:t>
      </w:r>
      <w:r>
        <w:rPr>
          <w:rFonts w:hint="eastAsia" w:ascii="Times New Roman" w:hAnsi="Times New Roman" w:eastAsia="宋体" w:cs="Times New Roman"/>
          <w:b w:val="0"/>
          <w:bCs w:val="0"/>
          <w:color w:val="auto"/>
          <w:kern w:val="0"/>
          <w:sz w:val="24"/>
          <w:szCs w:val="24"/>
          <w:lang w:val="en-US" w:eastAsia="zh-CN"/>
        </w:rPr>
        <w:t>三</w:t>
      </w:r>
      <w:r>
        <w:rPr>
          <w:rFonts w:ascii="Times New Roman" w:hAnsi="Times New Roman" w:eastAsia="宋体" w:cs="Times New Roman"/>
          <w:b w:val="0"/>
          <w:bCs w:val="0"/>
          <w:color w:val="auto"/>
          <w:kern w:val="0"/>
          <w:sz w:val="24"/>
          <w:szCs w:val="24"/>
        </w:rPr>
        <w:t>）罐区防渗</w:t>
      </w:r>
    </w:p>
    <w:p w14:paraId="57CA8533">
      <w:pPr>
        <w:widowControl/>
        <w:spacing w:line="360" w:lineRule="auto"/>
        <w:ind w:firstLine="480" w:firstLineChars="200"/>
        <w:jc w:val="left"/>
        <w:rPr>
          <w:rFonts w:hint="eastAsia" w:ascii="Times New Roman" w:hAnsi="Times New Roman" w:eastAsia="宋体" w:cs="Times New Roman"/>
          <w:b w:val="0"/>
          <w:bCs w:val="0"/>
          <w:color w:val="auto"/>
          <w:kern w:val="0"/>
          <w:sz w:val="24"/>
          <w:szCs w:val="24"/>
        </w:rPr>
      </w:pPr>
      <w:r>
        <w:rPr>
          <w:rFonts w:hint="eastAsia" w:ascii="Times New Roman" w:hAnsi="Times New Roman" w:eastAsia="宋体" w:cs="Times New Roman"/>
          <w:b w:val="0"/>
          <w:bCs w:val="0"/>
          <w:color w:val="auto"/>
          <w:kern w:val="0"/>
          <w:sz w:val="24"/>
          <w:szCs w:val="24"/>
        </w:rPr>
        <w:t>本次不新建储罐，厂区设置一座液碱储罐及盐酸储罐，厂区罐区防渗满足下列标准</w:t>
      </w:r>
    </w:p>
    <w:p w14:paraId="239E8D4F">
      <w:pPr>
        <w:widowControl/>
        <w:spacing w:line="360" w:lineRule="auto"/>
        <w:ind w:firstLine="480" w:firstLineChars="200"/>
        <w:jc w:val="left"/>
        <w:rPr>
          <w:rFonts w:hint="eastAsia" w:ascii="Times New Roman" w:hAnsi="Times New Roman" w:eastAsia="宋体" w:cs="Times New Roman"/>
          <w:b w:val="0"/>
          <w:bCs w:val="0"/>
          <w:color w:val="auto"/>
          <w:kern w:val="0"/>
          <w:sz w:val="24"/>
          <w:szCs w:val="24"/>
        </w:rPr>
      </w:pPr>
      <w:r>
        <w:rPr>
          <w:rFonts w:hint="eastAsia" w:ascii="Times New Roman" w:hAnsi="Times New Roman" w:eastAsia="宋体" w:cs="Times New Roman"/>
          <w:b w:val="0"/>
          <w:bCs w:val="0"/>
          <w:color w:val="auto"/>
          <w:kern w:val="0"/>
          <w:sz w:val="24"/>
          <w:szCs w:val="24"/>
        </w:rPr>
        <w:t>1）环墙应采用抗渗混凝土，抗渗等级不低于P6；</w:t>
      </w:r>
    </w:p>
    <w:p w14:paraId="46C332BE">
      <w:pPr>
        <w:widowControl/>
        <w:spacing w:line="360" w:lineRule="auto"/>
        <w:ind w:firstLine="480" w:firstLineChars="200"/>
        <w:jc w:val="left"/>
        <w:rPr>
          <w:rFonts w:hint="eastAsia" w:ascii="Times New Roman" w:hAnsi="Times New Roman" w:eastAsia="宋体" w:cs="Times New Roman"/>
          <w:b w:val="0"/>
          <w:bCs w:val="0"/>
          <w:color w:val="auto"/>
          <w:kern w:val="0"/>
          <w:sz w:val="24"/>
          <w:szCs w:val="24"/>
        </w:rPr>
      </w:pPr>
      <w:r>
        <w:rPr>
          <w:rFonts w:hint="eastAsia" w:ascii="Times New Roman" w:hAnsi="Times New Roman" w:eastAsia="宋体" w:cs="Times New Roman"/>
          <w:b w:val="0"/>
          <w:bCs w:val="0"/>
          <w:color w:val="auto"/>
          <w:kern w:val="0"/>
          <w:sz w:val="24"/>
          <w:szCs w:val="24"/>
        </w:rPr>
        <w:t>2）承台及承台以上环墙内表面宜涂刷聚合物水泥等柔性防水涂料，厚度不小于1.0mm；</w:t>
      </w:r>
    </w:p>
    <w:p w14:paraId="46E092FE">
      <w:pPr>
        <w:widowControl/>
        <w:spacing w:line="360" w:lineRule="auto"/>
        <w:ind w:firstLine="480" w:firstLineChars="200"/>
        <w:jc w:val="left"/>
        <w:rPr>
          <w:rFonts w:hint="eastAsia" w:ascii="Times New Roman" w:hAnsi="Times New Roman" w:eastAsia="宋体" w:cs="Times New Roman"/>
          <w:b w:val="0"/>
          <w:bCs w:val="0"/>
          <w:color w:val="auto"/>
          <w:kern w:val="0"/>
          <w:sz w:val="24"/>
          <w:szCs w:val="24"/>
        </w:rPr>
      </w:pPr>
      <w:r>
        <w:rPr>
          <w:rFonts w:hint="eastAsia" w:ascii="Times New Roman" w:hAnsi="Times New Roman" w:eastAsia="宋体" w:cs="Times New Roman"/>
          <w:b w:val="0"/>
          <w:bCs w:val="0"/>
          <w:color w:val="auto"/>
          <w:kern w:val="0"/>
          <w:sz w:val="24"/>
          <w:szCs w:val="24"/>
        </w:rPr>
        <w:t>3）承台顶面找坡，由中心坡向四周，坡度不宜小于0.3%。</w:t>
      </w:r>
    </w:p>
    <w:p w14:paraId="06749030">
      <w:pPr>
        <w:widowControl/>
        <w:spacing w:line="360" w:lineRule="auto"/>
        <w:ind w:firstLine="480" w:firstLineChars="200"/>
        <w:jc w:val="left"/>
        <w:rPr>
          <w:rFonts w:ascii="Times New Roman" w:hAnsi="Times New Roman" w:eastAsia="宋体" w:cs="Times New Roman"/>
          <w:b w:val="0"/>
          <w:bCs w:val="0"/>
          <w:color w:val="auto"/>
          <w:kern w:val="0"/>
          <w:sz w:val="24"/>
          <w:szCs w:val="24"/>
        </w:rPr>
      </w:pPr>
      <w:r>
        <w:rPr>
          <w:rFonts w:hint="eastAsia" w:ascii="Times New Roman" w:hAnsi="Times New Roman" w:eastAsia="宋体" w:cs="Times New Roman"/>
          <w:b w:val="0"/>
          <w:bCs w:val="0"/>
          <w:color w:val="auto"/>
          <w:kern w:val="0"/>
          <w:sz w:val="24"/>
          <w:szCs w:val="24"/>
        </w:rPr>
        <w:t>4）罐基础环墙周边泄漏管采用高密度聚乙烯（HDPE）管，泄漏管的设置符合现行国家标准《钢制储罐地基基础设计规范》GB50473 的有关规定。</w:t>
      </w:r>
    </w:p>
    <w:p w14:paraId="40CC342A">
      <w:pPr>
        <w:widowControl/>
        <w:spacing w:line="360" w:lineRule="auto"/>
        <w:ind w:firstLine="480" w:firstLineChars="200"/>
        <w:jc w:val="left"/>
        <w:rPr>
          <w:rFonts w:ascii="Times New Roman" w:hAnsi="Times New Roman" w:eastAsia="宋体" w:cs="Times New Roman"/>
          <w:b w:val="0"/>
          <w:bCs w:val="0"/>
          <w:color w:val="auto"/>
          <w:kern w:val="0"/>
          <w:sz w:val="24"/>
          <w:szCs w:val="24"/>
        </w:rPr>
      </w:pPr>
      <w:r>
        <w:rPr>
          <w:rFonts w:ascii="Times New Roman" w:hAnsi="Times New Roman" w:eastAsia="宋体" w:cs="Times New Roman"/>
          <w:b w:val="0"/>
          <w:bCs w:val="0"/>
          <w:color w:val="auto"/>
          <w:kern w:val="0"/>
          <w:sz w:val="24"/>
          <w:szCs w:val="24"/>
        </w:rPr>
        <w:t>（</w:t>
      </w:r>
      <w:r>
        <w:rPr>
          <w:rFonts w:hint="eastAsia" w:ascii="Times New Roman" w:hAnsi="Times New Roman" w:eastAsia="宋体" w:cs="Times New Roman"/>
          <w:b w:val="0"/>
          <w:bCs w:val="0"/>
          <w:color w:val="auto"/>
          <w:kern w:val="0"/>
          <w:sz w:val="24"/>
          <w:szCs w:val="24"/>
          <w:lang w:val="en-US" w:eastAsia="zh-CN"/>
        </w:rPr>
        <w:t>四</w:t>
      </w:r>
      <w:r>
        <w:rPr>
          <w:rFonts w:ascii="Times New Roman" w:hAnsi="Times New Roman" w:eastAsia="宋体" w:cs="Times New Roman"/>
          <w:b w:val="0"/>
          <w:bCs w:val="0"/>
          <w:color w:val="auto"/>
          <w:kern w:val="0"/>
          <w:sz w:val="24"/>
          <w:szCs w:val="24"/>
        </w:rPr>
        <w:t>）</w:t>
      </w:r>
      <w:r>
        <w:rPr>
          <w:rFonts w:hint="eastAsia" w:ascii="Times New Roman" w:hAnsi="Times New Roman" w:eastAsia="宋体" w:cs="Times New Roman"/>
          <w:b w:val="0"/>
          <w:bCs w:val="0"/>
          <w:color w:val="auto"/>
          <w:kern w:val="0"/>
          <w:sz w:val="24"/>
          <w:szCs w:val="24"/>
        </w:rPr>
        <w:t>地面、水池、污水沟和井防渗</w:t>
      </w:r>
    </w:p>
    <w:p w14:paraId="6B6C8E00">
      <w:pPr>
        <w:widowControl/>
        <w:spacing w:line="360" w:lineRule="auto"/>
        <w:ind w:firstLine="480" w:firstLineChars="200"/>
        <w:jc w:val="left"/>
        <w:rPr>
          <w:rFonts w:hint="eastAsia" w:ascii="Times New Roman" w:hAnsi="Times New Roman" w:eastAsia="宋体" w:cs="Times New Roman"/>
          <w:b w:val="0"/>
          <w:bCs w:val="0"/>
          <w:color w:val="auto"/>
          <w:kern w:val="0"/>
          <w:sz w:val="24"/>
          <w:szCs w:val="24"/>
        </w:rPr>
      </w:pPr>
      <w:r>
        <w:rPr>
          <w:rFonts w:hint="eastAsia" w:ascii="Times New Roman" w:hAnsi="Times New Roman" w:eastAsia="宋体" w:cs="Times New Roman"/>
          <w:b w:val="0"/>
          <w:bCs w:val="0"/>
          <w:color w:val="auto"/>
          <w:kern w:val="0"/>
          <w:sz w:val="24"/>
          <w:szCs w:val="24"/>
        </w:rPr>
        <w:t>① 混凝土防渗层采用抗渗钢纤维混凝土、抗渗合成纤维混凝土、抗渗钢筋混凝土和抗渗素混凝土。</w:t>
      </w:r>
    </w:p>
    <w:p w14:paraId="3CFDCC19">
      <w:pPr>
        <w:widowControl/>
        <w:spacing w:line="360" w:lineRule="auto"/>
        <w:ind w:firstLine="480" w:firstLineChars="200"/>
        <w:jc w:val="left"/>
        <w:rPr>
          <w:rFonts w:hint="eastAsia" w:ascii="Times New Roman" w:hAnsi="Times New Roman" w:eastAsia="宋体" w:cs="Times New Roman"/>
          <w:b w:val="0"/>
          <w:bCs w:val="0"/>
          <w:color w:val="auto"/>
          <w:kern w:val="0"/>
          <w:sz w:val="24"/>
          <w:szCs w:val="24"/>
        </w:rPr>
      </w:pPr>
      <w:r>
        <w:rPr>
          <w:rFonts w:hint="eastAsia" w:ascii="Times New Roman" w:hAnsi="Times New Roman" w:eastAsia="宋体" w:cs="Times New Roman"/>
          <w:b w:val="0"/>
          <w:bCs w:val="0"/>
          <w:color w:val="auto"/>
          <w:kern w:val="0"/>
          <w:sz w:val="24"/>
          <w:szCs w:val="24"/>
        </w:rPr>
        <w:t>②混凝土防渗层的耐久性符合现行国家标准《混凝土结构设计规范》GB50010 的有关规定，并应符合下列规定：</w:t>
      </w:r>
    </w:p>
    <w:p w14:paraId="71221C5C">
      <w:pPr>
        <w:widowControl/>
        <w:spacing w:line="360" w:lineRule="auto"/>
        <w:ind w:firstLine="480" w:firstLineChars="200"/>
        <w:jc w:val="left"/>
        <w:rPr>
          <w:rFonts w:hint="eastAsia" w:ascii="Times New Roman" w:hAnsi="Times New Roman" w:eastAsia="宋体" w:cs="Times New Roman"/>
          <w:b w:val="0"/>
          <w:bCs w:val="0"/>
          <w:color w:val="auto"/>
          <w:kern w:val="0"/>
          <w:sz w:val="24"/>
          <w:szCs w:val="24"/>
        </w:rPr>
      </w:pPr>
      <w:r>
        <w:rPr>
          <w:rFonts w:hint="eastAsia" w:ascii="Times New Roman" w:hAnsi="Times New Roman" w:eastAsia="宋体" w:cs="Times New Roman"/>
          <w:b w:val="0"/>
          <w:bCs w:val="0"/>
          <w:color w:val="auto"/>
          <w:kern w:val="0"/>
          <w:sz w:val="24"/>
          <w:szCs w:val="24"/>
        </w:rPr>
        <w:t>1）混凝土的强度等级不应低于C25，抗渗等级不应低于P6，厚度不应小于100mm；</w:t>
      </w:r>
    </w:p>
    <w:p w14:paraId="13CAC65B">
      <w:pPr>
        <w:widowControl/>
        <w:spacing w:line="360" w:lineRule="auto"/>
        <w:ind w:firstLine="480" w:firstLineChars="200"/>
        <w:jc w:val="left"/>
        <w:rPr>
          <w:rFonts w:hint="eastAsia" w:ascii="Times New Roman" w:hAnsi="Times New Roman" w:eastAsia="宋体" w:cs="Times New Roman"/>
          <w:color w:val="auto"/>
          <w:kern w:val="0"/>
          <w:sz w:val="24"/>
          <w:szCs w:val="24"/>
        </w:rPr>
      </w:pPr>
      <w:r>
        <w:rPr>
          <w:rFonts w:hint="eastAsia" w:ascii="Times New Roman" w:hAnsi="Times New Roman" w:eastAsia="宋体" w:cs="Times New Roman"/>
          <w:color w:val="auto"/>
          <w:kern w:val="0"/>
          <w:sz w:val="24"/>
          <w:szCs w:val="24"/>
        </w:rPr>
        <w:t>2）钢纤维体积率宜为0.25%~1.00%；</w:t>
      </w:r>
    </w:p>
    <w:p w14:paraId="75CB3D63">
      <w:pPr>
        <w:widowControl/>
        <w:spacing w:line="360" w:lineRule="auto"/>
        <w:ind w:firstLine="480" w:firstLineChars="200"/>
        <w:jc w:val="left"/>
        <w:rPr>
          <w:rFonts w:hint="eastAsia" w:ascii="Times New Roman" w:hAnsi="Times New Roman" w:eastAsia="宋体" w:cs="Times New Roman"/>
          <w:color w:val="auto"/>
          <w:kern w:val="0"/>
          <w:sz w:val="24"/>
          <w:szCs w:val="24"/>
        </w:rPr>
      </w:pPr>
      <w:r>
        <w:rPr>
          <w:rFonts w:hint="eastAsia" w:ascii="Times New Roman" w:hAnsi="Times New Roman" w:eastAsia="宋体" w:cs="Times New Roman"/>
          <w:color w:val="auto"/>
          <w:kern w:val="0"/>
          <w:sz w:val="24"/>
          <w:szCs w:val="24"/>
        </w:rPr>
        <w:t>3）合成纤维体积率宜为0.10%~0.20%；</w:t>
      </w:r>
    </w:p>
    <w:p w14:paraId="0BA62507">
      <w:pPr>
        <w:widowControl/>
        <w:spacing w:line="360" w:lineRule="auto"/>
        <w:ind w:firstLine="480" w:firstLineChars="200"/>
        <w:jc w:val="left"/>
        <w:rPr>
          <w:rFonts w:hint="eastAsia" w:ascii="Times New Roman" w:hAnsi="Times New Roman" w:eastAsia="宋体" w:cs="Times New Roman"/>
          <w:color w:val="auto"/>
          <w:kern w:val="0"/>
          <w:sz w:val="24"/>
          <w:szCs w:val="24"/>
        </w:rPr>
      </w:pPr>
      <w:r>
        <w:rPr>
          <w:rFonts w:hint="eastAsia" w:ascii="Times New Roman" w:hAnsi="Times New Roman" w:eastAsia="宋体" w:cs="Times New Roman"/>
          <w:color w:val="auto"/>
          <w:kern w:val="0"/>
          <w:sz w:val="24"/>
          <w:szCs w:val="24"/>
        </w:rPr>
        <w:t>4）混凝土的配合比设计应符合现行行业标准《普通混凝土配合比设计规程》JGJ 55 和《纤维混凝土应用技术规程》JGJ/T221 的有关规定。</w:t>
      </w:r>
    </w:p>
    <w:p w14:paraId="766DA56B">
      <w:pPr>
        <w:widowControl/>
        <w:spacing w:line="360" w:lineRule="auto"/>
        <w:ind w:firstLine="480" w:firstLineChars="200"/>
        <w:jc w:val="left"/>
        <w:rPr>
          <w:rFonts w:hint="eastAsia" w:ascii="Times New Roman" w:hAnsi="Times New Roman" w:eastAsia="宋体" w:cs="Times New Roman"/>
          <w:color w:val="auto"/>
          <w:kern w:val="0"/>
          <w:sz w:val="24"/>
          <w:szCs w:val="24"/>
        </w:rPr>
      </w:pPr>
      <w:r>
        <w:rPr>
          <w:rFonts w:hint="eastAsia" w:ascii="Times New Roman" w:hAnsi="Times New Roman" w:eastAsia="宋体" w:cs="Times New Roman"/>
          <w:color w:val="auto"/>
          <w:kern w:val="0"/>
          <w:sz w:val="24"/>
          <w:szCs w:val="24"/>
        </w:rPr>
        <w:t>③混凝土防渗层应设置缩缝和胀缝，并应符合相应规定：</w:t>
      </w:r>
    </w:p>
    <w:p w14:paraId="0BDE88B5">
      <w:pPr>
        <w:widowControl/>
        <w:spacing w:line="360" w:lineRule="auto"/>
        <w:ind w:firstLine="480" w:firstLineChars="200"/>
        <w:jc w:val="left"/>
        <w:rPr>
          <w:rFonts w:hint="eastAsia" w:ascii="Times New Roman" w:hAnsi="Times New Roman" w:eastAsia="宋体" w:cs="Times New Roman"/>
          <w:color w:val="auto"/>
          <w:kern w:val="0"/>
          <w:sz w:val="24"/>
          <w:szCs w:val="24"/>
        </w:rPr>
      </w:pPr>
      <w:r>
        <w:rPr>
          <w:rFonts w:hint="eastAsia" w:ascii="Times New Roman" w:hAnsi="Times New Roman" w:eastAsia="宋体" w:cs="Times New Roman"/>
          <w:color w:val="auto"/>
          <w:kern w:val="0"/>
          <w:sz w:val="24"/>
          <w:szCs w:val="24"/>
        </w:rPr>
        <w:t>1）纵向和横向缩缝、胀缝宜垂直相交；</w:t>
      </w:r>
    </w:p>
    <w:p w14:paraId="0D5434FA">
      <w:pPr>
        <w:widowControl/>
        <w:spacing w:line="360" w:lineRule="auto"/>
        <w:ind w:firstLine="480" w:firstLineChars="200"/>
        <w:jc w:val="left"/>
        <w:rPr>
          <w:rFonts w:hint="eastAsia" w:ascii="Times New Roman" w:hAnsi="Times New Roman" w:eastAsia="宋体" w:cs="Times New Roman"/>
          <w:color w:val="auto"/>
          <w:kern w:val="0"/>
          <w:sz w:val="24"/>
          <w:szCs w:val="24"/>
        </w:rPr>
      </w:pPr>
      <w:r>
        <w:rPr>
          <w:rFonts w:hint="eastAsia" w:ascii="Times New Roman" w:hAnsi="Times New Roman" w:eastAsia="宋体" w:cs="Times New Roman"/>
          <w:color w:val="auto"/>
          <w:kern w:val="0"/>
          <w:sz w:val="24"/>
          <w:szCs w:val="24"/>
        </w:rPr>
        <w:t>2）缩缝和胀缝的间距应符合规范要求。</w:t>
      </w:r>
    </w:p>
    <w:p w14:paraId="723AF3E4">
      <w:pPr>
        <w:widowControl/>
        <w:spacing w:line="360" w:lineRule="auto"/>
        <w:ind w:firstLine="480" w:firstLineChars="200"/>
        <w:jc w:val="left"/>
        <w:rPr>
          <w:rFonts w:hint="eastAsia" w:ascii="Times New Roman" w:hAnsi="Times New Roman" w:eastAsia="宋体" w:cs="Times New Roman"/>
          <w:color w:val="auto"/>
          <w:kern w:val="0"/>
          <w:sz w:val="24"/>
          <w:szCs w:val="24"/>
        </w:rPr>
      </w:pPr>
      <w:r>
        <w:rPr>
          <w:rFonts w:hint="eastAsia" w:ascii="Times New Roman" w:hAnsi="Times New Roman" w:eastAsia="宋体" w:cs="Times New Roman"/>
          <w:color w:val="auto"/>
          <w:kern w:val="0"/>
          <w:sz w:val="24"/>
          <w:szCs w:val="24"/>
        </w:rPr>
        <w:t>④混凝土水池、污水沟和井的耐久性符合现行国家标准《混凝土结构设计规范》GB 50010的有关规定，混凝土强度等级不宜低于C30。</w:t>
      </w:r>
    </w:p>
    <w:p w14:paraId="19A6F0D6">
      <w:pPr>
        <w:widowControl/>
        <w:spacing w:line="360" w:lineRule="auto"/>
        <w:ind w:firstLine="480" w:firstLineChars="200"/>
        <w:jc w:val="left"/>
        <w:rPr>
          <w:rFonts w:hint="eastAsia" w:ascii="Times New Roman" w:hAnsi="Times New Roman" w:eastAsia="宋体" w:cs="Times New Roman"/>
          <w:color w:val="auto"/>
          <w:kern w:val="0"/>
          <w:sz w:val="24"/>
          <w:szCs w:val="24"/>
        </w:rPr>
      </w:pPr>
      <w:r>
        <w:rPr>
          <w:rFonts w:hint="eastAsia" w:ascii="Times New Roman" w:hAnsi="Times New Roman" w:eastAsia="宋体" w:cs="Times New Roman"/>
          <w:color w:val="auto"/>
          <w:kern w:val="0"/>
          <w:sz w:val="24"/>
          <w:szCs w:val="24"/>
        </w:rPr>
        <w:t>⑤一般污染防治区水池符合下列规定：</w:t>
      </w:r>
    </w:p>
    <w:p w14:paraId="65543096">
      <w:pPr>
        <w:widowControl/>
        <w:spacing w:line="360" w:lineRule="auto"/>
        <w:ind w:firstLine="480" w:firstLineChars="200"/>
        <w:jc w:val="left"/>
        <w:rPr>
          <w:rFonts w:hint="eastAsia" w:ascii="Times New Roman" w:hAnsi="Times New Roman" w:eastAsia="宋体" w:cs="Times New Roman"/>
          <w:color w:val="auto"/>
          <w:kern w:val="0"/>
          <w:sz w:val="24"/>
          <w:szCs w:val="24"/>
        </w:rPr>
      </w:pPr>
      <w:r>
        <w:rPr>
          <w:rFonts w:hint="eastAsia" w:ascii="Times New Roman" w:hAnsi="Times New Roman" w:eastAsia="宋体" w:cs="Times New Roman"/>
          <w:color w:val="auto"/>
          <w:kern w:val="0"/>
          <w:sz w:val="24"/>
          <w:szCs w:val="24"/>
        </w:rPr>
        <w:t>1）结构厚度不小于250mm；</w:t>
      </w:r>
    </w:p>
    <w:p w14:paraId="4B8AAF82">
      <w:pPr>
        <w:widowControl/>
        <w:spacing w:line="360" w:lineRule="auto"/>
        <w:ind w:firstLine="480" w:firstLineChars="200"/>
        <w:jc w:val="left"/>
        <w:rPr>
          <w:rFonts w:hint="eastAsia" w:ascii="Times New Roman" w:hAnsi="Times New Roman" w:eastAsia="宋体" w:cs="Times New Roman"/>
          <w:color w:val="auto"/>
          <w:kern w:val="0"/>
          <w:sz w:val="24"/>
          <w:szCs w:val="24"/>
        </w:rPr>
      </w:pPr>
      <w:r>
        <w:rPr>
          <w:rFonts w:hint="eastAsia" w:ascii="Times New Roman" w:hAnsi="Times New Roman" w:eastAsia="宋体" w:cs="Times New Roman"/>
          <w:color w:val="auto"/>
          <w:kern w:val="0"/>
          <w:sz w:val="24"/>
          <w:szCs w:val="24"/>
        </w:rPr>
        <w:t>2）混凝土的抗渗等级不低于P8。</w:t>
      </w:r>
    </w:p>
    <w:p w14:paraId="1D40D947">
      <w:pPr>
        <w:widowControl/>
        <w:spacing w:line="360" w:lineRule="auto"/>
        <w:ind w:firstLine="480" w:firstLineChars="200"/>
        <w:jc w:val="left"/>
        <w:rPr>
          <w:rFonts w:hint="eastAsia" w:ascii="Times New Roman" w:hAnsi="Times New Roman" w:eastAsia="宋体" w:cs="Times New Roman"/>
          <w:color w:val="auto"/>
          <w:kern w:val="0"/>
          <w:sz w:val="24"/>
          <w:szCs w:val="24"/>
        </w:rPr>
      </w:pPr>
      <w:r>
        <w:rPr>
          <w:rFonts w:hint="eastAsia" w:ascii="Times New Roman" w:hAnsi="Times New Roman" w:eastAsia="宋体" w:cs="Times New Roman"/>
          <w:color w:val="auto"/>
          <w:kern w:val="0"/>
          <w:sz w:val="24"/>
          <w:szCs w:val="24"/>
        </w:rPr>
        <w:t>⑥重点污染防治区水池应符合下列规定：</w:t>
      </w:r>
    </w:p>
    <w:p w14:paraId="7C3E6186">
      <w:pPr>
        <w:widowControl/>
        <w:spacing w:line="360" w:lineRule="auto"/>
        <w:ind w:firstLine="480" w:firstLineChars="200"/>
        <w:jc w:val="left"/>
        <w:rPr>
          <w:rFonts w:hint="eastAsia" w:ascii="Times New Roman" w:hAnsi="Times New Roman" w:eastAsia="宋体" w:cs="Times New Roman"/>
          <w:color w:val="auto"/>
          <w:kern w:val="0"/>
          <w:sz w:val="24"/>
          <w:szCs w:val="24"/>
        </w:rPr>
      </w:pPr>
      <w:r>
        <w:rPr>
          <w:rFonts w:hint="eastAsia" w:ascii="Times New Roman" w:hAnsi="Times New Roman" w:eastAsia="宋体" w:cs="Times New Roman"/>
          <w:color w:val="auto"/>
          <w:kern w:val="0"/>
          <w:sz w:val="24"/>
          <w:szCs w:val="24"/>
        </w:rPr>
        <w:t>1）结构厚度不小于250mm；</w:t>
      </w:r>
    </w:p>
    <w:p w14:paraId="39C7C93D">
      <w:pPr>
        <w:widowControl/>
        <w:spacing w:line="360" w:lineRule="auto"/>
        <w:ind w:firstLine="480" w:firstLineChars="200"/>
        <w:jc w:val="left"/>
        <w:rPr>
          <w:rFonts w:hint="eastAsia" w:ascii="Times New Roman" w:hAnsi="Times New Roman" w:eastAsia="宋体" w:cs="Times New Roman"/>
          <w:color w:val="auto"/>
          <w:kern w:val="0"/>
          <w:sz w:val="24"/>
          <w:szCs w:val="24"/>
        </w:rPr>
      </w:pPr>
      <w:r>
        <w:rPr>
          <w:rFonts w:hint="eastAsia" w:ascii="Times New Roman" w:hAnsi="Times New Roman" w:eastAsia="宋体" w:cs="Times New Roman"/>
          <w:color w:val="auto"/>
          <w:kern w:val="0"/>
          <w:sz w:val="24"/>
          <w:szCs w:val="24"/>
        </w:rPr>
        <w:t>2）混凝土的抗渗等级不低于P8，且水池的内表面涂刷水泥基渗透结晶型；</w:t>
      </w:r>
    </w:p>
    <w:p w14:paraId="003DC442">
      <w:pPr>
        <w:widowControl/>
        <w:spacing w:line="360" w:lineRule="auto"/>
        <w:ind w:firstLine="480" w:firstLineChars="200"/>
        <w:jc w:val="left"/>
        <w:rPr>
          <w:rFonts w:hint="eastAsia" w:ascii="Times New Roman" w:hAnsi="Times New Roman" w:eastAsia="宋体" w:cs="Times New Roman"/>
          <w:color w:val="auto"/>
          <w:kern w:val="0"/>
          <w:sz w:val="24"/>
          <w:szCs w:val="24"/>
        </w:rPr>
      </w:pPr>
      <w:r>
        <w:rPr>
          <w:rFonts w:hint="eastAsia" w:ascii="Times New Roman" w:hAnsi="Times New Roman" w:eastAsia="宋体" w:cs="Times New Roman"/>
          <w:color w:val="auto"/>
          <w:kern w:val="0"/>
          <w:sz w:val="24"/>
          <w:szCs w:val="24"/>
        </w:rPr>
        <w:t>3）水泥基渗透结晶型防水涂料厚度不小于1.0mm；</w:t>
      </w:r>
    </w:p>
    <w:p w14:paraId="23987720">
      <w:pPr>
        <w:widowControl/>
        <w:spacing w:line="360" w:lineRule="auto"/>
        <w:ind w:firstLine="480" w:firstLineChars="200"/>
        <w:jc w:val="left"/>
        <w:rPr>
          <w:rFonts w:hint="eastAsia" w:ascii="Times New Roman" w:hAnsi="Times New Roman" w:eastAsia="宋体" w:cs="Times New Roman"/>
          <w:color w:val="auto"/>
          <w:kern w:val="0"/>
          <w:sz w:val="24"/>
          <w:szCs w:val="24"/>
        </w:rPr>
      </w:pPr>
      <w:r>
        <w:rPr>
          <w:rFonts w:hint="eastAsia" w:ascii="Times New Roman" w:hAnsi="Times New Roman" w:eastAsia="宋体" w:cs="Times New Roman"/>
          <w:color w:val="auto"/>
          <w:kern w:val="0"/>
          <w:sz w:val="24"/>
          <w:szCs w:val="24"/>
        </w:rPr>
        <w:t>⑦一般污染防治区污水沟符合下列规定：</w:t>
      </w:r>
    </w:p>
    <w:p w14:paraId="10085037">
      <w:pPr>
        <w:widowControl/>
        <w:spacing w:line="360" w:lineRule="auto"/>
        <w:ind w:firstLine="480" w:firstLineChars="200"/>
        <w:jc w:val="left"/>
        <w:rPr>
          <w:rFonts w:hint="eastAsia" w:ascii="Times New Roman" w:hAnsi="Times New Roman" w:eastAsia="宋体" w:cs="Times New Roman"/>
          <w:color w:val="auto"/>
          <w:kern w:val="0"/>
          <w:sz w:val="24"/>
          <w:szCs w:val="24"/>
        </w:rPr>
      </w:pPr>
      <w:r>
        <w:rPr>
          <w:rFonts w:hint="eastAsia" w:ascii="Times New Roman" w:hAnsi="Times New Roman" w:eastAsia="宋体" w:cs="Times New Roman"/>
          <w:color w:val="auto"/>
          <w:kern w:val="0"/>
          <w:sz w:val="24"/>
          <w:szCs w:val="24"/>
        </w:rPr>
        <w:t>1）结构厚度不小于150mm；</w:t>
      </w:r>
    </w:p>
    <w:p w14:paraId="567BB418">
      <w:pPr>
        <w:widowControl/>
        <w:spacing w:line="360" w:lineRule="auto"/>
        <w:ind w:firstLine="480" w:firstLineChars="200"/>
        <w:jc w:val="left"/>
        <w:rPr>
          <w:rFonts w:hint="eastAsia" w:ascii="Times New Roman" w:hAnsi="Times New Roman" w:eastAsia="宋体" w:cs="Times New Roman"/>
          <w:color w:val="auto"/>
          <w:kern w:val="0"/>
          <w:sz w:val="24"/>
          <w:szCs w:val="24"/>
        </w:rPr>
      </w:pPr>
      <w:r>
        <w:rPr>
          <w:rFonts w:hint="eastAsia" w:ascii="Times New Roman" w:hAnsi="Times New Roman" w:eastAsia="宋体" w:cs="Times New Roman"/>
          <w:color w:val="auto"/>
          <w:kern w:val="0"/>
          <w:sz w:val="24"/>
          <w:szCs w:val="24"/>
        </w:rPr>
        <w:t>2）混凝土的抗渗等级不低于P8。</w:t>
      </w:r>
    </w:p>
    <w:p w14:paraId="7C4115BF">
      <w:pPr>
        <w:widowControl/>
        <w:spacing w:line="360" w:lineRule="auto"/>
        <w:ind w:firstLine="480" w:firstLineChars="200"/>
        <w:jc w:val="left"/>
        <w:rPr>
          <w:rFonts w:hint="eastAsia" w:ascii="Times New Roman" w:hAnsi="Times New Roman" w:eastAsia="宋体" w:cs="Times New Roman"/>
          <w:color w:val="auto"/>
          <w:kern w:val="0"/>
          <w:sz w:val="24"/>
          <w:szCs w:val="24"/>
        </w:rPr>
      </w:pPr>
      <w:r>
        <w:rPr>
          <w:rFonts w:hint="eastAsia" w:ascii="Times New Roman" w:hAnsi="Times New Roman" w:eastAsia="宋体" w:cs="Times New Roman"/>
          <w:color w:val="auto"/>
          <w:kern w:val="0"/>
          <w:sz w:val="24"/>
          <w:szCs w:val="24"/>
        </w:rPr>
        <w:t>⑧重点污染防治区污水沟符合下列规定：</w:t>
      </w:r>
    </w:p>
    <w:p w14:paraId="29FA0212">
      <w:pPr>
        <w:widowControl/>
        <w:spacing w:line="360" w:lineRule="auto"/>
        <w:ind w:firstLine="480" w:firstLineChars="200"/>
        <w:jc w:val="left"/>
        <w:rPr>
          <w:rFonts w:hint="eastAsia" w:ascii="Times New Roman" w:hAnsi="Times New Roman" w:eastAsia="宋体" w:cs="Times New Roman"/>
          <w:color w:val="auto"/>
          <w:kern w:val="0"/>
          <w:sz w:val="24"/>
          <w:szCs w:val="24"/>
        </w:rPr>
      </w:pPr>
      <w:r>
        <w:rPr>
          <w:rFonts w:hint="eastAsia" w:ascii="Times New Roman" w:hAnsi="Times New Roman" w:eastAsia="宋体" w:cs="Times New Roman"/>
          <w:color w:val="auto"/>
          <w:kern w:val="0"/>
          <w:sz w:val="24"/>
          <w:szCs w:val="24"/>
        </w:rPr>
        <w:t>1）污水沟的结构厚度不小于150mm；</w:t>
      </w:r>
    </w:p>
    <w:p w14:paraId="50DFB44C">
      <w:pPr>
        <w:widowControl/>
        <w:spacing w:line="360" w:lineRule="auto"/>
        <w:ind w:firstLine="480" w:firstLineChars="200"/>
        <w:jc w:val="left"/>
        <w:rPr>
          <w:rFonts w:hint="eastAsia" w:ascii="Times New Roman" w:hAnsi="Times New Roman" w:eastAsia="宋体" w:cs="Times New Roman"/>
          <w:color w:val="auto"/>
          <w:kern w:val="0"/>
          <w:sz w:val="24"/>
          <w:szCs w:val="24"/>
        </w:rPr>
      </w:pPr>
      <w:r>
        <w:rPr>
          <w:rFonts w:hint="eastAsia" w:ascii="Times New Roman" w:hAnsi="Times New Roman" w:eastAsia="宋体" w:cs="Times New Roman"/>
          <w:color w:val="auto"/>
          <w:kern w:val="0"/>
          <w:sz w:val="24"/>
          <w:szCs w:val="24"/>
        </w:rPr>
        <w:t>2）混凝土的抗渗等级不低于P8，且在混凝土内掺加水泥基渗透结晶型防水剂；</w:t>
      </w:r>
    </w:p>
    <w:p w14:paraId="4567F7DD">
      <w:pPr>
        <w:widowControl/>
        <w:spacing w:line="360" w:lineRule="auto"/>
        <w:ind w:firstLine="480" w:firstLineChars="200"/>
        <w:jc w:val="left"/>
        <w:rPr>
          <w:rFonts w:hint="eastAsia" w:ascii="Times New Roman" w:hAnsi="Times New Roman" w:eastAsia="宋体" w:cs="Times New Roman"/>
          <w:color w:val="auto"/>
          <w:kern w:val="0"/>
          <w:sz w:val="24"/>
          <w:szCs w:val="24"/>
        </w:rPr>
      </w:pPr>
      <w:r>
        <w:rPr>
          <w:rFonts w:hint="eastAsia" w:ascii="Times New Roman" w:hAnsi="Times New Roman" w:eastAsia="宋体" w:cs="Times New Roman"/>
          <w:color w:val="auto"/>
          <w:kern w:val="0"/>
          <w:sz w:val="24"/>
          <w:szCs w:val="24"/>
        </w:rPr>
        <w:t>3）水泥基渗透结晶型防水涂料厚度不小于1.0mm；</w:t>
      </w:r>
    </w:p>
    <w:p w14:paraId="0182989B">
      <w:pPr>
        <w:widowControl/>
        <w:spacing w:line="360" w:lineRule="auto"/>
        <w:ind w:firstLine="480" w:firstLineChars="200"/>
        <w:jc w:val="left"/>
        <w:rPr>
          <w:rFonts w:hint="eastAsia" w:ascii="Times New Roman" w:hAnsi="Times New Roman" w:eastAsia="宋体" w:cs="Times New Roman"/>
          <w:color w:val="auto"/>
          <w:kern w:val="0"/>
          <w:sz w:val="24"/>
          <w:szCs w:val="24"/>
        </w:rPr>
      </w:pPr>
      <w:r>
        <w:rPr>
          <w:rFonts w:hint="eastAsia" w:ascii="Times New Roman" w:hAnsi="Times New Roman" w:eastAsia="宋体" w:cs="Times New Roman"/>
          <w:color w:val="auto"/>
          <w:kern w:val="0"/>
          <w:sz w:val="24"/>
          <w:szCs w:val="24"/>
        </w:rPr>
        <w:t>4）当混凝土内掺加水泥基渗透结晶型防水剂时，掺量宜为胶凝材料总量的1%~2%。</w:t>
      </w:r>
    </w:p>
    <w:p w14:paraId="29C64035">
      <w:pPr>
        <w:widowControl/>
        <w:spacing w:line="360" w:lineRule="auto"/>
        <w:ind w:firstLine="480" w:firstLineChars="200"/>
        <w:jc w:val="left"/>
        <w:rPr>
          <w:rFonts w:hint="eastAsia" w:ascii="Times New Roman" w:hAnsi="Times New Roman" w:eastAsia="宋体" w:cs="Times New Roman"/>
          <w:color w:val="auto"/>
          <w:kern w:val="0"/>
          <w:sz w:val="24"/>
          <w:szCs w:val="24"/>
        </w:rPr>
      </w:pPr>
      <w:r>
        <w:rPr>
          <w:rFonts w:hint="eastAsia" w:ascii="Times New Roman" w:hAnsi="Times New Roman" w:eastAsia="宋体" w:cs="Times New Roman"/>
          <w:color w:val="auto"/>
          <w:kern w:val="0"/>
          <w:sz w:val="24"/>
          <w:szCs w:val="24"/>
        </w:rPr>
        <w:t>地下管道应符合下列规定：</w:t>
      </w:r>
    </w:p>
    <w:p w14:paraId="76A7FD7B">
      <w:pPr>
        <w:widowControl/>
        <w:spacing w:line="360" w:lineRule="auto"/>
        <w:ind w:firstLine="480" w:firstLineChars="200"/>
        <w:jc w:val="left"/>
        <w:rPr>
          <w:rFonts w:hint="eastAsia" w:ascii="Times New Roman" w:hAnsi="Times New Roman" w:eastAsia="宋体" w:cs="Times New Roman"/>
          <w:color w:val="auto"/>
          <w:kern w:val="0"/>
          <w:sz w:val="24"/>
          <w:szCs w:val="24"/>
        </w:rPr>
      </w:pPr>
      <w:r>
        <w:rPr>
          <w:rFonts w:hint="eastAsia" w:ascii="Times New Roman" w:hAnsi="Times New Roman" w:eastAsia="宋体" w:cs="Times New Roman"/>
          <w:color w:val="auto"/>
          <w:kern w:val="0"/>
          <w:sz w:val="24"/>
          <w:szCs w:val="24"/>
        </w:rPr>
        <w:t>1）一级地管、二级地管采用钢制管道，三级地管采用钢制管道；</w:t>
      </w:r>
    </w:p>
    <w:p w14:paraId="3A965DB4">
      <w:pPr>
        <w:widowControl/>
        <w:spacing w:line="360" w:lineRule="auto"/>
        <w:ind w:firstLine="480" w:firstLineChars="200"/>
        <w:jc w:val="left"/>
        <w:rPr>
          <w:rFonts w:hint="eastAsia" w:ascii="Times New Roman" w:hAnsi="Times New Roman" w:eastAsia="宋体" w:cs="Times New Roman"/>
          <w:color w:val="auto"/>
          <w:kern w:val="0"/>
          <w:sz w:val="24"/>
          <w:szCs w:val="24"/>
        </w:rPr>
      </w:pPr>
      <w:r>
        <w:rPr>
          <w:rFonts w:hint="eastAsia" w:ascii="Times New Roman" w:hAnsi="Times New Roman" w:eastAsia="宋体" w:cs="Times New Roman"/>
          <w:color w:val="auto"/>
          <w:kern w:val="0"/>
          <w:sz w:val="24"/>
          <w:szCs w:val="24"/>
        </w:rPr>
        <w:t>2）当管道公称直径不大于500mm 时，采用无缝钢管；当管道公称直径大于500mm 时，采用直缝埋弧焊焊接钢管，焊缝进行100%射线探伤；</w:t>
      </w:r>
    </w:p>
    <w:p w14:paraId="0D97E610">
      <w:pPr>
        <w:widowControl/>
        <w:spacing w:line="360" w:lineRule="auto"/>
        <w:ind w:firstLine="480" w:firstLineChars="200"/>
        <w:jc w:val="left"/>
        <w:rPr>
          <w:rFonts w:hint="eastAsia" w:ascii="Times New Roman" w:hAnsi="Times New Roman" w:eastAsia="宋体" w:cs="Times New Roman"/>
          <w:color w:val="auto"/>
          <w:kern w:val="0"/>
          <w:sz w:val="24"/>
          <w:szCs w:val="24"/>
        </w:rPr>
      </w:pPr>
      <w:r>
        <w:rPr>
          <w:rFonts w:hint="eastAsia" w:ascii="Times New Roman" w:hAnsi="Times New Roman" w:eastAsia="宋体" w:cs="Times New Roman"/>
          <w:color w:val="auto"/>
          <w:kern w:val="0"/>
          <w:sz w:val="24"/>
          <w:szCs w:val="24"/>
        </w:rPr>
        <w:t>3）管道设计壁厚的腐蚀余量不小于2mm；</w:t>
      </w:r>
    </w:p>
    <w:p w14:paraId="2EF4CBDA">
      <w:pPr>
        <w:widowControl/>
        <w:spacing w:line="360" w:lineRule="auto"/>
        <w:ind w:firstLine="480" w:firstLineChars="200"/>
        <w:jc w:val="left"/>
        <w:rPr>
          <w:rFonts w:hint="eastAsia" w:ascii="Times New Roman" w:hAnsi="Times New Roman" w:eastAsia="宋体" w:cs="Times New Roman"/>
          <w:color w:val="auto"/>
          <w:kern w:val="0"/>
          <w:sz w:val="24"/>
          <w:szCs w:val="24"/>
        </w:rPr>
      </w:pPr>
      <w:r>
        <w:rPr>
          <w:rFonts w:hint="eastAsia" w:ascii="Times New Roman" w:hAnsi="Times New Roman" w:eastAsia="宋体" w:cs="Times New Roman"/>
          <w:color w:val="auto"/>
          <w:kern w:val="0"/>
          <w:sz w:val="24"/>
          <w:szCs w:val="24"/>
        </w:rPr>
        <w:t>4）管道的外防腐等级采用特加强级；</w:t>
      </w:r>
    </w:p>
    <w:p w14:paraId="5033C88D">
      <w:pPr>
        <w:widowControl/>
        <w:spacing w:line="360" w:lineRule="auto"/>
        <w:ind w:firstLine="480" w:firstLineChars="200"/>
        <w:jc w:val="left"/>
        <w:rPr>
          <w:rFonts w:ascii="Times New Roman" w:hAnsi="Times New Roman" w:eastAsia="宋体" w:cs="Times New Roman"/>
          <w:color w:val="FF0000"/>
          <w:kern w:val="0"/>
          <w:sz w:val="24"/>
          <w:szCs w:val="24"/>
        </w:rPr>
      </w:pPr>
      <w:r>
        <w:rPr>
          <w:rFonts w:hint="eastAsia" w:ascii="Times New Roman" w:hAnsi="Times New Roman" w:eastAsia="宋体" w:cs="Times New Roman"/>
          <w:color w:val="auto"/>
          <w:kern w:val="0"/>
          <w:sz w:val="24"/>
          <w:szCs w:val="24"/>
        </w:rPr>
        <w:t>5）管道的连接方式采用焊接。</w:t>
      </w:r>
    </w:p>
    <w:p w14:paraId="6DA1A455">
      <w:pPr>
        <w:widowControl/>
        <w:wordWrap w:val="0"/>
        <w:spacing w:line="360" w:lineRule="auto"/>
        <w:ind w:firstLine="482" w:firstLineChars="200"/>
        <w:jc w:val="left"/>
        <w:rPr>
          <w:rFonts w:ascii="Times New Roman" w:hAnsi="Times New Roman" w:eastAsia="宋体" w:cs="Times New Roman"/>
          <w:b/>
          <w:bCs/>
          <w:color w:val="auto"/>
          <w:kern w:val="0"/>
          <w:sz w:val="24"/>
          <w:szCs w:val="24"/>
        </w:rPr>
      </w:pPr>
      <w:r>
        <w:rPr>
          <w:rFonts w:ascii="Times New Roman" w:hAnsi="Times New Roman" w:eastAsia="宋体" w:cs="Times New Roman"/>
          <w:b/>
          <w:bCs/>
          <w:color w:val="auto"/>
          <w:kern w:val="0"/>
          <w:sz w:val="24"/>
          <w:szCs w:val="24"/>
        </w:rPr>
        <w:t>（</w:t>
      </w:r>
      <w:r>
        <w:rPr>
          <w:rFonts w:hint="eastAsia" w:ascii="Times New Roman" w:hAnsi="Times New Roman" w:eastAsia="宋体" w:cs="Times New Roman"/>
          <w:b/>
          <w:bCs/>
          <w:color w:val="auto"/>
          <w:kern w:val="0"/>
          <w:sz w:val="24"/>
          <w:szCs w:val="24"/>
          <w:lang w:val="en-US" w:eastAsia="zh-CN"/>
        </w:rPr>
        <w:t>5</w:t>
      </w:r>
      <w:r>
        <w:rPr>
          <w:rFonts w:ascii="Times New Roman" w:hAnsi="Times New Roman" w:eastAsia="宋体" w:cs="Times New Roman"/>
          <w:b/>
          <w:bCs/>
          <w:color w:val="auto"/>
          <w:kern w:val="0"/>
          <w:sz w:val="24"/>
          <w:szCs w:val="24"/>
        </w:rPr>
        <w:t>）监控</w:t>
      </w:r>
      <w:bookmarkStart w:id="280" w:name="_Toc19088"/>
      <w:r>
        <w:rPr>
          <w:rFonts w:ascii="Times New Roman" w:hAnsi="Times New Roman" w:eastAsia="宋体" w:cs="Times New Roman"/>
          <w:b/>
          <w:bCs/>
          <w:color w:val="auto"/>
          <w:kern w:val="0"/>
          <w:sz w:val="24"/>
          <w:szCs w:val="24"/>
        </w:rPr>
        <w:t>措施</w:t>
      </w:r>
      <w:bookmarkEnd w:id="280"/>
    </w:p>
    <w:p w14:paraId="6D2A4C49">
      <w:pPr>
        <w:widowControl/>
        <w:spacing w:line="360" w:lineRule="auto"/>
        <w:ind w:firstLine="480" w:firstLineChars="200"/>
        <w:jc w:val="left"/>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为了及时准确的掌握项目区域及下游地区地下水环境质量状况，本项目拟建立覆盖厂区的地下水环境长期监测系统，包括科学、合理地设置地下水水质监测井，配备先进的检测仪器和设备。建立完善的监测制度，由建设单位设立地下水动态监测部门，或委托专业的机构负责监测。</w:t>
      </w:r>
    </w:p>
    <w:p w14:paraId="0ABD6CA8">
      <w:pPr>
        <w:spacing w:line="360" w:lineRule="auto"/>
        <w:ind w:firstLine="480" w:firstLineChars="200"/>
        <w:rPr>
          <w:rFonts w:ascii="Times New Roman" w:hAnsi="Times New Roman" w:eastAsia="宋体" w:cs="Times New Roman"/>
          <w:b w:val="0"/>
          <w:bCs w:val="0"/>
          <w:color w:val="auto"/>
          <w:kern w:val="0"/>
          <w:sz w:val="24"/>
          <w:szCs w:val="24"/>
        </w:rPr>
      </w:pPr>
      <w:r>
        <w:rPr>
          <w:rFonts w:hint="eastAsia" w:ascii="Times New Roman" w:hAnsi="Times New Roman" w:eastAsia="宋体" w:cs="Times New Roman"/>
          <w:b w:val="0"/>
          <w:bCs w:val="0"/>
          <w:color w:val="auto"/>
          <w:kern w:val="0"/>
          <w:sz w:val="24"/>
          <w:szCs w:val="24"/>
          <w:lang w:val="en-US" w:eastAsia="zh-CN"/>
        </w:rPr>
        <w:t>新合新生物科技</w:t>
      </w:r>
      <w:r>
        <w:rPr>
          <w:rFonts w:ascii="Times New Roman" w:hAnsi="Times New Roman" w:eastAsia="宋体" w:cs="Times New Roman"/>
          <w:b w:val="0"/>
          <w:bCs w:val="0"/>
          <w:color w:val="auto"/>
          <w:kern w:val="0"/>
          <w:sz w:val="24"/>
          <w:szCs w:val="24"/>
        </w:rPr>
        <w:t>公司厂区目前在厂区内已设置了</w:t>
      </w:r>
      <w:r>
        <w:rPr>
          <w:rFonts w:hint="eastAsia" w:ascii="Times New Roman" w:hAnsi="Times New Roman" w:eastAsia="宋体" w:cs="宋体"/>
          <w:b w:val="0"/>
          <w:bCs w:val="0"/>
          <w:color w:val="auto"/>
          <w:sz w:val="24"/>
          <w:szCs w:val="24"/>
        </w:rPr>
        <w:t>地下水监测井一座，位置位于厂区污水处理站处，深度为6米，根据地下水导则要求，</w:t>
      </w:r>
      <w:r>
        <w:rPr>
          <w:rFonts w:hint="eastAsia" w:ascii="Times New Roman" w:hAnsi="Times New Roman" w:eastAsia="宋体" w:cs="宋体"/>
          <w:b w:val="0"/>
          <w:bCs w:val="0"/>
          <w:color w:val="auto"/>
          <w:sz w:val="24"/>
          <w:szCs w:val="24"/>
          <w:lang w:val="en-US" w:eastAsia="zh-CN"/>
        </w:rPr>
        <w:t>本项目地下水评价等级为三级，地下水跟踪监测点数量不少于1个，因此可依托现有地下水监测井进行跟踪监测。</w:t>
      </w:r>
    </w:p>
    <w:p w14:paraId="1FFE1E4F">
      <w:pPr>
        <w:widowControl/>
        <w:spacing w:line="360" w:lineRule="auto"/>
        <w:ind w:firstLine="480" w:firstLineChars="200"/>
        <w:jc w:val="left"/>
        <w:rPr>
          <w:rFonts w:ascii="Times New Roman" w:hAnsi="Times New Roman" w:eastAsia="宋体" w:cs="Times New Roman"/>
          <w:b w:val="0"/>
          <w:bCs w:val="0"/>
          <w:color w:val="auto"/>
          <w:kern w:val="0"/>
          <w:sz w:val="24"/>
          <w:szCs w:val="24"/>
        </w:rPr>
      </w:pPr>
      <w:r>
        <w:rPr>
          <w:rFonts w:ascii="Times New Roman" w:hAnsi="Times New Roman" w:eastAsia="宋体" w:cs="Times New Roman"/>
          <w:b w:val="0"/>
          <w:bCs w:val="0"/>
          <w:color w:val="auto"/>
          <w:kern w:val="0"/>
          <w:sz w:val="24"/>
          <w:szCs w:val="24"/>
        </w:rPr>
        <w:t>（1）地下水监测井位置</w:t>
      </w:r>
    </w:p>
    <w:p w14:paraId="72DD75CB">
      <w:pPr>
        <w:pStyle w:val="6"/>
        <w:bidi w:val="0"/>
      </w:pPr>
      <w:r>
        <w:rPr>
          <w:rFonts w:hint="eastAsia"/>
        </w:rPr>
        <w:t>表7.2.2-</w:t>
      </w:r>
      <w:r>
        <w:rPr>
          <w:rFonts w:hint="eastAsia"/>
          <w:lang w:val="en-US" w:eastAsia="zh-CN"/>
        </w:rPr>
        <w:t>8</w:t>
      </w:r>
      <w:r>
        <w:rPr>
          <w:rFonts w:hint="eastAsia"/>
        </w:rPr>
        <w:t xml:space="preserve"> 地下水监测点位概况</w:t>
      </w:r>
    </w:p>
    <w:tbl>
      <w:tblPr>
        <w:tblStyle w:val="41"/>
        <w:tblW w:w="502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2077"/>
        <w:gridCol w:w="2575"/>
        <w:gridCol w:w="3711"/>
      </w:tblGrid>
      <w:tr w14:paraId="32C481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jc w:val="center"/>
        </w:trPr>
        <w:tc>
          <w:tcPr>
            <w:tcW w:w="1242" w:type="pct"/>
            <w:tcBorders>
              <w:top w:val="single" w:color="auto" w:sz="4" w:space="0"/>
              <w:left w:val="single" w:color="auto" w:sz="4" w:space="0"/>
              <w:bottom w:val="single" w:color="auto" w:sz="4" w:space="0"/>
              <w:right w:val="single" w:color="auto" w:sz="4" w:space="0"/>
            </w:tcBorders>
            <w:vAlign w:val="center"/>
          </w:tcPr>
          <w:p w14:paraId="34FCD652">
            <w:pPr>
              <w:pStyle w:val="52"/>
              <w:bidi w:val="0"/>
              <w:rPr>
                <w:color w:val="auto"/>
              </w:rPr>
            </w:pPr>
            <w:r>
              <w:rPr>
                <w:color w:val="auto"/>
              </w:rPr>
              <w:t>编号</w:t>
            </w:r>
          </w:p>
        </w:tc>
        <w:tc>
          <w:tcPr>
            <w:tcW w:w="1539" w:type="pct"/>
            <w:tcBorders>
              <w:top w:val="single" w:color="auto" w:sz="4" w:space="0"/>
              <w:left w:val="single" w:color="auto" w:sz="4" w:space="0"/>
              <w:bottom w:val="single" w:color="auto" w:sz="4" w:space="0"/>
              <w:right w:val="single" w:color="auto" w:sz="4" w:space="0"/>
            </w:tcBorders>
            <w:vAlign w:val="center"/>
          </w:tcPr>
          <w:p w14:paraId="62B6DF14">
            <w:pPr>
              <w:pStyle w:val="52"/>
              <w:bidi w:val="0"/>
              <w:rPr>
                <w:color w:val="auto"/>
              </w:rPr>
            </w:pPr>
            <w:r>
              <w:rPr>
                <w:color w:val="auto"/>
              </w:rPr>
              <w:t>名称</w:t>
            </w:r>
          </w:p>
        </w:tc>
        <w:tc>
          <w:tcPr>
            <w:tcW w:w="2218" w:type="pct"/>
            <w:tcBorders>
              <w:top w:val="single" w:color="auto" w:sz="4" w:space="0"/>
              <w:left w:val="single" w:color="auto" w:sz="4" w:space="0"/>
              <w:bottom w:val="single" w:color="auto" w:sz="4" w:space="0"/>
              <w:right w:val="single" w:color="auto" w:sz="4" w:space="0"/>
            </w:tcBorders>
            <w:vAlign w:val="center"/>
          </w:tcPr>
          <w:p w14:paraId="1C98F38F">
            <w:pPr>
              <w:pStyle w:val="52"/>
              <w:bidi w:val="0"/>
              <w:rPr>
                <w:color w:val="auto"/>
              </w:rPr>
            </w:pPr>
            <w:r>
              <w:rPr>
                <w:color w:val="auto"/>
              </w:rPr>
              <w:t>与</w:t>
            </w:r>
            <w:r>
              <w:rPr>
                <w:rFonts w:hint="eastAsia"/>
                <w:color w:val="auto"/>
              </w:rPr>
              <w:t>本项目</w:t>
            </w:r>
            <w:r>
              <w:rPr>
                <w:color w:val="auto"/>
              </w:rPr>
              <w:t>相对位置</w:t>
            </w:r>
          </w:p>
        </w:tc>
      </w:tr>
      <w:tr w14:paraId="4B97D6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242" w:type="pct"/>
            <w:tcBorders>
              <w:top w:val="single" w:color="auto" w:sz="4" w:space="0"/>
              <w:left w:val="single" w:color="auto" w:sz="4" w:space="0"/>
              <w:bottom w:val="single" w:color="auto" w:sz="4" w:space="0"/>
              <w:right w:val="single" w:color="auto" w:sz="4" w:space="0"/>
            </w:tcBorders>
            <w:vAlign w:val="center"/>
          </w:tcPr>
          <w:p w14:paraId="03FC673B">
            <w:pPr>
              <w:pStyle w:val="52"/>
              <w:bidi w:val="0"/>
              <w:rPr>
                <w:color w:val="auto"/>
              </w:rPr>
            </w:pPr>
            <w:r>
              <w:rPr>
                <w:rFonts w:hint="eastAsia"/>
                <w:color w:val="auto"/>
              </w:rPr>
              <w:t>D</w:t>
            </w:r>
            <w:r>
              <w:rPr>
                <w:rFonts w:hint="eastAsia"/>
                <w:color w:val="auto"/>
                <w:lang w:val="en-US" w:eastAsia="zh-CN"/>
              </w:rPr>
              <w:t>1</w:t>
            </w:r>
            <w:r>
              <w:rPr>
                <w:rFonts w:hint="eastAsia"/>
                <w:color w:val="auto"/>
              </w:rPr>
              <w:t>（项目场地监测井）</w:t>
            </w:r>
          </w:p>
        </w:tc>
        <w:tc>
          <w:tcPr>
            <w:tcW w:w="1539" w:type="pct"/>
            <w:tcBorders>
              <w:top w:val="single" w:color="auto" w:sz="4" w:space="0"/>
              <w:left w:val="single" w:color="auto" w:sz="4" w:space="0"/>
              <w:bottom w:val="single" w:color="auto" w:sz="4" w:space="0"/>
              <w:right w:val="single" w:color="auto" w:sz="4" w:space="0"/>
            </w:tcBorders>
            <w:vAlign w:val="center"/>
          </w:tcPr>
          <w:p w14:paraId="0510FD8E">
            <w:pPr>
              <w:pStyle w:val="52"/>
              <w:bidi w:val="0"/>
              <w:rPr>
                <w:color w:val="auto"/>
              </w:rPr>
            </w:pPr>
            <w:r>
              <w:rPr>
                <w:rFonts w:hint="eastAsia"/>
                <w:color w:val="auto"/>
                <w:lang w:val="en-US" w:eastAsia="zh-CN"/>
              </w:rPr>
              <w:t>新合新生物科技</w:t>
            </w:r>
            <w:r>
              <w:rPr>
                <w:rFonts w:hint="eastAsia"/>
                <w:color w:val="auto"/>
              </w:rPr>
              <w:t>公司监测井</w:t>
            </w:r>
          </w:p>
        </w:tc>
        <w:tc>
          <w:tcPr>
            <w:tcW w:w="2218" w:type="pct"/>
            <w:tcBorders>
              <w:top w:val="single" w:color="auto" w:sz="4" w:space="0"/>
              <w:left w:val="single" w:color="auto" w:sz="4" w:space="0"/>
              <w:bottom w:val="single" w:color="auto" w:sz="4" w:space="0"/>
              <w:right w:val="single" w:color="auto" w:sz="4" w:space="0"/>
            </w:tcBorders>
            <w:vAlign w:val="center"/>
          </w:tcPr>
          <w:p w14:paraId="77DBF01F">
            <w:pPr>
              <w:pStyle w:val="52"/>
              <w:bidi w:val="0"/>
              <w:rPr>
                <w:rFonts w:hint="default"/>
                <w:color w:val="auto"/>
                <w:lang w:val="en-US" w:eastAsia="zh-CN"/>
              </w:rPr>
            </w:pPr>
            <w:r>
              <w:rPr>
                <w:rFonts w:hint="eastAsia"/>
                <w:color w:val="auto"/>
              </w:rPr>
              <w:t>厂区内，</w:t>
            </w:r>
            <w:r>
              <w:rPr>
                <w:rFonts w:hint="eastAsia"/>
                <w:color w:val="auto"/>
                <w:lang w:val="en-US" w:eastAsia="zh-CN"/>
              </w:rPr>
              <w:t>污水处理站处，深6m</w:t>
            </w:r>
          </w:p>
        </w:tc>
      </w:tr>
    </w:tbl>
    <w:p w14:paraId="1B1305E9">
      <w:pPr>
        <w:widowControl/>
        <w:spacing w:line="360" w:lineRule="auto"/>
        <w:ind w:firstLine="480" w:firstLineChars="200"/>
        <w:jc w:val="left"/>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（2）监测因子</w:t>
      </w:r>
    </w:p>
    <w:p w14:paraId="43D6806E">
      <w:pPr>
        <w:widowControl/>
        <w:spacing w:line="360" w:lineRule="auto"/>
        <w:ind w:firstLine="480" w:firstLineChars="200"/>
        <w:jc w:val="left"/>
        <w:rPr>
          <w:rFonts w:ascii="Times New Roman" w:hAnsi="Times New Roman" w:eastAsia="宋体" w:cs="Times New Roman"/>
          <w:color w:val="auto"/>
          <w:kern w:val="0"/>
          <w:sz w:val="24"/>
          <w:szCs w:val="24"/>
          <w:u w:val="single"/>
        </w:rPr>
      </w:pPr>
      <w:r>
        <w:rPr>
          <w:rFonts w:hint="eastAsia" w:ascii="Times New Roman" w:hAnsi="Times New Roman" w:eastAsia="宋体" w:cs="宋体"/>
          <w:color w:val="auto"/>
          <w:sz w:val="24"/>
          <w:szCs w:val="24"/>
        </w:rPr>
        <w:t>pH值、K</w:t>
      </w:r>
      <w:r>
        <w:rPr>
          <w:rFonts w:hint="eastAsia" w:ascii="Times New Roman" w:hAnsi="Times New Roman" w:eastAsia="宋体" w:cs="宋体"/>
          <w:color w:val="auto"/>
          <w:sz w:val="24"/>
          <w:szCs w:val="24"/>
          <w:vertAlign w:val="superscript"/>
        </w:rPr>
        <w:t>+</w:t>
      </w:r>
      <w:r>
        <w:rPr>
          <w:rFonts w:hint="eastAsia" w:ascii="Times New Roman" w:hAnsi="Times New Roman" w:eastAsia="宋体" w:cs="宋体"/>
          <w:color w:val="auto"/>
          <w:sz w:val="24"/>
          <w:szCs w:val="24"/>
        </w:rPr>
        <w:t>、NA</w:t>
      </w:r>
      <w:r>
        <w:rPr>
          <w:rFonts w:hint="eastAsia" w:ascii="Times New Roman" w:hAnsi="Times New Roman" w:eastAsia="宋体" w:cs="宋体"/>
          <w:color w:val="auto"/>
          <w:sz w:val="24"/>
          <w:szCs w:val="24"/>
          <w:vertAlign w:val="superscript"/>
        </w:rPr>
        <w:t>+</w:t>
      </w:r>
      <w:r>
        <w:rPr>
          <w:rFonts w:hint="eastAsia" w:ascii="Times New Roman" w:hAnsi="Times New Roman" w:eastAsia="宋体" w:cs="宋体"/>
          <w:color w:val="auto"/>
          <w:sz w:val="24"/>
          <w:szCs w:val="24"/>
        </w:rPr>
        <w:t>、Ca</w:t>
      </w:r>
      <w:r>
        <w:rPr>
          <w:rFonts w:hint="eastAsia" w:ascii="Times New Roman" w:hAnsi="Times New Roman" w:eastAsia="宋体" w:cs="宋体"/>
          <w:color w:val="auto"/>
          <w:sz w:val="24"/>
          <w:szCs w:val="24"/>
          <w:vertAlign w:val="superscript"/>
        </w:rPr>
        <w:t>+</w:t>
      </w:r>
      <w:r>
        <w:rPr>
          <w:rFonts w:hint="eastAsia" w:ascii="Times New Roman" w:hAnsi="Times New Roman" w:eastAsia="宋体" w:cs="宋体"/>
          <w:color w:val="auto"/>
          <w:sz w:val="24"/>
          <w:szCs w:val="24"/>
        </w:rPr>
        <w:t>、Mg</w:t>
      </w:r>
      <w:r>
        <w:rPr>
          <w:rFonts w:hint="eastAsia" w:ascii="Times New Roman" w:hAnsi="Times New Roman" w:eastAsia="宋体" w:cs="宋体"/>
          <w:color w:val="auto"/>
          <w:sz w:val="24"/>
          <w:szCs w:val="24"/>
          <w:vertAlign w:val="superscript"/>
        </w:rPr>
        <w:t>2+</w:t>
      </w:r>
      <w:r>
        <w:rPr>
          <w:rFonts w:hint="eastAsia" w:ascii="Times New Roman" w:hAnsi="Times New Roman" w:eastAsia="宋体" w:cs="宋体"/>
          <w:color w:val="auto"/>
          <w:sz w:val="24"/>
          <w:szCs w:val="24"/>
        </w:rPr>
        <w:t>、CO</w:t>
      </w:r>
      <w:r>
        <w:rPr>
          <w:rFonts w:hint="eastAsia" w:ascii="Times New Roman" w:hAnsi="Times New Roman" w:eastAsia="宋体" w:cs="宋体"/>
          <w:color w:val="auto"/>
          <w:sz w:val="24"/>
          <w:szCs w:val="24"/>
          <w:vertAlign w:val="subscript"/>
        </w:rPr>
        <w:t>3</w:t>
      </w:r>
      <w:r>
        <w:rPr>
          <w:rFonts w:hint="eastAsia" w:ascii="Times New Roman" w:hAnsi="Times New Roman" w:eastAsia="宋体" w:cs="宋体"/>
          <w:color w:val="auto"/>
          <w:sz w:val="24"/>
          <w:szCs w:val="24"/>
          <w:vertAlign w:val="superscript"/>
        </w:rPr>
        <w:t>2-</w:t>
      </w:r>
      <w:r>
        <w:rPr>
          <w:rFonts w:hint="eastAsia" w:ascii="Times New Roman" w:hAnsi="Times New Roman" w:eastAsia="宋体" w:cs="宋体"/>
          <w:color w:val="auto"/>
          <w:sz w:val="24"/>
          <w:szCs w:val="24"/>
        </w:rPr>
        <w:t>、HCO</w:t>
      </w:r>
      <w:r>
        <w:rPr>
          <w:rFonts w:hint="eastAsia" w:ascii="Times New Roman" w:hAnsi="Times New Roman" w:eastAsia="宋体" w:cs="宋体"/>
          <w:color w:val="auto"/>
          <w:sz w:val="24"/>
          <w:szCs w:val="24"/>
          <w:vertAlign w:val="subscript"/>
        </w:rPr>
        <w:t>3</w:t>
      </w:r>
      <w:r>
        <w:rPr>
          <w:rFonts w:hint="eastAsia" w:ascii="Times New Roman" w:hAnsi="Times New Roman" w:eastAsia="宋体" w:cs="宋体"/>
          <w:color w:val="auto"/>
          <w:sz w:val="24"/>
          <w:szCs w:val="24"/>
          <w:vertAlign w:val="superscript"/>
        </w:rPr>
        <w:t>-</w:t>
      </w:r>
      <w:r>
        <w:rPr>
          <w:rFonts w:hint="eastAsia" w:ascii="Times New Roman" w:hAnsi="Times New Roman" w:eastAsia="宋体" w:cs="宋体"/>
          <w:color w:val="auto"/>
          <w:sz w:val="24"/>
          <w:szCs w:val="24"/>
        </w:rPr>
        <w:t>、Cl</w:t>
      </w:r>
      <w:r>
        <w:rPr>
          <w:rFonts w:hint="eastAsia" w:ascii="Times New Roman" w:hAnsi="Times New Roman" w:eastAsia="宋体" w:cs="宋体"/>
          <w:color w:val="auto"/>
          <w:sz w:val="24"/>
          <w:szCs w:val="24"/>
          <w:vertAlign w:val="superscript"/>
        </w:rPr>
        <w:t>-</w:t>
      </w:r>
      <w:r>
        <w:rPr>
          <w:rFonts w:hint="eastAsia" w:ascii="Times New Roman" w:hAnsi="Times New Roman" w:eastAsia="宋体" w:cs="宋体"/>
          <w:color w:val="auto"/>
          <w:sz w:val="24"/>
          <w:szCs w:val="24"/>
        </w:rPr>
        <w:t>、SO</w:t>
      </w:r>
      <w:r>
        <w:rPr>
          <w:rFonts w:hint="eastAsia" w:ascii="Times New Roman" w:hAnsi="Times New Roman" w:eastAsia="宋体" w:cs="宋体"/>
          <w:color w:val="auto"/>
          <w:sz w:val="24"/>
          <w:szCs w:val="24"/>
          <w:vertAlign w:val="subscript"/>
        </w:rPr>
        <w:t>4</w:t>
      </w:r>
      <w:r>
        <w:rPr>
          <w:rFonts w:hint="eastAsia" w:ascii="Times New Roman" w:hAnsi="Times New Roman" w:eastAsia="宋体" w:cs="宋体"/>
          <w:color w:val="auto"/>
          <w:sz w:val="24"/>
          <w:szCs w:val="24"/>
          <w:vertAlign w:val="superscript"/>
        </w:rPr>
        <w:t>2-</w:t>
      </w:r>
      <w:r>
        <w:rPr>
          <w:rFonts w:hint="eastAsia" w:ascii="Times New Roman" w:hAnsi="Times New Roman" w:eastAsia="宋体" w:cs="宋体"/>
          <w:color w:val="auto"/>
          <w:sz w:val="24"/>
          <w:szCs w:val="24"/>
        </w:rPr>
        <w:t>、COD、氨氮、总磷</w:t>
      </w:r>
      <w:r>
        <w:rPr>
          <w:rFonts w:hint="eastAsia" w:ascii="Times New Roman" w:hAnsi="Times New Roman" w:eastAsia="宋体" w:cs="宋体"/>
          <w:color w:val="auto"/>
          <w:sz w:val="24"/>
          <w:szCs w:val="24"/>
          <w:lang w:eastAsia="zh-CN"/>
        </w:rPr>
        <w:t>、</w:t>
      </w:r>
      <w:r>
        <w:rPr>
          <w:rFonts w:hint="eastAsia" w:ascii="Times New Roman" w:hAnsi="Times New Roman" w:eastAsia="宋体" w:cs="宋体"/>
          <w:color w:val="auto"/>
          <w:sz w:val="24"/>
          <w:szCs w:val="24"/>
          <w:lang w:val="en-US" w:eastAsia="zh-CN"/>
        </w:rPr>
        <w:t>总氮</w:t>
      </w:r>
      <w:r>
        <w:rPr>
          <w:rFonts w:hint="eastAsia" w:ascii="Times New Roman" w:hAnsi="Times New Roman" w:eastAsia="宋体" w:cs="宋体"/>
          <w:color w:val="auto"/>
          <w:sz w:val="24"/>
          <w:szCs w:val="24"/>
        </w:rPr>
        <w:t>。</w:t>
      </w:r>
    </w:p>
    <w:p w14:paraId="1709CC10">
      <w:pPr>
        <w:widowControl/>
        <w:spacing w:line="360" w:lineRule="auto"/>
        <w:ind w:firstLine="480" w:firstLineChars="200"/>
        <w:jc w:val="left"/>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（3）监测计划</w:t>
      </w:r>
    </w:p>
    <w:p w14:paraId="6DE63BF4">
      <w:pPr>
        <w:widowControl/>
        <w:spacing w:line="360" w:lineRule="auto"/>
        <w:ind w:firstLine="480" w:firstLineChars="200"/>
        <w:jc w:val="left"/>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一年一次。</w:t>
      </w:r>
    </w:p>
    <w:p w14:paraId="3496FE0C">
      <w:pPr>
        <w:widowControl/>
        <w:spacing w:line="360" w:lineRule="auto"/>
        <w:ind w:firstLine="480" w:firstLineChars="200"/>
        <w:jc w:val="left"/>
        <w:rPr>
          <w:rFonts w:ascii="Times New Roman" w:hAnsi="Times New Roman" w:eastAsia="宋体" w:cs="Times New Roman"/>
          <w:color w:val="auto"/>
          <w:kern w:val="0"/>
          <w:sz w:val="24"/>
          <w:szCs w:val="24"/>
        </w:rPr>
      </w:pPr>
      <w:bookmarkStart w:id="281" w:name="_Toc27252"/>
      <w:r>
        <w:rPr>
          <w:rFonts w:ascii="Times New Roman" w:hAnsi="Times New Roman" w:eastAsia="宋体" w:cs="Times New Roman"/>
          <w:color w:val="auto"/>
          <w:kern w:val="0"/>
          <w:sz w:val="24"/>
          <w:szCs w:val="24"/>
        </w:rPr>
        <w:t>（4）地下水监测管理措施</w:t>
      </w:r>
      <w:bookmarkEnd w:id="281"/>
    </w:p>
    <w:p w14:paraId="1F9CD652">
      <w:pPr>
        <w:widowControl/>
        <w:spacing w:line="360" w:lineRule="auto"/>
        <w:ind w:firstLine="480" w:firstLineChars="200"/>
        <w:jc w:val="left"/>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为保证地下水监测有效、有序管理，厂区制定了相关规定、明确职责，采取以下管理措施和技术措施。</w:t>
      </w:r>
    </w:p>
    <w:p w14:paraId="5ED6D7F6">
      <w:pPr>
        <w:widowControl/>
        <w:spacing w:line="360" w:lineRule="auto"/>
        <w:ind w:firstLine="480" w:firstLineChars="200"/>
        <w:jc w:val="left"/>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进行质量体系认证，实</w:t>
      </w:r>
      <w:r>
        <w:rPr>
          <w:rFonts w:hint="eastAsia" w:ascii="宋体" w:hAnsi="宋体" w:eastAsia="宋体" w:cs="宋体"/>
          <w:color w:val="auto"/>
          <w:kern w:val="0"/>
          <w:sz w:val="24"/>
          <w:szCs w:val="24"/>
        </w:rPr>
        <w:t>现“质量、安全、环境”三</w:t>
      </w:r>
      <w:r>
        <w:rPr>
          <w:rFonts w:ascii="Times New Roman" w:hAnsi="Times New Roman" w:eastAsia="宋体" w:cs="Times New Roman"/>
          <w:color w:val="auto"/>
          <w:kern w:val="0"/>
          <w:sz w:val="24"/>
          <w:szCs w:val="24"/>
        </w:rPr>
        <w:t>位一体的全面质量管理目标。设立地下水动态监测小组，负责对地下水环境监测和管理，或者委托专业的机构完成。建立有关规章制度和岗位责任制。制定风险预警方案，设立应急设施减少环境污染影响。</w:t>
      </w:r>
    </w:p>
    <w:p w14:paraId="7327DFD7">
      <w:pPr>
        <w:widowControl/>
        <w:wordWrap w:val="0"/>
        <w:spacing w:line="360" w:lineRule="auto"/>
        <w:ind w:firstLine="480" w:firstLineChars="200"/>
        <w:jc w:val="left"/>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A.管理措施</w:t>
      </w:r>
    </w:p>
    <w:p w14:paraId="5BC33563">
      <w:pPr>
        <w:widowControl/>
        <w:wordWrap w:val="0"/>
        <w:spacing w:line="360" w:lineRule="auto"/>
        <w:ind w:firstLine="480" w:firstLineChars="200"/>
        <w:jc w:val="left"/>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fldChar w:fldCharType="begin"/>
      </w:r>
      <w:r>
        <w:rPr>
          <w:rFonts w:ascii="Times New Roman" w:hAnsi="Times New Roman" w:eastAsia="宋体" w:cs="Times New Roman"/>
          <w:color w:val="auto"/>
          <w:kern w:val="0"/>
          <w:sz w:val="24"/>
          <w:szCs w:val="24"/>
        </w:rPr>
        <w:instrText xml:space="preserve"> = 1 \* GB3 </w:instrText>
      </w:r>
      <w:r>
        <w:rPr>
          <w:rFonts w:ascii="Times New Roman" w:hAnsi="Times New Roman" w:eastAsia="宋体" w:cs="Times New Roman"/>
          <w:color w:val="auto"/>
          <w:kern w:val="0"/>
          <w:sz w:val="24"/>
          <w:szCs w:val="24"/>
        </w:rPr>
        <w:fldChar w:fldCharType="separate"/>
      </w:r>
      <w:r>
        <w:rPr>
          <w:rFonts w:ascii="Times New Roman" w:hAnsi="Times New Roman" w:eastAsia="宋体" w:cs="Times New Roman"/>
          <w:color w:val="auto"/>
          <w:kern w:val="0"/>
          <w:sz w:val="24"/>
          <w:szCs w:val="24"/>
        </w:rPr>
        <w:t>①</w:t>
      </w:r>
      <w:r>
        <w:rPr>
          <w:rFonts w:ascii="Times New Roman" w:hAnsi="Times New Roman" w:eastAsia="宋体" w:cs="Times New Roman"/>
          <w:color w:val="auto"/>
          <w:kern w:val="0"/>
          <w:sz w:val="24"/>
          <w:szCs w:val="24"/>
        </w:rPr>
        <w:fldChar w:fldCharType="end"/>
      </w:r>
      <w:r>
        <w:rPr>
          <w:rFonts w:ascii="Times New Roman" w:hAnsi="Times New Roman" w:eastAsia="宋体" w:cs="Times New Roman"/>
          <w:color w:val="auto"/>
          <w:kern w:val="0"/>
          <w:sz w:val="24"/>
          <w:szCs w:val="24"/>
        </w:rPr>
        <w:t>防止地下水污染管理的职责属于环境保护管理部门。建设单位保护管理部门指派专人负责防治地下水污染管理工作。</w:t>
      </w:r>
    </w:p>
    <w:p w14:paraId="6AE40196">
      <w:pPr>
        <w:widowControl/>
        <w:wordWrap w:val="0"/>
        <w:spacing w:line="360" w:lineRule="auto"/>
        <w:ind w:firstLine="480" w:firstLineChars="200"/>
        <w:jc w:val="left"/>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fldChar w:fldCharType="begin"/>
      </w:r>
      <w:r>
        <w:rPr>
          <w:rFonts w:ascii="Times New Roman" w:hAnsi="Times New Roman" w:eastAsia="宋体" w:cs="Times New Roman"/>
          <w:color w:val="auto"/>
          <w:kern w:val="0"/>
          <w:sz w:val="24"/>
          <w:szCs w:val="24"/>
        </w:rPr>
        <w:instrText xml:space="preserve"> = 2 \* GB3 </w:instrText>
      </w:r>
      <w:r>
        <w:rPr>
          <w:rFonts w:ascii="Times New Roman" w:hAnsi="Times New Roman" w:eastAsia="宋体" w:cs="Times New Roman"/>
          <w:color w:val="auto"/>
          <w:kern w:val="0"/>
          <w:sz w:val="24"/>
          <w:szCs w:val="24"/>
        </w:rPr>
        <w:fldChar w:fldCharType="separate"/>
      </w:r>
      <w:r>
        <w:rPr>
          <w:rFonts w:ascii="Times New Roman" w:hAnsi="Times New Roman" w:eastAsia="宋体" w:cs="Times New Roman"/>
          <w:color w:val="auto"/>
          <w:kern w:val="0"/>
          <w:sz w:val="24"/>
          <w:szCs w:val="24"/>
        </w:rPr>
        <w:t>②</w:t>
      </w:r>
      <w:r>
        <w:rPr>
          <w:rFonts w:ascii="Times New Roman" w:hAnsi="Times New Roman" w:eastAsia="宋体" w:cs="Times New Roman"/>
          <w:color w:val="auto"/>
          <w:kern w:val="0"/>
          <w:sz w:val="24"/>
          <w:szCs w:val="24"/>
        </w:rPr>
        <w:fldChar w:fldCharType="end"/>
      </w:r>
      <w:r>
        <w:rPr>
          <w:rFonts w:ascii="Times New Roman" w:hAnsi="Times New Roman" w:eastAsia="宋体" w:cs="Times New Roman"/>
          <w:color w:val="auto"/>
          <w:kern w:val="0"/>
          <w:sz w:val="24"/>
          <w:szCs w:val="24"/>
        </w:rPr>
        <w:t>建设单位环境保护管理部门委托具有监测资质的单位负责地下水监测工作，按要求及时分析整理原始资料、监测报告的编写工作。</w:t>
      </w:r>
    </w:p>
    <w:p w14:paraId="481DC38A">
      <w:pPr>
        <w:widowControl/>
        <w:wordWrap w:val="0"/>
        <w:spacing w:line="360" w:lineRule="auto"/>
        <w:ind w:firstLine="480" w:firstLineChars="200"/>
        <w:jc w:val="left"/>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fldChar w:fldCharType="begin"/>
      </w:r>
      <w:r>
        <w:rPr>
          <w:rFonts w:ascii="Times New Roman" w:hAnsi="Times New Roman" w:eastAsia="宋体" w:cs="Times New Roman"/>
          <w:color w:val="auto"/>
          <w:kern w:val="0"/>
          <w:sz w:val="24"/>
          <w:szCs w:val="24"/>
        </w:rPr>
        <w:instrText xml:space="preserve"> = 3 \* GB3 </w:instrText>
      </w:r>
      <w:r>
        <w:rPr>
          <w:rFonts w:ascii="Times New Roman" w:hAnsi="Times New Roman" w:eastAsia="宋体" w:cs="Times New Roman"/>
          <w:color w:val="auto"/>
          <w:kern w:val="0"/>
          <w:sz w:val="24"/>
          <w:szCs w:val="24"/>
        </w:rPr>
        <w:fldChar w:fldCharType="separate"/>
      </w:r>
      <w:r>
        <w:rPr>
          <w:rFonts w:ascii="Times New Roman" w:hAnsi="Times New Roman" w:eastAsia="宋体" w:cs="Times New Roman"/>
          <w:color w:val="auto"/>
          <w:kern w:val="0"/>
          <w:sz w:val="24"/>
          <w:szCs w:val="24"/>
        </w:rPr>
        <w:t>③</w:t>
      </w:r>
      <w:r>
        <w:rPr>
          <w:rFonts w:ascii="Times New Roman" w:hAnsi="Times New Roman" w:eastAsia="宋体" w:cs="Times New Roman"/>
          <w:color w:val="auto"/>
          <w:kern w:val="0"/>
          <w:sz w:val="24"/>
          <w:szCs w:val="24"/>
        </w:rPr>
        <w:fldChar w:fldCharType="end"/>
      </w:r>
      <w:r>
        <w:rPr>
          <w:rFonts w:ascii="Times New Roman" w:hAnsi="Times New Roman" w:eastAsia="宋体" w:cs="Times New Roman"/>
          <w:color w:val="auto"/>
          <w:kern w:val="0"/>
          <w:sz w:val="24"/>
          <w:szCs w:val="24"/>
        </w:rPr>
        <w:t>建立地下水监测数据信息管理系统，并定期向公众公开监测数据。</w:t>
      </w:r>
    </w:p>
    <w:p w14:paraId="38E35C46">
      <w:pPr>
        <w:widowControl/>
        <w:wordWrap w:val="0"/>
        <w:spacing w:line="360" w:lineRule="auto"/>
        <w:ind w:firstLine="480" w:firstLineChars="200"/>
        <w:jc w:val="left"/>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fldChar w:fldCharType="begin"/>
      </w:r>
      <w:r>
        <w:rPr>
          <w:rFonts w:ascii="Times New Roman" w:hAnsi="Times New Roman" w:eastAsia="宋体" w:cs="Times New Roman"/>
          <w:color w:val="auto"/>
          <w:kern w:val="0"/>
          <w:sz w:val="24"/>
          <w:szCs w:val="24"/>
        </w:rPr>
        <w:instrText xml:space="preserve"> = 4 \* GB3 </w:instrText>
      </w:r>
      <w:r>
        <w:rPr>
          <w:rFonts w:ascii="Times New Roman" w:hAnsi="Times New Roman" w:eastAsia="宋体" w:cs="Times New Roman"/>
          <w:color w:val="auto"/>
          <w:kern w:val="0"/>
          <w:sz w:val="24"/>
          <w:szCs w:val="24"/>
        </w:rPr>
        <w:fldChar w:fldCharType="separate"/>
      </w:r>
      <w:r>
        <w:rPr>
          <w:rFonts w:ascii="Times New Roman" w:hAnsi="Times New Roman" w:eastAsia="宋体" w:cs="Times New Roman"/>
          <w:color w:val="auto"/>
          <w:kern w:val="0"/>
          <w:sz w:val="24"/>
          <w:szCs w:val="24"/>
        </w:rPr>
        <w:t>④</w:t>
      </w:r>
      <w:r>
        <w:rPr>
          <w:rFonts w:ascii="Times New Roman" w:hAnsi="Times New Roman" w:eastAsia="宋体" w:cs="Times New Roman"/>
          <w:color w:val="auto"/>
          <w:kern w:val="0"/>
          <w:sz w:val="24"/>
          <w:szCs w:val="24"/>
        </w:rPr>
        <w:fldChar w:fldCharType="end"/>
      </w:r>
      <w:r>
        <w:rPr>
          <w:rFonts w:ascii="Times New Roman" w:hAnsi="Times New Roman" w:eastAsia="宋体" w:cs="Times New Roman"/>
          <w:color w:val="auto"/>
          <w:kern w:val="0"/>
          <w:sz w:val="24"/>
          <w:szCs w:val="24"/>
        </w:rPr>
        <w:t>根据实际情况，按事故的性质、类型、影响范围、严重后果分等级地制订了相应的预案。在制定预案时根据本单位环境污染事故潜在威胁的情况，认真细致地考虑各项影响因素，适当的时候组织有关部门、人员进行演练，不断补充完善。</w:t>
      </w:r>
    </w:p>
    <w:p w14:paraId="0557CCCA">
      <w:pPr>
        <w:widowControl/>
        <w:wordWrap w:val="0"/>
        <w:spacing w:line="360" w:lineRule="auto"/>
        <w:ind w:firstLine="480" w:firstLineChars="200"/>
        <w:jc w:val="left"/>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B.技术措施</w:t>
      </w:r>
    </w:p>
    <w:p w14:paraId="14580F51">
      <w:pPr>
        <w:widowControl/>
        <w:wordWrap w:val="0"/>
        <w:spacing w:line="360" w:lineRule="auto"/>
        <w:ind w:firstLine="480" w:firstLineChars="200"/>
        <w:jc w:val="left"/>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fldChar w:fldCharType="begin"/>
      </w:r>
      <w:r>
        <w:rPr>
          <w:rFonts w:ascii="Times New Roman" w:hAnsi="Times New Roman" w:eastAsia="宋体" w:cs="Times New Roman"/>
          <w:color w:val="auto"/>
          <w:kern w:val="0"/>
          <w:sz w:val="24"/>
          <w:szCs w:val="24"/>
        </w:rPr>
        <w:instrText xml:space="preserve"> = 1 \* GB3 </w:instrText>
      </w:r>
      <w:r>
        <w:rPr>
          <w:rFonts w:ascii="Times New Roman" w:hAnsi="Times New Roman" w:eastAsia="宋体" w:cs="Times New Roman"/>
          <w:color w:val="auto"/>
          <w:kern w:val="0"/>
          <w:sz w:val="24"/>
          <w:szCs w:val="24"/>
        </w:rPr>
        <w:fldChar w:fldCharType="separate"/>
      </w:r>
      <w:r>
        <w:rPr>
          <w:rFonts w:ascii="Times New Roman" w:hAnsi="Times New Roman" w:eastAsia="宋体" w:cs="Times New Roman"/>
          <w:color w:val="auto"/>
          <w:kern w:val="0"/>
          <w:sz w:val="24"/>
          <w:szCs w:val="24"/>
        </w:rPr>
        <w:t>①</w:t>
      </w:r>
      <w:r>
        <w:rPr>
          <w:rFonts w:ascii="Times New Roman" w:hAnsi="Times New Roman" w:eastAsia="宋体" w:cs="Times New Roman"/>
          <w:color w:val="auto"/>
          <w:kern w:val="0"/>
          <w:sz w:val="24"/>
          <w:szCs w:val="24"/>
        </w:rPr>
        <w:fldChar w:fldCharType="end"/>
      </w:r>
      <w:r>
        <w:rPr>
          <w:rFonts w:ascii="Times New Roman" w:hAnsi="Times New Roman" w:eastAsia="宋体" w:cs="Times New Roman"/>
          <w:color w:val="auto"/>
          <w:kern w:val="0"/>
          <w:sz w:val="24"/>
          <w:szCs w:val="24"/>
        </w:rPr>
        <w:t>按照《地下水环境监测技术规范》（HJ/T164-2004）要求，及时上报监测数据和有关表格。</w:t>
      </w:r>
    </w:p>
    <w:p w14:paraId="1150572B">
      <w:pPr>
        <w:widowControl/>
        <w:spacing w:line="360" w:lineRule="auto"/>
        <w:ind w:firstLine="480" w:firstLineChars="200"/>
        <w:jc w:val="left"/>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fldChar w:fldCharType="begin"/>
      </w:r>
      <w:r>
        <w:rPr>
          <w:rFonts w:ascii="Times New Roman" w:hAnsi="Times New Roman" w:eastAsia="宋体" w:cs="Times New Roman"/>
          <w:color w:val="auto"/>
          <w:kern w:val="0"/>
          <w:sz w:val="24"/>
          <w:szCs w:val="24"/>
        </w:rPr>
        <w:instrText xml:space="preserve"> = 2 \* GB3 </w:instrText>
      </w:r>
      <w:r>
        <w:rPr>
          <w:rFonts w:ascii="Times New Roman" w:hAnsi="Times New Roman" w:eastAsia="宋体" w:cs="Times New Roman"/>
          <w:color w:val="auto"/>
          <w:kern w:val="0"/>
          <w:sz w:val="24"/>
          <w:szCs w:val="24"/>
        </w:rPr>
        <w:fldChar w:fldCharType="separate"/>
      </w:r>
      <w:r>
        <w:rPr>
          <w:rFonts w:ascii="Times New Roman" w:hAnsi="Times New Roman" w:eastAsia="宋体" w:cs="Times New Roman"/>
          <w:color w:val="auto"/>
          <w:kern w:val="0"/>
          <w:sz w:val="24"/>
          <w:szCs w:val="24"/>
        </w:rPr>
        <w:t>②</w:t>
      </w:r>
      <w:r>
        <w:rPr>
          <w:rFonts w:ascii="Times New Roman" w:hAnsi="Times New Roman" w:eastAsia="宋体" w:cs="Times New Roman"/>
          <w:color w:val="auto"/>
          <w:kern w:val="0"/>
          <w:sz w:val="24"/>
          <w:szCs w:val="24"/>
        </w:rPr>
        <w:fldChar w:fldCharType="end"/>
      </w:r>
      <w:r>
        <w:rPr>
          <w:rFonts w:ascii="Times New Roman" w:hAnsi="Times New Roman" w:eastAsia="宋体" w:cs="Times New Roman"/>
          <w:color w:val="auto"/>
          <w:kern w:val="0"/>
          <w:sz w:val="24"/>
          <w:szCs w:val="24"/>
        </w:rPr>
        <w:t>在日常例行监测中，一旦发现地下水水质监测数据异常，应尽快核查数据，确保数据的正确性。并将核查过的监测数据通知单位安全环保部门，由专人负责对数据进行分析、核实，并密切关注生产设施的运行情况，为防止地下水污染采取措施提供正确的依据。应采取的措施如下：了解生产是否出现异常情况，出现异常情况的装置、原因。加大监测密度，如监测频率由每月（季）一次临时加密为每天一次或更多，连续多天，分析变化动向；周期性地编写地下水动态监测报告；定期对污染区的生产装置进行检查。</w:t>
      </w:r>
    </w:p>
    <w:p w14:paraId="522CBDB3">
      <w:pPr>
        <w:spacing w:line="360" w:lineRule="auto"/>
        <w:ind w:firstLine="480" w:firstLineChars="200"/>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通过以上处理措施后，项目地下水污染在可控范围内，措施可行。</w:t>
      </w:r>
    </w:p>
    <w:p w14:paraId="197654E5">
      <w:pPr>
        <w:keepNext/>
        <w:keepLines/>
        <w:spacing w:before="156" w:beforeLines="50" w:after="156" w:afterLines="50" w:line="416" w:lineRule="auto"/>
        <w:outlineLvl w:val="2"/>
        <w:rPr>
          <w:rFonts w:ascii="Times New Roman" w:hAnsi="Times New Roman" w:eastAsia="宋体" w:cs="Times New Roman"/>
          <w:b/>
          <w:color w:val="auto"/>
          <w:kern w:val="0"/>
          <w:sz w:val="24"/>
          <w:szCs w:val="24"/>
        </w:rPr>
      </w:pPr>
      <w:r>
        <w:rPr>
          <w:rFonts w:hint="eastAsia" w:ascii="Times New Roman" w:hAnsi="Times New Roman" w:eastAsia="宋体" w:cs="Times New Roman"/>
          <w:b/>
          <w:color w:val="auto"/>
          <w:kern w:val="0"/>
          <w:sz w:val="24"/>
          <w:szCs w:val="24"/>
        </w:rPr>
        <w:t>7.2.3 固体废物污染防治措施及可行性分析</w:t>
      </w:r>
    </w:p>
    <w:p w14:paraId="6BA39900">
      <w:pPr>
        <w:keepNext/>
        <w:keepLines/>
        <w:spacing w:line="360" w:lineRule="auto"/>
        <w:outlineLvl w:val="3"/>
        <w:rPr>
          <w:rFonts w:ascii="Times New Roman" w:hAnsi="Times New Roman" w:eastAsia="黑体" w:cs="Times New Roman"/>
          <w:b/>
          <w:color w:val="auto"/>
          <w:sz w:val="24"/>
          <w:szCs w:val="24"/>
        </w:rPr>
      </w:pPr>
      <w:r>
        <w:rPr>
          <w:rFonts w:hint="eastAsia" w:ascii="Times New Roman" w:hAnsi="Times New Roman" w:eastAsia="黑体" w:cs="Times New Roman"/>
          <w:b/>
          <w:color w:val="auto"/>
          <w:sz w:val="24"/>
          <w:szCs w:val="24"/>
        </w:rPr>
        <w:t xml:space="preserve">7.2.3.1 </w:t>
      </w:r>
      <w:r>
        <w:rPr>
          <w:rFonts w:hint="eastAsia" w:ascii="宋体" w:hAnsi="宋体" w:eastAsia="宋体" w:cs="宋体"/>
          <w:b/>
          <w:color w:val="auto"/>
          <w:sz w:val="24"/>
          <w:szCs w:val="24"/>
        </w:rPr>
        <w:t>固体废物污染防治措施</w:t>
      </w:r>
    </w:p>
    <w:p w14:paraId="7E317D99">
      <w:pPr>
        <w:spacing w:line="360" w:lineRule="auto"/>
        <w:ind w:firstLine="480" w:firstLineChars="200"/>
        <w:rPr>
          <w:rFonts w:ascii="Times New Roman" w:hAnsi="Times New Roman" w:eastAsia="宋体" w:cs="Times New Roman"/>
          <w:color w:val="auto"/>
          <w:kern w:val="0"/>
          <w:sz w:val="24"/>
          <w:szCs w:val="24"/>
        </w:rPr>
      </w:pPr>
      <w:r>
        <w:rPr>
          <w:rFonts w:hint="eastAsia" w:ascii="Times New Roman" w:hAnsi="Times New Roman" w:eastAsia="宋体" w:cs="Times New Roman"/>
          <w:color w:val="auto"/>
          <w:kern w:val="0"/>
          <w:sz w:val="24"/>
          <w:szCs w:val="24"/>
        </w:rPr>
        <w:t>本项目营运后产生的固体废物主要为</w:t>
      </w:r>
      <w:r>
        <w:rPr>
          <w:rFonts w:hint="eastAsia" w:ascii="Times New Roman" w:hAnsi="Times New Roman" w:eastAsia="宋体" w:cs="Times New Roman"/>
          <w:color w:val="auto"/>
          <w:kern w:val="0"/>
          <w:sz w:val="24"/>
          <w:szCs w:val="24"/>
          <w:lang w:val="en-US" w:eastAsia="zh-CN"/>
        </w:rPr>
        <w:t>生产固废、污水站污泥、废包装物、废矿物油</w:t>
      </w:r>
      <w:r>
        <w:rPr>
          <w:rFonts w:hint="eastAsia" w:ascii="Times New Roman" w:hAnsi="Times New Roman" w:eastAsia="宋体" w:cs="Times New Roman"/>
          <w:color w:val="auto"/>
          <w:kern w:val="0"/>
          <w:sz w:val="24"/>
          <w:szCs w:val="24"/>
        </w:rPr>
        <w:t>和生活垃圾，</w:t>
      </w:r>
      <w:r>
        <w:rPr>
          <w:rFonts w:hint="eastAsia" w:ascii="Times New Roman" w:hAnsi="Times New Roman" w:eastAsia="宋体" w:cs="Times New Roman"/>
          <w:color w:val="auto"/>
          <w:kern w:val="0"/>
          <w:sz w:val="24"/>
          <w:szCs w:val="24"/>
          <w:lang w:val="en-US" w:eastAsia="zh-CN"/>
        </w:rPr>
        <w:t>生产</w:t>
      </w:r>
      <w:r>
        <w:rPr>
          <w:rFonts w:hint="eastAsia" w:ascii="Times New Roman" w:hAnsi="Times New Roman" w:eastAsia="宋体" w:cs="Times New Roman"/>
          <w:color w:val="auto"/>
          <w:kern w:val="0"/>
          <w:sz w:val="24"/>
          <w:szCs w:val="24"/>
        </w:rPr>
        <w:t>固废为</w:t>
      </w:r>
      <w:r>
        <w:rPr>
          <w:rFonts w:hint="eastAsia" w:ascii="Times New Roman" w:hAnsi="Times New Roman" w:eastAsia="宋体" w:cs="Times New Roman"/>
          <w:color w:val="auto"/>
          <w:kern w:val="0"/>
          <w:sz w:val="24"/>
          <w:szCs w:val="24"/>
          <w:lang w:val="en-US" w:eastAsia="zh-CN"/>
        </w:rPr>
        <w:t>板框过滤菌渣、板框过滤碳渣、液糖生产滤渣，污水处理站污泥需进行危废鉴定，根据鉴定结果确定处理方式，未鉴定前按危废管理，则</w:t>
      </w:r>
      <w:r>
        <w:rPr>
          <w:rFonts w:hint="eastAsia" w:ascii="Times New Roman" w:hAnsi="Times New Roman" w:eastAsia="宋体" w:cs="Times New Roman"/>
          <w:color w:val="auto"/>
          <w:kern w:val="0"/>
          <w:sz w:val="24"/>
          <w:szCs w:val="24"/>
        </w:rPr>
        <w:t>危险固废包括：</w:t>
      </w:r>
      <w:r>
        <w:rPr>
          <w:rFonts w:hint="eastAsia" w:ascii="Times New Roman" w:hAnsi="Times New Roman" w:eastAsia="宋体" w:cs="Times New Roman"/>
          <w:color w:val="auto"/>
          <w:kern w:val="0"/>
          <w:sz w:val="24"/>
          <w:szCs w:val="24"/>
          <w:lang w:val="en-US" w:eastAsia="zh-CN"/>
        </w:rPr>
        <w:t>污水站污泥、废矿物油</w:t>
      </w:r>
      <w:r>
        <w:rPr>
          <w:rFonts w:hint="eastAsia" w:ascii="Times New Roman" w:hAnsi="Times New Roman" w:eastAsia="宋体" w:cs="Times New Roman"/>
          <w:color w:val="auto"/>
          <w:kern w:val="0"/>
          <w:sz w:val="24"/>
          <w:szCs w:val="24"/>
          <w:lang w:val="zh-CN"/>
        </w:rPr>
        <w:t>。</w:t>
      </w:r>
    </w:p>
    <w:p w14:paraId="4BAC464D">
      <w:pPr>
        <w:widowControl/>
        <w:spacing w:line="360" w:lineRule="auto"/>
        <w:ind w:firstLine="482" w:firstLineChars="200"/>
        <w:jc w:val="left"/>
        <w:rPr>
          <w:rFonts w:hint="eastAsia" w:ascii="宋体" w:hAnsi="宋体" w:eastAsia="宋体" w:cs="宋体"/>
          <w:b/>
          <w:bCs/>
          <w:color w:val="auto"/>
          <w:kern w:val="0"/>
          <w:sz w:val="24"/>
        </w:rPr>
      </w:pPr>
      <w:r>
        <w:rPr>
          <w:rFonts w:hint="eastAsia" w:ascii="宋体" w:hAnsi="宋体" w:eastAsia="宋体" w:cs="宋体"/>
          <w:b/>
          <w:bCs/>
          <w:color w:val="auto"/>
          <w:kern w:val="0"/>
          <w:sz w:val="24"/>
        </w:rPr>
        <w:t>（1）危险固废处理措施</w:t>
      </w:r>
    </w:p>
    <w:p w14:paraId="2B11CB38">
      <w:pPr>
        <w:widowControl/>
        <w:spacing w:line="360" w:lineRule="auto"/>
        <w:ind w:firstLine="480" w:firstLineChars="200"/>
        <w:jc w:val="left"/>
        <w:rPr>
          <w:rFonts w:ascii="Times New Roman" w:hAnsi="Times New Roman" w:eastAsia="宋体" w:cs="Times New Roman"/>
          <w:color w:val="auto"/>
          <w:kern w:val="0"/>
          <w:sz w:val="24"/>
        </w:rPr>
      </w:pPr>
      <w:r>
        <w:rPr>
          <w:rFonts w:hint="eastAsia" w:ascii="Times New Roman" w:hAnsi="Times New Roman" w:eastAsia="宋体" w:cs="Times New Roman"/>
          <w:color w:val="auto"/>
          <w:kern w:val="0"/>
          <w:sz w:val="24"/>
          <w:lang w:val="en-US" w:eastAsia="zh-CN"/>
        </w:rPr>
        <w:t>新合新生物科技</w:t>
      </w:r>
      <w:r>
        <w:rPr>
          <w:rFonts w:ascii="Times New Roman" w:hAnsi="Times New Roman" w:eastAsia="宋体" w:cs="Times New Roman"/>
          <w:color w:val="auto"/>
          <w:kern w:val="0"/>
          <w:sz w:val="24"/>
        </w:rPr>
        <w:t>公司厂区内已设置了一座危废暂存间，位置位于厂区</w:t>
      </w:r>
      <w:r>
        <w:rPr>
          <w:rFonts w:hint="eastAsia" w:ascii="Times New Roman" w:hAnsi="Times New Roman" w:eastAsia="宋体" w:cs="Times New Roman"/>
          <w:color w:val="auto"/>
          <w:kern w:val="0"/>
          <w:sz w:val="24"/>
          <w:lang w:val="en-US" w:eastAsia="zh-CN"/>
        </w:rPr>
        <w:t>东北</w:t>
      </w:r>
      <w:r>
        <w:rPr>
          <w:rFonts w:hint="eastAsia" w:ascii="Times New Roman" w:hAnsi="Times New Roman" w:eastAsia="宋体" w:cs="Times New Roman"/>
          <w:color w:val="auto"/>
          <w:kern w:val="0"/>
          <w:sz w:val="24"/>
        </w:rPr>
        <w:t>侧（污水处理站东北侧）</w:t>
      </w:r>
      <w:r>
        <w:rPr>
          <w:rFonts w:ascii="Times New Roman" w:hAnsi="Times New Roman" w:eastAsia="宋体" w:cs="Times New Roman"/>
          <w:color w:val="auto"/>
          <w:kern w:val="0"/>
          <w:sz w:val="24"/>
        </w:rPr>
        <w:t>，面积为7</w:t>
      </w:r>
      <w:r>
        <w:rPr>
          <w:rFonts w:hint="eastAsia" w:ascii="Times New Roman" w:hAnsi="Times New Roman" w:eastAsia="宋体" w:cs="Times New Roman"/>
          <w:color w:val="auto"/>
          <w:kern w:val="0"/>
          <w:sz w:val="24"/>
        </w:rPr>
        <w:t>0</w:t>
      </w:r>
      <w:r>
        <w:rPr>
          <w:rFonts w:hint="eastAsia" w:ascii="Times New Roman" w:hAnsi="Times New Roman" w:eastAsia="宋体" w:cs="Times New Roman"/>
          <w:color w:val="auto"/>
          <w:kern w:val="0"/>
          <w:sz w:val="24"/>
          <w:lang w:eastAsia="zh-CN"/>
        </w:rPr>
        <w:t>m</w:t>
      </w:r>
      <w:r>
        <w:rPr>
          <w:rFonts w:hint="eastAsia" w:ascii="Times New Roman" w:hAnsi="Times New Roman" w:eastAsia="宋体" w:cs="Times New Roman"/>
          <w:color w:val="auto"/>
          <w:kern w:val="0"/>
          <w:sz w:val="24"/>
          <w:vertAlign w:val="superscript"/>
          <w:lang w:eastAsia="zh-CN"/>
        </w:rPr>
        <w:t>2</w:t>
      </w:r>
      <w:r>
        <w:rPr>
          <w:rFonts w:ascii="Times New Roman" w:hAnsi="Times New Roman" w:eastAsia="宋体" w:cs="Times New Roman"/>
          <w:color w:val="auto"/>
          <w:kern w:val="0"/>
          <w:sz w:val="24"/>
        </w:rPr>
        <w:t>，</w:t>
      </w:r>
      <w:r>
        <w:rPr>
          <w:rFonts w:hint="eastAsia" w:ascii="Times New Roman" w:hAnsi="Times New Roman" w:eastAsia="宋体" w:cs="Times New Roman"/>
          <w:color w:val="auto"/>
          <w:kern w:val="0"/>
          <w:sz w:val="24"/>
        </w:rPr>
        <w:t>本项目危险废物的暂存依托现有危废暂存间。根据现有工程调查及建设单位提供的资料，2023年危险废物产生量为</w:t>
      </w:r>
      <w:r>
        <w:rPr>
          <w:rFonts w:hint="eastAsia" w:ascii="Times New Roman" w:hAnsi="Times New Roman" w:eastAsia="宋体" w:cs="Times New Roman"/>
          <w:color w:val="auto"/>
          <w:kern w:val="0"/>
          <w:sz w:val="24"/>
          <w:lang w:val="en-US" w:eastAsia="zh-CN"/>
        </w:rPr>
        <w:t>1310.342</w:t>
      </w:r>
      <w:r>
        <w:rPr>
          <w:rFonts w:hint="eastAsia" w:ascii="Times New Roman" w:hAnsi="Times New Roman" w:eastAsia="宋体" w:cs="Times New Roman"/>
          <w:color w:val="auto"/>
          <w:kern w:val="0"/>
          <w:sz w:val="24"/>
        </w:rPr>
        <w:t>t，危废暂存间满足其暂存要求。现有工程危险废物暂存间分区及暂存情况</w:t>
      </w:r>
      <w:r>
        <w:rPr>
          <w:rFonts w:hint="eastAsia" w:ascii="Times New Roman" w:hAnsi="Times New Roman" w:eastAsia="宋体" w:cs="Times New Roman"/>
          <w:color w:val="auto"/>
          <w:kern w:val="0"/>
          <w:sz w:val="24"/>
          <w:szCs w:val="24"/>
        </w:rPr>
        <w:t>详见现有工程危废暂存间章节。</w:t>
      </w:r>
    </w:p>
    <w:p w14:paraId="105A007C">
      <w:pPr>
        <w:widowControl/>
        <w:spacing w:line="360" w:lineRule="auto"/>
        <w:ind w:firstLine="480" w:firstLineChars="200"/>
        <w:jc w:val="left"/>
        <w:rPr>
          <w:rFonts w:hint="eastAsia" w:ascii="Times New Roman" w:hAnsi="Times New Roman" w:eastAsia="宋体" w:cs="Times New Roman"/>
          <w:color w:val="FF0000"/>
          <w:kern w:val="0"/>
          <w:sz w:val="24"/>
          <w:lang w:val="en-US" w:eastAsia="zh-CN"/>
        </w:rPr>
      </w:pPr>
      <w:r>
        <w:rPr>
          <w:rFonts w:hint="eastAsia" w:ascii="Times New Roman" w:hAnsi="Times New Roman" w:eastAsia="宋体" w:cs="Times New Roman"/>
          <w:color w:val="auto"/>
          <w:kern w:val="0"/>
          <w:sz w:val="24"/>
        </w:rPr>
        <w:t>本项目建成后，危险废物产生量为</w:t>
      </w:r>
      <w:r>
        <w:rPr>
          <w:rFonts w:hint="eastAsia" w:ascii="Times New Roman" w:hAnsi="Times New Roman" w:eastAsia="宋体" w:cs="Times New Roman"/>
          <w:color w:val="auto"/>
          <w:kern w:val="0"/>
          <w:sz w:val="24"/>
          <w:lang w:val="en-US" w:eastAsia="zh-CN"/>
        </w:rPr>
        <w:t>93.82</w:t>
      </w:r>
      <w:r>
        <w:rPr>
          <w:rFonts w:hint="eastAsia" w:ascii="Times New Roman" w:hAnsi="Times New Roman" w:eastAsia="宋体" w:cs="Times New Roman"/>
          <w:color w:val="auto"/>
          <w:kern w:val="0"/>
          <w:sz w:val="24"/>
        </w:rPr>
        <w:t>t/a，对比现有工程危险废物暂存种类，新增</w:t>
      </w:r>
      <w:r>
        <w:rPr>
          <w:rFonts w:hint="eastAsia" w:ascii="Times New Roman" w:hAnsi="Times New Roman" w:eastAsia="宋体" w:cs="Times New Roman"/>
          <w:color w:val="auto"/>
          <w:kern w:val="0"/>
          <w:sz w:val="24"/>
          <w:lang w:val="en-US" w:eastAsia="zh-CN"/>
        </w:rPr>
        <w:t>污水站污泥，废矿物油</w:t>
      </w:r>
      <w:r>
        <w:rPr>
          <w:rFonts w:hint="eastAsia" w:ascii="Times New Roman" w:hAnsi="Times New Roman" w:eastAsia="宋体" w:cs="Times New Roman"/>
          <w:color w:val="auto"/>
          <w:kern w:val="0"/>
          <w:sz w:val="24"/>
        </w:rPr>
        <w:t>可利用现有</w:t>
      </w:r>
      <w:r>
        <w:rPr>
          <w:rFonts w:hint="eastAsia" w:ascii="Times New Roman" w:hAnsi="Times New Roman" w:eastAsia="宋体" w:cs="Times New Roman"/>
          <w:color w:val="auto"/>
          <w:kern w:val="0"/>
          <w:sz w:val="24"/>
          <w:lang w:val="en-US" w:eastAsia="zh-CN"/>
        </w:rPr>
        <w:t>废矿物油</w:t>
      </w:r>
      <w:r>
        <w:rPr>
          <w:rFonts w:hint="eastAsia" w:ascii="Times New Roman" w:hAnsi="Times New Roman" w:eastAsia="宋体" w:cs="Times New Roman"/>
          <w:color w:val="auto"/>
          <w:kern w:val="0"/>
          <w:sz w:val="24"/>
        </w:rPr>
        <w:t>暂存区进行单独存储，需新增暂存区域</w:t>
      </w:r>
      <w:r>
        <w:rPr>
          <w:rFonts w:hint="eastAsia" w:ascii="Times New Roman" w:hAnsi="Times New Roman" w:eastAsia="宋体" w:cs="Times New Roman"/>
          <w:color w:val="auto"/>
          <w:kern w:val="0"/>
          <w:sz w:val="24"/>
          <w:lang w:val="en-US" w:eastAsia="zh-CN"/>
        </w:rPr>
        <w:t>暂存污水站污泥</w:t>
      </w:r>
      <w:r>
        <w:rPr>
          <w:rFonts w:hint="eastAsia" w:ascii="Times New Roman" w:hAnsi="Times New Roman" w:eastAsia="宋体" w:cs="Times New Roman"/>
          <w:color w:val="auto"/>
          <w:kern w:val="0"/>
          <w:sz w:val="24"/>
        </w:rPr>
        <w:t>。</w:t>
      </w:r>
      <w:r>
        <w:rPr>
          <w:rFonts w:hint="eastAsia" w:ascii="Times New Roman" w:hAnsi="Times New Roman" w:eastAsia="宋体" w:cs="Times New Roman"/>
          <w:color w:val="auto"/>
          <w:kern w:val="0"/>
          <w:sz w:val="24"/>
          <w:lang w:val="en-US" w:eastAsia="zh-CN"/>
        </w:rPr>
        <w:t>本项目完成后，全厂危废产生情况见下表。</w:t>
      </w:r>
    </w:p>
    <w:p w14:paraId="711C6945">
      <w:pPr>
        <w:pStyle w:val="6"/>
        <w:bidi w:val="0"/>
        <w:rPr>
          <w:rFonts w:hint="eastAsia"/>
          <w:lang w:val="en-US" w:eastAsia="zh-CN"/>
        </w:rPr>
      </w:pPr>
      <w:r>
        <w:rPr>
          <w:rFonts w:hint="eastAsia"/>
          <w:lang w:val="en-US" w:eastAsia="zh-CN"/>
        </w:rPr>
        <w:t>表7.2.3-1 危废暂存间分区及暂存情况一览表</w:t>
      </w:r>
    </w:p>
    <w:tbl>
      <w:tblPr>
        <w:tblStyle w:val="4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5"/>
        <w:gridCol w:w="1065"/>
        <w:gridCol w:w="1065"/>
        <w:gridCol w:w="1065"/>
        <w:gridCol w:w="1065"/>
        <w:gridCol w:w="1065"/>
        <w:gridCol w:w="1066"/>
        <w:gridCol w:w="1066"/>
      </w:tblGrid>
      <w:tr w14:paraId="20357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5" w:type="dxa"/>
            <w:vAlign w:val="center"/>
          </w:tcPr>
          <w:p w14:paraId="0EC989C5">
            <w:pPr>
              <w:pStyle w:val="52"/>
              <w:bidi w:val="0"/>
              <w:jc w:val="center"/>
              <w:rPr>
                <w:rFonts w:hint="default"/>
                <w:lang w:val="en-US" w:eastAsia="zh-CN"/>
              </w:rPr>
            </w:pPr>
            <w:r>
              <w:rPr>
                <w:rFonts w:hint="eastAsia"/>
                <w:lang w:val="en-US" w:eastAsia="zh-CN"/>
              </w:rPr>
              <w:t>危废种类</w:t>
            </w:r>
          </w:p>
        </w:tc>
        <w:tc>
          <w:tcPr>
            <w:tcW w:w="1065" w:type="dxa"/>
            <w:vAlign w:val="center"/>
          </w:tcPr>
          <w:p w14:paraId="4558CE13">
            <w:pPr>
              <w:pStyle w:val="52"/>
              <w:bidi w:val="0"/>
              <w:jc w:val="center"/>
              <w:rPr>
                <w:rFonts w:hint="default"/>
                <w:lang w:val="en-US" w:eastAsia="zh-CN"/>
              </w:rPr>
            </w:pPr>
            <w:r>
              <w:rPr>
                <w:rFonts w:hint="eastAsia"/>
                <w:lang w:val="en-US" w:eastAsia="zh-CN"/>
              </w:rPr>
              <w:t>占地面积</w:t>
            </w:r>
          </w:p>
        </w:tc>
        <w:tc>
          <w:tcPr>
            <w:tcW w:w="1065" w:type="dxa"/>
            <w:vAlign w:val="center"/>
          </w:tcPr>
          <w:p w14:paraId="5EC92591">
            <w:pPr>
              <w:pStyle w:val="52"/>
              <w:bidi w:val="0"/>
              <w:jc w:val="center"/>
              <w:rPr>
                <w:rFonts w:hint="default"/>
                <w:lang w:val="en-US" w:eastAsia="zh-CN"/>
              </w:rPr>
            </w:pPr>
            <w:r>
              <w:rPr>
                <w:rFonts w:hint="eastAsia"/>
                <w:lang w:val="en-US" w:eastAsia="zh-CN"/>
              </w:rPr>
              <w:t>贮存方式</w:t>
            </w:r>
          </w:p>
        </w:tc>
        <w:tc>
          <w:tcPr>
            <w:tcW w:w="1065" w:type="dxa"/>
            <w:vAlign w:val="center"/>
          </w:tcPr>
          <w:p w14:paraId="30BA1D37">
            <w:pPr>
              <w:pStyle w:val="52"/>
              <w:bidi w:val="0"/>
              <w:jc w:val="center"/>
              <w:rPr>
                <w:rFonts w:hint="default"/>
                <w:lang w:val="en-US" w:eastAsia="zh-CN"/>
              </w:rPr>
            </w:pPr>
            <w:r>
              <w:rPr>
                <w:rFonts w:hint="eastAsia"/>
                <w:lang w:val="en-US" w:eastAsia="zh-CN"/>
              </w:rPr>
              <w:t>贮存能力</w:t>
            </w:r>
          </w:p>
        </w:tc>
        <w:tc>
          <w:tcPr>
            <w:tcW w:w="1065" w:type="dxa"/>
            <w:vAlign w:val="center"/>
          </w:tcPr>
          <w:p w14:paraId="71E4ED08">
            <w:pPr>
              <w:pStyle w:val="52"/>
              <w:bidi w:val="0"/>
              <w:jc w:val="center"/>
              <w:rPr>
                <w:rFonts w:hint="default"/>
                <w:lang w:val="en-US" w:eastAsia="zh-CN"/>
              </w:rPr>
            </w:pPr>
            <w:r>
              <w:rPr>
                <w:rFonts w:hint="eastAsia"/>
                <w:lang w:val="en-US" w:eastAsia="zh-CN"/>
              </w:rPr>
              <w:t>贮存周期</w:t>
            </w:r>
          </w:p>
        </w:tc>
        <w:tc>
          <w:tcPr>
            <w:tcW w:w="1065" w:type="dxa"/>
            <w:vAlign w:val="center"/>
          </w:tcPr>
          <w:p w14:paraId="55EEF331">
            <w:pPr>
              <w:pStyle w:val="52"/>
              <w:bidi w:val="0"/>
              <w:jc w:val="center"/>
              <w:rPr>
                <w:rFonts w:hint="default"/>
                <w:lang w:val="en-US" w:eastAsia="zh-CN"/>
              </w:rPr>
            </w:pPr>
            <w:r>
              <w:rPr>
                <w:rFonts w:hint="eastAsia"/>
                <w:lang w:val="en-US" w:eastAsia="zh-CN"/>
              </w:rPr>
              <w:t>年产量</w:t>
            </w:r>
          </w:p>
        </w:tc>
        <w:tc>
          <w:tcPr>
            <w:tcW w:w="1066" w:type="dxa"/>
            <w:vAlign w:val="center"/>
          </w:tcPr>
          <w:p w14:paraId="5B7B88CC">
            <w:pPr>
              <w:pStyle w:val="52"/>
              <w:bidi w:val="0"/>
              <w:jc w:val="center"/>
              <w:rPr>
                <w:rFonts w:hint="default"/>
                <w:lang w:val="en-US" w:eastAsia="zh-CN"/>
              </w:rPr>
            </w:pPr>
            <w:r>
              <w:rPr>
                <w:rFonts w:hint="eastAsia"/>
                <w:lang w:val="en-US" w:eastAsia="zh-CN"/>
              </w:rPr>
              <w:t>贮存周期内产生量</w:t>
            </w:r>
          </w:p>
        </w:tc>
        <w:tc>
          <w:tcPr>
            <w:tcW w:w="1066" w:type="dxa"/>
            <w:vAlign w:val="center"/>
          </w:tcPr>
          <w:p w14:paraId="08E77DF7">
            <w:pPr>
              <w:pStyle w:val="52"/>
              <w:bidi w:val="0"/>
              <w:jc w:val="center"/>
              <w:rPr>
                <w:rFonts w:hint="default"/>
                <w:lang w:val="en-US" w:eastAsia="zh-CN"/>
              </w:rPr>
            </w:pPr>
            <w:r>
              <w:rPr>
                <w:rFonts w:hint="eastAsia"/>
                <w:lang w:val="en-US" w:eastAsia="zh-CN"/>
              </w:rPr>
              <w:t>备注</w:t>
            </w:r>
          </w:p>
        </w:tc>
      </w:tr>
      <w:tr w14:paraId="77FB7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5" w:type="dxa"/>
            <w:shd w:val="clear" w:color="auto" w:fill="auto"/>
            <w:vAlign w:val="center"/>
          </w:tcPr>
          <w:p w14:paraId="0AAEF3B9">
            <w:pPr>
              <w:widowControl/>
              <w:jc w:val="center"/>
              <w:rPr>
                <w:rFonts w:hint="default" w:ascii="Times New Roman" w:hAnsi="Times New Roman" w:eastAsia="宋体" w:cs="Times New Roman"/>
                <w:color w:val="auto"/>
                <w:kern w:val="0"/>
                <w:sz w:val="21"/>
                <w:szCs w:val="21"/>
                <w:highlight w:val="none"/>
                <w:u w:val="none"/>
                <w:lang w:val="en-US" w:eastAsia="zh-CN" w:bidi="ar-SA"/>
              </w:rPr>
            </w:pPr>
            <w:r>
              <w:rPr>
                <w:rFonts w:hint="eastAsia" w:ascii="Times New Roman" w:hAnsi="Times New Roman" w:eastAsia="宋体" w:cs="Times New Roman"/>
                <w:color w:val="auto"/>
                <w:kern w:val="0"/>
                <w:szCs w:val="21"/>
                <w:highlight w:val="none"/>
                <w:u w:val="none"/>
                <w:lang w:val="en-US" w:eastAsia="zh-CN"/>
              </w:rPr>
              <w:t>废包装物</w:t>
            </w:r>
            <w:r>
              <w:rPr>
                <w:rFonts w:hint="eastAsia" w:ascii="Times New Roman" w:hAnsi="Times New Roman" w:eastAsia="宋体" w:cs="Times New Roman"/>
                <w:color w:val="auto"/>
                <w:kern w:val="0"/>
                <w:szCs w:val="21"/>
                <w:highlight w:val="none"/>
                <w:u w:val="none"/>
              </w:rPr>
              <w:t>贮存区</w:t>
            </w:r>
          </w:p>
        </w:tc>
        <w:tc>
          <w:tcPr>
            <w:tcW w:w="1065" w:type="dxa"/>
            <w:shd w:val="clear" w:color="auto" w:fill="auto"/>
            <w:vAlign w:val="center"/>
          </w:tcPr>
          <w:p w14:paraId="6FC7AB5E">
            <w:pPr>
              <w:widowControl/>
              <w:jc w:val="center"/>
              <w:rPr>
                <w:rFonts w:hint="default" w:ascii="Times New Roman" w:hAnsi="Times New Roman" w:eastAsia="宋体" w:cs="Times New Roman"/>
                <w:color w:val="auto"/>
                <w:kern w:val="0"/>
                <w:sz w:val="21"/>
                <w:szCs w:val="21"/>
                <w:highlight w:val="none"/>
                <w:u w:val="none"/>
                <w:lang w:val="en-US" w:eastAsia="zh-CN" w:bidi="ar-SA"/>
              </w:rPr>
            </w:pPr>
            <w:r>
              <w:rPr>
                <w:rFonts w:hint="eastAsia" w:ascii="Times New Roman" w:hAnsi="Times New Roman" w:eastAsia="宋体" w:cs="Times New Roman"/>
                <w:color w:val="auto"/>
                <w:kern w:val="0"/>
                <w:szCs w:val="21"/>
                <w:highlight w:val="none"/>
                <w:u w:val="none"/>
                <w:lang w:val="en-US" w:eastAsia="zh-CN"/>
              </w:rPr>
              <w:t>12</w:t>
            </w:r>
          </w:p>
        </w:tc>
        <w:tc>
          <w:tcPr>
            <w:tcW w:w="1065" w:type="dxa"/>
            <w:shd w:val="clear" w:color="auto" w:fill="auto"/>
            <w:vAlign w:val="center"/>
          </w:tcPr>
          <w:p w14:paraId="21E8809E">
            <w:pPr>
              <w:widowControl/>
              <w:jc w:val="center"/>
              <w:rPr>
                <w:rFonts w:hint="default" w:ascii="Times New Roman" w:hAnsi="Times New Roman" w:eastAsia="宋体" w:cs="Times New Roman"/>
                <w:color w:val="auto"/>
                <w:kern w:val="0"/>
                <w:sz w:val="21"/>
                <w:szCs w:val="21"/>
                <w:highlight w:val="none"/>
                <w:u w:val="none"/>
                <w:lang w:val="en-US" w:eastAsia="zh-CN" w:bidi="ar-SA"/>
              </w:rPr>
            </w:pPr>
            <w:r>
              <w:rPr>
                <w:rFonts w:hint="eastAsia" w:ascii="Times New Roman" w:hAnsi="Times New Roman" w:eastAsia="宋体" w:cs="Times New Roman"/>
                <w:color w:val="auto"/>
                <w:kern w:val="0"/>
                <w:szCs w:val="21"/>
                <w:highlight w:val="none"/>
                <w:u w:val="none"/>
                <w:lang w:val="en-US" w:eastAsia="zh-CN"/>
              </w:rPr>
              <w:t>袋装</w:t>
            </w:r>
          </w:p>
        </w:tc>
        <w:tc>
          <w:tcPr>
            <w:tcW w:w="1065" w:type="dxa"/>
            <w:shd w:val="clear" w:color="auto" w:fill="auto"/>
            <w:vAlign w:val="center"/>
          </w:tcPr>
          <w:p w14:paraId="7B141BEB">
            <w:pPr>
              <w:widowControl/>
              <w:jc w:val="center"/>
              <w:rPr>
                <w:rFonts w:hint="default" w:ascii="Times New Roman" w:hAnsi="Times New Roman" w:eastAsia="宋体" w:cs="Times New Roman"/>
                <w:color w:val="auto"/>
                <w:kern w:val="0"/>
                <w:sz w:val="21"/>
                <w:szCs w:val="21"/>
                <w:highlight w:val="none"/>
                <w:u w:val="none"/>
                <w:lang w:val="en-US" w:eastAsia="zh-CN" w:bidi="ar-SA"/>
              </w:rPr>
            </w:pPr>
            <w:r>
              <w:rPr>
                <w:rFonts w:hint="eastAsia" w:ascii="Times New Roman" w:hAnsi="Times New Roman" w:eastAsia="宋体" w:cs="Times New Roman"/>
                <w:color w:val="auto"/>
                <w:kern w:val="0"/>
                <w:szCs w:val="21"/>
                <w:highlight w:val="none"/>
                <w:u w:val="none"/>
                <w:lang w:val="en-US" w:eastAsia="zh-CN"/>
              </w:rPr>
              <w:t>1.5</w:t>
            </w:r>
          </w:p>
        </w:tc>
        <w:tc>
          <w:tcPr>
            <w:tcW w:w="1065" w:type="dxa"/>
            <w:shd w:val="clear" w:color="auto" w:fill="auto"/>
            <w:vAlign w:val="center"/>
          </w:tcPr>
          <w:p w14:paraId="0E2DDFAA">
            <w:pPr>
              <w:widowControl/>
              <w:jc w:val="center"/>
              <w:rPr>
                <w:rFonts w:hint="default" w:ascii="Times New Roman" w:hAnsi="Times New Roman" w:eastAsia="宋体" w:cs="Times New Roman"/>
                <w:color w:val="auto"/>
                <w:kern w:val="0"/>
                <w:sz w:val="21"/>
                <w:szCs w:val="21"/>
                <w:highlight w:val="none"/>
                <w:u w:val="none"/>
                <w:lang w:val="en-US" w:eastAsia="zh-CN" w:bidi="ar-SA"/>
              </w:rPr>
            </w:pPr>
            <w:r>
              <w:rPr>
                <w:rFonts w:hint="eastAsia" w:ascii="Times New Roman" w:hAnsi="Times New Roman" w:eastAsia="宋体" w:cs="Times New Roman"/>
                <w:color w:val="auto"/>
                <w:kern w:val="0"/>
                <w:szCs w:val="21"/>
                <w:highlight w:val="none"/>
                <w:u w:val="none"/>
                <w:lang w:val="en-US" w:eastAsia="zh-CN"/>
              </w:rPr>
              <w:t>3个月</w:t>
            </w:r>
          </w:p>
        </w:tc>
        <w:tc>
          <w:tcPr>
            <w:tcW w:w="1065" w:type="dxa"/>
            <w:vAlign w:val="center"/>
          </w:tcPr>
          <w:p w14:paraId="73EF1E36">
            <w:pPr>
              <w:pStyle w:val="52"/>
              <w:bidi w:val="0"/>
              <w:jc w:val="center"/>
              <w:rPr>
                <w:rFonts w:hint="default"/>
                <w:lang w:val="en-US" w:eastAsia="zh-CN"/>
              </w:rPr>
            </w:pPr>
            <w:r>
              <w:rPr>
                <w:rFonts w:hint="eastAsia"/>
                <w:lang w:val="en-US" w:eastAsia="zh-CN"/>
              </w:rPr>
              <w:t>4.098</w:t>
            </w:r>
          </w:p>
        </w:tc>
        <w:tc>
          <w:tcPr>
            <w:tcW w:w="1066" w:type="dxa"/>
            <w:vAlign w:val="center"/>
          </w:tcPr>
          <w:p w14:paraId="73F2D6AB">
            <w:pPr>
              <w:pStyle w:val="52"/>
              <w:bidi w:val="0"/>
              <w:jc w:val="center"/>
              <w:rPr>
                <w:rFonts w:hint="default"/>
                <w:lang w:val="en-US" w:eastAsia="zh-CN"/>
              </w:rPr>
            </w:pPr>
            <w:r>
              <w:rPr>
                <w:rFonts w:hint="eastAsia"/>
                <w:lang w:val="en-US" w:eastAsia="zh-CN"/>
              </w:rPr>
              <w:t>1.025</w:t>
            </w:r>
          </w:p>
        </w:tc>
        <w:tc>
          <w:tcPr>
            <w:tcW w:w="1066" w:type="dxa"/>
            <w:vMerge w:val="restart"/>
            <w:vAlign w:val="center"/>
          </w:tcPr>
          <w:p w14:paraId="484BDEC6">
            <w:pPr>
              <w:pStyle w:val="52"/>
              <w:bidi w:val="0"/>
              <w:jc w:val="center"/>
              <w:rPr>
                <w:rFonts w:hint="default"/>
                <w:lang w:val="en-US" w:eastAsia="zh-CN"/>
              </w:rPr>
            </w:pPr>
            <w:r>
              <w:rPr>
                <w:rFonts w:hint="eastAsia"/>
                <w:lang w:val="en-US" w:eastAsia="zh-CN"/>
              </w:rPr>
              <w:t>现有工程达产后危废产生量</w:t>
            </w:r>
          </w:p>
        </w:tc>
      </w:tr>
      <w:tr w14:paraId="1ED3D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5" w:type="dxa"/>
            <w:shd w:val="clear" w:color="auto" w:fill="auto"/>
            <w:vAlign w:val="center"/>
          </w:tcPr>
          <w:p w14:paraId="0C02E225">
            <w:pPr>
              <w:widowControl/>
              <w:jc w:val="center"/>
              <w:rPr>
                <w:rFonts w:hint="default" w:ascii="Times New Roman" w:hAnsi="Times New Roman" w:eastAsia="宋体" w:cs="Times New Roman"/>
                <w:color w:val="auto"/>
                <w:kern w:val="0"/>
                <w:sz w:val="21"/>
                <w:szCs w:val="21"/>
                <w:highlight w:val="none"/>
                <w:u w:val="none"/>
                <w:lang w:val="en-US" w:eastAsia="zh-CN" w:bidi="ar-SA"/>
              </w:rPr>
            </w:pPr>
            <w:r>
              <w:rPr>
                <w:rFonts w:hint="eastAsia" w:ascii="Times New Roman" w:hAnsi="Times New Roman" w:eastAsia="宋体" w:cs="Times New Roman"/>
                <w:color w:val="auto"/>
                <w:kern w:val="0"/>
                <w:szCs w:val="21"/>
                <w:highlight w:val="none"/>
                <w:u w:val="none"/>
                <w:lang w:val="en-US" w:eastAsia="zh-CN"/>
              </w:rPr>
              <w:t>废矿物油</w:t>
            </w:r>
            <w:r>
              <w:rPr>
                <w:rFonts w:hint="eastAsia" w:ascii="Times New Roman" w:hAnsi="Times New Roman" w:eastAsia="宋体" w:cs="Times New Roman"/>
                <w:color w:val="auto"/>
                <w:kern w:val="0"/>
                <w:szCs w:val="21"/>
                <w:highlight w:val="none"/>
                <w:u w:val="none"/>
              </w:rPr>
              <w:t>贮存区</w:t>
            </w:r>
          </w:p>
        </w:tc>
        <w:tc>
          <w:tcPr>
            <w:tcW w:w="1065" w:type="dxa"/>
            <w:shd w:val="clear" w:color="auto" w:fill="auto"/>
            <w:vAlign w:val="center"/>
          </w:tcPr>
          <w:p w14:paraId="778416AA">
            <w:pPr>
              <w:widowControl/>
              <w:jc w:val="center"/>
              <w:rPr>
                <w:rFonts w:hint="default" w:ascii="Times New Roman" w:hAnsi="Times New Roman" w:eastAsia="宋体" w:cs="Times New Roman"/>
                <w:color w:val="auto"/>
                <w:kern w:val="0"/>
                <w:sz w:val="21"/>
                <w:szCs w:val="21"/>
                <w:highlight w:val="none"/>
                <w:u w:val="none"/>
                <w:lang w:val="en-US" w:eastAsia="zh-CN" w:bidi="ar-SA"/>
              </w:rPr>
            </w:pPr>
            <w:r>
              <w:rPr>
                <w:rFonts w:hint="eastAsia" w:ascii="Times New Roman" w:hAnsi="Times New Roman" w:eastAsia="宋体" w:cs="Times New Roman"/>
                <w:color w:val="auto"/>
                <w:kern w:val="0"/>
                <w:szCs w:val="21"/>
                <w:highlight w:val="none"/>
                <w:u w:val="none"/>
                <w:lang w:val="en-US" w:eastAsia="zh-CN"/>
              </w:rPr>
              <w:t>5</w:t>
            </w:r>
          </w:p>
        </w:tc>
        <w:tc>
          <w:tcPr>
            <w:tcW w:w="1065" w:type="dxa"/>
            <w:shd w:val="clear" w:color="auto" w:fill="auto"/>
            <w:vAlign w:val="center"/>
          </w:tcPr>
          <w:p w14:paraId="2F4A3212">
            <w:pPr>
              <w:widowControl/>
              <w:jc w:val="center"/>
              <w:rPr>
                <w:rFonts w:hint="default" w:ascii="Times New Roman" w:hAnsi="Times New Roman" w:eastAsia="宋体" w:cs="Times New Roman"/>
                <w:color w:val="auto"/>
                <w:kern w:val="0"/>
                <w:sz w:val="21"/>
                <w:szCs w:val="21"/>
                <w:highlight w:val="none"/>
                <w:u w:val="none"/>
                <w:lang w:val="en-US" w:eastAsia="zh-CN" w:bidi="ar-SA"/>
              </w:rPr>
            </w:pPr>
            <w:r>
              <w:rPr>
                <w:rFonts w:hint="eastAsia" w:ascii="Times New Roman" w:hAnsi="Times New Roman" w:eastAsia="宋体" w:cs="Times New Roman"/>
                <w:color w:val="auto"/>
                <w:kern w:val="0"/>
                <w:szCs w:val="21"/>
                <w:highlight w:val="none"/>
                <w:u w:val="none"/>
                <w:lang w:val="en-US" w:eastAsia="zh-CN"/>
              </w:rPr>
              <w:t>桶装</w:t>
            </w:r>
          </w:p>
        </w:tc>
        <w:tc>
          <w:tcPr>
            <w:tcW w:w="1065" w:type="dxa"/>
            <w:shd w:val="clear" w:color="auto" w:fill="auto"/>
            <w:vAlign w:val="center"/>
          </w:tcPr>
          <w:p w14:paraId="068EB5F7">
            <w:pPr>
              <w:widowControl/>
              <w:jc w:val="center"/>
              <w:rPr>
                <w:rFonts w:hint="default" w:ascii="Times New Roman" w:hAnsi="Times New Roman" w:eastAsia="宋体" w:cs="Times New Roman"/>
                <w:color w:val="auto"/>
                <w:kern w:val="0"/>
                <w:sz w:val="21"/>
                <w:szCs w:val="21"/>
                <w:highlight w:val="none"/>
                <w:u w:val="none"/>
                <w:lang w:val="en-US" w:eastAsia="zh-CN" w:bidi="ar-SA"/>
              </w:rPr>
            </w:pPr>
            <w:r>
              <w:rPr>
                <w:rFonts w:hint="eastAsia" w:ascii="Times New Roman" w:hAnsi="Times New Roman" w:eastAsia="宋体" w:cs="Times New Roman"/>
                <w:color w:val="auto"/>
                <w:kern w:val="0"/>
                <w:szCs w:val="21"/>
                <w:highlight w:val="none"/>
                <w:u w:val="none"/>
                <w:lang w:val="en-US" w:eastAsia="zh-CN"/>
              </w:rPr>
              <w:t>0.4</w:t>
            </w:r>
          </w:p>
        </w:tc>
        <w:tc>
          <w:tcPr>
            <w:tcW w:w="1065" w:type="dxa"/>
            <w:shd w:val="clear" w:color="auto" w:fill="auto"/>
            <w:vAlign w:val="center"/>
          </w:tcPr>
          <w:p w14:paraId="0529C5CF">
            <w:pPr>
              <w:widowControl/>
              <w:jc w:val="center"/>
              <w:rPr>
                <w:rFonts w:hint="default" w:ascii="Times New Roman" w:hAnsi="Times New Roman" w:eastAsia="宋体" w:cs="Times New Roman"/>
                <w:color w:val="auto"/>
                <w:kern w:val="0"/>
                <w:sz w:val="21"/>
                <w:szCs w:val="21"/>
                <w:highlight w:val="none"/>
                <w:u w:val="none"/>
                <w:lang w:val="en-US" w:eastAsia="zh-CN" w:bidi="ar-SA"/>
              </w:rPr>
            </w:pPr>
            <w:r>
              <w:rPr>
                <w:rFonts w:hint="eastAsia" w:ascii="Times New Roman" w:hAnsi="Times New Roman" w:eastAsia="宋体" w:cs="Times New Roman"/>
                <w:color w:val="auto"/>
                <w:kern w:val="0"/>
                <w:szCs w:val="21"/>
                <w:highlight w:val="none"/>
                <w:u w:val="none"/>
                <w:lang w:val="en-US" w:eastAsia="zh-CN"/>
              </w:rPr>
              <w:t>4个月</w:t>
            </w:r>
          </w:p>
        </w:tc>
        <w:tc>
          <w:tcPr>
            <w:tcW w:w="1065" w:type="dxa"/>
            <w:vAlign w:val="center"/>
          </w:tcPr>
          <w:p w14:paraId="5AE3F083">
            <w:pPr>
              <w:pStyle w:val="52"/>
              <w:bidi w:val="0"/>
              <w:jc w:val="center"/>
              <w:rPr>
                <w:rFonts w:hint="default"/>
                <w:lang w:val="en-US" w:eastAsia="zh-CN"/>
              </w:rPr>
            </w:pPr>
            <w:r>
              <w:rPr>
                <w:rFonts w:hint="eastAsia"/>
                <w:lang w:val="en-US" w:eastAsia="zh-CN"/>
              </w:rPr>
              <w:t>0.95</w:t>
            </w:r>
          </w:p>
        </w:tc>
        <w:tc>
          <w:tcPr>
            <w:tcW w:w="1066" w:type="dxa"/>
            <w:vAlign w:val="center"/>
          </w:tcPr>
          <w:p w14:paraId="70D56CC8">
            <w:pPr>
              <w:pStyle w:val="52"/>
              <w:bidi w:val="0"/>
              <w:jc w:val="center"/>
              <w:rPr>
                <w:rFonts w:hint="default"/>
                <w:lang w:val="en-US" w:eastAsia="zh-CN"/>
              </w:rPr>
            </w:pPr>
            <w:r>
              <w:rPr>
                <w:rFonts w:hint="eastAsia"/>
                <w:lang w:val="en-US" w:eastAsia="zh-CN"/>
              </w:rPr>
              <w:t>0.32</w:t>
            </w:r>
          </w:p>
        </w:tc>
        <w:tc>
          <w:tcPr>
            <w:tcW w:w="1066" w:type="dxa"/>
            <w:vMerge w:val="continue"/>
            <w:vAlign w:val="center"/>
          </w:tcPr>
          <w:p w14:paraId="53FF33BD">
            <w:pPr>
              <w:pStyle w:val="52"/>
              <w:bidi w:val="0"/>
              <w:jc w:val="center"/>
              <w:rPr>
                <w:rFonts w:hint="default"/>
                <w:lang w:val="en-US" w:eastAsia="zh-CN"/>
              </w:rPr>
            </w:pPr>
          </w:p>
        </w:tc>
      </w:tr>
      <w:tr w14:paraId="4C8EF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5" w:type="dxa"/>
            <w:shd w:val="clear" w:color="auto" w:fill="auto"/>
            <w:vAlign w:val="center"/>
          </w:tcPr>
          <w:p w14:paraId="49B6FA8E">
            <w:pPr>
              <w:widowControl/>
              <w:jc w:val="center"/>
              <w:rPr>
                <w:rFonts w:hint="default" w:ascii="Times New Roman" w:hAnsi="Times New Roman" w:eastAsia="宋体" w:cs="Times New Roman"/>
                <w:color w:val="auto"/>
                <w:kern w:val="0"/>
                <w:sz w:val="21"/>
                <w:szCs w:val="21"/>
                <w:highlight w:val="none"/>
                <w:u w:val="none"/>
                <w:lang w:val="en-US" w:eastAsia="zh-CN" w:bidi="ar-SA"/>
              </w:rPr>
            </w:pPr>
            <w:r>
              <w:rPr>
                <w:rFonts w:hint="eastAsia" w:ascii="Times New Roman" w:hAnsi="Times New Roman" w:eastAsia="宋体" w:cs="Times New Roman"/>
                <w:color w:val="auto"/>
                <w:kern w:val="0"/>
                <w:szCs w:val="21"/>
                <w:highlight w:val="none"/>
                <w:u w:val="none"/>
                <w:lang w:val="en-US" w:eastAsia="zh-CN"/>
              </w:rPr>
              <w:t>釜残液</w:t>
            </w:r>
            <w:r>
              <w:rPr>
                <w:rFonts w:hint="eastAsia" w:ascii="Times New Roman" w:hAnsi="Times New Roman" w:eastAsia="宋体" w:cs="Times New Roman"/>
                <w:color w:val="auto"/>
                <w:kern w:val="0"/>
                <w:szCs w:val="21"/>
                <w:highlight w:val="none"/>
                <w:u w:val="none"/>
              </w:rPr>
              <w:t>贮存区</w:t>
            </w:r>
          </w:p>
        </w:tc>
        <w:tc>
          <w:tcPr>
            <w:tcW w:w="1065" w:type="dxa"/>
            <w:shd w:val="clear" w:color="auto" w:fill="auto"/>
            <w:vAlign w:val="center"/>
          </w:tcPr>
          <w:p w14:paraId="5623108C">
            <w:pPr>
              <w:widowControl/>
              <w:jc w:val="center"/>
              <w:rPr>
                <w:rFonts w:hint="default" w:ascii="Times New Roman" w:hAnsi="Times New Roman" w:eastAsia="宋体" w:cs="Times New Roman"/>
                <w:color w:val="auto"/>
                <w:kern w:val="0"/>
                <w:sz w:val="21"/>
                <w:szCs w:val="21"/>
                <w:highlight w:val="none"/>
                <w:u w:val="none"/>
                <w:lang w:val="en-US" w:eastAsia="zh-CN" w:bidi="ar-SA"/>
              </w:rPr>
            </w:pPr>
            <w:r>
              <w:rPr>
                <w:rFonts w:hint="eastAsia" w:ascii="Times New Roman" w:hAnsi="Times New Roman" w:eastAsia="宋体" w:cs="Times New Roman"/>
                <w:color w:val="auto"/>
                <w:kern w:val="0"/>
                <w:szCs w:val="21"/>
                <w:highlight w:val="none"/>
                <w:u w:val="none"/>
                <w:lang w:val="en-US" w:eastAsia="zh-CN"/>
              </w:rPr>
              <w:t>38</w:t>
            </w:r>
          </w:p>
        </w:tc>
        <w:tc>
          <w:tcPr>
            <w:tcW w:w="1065" w:type="dxa"/>
            <w:shd w:val="clear" w:color="auto" w:fill="auto"/>
            <w:vAlign w:val="center"/>
          </w:tcPr>
          <w:p w14:paraId="714BCB18">
            <w:pPr>
              <w:widowControl/>
              <w:jc w:val="center"/>
              <w:rPr>
                <w:rFonts w:hint="default" w:ascii="Times New Roman" w:hAnsi="Times New Roman" w:eastAsia="宋体" w:cs="Times New Roman"/>
                <w:color w:val="auto"/>
                <w:kern w:val="0"/>
                <w:sz w:val="21"/>
                <w:szCs w:val="21"/>
                <w:highlight w:val="none"/>
                <w:u w:val="none"/>
                <w:lang w:val="en-US" w:eastAsia="zh-CN" w:bidi="ar-SA"/>
              </w:rPr>
            </w:pPr>
            <w:r>
              <w:rPr>
                <w:rFonts w:hint="eastAsia" w:ascii="Times New Roman" w:hAnsi="Times New Roman" w:eastAsia="宋体" w:cs="Times New Roman"/>
                <w:color w:val="auto"/>
                <w:kern w:val="0"/>
                <w:szCs w:val="21"/>
                <w:highlight w:val="none"/>
                <w:u w:val="none"/>
                <w:lang w:val="en-US" w:eastAsia="zh-CN"/>
              </w:rPr>
              <w:t>桶装</w:t>
            </w:r>
          </w:p>
        </w:tc>
        <w:tc>
          <w:tcPr>
            <w:tcW w:w="1065" w:type="dxa"/>
            <w:shd w:val="clear" w:color="auto" w:fill="auto"/>
            <w:vAlign w:val="center"/>
          </w:tcPr>
          <w:p w14:paraId="66F6E3F2">
            <w:pPr>
              <w:widowControl/>
              <w:jc w:val="center"/>
              <w:rPr>
                <w:rFonts w:hint="default" w:ascii="Times New Roman" w:hAnsi="Times New Roman" w:eastAsia="宋体" w:cs="Times New Roman"/>
                <w:color w:val="auto"/>
                <w:kern w:val="0"/>
                <w:sz w:val="21"/>
                <w:szCs w:val="21"/>
                <w:highlight w:val="none"/>
                <w:u w:val="none"/>
                <w:lang w:val="en-US" w:eastAsia="zh-CN" w:bidi="ar-SA"/>
              </w:rPr>
            </w:pPr>
            <w:r>
              <w:rPr>
                <w:rFonts w:hint="eastAsia" w:ascii="Times New Roman" w:hAnsi="Times New Roman" w:eastAsia="宋体" w:cs="Times New Roman"/>
                <w:color w:val="auto"/>
                <w:kern w:val="0"/>
                <w:szCs w:val="21"/>
                <w:highlight w:val="none"/>
                <w:u w:val="none"/>
                <w:lang w:val="en-US" w:eastAsia="zh-CN"/>
              </w:rPr>
              <w:t>15</w:t>
            </w:r>
          </w:p>
        </w:tc>
        <w:tc>
          <w:tcPr>
            <w:tcW w:w="1065" w:type="dxa"/>
            <w:shd w:val="clear" w:color="auto" w:fill="auto"/>
            <w:vAlign w:val="center"/>
          </w:tcPr>
          <w:p w14:paraId="49AA98B6">
            <w:pPr>
              <w:widowControl/>
              <w:jc w:val="center"/>
              <w:rPr>
                <w:rFonts w:hint="default" w:ascii="Times New Roman" w:hAnsi="Times New Roman" w:eastAsia="宋体" w:cs="Times New Roman"/>
                <w:color w:val="auto"/>
                <w:kern w:val="0"/>
                <w:sz w:val="21"/>
                <w:szCs w:val="21"/>
                <w:highlight w:val="none"/>
                <w:u w:val="none"/>
                <w:lang w:val="en-US" w:eastAsia="zh-CN" w:bidi="ar-SA"/>
              </w:rPr>
            </w:pPr>
            <w:r>
              <w:rPr>
                <w:rFonts w:hint="eastAsia" w:ascii="Times New Roman" w:hAnsi="Times New Roman" w:eastAsia="宋体" w:cs="Times New Roman"/>
                <w:color w:val="auto"/>
                <w:kern w:val="0"/>
                <w:sz w:val="21"/>
                <w:szCs w:val="21"/>
                <w:highlight w:val="none"/>
                <w:u w:val="none"/>
                <w:lang w:val="en-US" w:eastAsia="zh-CN" w:bidi="ar-SA"/>
              </w:rPr>
              <w:t>15天</w:t>
            </w:r>
          </w:p>
        </w:tc>
        <w:tc>
          <w:tcPr>
            <w:tcW w:w="1065" w:type="dxa"/>
            <w:vAlign w:val="center"/>
          </w:tcPr>
          <w:p w14:paraId="47AD497F">
            <w:pPr>
              <w:pStyle w:val="52"/>
              <w:bidi w:val="0"/>
              <w:jc w:val="center"/>
              <w:rPr>
                <w:rFonts w:hint="default"/>
                <w:lang w:val="en-US" w:eastAsia="zh-CN"/>
              </w:rPr>
            </w:pPr>
            <w:r>
              <w:rPr>
                <w:rFonts w:hint="eastAsia"/>
                <w:lang w:val="en-US" w:eastAsia="zh-CN"/>
              </w:rPr>
              <w:t>301.06</w:t>
            </w:r>
          </w:p>
        </w:tc>
        <w:tc>
          <w:tcPr>
            <w:tcW w:w="1066" w:type="dxa"/>
            <w:vAlign w:val="center"/>
          </w:tcPr>
          <w:p w14:paraId="0E704328">
            <w:pPr>
              <w:pStyle w:val="52"/>
              <w:bidi w:val="0"/>
              <w:jc w:val="center"/>
              <w:rPr>
                <w:rFonts w:hint="default"/>
                <w:lang w:val="en-US" w:eastAsia="zh-CN"/>
              </w:rPr>
            </w:pPr>
            <w:r>
              <w:rPr>
                <w:rFonts w:hint="eastAsia"/>
                <w:lang w:val="en-US" w:eastAsia="zh-CN"/>
              </w:rPr>
              <w:t>12.54</w:t>
            </w:r>
          </w:p>
        </w:tc>
        <w:tc>
          <w:tcPr>
            <w:tcW w:w="1066" w:type="dxa"/>
            <w:vMerge w:val="continue"/>
            <w:vAlign w:val="center"/>
          </w:tcPr>
          <w:p w14:paraId="1F720D46">
            <w:pPr>
              <w:pStyle w:val="52"/>
              <w:bidi w:val="0"/>
              <w:jc w:val="center"/>
              <w:rPr>
                <w:rFonts w:hint="default"/>
                <w:lang w:val="en-US" w:eastAsia="zh-CN"/>
              </w:rPr>
            </w:pPr>
          </w:p>
        </w:tc>
      </w:tr>
      <w:tr w14:paraId="250A0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5" w:type="dxa"/>
            <w:shd w:val="clear" w:color="auto" w:fill="auto"/>
            <w:vAlign w:val="center"/>
          </w:tcPr>
          <w:p w14:paraId="3780EAF0">
            <w:pPr>
              <w:widowControl/>
              <w:jc w:val="center"/>
              <w:rPr>
                <w:rFonts w:hint="default" w:ascii="Times New Roman" w:hAnsi="Times New Roman" w:eastAsia="宋体" w:cs="Times New Roman"/>
                <w:color w:val="auto"/>
                <w:kern w:val="0"/>
                <w:sz w:val="21"/>
                <w:szCs w:val="21"/>
                <w:highlight w:val="none"/>
                <w:u w:val="none"/>
                <w:lang w:val="en-US" w:eastAsia="zh-CN" w:bidi="ar-SA"/>
              </w:rPr>
            </w:pPr>
            <w:r>
              <w:rPr>
                <w:rFonts w:hint="eastAsia" w:ascii="Times New Roman" w:hAnsi="Times New Roman" w:eastAsia="宋体" w:cs="Times New Roman"/>
                <w:color w:val="auto"/>
                <w:kern w:val="0"/>
                <w:szCs w:val="21"/>
                <w:highlight w:val="none"/>
                <w:u w:val="none"/>
                <w:lang w:val="en-US" w:eastAsia="zh-CN"/>
              </w:rPr>
              <w:t>化验室废液贮存区</w:t>
            </w:r>
          </w:p>
        </w:tc>
        <w:tc>
          <w:tcPr>
            <w:tcW w:w="1065" w:type="dxa"/>
            <w:shd w:val="clear" w:color="auto" w:fill="auto"/>
            <w:vAlign w:val="center"/>
          </w:tcPr>
          <w:p w14:paraId="3AA5046C">
            <w:pPr>
              <w:widowControl/>
              <w:jc w:val="center"/>
              <w:rPr>
                <w:rFonts w:hint="default" w:ascii="Times New Roman" w:hAnsi="Times New Roman" w:eastAsia="宋体" w:cs="Times New Roman"/>
                <w:color w:val="auto"/>
                <w:kern w:val="0"/>
                <w:sz w:val="21"/>
                <w:szCs w:val="21"/>
                <w:highlight w:val="none"/>
                <w:u w:val="none"/>
                <w:lang w:val="en-US" w:eastAsia="zh-CN" w:bidi="ar-SA"/>
              </w:rPr>
            </w:pPr>
            <w:r>
              <w:rPr>
                <w:rFonts w:hint="eastAsia" w:ascii="Times New Roman" w:hAnsi="Times New Roman" w:eastAsia="宋体" w:cs="Times New Roman"/>
                <w:color w:val="auto"/>
                <w:kern w:val="0"/>
                <w:szCs w:val="21"/>
                <w:highlight w:val="none"/>
                <w:u w:val="none"/>
                <w:lang w:val="en-US" w:eastAsia="zh-CN"/>
              </w:rPr>
              <w:t>5</w:t>
            </w:r>
          </w:p>
        </w:tc>
        <w:tc>
          <w:tcPr>
            <w:tcW w:w="1065" w:type="dxa"/>
            <w:shd w:val="clear" w:color="auto" w:fill="auto"/>
            <w:vAlign w:val="center"/>
          </w:tcPr>
          <w:p w14:paraId="7D9527BD">
            <w:pPr>
              <w:widowControl/>
              <w:jc w:val="center"/>
              <w:rPr>
                <w:rFonts w:hint="default" w:ascii="Times New Roman" w:hAnsi="Times New Roman" w:eastAsia="宋体" w:cs="Times New Roman"/>
                <w:color w:val="auto"/>
                <w:kern w:val="0"/>
                <w:sz w:val="21"/>
                <w:szCs w:val="21"/>
                <w:highlight w:val="none"/>
                <w:u w:val="none"/>
                <w:lang w:val="en-US" w:eastAsia="zh-CN" w:bidi="ar-SA"/>
              </w:rPr>
            </w:pPr>
            <w:r>
              <w:rPr>
                <w:rFonts w:hint="eastAsia" w:ascii="Times New Roman" w:hAnsi="Times New Roman" w:eastAsia="宋体" w:cs="Times New Roman"/>
                <w:color w:val="auto"/>
                <w:kern w:val="0"/>
                <w:szCs w:val="21"/>
                <w:highlight w:val="none"/>
                <w:u w:val="none"/>
                <w:lang w:val="en-US" w:eastAsia="zh-CN"/>
              </w:rPr>
              <w:t>桶装</w:t>
            </w:r>
          </w:p>
        </w:tc>
        <w:tc>
          <w:tcPr>
            <w:tcW w:w="1065" w:type="dxa"/>
            <w:shd w:val="clear" w:color="auto" w:fill="auto"/>
            <w:vAlign w:val="center"/>
          </w:tcPr>
          <w:p w14:paraId="277368F3">
            <w:pPr>
              <w:widowControl/>
              <w:jc w:val="center"/>
              <w:rPr>
                <w:rFonts w:hint="default" w:ascii="Times New Roman" w:hAnsi="Times New Roman" w:eastAsia="宋体" w:cs="Times New Roman"/>
                <w:color w:val="auto"/>
                <w:kern w:val="0"/>
                <w:sz w:val="21"/>
                <w:szCs w:val="21"/>
                <w:highlight w:val="none"/>
                <w:u w:val="none"/>
                <w:lang w:val="en-US" w:eastAsia="zh-CN" w:bidi="ar-SA"/>
              </w:rPr>
            </w:pPr>
            <w:r>
              <w:rPr>
                <w:rFonts w:hint="eastAsia" w:ascii="Times New Roman" w:hAnsi="Times New Roman" w:eastAsia="宋体" w:cs="Times New Roman"/>
                <w:color w:val="auto"/>
                <w:kern w:val="0"/>
                <w:szCs w:val="21"/>
                <w:highlight w:val="none"/>
                <w:u w:val="none"/>
                <w:lang w:val="en-US" w:eastAsia="zh-CN"/>
              </w:rPr>
              <w:t>1.6</w:t>
            </w:r>
          </w:p>
        </w:tc>
        <w:tc>
          <w:tcPr>
            <w:tcW w:w="1065" w:type="dxa"/>
            <w:shd w:val="clear" w:color="auto" w:fill="auto"/>
            <w:vAlign w:val="center"/>
          </w:tcPr>
          <w:p w14:paraId="49080280">
            <w:pPr>
              <w:widowControl/>
              <w:jc w:val="center"/>
              <w:rPr>
                <w:rFonts w:hint="default" w:ascii="Times New Roman" w:hAnsi="Times New Roman" w:eastAsia="宋体" w:cs="Times New Roman"/>
                <w:color w:val="auto"/>
                <w:kern w:val="0"/>
                <w:sz w:val="21"/>
                <w:szCs w:val="21"/>
                <w:highlight w:val="none"/>
                <w:u w:val="none"/>
                <w:lang w:val="en-US" w:eastAsia="zh-CN" w:bidi="ar-SA"/>
              </w:rPr>
            </w:pPr>
            <w:r>
              <w:rPr>
                <w:rFonts w:hint="eastAsia" w:ascii="Times New Roman" w:hAnsi="Times New Roman" w:eastAsia="宋体" w:cs="Times New Roman"/>
                <w:color w:val="auto"/>
                <w:kern w:val="0"/>
                <w:szCs w:val="21"/>
                <w:highlight w:val="none"/>
                <w:u w:val="none"/>
                <w:lang w:val="en-US" w:eastAsia="zh-CN"/>
              </w:rPr>
              <w:t>3个月</w:t>
            </w:r>
          </w:p>
        </w:tc>
        <w:tc>
          <w:tcPr>
            <w:tcW w:w="1065" w:type="dxa"/>
            <w:vAlign w:val="center"/>
          </w:tcPr>
          <w:p w14:paraId="1AAC3603">
            <w:pPr>
              <w:pStyle w:val="52"/>
              <w:bidi w:val="0"/>
              <w:jc w:val="center"/>
              <w:rPr>
                <w:rFonts w:hint="default"/>
                <w:lang w:val="en-US" w:eastAsia="zh-CN"/>
              </w:rPr>
            </w:pPr>
            <w:r>
              <w:rPr>
                <w:rFonts w:hint="eastAsia"/>
                <w:lang w:val="en-US" w:eastAsia="zh-CN"/>
              </w:rPr>
              <w:t>6.02</w:t>
            </w:r>
          </w:p>
        </w:tc>
        <w:tc>
          <w:tcPr>
            <w:tcW w:w="1066" w:type="dxa"/>
            <w:vAlign w:val="center"/>
          </w:tcPr>
          <w:p w14:paraId="3D4596CB">
            <w:pPr>
              <w:pStyle w:val="52"/>
              <w:bidi w:val="0"/>
              <w:jc w:val="center"/>
              <w:rPr>
                <w:rFonts w:hint="default"/>
                <w:lang w:val="en-US" w:eastAsia="zh-CN"/>
              </w:rPr>
            </w:pPr>
            <w:r>
              <w:rPr>
                <w:rFonts w:hint="eastAsia"/>
                <w:lang w:val="en-US" w:eastAsia="zh-CN"/>
              </w:rPr>
              <w:t>1.51</w:t>
            </w:r>
          </w:p>
        </w:tc>
        <w:tc>
          <w:tcPr>
            <w:tcW w:w="1066" w:type="dxa"/>
            <w:vMerge w:val="continue"/>
            <w:vAlign w:val="center"/>
          </w:tcPr>
          <w:p w14:paraId="4C9D4AFC">
            <w:pPr>
              <w:pStyle w:val="52"/>
              <w:bidi w:val="0"/>
              <w:jc w:val="center"/>
              <w:rPr>
                <w:rFonts w:hint="default"/>
                <w:lang w:val="en-US" w:eastAsia="zh-CN"/>
              </w:rPr>
            </w:pPr>
          </w:p>
        </w:tc>
      </w:tr>
      <w:tr w14:paraId="6CC58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5" w:type="dxa"/>
            <w:shd w:val="clear" w:color="auto" w:fill="auto"/>
            <w:vAlign w:val="center"/>
          </w:tcPr>
          <w:p w14:paraId="72518972">
            <w:pPr>
              <w:widowControl/>
              <w:jc w:val="center"/>
              <w:rPr>
                <w:rFonts w:hint="default" w:ascii="Times New Roman" w:hAnsi="Times New Roman" w:eastAsia="宋体" w:cs="Times New Roman"/>
                <w:color w:val="auto"/>
                <w:kern w:val="0"/>
                <w:szCs w:val="21"/>
                <w:highlight w:val="none"/>
                <w:u w:val="none"/>
                <w:lang w:val="en-US" w:eastAsia="zh-CN"/>
              </w:rPr>
            </w:pPr>
            <w:r>
              <w:rPr>
                <w:rFonts w:hint="eastAsia" w:ascii="Times New Roman" w:hAnsi="Times New Roman" w:eastAsia="宋体" w:cs="Times New Roman"/>
                <w:color w:val="auto"/>
                <w:kern w:val="0"/>
                <w:szCs w:val="21"/>
                <w:highlight w:val="none"/>
                <w:u w:val="none"/>
                <w:lang w:val="en-US" w:eastAsia="zh-CN"/>
              </w:rPr>
              <w:t>污水站污泥贮存区</w:t>
            </w:r>
          </w:p>
        </w:tc>
        <w:tc>
          <w:tcPr>
            <w:tcW w:w="1065" w:type="dxa"/>
            <w:vAlign w:val="center"/>
          </w:tcPr>
          <w:p w14:paraId="61144AC0">
            <w:pPr>
              <w:pStyle w:val="52"/>
              <w:bidi w:val="0"/>
              <w:jc w:val="center"/>
              <w:rPr>
                <w:rFonts w:hint="default"/>
                <w:lang w:val="en-US" w:eastAsia="zh-CN"/>
              </w:rPr>
            </w:pPr>
            <w:r>
              <w:rPr>
                <w:rFonts w:hint="eastAsia"/>
                <w:lang w:val="en-US" w:eastAsia="zh-CN"/>
              </w:rPr>
              <w:t>10</w:t>
            </w:r>
          </w:p>
        </w:tc>
        <w:tc>
          <w:tcPr>
            <w:tcW w:w="1065" w:type="dxa"/>
            <w:vAlign w:val="center"/>
          </w:tcPr>
          <w:p w14:paraId="53A75170">
            <w:pPr>
              <w:pStyle w:val="52"/>
              <w:bidi w:val="0"/>
              <w:jc w:val="center"/>
              <w:rPr>
                <w:rFonts w:hint="default"/>
                <w:lang w:val="en-US" w:eastAsia="zh-CN"/>
              </w:rPr>
            </w:pPr>
            <w:r>
              <w:rPr>
                <w:rFonts w:hint="eastAsia"/>
                <w:lang w:val="en-US" w:eastAsia="zh-CN"/>
              </w:rPr>
              <w:t>袋装</w:t>
            </w:r>
          </w:p>
        </w:tc>
        <w:tc>
          <w:tcPr>
            <w:tcW w:w="1065" w:type="dxa"/>
            <w:vAlign w:val="center"/>
          </w:tcPr>
          <w:p w14:paraId="66DFC420">
            <w:pPr>
              <w:pStyle w:val="52"/>
              <w:bidi w:val="0"/>
              <w:jc w:val="center"/>
              <w:rPr>
                <w:rFonts w:hint="default"/>
                <w:lang w:val="en-US" w:eastAsia="zh-CN"/>
              </w:rPr>
            </w:pPr>
            <w:r>
              <w:rPr>
                <w:rFonts w:hint="eastAsia"/>
                <w:lang w:val="en-US" w:eastAsia="zh-CN"/>
              </w:rPr>
              <w:t>10</w:t>
            </w:r>
          </w:p>
        </w:tc>
        <w:tc>
          <w:tcPr>
            <w:tcW w:w="1065" w:type="dxa"/>
            <w:vAlign w:val="center"/>
          </w:tcPr>
          <w:p w14:paraId="3D42120A">
            <w:pPr>
              <w:pStyle w:val="52"/>
              <w:bidi w:val="0"/>
              <w:jc w:val="center"/>
              <w:rPr>
                <w:rFonts w:hint="default"/>
                <w:lang w:val="en-US" w:eastAsia="zh-CN"/>
              </w:rPr>
            </w:pPr>
            <w:r>
              <w:rPr>
                <w:rFonts w:hint="eastAsia"/>
                <w:lang w:val="en-US" w:eastAsia="zh-CN"/>
              </w:rPr>
              <w:t>1个月</w:t>
            </w:r>
          </w:p>
        </w:tc>
        <w:tc>
          <w:tcPr>
            <w:tcW w:w="1065" w:type="dxa"/>
            <w:vAlign w:val="center"/>
          </w:tcPr>
          <w:p w14:paraId="49B2DC48">
            <w:pPr>
              <w:pStyle w:val="52"/>
              <w:bidi w:val="0"/>
              <w:jc w:val="center"/>
              <w:rPr>
                <w:rFonts w:hint="default"/>
                <w:lang w:val="en-US" w:eastAsia="zh-CN"/>
              </w:rPr>
            </w:pPr>
            <w:r>
              <w:rPr>
                <w:rFonts w:hint="eastAsia"/>
                <w:lang w:val="en-US" w:eastAsia="zh-CN"/>
              </w:rPr>
              <w:t>93.72</w:t>
            </w:r>
          </w:p>
        </w:tc>
        <w:tc>
          <w:tcPr>
            <w:tcW w:w="1066" w:type="dxa"/>
            <w:vAlign w:val="center"/>
          </w:tcPr>
          <w:p w14:paraId="58AC735E">
            <w:pPr>
              <w:pStyle w:val="52"/>
              <w:bidi w:val="0"/>
              <w:jc w:val="center"/>
              <w:rPr>
                <w:rFonts w:hint="default"/>
                <w:lang w:val="en-US" w:eastAsia="zh-CN"/>
              </w:rPr>
            </w:pPr>
            <w:r>
              <w:rPr>
                <w:rFonts w:hint="eastAsia"/>
                <w:lang w:val="en-US" w:eastAsia="zh-CN"/>
              </w:rPr>
              <w:t>7.81</w:t>
            </w:r>
          </w:p>
        </w:tc>
        <w:tc>
          <w:tcPr>
            <w:tcW w:w="1066" w:type="dxa"/>
            <w:vAlign w:val="center"/>
          </w:tcPr>
          <w:p w14:paraId="6B971CA5">
            <w:pPr>
              <w:pStyle w:val="52"/>
              <w:bidi w:val="0"/>
              <w:jc w:val="center"/>
              <w:rPr>
                <w:rFonts w:hint="default"/>
                <w:lang w:val="en-US" w:eastAsia="zh-CN"/>
              </w:rPr>
            </w:pPr>
            <w:r>
              <w:rPr>
                <w:rFonts w:hint="eastAsia"/>
                <w:lang w:val="en-US" w:eastAsia="zh-CN"/>
              </w:rPr>
              <w:t>/</w:t>
            </w:r>
          </w:p>
        </w:tc>
      </w:tr>
    </w:tbl>
    <w:p w14:paraId="00B472D0">
      <w:pPr>
        <w:widowControl/>
        <w:spacing w:line="360" w:lineRule="auto"/>
        <w:ind w:firstLine="480" w:firstLineChars="200"/>
        <w:jc w:val="left"/>
        <w:rPr>
          <w:rFonts w:ascii="Times New Roman" w:hAnsi="Times New Roman" w:eastAsia="宋体" w:cs="Times New Roman"/>
          <w:color w:val="auto"/>
          <w:kern w:val="0"/>
          <w:sz w:val="24"/>
        </w:rPr>
      </w:pPr>
      <w:r>
        <w:rPr>
          <w:rFonts w:hint="eastAsia" w:ascii="Times New Roman" w:hAnsi="Times New Roman" w:eastAsia="宋体" w:cs="Times New Roman"/>
          <w:color w:val="auto"/>
          <w:kern w:val="0"/>
          <w:sz w:val="24"/>
        </w:rPr>
        <w:t>综上所述，本项目</w:t>
      </w:r>
      <w:r>
        <w:rPr>
          <w:rFonts w:hint="eastAsia" w:ascii="Times New Roman" w:hAnsi="Times New Roman" w:eastAsia="宋体" w:cs="Times New Roman"/>
          <w:color w:val="auto"/>
          <w:kern w:val="0"/>
          <w:sz w:val="24"/>
          <w:lang w:val="en-US" w:eastAsia="zh-CN"/>
        </w:rPr>
        <w:t>各区域贮存能力满足贮存周期内产生量，</w:t>
      </w:r>
      <w:r>
        <w:rPr>
          <w:rFonts w:hint="eastAsia" w:ascii="Times New Roman" w:hAnsi="Times New Roman" w:eastAsia="宋体" w:cs="Times New Roman"/>
          <w:color w:val="auto"/>
          <w:kern w:val="0"/>
          <w:sz w:val="24"/>
        </w:rPr>
        <w:t>危险废物的暂存依托现有危废暂存间措施可行。</w:t>
      </w:r>
    </w:p>
    <w:p w14:paraId="25A542D2">
      <w:pPr>
        <w:widowControl/>
        <w:spacing w:line="360" w:lineRule="auto"/>
        <w:ind w:firstLine="480" w:firstLineChars="200"/>
        <w:jc w:val="left"/>
        <w:rPr>
          <w:rFonts w:ascii="Times New Roman" w:hAnsi="Times New Roman" w:eastAsia="宋体" w:cs="Times New Roman"/>
          <w:color w:val="auto"/>
          <w:kern w:val="0"/>
          <w:sz w:val="24"/>
        </w:rPr>
      </w:pPr>
      <w:r>
        <w:rPr>
          <w:rFonts w:hint="eastAsia" w:ascii="Times New Roman" w:hAnsi="Times New Roman" w:eastAsia="宋体" w:cs="Times New Roman"/>
          <w:color w:val="auto"/>
          <w:kern w:val="0"/>
          <w:sz w:val="24"/>
        </w:rPr>
        <w:t>危废暂存间内对各类危废进行分区储存，危险废物根据危险固废性质进行分区储存，不将不相容的危废储存在一起。液体危废暂存前按照要求采用符合标准的容器盛装密封后存于危险废物暂存间，固体危废暂存前也使用符合标准的容器盛装，禁止将不相容的危废存放在同意容器中，盛装危险固废的容器贴上符合要求的标签，危险废物暂存间的建设及管理按照《危险废物贮存污染控制标准》（GB18597-2023）的要求。</w:t>
      </w:r>
    </w:p>
    <w:p w14:paraId="5001410A">
      <w:pPr>
        <w:widowControl/>
        <w:spacing w:line="360" w:lineRule="auto"/>
        <w:ind w:firstLine="482" w:firstLineChars="200"/>
        <w:jc w:val="left"/>
        <w:rPr>
          <w:rFonts w:hint="eastAsia" w:ascii="宋体" w:hAnsi="宋体" w:eastAsia="宋体" w:cs="宋体"/>
          <w:b/>
          <w:bCs/>
          <w:color w:val="auto"/>
          <w:kern w:val="0"/>
          <w:sz w:val="24"/>
          <w:szCs w:val="24"/>
        </w:rPr>
      </w:pPr>
      <w:r>
        <w:rPr>
          <w:rFonts w:hint="eastAsia" w:ascii="宋体" w:hAnsi="宋体" w:eastAsia="宋体" w:cs="宋体"/>
          <w:b/>
          <w:bCs/>
          <w:color w:val="auto"/>
          <w:kern w:val="0"/>
          <w:sz w:val="24"/>
          <w:szCs w:val="24"/>
        </w:rPr>
        <w:t>（</w:t>
      </w:r>
      <w:r>
        <w:rPr>
          <w:rFonts w:ascii="Times New Roman" w:hAnsi="Times New Roman" w:eastAsia="宋体" w:cs="Times New Roman"/>
          <w:b/>
          <w:bCs/>
          <w:color w:val="auto"/>
          <w:kern w:val="0"/>
          <w:sz w:val="24"/>
          <w:szCs w:val="24"/>
        </w:rPr>
        <w:t>2</w:t>
      </w:r>
      <w:r>
        <w:rPr>
          <w:rFonts w:hint="eastAsia" w:ascii="宋体" w:hAnsi="宋体" w:eastAsia="宋体" w:cs="宋体"/>
          <w:b/>
          <w:bCs/>
          <w:color w:val="auto"/>
          <w:kern w:val="0"/>
          <w:sz w:val="24"/>
          <w:szCs w:val="24"/>
        </w:rPr>
        <w:t>）一般固废处理措施：</w:t>
      </w:r>
    </w:p>
    <w:p w14:paraId="5B28FE4D">
      <w:pPr>
        <w:wordWrap w:val="0"/>
        <w:spacing w:line="360" w:lineRule="auto"/>
        <w:ind w:firstLine="480" w:firstLineChars="20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lang w:val="zh-CN"/>
        </w:rPr>
        <w:t>废</w:t>
      </w:r>
      <w:r>
        <w:rPr>
          <w:rFonts w:hint="eastAsia" w:ascii="宋体" w:hAnsi="宋体" w:eastAsia="宋体" w:cs="宋体"/>
          <w:color w:val="auto"/>
          <w:kern w:val="0"/>
          <w:sz w:val="24"/>
          <w:szCs w:val="24"/>
        </w:rPr>
        <w:t>外</w:t>
      </w:r>
      <w:r>
        <w:rPr>
          <w:rFonts w:hint="eastAsia" w:ascii="宋体" w:hAnsi="宋体" w:eastAsia="宋体" w:cs="宋体"/>
          <w:color w:val="auto"/>
          <w:kern w:val="0"/>
          <w:sz w:val="24"/>
          <w:szCs w:val="24"/>
          <w:lang w:val="zh-CN"/>
        </w:rPr>
        <w:t>包装材料收集后交由物资回收部门回收处理</w:t>
      </w:r>
      <w:r>
        <w:rPr>
          <w:rFonts w:hint="eastAsia" w:ascii="宋体" w:hAnsi="宋体" w:eastAsia="宋体" w:cs="宋体"/>
          <w:color w:val="auto"/>
          <w:kern w:val="0"/>
          <w:sz w:val="24"/>
          <w:szCs w:val="24"/>
        </w:rPr>
        <w:t>，可以综合利用，</w:t>
      </w:r>
      <w:r>
        <w:rPr>
          <w:rFonts w:hint="eastAsia" w:ascii="宋体" w:hAnsi="宋体" w:eastAsia="宋体" w:cs="宋体"/>
          <w:color w:val="auto"/>
          <w:kern w:val="0"/>
          <w:sz w:val="24"/>
          <w:szCs w:val="24"/>
          <w:lang w:val="zh-CN"/>
        </w:rPr>
        <w:t>生活垃圾交由环卫部门</w:t>
      </w:r>
      <w:r>
        <w:rPr>
          <w:rFonts w:hint="eastAsia" w:ascii="宋体" w:hAnsi="宋体" w:eastAsia="宋体" w:cs="宋体"/>
          <w:color w:val="auto"/>
          <w:kern w:val="0"/>
          <w:sz w:val="24"/>
          <w:szCs w:val="24"/>
        </w:rPr>
        <w:t>统一收集后送生活垃圾填埋场填埋处理</w:t>
      </w:r>
      <w:r>
        <w:rPr>
          <w:rFonts w:hint="eastAsia" w:ascii="宋体" w:hAnsi="宋体" w:eastAsia="宋体" w:cs="宋体"/>
          <w:color w:val="auto"/>
          <w:kern w:val="0"/>
          <w:sz w:val="24"/>
          <w:szCs w:val="24"/>
          <w:lang w:eastAsia="zh-CN"/>
        </w:rPr>
        <w:t>，</w:t>
      </w:r>
      <w:r>
        <w:rPr>
          <w:rFonts w:hint="eastAsia" w:ascii="宋体" w:hAnsi="宋体" w:eastAsia="宋体" w:cs="宋体"/>
          <w:color w:val="auto"/>
          <w:kern w:val="0"/>
          <w:sz w:val="24"/>
          <w:szCs w:val="24"/>
          <w:lang w:val="en-US" w:eastAsia="zh-CN"/>
        </w:rPr>
        <w:t>本项目</w:t>
      </w:r>
      <w:r>
        <w:rPr>
          <w:rFonts w:hint="eastAsia" w:ascii="Times New Roman" w:hAnsi="Times New Roman" w:eastAsia="宋体" w:cs="Times New Roman"/>
          <w:color w:val="auto"/>
          <w:kern w:val="0"/>
          <w:sz w:val="24"/>
          <w:szCs w:val="24"/>
          <w:lang w:val="en-US" w:eastAsia="zh-CN"/>
        </w:rPr>
        <w:t>板框过滤菌渣、板框过滤碳渣、液糖生产滤渣可收集后外售</w:t>
      </w:r>
      <w:r>
        <w:rPr>
          <w:rFonts w:hint="eastAsia" w:ascii="宋体" w:hAnsi="宋体" w:eastAsia="宋体" w:cs="宋体"/>
          <w:color w:val="auto"/>
          <w:kern w:val="0"/>
          <w:sz w:val="24"/>
          <w:szCs w:val="24"/>
        </w:rPr>
        <w:t>，措施可行。</w:t>
      </w:r>
    </w:p>
    <w:p w14:paraId="4EB0B414">
      <w:pPr>
        <w:widowControl/>
        <w:wordWrap w:val="0"/>
        <w:spacing w:line="360" w:lineRule="auto"/>
        <w:ind w:firstLine="480" w:firstLineChars="200"/>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综上所述，本项目固体废物从产生、包装、暂存、运输、处理的全过程均得到了妥善处理，对周边环境影响很小，固体废物防治措施是合理、可行的。</w:t>
      </w:r>
    </w:p>
    <w:p w14:paraId="6BF93084">
      <w:pPr>
        <w:keepNext/>
        <w:keepLines/>
        <w:spacing w:line="360" w:lineRule="auto"/>
        <w:outlineLvl w:val="3"/>
        <w:rPr>
          <w:rFonts w:ascii="Times New Roman" w:hAnsi="Times New Roman" w:eastAsia="黑体" w:cs="Times New Roman"/>
          <w:b/>
          <w:color w:val="auto"/>
          <w:sz w:val="24"/>
          <w:szCs w:val="24"/>
        </w:rPr>
      </w:pPr>
      <w:bookmarkStart w:id="282" w:name="_Toc25367"/>
      <w:r>
        <w:rPr>
          <w:rFonts w:hint="eastAsia" w:ascii="Times New Roman" w:hAnsi="Times New Roman" w:eastAsia="黑体" w:cs="Times New Roman"/>
          <w:b/>
          <w:color w:val="auto"/>
          <w:sz w:val="24"/>
          <w:szCs w:val="24"/>
        </w:rPr>
        <w:t xml:space="preserve">7.2.3.2 </w:t>
      </w:r>
      <w:r>
        <w:rPr>
          <w:rFonts w:hint="eastAsia" w:ascii="宋体" w:hAnsi="宋体" w:eastAsia="宋体" w:cs="宋体"/>
          <w:b/>
          <w:color w:val="auto"/>
          <w:sz w:val="24"/>
          <w:szCs w:val="24"/>
        </w:rPr>
        <w:t>固废污染防治措施可行性分析</w:t>
      </w:r>
      <w:bookmarkEnd w:id="282"/>
    </w:p>
    <w:p w14:paraId="51C71C35">
      <w:pPr>
        <w:widowControl/>
        <w:tabs>
          <w:tab w:val="left" w:pos="4305"/>
        </w:tabs>
        <w:adjustRightInd w:val="0"/>
        <w:snapToGrid w:val="0"/>
        <w:spacing w:line="360" w:lineRule="auto"/>
        <w:ind w:firstLine="482" w:firstLineChars="200"/>
        <w:rPr>
          <w:rFonts w:hint="eastAsia" w:ascii="宋体" w:hAnsi="宋体" w:eastAsia="宋体" w:cs="宋体"/>
          <w:b/>
          <w:bCs/>
          <w:color w:val="auto"/>
          <w:sz w:val="24"/>
          <w:szCs w:val="24"/>
        </w:rPr>
      </w:pPr>
      <w:r>
        <w:rPr>
          <w:rFonts w:hint="eastAsia" w:ascii="宋体" w:hAnsi="宋体" w:eastAsia="宋体" w:cs="宋体"/>
          <w:b/>
          <w:bCs/>
          <w:color w:val="auto"/>
          <w:sz w:val="24"/>
          <w:szCs w:val="24"/>
        </w:rPr>
        <w:t>1、危险固废</w:t>
      </w:r>
    </w:p>
    <w:p w14:paraId="5E91F897">
      <w:pPr>
        <w:spacing w:line="360" w:lineRule="auto"/>
        <w:ind w:firstLine="480" w:firstLineChars="200"/>
        <w:jc w:val="left"/>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本项目厂区内已建设有一座危废暂存间，</w:t>
      </w:r>
      <w:r>
        <w:rPr>
          <w:rFonts w:hint="eastAsia" w:ascii="Times New Roman" w:hAnsi="Times New Roman" w:eastAsia="宋体" w:cs="Times New Roman"/>
          <w:color w:val="auto"/>
          <w:kern w:val="0"/>
          <w:sz w:val="24"/>
          <w:szCs w:val="24"/>
        </w:rPr>
        <w:t>对</w:t>
      </w:r>
      <w:r>
        <w:rPr>
          <w:rFonts w:ascii="Times New Roman" w:hAnsi="Times New Roman" w:eastAsia="宋体" w:cs="Times New Roman"/>
          <w:color w:val="auto"/>
          <w:kern w:val="0"/>
          <w:sz w:val="24"/>
          <w:szCs w:val="24"/>
        </w:rPr>
        <w:t>照《危险废物贮存污染控制标准》（GB18597-2023）</w:t>
      </w:r>
      <w:r>
        <w:rPr>
          <w:rFonts w:hint="eastAsia" w:ascii="Times New Roman" w:hAnsi="Times New Roman" w:eastAsia="宋体" w:cs="Times New Roman"/>
          <w:color w:val="auto"/>
          <w:kern w:val="0"/>
          <w:sz w:val="24"/>
          <w:szCs w:val="24"/>
        </w:rPr>
        <w:t>，</w:t>
      </w:r>
      <w:r>
        <w:rPr>
          <w:rFonts w:ascii="Times New Roman" w:hAnsi="Times New Roman" w:eastAsia="宋体" w:cs="Times New Roman"/>
          <w:color w:val="auto"/>
          <w:kern w:val="0"/>
          <w:sz w:val="24"/>
          <w:szCs w:val="24"/>
        </w:rPr>
        <w:t>本项目的危险废物暂存容器、暂存胶袋及暂存场所满足如下要求：</w:t>
      </w:r>
    </w:p>
    <w:p w14:paraId="20FAA2CE">
      <w:pPr>
        <w:widowControl/>
        <w:spacing w:line="360" w:lineRule="auto"/>
        <w:ind w:firstLine="480" w:firstLineChars="200"/>
        <w:jc w:val="left"/>
        <w:rPr>
          <w:rFonts w:ascii="Times New Roman" w:hAnsi="Times New Roman" w:eastAsia="宋体" w:cs="Times New Roman"/>
          <w:color w:val="auto"/>
          <w:kern w:val="0"/>
          <w:sz w:val="24"/>
          <w:szCs w:val="24"/>
        </w:rPr>
      </w:pPr>
      <w:r>
        <w:rPr>
          <w:rFonts w:hint="eastAsia" w:ascii="Times New Roman" w:hAnsi="Times New Roman" w:eastAsia="宋体" w:cs="Times New Roman"/>
          <w:color w:val="auto"/>
          <w:kern w:val="0"/>
          <w:sz w:val="24"/>
          <w:szCs w:val="24"/>
        </w:rPr>
        <w:t>（1）</w:t>
      </w:r>
      <w:r>
        <w:rPr>
          <w:rFonts w:ascii="Times New Roman" w:hAnsi="Times New Roman" w:eastAsia="宋体" w:cs="Times New Roman"/>
          <w:color w:val="auto"/>
          <w:kern w:val="0"/>
          <w:sz w:val="24"/>
          <w:szCs w:val="24"/>
        </w:rPr>
        <w:t>建造专用的危险废物贮存设施；</w:t>
      </w:r>
    </w:p>
    <w:p w14:paraId="4A448C88">
      <w:pPr>
        <w:widowControl/>
        <w:spacing w:line="360" w:lineRule="auto"/>
        <w:ind w:firstLine="480" w:firstLineChars="200"/>
        <w:jc w:val="left"/>
        <w:rPr>
          <w:rFonts w:ascii="Times New Roman" w:hAnsi="Times New Roman" w:eastAsia="宋体" w:cs="Times New Roman"/>
          <w:color w:val="auto"/>
          <w:kern w:val="0"/>
          <w:sz w:val="24"/>
          <w:szCs w:val="24"/>
        </w:rPr>
      </w:pPr>
      <w:r>
        <w:rPr>
          <w:rFonts w:hint="eastAsia" w:ascii="Times New Roman" w:hAnsi="Times New Roman" w:eastAsia="宋体" w:cs="Times New Roman"/>
          <w:color w:val="auto"/>
          <w:kern w:val="0"/>
          <w:sz w:val="24"/>
          <w:szCs w:val="24"/>
        </w:rPr>
        <w:t>（2）</w:t>
      </w:r>
      <w:r>
        <w:rPr>
          <w:rFonts w:ascii="Times New Roman" w:hAnsi="Times New Roman" w:eastAsia="宋体" w:cs="Times New Roman"/>
          <w:color w:val="auto"/>
          <w:kern w:val="0"/>
          <w:sz w:val="24"/>
          <w:szCs w:val="24"/>
        </w:rPr>
        <w:t>将危险废物装入符合标准的容器内；</w:t>
      </w:r>
    </w:p>
    <w:p w14:paraId="42D01320">
      <w:pPr>
        <w:widowControl/>
        <w:spacing w:line="360" w:lineRule="auto"/>
        <w:ind w:firstLine="480" w:firstLineChars="200"/>
        <w:jc w:val="left"/>
        <w:rPr>
          <w:rFonts w:ascii="Times New Roman" w:hAnsi="Times New Roman" w:eastAsia="宋体" w:cs="Times New Roman"/>
          <w:color w:val="auto"/>
          <w:kern w:val="0"/>
          <w:sz w:val="24"/>
          <w:szCs w:val="24"/>
        </w:rPr>
      </w:pPr>
      <w:r>
        <w:rPr>
          <w:rFonts w:hint="eastAsia" w:ascii="Times New Roman" w:hAnsi="Times New Roman" w:eastAsia="宋体" w:cs="Times New Roman"/>
          <w:color w:val="auto"/>
          <w:kern w:val="0"/>
          <w:sz w:val="24"/>
          <w:szCs w:val="24"/>
        </w:rPr>
        <w:t>（3）</w:t>
      </w:r>
      <w:r>
        <w:rPr>
          <w:rFonts w:ascii="Times New Roman" w:hAnsi="Times New Roman" w:eastAsia="宋体" w:cs="Times New Roman"/>
          <w:color w:val="auto"/>
          <w:kern w:val="0"/>
          <w:sz w:val="24"/>
          <w:szCs w:val="24"/>
        </w:rPr>
        <w:t>禁止将不相容（相互反应）的危险废物在同一容器内混装；</w:t>
      </w:r>
    </w:p>
    <w:p w14:paraId="437A84AC">
      <w:pPr>
        <w:widowControl/>
        <w:spacing w:line="360" w:lineRule="auto"/>
        <w:ind w:firstLine="480" w:firstLineChars="200"/>
        <w:jc w:val="left"/>
        <w:rPr>
          <w:rFonts w:ascii="Times New Roman" w:hAnsi="Times New Roman" w:eastAsia="宋体" w:cs="Times New Roman"/>
          <w:color w:val="auto"/>
          <w:kern w:val="0"/>
          <w:sz w:val="24"/>
          <w:szCs w:val="24"/>
        </w:rPr>
      </w:pPr>
      <w:r>
        <w:rPr>
          <w:rFonts w:hint="eastAsia" w:ascii="Times New Roman" w:hAnsi="Times New Roman" w:eastAsia="宋体" w:cs="Times New Roman"/>
          <w:color w:val="auto"/>
          <w:kern w:val="0"/>
          <w:sz w:val="24"/>
          <w:szCs w:val="24"/>
        </w:rPr>
        <w:t>（4）</w:t>
      </w:r>
      <w:r>
        <w:rPr>
          <w:rFonts w:ascii="Times New Roman" w:hAnsi="Times New Roman" w:eastAsia="宋体" w:cs="Times New Roman"/>
          <w:color w:val="auto"/>
          <w:kern w:val="0"/>
          <w:sz w:val="24"/>
          <w:szCs w:val="24"/>
        </w:rPr>
        <w:t>无法装入常用容器的危险废物</w:t>
      </w:r>
      <w:r>
        <w:rPr>
          <w:rFonts w:hint="eastAsia" w:ascii="Times New Roman" w:hAnsi="Times New Roman" w:eastAsia="宋体" w:cs="Times New Roman"/>
          <w:color w:val="auto"/>
          <w:kern w:val="0"/>
          <w:sz w:val="24"/>
          <w:szCs w:val="24"/>
        </w:rPr>
        <w:t>采</w:t>
      </w:r>
      <w:r>
        <w:rPr>
          <w:rFonts w:ascii="Times New Roman" w:hAnsi="Times New Roman" w:eastAsia="宋体" w:cs="Times New Roman"/>
          <w:color w:val="auto"/>
          <w:kern w:val="0"/>
          <w:sz w:val="24"/>
          <w:szCs w:val="24"/>
        </w:rPr>
        <w:t>用防漏胶袋等盛装；</w:t>
      </w:r>
    </w:p>
    <w:p w14:paraId="4E40905A">
      <w:pPr>
        <w:widowControl/>
        <w:spacing w:line="360" w:lineRule="auto"/>
        <w:ind w:firstLine="480" w:firstLineChars="200"/>
        <w:jc w:val="left"/>
        <w:rPr>
          <w:rFonts w:ascii="Times New Roman" w:hAnsi="Times New Roman" w:eastAsia="宋体" w:cs="Times New Roman"/>
          <w:color w:val="auto"/>
          <w:kern w:val="0"/>
          <w:sz w:val="24"/>
          <w:szCs w:val="24"/>
        </w:rPr>
      </w:pPr>
      <w:r>
        <w:rPr>
          <w:rFonts w:hint="eastAsia" w:ascii="Times New Roman" w:hAnsi="Times New Roman" w:eastAsia="宋体" w:cs="Times New Roman"/>
          <w:color w:val="auto"/>
          <w:kern w:val="0"/>
          <w:sz w:val="24"/>
          <w:szCs w:val="24"/>
        </w:rPr>
        <w:t>（5）</w:t>
      </w:r>
      <w:r>
        <w:rPr>
          <w:rFonts w:ascii="Times New Roman" w:hAnsi="Times New Roman" w:eastAsia="宋体" w:cs="Times New Roman"/>
          <w:color w:val="auto"/>
          <w:kern w:val="0"/>
          <w:sz w:val="24"/>
          <w:szCs w:val="24"/>
        </w:rPr>
        <w:t>装载液体、半固体危险废物（如有机废液）的容器内留</w:t>
      </w:r>
      <w:r>
        <w:rPr>
          <w:rFonts w:hint="eastAsia" w:ascii="Times New Roman" w:hAnsi="Times New Roman" w:eastAsia="宋体" w:cs="Times New Roman"/>
          <w:color w:val="auto"/>
          <w:kern w:val="0"/>
          <w:sz w:val="24"/>
          <w:szCs w:val="24"/>
        </w:rPr>
        <w:t>有</w:t>
      </w:r>
      <w:r>
        <w:rPr>
          <w:rFonts w:ascii="Times New Roman" w:hAnsi="Times New Roman" w:eastAsia="宋体" w:cs="Times New Roman"/>
          <w:color w:val="auto"/>
          <w:kern w:val="0"/>
          <w:sz w:val="24"/>
          <w:szCs w:val="24"/>
        </w:rPr>
        <w:t>足够空间，容器顶部与液体表面之间保留</w:t>
      </w:r>
      <w:r>
        <w:rPr>
          <w:rFonts w:hint="eastAsia" w:ascii="Times New Roman" w:hAnsi="Times New Roman" w:eastAsia="宋体" w:cs="Times New Roman"/>
          <w:color w:val="auto"/>
          <w:kern w:val="0"/>
          <w:sz w:val="24"/>
          <w:szCs w:val="24"/>
        </w:rPr>
        <w:t>了</w:t>
      </w:r>
      <w:r>
        <w:rPr>
          <w:rFonts w:ascii="Times New Roman" w:hAnsi="Times New Roman" w:eastAsia="宋体" w:cs="Times New Roman"/>
          <w:color w:val="auto"/>
          <w:kern w:val="0"/>
          <w:sz w:val="24"/>
          <w:szCs w:val="24"/>
        </w:rPr>
        <w:t>100mm以上的空间。</w:t>
      </w:r>
    </w:p>
    <w:p w14:paraId="1DEEACAE">
      <w:pPr>
        <w:widowControl/>
        <w:spacing w:line="360" w:lineRule="auto"/>
        <w:ind w:firstLine="480" w:firstLineChars="200"/>
        <w:jc w:val="left"/>
        <w:rPr>
          <w:rFonts w:ascii="Times New Roman" w:hAnsi="Times New Roman" w:eastAsia="宋体" w:cs="Times New Roman"/>
          <w:color w:val="auto"/>
          <w:kern w:val="0"/>
          <w:sz w:val="24"/>
          <w:szCs w:val="24"/>
        </w:rPr>
      </w:pPr>
      <w:r>
        <w:rPr>
          <w:rFonts w:hint="eastAsia" w:ascii="Times New Roman" w:hAnsi="Times New Roman" w:eastAsia="宋体" w:cs="Times New Roman"/>
          <w:color w:val="auto"/>
          <w:kern w:val="0"/>
          <w:sz w:val="24"/>
          <w:szCs w:val="24"/>
        </w:rPr>
        <w:t>（6）</w:t>
      </w:r>
      <w:r>
        <w:rPr>
          <w:rFonts w:ascii="Times New Roman" w:hAnsi="Times New Roman" w:eastAsia="宋体" w:cs="Times New Roman"/>
          <w:color w:val="auto"/>
          <w:kern w:val="0"/>
          <w:sz w:val="24"/>
          <w:szCs w:val="24"/>
        </w:rPr>
        <w:t>盛装危险废物的容器上粘贴</w:t>
      </w:r>
      <w:r>
        <w:rPr>
          <w:rFonts w:hint="eastAsia" w:ascii="Times New Roman" w:hAnsi="Times New Roman" w:eastAsia="宋体" w:cs="Times New Roman"/>
          <w:color w:val="auto"/>
          <w:kern w:val="0"/>
          <w:sz w:val="24"/>
          <w:szCs w:val="24"/>
        </w:rPr>
        <w:t>了</w:t>
      </w:r>
      <w:r>
        <w:rPr>
          <w:rFonts w:ascii="Times New Roman" w:hAnsi="Times New Roman" w:eastAsia="宋体" w:cs="Times New Roman"/>
          <w:color w:val="auto"/>
          <w:kern w:val="0"/>
          <w:sz w:val="24"/>
          <w:szCs w:val="24"/>
        </w:rPr>
        <w:t>符合标准的标签。</w:t>
      </w:r>
    </w:p>
    <w:p w14:paraId="68635CD6">
      <w:pPr>
        <w:widowControl/>
        <w:spacing w:line="360" w:lineRule="auto"/>
        <w:ind w:firstLine="480" w:firstLineChars="200"/>
        <w:jc w:val="left"/>
        <w:rPr>
          <w:rFonts w:ascii="Times New Roman" w:hAnsi="Times New Roman" w:eastAsia="宋体" w:cs="Times New Roman"/>
          <w:color w:val="auto"/>
          <w:kern w:val="0"/>
          <w:sz w:val="24"/>
          <w:szCs w:val="24"/>
        </w:rPr>
      </w:pPr>
      <w:r>
        <w:rPr>
          <w:rFonts w:hint="eastAsia" w:ascii="Times New Roman" w:hAnsi="Times New Roman" w:eastAsia="宋体" w:cs="Times New Roman"/>
          <w:color w:val="auto"/>
          <w:kern w:val="0"/>
          <w:sz w:val="24"/>
          <w:szCs w:val="24"/>
        </w:rPr>
        <w:t>（7）</w:t>
      </w:r>
      <w:r>
        <w:rPr>
          <w:rFonts w:ascii="Times New Roman" w:hAnsi="Times New Roman" w:eastAsia="宋体" w:cs="Times New Roman"/>
          <w:color w:val="auto"/>
          <w:kern w:val="0"/>
          <w:sz w:val="24"/>
          <w:szCs w:val="24"/>
        </w:rPr>
        <w:t>危险废物贮存容器要求：使用</w:t>
      </w:r>
      <w:r>
        <w:rPr>
          <w:rFonts w:hint="eastAsia" w:ascii="Times New Roman" w:hAnsi="Times New Roman" w:eastAsia="宋体" w:cs="Times New Roman"/>
          <w:color w:val="auto"/>
          <w:kern w:val="0"/>
          <w:sz w:val="24"/>
          <w:szCs w:val="24"/>
        </w:rPr>
        <w:t>了</w:t>
      </w:r>
      <w:r>
        <w:rPr>
          <w:rFonts w:ascii="Times New Roman" w:hAnsi="Times New Roman" w:eastAsia="宋体" w:cs="Times New Roman"/>
          <w:color w:val="auto"/>
          <w:kern w:val="0"/>
          <w:sz w:val="24"/>
          <w:szCs w:val="24"/>
        </w:rPr>
        <w:t>符合标准的容器盛装危险废物，装载危险废物的容器及材质满足相应的强度要求，装载危险废物的容器完好无损；盛装危险废物的容器材质和衬里与危险废物相容（不相互反应）。</w:t>
      </w:r>
    </w:p>
    <w:p w14:paraId="46ED5E79">
      <w:pPr>
        <w:widowControl/>
        <w:spacing w:line="360" w:lineRule="auto"/>
        <w:ind w:firstLine="480" w:firstLineChars="200"/>
        <w:jc w:val="left"/>
        <w:rPr>
          <w:rFonts w:ascii="Times New Roman" w:hAnsi="Times New Roman" w:eastAsia="宋体" w:cs="Times New Roman"/>
          <w:color w:val="auto"/>
          <w:kern w:val="0"/>
          <w:sz w:val="24"/>
          <w:szCs w:val="24"/>
        </w:rPr>
      </w:pPr>
      <w:r>
        <w:rPr>
          <w:rFonts w:hint="eastAsia" w:ascii="Times New Roman" w:hAnsi="Times New Roman" w:eastAsia="宋体" w:cs="Times New Roman"/>
          <w:color w:val="auto"/>
          <w:kern w:val="0"/>
          <w:sz w:val="24"/>
          <w:szCs w:val="24"/>
        </w:rPr>
        <w:t>（8）贮存设施地面与裙脚应采取表面防渗措施；表面防渗材料与所接触的物料或污染物相容，采用抗渗混凝土，基础防渗层为至少</w:t>
      </w:r>
      <w:r>
        <w:rPr>
          <w:rFonts w:ascii="Times New Roman" w:hAnsi="Times New Roman" w:eastAsia="宋体" w:cs="Times New Roman"/>
          <w:color w:val="auto"/>
          <w:kern w:val="0"/>
          <w:sz w:val="24"/>
          <w:szCs w:val="24"/>
        </w:rPr>
        <w:t>1m</w:t>
      </w:r>
      <w:r>
        <w:rPr>
          <w:rFonts w:hint="eastAsia" w:ascii="Times New Roman" w:hAnsi="Times New Roman" w:eastAsia="宋体" w:cs="Times New Roman"/>
          <w:color w:val="auto"/>
          <w:kern w:val="0"/>
          <w:sz w:val="24"/>
          <w:szCs w:val="24"/>
        </w:rPr>
        <w:t>厚黏土层（渗透系数不大于</w:t>
      </w:r>
      <w:r>
        <w:rPr>
          <w:rFonts w:ascii="Times New Roman" w:hAnsi="Times New Roman" w:eastAsia="宋体" w:cs="Times New Roman"/>
          <w:color w:val="auto"/>
          <w:kern w:val="0"/>
          <w:sz w:val="24"/>
          <w:szCs w:val="24"/>
        </w:rPr>
        <w:t>10</w:t>
      </w:r>
      <w:r>
        <w:rPr>
          <w:rFonts w:ascii="Times New Roman" w:hAnsi="Times New Roman" w:eastAsia="宋体" w:cs="Times New Roman"/>
          <w:color w:val="auto"/>
          <w:kern w:val="0"/>
          <w:sz w:val="24"/>
          <w:szCs w:val="24"/>
          <w:vertAlign w:val="superscript"/>
        </w:rPr>
        <w:t>-</w:t>
      </w:r>
      <w:r>
        <w:rPr>
          <w:rFonts w:hint="eastAsia" w:ascii="Times New Roman" w:hAnsi="Times New Roman" w:eastAsia="宋体" w:cs="Times New Roman"/>
          <w:color w:val="auto"/>
          <w:kern w:val="0"/>
          <w:sz w:val="24"/>
          <w:szCs w:val="24"/>
          <w:vertAlign w:val="superscript"/>
        </w:rPr>
        <w:t>7</w:t>
      </w:r>
      <w:r>
        <w:rPr>
          <w:rFonts w:ascii="Times New Roman" w:hAnsi="Times New Roman" w:eastAsia="宋体" w:cs="Times New Roman"/>
          <w:color w:val="auto"/>
          <w:kern w:val="0"/>
          <w:sz w:val="24"/>
          <w:szCs w:val="24"/>
        </w:rPr>
        <w:t>cm/s</w:t>
      </w:r>
      <w:r>
        <w:rPr>
          <w:rFonts w:hint="eastAsia" w:ascii="Times New Roman" w:hAnsi="Times New Roman" w:eastAsia="宋体" w:cs="Times New Roman"/>
          <w:color w:val="auto"/>
          <w:kern w:val="0"/>
          <w:sz w:val="24"/>
          <w:szCs w:val="24"/>
        </w:rPr>
        <w:t>）。</w:t>
      </w:r>
    </w:p>
    <w:p w14:paraId="1B4E34E8">
      <w:pPr>
        <w:widowControl/>
        <w:spacing w:line="360" w:lineRule="auto"/>
        <w:ind w:firstLine="480" w:firstLineChars="200"/>
        <w:jc w:val="left"/>
        <w:rPr>
          <w:rFonts w:ascii="Times New Roman" w:hAnsi="Times New Roman" w:eastAsia="宋体" w:cs="Times New Roman"/>
          <w:color w:val="auto"/>
          <w:kern w:val="0"/>
          <w:sz w:val="24"/>
          <w:szCs w:val="24"/>
        </w:rPr>
      </w:pPr>
      <w:r>
        <w:rPr>
          <w:rFonts w:hint="eastAsia" w:ascii="Times New Roman" w:hAnsi="Times New Roman" w:eastAsia="宋体" w:cs="Times New Roman"/>
          <w:color w:val="auto"/>
          <w:kern w:val="0"/>
          <w:sz w:val="24"/>
          <w:szCs w:val="24"/>
        </w:rPr>
        <w:t>危废暂存间采用相同的防渗、防腐工艺（包括防渗、防腐结构或材料），防渗、防腐材料覆盖所有可能与废物及其渗滤液、渗漏液等接触的构筑物表面。</w:t>
      </w:r>
    </w:p>
    <w:p w14:paraId="22505FCE">
      <w:pPr>
        <w:widowControl/>
        <w:spacing w:line="360" w:lineRule="auto"/>
        <w:ind w:firstLine="480" w:firstLineChars="200"/>
        <w:jc w:val="left"/>
        <w:rPr>
          <w:rFonts w:ascii="Times New Roman" w:hAnsi="Times New Roman" w:eastAsia="宋体" w:cs="Times New Roman"/>
          <w:color w:val="auto"/>
          <w:kern w:val="0"/>
          <w:sz w:val="24"/>
          <w:szCs w:val="24"/>
        </w:rPr>
      </w:pPr>
      <w:r>
        <w:rPr>
          <w:rFonts w:hint="eastAsia" w:ascii="Times New Roman" w:hAnsi="Times New Roman" w:eastAsia="宋体" w:cs="Times New Roman"/>
          <w:color w:val="auto"/>
          <w:kern w:val="0"/>
          <w:sz w:val="24"/>
          <w:szCs w:val="24"/>
        </w:rPr>
        <w:t>（9）危废暂存间采用专人管理，禁止无关人员进入。</w:t>
      </w:r>
    </w:p>
    <w:p w14:paraId="00782C2B">
      <w:pPr>
        <w:widowControl/>
        <w:spacing w:line="360" w:lineRule="auto"/>
        <w:ind w:firstLine="480" w:firstLineChars="200"/>
        <w:jc w:val="left"/>
        <w:rPr>
          <w:rFonts w:ascii="Times New Roman" w:hAnsi="Times New Roman" w:eastAsia="宋体" w:cs="Times New Roman"/>
          <w:color w:val="auto"/>
          <w:kern w:val="0"/>
          <w:sz w:val="24"/>
          <w:szCs w:val="24"/>
        </w:rPr>
      </w:pPr>
      <w:r>
        <w:rPr>
          <w:rFonts w:hint="eastAsia" w:ascii="Times New Roman" w:hAnsi="Times New Roman" w:eastAsia="宋体" w:cs="Times New Roman"/>
          <w:color w:val="auto"/>
          <w:kern w:val="0"/>
          <w:sz w:val="24"/>
          <w:szCs w:val="24"/>
        </w:rPr>
        <w:t>（10）危险废物贮存设施的运行与管理</w:t>
      </w:r>
    </w:p>
    <w:p w14:paraId="1D43284B">
      <w:pPr>
        <w:spacing w:line="360" w:lineRule="auto"/>
        <w:ind w:firstLine="480" w:firstLineChars="200"/>
        <w:jc w:val="left"/>
        <w:rPr>
          <w:rFonts w:ascii="Times New Roman" w:hAnsi="Times New Roman" w:eastAsia="宋体" w:cs="Times New Roman"/>
          <w:color w:val="auto"/>
          <w:kern w:val="0"/>
          <w:sz w:val="24"/>
          <w:szCs w:val="24"/>
        </w:rPr>
      </w:pPr>
      <w:r>
        <w:rPr>
          <w:rFonts w:hint="eastAsia" w:ascii="Times New Roman" w:hAnsi="Times New Roman" w:eastAsia="宋体" w:cs="Times New Roman"/>
          <w:color w:val="auto"/>
          <w:kern w:val="0"/>
          <w:sz w:val="24"/>
          <w:szCs w:val="24"/>
        </w:rPr>
        <w:t>a、危废暂存间内不同贮存分区之间采用设置过道、隔板、隔墙等隔离措施。</w:t>
      </w:r>
    </w:p>
    <w:p w14:paraId="346D8157">
      <w:pPr>
        <w:spacing w:line="360" w:lineRule="auto"/>
        <w:ind w:firstLine="480" w:firstLineChars="200"/>
        <w:jc w:val="left"/>
        <w:rPr>
          <w:rFonts w:ascii="Times New Roman" w:hAnsi="Times New Roman" w:eastAsia="宋体" w:cs="Times New Roman"/>
          <w:color w:val="auto"/>
          <w:kern w:val="0"/>
          <w:sz w:val="24"/>
          <w:szCs w:val="24"/>
        </w:rPr>
      </w:pPr>
      <w:r>
        <w:rPr>
          <w:rFonts w:hint="eastAsia" w:ascii="Times New Roman" w:hAnsi="Times New Roman" w:eastAsia="宋体" w:cs="Times New Roman"/>
          <w:color w:val="auto"/>
          <w:kern w:val="0"/>
          <w:sz w:val="24"/>
          <w:szCs w:val="24"/>
        </w:rPr>
        <w:t>b、每个贮存分区之间均留有搬运通道。</w:t>
      </w:r>
    </w:p>
    <w:p w14:paraId="6807BF81">
      <w:pPr>
        <w:spacing w:line="360" w:lineRule="auto"/>
        <w:ind w:firstLine="480" w:firstLineChars="200"/>
        <w:jc w:val="left"/>
        <w:rPr>
          <w:rFonts w:ascii="Times New Roman" w:hAnsi="Times New Roman" w:eastAsia="宋体" w:cs="Times New Roman"/>
          <w:color w:val="auto"/>
          <w:kern w:val="0"/>
          <w:sz w:val="24"/>
          <w:szCs w:val="24"/>
        </w:rPr>
      </w:pPr>
      <w:r>
        <w:rPr>
          <w:rFonts w:hint="eastAsia" w:ascii="Times New Roman" w:hAnsi="Times New Roman" w:eastAsia="宋体" w:cs="Times New Roman"/>
          <w:color w:val="auto"/>
          <w:kern w:val="0"/>
          <w:sz w:val="24"/>
          <w:szCs w:val="24"/>
        </w:rPr>
        <w:t>c、按照HJ1259的要求，采用电子地磅、电子标签、电子管理台账等技术手段对危险废物贮存过程进行信息化管理，确保数据完整、真实、准确；采用视频监控的应确保监控画面清晰，视频记录保存时间在3个月以上。</w:t>
      </w:r>
    </w:p>
    <w:p w14:paraId="0C4AB8B5">
      <w:pPr>
        <w:widowControl/>
        <w:spacing w:line="360" w:lineRule="auto"/>
        <w:ind w:firstLine="480" w:firstLineChars="200"/>
        <w:jc w:val="left"/>
        <w:rPr>
          <w:rFonts w:ascii="Times New Roman" w:hAnsi="Times New Roman" w:eastAsia="宋体" w:cs="Times New Roman"/>
          <w:color w:val="auto"/>
          <w:kern w:val="0"/>
          <w:sz w:val="24"/>
          <w:szCs w:val="24"/>
        </w:rPr>
      </w:pPr>
      <w:r>
        <w:rPr>
          <w:rFonts w:hint="eastAsia" w:ascii="Times New Roman" w:hAnsi="Times New Roman" w:eastAsia="宋体" w:cs="Times New Roman"/>
          <w:color w:val="auto"/>
          <w:kern w:val="0"/>
          <w:sz w:val="24"/>
          <w:szCs w:val="24"/>
        </w:rPr>
        <w:t>d、危险废物存入贮存设施前对危险废物类别和特性与危险废物标签等危险废物识别标志的一致性进行核验，不一致的或类别、特性不明的禁止存入。</w:t>
      </w:r>
    </w:p>
    <w:p w14:paraId="299CA4B6">
      <w:pPr>
        <w:widowControl/>
        <w:spacing w:line="360" w:lineRule="auto"/>
        <w:ind w:firstLine="480" w:firstLineChars="200"/>
        <w:jc w:val="left"/>
        <w:rPr>
          <w:rFonts w:ascii="Times New Roman" w:hAnsi="Times New Roman" w:eastAsia="宋体" w:cs="Times New Roman"/>
          <w:color w:val="auto"/>
          <w:kern w:val="0"/>
          <w:sz w:val="24"/>
          <w:szCs w:val="24"/>
        </w:rPr>
      </w:pPr>
      <w:r>
        <w:rPr>
          <w:rFonts w:hint="eastAsia" w:ascii="Times New Roman" w:hAnsi="Times New Roman" w:eastAsia="宋体" w:cs="Times New Roman"/>
          <w:color w:val="auto"/>
          <w:kern w:val="0"/>
          <w:sz w:val="24"/>
          <w:szCs w:val="24"/>
        </w:rPr>
        <w:t>e、定期检查危险废物的贮存状况，及时清理贮存设施地面，更换破损泄漏的危险废物贮存容器和包装物，保证堆存危险废物的防雨、防风、防扬尘等设施功能完好。</w:t>
      </w:r>
    </w:p>
    <w:p w14:paraId="7967B35B">
      <w:pPr>
        <w:widowControl/>
        <w:spacing w:line="360" w:lineRule="auto"/>
        <w:ind w:firstLine="480" w:firstLineChars="200"/>
        <w:jc w:val="left"/>
        <w:rPr>
          <w:rFonts w:ascii="Times New Roman" w:hAnsi="Times New Roman" w:eastAsia="宋体" w:cs="Times New Roman"/>
          <w:color w:val="auto"/>
          <w:kern w:val="0"/>
          <w:sz w:val="24"/>
          <w:szCs w:val="24"/>
        </w:rPr>
      </w:pPr>
      <w:r>
        <w:rPr>
          <w:rFonts w:hint="eastAsia" w:ascii="Times New Roman" w:hAnsi="Times New Roman" w:eastAsia="宋体" w:cs="Times New Roman"/>
          <w:color w:val="auto"/>
          <w:kern w:val="0"/>
          <w:sz w:val="24"/>
          <w:szCs w:val="24"/>
        </w:rPr>
        <w:t>f、作业设备及车辆等结束作业离开贮存设施时，对其残留的危险废物进行清理，清理的废物或清洗废水收集处理。</w:t>
      </w:r>
    </w:p>
    <w:p w14:paraId="1A5890B7">
      <w:pPr>
        <w:widowControl/>
        <w:spacing w:line="360" w:lineRule="auto"/>
        <w:ind w:firstLine="480" w:firstLineChars="200"/>
        <w:jc w:val="left"/>
        <w:rPr>
          <w:rFonts w:ascii="Times New Roman" w:hAnsi="Times New Roman" w:eastAsia="宋体" w:cs="Times New Roman"/>
          <w:color w:val="auto"/>
          <w:kern w:val="0"/>
          <w:sz w:val="24"/>
          <w:szCs w:val="24"/>
        </w:rPr>
      </w:pPr>
      <w:r>
        <w:rPr>
          <w:rFonts w:hint="eastAsia" w:ascii="Times New Roman" w:hAnsi="Times New Roman" w:eastAsia="宋体" w:cs="Times New Roman"/>
          <w:color w:val="auto"/>
          <w:kern w:val="0"/>
          <w:sz w:val="24"/>
          <w:szCs w:val="24"/>
        </w:rPr>
        <w:t>g、依据国家土壤和地下水污染防治的有关规定，结合贮存设施特点建立土壤和地下水污染隐患排查制度，并定期开展隐患排查；发现隐患应及时采取措施消除隐患，并建立档案。</w:t>
      </w:r>
    </w:p>
    <w:p w14:paraId="52B46A43">
      <w:pPr>
        <w:widowControl/>
        <w:spacing w:line="360" w:lineRule="auto"/>
        <w:ind w:firstLine="480" w:firstLineChars="200"/>
        <w:jc w:val="left"/>
        <w:rPr>
          <w:rFonts w:ascii="Times New Roman" w:hAnsi="Times New Roman" w:eastAsia="宋体" w:cs="Times New Roman"/>
          <w:color w:val="auto"/>
          <w:kern w:val="0"/>
          <w:sz w:val="24"/>
          <w:szCs w:val="24"/>
        </w:rPr>
      </w:pPr>
      <w:r>
        <w:rPr>
          <w:rFonts w:hint="eastAsia" w:ascii="Times New Roman" w:hAnsi="Times New Roman" w:eastAsia="宋体" w:cs="Times New Roman"/>
          <w:color w:val="auto"/>
          <w:kern w:val="0"/>
          <w:sz w:val="24"/>
          <w:szCs w:val="24"/>
        </w:rPr>
        <w:t>h、建立了贮存设施全部档案，包括设计、施工、验收、运行、监测和环境应急等，按国家有关档案管理的法律法规进行整理和归档。</w:t>
      </w:r>
    </w:p>
    <w:p w14:paraId="6E5D6581">
      <w:pPr>
        <w:widowControl/>
        <w:spacing w:line="360" w:lineRule="auto"/>
        <w:ind w:firstLine="480" w:firstLineChars="200"/>
        <w:jc w:val="left"/>
        <w:rPr>
          <w:rFonts w:ascii="Times New Roman" w:hAnsi="Times New Roman" w:eastAsia="宋体" w:cs="Times New Roman"/>
          <w:color w:val="auto"/>
          <w:kern w:val="0"/>
          <w:sz w:val="24"/>
          <w:szCs w:val="24"/>
        </w:rPr>
      </w:pPr>
      <w:r>
        <w:rPr>
          <w:rFonts w:hint="eastAsia" w:ascii="Times New Roman" w:hAnsi="Times New Roman" w:eastAsia="宋体" w:cs="Times New Roman"/>
          <w:color w:val="auto"/>
          <w:kern w:val="0"/>
          <w:sz w:val="24"/>
          <w:szCs w:val="24"/>
        </w:rPr>
        <w:t>（11）环境管理要求</w:t>
      </w:r>
    </w:p>
    <w:p w14:paraId="100BE58D">
      <w:pPr>
        <w:widowControl/>
        <w:spacing w:line="360" w:lineRule="auto"/>
        <w:ind w:firstLine="480" w:firstLineChars="200"/>
        <w:jc w:val="left"/>
        <w:rPr>
          <w:rFonts w:ascii="Times New Roman" w:hAnsi="Times New Roman" w:eastAsia="宋体" w:cs="Times New Roman"/>
          <w:color w:val="auto"/>
          <w:kern w:val="0"/>
          <w:sz w:val="24"/>
          <w:szCs w:val="24"/>
        </w:rPr>
      </w:pPr>
      <w:r>
        <w:rPr>
          <w:rFonts w:hint="eastAsia" w:ascii="Times New Roman" w:hAnsi="Times New Roman" w:eastAsia="宋体" w:cs="Times New Roman"/>
          <w:color w:val="auto"/>
          <w:kern w:val="0"/>
          <w:sz w:val="24"/>
          <w:szCs w:val="24"/>
        </w:rPr>
        <w:t>a、具有固定的区域边界，并采取与其他区域进行隔离的措施。</w:t>
      </w:r>
    </w:p>
    <w:p w14:paraId="3372040D">
      <w:pPr>
        <w:widowControl/>
        <w:spacing w:line="360" w:lineRule="auto"/>
        <w:ind w:firstLine="480" w:firstLineChars="200"/>
        <w:jc w:val="left"/>
        <w:rPr>
          <w:rFonts w:ascii="Times New Roman" w:hAnsi="Times New Roman" w:eastAsia="宋体" w:cs="Times New Roman"/>
          <w:color w:val="auto"/>
          <w:kern w:val="0"/>
          <w:sz w:val="24"/>
          <w:szCs w:val="24"/>
        </w:rPr>
      </w:pPr>
      <w:r>
        <w:rPr>
          <w:rFonts w:hint="eastAsia" w:ascii="Times New Roman" w:hAnsi="Times New Roman" w:eastAsia="宋体" w:cs="Times New Roman"/>
          <w:color w:val="auto"/>
          <w:kern w:val="0"/>
          <w:sz w:val="24"/>
          <w:szCs w:val="24"/>
        </w:rPr>
        <w:t>b、采取了防风、防雨、防晒和防止危险废物流失、扬散等措施。</w:t>
      </w:r>
    </w:p>
    <w:p w14:paraId="3812388C">
      <w:pPr>
        <w:widowControl/>
        <w:spacing w:line="360" w:lineRule="auto"/>
        <w:ind w:firstLine="480" w:firstLineChars="200"/>
        <w:jc w:val="left"/>
        <w:rPr>
          <w:rFonts w:ascii="Times New Roman" w:hAnsi="Times New Roman" w:eastAsia="宋体" w:cs="Times New Roman"/>
          <w:color w:val="auto"/>
          <w:kern w:val="0"/>
          <w:sz w:val="24"/>
          <w:szCs w:val="24"/>
        </w:rPr>
      </w:pPr>
      <w:r>
        <w:rPr>
          <w:rFonts w:hint="eastAsia" w:ascii="Times New Roman" w:hAnsi="Times New Roman" w:eastAsia="宋体" w:cs="Times New Roman"/>
          <w:color w:val="auto"/>
          <w:kern w:val="0"/>
          <w:sz w:val="24"/>
          <w:szCs w:val="24"/>
        </w:rPr>
        <w:t>c、危险废物置于容器或包装物中，未直接散堆。</w:t>
      </w:r>
    </w:p>
    <w:p w14:paraId="2E1013D3">
      <w:pPr>
        <w:widowControl/>
        <w:spacing w:line="360" w:lineRule="auto"/>
        <w:ind w:firstLine="480" w:firstLineChars="200"/>
        <w:jc w:val="left"/>
        <w:rPr>
          <w:rFonts w:ascii="Times New Roman" w:hAnsi="Times New Roman" w:eastAsia="宋体" w:cs="Times New Roman"/>
          <w:color w:val="auto"/>
          <w:kern w:val="0"/>
          <w:sz w:val="24"/>
          <w:szCs w:val="24"/>
        </w:rPr>
      </w:pPr>
      <w:r>
        <w:rPr>
          <w:rFonts w:hint="eastAsia" w:ascii="Times New Roman" w:hAnsi="Times New Roman" w:eastAsia="宋体" w:cs="Times New Roman"/>
          <w:color w:val="auto"/>
          <w:kern w:val="0"/>
          <w:sz w:val="24"/>
          <w:szCs w:val="24"/>
        </w:rPr>
        <w:t>d、根据危险废物的形态、物理化学性质、包装形式等，采取防渗、防漏等污染防治措施。</w:t>
      </w:r>
    </w:p>
    <w:p w14:paraId="39D54BA3">
      <w:pPr>
        <w:widowControl/>
        <w:spacing w:line="360" w:lineRule="auto"/>
        <w:ind w:firstLine="480" w:firstLineChars="200"/>
        <w:jc w:val="left"/>
        <w:rPr>
          <w:rFonts w:ascii="Times New Roman" w:hAnsi="Times New Roman" w:eastAsia="宋体" w:cs="Times New Roman"/>
          <w:color w:val="auto"/>
          <w:kern w:val="0"/>
          <w:sz w:val="24"/>
          <w:szCs w:val="24"/>
        </w:rPr>
      </w:pPr>
      <w:r>
        <w:rPr>
          <w:rFonts w:hint="eastAsia" w:ascii="Times New Roman" w:hAnsi="Times New Roman" w:eastAsia="宋体" w:cs="Times New Roman"/>
          <w:color w:val="auto"/>
          <w:kern w:val="0"/>
          <w:sz w:val="24"/>
          <w:szCs w:val="24"/>
        </w:rPr>
        <w:t>e、及时清运贮存的危险废物。</w:t>
      </w:r>
    </w:p>
    <w:p w14:paraId="46C378B7">
      <w:pPr>
        <w:widowControl/>
        <w:spacing w:line="360" w:lineRule="auto"/>
        <w:ind w:firstLine="480" w:firstLineChars="200"/>
        <w:jc w:val="left"/>
        <w:rPr>
          <w:rFonts w:ascii="Times New Roman" w:hAnsi="Times New Roman" w:eastAsia="宋体" w:cs="Times New Roman"/>
          <w:color w:val="auto"/>
          <w:kern w:val="0"/>
          <w:sz w:val="24"/>
          <w:szCs w:val="24"/>
        </w:rPr>
      </w:pPr>
      <w:r>
        <w:rPr>
          <w:rFonts w:hint="eastAsia" w:ascii="Times New Roman" w:hAnsi="Times New Roman" w:eastAsia="宋体" w:cs="Times New Roman"/>
          <w:color w:val="auto"/>
          <w:kern w:val="0"/>
          <w:sz w:val="24"/>
          <w:szCs w:val="24"/>
        </w:rPr>
        <w:t>（12）安全防护与监测</w:t>
      </w:r>
    </w:p>
    <w:p w14:paraId="53FAEFC7">
      <w:pPr>
        <w:widowControl/>
        <w:spacing w:line="360" w:lineRule="auto"/>
        <w:ind w:firstLine="480" w:firstLineChars="200"/>
        <w:jc w:val="left"/>
        <w:rPr>
          <w:rFonts w:ascii="Times New Roman" w:hAnsi="Times New Roman" w:eastAsia="宋体" w:cs="Times New Roman"/>
          <w:color w:val="auto"/>
          <w:kern w:val="0"/>
          <w:sz w:val="24"/>
          <w:szCs w:val="24"/>
        </w:rPr>
      </w:pPr>
      <w:r>
        <w:rPr>
          <w:rFonts w:hint="eastAsia" w:ascii="Times New Roman" w:hAnsi="Times New Roman" w:eastAsia="宋体" w:cs="Times New Roman"/>
          <w:color w:val="auto"/>
          <w:kern w:val="0"/>
          <w:sz w:val="24"/>
          <w:szCs w:val="24"/>
        </w:rPr>
        <w:t>a、设置警示标志。</w:t>
      </w:r>
    </w:p>
    <w:p w14:paraId="5CCD8354">
      <w:pPr>
        <w:widowControl/>
        <w:spacing w:line="360" w:lineRule="auto"/>
        <w:ind w:firstLine="480" w:firstLineChars="200"/>
        <w:jc w:val="left"/>
        <w:rPr>
          <w:rFonts w:ascii="Times New Roman" w:hAnsi="Times New Roman" w:eastAsia="宋体" w:cs="Times New Roman"/>
          <w:color w:val="auto"/>
          <w:kern w:val="0"/>
          <w:sz w:val="24"/>
          <w:szCs w:val="24"/>
        </w:rPr>
      </w:pPr>
      <w:r>
        <w:rPr>
          <w:rFonts w:hint="eastAsia" w:ascii="Times New Roman" w:hAnsi="Times New Roman" w:eastAsia="宋体" w:cs="Times New Roman"/>
          <w:color w:val="auto"/>
          <w:kern w:val="0"/>
          <w:sz w:val="24"/>
          <w:szCs w:val="24"/>
        </w:rPr>
        <w:t>b、清理出来的泄漏物，一律按危险废物处理。</w:t>
      </w:r>
    </w:p>
    <w:p w14:paraId="533405C8">
      <w:pPr>
        <w:widowControl/>
        <w:spacing w:line="360" w:lineRule="auto"/>
        <w:ind w:firstLine="480" w:firstLineChars="200"/>
        <w:jc w:val="left"/>
        <w:rPr>
          <w:rFonts w:ascii="Times New Roman" w:hAnsi="Times New Roman" w:eastAsia="宋体" w:cs="Times New Roman"/>
          <w:color w:val="auto"/>
          <w:kern w:val="0"/>
          <w:sz w:val="24"/>
          <w:szCs w:val="24"/>
        </w:rPr>
      </w:pPr>
      <w:r>
        <w:rPr>
          <w:rFonts w:hint="eastAsia" w:ascii="Times New Roman" w:hAnsi="Times New Roman" w:eastAsia="宋体" w:cs="Times New Roman"/>
          <w:color w:val="auto"/>
          <w:kern w:val="0"/>
          <w:sz w:val="24"/>
          <w:szCs w:val="24"/>
        </w:rPr>
        <w:t>c、配备通讯设备、照明设施、安全防护服装及工具，设有应急防护设施。</w:t>
      </w:r>
    </w:p>
    <w:p w14:paraId="0DCEA273">
      <w:pPr>
        <w:widowControl/>
        <w:spacing w:line="360" w:lineRule="auto"/>
        <w:ind w:firstLine="480" w:firstLineChars="200"/>
        <w:jc w:val="left"/>
        <w:rPr>
          <w:rFonts w:ascii="Times New Roman" w:hAnsi="Times New Roman" w:eastAsia="宋体" w:cs="Times New Roman"/>
          <w:color w:val="auto"/>
          <w:kern w:val="0"/>
          <w:sz w:val="24"/>
          <w:szCs w:val="24"/>
        </w:rPr>
      </w:pPr>
      <w:r>
        <w:rPr>
          <w:rFonts w:hint="eastAsia" w:ascii="Times New Roman" w:hAnsi="Times New Roman" w:eastAsia="宋体" w:cs="Times New Roman"/>
          <w:color w:val="auto"/>
          <w:kern w:val="0"/>
          <w:sz w:val="24"/>
          <w:szCs w:val="24"/>
        </w:rPr>
        <w:t>根据以上分析，本项目危废暂存间的建设符合《危险废物贮存污染控制标准》（GB18597-2023）的有关要求。</w:t>
      </w:r>
    </w:p>
    <w:p w14:paraId="4B3AD29E">
      <w:pPr>
        <w:widowControl/>
        <w:spacing w:line="360" w:lineRule="auto"/>
        <w:ind w:firstLine="480" w:firstLineChars="200"/>
        <w:jc w:val="left"/>
        <w:rPr>
          <w:rFonts w:ascii="Times New Roman" w:hAnsi="Times New Roman" w:eastAsia="宋体" w:cs="Times New Roman"/>
          <w:color w:val="auto"/>
          <w:kern w:val="0"/>
          <w:sz w:val="24"/>
          <w:szCs w:val="24"/>
        </w:rPr>
      </w:pPr>
      <w:r>
        <w:rPr>
          <w:rFonts w:hint="eastAsia" w:ascii="Times New Roman" w:hAnsi="Times New Roman" w:eastAsia="宋体" w:cs="Times New Roman"/>
          <w:color w:val="auto"/>
          <w:kern w:val="0"/>
          <w:sz w:val="24"/>
          <w:szCs w:val="24"/>
        </w:rPr>
        <w:t>根据《中华人民共和国固体废物污染环境防治法》第五十八条第二款，危险废物最长可以贮存一年，因此建设单位必须在一年内按危险固废管理办法，按危险固废处置程序，纳入“五联单”管理制度。</w:t>
      </w:r>
    </w:p>
    <w:p w14:paraId="2AAEE41F">
      <w:pPr>
        <w:widowControl/>
        <w:spacing w:line="360" w:lineRule="auto"/>
        <w:ind w:firstLine="480" w:firstLineChars="200"/>
        <w:jc w:val="left"/>
        <w:rPr>
          <w:rFonts w:ascii="Times New Roman" w:hAnsi="Times New Roman" w:eastAsia="宋体" w:cs="Times New Roman"/>
          <w:color w:val="auto"/>
          <w:kern w:val="0"/>
          <w:sz w:val="24"/>
          <w:szCs w:val="24"/>
        </w:rPr>
      </w:pPr>
      <w:r>
        <w:rPr>
          <w:rFonts w:hint="eastAsia" w:ascii="Times New Roman" w:hAnsi="Times New Roman" w:eastAsia="宋体" w:cs="Times New Roman"/>
          <w:color w:val="auto"/>
          <w:kern w:val="0"/>
          <w:sz w:val="24"/>
          <w:szCs w:val="24"/>
        </w:rPr>
        <w:t>（13）外委运输</w:t>
      </w:r>
    </w:p>
    <w:p w14:paraId="1272423F">
      <w:pPr>
        <w:widowControl/>
        <w:spacing w:line="360" w:lineRule="auto"/>
        <w:ind w:firstLine="480" w:firstLineChars="200"/>
        <w:jc w:val="left"/>
        <w:rPr>
          <w:rFonts w:ascii="Times New Roman" w:hAnsi="Times New Roman" w:eastAsia="宋体" w:cs="Times New Roman"/>
          <w:color w:val="auto"/>
          <w:kern w:val="0"/>
          <w:sz w:val="24"/>
          <w:szCs w:val="24"/>
          <w:lang w:val="zh-CN"/>
        </w:rPr>
      </w:pPr>
      <w:r>
        <w:rPr>
          <w:rFonts w:hint="eastAsia" w:ascii="Times New Roman" w:hAnsi="Times New Roman" w:eastAsia="宋体" w:cs="Times New Roman"/>
          <w:color w:val="auto"/>
          <w:kern w:val="0"/>
          <w:sz w:val="24"/>
          <w:szCs w:val="24"/>
          <w:lang w:val="zh-CN"/>
        </w:rPr>
        <w:t>本项目危险废物将交由有资质的专业废物处理单位进行安全处置。危险废物转运途中应采取相应的污染防范及事故应急措施。这些措施主要包括：</w:t>
      </w:r>
    </w:p>
    <w:p w14:paraId="44641B37">
      <w:pPr>
        <w:widowControl/>
        <w:spacing w:line="360" w:lineRule="auto"/>
        <w:ind w:firstLine="480" w:firstLineChars="200"/>
        <w:jc w:val="left"/>
        <w:rPr>
          <w:rFonts w:ascii="Times New Roman" w:hAnsi="Times New Roman" w:eastAsia="宋体" w:cs="Times New Roman"/>
          <w:color w:val="auto"/>
          <w:kern w:val="0"/>
          <w:sz w:val="24"/>
          <w:szCs w:val="24"/>
          <w:lang w:val="zh-CN"/>
        </w:rPr>
      </w:pPr>
      <w:r>
        <w:rPr>
          <w:rFonts w:hint="eastAsia" w:ascii="Times New Roman" w:hAnsi="Times New Roman" w:eastAsia="宋体" w:cs="Times New Roman"/>
          <w:color w:val="auto"/>
          <w:kern w:val="0"/>
          <w:sz w:val="24"/>
          <w:szCs w:val="24"/>
          <w:lang w:val="zh-CN"/>
        </w:rPr>
        <w:t>装载危险废物的车辆必须做好防渗、防漏、防飞扬的措施；</w:t>
      </w:r>
    </w:p>
    <w:p w14:paraId="4F74ECE3">
      <w:pPr>
        <w:widowControl/>
        <w:spacing w:line="360" w:lineRule="auto"/>
        <w:ind w:firstLine="480" w:firstLineChars="200"/>
        <w:jc w:val="left"/>
        <w:rPr>
          <w:rFonts w:ascii="Times New Roman" w:hAnsi="Times New Roman" w:eastAsia="宋体" w:cs="Times New Roman"/>
          <w:color w:val="FF0000"/>
          <w:kern w:val="0"/>
          <w:sz w:val="24"/>
          <w:szCs w:val="24"/>
          <w:lang w:val="zh-CN"/>
        </w:rPr>
      </w:pPr>
      <w:r>
        <w:rPr>
          <w:rFonts w:hint="eastAsia" w:ascii="Times New Roman" w:hAnsi="Times New Roman" w:eastAsia="宋体" w:cs="Times New Roman"/>
          <w:color w:val="auto"/>
          <w:kern w:val="0"/>
          <w:sz w:val="24"/>
          <w:szCs w:val="24"/>
          <w:lang w:val="zh-CN"/>
        </w:rPr>
        <w:t>装载危险废物车辆的行驶路线必须避开人口密集的居民区和受保护的水体等环境保护目标。</w:t>
      </w:r>
    </w:p>
    <w:p w14:paraId="53B0AD7C">
      <w:pPr>
        <w:tabs>
          <w:tab w:val="left" w:pos="4305"/>
        </w:tabs>
        <w:adjustRightInd w:val="0"/>
        <w:snapToGrid w:val="0"/>
        <w:spacing w:line="360" w:lineRule="auto"/>
        <w:ind w:firstLine="482" w:firstLineChars="200"/>
        <w:rPr>
          <w:rFonts w:ascii="Times New Roman" w:hAnsi="Times New Roman" w:eastAsia="宋体" w:cs="Times New Roman"/>
          <w:b/>
          <w:bCs/>
          <w:color w:val="auto"/>
          <w:sz w:val="24"/>
          <w:szCs w:val="24"/>
          <w:highlight w:val="none"/>
        </w:rPr>
      </w:pPr>
      <w:r>
        <w:rPr>
          <w:rFonts w:hint="eastAsia" w:ascii="Times New Roman" w:hAnsi="Times New Roman" w:eastAsia="宋体" w:cs="Times New Roman"/>
          <w:b/>
          <w:bCs/>
          <w:color w:val="auto"/>
          <w:sz w:val="24"/>
          <w:szCs w:val="24"/>
          <w:highlight w:val="none"/>
        </w:rPr>
        <w:t>2、</w:t>
      </w:r>
      <w:r>
        <w:rPr>
          <w:rFonts w:ascii="Times New Roman" w:hAnsi="Times New Roman" w:eastAsia="宋体" w:cs="Times New Roman"/>
          <w:b/>
          <w:bCs/>
          <w:color w:val="auto"/>
          <w:sz w:val="24"/>
          <w:szCs w:val="24"/>
          <w:highlight w:val="none"/>
        </w:rPr>
        <w:t>一般固废</w:t>
      </w:r>
    </w:p>
    <w:p w14:paraId="3BFC52E7">
      <w:pPr>
        <w:widowControl/>
        <w:spacing w:line="360" w:lineRule="auto"/>
        <w:ind w:firstLine="480" w:firstLineChars="200"/>
        <w:jc w:val="left"/>
        <w:rPr>
          <w:rFonts w:ascii="Times New Roman" w:hAnsi="Times New Roman" w:eastAsia="宋体" w:cs="Times New Roman"/>
          <w:color w:val="auto"/>
          <w:kern w:val="0"/>
          <w:sz w:val="24"/>
          <w:szCs w:val="24"/>
          <w:highlight w:val="none"/>
        </w:rPr>
      </w:pPr>
      <w:r>
        <w:rPr>
          <w:rFonts w:hint="eastAsia" w:ascii="Times New Roman" w:hAnsi="Times New Roman" w:eastAsia="宋体" w:cs="Times New Roman"/>
          <w:color w:val="auto"/>
          <w:kern w:val="0"/>
          <w:sz w:val="24"/>
          <w:szCs w:val="24"/>
          <w:highlight w:val="none"/>
          <w:lang w:val="en-US" w:eastAsia="zh-CN"/>
        </w:rPr>
        <w:t>本项目</w:t>
      </w:r>
      <w:r>
        <w:rPr>
          <w:rFonts w:ascii="Times New Roman" w:hAnsi="Times New Roman" w:eastAsia="宋体" w:cs="Times New Roman"/>
          <w:color w:val="auto"/>
          <w:kern w:val="0"/>
          <w:sz w:val="24"/>
          <w:szCs w:val="24"/>
          <w:highlight w:val="none"/>
        </w:rPr>
        <w:t>废包装材料主要为塑料和废纸，属于一般固废，由资源回收部门回收再利用合理可行。生活垃圾</w:t>
      </w:r>
      <w:r>
        <w:rPr>
          <w:rFonts w:hint="eastAsia" w:ascii="Times New Roman" w:hAnsi="Times New Roman" w:eastAsia="宋体" w:cs="Times New Roman"/>
          <w:color w:val="auto"/>
          <w:kern w:val="0"/>
          <w:sz w:val="24"/>
          <w:szCs w:val="24"/>
          <w:highlight w:val="none"/>
        </w:rPr>
        <w:t>委托环卫部门</w:t>
      </w:r>
      <w:r>
        <w:rPr>
          <w:rFonts w:ascii="Times New Roman" w:hAnsi="Times New Roman" w:eastAsia="宋体" w:cs="Times New Roman"/>
          <w:color w:val="auto"/>
          <w:kern w:val="0"/>
          <w:sz w:val="24"/>
          <w:szCs w:val="24"/>
          <w:highlight w:val="none"/>
        </w:rPr>
        <w:t>处理，</w:t>
      </w:r>
      <w:r>
        <w:rPr>
          <w:rFonts w:hint="eastAsia" w:ascii="宋体" w:hAnsi="宋体" w:eastAsia="宋体" w:cs="宋体"/>
          <w:color w:val="auto"/>
          <w:kern w:val="0"/>
          <w:sz w:val="24"/>
          <w:szCs w:val="24"/>
          <w:highlight w:val="none"/>
          <w:lang w:val="en-US" w:eastAsia="zh-CN"/>
        </w:rPr>
        <w:t>本项目</w:t>
      </w:r>
      <w:r>
        <w:rPr>
          <w:rFonts w:hint="eastAsia" w:ascii="Times New Roman" w:hAnsi="Times New Roman" w:eastAsia="宋体" w:cs="Times New Roman"/>
          <w:color w:val="auto"/>
          <w:kern w:val="0"/>
          <w:sz w:val="24"/>
          <w:szCs w:val="24"/>
          <w:highlight w:val="none"/>
          <w:lang w:val="en-US" w:eastAsia="zh-CN"/>
        </w:rPr>
        <w:t>板框过滤菌渣、板框过滤碳渣、液糖生产滤渣可收集后外售</w:t>
      </w:r>
      <w:r>
        <w:rPr>
          <w:rFonts w:hint="eastAsia" w:ascii="宋体" w:hAnsi="宋体" w:eastAsia="宋体" w:cs="宋体"/>
          <w:color w:val="auto"/>
          <w:kern w:val="0"/>
          <w:sz w:val="24"/>
          <w:szCs w:val="24"/>
          <w:highlight w:val="none"/>
        </w:rPr>
        <w:t>，</w:t>
      </w:r>
      <w:r>
        <w:rPr>
          <w:rFonts w:ascii="Times New Roman" w:hAnsi="Times New Roman" w:eastAsia="宋体" w:cs="Times New Roman"/>
          <w:color w:val="auto"/>
          <w:kern w:val="0"/>
          <w:sz w:val="24"/>
          <w:szCs w:val="24"/>
          <w:highlight w:val="none"/>
        </w:rPr>
        <w:t>措施可行。</w:t>
      </w:r>
    </w:p>
    <w:p w14:paraId="3189616D">
      <w:pPr>
        <w:widowControl/>
        <w:spacing w:line="360" w:lineRule="auto"/>
        <w:ind w:firstLine="480" w:firstLineChars="200"/>
        <w:jc w:val="left"/>
        <w:rPr>
          <w:rFonts w:hint="eastAsia" w:ascii="Times New Roman" w:hAnsi="Times New Roman" w:eastAsia="宋体" w:cs="Times New Roman"/>
          <w:color w:val="auto"/>
          <w:kern w:val="0"/>
          <w:sz w:val="24"/>
          <w:szCs w:val="24"/>
          <w:highlight w:val="none"/>
        </w:rPr>
      </w:pPr>
      <w:r>
        <w:rPr>
          <w:rFonts w:hint="eastAsia" w:ascii="Times New Roman" w:hAnsi="Times New Roman" w:eastAsia="宋体" w:cs="Times New Roman"/>
          <w:color w:val="auto"/>
          <w:kern w:val="0"/>
          <w:sz w:val="24"/>
          <w:szCs w:val="24"/>
          <w:highlight w:val="none"/>
          <w:lang w:val="en-US" w:eastAsia="zh-CN"/>
        </w:rPr>
        <w:t>新合新生物科技</w:t>
      </w:r>
      <w:r>
        <w:rPr>
          <w:rFonts w:hint="eastAsia" w:ascii="Times New Roman" w:hAnsi="Times New Roman" w:eastAsia="宋体" w:cs="Times New Roman"/>
          <w:color w:val="auto"/>
          <w:kern w:val="0"/>
          <w:sz w:val="24"/>
          <w:szCs w:val="24"/>
          <w:highlight w:val="none"/>
        </w:rPr>
        <w:t>公司厂区</w:t>
      </w:r>
      <w:r>
        <w:rPr>
          <w:rFonts w:hint="eastAsia" w:ascii="Times New Roman" w:hAnsi="Times New Roman" w:eastAsia="宋体" w:cs="Times New Roman"/>
          <w:color w:val="auto"/>
          <w:kern w:val="0"/>
          <w:sz w:val="24"/>
          <w:szCs w:val="24"/>
          <w:highlight w:val="none"/>
          <w:lang w:val="en-US" w:eastAsia="zh-CN"/>
        </w:rPr>
        <w:t>保留糖化酶生产线和泛酸钙生产线</w:t>
      </w:r>
      <w:r>
        <w:rPr>
          <w:rFonts w:hint="eastAsia" w:ascii="Times New Roman" w:hAnsi="Times New Roman" w:eastAsia="宋体" w:cs="Times New Roman"/>
          <w:color w:val="auto"/>
          <w:kern w:val="0"/>
          <w:sz w:val="24"/>
          <w:szCs w:val="24"/>
          <w:highlight w:val="none"/>
        </w:rPr>
        <w:t>，根据项目环评报告及批复文件，处理该项目的废水产生的污泥为一般固废，目前</w:t>
      </w:r>
      <w:r>
        <w:rPr>
          <w:rFonts w:hint="eastAsia" w:ascii="Times New Roman" w:hAnsi="Times New Roman" w:eastAsia="宋体" w:cs="Times New Roman"/>
          <w:color w:val="auto"/>
          <w:kern w:val="0"/>
          <w:sz w:val="24"/>
          <w:szCs w:val="24"/>
          <w:highlight w:val="none"/>
          <w:lang w:val="en-US" w:eastAsia="zh-CN"/>
        </w:rPr>
        <w:t>新合新生物科技</w:t>
      </w:r>
      <w:r>
        <w:rPr>
          <w:rFonts w:hint="eastAsia" w:ascii="Times New Roman" w:hAnsi="Times New Roman" w:eastAsia="宋体" w:cs="Times New Roman"/>
          <w:color w:val="auto"/>
          <w:kern w:val="0"/>
          <w:sz w:val="24"/>
          <w:szCs w:val="24"/>
          <w:highlight w:val="none"/>
        </w:rPr>
        <w:t>公司对该污泥采取的处理措施为交由</w:t>
      </w:r>
      <w:r>
        <w:rPr>
          <w:rFonts w:hint="eastAsia" w:ascii="Times New Roman" w:hAnsi="Times New Roman" w:eastAsia="宋体" w:cs="Times New Roman"/>
          <w:color w:val="auto"/>
          <w:kern w:val="0"/>
          <w:sz w:val="24"/>
          <w:szCs w:val="24"/>
          <w:highlight w:val="none"/>
          <w:lang w:val="en-US" w:eastAsia="zh-CN"/>
        </w:rPr>
        <w:t>湖南军绿环保科技发展有限公司回收处置</w:t>
      </w:r>
      <w:r>
        <w:rPr>
          <w:rFonts w:hint="eastAsia" w:ascii="Times New Roman" w:hAnsi="Times New Roman" w:eastAsia="宋体" w:cs="Times New Roman"/>
          <w:color w:val="auto"/>
          <w:kern w:val="0"/>
          <w:sz w:val="24"/>
          <w:szCs w:val="24"/>
          <w:highlight w:val="none"/>
        </w:rPr>
        <w:t>。</w:t>
      </w:r>
    </w:p>
    <w:p w14:paraId="1AE12EFC">
      <w:pPr>
        <w:widowControl/>
        <w:spacing w:line="360" w:lineRule="auto"/>
        <w:ind w:firstLine="480" w:firstLineChars="200"/>
        <w:jc w:val="left"/>
        <w:rPr>
          <w:rFonts w:ascii="Times New Roman" w:hAnsi="Times New Roman" w:eastAsia="宋体" w:cs="Times New Roman"/>
          <w:color w:val="auto"/>
          <w:kern w:val="0"/>
          <w:sz w:val="24"/>
          <w:szCs w:val="24"/>
          <w:highlight w:val="none"/>
        </w:rPr>
      </w:pPr>
      <w:r>
        <w:rPr>
          <w:rFonts w:hint="eastAsia" w:ascii="Times New Roman" w:hAnsi="Times New Roman" w:eastAsia="宋体" w:cs="Times New Roman"/>
          <w:color w:val="auto"/>
          <w:kern w:val="0"/>
          <w:sz w:val="24"/>
          <w:szCs w:val="24"/>
          <w:highlight w:val="none"/>
        </w:rPr>
        <w:t>环评认为，本项目新增污泥量仅</w:t>
      </w:r>
      <w:r>
        <w:rPr>
          <w:rFonts w:hint="eastAsia" w:ascii="Times New Roman" w:hAnsi="Times New Roman" w:eastAsia="宋体" w:cs="Times New Roman"/>
          <w:color w:val="auto"/>
          <w:kern w:val="0"/>
          <w:sz w:val="24"/>
          <w:szCs w:val="24"/>
          <w:highlight w:val="none"/>
          <w:lang w:val="en-US" w:eastAsia="zh-CN"/>
        </w:rPr>
        <w:t>93.72</w:t>
      </w:r>
      <w:r>
        <w:rPr>
          <w:rFonts w:hint="eastAsia" w:ascii="Times New Roman" w:hAnsi="Times New Roman" w:eastAsia="宋体" w:cs="Times New Roman"/>
          <w:color w:val="auto"/>
          <w:kern w:val="0"/>
          <w:sz w:val="24"/>
          <w:szCs w:val="24"/>
          <w:highlight w:val="none"/>
        </w:rPr>
        <w:t>t/a，若</w:t>
      </w:r>
      <w:r>
        <w:rPr>
          <w:rFonts w:hint="eastAsia" w:ascii="Times New Roman" w:hAnsi="Times New Roman" w:eastAsia="宋体" w:cs="Times New Roman"/>
          <w:color w:val="auto"/>
          <w:kern w:val="0"/>
          <w:sz w:val="24"/>
          <w:szCs w:val="24"/>
          <w:highlight w:val="none"/>
          <w:lang w:val="en-US" w:eastAsia="zh-CN"/>
        </w:rPr>
        <w:t>新合新生物科技</w:t>
      </w:r>
      <w:r>
        <w:rPr>
          <w:rFonts w:hint="eastAsia" w:ascii="Times New Roman" w:hAnsi="Times New Roman" w:eastAsia="宋体" w:cs="Times New Roman"/>
          <w:color w:val="auto"/>
          <w:kern w:val="0"/>
          <w:sz w:val="24"/>
          <w:szCs w:val="24"/>
          <w:highlight w:val="none"/>
        </w:rPr>
        <w:t>公司污水处理产生的污泥在本项目投入运营后，其危废鉴定性质为一般固废，则仍可利用该处理方式对其进行处理。若鉴定结果为危险废物，则需按照危废进行处理。在未得到危废鉴定结果前，</w:t>
      </w:r>
      <w:r>
        <w:rPr>
          <w:rFonts w:hint="eastAsia" w:ascii="Times New Roman" w:hAnsi="Times New Roman" w:eastAsia="宋体" w:cs="Times New Roman"/>
          <w:color w:val="auto"/>
          <w:kern w:val="0"/>
          <w:sz w:val="24"/>
          <w:szCs w:val="24"/>
          <w:highlight w:val="none"/>
          <w:lang w:val="en-US" w:eastAsia="zh-CN"/>
        </w:rPr>
        <w:t>新合新生物科技</w:t>
      </w:r>
      <w:r>
        <w:rPr>
          <w:rFonts w:hint="eastAsia" w:ascii="Times New Roman" w:hAnsi="Times New Roman" w:eastAsia="宋体" w:cs="Times New Roman"/>
          <w:color w:val="auto"/>
          <w:kern w:val="0"/>
          <w:sz w:val="24"/>
          <w:szCs w:val="24"/>
          <w:highlight w:val="none"/>
        </w:rPr>
        <w:t>公司污泥需按照危废进行管理及处置。</w:t>
      </w:r>
    </w:p>
    <w:p w14:paraId="5A052E20">
      <w:pPr>
        <w:spacing w:line="360" w:lineRule="auto"/>
        <w:ind w:firstLine="480" w:firstLineChars="200"/>
        <w:rPr>
          <w:rFonts w:ascii="Times New Roman" w:hAnsi="Times New Roman" w:eastAsia="宋体" w:cs="Times New Roman"/>
          <w:color w:val="auto"/>
          <w:kern w:val="0"/>
          <w:sz w:val="24"/>
          <w:szCs w:val="24"/>
          <w:highlight w:val="none"/>
        </w:rPr>
      </w:pPr>
      <w:r>
        <w:rPr>
          <w:rFonts w:ascii="Times New Roman" w:hAnsi="Times New Roman" w:eastAsia="宋体" w:cs="Times New Roman"/>
          <w:color w:val="auto"/>
          <w:kern w:val="0"/>
          <w:sz w:val="24"/>
          <w:szCs w:val="24"/>
          <w:highlight w:val="none"/>
        </w:rPr>
        <w:t>综上所述，本项目固体废物从产生、包装、暂存、运输、处理的全过程均得到了妥善处理，对周边环境影响很小，固体废物防治措施是合理、可行的。</w:t>
      </w:r>
    </w:p>
    <w:p w14:paraId="13C76309">
      <w:pPr>
        <w:keepNext/>
        <w:keepLines/>
        <w:spacing w:before="156" w:beforeLines="50" w:after="156" w:afterLines="50" w:line="416" w:lineRule="auto"/>
        <w:outlineLvl w:val="2"/>
        <w:rPr>
          <w:rFonts w:ascii="Times New Roman" w:hAnsi="Times New Roman" w:eastAsia="宋体" w:cs="Times New Roman"/>
          <w:b/>
          <w:color w:val="auto"/>
          <w:kern w:val="0"/>
          <w:sz w:val="24"/>
          <w:szCs w:val="24"/>
        </w:rPr>
      </w:pPr>
      <w:r>
        <w:rPr>
          <w:rFonts w:hint="eastAsia" w:ascii="Times New Roman" w:hAnsi="Times New Roman" w:eastAsia="宋体" w:cs="Times New Roman"/>
          <w:b/>
          <w:color w:val="auto"/>
          <w:kern w:val="0"/>
          <w:sz w:val="24"/>
          <w:szCs w:val="24"/>
        </w:rPr>
        <w:t>7.2.4 噪声污染防治措施可行性分析</w:t>
      </w:r>
    </w:p>
    <w:p w14:paraId="632F08D7">
      <w:pPr>
        <w:widowControl/>
        <w:spacing w:line="360" w:lineRule="auto"/>
        <w:ind w:firstLine="480" w:firstLineChars="200"/>
        <w:jc w:val="left"/>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本项目位于工业园二类工业用地范围内</w:t>
      </w:r>
      <w:r>
        <w:rPr>
          <w:rFonts w:hint="eastAsia" w:ascii="Times New Roman" w:hAnsi="Times New Roman" w:eastAsia="宋体" w:cs="Times New Roman"/>
          <w:color w:val="auto"/>
          <w:kern w:val="0"/>
          <w:sz w:val="24"/>
          <w:szCs w:val="24"/>
          <w:lang w:eastAsia="zh-CN"/>
        </w:rPr>
        <w:t>，</w:t>
      </w:r>
      <w:r>
        <w:rPr>
          <w:rFonts w:ascii="Times New Roman" w:hAnsi="Times New Roman" w:eastAsia="宋体" w:cs="Times New Roman"/>
          <w:color w:val="auto"/>
          <w:kern w:val="0"/>
          <w:sz w:val="24"/>
          <w:szCs w:val="24"/>
        </w:rPr>
        <w:t>项目车间均为半封闭车间，其隔声效果好，生产车间内的生产设备噪声可以得到较好的隔声控制。设备选型为低噪声先进生产设备，大型振动、泵等设备采用基础减震措施，蒸汽放空口设消声装置，循环水冷却塔设于远离外厂界的中间</w:t>
      </w:r>
      <w:r>
        <w:rPr>
          <w:rFonts w:hint="eastAsia" w:ascii="Times New Roman" w:hAnsi="Times New Roman" w:eastAsia="宋体" w:cs="Times New Roman"/>
          <w:color w:val="auto"/>
          <w:kern w:val="0"/>
          <w:sz w:val="24"/>
          <w:szCs w:val="24"/>
          <w:lang w:val="en-US" w:eastAsia="zh-CN"/>
        </w:rPr>
        <w:t>厂区</w:t>
      </w:r>
      <w:r>
        <w:rPr>
          <w:rFonts w:ascii="Times New Roman" w:hAnsi="Times New Roman" w:eastAsia="宋体" w:cs="Times New Roman"/>
          <w:color w:val="auto"/>
          <w:kern w:val="0"/>
          <w:sz w:val="24"/>
          <w:szCs w:val="24"/>
        </w:rPr>
        <w:t>，增加绿化率，可起到一定的吸声降噪作用。且项目四周无声环境敏感目标，项目噪声不会影响区域居民。</w:t>
      </w:r>
    </w:p>
    <w:p w14:paraId="1E72FF44">
      <w:pPr>
        <w:spacing w:line="360" w:lineRule="auto"/>
        <w:ind w:firstLine="480" w:firstLineChars="200"/>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本项目在采取降噪措施后，厂界噪声可达标排放，技术可行，经济合理。</w:t>
      </w:r>
    </w:p>
    <w:p w14:paraId="3CB7A167">
      <w:pPr>
        <w:keepNext/>
        <w:keepLines/>
        <w:spacing w:before="156" w:beforeLines="50" w:after="156" w:afterLines="50" w:line="416" w:lineRule="auto"/>
        <w:outlineLvl w:val="2"/>
        <w:rPr>
          <w:rFonts w:ascii="Times New Roman" w:hAnsi="Times New Roman" w:eastAsia="宋体" w:cs="Times New Roman"/>
          <w:b/>
          <w:color w:val="auto"/>
          <w:kern w:val="0"/>
          <w:sz w:val="24"/>
          <w:szCs w:val="24"/>
        </w:rPr>
      </w:pPr>
      <w:r>
        <w:rPr>
          <w:rFonts w:hint="eastAsia" w:ascii="Times New Roman" w:hAnsi="Times New Roman" w:eastAsia="宋体" w:cs="Times New Roman"/>
          <w:b/>
          <w:color w:val="auto"/>
          <w:kern w:val="0"/>
          <w:sz w:val="24"/>
          <w:szCs w:val="24"/>
        </w:rPr>
        <w:t>7.2.5 风险防范措施</w:t>
      </w:r>
    </w:p>
    <w:p w14:paraId="6BB7D41E">
      <w:pPr>
        <w:spacing w:line="360" w:lineRule="auto"/>
        <w:ind w:firstLine="480" w:firstLineChars="200"/>
        <w:rPr>
          <w:rFonts w:ascii="Times New Roman" w:hAnsi="Times New Roman" w:eastAsia="宋体" w:cs="Times New Roman"/>
          <w:color w:val="auto"/>
          <w:kern w:val="0"/>
          <w:sz w:val="24"/>
          <w:szCs w:val="24"/>
        </w:rPr>
      </w:pPr>
      <w:r>
        <w:rPr>
          <w:rFonts w:hint="eastAsia" w:ascii="Times New Roman" w:hAnsi="Times New Roman" w:eastAsia="宋体" w:cs="Times New Roman"/>
          <w:color w:val="auto"/>
          <w:kern w:val="0"/>
          <w:sz w:val="24"/>
          <w:szCs w:val="24"/>
        </w:rPr>
        <w:t>（1）建设单位需严格落实该项目安全评价报告中有关安全风险防范的措施，避免安全生产事故；</w:t>
      </w:r>
    </w:p>
    <w:p w14:paraId="06516BBA">
      <w:pPr>
        <w:spacing w:line="360" w:lineRule="auto"/>
        <w:ind w:firstLine="480" w:firstLineChars="200"/>
        <w:rPr>
          <w:rFonts w:ascii="Times New Roman" w:hAnsi="Times New Roman" w:eastAsia="宋体" w:cs="Times New Roman"/>
          <w:color w:val="auto"/>
          <w:kern w:val="0"/>
          <w:sz w:val="24"/>
          <w:szCs w:val="24"/>
        </w:rPr>
      </w:pPr>
      <w:r>
        <w:rPr>
          <w:rFonts w:hint="eastAsia" w:ascii="Times New Roman" w:hAnsi="Times New Roman" w:eastAsia="宋体" w:cs="Times New Roman"/>
          <w:color w:val="auto"/>
          <w:kern w:val="0"/>
          <w:sz w:val="24"/>
          <w:szCs w:val="24"/>
        </w:rPr>
        <w:t>（2）建立仓库和车间事故应急桶、厂区事故池、终端津市高新污水厂事故池的三级防控措施；</w:t>
      </w:r>
    </w:p>
    <w:p w14:paraId="7C9E768A">
      <w:pPr>
        <w:spacing w:line="360" w:lineRule="auto"/>
        <w:ind w:firstLine="480" w:firstLineChars="200"/>
        <w:rPr>
          <w:rFonts w:ascii="Times New Roman" w:hAnsi="Times New Roman" w:eastAsia="宋体" w:cs="Times New Roman"/>
          <w:color w:val="auto"/>
          <w:kern w:val="0"/>
          <w:sz w:val="24"/>
          <w:szCs w:val="24"/>
        </w:rPr>
      </w:pPr>
      <w:r>
        <w:rPr>
          <w:rFonts w:hint="eastAsia" w:ascii="Times New Roman" w:hAnsi="Times New Roman" w:eastAsia="宋体" w:cs="Times New Roman"/>
          <w:color w:val="auto"/>
          <w:kern w:val="0"/>
          <w:sz w:val="24"/>
          <w:szCs w:val="24"/>
        </w:rPr>
        <w:t>（3）</w:t>
      </w:r>
      <w:bookmarkStart w:id="283" w:name="OLE_LINK11"/>
      <w:r>
        <w:rPr>
          <w:rFonts w:hint="eastAsia" w:ascii="Times New Roman" w:hAnsi="Times New Roman" w:eastAsia="宋体" w:cs="Times New Roman"/>
          <w:color w:val="auto"/>
          <w:kern w:val="0"/>
          <w:sz w:val="24"/>
          <w:szCs w:val="24"/>
          <w:lang w:val="en-US" w:eastAsia="zh-CN"/>
        </w:rPr>
        <w:t>应按照</w:t>
      </w:r>
      <w:r>
        <w:rPr>
          <w:rFonts w:hint="eastAsia" w:ascii="Times New Roman" w:hAnsi="Times New Roman" w:eastAsia="宋体" w:cs="Times New Roman"/>
          <w:color w:val="auto"/>
          <w:kern w:val="0"/>
          <w:sz w:val="24"/>
          <w:szCs w:val="24"/>
        </w:rPr>
        <w:t>突发环境事件应急预案定期开展应急演练</w:t>
      </w:r>
      <w:bookmarkEnd w:id="283"/>
      <w:r>
        <w:rPr>
          <w:rFonts w:hint="eastAsia" w:ascii="Times New Roman" w:hAnsi="Times New Roman" w:eastAsia="宋体" w:cs="Times New Roman"/>
          <w:color w:val="auto"/>
          <w:kern w:val="0"/>
          <w:sz w:val="24"/>
          <w:szCs w:val="24"/>
        </w:rPr>
        <w:t>；</w:t>
      </w:r>
    </w:p>
    <w:p w14:paraId="66368045">
      <w:pPr>
        <w:spacing w:line="360" w:lineRule="auto"/>
        <w:ind w:firstLine="480" w:firstLineChars="200"/>
        <w:rPr>
          <w:rFonts w:ascii="Times New Roman" w:hAnsi="Times New Roman" w:eastAsia="宋体" w:cs="Times New Roman"/>
          <w:color w:val="auto"/>
          <w:kern w:val="0"/>
          <w:sz w:val="24"/>
          <w:szCs w:val="24"/>
        </w:rPr>
      </w:pPr>
      <w:r>
        <w:rPr>
          <w:rFonts w:hint="eastAsia" w:ascii="Times New Roman" w:hAnsi="Times New Roman" w:eastAsia="宋体" w:cs="Times New Roman"/>
          <w:color w:val="auto"/>
          <w:kern w:val="0"/>
          <w:sz w:val="24"/>
          <w:szCs w:val="24"/>
        </w:rPr>
        <w:t>（4）建设单位应建立一套事故应急管理组织机构，制定安全规程、事故防范措施及应急预案。明确管理职责和权限范围，清楚生产工艺技术和事故风险发生后果，具备应对事故和减缓影响的能力。</w:t>
      </w:r>
    </w:p>
    <w:p w14:paraId="53E3C5E2">
      <w:pPr>
        <w:keepNext/>
        <w:keepLines/>
        <w:spacing w:before="156" w:beforeLines="50" w:after="156" w:afterLines="50" w:line="416" w:lineRule="auto"/>
        <w:outlineLvl w:val="2"/>
        <w:rPr>
          <w:rFonts w:ascii="Times New Roman" w:hAnsi="Times New Roman" w:eastAsia="宋体" w:cs="Times New Roman"/>
          <w:b/>
          <w:color w:val="auto"/>
          <w:kern w:val="0"/>
          <w:sz w:val="24"/>
          <w:szCs w:val="24"/>
        </w:rPr>
      </w:pPr>
      <w:r>
        <w:rPr>
          <w:rFonts w:hint="eastAsia" w:ascii="Times New Roman" w:hAnsi="Times New Roman" w:eastAsia="宋体" w:cs="Times New Roman"/>
          <w:b/>
          <w:color w:val="auto"/>
          <w:kern w:val="0"/>
          <w:sz w:val="24"/>
          <w:szCs w:val="24"/>
        </w:rPr>
        <w:t>7.2.6 生态环境保护措施</w:t>
      </w:r>
    </w:p>
    <w:p w14:paraId="642B61BD">
      <w:pPr>
        <w:spacing w:line="360" w:lineRule="auto"/>
        <w:ind w:firstLine="480" w:firstLineChars="200"/>
        <w:rPr>
          <w:rFonts w:ascii="Times New Roman" w:hAnsi="Times New Roman" w:eastAsia="宋体" w:cs="Times New Roman"/>
          <w:color w:val="FF0000"/>
          <w:kern w:val="0"/>
          <w:sz w:val="24"/>
          <w:szCs w:val="24"/>
        </w:rPr>
      </w:pPr>
      <w:r>
        <w:rPr>
          <w:rFonts w:hint="eastAsia" w:ascii="Times New Roman" w:hAnsi="Times New Roman" w:eastAsia="宋体" w:cs="Times New Roman"/>
          <w:color w:val="auto"/>
          <w:kern w:val="0"/>
          <w:sz w:val="24"/>
          <w:szCs w:val="24"/>
        </w:rPr>
        <w:t>本项目为生产型项目，投入运营后对区域生态环境基本无影响，在做好施工建设的前提下，投入运营后无单独生态环境保护措施</w:t>
      </w:r>
      <w:r>
        <w:rPr>
          <w:rFonts w:hint="eastAsia" w:ascii="Times New Roman" w:hAnsi="Times New Roman" w:eastAsia="宋体" w:cs="Times New Roman"/>
          <w:color w:val="FF0000"/>
          <w:kern w:val="0"/>
          <w:sz w:val="24"/>
          <w:szCs w:val="24"/>
        </w:rPr>
        <w:t>。</w:t>
      </w:r>
    </w:p>
    <w:p w14:paraId="6F518C6A">
      <w:pPr>
        <w:spacing w:line="360" w:lineRule="auto"/>
        <w:ind w:firstLine="480" w:firstLineChars="200"/>
        <w:rPr>
          <w:rFonts w:ascii="Times New Roman" w:hAnsi="Times New Roman" w:eastAsia="宋体" w:cs="Times New Roman"/>
          <w:color w:val="FF0000"/>
          <w:sz w:val="24"/>
          <w:szCs w:val="24"/>
        </w:rPr>
      </w:pPr>
    </w:p>
    <w:p w14:paraId="2684A8E8">
      <w:pPr>
        <w:rPr>
          <w:rFonts w:ascii="Times New Roman" w:hAnsi="Times New Roman" w:eastAsia="宋体" w:cs="Times New Roman"/>
          <w:color w:val="FF0000"/>
          <w:sz w:val="24"/>
          <w:szCs w:val="24"/>
        </w:rPr>
      </w:pPr>
      <w:r>
        <w:rPr>
          <w:rFonts w:ascii="Times New Roman" w:hAnsi="Times New Roman" w:eastAsia="宋体" w:cs="Times New Roman"/>
          <w:color w:val="FF0000"/>
          <w:sz w:val="24"/>
          <w:szCs w:val="24"/>
        </w:rPr>
        <w:br w:type="page"/>
      </w:r>
    </w:p>
    <w:p w14:paraId="358145BF">
      <w:pPr>
        <w:pStyle w:val="2"/>
        <w:bidi w:val="0"/>
        <w:rPr>
          <w:rFonts w:hint="default" w:eastAsia="宋体"/>
          <w:lang w:val="en-US" w:eastAsia="zh-CN"/>
        </w:rPr>
      </w:pPr>
      <w:bookmarkStart w:id="284" w:name="_Toc27664"/>
      <w:bookmarkStart w:id="285" w:name="_Toc6638"/>
      <w:bookmarkStart w:id="286" w:name="_Toc49930029"/>
      <w:bookmarkStart w:id="287" w:name="_Toc17206477"/>
      <w:bookmarkStart w:id="288" w:name="_Toc5128342"/>
      <w:bookmarkStart w:id="289" w:name="_Toc10680"/>
      <w:bookmarkStart w:id="290" w:name="_Toc121561294"/>
      <w:bookmarkStart w:id="291" w:name="_Toc60296980"/>
      <w:bookmarkStart w:id="292" w:name="_Toc2666638"/>
      <w:r>
        <w:rPr>
          <w:rFonts w:hint="eastAsia"/>
          <w:lang w:val="en-US" w:eastAsia="zh-CN"/>
        </w:rPr>
        <w:t>8、环境风险影响分析</w:t>
      </w:r>
      <w:bookmarkEnd w:id="284"/>
    </w:p>
    <w:p w14:paraId="66C5F7E9">
      <w:pPr>
        <w:pStyle w:val="3"/>
        <w:spacing w:before="100" w:beforeAutospacing="1" w:after="100" w:afterAutospacing="1" w:line="360" w:lineRule="auto"/>
        <w:rPr>
          <w:rFonts w:hint="eastAsia" w:ascii="Times New Roman" w:hAnsi="Times New Roman"/>
          <w:color w:val="auto"/>
          <w:kern w:val="0"/>
          <w:sz w:val="28"/>
          <w:szCs w:val="28"/>
          <w:lang w:val="en-US" w:eastAsia="zh-CN"/>
        </w:rPr>
      </w:pPr>
      <w:bookmarkStart w:id="293" w:name="_Toc16938"/>
      <w:r>
        <w:rPr>
          <w:rFonts w:hint="eastAsia" w:ascii="Times New Roman" w:hAnsi="Times New Roman"/>
          <w:color w:val="auto"/>
          <w:kern w:val="0"/>
          <w:sz w:val="28"/>
          <w:szCs w:val="28"/>
          <w:lang w:val="en-US" w:eastAsia="zh-CN"/>
        </w:rPr>
        <w:t>8.1环境风险评价目的</w:t>
      </w:r>
      <w:bookmarkEnd w:id="293"/>
    </w:p>
    <w:p w14:paraId="57A0D890">
      <w:pPr>
        <w:spacing w:line="360" w:lineRule="auto"/>
        <w:ind w:firstLine="480" w:firstLineChars="200"/>
        <w:rPr>
          <w:rFonts w:ascii="Times New Roman" w:hAnsi="Times New Roman"/>
          <w:color w:val="auto"/>
          <w:sz w:val="24"/>
          <w:szCs w:val="24"/>
          <w:highlight w:val="none"/>
          <w:u w:val="none" w:color="auto"/>
        </w:rPr>
      </w:pPr>
      <w:r>
        <w:rPr>
          <w:rFonts w:hint="eastAsia" w:ascii="Times New Roman" w:hAnsi="Times New Roman" w:eastAsia="宋体" w:cs="Times New Roman"/>
          <w:color w:val="auto"/>
          <w:sz w:val="24"/>
          <w:szCs w:val="24"/>
        </w:rPr>
        <w:t>树立风险意识和防范风险是企业安全生产的重要保证，风险分析是一项涉及工程工艺过程、设备维护、系统可靠性、防范措施有效性、后果估算等环节，以及发生后所采用的应急计划和措施（包括监测、评价、救援等），主要是关心重大突发性事故造成的环境危害的评价问题，常称事故风险评价，它考虑与项目关联的突发性灾难事故，包括易燃易爆和有毒物质失控状态下的泄漏，发生这种灾难性事故的概率虽然很小，但影响的程度往往是巨大的。因此对环境的危险性应该进行及早的预测，尽可能避免事故性排放的发生，这就是进行风险评价目的</w:t>
      </w:r>
      <w:r>
        <w:rPr>
          <w:rFonts w:ascii="Times New Roman" w:hAnsi="Times New Roman"/>
          <w:color w:val="auto"/>
          <w:sz w:val="24"/>
          <w:szCs w:val="24"/>
          <w:highlight w:val="none"/>
          <w:u w:val="none" w:color="auto"/>
        </w:rPr>
        <w:t>。</w:t>
      </w:r>
    </w:p>
    <w:p w14:paraId="345A6AE8">
      <w:pPr>
        <w:pStyle w:val="3"/>
        <w:spacing w:before="100" w:beforeAutospacing="1" w:after="100" w:afterAutospacing="1" w:line="360" w:lineRule="auto"/>
        <w:rPr>
          <w:rFonts w:hint="default" w:ascii="Times New Roman" w:hAnsi="Times New Roman" w:eastAsia="宋体"/>
          <w:color w:val="auto"/>
          <w:kern w:val="0"/>
          <w:sz w:val="28"/>
          <w:szCs w:val="28"/>
          <w:lang w:val="en-US" w:eastAsia="zh-CN"/>
        </w:rPr>
      </w:pPr>
      <w:bookmarkStart w:id="294" w:name="_Toc25607"/>
      <w:r>
        <w:rPr>
          <w:rFonts w:ascii="Times New Roman" w:hAnsi="Times New Roman"/>
          <w:color w:val="auto"/>
          <w:kern w:val="0"/>
          <w:sz w:val="28"/>
          <w:szCs w:val="28"/>
        </w:rPr>
        <w:t>8.2</w:t>
      </w:r>
      <w:bookmarkEnd w:id="285"/>
      <w:bookmarkEnd w:id="286"/>
      <w:bookmarkEnd w:id="287"/>
      <w:bookmarkEnd w:id="288"/>
      <w:bookmarkEnd w:id="289"/>
      <w:bookmarkEnd w:id="290"/>
      <w:bookmarkEnd w:id="291"/>
      <w:bookmarkEnd w:id="292"/>
      <w:r>
        <w:rPr>
          <w:rFonts w:hint="eastAsia" w:ascii="Times New Roman" w:hAnsi="Times New Roman"/>
          <w:color w:val="auto"/>
          <w:kern w:val="0"/>
          <w:sz w:val="28"/>
          <w:szCs w:val="28"/>
          <w:lang w:val="en-US" w:eastAsia="zh-CN"/>
        </w:rPr>
        <w:t>评价依据</w:t>
      </w:r>
      <w:bookmarkEnd w:id="294"/>
    </w:p>
    <w:p w14:paraId="7DB51B12">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根据工程分析，按照《建设项目环境风险评价技术导则》（</w:t>
      </w:r>
      <w:r>
        <w:rPr>
          <w:rFonts w:ascii="Times New Roman" w:hAnsi="Times New Roman" w:eastAsia="宋体" w:cs="Times New Roman"/>
          <w:color w:val="auto"/>
          <w:sz w:val="24"/>
          <w:szCs w:val="24"/>
        </w:rPr>
        <w:t>HJ169-2018）附录B1，本项目主要风险物质</w:t>
      </w:r>
      <w:r>
        <w:rPr>
          <w:rFonts w:hint="eastAsia" w:ascii="Times New Roman" w:hAnsi="Times New Roman" w:eastAsia="宋体" w:cs="Times New Roman"/>
          <w:color w:val="auto"/>
          <w:sz w:val="24"/>
          <w:szCs w:val="24"/>
        </w:rPr>
        <w:t>如下表所示：</w:t>
      </w:r>
    </w:p>
    <w:p w14:paraId="27DC6BB7">
      <w:pPr>
        <w:pStyle w:val="6"/>
        <w:bidi w:val="0"/>
      </w:pPr>
      <w:r>
        <w:t>表8.2-1    本项目生产过程涉及物质风险识别表</w:t>
      </w:r>
    </w:p>
    <w:tbl>
      <w:tblPr>
        <w:tblStyle w:val="4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09"/>
        <w:gridCol w:w="1163"/>
        <w:gridCol w:w="1418"/>
        <w:gridCol w:w="1417"/>
        <w:gridCol w:w="1418"/>
        <w:gridCol w:w="1071"/>
      </w:tblGrid>
      <w:tr w14:paraId="3F249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vAlign w:val="center"/>
          </w:tcPr>
          <w:p w14:paraId="4E1D0DCB">
            <w:pPr>
              <w:jc w:val="center"/>
              <w:rPr>
                <w:rFonts w:ascii="Times New Roman" w:hAnsi="Times New Roman" w:eastAsia="宋体" w:cs="Times New Roman"/>
                <w:color w:val="auto"/>
                <w:sz w:val="22"/>
              </w:rPr>
            </w:pPr>
            <w:r>
              <w:rPr>
                <w:rFonts w:ascii="Times New Roman" w:hAnsi="Times New Roman" w:eastAsia="宋体" w:cs="Times New Roman"/>
                <w:color w:val="auto"/>
                <w:sz w:val="22"/>
              </w:rPr>
              <w:t>物质名称</w:t>
            </w:r>
          </w:p>
        </w:tc>
        <w:tc>
          <w:tcPr>
            <w:tcW w:w="1163" w:type="dxa"/>
            <w:vAlign w:val="center"/>
          </w:tcPr>
          <w:p w14:paraId="4BA6F512">
            <w:pPr>
              <w:jc w:val="center"/>
              <w:rPr>
                <w:rFonts w:ascii="Times New Roman" w:hAnsi="Times New Roman" w:eastAsia="宋体" w:cs="Times New Roman"/>
                <w:color w:val="auto"/>
                <w:sz w:val="22"/>
              </w:rPr>
            </w:pPr>
            <w:r>
              <w:rPr>
                <w:rFonts w:ascii="Times New Roman" w:hAnsi="Times New Roman" w:eastAsia="宋体" w:cs="Times New Roman"/>
                <w:color w:val="auto"/>
                <w:sz w:val="22"/>
              </w:rPr>
              <w:t>CAS号</w:t>
            </w:r>
          </w:p>
        </w:tc>
        <w:tc>
          <w:tcPr>
            <w:tcW w:w="1418" w:type="dxa"/>
            <w:vAlign w:val="center"/>
          </w:tcPr>
          <w:p w14:paraId="5F148296">
            <w:pPr>
              <w:jc w:val="center"/>
              <w:rPr>
                <w:rFonts w:ascii="Times New Roman" w:hAnsi="Times New Roman" w:eastAsia="宋体" w:cs="Times New Roman"/>
                <w:color w:val="auto"/>
                <w:sz w:val="22"/>
              </w:rPr>
            </w:pPr>
            <w:r>
              <w:rPr>
                <w:rFonts w:ascii="Times New Roman" w:hAnsi="Times New Roman" w:eastAsia="宋体" w:cs="Times New Roman"/>
                <w:color w:val="auto"/>
                <w:sz w:val="22"/>
              </w:rPr>
              <w:t>最大储存量（t）</w:t>
            </w:r>
          </w:p>
        </w:tc>
        <w:tc>
          <w:tcPr>
            <w:tcW w:w="1417" w:type="dxa"/>
            <w:vAlign w:val="center"/>
          </w:tcPr>
          <w:p w14:paraId="30E2A689">
            <w:pPr>
              <w:jc w:val="center"/>
              <w:rPr>
                <w:rFonts w:ascii="Times New Roman" w:hAnsi="Times New Roman" w:eastAsia="宋体" w:cs="Times New Roman"/>
                <w:color w:val="auto"/>
                <w:sz w:val="22"/>
              </w:rPr>
            </w:pPr>
            <w:r>
              <w:rPr>
                <w:rFonts w:ascii="Times New Roman" w:hAnsi="Times New Roman" w:eastAsia="宋体" w:cs="Times New Roman"/>
                <w:color w:val="auto"/>
                <w:sz w:val="22"/>
              </w:rPr>
              <w:t>最大在线量（t）</w:t>
            </w:r>
          </w:p>
        </w:tc>
        <w:tc>
          <w:tcPr>
            <w:tcW w:w="1418" w:type="dxa"/>
            <w:vAlign w:val="center"/>
          </w:tcPr>
          <w:p w14:paraId="021B9AC8">
            <w:pPr>
              <w:jc w:val="center"/>
              <w:rPr>
                <w:rFonts w:ascii="Times New Roman" w:hAnsi="Times New Roman" w:eastAsia="宋体" w:cs="Times New Roman"/>
                <w:color w:val="auto"/>
                <w:sz w:val="22"/>
              </w:rPr>
            </w:pPr>
            <w:r>
              <w:rPr>
                <w:rFonts w:ascii="Times New Roman" w:hAnsi="Times New Roman" w:eastAsia="宋体" w:cs="Times New Roman"/>
                <w:color w:val="auto"/>
                <w:sz w:val="22"/>
              </w:rPr>
              <w:t>临界量（t）</w:t>
            </w:r>
          </w:p>
        </w:tc>
        <w:tc>
          <w:tcPr>
            <w:tcW w:w="1071" w:type="dxa"/>
            <w:vAlign w:val="center"/>
          </w:tcPr>
          <w:p w14:paraId="780DA94B">
            <w:pPr>
              <w:jc w:val="center"/>
              <w:rPr>
                <w:rFonts w:ascii="Times New Roman" w:hAnsi="Times New Roman" w:eastAsia="宋体" w:cs="Times New Roman"/>
                <w:color w:val="auto"/>
                <w:sz w:val="22"/>
              </w:rPr>
            </w:pPr>
            <w:r>
              <w:rPr>
                <w:rFonts w:ascii="Times New Roman" w:hAnsi="Times New Roman" w:eastAsia="宋体" w:cs="Times New Roman"/>
                <w:color w:val="auto"/>
                <w:sz w:val="22"/>
              </w:rPr>
              <w:t>qi/Qi</w:t>
            </w:r>
          </w:p>
        </w:tc>
      </w:tr>
      <w:tr w14:paraId="4BCE1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shd w:val="clear" w:color="auto" w:fill="auto"/>
            <w:vAlign w:val="center"/>
          </w:tcPr>
          <w:p w14:paraId="7A9E8847">
            <w:pPr>
              <w:jc w:val="center"/>
              <w:rPr>
                <w:rFonts w:hint="eastAsia" w:ascii="Times New Roman" w:hAnsi="Times New Roman" w:eastAsia="宋体" w:cs="Times New Roman"/>
                <w:color w:val="auto"/>
                <w:kern w:val="2"/>
                <w:sz w:val="22"/>
                <w:szCs w:val="24"/>
                <w:highlight w:val="none"/>
                <w:lang w:val="en-US" w:eastAsia="zh-CN" w:bidi="ar-SA"/>
              </w:rPr>
            </w:pPr>
            <w:r>
              <w:rPr>
                <w:rFonts w:hint="eastAsia" w:ascii="Times New Roman" w:hAnsi="Times New Roman" w:eastAsia="宋体" w:cs="Times New Roman"/>
                <w:color w:val="auto"/>
                <w:sz w:val="22"/>
                <w:szCs w:val="24"/>
                <w:highlight w:val="none"/>
                <w:lang w:val="en-US" w:eastAsia="zh-CN"/>
              </w:rPr>
              <w:t>氢氧化钠</w:t>
            </w:r>
          </w:p>
        </w:tc>
        <w:tc>
          <w:tcPr>
            <w:tcW w:w="1163" w:type="dxa"/>
            <w:shd w:val="clear" w:color="auto" w:fill="auto"/>
            <w:vAlign w:val="center"/>
          </w:tcPr>
          <w:p w14:paraId="2EDF08C6">
            <w:pPr>
              <w:jc w:val="center"/>
              <w:rPr>
                <w:rFonts w:ascii="Times New Roman" w:hAnsi="Times New Roman" w:eastAsia="宋体" w:cs="Times New Roman"/>
                <w:color w:val="auto"/>
                <w:kern w:val="2"/>
                <w:sz w:val="22"/>
                <w:szCs w:val="24"/>
                <w:highlight w:val="none"/>
                <w:lang w:val="en-US" w:eastAsia="zh-CN" w:bidi="ar-SA"/>
              </w:rPr>
            </w:pPr>
            <w:r>
              <w:rPr>
                <w:rFonts w:ascii="Times New Roman" w:hAnsi="Times New Roman" w:eastAsia="宋体" w:cs="Times New Roman"/>
                <w:color w:val="auto"/>
                <w:sz w:val="22"/>
                <w:szCs w:val="24"/>
                <w:highlight w:val="none"/>
              </w:rPr>
              <w:t>1310-73-2</w:t>
            </w:r>
          </w:p>
        </w:tc>
        <w:tc>
          <w:tcPr>
            <w:tcW w:w="1418" w:type="dxa"/>
            <w:vAlign w:val="center"/>
          </w:tcPr>
          <w:p w14:paraId="3D606CDF">
            <w:pPr>
              <w:jc w:val="center"/>
              <w:rPr>
                <w:rFonts w:hint="default" w:ascii="Times New Roman" w:hAnsi="Times New Roman" w:eastAsia="宋体" w:cs="Times New Roman"/>
                <w:color w:val="auto"/>
                <w:sz w:val="22"/>
                <w:lang w:val="en-US" w:eastAsia="zh-CN"/>
              </w:rPr>
            </w:pPr>
            <w:r>
              <w:rPr>
                <w:rFonts w:hint="eastAsia" w:ascii="Times New Roman" w:hAnsi="Times New Roman" w:eastAsia="宋体" w:cs="Times New Roman"/>
                <w:color w:val="auto"/>
                <w:sz w:val="22"/>
                <w:lang w:val="en-US" w:eastAsia="zh-CN"/>
              </w:rPr>
              <w:t>28</w:t>
            </w:r>
          </w:p>
        </w:tc>
        <w:tc>
          <w:tcPr>
            <w:tcW w:w="1417" w:type="dxa"/>
            <w:vAlign w:val="center"/>
          </w:tcPr>
          <w:p w14:paraId="373D71CB">
            <w:pPr>
              <w:jc w:val="center"/>
              <w:rPr>
                <w:rFonts w:hint="default" w:ascii="Times New Roman" w:hAnsi="Times New Roman" w:eastAsia="宋体" w:cs="Times New Roman"/>
                <w:color w:val="auto"/>
                <w:sz w:val="22"/>
                <w:lang w:val="en-US" w:eastAsia="zh-CN"/>
              </w:rPr>
            </w:pPr>
            <w:r>
              <w:rPr>
                <w:rFonts w:hint="eastAsia" w:ascii="Times New Roman" w:hAnsi="Times New Roman" w:eastAsia="宋体" w:cs="Times New Roman"/>
                <w:color w:val="auto"/>
                <w:sz w:val="22"/>
                <w:lang w:val="en-US" w:eastAsia="zh-CN"/>
              </w:rPr>
              <w:t>10.5</w:t>
            </w:r>
          </w:p>
        </w:tc>
        <w:tc>
          <w:tcPr>
            <w:tcW w:w="1418" w:type="dxa"/>
            <w:vAlign w:val="center"/>
          </w:tcPr>
          <w:p w14:paraId="4B4336DC">
            <w:pPr>
              <w:jc w:val="center"/>
              <w:rPr>
                <w:rFonts w:hint="default" w:ascii="Times New Roman" w:hAnsi="Times New Roman" w:eastAsia="宋体" w:cs="Times New Roman"/>
                <w:color w:val="auto"/>
                <w:sz w:val="22"/>
                <w:lang w:val="en-US" w:eastAsia="zh-CN"/>
              </w:rPr>
            </w:pPr>
            <w:r>
              <w:rPr>
                <w:rFonts w:hint="eastAsia" w:ascii="Times New Roman" w:hAnsi="Times New Roman" w:eastAsia="宋体" w:cs="Times New Roman"/>
                <w:color w:val="auto"/>
                <w:sz w:val="22"/>
                <w:lang w:val="en-US" w:eastAsia="zh-CN"/>
              </w:rPr>
              <w:t>100</w:t>
            </w:r>
          </w:p>
        </w:tc>
        <w:tc>
          <w:tcPr>
            <w:tcW w:w="1071" w:type="dxa"/>
            <w:vAlign w:val="center"/>
          </w:tcPr>
          <w:p w14:paraId="6C9C8603">
            <w:pPr>
              <w:jc w:val="center"/>
              <w:rPr>
                <w:rFonts w:hint="default" w:ascii="Times New Roman" w:hAnsi="Times New Roman" w:eastAsia="宋体" w:cs="Times New Roman"/>
                <w:color w:val="auto"/>
                <w:sz w:val="22"/>
                <w:lang w:val="en-US" w:eastAsia="zh-CN"/>
              </w:rPr>
            </w:pPr>
            <w:r>
              <w:rPr>
                <w:rFonts w:hint="eastAsia" w:ascii="Times New Roman" w:hAnsi="Times New Roman" w:eastAsia="宋体" w:cs="Times New Roman"/>
                <w:color w:val="auto"/>
                <w:sz w:val="22"/>
                <w:lang w:val="en-US" w:eastAsia="zh-CN"/>
              </w:rPr>
              <w:t>0.385</w:t>
            </w:r>
          </w:p>
        </w:tc>
      </w:tr>
      <w:tr w14:paraId="715FF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shd w:val="clear" w:color="auto" w:fill="auto"/>
            <w:vAlign w:val="center"/>
          </w:tcPr>
          <w:p w14:paraId="3C591D95">
            <w:pPr>
              <w:jc w:val="center"/>
              <w:rPr>
                <w:rFonts w:hint="eastAsia" w:ascii="Times New Roman" w:hAnsi="Times New Roman" w:eastAsia="宋体" w:cs="Times New Roman"/>
                <w:color w:val="auto"/>
                <w:kern w:val="2"/>
                <w:sz w:val="22"/>
                <w:szCs w:val="24"/>
                <w:highlight w:val="none"/>
                <w:lang w:val="en-US" w:eastAsia="zh-CN" w:bidi="ar-SA"/>
              </w:rPr>
            </w:pPr>
            <w:r>
              <w:rPr>
                <w:rFonts w:hint="eastAsia" w:ascii="Times New Roman" w:hAnsi="Times New Roman" w:eastAsia="宋体" w:cs="Times New Roman"/>
                <w:color w:val="auto"/>
                <w:sz w:val="22"/>
                <w:szCs w:val="24"/>
                <w:highlight w:val="none"/>
                <w:lang w:val="en-US" w:eastAsia="zh-CN"/>
              </w:rPr>
              <w:t>废矿物油</w:t>
            </w:r>
          </w:p>
        </w:tc>
        <w:tc>
          <w:tcPr>
            <w:tcW w:w="1163" w:type="dxa"/>
            <w:shd w:val="clear" w:color="auto" w:fill="auto"/>
            <w:vAlign w:val="center"/>
          </w:tcPr>
          <w:p w14:paraId="41D0AE80">
            <w:pPr>
              <w:jc w:val="center"/>
              <w:rPr>
                <w:rFonts w:ascii="Times New Roman" w:hAnsi="Times New Roman" w:eastAsia="宋体" w:cs="Times New Roman"/>
                <w:color w:val="auto"/>
                <w:kern w:val="2"/>
                <w:sz w:val="22"/>
                <w:szCs w:val="24"/>
                <w:highlight w:val="none"/>
                <w:lang w:val="en-US" w:eastAsia="zh-CN" w:bidi="ar-SA"/>
              </w:rPr>
            </w:pPr>
            <w:r>
              <w:rPr>
                <w:rFonts w:hint="eastAsia" w:ascii="Times New Roman" w:hAnsi="Times New Roman" w:eastAsia="宋体" w:cs="Times New Roman"/>
                <w:color w:val="auto"/>
                <w:sz w:val="22"/>
                <w:szCs w:val="24"/>
                <w:highlight w:val="none"/>
              </w:rPr>
              <w:t>/</w:t>
            </w:r>
          </w:p>
        </w:tc>
        <w:tc>
          <w:tcPr>
            <w:tcW w:w="1418" w:type="dxa"/>
            <w:vAlign w:val="center"/>
          </w:tcPr>
          <w:p w14:paraId="7DC34860">
            <w:pPr>
              <w:jc w:val="center"/>
              <w:rPr>
                <w:rFonts w:hint="default" w:ascii="Times New Roman" w:hAnsi="Times New Roman" w:eastAsia="宋体" w:cs="Times New Roman"/>
                <w:color w:val="auto"/>
                <w:sz w:val="22"/>
                <w:lang w:val="en-US" w:eastAsia="zh-CN"/>
              </w:rPr>
            </w:pPr>
            <w:r>
              <w:rPr>
                <w:rFonts w:hint="eastAsia" w:ascii="Times New Roman" w:hAnsi="Times New Roman" w:eastAsia="宋体" w:cs="Times New Roman"/>
                <w:color w:val="auto"/>
                <w:sz w:val="22"/>
                <w:lang w:val="en-US" w:eastAsia="zh-CN"/>
              </w:rPr>
              <w:t>0.1</w:t>
            </w:r>
          </w:p>
        </w:tc>
        <w:tc>
          <w:tcPr>
            <w:tcW w:w="1417" w:type="dxa"/>
            <w:vAlign w:val="center"/>
          </w:tcPr>
          <w:p w14:paraId="47BC8FF3">
            <w:pPr>
              <w:jc w:val="center"/>
              <w:rPr>
                <w:rFonts w:hint="default" w:ascii="Times New Roman" w:hAnsi="Times New Roman" w:eastAsia="宋体" w:cs="Times New Roman"/>
                <w:color w:val="auto"/>
                <w:sz w:val="22"/>
                <w:lang w:val="en-US" w:eastAsia="zh-CN"/>
              </w:rPr>
            </w:pPr>
            <w:r>
              <w:rPr>
                <w:rFonts w:hint="eastAsia" w:ascii="Times New Roman" w:hAnsi="Times New Roman" w:eastAsia="宋体" w:cs="Times New Roman"/>
                <w:color w:val="auto"/>
                <w:sz w:val="22"/>
                <w:lang w:val="en-US" w:eastAsia="zh-CN"/>
              </w:rPr>
              <w:t>/</w:t>
            </w:r>
          </w:p>
        </w:tc>
        <w:tc>
          <w:tcPr>
            <w:tcW w:w="1418" w:type="dxa"/>
            <w:vAlign w:val="center"/>
          </w:tcPr>
          <w:p w14:paraId="27EB2788">
            <w:pPr>
              <w:jc w:val="center"/>
              <w:rPr>
                <w:rFonts w:hint="default" w:ascii="Times New Roman" w:hAnsi="Times New Roman" w:eastAsia="宋体" w:cs="Times New Roman"/>
                <w:color w:val="auto"/>
                <w:sz w:val="22"/>
                <w:lang w:val="en-US" w:eastAsia="zh-CN"/>
              </w:rPr>
            </w:pPr>
            <w:r>
              <w:rPr>
                <w:rFonts w:hint="eastAsia" w:ascii="Times New Roman" w:hAnsi="Times New Roman" w:eastAsia="宋体" w:cs="Times New Roman"/>
                <w:color w:val="auto"/>
                <w:sz w:val="22"/>
                <w:lang w:val="en-US" w:eastAsia="zh-CN"/>
              </w:rPr>
              <w:t>2500</w:t>
            </w:r>
          </w:p>
        </w:tc>
        <w:tc>
          <w:tcPr>
            <w:tcW w:w="1071" w:type="dxa"/>
            <w:vAlign w:val="center"/>
          </w:tcPr>
          <w:p w14:paraId="03586679">
            <w:pPr>
              <w:jc w:val="center"/>
              <w:rPr>
                <w:rFonts w:hint="default" w:ascii="Times New Roman" w:hAnsi="Times New Roman" w:eastAsia="宋体" w:cs="Times New Roman"/>
                <w:color w:val="auto"/>
                <w:sz w:val="22"/>
                <w:lang w:val="en-US" w:eastAsia="zh-CN"/>
              </w:rPr>
            </w:pPr>
            <w:r>
              <w:rPr>
                <w:rFonts w:hint="eastAsia" w:ascii="Times New Roman" w:hAnsi="Times New Roman" w:eastAsia="宋体" w:cs="Times New Roman"/>
                <w:color w:val="auto"/>
                <w:sz w:val="22"/>
                <w:lang w:val="en-US" w:eastAsia="zh-CN"/>
              </w:rPr>
              <w:t>0.00004</w:t>
            </w:r>
          </w:p>
        </w:tc>
      </w:tr>
      <w:tr w14:paraId="3FDD2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vAlign w:val="center"/>
          </w:tcPr>
          <w:p w14:paraId="4701283B">
            <w:pPr>
              <w:jc w:val="center"/>
              <w:rPr>
                <w:rFonts w:hint="default" w:ascii="Times New Roman" w:hAnsi="Times New Roman" w:eastAsia="宋体" w:cs="Times New Roman"/>
                <w:color w:val="auto"/>
                <w:sz w:val="22"/>
                <w:lang w:val="en-US" w:eastAsia="zh-CN"/>
              </w:rPr>
            </w:pPr>
            <w:r>
              <w:rPr>
                <w:rFonts w:hint="eastAsia" w:ascii="Times New Roman" w:hAnsi="Times New Roman" w:eastAsia="宋体" w:cs="Times New Roman"/>
                <w:color w:val="auto"/>
                <w:sz w:val="22"/>
                <w:lang w:val="en-US" w:eastAsia="zh-CN"/>
              </w:rPr>
              <w:t>污水站污泥</w:t>
            </w:r>
          </w:p>
        </w:tc>
        <w:tc>
          <w:tcPr>
            <w:tcW w:w="1163" w:type="dxa"/>
            <w:vAlign w:val="center"/>
          </w:tcPr>
          <w:p w14:paraId="127132E8">
            <w:pPr>
              <w:jc w:val="center"/>
              <w:rPr>
                <w:rFonts w:ascii="Times New Roman" w:hAnsi="Times New Roman" w:eastAsia="宋体" w:cs="Times New Roman"/>
                <w:color w:val="auto"/>
                <w:sz w:val="22"/>
              </w:rPr>
            </w:pPr>
            <w:r>
              <w:rPr>
                <w:rFonts w:hint="eastAsia" w:ascii="Times New Roman" w:hAnsi="Times New Roman" w:eastAsia="宋体" w:cs="Times New Roman"/>
                <w:color w:val="auto"/>
                <w:sz w:val="22"/>
              </w:rPr>
              <w:t>/</w:t>
            </w:r>
          </w:p>
        </w:tc>
        <w:tc>
          <w:tcPr>
            <w:tcW w:w="1418" w:type="dxa"/>
            <w:vAlign w:val="center"/>
          </w:tcPr>
          <w:p w14:paraId="1BBAAF19">
            <w:pPr>
              <w:jc w:val="center"/>
              <w:rPr>
                <w:rFonts w:hint="default" w:ascii="Times New Roman" w:hAnsi="Times New Roman" w:eastAsia="宋体" w:cs="Times New Roman"/>
                <w:color w:val="auto"/>
                <w:sz w:val="22"/>
                <w:lang w:val="en-US" w:eastAsia="zh-CN"/>
              </w:rPr>
            </w:pPr>
            <w:r>
              <w:rPr>
                <w:rFonts w:hint="eastAsia" w:ascii="Times New Roman" w:hAnsi="Times New Roman" w:eastAsia="等线" w:cs="Times New Roman"/>
                <w:color w:val="auto"/>
                <w:sz w:val="22"/>
                <w:lang w:val="en-US" w:eastAsia="zh-CN"/>
              </w:rPr>
              <w:t>10</w:t>
            </w:r>
          </w:p>
        </w:tc>
        <w:tc>
          <w:tcPr>
            <w:tcW w:w="1417" w:type="dxa"/>
            <w:vAlign w:val="center"/>
          </w:tcPr>
          <w:p w14:paraId="63DC0A20">
            <w:pPr>
              <w:jc w:val="center"/>
              <w:rPr>
                <w:rFonts w:ascii="Times New Roman" w:hAnsi="Times New Roman" w:eastAsia="宋体" w:cs="Times New Roman"/>
                <w:color w:val="auto"/>
                <w:sz w:val="22"/>
              </w:rPr>
            </w:pPr>
            <w:r>
              <w:rPr>
                <w:rFonts w:hint="eastAsia" w:ascii="Times New Roman" w:hAnsi="Times New Roman" w:eastAsia="宋体" w:cs="Times New Roman"/>
                <w:color w:val="auto"/>
                <w:sz w:val="22"/>
              </w:rPr>
              <w:t>/</w:t>
            </w:r>
          </w:p>
        </w:tc>
        <w:tc>
          <w:tcPr>
            <w:tcW w:w="1418" w:type="dxa"/>
            <w:vAlign w:val="center"/>
          </w:tcPr>
          <w:p w14:paraId="0B7D68BC">
            <w:pPr>
              <w:jc w:val="center"/>
              <w:rPr>
                <w:rFonts w:ascii="Times New Roman" w:hAnsi="Times New Roman" w:eastAsia="宋体" w:cs="Times New Roman"/>
                <w:color w:val="auto"/>
                <w:sz w:val="22"/>
              </w:rPr>
            </w:pPr>
            <w:r>
              <w:rPr>
                <w:rFonts w:hint="eastAsia" w:ascii="Times New Roman" w:hAnsi="Times New Roman" w:eastAsia="宋体" w:cs="Times New Roman"/>
                <w:color w:val="auto"/>
                <w:sz w:val="22"/>
              </w:rPr>
              <w:t>1</w:t>
            </w:r>
            <w:r>
              <w:rPr>
                <w:rFonts w:ascii="Times New Roman" w:hAnsi="Times New Roman" w:eastAsia="宋体" w:cs="Times New Roman"/>
                <w:color w:val="auto"/>
                <w:sz w:val="22"/>
              </w:rPr>
              <w:t>00</w:t>
            </w:r>
          </w:p>
        </w:tc>
        <w:tc>
          <w:tcPr>
            <w:tcW w:w="1071" w:type="dxa"/>
            <w:vAlign w:val="center"/>
          </w:tcPr>
          <w:p w14:paraId="6527B87B">
            <w:pPr>
              <w:jc w:val="center"/>
              <w:rPr>
                <w:rFonts w:hint="default" w:ascii="Times New Roman" w:hAnsi="Times New Roman" w:eastAsia="宋体" w:cs="Times New Roman"/>
                <w:color w:val="auto"/>
                <w:sz w:val="22"/>
                <w:lang w:val="en-US" w:eastAsia="zh-CN"/>
              </w:rPr>
            </w:pPr>
            <w:r>
              <w:rPr>
                <w:rFonts w:hint="eastAsia" w:ascii="Times New Roman" w:hAnsi="Times New Roman" w:eastAsia="宋体" w:cs="Times New Roman"/>
                <w:color w:val="auto"/>
                <w:sz w:val="22"/>
                <w:lang w:val="en-US" w:eastAsia="zh-CN"/>
              </w:rPr>
              <w:t>0.1</w:t>
            </w:r>
          </w:p>
        </w:tc>
      </w:tr>
    </w:tbl>
    <w:p w14:paraId="3ED5DC2C">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本项目Q=0.48504</w:t>
      </w:r>
      <w:r>
        <w:rPr>
          <w:rFonts w:hint="default" w:ascii="Times New Roman" w:hAnsi="Times New Roman" w:eastAsia="宋体" w:cs="Times New Roman"/>
          <w:color w:val="auto"/>
          <w:sz w:val="24"/>
          <w:szCs w:val="24"/>
          <w:lang w:val="en-US" w:eastAsia="zh-CN"/>
        </w:rPr>
        <w:t>&lt;</w:t>
      </w:r>
      <w:r>
        <w:rPr>
          <w:rFonts w:hint="eastAsia" w:ascii="Times New Roman" w:hAnsi="Times New Roman" w:eastAsia="宋体" w:cs="Times New Roman"/>
          <w:color w:val="auto"/>
          <w:sz w:val="24"/>
          <w:szCs w:val="24"/>
          <w:lang w:val="en-US" w:eastAsia="zh-CN"/>
        </w:rPr>
        <w:t>1,环境风险潜势为</w:t>
      </w:r>
      <w:r>
        <w:rPr>
          <w:rFonts w:hint="eastAsia" w:ascii="宋体" w:hAnsi="宋体" w:eastAsia="宋体" w:cs="宋体"/>
          <w:color w:val="auto"/>
          <w:sz w:val="24"/>
          <w:szCs w:val="24"/>
          <w:lang w:val="en-US" w:eastAsia="zh-CN"/>
        </w:rPr>
        <w:t>Ⅰ</w:t>
      </w:r>
      <w:r>
        <w:rPr>
          <w:rFonts w:hint="eastAsia" w:ascii="Times New Roman" w:hAnsi="Times New Roman" w:eastAsia="宋体" w:cs="Times New Roman"/>
          <w:color w:val="auto"/>
          <w:sz w:val="24"/>
          <w:szCs w:val="24"/>
          <w:lang w:val="en-US" w:eastAsia="zh-CN"/>
        </w:rPr>
        <w:t>级，</w:t>
      </w:r>
      <w:r>
        <w:rPr>
          <w:rFonts w:hint="eastAsia" w:ascii="Times New Roman" w:hAnsi="Times New Roman" w:eastAsia="宋体" w:cs="Times New Roman"/>
          <w:color w:val="auto"/>
          <w:sz w:val="24"/>
          <w:szCs w:val="24"/>
        </w:rPr>
        <w:t>根据确定的项目环境风险潜势，按照《建设项目环境风险评价导则》</w:t>
      </w:r>
      <w:r>
        <w:rPr>
          <w:rFonts w:ascii="Times New Roman" w:hAnsi="Times New Roman" w:eastAsia="宋体" w:cs="Times New Roman"/>
          <w:color w:val="auto"/>
          <w:sz w:val="24"/>
          <w:szCs w:val="24"/>
        </w:rPr>
        <w:t>(HJ/T169-2018)中“4.3评价工作等级划分”，</w:t>
      </w:r>
      <w:r>
        <w:rPr>
          <w:rFonts w:hint="eastAsia" w:ascii="Times New Roman" w:hAnsi="Times New Roman" w:eastAsia="宋体" w:cs="Times New Roman"/>
          <w:color w:val="auto"/>
          <w:sz w:val="24"/>
          <w:szCs w:val="24"/>
          <w:lang w:val="en-US" w:eastAsia="zh-CN"/>
        </w:rPr>
        <w:t>本项目环境风险评价等级为简单分析。</w:t>
      </w:r>
    </w:p>
    <w:p w14:paraId="7B3170EC">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项目原辅材料、产品、副产品、中间产品涉及风险物质的理化性质及危险性如下表所示：</w:t>
      </w:r>
    </w:p>
    <w:p w14:paraId="1BB9550D">
      <w:pPr>
        <w:pStyle w:val="6"/>
        <w:bidi w:val="0"/>
      </w:pPr>
      <w:r>
        <w:rPr>
          <w:rFonts w:hint="eastAsia"/>
        </w:rPr>
        <w:t>表</w:t>
      </w:r>
      <w:r>
        <w:t>8.2-</w:t>
      </w:r>
      <w:r>
        <w:rPr>
          <w:rFonts w:hint="eastAsia"/>
          <w:lang w:val="en-US" w:eastAsia="zh-CN"/>
        </w:rPr>
        <w:t>2</w:t>
      </w:r>
      <w:r>
        <w:t xml:space="preserve">    </w:t>
      </w:r>
      <w:r>
        <w:rPr>
          <w:rFonts w:hint="eastAsia"/>
        </w:rPr>
        <w:t>氢氧化钠理化性质及危险性一览表</w:t>
      </w:r>
    </w:p>
    <w:tbl>
      <w:tblPr>
        <w:tblStyle w:val="4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7"/>
        <w:gridCol w:w="1612"/>
        <w:gridCol w:w="842"/>
        <w:gridCol w:w="73"/>
        <w:gridCol w:w="329"/>
        <w:gridCol w:w="1069"/>
        <w:gridCol w:w="327"/>
        <w:gridCol w:w="593"/>
        <w:gridCol w:w="1587"/>
        <w:gridCol w:w="624"/>
        <w:gridCol w:w="766"/>
      </w:tblGrid>
      <w:tr w14:paraId="2DB4D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09" w:type="pct"/>
            <w:vMerge w:val="restart"/>
            <w:tcBorders>
              <w:top w:val="single" w:color="auto" w:sz="4" w:space="0"/>
              <w:left w:val="single" w:color="auto" w:sz="4" w:space="0"/>
              <w:bottom w:val="single" w:color="auto" w:sz="4" w:space="0"/>
              <w:right w:val="single" w:color="auto" w:sz="4" w:space="0"/>
            </w:tcBorders>
            <w:noWrap w:val="0"/>
            <w:vAlign w:val="center"/>
          </w:tcPr>
          <w:p w14:paraId="31BFB415">
            <w:pPr>
              <w:pStyle w:val="52"/>
              <w:bidi w:val="0"/>
              <w:rPr>
                <w:rFonts w:hint="default"/>
              </w:rPr>
            </w:pPr>
            <w:r>
              <w:t>标识</w:t>
            </w:r>
          </w:p>
        </w:tc>
        <w:tc>
          <w:tcPr>
            <w:tcW w:w="2843" w:type="pct"/>
            <w:gridSpan w:val="7"/>
            <w:tcBorders>
              <w:top w:val="single" w:color="auto" w:sz="4" w:space="0"/>
              <w:left w:val="single" w:color="auto" w:sz="4" w:space="0"/>
              <w:bottom w:val="single" w:color="auto" w:sz="4" w:space="0"/>
              <w:right w:val="single" w:color="auto" w:sz="4" w:space="0"/>
            </w:tcBorders>
            <w:noWrap w:val="0"/>
            <w:vAlign w:val="center"/>
          </w:tcPr>
          <w:p w14:paraId="2EF487E7">
            <w:pPr>
              <w:pStyle w:val="52"/>
              <w:bidi w:val="0"/>
              <w:rPr>
                <w:rFonts w:hint="default"/>
              </w:rPr>
            </w:pPr>
            <w:r>
              <w:t>中文名：氢氧化钠</w:t>
            </w:r>
          </w:p>
        </w:tc>
        <w:tc>
          <w:tcPr>
            <w:tcW w:w="1746" w:type="pct"/>
            <w:gridSpan w:val="3"/>
            <w:tcBorders>
              <w:top w:val="single" w:color="auto" w:sz="4" w:space="0"/>
              <w:left w:val="single" w:color="auto" w:sz="4" w:space="0"/>
              <w:bottom w:val="single" w:color="auto" w:sz="4" w:space="0"/>
              <w:right w:val="single" w:color="auto" w:sz="4" w:space="0"/>
            </w:tcBorders>
            <w:noWrap w:val="0"/>
            <w:vAlign w:val="center"/>
          </w:tcPr>
          <w:p w14:paraId="7C86642A">
            <w:pPr>
              <w:pStyle w:val="52"/>
              <w:bidi w:val="0"/>
              <w:rPr>
                <w:rFonts w:hint="default"/>
              </w:rPr>
            </w:pPr>
            <w:r>
              <w:t>危险货物编号：</w:t>
            </w:r>
            <w:r>
              <w:rPr>
                <w:rFonts w:hint="default"/>
              </w:rPr>
              <w:t>82001</w:t>
            </w:r>
          </w:p>
        </w:tc>
      </w:tr>
      <w:tr w14:paraId="666DC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09" w:type="pct"/>
            <w:vMerge w:val="continue"/>
            <w:tcBorders>
              <w:top w:val="single" w:color="auto" w:sz="4" w:space="0"/>
              <w:left w:val="single" w:color="auto" w:sz="4" w:space="0"/>
              <w:bottom w:val="single" w:color="auto" w:sz="4" w:space="0"/>
              <w:right w:val="single" w:color="auto" w:sz="4" w:space="0"/>
            </w:tcBorders>
            <w:noWrap w:val="0"/>
            <w:vAlign w:val="center"/>
          </w:tcPr>
          <w:p w14:paraId="1F8AC8B6">
            <w:pPr>
              <w:pStyle w:val="52"/>
              <w:bidi w:val="0"/>
              <w:rPr>
                <w:rFonts w:hint="default"/>
              </w:rPr>
            </w:pPr>
          </w:p>
        </w:tc>
        <w:tc>
          <w:tcPr>
            <w:tcW w:w="2843" w:type="pct"/>
            <w:gridSpan w:val="7"/>
            <w:tcBorders>
              <w:top w:val="single" w:color="auto" w:sz="4" w:space="0"/>
              <w:left w:val="single" w:color="auto" w:sz="4" w:space="0"/>
              <w:bottom w:val="single" w:color="auto" w:sz="4" w:space="0"/>
              <w:right w:val="single" w:color="auto" w:sz="4" w:space="0"/>
            </w:tcBorders>
            <w:noWrap w:val="0"/>
            <w:vAlign w:val="center"/>
          </w:tcPr>
          <w:p w14:paraId="55CF37A0">
            <w:pPr>
              <w:pStyle w:val="52"/>
              <w:bidi w:val="0"/>
              <w:rPr>
                <w:rFonts w:hint="default"/>
              </w:rPr>
            </w:pPr>
            <w:r>
              <w:t>英文名：</w:t>
            </w:r>
            <w:r>
              <w:rPr>
                <w:rFonts w:hint="default"/>
              </w:rPr>
              <w:t>sodiun hydroxide</w:t>
            </w:r>
          </w:p>
        </w:tc>
        <w:tc>
          <w:tcPr>
            <w:tcW w:w="1746" w:type="pct"/>
            <w:gridSpan w:val="3"/>
            <w:tcBorders>
              <w:top w:val="single" w:color="auto" w:sz="4" w:space="0"/>
              <w:left w:val="single" w:color="auto" w:sz="4" w:space="0"/>
              <w:bottom w:val="single" w:color="auto" w:sz="4" w:space="0"/>
              <w:right w:val="single" w:color="auto" w:sz="4" w:space="0"/>
            </w:tcBorders>
            <w:noWrap w:val="0"/>
            <w:vAlign w:val="center"/>
          </w:tcPr>
          <w:p w14:paraId="768B581F">
            <w:pPr>
              <w:pStyle w:val="52"/>
              <w:bidi w:val="0"/>
              <w:rPr>
                <w:rFonts w:hint="default"/>
              </w:rPr>
            </w:pPr>
            <w:r>
              <w:rPr>
                <w:rFonts w:hint="default"/>
              </w:rPr>
              <w:t>UN</w:t>
            </w:r>
            <w:r>
              <w:t>编号：</w:t>
            </w:r>
            <w:r>
              <w:rPr>
                <w:rFonts w:hint="default"/>
              </w:rPr>
              <w:t>1823</w:t>
            </w:r>
          </w:p>
        </w:tc>
      </w:tr>
      <w:tr w14:paraId="55747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09" w:type="pct"/>
            <w:vMerge w:val="continue"/>
            <w:tcBorders>
              <w:top w:val="single" w:color="auto" w:sz="4" w:space="0"/>
              <w:left w:val="single" w:color="auto" w:sz="4" w:space="0"/>
              <w:bottom w:val="single" w:color="auto" w:sz="4" w:space="0"/>
              <w:right w:val="single" w:color="auto" w:sz="4" w:space="0"/>
            </w:tcBorders>
            <w:noWrap w:val="0"/>
            <w:vAlign w:val="center"/>
          </w:tcPr>
          <w:p w14:paraId="208D484E">
            <w:pPr>
              <w:pStyle w:val="52"/>
              <w:bidi w:val="0"/>
              <w:rPr>
                <w:rFonts w:hint="default"/>
              </w:rPr>
            </w:pPr>
          </w:p>
        </w:tc>
        <w:tc>
          <w:tcPr>
            <w:tcW w:w="1483" w:type="pct"/>
            <w:gridSpan w:val="3"/>
            <w:tcBorders>
              <w:top w:val="single" w:color="auto" w:sz="4" w:space="0"/>
              <w:left w:val="single" w:color="auto" w:sz="4" w:space="0"/>
              <w:bottom w:val="single" w:color="auto" w:sz="4" w:space="0"/>
              <w:right w:val="single" w:color="auto" w:sz="4" w:space="0"/>
            </w:tcBorders>
            <w:noWrap w:val="0"/>
            <w:vAlign w:val="center"/>
          </w:tcPr>
          <w:p w14:paraId="6CA0B9B6">
            <w:pPr>
              <w:pStyle w:val="52"/>
              <w:bidi w:val="0"/>
              <w:rPr>
                <w:rFonts w:hint="default"/>
              </w:rPr>
            </w:pPr>
            <w:r>
              <w:t>分子式：</w:t>
            </w:r>
            <w:r>
              <w:rPr>
                <w:rFonts w:hint="default"/>
              </w:rPr>
              <w:t>NaOH</w:t>
            </w:r>
          </w:p>
        </w:tc>
        <w:tc>
          <w:tcPr>
            <w:tcW w:w="1359" w:type="pct"/>
            <w:gridSpan w:val="4"/>
            <w:tcBorders>
              <w:top w:val="single" w:color="auto" w:sz="4" w:space="0"/>
              <w:left w:val="single" w:color="auto" w:sz="4" w:space="0"/>
              <w:bottom w:val="single" w:color="auto" w:sz="4" w:space="0"/>
              <w:right w:val="single" w:color="auto" w:sz="4" w:space="0"/>
            </w:tcBorders>
            <w:noWrap w:val="0"/>
            <w:vAlign w:val="center"/>
          </w:tcPr>
          <w:p w14:paraId="147A071C">
            <w:pPr>
              <w:pStyle w:val="52"/>
              <w:bidi w:val="0"/>
              <w:rPr>
                <w:rFonts w:hint="default"/>
              </w:rPr>
            </w:pPr>
            <w:r>
              <w:t>分子量：</w:t>
            </w:r>
            <w:r>
              <w:rPr>
                <w:rFonts w:hint="default"/>
              </w:rPr>
              <w:t>40.01</w:t>
            </w:r>
          </w:p>
        </w:tc>
        <w:tc>
          <w:tcPr>
            <w:tcW w:w="1746" w:type="pct"/>
            <w:gridSpan w:val="3"/>
            <w:tcBorders>
              <w:top w:val="single" w:color="auto" w:sz="4" w:space="0"/>
              <w:left w:val="single" w:color="auto" w:sz="4" w:space="0"/>
              <w:bottom w:val="single" w:color="auto" w:sz="4" w:space="0"/>
              <w:right w:val="single" w:color="auto" w:sz="4" w:space="0"/>
            </w:tcBorders>
            <w:noWrap w:val="0"/>
            <w:vAlign w:val="center"/>
          </w:tcPr>
          <w:p w14:paraId="43A7275E">
            <w:pPr>
              <w:pStyle w:val="52"/>
              <w:bidi w:val="0"/>
              <w:rPr>
                <w:rFonts w:hint="default"/>
              </w:rPr>
            </w:pPr>
            <w:r>
              <w:rPr>
                <w:rFonts w:hint="default"/>
              </w:rPr>
              <w:t>CAS</w:t>
            </w:r>
            <w:r>
              <w:t>号：</w:t>
            </w:r>
            <w:r>
              <w:rPr>
                <w:rFonts w:hint="default"/>
              </w:rPr>
              <w:t>1310-73-2</w:t>
            </w:r>
          </w:p>
        </w:tc>
      </w:tr>
      <w:tr w14:paraId="69F08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09" w:type="pct"/>
            <w:vMerge w:val="restart"/>
            <w:tcBorders>
              <w:top w:val="single" w:color="auto" w:sz="4" w:space="0"/>
              <w:left w:val="single" w:color="auto" w:sz="4" w:space="0"/>
              <w:bottom w:val="single" w:color="auto" w:sz="4" w:space="0"/>
              <w:right w:val="single" w:color="auto" w:sz="4" w:space="0"/>
            </w:tcBorders>
            <w:noWrap w:val="0"/>
            <w:vAlign w:val="center"/>
          </w:tcPr>
          <w:p w14:paraId="700C5C6D">
            <w:pPr>
              <w:pStyle w:val="52"/>
              <w:bidi w:val="0"/>
              <w:rPr>
                <w:rFonts w:hint="default"/>
              </w:rPr>
            </w:pPr>
            <w:r>
              <w:t>理化性质</w:t>
            </w:r>
          </w:p>
        </w:tc>
        <w:tc>
          <w:tcPr>
            <w:tcW w:w="946" w:type="pct"/>
            <w:tcBorders>
              <w:top w:val="single" w:color="auto" w:sz="4" w:space="0"/>
              <w:left w:val="single" w:color="auto" w:sz="4" w:space="0"/>
              <w:bottom w:val="single" w:color="auto" w:sz="4" w:space="0"/>
              <w:right w:val="single" w:color="auto" w:sz="4" w:space="0"/>
            </w:tcBorders>
            <w:noWrap w:val="0"/>
            <w:vAlign w:val="center"/>
          </w:tcPr>
          <w:p w14:paraId="516F74CD">
            <w:pPr>
              <w:pStyle w:val="52"/>
              <w:bidi w:val="0"/>
              <w:rPr>
                <w:rFonts w:hint="default"/>
              </w:rPr>
            </w:pPr>
            <w:r>
              <w:t>外观与性状</w:t>
            </w:r>
          </w:p>
        </w:tc>
        <w:tc>
          <w:tcPr>
            <w:tcW w:w="3643" w:type="pct"/>
            <w:gridSpan w:val="9"/>
            <w:tcBorders>
              <w:top w:val="single" w:color="auto" w:sz="4" w:space="0"/>
              <w:left w:val="single" w:color="auto" w:sz="4" w:space="0"/>
              <w:bottom w:val="single" w:color="auto" w:sz="4" w:space="0"/>
              <w:right w:val="single" w:color="auto" w:sz="4" w:space="0"/>
            </w:tcBorders>
            <w:noWrap w:val="0"/>
            <w:vAlign w:val="center"/>
          </w:tcPr>
          <w:p w14:paraId="132D497D">
            <w:pPr>
              <w:pStyle w:val="52"/>
              <w:bidi w:val="0"/>
              <w:rPr>
                <w:rFonts w:hint="default"/>
              </w:rPr>
            </w:pPr>
            <w:r>
              <w:t>无色至青白色棒状、片状、粒装、固块或液体</w:t>
            </w:r>
          </w:p>
        </w:tc>
      </w:tr>
      <w:tr w14:paraId="1A6CE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09" w:type="pct"/>
            <w:vMerge w:val="continue"/>
            <w:tcBorders>
              <w:top w:val="single" w:color="auto" w:sz="4" w:space="0"/>
              <w:left w:val="single" w:color="auto" w:sz="4" w:space="0"/>
              <w:bottom w:val="single" w:color="auto" w:sz="4" w:space="0"/>
              <w:right w:val="single" w:color="auto" w:sz="4" w:space="0"/>
            </w:tcBorders>
            <w:noWrap w:val="0"/>
            <w:vAlign w:val="center"/>
          </w:tcPr>
          <w:p w14:paraId="4359429D">
            <w:pPr>
              <w:pStyle w:val="52"/>
              <w:bidi w:val="0"/>
              <w:rPr>
                <w:rFonts w:hint="default"/>
              </w:rPr>
            </w:pPr>
          </w:p>
        </w:tc>
        <w:tc>
          <w:tcPr>
            <w:tcW w:w="946" w:type="pct"/>
            <w:tcBorders>
              <w:top w:val="single" w:color="auto" w:sz="4" w:space="0"/>
              <w:left w:val="single" w:color="auto" w:sz="4" w:space="0"/>
              <w:bottom w:val="single" w:color="auto" w:sz="4" w:space="0"/>
              <w:right w:val="single" w:color="auto" w:sz="4" w:space="0"/>
            </w:tcBorders>
            <w:noWrap w:val="0"/>
            <w:vAlign w:val="center"/>
          </w:tcPr>
          <w:p w14:paraId="46AB9A9A">
            <w:pPr>
              <w:pStyle w:val="52"/>
              <w:bidi w:val="0"/>
              <w:rPr>
                <w:rFonts w:hint="default"/>
              </w:rPr>
            </w:pPr>
            <w:r>
              <w:t>熔点（</w:t>
            </w:r>
            <w:r>
              <w:rPr>
                <w:rFonts w:hint="default"/>
              </w:rPr>
              <w:t>℃</w:t>
            </w:r>
            <w:r>
              <w:t>）</w:t>
            </w:r>
          </w:p>
        </w:tc>
        <w:tc>
          <w:tcPr>
            <w:tcW w:w="494" w:type="pct"/>
            <w:tcBorders>
              <w:top w:val="single" w:color="auto" w:sz="4" w:space="0"/>
              <w:left w:val="single" w:color="auto" w:sz="4" w:space="0"/>
              <w:bottom w:val="single" w:color="auto" w:sz="4" w:space="0"/>
              <w:right w:val="single" w:color="auto" w:sz="4" w:space="0"/>
            </w:tcBorders>
            <w:noWrap w:val="0"/>
            <w:vAlign w:val="center"/>
          </w:tcPr>
          <w:p w14:paraId="1AFE274C">
            <w:pPr>
              <w:pStyle w:val="52"/>
              <w:bidi w:val="0"/>
              <w:rPr>
                <w:rFonts w:hint="default"/>
              </w:rPr>
            </w:pPr>
            <w:r>
              <w:rPr>
                <w:rFonts w:hint="default"/>
              </w:rPr>
              <w:t>34.6</w:t>
            </w:r>
          </w:p>
        </w:tc>
        <w:tc>
          <w:tcPr>
            <w:tcW w:w="1055" w:type="pct"/>
            <w:gridSpan w:val="4"/>
            <w:tcBorders>
              <w:top w:val="single" w:color="auto" w:sz="4" w:space="0"/>
              <w:left w:val="single" w:color="auto" w:sz="4" w:space="0"/>
              <w:bottom w:val="single" w:color="auto" w:sz="4" w:space="0"/>
              <w:right w:val="single" w:color="auto" w:sz="4" w:space="0"/>
            </w:tcBorders>
            <w:noWrap w:val="0"/>
            <w:vAlign w:val="center"/>
          </w:tcPr>
          <w:p w14:paraId="366B7C9A">
            <w:pPr>
              <w:pStyle w:val="52"/>
              <w:bidi w:val="0"/>
              <w:rPr>
                <w:rFonts w:hint="default"/>
              </w:rPr>
            </w:pPr>
            <w:r>
              <w:t>相对密度</w:t>
            </w:r>
            <w:r>
              <w:rPr>
                <w:rFonts w:hint="default"/>
              </w:rPr>
              <w:t>(</w:t>
            </w:r>
            <w:r>
              <w:t>水</w:t>
            </w:r>
            <w:r>
              <w:rPr>
                <w:rFonts w:hint="default"/>
              </w:rPr>
              <w:t>=1)</w:t>
            </w:r>
          </w:p>
        </w:tc>
        <w:tc>
          <w:tcPr>
            <w:tcW w:w="346" w:type="pct"/>
            <w:tcBorders>
              <w:top w:val="single" w:color="auto" w:sz="4" w:space="0"/>
              <w:left w:val="single" w:color="auto" w:sz="4" w:space="0"/>
              <w:bottom w:val="single" w:color="auto" w:sz="4" w:space="0"/>
              <w:right w:val="single" w:color="auto" w:sz="4" w:space="0"/>
            </w:tcBorders>
            <w:noWrap w:val="0"/>
            <w:vAlign w:val="center"/>
          </w:tcPr>
          <w:p w14:paraId="6969F766">
            <w:pPr>
              <w:pStyle w:val="52"/>
              <w:bidi w:val="0"/>
              <w:rPr>
                <w:rFonts w:hint="default"/>
              </w:rPr>
            </w:pPr>
            <w:r>
              <w:rPr>
                <w:rFonts w:hint="default"/>
              </w:rPr>
              <w:t>2.12</w:t>
            </w:r>
          </w:p>
        </w:tc>
        <w:tc>
          <w:tcPr>
            <w:tcW w:w="1297" w:type="pct"/>
            <w:gridSpan w:val="2"/>
            <w:tcBorders>
              <w:top w:val="single" w:color="auto" w:sz="4" w:space="0"/>
              <w:left w:val="single" w:color="auto" w:sz="4" w:space="0"/>
              <w:bottom w:val="single" w:color="auto" w:sz="4" w:space="0"/>
              <w:right w:val="single" w:color="auto" w:sz="4" w:space="0"/>
            </w:tcBorders>
            <w:noWrap w:val="0"/>
            <w:vAlign w:val="center"/>
          </w:tcPr>
          <w:p w14:paraId="13C33EC7">
            <w:pPr>
              <w:pStyle w:val="52"/>
              <w:bidi w:val="0"/>
              <w:rPr>
                <w:rFonts w:hint="default"/>
              </w:rPr>
            </w:pPr>
            <w:r>
              <w:t>相对密度</w:t>
            </w:r>
            <w:r>
              <w:rPr>
                <w:rFonts w:hint="default"/>
              </w:rPr>
              <w:t>(</w:t>
            </w:r>
            <w:r>
              <w:t>空气</w:t>
            </w:r>
            <w:r>
              <w:rPr>
                <w:rFonts w:hint="default"/>
              </w:rPr>
              <w:t>=1)</w:t>
            </w:r>
          </w:p>
        </w:tc>
        <w:tc>
          <w:tcPr>
            <w:tcW w:w="448" w:type="pct"/>
            <w:tcBorders>
              <w:top w:val="single" w:color="auto" w:sz="4" w:space="0"/>
              <w:left w:val="single" w:color="auto" w:sz="4" w:space="0"/>
              <w:bottom w:val="single" w:color="auto" w:sz="4" w:space="0"/>
              <w:right w:val="single" w:color="auto" w:sz="4" w:space="0"/>
            </w:tcBorders>
            <w:noWrap w:val="0"/>
            <w:vAlign w:val="center"/>
          </w:tcPr>
          <w:p w14:paraId="3E325C27">
            <w:pPr>
              <w:pStyle w:val="52"/>
              <w:bidi w:val="0"/>
              <w:rPr>
                <w:rFonts w:hint="default"/>
              </w:rPr>
            </w:pPr>
            <w:r>
              <w:rPr>
                <w:rFonts w:hint="default"/>
              </w:rPr>
              <w:t>/</w:t>
            </w:r>
          </w:p>
        </w:tc>
      </w:tr>
      <w:tr w14:paraId="0D8D9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09" w:type="pct"/>
            <w:vMerge w:val="continue"/>
            <w:tcBorders>
              <w:top w:val="single" w:color="auto" w:sz="4" w:space="0"/>
              <w:left w:val="single" w:color="auto" w:sz="4" w:space="0"/>
              <w:bottom w:val="single" w:color="auto" w:sz="4" w:space="0"/>
              <w:right w:val="single" w:color="auto" w:sz="4" w:space="0"/>
            </w:tcBorders>
            <w:noWrap w:val="0"/>
            <w:vAlign w:val="center"/>
          </w:tcPr>
          <w:p w14:paraId="7017539D">
            <w:pPr>
              <w:pStyle w:val="52"/>
              <w:bidi w:val="0"/>
              <w:rPr>
                <w:rFonts w:hint="default"/>
              </w:rPr>
            </w:pPr>
          </w:p>
        </w:tc>
        <w:tc>
          <w:tcPr>
            <w:tcW w:w="946" w:type="pct"/>
            <w:tcBorders>
              <w:top w:val="single" w:color="auto" w:sz="4" w:space="0"/>
              <w:left w:val="single" w:color="auto" w:sz="4" w:space="0"/>
              <w:bottom w:val="single" w:color="auto" w:sz="4" w:space="0"/>
              <w:right w:val="single" w:color="auto" w:sz="4" w:space="0"/>
            </w:tcBorders>
            <w:noWrap w:val="0"/>
            <w:vAlign w:val="center"/>
          </w:tcPr>
          <w:p w14:paraId="4A704478">
            <w:pPr>
              <w:pStyle w:val="52"/>
              <w:bidi w:val="0"/>
              <w:rPr>
                <w:rFonts w:hint="default"/>
              </w:rPr>
            </w:pPr>
            <w:r>
              <w:t>沸点（</w:t>
            </w:r>
            <w:r>
              <w:rPr>
                <w:rFonts w:hint="default"/>
              </w:rPr>
              <w:t>℃</w:t>
            </w:r>
            <w:r>
              <w:t>）</w:t>
            </w:r>
          </w:p>
        </w:tc>
        <w:tc>
          <w:tcPr>
            <w:tcW w:w="494" w:type="pct"/>
            <w:tcBorders>
              <w:top w:val="single" w:color="auto" w:sz="4" w:space="0"/>
              <w:left w:val="single" w:color="auto" w:sz="4" w:space="0"/>
              <w:bottom w:val="single" w:color="auto" w:sz="4" w:space="0"/>
              <w:right w:val="single" w:color="auto" w:sz="4" w:space="0"/>
            </w:tcBorders>
            <w:noWrap w:val="0"/>
            <w:vAlign w:val="center"/>
          </w:tcPr>
          <w:p w14:paraId="306A46DA">
            <w:pPr>
              <w:pStyle w:val="52"/>
              <w:bidi w:val="0"/>
              <w:rPr>
                <w:rFonts w:hint="default"/>
              </w:rPr>
            </w:pPr>
            <w:r>
              <w:rPr>
                <w:rFonts w:hint="default"/>
              </w:rPr>
              <w:t>1390</w:t>
            </w:r>
          </w:p>
        </w:tc>
        <w:tc>
          <w:tcPr>
            <w:tcW w:w="1402" w:type="pct"/>
            <w:gridSpan w:val="5"/>
            <w:tcBorders>
              <w:top w:val="single" w:color="auto" w:sz="4" w:space="0"/>
              <w:left w:val="single" w:color="auto" w:sz="4" w:space="0"/>
              <w:bottom w:val="single" w:color="auto" w:sz="4" w:space="0"/>
              <w:right w:val="single" w:color="auto" w:sz="4" w:space="0"/>
            </w:tcBorders>
            <w:noWrap w:val="0"/>
            <w:vAlign w:val="center"/>
          </w:tcPr>
          <w:p w14:paraId="30B6A482">
            <w:pPr>
              <w:pStyle w:val="52"/>
              <w:bidi w:val="0"/>
              <w:rPr>
                <w:rFonts w:hint="default"/>
              </w:rPr>
            </w:pPr>
            <w:r>
              <w:t>饱和蒸气压（</w:t>
            </w:r>
            <w:r>
              <w:rPr>
                <w:rFonts w:hint="default"/>
              </w:rPr>
              <w:t>kPa</w:t>
            </w:r>
            <w:r>
              <w:t>）</w:t>
            </w:r>
          </w:p>
        </w:tc>
        <w:tc>
          <w:tcPr>
            <w:tcW w:w="1746" w:type="pct"/>
            <w:gridSpan w:val="3"/>
            <w:tcBorders>
              <w:top w:val="single" w:color="auto" w:sz="4" w:space="0"/>
              <w:left w:val="single" w:color="auto" w:sz="4" w:space="0"/>
              <w:bottom w:val="single" w:color="auto" w:sz="4" w:space="0"/>
              <w:right w:val="single" w:color="auto" w:sz="4" w:space="0"/>
            </w:tcBorders>
            <w:noWrap w:val="0"/>
            <w:vAlign w:val="center"/>
          </w:tcPr>
          <w:p w14:paraId="53271BE8">
            <w:pPr>
              <w:pStyle w:val="52"/>
              <w:bidi w:val="0"/>
              <w:rPr>
                <w:rFonts w:hint="default"/>
              </w:rPr>
            </w:pPr>
            <w:r>
              <w:rPr>
                <w:rFonts w:hint="default"/>
              </w:rPr>
              <w:t>0.13(739℃)</w:t>
            </w:r>
          </w:p>
        </w:tc>
      </w:tr>
      <w:tr w14:paraId="57AA0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09" w:type="pct"/>
            <w:vMerge w:val="continue"/>
            <w:tcBorders>
              <w:top w:val="single" w:color="auto" w:sz="4" w:space="0"/>
              <w:left w:val="single" w:color="auto" w:sz="4" w:space="0"/>
              <w:bottom w:val="single" w:color="auto" w:sz="4" w:space="0"/>
              <w:right w:val="single" w:color="auto" w:sz="4" w:space="0"/>
            </w:tcBorders>
            <w:noWrap w:val="0"/>
            <w:vAlign w:val="center"/>
          </w:tcPr>
          <w:p w14:paraId="778FDA32">
            <w:pPr>
              <w:pStyle w:val="52"/>
              <w:bidi w:val="0"/>
              <w:rPr>
                <w:rFonts w:hint="default"/>
              </w:rPr>
            </w:pPr>
          </w:p>
        </w:tc>
        <w:tc>
          <w:tcPr>
            <w:tcW w:w="946" w:type="pct"/>
            <w:tcBorders>
              <w:top w:val="single" w:color="auto" w:sz="4" w:space="0"/>
              <w:left w:val="single" w:color="auto" w:sz="4" w:space="0"/>
              <w:bottom w:val="single" w:color="auto" w:sz="4" w:space="0"/>
              <w:right w:val="single" w:color="auto" w:sz="4" w:space="0"/>
            </w:tcBorders>
            <w:noWrap w:val="0"/>
            <w:vAlign w:val="center"/>
          </w:tcPr>
          <w:p w14:paraId="724AE43E">
            <w:pPr>
              <w:pStyle w:val="52"/>
              <w:bidi w:val="0"/>
              <w:rPr>
                <w:rFonts w:hint="default"/>
              </w:rPr>
            </w:pPr>
            <w:r>
              <w:t>溶解性</w:t>
            </w:r>
          </w:p>
        </w:tc>
        <w:tc>
          <w:tcPr>
            <w:tcW w:w="3643" w:type="pct"/>
            <w:gridSpan w:val="9"/>
            <w:tcBorders>
              <w:top w:val="single" w:color="auto" w:sz="4" w:space="0"/>
              <w:left w:val="single" w:color="auto" w:sz="4" w:space="0"/>
              <w:bottom w:val="single" w:color="auto" w:sz="4" w:space="0"/>
              <w:right w:val="single" w:color="auto" w:sz="4" w:space="0"/>
            </w:tcBorders>
            <w:noWrap w:val="0"/>
            <w:vAlign w:val="center"/>
          </w:tcPr>
          <w:p w14:paraId="5F4024CE">
            <w:pPr>
              <w:pStyle w:val="52"/>
              <w:bidi w:val="0"/>
              <w:rPr>
                <w:rFonts w:hint="default"/>
              </w:rPr>
            </w:pPr>
            <w:r>
              <w:t>易溶于水、乙醇和甘油</w:t>
            </w:r>
          </w:p>
        </w:tc>
      </w:tr>
      <w:tr w14:paraId="5CE11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09" w:type="pct"/>
            <w:vMerge w:val="restart"/>
            <w:tcBorders>
              <w:top w:val="single" w:color="auto" w:sz="4" w:space="0"/>
              <w:left w:val="single" w:color="auto" w:sz="4" w:space="0"/>
              <w:bottom w:val="single" w:color="auto" w:sz="4" w:space="0"/>
              <w:right w:val="single" w:color="auto" w:sz="4" w:space="0"/>
            </w:tcBorders>
            <w:noWrap w:val="0"/>
            <w:vAlign w:val="center"/>
          </w:tcPr>
          <w:p w14:paraId="55C08716">
            <w:pPr>
              <w:pStyle w:val="52"/>
              <w:bidi w:val="0"/>
              <w:rPr>
                <w:rFonts w:hint="default"/>
              </w:rPr>
            </w:pPr>
            <w:r>
              <w:t>毒性及健康危害</w:t>
            </w:r>
          </w:p>
        </w:tc>
        <w:tc>
          <w:tcPr>
            <w:tcW w:w="946" w:type="pct"/>
            <w:tcBorders>
              <w:top w:val="single" w:color="auto" w:sz="4" w:space="0"/>
              <w:left w:val="single" w:color="auto" w:sz="4" w:space="0"/>
              <w:bottom w:val="single" w:color="auto" w:sz="4" w:space="0"/>
              <w:right w:val="single" w:color="auto" w:sz="4" w:space="0"/>
            </w:tcBorders>
            <w:noWrap w:val="0"/>
            <w:vAlign w:val="center"/>
          </w:tcPr>
          <w:p w14:paraId="5D75A7DF">
            <w:pPr>
              <w:pStyle w:val="52"/>
              <w:bidi w:val="0"/>
              <w:rPr>
                <w:rFonts w:hint="default"/>
              </w:rPr>
            </w:pPr>
            <w:r>
              <w:t>侵入途径</w:t>
            </w:r>
          </w:p>
        </w:tc>
        <w:tc>
          <w:tcPr>
            <w:tcW w:w="3643" w:type="pct"/>
            <w:gridSpan w:val="9"/>
            <w:tcBorders>
              <w:top w:val="single" w:color="auto" w:sz="4" w:space="0"/>
              <w:left w:val="single" w:color="auto" w:sz="4" w:space="0"/>
              <w:bottom w:val="single" w:color="auto" w:sz="4" w:space="0"/>
              <w:right w:val="single" w:color="auto" w:sz="4" w:space="0"/>
            </w:tcBorders>
            <w:noWrap w:val="0"/>
            <w:vAlign w:val="center"/>
          </w:tcPr>
          <w:p w14:paraId="1ECCE48B">
            <w:pPr>
              <w:pStyle w:val="52"/>
              <w:bidi w:val="0"/>
              <w:rPr>
                <w:rFonts w:hint="default"/>
              </w:rPr>
            </w:pPr>
            <w:r>
              <w:t>由呼吸道、消化道、皮肤侵入</w:t>
            </w:r>
          </w:p>
        </w:tc>
      </w:tr>
      <w:tr w14:paraId="78992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09" w:type="pct"/>
            <w:vMerge w:val="continue"/>
            <w:tcBorders>
              <w:top w:val="single" w:color="auto" w:sz="4" w:space="0"/>
              <w:left w:val="single" w:color="auto" w:sz="4" w:space="0"/>
              <w:bottom w:val="single" w:color="auto" w:sz="4" w:space="0"/>
              <w:right w:val="single" w:color="auto" w:sz="4" w:space="0"/>
            </w:tcBorders>
            <w:noWrap w:val="0"/>
            <w:vAlign w:val="center"/>
          </w:tcPr>
          <w:p w14:paraId="5B4C79C4">
            <w:pPr>
              <w:pStyle w:val="52"/>
              <w:bidi w:val="0"/>
              <w:rPr>
                <w:rFonts w:hint="default"/>
              </w:rPr>
            </w:pPr>
          </w:p>
        </w:tc>
        <w:tc>
          <w:tcPr>
            <w:tcW w:w="946" w:type="pct"/>
            <w:tcBorders>
              <w:top w:val="single" w:color="auto" w:sz="4" w:space="0"/>
              <w:left w:val="single" w:color="auto" w:sz="4" w:space="0"/>
              <w:bottom w:val="single" w:color="auto" w:sz="4" w:space="0"/>
              <w:right w:val="single" w:color="auto" w:sz="4" w:space="0"/>
            </w:tcBorders>
            <w:noWrap w:val="0"/>
            <w:vAlign w:val="center"/>
          </w:tcPr>
          <w:p w14:paraId="50F71A14">
            <w:pPr>
              <w:pStyle w:val="52"/>
              <w:bidi w:val="0"/>
              <w:rPr>
                <w:rFonts w:hint="default"/>
              </w:rPr>
            </w:pPr>
            <w:r>
              <w:t>毒性</w:t>
            </w:r>
          </w:p>
        </w:tc>
        <w:tc>
          <w:tcPr>
            <w:tcW w:w="3643" w:type="pct"/>
            <w:gridSpan w:val="9"/>
            <w:tcBorders>
              <w:top w:val="single" w:color="auto" w:sz="4" w:space="0"/>
              <w:left w:val="single" w:color="auto" w:sz="4" w:space="0"/>
              <w:bottom w:val="single" w:color="auto" w:sz="4" w:space="0"/>
              <w:right w:val="single" w:color="auto" w:sz="4" w:space="0"/>
            </w:tcBorders>
            <w:noWrap w:val="0"/>
            <w:vAlign w:val="center"/>
          </w:tcPr>
          <w:p w14:paraId="22EDBB27">
            <w:pPr>
              <w:pStyle w:val="52"/>
              <w:bidi w:val="0"/>
              <w:rPr>
                <w:rFonts w:hint="default"/>
              </w:rPr>
            </w:pPr>
            <w:r>
              <w:rPr>
                <w:rFonts w:hint="default"/>
              </w:rPr>
              <w:t>LD50</w:t>
            </w:r>
            <w:r>
              <w:t>：</w:t>
            </w:r>
            <w:r>
              <w:rPr>
                <w:rFonts w:hint="default"/>
              </w:rPr>
              <w:t>40mg/kg</w:t>
            </w:r>
            <w:r>
              <w:t>（小鼠腹腔），</w:t>
            </w:r>
            <w:r>
              <w:rPr>
                <w:rFonts w:hint="default"/>
              </w:rPr>
              <w:t>500mg/kg</w:t>
            </w:r>
            <w:r>
              <w:t>（兔经口）</w:t>
            </w:r>
          </w:p>
          <w:p w14:paraId="0FEA9982">
            <w:pPr>
              <w:pStyle w:val="52"/>
              <w:bidi w:val="0"/>
              <w:rPr>
                <w:rFonts w:hint="default"/>
              </w:rPr>
            </w:pPr>
            <w:r>
              <w:rPr>
                <w:rFonts w:hint="default"/>
              </w:rPr>
              <w:t>LC50</w:t>
            </w:r>
            <w:r>
              <w:t>：</w:t>
            </w:r>
            <w:r>
              <w:rPr>
                <w:rFonts w:hint="default"/>
              </w:rPr>
              <w:t>1350mg/kg(</w:t>
            </w:r>
            <w:r>
              <w:t>兔子</w:t>
            </w:r>
            <w:r>
              <w:rPr>
                <w:rFonts w:hint="default"/>
              </w:rPr>
              <w:t>)</w:t>
            </w:r>
          </w:p>
        </w:tc>
      </w:tr>
      <w:tr w14:paraId="0B6AE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09" w:type="pct"/>
            <w:vMerge w:val="continue"/>
            <w:tcBorders>
              <w:top w:val="single" w:color="auto" w:sz="4" w:space="0"/>
              <w:left w:val="single" w:color="auto" w:sz="4" w:space="0"/>
              <w:bottom w:val="single" w:color="auto" w:sz="4" w:space="0"/>
              <w:right w:val="single" w:color="auto" w:sz="4" w:space="0"/>
            </w:tcBorders>
            <w:noWrap w:val="0"/>
            <w:vAlign w:val="center"/>
          </w:tcPr>
          <w:p w14:paraId="4B21A8B1">
            <w:pPr>
              <w:pStyle w:val="52"/>
              <w:bidi w:val="0"/>
              <w:rPr>
                <w:rFonts w:hint="default"/>
              </w:rPr>
            </w:pPr>
          </w:p>
        </w:tc>
        <w:tc>
          <w:tcPr>
            <w:tcW w:w="946" w:type="pct"/>
            <w:tcBorders>
              <w:top w:val="single" w:color="auto" w:sz="4" w:space="0"/>
              <w:left w:val="single" w:color="auto" w:sz="4" w:space="0"/>
              <w:bottom w:val="single" w:color="auto" w:sz="4" w:space="0"/>
              <w:right w:val="single" w:color="auto" w:sz="4" w:space="0"/>
            </w:tcBorders>
            <w:noWrap w:val="0"/>
            <w:vAlign w:val="center"/>
          </w:tcPr>
          <w:p w14:paraId="22BC7B67">
            <w:pPr>
              <w:pStyle w:val="52"/>
              <w:bidi w:val="0"/>
              <w:rPr>
                <w:rFonts w:hint="default"/>
              </w:rPr>
            </w:pPr>
            <w:r>
              <w:t>健康危害</w:t>
            </w:r>
          </w:p>
        </w:tc>
        <w:tc>
          <w:tcPr>
            <w:tcW w:w="3643" w:type="pct"/>
            <w:gridSpan w:val="9"/>
            <w:tcBorders>
              <w:top w:val="single" w:color="auto" w:sz="4" w:space="0"/>
              <w:left w:val="single" w:color="auto" w:sz="4" w:space="0"/>
              <w:bottom w:val="single" w:color="auto" w:sz="4" w:space="0"/>
              <w:right w:val="single" w:color="auto" w:sz="4" w:space="0"/>
            </w:tcBorders>
            <w:noWrap w:val="0"/>
            <w:vAlign w:val="center"/>
          </w:tcPr>
          <w:p w14:paraId="1F01BF1E">
            <w:pPr>
              <w:pStyle w:val="52"/>
              <w:bidi w:val="0"/>
              <w:rPr>
                <w:rFonts w:hint="default"/>
              </w:rPr>
            </w:pPr>
            <w:r>
              <w:t>本品有强烈刺激和腐蚀性。粉尘或烟雾刺激眼和呼吸道，腐蚀鼻中膜；皮肤和眼直接接触可引起灼伤；误服可造成消化道灼伤，黏膜糜烂、出血和休克。</w:t>
            </w:r>
          </w:p>
        </w:tc>
      </w:tr>
      <w:tr w14:paraId="22EDA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09" w:type="pct"/>
            <w:vMerge w:val="restart"/>
            <w:tcBorders>
              <w:top w:val="single" w:color="auto" w:sz="4" w:space="0"/>
              <w:left w:val="single" w:color="auto" w:sz="4" w:space="0"/>
              <w:bottom w:val="single" w:color="auto" w:sz="4" w:space="0"/>
              <w:right w:val="single" w:color="auto" w:sz="4" w:space="0"/>
            </w:tcBorders>
            <w:noWrap w:val="0"/>
            <w:vAlign w:val="center"/>
          </w:tcPr>
          <w:p w14:paraId="0ECFA77C">
            <w:pPr>
              <w:pStyle w:val="52"/>
              <w:bidi w:val="0"/>
              <w:rPr>
                <w:rFonts w:hint="default"/>
              </w:rPr>
            </w:pPr>
            <w:r>
              <w:t>燃烧爆炸危险性</w:t>
            </w:r>
          </w:p>
        </w:tc>
        <w:tc>
          <w:tcPr>
            <w:tcW w:w="946" w:type="pct"/>
            <w:tcBorders>
              <w:top w:val="single" w:color="auto" w:sz="4" w:space="0"/>
              <w:left w:val="single" w:color="auto" w:sz="4" w:space="0"/>
              <w:bottom w:val="single" w:color="auto" w:sz="4" w:space="0"/>
              <w:right w:val="single" w:color="auto" w:sz="4" w:space="0"/>
            </w:tcBorders>
            <w:noWrap w:val="0"/>
            <w:vAlign w:val="center"/>
          </w:tcPr>
          <w:p w14:paraId="1193DDC1">
            <w:pPr>
              <w:pStyle w:val="52"/>
              <w:bidi w:val="0"/>
              <w:rPr>
                <w:rFonts w:hint="default"/>
              </w:rPr>
            </w:pPr>
            <w:r>
              <w:t>燃烧性</w:t>
            </w:r>
          </w:p>
        </w:tc>
        <w:tc>
          <w:tcPr>
            <w:tcW w:w="730" w:type="pct"/>
            <w:gridSpan w:val="3"/>
            <w:tcBorders>
              <w:top w:val="single" w:color="auto" w:sz="4" w:space="0"/>
              <w:left w:val="single" w:color="auto" w:sz="4" w:space="0"/>
              <w:bottom w:val="single" w:color="auto" w:sz="4" w:space="0"/>
              <w:right w:val="single" w:color="auto" w:sz="4" w:space="0"/>
            </w:tcBorders>
            <w:noWrap w:val="0"/>
            <w:vAlign w:val="center"/>
          </w:tcPr>
          <w:p w14:paraId="452A1442">
            <w:pPr>
              <w:pStyle w:val="52"/>
              <w:bidi w:val="0"/>
              <w:rPr>
                <w:rFonts w:hint="default"/>
              </w:rPr>
            </w:pPr>
            <w:r>
              <w:t>不燃</w:t>
            </w:r>
          </w:p>
        </w:tc>
        <w:tc>
          <w:tcPr>
            <w:tcW w:w="1166" w:type="pct"/>
            <w:gridSpan w:val="3"/>
            <w:tcBorders>
              <w:top w:val="single" w:color="auto" w:sz="4" w:space="0"/>
              <w:left w:val="single" w:color="auto" w:sz="4" w:space="0"/>
              <w:bottom w:val="single" w:color="auto" w:sz="4" w:space="0"/>
              <w:right w:val="single" w:color="auto" w:sz="4" w:space="0"/>
            </w:tcBorders>
            <w:noWrap w:val="0"/>
            <w:vAlign w:val="center"/>
          </w:tcPr>
          <w:p w14:paraId="03DD2D70">
            <w:pPr>
              <w:pStyle w:val="52"/>
              <w:bidi w:val="0"/>
              <w:rPr>
                <w:rFonts w:hint="default"/>
              </w:rPr>
            </w:pPr>
            <w:r>
              <w:t>燃烧分解物</w:t>
            </w:r>
          </w:p>
        </w:tc>
        <w:tc>
          <w:tcPr>
            <w:tcW w:w="1746" w:type="pct"/>
            <w:gridSpan w:val="3"/>
            <w:tcBorders>
              <w:top w:val="single" w:color="auto" w:sz="4" w:space="0"/>
              <w:left w:val="single" w:color="auto" w:sz="4" w:space="0"/>
              <w:bottom w:val="single" w:color="auto" w:sz="4" w:space="0"/>
              <w:right w:val="single" w:color="auto" w:sz="4" w:space="0"/>
            </w:tcBorders>
            <w:noWrap w:val="0"/>
            <w:vAlign w:val="center"/>
          </w:tcPr>
          <w:p w14:paraId="67858F08">
            <w:pPr>
              <w:pStyle w:val="52"/>
              <w:bidi w:val="0"/>
              <w:rPr>
                <w:rFonts w:hint="default"/>
              </w:rPr>
            </w:pPr>
            <w:r>
              <w:rPr>
                <w:rFonts w:hint="default"/>
              </w:rPr>
              <w:t>/</w:t>
            </w:r>
          </w:p>
        </w:tc>
      </w:tr>
      <w:tr w14:paraId="6E2D6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09" w:type="pct"/>
            <w:vMerge w:val="continue"/>
            <w:tcBorders>
              <w:top w:val="single" w:color="auto" w:sz="4" w:space="0"/>
              <w:left w:val="single" w:color="auto" w:sz="4" w:space="0"/>
              <w:bottom w:val="single" w:color="auto" w:sz="4" w:space="0"/>
              <w:right w:val="single" w:color="auto" w:sz="4" w:space="0"/>
            </w:tcBorders>
            <w:noWrap w:val="0"/>
            <w:vAlign w:val="center"/>
          </w:tcPr>
          <w:p w14:paraId="0C3902AB">
            <w:pPr>
              <w:pStyle w:val="52"/>
              <w:bidi w:val="0"/>
              <w:rPr>
                <w:rFonts w:hint="default"/>
              </w:rPr>
            </w:pPr>
          </w:p>
        </w:tc>
        <w:tc>
          <w:tcPr>
            <w:tcW w:w="946" w:type="pct"/>
            <w:tcBorders>
              <w:top w:val="single" w:color="auto" w:sz="4" w:space="0"/>
              <w:left w:val="single" w:color="auto" w:sz="4" w:space="0"/>
              <w:bottom w:val="single" w:color="auto" w:sz="4" w:space="0"/>
              <w:right w:val="single" w:color="auto" w:sz="4" w:space="0"/>
            </w:tcBorders>
            <w:noWrap w:val="0"/>
            <w:vAlign w:val="center"/>
          </w:tcPr>
          <w:p w14:paraId="07F444E9">
            <w:pPr>
              <w:pStyle w:val="52"/>
              <w:bidi w:val="0"/>
              <w:rPr>
                <w:rFonts w:hint="default"/>
              </w:rPr>
            </w:pPr>
            <w:r>
              <w:t>闪点</w:t>
            </w:r>
            <w:r>
              <w:rPr>
                <w:rFonts w:hint="default"/>
              </w:rPr>
              <w:t>(℃)</w:t>
            </w:r>
          </w:p>
        </w:tc>
        <w:tc>
          <w:tcPr>
            <w:tcW w:w="730" w:type="pct"/>
            <w:gridSpan w:val="3"/>
            <w:tcBorders>
              <w:top w:val="single" w:color="auto" w:sz="4" w:space="0"/>
              <w:left w:val="single" w:color="auto" w:sz="4" w:space="0"/>
              <w:bottom w:val="single" w:color="auto" w:sz="4" w:space="0"/>
              <w:right w:val="single" w:color="auto" w:sz="4" w:space="0"/>
            </w:tcBorders>
            <w:noWrap w:val="0"/>
            <w:vAlign w:val="center"/>
          </w:tcPr>
          <w:p w14:paraId="460A15BC">
            <w:pPr>
              <w:pStyle w:val="52"/>
              <w:bidi w:val="0"/>
              <w:rPr>
                <w:rFonts w:hint="default"/>
              </w:rPr>
            </w:pPr>
            <w:r>
              <w:rPr>
                <w:rFonts w:hint="default"/>
              </w:rPr>
              <w:t>/</w:t>
            </w:r>
          </w:p>
        </w:tc>
        <w:tc>
          <w:tcPr>
            <w:tcW w:w="1166" w:type="pct"/>
            <w:gridSpan w:val="3"/>
            <w:tcBorders>
              <w:top w:val="single" w:color="auto" w:sz="4" w:space="0"/>
              <w:left w:val="single" w:color="auto" w:sz="4" w:space="0"/>
              <w:bottom w:val="single" w:color="auto" w:sz="4" w:space="0"/>
              <w:right w:val="single" w:color="auto" w:sz="4" w:space="0"/>
            </w:tcBorders>
            <w:noWrap w:val="0"/>
            <w:vAlign w:val="center"/>
          </w:tcPr>
          <w:p w14:paraId="7E45292E">
            <w:pPr>
              <w:pStyle w:val="52"/>
              <w:bidi w:val="0"/>
              <w:rPr>
                <w:rFonts w:hint="default"/>
              </w:rPr>
            </w:pPr>
            <w:r>
              <w:t>爆炸上限（</w:t>
            </w:r>
            <w:r>
              <w:rPr>
                <w:rFonts w:hint="default"/>
              </w:rPr>
              <w:t>v%</w:t>
            </w:r>
            <w:r>
              <w:t>）</w:t>
            </w:r>
          </w:p>
        </w:tc>
        <w:tc>
          <w:tcPr>
            <w:tcW w:w="1746" w:type="pct"/>
            <w:gridSpan w:val="3"/>
            <w:tcBorders>
              <w:top w:val="single" w:color="auto" w:sz="4" w:space="0"/>
              <w:left w:val="single" w:color="auto" w:sz="4" w:space="0"/>
              <w:bottom w:val="single" w:color="auto" w:sz="4" w:space="0"/>
              <w:right w:val="single" w:color="auto" w:sz="4" w:space="0"/>
            </w:tcBorders>
            <w:noWrap w:val="0"/>
            <w:vAlign w:val="center"/>
          </w:tcPr>
          <w:p w14:paraId="6400093A">
            <w:pPr>
              <w:pStyle w:val="52"/>
              <w:bidi w:val="0"/>
              <w:rPr>
                <w:rFonts w:hint="default"/>
              </w:rPr>
            </w:pPr>
            <w:r>
              <w:rPr>
                <w:rFonts w:hint="default"/>
              </w:rPr>
              <w:t>/</w:t>
            </w:r>
          </w:p>
        </w:tc>
      </w:tr>
      <w:tr w14:paraId="2E0B1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09" w:type="pct"/>
            <w:vMerge w:val="continue"/>
            <w:tcBorders>
              <w:top w:val="single" w:color="auto" w:sz="4" w:space="0"/>
              <w:left w:val="single" w:color="auto" w:sz="4" w:space="0"/>
              <w:bottom w:val="single" w:color="auto" w:sz="4" w:space="0"/>
              <w:right w:val="single" w:color="auto" w:sz="4" w:space="0"/>
            </w:tcBorders>
            <w:noWrap w:val="0"/>
            <w:vAlign w:val="center"/>
          </w:tcPr>
          <w:p w14:paraId="5BE6C9B6">
            <w:pPr>
              <w:pStyle w:val="52"/>
              <w:bidi w:val="0"/>
              <w:rPr>
                <w:rFonts w:hint="default"/>
              </w:rPr>
            </w:pPr>
          </w:p>
        </w:tc>
        <w:tc>
          <w:tcPr>
            <w:tcW w:w="946" w:type="pct"/>
            <w:tcBorders>
              <w:top w:val="single" w:color="auto" w:sz="4" w:space="0"/>
              <w:left w:val="single" w:color="auto" w:sz="4" w:space="0"/>
              <w:bottom w:val="single" w:color="auto" w:sz="4" w:space="0"/>
              <w:right w:val="single" w:color="auto" w:sz="4" w:space="0"/>
            </w:tcBorders>
            <w:noWrap w:val="0"/>
            <w:vAlign w:val="center"/>
          </w:tcPr>
          <w:p w14:paraId="4BC7A3FD">
            <w:pPr>
              <w:pStyle w:val="52"/>
              <w:bidi w:val="0"/>
              <w:rPr>
                <w:rFonts w:hint="default"/>
              </w:rPr>
            </w:pPr>
            <w:r>
              <w:t>引燃温度</w:t>
            </w:r>
            <w:r>
              <w:rPr>
                <w:rFonts w:hint="default"/>
              </w:rPr>
              <w:t>(℃)</w:t>
            </w:r>
          </w:p>
        </w:tc>
        <w:tc>
          <w:tcPr>
            <w:tcW w:w="730" w:type="pct"/>
            <w:gridSpan w:val="3"/>
            <w:tcBorders>
              <w:top w:val="single" w:color="auto" w:sz="4" w:space="0"/>
              <w:left w:val="single" w:color="auto" w:sz="4" w:space="0"/>
              <w:bottom w:val="single" w:color="auto" w:sz="4" w:space="0"/>
              <w:right w:val="single" w:color="auto" w:sz="4" w:space="0"/>
            </w:tcBorders>
            <w:noWrap w:val="0"/>
            <w:vAlign w:val="center"/>
          </w:tcPr>
          <w:p w14:paraId="12027306">
            <w:pPr>
              <w:pStyle w:val="52"/>
              <w:bidi w:val="0"/>
              <w:rPr>
                <w:rFonts w:hint="default"/>
              </w:rPr>
            </w:pPr>
            <w:r>
              <w:rPr>
                <w:rFonts w:hint="default"/>
              </w:rPr>
              <w:t>/</w:t>
            </w:r>
          </w:p>
        </w:tc>
        <w:tc>
          <w:tcPr>
            <w:tcW w:w="1166" w:type="pct"/>
            <w:gridSpan w:val="3"/>
            <w:tcBorders>
              <w:top w:val="single" w:color="auto" w:sz="4" w:space="0"/>
              <w:left w:val="single" w:color="auto" w:sz="4" w:space="0"/>
              <w:bottom w:val="single" w:color="auto" w:sz="4" w:space="0"/>
              <w:right w:val="single" w:color="auto" w:sz="4" w:space="0"/>
            </w:tcBorders>
            <w:noWrap w:val="0"/>
            <w:vAlign w:val="center"/>
          </w:tcPr>
          <w:p w14:paraId="70DA0CC9">
            <w:pPr>
              <w:pStyle w:val="52"/>
              <w:bidi w:val="0"/>
              <w:rPr>
                <w:rFonts w:hint="default"/>
              </w:rPr>
            </w:pPr>
            <w:r>
              <w:t>爆炸下限（</w:t>
            </w:r>
            <w:r>
              <w:rPr>
                <w:rFonts w:hint="default"/>
              </w:rPr>
              <w:t>v%</w:t>
            </w:r>
            <w:r>
              <w:t>）</w:t>
            </w:r>
          </w:p>
        </w:tc>
        <w:tc>
          <w:tcPr>
            <w:tcW w:w="1746" w:type="pct"/>
            <w:gridSpan w:val="3"/>
            <w:tcBorders>
              <w:top w:val="single" w:color="auto" w:sz="4" w:space="0"/>
              <w:left w:val="single" w:color="auto" w:sz="4" w:space="0"/>
              <w:bottom w:val="single" w:color="auto" w:sz="4" w:space="0"/>
              <w:right w:val="single" w:color="auto" w:sz="4" w:space="0"/>
            </w:tcBorders>
            <w:noWrap w:val="0"/>
            <w:vAlign w:val="center"/>
          </w:tcPr>
          <w:p w14:paraId="07618E9A">
            <w:pPr>
              <w:pStyle w:val="52"/>
              <w:bidi w:val="0"/>
              <w:rPr>
                <w:rFonts w:hint="default"/>
              </w:rPr>
            </w:pPr>
            <w:r>
              <w:rPr>
                <w:rFonts w:hint="default"/>
              </w:rPr>
              <w:t>/</w:t>
            </w:r>
          </w:p>
        </w:tc>
      </w:tr>
      <w:tr w14:paraId="0F049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09" w:type="pct"/>
            <w:vMerge w:val="continue"/>
            <w:tcBorders>
              <w:top w:val="single" w:color="auto" w:sz="4" w:space="0"/>
              <w:left w:val="single" w:color="auto" w:sz="4" w:space="0"/>
              <w:bottom w:val="single" w:color="auto" w:sz="4" w:space="0"/>
              <w:right w:val="single" w:color="auto" w:sz="4" w:space="0"/>
            </w:tcBorders>
            <w:noWrap w:val="0"/>
            <w:vAlign w:val="center"/>
          </w:tcPr>
          <w:p w14:paraId="2FF44CC8">
            <w:pPr>
              <w:pStyle w:val="52"/>
              <w:bidi w:val="0"/>
              <w:rPr>
                <w:rFonts w:hint="default"/>
              </w:rPr>
            </w:pPr>
          </w:p>
        </w:tc>
        <w:tc>
          <w:tcPr>
            <w:tcW w:w="946" w:type="pct"/>
            <w:tcBorders>
              <w:top w:val="single" w:color="auto" w:sz="4" w:space="0"/>
              <w:left w:val="single" w:color="auto" w:sz="4" w:space="0"/>
              <w:bottom w:val="single" w:color="auto" w:sz="4" w:space="0"/>
              <w:right w:val="single" w:color="auto" w:sz="4" w:space="0"/>
            </w:tcBorders>
            <w:noWrap w:val="0"/>
            <w:vAlign w:val="center"/>
          </w:tcPr>
          <w:p w14:paraId="38923679">
            <w:pPr>
              <w:pStyle w:val="52"/>
              <w:bidi w:val="0"/>
              <w:rPr>
                <w:rFonts w:hint="default"/>
              </w:rPr>
            </w:pPr>
            <w:r>
              <w:t>建规火险分级</w:t>
            </w:r>
          </w:p>
        </w:tc>
        <w:tc>
          <w:tcPr>
            <w:tcW w:w="730" w:type="pct"/>
            <w:gridSpan w:val="3"/>
            <w:tcBorders>
              <w:top w:val="single" w:color="auto" w:sz="4" w:space="0"/>
              <w:left w:val="single" w:color="auto" w:sz="4" w:space="0"/>
              <w:bottom w:val="single" w:color="auto" w:sz="4" w:space="0"/>
              <w:right w:val="single" w:color="auto" w:sz="4" w:space="0"/>
            </w:tcBorders>
            <w:noWrap w:val="0"/>
            <w:vAlign w:val="center"/>
          </w:tcPr>
          <w:p w14:paraId="38A65B94">
            <w:pPr>
              <w:pStyle w:val="52"/>
              <w:bidi w:val="0"/>
              <w:rPr>
                <w:rFonts w:hint="default"/>
              </w:rPr>
            </w:pPr>
            <w:r>
              <w:t>戊</w:t>
            </w:r>
          </w:p>
        </w:tc>
        <w:tc>
          <w:tcPr>
            <w:tcW w:w="627" w:type="pct"/>
            <w:tcBorders>
              <w:top w:val="single" w:color="auto" w:sz="4" w:space="0"/>
              <w:left w:val="single" w:color="auto" w:sz="4" w:space="0"/>
              <w:bottom w:val="single" w:color="auto" w:sz="4" w:space="0"/>
              <w:right w:val="single" w:color="auto" w:sz="4" w:space="0"/>
            </w:tcBorders>
            <w:noWrap w:val="0"/>
            <w:vAlign w:val="center"/>
          </w:tcPr>
          <w:p w14:paraId="55C04AD3">
            <w:pPr>
              <w:pStyle w:val="52"/>
              <w:bidi w:val="0"/>
              <w:rPr>
                <w:rFonts w:hint="default"/>
              </w:rPr>
            </w:pPr>
            <w:r>
              <w:t>稳定性</w:t>
            </w:r>
          </w:p>
        </w:tc>
        <w:tc>
          <w:tcPr>
            <w:tcW w:w="539" w:type="pct"/>
            <w:gridSpan w:val="2"/>
            <w:tcBorders>
              <w:top w:val="single" w:color="auto" w:sz="4" w:space="0"/>
              <w:left w:val="single" w:color="auto" w:sz="4" w:space="0"/>
              <w:bottom w:val="single" w:color="auto" w:sz="4" w:space="0"/>
              <w:right w:val="single" w:color="auto" w:sz="4" w:space="0"/>
            </w:tcBorders>
            <w:noWrap w:val="0"/>
            <w:vAlign w:val="center"/>
          </w:tcPr>
          <w:p w14:paraId="454B0D7B">
            <w:pPr>
              <w:pStyle w:val="52"/>
              <w:bidi w:val="0"/>
              <w:rPr>
                <w:rFonts w:hint="default"/>
              </w:rPr>
            </w:pPr>
            <w:r>
              <w:t>稳定</w:t>
            </w:r>
          </w:p>
        </w:tc>
        <w:tc>
          <w:tcPr>
            <w:tcW w:w="931" w:type="pct"/>
            <w:tcBorders>
              <w:top w:val="single" w:color="auto" w:sz="4" w:space="0"/>
              <w:left w:val="single" w:color="auto" w:sz="4" w:space="0"/>
              <w:bottom w:val="single" w:color="auto" w:sz="4" w:space="0"/>
              <w:right w:val="single" w:color="auto" w:sz="4" w:space="0"/>
            </w:tcBorders>
            <w:noWrap w:val="0"/>
            <w:vAlign w:val="center"/>
          </w:tcPr>
          <w:p w14:paraId="04E2145D">
            <w:pPr>
              <w:pStyle w:val="52"/>
              <w:bidi w:val="0"/>
              <w:rPr>
                <w:rFonts w:hint="default"/>
              </w:rPr>
            </w:pPr>
            <w:r>
              <w:t>聚合危害</w:t>
            </w:r>
          </w:p>
        </w:tc>
        <w:tc>
          <w:tcPr>
            <w:tcW w:w="815" w:type="pct"/>
            <w:gridSpan w:val="2"/>
            <w:tcBorders>
              <w:top w:val="single" w:color="auto" w:sz="4" w:space="0"/>
              <w:left w:val="single" w:color="auto" w:sz="4" w:space="0"/>
              <w:bottom w:val="single" w:color="auto" w:sz="4" w:space="0"/>
              <w:right w:val="single" w:color="auto" w:sz="4" w:space="0"/>
            </w:tcBorders>
            <w:noWrap w:val="0"/>
            <w:vAlign w:val="center"/>
          </w:tcPr>
          <w:p w14:paraId="0D56B2D3">
            <w:pPr>
              <w:pStyle w:val="52"/>
              <w:bidi w:val="0"/>
              <w:rPr>
                <w:rFonts w:hint="default"/>
              </w:rPr>
            </w:pPr>
            <w:r>
              <w:t>不聚合</w:t>
            </w:r>
          </w:p>
        </w:tc>
      </w:tr>
      <w:tr w14:paraId="5F274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09" w:type="pct"/>
            <w:vMerge w:val="continue"/>
            <w:tcBorders>
              <w:top w:val="single" w:color="auto" w:sz="4" w:space="0"/>
              <w:left w:val="single" w:color="auto" w:sz="4" w:space="0"/>
              <w:bottom w:val="single" w:color="auto" w:sz="4" w:space="0"/>
              <w:right w:val="single" w:color="auto" w:sz="4" w:space="0"/>
            </w:tcBorders>
            <w:noWrap w:val="0"/>
            <w:vAlign w:val="center"/>
          </w:tcPr>
          <w:p w14:paraId="386A26BE">
            <w:pPr>
              <w:pStyle w:val="52"/>
              <w:bidi w:val="0"/>
              <w:rPr>
                <w:rFonts w:hint="default"/>
              </w:rPr>
            </w:pPr>
          </w:p>
        </w:tc>
        <w:tc>
          <w:tcPr>
            <w:tcW w:w="946" w:type="pct"/>
            <w:tcBorders>
              <w:top w:val="single" w:color="auto" w:sz="4" w:space="0"/>
              <w:left w:val="single" w:color="auto" w:sz="4" w:space="0"/>
              <w:bottom w:val="single" w:color="auto" w:sz="4" w:space="0"/>
              <w:right w:val="single" w:color="auto" w:sz="4" w:space="0"/>
            </w:tcBorders>
            <w:noWrap w:val="0"/>
            <w:vAlign w:val="center"/>
          </w:tcPr>
          <w:p w14:paraId="7E75A9F7">
            <w:pPr>
              <w:pStyle w:val="52"/>
              <w:bidi w:val="0"/>
              <w:rPr>
                <w:rFonts w:hint="default"/>
              </w:rPr>
            </w:pPr>
            <w:r>
              <w:t>禁忌物</w:t>
            </w:r>
          </w:p>
        </w:tc>
        <w:tc>
          <w:tcPr>
            <w:tcW w:w="3643" w:type="pct"/>
            <w:gridSpan w:val="9"/>
            <w:tcBorders>
              <w:top w:val="single" w:color="auto" w:sz="4" w:space="0"/>
              <w:left w:val="single" w:color="auto" w:sz="4" w:space="0"/>
              <w:bottom w:val="single" w:color="auto" w:sz="4" w:space="0"/>
              <w:right w:val="single" w:color="auto" w:sz="4" w:space="0"/>
            </w:tcBorders>
            <w:noWrap w:val="0"/>
            <w:vAlign w:val="center"/>
          </w:tcPr>
          <w:p w14:paraId="56938726">
            <w:pPr>
              <w:pStyle w:val="52"/>
              <w:bidi w:val="0"/>
              <w:rPr>
                <w:rFonts w:hint="default"/>
              </w:rPr>
            </w:pPr>
            <w:r>
              <w:t>强酸、易燃或可燃物、二氧化碳、过氧化物、水</w:t>
            </w:r>
          </w:p>
        </w:tc>
      </w:tr>
      <w:tr w14:paraId="4397E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09" w:type="pct"/>
            <w:vMerge w:val="continue"/>
            <w:tcBorders>
              <w:top w:val="single" w:color="auto" w:sz="4" w:space="0"/>
              <w:left w:val="single" w:color="auto" w:sz="4" w:space="0"/>
              <w:bottom w:val="single" w:color="auto" w:sz="4" w:space="0"/>
              <w:right w:val="single" w:color="auto" w:sz="4" w:space="0"/>
            </w:tcBorders>
            <w:noWrap w:val="0"/>
            <w:vAlign w:val="center"/>
          </w:tcPr>
          <w:p w14:paraId="2A52664C">
            <w:pPr>
              <w:pStyle w:val="52"/>
              <w:bidi w:val="0"/>
              <w:rPr>
                <w:rFonts w:hint="default"/>
              </w:rPr>
            </w:pPr>
          </w:p>
        </w:tc>
        <w:tc>
          <w:tcPr>
            <w:tcW w:w="946" w:type="pct"/>
            <w:tcBorders>
              <w:top w:val="single" w:color="auto" w:sz="4" w:space="0"/>
              <w:left w:val="single" w:color="auto" w:sz="4" w:space="0"/>
              <w:bottom w:val="single" w:color="auto" w:sz="4" w:space="0"/>
              <w:right w:val="single" w:color="auto" w:sz="4" w:space="0"/>
            </w:tcBorders>
            <w:noWrap w:val="0"/>
            <w:vAlign w:val="center"/>
          </w:tcPr>
          <w:p w14:paraId="03D611C4">
            <w:pPr>
              <w:pStyle w:val="52"/>
              <w:bidi w:val="0"/>
              <w:rPr>
                <w:rFonts w:hint="default"/>
              </w:rPr>
            </w:pPr>
            <w:r>
              <w:t>危险特性</w:t>
            </w:r>
          </w:p>
        </w:tc>
        <w:tc>
          <w:tcPr>
            <w:tcW w:w="3643" w:type="pct"/>
            <w:gridSpan w:val="9"/>
            <w:tcBorders>
              <w:top w:val="single" w:color="auto" w:sz="4" w:space="0"/>
              <w:left w:val="single" w:color="auto" w:sz="4" w:space="0"/>
              <w:bottom w:val="single" w:color="auto" w:sz="4" w:space="0"/>
              <w:right w:val="single" w:color="auto" w:sz="4" w:space="0"/>
            </w:tcBorders>
            <w:noWrap w:val="0"/>
            <w:vAlign w:val="center"/>
          </w:tcPr>
          <w:p w14:paraId="5F77BA85">
            <w:pPr>
              <w:pStyle w:val="52"/>
              <w:bidi w:val="0"/>
              <w:rPr>
                <w:rFonts w:hint="default"/>
              </w:rPr>
            </w:pPr>
            <w:r>
              <w:t>与酸发生中和反应并放热。遇潮时对铝、锌和锡有腐蚀性，并放出易燃易爆的氢气。本品不会燃烧，遇水和水蒸气大量放热，形成腐蚀性溶液。具有强腐蚀性。</w:t>
            </w:r>
          </w:p>
        </w:tc>
      </w:tr>
    </w:tbl>
    <w:p w14:paraId="5C108CA2">
      <w:pPr>
        <w:pStyle w:val="3"/>
        <w:bidi w:val="0"/>
        <w:rPr>
          <w:rFonts w:hint="eastAsia" w:eastAsia="宋体"/>
          <w:lang w:val="en-US" w:eastAsia="zh-CN"/>
        </w:rPr>
      </w:pPr>
      <w:bookmarkStart w:id="295" w:name="_Toc16864"/>
      <w:r>
        <w:t>8.</w:t>
      </w:r>
      <w:r>
        <w:rPr>
          <w:rFonts w:hint="eastAsia"/>
          <w:lang w:val="en-US" w:eastAsia="zh-CN"/>
        </w:rPr>
        <w:t>3</w:t>
      </w:r>
      <w:r>
        <w:rPr>
          <w:rFonts w:hint="eastAsia"/>
        </w:rPr>
        <w:t>环境敏感目标</w:t>
      </w:r>
      <w:r>
        <w:rPr>
          <w:rFonts w:hint="eastAsia"/>
          <w:lang w:val="en-US" w:eastAsia="zh-CN"/>
        </w:rPr>
        <w:t>概况</w:t>
      </w:r>
      <w:bookmarkEnd w:id="295"/>
    </w:p>
    <w:p w14:paraId="01EFF773">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根据现场踏勘，本项目环境敏感目标如下表所示：</w:t>
      </w:r>
    </w:p>
    <w:p w14:paraId="6DF4AD06">
      <w:pPr>
        <w:pStyle w:val="6"/>
        <w:bidi w:val="0"/>
      </w:pPr>
      <w:r>
        <w:rPr>
          <w:rFonts w:hint="eastAsia"/>
        </w:rPr>
        <w:t>表</w:t>
      </w:r>
      <w:r>
        <w:t>8.</w:t>
      </w:r>
      <w:r>
        <w:rPr>
          <w:rFonts w:hint="eastAsia"/>
          <w:lang w:val="en-US" w:eastAsia="zh-CN"/>
        </w:rPr>
        <w:t>3</w:t>
      </w:r>
      <w:r>
        <w:t>-</w:t>
      </w:r>
      <w:r>
        <w:rPr>
          <w:rFonts w:hint="eastAsia"/>
          <w:lang w:val="en-US" w:eastAsia="zh-CN"/>
        </w:rPr>
        <w:t>1</w:t>
      </w:r>
      <w:r>
        <w:t xml:space="preserve">    项目环境风险敏感目标一览表</w:t>
      </w:r>
    </w:p>
    <w:tbl>
      <w:tblPr>
        <w:tblStyle w:val="41"/>
        <w:tblW w:w="4999" w:type="pct"/>
        <w:tblInd w:w="0" w:type="dxa"/>
        <w:tblLayout w:type="fixed"/>
        <w:tblCellMar>
          <w:top w:w="0" w:type="dxa"/>
          <w:left w:w="108" w:type="dxa"/>
          <w:bottom w:w="0" w:type="dxa"/>
          <w:right w:w="108" w:type="dxa"/>
        </w:tblCellMar>
      </w:tblPr>
      <w:tblGrid>
        <w:gridCol w:w="649"/>
        <w:gridCol w:w="710"/>
        <w:gridCol w:w="2243"/>
        <w:gridCol w:w="1498"/>
        <w:gridCol w:w="239"/>
        <w:gridCol w:w="960"/>
        <w:gridCol w:w="1318"/>
        <w:gridCol w:w="904"/>
      </w:tblGrid>
      <w:tr w14:paraId="7E0466AA">
        <w:tblPrEx>
          <w:tblCellMar>
            <w:top w:w="0" w:type="dxa"/>
            <w:left w:w="108" w:type="dxa"/>
            <w:bottom w:w="0" w:type="dxa"/>
            <w:right w:w="108" w:type="dxa"/>
          </w:tblCellMar>
        </w:tblPrEx>
        <w:trPr>
          <w:trHeight w:val="300" w:hRule="atLeast"/>
        </w:trPr>
        <w:tc>
          <w:tcPr>
            <w:tcW w:w="649" w:type="dxa"/>
            <w:tcBorders>
              <w:top w:val="single" w:color="auto" w:sz="4" w:space="0"/>
              <w:left w:val="single" w:color="auto" w:sz="4" w:space="0"/>
              <w:bottom w:val="single" w:color="auto" w:sz="4" w:space="0"/>
              <w:right w:val="single" w:color="auto" w:sz="4" w:space="0"/>
            </w:tcBorders>
            <w:vAlign w:val="center"/>
          </w:tcPr>
          <w:p w14:paraId="5E9EAC80">
            <w:pPr>
              <w:pStyle w:val="52"/>
              <w:bidi w:val="0"/>
            </w:pPr>
            <w:r>
              <w:t>类别</w:t>
            </w:r>
          </w:p>
        </w:tc>
        <w:tc>
          <w:tcPr>
            <w:tcW w:w="7872" w:type="dxa"/>
            <w:gridSpan w:val="7"/>
            <w:tcBorders>
              <w:top w:val="single" w:color="auto" w:sz="4" w:space="0"/>
              <w:left w:val="nil"/>
              <w:bottom w:val="single" w:color="auto" w:sz="4" w:space="0"/>
              <w:right w:val="single" w:color="auto" w:sz="4" w:space="0"/>
            </w:tcBorders>
            <w:vAlign w:val="center"/>
          </w:tcPr>
          <w:p w14:paraId="084C9BDF">
            <w:pPr>
              <w:pStyle w:val="52"/>
              <w:bidi w:val="0"/>
            </w:pPr>
            <w:r>
              <w:t>环境敏感特征</w:t>
            </w:r>
          </w:p>
        </w:tc>
      </w:tr>
      <w:tr w14:paraId="2FB66476">
        <w:tblPrEx>
          <w:tblCellMar>
            <w:top w:w="0" w:type="dxa"/>
            <w:left w:w="108" w:type="dxa"/>
            <w:bottom w:w="0" w:type="dxa"/>
            <w:right w:w="108" w:type="dxa"/>
          </w:tblCellMar>
        </w:tblPrEx>
        <w:trPr>
          <w:trHeight w:val="300" w:hRule="atLeast"/>
        </w:trPr>
        <w:tc>
          <w:tcPr>
            <w:tcW w:w="649" w:type="dxa"/>
            <w:vMerge w:val="restart"/>
            <w:tcBorders>
              <w:top w:val="nil"/>
              <w:left w:val="single" w:color="auto" w:sz="4" w:space="0"/>
              <w:bottom w:val="single" w:color="auto" w:sz="4" w:space="0"/>
              <w:right w:val="single" w:color="auto" w:sz="4" w:space="0"/>
            </w:tcBorders>
            <w:vAlign w:val="center"/>
          </w:tcPr>
          <w:p w14:paraId="09E391DB">
            <w:pPr>
              <w:pStyle w:val="52"/>
              <w:bidi w:val="0"/>
            </w:pPr>
            <w:r>
              <w:t>环境空气</w:t>
            </w:r>
          </w:p>
        </w:tc>
        <w:tc>
          <w:tcPr>
            <w:tcW w:w="7872" w:type="dxa"/>
            <w:gridSpan w:val="7"/>
            <w:tcBorders>
              <w:top w:val="single" w:color="auto" w:sz="4" w:space="0"/>
              <w:left w:val="nil"/>
              <w:bottom w:val="single" w:color="auto" w:sz="4" w:space="0"/>
              <w:right w:val="single" w:color="auto" w:sz="4" w:space="0"/>
            </w:tcBorders>
            <w:vAlign w:val="center"/>
          </w:tcPr>
          <w:p w14:paraId="7A5F290A">
            <w:pPr>
              <w:pStyle w:val="52"/>
              <w:bidi w:val="0"/>
              <w:rPr>
                <w:rFonts w:hint="default" w:eastAsia="宋体"/>
                <w:lang w:val="en-US" w:eastAsia="zh-CN"/>
              </w:rPr>
            </w:pPr>
            <w:r>
              <w:rPr>
                <w:rFonts w:hint="eastAsia"/>
                <w:lang w:val="en-US" w:eastAsia="zh-CN"/>
              </w:rPr>
              <w:t>边长5km矩形区域</w:t>
            </w:r>
          </w:p>
        </w:tc>
      </w:tr>
      <w:tr w14:paraId="38F8C165">
        <w:tblPrEx>
          <w:tblCellMar>
            <w:top w:w="0" w:type="dxa"/>
            <w:left w:w="108" w:type="dxa"/>
            <w:bottom w:w="0" w:type="dxa"/>
            <w:right w:w="108" w:type="dxa"/>
          </w:tblCellMar>
        </w:tblPrEx>
        <w:trPr>
          <w:trHeight w:val="300" w:hRule="atLeast"/>
        </w:trPr>
        <w:tc>
          <w:tcPr>
            <w:tcW w:w="649" w:type="dxa"/>
            <w:vMerge w:val="continue"/>
            <w:tcBorders>
              <w:top w:val="nil"/>
              <w:left w:val="single" w:color="auto" w:sz="4" w:space="0"/>
              <w:bottom w:val="single" w:color="auto" w:sz="4" w:space="0"/>
              <w:right w:val="single" w:color="auto" w:sz="4" w:space="0"/>
            </w:tcBorders>
            <w:vAlign w:val="center"/>
          </w:tcPr>
          <w:p w14:paraId="0338D837">
            <w:pPr>
              <w:pStyle w:val="52"/>
              <w:bidi w:val="0"/>
            </w:pPr>
          </w:p>
        </w:tc>
        <w:tc>
          <w:tcPr>
            <w:tcW w:w="710" w:type="dxa"/>
            <w:tcBorders>
              <w:top w:val="single" w:color="auto" w:sz="4" w:space="0"/>
              <w:left w:val="nil"/>
              <w:bottom w:val="single" w:color="auto" w:sz="4" w:space="0"/>
              <w:right w:val="single" w:color="auto" w:sz="4" w:space="0"/>
            </w:tcBorders>
            <w:vAlign w:val="center"/>
          </w:tcPr>
          <w:p w14:paraId="36CB6530">
            <w:pPr>
              <w:pStyle w:val="52"/>
              <w:bidi w:val="0"/>
            </w:pPr>
            <w:r>
              <w:t>序号</w:t>
            </w:r>
          </w:p>
        </w:tc>
        <w:tc>
          <w:tcPr>
            <w:tcW w:w="2243" w:type="dxa"/>
            <w:tcBorders>
              <w:top w:val="single" w:color="auto" w:sz="4" w:space="0"/>
              <w:left w:val="nil"/>
              <w:bottom w:val="single" w:color="auto" w:sz="4" w:space="0"/>
              <w:right w:val="single" w:color="auto" w:sz="4" w:space="0"/>
            </w:tcBorders>
            <w:vAlign w:val="center"/>
          </w:tcPr>
          <w:p w14:paraId="33F5A68D">
            <w:pPr>
              <w:pStyle w:val="52"/>
              <w:bidi w:val="0"/>
            </w:pPr>
            <w:r>
              <w:t>敏感目标名称</w:t>
            </w:r>
          </w:p>
        </w:tc>
        <w:tc>
          <w:tcPr>
            <w:tcW w:w="1498" w:type="dxa"/>
            <w:tcBorders>
              <w:top w:val="single" w:color="auto" w:sz="4" w:space="0"/>
              <w:left w:val="nil"/>
              <w:bottom w:val="single" w:color="auto" w:sz="4" w:space="0"/>
              <w:right w:val="single" w:color="auto" w:sz="4" w:space="0"/>
            </w:tcBorders>
            <w:vAlign w:val="center"/>
          </w:tcPr>
          <w:p w14:paraId="72033DF8">
            <w:pPr>
              <w:pStyle w:val="52"/>
              <w:bidi w:val="0"/>
            </w:pPr>
            <w:r>
              <w:t>相对方位</w:t>
            </w:r>
          </w:p>
        </w:tc>
        <w:tc>
          <w:tcPr>
            <w:tcW w:w="1199" w:type="dxa"/>
            <w:gridSpan w:val="2"/>
            <w:tcBorders>
              <w:top w:val="single" w:color="auto" w:sz="4" w:space="0"/>
              <w:left w:val="nil"/>
              <w:bottom w:val="single" w:color="auto" w:sz="4" w:space="0"/>
              <w:right w:val="single" w:color="auto" w:sz="4" w:space="0"/>
            </w:tcBorders>
            <w:vAlign w:val="center"/>
          </w:tcPr>
          <w:p w14:paraId="016D4FA1">
            <w:pPr>
              <w:pStyle w:val="52"/>
              <w:bidi w:val="0"/>
            </w:pPr>
            <w:r>
              <w:t>距离/m</w:t>
            </w:r>
          </w:p>
        </w:tc>
        <w:tc>
          <w:tcPr>
            <w:tcW w:w="1318" w:type="dxa"/>
            <w:tcBorders>
              <w:top w:val="single" w:color="auto" w:sz="4" w:space="0"/>
              <w:left w:val="nil"/>
              <w:bottom w:val="single" w:color="auto" w:sz="4" w:space="0"/>
              <w:right w:val="single" w:color="auto" w:sz="4" w:space="0"/>
            </w:tcBorders>
            <w:vAlign w:val="center"/>
          </w:tcPr>
          <w:p w14:paraId="599482C4">
            <w:pPr>
              <w:pStyle w:val="52"/>
              <w:bidi w:val="0"/>
            </w:pPr>
            <w:r>
              <w:t>属性</w:t>
            </w:r>
          </w:p>
        </w:tc>
        <w:tc>
          <w:tcPr>
            <w:tcW w:w="904" w:type="dxa"/>
            <w:tcBorders>
              <w:top w:val="single" w:color="auto" w:sz="4" w:space="0"/>
              <w:left w:val="nil"/>
              <w:bottom w:val="single" w:color="auto" w:sz="4" w:space="0"/>
              <w:right w:val="single" w:color="auto" w:sz="4" w:space="0"/>
            </w:tcBorders>
            <w:vAlign w:val="center"/>
          </w:tcPr>
          <w:p w14:paraId="31698AA6">
            <w:pPr>
              <w:pStyle w:val="52"/>
              <w:bidi w:val="0"/>
            </w:pPr>
            <w:r>
              <w:t>人口数</w:t>
            </w:r>
          </w:p>
        </w:tc>
      </w:tr>
      <w:tr w14:paraId="508FE12E">
        <w:tblPrEx>
          <w:tblCellMar>
            <w:top w:w="0" w:type="dxa"/>
            <w:left w:w="108" w:type="dxa"/>
            <w:bottom w:w="0" w:type="dxa"/>
            <w:right w:w="108" w:type="dxa"/>
          </w:tblCellMar>
        </w:tblPrEx>
        <w:trPr>
          <w:trHeight w:val="300" w:hRule="atLeast"/>
        </w:trPr>
        <w:tc>
          <w:tcPr>
            <w:tcW w:w="649" w:type="dxa"/>
            <w:vMerge w:val="continue"/>
            <w:tcBorders>
              <w:top w:val="nil"/>
              <w:left w:val="single" w:color="auto" w:sz="4" w:space="0"/>
              <w:bottom w:val="single" w:color="auto" w:sz="4" w:space="0"/>
              <w:right w:val="single" w:color="auto" w:sz="4" w:space="0"/>
            </w:tcBorders>
            <w:vAlign w:val="center"/>
          </w:tcPr>
          <w:p w14:paraId="3A201749">
            <w:pPr>
              <w:pStyle w:val="52"/>
              <w:bidi w:val="0"/>
            </w:pPr>
          </w:p>
        </w:tc>
        <w:tc>
          <w:tcPr>
            <w:tcW w:w="710" w:type="dxa"/>
            <w:tcBorders>
              <w:top w:val="single" w:color="auto" w:sz="4" w:space="0"/>
              <w:left w:val="nil"/>
              <w:bottom w:val="single" w:color="auto" w:sz="4" w:space="0"/>
              <w:right w:val="single" w:color="auto" w:sz="4" w:space="0"/>
            </w:tcBorders>
            <w:vAlign w:val="center"/>
          </w:tcPr>
          <w:p w14:paraId="7C2A0BF4">
            <w:pPr>
              <w:pStyle w:val="52"/>
              <w:bidi w:val="0"/>
            </w:pPr>
            <w:r>
              <w:t>1</w:t>
            </w:r>
          </w:p>
        </w:tc>
        <w:tc>
          <w:tcPr>
            <w:tcW w:w="2243" w:type="dxa"/>
            <w:tcBorders>
              <w:top w:val="single" w:color="auto" w:sz="4" w:space="0"/>
              <w:left w:val="nil"/>
              <w:bottom w:val="single" w:color="auto" w:sz="4" w:space="0"/>
              <w:right w:val="single" w:color="auto" w:sz="4" w:space="0"/>
            </w:tcBorders>
            <w:shd w:val="clear" w:color="auto" w:fill="auto"/>
            <w:noWrap/>
            <w:vAlign w:val="center"/>
          </w:tcPr>
          <w:p w14:paraId="741997EF">
            <w:pPr>
              <w:jc w:val="center"/>
              <w:rPr>
                <w:rFonts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rPr>
              <w:t>郑家湾</w:t>
            </w:r>
          </w:p>
        </w:tc>
        <w:tc>
          <w:tcPr>
            <w:tcW w:w="1498" w:type="dxa"/>
            <w:tcBorders>
              <w:top w:val="single" w:color="auto" w:sz="4" w:space="0"/>
              <w:left w:val="nil"/>
              <w:bottom w:val="single" w:color="auto" w:sz="4" w:space="0"/>
              <w:right w:val="single" w:color="auto" w:sz="4" w:space="0"/>
            </w:tcBorders>
            <w:shd w:val="clear" w:color="auto" w:fill="auto"/>
            <w:vAlign w:val="center"/>
          </w:tcPr>
          <w:p w14:paraId="14E69540">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lang w:val="en-US" w:eastAsia="zh-CN"/>
              </w:rPr>
              <w:t>NW</w:t>
            </w:r>
          </w:p>
        </w:tc>
        <w:tc>
          <w:tcPr>
            <w:tcW w:w="1199" w:type="dxa"/>
            <w:gridSpan w:val="2"/>
            <w:tcBorders>
              <w:top w:val="single" w:color="auto" w:sz="4" w:space="0"/>
              <w:left w:val="nil"/>
              <w:bottom w:val="single" w:color="auto" w:sz="4" w:space="0"/>
              <w:right w:val="single" w:color="auto" w:sz="4" w:space="0"/>
            </w:tcBorders>
            <w:shd w:val="clear" w:color="auto" w:fill="auto"/>
            <w:vAlign w:val="center"/>
          </w:tcPr>
          <w:p w14:paraId="6CF8819A">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lang w:val="en-US" w:eastAsia="zh-CN"/>
              </w:rPr>
              <w:t>2809</w:t>
            </w:r>
          </w:p>
        </w:tc>
        <w:tc>
          <w:tcPr>
            <w:tcW w:w="1318" w:type="dxa"/>
            <w:tcBorders>
              <w:top w:val="single" w:color="auto" w:sz="4" w:space="0"/>
              <w:left w:val="nil"/>
              <w:bottom w:val="single" w:color="auto" w:sz="4" w:space="0"/>
              <w:right w:val="single" w:color="auto" w:sz="4" w:space="0"/>
            </w:tcBorders>
            <w:vAlign w:val="center"/>
          </w:tcPr>
          <w:p w14:paraId="1490EA7B">
            <w:pPr>
              <w:pStyle w:val="52"/>
              <w:bidi w:val="0"/>
              <w:rPr>
                <w:rFonts w:hint="eastAsia" w:eastAsia="宋体"/>
                <w:lang w:val="en-US" w:eastAsia="zh-CN"/>
              </w:rPr>
            </w:pPr>
            <w:r>
              <w:rPr>
                <w:rFonts w:hint="eastAsia"/>
                <w:lang w:val="en-US" w:eastAsia="zh-CN"/>
              </w:rPr>
              <w:t>居住区</w:t>
            </w:r>
          </w:p>
        </w:tc>
        <w:tc>
          <w:tcPr>
            <w:tcW w:w="904" w:type="dxa"/>
            <w:vMerge w:val="restart"/>
            <w:tcBorders>
              <w:top w:val="single" w:color="auto" w:sz="4" w:space="0"/>
              <w:left w:val="nil"/>
              <w:right w:val="single" w:color="auto" w:sz="4" w:space="0"/>
            </w:tcBorders>
            <w:vAlign w:val="center"/>
          </w:tcPr>
          <w:p w14:paraId="16803C24">
            <w:pPr>
              <w:pStyle w:val="52"/>
              <w:bidi w:val="0"/>
              <w:rPr>
                <w:rFonts w:hint="default" w:eastAsia="宋体"/>
                <w:lang w:val="en-US" w:eastAsia="zh-CN"/>
              </w:rPr>
            </w:pPr>
            <w:r>
              <w:rPr>
                <w:rFonts w:hint="eastAsia"/>
                <w:lang w:val="en-US" w:eastAsia="zh-CN"/>
              </w:rPr>
              <w:t>1200</w:t>
            </w:r>
          </w:p>
        </w:tc>
      </w:tr>
      <w:tr w14:paraId="606AECD3">
        <w:tblPrEx>
          <w:tblCellMar>
            <w:top w:w="0" w:type="dxa"/>
            <w:left w:w="108" w:type="dxa"/>
            <w:bottom w:w="0" w:type="dxa"/>
            <w:right w:w="108" w:type="dxa"/>
          </w:tblCellMar>
        </w:tblPrEx>
        <w:trPr>
          <w:trHeight w:val="300" w:hRule="atLeast"/>
        </w:trPr>
        <w:tc>
          <w:tcPr>
            <w:tcW w:w="649" w:type="dxa"/>
            <w:vMerge w:val="continue"/>
            <w:tcBorders>
              <w:top w:val="nil"/>
              <w:left w:val="single" w:color="auto" w:sz="4" w:space="0"/>
              <w:bottom w:val="single" w:color="auto" w:sz="4" w:space="0"/>
              <w:right w:val="single" w:color="auto" w:sz="4" w:space="0"/>
            </w:tcBorders>
            <w:vAlign w:val="center"/>
          </w:tcPr>
          <w:p w14:paraId="3ABE9314">
            <w:pPr>
              <w:pStyle w:val="52"/>
              <w:bidi w:val="0"/>
            </w:pPr>
          </w:p>
        </w:tc>
        <w:tc>
          <w:tcPr>
            <w:tcW w:w="710" w:type="dxa"/>
            <w:tcBorders>
              <w:top w:val="single" w:color="auto" w:sz="4" w:space="0"/>
              <w:left w:val="nil"/>
              <w:bottom w:val="single" w:color="auto" w:sz="4" w:space="0"/>
              <w:right w:val="single" w:color="auto" w:sz="4" w:space="0"/>
            </w:tcBorders>
            <w:vAlign w:val="center"/>
          </w:tcPr>
          <w:p w14:paraId="3C1D3949">
            <w:pPr>
              <w:pStyle w:val="52"/>
              <w:bidi w:val="0"/>
            </w:pPr>
            <w:r>
              <w:t>2</w:t>
            </w:r>
          </w:p>
        </w:tc>
        <w:tc>
          <w:tcPr>
            <w:tcW w:w="2243" w:type="dxa"/>
            <w:tcBorders>
              <w:top w:val="single" w:color="auto" w:sz="4" w:space="0"/>
              <w:left w:val="nil"/>
              <w:bottom w:val="single" w:color="auto" w:sz="4" w:space="0"/>
              <w:right w:val="single" w:color="auto" w:sz="4" w:space="0"/>
            </w:tcBorders>
            <w:shd w:val="clear" w:color="auto" w:fill="auto"/>
            <w:noWrap/>
            <w:vAlign w:val="center"/>
          </w:tcPr>
          <w:p w14:paraId="482B8940">
            <w:pPr>
              <w:jc w:val="center"/>
              <w:rPr>
                <w:rFonts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rPr>
              <w:t>团湖安置区</w:t>
            </w:r>
          </w:p>
        </w:tc>
        <w:tc>
          <w:tcPr>
            <w:tcW w:w="1498" w:type="dxa"/>
            <w:tcBorders>
              <w:top w:val="single" w:color="auto" w:sz="4" w:space="0"/>
              <w:left w:val="nil"/>
              <w:bottom w:val="single" w:color="auto" w:sz="4" w:space="0"/>
              <w:right w:val="single" w:color="auto" w:sz="4" w:space="0"/>
            </w:tcBorders>
            <w:shd w:val="clear" w:color="auto" w:fill="auto"/>
            <w:vAlign w:val="center"/>
          </w:tcPr>
          <w:p w14:paraId="493D2D06">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lang w:val="en-US" w:eastAsia="zh-CN"/>
              </w:rPr>
              <w:t>NW</w:t>
            </w:r>
          </w:p>
        </w:tc>
        <w:tc>
          <w:tcPr>
            <w:tcW w:w="1199" w:type="dxa"/>
            <w:gridSpan w:val="2"/>
            <w:tcBorders>
              <w:top w:val="single" w:color="auto" w:sz="4" w:space="0"/>
              <w:left w:val="nil"/>
              <w:bottom w:val="single" w:color="auto" w:sz="4" w:space="0"/>
              <w:right w:val="single" w:color="auto" w:sz="4" w:space="0"/>
            </w:tcBorders>
            <w:shd w:val="clear" w:color="auto" w:fill="auto"/>
            <w:vAlign w:val="center"/>
          </w:tcPr>
          <w:p w14:paraId="4AF511AD">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lang w:val="en-US" w:eastAsia="zh-CN"/>
              </w:rPr>
              <w:t>2221</w:t>
            </w:r>
          </w:p>
        </w:tc>
        <w:tc>
          <w:tcPr>
            <w:tcW w:w="1318" w:type="dxa"/>
            <w:tcBorders>
              <w:top w:val="single" w:color="auto" w:sz="4" w:space="0"/>
              <w:left w:val="nil"/>
              <w:bottom w:val="single" w:color="auto" w:sz="4" w:space="0"/>
              <w:right w:val="single" w:color="auto" w:sz="4" w:space="0"/>
            </w:tcBorders>
            <w:vAlign w:val="center"/>
          </w:tcPr>
          <w:p w14:paraId="36B3F32A">
            <w:pPr>
              <w:pStyle w:val="52"/>
              <w:bidi w:val="0"/>
            </w:pPr>
            <w:r>
              <w:rPr>
                <w:rFonts w:hint="eastAsia"/>
                <w:lang w:val="en-US" w:eastAsia="zh-CN"/>
              </w:rPr>
              <w:t>居住区</w:t>
            </w:r>
          </w:p>
        </w:tc>
        <w:tc>
          <w:tcPr>
            <w:tcW w:w="904" w:type="dxa"/>
            <w:vMerge w:val="continue"/>
            <w:tcBorders>
              <w:left w:val="nil"/>
              <w:right w:val="single" w:color="auto" w:sz="4" w:space="0"/>
            </w:tcBorders>
            <w:vAlign w:val="center"/>
          </w:tcPr>
          <w:p w14:paraId="30845984">
            <w:pPr>
              <w:pStyle w:val="52"/>
              <w:bidi w:val="0"/>
            </w:pPr>
          </w:p>
        </w:tc>
      </w:tr>
      <w:tr w14:paraId="0447E6B8">
        <w:tblPrEx>
          <w:tblCellMar>
            <w:top w:w="0" w:type="dxa"/>
            <w:left w:w="108" w:type="dxa"/>
            <w:bottom w:w="0" w:type="dxa"/>
            <w:right w:w="108" w:type="dxa"/>
          </w:tblCellMar>
        </w:tblPrEx>
        <w:trPr>
          <w:trHeight w:val="300" w:hRule="atLeast"/>
        </w:trPr>
        <w:tc>
          <w:tcPr>
            <w:tcW w:w="649" w:type="dxa"/>
            <w:vMerge w:val="continue"/>
            <w:tcBorders>
              <w:top w:val="nil"/>
              <w:left w:val="single" w:color="auto" w:sz="4" w:space="0"/>
              <w:bottom w:val="single" w:color="auto" w:sz="4" w:space="0"/>
              <w:right w:val="single" w:color="auto" w:sz="4" w:space="0"/>
            </w:tcBorders>
            <w:vAlign w:val="center"/>
          </w:tcPr>
          <w:p w14:paraId="010C4C9F">
            <w:pPr>
              <w:pStyle w:val="52"/>
              <w:bidi w:val="0"/>
            </w:pPr>
          </w:p>
        </w:tc>
        <w:tc>
          <w:tcPr>
            <w:tcW w:w="710" w:type="dxa"/>
            <w:tcBorders>
              <w:top w:val="single" w:color="auto" w:sz="4" w:space="0"/>
              <w:left w:val="nil"/>
              <w:bottom w:val="single" w:color="auto" w:sz="4" w:space="0"/>
              <w:right w:val="single" w:color="auto" w:sz="4" w:space="0"/>
            </w:tcBorders>
            <w:vAlign w:val="center"/>
          </w:tcPr>
          <w:p w14:paraId="4FE42DCD">
            <w:pPr>
              <w:pStyle w:val="52"/>
              <w:bidi w:val="0"/>
            </w:pPr>
            <w:r>
              <w:t>3</w:t>
            </w:r>
          </w:p>
        </w:tc>
        <w:tc>
          <w:tcPr>
            <w:tcW w:w="2243" w:type="dxa"/>
            <w:tcBorders>
              <w:top w:val="single" w:color="auto" w:sz="4" w:space="0"/>
              <w:left w:val="nil"/>
              <w:bottom w:val="single" w:color="auto" w:sz="4" w:space="0"/>
              <w:right w:val="single" w:color="auto" w:sz="4" w:space="0"/>
            </w:tcBorders>
            <w:shd w:val="clear" w:color="auto" w:fill="auto"/>
            <w:noWrap/>
            <w:vAlign w:val="center"/>
          </w:tcPr>
          <w:p w14:paraId="7FBDFA98">
            <w:pPr>
              <w:jc w:val="center"/>
              <w:rPr>
                <w:rFonts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rPr>
              <w:t>团湖公寓</w:t>
            </w:r>
          </w:p>
        </w:tc>
        <w:tc>
          <w:tcPr>
            <w:tcW w:w="1498" w:type="dxa"/>
            <w:tcBorders>
              <w:top w:val="single" w:color="auto" w:sz="4" w:space="0"/>
              <w:left w:val="nil"/>
              <w:bottom w:val="single" w:color="auto" w:sz="4" w:space="0"/>
              <w:right w:val="single" w:color="auto" w:sz="4" w:space="0"/>
            </w:tcBorders>
            <w:shd w:val="clear" w:color="auto" w:fill="auto"/>
            <w:vAlign w:val="center"/>
          </w:tcPr>
          <w:p w14:paraId="36439ED1">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lang w:val="en-US" w:eastAsia="zh-CN"/>
              </w:rPr>
              <w:t>NW</w:t>
            </w:r>
          </w:p>
        </w:tc>
        <w:tc>
          <w:tcPr>
            <w:tcW w:w="1199" w:type="dxa"/>
            <w:gridSpan w:val="2"/>
            <w:tcBorders>
              <w:top w:val="single" w:color="auto" w:sz="4" w:space="0"/>
              <w:left w:val="nil"/>
              <w:bottom w:val="single" w:color="auto" w:sz="4" w:space="0"/>
              <w:right w:val="single" w:color="auto" w:sz="4" w:space="0"/>
            </w:tcBorders>
            <w:shd w:val="clear" w:color="auto" w:fill="auto"/>
            <w:vAlign w:val="center"/>
          </w:tcPr>
          <w:p w14:paraId="5B308CAB">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lang w:val="en-US" w:eastAsia="zh-CN"/>
              </w:rPr>
              <w:t>2303</w:t>
            </w:r>
          </w:p>
        </w:tc>
        <w:tc>
          <w:tcPr>
            <w:tcW w:w="1318" w:type="dxa"/>
            <w:tcBorders>
              <w:top w:val="single" w:color="auto" w:sz="4" w:space="0"/>
              <w:left w:val="nil"/>
              <w:bottom w:val="single" w:color="auto" w:sz="4" w:space="0"/>
              <w:right w:val="single" w:color="auto" w:sz="4" w:space="0"/>
            </w:tcBorders>
            <w:vAlign w:val="center"/>
          </w:tcPr>
          <w:p w14:paraId="709166AB">
            <w:pPr>
              <w:pStyle w:val="52"/>
              <w:bidi w:val="0"/>
            </w:pPr>
            <w:r>
              <w:rPr>
                <w:rFonts w:hint="eastAsia"/>
                <w:lang w:val="en-US" w:eastAsia="zh-CN"/>
              </w:rPr>
              <w:t>居住区</w:t>
            </w:r>
          </w:p>
        </w:tc>
        <w:tc>
          <w:tcPr>
            <w:tcW w:w="904" w:type="dxa"/>
            <w:vMerge w:val="continue"/>
            <w:tcBorders>
              <w:left w:val="nil"/>
              <w:right w:val="single" w:color="auto" w:sz="4" w:space="0"/>
            </w:tcBorders>
            <w:vAlign w:val="center"/>
          </w:tcPr>
          <w:p w14:paraId="151C9334">
            <w:pPr>
              <w:pStyle w:val="52"/>
              <w:bidi w:val="0"/>
            </w:pPr>
          </w:p>
        </w:tc>
      </w:tr>
      <w:tr w14:paraId="2C440B83">
        <w:tblPrEx>
          <w:tblCellMar>
            <w:top w:w="0" w:type="dxa"/>
            <w:left w:w="108" w:type="dxa"/>
            <w:bottom w:w="0" w:type="dxa"/>
            <w:right w:w="108" w:type="dxa"/>
          </w:tblCellMar>
        </w:tblPrEx>
        <w:trPr>
          <w:trHeight w:val="300" w:hRule="atLeast"/>
        </w:trPr>
        <w:tc>
          <w:tcPr>
            <w:tcW w:w="649" w:type="dxa"/>
            <w:vMerge w:val="continue"/>
            <w:tcBorders>
              <w:top w:val="nil"/>
              <w:left w:val="single" w:color="auto" w:sz="4" w:space="0"/>
              <w:bottom w:val="single" w:color="auto" w:sz="4" w:space="0"/>
              <w:right w:val="single" w:color="auto" w:sz="4" w:space="0"/>
            </w:tcBorders>
            <w:vAlign w:val="center"/>
          </w:tcPr>
          <w:p w14:paraId="556AD67E">
            <w:pPr>
              <w:pStyle w:val="52"/>
              <w:bidi w:val="0"/>
            </w:pPr>
          </w:p>
        </w:tc>
        <w:tc>
          <w:tcPr>
            <w:tcW w:w="710" w:type="dxa"/>
            <w:tcBorders>
              <w:top w:val="single" w:color="auto" w:sz="4" w:space="0"/>
              <w:left w:val="nil"/>
              <w:bottom w:val="single" w:color="auto" w:sz="4" w:space="0"/>
              <w:right w:val="single" w:color="auto" w:sz="4" w:space="0"/>
            </w:tcBorders>
            <w:vAlign w:val="center"/>
          </w:tcPr>
          <w:p w14:paraId="7EB37BB5">
            <w:pPr>
              <w:pStyle w:val="52"/>
              <w:bidi w:val="0"/>
            </w:pPr>
            <w:r>
              <w:t>4</w:t>
            </w:r>
          </w:p>
        </w:tc>
        <w:tc>
          <w:tcPr>
            <w:tcW w:w="2243" w:type="dxa"/>
            <w:tcBorders>
              <w:top w:val="single" w:color="auto" w:sz="4" w:space="0"/>
              <w:left w:val="nil"/>
              <w:bottom w:val="single" w:color="auto" w:sz="4" w:space="0"/>
              <w:right w:val="single" w:color="auto" w:sz="4" w:space="0"/>
            </w:tcBorders>
            <w:shd w:val="clear" w:color="auto" w:fill="auto"/>
            <w:noWrap/>
            <w:vAlign w:val="center"/>
          </w:tcPr>
          <w:p w14:paraId="469DCA16">
            <w:pPr>
              <w:jc w:val="center"/>
              <w:rPr>
                <w:rFonts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rPr>
              <w:t>杉堰小区</w:t>
            </w:r>
          </w:p>
        </w:tc>
        <w:tc>
          <w:tcPr>
            <w:tcW w:w="1498" w:type="dxa"/>
            <w:tcBorders>
              <w:top w:val="single" w:color="auto" w:sz="4" w:space="0"/>
              <w:left w:val="nil"/>
              <w:bottom w:val="single" w:color="auto" w:sz="4" w:space="0"/>
              <w:right w:val="single" w:color="auto" w:sz="4" w:space="0"/>
            </w:tcBorders>
            <w:shd w:val="clear" w:color="auto" w:fill="auto"/>
            <w:vAlign w:val="center"/>
          </w:tcPr>
          <w:p w14:paraId="2E5E873C">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lang w:val="en-US" w:eastAsia="zh-CN"/>
              </w:rPr>
              <w:t>NW</w:t>
            </w:r>
          </w:p>
        </w:tc>
        <w:tc>
          <w:tcPr>
            <w:tcW w:w="1199" w:type="dxa"/>
            <w:gridSpan w:val="2"/>
            <w:tcBorders>
              <w:top w:val="single" w:color="auto" w:sz="4" w:space="0"/>
              <w:left w:val="nil"/>
              <w:bottom w:val="single" w:color="auto" w:sz="4" w:space="0"/>
              <w:right w:val="single" w:color="auto" w:sz="4" w:space="0"/>
            </w:tcBorders>
            <w:shd w:val="clear" w:color="auto" w:fill="auto"/>
            <w:vAlign w:val="center"/>
          </w:tcPr>
          <w:p w14:paraId="7B76C915">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lang w:val="en-US" w:eastAsia="zh-CN"/>
              </w:rPr>
              <w:t>1957</w:t>
            </w:r>
          </w:p>
        </w:tc>
        <w:tc>
          <w:tcPr>
            <w:tcW w:w="1318" w:type="dxa"/>
            <w:tcBorders>
              <w:top w:val="single" w:color="auto" w:sz="4" w:space="0"/>
              <w:left w:val="nil"/>
              <w:bottom w:val="single" w:color="auto" w:sz="4" w:space="0"/>
              <w:right w:val="single" w:color="auto" w:sz="4" w:space="0"/>
            </w:tcBorders>
            <w:vAlign w:val="center"/>
          </w:tcPr>
          <w:p w14:paraId="170D24FD">
            <w:pPr>
              <w:pStyle w:val="52"/>
              <w:bidi w:val="0"/>
            </w:pPr>
            <w:r>
              <w:rPr>
                <w:rFonts w:hint="eastAsia"/>
                <w:lang w:val="en-US" w:eastAsia="zh-CN"/>
              </w:rPr>
              <w:t>居住区</w:t>
            </w:r>
          </w:p>
        </w:tc>
        <w:tc>
          <w:tcPr>
            <w:tcW w:w="904" w:type="dxa"/>
            <w:vMerge w:val="continue"/>
            <w:tcBorders>
              <w:left w:val="nil"/>
              <w:bottom w:val="single" w:color="auto" w:sz="4" w:space="0"/>
              <w:right w:val="single" w:color="auto" w:sz="4" w:space="0"/>
            </w:tcBorders>
            <w:vAlign w:val="center"/>
          </w:tcPr>
          <w:p w14:paraId="6E50C936">
            <w:pPr>
              <w:pStyle w:val="52"/>
              <w:bidi w:val="0"/>
            </w:pPr>
          </w:p>
        </w:tc>
      </w:tr>
      <w:tr w14:paraId="3B047070">
        <w:trPr>
          <w:trHeight w:val="300" w:hRule="atLeast"/>
        </w:trPr>
        <w:tc>
          <w:tcPr>
            <w:tcW w:w="649" w:type="dxa"/>
            <w:vMerge w:val="continue"/>
            <w:tcBorders>
              <w:top w:val="nil"/>
              <w:left w:val="single" w:color="auto" w:sz="4" w:space="0"/>
              <w:bottom w:val="single" w:color="auto" w:sz="4" w:space="0"/>
              <w:right w:val="single" w:color="auto" w:sz="4" w:space="0"/>
            </w:tcBorders>
            <w:vAlign w:val="center"/>
          </w:tcPr>
          <w:p w14:paraId="497A73D6">
            <w:pPr>
              <w:pStyle w:val="52"/>
              <w:bidi w:val="0"/>
            </w:pPr>
          </w:p>
        </w:tc>
        <w:tc>
          <w:tcPr>
            <w:tcW w:w="710" w:type="dxa"/>
            <w:tcBorders>
              <w:top w:val="single" w:color="auto" w:sz="4" w:space="0"/>
              <w:left w:val="nil"/>
              <w:bottom w:val="single" w:color="auto" w:sz="4" w:space="0"/>
              <w:right w:val="single" w:color="auto" w:sz="4" w:space="0"/>
            </w:tcBorders>
            <w:vAlign w:val="center"/>
          </w:tcPr>
          <w:p w14:paraId="79BAAB03">
            <w:pPr>
              <w:pStyle w:val="52"/>
              <w:bidi w:val="0"/>
            </w:pPr>
            <w:r>
              <w:t>5</w:t>
            </w:r>
          </w:p>
        </w:tc>
        <w:tc>
          <w:tcPr>
            <w:tcW w:w="2243" w:type="dxa"/>
            <w:tcBorders>
              <w:top w:val="single" w:color="auto" w:sz="4" w:space="0"/>
              <w:left w:val="nil"/>
              <w:bottom w:val="single" w:color="auto" w:sz="4" w:space="0"/>
              <w:right w:val="single" w:color="auto" w:sz="4" w:space="0"/>
            </w:tcBorders>
            <w:shd w:val="clear" w:color="auto" w:fill="auto"/>
            <w:noWrap/>
            <w:vAlign w:val="center"/>
          </w:tcPr>
          <w:p w14:paraId="093F7CDE">
            <w:pPr>
              <w:jc w:val="center"/>
              <w:rPr>
                <w:rFonts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rPr>
              <w:t>牛家老屋</w:t>
            </w:r>
          </w:p>
        </w:tc>
        <w:tc>
          <w:tcPr>
            <w:tcW w:w="1498" w:type="dxa"/>
            <w:tcBorders>
              <w:top w:val="single" w:color="auto" w:sz="4" w:space="0"/>
              <w:left w:val="nil"/>
              <w:bottom w:val="single" w:color="auto" w:sz="4" w:space="0"/>
              <w:right w:val="single" w:color="auto" w:sz="4" w:space="0"/>
            </w:tcBorders>
            <w:shd w:val="clear" w:color="auto" w:fill="auto"/>
            <w:vAlign w:val="center"/>
          </w:tcPr>
          <w:p w14:paraId="63A5FDFA">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lang w:val="en-US" w:eastAsia="zh-CN"/>
              </w:rPr>
              <w:t>SW</w:t>
            </w:r>
          </w:p>
        </w:tc>
        <w:tc>
          <w:tcPr>
            <w:tcW w:w="1199" w:type="dxa"/>
            <w:gridSpan w:val="2"/>
            <w:tcBorders>
              <w:top w:val="single" w:color="auto" w:sz="4" w:space="0"/>
              <w:left w:val="nil"/>
              <w:bottom w:val="single" w:color="auto" w:sz="4" w:space="0"/>
              <w:right w:val="single" w:color="auto" w:sz="4" w:space="0"/>
            </w:tcBorders>
            <w:shd w:val="clear" w:color="auto" w:fill="auto"/>
            <w:vAlign w:val="center"/>
          </w:tcPr>
          <w:p w14:paraId="720D5BE6">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lang w:val="en-US" w:eastAsia="zh-CN"/>
              </w:rPr>
              <w:t>2726</w:t>
            </w:r>
          </w:p>
        </w:tc>
        <w:tc>
          <w:tcPr>
            <w:tcW w:w="1318" w:type="dxa"/>
            <w:tcBorders>
              <w:top w:val="single" w:color="auto" w:sz="4" w:space="0"/>
              <w:left w:val="nil"/>
              <w:bottom w:val="single" w:color="auto" w:sz="4" w:space="0"/>
              <w:right w:val="single" w:color="auto" w:sz="4" w:space="0"/>
            </w:tcBorders>
            <w:vAlign w:val="center"/>
          </w:tcPr>
          <w:p w14:paraId="058B7EF8">
            <w:pPr>
              <w:pStyle w:val="52"/>
              <w:bidi w:val="0"/>
            </w:pPr>
            <w:r>
              <w:rPr>
                <w:rFonts w:hint="eastAsia"/>
                <w:lang w:val="en-US" w:eastAsia="zh-CN"/>
              </w:rPr>
              <w:t>居住区</w:t>
            </w:r>
          </w:p>
        </w:tc>
        <w:tc>
          <w:tcPr>
            <w:tcW w:w="904" w:type="dxa"/>
            <w:vMerge w:val="restart"/>
            <w:tcBorders>
              <w:top w:val="single" w:color="auto" w:sz="4" w:space="0"/>
              <w:left w:val="nil"/>
              <w:right w:val="single" w:color="auto" w:sz="4" w:space="0"/>
            </w:tcBorders>
            <w:vAlign w:val="center"/>
          </w:tcPr>
          <w:p w14:paraId="53929FAC">
            <w:pPr>
              <w:pStyle w:val="52"/>
              <w:bidi w:val="0"/>
              <w:rPr>
                <w:rFonts w:hint="default" w:eastAsia="宋体"/>
                <w:lang w:val="en-US" w:eastAsia="zh-CN"/>
              </w:rPr>
            </w:pPr>
            <w:r>
              <w:rPr>
                <w:rFonts w:hint="eastAsia"/>
                <w:lang w:val="en-US" w:eastAsia="zh-CN"/>
              </w:rPr>
              <w:t>600</w:t>
            </w:r>
          </w:p>
        </w:tc>
      </w:tr>
      <w:tr w14:paraId="70D66489">
        <w:tblPrEx>
          <w:tblCellMar>
            <w:top w:w="0" w:type="dxa"/>
            <w:left w:w="108" w:type="dxa"/>
            <w:bottom w:w="0" w:type="dxa"/>
            <w:right w:w="108" w:type="dxa"/>
          </w:tblCellMar>
        </w:tblPrEx>
        <w:trPr>
          <w:trHeight w:val="300" w:hRule="atLeast"/>
        </w:trPr>
        <w:tc>
          <w:tcPr>
            <w:tcW w:w="649" w:type="dxa"/>
            <w:vMerge w:val="continue"/>
            <w:tcBorders>
              <w:top w:val="nil"/>
              <w:left w:val="single" w:color="auto" w:sz="4" w:space="0"/>
              <w:bottom w:val="single" w:color="auto" w:sz="4" w:space="0"/>
              <w:right w:val="single" w:color="auto" w:sz="4" w:space="0"/>
            </w:tcBorders>
            <w:vAlign w:val="center"/>
          </w:tcPr>
          <w:p w14:paraId="345A4231">
            <w:pPr>
              <w:pStyle w:val="52"/>
              <w:bidi w:val="0"/>
            </w:pPr>
          </w:p>
        </w:tc>
        <w:tc>
          <w:tcPr>
            <w:tcW w:w="710" w:type="dxa"/>
            <w:tcBorders>
              <w:top w:val="single" w:color="auto" w:sz="4" w:space="0"/>
              <w:left w:val="nil"/>
              <w:bottom w:val="single" w:color="auto" w:sz="4" w:space="0"/>
              <w:right w:val="single" w:color="auto" w:sz="4" w:space="0"/>
            </w:tcBorders>
            <w:vAlign w:val="center"/>
          </w:tcPr>
          <w:p w14:paraId="05AA32E9">
            <w:pPr>
              <w:pStyle w:val="52"/>
              <w:bidi w:val="0"/>
            </w:pPr>
            <w:r>
              <w:t>6</w:t>
            </w:r>
          </w:p>
        </w:tc>
        <w:tc>
          <w:tcPr>
            <w:tcW w:w="2243" w:type="dxa"/>
            <w:tcBorders>
              <w:top w:val="single" w:color="auto" w:sz="4" w:space="0"/>
              <w:left w:val="nil"/>
              <w:bottom w:val="single" w:color="auto" w:sz="4" w:space="0"/>
              <w:right w:val="single" w:color="auto" w:sz="4" w:space="0"/>
            </w:tcBorders>
            <w:shd w:val="clear" w:color="auto" w:fill="auto"/>
            <w:noWrap/>
            <w:vAlign w:val="center"/>
          </w:tcPr>
          <w:p w14:paraId="6D6FD7B4">
            <w:pPr>
              <w:jc w:val="center"/>
              <w:rPr>
                <w:rFonts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rPr>
              <w:t>岩板垱</w:t>
            </w:r>
          </w:p>
        </w:tc>
        <w:tc>
          <w:tcPr>
            <w:tcW w:w="1498" w:type="dxa"/>
            <w:tcBorders>
              <w:top w:val="single" w:color="auto" w:sz="4" w:space="0"/>
              <w:left w:val="nil"/>
              <w:bottom w:val="single" w:color="auto" w:sz="4" w:space="0"/>
              <w:right w:val="single" w:color="auto" w:sz="4" w:space="0"/>
            </w:tcBorders>
            <w:shd w:val="clear" w:color="auto" w:fill="auto"/>
            <w:vAlign w:val="center"/>
          </w:tcPr>
          <w:p w14:paraId="76B30408">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lang w:val="en-US" w:eastAsia="zh-CN"/>
              </w:rPr>
              <w:t>SW</w:t>
            </w:r>
          </w:p>
        </w:tc>
        <w:tc>
          <w:tcPr>
            <w:tcW w:w="1199" w:type="dxa"/>
            <w:gridSpan w:val="2"/>
            <w:tcBorders>
              <w:top w:val="single" w:color="auto" w:sz="4" w:space="0"/>
              <w:left w:val="nil"/>
              <w:bottom w:val="single" w:color="auto" w:sz="4" w:space="0"/>
              <w:right w:val="single" w:color="auto" w:sz="4" w:space="0"/>
            </w:tcBorders>
            <w:shd w:val="clear" w:color="auto" w:fill="auto"/>
            <w:vAlign w:val="center"/>
          </w:tcPr>
          <w:p w14:paraId="4CAE999F">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lang w:val="en-US" w:eastAsia="zh-CN"/>
              </w:rPr>
              <w:t>2833</w:t>
            </w:r>
          </w:p>
        </w:tc>
        <w:tc>
          <w:tcPr>
            <w:tcW w:w="1318" w:type="dxa"/>
            <w:tcBorders>
              <w:top w:val="single" w:color="auto" w:sz="4" w:space="0"/>
              <w:left w:val="nil"/>
              <w:bottom w:val="single" w:color="auto" w:sz="4" w:space="0"/>
              <w:right w:val="single" w:color="auto" w:sz="4" w:space="0"/>
            </w:tcBorders>
            <w:vAlign w:val="center"/>
          </w:tcPr>
          <w:p w14:paraId="61484632">
            <w:pPr>
              <w:pStyle w:val="52"/>
              <w:bidi w:val="0"/>
            </w:pPr>
            <w:r>
              <w:rPr>
                <w:rFonts w:hint="eastAsia"/>
                <w:lang w:val="en-US" w:eastAsia="zh-CN"/>
              </w:rPr>
              <w:t>居住区</w:t>
            </w:r>
          </w:p>
        </w:tc>
        <w:tc>
          <w:tcPr>
            <w:tcW w:w="904" w:type="dxa"/>
            <w:vMerge w:val="continue"/>
            <w:tcBorders>
              <w:left w:val="nil"/>
              <w:right w:val="single" w:color="auto" w:sz="4" w:space="0"/>
            </w:tcBorders>
            <w:vAlign w:val="center"/>
          </w:tcPr>
          <w:p w14:paraId="2CB9D969">
            <w:pPr>
              <w:pStyle w:val="52"/>
              <w:bidi w:val="0"/>
            </w:pPr>
          </w:p>
        </w:tc>
      </w:tr>
      <w:tr w14:paraId="27E2E4C7">
        <w:tblPrEx>
          <w:tblCellMar>
            <w:top w:w="0" w:type="dxa"/>
            <w:left w:w="108" w:type="dxa"/>
            <w:bottom w:w="0" w:type="dxa"/>
            <w:right w:w="108" w:type="dxa"/>
          </w:tblCellMar>
        </w:tblPrEx>
        <w:trPr>
          <w:trHeight w:val="300" w:hRule="atLeast"/>
        </w:trPr>
        <w:tc>
          <w:tcPr>
            <w:tcW w:w="649" w:type="dxa"/>
            <w:vMerge w:val="continue"/>
            <w:tcBorders>
              <w:top w:val="nil"/>
              <w:left w:val="single" w:color="auto" w:sz="4" w:space="0"/>
              <w:bottom w:val="single" w:color="auto" w:sz="4" w:space="0"/>
              <w:right w:val="single" w:color="auto" w:sz="4" w:space="0"/>
            </w:tcBorders>
            <w:vAlign w:val="center"/>
          </w:tcPr>
          <w:p w14:paraId="6BDBE257">
            <w:pPr>
              <w:pStyle w:val="52"/>
              <w:bidi w:val="0"/>
            </w:pPr>
          </w:p>
        </w:tc>
        <w:tc>
          <w:tcPr>
            <w:tcW w:w="710" w:type="dxa"/>
            <w:tcBorders>
              <w:top w:val="single" w:color="auto" w:sz="4" w:space="0"/>
              <w:left w:val="nil"/>
              <w:bottom w:val="single" w:color="auto" w:sz="4" w:space="0"/>
              <w:right w:val="single" w:color="auto" w:sz="4" w:space="0"/>
            </w:tcBorders>
          </w:tcPr>
          <w:p w14:paraId="6D870622">
            <w:pPr>
              <w:pStyle w:val="52"/>
              <w:bidi w:val="0"/>
            </w:pPr>
            <w:r>
              <w:t>7</w:t>
            </w:r>
          </w:p>
        </w:tc>
        <w:tc>
          <w:tcPr>
            <w:tcW w:w="2243" w:type="dxa"/>
            <w:tcBorders>
              <w:top w:val="single" w:color="auto" w:sz="4" w:space="0"/>
              <w:left w:val="nil"/>
              <w:bottom w:val="single" w:color="auto" w:sz="4" w:space="0"/>
              <w:right w:val="single" w:color="auto" w:sz="4" w:space="0"/>
            </w:tcBorders>
            <w:shd w:val="clear" w:color="auto" w:fill="auto"/>
            <w:noWrap/>
            <w:vAlign w:val="center"/>
          </w:tcPr>
          <w:p w14:paraId="70034128">
            <w:pPr>
              <w:jc w:val="center"/>
              <w:rPr>
                <w:rFonts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rPr>
              <w:t>李家屋场</w:t>
            </w:r>
          </w:p>
        </w:tc>
        <w:tc>
          <w:tcPr>
            <w:tcW w:w="1498" w:type="dxa"/>
            <w:tcBorders>
              <w:top w:val="single" w:color="auto" w:sz="4" w:space="0"/>
              <w:left w:val="nil"/>
              <w:bottom w:val="single" w:color="auto" w:sz="4" w:space="0"/>
              <w:right w:val="single" w:color="auto" w:sz="4" w:space="0"/>
            </w:tcBorders>
            <w:shd w:val="clear" w:color="auto" w:fill="auto"/>
            <w:vAlign w:val="center"/>
          </w:tcPr>
          <w:p w14:paraId="47E790A5">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lang w:val="en-US" w:eastAsia="zh-CN"/>
              </w:rPr>
              <w:t>SW</w:t>
            </w:r>
          </w:p>
        </w:tc>
        <w:tc>
          <w:tcPr>
            <w:tcW w:w="1199" w:type="dxa"/>
            <w:gridSpan w:val="2"/>
            <w:tcBorders>
              <w:top w:val="single" w:color="auto" w:sz="4" w:space="0"/>
              <w:left w:val="nil"/>
              <w:bottom w:val="single" w:color="auto" w:sz="4" w:space="0"/>
              <w:right w:val="single" w:color="auto" w:sz="4" w:space="0"/>
            </w:tcBorders>
            <w:shd w:val="clear" w:color="auto" w:fill="auto"/>
            <w:vAlign w:val="center"/>
          </w:tcPr>
          <w:p w14:paraId="19A4E030">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lang w:val="en-US" w:eastAsia="zh-CN"/>
              </w:rPr>
              <w:t>1964</w:t>
            </w:r>
          </w:p>
        </w:tc>
        <w:tc>
          <w:tcPr>
            <w:tcW w:w="1318" w:type="dxa"/>
            <w:tcBorders>
              <w:top w:val="single" w:color="auto" w:sz="4" w:space="0"/>
              <w:left w:val="nil"/>
              <w:bottom w:val="single" w:color="auto" w:sz="4" w:space="0"/>
              <w:right w:val="single" w:color="auto" w:sz="4" w:space="0"/>
            </w:tcBorders>
          </w:tcPr>
          <w:p w14:paraId="65394789">
            <w:pPr>
              <w:pStyle w:val="52"/>
              <w:bidi w:val="0"/>
            </w:pPr>
            <w:r>
              <w:rPr>
                <w:rFonts w:hint="eastAsia"/>
                <w:lang w:val="en-US" w:eastAsia="zh-CN"/>
              </w:rPr>
              <w:t>居住区</w:t>
            </w:r>
          </w:p>
        </w:tc>
        <w:tc>
          <w:tcPr>
            <w:tcW w:w="904" w:type="dxa"/>
            <w:vMerge w:val="continue"/>
            <w:tcBorders>
              <w:left w:val="nil"/>
              <w:bottom w:val="single" w:color="auto" w:sz="4" w:space="0"/>
              <w:right w:val="single" w:color="auto" w:sz="4" w:space="0"/>
            </w:tcBorders>
            <w:vAlign w:val="center"/>
          </w:tcPr>
          <w:p w14:paraId="617A3227">
            <w:pPr>
              <w:pStyle w:val="52"/>
              <w:bidi w:val="0"/>
            </w:pPr>
          </w:p>
        </w:tc>
      </w:tr>
      <w:tr w14:paraId="4A7FD807">
        <w:tblPrEx>
          <w:tblCellMar>
            <w:top w:w="0" w:type="dxa"/>
            <w:left w:w="108" w:type="dxa"/>
            <w:bottom w:w="0" w:type="dxa"/>
            <w:right w:w="108" w:type="dxa"/>
          </w:tblCellMar>
        </w:tblPrEx>
        <w:trPr>
          <w:trHeight w:val="300" w:hRule="atLeast"/>
        </w:trPr>
        <w:tc>
          <w:tcPr>
            <w:tcW w:w="649" w:type="dxa"/>
            <w:vMerge w:val="continue"/>
            <w:tcBorders>
              <w:top w:val="nil"/>
              <w:left w:val="single" w:color="auto" w:sz="4" w:space="0"/>
              <w:bottom w:val="single" w:color="auto" w:sz="4" w:space="0"/>
              <w:right w:val="single" w:color="auto" w:sz="4" w:space="0"/>
            </w:tcBorders>
            <w:vAlign w:val="center"/>
          </w:tcPr>
          <w:p w14:paraId="466F5B44">
            <w:pPr>
              <w:pStyle w:val="52"/>
              <w:bidi w:val="0"/>
            </w:pPr>
          </w:p>
        </w:tc>
        <w:tc>
          <w:tcPr>
            <w:tcW w:w="710" w:type="dxa"/>
            <w:tcBorders>
              <w:top w:val="single" w:color="auto" w:sz="4" w:space="0"/>
              <w:left w:val="nil"/>
              <w:bottom w:val="single" w:color="auto" w:sz="4" w:space="0"/>
              <w:right w:val="single" w:color="auto" w:sz="4" w:space="0"/>
            </w:tcBorders>
          </w:tcPr>
          <w:p w14:paraId="390D29A7">
            <w:pPr>
              <w:pStyle w:val="52"/>
              <w:bidi w:val="0"/>
            </w:pPr>
            <w:r>
              <w:t>8</w:t>
            </w:r>
          </w:p>
        </w:tc>
        <w:tc>
          <w:tcPr>
            <w:tcW w:w="2243" w:type="dxa"/>
            <w:tcBorders>
              <w:top w:val="single" w:color="auto" w:sz="4" w:space="0"/>
              <w:left w:val="nil"/>
              <w:bottom w:val="single" w:color="auto" w:sz="4" w:space="0"/>
              <w:right w:val="single" w:color="auto" w:sz="4" w:space="0"/>
            </w:tcBorders>
            <w:shd w:val="clear" w:color="auto" w:fill="auto"/>
            <w:noWrap/>
            <w:vAlign w:val="center"/>
          </w:tcPr>
          <w:p w14:paraId="4903BF5D">
            <w:pPr>
              <w:jc w:val="center"/>
              <w:rPr>
                <w:rFonts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rPr>
              <w:t>杉堰安置区</w:t>
            </w:r>
          </w:p>
        </w:tc>
        <w:tc>
          <w:tcPr>
            <w:tcW w:w="1498" w:type="dxa"/>
            <w:tcBorders>
              <w:top w:val="single" w:color="auto" w:sz="4" w:space="0"/>
              <w:left w:val="nil"/>
              <w:bottom w:val="single" w:color="auto" w:sz="4" w:space="0"/>
              <w:right w:val="single" w:color="auto" w:sz="4" w:space="0"/>
            </w:tcBorders>
            <w:shd w:val="clear" w:color="auto" w:fill="auto"/>
            <w:vAlign w:val="center"/>
          </w:tcPr>
          <w:p w14:paraId="2FD12881">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lang w:val="en-US" w:eastAsia="zh-CN"/>
              </w:rPr>
              <w:t>SW</w:t>
            </w:r>
          </w:p>
        </w:tc>
        <w:tc>
          <w:tcPr>
            <w:tcW w:w="1199" w:type="dxa"/>
            <w:gridSpan w:val="2"/>
            <w:tcBorders>
              <w:top w:val="single" w:color="auto" w:sz="4" w:space="0"/>
              <w:left w:val="nil"/>
              <w:bottom w:val="single" w:color="auto" w:sz="4" w:space="0"/>
              <w:right w:val="single" w:color="auto" w:sz="4" w:space="0"/>
            </w:tcBorders>
            <w:shd w:val="clear" w:color="auto" w:fill="auto"/>
            <w:vAlign w:val="center"/>
          </w:tcPr>
          <w:p w14:paraId="060BAEEA">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lang w:val="en-US" w:eastAsia="zh-CN"/>
              </w:rPr>
              <w:t>294</w:t>
            </w:r>
          </w:p>
        </w:tc>
        <w:tc>
          <w:tcPr>
            <w:tcW w:w="1318" w:type="dxa"/>
            <w:tcBorders>
              <w:top w:val="single" w:color="auto" w:sz="4" w:space="0"/>
              <w:left w:val="nil"/>
              <w:bottom w:val="single" w:color="auto" w:sz="4" w:space="0"/>
              <w:right w:val="single" w:color="auto" w:sz="4" w:space="0"/>
            </w:tcBorders>
          </w:tcPr>
          <w:p w14:paraId="0941F684">
            <w:pPr>
              <w:pStyle w:val="52"/>
              <w:bidi w:val="0"/>
            </w:pPr>
            <w:r>
              <w:rPr>
                <w:rFonts w:hint="eastAsia"/>
                <w:lang w:val="en-US" w:eastAsia="zh-CN"/>
              </w:rPr>
              <w:t>居住区</w:t>
            </w:r>
          </w:p>
        </w:tc>
        <w:tc>
          <w:tcPr>
            <w:tcW w:w="904" w:type="dxa"/>
            <w:tcBorders>
              <w:top w:val="single" w:color="auto" w:sz="4" w:space="0"/>
              <w:left w:val="nil"/>
              <w:bottom w:val="single" w:color="auto" w:sz="4" w:space="0"/>
              <w:right w:val="single" w:color="auto" w:sz="4" w:space="0"/>
            </w:tcBorders>
            <w:vAlign w:val="center"/>
          </w:tcPr>
          <w:p w14:paraId="429ADF93">
            <w:pPr>
              <w:pStyle w:val="52"/>
              <w:bidi w:val="0"/>
              <w:rPr>
                <w:rFonts w:hint="default" w:eastAsia="宋体"/>
                <w:lang w:val="en-US" w:eastAsia="zh-CN"/>
              </w:rPr>
            </w:pPr>
            <w:r>
              <w:rPr>
                <w:rFonts w:hint="eastAsia"/>
                <w:lang w:val="en-US" w:eastAsia="zh-CN"/>
              </w:rPr>
              <w:t>426</w:t>
            </w:r>
          </w:p>
        </w:tc>
      </w:tr>
      <w:tr w14:paraId="09754E73">
        <w:tblPrEx>
          <w:tblCellMar>
            <w:top w:w="0" w:type="dxa"/>
            <w:left w:w="108" w:type="dxa"/>
            <w:bottom w:w="0" w:type="dxa"/>
            <w:right w:w="108" w:type="dxa"/>
          </w:tblCellMar>
        </w:tblPrEx>
        <w:trPr>
          <w:trHeight w:val="300" w:hRule="atLeast"/>
        </w:trPr>
        <w:tc>
          <w:tcPr>
            <w:tcW w:w="649" w:type="dxa"/>
            <w:vMerge w:val="continue"/>
            <w:tcBorders>
              <w:top w:val="nil"/>
              <w:left w:val="single" w:color="auto" w:sz="4" w:space="0"/>
              <w:bottom w:val="single" w:color="auto" w:sz="4" w:space="0"/>
              <w:right w:val="single" w:color="auto" w:sz="4" w:space="0"/>
            </w:tcBorders>
            <w:vAlign w:val="center"/>
          </w:tcPr>
          <w:p w14:paraId="6987C542">
            <w:pPr>
              <w:pStyle w:val="52"/>
              <w:bidi w:val="0"/>
            </w:pPr>
          </w:p>
        </w:tc>
        <w:tc>
          <w:tcPr>
            <w:tcW w:w="710" w:type="dxa"/>
            <w:tcBorders>
              <w:top w:val="single" w:color="auto" w:sz="4" w:space="0"/>
              <w:left w:val="nil"/>
              <w:bottom w:val="single" w:color="auto" w:sz="4" w:space="0"/>
              <w:right w:val="single" w:color="auto" w:sz="4" w:space="0"/>
            </w:tcBorders>
          </w:tcPr>
          <w:p w14:paraId="092D1B61">
            <w:pPr>
              <w:pStyle w:val="52"/>
              <w:bidi w:val="0"/>
            </w:pPr>
            <w:r>
              <w:t>9</w:t>
            </w:r>
          </w:p>
        </w:tc>
        <w:tc>
          <w:tcPr>
            <w:tcW w:w="2243" w:type="dxa"/>
            <w:tcBorders>
              <w:top w:val="single" w:color="auto" w:sz="4" w:space="0"/>
              <w:left w:val="nil"/>
              <w:bottom w:val="single" w:color="auto" w:sz="4" w:space="0"/>
              <w:right w:val="single" w:color="auto" w:sz="4" w:space="0"/>
            </w:tcBorders>
            <w:shd w:val="clear" w:color="auto" w:fill="auto"/>
            <w:noWrap/>
            <w:vAlign w:val="center"/>
          </w:tcPr>
          <w:p w14:paraId="22800FC3">
            <w:pPr>
              <w:jc w:val="center"/>
              <w:rPr>
                <w:rFonts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rPr>
              <w:t>古洞桥</w:t>
            </w:r>
          </w:p>
        </w:tc>
        <w:tc>
          <w:tcPr>
            <w:tcW w:w="1498" w:type="dxa"/>
            <w:tcBorders>
              <w:top w:val="single" w:color="auto" w:sz="4" w:space="0"/>
              <w:left w:val="nil"/>
              <w:bottom w:val="single" w:color="auto" w:sz="4" w:space="0"/>
              <w:right w:val="single" w:color="auto" w:sz="4" w:space="0"/>
            </w:tcBorders>
            <w:shd w:val="clear" w:color="auto" w:fill="auto"/>
            <w:vAlign w:val="center"/>
          </w:tcPr>
          <w:p w14:paraId="25E9762C">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lang w:val="en-US" w:eastAsia="zh-CN"/>
              </w:rPr>
              <w:t>SW</w:t>
            </w:r>
          </w:p>
        </w:tc>
        <w:tc>
          <w:tcPr>
            <w:tcW w:w="1199" w:type="dxa"/>
            <w:gridSpan w:val="2"/>
            <w:tcBorders>
              <w:top w:val="single" w:color="auto" w:sz="4" w:space="0"/>
              <w:left w:val="nil"/>
              <w:bottom w:val="single" w:color="auto" w:sz="4" w:space="0"/>
              <w:right w:val="single" w:color="auto" w:sz="4" w:space="0"/>
            </w:tcBorders>
            <w:shd w:val="clear" w:color="auto" w:fill="auto"/>
            <w:vAlign w:val="center"/>
          </w:tcPr>
          <w:p w14:paraId="086730A8">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lang w:val="en-US" w:eastAsia="zh-CN"/>
              </w:rPr>
              <w:t>1222</w:t>
            </w:r>
          </w:p>
        </w:tc>
        <w:tc>
          <w:tcPr>
            <w:tcW w:w="1318" w:type="dxa"/>
            <w:tcBorders>
              <w:top w:val="single" w:color="auto" w:sz="4" w:space="0"/>
              <w:left w:val="nil"/>
              <w:bottom w:val="single" w:color="auto" w:sz="4" w:space="0"/>
              <w:right w:val="single" w:color="auto" w:sz="4" w:space="0"/>
            </w:tcBorders>
          </w:tcPr>
          <w:p w14:paraId="79C2591F">
            <w:pPr>
              <w:pStyle w:val="52"/>
              <w:bidi w:val="0"/>
            </w:pPr>
            <w:r>
              <w:rPr>
                <w:rFonts w:hint="eastAsia"/>
                <w:lang w:val="en-US" w:eastAsia="zh-CN"/>
              </w:rPr>
              <w:t>居住区</w:t>
            </w:r>
          </w:p>
        </w:tc>
        <w:tc>
          <w:tcPr>
            <w:tcW w:w="904" w:type="dxa"/>
            <w:tcBorders>
              <w:top w:val="single" w:color="auto" w:sz="4" w:space="0"/>
              <w:left w:val="nil"/>
              <w:bottom w:val="single" w:color="auto" w:sz="4" w:space="0"/>
              <w:right w:val="single" w:color="auto" w:sz="4" w:space="0"/>
            </w:tcBorders>
            <w:vAlign w:val="center"/>
          </w:tcPr>
          <w:p w14:paraId="2FE1EE07">
            <w:pPr>
              <w:pStyle w:val="52"/>
              <w:bidi w:val="0"/>
              <w:rPr>
                <w:rFonts w:hint="default" w:eastAsia="宋体"/>
                <w:lang w:val="en-US" w:eastAsia="zh-CN"/>
              </w:rPr>
            </w:pPr>
            <w:r>
              <w:rPr>
                <w:rFonts w:hint="eastAsia"/>
                <w:lang w:val="en-US" w:eastAsia="zh-CN"/>
              </w:rPr>
              <w:t>120</w:t>
            </w:r>
          </w:p>
        </w:tc>
      </w:tr>
      <w:tr w14:paraId="77C5DA90">
        <w:tblPrEx>
          <w:tblCellMar>
            <w:top w:w="0" w:type="dxa"/>
            <w:left w:w="108" w:type="dxa"/>
            <w:bottom w:w="0" w:type="dxa"/>
            <w:right w:w="108" w:type="dxa"/>
          </w:tblCellMar>
        </w:tblPrEx>
        <w:trPr>
          <w:trHeight w:val="300" w:hRule="atLeast"/>
        </w:trPr>
        <w:tc>
          <w:tcPr>
            <w:tcW w:w="649" w:type="dxa"/>
            <w:vMerge w:val="continue"/>
            <w:tcBorders>
              <w:top w:val="nil"/>
              <w:left w:val="single" w:color="auto" w:sz="4" w:space="0"/>
              <w:bottom w:val="single" w:color="auto" w:sz="4" w:space="0"/>
              <w:right w:val="single" w:color="auto" w:sz="4" w:space="0"/>
            </w:tcBorders>
            <w:vAlign w:val="center"/>
          </w:tcPr>
          <w:p w14:paraId="744F4553">
            <w:pPr>
              <w:pStyle w:val="52"/>
              <w:bidi w:val="0"/>
            </w:pPr>
          </w:p>
        </w:tc>
        <w:tc>
          <w:tcPr>
            <w:tcW w:w="710" w:type="dxa"/>
            <w:tcBorders>
              <w:top w:val="single" w:color="auto" w:sz="4" w:space="0"/>
              <w:left w:val="nil"/>
              <w:bottom w:val="single" w:color="auto" w:sz="4" w:space="0"/>
              <w:right w:val="single" w:color="auto" w:sz="4" w:space="0"/>
            </w:tcBorders>
          </w:tcPr>
          <w:p w14:paraId="20238028">
            <w:pPr>
              <w:pStyle w:val="52"/>
              <w:bidi w:val="0"/>
            </w:pPr>
            <w:r>
              <w:t>10</w:t>
            </w:r>
          </w:p>
        </w:tc>
        <w:tc>
          <w:tcPr>
            <w:tcW w:w="2243" w:type="dxa"/>
            <w:tcBorders>
              <w:top w:val="single" w:color="auto" w:sz="4" w:space="0"/>
              <w:left w:val="nil"/>
              <w:bottom w:val="single" w:color="auto" w:sz="4" w:space="0"/>
              <w:right w:val="single" w:color="auto" w:sz="4" w:space="0"/>
            </w:tcBorders>
            <w:shd w:val="clear" w:color="auto" w:fill="auto"/>
            <w:noWrap/>
            <w:vAlign w:val="center"/>
          </w:tcPr>
          <w:p w14:paraId="0CF853E1">
            <w:pPr>
              <w:jc w:val="center"/>
              <w:rPr>
                <w:rFonts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rPr>
              <w:t>夹银湾</w:t>
            </w:r>
          </w:p>
        </w:tc>
        <w:tc>
          <w:tcPr>
            <w:tcW w:w="1498" w:type="dxa"/>
            <w:tcBorders>
              <w:top w:val="single" w:color="auto" w:sz="4" w:space="0"/>
              <w:left w:val="nil"/>
              <w:bottom w:val="single" w:color="auto" w:sz="4" w:space="0"/>
              <w:right w:val="single" w:color="auto" w:sz="4" w:space="0"/>
            </w:tcBorders>
            <w:shd w:val="clear" w:color="auto" w:fill="auto"/>
            <w:vAlign w:val="center"/>
          </w:tcPr>
          <w:p w14:paraId="2DB68DF2">
            <w:pPr>
              <w:jc w:val="center"/>
              <w:rPr>
                <w:rFonts w:hint="eastAsia"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lang w:val="en-US" w:eastAsia="zh-CN"/>
              </w:rPr>
              <w:t>S</w:t>
            </w:r>
          </w:p>
        </w:tc>
        <w:tc>
          <w:tcPr>
            <w:tcW w:w="1199" w:type="dxa"/>
            <w:gridSpan w:val="2"/>
            <w:tcBorders>
              <w:top w:val="single" w:color="auto" w:sz="4" w:space="0"/>
              <w:left w:val="nil"/>
              <w:bottom w:val="single" w:color="auto" w:sz="4" w:space="0"/>
              <w:right w:val="single" w:color="auto" w:sz="4" w:space="0"/>
            </w:tcBorders>
            <w:shd w:val="clear" w:color="auto" w:fill="auto"/>
            <w:vAlign w:val="center"/>
          </w:tcPr>
          <w:p w14:paraId="4F704106">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lang w:val="en-US" w:eastAsia="zh-CN"/>
              </w:rPr>
              <w:t>1211</w:t>
            </w:r>
          </w:p>
        </w:tc>
        <w:tc>
          <w:tcPr>
            <w:tcW w:w="1318" w:type="dxa"/>
            <w:tcBorders>
              <w:top w:val="single" w:color="auto" w:sz="4" w:space="0"/>
              <w:left w:val="nil"/>
              <w:bottom w:val="single" w:color="auto" w:sz="4" w:space="0"/>
              <w:right w:val="single" w:color="auto" w:sz="4" w:space="0"/>
            </w:tcBorders>
            <w:vAlign w:val="center"/>
          </w:tcPr>
          <w:p w14:paraId="207B614B">
            <w:pPr>
              <w:pStyle w:val="52"/>
              <w:bidi w:val="0"/>
            </w:pPr>
            <w:r>
              <w:rPr>
                <w:rFonts w:hint="eastAsia"/>
                <w:lang w:val="en-US" w:eastAsia="zh-CN"/>
              </w:rPr>
              <w:t>居住区</w:t>
            </w:r>
          </w:p>
        </w:tc>
        <w:tc>
          <w:tcPr>
            <w:tcW w:w="904" w:type="dxa"/>
            <w:tcBorders>
              <w:top w:val="single" w:color="auto" w:sz="4" w:space="0"/>
              <w:left w:val="nil"/>
              <w:bottom w:val="single" w:color="auto" w:sz="4" w:space="0"/>
              <w:right w:val="single" w:color="auto" w:sz="4" w:space="0"/>
            </w:tcBorders>
            <w:vAlign w:val="center"/>
          </w:tcPr>
          <w:p w14:paraId="3850331E">
            <w:pPr>
              <w:pStyle w:val="52"/>
              <w:bidi w:val="0"/>
              <w:rPr>
                <w:rFonts w:hint="default" w:eastAsia="宋体"/>
                <w:lang w:val="en-US" w:eastAsia="zh-CN"/>
              </w:rPr>
            </w:pPr>
            <w:r>
              <w:rPr>
                <w:rFonts w:hint="eastAsia"/>
                <w:lang w:val="en-US" w:eastAsia="zh-CN"/>
              </w:rPr>
              <w:t>165</w:t>
            </w:r>
          </w:p>
        </w:tc>
      </w:tr>
      <w:tr w14:paraId="146A054D">
        <w:tblPrEx>
          <w:tblCellMar>
            <w:top w:w="0" w:type="dxa"/>
            <w:left w:w="108" w:type="dxa"/>
            <w:bottom w:w="0" w:type="dxa"/>
            <w:right w:w="108" w:type="dxa"/>
          </w:tblCellMar>
        </w:tblPrEx>
        <w:trPr>
          <w:trHeight w:val="300" w:hRule="atLeast"/>
        </w:trPr>
        <w:tc>
          <w:tcPr>
            <w:tcW w:w="649" w:type="dxa"/>
            <w:vMerge w:val="continue"/>
            <w:tcBorders>
              <w:top w:val="nil"/>
              <w:left w:val="single" w:color="auto" w:sz="4" w:space="0"/>
              <w:bottom w:val="single" w:color="auto" w:sz="4" w:space="0"/>
              <w:right w:val="single" w:color="auto" w:sz="4" w:space="0"/>
            </w:tcBorders>
            <w:vAlign w:val="center"/>
          </w:tcPr>
          <w:p w14:paraId="7C5ED041">
            <w:pPr>
              <w:pStyle w:val="52"/>
              <w:bidi w:val="0"/>
            </w:pPr>
          </w:p>
        </w:tc>
        <w:tc>
          <w:tcPr>
            <w:tcW w:w="710" w:type="dxa"/>
            <w:tcBorders>
              <w:top w:val="single" w:color="auto" w:sz="4" w:space="0"/>
              <w:left w:val="nil"/>
              <w:bottom w:val="single" w:color="auto" w:sz="4" w:space="0"/>
              <w:right w:val="single" w:color="auto" w:sz="4" w:space="0"/>
            </w:tcBorders>
          </w:tcPr>
          <w:p w14:paraId="5C6836E3">
            <w:pPr>
              <w:pStyle w:val="52"/>
              <w:bidi w:val="0"/>
            </w:pPr>
            <w:r>
              <w:t>11</w:t>
            </w:r>
          </w:p>
        </w:tc>
        <w:tc>
          <w:tcPr>
            <w:tcW w:w="2243" w:type="dxa"/>
            <w:tcBorders>
              <w:top w:val="single" w:color="auto" w:sz="4" w:space="0"/>
              <w:left w:val="nil"/>
              <w:bottom w:val="single" w:color="auto" w:sz="4" w:space="0"/>
              <w:right w:val="single" w:color="auto" w:sz="4" w:space="0"/>
            </w:tcBorders>
            <w:shd w:val="clear" w:color="auto" w:fill="auto"/>
            <w:noWrap/>
            <w:vAlign w:val="center"/>
          </w:tcPr>
          <w:p w14:paraId="250E8440">
            <w:pPr>
              <w:jc w:val="center"/>
              <w:rPr>
                <w:rFonts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rPr>
              <w:t>新洲镇</w:t>
            </w:r>
          </w:p>
        </w:tc>
        <w:tc>
          <w:tcPr>
            <w:tcW w:w="1498" w:type="dxa"/>
            <w:tcBorders>
              <w:top w:val="single" w:color="auto" w:sz="4" w:space="0"/>
              <w:left w:val="nil"/>
              <w:bottom w:val="single" w:color="auto" w:sz="4" w:space="0"/>
              <w:right w:val="single" w:color="auto" w:sz="4" w:space="0"/>
            </w:tcBorders>
            <w:shd w:val="clear" w:color="auto" w:fill="auto"/>
            <w:vAlign w:val="center"/>
          </w:tcPr>
          <w:p w14:paraId="38F4404D">
            <w:pPr>
              <w:jc w:val="center"/>
              <w:rPr>
                <w:rFonts w:hint="eastAsia"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lang w:val="en-US" w:eastAsia="zh-CN"/>
              </w:rPr>
              <w:t>S</w:t>
            </w:r>
          </w:p>
        </w:tc>
        <w:tc>
          <w:tcPr>
            <w:tcW w:w="1199" w:type="dxa"/>
            <w:gridSpan w:val="2"/>
            <w:tcBorders>
              <w:top w:val="single" w:color="auto" w:sz="4" w:space="0"/>
              <w:left w:val="nil"/>
              <w:bottom w:val="single" w:color="auto" w:sz="4" w:space="0"/>
              <w:right w:val="single" w:color="auto" w:sz="4" w:space="0"/>
            </w:tcBorders>
            <w:shd w:val="clear" w:color="auto" w:fill="auto"/>
            <w:vAlign w:val="center"/>
          </w:tcPr>
          <w:p w14:paraId="0D539488">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lang w:val="en-US" w:eastAsia="zh-CN"/>
              </w:rPr>
              <w:t>595</w:t>
            </w:r>
          </w:p>
        </w:tc>
        <w:tc>
          <w:tcPr>
            <w:tcW w:w="1318" w:type="dxa"/>
            <w:tcBorders>
              <w:top w:val="single" w:color="auto" w:sz="4" w:space="0"/>
              <w:left w:val="nil"/>
              <w:bottom w:val="single" w:color="auto" w:sz="4" w:space="0"/>
              <w:right w:val="single" w:color="auto" w:sz="4" w:space="0"/>
            </w:tcBorders>
            <w:vAlign w:val="center"/>
          </w:tcPr>
          <w:p w14:paraId="5A75CE9E">
            <w:pPr>
              <w:pStyle w:val="52"/>
              <w:bidi w:val="0"/>
            </w:pPr>
            <w:r>
              <w:rPr>
                <w:rFonts w:hint="eastAsia"/>
                <w:lang w:val="en-US" w:eastAsia="zh-CN"/>
              </w:rPr>
              <w:t>居住区</w:t>
            </w:r>
          </w:p>
        </w:tc>
        <w:tc>
          <w:tcPr>
            <w:tcW w:w="904" w:type="dxa"/>
            <w:tcBorders>
              <w:top w:val="single" w:color="auto" w:sz="4" w:space="0"/>
              <w:left w:val="nil"/>
              <w:bottom w:val="single" w:color="auto" w:sz="4" w:space="0"/>
              <w:right w:val="single" w:color="auto" w:sz="4" w:space="0"/>
            </w:tcBorders>
            <w:vAlign w:val="center"/>
          </w:tcPr>
          <w:p w14:paraId="7484597D">
            <w:pPr>
              <w:pStyle w:val="52"/>
              <w:bidi w:val="0"/>
              <w:rPr>
                <w:rFonts w:hint="default" w:eastAsia="宋体"/>
                <w:lang w:val="en-US" w:eastAsia="zh-CN"/>
              </w:rPr>
            </w:pPr>
            <w:r>
              <w:rPr>
                <w:rFonts w:hint="eastAsia"/>
                <w:lang w:val="en-US" w:eastAsia="zh-CN"/>
              </w:rPr>
              <w:t>5000</w:t>
            </w:r>
          </w:p>
        </w:tc>
      </w:tr>
      <w:tr w14:paraId="2D8D23C4">
        <w:tblPrEx>
          <w:tblCellMar>
            <w:top w:w="0" w:type="dxa"/>
            <w:left w:w="108" w:type="dxa"/>
            <w:bottom w:w="0" w:type="dxa"/>
            <w:right w:w="108" w:type="dxa"/>
          </w:tblCellMar>
        </w:tblPrEx>
        <w:trPr>
          <w:trHeight w:val="300" w:hRule="atLeast"/>
        </w:trPr>
        <w:tc>
          <w:tcPr>
            <w:tcW w:w="649" w:type="dxa"/>
            <w:vMerge w:val="continue"/>
            <w:tcBorders>
              <w:top w:val="nil"/>
              <w:left w:val="single" w:color="auto" w:sz="4" w:space="0"/>
              <w:bottom w:val="single" w:color="auto" w:sz="4" w:space="0"/>
              <w:right w:val="single" w:color="auto" w:sz="4" w:space="0"/>
            </w:tcBorders>
            <w:vAlign w:val="center"/>
          </w:tcPr>
          <w:p w14:paraId="425A1C3C">
            <w:pPr>
              <w:pStyle w:val="52"/>
              <w:bidi w:val="0"/>
            </w:pPr>
          </w:p>
        </w:tc>
        <w:tc>
          <w:tcPr>
            <w:tcW w:w="710" w:type="dxa"/>
            <w:tcBorders>
              <w:top w:val="single" w:color="auto" w:sz="4" w:space="0"/>
              <w:left w:val="nil"/>
              <w:bottom w:val="single" w:color="auto" w:sz="4" w:space="0"/>
              <w:right w:val="single" w:color="auto" w:sz="4" w:space="0"/>
            </w:tcBorders>
          </w:tcPr>
          <w:p w14:paraId="15FA0BA8">
            <w:pPr>
              <w:pStyle w:val="52"/>
              <w:bidi w:val="0"/>
            </w:pPr>
            <w:r>
              <w:t>12</w:t>
            </w:r>
          </w:p>
        </w:tc>
        <w:tc>
          <w:tcPr>
            <w:tcW w:w="2243" w:type="dxa"/>
            <w:tcBorders>
              <w:top w:val="single" w:color="auto" w:sz="4" w:space="0"/>
              <w:left w:val="nil"/>
              <w:bottom w:val="single" w:color="auto" w:sz="4" w:space="0"/>
              <w:right w:val="single" w:color="auto" w:sz="4" w:space="0"/>
            </w:tcBorders>
            <w:shd w:val="clear" w:color="auto" w:fill="auto"/>
            <w:noWrap/>
            <w:vAlign w:val="center"/>
          </w:tcPr>
          <w:p w14:paraId="349DE80D">
            <w:pPr>
              <w:jc w:val="center"/>
              <w:rPr>
                <w:rFonts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rPr>
              <w:t>孟姜女社区</w:t>
            </w:r>
          </w:p>
        </w:tc>
        <w:tc>
          <w:tcPr>
            <w:tcW w:w="1498" w:type="dxa"/>
            <w:tcBorders>
              <w:top w:val="single" w:color="auto" w:sz="4" w:space="0"/>
              <w:left w:val="nil"/>
              <w:bottom w:val="single" w:color="auto" w:sz="4" w:space="0"/>
              <w:right w:val="single" w:color="auto" w:sz="4" w:space="0"/>
            </w:tcBorders>
            <w:shd w:val="clear" w:color="auto" w:fill="auto"/>
            <w:vAlign w:val="center"/>
          </w:tcPr>
          <w:p w14:paraId="28DC0128">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lang w:val="en-US" w:eastAsia="zh-CN"/>
              </w:rPr>
              <w:t>SE</w:t>
            </w:r>
          </w:p>
        </w:tc>
        <w:tc>
          <w:tcPr>
            <w:tcW w:w="1199" w:type="dxa"/>
            <w:gridSpan w:val="2"/>
            <w:tcBorders>
              <w:top w:val="single" w:color="auto" w:sz="4" w:space="0"/>
              <w:left w:val="nil"/>
              <w:bottom w:val="single" w:color="auto" w:sz="4" w:space="0"/>
              <w:right w:val="single" w:color="auto" w:sz="4" w:space="0"/>
            </w:tcBorders>
            <w:shd w:val="clear" w:color="auto" w:fill="auto"/>
            <w:vAlign w:val="center"/>
          </w:tcPr>
          <w:p w14:paraId="1B252B7B">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lang w:val="en-US" w:eastAsia="zh-CN"/>
              </w:rPr>
              <w:t>831</w:t>
            </w:r>
          </w:p>
        </w:tc>
        <w:tc>
          <w:tcPr>
            <w:tcW w:w="1318" w:type="dxa"/>
            <w:tcBorders>
              <w:top w:val="single" w:color="auto" w:sz="4" w:space="0"/>
              <w:left w:val="nil"/>
              <w:bottom w:val="single" w:color="auto" w:sz="4" w:space="0"/>
              <w:right w:val="single" w:color="auto" w:sz="4" w:space="0"/>
            </w:tcBorders>
          </w:tcPr>
          <w:p w14:paraId="7C01E040">
            <w:pPr>
              <w:pStyle w:val="52"/>
              <w:bidi w:val="0"/>
            </w:pPr>
            <w:r>
              <w:rPr>
                <w:rFonts w:hint="eastAsia"/>
                <w:lang w:val="en-US" w:eastAsia="zh-CN"/>
              </w:rPr>
              <w:t>居住区</w:t>
            </w:r>
          </w:p>
        </w:tc>
        <w:tc>
          <w:tcPr>
            <w:tcW w:w="904" w:type="dxa"/>
            <w:tcBorders>
              <w:top w:val="single" w:color="auto" w:sz="4" w:space="0"/>
              <w:left w:val="nil"/>
              <w:bottom w:val="single" w:color="auto" w:sz="4" w:space="0"/>
              <w:right w:val="single" w:color="auto" w:sz="4" w:space="0"/>
            </w:tcBorders>
            <w:vAlign w:val="center"/>
          </w:tcPr>
          <w:p w14:paraId="6F04FDE5">
            <w:pPr>
              <w:pStyle w:val="52"/>
              <w:bidi w:val="0"/>
              <w:rPr>
                <w:rFonts w:hint="default" w:eastAsia="宋体"/>
                <w:lang w:val="en-US" w:eastAsia="zh-CN"/>
              </w:rPr>
            </w:pPr>
            <w:r>
              <w:rPr>
                <w:rFonts w:hint="eastAsia"/>
                <w:lang w:val="en-US" w:eastAsia="zh-CN"/>
              </w:rPr>
              <w:t>240</w:t>
            </w:r>
          </w:p>
        </w:tc>
      </w:tr>
      <w:tr w14:paraId="594FEC54">
        <w:tblPrEx>
          <w:tblCellMar>
            <w:top w:w="0" w:type="dxa"/>
            <w:left w:w="108" w:type="dxa"/>
            <w:bottom w:w="0" w:type="dxa"/>
            <w:right w:w="108" w:type="dxa"/>
          </w:tblCellMar>
        </w:tblPrEx>
        <w:trPr>
          <w:trHeight w:val="300" w:hRule="atLeast"/>
        </w:trPr>
        <w:tc>
          <w:tcPr>
            <w:tcW w:w="649" w:type="dxa"/>
            <w:vMerge w:val="continue"/>
            <w:tcBorders>
              <w:top w:val="nil"/>
              <w:left w:val="single" w:color="auto" w:sz="4" w:space="0"/>
              <w:bottom w:val="single" w:color="auto" w:sz="4" w:space="0"/>
              <w:right w:val="single" w:color="auto" w:sz="4" w:space="0"/>
            </w:tcBorders>
            <w:vAlign w:val="center"/>
          </w:tcPr>
          <w:p w14:paraId="1AA1ED7F">
            <w:pPr>
              <w:pStyle w:val="52"/>
              <w:bidi w:val="0"/>
            </w:pPr>
          </w:p>
        </w:tc>
        <w:tc>
          <w:tcPr>
            <w:tcW w:w="710" w:type="dxa"/>
            <w:tcBorders>
              <w:top w:val="single" w:color="auto" w:sz="4" w:space="0"/>
              <w:left w:val="nil"/>
              <w:bottom w:val="single" w:color="auto" w:sz="4" w:space="0"/>
              <w:right w:val="single" w:color="auto" w:sz="4" w:space="0"/>
            </w:tcBorders>
          </w:tcPr>
          <w:p w14:paraId="5120EC10">
            <w:pPr>
              <w:pStyle w:val="52"/>
              <w:bidi w:val="0"/>
            </w:pPr>
            <w:r>
              <w:t>13</w:t>
            </w:r>
          </w:p>
        </w:tc>
        <w:tc>
          <w:tcPr>
            <w:tcW w:w="2243" w:type="dxa"/>
            <w:tcBorders>
              <w:top w:val="single" w:color="auto" w:sz="4" w:space="0"/>
              <w:left w:val="nil"/>
              <w:bottom w:val="single" w:color="auto" w:sz="4" w:space="0"/>
              <w:right w:val="single" w:color="auto" w:sz="4" w:space="0"/>
            </w:tcBorders>
            <w:shd w:val="clear" w:color="auto" w:fill="auto"/>
            <w:noWrap/>
            <w:vAlign w:val="center"/>
          </w:tcPr>
          <w:p w14:paraId="770D143A">
            <w:pPr>
              <w:jc w:val="center"/>
              <w:rPr>
                <w:rFonts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rPr>
              <w:t>津市第三中学</w:t>
            </w:r>
          </w:p>
        </w:tc>
        <w:tc>
          <w:tcPr>
            <w:tcW w:w="1498" w:type="dxa"/>
            <w:tcBorders>
              <w:top w:val="single" w:color="auto" w:sz="4" w:space="0"/>
              <w:left w:val="nil"/>
              <w:bottom w:val="single" w:color="auto" w:sz="4" w:space="0"/>
              <w:right w:val="single" w:color="auto" w:sz="4" w:space="0"/>
            </w:tcBorders>
            <w:shd w:val="clear" w:color="auto" w:fill="auto"/>
            <w:vAlign w:val="center"/>
          </w:tcPr>
          <w:p w14:paraId="4BCDDCEC">
            <w:pPr>
              <w:jc w:val="center"/>
              <w:rPr>
                <w:rFonts w:hint="eastAsia"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lang w:val="en-US" w:eastAsia="zh-CN"/>
              </w:rPr>
              <w:t>S</w:t>
            </w:r>
          </w:p>
        </w:tc>
        <w:tc>
          <w:tcPr>
            <w:tcW w:w="1199" w:type="dxa"/>
            <w:gridSpan w:val="2"/>
            <w:tcBorders>
              <w:top w:val="single" w:color="auto" w:sz="4" w:space="0"/>
              <w:left w:val="nil"/>
              <w:bottom w:val="single" w:color="auto" w:sz="4" w:space="0"/>
              <w:right w:val="single" w:color="auto" w:sz="4" w:space="0"/>
            </w:tcBorders>
            <w:shd w:val="clear" w:color="auto" w:fill="auto"/>
            <w:vAlign w:val="center"/>
          </w:tcPr>
          <w:p w14:paraId="33A11A49">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lang w:val="en-US" w:eastAsia="zh-CN"/>
              </w:rPr>
              <w:t>711</w:t>
            </w:r>
          </w:p>
        </w:tc>
        <w:tc>
          <w:tcPr>
            <w:tcW w:w="1318" w:type="dxa"/>
            <w:tcBorders>
              <w:top w:val="single" w:color="auto" w:sz="4" w:space="0"/>
              <w:left w:val="nil"/>
              <w:bottom w:val="single" w:color="auto" w:sz="4" w:space="0"/>
              <w:right w:val="single" w:color="auto" w:sz="4" w:space="0"/>
            </w:tcBorders>
          </w:tcPr>
          <w:p w14:paraId="467A201C">
            <w:pPr>
              <w:pStyle w:val="52"/>
              <w:bidi w:val="0"/>
              <w:rPr>
                <w:rFonts w:hint="default" w:eastAsia="宋体"/>
                <w:lang w:val="en-US" w:eastAsia="zh-CN"/>
              </w:rPr>
            </w:pPr>
            <w:r>
              <w:rPr>
                <w:rFonts w:hint="eastAsia"/>
                <w:lang w:val="en-US" w:eastAsia="zh-CN"/>
              </w:rPr>
              <w:t>文化教育</w:t>
            </w:r>
          </w:p>
        </w:tc>
        <w:tc>
          <w:tcPr>
            <w:tcW w:w="904" w:type="dxa"/>
            <w:tcBorders>
              <w:top w:val="single" w:color="auto" w:sz="4" w:space="0"/>
              <w:left w:val="nil"/>
              <w:bottom w:val="single" w:color="auto" w:sz="4" w:space="0"/>
              <w:right w:val="single" w:color="auto" w:sz="4" w:space="0"/>
            </w:tcBorders>
            <w:vAlign w:val="center"/>
          </w:tcPr>
          <w:p w14:paraId="562EB7D9">
            <w:pPr>
              <w:pStyle w:val="52"/>
              <w:bidi w:val="0"/>
              <w:rPr>
                <w:rFonts w:hint="default" w:eastAsia="宋体"/>
                <w:lang w:val="en-US" w:eastAsia="zh-CN"/>
              </w:rPr>
            </w:pPr>
            <w:r>
              <w:rPr>
                <w:rFonts w:hint="eastAsia"/>
                <w:lang w:val="en-US" w:eastAsia="zh-CN"/>
              </w:rPr>
              <w:t>700</w:t>
            </w:r>
          </w:p>
        </w:tc>
      </w:tr>
      <w:tr w14:paraId="32B424A0">
        <w:tblPrEx>
          <w:tblCellMar>
            <w:top w:w="0" w:type="dxa"/>
            <w:left w:w="108" w:type="dxa"/>
            <w:bottom w:w="0" w:type="dxa"/>
            <w:right w:w="108" w:type="dxa"/>
          </w:tblCellMar>
        </w:tblPrEx>
        <w:trPr>
          <w:trHeight w:val="300" w:hRule="atLeast"/>
        </w:trPr>
        <w:tc>
          <w:tcPr>
            <w:tcW w:w="649" w:type="dxa"/>
            <w:vMerge w:val="continue"/>
            <w:tcBorders>
              <w:top w:val="nil"/>
              <w:left w:val="single" w:color="auto" w:sz="4" w:space="0"/>
              <w:bottom w:val="single" w:color="auto" w:sz="4" w:space="0"/>
              <w:right w:val="single" w:color="auto" w:sz="4" w:space="0"/>
            </w:tcBorders>
            <w:vAlign w:val="center"/>
          </w:tcPr>
          <w:p w14:paraId="6A2A2CF4">
            <w:pPr>
              <w:pStyle w:val="52"/>
              <w:bidi w:val="0"/>
            </w:pPr>
          </w:p>
        </w:tc>
        <w:tc>
          <w:tcPr>
            <w:tcW w:w="710" w:type="dxa"/>
            <w:tcBorders>
              <w:top w:val="single" w:color="auto" w:sz="4" w:space="0"/>
              <w:left w:val="nil"/>
              <w:bottom w:val="single" w:color="auto" w:sz="4" w:space="0"/>
              <w:right w:val="single" w:color="auto" w:sz="4" w:space="0"/>
            </w:tcBorders>
          </w:tcPr>
          <w:p w14:paraId="6F0B6FB1">
            <w:pPr>
              <w:pStyle w:val="52"/>
              <w:bidi w:val="0"/>
            </w:pPr>
            <w:r>
              <w:t>14</w:t>
            </w:r>
          </w:p>
        </w:tc>
        <w:tc>
          <w:tcPr>
            <w:tcW w:w="2243" w:type="dxa"/>
            <w:tcBorders>
              <w:top w:val="single" w:color="auto" w:sz="4" w:space="0"/>
              <w:left w:val="nil"/>
              <w:bottom w:val="single" w:color="auto" w:sz="4" w:space="0"/>
              <w:right w:val="single" w:color="auto" w:sz="4" w:space="0"/>
            </w:tcBorders>
            <w:shd w:val="clear" w:color="auto" w:fill="auto"/>
            <w:noWrap/>
            <w:vAlign w:val="center"/>
          </w:tcPr>
          <w:p w14:paraId="24C8DE73">
            <w:pPr>
              <w:jc w:val="center"/>
              <w:rPr>
                <w:rFonts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rPr>
              <w:t>新洲镇中学</w:t>
            </w:r>
          </w:p>
        </w:tc>
        <w:tc>
          <w:tcPr>
            <w:tcW w:w="1498" w:type="dxa"/>
            <w:tcBorders>
              <w:top w:val="single" w:color="auto" w:sz="4" w:space="0"/>
              <w:left w:val="nil"/>
              <w:bottom w:val="single" w:color="auto" w:sz="4" w:space="0"/>
              <w:right w:val="single" w:color="auto" w:sz="4" w:space="0"/>
            </w:tcBorders>
            <w:shd w:val="clear" w:color="auto" w:fill="auto"/>
            <w:vAlign w:val="center"/>
          </w:tcPr>
          <w:p w14:paraId="490AB313">
            <w:pPr>
              <w:jc w:val="center"/>
              <w:rPr>
                <w:rFonts w:hint="eastAsia"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lang w:val="en-US" w:eastAsia="zh-CN"/>
              </w:rPr>
              <w:t>S</w:t>
            </w:r>
          </w:p>
        </w:tc>
        <w:tc>
          <w:tcPr>
            <w:tcW w:w="1199" w:type="dxa"/>
            <w:gridSpan w:val="2"/>
            <w:tcBorders>
              <w:top w:val="single" w:color="auto" w:sz="4" w:space="0"/>
              <w:left w:val="nil"/>
              <w:bottom w:val="single" w:color="auto" w:sz="4" w:space="0"/>
              <w:right w:val="single" w:color="auto" w:sz="4" w:space="0"/>
            </w:tcBorders>
            <w:shd w:val="clear" w:color="auto" w:fill="auto"/>
            <w:vAlign w:val="center"/>
          </w:tcPr>
          <w:p w14:paraId="3A84BCD0">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lang w:val="en-US" w:eastAsia="zh-CN"/>
              </w:rPr>
              <w:t>418</w:t>
            </w:r>
          </w:p>
        </w:tc>
        <w:tc>
          <w:tcPr>
            <w:tcW w:w="1318" w:type="dxa"/>
            <w:tcBorders>
              <w:top w:val="single" w:color="auto" w:sz="4" w:space="0"/>
              <w:left w:val="nil"/>
              <w:bottom w:val="single" w:color="auto" w:sz="4" w:space="0"/>
              <w:right w:val="single" w:color="auto" w:sz="4" w:space="0"/>
            </w:tcBorders>
          </w:tcPr>
          <w:p w14:paraId="114C5A65">
            <w:pPr>
              <w:pStyle w:val="52"/>
              <w:bidi w:val="0"/>
              <w:rPr>
                <w:rFonts w:hint="default" w:eastAsia="宋体"/>
                <w:lang w:val="en-US" w:eastAsia="zh-CN"/>
              </w:rPr>
            </w:pPr>
            <w:r>
              <w:rPr>
                <w:rFonts w:hint="eastAsia"/>
                <w:lang w:val="en-US" w:eastAsia="zh-CN"/>
              </w:rPr>
              <w:t>文化教育</w:t>
            </w:r>
          </w:p>
        </w:tc>
        <w:tc>
          <w:tcPr>
            <w:tcW w:w="904" w:type="dxa"/>
            <w:tcBorders>
              <w:top w:val="single" w:color="auto" w:sz="4" w:space="0"/>
              <w:left w:val="nil"/>
              <w:bottom w:val="single" w:color="auto" w:sz="4" w:space="0"/>
              <w:right w:val="single" w:color="auto" w:sz="4" w:space="0"/>
            </w:tcBorders>
            <w:vAlign w:val="center"/>
          </w:tcPr>
          <w:p w14:paraId="39349E92">
            <w:pPr>
              <w:pStyle w:val="52"/>
              <w:bidi w:val="0"/>
              <w:rPr>
                <w:rFonts w:hint="default" w:eastAsia="宋体"/>
                <w:lang w:val="en-US" w:eastAsia="zh-CN"/>
              </w:rPr>
            </w:pPr>
            <w:r>
              <w:rPr>
                <w:rFonts w:hint="eastAsia"/>
                <w:lang w:val="en-US" w:eastAsia="zh-CN"/>
              </w:rPr>
              <w:t>800</w:t>
            </w:r>
          </w:p>
        </w:tc>
      </w:tr>
      <w:tr w14:paraId="3C6F2BD2">
        <w:tblPrEx>
          <w:tblCellMar>
            <w:top w:w="0" w:type="dxa"/>
            <w:left w:w="108" w:type="dxa"/>
            <w:bottom w:w="0" w:type="dxa"/>
            <w:right w:w="108" w:type="dxa"/>
          </w:tblCellMar>
        </w:tblPrEx>
        <w:trPr>
          <w:trHeight w:val="300" w:hRule="atLeast"/>
        </w:trPr>
        <w:tc>
          <w:tcPr>
            <w:tcW w:w="649" w:type="dxa"/>
            <w:vMerge w:val="continue"/>
            <w:tcBorders>
              <w:top w:val="nil"/>
              <w:left w:val="single" w:color="auto" w:sz="4" w:space="0"/>
              <w:bottom w:val="single" w:color="auto" w:sz="4" w:space="0"/>
              <w:right w:val="single" w:color="auto" w:sz="4" w:space="0"/>
            </w:tcBorders>
            <w:vAlign w:val="center"/>
          </w:tcPr>
          <w:p w14:paraId="43EDE2F2">
            <w:pPr>
              <w:pStyle w:val="52"/>
              <w:bidi w:val="0"/>
            </w:pPr>
          </w:p>
        </w:tc>
        <w:tc>
          <w:tcPr>
            <w:tcW w:w="710" w:type="dxa"/>
            <w:tcBorders>
              <w:top w:val="single" w:color="auto" w:sz="4" w:space="0"/>
              <w:left w:val="nil"/>
              <w:bottom w:val="single" w:color="auto" w:sz="4" w:space="0"/>
              <w:right w:val="single" w:color="auto" w:sz="4" w:space="0"/>
            </w:tcBorders>
          </w:tcPr>
          <w:p w14:paraId="18282912">
            <w:pPr>
              <w:pStyle w:val="52"/>
              <w:bidi w:val="0"/>
            </w:pPr>
            <w:r>
              <w:t>15</w:t>
            </w:r>
          </w:p>
        </w:tc>
        <w:tc>
          <w:tcPr>
            <w:tcW w:w="2243" w:type="dxa"/>
            <w:tcBorders>
              <w:top w:val="single" w:color="auto" w:sz="4" w:space="0"/>
              <w:left w:val="nil"/>
              <w:bottom w:val="single" w:color="auto" w:sz="4" w:space="0"/>
              <w:right w:val="single" w:color="auto" w:sz="4" w:space="0"/>
            </w:tcBorders>
            <w:shd w:val="clear" w:color="auto" w:fill="auto"/>
            <w:noWrap/>
            <w:vAlign w:val="center"/>
          </w:tcPr>
          <w:p w14:paraId="57BC5222">
            <w:pPr>
              <w:jc w:val="center"/>
              <w:rPr>
                <w:rFonts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rPr>
              <w:t>新洲镇卫生院</w:t>
            </w:r>
          </w:p>
        </w:tc>
        <w:tc>
          <w:tcPr>
            <w:tcW w:w="1498" w:type="dxa"/>
            <w:tcBorders>
              <w:top w:val="single" w:color="auto" w:sz="4" w:space="0"/>
              <w:left w:val="nil"/>
              <w:bottom w:val="single" w:color="auto" w:sz="4" w:space="0"/>
              <w:right w:val="single" w:color="auto" w:sz="4" w:space="0"/>
            </w:tcBorders>
            <w:shd w:val="clear" w:color="auto" w:fill="auto"/>
            <w:vAlign w:val="center"/>
          </w:tcPr>
          <w:p w14:paraId="6EA7BDD6">
            <w:pPr>
              <w:jc w:val="center"/>
              <w:rPr>
                <w:rFonts w:hint="eastAsia"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lang w:val="en-US" w:eastAsia="zh-CN"/>
              </w:rPr>
              <w:t>S</w:t>
            </w:r>
          </w:p>
        </w:tc>
        <w:tc>
          <w:tcPr>
            <w:tcW w:w="1199" w:type="dxa"/>
            <w:gridSpan w:val="2"/>
            <w:tcBorders>
              <w:top w:val="single" w:color="auto" w:sz="4" w:space="0"/>
              <w:left w:val="nil"/>
              <w:bottom w:val="single" w:color="auto" w:sz="4" w:space="0"/>
              <w:right w:val="single" w:color="auto" w:sz="4" w:space="0"/>
            </w:tcBorders>
            <w:shd w:val="clear" w:color="auto" w:fill="auto"/>
            <w:vAlign w:val="center"/>
          </w:tcPr>
          <w:p w14:paraId="342AB2A1">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lang w:val="en-US" w:eastAsia="zh-CN"/>
              </w:rPr>
              <w:t>702</w:t>
            </w:r>
          </w:p>
        </w:tc>
        <w:tc>
          <w:tcPr>
            <w:tcW w:w="1318" w:type="dxa"/>
            <w:tcBorders>
              <w:top w:val="single" w:color="auto" w:sz="4" w:space="0"/>
              <w:left w:val="nil"/>
              <w:bottom w:val="single" w:color="auto" w:sz="4" w:space="0"/>
              <w:right w:val="single" w:color="auto" w:sz="4" w:space="0"/>
            </w:tcBorders>
          </w:tcPr>
          <w:p w14:paraId="651395F0">
            <w:pPr>
              <w:pStyle w:val="52"/>
              <w:bidi w:val="0"/>
              <w:rPr>
                <w:rFonts w:hint="default" w:eastAsia="宋体"/>
                <w:lang w:val="en-US" w:eastAsia="zh-CN"/>
              </w:rPr>
            </w:pPr>
            <w:r>
              <w:rPr>
                <w:rFonts w:hint="eastAsia"/>
                <w:lang w:val="en-US" w:eastAsia="zh-CN"/>
              </w:rPr>
              <w:t>医疗卫生</w:t>
            </w:r>
          </w:p>
        </w:tc>
        <w:tc>
          <w:tcPr>
            <w:tcW w:w="904" w:type="dxa"/>
            <w:tcBorders>
              <w:top w:val="single" w:color="auto" w:sz="4" w:space="0"/>
              <w:left w:val="nil"/>
              <w:bottom w:val="single" w:color="auto" w:sz="4" w:space="0"/>
              <w:right w:val="single" w:color="auto" w:sz="4" w:space="0"/>
            </w:tcBorders>
            <w:vAlign w:val="center"/>
          </w:tcPr>
          <w:p w14:paraId="3B6C1505">
            <w:pPr>
              <w:pStyle w:val="52"/>
              <w:bidi w:val="0"/>
              <w:rPr>
                <w:rFonts w:hint="eastAsia" w:eastAsia="宋体"/>
                <w:lang w:val="en-US" w:eastAsia="zh-CN"/>
              </w:rPr>
            </w:pPr>
            <w:r>
              <w:rPr>
                <w:rFonts w:hint="eastAsia"/>
                <w:lang w:val="en-US" w:eastAsia="zh-CN"/>
              </w:rPr>
              <w:t>/</w:t>
            </w:r>
          </w:p>
        </w:tc>
      </w:tr>
      <w:tr w14:paraId="3032094D">
        <w:tblPrEx>
          <w:tblCellMar>
            <w:top w:w="0" w:type="dxa"/>
            <w:left w:w="108" w:type="dxa"/>
            <w:bottom w:w="0" w:type="dxa"/>
            <w:right w:w="108" w:type="dxa"/>
          </w:tblCellMar>
        </w:tblPrEx>
        <w:trPr>
          <w:trHeight w:val="300" w:hRule="atLeast"/>
        </w:trPr>
        <w:tc>
          <w:tcPr>
            <w:tcW w:w="649" w:type="dxa"/>
            <w:vMerge w:val="continue"/>
            <w:tcBorders>
              <w:top w:val="nil"/>
              <w:left w:val="single" w:color="auto" w:sz="4" w:space="0"/>
              <w:bottom w:val="single" w:color="auto" w:sz="4" w:space="0"/>
              <w:right w:val="single" w:color="auto" w:sz="4" w:space="0"/>
            </w:tcBorders>
            <w:vAlign w:val="center"/>
          </w:tcPr>
          <w:p w14:paraId="0FF0EA50">
            <w:pPr>
              <w:pStyle w:val="52"/>
              <w:bidi w:val="0"/>
            </w:pPr>
          </w:p>
        </w:tc>
        <w:tc>
          <w:tcPr>
            <w:tcW w:w="710" w:type="dxa"/>
            <w:tcBorders>
              <w:top w:val="single" w:color="auto" w:sz="4" w:space="0"/>
              <w:left w:val="nil"/>
              <w:bottom w:val="single" w:color="auto" w:sz="4" w:space="0"/>
              <w:right w:val="single" w:color="auto" w:sz="4" w:space="0"/>
            </w:tcBorders>
          </w:tcPr>
          <w:p w14:paraId="2859BC6E">
            <w:pPr>
              <w:pStyle w:val="52"/>
              <w:bidi w:val="0"/>
            </w:pPr>
            <w:r>
              <w:t>16</w:t>
            </w:r>
          </w:p>
        </w:tc>
        <w:tc>
          <w:tcPr>
            <w:tcW w:w="2243" w:type="dxa"/>
            <w:tcBorders>
              <w:top w:val="single" w:color="auto" w:sz="4" w:space="0"/>
              <w:left w:val="nil"/>
              <w:bottom w:val="single" w:color="auto" w:sz="4" w:space="0"/>
              <w:right w:val="single" w:color="auto" w:sz="4" w:space="0"/>
            </w:tcBorders>
            <w:shd w:val="clear" w:color="auto" w:fill="auto"/>
            <w:noWrap/>
            <w:vAlign w:val="center"/>
          </w:tcPr>
          <w:p w14:paraId="159E98BD">
            <w:pPr>
              <w:jc w:val="center"/>
              <w:rPr>
                <w:rFonts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rPr>
              <w:t>嘉山社区</w:t>
            </w:r>
          </w:p>
        </w:tc>
        <w:tc>
          <w:tcPr>
            <w:tcW w:w="1498" w:type="dxa"/>
            <w:tcBorders>
              <w:top w:val="single" w:color="auto" w:sz="4" w:space="0"/>
              <w:left w:val="nil"/>
              <w:bottom w:val="single" w:color="auto" w:sz="4" w:space="0"/>
              <w:right w:val="single" w:color="auto" w:sz="4" w:space="0"/>
            </w:tcBorders>
            <w:shd w:val="clear" w:color="auto" w:fill="auto"/>
            <w:vAlign w:val="center"/>
          </w:tcPr>
          <w:p w14:paraId="005636CC">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lang w:val="en-US" w:eastAsia="zh-CN"/>
              </w:rPr>
              <w:t>SE</w:t>
            </w:r>
          </w:p>
        </w:tc>
        <w:tc>
          <w:tcPr>
            <w:tcW w:w="1199" w:type="dxa"/>
            <w:gridSpan w:val="2"/>
            <w:tcBorders>
              <w:top w:val="single" w:color="auto" w:sz="4" w:space="0"/>
              <w:left w:val="nil"/>
              <w:bottom w:val="single" w:color="auto" w:sz="4" w:space="0"/>
              <w:right w:val="single" w:color="auto" w:sz="4" w:space="0"/>
            </w:tcBorders>
            <w:shd w:val="clear" w:color="auto" w:fill="auto"/>
            <w:vAlign w:val="center"/>
          </w:tcPr>
          <w:p w14:paraId="0680E310">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lang w:val="en-US" w:eastAsia="zh-CN"/>
              </w:rPr>
              <w:t>1560</w:t>
            </w:r>
          </w:p>
        </w:tc>
        <w:tc>
          <w:tcPr>
            <w:tcW w:w="1318" w:type="dxa"/>
            <w:tcBorders>
              <w:top w:val="single" w:color="auto" w:sz="4" w:space="0"/>
              <w:left w:val="nil"/>
              <w:bottom w:val="single" w:color="auto" w:sz="4" w:space="0"/>
              <w:right w:val="single" w:color="auto" w:sz="4" w:space="0"/>
            </w:tcBorders>
          </w:tcPr>
          <w:p w14:paraId="1993A413">
            <w:pPr>
              <w:pStyle w:val="52"/>
              <w:bidi w:val="0"/>
            </w:pPr>
            <w:r>
              <w:rPr>
                <w:rFonts w:hint="eastAsia"/>
                <w:lang w:val="en-US" w:eastAsia="zh-CN"/>
              </w:rPr>
              <w:t>居住区</w:t>
            </w:r>
          </w:p>
        </w:tc>
        <w:tc>
          <w:tcPr>
            <w:tcW w:w="904" w:type="dxa"/>
            <w:tcBorders>
              <w:top w:val="single" w:color="auto" w:sz="4" w:space="0"/>
              <w:left w:val="nil"/>
              <w:bottom w:val="single" w:color="auto" w:sz="4" w:space="0"/>
              <w:right w:val="single" w:color="auto" w:sz="4" w:space="0"/>
            </w:tcBorders>
            <w:vAlign w:val="center"/>
          </w:tcPr>
          <w:p w14:paraId="500A24C9">
            <w:pPr>
              <w:pStyle w:val="52"/>
              <w:bidi w:val="0"/>
              <w:rPr>
                <w:rFonts w:hint="default" w:eastAsia="宋体"/>
                <w:lang w:val="en-US" w:eastAsia="zh-CN"/>
              </w:rPr>
            </w:pPr>
            <w:r>
              <w:rPr>
                <w:rFonts w:hint="eastAsia"/>
                <w:lang w:val="en-US" w:eastAsia="zh-CN"/>
              </w:rPr>
              <w:t>450</w:t>
            </w:r>
          </w:p>
        </w:tc>
      </w:tr>
      <w:tr w14:paraId="2A1600ED">
        <w:tblPrEx>
          <w:tblCellMar>
            <w:top w:w="0" w:type="dxa"/>
            <w:left w:w="108" w:type="dxa"/>
            <w:bottom w:w="0" w:type="dxa"/>
            <w:right w:w="108" w:type="dxa"/>
          </w:tblCellMar>
        </w:tblPrEx>
        <w:trPr>
          <w:trHeight w:val="300" w:hRule="atLeast"/>
        </w:trPr>
        <w:tc>
          <w:tcPr>
            <w:tcW w:w="649" w:type="dxa"/>
            <w:vMerge w:val="continue"/>
            <w:tcBorders>
              <w:top w:val="nil"/>
              <w:left w:val="single" w:color="auto" w:sz="4" w:space="0"/>
              <w:bottom w:val="single" w:color="auto" w:sz="4" w:space="0"/>
              <w:right w:val="single" w:color="auto" w:sz="4" w:space="0"/>
            </w:tcBorders>
            <w:vAlign w:val="center"/>
          </w:tcPr>
          <w:p w14:paraId="0A9B9BB4">
            <w:pPr>
              <w:pStyle w:val="52"/>
              <w:bidi w:val="0"/>
            </w:pPr>
          </w:p>
        </w:tc>
        <w:tc>
          <w:tcPr>
            <w:tcW w:w="710" w:type="dxa"/>
            <w:tcBorders>
              <w:top w:val="single" w:color="auto" w:sz="4" w:space="0"/>
              <w:left w:val="nil"/>
              <w:bottom w:val="single" w:color="auto" w:sz="4" w:space="0"/>
              <w:right w:val="single" w:color="auto" w:sz="4" w:space="0"/>
            </w:tcBorders>
          </w:tcPr>
          <w:p w14:paraId="0EB0FBDF">
            <w:pPr>
              <w:pStyle w:val="52"/>
              <w:bidi w:val="0"/>
            </w:pPr>
            <w:r>
              <w:t>17</w:t>
            </w:r>
          </w:p>
        </w:tc>
        <w:tc>
          <w:tcPr>
            <w:tcW w:w="2243" w:type="dxa"/>
            <w:tcBorders>
              <w:top w:val="single" w:color="auto" w:sz="4" w:space="0"/>
              <w:left w:val="nil"/>
              <w:bottom w:val="single" w:color="auto" w:sz="4" w:space="0"/>
              <w:right w:val="single" w:color="auto" w:sz="4" w:space="0"/>
            </w:tcBorders>
            <w:shd w:val="clear" w:color="auto" w:fill="auto"/>
            <w:noWrap/>
            <w:vAlign w:val="center"/>
          </w:tcPr>
          <w:p w14:paraId="36BB4552">
            <w:pPr>
              <w:jc w:val="center"/>
              <w:rPr>
                <w:rFonts w:hint="eastAsia"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lang w:val="en-US" w:eastAsia="zh-CN"/>
              </w:rPr>
              <w:t>新洲镇</w:t>
            </w:r>
          </w:p>
        </w:tc>
        <w:tc>
          <w:tcPr>
            <w:tcW w:w="1498" w:type="dxa"/>
            <w:tcBorders>
              <w:top w:val="single" w:color="auto" w:sz="4" w:space="0"/>
              <w:left w:val="nil"/>
              <w:bottom w:val="single" w:color="auto" w:sz="4" w:space="0"/>
              <w:right w:val="single" w:color="auto" w:sz="4" w:space="0"/>
            </w:tcBorders>
            <w:shd w:val="clear" w:color="auto" w:fill="auto"/>
            <w:vAlign w:val="center"/>
          </w:tcPr>
          <w:p w14:paraId="495F342E">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lang w:val="en-US" w:eastAsia="zh-CN"/>
              </w:rPr>
              <w:t>SE</w:t>
            </w:r>
          </w:p>
        </w:tc>
        <w:tc>
          <w:tcPr>
            <w:tcW w:w="1199" w:type="dxa"/>
            <w:gridSpan w:val="2"/>
            <w:tcBorders>
              <w:top w:val="single" w:color="auto" w:sz="4" w:space="0"/>
              <w:left w:val="nil"/>
              <w:bottom w:val="single" w:color="auto" w:sz="4" w:space="0"/>
              <w:right w:val="single" w:color="auto" w:sz="4" w:space="0"/>
            </w:tcBorders>
            <w:shd w:val="clear" w:color="auto" w:fill="auto"/>
            <w:vAlign w:val="center"/>
          </w:tcPr>
          <w:p w14:paraId="646196EF">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lang w:val="en-US" w:eastAsia="zh-CN"/>
              </w:rPr>
              <w:t>790</w:t>
            </w:r>
          </w:p>
        </w:tc>
        <w:tc>
          <w:tcPr>
            <w:tcW w:w="1318" w:type="dxa"/>
            <w:tcBorders>
              <w:top w:val="single" w:color="auto" w:sz="4" w:space="0"/>
              <w:left w:val="nil"/>
              <w:bottom w:val="single" w:color="auto" w:sz="4" w:space="0"/>
              <w:right w:val="single" w:color="auto" w:sz="4" w:space="0"/>
            </w:tcBorders>
          </w:tcPr>
          <w:p w14:paraId="0EE840F1">
            <w:pPr>
              <w:pStyle w:val="52"/>
              <w:bidi w:val="0"/>
            </w:pPr>
            <w:r>
              <w:rPr>
                <w:rFonts w:hint="eastAsia"/>
                <w:lang w:val="en-US" w:eastAsia="zh-CN"/>
              </w:rPr>
              <w:t>居住区</w:t>
            </w:r>
          </w:p>
        </w:tc>
        <w:tc>
          <w:tcPr>
            <w:tcW w:w="904" w:type="dxa"/>
            <w:tcBorders>
              <w:top w:val="single" w:color="auto" w:sz="4" w:space="0"/>
              <w:left w:val="nil"/>
              <w:bottom w:val="single" w:color="auto" w:sz="4" w:space="0"/>
              <w:right w:val="single" w:color="auto" w:sz="4" w:space="0"/>
            </w:tcBorders>
            <w:vAlign w:val="center"/>
          </w:tcPr>
          <w:p w14:paraId="7F102986">
            <w:pPr>
              <w:pStyle w:val="52"/>
              <w:bidi w:val="0"/>
              <w:rPr>
                <w:rFonts w:hint="default" w:eastAsia="宋体"/>
                <w:lang w:val="en-US" w:eastAsia="zh-CN"/>
              </w:rPr>
            </w:pPr>
            <w:r>
              <w:rPr>
                <w:rFonts w:hint="eastAsia"/>
                <w:lang w:val="en-US" w:eastAsia="zh-CN"/>
              </w:rPr>
              <w:t>9500</w:t>
            </w:r>
          </w:p>
        </w:tc>
      </w:tr>
      <w:tr w14:paraId="721280D8">
        <w:tblPrEx>
          <w:tblCellMar>
            <w:top w:w="0" w:type="dxa"/>
            <w:left w:w="108" w:type="dxa"/>
            <w:bottom w:w="0" w:type="dxa"/>
            <w:right w:w="108" w:type="dxa"/>
          </w:tblCellMar>
        </w:tblPrEx>
        <w:trPr>
          <w:trHeight w:val="300" w:hRule="atLeast"/>
        </w:trPr>
        <w:tc>
          <w:tcPr>
            <w:tcW w:w="649" w:type="dxa"/>
            <w:vMerge w:val="continue"/>
            <w:tcBorders>
              <w:top w:val="nil"/>
              <w:left w:val="single" w:color="auto" w:sz="4" w:space="0"/>
              <w:bottom w:val="single" w:color="auto" w:sz="4" w:space="0"/>
              <w:right w:val="single" w:color="auto" w:sz="4" w:space="0"/>
            </w:tcBorders>
            <w:vAlign w:val="center"/>
          </w:tcPr>
          <w:p w14:paraId="292E58B2">
            <w:pPr>
              <w:pStyle w:val="52"/>
              <w:bidi w:val="0"/>
            </w:pPr>
          </w:p>
        </w:tc>
        <w:tc>
          <w:tcPr>
            <w:tcW w:w="710" w:type="dxa"/>
            <w:tcBorders>
              <w:top w:val="single" w:color="auto" w:sz="4" w:space="0"/>
              <w:left w:val="nil"/>
              <w:bottom w:val="single" w:color="auto" w:sz="4" w:space="0"/>
              <w:right w:val="single" w:color="auto" w:sz="4" w:space="0"/>
            </w:tcBorders>
          </w:tcPr>
          <w:p w14:paraId="720D5AE9">
            <w:pPr>
              <w:pStyle w:val="52"/>
              <w:bidi w:val="0"/>
            </w:pPr>
            <w:r>
              <w:t>18</w:t>
            </w:r>
          </w:p>
        </w:tc>
        <w:tc>
          <w:tcPr>
            <w:tcW w:w="2243" w:type="dxa"/>
            <w:tcBorders>
              <w:top w:val="single" w:color="auto" w:sz="4" w:space="0"/>
              <w:left w:val="nil"/>
              <w:bottom w:val="single" w:color="auto" w:sz="4" w:space="0"/>
              <w:right w:val="single" w:color="auto" w:sz="4" w:space="0"/>
            </w:tcBorders>
            <w:shd w:val="clear" w:color="auto" w:fill="auto"/>
            <w:noWrap/>
            <w:vAlign w:val="center"/>
          </w:tcPr>
          <w:p w14:paraId="056589F8">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lang w:val="en-US" w:eastAsia="zh-CN"/>
              </w:rPr>
              <w:t>车渚村</w:t>
            </w:r>
          </w:p>
        </w:tc>
        <w:tc>
          <w:tcPr>
            <w:tcW w:w="1498" w:type="dxa"/>
            <w:tcBorders>
              <w:top w:val="single" w:color="auto" w:sz="4" w:space="0"/>
              <w:left w:val="nil"/>
              <w:bottom w:val="single" w:color="auto" w:sz="4" w:space="0"/>
              <w:right w:val="single" w:color="auto" w:sz="4" w:space="0"/>
            </w:tcBorders>
            <w:shd w:val="clear" w:color="auto" w:fill="auto"/>
            <w:vAlign w:val="center"/>
          </w:tcPr>
          <w:p w14:paraId="236AA32C">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lang w:val="en-US" w:eastAsia="zh-CN"/>
              </w:rPr>
              <w:t>SE</w:t>
            </w:r>
          </w:p>
        </w:tc>
        <w:tc>
          <w:tcPr>
            <w:tcW w:w="1199" w:type="dxa"/>
            <w:gridSpan w:val="2"/>
            <w:tcBorders>
              <w:top w:val="single" w:color="auto" w:sz="4" w:space="0"/>
              <w:left w:val="nil"/>
              <w:bottom w:val="single" w:color="auto" w:sz="4" w:space="0"/>
              <w:right w:val="single" w:color="auto" w:sz="4" w:space="0"/>
            </w:tcBorders>
            <w:shd w:val="clear" w:color="auto" w:fill="auto"/>
            <w:vAlign w:val="center"/>
          </w:tcPr>
          <w:p w14:paraId="4D028BAD">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lang w:val="en-US" w:eastAsia="zh-CN"/>
              </w:rPr>
              <w:t>2689</w:t>
            </w:r>
          </w:p>
        </w:tc>
        <w:tc>
          <w:tcPr>
            <w:tcW w:w="1318" w:type="dxa"/>
            <w:tcBorders>
              <w:top w:val="single" w:color="auto" w:sz="4" w:space="0"/>
              <w:left w:val="nil"/>
              <w:bottom w:val="single" w:color="auto" w:sz="4" w:space="0"/>
              <w:right w:val="single" w:color="auto" w:sz="4" w:space="0"/>
            </w:tcBorders>
          </w:tcPr>
          <w:p w14:paraId="75B54AA1">
            <w:pPr>
              <w:pStyle w:val="52"/>
              <w:bidi w:val="0"/>
            </w:pPr>
            <w:r>
              <w:rPr>
                <w:rFonts w:hint="eastAsia"/>
                <w:lang w:val="en-US" w:eastAsia="zh-CN"/>
              </w:rPr>
              <w:t>居住区</w:t>
            </w:r>
          </w:p>
        </w:tc>
        <w:tc>
          <w:tcPr>
            <w:tcW w:w="904" w:type="dxa"/>
            <w:tcBorders>
              <w:top w:val="single" w:color="auto" w:sz="4" w:space="0"/>
              <w:left w:val="nil"/>
              <w:bottom w:val="single" w:color="auto" w:sz="4" w:space="0"/>
              <w:right w:val="single" w:color="auto" w:sz="4" w:space="0"/>
            </w:tcBorders>
            <w:vAlign w:val="center"/>
          </w:tcPr>
          <w:p w14:paraId="46FCFA13">
            <w:pPr>
              <w:pStyle w:val="52"/>
              <w:bidi w:val="0"/>
              <w:rPr>
                <w:rFonts w:hint="default" w:eastAsia="宋体"/>
                <w:lang w:val="en-US" w:eastAsia="zh-CN"/>
              </w:rPr>
            </w:pPr>
            <w:r>
              <w:rPr>
                <w:rFonts w:hint="eastAsia"/>
                <w:lang w:val="en-US" w:eastAsia="zh-CN"/>
              </w:rPr>
              <w:t>360</w:t>
            </w:r>
          </w:p>
        </w:tc>
      </w:tr>
      <w:tr w14:paraId="60D7E542">
        <w:tblPrEx>
          <w:tblCellMar>
            <w:top w:w="0" w:type="dxa"/>
            <w:left w:w="108" w:type="dxa"/>
            <w:bottom w:w="0" w:type="dxa"/>
            <w:right w:w="108" w:type="dxa"/>
          </w:tblCellMar>
        </w:tblPrEx>
        <w:trPr>
          <w:trHeight w:val="300" w:hRule="atLeast"/>
        </w:trPr>
        <w:tc>
          <w:tcPr>
            <w:tcW w:w="649" w:type="dxa"/>
            <w:vMerge w:val="continue"/>
            <w:tcBorders>
              <w:top w:val="nil"/>
              <w:left w:val="single" w:color="auto" w:sz="4" w:space="0"/>
              <w:bottom w:val="single" w:color="auto" w:sz="4" w:space="0"/>
              <w:right w:val="single" w:color="auto" w:sz="4" w:space="0"/>
            </w:tcBorders>
            <w:vAlign w:val="center"/>
          </w:tcPr>
          <w:p w14:paraId="4AE5C56B">
            <w:pPr>
              <w:pStyle w:val="52"/>
              <w:bidi w:val="0"/>
            </w:pPr>
          </w:p>
        </w:tc>
        <w:tc>
          <w:tcPr>
            <w:tcW w:w="710" w:type="dxa"/>
            <w:tcBorders>
              <w:top w:val="single" w:color="auto" w:sz="4" w:space="0"/>
              <w:left w:val="nil"/>
              <w:bottom w:val="single" w:color="auto" w:sz="4" w:space="0"/>
              <w:right w:val="single" w:color="auto" w:sz="4" w:space="0"/>
            </w:tcBorders>
          </w:tcPr>
          <w:p w14:paraId="6BD389E3">
            <w:pPr>
              <w:pStyle w:val="52"/>
              <w:bidi w:val="0"/>
            </w:pPr>
            <w:r>
              <w:t>19</w:t>
            </w:r>
          </w:p>
        </w:tc>
        <w:tc>
          <w:tcPr>
            <w:tcW w:w="2243" w:type="dxa"/>
            <w:tcBorders>
              <w:top w:val="single" w:color="auto" w:sz="4" w:space="0"/>
              <w:left w:val="nil"/>
              <w:bottom w:val="single" w:color="auto" w:sz="4" w:space="0"/>
              <w:right w:val="single" w:color="auto" w:sz="4" w:space="0"/>
            </w:tcBorders>
            <w:shd w:val="clear" w:color="auto" w:fill="auto"/>
            <w:noWrap/>
            <w:vAlign w:val="center"/>
          </w:tcPr>
          <w:p w14:paraId="2D5DB883">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lang w:val="en-US" w:eastAsia="zh-CN"/>
              </w:rPr>
              <w:t>杨家湾</w:t>
            </w:r>
          </w:p>
        </w:tc>
        <w:tc>
          <w:tcPr>
            <w:tcW w:w="1498" w:type="dxa"/>
            <w:tcBorders>
              <w:top w:val="single" w:color="auto" w:sz="4" w:space="0"/>
              <w:left w:val="nil"/>
              <w:bottom w:val="single" w:color="auto" w:sz="4" w:space="0"/>
              <w:right w:val="single" w:color="auto" w:sz="4" w:space="0"/>
            </w:tcBorders>
            <w:shd w:val="clear" w:color="auto" w:fill="auto"/>
            <w:vAlign w:val="center"/>
          </w:tcPr>
          <w:p w14:paraId="7F7C348E">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lang w:val="en-US" w:eastAsia="zh-CN"/>
              </w:rPr>
              <w:t>SE</w:t>
            </w:r>
          </w:p>
        </w:tc>
        <w:tc>
          <w:tcPr>
            <w:tcW w:w="1199" w:type="dxa"/>
            <w:gridSpan w:val="2"/>
            <w:tcBorders>
              <w:top w:val="single" w:color="auto" w:sz="4" w:space="0"/>
              <w:left w:val="nil"/>
              <w:bottom w:val="single" w:color="auto" w:sz="4" w:space="0"/>
              <w:right w:val="single" w:color="auto" w:sz="4" w:space="0"/>
            </w:tcBorders>
            <w:shd w:val="clear" w:color="auto" w:fill="auto"/>
            <w:vAlign w:val="center"/>
          </w:tcPr>
          <w:p w14:paraId="5AF929EA">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lang w:val="en-US" w:eastAsia="zh-CN"/>
              </w:rPr>
              <w:t>1567</w:t>
            </w:r>
          </w:p>
        </w:tc>
        <w:tc>
          <w:tcPr>
            <w:tcW w:w="1318" w:type="dxa"/>
            <w:tcBorders>
              <w:top w:val="single" w:color="auto" w:sz="4" w:space="0"/>
              <w:left w:val="nil"/>
              <w:bottom w:val="single" w:color="auto" w:sz="4" w:space="0"/>
              <w:right w:val="single" w:color="auto" w:sz="4" w:space="0"/>
            </w:tcBorders>
          </w:tcPr>
          <w:p w14:paraId="23C9D971">
            <w:pPr>
              <w:pStyle w:val="52"/>
              <w:bidi w:val="0"/>
            </w:pPr>
            <w:r>
              <w:rPr>
                <w:rFonts w:hint="eastAsia"/>
                <w:lang w:val="en-US" w:eastAsia="zh-CN"/>
              </w:rPr>
              <w:t>居住区</w:t>
            </w:r>
          </w:p>
        </w:tc>
        <w:tc>
          <w:tcPr>
            <w:tcW w:w="904" w:type="dxa"/>
            <w:tcBorders>
              <w:top w:val="single" w:color="auto" w:sz="4" w:space="0"/>
              <w:left w:val="nil"/>
              <w:bottom w:val="single" w:color="auto" w:sz="4" w:space="0"/>
              <w:right w:val="single" w:color="auto" w:sz="4" w:space="0"/>
            </w:tcBorders>
            <w:vAlign w:val="center"/>
          </w:tcPr>
          <w:p w14:paraId="11A778F4">
            <w:pPr>
              <w:pStyle w:val="52"/>
              <w:bidi w:val="0"/>
              <w:rPr>
                <w:rFonts w:hint="default" w:eastAsia="宋体"/>
                <w:lang w:val="en-US" w:eastAsia="zh-CN"/>
              </w:rPr>
            </w:pPr>
            <w:r>
              <w:rPr>
                <w:rFonts w:hint="eastAsia"/>
                <w:lang w:val="en-US" w:eastAsia="zh-CN"/>
              </w:rPr>
              <w:t>150</w:t>
            </w:r>
          </w:p>
        </w:tc>
      </w:tr>
      <w:tr w14:paraId="3C3906C7">
        <w:tblPrEx>
          <w:tblCellMar>
            <w:top w:w="0" w:type="dxa"/>
            <w:left w:w="108" w:type="dxa"/>
            <w:bottom w:w="0" w:type="dxa"/>
            <w:right w:w="108" w:type="dxa"/>
          </w:tblCellMar>
        </w:tblPrEx>
        <w:trPr>
          <w:trHeight w:val="300" w:hRule="atLeast"/>
        </w:trPr>
        <w:tc>
          <w:tcPr>
            <w:tcW w:w="649" w:type="dxa"/>
            <w:vMerge w:val="continue"/>
            <w:tcBorders>
              <w:top w:val="nil"/>
              <w:left w:val="single" w:color="auto" w:sz="4" w:space="0"/>
              <w:bottom w:val="single" w:color="auto" w:sz="4" w:space="0"/>
              <w:right w:val="single" w:color="auto" w:sz="4" w:space="0"/>
            </w:tcBorders>
            <w:vAlign w:val="center"/>
          </w:tcPr>
          <w:p w14:paraId="5582ECCB">
            <w:pPr>
              <w:pStyle w:val="52"/>
              <w:bidi w:val="0"/>
            </w:pPr>
          </w:p>
        </w:tc>
        <w:tc>
          <w:tcPr>
            <w:tcW w:w="710" w:type="dxa"/>
            <w:tcBorders>
              <w:top w:val="single" w:color="auto" w:sz="4" w:space="0"/>
              <w:left w:val="nil"/>
              <w:bottom w:val="single" w:color="auto" w:sz="4" w:space="0"/>
              <w:right w:val="single" w:color="auto" w:sz="4" w:space="0"/>
            </w:tcBorders>
          </w:tcPr>
          <w:p w14:paraId="1AC2FD18">
            <w:pPr>
              <w:pStyle w:val="52"/>
              <w:bidi w:val="0"/>
            </w:pPr>
            <w:r>
              <w:t>20</w:t>
            </w:r>
          </w:p>
        </w:tc>
        <w:tc>
          <w:tcPr>
            <w:tcW w:w="2243" w:type="dxa"/>
            <w:tcBorders>
              <w:top w:val="single" w:color="auto" w:sz="4" w:space="0"/>
              <w:left w:val="nil"/>
              <w:bottom w:val="single" w:color="auto" w:sz="4" w:space="0"/>
              <w:right w:val="single" w:color="auto" w:sz="4" w:space="0"/>
            </w:tcBorders>
            <w:shd w:val="clear" w:color="auto" w:fill="auto"/>
            <w:noWrap/>
            <w:vAlign w:val="center"/>
          </w:tcPr>
          <w:p w14:paraId="457430EC">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lang w:val="en-US" w:eastAsia="zh-CN"/>
              </w:rPr>
              <w:t>邬家铺</w:t>
            </w:r>
          </w:p>
        </w:tc>
        <w:tc>
          <w:tcPr>
            <w:tcW w:w="1498" w:type="dxa"/>
            <w:tcBorders>
              <w:top w:val="single" w:color="auto" w:sz="4" w:space="0"/>
              <w:left w:val="nil"/>
              <w:bottom w:val="single" w:color="auto" w:sz="4" w:space="0"/>
              <w:right w:val="single" w:color="auto" w:sz="4" w:space="0"/>
            </w:tcBorders>
            <w:shd w:val="clear" w:color="auto" w:fill="auto"/>
            <w:vAlign w:val="center"/>
          </w:tcPr>
          <w:p w14:paraId="1585B836">
            <w:pPr>
              <w:jc w:val="center"/>
              <w:rPr>
                <w:rFonts w:hint="eastAsia"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lang w:val="en-US" w:eastAsia="zh-CN"/>
              </w:rPr>
              <w:t>S</w:t>
            </w:r>
          </w:p>
        </w:tc>
        <w:tc>
          <w:tcPr>
            <w:tcW w:w="1199" w:type="dxa"/>
            <w:gridSpan w:val="2"/>
            <w:tcBorders>
              <w:top w:val="single" w:color="auto" w:sz="4" w:space="0"/>
              <w:left w:val="nil"/>
              <w:bottom w:val="single" w:color="auto" w:sz="4" w:space="0"/>
              <w:right w:val="single" w:color="auto" w:sz="4" w:space="0"/>
            </w:tcBorders>
            <w:shd w:val="clear" w:color="auto" w:fill="auto"/>
            <w:vAlign w:val="center"/>
          </w:tcPr>
          <w:p w14:paraId="45F8A75D">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lang w:val="en-US" w:eastAsia="zh-CN"/>
              </w:rPr>
              <w:t>2109</w:t>
            </w:r>
          </w:p>
        </w:tc>
        <w:tc>
          <w:tcPr>
            <w:tcW w:w="1318" w:type="dxa"/>
            <w:tcBorders>
              <w:top w:val="single" w:color="auto" w:sz="4" w:space="0"/>
              <w:left w:val="nil"/>
              <w:bottom w:val="single" w:color="auto" w:sz="4" w:space="0"/>
              <w:right w:val="single" w:color="auto" w:sz="4" w:space="0"/>
            </w:tcBorders>
          </w:tcPr>
          <w:p w14:paraId="6F397A04">
            <w:pPr>
              <w:pStyle w:val="52"/>
              <w:bidi w:val="0"/>
            </w:pPr>
            <w:r>
              <w:rPr>
                <w:rFonts w:hint="eastAsia"/>
                <w:lang w:val="en-US" w:eastAsia="zh-CN"/>
              </w:rPr>
              <w:t>居住区</w:t>
            </w:r>
          </w:p>
        </w:tc>
        <w:tc>
          <w:tcPr>
            <w:tcW w:w="904" w:type="dxa"/>
            <w:tcBorders>
              <w:top w:val="single" w:color="auto" w:sz="4" w:space="0"/>
              <w:left w:val="nil"/>
              <w:bottom w:val="single" w:color="auto" w:sz="4" w:space="0"/>
              <w:right w:val="single" w:color="auto" w:sz="4" w:space="0"/>
            </w:tcBorders>
            <w:vAlign w:val="center"/>
          </w:tcPr>
          <w:p w14:paraId="0B0AE67D">
            <w:pPr>
              <w:pStyle w:val="52"/>
              <w:bidi w:val="0"/>
              <w:rPr>
                <w:rFonts w:hint="default" w:eastAsia="宋体"/>
                <w:lang w:val="en-US" w:eastAsia="zh-CN"/>
              </w:rPr>
            </w:pPr>
            <w:r>
              <w:rPr>
                <w:rFonts w:hint="eastAsia"/>
                <w:lang w:val="en-US" w:eastAsia="zh-CN"/>
              </w:rPr>
              <w:t>90</w:t>
            </w:r>
          </w:p>
        </w:tc>
      </w:tr>
      <w:tr w14:paraId="11BF814D">
        <w:tblPrEx>
          <w:tblCellMar>
            <w:top w:w="0" w:type="dxa"/>
            <w:left w:w="108" w:type="dxa"/>
            <w:bottom w:w="0" w:type="dxa"/>
            <w:right w:w="108" w:type="dxa"/>
          </w:tblCellMar>
        </w:tblPrEx>
        <w:trPr>
          <w:trHeight w:val="300" w:hRule="atLeast"/>
        </w:trPr>
        <w:tc>
          <w:tcPr>
            <w:tcW w:w="649" w:type="dxa"/>
            <w:vMerge w:val="continue"/>
            <w:tcBorders>
              <w:top w:val="nil"/>
              <w:left w:val="single" w:color="auto" w:sz="4" w:space="0"/>
              <w:bottom w:val="single" w:color="auto" w:sz="4" w:space="0"/>
              <w:right w:val="single" w:color="auto" w:sz="4" w:space="0"/>
            </w:tcBorders>
            <w:vAlign w:val="center"/>
          </w:tcPr>
          <w:p w14:paraId="72C5D110">
            <w:pPr>
              <w:pStyle w:val="52"/>
              <w:bidi w:val="0"/>
            </w:pPr>
          </w:p>
        </w:tc>
        <w:tc>
          <w:tcPr>
            <w:tcW w:w="710" w:type="dxa"/>
            <w:tcBorders>
              <w:top w:val="single" w:color="auto" w:sz="4" w:space="0"/>
              <w:left w:val="nil"/>
              <w:bottom w:val="single" w:color="auto" w:sz="4" w:space="0"/>
              <w:right w:val="single" w:color="auto" w:sz="4" w:space="0"/>
            </w:tcBorders>
          </w:tcPr>
          <w:p w14:paraId="29F24BAC">
            <w:pPr>
              <w:pStyle w:val="52"/>
              <w:bidi w:val="0"/>
            </w:pPr>
            <w:r>
              <w:t>21</w:t>
            </w:r>
          </w:p>
        </w:tc>
        <w:tc>
          <w:tcPr>
            <w:tcW w:w="2243" w:type="dxa"/>
            <w:tcBorders>
              <w:top w:val="single" w:color="auto" w:sz="4" w:space="0"/>
              <w:left w:val="nil"/>
              <w:bottom w:val="single" w:color="auto" w:sz="4" w:space="0"/>
              <w:right w:val="single" w:color="auto" w:sz="4" w:space="0"/>
            </w:tcBorders>
            <w:shd w:val="clear" w:color="auto" w:fill="auto"/>
            <w:noWrap/>
            <w:vAlign w:val="center"/>
          </w:tcPr>
          <w:p w14:paraId="4F4DDEE0">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lang w:val="en-US" w:eastAsia="zh-CN"/>
              </w:rPr>
              <w:t>利民小区</w:t>
            </w:r>
          </w:p>
        </w:tc>
        <w:tc>
          <w:tcPr>
            <w:tcW w:w="1498" w:type="dxa"/>
            <w:tcBorders>
              <w:top w:val="single" w:color="auto" w:sz="4" w:space="0"/>
              <w:left w:val="nil"/>
              <w:bottom w:val="single" w:color="auto" w:sz="4" w:space="0"/>
              <w:right w:val="single" w:color="auto" w:sz="4" w:space="0"/>
            </w:tcBorders>
            <w:shd w:val="clear" w:color="auto" w:fill="auto"/>
            <w:vAlign w:val="center"/>
          </w:tcPr>
          <w:p w14:paraId="796C0599">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lang w:val="en-US" w:eastAsia="zh-CN"/>
              </w:rPr>
              <w:t>NW</w:t>
            </w:r>
          </w:p>
        </w:tc>
        <w:tc>
          <w:tcPr>
            <w:tcW w:w="1199" w:type="dxa"/>
            <w:gridSpan w:val="2"/>
            <w:tcBorders>
              <w:top w:val="single" w:color="auto" w:sz="4" w:space="0"/>
              <w:left w:val="nil"/>
              <w:bottom w:val="single" w:color="auto" w:sz="4" w:space="0"/>
              <w:right w:val="single" w:color="auto" w:sz="4" w:space="0"/>
            </w:tcBorders>
            <w:shd w:val="clear" w:color="auto" w:fill="auto"/>
            <w:vAlign w:val="center"/>
          </w:tcPr>
          <w:p w14:paraId="401FB0B3">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lang w:val="en-US" w:eastAsia="zh-CN"/>
              </w:rPr>
              <w:t>2622</w:t>
            </w:r>
          </w:p>
        </w:tc>
        <w:tc>
          <w:tcPr>
            <w:tcW w:w="1318" w:type="dxa"/>
            <w:tcBorders>
              <w:top w:val="single" w:color="auto" w:sz="4" w:space="0"/>
              <w:left w:val="nil"/>
              <w:bottom w:val="single" w:color="auto" w:sz="4" w:space="0"/>
              <w:right w:val="single" w:color="auto" w:sz="4" w:space="0"/>
            </w:tcBorders>
          </w:tcPr>
          <w:p w14:paraId="1ACA8F15">
            <w:pPr>
              <w:pStyle w:val="52"/>
              <w:bidi w:val="0"/>
            </w:pPr>
            <w:r>
              <w:rPr>
                <w:rFonts w:hint="eastAsia"/>
                <w:lang w:val="en-US" w:eastAsia="zh-CN"/>
              </w:rPr>
              <w:t>居住区</w:t>
            </w:r>
          </w:p>
        </w:tc>
        <w:tc>
          <w:tcPr>
            <w:tcW w:w="904" w:type="dxa"/>
            <w:tcBorders>
              <w:top w:val="single" w:color="auto" w:sz="4" w:space="0"/>
              <w:left w:val="nil"/>
              <w:bottom w:val="single" w:color="auto" w:sz="4" w:space="0"/>
              <w:right w:val="single" w:color="auto" w:sz="4" w:space="0"/>
            </w:tcBorders>
            <w:vAlign w:val="center"/>
          </w:tcPr>
          <w:p w14:paraId="67DFDA1D">
            <w:pPr>
              <w:pStyle w:val="52"/>
              <w:bidi w:val="0"/>
              <w:rPr>
                <w:rFonts w:hint="default" w:eastAsia="宋体"/>
                <w:lang w:val="en-US" w:eastAsia="zh-CN"/>
              </w:rPr>
            </w:pPr>
            <w:r>
              <w:rPr>
                <w:rFonts w:hint="eastAsia"/>
                <w:lang w:val="en-US" w:eastAsia="zh-CN"/>
              </w:rPr>
              <w:t>1200</w:t>
            </w:r>
          </w:p>
        </w:tc>
      </w:tr>
      <w:tr w14:paraId="1DF2A5AC">
        <w:tblPrEx>
          <w:tblCellMar>
            <w:top w:w="0" w:type="dxa"/>
            <w:left w:w="108" w:type="dxa"/>
            <w:bottom w:w="0" w:type="dxa"/>
            <w:right w:w="108" w:type="dxa"/>
          </w:tblCellMar>
        </w:tblPrEx>
        <w:trPr>
          <w:trHeight w:val="300" w:hRule="atLeast"/>
        </w:trPr>
        <w:tc>
          <w:tcPr>
            <w:tcW w:w="649" w:type="dxa"/>
            <w:vMerge w:val="continue"/>
            <w:tcBorders>
              <w:top w:val="nil"/>
              <w:left w:val="single" w:color="auto" w:sz="4" w:space="0"/>
              <w:bottom w:val="single" w:color="auto" w:sz="4" w:space="0"/>
              <w:right w:val="single" w:color="auto" w:sz="4" w:space="0"/>
            </w:tcBorders>
            <w:vAlign w:val="center"/>
          </w:tcPr>
          <w:p w14:paraId="7AD016A0">
            <w:pPr>
              <w:pStyle w:val="52"/>
              <w:bidi w:val="0"/>
            </w:pPr>
          </w:p>
        </w:tc>
        <w:tc>
          <w:tcPr>
            <w:tcW w:w="710" w:type="dxa"/>
            <w:tcBorders>
              <w:top w:val="single" w:color="auto" w:sz="4" w:space="0"/>
              <w:left w:val="nil"/>
              <w:bottom w:val="single" w:color="auto" w:sz="4" w:space="0"/>
              <w:right w:val="single" w:color="auto" w:sz="4" w:space="0"/>
            </w:tcBorders>
          </w:tcPr>
          <w:p w14:paraId="1C00E60C">
            <w:pPr>
              <w:pStyle w:val="52"/>
              <w:bidi w:val="0"/>
            </w:pPr>
            <w:r>
              <w:t>22</w:t>
            </w:r>
          </w:p>
        </w:tc>
        <w:tc>
          <w:tcPr>
            <w:tcW w:w="2243" w:type="dxa"/>
            <w:tcBorders>
              <w:top w:val="single" w:color="auto" w:sz="4" w:space="0"/>
              <w:left w:val="nil"/>
              <w:bottom w:val="single" w:color="auto" w:sz="4" w:space="0"/>
              <w:right w:val="single" w:color="auto" w:sz="4" w:space="0"/>
            </w:tcBorders>
            <w:shd w:val="clear" w:color="auto" w:fill="auto"/>
            <w:noWrap/>
            <w:vAlign w:val="center"/>
          </w:tcPr>
          <w:p w14:paraId="69861FD1">
            <w:pPr>
              <w:jc w:val="center"/>
              <w:rPr>
                <w:rFonts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rPr>
              <w:t>嘉山风景名胜区</w:t>
            </w:r>
          </w:p>
        </w:tc>
        <w:tc>
          <w:tcPr>
            <w:tcW w:w="1498" w:type="dxa"/>
            <w:tcBorders>
              <w:top w:val="single" w:color="auto" w:sz="4" w:space="0"/>
              <w:left w:val="nil"/>
              <w:bottom w:val="single" w:color="auto" w:sz="4" w:space="0"/>
              <w:right w:val="single" w:color="auto" w:sz="4" w:space="0"/>
            </w:tcBorders>
            <w:shd w:val="clear" w:color="auto" w:fill="auto"/>
            <w:vAlign w:val="center"/>
          </w:tcPr>
          <w:p w14:paraId="597F7D60">
            <w:pPr>
              <w:jc w:val="center"/>
              <w:rPr>
                <w:rFonts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rPr>
              <w:t>S</w:t>
            </w:r>
          </w:p>
        </w:tc>
        <w:tc>
          <w:tcPr>
            <w:tcW w:w="1199" w:type="dxa"/>
            <w:gridSpan w:val="2"/>
            <w:tcBorders>
              <w:top w:val="single" w:color="auto" w:sz="4" w:space="0"/>
              <w:left w:val="nil"/>
              <w:bottom w:val="single" w:color="auto" w:sz="4" w:space="0"/>
              <w:right w:val="single" w:color="auto" w:sz="4" w:space="0"/>
            </w:tcBorders>
            <w:shd w:val="clear" w:color="auto" w:fill="auto"/>
            <w:vAlign w:val="center"/>
          </w:tcPr>
          <w:p w14:paraId="0AF9ADA9">
            <w:pPr>
              <w:jc w:val="center"/>
              <w:rPr>
                <w:rFonts w:hint="default" w:ascii="Times New Roman" w:hAnsi="Times New Roman" w:eastAsia="宋体" w:cs="Times New Roman"/>
                <w:color w:val="auto"/>
                <w:kern w:val="2"/>
                <w:sz w:val="22"/>
                <w:szCs w:val="24"/>
                <w:lang w:val="en-US" w:eastAsia="zh-CN" w:bidi="ar-SA"/>
              </w:rPr>
            </w:pPr>
            <w:r>
              <w:rPr>
                <w:rFonts w:hint="eastAsia" w:ascii="Times New Roman" w:hAnsi="Times New Roman" w:eastAsia="宋体" w:cs="Times New Roman"/>
                <w:color w:val="auto"/>
                <w:sz w:val="22"/>
                <w:szCs w:val="24"/>
                <w:lang w:val="en-US" w:eastAsia="zh-CN"/>
              </w:rPr>
              <w:t>267</w:t>
            </w:r>
          </w:p>
        </w:tc>
        <w:tc>
          <w:tcPr>
            <w:tcW w:w="1318" w:type="dxa"/>
            <w:tcBorders>
              <w:top w:val="single" w:color="auto" w:sz="4" w:space="0"/>
              <w:left w:val="nil"/>
              <w:bottom w:val="single" w:color="auto" w:sz="4" w:space="0"/>
              <w:right w:val="single" w:color="auto" w:sz="4" w:space="0"/>
            </w:tcBorders>
          </w:tcPr>
          <w:p w14:paraId="2787E172">
            <w:pPr>
              <w:pStyle w:val="52"/>
              <w:bidi w:val="0"/>
              <w:rPr>
                <w:rFonts w:hint="eastAsia" w:eastAsia="宋体"/>
                <w:lang w:val="en-US" w:eastAsia="zh-CN"/>
              </w:rPr>
            </w:pPr>
            <w:r>
              <w:rPr>
                <w:rFonts w:hint="eastAsia"/>
                <w:lang w:val="en-US" w:eastAsia="zh-CN"/>
              </w:rPr>
              <w:t>景区</w:t>
            </w:r>
          </w:p>
        </w:tc>
        <w:tc>
          <w:tcPr>
            <w:tcW w:w="904" w:type="dxa"/>
            <w:tcBorders>
              <w:top w:val="single" w:color="auto" w:sz="4" w:space="0"/>
              <w:left w:val="nil"/>
              <w:bottom w:val="single" w:color="auto" w:sz="4" w:space="0"/>
              <w:right w:val="single" w:color="auto" w:sz="4" w:space="0"/>
            </w:tcBorders>
            <w:vAlign w:val="center"/>
          </w:tcPr>
          <w:p w14:paraId="22E09CF8">
            <w:pPr>
              <w:pStyle w:val="52"/>
              <w:bidi w:val="0"/>
              <w:rPr>
                <w:rFonts w:hint="default" w:eastAsia="宋体"/>
                <w:lang w:val="en-US" w:eastAsia="zh-CN"/>
              </w:rPr>
            </w:pPr>
            <w:r>
              <w:rPr>
                <w:rFonts w:hint="eastAsia"/>
                <w:lang w:val="en-US" w:eastAsia="zh-CN"/>
              </w:rPr>
              <w:t>/</w:t>
            </w:r>
          </w:p>
        </w:tc>
      </w:tr>
      <w:tr w14:paraId="1DA77AC6">
        <w:tblPrEx>
          <w:tblCellMar>
            <w:top w:w="0" w:type="dxa"/>
            <w:left w:w="108" w:type="dxa"/>
            <w:bottom w:w="0" w:type="dxa"/>
            <w:right w:w="108" w:type="dxa"/>
          </w:tblCellMar>
        </w:tblPrEx>
        <w:trPr>
          <w:trHeight w:val="300" w:hRule="atLeast"/>
        </w:trPr>
        <w:tc>
          <w:tcPr>
            <w:tcW w:w="649" w:type="dxa"/>
            <w:vMerge w:val="continue"/>
            <w:tcBorders>
              <w:top w:val="nil"/>
              <w:left w:val="single" w:color="auto" w:sz="4" w:space="0"/>
              <w:bottom w:val="single" w:color="auto" w:sz="4" w:space="0"/>
              <w:right w:val="single" w:color="auto" w:sz="4" w:space="0"/>
            </w:tcBorders>
            <w:vAlign w:val="center"/>
          </w:tcPr>
          <w:p w14:paraId="4DB89E87">
            <w:pPr>
              <w:pStyle w:val="52"/>
              <w:bidi w:val="0"/>
            </w:pPr>
          </w:p>
        </w:tc>
        <w:tc>
          <w:tcPr>
            <w:tcW w:w="6968" w:type="dxa"/>
            <w:gridSpan w:val="6"/>
            <w:tcBorders>
              <w:top w:val="single" w:color="auto" w:sz="4" w:space="0"/>
              <w:left w:val="nil"/>
              <w:bottom w:val="single" w:color="auto" w:sz="4" w:space="0"/>
              <w:right w:val="single" w:color="auto" w:sz="4" w:space="0"/>
            </w:tcBorders>
          </w:tcPr>
          <w:p w14:paraId="3EA67676">
            <w:pPr>
              <w:pStyle w:val="52"/>
              <w:bidi w:val="0"/>
            </w:pPr>
            <w:r>
              <w:t>厂址周边</w:t>
            </w:r>
            <w:r>
              <w:rPr>
                <w:rFonts w:hint="eastAsia"/>
                <w:lang w:val="en-US" w:eastAsia="zh-CN"/>
              </w:rPr>
              <w:t>边长5km矩形</w:t>
            </w:r>
            <w:r>
              <w:t>范围内人口数小计</w:t>
            </w:r>
          </w:p>
        </w:tc>
        <w:tc>
          <w:tcPr>
            <w:tcW w:w="904" w:type="dxa"/>
            <w:tcBorders>
              <w:top w:val="single" w:color="auto" w:sz="4" w:space="0"/>
              <w:left w:val="nil"/>
              <w:bottom w:val="single" w:color="auto" w:sz="4" w:space="0"/>
              <w:right w:val="single" w:color="auto" w:sz="4" w:space="0"/>
            </w:tcBorders>
          </w:tcPr>
          <w:p w14:paraId="131B6968">
            <w:pPr>
              <w:pStyle w:val="52"/>
              <w:bidi w:val="0"/>
              <w:rPr>
                <w:rFonts w:hint="default" w:eastAsia="宋体"/>
                <w:lang w:val="en-US" w:eastAsia="zh-CN"/>
              </w:rPr>
            </w:pPr>
            <w:r>
              <w:rPr>
                <w:rFonts w:hint="eastAsia"/>
                <w:lang w:val="en-US" w:eastAsia="zh-CN"/>
              </w:rPr>
              <w:t>21001</w:t>
            </w:r>
          </w:p>
        </w:tc>
      </w:tr>
      <w:tr w14:paraId="57C444C0">
        <w:tblPrEx>
          <w:tblCellMar>
            <w:top w:w="0" w:type="dxa"/>
            <w:left w:w="108" w:type="dxa"/>
            <w:bottom w:w="0" w:type="dxa"/>
            <w:right w:w="108" w:type="dxa"/>
          </w:tblCellMar>
        </w:tblPrEx>
        <w:trPr>
          <w:trHeight w:val="300" w:hRule="atLeast"/>
        </w:trPr>
        <w:tc>
          <w:tcPr>
            <w:tcW w:w="649" w:type="dxa"/>
            <w:vMerge w:val="restart"/>
            <w:tcBorders>
              <w:top w:val="nil"/>
              <w:left w:val="single" w:color="auto" w:sz="4" w:space="0"/>
              <w:right w:val="single" w:color="auto" w:sz="4" w:space="0"/>
            </w:tcBorders>
            <w:vAlign w:val="center"/>
          </w:tcPr>
          <w:p w14:paraId="3D1DB60D">
            <w:pPr>
              <w:pStyle w:val="52"/>
              <w:bidi w:val="0"/>
            </w:pPr>
            <w:r>
              <w:t>地表水</w:t>
            </w:r>
          </w:p>
        </w:tc>
        <w:tc>
          <w:tcPr>
            <w:tcW w:w="7872" w:type="dxa"/>
            <w:gridSpan w:val="7"/>
            <w:tcBorders>
              <w:top w:val="single" w:color="auto" w:sz="4" w:space="0"/>
              <w:left w:val="nil"/>
              <w:bottom w:val="single" w:color="auto" w:sz="4" w:space="0"/>
              <w:right w:val="single" w:color="auto" w:sz="4" w:space="0"/>
            </w:tcBorders>
            <w:vAlign w:val="center"/>
          </w:tcPr>
          <w:p w14:paraId="37DDEC70">
            <w:pPr>
              <w:pStyle w:val="52"/>
              <w:bidi w:val="0"/>
            </w:pPr>
            <w:r>
              <w:t>受纳水体</w:t>
            </w:r>
          </w:p>
        </w:tc>
      </w:tr>
      <w:tr w14:paraId="170EBE4C">
        <w:tblPrEx>
          <w:tblCellMar>
            <w:top w:w="0" w:type="dxa"/>
            <w:left w:w="108" w:type="dxa"/>
            <w:bottom w:w="0" w:type="dxa"/>
            <w:right w:w="108" w:type="dxa"/>
          </w:tblCellMar>
        </w:tblPrEx>
        <w:trPr>
          <w:trHeight w:val="300" w:hRule="atLeast"/>
        </w:trPr>
        <w:tc>
          <w:tcPr>
            <w:tcW w:w="649" w:type="dxa"/>
            <w:vMerge w:val="continue"/>
            <w:tcBorders>
              <w:left w:val="single" w:color="auto" w:sz="4" w:space="0"/>
              <w:right w:val="single" w:color="auto" w:sz="4" w:space="0"/>
            </w:tcBorders>
            <w:vAlign w:val="center"/>
          </w:tcPr>
          <w:p w14:paraId="1F8E5F35">
            <w:pPr>
              <w:pStyle w:val="52"/>
              <w:bidi w:val="0"/>
            </w:pPr>
          </w:p>
        </w:tc>
        <w:tc>
          <w:tcPr>
            <w:tcW w:w="710" w:type="dxa"/>
            <w:tcBorders>
              <w:top w:val="single" w:color="auto" w:sz="4" w:space="0"/>
              <w:left w:val="nil"/>
              <w:bottom w:val="single" w:color="auto" w:sz="4" w:space="0"/>
              <w:right w:val="single" w:color="auto" w:sz="4" w:space="0"/>
            </w:tcBorders>
            <w:vAlign w:val="center"/>
          </w:tcPr>
          <w:p w14:paraId="33E7257C">
            <w:pPr>
              <w:pStyle w:val="52"/>
              <w:bidi w:val="0"/>
            </w:pPr>
            <w:r>
              <w:t>序号</w:t>
            </w:r>
          </w:p>
        </w:tc>
        <w:tc>
          <w:tcPr>
            <w:tcW w:w="2243" w:type="dxa"/>
            <w:tcBorders>
              <w:top w:val="single" w:color="auto" w:sz="4" w:space="0"/>
              <w:left w:val="nil"/>
              <w:bottom w:val="single" w:color="auto" w:sz="4" w:space="0"/>
              <w:right w:val="single" w:color="auto" w:sz="4" w:space="0"/>
            </w:tcBorders>
            <w:vAlign w:val="center"/>
          </w:tcPr>
          <w:p w14:paraId="4595C67C">
            <w:pPr>
              <w:pStyle w:val="52"/>
              <w:bidi w:val="0"/>
            </w:pPr>
            <w:r>
              <w:t>受纳水体名称</w:t>
            </w:r>
          </w:p>
        </w:tc>
        <w:tc>
          <w:tcPr>
            <w:tcW w:w="2697" w:type="dxa"/>
            <w:gridSpan w:val="3"/>
            <w:tcBorders>
              <w:top w:val="single" w:color="auto" w:sz="4" w:space="0"/>
              <w:left w:val="nil"/>
              <w:bottom w:val="single" w:color="auto" w:sz="4" w:space="0"/>
              <w:right w:val="single" w:color="auto" w:sz="4" w:space="0"/>
            </w:tcBorders>
            <w:vAlign w:val="center"/>
          </w:tcPr>
          <w:p w14:paraId="1DEC64FB">
            <w:pPr>
              <w:pStyle w:val="52"/>
              <w:bidi w:val="0"/>
            </w:pPr>
            <w:r>
              <w:t>排放点水域环境功能</w:t>
            </w:r>
          </w:p>
        </w:tc>
        <w:tc>
          <w:tcPr>
            <w:tcW w:w="2222" w:type="dxa"/>
            <w:gridSpan w:val="2"/>
            <w:tcBorders>
              <w:top w:val="single" w:color="auto" w:sz="4" w:space="0"/>
              <w:left w:val="nil"/>
              <w:bottom w:val="single" w:color="auto" w:sz="4" w:space="0"/>
              <w:right w:val="single" w:color="auto" w:sz="4" w:space="0"/>
            </w:tcBorders>
            <w:vAlign w:val="center"/>
          </w:tcPr>
          <w:p w14:paraId="10EAB42C">
            <w:pPr>
              <w:pStyle w:val="52"/>
              <w:bidi w:val="0"/>
            </w:pPr>
            <w:r>
              <w:t>24h内流经范围/km</w:t>
            </w:r>
          </w:p>
        </w:tc>
      </w:tr>
      <w:tr w14:paraId="3D2F8939">
        <w:tblPrEx>
          <w:tblCellMar>
            <w:top w:w="0" w:type="dxa"/>
            <w:left w:w="108" w:type="dxa"/>
            <w:bottom w:w="0" w:type="dxa"/>
            <w:right w:w="108" w:type="dxa"/>
          </w:tblCellMar>
        </w:tblPrEx>
        <w:trPr>
          <w:trHeight w:val="300" w:hRule="atLeast"/>
        </w:trPr>
        <w:tc>
          <w:tcPr>
            <w:tcW w:w="649" w:type="dxa"/>
            <w:vMerge w:val="continue"/>
            <w:tcBorders>
              <w:left w:val="single" w:color="auto" w:sz="4" w:space="0"/>
              <w:right w:val="single" w:color="auto" w:sz="4" w:space="0"/>
            </w:tcBorders>
            <w:vAlign w:val="center"/>
          </w:tcPr>
          <w:p w14:paraId="2BA739EF">
            <w:pPr>
              <w:pStyle w:val="52"/>
              <w:bidi w:val="0"/>
            </w:pPr>
          </w:p>
        </w:tc>
        <w:tc>
          <w:tcPr>
            <w:tcW w:w="710" w:type="dxa"/>
            <w:tcBorders>
              <w:top w:val="single" w:color="auto" w:sz="4" w:space="0"/>
              <w:left w:val="nil"/>
              <w:bottom w:val="single" w:color="auto" w:sz="4" w:space="0"/>
              <w:right w:val="single" w:color="auto" w:sz="4" w:space="0"/>
            </w:tcBorders>
            <w:vAlign w:val="center"/>
          </w:tcPr>
          <w:p w14:paraId="496654E0">
            <w:pPr>
              <w:pStyle w:val="52"/>
              <w:bidi w:val="0"/>
            </w:pPr>
            <w:r>
              <w:t>1</w:t>
            </w:r>
          </w:p>
        </w:tc>
        <w:tc>
          <w:tcPr>
            <w:tcW w:w="2243" w:type="dxa"/>
            <w:tcBorders>
              <w:top w:val="single" w:color="auto" w:sz="4" w:space="0"/>
              <w:left w:val="nil"/>
              <w:bottom w:val="single" w:color="auto" w:sz="4" w:space="0"/>
              <w:right w:val="single" w:color="auto" w:sz="4" w:space="0"/>
            </w:tcBorders>
            <w:vAlign w:val="center"/>
          </w:tcPr>
          <w:p w14:paraId="75D2E10D">
            <w:pPr>
              <w:pStyle w:val="52"/>
              <w:bidi w:val="0"/>
            </w:pPr>
            <w:r>
              <w:t>澧水（金鱼岭取水口至下游200m至津市新洲段）</w:t>
            </w:r>
          </w:p>
        </w:tc>
        <w:tc>
          <w:tcPr>
            <w:tcW w:w="2697" w:type="dxa"/>
            <w:gridSpan w:val="3"/>
            <w:tcBorders>
              <w:top w:val="single" w:color="auto" w:sz="4" w:space="0"/>
              <w:left w:val="nil"/>
              <w:bottom w:val="single" w:color="auto" w:sz="4" w:space="0"/>
              <w:right w:val="single" w:color="auto" w:sz="4" w:space="0"/>
            </w:tcBorders>
            <w:vAlign w:val="center"/>
          </w:tcPr>
          <w:p w14:paraId="36109B19">
            <w:pPr>
              <w:pStyle w:val="52"/>
              <w:bidi w:val="0"/>
            </w:pPr>
            <w:r>
              <w:t>GB3838-2002中Ⅲ类标准</w:t>
            </w:r>
          </w:p>
        </w:tc>
        <w:tc>
          <w:tcPr>
            <w:tcW w:w="2222" w:type="dxa"/>
            <w:gridSpan w:val="2"/>
            <w:tcBorders>
              <w:top w:val="single" w:color="auto" w:sz="4" w:space="0"/>
              <w:left w:val="nil"/>
              <w:bottom w:val="single" w:color="auto" w:sz="4" w:space="0"/>
              <w:right w:val="single" w:color="auto" w:sz="4" w:space="0"/>
            </w:tcBorders>
            <w:vAlign w:val="center"/>
          </w:tcPr>
          <w:p w14:paraId="361ACCCC">
            <w:pPr>
              <w:pStyle w:val="52"/>
              <w:bidi w:val="0"/>
            </w:pPr>
            <w:r>
              <w:t>30.41</w:t>
            </w:r>
          </w:p>
        </w:tc>
      </w:tr>
      <w:tr w14:paraId="53AB0ECB">
        <w:tblPrEx>
          <w:tblCellMar>
            <w:top w:w="0" w:type="dxa"/>
            <w:left w:w="108" w:type="dxa"/>
            <w:bottom w:w="0" w:type="dxa"/>
            <w:right w:w="108" w:type="dxa"/>
          </w:tblCellMar>
        </w:tblPrEx>
        <w:trPr>
          <w:trHeight w:val="300" w:hRule="atLeast"/>
        </w:trPr>
        <w:tc>
          <w:tcPr>
            <w:tcW w:w="649" w:type="dxa"/>
            <w:vMerge w:val="continue"/>
            <w:tcBorders>
              <w:left w:val="single" w:color="auto" w:sz="4" w:space="0"/>
              <w:right w:val="single" w:color="auto" w:sz="4" w:space="0"/>
            </w:tcBorders>
            <w:vAlign w:val="center"/>
          </w:tcPr>
          <w:p w14:paraId="63B024C0">
            <w:pPr>
              <w:pStyle w:val="52"/>
              <w:bidi w:val="0"/>
            </w:pPr>
          </w:p>
        </w:tc>
        <w:tc>
          <w:tcPr>
            <w:tcW w:w="7872" w:type="dxa"/>
            <w:gridSpan w:val="7"/>
            <w:tcBorders>
              <w:top w:val="single" w:color="auto" w:sz="4" w:space="0"/>
              <w:left w:val="nil"/>
              <w:bottom w:val="single" w:color="auto" w:sz="4" w:space="0"/>
              <w:right w:val="single" w:color="auto" w:sz="4" w:space="0"/>
            </w:tcBorders>
            <w:vAlign w:val="center"/>
          </w:tcPr>
          <w:p w14:paraId="777EB9CE">
            <w:pPr>
              <w:pStyle w:val="52"/>
              <w:bidi w:val="0"/>
            </w:pPr>
            <w:r>
              <w:t>内陆水体排放点下游10km范围内敏感目标</w:t>
            </w:r>
          </w:p>
        </w:tc>
      </w:tr>
      <w:tr w14:paraId="15F63FA3">
        <w:tblPrEx>
          <w:tblCellMar>
            <w:top w:w="0" w:type="dxa"/>
            <w:left w:w="108" w:type="dxa"/>
            <w:bottom w:w="0" w:type="dxa"/>
            <w:right w:w="108" w:type="dxa"/>
          </w:tblCellMar>
        </w:tblPrEx>
        <w:tc>
          <w:tcPr>
            <w:tcW w:w="649" w:type="dxa"/>
            <w:vMerge w:val="continue"/>
            <w:tcBorders>
              <w:left w:val="single" w:color="auto" w:sz="4" w:space="0"/>
              <w:right w:val="single" w:color="auto" w:sz="4" w:space="0"/>
            </w:tcBorders>
            <w:vAlign w:val="center"/>
          </w:tcPr>
          <w:p w14:paraId="64635E6E">
            <w:pPr>
              <w:pStyle w:val="52"/>
              <w:bidi w:val="0"/>
            </w:pPr>
          </w:p>
        </w:tc>
        <w:tc>
          <w:tcPr>
            <w:tcW w:w="710" w:type="dxa"/>
            <w:tcBorders>
              <w:top w:val="single" w:color="auto" w:sz="4" w:space="0"/>
              <w:left w:val="nil"/>
              <w:bottom w:val="single" w:color="auto" w:sz="4" w:space="0"/>
              <w:right w:val="single" w:color="auto" w:sz="4" w:space="0"/>
            </w:tcBorders>
            <w:vAlign w:val="center"/>
          </w:tcPr>
          <w:p w14:paraId="532A9640">
            <w:pPr>
              <w:pStyle w:val="52"/>
              <w:bidi w:val="0"/>
            </w:pPr>
            <w:r>
              <w:t>序号</w:t>
            </w:r>
          </w:p>
        </w:tc>
        <w:tc>
          <w:tcPr>
            <w:tcW w:w="2243" w:type="dxa"/>
            <w:tcBorders>
              <w:top w:val="single" w:color="auto" w:sz="4" w:space="0"/>
              <w:left w:val="nil"/>
              <w:bottom w:val="single" w:color="auto" w:sz="4" w:space="0"/>
              <w:right w:val="single" w:color="auto" w:sz="4" w:space="0"/>
            </w:tcBorders>
            <w:vAlign w:val="center"/>
          </w:tcPr>
          <w:p w14:paraId="23D2EB7F">
            <w:pPr>
              <w:pStyle w:val="52"/>
              <w:bidi w:val="0"/>
            </w:pPr>
            <w:r>
              <w:t>敏感目标名称</w:t>
            </w:r>
          </w:p>
        </w:tc>
        <w:tc>
          <w:tcPr>
            <w:tcW w:w="1737" w:type="dxa"/>
            <w:gridSpan w:val="2"/>
            <w:tcBorders>
              <w:top w:val="single" w:color="auto" w:sz="4" w:space="0"/>
              <w:left w:val="nil"/>
              <w:bottom w:val="single" w:color="auto" w:sz="4" w:space="0"/>
              <w:right w:val="single" w:color="auto" w:sz="4" w:space="0"/>
            </w:tcBorders>
            <w:vAlign w:val="center"/>
          </w:tcPr>
          <w:p w14:paraId="6DA11D3C">
            <w:pPr>
              <w:pStyle w:val="52"/>
              <w:bidi w:val="0"/>
            </w:pPr>
            <w:r>
              <w:t>环境敏感特征</w:t>
            </w:r>
          </w:p>
        </w:tc>
        <w:tc>
          <w:tcPr>
            <w:tcW w:w="2278" w:type="dxa"/>
            <w:gridSpan w:val="2"/>
            <w:tcBorders>
              <w:top w:val="single" w:color="auto" w:sz="4" w:space="0"/>
              <w:left w:val="nil"/>
              <w:bottom w:val="single" w:color="auto" w:sz="4" w:space="0"/>
              <w:right w:val="single" w:color="auto" w:sz="4" w:space="0"/>
            </w:tcBorders>
            <w:vAlign w:val="center"/>
          </w:tcPr>
          <w:p w14:paraId="58EB662E">
            <w:pPr>
              <w:pStyle w:val="52"/>
              <w:bidi w:val="0"/>
            </w:pPr>
            <w:r>
              <w:t>水质目标</w:t>
            </w:r>
          </w:p>
        </w:tc>
        <w:tc>
          <w:tcPr>
            <w:tcW w:w="904" w:type="dxa"/>
            <w:tcBorders>
              <w:top w:val="single" w:color="auto" w:sz="4" w:space="0"/>
              <w:left w:val="nil"/>
              <w:bottom w:val="single" w:color="auto" w:sz="4" w:space="0"/>
              <w:right w:val="single" w:color="auto" w:sz="4" w:space="0"/>
            </w:tcBorders>
            <w:vAlign w:val="center"/>
          </w:tcPr>
          <w:p w14:paraId="59BBD564">
            <w:pPr>
              <w:pStyle w:val="52"/>
              <w:bidi w:val="0"/>
            </w:pPr>
            <w:r>
              <w:t>与排放点距离/m</w:t>
            </w:r>
          </w:p>
        </w:tc>
      </w:tr>
      <w:tr w14:paraId="3C944D3F">
        <w:tblPrEx>
          <w:tblCellMar>
            <w:top w:w="0" w:type="dxa"/>
            <w:left w:w="108" w:type="dxa"/>
            <w:bottom w:w="0" w:type="dxa"/>
            <w:right w:w="108" w:type="dxa"/>
          </w:tblCellMar>
        </w:tblPrEx>
        <w:tc>
          <w:tcPr>
            <w:tcW w:w="649" w:type="dxa"/>
            <w:vMerge w:val="continue"/>
            <w:tcBorders>
              <w:left w:val="single" w:color="auto" w:sz="4" w:space="0"/>
              <w:right w:val="single" w:color="auto" w:sz="4" w:space="0"/>
            </w:tcBorders>
            <w:vAlign w:val="center"/>
          </w:tcPr>
          <w:p w14:paraId="22F40FAE">
            <w:pPr>
              <w:pStyle w:val="52"/>
              <w:bidi w:val="0"/>
            </w:pPr>
          </w:p>
        </w:tc>
        <w:tc>
          <w:tcPr>
            <w:tcW w:w="710" w:type="dxa"/>
            <w:tcBorders>
              <w:top w:val="single" w:color="auto" w:sz="4" w:space="0"/>
              <w:left w:val="nil"/>
              <w:bottom w:val="single" w:color="auto" w:sz="4" w:space="0"/>
              <w:right w:val="single" w:color="auto" w:sz="4" w:space="0"/>
            </w:tcBorders>
            <w:vAlign w:val="center"/>
          </w:tcPr>
          <w:p w14:paraId="080A5A49">
            <w:pPr>
              <w:pStyle w:val="52"/>
              <w:bidi w:val="0"/>
            </w:pPr>
            <w:r>
              <w:rPr>
                <w:rFonts w:hint="eastAsia"/>
              </w:rPr>
              <w:t>1</w:t>
            </w:r>
          </w:p>
        </w:tc>
        <w:tc>
          <w:tcPr>
            <w:tcW w:w="2243" w:type="dxa"/>
            <w:tcBorders>
              <w:top w:val="single" w:color="auto" w:sz="4" w:space="0"/>
              <w:left w:val="nil"/>
              <w:bottom w:val="single" w:color="auto" w:sz="4" w:space="0"/>
              <w:right w:val="single" w:color="auto" w:sz="4" w:space="0"/>
            </w:tcBorders>
            <w:vAlign w:val="center"/>
          </w:tcPr>
          <w:p w14:paraId="10364E5B">
            <w:pPr>
              <w:pStyle w:val="52"/>
              <w:bidi w:val="0"/>
            </w:pPr>
            <w:r>
              <w:rPr>
                <w:rFonts w:hint="eastAsia"/>
              </w:rPr>
              <w:t>张泮渡越冬场</w:t>
            </w:r>
          </w:p>
        </w:tc>
        <w:tc>
          <w:tcPr>
            <w:tcW w:w="1737" w:type="dxa"/>
            <w:gridSpan w:val="2"/>
            <w:tcBorders>
              <w:top w:val="single" w:color="auto" w:sz="4" w:space="0"/>
              <w:left w:val="nil"/>
              <w:bottom w:val="single" w:color="auto" w:sz="4" w:space="0"/>
              <w:right w:val="single" w:color="auto" w:sz="4" w:space="0"/>
            </w:tcBorders>
            <w:vAlign w:val="center"/>
          </w:tcPr>
          <w:p w14:paraId="0E68B681">
            <w:pPr>
              <w:pStyle w:val="52"/>
              <w:bidi w:val="0"/>
            </w:pPr>
            <w:r>
              <w:rPr>
                <w:rFonts w:hint="eastAsia"/>
              </w:rPr>
              <w:t>鱼类越冬场</w:t>
            </w:r>
          </w:p>
        </w:tc>
        <w:tc>
          <w:tcPr>
            <w:tcW w:w="2278" w:type="dxa"/>
            <w:gridSpan w:val="2"/>
            <w:tcBorders>
              <w:top w:val="single" w:color="auto" w:sz="4" w:space="0"/>
              <w:left w:val="nil"/>
              <w:bottom w:val="single" w:color="auto" w:sz="4" w:space="0"/>
              <w:right w:val="single" w:color="auto" w:sz="4" w:space="0"/>
            </w:tcBorders>
            <w:vAlign w:val="center"/>
          </w:tcPr>
          <w:p w14:paraId="622E243D">
            <w:pPr>
              <w:pStyle w:val="52"/>
              <w:bidi w:val="0"/>
            </w:pPr>
            <w:r>
              <w:rPr>
                <w:rFonts w:hint="eastAsia"/>
              </w:rPr>
              <w:t>Ⅲ类</w:t>
            </w:r>
          </w:p>
        </w:tc>
        <w:tc>
          <w:tcPr>
            <w:tcW w:w="904" w:type="dxa"/>
            <w:tcBorders>
              <w:top w:val="single" w:color="auto" w:sz="4" w:space="0"/>
              <w:left w:val="nil"/>
              <w:bottom w:val="single" w:color="auto" w:sz="4" w:space="0"/>
              <w:right w:val="single" w:color="auto" w:sz="4" w:space="0"/>
            </w:tcBorders>
            <w:vAlign w:val="center"/>
          </w:tcPr>
          <w:p w14:paraId="1F312CE7">
            <w:pPr>
              <w:pStyle w:val="52"/>
              <w:bidi w:val="0"/>
            </w:pPr>
            <w:r>
              <w:rPr>
                <w:rFonts w:hint="eastAsia"/>
              </w:rPr>
              <w:t>950</w:t>
            </w:r>
          </w:p>
        </w:tc>
      </w:tr>
      <w:tr w14:paraId="5F5D57D8">
        <w:tblPrEx>
          <w:tblCellMar>
            <w:top w:w="0" w:type="dxa"/>
            <w:left w:w="108" w:type="dxa"/>
            <w:bottom w:w="0" w:type="dxa"/>
            <w:right w:w="108" w:type="dxa"/>
          </w:tblCellMar>
        </w:tblPrEx>
        <w:tc>
          <w:tcPr>
            <w:tcW w:w="649" w:type="dxa"/>
            <w:vMerge w:val="continue"/>
            <w:tcBorders>
              <w:left w:val="single" w:color="auto" w:sz="4" w:space="0"/>
              <w:bottom w:val="single" w:color="auto" w:sz="4" w:space="0"/>
              <w:right w:val="single" w:color="auto" w:sz="4" w:space="0"/>
            </w:tcBorders>
            <w:vAlign w:val="center"/>
          </w:tcPr>
          <w:p w14:paraId="20642DA0">
            <w:pPr>
              <w:pStyle w:val="52"/>
              <w:bidi w:val="0"/>
            </w:pPr>
          </w:p>
        </w:tc>
        <w:tc>
          <w:tcPr>
            <w:tcW w:w="710" w:type="dxa"/>
            <w:tcBorders>
              <w:top w:val="single" w:color="auto" w:sz="4" w:space="0"/>
              <w:left w:val="nil"/>
              <w:bottom w:val="single" w:color="auto" w:sz="4" w:space="0"/>
              <w:right w:val="single" w:color="auto" w:sz="4" w:space="0"/>
            </w:tcBorders>
            <w:vAlign w:val="center"/>
          </w:tcPr>
          <w:p w14:paraId="3E370E65">
            <w:pPr>
              <w:pStyle w:val="52"/>
              <w:bidi w:val="0"/>
            </w:pPr>
            <w:r>
              <w:rPr>
                <w:rFonts w:hint="eastAsia"/>
              </w:rPr>
              <w:t>2</w:t>
            </w:r>
          </w:p>
        </w:tc>
        <w:tc>
          <w:tcPr>
            <w:tcW w:w="2243" w:type="dxa"/>
            <w:tcBorders>
              <w:top w:val="single" w:color="auto" w:sz="4" w:space="0"/>
              <w:left w:val="nil"/>
              <w:bottom w:val="single" w:color="auto" w:sz="4" w:space="0"/>
              <w:right w:val="single" w:color="auto" w:sz="4" w:space="0"/>
            </w:tcBorders>
            <w:vAlign w:val="center"/>
          </w:tcPr>
          <w:p w14:paraId="6130062A">
            <w:pPr>
              <w:pStyle w:val="52"/>
              <w:bidi w:val="0"/>
            </w:pPr>
            <w:r>
              <w:rPr>
                <w:rFonts w:hint="eastAsia"/>
              </w:rPr>
              <w:t>湖南常德市澧水河口湿地保护区</w:t>
            </w:r>
          </w:p>
        </w:tc>
        <w:tc>
          <w:tcPr>
            <w:tcW w:w="1737" w:type="dxa"/>
            <w:gridSpan w:val="2"/>
            <w:tcBorders>
              <w:top w:val="single" w:color="auto" w:sz="4" w:space="0"/>
              <w:left w:val="nil"/>
              <w:bottom w:val="single" w:color="auto" w:sz="4" w:space="0"/>
              <w:right w:val="single" w:color="auto" w:sz="4" w:space="0"/>
            </w:tcBorders>
            <w:vAlign w:val="center"/>
          </w:tcPr>
          <w:p w14:paraId="0A69726C">
            <w:pPr>
              <w:pStyle w:val="52"/>
              <w:bidi w:val="0"/>
            </w:pPr>
            <w:r>
              <w:rPr>
                <w:rFonts w:hint="eastAsia"/>
              </w:rPr>
              <w:t>湿地保护区</w:t>
            </w:r>
          </w:p>
        </w:tc>
        <w:tc>
          <w:tcPr>
            <w:tcW w:w="2278" w:type="dxa"/>
            <w:gridSpan w:val="2"/>
            <w:tcBorders>
              <w:top w:val="single" w:color="auto" w:sz="4" w:space="0"/>
              <w:left w:val="nil"/>
              <w:bottom w:val="single" w:color="auto" w:sz="4" w:space="0"/>
              <w:right w:val="single" w:color="auto" w:sz="4" w:space="0"/>
            </w:tcBorders>
            <w:vAlign w:val="center"/>
          </w:tcPr>
          <w:p w14:paraId="0A5741B3">
            <w:pPr>
              <w:pStyle w:val="52"/>
              <w:bidi w:val="0"/>
            </w:pPr>
            <w:r>
              <w:rPr>
                <w:rFonts w:hint="eastAsia"/>
              </w:rPr>
              <w:t>Ⅲ类</w:t>
            </w:r>
          </w:p>
        </w:tc>
        <w:tc>
          <w:tcPr>
            <w:tcW w:w="904" w:type="dxa"/>
            <w:tcBorders>
              <w:top w:val="single" w:color="auto" w:sz="4" w:space="0"/>
              <w:left w:val="nil"/>
              <w:bottom w:val="single" w:color="auto" w:sz="4" w:space="0"/>
              <w:right w:val="single" w:color="auto" w:sz="4" w:space="0"/>
            </w:tcBorders>
            <w:vAlign w:val="center"/>
          </w:tcPr>
          <w:p w14:paraId="508026CD">
            <w:pPr>
              <w:pStyle w:val="52"/>
              <w:bidi w:val="0"/>
            </w:pPr>
            <w:r>
              <w:rPr>
                <w:rFonts w:hint="eastAsia"/>
              </w:rPr>
              <w:t>800</w:t>
            </w:r>
          </w:p>
        </w:tc>
      </w:tr>
    </w:tbl>
    <w:p w14:paraId="52510F50">
      <w:pPr>
        <w:pStyle w:val="3"/>
        <w:spacing w:before="100" w:beforeAutospacing="1" w:after="100" w:afterAutospacing="1" w:line="360" w:lineRule="auto"/>
        <w:rPr>
          <w:rFonts w:ascii="Times New Roman" w:hAnsi="Times New Roman"/>
          <w:color w:val="auto"/>
          <w:kern w:val="0"/>
          <w:sz w:val="28"/>
          <w:szCs w:val="28"/>
        </w:rPr>
      </w:pPr>
      <w:bookmarkStart w:id="296" w:name="_Toc121561296"/>
      <w:bookmarkStart w:id="297" w:name="_Toc22663"/>
      <w:bookmarkStart w:id="298" w:name="_Toc3643"/>
      <w:r>
        <w:rPr>
          <w:rFonts w:ascii="Times New Roman" w:hAnsi="Times New Roman"/>
          <w:color w:val="auto"/>
          <w:kern w:val="0"/>
          <w:sz w:val="28"/>
          <w:szCs w:val="28"/>
        </w:rPr>
        <w:t>8.4</w:t>
      </w:r>
      <w:r>
        <w:rPr>
          <w:rFonts w:hint="eastAsia" w:ascii="Times New Roman" w:hAnsi="Times New Roman"/>
          <w:color w:val="auto"/>
          <w:kern w:val="0"/>
          <w:sz w:val="28"/>
          <w:szCs w:val="28"/>
          <w:lang w:val="en-US" w:eastAsia="zh-CN"/>
        </w:rPr>
        <w:t>环境</w:t>
      </w:r>
      <w:r>
        <w:rPr>
          <w:rFonts w:hint="eastAsia" w:ascii="Times New Roman" w:hAnsi="Times New Roman"/>
          <w:color w:val="auto"/>
          <w:kern w:val="0"/>
          <w:sz w:val="28"/>
          <w:szCs w:val="28"/>
        </w:rPr>
        <w:t>风险识别</w:t>
      </w:r>
      <w:bookmarkEnd w:id="296"/>
      <w:bookmarkEnd w:id="297"/>
      <w:bookmarkEnd w:id="298"/>
    </w:p>
    <w:p w14:paraId="0AC556A5">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val="en-US" w:eastAsia="zh-CN"/>
        </w:rPr>
        <w:t>环境</w:t>
      </w:r>
      <w:r>
        <w:rPr>
          <w:rFonts w:hint="eastAsia" w:ascii="Times New Roman" w:hAnsi="Times New Roman" w:eastAsia="宋体" w:cs="Times New Roman"/>
          <w:color w:val="auto"/>
          <w:sz w:val="24"/>
          <w:szCs w:val="24"/>
        </w:rPr>
        <w:t>风险识别主要包括</w:t>
      </w:r>
      <w:r>
        <w:rPr>
          <w:rFonts w:hint="eastAsia" w:ascii="Times New Roman" w:hAnsi="Times New Roman" w:eastAsia="宋体" w:cs="Times New Roman"/>
          <w:color w:val="auto"/>
          <w:sz w:val="24"/>
          <w:szCs w:val="24"/>
          <w:lang w:val="en-US" w:eastAsia="zh-CN"/>
        </w:rPr>
        <w:t>危险物质及分布情况，影响环境</w:t>
      </w:r>
      <w:r>
        <w:rPr>
          <w:rFonts w:hint="eastAsia" w:ascii="Times New Roman" w:hAnsi="Times New Roman" w:eastAsia="宋体" w:cs="Times New Roman"/>
          <w:color w:val="auto"/>
          <w:sz w:val="24"/>
          <w:szCs w:val="24"/>
        </w:rPr>
        <w:t>的途径识别。</w:t>
      </w:r>
    </w:p>
    <w:p w14:paraId="4F999E9B">
      <w:pPr>
        <w:pStyle w:val="4"/>
        <w:spacing w:before="156" w:beforeLines="50" w:after="156" w:afterLines="50" w:line="360" w:lineRule="auto"/>
        <w:rPr>
          <w:rFonts w:ascii="Times New Roman" w:hAnsi="Times New Roman"/>
          <w:bCs w:val="0"/>
          <w:color w:val="auto"/>
          <w:sz w:val="24"/>
          <w:szCs w:val="24"/>
        </w:rPr>
      </w:pPr>
      <w:r>
        <w:rPr>
          <w:rFonts w:ascii="Times New Roman" w:hAnsi="Times New Roman"/>
          <w:bCs w:val="0"/>
          <w:color w:val="auto"/>
          <w:sz w:val="24"/>
          <w:szCs w:val="24"/>
        </w:rPr>
        <w:t>8.4.1</w:t>
      </w:r>
      <w:r>
        <w:rPr>
          <w:rFonts w:hint="eastAsia" w:ascii="Times New Roman" w:hAnsi="Times New Roman"/>
          <w:bCs w:val="0"/>
          <w:color w:val="auto"/>
          <w:sz w:val="24"/>
          <w:szCs w:val="24"/>
        </w:rPr>
        <w:t>物质危险性识别</w:t>
      </w:r>
    </w:p>
    <w:p w14:paraId="53666FA8">
      <w:pPr>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本项目主要涉及的危险物质</w:t>
      </w:r>
      <w:r>
        <w:rPr>
          <w:rFonts w:hint="eastAsia" w:ascii="Times New Roman" w:hAnsi="Times New Roman" w:eastAsia="宋体" w:cs="Times New Roman"/>
          <w:color w:val="auto"/>
          <w:sz w:val="24"/>
          <w:szCs w:val="24"/>
        </w:rPr>
        <w:t>危险特性及分布如下表所示：</w:t>
      </w:r>
    </w:p>
    <w:p w14:paraId="1BD66796">
      <w:pPr>
        <w:pStyle w:val="6"/>
        <w:bidi w:val="0"/>
      </w:pPr>
      <w:r>
        <w:rPr>
          <w:rFonts w:hint="eastAsia"/>
        </w:rPr>
        <w:t>表</w:t>
      </w:r>
      <w:r>
        <w:t xml:space="preserve">8.4-1    </w:t>
      </w:r>
      <w:r>
        <w:rPr>
          <w:rFonts w:hint="eastAsia"/>
        </w:rPr>
        <w:t>毒性物质主要危害及毒性分级</w:t>
      </w:r>
    </w:p>
    <w:tbl>
      <w:tblPr>
        <w:tblStyle w:val="4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6"/>
        <w:gridCol w:w="1163"/>
        <w:gridCol w:w="1501"/>
        <w:gridCol w:w="1800"/>
        <w:gridCol w:w="1814"/>
        <w:gridCol w:w="1435"/>
      </w:tblGrid>
      <w:tr w14:paraId="5D5B9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806" w:type="dxa"/>
            <w:vAlign w:val="center"/>
          </w:tcPr>
          <w:p w14:paraId="0B509A05">
            <w:pPr>
              <w:jc w:val="center"/>
              <w:rPr>
                <w:rFonts w:ascii="Times New Roman" w:hAnsi="Times New Roman" w:eastAsia="宋体" w:cs="Times New Roman"/>
                <w:color w:val="auto"/>
                <w:sz w:val="22"/>
              </w:rPr>
            </w:pPr>
            <w:r>
              <w:rPr>
                <w:rFonts w:hint="eastAsia" w:ascii="Times New Roman" w:hAnsi="Times New Roman" w:eastAsia="宋体" w:cs="Times New Roman"/>
                <w:color w:val="auto"/>
                <w:sz w:val="22"/>
              </w:rPr>
              <w:t>序号</w:t>
            </w:r>
          </w:p>
        </w:tc>
        <w:tc>
          <w:tcPr>
            <w:tcW w:w="1163" w:type="dxa"/>
            <w:vAlign w:val="center"/>
          </w:tcPr>
          <w:p w14:paraId="2E3171F5">
            <w:pPr>
              <w:jc w:val="center"/>
              <w:rPr>
                <w:rFonts w:ascii="Times New Roman" w:hAnsi="Times New Roman" w:eastAsia="宋体" w:cs="Times New Roman"/>
                <w:color w:val="auto"/>
                <w:sz w:val="22"/>
              </w:rPr>
            </w:pPr>
            <w:r>
              <w:rPr>
                <w:rFonts w:hint="eastAsia" w:ascii="Times New Roman" w:hAnsi="Times New Roman" w:eastAsia="宋体" w:cs="Times New Roman"/>
                <w:color w:val="auto"/>
                <w:sz w:val="22"/>
              </w:rPr>
              <w:t>名称</w:t>
            </w:r>
          </w:p>
        </w:tc>
        <w:tc>
          <w:tcPr>
            <w:tcW w:w="1501" w:type="dxa"/>
            <w:vAlign w:val="center"/>
          </w:tcPr>
          <w:p w14:paraId="39ED8A10">
            <w:pPr>
              <w:jc w:val="center"/>
              <w:rPr>
                <w:rFonts w:ascii="Times New Roman" w:hAnsi="Times New Roman" w:eastAsia="宋体" w:cs="Times New Roman"/>
                <w:color w:val="auto"/>
                <w:sz w:val="22"/>
              </w:rPr>
            </w:pPr>
            <w:r>
              <w:rPr>
                <w:rFonts w:hint="eastAsia" w:ascii="Times New Roman" w:hAnsi="Times New Roman" w:eastAsia="宋体" w:cs="Times New Roman"/>
                <w:color w:val="auto"/>
                <w:sz w:val="22"/>
              </w:rPr>
              <w:t>环境危害</w:t>
            </w:r>
          </w:p>
        </w:tc>
        <w:tc>
          <w:tcPr>
            <w:tcW w:w="1800" w:type="dxa"/>
            <w:vAlign w:val="center"/>
          </w:tcPr>
          <w:p w14:paraId="68D65B48">
            <w:pPr>
              <w:jc w:val="center"/>
              <w:rPr>
                <w:rFonts w:ascii="Times New Roman" w:hAnsi="Times New Roman" w:eastAsia="宋体" w:cs="Times New Roman"/>
                <w:color w:val="auto"/>
                <w:sz w:val="22"/>
              </w:rPr>
            </w:pPr>
            <w:r>
              <w:rPr>
                <w:rFonts w:hint="eastAsia" w:ascii="Times New Roman" w:hAnsi="Times New Roman" w:eastAsia="宋体" w:cs="Times New Roman"/>
                <w:color w:val="auto"/>
                <w:sz w:val="22"/>
              </w:rPr>
              <w:t>毒性终点浓度</w:t>
            </w:r>
            <w:r>
              <w:rPr>
                <w:rFonts w:ascii="Times New Roman" w:hAnsi="Times New Roman" w:eastAsia="宋体" w:cs="Times New Roman"/>
                <w:color w:val="auto"/>
                <w:sz w:val="22"/>
              </w:rPr>
              <w:t>-1</w:t>
            </w:r>
          </w:p>
        </w:tc>
        <w:tc>
          <w:tcPr>
            <w:tcW w:w="1814" w:type="dxa"/>
            <w:vAlign w:val="center"/>
          </w:tcPr>
          <w:p w14:paraId="0278C056">
            <w:pPr>
              <w:jc w:val="center"/>
              <w:rPr>
                <w:rFonts w:ascii="Times New Roman" w:hAnsi="Times New Roman" w:eastAsia="宋体" w:cs="Times New Roman"/>
                <w:color w:val="auto"/>
                <w:sz w:val="22"/>
              </w:rPr>
            </w:pPr>
            <w:r>
              <w:rPr>
                <w:rFonts w:hint="eastAsia" w:ascii="Times New Roman" w:hAnsi="Times New Roman" w:eastAsia="宋体" w:cs="Times New Roman"/>
                <w:color w:val="auto"/>
                <w:sz w:val="22"/>
              </w:rPr>
              <w:t>毒性终点浓度</w:t>
            </w:r>
            <w:r>
              <w:rPr>
                <w:rFonts w:ascii="Times New Roman" w:hAnsi="Times New Roman" w:eastAsia="宋体" w:cs="Times New Roman"/>
                <w:color w:val="auto"/>
                <w:sz w:val="22"/>
              </w:rPr>
              <w:t>-2</w:t>
            </w:r>
          </w:p>
        </w:tc>
        <w:tc>
          <w:tcPr>
            <w:tcW w:w="1435" w:type="dxa"/>
            <w:vAlign w:val="center"/>
          </w:tcPr>
          <w:p w14:paraId="315FB661">
            <w:pPr>
              <w:jc w:val="center"/>
              <w:rPr>
                <w:rFonts w:hint="default" w:ascii="Times New Roman" w:hAnsi="Times New Roman" w:eastAsia="宋体" w:cs="Times New Roman"/>
                <w:color w:val="auto"/>
                <w:sz w:val="22"/>
                <w:lang w:val="en-US" w:eastAsia="zh-CN"/>
              </w:rPr>
            </w:pPr>
            <w:r>
              <w:rPr>
                <w:rFonts w:hint="eastAsia" w:ascii="Times New Roman" w:hAnsi="Times New Roman" w:eastAsia="宋体" w:cs="Times New Roman"/>
                <w:color w:val="auto"/>
                <w:sz w:val="22"/>
                <w:lang w:val="en-US" w:eastAsia="zh-CN"/>
              </w:rPr>
              <w:t>位置分布</w:t>
            </w:r>
          </w:p>
        </w:tc>
      </w:tr>
      <w:tr w14:paraId="5C762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6" w:type="dxa"/>
            <w:vAlign w:val="center"/>
          </w:tcPr>
          <w:p w14:paraId="315510D3">
            <w:pPr>
              <w:jc w:val="center"/>
              <w:rPr>
                <w:rFonts w:hint="eastAsia"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1</w:t>
            </w:r>
          </w:p>
        </w:tc>
        <w:tc>
          <w:tcPr>
            <w:tcW w:w="1163" w:type="dxa"/>
            <w:vAlign w:val="center"/>
          </w:tcPr>
          <w:p w14:paraId="27734B57">
            <w:pPr>
              <w:jc w:val="center"/>
              <w:rPr>
                <w:rFonts w:hint="eastAsia" w:ascii="Times New Roman" w:hAnsi="Times New Roman" w:eastAsia="宋体" w:cs="Times New Roman"/>
                <w:color w:val="auto"/>
                <w:sz w:val="22"/>
                <w:lang w:val="en-US" w:eastAsia="zh-CN"/>
              </w:rPr>
            </w:pPr>
            <w:r>
              <w:rPr>
                <w:rFonts w:hint="eastAsia" w:ascii="Times New Roman" w:hAnsi="Times New Roman" w:eastAsia="宋体" w:cs="Times New Roman"/>
                <w:color w:val="auto"/>
                <w:sz w:val="22"/>
                <w:lang w:val="en-US" w:eastAsia="zh-CN"/>
              </w:rPr>
              <w:t>氢氧化钠</w:t>
            </w:r>
          </w:p>
        </w:tc>
        <w:tc>
          <w:tcPr>
            <w:tcW w:w="1501" w:type="dxa"/>
            <w:vMerge w:val="restart"/>
            <w:vAlign w:val="center"/>
          </w:tcPr>
          <w:p w14:paraId="0D1E1689">
            <w:pPr>
              <w:jc w:val="center"/>
              <w:rPr>
                <w:rFonts w:ascii="Times New Roman" w:hAnsi="Times New Roman" w:eastAsia="宋体" w:cs="Times New Roman"/>
                <w:color w:val="auto"/>
                <w:sz w:val="22"/>
              </w:rPr>
            </w:pPr>
            <w:r>
              <w:rPr>
                <w:rFonts w:hint="eastAsia" w:ascii="Times New Roman" w:hAnsi="Times New Roman" w:eastAsia="宋体" w:cs="Times New Roman"/>
                <w:color w:val="auto"/>
                <w:sz w:val="22"/>
              </w:rPr>
              <w:t>对大气、水体和土壤造成污染</w:t>
            </w:r>
          </w:p>
        </w:tc>
        <w:tc>
          <w:tcPr>
            <w:tcW w:w="1800" w:type="dxa"/>
            <w:vAlign w:val="center"/>
          </w:tcPr>
          <w:p w14:paraId="565335A6">
            <w:pPr>
              <w:jc w:val="center"/>
              <w:rPr>
                <w:rFonts w:ascii="Times New Roman" w:hAnsi="Times New Roman" w:eastAsia="宋体" w:cs="Times New Roman"/>
                <w:color w:val="auto"/>
                <w:sz w:val="22"/>
              </w:rPr>
            </w:pPr>
            <w:r>
              <w:rPr>
                <w:rFonts w:hint="eastAsia" w:ascii="Times New Roman" w:hAnsi="Times New Roman" w:eastAsia="宋体" w:cs="Times New Roman"/>
                <w:color w:val="auto"/>
                <w:sz w:val="22"/>
              </w:rPr>
              <w:t>/</w:t>
            </w:r>
          </w:p>
        </w:tc>
        <w:tc>
          <w:tcPr>
            <w:tcW w:w="1814" w:type="dxa"/>
            <w:vAlign w:val="center"/>
          </w:tcPr>
          <w:p w14:paraId="513DFDC4">
            <w:pPr>
              <w:jc w:val="center"/>
              <w:rPr>
                <w:rFonts w:ascii="Times New Roman" w:hAnsi="Times New Roman" w:eastAsia="宋体" w:cs="Times New Roman"/>
                <w:color w:val="auto"/>
                <w:sz w:val="22"/>
              </w:rPr>
            </w:pPr>
            <w:r>
              <w:rPr>
                <w:rFonts w:hint="eastAsia" w:ascii="Times New Roman" w:hAnsi="Times New Roman" w:eastAsia="宋体" w:cs="Times New Roman"/>
                <w:color w:val="auto"/>
                <w:sz w:val="22"/>
              </w:rPr>
              <w:t>/</w:t>
            </w:r>
          </w:p>
        </w:tc>
        <w:tc>
          <w:tcPr>
            <w:tcW w:w="1435" w:type="dxa"/>
            <w:vAlign w:val="center"/>
          </w:tcPr>
          <w:p w14:paraId="0691EEEA">
            <w:pPr>
              <w:jc w:val="center"/>
              <w:rPr>
                <w:rFonts w:hint="default" w:ascii="Times New Roman" w:hAnsi="Times New Roman" w:eastAsia="宋体" w:cs="Times New Roman"/>
                <w:color w:val="auto"/>
                <w:sz w:val="22"/>
                <w:lang w:val="en-US" w:eastAsia="zh-CN"/>
              </w:rPr>
            </w:pPr>
            <w:r>
              <w:rPr>
                <w:rFonts w:hint="eastAsia" w:ascii="Times New Roman" w:hAnsi="Times New Roman" w:eastAsia="宋体" w:cs="Times New Roman"/>
                <w:color w:val="auto"/>
                <w:sz w:val="22"/>
                <w:lang w:val="en-US" w:eastAsia="zh-CN"/>
              </w:rPr>
              <w:t>发酵1车间、提取3车间、提取6车间、储罐区</w:t>
            </w:r>
          </w:p>
        </w:tc>
      </w:tr>
      <w:tr w14:paraId="46D50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6" w:type="dxa"/>
            <w:vAlign w:val="center"/>
          </w:tcPr>
          <w:p w14:paraId="1389E673">
            <w:pPr>
              <w:jc w:val="center"/>
              <w:rPr>
                <w:rFonts w:hint="eastAsia"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2</w:t>
            </w:r>
          </w:p>
        </w:tc>
        <w:tc>
          <w:tcPr>
            <w:tcW w:w="1163" w:type="dxa"/>
            <w:vAlign w:val="center"/>
          </w:tcPr>
          <w:p w14:paraId="2C5A80DA">
            <w:pPr>
              <w:jc w:val="center"/>
              <w:rPr>
                <w:rFonts w:hint="default" w:ascii="Times New Roman" w:hAnsi="Times New Roman" w:eastAsia="宋体" w:cs="Times New Roman"/>
                <w:color w:val="auto"/>
                <w:sz w:val="22"/>
                <w:lang w:val="en-US" w:eastAsia="zh-CN"/>
              </w:rPr>
            </w:pPr>
            <w:r>
              <w:rPr>
                <w:rFonts w:hint="eastAsia" w:ascii="Times New Roman" w:hAnsi="Times New Roman" w:eastAsia="宋体" w:cs="Times New Roman"/>
                <w:color w:val="auto"/>
                <w:sz w:val="22"/>
                <w:lang w:val="en-US" w:eastAsia="zh-CN"/>
              </w:rPr>
              <w:t>废矿物油</w:t>
            </w:r>
          </w:p>
        </w:tc>
        <w:tc>
          <w:tcPr>
            <w:tcW w:w="1501" w:type="dxa"/>
            <w:vMerge w:val="continue"/>
            <w:vAlign w:val="center"/>
          </w:tcPr>
          <w:p w14:paraId="270DF214">
            <w:pPr>
              <w:jc w:val="center"/>
              <w:rPr>
                <w:rFonts w:ascii="Times New Roman" w:hAnsi="Times New Roman" w:eastAsia="宋体" w:cs="Times New Roman"/>
                <w:color w:val="auto"/>
                <w:sz w:val="22"/>
              </w:rPr>
            </w:pPr>
          </w:p>
        </w:tc>
        <w:tc>
          <w:tcPr>
            <w:tcW w:w="1800" w:type="dxa"/>
            <w:vAlign w:val="center"/>
          </w:tcPr>
          <w:p w14:paraId="5D0CBCA9">
            <w:pPr>
              <w:jc w:val="center"/>
              <w:rPr>
                <w:rFonts w:ascii="Times New Roman" w:hAnsi="Times New Roman" w:eastAsia="宋体" w:cs="Times New Roman"/>
                <w:color w:val="auto"/>
                <w:sz w:val="22"/>
              </w:rPr>
            </w:pPr>
            <w:r>
              <w:rPr>
                <w:rFonts w:hint="eastAsia" w:ascii="Times New Roman" w:hAnsi="Times New Roman" w:eastAsia="宋体" w:cs="Times New Roman"/>
                <w:color w:val="auto"/>
                <w:sz w:val="22"/>
              </w:rPr>
              <w:t>/</w:t>
            </w:r>
          </w:p>
        </w:tc>
        <w:tc>
          <w:tcPr>
            <w:tcW w:w="1814" w:type="dxa"/>
            <w:vAlign w:val="center"/>
          </w:tcPr>
          <w:p w14:paraId="4CAE7F9A">
            <w:pPr>
              <w:jc w:val="center"/>
              <w:rPr>
                <w:rFonts w:ascii="Times New Roman" w:hAnsi="Times New Roman" w:eastAsia="宋体" w:cs="Times New Roman"/>
                <w:color w:val="auto"/>
                <w:sz w:val="22"/>
              </w:rPr>
            </w:pPr>
            <w:r>
              <w:rPr>
                <w:rFonts w:hint="eastAsia" w:ascii="Times New Roman" w:hAnsi="Times New Roman" w:eastAsia="宋体" w:cs="Times New Roman"/>
                <w:color w:val="auto"/>
                <w:sz w:val="22"/>
              </w:rPr>
              <w:t>/</w:t>
            </w:r>
          </w:p>
        </w:tc>
        <w:tc>
          <w:tcPr>
            <w:tcW w:w="1435" w:type="dxa"/>
            <w:vMerge w:val="restart"/>
            <w:vAlign w:val="center"/>
          </w:tcPr>
          <w:p w14:paraId="06EF5E83">
            <w:pPr>
              <w:jc w:val="center"/>
              <w:rPr>
                <w:rFonts w:hint="default" w:ascii="Times New Roman" w:hAnsi="Times New Roman" w:eastAsia="宋体" w:cs="Times New Roman"/>
                <w:color w:val="auto"/>
                <w:sz w:val="22"/>
                <w:lang w:val="en-US" w:eastAsia="zh-CN"/>
              </w:rPr>
            </w:pPr>
            <w:r>
              <w:rPr>
                <w:rFonts w:hint="eastAsia" w:ascii="Times New Roman" w:hAnsi="Times New Roman" w:eastAsia="宋体" w:cs="Times New Roman"/>
                <w:color w:val="auto"/>
                <w:sz w:val="22"/>
                <w:lang w:val="en-US" w:eastAsia="zh-CN"/>
              </w:rPr>
              <w:t>危废暂存间</w:t>
            </w:r>
          </w:p>
        </w:tc>
      </w:tr>
      <w:tr w14:paraId="2EAAA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6" w:type="dxa"/>
            <w:vAlign w:val="center"/>
          </w:tcPr>
          <w:p w14:paraId="46ACEB6F">
            <w:pPr>
              <w:jc w:val="center"/>
              <w:rPr>
                <w:rFonts w:hint="eastAsia"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3</w:t>
            </w:r>
          </w:p>
        </w:tc>
        <w:tc>
          <w:tcPr>
            <w:tcW w:w="1163" w:type="dxa"/>
            <w:vAlign w:val="center"/>
          </w:tcPr>
          <w:p w14:paraId="100B2352">
            <w:pPr>
              <w:jc w:val="center"/>
              <w:rPr>
                <w:rFonts w:hint="default" w:ascii="Times New Roman" w:hAnsi="Times New Roman" w:eastAsia="宋体" w:cs="Times New Roman"/>
                <w:color w:val="auto"/>
                <w:sz w:val="22"/>
                <w:lang w:val="en-US" w:eastAsia="zh-CN"/>
              </w:rPr>
            </w:pPr>
            <w:r>
              <w:rPr>
                <w:rFonts w:hint="eastAsia" w:ascii="Times New Roman" w:hAnsi="Times New Roman" w:eastAsia="宋体" w:cs="Times New Roman"/>
                <w:color w:val="auto"/>
                <w:sz w:val="22"/>
                <w:lang w:val="en-US" w:eastAsia="zh-CN"/>
              </w:rPr>
              <w:t>污水站污泥</w:t>
            </w:r>
          </w:p>
        </w:tc>
        <w:tc>
          <w:tcPr>
            <w:tcW w:w="1501" w:type="dxa"/>
            <w:vMerge w:val="continue"/>
            <w:vAlign w:val="center"/>
          </w:tcPr>
          <w:p w14:paraId="2BC14DB4">
            <w:pPr>
              <w:jc w:val="center"/>
              <w:rPr>
                <w:rFonts w:ascii="Times New Roman" w:hAnsi="Times New Roman" w:eastAsia="宋体" w:cs="Times New Roman"/>
                <w:color w:val="auto"/>
                <w:sz w:val="22"/>
              </w:rPr>
            </w:pPr>
          </w:p>
        </w:tc>
        <w:tc>
          <w:tcPr>
            <w:tcW w:w="1800" w:type="dxa"/>
            <w:vAlign w:val="center"/>
          </w:tcPr>
          <w:p w14:paraId="1C9EE40E">
            <w:pPr>
              <w:jc w:val="center"/>
              <w:rPr>
                <w:rFonts w:hint="eastAsia" w:ascii="Times New Roman" w:hAnsi="Times New Roman" w:eastAsia="宋体" w:cs="Times New Roman"/>
                <w:color w:val="auto"/>
                <w:sz w:val="22"/>
                <w:lang w:val="en-US" w:eastAsia="zh-CN"/>
              </w:rPr>
            </w:pPr>
            <w:r>
              <w:rPr>
                <w:rFonts w:hint="eastAsia" w:ascii="Times New Roman" w:hAnsi="Times New Roman" w:eastAsia="宋体" w:cs="Times New Roman"/>
                <w:color w:val="auto"/>
                <w:sz w:val="22"/>
                <w:lang w:val="en-US" w:eastAsia="zh-CN"/>
              </w:rPr>
              <w:t>/</w:t>
            </w:r>
          </w:p>
        </w:tc>
        <w:tc>
          <w:tcPr>
            <w:tcW w:w="1814" w:type="dxa"/>
            <w:vAlign w:val="center"/>
          </w:tcPr>
          <w:p w14:paraId="5BAEC47D">
            <w:pPr>
              <w:jc w:val="center"/>
              <w:rPr>
                <w:rFonts w:hint="eastAsia" w:ascii="Times New Roman" w:hAnsi="Times New Roman" w:eastAsia="宋体" w:cs="Times New Roman"/>
                <w:color w:val="auto"/>
                <w:sz w:val="22"/>
                <w:lang w:val="en-US" w:eastAsia="zh-CN"/>
              </w:rPr>
            </w:pPr>
            <w:r>
              <w:rPr>
                <w:rFonts w:hint="eastAsia" w:ascii="Times New Roman" w:hAnsi="Times New Roman" w:eastAsia="宋体" w:cs="Times New Roman"/>
                <w:color w:val="auto"/>
                <w:sz w:val="22"/>
                <w:lang w:val="en-US" w:eastAsia="zh-CN"/>
              </w:rPr>
              <w:t>/</w:t>
            </w:r>
          </w:p>
        </w:tc>
        <w:tc>
          <w:tcPr>
            <w:tcW w:w="1435" w:type="dxa"/>
            <w:vMerge w:val="continue"/>
            <w:vAlign w:val="center"/>
          </w:tcPr>
          <w:p w14:paraId="78D6634F">
            <w:pPr>
              <w:jc w:val="center"/>
              <w:rPr>
                <w:rFonts w:hint="eastAsia" w:ascii="Times New Roman" w:hAnsi="Times New Roman" w:eastAsia="宋体" w:cs="Times New Roman"/>
                <w:color w:val="auto"/>
                <w:sz w:val="22"/>
              </w:rPr>
            </w:pPr>
          </w:p>
        </w:tc>
      </w:tr>
    </w:tbl>
    <w:p w14:paraId="79171B01">
      <w:pPr>
        <w:pStyle w:val="4"/>
        <w:spacing w:before="156" w:beforeLines="50" w:after="156" w:afterLines="50" w:line="360" w:lineRule="auto"/>
        <w:rPr>
          <w:rFonts w:ascii="Times New Roman" w:hAnsi="Times New Roman"/>
          <w:bCs w:val="0"/>
          <w:color w:val="auto"/>
          <w:sz w:val="24"/>
          <w:szCs w:val="24"/>
        </w:rPr>
      </w:pPr>
      <w:r>
        <w:rPr>
          <w:rFonts w:ascii="Times New Roman" w:hAnsi="Times New Roman"/>
          <w:bCs w:val="0"/>
          <w:color w:val="auto"/>
          <w:sz w:val="24"/>
          <w:szCs w:val="24"/>
        </w:rPr>
        <w:t>8.4.2</w:t>
      </w:r>
      <w:r>
        <w:rPr>
          <w:rFonts w:hint="eastAsia" w:ascii="Times New Roman" w:hAnsi="Times New Roman"/>
          <w:bCs w:val="0"/>
          <w:color w:val="auto"/>
          <w:sz w:val="24"/>
          <w:szCs w:val="24"/>
          <w:lang w:val="en-US" w:eastAsia="zh-CN"/>
        </w:rPr>
        <w:t>影响环境途径识别</w:t>
      </w:r>
    </w:p>
    <w:p w14:paraId="55AF930C">
      <w:pPr>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1、危险物质泄漏</w:t>
      </w:r>
    </w:p>
    <w:p w14:paraId="4BA905EE">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这类事故通常的起因是设备（包括储罐、反应釜、中间罐、管线、阀门或其它设施）出现故障或操作失误、仪表失灵等，使物料泄漏，弥散在空气中，此时的直接危险是有毒物质的扩散对周围环境的污染。</w:t>
      </w:r>
    </w:p>
    <w:p w14:paraId="2E555BBF">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事故发生后，通常采取切断泄漏源、切断火源，隔离泄漏场所的措施，通过适当方式合理通风，加速有害物质的扩散，降低泄漏点的浓度，避免引起爆炸。</w:t>
      </w:r>
    </w:p>
    <w:p w14:paraId="1BAD7186">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对泄漏点附近的下水道、边沟等限制性空间应采取覆盖或用吸收剂吸收等措施，防止泄漏的物料进入引发连锁性爆炸。</w:t>
      </w:r>
    </w:p>
    <w:p w14:paraId="67E8F1ED">
      <w:pPr>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2、火灾爆炸次生/伴生污染</w:t>
      </w:r>
    </w:p>
    <w:p w14:paraId="6E95FF8A">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可燃或易燃泄漏物若遇明火将会引发火灾，发生次生灾害，火灾燃烧时产生的烟气为伴生污染物，物质燃烧在放出大量辐射热的同时，还散发出大量的浓烟、</w:t>
      </w:r>
      <w:r>
        <w:rPr>
          <w:rFonts w:ascii="Times New Roman" w:hAnsi="Times New Roman" w:eastAsia="宋体" w:cs="Times New Roman"/>
          <w:color w:val="auto"/>
          <w:sz w:val="24"/>
          <w:szCs w:val="24"/>
        </w:rPr>
        <w:t>CO等有毒有害气体，对火场周围人员的生命安全和周围的大气环境质量造成污染和破坏。火灾事故严重而措施不当时，可能引起爆炸等连锁效应。</w:t>
      </w:r>
    </w:p>
    <w:p w14:paraId="0B79474C">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此时，应对相关装置紧急停车，尽可能倒空上、下游物料。在积极救火的同时，对周围装置及设施进行降温保护。这一过程中将有燃烧烟气的伴生污染和消防污水的次生污染发生。其中，消防废水中可能含有大量的物料和使用的化学药剂，并可能含有毒有害物料。如果该废水经雨水排放系统排放，存在水体污染的风险。</w:t>
      </w:r>
    </w:p>
    <w:p w14:paraId="46B0F352">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根据泄漏物的性质可以在泄漏点附近采用喷雾状水或中和液进行稀释、溶解的措施，降低空气中泄漏物的浓度，避免发生爆炸。喷洒的稀释液会形成含污染物的废水，引出次生污染物—废水，对这类废水应注意收集至污水系统，避免造成对地表水、地下水或土壤的污染。</w:t>
      </w:r>
    </w:p>
    <w:p w14:paraId="3277EB16">
      <w:pPr>
        <w:numPr>
          <w:ilvl w:val="0"/>
          <w:numId w:val="8"/>
        </w:numPr>
        <w:spacing w:line="360" w:lineRule="auto"/>
        <w:ind w:firstLine="480" w:firstLineChars="2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环保设施风险识别</w:t>
      </w:r>
    </w:p>
    <w:p w14:paraId="7C10FFEF">
      <w:pPr>
        <w:numPr>
          <w:ilvl w:val="0"/>
          <w:numId w:val="0"/>
        </w:numPr>
        <w:spacing w:line="360" w:lineRule="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 xml:space="preserve">    本项目涉及的环保设施主要有废气处理设施、污水处理设施以及危废暂存间等。</w:t>
      </w:r>
    </w:p>
    <w:p w14:paraId="1A15B53E">
      <w:pPr>
        <w:numPr>
          <w:ilvl w:val="0"/>
          <w:numId w:val="0"/>
        </w:numPr>
        <w:spacing w:line="360" w:lineRule="auto"/>
        <w:ind w:firstLine="480" w:firstLineChars="2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（1）厂内设有设有事故池暂存事故时的生产污水，因此本项目污水处理设施出现故障时，企业通过采取有效的应急措施，能够将影响控制在厂区内，不会对区域环境带来不利影响。</w:t>
      </w:r>
    </w:p>
    <w:p w14:paraId="03DFB92C">
      <w:pPr>
        <w:numPr>
          <w:ilvl w:val="0"/>
          <w:numId w:val="0"/>
        </w:numPr>
        <w:spacing w:line="360" w:lineRule="auto"/>
        <w:ind w:firstLine="480" w:firstLineChars="2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（2）本项目废气处理设置主要包括有机废气处理装置，装置如出现故障，导致废气处理效率下降，废气非正常排放。</w:t>
      </w:r>
    </w:p>
    <w:p w14:paraId="59359496">
      <w:pPr>
        <w:numPr>
          <w:ilvl w:val="0"/>
          <w:numId w:val="0"/>
        </w:numPr>
        <w:spacing w:line="360" w:lineRule="auto"/>
        <w:ind w:firstLine="480" w:firstLineChars="200"/>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（3）危废暂存间按照《危险废物贮存污染控制标准》（GB18597-2001）及其修改单相应要求进行建设，发生危废泄漏后可及时收集，不会进入自然环境中</w:t>
      </w:r>
    </w:p>
    <w:p w14:paraId="0D7359EC">
      <w:pPr>
        <w:pStyle w:val="3"/>
        <w:spacing w:before="100" w:beforeAutospacing="1" w:after="100" w:afterAutospacing="1" w:line="360" w:lineRule="auto"/>
        <w:rPr>
          <w:rFonts w:hint="default" w:ascii="Times New Roman" w:hAnsi="Times New Roman" w:eastAsia="宋体"/>
          <w:color w:val="auto"/>
          <w:kern w:val="0"/>
          <w:sz w:val="28"/>
          <w:szCs w:val="28"/>
          <w:lang w:val="en-US" w:eastAsia="zh-CN"/>
        </w:rPr>
      </w:pPr>
      <w:bookmarkStart w:id="299" w:name="_Toc17006"/>
      <w:bookmarkStart w:id="300" w:name="_Toc121561297"/>
      <w:bookmarkStart w:id="301" w:name="_Toc9962"/>
      <w:r>
        <w:rPr>
          <w:rFonts w:ascii="Times New Roman" w:hAnsi="Times New Roman"/>
          <w:color w:val="auto"/>
          <w:kern w:val="0"/>
          <w:sz w:val="28"/>
          <w:szCs w:val="28"/>
        </w:rPr>
        <w:t>8.5</w:t>
      </w:r>
      <w:bookmarkEnd w:id="299"/>
      <w:bookmarkEnd w:id="300"/>
      <w:r>
        <w:rPr>
          <w:rFonts w:hint="eastAsia" w:ascii="Times New Roman" w:hAnsi="Times New Roman"/>
          <w:color w:val="auto"/>
          <w:kern w:val="0"/>
          <w:sz w:val="28"/>
          <w:szCs w:val="28"/>
          <w:lang w:val="en-US" w:eastAsia="zh-CN"/>
        </w:rPr>
        <w:t>环境风险分析</w:t>
      </w:r>
      <w:bookmarkEnd w:id="301"/>
    </w:p>
    <w:p w14:paraId="55D8DA8B">
      <w:pPr>
        <w:pStyle w:val="4"/>
        <w:spacing w:before="156" w:beforeLines="50" w:after="156" w:afterLines="50"/>
        <w:rPr>
          <w:rFonts w:hint="eastAsia" w:ascii="Times New Roman" w:hAnsi="Times New Roman"/>
          <w:bCs w:val="0"/>
          <w:color w:val="auto"/>
          <w:kern w:val="0"/>
          <w:sz w:val="24"/>
          <w:szCs w:val="24"/>
          <w:lang w:val="en-US" w:eastAsia="zh-CN"/>
        </w:rPr>
      </w:pPr>
      <w:r>
        <w:rPr>
          <w:rFonts w:hint="eastAsia" w:ascii="Times New Roman" w:hAnsi="Times New Roman"/>
          <w:bCs w:val="0"/>
          <w:color w:val="auto"/>
          <w:kern w:val="0"/>
          <w:sz w:val="24"/>
          <w:szCs w:val="24"/>
          <w:lang w:val="en-US" w:eastAsia="zh-CN"/>
        </w:rPr>
        <w:t>8.5.1大气环境风险分析</w:t>
      </w:r>
    </w:p>
    <w:p w14:paraId="7FB30FFF">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bCs w:val="0"/>
          <w:color w:val="auto"/>
          <w:kern w:val="0"/>
          <w:sz w:val="24"/>
          <w:szCs w:val="24"/>
          <w:lang w:val="en-US" w:eastAsia="zh-CN"/>
        </w:rPr>
        <w:t>本项目主要大气环境风险为废气处理设施非正常排放、</w:t>
      </w:r>
      <w:r>
        <w:rPr>
          <w:rFonts w:hint="eastAsia" w:ascii="Times New Roman" w:hAnsi="Times New Roman" w:eastAsia="宋体" w:cs="Times New Roman"/>
          <w:color w:val="auto"/>
          <w:sz w:val="24"/>
          <w:szCs w:val="24"/>
        </w:rPr>
        <w:t>火灾和爆炸次生物的释放。</w:t>
      </w:r>
    </w:p>
    <w:p w14:paraId="662A1161">
      <w:pPr>
        <w:numPr>
          <w:ilvl w:val="0"/>
          <w:numId w:val="9"/>
        </w:numPr>
        <w:spacing w:line="360" w:lineRule="auto"/>
        <w:ind w:firstLine="480" w:firstLineChars="2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废气处理设施非正常排放</w:t>
      </w:r>
    </w:p>
    <w:p w14:paraId="4010F62A">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FF0000"/>
          <w:sz w:val="24"/>
          <w:szCs w:val="24"/>
          <w:lang w:val="en-US" w:eastAsia="zh-CN"/>
        </w:rPr>
        <w:t xml:space="preserve">    </w:t>
      </w:r>
      <w:r>
        <w:rPr>
          <w:rFonts w:hint="eastAsia" w:ascii="Times New Roman" w:hAnsi="Times New Roman" w:eastAsia="宋体" w:cs="Times New Roman"/>
          <w:color w:val="auto"/>
          <w:sz w:val="24"/>
          <w:szCs w:val="24"/>
        </w:rPr>
        <w:t>产品生产过程中</w:t>
      </w:r>
      <w:r>
        <w:rPr>
          <w:rFonts w:hint="eastAsia" w:ascii="Times New Roman" w:hAnsi="Times New Roman" w:eastAsia="宋体" w:cs="Times New Roman"/>
          <w:color w:val="auto"/>
          <w:sz w:val="24"/>
          <w:szCs w:val="24"/>
          <w:lang w:val="en-US" w:eastAsia="zh-CN"/>
        </w:rPr>
        <w:t>主要为发酵废气、干燥废气、污水站及危废暂存间废气，发酵废气经发酵1车间厂房外碱喷淋预处理后进入集中式生物除臭处理设施进一步处理，尾气经21m高DA001排气筒排放，内径1.2m。干燥废气经</w:t>
      </w:r>
      <w:r>
        <w:rPr>
          <w:rFonts w:hint="eastAsia" w:ascii="Times New Roman" w:hAnsi="Times New Roman" w:eastAsia="宋体" w:cs="Times New Roman"/>
          <w:color w:val="auto"/>
          <w:sz w:val="24"/>
          <w:szCs w:val="24"/>
          <w:highlight w:val="none"/>
          <w:u w:val="none"/>
          <w:lang w:val="en-US" w:eastAsia="zh-CN"/>
        </w:rPr>
        <w:t>碱喷淋+集中式生物除臭处理设施处理，尾气经21m高DA001排气筒排放，内径1.2m。</w:t>
      </w:r>
      <w:r>
        <w:rPr>
          <w:rFonts w:hint="eastAsia" w:ascii="Times New Roman" w:hAnsi="Times New Roman" w:eastAsia="宋体" w:cs="Times New Roman"/>
          <w:color w:val="auto"/>
          <w:sz w:val="24"/>
          <w:szCs w:val="24"/>
          <w:lang w:val="en-US" w:eastAsia="zh-CN"/>
        </w:rPr>
        <w:t>污水站及危废暂存间废气收集后经“</w:t>
      </w:r>
      <w:r>
        <w:rPr>
          <w:rFonts w:hint="eastAsia" w:ascii="Times New Roman" w:hAnsi="Times New Roman" w:eastAsia="宋体" w:cs="Times New Roman"/>
          <w:color w:val="auto"/>
          <w:sz w:val="24"/>
          <w:szCs w:val="24"/>
          <w:u w:val="none"/>
          <w:lang w:val="en-US" w:eastAsia="zh-CN"/>
        </w:rPr>
        <w:t>碱喷淋塔+水喷淋塔+生物除臭”处理，气经20m高DA002排气筒排放，内径0.6m。</w:t>
      </w:r>
      <w:r>
        <w:rPr>
          <w:rFonts w:hint="eastAsia" w:ascii="Times New Roman" w:hAnsi="Times New Roman" w:eastAsia="宋体" w:cs="Times New Roman"/>
          <w:color w:val="auto"/>
          <w:sz w:val="24"/>
          <w:szCs w:val="24"/>
        </w:rPr>
        <w:t>本次环评考虑各废气处理措施失效后，各生产废气未经处理直接排放，则非正常工况废气排放情况如下表所示：</w:t>
      </w:r>
    </w:p>
    <w:p w14:paraId="7219FF25">
      <w:pPr>
        <w:pStyle w:val="6"/>
        <w:bidi w:val="0"/>
      </w:pPr>
      <w:r>
        <w:t>表</w:t>
      </w:r>
      <w:r>
        <w:rPr>
          <w:rFonts w:hint="eastAsia"/>
          <w:lang w:val="en-US" w:eastAsia="zh-CN"/>
        </w:rPr>
        <w:t>8.5</w:t>
      </w:r>
      <w:r>
        <w:t>-</w:t>
      </w:r>
      <w:r>
        <w:rPr>
          <w:rFonts w:hint="eastAsia"/>
        </w:rPr>
        <w:t>1</w:t>
      </w:r>
      <w:r>
        <w:t xml:space="preserve">    </w:t>
      </w:r>
      <w:r>
        <w:rPr>
          <w:rFonts w:hint="eastAsia"/>
        </w:rPr>
        <w:t>非正常工况废气排放情况一览表</w:t>
      </w:r>
    </w:p>
    <w:tbl>
      <w:tblPr>
        <w:tblStyle w:val="4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88"/>
        <w:gridCol w:w="972"/>
        <w:gridCol w:w="1364"/>
        <w:gridCol w:w="1473"/>
        <w:gridCol w:w="1010"/>
        <w:gridCol w:w="1815"/>
      </w:tblGrid>
      <w:tr w14:paraId="27518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7" w:type="pct"/>
            <w:shd w:val="clear" w:color="auto" w:fill="auto"/>
            <w:vAlign w:val="center"/>
          </w:tcPr>
          <w:p w14:paraId="0D3D08F7">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非正常排放源</w:t>
            </w:r>
          </w:p>
        </w:tc>
        <w:tc>
          <w:tcPr>
            <w:tcW w:w="570" w:type="pct"/>
            <w:shd w:val="clear" w:color="auto" w:fill="auto"/>
            <w:vAlign w:val="center"/>
          </w:tcPr>
          <w:p w14:paraId="38488305">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非正常排放原因</w:t>
            </w:r>
          </w:p>
        </w:tc>
        <w:tc>
          <w:tcPr>
            <w:tcW w:w="800" w:type="pct"/>
            <w:shd w:val="clear" w:color="auto" w:fill="auto"/>
            <w:vAlign w:val="center"/>
          </w:tcPr>
          <w:p w14:paraId="79AB5918">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污染物</w:t>
            </w:r>
          </w:p>
        </w:tc>
        <w:tc>
          <w:tcPr>
            <w:tcW w:w="864" w:type="pct"/>
            <w:shd w:val="clear" w:color="auto" w:fill="auto"/>
            <w:vAlign w:val="center"/>
          </w:tcPr>
          <w:p w14:paraId="7F026AF9">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非正常排放速率(kg/h)</w:t>
            </w:r>
          </w:p>
        </w:tc>
        <w:tc>
          <w:tcPr>
            <w:tcW w:w="592" w:type="pct"/>
            <w:shd w:val="clear" w:color="auto" w:fill="auto"/>
            <w:vAlign w:val="center"/>
          </w:tcPr>
          <w:p w14:paraId="39A27414">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单次持续时间/h</w:t>
            </w:r>
          </w:p>
        </w:tc>
        <w:tc>
          <w:tcPr>
            <w:tcW w:w="1064" w:type="pct"/>
            <w:shd w:val="clear" w:color="auto" w:fill="auto"/>
            <w:vAlign w:val="center"/>
          </w:tcPr>
          <w:p w14:paraId="550AD011">
            <w:pPr>
              <w:jc w:val="center"/>
              <w:rPr>
                <w:rFonts w:ascii="Times New Roman" w:hAnsi="Times New Roman" w:eastAsia="宋体" w:cs="Times New Roman"/>
                <w:color w:val="auto"/>
                <w:sz w:val="22"/>
                <w:szCs w:val="24"/>
              </w:rPr>
            </w:pPr>
            <w:r>
              <w:rPr>
                <w:rFonts w:ascii="Times New Roman" w:hAnsi="Times New Roman" w:eastAsia="宋体" w:cs="Times New Roman"/>
                <w:color w:val="auto"/>
                <w:sz w:val="22"/>
                <w:szCs w:val="24"/>
              </w:rPr>
              <w:t>年发生频次/次</w:t>
            </w:r>
          </w:p>
        </w:tc>
      </w:tr>
      <w:tr w14:paraId="60023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7" w:type="pct"/>
            <w:vMerge w:val="restart"/>
            <w:shd w:val="clear" w:color="auto" w:fill="auto"/>
            <w:vAlign w:val="center"/>
          </w:tcPr>
          <w:p w14:paraId="22FBC77A">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DA001</w:t>
            </w:r>
          </w:p>
        </w:tc>
        <w:tc>
          <w:tcPr>
            <w:tcW w:w="570" w:type="pct"/>
            <w:vMerge w:val="restart"/>
            <w:shd w:val="clear" w:color="auto" w:fill="auto"/>
            <w:vAlign w:val="center"/>
          </w:tcPr>
          <w:p w14:paraId="603609CA">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处理设施失效</w:t>
            </w:r>
          </w:p>
        </w:tc>
        <w:tc>
          <w:tcPr>
            <w:tcW w:w="800" w:type="pct"/>
            <w:shd w:val="clear" w:color="auto" w:fill="auto"/>
            <w:vAlign w:val="center"/>
          </w:tcPr>
          <w:p w14:paraId="5F54BAF4">
            <w:pPr>
              <w:pStyle w:val="52"/>
              <w:bidi w:val="0"/>
              <w:rPr>
                <w:rFonts w:hint="default" w:ascii="Times New Roman" w:hAnsi="Times New Roman" w:eastAsia="宋体" w:cs="Times New Roman"/>
                <w:color w:val="auto"/>
                <w:kern w:val="2"/>
                <w:sz w:val="21"/>
                <w:szCs w:val="28"/>
                <w:highlight w:val="none"/>
                <w:lang w:val="en-US" w:eastAsia="zh-CN" w:bidi="ar-SA"/>
              </w:rPr>
            </w:pPr>
            <w:r>
              <w:rPr>
                <w:rFonts w:hint="default" w:ascii="Times New Roman" w:hAnsi="Times New Roman" w:eastAsia="宋体" w:cs="Times New Roman"/>
                <w:color w:val="auto"/>
                <w:highlight w:val="none"/>
                <w:lang w:val="en-US" w:eastAsia="zh-CN"/>
              </w:rPr>
              <w:t>非甲烷总烃</w:t>
            </w:r>
          </w:p>
        </w:tc>
        <w:tc>
          <w:tcPr>
            <w:tcW w:w="864" w:type="pct"/>
            <w:shd w:val="clear" w:color="auto" w:fill="auto"/>
            <w:vAlign w:val="center"/>
          </w:tcPr>
          <w:p w14:paraId="3BC55228">
            <w:pPr>
              <w:pStyle w:val="52"/>
              <w:bidi w:val="0"/>
              <w:rPr>
                <w:rFonts w:hint="default" w:ascii="Times New Roman" w:hAnsi="Times New Roman" w:eastAsia="宋体" w:cs="Times New Roman"/>
                <w:color w:val="auto"/>
                <w:kern w:val="2"/>
                <w:sz w:val="21"/>
                <w:szCs w:val="28"/>
                <w:highlight w:val="none"/>
                <w:lang w:val="en-US" w:eastAsia="zh-CN" w:bidi="ar-SA"/>
              </w:rPr>
            </w:pPr>
            <w:r>
              <w:rPr>
                <w:rFonts w:hint="default" w:ascii="Times New Roman" w:hAnsi="Times New Roman" w:eastAsia="宋体" w:cs="Times New Roman"/>
                <w:color w:val="auto"/>
                <w:kern w:val="2"/>
                <w:sz w:val="21"/>
                <w:szCs w:val="28"/>
                <w:highlight w:val="none"/>
                <w:lang w:val="en-US" w:eastAsia="zh-CN" w:bidi="ar-SA"/>
              </w:rPr>
              <w:t>0.89</w:t>
            </w:r>
          </w:p>
        </w:tc>
        <w:tc>
          <w:tcPr>
            <w:tcW w:w="592" w:type="pct"/>
            <w:vMerge w:val="restart"/>
            <w:shd w:val="clear" w:color="auto" w:fill="auto"/>
            <w:vAlign w:val="center"/>
          </w:tcPr>
          <w:p w14:paraId="775BD65A">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1</w:t>
            </w:r>
          </w:p>
        </w:tc>
        <w:tc>
          <w:tcPr>
            <w:tcW w:w="1064" w:type="pct"/>
            <w:vMerge w:val="restart"/>
            <w:shd w:val="clear" w:color="auto" w:fill="auto"/>
            <w:vAlign w:val="center"/>
          </w:tcPr>
          <w:p w14:paraId="6E6C2027">
            <w:pPr>
              <w:jc w:val="center"/>
              <w:rPr>
                <w:rFonts w:ascii="Times New Roman" w:hAnsi="Times New Roman" w:eastAsia="宋体" w:cs="Times New Roman"/>
                <w:color w:val="auto"/>
                <w:sz w:val="22"/>
                <w:szCs w:val="24"/>
              </w:rPr>
            </w:pPr>
            <w:r>
              <w:rPr>
                <w:rFonts w:hint="eastAsia" w:ascii="Times New Roman" w:hAnsi="Times New Roman" w:eastAsia="宋体" w:cs="Times New Roman"/>
                <w:color w:val="auto"/>
                <w:sz w:val="22"/>
                <w:szCs w:val="24"/>
              </w:rPr>
              <w:t>1</w:t>
            </w:r>
          </w:p>
        </w:tc>
      </w:tr>
      <w:tr w14:paraId="72388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7" w:type="pct"/>
            <w:vMerge w:val="continue"/>
            <w:shd w:val="clear" w:color="auto" w:fill="auto"/>
            <w:vAlign w:val="center"/>
          </w:tcPr>
          <w:p w14:paraId="79AF0A3C">
            <w:pPr>
              <w:jc w:val="center"/>
              <w:rPr>
                <w:rFonts w:ascii="Times New Roman" w:hAnsi="Times New Roman" w:eastAsia="宋体" w:cs="Times New Roman"/>
                <w:color w:val="auto"/>
                <w:sz w:val="22"/>
                <w:szCs w:val="24"/>
              </w:rPr>
            </w:pPr>
          </w:p>
        </w:tc>
        <w:tc>
          <w:tcPr>
            <w:tcW w:w="570" w:type="pct"/>
            <w:vMerge w:val="continue"/>
            <w:shd w:val="clear" w:color="auto" w:fill="auto"/>
            <w:vAlign w:val="center"/>
          </w:tcPr>
          <w:p w14:paraId="5781248F">
            <w:pPr>
              <w:jc w:val="center"/>
              <w:rPr>
                <w:rFonts w:ascii="Times New Roman" w:hAnsi="Times New Roman" w:eastAsia="宋体" w:cs="Times New Roman"/>
                <w:color w:val="auto"/>
                <w:sz w:val="22"/>
                <w:szCs w:val="24"/>
              </w:rPr>
            </w:pPr>
          </w:p>
        </w:tc>
        <w:tc>
          <w:tcPr>
            <w:tcW w:w="800" w:type="pct"/>
            <w:shd w:val="clear" w:color="auto" w:fill="auto"/>
            <w:vAlign w:val="center"/>
          </w:tcPr>
          <w:p w14:paraId="4987C084">
            <w:pPr>
              <w:pStyle w:val="52"/>
              <w:bidi w:val="0"/>
              <w:rPr>
                <w:rFonts w:hint="default" w:ascii="Times New Roman" w:hAnsi="Times New Roman" w:eastAsia="宋体" w:cs="Times New Roman"/>
                <w:color w:val="auto"/>
                <w:kern w:val="2"/>
                <w:sz w:val="21"/>
                <w:szCs w:val="28"/>
                <w:highlight w:val="none"/>
                <w:lang w:val="en-US" w:eastAsia="zh-CN" w:bidi="ar-SA"/>
              </w:rPr>
            </w:pPr>
            <w:r>
              <w:rPr>
                <w:rFonts w:hint="default" w:ascii="Times New Roman" w:hAnsi="Times New Roman" w:eastAsia="宋体" w:cs="Times New Roman"/>
                <w:color w:val="auto"/>
                <w:highlight w:val="none"/>
                <w:lang w:val="en-US" w:eastAsia="zh-CN"/>
              </w:rPr>
              <w:t>颗粒物</w:t>
            </w:r>
          </w:p>
        </w:tc>
        <w:tc>
          <w:tcPr>
            <w:tcW w:w="864" w:type="pct"/>
            <w:shd w:val="clear" w:color="auto" w:fill="auto"/>
            <w:vAlign w:val="center"/>
          </w:tcPr>
          <w:p w14:paraId="2699AEAB">
            <w:pPr>
              <w:pStyle w:val="52"/>
              <w:bidi w:val="0"/>
              <w:rPr>
                <w:rFonts w:hint="default" w:ascii="Times New Roman" w:hAnsi="Times New Roman" w:eastAsia="宋体" w:cs="Times New Roman"/>
                <w:color w:val="auto"/>
                <w:kern w:val="2"/>
                <w:sz w:val="21"/>
                <w:szCs w:val="28"/>
                <w:highlight w:val="none"/>
                <w:lang w:val="en-US" w:eastAsia="zh-CN" w:bidi="ar-SA"/>
              </w:rPr>
            </w:pPr>
            <w:r>
              <w:rPr>
                <w:rFonts w:hint="default" w:ascii="Times New Roman" w:hAnsi="Times New Roman" w:eastAsia="宋体" w:cs="Times New Roman"/>
                <w:color w:val="auto"/>
                <w:kern w:val="2"/>
                <w:sz w:val="21"/>
                <w:szCs w:val="28"/>
                <w:highlight w:val="none"/>
                <w:lang w:val="en-US" w:eastAsia="zh-CN" w:bidi="ar-SA"/>
              </w:rPr>
              <w:t>2.2</w:t>
            </w:r>
          </w:p>
        </w:tc>
        <w:tc>
          <w:tcPr>
            <w:tcW w:w="592" w:type="pct"/>
            <w:vMerge w:val="continue"/>
            <w:shd w:val="clear" w:color="auto" w:fill="auto"/>
            <w:vAlign w:val="center"/>
          </w:tcPr>
          <w:p w14:paraId="4C297F7C">
            <w:pPr>
              <w:jc w:val="center"/>
              <w:rPr>
                <w:rFonts w:ascii="Times New Roman" w:hAnsi="Times New Roman" w:eastAsia="宋体" w:cs="Times New Roman"/>
                <w:color w:val="auto"/>
                <w:sz w:val="22"/>
                <w:szCs w:val="24"/>
              </w:rPr>
            </w:pPr>
          </w:p>
        </w:tc>
        <w:tc>
          <w:tcPr>
            <w:tcW w:w="1064" w:type="pct"/>
            <w:vMerge w:val="continue"/>
            <w:shd w:val="clear" w:color="auto" w:fill="auto"/>
            <w:vAlign w:val="center"/>
          </w:tcPr>
          <w:p w14:paraId="093B4533">
            <w:pPr>
              <w:jc w:val="center"/>
              <w:rPr>
                <w:rFonts w:ascii="Times New Roman" w:hAnsi="Times New Roman" w:eastAsia="宋体" w:cs="Times New Roman"/>
                <w:color w:val="auto"/>
                <w:sz w:val="22"/>
                <w:szCs w:val="24"/>
              </w:rPr>
            </w:pPr>
          </w:p>
        </w:tc>
      </w:tr>
      <w:tr w14:paraId="14280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7" w:type="pct"/>
            <w:vMerge w:val="continue"/>
            <w:shd w:val="clear" w:color="auto" w:fill="auto"/>
            <w:vAlign w:val="center"/>
          </w:tcPr>
          <w:p w14:paraId="2773A721">
            <w:pPr>
              <w:jc w:val="center"/>
              <w:rPr>
                <w:rFonts w:ascii="Times New Roman" w:hAnsi="Times New Roman" w:eastAsia="宋体" w:cs="Times New Roman"/>
                <w:color w:val="auto"/>
                <w:sz w:val="22"/>
                <w:szCs w:val="24"/>
              </w:rPr>
            </w:pPr>
          </w:p>
        </w:tc>
        <w:tc>
          <w:tcPr>
            <w:tcW w:w="570" w:type="pct"/>
            <w:vMerge w:val="continue"/>
            <w:shd w:val="clear" w:color="auto" w:fill="auto"/>
            <w:vAlign w:val="center"/>
          </w:tcPr>
          <w:p w14:paraId="1A5CE022">
            <w:pPr>
              <w:jc w:val="center"/>
              <w:rPr>
                <w:rFonts w:ascii="Times New Roman" w:hAnsi="Times New Roman" w:eastAsia="宋体" w:cs="Times New Roman"/>
                <w:color w:val="auto"/>
                <w:sz w:val="22"/>
                <w:szCs w:val="24"/>
              </w:rPr>
            </w:pPr>
          </w:p>
        </w:tc>
        <w:tc>
          <w:tcPr>
            <w:tcW w:w="800" w:type="pct"/>
            <w:shd w:val="clear" w:color="auto" w:fill="auto"/>
            <w:vAlign w:val="center"/>
          </w:tcPr>
          <w:p w14:paraId="37F7F765">
            <w:pPr>
              <w:pStyle w:val="52"/>
              <w:bidi w:val="0"/>
              <w:rPr>
                <w:rFonts w:hint="default" w:ascii="Times New Roman" w:hAnsi="Times New Roman" w:eastAsia="宋体" w:cs="Times New Roman"/>
                <w:color w:val="auto"/>
                <w:kern w:val="2"/>
                <w:sz w:val="21"/>
                <w:szCs w:val="28"/>
                <w:highlight w:val="none"/>
                <w:lang w:val="en-US" w:eastAsia="zh-CN" w:bidi="ar-SA"/>
              </w:rPr>
            </w:pPr>
            <w:r>
              <w:rPr>
                <w:rFonts w:hint="default" w:ascii="Times New Roman" w:hAnsi="Times New Roman" w:eastAsia="宋体" w:cs="Times New Roman"/>
                <w:color w:val="auto"/>
                <w:highlight w:val="none"/>
              </w:rPr>
              <w:t>氨气</w:t>
            </w:r>
          </w:p>
        </w:tc>
        <w:tc>
          <w:tcPr>
            <w:tcW w:w="864" w:type="pct"/>
            <w:shd w:val="clear" w:color="auto" w:fill="auto"/>
            <w:vAlign w:val="center"/>
          </w:tcPr>
          <w:p w14:paraId="37A2FA4F">
            <w:pPr>
              <w:pStyle w:val="52"/>
              <w:bidi w:val="0"/>
              <w:rPr>
                <w:rFonts w:hint="default" w:ascii="Times New Roman" w:hAnsi="Times New Roman" w:eastAsia="宋体" w:cs="Times New Roman"/>
                <w:color w:val="auto"/>
                <w:kern w:val="2"/>
                <w:sz w:val="21"/>
                <w:szCs w:val="28"/>
                <w:highlight w:val="none"/>
                <w:lang w:val="en-US" w:eastAsia="zh-CN" w:bidi="ar-SA"/>
              </w:rPr>
            </w:pPr>
            <w:r>
              <w:rPr>
                <w:rFonts w:hint="default" w:ascii="Times New Roman" w:hAnsi="Times New Roman" w:eastAsia="宋体" w:cs="Times New Roman"/>
                <w:color w:val="auto"/>
                <w:kern w:val="2"/>
                <w:sz w:val="21"/>
                <w:szCs w:val="28"/>
                <w:highlight w:val="none"/>
                <w:lang w:val="en-US" w:eastAsia="zh-CN" w:bidi="ar-SA"/>
              </w:rPr>
              <w:t>0.055</w:t>
            </w:r>
          </w:p>
        </w:tc>
        <w:tc>
          <w:tcPr>
            <w:tcW w:w="592" w:type="pct"/>
            <w:vMerge w:val="continue"/>
            <w:shd w:val="clear" w:color="auto" w:fill="auto"/>
            <w:vAlign w:val="center"/>
          </w:tcPr>
          <w:p w14:paraId="62C36206">
            <w:pPr>
              <w:jc w:val="center"/>
              <w:rPr>
                <w:rFonts w:ascii="Times New Roman" w:hAnsi="Times New Roman" w:eastAsia="宋体" w:cs="Times New Roman"/>
                <w:color w:val="auto"/>
                <w:sz w:val="22"/>
                <w:szCs w:val="24"/>
              </w:rPr>
            </w:pPr>
          </w:p>
        </w:tc>
        <w:tc>
          <w:tcPr>
            <w:tcW w:w="1064" w:type="pct"/>
            <w:vMerge w:val="continue"/>
            <w:shd w:val="clear" w:color="auto" w:fill="auto"/>
            <w:vAlign w:val="center"/>
          </w:tcPr>
          <w:p w14:paraId="48E6F62B">
            <w:pPr>
              <w:jc w:val="center"/>
              <w:rPr>
                <w:rFonts w:ascii="Times New Roman" w:hAnsi="Times New Roman" w:eastAsia="宋体" w:cs="Times New Roman"/>
                <w:color w:val="auto"/>
                <w:sz w:val="22"/>
                <w:szCs w:val="24"/>
              </w:rPr>
            </w:pPr>
          </w:p>
        </w:tc>
      </w:tr>
      <w:tr w14:paraId="159CE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7" w:type="pct"/>
            <w:vMerge w:val="restart"/>
            <w:shd w:val="clear" w:color="auto" w:fill="auto"/>
            <w:vAlign w:val="center"/>
          </w:tcPr>
          <w:p w14:paraId="198DADAD">
            <w:pPr>
              <w:jc w:val="center"/>
              <w:rPr>
                <w:rFonts w:hint="default" w:ascii="Times New Roman" w:hAnsi="Times New Roman" w:eastAsia="宋体" w:cs="Times New Roman"/>
                <w:color w:val="auto"/>
                <w:sz w:val="22"/>
                <w:szCs w:val="24"/>
                <w:lang w:val="en-US" w:eastAsia="zh-CN"/>
              </w:rPr>
            </w:pPr>
            <w:r>
              <w:rPr>
                <w:rFonts w:hint="eastAsia" w:ascii="Times New Roman" w:hAnsi="Times New Roman" w:eastAsia="宋体" w:cs="Times New Roman"/>
                <w:color w:val="auto"/>
                <w:sz w:val="22"/>
                <w:szCs w:val="24"/>
                <w:lang w:val="en-US" w:eastAsia="zh-CN"/>
              </w:rPr>
              <w:t>DA002</w:t>
            </w:r>
          </w:p>
        </w:tc>
        <w:tc>
          <w:tcPr>
            <w:tcW w:w="570" w:type="pct"/>
            <w:vMerge w:val="continue"/>
            <w:shd w:val="clear" w:color="auto" w:fill="auto"/>
            <w:vAlign w:val="center"/>
          </w:tcPr>
          <w:p w14:paraId="2C8F02FF">
            <w:pPr>
              <w:jc w:val="center"/>
              <w:rPr>
                <w:rFonts w:ascii="Times New Roman" w:hAnsi="Times New Roman" w:eastAsia="宋体" w:cs="Times New Roman"/>
                <w:color w:val="auto"/>
                <w:sz w:val="22"/>
                <w:szCs w:val="24"/>
              </w:rPr>
            </w:pPr>
          </w:p>
        </w:tc>
        <w:tc>
          <w:tcPr>
            <w:tcW w:w="800" w:type="pct"/>
            <w:shd w:val="clear" w:color="auto" w:fill="auto"/>
            <w:vAlign w:val="center"/>
          </w:tcPr>
          <w:p w14:paraId="2DFC72FC">
            <w:pPr>
              <w:pStyle w:val="52"/>
              <w:bidi w:val="0"/>
              <w:rPr>
                <w:rFonts w:hint="default" w:ascii="Times New Roman" w:hAnsi="Times New Roman" w:eastAsia="宋体" w:cs="Times New Roman"/>
                <w:color w:val="auto"/>
                <w:kern w:val="2"/>
                <w:sz w:val="21"/>
                <w:szCs w:val="28"/>
                <w:highlight w:val="none"/>
                <w:lang w:val="en-US" w:eastAsia="zh-CN" w:bidi="ar-SA"/>
              </w:rPr>
            </w:pPr>
            <w:r>
              <w:rPr>
                <w:rFonts w:hint="default" w:ascii="Times New Roman" w:hAnsi="Times New Roman" w:eastAsia="宋体" w:cs="Times New Roman"/>
                <w:color w:val="auto"/>
                <w:highlight w:val="none"/>
                <w:lang w:val="en-US" w:eastAsia="zh-CN"/>
              </w:rPr>
              <w:t>氨气</w:t>
            </w:r>
          </w:p>
        </w:tc>
        <w:tc>
          <w:tcPr>
            <w:tcW w:w="864" w:type="pct"/>
            <w:shd w:val="clear" w:color="auto" w:fill="auto"/>
            <w:vAlign w:val="center"/>
          </w:tcPr>
          <w:p w14:paraId="66720092">
            <w:pPr>
              <w:pStyle w:val="52"/>
              <w:bidi w:val="0"/>
              <w:rPr>
                <w:rFonts w:hint="default" w:ascii="Times New Roman" w:hAnsi="Times New Roman" w:eastAsia="宋体" w:cs="Times New Roman"/>
                <w:color w:val="auto"/>
                <w:kern w:val="2"/>
                <w:sz w:val="21"/>
                <w:szCs w:val="28"/>
                <w:highlight w:val="none"/>
                <w:lang w:val="en-US" w:eastAsia="zh-CN" w:bidi="ar-SA"/>
              </w:rPr>
            </w:pPr>
            <w:r>
              <w:rPr>
                <w:rFonts w:hint="default" w:ascii="Times New Roman" w:hAnsi="Times New Roman" w:eastAsia="宋体" w:cs="Times New Roman"/>
                <w:color w:val="auto"/>
                <w:highlight w:val="none"/>
                <w:lang w:val="en-US" w:eastAsia="zh-CN"/>
              </w:rPr>
              <w:t>0.006</w:t>
            </w:r>
          </w:p>
        </w:tc>
        <w:tc>
          <w:tcPr>
            <w:tcW w:w="592" w:type="pct"/>
            <w:vMerge w:val="continue"/>
            <w:shd w:val="clear" w:color="auto" w:fill="auto"/>
            <w:vAlign w:val="center"/>
          </w:tcPr>
          <w:p w14:paraId="69BCA6DC">
            <w:pPr>
              <w:jc w:val="center"/>
              <w:rPr>
                <w:rFonts w:ascii="Times New Roman" w:hAnsi="Times New Roman" w:eastAsia="宋体" w:cs="Times New Roman"/>
                <w:color w:val="auto"/>
                <w:sz w:val="22"/>
                <w:szCs w:val="24"/>
              </w:rPr>
            </w:pPr>
          </w:p>
        </w:tc>
        <w:tc>
          <w:tcPr>
            <w:tcW w:w="1064" w:type="pct"/>
            <w:vMerge w:val="continue"/>
            <w:shd w:val="clear" w:color="auto" w:fill="auto"/>
            <w:vAlign w:val="center"/>
          </w:tcPr>
          <w:p w14:paraId="79E4A064">
            <w:pPr>
              <w:jc w:val="center"/>
              <w:rPr>
                <w:rFonts w:ascii="Times New Roman" w:hAnsi="Times New Roman" w:eastAsia="宋体" w:cs="Times New Roman"/>
                <w:color w:val="auto"/>
                <w:sz w:val="22"/>
                <w:szCs w:val="24"/>
              </w:rPr>
            </w:pPr>
          </w:p>
        </w:tc>
      </w:tr>
      <w:tr w14:paraId="4669F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7" w:type="pct"/>
            <w:vMerge w:val="continue"/>
            <w:shd w:val="clear" w:color="auto" w:fill="auto"/>
            <w:vAlign w:val="center"/>
          </w:tcPr>
          <w:p w14:paraId="6F39ABB9">
            <w:pPr>
              <w:jc w:val="center"/>
              <w:rPr>
                <w:rFonts w:ascii="Times New Roman" w:hAnsi="Times New Roman" w:eastAsia="宋体" w:cs="Times New Roman"/>
                <w:color w:val="auto"/>
                <w:sz w:val="22"/>
                <w:szCs w:val="24"/>
              </w:rPr>
            </w:pPr>
          </w:p>
        </w:tc>
        <w:tc>
          <w:tcPr>
            <w:tcW w:w="570" w:type="pct"/>
            <w:vMerge w:val="continue"/>
            <w:shd w:val="clear" w:color="auto" w:fill="auto"/>
            <w:vAlign w:val="center"/>
          </w:tcPr>
          <w:p w14:paraId="04F32C42">
            <w:pPr>
              <w:jc w:val="center"/>
              <w:rPr>
                <w:rFonts w:ascii="Times New Roman" w:hAnsi="Times New Roman" w:eastAsia="宋体" w:cs="Times New Roman"/>
                <w:color w:val="auto"/>
                <w:sz w:val="22"/>
                <w:szCs w:val="24"/>
              </w:rPr>
            </w:pPr>
          </w:p>
        </w:tc>
        <w:tc>
          <w:tcPr>
            <w:tcW w:w="800" w:type="pct"/>
            <w:shd w:val="clear" w:color="auto" w:fill="auto"/>
            <w:vAlign w:val="center"/>
          </w:tcPr>
          <w:p w14:paraId="360ECACB">
            <w:pPr>
              <w:pStyle w:val="52"/>
              <w:bidi w:val="0"/>
              <w:rPr>
                <w:rFonts w:hint="default" w:ascii="Times New Roman" w:hAnsi="Times New Roman" w:eastAsia="宋体" w:cs="Times New Roman"/>
                <w:color w:val="auto"/>
                <w:kern w:val="2"/>
                <w:sz w:val="21"/>
                <w:szCs w:val="28"/>
                <w:highlight w:val="none"/>
                <w:lang w:val="en-US" w:eastAsia="zh-CN" w:bidi="ar-SA"/>
              </w:rPr>
            </w:pPr>
            <w:r>
              <w:rPr>
                <w:rFonts w:hint="default" w:ascii="Times New Roman" w:hAnsi="Times New Roman" w:eastAsia="宋体" w:cs="Times New Roman"/>
                <w:color w:val="auto"/>
                <w:highlight w:val="none"/>
                <w:lang w:val="en-US" w:eastAsia="zh-CN"/>
              </w:rPr>
              <w:t>硫化氢</w:t>
            </w:r>
          </w:p>
        </w:tc>
        <w:tc>
          <w:tcPr>
            <w:tcW w:w="864" w:type="pct"/>
            <w:shd w:val="clear" w:color="auto" w:fill="auto"/>
            <w:vAlign w:val="center"/>
          </w:tcPr>
          <w:p w14:paraId="42F612D9">
            <w:pPr>
              <w:pStyle w:val="52"/>
              <w:bidi w:val="0"/>
              <w:rPr>
                <w:rFonts w:hint="default" w:ascii="Times New Roman" w:hAnsi="Times New Roman" w:eastAsia="宋体" w:cs="Times New Roman"/>
                <w:color w:val="auto"/>
                <w:kern w:val="2"/>
                <w:sz w:val="21"/>
                <w:szCs w:val="28"/>
                <w:highlight w:val="none"/>
                <w:lang w:val="en-US" w:eastAsia="zh-CN" w:bidi="ar-SA"/>
              </w:rPr>
            </w:pPr>
            <w:r>
              <w:rPr>
                <w:rFonts w:hint="default" w:ascii="Times New Roman" w:hAnsi="Times New Roman" w:eastAsia="宋体" w:cs="Times New Roman"/>
                <w:color w:val="auto"/>
                <w:highlight w:val="none"/>
                <w:lang w:val="en-US" w:eastAsia="zh-CN"/>
              </w:rPr>
              <w:t>0.0025</w:t>
            </w:r>
          </w:p>
        </w:tc>
        <w:tc>
          <w:tcPr>
            <w:tcW w:w="592" w:type="pct"/>
            <w:vMerge w:val="continue"/>
            <w:shd w:val="clear" w:color="auto" w:fill="auto"/>
            <w:vAlign w:val="center"/>
          </w:tcPr>
          <w:p w14:paraId="5D1A766E">
            <w:pPr>
              <w:jc w:val="center"/>
              <w:rPr>
                <w:rFonts w:ascii="Times New Roman" w:hAnsi="Times New Roman" w:eastAsia="宋体" w:cs="Times New Roman"/>
                <w:color w:val="auto"/>
                <w:sz w:val="22"/>
                <w:szCs w:val="24"/>
              </w:rPr>
            </w:pPr>
          </w:p>
        </w:tc>
        <w:tc>
          <w:tcPr>
            <w:tcW w:w="1064" w:type="pct"/>
            <w:vMerge w:val="continue"/>
            <w:shd w:val="clear" w:color="auto" w:fill="auto"/>
            <w:vAlign w:val="center"/>
          </w:tcPr>
          <w:p w14:paraId="5BEE65D7">
            <w:pPr>
              <w:jc w:val="center"/>
              <w:rPr>
                <w:rFonts w:ascii="Times New Roman" w:hAnsi="Times New Roman" w:eastAsia="宋体" w:cs="Times New Roman"/>
                <w:color w:val="auto"/>
                <w:sz w:val="22"/>
                <w:szCs w:val="24"/>
              </w:rPr>
            </w:pPr>
          </w:p>
        </w:tc>
      </w:tr>
    </w:tbl>
    <w:p w14:paraId="2776AB91">
      <w:pPr>
        <w:numPr>
          <w:ilvl w:val="0"/>
          <w:numId w:val="0"/>
        </w:numPr>
        <w:spacing w:line="360" w:lineRule="auto"/>
        <w:ind w:firstLine="48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事故排放主要为废气不经过处理直接通过排气筒排放，本项目废气污染物非正常排放速率满足大气污染物排放标准，周边敏感点较远，不会对周边大气环境构成明显影响。项目在车间开工时，首先运行所有的废气处理装置，然后再开启车间的生产工艺，使生产过程中所产生的废气都能得到处理。车间停工时，所有的废气处理装置、除害装置和污水处理设施继续运转，待产生的废气全部处理排出之后才逐台关闭。项目排风系统均设安全保护电源和报警系统，设备每年定期检修，基本上能保证无故障运行。</w:t>
      </w:r>
    </w:p>
    <w:p w14:paraId="226337B6">
      <w:pPr>
        <w:numPr>
          <w:ilvl w:val="0"/>
          <w:numId w:val="9"/>
        </w:numPr>
        <w:spacing w:line="360" w:lineRule="auto"/>
        <w:ind w:left="0" w:leftChars="0"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val="en-US" w:eastAsia="zh-CN"/>
        </w:rPr>
        <w:t>火</w:t>
      </w:r>
      <w:r>
        <w:rPr>
          <w:rFonts w:hint="eastAsia" w:ascii="Times New Roman" w:hAnsi="Times New Roman" w:eastAsia="宋体" w:cs="Times New Roman"/>
          <w:color w:val="auto"/>
          <w:sz w:val="24"/>
          <w:szCs w:val="24"/>
        </w:rPr>
        <w:t>灾和爆炸次生物的释放。</w:t>
      </w:r>
    </w:p>
    <w:p w14:paraId="1977E271">
      <w:pPr>
        <w:numPr>
          <w:ilvl w:val="0"/>
          <w:numId w:val="0"/>
        </w:numPr>
        <w:spacing w:line="360" w:lineRule="auto"/>
        <w:ind w:firstLine="480" w:firstLineChars="2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本项目风险物质污水站污泥和氢氧化钠均不可燃，废矿物油泄露可能发生火灾和爆炸，产生的主要有毒有害气体为CO。</w:t>
      </w:r>
    </w:p>
    <w:p w14:paraId="09743A82">
      <w:pPr>
        <w:numPr>
          <w:ilvl w:val="0"/>
          <w:numId w:val="0"/>
        </w:numPr>
        <w:spacing w:line="360" w:lineRule="auto"/>
        <w:ind w:firstLine="480" w:firstLineChars="2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根据《建设项目环境风险评价技术导则》（HJ 169-2018）,油品火灾伴生/次生一氧化碳产生量按下式计算：</w:t>
      </w:r>
    </w:p>
    <w:p w14:paraId="140FA10C">
      <w:pPr>
        <w:numPr>
          <w:ilvl w:val="0"/>
          <w:numId w:val="0"/>
        </w:numPr>
        <w:spacing w:line="360" w:lineRule="auto"/>
        <w:ind w:firstLine="480" w:firstLineChars="2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G</w:t>
      </w:r>
      <w:r>
        <w:rPr>
          <w:rFonts w:hint="eastAsia" w:ascii="Times New Roman" w:hAnsi="Times New Roman" w:eastAsia="宋体" w:cs="Times New Roman"/>
          <w:color w:val="auto"/>
          <w:sz w:val="24"/>
          <w:szCs w:val="24"/>
          <w:vertAlign w:val="subscript"/>
          <w:lang w:val="en-US" w:eastAsia="zh-CN"/>
        </w:rPr>
        <w:t>一氧化碳</w:t>
      </w:r>
      <w:r>
        <w:rPr>
          <w:rFonts w:hint="eastAsia" w:ascii="Times New Roman" w:hAnsi="Times New Roman" w:eastAsia="宋体" w:cs="Times New Roman"/>
          <w:color w:val="auto"/>
          <w:sz w:val="24"/>
          <w:szCs w:val="24"/>
          <w:lang w:val="en-US" w:eastAsia="zh-CN"/>
        </w:rPr>
        <w:t>=2330qCQ</w:t>
      </w:r>
    </w:p>
    <w:p w14:paraId="677135D8">
      <w:pPr>
        <w:numPr>
          <w:ilvl w:val="0"/>
          <w:numId w:val="0"/>
        </w:numPr>
        <w:spacing w:line="360" w:lineRule="auto"/>
        <w:ind w:firstLine="480" w:firstLineChars="2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式中：G</w:t>
      </w:r>
      <w:r>
        <w:rPr>
          <w:rFonts w:hint="eastAsia" w:ascii="Times New Roman" w:hAnsi="Times New Roman" w:eastAsia="宋体" w:cs="Times New Roman"/>
          <w:color w:val="auto"/>
          <w:sz w:val="24"/>
          <w:szCs w:val="24"/>
          <w:vertAlign w:val="subscript"/>
          <w:lang w:val="en-US" w:eastAsia="zh-CN"/>
        </w:rPr>
        <w:t>一氧化碳</w:t>
      </w:r>
      <w:r>
        <w:rPr>
          <w:rFonts w:hint="eastAsia" w:ascii="Times New Roman" w:hAnsi="Times New Roman" w:eastAsia="宋体" w:cs="Times New Roman"/>
          <w:color w:val="auto"/>
          <w:sz w:val="24"/>
          <w:szCs w:val="24"/>
          <w:lang w:val="en-US" w:eastAsia="zh-CN"/>
        </w:rPr>
        <w:t>——一氧化碳产生量；</w:t>
      </w:r>
    </w:p>
    <w:p w14:paraId="3D56AC09">
      <w:pPr>
        <w:numPr>
          <w:ilvl w:val="0"/>
          <w:numId w:val="0"/>
        </w:numPr>
        <w:spacing w:line="360" w:lineRule="auto"/>
        <w:ind w:firstLine="480" w:firstLineChars="2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 xml:space="preserve">      C——物质中碳含量，取85%；</w:t>
      </w:r>
    </w:p>
    <w:p w14:paraId="3C662FFB">
      <w:pPr>
        <w:numPr>
          <w:ilvl w:val="0"/>
          <w:numId w:val="0"/>
        </w:numPr>
        <w:spacing w:line="360" w:lineRule="auto"/>
        <w:ind w:firstLine="480" w:firstLineChars="2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 xml:space="preserve">      q——化学不完全燃烧值，取1.5%-6.0%，本项目取6.0%</w:t>
      </w:r>
    </w:p>
    <w:p w14:paraId="5DC610BF">
      <w:pPr>
        <w:numPr>
          <w:ilvl w:val="0"/>
          <w:numId w:val="0"/>
        </w:numPr>
        <w:spacing w:line="360" w:lineRule="auto"/>
        <w:ind w:firstLine="480" w:firstLineChars="200"/>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 xml:space="preserve">      Q——参与燃烧的物质量，本项目为0.1t/s</w:t>
      </w:r>
    </w:p>
    <w:p w14:paraId="434E3628">
      <w:pPr>
        <w:numPr>
          <w:ilvl w:val="0"/>
          <w:numId w:val="0"/>
        </w:numPr>
        <w:spacing w:line="360" w:lineRule="auto"/>
        <w:ind w:firstLine="480" w:firstLineChars="200"/>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则本项目废矿物油泄露产生CO的量为11.883kg/s。本项目火</w:t>
      </w:r>
      <w:r>
        <w:rPr>
          <w:rFonts w:hint="eastAsia" w:ascii="Times New Roman" w:hAnsi="Times New Roman" w:eastAsia="宋体" w:cs="Times New Roman"/>
          <w:color w:val="auto"/>
          <w:sz w:val="24"/>
          <w:szCs w:val="24"/>
        </w:rPr>
        <w:t>灾和爆炸次生物的释放</w:t>
      </w:r>
      <w:r>
        <w:rPr>
          <w:rFonts w:hint="eastAsia" w:ascii="Times New Roman" w:hAnsi="Times New Roman" w:eastAsia="宋体" w:cs="Times New Roman"/>
          <w:color w:val="auto"/>
          <w:sz w:val="24"/>
          <w:szCs w:val="24"/>
          <w:lang w:val="en-US" w:eastAsia="zh-CN"/>
        </w:rPr>
        <w:t>对大气环境有一定影响。</w:t>
      </w:r>
    </w:p>
    <w:p w14:paraId="086B0EC3">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建设单位应加强对厂区内废气治理措施的巡查，建立废气治理设施的运行管理台账，按照排污许可证要求，定期开展自行监测，确保污染物达标排放，减少厂区大气污染物事故排放情况；加强对厂区内储罐区、危险化学品储存仓库、危险废物暂存间的日常管理，建立巡查管理、泄露检查管理台账，并按照应急预案要求，定期开展突发环境事件应急演练，减少易挥发有机物料泄露风险。</w:t>
      </w:r>
    </w:p>
    <w:p w14:paraId="326A2C5E">
      <w:pPr>
        <w:pStyle w:val="4"/>
        <w:spacing w:before="156" w:beforeLines="50" w:after="156" w:afterLines="50"/>
        <w:rPr>
          <w:rFonts w:hint="eastAsia" w:ascii="Times New Roman" w:hAnsi="Times New Roman" w:eastAsia="宋体"/>
          <w:color w:val="auto"/>
          <w:kern w:val="0"/>
          <w:sz w:val="24"/>
          <w:szCs w:val="24"/>
          <w:lang w:val="en-US" w:eastAsia="zh-CN"/>
        </w:rPr>
      </w:pPr>
      <w:r>
        <w:rPr>
          <w:rFonts w:hint="eastAsia" w:ascii="Times New Roman" w:hAnsi="Times New Roman"/>
          <w:bCs w:val="0"/>
          <w:color w:val="auto"/>
          <w:kern w:val="0"/>
          <w:sz w:val="24"/>
          <w:szCs w:val="24"/>
        </w:rPr>
        <w:t>8</w:t>
      </w:r>
      <w:r>
        <w:rPr>
          <w:rFonts w:ascii="Times New Roman" w:hAnsi="Times New Roman"/>
          <w:bCs w:val="0"/>
          <w:color w:val="auto"/>
          <w:kern w:val="0"/>
          <w:sz w:val="24"/>
          <w:szCs w:val="24"/>
        </w:rPr>
        <w:t>.</w:t>
      </w:r>
      <w:r>
        <w:rPr>
          <w:rFonts w:hint="eastAsia" w:ascii="Times New Roman" w:hAnsi="Times New Roman"/>
          <w:bCs w:val="0"/>
          <w:color w:val="auto"/>
          <w:kern w:val="0"/>
          <w:sz w:val="24"/>
          <w:szCs w:val="24"/>
        </w:rPr>
        <w:t>5</w:t>
      </w:r>
      <w:r>
        <w:rPr>
          <w:rFonts w:ascii="Times New Roman" w:hAnsi="Times New Roman"/>
          <w:bCs w:val="0"/>
          <w:color w:val="auto"/>
          <w:kern w:val="0"/>
          <w:sz w:val="24"/>
          <w:szCs w:val="24"/>
        </w:rPr>
        <w:t>.</w:t>
      </w:r>
      <w:r>
        <w:rPr>
          <w:rFonts w:hint="eastAsia" w:ascii="Times New Roman" w:hAnsi="Times New Roman"/>
          <w:bCs w:val="0"/>
          <w:color w:val="auto"/>
          <w:kern w:val="0"/>
          <w:sz w:val="24"/>
          <w:szCs w:val="24"/>
          <w:lang w:val="en-US" w:eastAsia="zh-CN"/>
        </w:rPr>
        <w:t>2</w:t>
      </w:r>
      <w:r>
        <w:rPr>
          <w:rFonts w:hint="eastAsia" w:ascii="Times New Roman" w:hAnsi="Times New Roman"/>
          <w:bCs w:val="0"/>
          <w:color w:val="auto"/>
          <w:kern w:val="0"/>
          <w:sz w:val="24"/>
          <w:szCs w:val="24"/>
        </w:rPr>
        <w:t>地表水环境风险</w:t>
      </w:r>
      <w:r>
        <w:rPr>
          <w:rFonts w:hint="eastAsia" w:ascii="Times New Roman" w:hAnsi="Times New Roman"/>
          <w:bCs w:val="0"/>
          <w:color w:val="auto"/>
          <w:kern w:val="0"/>
          <w:sz w:val="24"/>
          <w:szCs w:val="24"/>
          <w:lang w:val="en-US" w:eastAsia="zh-CN"/>
        </w:rPr>
        <w:t>分析</w:t>
      </w:r>
    </w:p>
    <w:p w14:paraId="2E34CF37">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1、三级防控体系</w:t>
      </w:r>
    </w:p>
    <w:p w14:paraId="3AFE4C3E">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厂区生产废水预处理设施与废水处理站发生故障，处理效率下降，导致废水超标排放。由于本项目厂区雨水、污水排放口均设置有监测池，能够对外排废水进行监控，若超标外排能够立即发现并关闭废水排口阀门，因此本项目超标废水排入外环境的可能性较小。</w:t>
      </w:r>
    </w:p>
    <w:p w14:paraId="48BFC981">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val="en-US" w:eastAsia="zh-CN"/>
        </w:rPr>
        <w:t>新合新生物科技</w:t>
      </w:r>
      <w:r>
        <w:rPr>
          <w:rFonts w:hint="eastAsia" w:ascii="Times New Roman" w:hAnsi="Times New Roman" w:eastAsia="宋体" w:cs="Times New Roman"/>
          <w:color w:val="auto"/>
          <w:sz w:val="24"/>
          <w:szCs w:val="24"/>
        </w:rPr>
        <w:t>有限公司为减少废水泄漏环境风险，公司已建立了“单元——厂区——园区”的三级防控体系：</w:t>
      </w:r>
    </w:p>
    <w:p w14:paraId="00A231AF">
      <w:pPr>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fldChar w:fldCharType="begin"/>
      </w:r>
      <w:r>
        <w:rPr>
          <w:rFonts w:ascii="Times New Roman" w:hAnsi="Times New Roman" w:eastAsia="宋体" w:cs="Times New Roman"/>
          <w:color w:val="auto"/>
          <w:sz w:val="24"/>
          <w:szCs w:val="24"/>
        </w:rPr>
        <w:instrText xml:space="preserve"> </w:instrText>
      </w:r>
      <w:r>
        <w:rPr>
          <w:rFonts w:hint="eastAsia" w:ascii="Times New Roman" w:hAnsi="Times New Roman" w:eastAsia="宋体" w:cs="Times New Roman"/>
          <w:color w:val="auto"/>
          <w:sz w:val="24"/>
          <w:szCs w:val="24"/>
        </w:rPr>
        <w:instrText xml:space="preserve">= 1 \* GB2</w:instrText>
      </w:r>
      <w:r>
        <w:rPr>
          <w:rFonts w:ascii="Times New Roman" w:hAnsi="Times New Roman" w:eastAsia="宋体" w:cs="Times New Roman"/>
          <w:color w:val="auto"/>
          <w:sz w:val="24"/>
          <w:szCs w:val="24"/>
        </w:rPr>
        <w:instrText xml:space="preserve"> </w:instrText>
      </w:r>
      <w:r>
        <w:rPr>
          <w:rFonts w:ascii="Times New Roman" w:hAnsi="Times New Roman" w:eastAsia="宋体" w:cs="Times New Roman"/>
          <w:color w:val="auto"/>
          <w:sz w:val="24"/>
          <w:szCs w:val="24"/>
        </w:rPr>
        <w:fldChar w:fldCharType="separate"/>
      </w:r>
      <w:r>
        <w:rPr>
          <w:rFonts w:hint="eastAsia" w:ascii="Times New Roman" w:hAnsi="Times New Roman" w:eastAsia="宋体" w:cs="Times New Roman"/>
          <w:color w:val="auto"/>
          <w:sz w:val="24"/>
          <w:szCs w:val="24"/>
        </w:rPr>
        <w:t>⑴</w:t>
      </w:r>
      <w:r>
        <w:rPr>
          <w:rFonts w:ascii="Times New Roman" w:hAnsi="Times New Roman" w:eastAsia="宋体" w:cs="Times New Roman"/>
          <w:color w:val="auto"/>
          <w:sz w:val="24"/>
          <w:szCs w:val="24"/>
        </w:rPr>
        <w:fldChar w:fldCharType="end"/>
      </w:r>
      <w:r>
        <w:rPr>
          <w:rFonts w:ascii="Times New Roman" w:hAnsi="Times New Roman" w:eastAsia="宋体" w:cs="Times New Roman"/>
          <w:color w:val="auto"/>
          <w:sz w:val="24"/>
          <w:szCs w:val="24"/>
        </w:rPr>
        <w:t>风险单元</w:t>
      </w:r>
    </w:p>
    <w:p w14:paraId="6958B58D">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厂区生产车间、危险废物暂存间、危险化学品仓库以及储罐区等使用水体环境危害物质的工艺装置界区周围均设有地沟或围堰，桶装液体物料均设置有防泄漏托盘与导流沟，以确保事故本身及处置过程中受污染排水的收集。</w:t>
      </w:r>
    </w:p>
    <w:p w14:paraId="0B39DE29">
      <w:pPr>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fldChar w:fldCharType="begin"/>
      </w:r>
      <w:r>
        <w:rPr>
          <w:rFonts w:ascii="Times New Roman" w:hAnsi="Times New Roman" w:eastAsia="宋体" w:cs="Times New Roman"/>
          <w:color w:val="auto"/>
          <w:sz w:val="24"/>
          <w:szCs w:val="24"/>
        </w:rPr>
        <w:instrText xml:space="preserve"> </w:instrText>
      </w:r>
      <w:r>
        <w:rPr>
          <w:rFonts w:hint="eastAsia" w:ascii="Times New Roman" w:hAnsi="Times New Roman" w:eastAsia="宋体" w:cs="Times New Roman"/>
          <w:color w:val="auto"/>
          <w:sz w:val="24"/>
          <w:szCs w:val="24"/>
        </w:rPr>
        <w:instrText xml:space="preserve">= 2 \* GB2</w:instrText>
      </w:r>
      <w:r>
        <w:rPr>
          <w:rFonts w:ascii="Times New Roman" w:hAnsi="Times New Roman" w:eastAsia="宋体" w:cs="Times New Roman"/>
          <w:color w:val="auto"/>
          <w:sz w:val="24"/>
          <w:szCs w:val="24"/>
        </w:rPr>
        <w:instrText xml:space="preserve"> </w:instrText>
      </w:r>
      <w:r>
        <w:rPr>
          <w:rFonts w:ascii="Times New Roman" w:hAnsi="Times New Roman" w:eastAsia="宋体" w:cs="Times New Roman"/>
          <w:color w:val="auto"/>
          <w:sz w:val="24"/>
          <w:szCs w:val="24"/>
        </w:rPr>
        <w:fldChar w:fldCharType="separate"/>
      </w:r>
      <w:r>
        <w:rPr>
          <w:rFonts w:hint="eastAsia" w:ascii="Times New Roman" w:hAnsi="Times New Roman" w:eastAsia="宋体" w:cs="Times New Roman"/>
          <w:color w:val="auto"/>
          <w:sz w:val="24"/>
          <w:szCs w:val="24"/>
        </w:rPr>
        <w:t>⑵</w:t>
      </w:r>
      <w:r>
        <w:rPr>
          <w:rFonts w:ascii="Times New Roman" w:hAnsi="Times New Roman" w:eastAsia="宋体" w:cs="Times New Roman"/>
          <w:color w:val="auto"/>
          <w:sz w:val="24"/>
          <w:szCs w:val="24"/>
        </w:rPr>
        <w:fldChar w:fldCharType="end"/>
      </w:r>
      <w:r>
        <w:rPr>
          <w:rFonts w:ascii="Times New Roman" w:hAnsi="Times New Roman" w:eastAsia="宋体" w:cs="Times New Roman"/>
          <w:color w:val="auto"/>
          <w:sz w:val="24"/>
          <w:szCs w:val="24"/>
        </w:rPr>
        <w:t>厂区</w:t>
      </w:r>
    </w:p>
    <w:p w14:paraId="460C741B">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①</w:t>
      </w:r>
      <w:r>
        <w:rPr>
          <w:rFonts w:ascii="Times New Roman" w:hAnsi="Times New Roman" w:eastAsia="宋体" w:cs="Times New Roman"/>
          <w:color w:val="auto"/>
          <w:sz w:val="24"/>
          <w:szCs w:val="24"/>
        </w:rPr>
        <w:t>在本项目</w:t>
      </w:r>
      <w:r>
        <w:rPr>
          <w:rFonts w:hint="eastAsia" w:ascii="Times New Roman" w:hAnsi="Times New Roman" w:eastAsia="宋体" w:cs="Times New Roman"/>
          <w:color w:val="auto"/>
          <w:sz w:val="24"/>
          <w:szCs w:val="24"/>
        </w:rPr>
        <w:t>生产车间、危险废物暂存间、危险化学品仓库以及储罐区等</w:t>
      </w:r>
      <w:r>
        <w:rPr>
          <w:rFonts w:ascii="Times New Roman" w:hAnsi="Times New Roman" w:eastAsia="宋体" w:cs="Times New Roman"/>
          <w:color w:val="auto"/>
          <w:sz w:val="24"/>
          <w:szCs w:val="24"/>
        </w:rPr>
        <w:t>周围设置围堰或</w:t>
      </w:r>
      <w:r>
        <w:rPr>
          <w:rFonts w:hint="eastAsia" w:ascii="Times New Roman" w:hAnsi="Times New Roman" w:eastAsia="宋体" w:cs="Times New Roman"/>
          <w:color w:val="auto"/>
          <w:sz w:val="24"/>
          <w:szCs w:val="24"/>
        </w:rPr>
        <w:t>导流</w:t>
      </w:r>
      <w:r>
        <w:rPr>
          <w:rFonts w:ascii="Times New Roman" w:hAnsi="Times New Roman" w:eastAsia="宋体" w:cs="Times New Roman"/>
          <w:color w:val="auto"/>
          <w:sz w:val="24"/>
          <w:szCs w:val="24"/>
        </w:rPr>
        <w:t>沟，并连通厂区应急池。</w:t>
      </w:r>
    </w:p>
    <w:p w14:paraId="66CF05E6">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②</w:t>
      </w:r>
      <w:r>
        <w:rPr>
          <w:rFonts w:ascii="Times New Roman" w:hAnsi="Times New Roman" w:eastAsia="宋体" w:cs="Times New Roman"/>
          <w:color w:val="auto"/>
          <w:sz w:val="24"/>
          <w:szCs w:val="24"/>
        </w:rPr>
        <w:t>事故状态时的生产废水、消防水通过地面收集系统收集后排入事故池后，再通过泵打入污水处理站进行处理。</w:t>
      </w:r>
    </w:p>
    <w:p w14:paraId="2F223D72">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③</w:t>
      </w:r>
      <w:r>
        <w:rPr>
          <w:rFonts w:ascii="Times New Roman" w:hAnsi="Times New Roman" w:eastAsia="宋体" w:cs="Times New Roman"/>
          <w:color w:val="auto"/>
          <w:sz w:val="24"/>
          <w:szCs w:val="24"/>
        </w:rPr>
        <w:t>厂区内设置有初期雨水收集池</w:t>
      </w:r>
      <w:r>
        <w:rPr>
          <w:rFonts w:hint="eastAsia" w:ascii="Times New Roman" w:hAnsi="Times New Roman" w:eastAsia="宋体" w:cs="Times New Roman"/>
          <w:color w:val="auto"/>
          <w:sz w:val="24"/>
          <w:szCs w:val="24"/>
        </w:rPr>
        <w:t>，容积为</w:t>
      </w:r>
      <w:r>
        <w:rPr>
          <w:rFonts w:hint="eastAsia" w:ascii="Times New Roman" w:hAnsi="Times New Roman" w:eastAsia="宋体" w:cs="Times New Roman"/>
          <w:color w:val="auto"/>
          <w:sz w:val="24"/>
          <w:szCs w:val="24"/>
          <w:lang w:val="en-US" w:eastAsia="zh-CN"/>
        </w:rPr>
        <w:t>300</w:t>
      </w:r>
      <w:r>
        <w:rPr>
          <w:rFonts w:hint="eastAsia" w:ascii="Times New Roman" w:hAnsi="Times New Roman" w:eastAsia="宋体" w:cs="Times New Roman"/>
          <w:color w:val="auto"/>
          <w:sz w:val="24"/>
          <w:szCs w:val="24"/>
          <w:lang w:eastAsia="zh-CN"/>
        </w:rPr>
        <w:t>m</w:t>
      </w:r>
      <w:r>
        <w:rPr>
          <w:rFonts w:hint="eastAsia" w:ascii="Times New Roman" w:hAnsi="Times New Roman" w:eastAsia="宋体" w:cs="Times New Roman"/>
          <w:color w:val="auto"/>
          <w:sz w:val="24"/>
          <w:szCs w:val="24"/>
          <w:vertAlign w:val="superscript"/>
          <w:lang w:eastAsia="zh-CN"/>
        </w:rPr>
        <w:t>3</w:t>
      </w:r>
      <w:r>
        <w:rPr>
          <w:rFonts w:hint="eastAsia" w:ascii="Times New Roman" w:hAnsi="Times New Roman" w:eastAsia="宋体" w:cs="Times New Roman"/>
          <w:color w:val="auto"/>
          <w:sz w:val="24"/>
          <w:szCs w:val="24"/>
        </w:rPr>
        <w:t>。</w:t>
      </w:r>
    </w:p>
    <w:p w14:paraId="4F9BFFAD">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厂区内初期雨水经雨水沟收集至初期雨水收集池，若为暴雨，则收集前</w:t>
      </w:r>
      <w:r>
        <w:rPr>
          <w:rFonts w:ascii="Times New Roman" w:hAnsi="Times New Roman" w:eastAsia="宋体" w:cs="Times New Roman"/>
          <w:color w:val="auto"/>
          <w:sz w:val="24"/>
          <w:szCs w:val="24"/>
        </w:rPr>
        <w:t>15分钟（若为中雨，则收集前30分钟）</w:t>
      </w:r>
      <w:r>
        <w:rPr>
          <w:rFonts w:hint="eastAsia" w:ascii="Times New Roman" w:hAnsi="Times New Roman" w:eastAsia="宋体" w:cs="Times New Roman"/>
          <w:color w:val="auto"/>
          <w:sz w:val="24"/>
          <w:szCs w:val="24"/>
        </w:rPr>
        <w:t>，</w:t>
      </w:r>
      <w:r>
        <w:rPr>
          <w:rFonts w:ascii="Times New Roman" w:hAnsi="Times New Roman" w:eastAsia="宋体" w:cs="Times New Roman"/>
          <w:color w:val="auto"/>
          <w:sz w:val="24"/>
          <w:szCs w:val="24"/>
        </w:rPr>
        <w:t>初期雨水进入污水处理站处理后，其余部分外排入园区雨水管网。若为小雨，则收集后的初期雨水进入污水处理站处理，不外排。</w:t>
      </w:r>
    </w:p>
    <w:p w14:paraId="2EAC71B5">
      <w:pPr>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fldChar w:fldCharType="begin"/>
      </w:r>
      <w:r>
        <w:rPr>
          <w:rFonts w:ascii="Times New Roman" w:hAnsi="Times New Roman" w:eastAsia="宋体" w:cs="Times New Roman"/>
          <w:color w:val="auto"/>
          <w:sz w:val="24"/>
          <w:szCs w:val="24"/>
        </w:rPr>
        <w:instrText xml:space="preserve"> = 4 \* GB3 </w:instrText>
      </w:r>
      <w:r>
        <w:rPr>
          <w:rFonts w:ascii="Times New Roman" w:hAnsi="Times New Roman" w:eastAsia="宋体" w:cs="Times New Roman"/>
          <w:color w:val="auto"/>
          <w:sz w:val="24"/>
          <w:szCs w:val="24"/>
        </w:rPr>
        <w:fldChar w:fldCharType="separate"/>
      </w:r>
      <w:r>
        <w:rPr>
          <w:rFonts w:hint="eastAsia" w:ascii="Times New Roman" w:hAnsi="Times New Roman" w:eastAsia="宋体" w:cs="Times New Roman"/>
          <w:color w:val="auto"/>
          <w:sz w:val="24"/>
          <w:szCs w:val="24"/>
        </w:rPr>
        <w:t>④</w:t>
      </w:r>
      <w:r>
        <w:rPr>
          <w:rFonts w:ascii="Times New Roman" w:hAnsi="Times New Roman" w:eastAsia="宋体" w:cs="Times New Roman"/>
          <w:color w:val="auto"/>
          <w:sz w:val="24"/>
          <w:szCs w:val="24"/>
        </w:rPr>
        <w:fldChar w:fldCharType="end"/>
      </w:r>
      <w:r>
        <w:rPr>
          <w:rFonts w:ascii="Times New Roman" w:hAnsi="Times New Roman" w:eastAsia="宋体" w:cs="Times New Roman"/>
          <w:color w:val="auto"/>
          <w:sz w:val="24"/>
          <w:szCs w:val="24"/>
        </w:rPr>
        <w:t>厂区内设置有导流沟，对生产车间与储罐区可能泄漏的物料通过导流沟与事故应急池相连。</w:t>
      </w:r>
      <w:r>
        <w:rPr>
          <w:rFonts w:hint="eastAsia" w:ascii="Times New Roman" w:hAnsi="Times New Roman" w:eastAsia="宋体" w:cs="Times New Roman"/>
          <w:color w:val="auto"/>
          <w:sz w:val="24"/>
          <w:szCs w:val="24"/>
        </w:rPr>
        <w:t>厂区设置有事故应急池，容积为</w:t>
      </w:r>
      <w:r>
        <w:rPr>
          <w:rFonts w:hint="eastAsia" w:ascii="Times New Roman" w:hAnsi="Times New Roman" w:eastAsia="宋体" w:cs="Times New Roman"/>
          <w:color w:val="auto"/>
          <w:sz w:val="24"/>
          <w:szCs w:val="24"/>
          <w:lang w:val="en-US" w:eastAsia="zh-CN"/>
        </w:rPr>
        <w:t>370</w:t>
      </w:r>
      <w:r>
        <w:rPr>
          <w:rFonts w:hint="eastAsia" w:ascii="Times New Roman" w:hAnsi="Times New Roman" w:eastAsia="宋体" w:cs="Times New Roman"/>
          <w:color w:val="auto"/>
          <w:sz w:val="24"/>
          <w:szCs w:val="24"/>
          <w:lang w:eastAsia="zh-CN"/>
        </w:rPr>
        <w:t>m</w:t>
      </w:r>
      <w:r>
        <w:rPr>
          <w:rFonts w:hint="eastAsia" w:ascii="Times New Roman" w:hAnsi="Times New Roman" w:eastAsia="宋体" w:cs="Times New Roman"/>
          <w:color w:val="auto"/>
          <w:sz w:val="24"/>
          <w:szCs w:val="24"/>
          <w:vertAlign w:val="superscript"/>
          <w:lang w:eastAsia="zh-CN"/>
        </w:rPr>
        <w:t>3</w:t>
      </w:r>
      <w:r>
        <w:rPr>
          <w:rFonts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rPr>
        <w:t>有足够的容量对事故废水进行收集。</w:t>
      </w:r>
      <w:r>
        <w:rPr>
          <w:rFonts w:ascii="Times New Roman" w:hAnsi="Times New Roman" w:eastAsia="宋体" w:cs="Times New Roman"/>
          <w:color w:val="auto"/>
          <w:sz w:val="24"/>
          <w:szCs w:val="24"/>
        </w:rPr>
        <w:t>废水外排口及雨水外排口设置闸门，发生事故状态下，停止生产，关闭闸门，启用事故应急池，避免事故污水及雨水和消防水排入外环境</w:t>
      </w:r>
      <w:r>
        <w:rPr>
          <w:rFonts w:hint="eastAsia" w:ascii="Times New Roman" w:hAnsi="Times New Roman" w:eastAsia="宋体" w:cs="Times New Roman"/>
          <w:color w:val="auto"/>
          <w:sz w:val="24"/>
          <w:szCs w:val="24"/>
        </w:rPr>
        <w:t>。</w:t>
      </w:r>
    </w:p>
    <w:p w14:paraId="2892E8C6">
      <w:pPr>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fldChar w:fldCharType="begin"/>
      </w:r>
      <w:r>
        <w:rPr>
          <w:rFonts w:ascii="Times New Roman" w:hAnsi="Times New Roman" w:eastAsia="宋体" w:cs="Times New Roman"/>
          <w:color w:val="auto"/>
          <w:sz w:val="24"/>
          <w:szCs w:val="24"/>
        </w:rPr>
        <w:instrText xml:space="preserve"> </w:instrText>
      </w:r>
      <w:r>
        <w:rPr>
          <w:rFonts w:hint="eastAsia" w:ascii="Times New Roman" w:hAnsi="Times New Roman" w:eastAsia="宋体" w:cs="Times New Roman"/>
          <w:color w:val="auto"/>
          <w:sz w:val="24"/>
          <w:szCs w:val="24"/>
        </w:rPr>
        <w:instrText xml:space="preserve">= 3 \* GB2</w:instrText>
      </w:r>
      <w:r>
        <w:rPr>
          <w:rFonts w:ascii="Times New Roman" w:hAnsi="Times New Roman" w:eastAsia="宋体" w:cs="Times New Roman"/>
          <w:color w:val="auto"/>
          <w:sz w:val="24"/>
          <w:szCs w:val="24"/>
        </w:rPr>
        <w:instrText xml:space="preserve"> </w:instrText>
      </w:r>
      <w:r>
        <w:rPr>
          <w:rFonts w:ascii="Times New Roman" w:hAnsi="Times New Roman" w:eastAsia="宋体" w:cs="Times New Roman"/>
          <w:color w:val="auto"/>
          <w:sz w:val="24"/>
          <w:szCs w:val="24"/>
        </w:rPr>
        <w:fldChar w:fldCharType="separate"/>
      </w:r>
      <w:r>
        <w:rPr>
          <w:rFonts w:hint="eastAsia" w:ascii="Times New Roman" w:hAnsi="Times New Roman" w:eastAsia="宋体" w:cs="Times New Roman"/>
          <w:color w:val="auto"/>
          <w:sz w:val="24"/>
          <w:szCs w:val="24"/>
        </w:rPr>
        <w:t>⑶</w:t>
      </w:r>
      <w:r>
        <w:rPr>
          <w:rFonts w:ascii="Times New Roman" w:hAnsi="Times New Roman" w:eastAsia="宋体" w:cs="Times New Roman"/>
          <w:color w:val="auto"/>
          <w:sz w:val="24"/>
          <w:szCs w:val="24"/>
        </w:rPr>
        <w:fldChar w:fldCharType="end"/>
      </w:r>
      <w:r>
        <w:rPr>
          <w:rFonts w:ascii="Times New Roman" w:hAnsi="Times New Roman" w:eastAsia="宋体" w:cs="Times New Roman"/>
          <w:color w:val="auto"/>
          <w:sz w:val="24"/>
          <w:szCs w:val="24"/>
        </w:rPr>
        <w:t>园区</w:t>
      </w:r>
    </w:p>
    <w:p w14:paraId="26F8BA5D">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津市高新技术产业开发区</w:t>
      </w:r>
      <w:r>
        <w:rPr>
          <w:rFonts w:ascii="Times New Roman" w:hAnsi="Times New Roman" w:eastAsia="宋体" w:cs="Times New Roman"/>
          <w:color w:val="auto"/>
          <w:sz w:val="24"/>
          <w:szCs w:val="24"/>
        </w:rPr>
        <w:t>已编制了</w:t>
      </w:r>
      <w:r>
        <w:rPr>
          <w:rFonts w:hint="eastAsia" w:ascii="Times New Roman" w:hAnsi="Times New Roman" w:eastAsia="宋体" w:cs="Times New Roman"/>
          <w:color w:val="auto"/>
          <w:sz w:val="24"/>
          <w:szCs w:val="24"/>
        </w:rPr>
        <w:t>津市高新技术产业开发区突发环境事件</w:t>
      </w:r>
      <w:r>
        <w:rPr>
          <w:rFonts w:ascii="Times New Roman" w:hAnsi="Times New Roman" w:eastAsia="宋体" w:cs="Times New Roman"/>
          <w:color w:val="auto"/>
          <w:sz w:val="24"/>
          <w:szCs w:val="24"/>
        </w:rPr>
        <w:t>应急预案，并已备案，一旦</w:t>
      </w:r>
      <w:r>
        <w:rPr>
          <w:rFonts w:hint="eastAsia" w:ascii="Times New Roman" w:hAnsi="Times New Roman" w:eastAsia="宋体" w:cs="Times New Roman"/>
          <w:color w:val="auto"/>
          <w:sz w:val="24"/>
          <w:szCs w:val="24"/>
        </w:rPr>
        <w:t>本项目厂区</w:t>
      </w:r>
      <w:r>
        <w:rPr>
          <w:rFonts w:ascii="Times New Roman" w:hAnsi="Times New Roman" w:eastAsia="宋体" w:cs="Times New Roman"/>
          <w:color w:val="auto"/>
          <w:sz w:val="24"/>
          <w:szCs w:val="24"/>
        </w:rPr>
        <w:t>发生废水泄漏事件造成区域环境影响，</w:t>
      </w:r>
      <w:r>
        <w:rPr>
          <w:rFonts w:hint="eastAsia" w:ascii="Times New Roman" w:hAnsi="Times New Roman" w:eastAsia="宋体" w:cs="Times New Roman"/>
          <w:color w:val="auto"/>
          <w:sz w:val="24"/>
          <w:szCs w:val="24"/>
        </w:rPr>
        <w:t>津市高新技术产业开发区</w:t>
      </w:r>
      <w:r>
        <w:rPr>
          <w:rFonts w:ascii="Times New Roman" w:hAnsi="Times New Roman" w:eastAsia="宋体" w:cs="Times New Roman"/>
          <w:color w:val="auto"/>
          <w:sz w:val="24"/>
          <w:szCs w:val="24"/>
        </w:rPr>
        <w:t>将启动应急预案，避免事故污水</w:t>
      </w:r>
      <w:r>
        <w:rPr>
          <w:rFonts w:hint="eastAsia" w:ascii="Times New Roman" w:hAnsi="Times New Roman" w:eastAsia="宋体" w:cs="Times New Roman"/>
          <w:color w:val="auto"/>
          <w:sz w:val="24"/>
          <w:szCs w:val="24"/>
        </w:rPr>
        <w:t>、</w:t>
      </w:r>
      <w:r>
        <w:rPr>
          <w:rFonts w:ascii="Times New Roman" w:hAnsi="Times New Roman" w:eastAsia="宋体" w:cs="Times New Roman"/>
          <w:color w:val="auto"/>
          <w:sz w:val="24"/>
          <w:szCs w:val="24"/>
        </w:rPr>
        <w:t>雨水和消防水排入</w:t>
      </w:r>
      <w:r>
        <w:rPr>
          <w:rFonts w:hint="eastAsia" w:ascii="Times New Roman" w:hAnsi="Times New Roman" w:eastAsia="宋体" w:cs="Times New Roman"/>
          <w:color w:val="auto"/>
          <w:sz w:val="24"/>
          <w:szCs w:val="24"/>
        </w:rPr>
        <w:t>澧水</w:t>
      </w:r>
      <w:r>
        <w:rPr>
          <w:rFonts w:ascii="Times New Roman" w:hAnsi="Times New Roman" w:eastAsia="宋体" w:cs="Times New Roman"/>
          <w:color w:val="auto"/>
          <w:sz w:val="24"/>
          <w:szCs w:val="24"/>
        </w:rPr>
        <w:t>。</w:t>
      </w:r>
    </w:p>
    <w:p w14:paraId="43020FF4">
      <w:pPr>
        <w:spacing w:line="360" w:lineRule="auto"/>
        <w:ind w:firstLine="480" w:firstLineChars="200"/>
        <w:rPr>
          <w:rFonts w:hint="default" w:ascii="Times New Roman" w:hAnsi="Times New Roman" w:eastAsia="宋体" w:cs="Times New Roman"/>
          <w:color w:val="auto"/>
          <w:sz w:val="24"/>
          <w:szCs w:val="24"/>
          <w:u w:val="none"/>
          <w:lang w:val="en-US" w:eastAsia="zh-CN"/>
        </w:rPr>
      </w:pPr>
      <w:r>
        <w:rPr>
          <w:rFonts w:hint="eastAsia" w:ascii="Times New Roman" w:hAnsi="Times New Roman" w:eastAsia="宋体" w:cs="Times New Roman"/>
          <w:color w:val="auto"/>
          <w:sz w:val="24"/>
          <w:szCs w:val="24"/>
          <w:u w:val="none"/>
        </w:rPr>
        <w:t>因此，</w:t>
      </w:r>
      <w:r>
        <w:rPr>
          <w:rFonts w:hint="eastAsia" w:ascii="Times New Roman" w:hAnsi="Times New Roman" w:eastAsia="宋体" w:cs="Times New Roman"/>
          <w:color w:val="auto"/>
          <w:sz w:val="24"/>
          <w:szCs w:val="24"/>
          <w:u w:val="none"/>
          <w:lang w:val="en-US" w:eastAsia="zh-CN"/>
        </w:rPr>
        <w:t>本项目对地下水影响较小。</w:t>
      </w:r>
    </w:p>
    <w:p w14:paraId="412ADFE1">
      <w:pPr>
        <w:pStyle w:val="4"/>
        <w:spacing w:before="156" w:beforeLines="50" w:after="156" w:afterLines="50"/>
        <w:rPr>
          <w:rFonts w:hint="eastAsia" w:ascii="Times New Roman" w:hAnsi="Times New Roman" w:eastAsia="宋体"/>
          <w:color w:val="auto"/>
          <w:kern w:val="0"/>
          <w:sz w:val="24"/>
          <w:szCs w:val="24"/>
          <w:lang w:val="en-US" w:eastAsia="zh-CN"/>
        </w:rPr>
      </w:pPr>
      <w:r>
        <w:rPr>
          <w:rFonts w:hint="eastAsia" w:ascii="Times New Roman" w:hAnsi="Times New Roman"/>
          <w:bCs w:val="0"/>
          <w:color w:val="auto"/>
          <w:kern w:val="0"/>
          <w:sz w:val="24"/>
          <w:szCs w:val="24"/>
        </w:rPr>
        <w:t>8</w:t>
      </w:r>
      <w:r>
        <w:rPr>
          <w:rFonts w:ascii="Times New Roman" w:hAnsi="Times New Roman"/>
          <w:bCs w:val="0"/>
          <w:color w:val="auto"/>
          <w:kern w:val="0"/>
          <w:sz w:val="24"/>
          <w:szCs w:val="24"/>
        </w:rPr>
        <w:t>.</w:t>
      </w:r>
      <w:r>
        <w:rPr>
          <w:rFonts w:hint="eastAsia" w:ascii="Times New Roman" w:hAnsi="Times New Roman"/>
          <w:bCs w:val="0"/>
          <w:color w:val="auto"/>
          <w:kern w:val="0"/>
          <w:sz w:val="24"/>
          <w:szCs w:val="24"/>
        </w:rPr>
        <w:t>5</w:t>
      </w:r>
      <w:r>
        <w:rPr>
          <w:rFonts w:ascii="Times New Roman" w:hAnsi="Times New Roman"/>
          <w:bCs w:val="0"/>
          <w:color w:val="auto"/>
          <w:kern w:val="0"/>
          <w:sz w:val="24"/>
          <w:szCs w:val="24"/>
        </w:rPr>
        <w:t>.3</w:t>
      </w:r>
      <w:r>
        <w:rPr>
          <w:rFonts w:hint="eastAsia" w:ascii="Times New Roman" w:hAnsi="Times New Roman"/>
          <w:bCs w:val="0"/>
          <w:color w:val="auto"/>
          <w:kern w:val="0"/>
          <w:sz w:val="24"/>
          <w:szCs w:val="24"/>
        </w:rPr>
        <w:t>地下水环境风险</w:t>
      </w:r>
      <w:r>
        <w:rPr>
          <w:rFonts w:hint="eastAsia" w:ascii="Times New Roman" w:hAnsi="Times New Roman"/>
          <w:bCs w:val="0"/>
          <w:color w:val="auto"/>
          <w:kern w:val="0"/>
          <w:sz w:val="24"/>
          <w:szCs w:val="24"/>
          <w:lang w:val="en-US" w:eastAsia="zh-CN"/>
        </w:rPr>
        <w:t>分析</w:t>
      </w:r>
    </w:p>
    <w:p w14:paraId="07C036DC">
      <w:pPr>
        <w:pStyle w:val="82"/>
        <w:rPr>
          <w:rFonts w:hint="eastAsia"/>
          <w:color w:val="auto"/>
        </w:rPr>
      </w:pPr>
      <w:r>
        <w:rPr>
          <w:rFonts w:hint="eastAsia"/>
          <w:color w:val="auto"/>
        </w:rPr>
        <w:t>本项目生产废水经管道收集后进入厂区自建污水处理站预处理达标后，排入园区污水处理厂。各生产线生产过程中产生的废水经厂区管道输送进入厂区污水处理站处理；厂区各功能区均设计有良好的排水系统，不会出现积水与内涝情况；厂区各功能分区均按照分区防渗要求进行防腐、防渗处理。</w:t>
      </w:r>
    </w:p>
    <w:p w14:paraId="14927DF4">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综上，正常工况下，项目产生的废水与固废经收集后均进行了妥善处理，不会直接排入外环境，同时，厂区将进行有效的分区防渗，各污染物存贮建筑物基本不会有污水的渗漏情况发生，从而在源头上减少了污染物进入含水层的渗漏了量。另外，本项目将建立完善的风险应急预案、设置合理有效的地下水监测井，加强地下水环境监测。因此，正常工况下，项目对地下水的影响较小。</w:t>
      </w:r>
    </w:p>
    <w:p w14:paraId="52F6AD7D">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项目非正常工况对地下水环境影响，详见地下水环境影响分析章节。</w:t>
      </w:r>
    </w:p>
    <w:p w14:paraId="54759E33">
      <w:pPr>
        <w:pStyle w:val="3"/>
        <w:bidi w:val="0"/>
      </w:pPr>
      <w:bookmarkStart w:id="302" w:name="_Toc5451"/>
      <w:r>
        <w:t>8.</w:t>
      </w:r>
      <w:r>
        <w:rPr>
          <w:rFonts w:hint="eastAsia"/>
          <w:lang w:val="en-US" w:eastAsia="zh-CN"/>
        </w:rPr>
        <w:t>6</w:t>
      </w:r>
      <w:r>
        <w:rPr>
          <w:rFonts w:hint="eastAsia"/>
        </w:rPr>
        <w:t>风险防范措施</w:t>
      </w:r>
      <w:bookmarkEnd w:id="302"/>
    </w:p>
    <w:p w14:paraId="3F42EB1C">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根据《建设项目环境风险评价技术导则》（</w:t>
      </w:r>
      <w:r>
        <w:rPr>
          <w:rFonts w:ascii="Times New Roman" w:hAnsi="Times New Roman" w:eastAsia="宋体" w:cs="Times New Roman"/>
          <w:color w:val="auto"/>
          <w:sz w:val="24"/>
          <w:szCs w:val="24"/>
        </w:rPr>
        <w:t>HJ169-2018）的要求，环境风险管理目标是采用最低合理可行原则（as low as reasonable practicable，ALARP）管控环境风险。采取的环境风险防范措施应与社会经济技术发展水平相适应，运用科学的技术手段和管理方法，对环境风险进行有效的预防、监控、响应。</w:t>
      </w:r>
    </w:p>
    <w:p w14:paraId="0542702F">
      <w:pPr>
        <w:pStyle w:val="4"/>
        <w:spacing w:before="156" w:beforeLines="50" w:after="156" w:afterLines="50"/>
        <w:rPr>
          <w:rFonts w:ascii="Times New Roman" w:hAnsi="Times New Roman"/>
          <w:color w:val="auto"/>
          <w:kern w:val="0"/>
          <w:sz w:val="24"/>
          <w:szCs w:val="24"/>
          <w:lang w:val="zh-CN"/>
        </w:rPr>
      </w:pPr>
      <w:r>
        <w:rPr>
          <w:rFonts w:hint="eastAsia" w:ascii="Times New Roman" w:hAnsi="Times New Roman"/>
          <w:bCs w:val="0"/>
          <w:color w:val="auto"/>
          <w:kern w:val="0"/>
          <w:sz w:val="24"/>
          <w:szCs w:val="24"/>
        </w:rPr>
        <w:t>8</w:t>
      </w:r>
      <w:r>
        <w:rPr>
          <w:rFonts w:hint="eastAsia" w:ascii="Times New Roman" w:hAnsi="Times New Roman"/>
          <w:bCs w:val="0"/>
          <w:color w:val="auto"/>
          <w:kern w:val="0"/>
          <w:sz w:val="24"/>
          <w:szCs w:val="24"/>
          <w:lang w:val="en-US" w:eastAsia="zh-CN"/>
        </w:rPr>
        <w:t>.6.1</w:t>
      </w:r>
      <w:r>
        <w:rPr>
          <w:rFonts w:hint="eastAsia" w:ascii="Times New Roman" w:hAnsi="Times New Roman"/>
          <w:bCs w:val="0"/>
          <w:color w:val="auto"/>
          <w:kern w:val="0"/>
          <w:sz w:val="24"/>
          <w:szCs w:val="24"/>
        </w:rPr>
        <w:t>大气风险防范措施</w:t>
      </w:r>
    </w:p>
    <w:p w14:paraId="60D67AD6">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拟建项目主要大气环境风险为生产废气事故排放、、火灾和爆炸次生物的释放。建设单位应加强对厂区内废气治理措施的巡查，建立废气治理设施的运行管理台账，按照排污许可证要求，定期开展自行监测，确保污染物达标排放，减少厂区大气污染物事故排放情况；加强对厂区内储罐区、危险化学品储存仓库、危险废物暂存间的日常管理，建立巡查管理，并按照应急预案要求，定期开展突发环境事件应急演练。</w:t>
      </w:r>
    </w:p>
    <w:p w14:paraId="1F3353B0">
      <w:pPr>
        <w:pStyle w:val="4"/>
        <w:spacing w:before="156" w:beforeLines="50" w:after="156" w:afterLines="50"/>
        <w:rPr>
          <w:rFonts w:ascii="Times New Roman" w:hAnsi="Times New Roman"/>
          <w:color w:val="auto"/>
          <w:kern w:val="0"/>
          <w:sz w:val="24"/>
          <w:szCs w:val="24"/>
          <w:lang w:val="zh-CN"/>
        </w:rPr>
      </w:pPr>
      <w:r>
        <w:rPr>
          <w:rFonts w:hint="eastAsia" w:ascii="Times New Roman" w:hAnsi="Times New Roman"/>
          <w:bCs w:val="0"/>
          <w:color w:val="auto"/>
          <w:kern w:val="0"/>
          <w:sz w:val="24"/>
          <w:szCs w:val="24"/>
        </w:rPr>
        <w:t>8</w:t>
      </w:r>
      <w:r>
        <w:rPr>
          <w:rFonts w:ascii="Times New Roman" w:hAnsi="Times New Roman"/>
          <w:bCs w:val="0"/>
          <w:color w:val="auto"/>
          <w:kern w:val="0"/>
          <w:sz w:val="24"/>
          <w:szCs w:val="24"/>
        </w:rPr>
        <w:t>.</w:t>
      </w:r>
      <w:r>
        <w:rPr>
          <w:rFonts w:hint="eastAsia" w:ascii="Times New Roman" w:hAnsi="Times New Roman"/>
          <w:bCs w:val="0"/>
          <w:color w:val="auto"/>
          <w:kern w:val="0"/>
          <w:sz w:val="24"/>
          <w:szCs w:val="24"/>
          <w:lang w:val="en-US" w:eastAsia="zh-CN"/>
        </w:rPr>
        <w:t>6.2</w:t>
      </w:r>
      <w:r>
        <w:rPr>
          <w:rFonts w:hint="eastAsia" w:ascii="Times New Roman" w:hAnsi="Times New Roman"/>
          <w:bCs w:val="0"/>
          <w:color w:val="auto"/>
          <w:kern w:val="0"/>
          <w:sz w:val="24"/>
          <w:szCs w:val="24"/>
        </w:rPr>
        <w:t>总图和建筑环境风险防范措施</w:t>
      </w:r>
    </w:p>
    <w:p w14:paraId="303E13FE">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1）本项目厂址选择全面考虑厂区周围的自然环境和社会环境，认真收集地形测量、工程地质、水文、气象、区域规划等基础资料，选定技术可靠、经济合理、交通方便、符合安全卫生与环境要求，公用工程配套的设计方案。</w:t>
      </w:r>
    </w:p>
    <w:p w14:paraId="2C75F9E0">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（2）厂址充分考虑地震、软地基等地质因素以及飓风、雷暴等气象危害，采取可靠技术方案，避开不利的地质条件。</w:t>
      </w:r>
    </w:p>
    <w:p w14:paraId="3B2EDD3B">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（3）本项目的厂址符合当地规划，按生产类型及安全卫生要求与村庄、居住区和其他企业保持足够的间距。</w:t>
      </w:r>
    </w:p>
    <w:p w14:paraId="71D974F2">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（4）厂区内排气筒已设置在厂区内中部（靠中间位置），噪音的生产设施和公用工程布置在全年最小风频率的上风方位。</w:t>
      </w:r>
    </w:p>
    <w:p w14:paraId="1E989EF3">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（5）厂区有两个以上的出入口，人流和货运应明确分开，原料、产品、副产品等大宗危险货物运输须有单独路线，不与人流及其他货流混行和平交。</w:t>
      </w:r>
    </w:p>
    <w:p w14:paraId="33E0EE6C">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（6）人员较多的场所布置在厂前区附近，避免大量人流经常穿行全厂或生产装置区。</w:t>
      </w:r>
    </w:p>
    <w:p w14:paraId="35A5AC0E">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（7）项目甲类厂房、甲类、丙类仓库等厂房的耐火等级不低于二级。厂房间距应符合《建筑设计防火规范》（GB50016-2014）的有关规定。</w:t>
      </w:r>
    </w:p>
    <w:p w14:paraId="1EA67526">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（8）甲类厂房应采用不发生火花的地面，地面应平整并易清扫。</w:t>
      </w:r>
    </w:p>
    <w:p w14:paraId="17A88DC2">
      <w:pPr>
        <w:spacing w:line="360" w:lineRule="auto"/>
        <w:ind w:firstLine="480" w:firstLineChars="200"/>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（9）甲类厂房的区域内不得配置本车间无关的易引起火灾的设施和建筑物。</w:t>
      </w:r>
    </w:p>
    <w:p w14:paraId="17D5ED9C">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（10）厂房应设有防腐蚀措施和减振降噪措施。保证防爆泄压面积。</w:t>
      </w:r>
    </w:p>
    <w:p w14:paraId="05094355">
      <w:pPr>
        <w:pStyle w:val="4"/>
        <w:spacing w:before="156" w:beforeLines="50" w:after="156" w:afterLines="50"/>
        <w:rPr>
          <w:rFonts w:ascii="Times New Roman" w:hAnsi="Times New Roman"/>
          <w:color w:val="auto"/>
          <w:kern w:val="0"/>
          <w:sz w:val="24"/>
          <w:szCs w:val="24"/>
          <w:lang w:val="zh-CN"/>
        </w:rPr>
      </w:pPr>
      <w:r>
        <w:rPr>
          <w:rFonts w:hint="eastAsia" w:ascii="Times New Roman" w:hAnsi="Times New Roman"/>
          <w:bCs w:val="0"/>
          <w:color w:val="auto"/>
          <w:kern w:val="0"/>
          <w:sz w:val="24"/>
          <w:szCs w:val="24"/>
        </w:rPr>
        <w:t>8</w:t>
      </w:r>
      <w:r>
        <w:rPr>
          <w:rFonts w:hint="eastAsia" w:ascii="Times New Roman" w:hAnsi="Times New Roman"/>
          <w:bCs w:val="0"/>
          <w:color w:val="auto"/>
          <w:kern w:val="0"/>
          <w:sz w:val="24"/>
          <w:szCs w:val="24"/>
          <w:lang w:val="en-US" w:eastAsia="zh-CN"/>
        </w:rPr>
        <w:t>.6.3</w:t>
      </w:r>
      <w:r>
        <w:rPr>
          <w:rFonts w:hint="eastAsia" w:ascii="Times New Roman" w:hAnsi="Times New Roman"/>
          <w:bCs w:val="0"/>
          <w:color w:val="auto"/>
          <w:kern w:val="0"/>
          <w:sz w:val="24"/>
          <w:szCs w:val="24"/>
        </w:rPr>
        <w:t>工艺及设备技术风险防范措施</w:t>
      </w:r>
    </w:p>
    <w:p w14:paraId="4F68B632">
      <w:pPr>
        <w:spacing w:line="360" w:lineRule="auto"/>
        <w:ind w:firstLine="480" w:firstLineChars="200"/>
        <w:rPr>
          <w:rFonts w:ascii="Times New Roman" w:hAnsi="Times New Roman" w:eastAsia="宋体" w:cs="Times New Roman"/>
          <w:bCs/>
          <w:color w:val="auto"/>
          <w:sz w:val="24"/>
          <w:szCs w:val="24"/>
        </w:rPr>
      </w:pPr>
      <w:r>
        <w:rPr>
          <w:rFonts w:hint="eastAsia" w:ascii="Times New Roman" w:hAnsi="Times New Roman" w:eastAsia="宋体" w:cs="Times New Roman"/>
          <w:bCs/>
          <w:color w:val="auto"/>
          <w:sz w:val="24"/>
          <w:szCs w:val="24"/>
        </w:rPr>
        <w:t>拟建项目工艺条件要求在高温条件下进行。为了有效防止事故发生，采用防范措施至关重要，本项目采取的环境风险防范措施如下：</w:t>
      </w:r>
    </w:p>
    <w:p w14:paraId="7F227D58">
      <w:pPr>
        <w:spacing w:line="360" w:lineRule="auto"/>
        <w:ind w:firstLine="480" w:firstLineChars="200"/>
        <w:rPr>
          <w:rFonts w:ascii="Times New Roman" w:hAnsi="Times New Roman" w:eastAsia="宋体" w:cs="Times New Roman"/>
          <w:bCs/>
          <w:color w:val="auto"/>
          <w:sz w:val="24"/>
          <w:szCs w:val="24"/>
        </w:rPr>
      </w:pPr>
      <w:r>
        <w:rPr>
          <w:rFonts w:hint="eastAsia" w:ascii="Times New Roman" w:hAnsi="Times New Roman" w:eastAsia="宋体" w:cs="Times New Roman"/>
          <w:bCs/>
          <w:color w:val="auto"/>
          <w:sz w:val="24"/>
          <w:szCs w:val="24"/>
        </w:rPr>
        <w:t>（</w:t>
      </w:r>
      <w:r>
        <w:rPr>
          <w:rFonts w:ascii="Times New Roman" w:hAnsi="Times New Roman" w:eastAsia="宋体" w:cs="Times New Roman"/>
          <w:bCs/>
          <w:color w:val="auto"/>
          <w:sz w:val="24"/>
          <w:szCs w:val="24"/>
        </w:rPr>
        <w:t>1</w:t>
      </w:r>
      <w:r>
        <w:rPr>
          <w:rFonts w:hint="eastAsia" w:ascii="Times New Roman" w:hAnsi="Times New Roman" w:eastAsia="宋体" w:cs="Times New Roman"/>
          <w:bCs/>
          <w:color w:val="auto"/>
          <w:sz w:val="24"/>
          <w:szCs w:val="24"/>
        </w:rPr>
        <w:t>）安全通道出入口不少于两个，做到人、物分流，通道和出口应保持畅通；</w:t>
      </w:r>
    </w:p>
    <w:p w14:paraId="692F895C">
      <w:pPr>
        <w:spacing w:line="360" w:lineRule="auto"/>
        <w:ind w:firstLine="480" w:firstLineChars="200"/>
        <w:rPr>
          <w:rFonts w:ascii="Times New Roman" w:hAnsi="Times New Roman" w:eastAsia="宋体" w:cs="Times New Roman"/>
          <w:bCs/>
          <w:color w:val="auto"/>
          <w:sz w:val="24"/>
          <w:szCs w:val="24"/>
        </w:rPr>
      </w:pPr>
      <w:r>
        <w:rPr>
          <w:rFonts w:hint="eastAsia" w:ascii="Times New Roman" w:hAnsi="Times New Roman" w:eastAsia="宋体" w:cs="Times New Roman"/>
          <w:bCs/>
          <w:color w:val="auto"/>
          <w:sz w:val="24"/>
          <w:szCs w:val="24"/>
        </w:rPr>
        <w:t>（</w:t>
      </w:r>
      <w:r>
        <w:rPr>
          <w:rFonts w:ascii="Times New Roman" w:hAnsi="Times New Roman" w:eastAsia="宋体" w:cs="Times New Roman"/>
          <w:bCs/>
          <w:color w:val="auto"/>
          <w:sz w:val="24"/>
          <w:szCs w:val="24"/>
        </w:rPr>
        <w:t>2</w:t>
      </w:r>
      <w:r>
        <w:rPr>
          <w:rFonts w:hint="eastAsia" w:ascii="Times New Roman" w:hAnsi="Times New Roman" w:eastAsia="宋体" w:cs="Times New Roman"/>
          <w:bCs/>
          <w:color w:val="auto"/>
          <w:sz w:val="24"/>
          <w:szCs w:val="24"/>
        </w:rPr>
        <w:t>）生产工艺过程具有易燃、易爆的危险特点，工艺装置、设备、管道在满足生产要求的条件下，按生产特点，集中联合布置，采用露天、敞开式半敞开的建构筑物；装置内的门窗应向外开启；</w:t>
      </w:r>
    </w:p>
    <w:p w14:paraId="5FB579F1">
      <w:pPr>
        <w:spacing w:line="360" w:lineRule="auto"/>
        <w:ind w:firstLine="480" w:firstLineChars="200"/>
        <w:rPr>
          <w:rFonts w:ascii="Times New Roman" w:hAnsi="Times New Roman" w:eastAsia="宋体" w:cs="Times New Roman"/>
          <w:bCs/>
          <w:color w:val="auto"/>
          <w:sz w:val="24"/>
          <w:szCs w:val="24"/>
        </w:rPr>
      </w:pPr>
      <w:r>
        <w:rPr>
          <w:rFonts w:hint="eastAsia" w:ascii="Times New Roman" w:hAnsi="Times New Roman" w:eastAsia="宋体" w:cs="Times New Roman"/>
          <w:bCs/>
          <w:color w:val="auto"/>
          <w:sz w:val="24"/>
          <w:szCs w:val="24"/>
        </w:rPr>
        <w:t>（</w:t>
      </w:r>
      <w:r>
        <w:rPr>
          <w:rFonts w:ascii="Times New Roman" w:hAnsi="Times New Roman" w:eastAsia="宋体" w:cs="Times New Roman"/>
          <w:bCs/>
          <w:color w:val="auto"/>
          <w:sz w:val="24"/>
          <w:szCs w:val="24"/>
        </w:rPr>
        <w:t>3</w:t>
      </w:r>
      <w:r>
        <w:rPr>
          <w:rFonts w:hint="eastAsia" w:ascii="Times New Roman" w:hAnsi="Times New Roman" w:eastAsia="宋体" w:cs="Times New Roman"/>
          <w:bCs/>
          <w:color w:val="auto"/>
          <w:sz w:val="24"/>
          <w:szCs w:val="24"/>
        </w:rPr>
        <w:t>）在防爆区域内选用防爆型电气设备、仪表及照明灯具；设置明显的警示标志，注明物料危险特性；</w:t>
      </w:r>
    </w:p>
    <w:p w14:paraId="5014057D">
      <w:pPr>
        <w:spacing w:line="360" w:lineRule="auto"/>
        <w:ind w:firstLine="480" w:firstLineChars="200"/>
        <w:rPr>
          <w:rFonts w:ascii="Times New Roman" w:hAnsi="Times New Roman" w:eastAsia="宋体" w:cs="Times New Roman"/>
          <w:bCs/>
          <w:color w:val="auto"/>
          <w:sz w:val="24"/>
          <w:szCs w:val="24"/>
        </w:rPr>
      </w:pPr>
      <w:r>
        <w:rPr>
          <w:rFonts w:hint="eastAsia" w:ascii="Times New Roman" w:hAnsi="Times New Roman" w:eastAsia="宋体" w:cs="Times New Roman"/>
          <w:bCs/>
          <w:color w:val="auto"/>
          <w:sz w:val="24"/>
          <w:szCs w:val="24"/>
        </w:rPr>
        <w:t>（</w:t>
      </w:r>
      <w:r>
        <w:rPr>
          <w:rFonts w:ascii="Times New Roman" w:hAnsi="Times New Roman" w:eastAsia="宋体" w:cs="Times New Roman"/>
          <w:bCs/>
          <w:color w:val="auto"/>
          <w:sz w:val="24"/>
          <w:szCs w:val="24"/>
        </w:rPr>
        <w:t>4</w:t>
      </w:r>
      <w:r>
        <w:rPr>
          <w:rFonts w:hint="eastAsia" w:ascii="Times New Roman" w:hAnsi="Times New Roman" w:eastAsia="宋体" w:cs="Times New Roman"/>
          <w:bCs/>
          <w:color w:val="auto"/>
          <w:sz w:val="24"/>
          <w:szCs w:val="24"/>
        </w:rPr>
        <w:t>）有可燃气体泄漏的作业场所，必须设计良好的通风系统，保证作业场所的危险物质浓度不得超过有关规定，并设置可燃气体浓度报警仪器；</w:t>
      </w:r>
    </w:p>
    <w:p w14:paraId="2B237EAD">
      <w:pPr>
        <w:spacing w:line="360" w:lineRule="auto"/>
        <w:ind w:firstLine="480" w:firstLineChars="200"/>
        <w:rPr>
          <w:rFonts w:ascii="Times New Roman" w:hAnsi="Times New Roman" w:eastAsia="宋体" w:cs="Times New Roman"/>
          <w:bCs/>
          <w:color w:val="auto"/>
          <w:sz w:val="24"/>
          <w:szCs w:val="24"/>
        </w:rPr>
      </w:pPr>
      <w:r>
        <w:rPr>
          <w:rFonts w:hint="eastAsia" w:ascii="Times New Roman" w:hAnsi="Times New Roman" w:eastAsia="宋体" w:cs="Times New Roman"/>
          <w:bCs/>
          <w:color w:val="auto"/>
          <w:sz w:val="24"/>
          <w:szCs w:val="24"/>
        </w:rPr>
        <w:t>（</w:t>
      </w:r>
      <w:r>
        <w:rPr>
          <w:rFonts w:ascii="Times New Roman" w:hAnsi="Times New Roman" w:eastAsia="宋体" w:cs="Times New Roman"/>
          <w:bCs/>
          <w:color w:val="auto"/>
          <w:sz w:val="24"/>
          <w:szCs w:val="24"/>
        </w:rPr>
        <w:t>5</w:t>
      </w:r>
      <w:r>
        <w:rPr>
          <w:rFonts w:hint="eastAsia" w:ascii="Times New Roman" w:hAnsi="Times New Roman" w:eastAsia="宋体" w:cs="Times New Roman"/>
          <w:bCs/>
          <w:color w:val="auto"/>
          <w:sz w:val="24"/>
          <w:szCs w:val="24"/>
        </w:rPr>
        <w:t>）具有火灾爆炸危险的生产设备和管道设置安全阀、爆破板、阻火器等防爆防泄压系统，对于输送可燃物料的并有可能产生火焰蔓延和放空管和管道之间应设置阻火器、水封等阻火设施；</w:t>
      </w:r>
    </w:p>
    <w:p w14:paraId="0BBF8CC4">
      <w:pPr>
        <w:spacing w:line="360" w:lineRule="auto"/>
        <w:ind w:firstLine="480" w:firstLineChars="200"/>
        <w:rPr>
          <w:rFonts w:ascii="Times New Roman" w:hAnsi="Times New Roman" w:eastAsia="宋体" w:cs="Times New Roman"/>
          <w:bCs/>
          <w:color w:val="auto"/>
          <w:sz w:val="24"/>
          <w:szCs w:val="24"/>
        </w:rPr>
      </w:pPr>
      <w:r>
        <w:rPr>
          <w:rFonts w:hint="eastAsia" w:ascii="Times New Roman" w:hAnsi="Times New Roman" w:eastAsia="宋体" w:cs="Times New Roman"/>
          <w:bCs/>
          <w:color w:val="auto"/>
          <w:sz w:val="24"/>
          <w:szCs w:val="24"/>
        </w:rPr>
        <w:t>（</w:t>
      </w:r>
      <w:r>
        <w:rPr>
          <w:rFonts w:ascii="Times New Roman" w:hAnsi="Times New Roman" w:eastAsia="宋体" w:cs="Times New Roman"/>
          <w:bCs/>
          <w:color w:val="auto"/>
          <w:sz w:val="24"/>
          <w:szCs w:val="24"/>
        </w:rPr>
        <w:t>6</w:t>
      </w:r>
      <w:r>
        <w:rPr>
          <w:rFonts w:hint="eastAsia" w:ascii="Times New Roman" w:hAnsi="Times New Roman" w:eastAsia="宋体" w:cs="Times New Roman"/>
          <w:bCs/>
          <w:color w:val="auto"/>
          <w:sz w:val="24"/>
          <w:szCs w:val="24"/>
        </w:rPr>
        <w:t>）明火设备、设施及建</w:t>
      </w:r>
      <w:r>
        <w:rPr>
          <w:rFonts w:ascii="Times New Roman" w:hAnsi="Times New Roman" w:eastAsia="宋体" w:cs="Times New Roman"/>
          <w:bCs/>
          <w:color w:val="auto"/>
          <w:sz w:val="24"/>
          <w:szCs w:val="24"/>
        </w:rPr>
        <w:t>(</w:t>
      </w:r>
      <w:r>
        <w:rPr>
          <w:rFonts w:hint="eastAsia" w:ascii="Times New Roman" w:hAnsi="Times New Roman" w:eastAsia="宋体" w:cs="Times New Roman"/>
          <w:bCs/>
          <w:color w:val="auto"/>
          <w:sz w:val="24"/>
          <w:szCs w:val="24"/>
        </w:rPr>
        <w:t>构</w:t>
      </w:r>
      <w:r>
        <w:rPr>
          <w:rFonts w:ascii="Times New Roman" w:hAnsi="Times New Roman" w:eastAsia="宋体" w:cs="Times New Roman"/>
          <w:bCs/>
          <w:color w:val="auto"/>
          <w:sz w:val="24"/>
          <w:szCs w:val="24"/>
        </w:rPr>
        <w:t>)</w:t>
      </w:r>
      <w:r>
        <w:rPr>
          <w:rFonts w:hint="eastAsia" w:ascii="Times New Roman" w:hAnsi="Times New Roman" w:eastAsia="宋体" w:cs="Times New Roman"/>
          <w:bCs/>
          <w:color w:val="auto"/>
          <w:sz w:val="24"/>
          <w:szCs w:val="24"/>
        </w:rPr>
        <w:t>筑物均有可靠的防雷电保护措施，防雷电保护系统的设计应符合有关标准规范要求；对输送可燃物料的管道、设备采取可靠的静电接地措施，并控制流速；</w:t>
      </w:r>
    </w:p>
    <w:p w14:paraId="4E87ED7B">
      <w:pPr>
        <w:spacing w:line="360" w:lineRule="auto"/>
        <w:ind w:firstLine="480" w:firstLineChars="200"/>
        <w:rPr>
          <w:rFonts w:ascii="Times New Roman" w:hAnsi="Times New Roman" w:eastAsia="宋体" w:cs="Times New Roman"/>
          <w:bCs/>
          <w:color w:val="auto"/>
          <w:sz w:val="24"/>
          <w:szCs w:val="24"/>
        </w:rPr>
      </w:pPr>
      <w:r>
        <w:rPr>
          <w:rFonts w:hint="eastAsia" w:ascii="Times New Roman" w:hAnsi="Times New Roman" w:eastAsia="宋体" w:cs="Times New Roman"/>
          <w:bCs/>
          <w:color w:val="auto"/>
          <w:sz w:val="24"/>
          <w:szCs w:val="24"/>
        </w:rPr>
        <w:t>（</w:t>
      </w:r>
      <w:r>
        <w:rPr>
          <w:rFonts w:ascii="Times New Roman" w:hAnsi="Times New Roman" w:eastAsia="宋体" w:cs="Times New Roman"/>
          <w:bCs/>
          <w:color w:val="auto"/>
          <w:sz w:val="24"/>
          <w:szCs w:val="24"/>
        </w:rPr>
        <w:t>7</w:t>
      </w:r>
      <w:r>
        <w:rPr>
          <w:rFonts w:hint="eastAsia" w:ascii="Times New Roman" w:hAnsi="Times New Roman" w:eastAsia="宋体" w:cs="Times New Roman"/>
          <w:bCs/>
          <w:color w:val="auto"/>
          <w:sz w:val="24"/>
          <w:szCs w:val="24"/>
        </w:rPr>
        <w:t>）工艺装置内建筑物的柱、梁等按规范要求采取覆盖耐火层等耐火保护措施，使涂有耐火层的钢结构的耐火极限满足规范要求。对火灾爆炸危险区域内可能受到火灾威胁的关键阀门、控制关键设备的仪表、电气电缆均采取有效的耐火保护措施；</w:t>
      </w:r>
    </w:p>
    <w:p w14:paraId="4FAE5CF4">
      <w:pPr>
        <w:spacing w:line="360" w:lineRule="auto"/>
        <w:ind w:firstLine="480" w:firstLineChars="200"/>
        <w:rPr>
          <w:rFonts w:ascii="Times New Roman" w:hAnsi="Times New Roman" w:eastAsia="宋体" w:cs="Times New Roman"/>
          <w:bCs/>
          <w:color w:val="auto"/>
          <w:sz w:val="24"/>
          <w:szCs w:val="24"/>
        </w:rPr>
      </w:pPr>
      <w:r>
        <w:rPr>
          <w:rFonts w:hint="eastAsia" w:ascii="Times New Roman" w:hAnsi="Times New Roman" w:eastAsia="宋体" w:cs="Times New Roman"/>
          <w:bCs/>
          <w:color w:val="auto"/>
          <w:sz w:val="24"/>
          <w:szCs w:val="24"/>
        </w:rPr>
        <w:t>（</w:t>
      </w:r>
      <w:r>
        <w:rPr>
          <w:rFonts w:ascii="Times New Roman" w:hAnsi="Times New Roman" w:eastAsia="宋体" w:cs="Times New Roman"/>
          <w:bCs/>
          <w:color w:val="auto"/>
          <w:sz w:val="24"/>
          <w:szCs w:val="24"/>
        </w:rPr>
        <w:t>8</w:t>
      </w:r>
      <w:r>
        <w:rPr>
          <w:rFonts w:hint="eastAsia" w:ascii="Times New Roman" w:hAnsi="Times New Roman" w:eastAsia="宋体" w:cs="Times New Roman"/>
          <w:bCs/>
          <w:color w:val="auto"/>
          <w:sz w:val="24"/>
          <w:szCs w:val="24"/>
        </w:rPr>
        <w:t>）生产工艺过程中有危险的反应过程，全部设置必要的报警、自动控制及自动连锁停车的控制设施。在生产装置出现紧急情况或发生火灾爆炸事故时，能实现紧急停车。</w:t>
      </w:r>
    </w:p>
    <w:p w14:paraId="6F30CB3D">
      <w:pPr>
        <w:pStyle w:val="4"/>
        <w:spacing w:before="156" w:beforeLines="50" w:after="156" w:afterLines="50"/>
        <w:rPr>
          <w:rFonts w:ascii="Times New Roman" w:hAnsi="Times New Roman"/>
          <w:color w:val="auto"/>
          <w:kern w:val="0"/>
          <w:sz w:val="24"/>
          <w:szCs w:val="24"/>
          <w:lang w:val="zh-CN"/>
        </w:rPr>
      </w:pPr>
      <w:r>
        <w:rPr>
          <w:rFonts w:hint="eastAsia" w:ascii="Times New Roman" w:hAnsi="Times New Roman"/>
          <w:bCs w:val="0"/>
          <w:color w:val="auto"/>
          <w:kern w:val="0"/>
          <w:sz w:val="24"/>
          <w:szCs w:val="24"/>
        </w:rPr>
        <w:t>8</w:t>
      </w:r>
      <w:r>
        <w:rPr>
          <w:rFonts w:ascii="Times New Roman" w:hAnsi="Times New Roman"/>
          <w:bCs w:val="0"/>
          <w:color w:val="auto"/>
          <w:kern w:val="0"/>
          <w:sz w:val="24"/>
          <w:szCs w:val="24"/>
        </w:rPr>
        <w:t>.</w:t>
      </w:r>
      <w:r>
        <w:rPr>
          <w:rFonts w:hint="eastAsia" w:ascii="Times New Roman" w:hAnsi="Times New Roman"/>
          <w:bCs w:val="0"/>
          <w:color w:val="auto"/>
          <w:kern w:val="0"/>
          <w:sz w:val="24"/>
          <w:szCs w:val="24"/>
          <w:lang w:val="en-US" w:eastAsia="zh-CN"/>
        </w:rPr>
        <w:t>6.4</w:t>
      </w:r>
      <w:r>
        <w:rPr>
          <w:rFonts w:hint="eastAsia" w:ascii="Times New Roman" w:hAnsi="Times New Roman"/>
          <w:bCs w:val="0"/>
          <w:color w:val="auto"/>
          <w:kern w:val="0"/>
          <w:sz w:val="24"/>
          <w:szCs w:val="24"/>
        </w:rPr>
        <w:t>电气、电讯环境风险防范措施</w:t>
      </w:r>
    </w:p>
    <w:p w14:paraId="3DF1D1C1">
      <w:pPr>
        <w:spacing w:line="360" w:lineRule="auto"/>
        <w:ind w:firstLine="480" w:firstLineChars="200"/>
        <w:rPr>
          <w:rFonts w:ascii="Times New Roman" w:hAnsi="Times New Roman" w:eastAsia="宋体" w:cs="Times New Roman"/>
          <w:bCs/>
          <w:color w:val="auto"/>
          <w:sz w:val="24"/>
          <w:szCs w:val="24"/>
        </w:rPr>
      </w:pPr>
      <w:r>
        <w:rPr>
          <w:rFonts w:hint="eastAsia" w:ascii="Times New Roman" w:hAnsi="Times New Roman" w:eastAsia="宋体" w:cs="Times New Roman"/>
          <w:bCs/>
          <w:color w:val="auto"/>
          <w:sz w:val="24"/>
          <w:szCs w:val="24"/>
        </w:rPr>
        <w:t>根据车间的不同环境特性，选用防爆、防水的电气设备，并设置防雷、防静电设施和接地保护。</w:t>
      </w:r>
    </w:p>
    <w:p w14:paraId="0108B6DA">
      <w:pPr>
        <w:spacing w:line="360" w:lineRule="auto"/>
        <w:ind w:firstLine="480" w:firstLineChars="200"/>
        <w:rPr>
          <w:rFonts w:ascii="Times New Roman" w:hAnsi="Times New Roman" w:eastAsia="宋体" w:cs="Times New Roman"/>
          <w:bCs/>
          <w:color w:val="auto"/>
          <w:sz w:val="24"/>
          <w:szCs w:val="24"/>
        </w:rPr>
      </w:pPr>
      <w:r>
        <w:rPr>
          <w:rFonts w:hint="eastAsia" w:ascii="Times New Roman" w:hAnsi="Times New Roman" w:eastAsia="宋体" w:cs="Times New Roman"/>
          <w:bCs/>
          <w:color w:val="auto"/>
          <w:sz w:val="24"/>
          <w:szCs w:val="24"/>
        </w:rPr>
        <w:t>供电变压器、配电箱开关等设施外壳，除接零外还应设置可靠的触电保护接地装置及安全围栏，并在现场挂警示标志。配电室必须设置挡鼠板及金属网，以防飞行物、小动物进入室内。地下电缆沟应设支撑架，用沙填埋；电缆使用带钢甲电缆。沿地面或低支架敷设的管道，不应环绕工艺装置四周布置。</w:t>
      </w:r>
    </w:p>
    <w:p w14:paraId="465B8596">
      <w:pPr>
        <w:spacing w:line="360" w:lineRule="auto"/>
        <w:ind w:firstLine="480" w:firstLineChars="200"/>
        <w:rPr>
          <w:rFonts w:ascii="Times New Roman" w:hAnsi="Times New Roman" w:eastAsia="宋体" w:cs="Times New Roman"/>
          <w:bCs/>
          <w:color w:val="auto"/>
          <w:sz w:val="24"/>
          <w:szCs w:val="24"/>
        </w:rPr>
      </w:pPr>
      <w:r>
        <w:rPr>
          <w:rFonts w:hint="eastAsia" w:ascii="Times New Roman" w:hAnsi="Times New Roman" w:eastAsia="宋体" w:cs="Times New Roman"/>
          <w:bCs/>
          <w:color w:val="auto"/>
          <w:sz w:val="24"/>
          <w:szCs w:val="24"/>
        </w:rPr>
        <w:t>在爆炸危险区域内选用防爆型电气、仪表及通信设备；所有可能产生爆炸危险和产生静电的设备及管道均设有防静电接地设施；装置区内建、构筑物的防雷保护按《建筑物防雷设计规范》设计；不同区域的照明设施将根据不同环境特点，选用防爆、防水、防尘或普通型灯具。</w:t>
      </w:r>
    </w:p>
    <w:p w14:paraId="4020B4C5">
      <w:pPr>
        <w:pStyle w:val="4"/>
        <w:spacing w:before="156" w:beforeLines="50" w:after="156" w:afterLines="50"/>
        <w:rPr>
          <w:rFonts w:ascii="Times New Roman" w:hAnsi="Times New Roman"/>
          <w:color w:val="auto"/>
          <w:kern w:val="0"/>
          <w:sz w:val="24"/>
          <w:szCs w:val="24"/>
          <w:lang w:val="zh-CN"/>
        </w:rPr>
      </w:pPr>
      <w:r>
        <w:rPr>
          <w:rFonts w:hint="eastAsia" w:ascii="Times New Roman" w:hAnsi="Times New Roman"/>
          <w:bCs w:val="0"/>
          <w:color w:val="auto"/>
          <w:kern w:val="0"/>
          <w:sz w:val="24"/>
          <w:szCs w:val="24"/>
        </w:rPr>
        <w:t>8</w:t>
      </w:r>
      <w:r>
        <w:rPr>
          <w:rFonts w:ascii="Times New Roman" w:hAnsi="Times New Roman"/>
          <w:bCs w:val="0"/>
          <w:color w:val="auto"/>
          <w:kern w:val="0"/>
          <w:sz w:val="24"/>
          <w:szCs w:val="24"/>
        </w:rPr>
        <w:t>.</w:t>
      </w:r>
      <w:r>
        <w:rPr>
          <w:rFonts w:hint="eastAsia" w:ascii="Times New Roman" w:hAnsi="Times New Roman"/>
          <w:bCs w:val="0"/>
          <w:color w:val="auto"/>
          <w:kern w:val="0"/>
          <w:sz w:val="24"/>
          <w:szCs w:val="24"/>
          <w:lang w:val="en-US" w:eastAsia="zh-CN"/>
        </w:rPr>
        <w:t>6.5</w:t>
      </w:r>
      <w:r>
        <w:rPr>
          <w:rFonts w:hint="eastAsia" w:ascii="Times New Roman" w:hAnsi="Times New Roman"/>
          <w:bCs w:val="0"/>
          <w:color w:val="auto"/>
          <w:kern w:val="0"/>
          <w:sz w:val="24"/>
          <w:szCs w:val="24"/>
        </w:rPr>
        <w:t>火灾环境风险防范措施</w:t>
      </w:r>
    </w:p>
    <w:p w14:paraId="41C3B060">
      <w:pPr>
        <w:spacing w:line="360" w:lineRule="auto"/>
        <w:ind w:firstLine="480" w:firstLineChars="200"/>
        <w:rPr>
          <w:rFonts w:ascii="Times New Roman" w:hAnsi="Times New Roman" w:eastAsia="宋体" w:cs="Times New Roman"/>
          <w:bCs/>
          <w:color w:val="auto"/>
          <w:sz w:val="24"/>
          <w:szCs w:val="24"/>
        </w:rPr>
      </w:pPr>
      <w:r>
        <w:rPr>
          <w:rFonts w:hint="eastAsia" w:ascii="Times New Roman" w:hAnsi="Times New Roman" w:eastAsia="宋体" w:cs="Times New Roman"/>
          <w:bCs/>
          <w:color w:val="auto"/>
          <w:sz w:val="24"/>
          <w:szCs w:val="24"/>
        </w:rPr>
        <w:t>全厂采用电话报警，报警至园区消防大队。根据需要在贮罐区、装置区、控制室、配电室、办公楼设置火灾报警装置。装置及库区的周围设有手动火灾报警按钮，装置内重点部位设有感烟、感温探测器及手动报警按钮等。火灾报警信号报至中心控制室，再由中心控制室报至园区消防大队。</w:t>
      </w:r>
    </w:p>
    <w:p w14:paraId="0B521F4E">
      <w:pPr>
        <w:spacing w:line="360" w:lineRule="auto"/>
        <w:ind w:firstLine="480" w:firstLineChars="200"/>
        <w:rPr>
          <w:rFonts w:ascii="Times New Roman" w:hAnsi="Times New Roman" w:eastAsia="宋体" w:cs="Times New Roman"/>
          <w:bCs/>
          <w:color w:val="auto"/>
          <w:sz w:val="24"/>
          <w:szCs w:val="24"/>
        </w:rPr>
      </w:pPr>
      <w:r>
        <w:rPr>
          <w:rFonts w:hint="eastAsia" w:ascii="Times New Roman" w:hAnsi="Times New Roman" w:eastAsia="宋体" w:cs="Times New Roman"/>
          <w:bCs/>
          <w:color w:val="auto"/>
          <w:sz w:val="24"/>
          <w:szCs w:val="24"/>
        </w:rPr>
        <w:t>为了扑灭初期火灾和小型火灾，本项目在所有建筑物内的必要部位配置建筑灭火器。在生产区、罐区、办公区等建筑物内配置适量</w:t>
      </w:r>
      <w:r>
        <w:rPr>
          <w:rFonts w:ascii="Times New Roman" w:hAnsi="Times New Roman" w:eastAsia="宋体" w:cs="Times New Roman"/>
          <w:bCs/>
          <w:color w:val="auto"/>
          <w:sz w:val="24"/>
          <w:szCs w:val="24"/>
        </w:rPr>
        <w:t>4kg</w:t>
      </w:r>
      <w:r>
        <w:rPr>
          <w:rFonts w:hint="eastAsia" w:ascii="Times New Roman" w:hAnsi="Times New Roman" w:eastAsia="宋体" w:cs="Times New Roman"/>
          <w:bCs/>
          <w:color w:val="auto"/>
          <w:sz w:val="24"/>
          <w:szCs w:val="24"/>
        </w:rPr>
        <w:t>手提式</w:t>
      </w:r>
      <w:r>
        <w:rPr>
          <w:rFonts w:ascii="Times New Roman" w:hAnsi="Times New Roman" w:eastAsia="宋体" w:cs="Times New Roman"/>
          <w:bCs/>
          <w:color w:val="auto"/>
          <w:sz w:val="24"/>
          <w:szCs w:val="24"/>
        </w:rPr>
        <w:t>BC</w:t>
      </w:r>
      <w:r>
        <w:rPr>
          <w:rFonts w:hint="eastAsia" w:ascii="Times New Roman" w:hAnsi="Times New Roman" w:eastAsia="宋体" w:cs="Times New Roman"/>
          <w:bCs/>
          <w:color w:val="auto"/>
          <w:sz w:val="24"/>
          <w:szCs w:val="24"/>
        </w:rPr>
        <w:t>类干粉灭火器和</w:t>
      </w:r>
      <w:r>
        <w:rPr>
          <w:rFonts w:ascii="Times New Roman" w:hAnsi="Times New Roman" w:eastAsia="宋体" w:cs="Times New Roman"/>
          <w:bCs/>
          <w:color w:val="auto"/>
          <w:sz w:val="24"/>
          <w:szCs w:val="24"/>
        </w:rPr>
        <w:t>35kg</w:t>
      </w:r>
      <w:r>
        <w:rPr>
          <w:rFonts w:hint="eastAsia" w:ascii="Times New Roman" w:hAnsi="Times New Roman" w:eastAsia="宋体" w:cs="Times New Roman"/>
          <w:bCs/>
          <w:color w:val="auto"/>
          <w:sz w:val="24"/>
          <w:szCs w:val="24"/>
        </w:rPr>
        <w:t>推车式</w:t>
      </w:r>
      <w:r>
        <w:rPr>
          <w:rFonts w:ascii="Times New Roman" w:hAnsi="Times New Roman" w:eastAsia="宋体" w:cs="Times New Roman"/>
          <w:bCs/>
          <w:color w:val="auto"/>
          <w:sz w:val="24"/>
          <w:szCs w:val="24"/>
        </w:rPr>
        <w:t>BC</w:t>
      </w:r>
      <w:r>
        <w:rPr>
          <w:rFonts w:hint="eastAsia" w:ascii="Times New Roman" w:hAnsi="Times New Roman" w:eastAsia="宋体" w:cs="Times New Roman"/>
          <w:bCs/>
          <w:color w:val="auto"/>
          <w:sz w:val="24"/>
          <w:szCs w:val="24"/>
        </w:rPr>
        <w:t>类干粉灭火器。在仪表</w:t>
      </w:r>
      <w:r>
        <w:rPr>
          <w:rFonts w:ascii="Times New Roman" w:hAnsi="Times New Roman" w:eastAsia="宋体" w:cs="Times New Roman"/>
          <w:bCs/>
          <w:color w:val="auto"/>
          <w:sz w:val="24"/>
          <w:szCs w:val="24"/>
        </w:rPr>
        <w:t>/</w:t>
      </w:r>
      <w:r>
        <w:rPr>
          <w:rFonts w:hint="eastAsia" w:ascii="Times New Roman" w:hAnsi="Times New Roman" w:eastAsia="宋体" w:cs="Times New Roman"/>
          <w:bCs/>
          <w:color w:val="auto"/>
          <w:sz w:val="24"/>
          <w:szCs w:val="24"/>
        </w:rPr>
        <w:t>电气设备房间配置</w:t>
      </w:r>
      <w:r>
        <w:rPr>
          <w:rFonts w:ascii="Times New Roman" w:hAnsi="Times New Roman" w:eastAsia="宋体" w:cs="Times New Roman"/>
          <w:bCs/>
          <w:color w:val="auto"/>
          <w:sz w:val="24"/>
          <w:szCs w:val="24"/>
        </w:rPr>
        <w:t>5kg</w:t>
      </w:r>
      <w:r>
        <w:rPr>
          <w:rFonts w:hint="eastAsia" w:ascii="Times New Roman" w:hAnsi="Times New Roman" w:eastAsia="宋体" w:cs="Times New Roman"/>
          <w:bCs/>
          <w:color w:val="auto"/>
          <w:sz w:val="24"/>
          <w:szCs w:val="24"/>
        </w:rPr>
        <w:t>手提式二氧化碳和</w:t>
      </w:r>
      <w:r>
        <w:rPr>
          <w:rFonts w:ascii="Times New Roman" w:hAnsi="Times New Roman" w:eastAsia="宋体" w:cs="Times New Roman"/>
          <w:bCs/>
          <w:color w:val="auto"/>
          <w:sz w:val="24"/>
          <w:szCs w:val="24"/>
        </w:rPr>
        <w:t>25kg</w:t>
      </w:r>
      <w:r>
        <w:rPr>
          <w:rFonts w:hint="eastAsia" w:ascii="Times New Roman" w:hAnsi="Times New Roman" w:eastAsia="宋体" w:cs="Times New Roman"/>
          <w:bCs/>
          <w:color w:val="auto"/>
          <w:sz w:val="24"/>
          <w:szCs w:val="24"/>
        </w:rPr>
        <w:t>推车式二氧化碳灭火器。</w:t>
      </w:r>
      <w:r>
        <w:rPr>
          <w:rFonts w:ascii="Times New Roman" w:hAnsi="Times New Roman" w:eastAsia="宋体" w:cs="Times New Roman"/>
          <w:bCs/>
          <w:color w:val="auto"/>
          <w:sz w:val="24"/>
          <w:szCs w:val="24"/>
        </w:rPr>
        <w:t>4kgBC</w:t>
      </w:r>
      <w:r>
        <w:rPr>
          <w:rFonts w:hint="eastAsia" w:ascii="Times New Roman" w:hAnsi="Times New Roman" w:eastAsia="宋体" w:cs="Times New Roman"/>
          <w:bCs/>
          <w:color w:val="auto"/>
          <w:sz w:val="24"/>
          <w:szCs w:val="24"/>
        </w:rPr>
        <w:t>类手提式干粉灭火器放置在灭火器箱内。</w:t>
      </w:r>
      <w:r>
        <w:rPr>
          <w:rFonts w:ascii="Times New Roman" w:hAnsi="Times New Roman" w:eastAsia="宋体" w:cs="Times New Roman"/>
          <w:bCs/>
          <w:color w:val="auto"/>
          <w:sz w:val="24"/>
          <w:szCs w:val="24"/>
        </w:rPr>
        <w:t>5kg</w:t>
      </w:r>
      <w:r>
        <w:rPr>
          <w:rFonts w:hint="eastAsia" w:ascii="Times New Roman" w:hAnsi="Times New Roman" w:eastAsia="宋体" w:cs="Times New Roman"/>
          <w:bCs/>
          <w:color w:val="auto"/>
          <w:sz w:val="24"/>
          <w:szCs w:val="24"/>
        </w:rPr>
        <w:t>手提式二氧化碳、</w:t>
      </w:r>
      <w:r>
        <w:rPr>
          <w:rFonts w:ascii="Times New Roman" w:hAnsi="Times New Roman" w:eastAsia="宋体" w:cs="Times New Roman"/>
          <w:bCs/>
          <w:color w:val="auto"/>
          <w:sz w:val="24"/>
          <w:szCs w:val="24"/>
        </w:rPr>
        <w:t>25kg</w:t>
      </w:r>
      <w:r>
        <w:rPr>
          <w:rFonts w:hint="eastAsia" w:ascii="Times New Roman" w:hAnsi="Times New Roman" w:eastAsia="宋体" w:cs="Times New Roman"/>
          <w:bCs/>
          <w:color w:val="auto"/>
          <w:sz w:val="24"/>
          <w:szCs w:val="24"/>
        </w:rPr>
        <w:t>推车式二氧化碳灭火器、</w:t>
      </w:r>
      <w:r>
        <w:rPr>
          <w:rFonts w:ascii="Times New Roman" w:hAnsi="Times New Roman" w:eastAsia="宋体" w:cs="Times New Roman"/>
          <w:bCs/>
          <w:color w:val="auto"/>
          <w:sz w:val="24"/>
          <w:szCs w:val="24"/>
        </w:rPr>
        <w:t>35kgBC</w:t>
      </w:r>
      <w:r>
        <w:rPr>
          <w:rFonts w:hint="eastAsia" w:ascii="Times New Roman" w:hAnsi="Times New Roman" w:eastAsia="宋体" w:cs="Times New Roman"/>
          <w:bCs/>
          <w:color w:val="auto"/>
          <w:sz w:val="24"/>
          <w:szCs w:val="24"/>
        </w:rPr>
        <w:t>类推车式干粉灭火器就地放置。</w:t>
      </w:r>
    </w:p>
    <w:p w14:paraId="6887B14D">
      <w:pPr>
        <w:pStyle w:val="4"/>
        <w:spacing w:before="156" w:beforeLines="50" w:after="156" w:afterLines="50"/>
        <w:rPr>
          <w:rFonts w:ascii="Times New Roman" w:hAnsi="Times New Roman"/>
          <w:color w:val="auto"/>
          <w:kern w:val="0"/>
          <w:sz w:val="24"/>
          <w:szCs w:val="24"/>
          <w:lang w:val="zh-CN"/>
        </w:rPr>
      </w:pPr>
      <w:r>
        <w:rPr>
          <w:rFonts w:hint="eastAsia" w:ascii="Times New Roman" w:hAnsi="Times New Roman"/>
          <w:bCs w:val="0"/>
          <w:color w:val="auto"/>
          <w:kern w:val="0"/>
          <w:sz w:val="24"/>
          <w:szCs w:val="24"/>
        </w:rPr>
        <w:t>8</w:t>
      </w:r>
      <w:r>
        <w:rPr>
          <w:rFonts w:hint="eastAsia" w:ascii="Times New Roman" w:hAnsi="Times New Roman"/>
          <w:bCs w:val="0"/>
          <w:color w:val="auto"/>
          <w:kern w:val="0"/>
          <w:sz w:val="24"/>
          <w:szCs w:val="24"/>
          <w:lang w:val="en-US" w:eastAsia="zh-CN"/>
        </w:rPr>
        <w:t>.6.6</w:t>
      </w:r>
      <w:r>
        <w:rPr>
          <w:rFonts w:hint="eastAsia" w:ascii="Times New Roman" w:hAnsi="Times New Roman"/>
          <w:bCs w:val="0"/>
          <w:color w:val="auto"/>
          <w:kern w:val="0"/>
          <w:sz w:val="24"/>
          <w:szCs w:val="24"/>
        </w:rPr>
        <w:t>物质泄露风险防范措施</w:t>
      </w:r>
    </w:p>
    <w:p w14:paraId="38A9B921">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（1）对装置、储罐的管道、阀门、法兰等接口处，要定期或不定期的巡回检查，一旦发现泄漏，应及时上报有关部门，并立即组织抢修。</w:t>
      </w:r>
    </w:p>
    <w:p w14:paraId="622FFEE1">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（2）进一步完善废气处理装置，保障装置的正常运行。</w:t>
      </w:r>
    </w:p>
    <w:p w14:paraId="6651DA0C">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（3）根据泄漏事故的影响范围预测结果，在配套安全生产防护措施时，应按最大安全半径和最短人群疏散时间进行设计。</w:t>
      </w:r>
    </w:p>
    <w:p w14:paraId="6D26F62B">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4）建立和完善控制系统，当过程控制参数越限时，控制系统发出声光报警，提醒操作人员注意。对于重要工艺参数设立连锁停车装置，当连锁发生时，除系统内部发出声光报警外，控制室设置外部声光报警连锁台柜，同时发出声光报警。</w:t>
      </w:r>
    </w:p>
    <w:p w14:paraId="0ABEBA79">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（5）在厂区易泄漏的操作岗位，设置监测报警器，以便泄漏时迅速处理，防止意外泄漏事故的发生。</w:t>
      </w:r>
    </w:p>
    <w:p w14:paraId="52046855">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（6）在出现大面积物料泄漏时，组织水枪外围喷淋，稀释废气，减少扩散，同时组织疏散，减少伤害。</w:t>
      </w:r>
    </w:p>
    <w:p w14:paraId="5352DD19">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（7）作业场所根据作业特点及防护标准配备急救箱。</w:t>
      </w:r>
    </w:p>
    <w:p w14:paraId="7DC4ACB6">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（8）按规定配备防毒面具、氧呼吸器、防护镜、安全帽、防护服等个人防护用品。</w:t>
      </w:r>
    </w:p>
    <w:p w14:paraId="7D22BB33">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（9）在生产区完善有毒介质检测仪的布置，并设超限报警，根据泄漏检测从控制室遥控，使装置自动停车或进行应急处理，以确保生产安全和操作人员身体健康。</w:t>
      </w:r>
    </w:p>
    <w:p w14:paraId="387481BF">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（10）厂区管线架设需采取明管，不得采用暗管、沟渠的方式。</w:t>
      </w:r>
    </w:p>
    <w:p w14:paraId="68A25DB7">
      <w:pPr>
        <w:pStyle w:val="4"/>
        <w:spacing w:before="156" w:beforeLines="50" w:after="156" w:afterLines="50"/>
        <w:rPr>
          <w:rFonts w:ascii="Times New Roman" w:hAnsi="Times New Roman"/>
          <w:color w:val="auto"/>
          <w:kern w:val="0"/>
          <w:sz w:val="24"/>
          <w:szCs w:val="24"/>
          <w:lang w:val="zh-CN"/>
        </w:rPr>
      </w:pPr>
      <w:r>
        <w:rPr>
          <w:rFonts w:hint="eastAsia" w:ascii="Times New Roman" w:hAnsi="Times New Roman"/>
          <w:bCs w:val="0"/>
          <w:color w:val="auto"/>
          <w:kern w:val="0"/>
          <w:sz w:val="24"/>
          <w:szCs w:val="24"/>
        </w:rPr>
        <w:t>8</w:t>
      </w:r>
      <w:r>
        <w:rPr>
          <w:rFonts w:ascii="Times New Roman" w:hAnsi="Times New Roman"/>
          <w:bCs w:val="0"/>
          <w:color w:val="auto"/>
          <w:kern w:val="0"/>
          <w:sz w:val="24"/>
          <w:szCs w:val="24"/>
        </w:rPr>
        <w:t>.</w:t>
      </w:r>
      <w:r>
        <w:rPr>
          <w:rFonts w:hint="eastAsia" w:ascii="Times New Roman" w:hAnsi="Times New Roman"/>
          <w:bCs w:val="0"/>
          <w:color w:val="auto"/>
          <w:kern w:val="0"/>
          <w:sz w:val="24"/>
          <w:szCs w:val="24"/>
          <w:lang w:val="en-US" w:eastAsia="zh-CN"/>
        </w:rPr>
        <w:t>6.7</w:t>
      </w:r>
      <w:r>
        <w:rPr>
          <w:rFonts w:hint="eastAsia" w:ascii="Times New Roman" w:hAnsi="Times New Roman"/>
          <w:bCs w:val="0"/>
          <w:color w:val="auto"/>
          <w:kern w:val="0"/>
          <w:sz w:val="24"/>
          <w:szCs w:val="24"/>
        </w:rPr>
        <w:t>地下水风险防范措施</w:t>
      </w:r>
    </w:p>
    <w:p w14:paraId="37F233CF">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针对项目可能发生的地下水污染，地下水污染防治措施按照“源头控制、分区防治、污染监控、应急响应”相结合的原则，从污染物的产生、入渗、扩散、应急响应全阶段进行控制。</w:t>
      </w:r>
    </w:p>
    <w:p w14:paraId="61BA6F7A">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地下水环境风险防范措施内容见报告书地下水评价章节。</w:t>
      </w:r>
    </w:p>
    <w:p w14:paraId="48538F02">
      <w:pPr>
        <w:pStyle w:val="4"/>
        <w:spacing w:before="156" w:beforeLines="50" w:after="156" w:afterLines="50"/>
        <w:rPr>
          <w:rFonts w:ascii="Times New Roman" w:hAnsi="Times New Roman"/>
          <w:color w:val="auto"/>
          <w:kern w:val="0"/>
          <w:sz w:val="24"/>
          <w:szCs w:val="24"/>
          <w:lang w:val="zh-CN"/>
        </w:rPr>
      </w:pPr>
      <w:r>
        <w:rPr>
          <w:rFonts w:hint="eastAsia" w:ascii="Times New Roman" w:hAnsi="Times New Roman"/>
          <w:bCs w:val="0"/>
          <w:color w:val="auto"/>
          <w:kern w:val="0"/>
          <w:sz w:val="24"/>
          <w:szCs w:val="24"/>
        </w:rPr>
        <w:t>8</w:t>
      </w:r>
      <w:r>
        <w:rPr>
          <w:rFonts w:ascii="Times New Roman" w:hAnsi="Times New Roman"/>
          <w:bCs w:val="0"/>
          <w:color w:val="auto"/>
          <w:kern w:val="0"/>
          <w:sz w:val="24"/>
          <w:szCs w:val="24"/>
        </w:rPr>
        <w:t>.</w:t>
      </w:r>
      <w:r>
        <w:rPr>
          <w:rFonts w:hint="eastAsia" w:ascii="Times New Roman" w:hAnsi="Times New Roman"/>
          <w:bCs w:val="0"/>
          <w:color w:val="auto"/>
          <w:kern w:val="0"/>
          <w:sz w:val="24"/>
          <w:szCs w:val="24"/>
          <w:lang w:val="en-US" w:eastAsia="zh-CN"/>
        </w:rPr>
        <w:t>6.</w:t>
      </w:r>
      <w:r>
        <w:rPr>
          <w:rFonts w:hint="eastAsia" w:ascii="Times New Roman" w:hAnsi="Times New Roman"/>
          <w:bCs w:val="0"/>
          <w:color w:val="auto"/>
          <w:kern w:val="0"/>
          <w:sz w:val="24"/>
          <w:szCs w:val="24"/>
        </w:rPr>
        <w:t>8建立对接、联动的风险防范体系</w:t>
      </w:r>
    </w:p>
    <w:p w14:paraId="48A22AF3">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本项目位于津市高新技术产业开发区内，企业环境风险防范应建立园区、周边企业、政府部门对接、联动的风险防范体系。可从以下几个方面进行建设：</w:t>
      </w:r>
    </w:p>
    <w:p w14:paraId="10568359">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1、公司应建立厂内各反应车间的联动体系，并在预案中予以体现。一旦某车间发生燃爆等事故，相邻车间乃至全厂可根据事故发生的性质、大小，决定是否需要立即停产，是否需要切断污染源、风险源，防止造成连锁反应，甚至多米诺骨牌效应。</w:t>
      </w:r>
    </w:p>
    <w:p w14:paraId="61F9A35B">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2、公司所使用的危险化学品种类及数量应及时上报园区救援中心，并将可能发生的事故类型及对应的救援方案纳入园区风险管理体系。</w:t>
      </w:r>
    </w:p>
    <w:p w14:paraId="40FCB279">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3、建设畅通的信息通道，使公司应急指挥部必须与园区、周边企业、周边村委会、镇人民政府保持24小时的电话联系。一旦发生风险事故，可在第一时间通知相关单位组织居民疏散、撤离。</w:t>
      </w:r>
    </w:p>
    <w:p w14:paraId="3957B2AF">
      <w:pPr>
        <w:pStyle w:val="4"/>
        <w:spacing w:before="156" w:beforeLines="50" w:after="156" w:afterLines="50"/>
        <w:rPr>
          <w:rFonts w:ascii="Times New Roman" w:hAnsi="Times New Roman"/>
          <w:color w:val="auto"/>
          <w:kern w:val="0"/>
          <w:sz w:val="24"/>
          <w:szCs w:val="24"/>
          <w:u w:val="none"/>
          <w:lang w:val="zh-CN"/>
        </w:rPr>
      </w:pPr>
      <w:r>
        <w:rPr>
          <w:rFonts w:hint="eastAsia" w:ascii="Times New Roman" w:hAnsi="Times New Roman"/>
          <w:bCs w:val="0"/>
          <w:color w:val="auto"/>
          <w:kern w:val="0"/>
          <w:sz w:val="24"/>
          <w:szCs w:val="24"/>
          <w:u w:val="none"/>
        </w:rPr>
        <w:t>8</w:t>
      </w:r>
      <w:r>
        <w:rPr>
          <w:rFonts w:ascii="Times New Roman" w:hAnsi="Times New Roman"/>
          <w:bCs w:val="0"/>
          <w:color w:val="auto"/>
          <w:kern w:val="0"/>
          <w:sz w:val="24"/>
          <w:szCs w:val="24"/>
          <w:u w:val="none"/>
        </w:rPr>
        <w:t>.</w:t>
      </w:r>
      <w:r>
        <w:rPr>
          <w:rFonts w:hint="eastAsia" w:ascii="Times New Roman" w:hAnsi="Times New Roman"/>
          <w:bCs w:val="0"/>
          <w:color w:val="auto"/>
          <w:kern w:val="0"/>
          <w:sz w:val="24"/>
          <w:szCs w:val="24"/>
          <w:u w:val="none"/>
          <w:lang w:val="en-US" w:eastAsia="zh-CN"/>
        </w:rPr>
        <w:t>6.9</w:t>
      </w:r>
      <w:r>
        <w:rPr>
          <w:rFonts w:hint="eastAsia" w:ascii="Times New Roman" w:hAnsi="Times New Roman"/>
          <w:bCs w:val="0"/>
          <w:color w:val="auto"/>
          <w:kern w:val="0"/>
          <w:sz w:val="24"/>
          <w:szCs w:val="24"/>
          <w:u w:val="none"/>
        </w:rPr>
        <w:t>事故应急池</w:t>
      </w:r>
    </w:p>
    <w:p w14:paraId="746EBE89">
      <w:pPr>
        <w:spacing w:line="360" w:lineRule="auto"/>
        <w:ind w:firstLine="480" w:firstLineChars="200"/>
        <w:rPr>
          <w:rFonts w:ascii="Times New Roman" w:hAnsi="Times New Roman" w:eastAsia="宋体" w:cs="Times New Roman"/>
          <w:color w:val="auto"/>
          <w:sz w:val="24"/>
          <w:szCs w:val="24"/>
          <w:u w:val="none"/>
        </w:rPr>
      </w:pPr>
      <w:r>
        <w:rPr>
          <w:rFonts w:ascii="Times New Roman" w:hAnsi="Times New Roman" w:eastAsia="宋体" w:cs="Times New Roman"/>
          <w:color w:val="auto"/>
          <w:sz w:val="24"/>
          <w:szCs w:val="24"/>
          <w:u w:val="none"/>
        </w:rPr>
        <w:t>参照《水体污染防控紧急措施设计导则》，应急事故废水最大量的确定采用公式法计算，具体算法如下：</w:t>
      </w:r>
    </w:p>
    <w:p w14:paraId="57907B3D">
      <w:pPr>
        <w:spacing w:line="360" w:lineRule="auto"/>
        <w:ind w:firstLine="480" w:firstLineChars="200"/>
        <w:rPr>
          <w:rFonts w:ascii="Times New Roman" w:hAnsi="Times New Roman" w:eastAsia="宋体" w:cs="Times New Roman"/>
          <w:color w:val="auto"/>
          <w:sz w:val="24"/>
          <w:szCs w:val="24"/>
          <w:u w:val="none"/>
        </w:rPr>
      </w:pPr>
      <w:r>
        <w:rPr>
          <w:rFonts w:ascii="Times New Roman" w:hAnsi="Times New Roman" w:eastAsia="宋体" w:cs="Times New Roman"/>
          <w:color w:val="auto"/>
          <w:sz w:val="24"/>
          <w:szCs w:val="24"/>
          <w:u w:val="none"/>
        </w:rPr>
        <w:t>V</w:t>
      </w:r>
      <w:r>
        <w:rPr>
          <w:rFonts w:ascii="Times New Roman" w:hAnsi="Times New Roman" w:eastAsia="宋体" w:cs="Times New Roman"/>
          <w:color w:val="auto"/>
          <w:sz w:val="24"/>
          <w:szCs w:val="24"/>
          <w:u w:val="none"/>
          <w:vertAlign w:val="subscript"/>
        </w:rPr>
        <w:t>总</w:t>
      </w:r>
      <w:r>
        <w:rPr>
          <w:rFonts w:ascii="Times New Roman" w:hAnsi="Times New Roman" w:eastAsia="宋体" w:cs="Times New Roman"/>
          <w:color w:val="auto"/>
          <w:sz w:val="24"/>
          <w:szCs w:val="24"/>
          <w:u w:val="none"/>
        </w:rPr>
        <w:t>=(V</w:t>
      </w:r>
      <w:r>
        <w:rPr>
          <w:rFonts w:ascii="Times New Roman" w:hAnsi="Times New Roman" w:eastAsia="宋体" w:cs="Times New Roman"/>
          <w:color w:val="auto"/>
          <w:sz w:val="24"/>
          <w:szCs w:val="24"/>
          <w:u w:val="none"/>
          <w:vertAlign w:val="subscript"/>
        </w:rPr>
        <w:t>1</w:t>
      </w:r>
      <w:r>
        <w:rPr>
          <w:rFonts w:ascii="Times New Roman" w:hAnsi="Times New Roman" w:eastAsia="宋体" w:cs="Times New Roman"/>
          <w:color w:val="auto"/>
          <w:sz w:val="24"/>
          <w:szCs w:val="24"/>
          <w:u w:val="none"/>
        </w:rPr>
        <w:t>＋V</w:t>
      </w:r>
      <w:r>
        <w:rPr>
          <w:rFonts w:ascii="Times New Roman" w:hAnsi="Times New Roman" w:eastAsia="宋体" w:cs="Times New Roman"/>
          <w:color w:val="auto"/>
          <w:sz w:val="24"/>
          <w:szCs w:val="24"/>
          <w:u w:val="none"/>
          <w:vertAlign w:val="subscript"/>
        </w:rPr>
        <w:t>2</w:t>
      </w:r>
      <w:r>
        <w:rPr>
          <w:rFonts w:ascii="Times New Roman" w:hAnsi="Times New Roman" w:eastAsia="宋体" w:cs="Times New Roman"/>
          <w:color w:val="auto"/>
          <w:sz w:val="24"/>
          <w:szCs w:val="24"/>
          <w:u w:val="none"/>
        </w:rPr>
        <w:t>-V</w:t>
      </w:r>
      <w:r>
        <w:rPr>
          <w:rFonts w:ascii="Times New Roman" w:hAnsi="Times New Roman" w:eastAsia="宋体" w:cs="Times New Roman"/>
          <w:color w:val="auto"/>
          <w:sz w:val="24"/>
          <w:szCs w:val="24"/>
          <w:u w:val="none"/>
          <w:vertAlign w:val="subscript"/>
        </w:rPr>
        <w:t>3</w:t>
      </w:r>
      <w:r>
        <w:rPr>
          <w:rFonts w:ascii="Times New Roman" w:hAnsi="Times New Roman" w:eastAsia="宋体" w:cs="Times New Roman"/>
          <w:color w:val="auto"/>
          <w:sz w:val="24"/>
          <w:szCs w:val="24"/>
          <w:u w:val="none"/>
        </w:rPr>
        <w:t>)</w:t>
      </w:r>
      <w:r>
        <w:rPr>
          <w:rFonts w:ascii="Times New Roman" w:hAnsi="Times New Roman" w:eastAsia="宋体" w:cs="Times New Roman"/>
          <w:color w:val="auto"/>
          <w:sz w:val="24"/>
          <w:szCs w:val="24"/>
          <w:u w:val="none"/>
          <w:vertAlign w:val="subscript"/>
        </w:rPr>
        <w:t>max</w:t>
      </w:r>
      <w:r>
        <w:rPr>
          <w:rFonts w:ascii="Times New Roman" w:hAnsi="Times New Roman" w:eastAsia="宋体" w:cs="Times New Roman"/>
          <w:color w:val="auto"/>
          <w:sz w:val="24"/>
          <w:szCs w:val="24"/>
          <w:u w:val="none"/>
        </w:rPr>
        <w:t>+V</w:t>
      </w:r>
      <w:r>
        <w:rPr>
          <w:rFonts w:ascii="Times New Roman" w:hAnsi="Times New Roman" w:eastAsia="宋体" w:cs="Times New Roman"/>
          <w:color w:val="auto"/>
          <w:sz w:val="24"/>
          <w:szCs w:val="24"/>
          <w:u w:val="none"/>
          <w:vertAlign w:val="subscript"/>
        </w:rPr>
        <w:t>4</w:t>
      </w:r>
      <w:r>
        <w:rPr>
          <w:rFonts w:ascii="Times New Roman" w:hAnsi="Times New Roman" w:eastAsia="宋体" w:cs="Times New Roman"/>
          <w:color w:val="auto"/>
          <w:sz w:val="24"/>
          <w:szCs w:val="24"/>
          <w:u w:val="none"/>
        </w:rPr>
        <w:t>+V</w:t>
      </w:r>
      <w:r>
        <w:rPr>
          <w:rFonts w:ascii="Times New Roman" w:hAnsi="Times New Roman" w:eastAsia="宋体" w:cs="Times New Roman"/>
          <w:color w:val="auto"/>
          <w:sz w:val="24"/>
          <w:szCs w:val="24"/>
          <w:u w:val="none"/>
          <w:vertAlign w:val="subscript"/>
        </w:rPr>
        <w:t>5</w:t>
      </w:r>
    </w:p>
    <w:p w14:paraId="5CD4BB89">
      <w:pPr>
        <w:spacing w:line="360" w:lineRule="auto"/>
        <w:ind w:firstLine="480" w:firstLineChars="200"/>
        <w:rPr>
          <w:rFonts w:ascii="Times New Roman" w:hAnsi="Times New Roman" w:eastAsia="宋体" w:cs="Times New Roman"/>
          <w:color w:val="auto"/>
          <w:sz w:val="24"/>
          <w:szCs w:val="24"/>
          <w:u w:val="none"/>
        </w:rPr>
      </w:pPr>
      <w:r>
        <w:rPr>
          <w:rFonts w:ascii="Times New Roman" w:hAnsi="Times New Roman" w:eastAsia="宋体" w:cs="Times New Roman"/>
          <w:color w:val="auto"/>
          <w:sz w:val="24"/>
          <w:szCs w:val="24"/>
          <w:u w:val="none"/>
        </w:rPr>
        <w:t>注：(V</w:t>
      </w:r>
      <w:r>
        <w:rPr>
          <w:rFonts w:ascii="Times New Roman" w:hAnsi="Times New Roman" w:eastAsia="宋体" w:cs="Times New Roman"/>
          <w:color w:val="auto"/>
          <w:sz w:val="24"/>
          <w:szCs w:val="24"/>
          <w:u w:val="none"/>
          <w:vertAlign w:val="subscript"/>
        </w:rPr>
        <w:t>1</w:t>
      </w:r>
      <w:r>
        <w:rPr>
          <w:rFonts w:ascii="Times New Roman" w:hAnsi="Times New Roman" w:eastAsia="宋体" w:cs="Times New Roman"/>
          <w:color w:val="auto"/>
          <w:sz w:val="24"/>
          <w:szCs w:val="24"/>
          <w:u w:val="none"/>
        </w:rPr>
        <w:t>＋V</w:t>
      </w:r>
      <w:r>
        <w:rPr>
          <w:rFonts w:ascii="Times New Roman" w:hAnsi="Times New Roman" w:eastAsia="宋体" w:cs="Times New Roman"/>
          <w:color w:val="auto"/>
          <w:sz w:val="24"/>
          <w:szCs w:val="24"/>
          <w:u w:val="none"/>
          <w:vertAlign w:val="subscript"/>
        </w:rPr>
        <w:t>2</w:t>
      </w:r>
      <w:r>
        <w:rPr>
          <w:rFonts w:ascii="Times New Roman" w:hAnsi="Times New Roman" w:eastAsia="宋体" w:cs="Times New Roman"/>
          <w:color w:val="auto"/>
          <w:sz w:val="24"/>
          <w:szCs w:val="24"/>
          <w:u w:val="none"/>
        </w:rPr>
        <w:t>-V</w:t>
      </w:r>
      <w:r>
        <w:rPr>
          <w:rFonts w:ascii="Times New Roman" w:hAnsi="Times New Roman" w:eastAsia="宋体" w:cs="Times New Roman"/>
          <w:color w:val="auto"/>
          <w:sz w:val="24"/>
          <w:szCs w:val="24"/>
          <w:u w:val="none"/>
          <w:vertAlign w:val="subscript"/>
        </w:rPr>
        <w:t>3</w:t>
      </w:r>
      <w:r>
        <w:rPr>
          <w:rFonts w:ascii="Times New Roman" w:hAnsi="Times New Roman" w:eastAsia="宋体" w:cs="Times New Roman"/>
          <w:color w:val="auto"/>
          <w:sz w:val="24"/>
          <w:szCs w:val="24"/>
          <w:u w:val="none"/>
        </w:rPr>
        <w:t>)max是指对收集系统范围内不同罐组或装置分别计算V</w:t>
      </w:r>
      <w:r>
        <w:rPr>
          <w:rFonts w:ascii="Times New Roman" w:hAnsi="Times New Roman" w:eastAsia="宋体" w:cs="Times New Roman"/>
          <w:color w:val="auto"/>
          <w:sz w:val="24"/>
          <w:szCs w:val="24"/>
          <w:u w:val="none"/>
          <w:vertAlign w:val="subscript"/>
        </w:rPr>
        <w:t>1</w:t>
      </w:r>
      <w:r>
        <w:rPr>
          <w:rFonts w:ascii="Times New Roman" w:hAnsi="Times New Roman" w:eastAsia="宋体" w:cs="Times New Roman"/>
          <w:color w:val="auto"/>
          <w:sz w:val="24"/>
          <w:szCs w:val="24"/>
          <w:u w:val="none"/>
        </w:rPr>
        <w:t>＋V</w:t>
      </w:r>
      <w:r>
        <w:rPr>
          <w:rFonts w:ascii="Times New Roman" w:hAnsi="Times New Roman" w:eastAsia="宋体" w:cs="Times New Roman"/>
          <w:color w:val="auto"/>
          <w:sz w:val="24"/>
          <w:szCs w:val="24"/>
          <w:u w:val="none"/>
          <w:vertAlign w:val="subscript"/>
        </w:rPr>
        <w:t>2</w:t>
      </w:r>
      <w:r>
        <w:rPr>
          <w:rFonts w:ascii="Times New Roman" w:hAnsi="Times New Roman" w:eastAsia="宋体" w:cs="Times New Roman"/>
          <w:color w:val="auto"/>
          <w:sz w:val="24"/>
          <w:szCs w:val="24"/>
          <w:u w:val="none"/>
        </w:rPr>
        <w:t>-V</w:t>
      </w:r>
      <w:r>
        <w:rPr>
          <w:rFonts w:ascii="Times New Roman" w:hAnsi="Times New Roman" w:eastAsia="宋体" w:cs="Times New Roman"/>
          <w:color w:val="auto"/>
          <w:sz w:val="24"/>
          <w:szCs w:val="24"/>
          <w:u w:val="none"/>
          <w:vertAlign w:val="subscript"/>
        </w:rPr>
        <w:t>3</w:t>
      </w:r>
      <w:r>
        <w:rPr>
          <w:rFonts w:ascii="Times New Roman" w:hAnsi="Times New Roman" w:eastAsia="宋体" w:cs="Times New Roman"/>
          <w:color w:val="auto"/>
          <w:sz w:val="24"/>
          <w:szCs w:val="24"/>
          <w:u w:val="none"/>
        </w:rPr>
        <w:t>，取其中最大值。</w:t>
      </w:r>
    </w:p>
    <w:p w14:paraId="682B5195">
      <w:pPr>
        <w:spacing w:line="360" w:lineRule="auto"/>
        <w:ind w:firstLine="480" w:firstLineChars="200"/>
        <w:rPr>
          <w:rFonts w:ascii="Times New Roman" w:hAnsi="Times New Roman" w:eastAsia="宋体" w:cs="Times New Roman"/>
          <w:color w:val="auto"/>
          <w:sz w:val="24"/>
          <w:szCs w:val="24"/>
          <w:u w:val="none"/>
        </w:rPr>
      </w:pPr>
      <w:r>
        <w:rPr>
          <w:rFonts w:ascii="Times New Roman" w:hAnsi="Times New Roman" w:eastAsia="宋体" w:cs="Times New Roman"/>
          <w:color w:val="auto"/>
          <w:sz w:val="24"/>
          <w:szCs w:val="24"/>
          <w:u w:val="none"/>
        </w:rPr>
        <w:t>式中：</w:t>
      </w:r>
    </w:p>
    <w:p w14:paraId="60E5A0A9">
      <w:pPr>
        <w:spacing w:line="360" w:lineRule="auto"/>
        <w:ind w:firstLine="480" w:firstLineChars="200"/>
        <w:rPr>
          <w:rFonts w:ascii="Times New Roman" w:hAnsi="Times New Roman" w:eastAsia="宋体" w:cs="Times New Roman"/>
          <w:color w:val="auto"/>
          <w:sz w:val="24"/>
          <w:szCs w:val="24"/>
          <w:u w:val="none"/>
        </w:rPr>
      </w:pPr>
      <w:r>
        <w:rPr>
          <w:rFonts w:ascii="Times New Roman" w:hAnsi="Times New Roman" w:eastAsia="宋体" w:cs="Times New Roman"/>
          <w:color w:val="auto"/>
          <w:sz w:val="24"/>
          <w:szCs w:val="24"/>
          <w:u w:val="none"/>
        </w:rPr>
        <w:t>V</w:t>
      </w:r>
      <w:r>
        <w:rPr>
          <w:rFonts w:ascii="Times New Roman" w:hAnsi="Times New Roman" w:eastAsia="宋体" w:cs="Times New Roman"/>
          <w:color w:val="auto"/>
          <w:sz w:val="24"/>
          <w:szCs w:val="24"/>
          <w:u w:val="none"/>
          <w:vertAlign w:val="subscript"/>
        </w:rPr>
        <w:t>1</w:t>
      </w:r>
      <w:r>
        <w:rPr>
          <w:rFonts w:ascii="Times New Roman" w:hAnsi="Times New Roman" w:eastAsia="宋体" w:cs="Times New Roman"/>
          <w:color w:val="auto"/>
          <w:sz w:val="24"/>
          <w:szCs w:val="24"/>
          <w:u w:val="none"/>
        </w:rPr>
        <w:t>——收集系统范围内发生事故的储罐或装置的物料量，</w:t>
      </w:r>
      <w:r>
        <w:rPr>
          <w:rFonts w:hint="eastAsia" w:ascii="Times New Roman" w:hAnsi="Times New Roman" w:eastAsia="宋体" w:cs="Times New Roman"/>
          <w:color w:val="auto"/>
          <w:sz w:val="24"/>
          <w:szCs w:val="24"/>
          <w:u w:val="none"/>
          <w:lang w:eastAsia="zh-CN"/>
        </w:rPr>
        <w:t>m</w:t>
      </w:r>
      <w:r>
        <w:rPr>
          <w:rFonts w:hint="eastAsia" w:ascii="Times New Roman" w:hAnsi="Times New Roman" w:eastAsia="宋体" w:cs="Times New Roman"/>
          <w:color w:val="auto"/>
          <w:sz w:val="24"/>
          <w:szCs w:val="24"/>
          <w:u w:val="none"/>
          <w:vertAlign w:val="superscript"/>
          <w:lang w:eastAsia="zh-CN"/>
        </w:rPr>
        <w:t>3</w:t>
      </w:r>
      <w:r>
        <w:rPr>
          <w:rFonts w:ascii="Times New Roman" w:hAnsi="Times New Roman" w:eastAsia="宋体" w:cs="Times New Roman"/>
          <w:color w:val="auto"/>
          <w:sz w:val="24"/>
          <w:szCs w:val="24"/>
          <w:u w:val="none"/>
        </w:rPr>
        <w:t>；</w:t>
      </w:r>
    </w:p>
    <w:p w14:paraId="645163EF">
      <w:pPr>
        <w:spacing w:line="360" w:lineRule="auto"/>
        <w:ind w:firstLine="480" w:firstLineChars="200"/>
        <w:rPr>
          <w:rFonts w:ascii="Times New Roman" w:hAnsi="Times New Roman" w:eastAsia="宋体" w:cs="Times New Roman"/>
          <w:color w:val="auto"/>
          <w:sz w:val="24"/>
          <w:szCs w:val="24"/>
          <w:u w:val="none"/>
        </w:rPr>
      </w:pPr>
      <w:r>
        <w:rPr>
          <w:rFonts w:ascii="Times New Roman" w:hAnsi="Times New Roman" w:eastAsia="宋体" w:cs="Times New Roman"/>
          <w:color w:val="auto"/>
          <w:sz w:val="24"/>
          <w:szCs w:val="24"/>
          <w:u w:val="none"/>
        </w:rPr>
        <w:t>V</w:t>
      </w:r>
      <w:r>
        <w:rPr>
          <w:rFonts w:ascii="Times New Roman" w:hAnsi="Times New Roman" w:eastAsia="宋体" w:cs="Times New Roman"/>
          <w:color w:val="auto"/>
          <w:sz w:val="24"/>
          <w:szCs w:val="24"/>
          <w:u w:val="none"/>
          <w:vertAlign w:val="subscript"/>
        </w:rPr>
        <w:t>2</w:t>
      </w:r>
      <w:r>
        <w:rPr>
          <w:rFonts w:ascii="Times New Roman" w:hAnsi="Times New Roman" w:eastAsia="宋体" w:cs="Times New Roman"/>
          <w:color w:val="auto"/>
          <w:sz w:val="24"/>
          <w:szCs w:val="24"/>
          <w:u w:val="none"/>
        </w:rPr>
        <w:t>——发生事故的储罐或装置的消防水量，</w:t>
      </w:r>
      <w:r>
        <w:rPr>
          <w:rFonts w:hint="eastAsia" w:ascii="Times New Roman" w:hAnsi="Times New Roman" w:eastAsia="宋体" w:cs="Times New Roman"/>
          <w:color w:val="auto"/>
          <w:sz w:val="24"/>
          <w:szCs w:val="24"/>
          <w:u w:val="none"/>
          <w:lang w:eastAsia="zh-CN"/>
        </w:rPr>
        <w:t>m</w:t>
      </w:r>
      <w:r>
        <w:rPr>
          <w:rFonts w:hint="eastAsia" w:ascii="Times New Roman" w:hAnsi="Times New Roman" w:eastAsia="宋体" w:cs="Times New Roman"/>
          <w:color w:val="auto"/>
          <w:sz w:val="24"/>
          <w:szCs w:val="24"/>
          <w:u w:val="none"/>
          <w:vertAlign w:val="superscript"/>
          <w:lang w:eastAsia="zh-CN"/>
        </w:rPr>
        <w:t>3</w:t>
      </w:r>
      <w:r>
        <w:rPr>
          <w:rFonts w:ascii="Times New Roman" w:hAnsi="Times New Roman" w:eastAsia="宋体" w:cs="Times New Roman"/>
          <w:color w:val="auto"/>
          <w:sz w:val="24"/>
          <w:szCs w:val="24"/>
          <w:u w:val="none"/>
        </w:rPr>
        <w:t xml:space="preserve">； </w:t>
      </w:r>
    </w:p>
    <w:p w14:paraId="2173C149">
      <w:pPr>
        <w:spacing w:line="360" w:lineRule="auto"/>
        <w:ind w:firstLine="480" w:firstLineChars="200"/>
        <w:rPr>
          <w:rFonts w:ascii="Times New Roman" w:hAnsi="Times New Roman" w:eastAsia="宋体" w:cs="Times New Roman"/>
          <w:color w:val="auto"/>
          <w:sz w:val="24"/>
          <w:szCs w:val="24"/>
          <w:u w:val="none"/>
        </w:rPr>
      </w:pPr>
      <w:r>
        <w:rPr>
          <w:rFonts w:ascii="Times New Roman" w:hAnsi="Times New Roman" w:eastAsia="宋体" w:cs="Times New Roman"/>
          <w:color w:val="auto"/>
          <w:sz w:val="24"/>
          <w:szCs w:val="24"/>
          <w:u w:val="none"/>
        </w:rPr>
        <w:t>V</w:t>
      </w:r>
      <w:r>
        <w:rPr>
          <w:rFonts w:ascii="Times New Roman" w:hAnsi="Times New Roman" w:eastAsia="宋体" w:cs="Times New Roman"/>
          <w:color w:val="auto"/>
          <w:sz w:val="24"/>
          <w:szCs w:val="24"/>
          <w:u w:val="none"/>
          <w:vertAlign w:val="subscript"/>
        </w:rPr>
        <w:t>3</w:t>
      </w:r>
      <w:r>
        <w:rPr>
          <w:rFonts w:ascii="Times New Roman" w:hAnsi="Times New Roman" w:eastAsia="宋体" w:cs="Times New Roman"/>
          <w:color w:val="auto"/>
          <w:sz w:val="24"/>
          <w:szCs w:val="24"/>
          <w:u w:val="none"/>
        </w:rPr>
        <w:t>——发生事故时可以转输到其他储存或处理设施的物料量，</w:t>
      </w:r>
      <w:r>
        <w:rPr>
          <w:rFonts w:hint="eastAsia" w:ascii="Times New Roman" w:hAnsi="Times New Roman" w:eastAsia="宋体" w:cs="Times New Roman"/>
          <w:color w:val="auto"/>
          <w:sz w:val="24"/>
          <w:szCs w:val="24"/>
          <w:u w:val="none"/>
          <w:lang w:eastAsia="zh-CN"/>
        </w:rPr>
        <w:t>m</w:t>
      </w:r>
      <w:r>
        <w:rPr>
          <w:rFonts w:hint="eastAsia" w:ascii="Times New Roman" w:hAnsi="Times New Roman" w:eastAsia="宋体" w:cs="Times New Roman"/>
          <w:color w:val="auto"/>
          <w:sz w:val="24"/>
          <w:szCs w:val="24"/>
          <w:u w:val="none"/>
          <w:vertAlign w:val="superscript"/>
          <w:lang w:eastAsia="zh-CN"/>
        </w:rPr>
        <w:t>3</w:t>
      </w:r>
      <w:r>
        <w:rPr>
          <w:rFonts w:ascii="Times New Roman" w:hAnsi="Times New Roman" w:eastAsia="宋体" w:cs="Times New Roman"/>
          <w:color w:val="auto"/>
          <w:sz w:val="24"/>
          <w:szCs w:val="24"/>
          <w:u w:val="none"/>
        </w:rPr>
        <w:t>；</w:t>
      </w:r>
    </w:p>
    <w:p w14:paraId="70CAD1DA">
      <w:pPr>
        <w:spacing w:line="360" w:lineRule="auto"/>
        <w:ind w:firstLine="480" w:firstLineChars="200"/>
        <w:rPr>
          <w:rFonts w:ascii="Times New Roman" w:hAnsi="Times New Roman" w:eastAsia="宋体" w:cs="Times New Roman"/>
          <w:color w:val="auto"/>
          <w:sz w:val="24"/>
          <w:szCs w:val="24"/>
          <w:u w:val="none"/>
        </w:rPr>
      </w:pPr>
      <w:r>
        <w:rPr>
          <w:rFonts w:ascii="Times New Roman" w:hAnsi="Times New Roman" w:eastAsia="宋体" w:cs="Times New Roman"/>
          <w:color w:val="auto"/>
          <w:sz w:val="24"/>
          <w:szCs w:val="24"/>
          <w:u w:val="none"/>
        </w:rPr>
        <w:t>V</w:t>
      </w:r>
      <w:r>
        <w:rPr>
          <w:rFonts w:ascii="Times New Roman" w:hAnsi="Times New Roman" w:eastAsia="宋体" w:cs="Times New Roman"/>
          <w:color w:val="auto"/>
          <w:sz w:val="24"/>
          <w:szCs w:val="24"/>
          <w:u w:val="none"/>
          <w:vertAlign w:val="subscript"/>
        </w:rPr>
        <w:t>4</w:t>
      </w:r>
      <w:r>
        <w:rPr>
          <w:rFonts w:ascii="Times New Roman" w:hAnsi="Times New Roman" w:eastAsia="宋体" w:cs="Times New Roman"/>
          <w:color w:val="auto"/>
          <w:sz w:val="24"/>
          <w:szCs w:val="24"/>
          <w:u w:val="none"/>
        </w:rPr>
        <w:t>——发生事故时仍必须进入该收集系统的生产废水量，</w:t>
      </w:r>
      <w:r>
        <w:rPr>
          <w:rFonts w:hint="eastAsia" w:ascii="Times New Roman" w:hAnsi="Times New Roman" w:eastAsia="宋体" w:cs="Times New Roman"/>
          <w:color w:val="auto"/>
          <w:sz w:val="24"/>
          <w:szCs w:val="24"/>
          <w:u w:val="none"/>
          <w:lang w:eastAsia="zh-CN"/>
        </w:rPr>
        <w:t>m</w:t>
      </w:r>
      <w:r>
        <w:rPr>
          <w:rFonts w:hint="eastAsia" w:ascii="Times New Roman" w:hAnsi="Times New Roman" w:eastAsia="宋体" w:cs="Times New Roman"/>
          <w:color w:val="auto"/>
          <w:sz w:val="24"/>
          <w:szCs w:val="24"/>
          <w:u w:val="none"/>
          <w:vertAlign w:val="superscript"/>
          <w:lang w:eastAsia="zh-CN"/>
        </w:rPr>
        <w:t>3</w:t>
      </w:r>
      <w:r>
        <w:rPr>
          <w:rFonts w:ascii="Times New Roman" w:hAnsi="Times New Roman" w:eastAsia="宋体" w:cs="Times New Roman"/>
          <w:color w:val="auto"/>
          <w:sz w:val="24"/>
          <w:szCs w:val="24"/>
          <w:u w:val="none"/>
        </w:rPr>
        <w:t xml:space="preserve">； </w:t>
      </w:r>
    </w:p>
    <w:p w14:paraId="2FE18B36">
      <w:pPr>
        <w:spacing w:line="360" w:lineRule="auto"/>
        <w:ind w:firstLine="480" w:firstLineChars="200"/>
        <w:rPr>
          <w:rFonts w:ascii="Times New Roman" w:hAnsi="Times New Roman" w:eastAsia="宋体" w:cs="Times New Roman"/>
          <w:color w:val="auto"/>
          <w:sz w:val="24"/>
          <w:szCs w:val="24"/>
          <w:u w:val="none"/>
        </w:rPr>
      </w:pPr>
      <w:r>
        <w:rPr>
          <w:rFonts w:ascii="Times New Roman" w:hAnsi="Times New Roman" w:eastAsia="宋体" w:cs="Times New Roman"/>
          <w:color w:val="auto"/>
          <w:sz w:val="24"/>
          <w:szCs w:val="24"/>
          <w:u w:val="none"/>
        </w:rPr>
        <w:t>V</w:t>
      </w:r>
      <w:r>
        <w:rPr>
          <w:rFonts w:ascii="Times New Roman" w:hAnsi="Times New Roman" w:eastAsia="宋体" w:cs="Times New Roman"/>
          <w:color w:val="auto"/>
          <w:sz w:val="24"/>
          <w:szCs w:val="24"/>
          <w:u w:val="none"/>
          <w:vertAlign w:val="subscript"/>
        </w:rPr>
        <w:t>5</w:t>
      </w:r>
      <w:r>
        <w:rPr>
          <w:rFonts w:ascii="Times New Roman" w:hAnsi="Times New Roman" w:eastAsia="宋体" w:cs="Times New Roman"/>
          <w:color w:val="auto"/>
          <w:sz w:val="24"/>
          <w:szCs w:val="24"/>
          <w:u w:val="none"/>
        </w:rPr>
        <w:t>——发生事故时可能进入该收集系统的降雨量，</w:t>
      </w:r>
      <w:r>
        <w:rPr>
          <w:rFonts w:hint="eastAsia" w:ascii="Times New Roman" w:hAnsi="Times New Roman" w:eastAsia="宋体" w:cs="Times New Roman"/>
          <w:color w:val="auto"/>
          <w:sz w:val="24"/>
          <w:szCs w:val="24"/>
          <w:u w:val="none"/>
          <w:lang w:eastAsia="zh-CN"/>
        </w:rPr>
        <w:t>m</w:t>
      </w:r>
      <w:r>
        <w:rPr>
          <w:rFonts w:hint="eastAsia" w:ascii="Times New Roman" w:hAnsi="Times New Roman" w:eastAsia="宋体" w:cs="Times New Roman"/>
          <w:color w:val="auto"/>
          <w:sz w:val="24"/>
          <w:szCs w:val="24"/>
          <w:u w:val="none"/>
          <w:vertAlign w:val="superscript"/>
          <w:lang w:eastAsia="zh-CN"/>
        </w:rPr>
        <w:t>3</w:t>
      </w:r>
      <w:r>
        <w:rPr>
          <w:rFonts w:ascii="Times New Roman" w:hAnsi="Times New Roman" w:eastAsia="宋体" w:cs="Times New Roman"/>
          <w:color w:val="auto"/>
          <w:sz w:val="24"/>
          <w:szCs w:val="24"/>
          <w:u w:val="none"/>
        </w:rPr>
        <w:t>。</w:t>
      </w:r>
    </w:p>
    <w:p w14:paraId="7AA6698F">
      <w:pPr>
        <w:spacing w:line="360" w:lineRule="auto"/>
        <w:ind w:firstLine="480" w:firstLineChars="200"/>
        <w:rPr>
          <w:rFonts w:ascii="Times New Roman" w:hAnsi="Times New Roman" w:eastAsia="宋体" w:cs="Times New Roman"/>
          <w:color w:val="auto"/>
          <w:sz w:val="24"/>
          <w:szCs w:val="24"/>
          <w:u w:val="none"/>
        </w:rPr>
      </w:pPr>
      <w:r>
        <w:rPr>
          <w:rFonts w:ascii="Times New Roman" w:hAnsi="Times New Roman" w:eastAsia="宋体" w:cs="Times New Roman"/>
          <w:color w:val="auto"/>
          <w:sz w:val="24"/>
          <w:szCs w:val="24"/>
          <w:u w:val="none"/>
        </w:rPr>
        <w:fldChar w:fldCharType="begin"/>
      </w:r>
      <w:r>
        <w:rPr>
          <w:rFonts w:ascii="Times New Roman" w:hAnsi="Times New Roman" w:eastAsia="宋体" w:cs="Times New Roman"/>
          <w:color w:val="auto"/>
          <w:sz w:val="24"/>
          <w:szCs w:val="24"/>
          <w:u w:val="none"/>
        </w:rPr>
        <w:instrText xml:space="preserve"> </w:instrText>
      </w:r>
      <w:r>
        <w:rPr>
          <w:rFonts w:hint="eastAsia" w:ascii="Times New Roman" w:hAnsi="Times New Roman" w:eastAsia="宋体" w:cs="Times New Roman"/>
          <w:color w:val="auto"/>
          <w:sz w:val="24"/>
          <w:szCs w:val="24"/>
          <w:u w:val="none"/>
        </w:rPr>
        <w:instrText xml:space="preserve">= 1 \* GB3</w:instrText>
      </w:r>
      <w:r>
        <w:rPr>
          <w:rFonts w:ascii="Times New Roman" w:hAnsi="Times New Roman" w:eastAsia="宋体" w:cs="Times New Roman"/>
          <w:color w:val="auto"/>
          <w:sz w:val="24"/>
          <w:szCs w:val="24"/>
          <w:u w:val="none"/>
        </w:rPr>
        <w:instrText xml:space="preserve"> </w:instrText>
      </w:r>
      <w:r>
        <w:rPr>
          <w:rFonts w:ascii="Times New Roman" w:hAnsi="Times New Roman" w:eastAsia="宋体" w:cs="Times New Roman"/>
          <w:color w:val="auto"/>
          <w:sz w:val="24"/>
          <w:szCs w:val="24"/>
          <w:u w:val="none"/>
        </w:rPr>
        <w:fldChar w:fldCharType="separate"/>
      </w:r>
      <w:r>
        <w:rPr>
          <w:rFonts w:hint="eastAsia" w:ascii="Times New Roman" w:hAnsi="Times New Roman" w:eastAsia="宋体" w:cs="Times New Roman"/>
          <w:color w:val="auto"/>
          <w:sz w:val="24"/>
          <w:szCs w:val="24"/>
          <w:u w:val="none"/>
        </w:rPr>
        <w:t>①</w:t>
      </w:r>
      <w:r>
        <w:rPr>
          <w:rFonts w:ascii="Times New Roman" w:hAnsi="Times New Roman" w:eastAsia="宋体" w:cs="Times New Roman"/>
          <w:color w:val="auto"/>
          <w:sz w:val="24"/>
          <w:szCs w:val="24"/>
          <w:u w:val="none"/>
        </w:rPr>
        <w:fldChar w:fldCharType="end"/>
      </w:r>
      <w:r>
        <w:rPr>
          <w:rFonts w:ascii="Times New Roman" w:hAnsi="Times New Roman" w:eastAsia="宋体" w:cs="Times New Roman"/>
          <w:color w:val="auto"/>
          <w:sz w:val="24"/>
          <w:szCs w:val="24"/>
          <w:u w:val="none"/>
        </w:rPr>
        <w:t>收集系统范围内发生事故的</w:t>
      </w:r>
      <w:r>
        <w:rPr>
          <w:rFonts w:hint="eastAsia" w:ascii="Times New Roman" w:hAnsi="Times New Roman" w:eastAsia="宋体" w:cs="Times New Roman"/>
          <w:color w:val="auto"/>
          <w:sz w:val="24"/>
          <w:szCs w:val="24"/>
          <w:u w:val="none"/>
        </w:rPr>
        <w:t>装置</w:t>
      </w:r>
      <w:r>
        <w:rPr>
          <w:rFonts w:ascii="Times New Roman" w:hAnsi="Times New Roman" w:eastAsia="宋体" w:cs="Times New Roman"/>
          <w:color w:val="auto"/>
          <w:sz w:val="24"/>
          <w:szCs w:val="24"/>
          <w:u w:val="none"/>
        </w:rPr>
        <w:t>的物料量(V</w:t>
      </w:r>
      <w:r>
        <w:rPr>
          <w:rFonts w:ascii="Times New Roman" w:hAnsi="Times New Roman" w:eastAsia="宋体" w:cs="Times New Roman"/>
          <w:color w:val="auto"/>
          <w:sz w:val="24"/>
          <w:szCs w:val="24"/>
          <w:u w:val="none"/>
          <w:vertAlign w:val="subscript"/>
        </w:rPr>
        <w:t>1</w:t>
      </w:r>
      <w:r>
        <w:rPr>
          <w:rFonts w:ascii="Times New Roman" w:hAnsi="Times New Roman" w:eastAsia="宋体" w:cs="Times New Roman"/>
          <w:color w:val="auto"/>
          <w:sz w:val="24"/>
          <w:szCs w:val="24"/>
          <w:u w:val="none"/>
        </w:rPr>
        <w:t>)</w:t>
      </w:r>
    </w:p>
    <w:p w14:paraId="5D2C9613">
      <w:pPr>
        <w:spacing w:line="360" w:lineRule="auto"/>
        <w:ind w:firstLine="480" w:firstLineChars="200"/>
        <w:rPr>
          <w:rFonts w:ascii="Times New Roman" w:hAnsi="Times New Roman" w:eastAsia="宋体" w:cs="Times New Roman"/>
          <w:color w:val="auto"/>
          <w:sz w:val="24"/>
          <w:szCs w:val="24"/>
          <w:u w:val="none"/>
        </w:rPr>
      </w:pPr>
      <w:r>
        <w:rPr>
          <w:rFonts w:ascii="Times New Roman" w:hAnsi="Times New Roman" w:eastAsia="宋体" w:cs="Times New Roman"/>
          <w:color w:val="auto"/>
          <w:sz w:val="24"/>
          <w:szCs w:val="24"/>
          <w:u w:val="none"/>
        </w:rPr>
        <w:t>按本项目</w:t>
      </w:r>
      <w:r>
        <w:rPr>
          <w:rFonts w:hint="eastAsia" w:ascii="Times New Roman" w:hAnsi="Times New Roman" w:eastAsia="宋体" w:cs="Times New Roman"/>
          <w:color w:val="auto"/>
          <w:sz w:val="24"/>
          <w:szCs w:val="24"/>
          <w:u w:val="none"/>
        </w:rPr>
        <w:t>储罐区储罐最大容积</w:t>
      </w:r>
      <w:r>
        <w:rPr>
          <w:rFonts w:ascii="Times New Roman" w:hAnsi="Times New Roman" w:eastAsia="宋体" w:cs="Times New Roman"/>
          <w:color w:val="auto"/>
          <w:sz w:val="24"/>
          <w:szCs w:val="24"/>
          <w:u w:val="none"/>
        </w:rPr>
        <w:t>进行考虑，则V1取</w:t>
      </w:r>
      <w:r>
        <w:rPr>
          <w:rFonts w:hint="eastAsia" w:ascii="Times New Roman" w:hAnsi="Times New Roman" w:eastAsia="宋体" w:cs="Times New Roman"/>
          <w:color w:val="auto"/>
          <w:sz w:val="24"/>
          <w:szCs w:val="24"/>
          <w:u w:val="none"/>
          <w:lang w:val="en-US" w:eastAsia="zh-CN"/>
        </w:rPr>
        <w:t>40</w:t>
      </w:r>
      <w:r>
        <w:rPr>
          <w:rFonts w:hint="eastAsia" w:ascii="Times New Roman" w:hAnsi="Times New Roman" w:eastAsia="宋体" w:cs="Times New Roman"/>
          <w:color w:val="auto"/>
          <w:sz w:val="24"/>
          <w:szCs w:val="24"/>
          <w:u w:val="none"/>
          <w:lang w:eastAsia="zh-CN"/>
        </w:rPr>
        <w:t>m</w:t>
      </w:r>
      <w:r>
        <w:rPr>
          <w:rFonts w:hint="eastAsia" w:ascii="Times New Roman" w:hAnsi="Times New Roman" w:eastAsia="宋体" w:cs="Times New Roman"/>
          <w:color w:val="auto"/>
          <w:sz w:val="24"/>
          <w:szCs w:val="24"/>
          <w:u w:val="none"/>
          <w:vertAlign w:val="superscript"/>
          <w:lang w:eastAsia="zh-CN"/>
        </w:rPr>
        <w:t>3</w:t>
      </w:r>
      <w:r>
        <w:rPr>
          <w:rFonts w:ascii="Times New Roman" w:hAnsi="Times New Roman" w:eastAsia="宋体" w:cs="Times New Roman"/>
          <w:color w:val="auto"/>
          <w:sz w:val="24"/>
          <w:szCs w:val="24"/>
          <w:u w:val="none"/>
        </w:rPr>
        <w:t>；</w:t>
      </w:r>
    </w:p>
    <w:p w14:paraId="12862BF3">
      <w:pPr>
        <w:spacing w:line="360" w:lineRule="auto"/>
        <w:ind w:firstLine="480" w:firstLineChars="200"/>
        <w:rPr>
          <w:rFonts w:ascii="Times New Roman" w:hAnsi="Times New Roman" w:eastAsia="宋体" w:cs="Times New Roman"/>
          <w:color w:val="auto"/>
          <w:sz w:val="24"/>
          <w:szCs w:val="24"/>
          <w:u w:val="none"/>
        </w:rPr>
      </w:pPr>
      <w:r>
        <w:rPr>
          <w:rFonts w:ascii="Times New Roman" w:hAnsi="Times New Roman" w:eastAsia="宋体" w:cs="Times New Roman"/>
          <w:color w:val="auto"/>
          <w:sz w:val="24"/>
          <w:szCs w:val="24"/>
          <w:u w:val="none"/>
        </w:rPr>
        <w:fldChar w:fldCharType="begin"/>
      </w:r>
      <w:r>
        <w:rPr>
          <w:rFonts w:ascii="Times New Roman" w:hAnsi="Times New Roman" w:eastAsia="宋体" w:cs="Times New Roman"/>
          <w:color w:val="auto"/>
          <w:sz w:val="24"/>
          <w:szCs w:val="24"/>
          <w:u w:val="none"/>
        </w:rPr>
        <w:instrText xml:space="preserve"> </w:instrText>
      </w:r>
      <w:r>
        <w:rPr>
          <w:rFonts w:hint="eastAsia" w:ascii="Times New Roman" w:hAnsi="Times New Roman" w:eastAsia="宋体" w:cs="Times New Roman"/>
          <w:color w:val="auto"/>
          <w:sz w:val="24"/>
          <w:szCs w:val="24"/>
          <w:u w:val="none"/>
        </w:rPr>
        <w:instrText xml:space="preserve">= 2 \* GB3</w:instrText>
      </w:r>
      <w:r>
        <w:rPr>
          <w:rFonts w:ascii="Times New Roman" w:hAnsi="Times New Roman" w:eastAsia="宋体" w:cs="Times New Roman"/>
          <w:color w:val="auto"/>
          <w:sz w:val="24"/>
          <w:szCs w:val="24"/>
          <w:u w:val="none"/>
        </w:rPr>
        <w:instrText xml:space="preserve"> </w:instrText>
      </w:r>
      <w:r>
        <w:rPr>
          <w:rFonts w:ascii="Times New Roman" w:hAnsi="Times New Roman" w:eastAsia="宋体" w:cs="Times New Roman"/>
          <w:color w:val="auto"/>
          <w:sz w:val="24"/>
          <w:szCs w:val="24"/>
          <w:u w:val="none"/>
        </w:rPr>
        <w:fldChar w:fldCharType="separate"/>
      </w:r>
      <w:r>
        <w:rPr>
          <w:rFonts w:hint="eastAsia" w:ascii="Times New Roman" w:hAnsi="Times New Roman" w:eastAsia="宋体" w:cs="Times New Roman"/>
          <w:color w:val="auto"/>
          <w:sz w:val="24"/>
          <w:szCs w:val="24"/>
          <w:u w:val="none"/>
        </w:rPr>
        <w:t>②</w:t>
      </w:r>
      <w:r>
        <w:rPr>
          <w:rFonts w:ascii="Times New Roman" w:hAnsi="Times New Roman" w:eastAsia="宋体" w:cs="Times New Roman"/>
          <w:color w:val="auto"/>
          <w:sz w:val="24"/>
          <w:szCs w:val="24"/>
          <w:u w:val="none"/>
        </w:rPr>
        <w:fldChar w:fldCharType="end"/>
      </w:r>
      <w:r>
        <w:rPr>
          <w:rFonts w:ascii="Times New Roman" w:hAnsi="Times New Roman" w:eastAsia="宋体" w:cs="Times New Roman"/>
          <w:color w:val="auto"/>
          <w:sz w:val="24"/>
          <w:szCs w:val="24"/>
          <w:u w:val="none"/>
        </w:rPr>
        <w:t>发生事故的装置的消防水量(V2)</w:t>
      </w:r>
    </w:p>
    <w:p w14:paraId="4050C2F9">
      <w:pPr>
        <w:spacing w:line="360" w:lineRule="auto"/>
        <w:ind w:firstLine="480" w:firstLineChars="200"/>
        <w:rPr>
          <w:rFonts w:ascii="Times New Roman" w:hAnsi="Times New Roman" w:eastAsia="宋体" w:cs="Times New Roman"/>
          <w:color w:val="auto"/>
          <w:sz w:val="24"/>
          <w:szCs w:val="24"/>
          <w:u w:val="none"/>
        </w:rPr>
      </w:pPr>
      <w:r>
        <w:rPr>
          <w:rFonts w:ascii="Times New Roman" w:hAnsi="Times New Roman" w:eastAsia="宋体" w:cs="Times New Roman"/>
          <w:color w:val="auto"/>
          <w:sz w:val="24"/>
          <w:szCs w:val="24"/>
          <w:u w:val="none"/>
        </w:rPr>
        <w:t>根据消防相关规范，室外设计消防水量为30L/s、室内消火栓用水量为10L/s，火延续时间</w:t>
      </w:r>
      <w:r>
        <w:rPr>
          <w:rFonts w:hint="eastAsia" w:ascii="Times New Roman" w:hAnsi="Times New Roman" w:eastAsia="宋体" w:cs="Times New Roman"/>
          <w:color w:val="auto"/>
          <w:sz w:val="24"/>
          <w:szCs w:val="24"/>
          <w:u w:val="none"/>
          <w:lang w:val="en-US" w:eastAsia="zh-CN"/>
        </w:rPr>
        <w:t>30</w:t>
      </w:r>
      <w:r>
        <w:rPr>
          <w:rFonts w:hint="eastAsia" w:ascii="Times New Roman" w:hAnsi="Times New Roman" w:eastAsia="宋体" w:cs="Times New Roman"/>
          <w:color w:val="auto"/>
          <w:sz w:val="24"/>
          <w:szCs w:val="24"/>
          <w:u w:val="none"/>
        </w:rPr>
        <w:t>min</w:t>
      </w:r>
      <w:r>
        <w:rPr>
          <w:rFonts w:ascii="Times New Roman" w:hAnsi="Times New Roman" w:eastAsia="宋体" w:cs="Times New Roman"/>
          <w:color w:val="auto"/>
          <w:sz w:val="24"/>
          <w:szCs w:val="24"/>
          <w:u w:val="none"/>
        </w:rPr>
        <w:t>，计算可知一次火灾最大用水量为</w:t>
      </w:r>
      <w:r>
        <w:rPr>
          <w:rFonts w:hint="eastAsia" w:ascii="Times New Roman" w:hAnsi="Times New Roman" w:eastAsia="宋体" w:cs="Times New Roman"/>
          <w:color w:val="auto"/>
          <w:sz w:val="24"/>
          <w:szCs w:val="24"/>
          <w:u w:val="none"/>
          <w:lang w:val="en-US" w:eastAsia="zh-CN"/>
        </w:rPr>
        <w:t>72</w:t>
      </w:r>
      <w:r>
        <w:rPr>
          <w:rFonts w:hint="eastAsia" w:ascii="Times New Roman" w:hAnsi="Times New Roman" w:eastAsia="宋体" w:cs="Times New Roman"/>
          <w:color w:val="auto"/>
          <w:sz w:val="24"/>
          <w:szCs w:val="24"/>
          <w:u w:val="none"/>
          <w:lang w:eastAsia="zh-CN"/>
        </w:rPr>
        <w:t>m</w:t>
      </w:r>
      <w:r>
        <w:rPr>
          <w:rFonts w:hint="eastAsia" w:ascii="Times New Roman" w:hAnsi="Times New Roman" w:eastAsia="宋体" w:cs="Times New Roman"/>
          <w:color w:val="auto"/>
          <w:sz w:val="24"/>
          <w:szCs w:val="24"/>
          <w:u w:val="none"/>
          <w:vertAlign w:val="superscript"/>
          <w:lang w:eastAsia="zh-CN"/>
        </w:rPr>
        <w:t>3</w:t>
      </w:r>
      <w:r>
        <w:rPr>
          <w:rFonts w:ascii="Times New Roman" w:hAnsi="Times New Roman" w:eastAsia="宋体" w:cs="Times New Roman"/>
          <w:color w:val="auto"/>
          <w:sz w:val="24"/>
          <w:szCs w:val="24"/>
          <w:u w:val="none"/>
        </w:rPr>
        <w:t>，即V</w:t>
      </w:r>
      <w:r>
        <w:rPr>
          <w:rFonts w:ascii="Times New Roman" w:hAnsi="Times New Roman" w:eastAsia="宋体" w:cs="Times New Roman"/>
          <w:color w:val="auto"/>
          <w:sz w:val="24"/>
          <w:szCs w:val="24"/>
          <w:u w:val="none"/>
          <w:vertAlign w:val="subscript"/>
        </w:rPr>
        <w:t>2</w:t>
      </w:r>
      <w:r>
        <w:rPr>
          <w:rFonts w:ascii="Times New Roman" w:hAnsi="Times New Roman" w:eastAsia="宋体" w:cs="Times New Roman"/>
          <w:color w:val="auto"/>
          <w:sz w:val="24"/>
          <w:szCs w:val="24"/>
          <w:u w:val="none"/>
        </w:rPr>
        <w:t>取</w:t>
      </w:r>
      <w:r>
        <w:rPr>
          <w:rFonts w:hint="eastAsia" w:ascii="Times New Roman" w:hAnsi="Times New Roman" w:eastAsia="宋体" w:cs="Times New Roman"/>
          <w:color w:val="auto"/>
          <w:sz w:val="24"/>
          <w:szCs w:val="24"/>
          <w:u w:val="none"/>
          <w:lang w:val="en-US" w:eastAsia="zh-CN"/>
        </w:rPr>
        <w:t>72</w:t>
      </w:r>
      <w:r>
        <w:rPr>
          <w:rFonts w:hint="eastAsia" w:ascii="Times New Roman" w:hAnsi="Times New Roman" w:eastAsia="宋体" w:cs="Times New Roman"/>
          <w:color w:val="auto"/>
          <w:sz w:val="24"/>
          <w:szCs w:val="24"/>
          <w:u w:val="none"/>
          <w:lang w:eastAsia="zh-CN"/>
        </w:rPr>
        <w:t>m</w:t>
      </w:r>
      <w:r>
        <w:rPr>
          <w:rFonts w:hint="eastAsia" w:ascii="Times New Roman" w:hAnsi="Times New Roman" w:eastAsia="宋体" w:cs="Times New Roman"/>
          <w:color w:val="auto"/>
          <w:sz w:val="24"/>
          <w:szCs w:val="24"/>
          <w:u w:val="none"/>
          <w:vertAlign w:val="superscript"/>
          <w:lang w:eastAsia="zh-CN"/>
        </w:rPr>
        <w:t>3</w:t>
      </w:r>
      <w:r>
        <w:rPr>
          <w:rFonts w:ascii="Times New Roman" w:hAnsi="Times New Roman" w:eastAsia="宋体" w:cs="Times New Roman"/>
          <w:color w:val="auto"/>
          <w:sz w:val="24"/>
          <w:szCs w:val="24"/>
          <w:u w:val="none"/>
        </w:rPr>
        <w:t>。</w:t>
      </w:r>
    </w:p>
    <w:p w14:paraId="75549F0C">
      <w:pPr>
        <w:spacing w:line="360" w:lineRule="auto"/>
        <w:ind w:firstLine="480" w:firstLineChars="200"/>
        <w:rPr>
          <w:rFonts w:ascii="Times New Roman" w:hAnsi="Times New Roman" w:eastAsia="宋体" w:cs="Times New Roman"/>
          <w:color w:val="auto"/>
          <w:sz w:val="24"/>
          <w:szCs w:val="24"/>
          <w:u w:val="none"/>
        </w:rPr>
      </w:pPr>
      <w:r>
        <w:rPr>
          <w:rFonts w:ascii="Times New Roman" w:hAnsi="Times New Roman" w:eastAsia="宋体" w:cs="Times New Roman"/>
          <w:color w:val="auto"/>
          <w:sz w:val="24"/>
          <w:szCs w:val="24"/>
          <w:u w:val="none"/>
        </w:rPr>
        <w:fldChar w:fldCharType="begin"/>
      </w:r>
      <w:r>
        <w:rPr>
          <w:rFonts w:ascii="Times New Roman" w:hAnsi="Times New Roman" w:eastAsia="宋体" w:cs="Times New Roman"/>
          <w:color w:val="auto"/>
          <w:sz w:val="24"/>
          <w:szCs w:val="24"/>
          <w:u w:val="none"/>
        </w:rPr>
        <w:instrText xml:space="preserve"> </w:instrText>
      </w:r>
      <w:r>
        <w:rPr>
          <w:rFonts w:hint="eastAsia" w:ascii="Times New Roman" w:hAnsi="Times New Roman" w:eastAsia="宋体" w:cs="Times New Roman"/>
          <w:color w:val="auto"/>
          <w:sz w:val="24"/>
          <w:szCs w:val="24"/>
          <w:u w:val="none"/>
        </w:rPr>
        <w:instrText xml:space="preserve">= 3 \* GB3</w:instrText>
      </w:r>
      <w:r>
        <w:rPr>
          <w:rFonts w:ascii="Times New Roman" w:hAnsi="Times New Roman" w:eastAsia="宋体" w:cs="Times New Roman"/>
          <w:color w:val="auto"/>
          <w:sz w:val="24"/>
          <w:szCs w:val="24"/>
          <w:u w:val="none"/>
        </w:rPr>
        <w:instrText xml:space="preserve"> </w:instrText>
      </w:r>
      <w:r>
        <w:rPr>
          <w:rFonts w:ascii="Times New Roman" w:hAnsi="Times New Roman" w:eastAsia="宋体" w:cs="Times New Roman"/>
          <w:color w:val="auto"/>
          <w:sz w:val="24"/>
          <w:szCs w:val="24"/>
          <w:u w:val="none"/>
        </w:rPr>
        <w:fldChar w:fldCharType="separate"/>
      </w:r>
      <w:r>
        <w:rPr>
          <w:rFonts w:hint="eastAsia" w:ascii="Times New Roman" w:hAnsi="Times New Roman" w:eastAsia="宋体" w:cs="Times New Roman"/>
          <w:color w:val="auto"/>
          <w:sz w:val="24"/>
          <w:szCs w:val="24"/>
          <w:u w:val="none"/>
        </w:rPr>
        <w:t>③</w:t>
      </w:r>
      <w:r>
        <w:rPr>
          <w:rFonts w:ascii="Times New Roman" w:hAnsi="Times New Roman" w:eastAsia="宋体" w:cs="Times New Roman"/>
          <w:color w:val="auto"/>
          <w:sz w:val="24"/>
          <w:szCs w:val="24"/>
          <w:u w:val="none"/>
        </w:rPr>
        <w:fldChar w:fldCharType="end"/>
      </w:r>
      <w:r>
        <w:rPr>
          <w:rFonts w:ascii="Times New Roman" w:hAnsi="Times New Roman" w:eastAsia="宋体" w:cs="Times New Roman"/>
          <w:color w:val="auto"/>
          <w:sz w:val="24"/>
          <w:szCs w:val="24"/>
          <w:u w:val="none"/>
        </w:rPr>
        <w:t>发生事故时可以转输到其他储存或处理设施的物料量(V</w:t>
      </w:r>
      <w:r>
        <w:rPr>
          <w:rFonts w:ascii="Times New Roman" w:hAnsi="Times New Roman" w:eastAsia="宋体" w:cs="Times New Roman"/>
          <w:color w:val="auto"/>
          <w:sz w:val="24"/>
          <w:szCs w:val="24"/>
          <w:u w:val="none"/>
          <w:vertAlign w:val="subscript"/>
        </w:rPr>
        <w:t>3</w:t>
      </w:r>
      <w:r>
        <w:rPr>
          <w:rFonts w:ascii="Times New Roman" w:hAnsi="Times New Roman" w:eastAsia="宋体" w:cs="Times New Roman"/>
          <w:color w:val="auto"/>
          <w:sz w:val="24"/>
          <w:szCs w:val="24"/>
          <w:u w:val="none"/>
        </w:rPr>
        <w:t>)</w:t>
      </w:r>
    </w:p>
    <w:p w14:paraId="4A669255">
      <w:pPr>
        <w:spacing w:line="360" w:lineRule="auto"/>
        <w:ind w:firstLine="480" w:firstLineChars="200"/>
        <w:rPr>
          <w:rFonts w:ascii="Times New Roman" w:hAnsi="Times New Roman" w:eastAsia="宋体" w:cs="Times New Roman"/>
          <w:color w:val="auto"/>
          <w:sz w:val="24"/>
          <w:szCs w:val="24"/>
          <w:u w:val="none"/>
        </w:rPr>
      </w:pPr>
      <w:r>
        <w:rPr>
          <w:rFonts w:hint="eastAsia" w:ascii="Times New Roman" w:hAnsi="Times New Roman" w:eastAsia="宋体" w:cs="Times New Roman"/>
          <w:color w:val="auto"/>
          <w:sz w:val="24"/>
          <w:szCs w:val="24"/>
          <w:u w:val="none"/>
        </w:rPr>
        <w:t>本项目不涉及。</w:t>
      </w:r>
    </w:p>
    <w:p w14:paraId="5C08B433">
      <w:pPr>
        <w:spacing w:line="360" w:lineRule="auto"/>
        <w:ind w:firstLine="480" w:firstLineChars="200"/>
        <w:rPr>
          <w:rFonts w:ascii="Times New Roman" w:hAnsi="Times New Roman" w:eastAsia="宋体" w:cs="Times New Roman"/>
          <w:color w:val="auto"/>
          <w:sz w:val="24"/>
          <w:szCs w:val="24"/>
          <w:u w:val="none"/>
        </w:rPr>
      </w:pPr>
      <w:r>
        <w:rPr>
          <w:rFonts w:ascii="Times New Roman" w:hAnsi="Times New Roman" w:eastAsia="宋体" w:cs="Times New Roman"/>
          <w:color w:val="auto"/>
          <w:sz w:val="24"/>
          <w:szCs w:val="24"/>
          <w:u w:val="none"/>
        </w:rPr>
        <w:fldChar w:fldCharType="begin"/>
      </w:r>
      <w:r>
        <w:rPr>
          <w:rFonts w:ascii="Times New Roman" w:hAnsi="Times New Roman" w:eastAsia="宋体" w:cs="Times New Roman"/>
          <w:color w:val="auto"/>
          <w:sz w:val="24"/>
          <w:szCs w:val="24"/>
          <w:u w:val="none"/>
        </w:rPr>
        <w:instrText xml:space="preserve"> </w:instrText>
      </w:r>
      <w:r>
        <w:rPr>
          <w:rFonts w:hint="eastAsia" w:ascii="Times New Roman" w:hAnsi="Times New Roman" w:eastAsia="宋体" w:cs="Times New Roman"/>
          <w:color w:val="auto"/>
          <w:sz w:val="24"/>
          <w:szCs w:val="24"/>
          <w:u w:val="none"/>
        </w:rPr>
        <w:instrText xml:space="preserve">= 4 \* GB3</w:instrText>
      </w:r>
      <w:r>
        <w:rPr>
          <w:rFonts w:ascii="Times New Roman" w:hAnsi="Times New Roman" w:eastAsia="宋体" w:cs="Times New Roman"/>
          <w:color w:val="auto"/>
          <w:sz w:val="24"/>
          <w:szCs w:val="24"/>
          <w:u w:val="none"/>
        </w:rPr>
        <w:instrText xml:space="preserve"> </w:instrText>
      </w:r>
      <w:r>
        <w:rPr>
          <w:rFonts w:ascii="Times New Roman" w:hAnsi="Times New Roman" w:eastAsia="宋体" w:cs="Times New Roman"/>
          <w:color w:val="auto"/>
          <w:sz w:val="24"/>
          <w:szCs w:val="24"/>
          <w:u w:val="none"/>
        </w:rPr>
        <w:fldChar w:fldCharType="separate"/>
      </w:r>
      <w:r>
        <w:rPr>
          <w:rFonts w:hint="eastAsia" w:ascii="Times New Roman" w:hAnsi="Times New Roman" w:eastAsia="宋体" w:cs="Times New Roman"/>
          <w:color w:val="auto"/>
          <w:sz w:val="24"/>
          <w:szCs w:val="24"/>
          <w:u w:val="none"/>
        </w:rPr>
        <w:t>④</w:t>
      </w:r>
      <w:r>
        <w:rPr>
          <w:rFonts w:ascii="Times New Roman" w:hAnsi="Times New Roman" w:eastAsia="宋体" w:cs="Times New Roman"/>
          <w:color w:val="auto"/>
          <w:sz w:val="24"/>
          <w:szCs w:val="24"/>
          <w:u w:val="none"/>
        </w:rPr>
        <w:fldChar w:fldCharType="end"/>
      </w:r>
      <w:r>
        <w:rPr>
          <w:rFonts w:hint="eastAsia" w:ascii="Times New Roman" w:hAnsi="Times New Roman" w:eastAsia="宋体" w:cs="Times New Roman"/>
          <w:color w:val="auto"/>
          <w:sz w:val="24"/>
          <w:szCs w:val="24"/>
          <w:u w:val="none"/>
        </w:rPr>
        <w:t>发生事故时仍必须进入该收集系统的生产废水量(</w:t>
      </w:r>
      <w:r>
        <w:rPr>
          <w:rFonts w:ascii="Times New Roman" w:hAnsi="Times New Roman" w:eastAsia="宋体" w:cs="Times New Roman"/>
          <w:color w:val="auto"/>
          <w:sz w:val="24"/>
          <w:szCs w:val="24"/>
          <w:u w:val="none"/>
        </w:rPr>
        <w:t>V</w:t>
      </w:r>
      <w:r>
        <w:rPr>
          <w:rFonts w:ascii="Times New Roman" w:hAnsi="Times New Roman" w:eastAsia="宋体" w:cs="Times New Roman"/>
          <w:color w:val="auto"/>
          <w:sz w:val="24"/>
          <w:szCs w:val="24"/>
          <w:u w:val="none"/>
          <w:vertAlign w:val="subscript"/>
        </w:rPr>
        <w:t>4</w:t>
      </w:r>
      <w:r>
        <w:rPr>
          <w:rFonts w:ascii="Times New Roman" w:hAnsi="Times New Roman" w:eastAsia="宋体" w:cs="Times New Roman"/>
          <w:color w:val="auto"/>
          <w:sz w:val="24"/>
          <w:szCs w:val="24"/>
          <w:u w:val="none"/>
        </w:rPr>
        <w:t>)</w:t>
      </w:r>
    </w:p>
    <w:p w14:paraId="54F5E2E4">
      <w:pPr>
        <w:spacing w:line="360" w:lineRule="auto"/>
        <w:ind w:firstLine="480" w:firstLineChars="200"/>
        <w:rPr>
          <w:rFonts w:ascii="Times New Roman" w:hAnsi="Times New Roman" w:eastAsia="宋体" w:cs="Times New Roman"/>
          <w:color w:val="auto"/>
          <w:sz w:val="24"/>
          <w:szCs w:val="24"/>
          <w:u w:val="none"/>
        </w:rPr>
      </w:pPr>
      <w:r>
        <w:rPr>
          <w:rFonts w:hint="eastAsia" w:ascii="Times New Roman" w:hAnsi="Times New Roman" w:eastAsia="宋体" w:cs="Times New Roman"/>
          <w:color w:val="auto"/>
          <w:sz w:val="24"/>
          <w:szCs w:val="24"/>
          <w:u w:val="none"/>
        </w:rPr>
        <w:t>本项目不涉及。</w:t>
      </w:r>
    </w:p>
    <w:p w14:paraId="780E20E9">
      <w:pPr>
        <w:spacing w:line="360" w:lineRule="auto"/>
        <w:ind w:firstLine="480" w:firstLineChars="200"/>
        <w:rPr>
          <w:rFonts w:ascii="Times New Roman" w:hAnsi="Times New Roman" w:eastAsia="宋体" w:cs="Times New Roman"/>
          <w:color w:val="auto"/>
          <w:sz w:val="24"/>
          <w:szCs w:val="24"/>
          <w:u w:val="none"/>
        </w:rPr>
      </w:pPr>
      <w:r>
        <w:rPr>
          <w:rFonts w:ascii="Times New Roman" w:hAnsi="Times New Roman" w:eastAsia="宋体" w:cs="Times New Roman"/>
          <w:color w:val="auto"/>
          <w:sz w:val="24"/>
          <w:szCs w:val="24"/>
          <w:u w:val="none"/>
        </w:rPr>
        <w:fldChar w:fldCharType="begin"/>
      </w:r>
      <w:r>
        <w:rPr>
          <w:rFonts w:ascii="Times New Roman" w:hAnsi="Times New Roman" w:eastAsia="宋体" w:cs="Times New Roman"/>
          <w:color w:val="auto"/>
          <w:sz w:val="24"/>
          <w:szCs w:val="24"/>
          <w:u w:val="none"/>
        </w:rPr>
        <w:instrText xml:space="preserve"> </w:instrText>
      </w:r>
      <w:r>
        <w:rPr>
          <w:rFonts w:hint="eastAsia" w:ascii="Times New Roman" w:hAnsi="Times New Roman" w:eastAsia="宋体" w:cs="Times New Roman"/>
          <w:color w:val="auto"/>
          <w:sz w:val="24"/>
          <w:szCs w:val="24"/>
          <w:u w:val="none"/>
        </w:rPr>
        <w:instrText xml:space="preserve">= 5 \* GB3</w:instrText>
      </w:r>
      <w:r>
        <w:rPr>
          <w:rFonts w:ascii="Times New Roman" w:hAnsi="Times New Roman" w:eastAsia="宋体" w:cs="Times New Roman"/>
          <w:color w:val="auto"/>
          <w:sz w:val="24"/>
          <w:szCs w:val="24"/>
          <w:u w:val="none"/>
        </w:rPr>
        <w:instrText xml:space="preserve"> </w:instrText>
      </w:r>
      <w:r>
        <w:rPr>
          <w:rFonts w:ascii="Times New Roman" w:hAnsi="Times New Roman" w:eastAsia="宋体" w:cs="Times New Roman"/>
          <w:color w:val="auto"/>
          <w:sz w:val="24"/>
          <w:szCs w:val="24"/>
          <w:u w:val="none"/>
        </w:rPr>
        <w:fldChar w:fldCharType="separate"/>
      </w:r>
      <w:r>
        <w:rPr>
          <w:rFonts w:hint="eastAsia" w:ascii="Times New Roman" w:hAnsi="Times New Roman" w:eastAsia="宋体" w:cs="Times New Roman"/>
          <w:color w:val="auto"/>
          <w:sz w:val="24"/>
          <w:szCs w:val="24"/>
          <w:u w:val="none"/>
        </w:rPr>
        <w:t>⑤</w:t>
      </w:r>
      <w:r>
        <w:rPr>
          <w:rFonts w:ascii="Times New Roman" w:hAnsi="Times New Roman" w:eastAsia="宋体" w:cs="Times New Roman"/>
          <w:color w:val="auto"/>
          <w:sz w:val="24"/>
          <w:szCs w:val="24"/>
          <w:u w:val="none"/>
        </w:rPr>
        <w:fldChar w:fldCharType="end"/>
      </w:r>
      <w:r>
        <w:rPr>
          <w:rFonts w:hint="eastAsia" w:ascii="Times New Roman" w:hAnsi="Times New Roman" w:eastAsia="宋体" w:cs="Times New Roman"/>
          <w:color w:val="auto"/>
          <w:sz w:val="24"/>
          <w:szCs w:val="24"/>
          <w:u w:val="none"/>
        </w:rPr>
        <w:t>发生事故时可能进入该收集系统的降雨量(</w:t>
      </w:r>
      <w:r>
        <w:rPr>
          <w:rFonts w:ascii="Times New Roman" w:hAnsi="Times New Roman" w:eastAsia="宋体" w:cs="Times New Roman"/>
          <w:color w:val="auto"/>
          <w:sz w:val="24"/>
          <w:szCs w:val="24"/>
          <w:u w:val="none"/>
        </w:rPr>
        <w:t>V</w:t>
      </w:r>
      <w:r>
        <w:rPr>
          <w:rFonts w:ascii="Times New Roman" w:hAnsi="Times New Roman" w:eastAsia="宋体" w:cs="Times New Roman"/>
          <w:color w:val="auto"/>
          <w:sz w:val="24"/>
          <w:szCs w:val="24"/>
          <w:u w:val="none"/>
          <w:vertAlign w:val="subscript"/>
        </w:rPr>
        <w:t>5</w:t>
      </w:r>
      <w:r>
        <w:rPr>
          <w:rFonts w:ascii="Times New Roman" w:hAnsi="Times New Roman" w:eastAsia="宋体" w:cs="Times New Roman"/>
          <w:color w:val="auto"/>
          <w:sz w:val="24"/>
          <w:szCs w:val="24"/>
          <w:u w:val="none"/>
        </w:rPr>
        <w:t>)</w:t>
      </w:r>
    </w:p>
    <w:p w14:paraId="511193EA">
      <w:pPr>
        <w:spacing w:line="360" w:lineRule="auto"/>
        <w:ind w:firstLine="480" w:firstLineChars="200"/>
        <w:rPr>
          <w:rFonts w:hint="default" w:ascii="Times New Roman" w:hAnsi="Times New Roman" w:eastAsia="宋体" w:cs="Times New Roman"/>
          <w:color w:val="auto"/>
          <w:sz w:val="24"/>
          <w:szCs w:val="24"/>
          <w:u w:val="none"/>
          <w:lang w:val="en-US" w:eastAsia="zh-CN"/>
        </w:rPr>
      </w:pPr>
      <w:r>
        <w:rPr>
          <w:rFonts w:ascii="Times New Roman" w:hAnsi="Times New Roman" w:eastAsia="宋体" w:cs="Times New Roman"/>
          <w:color w:val="auto"/>
          <w:sz w:val="24"/>
          <w:szCs w:val="24"/>
          <w:u w:val="none"/>
        </w:rPr>
        <w:t>根据《石油化工企业给水排水系统设计规范》（SH3015-2003）5.3.4条规定：“一次降雨污染雨水总量宜按污染区面积与其15~30mm降水深度的乘积计算”</w:t>
      </w:r>
      <w:r>
        <w:rPr>
          <w:rFonts w:hint="eastAsia" w:ascii="Times New Roman" w:hAnsi="Times New Roman" w:eastAsia="宋体" w:cs="Times New Roman"/>
          <w:color w:val="auto"/>
          <w:sz w:val="24"/>
          <w:szCs w:val="24"/>
          <w:u w:val="none"/>
        </w:rPr>
        <w:t>。</w:t>
      </w:r>
      <w:r>
        <w:rPr>
          <w:rFonts w:ascii="Times New Roman" w:hAnsi="Times New Roman" w:eastAsia="宋体" w:cs="Times New Roman"/>
          <w:color w:val="auto"/>
          <w:sz w:val="24"/>
          <w:szCs w:val="24"/>
          <w:u w:val="none"/>
        </w:rPr>
        <w:t>本项目雨水冲刷地面时，</w:t>
      </w:r>
      <w:r>
        <w:rPr>
          <w:rFonts w:hint="eastAsia" w:ascii="Times New Roman" w:hAnsi="Times New Roman" w:eastAsia="宋体" w:cs="Times New Roman"/>
          <w:color w:val="auto"/>
          <w:sz w:val="24"/>
          <w:szCs w:val="24"/>
          <w:u w:val="none"/>
        </w:rPr>
        <w:t>厂区内运输道路以及车间外</w:t>
      </w:r>
      <w:r>
        <w:rPr>
          <w:rFonts w:ascii="Times New Roman" w:hAnsi="Times New Roman" w:eastAsia="宋体" w:cs="Times New Roman"/>
          <w:color w:val="auto"/>
          <w:sz w:val="24"/>
          <w:szCs w:val="24"/>
          <w:u w:val="none"/>
        </w:rPr>
        <w:t>地面会存在</w:t>
      </w:r>
      <w:r>
        <w:rPr>
          <w:rFonts w:hint="eastAsia" w:ascii="Times New Roman" w:hAnsi="Times New Roman" w:eastAsia="宋体" w:cs="Times New Roman"/>
          <w:color w:val="auto"/>
          <w:sz w:val="24"/>
          <w:szCs w:val="24"/>
          <w:u w:val="none"/>
        </w:rPr>
        <w:t>生产过程中跑冒滴漏产生的物料等</w:t>
      </w:r>
      <w:r>
        <w:rPr>
          <w:rFonts w:ascii="Times New Roman" w:hAnsi="Times New Roman" w:eastAsia="宋体" w:cs="Times New Roman"/>
          <w:color w:val="auto"/>
          <w:sz w:val="24"/>
          <w:szCs w:val="24"/>
          <w:u w:val="none"/>
        </w:rPr>
        <w:t>，经雨水冲刷会成为废水</w:t>
      </w:r>
      <w:r>
        <w:rPr>
          <w:rFonts w:hint="eastAsia" w:ascii="Times New Roman" w:hAnsi="Times New Roman" w:eastAsia="宋体" w:cs="Times New Roman"/>
          <w:color w:val="auto"/>
          <w:sz w:val="24"/>
          <w:szCs w:val="24"/>
          <w:u w:val="none"/>
        </w:rPr>
        <w:t>，</w:t>
      </w:r>
      <w:r>
        <w:rPr>
          <w:rFonts w:ascii="Times New Roman" w:hAnsi="Times New Roman" w:eastAsia="宋体" w:cs="Times New Roman"/>
          <w:color w:val="auto"/>
          <w:sz w:val="24"/>
          <w:szCs w:val="24"/>
          <w:u w:val="none"/>
        </w:rPr>
        <w:t>污染区域按照</w:t>
      </w:r>
      <w:r>
        <w:rPr>
          <w:rFonts w:hint="eastAsia" w:ascii="Times New Roman" w:hAnsi="Times New Roman" w:eastAsia="宋体" w:cs="Times New Roman"/>
          <w:color w:val="auto"/>
          <w:sz w:val="24"/>
          <w:szCs w:val="24"/>
          <w:u w:val="none"/>
        </w:rPr>
        <w:t>厂区生产区面积约</w:t>
      </w:r>
      <w:r>
        <w:rPr>
          <w:rFonts w:hint="eastAsia" w:ascii="Times New Roman" w:hAnsi="Times New Roman" w:eastAsia="宋体" w:cs="宋体"/>
          <w:color w:val="auto"/>
          <w:sz w:val="24"/>
          <w:szCs w:val="24"/>
          <w:u w:val="none"/>
          <w:lang w:val="en-US" w:eastAsia="zh-CN"/>
        </w:rPr>
        <w:t>9875.88</w:t>
      </w:r>
      <w:r>
        <w:rPr>
          <w:rFonts w:hint="eastAsia" w:ascii="Times New Roman" w:hAnsi="Times New Roman" w:eastAsia="宋体" w:cs="Times New Roman"/>
          <w:color w:val="auto"/>
          <w:sz w:val="24"/>
          <w:szCs w:val="24"/>
          <w:u w:val="none"/>
          <w:lang w:eastAsia="zh-CN"/>
        </w:rPr>
        <w:t>m</w:t>
      </w:r>
      <w:r>
        <w:rPr>
          <w:rFonts w:hint="eastAsia" w:ascii="Times New Roman" w:hAnsi="Times New Roman" w:eastAsia="宋体" w:cs="Times New Roman"/>
          <w:color w:val="auto"/>
          <w:sz w:val="24"/>
          <w:szCs w:val="24"/>
          <w:u w:val="none"/>
          <w:vertAlign w:val="superscript"/>
          <w:lang w:eastAsia="zh-CN"/>
        </w:rPr>
        <w:t>2</w:t>
      </w:r>
      <w:r>
        <w:rPr>
          <w:rFonts w:hint="eastAsia" w:ascii="Times New Roman" w:hAnsi="Times New Roman" w:eastAsia="宋体" w:cs="Times New Roman"/>
          <w:color w:val="auto"/>
          <w:sz w:val="24"/>
          <w:szCs w:val="24"/>
          <w:u w:val="none"/>
        </w:rPr>
        <w:t>，</w:t>
      </w:r>
      <w:r>
        <w:rPr>
          <w:rFonts w:ascii="Times New Roman" w:hAnsi="Times New Roman" w:eastAsia="宋体" w:cs="Times New Roman"/>
          <w:color w:val="auto"/>
          <w:sz w:val="24"/>
          <w:szCs w:val="24"/>
          <w:u w:val="none"/>
        </w:rPr>
        <w:t>降水深度按</w:t>
      </w:r>
      <w:r>
        <w:rPr>
          <w:rFonts w:hint="eastAsia" w:ascii="Times New Roman" w:hAnsi="Times New Roman" w:eastAsia="宋体" w:cs="Times New Roman"/>
          <w:color w:val="auto"/>
          <w:sz w:val="24"/>
          <w:szCs w:val="24"/>
          <w:u w:val="none"/>
          <w:lang w:val="en-US" w:eastAsia="zh-CN"/>
        </w:rPr>
        <w:t>平均值20</w:t>
      </w:r>
      <w:r>
        <w:rPr>
          <w:rFonts w:ascii="Times New Roman" w:hAnsi="Times New Roman" w:eastAsia="宋体" w:cs="Times New Roman"/>
          <w:color w:val="auto"/>
          <w:sz w:val="24"/>
          <w:szCs w:val="24"/>
          <w:u w:val="none"/>
        </w:rPr>
        <w:t>mm取值</w:t>
      </w:r>
      <w:r>
        <w:rPr>
          <w:rFonts w:hint="eastAsia" w:ascii="Times New Roman" w:hAnsi="Times New Roman" w:eastAsia="宋体" w:cs="Times New Roman"/>
          <w:color w:val="auto"/>
          <w:sz w:val="24"/>
          <w:szCs w:val="24"/>
          <w:u w:val="none"/>
        </w:rPr>
        <w:t>。</w:t>
      </w:r>
      <w:r>
        <w:rPr>
          <w:rFonts w:ascii="Times New Roman" w:hAnsi="Times New Roman" w:eastAsia="宋体" w:cs="Times New Roman"/>
          <w:color w:val="auto"/>
          <w:sz w:val="24"/>
          <w:szCs w:val="24"/>
          <w:u w:val="none"/>
        </w:rPr>
        <w:t>由此可计算出本项目每次最大初期雨水量为</w:t>
      </w:r>
      <w:r>
        <w:rPr>
          <w:rFonts w:hint="eastAsia" w:ascii="Times New Roman" w:hAnsi="Times New Roman" w:eastAsia="宋体" w:cs="Times New Roman"/>
          <w:color w:val="auto"/>
          <w:sz w:val="24"/>
          <w:szCs w:val="24"/>
          <w:u w:val="none"/>
          <w:lang w:val="en-US" w:eastAsia="zh-CN"/>
        </w:rPr>
        <w:t>197.52</w:t>
      </w:r>
      <w:r>
        <w:rPr>
          <w:rFonts w:hint="eastAsia" w:ascii="Times New Roman" w:hAnsi="Times New Roman" w:eastAsia="宋体" w:cs="Times New Roman"/>
          <w:color w:val="auto"/>
          <w:sz w:val="24"/>
          <w:szCs w:val="24"/>
          <w:u w:val="none"/>
          <w:lang w:eastAsia="zh-CN"/>
        </w:rPr>
        <w:t>m</w:t>
      </w:r>
      <w:r>
        <w:rPr>
          <w:rFonts w:hint="eastAsia" w:ascii="Times New Roman" w:hAnsi="Times New Roman" w:eastAsia="宋体" w:cs="Times New Roman"/>
          <w:color w:val="auto"/>
          <w:sz w:val="24"/>
          <w:szCs w:val="24"/>
          <w:u w:val="none"/>
          <w:vertAlign w:val="superscript"/>
          <w:lang w:eastAsia="zh-CN"/>
        </w:rPr>
        <w:t>3</w:t>
      </w:r>
      <w:r>
        <w:rPr>
          <w:rFonts w:hint="eastAsia" w:ascii="Times New Roman" w:hAnsi="Times New Roman" w:eastAsia="宋体" w:cs="Times New Roman"/>
          <w:color w:val="auto"/>
          <w:sz w:val="24"/>
          <w:szCs w:val="24"/>
          <w:u w:val="none"/>
          <w:lang w:eastAsia="zh-CN"/>
        </w:rPr>
        <w:t>，</w:t>
      </w:r>
      <w:r>
        <w:rPr>
          <w:rFonts w:hint="eastAsia" w:ascii="Times New Roman" w:hAnsi="Times New Roman" w:eastAsia="宋体" w:cs="Times New Roman"/>
          <w:color w:val="auto"/>
          <w:sz w:val="24"/>
          <w:szCs w:val="24"/>
          <w:u w:val="none"/>
          <w:lang w:val="en-US" w:eastAsia="zh-CN"/>
        </w:rPr>
        <w:t>则V5取197.52</w:t>
      </w:r>
      <w:r>
        <w:rPr>
          <w:rFonts w:hint="eastAsia" w:ascii="Times New Roman" w:hAnsi="Times New Roman" w:eastAsia="宋体" w:cs="Times New Roman"/>
          <w:color w:val="auto"/>
          <w:sz w:val="24"/>
          <w:szCs w:val="24"/>
          <w:u w:val="none"/>
          <w:lang w:eastAsia="zh-CN"/>
        </w:rPr>
        <w:t>m</w:t>
      </w:r>
      <w:r>
        <w:rPr>
          <w:rFonts w:hint="eastAsia" w:ascii="Times New Roman" w:hAnsi="Times New Roman" w:eastAsia="宋体" w:cs="Times New Roman"/>
          <w:color w:val="auto"/>
          <w:sz w:val="24"/>
          <w:szCs w:val="24"/>
          <w:u w:val="none"/>
          <w:vertAlign w:val="superscript"/>
          <w:lang w:eastAsia="zh-CN"/>
        </w:rPr>
        <w:t>3</w:t>
      </w:r>
      <w:r>
        <w:rPr>
          <w:rFonts w:hint="eastAsia" w:ascii="Times New Roman" w:hAnsi="Times New Roman" w:eastAsia="宋体" w:cs="Times New Roman"/>
          <w:color w:val="auto"/>
          <w:sz w:val="24"/>
          <w:szCs w:val="24"/>
          <w:u w:val="none"/>
          <w:vertAlign w:val="baseline"/>
          <w:lang w:eastAsia="zh-CN"/>
        </w:rPr>
        <w:t>。</w:t>
      </w:r>
      <w:r>
        <w:rPr>
          <w:rFonts w:hint="eastAsia" w:ascii="Times New Roman" w:hAnsi="Times New Roman" w:eastAsia="宋体" w:cs="Times New Roman"/>
          <w:color w:val="auto"/>
          <w:sz w:val="24"/>
          <w:szCs w:val="24"/>
          <w:u w:val="none"/>
          <w:lang w:val="en-US" w:eastAsia="zh-CN"/>
        </w:rPr>
        <w:t>本项目现有初期雨水收集池300m</w:t>
      </w:r>
      <w:r>
        <w:rPr>
          <w:rFonts w:hint="eastAsia" w:ascii="Times New Roman" w:hAnsi="Times New Roman" w:eastAsia="宋体" w:cs="Times New Roman"/>
          <w:color w:val="auto"/>
          <w:sz w:val="24"/>
          <w:szCs w:val="24"/>
          <w:u w:val="none"/>
          <w:vertAlign w:val="superscript"/>
          <w:lang w:val="en-US" w:eastAsia="zh-CN"/>
        </w:rPr>
        <w:t>3</w:t>
      </w:r>
      <w:r>
        <w:rPr>
          <w:rFonts w:hint="eastAsia" w:ascii="Times New Roman" w:hAnsi="Times New Roman" w:eastAsia="宋体" w:cs="Times New Roman"/>
          <w:color w:val="auto"/>
          <w:sz w:val="24"/>
          <w:szCs w:val="24"/>
          <w:u w:val="none"/>
          <w:lang w:val="en-US" w:eastAsia="zh-CN"/>
        </w:rPr>
        <w:t>，可满足初期雨水收集要求，依托具有可行性。</w:t>
      </w:r>
    </w:p>
    <w:p w14:paraId="644BD305">
      <w:pPr>
        <w:spacing w:line="360" w:lineRule="auto"/>
        <w:ind w:firstLine="480" w:firstLineChars="200"/>
        <w:rPr>
          <w:rFonts w:ascii="Times New Roman" w:hAnsi="Times New Roman" w:eastAsia="宋体" w:cs="Times New Roman"/>
          <w:color w:val="auto"/>
          <w:sz w:val="24"/>
          <w:szCs w:val="24"/>
          <w:u w:val="none"/>
        </w:rPr>
      </w:pPr>
      <w:r>
        <w:rPr>
          <w:rFonts w:hint="eastAsia" w:ascii="Times New Roman" w:hAnsi="Times New Roman" w:eastAsia="宋体" w:cs="Times New Roman"/>
          <w:color w:val="auto"/>
          <w:sz w:val="24"/>
          <w:szCs w:val="24"/>
          <w:u w:val="none"/>
        </w:rPr>
        <w:t>综上，</w:t>
      </w:r>
      <w:r>
        <w:rPr>
          <w:rFonts w:ascii="Times New Roman" w:hAnsi="Times New Roman" w:eastAsia="宋体" w:cs="Times New Roman"/>
          <w:color w:val="auto"/>
          <w:sz w:val="24"/>
          <w:szCs w:val="24"/>
          <w:u w:val="none"/>
        </w:rPr>
        <w:t>V</w:t>
      </w:r>
      <w:r>
        <w:rPr>
          <w:rFonts w:ascii="Times New Roman" w:hAnsi="Times New Roman" w:eastAsia="宋体" w:cs="Times New Roman"/>
          <w:color w:val="auto"/>
          <w:sz w:val="24"/>
          <w:szCs w:val="24"/>
          <w:u w:val="none"/>
          <w:vertAlign w:val="subscript"/>
        </w:rPr>
        <w:t>总</w:t>
      </w:r>
      <w:r>
        <w:rPr>
          <w:rFonts w:ascii="Times New Roman" w:hAnsi="Times New Roman" w:eastAsia="宋体" w:cs="Times New Roman"/>
          <w:color w:val="auto"/>
          <w:sz w:val="24"/>
          <w:szCs w:val="24"/>
          <w:u w:val="none"/>
        </w:rPr>
        <w:t>=(V</w:t>
      </w:r>
      <w:r>
        <w:rPr>
          <w:rFonts w:ascii="Times New Roman" w:hAnsi="Times New Roman" w:eastAsia="宋体" w:cs="Times New Roman"/>
          <w:color w:val="auto"/>
          <w:sz w:val="24"/>
          <w:szCs w:val="24"/>
          <w:u w:val="none"/>
          <w:vertAlign w:val="subscript"/>
        </w:rPr>
        <w:t>1</w:t>
      </w:r>
      <w:r>
        <w:rPr>
          <w:rFonts w:ascii="Times New Roman" w:hAnsi="Times New Roman" w:eastAsia="宋体" w:cs="Times New Roman"/>
          <w:color w:val="auto"/>
          <w:sz w:val="24"/>
          <w:szCs w:val="24"/>
          <w:u w:val="none"/>
        </w:rPr>
        <w:t>＋V</w:t>
      </w:r>
      <w:r>
        <w:rPr>
          <w:rFonts w:ascii="Times New Roman" w:hAnsi="Times New Roman" w:eastAsia="宋体" w:cs="Times New Roman"/>
          <w:color w:val="auto"/>
          <w:sz w:val="24"/>
          <w:szCs w:val="24"/>
          <w:u w:val="none"/>
          <w:vertAlign w:val="subscript"/>
        </w:rPr>
        <w:t>2</w:t>
      </w:r>
      <w:r>
        <w:rPr>
          <w:rFonts w:ascii="Times New Roman" w:hAnsi="Times New Roman" w:eastAsia="宋体" w:cs="Times New Roman"/>
          <w:color w:val="auto"/>
          <w:sz w:val="24"/>
          <w:szCs w:val="24"/>
          <w:u w:val="none"/>
        </w:rPr>
        <w:t>-V</w:t>
      </w:r>
      <w:r>
        <w:rPr>
          <w:rFonts w:ascii="Times New Roman" w:hAnsi="Times New Roman" w:eastAsia="宋体" w:cs="Times New Roman"/>
          <w:color w:val="auto"/>
          <w:sz w:val="24"/>
          <w:szCs w:val="24"/>
          <w:u w:val="none"/>
          <w:vertAlign w:val="subscript"/>
        </w:rPr>
        <w:t>3</w:t>
      </w:r>
      <w:r>
        <w:rPr>
          <w:rFonts w:ascii="Times New Roman" w:hAnsi="Times New Roman" w:eastAsia="宋体" w:cs="Times New Roman"/>
          <w:color w:val="auto"/>
          <w:sz w:val="24"/>
          <w:szCs w:val="24"/>
          <w:u w:val="none"/>
        </w:rPr>
        <w:t>)</w:t>
      </w:r>
      <w:r>
        <w:rPr>
          <w:rFonts w:ascii="Times New Roman" w:hAnsi="Times New Roman" w:eastAsia="宋体" w:cs="Times New Roman"/>
          <w:color w:val="auto"/>
          <w:sz w:val="24"/>
          <w:szCs w:val="24"/>
          <w:u w:val="none"/>
          <w:vertAlign w:val="subscript"/>
        </w:rPr>
        <w:t>max</w:t>
      </w:r>
      <w:r>
        <w:rPr>
          <w:rFonts w:ascii="Times New Roman" w:hAnsi="Times New Roman" w:eastAsia="宋体" w:cs="Times New Roman"/>
          <w:color w:val="auto"/>
          <w:sz w:val="24"/>
          <w:szCs w:val="24"/>
          <w:u w:val="none"/>
        </w:rPr>
        <w:t>+V</w:t>
      </w:r>
      <w:r>
        <w:rPr>
          <w:rFonts w:ascii="Times New Roman" w:hAnsi="Times New Roman" w:eastAsia="宋体" w:cs="Times New Roman"/>
          <w:color w:val="auto"/>
          <w:sz w:val="24"/>
          <w:szCs w:val="24"/>
          <w:u w:val="none"/>
          <w:vertAlign w:val="subscript"/>
        </w:rPr>
        <w:t>4</w:t>
      </w:r>
      <w:r>
        <w:rPr>
          <w:rFonts w:ascii="Times New Roman" w:hAnsi="Times New Roman" w:eastAsia="宋体" w:cs="Times New Roman"/>
          <w:color w:val="auto"/>
          <w:sz w:val="24"/>
          <w:szCs w:val="24"/>
          <w:u w:val="none"/>
        </w:rPr>
        <w:t>+V</w:t>
      </w:r>
      <w:r>
        <w:rPr>
          <w:rFonts w:ascii="Times New Roman" w:hAnsi="Times New Roman" w:eastAsia="宋体" w:cs="Times New Roman"/>
          <w:color w:val="auto"/>
          <w:sz w:val="24"/>
          <w:szCs w:val="24"/>
          <w:u w:val="none"/>
          <w:vertAlign w:val="subscript"/>
        </w:rPr>
        <w:t>5</w:t>
      </w:r>
      <w:r>
        <w:rPr>
          <w:rFonts w:hint="eastAsia" w:ascii="Times New Roman" w:hAnsi="Times New Roman" w:eastAsia="宋体" w:cs="Times New Roman"/>
          <w:color w:val="auto"/>
          <w:sz w:val="24"/>
          <w:szCs w:val="24"/>
          <w:u w:val="none"/>
        </w:rPr>
        <w:t>=</w:t>
      </w:r>
      <w:r>
        <w:rPr>
          <w:rFonts w:hint="eastAsia" w:ascii="Times New Roman" w:hAnsi="Times New Roman" w:eastAsia="宋体" w:cs="Times New Roman"/>
          <w:color w:val="auto"/>
          <w:sz w:val="24"/>
          <w:szCs w:val="24"/>
          <w:u w:val="none"/>
          <w:lang w:val="en-US" w:eastAsia="zh-CN"/>
        </w:rPr>
        <w:t>309.52</w:t>
      </w:r>
      <w:r>
        <w:rPr>
          <w:rFonts w:hint="eastAsia" w:ascii="Times New Roman" w:hAnsi="Times New Roman" w:eastAsia="宋体" w:cs="Times New Roman"/>
          <w:color w:val="auto"/>
          <w:sz w:val="24"/>
          <w:szCs w:val="24"/>
          <w:u w:val="none"/>
          <w:lang w:eastAsia="zh-CN"/>
        </w:rPr>
        <w:t>m</w:t>
      </w:r>
      <w:r>
        <w:rPr>
          <w:rFonts w:hint="eastAsia" w:ascii="Times New Roman" w:hAnsi="Times New Roman" w:eastAsia="宋体" w:cs="Times New Roman"/>
          <w:color w:val="auto"/>
          <w:sz w:val="24"/>
          <w:szCs w:val="24"/>
          <w:u w:val="none"/>
          <w:vertAlign w:val="superscript"/>
          <w:lang w:eastAsia="zh-CN"/>
        </w:rPr>
        <w:t>3</w:t>
      </w:r>
      <w:r>
        <w:rPr>
          <w:rFonts w:hint="eastAsia" w:ascii="Times New Roman" w:hAnsi="Times New Roman" w:eastAsia="宋体" w:cs="Times New Roman"/>
          <w:color w:val="auto"/>
          <w:sz w:val="24"/>
          <w:szCs w:val="24"/>
          <w:u w:val="none"/>
        </w:rPr>
        <w:t>，厂区内现有工程已建成一座事故</w:t>
      </w:r>
      <w:r>
        <w:rPr>
          <w:rFonts w:hint="eastAsia" w:ascii="Times New Roman" w:hAnsi="Times New Roman" w:eastAsia="宋体" w:cs="Times New Roman"/>
          <w:color w:val="auto"/>
          <w:sz w:val="24"/>
          <w:szCs w:val="24"/>
          <w:u w:val="none"/>
          <w:lang w:val="en-US" w:eastAsia="zh-CN"/>
        </w:rPr>
        <w:t>应急</w:t>
      </w:r>
      <w:r>
        <w:rPr>
          <w:rFonts w:hint="eastAsia" w:ascii="Times New Roman" w:hAnsi="Times New Roman" w:eastAsia="宋体" w:cs="Times New Roman"/>
          <w:color w:val="auto"/>
          <w:sz w:val="24"/>
          <w:szCs w:val="24"/>
          <w:u w:val="none"/>
        </w:rPr>
        <w:t>池，容积为</w:t>
      </w:r>
      <w:r>
        <w:rPr>
          <w:rFonts w:hint="eastAsia" w:ascii="Times New Roman" w:hAnsi="Times New Roman" w:eastAsia="宋体" w:cs="Times New Roman"/>
          <w:color w:val="auto"/>
          <w:sz w:val="24"/>
          <w:szCs w:val="24"/>
          <w:u w:val="none"/>
          <w:lang w:val="en-US" w:eastAsia="zh-CN"/>
        </w:rPr>
        <w:t>370</w:t>
      </w:r>
      <w:r>
        <w:rPr>
          <w:rFonts w:hint="eastAsia" w:ascii="Times New Roman" w:hAnsi="Times New Roman" w:eastAsia="宋体" w:cs="Times New Roman"/>
          <w:color w:val="auto"/>
          <w:sz w:val="24"/>
          <w:szCs w:val="24"/>
          <w:u w:val="none"/>
        </w:rPr>
        <w:t>m³，可满足拟建项目所需。</w:t>
      </w:r>
    </w:p>
    <w:p w14:paraId="4BEB625F">
      <w:pPr>
        <w:pStyle w:val="3"/>
        <w:spacing w:before="100" w:beforeAutospacing="1" w:after="100" w:afterAutospacing="1" w:line="360" w:lineRule="auto"/>
        <w:rPr>
          <w:rFonts w:ascii="Times New Roman" w:hAnsi="Times New Roman"/>
          <w:color w:val="auto"/>
          <w:kern w:val="0"/>
          <w:sz w:val="28"/>
          <w:szCs w:val="28"/>
        </w:rPr>
      </w:pPr>
      <w:bookmarkStart w:id="303" w:name="_Toc22915"/>
      <w:bookmarkStart w:id="304" w:name="_Toc19405"/>
      <w:r>
        <w:rPr>
          <w:rFonts w:ascii="Times New Roman" w:hAnsi="Times New Roman"/>
          <w:color w:val="auto"/>
          <w:kern w:val="0"/>
          <w:sz w:val="28"/>
          <w:szCs w:val="28"/>
        </w:rPr>
        <w:t>8.</w:t>
      </w:r>
      <w:r>
        <w:rPr>
          <w:rFonts w:hint="eastAsia" w:ascii="Times New Roman" w:hAnsi="Times New Roman"/>
          <w:color w:val="auto"/>
          <w:kern w:val="0"/>
          <w:sz w:val="28"/>
          <w:szCs w:val="28"/>
          <w:lang w:val="en-US" w:eastAsia="zh-CN"/>
        </w:rPr>
        <w:t>7</w:t>
      </w:r>
      <w:r>
        <w:rPr>
          <w:rFonts w:hint="eastAsia" w:ascii="Times New Roman" w:hAnsi="Times New Roman"/>
          <w:color w:val="auto"/>
          <w:kern w:val="0"/>
          <w:sz w:val="28"/>
          <w:szCs w:val="28"/>
        </w:rPr>
        <w:t>事故应急预案</w:t>
      </w:r>
      <w:bookmarkEnd w:id="303"/>
      <w:bookmarkEnd w:id="304"/>
    </w:p>
    <w:p w14:paraId="2029C482">
      <w:pPr>
        <w:spacing w:line="360" w:lineRule="auto"/>
        <w:ind w:firstLine="480" w:firstLineChars="200"/>
        <w:rPr>
          <w:rFonts w:ascii="Times New Roman" w:hAnsi="Times New Roman" w:eastAsia="宋体" w:cs="Times New Roman"/>
          <w:color w:val="FF0000"/>
          <w:sz w:val="24"/>
          <w:szCs w:val="24"/>
        </w:rPr>
      </w:pPr>
      <w:r>
        <w:rPr>
          <w:rFonts w:ascii="Times New Roman" w:hAnsi="Times New Roman" w:eastAsia="宋体" w:cs="Times New Roman"/>
          <w:color w:val="auto"/>
          <w:sz w:val="24"/>
          <w:szCs w:val="24"/>
        </w:rPr>
        <w:t>应急预案是指根据预测危险源、危险目标可能发生事故的类别和危害程度而制定的事故应急救援方案，是针对危险源制定的一项应急反应计划。应急预案应按照《关于印发〈突发环境事件应急预案管理暂行办法〉的通知》(环发</w:t>
      </w:r>
      <w:r>
        <w:rPr>
          <w:rFonts w:hint="eastAsia" w:ascii="Times New Roman" w:hAnsi="Times New Roman" w:eastAsia="宋体" w:cs="Times New Roman"/>
          <w:color w:val="auto"/>
          <w:sz w:val="24"/>
          <w:szCs w:val="24"/>
        </w:rPr>
        <w:t>[</w:t>
      </w:r>
      <w:r>
        <w:rPr>
          <w:rFonts w:ascii="Times New Roman" w:hAnsi="Times New Roman" w:eastAsia="宋体" w:cs="Times New Roman"/>
          <w:color w:val="auto"/>
          <w:sz w:val="24"/>
          <w:szCs w:val="24"/>
        </w:rPr>
        <w:t>2010</w:t>
      </w:r>
      <w:r>
        <w:rPr>
          <w:rFonts w:hint="eastAsia" w:ascii="Times New Roman" w:hAnsi="Times New Roman" w:eastAsia="宋体" w:cs="Times New Roman"/>
          <w:color w:val="auto"/>
          <w:sz w:val="24"/>
          <w:szCs w:val="24"/>
        </w:rPr>
        <w:t>]</w:t>
      </w:r>
      <w:r>
        <w:rPr>
          <w:rFonts w:ascii="Times New Roman" w:hAnsi="Times New Roman" w:eastAsia="宋体" w:cs="Times New Roman"/>
          <w:color w:val="auto"/>
          <w:sz w:val="24"/>
          <w:szCs w:val="24"/>
        </w:rPr>
        <w:t>113号)、《关于印发&lt;企业事业单位突发环境事件应急预案备案管理办法(试行)&gt;的通知》(环发[2015]4号)</w:t>
      </w:r>
      <w:r>
        <w:rPr>
          <w:rFonts w:hint="eastAsia" w:ascii="Times New Roman" w:hAnsi="Times New Roman" w:eastAsia="宋体" w:cs="Times New Roman"/>
          <w:color w:val="auto"/>
          <w:sz w:val="24"/>
          <w:szCs w:val="24"/>
        </w:rPr>
        <w:t>、</w:t>
      </w:r>
      <w:r>
        <w:rPr>
          <w:rFonts w:ascii="Times New Roman" w:hAnsi="Times New Roman" w:eastAsia="宋体" w:cs="Times New Roman"/>
          <w:color w:val="auto"/>
          <w:sz w:val="24"/>
          <w:szCs w:val="24"/>
        </w:rPr>
        <w:t>《关于进一步加强环境影响评价管理防范环境风险的通知》(环发[2012]77号)</w:t>
      </w:r>
      <w:r>
        <w:rPr>
          <w:rFonts w:hint="eastAsia" w:ascii="Times New Roman" w:hAnsi="Times New Roman" w:eastAsia="宋体" w:cs="Times New Roman"/>
          <w:color w:val="auto"/>
          <w:sz w:val="24"/>
          <w:szCs w:val="24"/>
        </w:rPr>
        <w:t>和《湖南省环保厅关于进一步加强突发环境事件应急预案管理工作的通知》等文件要求编制。建设单位应组织编制应急预案并三年修订一次；在后期运营过程中若项目发生变动及时进行修订</w:t>
      </w:r>
      <w:r>
        <w:rPr>
          <w:rFonts w:hint="eastAsia" w:ascii="Times New Roman" w:hAnsi="Times New Roman" w:eastAsia="宋体" w:cs="Times New Roman"/>
          <w:color w:val="FF0000"/>
          <w:sz w:val="24"/>
          <w:szCs w:val="24"/>
        </w:rPr>
        <w:t>。</w:t>
      </w:r>
    </w:p>
    <w:p w14:paraId="12E5BA21">
      <w:pPr>
        <w:pStyle w:val="6"/>
        <w:bidi w:val="0"/>
      </w:pPr>
      <w:r>
        <w:t>表</w:t>
      </w:r>
      <w:r>
        <w:rPr>
          <w:rFonts w:hint="eastAsia"/>
        </w:rPr>
        <w:t>8</w:t>
      </w:r>
      <w:r>
        <w:t>.</w:t>
      </w:r>
      <w:r>
        <w:rPr>
          <w:rFonts w:hint="eastAsia"/>
          <w:lang w:val="en-US" w:eastAsia="zh-CN"/>
        </w:rPr>
        <w:t>7</w:t>
      </w:r>
      <w:r>
        <w:t xml:space="preserve">-1 </w:t>
      </w:r>
      <w:r>
        <w:rPr>
          <w:rFonts w:hint="eastAsia"/>
        </w:rPr>
        <w:t xml:space="preserve">  </w:t>
      </w:r>
      <w:r>
        <w:t xml:space="preserve"> 环境风险应急预案主要内容及要求</w:t>
      </w:r>
    </w:p>
    <w:tbl>
      <w:tblPr>
        <w:tblStyle w:val="41"/>
        <w:tblW w:w="5108" w:type="pct"/>
        <w:tblInd w:w="0" w:type="dxa"/>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Layout w:type="autofit"/>
        <w:tblCellMar>
          <w:top w:w="0" w:type="dxa"/>
          <w:left w:w="108" w:type="dxa"/>
          <w:bottom w:w="0" w:type="dxa"/>
          <w:right w:w="108" w:type="dxa"/>
        </w:tblCellMar>
      </w:tblPr>
      <w:tblGrid>
        <w:gridCol w:w="519"/>
        <w:gridCol w:w="1391"/>
        <w:gridCol w:w="6633"/>
      </w:tblGrid>
      <w:tr w14:paraId="6156EAFD">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510" w:hRule="atLeast"/>
          <w:tblHeader/>
        </w:trPr>
        <w:tc>
          <w:tcPr>
            <w:tcW w:w="304" w:type="pct"/>
            <w:tcBorders>
              <w:bottom w:val="single" w:color="000000" w:sz="2" w:space="0"/>
              <w:right w:val="single" w:color="000000" w:sz="2" w:space="0"/>
            </w:tcBorders>
            <w:tcMar>
              <w:left w:w="28" w:type="dxa"/>
              <w:right w:w="28" w:type="dxa"/>
            </w:tcMar>
            <w:vAlign w:val="center"/>
          </w:tcPr>
          <w:p w14:paraId="1222440E">
            <w:pPr>
              <w:tabs>
                <w:tab w:val="left" w:pos="720"/>
              </w:tabs>
              <w:adjustRightInd w:val="0"/>
              <w:snapToGrid w:val="0"/>
              <w:jc w:val="center"/>
              <w:textAlignment w:val="baseline"/>
              <w:rPr>
                <w:rFonts w:ascii="Times New Roman" w:hAnsi="Times New Roman" w:eastAsia="宋体" w:cs="Times New Roman"/>
                <w:b/>
                <w:color w:val="auto"/>
                <w:sz w:val="22"/>
              </w:rPr>
            </w:pPr>
            <w:r>
              <w:rPr>
                <w:rFonts w:ascii="Times New Roman" w:hAnsi="Times New Roman" w:eastAsia="宋体" w:cs="Times New Roman"/>
                <w:b/>
                <w:color w:val="auto"/>
                <w:sz w:val="22"/>
              </w:rPr>
              <w:t>序号</w:t>
            </w:r>
          </w:p>
        </w:tc>
        <w:tc>
          <w:tcPr>
            <w:tcW w:w="814" w:type="pct"/>
            <w:tcBorders>
              <w:bottom w:val="single" w:color="000000" w:sz="2" w:space="0"/>
              <w:right w:val="single" w:color="000000" w:sz="2" w:space="0"/>
            </w:tcBorders>
            <w:tcMar>
              <w:left w:w="28" w:type="dxa"/>
              <w:right w:w="28" w:type="dxa"/>
            </w:tcMar>
            <w:vAlign w:val="center"/>
          </w:tcPr>
          <w:p w14:paraId="47998C2D">
            <w:pPr>
              <w:tabs>
                <w:tab w:val="left" w:pos="720"/>
              </w:tabs>
              <w:adjustRightInd w:val="0"/>
              <w:snapToGrid w:val="0"/>
              <w:jc w:val="center"/>
              <w:textAlignment w:val="baseline"/>
              <w:rPr>
                <w:rFonts w:ascii="Times New Roman" w:hAnsi="Times New Roman" w:eastAsia="宋体" w:cs="Times New Roman"/>
                <w:b/>
                <w:color w:val="auto"/>
                <w:sz w:val="22"/>
              </w:rPr>
            </w:pPr>
            <w:r>
              <w:rPr>
                <w:rFonts w:ascii="Times New Roman" w:hAnsi="Times New Roman" w:eastAsia="宋体" w:cs="Times New Roman"/>
                <w:b/>
                <w:color w:val="auto"/>
                <w:sz w:val="22"/>
              </w:rPr>
              <w:t>项目</w:t>
            </w:r>
          </w:p>
        </w:tc>
        <w:tc>
          <w:tcPr>
            <w:tcW w:w="3881" w:type="pct"/>
            <w:tcBorders>
              <w:bottom w:val="single" w:color="000000" w:sz="2" w:space="0"/>
            </w:tcBorders>
            <w:tcMar>
              <w:left w:w="28" w:type="dxa"/>
              <w:right w:w="28" w:type="dxa"/>
            </w:tcMar>
            <w:vAlign w:val="center"/>
          </w:tcPr>
          <w:p w14:paraId="68A371F0">
            <w:pPr>
              <w:tabs>
                <w:tab w:val="left" w:pos="720"/>
              </w:tabs>
              <w:adjustRightInd w:val="0"/>
              <w:snapToGrid w:val="0"/>
              <w:jc w:val="center"/>
              <w:textAlignment w:val="baseline"/>
              <w:rPr>
                <w:rFonts w:ascii="Times New Roman" w:hAnsi="Times New Roman" w:eastAsia="宋体" w:cs="Times New Roman"/>
                <w:b/>
                <w:color w:val="auto"/>
                <w:sz w:val="22"/>
              </w:rPr>
            </w:pPr>
            <w:r>
              <w:rPr>
                <w:rFonts w:ascii="Times New Roman" w:hAnsi="Times New Roman" w:eastAsia="宋体" w:cs="Times New Roman"/>
                <w:b/>
                <w:color w:val="auto"/>
                <w:sz w:val="22"/>
              </w:rPr>
              <w:t>内容及要求</w:t>
            </w:r>
          </w:p>
        </w:tc>
      </w:tr>
      <w:tr w14:paraId="72A5EE3F">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277" w:hRule="atLeast"/>
        </w:trPr>
        <w:tc>
          <w:tcPr>
            <w:tcW w:w="304" w:type="pct"/>
            <w:tcMar>
              <w:left w:w="28" w:type="dxa"/>
              <w:right w:w="28" w:type="dxa"/>
            </w:tcMar>
            <w:vAlign w:val="center"/>
          </w:tcPr>
          <w:p w14:paraId="5E81CDD7">
            <w:pPr>
              <w:tabs>
                <w:tab w:val="left" w:pos="720"/>
              </w:tabs>
              <w:adjustRightInd w:val="0"/>
              <w:snapToGrid w:val="0"/>
              <w:jc w:val="center"/>
              <w:textAlignment w:val="baseline"/>
              <w:rPr>
                <w:rFonts w:ascii="Times New Roman" w:hAnsi="Times New Roman" w:eastAsia="宋体" w:cs="Times New Roman"/>
                <w:color w:val="auto"/>
                <w:sz w:val="22"/>
              </w:rPr>
            </w:pPr>
            <w:r>
              <w:rPr>
                <w:rFonts w:ascii="Times New Roman" w:hAnsi="Times New Roman" w:eastAsia="宋体" w:cs="Times New Roman"/>
                <w:color w:val="auto"/>
                <w:sz w:val="22"/>
              </w:rPr>
              <w:t>1</w:t>
            </w:r>
          </w:p>
        </w:tc>
        <w:tc>
          <w:tcPr>
            <w:tcW w:w="814" w:type="pct"/>
            <w:tcMar>
              <w:left w:w="28" w:type="dxa"/>
              <w:right w:w="28" w:type="dxa"/>
            </w:tcMar>
            <w:vAlign w:val="center"/>
          </w:tcPr>
          <w:p w14:paraId="34C29A75">
            <w:pPr>
              <w:tabs>
                <w:tab w:val="left" w:pos="720"/>
              </w:tabs>
              <w:adjustRightInd w:val="0"/>
              <w:snapToGrid w:val="0"/>
              <w:jc w:val="center"/>
              <w:textAlignment w:val="baseline"/>
              <w:rPr>
                <w:rFonts w:ascii="Times New Roman" w:hAnsi="Times New Roman" w:eastAsia="宋体" w:cs="Times New Roman"/>
                <w:color w:val="auto"/>
                <w:sz w:val="22"/>
              </w:rPr>
            </w:pPr>
            <w:r>
              <w:rPr>
                <w:rFonts w:ascii="Times New Roman" w:hAnsi="Times New Roman" w:eastAsia="宋体" w:cs="Times New Roman"/>
                <w:color w:val="auto"/>
                <w:sz w:val="22"/>
              </w:rPr>
              <w:t>预案适用范围</w:t>
            </w:r>
          </w:p>
        </w:tc>
        <w:tc>
          <w:tcPr>
            <w:tcW w:w="3881" w:type="pct"/>
            <w:tcMar>
              <w:left w:w="28" w:type="dxa"/>
              <w:right w:w="28" w:type="dxa"/>
            </w:tcMar>
            <w:vAlign w:val="center"/>
          </w:tcPr>
          <w:p w14:paraId="28AC3CD1">
            <w:pPr>
              <w:tabs>
                <w:tab w:val="left" w:pos="720"/>
              </w:tabs>
              <w:adjustRightInd w:val="0"/>
              <w:snapToGrid w:val="0"/>
              <w:textAlignment w:val="baseline"/>
              <w:rPr>
                <w:rFonts w:ascii="Times New Roman" w:hAnsi="Times New Roman" w:eastAsia="宋体" w:cs="Times New Roman"/>
                <w:color w:val="auto"/>
                <w:sz w:val="22"/>
              </w:rPr>
            </w:pPr>
            <w:r>
              <w:rPr>
                <w:rFonts w:ascii="Times New Roman" w:hAnsi="Times New Roman" w:eastAsia="宋体" w:cs="Times New Roman"/>
                <w:color w:val="auto"/>
                <w:sz w:val="22"/>
              </w:rPr>
              <w:t>明确预案适用的主体、地理或管理范围、事件类别和工作内容</w:t>
            </w:r>
          </w:p>
        </w:tc>
      </w:tr>
      <w:tr w14:paraId="5F7F03BD">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304" w:type="pct"/>
            <w:tcMar>
              <w:left w:w="28" w:type="dxa"/>
              <w:right w:w="28" w:type="dxa"/>
            </w:tcMar>
            <w:vAlign w:val="center"/>
          </w:tcPr>
          <w:p w14:paraId="62B1DC4C">
            <w:pPr>
              <w:tabs>
                <w:tab w:val="left" w:pos="720"/>
              </w:tabs>
              <w:adjustRightInd w:val="0"/>
              <w:snapToGrid w:val="0"/>
              <w:jc w:val="center"/>
              <w:textAlignment w:val="baseline"/>
              <w:rPr>
                <w:rFonts w:ascii="Times New Roman" w:hAnsi="Times New Roman" w:eastAsia="宋体" w:cs="Times New Roman"/>
                <w:color w:val="auto"/>
                <w:sz w:val="22"/>
              </w:rPr>
            </w:pPr>
            <w:r>
              <w:rPr>
                <w:rFonts w:ascii="Times New Roman" w:hAnsi="Times New Roman" w:eastAsia="宋体" w:cs="Times New Roman"/>
                <w:color w:val="auto"/>
                <w:sz w:val="22"/>
              </w:rPr>
              <w:t>2</w:t>
            </w:r>
          </w:p>
        </w:tc>
        <w:tc>
          <w:tcPr>
            <w:tcW w:w="814" w:type="pct"/>
            <w:tcMar>
              <w:left w:w="28" w:type="dxa"/>
              <w:right w:w="28" w:type="dxa"/>
            </w:tcMar>
            <w:vAlign w:val="center"/>
          </w:tcPr>
          <w:p w14:paraId="5C5D41B9">
            <w:pPr>
              <w:tabs>
                <w:tab w:val="left" w:pos="720"/>
              </w:tabs>
              <w:adjustRightInd w:val="0"/>
              <w:snapToGrid w:val="0"/>
              <w:jc w:val="center"/>
              <w:textAlignment w:val="baseline"/>
              <w:rPr>
                <w:rFonts w:ascii="Times New Roman" w:hAnsi="Times New Roman" w:eastAsia="宋体" w:cs="Times New Roman"/>
                <w:color w:val="auto"/>
                <w:sz w:val="22"/>
              </w:rPr>
            </w:pPr>
            <w:r>
              <w:rPr>
                <w:rFonts w:ascii="Times New Roman" w:hAnsi="Times New Roman" w:eastAsia="宋体" w:cs="Times New Roman"/>
                <w:color w:val="auto"/>
                <w:sz w:val="22"/>
              </w:rPr>
              <w:t>环境事件分类与分级</w:t>
            </w:r>
          </w:p>
        </w:tc>
        <w:tc>
          <w:tcPr>
            <w:tcW w:w="3881" w:type="pct"/>
            <w:tcMar>
              <w:left w:w="28" w:type="dxa"/>
              <w:right w:w="28" w:type="dxa"/>
            </w:tcMar>
            <w:vAlign w:val="center"/>
          </w:tcPr>
          <w:p w14:paraId="00AF488D">
            <w:pPr>
              <w:adjustRightInd w:val="0"/>
              <w:snapToGrid w:val="0"/>
              <w:rPr>
                <w:rFonts w:ascii="Times New Roman" w:hAnsi="Times New Roman" w:eastAsia="宋体" w:cs="Times New Roman"/>
                <w:color w:val="auto"/>
                <w:sz w:val="22"/>
              </w:rPr>
            </w:pPr>
            <w:r>
              <w:rPr>
                <w:rFonts w:ascii="Times New Roman" w:hAnsi="Times New Roman" w:eastAsia="宋体" w:cs="Times New Roman"/>
                <w:color w:val="auto"/>
                <w:sz w:val="22"/>
              </w:rPr>
              <w:t>根据《企业环境风险等级评估方法》，确定企业环境风险等级。</w:t>
            </w:r>
          </w:p>
        </w:tc>
      </w:tr>
      <w:tr w14:paraId="2ADCF1A1">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304" w:type="pct"/>
            <w:tcMar>
              <w:left w:w="28" w:type="dxa"/>
              <w:right w:w="28" w:type="dxa"/>
            </w:tcMar>
            <w:vAlign w:val="center"/>
          </w:tcPr>
          <w:p w14:paraId="26BF648C">
            <w:pPr>
              <w:tabs>
                <w:tab w:val="left" w:pos="720"/>
              </w:tabs>
              <w:adjustRightInd w:val="0"/>
              <w:snapToGrid w:val="0"/>
              <w:jc w:val="center"/>
              <w:textAlignment w:val="baseline"/>
              <w:rPr>
                <w:rFonts w:ascii="Times New Roman" w:hAnsi="Times New Roman" w:eastAsia="宋体" w:cs="Times New Roman"/>
                <w:color w:val="auto"/>
                <w:sz w:val="22"/>
              </w:rPr>
            </w:pPr>
            <w:r>
              <w:rPr>
                <w:rFonts w:ascii="Times New Roman" w:hAnsi="Times New Roman" w:eastAsia="宋体" w:cs="Times New Roman"/>
                <w:color w:val="auto"/>
                <w:sz w:val="22"/>
              </w:rPr>
              <w:t>3</w:t>
            </w:r>
          </w:p>
        </w:tc>
        <w:tc>
          <w:tcPr>
            <w:tcW w:w="814" w:type="pct"/>
            <w:tcMar>
              <w:left w:w="28" w:type="dxa"/>
              <w:right w:w="28" w:type="dxa"/>
            </w:tcMar>
            <w:vAlign w:val="center"/>
          </w:tcPr>
          <w:p w14:paraId="1781099B">
            <w:pPr>
              <w:tabs>
                <w:tab w:val="left" w:pos="720"/>
              </w:tabs>
              <w:adjustRightInd w:val="0"/>
              <w:snapToGrid w:val="0"/>
              <w:jc w:val="center"/>
              <w:textAlignment w:val="baseline"/>
              <w:rPr>
                <w:rFonts w:ascii="Times New Roman" w:hAnsi="Times New Roman" w:eastAsia="宋体" w:cs="Times New Roman"/>
                <w:color w:val="auto"/>
                <w:sz w:val="22"/>
              </w:rPr>
            </w:pPr>
            <w:r>
              <w:rPr>
                <w:rFonts w:ascii="Times New Roman" w:hAnsi="Times New Roman" w:eastAsia="宋体" w:cs="Times New Roman"/>
                <w:color w:val="auto"/>
                <w:sz w:val="22"/>
              </w:rPr>
              <w:t>组织机构与职责</w:t>
            </w:r>
          </w:p>
        </w:tc>
        <w:tc>
          <w:tcPr>
            <w:tcW w:w="3881" w:type="pct"/>
            <w:tcMar>
              <w:left w:w="28" w:type="dxa"/>
              <w:right w:w="28" w:type="dxa"/>
            </w:tcMar>
            <w:vAlign w:val="center"/>
          </w:tcPr>
          <w:p w14:paraId="4C5A425E">
            <w:pPr>
              <w:tabs>
                <w:tab w:val="left" w:pos="720"/>
              </w:tabs>
              <w:adjustRightInd w:val="0"/>
              <w:snapToGrid w:val="0"/>
              <w:textAlignment w:val="baseline"/>
              <w:rPr>
                <w:rFonts w:ascii="Times New Roman" w:hAnsi="Times New Roman" w:eastAsia="宋体" w:cs="Times New Roman"/>
                <w:color w:val="auto"/>
                <w:sz w:val="22"/>
              </w:rPr>
            </w:pPr>
            <w:r>
              <w:rPr>
                <w:rFonts w:hint="eastAsia" w:ascii="宋体" w:hAnsi="宋体" w:eastAsia="宋体" w:cs="宋体"/>
                <w:color w:val="auto"/>
                <w:sz w:val="22"/>
              </w:rPr>
              <w:t>①</w:t>
            </w:r>
            <w:r>
              <w:rPr>
                <w:rFonts w:ascii="Times New Roman" w:hAnsi="Times New Roman" w:eastAsia="宋体" w:cs="Times New Roman"/>
                <w:color w:val="auto"/>
                <w:sz w:val="22"/>
              </w:rPr>
              <w:t>以应急组织体系结构图、应急响应流程图的形式，说明组织体系构成、应急指挥运行机制，配有应急队伍成员名单和联系方式表；</w:t>
            </w:r>
          </w:p>
          <w:p w14:paraId="3DB0FFCB">
            <w:pPr>
              <w:pStyle w:val="40"/>
              <w:ind w:left="0" w:leftChars="0" w:firstLine="0" w:firstLineChars="0"/>
              <w:rPr>
                <w:rFonts w:ascii="Times New Roman" w:hAnsi="Times New Roman"/>
                <w:color w:val="auto"/>
                <w:sz w:val="22"/>
              </w:rPr>
            </w:pPr>
            <w:r>
              <w:rPr>
                <w:rFonts w:hint="eastAsia" w:cs="宋体"/>
                <w:color w:val="auto"/>
                <w:sz w:val="22"/>
              </w:rPr>
              <w:t>②</w:t>
            </w:r>
            <w:r>
              <w:rPr>
                <w:rFonts w:ascii="Times New Roman" w:hAnsi="Times New Roman"/>
                <w:color w:val="auto"/>
                <w:sz w:val="22"/>
              </w:rPr>
              <w:t>明确组织体系的构成及其职责。一般包括应急指挥部及其办事机构、现场处置组、环境应急监测组、应急保障组以及其他必要的行动组；</w:t>
            </w:r>
          </w:p>
          <w:p w14:paraId="4A51DAF3">
            <w:pPr>
              <w:adjustRightInd w:val="0"/>
              <w:snapToGrid w:val="0"/>
              <w:rPr>
                <w:rFonts w:ascii="Times New Roman" w:hAnsi="Times New Roman" w:eastAsia="宋体" w:cs="Times New Roman"/>
                <w:color w:val="auto"/>
                <w:sz w:val="22"/>
              </w:rPr>
            </w:pPr>
            <w:r>
              <w:rPr>
                <w:rFonts w:hint="eastAsia" w:ascii="宋体" w:hAnsi="宋体" w:eastAsia="宋体" w:cs="宋体"/>
                <w:color w:val="auto"/>
                <w:sz w:val="22"/>
              </w:rPr>
              <w:t>③</w:t>
            </w:r>
            <w:r>
              <w:rPr>
                <w:rFonts w:ascii="Times New Roman" w:hAnsi="Times New Roman" w:eastAsia="宋体" w:cs="Times New Roman"/>
                <w:color w:val="auto"/>
                <w:sz w:val="22"/>
              </w:rPr>
              <w:t>明确应急状态下指挥运行机制，建立统一应急指挥、协调和决策程序；</w:t>
            </w:r>
          </w:p>
          <w:p w14:paraId="41496BB4">
            <w:pPr>
              <w:adjustRightInd w:val="0"/>
              <w:snapToGrid w:val="0"/>
              <w:rPr>
                <w:rFonts w:ascii="Times New Roman" w:hAnsi="Times New Roman" w:eastAsia="宋体" w:cs="Times New Roman"/>
                <w:color w:val="auto"/>
                <w:sz w:val="22"/>
              </w:rPr>
            </w:pPr>
            <w:r>
              <w:rPr>
                <w:rFonts w:hint="eastAsia" w:ascii="宋体" w:hAnsi="宋体" w:eastAsia="宋体" w:cs="宋体"/>
                <w:color w:val="auto"/>
                <w:sz w:val="22"/>
              </w:rPr>
              <w:t>④</w:t>
            </w:r>
            <w:r>
              <w:rPr>
                <w:rFonts w:ascii="Times New Roman" w:hAnsi="Times New Roman" w:eastAsia="宋体" w:cs="Times New Roman"/>
                <w:color w:val="auto"/>
                <w:sz w:val="22"/>
              </w:rPr>
              <w:t>根据应急根据突发环境事件的危害程度、影响范围、周边环境敏感点、企业应急响应能力等，建立分级应急响应机制，明确不同应急响应级别对应的指挥权限；</w:t>
            </w:r>
          </w:p>
          <w:p w14:paraId="38B5A08C">
            <w:pPr>
              <w:pStyle w:val="40"/>
              <w:ind w:left="0" w:leftChars="0" w:firstLine="0" w:firstLineChars="0"/>
              <w:rPr>
                <w:rFonts w:ascii="Times New Roman" w:hAnsi="Times New Roman"/>
                <w:color w:val="auto"/>
                <w:sz w:val="22"/>
              </w:rPr>
            </w:pPr>
            <w:r>
              <w:rPr>
                <w:rFonts w:hint="eastAsia" w:cs="宋体"/>
                <w:color w:val="auto"/>
                <w:sz w:val="22"/>
              </w:rPr>
              <w:t>⑤</w:t>
            </w:r>
            <w:r>
              <w:rPr>
                <w:rFonts w:ascii="Times New Roman" w:hAnsi="Times New Roman"/>
                <w:color w:val="auto"/>
                <w:sz w:val="22"/>
              </w:rPr>
              <w:t>说明企业与政府及有关部门之间的关系。明确政府及其有关部门介入后，企业内部指挥协调、配合处置、参与应急保障等工作任务和责任人</w:t>
            </w:r>
          </w:p>
        </w:tc>
      </w:tr>
      <w:tr w14:paraId="2D499BB5">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304" w:type="pct"/>
            <w:tcMar>
              <w:left w:w="28" w:type="dxa"/>
              <w:right w:w="28" w:type="dxa"/>
            </w:tcMar>
            <w:vAlign w:val="center"/>
          </w:tcPr>
          <w:p w14:paraId="792E6E00">
            <w:pPr>
              <w:tabs>
                <w:tab w:val="left" w:pos="720"/>
              </w:tabs>
              <w:adjustRightInd w:val="0"/>
              <w:snapToGrid w:val="0"/>
              <w:jc w:val="center"/>
              <w:textAlignment w:val="baseline"/>
              <w:rPr>
                <w:rFonts w:ascii="Times New Roman" w:hAnsi="Times New Roman" w:eastAsia="宋体" w:cs="Times New Roman"/>
                <w:color w:val="auto"/>
                <w:sz w:val="22"/>
              </w:rPr>
            </w:pPr>
            <w:r>
              <w:rPr>
                <w:rFonts w:ascii="Times New Roman" w:hAnsi="Times New Roman" w:eastAsia="宋体" w:cs="Times New Roman"/>
                <w:color w:val="auto"/>
                <w:sz w:val="22"/>
              </w:rPr>
              <w:t>4</w:t>
            </w:r>
          </w:p>
        </w:tc>
        <w:tc>
          <w:tcPr>
            <w:tcW w:w="814" w:type="pct"/>
            <w:tcMar>
              <w:left w:w="28" w:type="dxa"/>
              <w:right w:w="28" w:type="dxa"/>
            </w:tcMar>
            <w:vAlign w:val="center"/>
          </w:tcPr>
          <w:p w14:paraId="053EDEE7">
            <w:pPr>
              <w:tabs>
                <w:tab w:val="left" w:pos="720"/>
              </w:tabs>
              <w:adjustRightInd w:val="0"/>
              <w:snapToGrid w:val="0"/>
              <w:jc w:val="center"/>
              <w:textAlignment w:val="baseline"/>
              <w:rPr>
                <w:rFonts w:ascii="Times New Roman" w:hAnsi="Times New Roman" w:eastAsia="宋体" w:cs="Times New Roman"/>
                <w:color w:val="auto"/>
                <w:sz w:val="22"/>
              </w:rPr>
            </w:pPr>
            <w:r>
              <w:rPr>
                <w:rFonts w:ascii="Times New Roman" w:hAnsi="Times New Roman" w:eastAsia="宋体" w:cs="Times New Roman"/>
                <w:color w:val="auto"/>
                <w:sz w:val="22"/>
              </w:rPr>
              <w:t>监控和预警</w:t>
            </w:r>
          </w:p>
        </w:tc>
        <w:tc>
          <w:tcPr>
            <w:tcW w:w="3881" w:type="pct"/>
            <w:tcMar>
              <w:left w:w="28" w:type="dxa"/>
              <w:right w:w="28" w:type="dxa"/>
            </w:tcMar>
            <w:vAlign w:val="center"/>
          </w:tcPr>
          <w:p w14:paraId="57FA02C8">
            <w:pPr>
              <w:tabs>
                <w:tab w:val="left" w:pos="720"/>
              </w:tabs>
              <w:adjustRightInd w:val="0"/>
              <w:snapToGrid w:val="0"/>
              <w:textAlignment w:val="baseline"/>
              <w:rPr>
                <w:rFonts w:ascii="Times New Roman" w:hAnsi="Times New Roman" w:eastAsia="宋体" w:cs="Times New Roman"/>
                <w:color w:val="auto"/>
                <w:sz w:val="22"/>
              </w:rPr>
            </w:pPr>
            <w:r>
              <w:rPr>
                <w:rFonts w:hint="eastAsia" w:ascii="宋体" w:hAnsi="宋体" w:eastAsia="宋体" w:cs="宋体"/>
                <w:color w:val="auto"/>
                <w:sz w:val="22"/>
              </w:rPr>
              <w:t>①</w:t>
            </w:r>
            <w:r>
              <w:rPr>
                <w:rFonts w:ascii="Times New Roman" w:hAnsi="Times New Roman" w:eastAsia="宋体" w:cs="Times New Roman"/>
                <w:color w:val="auto"/>
                <w:sz w:val="22"/>
              </w:rPr>
              <w:t>建立企业内部监控预警方案；</w:t>
            </w:r>
            <w:r>
              <w:rPr>
                <w:rFonts w:hint="eastAsia" w:ascii="宋体" w:hAnsi="宋体" w:eastAsia="宋体" w:cs="宋体"/>
                <w:color w:val="auto"/>
                <w:sz w:val="22"/>
              </w:rPr>
              <w:t>②</w:t>
            </w:r>
            <w:r>
              <w:rPr>
                <w:rFonts w:ascii="Times New Roman" w:hAnsi="Times New Roman" w:eastAsia="宋体" w:cs="Times New Roman"/>
                <w:color w:val="auto"/>
                <w:sz w:val="22"/>
              </w:rPr>
              <w:t>明确监控信息的获得途径和分析研判的方式方法；</w:t>
            </w:r>
            <w:r>
              <w:rPr>
                <w:rFonts w:hint="eastAsia" w:ascii="宋体" w:hAnsi="宋体" w:eastAsia="宋体" w:cs="宋体"/>
                <w:color w:val="auto"/>
                <w:sz w:val="22"/>
              </w:rPr>
              <w:t>③</w:t>
            </w:r>
            <w:r>
              <w:rPr>
                <w:rFonts w:ascii="Times New Roman" w:hAnsi="Times New Roman" w:eastAsia="宋体" w:cs="Times New Roman"/>
                <w:color w:val="auto"/>
                <w:sz w:val="22"/>
              </w:rPr>
              <w:t>明确企业内部预警条件，预警等级，预警信息发布、接收、调整、解除程序、发布内容、责任人；</w:t>
            </w:r>
          </w:p>
        </w:tc>
      </w:tr>
      <w:tr w14:paraId="094C387F">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304" w:type="pct"/>
            <w:tcMar>
              <w:left w:w="28" w:type="dxa"/>
              <w:right w:w="28" w:type="dxa"/>
            </w:tcMar>
            <w:vAlign w:val="center"/>
          </w:tcPr>
          <w:p w14:paraId="7BE73B8D">
            <w:pPr>
              <w:tabs>
                <w:tab w:val="left" w:pos="720"/>
              </w:tabs>
              <w:adjustRightInd w:val="0"/>
              <w:snapToGrid w:val="0"/>
              <w:jc w:val="center"/>
              <w:textAlignment w:val="baseline"/>
              <w:rPr>
                <w:rFonts w:ascii="Times New Roman" w:hAnsi="Times New Roman" w:eastAsia="宋体" w:cs="Times New Roman"/>
                <w:color w:val="auto"/>
                <w:sz w:val="22"/>
              </w:rPr>
            </w:pPr>
            <w:r>
              <w:rPr>
                <w:rFonts w:ascii="Times New Roman" w:hAnsi="Times New Roman" w:eastAsia="宋体" w:cs="Times New Roman"/>
                <w:color w:val="auto"/>
                <w:sz w:val="22"/>
              </w:rPr>
              <w:t>5</w:t>
            </w:r>
          </w:p>
        </w:tc>
        <w:tc>
          <w:tcPr>
            <w:tcW w:w="814" w:type="pct"/>
            <w:tcMar>
              <w:left w:w="28" w:type="dxa"/>
              <w:right w:w="28" w:type="dxa"/>
            </w:tcMar>
            <w:vAlign w:val="center"/>
          </w:tcPr>
          <w:p w14:paraId="70E49764">
            <w:pPr>
              <w:tabs>
                <w:tab w:val="left" w:pos="720"/>
              </w:tabs>
              <w:adjustRightInd w:val="0"/>
              <w:snapToGrid w:val="0"/>
              <w:jc w:val="center"/>
              <w:textAlignment w:val="baseline"/>
              <w:rPr>
                <w:rFonts w:ascii="Times New Roman" w:hAnsi="Times New Roman" w:eastAsia="宋体" w:cs="Times New Roman"/>
                <w:color w:val="auto"/>
                <w:sz w:val="22"/>
              </w:rPr>
            </w:pPr>
            <w:r>
              <w:rPr>
                <w:rFonts w:ascii="Times New Roman" w:hAnsi="Times New Roman" w:eastAsia="宋体" w:cs="Times New Roman"/>
                <w:color w:val="auto"/>
                <w:sz w:val="22"/>
              </w:rPr>
              <w:t>应急响应</w:t>
            </w:r>
          </w:p>
        </w:tc>
        <w:tc>
          <w:tcPr>
            <w:tcW w:w="3881" w:type="pct"/>
            <w:tcMar>
              <w:left w:w="28" w:type="dxa"/>
              <w:right w:w="28" w:type="dxa"/>
            </w:tcMar>
            <w:vAlign w:val="center"/>
          </w:tcPr>
          <w:p w14:paraId="0C90CB3F">
            <w:pPr>
              <w:tabs>
                <w:tab w:val="left" w:pos="720"/>
              </w:tabs>
              <w:adjustRightInd w:val="0"/>
              <w:snapToGrid w:val="0"/>
              <w:textAlignment w:val="baseline"/>
              <w:rPr>
                <w:rFonts w:ascii="Times New Roman" w:hAnsi="Times New Roman" w:eastAsia="宋体" w:cs="Times New Roman"/>
                <w:color w:val="auto"/>
                <w:sz w:val="22"/>
              </w:rPr>
            </w:pPr>
            <w:r>
              <w:rPr>
                <w:rFonts w:hint="eastAsia" w:ascii="宋体" w:hAnsi="宋体" w:eastAsia="宋体" w:cs="宋体"/>
                <w:color w:val="auto"/>
                <w:sz w:val="22"/>
              </w:rPr>
              <w:t>①</w:t>
            </w:r>
            <w:r>
              <w:rPr>
                <w:rFonts w:ascii="Times New Roman" w:hAnsi="Times New Roman" w:eastAsia="宋体" w:cs="Times New Roman"/>
                <w:color w:val="auto"/>
                <w:sz w:val="22"/>
              </w:rPr>
              <w:t>根据环境风险评估报告中的风险分析和情景构建内容，说明应对流程和措施，体现：企业内部控制污染源-研判污染范围-控制污染扩散-污染处置应对流程和措施；</w:t>
            </w:r>
          </w:p>
          <w:p w14:paraId="29D1E35D">
            <w:pPr>
              <w:tabs>
                <w:tab w:val="left" w:pos="720"/>
              </w:tabs>
              <w:adjustRightInd w:val="0"/>
              <w:snapToGrid w:val="0"/>
              <w:textAlignment w:val="baseline"/>
              <w:rPr>
                <w:rFonts w:ascii="Times New Roman" w:hAnsi="Times New Roman" w:eastAsia="宋体" w:cs="Times New Roman"/>
                <w:color w:val="auto"/>
                <w:sz w:val="22"/>
              </w:rPr>
            </w:pPr>
            <w:r>
              <w:rPr>
                <w:rFonts w:hint="eastAsia" w:ascii="宋体" w:hAnsi="宋体" w:eastAsia="宋体" w:cs="宋体"/>
                <w:color w:val="auto"/>
                <w:sz w:val="22"/>
              </w:rPr>
              <w:t>②</w:t>
            </w:r>
            <w:r>
              <w:rPr>
                <w:rFonts w:ascii="Times New Roman" w:hAnsi="Times New Roman" w:eastAsia="宋体" w:cs="Times New Roman"/>
                <w:color w:val="auto"/>
                <w:sz w:val="22"/>
              </w:rPr>
              <w:t>体现必要的企业外部应急措施、配合当地人民政府的响应措施及对当地人民政府应急措施的建议；</w:t>
            </w:r>
          </w:p>
          <w:p w14:paraId="740C3874">
            <w:pPr>
              <w:tabs>
                <w:tab w:val="left" w:pos="720"/>
              </w:tabs>
              <w:adjustRightInd w:val="0"/>
              <w:snapToGrid w:val="0"/>
              <w:textAlignment w:val="baseline"/>
              <w:rPr>
                <w:rFonts w:ascii="Times New Roman" w:hAnsi="Times New Roman" w:eastAsia="宋体" w:cs="Times New Roman"/>
                <w:color w:val="auto"/>
                <w:sz w:val="22"/>
              </w:rPr>
            </w:pPr>
            <w:r>
              <w:rPr>
                <w:rFonts w:hint="eastAsia" w:ascii="宋体" w:hAnsi="宋体" w:eastAsia="宋体" w:cs="宋体"/>
                <w:color w:val="auto"/>
                <w:sz w:val="22"/>
              </w:rPr>
              <w:t>③</w:t>
            </w:r>
            <w:r>
              <w:rPr>
                <w:rFonts w:ascii="Times New Roman" w:hAnsi="Times New Roman" w:eastAsia="宋体" w:cs="Times New Roman"/>
                <w:color w:val="auto"/>
                <w:sz w:val="22"/>
              </w:rPr>
              <w:t>分别说明可能的事件情景及应急处置方案，明确相关岗位人员采取措施的时间、地点、内容、方式、目标等；</w:t>
            </w:r>
          </w:p>
          <w:p w14:paraId="13DEB9E5">
            <w:pPr>
              <w:tabs>
                <w:tab w:val="left" w:pos="720"/>
              </w:tabs>
              <w:adjustRightInd w:val="0"/>
              <w:snapToGrid w:val="0"/>
              <w:textAlignment w:val="baseline"/>
              <w:rPr>
                <w:rFonts w:ascii="Times New Roman" w:hAnsi="Times New Roman" w:eastAsia="宋体" w:cs="Times New Roman"/>
                <w:color w:val="auto"/>
                <w:sz w:val="22"/>
              </w:rPr>
            </w:pPr>
            <w:r>
              <w:rPr>
                <w:rFonts w:hint="eastAsia" w:ascii="宋体" w:hAnsi="宋体" w:eastAsia="宋体" w:cs="宋体"/>
                <w:color w:val="auto"/>
                <w:sz w:val="22"/>
              </w:rPr>
              <w:t>④</w:t>
            </w:r>
            <w:r>
              <w:rPr>
                <w:rFonts w:ascii="Times New Roman" w:hAnsi="Times New Roman" w:eastAsia="宋体" w:cs="Times New Roman"/>
                <w:color w:val="auto"/>
                <w:sz w:val="22"/>
              </w:rPr>
              <w:t>将应急措施细化、落实到岗位，形成应急处置卡；</w:t>
            </w:r>
          </w:p>
          <w:p w14:paraId="628E547D">
            <w:pPr>
              <w:adjustRightInd w:val="0"/>
              <w:snapToGrid w:val="0"/>
              <w:rPr>
                <w:rFonts w:ascii="Times New Roman" w:hAnsi="Times New Roman" w:eastAsia="宋体" w:cs="Times New Roman"/>
                <w:color w:val="auto"/>
                <w:sz w:val="22"/>
              </w:rPr>
            </w:pPr>
            <w:r>
              <w:rPr>
                <w:rFonts w:hint="eastAsia" w:ascii="宋体" w:hAnsi="宋体" w:eastAsia="宋体" w:cs="宋体"/>
                <w:color w:val="auto"/>
                <w:sz w:val="22"/>
              </w:rPr>
              <w:t>⑤</w:t>
            </w:r>
            <w:r>
              <w:rPr>
                <w:rFonts w:ascii="Times New Roman" w:hAnsi="Times New Roman" w:eastAsia="宋体" w:cs="Times New Roman"/>
                <w:color w:val="auto"/>
                <w:sz w:val="22"/>
              </w:rPr>
              <w:t>配有厂区平面布置图，应急物资表/分布图</w:t>
            </w:r>
          </w:p>
        </w:tc>
      </w:tr>
      <w:tr w14:paraId="699C7CD1">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304" w:type="pct"/>
            <w:tcMar>
              <w:left w:w="28" w:type="dxa"/>
              <w:right w:w="28" w:type="dxa"/>
            </w:tcMar>
            <w:vAlign w:val="center"/>
          </w:tcPr>
          <w:p w14:paraId="4C2027FE">
            <w:pPr>
              <w:tabs>
                <w:tab w:val="left" w:pos="720"/>
              </w:tabs>
              <w:adjustRightInd w:val="0"/>
              <w:snapToGrid w:val="0"/>
              <w:jc w:val="center"/>
              <w:textAlignment w:val="baseline"/>
              <w:rPr>
                <w:rFonts w:ascii="Times New Roman" w:hAnsi="Times New Roman" w:eastAsia="宋体" w:cs="Times New Roman"/>
                <w:color w:val="auto"/>
                <w:sz w:val="22"/>
              </w:rPr>
            </w:pPr>
            <w:r>
              <w:rPr>
                <w:rFonts w:ascii="Times New Roman" w:hAnsi="Times New Roman" w:eastAsia="宋体" w:cs="Times New Roman"/>
                <w:color w:val="auto"/>
                <w:sz w:val="22"/>
              </w:rPr>
              <w:t>6</w:t>
            </w:r>
          </w:p>
        </w:tc>
        <w:tc>
          <w:tcPr>
            <w:tcW w:w="814" w:type="pct"/>
            <w:tcMar>
              <w:left w:w="28" w:type="dxa"/>
              <w:right w:w="28" w:type="dxa"/>
            </w:tcMar>
            <w:vAlign w:val="center"/>
          </w:tcPr>
          <w:p w14:paraId="08AB1C89">
            <w:pPr>
              <w:tabs>
                <w:tab w:val="left" w:pos="720"/>
              </w:tabs>
              <w:adjustRightInd w:val="0"/>
              <w:snapToGrid w:val="0"/>
              <w:jc w:val="center"/>
              <w:textAlignment w:val="baseline"/>
              <w:rPr>
                <w:rFonts w:ascii="Times New Roman" w:hAnsi="Times New Roman" w:eastAsia="宋体" w:cs="Times New Roman"/>
                <w:color w:val="auto"/>
                <w:sz w:val="22"/>
              </w:rPr>
            </w:pPr>
            <w:r>
              <w:rPr>
                <w:rFonts w:ascii="Times New Roman" w:hAnsi="Times New Roman" w:eastAsia="宋体" w:cs="Times New Roman"/>
                <w:color w:val="auto"/>
                <w:sz w:val="22"/>
              </w:rPr>
              <w:t>应急保障</w:t>
            </w:r>
          </w:p>
        </w:tc>
        <w:tc>
          <w:tcPr>
            <w:tcW w:w="3881" w:type="pct"/>
            <w:tcMar>
              <w:left w:w="28" w:type="dxa"/>
              <w:right w:w="28" w:type="dxa"/>
            </w:tcMar>
            <w:vAlign w:val="center"/>
          </w:tcPr>
          <w:p w14:paraId="27725E68">
            <w:pPr>
              <w:tabs>
                <w:tab w:val="left" w:pos="720"/>
              </w:tabs>
              <w:adjustRightInd w:val="0"/>
              <w:snapToGrid w:val="0"/>
              <w:textAlignment w:val="baseline"/>
              <w:rPr>
                <w:rFonts w:ascii="Times New Roman" w:hAnsi="Times New Roman" w:eastAsia="宋体" w:cs="Times New Roman"/>
                <w:color w:val="auto"/>
                <w:sz w:val="22"/>
              </w:rPr>
            </w:pPr>
            <w:r>
              <w:rPr>
                <w:rFonts w:ascii="Times New Roman" w:hAnsi="Times New Roman" w:eastAsia="宋体" w:cs="Times New Roman"/>
                <w:color w:val="auto"/>
                <w:sz w:val="22"/>
              </w:rPr>
              <w:t>说明环境应急预案涉及的人力资源、财力、物资以及其他技术、重要设施的保障</w:t>
            </w:r>
          </w:p>
        </w:tc>
      </w:tr>
      <w:tr w14:paraId="32C6F75F">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304" w:type="pct"/>
            <w:tcMar>
              <w:left w:w="28" w:type="dxa"/>
              <w:right w:w="28" w:type="dxa"/>
            </w:tcMar>
            <w:vAlign w:val="center"/>
          </w:tcPr>
          <w:p w14:paraId="336D513E">
            <w:pPr>
              <w:tabs>
                <w:tab w:val="left" w:pos="720"/>
              </w:tabs>
              <w:adjustRightInd w:val="0"/>
              <w:snapToGrid w:val="0"/>
              <w:jc w:val="center"/>
              <w:textAlignment w:val="baseline"/>
              <w:rPr>
                <w:rFonts w:ascii="Times New Roman" w:hAnsi="Times New Roman" w:eastAsia="宋体" w:cs="Times New Roman"/>
                <w:color w:val="auto"/>
                <w:sz w:val="22"/>
              </w:rPr>
            </w:pPr>
            <w:r>
              <w:rPr>
                <w:rFonts w:ascii="Times New Roman" w:hAnsi="Times New Roman" w:eastAsia="宋体" w:cs="Times New Roman"/>
                <w:color w:val="auto"/>
                <w:sz w:val="22"/>
              </w:rPr>
              <w:t>7</w:t>
            </w:r>
          </w:p>
        </w:tc>
        <w:tc>
          <w:tcPr>
            <w:tcW w:w="814" w:type="pct"/>
            <w:tcMar>
              <w:left w:w="28" w:type="dxa"/>
              <w:right w:w="28" w:type="dxa"/>
            </w:tcMar>
            <w:vAlign w:val="center"/>
          </w:tcPr>
          <w:p w14:paraId="03D27FE8">
            <w:pPr>
              <w:tabs>
                <w:tab w:val="left" w:pos="720"/>
              </w:tabs>
              <w:adjustRightInd w:val="0"/>
              <w:snapToGrid w:val="0"/>
              <w:jc w:val="center"/>
              <w:textAlignment w:val="baseline"/>
              <w:rPr>
                <w:rFonts w:ascii="Times New Roman" w:hAnsi="Times New Roman" w:eastAsia="宋体" w:cs="Times New Roman"/>
                <w:color w:val="auto"/>
                <w:sz w:val="22"/>
              </w:rPr>
            </w:pPr>
            <w:r>
              <w:rPr>
                <w:rFonts w:ascii="Times New Roman" w:hAnsi="Times New Roman" w:eastAsia="宋体" w:cs="Times New Roman"/>
                <w:color w:val="auto"/>
                <w:sz w:val="22"/>
              </w:rPr>
              <w:t>善后处置</w:t>
            </w:r>
          </w:p>
        </w:tc>
        <w:tc>
          <w:tcPr>
            <w:tcW w:w="3881" w:type="pct"/>
            <w:tcMar>
              <w:left w:w="28" w:type="dxa"/>
              <w:right w:w="28" w:type="dxa"/>
            </w:tcMar>
            <w:vAlign w:val="center"/>
          </w:tcPr>
          <w:p w14:paraId="3D81AC97">
            <w:pPr>
              <w:tabs>
                <w:tab w:val="left" w:pos="720"/>
              </w:tabs>
              <w:adjustRightInd w:val="0"/>
              <w:snapToGrid w:val="0"/>
              <w:textAlignment w:val="baseline"/>
              <w:rPr>
                <w:rFonts w:ascii="Times New Roman" w:hAnsi="Times New Roman" w:eastAsia="宋体" w:cs="Times New Roman"/>
                <w:color w:val="auto"/>
                <w:sz w:val="22"/>
              </w:rPr>
            </w:pPr>
            <w:r>
              <w:rPr>
                <w:rFonts w:ascii="Times New Roman" w:hAnsi="Times New Roman" w:eastAsia="宋体" w:cs="Times New Roman"/>
                <w:color w:val="auto"/>
                <w:sz w:val="22"/>
              </w:rPr>
              <w:t>说明事后恢复的工作内容和责任人，一般包括：现场污染物的后续处理；环境应急相关设施、设备、场所的维护；配合开展环境损害评估、赔偿、事件调查处理等</w:t>
            </w:r>
          </w:p>
        </w:tc>
      </w:tr>
      <w:tr w14:paraId="3CECE657">
        <w:tblPrEx>
          <w:tblBorders>
            <w:top w:val="single" w:color="auto" w:sz="4" w:space="0"/>
            <w:left w:val="single" w:color="auto" w:sz="4" w:space="0"/>
            <w:bottom w:val="single" w:color="auto" w:sz="4" w:space="0"/>
            <w:right w:val="single" w:color="auto" w:sz="4"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304" w:type="pct"/>
            <w:tcMar>
              <w:left w:w="28" w:type="dxa"/>
              <w:right w:w="28" w:type="dxa"/>
            </w:tcMar>
            <w:vAlign w:val="center"/>
          </w:tcPr>
          <w:p w14:paraId="160CBB2D">
            <w:pPr>
              <w:tabs>
                <w:tab w:val="left" w:pos="720"/>
              </w:tabs>
              <w:adjustRightInd w:val="0"/>
              <w:snapToGrid w:val="0"/>
              <w:jc w:val="center"/>
              <w:textAlignment w:val="baseline"/>
              <w:rPr>
                <w:rFonts w:ascii="Times New Roman" w:hAnsi="Times New Roman" w:eastAsia="宋体" w:cs="Times New Roman"/>
                <w:color w:val="auto"/>
                <w:sz w:val="22"/>
              </w:rPr>
            </w:pPr>
            <w:r>
              <w:rPr>
                <w:rFonts w:ascii="Times New Roman" w:hAnsi="Times New Roman" w:eastAsia="宋体" w:cs="Times New Roman"/>
                <w:color w:val="auto"/>
                <w:sz w:val="22"/>
              </w:rPr>
              <w:t>8</w:t>
            </w:r>
          </w:p>
        </w:tc>
        <w:tc>
          <w:tcPr>
            <w:tcW w:w="814" w:type="pct"/>
            <w:tcMar>
              <w:left w:w="28" w:type="dxa"/>
              <w:right w:w="28" w:type="dxa"/>
            </w:tcMar>
            <w:vAlign w:val="center"/>
          </w:tcPr>
          <w:p w14:paraId="017561A7">
            <w:pPr>
              <w:tabs>
                <w:tab w:val="left" w:pos="720"/>
              </w:tabs>
              <w:adjustRightInd w:val="0"/>
              <w:snapToGrid w:val="0"/>
              <w:jc w:val="center"/>
              <w:textAlignment w:val="baseline"/>
              <w:rPr>
                <w:rFonts w:ascii="Times New Roman" w:hAnsi="Times New Roman" w:eastAsia="宋体" w:cs="Times New Roman"/>
                <w:color w:val="auto"/>
                <w:sz w:val="22"/>
              </w:rPr>
            </w:pPr>
            <w:r>
              <w:rPr>
                <w:rFonts w:ascii="Times New Roman" w:hAnsi="Times New Roman" w:eastAsia="宋体" w:cs="Times New Roman"/>
                <w:color w:val="auto"/>
                <w:sz w:val="22"/>
              </w:rPr>
              <w:t>预案管理与演练</w:t>
            </w:r>
          </w:p>
        </w:tc>
        <w:tc>
          <w:tcPr>
            <w:tcW w:w="3881" w:type="pct"/>
            <w:tcMar>
              <w:left w:w="28" w:type="dxa"/>
              <w:right w:w="28" w:type="dxa"/>
            </w:tcMar>
            <w:vAlign w:val="center"/>
          </w:tcPr>
          <w:p w14:paraId="0F2FEEE8">
            <w:pPr>
              <w:tabs>
                <w:tab w:val="left" w:pos="720"/>
              </w:tabs>
              <w:adjustRightInd w:val="0"/>
              <w:snapToGrid w:val="0"/>
              <w:textAlignment w:val="baseline"/>
              <w:rPr>
                <w:rFonts w:ascii="Times New Roman" w:hAnsi="Times New Roman" w:eastAsia="宋体" w:cs="Times New Roman"/>
                <w:color w:val="auto"/>
                <w:sz w:val="22"/>
              </w:rPr>
            </w:pPr>
            <w:r>
              <w:rPr>
                <w:rFonts w:ascii="Times New Roman" w:hAnsi="Times New Roman" w:eastAsia="宋体" w:cs="Times New Roman"/>
                <w:color w:val="auto"/>
                <w:sz w:val="22"/>
              </w:rPr>
              <w:t>安排有关环境应急预案的培训和演练；明确环境应急预案的评估要求</w:t>
            </w:r>
          </w:p>
        </w:tc>
      </w:tr>
    </w:tbl>
    <w:p w14:paraId="39E018EF">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企业现有厂区编制有《</w:t>
      </w:r>
      <w:r>
        <w:rPr>
          <w:rFonts w:hint="eastAsia" w:ascii="Times New Roman" w:hAnsi="Times New Roman" w:eastAsia="宋体" w:cs="Times New Roman"/>
          <w:color w:val="auto"/>
          <w:sz w:val="24"/>
          <w:szCs w:val="24"/>
          <w:lang w:val="en-US" w:eastAsia="zh-CN"/>
        </w:rPr>
        <w:t>湖南龙腾生物科技有限公司</w:t>
      </w:r>
      <w:r>
        <w:rPr>
          <w:rFonts w:hint="eastAsia" w:ascii="Times New Roman" w:hAnsi="Times New Roman" w:eastAsia="宋体" w:cs="Times New Roman"/>
          <w:color w:val="auto"/>
          <w:sz w:val="24"/>
          <w:szCs w:val="24"/>
        </w:rPr>
        <w:t>突发环境事件应急预案》，且已备案。企业应按《突发环境事件应急预案管理暂行办法》（环发[2010]113号）、《湖南省突发环境事件应急预案管理办法》等相关规定修订现有《企业突发环境事件应急预案》，将本项目（扩建工程）风险管理及应急措施纳入其中，以应对突发事件，将损失和危害降到最低点。</w:t>
      </w:r>
    </w:p>
    <w:p w14:paraId="219FBD35">
      <w:pPr>
        <w:pStyle w:val="3"/>
        <w:spacing w:before="100" w:beforeAutospacing="1" w:after="100" w:afterAutospacing="1" w:line="360" w:lineRule="auto"/>
        <w:rPr>
          <w:rFonts w:ascii="Times New Roman" w:hAnsi="Times New Roman"/>
          <w:color w:val="auto"/>
          <w:kern w:val="0"/>
          <w:sz w:val="28"/>
          <w:szCs w:val="28"/>
        </w:rPr>
      </w:pPr>
      <w:bookmarkStart w:id="305" w:name="_Toc10459"/>
      <w:bookmarkStart w:id="306" w:name="_Toc25220"/>
      <w:r>
        <w:rPr>
          <w:rFonts w:ascii="Times New Roman" w:hAnsi="Times New Roman"/>
          <w:color w:val="auto"/>
          <w:kern w:val="0"/>
          <w:sz w:val="28"/>
          <w:szCs w:val="28"/>
        </w:rPr>
        <w:t>8.</w:t>
      </w:r>
      <w:r>
        <w:rPr>
          <w:rFonts w:hint="eastAsia" w:ascii="Times New Roman" w:hAnsi="Times New Roman"/>
          <w:color w:val="auto"/>
          <w:kern w:val="0"/>
          <w:sz w:val="28"/>
          <w:szCs w:val="28"/>
          <w:lang w:val="en-US" w:eastAsia="zh-CN"/>
        </w:rPr>
        <w:t>8</w:t>
      </w:r>
      <w:r>
        <w:rPr>
          <w:rFonts w:hint="eastAsia" w:ascii="Times New Roman" w:hAnsi="Times New Roman"/>
          <w:color w:val="auto"/>
          <w:kern w:val="0"/>
          <w:sz w:val="28"/>
          <w:szCs w:val="28"/>
        </w:rPr>
        <w:t>环境风险评价结论</w:t>
      </w:r>
      <w:bookmarkEnd w:id="305"/>
      <w:bookmarkEnd w:id="306"/>
    </w:p>
    <w:p w14:paraId="548A2015">
      <w:pPr>
        <w:spacing w:line="360" w:lineRule="auto"/>
        <w:ind w:firstLine="480" w:firstLineChars="200"/>
        <w:rPr>
          <w:rFonts w:ascii="Times New Roman" w:hAnsi="Times New Roman" w:eastAsia="宋体" w:cs="Times New Roman"/>
          <w:color w:val="auto"/>
          <w:sz w:val="24"/>
          <w:szCs w:val="24"/>
        </w:rPr>
        <w:sectPr>
          <w:footerReference r:id="rId14" w:type="default"/>
          <w:pgSz w:w="11906" w:h="16838"/>
          <w:pgMar w:top="1440" w:right="1800" w:bottom="1440" w:left="1800" w:header="851" w:footer="992" w:gutter="0"/>
          <w:pgNumType w:fmt="numberInDash"/>
          <w:cols w:space="425" w:num="1"/>
          <w:docGrid w:type="lines" w:linePitch="312" w:charSpace="0"/>
        </w:sectPr>
      </w:pPr>
      <w:r>
        <w:rPr>
          <w:rFonts w:hint="eastAsia" w:ascii="Times New Roman" w:hAnsi="Times New Roman" w:eastAsia="宋体" w:cs="Times New Roman"/>
          <w:color w:val="auto"/>
          <w:sz w:val="24"/>
          <w:szCs w:val="24"/>
        </w:rPr>
        <w:t>本项目环境风险防范措施可行有效，在建设单位落实好报告书提出的风险防范措施的要求后，本项目的环境风险处于可控制水平，对环境影响不大。</w:t>
      </w:r>
    </w:p>
    <w:p w14:paraId="5AB5F51C">
      <w:pPr>
        <w:keepNext/>
        <w:keepLines/>
        <w:spacing w:before="340" w:after="330" w:line="576" w:lineRule="auto"/>
        <w:jc w:val="center"/>
        <w:outlineLvl w:val="0"/>
        <w:rPr>
          <w:rFonts w:ascii="Times New Roman" w:hAnsi="Times New Roman" w:eastAsia="宋体" w:cs="Times New Roman"/>
          <w:b/>
          <w:color w:val="auto"/>
          <w:kern w:val="44"/>
          <w:sz w:val="32"/>
          <w:szCs w:val="32"/>
        </w:rPr>
      </w:pPr>
      <w:bookmarkStart w:id="307" w:name="_Toc29206"/>
      <w:bookmarkStart w:id="308" w:name="_Toc1083"/>
      <w:r>
        <w:rPr>
          <w:rFonts w:hint="eastAsia" w:ascii="Times New Roman" w:hAnsi="Times New Roman" w:eastAsia="宋体" w:cs="Times New Roman"/>
          <w:b/>
          <w:color w:val="auto"/>
          <w:kern w:val="44"/>
          <w:sz w:val="32"/>
          <w:szCs w:val="32"/>
        </w:rPr>
        <w:t>9、</w:t>
      </w:r>
      <w:r>
        <w:rPr>
          <w:rFonts w:ascii="Times New Roman" w:hAnsi="Times New Roman" w:eastAsia="宋体" w:cs="Times New Roman"/>
          <w:b/>
          <w:color w:val="auto"/>
          <w:kern w:val="44"/>
          <w:sz w:val="32"/>
          <w:szCs w:val="24"/>
        </w:rPr>
        <w:t>环境经济损益分析</w:t>
      </w:r>
      <w:bookmarkEnd w:id="307"/>
      <w:bookmarkEnd w:id="308"/>
    </w:p>
    <w:p w14:paraId="11891ABA">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环境经济损益分析旨在衡量拟建项目投入环保资金和取得的环保效果之间的得失，以评判项目的环境经济可行性，这里按“简要分析法”对拟建项目可能收到的经济、社会和环境效益进行综合分析。</w:t>
      </w:r>
    </w:p>
    <w:p w14:paraId="53D30618">
      <w:pPr>
        <w:keepNext/>
        <w:keepLines/>
        <w:spacing w:before="100" w:beforeAutospacing="1" w:after="100" w:afterAutospacing="1" w:line="360" w:lineRule="auto"/>
        <w:outlineLvl w:val="1"/>
        <w:rPr>
          <w:rFonts w:ascii="Times New Roman" w:hAnsi="Times New Roman" w:eastAsia="宋体" w:cs="Times New Roman"/>
          <w:b/>
          <w:bCs/>
          <w:color w:val="auto"/>
          <w:kern w:val="0"/>
          <w:sz w:val="28"/>
          <w:szCs w:val="28"/>
        </w:rPr>
      </w:pPr>
      <w:bookmarkStart w:id="309" w:name="_Toc16469"/>
      <w:bookmarkStart w:id="310" w:name="_Toc237"/>
      <w:r>
        <w:rPr>
          <w:rFonts w:hint="eastAsia" w:ascii="Times New Roman" w:hAnsi="Times New Roman" w:eastAsia="宋体" w:cs="Times New Roman"/>
          <w:b/>
          <w:bCs/>
          <w:color w:val="auto"/>
          <w:kern w:val="0"/>
          <w:sz w:val="28"/>
          <w:szCs w:val="28"/>
        </w:rPr>
        <w:t>9.1 经济效益分析</w:t>
      </w:r>
      <w:bookmarkEnd w:id="309"/>
      <w:bookmarkEnd w:id="310"/>
    </w:p>
    <w:p w14:paraId="619DAD38">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本项目利用合成提取技术，降低了产品的生产成本，建成投产后年利润可达</w:t>
      </w:r>
      <w:r>
        <w:rPr>
          <w:rFonts w:hint="eastAsia" w:ascii="Times New Roman" w:hAnsi="Times New Roman" w:eastAsia="宋体" w:cs="Times New Roman"/>
          <w:color w:val="auto"/>
          <w:sz w:val="24"/>
          <w:szCs w:val="24"/>
          <w:lang w:val="en-US" w:eastAsia="zh-CN"/>
        </w:rPr>
        <w:t>21000</w:t>
      </w:r>
      <w:r>
        <w:rPr>
          <w:rFonts w:hint="eastAsia" w:ascii="Times New Roman" w:hAnsi="Times New Roman" w:eastAsia="宋体" w:cs="Times New Roman"/>
          <w:color w:val="auto"/>
          <w:sz w:val="24"/>
          <w:szCs w:val="24"/>
        </w:rPr>
        <w:t>万元以上，提高了公司的收入和利润的同时增加了当地税收，促进当地经济发展，具有较好的经济效益。</w:t>
      </w:r>
    </w:p>
    <w:p w14:paraId="790B29C3">
      <w:pPr>
        <w:keepNext/>
        <w:keepLines/>
        <w:spacing w:before="100" w:beforeAutospacing="1" w:after="100" w:afterAutospacing="1" w:line="360" w:lineRule="auto"/>
        <w:outlineLvl w:val="1"/>
        <w:rPr>
          <w:rFonts w:ascii="Times New Roman" w:hAnsi="Times New Roman" w:eastAsia="宋体" w:cs="Times New Roman"/>
          <w:b/>
          <w:bCs/>
          <w:color w:val="auto"/>
          <w:kern w:val="0"/>
          <w:sz w:val="28"/>
          <w:szCs w:val="28"/>
        </w:rPr>
      </w:pPr>
      <w:bookmarkStart w:id="311" w:name="_Toc25101"/>
      <w:bookmarkStart w:id="312" w:name="_Toc12723"/>
      <w:r>
        <w:rPr>
          <w:rFonts w:hint="eastAsia" w:ascii="Times New Roman" w:hAnsi="Times New Roman" w:eastAsia="宋体" w:cs="Times New Roman"/>
          <w:b/>
          <w:bCs/>
          <w:color w:val="auto"/>
          <w:kern w:val="0"/>
          <w:sz w:val="28"/>
          <w:szCs w:val="28"/>
        </w:rPr>
        <w:t>9.2 社会效益分析</w:t>
      </w:r>
      <w:bookmarkEnd w:id="311"/>
      <w:bookmarkEnd w:id="312"/>
    </w:p>
    <w:p w14:paraId="3C4E17AC">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（1）项目的建设需要员工的加入，增加了就业机会，可解决当地一部分人员的就业问题。</w:t>
      </w:r>
    </w:p>
    <w:p w14:paraId="1AEF08D0">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（2）本项目</w:t>
      </w:r>
      <w:r>
        <w:rPr>
          <w:rFonts w:hint="eastAsia" w:ascii="Times New Roman" w:hAnsi="Times New Roman" w:eastAsia="宋体" w:cs="Times New Roman"/>
          <w:color w:val="auto"/>
          <w:sz w:val="24"/>
          <w:szCs w:val="24"/>
          <w:lang w:val="en-US" w:eastAsia="zh-CN"/>
        </w:rPr>
        <w:t>酶促转化工艺和液糖生产工艺，符合国家生产环保治理要求，降低相关产品生产成本，</w:t>
      </w:r>
      <w:r>
        <w:rPr>
          <w:rFonts w:hint="eastAsia" w:ascii="Times New Roman" w:hAnsi="Times New Roman" w:eastAsia="宋体" w:cs="Times New Roman"/>
          <w:color w:val="auto"/>
          <w:sz w:val="24"/>
          <w:szCs w:val="24"/>
        </w:rPr>
        <w:t>造福于民。</w:t>
      </w:r>
    </w:p>
    <w:p w14:paraId="6C4260B8">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综上所述，本项目具有较好的社会效益。</w:t>
      </w:r>
    </w:p>
    <w:p w14:paraId="498550E1">
      <w:pPr>
        <w:keepNext/>
        <w:keepLines/>
        <w:spacing w:before="100" w:beforeAutospacing="1" w:after="100" w:afterAutospacing="1" w:line="360" w:lineRule="auto"/>
        <w:outlineLvl w:val="1"/>
        <w:rPr>
          <w:rFonts w:ascii="Times New Roman" w:hAnsi="Times New Roman" w:eastAsia="宋体" w:cs="Times New Roman"/>
          <w:b/>
          <w:bCs/>
          <w:color w:val="auto"/>
          <w:kern w:val="0"/>
          <w:sz w:val="28"/>
          <w:szCs w:val="28"/>
        </w:rPr>
      </w:pPr>
      <w:bookmarkStart w:id="313" w:name="_Toc30911"/>
      <w:bookmarkStart w:id="314" w:name="_Toc1457"/>
      <w:r>
        <w:rPr>
          <w:rFonts w:hint="eastAsia" w:ascii="Times New Roman" w:hAnsi="Times New Roman" w:eastAsia="宋体" w:cs="Times New Roman"/>
          <w:b/>
          <w:bCs/>
          <w:color w:val="auto"/>
          <w:kern w:val="0"/>
          <w:sz w:val="28"/>
          <w:szCs w:val="28"/>
        </w:rPr>
        <w:t>9.3 环境效益分析</w:t>
      </w:r>
      <w:bookmarkEnd w:id="313"/>
      <w:bookmarkEnd w:id="314"/>
    </w:p>
    <w:p w14:paraId="1A7CA015">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本项目在营运生产过程中产生废水、废气、固体废物和噪声等污染，但是本项目工程建设单位在依托厂区部分环保设施基础上，拟投入</w:t>
      </w:r>
      <w:r>
        <w:rPr>
          <w:rFonts w:hint="eastAsia" w:ascii="Times New Roman" w:hAnsi="Times New Roman" w:eastAsia="宋体" w:cs="Times New Roman"/>
          <w:color w:val="auto"/>
          <w:sz w:val="24"/>
          <w:szCs w:val="24"/>
          <w:lang w:val="en-US" w:eastAsia="zh-CN"/>
        </w:rPr>
        <w:t>20</w:t>
      </w:r>
      <w:r>
        <w:rPr>
          <w:rFonts w:hint="eastAsia" w:ascii="Times New Roman" w:hAnsi="Times New Roman" w:eastAsia="宋体" w:cs="Times New Roman"/>
          <w:color w:val="auto"/>
          <w:sz w:val="24"/>
          <w:szCs w:val="24"/>
        </w:rPr>
        <w:t>万元的环保治理资金，对生产过程中产生的“三废”和噪声污染物采取有效的污染防治措施，使产生的各污染物的污染负荷得到大幅度的衰减，实现各污染物达标排放，对周围环境造成的不利影响较小。</w:t>
      </w:r>
    </w:p>
    <w:p w14:paraId="3A15FF06">
      <w:pPr>
        <w:keepNext/>
        <w:keepLines/>
        <w:spacing w:before="100" w:beforeAutospacing="1" w:after="100" w:afterAutospacing="1" w:line="360" w:lineRule="auto"/>
        <w:outlineLvl w:val="1"/>
        <w:rPr>
          <w:rFonts w:ascii="Times New Roman" w:hAnsi="Times New Roman" w:eastAsia="宋体" w:cs="Times New Roman"/>
          <w:b/>
          <w:bCs/>
          <w:color w:val="auto"/>
          <w:kern w:val="0"/>
          <w:sz w:val="28"/>
          <w:szCs w:val="28"/>
        </w:rPr>
      </w:pPr>
      <w:bookmarkStart w:id="315" w:name="_Toc7216"/>
      <w:bookmarkStart w:id="316" w:name="_Toc1863"/>
      <w:r>
        <w:rPr>
          <w:rFonts w:hint="eastAsia" w:ascii="Times New Roman" w:hAnsi="Times New Roman" w:eastAsia="宋体" w:cs="Times New Roman"/>
          <w:b/>
          <w:bCs/>
          <w:color w:val="auto"/>
          <w:kern w:val="0"/>
          <w:sz w:val="28"/>
          <w:szCs w:val="28"/>
        </w:rPr>
        <w:t>9.4 环保投资估算</w:t>
      </w:r>
      <w:bookmarkEnd w:id="315"/>
      <w:bookmarkEnd w:id="316"/>
    </w:p>
    <w:p w14:paraId="78E56843">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本项目总投资</w:t>
      </w:r>
      <w:r>
        <w:rPr>
          <w:rFonts w:hint="eastAsia" w:ascii="Times New Roman" w:hAnsi="Times New Roman" w:eastAsia="宋体" w:cs="Times New Roman"/>
          <w:color w:val="auto"/>
          <w:sz w:val="24"/>
          <w:szCs w:val="24"/>
          <w:lang w:val="en-US" w:eastAsia="zh-CN"/>
        </w:rPr>
        <w:t>1000</w:t>
      </w:r>
      <w:r>
        <w:rPr>
          <w:rFonts w:hint="eastAsia" w:ascii="Times New Roman" w:hAnsi="Times New Roman" w:eastAsia="宋体" w:cs="Times New Roman"/>
          <w:color w:val="auto"/>
          <w:sz w:val="24"/>
          <w:szCs w:val="24"/>
        </w:rPr>
        <w:t>万元，其中环保投资</w:t>
      </w:r>
      <w:r>
        <w:rPr>
          <w:rFonts w:hint="eastAsia" w:ascii="Times New Roman" w:hAnsi="Times New Roman" w:eastAsia="宋体" w:cs="Times New Roman"/>
          <w:color w:val="auto"/>
          <w:sz w:val="24"/>
          <w:szCs w:val="24"/>
          <w:lang w:val="en-US" w:eastAsia="zh-CN"/>
        </w:rPr>
        <w:t>20</w:t>
      </w:r>
      <w:r>
        <w:rPr>
          <w:rFonts w:hint="eastAsia" w:ascii="Times New Roman" w:hAnsi="Times New Roman" w:eastAsia="宋体" w:cs="Times New Roman"/>
          <w:color w:val="auto"/>
          <w:sz w:val="24"/>
          <w:szCs w:val="24"/>
        </w:rPr>
        <w:t>万元，占投资总额的</w:t>
      </w:r>
      <w:r>
        <w:rPr>
          <w:rFonts w:hint="eastAsia" w:ascii="Times New Roman" w:hAnsi="Times New Roman" w:eastAsia="宋体" w:cs="Times New Roman"/>
          <w:color w:val="auto"/>
          <w:sz w:val="24"/>
          <w:szCs w:val="24"/>
          <w:lang w:val="en-US" w:eastAsia="zh-CN"/>
        </w:rPr>
        <w:t>2</w:t>
      </w:r>
      <w:r>
        <w:rPr>
          <w:rFonts w:hint="eastAsia" w:ascii="Times New Roman" w:hAnsi="Times New Roman" w:eastAsia="宋体" w:cs="Times New Roman"/>
          <w:color w:val="auto"/>
          <w:sz w:val="24"/>
          <w:szCs w:val="24"/>
        </w:rPr>
        <w:t>%。主要环保投资见表9.4-1。</w:t>
      </w:r>
    </w:p>
    <w:p w14:paraId="13DDBF70">
      <w:pPr>
        <w:pStyle w:val="6"/>
        <w:bidi w:val="0"/>
      </w:pPr>
      <w:r>
        <w:rPr>
          <w:rFonts w:hint="eastAsia"/>
        </w:rPr>
        <w:t>表9.4-1 改扩建工程环保措施及投资估算</w:t>
      </w:r>
    </w:p>
    <w:tbl>
      <w:tblPr>
        <w:tblStyle w:val="41"/>
        <w:tblW w:w="506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27"/>
        <w:gridCol w:w="2348"/>
        <w:gridCol w:w="3314"/>
        <w:gridCol w:w="954"/>
        <w:gridCol w:w="1285"/>
      </w:tblGrid>
      <w:tr w14:paraId="6FF34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975" w:type="dxa"/>
            <w:gridSpan w:val="2"/>
            <w:tcMar>
              <w:top w:w="0" w:type="dxa"/>
              <w:left w:w="57" w:type="dxa"/>
              <w:bottom w:w="0" w:type="dxa"/>
              <w:right w:w="57" w:type="dxa"/>
            </w:tcMar>
            <w:vAlign w:val="center"/>
          </w:tcPr>
          <w:p w14:paraId="3D05F126">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污染源项</w:t>
            </w:r>
          </w:p>
        </w:tc>
        <w:tc>
          <w:tcPr>
            <w:tcW w:w="3314" w:type="dxa"/>
            <w:tcMar>
              <w:top w:w="0" w:type="dxa"/>
              <w:left w:w="57" w:type="dxa"/>
              <w:bottom w:w="0" w:type="dxa"/>
              <w:right w:w="57" w:type="dxa"/>
            </w:tcMar>
            <w:vAlign w:val="center"/>
          </w:tcPr>
          <w:p w14:paraId="280100E5">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治理措施</w:t>
            </w:r>
          </w:p>
        </w:tc>
        <w:tc>
          <w:tcPr>
            <w:tcW w:w="954" w:type="dxa"/>
            <w:tcMar>
              <w:top w:w="0" w:type="dxa"/>
              <w:left w:w="57" w:type="dxa"/>
              <w:bottom w:w="0" w:type="dxa"/>
              <w:right w:w="57" w:type="dxa"/>
            </w:tcMar>
            <w:vAlign w:val="center"/>
          </w:tcPr>
          <w:p w14:paraId="498C0C9C">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投资（万元）</w:t>
            </w:r>
          </w:p>
        </w:tc>
        <w:tc>
          <w:tcPr>
            <w:tcW w:w="1285" w:type="dxa"/>
            <w:tcMar>
              <w:top w:w="0" w:type="dxa"/>
              <w:left w:w="57" w:type="dxa"/>
              <w:bottom w:w="0" w:type="dxa"/>
              <w:right w:w="57" w:type="dxa"/>
            </w:tcMar>
            <w:vAlign w:val="center"/>
          </w:tcPr>
          <w:p w14:paraId="1CCC9816">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备注</w:t>
            </w:r>
          </w:p>
        </w:tc>
      </w:tr>
      <w:tr w14:paraId="4B35D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627" w:type="dxa"/>
            <w:vMerge w:val="restart"/>
            <w:tcMar>
              <w:top w:w="0" w:type="dxa"/>
              <w:left w:w="57" w:type="dxa"/>
              <w:bottom w:w="0" w:type="dxa"/>
              <w:right w:w="57" w:type="dxa"/>
            </w:tcMar>
            <w:vAlign w:val="center"/>
          </w:tcPr>
          <w:p w14:paraId="6419206E">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废气</w:t>
            </w:r>
          </w:p>
        </w:tc>
        <w:tc>
          <w:tcPr>
            <w:tcW w:w="2348" w:type="dxa"/>
            <w:tcMar>
              <w:top w:w="0" w:type="dxa"/>
              <w:left w:w="57" w:type="dxa"/>
              <w:bottom w:w="0" w:type="dxa"/>
              <w:right w:w="57" w:type="dxa"/>
            </w:tcMar>
            <w:vAlign w:val="center"/>
          </w:tcPr>
          <w:p w14:paraId="32FE1891">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发酵废气</w:t>
            </w:r>
          </w:p>
        </w:tc>
        <w:tc>
          <w:tcPr>
            <w:tcW w:w="3314" w:type="dxa"/>
            <w:tcMar>
              <w:top w:w="0" w:type="dxa"/>
              <w:left w:w="57" w:type="dxa"/>
              <w:bottom w:w="0" w:type="dxa"/>
              <w:right w:w="57" w:type="dxa"/>
            </w:tcMar>
            <w:vAlign w:val="center"/>
          </w:tcPr>
          <w:p w14:paraId="59014F23">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发酵1车间外碱喷淋预处理后，进入集中式生物除臭处理设施，尾气经21m高DA001排气筒排放</w:t>
            </w:r>
          </w:p>
        </w:tc>
        <w:tc>
          <w:tcPr>
            <w:tcW w:w="954" w:type="dxa"/>
            <w:tcMar>
              <w:top w:w="0" w:type="dxa"/>
              <w:left w:w="57" w:type="dxa"/>
              <w:bottom w:w="0" w:type="dxa"/>
              <w:right w:w="57" w:type="dxa"/>
            </w:tcMar>
            <w:vAlign w:val="center"/>
          </w:tcPr>
          <w:p w14:paraId="2245D11A">
            <w:pPr>
              <w:jc w:val="center"/>
              <w:rPr>
                <w:rFonts w:hint="eastAsia" w:ascii="Times New Roman" w:hAnsi="Times New Roman" w:eastAsia="宋体" w:cs="Times New Roman"/>
                <w:color w:val="auto"/>
                <w:szCs w:val="21"/>
                <w:lang w:eastAsia="zh-CN"/>
              </w:rPr>
            </w:pPr>
            <w:r>
              <w:rPr>
                <w:rFonts w:hint="eastAsia" w:ascii="Times New Roman" w:hAnsi="Times New Roman" w:eastAsia="宋体" w:cs="Times New Roman"/>
                <w:color w:val="auto"/>
                <w:szCs w:val="21"/>
                <w:lang w:val="en-US" w:eastAsia="zh-CN"/>
              </w:rPr>
              <w:t>/</w:t>
            </w:r>
          </w:p>
        </w:tc>
        <w:tc>
          <w:tcPr>
            <w:tcW w:w="1285" w:type="dxa"/>
            <w:tcMar>
              <w:top w:w="0" w:type="dxa"/>
              <w:left w:w="57" w:type="dxa"/>
              <w:bottom w:w="0" w:type="dxa"/>
              <w:right w:w="57" w:type="dxa"/>
            </w:tcMar>
            <w:vAlign w:val="center"/>
          </w:tcPr>
          <w:p w14:paraId="6B738EAF">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依托现有</w:t>
            </w:r>
          </w:p>
        </w:tc>
      </w:tr>
      <w:tr w14:paraId="294E4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627" w:type="dxa"/>
            <w:vMerge w:val="continue"/>
            <w:tcMar>
              <w:top w:w="0" w:type="dxa"/>
              <w:left w:w="57" w:type="dxa"/>
              <w:bottom w:w="0" w:type="dxa"/>
              <w:right w:w="57" w:type="dxa"/>
            </w:tcMar>
            <w:vAlign w:val="center"/>
          </w:tcPr>
          <w:p w14:paraId="6AAA5473">
            <w:pPr>
              <w:jc w:val="center"/>
              <w:rPr>
                <w:rFonts w:ascii="Times New Roman" w:hAnsi="Times New Roman" w:eastAsia="宋体" w:cs="Times New Roman"/>
                <w:color w:val="auto"/>
                <w:szCs w:val="21"/>
              </w:rPr>
            </w:pPr>
          </w:p>
        </w:tc>
        <w:tc>
          <w:tcPr>
            <w:tcW w:w="2348" w:type="dxa"/>
            <w:tcMar>
              <w:top w:w="0" w:type="dxa"/>
              <w:left w:w="57" w:type="dxa"/>
              <w:bottom w:w="0" w:type="dxa"/>
              <w:right w:w="57" w:type="dxa"/>
            </w:tcMar>
            <w:vAlign w:val="center"/>
          </w:tcPr>
          <w:p w14:paraId="2376C0CE">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干燥</w:t>
            </w:r>
            <w:r>
              <w:rPr>
                <w:rFonts w:hint="eastAsia" w:ascii="Times New Roman" w:hAnsi="Times New Roman" w:eastAsia="宋体" w:cs="Times New Roman"/>
                <w:color w:val="auto"/>
                <w:szCs w:val="21"/>
              </w:rPr>
              <w:t>废气</w:t>
            </w:r>
          </w:p>
        </w:tc>
        <w:tc>
          <w:tcPr>
            <w:tcW w:w="3314" w:type="dxa"/>
            <w:tcMar>
              <w:top w:w="0" w:type="dxa"/>
              <w:left w:w="57" w:type="dxa"/>
              <w:bottom w:w="0" w:type="dxa"/>
              <w:right w:w="57" w:type="dxa"/>
            </w:tcMar>
            <w:vAlign w:val="center"/>
          </w:tcPr>
          <w:p w14:paraId="1DCF706F">
            <w:pPr>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rPr>
              <w:t>碱喷淋+集中式生物除臭”</w:t>
            </w:r>
            <w:r>
              <w:rPr>
                <w:rFonts w:hint="eastAsia" w:ascii="Times New Roman" w:hAnsi="Times New Roman" w:eastAsia="宋体" w:cs="Times New Roman"/>
                <w:color w:val="auto"/>
                <w:szCs w:val="21"/>
                <w:lang w:val="en-US" w:eastAsia="zh-CN"/>
              </w:rPr>
              <w:t>+21m高DA001排气筒</w:t>
            </w:r>
          </w:p>
        </w:tc>
        <w:tc>
          <w:tcPr>
            <w:tcW w:w="954" w:type="dxa"/>
            <w:tcMar>
              <w:top w:w="0" w:type="dxa"/>
              <w:left w:w="57" w:type="dxa"/>
              <w:bottom w:w="0" w:type="dxa"/>
              <w:right w:w="57" w:type="dxa"/>
            </w:tcMar>
            <w:vAlign w:val="center"/>
          </w:tcPr>
          <w:p w14:paraId="3A1924BF">
            <w:pPr>
              <w:jc w:val="center"/>
              <w:rPr>
                <w:rFonts w:hint="eastAsia" w:ascii="Times New Roman" w:hAnsi="Times New Roman" w:eastAsia="宋体" w:cs="Times New Roman"/>
                <w:color w:val="auto"/>
                <w:szCs w:val="21"/>
                <w:lang w:eastAsia="zh-CN"/>
              </w:rPr>
            </w:pPr>
            <w:r>
              <w:rPr>
                <w:rFonts w:hint="eastAsia" w:ascii="Times New Roman" w:hAnsi="Times New Roman" w:eastAsia="宋体" w:cs="Times New Roman"/>
                <w:color w:val="auto"/>
                <w:szCs w:val="21"/>
                <w:lang w:val="en-US" w:eastAsia="zh-CN"/>
              </w:rPr>
              <w:t>/</w:t>
            </w:r>
          </w:p>
        </w:tc>
        <w:tc>
          <w:tcPr>
            <w:tcW w:w="1285" w:type="dxa"/>
            <w:tcMar>
              <w:top w:w="0" w:type="dxa"/>
              <w:left w:w="57" w:type="dxa"/>
              <w:bottom w:w="0" w:type="dxa"/>
              <w:right w:w="57" w:type="dxa"/>
            </w:tcMar>
            <w:vAlign w:val="center"/>
          </w:tcPr>
          <w:p w14:paraId="71A385BB">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依托现有</w:t>
            </w:r>
          </w:p>
        </w:tc>
      </w:tr>
      <w:tr w14:paraId="4A9CA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627" w:type="dxa"/>
            <w:vMerge w:val="continue"/>
            <w:tcMar>
              <w:top w:w="0" w:type="dxa"/>
              <w:left w:w="57" w:type="dxa"/>
              <w:bottom w:w="0" w:type="dxa"/>
              <w:right w:w="57" w:type="dxa"/>
            </w:tcMar>
            <w:vAlign w:val="center"/>
          </w:tcPr>
          <w:p w14:paraId="3B46E47F">
            <w:pPr>
              <w:jc w:val="center"/>
              <w:rPr>
                <w:rFonts w:ascii="Times New Roman" w:hAnsi="Times New Roman" w:eastAsia="宋体" w:cs="Times New Roman"/>
                <w:color w:val="auto"/>
                <w:szCs w:val="21"/>
              </w:rPr>
            </w:pPr>
          </w:p>
        </w:tc>
        <w:tc>
          <w:tcPr>
            <w:tcW w:w="2348" w:type="dxa"/>
            <w:tcMar>
              <w:top w:w="0" w:type="dxa"/>
              <w:left w:w="57" w:type="dxa"/>
              <w:bottom w:w="0" w:type="dxa"/>
              <w:right w:w="57" w:type="dxa"/>
            </w:tcMar>
            <w:vAlign w:val="center"/>
          </w:tcPr>
          <w:p w14:paraId="29B8B933">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污水处理站废气</w:t>
            </w:r>
          </w:p>
        </w:tc>
        <w:tc>
          <w:tcPr>
            <w:tcW w:w="3314" w:type="dxa"/>
            <w:tcMar>
              <w:top w:w="0" w:type="dxa"/>
              <w:left w:w="57" w:type="dxa"/>
              <w:bottom w:w="0" w:type="dxa"/>
              <w:right w:w="57" w:type="dxa"/>
            </w:tcMar>
            <w:vAlign w:val="center"/>
          </w:tcPr>
          <w:p w14:paraId="2EA5A3EF">
            <w:pPr>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rPr>
              <w:t>碱喷淋塔+水喷淋塔+生物除臭处理设施</w:t>
            </w:r>
            <w:r>
              <w:rPr>
                <w:rFonts w:hint="eastAsia" w:ascii="Times New Roman" w:hAnsi="Times New Roman" w:eastAsia="宋体" w:cs="Times New Roman"/>
                <w:color w:val="auto"/>
                <w:szCs w:val="21"/>
                <w:lang w:val="en-US" w:eastAsia="zh-CN"/>
              </w:rPr>
              <w:t>+20m高DA002排气筒</w:t>
            </w:r>
          </w:p>
        </w:tc>
        <w:tc>
          <w:tcPr>
            <w:tcW w:w="954" w:type="dxa"/>
            <w:tcMar>
              <w:top w:w="0" w:type="dxa"/>
              <w:left w:w="57" w:type="dxa"/>
              <w:bottom w:w="0" w:type="dxa"/>
              <w:right w:w="57" w:type="dxa"/>
            </w:tcMar>
            <w:vAlign w:val="center"/>
          </w:tcPr>
          <w:p w14:paraId="238EC977">
            <w:pPr>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3</w:t>
            </w:r>
          </w:p>
        </w:tc>
        <w:tc>
          <w:tcPr>
            <w:tcW w:w="1285" w:type="dxa"/>
            <w:tcMar>
              <w:top w:w="0" w:type="dxa"/>
              <w:left w:w="57" w:type="dxa"/>
              <w:bottom w:w="0" w:type="dxa"/>
              <w:right w:w="57" w:type="dxa"/>
            </w:tcMar>
            <w:vAlign w:val="center"/>
          </w:tcPr>
          <w:p w14:paraId="37D39234">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依托现有，</w:t>
            </w:r>
            <w:r>
              <w:rPr>
                <w:rFonts w:hint="eastAsia" w:ascii="Times New Roman" w:hAnsi="Times New Roman" w:eastAsia="宋体" w:cs="Times New Roman"/>
                <w:color w:val="auto"/>
                <w:szCs w:val="21"/>
              </w:rPr>
              <w:t>以新带老</w:t>
            </w:r>
          </w:p>
        </w:tc>
      </w:tr>
      <w:tr w14:paraId="26322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627" w:type="dxa"/>
            <w:vMerge w:val="restart"/>
            <w:tcMar>
              <w:top w:w="0" w:type="dxa"/>
              <w:left w:w="57" w:type="dxa"/>
              <w:bottom w:w="0" w:type="dxa"/>
              <w:right w:w="57" w:type="dxa"/>
            </w:tcMar>
            <w:vAlign w:val="center"/>
          </w:tcPr>
          <w:p w14:paraId="7619426D">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废水</w:t>
            </w:r>
          </w:p>
        </w:tc>
        <w:tc>
          <w:tcPr>
            <w:tcW w:w="2348" w:type="dxa"/>
            <w:tcMar>
              <w:top w:w="0" w:type="dxa"/>
              <w:left w:w="57" w:type="dxa"/>
              <w:bottom w:w="0" w:type="dxa"/>
              <w:right w:w="57" w:type="dxa"/>
            </w:tcMar>
            <w:vAlign w:val="center"/>
          </w:tcPr>
          <w:p w14:paraId="4216344D">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加热浓缩冷凝水、工艺废水、设备清洗水、车间地面清洗水、废气处理废水、循环冷却水、纯水制备浓水</w:t>
            </w:r>
          </w:p>
        </w:tc>
        <w:tc>
          <w:tcPr>
            <w:tcW w:w="3314" w:type="dxa"/>
            <w:tcMar>
              <w:top w:w="0" w:type="dxa"/>
              <w:left w:w="57" w:type="dxa"/>
              <w:bottom w:w="0" w:type="dxa"/>
              <w:right w:w="57" w:type="dxa"/>
            </w:tcMar>
            <w:vAlign w:val="center"/>
          </w:tcPr>
          <w:p w14:paraId="68E14C9B">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厂区污水处理站</w:t>
            </w:r>
          </w:p>
        </w:tc>
        <w:tc>
          <w:tcPr>
            <w:tcW w:w="954" w:type="dxa"/>
            <w:tcMar>
              <w:top w:w="0" w:type="dxa"/>
              <w:left w:w="57" w:type="dxa"/>
              <w:bottom w:w="0" w:type="dxa"/>
              <w:right w:w="57" w:type="dxa"/>
            </w:tcMar>
            <w:vAlign w:val="center"/>
          </w:tcPr>
          <w:p w14:paraId="2644BFF6">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w:t>
            </w:r>
          </w:p>
        </w:tc>
        <w:tc>
          <w:tcPr>
            <w:tcW w:w="1285" w:type="dxa"/>
            <w:tcMar>
              <w:top w:w="0" w:type="dxa"/>
              <w:left w:w="57" w:type="dxa"/>
              <w:bottom w:w="0" w:type="dxa"/>
              <w:right w:w="57" w:type="dxa"/>
            </w:tcMar>
            <w:vAlign w:val="center"/>
          </w:tcPr>
          <w:p w14:paraId="3684F831">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利用现有</w:t>
            </w:r>
          </w:p>
        </w:tc>
      </w:tr>
      <w:tr w14:paraId="663DA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627" w:type="dxa"/>
            <w:vMerge w:val="continue"/>
            <w:tcMar>
              <w:top w:w="0" w:type="dxa"/>
              <w:left w:w="57" w:type="dxa"/>
              <w:bottom w:w="0" w:type="dxa"/>
              <w:right w:w="57" w:type="dxa"/>
            </w:tcMar>
            <w:vAlign w:val="center"/>
          </w:tcPr>
          <w:p w14:paraId="6E5A7720">
            <w:pPr>
              <w:jc w:val="center"/>
              <w:rPr>
                <w:rFonts w:ascii="Times New Roman" w:hAnsi="Times New Roman" w:eastAsia="宋体" w:cs="Times New Roman"/>
                <w:color w:val="auto"/>
                <w:szCs w:val="21"/>
              </w:rPr>
            </w:pPr>
          </w:p>
        </w:tc>
        <w:tc>
          <w:tcPr>
            <w:tcW w:w="2348" w:type="dxa"/>
            <w:tcMar>
              <w:top w:w="0" w:type="dxa"/>
              <w:left w:w="57" w:type="dxa"/>
              <w:bottom w:w="0" w:type="dxa"/>
              <w:right w:w="57" w:type="dxa"/>
            </w:tcMar>
            <w:vAlign w:val="center"/>
          </w:tcPr>
          <w:p w14:paraId="1F98EA95">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初期雨水</w:t>
            </w:r>
          </w:p>
        </w:tc>
        <w:tc>
          <w:tcPr>
            <w:tcW w:w="3314" w:type="dxa"/>
            <w:tcMar>
              <w:top w:w="0" w:type="dxa"/>
              <w:left w:w="57" w:type="dxa"/>
              <w:bottom w:w="0" w:type="dxa"/>
              <w:right w:w="57" w:type="dxa"/>
            </w:tcMar>
            <w:vAlign w:val="center"/>
          </w:tcPr>
          <w:p w14:paraId="486C1598">
            <w:pPr>
              <w:jc w:val="center"/>
              <w:rPr>
                <w:rFonts w:ascii="Times New Roman" w:hAnsi="Times New Roman" w:eastAsia="宋体" w:cs="Times New Roman"/>
                <w:color w:val="auto"/>
                <w:kern w:val="0"/>
                <w:szCs w:val="21"/>
                <w:lang w:bidi="ar"/>
              </w:rPr>
            </w:pPr>
            <w:r>
              <w:rPr>
                <w:rFonts w:ascii="Times New Roman" w:hAnsi="Times New Roman" w:eastAsia="宋体" w:cs="Times New Roman"/>
                <w:color w:val="auto"/>
                <w:szCs w:val="21"/>
              </w:rPr>
              <w:t>初期雨水经厂区雨水沟进入初期雨水池（</w:t>
            </w:r>
            <w:r>
              <w:rPr>
                <w:rFonts w:hint="eastAsia" w:ascii="Times New Roman" w:hAnsi="Times New Roman" w:eastAsia="宋体" w:cs="Times New Roman"/>
                <w:color w:val="auto"/>
                <w:szCs w:val="21"/>
                <w:lang w:val="en-US" w:eastAsia="zh-CN"/>
              </w:rPr>
              <w:t>300</w:t>
            </w:r>
            <w:r>
              <w:rPr>
                <w:rFonts w:hint="eastAsia" w:ascii="Times New Roman" w:hAnsi="Times New Roman" w:eastAsia="宋体" w:cs="Times New Roman"/>
                <w:color w:val="auto"/>
                <w:szCs w:val="21"/>
                <w:lang w:eastAsia="zh-CN"/>
              </w:rPr>
              <w:t>m</w:t>
            </w:r>
            <w:r>
              <w:rPr>
                <w:rFonts w:hint="eastAsia" w:ascii="Times New Roman" w:hAnsi="Times New Roman" w:eastAsia="宋体" w:cs="Times New Roman"/>
                <w:color w:val="auto"/>
                <w:szCs w:val="21"/>
                <w:vertAlign w:val="superscript"/>
                <w:lang w:eastAsia="zh-CN"/>
              </w:rPr>
              <w:t>3</w:t>
            </w:r>
            <w:r>
              <w:rPr>
                <w:rFonts w:ascii="Times New Roman" w:hAnsi="Times New Roman" w:eastAsia="宋体" w:cs="Times New Roman"/>
                <w:color w:val="auto"/>
                <w:szCs w:val="21"/>
              </w:rPr>
              <w:t>），收集下雨初期15min后，由雨水自动切换阀关闭，后段雨水排入雨水收集系统，收集的初期雨水进入</w:t>
            </w:r>
            <w:r>
              <w:rPr>
                <w:rFonts w:hint="eastAsia" w:ascii="Times New Roman" w:hAnsi="Times New Roman" w:eastAsia="宋体" w:cs="Times New Roman"/>
                <w:color w:val="auto"/>
                <w:szCs w:val="21"/>
              </w:rPr>
              <w:t>厂区</w:t>
            </w:r>
            <w:r>
              <w:rPr>
                <w:rFonts w:ascii="Times New Roman" w:hAnsi="Times New Roman" w:eastAsia="宋体" w:cs="Times New Roman"/>
                <w:color w:val="auto"/>
                <w:szCs w:val="21"/>
              </w:rPr>
              <w:t>污水处理</w:t>
            </w:r>
            <w:r>
              <w:rPr>
                <w:rFonts w:hint="eastAsia" w:ascii="Times New Roman" w:hAnsi="Times New Roman" w:eastAsia="宋体" w:cs="Times New Roman"/>
                <w:color w:val="auto"/>
                <w:szCs w:val="21"/>
              </w:rPr>
              <w:t>设施</w:t>
            </w:r>
            <w:r>
              <w:rPr>
                <w:rFonts w:ascii="Times New Roman" w:hAnsi="Times New Roman" w:eastAsia="宋体" w:cs="Times New Roman"/>
                <w:color w:val="auto"/>
                <w:szCs w:val="21"/>
              </w:rPr>
              <w:t>处理。</w:t>
            </w:r>
          </w:p>
        </w:tc>
        <w:tc>
          <w:tcPr>
            <w:tcW w:w="954" w:type="dxa"/>
            <w:tcMar>
              <w:top w:w="0" w:type="dxa"/>
              <w:left w:w="57" w:type="dxa"/>
              <w:bottom w:w="0" w:type="dxa"/>
              <w:right w:w="57" w:type="dxa"/>
            </w:tcMar>
            <w:vAlign w:val="center"/>
          </w:tcPr>
          <w:p w14:paraId="75853C49">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w:t>
            </w:r>
          </w:p>
        </w:tc>
        <w:tc>
          <w:tcPr>
            <w:tcW w:w="1285" w:type="dxa"/>
            <w:tcMar>
              <w:top w:w="0" w:type="dxa"/>
              <w:left w:w="57" w:type="dxa"/>
              <w:bottom w:w="0" w:type="dxa"/>
              <w:right w:w="57" w:type="dxa"/>
            </w:tcMar>
            <w:vAlign w:val="center"/>
          </w:tcPr>
          <w:p w14:paraId="1366B515">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利用现有</w:t>
            </w:r>
          </w:p>
        </w:tc>
      </w:tr>
      <w:tr w14:paraId="35F37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627" w:type="dxa"/>
            <w:vMerge w:val="continue"/>
            <w:tcMar>
              <w:top w:w="0" w:type="dxa"/>
              <w:left w:w="57" w:type="dxa"/>
              <w:bottom w:w="0" w:type="dxa"/>
              <w:right w:w="57" w:type="dxa"/>
            </w:tcMar>
            <w:vAlign w:val="center"/>
          </w:tcPr>
          <w:p w14:paraId="65CEFE26">
            <w:pPr>
              <w:jc w:val="center"/>
              <w:rPr>
                <w:rFonts w:ascii="Times New Roman" w:hAnsi="Times New Roman" w:eastAsia="宋体" w:cs="Times New Roman"/>
                <w:color w:val="auto"/>
                <w:szCs w:val="21"/>
              </w:rPr>
            </w:pPr>
          </w:p>
        </w:tc>
        <w:tc>
          <w:tcPr>
            <w:tcW w:w="2348" w:type="dxa"/>
            <w:tcMar>
              <w:top w:w="0" w:type="dxa"/>
              <w:left w:w="57" w:type="dxa"/>
              <w:bottom w:w="0" w:type="dxa"/>
              <w:right w:w="57" w:type="dxa"/>
            </w:tcMar>
            <w:vAlign w:val="center"/>
          </w:tcPr>
          <w:p w14:paraId="50F8E86C">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生活污水</w:t>
            </w:r>
          </w:p>
        </w:tc>
        <w:tc>
          <w:tcPr>
            <w:tcW w:w="3314" w:type="dxa"/>
            <w:tcMar>
              <w:top w:w="0" w:type="dxa"/>
              <w:left w:w="57" w:type="dxa"/>
              <w:bottom w:w="0" w:type="dxa"/>
              <w:right w:w="57" w:type="dxa"/>
            </w:tcMar>
            <w:vAlign w:val="center"/>
          </w:tcPr>
          <w:p w14:paraId="77F9514C">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化粪池处理后排入污水处理站处理后进入污水处理站</w:t>
            </w:r>
          </w:p>
        </w:tc>
        <w:tc>
          <w:tcPr>
            <w:tcW w:w="954" w:type="dxa"/>
            <w:tcMar>
              <w:top w:w="0" w:type="dxa"/>
              <w:left w:w="57" w:type="dxa"/>
              <w:bottom w:w="0" w:type="dxa"/>
              <w:right w:w="57" w:type="dxa"/>
            </w:tcMar>
            <w:vAlign w:val="center"/>
          </w:tcPr>
          <w:p w14:paraId="32B0B730">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w:t>
            </w:r>
          </w:p>
        </w:tc>
        <w:tc>
          <w:tcPr>
            <w:tcW w:w="1285" w:type="dxa"/>
            <w:tcMar>
              <w:top w:w="0" w:type="dxa"/>
              <w:left w:w="57" w:type="dxa"/>
              <w:bottom w:w="0" w:type="dxa"/>
              <w:right w:w="57" w:type="dxa"/>
            </w:tcMar>
            <w:vAlign w:val="center"/>
          </w:tcPr>
          <w:p w14:paraId="4070798A">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利用现有</w:t>
            </w:r>
          </w:p>
        </w:tc>
      </w:tr>
      <w:tr w14:paraId="0C984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627" w:type="dxa"/>
            <w:tcMar>
              <w:top w:w="0" w:type="dxa"/>
              <w:left w:w="57" w:type="dxa"/>
              <w:bottom w:w="0" w:type="dxa"/>
              <w:right w:w="57" w:type="dxa"/>
            </w:tcMar>
            <w:vAlign w:val="center"/>
          </w:tcPr>
          <w:p w14:paraId="70D0179D">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噪声</w:t>
            </w:r>
          </w:p>
        </w:tc>
        <w:tc>
          <w:tcPr>
            <w:tcW w:w="2348" w:type="dxa"/>
            <w:tcMar>
              <w:top w:w="0" w:type="dxa"/>
              <w:left w:w="57" w:type="dxa"/>
              <w:bottom w:w="0" w:type="dxa"/>
              <w:right w:w="57" w:type="dxa"/>
            </w:tcMar>
            <w:vAlign w:val="center"/>
          </w:tcPr>
          <w:p w14:paraId="7A26CC81">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板框压滤机、干燥机</w:t>
            </w:r>
          </w:p>
        </w:tc>
        <w:tc>
          <w:tcPr>
            <w:tcW w:w="3314" w:type="dxa"/>
            <w:tcMar>
              <w:top w:w="0" w:type="dxa"/>
              <w:left w:w="57" w:type="dxa"/>
              <w:bottom w:w="0" w:type="dxa"/>
              <w:right w:w="57" w:type="dxa"/>
            </w:tcMar>
            <w:vAlign w:val="center"/>
          </w:tcPr>
          <w:p w14:paraId="3D807569">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大型振动设备采取减震措施；风机进出口设消声器；单独的机房隔声，集中布置并远离厂界</w:t>
            </w:r>
          </w:p>
        </w:tc>
        <w:tc>
          <w:tcPr>
            <w:tcW w:w="954" w:type="dxa"/>
            <w:tcMar>
              <w:top w:w="0" w:type="dxa"/>
              <w:left w:w="57" w:type="dxa"/>
              <w:bottom w:w="0" w:type="dxa"/>
              <w:right w:w="57" w:type="dxa"/>
            </w:tcMar>
            <w:vAlign w:val="center"/>
          </w:tcPr>
          <w:p w14:paraId="0425236D">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5</w:t>
            </w:r>
          </w:p>
        </w:tc>
        <w:tc>
          <w:tcPr>
            <w:tcW w:w="1285" w:type="dxa"/>
            <w:tcMar>
              <w:top w:w="0" w:type="dxa"/>
              <w:left w:w="57" w:type="dxa"/>
              <w:bottom w:w="0" w:type="dxa"/>
              <w:right w:w="57" w:type="dxa"/>
            </w:tcMar>
            <w:vAlign w:val="center"/>
          </w:tcPr>
          <w:p w14:paraId="1FCCBDC1">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新建工程新增</w:t>
            </w:r>
          </w:p>
        </w:tc>
      </w:tr>
      <w:tr w14:paraId="03FE5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627" w:type="dxa"/>
            <w:vMerge w:val="restart"/>
            <w:tcMar>
              <w:top w:w="0" w:type="dxa"/>
              <w:left w:w="57" w:type="dxa"/>
              <w:bottom w:w="0" w:type="dxa"/>
              <w:right w:w="57" w:type="dxa"/>
            </w:tcMar>
            <w:vAlign w:val="center"/>
          </w:tcPr>
          <w:p w14:paraId="282222A4">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固体废物</w:t>
            </w:r>
          </w:p>
        </w:tc>
        <w:tc>
          <w:tcPr>
            <w:tcW w:w="2348" w:type="dxa"/>
            <w:tcMar>
              <w:top w:w="0" w:type="dxa"/>
              <w:left w:w="57" w:type="dxa"/>
              <w:bottom w:w="0" w:type="dxa"/>
              <w:right w:w="57" w:type="dxa"/>
            </w:tcMar>
            <w:vAlign w:val="center"/>
          </w:tcPr>
          <w:p w14:paraId="6AE5120B">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一般固体废物</w:t>
            </w:r>
          </w:p>
        </w:tc>
        <w:tc>
          <w:tcPr>
            <w:tcW w:w="3314" w:type="dxa"/>
            <w:tcMar>
              <w:top w:w="0" w:type="dxa"/>
              <w:left w:w="57" w:type="dxa"/>
              <w:bottom w:w="0" w:type="dxa"/>
              <w:right w:w="57" w:type="dxa"/>
            </w:tcMar>
            <w:vAlign w:val="center"/>
          </w:tcPr>
          <w:p w14:paraId="48D40089">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暂存至一般固废暂存间，定期处理</w:t>
            </w:r>
          </w:p>
        </w:tc>
        <w:tc>
          <w:tcPr>
            <w:tcW w:w="954" w:type="dxa"/>
            <w:tcMar>
              <w:top w:w="0" w:type="dxa"/>
              <w:left w:w="57" w:type="dxa"/>
              <w:bottom w:w="0" w:type="dxa"/>
              <w:right w:w="57" w:type="dxa"/>
            </w:tcMar>
            <w:vAlign w:val="center"/>
          </w:tcPr>
          <w:p w14:paraId="090F0EBF">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12</w:t>
            </w:r>
          </w:p>
        </w:tc>
        <w:tc>
          <w:tcPr>
            <w:tcW w:w="1285" w:type="dxa"/>
            <w:tcMar>
              <w:top w:w="0" w:type="dxa"/>
              <w:left w:w="57" w:type="dxa"/>
              <w:bottom w:w="0" w:type="dxa"/>
              <w:right w:w="57" w:type="dxa"/>
            </w:tcMar>
            <w:vAlign w:val="center"/>
          </w:tcPr>
          <w:p w14:paraId="1C15A889">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以新带老</w:t>
            </w:r>
          </w:p>
        </w:tc>
      </w:tr>
      <w:tr w14:paraId="2BFAE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627" w:type="dxa"/>
            <w:vMerge w:val="continue"/>
            <w:tcMar>
              <w:top w:w="0" w:type="dxa"/>
              <w:left w:w="57" w:type="dxa"/>
              <w:bottom w:w="0" w:type="dxa"/>
              <w:right w:w="57" w:type="dxa"/>
            </w:tcMar>
            <w:vAlign w:val="center"/>
          </w:tcPr>
          <w:p w14:paraId="7D11054A">
            <w:pPr>
              <w:jc w:val="center"/>
              <w:rPr>
                <w:rFonts w:hint="eastAsia" w:ascii="Times New Roman" w:hAnsi="Times New Roman" w:eastAsia="宋体" w:cs="Times New Roman"/>
                <w:color w:val="auto"/>
                <w:szCs w:val="21"/>
              </w:rPr>
            </w:pPr>
          </w:p>
        </w:tc>
        <w:tc>
          <w:tcPr>
            <w:tcW w:w="2348" w:type="dxa"/>
            <w:tcMar>
              <w:top w:w="0" w:type="dxa"/>
              <w:left w:w="57" w:type="dxa"/>
              <w:bottom w:w="0" w:type="dxa"/>
              <w:right w:w="57" w:type="dxa"/>
            </w:tcMar>
            <w:vAlign w:val="center"/>
          </w:tcPr>
          <w:p w14:paraId="552DB5A0">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危险固废</w:t>
            </w:r>
          </w:p>
        </w:tc>
        <w:tc>
          <w:tcPr>
            <w:tcW w:w="3314" w:type="dxa"/>
            <w:tcMar>
              <w:top w:w="0" w:type="dxa"/>
              <w:left w:w="57" w:type="dxa"/>
              <w:bottom w:w="0" w:type="dxa"/>
              <w:right w:w="57" w:type="dxa"/>
            </w:tcMar>
            <w:vAlign w:val="center"/>
          </w:tcPr>
          <w:p w14:paraId="68B4FC2E">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暂存至危险废物暂存间，交由有资质单位处理</w:t>
            </w:r>
          </w:p>
        </w:tc>
        <w:tc>
          <w:tcPr>
            <w:tcW w:w="954" w:type="dxa"/>
            <w:tcMar>
              <w:top w:w="0" w:type="dxa"/>
              <w:left w:w="57" w:type="dxa"/>
              <w:bottom w:w="0" w:type="dxa"/>
              <w:right w:w="57" w:type="dxa"/>
            </w:tcMar>
            <w:vAlign w:val="center"/>
          </w:tcPr>
          <w:p w14:paraId="41550BA7">
            <w:pPr>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w:t>
            </w:r>
          </w:p>
        </w:tc>
        <w:tc>
          <w:tcPr>
            <w:tcW w:w="1285" w:type="dxa"/>
            <w:tcMar>
              <w:top w:w="0" w:type="dxa"/>
              <w:left w:w="57" w:type="dxa"/>
              <w:bottom w:w="0" w:type="dxa"/>
              <w:right w:w="57" w:type="dxa"/>
            </w:tcMar>
            <w:vAlign w:val="center"/>
          </w:tcPr>
          <w:p w14:paraId="13E67F5A">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依托现有</w:t>
            </w:r>
          </w:p>
        </w:tc>
      </w:tr>
      <w:tr w14:paraId="229EB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627" w:type="dxa"/>
            <w:tcMar>
              <w:top w:w="0" w:type="dxa"/>
              <w:left w:w="57" w:type="dxa"/>
              <w:bottom w:w="0" w:type="dxa"/>
              <w:right w:w="57" w:type="dxa"/>
            </w:tcMar>
            <w:vAlign w:val="center"/>
          </w:tcPr>
          <w:p w14:paraId="4A0B902E">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风险防范</w:t>
            </w:r>
          </w:p>
        </w:tc>
        <w:tc>
          <w:tcPr>
            <w:tcW w:w="2348" w:type="dxa"/>
            <w:tcMar>
              <w:top w:w="0" w:type="dxa"/>
              <w:left w:w="57" w:type="dxa"/>
              <w:bottom w:w="0" w:type="dxa"/>
              <w:right w:w="57" w:type="dxa"/>
            </w:tcMar>
            <w:vAlign w:val="center"/>
          </w:tcPr>
          <w:p w14:paraId="38A71DB0">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现有工程</w:t>
            </w:r>
          </w:p>
        </w:tc>
        <w:tc>
          <w:tcPr>
            <w:tcW w:w="3314" w:type="dxa"/>
            <w:tcMar>
              <w:top w:w="0" w:type="dxa"/>
              <w:left w:w="57" w:type="dxa"/>
              <w:bottom w:w="0" w:type="dxa"/>
              <w:right w:w="57" w:type="dxa"/>
            </w:tcMar>
            <w:vAlign w:val="center"/>
          </w:tcPr>
          <w:p w14:paraId="7E2AAEC4">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储</w:t>
            </w:r>
            <w:r>
              <w:rPr>
                <w:rFonts w:ascii="Times New Roman" w:hAnsi="Times New Roman" w:eastAsia="宋体" w:cs="Times New Roman"/>
                <w:color w:val="auto"/>
                <w:szCs w:val="21"/>
              </w:rPr>
              <w:t>罐区设置了围堰，并做了防腐防渗；危废暂存间地面用环氧</w:t>
            </w:r>
            <w:r>
              <w:rPr>
                <w:rFonts w:hint="eastAsia" w:ascii="Times New Roman" w:hAnsi="Times New Roman" w:eastAsia="宋体" w:cs="Times New Roman"/>
                <w:color w:val="auto"/>
                <w:szCs w:val="21"/>
                <w:lang w:val="en-US" w:eastAsia="zh-CN"/>
              </w:rPr>
              <w:t>树脂</w:t>
            </w:r>
            <w:r>
              <w:rPr>
                <w:rFonts w:ascii="Times New Roman" w:hAnsi="Times New Roman" w:eastAsia="宋体" w:cs="Times New Roman"/>
                <w:color w:val="auto"/>
                <w:szCs w:val="21"/>
              </w:rPr>
              <w:t>进行防腐防渗处理，且设置有收集沟和收集池，可对泄漏的液体进行收集，切实做到了防风、防渗漏、防淋溶、防流失，降低了危险废物进入外界环境的风险。</w:t>
            </w:r>
          </w:p>
        </w:tc>
        <w:tc>
          <w:tcPr>
            <w:tcW w:w="954" w:type="dxa"/>
            <w:tcMar>
              <w:top w:w="0" w:type="dxa"/>
              <w:left w:w="57" w:type="dxa"/>
              <w:bottom w:w="0" w:type="dxa"/>
              <w:right w:w="57" w:type="dxa"/>
            </w:tcMar>
            <w:vAlign w:val="center"/>
          </w:tcPr>
          <w:p w14:paraId="467FA07F">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w:t>
            </w:r>
          </w:p>
        </w:tc>
        <w:tc>
          <w:tcPr>
            <w:tcW w:w="1285" w:type="dxa"/>
            <w:tcMar>
              <w:top w:w="0" w:type="dxa"/>
              <w:left w:w="57" w:type="dxa"/>
              <w:bottom w:w="0" w:type="dxa"/>
              <w:right w:w="57" w:type="dxa"/>
            </w:tcMar>
            <w:vAlign w:val="center"/>
          </w:tcPr>
          <w:p w14:paraId="293CF564">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利用现有</w:t>
            </w:r>
          </w:p>
        </w:tc>
      </w:tr>
      <w:tr w14:paraId="33DCB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6289" w:type="dxa"/>
            <w:gridSpan w:val="3"/>
            <w:tcMar>
              <w:top w:w="0" w:type="dxa"/>
              <w:left w:w="57" w:type="dxa"/>
              <w:bottom w:w="0" w:type="dxa"/>
              <w:right w:w="57" w:type="dxa"/>
            </w:tcMar>
            <w:vAlign w:val="center"/>
          </w:tcPr>
          <w:p w14:paraId="35DEB122">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合计</w:t>
            </w:r>
          </w:p>
        </w:tc>
        <w:tc>
          <w:tcPr>
            <w:tcW w:w="954" w:type="dxa"/>
            <w:tcMar>
              <w:top w:w="0" w:type="dxa"/>
              <w:left w:w="57" w:type="dxa"/>
              <w:bottom w:w="0" w:type="dxa"/>
              <w:right w:w="57" w:type="dxa"/>
            </w:tcMar>
            <w:vAlign w:val="center"/>
          </w:tcPr>
          <w:p w14:paraId="3B3E3A8C">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20</w:t>
            </w:r>
          </w:p>
        </w:tc>
        <w:tc>
          <w:tcPr>
            <w:tcW w:w="1285" w:type="dxa"/>
            <w:tcMar>
              <w:top w:w="0" w:type="dxa"/>
              <w:left w:w="57" w:type="dxa"/>
              <w:bottom w:w="0" w:type="dxa"/>
              <w:right w:w="57" w:type="dxa"/>
            </w:tcMar>
            <w:vAlign w:val="center"/>
          </w:tcPr>
          <w:p w14:paraId="5D58D47D">
            <w:pPr>
              <w:jc w:val="center"/>
              <w:rPr>
                <w:rFonts w:ascii="Times New Roman" w:hAnsi="Times New Roman" w:eastAsia="宋体" w:cs="Times New Roman"/>
                <w:color w:val="auto"/>
                <w:szCs w:val="21"/>
              </w:rPr>
            </w:pPr>
          </w:p>
        </w:tc>
      </w:tr>
    </w:tbl>
    <w:p w14:paraId="34AA52FD">
      <w:pPr>
        <w:spacing w:line="360" w:lineRule="auto"/>
        <w:ind w:firstLine="480" w:firstLineChars="200"/>
        <w:rPr>
          <w:rFonts w:ascii="Times New Roman" w:hAnsi="Times New Roman" w:eastAsia="宋体" w:cs="Times New Roman"/>
          <w:color w:val="FF0000"/>
          <w:sz w:val="24"/>
          <w:szCs w:val="24"/>
        </w:rPr>
      </w:pPr>
    </w:p>
    <w:p w14:paraId="053E73D4">
      <w:pPr>
        <w:rPr>
          <w:rFonts w:ascii="Times New Roman" w:hAnsi="Times New Roman" w:eastAsia="宋体" w:cs="Times New Roman"/>
          <w:color w:val="FF0000"/>
          <w:sz w:val="24"/>
          <w:szCs w:val="24"/>
        </w:rPr>
      </w:pPr>
    </w:p>
    <w:p w14:paraId="47EE3D2B">
      <w:pPr>
        <w:keepNext/>
        <w:keepLines/>
        <w:spacing w:line="360" w:lineRule="auto"/>
        <w:jc w:val="center"/>
        <w:outlineLvl w:val="0"/>
        <w:rPr>
          <w:rFonts w:ascii="Times New Roman" w:hAnsi="Times New Roman" w:eastAsia="宋体" w:cs="Times New Roman"/>
          <w:b/>
          <w:color w:val="auto"/>
          <w:kern w:val="44"/>
          <w:sz w:val="32"/>
          <w:szCs w:val="44"/>
        </w:rPr>
      </w:pPr>
      <w:bookmarkStart w:id="317" w:name="_Toc4349"/>
      <w:bookmarkStart w:id="318" w:name="_Toc20808"/>
      <w:r>
        <w:rPr>
          <w:rFonts w:hint="eastAsia" w:ascii="Times New Roman" w:hAnsi="Times New Roman" w:eastAsia="宋体" w:cs="Times New Roman"/>
          <w:b/>
          <w:color w:val="auto"/>
          <w:kern w:val="44"/>
          <w:sz w:val="32"/>
          <w:szCs w:val="44"/>
        </w:rPr>
        <w:t>10、环境管理、监测计划和竣工环境保护验收</w:t>
      </w:r>
      <w:bookmarkEnd w:id="317"/>
      <w:bookmarkEnd w:id="318"/>
    </w:p>
    <w:p w14:paraId="19AD7A75">
      <w:pPr>
        <w:keepNext/>
        <w:keepLines/>
        <w:spacing w:before="100" w:beforeAutospacing="1" w:after="100" w:afterAutospacing="1" w:line="360" w:lineRule="auto"/>
        <w:outlineLvl w:val="1"/>
        <w:rPr>
          <w:rFonts w:ascii="Times New Roman" w:hAnsi="Times New Roman" w:eastAsia="宋体" w:cs="Times New Roman"/>
          <w:b/>
          <w:bCs/>
          <w:color w:val="auto"/>
          <w:kern w:val="0"/>
          <w:sz w:val="28"/>
          <w:szCs w:val="28"/>
        </w:rPr>
      </w:pPr>
      <w:bookmarkStart w:id="319" w:name="_Toc31407"/>
      <w:bookmarkStart w:id="320" w:name="_Toc2599"/>
      <w:r>
        <w:rPr>
          <w:rFonts w:hint="eastAsia" w:ascii="Times New Roman" w:hAnsi="Times New Roman" w:eastAsia="宋体" w:cs="Times New Roman"/>
          <w:b/>
          <w:bCs/>
          <w:color w:val="auto"/>
          <w:kern w:val="0"/>
          <w:sz w:val="28"/>
          <w:szCs w:val="28"/>
        </w:rPr>
        <w:t>10.1 环境管理</w:t>
      </w:r>
      <w:bookmarkEnd w:id="319"/>
      <w:bookmarkEnd w:id="320"/>
    </w:p>
    <w:p w14:paraId="2F3F9A32">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环境管理工作就是要保证决策中的方针和目标在预期内实现，并协调解决实现目标过程中的具体问题。为了正确处理发展生产与保护环境的关系，全面贯彻国家的环保法规与政策，应根据当地环保部门对本区域环境质量的要求，通过控制污染物排放的科学管理，促进企业原材料及能源的合理消耗，降低成本，最大限度地减少污染物的排放，提高企业的社会、经济、环境效益。在环境保护工作中，管理和治理是相辅相承的。为此，企业必须建立环境保护机构，制订全面的、长期的环境管理计划。</w:t>
      </w:r>
    </w:p>
    <w:p w14:paraId="360B32C7">
      <w:pPr>
        <w:keepNext/>
        <w:keepLines/>
        <w:spacing w:before="156" w:beforeLines="50" w:after="156" w:afterLines="50" w:line="360" w:lineRule="auto"/>
        <w:outlineLvl w:val="2"/>
        <w:rPr>
          <w:rFonts w:ascii="Times New Roman" w:hAnsi="Times New Roman" w:eastAsia="宋体" w:cs="Times New Roman"/>
          <w:b/>
          <w:color w:val="auto"/>
          <w:sz w:val="24"/>
          <w:szCs w:val="24"/>
        </w:rPr>
      </w:pPr>
      <w:r>
        <w:rPr>
          <w:rFonts w:ascii="Times New Roman" w:hAnsi="Times New Roman" w:eastAsia="宋体" w:cs="Times New Roman"/>
          <w:b/>
          <w:color w:val="auto"/>
          <w:sz w:val="24"/>
          <w:szCs w:val="24"/>
        </w:rPr>
        <w:t>10.1.1环境管理机构与人员</w:t>
      </w:r>
    </w:p>
    <w:p w14:paraId="66A7C220">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由于企业在生产的过程中不可避免地会产生污染物的排放，为了加强环境保护的力度，实现可持续发展的战略目标，按照环境保护的要求，根据一些环境管理先进企业的经验，企业应建立健全厂长负责、副厂长分管、各职能业务部门各负其责、环保部门规划、参谋、组织、协调、监督、考核的环境管理体制。</w:t>
      </w:r>
    </w:p>
    <w:p w14:paraId="4CCF2A8E">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根据企业的实际情况，应建立健全一套完整的环境管理机构，成立环境保护领导小组，由总经理亲自担任主任，分管副总经理担任副主任，成员由车间领导组成，专门研究、决策有关环境保护方面的事宜。环境保护领导小组下设安全环保科，并配备</w:t>
      </w:r>
      <w:r>
        <w:rPr>
          <w:rFonts w:ascii="Times New Roman" w:hAnsi="Times New Roman" w:eastAsia="宋体" w:cs="Times New Roman"/>
          <w:color w:val="auto"/>
          <w:sz w:val="24"/>
          <w:szCs w:val="24"/>
        </w:rPr>
        <w:t>1名专职环保人员，承担日常环保管理工作，使各项环境保护措施、制度得以贯彻落实。</w:t>
      </w:r>
    </w:p>
    <w:p w14:paraId="42A056C3">
      <w:pPr>
        <w:keepNext/>
        <w:keepLines/>
        <w:spacing w:before="156" w:beforeLines="50" w:after="156" w:afterLines="50" w:line="360" w:lineRule="auto"/>
        <w:outlineLvl w:val="2"/>
        <w:rPr>
          <w:rFonts w:ascii="Times New Roman" w:hAnsi="Times New Roman" w:eastAsia="宋体" w:cs="Times New Roman"/>
          <w:b/>
          <w:color w:val="auto"/>
          <w:sz w:val="24"/>
          <w:szCs w:val="24"/>
        </w:rPr>
      </w:pPr>
      <w:r>
        <w:rPr>
          <w:rFonts w:ascii="Times New Roman" w:hAnsi="Times New Roman" w:eastAsia="宋体" w:cs="Times New Roman"/>
          <w:b/>
          <w:color w:val="auto"/>
          <w:sz w:val="24"/>
          <w:szCs w:val="24"/>
        </w:rPr>
        <w:t>10.1.2环保机构的职责与职能</w:t>
      </w:r>
    </w:p>
    <w:p w14:paraId="1C2D5421">
      <w:pPr>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环境管理机构负责项目营运期的环境管理与环境监测工作，主要职责如下：</w:t>
      </w:r>
    </w:p>
    <w:p w14:paraId="12012EF0">
      <w:pPr>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1、贯彻国家和地方的环境法规和政策，组织环境保护宣传教育和技术培训。</w:t>
      </w:r>
    </w:p>
    <w:p w14:paraId="52726276">
      <w:pPr>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2、组织环境监测和污染源调查，建立公司污染源档案，掌握公司排污情况的污染现状，为企业决策提供依据。</w:t>
      </w:r>
    </w:p>
    <w:p w14:paraId="09382854">
      <w:pPr>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3、制订公司环境保护规划，提出环境保护目标，制订和不断完善公司各项环境保护规章、制度和办法。</w:t>
      </w:r>
    </w:p>
    <w:p w14:paraId="4A6FE1BA">
      <w:pPr>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4、考核公司环保工作，管理和考核各种环保治理设施，制定各种考核指标和考核办法，订立奖惩制度，使环保考核工作经常化、制度化。</w:t>
      </w:r>
    </w:p>
    <w:p w14:paraId="413373C9">
      <w:pPr>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5、组织和协调全公司污染治理工作和“三废”综合利用工作，组织技术攻关，推广先进技术。</w:t>
      </w:r>
    </w:p>
    <w:p w14:paraId="6DEDD057">
      <w:pPr>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6、处理各种污染事故和污染纠纷，协调处理好各种关系。</w:t>
      </w:r>
    </w:p>
    <w:p w14:paraId="575E9024">
      <w:pPr>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7、领导和组织实施全厂的环境监测计划。</w:t>
      </w:r>
    </w:p>
    <w:p w14:paraId="61CC9CB4">
      <w:pPr>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8、负责该项目环境报告的填写、上报任务，与上级环境管理部门保持密切联系。</w:t>
      </w:r>
    </w:p>
    <w:p w14:paraId="01A48740">
      <w:pPr>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9、在工程建设阶段负责监督环保设施的安装调试，落实工程项目的“三同时”，工程投产后，检查环保设施的运行情况，并根据存在的问题提出改进意见。</w:t>
      </w:r>
    </w:p>
    <w:p w14:paraId="1FE55E45">
      <w:pPr>
        <w:keepNext/>
        <w:keepLines/>
        <w:spacing w:before="156" w:beforeLines="50" w:after="156" w:afterLines="50" w:line="360" w:lineRule="auto"/>
        <w:outlineLvl w:val="2"/>
        <w:rPr>
          <w:rFonts w:ascii="Times New Roman" w:hAnsi="Times New Roman" w:eastAsia="宋体" w:cs="Times New Roman"/>
          <w:b/>
          <w:color w:val="auto"/>
          <w:sz w:val="24"/>
          <w:szCs w:val="24"/>
        </w:rPr>
      </w:pPr>
      <w:r>
        <w:rPr>
          <w:rFonts w:ascii="Times New Roman" w:hAnsi="Times New Roman" w:eastAsia="宋体" w:cs="Times New Roman"/>
          <w:b/>
          <w:color w:val="auto"/>
          <w:sz w:val="24"/>
          <w:szCs w:val="24"/>
        </w:rPr>
        <w:t>10.1.3环境保护管理规章制度</w:t>
      </w:r>
    </w:p>
    <w:p w14:paraId="3D5E4380">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在建全环保管理机构的基础上，应建立环保管理规章制度，保证环保工作正常、持续的开展。主要的环保管理制度有：</w:t>
      </w:r>
    </w:p>
    <w:p w14:paraId="645060F3">
      <w:pPr>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1、环境保护管理条例；</w:t>
      </w:r>
    </w:p>
    <w:p w14:paraId="7AA42B88">
      <w:pPr>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2、环境质量管理规程；</w:t>
      </w:r>
    </w:p>
    <w:p w14:paraId="0726F7C5">
      <w:pPr>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3、环境技术管理规程；</w:t>
      </w:r>
    </w:p>
    <w:p w14:paraId="7CFC01AD">
      <w:pPr>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4、环境管理经济责任制；</w:t>
      </w:r>
    </w:p>
    <w:p w14:paraId="6AD94421">
      <w:pPr>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5、环境保护监测工作实施细则；</w:t>
      </w:r>
    </w:p>
    <w:p w14:paraId="2C17909D">
      <w:pPr>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6、环境管理岗位责任制；</w:t>
      </w:r>
    </w:p>
    <w:p w14:paraId="1F139CCC">
      <w:pPr>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7、环境保护的指标和目标考核制度；</w:t>
      </w:r>
    </w:p>
    <w:p w14:paraId="4E72F5B5">
      <w:pPr>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8、环境保护激励制度。</w:t>
      </w:r>
    </w:p>
    <w:p w14:paraId="2B48F20D">
      <w:pPr>
        <w:keepNext/>
        <w:keepLines/>
        <w:spacing w:before="156" w:beforeLines="50" w:after="156" w:afterLines="50" w:line="360" w:lineRule="auto"/>
        <w:outlineLvl w:val="2"/>
        <w:rPr>
          <w:rFonts w:ascii="Times New Roman" w:hAnsi="Times New Roman" w:eastAsia="宋体" w:cs="Times New Roman"/>
          <w:b/>
          <w:color w:val="auto"/>
          <w:sz w:val="24"/>
          <w:szCs w:val="24"/>
        </w:rPr>
      </w:pPr>
      <w:r>
        <w:rPr>
          <w:rFonts w:ascii="Times New Roman" w:hAnsi="Times New Roman" w:eastAsia="宋体" w:cs="Times New Roman"/>
          <w:b/>
          <w:color w:val="auto"/>
          <w:sz w:val="24"/>
          <w:szCs w:val="24"/>
        </w:rPr>
        <w:t>10.1.4环境管理计划</w:t>
      </w:r>
    </w:p>
    <w:p w14:paraId="287AB9A3">
      <w:pPr>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环境管理计划要在充分了解行业生产特点的基础上，掌握本企业建设、生产过程的环境特殊性，抓住环境管理中易出现的薄弱环节，制定行之有效的环境管理计划，使环境管理工作渗透到企业管理的各个环节，贯穿于生产全过程。</w:t>
      </w:r>
      <w:r>
        <w:rPr>
          <w:rFonts w:hint="eastAsia" w:ascii="Times New Roman" w:hAnsi="Times New Roman" w:eastAsia="宋体" w:cs="Times New Roman"/>
          <w:color w:val="auto"/>
          <w:sz w:val="24"/>
          <w:szCs w:val="24"/>
        </w:rPr>
        <w:t>本</w:t>
      </w:r>
      <w:r>
        <w:rPr>
          <w:rFonts w:ascii="Times New Roman" w:hAnsi="Times New Roman" w:eastAsia="宋体" w:cs="Times New Roman"/>
          <w:color w:val="auto"/>
          <w:sz w:val="24"/>
          <w:szCs w:val="24"/>
        </w:rPr>
        <w:t>工程环境管理工作计划见表10.1-1。</w:t>
      </w:r>
    </w:p>
    <w:p w14:paraId="07305EB0">
      <w:pPr>
        <w:spacing w:line="360" w:lineRule="auto"/>
        <w:ind w:firstLine="480" w:firstLineChars="200"/>
        <w:rPr>
          <w:rFonts w:ascii="Times New Roman" w:hAnsi="Times New Roman" w:eastAsia="宋体" w:cs="Times New Roman"/>
          <w:color w:val="FF0000"/>
          <w:sz w:val="24"/>
          <w:szCs w:val="24"/>
        </w:rPr>
      </w:pPr>
    </w:p>
    <w:p w14:paraId="65AD2974">
      <w:pPr>
        <w:spacing w:line="360" w:lineRule="auto"/>
        <w:ind w:firstLine="480" w:firstLineChars="200"/>
        <w:rPr>
          <w:rFonts w:ascii="Times New Roman" w:hAnsi="Times New Roman" w:eastAsia="宋体" w:cs="Times New Roman"/>
          <w:color w:val="FF0000"/>
          <w:sz w:val="24"/>
          <w:szCs w:val="24"/>
        </w:rPr>
      </w:pPr>
    </w:p>
    <w:p w14:paraId="3F1C24BA">
      <w:pPr>
        <w:pStyle w:val="6"/>
        <w:bidi w:val="0"/>
      </w:pPr>
      <w:r>
        <w:rPr>
          <w:rFonts w:hint="eastAsia"/>
        </w:rPr>
        <w:t>表10.1-1 环境管理工作计划</w:t>
      </w:r>
    </w:p>
    <w:tbl>
      <w:tblPr>
        <w:tblStyle w:val="4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8"/>
        <w:gridCol w:w="7414"/>
      </w:tblGrid>
      <w:tr w14:paraId="2346A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2" w:hRule="atLeast"/>
          <w:jc w:val="center"/>
        </w:trPr>
        <w:tc>
          <w:tcPr>
            <w:tcW w:w="650" w:type="pct"/>
            <w:vAlign w:val="center"/>
          </w:tcPr>
          <w:p w14:paraId="35B9C864">
            <w:pPr>
              <w:widowControl/>
              <w:tabs>
                <w:tab w:val="left" w:pos="277"/>
                <w:tab w:val="left" w:pos="600"/>
                <w:tab w:val="left" w:pos="780"/>
                <w:tab w:val="left" w:pos="2517"/>
              </w:tabs>
              <w:adjustRightInd w:val="0"/>
              <w:jc w:val="center"/>
              <w:textAlignment w:val="baseline"/>
              <w:rPr>
                <w:rFonts w:ascii="Times New Roman" w:hAnsi="Times New Roman" w:eastAsia="宋体" w:cs="Times New Roman"/>
                <w:b/>
                <w:bCs/>
                <w:color w:val="auto"/>
                <w:szCs w:val="21"/>
              </w:rPr>
            </w:pPr>
            <w:r>
              <w:rPr>
                <w:rFonts w:ascii="Times New Roman" w:hAnsi="Times New Roman" w:eastAsia="宋体" w:cs="Times New Roman"/>
                <w:b/>
                <w:bCs/>
                <w:color w:val="auto"/>
                <w:szCs w:val="21"/>
              </w:rPr>
              <w:t>阶段</w:t>
            </w:r>
          </w:p>
        </w:tc>
        <w:tc>
          <w:tcPr>
            <w:tcW w:w="4350" w:type="pct"/>
            <w:vAlign w:val="center"/>
          </w:tcPr>
          <w:p w14:paraId="33496F7B">
            <w:pPr>
              <w:widowControl/>
              <w:tabs>
                <w:tab w:val="left" w:pos="277"/>
                <w:tab w:val="left" w:pos="600"/>
                <w:tab w:val="left" w:pos="780"/>
                <w:tab w:val="left" w:pos="2517"/>
              </w:tabs>
              <w:adjustRightInd w:val="0"/>
              <w:jc w:val="center"/>
              <w:textAlignment w:val="baseline"/>
              <w:rPr>
                <w:rFonts w:ascii="Times New Roman" w:hAnsi="Times New Roman" w:eastAsia="宋体" w:cs="Times New Roman"/>
                <w:b/>
                <w:bCs/>
                <w:color w:val="auto"/>
                <w:szCs w:val="21"/>
              </w:rPr>
            </w:pPr>
            <w:r>
              <w:rPr>
                <w:rFonts w:ascii="Times New Roman" w:hAnsi="Times New Roman" w:eastAsia="宋体" w:cs="Times New Roman"/>
                <w:b/>
                <w:bCs/>
                <w:color w:val="auto"/>
                <w:szCs w:val="21"/>
              </w:rPr>
              <w:t>环境管理工作内容</w:t>
            </w:r>
          </w:p>
        </w:tc>
      </w:tr>
      <w:tr w14:paraId="1C8A7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pct"/>
            <w:vAlign w:val="center"/>
          </w:tcPr>
          <w:p w14:paraId="67DA4910">
            <w:pPr>
              <w:widowControl/>
              <w:tabs>
                <w:tab w:val="left" w:pos="277"/>
                <w:tab w:val="left" w:pos="600"/>
                <w:tab w:val="left" w:pos="780"/>
                <w:tab w:val="left" w:pos="2517"/>
              </w:tabs>
              <w:adjustRightInd w:val="0"/>
              <w:jc w:val="center"/>
              <w:textAlignment w:val="baseline"/>
              <w:rPr>
                <w:rFonts w:ascii="Times New Roman" w:hAnsi="Times New Roman" w:eastAsia="宋体" w:cs="Times New Roman"/>
                <w:color w:val="auto"/>
                <w:szCs w:val="21"/>
              </w:rPr>
            </w:pPr>
            <w:r>
              <w:rPr>
                <w:rFonts w:ascii="Times New Roman" w:hAnsi="Times New Roman" w:eastAsia="宋体" w:cs="Times New Roman"/>
                <w:color w:val="auto"/>
                <w:szCs w:val="21"/>
              </w:rPr>
              <w:t>项目建</w:t>
            </w:r>
          </w:p>
          <w:p w14:paraId="3C31E2B3">
            <w:pPr>
              <w:widowControl/>
              <w:tabs>
                <w:tab w:val="left" w:pos="277"/>
                <w:tab w:val="left" w:pos="600"/>
                <w:tab w:val="left" w:pos="780"/>
                <w:tab w:val="left" w:pos="2517"/>
              </w:tabs>
              <w:adjustRightInd w:val="0"/>
              <w:jc w:val="center"/>
              <w:textAlignment w:val="baseline"/>
              <w:rPr>
                <w:rFonts w:ascii="Times New Roman" w:hAnsi="Times New Roman" w:eastAsia="宋体" w:cs="Times New Roman"/>
                <w:color w:val="auto"/>
                <w:szCs w:val="21"/>
              </w:rPr>
            </w:pPr>
            <w:r>
              <w:rPr>
                <w:rFonts w:ascii="Times New Roman" w:hAnsi="Times New Roman" w:eastAsia="宋体" w:cs="Times New Roman"/>
                <w:color w:val="auto"/>
                <w:szCs w:val="21"/>
              </w:rPr>
              <w:t>设前期</w:t>
            </w:r>
          </w:p>
        </w:tc>
        <w:tc>
          <w:tcPr>
            <w:tcW w:w="4350" w:type="pct"/>
          </w:tcPr>
          <w:p w14:paraId="60D2B87A">
            <w:pPr>
              <w:widowControl/>
              <w:tabs>
                <w:tab w:val="left" w:pos="277"/>
                <w:tab w:val="left" w:pos="600"/>
                <w:tab w:val="left" w:pos="780"/>
                <w:tab w:val="left" w:pos="2517"/>
              </w:tabs>
              <w:adjustRightInd w:val="0"/>
              <w:jc w:val="left"/>
              <w:textAlignment w:val="baseline"/>
              <w:rPr>
                <w:rFonts w:ascii="Times New Roman" w:hAnsi="Times New Roman" w:eastAsia="宋体" w:cs="Times New Roman"/>
                <w:color w:val="auto"/>
                <w:szCs w:val="21"/>
              </w:rPr>
            </w:pPr>
            <w:r>
              <w:rPr>
                <w:rFonts w:ascii="Times New Roman" w:hAnsi="Times New Roman" w:eastAsia="宋体" w:cs="Times New Roman"/>
                <w:color w:val="auto"/>
                <w:szCs w:val="21"/>
              </w:rPr>
              <w:t>1、与</w:t>
            </w:r>
            <w:r>
              <w:rPr>
                <w:rFonts w:hint="eastAsia" w:ascii="Times New Roman" w:hAnsi="Times New Roman" w:eastAsia="宋体" w:cs="Times New Roman"/>
                <w:color w:val="auto"/>
                <w:szCs w:val="21"/>
              </w:rPr>
              <w:t>本</w:t>
            </w:r>
            <w:r>
              <w:rPr>
                <w:rFonts w:ascii="Times New Roman" w:hAnsi="Times New Roman" w:eastAsia="宋体" w:cs="Times New Roman"/>
                <w:color w:val="auto"/>
                <w:szCs w:val="21"/>
              </w:rPr>
              <w:t>工程可行性研究同期，委托评价单位进行</w:t>
            </w:r>
            <w:r>
              <w:rPr>
                <w:rFonts w:hint="eastAsia" w:ascii="Times New Roman" w:hAnsi="Times New Roman" w:eastAsia="宋体" w:cs="Times New Roman"/>
                <w:color w:val="auto"/>
                <w:szCs w:val="21"/>
              </w:rPr>
              <w:t>本</w:t>
            </w:r>
            <w:r>
              <w:rPr>
                <w:rFonts w:ascii="Times New Roman" w:hAnsi="Times New Roman" w:eastAsia="宋体" w:cs="Times New Roman"/>
                <w:color w:val="auto"/>
                <w:szCs w:val="21"/>
              </w:rPr>
              <w:t>工程的环境影响评价工作。</w:t>
            </w:r>
          </w:p>
          <w:p w14:paraId="0EFC1D27">
            <w:pPr>
              <w:widowControl/>
              <w:tabs>
                <w:tab w:val="left" w:pos="277"/>
                <w:tab w:val="left" w:pos="600"/>
                <w:tab w:val="left" w:pos="780"/>
                <w:tab w:val="left" w:pos="2517"/>
              </w:tabs>
              <w:adjustRightInd w:val="0"/>
              <w:jc w:val="left"/>
              <w:textAlignment w:val="baseline"/>
              <w:rPr>
                <w:rFonts w:ascii="Times New Roman" w:hAnsi="Times New Roman" w:eastAsia="宋体" w:cs="Times New Roman"/>
                <w:color w:val="auto"/>
                <w:szCs w:val="21"/>
              </w:rPr>
            </w:pPr>
            <w:r>
              <w:rPr>
                <w:rFonts w:ascii="Times New Roman" w:hAnsi="Times New Roman" w:eastAsia="宋体" w:cs="Times New Roman"/>
                <w:color w:val="auto"/>
                <w:szCs w:val="21"/>
              </w:rPr>
              <w:t>2、积极配合可行性研究及环评工作所需进行的现场调研。</w:t>
            </w:r>
          </w:p>
          <w:p w14:paraId="78F72C2B">
            <w:pPr>
              <w:widowControl/>
              <w:tabs>
                <w:tab w:val="left" w:pos="277"/>
                <w:tab w:val="left" w:pos="600"/>
                <w:tab w:val="left" w:pos="780"/>
                <w:tab w:val="left" w:pos="2517"/>
              </w:tabs>
              <w:adjustRightInd w:val="0"/>
              <w:jc w:val="left"/>
              <w:textAlignment w:val="baseline"/>
              <w:rPr>
                <w:rFonts w:ascii="Times New Roman" w:hAnsi="Times New Roman" w:eastAsia="宋体" w:cs="Times New Roman"/>
                <w:color w:val="auto"/>
                <w:szCs w:val="21"/>
              </w:rPr>
            </w:pPr>
            <w:r>
              <w:rPr>
                <w:rFonts w:ascii="Times New Roman" w:hAnsi="Times New Roman" w:eastAsia="宋体" w:cs="Times New Roman"/>
                <w:color w:val="auto"/>
                <w:szCs w:val="21"/>
              </w:rPr>
              <w:t>3、针对本工程的具体情况，建立企业内部必要的环境管理与监测制度。</w:t>
            </w:r>
          </w:p>
          <w:p w14:paraId="3D666701">
            <w:pPr>
              <w:widowControl/>
              <w:tabs>
                <w:tab w:val="left" w:pos="277"/>
                <w:tab w:val="left" w:pos="600"/>
                <w:tab w:val="left" w:pos="780"/>
                <w:tab w:val="left" w:pos="2517"/>
              </w:tabs>
              <w:adjustRightInd w:val="0"/>
              <w:jc w:val="left"/>
              <w:textAlignment w:val="baseline"/>
              <w:rPr>
                <w:rFonts w:ascii="Times New Roman" w:hAnsi="Times New Roman" w:eastAsia="宋体" w:cs="Times New Roman"/>
                <w:color w:val="auto"/>
                <w:szCs w:val="21"/>
              </w:rPr>
            </w:pPr>
            <w:r>
              <w:rPr>
                <w:rFonts w:ascii="Times New Roman" w:hAnsi="Times New Roman" w:eastAsia="宋体" w:cs="Times New Roman"/>
                <w:color w:val="auto"/>
                <w:szCs w:val="21"/>
              </w:rPr>
              <w:t>4、对所聘用的生产工人进行岗位培训。</w:t>
            </w:r>
          </w:p>
        </w:tc>
      </w:tr>
      <w:tr w14:paraId="4C868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pct"/>
            <w:vAlign w:val="center"/>
          </w:tcPr>
          <w:p w14:paraId="06BAEA7F">
            <w:pPr>
              <w:widowControl/>
              <w:tabs>
                <w:tab w:val="left" w:pos="277"/>
                <w:tab w:val="left" w:pos="600"/>
                <w:tab w:val="left" w:pos="780"/>
                <w:tab w:val="left" w:pos="2517"/>
              </w:tabs>
              <w:adjustRightInd w:val="0"/>
              <w:jc w:val="center"/>
              <w:textAlignment w:val="baseline"/>
              <w:rPr>
                <w:rFonts w:ascii="Times New Roman" w:hAnsi="Times New Roman" w:eastAsia="宋体" w:cs="Times New Roman"/>
                <w:color w:val="auto"/>
                <w:szCs w:val="21"/>
              </w:rPr>
            </w:pPr>
            <w:r>
              <w:rPr>
                <w:rFonts w:ascii="Times New Roman" w:hAnsi="Times New Roman" w:eastAsia="宋体" w:cs="Times New Roman"/>
                <w:color w:val="auto"/>
                <w:szCs w:val="21"/>
              </w:rPr>
              <w:t>生产运</w:t>
            </w:r>
          </w:p>
          <w:p w14:paraId="4BC2B645">
            <w:pPr>
              <w:widowControl/>
              <w:tabs>
                <w:tab w:val="left" w:pos="277"/>
                <w:tab w:val="left" w:pos="600"/>
                <w:tab w:val="left" w:pos="780"/>
                <w:tab w:val="left" w:pos="2517"/>
              </w:tabs>
              <w:adjustRightInd w:val="0"/>
              <w:jc w:val="center"/>
              <w:textAlignment w:val="baseline"/>
              <w:rPr>
                <w:rFonts w:ascii="Times New Roman" w:hAnsi="Times New Roman" w:eastAsia="宋体" w:cs="Times New Roman"/>
                <w:color w:val="auto"/>
                <w:szCs w:val="21"/>
              </w:rPr>
            </w:pPr>
            <w:r>
              <w:rPr>
                <w:rFonts w:ascii="Times New Roman" w:hAnsi="Times New Roman" w:eastAsia="宋体" w:cs="Times New Roman"/>
                <w:color w:val="auto"/>
                <w:szCs w:val="21"/>
              </w:rPr>
              <w:t>行期</w:t>
            </w:r>
          </w:p>
        </w:tc>
        <w:tc>
          <w:tcPr>
            <w:tcW w:w="4350" w:type="pct"/>
          </w:tcPr>
          <w:p w14:paraId="07D74E62">
            <w:pPr>
              <w:widowControl/>
              <w:tabs>
                <w:tab w:val="left" w:pos="277"/>
                <w:tab w:val="left" w:pos="600"/>
                <w:tab w:val="left" w:pos="780"/>
                <w:tab w:val="left" w:pos="2517"/>
              </w:tabs>
              <w:adjustRightInd w:val="0"/>
              <w:jc w:val="left"/>
              <w:textAlignment w:val="baseline"/>
              <w:rPr>
                <w:rFonts w:ascii="Times New Roman" w:hAnsi="Times New Roman" w:eastAsia="宋体" w:cs="Times New Roman"/>
                <w:color w:val="auto"/>
                <w:szCs w:val="21"/>
              </w:rPr>
            </w:pPr>
            <w:r>
              <w:rPr>
                <w:rFonts w:ascii="Times New Roman" w:hAnsi="Times New Roman" w:eastAsia="宋体" w:cs="Times New Roman"/>
                <w:color w:val="auto"/>
                <w:szCs w:val="21"/>
              </w:rPr>
              <w:t>1、严格执行各项生产及环境管理制度，保证生产的正常进行生产</w:t>
            </w:r>
          </w:p>
          <w:p w14:paraId="69E6CCDB">
            <w:pPr>
              <w:widowControl/>
              <w:tabs>
                <w:tab w:val="left" w:pos="277"/>
                <w:tab w:val="left" w:pos="600"/>
                <w:tab w:val="left" w:pos="780"/>
                <w:tab w:val="left" w:pos="2517"/>
              </w:tabs>
              <w:adjustRightInd w:val="0"/>
              <w:jc w:val="left"/>
              <w:textAlignment w:val="baseline"/>
              <w:rPr>
                <w:rFonts w:ascii="Times New Roman" w:hAnsi="Times New Roman" w:eastAsia="宋体" w:cs="Times New Roman"/>
                <w:color w:val="auto"/>
                <w:szCs w:val="21"/>
              </w:rPr>
            </w:pPr>
            <w:r>
              <w:rPr>
                <w:rFonts w:ascii="Times New Roman" w:hAnsi="Times New Roman" w:eastAsia="宋体" w:cs="Times New Roman"/>
                <w:color w:val="auto"/>
                <w:szCs w:val="21"/>
              </w:rPr>
              <w:t>2、设立环保设施档案卡，对环保设施定期进行检查、维护，做到勤查、勤养护。</w:t>
            </w:r>
          </w:p>
          <w:p w14:paraId="564DE3CB">
            <w:pPr>
              <w:widowControl/>
              <w:tabs>
                <w:tab w:val="left" w:pos="277"/>
                <w:tab w:val="left" w:pos="600"/>
                <w:tab w:val="left" w:pos="780"/>
                <w:tab w:val="left" w:pos="2517"/>
              </w:tabs>
              <w:adjustRightInd w:val="0"/>
              <w:jc w:val="left"/>
              <w:textAlignment w:val="baseline"/>
              <w:rPr>
                <w:rFonts w:ascii="Times New Roman" w:hAnsi="Times New Roman" w:eastAsia="宋体" w:cs="Times New Roman"/>
                <w:color w:val="auto"/>
                <w:szCs w:val="21"/>
              </w:rPr>
            </w:pPr>
            <w:r>
              <w:rPr>
                <w:rFonts w:ascii="Times New Roman" w:hAnsi="Times New Roman" w:eastAsia="宋体" w:cs="Times New Roman"/>
                <w:color w:val="auto"/>
                <w:szCs w:val="21"/>
              </w:rPr>
              <w:t>3、按照监测计划定期组织厂内的污染源监测，对不达标的污染源立即寻找原因，及时处理。</w:t>
            </w:r>
          </w:p>
          <w:p w14:paraId="0528D4B7">
            <w:pPr>
              <w:widowControl/>
              <w:tabs>
                <w:tab w:val="left" w:pos="277"/>
                <w:tab w:val="left" w:pos="600"/>
                <w:tab w:val="left" w:pos="780"/>
                <w:tab w:val="left" w:pos="2517"/>
              </w:tabs>
              <w:adjustRightInd w:val="0"/>
              <w:jc w:val="left"/>
              <w:textAlignment w:val="baseline"/>
              <w:rPr>
                <w:rFonts w:ascii="Times New Roman" w:hAnsi="Times New Roman" w:eastAsia="宋体" w:cs="Times New Roman"/>
                <w:color w:val="auto"/>
                <w:szCs w:val="21"/>
              </w:rPr>
            </w:pPr>
            <w:r>
              <w:rPr>
                <w:rFonts w:ascii="Times New Roman" w:hAnsi="Times New Roman" w:eastAsia="宋体" w:cs="Times New Roman"/>
                <w:color w:val="auto"/>
                <w:szCs w:val="21"/>
              </w:rPr>
              <w:t>4、应不断加强技术培训，组织企业间技术交流，提高操作水平，保持操作工人队伍稳定。</w:t>
            </w:r>
          </w:p>
          <w:p w14:paraId="0A752E86">
            <w:pPr>
              <w:widowControl/>
              <w:tabs>
                <w:tab w:val="left" w:pos="277"/>
                <w:tab w:val="left" w:pos="600"/>
                <w:tab w:val="left" w:pos="780"/>
                <w:tab w:val="left" w:pos="2517"/>
              </w:tabs>
              <w:adjustRightInd w:val="0"/>
              <w:jc w:val="left"/>
              <w:textAlignment w:val="baseline"/>
              <w:rPr>
                <w:rFonts w:ascii="Times New Roman" w:hAnsi="Times New Roman" w:eastAsia="宋体" w:cs="Times New Roman"/>
                <w:color w:val="auto"/>
                <w:szCs w:val="21"/>
              </w:rPr>
            </w:pPr>
            <w:r>
              <w:rPr>
                <w:rFonts w:ascii="Times New Roman" w:hAnsi="Times New Roman" w:eastAsia="宋体" w:cs="Times New Roman"/>
                <w:color w:val="auto"/>
                <w:szCs w:val="21"/>
              </w:rPr>
              <w:t>5、重视群众监督作用，提高全员环境意识，鼓励职工及外部人员对企业生产状况提意见，并通过积极吸收宝贵建议提高企业环境管理水平。</w:t>
            </w:r>
          </w:p>
        </w:tc>
      </w:tr>
    </w:tbl>
    <w:p w14:paraId="60ECFBD2">
      <w:pPr>
        <w:keepNext/>
        <w:keepLines/>
        <w:spacing w:before="156" w:beforeLines="50" w:after="156" w:afterLines="50" w:line="360" w:lineRule="auto"/>
        <w:outlineLvl w:val="2"/>
        <w:rPr>
          <w:rFonts w:ascii="Times New Roman" w:hAnsi="Times New Roman" w:eastAsia="宋体" w:cs="Times New Roman"/>
          <w:b/>
          <w:color w:val="auto"/>
          <w:sz w:val="24"/>
          <w:szCs w:val="24"/>
        </w:rPr>
      </w:pPr>
      <w:r>
        <w:rPr>
          <w:rFonts w:ascii="Times New Roman" w:hAnsi="Times New Roman" w:eastAsia="宋体" w:cs="Times New Roman"/>
          <w:b/>
          <w:color w:val="auto"/>
          <w:sz w:val="24"/>
          <w:szCs w:val="24"/>
        </w:rPr>
        <w:t>10.1.5环境管理</w:t>
      </w:r>
      <w:r>
        <w:rPr>
          <w:rFonts w:hint="eastAsia" w:ascii="Times New Roman" w:hAnsi="Times New Roman" w:eastAsia="宋体" w:cs="Times New Roman"/>
          <w:b/>
          <w:color w:val="auto"/>
          <w:sz w:val="24"/>
          <w:szCs w:val="24"/>
        </w:rPr>
        <w:t>台账记录</w:t>
      </w:r>
      <w:r>
        <w:rPr>
          <w:rFonts w:ascii="Times New Roman" w:hAnsi="Times New Roman" w:eastAsia="宋体" w:cs="Times New Roman"/>
          <w:b/>
          <w:color w:val="auto"/>
          <w:sz w:val="24"/>
          <w:szCs w:val="24"/>
        </w:rPr>
        <w:t>要求</w:t>
      </w:r>
    </w:p>
    <w:p w14:paraId="7E8583F9">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关于环境管理要求，每日分时段检查处理设备运行情况，具体如下；</w:t>
      </w:r>
    </w:p>
    <w:p w14:paraId="6324DBBE">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一般原则：排污单位应建立环境管理台账制度，设置专职人员开展台账记录、整理、维护和管理工作，并对台账记录结果的真实性、准确性、完整性负责。为便于携带、储存、导出及证明排污许可证执行情况，台账应按照电子化储存和纸质储存两种形式同步管理，保存期限不得少于五年。排污单位环境管理台账应真实记录生产运行、污染治理设施运行、自行监测和其他环境管理信息。其中记录频次和内容须满足排污许可证环境管理要求。</w:t>
      </w:r>
    </w:p>
    <w:p w14:paraId="180F04A2">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记录内容与频次：主要生产设施运行管理信息，排污单位应定期记录生产运行状况并留档保存，应按批次至少记录以下内容∶生产设施、运行状态、投料量、产品产量等。</w:t>
      </w:r>
    </w:p>
    <w:p w14:paraId="133170F4">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原辅材料、燃料信息：排污单位应记录原辅材料采购量、库存量、出库量、纯度、是否有毒有害等信息。</w:t>
      </w:r>
    </w:p>
    <w:p w14:paraId="6AC6F9A9">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污染治理设施运行管理信息：废气处理设施记录设施运行参数（包括运行工况等）、污染物排放情况、停运时段、药剂投加时间及投加量等。废水处理设施包括环保车间，记录每日运行参数（包括运行工况等）、进水水质及水量、回用水量、出水水质及水量、停运时段、药剂投加时间及投加量、污泥含水率、污泥产生量、污泥外运量等。</w:t>
      </w:r>
    </w:p>
    <w:p w14:paraId="6E64AAFF">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非正常工况记录信息：应记录设备起停时段设施名称、编号、非正常起始时刻、非正常恢复时刻、污染物排放量、排放浓度、事件原因、是否报告等。</w:t>
      </w:r>
      <w:r>
        <w:rPr>
          <w:bCs/>
          <w:color w:val="auto"/>
          <w:sz w:val="24"/>
          <w:szCs w:val="24"/>
        </w:rPr>
        <w:t>加强废水、废气处理设施的维护管理，保证废水、废气处理设施高效运行。</w:t>
      </w:r>
    </w:p>
    <w:p w14:paraId="2700FA57">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排污单位应建立污染治理设施运行管理监测记录，记录、台账的形式和质量控制参照H/T 373、HJ819、HJ883等相关要求执行。</w:t>
      </w:r>
    </w:p>
    <w:p w14:paraId="6B909F43">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关于信息平台定期上传要求：企业需按照表</w:t>
      </w:r>
      <w:r>
        <w:rPr>
          <w:rFonts w:ascii="Times New Roman" w:hAnsi="Times New Roman" w:eastAsia="宋体" w:cs="Times New Roman"/>
          <w:color w:val="auto"/>
          <w:sz w:val="24"/>
          <w:szCs w:val="24"/>
        </w:rPr>
        <w:t>1</w:t>
      </w:r>
      <w:r>
        <w:rPr>
          <w:rFonts w:hint="eastAsia" w:ascii="Times New Roman" w:hAnsi="Times New Roman" w:eastAsia="宋体" w:cs="Times New Roman"/>
          <w:color w:val="auto"/>
          <w:sz w:val="24"/>
          <w:szCs w:val="24"/>
        </w:rPr>
        <w:t>0.2-1要求频次监测，并定期上传至全国排污许可证管理信息平台。</w:t>
      </w:r>
    </w:p>
    <w:p w14:paraId="263ACE5E">
      <w:pPr>
        <w:keepNext/>
        <w:keepLines/>
        <w:spacing w:before="156" w:beforeLines="50" w:after="156" w:afterLines="50" w:line="360" w:lineRule="auto"/>
        <w:outlineLvl w:val="2"/>
        <w:rPr>
          <w:rFonts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rPr>
        <w:t>10.1.6 环境管理目标及内容</w:t>
      </w:r>
    </w:p>
    <w:p w14:paraId="390BBDE5">
      <w:pPr>
        <w:spacing w:line="360" w:lineRule="auto"/>
        <w:ind w:firstLine="480" w:firstLineChars="200"/>
        <w:rPr>
          <w:rFonts w:ascii="Times New Roman" w:hAnsi="Times New Roman" w:eastAsia="宋体" w:cs="Times New Roman"/>
          <w:color w:val="FF0000"/>
          <w:sz w:val="24"/>
          <w:szCs w:val="24"/>
        </w:rPr>
      </w:pPr>
      <w:r>
        <w:rPr>
          <w:rFonts w:hint="eastAsia" w:ascii="Times New Roman" w:hAnsi="Times New Roman" w:eastAsia="宋体" w:cs="Times New Roman"/>
          <w:color w:val="auto"/>
          <w:sz w:val="24"/>
          <w:szCs w:val="24"/>
        </w:rPr>
        <w:t>本次环境影响评价针对项目特点、环境问题和主要污染物，分别提出了有效的污染防治措施，项目实施期间应认真落实，监督管理环保设施的运行情况，定期监测各污染物的排放浓度以达到预期的效果，具体管理目标见表10.1</w:t>
      </w:r>
      <w:r>
        <w:rPr>
          <w:rFonts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rPr>
        <w:t>2。</w:t>
      </w:r>
    </w:p>
    <w:p w14:paraId="1280DA8D">
      <w:pPr>
        <w:spacing w:line="360" w:lineRule="auto"/>
        <w:ind w:firstLine="480" w:firstLineChars="200"/>
        <w:rPr>
          <w:rFonts w:ascii="Times New Roman" w:hAnsi="Times New Roman" w:eastAsia="宋体" w:cs="Times New Roman"/>
          <w:color w:val="FF0000"/>
          <w:sz w:val="24"/>
          <w:szCs w:val="24"/>
        </w:rPr>
      </w:pPr>
    </w:p>
    <w:p w14:paraId="18667D11">
      <w:pPr>
        <w:spacing w:line="360" w:lineRule="auto"/>
        <w:ind w:firstLine="480" w:firstLineChars="200"/>
        <w:rPr>
          <w:rFonts w:ascii="Times New Roman" w:hAnsi="Times New Roman" w:eastAsia="宋体" w:cs="Times New Roman"/>
          <w:color w:val="FF0000"/>
          <w:sz w:val="24"/>
          <w:szCs w:val="24"/>
        </w:rPr>
        <w:sectPr>
          <w:pgSz w:w="11906" w:h="16838"/>
          <w:pgMar w:top="1440" w:right="1800" w:bottom="1440" w:left="1800" w:header="851" w:footer="992" w:gutter="0"/>
          <w:pgNumType w:fmt="numberInDash"/>
          <w:cols w:space="720" w:num="1"/>
          <w:docGrid w:type="lines" w:linePitch="312" w:charSpace="0"/>
        </w:sectPr>
      </w:pPr>
    </w:p>
    <w:p w14:paraId="4D6AEBA4">
      <w:pPr>
        <w:pStyle w:val="6"/>
        <w:bidi w:val="0"/>
      </w:pPr>
      <w:r>
        <w:rPr>
          <w:rFonts w:hint="eastAsia"/>
        </w:rPr>
        <w:t>表</w:t>
      </w:r>
      <w:r>
        <w:t>10.1-</w:t>
      </w:r>
      <w:r>
        <w:rPr>
          <w:rFonts w:hint="eastAsia"/>
        </w:rPr>
        <w:t xml:space="preserve">2 </w:t>
      </w:r>
      <w:r>
        <w:t>环境管理</w:t>
      </w:r>
      <w:r>
        <w:rPr>
          <w:rFonts w:hint="eastAsia"/>
        </w:rPr>
        <w:t>目标及内容一览表</w:t>
      </w:r>
    </w:p>
    <w:tbl>
      <w:tblPr>
        <w:tblStyle w:val="4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2280"/>
        <w:gridCol w:w="5640"/>
        <w:gridCol w:w="5579"/>
      </w:tblGrid>
      <w:tr w14:paraId="6E43C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tcPr>
          <w:p w14:paraId="19DEE166">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类别</w:t>
            </w:r>
          </w:p>
        </w:tc>
        <w:tc>
          <w:tcPr>
            <w:tcW w:w="2280" w:type="dxa"/>
          </w:tcPr>
          <w:p w14:paraId="1679D256">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治理项目</w:t>
            </w:r>
          </w:p>
        </w:tc>
        <w:tc>
          <w:tcPr>
            <w:tcW w:w="5640" w:type="dxa"/>
          </w:tcPr>
          <w:p w14:paraId="5A86DD45">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治理措施</w:t>
            </w:r>
          </w:p>
        </w:tc>
        <w:tc>
          <w:tcPr>
            <w:tcW w:w="5579" w:type="dxa"/>
          </w:tcPr>
          <w:p w14:paraId="02E38A78">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管理目标及内容</w:t>
            </w:r>
          </w:p>
        </w:tc>
      </w:tr>
      <w:tr w14:paraId="04414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Merge w:val="restart"/>
            <w:vAlign w:val="center"/>
          </w:tcPr>
          <w:p w14:paraId="3A50F5DF">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废气治理</w:t>
            </w:r>
          </w:p>
        </w:tc>
        <w:tc>
          <w:tcPr>
            <w:tcW w:w="2280" w:type="dxa"/>
            <w:vAlign w:val="center"/>
          </w:tcPr>
          <w:p w14:paraId="4EF53105">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发酵废气</w:t>
            </w:r>
          </w:p>
        </w:tc>
        <w:tc>
          <w:tcPr>
            <w:tcW w:w="5640" w:type="dxa"/>
            <w:vAlign w:val="center"/>
          </w:tcPr>
          <w:p w14:paraId="2F6671D2">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碱喷淋+集中式生物除臭处理+21m高排气筒DA001</w:t>
            </w:r>
          </w:p>
        </w:tc>
        <w:tc>
          <w:tcPr>
            <w:tcW w:w="5579" w:type="dxa"/>
            <w:vMerge w:val="restart"/>
            <w:vAlign w:val="center"/>
          </w:tcPr>
          <w:p w14:paraId="08295970">
            <w:pPr>
              <w:widowControl/>
              <w:jc w:val="left"/>
              <w:rPr>
                <w:rFonts w:ascii="Times New Roman" w:hAnsi="Times New Roman" w:cs="Times New Roman"/>
                <w:color w:val="auto"/>
                <w:szCs w:val="21"/>
              </w:rPr>
            </w:pPr>
            <w:r>
              <w:rPr>
                <w:rFonts w:ascii="Times New Roman" w:hAnsi="Times New Roman" w:eastAsia="宋体" w:cs="Times New Roman"/>
                <w:color w:val="auto"/>
                <w:kern w:val="0"/>
                <w:szCs w:val="21"/>
                <w:lang w:bidi="ar"/>
              </w:rPr>
              <w:t>①运行期间，建立治理档案和排放清单。定期对设备、管线组件进行泄漏监测与修复，确保废气得到有效收集，并减少废气的无组织排放；</w:t>
            </w:r>
          </w:p>
          <w:p w14:paraId="2B432B18">
            <w:pPr>
              <w:widowControl/>
              <w:jc w:val="left"/>
              <w:rPr>
                <w:rFonts w:ascii="Times New Roman" w:hAnsi="Times New Roman" w:cs="Times New Roman"/>
                <w:color w:val="auto"/>
                <w:szCs w:val="21"/>
              </w:rPr>
            </w:pPr>
            <w:r>
              <w:rPr>
                <w:rFonts w:hint="eastAsia" w:ascii="Times New Roman" w:hAnsi="Times New Roman" w:eastAsia="宋体" w:cs="Times New Roman"/>
                <w:color w:val="auto"/>
                <w:kern w:val="0"/>
                <w:szCs w:val="21"/>
                <w:lang w:val="en-US" w:eastAsia="zh-CN" w:bidi="ar"/>
              </w:rPr>
              <w:t>②</w:t>
            </w:r>
            <w:r>
              <w:rPr>
                <w:rFonts w:ascii="Times New Roman" w:hAnsi="Times New Roman" w:eastAsia="宋体" w:cs="Times New Roman"/>
                <w:color w:val="auto"/>
                <w:kern w:val="0"/>
                <w:szCs w:val="21"/>
                <w:lang w:bidi="ar"/>
              </w:rPr>
              <w:t>建立健全的环保设施运行管理维护规程、台账等日常管理制度，并对根据工艺要求定期对设施进行进行检修维护，确保设施稳定运行。</w:t>
            </w:r>
          </w:p>
          <w:p w14:paraId="4AD90FD6">
            <w:pPr>
              <w:widowControl/>
              <w:jc w:val="left"/>
              <w:rPr>
                <w:rFonts w:ascii="Times New Roman" w:hAnsi="Times New Roman" w:eastAsia="宋体" w:cs="Times New Roman"/>
                <w:color w:val="FF0000"/>
                <w:szCs w:val="21"/>
              </w:rPr>
            </w:pPr>
            <w:r>
              <w:rPr>
                <w:rFonts w:hint="eastAsia" w:ascii="Times New Roman" w:hAnsi="Times New Roman" w:eastAsia="宋体" w:cs="Times New Roman"/>
                <w:color w:val="auto"/>
                <w:kern w:val="0"/>
                <w:szCs w:val="21"/>
                <w:lang w:val="en-US" w:eastAsia="zh-CN" w:bidi="ar"/>
              </w:rPr>
              <w:t>③</w:t>
            </w:r>
            <w:r>
              <w:rPr>
                <w:rFonts w:ascii="Times New Roman" w:hAnsi="Times New Roman" w:eastAsia="宋体" w:cs="Times New Roman"/>
                <w:color w:val="auto"/>
                <w:kern w:val="0"/>
                <w:szCs w:val="21"/>
                <w:lang w:bidi="ar"/>
              </w:rPr>
              <w:t>满足各相应排放标准。</w:t>
            </w:r>
          </w:p>
        </w:tc>
      </w:tr>
      <w:tr w14:paraId="5DB7A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Merge w:val="continue"/>
            <w:vAlign w:val="center"/>
          </w:tcPr>
          <w:p w14:paraId="589765AA">
            <w:pPr>
              <w:jc w:val="center"/>
              <w:rPr>
                <w:rFonts w:ascii="Times New Roman" w:hAnsi="Times New Roman" w:eastAsia="宋体" w:cs="Times New Roman"/>
                <w:color w:val="auto"/>
                <w:szCs w:val="21"/>
              </w:rPr>
            </w:pPr>
          </w:p>
        </w:tc>
        <w:tc>
          <w:tcPr>
            <w:tcW w:w="2280" w:type="dxa"/>
            <w:vAlign w:val="center"/>
          </w:tcPr>
          <w:p w14:paraId="432416BB">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干燥废气</w:t>
            </w:r>
          </w:p>
        </w:tc>
        <w:tc>
          <w:tcPr>
            <w:tcW w:w="5640" w:type="dxa"/>
            <w:vAlign w:val="center"/>
          </w:tcPr>
          <w:p w14:paraId="5A88D3F5">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碱喷淋+集中式生物除臭处理+21m高排气筒DA001</w:t>
            </w:r>
          </w:p>
        </w:tc>
        <w:tc>
          <w:tcPr>
            <w:tcW w:w="5579" w:type="dxa"/>
            <w:vMerge w:val="continue"/>
            <w:vAlign w:val="center"/>
          </w:tcPr>
          <w:p w14:paraId="4E38378B">
            <w:pPr>
              <w:rPr>
                <w:rFonts w:ascii="Times New Roman" w:hAnsi="Times New Roman" w:eastAsia="宋体" w:cs="Times New Roman"/>
                <w:color w:val="FF0000"/>
                <w:szCs w:val="21"/>
              </w:rPr>
            </w:pPr>
          </w:p>
        </w:tc>
      </w:tr>
      <w:tr w14:paraId="3394F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Merge w:val="continue"/>
            <w:vAlign w:val="center"/>
          </w:tcPr>
          <w:p w14:paraId="6A4135E7">
            <w:pPr>
              <w:jc w:val="center"/>
              <w:rPr>
                <w:rFonts w:ascii="Times New Roman" w:hAnsi="Times New Roman" w:eastAsia="宋体" w:cs="Times New Roman"/>
                <w:color w:val="auto"/>
                <w:szCs w:val="21"/>
              </w:rPr>
            </w:pPr>
          </w:p>
        </w:tc>
        <w:tc>
          <w:tcPr>
            <w:tcW w:w="2280" w:type="dxa"/>
            <w:shd w:val="clear" w:color="auto" w:fill="auto"/>
            <w:vAlign w:val="center"/>
          </w:tcPr>
          <w:p w14:paraId="62BDD202">
            <w:pPr>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eastAsia="zh-CN"/>
              </w:rPr>
              <w:t>污水处理站及危废间尾气</w:t>
            </w:r>
          </w:p>
        </w:tc>
        <w:tc>
          <w:tcPr>
            <w:tcW w:w="5640" w:type="dxa"/>
            <w:shd w:val="clear" w:color="auto" w:fill="auto"/>
            <w:vAlign w:val="center"/>
          </w:tcPr>
          <w:p w14:paraId="272E7091">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碱喷淋塔+水喷淋塔+生物除臭+20米高排气筒DA002</w:t>
            </w:r>
          </w:p>
        </w:tc>
        <w:tc>
          <w:tcPr>
            <w:tcW w:w="5579" w:type="dxa"/>
            <w:vMerge w:val="continue"/>
            <w:vAlign w:val="center"/>
          </w:tcPr>
          <w:p w14:paraId="3BA13C59">
            <w:pPr>
              <w:rPr>
                <w:rFonts w:ascii="Times New Roman" w:hAnsi="Times New Roman" w:eastAsia="宋体" w:cs="Times New Roman"/>
                <w:color w:val="FF0000"/>
                <w:szCs w:val="21"/>
              </w:rPr>
            </w:pPr>
          </w:p>
        </w:tc>
      </w:tr>
      <w:tr w14:paraId="55429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Merge w:val="continue"/>
          </w:tcPr>
          <w:p w14:paraId="7589B66E">
            <w:pPr>
              <w:jc w:val="center"/>
              <w:rPr>
                <w:rFonts w:ascii="Times New Roman" w:hAnsi="Times New Roman" w:eastAsia="宋体" w:cs="Times New Roman"/>
                <w:color w:val="auto"/>
                <w:szCs w:val="21"/>
              </w:rPr>
            </w:pPr>
          </w:p>
        </w:tc>
        <w:tc>
          <w:tcPr>
            <w:tcW w:w="2280" w:type="dxa"/>
            <w:vAlign w:val="center"/>
          </w:tcPr>
          <w:p w14:paraId="3F288C14">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无组织废气</w:t>
            </w:r>
          </w:p>
        </w:tc>
        <w:tc>
          <w:tcPr>
            <w:tcW w:w="5640" w:type="dxa"/>
            <w:vAlign w:val="center"/>
          </w:tcPr>
          <w:p w14:paraId="1192A752">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车间通风，种植绿植、设备定期检修</w:t>
            </w:r>
          </w:p>
        </w:tc>
        <w:tc>
          <w:tcPr>
            <w:tcW w:w="5579" w:type="dxa"/>
            <w:vMerge w:val="continue"/>
          </w:tcPr>
          <w:p w14:paraId="4229B647">
            <w:pPr>
              <w:jc w:val="center"/>
              <w:rPr>
                <w:rFonts w:ascii="Times New Roman" w:hAnsi="Times New Roman" w:eastAsia="宋体" w:cs="Times New Roman"/>
                <w:color w:val="FF0000"/>
                <w:szCs w:val="21"/>
              </w:rPr>
            </w:pPr>
          </w:p>
        </w:tc>
      </w:tr>
      <w:tr w14:paraId="4AE23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7" w:hRule="atLeast"/>
        </w:trPr>
        <w:tc>
          <w:tcPr>
            <w:tcW w:w="675" w:type="dxa"/>
            <w:vMerge w:val="restart"/>
            <w:vAlign w:val="center"/>
          </w:tcPr>
          <w:p w14:paraId="75EF37D1">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废水治理</w:t>
            </w:r>
          </w:p>
        </w:tc>
        <w:tc>
          <w:tcPr>
            <w:tcW w:w="2280" w:type="dxa"/>
            <w:vAlign w:val="center"/>
          </w:tcPr>
          <w:p w14:paraId="753D3AD8">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生产工艺废水</w:t>
            </w:r>
          </w:p>
        </w:tc>
        <w:tc>
          <w:tcPr>
            <w:tcW w:w="5640" w:type="dxa"/>
            <w:vAlign w:val="center"/>
          </w:tcPr>
          <w:p w14:paraId="49075C4A">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进入厂区污水处理站，</w:t>
            </w:r>
            <w:r>
              <w:rPr>
                <w:rFonts w:hint="eastAsia" w:ascii="Times New Roman" w:hAnsi="Times New Roman" w:eastAsia="宋体" w:cs="Times New Roman"/>
                <w:color w:val="auto"/>
                <w:szCs w:val="21"/>
              </w:rPr>
              <w:t>污水处理站处理系统采用“物化+厌氧+A/O+气浮”处理工艺，出水经专管排入津市高新区工业污水处理厂</w:t>
            </w:r>
          </w:p>
        </w:tc>
        <w:tc>
          <w:tcPr>
            <w:tcW w:w="5579" w:type="dxa"/>
            <w:vMerge w:val="restart"/>
            <w:vAlign w:val="center"/>
          </w:tcPr>
          <w:p w14:paraId="3A6C6B69">
            <w:pPr>
              <w:widowControl/>
              <w:jc w:val="left"/>
              <w:rPr>
                <w:color w:val="auto"/>
                <w:szCs w:val="21"/>
              </w:rPr>
            </w:pPr>
            <w:r>
              <w:rPr>
                <w:rFonts w:hint="eastAsia" w:ascii="宋体" w:hAnsi="宋体" w:eastAsia="宋体" w:cs="宋体"/>
                <w:color w:val="auto"/>
                <w:kern w:val="0"/>
                <w:szCs w:val="21"/>
                <w:lang w:bidi="ar"/>
              </w:rPr>
              <w:t>①根据《排污口规范化整治要求（试行）》要求设置排污口，设置</w:t>
            </w:r>
            <w:r>
              <w:rPr>
                <w:rFonts w:ascii="Times New Roman" w:hAnsi="Times New Roman" w:eastAsia="宋体" w:cs="Times New Roman"/>
                <w:color w:val="auto"/>
                <w:kern w:val="0"/>
                <w:szCs w:val="21"/>
                <w:lang w:bidi="ar"/>
              </w:rPr>
              <w:t>1</w:t>
            </w:r>
            <w:r>
              <w:rPr>
                <w:rFonts w:hint="eastAsia" w:ascii="宋体" w:hAnsi="宋体" w:eastAsia="宋体" w:cs="宋体"/>
                <w:color w:val="auto"/>
                <w:kern w:val="0"/>
                <w:szCs w:val="21"/>
                <w:lang w:bidi="ar"/>
              </w:rPr>
              <w:t>个污水排口，并设置标志牌；废水排放口安装流量计，并制订采样监测计划。废水排口和雨水排口附近醒目处应设立环保图形标志牌，标明排放的主要污染物名称等。</w:t>
            </w:r>
          </w:p>
          <w:p w14:paraId="6C615D87">
            <w:pPr>
              <w:widowControl/>
              <w:jc w:val="left"/>
              <w:rPr>
                <w:color w:val="auto"/>
                <w:szCs w:val="21"/>
              </w:rPr>
            </w:pPr>
            <w:r>
              <w:rPr>
                <w:rFonts w:hint="eastAsia" w:ascii="宋体" w:hAnsi="宋体" w:eastAsia="宋体" w:cs="宋体"/>
                <w:color w:val="auto"/>
                <w:kern w:val="0"/>
                <w:szCs w:val="21"/>
                <w:lang w:bidi="ar"/>
              </w:rPr>
              <w:t>②严格执行安全操作规程和劳动防护制度，建立维检制度，由专人负责定期检查、记录设施情况，定期检修；建立健全岗位责任制、制定正确的操作规程、建立管理台账。</w:t>
            </w:r>
          </w:p>
          <w:p w14:paraId="6E4E01B2">
            <w:pPr>
              <w:widowControl/>
              <w:jc w:val="left"/>
              <w:rPr>
                <w:color w:val="auto"/>
                <w:szCs w:val="21"/>
              </w:rPr>
            </w:pPr>
            <w:r>
              <w:rPr>
                <w:rFonts w:hint="eastAsia" w:ascii="宋体" w:hAnsi="宋体" w:eastAsia="宋体" w:cs="宋体"/>
                <w:color w:val="auto"/>
                <w:kern w:val="0"/>
                <w:szCs w:val="21"/>
                <w:lang w:bidi="ar"/>
              </w:rPr>
              <w:t>③厂内污水处理设施排放口定期进行监测。</w:t>
            </w:r>
          </w:p>
          <w:p w14:paraId="41A3FB08">
            <w:pPr>
              <w:widowControl/>
              <w:jc w:val="left"/>
              <w:rPr>
                <w:rFonts w:ascii="Times New Roman" w:hAnsi="Times New Roman" w:eastAsia="宋体" w:cs="Times New Roman"/>
                <w:color w:val="FF0000"/>
                <w:szCs w:val="21"/>
              </w:rPr>
            </w:pPr>
            <w:r>
              <w:rPr>
                <w:rFonts w:hint="eastAsia" w:ascii="宋体" w:hAnsi="宋体" w:eastAsia="宋体" w:cs="宋体"/>
                <w:color w:val="auto"/>
                <w:kern w:val="0"/>
                <w:szCs w:val="21"/>
                <w:lang w:bidi="ar"/>
              </w:rPr>
              <w:t>④污水处理设施正常运行，并达到</w:t>
            </w:r>
            <w:r>
              <w:rPr>
                <w:rFonts w:hint="eastAsia" w:ascii="Times New Roman" w:hAnsi="Times New Roman" w:eastAsia="宋体" w:cs="Times New Roman"/>
                <w:color w:val="auto"/>
                <w:szCs w:val="21"/>
              </w:rPr>
              <w:t>津市工业园污水处理厂进水水质标准及《污水综合排放标准》（GB 8978-1996）表2标准限值。</w:t>
            </w:r>
          </w:p>
        </w:tc>
      </w:tr>
      <w:tr w14:paraId="7B8C0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4" w:hRule="atLeast"/>
        </w:trPr>
        <w:tc>
          <w:tcPr>
            <w:tcW w:w="675" w:type="dxa"/>
            <w:vMerge w:val="continue"/>
            <w:vAlign w:val="center"/>
          </w:tcPr>
          <w:p w14:paraId="63182BB2">
            <w:pPr>
              <w:jc w:val="center"/>
              <w:rPr>
                <w:rFonts w:ascii="Times New Roman" w:hAnsi="Times New Roman" w:eastAsia="宋体" w:cs="Times New Roman"/>
                <w:color w:val="auto"/>
                <w:szCs w:val="21"/>
              </w:rPr>
            </w:pPr>
          </w:p>
        </w:tc>
        <w:tc>
          <w:tcPr>
            <w:tcW w:w="2280" w:type="dxa"/>
            <w:vAlign w:val="center"/>
          </w:tcPr>
          <w:p w14:paraId="31513EAE">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初期雨水</w:t>
            </w:r>
          </w:p>
        </w:tc>
        <w:tc>
          <w:tcPr>
            <w:tcW w:w="5640" w:type="dxa"/>
            <w:vAlign w:val="center"/>
          </w:tcPr>
          <w:p w14:paraId="14DE6C16">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初期雨水经初期雨水池收集后，进入厂区污水处理站</w:t>
            </w:r>
            <w:r>
              <w:rPr>
                <w:rFonts w:hint="eastAsia" w:ascii="Times New Roman" w:hAnsi="Times New Roman" w:eastAsia="宋体" w:cs="Times New Roman"/>
                <w:color w:val="auto"/>
                <w:kern w:val="0"/>
                <w:szCs w:val="21"/>
                <w:lang w:bidi="ar"/>
              </w:rPr>
              <w:t>。</w:t>
            </w:r>
          </w:p>
        </w:tc>
        <w:tc>
          <w:tcPr>
            <w:tcW w:w="5579" w:type="dxa"/>
            <w:vMerge w:val="continue"/>
            <w:vAlign w:val="center"/>
          </w:tcPr>
          <w:p w14:paraId="33E5376C">
            <w:pPr>
              <w:rPr>
                <w:rFonts w:ascii="Times New Roman" w:hAnsi="Times New Roman" w:eastAsia="宋体" w:cs="Times New Roman"/>
                <w:color w:val="FF0000"/>
                <w:szCs w:val="21"/>
              </w:rPr>
            </w:pPr>
          </w:p>
        </w:tc>
      </w:tr>
      <w:tr w14:paraId="0FCB1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Merge w:val="continue"/>
            <w:vAlign w:val="center"/>
          </w:tcPr>
          <w:p w14:paraId="45657FFF">
            <w:pPr>
              <w:jc w:val="center"/>
              <w:rPr>
                <w:rFonts w:ascii="Times New Roman" w:hAnsi="Times New Roman" w:eastAsia="宋体" w:cs="Times New Roman"/>
                <w:color w:val="auto"/>
                <w:szCs w:val="21"/>
              </w:rPr>
            </w:pPr>
          </w:p>
        </w:tc>
        <w:tc>
          <w:tcPr>
            <w:tcW w:w="2280" w:type="dxa"/>
            <w:vAlign w:val="center"/>
          </w:tcPr>
          <w:p w14:paraId="61EC3A11">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生活污水</w:t>
            </w:r>
          </w:p>
        </w:tc>
        <w:tc>
          <w:tcPr>
            <w:tcW w:w="5640" w:type="dxa"/>
            <w:vAlign w:val="center"/>
          </w:tcPr>
          <w:p w14:paraId="3E7C959D">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化粪池处理后进入厂区吴硕处理站</w:t>
            </w:r>
          </w:p>
        </w:tc>
        <w:tc>
          <w:tcPr>
            <w:tcW w:w="5579" w:type="dxa"/>
            <w:vMerge w:val="continue"/>
            <w:vAlign w:val="center"/>
          </w:tcPr>
          <w:p w14:paraId="4C84700A">
            <w:pPr>
              <w:rPr>
                <w:rFonts w:ascii="Times New Roman" w:hAnsi="Times New Roman" w:eastAsia="宋体" w:cs="Times New Roman"/>
                <w:color w:val="FF0000"/>
                <w:szCs w:val="21"/>
              </w:rPr>
            </w:pPr>
          </w:p>
        </w:tc>
      </w:tr>
      <w:tr w14:paraId="5A9C3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7E6A73C4">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噪声治理</w:t>
            </w:r>
          </w:p>
        </w:tc>
        <w:tc>
          <w:tcPr>
            <w:tcW w:w="7920" w:type="dxa"/>
            <w:gridSpan w:val="2"/>
            <w:vAlign w:val="center"/>
          </w:tcPr>
          <w:p w14:paraId="54E834B7">
            <w:pPr>
              <w:widowControl/>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合理布局、厂房隔声、减振措施、设置隔音罩，选用低噪声设备</w:t>
            </w:r>
          </w:p>
        </w:tc>
        <w:tc>
          <w:tcPr>
            <w:tcW w:w="5579" w:type="dxa"/>
            <w:vAlign w:val="center"/>
          </w:tcPr>
          <w:p w14:paraId="6B3B3CE6">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厂外噪声达标</w:t>
            </w:r>
          </w:p>
        </w:tc>
      </w:tr>
      <w:tr w14:paraId="7E9FB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36EBE64B">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固废治理</w:t>
            </w:r>
          </w:p>
        </w:tc>
        <w:tc>
          <w:tcPr>
            <w:tcW w:w="7920" w:type="dxa"/>
            <w:gridSpan w:val="2"/>
            <w:vAlign w:val="center"/>
          </w:tcPr>
          <w:p w14:paraId="12EE913B">
            <w:pPr>
              <w:widowControl/>
              <w:jc w:val="left"/>
              <w:rPr>
                <w:color w:val="auto"/>
                <w:szCs w:val="21"/>
              </w:rPr>
            </w:pPr>
            <w:r>
              <w:rPr>
                <w:rFonts w:ascii="Times New Roman" w:hAnsi="Times New Roman" w:eastAsia="宋体" w:cs="Times New Roman"/>
                <w:color w:val="auto"/>
                <w:kern w:val="0"/>
                <w:szCs w:val="21"/>
                <w:lang w:bidi="ar"/>
              </w:rPr>
              <w:t>1</w:t>
            </w:r>
            <w:r>
              <w:rPr>
                <w:rFonts w:hint="eastAsia" w:ascii="宋体" w:hAnsi="宋体" w:eastAsia="宋体" w:cs="宋体"/>
                <w:color w:val="auto"/>
                <w:kern w:val="0"/>
                <w:szCs w:val="21"/>
                <w:lang w:bidi="ar"/>
              </w:rPr>
              <w:t>、危废送资质单位处置；</w:t>
            </w:r>
          </w:p>
          <w:p w14:paraId="654650EF">
            <w:pPr>
              <w:widowControl/>
              <w:jc w:val="left"/>
              <w:rPr>
                <w:color w:val="auto"/>
                <w:szCs w:val="21"/>
              </w:rPr>
            </w:pPr>
            <w:r>
              <w:rPr>
                <w:rFonts w:ascii="Times New Roman" w:hAnsi="Times New Roman" w:eastAsia="宋体" w:cs="Times New Roman"/>
                <w:color w:val="auto"/>
                <w:kern w:val="0"/>
                <w:szCs w:val="21"/>
                <w:lang w:bidi="ar"/>
              </w:rPr>
              <w:t>2</w:t>
            </w:r>
            <w:r>
              <w:rPr>
                <w:rFonts w:hint="eastAsia" w:ascii="宋体" w:hAnsi="宋体" w:eastAsia="宋体" w:cs="宋体"/>
                <w:color w:val="auto"/>
                <w:kern w:val="0"/>
                <w:szCs w:val="21"/>
                <w:lang w:bidi="ar"/>
              </w:rPr>
              <w:t>、生活垃圾送环卫部门处置；</w:t>
            </w:r>
          </w:p>
          <w:p w14:paraId="559BCC1F">
            <w:pPr>
              <w:widowControl/>
              <w:jc w:val="left"/>
              <w:rPr>
                <w:color w:val="auto"/>
                <w:szCs w:val="21"/>
              </w:rPr>
            </w:pPr>
            <w:r>
              <w:rPr>
                <w:rFonts w:ascii="Times New Roman" w:hAnsi="Times New Roman" w:eastAsia="宋体" w:cs="Times New Roman"/>
                <w:color w:val="auto"/>
                <w:kern w:val="0"/>
                <w:szCs w:val="21"/>
                <w:lang w:bidi="ar"/>
              </w:rPr>
              <w:t>3</w:t>
            </w:r>
            <w:r>
              <w:rPr>
                <w:rFonts w:hint="eastAsia" w:ascii="宋体" w:hAnsi="宋体" w:eastAsia="宋体" w:cs="宋体"/>
                <w:color w:val="auto"/>
                <w:kern w:val="0"/>
                <w:szCs w:val="21"/>
                <w:lang w:bidi="ar"/>
              </w:rPr>
              <w:t>、设一般固废暂存</w:t>
            </w:r>
            <w:r>
              <w:rPr>
                <w:rFonts w:hint="eastAsia" w:ascii="宋体" w:hAnsi="宋体" w:eastAsia="宋体" w:cs="宋体"/>
                <w:color w:val="auto"/>
                <w:kern w:val="0"/>
                <w:szCs w:val="21"/>
                <w:lang w:val="en-US" w:eastAsia="zh-CN" w:bidi="ar"/>
              </w:rPr>
              <w:t>间</w:t>
            </w:r>
            <w:r>
              <w:rPr>
                <w:rFonts w:hint="eastAsia" w:ascii="宋体" w:hAnsi="宋体" w:eastAsia="宋体" w:cs="宋体"/>
                <w:color w:val="auto"/>
                <w:kern w:val="0"/>
                <w:szCs w:val="21"/>
                <w:lang w:bidi="ar"/>
              </w:rPr>
              <w:t>，其建设应满足《一般工业固体废物贮存和填埋污染控制标准》（</w:t>
            </w:r>
            <w:r>
              <w:rPr>
                <w:rFonts w:ascii="Times New Roman" w:hAnsi="Times New Roman" w:eastAsia="宋体" w:cs="Times New Roman"/>
                <w:color w:val="auto"/>
                <w:kern w:val="0"/>
                <w:szCs w:val="21"/>
                <w:lang w:bidi="ar"/>
              </w:rPr>
              <w:t>GB18599-2020</w:t>
            </w:r>
            <w:r>
              <w:rPr>
                <w:rFonts w:hint="eastAsia" w:ascii="宋体" w:hAnsi="宋体" w:eastAsia="宋体" w:cs="宋体"/>
                <w:color w:val="auto"/>
                <w:kern w:val="0"/>
                <w:szCs w:val="21"/>
                <w:lang w:bidi="ar"/>
              </w:rPr>
              <w:t>）及其修改单有关要求；</w:t>
            </w:r>
          </w:p>
          <w:p w14:paraId="54F29F4C">
            <w:pPr>
              <w:widowControl/>
              <w:jc w:val="left"/>
              <w:rPr>
                <w:rFonts w:ascii="Times New Roman" w:hAnsi="Times New Roman" w:eastAsia="宋体" w:cs="Times New Roman"/>
                <w:color w:val="auto"/>
                <w:szCs w:val="21"/>
              </w:rPr>
            </w:pPr>
            <w:r>
              <w:rPr>
                <w:rFonts w:ascii="Times New Roman" w:hAnsi="Times New Roman" w:eastAsia="宋体" w:cs="Times New Roman"/>
                <w:color w:val="auto"/>
                <w:kern w:val="0"/>
                <w:szCs w:val="21"/>
                <w:lang w:bidi="ar"/>
              </w:rPr>
              <w:t>4</w:t>
            </w:r>
            <w:r>
              <w:rPr>
                <w:rFonts w:hint="eastAsia" w:ascii="宋体" w:hAnsi="宋体" w:eastAsia="宋体" w:cs="宋体"/>
                <w:color w:val="auto"/>
                <w:kern w:val="0"/>
                <w:szCs w:val="21"/>
                <w:lang w:bidi="ar"/>
              </w:rPr>
              <w:t>、危险废物暂存库应按照《危险废物贮存污染控制标准》（</w:t>
            </w:r>
            <w:r>
              <w:rPr>
                <w:rFonts w:ascii="Times New Roman" w:hAnsi="Times New Roman" w:eastAsia="宋体" w:cs="Times New Roman"/>
                <w:color w:val="auto"/>
                <w:kern w:val="0"/>
                <w:szCs w:val="21"/>
                <w:lang w:bidi="ar"/>
              </w:rPr>
              <w:t>GB18597-20</w:t>
            </w:r>
            <w:r>
              <w:rPr>
                <w:rFonts w:hint="eastAsia" w:ascii="Times New Roman" w:hAnsi="Times New Roman" w:eastAsia="宋体" w:cs="Times New Roman"/>
                <w:color w:val="auto"/>
                <w:kern w:val="0"/>
                <w:szCs w:val="21"/>
                <w:lang w:bidi="ar"/>
              </w:rPr>
              <w:t>23</w:t>
            </w:r>
            <w:r>
              <w:rPr>
                <w:rFonts w:hint="eastAsia" w:ascii="宋体" w:hAnsi="宋体" w:eastAsia="宋体" w:cs="宋体"/>
                <w:color w:val="auto"/>
                <w:kern w:val="0"/>
                <w:szCs w:val="21"/>
                <w:lang w:bidi="ar"/>
              </w:rPr>
              <w:t>）要求设危险废物暂存场。</w:t>
            </w:r>
          </w:p>
        </w:tc>
        <w:tc>
          <w:tcPr>
            <w:tcW w:w="5579" w:type="dxa"/>
            <w:vAlign w:val="center"/>
          </w:tcPr>
          <w:p w14:paraId="7AD5FEDF">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处置率100%</w:t>
            </w:r>
          </w:p>
        </w:tc>
      </w:tr>
      <w:tr w14:paraId="5D3DB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4F361E8A">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风险防范</w:t>
            </w:r>
          </w:p>
        </w:tc>
        <w:tc>
          <w:tcPr>
            <w:tcW w:w="7920" w:type="dxa"/>
            <w:gridSpan w:val="2"/>
            <w:vAlign w:val="center"/>
          </w:tcPr>
          <w:p w14:paraId="6A3E6188">
            <w:pPr>
              <w:widowControl/>
              <w:jc w:val="left"/>
              <w:rPr>
                <w:color w:val="auto"/>
                <w:szCs w:val="21"/>
              </w:rPr>
            </w:pPr>
            <w:r>
              <w:rPr>
                <w:rFonts w:ascii="Times New Roman" w:hAnsi="Times New Roman" w:eastAsia="宋体" w:cs="Times New Roman"/>
                <w:color w:val="auto"/>
                <w:kern w:val="0"/>
                <w:szCs w:val="21"/>
                <w:lang w:bidi="ar"/>
              </w:rPr>
              <w:t>1</w:t>
            </w:r>
            <w:r>
              <w:rPr>
                <w:rFonts w:hint="eastAsia" w:ascii="宋体" w:hAnsi="宋体" w:eastAsia="宋体" w:cs="宋体"/>
                <w:color w:val="auto"/>
                <w:kern w:val="0"/>
                <w:szCs w:val="21"/>
                <w:lang w:bidi="ar"/>
              </w:rPr>
              <w:t>、设立应急预案、组织日常培训；</w:t>
            </w:r>
          </w:p>
          <w:p w14:paraId="76309098">
            <w:pPr>
              <w:widowControl/>
              <w:jc w:val="left"/>
              <w:rPr>
                <w:color w:val="auto"/>
                <w:szCs w:val="21"/>
              </w:rPr>
            </w:pPr>
            <w:r>
              <w:rPr>
                <w:rFonts w:ascii="Times New Roman" w:hAnsi="Times New Roman" w:eastAsia="宋体" w:cs="Times New Roman"/>
                <w:color w:val="auto"/>
                <w:kern w:val="0"/>
                <w:szCs w:val="21"/>
                <w:lang w:bidi="ar"/>
              </w:rPr>
              <w:t>2</w:t>
            </w:r>
            <w:r>
              <w:rPr>
                <w:rFonts w:hint="eastAsia" w:ascii="宋体" w:hAnsi="宋体" w:eastAsia="宋体" w:cs="宋体"/>
                <w:color w:val="auto"/>
                <w:kern w:val="0"/>
                <w:szCs w:val="21"/>
                <w:lang w:bidi="ar"/>
              </w:rPr>
              <w:t>、配备必要的风险防范设施，设立</w:t>
            </w:r>
            <w:r>
              <w:rPr>
                <w:rFonts w:hint="eastAsia" w:ascii="宋体" w:hAnsi="宋体" w:eastAsia="宋体" w:cs="宋体"/>
                <w:color w:val="auto"/>
                <w:kern w:val="0"/>
                <w:szCs w:val="21"/>
                <w:lang w:val="en-US" w:eastAsia="zh-CN" w:bidi="ar"/>
              </w:rPr>
              <w:t>应急</w:t>
            </w:r>
            <w:r>
              <w:rPr>
                <w:rFonts w:hint="eastAsia" w:ascii="宋体" w:hAnsi="宋体" w:eastAsia="宋体" w:cs="宋体"/>
                <w:color w:val="auto"/>
                <w:kern w:val="0"/>
                <w:szCs w:val="21"/>
                <w:lang w:bidi="ar"/>
              </w:rPr>
              <w:t>事故池</w:t>
            </w:r>
            <w:r>
              <w:rPr>
                <w:rFonts w:hint="eastAsia" w:ascii="Times New Roman" w:hAnsi="Times New Roman" w:eastAsia="宋体" w:cs="Times New Roman"/>
                <w:color w:val="auto"/>
                <w:kern w:val="0"/>
                <w:szCs w:val="21"/>
                <w:lang w:val="en-US" w:eastAsia="zh-CN" w:bidi="ar"/>
              </w:rPr>
              <w:t>230</w:t>
            </w:r>
            <w:r>
              <w:rPr>
                <w:rFonts w:hint="eastAsia" w:ascii="Times New Roman" w:hAnsi="Times New Roman" w:eastAsia="宋体" w:cs="Times New Roman"/>
                <w:color w:val="auto"/>
                <w:kern w:val="0"/>
                <w:szCs w:val="21"/>
                <w:lang w:eastAsia="zh-CN" w:bidi="ar"/>
              </w:rPr>
              <w:t>m</w:t>
            </w:r>
            <w:r>
              <w:rPr>
                <w:rFonts w:hint="eastAsia" w:ascii="Times New Roman" w:hAnsi="Times New Roman" w:eastAsia="宋体" w:cs="Times New Roman"/>
                <w:color w:val="auto"/>
                <w:kern w:val="0"/>
                <w:szCs w:val="21"/>
                <w:vertAlign w:val="superscript"/>
                <w:lang w:eastAsia="zh-CN" w:bidi="ar"/>
              </w:rPr>
              <w:t>3</w:t>
            </w:r>
            <w:r>
              <w:rPr>
                <w:rFonts w:hint="eastAsia" w:ascii="宋体" w:hAnsi="宋体" w:eastAsia="宋体" w:cs="宋体"/>
                <w:color w:val="auto"/>
                <w:kern w:val="0"/>
                <w:szCs w:val="21"/>
                <w:lang w:bidi="ar"/>
              </w:rPr>
              <w:t>；</w:t>
            </w:r>
          </w:p>
          <w:p w14:paraId="40281087">
            <w:pPr>
              <w:widowControl/>
              <w:jc w:val="left"/>
              <w:rPr>
                <w:color w:val="auto"/>
                <w:szCs w:val="21"/>
              </w:rPr>
            </w:pPr>
            <w:r>
              <w:rPr>
                <w:rFonts w:ascii="Times New Roman" w:hAnsi="Times New Roman" w:eastAsia="宋体" w:cs="Times New Roman"/>
                <w:color w:val="auto"/>
                <w:kern w:val="0"/>
                <w:szCs w:val="21"/>
                <w:lang w:bidi="ar"/>
              </w:rPr>
              <w:t>3</w:t>
            </w:r>
            <w:r>
              <w:rPr>
                <w:rFonts w:hint="eastAsia" w:ascii="宋体" w:hAnsi="宋体" w:eastAsia="宋体" w:cs="宋体"/>
                <w:color w:val="auto"/>
                <w:kern w:val="0"/>
                <w:szCs w:val="21"/>
                <w:lang w:bidi="ar"/>
              </w:rPr>
              <w:t>、一旦出现事故</w:t>
            </w:r>
            <w:r>
              <w:rPr>
                <w:rFonts w:ascii="Times New Roman" w:hAnsi="Times New Roman" w:eastAsia="宋体" w:cs="Times New Roman"/>
                <w:color w:val="auto"/>
                <w:kern w:val="0"/>
                <w:szCs w:val="21"/>
                <w:lang w:bidi="ar"/>
              </w:rPr>
              <w:t>/</w:t>
            </w:r>
            <w:r>
              <w:rPr>
                <w:rFonts w:hint="eastAsia" w:ascii="宋体" w:hAnsi="宋体" w:eastAsia="宋体" w:cs="宋体"/>
                <w:color w:val="auto"/>
                <w:kern w:val="0"/>
                <w:szCs w:val="21"/>
                <w:lang w:bidi="ar"/>
              </w:rPr>
              <w:t>非正常工况，立即停止生产，并组织人员撤离，启动应急预案响应；</w:t>
            </w:r>
          </w:p>
          <w:p w14:paraId="5C0EE7E1">
            <w:pPr>
              <w:widowControl/>
              <w:jc w:val="left"/>
              <w:rPr>
                <w:color w:val="auto"/>
                <w:szCs w:val="21"/>
              </w:rPr>
            </w:pPr>
            <w:r>
              <w:rPr>
                <w:rFonts w:ascii="Times New Roman" w:hAnsi="Times New Roman" w:eastAsia="宋体" w:cs="Times New Roman"/>
                <w:color w:val="auto"/>
                <w:kern w:val="0"/>
                <w:szCs w:val="21"/>
                <w:lang w:bidi="ar"/>
              </w:rPr>
              <w:t>4</w:t>
            </w:r>
            <w:r>
              <w:rPr>
                <w:rFonts w:hint="eastAsia" w:ascii="宋体" w:hAnsi="宋体" w:eastAsia="宋体" w:cs="宋体"/>
                <w:color w:val="auto"/>
                <w:kern w:val="0"/>
                <w:szCs w:val="21"/>
                <w:lang w:bidi="ar"/>
              </w:rPr>
              <w:t>、设置围堰、警示标志；</w:t>
            </w:r>
          </w:p>
          <w:p w14:paraId="42E27E9A">
            <w:pPr>
              <w:widowControl/>
              <w:jc w:val="left"/>
              <w:rPr>
                <w:color w:val="auto"/>
                <w:szCs w:val="21"/>
              </w:rPr>
            </w:pPr>
            <w:r>
              <w:rPr>
                <w:rFonts w:ascii="Times New Roman" w:hAnsi="Times New Roman" w:eastAsia="宋体" w:cs="Times New Roman"/>
                <w:color w:val="auto"/>
                <w:kern w:val="0"/>
                <w:szCs w:val="21"/>
                <w:lang w:bidi="ar"/>
              </w:rPr>
              <w:t>5</w:t>
            </w:r>
            <w:r>
              <w:rPr>
                <w:rFonts w:hint="eastAsia" w:ascii="宋体" w:hAnsi="宋体" w:eastAsia="宋体" w:cs="宋体"/>
                <w:color w:val="auto"/>
                <w:kern w:val="0"/>
                <w:szCs w:val="21"/>
                <w:lang w:bidi="ar"/>
              </w:rPr>
              <w:t>、对运输车辆加强日常维护，培训押护人员；</w:t>
            </w:r>
          </w:p>
          <w:p w14:paraId="061FA7F3">
            <w:pPr>
              <w:widowControl/>
              <w:jc w:val="left"/>
              <w:rPr>
                <w:color w:val="auto"/>
                <w:szCs w:val="21"/>
              </w:rPr>
            </w:pPr>
            <w:r>
              <w:rPr>
                <w:rFonts w:ascii="Times New Roman" w:hAnsi="Times New Roman" w:eastAsia="宋体" w:cs="Times New Roman"/>
                <w:color w:val="auto"/>
                <w:kern w:val="0"/>
                <w:szCs w:val="21"/>
                <w:lang w:bidi="ar"/>
              </w:rPr>
              <w:t>6</w:t>
            </w:r>
            <w:r>
              <w:rPr>
                <w:rFonts w:hint="eastAsia" w:ascii="宋体" w:hAnsi="宋体" w:eastAsia="宋体" w:cs="宋体"/>
                <w:color w:val="auto"/>
                <w:kern w:val="0"/>
                <w:szCs w:val="21"/>
                <w:lang w:bidi="ar"/>
              </w:rPr>
              <w:t>、配备相应灭火设施；</w:t>
            </w:r>
          </w:p>
          <w:p w14:paraId="077ACC21">
            <w:pPr>
              <w:widowControl/>
              <w:jc w:val="left"/>
              <w:rPr>
                <w:color w:val="auto"/>
                <w:szCs w:val="21"/>
              </w:rPr>
            </w:pPr>
            <w:r>
              <w:rPr>
                <w:rFonts w:ascii="Times New Roman" w:hAnsi="Times New Roman" w:eastAsia="宋体" w:cs="Times New Roman"/>
                <w:color w:val="auto"/>
                <w:kern w:val="0"/>
                <w:szCs w:val="21"/>
                <w:lang w:bidi="ar"/>
              </w:rPr>
              <w:t>7</w:t>
            </w:r>
            <w:r>
              <w:rPr>
                <w:rFonts w:hint="eastAsia" w:ascii="宋体" w:hAnsi="宋体" w:eastAsia="宋体" w:cs="宋体"/>
                <w:color w:val="auto"/>
                <w:kern w:val="0"/>
                <w:szCs w:val="21"/>
                <w:lang w:bidi="ar"/>
              </w:rPr>
              <w:t>、加强管理，加强定期巡查；</w:t>
            </w:r>
          </w:p>
          <w:p w14:paraId="0CF5BFF8">
            <w:pPr>
              <w:widowControl/>
              <w:jc w:val="left"/>
              <w:rPr>
                <w:color w:val="auto"/>
                <w:szCs w:val="21"/>
              </w:rPr>
            </w:pPr>
            <w:r>
              <w:rPr>
                <w:rFonts w:ascii="Times New Roman" w:hAnsi="Times New Roman" w:eastAsia="宋体" w:cs="Times New Roman"/>
                <w:color w:val="auto"/>
                <w:kern w:val="0"/>
                <w:szCs w:val="21"/>
                <w:lang w:bidi="ar"/>
              </w:rPr>
              <w:t>8</w:t>
            </w:r>
            <w:r>
              <w:rPr>
                <w:rFonts w:hint="eastAsia" w:ascii="宋体" w:hAnsi="宋体" w:eastAsia="宋体" w:cs="宋体"/>
                <w:color w:val="auto"/>
                <w:kern w:val="0"/>
                <w:szCs w:val="21"/>
                <w:lang w:bidi="ar"/>
              </w:rPr>
              <w:t>、安装消防管道设施，配备防毒面具等；</w:t>
            </w:r>
          </w:p>
          <w:p w14:paraId="4AD2467D">
            <w:pPr>
              <w:widowControl/>
              <w:jc w:val="left"/>
              <w:rPr>
                <w:rFonts w:ascii="Times New Roman" w:hAnsi="Times New Roman" w:eastAsia="宋体" w:cs="Times New Roman"/>
                <w:color w:val="auto"/>
                <w:kern w:val="0"/>
                <w:szCs w:val="21"/>
                <w:lang w:bidi="ar"/>
              </w:rPr>
            </w:pPr>
            <w:r>
              <w:rPr>
                <w:rFonts w:ascii="Times New Roman" w:hAnsi="Times New Roman" w:eastAsia="宋体" w:cs="Times New Roman"/>
                <w:color w:val="auto"/>
                <w:kern w:val="0"/>
                <w:szCs w:val="21"/>
                <w:lang w:bidi="ar"/>
              </w:rPr>
              <w:t>9</w:t>
            </w:r>
            <w:r>
              <w:rPr>
                <w:rFonts w:hint="eastAsia" w:ascii="宋体" w:hAnsi="宋体" w:eastAsia="宋体" w:cs="宋体"/>
                <w:color w:val="auto"/>
                <w:kern w:val="0"/>
                <w:szCs w:val="21"/>
                <w:lang w:bidi="ar"/>
              </w:rPr>
              <w:t>、各涉污区域均采取地面防渗措施、储罐设围堰及报警仪器，围堰设置排水切换装置，确保事故情况下的泄漏污染物、消防废水可以纳入事故废水池。</w:t>
            </w:r>
          </w:p>
        </w:tc>
        <w:tc>
          <w:tcPr>
            <w:tcW w:w="5579" w:type="dxa"/>
            <w:vAlign w:val="center"/>
          </w:tcPr>
          <w:p w14:paraId="7FE7087E">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减少环境污染事故的发生，有效处理事故情况下的“三废”非正常外排污染物</w:t>
            </w:r>
          </w:p>
        </w:tc>
      </w:tr>
      <w:tr w14:paraId="2E134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239D4E79">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监测</w:t>
            </w:r>
          </w:p>
        </w:tc>
        <w:tc>
          <w:tcPr>
            <w:tcW w:w="7920" w:type="dxa"/>
            <w:gridSpan w:val="2"/>
            <w:vAlign w:val="center"/>
          </w:tcPr>
          <w:p w14:paraId="64D83A0B">
            <w:pPr>
              <w:widowControl/>
              <w:jc w:val="center"/>
              <w:rPr>
                <w:rFonts w:ascii="Times New Roman" w:hAnsi="Times New Roman" w:eastAsia="宋体" w:cs="Times New Roman"/>
                <w:color w:val="auto"/>
                <w:kern w:val="0"/>
                <w:szCs w:val="21"/>
                <w:lang w:bidi="ar"/>
              </w:rPr>
            </w:pPr>
            <w:r>
              <w:rPr>
                <w:rFonts w:hint="eastAsia" w:ascii="Times New Roman" w:hAnsi="Times New Roman" w:eastAsia="宋体" w:cs="Times New Roman"/>
                <w:color w:val="auto"/>
                <w:szCs w:val="21"/>
              </w:rPr>
              <w:t>定期委托有资质单位对监测计划中的污染物进行监测</w:t>
            </w:r>
          </w:p>
        </w:tc>
        <w:tc>
          <w:tcPr>
            <w:tcW w:w="5579" w:type="dxa"/>
            <w:vAlign w:val="center"/>
          </w:tcPr>
          <w:p w14:paraId="563799C7">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定期实施监测</w:t>
            </w:r>
          </w:p>
        </w:tc>
      </w:tr>
      <w:tr w14:paraId="53B8A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5" w:type="dxa"/>
            <w:vAlign w:val="center"/>
          </w:tcPr>
          <w:p w14:paraId="33F2E44F">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其他</w:t>
            </w:r>
          </w:p>
        </w:tc>
        <w:tc>
          <w:tcPr>
            <w:tcW w:w="13499" w:type="dxa"/>
            <w:gridSpan w:val="3"/>
            <w:vAlign w:val="center"/>
          </w:tcPr>
          <w:p w14:paraId="082D7A47">
            <w:pPr>
              <w:widowControl/>
              <w:jc w:val="center"/>
              <w:rPr>
                <w:rFonts w:ascii="Times New Roman" w:hAnsi="Times New Roman" w:eastAsia="宋体" w:cs="Times New Roman"/>
                <w:color w:val="auto"/>
                <w:szCs w:val="21"/>
              </w:rPr>
            </w:pPr>
            <w:r>
              <w:rPr>
                <w:rFonts w:hint="eastAsia" w:ascii="宋体" w:hAnsi="宋体" w:eastAsia="宋体" w:cs="宋体"/>
                <w:color w:val="auto"/>
                <w:kern w:val="0"/>
                <w:szCs w:val="21"/>
                <w:lang w:bidi="ar"/>
              </w:rPr>
              <w:t>对项目产生的所有污染物产生情况、处置情况做好台账，备查工作</w:t>
            </w:r>
          </w:p>
        </w:tc>
      </w:tr>
    </w:tbl>
    <w:p w14:paraId="714CDB25">
      <w:pPr>
        <w:spacing w:line="360" w:lineRule="auto"/>
        <w:jc w:val="center"/>
        <w:rPr>
          <w:rFonts w:ascii="Times New Roman" w:hAnsi="Times New Roman" w:eastAsia="宋体" w:cs="Times New Roman"/>
          <w:b/>
          <w:bCs/>
          <w:color w:val="FF0000"/>
          <w:szCs w:val="21"/>
        </w:rPr>
      </w:pPr>
    </w:p>
    <w:p w14:paraId="2A39387C">
      <w:pPr>
        <w:spacing w:line="360" w:lineRule="auto"/>
        <w:ind w:firstLine="480" w:firstLineChars="200"/>
        <w:rPr>
          <w:rFonts w:ascii="Times New Roman" w:hAnsi="Times New Roman" w:eastAsia="宋体" w:cs="Times New Roman"/>
          <w:color w:val="FF0000"/>
          <w:sz w:val="24"/>
          <w:szCs w:val="24"/>
        </w:rPr>
        <w:sectPr>
          <w:pgSz w:w="16838" w:h="11906" w:orient="landscape"/>
          <w:pgMar w:top="1803" w:right="1440" w:bottom="1803" w:left="1440" w:header="851" w:footer="992" w:gutter="0"/>
          <w:pgNumType w:fmt="numberInDash"/>
          <w:cols w:space="0" w:num="1"/>
          <w:docGrid w:type="lines" w:linePitch="319" w:charSpace="0"/>
        </w:sectPr>
      </w:pPr>
    </w:p>
    <w:p w14:paraId="57FDC7E2">
      <w:pPr>
        <w:keepNext/>
        <w:keepLines/>
        <w:spacing w:before="156" w:beforeLines="50" w:after="156" w:afterLines="50" w:line="360" w:lineRule="auto"/>
        <w:outlineLvl w:val="2"/>
        <w:rPr>
          <w:rFonts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rPr>
        <w:t>10.1.7 排污口规范化建设</w:t>
      </w:r>
    </w:p>
    <w:p w14:paraId="3DEA1274">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根据国家标准《环境保护图形标志—排放口（源）》和国家环保总局《排污口规范化整治要求（试行）》的技术要求，建设项目所有排放口，包括水、气、声、固体废物，必须按照“便于计量监测、便于日常现场监督检查”的原则和规范化要求，设置与之相适应得环境保护图形标志牌，表明排污口分布图，同时对污水排放口安装流量计，对治理设施安装运行监控装置。项目在排污口规范化方面的工作如下：</w:t>
      </w:r>
    </w:p>
    <w:p w14:paraId="57D2B9EA">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w:t>
      </w:r>
      <w:r>
        <w:rPr>
          <w:rFonts w:ascii="Times New Roman" w:hAnsi="Times New Roman" w:eastAsia="宋体" w:cs="Times New Roman"/>
          <w:color w:val="auto"/>
          <w:sz w:val="24"/>
          <w:szCs w:val="24"/>
        </w:rPr>
        <w:t>1</w:t>
      </w:r>
      <w:r>
        <w:rPr>
          <w:rFonts w:hint="eastAsia" w:ascii="Times New Roman" w:hAnsi="Times New Roman" w:eastAsia="宋体" w:cs="Times New Roman"/>
          <w:color w:val="auto"/>
          <w:sz w:val="24"/>
          <w:szCs w:val="24"/>
        </w:rPr>
        <w:t>）废气排放口：废气排放口必须符合规定的高度和按照《污染源监测技术规范》便于采样、监测的要求，设置直径不小于</w:t>
      </w:r>
      <w:r>
        <w:rPr>
          <w:rFonts w:ascii="Times New Roman" w:hAnsi="Times New Roman" w:eastAsia="宋体" w:cs="Times New Roman"/>
          <w:color w:val="auto"/>
          <w:sz w:val="24"/>
          <w:szCs w:val="24"/>
        </w:rPr>
        <w:t>100mm</w:t>
      </w:r>
      <w:r>
        <w:rPr>
          <w:rFonts w:hint="eastAsia" w:ascii="Times New Roman" w:hAnsi="Times New Roman" w:eastAsia="宋体" w:cs="Times New Roman"/>
          <w:color w:val="auto"/>
          <w:sz w:val="24"/>
          <w:szCs w:val="24"/>
        </w:rPr>
        <w:t>的采样口。在废气排放口设置采样口及采样平台。</w:t>
      </w:r>
    </w:p>
    <w:p w14:paraId="4A3334AD">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（2）排污口必须规范化设置，便于采样与计量监测，便于日常监督检查，应有观测、取样、维修通道等。</w:t>
      </w:r>
    </w:p>
    <w:p w14:paraId="2978B58E">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（3）如实向环保管理部门申报排污口数量、位置及所排放的主要污染物种类、数量、浓度、排放去向等情况。</w:t>
      </w:r>
    </w:p>
    <w:p w14:paraId="16D9C0DC">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（4）规范化排污口的有关设置（如图形标志牌、计量装置、监控装置等）属环保设施，排污单位必须负责日常的维护保养，任何单位和个人不得擅自拆除，如需变更须报环境监察部门同意并办理变更手续。</w:t>
      </w:r>
    </w:p>
    <w:p w14:paraId="3AC87B35">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（5）排污口立标管理：项目应根据国家《环境保护图形标志》（</w:t>
      </w:r>
      <w:r>
        <w:rPr>
          <w:rFonts w:ascii="Times New Roman" w:hAnsi="Times New Roman" w:eastAsia="宋体" w:cs="Times New Roman"/>
          <w:color w:val="auto"/>
          <w:sz w:val="24"/>
          <w:szCs w:val="24"/>
        </w:rPr>
        <w:t>GB15562.1~2-1995</w:t>
      </w:r>
      <w:r>
        <w:rPr>
          <w:rFonts w:hint="eastAsia"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及《危险废物识别标志设置技术规范》（HJ 1276-2022）</w:t>
      </w:r>
      <w:r>
        <w:rPr>
          <w:rFonts w:hint="eastAsia" w:ascii="Times New Roman" w:hAnsi="Times New Roman" w:eastAsia="宋体" w:cs="Times New Roman"/>
          <w:color w:val="auto"/>
          <w:sz w:val="24"/>
          <w:szCs w:val="24"/>
        </w:rPr>
        <w:t>的规定，针对各污染物排放口及噪声排放源分别设置生态环境部统一制作的环境保护图形标志牌</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rPr>
        <w:t>在厂区的废水排放口、废气排放源、固体废物贮存处置场应设置环境保护图形标志，环境保护图形符号详见下表：</w:t>
      </w:r>
    </w:p>
    <w:p w14:paraId="382B7E71">
      <w:pPr>
        <w:pStyle w:val="6"/>
        <w:bidi w:val="0"/>
      </w:pPr>
      <w:r>
        <w:rPr>
          <w:rFonts w:hint="eastAsia"/>
        </w:rPr>
        <w:t>表10.1-3 项目环境保护图形符号一览表</w:t>
      </w:r>
    </w:p>
    <w:tbl>
      <w:tblPr>
        <w:tblStyle w:val="41"/>
        <w:tblW w:w="8310" w:type="dxa"/>
        <w:tblInd w:w="0" w:type="dxa"/>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703"/>
        <w:gridCol w:w="2055"/>
        <w:gridCol w:w="2025"/>
        <w:gridCol w:w="1590"/>
        <w:gridCol w:w="1937"/>
      </w:tblGrid>
      <w:tr w14:paraId="6FBD4DBF">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c>
          <w:tcPr>
            <w:tcW w:w="703" w:type="dxa"/>
            <w:tcBorders>
              <w:top w:val="single" w:color="auto" w:sz="4" w:space="0"/>
              <w:left w:val="single" w:color="auto" w:sz="4" w:space="0"/>
              <w:bottom w:val="single" w:color="auto" w:sz="4" w:space="0"/>
              <w:right w:val="single" w:color="auto" w:sz="4" w:space="0"/>
              <w:tl2br w:val="nil"/>
              <w:tr2bl w:val="nil"/>
            </w:tcBorders>
            <w:vAlign w:val="center"/>
          </w:tcPr>
          <w:p w14:paraId="779E74E3">
            <w:pPr>
              <w:widowControl/>
              <w:jc w:val="center"/>
              <w:rPr>
                <w:rFonts w:ascii="Times New Roman" w:hAnsi="Times New Roman" w:eastAsia="宋体" w:cs="Times New Roman"/>
                <w:b/>
                <w:bCs/>
                <w:color w:val="auto"/>
                <w:kern w:val="0"/>
              </w:rPr>
            </w:pPr>
            <w:r>
              <w:rPr>
                <w:rFonts w:hint="eastAsia" w:ascii="Times New Roman" w:hAnsi="Times New Roman" w:eastAsia="宋体" w:cs="Times New Roman"/>
                <w:b/>
                <w:bCs/>
                <w:color w:val="auto"/>
                <w:kern w:val="0"/>
              </w:rPr>
              <w:t>序号</w:t>
            </w:r>
          </w:p>
        </w:tc>
        <w:tc>
          <w:tcPr>
            <w:tcW w:w="2055" w:type="dxa"/>
            <w:tcBorders>
              <w:top w:val="single" w:color="auto" w:sz="4" w:space="0"/>
              <w:left w:val="single" w:color="auto" w:sz="4" w:space="0"/>
              <w:bottom w:val="single" w:color="auto" w:sz="4" w:space="0"/>
              <w:right w:val="single" w:color="auto" w:sz="4" w:space="0"/>
              <w:tl2br w:val="nil"/>
              <w:tr2bl w:val="nil"/>
            </w:tcBorders>
            <w:vAlign w:val="center"/>
          </w:tcPr>
          <w:p w14:paraId="14F71F61">
            <w:pPr>
              <w:widowControl/>
              <w:jc w:val="center"/>
              <w:rPr>
                <w:rFonts w:ascii="Times New Roman" w:hAnsi="Times New Roman" w:eastAsia="宋体" w:cs="Times New Roman"/>
                <w:b/>
                <w:bCs/>
                <w:color w:val="auto"/>
                <w:kern w:val="0"/>
              </w:rPr>
            </w:pPr>
            <w:r>
              <w:rPr>
                <w:rFonts w:hint="eastAsia" w:ascii="Times New Roman" w:hAnsi="Times New Roman" w:eastAsia="宋体" w:cs="Times New Roman"/>
                <w:b/>
                <w:bCs/>
                <w:color w:val="auto"/>
                <w:kern w:val="0"/>
              </w:rPr>
              <w:t>提示图形符号</w:t>
            </w:r>
          </w:p>
        </w:tc>
        <w:tc>
          <w:tcPr>
            <w:tcW w:w="2025" w:type="dxa"/>
            <w:tcBorders>
              <w:top w:val="single" w:color="auto" w:sz="4" w:space="0"/>
              <w:left w:val="single" w:color="auto" w:sz="4" w:space="0"/>
              <w:bottom w:val="single" w:color="auto" w:sz="4" w:space="0"/>
              <w:right w:val="single" w:color="auto" w:sz="4" w:space="0"/>
              <w:tl2br w:val="nil"/>
              <w:tr2bl w:val="nil"/>
            </w:tcBorders>
            <w:vAlign w:val="center"/>
          </w:tcPr>
          <w:p w14:paraId="677B89E7">
            <w:pPr>
              <w:widowControl/>
              <w:jc w:val="center"/>
              <w:rPr>
                <w:rFonts w:ascii="Times New Roman" w:hAnsi="Times New Roman" w:eastAsia="宋体" w:cs="Times New Roman"/>
                <w:b/>
                <w:bCs/>
                <w:color w:val="auto"/>
                <w:kern w:val="0"/>
              </w:rPr>
            </w:pPr>
            <w:r>
              <w:rPr>
                <w:rFonts w:hint="eastAsia" w:ascii="Times New Roman" w:hAnsi="Times New Roman" w:eastAsia="宋体" w:cs="Times New Roman"/>
                <w:b/>
                <w:bCs/>
                <w:color w:val="auto"/>
                <w:kern w:val="0"/>
              </w:rPr>
              <w:t>警告图形符号</w:t>
            </w:r>
          </w:p>
        </w:tc>
        <w:tc>
          <w:tcPr>
            <w:tcW w:w="1590" w:type="dxa"/>
            <w:tcBorders>
              <w:top w:val="single" w:color="auto" w:sz="4" w:space="0"/>
              <w:left w:val="single" w:color="auto" w:sz="4" w:space="0"/>
              <w:bottom w:val="single" w:color="auto" w:sz="4" w:space="0"/>
              <w:right w:val="single" w:color="auto" w:sz="4" w:space="0"/>
              <w:tl2br w:val="nil"/>
              <w:tr2bl w:val="nil"/>
            </w:tcBorders>
            <w:vAlign w:val="center"/>
          </w:tcPr>
          <w:p w14:paraId="09664F91">
            <w:pPr>
              <w:widowControl/>
              <w:jc w:val="center"/>
              <w:rPr>
                <w:rFonts w:ascii="Times New Roman" w:hAnsi="Times New Roman" w:eastAsia="宋体" w:cs="Times New Roman"/>
                <w:b/>
                <w:bCs/>
                <w:color w:val="auto"/>
                <w:kern w:val="0"/>
              </w:rPr>
            </w:pPr>
            <w:r>
              <w:rPr>
                <w:rFonts w:hint="eastAsia" w:ascii="Times New Roman" w:hAnsi="Times New Roman" w:eastAsia="宋体" w:cs="Times New Roman"/>
                <w:b/>
                <w:bCs/>
                <w:color w:val="auto"/>
                <w:kern w:val="0"/>
              </w:rPr>
              <w:t>名称</w:t>
            </w:r>
          </w:p>
        </w:tc>
        <w:tc>
          <w:tcPr>
            <w:tcW w:w="1937" w:type="dxa"/>
            <w:tcBorders>
              <w:top w:val="single" w:color="auto" w:sz="4" w:space="0"/>
              <w:left w:val="single" w:color="auto" w:sz="4" w:space="0"/>
              <w:bottom w:val="single" w:color="auto" w:sz="4" w:space="0"/>
              <w:right w:val="single" w:color="auto" w:sz="4" w:space="0"/>
              <w:tl2br w:val="nil"/>
              <w:tr2bl w:val="nil"/>
            </w:tcBorders>
            <w:vAlign w:val="center"/>
          </w:tcPr>
          <w:p w14:paraId="35072FB0">
            <w:pPr>
              <w:widowControl/>
              <w:jc w:val="center"/>
              <w:rPr>
                <w:rFonts w:ascii="Times New Roman" w:hAnsi="Times New Roman" w:eastAsia="宋体" w:cs="Times New Roman"/>
                <w:b/>
                <w:bCs/>
                <w:color w:val="auto"/>
                <w:kern w:val="0"/>
              </w:rPr>
            </w:pPr>
            <w:r>
              <w:rPr>
                <w:rFonts w:hint="eastAsia" w:ascii="Times New Roman" w:hAnsi="Times New Roman" w:eastAsia="宋体" w:cs="Times New Roman"/>
                <w:b/>
                <w:bCs/>
                <w:color w:val="auto"/>
                <w:kern w:val="0"/>
              </w:rPr>
              <w:t>功能</w:t>
            </w:r>
          </w:p>
        </w:tc>
      </w:tr>
      <w:tr w14:paraId="21C2D10F">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c>
          <w:tcPr>
            <w:tcW w:w="703" w:type="dxa"/>
            <w:tcBorders>
              <w:top w:val="single" w:color="auto" w:sz="4" w:space="0"/>
              <w:left w:val="single" w:color="auto" w:sz="4" w:space="0"/>
              <w:bottom w:val="single" w:color="auto" w:sz="4" w:space="0"/>
              <w:right w:val="single" w:color="auto" w:sz="4" w:space="0"/>
              <w:tl2br w:val="nil"/>
              <w:tr2bl w:val="nil"/>
            </w:tcBorders>
            <w:vAlign w:val="center"/>
          </w:tcPr>
          <w:p w14:paraId="4C5C9E48">
            <w:pPr>
              <w:widowControl/>
              <w:jc w:val="center"/>
              <w:rPr>
                <w:rFonts w:ascii="Times New Roman" w:hAnsi="Times New Roman" w:eastAsia="宋体" w:cs="Times New Roman"/>
                <w:color w:val="auto"/>
                <w:kern w:val="0"/>
              </w:rPr>
            </w:pPr>
            <w:r>
              <w:rPr>
                <w:rFonts w:hint="eastAsia" w:ascii="Times New Roman" w:hAnsi="Times New Roman" w:eastAsia="宋体" w:cs="Times New Roman"/>
                <w:color w:val="auto"/>
                <w:kern w:val="0"/>
              </w:rPr>
              <w:t>1</w:t>
            </w:r>
          </w:p>
        </w:tc>
        <w:tc>
          <w:tcPr>
            <w:tcW w:w="2055" w:type="dxa"/>
            <w:tcBorders>
              <w:top w:val="single" w:color="auto" w:sz="4" w:space="0"/>
              <w:left w:val="single" w:color="auto" w:sz="4" w:space="0"/>
              <w:bottom w:val="single" w:color="auto" w:sz="4" w:space="0"/>
              <w:right w:val="single" w:color="auto" w:sz="4" w:space="0"/>
              <w:tl2br w:val="nil"/>
              <w:tr2bl w:val="nil"/>
            </w:tcBorders>
            <w:vAlign w:val="center"/>
          </w:tcPr>
          <w:p w14:paraId="183120C7">
            <w:pPr>
              <w:widowControl/>
              <w:jc w:val="center"/>
              <w:rPr>
                <w:rFonts w:ascii="Times New Roman" w:hAnsi="Times New Roman" w:eastAsia="宋体" w:cs="Times New Roman"/>
                <w:color w:val="auto"/>
                <w:kern w:val="0"/>
              </w:rPr>
            </w:pPr>
            <w:r>
              <w:rPr>
                <w:rFonts w:ascii="宋体" w:hAnsi="Calibri" w:eastAsia="宋体" w:cs="Times New Roman"/>
                <w:color w:val="auto"/>
                <w:szCs w:val="21"/>
              </w:rPr>
              <w:drawing>
                <wp:inline distT="0" distB="0" distL="114300" distR="114300">
                  <wp:extent cx="861695" cy="870585"/>
                  <wp:effectExtent l="0" t="0" r="14605" b="5715"/>
                  <wp:docPr id="16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
                          <pic:cNvPicPr>
                            <a:picLocks noChangeAspect="1"/>
                          </pic:cNvPicPr>
                        </pic:nvPicPr>
                        <pic:blipFill>
                          <a:blip r:embed="rId47"/>
                          <a:stretch>
                            <a:fillRect/>
                          </a:stretch>
                        </pic:blipFill>
                        <pic:spPr>
                          <a:xfrm>
                            <a:off x="0" y="0"/>
                            <a:ext cx="861695" cy="870585"/>
                          </a:xfrm>
                          <a:prstGeom prst="rect">
                            <a:avLst/>
                          </a:prstGeom>
                          <a:noFill/>
                          <a:ln>
                            <a:noFill/>
                          </a:ln>
                        </pic:spPr>
                      </pic:pic>
                    </a:graphicData>
                  </a:graphic>
                </wp:inline>
              </w:drawing>
            </w:r>
          </w:p>
        </w:tc>
        <w:tc>
          <w:tcPr>
            <w:tcW w:w="2025" w:type="dxa"/>
            <w:tcBorders>
              <w:top w:val="single" w:color="auto" w:sz="4" w:space="0"/>
              <w:left w:val="single" w:color="auto" w:sz="4" w:space="0"/>
              <w:bottom w:val="single" w:color="auto" w:sz="4" w:space="0"/>
              <w:right w:val="single" w:color="auto" w:sz="4" w:space="0"/>
              <w:tl2br w:val="nil"/>
              <w:tr2bl w:val="nil"/>
            </w:tcBorders>
            <w:vAlign w:val="center"/>
          </w:tcPr>
          <w:p w14:paraId="2FC325FF">
            <w:pPr>
              <w:widowControl/>
              <w:jc w:val="center"/>
              <w:rPr>
                <w:rFonts w:ascii="Times New Roman" w:hAnsi="Times New Roman" w:eastAsia="宋体" w:cs="Times New Roman"/>
                <w:color w:val="auto"/>
                <w:kern w:val="0"/>
              </w:rPr>
            </w:pPr>
            <w:r>
              <w:rPr>
                <w:rFonts w:ascii="宋体" w:hAnsi="Calibri" w:eastAsia="宋体" w:cs="Times New Roman"/>
                <w:color w:val="auto"/>
                <w:szCs w:val="21"/>
              </w:rPr>
              <w:drawing>
                <wp:inline distT="0" distB="0" distL="114300" distR="114300">
                  <wp:extent cx="859790" cy="870585"/>
                  <wp:effectExtent l="0" t="0" r="16510" b="5715"/>
                  <wp:docPr id="16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2"/>
                          <pic:cNvPicPr>
                            <a:picLocks noChangeAspect="1"/>
                          </pic:cNvPicPr>
                        </pic:nvPicPr>
                        <pic:blipFill>
                          <a:blip r:embed="rId48"/>
                          <a:stretch>
                            <a:fillRect/>
                          </a:stretch>
                        </pic:blipFill>
                        <pic:spPr>
                          <a:xfrm>
                            <a:off x="0" y="0"/>
                            <a:ext cx="859790" cy="870585"/>
                          </a:xfrm>
                          <a:prstGeom prst="rect">
                            <a:avLst/>
                          </a:prstGeom>
                          <a:noFill/>
                          <a:ln>
                            <a:noFill/>
                          </a:ln>
                        </pic:spPr>
                      </pic:pic>
                    </a:graphicData>
                  </a:graphic>
                </wp:inline>
              </w:drawing>
            </w:r>
          </w:p>
        </w:tc>
        <w:tc>
          <w:tcPr>
            <w:tcW w:w="1590" w:type="dxa"/>
            <w:tcBorders>
              <w:top w:val="single" w:color="auto" w:sz="4" w:space="0"/>
              <w:left w:val="single" w:color="auto" w:sz="4" w:space="0"/>
              <w:bottom w:val="single" w:color="auto" w:sz="4" w:space="0"/>
              <w:right w:val="single" w:color="auto" w:sz="4" w:space="0"/>
              <w:tl2br w:val="nil"/>
              <w:tr2bl w:val="nil"/>
            </w:tcBorders>
            <w:vAlign w:val="center"/>
          </w:tcPr>
          <w:p w14:paraId="6C9567D9">
            <w:pPr>
              <w:widowControl/>
              <w:jc w:val="center"/>
              <w:rPr>
                <w:rFonts w:ascii="Times New Roman" w:hAnsi="Times New Roman" w:eastAsia="宋体" w:cs="Times New Roman"/>
                <w:color w:val="auto"/>
                <w:kern w:val="0"/>
              </w:rPr>
            </w:pPr>
            <w:r>
              <w:rPr>
                <w:rFonts w:hint="eastAsia" w:ascii="Times New Roman" w:hAnsi="Times New Roman" w:eastAsia="宋体" w:cs="Times New Roman"/>
                <w:color w:val="auto"/>
                <w:kern w:val="0"/>
              </w:rPr>
              <w:t>废水排放口</w:t>
            </w:r>
          </w:p>
        </w:tc>
        <w:tc>
          <w:tcPr>
            <w:tcW w:w="1937" w:type="dxa"/>
            <w:tcBorders>
              <w:top w:val="single" w:color="auto" w:sz="4" w:space="0"/>
              <w:left w:val="single" w:color="auto" w:sz="4" w:space="0"/>
              <w:bottom w:val="single" w:color="auto" w:sz="4" w:space="0"/>
              <w:right w:val="single" w:color="auto" w:sz="4" w:space="0"/>
              <w:tl2br w:val="nil"/>
              <w:tr2bl w:val="nil"/>
            </w:tcBorders>
            <w:vAlign w:val="center"/>
          </w:tcPr>
          <w:p w14:paraId="3ABDE339">
            <w:pPr>
              <w:widowControl/>
              <w:jc w:val="center"/>
              <w:rPr>
                <w:rFonts w:ascii="Times New Roman" w:hAnsi="Times New Roman" w:eastAsia="宋体" w:cs="Times New Roman"/>
                <w:color w:val="auto"/>
                <w:kern w:val="0"/>
              </w:rPr>
            </w:pPr>
            <w:r>
              <w:rPr>
                <w:rFonts w:hint="eastAsia" w:ascii="Times New Roman" w:hAnsi="Times New Roman" w:eastAsia="宋体" w:cs="Times New Roman"/>
                <w:color w:val="auto"/>
                <w:kern w:val="0"/>
              </w:rPr>
              <w:t>表示废水向水体排放</w:t>
            </w:r>
          </w:p>
        </w:tc>
      </w:tr>
      <w:tr w14:paraId="1AA2032B">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c>
          <w:tcPr>
            <w:tcW w:w="703" w:type="dxa"/>
            <w:tcBorders>
              <w:top w:val="single" w:color="auto" w:sz="4" w:space="0"/>
              <w:left w:val="single" w:color="auto" w:sz="4" w:space="0"/>
              <w:bottom w:val="single" w:color="auto" w:sz="4" w:space="0"/>
              <w:right w:val="single" w:color="auto" w:sz="4" w:space="0"/>
              <w:tl2br w:val="nil"/>
              <w:tr2bl w:val="nil"/>
            </w:tcBorders>
            <w:vAlign w:val="center"/>
          </w:tcPr>
          <w:p w14:paraId="49DAEDA3">
            <w:pPr>
              <w:widowControl/>
              <w:jc w:val="center"/>
              <w:rPr>
                <w:rFonts w:ascii="Times New Roman" w:hAnsi="Times New Roman" w:eastAsia="宋体" w:cs="Times New Roman"/>
                <w:color w:val="auto"/>
                <w:kern w:val="0"/>
              </w:rPr>
            </w:pPr>
            <w:r>
              <w:rPr>
                <w:rFonts w:hint="eastAsia" w:ascii="Times New Roman" w:hAnsi="Times New Roman" w:eastAsia="宋体" w:cs="Times New Roman"/>
                <w:color w:val="auto"/>
                <w:kern w:val="0"/>
              </w:rPr>
              <w:t>2</w:t>
            </w:r>
          </w:p>
        </w:tc>
        <w:tc>
          <w:tcPr>
            <w:tcW w:w="2055" w:type="dxa"/>
            <w:tcBorders>
              <w:top w:val="single" w:color="auto" w:sz="4" w:space="0"/>
              <w:left w:val="single" w:color="auto" w:sz="4" w:space="0"/>
              <w:bottom w:val="single" w:color="auto" w:sz="4" w:space="0"/>
              <w:right w:val="single" w:color="auto" w:sz="4" w:space="0"/>
              <w:tl2br w:val="nil"/>
              <w:tr2bl w:val="nil"/>
            </w:tcBorders>
            <w:vAlign w:val="center"/>
          </w:tcPr>
          <w:p w14:paraId="6EDB611A">
            <w:pPr>
              <w:widowControl/>
              <w:jc w:val="center"/>
              <w:rPr>
                <w:rFonts w:ascii="Times New Roman" w:hAnsi="Times New Roman" w:eastAsia="宋体" w:cs="Times New Roman"/>
                <w:color w:val="auto"/>
                <w:kern w:val="0"/>
              </w:rPr>
            </w:pPr>
            <w:r>
              <w:rPr>
                <w:rFonts w:ascii="宋体" w:hAnsi="Calibri" w:eastAsia="宋体" w:cs="Times New Roman"/>
                <w:color w:val="auto"/>
                <w:szCs w:val="21"/>
              </w:rPr>
              <w:drawing>
                <wp:inline distT="0" distB="0" distL="114300" distR="114300">
                  <wp:extent cx="861695" cy="870585"/>
                  <wp:effectExtent l="0" t="0" r="14605" b="5715"/>
                  <wp:docPr id="16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3"/>
                          <pic:cNvPicPr>
                            <a:picLocks noChangeAspect="1"/>
                          </pic:cNvPicPr>
                        </pic:nvPicPr>
                        <pic:blipFill>
                          <a:blip r:embed="rId49"/>
                          <a:stretch>
                            <a:fillRect/>
                          </a:stretch>
                        </pic:blipFill>
                        <pic:spPr>
                          <a:xfrm>
                            <a:off x="0" y="0"/>
                            <a:ext cx="861695" cy="870585"/>
                          </a:xfrm>
                          <a:prstGeom prst="rect">
                            <a:avLst/>
                          </a:prstGeom>
                          <a:noFill/>
                          <a:ln>
                            <a:noFill/>
                          </a:ln>
                        </pic:spPr>
                      </pic:pic>
                    </a:graphicData>
                  </a:graphic>
                </wp:inline>
              </w:drawing>
            </w:r>
          </w:p>
        </w:tc>
        <w:tc>
          <w:tcPr>
            <w:tcW w:w="2025" w:type="dxa"/>
            <w:tcBorders>
              <w:top w:val="single" w:color="auto" w:sz="4" w:space="0"/>
              <w:left w:val="single" w:color="auto" w:sz="4" w:space="0"/>
              <w:bottom w:val="single" w:color="auto" w:sz="4" w:space="0"/>
              <w:right w:val="single" w:color="auto" w:sz="4" w:space="0"/>
              <w:tl2br w:val="nil"/>
              <w:tr2bl w:val="nil"/>
            </w:tcBorders>
            <w:vAlign w:val="center"/>
          </w:tcPr>
          <w:p w14:paraId="712908F2">
            <w:pPr>
              <w:widowControl/>
              <w:jc w:val="center"/>
              <w:rPr>
                <w:rFonts w:ascii="Times New Roman" w:hAnsi="Times New Roman" w:eastAsia="宋体" w:cs="Times New Roman"/>
                <w:color w:val="auto"/>
                <w:kern w:val="0"/>
              </w:rPr>
            </w:pPr>
            <w:r>
              <w:rPr>
                <w:rFonts w:ascii="宋体" w:hAnsi="Calibri" w:eastAsia="宋体" w:cs="Times New Roman"/>
                <w:color w:val="auto"/>
                <w:szCs w:val="21"/>
              </w:rPr>
              <w:drawing>
                <wp:inline distT="0" distB="0" distL="114300" distR="114300">
                  <wp:extent cx="895350" cy="896620"/>
                  <wp:effectExtent l="0" t="0" r="0" b="17780"/>
                  <wp:docPr id="16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4"/>
                          <pic:cNvPicPr>
                            <a:picLocks noChangeAspect="1"/>
                          </pic:cNvPicPr>
                        </pic:nvPicPr>
                        <pic:blipFill>
                          <a:blip r:embed="rId50"/>
                          <a:stretch>
                            <a:fillRect/>
                          </a:stretch>
                        </pic:blipFill>
                        <pic:spPr>
                          <a:xfrm>
                            <a:off x="0" y="0"/>
                            <a:ext cx="895350" cy="896620"/>
                          </a:xfrm>
                          <a:prstGeom prst="rect">
                            <a:avLst/>
                          </a:prstGeom>
                          <a:noFill/>
                          <a:ln>
                            <a:noFill/>
                          </a:ln>
                        </pic:spPr>
                      </pic:pic>
                    </a:graphicData>
                  </a:graphic>
                </wp:inline>
              </w:drawing>
            </w:r>
          </w:p>
        </w:tc>
        <w:tc>
          <w:tcPr>
            <w:tcW w:w="1590" w:type="dxa"/>
            <w:tcBorders>
              <w:top w:val="single" w:color="auto" w:sz="4" w:space="0"/>
              <w:left w:val="single" w:color="auto" w:sz="4" w:space="0"/>
              <w:bottom w:val="single" w:color="auto" w:sz="4" w:space="0"/>
              <w:right w:val="single" w:color="auto" w:sz="4" w:space="0"/>
              <w:tl2br w:val="nil"/>
              <w:tr2bl w:val="nil"/>
            </w:tcBorders>
            <w:vAlign w:val="center"/>
          </w:tcPr>
          <w:p w14:paraId="4E491856">
            <w:pPr>
              <w:widowControl/>
              <w:jc w:val="center"/>
              <w:rPr>
                <w:rFonts w:ascii="Times New Roman" w:hAnsi="Times New Roman" w:eastAsia="宋体" w:cs="Times New Roman"/>
                <w:color w:val="auto"/>
                <w:kern w:val="0"/>
              </w:rPr>
            </w:pPr>
            <w:r>
              <w:rPr>
                <w:rFonts w:hint="eastAsia" w:ascii="Times New Roman" w:hAnsi="Times New Roman" w:eastAsia="宋体" w:cs="Times New Roman"/>
                <w:color w:val="auto"/>
                <w:kern w:val="0"/>
              </w:rPr>
              <w:t>废气排放口</w:t>
            </w:r>
          </w:p>
        </w:tc>
        <w:tc>
          <w:tcPr>
            <w:tcW w:w="1937" w:type="dxa"/>
            <w:tcBorders>
              <w:top w:val="single" w:color="auto" w:sz="4" w:space="0"/>
              <w:left w:val="single" w:color="auto" w:sz="4" w:space="0"/>
              <w:bottom w:val="single" w:color="auto" w:sz="4" w:space="0"/>
              <w:right w:val="single" w:color="auto" w:sz="4" w:space="0"/>
              <w:tl2br w:val="nil"/>
              <w:tr2bl w:val="nil"/>
            </w:tcBorders>
            <w:vAlign w:val="center"/>
          </w:tcPr>
          <w:p w14:paraId="65376EC9">
            <w:pPr>
              <w:widowControl/>
              <w:jc w:val="center"/>
              <w:rPr>
                <w:rFonts w:ascii="Times New Roman" w:hAnsi="Times New Roman" w:eastAsia="宋体" w:cs="Times New Roman"/>
                <w:color w:val="auto"/>
                <w:kern w:val="0"/>
              </w:rPr>
            </w:pPr>
            <w:r>
              <w:rPr>
                <w:rFonts w:hint="eastAsia" w:ascii="宋体" w:hAnsi="Calibri" w:eastAsia="宋体" w:cs="Times New Roman"/>
                <w:color w:val="auto"/>
                <w:szCs w:val="21"/>
              </w:rPr>
              <w:t>表示废气向大气环境排放</w:t>
            </w:r>
          </w:p>
        </w:tc>
      </w:tr>
      <w:tr w14:paraId="0AF985AB">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c>
          <w:tcPr>
            <w:tcW w:w="703" w:type="dxa"/>
            <w:tcBorders>
              <w:top w:val="single" w:color="auto" w:sz="4" w:space="0"/>
              <w:left w:val="single" w:color="auto" w:sz="4" w:space="0"/>
              <w:bottom w:val="single" w:color="auto" w:sz="4" w:space="0"/>
              <w:right w:val="single" w:color="auto" w:sz="4" w:space="0"/>
              <w:tl2br w:val="nil"/>
              <w:tr2bl w:val="nil"/>
            </w:tcBorders>
            <w:vAlign w:val="center"/>
          </w:tcPr>
          <w:p w14:paraId="54603C8C">
            <w:pPr>
              <w:widowControl/>
              <w:jc w:val="center"/>
              <w:rPr>
                <w:rFonts w:ascii="Times New Roman" w:hAnsi="Times New Roman" w:eastAsia="宋体" w:cs="Times New Roman"/>
                <w:color w:val="auto"/>
                <w:kern w:val="0"/>
              </w:rPr>
            </w:pPr>
            <w:r>
              <w:rPr>
                <w:rFonts w:hint="eastAsia" w:ascii="Times New Roman" w:hAnsi="Times New Roman" w:eastAsia="宋体" w:cs="Times New Roman"/>
                <w:color w:val="auto"/>
                <w:kern w:val="0"/>
              </w:rPr>
              <w:t>3</w:t>
            </w:r>
          </w:p>
        </w:tc>
        <w:tc>
          <w:tcPr>
            <w:tcW w:w="2055" w:type="dxa"/>
            <w:tcBorders>
              <w:top w:val="single" w:color="auto" w:sz="4" w:space="0"/>
              <w:left w:val="single" w:color="auto" w:sz="4" w:space="0"/>
              <w:bottom w:val="single" w:color="auto" w:sz="4" w:space="0"/>
              <w:right w:val="single" w:color="auto" w:sz="4" w:space="0"/>
              <w:tl2br w:val="nil"/>
              <w:tr2bl w:val="nil"/>
            </w:tcBorders>
            <w:vAlign w:val="center"/>
          </w:tcPr>
          <w:p w14:paraId="0AFF9BFB">
            <w:pPr>
              <w:widowControl/>
              <w:jc w:val="center"/>
              <w:rPr>
                <w:rFonts w:ascii="Times New Roman" w:hAnsi="Times New Roman" w:eastAsia="宋体" w:cs="Times New Roman"/>
                <w:color w:val="auto"/>
                <w:kern w:val="0"/>
              </w:rPr>
            </w:pPr>
            <w:r>
              <w:rPr>
                <w:rFonts w:ascii="宋体" w:hAnsi="Calibri" w:eastAsia="宋体" w:cs="Times New Roman"/>
                <w:color w:val="auto"/>
                <w:szCs w:val="21"/>
              </w:rPr>
              <w:drawing>
                <wp:inline distT="0" distB="0" distL="114300" distR="114300">
                  <wp:extent cx="854710" cy="854710"/>
                  <wp:effectExtent l="0" t="0" r="2540" b="2540"/>
                  <wp:docPr id="16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5"/>
                          <pic:cNvPicPr>
                            <a:picLocks noChangeAspect="1"/>
                          </pic:cNvPicPr>
                        </pic:nvPicPr>
                        <pic:blipFill>
                          <a:blip r:embed="rId51"/>
                          <a:stretch>
                            <a:fillRect/>
                          </a:stretch>
                        </pic:blipFill>
                        <pic:spPr>
                          <a:xfrm>
                            <a:off x="0" y="0"/>
                            <a:ext cx="854710" cy="854710"/>
                          </a:xfrm>
                          <a:prstGeom prst="rect">
                            <a:avLst/>
                          </a:prstGeom>
                          <a:noFill/>
                          <a:ln>
                            <a:noFill/>
                          </a:ln>
                        </pic:spPr>
                      </pic:pic>
                    </a:graphicData>
                  </a:graphic>
                </wp:inline>
              </w:drawing>
            </w:r>
          </w:p>
        </w:tc>
        <w:tc>
          <w:tcPr>
            <w:tcW w:w="2025" w:type="dxa"/>
            <w:tcBorders>
              <w:top w:val="single" w:color="auto" w:sz="4" w:space="0"/>
              <w:left w:val="single" w:color="auto" w:sz="4" w:space="0"/>
              <w:bottom w:val="single" w:color="auto" w:sz="4" w:space="0"/>
              <w:right w:val="single" w:color="auto" w:sz="4" w:space="0"/>
              <w:tl2br w:val="nil"/>
              <w:tr2bl w:val="nil"/>
            </w:tcBorders>
            <w:vAlign w:val="center"/>
          </w:tcPr>
          <w:p w14:paraId="0B0FACDA">
            <w:pPr>
              <w:widowControl/>
              <w:jc w:val="center"/>
              <w:rPr>
                <w:rFonts w:ascii="Times New Roman" w:hAnsi="Times New Roman" w:eastAsia="宋体" w:cs="Times New Roman"/>
                <w:color w:val="auto"/>
                <w:kern w:val="0"/>
              </w:rPr>
            </w:pPr>
            <w:r>
              <w:rPr>
                <w:rFonts w:ascii="宋体" w:hAnsi="Calibri" w:eastAsia="宋体" w:cs="Times New Roman"/>
                <w:color w:val="auto"/>
                <w:szCs w:val="21"/>
              </w:rPr>
              <w:drawing>
                <wp:inline distT="0" distB="0" distL="114300" distR="114300">
                  <wp:extent cx="952500" cy="845185"/>
                  <wp:effectExtent l="0" t="0" r="0" b="12065"/>
                  <wp:docPr id="16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6"/>
                          <pic:cNvPicPr>
                            <a:picLocks noChangeAspect="1"/>
                          </pic:cNvPicPr>
                        </pic:nvPicPr>
                        <pic:blipFill>
                          <a:blip r:embed="rId52"/>
                          <a:stretch>
                            <a:fillRect/>
                          </a:stretch>
                        </pic:blipFill>
                        <pic:spPr>
                          <a:xfrm>
                            <a:off x="0" y="0"/>
                            <a:ext cx="952500" cy="845185"/>
                          </a:xfrm>
                          <a:prstGeom prst="rect">
                            <a:avLst/>
                          </a:prstGeom>
                          <a:noFill/>
                          <a:ln>
                            <a:noFill/>
                          </a:ln>
                        </pic:spPr>
                      </pic:pic>
                    </a:graphicData>
                  </a:graphic>
                </wp:inline>
              </w:drawing>
            </w:r>
          </w:p>
        </w:tc>
        <w:tc>
          <w:tcPr>
            <w:tcW w:w="1590" w:type="dxa"/>
            <w:tcBorders>
              <w:top w:val="single" w:color="auto" w:sz="4" w:space="0"/>
              <w:left w:val="single" w:color="auto" w:sz="4" w:space="0"/>
              <w:bottom w:val="single" w:color="auto" w:sz="4" w:space="0"/>
              <w:right w:val="single" w:color="auto" w:sz="4" w:space="0"/>
              <w:tl2br w:val="nil"/>
              <w:tr2bl w:val="nil"/>
            </w:tcBorders>
            <w:vAlign w:val="center"/>
          </w:tcPr>
          <w:p w14:paraId="7366D14D">
            <w:pPr>
              <w:widowControl/>
              <w:jc w:val="center"/>
              <w:rPr>
                <w:rFonts w:ascii="Times New Roman" w:hAnsi="Times New Roman" w:eastAsia="宋体" w:cs="Times New Roman"/>
                <w:color w:val="auto"/>
                <w:kern w:val="0"/>
              </w:rPr>
            </w:pPr>
            <w:r>
              <w:rPr>
                <w:rFonts w:hint="eastAsia" w:ascii="Times New Roman" w:hAnsi="Times New Roman" w:eastAsia="宋体" w:cs="Times New Roman"/>
                <w:color w:val="auto"/>
                <w:kern w:val="0"/>
              </w:rPr>
              <w:t>噪声排放源</w:t>
            </w:r>
          </w:p>
        </w:tc>
        <w:tc>
          <w:tcPr>
            <w:tcW w:w="1937" w:type="dxa"/>
            <w:tcBorders>
              <w:top w:val="single" w:color="auto" w:sz="4" w:space="0"/>
              <w:left w:val="single" w:color="auto" w:sz="4" w:space="0"/>
              <w:bottom w:val="single" w:color="auto" w:sz="4" w:space="0"/>
              <w:right w:val="single" w:color="auto" w:sz="4" w:space="0"/>
              <w:tl2br w:val="nil"/>
              <w:tr2bl w:val="nil"/>
            </w:tcBorders>
            <w:vAlign w:val="center"/>
          </w:tcPr>
          <w:p w14:paraId="4A787A52">
            <w:pPr>
              <w:widowControl/>
              <w:jc w:val="center"/>
              <w:rPr>
                <w:rFonts w:ascii="Times New Roman" w:hAnsi="Times New Roman" w:eastAsia="宋体" w:cs="Times New Roman"/>
                <w:color w:val="auto"/>
                <w:kern w:val="0"/>
              </w:rPr>
            </w:pPr>
            <w:r>
              <w:rPr>
                <w:rFonts w:hint="eastAsia" w:ascii="宋体" w:hAnsi="Calibri" w:eastAsia="宋体" w:cs="Times New Roman"/>
                <w:color w:val="auto"/>
                <w:szCs w:val="21"/>
              </w:rPr>
              <w:t>表示噪声向外环境排放</w:t>
            </w:r>
          </w:p>
        </w:tc>
      </w:tr>
      <w:tr w14:paraId="39BFF606">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c>
          <w:tcPr>
            <w:tcW w:w="703" w:type="dxa"/>
            <w:tcBorders>
              <w:top w:val="single" w:color="auto" w:sz="4" w:space="0"/>
              <w:left w:val="single" w:color="auto" w:sz="4" w:space="0"/>
              <w:bottom w:val="single" w:color="auto" w:sz="4" w:space="0"/>
              <w:right w:val="single" w:color="auto" w:sz="4" w:space="0"/>
              <w:tl2br w:val="nil"/>
              <w:tr2bl w:val="nil"/>
            </w:tcBorders>
            <w:vAlign w:val="center"/>
          </w:tcPr>
          <w:p w14:paraId="2189977D">
            <w:pPr>
              <w:widowControl/>
              <w:jc w:val="center"/>
              <w:rPr>
                <w:rFonts w:ascii="Times New Roman" w:hAnsi="Times New Roman" w:eastAsia="宋体" w:cs="Times New Roman"/>
                <w:color w:val="auto"/>
                <w:kern w:val="0"/>
              </w:rPr>
            </w:pPr>
            <w:r>
              <w:rPr>
                <w:rFonts w:hint="eastAsia" w:ascii="Times New Roman" w:hAnsi="Times New Roman" w:eastAsia="宋体" w:cs="Times New Roman"/>
                <w:color w:val="auto"/>
                <w:kern w:val="0"/>
              </w:rPr>
              <w:t>4</w:t>
            </w:r>
          </w:p>
        </w:tc>
        <w:tc>
          <w:tcPr>
            <w:tcW w:w="2055" w:type="dxa"/>
            <w:tcBorders>
              <w:top w:val="single" w:color="auto" w:sz="4" w:space="0"/>
              <w:left w:val="single" w:color="auto" w:sz="4" w:space="0"/>
              <w:bottom w:val="single" w:color="auto" w:sz="4" w:space="0"/>
              <w:right w:val="single" w:color="auto" w:sz="4" w:space="0"/>
              <w:tl2br w:val="nil"/>
              <w:tr2bl w:val="nil"/>
            </w:tcBorders>
            <w:vAlign w:val="center"/>
          </w:tcPr>
          <w:p w14:paraId="368549E3">
            <w:pPr>
              <w:widowControl/>
              <w:jc w:val="center"/>
              <w:rPr>
                <w:rFonts w:ascii="Times New Roman" w:hAnsi="Times New Roman" w:eastAsia="宋体" w:cs="Times New Roman"/>
                <w:color w:val="auto"/>
                <w:kern w:val="0"/>
              </w:rPr>
            </w:pPr>
            <w:r>
              <w:rPr>
                <w:rFonts w:ascii="宋体" w:hAnsi="Calibri" w:eastAsia="宋体" w:cs="Times New Roman"/>
                <w:color w:val="auto"/>
                <w:szCs w:val="21"/>
              </w:rPr>
              <w:drawing>
                <wp:inline distT="0" distB="0" distL="114300" distR="114300">
                  <wp:extent cx="861695" cy="870585"/>
                  <wp:effectExtent l="0" t="0" r="14605" b="5715"/>
                  <wp:docPr id="16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7"/>
                          <pic:cNvPicPr>
                            <a:picLocks noChangeAspect="1"/>
                          </pic:cNvPicPr>
                        </pic:nvPicPr>
                        <pic:blipFill>
                          <a:blip r:embed="rId53"/>
                          <a:stretch>
                            <a:fillRect/>
                          </a:stretch>
                        </pic:blipFill>
                        <pic:spPr>
                          <a:xfrm>
                            <a:off x="0" y="0"/>
                            <a:ext cx="861695" cy="870585"/>
                          </a:xfrm>
                          <a:prstGeom prst="rect">
                            <a:avLst/>
                          </a:prstGeom>
                          <a:noFill/>
                          <a:ln>
                            <a:noFill/>
                          </a:ln>
                        </pic:spPr>
                      </pic:pic>
                    </a:graphicData>
                  </a:graphic>
                </wp:inline>
              </w:drawing>
            </w:r>
          </w:p>
        </w:tc>
        <w:tc>
          <w:tcPr>
            <w:tcW w:w="2025" w:type="dxa"/>
            <w:tcBorders>
              <w:top w:val="single" w:color="auto" w:sz="4" w:space="0"/>
              <w:left w:val="single" w:color="auto" w:sz="4" w:space="0"/>
              <w:bottom w:val="single" w:color="auto" w:sz="4" w:space="0"/>
              <w:right w:val="single" w:color="auto" w:sz="4" w:space="0"/>
              <w:tl2br w:val="nil"/>
              <w:tr2bl w:val="nil"/>
            </w:tcBorders>
            <w:vAlign w:val="center"/>
          </w:tcPr>
          <w:p w14:paraId="32705B23">
            <w:pPr>
              <w:widowControl/>
              <w:jc w:val="center"/>
              <w:rPr>
                <w:rFonts w:ascii="Times New Roman" w:hAnsi="Times New Roman" w:eastAsia="宋体" w:cs="Times New Roman"/>
                <w:color w:val="auto"/>
                <w:kern w:val="0"/>
              </w:rPr>
            </w:pPr>
            <w:r>
              <w:rPr>
                <w:rFonts w:ascii="宋体" w:hAnsi="Calibri" w:eastAsia="宋体" w:cs="Times New Roman"/>
                <w:color w:val="auto"/>
                <w:szCs w:val="21"/>
              </w:rPr>
              <w:drawing>
                <wp:inline distT="0" distB="0" distL="114300" distR="114300">
                  <wp:extent cx="921385" cy="864235"/>
                  <wp:effectExtent l="0" t="0" r="12065" b="12065"/>
                  <wp:docPr id="16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8"/>
                          <pic:cNvPicPr>
                            <a:picLocks noChangeAspect="1"/>
                          </pic:cNvPicPr>
                        </pic:nvPicPr>
                        <pic:blipFill>
                          <a:blip r:embed="rId54"/>
                          <a:stretch>
                            <a:fillRect/>
                          </a:stretch>
                        </pic:blipFill>
                        <pic:spPr>
                          <a:xfrm>
                            <a:off x="0" y="0"/>
                            <a:ext cx="921385" cy="864235"/>
                          </a:xfrm>
                          <a:prstGeom prst="rect">
                            <a:avLst/>
                          </a:prstGeom>
                          <a:noFill/>
                          <a:ln>
                            <a:noFill/>
                          </a:ln>
                        </pic:spPr>
                      </pic:pic>
                    </a:graphicData>
                  </a:graphic>
                </wp:inline>
              </w:drawing>
            </w:r>
          </w:p>
        </w:tc>
        <w:tc>
          <w:tcPr>
            <w:tcW w:w="1590" w:type="dxa"/>
            <w:tcBorders>
              <w:top w:val="single" w:color="auto" w:sz="4" w:space="0"/>
              <w:left w:val="single" w:color="auto" w:sz="4" w:space="0"/>
              <w:bottom w:val="single" w:color="auto" w:sz="4" w:space="0"/>
              <w:right w:val="single" w:color="auto" w:sz="4" w:space="0"/>
              <w:tl2br w:val="nil"/>
              <w:tr2bl w:val="nil"/>
            </w:tcBorders>
            <w:vAlign w:val="center"/>
          </w:tcPr>
          <w:p w14:paraId="1B65271B">
            <w:pPr>
              <w:widowControl/>
              <w:jc w:val="center"/>
              <w:rPr>
                <w:rFonts w:ascii="Times New Roman" w:hAnsi="Times New Roman" w:eastAsia="宋体" w:cs="Times New Roman"/>
                <w:color w:val="auto"/>
                <w:kern w:val="0"/>
              </w:rPr>
            </w:pPr>
            <w:r>
              <w:rPr>
                <w:rFonts w:hint="eastAsia" w:ascii="Times New Roman" w:hAnsi="Times New Roman" w:eastAsia="宋体" w:cs="Times New Roman"/>
                <w:color w:val="auto"/>
                <w:kern w:val="0"/>
              </w:rPr>
              <w:t>一般固体废物</w:t>
            </w:r>
          </w:p>
        </w:tc>
        <w:tc>
          <w:tcPr>
            <w:tcW w:w="1937" w:type="dxa"/>
            <w:tcBorders>
              <w:top w:val="single" w:color="auto" w:sz="4" w:space="0"/>
              <w:left w:val="single" w:color="auto" w:sz="4" w:space="0"/>
              <w:bottom w:val="single" w:color="auto" w:sz="4" w:space="0"/>
              <w:right w:val="single" w:color="auto" w:sz="4" w:space="0"/>
              <w:tl2br w:val="nil"/>
              <w:tr2bl w:val="nil"/>
            </w:tcBorders>
            <w:vAlign w:val="center"/>
          </w:tcPr>
          <w:p w14:paraId="129A0509">
            <w:pPr>
              <w:widowControl/>
              <w:jc w:val="center"/>
              <w:rPr>
                <w:rFonts w:ascii="Times New Roman" w:hAnsi="Times New Roman" w:eastAsia="宋体" w:cs="Times New Roman"/>
                <w:color w:val="auto"/>
                <w:kern w:val="0"/>
              </w:rPr>
            </w:pPr>
            <w:r>
              <w:rPr>
                <w:rFonts w:hint="eastAsia" w:ascii="宋体" w:hAnsi="Calibri" w:eastAsia="宋体" w:cs="Times New Roman"/>
                <w:color w:val="auto"/>
                <w:szCs w:val="21"/>
              </w:rPr>
              <w:t>表示一般固体废物贮存、处置场</w:t>
            </w:r>
          </w:p>
        </w:tc>
      </w:tr>
      <w:tr w14:paraId="623911F1">
        <w:tblPrEx>
          <w:tblBorders>
            <w:top w:val="single" w:color="auto" w:sz="12" w:space="0"/>
            <w:left w:val="none" w:color="auto" w:sz="0" w:space="0"/>
            <w:bottom w:val="single" w:color="auto" w:sz="12" w:space="0"/>
            <w:right w:val="none" w:color="auto" w:sz="0" w:space="0"/>
            <w:insideH w:val="single" w:color="000000" w:sz="4" w:space="0"/>
            <w:insideV w:val="single" w:color="000000" w:sz="4" w:space="0"/>
          </w:tblBorders>
          <w:tblCellMar>
            <w:top w:w="0" w:type="dxa"/>
            <w:left w:w="0" w:type="dxa"/>
            <w:bottom w:w="0" w:type="dxa"/>
            <w:right w:w="0" w:type="dxa"/>
          </w:tblCellMar>
        </w:tblPrEx>
        <w:tc>
          <w:tcPr>
            <w:tcW w:w="703" w:type="dxa"/>
            <w:tcBorders>
              <w:top w:val="single" w:color="auto" w:sz="4" w:space="0"/>
              <w:left w:val="single" w:color="auto" w:sz="4" w:space="0"/>
              <w:bottom w:val="single" w:color="auto" w:sz="4" w:space="0"/>
              <w:right w:val="single" w:color="auto" w:sz="4" w:space="0"/>
              <w:tl2br w:val="nil"/>
              <w:tr2bl w:val="nil"/>
            </w:tcBorders>
            <w:vAlign w:val="center"/>
          </w:tcPr>
          <w:p w14:paraId="144E1029">
            <w:pPr>
              <w:widowControl/>
              <w:jc w:val="center"/>
              <w:rPr>
                <w:rFonts w:ascii="Times New Roman" w:hAnsi="Times New Roman" w:eastAsia="宋体" w:cs="Times New Roman"/>
                <w:color w:val="auto"/>
                <w:kern w:val="0"/>
              </w:rPr>
            </w:pPr>
            <w:r>
              <w:rPr>
                <w:rFonts w:hint="eastAsia" w:ascii="Times New Roman" w:hAnsi="Times New Roman" w:eastAsia="宋体" w:cs="Times New Roman"/>
                <w:color w:val="auto"/>
                <w:kern w:val="0"/>
              </w:rPr>
              <w:t>5</w:t>
            </w:r>
          </w:p>
        </w:tc>
        <w:tc>
          <w:tcPr>
            <w:tcW w:w="2055" w:type="dxa"/>
            <w:tcBorders>
              <w:top w:val="single" w:color="auto" w:sz="4" w:space="0"/>
              <w:left w:val="single" w:color="auto" w:sz="4" w:space="0"/>
              <w:bottom w:val="single" w:color="auto" w:sz="4" w:space="0"/>
              <w:right w:val="single" w:color="auto" w:sz="4" w:space="0"/>
              <w:tl2br w:val="nil"/>
              <w:tr2bl w:val="nil"/>
            </w:tcBorders>
            <w:vAlign w:val="center"/>
          </w:tcPr>
          <w:p w14:paraId="11CEAF6B">
            <w:pPr>
              <w:widowControl/>
              <w:jc w:val="center"/>
              <w:rPr>
                <w:rFonts w:ascii="Times New Roman" w:hAnsi="Times New Roman" w:eastAsia="宋体" w:cs="Times New Roman"/>
                <w:color w:val="auto"/>
                <w:kern w:val="0"/>
              </w:rPr>
            </w:pPr>
            <w:r>
              <w:rPr>
                <w:color w:val="auto"/>
              </w:rPr>
              <w:drawing>
                <wp:inline distT="0" distB="0" distL="114300" distR="114300">
                  <wp:extent cx="1296035" cy="1301750"/>
                  <wp:effectExtent l="0" t="0" r="18415" b="12700"/>
                  <wp:docPr id="16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4"/>
                          <pic:cNvPicPr>
                            <a:picLocks noChangeAspect="1"/>
                          </pic:cNvPicPr>
                        </pic:nvPicPr>
                        <pic:blipFill>
                          <a:blip r:embed="rId55"/>
                          <a:stretch>
                            <a:fillRect/>
                          </a:stretch>
                        </pic:blipFill>
                        <pic:spPr>
                          <a:xfrm>
                            <a:off x="0" y="0"/>
                            <a:ext cx="1296035" cy="1301750"/>
                          </a:xfrm>
                          <a:prstGeom prst="rect">
                            <a:avLst/>
                          </a:prstGeom>
                          <a:noFill/>
                          <a:ln>
                            <a:noFill/>
                          </a:ln>
                        </pic:spPr>
                      </pic:pic>
                    </a:graphicData>
                  </a:graphic>
                </wp:inline>
              </w:drawing>
            </w:r>
          </w:p>
        </w:tc>
        <w:tc>
          <w:tcPr>
            <w:tcW w:w="2025" w:type="dxa"/>
            <w:tcBorders>
              <w:top w:val="single" w:color="auto" w:sz="4" w:space="0"/>
              <w:left w:val="single" w:color="auto" w:sz="4" w:space="0"/>
              <w:bottom w:val="single" w:color="auto" w:sz="4" w:space="0"/>
              <w:right w:val="single" w:color="auto" w:sz="4" w:space="0"/>
              <w:tl2br w:val="nil"/>
              <w:tr2bl w:val="nil"/>
            </w:tcBorders>
            <w:vAlign w:val="center"/>
          </w:tcPr>
          <w:p w14:paraId="412C4A07">
            <w:pPr>
              <w:widowControl/>
              <w:jc w:val="center"/>
              <w:rPr>
                <w:rFonts w:ascii="宋体" w:hAnsi="Times New Roman" w:eastAsia="宋体" w:cs="Times New Roman"/>
                <w:color w:val="auto"/>
                <w:kern w:val="0"/>
                <w:sz w:val="20"/>
              </w:rPr>
            </w:pPr>
            <w:r>
              <w:rPr>
                <w:color w:val="auto"/>
              </w:rPr>
              <w:drawing>
                <wp:inline distT="0" distB="0" distL="114300" distR="114300">
                  <wp:extent cx="1271905" cy="812165"/>
                  <wp:effectExtent l="0" t="0" r="4445" b="6985"/>
                  <wp:docPr id="15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3"/>
                          <pic:cNvPicPr>
                            <a:picLocks noChangeAspect="1"/>
                          </pic:cNvPicPr>
                        </pic:nvPicPr>
                        <pic:blipFill>
                          <a:blip r:embed="rId56"/>
                          <a:stretch>
                            <a:fillRect/>
                          </a:stretch>
                        </pic:blipFill>
                        <pic:spPr>
                          <a:xfrm>
                            <a:off x="0" y="0"/>
                            <a:ext cx="1271905" cy="812165"/>
                          </a:xfrm>
                          <a:prstGeom prst="rect">
                            <a:avLst/>
                          </a:prstGeom>
                          <a:noFill/>
                          <a:ln>
                            <a:noFill/>
                          </a:ln>
                        </pic:spPr>
                      </pic:pic>
                    </a:graphicData>
                  </a:graphic>
                </wp:inline>
              </w:drawing>
            </w:r>
          </w:p>
        </w:tc>
        <w:tc>
          <w:tcPr>
            <w:tcW w:w="1590" w:type="dxa"/>
            <w:tcBorders>
              <w:top w:val="single" w:color="auto" w:sz="4" w:space="0"/>
              <w:left w:val="single" w:color="auto" w:sz="4" w:space="0"/>
              <w:bottom w:val="single" w:color="auto" w:sz="4" w:space="0"/>
              <w:right w:val="single" w:color="auto" w:sz="4" w:space="0"/>
              <w:tl2br w:val="nil"/>
              <w:tr2bl w:val="nil"/>
            </w:tcBorders>
            <w:vAlign w:val="center"/>
          </w:tcPr>
          <w:p w14:paraId="5B20C42F">
            <w:pPr>
              <w:widowControl/>
              <w:jc w:val="center"/>
              <w:rPr>
                <w:rFonts w:ascii="Times New Roman" w:hAnsi="Times New Roman" w:eastAsia="宋体" w:cs="Times New Roman"/>
                <w:color w:val="auto"/>
                <w:kern w:val="0"/>
              </w:rPr>
            </w:pPr>
            <w:r>
              <w:rPr>
                <w:rFonts w:hint="eastAsia" w:ascii="Times New Roman" w:hAnsi="Times New Roman" w:eastAsia="宋体" w:cs="Times New Roman"/>
                <w:color w:val="auto"/>
                <w:kern w:val="0"/>
              </w:rPr>
              <w:t>危险废物</w:t>
            </w:r>
          </w:p>
        </w:tc>
        <w:tc>
          <w:tcPr>
            <w:tcW w:w="1937" w:type="dxa"/>
            <w:tcBorders>
              <w:top w:val="single" w:color="auto" w:sz="4" w:space="0"/>
              <w:left w:val="single" w:color="auto" w:sz="4" w:space="0"/>
              <w:bottom w:val="single" w:color="auto" w:sz="4" w:space="0"/>
              <w:right w:val="single" w:color="auto" w:sz="4" w:space="0"/>
              <w:tl2br w:val="nil"/>
              <w:tr2bl w:val="nil"/>
            </w:tcBorders>
            <w:vAlign w:val="center"/>
          </w:tcPr>
          <w:p w14:paraId="13133085">
            <w:pPr>
              <w:widowControl/>
              <w:jc w:val="center"/>
              <w:rPr>
                <w:rFonts w:ascii="Times New Roman" w:hAnsi="Times New Roman" w:eastAsia="宋体" w:cs="Times New Roman"/>
                <w:color w:val="auto"/>
                <w:kern w:val="0"/>
              </w:rPr>
            </w:pPr>
            <w:r>
              <w:rPr>
                <w:rFonts w:hint="eastAsia" w:ascii="宋体" w:hAnsi="Calibri" w:eastAsia="宋体" w:cs="Times New Roman"/>
                <w:color w:val="auto"/>
                <w:szCs w:val="24"/>
              </w:rPr>
              <w:t>表示危险废物贮存、处置场</w:t>
            </w:r>
          </w:p>
        </w:tc>
      </w:tr>
    </w:tbl>
    <w:p w14:paraId="42722A29">
      <w:pPr>
        <w:keepNext/>
        <w:keepLines/>
        <w:spacing w:before="156" w:beforeLines="50" w:after="156" w:afterLines="50" w:line="360" w:lineRule="auto"/>
        <w:outlineLvl w:val="2"/>
        <w:rPr>
          <w:rFonts w:ascii="Times New Roman" w:hAnsi="Times New Roman" w:eastAsia="宋体" w:cs="Times New Roman"/>
          <w:b/>
          <w:color w:val="auto"/>
          <w:sz w:val="24"/>
          <w:szCs w:val="24"/>
        </w:rPr>
      </w:pPr>
      <w:r>
        <w:rPr>
          <w:rFonts w:ascii="Times New Roman" w:hAnsi="Times New Roman" w:eastAsia="宋体" w:cs="Times New Roman"/>
          <w:b/>
          <w:color w:val="auto"/>
          <w:sz w:val="24"/>
          <w:szCs w:val="24"/>
        </w:rPr>
        <w:t>10.1.</w:t>
      </w:r>
      <w:r>
        <w:rPr>
          <w:rFonts w:hint="eastAsia" w:ascii="Times New Roman" w:hAnsi="Times New Roman" w:eastAsia="宋体" w:cs="Times New Roman"/>
          <w:b/>
          <w:color w:val="auto"/>
          <w:sz w:val="24"/>
          <w:szCs w:val="24"/>
        </w:rPr>
        <w:t>8 与排污</w:t>
      </w:r>
      <w:r>
        <w:rPr>
          <w:rFonts w:ascii="Times New Roman" w:hAnsi="Times New Roman" w:eastAsia="宋体" w:cs="Times New Roman"/>
          <w:b/>
          <w:color w:val="auto"/>
          <w:sz w:val="24"/>
          <w:szCs w:val="24"/>
        </w:rPr>
        <w:t>许可证核发的衔接关系</w:t>
      </w:r>
    </w:p>
    <w:p w14:paraId="30C8380B">
      <w:pPr>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为规范排污许可证管理，根据《中华人民共和国环境保护法》</w:t>
      </w:r>
      <w:r>
        <w:rPr>
          <w:rFonts w:hint="eastAsia" w:ascii="Times New Roman" w:hAnsi="Times New Roman" w:eastAsia="宋体" w:cs="Times New Roman"/>
          <w:color w:val="auto"/>
          <w:sz w:val="24"/>
          <w:szCs w:val="24"/>
          <w:lang w:eastAsia="zh-CN"/>
        </w:rPr>
        <w:t>、</w:t>
      </w:r>
      <w:r>
        <w:rPr>
          <w:rFonts w:ascii="Times New Roman" w:hAnsi="Times New Roman" w:eastAsia="宋体" w:cs="Times New Roman"/>
          <w:color w:val="auto"/>
          <w:sz w:val="24"/>
          <w:szCs w:val="24"/>
        </w:rPr>
        <w:t>《中华人民共和国大气污染防治法》</w:t>
      </w:r>
      <w:r>
        <w:rPr>
          <w:rFonts w:hint="eastAsia" w:ascii="Times New Roman" w:hAnsi="Times New Roman" w:eastAsia="宋体" w:cs="Times New Roman"/>
          <w:color w:val="auto"/>
          <w:sz w:val="24"/>
          <w:szCs w:val="24"/>
          <w:lang w:eastAsia="zh-CN"/>
        </w:rPr>
        <w:t>、</w:t>
      </w:r>
      <w:r>
        <w:rPr>
          <w:rFonts w:ascii="Times New Roman" w:hAnsi="Times New Roman" w:eastAsia="宋体" w:cs="Times New Roman"/>
          <w:color w:val="auto"/>
          <w:sz w:val="24"/>
          <w:szCs w:val="24"/>
        </w:rPr>
        <w:t>《中华人民共和国水污染防治法》</w:t>
      </w:r>
      <w:r>
        <w:rPr>
          <w:rFonts w:hint="eastAsia" w:ascii="Times New Roman" w:hAnsi="Times New Roman" w:eastAsia="宋体" w:cs="Times New Roman"/>
          <w:color w:val="auto"/>
          <w:sz w:val="24"/>
          <w:szCs w:val="24"/>
          <w:lang w:eastAsia="zh-CN"/>
        </w:rPr>
        <w:t>、</w:t>
      </w:r>
      <w:r>
        <w:rPr>
          <w:rFonts w:ascii="Times New Roman" w:hAnsi="Times New Roman" w:eastAsia="宋体" w:cs="Times New Roman"/>
          <w:color w:val="auto"/>
          <w:sz w:val="24"/>
          <w:szCs w:val="24"/>
        </w:rPr>
        <w:t>《中华人民共和国土壤污染防治法》等法律法规、《国务院办公厅关于印发控制污染物排放许可制实施方案的通知》（国办发〔2016〕81号），制定《排污许可管理办法（试行，2019年修订）》。对纳入固定污染源排污许可分类管理名录的企业事业单位和其他生产经营者（以下简称排污单位）应当按照规定的时限申请并取得排污许可证；未纳入固定污染源排污许可分类管理名录的排污单位，暂不需申请排污许可证。实行排污许可重点管理或者简化管理的排污单位的具体范围，依照固定污染源排污许可分类管理名录规定执行。实行重点管理和简化管理的内容及要求，依照《排污许可证申请与核发技术规范 总则》（HJ942-2018）、《排污单位环境管理台账及排污许可证执行报告技术规范 总则（试行）》（HJ944-2018）、《排污单位自行监测技术指南 总则》（HJ819-2017）以及其他排污许可政策、标准和规范执行。</w:t>
      </w:r>
    </w:p>
    <w:p w14:paraId="0C1ACCF9">
      <w:pPr>
        <w:spacing w:line="360" w:lineRule="auto"/>
        <w:ind w:firstLine="480" w:firstLineChars="200"/>
        <w:rPr>
          <w:rFonts w:ascii="Times New Roman" w:hAnsi="Times New Roman" w:eastAsia="宋体" w:cs="Times New Roman"/>
          <w:color w:val="FF0000"/>
          <w:sz w:val="24"/>
          <w:szCs w:val="24"/>
        </w:rPr>
      </w:pPr>
      <w:r>
        <w:rPr>
          <w:rFonts w:ascii="Times New Roman" w:hAnsi="Times New Roman" w:eastAsia="宋体" w:cs="Times New Roman"/>
          <w:color w:val="auto"/>
          <w:sz w:val="24"/>
          <w:szCs w:val="24"/>
        </w:rPr>
        <w:t>查询《固定污染源排污许可分类管理名录》（2019年版），</w:t>
      </w:r>
      <w:r>
        <w:rPr>
          <w:rFonts w:hint="eastAsia" w:ascii="Times New Roman" w:hAnsi="Times New Roman" w:eastAsia="宋体" w:cs="Times New Roman"/>
          <w:color w:val="auto"/>
          <w:sz w:val="24"/>
          <w:szCs w:val="24"/>
        </w:rPr>
        <w:t>本项目</w:t>
      </w:r>
      <w:r>
        <w:rPr>
          <w:rFonts w:hint="eastAsia" w:ascii="Times New Roman" w:hAnsi="Times New Roman" w:eastAsia="宋体" w:cs="Times New Roman"/>
          <w:color w:val="auto"/>
          <w:sz w:val="24"/>
          <w:szCs w:val="24"/>
          <w:lang w:val="en-US" w:eastAsia="zh-CN"/>
        </w:rPr>
        <w:t>肌醇饲料添加剂</w:t>
      </w:r>
      <w:r>
        <w:rPr>
          <w:rFonts w:hint="eastAsia" w:ascii="Times New Roman" w:hAnsi="Times New Roman" w:eastAsia="宋体" w:cs="Times New Roman"/>
          <w:color w:val="auto"/>
          <w:sz w:val="24"/>
          <w:szCs w:val="24"/>
        </w:rPr>
        <w:t>属于</w:t>
      </w:r>
      <w:r>
        <w:rPr>
          <w:rFonts w:hint="eastAsia" w:ascii="Times New Roman" w:hAnsi="Times New Roman" w:eastAsia="宋体" w:cs="Times New Roman"/>
          <w:color w:val="auto"/>
          <w:sz w:val="24"/>
          <w:szCs w:val="24"/>
          <w:lang w:val="en-US" w:eastAsia="zh-CN"/>
        </w:rPr>
        <w:t>食品及饲料添加剂制造（1495），液糖生产属于制糖业（134）-其他，</w:t>
      </w:r>
      <w:r>
        <w:rPr>
          <w:rFonts w:hint="eastAsia" w:ascii="Times New Roman" w:hAnsi="Times New Roman" w:eastAsia="宋体" w:cs="Times New Roman"/>
          <w:color w:val="auto"/>
          <w:sz w:val="24"/>
          <w:szCs w:val="24"/>
        </w:rPr>
        <w:t>因此，属于名录中</w:t>
      </w:r>
      <w:r>
        <w:rPr>
          <w:rFonts w:hint="eastAsia" w:ascii="Times New Roman" w:hAnsi="Times New Roman" w:eastAsia="宋体" w:cs="Times New Roman"/>
          <w:color w:val="auto"/>
          <w:sz w:val="24"/>
          <w:szCs w:val="24"/>
          <w:lang w:val="en-US" w:eastAsia="zh-CN"/>
        </w:rPr>
        <w:t>简化</w:t>
      </w:r>
      <w:r>
        <w:rPr>
          <w:rFonts w:hint="eastAsia" w:ascii="Times New Roman" w:hAnsi="Times New Roman" w:eastAsia="宋体" w:cs="Times New Roman"/>
          <w:color w:val="auto"/>
          <w:sz w:val="24"/>
          <w:szCs w:val="24"/>
        </w:rPr>
        <w:t>管理要求</w:t>
      </w:r>
      <w:r>
        <w:rPr>
          <w:rFonts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rPr>
        <w:t>企业</w:t>
      </w:r>
      <w:r>
        <w:rPr>
          <w:rFonts w:ascii="Times New Roman" w:hAnsi="Times New Roman" w:eastAsia="宋体" w:cs="Times New Roman"/>
          <w:color w:val="auto"/>
          <w:sz w:val="24"/>
          <w:szCs w:val="24"/>
        </w:rPr>
        <w:t>应当按照《排污许可证申请与核发技术规范</w:t>
      </w:r>
      <w:r>
        <w:rPr>
          <w:rFonts w:hint="eastAsia" w:ascii="Times New Roman" w:hAnsi="Times New Roman" w:eastAsia="宋体" w:cs="Times New Roman"/>
          <w:color w:val="auto"/>
          <w:sz w:val="24"/>
          <w:szCs w:val="24"/>
        </w:rPr>
        <w:t xml:space="preserve"> </w:t>
      </w:r>
      <w:r>
        <w:rPr>
          <w:rFonts w:hint="eastAsia" w:ascii="Times New Roman" w:hAnsi="Times New Roman" w:eastAsia="宋体" w:cs="Times New Roman"/>
          <w:color w:val="auto"/>
          <w:sz w:val="24"/>
          <w:szCs w:val="24"/>
          <w:lang w:val="en-US" w:eastAsia="zh-CN"/>
        </w:rPr>
        <w:t>食品制造工业—方便食品、食品及饲料添加剂制造工艺</w:t>
      </w:r>
      <w:r>
        <w:rPr>
          <w:rFonts w:ascii="Times New Roman" w:hAnsi="Times New Roman" w:eastAsia="宋体" w:cs="Times New Roman"/>
          <w:color w:val="auto"/>
          <w:sz w:val="24"/>
          <w:szCs w:val="24"/>
        </w:rPr>
        <w:t>》（HJ</w:t>
      </w:r>
      <w:r>
        <w:rPr>
          <w:rFonts w:hint="eastAsia" w:ascii="Times New Roman" w:hAnsi="Times New Roman" w:eastAsia="宋体" w:cs="Times New Roman"/>
          <w:color w:val="auto"/>
          <w:sz w:val="24"/>
          <w:szCs w:val="24"/>
          <w:lang w:val="en-US" w:eastAsia="zh-CN"/>
        </w:rPr>
        <w:t>1030.3-2019</w:t>
      </w:r>
      <w:r>
        <w:rPr>
          <w:rFonts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eastAsia="zh-CN"/>
        </w:rPr>
        <w:t>、《</w:t>
      </w:r>
      <w:r>
        <w:rPr>
          <w:rFonts w:ascii="Times New Roman" w:hAnsi="Times New Roman" w:eastAsia="宋体" w:cs="Times New Roman"/>
          <w:color w:val="auto"/>
          <w:sz w:val="24"/>
          <w:szCs w:val="24"/>
        </w:rPr>
        <w:t>排污许可证申请与核发技术规范</w:t>
      </w:r>
      <w:r>
        <w:rPr>
          <w:rFonts w:hint="eastAsia" w:ascii="Times New Roman" w:hAnsi="Times New Roman" w:eastAsia="宋体" w:cs="Times New Roman"/>
          <w:color w:val="auto"/>
          <w:sz w:val="24"/>
          <w:szCs w:val="24"/>
          <w:lang w:val="en-US" w:eastAsia="zh-CN"/>
        </w:rPr>
        <w:t xml:space="preserve"> 农副食品加工工业—制糖工业</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HJ 860.1-2017</w:t>
      </w:r>
      <w:r>
        <w:rPr>
          <w:rFonts w:hint="eastAsia" w:ascii="Times New Roman" w:hAnsi="Times New Roman" w:eastAsia="宋体" w:cs="Times New Roman"/>
          <w:color w:val="auto"/>
          <w:sz w:val="24"/>
          <w:szCs w:val="24"/>
          <w:lang w:eastAsia="zh-CN"/>
        </w:rPr>
        <w:t>）</w:t>
      </w:r>
      <w:r>
        <w:rPr>
          <w:rFonts w:ascii="Times New Roman" w:hAnsi="Times New Roman" w:eastAsia="宋体" w:cs="Times New Roman"/>
          <w:color w:val="auto"/>
          <w:sz w:val="24"/>
          <w:szCs w:val="24"/>
        </w:rPr>
        <w:t>中相关要求进行排污许可证的变更。在申请排污许可证变更时，应当按照该标准确定的产排污节点、排放口、污染物项目及许可限值等要求，制定自行监测方案，并在《排污许可证申请表》中明确。</w:t>
      </w:r>
    </w:p>
    <w:p w14:paraId="7B36312A">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本项目应严格按照国家和地方排污许可制度的要求，推进排污及污染源“一证式”管理工作，并作为建设单位在生产运营期接受环境监管和环境保护部门实施监管的主要法律文书，项目建成运行后建设单位应依法申领排污许可证，按证排污，自证守法。</w:t>
      </w:r>
    </w:p>
    <w:p w14:paraId="690907C0">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环境影响评价技术文件及批复中与污染物排放相关的主要内容应当纳入排污许可证，项目建设内容、产品方案、建设规模，采用的工艺流程、工艺技术方案，污染预防和清洁生产措施，环保设施和治理措施，各类污染物排放总量，自行监测要求，环境风险防范体系等，将生产装置、产排污设施载入排污许可证。本项目污染源情况见下表。</w:t>
      </w:r>
    </w:p>
    <w:p w14:paraId="1A7B3562">
      <w:pPr>
        <w:spacing w:line="360" w:lineRule="auto"/>
        <w:ind w:firstLine="480" w:firstLineChars="200"/>
        <w:rPr>
          <w:rFonts w:ascii="Times New Roman" w:hAnsi="Times New Roman" w:eastAsia="宋体" w:cs="Times New Roman"/>
          <w:color w:val="FF0000"/>
          <w:sz w:val="24"/>
          <w:szCs w:val="24"/>
        </w:rPr>
      </w:pPr>
    </w:p>
    <w:p w14:paraId="6AC34857">
      <w:pPr>
        <w:spacing w:line="360" w:lineRule="auto"/>
        <w:ind w:firstLine="480" w:firstLineChars="200"/>
        <w:rPr>
          <w:rFonts w:ascii="Times New Roman" w:hAnsi="Times New Roman" w:eastAsia="宋体" w:cs="Times New Roman"/>
          <w:color w:val="FF0000"/>
          <w:sz w:val="24"/>
          <w:szCs w:val="24"/>
        </w:rPr>
        <w:sectPr>
          <w:pgSz w:w="11906" w:h="16838"/>
          <w:pgMar w:top="1440" w:right="1800" w:bottom="1440" w:left="1800" w:header="851" w:footer="992" w:gutter="0"/>
          <w:pgNumType w:fmt="numberInDash"/>
          <w:cols w:space="720" w:num="1"/>
          <w:docGrid w:type="lines" w:linePitch="312" w:charSpace="0"/>
        </w:sectPr>
      </w:pPr>
    </w:p>
    <w:p w14:paraId="503F08B0">
      <w:pPr>
        <w:pStyle w:val="6"/>
        <w:bidi w:val="0"/>
      </w:pPr>
      <w:r>
        <w:rPr>
          <w:rFonts w:hint="eastAsia"/>
        </w:rPr>
        <w:t>表10.1-4 本工程大气污染物排放基本情况一览表</w:t>
      </w:r>
    </w:p>
    <w:tbl>
      <w:tblPr>
        <w:tblStyle w:val="41"/>
        <w:tblW w:w="51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848"/>
        <w:gridCol w:w="996"/>
        <w:gridCol w:w="2282"/>
        <w:gridCol w:w="828"/>
        <w:gridCol w:w="741"/>
        <w:gridCol w:w="1785"/>
        <w:gridCol w:w="756"/>
        <w:gridCol w:w="1160"/>
        <w:gridCol w:w="1372"/>
        <w:gridCol w:w="1195"/>
        <w:gridCol w:w="2561"/>
      </w:tblGrid>
      <w:tr w14:paraId="4E8F7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Header/>
          <w:jc w:val="center"/>
        </w:trPr>
        <w:tc>
          <w:tcPr>
            <w:tcW w:w="635" w:type="pct"/>
            <w:gridSpan w:val="2"/>
            <w:tcBorders>
              <w:top w:val="single" w:color="auto" w:sz="4" w:space="0"/>
              <w:left w:val="single" w:color="auto" w:sz="4" w:space="0"/>
              <w:bottom w:val="single" w:color="auto" w:sz="4" w:space="0"/>
              <w:right w:val="single" w:color="auto" w:sz="4" w:space="0"/>
            </w:tcBorders>
            <w:vAlign w:val="center"/>
          </w:tcPr>
          <w:p w14:paraId="1D3D25C0">
            <w:pPr>
              <w:jc w:val="center"/>
              <w:rPr>
                <w:rFonts w:ascii="Times New Roman" w:hAnsi="Times New Roman" w:eastAsia="宋体" w:cs="Times New Roman"/>
                <w:b/>
                <w:bCs/>
                <w:color w:val="auto"/>
                <w:szCs w:val="21"/>
              </w:rPr>
            </w:pPr>
            <w:r>
              <w:rPr>
                <w:rFonts w:ascii="Times New Roman" w:hAnsi="Times New Roman" w:eastAsia="宋体" w:cs="Times New Roman"/>
                <w:b/>
                <w:bCs/>
                <w:color w:val="auto"/>
                <w:szCs w:val="21"/>
              </w:rPr>
              <w:t>污染源项</w:t>
            </w:r>
          </w:p>
        </w:tc>
        <w:tc>
          <w:tcPr>
            <w:tcW w:w="785" w:type="pct"/>
            <w:vMerge w:val="restart"/>
            <w:tcBorders>
              <w:top w:val="single" w:color="auto" w:sz="4" w:space="0"/>
              <w:left w:val="single" w:color="auto" w:sz="4" w:space="0"/>
              <w:bottom w:val="single" w:color="auto" w:sz="4" w:space="0"/>
              <w:right w:val="single" w:color="auto" w:sz="4" w:space="0"/>
            </w:tcBorders>
            <w:vAlign w:val="center"/>
          </w:tcPr>
          <w:p w14:paraId="4DDDFA1C">
            <w:pPr>
              <w:jc w:val="center"/>
              <w:rPr>
                <w:rFonts w:ascii="Times New Roman" w:hAnsi="Times New Roman" w:eastAsia="宋体" w:cs="Times New Roman"/>
                <w:b/>
                <w:bCs/>
                <w:color w:val="auto"/>
                <w:szCs w:val="21"/>
              </w:rPr>
            </w:pPr>
            <w:r>
              <w:rPr>
                <w:rFonts w:ascii="Times New Roman" w:hAnsi="Times New Roman" w:eastAsia="宋体" w:cs="Times New Roman"/>
                <w:b/>
                <w:bCs/>
                <w:color w:val="auto"/>
                <w:szCs w:val="21"/>
              </w:rPr>
              <w:t>治理措施</w:t>
            </w:r>
          </w:p>
        </w:tc>
        <w:tc>
          <w:tcPr>
            <w:tcW w:w="285" w:type="pct"/>
            <w:vMerge w:val="restart"/>
            <w:tcBorders>
              <w:top w:val="single" w:color="auto" w:sz="4" w:space="0"/>
              <w:left w:val="single" w:color="auto" w:sz="4" w:space="0"/>
              <w:bottom w:val="single" w:color="auto" w:sz="4" w:space="0"/>
              <w:right w:val="single" w:color="auto" w:sz="4" w:space="0"/>
            </w:tcBorders>
            <w:vAlign w:val="center"/>
          </w:tcPr>
          <w:p w14:paraId="57D0E953">
            <w:pPr>
              <w:jc w:val="center"/>
              <w:rPr>
                <w:rFonts w:ascii="Times New Roman" w:hAnsi="Times New Roman" w:eastAsia="宋体" w:cs="Times New Roman"/>
                <w:b/>
                <w:bCs/>
                <w:color w:val="auto"/>
                <w:szCs w:val="21"/>
              </w:rPr>
            </w:pPr>
            <w:r>
              <w:rPr>
                <w:rFonts w:ascii="Times New Roman" w:hAnsi="Times New Roman" w:eastAsia="宋体" w:cs="Times New Roman"/>
                <w:b/>
                <w:bCs/>
                <w:color w:val="auto"/>
                <w:szCs w:val="21"/>
              </w:rPr>
              <w:t>排放</w:t>
            </w:r>
          </w:p>
          <w:p w14:paraId="0493F73D">
            <w:pPr>
              <w:jc w:val="center"/>
              <w:rPr>
                <w:rFonts w:ascii="Times New Roman" w:hAnsi="Times New Roman" w:eastAsia="宋体" w:cs="Times New Roman"/>
                <w:b/>
                <w:bCs/>
                <w:color w:val="auto"/>
                <w:szCs w:val="21"/>
              </w:rPr>
            </w:pPr>
            <w:r>
              <w:rPr>
                <w:rFonts w:ascii="Times New Roman" w:hAnsi="Times New Roman" w:eastAsia="宋体" w:cs="Times New Roman"/>
                <w:b/>
                <w:bCs/>
                <w:color w:val="auto"/>
                <w:szCs w:val="21"/>
              </w:rPr>
              <w:t>形式</w:t>
            </w:r>
          </w:p>
        </w:tc>
        <w:tc>
          <w:tcPr>
            <w:tcW w:w="255" w:type="pct"/>
            <w:vMerge w:val="restart"/>
            <w:tcBorders>
              <w:top w:val="single" w:color="auto" w:sz="4" w:space="0"/>
              <w:left w:val="single" w:color="auto" w:sz="4" w:space="0"/>
              <w:bottom w:val="single" w:color="auto" w:sz="4" w:space="0"/>
              <w:right w:val="single" w:color="auto" w:sz="4" w:space="0"/>
            </w:tcBorders>
            <w:vAlign w:val="center"/>
          </w:tcPr>
          <w:p w14:paraId="3B8089B8">
            <w:pPr>
              <w:jc w:val="center"/>
              <w:rPr>
                <w:rFonts w:ascii="Times New Roman" w:hAnsi="Times New Roman" w:eastAsia="宋体" w:cs="Times New Roman"/>
                <w:b/>
                <w:bCs/>
                <w:color w:val="auto"/>
                <w:szCs w:val="21"/>
              </w:rPr>
            </w:pPr>
            <w:r>
              <w:rPr>
                <w:rFonts w:ascii="Times New Roman" w:hAnsi="Times New Roman" w:eastAsia="宋体" w:cs="Times New Roman"/>
                <w:b/>
                <w:bCs/>
                <w:color w:val="auto"/>
                <w:szCs w:val="21"/>
              </w:rPr>
              <w:t>排放口编号</w:t>
            </w:r>
          </w:p>
        </w:tc>
        <w:tc>
          <w:tcPr>
            <w:tcW w:w="614" w:type="pct"/>
            <w:vMerge w:val="restart"/>
            <w:tcBorders>
              <w:top w:val="single" w:color="auto" w:sz="4" w:space="0"/>
              <w:left w:val="single" w:color="auto" w:sz="4" w:space="0"/>
              <w:bottom w:val="single" w:color="auto" w:sz="4" w:space="0"/>
              <w:right w:val="single" w:color="auto" w:sz="4" w:space="0"/>
            </w:tcBorders>
            <w:vAlign w:val="center"/>
          </w:tcPr>
          <w:p w14:paraId="4D303847">
            <w:pPr>
              <w:jc w:val="center"/>
              <w:rPr>
                <w:rFonts w:ascii="Times New Roman" w:hAnsi="Times New Roman" w:eastAsia="宋体" w:cs="Times New Roman"/>
                <w:b/>
                <w:bCs/>
                <w:color w:val="auto"/>
                <w:szCs w:val="21"/>
              </w:rPr>
            </w:pPr>
            <w:r>
              <w:rPr>
                <w:rFonts w:ascii="Times New Roman" w:hAnsi="Times New Roman" w:eastAsia="宋体" w:cs="Times New Roman"/>
                <w:b/>
                <w:bCs/>
                <w:color w:val="auto"/>
                <w:szCs w:val="21"/>
              </w:rPr>
              <w:t>排放口坐标</w:t>
            </w:r>
          </w:p>
        </w:tc>
        <w:tc>
          <w:tcPr>
            <w:tcW w:w="260" w:type="pct"/>
            <w:vMerge w:val="restart"/>
            <w:tcBorders>
              <w:top w:val="single" w:color="auto" w:sz="4" w:space="0"/>
              <w:left w:val="single" w:color="auto" w:sz="4" w:space="0"/>
              <w:bottom w:val="single" w:color="auto" w:sz="4" w:space="0"/>
              <w:right w:val="single" w:color="auto" w:sz="4" w:space="0"/>
            </w:tcBorders>
            <w:vAlign w:val="center"/>
          </w:tcPr>
          <w:p w14:paraId="4DEBCCDD">
            <w:pPr>
              <w:jc w:val="center"/>
              <w:rPr>
                <w:rFonts w:ascii="Times New Roman" w:hAnsi="Times New Roman" w:eastAsia="宋体" w:cs="Times New Roman"/>
                <w:b/>
                <w:bCs/>
                <w:color w:val="auto"/>
                <w:szCs w:val="21"/>
              </w:rPr>
            </w:pPr>
            <w:r>
              <w:rPr>
                <w:rFonts w:ascii="Times New Roman" w:hAnsi="Times New Roman" w:eastAsia="宋体" w:cs="Times New Roman"/>
                <w:b/>
                <w:bCs/>
                <w:color w:val="auto"/>
                <w:szCs w:val="21"/>
              </w:rPr>
              <w:t>排放口类型</w:t>
            </w:r>
          </w:p>
        </w:tc>
        <w:tc>
          <w:tcPr>
            <w:tcW w:w="399" w:type="pct"/>
            <w:vMerge w:val="restart"/>
            <w:tcBorders>
              <w:top w:val="single" w:color="auto" w:sz="4" w:space="0"/>
              <w:left w:val="single" w:color="auto" w:sz="4" w:space="0"/>
              <w:bottom w:val="single" w:color="auto" w:sz="4" w:space="0"/>
              <w:right w:val="single" w:color="auto" w:sz="4" w:space="0"/>
            </w:tcBorders>
            <w:vAlign w:val="center"/>
          </w:tcPr>
          <w:p w14:paraId="6A1F28A7">
            <w:pPr>
              <w:jc w:val="center"/>
              <w:rPr>
                <w:rFonts w:ascii="Times New Roman" w:hAnsi="Times New Roman" w:eastAsia="宋体" w:cs="Times New Roman"/>
                <w:b/>
                <w:bCs/>
                <w:color w:val="auto"/>
                <w:szCs w:val="21"/>
              </w:rPr>
            </w:pPr>
            <w:r>
              <w:rPr>
                <w:rFonts w:ascii="Times New Roman" w:hAnsi="Times New Roman" w:eastAsia="宋体" w:cs="Times New Roman"/>
                <w:b/>
                <w:bCs/>
                <w:color w:val="auto"/>
                <w:szCs w:val="21"/>
              </w:rPr>
              <w:t>污染因子</w:t>
            </w:r>
          </w:p>
        </w:tc>
        <w:tc>
          <w:tcPr>
            <w:tcW w:w="883" w:type="pct"/>
            <w:gridSpan w:val="2"/>
            <w:tcBorders>
              <w:top w:val="single" w:color="auto" w:sz="4" w:space="0"/>
              <w:left w:val="single" w:color="auto" w:sz="4" w:space="0"/>
              <w:bottom w:val="single" w:color="auto" w:sz="4" w:space="0"/>
              <w:right w:val="single" w:color="auto" w:sz="4" w:space="0"/>
            </w:tcBorders>
            <w:vAlign w:val="center"/>
          </w:tcPr>
          <w:p w14:paraId="48677DDD">
            <w:pPr>
              <w:jc w:val="center"/>
              <w:rPr>
                <w:rFonts w:ascii="Times New Roman" w:hAnsi="Times New Roman" w:eastAsia="宋体" w:cs="Times New Roman"/>
                <w:b/>
                <w:bCs/>
                <w:color w:val="auto"/>
                <w:szCs w:val="21"/>
              </w:rPr>
            </w:pPr>
            <w:r>
              <w:rPr>
                <w:rFonts w:ascii="Times New Roman" w:hAnsi="Times New Roman" w:eastAsia="宋体" w:cs="Times New Roman"/>
                <w:b/>
                <w:bCs/>
                <w:color w:val="auto"/>
                <w:szCs w:val="21"/>
              </w:rPr>
              <w:t>标准值</w:t>
            </w:r>
          </w:p>
        </w:tc>
        <w:tc>
          <w:tcPr>
            <w:tcW w:w="881" w:type="pct"/>
            <w:vMerge w:val="restart"/>
            <w:tcBorders>
              <w:top w:val="single" w:color="auto" w:sz="4" w:space="0"/>
              <w:left w:val="single" w:color="auto" w:sz="4" w:space="0"/>
              <w:bottom w:val="single" w:color="auto" w:sz="4" w:space="0"/>
              <w:right w:val="single" w:color="auto" w:sz="4" w:space="0"/>
            </w:tcBorders>
            <w:vAlign w:val="center"/>
          </w:tcPr>
          <w:p w14:paraId="4554500A">
            <w:pPr>
              <w:jc w:val="center"/>
              <w:rPr>
                <w:rFonts w:ascii="Times New Roman" w:hAnsi="Times New Roman" w:eastAsia="宋体" w:cs="Times New Roman"/>
                <w:b/>
                <w:bCs/>
                <w:color w:val="auto"/>
                <w:szCs w:val="21"/>
              </w:rPr>
            </w:pPr>
            <w:r>
              <w:rPr>
                <w:rFonts w:ascii="Times New Roman" w:hAnsi="Times New Roman" w:eastAsia="宋体" w:cs="Times New Roman"/>
                <w:b/>
                <w:bCs/>
                <w:color w:val="auto"/>
                <w:szCs w:val="21"/>
              </w:rPr>
              <w:t>执行标准</w:t>
            </w:r>
          </w:p>
        </w:tc>
      </w:tr>
      <w:tr w14:paraId="1108A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Header/>
          <w:jc w:val="center"/>
        </w:trPr>
        <w:tc>
          <w:tcPr>
            <w:tcW w:w="292" w:type="pct"/>
            <w:tcBorders>
              <w:top w:val="single" w:color="auto" w:sz="4" w:space="0"/>
              <w:left w:val="single" w:color="auto" w:sz="4" w:space="0"/>
              <w:bottom w:val="single" w:color="auto" w:sz="4" w:space="0"/>
              <w:right w:val="single" w:color="auto" w:sz="4" w:space="0"/>
            </w:tcBorders>
            <w:vAlign w:val="center"/>
          </w:tcPr>
          <w:p w14:paraId="70F31FED">
            <w:pPr>
              <w:jc w:val="center"/>
              <w:rPr>
                <w:rFonts w:ascii="Times New Roman" w:hAnsi="Times New Roman" w:eastAsia="宋体" w:cs="Times New Roman"/>
                <w:b/>
                <w:bCs/>
                <w:color w:val="auto"/>
                <w:szCs w:val="21"/>
              </w:rPr>
            </w:pPr>
            <w:r>
              <w:rPr>
                <w:rFonts w:ascii="Times New Roman" w:hAnsi="Times New Roman" w:eastAsia="宋体" w:cs="Times New Roman"/>
                <w:b/>
                <w:bCs/>
                <w:color w:val="auto"/>
                <w:szCs w:val="21"/>
              </w:rPr>
              <w:t>生产工艺</w:t>
            </w:r>
          </w:p>
        </w:tc>
        <w:tc>
          <w:tcPr>
            <w:tcW w:w="343" w:type="pct"/>
            <w:tcBorders>
              <w:top w:val="single" w:color="auto" w:sz="4" w:space="0"/>
              <w:left w:val="single" w:color="auto" w:sz="4" w:space="0"/>
              <w:bottom w:val="single" w:color="auto" w:sz="4" w:space="0"/>
              <w:right w:val="single" w:color="auto" w:sz="4" w:space="0"/>
            </w:tcBorders>
            <w:vAlign w:val="center"/>
          </w:tcPr>
          <w:p w14:paraId="3A1CB2FF">
            <w:pPr>
              <w:jc w:val="center"/>
              <w:rPr>
                <w:rFonts w:ascii="Times New Roman" w:hAnsi="Times New Roman" w:eastAsia="宋体" w:cs="Times New Roman"/>
                <w:b/>
                <w:bCs/>
                <w:color w:val="auto"/>
                <w:szCs w:val="21"/>
              </w:rPr>
            </w:pPr>
            <w:r>
              <w:rPr>
                <w:rFonts w:ascii="Times New Roman" w:hAnsi="Times New Roman" w:eastAsia="宋体" w:cs="Times New Roman"/>
                <w:b/>
                <w:bCs/>
                <w:color w:val="auto"/>
                <w:szCs w:val="21"/>
              </w:rPr>
              <w:t>产污设备</w:t>
            </w:r>
          </w:p>
        </w:tc>
        <w:tc>
          <w:tcPr>
            <w:tcW w:w="785" w:type="pct"/>
            <w:vMerge w:val="continue"/>
            <w:tcBorders>
              <w:top w:val="single" w:color="auto" w:sz="4" w:space="0"/>
              <w:left w:val="single" w:color="auto" w:sz="4" w:space="0"/>
              <w:bottom w:val="single" w:color="auto" w:sz="4" w:space="0"/>
              <w:right w:val="single" w:color="auto" w:sz="4" w:space="0"/>
            </w:tcBorders>
            <w:vAlign w:val="center"/>
          </w:tcPr>
          <w:p w14:paraId="7A0BA9B0">
            <w:pPr>
              <w:jc w:val="center"/>
              <w:rPr>
                <w:rFonts w:ascii="Times New Roman" w:hAnsi="Times New Roman" w:eastAsia="宋体" w:cs="Times New Roman"/>
                <w:b/>
                <w:bCs/>
                <w:color w:val="auto"/>
                <w:szCs w:val="21"/>
              </w:rPr>
            </w:pPr>
          </w:p>
        </w:tc>
        <w:tc>
          <w:tcPr>
            <w:tcW w:w="285" w:type="pct"/>
            <w:vMerge w:val="continue"/>
            <w:tcBorders>
              <w:top w:val="single" w:color="auto" w:sz="4" w:space="0"/>
              <w:left w:val="single" w:color="auto" w:sz="4" w:space="0"/>
              <w:bottom w:val="single" w:color="auto" w:sz="4" w:space="0"/>
              <w:right w:val="single" w:color="auto" w:sz="4" w:space="0"/>
            </w:tcBorders>
            <w:vAlign w:val="center"/>
          </w:tcPr>
          <w:p w14:paraId="2C79C8F6">
            <w:pPr>
              <w:jc w:val="center"/>
              <w:rPr>
                <w:rFonts w:ascii="Times New Roman" w:hAnsi="Times New Roman" w:eastAsia="宋体" w:cs="Times New Roman"/>
                <w:b/>
                <w:bCs/>
                <w:color w:val="auto"/>
                <w:szCs w:val="21"/>
              </w:rPr>
            </w:pPr>
          </w:p>
        </w:tc>
        <w:tc>
          <w:tcPr>
            <w:tcW w:w="255" w:type="pct"/>
            <w:vMerge w:val="continue"/>
            <w:tcBorders>
              <w:top w:val="single" w:color="auto" w:sz="4" w:space="0"/>
              <w:left w:val="single" w:color="auto" w:sz="4" w:space="0"/>
              <w:bottom w:val="single" w:color="auto" w:sz="4" w:space="0"/>
              <w:right w:val="single" w:color="auto" w:sz="4" w:space="0"/>
            </w:tcBorders>
            <w:vAlign w:val="center"/>
          </w:tcPr>
          <w:p w14:paraId="571F614E">
            <w:pPr>
              <w:jc w:val="center"/>
              <w:rPr>
                <w:rFonts w:ascii="Times New Roman" w:hAnsi="Times New Roman" w:eastAsia="宋体" w:cs="Times New Roman"/>
                <w:b/>
                <w:bCs/>
                <w:color w:val="auto"/>
                <w:szCs w:val="21"/>
              </w:rPr>
            </w:pPr>
          </w:p>
        </w:tc>
        <w:tc>
          <w:tcPr>
            <w:tcW w:w="614" w:type="pct"/>
            <w:vMerge w:val="continue"/>
            <w:tcBorders>
              <w:top w:val="single" w:color="auto" w:sz="4" w:space="0"/>
              <w:left w:val="single" w:color="auto" w:sz="4" w:space="0"/>
              <w:bottom w:val="single" w:color="auto" w:sz="4" w:space="0"/>
              <w:right w:val="single" w:color="auto" w:sz="4" w:space="0"/>
            </w:tcBorders>
            <w:vAlign w:val="center"/>
          </w:tcPr>
          <w:p w14:paraId="69E4C24D">
            <w:pPr>
              <w:jc w:val="center"/>
              <w:rPr>
                <w:rFonts w:ascii="Times New Roman" w:hAnsi="Times New Roman" w:eastAsia="宋体" w:cs="Times New Roman"/>
                <w:b/>
                <w:bCs/>
                <w:color w:val="auto"/>
                <w:szCs w:val="21"/>
              </w:rPr>
            </w:pPr>
          </w:p>
        </w:tc>
        <w:tc>
          <w:tcPr>
            <w:tcW w:w="260" w:type="pct"/>
            <w:vMerge w:val="continue"/>
            <w:tcBorders>
              <w:top w:val="single" w:color="auto" w:sz="4" w:space="0"/>
              <w:left w:val="single" w:color="auto" w:sz="4" w:space="0"/>
              <w:bottom w:val="single" w:color="auto" w:sz="4" w:space="0"/>
              <w:right w:val="single" w:color="auto" w:sz="4" w:space="0"/>
            </w:tcBorders>
            <w:vAlign w:val="center"/>
          </w:tcPr>
          <w:p w14:paraId="07FF036E">
            <w:pPr>
              <w:jc w:val="center"/>
              <w:rPr>
                <w:rFonts w:ascii="Times New Roman" w:hAnsi="Times New Roman" w:eastAsia="宋体" w:cs="Times New Roman"/>
                <w:b/>
                <w:bCs/>
                <w:color w:val="auto"/>
                <w:szCs w:val="21"/>
              </w:rPr>
            </w:pPr>
          </w:p>
        </w:tc>
        <w:tc>
          <w:tcPr>
            <w:tcW w:w="399" w:type="pct"/>
            <w:vMerge w:val="continue"/>
            <w:tcBorders>
              <w:top w:val="single" w:color="auto" w:sz="4" w:space="0"/>
              <w:left w:val="single" w:color="auto" w:sz="4" w:space="0"/>
              <w:bottom w:val="single" w:color="auto" w:sz="4" w:space="0"/>
              <w:right w:val="single" w:color="auto" w:sz="4" w:space="0"/>
            </w:tcBorders>
            <w:vAlign w:val="center"/>
          </w:tcPr>
          <w:p w14:paraId="5D334550">
            <w:pPr>
              <w:jc w:val="center"/>
              <w:rPr>
                <w:rFonts w:ascii="Times New Roman" w:hAnsi="Times New Roman" w:eastAsia="宋体" w:cs="Times New Roman"/>
                <w:b/>
                <w:bCs/>
                <w:color w:val="auto"/>
                <w:szCs w:val="21"/>
              </w:rPr>
            </w:pPr>
          </w:p>
        </w:tc>
        <w:tc>
          <w:tcPr>
            <w:tcW w:w="472" w:type="pct"/>
            <w:tcBorders>
              <w:top w:val="single" w:color="auto" w:sz="4" w:space="0"/>
              <w:left w:val="single" w:color="auto" w:sz="4" w:space="0"/>
              <w:bottom w:val="single" w:color="auto" w:sz="4" w:space="0"/>
              <w:right w:val="single" w:color="auto" w:sz="4" w:space="0"/>
            </w:tcBorders>
            <w:vAlign w:val="center"/>
          </w:tcPr>
          <w:p w14:paraId="12F6EA4D">
            <w:pPr>
              <w:jc w:val="center"/>
              <w:rPr>
                <w:rFonts w:ascii="Times New Roman" w:hAnsi="Times New Roman" w:eastAsia="宋体" w:cs="Times New Roman"/>
                <w:b/>
                <w:bCs/>
                <w:color w:val="auto"/>
                <w:szCs w:val="21"/>
              </w:rPr>
            </w:pPr>
            <w:r>
              <w:rPr>
                <w:rFonts w:ascii="Times New Roman" w:hAnsi="Times New Roman" w:eastAsia="宋体" w:cs="Times New Roman"/>
                <w:b/>
                <w:bCs/>
                <w:color w:val="auto"/>
                <w:szCs w:val="21"/>
              </w:rPr>
              <w:t>浓度限值</w:t>
            </w:r>
          </w:p>
          <w:p w14:paraId="25875674">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w:t>
            </w:r>
            <w:r>
              <w:rPr>
                <w:rFonts w:ascii="Times New Roman" w:hAnsi="Times New Roman" w:eastAsia="宋体" w:cs="Times New Roman"/>
                <w:b/>
                <w:bCs/>
                <w:color w:val="auto"/>
                <w:szCs w:val="21"/>
              </w:rPr>
              <w:t>mg/m³</w:t>
            </w:r>
            <w:r>
              <w:rPr>
                <w:rFonts w:hint="eastAsia" w:ascii="Times New Roman" w:hAnsi="Times New Roman" w:eastAsia="宋体" w:cs="Times New Roman"/>
                <w:b/>
                <w:bCs/>
                <w:color w:val="auto"/>
                <w:szCs w:val="21"/>
              </w:rPr>
              <w:t>）</w:t>
            </w:r>
          </w:p>
        </w:tc>
        <w:tc>
          <w:tcPr>
            <w:tcW w:w="411" w:type="pct"/>
            <w:tcBorders>
              <w:top w:val="single" w:color="auto" w:sz="4" w:space="0"/>
              <w:left w:val="single" w:color="auto" w:sz="4" w:space="0"/>
              <w:bottom w:val="single" w:color="auto" w:sz="4" w:space="0"/>
              <w:right w:val="single" w:color="auto" w:sz="4" w:space="0"/>
            </w:tcBorders>
            <w:vAlign w:val="center"/>
          </w:tcPr>
          <w:p w14:paraId="540C68BF">
            <w:pPr>
              <w:jc w:val="center"/>
              <w:rPr>
                <w:rFonts w:ascii="Times New Roman" w:hAnsi="Times New Roman" w:eastAsia="宋体" w:cs="Times New Roman"/>
                <w:b/>
                <w:bCs/>
                <w:color w:val="auto"/>
                <w:szCs w:val="21"/>
              </w:rPr>
            </w:pPr>
            <w:r>
              <w:rPr>
                <w:rFonts w:ascii="Times New Roman" w:hAnsi="Times New Roman" w:eastAsia="宋体" w:cs="Times New Roman"/>
                <w:b/>
                <w:bCs/>
                <w:color w:val="auto"/>
                <w:szCs w:val="21"/>
              </w:rPr>
              <w:t>速率限值</w:t>
            </w:r>
          </w:p>
          <w:p w14:paraId="7B1B4199">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w:t>
            </w:r>
            <w:r>
              <w:rPr>
                <w:rFonts w:ascii="Times New Roman" w:hAnsi="Times New Roman" w:eastAsia="宋体" w:cs="Times New Roman"/>
                <w:b/>
                <w:bCs/>
                <w:color w:val="auto"/>
                <w:szCs w:val="21"/>
              </w:rPr>
              <w:t>kg/h</w:t>
            </w:r>
            <w:r>
              <w:rPr>
                <w:rFonts w:hint="eastAsia" w:ascii="Times New Roman" w:hAnsi="Times New Roman" w:eastAsia="宋体" w:cs="Times New Roman"/>
                <w:b/>
                <w:bCs/>
                <w:color w:val="auto"/>
                <w:szCs w:val="21"/>
              </w:rPr>
              <w:t>）</w:t>
            </w:r>
          </w:p>
        </w:tc>
        <w:tc>
          <w:tcPr>
            <w:tcW w:w="881" w:type="pct"/>
            <w:vMerge w:val="continue"/>
            <w:tcBorders>
              <w:top w:val="single" w:color="auto" w:sz="4" w:space="0"/>
              <w:left w:val="single" w:color="auto" w:sz="4" w:space="0"/>
              <w:bottom w:val="single" w:color="auto" w:sz="4" w:space="0"/>
              <w:right w:val="single" w:color="auto" w:sz="4" w:space="0"/>
            </w:tcBorders>
            <w:vAlign w:val="center"/>
          </w:tcPr>
          <w:p w14:paraId="5FB07F18">
            <w:pPr>
              <w:jc w:val="center"/>
              <w:rPr>
                <w:rFonts w:ascii="Times New Roman" w:hAnsi="Times New Roman" w:eastAsia="宋体" w:cs="Times New Roman"/>
                <w:b/>
                <w:bCs/>
                <w:color w:val="auto"/>
                <w:szCs w:val="21"/>
              </w:rPr>
            </w:pPr>
          </w:p>
        </w:tc>
      </w:tr>
      <w:tr w14:paraId="05D08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92" w:type="pct"/>
            <w:vMerge w:val="restart"/>
            <w:tcBorders>
              <w:top w:val="single" w:color="auto" w:sz="4" w:space="0"/>
              <w:left w:val="single" w:color="auto" w:sz="4" w:space="0"/>
              <w:right w:val="single" w:color="auto" w:sz="4" w:space="0"/>
            </w:tcBorders>
            <w:vAlign w:val="center"/>
          </w:tcPr>
          <w:p w14:paraId="13F9429F">
            <w:pPr>
              <w:jc w:val="center"/>
              <w:rPr>
                <w:rFonts w:hint="default" w:ascii="Times New Roman" w:hAnsi="Times New Roman" w:eastAsia="仿宋" w:cs="仿宋"/>
                <w:color w:val="auto"/>
                <w:szCs w:val="21"/>
                <w:lang w:val="en-US" w:eastAsia="zh-CN"/>
              </w:rPr>
            </w:pPr>
            <w:r>
              <w:rPr>
                <w:rFonts w:hint="eastAsia" w:ascii="Times New Roman" w:hAnsi="Times New Roman" w:eastAsia="宋体" w:cs="Times New Roman"/>
                <w:color w:val="auto"/>
                <w:szCs w:val="21"/>
                <w:lang w:val="en-US" w:eastAsia="zh-CN"/>
              </w:rPr>
              <w:t>发酵废气</w:t>
            </w:r>
          </w:p>
        </w:tc>
        <w:tc>
          <w:tcPr>
            <w:tcW w:w="343" w:type="pct"/>
            <w:vMerge w:val="restart"/>
            <w:tcBorders>
              <w:top w:val="single" w:color="auto" w:sz="4" w:space="0"/>
              <w:left w:val="single" w:color="auto" w:sz="4" w:space="0"/>
              <w:right w:val="single" w:color="auto" w:sz="4" w:space="0"/>
            </w:tcBorders>
            <w:vAlign w:val="center"/>
          </w:tcPr>
          <w:p w14:paraId="5C7D83C9">
            <w:pPr>
              <w:jc w:val="center"/>
              <w:rPr>
                <w:rFonts w:hint="default" w:ascii="Times New Roman" w:hAnsi="Times New Roman" w:eastAsia="宋体" w:cs="仿宋"/>
                <w:color w:val="auto"/>
                <w:szCs w:val="21"/>
                <w:lang w:val="en-US" w:eastAsia="zh-CN"/>
              </w:rPr>
            </w:pPr>
            <w:r>
              <w:rPr>
                <w:rFonts w:hint="eastAsia" w:ascii="Times New Roman" w:hAnsi="Times New Roman" w:eastAsia="宋体" w:cs="仿宋"/>
                <w:color w:val="auto"/>
                <w:szCs w:val="21"/>
                <w:lang w:val="en-US" w:eastAsia="zh-CN"/>
              </w:rPr>
              <w:t>种子罐、发酵罐</w:t>
            </w:r>
          </w:p>
        </w:tc>
        <w:tc>
          <w:tcPr>
            <w:tcW w:w="785" w:type="pct"/>
            <w:vMerge w:val="restart"/>
            <w:tcBorders>
              <w:top w:val="single" w:color="auto" w:sz="4" w:space="0"/>
              <w:left w:val="single" w:color="auto" w:sz="4" w:space="0"/>
              <w:right w:val="single" w:color="auto" w:sz="4" w:space="0"/>
            </w:tcBorders>
            <w:vAlign w:val="center"/>
          </w:tcPr>
          <w:p w14:paraId="56358E6F">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碱喷淋预处理+集中式生物除臭+2</w:t>
            </w:r>
            <w:r>
              <w:rPr>
                <w:rFonts w:hint="eastAsia" w:ascii="Times New Roman" w:hAnsi="Times New Roman" w:eastAsia="宋体" w:cs="Times New Roman"/>
                <w:color w:val="auto"/>
                <w:szCs w:val="21"/>
                <w:lang w:val="en-US" w:eastAsia="zh-CN"/>
              </w:rPr>
              <w:t>1</w:t>
            </w:r>
            <w:r>
              <w:rPr>
                <w:rFonts w:hint="eastAsia" w:ascii="Times New Roman" w:hAnsi="Times New Roman" w:eastAsia="宋体" w:cs="Times New Roman"/>
                <w:color w:val="auto"/>
                <w:szCs w:val="21"/>
              </w:rPr>
              <w:t>m排气筒</w:t>
            </w:r>
          </w:p>
        </w:tc>
        <w:tc>
          <w:tcPr>
            <w:tcW w:w="285" w:type="pct"/>
            <w:vMerge w:val="restart"/>
            <w:tcBorders>
              <w:top w:val="single" w:color="auto" w:sz="4" w:space="0"/>
              <w:left w:val="single" w:color="auto" w:sz="4" w:space="0"/>
              <w:right w:val="single" w:color="auto" w:sz="4" w:space="0"/>
            </w:tcBorders>
            <w:vAlign w:val="center"/>
          </w:tcPr>
          <w:p w14:paraId="5FA61F0D">
            <w:pPr>
              <w:jc w:val="center"/>
              <w:rPr>
                <w:rFonts w:ascii="Times New Roman" w:hAnsi="Times New Roman" w:eastAsia="宋体" w:cs="Times New Roman"/>
                <w:color w:val="auto"/>
                <w:szCs w:val="21"/>
              </w:rPr>
            </w:pPr>
            <w:r>
              <w:rPr>
                <w:rFonts w:hint="eastAsia" w:ascii="Times New Roman" w:hAnsi="Times New Roman" w:eastAsia="宋体" w:cs="仿宋"/>
                <w:color w:val="auto"/>
                <w:szCs w:val="21"/>
              </w:rPr>
              <w:t>有组织</w:t>
            </w:r>
          </w:p>
        </w:tc>
        <w:tc>
          <w:tcPr>
            <w:tcW w:w="255" w:type="pct"/>
            <w:vMerge w:val="restart"/>
            <w:tcBorders>
              <w:top w:val="single" w:color="auto" w:sz="4" w:space="0"/>
              <w:left w:val="single" w:color="auto" w:sz="4" w:space="0"/>
              <w:right w:val="single" w:color="auto" w:sz="4" w:space="0"/>
            </w:tcBorders>
            <w:vAlign w:val="center"/>
          </w:tcPr>
          <w:p w14:paraId="030210B1">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D</w:t>
            </w:r>
            <w:r>
              <w:rPr>
                <w:rFonts w:ascii="Times New Roman" w:hAnsi="Times New Roman" w:eastAsia="宋体" w:cs="Times New Roman"/>
                <w:color w:val="auto"/>
                <w:szCs w:val="21"/>
              </w:rPr>
              <w:t>A0</w:t>
            </w:r>
            <w:r>
              <w:rPr>
                <w:rFonts w:hint="eastAsia" w:ascii="Times New Roman" w:hAnsi="Times New Roman" w:eastAsia="宋体" w:cs="Times New Roman"/>
                <w:color w:val="auto"/>
                <w:szCs w:val="21"/>
              </w:rPr>
              <w:t>01</w:t>
            </w:r>
          </w:p>
        </w:tc>
        <w:tc>
          <w:tcPr>
            <w:tcW w:w="614" w:type="pct"/>
            <w:vMerge w:val="restart"/>
            <w:tcBorders>
              <w:top w:val="single" w:color="auto" w:sz="4" w:space="0"/>
              <w:left w:val="single" w:color="auto" w:sz="4" w:space="0"/>
              <w:right w:val="single" w:color="auto" w:sz="4" w:space="0"/>
            </w:tcBorders>
            <w:vAlign w:val="center"/>
          </w:tcPr>
          <w:p w14:paraId="1447BAFC">
            <w:pPr>
              <w:jc w:val="center"/>
              <w:rPr>
                <w:rFonts w:hint="eastAsia" w:ascii="Times New Roman" w:hAnsi="Times New Roman" w:eastAsia="宋体" w:cs="Times New Roman"/>
                <w:color w:val="auto"/>
                <w:szCs w:val="21"/>
              </w:rPr>
            </w:pPr>
            <w:r>
              <w:rPr>
                <w:rFonts w:ascii="Times New Roman" w:hAnsi="Times New Roman" w:eastAsia="宋体" w:cs="Times New Roman"/>
                <w:color w:val="auto"/>
                <w:szCs w:val="21"/>
              </w:rPr>
              <w:t>经度：</w:t>
            </w:r>
            <w:r>
              <w:rPr>
                <w:rFonts w:hint="eastAsia" w:ascii="Times New Roman" w:hAnsi="Times New Roman" w:eastAsia="宋体" w:cs="Times New Roman"/>
                <w:color w:val="auto"/>
                <w:szCs w:val="21"/>
              </w:rPr>
              <w:t>111度 52分 41.16秒</w:t>
            </w:r>
          </w:p>
          <w:p w14:paraId="0146F70C">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纬度：</w:t>
            </w:r>
            <w:r>
              <w:rPr>
                <w:rFonts w:hint="eastAsia" w:ascii="Times New Roman" w:hAnsi="Times New Roman" w:eastAsia="宋体" w:cs="Times New Roman"/>
                <w:color w:val="auto"/>
                <w:szCs w:val="21"/>
              </w:rPr>
              <w:t>29度 33分 29.81秒</w:t>
            </w:r>
          </w:p>
        </w:tc>
        <w:tc>
          <w:tcPr>
            <w:tcW w:w="260" w:type="pct"/>
            <w:vMerge w:val="restart"/>
            <w:tcBorders>
              <w:top w:val="single" w:color="auto" w:sz="4" w:space="0"/>
              <w:left w:val="single" w:color="auto" w:sz="4" w:space="0"/>
              <w:right w:val="single" w:color="auto" w:sz="4" w:space="0"/>
            </w:tcBorders>
            <w:vAlign w:val="center"/>
          </w:tcPr>
          <w:p w14:paraId="1A80494D">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一般排放口</w:t>
            </w:r>
          </w:p>
        </w:tc>
        <w:tc>
          <w:tcPr>
            <w:tcW w:w="399" w:type="pct"/>
            <w:tcBorders>
              <w:top w:val="single" w:color="auto" w:sz="4" w:space="0"/>
              <w:left w:val="single" w:color="auto" w:sz="4" w:space="0"/>
              <w:bottom w:val="single" w:color="auto" w:sz="4" w:space="0"/>
              <w:right w:val="single" w:color="auto" w:sz="4" w:space="0"/>
            </w:tcBorders>
            <w:shd w:val="clear" w:color="auto" w:fill="auto"/>
            <w:vAlign w:val="center"/>
          </w:tcPr>
          <w:p w14:paraId="4688D374">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非甲烷总烃</w:t>
            </w:r>
          </w:p>
        </w:tc>
        <w:tc>
          <w:tcPr>
            <w:tcW w:w="472" w:type="pct"/>
            <w:tcBorders>
              <w:top w:val="single" w:color="auto" w:sz="4" w:space="0"/>
              <w:left w:val="single" w:color="auto" w:sz="4" w:space="0"/>
              <w:bottom w:val="single" w:color="auto" w:sz="4" w:space="0"/>
              <w:right w:val="single" w:color="auto" w:sz="4" w:space="0"/>
            </w:tcBorders>
            <w:vAlign w:val="center"/>
          </w:tcPr>
          <w:p w14:paraId="0A24D09B">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120</w:t>
            </w:r>
          </w:p>
        </w:tc>
        <w:tc>
          <w:tcPr>
            <w:tcW w:w="411" w:type="pct"/>
            <w:tcBorders>
              <w:top w:val="single" w:color="auto" w:sz="4" w:space="0"/>
              <w:left w:val="single" w:color="auto" w:sz="4" w:space="0"/>
              <w:bottom w:val="single" w:color="auto" w:sz="4" w:space="0"/>
              <w:right w:val="single" w:color="auto" w:sz="4" w:space="0"/>
            </w:tcBorders>
            <w:vAlign w:val="center"/>
          </w:tcPr>
          <w:p w14:paraId="41639097">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17</w:t>
            </w:r>
          </w:p>
        </w:tc>
        <w:tc>
          <w:tcPr>
            <w:tcW w:w="881" w:type="pct"/>
            <w:vMerge w:val="restart"/>
            <w:tcBorders>
              <w:top w:val="single" w:color="auto" w:sz="4" w:space="0"/>
              <w:left w:val="single" w:color="auto" w:sz="4" w:space="0"/>
              <w:right w:val="single" w:color="auto" w:sz="4" w:space="0"/>
            </w:tcBorders>
            <w:vAlign w:val="center"/>
          </w:tcPr>
          <w:p w14:paraId="23AED93C">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《大气污染物综合排放标准》（GB16297-1996）</w:t>
            </w:r>
          </w:p>
        </w:tc>
      </w:tr>
      <w:tr w14:paraId="15DB8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92" w:type="pct"/>
            <w:vMerge w:val="continue"/>
            <w:tcBorders>
              <w:left w:val="single" w:color="auto" w:sz="4" w:space="0"/>
              <w:right w:val="single" w:color="auto" w:sz="4" w:space="0"/>
            </w:tcBorders>
            <w:vAlign w:val="center"/>
          </w:tcPr>
          <w:p w14:paraId="2BE15B6C">
            <w:pPr>
              <w:jc w:val="center"/>
              <w:rPr>
                <w:rFonts w:ascii="Times New Roman" w:hAnsi="Times New Roman" w:eastAsia="宋体" w:cs="Times New Roman"/>
                <w:color w:val="auto"/>
                <w:szCs w:val="21"/>
              </w:rPr>
            </w:pPr>
          </w:p>
        </w:tc>
        <w:tc>
          <w:tcPr>
            <w:tcW w:w="343" w:type="pct"/>
            <w:vMerge w:val="continue"/>
            <w:tcBorders>
              <w:left w:val="single" w:color="auto" w:sz="4" w:space="0"/>
              <w:right w:val="single" w:color="auto" w:sz="4" w:space="0"/>
            </w:tcBorders>
            <w:vAlign w:val="center"/>
          </w:tcPr>
          <w:p w14:paraId="7F7D0869">
            <w:pPr>
              <w:jc w:val="center"/>
              <w:rPr>
                <w:rFonts w:ascii="Times New Roman" w:hAnsi="Times New Roman" w:eastAsia="宋体" w:cs="Times New Roman"/>
                <w:color w:val="auto"/>
                <w:szCs w:val="21"/>
              </w:rPr>
            </w:pPr>
          </w:p>
        </w:tc>
        <w:tc>
          <w:tcPr>
            <w:tcW w:w="785" w:type="pct"/>
            <w:vMerge w:val="continue"/>
            <w:tcBorders>
              <w:left w:val="single" w:color="auto" w:sz="4" w:space="0"/>
              <w:right w:val="single" w:color="auto" w:sz="4" w:space="0"/>
            </w:tcBorders>
            <w:vAlign w:val="center"/>
          </w:tcPr>
          <w:p w14:paraId="7AB89D9A">
            <w:pPr>
              <w:jc w:val="center"/>
              <w:rPr>
                <w:rFonts w:ascii="Times New Roman" w:hAnsi="Times New Roman" w:eastAsia="宋体" w:cs="Times New Roman"/>
                <w:color w:val="auto"/>
                <w:szCs w:val="21"/>
              </w:rPr>
            </w:pPr>
          </w:p>
        </w:tc>
        <w:tc>
          <w:tcPr>
            <w:tcW w:w="285" w:type="pct"/>
            <w:vMerge w:val="continue"/>
            <w:tcBorders>
              <w:left w:val="single" w:color="auto" w:sz="4" w:space="0"/>
              <w:right w:val="single" w:color="auto" w:sz="4" w:space="0"/>
            </w:tcBorders>
            <w:vAlign w:val="center"/>
          </w:tcPr>
          <w:p w14:paraId="178307B9">
            <w:pPr>
              <w:jc w:val="center"/>
              <w:rPr>
                <w:rFonts w:ascii="Times New Roman" w:hAnsi="Times New Roman" w:eastAsia="宋体" w:cs="仿宋"/>
                <w:color w:val="auto"/>
                <w:szCs w:val="21"/>
              </w:rPr>
            </w:pPr>
          </w:p>
        </w:tc>
        <w:tc>
          <w:tcPr>
            <w:tcW w:w="255" w:type="pct"/>
            <w:vMerge w:val="continue"/>
            <w:tcBorders>
              <w:left w:val="single" w:color="auto" w:sz="4" w:space="0"/>
              <w:right w:val="single" w:color="auto" w:sz="4" w:space="0"/>
            </w:tcBorders>
            <w:vAlign w:val="center"/>
          </w:tcPr>
          <w:p w14:paraId="18CBF18B">
            <w:pPr>
              <w:jc w:val="center"/>
              <w:rPr>
                <w:rFonts w:ascii="Times New Roman" w:hAnsi="Times New Roman" w:eastAsia="宋体" w:cs="Times New Roman"/>
                <w:color w:val="auto"/>
                <w:szCs w:val="21"/>
              </w:rPr>
            </w:pPr>
          </w:p>
        </w:tc>
        <w:tc>
          <w:tcPr>
            <w:tcW w:w="614" w:type="pct"/>
            <w:vMerge w:val="continue"/>
            <w:tcBorders>
              <w:left w:val="single" w:color="auto" w:sz="4" w:space="0"/>
              <w:right w:val="single" w:color="auto" w:sz="4" w:space="0"/>
            </w:tcBorders>
            <w:vAlign w:val="center"/>
          </w:tcPr>
          <w:p w14:paraId="62FE10D9">
            <w:pPr>
              <w:jc w:val="center"/>
              <w:rPr>
                <w:rFonts w:ascii="Times New Roman" w:hAnsi="Times New Roman" w:eastAsia="宋体" w:cs="Times New Roman"/>
                <w:color w:val="auto"/>
                <w:szCs w:val="21"/>
              </w:rPr>
            </w:pPr>
          </w:p>
        </w:tc>
        <w:tc>
          <w:tcPr>
            <w:tcW w:w="260" w:type="pct"/>
            <w:vMerge w:val="continue"/>
            <w:tcBorders>
              <w:left w:val="single" w:color="auto" w:sz="4" w:space="0"/>
              <w:right w:val="single" w:color="auto" w:sz="4" w:space="0"/>
            </w:tcBorders>
            <w:vAlign w:val="center"/>
          </w:tcPr>
          <w:p w14:paraId="47D94D3E">
            <w:pPr>
              <w:jc w:val="center"/>
              <w:rPr>
                <w:rFonts w:ascii="Times New Roman" w:hAnsi="Times New Roman" w:eastAsia="宋体" w:cs="Times New Roman"/>
                <w:color w:val="auto"/>
                <w:szCs w:val="21"/>
              </w:rPr>
            </w:pPr>
          </w:p>
        </w:tc>
        <w:tc>
          <w:tcPr>
            <w:tcW w:w="399" w:type="pct"/>
            <w:tcBorders>
              <w:top w:val="single" w:color="auto" w:sz="4" w:space="0"/>
              <w:left w:val="single" w:color="auto" w:sz="4" w:space="0"/>
              <w:bottom w:val="single" w:color="auto" w:sz="4" w:space="0"/>
              <w:right w:val="single" w:color="auto" w:sz="4" w:space="0"/>
            </w:tcBorders>
            <w:shd w:val="clear" w:color="auto" w:fill="auto"/>
            <w:vAlign w:val="center"/>
          </w:tcPr>
          <w:p w14:paraId="76751963">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颗粒物</w:t>
            </w:r>
          </w:p>
        </w:tc>
        <w:tc>
          <w:tcPr>
            <w:tcW w:w="472" w:type="pct"/>
            <w:tcBorders>
              <w:top w:val="single" w:color="auto" w:sz="4" w:space="0"/>
              <w:left w:val="single" w:color="auto" w:sz="4" w:space="0"/>
              <w:bottom w:val="single" w:color="auto" w:sz="4" w:space="0"/>
              <w:right w:val="single" w:color="auto" w:sz="4" w:space="0"/>
            </w:tcBorders>
            <w:vAlign w:val="center"/>
          </w:tcPr>
          <w:p w14:paraId="055BF151">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120</w:t>
            </w:r>
          </w:p>
        </w:tc>
        <w:tc>
          <w:tcPr>
            <w:tcW w:w="411" w:type="pct"/>
            <w:tcBorders>
              <w:top w:val="single" w:color="auto" w:sz="4" w:space="0"/>
              <w:left w:val="single" w:color="auto" w:sz="4" w:space="0"/>
              <w:bottom w:val="single" w:color="auto" w:sz="4" w:space="0"/>
              <w:right w:val="single" w:color="auto" w:sz="4" w:space="0"/>
            </w:tcBorders>
            <w:vAlign w:val="center"/>
          </w:tcPr>
          <w:p w14:paraId="334557C4">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5.9</w:t>
            </w:r>
          </w:p>
        </w:tc>
        <w:tc>
          <w:tcPr>
            <w:tcW w:w="881" w:type="pct"/>
            <w:vMerge w:val="continue"/>
            <w:tcBorders>
              <w:left w:val="single" w:color="auto" w:sz="4" w:space="0"/>
              <w:right w:val="single" w:color="auto" w:sz="4" w:space="0"/>
            </w:tcBorders>
            <w:vAlign w:val="center"/>
          </w:tcPr>
          <w:p w14:paraId="0644BB8B">
            <w:pPr>
              <w:jc w:val="center"/>
              <w:rPr>
                <w:rFonts w:ascii="Times New Roman" w:hAnsi="Times New Roman" w:eastAsia="宋体" w:cs="Times New Roman"/>
                <w:color w:val="auto"/>
                <w:szCs w:val="21"/>
              </w:rPr>
            </w:pPr>
          </w:p>
        </w:tc>
      </w:tr>
      <w:tr w14:paraId="634F7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92" w:type="pct"/>
            <w:vMerge w:val="continue"/>
            <w:tcBorders>
              <w:left w:val="single" w:color="auto" w:sz="4" w:space="0"/>
              <w:right w:val="single" w:color="auto" w:sz="4" w:space="0"/>
            </w:tcBorders>
            <w:vAlign w:val="center"/>
          </w:tcPr>
          <w:p w14:paraId="711BB65A">
            <w:pPr>
              <w:jc w:val="center"/>
              <w:rPr>
                <w:rFonts w:ascii="Times New Roman" w:hAnsi="Times New Roman" w:eastAsia="宋体" w:cs="Times New Roman"/>
                <w:color w:val="auto"/>
                <w:szCs w:val="21"/>
              </w:rPr>
            </w:pPr>
          </w:p>
        </w:tc>
        <w:tc>
          <w:tcPr>
            <w:tcW w:w="343" w:type="pct"/>
            <w:vMerge w:val="continue"/>
            <w:tcBorders>
              <w:left w:val="single" w:color="auto" w:sz="4" w:space="0"/>
              <w:right w:val="single" w:color="auto" w:sz="4" w:space="0"/>
            </w:tcBorders>
            <w:vAlign w:val="center"/>
          </w:tcPr>
          <w:p w14:paraId="4F2F9FFE">
            <w:pPr>
              <w:jc w:val="center"/>
              <w:rPr>
                <w:rFonts w:ascii="Times New Roman" w:hAnsi="Times New Roman" w:eastAsia="宋体" w:cs="Times New Roman"/>
                <w:color w:val="auto"/>
                <w:szCs w:val="21"/>
              </w:rPr>
            </w:pPr>
          </w:p>
        </w:tc>
        <w:tc>
          <w:tcPr>
            <w:tcW w:w="785" w:type="pct"/>
            <w:vMerge w:val="continue"/>
            <w:tcBorders>
              <w:left w:val="single" w:color="auto" w:sz="4" w:space="0"/>
              <w:right w:val="single" w:color="auto" w:sz="4" w:space="0"/>
            </w:tcBorders>
            <w:vAlign w:val="center"/>
          </w:tcPr>
          <w:p w14:paraId="7119B281">
            <w:pPr>
              <w:jc w:val="center"/>
              <w:rPr>
                <w:rFonts w:ascii="Times New Roman" w:hAnsi="Times New Roman" w:eastAsia="宋体" w:cs="Times New Roman"/>
                <w:color w:val="auto"/>
                <w:szCs w:val="21"/>
              </w:rPr>
            </w:pPr>
          </w:p>
        </w:tc>
        <w:tc>
          <w:tcPr>
            <w:tcW w:w="285" w:type="pct"/>
            <w:vMerge w:val="continue"/>
            <w:tcBorders>
              <w:left w:val="single" w:color="auto" w:sz="4" w:space="0"/>
              <w:right w:val="single" w:color="auto" w:sz="4" w:space="0"/>
            </w:tcBorders>
            <w:vAlign w:val="center"/>
          </w:tcPr>
          <w:p w14:paraId="01E1F9E6">
            <w:pPr>
              <w:jc w:val="center"/>
              <w:rPr>
                <w:rFonts w:ascii="Times New Roman" w:hAnsi="Times New Roman" w:eastAsia="宋体" w:cs="Times New Roman"/>
                <w:color w:val="auto"/>
                <w:szCs w:val="21"/>
              </w:rPr>
            </w:pPr>
          </w:p>
        </w:tc>
        <w:tc>
          <w:tcPr>
            <w:tcW w:w="255" w:type="pct"/>
            <w:vMerge w:val="continue"/>
            <w:tcBorders>
              <w:left w:val="single" w:color="auto" w:sz="4" w:space="0"/>
              <w:right w:val="single" w:color="auto" w:sz="4" w:space="0"/>
            </w:tcBorders>
            <w:vAlign w:val="center"/>
          </w:tcPr>
          <w:p w14:paraId="553CA9EC">
            <w:pPr>
              <w:jc w:val="center"/>
              <w:rPr>
                <w:rFonts w:ascii="Times New Roman" w:hAnsi="Times New Roman" w:eastAsia="宋体" w:cs="Times New Roman"/>
                <w:color w:val="auto"/>
                <w:szCs w:val="21"/>
              </w:rPr>
            </w:pPr>
          </w:p>
        </w:tc>
        <w:tc>
          <w:tcPr>
            <w:tcW w:w="614" w:type="pct"/>
            <w:vMerge w:val="continue"/>
            <w:tcBorders>
              <w:left w:val="single" w:color="auto" w:sz="4" w:space="0"/>
              <w:right w:val="single" w:color="auto" w:sz="4" w:space="0"/>
            </w:tcBorders>
            <w:vAlign w:val="center"/>
          </w:tcPr>
          <w:p w14:paraId="134F9383">
            <w:pPr>
              <w:jc w:val="center"/>
              <w:rPr>
                <w:rFonts w:ascii="Times New Roman" w:hAnsi="Times New Roman" w:eastAsia="宋体" w:cs="Times New Roman"/>
                <w:color w:val="auto"/>
                <w:szCs w:val="21"/>
              </w:rPr>
            </w:pPr>
          </w:p>
        </w:tc>
        <w:tc>
          <w:tcPr>
            <w:tcW w:w="260" w:type="pct"/>
            <w:vMerge w:val="continue"/>
            <w:tcBorders>
              <w:left w:val="single" w:color="auto" w:sz="4" w:space="0"/>
              <w:right w:val="single" w:color="auto" w:sz="4" w:space="0"/>
            </w:tcBorders>
            <w:vAlign w:val="center"/>
          </w:tcPr>
          <w:p w14:paraId="6EDACBB9">
            <w:pPr>
              <w:jc w:val="center"/>
              <w:rPr>
                <w:rFonts w:ascii="Times New Roman" w:hAnsi="Times New Roman" w:eastAsia="宋体" w:cs="Times New Roman"/>
                <w:color w:val="auto"/>
                <w:szCs w:val="21"/>
              </w:rPr>
            </w:pPr>
          </w:p>
        </w:tc>
        <w:tc>
          <w:tcPr>
            <w:tcW w:w="399" w:type="pct"/>
            <w:tcBorders>
              <w:top w:val="single" w:color="auto" w:sz="4" w:space="0"/>
              <w:left w:val="single" w:color="auto" w:sz="4" w:space="0"/>
              <w:bottom w:val="single" w:color="auto" w:sz="4" w:space="0"/>
              <w:right w:val="single" w:color="auto" w:sz="4" w:space="0"/>
            </w:tcBorders>
            <w:shd w:val="clear" w:color="auto" w:fill="auto"/>
            <w:vAlign w:val="center"/>
          </w:tcPr>
          <w:p w14:paraId="5AC66ED1">
            <w:pPr>
              <w:jc w:val="center"/>
              <w:rPr>
                <w:rFonts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rPr>
              <w:t>氨气</w:t>
            </w:r>
          </w:p>
        </w:tc>
        <w:tc>
          <w:tcPr>
            <w:tcW w:w="472" w:type="pct"/>
            <w:tcBorders>
              <w:top w:val="single" w:color="auto" w:sz="4" w:space="0"/>
              <w:left w:val="single" w:color="auto" w:sz="4" w:space="0"/>
              <w:bottom w:val="single" w:color="auto" w:sz="4" w:space="0"/>
              <w:right w:val="single" w:color="auto" w:sz="4" w:space="0"/>
            </w:tcBorders>
            <w:vAlign w:val="center"/>
          </w:tcPr>
          <w:p w14:paraId="09963673">
            <w:pPr>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w:t>
            </w:r>
          </w:p>
        </w:tc>
        <w:tc>
          <w:tcPr>
            <w:tcW w:w="411" w:type="pct"/>
            <w:tcBorders>
              <w:top w:val="single" w:color="auto" w:sz="4" w:space="0"/>
              <w:left w:val="single" w:color="auto" w:sz="4" w:space="0"/>
              <w:bottom w:val="single" w:color="auto" w:sz="4" w:space="0"/>
              <w:right w:val="single" w:color="auto" w:sz="4" w:space="0"/>
            </w:tcBorders>
            <w:vAlign w:val="center"/>
          </w:tcPr>
          <w:p w14:paraId="62B38A2E">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8.7</w:t>
            </w:r>
          </w:p>
        </w:tc>
        <w:tc>
          <w:tcPr>
            <w:tcW w:w="881" w:type="pct"/>
            <w:vMerge w:val="restart"/>
            <w:tcBorders>
              <w:left w:val="single" w:color="auto" w:sz="4" w:space="0"/>
              <w:right w:val="single" w:color="auto" w:sz="4" w:space="0"/>
            </w:tcBorders>
            <w:vAlign w:val="center"/>
          </w:tcPr>
          <w:p w14:paraId="1CC8ED97">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《恶臭污染物排放标准》（GB14554-93）</w:t>
            </w:r>
          </w:p>
        </w:tc>
      </w:tr>
      <w:tr w14:paraId="7E500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292" w:type="pct"/>
            <w:vMerge w:val="continue"/>
            <w:tcBorders>
              <w:left w:val="single" w:color="auto" w:sz="4" w:space="0"/>
              <w:right w:val="single" w:color="auto" w:sz="4" w:space="0"/>
            </w:tcBorders>
            <w:vAlign w:val="center"/>
          </w:tcPr>
          <w:p w14:paraId="7EBB84D7">
            <w:pPr>
              <w:jc w:val="center"/>
              <w:rPr>
                <w:rFonts w:ascii="Times New Roman" w:hAnsi="Times New Roman" w:eastAsia="宋体" w:cs="Times New Roman"/>
                <w:color w:val="auto"/>
                <w:szCs w:val="21"/>
              </w:rPr>
            </w:pPr>
          </w:p>
        </w:tc>
        <w:tc>
          <w:tcPr>
            <w:tcW w:w="343" w:type="pct"/>
            <w:vMerge w:val="continue"/>
            <w:tcBorders>
              <w:left w:val="single" w:color="auto" w:sz="4" w:space="0"/>
              <w:right w:val="single" w:color="auto" w:sz="4" w:space="0"/>
            </w:tcBorders>
            <w:vAlign w:val="center"/>
          </w:tcPr>
          <w:p w14:paraId="7AE431ED">
            <w:pPr>
              <w:jc w:val="center"/>
              <w:rPr>
                <w:rFonts w:ascii="Times New Roman" w:hAnsi="Times New Roman" w:eastAsia="宋体" w:cs="Times New Roman"/>
                <w:color w:val="auto"/>
                <w:szCs w:val="21"/>
              </w:rPr>
            </w:pPr>
          </w:p>
        </w:tc>
        <w:tc>
          <w:tcPr>
            <w:tcW w:w="785" w:type="pct"/>
            <w:vMerge w:val="continue"/>
            <w:tcBorders>
              <w:left w:val="single" w:color="auto" w:sz="4" w:space="0"/>
              <w:right w:val="single" w:color="auto" w:sz="4" w:space="0"/>
            </w:tcBorders>
            <w:vAlign w:val="center"/>
          </w:tcPr>
          <w:p w14:paraId="1F5C3AD3">
            <w:pPr>
              <w:jc w:val="center"/>
              <w:rPr>
                <w:rFonts w:ascii="Times New Roman" w:hAnsi="Times New Roman" w:eastAsia="宋体" w:cs="Times New Roman"/>
                <w:color w:val="auto"/>
                <w:szCs w:val="21"/>
              </w:rPr>
            </w:pPr>
          </w:p>
        </w:tc>
        <w:tc>
          <w:tcPr>
            <w:tcW w:w="285" w:type="pct"/>
            <w:vMerge w:val="continue"/>
            <w:tcBorders>
              <w:left w:val="single" w:color="auto" w:sz="4" w:space="0"/>
              <w:right w:val="single" w:color="auto" w:sz="4" w:space="0"/>
            </w:tcBorders>
            <w:vAlign w:val="center"/>
          </w:tcPr>
          <w:p w14:paraId="30496F85">
            <w:pPr>
              <w:jc w:val="center"/>
              <w:rPr>
                <w:rFonts w:ascii="Times New Roman" w:hAnsi="Times New Roman" w:eastAsia="宋体" w:cs="Times New Roman"/>
                <w:color w:val="auto"/>
                <w:szCs w:val="21"/>
              </w:rPr>
            </w:pPr>
          </w:p>
        </w:tc>
        <w:tc>
          <w:tcPr>
            <w:tcW w:w="255" w:type="pct"/>
            <w:vMerge w:val="continue"/>
            <w:tcBorders>
              <w:left w:val="single" w:color="auto" w:sz="4" w:space="0"/>
              <w:right w:val="single" w:color="auto" w:sz="4" w:space="0"/>
            </w:tcBorders>
            <w:vAlign w:val="center"/>
          </w:tcPr>
          <w:p w14:paraId="0C480402">
            <w:pPr>
              <w:jc w:val="center"/>
              <w:rPr>
                <w:rFonts w:ascii="Times New Roman" w:hAnsi="Times New Roman" w:eastAsia="宋体" w:cs="Times New Roman"/>
                <w:color w:val="auto"/>
                <w:szCs w:val="21"/>
              </w:rPr>
            </w:pPr>
          </w:p>
        </w:tc>
        <w:tc>
          <w:tcPr>
            <w:tcW w:w="614" w:type="pct"/>
            <w:vMerge w:val="continue"/>
            <w:tcBorders>
              <w:left w:val="single" w:color="auto" w:sz="4" w:space="0"/>
              <w:right w:val="single" w:color="auto" w:sz="4" w:space="0"/>
            </w:tcBorders>
            <w:vAlign w:val="center"/>
          </w:tcPr>
          <w:p w14:paraId="41CE672A">
            <w:pPr>
              <w:jc w:val="center"/>
              <w:rPr>
                <w:rFonts w:ascii="Times New Roman" w:hAnsi="Times New Roman" w:eastAsia="宋体" w:cs="Times New Roman"/>
                <w:color w:val="auto"/>
                <w:szCs w:val="21"/>
              </w:rPr>
            </w:pPr>
          </w:p>
        </w:tc>
        <w:tc>
          <w:tcPr>
            <w:tcW w:w="260" w:type="pct"/>
            <w:vMerge w:val="continue"/>
            <w:tcBorders>
              <w:left w:val="single" w:color="auto" w:sz="4" w:space="0"/>
              <w:right w:val="single" w:color="auto" w:sz="4" w:space="0"/>
            </w:tcBorders>
            <w:vAlign w:val="center"/>
          </w:tcPr>
          <w:p w14:paraId="26589711">
            <w:pPr>
              <w:jc w:val="center"/>
              <w:rPr>
                <w:rFonts w:ascii="Times New Roman" w:hAnsi="Times New Roman" w:eastAsia="宋体" w:cs="Times New Roman"/>
                <w:color w:val="auto"/>
                <w:szCs w:val="21"/>
              </w:rPr>
            </w:pPr>
          </w:p>
        </w:tc>
        <w:tc>
          <w:tcPr>
            <w:tcW w:w="399" w:type="pct"/>
            <w:vMerge w:val="restart"/>
            <w:tcBorders>
              <w:top w:val="single" w:color="auto" w:sz="4" w:space="0"/>
              <w:left w:val="single" w:color="auto" w:sz="4" w:space="0"/>
              <w:right w:val="single" w:color="auto" w:sz="4" w:space="0"/>
            </w:tcBorders>
            <w:shd w:val="clear" w:color="auto" w:fill="auto"/>
            <w:vAlign w:val="center"/>
          </w:tcPr>
          <w:p w14:paraId="2FA834BA">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臭气浓度</w:t>
            </w:r>
          </w:p>
        </w:tc>
        <w:tc>
          <w:tcPr>
            <w:tcW w:w="472" w:type="pct"/>
            <w:vMerge w:val="restart"/>
            <w:tcBorders>
              <w:top w:val="single" w:color="auto" w:sz="4" w:space="0"/>
              <w:left w:val="single" w:color="auto" w:sz="4" w:space="0"/>
              <w:right w:val="single" w:color="auto" w:sz="4" w:space="0"/>
            </w:tcBorders>
            <w:vAlign w:val="center"/>
          </w:tcPr>
          <w:p w14:paraId="62FB9D55">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6000（无量纲）</w:t>
            </w:r>
          </w:p>
        </w:tc>
        <w:tc>
          <w:tcPr>
            <w:tcW w:w="411" w:type="pct"/>
            <w:vMerge w:val="restart"/>
            <w:tcBorders>
              <w:top w:val="single" w:color="auto" w:sz="4" w:space="0"/>
              <w:left w:val="single" w:color="auto" w:sz="4" w:space="0"/>
              <w:right w:val="single" w:color="auto" w:sz="4" w:space="0"/>
            </w:tcBorders>
            <w:vAlign w:val="center"/>
          </w:tcPr>
          <w:p w14:paraId="69CFB6F2">
            <w:pPr>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w:t>
            </w:r>
          </w:p>
        </w:tc>
        <w:tc>
          <w:tcPr>
            <w:tcW w:w="881" w:type="pct"/>
            <w:vMerge w:val="continue"/>
            <w:tcBorders>
              <w:left w:val="single" w:color="auto" w:sz="4" w:space="0"/>
              <w:right w:val="single" w:color="auto" w:sz="4" w:space="0"/>
            </w:tcBorders>
            <w:vAlign w:val="center"/>
          </w:tcPr>
          <w:p w14:paraId="60AA3F6C">
            <w:pPr>
              <w:jc w:val="center"/>
              <w:rPr>
                <w:rFonts w:ascii="Times New Roman" w:hAnsi="Times New Roman" w:eastAsia="宋体" w:cs="Times New Roman"/>
                <w:color w:val="auto"/>
                <w:szCs w:val="21"/>
              </w:rPr>
            </w:pPr>
          </w:p>
        </w:tc>
      </w:tr>
      <w:tr w14:paraId="1A6D1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92" w:type="pct"/>
            <w:tcBorders>
              <w:top w:val="single" w:color="auto" w:sz="4" w:space="0"/>
              <w:left w:val="single" w:color="auto" w:sz="4" w:space="0"/>
              <w:bottom w:val="single" w:color="auto" w:sz="4" w:space="0"/>
              <w:right w:val="single" w:color="auto" w:sz="4" w:space="0"/>
            </w:tcBorders>
            <w:vAlign w:val="center"/>
          </w:tcPr>
          <w:p w14:paraId="5F14390D">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干燥废气</w:t>
            </w:r>
          </w:p>
        </w:tc>
        <w:tc>
          <w:tcPr>
            <w:tcW w:w="343" w:type="pct"/>
            <w:tcBorders>
              <w:top w:val="single" w:color="auto" w:sz="4" w:space="0"/>
              <w:left w:val="single" w:color="auto" w:sz="4" w:space="0"/>
              <w:bottom w:val="single" w:color="auto" w:sz="4" w:space="0"/>
              <w:right w:val="single" w:color="auto" w:sz="4" w:space="0"/>
            </w:tcBorders>
            <w:vAlign w:val="center"/>
          </w:tcPr>
          <w:p w14:paraId="25DD8875">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干燥器</w:t>
            </w:r>
          </w:p>
        </w:tc>
        <w:tc>
          <w:tcPr>
            <w:tcW w:w="785" w:type="pct"/>
            <w:tcBorders>
              <w:top w:val="single" w:color="auto" w:sz="4" w:space="0"/>
              <w:left w:val="single" w:color="auto" w:sz="4" w:space="0"/>
              <w:bottom w:val="single" w:color="auto" w:sz="4" w:space="0"/>
              <w:right w:val="single" w:color="auto" w:sz="4" w:space="0"/>
            </w:tcBorders>
            <w:vAlign w:val="center"/>
          </w:tcPr>
          <w:p w14:paraId="3EC8B716">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碱喷淋+集中式生物除臭+2</w:t>
            </w:r>
            <w:r>
              <w:rPr>
                <w:rFonts w:hint="eastAsia" w:ascii="Times New Roman" w:hAnsi="Times New Roman" w:eastAsia="宋体" w:cs="Times New Roman"/>
                <w:color w:val="auto"/>
                <w:szCs w:val="21"/>
                <w:lang w:val="en-US" w:eastAsia="zh-CN"/>
              </w:rPr>
              <w:t>1</w:t>
            </w:r>
            <w:r>
              <w:rPr>
                <w:rFonts w:hint="eastAsia" w:ascii="Times New Roman" w:hAnsi="Times New Roman" w:eastAsia="宋体" w:cs="Times New Roman"/>
                <w:color w:val="auto"/>
                <w:szCs w:val="21"/>
              </w:rPr>
              <w:t>m排气筒。</w:t>
            </w:r>
          </w:p>
        </w:tc>
        <w:tc>
          <w:tcPr>
            <w:tcW w:w="285" w:type="pct"/>
            <w:vMerge w:val="continue"/>
            <w:tcBorders>
              <w:left w:val="single" w:color="auto" w:sz="4" w:space="0"/>
              <w:bottom w:val="single" w:color="auto" w:sz="4" w:space="0"/>
              <w:right w:val="single" w:color="auto" w:sz="4" w:space="0"/>
            </w:tcBorders>
            <w:vAlign w:val="center"/>
          </w:tcPr>
          <w:p w14:paraId="3524A4E1">
            <w:pPr>
              <w:jc w:val="center"/>
              <w:rPr>
                <w:rFonts w:ascii="Times New Roman" w:hAnsi="Times New Roman" w:eastAsia="宋体" w:cs="Times New Roman"/>
                <w:color w:val="auto"/>
                <w:szCs w:val="21"/>
              </w:rPr>
            </w:pPr>
          </w:p>
        </w:tc>
        <w:tc>
          <w:tcPr>
            <w:tcW w:w="255" w:type="pct"/>
            <w:vMerge w:val="continue"/>
            <w:tcBorders>
              <w:left w:val="single" w:color="auto" w:sz="4" w:space="0"/>
              <w:bottom w:val="single" w:color="auto" w:sz="4" w:space="0"/>
              <w:right w:val="single" w:color="auto" w:sz="4" w:space="0"/>
            </w:tcBorders>
            <w:vAlign w:val="center"/>
          </w:tcPr>
          <w:p w14:paraId="59D61611">
            <w:pPr>
              <w:jc w:val="center"/>
              <w:rPr>
                <w:rFonts w:ascii="Times New Roman" w:hAnsi="Times New Roman" w:eastAsia="宋体" w:cs="Times New Roman"/>
                <w:color w:val="auto"/>
                <w:szCs w:val="21"/>
              </w:rPr>
            </w:pPr>
          </w:p>
        </w:tc>
        <w:tc>
          <w:tcPr>
            <w:tcW w:w="614" w:type="pct"/>
            <w:vMerge w:val="continue"/>
            <w:tcBorders>
              <w:left w:val="single" w:color="auto" w:sz="4" w:space="0"/>
              <w:bottom w:val="single" w:color="auto" w:sz="4" w:space="0"/>
              <w:right w:val="single" w:color="auto" w:sz="4" w:space="0"/>
            </w:tcBorders>
            <w:vAlign w:val="center"/>
          </w:tcPr>
          <w:p w14:paraId="05196B36">
            <w:pPr>
              <w:jc w:val="center"/>
              <w:rPr>
                <w:rFonts w:ascii="Times New Roman" w:hAnsi="Times New Roman" w:eastAsia="宋体" w:cs="Times New Roman"/>
                <w:color w:val="auto"/>
                <w:szCs w:val="21"/>
              </w:rPr>
            </w:pPr>
          </w:p>
        </w:tc>
        <w:tc>
          <w:tcPr>
            <w:tcW w:w="260" w:type="pct"/>
            <w:vMerge w:val="continue"/>
            <w:tcBorders>
              <w:left w:val="single" w:color="auto" w:sz="4" w:space="0"/>
              <w:bottom w:val="single" w:color="auto" w:sz="4" w:space="0"/>
              <w:right w:val="single" w:color="auto" w:sz="4" w:space="0"/>
            </w:tcBorders>
            <w:vAlign w:val="center"/>
          </w:tcPr>
          <w:p w14:paraId="3B32B2B6">
            <w:pPr>
              <w:jc w:val="center"/>
              <w:rPr>
                <w:rFonts w:ascii="Times New Roman" w:hAnsi="Times New Roman" w:eastAsia="宋体" w:cs="Times New Roman"/>
                <w:color w:val="auto"/>
                <w:szCs w:val="21"/>
              </w:rPr>
            </w:pPr>
          </w:p>
        </w:tc>
        <w:tc>
          <w:tcPr>
            <w:tcW w:w="399" w:type="pct"/>
            <w:vMerge w:val="continue"/>
            <w:tcBorders>
              <w:left w:val="single" w:color="auto" w:sz="4" w:space="0"/>
              <w:right w:val="single" w:color="auto" w:sz="4" w:space="0"/>
            </w:tcBorders>
            <w:vAlign w:val="center"/>
          </w:tcPr>
          <w:p w14:paraId="22FEBD85">
            <w:pPr>
              <w:jc w:val="center"/>
              <w:rPr>
                <w:rFonts w:ascii="Times New Roman" w:hAnsi="Times New Roman" w:eastAsia="宋体" w:cs="Times New Roman"/>
                <w:color w:val="auto"/>
                <w:szCs w:val="21"/>
              </w:rPr>
            </w:pPr>
          </w:p>
        </w:tc>
        <w:tc>
          <w:tcPr>
            <w:tcW w:w="472" w:type="pct"/>
            <w:vMerge w:val="continue"/>
            <w:tcBorders>
              <w:left w:val="single" w:color="auto" w:sz="4" w:space="0"/>
              <w:right w:val="single" w:color="auto" w:sz="4" w:space="0"/>
            </w:tcBorders>
            <w:vAlign w:val="center"/>
          </w:tcPr>
          <w:p w14:paraId="21B96325">
            <w:pPr>
              <w:jc w:val="center"/>
              <w:rPr>
                <w:rFonts w:ascii="Times New Roman" w:hAnsi="Times New Roman" w:eastAsia="宋体" w:cs="Times New Roman"/>
                <w:color w:val="auto"/>
                <w:szCs w:val="21"/>
              </w:rPr>
            </w:pPr>
          </w:p>
        </w:tc>
        <w:tc>
          <w:tcPr>
            <w:tcW w:w="411" w:type="pct"/>
            <w:vMerge w:val="continue"/>
            <w:tcBorders>
              <w:left w:val="single" w:color="auto" w:sz="4" w:space="0"/>
              <w:right w:val="single" w:color="auto" w:sz="4" w:space="0"/>
            </w:tcBorders>
            <w:vAlign w:val="center"/>
          </w:tcPr>
          <w:p w14:paraId="601D5563">
            <w:pPr>
              <w:jc w:val="center"/>
              <w:rPr>
                <w:rFonts w:ascii="Times New Roman" w:hAnsi="Times New Roman" w:eastAsia="宋体" w:cs="Times New Roman"/>
                <w:color w:val="auto"/>
                <w:szCs w:val="21"/>
              </w:rPr>
            </w:pPr>
          </w:p>
        </w:tc>
        <w:tc>
          <w:tcPr>
            <w:tcW w:w="881" w:type="pct"/>
            <w:vMerge w:val="continue"/>
            <w:tcBorders>
              <w:left w:val="single" w:color="auto" w:sz="4" w:space="0"/>
              <w:right w:val="single" w:color="auto" w:sz="4" w:space="0"/>
            </w:tcBorders>
            <w:vAlign w:val="center"/>
          </w:tcPr>
          <w:p w14:paraId="606193B9">
            <w:pPr>
              <w:jc w:val="center"/>
              <w:rPr>
                <w:rFonts w:ascii="Times New Roman" w:hAnsi="Times New Roman" w:eastAsia="宋体" w:cs="Times New Roman"/>
                <w:color w:val="auto"/>
                <w:szCs w:val="21"/>
              </w:rPr>
            </w:pPr>
          </w:p>
        </w:tc>
      </w:tr>
      <w:tr w14:paraId="42E55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92" w:type="pct"/>
            <w:vMerge w:val="restart"/>
            <w:tcBorders>
              <w:top w:val="single" w:color="auto" w:sz="4" w:space="0"/>
              <w:left w:val="single" w:color="auto" w:sz="4" w:space="0"/>
              <w:right w:val="single" w:color="auto" w:sz="4" w:space="0"/>
            </w:tcBorders>
            <w:vAlign w:val="center"/>
          </w:tcPr>
          <w:p w14:paraId="6C667095">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污水处理站废气</w:t>
            </w:r>
          </w:p>
        </w:tc>
        <w:tc>
          <w:tcPr>
            <w:tcW w:w="343" w:type="pct"/>
            <w:vMerge w:val="restart"/>
            <w:tcBorders>
              <w:top w:val="single" w:color="auto" w:sz="4" w:space="0"/>
              <w:left w:val="single" w:color="auto" w:sz="4" w:space="0"/>
              <w:right w:val="single" w:color="auto" w:sz="4" w:space="0"/>
            </w:tcBorders>
            <w:vAlign w:val="center"/>
          </w:tcPr>
          <w:p w14:paraId="712032CF">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污水处理站、危废暂存间</w:t>
            </w:r>
          </w:p>
        </w:tc>
        <w:tc>
          <w:tcPr>
            <w:tcW w:w="785" w:type="pct"/>
            <w:vMerge w:val="restart"/>
            <w:tcBorders>
              <w:top w:val="single" w:color="auto" w:sz="4" w:space="0"/>
              <w:left w:val="single" w:color="auto" w:sz="4" w:space="0"/>
              <w:right w:val="single" w:color="auto" w:sz="4" w:space="0"/>
            </w:tcBorders>
            <w:vAlign w:val="center"/>
          </w:tcPr>
          <w:p w14:paraId="79BA3E69">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rPr>
              <w:t>碱喷淋塔+水喷淋塔+生物除臭处理设施</w:t>
            </w:r>
            <w:r>
              <w:rPr>
                <w:rFonts w:hint="eastAsia" w:ascii="Times New Roman" w:hAnsi="Times New Roman" w:eastAsia="宋体" w:cs="Times New Roman"/>
                <w:color w:val="auto"/>
                <w:szCs w:val="21"/>
                <w:lang w:val="en-US" w:eastAsia="zh-CN"/>
              </w:rPr>
              <w:t>+20m</w:t>
            </w:r>
          </w:p>
        </w:tc>
        <w:tc>
          <w:tcPr>
            <w:tcW w:w="285" w:type="pct"/>
            <w:vMerge w:val="restart"/>
            <w:tcBorders>
              <w:left w:val="single" w:color="auto" w:sz="4" w:space="0"/>
              <w:right w:val="single" w:color="auto" w:sz="4" w:space="0"/>
            </w:tcBorders>
            <w:vAlign w:val="center"/>
          </w:tcPr>
          <w:p w14:paraId="4C5A97E6">
            <w:pPr>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有组织</w:t>
            </w:r>
          </w:p>
        </w:tc>
        <w:tc>
          <w:tcPr>
            <w:tcW w:w="255" w:type="pct"/>
            <w:vMerge w:val="restart"/>
            <w:tcBorders>
              <w:left w:val="single" w:color="auto" w:sz="4" w:space="0"/>
              <w:right w:val="single" w:color="auto" w:sz="4" w:space="0"/>
            </w:tcBorders>
            <w:vAlign w:val="center"/>
          </w:tcPr>
          <w:p w14:paraId="700913D1">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DA002</w:t>
            </w:r>
          </w:p>
        </w:tc>
        <w:tc>
          <w:tcPr>
            <w:tcW w:w="614" w:type="pct"/>
            <w:vMerge w:val="restart"/>
            <w:tcBorders>
              <w:left w:val="single" w:color="auto" w:sz="4" w:space="0"/>
              <w:right w:val="single" w:color="auto" w:sz="4" w:space="0"/>
            </w:tcBorders>
            <w:vAlign w:val="center"/>
          </w:tcPr>
          <w:p w14:paraId="4286B399">
            <w:pPr>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经度：111度 52分 41.34秒</w:t>
            </w:r>
          </w:p>
          <w:p w14:paraId="6B0D9B50">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纬度：29度 33分 29.92秒</w:t>
            </w:r>
          </w:p>
        </w:tc>
        <w:tc>
          <w:tcPr>
            <w:tcW w:w="260" w:type="pct"/>
            <w:vMerge w:val="restart"/>
            <w:tcBorders>
              <w:left w:val="single" w:color="auto" w:sz="4" w:space="0"/>
              <w:right w:val="single" w:color="auto" w:sz="4" w:space="0"/>
            </w:tcBorders>
            <w:vAlign w:val="center"/>
          </w:tcPr>
          <w:p w14:paraId="0941E7CE">
            <w:pPr>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w:t>
            </w:r>
          </w:p>
        </w:tc>
        <w:tc>
          <w:tcPr>
            <w:tcW w:w="399" w:type="pct"/>
            <w:tcBorders>
              <w:left w:val="single" w:color="auto" w:sz="4" w:space="0"/>
              <w:right w:val="single" w:color="auto" w:sz="4" w:space="0"/>
            </w:tcBorders>
            <w:shd w:val="clear" w:color="auto" w:fill="auto"/>
            <w:vAlign w:val="center"/>
          </w:tcPr>
          <w:p w14:paraId="28067A6E">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非甲烷总烃</w:t>
            </w:r>
          </w:p>
        </w:tc>
        <w:tc>
          <w:tcPr>
            <w:tcW w:w="472" w:type="pct"/>
            <w:tcBorders>
              <w:left w:val="single" w:color="auto" w:sz="4" w:space="0"/>
              <w:right w:val="single" w:color="auto" w:sz="4" w:space="0"/>
            </w:tcBorders>
            <w:vAlign w:val="center"/>
          </w:tcPr>
          <w:p w14:paraId="4FA88B28">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120</w:t>
            </w:r>
          </w:p>
        </w:tc>
        <w:tc>
          <w:tcPr>
            <w:tcW w:w="411" w:type="pct"/>
            <w:tcBorders>
              <w:left w:val="single" w:color="auto" w:sz="4" w:space="0"/>
              <w:right w:val="single" w:color="auto" w:sz="4" w:space="0"/>
            </w:tcBorders>
            <w:vAlign w:val="center"/>
          </w:tcPr>
          <w:p w14:paraId="674951FB">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17</w:t>
            </w:r>
          </w:p>
        </w:tc>
        <w:tc>
          <w:tcPr>
            <w:tcW w:w="881" w:type="pct"/>
            <w:tcBorders>
              <w:left w:val="single" w:color="auto" w:sz="4" w:space="0"/>
              <w:right w:val="single" w:color="auto" w:sz="4" w:space="0"/>
            </w:tcBorders>
            <w:vAlign w:val="center"/>
          </w:tcPr>
          <w:p w14:paraId="57FF5FA7">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《大气污染物综合排放标准》（GB16297-1996）</w:t>
            </w:r>
          </w:p>
        </w:tc>
      </w:tr>
      <w:tr w14:paraId="5114C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92" w:type="pct"/>
            <w:vMerge w:val="continue"/>
            <w:tcBorders>
              <w:left w:val="single" w:color="auto" w:sz="4" w:space="0"/>
              <w:right w:val="single" w:color="auto" w:sz="4" w:space="0"/>
            </w:tcBorders>
            <w:vAlign w:val="center"/>
          </w:tcPr>
          <w:p w14:paraId="3C5705B3">
            <w:pPr>
              <w:jc w:val="center"/>
              <w:rPr>
                <w:rFonts w:hint="eastAsia" w:ascii="Times New Roman" w:hAnsi="Times New Roman" w:eastAsia="宋体" w:cs="Times New Roman"/>
                <w:color w:val="auto"/>
                <w:szCs w:val="21"/>
                <w:lang w:val="en-US" w:eastAsia="zh-CN"/>
              </w:rPr>
            </w:pPr>
          </w:p>
        </w:tc>
        <w:tc>
          <w:tcPr>
            <w:tcW w:w="343" w:type="pct"/>
            <w:vMerge w:val="continue"/>
            <w:tcBorders>
              <w:left w:val="single" w:color="auto" w:sz="4" w:space="0"/>
              <w:right w:val="single" w:color="auto" w:sz="4" w:space="0"/>
            </w:tcBorders>
            <w:vAlign w:val="center"/>
          </w:tcPr>
          <w:p w14:paraId="0FE73815">
            <w:pPr>
              <w:jc w:val="center"/>
              <w:rPr>
                <w:rFonts w:hint="eastAsia" w:ascii="Times New Roman" w:hAnsi="Times New Roman" w:eastAsia="宋体" w:cs="Times New Roman"/>
                <w:color w:val="auto"/>
                <w:szCs w:val="21"/>
                <w:lang w:val="en-US" w:eastAsia="zh-CN"/>
              </w:rPr>
            </w:pPr>
          </w:p>
        </w:tc>
        <w:tc>
          <w:tcPr>
            <w:tcW w:w="785" w:type="pct"/>
            <w:vMerge w:val="continue"/>
            <w:tcBorders>
              <w:left w:val="single" w:color="auto" w:sz="4" w:space="0"/>
              <w:right w:val="single" w:color="auto" w:sz="4" w:space="0"/>
            </w:tcBorders>
            <w:vAlign w:val="center"/>
          </w:tcPr>
          <w:p w14:paraId="6B011DB9">
            <w:pPr>
              <w:jc w:val="center"/>
              <w:rPr>
                <w:rFonts w:hint="eastAsia" w:ascii="Times New Roman" w:hAnsi="Times New Roman" w:eastAsia="宋体" w:cs="Times New Roman"/>
                <w:color w:val="auto"/>
                <w:szCs w:val="21"/>
              </w:rPr>
            </w:pPr>
          </w:p>
        </w:tc>
        <w:tc>
          <w:tcPr>
            <w:tcW w:w="285" w:type="pct"/>
            <w:vMerge w:val="continue"/>
            <w:tcBorders>
              <w:left w:val="single" w:color="auto" w:sz="4" w:space="0"/>
              <w:right w:val="single" w:color="auto" w:sz="4" w:space="0"/>
            </w:tcBorders>
            <w:vAlign w:val="center"/>
          </w:tcPr>
          <w:p w14:paraId="274A94F9">
            <w:pPr>
              <w:jc w:val="center"/>
              <w:rPr>
                <w:rFonts w:ascii="Times New Roman" w:hAnsi="Times New Roman" w:eastAsia="宋体" w:cs="Times New Roman"/>
                <w:color w:val="auto"/>
                <w:szCs w:val="21"/>
              </w:rPr>
            </w:pPr>
          </w:p>
        </w:tc>
        <w:tc>
          <w:tcPr>
            <w:tcW w:w="255" w:type="pct"/>
            <w:vMerge w:val="continue"/>
            <w:tcBorders>
              <w:left w:val="single" w:color="auto" w:sz="4" w:space="0"/>
              <w:right w:val="single" w:color="auto" w:sz="4" w:space="0"/>
            </w:tcBorders>
            <w:vAlign w:val="center"/>
          </w:tcPr>
          <w:p w14:paraId="3EBF193C">
            <w:pPr>
              <w:jc w:val="center"/>
              <w:rPr>
                <w:rFonts w:ascii="Times New Roman" w:hAnsi="Times New Roman" w:eastAsia="宋体" w:cs="Times New Roman"/>
                <w:color w:val="auto"/>
                <w:szCs w:val="21"/>
              </w:rPr>
            </w:pPr>
          </w:p>
        </w:tc>
        <w:tc>
          <w:tcPr>
            <w:tcW w:w="614" w:type="pct"/>
            <w:vMerge w:val="continue"/>
            <w:tcBorders>
              <w:left w:val="single" w:color="auto" w:sz="4" w:space="0"/>
              <w:right w:val="single" w:color="auto" w:sz="4" w:space="0"/>
            </w:tcBorders>
            <w:vAlign w:val="center"/>
          </w:tcPr>
          <w:p w14:paraId="5FF4AF7C">
            <w:pPr>
              <w:jc w:val="center"/>
              <w:rPr>
                <w:rFonts w:ascii="Times New Roman" w:hAnsi="Times New Roman" w:eastAsia="宋体" w:cs="Times New Roman"/>
                <w:color w:val="auto"/>
                <w:szCs w:val="21"/>
              </w:rPr>
            </w:pPr>
          </w:p>
        </w:tc>
        <w:tc>
          <w:tcPr>
            <w:tcW w:w="260" w:type="pct"/>
            <w:vMerge w:val="continue"/>
            <w:tcBorders>
              <w:left w:val="single" w:color="auto" w:sz="4" w:space="0"/>
              <w:right w:val="single" w:color="auto" w:sz="4" w:space="0"/>
            </w:tcBorders>
            <w:vAlign w:val="center"/>
          </w:tcPr>
          <w:p w14:paraId="23D5AF25">
            <w:pPr>
              <w:jc w:val="center"/>
              <w:rPr>
                <w:rFonts w:ascii="Times New Roman" w:hAnsi="Times New Roman" w:eastAsia="宋体" w:cs="Times New Roman"/>
                <w:color w:val="auto"/>
                <w:szCs w:val="21"/>
              </w:rPr>
            </w:pPr>
          </w:p>
        </w:tc>
        <w:tc>
          <w:tcPr>
            <w:tcW w:w="399" w:type="pct"/>
            <w:tcBorders>
              <w:left w:val="single" w:color="auto" w:sz="4" w:space="0"/>
              <w:right w:val="single" w:color="auto" w:sz="4" w:space="0"/>
            </w:tcBorders>
            <w:shd w:val="clear" w:color="auto" w:fill="auto"/>
            <w:vAlign w:val="center"/>
          </w:tcPr>
          <w:p w14:paraId="7140D9DD">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氨气</w:t>
            </w:r>
          </w:p>
        </w:tc>
        <w:tc>
          <w:tcPr>
            <w:tcW w:w="472" w:type="pct"/>
            <w:tcBorders>
              <w:left w:val="single" w:color="auto" w:sz="4" w:space="0"/>
              <w:right w:val="single" w:color="auto" w:sz="4" w:space="0"/>
            </w:tcBorders>
            <w:vAlign w:val="center"/>
          </w:tcPr>
          <w:p w14:paraId="66B793B3">
            <w:pPr>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w:t>
            </w:r>
          </w:p>
        </w:tc>
        <w:tc>
          <w:tcPr>
            <w:tcW w:w="411" w:type="pct"/>
            <w:tcBorders>
              <w:left w:val="single" w:color="auto" w:sz="4" w:space="0"/>
              <w:right w:val="single" w:color="auto" w:sz="4" w:space="0"/>
            </w:tcBorders>
            <w:vAlign w:val="center"/>
          </w:tcPr>
          <w:p w14:paraId="0F806B2D">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8.7</w:t>
            </w:r>
          </w:p>
        </w:tc>
        <w:tc>
          <w:tcPr>
            <w:tcW w:w="881" w:type="pct"/>
            <w:vMerge w:val="restart"/>
            <w:tcBorders>
              <w:left w:val="single" w:color="auto" w:sz="4" w:space="0"/>
              <w:right w:val="single" w:color="auto" w:sz="4" w:space="0"/>
            </w:tcBorders>
            <w:vAlign w:val="center"/>
          </w:tcPr>
          <w:p w14:paraId="21360D44">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《恶臭污染物排放标准》（GB14554-93）</w:t>
            </w:r>
          </w:p>
        </w:tc>
      </w:tr>
      <w:tr w14:paraId="125EE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92" w:type="pct"/>
            <w:vMerge w:val="continue"/>
            <w:tcBorders>
              <w:left w:val="single" w:color="auto" w:sz="4" w:space="0"/>
              <w:right w:val="single" w:color="auto" w:sz="4" w:space="0"/>
            </w:tcBorders>
            <w:vAlign w:val="center"/>
          </w:tcPr>
          <w:p w14:paraId="4A763FF5">
            <w:pPr>
              <w:jc w:val="center"/>
              <w:rPr>
                <w:rFonts w:hint="eastAsia" w:ascii="Times New Roman" w:hAnsi="Times New Roman" w:eastAsia="宋体" w:cs="Times New Roman"/>
                <w:color w:val="auto"/>
                <w:szCs w:val="21"/>
                <w:lang w:val="en-US" w:eastAsia="zh-CN"/>
              </w:rPr>
            </w:pPr>
          </w:p>
        </w:tc>
        <w:tc>
          <w:tcPr>
            <w:tcW w:w="343" w:type="pct"/>
            <w:vMerge w:val="continue"/>
            <w:tcBorders>
              <w:left w:val="single" w:color="auto" w:sz="4" w:space="0"/>
              <w:right w:val="single" w:color="auto" w:sz="4" w:space="0"/>
            </w:tcBorders>
            <w:vAlign w:val="center"/>
          </w:tcPr>
          <w:p w14:paraId="35CD6352">
            <w:pPr>
              <w:jc w:val="center"/>
              <w:rPr>
                <w:rFonts w:hint="eastAsia" w:ascii="Times New Roman" w:hAnsi="Times New Roman" w:eastAsia="宋体" w:cs="Times New Roman"/>
                <w:color w:val="auto"/>
                <w:szCs w:val="21"/>
                <w:lang w:val="en-US" w:eastAsia="zh-CN"/>
              </w:rPr>
            </w:pPr>
          </w:p>
        </w:tc>
        <w:tc>
          <w:tcPr>
            <w:tcW w:w="785" w:type="pct"/>
            <w:vMerge w:val="continue"/>
            <w:tcBorders>
              <w:left w:val="single" w:color="auto" w:sz="4" w:space="0"/>
              <w:right w:val="single" w:color="auto" w:sz="4" w:space="0"/>
            </w:tcBorders>
            <w:vAlign w:val="center"/>
          </w:tcPr>
          <w:p w14:paraId="684CC015">
            <w:pPr>
              <w:jc w:val="center"/>
              <w:rPr>
                <w:rFonts w:hint="eastAsia" w:ascii="Times New Roman" w:hAnsi="Times New Roman" w:eastAsia="宋体" w:cs="Times New Roman"/>
                <w:color w:val="auto"/>
                <w:szCs w:val="21"/>
              </w:rPr>
            </w:pPr>
          </w:p>
        </w:tc>
        <w:tc>
          <w:tcPr>
            <w:tcW w:w="285" w:type="pct"/>
            <w:vMerge w:val="continue"/>
            <w:tcBorders>
              <w:left w:val="single" w:color="auto" w:sz="4" w:space="0"/>
              <w:right w:val="single" w:color="auto" w:sz="4" w:space="0"/>
            </w:tcBorders>
            <w:vAlign w:val="center"/>
          </w:tcPr>
          <w:p w14:paraId="64C61344">
            <w:pPr>
              <w:jc w:val="center"/>
              <w:rPr>
                <w:rFonts w:ascii="Times New Roman" w:hAnsi="Times New Roman" w:eastAsia="宋体" w:cs="Times New Roman"/>
                <w:color w:val="auto"/>
                <w:szCs w:val="21"/>
              </w:rPr>
            </w:pPr>
          </w:p>
        </w:tc>
        <w:tc>
          <w:tcPr>
            <w:tcW w:w="255" w:type="pct"/>
            <w:vMerge w:val="continue"/>
            <w:tcBorders>
              <w:left w:val="single" w:color="auto" w:sz="4" w:space="0"/>
              <w:right w:val="single" w:color="auto" w:sz="4" w:space="0"/>
            </w:tcBorders>
            <w:vAlign w:val="center"/>
          </w:tcPr>
          <w:p w14:paraId="4DBFAE57">
            <w:pPr>
              <w:jc w:val="center"/>
              <w:rPr>
                <w:rFonts w:ascii="Times New Roman" w:hAnsi="Times New Roman" w:eastAsia="宋体" w:cs="Times New Roman"/>
                <w:color w:val="auto"/>
                <w:szCs w:val="21"/>
              </w:rPr>
            </w:pPr>
          </w:p>
        </w:tc>
        <w:tc>
          <w:tcPr>
            <w:tcW w:w="614" w:type="pct"/>
            <w:vMerge w:val="continue"/>
            <w:tcBorders>
              <w:left w:val="single" w:color="auto" w:sz="4" w:space="0"/>
              <w:right w:val="single" w:color="auto" w:sz="4" w:space="0"/>
            </w:tcBorders>
            <w:vAlign w:val="center"/>
          </w:tcPr>
          <w:p w14:paraId="1A70A745">
            <w:pPr>
              <w:jc w:val="center"/>
              <w:rPr>
                <w:rFonts w:ascii="Times New Roman" w:hAnsi="Times New Roman" w:eastAsia="宋体" w:cs="Times New Roman"/>
                <w:color w:val="auto"/>
                <w:szCs w:val="21"/>
              </w:rPr>
            </w:pPr>
          </w:p>
        </w:tc>
        <w:tc>
          <w:tcPr>
            <w:tcW w:w="260" w:type="pct"/>
            <w:vMerge w:val="continue"/>
            <w:tcBorders>
              <w:left w:val="single" w:color="auto" w:sz="4" w:space="0"/>
              <w:right w:val="single" w:color="auto" w:sz="4" w:space="0"/>
            </w:tcBorders>
            <w:vAlign w:val="center"/>
          </w:tcPr>
          <w:p w14:paraId="2B39B6B9">
            <w:pPr>
              <w:jc w:val="center"/>
              <w:rPr>
                <w:rFonts w:ascii="Times New Roman" w:hAnsi="Times New Roman" w:eastAsia="宋体" w:cs="Times New Roman"/>
                <w:color w:val="auto"/>
                <w:szCs w:val="21"/>
              </w:rPr>
            </w:pPr>
          </w:p>
        </w:tc>
        <w:tc>
          <w:tcPr>
            <w:tcW w:w="399" w:type="pct"/>
            <w:tcBorders>
              <w:left w:val="single" w:color="auto" w:sz="4" w:space="0"/>
              <w:right w:val="single" w:color="auto" w:sz="4" w:space="0"/>
            </w:tcBorders>
            <w:shd w:val="clear" w:color="auto" w:fill="auto"/>
            <w:vAlign w:val="center"/>
          </w:tcPr>
          <w:p w14:paraId="1EC6621F">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硫化氢</w:t>
            </w:r>
          </w:p>
        </w:tc>
        <w:tc>
          <w:tcPr>
            <w:tcW w:w="472" w:type="pct"/>
            <w:tcBorders>
              <w:left w:val="single" w:color="auto" w:sz="4" w:space="0"/>
              <w:right w:val="single" w:color="auto" w:sz="4" w:space="0"/>
            </w:tcBorders>
            <w:vAlign w:val="center"/>
          </w:tcPr>
          <w:p w14:paraId="6863D66A">
            <w:pPr>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w:t>
            </w:r>
          </w:p>
        </w:tc>
        <w:tc>
          <w:tcPr>
            <w:tcW w:w="411" w:type="pct"/>
            <w:tcBorders>
              <w:left w:val="single" w:color="auto" w:sz="4" w:space="0"/>
              <w:right w:val="single" w:color="auto" w:sz="4" w:space="0"/>
            </w:tcBorders>
            <w:vAlign w:val="center"/>
          </w:tcPr>
          <w:p w14:paraId="23B8120E">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0.58</w:t>
            </w:r>
          </w:p>
        </w:tc>
        <w:tc>
          <w:tcPr>
            <w:tcW w:w="881" w:type="pct"/>
            <w:vMerge w:val="continue"/>
            <w:tcBorders>
              <w:left w:val="single" w:color="auto" w:sz="4" w:space="0"/>
              <w:right w:val="single" w:color="auto" w:sz="4" w:space="0"/>
            </w:tcBorders>
            <w:vAlign w:val="center"/>
          </w:tcPr>
          <w:p w14:paraId="0B25E569">
            <w:pPr>
              <w:jc w:val="center"/>
              <w:rPr>
                <w:rFonts w:ascii="Times New Roman" w:hAnsi="Times New Roman" w:eastAsia="宋体" w:cs="Times New Roman"/>
                <w:color w:val="auto"/>
                <w:szCs w:val="21"/>
              </w:rPr>
            </w:pPr>
          </w:p>
        </w:tc>
      </w:tr>
      <w:tr w14:paraId="1905B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92" w:type="pct"/>
            <w:vMerge w:val="continue"/>
            <w:tcBorders>
              <w:left w:val="single" w:color="auto" w:sz="4" w:space="0"/>
              <w:bottom w:val="single" w:color="auto" w:sz="4" w:space="0"/>
              <w:right w:val="single" w:color="auto" w:sz="4" w:space="0"/>
            </w:tcBorders>
            <w:vAlign w:val="center"/>
          </w:tcPr>
          <w:p w14:paraId="2E9481BA">
            <w:pPr>
              <w:jc w:val="center"/>
              <w:rPr>
                <w:rFonts w:hint="eastAsia" w:ascii="Times New Roman" w:hAnsi="Times New Roman" w:eastAsia="宋体" w:cs="Times New Roman"/>
                <w:color w:val="auto"/>
                <w:szCs w:val="21"/>
                <w:lang w:val="en-US" w:eastAsia="zh-CN"/>
              </w:rPr>
            </w:pPr>
          </w:p>
        </w:tc>
        <w:tc>
          <w:tcPr>
            <w:tcW w:w="343" w:type="pct"/>
            <w:vMerge w:val="continue"/>
            <w:tcBorders>
              <w:left w:val="single" w:color="auto" w:sz="4" w:space="0"/>
              <w:bottom w:val="single" w:color="auto" w:sz="4" w:space="0"/>
              <w:right w:val="single" w:color="auto" w:sz="4" w:space="0"/>
            </w:tcBorders>
            <w:vAlign w:val="center"/>
          </w:tcPr>
          <w:p w14:paraId="2F3F2A46">
            <w:pPr>
              <w:jc w:val="center"/>
              <w:rPr>
                <w:rFonts w:hint="eastAsia" w:ascii="Times New Roman" w:hAnsi="Times New Roman" w:eastAsia="宋体" w:cs="Times New Roman"/>
                <w:color w:val="auto"/>
                <w:szCs w:val="21"/>
                <w:lang w:val="en-US" w:eastAsia="zh-CN"/>
              </w:rPr>
            </w:pPr>
          </w:p>
        </w:tc>
        <w:tc>
          <w:tcPr>
            <w:tcW w:w="785" w:type="pct"/>
            <w:vMerge w:val="continue"/>
            <w:tcBorders>
              <w:left w:val="single" w:color="auto" w:sz="4" w:space="0"/>
              <w:bottom w:val="single" w:color="auto" w:sz="4" w:space="0"/>
              <w:right w:val="single" w:color="auto" w:sz="4" w:space="0"/>
            </w:tcBorders>
            <w:vAlign w:val="center"/>
          </w:tcPr>
          <w:p w14:paraId="53E37EAA">
            <w:pPr>
              <w:jc w:val="center"/>
              <w:rPr>
                <w:rFonts w:hint="eastAsia" w:ascii="Times New Roman" w:hAnsi="Times New Roman" w:eastAsia="宋体" w:cs="Times New Roman"/>
                <w:color w:val="auto"/>
                <w:szCs w:val="21"/>
              </w:rPr>
            </w:pPr>
          </w:p>
        </w:tc>
        <w:tc>
          <w:tcPr>
            <w:tcW w:w="285" w:type="pct"/>
            <w:vMerge w:val="continue"/>
            <w:tcBorders>
              <w:left w:val="single" w:color="auto" w:sz="4" w:space="0"/>
              <w:bottom w:val="single" w:color="auto" w:sz="4" w:space="0"/>
              <w:right w:val="single" w:color="auto" w:sz="4" w:space="0"/>
            </w:tcBorders>
            <w:vAlign w:val="center"/>
          </w:tcPr>
          <w:p w14:paraId="2F4B4C7F">
            <w:pPr>
              <w:jc w:val="center"/>
              <w:rPr>
                <w:rFonts w:ascii="Times New Roman" w:hAnsi="Times New Roman" w:eastAsia="宋体" w:cs="Times New Roman"/>
                <w:color w:val="auto"/>
                <w:szCs w:val="21"/>
              </w:rPr>
            </w:pPr>
          </w:p>
        </w:tc>
        <w:tc>
          <w:tcPr>
            <w:tcW w:w="255" w:type="pct"/>
            <w:vMerge w:val="continue"/>
            <w:tcBorders>
              <w:left w:val="single" w:color="auto" w:sz="4" w:space="0"/>
              <w:bottom w:val="single" w:color="auto" w:sz="4" w:space="0"/>
              <w:right w:val="single" w:color="auto" w:sz="4" w:space="0"/>
            </w:tcBorders>
            <w:vAlign w:val="center"/>
          </w:tcPr>
          <w:p w14:paraId="1C7A66D1">
            <w:pPr>
              <w:jc w:val="center"/>
              <w:rPr>
                <w:rFonts w:ascii="Times New Roman" w:hAnsi="Times New Roman" w:eastAsia="宋体" w:cs="Times New Roman"/>
                <w:color w:val="auto"/>
                <w:szCs w:val="21"/>
              </w:rPr>
            </w:pPr>
          </w:p>
        </w:tc>
        <w:tc>
          <w:tcPr>
            <w:tcW w:w="614" w:type="pct"/>
            <w:vMerge w:val="continue"/>
            <w:tcBorders>
              <w:left w:val="single" w:color="auto" w:sz="4" w:space="0"/>
              <w:bottom w:val="single" w:color="auto" w:sz="4" w:space="0"/>
              <w:right w:val="single" w:color="auto" w:sz="4" w:space="0"/>
            </w:tcBorders>
            <w:vAlign w:val="center"/>
          </w:tcPr>
          <w:p w14:paraId="3A548643">
            <w:pPr>
              <w:jc w:val="center"/>
              <w:rPr>
                <w:rFonts w:ascii="Times New Roman" w:hAnsi="Times New Roman" w:eastAsia="宋体" w:cs="Times New Roman"/>
                <w:color w:val="auto"/>
                <w:szCs w:val="21"/>
              </w:rPr>
            </w:pPr>
          </w:p>
        </w:tc>
        <w:tc>
          <w:tcPr>
            <w:tcW w:w="260" w:type="pct"/>
            <w:vMerge w:val="continue"/>
            <w:tcBorders>
              <w:left w:val="single" w:color="auto" w:sz="4" w:space="0"/>
              <w:bottom w:val="single" w:color="auto" w:sz="4" w:space="0"/>
              <w:right w:val="single" w:color="auto" w:sz="4" w:space="0"/>
            </w:tcBorders>
            <w:vAlign w:val="center"/>
          </w:tcPr>
          <w:p w14:paraId="4C22C38F">
            <w:pPr>
              <w:jc w:val="center"/>
              <w:rPr>
                <w:rFonts w:ascii="Times New Roman" w:hAnsi="Times New Roman" w:eastAsia="宋体" w:cs="Times New Roman"/>
                <w:color w:val="auto"/>
                <w:szCs w:val="21"/>
              </w:rPr>
            </w:pPr>
          </w:p>
        </w:tc>
        <w:tc>
          <w:tcPr>
            <w:tcW w:w="399" w:type="pct"/>
            <w:tcBorders>
              <w:left w:val="single" w:color="auto" w:sz="4" w:space="0"/>
              <w:right w:val="single" w:color="auto" w:sz="4" w:space="0"/>
            </w:tcBorders>
            <w:shd w:val="clear" w:color="auto" w:fill="auto"/>
            <w:vAlign w:val="center"/>
          </w:tcPr>
          <w:p w14:paraId="578BC269">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臭气浓度</w:t>
            </w:r>
          </w:p>
        </w:tc>
        <w:tc>
          <w:tcPr>
            <w:tcW w:w="472" w:type="pct"/>
            <w:tcBorders>
              <w:left w:val="single" w:color="auto" w:sz="4" w:space="0"/>
              <w:right w:val="single" w:color="auto" w:sz="4" w:space="0"/>
            </w:tcBorders>
            <w:vAlign w:val="center"/>
          </w:tcPr>
          <w:p w14:paraId="6F0BAEC6">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6000（无量纲）</w:t>
            </w:r>
          </w:p>
        </w:tc>
        <w:tc>
          <w:tcPr>
            <w:tcW w:w="411" w:type="pct"/>
            <w:tcBorders>
              <w:left w:val="single" w:color="auto" w:sz="4" w:space="0"/>
              <w:right w:val="single" w:color="auto" w:sz="4" w:space="0"/>
            </w:tcBorders>
            <w:vAlign w:val="center"/>
          </w:tcPr>
          <w:p w14:paraId="36EAFA2C">
            <w:pPr>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w:t>
            </w:r>
          </w:p>
        </w:tc>
        <w:tc>
          <w:tcPr>
            <w:tcW w:w="881" w:type="pct"/>
            <w:vMerge w:val="continue"/>
            <w:tcBorders>
              <w:left w:val="single" w:color="auto" w:sz="4" w:space="0"/>
              <w:right w:val="single" w:color="auto" w:sz="4" w:space="0"/>
            </w:tcBorders>
            <w:vAlign w:val="center"/>
          </w:tcPr>
          <w:p w14:paraId="316503D2">
            <w:pPr>
              <w:jc w:val="center"/>
              <w:rPr>
                <w:rFonts w:ascii="Times New Roman" w:hAnsi="Times New Roman" w:eastAsia="宋体" w:cs="Times New Roman"/>
                <w:color w:val="auto"/>
                <w:szCs w:val="21"/>
              </w:rPr>
            </w:pPr>
          </w:p>
        </w:tc>
      </w:tr>
      <w:tr w14:paraId="3BE95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635" w:type="pct"/>
            <w:gridSpan w:val="2"/>
            <w:vMerge w:val="restart"/>
            <w:tcBorders>
              <w:top w:val="single" w:color="auto" w:sz="4" w:space="0"/>
              <w:left w:val="single" w:color="auto" w:sz="4" w:space="0"/>
              <w:bottom w:val="single" w:color="auto" w:sz="4" w:space="0"/>
              <w:right w:val="single" w:color="auto" w:sz="4" w:space="0"/>
            </w:tcBorders>
            <w:vAlign w:val="center"/>
          </w:tcPr>
          <w:p w14:paraId="66C3765A">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厂界</w:t>
            </w:r>
          </w:p>
        </w:tc>
        <w:tc>
          <w:tcPr>
            <w:tcW w:w="785" w:type="pct"/>
            <w:vMerge w:val="restart"/>
            <w:tcBorders>
              <w:top w:val="single" w:color="auto" w:sz="4" w:space="0"/>
              <w:left w:val="single" w:color="auto" w:sz="4" w:space="0"/>
              <w:bottom w:val="single" w:color="auto" w:sz="4" w:space="0"/>
              <w:right w:val="single" w:color="auto" w:sz="4" w:space="0"/>
            </w:tcBorders>
            <w:vAlign w:val="center"/>
          </w:tcPr>
          <w:p w14:paraId="73A03787">
            <w:pPr>
              <w:jc w:val="center"/>
              <w:rPr>
                <w:rFonts w:ascii="Times New Roman" w:hAnsi="Times New Roman" w:eastAsia="仿宋" w:cs="Times New Roman"/>
                <w:color w:val="auto"/>
                <w:szCs w:val="21"/>
              </w:rPr>
            </w:pPr>
            <w:r>
              <w:rPr>
                <w:rFonts w:ascii="Times New Roman" w:hAnsi="Times New Roman" w:eastAsia="宋体" w:cs="Times New Roman"/>
                <w:color w:val="auto"/>
                <w:szCs w:val="21"/>
              </w:rPr>
              <w:t>密闭收集，增加废气收集效率，加强废水处理站运行管理，保障正常运行</w:t>
            </w:r>
            <w:r>
              <w:rPr>
                <w:rFonts w:hint="eastAsia" w:ascii="Times New Roman" w:hAnsi="Times New Roman" w:eastAsia="宋体" w:cs="Times New Roman"/>
                <w:color w:val="auto"/>
                <w:szCs w:val="21"/>
              </w:rPr>
              <w:t>。</w:t>
            </w:r>
          </w:p>
        </w:tc>
        <w:tc>
          <w:tcPr>
            <w:tcW w:w="285" w:type="pct"/>
            <w:vMerge w:val="restart"/>
            <w:tcBorders>
              <w:top w:val="single" w:color="auto" w:sz="4" w:space="0"/>
              <w:left w:val="single" w:color="auto" w:sz="4" w:space="0"/>
              <w:bottom w:val="single" w:color="auto" w:sz="4" w:space="0"/>
              <w:right w:val="single" w:color="auto" w:sz="4" w:space="0"/>
            </w:tcBorders>
            <w:vAlign w:val="center"/>
          </w:tcPr>
          <w:p w14:paraId="647F3844">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无组织</w:t>
            </w:r>
          </w:p>
        </w:tc>
        <w:tc>
          <w:tcPr>
            <w:tcW w:w="1129" w:type="pct"/>
            <w:gridSpan w:val="3"/>
            <w:vMerge w:val="restart"/>
            <w:tcBorders>
              <w:top w:val="single" w:color="auto" w:sz="4" w:space="0"/>
              <w:left w:val="single" w:color="auto" w:sz="4" w:space="0"/>
              <w:bottom w:val="single" w:color="auto" w:sz="4" w:space="0"/>
              <w:right w:val="single" w:color="auto" w:sz="4" w:space="0"/>
            </w:tcBorders>
            <w:vAlign w:val="center"/>
          </w:tcPr>
          <w:p w14:paraId="7F9E7D37">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w:t>
            </w:r>
          </w:p>
        </w:tc>
        <w:tc>
          <w:tcPr>
            <w:tcW w:w="399" w:type="pct"/>
            <w:tcBorders>
              <w:top w:val="single" w:color="auto" w:sz="4" w:space="0"/>
              <w:left w:val="single" w:color="auto" w:sz="4" w:space="0"/>
              <w:bottom w:val="single" w:color="auto" w:sz="4" w:space="0"/>
              <w:right w:val="single" w:color="auto" w:sz="4" w:space="0"/>
            </w:tcBorders>
            <w:shd w:val="clear" w:color="auto" w:fill="auto"/>
            <w:vAlign w:val="center"/>
          </w:tcPr>
          <w:p w14:paraId="7E369220">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非甲烷总烃</w:t>
            </w:r>
          </w:p>
        </w:tc>
        <w:tc>
          <w:tcPr>
            <w:tcW w:w="472" w:type="pct"/>
            <w:tcBorders>
              <w:top w:val="single" w:color="auto" w:sz="4" w:space="0"/>
              <w:left w:val="single" w:color="auto" w:sz="4" w:space="0"/>
              <w:bottom w:val="single" w:color="auto" w:sz="4" w:space="0"/>
              <w:right w:val="single" w:color="auto" w:sz="4" w:space="0"/>
            </w:tcBorders>
            <w:vAlign w:val="center"/>
          </w:tcPr>
          <w:p w14:paraId="0E90CC3D">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4.0</w:t>
            </w:r>
          </w:p>
        </w:tc>
        <w:tc>
          <w:tcPr>
            <w:tcW w:w="411" w:type="pct"/>
            <w:tcBorders>
              <w:top w:val="single" w:color="auto" w:sz="4" w:space="0"/>
              <w:left w:val="single" w:color="auto" w:sz="4" w:space="0"/>
              <w:bottom w:val="single" w:color="auto" w:sz="4" w:space="0"/>
              <w:right w:val="single" w:color="auto" w:sz="4" w:space="0"/>
            </w:tcBorders>
            <w:vAlign w:val="center"/>
          </w:tcPr>
          <w:p w14:paraId="63F80850">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w:t>
            </w:r>
          </w:p>
        </w:tc>
        <w:tc>
          <w:tcPr>
            <w:tcW w:w="881" w:type="pct"/>
            <w:vMerge w:val="restart"/>
            <w:tcBorders>
              <w:top w:val="single" w:color="auto" w:sz="4" w:space="0"/>
              <w:left w:val="single" w:color="auto" w:sz="4" w:space="0"/>
              <w:bottom w:val="single" w:color="auto" w:sz="4" w:space="0"/>
              <w:right w:val="single" w:color="auto" w:sz="4" w:space="0"/>
            </w:tcBorders>
            <w:vAlign w:val="center"/>
          </w:tcPr>
          <w:p w14:paraId="3D63E231">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《大气污染物综合排放标准》（GB16297-1996）</w:t>
            </w:r>
          </w:p>
        </w:tc>
      </w:tr>
      <w:tr w14:paraId="01948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635" w:type="pct"/>
            <w:gridSpan w:val="2"/>
            <w:vMerge w:val="continue"/>
            <w:tcBorders>
              <w:top w:val="single" w:color="auto" w:sz="4" w:space="0"/>
              <w:left w:val="single" w:color="auto" w:sz="4" w:space="0"/>
              <w:bottom w:val="single" w:color="auto" w:sz="4" w:space="0"/>
              <w:right w:val="single" w:color="auto" w:sz="4" w:space="0"/>
            </w:tcBorders>
            <w:vAlign w:val="center"/>
          </w:tcPr>
          <w:p w14:paraId="01FBCDC0">
            <w:pPr>
              <w:jc w:val="center"/>
              <w:rPr>
                <w:rFonts w:ascii="Times New Roman" w:hAnsi="Times New Roman" w:eastAsia="宋体" w:cs="Times New Roman"/>
                <w:color w:val="auto"/>
                <w:szCs w:val="21"/>
              </w:rPr>
            </w:pPr>
          </w:p>
        </w:tc>
        <w:tc>
          <w:tcPr>
            <w:tcW w:w="785" w:type="pct"/>
            <w:vMerge w:val="continue"/>
            <w:tcBorders>
              <w:top w:val="single" w:color="auto" w:sz="4" w:space="0"/>
              <w:left w:val="single" w:color="auto" w:sz="4" w:space="0"/>
              <w:bottom w:val="single" w:color="auto" w:sz="4" w:space="0"/>
              <w:right w:val="single" w:color="auto" w:sz="4" w:space="0"/>
            </w:tcBorders>
            <w:vAlign w:val="center"/>
          </w:tcPr>
          <w:p w14:paraId="3410FD9E">
            <w:pPr>
              <w:jc w:val="center"/>
              <w:rPr>
                <w:rFonts w:ascii="Times New Roman" w:hAnsi="Times New Roman" w:eastAsia="宋体" w:cs="Times New Roman"/>
                <w:color w:val="auto"/>
                <w:szCs w:val="21"/>
              </w:rPr>
            </w:pPr>
          </w:p>
        </w:tc>
        <w:tc>
          <w:tcPr>
            <w:tcW w:w="285" w:type="pct"/>
            <w:vMerge w:val="continue"/>
            <w:tcBorders>
              <w:top w:val="single" w:color="auto" w:sz="4" w:space="0"/>
              <w:left w:val="single" w:color="auto" w:sz="4" w:space="0"/>
              <w:bottom w:val="single" w:color="auto" w:sz="4" w:space="0"/>
              <w:right w:val="single" w:color="auto" w:sz="4" w:space="0"/>
            </w:tcBorders>
            <w:vAlign w:val="center"/>
          </w:tcPr>
          <w:p w14:paraId="0ADE5917">
            <w:pPr>
              <w:jc w:val="center"/>
              <w:rPr>
                <w:rFonts w:ascii="Times New Roman" w:hAnsi="Times New Roman" w:eastAsia="宋体" w:cs="Times New Roman"/>
                <w:color w:val="auto"/>
                <w:szCs w:val="21"/>
              </w:rPr>
            </w:pPr>
          </w:p>
        </w:tc>
        <w:tc>
          <w:tcPr>
            <w:tcW w:w="1129" w:type="pct"/>
            <w:gridSpan w:val="3"/>
            <w:vMerge w:val="continue"/>
            <w:tcBorders>
              <w:top w:val="single" w:color="auto" w:sz="4" w:space="0"/>
              <w:left w:val="single" w:color="auto" w:sz="4" w:space="0"/>
              <w:bottom w:val="single" w:color="auto" w:sz="4" w:space="0"/>
              <w:right w:val="single" w:color="auto" w:sz="4" w:space="0"/>
            </w:tcBorders>
            <w:vAlign w:val="center"/>
          </w:tcPr>
          <w:p w14:paraId="0F0C84CD">
            <w:pPr>
              <w:jc w:val="center"/>
              <w:rPr>
                <w:rFonts w:ascii="Times New Roman" w:hAnsi="Times New Roman" w:eastAsia="宋体" w:cs="Times New Roman"/>
                <w:color w:val="auto"/>
                <w:szCs w:val="21"/>
              </w:rPr>
            </w:pPr>
          </w:p>
        </w:tc>
        <w:tc>
          <w:tcPr>
            <w:tcW w:w="399" w:type="pct"/>
            <w:tcBorders>
              <w:top w:val="single" w:color="auto" w:sz="4" w:space="0"/>
              <w:left w:val="single" w:color="auto" w:sz="4" w:space="0"/>
              <w:bottom w:val="single" w:color="auto" w:sz="4" w:space="0"/>
              <w:right w:val="single" w:color="auto" w:sz="4" w:space="0"/>
            </w:tcBorders>
            <w:shd w:val="clear" w:color="auto" w:fill="auto"/>
            <w:vAlign w:val="center"/>
          </w:tcPr>
          <w:p w14:paraId="6E4F5DD9">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颗粒物</w:t>
            </w:r>
          </w:p>
        </w:tc>
        <w:tc>
          <w:tcPr>
            <w:tcW w:w="472" w:type="pct"/>
            <w:tcBorders>
              <w:top w:val="single" w:color="auto" w:sz="4" w:space="0"/>
              <w:left w:val="single" w:color="auto" w:sz="4" w:space="0"/>
              <w:bottom w:val="single" w:color="auto" w:sz="4" w:space="0"/>
              <w:right w:val="single" w:color="auto" w:sz="4" w:space="0"/>
            </w:tcBorders>
            <w:vAlign w:val="center"/>
          </w:tcPr>
          <w:p w14:paraId="75D04291">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1.0</w:t>
            </w:r>
          </w:p>
        </w:tc>
        <w:tc>
          <w:tcPr>
            <w:tcW w:w="411" w:type="pct"/>
            <w:tcBorders>
              <w:top w:val="single" w:color="auto" w:sz="4" w:space="0"/>
              <w:left w:val="single" w:color="auto" w:sz="4" w:space="0"/>
              <w:bottom w:val="single" w:color="auto" w:sz="4" w:space="0"/>
              <w:right w:val="single" w:color="auto" w:sz="4" w:space="0"/>
            </w:tcBorders>
            <w:vAlign w:val="center"/>
          </w:tcPr>
          <w:p w14:paraId="5196B4E1">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w:t>
            </w:r>
          </w:p>
        </w:tc>
        <w:tc>
          <w:tcPr>
            <w:tcW w:w="881" w:type="pct"/>
            <w:vMerge w:val="continue"/>
            <w:tcBorders>
              <w:top w:val="single" w:color="auto" w:sz="4" w:space="0"/>
              <w:left w:val="single" w:color="auto" w:sz="4" w:space="0"/>
              <w:bottom w:val="single" w:color="auto" w:sz="4" w:space="0"/>
              <w:right w:val="single" w:color="auto" w:sz="4" w:space="0"/>
            </w:tcBorders>
            <w:vAlign w:val="center"/>
          </w:tcPr>
          <w:p w14:paraId="1DA5ED7D">
            <w:pPr>
              <w:jc w:val="center"/>
              <w:rPr>
                <w:rFonts w:ascii="Times New Roman" w:hAnsi="Times New Roman" w:eastAsia="宋体" w:cs="Times New Roman"/>
                <w:color w:val="auto"/>
                <w:szCs w:val="21"/>
              </w:rPr>
            </w:pPr>
          </w:p>
        </w:tc>
      </w:tr>
      <w:tr w14:paraId="53FD9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635" w:type="pct"/>
            <w:gridSpan w:val="2"/>
            <w:vMerge w:val="continue"/>
            <w:tcBorders>
              <w:top w:val="single" w:color="auto" w:sz="4" w:space="0"/>
              <w:left w:val="single" w:color="auto" w:sz="4" w:space="0"/>
              <w:bottom w:val="single" w:color="auto" w:sz="4" w:space="0"/>
              <w:right w:val="single" w:color="auto" w:sz="4" w:space="0"/>
            </w:tcBorders>
            <w:vAlign w:val="center"/>
          </w:tcPr>
          <w:p w14:paraId="35562F54">
            <w:pPr>
              <w:jc w:val="center"/>
              <w:rPr>
                <w:rFonts w:ascii="Times New Roman" w:hAnsi="Times New Roman" w:eastAsia="宋体" w:cs="Times New Roman"/>
                <w:color w:val="auto"/>
                <w:szCs w:val="21"/>
              </w:rPr>
            </w:pPr>
          </w:p>
        </w:tc>
        <w:tc>
          <w:tcPr>
            <w:tcW w:w="785" w:type="pct"/>
            <w:vMerge w:val="continue"/>
            <w:tcBorders>
              <w:top w:val="single" w:color="auto" w:sz="4" w:space="0"/>
              <w:left w:val="single" w:color="auto" w:sz="4" w:space="0"/>
              <w:bottom w:val="single" w:color="auto" w:sz="4" w:space="0"/>
              <w:right w:val="single" w:color="auto" w:sz="4" w:space="0"/>
            </w:tcBorders>
            <w:vAlign w:val="center"/>
          </w:tcPr>
          <w:p w14:paraId="46626E4D">
            <w:pPr>
              <w:jc w:val="center"/>
              <w:rPr>
                <w:rFonts w:ascii="Times New Roman" w:hAnsi="Times New Roman" w:eastAsia="宋体" w:cs="Times New Roman"/>
                <w:color w:val="auto"/>
                <w:szCs w:val="21"/>
              </w:rPr>
            </w:pPr>
          </w:p>
        </w:tc>
        <w:tc>
          <w:tcPr>
            <w:tcW w:w="285" w:type="pct"/>
            <w:vMerge w:val="continue"/>
            <w:tcBorders>
              <w:top w:val="single" w:color="auto" w:sz="4" w:space="0"/>
              <w:left w:val="single" w:color="auto" w:sz="4" w:space="0"/>
              <w:bottom w:val="single" w:color="auto" w:sz="4" w:space="0"/>
              <w:right w:val="single" w:color="auto" w:sz="4" w:space="0"/>
            </w:tcBorders>
            <w:vAlign w:val="center"/>
          </w:tcPr>
          <w:p w14:paraId="492E5B92">
            <w:pPr>
              <w:jc w:val="center"/>
              <w:rPr>
                <w:rFonts w:ascii="Times New Roman" w:hAnsi="Times New Roman" w:eastAsia="宋体" w:cs="Times New Roman"/>
                <w:color w:val="auto"/>
                <w:szCs w:val="21"/>
              </w:rPr>
            </w:pPr>
          </w:p>
        </w:tc>
        <w:tc>
          <w:tcPr>
            <w:tcW w:w="1129" w:type="pct"/>
            <w:gridSpan w:val="3"/>
            <w:vMerge w:val="continue"/>
            <w:tcBorders>
              <w:top w:val="single" w:color="auto" w:sz="4" w:space="0"/>
              <w:left w:val="single" w:color="auto" w:sz="4" w:space="0"/>
              <w:bottom w:val="single" w:color="auto" w:sz="4" w:space="0"/>
              <w:right w:val="single" w:color="auto" w:sz="4" w:space="0"/>
            </w:tcBorders>
            <w:vAlign w:val="center"/>
          </w:tcPr>
          <w:p w14:paraId="127BDF3C">
            <w:pPr>
              <w:jc w:val="center"/>
              <w:rPr>
                <w:rFonts w:ascii="Times New Roman" w:hAnsi="Times New Roman" w:eastAsia="宋体" w:cs="Times New Roman"/>
                <w:color w:val="auto"/>
                <w:szCs w:val="21"/>
              </w:rPr>
            </w:pPr>
          </w:p>
        </w:tc>
        <w:tc>
          <w:tcPr>
            <w:tcW w:w="399" w:type="pct"/>
            <w:tcBorders>
              <w:top w:val="single" w:color="auto" w:sz="4" w:space="0"/>
              <w:left w:val="single" w:color="auto" w:sz="4" w:space="0"/>
              <w:bottom w:val="single" w:color="auto" w:sz="4" w:space="0"/>
              <w:right w:val="single" w:color="auto" w:sz="4" w:space="0"/>
            </w:tcBorders>
            <w:vAlign w:val="center"/>
          </w:tcPr>
          <w:p w14:paraId="352FC98E">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氨气</w:t>
            </w:r>
          </w:p>
        </w:tc>
        <w:tc>
          <w:tcPr>
            <w:tcW w:w="472" w:type="pct"/>
            <w:tcBorders>
              <w:top w:val="single" w:color="auto" w:sz="4" w:space="0"/>
              <w:left w:val="single" w:color="auto" w:sz="4" w:space="0"/>
              <w:bottom w:val="single" w:color="auto" w:sz="4" w:space="0"/>
              <w:right w:val="single" w:color="auto" w:sz="4" w:space="0"/>
            </w:tcBorders>
            <w:vAlign w:val="center"/>
          </w:tcPr>
          <w:p w14:paraId="05540E60">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1.5</w:t>
            </w:r>
          </w:p>
        </w:tc>
        <w:tc>
          <w:tcPr>
            <w:tcW w:w="411" w:type="pct"/>
            <w:tcBorders>
              <w:top w:val="single" w:color="auto" w:sz="4" w:space="0"/>
              <w:left w:val="single" w:color="auto" w:sz="4" w:space="0"/>
              <w:bottom w:val="single" w:color="auto" w:sz="4" w:space="0"/>
              <w:right w:val="single" w:color="auto" w:sz="4" w:space="0"/>
            </w:tcBorders>
            <w:vAlign w:val="center"/>
          </w:tcPr>
          <w:p w14:paraId="04B83EC9">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w:t>
            </w:r>
          </w:p>
        </w:tc>
        <w:tc>
          <w:tcPr>
            <w:tcW w:w="881" w:type="pct"/>
            <w:vMerge w:val="restart"/>
            <w:tcBorders>
              <w:top w:val="single" w:color="auto" w:sz="4" w:space="0"/>
              <w:left w:val="single" w:color="auto" w:sz="4" w:space="0"/>
              <w:bottom w:val="single" w:color="auto" w:sz="4" w:space="0"/>
              <w:right w:val="single" w:color="auto" w:sz="4" w:space="0"/>
            </w:tcBorders>
            <w:vAlign w:val="center"/>
          </w:tcPr>
          <w:p w14:paraId="2B4D6A8E">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《恶臭污染物排放标准》（GB14554-93）</w:t>
            </w:r>
          </w:p>
        </w:tc>
      </w:tr>
      <w:tr w14:paraId="461BE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635" w:type="pct"/>
            <w:gridSpan w:val="2"/>
            <w:vMerge w:val="continue"/>
            <w:tcBorders>
              <w:top w:val="single" w:color="auto" w:sz="4" w:space="0"/>
              <w:left w:val="single" w:color="auto" w:sz="4" w:space="0"/>
              <w:bottom w:val="single" w:color="auto" w:sz="4" w:space="0"/>
              <w:right w:val="single" w:color="auto" w:sz="4" w:space="0"/>
            </w:tcBorders>
          </w:tcPr>
          <w:p w14:paraId="41EF7B3D">
            <w:pPr>
              <w:jc w:val="center"/>
              <w:rPr>
                <w:rFonts w:ascii="Times New Roman" w:hAnsi="Times New Roman" w:eastAsia="宋体" w:cs="Times New Roman"/>
                <w:color w:val="auto"/>
                <w:szCs w:val="21"/>
              </w:rPr>
            </w:pPr>
          </w:p>
        </w:tc>
        <w:tc>
          <w:tcPr>
            <w:tcW w:w="785" w:type="pct"/>
            <w:vMerge w:val="continue"/>
            <w:tcBorders>
              <w:top w:val="single" w:color="auto" w:sz="4" w:space="0"/>
              <w:left w:val="single" w:color="auto" w:sz="4" w:space="0"/>
              <w:bottom w:val="single" w:color="auto" w:sz="4" w:space="0"/>
              <w:right w:val="single" w:color="auto" w:sz="4" w:space="0"/>
            </w:tcBorders>
          </w:tcPr>
          <w:p w14:paraId="1B57AEF3">
            <w:pPr>
              <w:jc w:val="center"/>
              <w:rPr>
                <w:rFonts w:ascii="Times New Roman" w:hAnsi="Times New Roman" w:eastAsia="宋体" w:cs="Times New Roman"/>
                <w:color w:val="auto"/>
                <w:szCs w:val="21"/>
              </w:rPr>
            </w:pPr>
          </w:p>
        </w:tc>
        <w:tc>
          <w:tcPr>
            <w:tcW w:w="285" w:type="pct"/>
            <w:vMerge w:val="continue"/>
            <w:tcBorders>
              <w:top w:val="single" w:color="auto" w:sz="4" w:space="0"/>
              <w:left w:val="single" w:color="auto" w:sz="4" w:space="0"/>
              <w:bottom w:val="single" w:color="auto" w:sz="4" w:space="0"/>
              <w:right w:val="single" w:color="auto" w:sz="4" w:space="0"/>
            </w:tcBorders>
          </w:tcPr>
          <w:p w14:paraId="0DDF6750">
            <w:pPr>
              <w:jc w:val="center"/>
              <w:rPr>
                <w:rFonts w:ascii="Times New Roman" w:hAnsi="Times New Roman" w:eastAsia="宋体" w:cs="Times New Roman"/>
                <w:color w:val="auto"/>
                <w:szCs w:val="21"/>
              </w:rPr>
            </w:pPr>
          </w:p>
        </w:tc>
        <w:tc>
          <w:tcPr>
            <w:tcW w:w="1129" w:type="pct"/>
            <w:gridSpan w:val="3"/>
            <w:vMerge w:val="continue"/>
            <w:tcBorders>
              <w:top w:val="single" w:color="auto" w:sz="4" w:space="0"/>
              <w:left w:val="single" w:color="auto" w:sz="4" w:space="0"/>
              <w:bottom w:val="single" w:color="auto" w:sz="4" w:space="0"/>
              <w:right w:val="single" w:color="auto" w:sz="4" w:space="0"/>
            </w:tcBorders>
          </w:tcPr>
          <w:p w14:paraId="4E8B2308">
            <w:pPr>
              <w:jc w:val="center"/>
              <w:rPr>
                <w:rFonts w:ascii="Times New Roman" w:hAnsi="Times New Roman" w:eastAsia="宋体" w:cs="Times New Roman"/>
                <w:color w:val="auto"/>
                <w:szCs w:val="21"/>
              </w:rPr>
            </w:pPr>
          </w:p>
        </w:tc>
        <w:tc>
          <w:tcPr>
            <w:tcW w:w="399" w:type="pct"/>
            <w:tcBorders>
              <w:top w:val="single" w:color="auto" w:sz="4" w:space="0"/>
              <w:left w:val="single" w:color="auto" w:sz="4" w:space="0"/>
              <w:bottom w:val="single" w:color="auto" w:sz="4" w:space="0"/>
              <w:right w:val="single" w:color="auto" w:sz="4" w:space="0"/>
            </w:tcBorders>
            <w:vAlign w:val="center"/>
          </w:tcPr>
          <w:p w14:paraId="4ACBC1DF">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硫化氢</w:t>
            </w:r>
          </w:p>
        </w:tc>
        <w:tc>
          <w:tcPr>
            <w:tcW w:w="472" w:type="pct"/>
            <w:tcBorders>
              <w:top w:val="single" w:color="auto" w:sz="4" w:space="0"/>
              <w:left w:val="single" w:color="auto" w:sz="4" w:space="0"/>
              <w:bottom w:val="single" w:color="auto" w:sz="4" w:space="0"/>
              <w:right w:val="single" w:color="auto" w:sz="4" w:space="0"/>
            </w:tcBorders>
            <w:vAlign w:val="center"/>
          </w:tcPr>
          <w:p w14:paraId="05D96B4C">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0.06</w:t>
            </w:r>
          </w:p>
        </w:tc>
        <w:tc>
          <w:tcPr>
            <w:tcW w:w="411" w:type="pct"/>
            <w:tcBorders>
              <w:top w:val="single" w:color="auto" w:sz="4" w:space="0"/>
              <w:left w:val="single" w:color="auto" w:sz="4" w:space="0"/>
              <w:bottom w:val="single" w:color="auto" w:sz="4" w:space="0"/>
              <w:right w:val="single" w:color="auto" w:sz="4" w:space="0"/>
            </w:tcBorders>
            <w:vAlign w:val="center"/>
          </w:tcPr>
          <w:p w14:paraId="00F5E994">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w:t>
            </w:r>
          </w:p>
        </w:tc>
        <w:tc>
          <w:tcPr>
            <w:tcW w:w="881" w:type="pct"/>
            <w:vMerge w:val="continue"/>
            <w:tcBorders>
              <w:top w:val="single" w:color="auto" w:sz="4" w:space="0"/>
              <w:left w:val="single" w:color="auto" w:sz="4" w:space="0"/>
              <w:bottom w:val="single" w:color="auto" w:sz="4" w:space="0"/>
              <w:right w:val="single" w:color="auto" w:sz="4" w:space="0"/>
            </w:tcBorders>
          </w:tcPr>
          <w:p w14:paraId="750E7142">
            <w:pPr>
              <w:jc w:val="center"/>
              <w:rPr>
                <w:rFonts w:ascii="Times New Roman" w:hAnsi="Times New Roman" w:eastAsia="宋体" w:cs="Times New Roman"/>
                <w:color w:val="FF0000"/>
                <w:szCs w:val="21"/>
              </w:rPr>
            </w:pPr>
          </w:p>
        </w:tc>
      </w:tr>
      <w:tr w14:paraId="2E3AC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635" w:type="pct"/>
            <w:gridSpan w:val="2"/>
            <w:vMerge w:val="continue"/>
            <w:tcBorders>
              <w:top w:val="single" w:color="auto" w:sz="4" w:space="0"/>
              <w:left w:val="single" w:color="auto" w:sz="4" w:space="0"/>
              <w:bottom w:val="single" w:color="auto" w:sz="4" w:space="0"/>
              <w:right w:val="single" w:color="auto" w:sz="4" w:space="0"/>
            </w:tcBorders>
          </w:tcPr>
          <w:p w14:paraId="3895F3B5">
            <w:pPr>
              <w:jc w:val="center"/>
              <w:rPr>
                <w:rFonts w:ascii="Times New Roman" w:hAnsi="Times New Roman" w:eastAsia="宋体" w:cs="Times New Roman"/>
                <w:color w:val="auto"/>
                <w:szCs w:val="21"/>
              </w:rPr>
            </w:pPr>
          </w:p>
        </w:tc>
        <w:tc>
          <w:tcPr>
            <w:tcW w:w="785" w:type="pct"/>
            <w:vMerge w:val="continue"/>
            <w:tcBorders>
              <w:top w:val="single" w:color="auto" w:sz="4" w:space="0"/>
              <w:left w:val="single" w:color="auto" w:sz="4" w:space="0"/>
              <w:bottom w:val="single" w:color="auto" w:sz="4" w:space="0"/>
              <w:right w:val="single" w:color="auto" w:sz="4" w:space="0"/>
            </w:tcBorders>
          </w:tcPr>
          <w:p w14:paraId="6BB33E1E">
            <w:pPr>
              <w:jc w:val="center"/>
              <w:rPr>
                <w:rFonts w:ascii="Times New Roman" w:hAnsi="Times New Roman" w:eastAsia="宋体" w:cs="Times New Roman"/>
                <w:color w:val="auto"/>
                <w:szCs w:val="21"/>
              </w:rPr>
            </w:pPr>
          </w:p>
        </w:tc>
        <w:tc>
          <w:tcPr>
            <w:tcW w:w="285" w:type="pct"/>
            <w:vMerge w:val="continue"/>
            <w:tcBorders>
              <w:top w:val="single" w:color="auto" w:sz="4" w:space="0"/>
              <w:left w:val="single" w:color="auto" w:sz="4" w:space="0"/>
              <w:bottom w:val="single" w:color="auto" w:sz="4" w:space="0"/>
              <w:right w:val="single" w:color="auto" w:sz="4" w:space="0"/>
            </w:tcBorders>
          </w:tcPr>
          <w:p w14:paraId="5662FD28">
            <w:pPr>
              <w:jc w:val="center"/>
              <w:rPr>
                <w:rFonts w:ascii="Times New Roman" w:hAnsi="Times New Roman" w:eastAsia="宋体" w:cs="Times New Roman"/>
                <w:color w:val="auto"/>
                <w:szCs w:val="21"/>
              </w:rPr>
            </w:pPr>
          </w:p>
        </w:tc>
        <w:tc>
          <w:tcPr>
            <w:tcW w:w="1129" w:type="pct"/>
            <w:gridSpan w:val="3"/>
            <w:vMerge w:val="continue"/>
            <w:tcBorders>
              <w:top w:val="single" w:color="auto" w:sz="4" w:space="0"/>
              <w:left w:val="single" w:color="auto" w:sz="4" w:space="0"/>
              <w:bottom w:val="single" w:color="auto" w:sz="4" w:space="0"/>
              <w:right w:val="single" w:color="auto" w:sz="4" w:space="0"/>
            </w:tcBorders>
          </w:tcPr>
          <w:p w14:paraId="2E96D5E7">
            <w:pPr>
              <w:jc w:val="center"/>
              <w:rPr>
                <w:rFonts w:ascii="Times New Roman" w:hAnsi="Times New Roman" w:eastAsia="宋体" w:cs="Times New Roman"/>
                <w:color w:val="auto"/>
                <w:szCs w:val="21"/>
              </w:rPr>
            </w:pPr>
          </w:p>
        </w:tc>
        <w:tc>
          <w:tcPr>
            <w:tcW w:w="399" w:type="pct"/>
            <w:tcBorders>
              <w:top w:val="single" w:color="auto" w:sz="4" w:space="0"/>
              <w:left w:val="single" w:color="auto" w:sz="4" w:space="0"/>
              <w:bottom w:val="single" w:color="auto" w:sz="4" w:space="0"/>
              <w:right w:val="single" w:color="auto" w:sz="4" w:space="0"/>
            </w:tcBorders>
            <w:vAlign w:val="center"/>
          </w:tcPr>
          <w:p w14:paraId="6B98C7BF">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臭气浓度</w:t>
            </w:r>
          </w:p>
        </w:tc>
        <w:tc>
          <w:tcPr>
            <w:tcW w:w="472" w:type="pct"/>
            <w:tcBorders>
              <w:top w:val="single" w:color="auto" w:sz="4" w:space="0"/>
              <w:left w:val="single" w:color="auto" w:sz="4" w:space="0"/>
              <w:bottom w:val="single" w:color="auto" w:sz="4" w:space="0"/>
              <w:right w:val="single" w:color="auto" w:sz="4" w:space="0"/>
            </w:tcBorders>
            <w:vAlign w:val="center"/>
          </w:tcPr>
          <w:p w14:paraId="5F33D981">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20（无量纲）</w:t>
            </w:r>
          </w:p>
        </w:tc>
        <w:tc>
          <w:tcPr>
            <w:tcW w:w="411" w:type="pct"/>
            <w:tcBorders>
              <w:top w:val="single" w:color="auto" w:sz="4" w:space="0"/>
              <w:left w:val="single" w:color="auto" w:sz="4" w:space="0"/>
              <w:bottom w:val="single" w:color="auto" w:sz="4" w:space="0"/>
              <w:right w:val="single" w:color="auto" w:sz="4" w:space="0"/>
            </w:tcBorders>
            <w:vAlign w:val="center"/>
          </w:tcPr>
          <w:p w14:paraId="632C1216">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w:t>
            </w:r>
          </w:p>
        </w:tc>
        <w:tc>
          <w:tcPr>
            <w:tcW w:w="881" w:type="pct"/>
            <w:vMerge w:val="continue"/>
            <w:tcBorders>
              <w:top w:val="single" w:color="auto" w:sz="4" w:space="0"/>
              <w:left w:val="single" w:color="auto" w:sz="4" w:space="0"/>
              <w:bottom w:val="single" w:color="auto" w:sz="4" w:space="0"/>
              <w:right w:val="single" w:color="auto" w:sz="4" w:space="0"/>
            </w:tcBorders>
          </w:tcPr>
          <w:p w14:paraId="2CBEC93C">
            <w:pPr>
              <w:jc w:val="center"/>
              <w:rPr>
                <w:rFonts w:ascii="Times New Roman" w:hAnsi="Times New Roman" w:eastAsia="宋体" w:cs="Times New Roman"/>
                <w:color w:val="FF0000"/>
                <w:szCs w:val="21"/>
              </w:rPr>
            </w:pPr>
          </w:p>
        </w:tc>
      </w:tr>
    </w:tbl>
    <w:p w14:paraId="27832110">
      <w:pPr>
        <w:jc w:val="center"/>
        <w:rPr>
          <w:rFonts w:ascii="Times New Roman" w:hAnsi="Times New Roman" w:eastAsia="宋体" w:cs="Times New Roman"/>
          <w:b/>
          <w:bCs/>
          <w:color w:val="FF0000"/>
          <w:szCs w:val="21"/>
        </w:rPr>
      </w:pPr>
    </w:p>
    <w:p w14:paraId="75E2477F">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FF0000"/>
          <w:szCs w:val="21"/>
        </w:rPr>
        <w:br w:type="page"/>
      </w:r>
      <w:r>
        <w:rPr>
          <w:rStyle w:val="56"/>
          <w:rFonts w:hint="eastAsia"/>
        </w:rPr>
        <w:t>表10.1-5 本工程废水污染物排放基本情况一览表</w:t>
      </w:r>
    </w:p>
    <w:tbl>
      <w:tblPr>
        <w:tblStyle w:val="41"/>
        <w:tblW w:w="5051" w:type="pct"/>
        <w:tblInd w:w="0" w:type="dxa"/>
        <w:tblBorders>
          <w:top w:val="single" w:color="000000" w:sz="12" w:space="0"/>
          <w:left w:val="single" w:color="000000" w:sz="12" w:space="0"/>
          <w:bottom w:val="single" w:color="auto" w:sz="12" w:space="0"/>
          <w:right w:val="single" w:color="auto" w:sz="12" w:space="0"/>
          <w:insideH w:val="single" w:color="000000" w:sz="4" w:space="0"/>
          <w:insideV w:val="single" w:color="000000" w:sz="4" w:space="0"/>
        </w:tblBorders>
        <w:tblLayout w:type="autofit"/>
        <w:tblCellMar>
          <w:top w:w="0" w:type="dxa"/>
          <w:left w:w="0" w:type="dxa"/>
          <w:bottom w:w="0" w:type="dxa"/>
          <w:right w:w="0" w:type="dxa"/>
        </w:tblCellMar>
      </w:tblPr>
      <w:tblGrid>
        <w:gridCol w:w="760"/>
        <w:gridCol w:w="1373"/>
        <w:gridCol w:w="980"/>
        <w:gridCol w:w="1570"/>
        <w:gridCol w:w="890"/>
        <w:gridCol w:w="1432"/>
        <w:gridCol w:w="726"/>
        <w:gridCol w:w="946"/>
        <w:gridCol w:w="940"/>
        <w:gridCol w:w="1330"/>
        <w:gridCol w:w="1197"/>
        <w:gridCol w:w="1966"/>
      </w:tblGrid>
      <w:tr w14:paraId="4D752209">
        <w:tblPrEx>
          <w:tblBorders>
            <w:top w:val="single" w:color="000000" w:sz="12" w:space="0"/>
            <w:left w:val="single" w:color="000000"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c>
          <w:tcPr>
            <w:tcW w:w="269" w:type="pct"/>
            <w:vMerge w:val="restart"/>
            <w:tcBorders>
              <w:top w:val="single" w:color="auto" w:sz="4" w:space="0"/>
              <w:left w:val="single" w:color="auto" w:sz="4" w:space="0"/>
              <w:bottom w:val="single" w:color="auto" w:sz="4" w:space="0"/>
              <w:right w:val="single" w:color="auto" w:sz="4" w:space="0"/>
            </w:tcBorders>
            <w:vAlign w:val="center"/>
          </w:tcPr>
          <w:p w14:paraId="04DDC0B0">
            <w:pPr>
              <w:adjustRightInd w:val="0"/>
              <w:snapToGrid w:val="0"/>
              <w:jc w:val="center"/>
              <w:rPr>
                <w:rFonts w:ascii="Times New Roman" w:hAnsi="Times New Roman" w:eastAsia="宋体" w:cs="Times New Roman"/>
                <w:b/>
                <w:color w:val="auto"/>
                <w:kern w:val="0"/>
                <w:sz w:val="22"/>
                <w:szCs w:val="20"/>
              </w:rPr>
            </w:pPr>
            <w:r>
              <w:rPr>
                <w:rFonts w:ascii="Times New Roman" w:hAnsi="Times New Roman" w:eastAsia="宋体" w:cs="Times New Roman"/>
                <w:b/>
                <w:color w:val="auto"/>
                <w:kern w:val="0"/>
                <w:sz w:val="22"/>
                <w:szCs w:val="20"/>
              </w:rPr>
              <w:t>废水</w:t>
            </w:r>
          </w:p>
          <w:p w14:paraId="4A35C2A1">
            <w:pPr>
              <w:adjustRightInd w:val="0"/>
              <w:snapToGrid w:val="0"/>
              <w:jc w:val="center"/>
              <w:rPr>
                <w:rFonts w:ascii="Times New Roman" w:hAnsi="Times New Roman" w:eastAsia="宋体" w:cs="Times New Roman"/>
                <w:b/>
                <w:color w:val="auto"/>
                <w:kern w:val="0"/>
                <w:sz w:val="22"/>
                <w:szCs w:val="20"/>
              </w:rPr>
            </w:pPr>
            <w:r>
              <w:rPr>
                <w:rFonts w:ascii="Times New Roman" w:hAnsi="Times New Roman" w:eastAsia="宋体" w:cs="Times New Roman"/>
                <w:b/>
                <w:color w:val="auto"/>
                <w:kern w:val="0"/>
                <w:sz w:val="22"/>
                <w:szCs w:val="20"/>
              </w:rPr>
              <w:t>类别</w:t>
            </w:r>
          </w:p>
        </w:tc>
        <w:tc>
          <w:tcPr>
            <w:tcW w:w="486" w:type="pct"/>
            <w:vMerge w:val="restart"/>
            <w:tcBorders>
              <w:top w:val="single" w:color="auto" w:sz="4" w:space="0"/>
              <w:left w:val="single" w:color="auto" w:sz="4" w:space="0"/>
              <w:bottom w:val="single" w:color="auto" w:sz="4" w:space="0"/>
              <w:right w:val="single" w:color="auto" w:sz="4" w:space="0"/>
            </w:tcBorders>
            <w:vAlign w:val="center"/>
          </w:tcPr>
          <w:p w14:paraId="0B787827">
            <w:pPr>
              <w:adjustRightInd w:val="0"/>
              <w:snapToGrid w:val="0"/>
              <w:jc w:val="center"/>
              <w:rPr>
                <w:rFonts w:ascii="Times New Roman" w:hAnsi="Times New Roman" w:eastAsia="宋体" w:cs="Times New Roman"/>
                <w:b/>
                <w:color w:val="auto"/>
                <w:kern w:val="0"/>
                <w:sz w:val="22"/>
                <w:szCs w:val="20"/>
              </w:rPr>
            </w:pPr>
            <w:r>
              <w:rPr>
                <w:rFonts w:ascii="Times New Roman" w:hAnsi="Times New Roman" w:eastAsia="宋体" w:cs="Times New Roman"/>
                <w:b/>
                <w:color w:val="auto"/>
                <w:kern w:val="0"/>
                <w:sz w:val="22"/>
                <w:szCs w:val="20"/>
              </w:rPr>
              <w:t>产生环节</w:t>
            </w:r>
          </w:p>
        </w:tc>
        <w:tc>
          <w:tcPr>
            <w:tcW w:w="903" w:type="pct"/>
            <w:gridSpan w:val="2"/>
            <w:tcBorders>
              <w:top w:val="single" w:color="auto" w:sz="4" w:space="0"/>
              <w:left w:val="single" w:color="auto" w:sz="4" w:space="0"/>
              <w:bottom w:val="single" w:color="auto" w:sz="4" w:space="0"/>
              <w:right w:val="single" w:color="auto" w:sz="4" w:space="0"/>
            </w:tcBorders>
            <w:vAlign w:val="center"/>
          </w:tcPr>
          <w:p w14:paraId="27A62598">
            <w:pPr>
              <w:adjustRightInd w:val="0"/>
              <w:snapToGrid w:val="0"/>
              <w:jc w:val="center"/>
              <w:rPr>
                <w:rFonts w:ascii="Times New Roman" w:hAnsi="Times New Roman" w:eastAsia="宋体" w:cs="Times New Roman"/>
                <w:b/>
                <w:color w:val="auto"/>
                <w:kern w:val="0"/>
                <w:sz w:val="22"/>
                <w:szCs w:val="20"/>
              </w:rPr>
            </w:pPr>
            <w:r>
              <w:rPr>
                <w:rFonts w:ascii="Times New Roman" w:hAnsi="Times New Roman" w:eastAsia="宋体" w:cs="Times New Roman"/>
                <w:b/>
                <w:color w:val="auto"/>
                <w:kern w:val="0"/>
                <w:sz w:val="22"/>
                <w:szCs w:val="20"/>
              </w:rPr>
              <w:t>污染治理设施</w:t>
            </w:r>
          </w:p>
        </w:tc>
        <w:tc>
          <w:tcPr>
            <w:tcW w:w="315" w:type="pct"/>
            <w:vMerge w:val="restart"/>
            <w:tcBorders>
              <w:top w:val="single" w:color="auto" w:sz="4" w:space="0"/>
              <w:left w:val="single" w:color="auto" w:sz="4" w:space="0"/>
              <w:bottom w:val="single" w:color="auto" w:sz="4" w:space="0"/>
              <w:right w:val="single" w:color="auto" w:sz="4" w:space="0"/>
            </w:tcBorders>
            <w:vAlign w:val="center"/>
          </w:tcPr>
          <w:p w14:paraId="2BFCFF41">
            <w:pPr>
              <w:adjustRightInd w:val="0"/>
              <w:snapToGrid w:val="0"/>
              <w:jc w:val="center"/>
              <w:rPr>
                <w:rFonts w:ascii="Times New Roman" w:hAnsi="Times New Roman" w:eastAsia="宋体" w:cs="Times New Roman"/>
                <w:b/>
                <w:color w:val="auto"/>
                <w:kern w:val="0"/>
                <w:sz w:val="22"/>
                <w:szCs w:val="20"/>
              </w:rPr>
            </w:pPr>
            <w:r>
              <w:rPr>
                <w:rFonts w:ascii="Times New Roman" w:hAnsi="Times New Roman" w:eastAsia="宋体" w:cs="Times New Roman"/>
                <w:b/>
                <w:color w:val="auto"/>
                <w:kern w:val="0"/>
                <w:sz w:val="22"/>
                <w:szCs w:val="20"/>
              </w:rPr>
              <w:t>排放口</w:t>
            </w:r>
          </w:p>
          <w:p w14:paraId="23D91B95">
            <w:pPr>
              <w:adjustRightInd w:val="0"/>
              <w:snapToGrid w:val="0"/>
              <w:jc w:val="center"/>
              <w:rPr>
                <w:rFonts w:ascii="Times New Roman" w:hAnsi="Times New Roman" w:eastAsia="宋体" w:cs="Times New Roman"/>
                <w:b/>
                <w:color w:val="auto"/>
                <w:kern w:val="0"/>
                <w:sz w:val="22"/>
                <w:szCs w:val="20"/>
              </w:rPr>
            </w:pPr>
            <w:r>
              <w:rPr>
                <w:rFonts w:ascii="Times New Roman" w:hAnsi="Times New Roman" w:eastAsia="宋体" w:cs="Times New Roman"/>
                <w:b/>
                <w:color w:val="auto"/>
                <w:kern w:val="0"/>
                <w:sz w:val="22"/>
                <w:szCs w:val="20"/>
              </w:rPr>
              <w:t>编号</w:t>
            </w:r>
          </w:p>
        </w:tc>
        <w:tc>
          <w:tcPr>
            <w:tcW w:w="507" w:type="pct"/>
            <w:vMerge w:val="restart"/>
            <w:tcBorders>
              <w:top w:val="single" w:color="auto" w:sz="4" w:space="0"/>
              <w:left w:val="single" w:color="auto" w:sz="4" w:space="0"/>
              <w:bottom w:val="single" w:color="auto" w:sz="4" w:space="0"/>
              <w:right w:val="single" w:color="auto" w:sz="4" w:space="0"/>
            </w:tcBorders>
            <w:vAlign w:val="center"/>
          </w:tcPr>
          <w:p w14:paraId="5B03FB18">
            <w:pPr>
              <w:adjustRightInd w:val="0"/>
              <w:snapToGrid w:val="0"/>
              <w:jc w:val="center"/>
              <w:rPr>
                <w:rFonts w:ascii="Times New Roman" w:hAnsi="Times New Roman" w:eastAsia="宋体" w:cs="Times New Roman"/>
                <w:b/>
                <w:color w:val="auto"/>
                <w:kern w:val="0"/>
                <w:sz w:val="22"/>
                <w:szCs w:val="20"/>
              </w:rPr>
            </w:pPr>
            <w:r>
              <w:rPr>
                <w:rFonts w:ascii="Times New Roman" w:hAnsi="Times New Roman" w:eastAsia="宋体" w:cs="Times New Roman"/>
                <w:b/>
                <w:color w:val="auto"/>
                <w:kern w:val="0"/>
                <w:sz w:val="22"/>
                <w:szCs w:val="20"/>
              </w:rPr>
              <w:t>排放口坐标</w:t>
            </w:r>
          </w:p>
        </w:tc>
        <w:tc>
          <w:tcPr>
            <w:tcW w:w="257" w:type="pct"/>
            <w:vMerge w:val="restart"/>
            <w:tcBorders>
              <w:top w:val="single" w:color="auto" w:sz="4" w:space="0"/>
              <w:left w:val="single" w:color="auto" w:sz="4" w:space="0"/>
              <w:bottom w:val="single" w:color="auto" w:sz="4" w:space="0"/>
              <w:right w:val="single" w:color="auto" w:sz="4" w:space="0"/>
            </w:tcBorders>
            <w:vAlign w:val="center"/>
          </w:tcPr>
          <w:p w14:paraId="42C4AB00">
            <w:pPr>
              <w:adjustRightInd w:val="0"/>
              <w:snapToGrid w:val="0"/>
              <w:jc w:val="center"/>
              <w:rPr>
                <w:rFonts w:ascii="Times New Roman" w:hAnsi="Times New Roman" w:eastAsia="宋体" w:cs="Times New Roman"/>
                <w:b/>
                <w:color w:val="auto"/>
                <w:kern w:val="0"/>
                <w:sz w:val="22"/>
                <w:szCs w:val="20"/>
              </w:rPr>
            </w:pPr>
            <w:r>
              <w:rPr>
                <w:rFonts w:ascii="Times New Roman" w:hAnsi="Times New Roman" w:eastAsia="宋体" w:cs="Times New Roman"/>
                <w:b/>
                <w:color w:val="auto"/>
                <w:kern w:val="0"/>
                <w:sz w:val="22"/>
                <w:szCs w:val="20"/>
              </w:rPr>
              <w:t>排放</w:t>
            </w:r>
          </w:p>
          <w:p w14:paraId="0DE0EC54">
            <w:pPr>
              <w:adjustRightInd w:val="0"/>
              <w:snapToGrid w:val="0"/>
              <w:jc w:val="center"/>
              <w:rPr>
                <w:rFonts w:ascii="Times New Roman" w:hAnsi="Times New Roman" w:eastAsia="宋体" w:cs="Times New Roman"/>
                <w:b/>
                <w:color w:val="auto"/>
                <w:kern w:val="0"/>
                <w:sz w:val="22"/>
                <w:szCs w:val="20"/>
              </w:rPr>
            </w:pPr>
            <w:r>
              <w:rPr>
                <w:rFonts w:ascii="Times New Roman" w:hAnsi="Times New Roman" w:eastAsia="宋体" w:cs="Times New Roman"/>
                <w:b/>
                <w:color w:val="auto"/>
                <w:kern w:val="0"/>
                <w:sz w:val="22"/>
                <w:szCs w:val="20"/>
              </w:rPr>
              <w:t>方式</w:t>
            </w:r>
          </w:p>
        </w:tc>
        <w:tc>
          <w:tcPr>
            <w:tcW w:w="335" w:type="pct"/>
            <w:vMerge w:val="restart"/>
            <w:tcBorders>
              <w:top w:val="single" w:color="auto" w:sz="4" w:space="0"/>
              <w:left w:val="single" w:color="auto" w:sz="4" w:space="0"/>
              <w:bottom w:val="single" w:color="auto" w:sz="4" w:space="0"/>
              <w:right w:val="single" w:color="auto" w:sz="4" w:space="0"/>
            </w:tcBorders>
            <w:vAlign w:val="center"/>
          </w:tcPr>
          <w:p w14:paraId="08D71761">
            <w:pPr>
              <w:adjustRightInd w:val="0"/>
              <w:snapToGrid w:val="0"/>
              <w:jc w:val="center"/>
              <w:rPr>
                <w:rFonts w:ascii="Times New Roman" w:hAnsi="Times New Roman" w:eastAsia="宋体" w:cs="Times New Roman"/>
                <w:b/>
                <w:color w:val="auto"/>
                <w:kern w:val="0"/>
                <w:sz w:val="22"/>
                <w:szCs w:val="20"/>
              </w:rPr>
            </w:pPr>
            <w:r>
              <w:rPr>
                <w:rFonts w:ascii="Times New Roman" w:hAnsi="Times New Roman" w:eastAsia="宋体" w:cs="Times New Roman"/>
                <w:b/>
                <w:color w:val="auto"/>
                <w:kern w:val="0"/>
                <w:sz w:val="22"/>
                <w:szCs w:val="20"/>
              </w:rPr>
              <w:t>排放去向</w:t>
            </w:r>
          </w:p>
        </w:tc>
        <w:tc>
          <w:tcPr>
            <w:tcW w:w="333" w:type="pct"/>
            <w:vMerge w:val="restart"/>
            <w:tcBorders>
              <w:top w:val="single" w:color="auto" w:sz="4" w:space="0"/>
              <w:left w:val="single" w:color="auto" w:sz="4" w:space="0"/>
              <w:bottom w:val="single" w:color="auto" w:sz="4" w:space="0"/>
              <w:right w:val="single" w:color="auto" w:sz="4" w:space="0"/>
            </w:tcBorders>
            <w:vAlign w:val="center"/>
          </w:tcPr>
          <w:p w14:paraId="3EA894F1">
            <w:pPr>
              <w:adjustRightInd w:val="0"/>
              <w:snapToGrid w:val="0"/>
              <w:jc w:val="center"/>
              <w:rPr>
                <w:rFonts w:ascii="Times New Roman" w:hAnsi="Times New Roman" w:eastAsia="宋体" w:cs="Times New Roman"/>
                <w:b/>
                <w:color w:val="auto"/>
                <w:kern w:val="0"/>
                <w:sz w:val="22"/>
                <w:szCs w:val="20"/>
              </w:rPr>
            </w:pPr>
            <w:r>
              <w:rPr>
                <w:rFonts w:ascii="Times New Roman" w:hAnsi="Times New Roman" w:eastAsia="宋体" w:cs="Times New Roman"/>
                <w:b/>
                <w:color w:val="auto"/>
                <w:kern w:val="0"/>
                <w:sz w:val="22"/>
                <w:szCs w:val="20"/>
              </w:rPr>
              <w:t>排放口</w:t>
            </w:r>
          </w:p>
          <w:p w14:paraId="6466BDEF">
            <w:pPr>
              <w:adjustRightInd w:val="0"/>
              <w:snapToGrid w:val="0"/>
              <w:jc w:val="center"/>
              <w:rPr>
                <w:rFonts w:ascii="Times New Roman" w:hAnsi="Times New Roman" w:eastAsia="宋体" w:cs="Times New Roman"/>
                <w:b/>
                <w:color w:val="auto"/>
                <w:kern w:val="0"/>
                <w:sz w:val="22"/>
                <w:szCs w:val="20"/>
              </w:rPr>
            </w:pPr>
            <w:r>
              <w:rPr>
                <w:rFonts w:ascii="Times New Roman" w:hAnsi="Times New Roman" w:eastAsia="宋体" w:cs="Times New Roman"/>
                <w:b/>
                <w:color w:val="auto"/>
                <w:kern w:val="0"/>
                <w:sz w:val="22"/>
                <w:szCs w:val="20"/>
              </w:rPr>
              <w:t>类型</w:t>
            </w:r>
          </w:p>
        </w:tc>
        <w:tc>
          <w:tcPr>
            <w:tcW w:w="471" w:type="pct"/>
            <w:vMerge w:val="restart"/>
            <w:tcBorders>
              <w:top w:val="single" w:color="auto" w:sz="4" w:space="0"/>
              <w:left w:val="single" w:color="auto" w:sz="4" w:space="0"/>
              <w:bottom w:val="single" w:color="auto" w:sz="4" w:space="0"/>
              <w:right w:val="single" w:color="auto" w:sz="4" w:space="0"/>
            </w:tcBorders>
            <w:vAlign w:val="center"/>
          </w:tcPr>
          <w:p w14:paraId="5491789A">
            <w:pPr>
              <w:adjustRightInd w:val="0"/>
              <w:snapToGrid w:val="0"/>
              <w:jc w:val="center"/>
              <w:rPr>
                <w:rFonts w:ascii="Times New Roman" w:hAnsi="Times New Roman" w:eastAsia="宋体" w:cs="Times New Roman"/>
                <w:b/>
                <w:color w:val="auto"/>
                <w:kern w:val="0"/>
                <w:sz w:val="22"/>
                <w:szCs w:val="20"/>
              </w:rPr>
            </w:pPr>
            <w:r>
              <w:rPr>
                <w:rFonts w:ascii="Times New Roman" w:hAnsi="Times New Roman" w:eastAsia="宋体" w:cs="Times New Roman"/>
                <w:b/>
                <w:color w:val="auto"/>
                <w:kern w:val="0"/>
                <w:sz w:val="22"/>
                <w:szCs w:val="20"/>
              </w:rPr>
              <w:t>污染物种类</w:t>
            </w:r>
          </w:p>
        </w:tc>
        <w:tc>
          <w:tcPr>
            <w:tcW w:w="424" w:type="pct"/>
            <w:vMerge w:val="restart"/>
            <w:tcBorders>
              <w:top w:val="single" w:color="auto" w:sz="4" w:space="0"/>
              <w:left w:val="single" w:color="auto" w:sz="4" w:space="0"/>
              <w:bottom w:val="single" w:color="auto" w:sz="4" w:space="0"/>
              <w:right w:val="single" w:color="auto" w:sz="4" w:space="0"/>
            </w:tcBorders>
            <w:vAlign w:val="center"/>
          </w:tcPr>
          <w:p w14:paraId="6BCC92AB">
            <w:pPr>
              <w:jc w:val="center"/>
              <w:rPr>
                <w:rFonts w:ascii="Times New Roman" w:hAnsi="Times New Roman" w:eastAsia="宋体" w:cs="Times New Roman"/>
                <w:color w:val="auto"/>
                <w:kern w:val="0"/>
                <w:sz w:val="22"/>
                <w:szCs w:val="20"/>
              </w:rPr>
            </w:pPr>
            <w:r>
              <w:rPr>
                <w:rFonts w:ascii="Times New Roman" w:hAnsi="Times New Roman" w:eastAsia="宋体" w:cs="Times New Roman"/>
                <w:b/>
                <w:color w:val="auto"/>
                <w:sz w:val="22"/>
                <w:szCs w:val="20"/>
              </w:rPr>
              <w:t>排放浓度限值（mg/L）</w:t>
            </w:r>
          </w:p>
        </w:tc>
        <w:tc>
          <w:tcPr>
            <w:tcW w:w="696" w:type="pct"/>
            <w:vMerge w:val="restart"/>
            <w:tcBorders>
              <w:top w:val="single" w:color="auto" w:sz="4" w:space="0"/>
              <w:left w:val="single" w:color="auto" w:sz="4" w:space="0"/>
              <w:bottom w:val="single" w:color="auto" w:sz="4" w:space="0"/>
              <w:right w:val="single" w:color="auto" w:sz="4" w:space="0"/>
            </w:tcBorders>
            <w:vAlign w:val="center"/>
          </w:tcPr>
          <w:p w14:paraId="2223AB73">
            <w:pPr>
              <w:jc w:val="center"/>
              <w:rPr>
                <w:rFonts w:ascii="Times New Roman" w:hAnsi="Times New Roman" w:eastAsia="宋体" w:cs="Times New Roman"/>
                <w:b/>
                <w:color w:val="auto"/>
                <w:sz w:val="22"/>
                <w:szCs w:val="20"/>
              </w:rPr>
            </w:pPr>
            <w:r>
              <w:rPr>
                <w:rFonts w:ascii="Times New Roman" w:hAnsi="Times New Roman" w:eastAsia="宋体" w:cs="Times New Roman"/>
                <w:b/>
                <w:color w:val="auto"/>
                <w:sz w:val="22"/>
                <w:szCs w:val="20"/>
              </w:rPr>
              <w:t>执行标准</w:t>
            </w:r>
          </w:p>
        </w:tc>
      </w:tr>
      <w:tr w14:paraId="6A5B73A5">
        <w:tblPrEx>
          <w:tblBorders>
            <w:top w:val="single" w:color="000000" w:sz="12" w:space="0"/>
            <w:left w:val="single" w:color="000000"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c>
          <w:tcPr>
            <w:tcW w:w="269" w:type="pct"/>
            <w:vMerge w:val="continue"/>
            <w:tcBorders>
              <w:top w:val="single" w:color="auto" w:sz="4" w:space="0"/>
              <w:left w:val="single" w:color="auto" w:sz="4" w:space="0"/>
            </w:tcBorders>
            <w:vAlign w:val="center"/>
          </w:tcPr>
          <w:p w14:paraId="21A78325">
            <w:pPr>
              <w:adjustRightInd w:val="0"/>
              <w:snapToGrid w:val="0"/>
              <w:jc w:val="center"/>
              <w:rPr>
                <w:rFonts w:ascii="Times New Roman" w:hAnsi="Times New Roman" w:eastAsia="宋体" w:cs="Times New Roman"/>
                <w:color w:val="auto"/>
                <w:kern w:val="0"/>
                <w:sz w:val="22"/>
                <w:szCs w:val="20"/>
              </w:rPr>
            </w:pPr>
          </w:p>
        </w:tc>
        <w:tc>
          <w:tcPr>
            <w:tcW w:w="486" w:type="pct"/>
            <w:vMerge w:val="continue"/>
            <w:tcBorders>
              <w:top w:val="single" w:color="auto" w:sz="4" w:space="0"/>
            </w:tcBorders>
            <w:vAlign w:val="center"/>
          </w:tcPr>
          <w:p w14:paraId="325EEE0C">
            <w:pPr>
              <w:adjustRightInd w:val="0"/>
              <w:snapToGrid w:val="0"/>
              <w:jc w:val="center"/>
              <w:rPr>
                <w:rFonts w:ascii="Times New Roman" w:hAnsi="Times New Roman" w:eastAsia="宋体" w:cs="Times New Roman"/>
                <w:color w:val="auto"/>
                <w:kern w:val="0"/>
                <w:sz w:val="22"/>
                <w:szCs w:val="20"/>
              </w:rPr>
            </w:pPr>
          </w:p>
        </w:tc>
        <w:tc>
          <w:tcPr>
            <w:tcW w:w="347" w:type="pct"/>
            <w:tcBorders>
              <w:top w:val="single" w:color="auto" w:sz="4" w:space="0"/>
            </w:tcBorders>
            <w:vAlign w:val="center"/>
          </w:tcPr>
          <w:p w14:paraId="7EDF0066">
            <w:pPr>
              <w:adjustRightInd w:val="0"/>
              <w:snapToGrid w:val="0"/>
              <w:jc w:val="center"/>
              <w:rPr>
                <w:rFonts w:ascii="Times New Roman" w:hAnsi="Times New Roman" w:eastAsia="宋体" w:cs="Times New Roman"/>
                <w:b/>
                <w:color w:val="auto"/>
                <w:kern w:val="0"/>
                <w:sz w:val="22"/>
                <w:szCs w:val="20"/>
              </w:rPr>
            </w:pPr>
            <w:r>
              <w:rPr>
                <w:rFonts w:ascii="Times New Roman" w:hAnsi="Times New Roman" w:eastAsia="宋体" w:cs="Times New Roman"/>
                <w:b/>
                <w:color w:val="auto"/>
                <w:kern w:val="0"/>
                <w:sz w:val="22"/>
                <w:szCs w:val="20"/>
              </w:rPr>
              <w:t>污染治理设施名称</w:t>
            </w:r>
          </w:p>
        </w:tc>
        <w:tc>
          <w:tcPr>
            <w:tcW w:w="555" w:type="pct"/>
            <w:tcBorders>
              <w:top w:val="single" w:color="auto" w:sz="4" w:space="0"/>
            </w:tcBorders>
            <w:vAlign w:val="center"/>
          </w:tcPr>
          <w:p w14:paraId="4C1F322E">
            <w:pPr>
              <w:adjustRightInd w:val="0"/>
              <w:snapToGrid w:val="0"/>
              <w:jc w:val="center"/>
              <w:rPr>
                <w:rFonts w:ascii="Times New Roman" w:hAnsi="Times New Roman" w:eastAsia="宋体" w:cs="Times New Roman"/>
                <w:b/>
                <w:color w:val="auto"/>
                <w:kern w:val="0"/>
                <w:sz w:val="22"/>
                <w:szCs w:val="20"/>
              </w:rPr>
            </w:pPr>
            <w:r>
              <w:rPr>
                <w:rFonts w:ascii="Times New Roman" w:hAnsi="Times New Roman" w:eastAsia="宋体" w:cs="Times New Roman"/>
                <w:b/>
                <w:color w:val="auto"/>
                <w:kern w:val="0"/>
                <w:sz w:val="22"/>
                <w:szCs w:val="20"/>
              </w:rPr>
              <w:t>污染治理设施</w:t>
            </w:r>
          </w:p>
          <w:p w14:paraId="63D4E28E">
            <w:pPr>
              <w:adjustRightInd w:val="0"/>
              <w:snapToGrid w:val="0"/>
              <w:jc w:val="center"/>
              <w:rPr>
                <w:rFonts w:ascii="Times New Roman" w:hAnsi="Times New Roman" w:eastAsia="宋体" w:cs="Times New Roman"/>
                <w:b/>
                <w:color w:val="auto"/>
                <w:kern w:val="0"/>
                <w:sz w:val="22"/>
                <w:szCs w:val="20"/>
              </w:rPr>
            </w:pPr>
            <w:r>
              <w:rPr>
                <w:rFonts w:ascii="Times New Roman" w:hAnsi="Times New Roman" w:eastAsia="宋体" w:cs="Times New Roman"/>
                <w:b/>
                <w:color w:val="auto"/>
                <w:kern w:val="0"/>
                <w:sz w:val="22"/>
                <w:szCs w:val="20"/>
              </w:rPr>
              <w:t>工艺</w:t>
            </w:r>
          </w:p>
        </w:tc>
        <w:tc>
          <w:tcPr>
            <w:tcW w:w="315" w:type="pct"/>
            <w:vMerge w:val="continue"/>
            <w:tcBorders>
              <w:top w:val="single" w:color="auto" w:sz="4" w:space="0"/>
            </w:tcBorders>
            <w:vAlign w:val="center"/>
          </w:tcPr>
          <w:p w14:paraId="7904453D">
            <w:pPr>
              <w:adjustRightInd w:val="0"/>
              <w:snapToGrid w:val="0"/>
              <w:jc w:val="center"/>
              <w:rPr>
                <w:rFonts w:ascii="Times New Roman" w:hAnsi="Times New Roman" w:eastAsia="宋体" w:cs="Times New Roman"/>
                <w:color w:val="auto"/>
                <w:kern w:val="0"/>
                <w:sz w:val="22"/>
                <w:szCs w:val="20"/>
              </w:rPr>
            </w:pPr>
          </w:p>
        </w:tc>
        <w:tc>
          <w:tcPr>
            <w:tcW w:w="507" w:type="pct"/>
            <w:vMerge w:val="continue"/>
            <w:tcBorders>
              <w:top w:val="single" w:color="auto" w:sz="4" w:space="0"/>
            </w:tcBorders>
            <w:vAlign w:val="center"/>
          </w:tcPr>
          <w:p w14:paraId="33E12554">
            <w:pPr>
              <w:adjustRightInd w:val="0"/>
              <w:snapToGrid w:val="0"/>
              <w:jc w:val="center"/>
              <w:rPr>
                <w:rFonts w:ascii="Times New Roman" w:hAnsi="Times New Roman" w:eastAsia="宋体" w:cs="Times New Roman"/>
                <w:color w:val="auto"/>
                <w:kern w:val="0"/>
                <w:sz w:val="22"/>
                <w:szCs w:val="20"/>
              </w:rPr>
            </w:pPr>
          </w:p>
        </w:tc>
        <w:tc>
          <w:tcPr>
            <w:tcW w:w="257" w:type="pct"/>
            <w:vMerge w:val="continue"/>
            <w:tcBorders>
              <w:top w:val="single" w:color="auto" w:sz="4" w:space="0"/>
            </w:tcBorders>
            <w:vAlign w:val="center"/>
          </w:tcPr>
          <w:p w14:paraId="5F61DE35">
            <w:pPr>
              <w:adjustRightInd w:val="0"/>
              <w:snapToGrid w:val="0"/>
              <w:jc w:val="center"/>
              <w:rPr>
                <w:rFonts w:ascii="Times New Roman" w:hAnsi="Times New Roman" w:eastAsia="宋体" w:cs="Times New Roman"/>
                <w:color w:val="auto"/>
                <w:kern w:val="0"/>
                <w:sz w:val="22"/>
                <w:szCs w:val="20"/>
              </w:rPr>
            </w:pPr>
          </w:p>
        </w:tc>
        <w:tc>
          <w:tcPr>
            <w:tcW w:w="335" w:type="pct"/>
            <w:vMerge w:val="continue"/>
            <w:tcBorders>
              <w:top w:val="single" w:color="auto" w:sz="4" w:space="0"/>
            </w:tcBorders>
            <w:vAlign w:val="center"/>
          </w:tcPr>
          <w:p w14:paraId="48967729">
            <w:pPr>
              <w:adjustRightInd w:val="0"/>
              <w:snapToGrid w:val="0"/>
              <w:jc w:val="center"/>
              <w:rPr>
                <w:rFonts w:ascii="Times New Roman" w:hAnsi="Times New Roman" w:eastAsia="宋体" w:cs="Times New Roman"/>
                <w:color w:val="auto"/>
                <w:kern w:val="0"/>
                <w:sz w:val="22"/>
                <w:szCs w:val="20"/>
              </w:rPr>
            </w:pPr>
          </w:p>
        </w:tc>
        <w:tc>
          <w:tcPr>
            <w:tcW w:w="333" w:type="pct"/>
            <w:vMerge w:val="continue"/>
            <w:tcBorders>
              <w:top w:val="single" w:color="auto" w:sz="4" w:space="0"/>
            </w:tcBorders>
            <w:vAlign w:val="center"/>
          </w:tcPr>
          <w:p w14:paraId="4F664CEA">
            <w:pPr>
              <w:adjustRightInd w:val="0"/>
              <w:snapToGrid w:val="0"/>
              <w:jc w:val="center"/>
              <w:rPr>
                <w:rFonts w:ascii="Times New Roman" w:hAnsi="Times New Roman" w:eastAsia="宋体" w:cs="Times New Roman"/>
                <w:color w:val="auto"/>
                <w:kern w:val="0"/>
                <w:sz w:val="22"/>
                <w:szCs w:val="20"/>
              </w:rPr>
            </w:pPr>
          </w:p>
        </w:tc>
        <w:tc>
          <w:tcPr>
            <w:tcW w:w="471" w:type="pct"/>
            <w:vMerge w:val="continue"/>
            <w:tcBorders>
              <w:top w:val="single" w:color="auto" w:sz="4" w:space="0"/>
            </w:tcBorders>
            <w:vAlign w:val="center"/>
          </w:tcPr>
          <w:p w14:paraId="22A191DD">
            <w:pPr>
              <w:adjustRightInd w:val="0"/>
              <w:snapToGrid w:val="0"/>
              <w:jc w:val="center"/>
              <w:rPr>
                <w:rFonts w:ascii="Times New Roman" w:hAnsi="Times New Roman" w:eastAsia="宋体" w:cs="Times New Roman"/>
                <w:color w:val="auto"/>
                <w:kern w:val="0"/>
                <w:sz w:val="22"/>
                <w:szCs w:val="20"/>
              </w:rPr>
            </w:pPr>
          </w:p>
        </w:tc>
        <w:tc>
          <w:tcPr>
            <w:tcW w:w="424" w:type="pct"/>
            <w:vMerge w:val="continue"/>
            <w:tcBorders>
              <w:top w:val="single" w:color="auto" w:sz="4" w:space="0"/>
            </w:tcBorders>
            <w:vAlign w:val="center"/>
          </w:tcPr>
          <w:p w14:paraId="2B65917F">
            <w:pPr>
              <w:adjustRightInd w:val="0"/>
              <w:snapToGrid w:val="0"/>
              <w:jc w:val="center"/>
              <w:rPr>
                <w:rFonts w:ascii="Times New Roman" w:hAnsi="Times New Roman" w:eastAsia="宋体" w:cs="Times New Roman"/>
                <w:color w:val="auto"/>
                <w:kern w:val="0"/>
                <w:sz w:val="22"/>
                <w:szCs w:val="20"/>
              </w:rPr>
            </w:pPr>
          </w:p>
        </w:tc>
        <w:tc>
          <w:tcPr>
            <w:tcW w:w="696" w:type="pct"/>
            <w:vMerge w:val="continue"/>
            <w:tcBorders>
              <w:top w:val="single" w:color="auto" w:sz="4" w:space="0"/>
              <w:right w:val="single" w:color="auto" w:sz="4" w:space="0"/>
            </w:tcBorders>
            <w:vAlign w:val="center"/>
          </w:tcPr>
          <w:p w14:paraId="728B702D">
            <w:pPr>
              <w:adjustRightInd w:val="0"/>
              <w:snapToGrid w:val="0"/>
              <w:jc w:val="center"/>
              <w:rPr>
                <w:rFonts w:ascii="Times New Roman" w:hAnsi="Times New Roman" w:eastAsia="宋体" w:cs="Times New Roman"/>
                <w:color w:val="auto"/>
                <w:kern w:val="0"/>
                <w:sz w:val="22"/>
                <w:szCs w:val="20"/>
              </w:rPr>
            </w:pPr>
          </w:p>
        </w:tc>
      </w:tr>
      <w:tr w14:paraId="5D1A9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269" w:type="pct"/>
            <w:vMerge w:val="restart"/>
            <w:vAlign w:val="center"/>
          </w:tcPr>
          <w:p w14:paraId="5170602D">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生产废水</w:t>
            </w:r>
          </w:p>
        </w:tc>
        <w:tc>
          <w:tcPr>
            <w:tcW w:w="486" w:type="pct"/>
            <w:vMerge w:val="restart"/>
            <w:vAlign w:val="center"/>
          </w:tcPr>
          <w:p w14:paraId="5F267304">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加热浓缩冷凝、提纯、设备地面清洗、废气处理、纯水制备</w:t>
            </w:r>
          </w:p>
        </w:tc>
        <w:tc>
          <w:tcPr>
            <w:tcW w:w="347" w:type="pct"/>
            <w:vMerge w:val="restart"/>
            <w:vAlign w:val="center"/>
          </w:tcPr>
          <w:p w14:paraId="61174408">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污水处理站</w:t>
            </w:r>
          </w:p>
        </w:tc>
        <w:tc>
          <w:tcPr>
            <w:tcW w:w="555" w:type="pct"/>
            <w:vMerge w:val="restart"/>
            <w:vAlign w:val="center"/>
          </w:tcPr>
          <w:p w14:paraId="5499D01B">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废水处理主体系</w:t>
            </w:r>
            <w:r>
              <w:rPr>
                <w:rFonts w:hint="eastAsia" w:ascii="宋体" w:hAnsi="宋体" w:eastAsia="宋体" w:cs="宋体"/>
                <w:color w:val="auto"/>
                <w:szCs w:val="21"/>
              </w:rPr>
              <w:t>统</w:t>
            </w:r>
            <w:r>
              <w:rPr>
                <w:rFonts w:hint="eastAsia" w:ascii="Times New Roman" w:hAnsi="Times New Roman" w:eastAsia="宋体" w:cs="Times New Roman"/>
                <w:color w:val="auto"/>
                <w:kern w:val="0"/>
                <w:szCs w:val="21"/>
                <w:lang w:bidi="ar"/>
              </w:rPr>
              <w:t>“物化+厌氧+A/O+气浮”</w:t>
            </w:r>
          </w:p>
        </w:tc>
        <w:tc>
          <w:tcPr>
            <w:tcW w:w="315" w:type="pct"/>
            <w:vMerge w:val="restart"/>
            <w:vAlign w:val="center"/>
          </w:tcPr>
          <w:p w14:paraId="2BD1768C">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DW001</w:t>
            </w:r>
          </w:p>
        </w:tc>
        <w:tc>
          <w:tcPr>
            <w:tcW w:w="507" w:type="pct"/>
            <w:vMerge w:val="restart"/>
            <w:vAlign w:val="center"/>
          </w:tcPr>
          <w:p w14:paraId="1DBDB16D">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经度：</w:t>
            </w:r>
            <w:r>
              <w:rPr>
                <w:rFonts w:hint="eastAsia" w:ascii="Times New Roman" w:hAnsi="Times New Roman" w:eastAsia="宋体" w:cs="Times New Roman"/>
                <w:color w:val="auto"/>
                <w:szCs w:val="21"/>
              </w:rPr>
              <w:t>111度 52分 41.16秒</w:t>
            </w:r>
            <w:r>
              <w:rPr>
                <w:rFonts w:ascii="Times New Roman" w:hAnsi="Times New Roman" w:eastAsia="宋体" w:cs="Times New Roman"/>
                <w:color w:val="auto"/>
                <w:szCs w:val="21"/>
              </w:rPr>
              <w:t>纬度：</w:t>
            </w:r>
            <w:r>
              <w:rPr>
                <w:rFonts w:hint="eastAsia" w:ascii="Times New Roman" w:hAnsi="Times New Roman" w:eastAsia="宋体" w:cs="Times New Roman"/>
                <w:color w:val="auto"/>
                <w:szCs w:val="21"/>
              </w:rPr>
              <w:t>29度 33分 29.59秒</w:t>
            </w:r>
          </w:p>
        </w:tc>
        <w:tc>
          <w:tcPr>
            <w:tcW w:w="257" w:type="pct"/>
            <w:vMerge w:val="restart"/>
            <w:vAlign w:val="center"/>
          </w:tcPr>
          <w:p w14:paraId="114C70E7">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间接排放</w:t>
            </w:r>
          </w:p>
        </w:tc>
        <w:tc>
          <w:tcPr>
            <w:tcW w:w="335" w:type="pct"/>
            <w:vMerge w:val="restart"/>
            <w:vAlign w:val="center"/>
          </w:tcPr>
          <w:p w14:paraId="3C93FA47">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津市工业园污水处理厂</w:t>
            </w:r>
            <w:r>
              <w:rPr>
                <w:rFonts w:ascii="Times New Roman" w:hAnsi="Times New Roman" w:eastAsia="宋体" w:cs="Times New Roman"/>
                <w:color w:val="auto"/>
                <w:szCs w:val="21"/>
              </w:rPr>
              <w:t>（一期、二期及二期扩容</w:t>
            </w:r>
            <w:r>
              <w:rPr>
                <w:rFonts w:hint="eastAsia" w:ascii="Times New Roman" w:hAnsi="Times New Roman" w:eastAsia="宋体" w:cs="Times New Roman"/>
                <w:color w:val="auto"/>
                <w:szCs w:val="21"/>
              </w:rPr>
              <w:t>）</w:t>
            </w:r>
          </w:p>
        </w:tc>
        <w:tc>
          <w:tcPr>
            <w:tcW w:w="333" w:type="pct"/>
            <w:vMerge w:val="restart"/>
            <w:vAlign w:val="center"/>
          </w:tcPr>
          <w:p w14:paraId="13F53DA7">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主要排放口</w:t>
            </w:r>
          </w:p>
        </w:tc>
        <w:tc>
          <w:tcPr>
            <w:tcW w:w="471" w:type="pct"/>
            <w:vAlign w:val="center"/>
          </w:tcPr>
          <w:p w14:paraId="424AEA90">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pH</w:t>
            </w:r>
          </w:p>
        </w:tc>
        <w:tc>
          <w:tcPr>
            <w:tcW w:w="424" w:type="pct"/>
            <w:vAlign w:val="center"/>
          </w:tcPr>
          <w:p w14:paraId="4F15674F">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6~9</w:t>
            </w:r>
          </w:p>
        </w:tc>
        <w:tc>
          <w:tcPr>
            <w:tcW w:w="696" w:type="pct"/>
            <w:vMerge w:val="restart"/>
            <w:vAlign w:val="center"/>
          </w:tcPr>
          <w:p w14:paraId="0329291B">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津市工业园污水处理厂进水水质标准及《污水综合排放标准》（GB 8978-1996）</w:t>
            </w:r>
          </w:p>
        </w:tc>
      </w:tr>
      <w:tr w14:paraId="3D8E6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269" w:type="pct"/>
            <w:vMerge w:val="continue"/>
            <w:vAlign w:val="center"/>
          </w:tcPr>
          <w:p w14:paraId="602EEC70">
            <w:pPr>
              <w:jc w:val="center"/>
              <w:rPr>
                <w:rFonts w:ascii="Times New Roman" w:hAnsi="Times New Roman" w:eastAsia="宋体" w:cs="Times New Roman"/>
                <w:color w:val="auto"/>
                <w:sz w:val="24"/>
                <w:szCs w:val="24"/>
              </w:rPr>
            </w:pPr>
          </w:p>
        </w:tc>
        <w:tc>
          <w:tcPr>
            <w:tcW w:w="486" w:type="pct"/>
            <w:vMerge w:val="continue"/>
            <w:vAlign w:val="center"/>
          </w:tcPr>
          <w:p w14:paraId="03316101">
            <w:pPr>
              <w:jc w:val="center"/>
              <w:rPr>
                <w:rFonts w:ascii="Times New Roman" w:hAnsi="Times New Roman" w:eastAsia="宋体" w:cs="Times New Roman"/>
                <w:color w:val="auto"/>
                <w:sz w:val="24"/>
                <w:szCs w:val="24"/>
              </w:rPr>
            </w:pPr>
          </w:p>
        </w:tc>
        <w:tc>
          <w:tcPr>
            <w:tcW w:w="347" w:type="pct"/>
            <w:vMerge w:val="continue"/>
            <w:vAlign w:val="center"/>
          </w:tcPr>
          <w:p w14:paraId="18630E73">
            <w:pPr>
              <w:jc w:val="center"/>
              <w:rPr>
                <w:rFonts w:ascii="Times New Roman" w:hAnsi="Times New Roman" w:eastAsia="宋体" w:cs="Times New Roman"/>
                <w:color w:val="auto"/>
                <w:sz w:val="24"/>
                <w:szCs w:val="24"/>
              </w:rPr>
            </w:pPr>
          </w:p>
        </w:tc>
        <w:tc>
          <w:tcPr>
            <w:tcW w:w="555" w:type="pct"/>
            <w:vMerge w:val="continue"/>
            <w:vAlign w:val="center"/>
          </w:tcPr>
          <w:p w14:paraId="2B2E1644">
            <w:pPr>
              <w:jc w:val="center"/>
              <w:rPr>
                <w:rFonts w:ascii="Times New Roman" w:hAnsi="Times New Roman" w:eastAsia="宋体" w:cs="Times New Roman"/>
                <w:color w:val="auto"/>
                <w:sz w:val="24"/>
                <w:szCs w:val="24"/>
              </w:rPr>
            </w:pPr>
          </w:p>
        </w:tc>
        <w:tc>
          <w:tcPr>
            <w:tcW w:w="315" w:type="pct"/>
            <w:vMerge w:val="continue"/>
            <w:vAlign w:val="center"/>
          </w:tcPr>
          <w:p w14:paraId="2218F9EF">
            <w:pPr>
              <w:jc w:val="center"/>
              <w:rPr>
                <w:rFonts w:ascii="Times New Roman" w:hAnsi="Times New Roman" w:eastAsia="宋体" w:cs="Times New Roman"/>
                <w:color w:val="auto"/>
                <w:sz w:val="24"/>
                <w:szCs w:val="24"/>
              </w:rPr>
            </w:pPr>
          </w:p>
        </w:tc>
        <w:tc>
          <w:tcPr>
            <w:tcW w:w="507" w:type="pct"/>
            <w:vMerge w:val="continue"/>
            <w:vAlign w:val="center"/>
          </w:tcPr>
          <w:p w14:paraId="33390763">
            <w:pPr>
              <w:jc w:val="center"/>
              <w:rPr>
                <w:rFonts w:ascii="Times New Roman" w:hAnsi="Times New Roman" w:eastAsia="宋体" w:cs="Times New Roman"/>
                <w:color w:val="auto"/>
                <w:sz w:val="24"/>
                <w:szCs w:val="24"/>
              </w:rPr>
            </w:pPr>
          </w:p>
        </w:tc>
        <w:tc>
          <w:tcPr>
            <w:tcW w:w="257" w:type="pct"/>
            <w:vMerge w:val="continue"/>
            <w:vAlign w:val="center"/>
          </w:tcPr>
          <w:p w14:paraId="2DDD3855">
            <w:pPr>
              <w:jc w:val="center"/>
              <w:rPr>
                <w:rFonts w:ascii="Times New Roman" w:hAnsi="Times New Roman" w:eastAsia="宋体" w:cs="Times New Roman"/>
                <w:color w:val="auto"/>
                <w:sz w:val="24"/>
                <w:szCs w:val="24"/>
              </w:rPr>
            </w:pPr>
          </w:p>
        </w:tc>
        <w:tc>
          <w:tcPr>
            <w:tcW w:w="335" w:type="pct"/>
            <w:vMerge w:val="continue"/>
            <w:vAlign w:val="center"/>
          </w:tcPr>
          <w:p w14:paraId="1AC6E6C7">
            <w:pPr>
              <w:jc w:val="center"/>
              <w:rPr>
                <w:rFonts w:ascii="Times New Roman" w:hAnsi="Times New Roman" w:eastAsia="宋体" w:cs="Times New Roman"/>
                <w:color w:val="auto"/>
                <w:sz w:val="24"/>
                <w:szCs w:val="24"/>
              </w:rPr>
            </w:pPr>
          </w:p>
        </w:tc>
        <w:tc>
          <w:tcPr>
            <w:tcW w:w="333" w:type="pct"/>
            <w:vMerge w:val="continue"/>
            <w:vAlign w:val="center"/>
          </w:tcPr>
          <w:p w14:paraId="5B902839">
            <w:pPr>
              <w:jc w:val="center"/>
              <w:rPr>
                <w:rFonts w:ascii="Times New Roman" w:hAnsi="Times New Roman" w:eastAsia="宋体" w:cs="Times New Roman"/>
                <w:color w:val="auto"/>
                <w:sz w:val="24"/>
                <w:szCs w:val="24"/>
              </w:rPr>
            </w:pPr>
          </w:p>
        </w:tc>
        <w:tc>
          <w:tcPr>
            <w:tcW w:w="471" w:type="pct"/>
            <w:vAlign w:val="center"/>
          </w:tcPr>
          <w:p w14:paraId="4463FAEF">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COD</w:t>
            </w:r>
          </w:p>
        </w:tc>
        <w:tc>
          <w:tcPr>
            <w:tcW w:w="424" w:type="pct"/>
            <w:vAlign w:val="center"/>
          </w:tcPr>
          <w:p w14:paraId="4A9E6FB3">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450</w:t>
            </w:r>
          </w:p>
        </w:tc>
        <w:tc>
          <w:tcPr>
            <w:tcW w:w="696" w:type="pct"/>
            <w:vMerge w:val="continue"/>
            <w:vAlign w:val="center"/>
          </w:tcPr>
          <w:p w14:paraId="3B300DCE">
            <w:pPr>
              <w:jc w:val="center"/>
              <w:rPr>
                <w:rFonts w:ascii="Times New Roman" w:hAnsi="Times New Roman" w:eastAsia="宋体" w:cs="Times New Roman"/>
                <w:color w:val="auto"/>
                <w:szCs w:val="21"/>
              </w:rPr>
            </w:pPr>
          </w:p>
        </w:tc>
      </w:tr>
      <w:tr w14:paraId="1E4DF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trPr>
        <w:tc>
          <w:tcPr>
            <w:tcW w:w="269" w:type="pct"/>
            <w:vMerge w:val="continue"/>
            <w:vAlign w:val="center"/>
          </w:tcPr>
          <w:p w14:paraId="1A3647D8">
            <w:pPr>
              <w:jc w:val="center"/>
              <w:rPr>
                <w:rFonts w:ascii="Times New Roman" w:hAnsi="Times New Roman" w:eastAsia="宋体" w:cs="Times New Roman"/>
                <w:color w:val="auto"/>
                <w:szCs w:val="21"/>
              </w:rPr>
            </w:pPr>
          </w:p>
        </w:tc>
        <w:tc>
          <w:tcPr>
            <w:tcW w:w="486" w:type="pct"/>
            <w:vMerge w:val="continue"/>
            <w:vAlign w:val="center"/>
          </w:tcPr>
          <w:p w14:paraId="2F6EF0A7">
            <w:pPr>
              <w:jc w:val="center"/>
              <w:rPr>
                <w:rFonts w:ascii="Times New Roman" w:hAnsi="Times New Roman" w:eastAsia="宋体" w:cs="Times New Roman"/>
                <w:color w:val="auto"/>
                <w:szCs w:val="21"/>
              </w:rPr>
            </w:pPr>
          </w:p>
        </w:tc>
        <w:tc>
          <w:tcPr>
            <w:tcW w:w="347" w:type="pct"/>
            <w:vMerge w:val="continue"/>
            <w:vAlign w:val="center"/>
          </w:tcPr>
          <w:p w14:paraId="4E12FF93">
            <w:pPr>
              <w:jc w:val="center"/>
              <w:rPr>
                <w:rFonts w:ascii="Times New Roman" w:hAnsi="Times New Roman" w:eastAsia="宋体" w:cs="Times New Roman"/>
                <w:color w:val="auto"/>
                <w:szCs w:val="21"/>
              </w:rPr>
            </w:pPr>
          </w:p>
        </w:tc>
        <w:tc>
          <w:tcPr>
            <w:tcW w:w="555" w:type="pct"/>
            <w:vMerge w:val="continue"/>
            <w:vAlign w:val="center"/>
          </w:tcPr>
          <w:p w14:paraId="49E37A20">
            <w:pPr>
              <w:jc w:val="center"/>
              <w:rPr>
                <w:rFonts w:ascii="Times New Roman" w:hAnsi="Times New Roman" w:eastAsia="宋体" w:cs="Times New Roman"/>
                <w:color w:val="auto"/>
                <w:szCs w:val="21"/>
              </w:rPr>
            </w:pPr>
          </w:p>
        </w:tc>
        <w:tc>
          <w:tcPr>
            <w:tcW w:w="315" w:type="pct"/>
            <w:vMerge w:val="continue"/>
            <w:vAlign w:val="center"/>
          </w:tcPr>
          <w:p w14:paraId="36D101A8">
            <w:pPr>
              <w:jc w:val="center"/>
              <w:rPr>
                <w:rFonts w:ascii="Times New Roman" w:hAnsi="Times New Roman" w:eastAsia="宋体" w:cs="Times New Roman"/>
                <w:color w:val="auto"/>
                <w:szCs w:val="21"/>
              </w:rPr>
            </w:pPr>
          </w:p>
        </w:tc>
        <w:tc>
          <w:tcPr>
            <w:tcW w:w="507" w:type="pct"/>
            <w:vMerge w:val="continue"/>
            <w:vAlign w:val="center"/>
          </w:tcPr>
          <w:p w14:paraId="0B395051">
            <w:pPr>
              <w:jc w:val="center"/>
              <w:rPr>
                <w:rFonts w:ascii="Times New Roman" w:hAnsi="Times New Roman" w:eastAsia="宋体" w:cs="Times New Roman"/>
                <w:color w:val="auto"/>
                <w:szCs w:val="21"/>
              </w:rPr>
            </w:pPr>
          </w:p>
        </w:tc>
        <w:tc>
          <w:tcPr>
            <w:tcW w:w="257" w:type="pct"/>
            <w:vMerge w:val="continue"/>
            <w:vAlign w:val="center"/>
          </w:tcPr>
          <w:p w14:paraId="30CAF570">
            <w:pPr>
              <w:jc w:val="center"/>
              <w:rPr>
                <w:rFonts w:ascii="Times New Roman" w:hAnsi="Times New Roman" w:eastAsia="宋体" w:cs="Times New Roman"/>
                <w:color w:val="auto"/>
                <w:szCs w:val="21"/>
              </w:rPr>
            </w:pPr>
          </w:p>
        </w:tc>
        <w:tc>
          <w:tcPr>
            <w:tcW w:w="335" w:type="pct"/>
            <w:vMerge w:val="continue"/>
            <w:vAlign w:val="center"/>
          </w:tcPr>
          <w:p w14:paraId="7536A47F">
            <w:pPr>
              <w:jc w:val="center"/>
              <w:rPr>
                <w:rFonts w:ascii="Times New Roman" w:hAnsi="Times New Roman" w:eastAsia="宋体" w:cs="Times New Roman"/>
                <w:color w:val="auto"/>
                <w:szCs w:val="21"/>
              </w:rPr>
            </w:pPr>
          </w:p>
        </w:tc>
        <w:tc>
          <w:tcPr>
            <w:tcW w:w="333" w:type="pct"/>
            <w:vMerge w:val="continue"/>
            <w:vAlign w:val="center"/>
          </w:tcPr>
          <w:p w14:paraId="4C51A208">
            <w:pPr>
              <w:jc w:val="center"/>
              <w:rPr>
                <w:rFonts w:ascii="Times New Roman" w:hAnsi="Times New Roman" w:eastAsia="宋体" w:cs="Times New Roman"/>
                <w:color w:val="auto"/>
                <w:szCs w:val="21"/>
              </w:rPr>
            </w:pPr>
          </w:p>
        </w:tc>
        <w:tc>
          <w:tcPr>
            <w:tcW w:w="471" w:type="pct"/>
            <w:vAlign w:val="center"/>
          </w:tcPr>
          <w:p w14:paraId="72C1FD85">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氨氮</w:t>
            </w:r>
          </w:p>
        </w:tc>
        <w:tc>
          <w:tcPr>
            <w:tcW w:w="424" w:type="pct"/>
            <w:vAlign w:val="center"/>
          </w:tcPr>
          <w:p w14:paraId="1727D7BF">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35</w:t>
            </w:r>
          </w:p>
        </w:tc>
        <w:tc>
          <w:tcPr>
            <w:tcW w:w="696" w:type="pct"/>
            <w:vMerge w:val="continue"/>
            <w:vAlign w:val="center"/>
          </w:tcPr>
          <w:p w14:paraId="6E8C7ABF">
            <w:pPr>
              <w:jc w:val="center"/>
              <w:rPr>
                <w:rFonts w:ascii="Times New Roman" w:hAnsi="Times New Roman" w:eastAsia="宋体" w:cs="Times New Roman"/>
                <w:color w:val="auto"/>
                <w:szCs w:val="21"/>
              </w:rPr>
            </w:pPr>
          </w:p>
        </w:tc>
      </w:tr>
      <w:tr w14:paraId="1C3FC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5" w:hRule="atLeast"/>
        </w:trPr>
        <w:tc>
          <w:tcPr>
            <w:tcW w:w="269" w:type="pct"/>
            <w:vMerge w:val="continue"/>
            <w:vAlign w:val="center"/>
          </w:tcPr>
          <w:p w14:paraId="612BBD76">
            <w:pPr>
              <w:jc w:val="center"/>
              <w:rPr>
                <w:rFonts w:ascii="Times New Roman" w:hAnsi="Times New Roman" w:eastAsia="宋体" w:cs="Times New Roman"/>
                <w:color w:val="auto"/>
                <w:szCs w:val="21"/>
              </w:rPr>
            </w:pPr>
          </w:p>
        </w:tc>
        <w:tc>
          <w:tcPr>
            <w:tcW w:w="486" w:type="pct"/>
            <w:vMerge w:val="continue"/>
            <w:vAlign w:val="center"/>
          </w:tcPr>
          <w:p w14:paraId="661043B0">
            <w:pPr>
              <w:jc w:val="center"/>
              <w:rPr>
                <w:rFonts w:ascii="Times New Roman" w:hAnsi="Times New Roman" w:eastAsia="宋体" w:cs="Times New Roman"/>
                <w:color w:val="auto"/>
                <w:szCs w:val="21"/>
              </w:rPr>
            </w:pPr>
          </w:p>
        </w:tc>
        <w:tc>
          <w:tcPr>
            <w:tcW w:w="347" w:type="pct"/>
            <w:vMerge w:val="continue"/>
            <w:vAlign w:val="center"/>
          </w:tcPr>
          <w:p w14:paraId="19019F64">
            <w:pPr>
              <w:jc w:val="center"/>
              <w:rPr>
                <w:rFonts w:ascii="Times New Roman" w:hAnsi="Times New Roman" w:eastAsia="宋体" w:cs="Times New Roman"/>
                <w:color w:val="auto"/>
                <w:szCs w:val="21"/>
              </w:rPr>
            </w:pPr>
          </w:p>
        </w:tc>
        <w:tc>
          <w:tcPr>
            <w:tcW w:w="555" w:type="pct"/>
            <w:vMerge w:val="continue"/>
            <w:vAlign w:val="center"/>
          </w:tcPr>
          <w:p w14:paraId="6E4C7ABE">
            <w:pPr>
              <w:jc w:val="center"/>
              <w:rPr>
                <w:rFonts w:ascii="Times New Roman" w:hAnsi="Times New Roman" w:eastAsia="宋体" w:cs="Times New Roman"/>
                <w:color w:val="auto"/>
                <w:szCs w:val="21"/>
              </w:rPr>
            </w:pPr>
          </w:p>
        </w:tc>
        <w:tc>
          <w:tcPr>
            <w:tcW w:w="315" w:type="pct"/>
            <w:vMerge w:val="continue"/>
            <w:vAlign w:val="center"/>
          </w:tcPr>
          <w:p w14:paraId="070DCCCE">
            <w:pPr>
              <w:jc w:val="center"/>
              <w:rPr>
                <w:rFonts w:ascii="Times New Roman" w:hAnsi="Times New Roman" w:eastAsia="宋体" w:cs="Times New Roman"/>
                <w:color w:val="auto"/>
                <w:szCs w:val="21"/>
              </w:rPr>
            </w:pPr>
          </w:p>
        </w:tc>
        <w:tc>
          <w:tcPr>
            <w:tcW w:w="507" w:type="pct"/>
            <w:vMerge w:val="continue"/>
            <w:vAlign w:val="center"/>
          </w:tcPr>
          <w:p w14:paraId="37769F07">
            <w:pPr>
              <w:jc w:val="center"/>
              <w:rPr>
                <w:rFonts w:ascii="Times New Roman" w:hAnsi="Times New Roman" w:eastAsia="宋体" w:cs="Times New Roman"/>
                <w:color w:val="auto"/>
                <w:szCs w:val="21"/>
              </w:rPr>
            </w:pPr>
          </w:p>
        </w:tc>
        <w:tc>
          <w:tcPr>
            <w:tcW w:w="257" w:type="pct"/>
            <w:vMerge w:val="continue"/>
            <w:vAlign w:val="center"/>
          </w:tcPr>
          <w:p w14:paraId="5CBF9F1E">
            <w:pPr>
              <w:jc w:val="center"/>
              <w:rPr>
                <w:rFonts w:ascii="Times New Roman" w:hAnsi="Times New Roman" w:eastAsia="宋体" w:cs="Times New Roman"/>
                <w:color w:val="auto"/>
                <w:szCs w:val="21"/>
              </w:rPr>
            </w:pPr>
          </w:p>
        </w:tc>
        <w:tc>
          <w:tcPr>
            <w:tcW w:w="335" w:type="pct"/>
            <w:vMerge w:val="continue"/>
            <w:vAlign w:val="center"/>
          </w:tcPr>
          <w:p w14:paraId="3E4817FE">
            <w:pPr>
              <w:jc w:val="center"/>
              <w:rPr>
                <w:rFonts w:ascii="Times New Roman" w:hAnsi="Times New Roman" w:eastAsia="宋体" w:cs="Times New Roman"/>
                <w:color w:val="auto"/>
                <w:szCs w:val="21"/>
              </w:rPr>
            </w:pPr>
          </w:p>
        </w:tc>
        <w:tc>
          <w:tcPr>
            <w:tcW w:w="333" w:type="pct"/>
            <w:vMerge w:val="continue"/>
            <w:vAlign w:val="center"/>
          </w:tcPr>
          <w:p w14:paraId="6ECD39CC">
            <w:pPr>
              <w:jc w:val="center"/>
              <w:rPr>
                <w:rFonts w:ascii="Times New Roman" w:hAnsi="Times New Roman" w:eastAsia="宋体" w:cs="Times New Roman"/>
                <w:color w:val="auto"/>
                <w:szCs w:val="21"/>
              </w:rPr>
            </w:pPr>
          </w:p>
        </w:tc>
        <w:tc>
          <w:tcPr>
            <w:tcW w:w="471" w:type="pct"/>
            <w:vAlign w:val="center"/>
          </w:tcPr>
          <w:p w14:paraId="522F2EBC">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SS</w:t>
            </w:r>
          </w:p>
        </w:tc>
        <w:tc>
          <w:tcPr>
            <w:tcW w:w="424" w:type="pct"/>
            <w:vAlign w:val="center"/>
          </w:tcPr>
          <w:p w14:paraId="7720C43A">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300</w:t>
            </w:r>
          </w:p>
        </w:tc>
        <w:tc>
          <w:tcPr>
            <w:tcW w:w="696" w:type="pct"/>
            <w:vMerge w:val="continue"/>
            <w:vAlign w:val="center"/>
          </w:tcPr>
          <w:p w14:paraId="3F14CE6B">
            <w:pPr>
              <w:jc w:val="center"/>
              <w:rPr>
                <w:rFonts w:ascii="Times New Roman" w:hAnsi="Times New Roman" w:eastAsia="宋体" w:cs="Times New Roman"/>
                <w:color w:val="auto"/>
                <w:szCs w:val="21"/>
              </w:rPr>
            </w:pPr>
          </w:p>
        </w:tc>
      </w:tr>
      <w:tr w14:paraId="52DC2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5" w:hRule="atLeast"/>
        </w:trPr>
        <w:tc>
          <w:tcPr>
            <w:tcW w:w="269" w:type="pct"/>
            <w:vAlign w:val="center"/>
          </w:tcPr>
          <w:p w14:paraId="5509CF3F">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初期雨水</w:t>
            </w:r>
          </w:p>
        </w:tc>
        <w:tc>
          <w:tcPr>
            <w:tcW w:w="486" w:type="pct"/>
            <w:vAlign w:val="center"/>
          </w:tcPr>
          <w:p w14:paraId="746079FA">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w:t>
            </w:r>
          </w:p>
        </w:tc>
        <w:tc>
          <w:tcPr>
            <w:tcW w:w="347" w:type="pct"/>
            <w:vAlign w:val="center"/>
          </w:tcPr>
          <w:p w14:paraId="343460B6">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初期雨水池</w:t>
            </w:r>
          </w:p>
        </w:tc>
        <w:tc>
          <w:tcPr>
            <w:tcW w:w="555" w:type="pct"/>
            <w:vMerge w:val="continue"/>
            <w:vAlign w:val="center"/>
          </w:tcPr>
          <w:p w14:paraId="586EE761">
            <w:pPr>
              <w:jc w:val="center"/>
              <w:rPr>
                <w:rFonts w:ascii="Times New Roman" w:hAnsi="Times New Roman" w:eastAsia="宋体" w:cs="Times New Roman"/>
                <w:color w:val="auto"/>
                <w:szCs w:val="21"/>
              </w:rPr>
            </w:pPr>
          </w:p>
        </w:tc>
        <w:tc>
          <w:tcPr>
            <w:tcW w:w="315" w:type="pct"/>
            <w:vMerge w:val="continue"/>
            <w:vAlign w:val="center"/>
          </w:tcPr>
          <w:p w14:paraId="31AF5619">
            <w:pPr>
              <w:jc w:val="center"/>
              <w:rPr>
                <w:rFonts w:ascii="Times New Roman" w:hAnsi="Times New Roman" w:eastAsia="宋体" w:cs="Times New Roman"/>
                <w:color w:val="auto"/>
                <w:szCs w:val="21"/>
              </w:rPr>
            </w:pPr>
          </w:p>
        </w:tc>
        <w:tc>
          <w:tcPr>
            <w:tcW w:w="507" w:type="pct"/>
            <w:vMerge w:val="continue"/>
            <w:vAlign w:val="center"/>
          </w:tcPr>
          <w:p w14:paraId="2E86B91A">
            <w:pPr>
              <w:jc w:val="center"/>
              <w:rPr>
                <w:rFonts w:ascii="Times New Roman" w:hAnsi="Times New Roman" w:eastAsia="宋体" w:cs="Times New Roman"/>
                <w:color w:val="auto"/>
                <w:szCs w:val="21"/>
              </w:rPr>
            </w:pPr>
          </w:p>
        </w:tc>
        <w:tc>
          <w:tcPr>
            <w:tcW w:w="257" w:type="pct"/>
            <w:vMerge w:val="continue"/>
            <w:vAlign w:val="center"/>
          </w:tcPr>
          <w:p w14:paraId="0177E0E2">
            <w:pPr>
              <w:jc w:val="center"/>
              <w:rPr>
                <w:rFonts w:ascii="Times New Roman" w:hAnsi="Times New Roman" w:eastAsia="宋体" w:cs="Times New Roman"/>
                <w:color w:val="auto"/>
                <w:szCs w:val="21"/>
              </w:rPr>
            </w:pPr>
          </w:p>
        </w:tc>
        <w:tc>
          <w:tcPr>
            <w:tcW w:w="335" w:type="pct"/>
            <w:vMerge w:val="continue"/>
            <w:vAlign w:val="center"/>
          </w:tcPr>
          <w:p w14:paraId="6EFAE7AF">
            <w:pPr>
              <w:jc w:val="center"/>
              <w:rPr>
                <w:rFonts w:ascii="Times New Roman" w:hAnsi="Times New Roman" w:eastAsia="宋体" w:cs="Times New Roman"/>
                <w:color w:val="auto"/>
                <w:szCs w:val="21"/>
              </w:rPr>
            </w:pPr>
          </w:p>
        </w:tc>
        <w:tc>
          <w:tcPr>
            <w:tcW w:w="333" w:type="pct"/>
            <w:vMerge w:val="continue"/>
            <w:vAlign w:val="center"/>
          </w:tcPr>
          <w:p w14:paraId="2A971D83">
            <w:pPr>
              <w:jc w:val="center"/>
              <w:rPr>
                <w:rFonts w:ascii="Times New Roman" w:hAnsi="Times New Roman" w:eastAsia="宋体" w:cs="Times New Roman"/>
                <w:color w:val="auto"/>
                <w:szCs w:val="21"/>
              </w:rPr>
            </w:pPr>
          </w:p>
        </w:tc>
        <w:tc>
          <w:tcPr>
            <w:tcW w:w="471" w:type="pct"/>
            <w:vAlign w:val="center"/>
          </w:tcPr>
          <w:p w14:paraId="5C9E6A23">
            <w:pPr>
              <w:jc w:val="center"/>
              <w:rPr>
                <w:rFonts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rPr>
              <w:t>TN</w:t>
            </w:r>
          </w:p>
        </w:tc>
        <w:tc>
          <w:tcPr>
            <w:tcW w:w="424" w:type="pct"/>
            <w:vAlign w:val="center"/>
          </w:tcPr>
          <w:p w14:paraId="14CFA4BD">
            <w:pPr>
              <w:jc w:val="center"/>
              <w:rPr>
                <w:rFonts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rPr>
              <w:t>45</w:t>
            </w:r>
          </w:p>
        </w:tc>
        <w:tc>
          <w:tcPr>
            <w:tcW w:w="696" w:type="pct"/>
            <w:vMerge w:val="continue"/>
            <w:vAlign w:val="center"/>
          </w:tcPr>
          <w:p w14:paraId="7A52BAFB">
            <w:pPr>
              <w:jc w:val="center"/>
              <w:rPr>
                <w:rFonts w:ascii="Times New Roman" w:hAnsi="Times New Roman" w:eastAsia="宋体" w:cs="Times New Roman"/>
                <w:color w:val="auto"/>
                <w:szCs w:val="21"/>
              </w:rPr>
            </w:pPr>
          </w:p>
        </w:tc>
      </w:tr>
      <w:tr w14:paraId="3A97E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 w:hRule="atLeast"/>
        </w:trPr>
        <w:tc>
          <w:tcPr>
            <w:tcW w:w="269" w:type="pct"/>
            <w:vAlign w:val="center"/>
          </w:tcPr>
          <w:p w14:paraId="6A6A7070">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生活污水</w:t>
            </w:r>
          </w:p>
        </w:tc>
        <w:tc>
          <w:tcPr>
            <w:tcW w:w="486" w:type="pct"/>
            <w:vAlign w:val="center"/>
          </w:tcPr>
          <w:p w14:paraId="10687A04">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员工生活、食宿</w:t>
            </w:r>
          </w:p>
        </w:tc>
        <w:tc>
          <w:tcPr>
            <w:tcW w:w="347" w:type="pct"/>
            <w:vAlign w:val="center"/>
          </w:tcPr>
          <w:p w14:paraId="131DB290">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rPr>
              <w:t>化粪池</w:t>
            </w:r>
            <w:r>
              <w:rPr>
                <w:rFonts w:hint="eastAsia" w:ascii="Times New Roman" w:hAnsi="Times New Roman" w:eastAsia="宋体" w:cs="Times New Roman"/>
                <w:color w:val="auto"/>
                <w:szCs w:val="21"/>
                <w:lang w:val="en-US" w:eastAsia="zh-CN"/>
              </w:rPr>
              <w:t>+污水处理站</w:t>
            </w:r>
          </w:p>
        </w:tc>
        <w:tc>
          <w:tcPr>
            <w:tcW w:w="555" w:type="pct"/>
            <w:vMerge w:val="continue"/>
            <w:vAlign w:val="center"/>
          </w:tcPr>
          <w:p w14:paraId="7558003F">
            <w:pPr>
              <w:jc w:val="center"/>
              <w:rPr>
                <w:rFonts w:ascii="Times New Roman" w:hAnsi="Times New Roman" w:eastAsia="宋体" w:cs="Times New Roman"/>
                <w:color w:val="auto"/>
                <w:szCs w:val="21"/>
              </w:rPr>
            </w:pPr>
          </w:p>
        </w:tc>
        <w:tc>
          <w:tcPr>
            <w:tcW w:w="315" w:type="pct"/>
            <w:vMerge w:val="continue"/>
            <w:vAlign w:val="center"/>
          </w:tcPr>
          <w:p w14:paraId="4C0E6B18">
            <w:pPr>
              <w:jc w:val="center"/>
              <w:rPr>
                <w:rFonts w:ascii="Times New Roman" w:hAnsi="Times New Roman" w:eastAsia="宋体" w:cs="Times New Roman"/>
                <w:color w:val="auto"/>
                <w:szCs w:val="21"/>
              </w:rPr>
            </w:pPr>
          </w:p>
        </w:tc>
        <w:tc>
          <w:tcPr>
            <w:tcW w:w="507" w:type="pct"/>
            <w:vMerge w:val="continue"/>
            <w:vAlign w:val="center"/>
          </w:tcPr>
          <w:p w14:paraId="602F5B72">
            <w:pPr>
              <w:jc w:val="center"/>
              <w:rPr>
                <w:rFonts w:ascii="Times New Roman" w:hAnsi="Times New Roman" w:eastAsia="宋体" w:cs="Times New Roman"/>
                <w:color w:val="auto"/>
                <w:szCs w:val="21"/>
              </w:rPr>
            </w:pPr>
          </w:p>
        </w:tc>
        <w:tc>
          <w:tcPr>
            <w:tcW w:w="257" w:type="pct"/>
            <w:vMerge w:val="continue"/>
            <w:vAlign w:val="center"/>
          </w:tcPr>
          <w:p w14:paraId="13D41B8E">
            <w:pPr>
              <w:jc w:val="center"/>
              <w:rPr>
                <w:rFonts w:ascii="Times New Roman" w:hAnsi="Times New Roman" w:eastAsia="宋体" w:cs="Times New Roman"/>
                <w:color w:val="auto"/>
                <w:szCs w:val="21"/>
              </w:rPr>
            </w:pPr>
          </w:p>
        </w:tc>
        <w:tc>
          <w:tcPr>
            <w:tcW w:w="335" w:type="pct"/>
            <w:vMerge w:val="continue"/>
            <w:vAlign w:val="center"/>
          </w:tcPr>
          <w:p w14:paraId="4B31C2B8">
            <w:pPr>
              <w:jc w:val="center"/>
              <w:rPr>
                <w:rFonts w:ascii="Times New Roman" w:hAnsi="Times New Roman" w:eastAsia="宋体" w:cs="Times New Roman"/>
                <w:color w:val="auto"/>
                <w:szCs w:val="21"/>
              </w:rPr>
            </w:pPr>
          </w:p>
        </w:tc>
        <w:tc>
          <w:tcPr>
            <w:tcW w:w="333" w:type="pct"/>
            <w:vMerge w:val="continue"/>
            <w:vAlign w:val="center"/>
          </w:tcPr>
          <w:p w14:paraId="4F07E628">
            <w:pPr>
              <w:jc w:val="center"/>
              <w:rPr>
                <w:rFonts w:ascii="Times New Roman" w:hAnsi="Times New Roman" w:eastAsia="宋体" w:cs="Times New Roman"/>
                <w:color w:val="auto"/>
                <w:szCs w:val="21"/>
              </w:rPr>
            </w:pPr>
          </w:p>
        </w:tc>
        <w:tc>
          <w:tcPr>
            <w:tcW w:w="471" w:type="pct"/>
            <w:shd w:val="clear" w:color="auto" w:fill="auto"/>
            <w:vAlign w:val="center"/>
          </w:tcPr>
          <w:p w14:paraId="7D157A26">
            <w:pPr>
              <w:jc w:val="center"/>
              <w:rPr>
                <w:rFonts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rPr>
              <w:t>TP</w:t>
            </w:r>
          </w:p>
        </w:tc>
        <w:tc>
          <w:tcPr>
            <w:tcW w:w="424" w:type="pct"/>
            <w:shd w:val="clear" w:color="auto" w:fill="auto"/>
            <w:vAlign w:val="center"/>
          </w:tcPr>
          <w:p w14:paraId="3BFBFA0B">
            <w:pPr>
              <w:jc w:val="center"/>
              <w:rPr>
                <w:rFonts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rPr>
              <w:t>5</w:t>
            </w:r>
          </w:p>
        </w:tc>
        <w:tc>
          <w:tcPr>
            <w:tcW w:w="696" w:type="pct"/>
            <w:vMerge w:val="continue"/>
            <w:vAlign w:val="center"/>
          </w:tcPr>
          <w:p w14:paraId="4CB443C0">
            <w:pPr>
              <w:jc w:val="center"/>
              <w:rPr>
                <w:rFonts w:ascii="Times New Roman" w:hAnsi="Times New Roman" w:eastAsia="宋体" w:cs="Times New Roman"/>
                <w:color w:val="auto"/>
                <w:szCs w:val="21"/>
              </w:rPr>
            </w:pPr>
          </w:p>
        </w:tc>
      </w:tr>
    </w:tbl>
    <w:p w14:paraId="5A2AC109">
      <w:pPr>
        <w:spacing w:line="360" w:lineRule="auto"/>
        <w:ind w:firstLine="480" w:firstLineChars="200"/>
        <w:rPr>
          <w:rFonts w:ascii="Times New Roman" w:hAnsi="Times New Roman" w:eastAsia="宋体" w:cs="Times New Roman"/>
          <w:color w:val="FF0000"/>
          <w:sz w:val="24"/>
          <w:szCs w:val="24"/>
        </w:rPr>
      </w:pPr>
    </w:p>
    <w:p w14:paraId="63BED29A">
      <w:pPr>
        <w:spacing w:line="360" w:lineRule="auto"/>
        <w:ind w:firstLine="480" w:firstLineChars="200"/>
        <w:rPr>
          <w:rFonts w:ascii="Times New Roman" w:hAnsi="Times New Roman" w:eastAsia="宋体" w:cs="Times New Roman"/>
          <w:color w:val="FF0000"/>
          <w:sz w:val="24"/>
          <w:szCs w:val="24"/>
        </w:rPr>
      </w:pPr>
    </w:p>
    <w:p w14:paraId="1E0C3213">
      <w:pPr>
        <w:spacing w:line="360" w:lineRule="auto"/>
        <w:ind w:firstLine="480" w:firstLineChars="200"/>
        <w:rPr>
          <w:rFonts w:ascii="Times New Roman" w:hAnsi="Times New Roman" w:eastAsia="宋体" w:cs="Times New Roman"/>
          <w:color w:val="FF0000"/>
          <w:sz w:val="24"/>
          <w:szCs w:val="24"/>
        </w:rPr>
        <w:sectPr>
          <w:pgSz w:w="16838" w:h="11906" w:orient="landscape"/>
          <w:pgMar w:top="1587" w:right="1440" w:bottom="1587" w:left="1440" w:header="851" w:footer="992" w:gutter="0"/>
          <w:pgNumType w:fmt="numberInDash"/>
          <w:cols w:space="720" w:num="1"/>
          <w:docGrid w:type="lines" w:linePitch="312" w:charSpace="0"/>
        </w:sectPr>
      </w:pPr>
    </w:p>
    <w:p w14:paraId="306D672D">
      <w:pPr>
        <w:keepNext/>
        <w:keepLines/>
        <w:spacing w:before="100" w:beforeAutospacing="1" w:after="100" w:afterAutospacing="1" w:line="360" w:lineRule="auto"/>
        <w:outlineLvl w:val="1"/>
        <w:rPr>
          <w:rFonts w:ascii="Times New Roman" w:hAnsi="Times New Roman" w:eastAsia="宋体" w:cs="Times New Roman"/>
          <w:b/>
          <w:bCs/>
          <w:color w:val="auto"/>
          <w:kern w:val="0"/>
          <w:sz w:val="28"/>
          <w:szCs w:val="28"/>
        </w:rPr>
      </w:pPr>
      <w:bookmarkStart w:id="321" w:name="_Toc29654"/>
      <w:bookmarkStart w:id="322" w:name="_Toc28170"/>
      <w:bookmarkStart w:id="323" w:name="_Toc21117"/>
      <w:bookmarkStart w:id="324" w:name="_Toc146781163"/>
      <w:bookmarkStart w:id="325" w:name="_Toc116571920"/>
      <w:r>
        <w:rPr>
          <w:rFonts w:ascii="Times New Roman" w:hAnsi="Times New Roman" w:eastAsia="宋体" w:cs="Times New Roman"/>
          <w:b/>
          <w:bCs/>
          <w:color w:val="auto"/>
          <w:kern w:val="0"/>
          <w:sz w:val="28"/>
          <w:szCs w:val="28"/>
        </w:rPr>
        <w:t>10.2环境监测</w:t>
      </w:r>
      <w:bookmarkEnd w:id="321"/>
      <w:bookmarkEnd w:id="322"/>
      <w:bookmarkEnd w:id="323"/>
      <w:bookmarkEnd w:id="324"/>
      <w:bookmarkEnd w:id="325"/>
    </w:p>
    <w:p w14:paraId="701C0056">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环境监测是对建设项目施工期、运行期的环境影响及环境保护措施进行监督和检查，并提出环境管理的对策与建议。环境监测为环境保护管理提供科学的依据。环境监测是企业搞好环境管理，促进污染治理设施正常运行的主要保障。通过定期的环境监测，可以了解项目所在地的环境质量状况，及时发现问题、解决问题，从而有利于监督各项环境保护措施切实有效地落实，并根据监测结果适时调整环境保护计划。</w:t>
      </w:r>
    </w:p>
    <w:p w14:paraId="7D45DF05">
      <w:pPr>
        <w:keepNext/>
        <w:keepLines/>
        <w:spacing w:before="156" w:beforeLines="50" w:after="156" w:afterLines="50" w:line="360" w:lineRule="auto"/>
        <w:outlineLvl w:val="2"/>
        <w:rPr>
          <w:rFonts w:ascii="Times New Roman" w:hAnsi="Times New Roman" w:eastAsia="宋体" w:cs="Times New Roman"/>
          <w:b/>
          <w:color w:val="auto"/>
          <w:sz w:val="24"/>
          <w:szCs w:val="24"/>
        </w:rPr>
      </w:pPr>
      <w:r>
        <w:rPr>
          <w:rFonts w:ascii="Times New Roman" w:hAnsi="Times New Roman" w:eastAsia="宋体" w:cs="Times New Roman"/>
          <w:b/>
          <w:color w:val="auto"/>
          <w:sz w:val="24"/>
          <w:szCs w:val="24"/>
        </w:rPr>
        <w:t>10.2.1</w:t>
      </w:r>
      <w:r>
        <w:rPr>
          <w:rFonts w:hint="eastAsia" w:ascii="Times New Roman" w:hAnsi="Times New Roman" w:eastAsia="宋体" w:cs="Times New Roman"/>
          <w:b/>
          <w:color w:val="auto"/>
          <w:sz w:val="24"/>
          <w:szCs w:val="24"/>
        </w:rPr>
        <w:t>自行监测管理要求</w:t>
      </w:r>
    </w:p>
    <w:p w14:paraId="7C89C5B6">
      <w:pPr>
        <w:spacing w:line="360" w:lineRule="auto"/>
        <w:ind w:firstLine="480" w:firstLineChars="200"/>
        <w:rPr>
          <w:rFonts w:ascii="Times New Roman" w:hAnsi="Times New Roman" w:eastAsia="宋体" w:cs="宋体"/>
          <w:color w:val="auto"/>
          <w:sz w:val="24"/>
          <w:szCs w:val="24"/>
        </w:rPr>
      </w:pPr>
      <w:r>
        <w:rPr>
          <w:rFonts w:hint="eastAsia" w:ascii="Times New Roman" w:hAnsi="Times New Roman" w:eastAsia="宋体" w:cs="宋体"/>
          <w:color w:val="auto"/>
          <w:sz w:val="24"/>
          <w:szCs w:val="24"/>
        </w:rPr>
        <w:t>根据《排污单位自行监测技术指南-总则》（HJ819-2017）、</w:t>
      </w:r>
      <w:r>
        <w:rPr>
          <w:rFonts w:ascii="Times New Roman" w:hAnsi="Times New Roman" w:eastAsia="宋体" w:cs="Times New Roman"/>
          <w:color w:val="auto"/>
          <w:sz w:val="24"/>
          <w:szCs w:val="24"/>
        </w:rPr>
        <w:t>《排污许可证申请与核发技术规范</w:t>
      </w:r>
      <w:r>
        <w:rPr>
          <w:rFonts w:hint="eastAsia" w:ascii="Times New Roman" w:hAnsi="Times New Roman" w:eastAsia="宋体" w:cs="Times New Roman"/>
          <w:color w:val="auto"/>
          <w:sz w:val="24"/>
          <w:szCs w:val="24"/>
        </w:rPr>
        <w:t xml:space="preserve"> </w:t>
      </w:r>
      <w:r>
        <w:rPr>
          <w:rFonts w:hint="eastAsia" w:ascii="Times New Roman" w:hAnsi="Times New Roman" w:eastAsia="宋体" w:cs="Times New Roman"/>
          <w:color w:val="auto"/>
          <w:sz w:val="24"/>
          <w:szCs w:val="24"/>
          <w:lang w:val="en-US" w:eastAsia="zh-CN"/>
        </w:rPr>
        <w:t>食品制造工业—方便食品、食品及饲料添加剂制造工艺</w:t>
      </w:r>
      <w:r>
        <w:rPr>
          <w:rFonts w:ascii="Times New Roman" w:hAnsi="Times New Roman" w:eastAsia="宋体" w:cs="Times New Roman"/>
          <w:color w:val="auto"/>
          <w:sz w:val="24"/>
          <w:szCs w:val="24"/>
        </w:rPr>
        <w:t>》（HJ</w:t>
      </w:r>
      <w:r>
        <w:rPr>
          <w:rFonts w:hint="eastAsia" w:ascii="Times New Roman" w:hAnsi="Times New Roman" w:eastAsia="宋体" w:cs="Times New Roman"/>
          <w:color w:val="auto"/>
          <w:sz w:val="24"/>
          <w:szCs w:val="24"/>
          <w:lang w:val="en-US" w:eastAsia="zh-CN"/>
        </w:rPr>
        <w:t>1030.3-2019</w:t>
      </w:r>
      <w:r>
        <w:rPr>
          <w:rFonts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eastAsia="zh-CN"/>
        </w:rPr>
        <w:t>、《</w:t>
      </w:r>
      <w:r>
        <w:rPr>
          <w:rFonts w:ascii="Times New Roman" w:hAnsi="Times New Roman" w:eastAsia="宋体" w:cs="Times New Roman"/>
          <w:color w:val="auto"/>
          <w:sz w:val="24"/>
          <w:szCs w:val="24"/>
        </w:rPr>
        <w:t>排污许可证申请与核发技术规范</w:t>
      </w:r>
      <w:r>
        <w:rPr>
          <w:rFonts w:hint="eastAsia" w:ascii="Times New Roman" w:hAnsi="Times New Roman" w:eastAsia="宋体" w:cs="Times New Roman"/>
          <w:color w:val="auto"/>
          <w:sz w:val="24"/>
          <w:szCs w:val="24"/>
          <w:lang w:val="en-US" w:eastAsia="zh-CN"/>
        </w:rPr>
        <w:t xml:space="preserve"> 农副食品加工工业—制糖工业</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HJ 860.1-2017</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宋体"/>
          <w:color w:val="auto"/>
          <w:sz w:val="24"/>
          <w:szCs w:val="24"/>
        </w:rPr>
        <w:t xml:space="preserve">《排污单位自行监测技术指南 </w:t>
      </w:r>
      <w:r>
        <w:rPr>
          <w:rFonts w:hint="eastAsia" w:ascii="Times New Roman" w:hAnsi="Times New Roman" w:eastAsia="宋体" w:cs="宋体"/>
          <w:color w:val="auto"/>
          <w:sz w:val="24"/>
          <w:szCs w:val="24"/>
          <w:lang w:val="en-US" w:eastAsia="zh-CN"/>
        </w:rPr>
        <w:t>食品制造</w:t>
      </w:r>
      <w:r>
        <w:rPr>
          <w:rFonts w:hint="eastAsia" w:ascii="Times New Roman" w:hAnsi="Times New Roman" w:eastAsia="宋体" w:cs="宋体"/>
          <w:color w:val="auto"/>
          <w:sz w:val="24"/>
          <w:szCs w:val="24"/>
        </w:rPr>
        <w:t xml:space="preserve">》（HJ </w:t>
      </w:r>
      <w:r>
        <w:rPr>
          <w:rFonts w:hint="eastAsia" w:ascii="Times New Roman" w:hAnsi="Times New Roman" w:eastAsia="宋体" w:cs="宋体"/>
          <w:color w:val="auto"/>
          <w:sz w:val="24"/>
          <w:szCs w:val="24"/>
          <w:lang w:val="en-US" w:eastAsia="zh-CN"/>
        </w:rPr>
        <w:t>1084-2020</w:t>
      </w:r>
      <w:r>
        <w:rPr>
          <w:rFonts w:hint="eastAsia" w:ascii="Times New Roman" w:hAnsi="Times New Roman" w:eastAsia="宋体" w:cs="宋体"/>
          <w:color w:val="auto"/>
          <w:sz w:val="24"/>
          <w:szCs w:val="24"/>
        </w:rPr>
        <w:t xml:space="preserve">）、《排污单位自行监测技术指南 </w:t>
      </w:r>
      <w:r>
        <w:rPr>
          <w:rFonts w:hint="eastAsia" w:ascii="Times New Roman" w:hAnsi="Times New Roman" w:eastAsia="宋体" w:cs="宋体"/>
          <w:color w:val="auto"/>
          <w:sz w:val="24"/>
          <w:szCs w:val="24"/>
          <w:lang w:val="en-US" w:eastAsia="zh-CN"/>
        </w:rPr>
        <w:t>农副食品加工业</w:t>
      </w:r>
      <w:r>
        <w:rPr>
          <w:rFonts w:hint="eastAsia" w:ascii="Times New Roman" w:hAnsi="Times New Roman" w:eastAsia="宋体" w:cs="宋体"/>
          <w:color w:val="auto"/>
          <w:sz w:val="24"/>
          <w:szCs w:val="24"/>
        </w:rPr>
        <w:t xml:space="preserve">》（HJ </w:t>
      </w:r>
      <w:r>
        <w:rPr>
          <w:rFonts w:hint="eastAsia" w:ascii="Times New Roman" w:hAnsi="Times New Roman" w:eastAsia="宋体" w:cs="宋体"/>
          <w:color w:val="auto"/>
          <w:sz w:val="24"/>
          <w:szCs w:val="24"/>
          <w:lang w:val="en-US" w:eastAsia="zh-CN"/>
        </w:rPr>
        <w:t>986-2018</w:t>
      </w:r>
      <w:r>
        <w:rPr>
          <w:rFonts w:hint="eastAsia" w:ascii="Times New Roman" w:hAnsi="Times New Roman" w:eastAsia="宋体" w:cs="宋体"/>
          <w:color w:val="auto"/>
          <w:sz w:val="24"/>
          <w:szCs w:val="24"/>
        </w:rPr>
        <w:t>）等要求，项目在生产运行阶段需进行污染源监测和环境质量现状监测，</w:t>
      </w:r>
      <w:r>
        <w:rPr>
          <w:rFonts w:hint="eastAsia" w:ascii="Times New Roman" w:hAnsi="Times New Roman" w:eastAsia="宋体" w:cs="宋体"/>
          <w:color w:val="auto"/>
          <w:sz w:val="24"/>
          <w:szCs w:val="24"/>
          <w:lang w:val="en-US" w:eastAsia="zh-CN"/>
        </w:rPr>
        <w:t>建设单位新合新科技有限公司（原湖南龙腾生物科技有限公司）已纳入重点排污单位，</w:t>
      </w:r>
      <w:r>
        <w:rPr>
          <w:rFonts w:hint="eastAsia" w:ascii="Times New Roman" w:hAnsi="Times New Roman" w:eastAsia="宋体" w:cs="宋体"/>
          <w:color w:val="auto"/>
          <w:sz w:val="24"/>
          <w:szCs w:val="24"/>
        </w:rPr>
        <w:t>污染源和环境质量监测计划具体见表10.2.1-1和表10.2.1-2。在事故或非正常工况下需增加监测频次。</w:t>
      </w:r>
    </w:p>
    <w:p w14:paraId="4C72E3E8">
      <w:pPr>
        <w:pStyle w:val="6"/>
        <w:bidi w:val="0"/>
      </w:pPr>
      <w:r>
        <w:rPr>
          <w:rFonts w:hint="eastAsia"/>
        </w:rPr>
        <w:t>表10.2.1-1 工程污染源监测计划一览表</w:t>
      </w:r>
    </w:p>
    <w:tbl>
      <w:tblPr>
        <w:tblStyle w:val="4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9"/>
        <w:gridCol w:w="1079"/>
        <w:gridCol w:w="1969"/>
        <w:gridCol w:w="3208"/>
        <w:gridCol w:w="1404"/>
      </w:tblGrid>
      <w:tr w14:paraId="0BD31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4" w:type="pct"/>
            <w:vAlign w:val="center"/>
          </w:tcPr>
          <w:p w14:paraId="6E9E20CE">
            <w:pPr>
              <w:jc w:val="center"/>
              <w:rPr>
                <w:rFonts w:ascii="Times New Roman" w:hAnsi="Times New Roman" w:eastAsia="宋体" w:cs="Times New Roman"/>
                <w:b/>
                <w:bCs/>
                <w:color w:val="auto"/>
                <w:szCs w:val="21"/>
              </w:rPr>
            </w:pPr>
            <w:r>
              <w:rPr>
                <w:rFonts w:ascii="Times New Roman" w:hAnsi="Times New Roman" w:eastAsia="宋体" w:cs="Times New Roman"/>
                <w:b/>
                <w:bCs/>
                <w:color w:val="auto"/>
                <w:szCs w:val="21"/>
              </w:rPr>
              <w:t>内容</w:t>
            </w:r>
          </w:p>
        </w:tc>
        <w:tc>
          <w:tcPr>
            <w:tcW w:w="1788" w:type="pct"/>
            <w:gridSpan w:val="2"/>
            <w:vAlign w:val="center"/>
          </w:tcPr>
          <w:p w14:paraId="435D83C2">
            <w:pPr>
              <w:jc w:val="center"/>
              <w:rPr>
                <w:rFonts w:ascii="Times New Roman" w:hAnsi="Times New Roman" w:eastAsia="宋体" w:cs="Times New Roman"/>
                <w:b/>
                <w:bCs/>
                <w:color w:val="auto"/>
                <w:szCs w:val="21"/>
              </w:rPr>
            </w:pPr>
            <w:r>
              <w:rPr>
                <w:rFonts w:ascii="Times New Roman" w:hAnsi="Times New Roman" w:eastAsia="宋体" w:cs="Times New Roman"/>
                <w:b/>
                <w:bCs/>
                <w:color w:val="auto"/>
                <w:szCs w:val="21"/>
              </w:rPr>
              <w:t>监测点</w:t>
            </w:r>
          </w:p>
        </w:tc>
        <w:tc>
          <w:tcPr>
            <w:tcW w:w="1882" w:type="pct"/>
            <w:vAlign w:val="center"/>
          </w:tcPr>
          <w:p w14:paraId="75948C4E">
            <w:pPr>
              <w:jc w:val="center"/>
              <w:rPr>
                <w:rFonts w:ascii="Times New Roman" w:hAnsi="Times New Roman" w:eastAsia="宋体" w:cs="Times New Roman"/>
                <w:b/>
                <w:bCs/>
                <w:color w:val="auto"/>
                <w:szCs w:val="21"/>
              </w:rPr>
            </w:pPr>
            <w:r>
              <w:rPr>
                <w:rFonts w:ascii="Times New Roman" w:hAnsi="Times New Roman" w:eastAsia="宋体" w:cs="Times New Roman"/>
                <w:b/>
                <w:bCs/>
                <w:color w:val="auto"/>
                <w:szCs w:val="21"/>
              </w:rPr>
              <w:t>监测项目</w:t>
            </w:r>
          </w:p>
        </w:tc>
        <w:tc>
          <w:tcPr>
            <w:tcW w:w="824" w:type="pct"/>
            <w:vAlign w:val="center"/>
          </w:tcPr>
          <w:p w14:paraId="5ED77C94">
            <w:pPr>
              <w:jc w:val="center"/>
              <w:rPr>
                <w:rFonts w:ascii="Times New Roman" w:hAnsi="Times New Roman" w:eastAsia="宋体" w:cs="Times New Roman"/>
                <w:b/>
                <w:bCs/>
                <w:color w:val="auto"/>
                <w:szCs w:val="21"/>
              </w:rPr>
            </w:pPr>
            <w:r>
              <w:rPr>
                <w:rFonts w:ascii="Times New Roman" w:hAnsi="Times New Roman" w:eastAsia="宋体" w:cs="Times New Roman"/>
                <w:b/>
                <w:bCs/>
                <w:color w:val="auto"/>
                <w:szCs w:val="21"/>
              </w:rPr>
              <w:t>监测频次</w:t>
            </w:r>
          </w:p>
        </w:tc>
      </w:tr>
      <w:tr w14:paraId="0A8E6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504" w:type="pct"/>
            <w:vMerge w:val="restart"/>
            <w:vAlign w:val="center"/>
          </w:tcPr>
          <w:p w14:paraId="3C396C42">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废气</w:t>
            </w:r>
          </w:p>
        </w:tc>
        <w:tc>
          <w:tcPr>
            <w:tcW w:w="633" w:type="pct"/>
            <w:vAlign w:val="center"/>
          </w:tcPr>
          <w:p w14:paraId="01FAE2E4">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DA001</w:t>
            </w:r>
          </w:p>
        </w:tc>
        <w:tc>
          <w:tcPr>
            <w:tcW w:w="1155" w:type="pct"/>
            <w:vAlign w:val="center"/>
          </w:tcPr>
          <w:p w14:paraId="10DF002D">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生产废气</w:t>
            </w:r>
          </w:p>
        </w:tc>
        <w:tc>
          <w:tcPr>
            <w:tcW w:w="1882" w:type="pct"/>
            <w:vAlign w:val="center"/>
          </w:tcPr>
          <w:p w14:paraId="56166C6E">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rPr>
              <w:t>颗粒物、</w:t>
            </w:r>
            <w:r>
              <w:rPr>
                <w:rFonts w:hint="eastAsia" w:ascii="Times New Roman" w:hAnsi="Times New Roman" w:eastAsia="宋体" w:cs="Times New Roman"/>
                <w:color w:val="auto"/>
                <w:szCs w:val="21"/>
                <w:lang w:val="en-US" w:eastAsia="zh-CN"/>
              </w:rPr>
              <w:t>非甲烷总烃、氨气、臭气浓度</w:t>
            </w:r>
          </w:p>
        </w:tc>
        <w:tc>
          <w:tcPr>
            <w:tcW w:w="824" w:type="pct"/>
            <w:vAlign w:val="center"/>
          </w:tcPr>
          <w:p w14:paraId="354A9DA4">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1次/半年</w:t>
            </w:r>
          </w:p>
        </w:tc>
      </w:tr>
      <w:tr w14:paraId="7CBC1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504" w:type="pct"/>
            <w:vMerge w:val="continue"/>
            <w:vAlign w:val="center"/>
          </w:tcPr>
          <w:p w14:paraId="4FDE0D59">
            <w:pPr>
              <w:jc w:val="center"/>
              <w:rPr>
                <w:rFonts w:ascii="Times New Roman" w:hAnsi="Times New Roman" w:eastAsia="宋体" w:cs="Times New Roman"/>
                <w:color w:val="auto"/>
                <w:szCs w:val="21"/>
              </w:rPr>
            </w:pPr>
          </w:p>
        </w:tc>
        <w:tc>
          <w:tcPr>
            <w:tcW w:w="633" w:type="pct"/>
            <w:vAlign w:val="center"/>
          </w:tcPr>
          <w:p w14:paraId="6F7ABEFA">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DA002</w:t>
            </w:r>
          </w:p>
        </w:tc>
        <w:tc>
          <w:tcPr>
            <w:tcW w:w="1155" w:type="pct"/>
            <w:vAlign w:val="center"/>
          </w:tcPr>
          <w:p w14:paraId="1204856D">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污水处理站、危废暂存间废气</w:t>
            </w:r>
          </w:p>
        </w:tc>
        <w:tc>
          <w:tcPr>
            <w:tcW w:w="1882" w:type="pct"/>
            <w:vAlign w:val="center"/>
          </w:tcPr>
          <w:p w14:paraId="1BDB5D9D">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臭气浓度、氨气、硫化氢</w:t>
            </w:r>
          </w:p>
        </w:tc>
        <w:tc>
          <w:tcPr>
            <w:tcW w:w="824" w:type="pct"/>
            <w:vAlign w:val="center"/>
          </w:tcPr>
          <w:p w14:paraId="2F472BCA">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1次/季度</w:t>
            </w:r>
          </w:p>
        </w:tc>
      </w:tr>
      <w:tr w14:paraId="7B90F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4" w:type="pct"/>
            <w:vMerge w:val="continue"/>
            <w:vAlign w:val="center"/>
          </w:tcPr>
          <w:p w14:paraId="37ABB53D">
            <w:pPr>
              <w:jc w:val="center"/>
              <w:rPr>
                <w:rFonts w:ascii="Times New Roman" w:hAnsi="Times New Roman" w:eastAsia="宋体" w:cs="Times New Roman"/>
                <w:color w:val="auto"/>
                <w:szCs w:val="21"/>
              </w:rPr>
            </w:pPr>
          </w:p>
        </w:tc>
        <w:tc>
          <w:tcPr>
            <w:tcW w:w="1788" w:type="pct"/>
            <w:gridSpan w:val="2"/>
            <w:vAlign w:val="center"/>
          </w:tcPr>
          <w:p w14:paraId="64F14841">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厂界</w:t>
            </w:r>
          </w:p>
        </w:tc>
        <w:tc>
          <w:tcPr>
            <w:tcW w:w="1882" w:type="pct"/>
            <w:vAlign w:val="center"/>
          </w:tcPr>
          <w:p w14:paraId="176DE0E0">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臭气浓度、非甲烷总烃、颗粒物、氨气、硫化氢</w:t>
            </w:r>
          </w:p>
        </w:tc>
        <w:tc>
          <w:tcPr>
            <w:tcW w:w="824" w:type="pct"/>
            <w:vAlign w:val="center"/>
          </w:tcPr>
          <w:p w14:paraId="6D589D21">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1次/</w:t>
            </w:r>
            <w:r>
              <w:rPr>
                <w:rFonts w:hint="eastAsia" w:ascii="Times New Roman" w:hAnsi="Times New Roman" w:eastAsia="宋体" w:cs="Times New Roman"/>
                <w:color w:val="auto"/>
                <w:szCs w:val="21"/>
              </w:rPr>
              <w:t>半年</w:t>
            </w:r>
          </w:p>
        </w:tc>
      </w:tr>
      <w:tr w14:paraId="4147D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4" w:type="pct"/>
            <w:vMerge w:val="restart"/>
            <w:vAlign w:val="center"/>
          </w:tcPr>
          <w:p w14:paraId="04745361">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废水</w:t>
            </w:r>
          </w:p>
        </w:tc>
        <w:tc>
          <w:tcPr>
            <w:tcW w:w="1788" w:type="pct"/>
            <w:gridSpan w:val="2"/>
            <w:vMerge w:val="restart"/>
            <w:vAlign w:val="center"/>
          </w:tcPr>
          <w:p w14:paraId="7DAF5EEA">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厂区总排水口</w:t>
            </w:r>
            <w:r>
              <w:rPr>
                <w:rFonts w:hint="eastAsia" w:ascii="Times New Roman" w:hAnsi="Times New Roman" w:eastAsia="宋体" w:cs="Times New Roman"/>
                <w:color w:val="auto"/>
                <w:szCs w:val="21"/>
              </w:rPr>
              <w:t>DW001</w:t>
            </w:r>
          </w:p>
        </w:tc>
        <w:tc>
          <w:tcPr>
            <w:tcW w:w="1882" w:type="pct"/>
            <w:vAlign w:val="center"/>
          </w:tcPr>
          <w:p w14:paraId="4BD93D6E">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pH、</w:t>
            </w:r>
            <w:r>
              <w:rPr>
                <w:rFonts w:hint="eastAsia" w:ascii="Times New Roman" w:hAnsi="Times New Roman" w:eastAsia="宋体" w:cs="Times New Roman"/>
                <w:color w:val="auto"/>
                <w:szCs w:val="21"/>
              </w:rPr>
              <w:t>COD</w:t>
            </w:r>
            <w:r>
              <w:rPr>
                <w:rFonts w:ascii="Times New Roman" w:hAnsi="Times New Roman" w:eastAsia="宋体" w:cs="Times New Roman"/>
                <w:color w:val="auto"/>
                <w:szCs w:val="21"/>
              </w:rPr>
              <w:t>、氨氮、</w:t>
            </w:r>
            <w:r>
              <w:rPr>
                <w:rFonts w:hint="eastAsia" w:ascii="Times New Roman" w:hAnsi="Times New Roman" w:eastAsia="宋体" w:cs="Times New Roman"/>
                <w:color w:val="auto"/>
                <w:szCs w:val="21"/>
              </w:rPr>
              <w:t>流量、TP、TN</w:t>
            </w:r>
          </w:p>
        </w:tc>
        <w:tc>
          <w:tcPr>
            <w:tcW w:w="824" w:type="pct"/>
            <w:vAlign w:val="center"/>
          </w:tcPr>
          <w:p w14:paraId="681679B4">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自动监测</w:t>
            </w:r>
          </w:p>
        </w:tc>
      </w:tr>
      <w:tr w14:paraId="2809E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4" w:type="pct"/>
            <w:vMerge w:val="continue"/>
            <w:vAlign w:val="center"/>
          </w:tcPr>
          <w:p w14:paraId="7C5A5443">
            <w:pPr>
              <w:jc w:val="center"/>
              <w:rPr>
                <w:rFonts w:ascii="Times New Roman" w:hAnsi="Times New Roman" w:eastAsia="宋体" w:cs="Times New Roman"/>
                <w:color w:val="auto"/>
                <w:szCs w:val="21"/>
              </w:rPr>
            </w:pPr>
          </w:p>
        </w:tc>
        <w:tc>
          <w:tcPr>
            <w:tcW w:w="1788" w:type="pct"/>
            <w:gridSpan w:val="2"/>
            <w:vMerge w:val="continue"/>
            <w:vAlign w:val="center"/>
          </w:tcPr>
          <w:p w14:paraId="305F8FD1">
            <w:pPr>
              <w:jc w:val="center"/>
              <w:rPr>
                <w:rFonts w:ascii="Times New Roman" w:hAnsi="Times New Roman" w:eastAsia="宋体" w:cs="Times New Roman"/>
                <w:color w:val="auto"/>
                <w:szCs w:val="21"/>
              </w:rPr>
            </w:pPr>
          </w:p>
        </w:tc>
        <w:tc>
          <w:tcPr>
            <w:tcW w:w="1882" w:type="pct"/>
            <w:vAlign w:val="center"/>
          </w:tcPr>
          <w:p w14:paraId="5D1D19F8">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悬浮物、色度、五日生化需氧量</w:t>
            </w:r>
          </w:p>
        </w:tc>
        <w:tc>
          <w:tcPr>
            <w:tcW w:w="824" w:type="pct"/>
            <w:vAlign w:val="center"/>
          </w:tcPr>
          <w:p w14:paraId="407A1F27">
            <w:pPr>
              <w:jc w:val="center"/>
              <w:rPr>
                <w:rFonts w:hint="eastAsia" w:ascii="Times New Roman" w:hAnsi="Times New Roman" w:eastAsia="宋体" w:cs="Times New Roman"/>
                <w:color w:val="auto"/>
                <w:szCs w:val="21"/>
                <w:lang w:val="en-US" w:eastAsia="zh-CN"/>
              </w:rPr>
            </w:pPr>
            <w:r>
              <w:rPr>
                <w:rFonts w:ascii="Times New Roman" w:hAnsi="Times New Roman" w:eastAsia="宋体" w:cs="Times New Roman"/>
                <w:color w:val="auto"/>
                <w:szCs w:val="21"/>
              </w:rPr>
              <w:t>1次/</w:t>
            </w:r>
            <w:r>
              <w:rPr>
                <w:rFonts w:hint="eastAsia" w:ascii="Times New Roman" w:hAnsi="Times New Roman" w:eastAsia="宋体" w:cs="Times New Roman"/>
                <w:color w:val="auto"/>
                <w:szCs w:val="21"/>
                <w:lang w:val="en-US" w:eastAsia="zh-CN"/>
              </w:rPr>
              <w:t>季度</w:t>
            </w:r>
          </w:p>
        </w:tc>
      </w:tr>
      <w:tr w14:paraId="7BE6F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4" w:type="pct"/>
            <w:vMerge w:val="continue"/>
            <w:vAlign w:val="center"/>
          </w:tcPr>
          <w:p w14:paraId="203FE874">
            <w:pPr>
              <w:jc w:val="center"/>
              <w:rPr>
                <w:rFonts w:ascii="Times New Roman" w:hAnsi="Times New Roman" w:eastAsia="宋体" w:cs="Times New Roman"/>
                <w:color w:val="auto"/>
                <w:szCs w:val="21"/>
              </w:rPr>
            </w:pPr>
          </w:p>
        </w:tc>
        <w:tc>
          <w:tcPr>
            <w:tcW w:w="1788" w:type="pct"/>
            <w:gridSpan w:val="2"/>
            <w:vAlign w:val="center"/>
          </w:tcPr>
          <w:p w14:paraId="4EC57119">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雨水排放口</w:t>
            </w:r>
            <w:r>
              <w:rPr>
                <w:rFonts w:hint="eastAsia" w:ascii="Times New Roman" w:hAnsi="Times New Roman" w:eastAsia="宋体" w:cs="Times New Roman"/>
                <w:color w:val="auto"/>
                <w:szCs w:val="21"/>
              </w:rPr>
              <w:t>DW002</w:t>
            </w:r>
          </w:p>
        </w:tc>
        <w:tc>
          <w:tcPr>
            <w:tcW w:w="1882" w:type="pct"/>
            <w:vAlign w:val="center"/>
          </w:tcPr>
          <w:p w14:paraId="0790A673">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COD、</w:t>
            </w:r>
            <w:r>
              <w:rPr>
                <w:rFonts w:hint="eastAsia" w:ascii="Times New Roman" w:hAnsi="Times New Roman" w:eastAsia="宋体" w:cs="Times New Roman"/>
                <w:color w:val="auto"/>
                <w:szCs w:val="21"/>
              </w:rPr>
              <w:t>悬浮物</w:t>
            </w:r>
          </w:p>
        </w:tc>
        <w:tc>
          <w:tcPr>
            <w:tcW w:w="824" w:type="pct"/>
            <w:vAlign w:val="center"/>
          </w:tcPr>
          <w:p w14:paraId="534E3F80">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排放期间按</w:t>
            </w:r>
            <w:r>
              <w:rPr>
                <w:rFonts w:hint="eastAsia" w:ascii="Times New Roman" w:hAnsi="Times New Roman" w:eastAsia="宋体" w:cs="Times New Roman"/>
                <w:color w:val="auto"/>
                <w:szCs w:val="21"/>
                <w:lang w:val="en-US" w:eastAsia="zh-CN"/>
              </w:rPr>
              <w:t>月</w:t>
            </w:r>
            <w:r>
              <w:rPr>
                <w:rFonts w:hint="eastAsia" w:ascii="Times New Roman" w:hAnsi="Times New Roman" w:eastAsia="宋体" w:cs="Times New Roman"/>
                <w:color w:val="auto"/>
                <w:szCs w:val="21"/>
              </w:rPr>
              <w:t>监测</w:t>
            </w:r>
          </w:p>
        </w:tc>
      </w:tr>
      <w:tr w14:paraId="6EBBB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4" w:type="pct"/>
            <w:vAlign w:val="center"/>
          </w:tcPr>
          <w:p w14:paraId="663B0AA0">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噪声</w:t>
            </w:r>
          </w:p>
        </w:tc>
        <w:tc>
          <w:tcPr>
            <w:tcW w:w="1788" w:type="pct"/>
            <w:gridSpan w:val="2"/>
            <w:vAlign w:val="center"/>
          </w:tcPr>
          <w:p w14:paraId="02139C08">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厂界</w:t>
            </w:r>
          </w:p>
        </w:tc>
        <w:tc>
          <w:tcPr>
            <w:tcW w:w="1882" w:type="pct"/>
            <w:vAlign w:val="center"/>
          </w:tcPr>
          <w:p w14:paraId="455594B4">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连续等效声级</w:t>
            </w:r>
          </w:p>
        </w:tc>
        <w:tc>
          <w:tcPr>
            <w:tcW w:w="824" w:type="pct"/>
            <w:vAlign w:val="center"/>
          </w:tcPr>
          <w:p w14:paraId="7F36A743">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1次/季度</w:t>
            </w:r>
          </w:p>
        </w:tc>
      </w:tr>
    </w:tbl>
    <w:p w14:paraId="33ABD62C">
      <w:pPr>
        <w:jc w:val="center"/>
        <w:rPr>
          <w:rFonts w:ascii="Times New Roman" w:hAnsi="Times New Roman" w:eastAsia="宋体" w:cs="Times New Roman"/>
          <w:b/>
          <w:bCs/>
          <w:color w:val="FF0000"/>
          <w:szCs w:val="21"/>
        </w:rPr>
      </w:pPr>
    </w:p>
    <w:p w14:paraId="55B21348">
      <w:pPr>
        <w:jc w:val="center"/>
        <w:rPr>
          <w:rFonts w:hint="eastAsia" w:ascii="Times New Roman" w:hAnsi="Times New Roman" w:eastAsia="宋体" w:cs="Times New Roman"/>
          <w:b/>
          <w:bCs/>
          <w:color w:val="FF0000"/>
          <w:szCs w:val="21"/>
        </w:rPr>
      </w:pPr>
    </w:p>
    <w:p w14:paraId="62442F86">
      <w:pPr>
        <w:pStyle w:val="6"/>
        <w:bidi w:val="0"/>
      </w:pPr>
      <w:r>
        <w:rPr>
          <w:rFonts w:hint="eastAsia"/>
        </w:rPr>
        <w:t>表10.2.1-2    环境质量监测计划一览表</w:t>
      </w:r>
    </w:p>
    <w:tbl>
      <w:tblPr>
        <w:tblStyle w:val="4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2"/>
        <w:gridCol w:w="1520"/>
        <w:gridCol w:w="1963"/>
        <w:gridCol w:w="1631"/>
        <w:gridCol w:w="2483"/>
      </w:tblGrid>
      <w:tr w14:paraId="3EEF7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trPr>
        <w:tc>
          <w:tcPr>
            <w:tcW w:w="541" w:type="pct"/>
            <w:vAlign w:val="center"/>
          </w:tcPr>
          <w:p w14:paraId="6CE003D7">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内容</w:t>
            </w:r>
          </w:p>
        </w:tc>
        <w:tc>
          <w:tcPr>
            <w:tcW w:w="892" w:type="pct"/>
            <w:vAlign w:val="center"/>
          </w:tcPr>
          <w:p w14:paraId="690038FA">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监测点位</w:t>
            </w:r>
          </w:p>
        </w:tc>
        <w:tc>
          <w:tcPr>
            <w:tcW w:w="1152" w:type="pct"/>
            <w:vAlign w:val="center"/>
          </w:tcPr>
          <w:p w14:paraId="4896C1FC">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监测因子</w:t>
            </w:r>
          </w:p>
        </w:tc>
        <w:tc>
          <w:tcPr>
            <w:tcW w:w="957" w:type="pct"/>
            <w:vAlign w:val="center"/>
          </w:tcPr>
          <w:p w14:paraId="5A9CC15A">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监测频次</w:t>
            </w:r>
          </w:p>
        </w:tc>
        <w:tc>
          <w:tcPr>
            <w:tcW w:w="1457" w:type="pct"/>
            <w:vAlign w:val="center"/>
          </w:tcPr>
          <w:p w14:paraId="4AB28D9C">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执行标准</w:t>
            </w:r>
          </w:p>
        </w:tc>
      </w:tr>
      <w:tr w14:paraId="34105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 w:hRule="atLeast"/>
        </w:trPr>
        <w:tc>
          <w:tcPr>
            <w:tcW w:w="541" w:type="pct"/>
            <w:vMerge w:val="restart"/>
            <w:vAlign w:val="center"/>
          </w:tcPr>
          <w:p w14:paraId="3CAFB6D6">
            <w:pPr>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大气</w:t>
            </w:r>
          </w:p>
        </w:tc>
        <w:tc>
          <w:tcPr>
            <w:tcW w:w="892" w:type="pct"/>
            <w:vMerge w:val="restart"/>
            <w:vAlign w:val="center"/>
          </w:tcPr>
          <w:p w14:paraId="7A00318C">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项目西南侧294m杉堰安置区</w:t>
            </w:r>
          </w:p>
        </w:tc>
        <w:tc>
          <w:tcPr>
            <w:tcW w:w="1152" w:type="pct"/>
            <w:vAlign w:val="center"/>
          </w:tcPr>
          <w:p w14:paraId="17144C24">
            <w:pPr>
              <w:wordWrap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TSP</w:t>
            </w:r>
          </w:p>
        </w:tc>
        <w:tc>
          <w:tcPr>
            <w:tcW w:w="957" w:type="pct"/>
            <w:vMerge w:val="restart"/>
            <w:vAlign w:val="center"/>
          </w:tcPr>
          <w:p w14:paraId="566257D9">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1次/年</w:t>
            </w:r>
          </w:p>
        </w:tc>
        <w:tc>
          <w:tcPr>
            <w:tcW w:w="1457" w:type="pct"/>
            <w:vAlign w:val="center"/>
          </w:tcPr>
          <w:p w14:paraId="37E7B852">
            <w:pPr>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《环境空气质量标准》GB3095-2012）及其2018年修改单中的相关标准</w:t>
            </w:r>
          </w:p>
        </w:tc>
      </w:tr>
      <w:tr w14:paraId="20BFB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 w:hRule="atLeast"/>
        </w:trPr>
        <w:tc>
          <w:tcPr>
            <w:tcW w:w="541" w:type="pct"/>
            <w:vMerge w:val="continue"/>
            <w:vAlign w:val="center"/>
          </w:tcPr>
          <w:p w14:paraId="5D4518AA">
            <w:pPr>
              <w:jc w:val="center"/>
              <w:rPr>
                <w:rFonts w:ascii="Times New Roman" w:hAnsi="Times New Roman" w:eastAsia="宋体" w:cs="Times New Roman"/>
                <w:color w:val="auto"/>
                <w:szCs w:val="21"/>
              </w:rPr>
            </w:pPr>
          </w:p>
        </w:tc>
        <w:tc>
          <w:tcPr>
            <w:tcW w:w="892" w:type="pct"/>
            <w:vMerge w:val="continue"/>
            <w:vAlign w:val="center"/>
          </w:tcPr>
          <w:p w14:paraId="75067703">
            <w:pPr>
              <w:jc w:val="center"/>
              <w:rPr>
                <w:rFonts w:hint="eastAsia" w:ascii="Times New Roman" w:hAnsi="Times New Roman" w:eastAsia="宋体" w:cs="Times New Roman"/>
                <w:color w:val="auto"/>
                <w:szCs w:val="21"/>
              </w:rPr>
            </w:pPr>
          </w:p>
        </w:tc>
        <w:tc>
          <w:tcPr>
            <w:tcW w:w="1152" w:type="pct"/>
            <w:vAlign w:val="center"/>
          </w:tcPr>
          <w:p w14:paraId="33BFF046">
            <w:pPr>
              <w:wordWrap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氨气</w:t>
            </w:r>
          </w:p>
        </w:tc>
        <w:tc>
          <w:tcPr>
            <w:tcW w:w="957" w:type="pct"/>
            <w:vMerge w:val="continue"/>
            <w:vAlign w:val="center"/>
          </w:tcPr>
          <w:p w14:paraId="2E890267">
            <w:pPr>
              <w:jc w:val="center"/>
              <w:rPr>
                <w:rFonts w:hint="eastAsia" w:ascii="Times New Roman" w:hAnsi="Times New Roman" w:eastAsia="宋体" w:cs="Times New Roman"/>
                <w:color w:val="auto"/>
                <w:szCs w:val="21"/>
              </w:rPr>
            </w:pPr>
          </w:p>
        </w:tc>
        <w:tc>
          <w:tcPr>
            <w:tcW w:w="1457" w:type="pct"/>
            <w:vMerge w:val="restart"/>
            <w:vAlign w:val="center"/>
          </w:tcPr>
          <w:p w14:paraId="53A2CA81">
            <w:pPr>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《环境影响评价技术导则 大气环境》（HJ2.2-2018）附录D</w:t>
            </w:r>
          </w:p>
        </w:tc>
      </w:tr>
      <w:tr w14:paraId="0FC47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 w:hRule="atLeast"/>
        </w:trPr>
        <w:tc>
          <w:tcPr>
            <w:tcW w:w="541" w:type="pct"/>
            <w:vMerge w:val="continue"/>
            <w:vAlign w:val="center"/>
          </w:tcPr>
          <w:p w14:paraId="1757BEB6">
            <w:pPr>
              <w:jc w:val="center"/>
              <w:rPr>
                <w:rFonts w:ascii="Times New Roman" w:hAnsi="Times New Roman" w:eastAsia="宋体" w:cs="Times New Roman"/>
                <w:color w:val="auto"/>
                <w:szCs w:val="21"/>
              </w:rPr>
            </w:pPr>
          </w:p>
        </w:tc>
        <w:tc>
          <w:tcPr>
            <w:tcW w:w="892" w:type="pct"/>
            <w:vMerge w:val="continue"/>
            <w:vAlign w:val="center"/>
          </w:tcPr>
          <w:p w14:paraId="5A2D140F">
            <w:pPr>
              <w:jc w:val="center"/>
              <w:rPr>
                <w:rFonts w:hint="eastAsia" w:ascii="Times New Roman" w:hAnsi="Times New Roman" w:eastAsia="宋体" w:cs="Times New Roman"/>
                <w:color w:val="auto"/>
                <w:szCs w:val="21"/>
              </w:rPr>
            </w:pPr>
          </w:p>
        </w:tc>
        <w:tc>
          <w:tcPr>
            <w:tcW w:w="1152" w:type="pct"/>
            <w:vAlign w:val="center"/>
          </w:tcPr>
          <w:p w14:paraId="0F9FC2F4">
            <w:pPr>
              <w:wordWrap w:val="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硫化氢</w:t>
            </w:r>
          </w:p>
        </w:tc>
        <w:tc>
          <w:tcPr>
            <w:tcW w:w="957" w:type="pct"/>
            <w:vMerge w:val="continue"/>
            <w:vAlign w:val="center"/>
          </w:tcPr>
          <w:p w14:paraId="29A67F41">
            <w:pPr>
              <w:jc w:val="center"/>
              <w:rPr>
                <w:rFonts w:hint="eastAsia" w:ascii="Times New Roman" w:hAnsi="Times New Roman" w:eastAsia="宋体" w:cs="Times New Roman"/>
                <w:color w:val="auto"/>
                <w:szCs w:val="21"/>
              </w:rPr>
            </w:pPr>
          </w:p>
        </w:tc>
        <w:tc>
          <w:tcPr>
            <w:tcW w:w="1457" w:type="pct"/>
            <w:vMerge w:val="continue"/>
            <w:vAlign w:val="center"/>
          </w:tcPr>
          <w:p w14:paraId="3D949E68">
            <w:pPr>
              <w:jc w:val="center"/>
              <w:rPr>
                <w:rFonts w:hint="eastAsia" w:ascii="Times New Roman" w:hAnsi="Times New Roman" w:eastAsia="宋体" w:cs="Times New Roman"/>
                <w:color w:val="auto"/>
                <w:szCs w:val="21"/>
              </w:rPr>
            </w:pPr>
          </w:p>
        </w:tc>
      </w:tr>
      <w:tr w14:paraId="2309E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 w:hRule="atLeast"/>
        </w:trPr>
        <w:tc>
          <w:tcPr>
            <w:tcW w:w="541" w:type="pct"/>
            <w:vMerge w:val="continue"/>
            <w:vAlign w:val="center"/>
          </w:tcPr>
          <w:p w14:paraId="31447347">
            <w:pPr>
              <w:jc w:val="center"/>
              <w:rPr>
                <w:rFonts w:ascii="Times New Roman" w:hAnsi="Times New Roman" w:eastAsia="宋体" w:cs="Times New Roman"/>
                <w:color w:val="auto"/>
                <w:szCs w:val="21"/>
              </w:rPr>
            </w:pPr>
          </w:p>
        </w:tc>
        <w:tc>
          <w:tcPr>
            <w:tcW w:w="892" w:type="pct"/>
            <w:vMerge w:val="continue"/>
            <w:vAlign w:val="center"/>
          </w:tcPr>
          <w:p w14:paraId="064CB0ED">
            <w:pPr>
              <w:jc w:val="center"/>
              <w:rPr>
                <w:rFonts w:hint="eastAsia" w:ascii="Times New Roman" w:hAnsi="Times New Roman" w:eastAsia="宋体" w:cs="Times New Roman"/>
                <w:color w:val="auto"/>
                <w:szCs w:val="21"/>
              </w:rPr>
            </w:pPr>
          </w:p>
        </w:tc>
        <w:tc>
          <w:tcPr>
            <w:tcW w:w="1152" w:type="pct"/>
            <w:vAlign w:val="center"/>
          </w:tcPr>
          <w:p w14:paraId="5517890F">
            <w:pPr>
              <w:wordWrap w:val="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非甲烷总烃</w:t>
            </w:r>
          </w:p>
        </w:tc>
        <w:tc>
          <w:tcPr>
            <w:tcW w:w="957" w:type="pct"/>
            <w:vMerge w:val="continue"/>
            <w:vAlign w:val="center"/>
          </w:tcPr>
          <w:p w14:paraId="6F69A337">
            <w:pPr>
              <w:jc w:val="center"/>
              <w:rPr>
                <w:rFonts w:hint="eastAsia" w:ascii="Times New Roman" w:hAnsi="Times New Roman" w:eastAsia="宋体" w:cs="Times New Roman"/>
                <w:color w:val="auto"/>
                <w:szCs w:val="21"/>
              </w:rPr>
            </w:pPr>
          </w:p>
        </w:tc>
        <w:tc>
          <w:tcPr>
            <w:tcW w:w="1457" w:type="pct"/>
            <w:vAlign w:val="center"/>
          </w:tcPr>
          <w:p w14:paraId="57C1A7E0">
            <w:pPr>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大气污染物综合排放标准详解</w:t>
            </w:r>
          </w:p>
        </w:tc>
      </w:tr>
      <w:tr w14:paraId="501E3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 w:hRule="atLeast"/>
        </w:trPr>
        <w:tc>
          <w:tcPr>
            <w:tcW w:w="541" w:type="pct"/>
            <w:vAlign w:val="center"/>
          </w:tcPr>
          <w:p w14:paraId="30DB516D">
            <w:pPr>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地表水</w:t>
            </w:r>
          </w:p>
        </w:tc>
        <w:tc>
          <w:tcPr>
            <w:tcW w:w="892" w:type="pct"/>
            <w:vAlign w:val="center"/>
          </w:tcPr>
          <w:p w14:paraId="52DF407C">
            <w:pPr>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团湖、胥家湖</w:t>
            </w:r>
          </w:p>
        </w:tc>
        <w:tc>
          <w:tcPr>
            <w:tcW w:w="1152" w:type="pct"/>
            <w:vAlign w:val="center"/>
          </w:tcPr>
          <w:p w14:paraId="14BC7820">
            <w:pPr>
              <w:wordWrap w:val="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eastAsia="en-US"/>
              </w:rPr>
              <w:t>pH、COD、BOD5、氨氮、总磷、</w:t>
            </w:r>
            <w:r>
              <w:rPr>
                <w:rFonts w:hint="eastAsia" w:ascii="Times New Roman" w:hAnsi="Times New Roman" w:eastAsia="宋体" w:cs="Times New Roman"/>
                <w:color w:val="auto"/>
                <w:szCs w:val="21"/>
                <w:lang w:val="en-US" w:eastAsia="zh-CN"/>
              </w:rPr>
              <w:t>总氮</w:t>
            </w:r>
          </w:p>
        </w:tc>
        <w:tc>
          <w:tcPr>
            <w:tcW w:w="957" w:type="pct"/>
            <w:vAlign w:val="center"/>
          </w:tcPr>
          <w:p w14:paraId="62A02179">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丰、平、枯水期各监测一次</w:t>
            </w:r>
          </w:p>
        </w:tc>
        <w:tc>
          <w:tcPr>
            <w:tcW w:w="1457" w:type="pct"/>
            <w:vAlign w:val="center"/>
          </w:tcPr>
          <w:p w14:paraId="09D5BBE8">
            <w:pPr>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《地表水环境质量标准》(GB3838-2002)III类标准</w:t>
            </w:r>
          </w:p>
        </w:tc>
      </w:tr>
      <w:tr w14:paraId="3C74F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 w:hRule="atLeast"/>
        </w:trPr>
        <w:tc>
          <w:tcPr>
            <w:tcW w:w="541" w:type="pct"/>
            <w:vMerge w:val="restart"/>
            <w:vAlign w:val="center"/>
          </w:tcPr>
          <w:p w14:paraId="032C5A65">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地下水</w:t>
            </w:r>
          </w:p>
        </w:tc>
        <w:tc>
          <w:tcPr>
            <w:tcW w:w="892" w:type="pct"/>
            <w:vMerge w:val="restart"/>
            <w:vAlign w:val="center"/>
          </w:tcPr>
          <w:p w14:paraId="57948BD6">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厂区内监测井</w:t>
            </w:r>
          </w:p>
        </w:tc>
        <w:tc>
          <w:tcPr>
            <w:tcW w:w="1152" w:type="pct"/>
            <w:vAlign w:val="center"/>
          </w:tcPr>
          <w:p w14:paraId="78C584F5">
            <w:pPr>
              <w:wordWrap w:val="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en-US"/>
              </w:rPr>
              <w:t>pH</w:t>
            </w:r>
            <w:r>
              <w:rPr>
                <w:rFonts w:hint="eastAsia" w:ascii="Times New Roman" w:hAnsi="Times New Roman" w:eastAsia="宋体" w:cs="Times New Roman"/>
                <w:color w:val="auto"/>
                <w:szCs w:val="21"/>
                <w:lang w:val="zh-TW" w:eastAsia="zh-TW"/>
              </w:rPr>
              <w:t>值</w:t>
            </w:r>
          </w:p>
        </w:tc>
        <w:tc>
          <w:tcPr>
            <w:tcW w:w="957" w:type="pct"/>
            <w:vMerge w:val="restart"/>
            <w:vAlign w:val="center"/>
          </w:tcPr>
          <w:p w14:paraId="4C8A9148">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1次/年，发现有地下水污染现象时需增加采样频次。</w:t>
            </w:r>
          </w:p>
        </w:tc>
        <w:tc>
          <w:tcPr>
            <w:tcW w:w="1457" w:type="pct"/>
            <w:vMerge w:val="restart"/>
            <w:vAlign w:val="center"/>
          </w:tcPr>
          <w:p w14:paraId="7AF44EBF">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《地下水质量标准》(GBT14848-2017)；</w:t>
            </w:r>
          </w:p>
          <w:p w14:paraId="097DDC31">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《环境影响评价技术导则 地下水环境》（HJ610-2016）</w:t>
            </w:r>
          </w:p>
        </w:tc>
      </w:tr>
      <w:tr w14:paraId="18193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541" w:type="pct"/>
            <w:vMerge w:val="continue"/>
            <w:vAlign w:val="center"/>
          </w:tcPr>
          <w:p w14:paraId="6F75A27F">
            <w:pPr>
              <w:jc w:val="center"/>
              <w:rPr>
                <w:rFonts w:ascii="Times New Roman" w:hAnsi="Times New Roman" w:eastAsia="宋体" w:cs="Times New Roman"/>
                <w:color w:val="auto"/>
                <w:szCs w:val="21"/>
              </w:rPr>
            </w:pPr>
          </w:p>
        </w:tc>
        <w:tc>
          <w:tcPr>
            <w:tcW w:w="892" w:type="pct"/>
            <w:vMerge w:val="continue"/>
            <w:vAlign w:val="center"/>
          </w:tcPr>
          <w:p w14:paraId="0EE7CAD1">
            <w:pPr>
              <w:jc w:val="center"/>
              <w:rPr>
                <w:rFonts w:ascii="Times New Roman" w:hAnsi="Times New Roman" w:eastAsia="宋体" w:cs="Times New Roman"/>
                <w:color w:val="auto"/>
                <w:szCs w:val="21"/>
              </w:rPr>
            </w:pPr>
          </w:p>
        </w:tc>
        <w:tc>
          <w:tcPr>
            <w:tcW w:w="1152" w:type="pct"/>
            <w:vAlign w:val="center"/>
          </w:tcPr>
          <w:p w14:paraId="6D5C5DF5">
            <w:pPr>
              <w:wordWrap w:val="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K</w:t>
            </w:r>
            <w:r>
              <w:rPr>
                <w:rFonts w:hint="eastAsia" w:ascii="Times New Roman" w:hAnsi="Times New Roman" w:eastAsia="宋体" w:cs="Times New Roman"/>
                <w:color w:val="auto"/>
                <w:szCs w:val="21"/>
                <w:vertAlign w:val="superscript"/>
                <w:lang w:val="en-US" w:eastAsia="zh-CN"/>
              </w:rPr>
              <w:t>+</w:t>
            </w:r>
          </w:p>
        </w:tc>
        <w:tc>
          <w:tcPr>
            <w:tcW w:w="957" w:type="pct"/>
            <w:vMerge w:val="continue"/>
            <w:vAlign w:val="center"/>
          </w:tcPr>
          <w:p w14:paraId="0B8D7C63">
            <w:pPr>
              <w:jc w:val="center"/>
              <w:rPr>
                <w:rFonts w:ascii="Times New Roman" w:hAnsi="Times New Roman" w:eastAsia="宋体" w:cs="Times New Roman"/>
                <w:color w:val="auto"/>
                <w:szCs w:val="21"/>
              </w:rPr>
            </w:pPr>
          </w:p>
        </w:tc>
        <w:tc>
          <w:tcPr>
            <w:tcW w:w="1457" w:type="pct"/>
            <w:vMerge w:val="continue"/>
            <w:vAlign w:val="center"/>
          </w:tcPr>
          <w:p w14:paraId="4DE9A985">
            <w:pPr>
              <w:jc w:val="center"/>
              <w:rPr>
                <w:rFonts w:ascii="Times New Roman" w:hAnsi="Times New Roman" w:eastAsia="宋体" w:cs="Times New Roman"/>
                <w:color w:val="auto"/>
                <w:szCs w:val="21"/>
              </w:rPr>
            </w:pPr>
          </w:p>
        </w:tc>
      </w:tr>
      <w:tr w14:paraId="39205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 w:hRule="atLeast"/>
        </w:trPr>
        <w:tc>
          <w:tcPr>
            <w:tcW w:w="541" w:type="pct"/>
            <w:vMerge w:val="continue"/>
            <w:vAlign w:val="center"/>
          </w:tcPr>
          <w:p w14:paraId="1B952A4C">
            <w:pPr>
              <w:jc w:val="center"/>
              <w:rPr>
                <w:rFonts w:ascii="Times New Roman" w:hAnsi="Times New Roman" w:eastAsia="宋体" w:cs="Times New Roman"/>
                <w:color w:val="auto"/>
                <w:szCs w:val="21"/>
              </w:rPr>
            </w:pPr>
          </w:p>
        </w:tc>
        <w:tc>
          <w:tcPr>
            <w:tcW w:w="892" w:type="pct"/>
            <w:vMerge w:val="continue"/>
            <w:vAlign w:val="center"/>
          </w:tcPr>
          <w:p w14:paraId="44846526">
            <w:pPr>
              <w:jc w:val="center"/>
              <w:rPr>
                <w:rFonts w:ascii="Times New Roman" w:hAnsi="Times New Roman" w:eastAsia="宋体" w:cs="Times New Roman"/>
                <w:color w:val="auto"/>
                <w:szCs w:val="21"/>
              </w:rPr>
            </w:pPr>
          </w:p>
        </w:tc>
        <w:tc>
          <w:tcPr>
            <w:tcW w:w="1152" w:type="pct"/>
            <w:vAlign w:val="center"/>
          </w:tcPr>
          <w:p w14:paraId="26293DD8">
            <w:pPr>
              <w:wordWrap w:val="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NA</w:t>
            </w:r>
            <w:r>
              <w:rPr>
                <w:rFonts w:hint="eastAsia" w:ascii="Times New Roman" w:hAnsi="Times New Roman" w:eastAsia="宋体" w:cs="Times New Roman"/>
                <w:color w:val="auto"/>
                <w:szCs w:val="21"/>
                <w:vertAlign w:val="superscript"/>
                <w:lang w:val="en-US" w:eastAsia="zh-CN"/>
              </w:rPr>
              <w:t>+</w:t>
            </w:r>
          </w:p>
        </w:tc>
        <w:tc>
          <w:tcPr>
            <w:tcW w:w="957" w:type="pct"/>
            <w:vMerge w:val="continue"/>
            <w:vAlign w:val="center"/>
          </w:tcPr>
          <w:p w14:paraId="1736558C">
            <w:pPr>
              <w:jc w:val="center"/>
              <w:rPr>
                <w:rFonts w:ascii="Times New Roman" w:hAnsi="Times New Roman" w:eastAsia="宋体" w:cs="Times New Roman"/>
                <w:color w:val="auto"/>
                <w:szCs w:val="21"/>
              </w:rPr>
            </w:pPr>
          </w:p>
        </w:tc>
        <w:tc>
          <w:tcPr>
            <w:tcW w:w="1457" w:type="pct"/>
            <w:vMerge w:val="continue"/>
            <w:vAlign w:val="center"/>
          </w:tcPr>
          <w:p w14:paraId="1A7C99AE">
            <w:pPr>
              <w:jc w:val="center"/>
              <w:rPr>
                <w:rFonts w:ascii="Times New Roman" w:hAnsi="Times New Roman" w:eastAsia="宋体" w:cs="Times New Roman"/>
                <w:color w:val="auto"/>
                <w:szCs w:val="21"/>
              </w:rPr>
            </w:pPr>
          </w:p>
        </w:tc>
      </w:tr>
      <w:tr w14:paraId="104B5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 w:hRule="atLeast"/>
        </w:trPr>
        <w:tc>
          <w:tcPr>
            <w:tcW w:w="541" w:type="pct"/>
            <w:vMerge w:val="continue"/>
            <w:vAlign w:val="center"/>
          </w:tcPr>
          <w:p w14:paraId="2892AA4F">
            <w:pPr>
              <w:jc w:val="center"/>
              <w:rPr>
                <w:rFonts w:ascii="Times New Roman" w:hAnsi="Times New Roman" w:eastAsia="宋体" w:cs="Times New Roman"/>
                <w:color w:val="auto"/>
                <w:szCs w:val="21"/>
              </w:rPr>
            </w:pPr>
          </w:p>
        </w:tc>
        <w:tc>
          <w:tcPr>
            <w:tcW w:w="892" w:type="pct"/>
            <w:vMerge w:val="continue"/>
            <w:vAlign w:val="center"/>
          </w:tcPr>
          <w:p w14:paraId="162506D5">
            <w:pPr>
              <w:jc w:val="center"/>
              <w:rPr>
                <w:rFonts w:ascii="Times New Roman" w:hAnsi="Times New Roman" w:eastAsia="宋体" w:cs="Times New Roman"/>
                <w:color w:val="auto"/>
                <w:szCs w:val="21"/>
              </w:rPr>
            </w:pPr>
          </w:p>
        </w:tc>
        <w:tc>
          <w:tcPr>
            <w:tcW w:w="1152" w:type="pct"/>
            <w:vAlign w:val="center"/>
          </w:tcPr>
          <w:p w14:paraId="2583E0B6">
            <w:pPr>
              <w:wordWrap w:val="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Ca</w:t>
            </w:r>
            <w:r>
              <w:rPr>
                <w:rFonts w:hint="eastAsia" w:ascii="Times New Roman" w:hAnsi="Times New Roman" w:eastAsia="宋体" w:cs="Times New Roman"/>
                <w:color w:val="auto"/>
                <w:szCs w:val="21"/>
                <w:vertAlign w:val="superscript"/>
                <w:lang w:val="en-US" w:eastAsia="zh-CN"/>
              </w:rPr>
              <w:t>+</w:t>
            </w:r>
          </w:p>
        </w:tc>
        <w:tc>
          <w:tcPr>
            <w:tcW w:w="957" w:type="pct"/>
            <w:vMerge w:val="continue"/>
            <w:vAlign w:val="center"/>
          </w:tcPr>
          <w:p w14:paraId="4F507CF5">
            <w:pPr>
              <w:jc w:val="center"/>
              <w:rPr>
                <w:rFonts w:ascii="Times New Roman" w:hAnsi="Times New Roman" w:eastAsia="宋体" w:cs="Times New Roman"/>
                <w:color w:val="auto"/>
                <w:szCs w:val="21"/>
              </w:rPr>
            </w:pPr>
          </w:p>
        </w:tc>
        <w:tc>
          <w:tcPr>
            <w:tcW w:w="1457" w:type="pct"/>
            <w:vMerge w:val="continue"/>
            <w:vAlign w:val="center"/>
          </w:tcPr>
          <w:p w14:paraId="5DD6B0D9">
            <w:pPr>
              <w:jc w:val="center"/>
              <w:rPr>
                <w:rFonts w:ascii="Times New Roman" w:hAnsi="Times New Roman" w:eastAsia="宋体" w:cs="Times New Roman"/>
                <w:color w:val="auto"/>
                <w:szCs w:val="21"/>
              </w:rPr>
            </w:pPr>
          </w:p>
        </w:tc>
      </w:tr>
      <w:tr w14:paraId="144B0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 w:hRule="atLeast"/>
        </w:trPr>
        <w:tc>
          <w:tcPr>
            <w:tcW w:w="541" w:type="pct"/>
            <w:vMerge w:val="continue"/>
            <w:vAlign w:val="center"/>
          </w:tcPr>
          <w:p w14:paraId="35B99B47">
            <w:pPr>
              <w:jc w:val="center"/>
              <w:rPr>
                <w:rFonts w:ascii="Times New Roman" w:hAnsi="Times New Roman" w:eastAsia="宋体" w:cs="Times New Roman"/>
                <w:color w:val="auto"/>
                <w:szCs w:val="21"/>
              </w:rPr>
            </w:pPr>
          </w:p>
        </w:tc>
        <w:tc>
          <w:tcPr>
            <w:tcW w:w="892" w:type="pct"/>
            <w:vMerge w:val="continue"/>
            <w:vAlign w:val="center"/>
          </w:tcPr>
          <w:p w14:paraId="2C86B1F6">
            <w:pPr>
              <w:jc w:val="center"/>
              <w:rPr>
                <w:rFonts w:ascii="Times New Roman" w:hAnsi="Times New Roman" w:eastAsia="宋体" w:cs="Times New Roman"/>
                <w:color w:val="auto"/>
                <w:szCs w:val="21"/>
              </w:rPr>
            </w:pPr>
          </w:p>
        </w:tc>
        <w:tc>
          <w:tcPr>
            <w:tcW w:w="1152" w:type="pct"/>
            <w:vAlign w:val="center"/>
          </w:tcPr>
          <w:p w14:paraId="4665E290">
            <w:pPr>
              <w:wordWrap w:val="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Mg</w:t>
            </w:r>
            <w:r>
              <w:rPr>
                <w:rFonts w:hint="eastAsia" w:ascii="Times New Roman" w:hAnsi="Times New Roman" w:eastAsia="宋体" w:cs="Times New Roman"/>
                <w:color w:val="auto"/>
                <w:szCs w:val="21"/>
                <w:vertAlign w:val="superscript"/>
                <w:lang w:val="en-US" w:eastAsia="zh-CN"/>
              </w:rPr>
              <w:t>2+</w:t>
            </w:r>
          </w:p>
        </w:tc>
        <w:tc>
          <w:tcPr>
            <w:tcW w:w="957" w:type="pct"/>
            <w:vMerge w:val="continue"/>
            <w:vAlign w:val="center"/>
          </w:tcPr>
          <w:p w14:paraId="4DB190FE">
            <w:pPr>
              <w:jc w:val="center"/>
              <w:rPr>
                <w:rFonts w:ascii="Times New Roman" w:hAnsi="Times New Roman" w:eastAsia="宋体" w:cs="Times New Roman"/>
                <w:color w:val="auto"/>
                <w:szCs w:val="21"/>
              </w:rPr>
            </w:pPr>
          </w:p>
        </w:tc>
        <w:tc>
          <w:tcPr>
            <w:tcW w:w="1457" w:type="pct"/>
            <w:vMerge w:val="continue"/>
            <w:vAlign w:val="center"/>
          </w:tcPr>
          <w:p w14:paraId="30144295">
            <w:pPr>
              <w:jc w:val="center"/>
              <w:rPr>
                <w:rFonts w:ascii="Times New Roman" w:hAnsi="Times New Roman" w:eastAsia="宋体" w:cs="Times New Roman"/>
                <w:color w:val="auto"/>
                <w:szCs w:val="21"/>
              </w:rPr>
            </w:pPr>
          </w:p>
        </w:tc>
      </w:tr>
      <w:tr w14:paraId="5EF61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 w:hRule="atLeast"/>
        </w:trPr>
        <w:tc>
          <w:tcPr>
            <w:tcW w:w="541" w:type="pct"/>
            <w:vMerge w:val="continue"/>
            <w:vAlign w:val="center"/>
          </w:tcPr>
          <w:p w14:paraId="1E55544A">
            <w:pPr>
              <w:jc w:val="center"/>
              <w:rPr>
                <w:rFonts w:ascii="Times New Roman" w:hAnsi="Times New Roman" w:eastAsia="宋体" w:cs="Times New Roman"/>
                <w:color w:val="auto"/>
                <w:szCs w:val="21"/>
              </w:rPr>
            </w:pPr>
          </w:p>
        </w:tc>
        <w:tc>
          <w:tcPr>
            <w:tcW w:w="892" w:type="pct"/>
            <w:vMerge w:val="continue"/>
            <w:vAlign w:val="center"/>
          </w:tcPr>
          <w:p w14:paraId="4A8F6D14">
            <w:pPr>
              <w:jc w:val="center"/>
              <w:rPr>
                <w:rFonts w:ascii="Times New Roman" w:hAnsi="Times New Roman" w:eastAsia="宋体" w:cs="Times New Roman"/>
                <w:color w:val="auto"/>
                <w:szCs w:val="21"/>
              </w:rPr>
            </w:pPr>
          </w:p>
        </w:tc>
        <w:tc>
          <w:tcPr>
            <w:tcW w:w="1152" w:type="pct"/>
            <w:vAlign w:val="center"/>
          </w:tcPr>
          <w:p w14:paraId="7B587C11">
            <w:pPr>
              <w:wordWrap w:val="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CO</w:t>
            </w:r>
            <w:r>
              <w:rPr>
                <w:rFonts w:hint="eastAsia" w:ascii="Times New Roman" w:hAnsi="Times New Roman" w:eastAsia="宋体" w:cs="Times New Roman"/>
                <w:color w:val="auto"/>
                <w:szCs w:val="21"/>
                <w:vertAlign w:val="subscript"/>
                <w:lang w:val="en-US" w:eastAsia="zh-CN"/>
              </w:rPr>
              <w:t>3</w:t>
            </w:r>
            <w:r>
              <w:rPr>
                <w:rFonts w:hint="eastAsia" w:ascii="Times New Roman" w:hAnsi="Times New Roman" w:eastAsia="宋体" w:cs="Times New Roman"/>
                <w:color w:val="auto"/>
                <w:szCs w:val="21"/>
                <w:vertAlign w:val="superscript"/>
                <w:lang w:val="en-US" w:eastAsia="zh-CN"/>
              </w:rPr>
              <w:t>2-</w:t>
            </w:r>
          </w:p>
        </w:tc>
        <w:tc>
          <w:tcPr>
            <w:tcW w:w="957" w:type="pct"/>
            <w:vMerge w:val="continue"/>
            <w:vAlign w:val="center"/>
          </w:tcPr>
          <w:p w14:paraId="0C9C9649">
            <w:pPr>
              <w:jc w:val="center"/>
              <w:rPr>
                <w:rFonts w:ascii="Times New Roman" w:hAnsi="Times New Roman" w:eastAsia="宋体" w:cs="Times New Roman"/>
                <w:color w:val="auto"/>
                <w:szCs w:val="21"/>
              </w:rPr>
            </w:pPr>
          </w:p>
        </w:tc>
        <w:tc>
          <w:tcPr>
            <w:tcW w:w="1457" w:type="pct"/>
            <w:vMerge w:val="continue"/>
            <w:vAlign w:val="center"/>
          </w:tcPr>
          <w:p w14:paraId="6E3E169B">
            <w:pPr>
              <w:jc w:val="center"/>
              <w:rPr>
                <w:rFonts w:ascii="Times New Roman" w:hAnsi="Times New Roman" w:eastAsia="宋体" w:cs="Times New Roman"/>
                <w:color w:val="auto"/>
                <w:szCs w:val="21"/>
              </w:rPr>
            </w:pPr>
          </w:p>
        </w:tc>
      </w:tr>
      <w:tr w14:paraId="67848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 w:hRule="atLeast"/>
        </w:trPr>
        <w:tc>
          <w:tcPr>
            <w:tcW w:w="541" w:type="pct"/>
            <w:vMerge w:val="continue"/>
            <w:vAlign w:val="center"/>
          </w:tcPr>
          <w:p w14:paraId="2228A1DC">
            <w:pPr>
              <w:jc w:val="center"/>
              <w:rPr>
                <w:rFonts w:ascii="Times New Roman" w:hAnsi="Times New Roman" w:eastAsia="宋体" w:cs="Times New Roman"/>
                <w:color w:val="auto"/>
                <w:szCs w:val="21"/>
              </w:rPr>
            </w:pPr>
          </w:p>
        </w:tc>
        <w:tc>
          <w:tcPr>
            <w:tcW w:w="892" w:type="pct"/>
            <w:vMerge w:val="continue"/>
            <w:vAlign w:val="center"/>
          </w:tcPr>
          <w:p w14:paraId="0BD63E81">
            <w:pPr>
              <w:jc w:val="center"/>
              <w:rPr>
                <w:rFonts w:ascii="Times New Roman" w:hAnsi="Times New Roman" w:eastAsia="宋体" w:cs="Times New Roman"/>
                <w:color w:val="auto"/>
                <w:szCs w:val="21"/>
              </w:rPr>
            </w:pPr>
          </w:p>
        </w:tc>
        <w:tc>
          <w:tcPr>
            <w:tcW w:w="1152" w:type="pct"/>
            <w:vAlign w:val="center"/>
          </w:tcPr>
          <w:p w14:paraId="35289C94">
            <w:pPr>
              <w:wordWrap w:val="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HCO</w:t>
            </w:r>
            <w:r>
              <w:rPr>
                <w:rFonts w:hint="eastAsia" w:ascii="Times New Roman" w:hAnsi="Times New Roman" w:eastAsia="宋体" w:cs="Times New Roman"/>
                <w:color w:val="auto"/>
                <w:szCs w:val="21"/>
                <w:vertAlign w:val="subscript"/>
                <w:lang w:val="en-US" w:eastAsia="zh-CN"/>
              </w:rPr>
              <w:t>3</w:t>
            </w:r>
            <w:r>
              <w:rPr>
                <w:rFonts w:hint="eastAsia" w:ascii="Times New Roman" w:hAnsi="Times New Roman" w:eastAsia="宋体" w:cs="Times New Roman"/>
                <w:color w:val="auto"/>
                <w:szCs w:val="21"/>
                <w:vertAlign w:val="superscript"/>
                <w:lang w:val="en-US" w:eastAsia="zh-CN"/>
              </w:rPr>
              <w:t>-</w:t>
            </w:r>
          </w:p>
        </w:tc>
        <w:tc>
          <w:tcPr>
            <w:tcW w:w="957" w:type="pct"/>
            <w:vMerge w:val="continue"/>
            <w:vAlign w:val="center"/>
          </w:tcPr>
          <w:p w14:paraId="720B98B4">
            <w:pPr>
              <w:jc w:val="center"/>
              <w:rPr>
                <w:rFonts w:ascii="Times New Roman" w:hAnsi="Times New Roman" w:eastAsia="宋体" w:cs="Times New Roman"/>
                <w:color w:val="auto"/>
                <w:szCs w:val="21"/>
              </w:rPr>
            </w:pPr>
          </w:p>
        </w:tc>
        <w:tc>
          <w:tcPr>
            <w:tcW w:w="1457" w:type="pct"/>
            <w:vMerge w:val="continue"/>
            <w:vAlign w:val="center"/>
          </w:tcPr>
          <w:p w14:paraId="41EE2169">
            <w:pPr>
              <w:jc w:val="center"/>
              <w:rPr>
                <w:rFonts w:ascii="Times New Roman" w:hAnsi="Times New Roman" w:eastAsia="宋体" w:cs="Times New Roman"/>
                <w:color w:val="auto"/>
                <w:szCs w:val="21"/>
              </w:rPr>
            </w:pPr>
          </w:p>
        </w:tc>
      </w:tr>
      <w:tr w14:paraId="0DA5D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 w:hRule="atLeast"/>
        </w:trPr>
        <w:tc>
          <w:tcPr>
            <w:tcW w:w="541" w:type="pct"/>
            <w:vMerge w:val="continue"/>
            <w:vAlign w:val="center"/>
          </w:tcPr>
          <w:p w14:paraId="61783CB4">
            <w:pPr>
              <w:jc w:val="center"/>
              <w:rPr>
                <w:rFonts w:ascii="Times New Roman" w:hAnsi="Times New Roman" w:eastAsia="宋体" w:cs="Times New Roman"/>
                <w:color w:val="auto"/>
                <w:szCs w:val="21"/>
              </w:rPr>
            </w:pPr>
          </w:p>
        </w:tc>
        <w:tc>
          <w:tcPr>
            <w:tcW w:w="892" w:type="pct"/>
            <w:vMerge w:val="continue"/>
            <w:vAlign w:val="center"/>
          </w:tcPr>
          <w:p w14:paraId="5CBDB1A9">
            <w:pPr>
              <w:jc w:val="center"/>
              <w:rPr>
                <w:rFonts w:ascii="Times New Roman" w:hAnsi="Times New Roman" w:eastAsia="宋体" w:cs="Times New Roman"/>
                <w:color w:val="auto"/>
                <w:szCs w:val="21"/>
              </w:rPr>
            </w:pPr>
          </w:p>
        </w:tc>
        <w:tc>
          <w:tcPr>
            <w:tcW w:w="1152" w:type="pct"/>
            <w:vAlign w:val="center"/>
          </w:tcPr>
          <w:p w14:paraId="74558C4A">
            <w:pPr>
              <w:wordWrap w:val="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Cl</w:t>
            </w:r>
            <w:r>
              <w:rPr>
                <w:rFonts w:hint="eastAsia" w:ascii="Times New Roman" w:hAnsi="Times New Roman" w:eastAsia="宋体" w:cs="Times New Roman"/>
                <w:color w:val="auto"/>
                <w:szCs w:val="21"/>
                <w:vertAlign w:val="superscript"/>
                <w:lang w:val="en-US" w:eastAsia="zh-CN"/>
              </w:rPr>
              <w:t>-</w:t>
            </w:r>
          </w:p>
        </w:tc>
        <w:tc>
          <w:tcPr>
            <w:tcW w:w="957" w:type="pct"/>
            <w:vMerge w:val="continue"/>
            <w:vAlign w:val="center"/>
          </w:tcPr>
          <w:p w14:paraId="10F3E24E">
            <w:pPr>
              <w:jc w:val="center"/>
              <w:rPr>
                <w:rFonts w:ascii="Times New Roman" w:hAnsi="Times New Roman" w:eastAsia="宋体" w:cs="Times New Roman"/>
                <w:color w:val="auto"/>
                <w:szCs w:val="21"/>
              </w:rPr>
            </w:pPr>
          </w:p>
        </w:tc>
        <w:tc>
          <w:tcPr>
            <w:tcW w:w="1457" w:type="pct"/>
            <w:vMerge w:val="continue"/>
            <w:vAlign w:val="center"/>
          </w:tcPr>
          <w:p w14:paraId="773D81B4">
            <w:pPr>
              <w:jc w:val="center"/>
              <w:rPr>
                <w:rFonts w:ascii="Times New Roman" w:hAnsi="Times New Roman" w:eastAsia="宋体" w:cs="Times New Roman"/>
                <w:color w:val="auto"/>
                <w:szCs w:val="21"/>
              </w:rPr>
            </w:pPr>
          </w:p>
        </w:tc>
      </w:tr>
      <w:tr w14:paraId="23CA5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 w:hRule="atLeast"/>
        </w:trPr>
        <w:tc>
          <w:tcPr>
            <w:tcW w:w="541" w:type="pct"/>
            <w:vMerge w:val="continue"/>
            <w:vAlign w:val="center"/>
          </w:tcPr>
          <w:p w14:paraId="2F7C67A7">
            <w:pPr>
              <w:jc w:val="center"/>
              <w:rPr>
                <w:rFonts w:ascii="Times New Roman" w:hAnsi="Times New Roman" w:eastAsia="宋体" w:cs="Times New Roman"/>
                <w:color w:val="auto"/>
                <w:szCs w:val="21"/>
              </w:rPr>
            </w:pPr>
          </w:p>
        </w:tc>
        <w:tc>
          <w:tcPr>
            <w:tcW w:w="892" w:type="pct"/>
            <w:vMerge w:val="continue"/>
            <w:vAlign w:val="center"/>
          </w:tcPr>
          <w:p w14:paraId="52A13AF2">
            <w:pPr>
              <w:jc w:val="center"/>
              <w:rPr>
                <w:rFonts w:ascii="Times New Roman" w:hAnsi="Times New Roman" w:eastAsia="宋体" w:cs="Times New Roman"/>
                <w:color w:val="auto"/>
                <w:szCs w:val="21"/>
              </w:rPr>
            </w:pPr>
          </w:p>
        </w:tc>
        <w:tc>
          <w:tcPr>
            <w:tcW w:w="1152" w:type="pct"/>
            <w:vAlign w:val="center"/>
          </w:tcPr>
          <w:p w14:paraId="0E5F487C">
            <w:pPr>
              <w:wordWrap w:val="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SO</w:t>
            </w:r>
            <w:r>
              <w:rPr>
                <w:rFonts w:hint="eastAsia" w:ascii="Times New Roman" w:hAnsi="Times New Roman" w:eastAsia="宋体" w:cs="Times New Roman"/>
                <w:color w:val="auto"/>
                <w:szCs w:val="21"/>
                <w:vertAlign w:val="subscript"/>
                <w:lang w:val="en-US" w:eastAsia="zh-CN"/>
              </w:rPr>
              <w:t>4</w:t>
            </w:r>
            <w:r>
              <w:rPr>
                <w:rFonts w:hint="eastAsia" w:ascii="Times New Roman" w:hAnsi="Times New Roman" w:eastAsia="宋体" w:cs="Times New Roman"/>
                <w:color w:val="auto"/>
                <w:szCs w:val="21"/>
                <w:vertAlign w:val="superscript"/>
                <w:lang w:val="en-US" w:eastAsia="zh-CN"/>
              </w:rPr>
              <w:t>2-</w:t>
            </w:r>
          </w:p>
        </w:tc>
        <w:tc>
          <w:tcPr>
            <w:tcW w:w="957" w:type="pct"/>
            <w:vMerge w:val="continue"/>
            <w:vAlign w:val="center"/>
          </w:tcPr>
          <w:p w14:paraId="786C661B">
            <w:pPr>
              <w:jc w:val="center"/>
              <w:rPr>
                <w:rFonts w:ascii="Times New Roman" w:hAnsi="Times New Roman" w:eastAsia="宋体" w:cs="Times New Roman"/>
                <w:color w:val="auto"/>
                <w:szCs w:val="21"/>
              </w:rPr>
            </w:pPr>
          </w:p>
        </w:tc>
        <w:tc>
          <w:tcPr>
            <w:tcW w:w="1457" w:type="pct"/>
            <w:vMerge w:val="continue"/>
            <w:vAlign w:val="center"/>
          </w:tcPr>
          <w:p w14:paraId="71960853">
            <w:pPr>
              <w:jc w:val="center"/>
              <w:rPr>
                <w:rFonts w:ascii="Times New Roman" w:hAnsi="Times New Roman" w:eastAsia="宋体" w:cs="Times New Roman"/>
                <w:color w:val="auto"/>
                <w:szCs w:val="21"/>
              </w:rPr>
            </w:pPr>
          </w:p>
        </w:tc>
      </w:tr>
      <w:tr w14:paraId="0ACED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 w:hRule="atLeast"/>
        </w:trPr>
        <w:tc>
          <w:tcPr>
            <w:tcW w:w="541" w:type="pct"/>
            <w:vMerge w:val="continue"/>
            <w:vAlign w:val="center"/>
          </w:tcPr>
          <w:p w14:paraId="243971FB">
            <w:pPr>
              <w:jc w:val="center"/>
              <w:rPr>
                <w:rFonts w:ascii="Times New Roman" w:hAnsi="Times New Roman" w:eastAsia="宋体" w:cs="Times New Roman"/>
                <w:color w:val="auto"/>
                <w:szCs w:val="21"/>
              </w:rPr>
            </w:pPr>
          </w:p>
        </w:tc>
        <w:tc>
          <w:tcPr>
            <w:tcW w:w="892" w:type="pct"/>
            <w:vMerge w:val="continue"/>
            <w:vAlign w:val="center"/>
          </w:tcPr>
          <w:p w14:paraId="4AD66F91">
            <w:pPr>
              <w:jc w:val="center"/>
              <w:rPr>
                <w:rFonts w:ascii="Times New Roman" w:hAnsi="Times New Roman" w:eastAsia="宋体" w:cs="Times New Roman"/>
                <w:color w:val="auto"/>
                <w:szCs w:val="21"/>
              </w:rPr>
            </w:pPr>
          </w:p>
        </w:tc>
        <w:tc>
          <w:tcPr>
            <w:tcW w:w="1152" w:type="pct"/>
            <w:vAlign w:val="center"/>
          </w:tcPr>
          <w:p w14:paraId="1F82EF29">
            <w:pPr>
              <w:wordWrap w:val="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COD</w:t>
            </w:r>
          </w:p>
        </w:tc>
        <w:tc>
          <w:tcPr>
            <w:tcW w:w="957" w:type="pct"/>
            <w:vMerge w:val="continue"/>
            <w:vAlign w:val="center"/>
          </w:tcPr>
          <w:p w14:paraId="7D1DB76E">
            <w:pPr>
              <w:jc w:val="center"/>
              <w:rPr>
                <w:rFonts w:ascii="Times New Roman" w:hAnsi="Times New Roman" w:eastAsia="宋体" w:cs="Times New Roman"/>
                <w:color w:val="auto"/>
                <w:szCs w:val="21"/>
              </w:rPr>
            </w:pPr>
          </w:p>
        </w:tc>
        <w:tc>
          <w:tcPr>
            <w:tcW w:w="1457" w:type="pct"/>
            <w:vMerge w:val="continue"/>
            <w:vAlign w:val="center"/>
          </w:tcPr>
          <w:p w14:paraId="7812F85C">
            <w:pPr>
              <w:jc w:val="center"/>
              <w:rPr>
                <w:rFonts w:ascii="Times New Roman" w:hAnsi="Times New Roman" w:eastAsia="宋体" w:cs="Times New Roman"/>
                <w:color w:val="auto"/>
                <w:szCs w:val="21"/>
              </w:rPr>
            </w:pPr>
          </w:p>
        </w:tc>
      </w:tr>
      <w:tr w14:paraId="513A3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 w:hRule="atLeast"/>
        </w:trPr>
        <w:tc>
          <w:tcPr>
            <w:tcW w:w="541" w:type="pct"/>
            <w:vMerge w:val="continue"/>
            <w:vAlign w:val="center"/>
          </w:tcPr>
          <w:p w14:paraId="3BF21D0C">
            <w:pPr>
              <w:jc w:val="center"/>
              <w:rPr>
                <w:rFonts w:ascii="Times New Roman" w:hAnsi="Times New Roman" w:eastAsia="宋体" w:cs="Times New Roman"/>
                <w:color w:val="auto"/>
                <w:sz w:val="24"/>
                <w:szCs w:val="24"/>
              </w:rPr>
            </w:pPr>
          </w:p>
        </w:tc>
        <w:tc>
          <w:tcPr>
            <w:tcW w:w="892" w:type="pct"/>
            <w:vMerge w:val="continue"/>
            <w:vAlign w:val="center"/>
          </w:tcPr>
          <w:p w14:paraId="52512C6D">
            <w:pPr>
              <w:jc w:val="center"/>
              <w:rPr>
                <w:rFonts w:ascii="Times New Roman" w:hAnsi="Times New Roman" w:eastAsia="宋体" w:cs="Times New Roman"/>
                <w:color w:val="auto"/>
                <w:sz w:val="24"/>
                <w:szCs w:val="24"/>
              </w:rPr>
            </w:pPr>
          </w:p>
        </w:tc>
        <w:tc>
          <w:tcPr>
            <w:tcW w:w="1152" w:type="pct"/>
            <w:vAlign w:val="center"/>
          </w:tcPr>
          <w:p w14:paraId="0F222DFD">
            <w:pPr>
              <w:wordWrap w:val="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氨氮</w:t>
            </w:r>
          </w:p>
        </w:tc>
        <w:tc>
          <w:tcPr>
            <w:tcW w:w="957" w:type="pct"/>
            <w:vMerge w:val="continue"/>
            <w:vAlign w:val="center"/>
          </w:tcPr>
          <w:p w14:paraId="2D4AF4F7">
            <w:pPr>
              <w:jc w:val="center"/>
              <w:rPr>
                <w:rFonts w:ascii="Times New Roman" w:hAnsi="Times New Roman" w:eastAsia="宋体" w:cs="Times New Roman"/>
                <w:color w:val="auto"/>
                <w:szCs w:val="21"/>
              </w:rPr>
            </w:pPr>
          </w:p>
        </w:tc>
        <w:tc>
          <w:tcPr>
            <w:tcW w:w="1457" w:type="pct"/>
            <w:vMerge w:val="continue"/>
            <w:vAlign w:val="center"/>
          </w:tcPr>
          <w:p w14:paraId="2FA46818">
            <w:pPr>
              <w:jc w:val="center"/>
              <w:rPr>
                <w:rFonts w:ascii="Times New Roman" w:hAnsi="Times New Roman" w:eastAsia="宋体" w:cs="Times New Roman"/>
                <w:color w:val="auto"/>
                <w:szCs w:val="21"/>
              </w:rPr>
            </w:pPr>
          </w:p>
        </w:tc>
      </w:tr>
      <w:tr w14:paraId="00993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 w:hRule="atLeast"/>
        </w:trPr>
        <w:tc>
          <w:tcPr>
            <w:tcW w:w="541" w:type="pct"/>
            <w:vMerge w:val="continue"/>
            <w:vAlign w:val="center"/>
          </w:tcPr>
          <w:p w14:paraId="42106FAE">
            <w:pPr>
              <w:jc w:val="center"/>
              <w:rPr>
                <w:rFonts w:ascii="Times New Roman" w:hAnsi="Times New Roman" w:eastAsia="宋体" w:cs="Times New Roman"/>
                <w:color w:val="auto"/>
                <w:szCs w:val="21"/>
              </w:rPr>
            </w:pPr>
          </w:p>
        </w:tc>
        <w:tc>
          <w:tcPr>
            <w:tcW w:w="892" w:type="pct"/>
            <w:vMerge w:val="continue"/>
            <w:vAlign w:val="center"/>
          </w:tcPr>
          <w:p w14:paraId="0B994E84">
            <w:pPr>
              <w:jc w:val="center"/>
              <w:rPr>
                <w:rFonts w:ascii="Times New Roman" w:hAnsi="Times New Roman" w:eastAsia="宋体" w:cs="Times New Roman"/>
                <w:color w:val="auto"/>
                <w:szCs w:val="21"/>
              </w:rPr>
            </w:pPr>
          </w:p>
        </w:tc>
        <w:tc>
          <w:tcPr>
            <w:tcW w:w="1152" w:type="pct"/>
            <w:vAlign w:val="center"/>
          </w:tcPr>
          <w:p w14:paraId="1365CB70">
            <w:pPr>
              <w:wordWrap w:val="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总磷</w:t>
            </w:r>
          </w:p>
        </w:tc>
        <w:tc>
          <w:tcPr>
            <w:tcW w:w="957" w:type="pct"/>
            <w:vMerge w:val="continue"/>
            <w:vAlign w:val="center"/>
          </w:tcPr>
          <w:p w14:paraId="433A44FB">
            <w:pPr>
              <w:jc w:val="center"/>
              <w:rPr>
                <w:rFonts w:ascii="Times New Roman" w:hAnsi="Times New Roman" w:eastAsia="宋体" w:cs="Times New Roman"/>
                <w:color w:val="auto"/>
                <w:szCs w:val="21"/>
              </w:rPr>
            </w:pPr>
          </w:p>
        </w:tc>
        <w:tc>
          <w:tcPr>
            <w:tcW w:w="1457" w:type="pct"/>
            <w:vMerge w:val="continue"/>
            <w:vAlign w:val="center"/>
          </w:tcPr>
          <w:p w14:paraId="2D751AFD">
            <w:pPr>
              <w:jc w:val="center"/>
              <w:rPr>
                <w:rFonts w:ascii="Times New Roman" w:hAnsi="Times New Roman" w:eastAsia="宋体" w:cs="Times New Roman"/>
                <w:color w:val="auto"/>
                <w:szCs w:val="21"/>
              </w:rPr>
            </w:pPr>
          </w:p>
        </w:tc>
      </w:tr>
      <w:tr w14:paraId="681E4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 w:hRule="atLeast"/>
        </w:trPr>
        <w:tc>
          <w:tcPr>
            <w:tcW w:w="541" w:type="pct"/>
            <w:vMerge w:val="continue"/>
            <w:vAlign w:val="center"/>
          </w:tcPr>
          <w:p w14:paraId="10343DFC">
            <w:pPr>
              <w:jc w:val="center"/>
              <w:rPr>
                <w:rFonts w:ascii="Times New Roman" w:hAnsi="Times New Roman" w:eastAsia="宋体" w:cs="Times New Roman"/>
                <w:color w:val="auto"/>
                <w:szCs w:val="21"/>
              </w:rPr>
            </w:pPr>
          </w:p>
        </w:tc>
        <w:tc>
          <w:tcPr>
            <w:tcW w:w="892" w:type="pct"/>
            <w:vMerge w:val="continue"/>
            <w:vAlign w:val="center"/>
          </w:tcPr>
          <w:p w14:paraId="3F3AB754">
            <w:pPr>
              <w:jc w:val="center"/>
              <w:rPr>
                <w:rFonts w:ascii="Times New Roman" w:hAnsi="Times New Roman" w:eastAsia="宋体" w:cs="Times New Roman"/>
                <w:color w:val="auto"/>
                <w:szCs w:val="21"/>
              </w:rPr>
            </w:pPr>
          </w:p>
        </w:tc>
        <w:tc>
          <w:tcPr>
            <w:tcW w:w="1152" w:type="pct"/>
            <w:vAlign w:val="center"/>
          </w:tcPr>
          <w:p w14:paraId="4A97DB22">
            <w:pPr>
              <w:wordWrap w:val="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总氮</w:t>
            </w:r>
          </w:p>
        </w:tc>
        <w:tc>
          <w:tcPr>
            <w:tcW w:w="957" w:type="pct"/>
            <w:vMerge w:val="continue"/>
            <w:vAlign w:val="center"/>
          </w:tcPr>
          <w:p w14:paraId="3EBE7FC4">
            <w:pPr>
              <w:jc w:val="center"/>
              <w:rPr>
                <w:rFonts w:ascii="Times New Roman" w:hAnsi="Times New Roman" w:eastAsia="宋体" w:cs="Times New Roman"/>
                <w:color w:val="auto"/>
                <w:szCs w:val="21"/>
              </w:rPr>
            </w:pPr>
          </w:p>
        </w:tc>
        <w:tc>
          <w:tcPr>
            <w:tcW w:w="1457" w:type="pct"/>
            <w:vMerge w:val="continue"/>
            <w:vAlign w:val="center"/>
          </w:tcPr>
          <w:p w14:paraId="2D3868EE">
            <w:pPr>
              <w:jc w:val="center"/>
              <w:rPr>
                <w:rFonts w:ascii="Times New Roman" w:hAnsi="Times New Roman" w:eastAsia="宋体" w:cs="Times New Roman"/>
                <w:color w:val="auto"/>
                <w:szCs w:val="21"/>
              </w:rPr>
            </w:pPr>
          </w:p>
        </w:tc>
      </w:tr>
    </w:tbl>
    <w:p w14:paraId="489978CF">
      <w:pPr>
        <w:keepNext/>
        <w:keepLines/>
        <w:spacing w:before="156" w:beforeLines="50" w:after="156" w:afterLines="50" w:line="360" w:lineRule="auto"/>
        <w:outlineLvl w:val="2"/>
        <w:rPr>
          <w:rFonts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rPr>
        <w:t>10.2.2 监测数据管理</w:t>
      </w:r>
    </w:p>
    <w:p w14:paraId="42BC8700">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本项目监测及结果的应按项目有关规定及时建立档案，并抄送环境保护行政主管部门，对于常规监测数据应该进行公开，特别是对本项目所在区域的居民进行公开，满足法律中关于知情权的要求。发现污染和水质恶化时，要及时进行处理，开展系统调查，并上报有关部门。</w:t>
      </w:r>
    </w:p>
    <w:p w14:paraId="5593D0C2">
      <w:pPr>
        <w:keepNext/>
        <w:keepLines/>
        <w:spacing w:before="100" w:beforeAutospacing="1" w:after="100" w:afterAutospacing="1" w:line="360" w:lineRule="auto"/>
        <w:outlineLvl w:val="1"/>
        <w:rPr>
          <w:rFonts w:ascii="Times New Roman" w:hAnsi="Times New Roman" w:eastAsia="宋体" w:cs="Times New Roman"/>
          <w:b/>
          <w:bCs/>
          <w:color w:val="auto"/>
          <w:kern w:val="0"/>
          <w:sz w:val="28"/>
          <w:szCs w:val="28"/>
        </w:rPr>
      </w:pPr>
      <w:bookmarkStart w:id="326" w:name="_Toc12053"/>
      <w:bookmarkStart w:id="327" w:name="_Toc1241"/>
      <w:r>
        <w:rPr>
          <w:rFonts w:hint="eastAsia" w:ascii="Times New Roman" w:hAnsi="Times New Roman" w:eastAsia="宋体" w:cs="Times New Roman"/>
          <w:b/>
          <w:bCs/>
          <w:color w:val="auto"/>
          <w:kern w:val="0"/>
          <w:sz w:val="28"/>
          <w:szCs w:val="28"/>
        </w:rPr>
        <w:t>10.3 竣工环境保护验收</w:t>
      </w:r>
      <w:bookmarkEnd w:id="326"/>
      <w:bookmarkEnd w:id="327"/>
    </w:p>
    <w:p w14:paraId="22BC8070">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为加强建设项目竣工环境保护验收管理，监督落实环境保护设施与建设项目主体工程同时投产或者使用，以及落实其他需配套采取的环境保护措施，防治环境污染和生态破坏，根据《中华人民共和国环境保护法》（第四十一条）“建设项目中防治污染的设施，应当与主体工程同时设计、同时施工、同时投产使用。防治污染的设施应当符合经批准的环境影响评价文件的要求，不得擅自拆除或者闲置。</w:t>
      </w:r>
    </w:p>
    <w:p w14:paraId="349819FC">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按照《建设项目竣工环境保护验收暂行办法》中的要求，建设项目竣工后，建设单位应当依照国家有关法律法规、建设项目竣工环境保护验收技术规范、建设项目环境影响报告书（表）和审批决定等要求，编制建设项目竣工环境保护验收报告，并依法向社会公开。建设单位不具备编制验收监测（调查）报告能力的，可以委托有能力的技术机构编制。建设单位对受委托的技术机构编制的验收监测（调查）报告结论负责。“三同时”验收计划见表10.3-1。</w:t>
      </w:r>
    </w:p>
    <w:p w14:paraId="4A88D9C8">
      <w:pPr>
        <w:jc w:val="center"/>
        <w:rPr>
          <w:rFonts w:ascii="Times New Roman" w:hAnsi="Times New Roman" w:eastAsia="宋体" w:cs="Times New Roman"/>
          <w:b/>
          <w:bCs/>
          <w:color w:val="FF0000"/>
          <w:szCs w:val="21"/>
        </w:rPr>
        <w:sectPr>
          <w:pgSz w:w="11906" w:h="16838"/>
          <w:pgMar w:top="1440" w:right="1800" w:bottom="1440" w:left="1800" w:header="851" w:footer="992" w:gutter="0"/>
          <w:pgNumType w:fmt="numberInDash"/>
          <w:cols w:space="425" w:num="1"/>
          <w:docGrid w:type="lines" w:linePitch="312" w:charSpace="0"/>
        </w:sectPr>
      </w:pPr>
    </w:p>
    <w:p w14:paraId="3D232C56">
      <w:pPr>
        <w:pStyle w:val="6"/>
        <w:bidi w:val="0"/>
      </w:pPr>
      <w:r>
        <w:rPr>
          <w:rFonts w:hint="eastAsia"/>
        </w:rPr>
        <w:t xml:space="preserve">表10.3-1 </w:t>
      </w:r>
      <w:r>
        <w:t>竣工环保验收内容</w:t>
      </w:r>
      <w:r>
        <w:rPr>
          <w:rFonts w:hint="eastAsia"/>
        </w:rPr>
        <w:t>一览表</w:t>
      </w:r>
    </w:p>
    <w:tbl>
      <w:tblPr>
        <w:tblStyle w:val="41"/>
        <w:tblW w:w="511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88"/>
        <w:gridCol w:w="908"/>
        <w:gridCol w:w="1957"/>
        <w:gridCol w:w="5466"/>
        <w:gridCol w:w="1062"/>
        <w:gridCol w:w="1917"/>
        <w:gridCol w:w="2493"/>
      </w:tblGrid>
      <w:tr w14:paraId="5F6B0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199" w:type="pct"/>
            <w:gridSpan w:val="3"/>
            <w:tcMar>
              <w:top w:w="0" w:type="dxa"/>
              <w:left w:w="57" w:type="dxa"/>
              <w:bottom w:w="0" w:type="dxa"/>
              <w:right w:w="57" w:type="dxa"/>
            </w:tcMar>
            <w:vAlign w:val="center"/>
          </w:tcPr>
          <w:p w14:paraId="0968A920">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污染源项</w:t>
            </w:r>
          </w:p>
        </w:tc>
        <w:tc>
          <w:tcPr>
            <w:tcW w:w="1899" w:type="pct"/>
            <w:tcMar>
              <w:top w:w="0" w:type="dxa"/>
              <w:left w:w="57" w:type="dxa"/>
              <w:bottom w:w="0" w:type="dxa"/>
              <w:right w:w="57" w:type="dxa"/>
            </w:tcMar>
            <w:vAlign w:val="center"/>
          </w:tcPr>
          <w:p w14:paraId="0F2CE7DA">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治理措施</w:t>
            </w:r>
          </w:p>
        </w:tc>
        <w:tc>
          <w:tcPr>
            <w:tcW w:w="368" w:type="pct"/>
            <w:tcMar>
              <w:top w:w="0" w:type="dxa"/>
              <w:left w:w="57" w:type="dxa"/>
              <w:bottom w:w="0" w:type="dxa"/>
              <w:right w:w="57" w:type="dxa"/>
            </w:tcMar>
            <w:vAlign w:val="center"/>
          </w:tcPr>
          <w:p w14:paraId="48C744A7">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监测点</w:t>
            </w:r>
          </w:p>
        </w:tc>
        <w:tc>
          <w:tcPr>
            <w:tcW w:w="666" w:type="pct"/>
            <w:tcMar>
              <w:top w:w="0" w:type="dxa"/>
              <w:left w:w="57" w:type="dxa"/>
              <w:bottom w:w="0" w:type="dxa"/>
              <w:right w:w="57" w:type="dxa"/>
            </w:tcMar>
            <w:vAlign w:val="center"/>
          </w:tcPr>
          <w:p w14:paraId="1FA185D3">
            <w:pPr>
              <w:jc w:val="center"/>
              <w:rPr>
                <w:rFonts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监测因子</w:t>
            </w:r>
          </w:p>
        </w:tc>
        <w:tc>
          <w:tcPr>
            <w:tcW w:w="866" w:type="pct"/>
            <w:tcMar>
              <w:top w:w="0" w:type="dxa"/>
              <w:left w:w="57" w:type="dxa"/>
              <w:bottom w:w="0" w:type="dxa"/>
              <w:right w:w="57" w:type="dxa"/>
            </w:tcMar>
            <w:vAlign w:val="center"/>
          </w:tcPr>
          <w:p w14:paraId="1297AA40">
            <w:pPr>
              <w:jc w:val="center"/>
              <w:rPr>
                <w:rFonts w:ascii="Times New Roman" w:hAnsi="Times New Roman" w:eastAsia="仿宋" w:cs="Times New Roman"/>
                <w:b/>
                <w:bCs/>
                <w:color w:val="auto"/>
                <w:szCs w:val="21"/>
              </w:rPr>
            </w:pPr>
            <w:r>
              <w:rPr>
                <w:rFonts w:hint="eastAsia" w:ascii="Times New Roman" w:hAnsi="Times New Roman" w:eastAsia="宋体" w:cs="Times New Roman"/>
                <w:b/>
                <w:bCs/>
                <w:color w:val="auto"/>
                <w:szCs w:val="21"/>
              </w:rPr>
              <w:t>验收执行标准</w:t>
            </w:r>
          </w:p>
        </w:tc>
      </w:tr>
      <w:tr w14:paraId="4DC07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04" w:type="pct"/>
            <w:vMerge w:val="restart"/>
            <w:tcMar>
              <w:top w:w="0" w:type="dxa"/>
              <w:left w:w="57" w:type="dxa"/>
              <w:bottom w:w="0" w:type="dxa"/>
              <w:right w:w="57" w:type="dxa"/>
            </w:tcMar>
            <w:vAlign w:val="center"/>
          </w:tcPr>
          <w:p w14:paraId="29134A66">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废气</w:t>
            </w:r>
          </w:p>
        </w:tc>
        <w:tc>
          <w:tcPr>
            <w:tcW w:w="315" w:type="pct"/>
            <w:vMerge w:val="restart"/>
            <w:tcMar>
              <w:top w:w="0" w:type="dxa"/>
              <w:left w:w="57" w:type="dxa"/>
              <w:bottom w:w="0" w:type="dxa"/>
              <w:right w:w="57" w:type="dxa"/>
            </w:tcMar>
            <w:vAlign w:val="center"/>
          </w:tcPr>
          <w:p w14:paraId="6419F681">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有组织废气</w:t>
            </w:r>
          </w:p>
        </w:tc>
        <w:tc>
          <w:tcPr>
            <w:tcW w:w="679" w:type="pct"/>
            <w:tcMar>
              <w:top w:w="0" w:type="dxa"/>
              <w:left w:w="57" w:type="dxa"/>
              <w:bottom w:w="0" w:type="dxa"/>
              <w:right w:w="57" w:type="dxa"/>
            </w:tcMar>
            <w:vAlign w:val="center"/>
          </w:tcPr>
          <w:p w14:paraId="5312AFB1">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发酵废气</w:t>
            </w:r>
          </w:p>
        </w:tc>
        <w:tc>
          <w:tcPr>
            <w:tcW w:w="1899" w:type="pct"/>
            <w:tcMar>
              <w:top w:w="0" w:type="dxa"/>
              <w:left w:w="57" w:type="dxa"/>
              <w:bottom w:w="0" w:type="dxa"/>
              <w:right w:w="57" w:type="dxa"/>
            </w:tcMar>
            <w:vAlign w:val="center"/>
          </w:tcPr>
          <w:p w14:paraId="0EEB0AAC">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发酵1车间外碱喷淋预处理+集中式生物除臭设施</w:t>
            </w:r>
          </w:p>
        </w:tc>
        <w:tc>
          <w:tcPr>
            <w:tcW w:w="368" w:type="pct"/>
            <w:vMerge w:val="restart"/>
            <w:tcMar>
              <w:top w:w="0" w:type="dxa"/>
              <w:left w:w="57" w:type="dxa"/>
              <w:bottom w:w="0" w:type="dxa"/>
              <w:right w:w="57" w:type="dxa"/>
            </w:tcMar>
            <w:vAlign w:val="center"/>
          </w:tcPr>
          <w:p w14:paraId="6A051524">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DA001排气筒</w:t>
            </w:r>
          </w:p>
        </w:tc>
        <w:tc>
          <w:tcPr>
            <w:tcW w:w="666" w:type="pct"/>
            <w:vMerge w:val="restart"/>
            <w:tcMar>
              <w:top w:w="0" w:type="dxa"/>
              <w:left w:w="57" w:type="dxa"/>
              <w:bottom w:w="0" w:type="dxa"/>
              <w:right w:w="57" w:type="dxa"/>
            </w:tcMar>
            <w:vAlign w:val="center"/>
          </w:tcPr>
          <w:p w14:paraId="6008E9CE">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非甲烷总烃、颗粒物、氨气、臭气浓度</w:t>
            </w:r>
          </w:p>
        </w:tc>
        <w:tc>
          <w:tcPr>
            <w:tcW w:w="866" w:type="pct"/>
            <w:vMerge w:val="restart"/>
            <w:tcMar>
              <w:top w:w="0" w:type="dxa"/>
              <w:left w:w="57" w:type="dxa"/>
              <w:bottom w:w="0" w:type="dxa"/>
              <w:right w:w="57" w:type="dxa"/>
            </w:tcMar>
            <w:vAlign w:val="center"/>
          </w:tcPr>
          <w:p w14:paraId="168D1F61">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《大气污染物综合排放标准》（GB16297-1996）、《恶臭污染物排放标准》（GB14554-93）</w:t>
            </w:r>
          </w:p>
        </w:tc>
      </w:tr>
      <w:tr w14:paraId="5B67B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04" w:type="pct"/>
            <w:vMerge w:val="continue"/>
            <w:tcMar>
              <w:top w:w="0" w:type="dxa"/>
              <w:left w:w="57" w:type="dxa"/>
              <w:bottom w:w="0" w:type="dxa"/>
              <w:right w:w="57" w:type="dxa"/>
            </w:tcMar>
            <w:vAlign w:val="center"/>
          </w:tcPr>
          <w:p w14:paraId="6B538DF4">
            <w:pPr>
              <w:jc w:val="center"/>
              <w:rPr>
                <w:color w:val="auto"/>
              </w:rPr>
            </w:pPr>
          </w:p>
        </w:tc>
        <w:tc>
          <w:tcPr>
            <w:tcW w:w="315" w:type="pct"/>
            <w:vMerge w:val="continue"/>
            <w:tcMar>
              <w:top w:w="0" w:type="dxa"/>
              <w:left w:w="57" w:type="dxa"/>
              <w:bottom w:w="0" w:type="dxa"/>
              <w:right w:w="57" w:type="dxa"/>
            </w:tcMar>
            <w:vAlign w:val="center"/>
          </w:tcPr>
          <w:p w14:paraId="3191A0B7">
            <w:pPr>
              <w:jc w:val="center"/>
              <w:rPr>
                <w:color w:val="auto"/>
              </w:rPr>
            </w:pPr>
          </w:p>
        </w:tc>
        <w:tc>
          <w:tcPr>
            <w:tcW w:w="679" w:type="pct"/>
            <w:tcMar>
              <w:top w:w="0" w:type="dxa"/>
              <w:left w:w="57" w:type="dxa"/>
              <w:bottom w:w="0" w:type="dxa"/>
              <w:right w:w="57" w:type="dxa"/>
            </w:tcMar>
            <w:vAlign w:val="center"/>
          </w:tcPr>
          <w:p w14:paraId="22919AB7">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干燥废气</w:t>
            </w:r>
          </w:p>
        </w:tc>
        <w:tc>
          <w:tcPr>
            <w:tcW w:w="1899" w:type="pct"/>
            <w:tcMar>
              <w:top w:w="0" w:type="dxa"/>
              <w:left w:w="57" w:type="dxa"/>
              <w:bottom w:w="0" w:type="dxa"/>
              <w:right w:w="57" w:type="dxa"/>
            </w:tcMar>
            <w:vAlign w:val="center"/>
          </w:tcPr>
          <w:p w14:paraId="1136FBBB">
            <w:pPr>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碱喷淋+集中式生物除臭处理设施</w:t>
            </w:r>
          </w:p>
        </w:tc>
        <w:tc>
          <w:tcPr>
            <w:tcW w:w="368" w:type="pct"/>
            <w:vMerge w:val="continue"/>
            <w:tcMar>
              <w:top w:w="0" w:type="dxa"/>
              <w:left w:w="57" w:type="dxa"/>
              <w:bottom w:w="0" w:type="dxa"/>
              <w:right w:w="57" w:type="dxa"/>
            </w:tcMar>
            <w:vAlign w:val="center"/>
          </w:tcPr>
          <w:p w14:paraId="02170193">
            <w:pPr>
              <w:jc w:val="center"/>
              <w:rPr>
                <w:rFonts w:ascii="Times New Roman" w:hAnsi="Times New Roman" w:eastAsia="宋体" w:cs="Times New Roman"/>
                <w:color w:val="auto"/>
                <w:szCs w:val="21"/>
              </w:rPr>
            </w:pPr>
          </w:p>
        </w:tc>
        <w:tc>
          <w:tcPr>
            <w:tcW w:w="666" w:type="pct"/>
            <w:vMerge w:val="continue"/>
            <w:tcMar>
              <w:top w:w="0" w:type="dxa"/>
              <w:left w:w="57" w:type="dxa"/>
              <w:bottom w:w="0" w:type="dxa"/>
              <w:right w:w="57" w:type="dxa"/>
            </w:tcMar>
            <w:vAlign w:val="center"/>
          </w:tcPr>
          <w:p w14:paraId="3F9056B3">
            <w:pPr>
              <w:jc w:val="center"/>
              <w:rPr>
                <w:rFonts w:ascii="Times New Roman" w:hAnsi="Times New Roman" w:eastAsia="宋体" w:cs="Times New Roman"/>
                <w:color w:val="auto"/>
                <w:szCs w:val="21"/>
              </w:rPr>
            </w:pPr>
          </w:p>
        </w:tc>
        <w:tc>
          <w:tcPr>
            <w:tcW w:w="866" w:type="pct"/>
            <w:vMerge w:val="continue"/>
            <w:tcMar>
              <w:top w:w="0" w:type="dxa"/>
              <w:left w:w="57" w:type="dxa"/>
              <w:bottom w:w="0" w:type="dxa"/>
              <w:right w:w="57" w:type="dxa"/>
            </w:tcMar>
            <w:vAlign w:val="center"/>
          </w:tcPr>
          <w:p w14:paraId="154C5B7B">
            <w:pPr>
              <w:jc w:val="center"/>
              <w:rPr>
                <w:rFonts w:ascii="Times New Roman" w:hAnsi="Times New Roman" w:eastAsia="宋体" w:cs="Times New Roman"/>
                <w:color w:val="auto"/>
                <w:szCs w:val="21"/>
              </w:rPr>
            </w:pPr>
          </w:p>
        </w:tc>
      </w:tr>
      <w:tr w14:paraId="26288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04" w:type="pct"/>
            <w:vMerge w:val="continue"/>
            <w:tcMar>
              <w:top w:w="0" w:type="dxa"/>
              <w:left w:w="57" w:type="dxa"/>
              <w:bottom w:w="0" w:type="dxa"/>
              <w:right w:w="57" w:type="dxa"/>
            </w:tcMar>
            <w:vAlign w:val="center"/>
          </w:tcPr>
          <w:p w14:paraId="1A00A0B9">
            <w:pPr>
              <w:jc w:val="center"/>
              <w:rPr>
                <w:color w:val="auto"/>
              </w:rPr>
            </w:pPr>
          </w:p>
        </w:tc>
        <w:tc>
          <w:tcPr>
            <w:tcW w:w="315" w:type="pct"/>
            <w:vMerge w:val="continue"/>
            <w:tcMar>
              <w:top w:w="0" w:type="dxa"/>
              <w:left w:w="57" w:type="dxa"/>
              <w:bottom w:w="0" w:type="dxa"/>
              <w:right w:w="57" w:type="dxa"/>
            </w:tcMar>
            <w:vAlign w:val="center"/>
          </w:tcPr>
          <w:p w14:paraId="7F79B742">
            <w:pPr>
              <w:jc w:val="center"/>
              <w:rPr>
                <w:color w:val="auto"/>
              </w:rPr>
            </w:pPr>
          </w:p>
        </w:tc>
        <w:tc>
          <w:tcPr>
            <w:tcW w:w="679" w:type="pct"/>
            <w:tcMar>
              <w:top w:w="0" w:type="dxa"/>
              <w:left w:w="57" w:type="dxa"/>
              <w:bottom w:w="0" w:type="dxa"/>
              <w:right w:w="57" w:type="dxa"/>
            </w:tcMar>
            <w:vAlign w:val="center"/>
          </w:tcPr>
          <w:p w14:paraId="7B785549">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污水处理站废气及危废仓库废气</w:t>
            </w:r>
          </w:p>
        </w:tc>
        <w:tc>
          <w:tcPr>
            <w:tcW w:w="1899" w:type="pct"/>
            <w:tcMar>
              <w:top w:w="0" w:type="dxa"/>
              <w:left w:w="57" w:type="dxa"/>
              <w:bottom w:w="0" w:type="dxa"/>
              <w:right w:w="57" w:type="dxa"/>
            </w:tcMar>
            <w:vAlign w:val="center"/>
          </w:tcPr>
          <w:p w14:paraId="526CCA87">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碱喷淋塔+水喷淋塔+生物除臭处理设施</w:t>
            </w:r>
          </w:p>
        </w:tc>
        <w:tc>
          <w:tcPr>
            <w:tcW w:w="368" w:type="pct"/>
            <w:tcMar>
              <w:top w:w="0" w:type="dxa"/>
              <w:left w:w="57" w:type="dxa"/>
              <w:bottom w:w="0" w:type="dxa"/>
              <w:right w:w="57" w:type="dxa"/>
            </w:tcMar>
            <w:vAlign w:val="center"/>
          </w:tcPr>
          <w:p w14:paraId="32A2845F">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DA002排气筒</w:t>
            </w:r>
          </w:p>
        </w:tc>
        <w:tc>
          <w:tcPr>
            <w:tcW w:w="666" w:type="pct"/>
            <w:tcMar>
              <w:top w:w="0" w:type="dxa"/>
              <w:left w:w="57" w:type="dxa"/>
              <w:bottom w:w="0" w:type="dxa"/>
              <w:right w:w="57" w:type="dxa"/>
            </w:tcMar>
            <w:vAlign w:val="center"/>
          </w:tcPr>
          <w:p w14:paraId="1FBCF67F">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氨气、硫化氢、臭气浓度</w:t>
            </w:r>
          </w:p>
        </w:tc>
        <w:tc>
          <w:tcPr>
            <w:tcW w:w="866" w:type="pct"/>
            <w:vMerge w:val="continue"/>
            <w:tcMar>
              <w:top w:w="0" w:type="dxa"/>
              <w:left w:w="57" w:type="dxa"/>
              <w:bottom w:w="0" w:type="dxa"/>
              <w:right w:w="57" w:type="dxa"/>
            </w:tcMar>
            <w:vAlign w:val="center"/>
          </w:tcPr>
          <w:p w14:paraId="2F4932A4">
            <w:pPr>
              <w:jc w:val="center"/>
              <w:rPr>
                <w:rFonts w:ascii="Times New Roman" w:hAnsi="Times New Roman" w:eastAsia="宋体" w:cs="Times New Roman"/>
                <w:color w:val="auto"/>
                <w:szCs w:val="21"/>
              </w:rPr>
            </w:pPr>
          </w:p>
        </w:tc>
      </w:tr>
      <w:tr w14:paraId="2E15B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04" w:type="pct"/>
            <w:vMerge w:val="continue"/>
            <w:tcMar>
              <w:top w:w="0" w:type="dxa"/>
              <w:left w:w="57" w:type="dxa"/>
              <w:bottom w:w="0" w:type="dxa"/>
              <w:right w:w="57" w:type="dxa"/>
            </w:tcMar>
            <w:vAlign w:val="center"/>
          </w:tcPr>
          <w:p w14:paraId="59A72979">
            <w:pPr>
              <w:jc w:val="center"/>
              <w:rPr>
                <w:rFonts w:ascii="Times New Roman" w:hAnsi="Times New Roman" w:eastAsia="宋体" w:cs="Times New Roman"/>
                <w:color w:val="auto"/>
                <w:szCs w:val="21"/>
              </w:rPr>
            </w:pPr>
          </w:p>
        </w:tc>
        <w:tc>
          <w:tcPr>
            <w:tcW w:w="315" w:type="pct"/>
            <w:tcMar>
              <w:top w:w="0" w:type="dxa"/>
              <w:left w:w="57" w:type="dxa"/>
              <w:bottom w:w="0" w:type="dxa"/>
              <w:right w:w="57" w:type="dxa"/>
            </w:tcMar>
            <w:vAlign w:val="center"/>
          </w:tcPr>
          <w:p w14:paraId="7CEEED28">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无组织废气</w:t>
            </w:r>
          </w:p>
        </w:tc>
        <w:tc>
          <w:tcPr>
            <w:tcW w:w="679" w:type="pct"/>
            <w:tcMar>
              <w:top w:w="0" w:type="dxa"/>
              <w:left w:w="57" w:type="dxa"/>
              <w:bottom w:w="0" w:type="dxa"/>
              <w:right w:w="57" w:type="dxa"/>
            </w:tcMar>
            <w:vAlign w:val="center"/>
          </w:tcPr>
          <w:p w14:paraId="750D0E71">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生产车间、污水处理站</w:t>
            </w:r>
          </w:p>
        </w:tc>
        <w:tc>
          <w:tcPr>
            <w:tcW w:w="1899" w:type="pct"/>
            <w:tcMar>
              <w:top w:w="0" w:type="dxa"/>
              <w:left w:w="57" w:type="dxa"/>
              <w:bottom w:w="0" w:type="dxa"/>
              <w:right w:w="57" w:type="dxa"/>
            </w:tcMar>
            <w:vAlign w:val="center"/>
          </w:tcPr>
          <w:p w14:paraId="10EFE915">
            <w:pPr>
              <w:jc w:val="center"/>
              <w:rPr>
                <w:rFonts w:ascii="Times New Roman" w:hAnsi="Times New Roman" w:eastAsia="宋体" w:cs="Times New Roman"/>
                <w:color w:val="auto"/>
                <w:szCs w:val="21"/>
              </w:rPr>
            </w:pPr>
            <w:r>
              <w:rPr>
                <w:rFonts w:hint="eastAsia" w:ascii="Times New Roman" w:hAnsi="Times New Roman" w:eastAsia="宋体" w:cs="Times New Roman"/>
                <w:color w:val="auto"/>
                <w:kern w:val="0"/>
                <w:szCs w:val="21"/>
                <w:lang w:val="en-US" w:eastAsia="zh-CN"/>
              </w:rPr>
              <w:t>废气通过管道收集，设备定期维护，污水站好氧池、厌氧池等加装盖板并定期维护，</w:t>
            </w:r>
            <w:r>
              <w:rPr>
                <w:rFonts w:ascii="Times New Roman" w:hAnsi="Times New Roman" w:eastAsia="宋体" w:cs="Times New Roman"/>
                <w:color w:val="auto"/>
                <w:kern w:val="0"/>
                <w:szCs w:val="21"/>
              </w:rPr>
              <w:t>通过上述措施，以减少无组织逸散。</w:t>
            </w:r>
          </w:p>
        </w:tc>
        <w:tc>
          <w:tcPr>
            <w:tcW w:w="368" w:type="pct"/>
            <w:tcMar>
              <w:top w:w="0" w:type="dxa"/>
              <w:left w:w="57" w:type="dxa"/>
              <w:bottom w:w="0" w:type="dxa"/>
              <w:right w:w="57" w:type="dxa"/>
            </w:tcMar>
            <w:vAlign w:val="center"/>
          </w:tcPr>
          <w:p w14:paraId="5ECD90FC">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厂界</w:t>
            </w:r>
          </w:p>
        </w:tc>
        <w:tc>
          <w:tcPr>
            <w:tcW w:w="666" w:type="pct"/>
            <w:tcMar>
              <w:top w:w="0" w:type="dxa"/>
              <w:left w:w="57" w:type="dxa"/>
              <w:bottom w:w="0" w:type="dxa"/>
              <w:right w:w="57" w:type="dxa"/>
            </w:tcMar>
            <w:vAlign w:val="center"/>
          </w:tcPr>
          <w:p w14:paraId="0F4002E5">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非甲烷总烃、颗粒物、氨气、硫化氢、臭气浓度</w:t>
            </w:r>
          </w:p>
        </w:tc>
        <w:tc>
          <w:tcPr>
            <w:tcW w:w="866" w:type="pct"/>
            <w:vMerge w:val="continue"/>
            <w:tcMar>
              <w:top w:w="0" w:type="dxa"/>
              <w:left w:w="57" w:type="dxa"/>
              <w:bottom w:w="0" w:type="dxa"/>
              <w:right w:w="57" w:type="dxa"/>
            </w:tcMar>
            <w:vAlign w:val="center"/>
          </w:tcPr>
          <w:p w14:paraId="25BBBB86">
            <w:pPr>
              <w:jc w:val="center"/>
              <w:rPr>
                <w:rFonts w:ascii="Times New Roman" w:hAnsi="Times New Roman" w:eastAsia="宋体" w:cs="Times New Roman"/>
                <w:color w:val="auto"/>
                <w:szCs w:val="21"/>
              </w:rPr>
            </w:pPr>
          </w:p>
        </w:tc>
      </w:tr>
      <w:tr w14:paraId="11334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04" w:type="pct"/>
            <w:vMerge w:val="restart"/>
            <w:tcMar>
              <w:top w:w="0" w:type="dxa"/>
              <w:left w:w="57" w:type="dxa"/>
              <w:bottom w:w="0" w:type="dxa"/>
              <w:right w:w="57" w:type="dxa"/>
            </w:tcMar>
            <w:vAlign w:val="center"/>
          </w:tcPr>
          <w:p w14:paraId="130920BB">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废水</w:t>
            </w:r>
          </w:p>
        </w:tc>
        <w:tc>
          <w:tcPr>
            <w:tcW w:w="995" w:type="pct"/>
            <w:gridSpan w:val="2"/>
            <w:tcMar>
              <w:top w:w="0" w:type="dxa"/>
              <w:left w:w="57" w:type="dxa"/>
              <w:bottom w:w="0" w:type="dxa"/>
              <w:right w:w="57" w:type="dxa"/>
            </w:tcMar>
            <w:vAlign w:val="center"/>
          </w:tcPr>
          <w:p w14:paraId="6039646C">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排水系统</w:t>
            </w:r>
          </w:p>
        </w:tc>
        <w:tc>
          <w:tcPr>
            <w:tcW w:w="1899" w:type="pct"/>
            <w:tcMar>
              <w:top w:w="0" w:type="dxa"/>
              <w:left w:w="57" w:type="dxa"/>
              <w:bottom w:w="0" w:type="dxa"/>
              <w:right w:w="57" w:type="dxa"/>
            </w:tcMar>
            <w:vAlign w:val="center"/>
          </w:tcPr>
          <w:p w14:paraId="14CE6FCF">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采取“雨污分流”排水集水措施，设污水管网和雨水管网</w:t>
            </w:r>
          </w:p>
        </w:tc>
        <w:tc>
          <w:tcPr>
            <w:tcW w:w="368" w:type="pct"/>
            <w:tcMar>
              <w:top w:w="0" w:type="dxa"/>
              <w:left w:w="57" w:type="dxa"/>
              <w:bottom w:w="0" w:type="dxa"/>
              <w:right w:w="57" w:type="dxa"/>
            </w:tcMar>
            <w:vAlign w:val="center"/>
          </w:tcPr>
          <w:p w14:paraId="4EA4133E">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雨水排口</w:t>
            </w:r>
          </w:p>
        </w:tc>
        <w:tc>
          <w:tcPr>
            <w:tcW w:w="666" w:type="pct"/>
            <w:tcMar>
              <w:top w:w="0" w:type="dxa"/>
              <w:left w:w="57" w:type="dxa"/>
              <w:bottom w:w="0" w:type="dxa"/>
              <w:right w:w="57" w:type="dxa"/>
            </w:tcMar>
            <w:vAlign w:val="center"/>
          </w:tcPr>
          <w:p w14:paraId="07831076">
            <w:pPr>
              <w:jc w:val="center"/>
              <w:rPr>
                <w:rFonts w:ascii="Times New Roman" w:hAnsi="Times New Roman" w:eastAsia="仿宋" w:cs="Times New Roman"/>
                <w:color w:val="auto"/>
                <w:szCs w:val="21"/>
              </w:rPr>
            </w:pPr>
            <w:r>
              <w:rPr>
                <w:rFonts w:hint="eastAsia" w:ascii="Times New Roman" w:hAnsi="Times New Roman" w:eastAsia="宋体" w:cs="Times New Roman"/>
                <w:color w:val="auto"/>
                <w:szCs w:val="21"/>
              </w:rPr>
              <w:t>COD、氨氮</w:t>
            </w:r>
          </w:p>
        </w:tc>
        <w:tc>
          <w:tcPr>
            <w:tcW w:w="866" w:type="pct"/>
            <w:vMerge w:val="restart"/>
            <w:tcMar>
              <w:top w:w="0" w:type="dxa"/>
              <w:left w:w="57" w:type="dxa"/>
              <w:bottom w:w="0" w:type="dxa"/>
              <w:right w:w="57" w:type="dxa"/>
            </w:tcMar>
            <w:vAlign w:val="center"/>
          </w:tcPr>
          <w:p w14:paraId="4A1B37AA">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废水污染物排放执行《污水综合排放标准》（GB 8978-1996），同时满足津市高新区工业污水处理厂进水要求</w:t>
            </w:r>
          </w:p>
        </w:tc>
      </w:tr>
      <w:tr w14:paraId="1CD21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 w:hRule="atLeast"/>
          <w:jc w:val="center"/>
        </w:trPr>
        <w:tc>
          <w:tcPr>
            <w:tcW w:w="204" w:type="pct"/>
            <w:vMerge w:val="continue"/>
            <w:tcMar>
              <w:top w:w="0" w:type="dxa"/>
              <w:left w:w="57" w:type="dxa"/>
              <w:bottom w:w="0" w:type="dxa"/>
              <w:right w:w="57" w:type="dxa"/>
            </w:tcMar>
            <w:vAlign w:val="center"/>
          </w:tcPr>
          <w:p w14:paraId="76896A34">
            <w:pPr>
              <w:jc w:val="center"/>
              <w:rPr>
                <w:rFonts w:ascii="Times New Roman" w:hAnsi="Times New Roman" w:eastAsia="宋体" w:cs="Times New Roman"/>
                <w:color w:val="auto"/>
                <w:szCs w:val="21"/>
              </w:rPr>
            </w:pPr>
          </w:p>
        </w:tc>
        <w:tc>
          <w:tcPr>
            <w:tcW w:w="995" w:type="pct"/>
            <w:gridSpan w:val="2"/>
            <w:tcMar>
              <w:top w:w="0" w:type="dxa"/>
              <w:left w:w="57" w:type="dxa"/>
              <w:bottom w:w="0" w:type="dxa"/>
              <w:right w:w="57" w:type="dxa"/>
            </w:tcMar>
            <w:vAlign w:val="center"/>
          </w:tcPr>
          <w:p w14:paraId="67B8235B">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生活废水</w:t>
            </w:r>
          </w:p>
        </w:tc>
        <w:tc>
          <w:tcPr>
            <w:tcW w:w="1899" w:type="pct"/>
            <w:tcMar>
              <w:top w:w="0" w:type="dxa"/>
              <w:left w:w="57" w:type="dxa"/>
              <w:bottom w:w="0" w:type="dxa"/>
              <w:right w:w="57" w:type="dxa"/>
            </w:tcMar>
            <w:vAlign w:val="center"/>
          </w:tcPr>
          <w:p w14:paraId="7AC5A9FE">
            <w:pPr>
              <w:jc w:val="center"/>
              <w:rPr>
                <w:rFonts w:hint="default" w:ascii="Times New Roman" w:hAnsi="Times New Roman" w:eastAsia="宋体" w:cs="Times New Roman"/>
                <w:color w:val="auto"/>
                <w:kern w:val="0"/>
                <w:szCs w:val="21"/>
                <w:lang w:val="en-US" w:eastAsia="zh-CN" w:bidi="ar"/>
              </w:rPr>
            </w:pPr>
            <w:r>
              <w:rPr>
                <w:rFonts w:hint="eastAsia" w:ascii="Times New Roman" w:hAnsi="Times New Roman" w:eastAsia="宋体" w:cs="Times New Roman"/>
                <w:color w:val="auto"/>
                <w:kern w:val="0"/>
                <w:szCs w:val="21"/>
                <w:lang w:val="en-US" w:eastAsia="zh-CN" w:bidi="ar"/>
              </w:rPr>
              <w:t>化粪池处理后进入厂区污水处理站，污水处理站处理系统采用“物化+厌氧+A/O+气浮”处理工艺，处理规模为800m</w:t>
            </w:r>
            <w:r>
              <w:rPr>
                <w:rFonts w:hint="eastAsia" w:ascii="Times New Roman" w:hAnsi="Times New Roman" w:eastAsia="宋体" w:cs="Times New Roman"/>
                <w:color w:val="auto"/>
                <w:kern w:val="0"/>
                <w:szCs w:val="21"/>
                <w:vertAlign w:val="superscript"/>
                <w:lang w:val="en-US" w:eastAsia="zh-CN" w:bidi="ar"/>
              </w:rPr>
              <w:t>3</w:t>
            </w:r>
            <w:r>
              <w:rPr>
                <w:rFonts w:hint="eastAsia" w:ascii="Times New Roman" w:hAnsi="Times New Roman" w:eastAsia="宋体" w:cs="Times New Roman"/>
                <w:color w:val="auto"/>
                <w:kern w:val="0"/>
                <w:szCs w:val="21"/>
                <w:lang w:val="en-US" w:eastAsia="zh-CN" w:bidi="ar"/>
              </w:rPr>
              <w:t>/d</w:t>
            </w:r>
          </w:p>
        </w:tc>
        <w:tc>
          <w:tcPr>
            <w:tcW w:w="368" w:type="pct"/>
            <w:vMerge w:val="restart"/>
            <w:tcMar>
              <w:top w:w="0" w:type="dxa"/>
              <w:left w:w="57" w:type="dxa"/>
              <w:bottom w:w="0" w:type="dxa"/>
              <w:right w:w="57" w:type="dxa"/>
            </w:tcMar>
            <w:vAlign w:val="center"/>
          </w:tcPr>
          <w:p w14:paraId="2D1651C5">
            <w:pPr>
              <w:jc w:val="center"/>
              <w:rPr>
                <w:rFonts w:ascii="Times New Roman" w:hAnsi="Times New Roman" w:eastAsia="仿宋" w:cs="Times New Roman"/>
                <w:color w:val="auto"/>
                <w:szCs w:val="21"/>
              </w:rPr>
            </w:pPr>
            <w:r>
              <w:rPr>
                <w:rFonts w:hint="eastAsia" w:ascii="Times New Roman" w:hAnsi="Times New Roman" w:eastAsia="宋体" w:cs="Times New Roman"/>
                <w:color w:val="auto"/>
                <w:szCs w:val="21"/>
              </w:rPr>
              <w:t>废水总排口</w:t>
            </w:r>
          </w:p>
        </w:tc>
        <w:tc>
          <w:tcPr>
            <w:tcW w:w="666" w:type="pct"/>
            <w:vMerge w:val="restart"/>
            <w:tcMar>
              <w:top w:w="0" w:type="dxa"/>
              <w:left w:w="57" w:type="dxa"/>
              <w:bottom w:w="0" w:type="dxa"/>
              <w:right w:w="57" w:type="dxa"/>
            </w:tcMar>
            <w:vAlign w:val="center"/>
          </w:tcPr>
          <w:p w14:paraId="091746A7">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pH、</w:t>
            </w:r>
            <w:r>
              <w:rPr>
                <w:rFonts w:hint="eastAsia" w:ascii="Times New Roman" w:hAnsi="Times New Roman" w:eastAsia="宋体" w:cs="Times New Roman"/>
                <w:color w:val="auto"/>
                <w:szCs w:val="21"/>
              </w:rPr>
              <w:t>COD</w:t>
            </w:r>
            <w:r>
              <w:rPr>
                <w:rFonts w:ascii="Times New Roman" w:hAnsi="Times New Roman" w:eastAsia="宋体" w:cs="Times New Roman"/>
                <w:color w:val="auto"/>
                <w:szCs w:val="21"/>
              </w:rPr>
              <w:t>、氨氮</w:t>
            </w:r>
            <w:r>
              <w:rPr>
                <w:rFonts w:hint="eastAsia" w:ascii="Times New Roman" w:hAnsi="Times New Roman" w:eastAsia="宋体" w:cs="Times New Roman"/>
                <w:color w:val="auto"/>
                <w:szCs w:val="21"/>
              </w:rPr>
              <w:t>、总磷、总氮、悬浮物</w:t>
            </w:r>
          </w:p>
        </w:tc>
        <w:tc>
          <w:tcPr>
            <w:tcW w:w="866" w:type="pct"/>
            <w:vMerge w:val="continue"/>
            <w:tcMar>
              <w:top w:w="0" w:type="dxa"/>
              <w:left w:w="57" w:type="dxa"/>
              <w:bottom w:w="0" w:type="dxa"/>
              <w:right w:w="57" w:type="dxa"/>
            </w:tcMar>
            <w:vAlign w:val="center"/>
          </w:tcPr>
          <w:p w14:paraId="14DFA6CD">
            <w:pPr>
              <w:jc w:val="center"/>
              <w:rPr>
                <w:rFonts w:ascii="Times New Roman" w:hAnsi="Times New Roman" w:eastAsia="宋体" w:cs="Times New Roman"/>
                <w:color w:val="auto"/>
                <w:szCs w:val="21"/>
              </w:rPr>
            </w:pPr>
          </w:p>
        </w:tc>
      </w:tr>
      <w:tr w14:paraId="3929C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 w:hRule="atLeast"/>
          <w:jc w:val="center"/>
        </w:trPr>
        <w:tc>
          <w:tcPr>
            <w:tcW w:w="204" w:type="pct"/>
            <w:vMerge w:val="continue"/>
            <w:tcMar>
              <w:top w:w="0" w:type="dxa"/>
              <w:left w:w="57" w:type="dxa"/>
              <w:bottom w:w="0" w:type="dxa"/>
              <w:right w:w="57" w:type="dxa"/>
            </w:tcMar>
            <w:vAlign w:val="center"/>
          </w:tcPr>
          <w:p w14:paraId="2353BAFE">
            <w:pPr>
              <w:jc w:val="center"/>
              <w:rPr>
                <w:rFonts w:ascii="Times New Roman" w:hAnsi="Times New Roman" w:eastAsia="宋体" w:cs="Times New Roman"/>
                <w:color w:val="auto"/>
                <w:szCs w:val="21"/>
              </w:rPr>
            </w:pPr>
          </w:p>
        </w:tc>
        <w:tc>
          <w:tcPr>
            <w:tcW w:w="315" w:type="pct"/>
            <w:vMerge w:val="restart"/>
            <w:tcMar>
              <w:top w:w="0" w:type="dxa"/>
              <w:left w:w="57" w:type="dxa"/>
              <w:bottom w:w="0" w:type="dxa"/>
              <w:right w:w="57" w:type="dxa"/>
            </w:tcMar>
            <w:vAlign w:val="center"/>
          </w:tcPr>
          <w:p w14:paraId="10BC35B8">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生产废水</w:t>
            </w:r>
          </w:p>
        </w:tc>
        <w:tc>
          <w:tcPr>
            <w:tcW w:w="679" w:type="pct"/>
            <w:shd w:val="clear" w:color="auto" w:fill="auto"/>
            <w:tcMar>
              <w:top w:w="0" w:type="dxa"/>
              <w:left w:w="57" w:type="dxa"/>
              <w:bottom w:w="0" w:type="dxa"/>
              <w:right w:w="57" w:type="dxa"/>
            </w:tcMar>
            <w:vAlign w:val="center"/>
          </w:tcPr>
          <w:p w14:paraId="1F658BD1">
            <w:pPr>
              <w:pStyle w:val="52"/>
              <w:bidi w:val="0"/>
              <w:rPr>
                <w:rFonts w:hint="default" w:ascii="Times New Roman" w:hAnsi="Times New Roman" w:eastAsia="宋体" w:cs="Times New Roman"/>
                <w:color w:val="auto"/>
                <w:kern w:val="2"/>
                <w:sz w:val="21"/>
                <w:szCs w:val="28"/>
                <w:lang w:val="en-US" w:eastAsia="zh-CN" w:bidi="ar-SA"/>
              </w:rPr>
            </w:pPr>
            <w:r>
              <w:rPr>
                <w:rFonts w:hint="eastAsia"/>
                <w:color w:val="auto"/>
                <w:lang w:val="en-US" w:eastAsia="zh-CN"/>
              </w:rPr>
              <w:t>加热浓缩冷凝水</w:t>
            </w:r>
          </w:p>
        </w:tc>
        <w:tc>
          <w:tcPr>
            <w:tcW w:w="1899" w:type="pct"/>
            <w:vMerge w:val="restart"/>
            <w:tcMar>
              <w:top w:w="0" w:type="dxa"/>
              <w:left w:w="57" w:type="dxa"/>
              <w:bottom w:w="0" w:type="dxa"/>
              <w:right w:w="57" w:type="dxa"/>
            </w:tcMar>
            <w:vAlign w:val="center"/>
          </w:tcPr>
          <w:p w14:paraId="5A2227B2">
            <w:pPr>
              <w:jc w:val="center"/>
              <w:rPr>
                <w:rFonts w:ascii="Times New Roman" w:hAnsi="Times New Roman" w:eastAsia="宋体" w:cs="Times New Roman"/>
                <w:color w:val="auto"/>
                <w:szCs w:val="21"/>
              </w:rPr>
            </w:pPr>
            <w:r>
              <w:rPr>
                <w:rFonts w:hint="eastAsia" w:ascii="Times New Roman" w:hAnsi="Times New Roman" w:eastAsia="宋体" w:cs="Times New Roman"/>
                <w:color w:val="auto"/>
                <w:kern w:val="0"/>
                <w:szCs w:val="21"/>
                <w:lang w:val="en-US" w:eastAsia="zh-CN" w:bidi="ar"/>
              </w:rPr>
              <w:t>进入厂区污水处理站，污水处理站处理系统采用“物化+厌氧+A/O+气浮”处理工艺，处理规模为800m</w:t>
            </w:r>
            <w:r>
              <w:rPr>
                <w:rFonts w:hint="eastAsia" w:ascii="Times New Roman" w:hAnsi="Times New Roman" w:eastAsia="宋体" w:cs="Times New Roman"/>
                <w:color w:val="auto"/>
                <w:kern w:val="0"/>
                <w:szCs w:val="21"/>
                <w:vertAlign w:val="superscript"/>
                <w:lang w:val="en-US" w:eastAsia="zh-CN" w:bidi="ar"/>
              </w:rPr>
              <w:t>3</w:t>
            </w:r>
            <w:r>
              <w:rPr>
                <w:rFonts w:hint="eastAsia" w:ascii="Times New Roman" w:hAnsi="Times New Roman" w:eastAsia="宋体" w:cs="Times New Roman"/>
                <w:color w:val="auto"/>
                <w:kern w:val="0"/>
                <w:szCs w:val="21"/>
                <w:lang w:val="en-US" w:eastAsia="zh-CN" w:bidi="ar"/>
              </w:rPr>
              <w:t>/d</w:t>
            </w:r>
          </w:p>
        </w:tc>
        <w:tc>
          <w:tcPr>
            <w:tcW w:w="368" w:type="pct"/>
            <w:vMerge w:val="continue"/>
            <w:tcMar>
              <w:top w:w="0" w:type="dxa"/>
              <w:left w:w="57" w:type="dxa"/>
              <w:bottom w:w="0" w:type="dxa"/>
              <w:right w:w="57" w:type="dxa"/>
            </w:tcMar>
            <w:vAlign w:val="center"/>
          </w:tcPr>
          <w:p w14:paraId="6B59BC5E">
            <w:pPr>
              <w:jc w:val="center"/>
              <w:rPr>
                <w:rFonts w:ascii="Times New Roman" w:hAnsi="Times New Roman" w:eastAsia="仿宋" w:cs="Times New Roman"/>
                <w:color w:val="auto"/>
                <w:szCs w:val="21"/>
              </w:rPr>
            </w:pPr>
          </w:p>
        </w:tc>
        <w:tc>
          <w:tcPr>
            <w:tcW w:w="666" w:type="pct"/>
            <w:vMerge w:val="continue"/>
            <w:tcMar>
              <w:top w:w="0" w:type="dxa"/>
              <w:left w:w="57" w:type="dxa"/>
              <w:bottom w:w="0" w:type="dxa"/>
              <w:right w:w="57" w:type="dxa"/>
            </w:tcMar>
            <w:vAlign w:val="center"/>
          </w:tcPr>
          <w:p w14:paraId="6C9C40C8">
            <w:pPr>
              <w:jc w:val="center"/>
              <w:rPr>
                <w:rFonts w:ascii="Times New Roman" w:hAnsi="Times New Roman" w:eastAsia="宋体" w:cs="Times New Roman"/>
                <w:color w:val="auto"/>
                <w:szCs w:val="21"/>
              </w:rPr>
            </w:pPr>
          </w:p>
        </w:tc>
        <w:tc>
          <w:tcPr>
            <w:tcW w:w="866" w:type="pct"/>
            <w:vMerge w:val="continue"/>
            <w:tcMar>
              <w:top w:w="0" w:type="dxa"/>
              <w:left w:w="57" w:type="dxa"/>
              <w:bottom w:w="0" w:type="dxa"/>
              <w:right w:w="57" w:type="dxa"/>
            </w:tcMar>
            <w:vAlign w:val="center"/>
          </w:tcPr>
          <w:p w14:paraId="416E2261">
            <w:pPr>
              <w:jc w:val="center"/>
              <w:rPr>
                <w:rFonts w:ascii="Times New Roman" w:hAnsi="Times New Roman" w:eastAsia="宋体" w:cs="Times New Roman"/>
                <w:color w:val="auto"/>
                <w:szCs w:val="21"/>
              </w:rPr>
            </w:pPr>
          </w:p>
        </w:tc>
      </w:tr>
      <w:tr w14:paraId="0D20E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 w:hRule="atLeast"/>
          <w:jc w:val="center"/>
        </w:trPr>
        <w:tc>
          <w:tcPr>
            <w:tcW w:w="204" w:type="pct"/>
            <w:vMerge w:val="continue"/>
            <w:tcMar>
              <w:top w:w="0" w:type="dxa"/>
              <w:left w:w="57" w:type="dxa"/>
              <w:bottom w:w="0" w:type="dxa"/>
              <w:right w:w="57" w:type="dxa"/>
            </w:tcMar>
            <w:vAlign w:val="center"/>
          </w:tcPr>
          <w:p w14:paraId="12FC6648">
            <w:pPr>
              <w:jc w:val="center"/>
              <w:rPr>
                <w:color w:val="auto"/>
              </w:rPr>
            </w:pPr>
          </w:p>
        </w:tc>
        <w:tc>
          <w:tcPr>
            <w:tcW w:w="315" w:type="pct"/>
            <w:vMerge w:val="continue"/>
            <w:tcMar>
              <w:top w:w="0" w:type="dxa"/>
              <w:left w:w="57" w:type="dxa"/>
              <w:bottom w:w="0" w:type="dxa"/>
              <w:right w:w="57" w:type="dxa"/>
            </w:tcMar>
            <w:vAlign w:val="center"/>
          </w:tcPr>
          <w:p w14:paraId="77ECA4F4">
            <w:pPr>
              <w:jc w:val="center"/>
              <w:rPr>
                <w:color w:val="auto"/>
              </w:rPr>
            </w:pPr>
          </w:p>
        </w:tc>
        <w:tc>
          <w:tcPr>
            <w:tcW w:w="679" w:type="pct"/>
            <w:shd w:val="clear" w:color="auto" w:fill="auto"/>
            <w:tcMar>
              <w:top w:w="0" w:type="dxa"/>
              <w:left w:w="57" w:type="dxa"/>
              <w:bottom w:w="0" w:type="dxa"/>
              <w:right w:w="57" w:type="dxa"/>
            </w:tcMar>
            <w:vAlign w:val="center"/>
          </w:tcPr>
          <w:p w14:paraId="4C812BD0">
            <w:pPr>
              <w:pStyle w:val="52"/>
              <w:bidi w:val="0"/>
              <w:rPr>
                <w:rFonts w:hint="default" w:ascii="Times New Roman" w:hAnsi="Times New Roman" w:eastAsia="宋体" w:cs="Times New Roman"/>
                <w:color w:val="auto"/>
                <w:kern w:val="2"/>
                <w:sz w:val="21"/>
                <w:szCs w:val="28"/>
                <w:lang w:val="en-US" w:eastAsia="zh-CN" w:bidi="ar-SA"/>
              </w:rPr>
            </w:pPr>
            <w:r>
              <w:rPr>
                <w:rFonts w:hint="eastAsia"/>
                <w:color w:val="auto"/>
                <w:lang w:val="en-US" w:eastAsia="zh-CN"/>
              </w:rPr>
              <w:t>工艺废水</w:t>
            </w:r>
          </w:p>
        </w:tc>
        <w:tc>
          <w:tcPr>
            <w:tcW w:w="1899" w:type="pct"/>
            <w:vMerge w:val="continue"/>
            <w:tcMar>
              <w:top w:w="0" w:type="dxa"/>
              <w:left w:w="57" w:type="dxa"/>
              <w:bottom w:w="0" w:type="dxa"/>
              <w:right w:w="57" w:type="dxa"/>
            </w:tcMar>
            <w:vAlign w:val="center"/>
          </w:tcPr>
          <w:p w14:paraId="042A6A4E">
            <w:pPr>
              <w:jc w:val="center"/>
              <w:rPr>
                <w:rFonts w:ascii="Times New Roman" w:hAnsi="Times New Roman" w:eastAsia="宋体" w:cs="Times New Roman"/>
                <w:color w:val="auto"/>
                <w:szCs w:val="21"/>
              </w:rPr>
            </w:pPr>
          </w:p>
        </w:tc>
        <w:tc>
          <w:tcPr>
            <w:tcW w:w="368" w:type="pct"/>
            <w:vMerge w:val="continue"/>
            <w:tcMar>
              <w:top w:w="0" w:type="dxa"/>
              <w:left w:w="57" w:type="dxa"/>
              <w:bottom w:w="0" w:type="dxa"/>
              <w:right w:w="57" w:type="dxa"/>
            </w:tcMar>
            <w:vAlign w:val="center"/>
          </w:tcPr>
          <w:p w14:paraId="6A3CD6AD">
            <w:pPr>
              <w:jc w:val="center"/>
              <w:rPr>
                <w:rFonts w:ascii="Times New Roman" w:hAnsi="Times New Roman" w:eastAsia="宋体" w:cs="Times New Roman"/>
                <w:color w:val="auto"/>
                <w:szCs w:val="21"/>
              </w:rPr>
            </w:pPr>
          </w:p>
        </w:tc>
        <w:tc>
          <w:tcPr>
            <w:tcW w:w="666" w:type="pct"/>
            <w:vMerge w:val="continue"/>
            <w:tcMar>
              <w:top w:w="0" w:type="dxa"/>
              <w:left w:w="57" w:type="dxa"/>
              <w:bottom w:w="0" w:type="dxa"/>
              <w:right w:w="57" w:type="dxa"/>
            </w:tcMar>
            <w:vAlign w:val="center"/>
          </w:tcPr>
          <w:p w14:paraId="3B04885C">
            <w:pPr>
              <w:jc w:val="center"/>
              <w:rPr>
                <w:rFonts w:ascii="Times New Roman" w:hAnsi="Times New Roman" w:eastAsia="宋体" w:cs="Times New Roman"/>
                <w:color w:val="auto"/>
                <w:szCs w:val="21"/>
              </w:rPr>
            </w:pPr>
          </w:p>
        </w:tc>
        <w:tc>
          <w:tcPr>
            <w:tcW w:w="866" w:type="pct"/>
            <w:vMerge w:val="continue"/>
            <w:tcMar>
              <w:top w:w="0" w:type="dxa"/>
              <w:left w:w="57" w:type="dxa"/>
              <w:bottom w:w="0" w:type="dxa"/>
              <w:right w:w="57" w:type="dxa"/>
            </w:tcMar>
            <w:vAlign w:val="center"/>
          </w:tcPr>
          <w:p w14:paraId="37EFFF46">
            <w:pPr>
              <w:jc w:val="center"/>
              <w:rPr>
                <w:rFonts w:ascii="Times New Roman" w:hAnsi="Times New Roman" w:eastAsia="宋体" w:cs="Times New Roman"/>
                <w:color w:val="auto"/>
                <w:szCs w:val="21"/>
              </w:rPr>
            </w:pPr>
          </w:p>
        </w:tc>
      </w:tr>
      <w:tr w14:paraId="3D7BC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 w:hRule="atLeast"/>
          <w:jc w:val="center"/>
        </w:trPr>
        <w:tc>
          <w:tcPr>
            <w:tcW w:w="204" w:type="pct"/>
            <w:vMerge w:val="continue"/>
            <w:tcMar>
              <w:top w:w="0" w:type="dxa"/>
              <w:left w:w="57" w:type="dxa"/>
              <w:bottom w:w="0" w:type="dxa"/>
              <w:right w:w="57" w:type="dxa"/>
            </w:tcMar>
            <w:vAlign w:val="center"/>
          </w:tcPr>
          <w:p w14:paraId="4398ACF9">
            <w:pPr>
              <w:jc w:val="center"/>
              <w:rPr>
                <w:rFonts w:ascii="Times New Roman" w:hAnsi="Times New Roman" w:eastAsia="宋体" w:cs="Times New Roman"/>
                <w:color w:val="auto"/>
                <w:szCs w:val="21"/>
              </w:rPr>
            </w:pPr>
          </w:p>
        </w:tc>
        <w:tc>
          <w:tcPr>
            <w:tcW w:w="315" w:type="pct"/>
            <w:vMerge w:val="continue"/>
            <w:tcMar>
              <w:top w:w="0" w:type="dxa"/>
              <w:left w:w="57" w:type="dxa"/>
              <w:bottom w:w="0" w:type="dxa"/>
              <w:right w:w="57" w:type="dxa"/>
            </w:tcMar>
            <w:vAlign w:val="center"/>
          </w:tcPr>
          <w:p w14:paraId="5330AB77">
            <w:pPr>
              <w:jc w:val="center"/>
              <w:rPr>
                <w:rFonts w:ascii="Times New Roman" w:hAnsi="Times New Roman" w:eastAsia="宋体" w:cs="Times New Roman"/>
                <w:color w:val="auto"/>
                <w:szCs w:val="21"/>
              </w:rPr>
            </w:pPr>
          </w:p>
        </w:tc>
        <w:tc>
          <w:tcPr>
            <w:tcW w:w="679" w:type="pct"/>
            <w:shd w:val="clear" w:color="auto" w:fill="auto"/>
            <w:tcMar>
              <w:top w:w="0" w:type="dxa"/>
              <w:left w:w="57" w:type="dxa"/>
              <w:bottom w:w="0" w:type="dxa"/>
              <w:right w:w="57" w:type="dxa"/>
            </w:tcMar>
            <w:vAlign w:val="center"/>
          </w:tcPr>
          <w:p w14:paraId="0D2EDA5C">
            <w:pPr>
              <w:pStyle w:val="52"/>
              <w:bidi w:val="0"/>
              <w:rPr>
                <w:rFonts w:hint="default" w:ascii="Times New Roman" w:hAnsi="Times New Roman" w:eastAsia="宋体" w:cs="Times New Roman"/>
                <w:color w:val="auto"/>
                <w:kern w:val="2"/>
                <w:sz w:val="21"/>
                <w:szCs w:val="28"/>
                <w:lang w:val="en-US" w:eastAsia="zh-CN" w:bidi="ar-SA"/>
              </w:rPr>
            </w:pPr>
            <w:r>
              <w:rPr>
                <w:rFonts w:hint="eastAsia"/>
                <w:color w:val="auto"/>
                <w:lang w:val="en-US" w:eastAsia="zh-CN"/>
              </w:rPr>
              <w:t>设备清洗水</w:t>
            </w:r>
          </w:p>
        </w:tc>
        <w:tc>
          <w:tcPr>
            <w:tcW w:w="1899" w:type="pct"/>
            <w:vMerge w:val="continue"/>
            <w:tcMar>
              <w:top w:w="0" w:type="dxa"/>
              <w:left w:w="57" w:type="dxa"/>
              <w:bottom w:w="0" w:type="dxa"/>
              <w:right w:w="57" w:type="dxa"/>
            </w:tcMar>
            <w:vAlign w:val="center"/>
          </w:tcPr>
          <w:p w14:paraId="7C417912">
            <w:pPr>
              <w:jc w:val="center"/>
              <w:rPr>
                <w:rFonts w:ascii="Times New Roman" w:hAnsi="Times New Roman" w:eastAsia="宋体" w:cs="Times New Roman"/>
                <w:color w:val="auto"/>
                <w:szCs w:val="21"/>
              </w:rPr>
            </w:pPr>
          </w:p>
        </w:tc>
        <w:tc>
          <w:tcPr>
            <w:tcW w:w="368" w:type="pct"/>
            <w:vMerge w:val="continue"/>
            <w:tcMar>
              <w:top w:w="0" w:type="dxa"/>
              <w:left w:w="57" w:type="dxa"/>
              <w:bottom w:w="0" w:type="dxa"/>
              <w:right w:w="57" w:type="dxa"/>
            </w:tcMar>
            <w:vAlign w:val="center"/>
          </w:tcPr>
          <w:p w14:paraId="76CEB334">
            <w:pPr>
              <w:jc w:val="center"/>
              <w:rPr>
                <w:rFonts w:ascii="Times New Roman" w:hAnsi="Times New Roman" w:eastAsia="宋体" w:cs="Times New Roman"/>
                <w:color w:val="auto"/>
                <w:szCs w:val="21"/>
              </w:rPr>
            </w:pPr>
          </w:p>
        </w:tc>
        <w:tc>
          <w:tcPr>
            <w:tcW w:w="666" w:type="pct"/>
            <w:vMerge w:val="continue"/>
            <w:tcMar>
              <w:top w:w="0" w:type="dxa"/>
              <w:left w:w="57" w:type="dxa"/>
              <w:bottom w:w="0" w:type="dxa"/>
              <w:right w:w="57" w:type="dxa"/>
            </w:tcMar>
            <w:vAlign w:val="center"/>
          </w:tcPr>
          <w:p w14:paraId="72BDC1E8">
            <w:pPr>
              <w:jc w:val="center"/>
              <w:rPr>
                <w:rFonts w:ascii="Times New Roman" w:hAnsi="Times New Roman" w:eastAsia="宋体" w:cs="Times New Roman"/>
                <w:color w:val="auto"/>
                <w:szCs w:val="21"/>
              </w:rPr>
            </w:pPr>
          </w:p>
        </w:tc>
        <w:tc>
          <w:tcPr>
            <w:tcW w:w="866" w:type="pct"/>
            <w:vMerge w:val="continue"/>
            <w:tcMar>
              <w:top w:w="0" w:type="dxa"/>
              <w:left w:w="57" w:type="dxa"/>
              <w:bottom w:w="0" w:type="dxa"/>
              <w:right w:w="57" w:type="dxa"/>
            </w:tcMar>
            <w:vAlign w:val="center"/>
          </w:tcPr>
          <w:p w14:paraId="74C4D066">
            <w:pPr>
              <w:jc w:val="center"/>
              <w:rPr>
                <w:rFonts w:ascii="Times New Roman" w:hAnsi="Times New Roman" w:eastAsia="宋体" w:cs="Times New Roman"/>
                <w:color w:val="auto"/>
                <w:szCs w:val="21"/>
              </w:rPr>
            </w:pPr>
          </w:p>
        </w:tc>
      </w:tr>
      <w:tr w14:paraId="7B89E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 w:hRule="atLeast"/>
          <w:jc w:val="center"/>
        </w:trPr>
        <w:tc>
          <w:tcPr>
            <w:tcW w:w="204" w:type="pct"/>
            <w:vMerge w:val="continue"/>
            <w:tcMar>
              <w:top w:w="0" w:type="dxa"/>
              <w:left w:w="57" w:type="dxa"/>
              <w:bottom w:w="0" w:type="dxa"/>
              <w:right w:w="57" w:type="dxa"/>
            </w:tcMar>
            <w:vAlign w:val="center"/>
          </w:tcPr>
          <w:p w14:paraId="4FB2B41B">
            <w:pPr>
              <w:jc w:val="center"/>
              <w:rPr>
                <w:rFonts w:ascii="Times New Roman" w:hAnsi="Times New Roman" w:eastAsia="宋体" w:cs="Times New Roman"/>
                <w:color w:val="auto"/>
                <w:szCs w:val="21"/>
              </w:rPr>
            </w:pPr>
          </w:p>
        </w:tc>
        <w:tc>
          <w:tcPr>
            <w:tcW w:w="315" w:type="pct"/>
            <w:vMerge w:val="continue"/>
            <w:tcMar>
              <w:top w:w="0" w:type="dxa"/>
              <w:left w:w="57" w:type="dxa"/>
              <w:bottom w:w="0" w:type="dxa"/>
              <w:right w:w="57" w:type="dxa"/>
            </w:tcMar>
            <w:vAlign w:val="center"/>
          </w:tcPr>
          <w:p w14:paraId="15B45E8E">
            <w:pPr>
              <w:jc w:val="center"/>
              <w:rPr>
                <w:rFonts w:ascii="Times New Roman" w:hAnsi="Times New Roman" w:eastAsia="宋体" w:cs="Times New Roman"/>
                <w:color w:val="auto"/>
                <w:szCs w:val="21"/>
              </w:rPr>
            </w:pPr>
          </w:p>
        </w:tc>
        <w:tc>
          <w:tcPr>
            <w:tcW w:w="679" w:type="pct"/>
            <w:shd w:val="clear" w:color="auto" w:fill="auto"/>
            <w:tcMar>
              <w:top w:w="0" w:type="dxa"/>
              <w:left w:w="57" w:type="dxa"/>
              <w:bottom w:w="0" w:type="dxa"/>
              <w:right w:w="57" w:type="dxa"/>
            </w:tcMar>
            <w:vAlign w:val="center"/>
          </w:tcPr>
          <w:p w14:paraId="439C32E5">
            <w:pPr>
              <w:pStyle w:val="52"/>
              <w:bidi w:val="0"/>
              <w:rPr>
                <w:rFonts w:hint="default" w:ascii="Times New Roman" w:hAnsi="Times New Roman" w:eastAsia="宋体" w:cs="Times New Roman"/>
                <w:color w:val="auto"/>
                <w:kern w:val="2"/>
                <w:sz w:val="21"/>
                <w:szCs w:val="28"/>
                <w:lang w:val="en-US" w:eastAsia="zh-CN" w:bidi="ar-SA"/>
              </w:rPr>
            </w:pPr>
            <w:r>
              <w:rPr>
                <w:rFonts w:hint="eastAsia"/>
                <w:color w:val="auto"/>
                <w:lang w:val="en-US" w:eastAsia="zh-CN"/>
              </w:rPr>
              <w:t>车间地面清洗水</w:t>
            </w:r>
          </w:p>
        </w:tc>
        <w:tc>
          <w:tcPr>
            <w:tcW w:w="1899" w:type="pct"/>
            <w:vMerge w:val="continue"/>
            <w:tcMar>
              <w:top w:w="0" w:type="dxa"/>
              <w:left w:w="57" w:type="dxa"/>
              <w:bottom w:w="0" w:type="dxa"/>
              <w:right w:w="57" w:type="dxa"/>
            </w:tcMar>
            <w:vAlign w:val="center"/>
          </w:tcPr>
          <w:p w14:paraId="3039C46A">
            <w:pPr>
              <w:jc w:val="center"/>
              <w:rPr>
                <w:rFonts w:ascii="Times New Roman" w:hAnsi="Times New Roman" w:eastAsia="宋体" w:cs="Times New Roman"/>
                <w:color w:val="auto"/>
                <w:szCs w:val="21"/>
              </w:rPr>
            </w:pPr>
          </w:p>
        </w:tc>
        <w:tc>
          <w:tcPr>
            <w:tcW w:w="368" w:type="pct"/>
            <w:vMerge w:val="continue"/>
            <w:tcMar>
              <w:top w:w="0" w:type="dxa"/>
              <w:left w:w="57" w:type="dxa"/>
              <w:bottom w:w="0" w:type="dxa"/>
              <w:right w:w="57" w:type="dxa"/>
            </w:tcMar>
            <w:vAlign w:val="center"/>
          </w:tcPr>
          <w:p w14:paraId="3330F12C">
            <w:pPr>
              <w:jc w:val="center"/>
              <w:rPr>
                <w:rFonts w:ascii="Times New Roman" w:hAnsi="Times New Roman" w:eastAsia="宋体" w:cs="Times New Roman"/>
                <w:color w:val="auto"/>
                <w:szCs w:val="21"/>
              </w:rPr>
            </w:pPr>
          </w:p>
        </w:tc>
        <w:tc>
          <w:tcPr>
            <w:tcW w:w="666" w:type="pct"/>
            <w:vMerge w:val="continue"/>
            <w:tcMar>
              <w:top w:w="0" w:type="dxa"/>
              <w:left w:w="57" w:type="dxa"/>
              <w:bottom w:w="0" w:type="dxa"/>
              <w:right w:w="57" w:type="dxa"/>
            </w:tcMar>
            <w:vAlign w:val="center"/>
          </w:tcPr>
          <w:p w14:paraId="77A0F694">
            <w:pPr>
              <w:jc w:val="center"/>
              <w:rPr>
                <w:rFonts w:ascii="Times New Roman" w:hAnsi="Times New Roman" w:eastAsia="宋体" w:cs="Times New Roman"/>
                <w:color w:val="auto"/>
                <w:szCs w:val="21"/>
              </w:rPr>
            </w:pPr>
          </w:p>
        </w:tc>
        <w:tc>
          <w:tcPr>
            <w:tcW w:w="866" w:type="pct"/>
            <w:vMerge w:val="continue"/>
            <w:tcMar>
              <w:top w:w="0" w:type="dxa"/>
              <w:left w:w="57" w:type="dxa"/>
              <w:bottom w:w="0" w:type="dxa"/>
              <w:right w:w="57" w:type="dxa"/>
            </w:tcMar>
            <w:vAlign w:val="center"/>
          </w:tcPr>
          <w:p w14:paraId="7520848C">
            <w:pPr>
              <w:jc w:val="center"/>
              <w:rPr>
                <w:rFonts w:ascii="Times New Roman" w:hAnsi="Times New Roman" w:eastAsia="宋体" w:cs="Times New Roman"/>
                <w:color w:val="auto"/>
                <w:szCs w:val="21"/>
              </w:rPr>
            </w:pPr>
          </w:p>
        </w:tc>
      </w:tr>
      <w:tr w14:paraId="16311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 w:hRule="atLeast"/>
          <w:jc w:val="center"/>
        </w:trPr>
        <w:tc>
          <w:tcPr>
            <w:tcW w:w="204" w:type="pct"/>
            <w:vMerge w:val="continue"/>
            <w:tcMar>
              <w:top w:w="0" w:type="dxa"/>
              <w:left w:w="57" w:type="dxa"/>
              <w:bottom w:w="0" w:type="dxa"/>
              <w:right w:w="57" w:type="dxa"/>
            </w:tcMar>
            <w:vAlign w:val="center"/>
          </w:tcPr>
          <w:p w14:paraId="7485977D">
            <w:pPr>
              <w:jc w:val="center"/>
              <w:rPr>
                <w:rFonts w:ascii="Times New Roman" w:hAnsi="Times New Roman" w:eastAsia="宋体" w:cs="Times New Roman"/>
                <w:color w:val="auto"/>
                <w:szCs w:val="21"/>
              </w:rPr>
            </w:pPr>
          </w:p>
        </w:tc>
        <w:tc>
          <w:tcPr>
            <w:tcW w:w="315" w:type="pct"/>
            <w:vMerge w:val="continue"/>
            <w:tcMar>
              <w:top w:w="0" w:type="dxa"/>
              <w:left w:w="57" w:type="dxa"/>
              <w:bottom w:w="0" w:type="dxa"/>
              <w:right w:w="57" w:type="dxa"/>
            </w:tcMar>
            <w:vAlign w:val="center"/>
          </w:tcPr>
          <w:p w14:paraId="3FA9DEE9">
            <w:pPr>
              <w:jc w:val="center"/>
              <w:rPr>
                <w:rFonts w:ascii="Times New Roman" w:hAnsi="Times New Roman" w:eastAsia="宋体" w:cs="Times New Roman"/>
                <w:color w:val="auto"/>
                <w:szCs w:val="21"/>
              </w:rPr>
            </w:pPr>
          </w:p>
        </w:tc>
        <w:tc>
          <w:tcPr>
            <w:tcW w:w="679" w:type="pct"/>
            <w:shd w:val="clear" w:color="auto" w:fill="auto"/>
            <w:tcMar>
              <w:top w:w="0" w:type="dxa"/>
              <w:left w:w="57" w:type="dxa"/>
              <w:bottom w:w="0" w:type="dxa"/>
              <w:right w:w="57" w:type="dxa"/>
            </w:tcMar>
            <w:vAlign w:val="center"/>
          </w:tcPr>
          <w:p w14:paraId="23DF5092">
            <w:pPr>
              <w:pStyle w:val="52"/>
              <w:bidi w:val="0"/>
              <w:rPr>
                <w:rFonts w:hint="eastAsia" w:ascii="Times New Roman" w:hAnsi="Times New Roman" w:eastAsia="宋体" w:cs="Times New Roman"/>
                <w:color w:val="auto"/>
                <w:kern w:val="2"/>
                <w:sz w:val="21"/>
                <w:szCs w:val="28"/>
                <w:lang w:val="en-US" w:eastAsia="zh-CN" w:bidi="ar-SA"/>
              </w:rPr>
            </w:pPr>
            <w:r>
              <w:rPr>
                <w:rFonts w:hint="eastAsia"/>
                <w:color w:val="auto"/>
                <w:lang w:val="en-US" w:eastAsia="zh-CN"/>
              </w:rPr>
              <w:t>废气处理废水</w:t>
            </w:r>
          </w:p>
        </w:tc>
        <w:tc>
          <w:tcPr>
            <w:tcW w:w="1899" w:type="pct"/>
            <w:vMerge w:val="continue"/>
            <w:tcMar>
              <w:top w:w="0" w:type="dxa"/>
              <w:left w:w="57" w:type="dxa"/>
              <w:bottom w:w="0" w:type="dxa"/>
              <w:right w:w="57" w:type="dxa"/>
            </w:tcMar>
            <w:vAlign w:val="center"/>
          </w:tcPr>
          <w:p w14:paraId="6F0AD482">
            <w:pPr>
              <w:jc w:val="center"/>
              <w:rPr>
                <w:rFonts w:ascii="Times New Roman" w:hAnsi="Times New Roman" w:eastAsia="宋体" w:cs="Times New Roman"/>
                <w:color w:val="auto"/>
                <w:szCs w:val="21"/>
              </w:rPr>
            </w:pPr>
          </w:p>
        </w:tc>
        <w:tc>
          <w:tcPr>
            <w:tcW w:w="368" w:type="pct"/>
            <w:vMerge w:val="continue"/>
            <w:tcMar>
              <w:top w:w="0" w:type="dxa"/>
              <w:left w:w="57" w:type="dxa"/>
              <w:bottom w:w="0" w:type="dxa"/>
              <w:right w:w="57" w:type="dxa"/>
            </w:tcMar>
            <w:vAlign w:val="center"/>
          </w:tcPr>
          <w:p w14:paraId="2963B579">
            <w:pPr>
              <w:jc w:val="center"/>
              <w:rPr>
                <w:rFonts w:ascii="Times New Roman" w:hAnsi="Times New Roman" w:eastAsia="宋体" w:cs="Times New Roman"/>
                <w:color w:val="auto"/>
                <w:szCs w:val="21"/>
              </w:rPr>
            </w:pPr>
          </w:p>
        </w:tc>
        <w:tc>
          <w:tcPr>
            <w:tcW w:w="666" w:type="pct"/>
            <w:vMerge w:val="continue"/>
            <w:tcMar>
              <w:top w:w="0" w:type="dxa"/>
              <w:left w:w="57" w:type="dxa"/>
              <w:bottom w:w="0" w:type="dxa"/>
              <w:right w:w="57" w:type="dxa"/>
            </w:tcMar>
            <w:vAlign w:val="center"/>
          </w:tcPr>
          <w:p w14:paraId="343BC50F">
            <w:pPr>
              <w:jc w:val="center"/>
              <w:rPr>
                <w:rFonts w:ascii="Times New Roman" w:hAnsi="Times New Roman" w:eastAsia="宋体" w:cs="Times New Roman"/>
                <w:color w:val="auto"/>
                <w:szCs w:val="21"/>
              </w:rPr>
            </w:pPr>
          </w:p>
        </w:tc>
        <w:tc>
          <w:tcPr>
            <w:tcW w:w="866" w:type="pct"/>
            <w:vMerge w:val="continue"/>
            <w:tcMar>
              <w:top w:w="0" w:type="dxa"/>
              <w:left w:w="57" w:type="dxa"/>
              <w:bottom w:w="0" w:type="dxa"/>
              <w:right w:w="57" w:type="dxa"/>
            </w:tcMar>
            <w:vAlign w:val="center"/>
          </w:tcPr>
          <w:p w14:paraId="047CB576">
            <w:pPr>
              <w:jc w:val="center"/>
              <w:rPr>
                <w:rFonts w:ascii="Times New Roman" w:hAnsi="Times New Roman" w:eastAsia="宋体" w:cs="Times New Roman"/>
                <w:color w:val="auto"/>
                <w:szCs w:val="21"/>
              </w:rPr>
            </w:pPr>
          </w:p>
        </w:tc>
      </w:tr>
      <w:tr w14:paraId="20C07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 w:hRule="atLeast"/>
          <w:jc w:val="center"/>
        </w:trPr>
        <w:tc>
          <w:tcPr>
            <w:tcW w:w="204" w:type="pct"/>
            <w:vMerge w:val="continue"/>
            <w:tcMar>
              <w:top w:w="0" w:type="dxa"/>
              <w:left w:w="57" w:type="dxa"/>
              <w:bottom w:w="0" w:type="dxa"/>
              <w:right w:w="57" w:type="dxa"/>
            </w:tcMar>
            <w:vAlign w:val="center"/>
          </w:tcPr>
          <w:p w14:paraId="1B6EA1BD">
            <w:pPr>
              <w:jc w:val="center"/>
              <w:rPr>
                <w:rFonts w:ascii="Times New Roman" w:hAnsi="Times New Roman" w:eastAsia="宋体" w:cs="Times New Roman"/>
                <w:color w:val="auto"/>
                <w:szCs w:val="21"/>
              </w:rPr>
            </w:pPr>
          </w:p>
        </w:tc>
        <w:tc>
          <w:tcPr>
            <w:tcW w:w="315" w:type="pct"/>
            <w:vMerge w:val="continue"/>
            <w:tcMar>
              <w:top w:w="0" w:type="dxa"/>
              <w:left w:w="57" w:type="dxa"/>
              <w:bottom w:w="0" w:type="dxa"/>
              <w:right w:w="57" w:type="dxa"/>
            </w:tcMar>
            <w:vAlign w:val="center"/>
          </w:tcPr>
          <w:p w14:paraId="0CE286A8">
            <w:pPr>
              <w:jc w:val="center"/>
              <w:rPr>
                <w:rFonts w:ascii="Times New Roman" w:hAnsi="Times New Roman" w:eastAsia="宋体" w:cs="Times New Roman"/>
                <w:color w:val="auto"/>
                <w:szCs w:val="21"/>
              </w:rPr>
            </w:pPr>
          </w:p>
        </w:tc>
        <w:tc>
          <w:tcPr>
            <w:tcW w:w="679" w:type="pct"/>
            <w:shd w:val="clear" w:color="auto" w:fill="auto"/>
            <w:tcMar>
              <w:top w:w="0" w:type="dxa"/>
              <w:left w:w="57" w:type="dxa"/>
              <w:bottom w:w="0" w:type="dxa"/>
              <w:right w:w="57" w:type="dxa"/>
            </w:tcMar>
            <w:vAlign w:val="center"/>
          </w:tcPr>
          <w:p w14:paraId="0D3F022C">
            <w:pPr>
              <w:pStyle w:val="52"/>
              <w:bidi w:val="0"/>
              <w:rPr>
                <w:rFonts w:hint="eastAsia" w:ascii="Times New Roman" w:hAnsi="Times New Roman" w:eastAsia="宋体" w:cs="Times New Roman"/>
                <w:color w:val="auto"/>
                <w:kern w:val="2"/>
                <w:sz w:val="21"/>
                <w:szCs w:val="28"/>
                <w:lang w:val="en-US" w:eastAsia="zh-CN" w:bidi="ar-SA"/>
              </w:rPr>
            </w:pPr>
            <w:r>
              <w:rPr>
                <w:rFonts w:hint="eastAsia"/>
                <w:color w:val="auto"/>
                <w:lang w:val="en-US" w:eastAsia="zh-CN"/>
              </w:rPr>
              <w:t>循环冷却水</w:t>
            </w:r>
          </w:p>
        </w:tc>
        <w:tc>
          <w:tcPr>
            <w:tcW w:w="1899" w:type="pct"/>
            <w:vMerge w:val="continue"/>
            <w:tcMar>
              <w:top w:w="0" w:type="dxa"/>
              <w:left w:w="57" w:type="dxa"/>
              <w:bottom w:w="0" w:type="dxa"/>
              <w:right w:w="57" w:type="dxa"/>
            </w:tcMar>
            <w:vAlign w:val="center"/>
          </w:tcPr>
          <w:p w14:paraId="64134F40">
            <w:pPr>
              <w:jc w:val="center"/>
              <w:rPr>
                <w:rFonts w:ascii="Times New Roman" w:hAnsi="Times New Roman" w:eastAsia="宋体" w:cs="Times New Roman"/>
                <w:color w:val="auto"/>
                <w:szCs w:val="21"/>
              </w:rPr>
            </w:pPr>
          </w:p>
        </w:tc>
        <w:tc>
          <w:tcPr>
            <w:tcW w:w="368" w:type="pct"/>
            <w:vMerge w:val="continue"/>
            <w:tcMar>
              <w:top w:w="0" w:type="dxa"/>
              <w:left w:w="57" w:type="dxa"/>
              <w:bottom w:w="0" w:type="dxa"/>
              <w:right w:w="57" w:type="dxa"/>
            </w:tcMar>
            <w:vAlign w:val="center"/>
          </w:tcPr>
          <w:p w14:paraId="6FCBF793">
            <w:pPr>
              <w:jc w:val="center"/>
              <w:rPr>
                <w:rFonts w:ascii="Times New Roman" w:hAnsi="Times New Roman" w:eastAsia="宋体" w:cs="Times New Roman"/>
                <w:color w:val="auto"/>
                <w:szCs w:val="21"/>
              </w:rPr>
            </w:pPr>
          </w:p>
        </w:tc>
        <w:tc>
          <w:tcPr>
            <w:tcW w:w="666" w:type="pct"/>
            <w:vMerge w:val="continue"/>
            <w:tcMar>
              <w:top w:w="0" w:type="dxa"/>
              <w:left w:w="57" w:type="dxa"/>
              <w:bottom w:w="0" w:type="dxa"/>
              <w:right w:w="57" w:type="dxa"/>
            </w:tcMar>
            <w:vAlign w:val="center"/>
          </w:tcPr>
          <w:p w14:paraId="27F6CD7A">
            <w:pPr>
              <w:jc w:val="center"/>
              <w:rPr>
                <w:rFonts w:ascii="Times New Roman" w:hAnsi="Times New Roman" w:eastAsia="宋体" w:cs="Times New Roman"/>
                <w:color w:val="auto"/>
                <w:szCs w:val="21"/>
              </w:rPr>
            </w:pPr>
          </w:p>
        </w:tc>
        <w:tc>
          <w:tcPr>
            <w:tcW w:w="866" w:type="pct"/>
            <w:vMerge w:val="continue"/>
            <w:tcMar>
              <w:top w:w="0" w:type="dxa"/>
              <w:left w:w="57" w:type="dxa"/>
              <w:bottom w:w="0" w:type="dxa"/>
              <w:right w:w="57" w:type="dxa"/>
            </w:tcMar>
            <w:vAlign w:val="center"/>
          </w:tcPr>
          <w:p w14:paraId="4C8DC3B1">
            <w:pPr>
              <w:jc w:val="center"/>
              <w:rPr>
                <w:rFonts w:ascii="Times New Roman" w:hAnsi="Times New Roman" w:eastAsia="宋体" w:cs="Times New Roman"/>
                <w:color w:val="auto"/>
                <w:szCs w:val="21"/>
              </w:rPr>
            </w:pPr>
          </w:p>
        </w:tc>
      </w:tr>
      <w:tr w14:paraId="7200B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 w:hRule="atLeast"/>
          <w:jc w:val="center"/>
        </w:trPr>
        <w:tc>
          <w:tcPr>
            <w:tcW w:w="204" w:type="pct"/>
            <w:vMerge w:val="continue"/>
            <w:tcMar>
              <w:top w:w="0" w:type="dxa"/>
              <w:left w:w="57" w:type="dxa"/>
              <w:bottom w:w="0" w:type="dxa"/>
              <w:right w:w="57" w:type="dxa"/>
            </w:tcMar>
            <w:vAlign w:val="center"/>
          </w:tcPr>
          <w:p w14:paraId="77326D28">
            <w:pPr>
              <w:jc w:val="center"/>
              <w:rPr>
                <w:rFonts w:ascii="Times New Roman" w:hAnsi="Times New Roman" w:eastAsia="宋体" w:cs="Times New Roman"/>
                <w:color w:val="auto"/>
                <w:szCs w:val="21"/>
              </w:rPr>
            </w:pPr>
          </w:p>
        </w:tc>
        <w:tc>
          <w:tcPr>
            <w:tcW w:w="315" w:type="pct"/>
            <w:vMerge w:val="continue"/>
            <w:tcMar>
              <w:top w:w="0" w:type="dxa"/>
              <w:left w:w="57" w:type="dxa"/>
              <w:bottom w:w="0" w:type="dxa"/>
              <w:right w:w="57" w:type="dxa"/>
            </w:tcMar>
            <w:vAlign w:val="center"/>
          </w:tcPr>
          <w:p w14:paraId="44119351">
            <w:pPr>
              <w:jc w:val="center"/>
              <w:rPr>
                <w:rFonts w:ascii="Times New Roman" w:hAnsi="Times New Roman" w:eastAsia="宋体" w:cs="Times New Roman"/>
                <w:color w:val="auto"/>
                <w:szCs w:val="21"/>
              </w:rPr>
            </w:pPr>
          </w:p>
        </w:tc>
        <w:tc>
          <w:tcPr>
            <w:tcW w:w="679" w:type="pct"/>
            <w:shd w:val="clear" w:color="auto" w:fill="auto"/>
            <w:tcMar>
              <w:top w:w="0" w:type="dxa"/>
              <w:left w:w="57" w:type="dxa"/>
              <w:bottom w:w="0" w:type="dxa"/>
              <w:right w:w="57" w:type="dxa"/>
            </w:tcMar>
            <w:vAlign w:val="center"/>
          </w:tcPr>
          <w:p w14:paraId="714D5C78">
            <w:pPr>
              <w:pStyle w:val="52"/>
              <w:bidi w:val="0"/>
              <w:rPr>
                <w:rFonts w:hint="default" w:ascii="Times New Roman" w:hAnsi="Times New Roman" w:eastAsia="宋体" w:cs="Times New Roman"/>
                <w:color w:val="auto"/>
                <w:kern w:val="2"/>
                <w:sz w:val="21"/>
                <w:szCs w:val="28"/>
                <w:lang w:val="en-US" w:eastAsia="zh-CN" w:bidi="ar-SA"/>
              </w:rPr>
            </w:pPr>
            <w:r>
              <w:rPr>
                <w:rFonts w:hint="eastAsia"/>
                <w:color w:val="auto"/>
                <w:lang w:val="en-US" w:eastAsia="zh-CN"/>
              </w:rPr>
              <w:t>纯水制备浓水</w:t>
            </w:r>
          </w:p>
        </w:tc>
        <w:tc>
          <w:tcPr>
            <w:tcW w:w="1899" w:type="pct"/>
            <w:vMerge w:val="continue"/>
            <w:tcMar>
              <w:top w:w="0" w:type="dxa"/>
              <w:left w:w="57" w:type="dxa"/>
              <w:bottom w:w="0" w:type="dxa"/>
              <w:right w:w="57" w:type="dxa"/>
            </w:tcMar>
            <w:vAlign w:val="center"/>
          </w:tcPr>
          <w:p w14:paraId="44BF75C9">
            <w:pPr>
              <w:jc w:val="center"/>
              <w:rPr>
                <w:rFonts w:ascii="Times New Roman" w:hAnsi="Times New Roman" w:eastAsia="宋体" w:cs="Times New Roman"/>
                <w:color w:val="auto"/>
                <w:szCs w:val="21"/>
              </w:rPr>
            </w:pPr>
          </w:p>
        </w:tc>
        <w:tc>
          <w:tcPr>
            <w:tcW w:w="368" w:type="pct"/>
            <w:vMerge w:val="continue"/>
            <w:tcMar>
              <w:top w:w="0" w:type="dxa"/>
              <w:left w:w="57" w:type="dxa"/>
              <w:bottom w:w="0" w:type="dxa"/>
              <w:right w:w="57" w:type="dxa"/>
            </w:tcMar>
            <w:vAlign w:val="center"/>
          </w:tcPr>
          <w:p w14:paraId="00167B96">
            <w:pPr>
              <w:jc w:val="center"/>
              <w:rPr>
                <w:rFonts w:ascii="Times New Roman" w:hAnsi="Times New Roman" w:eastAsia="宋体" w:cs="Times New Roman"/>
                <w:color w:val="auto"/>
                <w:szCs w:val="21"/>
              </w:rPr>
            </w:pPr>
          </w:p>
        </w:tc>
        <w:tc>
          <w:tcPr>
            <w:tcW w:w="666" w:type="pct"/>
            <w:vMerge w:val="continue"/>
            <w:tcMar>
              <w:top w:w="0" w:type="dxa"/>
              <w:left w:w="57" w:type="dxa"/>
              <w:bottom w:w="0" w:type="dxa"/>
              <w:right w:w="57" w:type="dxa"/>
            </w:tcMar>
            <w:vAlign w:val="center"/>
          </w:tcPr>
          <w:p w14:paraId="798FDB9E">
            <w:pPr>
              <w:jc w:val="center"/>
              <w:rPr>
                <w:rFonts w:ascii="Times New Roman" w:hAnsi="Times New Roman" w:eastAsia="宋体" w:cs="Times New Roman"/>
                <w:color w:val="auto"/>
                <w:szCs w:val="21"/>
              </w:rPr>
            </w:pPr>
          </w:p>
        </w:tc>
        <w:tc>
          <w:tcPr>
            <w:tcW w:w="866" w:type="pct"/>
            <w:vMerge w:val="continue"/>
            <w:tcMar>
              <w:top w:w="0" w:type="dxa"/>
              <w:left w:w="57" w:type="dxa"/>
              <w:bottom w:w="0" w:type="dxa"/>
              <w:right w:w="57" w:type="dxa"/>
            </w:tcMar>
            <w:vAlign w:val="center"/>
          </w:tcPr>
          <w:p w14:paraId="1EE92A19">
            <w:pPr>
              <w:jc w:val="center"/>
              <w:rPr>
                <w:rFonts w:ascii="Times New Roman" w:hAnsi="Times New Roman" w:eastAsia="宋体" w:cs="Times New Roman"/>
                <w:color w:val="auto"/>
                <w:szCs w:val="21"/>
              </w:rPr>
            </w:pPr>
          </w:p>
        </w:tc>
      </w:tr>
      <w:tr w14:paraId="4DFEB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04" w:type="pct"/>
            <w:vMerge w:val="restart"/>
            <w:tcMar>
              <w:top w:w="0" w:type="dxa"/>
              <w:left w:w="57" w:type="dxa"/>
              <w:bottom w:w="0" w:type="dxa"/>
              <w:right w:w="57" w:type="dxa"/>
            </w:tcMar>
            <w:vAlign w:val="center"/>
          </w:tcPr>
          <w:p w14:paraId="2C819FEB">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固废</w:t>
            </w:r>
          </w:p>
        </w:tc>
        <w:tc>
          <w:tcPr>
            <w:tcW w:w="995" w:type="pct"/>
            <w:gridSpan w:val="2"/>
            <w:tcMar>
              <w:top w:w="0" w:type="dxa"/>
              <w:left w:w="57" w:type="dxa"/>
              <w:bottom w:w="0" w:type="dxa"/>
              <w:right w:w="57" w:type="dxa"/>
            </w:tcMar>
            <w:vAlign w:val="center"/>
          </w:tcPr>
          <w:p w14:paraId="03E0BFC2">
            <w:pPr>
              <w:jc w:val="center"/>
              <w:rPr>
                <w:rFonts w:ascii="Times New Roman" w:hAnsi="Times New Roman" w:eastAsia="仿宋" w:cs="Times New Roman"/>
                <w:color w:val="auto"/>
                <w:szCs w:val="21"/>
              </w:rPr>
            </w:pPr>
            <w:r>
              <w:rPr>
                <w:rFonts w:hint="eastAsia" w:ascii="Times New Roman" w:hAnsi="Times New Roman" w:eastAsia="宋体" w:cs="Times New Roman"/>
                <w:color w:val="auto"/>
                <w:szCs w:val="21"/>
              </w:rPr>
              <w:t>危险废物</w:t>
            </w:r>
          </w:p>
        </w:tc>
        <w:tc>
          <w:tcPr>
            <w:tcW w:w="1899" w:type="pct"/>
            <w:tcMar>
              <w:top w:w="0" w:type="dxa"/>
              <w:left w:w="57" w:type="dxa"/>
              <w:bottom w:w="0" w:type="dxa"/>
              <w:right w:w="57" w:type="dxa"/>
            </w:tcMar>
            <w:vAlign w:val="center"/>
          </w:tcPr>
          <w:p w14:paraId="60293098">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危险废物依托暂存于已建设危险废物暂存库，其建设应满足《危险废物贮存污染控制标准》（GB 18597—2023）有关要求，定期交由有资质的单位处理处置。</w:t>
            </w:r>
          </w:p>
        </w:tc>
        <w:tc>
          <w:tcPr>
            <w:tcW w:w="368" w:type="pct"/>
            <w:vMerge w:val="restart"/>
            <w:tcMar>
              <w:top w:w="0" w:type="dxa"/>
              <w:left w:w="57" w:type="dxa"/>
              <w:bottom w:w="0" w:type="dxa"/>
              <w:right w:w="57" w:type="dxa"/>
            </w:tcMar>
            <w:vAlign w:val="center"/>
          </w:tcPr>
          <w:p w14:paraId="273A1D20">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w:t>
            </w:r>
          </w:p>
        </w:tc>
        <w:tc>
          <w:tcPr>
            <w:tcW w:w="666" w:type="pct"/>
            <w:vMerge w:val="restart"/>
            <w:tcMar>
              <w:top w:w="0" w:type="dxa"/>
              <w:left w:w="57" w:type="dxa"/>
              <w:bottom w:w="0" w:type="dxa"/>
              <w:right w:w="57" w:type="dxa"/>
            </w:tcMar>
            <w:vAlign w:val="center"/>
          </w:tcPr>
          <w:p w14:paraId="7B7C094C">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w:t>
            </w:r>
          </w:p>
        </w:tc>
        <w:tc>
          <w:tcPr>
            <w:tcW w:w="866" w:type="pct"/>
            <w:tcMar>
              <w:top w:w="0" w:type="dxa"/>
              <w:left w:w="57" w:type="dxa"/>
              <w:bottom w:w="0" w:type="dxa"/>
              <w:right w:w="57" w:type="dxa"/>
            </w:tcMar>
            <w:vAlign w:val="center"/>
          </w:tcPr>
          <w:p w14:paraId="607D9D0C">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满足《危险废物贮存污染控制标准》（GB 18597—2023），固体废物得到合理处理处置</w:t>
            </w:r>
          </w:p>
        </w:tc>
      </w:tr>
      <w:tr w14:paraId="173E4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04" w:type="pct"/>
            <w:vMerge w:val="continue"/>
            <w:tcMar>
              <w:top w:w="0" w:type="dxa"/>
              <w:left w:w="57" w:type="dxa"/>
              <w:bottom w:w="0" w:type="dxa"/>
              <w:right w:w="57" w:type="dxa"/>
            </w:tcMar>
            <w:vAlign w:val="center"/>
          </w:tcPr>
          <w:p w14:paraId="40267718">
            <w:pPr>
              <w:jc w:val="center"/>
              <w:rPr>
                <w:rFonts w:ascii="Times New Roman" w:hAnsi="Times New Roman" w:eastAsia="宋体" w:cs="Times New Roman"/>
                <w:color w:val="auto"/>
                <w:szCs w:val="21"/>
              </w:rPr>
            </w:pPr>
          </w:p>
        </w:tc>
        <w:tc>
          <w:tcPr>
            <w:tcW w:w="995" w:type="pct"/>
            <w:gridSpan w:val="2"/>
            <w:tcMar>
              <w:top w:w="0" w:type="dxa"/>
              <w:left w:w="57" w:type="dxa"/>
              <w:bottom w:w="0" w:type="dxa"/>
              <w:right w:w="57" w:type="dxa"/>
            </w:tcMar>
            <w:vAlign w:val="center"/>
          </w:tcPr>
          <w:p w14:paraId="1EB3AB9D">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生活垃圾</w:t>
            </w:r>
          </w:p>
        </w:tc>
        <w:tc>
          <w:tcPr>
            <w:tcW w:w="1899" w:type="pct"/>
            <w:tcMar>
              <w:top w:w="0" w:type="dxa"/>
              <w:left w:w="57" w:type="dxa"/>
              <w:bottom w:w="0" w:type="dxa"/>
              <w:right w:w="57" w:type="dxa"/>
            </w:tcMar>
            <w:vAlign w:val="center"/>
          </w:tcPr>
          <w:p w14:paraId="6DCB5BFB">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交由环卫部门统一收集后送生活垃圾填埋场填埋处理</w:t>
            </w:r>
          </w:p>
        </w:tc>
        <w:tc>
          <w:tcPr>
            <w:tcW w:w="368" w:type="pct"/>
            <w:vMerge w:val="continue"/>
            <w:tcMar>
              <w:top w:w="0" w:type="dxa"/>
              <w:left w:w="57" w:type="dxa"/>
              <w:bottom w:w="0" w:type="dxa"/>
              <w:right w:w="57" w:type="dxa"/>
            </w:tcMar>
            <w:vAlign w:val="center"/>
          </w:tcPr>
          <w:p w14:paraId="2D94A3FF">
            <w:pPr>
              <w:jc w:val="center"/>
              <w:rPr>
                <w:rFonts w:ascii="Times New Roman" w:hAnsi="Times New Roman" w:eastAsia="宋体" w:cs="Times New Roman"/>
                <w:color w:val="auto"/>
                <w:szCs w:val="21"/>
              </w:rPr>
            </w:pPr>
          </w:p>
        </w:tc>
        <w:tc>
          <w:tcPr>
            <w:tcW w:w="666" w:type="pct"/>
            <w:vMerge w:val="continue"/>
            <w:tcMar>
              <w:top w:w="0" w:type="dxa"/>
              <w:left w:w="57" w:type="dxa"/>
              <w:bottom w:w="0" w:type="dxa"/>
              <w:right w:w="57" w:type="dxa"/>
            </w:tcMar>
            <w:vAlign w:val="center"/>
          </w:tcPr>
          <w:p w14:paraId="3A643232">
            <w:pPr>
              <w:jc w:val="center"/>
              <w:rPr>
                <w:rFonts w:ascii="Times New Roman" w:hAnsi="Times New Roman" w:eastAsia="宋体" w:cs="Times New Roman"/>
                <w:color w:val="auto"/>
                <w:szCs w:val="21"/>
              </w:rPr>
            </w:pPr>
          </w:p>
        </w:tc>
        <w:tc>
          <w:tcPr>
            <w:tcW w:w="866" w:type="pct"/>
            <w:tcMar>
              <w:top w:w="0" w:type="dxa"/>
              <w:left w:w="57" w:type="dxa"/>
              <w:bottom w:w="0" w:type="dxa"/>
              <w:right w:w="57" w:type="dxa"/>
            </w:tcMar>
            <w:vAlign w:val="center"/>
          </w:tcPr>
          <w:p w14:paraId="30E689B9">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生活垃圾满足《生活垃圾填埋场污染控制标准》（GB16889-2020）</w:t>
            </w:r>
          </w:p>
        </w:tc>
      </w:tr>
      <w:tr w14:paraId="4B6CD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04" w:type="pct"/>
            <w:tcMar>
              <w:top w:w="0" w:type="dxa"/>
              <w:left w:w="57" w:type="dxa"/>
              <w:bottom w:w="0" w:type="dxa"/>
              <w:right w:w="57" w:type="dxa"/>
            </w:tcMar>
            <w:vAlign w:val="center"/>
          </w:tcPr>
          <w:p w14:paraId="4ADEF766">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噪声</w:t>
            </w:r>
          </w:p>
        </w:tc>
        <w:tc>
          <w:tcPr>
            <w:tcW w:w="995" w:type="pct"/>
            <w:gridSpan w:val="2"/>
            <w:tcMar>
              <w:top w:w="0" w:type="dxa"/>
              <w:left w:w="57" w:type="dxa"/>
              <w:bottom w:w="0" w:type="dxa"/>
              <w:right w:w="57" w:type="dxa"/>
            </w:tcMar>
            <w:vAlign w:val="center"/>
          </w:tcPr>
          <w:p w14:paraId="66C5D281">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离心机、压滤机</w:t>
            </w:r>
            <w:r>
              <w:rPr>
                <w:rFonts w:hint="eastAsia" w:ascii="Times New Roman" w:hAnsi="Times New Roman" w:eastAsia="宋体" w:cs="Times New Roman"/>
                <w:color w:val="auto"/>
                <w:szCs w:val="21"/>
              </w:rPr>
              <w:t>等</w:t>
            </w:r>
          </w:p>
        </w:tc>
        <w:tc>
          <w:tcPr>
            <w:tcW w:w="1899" w:type="pct"/>
            <w:tcMar>
              <w:top w:w="0" w:type="dxa"/>
              <w:left w:w="57" w:type="dxa"/>
              <w:bottom w:w="0" w:type="dxa"/>
              <w:right w:w="57" w:type="dxa"/>
            </w:tcMar>
            <w:vAlign w:val="center"/>
          </w:tcPr>
          <w:p w14:paraId="4E297F85">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选用低噪设备、基础减振、厂房隔音</w:t>
            </w:r>
          </w:p>
        </w:tc>
        <w:tc>
          <w:tcPr>
            <w:tcW w:w="368" w:type="pct"/>
            <w:tcMar>
              <w:top w:w="0" w:type="dxa"/>
              <w:left w:w="57" w:type="dxa"/>
              <w:bottom w:w="0" w:type="dxa"/>
              <w:right w:w="57" w:type="dxa"/>
            </w:tcMar>
            <w:vAlign w:val="center"/>
          </w:tcPr>
          <w:p w14:paraId="290DF74C">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厂界</w:t>
            </w:r>
          </w:p>
        </w:tc>
        <w:tc>
          <w:tcPr>
            <w:tcW w:w="666" w:type="pct"/>
            <w:tcMar>
              <w:top w:w="0" w:type="dxa"/>
              <w:left w:w="57" w:type="dxa"/>
              <w:bottom w:w="0" w:type="dxa"/>
              <w:right w:w="57" w:type="dxa"/>
            </w:tcMar>
            <w:vAlign w:val="center"/>
          </w:tcPr>
          <w:p w14:paraId="17D4DA41">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等效声级LeqA</w:t>
            </w:r>
          </w:p>
        </w:tc>
        <w:tc>
          <w:tcPr>
            <w:tcW w:w="866" w:type="pct"/>
            <w:tcMar>
              <w:top w:w="0" w:type="dxa"/>
              <w:left w:w="57" w:type="dxa"/>
              <w:bottom w:w="0" w:type="dxa"/>
              <w:right w:w="57" w:type="dxa"/>
            </w:tcMar>
            <w:vAlign w:val="center"/>
          </w:tcPr>
          <w:p w14:paraId="5BC5B991">
            <w:pPr>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西侧厂界执行《工业企业厂界环境噪声排放标准》（GB12348-2008）4类标准；北侧、南侧、东侧厂界执行《工业企业厂界环境噪声排放标准》（GB12348-2008）3类标准。</w:t>
            </w:r>
          </w:p>
        </w:tc>
      </w:tr>
    </w:tbl>
    <w:p w14:paraId="7B55B929">
      <w:pPr>
        <w:spacing w:line="360" w:lineRule="auto"/>
        <w:ind w:firstLine="480" w:firstLineChars="200"/>
        <w:rPr>
          <w:rFonts w:ascii="Times New Roman" w:hAnsi="Times New Roman" w:eastAsia="宋体" w:cs="Times New Roman"/>
          <w:color w:val="FF0000"/>
          <w:sz w:val="24"/>
          <w:szCs w:val="24"/>
        </w:rPr>
        <w:sectPr>
          <w:pgSz w:w="16838" w:h="11906" w:orient="landscape"/>
          <w:pgMar w:top="1803" w:right="1440" w:bottom="1803" w:left="1440" w:header="851" w:footer="992" w:gutter="0"/>
          <w:pgNumType w:fmt="numberInDash"/>
          <w:cols w:space="0" w:num="1"/>
          <w:docGrid w:type="lines" w:linePitch="319" w:charSpace="0"/>
        </w:sectPr>
      </w:pPr>
    </w:p>
    <w:p w14:paraId="65D65FE1">
      <w:pPr>
        <w:keepNext/>
        <w:keepLines/>
        <w:spacing w:line="360" w:lineRule="auto"/>
        <w:jc w:val="center"/>
        <w:outlineLvl w:val="0"/>
        <w:rPr>
          <w:rFonts w:ascii="Times New Roman" w:hAnsi="Times New Roman" w:eastAsia="宋体" w:cs="Times New Roman"/>
          <w:b/>
          <w:color w:val="auto"/>
          <w:kern w:val="44"/>
          <w:sz w:val="32"/>
          <w:szCs w:val="44"/>
        </w:rPr>
      </w:pPr>
      <w:bookmarkStart w:id="328" w:name="_Toc5923"/>
      <w:bookmarkStart w:id="329" w:name="_Toc13537"/>
      <w:bookmarkStart w:id="330" w:name="_Toc2892"/>
      <w:bookmarkStart w:id="331" w:name="_Toc7317"/>
      <w:r>
        <w:rPr>
          <w:rFonts w:hint="eastAsia" w:ascii="Times New Roman" w:hAnsi="Times New Roman" w:eastAsia="宋体" w:cs="Times New Roman"/>
          <w:b/>
          <w:color w:val="auto"/>
          <w:kern w:val="44"/>
          <w:sz w:val="32"/>
          <w:szCs w:val="44"/>
        </w:rPr>
        <w:t>11、结论和建议</w:t>
      </w:r>
      <w:bookmarkEnd w:id="328"/>
      <w:bookmarkEnd w:id="329"/>
      <w:bookmarkEnd w:id="330"/>
      <w:bookmarkEnd w:id="331"/>
    </w:p>
    <w:p w14:paraId="6C29182C">
      <w:pPr>
        <w:keepNext/>
        <w:keepLines/>
        <w:spacing w:before="100" w:beforeAutospacing="1" w:after="100" w:afterAutospacing="1" w:line="360" w:lineRule="auto"/>
        <w:outlineLvl w:val="1"/>
        <w:rPr>
          <w:rFonts w:ascii="Times New Roman" w:hAnsi="Times New Roman" w:eastAsia="宋体" w:cs="Times New Roman"/>
          <w:b/>
          <w:bCs/>
          <w:color w:val="auto"/>
          <w:kern w:val="0"/>
          <w:sz w:val="28"/>
          <w:szCs w:val="28"/>
        </w:rPr>
      </w:pPr>
      <w:bookmarkStart w:id="332" w:name="_Toc32631"/>
      <w:bookmarkStart w:id="333" w:name="_Toc18860"/>
      <w:bookmarkStart w:id="334" w:name="_Toc23444"/>
      <w:bookmarkStart w:id="335" w:name="_Toc8217"/>
      <w:r>
        <w:rPr>
          <w:rFonts w:hint="eastAsia" w:ascii="Times New Roman" w:hAnsi="Times New Roman" w:eastAsia="宋体" w:cs="Times New Roman"/>
          <w:b/>
          <w:bCs/>
          <w:color w:val="auto"/>
          <w:kern w:val="0"/>
          <w:sz w:val="28"/>
          <w:szCs w:val="28"/>
        </w:rPr>
        <w:t>11.1 结论</w:t>
      </w:r>
      <w:bookmarkEnd w:id="332"/>
      <w:bookmarkEnd w:id="333"/>
      <w:bookmarkEnd w:id="334"/>
      <w:bookmarkEnd w:id="335"/>
    </w:p>
    <w:p w14:paraId="7F913D3A">
      <w:pPr>
        <w:keepNext/>
        <w:keepLines/>
        <w:spacing w:before="156" w:beforeLines="50" w:after="156" w:afterLines="50" w:line="360" w:lineRule="auto"/>
        <w:outlineLvl w:val="2"/>
        <w:rPr>
          <w:rFonts w:ascii="Times New Roman" w:hAnsi="Times New Roman" w:eastAsia="宋体" w:cs="Times New Roman"/>
          <w:b/>
          <w:color w:val="auto"/>
          <w:sz w:val="24"/>
          <w:szCs w:val="24"/>
        </w:rPr>
      </w:pPr>
      <w:bookmarkStart w:id="336" w:name="_Toc27022"/>
      <w:r>
        <w:rPr>
          <w:rFonts w:hint="eastAsia" w:ascii="Times New Roman" w:hAnsi="Times New Roman" w:eastAsia="宋体" w:cs="Times New Roman"/>
          <w:b/>
          <w:color w:val="auto"/>
          <w:sz w:val="24"/>
          <w:szCs w:val="24"/>
        </w:rPr>
        <w:t>11.1.1 工程概况</w:t>
      </w:r>
      <w:bookmarkEnd w:id="336"/>
    </w:p>
    <w:p w14:paraId="01E6D3FC">
      <w:pPr>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湖南</w:t>
      </w:r>
      <w:r>
        <w:rPr>
          <w:rFonts w:hint="eastAsia" w:ascii="Times New Roman" w:hAnsi="Times New Roman" w:eastAsia="宋体" w:cs="Times New Roman"/>
          <w:color w:val="auto"/>
          <w:sz w:val="24"/>
          <w:szCs w:val="24"/>
          <w:lang w:val="en-US" w:eastAsia="zh-CN"/>
        </w:rPr>
        <w:t>新合新生物科技</w:t>
      </w:r>
      <w:r>
        <w:rPr>
          <w:rFonts w:ascii="Times New Roman" w:hAnsi="Times New Roman" w:eastAsia="宋体" w:cs="Times New Roman"/>
          <w:color w:val="auto"/>
          <w:sz w:val="24"/>
          <w:szCs w:val="24"/>
        </w:rPr>
        <w:t>有限公司</w:t>
      </w:r>
      <w:r>
        <w:rPr>
          <w:rFonts w:ascii="宋体" w:hAnsi="宋体" w:eastAsia="宋体" w:cs="宋体"/>
          <w:color w:val="auto"/>
          <w:sz w:val="24"/>
          <w:szCs w:val="24"/>
        </w:rPr>
        <w:t>为</w:t>
      </w:r>
      <w:r>
        <w:rPr>
          <w:rFonts w:hint="eastAsia" w:ascii="宋体" w:hAnsi="宋体" w:eastAsia="宋体" w:cs="宋体"/>
          <w:color w:val="auto"/>
          <w:sz w:val="24"/>
          <w:szCs w:val="24"/>
          <w:lang w:val="en-US" w:eastAsia="zh-CN"/>
        </w:rPr>
        <w:t>迎合市场需求</w:t>
      </w:r>
      <w:r>
        <w:rPr>
          <w:rFonts w:hint="eastAsia" w:ascii="Times New Roman" w:hAnsi="Times New Roman" w:eastAsia="宋体" w:cs="Times New Roman"/>
          <w:color w:val="auto"/>
          <w:sz w:val="24"/>
          <w:szCs w:val="24"/>
        </w:rPr>
        <w:t>，在现有</w:t>
      </w:r>
      <w:r>
        <w:rPr>
          <w:rFonts w:hint="eastAsia" w:ascii="Times New Roman" w:hAnsi="Times New Roman" w:eastAsia="宋体" w:cs="Times New Roman"/>
          <w:color w:val="auto"/>
          <w:sz w:val="24"/>
          <w:szCs w:val="24"/>
          <w:lang w:val="en-US" w:eastAsia="zh-CN"/>
        </w:rPr>
        <w:t>厂区</w:t>
      </w:r>
      <w:r>
        <w:rPr>
          <w:rFonts w:hint="eastAsia" w:ascii="Times New Roman" w:hAnsi="Times New Roman" w:eastAsia="宋体" w:cs="Times New Roman"/>
          <w:color w:val="auto"/>
          <w:sz w:val="24"/>
          <w:szCs w:val="24"/>
        </w:rPr>
        <w:t>上进行</w:t>
      </w:r>
      <w:r>
        <w:rPr>
          <w:rFonts w:hint="eastAsia" w:ascii="Times New Roman" w:hAnsi="Times New Roman" w:eastAsia="宋体" w:cs="Times New Roman"/>
          <w:color w:val="auto"/>
          <w:sz w:val="24"/>
          <w:szCs w:val="24"/>
          <w:lang w:val="en-US" w:eastAsia="zh-CN"/>
        </w:rPr>
        <w:t>改扩建</w:t>
      </w:r>
      <w:r>
        <w:rPr>
          <w:rFonts w:hint="eastAsia"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项目依托现有厂区设施及设备，同时新增发酵罐、反应罐等设施</w:t>
      </w:r>
      <w:r>
        <w:rPr>
          <w:rFonts w:hint="eastAsia" w:ascii="Times New Roman" w:hAnsi="Times New Roman" w:eastAsia="宋体" w:cs="Times New Roman"/>
          <w:color w:val="auto"/>
          <w:sz w:val="24"/>
          <w:szCs w:val="24"/>
        </w:rPr>
        <w:t>，新增</w:t>
      </w:r>
      <w:r>
        <w:rPr>
          <w:rFonts w:hint="eastAsia" w:ascii="Times New Roman" w:hAnsi="Times New Roman" w:eastAsia="宋体" w:cs="Times New Roman"/>
          <w:color w:val="auto"/>
          <w:sz w:val="24"/>
          <w:szCs w:val="24"/>
          <w:lang w:val="en-US" w:eastAsia="zh-CN"/>
        </w:rPr>
        <w:t>肌醇饲料添加剂和液糖生产线。本项目建成后，全厂产能为年产1万标吨糖化酶、年产2000吨泛酸钙饲料添加剂、年产1000吨肌醇饲料添加剂及年产30000吨液糖</w:t>
      </w:r>
      <w:r>
        <w:rPr>
          <w:rFonts w:hint="eastAsia" w:ascii="Times New Roman" w:hAnsi="Times New Roman" w:eastAsia="宋体" w:cs="Times New Roman"/>
          <w:color w:val="auto"/>
          <w:sz w:val="24"/>
          <w:szCs w:val="24"/>
        </w:rPr>
        <w:t>。</w:t>
      </w:r>
    </w:p>
    <w:p w14:paraId="0F5F0C0B">
      <w:pPr>
        <w:spacing w:line="360" w:lineRule="auto"/>
        <w:ind w:firstLine="480" w:firstLineChars="200"/>
        <w:rPr>
          <w:rFonts w:hint="eastAsia" w:ascii="宋体" w:hAnsi="宋体" w:eastAsia="宋体" w:cs="宋体"/>
          <w:color w:val="auto"/>
          <w:sz w:val="24"/>
          <w:szCs w:val="24"/>
        </w:rPr>
      </w:pPr>
      <w:r>
        <w:rPr>
          <w:rFonts w:hint="eastAsia" w:ascii="Times New Roman" w:hAnsi="Times New Roman" w:eastAsia="宋体" w:cs="Times New Roman"/>
          <w:color w:val="auto"/>
          <w:sz w:val="24"/>
          <w:szCs w:val="24"/>
        </w:rPr>
        <w:t>本项目总投资</w:t>
      </w:r>
      <w:r>
        <w:rPr>
          <w:rFonts w:hint="eastAsia" w:ascii="Times New Roman" w:hAnsi="Times New Roman" w:eastAsia="宋体" w:cs="Times New Roman"/>
          <w:color w:val="auto"/>
          <w:sz w:val="24"/>
          <w:szCs w:val="24"/>
          <w:lang w:val="en-US" w:eastAsia="zh-CN"/>
        </w:rPr>
        <w:t>1000</w:t>
      </w:r>
      <w:r>
        <w:rPr>
          <w:rFonts w:hint="eastAsia" w:ascii="Times New Roman" w:hAnsi="Times New Roman" w:eastAsia="宋体" w:cs="Times New Roman"/>
          <w:color w:val="auto"/>
          <w:sz w:val="24"/>
          <w:szCs w:val="24"/>
        </w:rPr>
        <w:t>万元，其中环保投资</w:t>
      </w:r>
      <w:r>
        <w:rPr>
          <w:rFonts w:hint="eastAsia" w:ascii="Times New Roman" w:hAnsi="Times New Roman" w:eastAsia="宋体" w:cs="Times New Roman"/>
          <w:color w:val="auto"/>
          <w:sz w:val="24"/>
          <w:szCs w:val="24"/>
          <w:lang w:val="en-US" w:eastAsia="zh-CN"/>
        </w:rPr>
        <w:t>20</w:t>
      </w:r>
      <w:r>
        <w:rPr>
          <w:rFonts w:hint="eastAsia" w:ascii="Times New Roman" w:hAnsi="Times New Roman" w:eastAsia="宋体" w:cs="Times New Roman"/>
          <w:color w:val="auto"/>
          <w:sz w:val="24"/>
          <w:szCs w:val="24"/>
        </w:rPr>
        <w:t>万元，占投资总额的</w:t>
      </w:r>
      <w:r>
        <w:rPr>
          <w:rFonts w:hint="eastAsia" w:ascii="Times New Roman" w:hAnsi="Times New Roman" w:eastAsia="宋体" w:cs="Times New Roman"/>
          <w:color w:val="auto"/>
          <w:sz w:val="24"/>
          <w:szCs w:val="24"/>
          <w:lang w:val="en-US" w:eastAsia="zh-CN"/>
        </w:rPr>
        <w:t>2</w:t>
      </w:r>
      <w:r>
        <w:rPr>
          <w:rFonts w:hint="eastAsia" w:ascii="Times New Roman" w:hAnsi="Times New Roman" w:eastAsia="宋体" w:cs="Times New Roman"/>
          <w:color w:val="auto"/>
          <w:sz w:val="24"/>
          <w:szCs w:val="24"/>
        </w:rPr>
        <w:t>%。</w:t>
      </w:r>
    </w:p>
    <w:p w14:paraId="4C5DBCE4">
      <w:pPr>
        <w:keepNext/>
        <w:keepLines/>
        <w:spacing w:before="156" w:beforeLines="50" w:after="156" w:afterLines="50" w:line="360" w:lineRule="auto"/>
        <w:outlineLvl w:val="2"/>
        <w:rPr>
          <w:rFonts w:ascii="Times New Roman" w:hAnsi="Times New Roman" w:eastAsia="宋体" w:cs="Times New Roman"/>
          <w:b/>
          <w:color w:val="auto"/>
          <w:sz w:val="24"/>
          <w:szCs w:val="24"/>
        </w:rPr>
      </w:pPr>
      <w:bookmarkStart w:id="337" w:name="_Toc10080"/>
      <w:r>
        <w:rPr>
          <w:rFonts w:hint="eastAsia" w:ascii="Times New Roman" w:hAnsi="Times New Roman" w:eastAsia="宋体" w:cs="Times New Roman"/>
          <w:b/>
          <w:color w:val="auto"/>
          <w:sz w:val="24"/>
          <w:szCs w:val="24"/>
        </w:rPr>
        <w:t>11.1.2 项目与有关政策及规划的符合性</w:t>
      </w:r>
      <w:bookmarkEnd w:id="337"/>
    </w:p>
    <w:p w14:paraId="43245ED4">
      <w:pPr>
        <w:spacing w:line="360" w:lineRule="auto"/>
        <w:ind w:firstLine="482" w:firstLineChars="200"/>
        <w:rPr>
          <w:rFonts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1、产业政策符合性分析</w:t>
      </w:r>
    </w:p>
    <w:p w14:paraId="6556C959">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本项目</w:t>
      </w:r>
      <w:r>
        <w:rPr>
          <w:rFonts w:hint="eastAsia" w:ascii="Times New Roman" w:hAnsi="Times New Roman" w:eastAsia="宋体" w:cs="Times New Roman"/>
          <w:color w:val="auto"/>
          <w:sz w:val="24"/>
          <w:szCs w:val="24"/>
          <w:lang w:val="en-US" w:eastAsia="zh-CN"/>
        </w:rPr>
        <w:t>不属于环境准入行业清单中的禁止类与限制类，属于允许类</w:t>
      </w:r>
      <w:r>
        <w:rPr>
          <w:rFonts w:ascii="宋体" w:hAnsi="宋体" w:eastAsia="宋体" w:cs="宋体"/>
          <w:color w:val="auto"/>
          <w:sz w:val="24"/>
          <w:szCs w:val="24"/>
        </w:rPr>
        <w:t>，符合国家产业政策</w:t>
      </w:r>
      <w:r>
        <w:rPr>
          <w:rFonts w:hint="eastAsia" w:ascii="宋体" w:hAnsi="宋体" w:eastAsia="宋体" w:cs="宋体"/>
          <w:color w:val="auto"/>
          <w:sz w:val="24"/>
          <w:szCs w:val="24"/>
        </w:rPr>
        <w:t>，</w:t>
      </w:r>
      <w:r>
        <w:rPr>
          <w:rFonts w:ascii="宋体" w:hAnsi="宋体" w:eastAsia="宋体" w:cs="宋体"/>
          <w:color w:val="auto"/>
          <w:sz w:val="24"/>
          <w:szCs w:val="24"/>
        </w:rPr>
        <w:t>不属于该通知负面清单中禁止准入类项目</w:t>
      </w:r>
      <w:r>
        <w:rPr>
          <w:rFonts w:hint="eastAsia" w:ascii="宋体" w:hAnsi="宋体" w:eastAsia="宋体" w:cs="宋体"/>
          <w:color w:val="auto"/>
          <w:sz w:val="24"/>
          <w:szCs w:val="24"/>
        </w:rPr>
        <w:t>，</w:t>
      </w:r>
      <w:r>
        <w:rPr>
          <w:rFonts w:ascii="宋体" w:hAnsi="宋体" w:eastAsia="宋体" w:cs="宋体"/>
          <w:color w:val="auto"/>
          <w:sz w:val="24"/>
          <w:szCs w:val="24"/>
        </w:rPr>
        <w:t>未列入湖南</w:t>
      </w:r>
      <w:r>
        <w:rPr>
          <w:rFonts w:hint="eastAsia" w:ascii="宋体" w:hAnsi="宋体" w:eastAsia="宋体" w:cs="宋体"/>
          <w:color w:val="auto"/>
          <w:sz w:val="24"/>
          <w:szCs w:val="24"/>
        </w:rPr>
        <w:t>省“两高”项目</w:t>
      </w:r>
      <w:r>
        <w:rPr>
          <w:rFonts w:ascii="宋体" w:hAnsi="宋体" w:eastAsia="宋体" w:cs="宋体"/>
          <w:color w:val="auto"/>
          <w:sz w:val="24"/>
          <w:szCs w:val="24"/>
        </w:rPr>
        <w:t>管理目录。本项目的建设符合国家产业政策、准入政策相关要求。</w:t>
      </w:r>
    </w:p>
    <w:p w14:paraId="4D774F78">
      <w:pPr>
        <w:spacing w:line="360" w:lineRule="auto"/>
        <w:ind w:firstLine="482" w:firstLineChars="200"/>
        <w:rPr>
          <w:rFonts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2、相关规划符合性分析</w:t>
      </w:r>
    </w:p>
    <w:p w14:paraId="75309D43">
      <w:pPr>
        <w:spacing w:line="360" w:lineRule="auto"/>
        <w:ind w:firstLine="480" w:firstLineChars="200"/>
        <w:rPr>
          <w:rFonts w:ascii="Times New Roman" w:hAnsi="Times New Roman" w:eastAsia="宋体" w:cs="宋体"/>
          <w:color w:val="auto"/>
          <w:sz w:val="24"/>
          <w:szCs w:val="24"/>
        </w:rPr>
      </w:pPr>
      <w:r>
        <w:rPr>
          <w:rFonts w:hint="eastAsia" w:ascii="Times New Roman" w:hAnsi="Times New Roman" w:eastAsia="宋体" w:cs="宋体"/>
          <w:color w:val="auto"/>
          <w:sz w:val="24"/>
          <w:szCs w:val="24"/>
        </w:rPr>
        <w:t>项目</w:t>
      </w:r>
      <w:r>
        <w:rPr>
          <w:rFonts w:ascii="Times New Roman" w:hAnsi="Times New Roman" w:eastAsia="宋体" w:cs="宋体"/>
          <w:color w:val="auto"/>
          <w:sz w:val="24"/>
          <w:szCs w:val="24"/>
        </w:rPr>
        <w:t>符合《长江经济带发展负面清单</w:t>
      </w:r>
      <w:r>
        <w:rPr>
          <w:rFonts w:hint="eastAsia" w:ascii="Times New Roman" w:hAnsi="Times New Roman" w:eastAsia="宋体" w:cs="宋体"/>
          <w:color w:val="auto"/>
          <w:sz w:val="24"/>
          <w:szCs w:val="24"/>
        </w:rPr>
        <w:t>指南</w:t>
      </w:r>
      <w:r>
        <w:rPr>
          <w:rFonts w:ascii="Times New Roman" w:hAnsi="Times New Roman" w:eastAsia="宋体" w:cs="宋体"/>
          <w:color w:val="auto"/>
          <w:sz w:val="24"/>
          <w:szCs w:val="24"/>
        </w:rPr>
        <w:t>（试行</w:t>
      </w:r>
      <w:r>
        <w:rPr>
          <w:rFonts w:hint="eastAsia" w:ascii="Times New Roman" w:hAnsi="Times New Roman" w:eastAsia="宋体" w:cs="宋体"/>
          <w:color w:val="auto"/>
          <w:sz w:val="24"/>
          <w:szCs w:val="24"/>
        </w:rPr>
        <w:t>，2022年版</w:t>
      </w:r>
      <w:r>
        <w:rPr>
          <w:rFonts w:ascii="Times New Roman" w:hAnsi="Times New Roman" w:eastAsia="宋体" w:cs="宋体"/>
          <w:color w:val="auto"/>
          <w:sz w:val="24"/>
          <w:szCs w:val="24"/>
        </w:rPr>
        <w:t>）》</w:t>
      </w:r>
      <w:r>
        <w:rPr>
          <w:rFonts w:hint="eastAsia" w:ascii="Times New Roman" w:hAnsi="Times New Roman" w:eastAsia="宋体" w:cs="宋体"/>
          <w:color w:val="auto"/>
          <w:sz w:val="24"/>
          <w:szCs w:val="24"/>
        </w:rPr>
        <w:t>、《湖南省长江经济带发展负面清单实施细则（试行，2022年版）》、</w:t>
      </w:r>
      <w:r>
        <w:rPr>
          <w:rFonts w:hint="eastAsia" w:ascii="Times New Roman" w:hAnsi="Times New Roman" w:eastAsia="宋体" w:cs="宋体"/>
          <w:color w:val="auto"/>
          <w:sz w:val="24"/>
          <w:szCs w:val="24"/>
          <w:lang w:val="zh-CN"/>
        </w:rPr>
        <w:t>《</w:t>
      </w:r>
      <w:r>
        <w:rPr>
          <w:rFonts w:hint="eastAsia" w:ascii="Times New Roman" w:hAnsi="Times New Roman" w:eastAsia="宋体" w:cs="宋体"/>
          <w:color w:val="auto"/>
          <w:sz w:val="24"/>
          <w:szCs w:val="24"/>
        </w:rPr>
        <w:t>湖南省环境保护条例</w:t>
      </w:r>
      <w:r>
        <w:rPr>
          <w:rFonts w:hint="eastAsia" w:ascii="Times New Roman" w:hAnsi="Times New Roman" w:eastAsia="宋体" w:cs="宋体"/>
          <w:color w:val="auto"/>
          <w:sz w:val="24"/>
          <w:szCs w:val="24"/>
          <w:lang w:val="zh-CN"/>
        </w:rPr>
        <w:t>》、</w:t>
      </w:r>
      <w:r>
        <w:rPr>
          <w:rFonts w:hint="eastAsia" w:ascii="Times New Roman" w:hAnsi="Times New Roman" w:eastAsia="宋体" w:cs="宋体"/>
          <w:color w:val="auto"/>
          <w:sz w:val="24"/>
          <w:szCs w:val="24"/>
        </w:rPr>
        <w:t>《湖南省“十四五”生态环境保护规划》</w:t>
      </w:r>
      <w:r>
        <w:rPr>
          <w:rFonts w:hint="eastAsia" w:ascii="Times New Roman" w:hAnsi="Times New Roman" w:eastAsia="宋体" w:cs="宋体"/>
          <w:color w:val="auto"/>
          <w:sz w:val="24"/>
          <w:szCs w:val="24"/>
          <w:lang w:val="zh-CN"/>
        </w:rPr>
        <w:t>、</w:t>
      </w:r>
      <w:r>
        <w:rPr>
          <w:rFonts w:hint="eastAsia" w:ascii="Times New Roman" w:hAnsi="Times New Roman" w:eastAsia="宋体" w:cs="宋体"/>
          <w:color w:val="auto"/>
          <w:sz w:val="24"/>
          <w:szCs w:val="24"/>
        </w:rPr>
        <w:t>《常德市“十四五”生态环境保护规划》、</w:t>
      </w:r>
      <w:r>
        <w:rPr>
          <w:rFonts w:hint="eastAsia" w:ascii="Times New Roman" w:hAnsi="Times New Roman" w:eastAsia="宋体" w:cs="Times New Roman"/>
          <w:color w:val="auto"/>
          <w:sz w:val="24"/>
          <w:szCs w:val="24"/>
        </w:rPr>
        <w:t>《中华人民共和国长江保护法》、《湖南省环境保护条例》、</w:t>
      </w:r>
      <w:r>
        <w:rPr>
          <w:rFonts w:hint="eastAsia" w:ascii="Times New Roman" w:hAnsi="Times New Roman" w:eastAsia="宋体" w:cs="宋体"/>
          <w:color w:val="auto"/>
          <w:sz w:val="24"/>
          <w:szCs w:val="24"/>
        </w:rPr>
        <w:t>《嘉山风景名胜区总体规划（2017-2030年）2021年修改》</w:t>
      </w:r>
      <w:r>
        <w:rPr>
          <w:rFonts w:hint="eastAsia" w:ascii="Times New Roman" w:hAnsi="Times New Roman" w:eastAsia="宋体" w:cs="宋体"/>
          <w:color w:val="auto"/>
          <w:sz w:val="24"/>
          <w:szCs w:val="24"/>
          <w:lang w:val="zh-CN"/>
        </w:rPr>
        <w:t>、</w:t>
      </w:r>
      <w:r>
        <w:rPr>
          <w:rFonts w:hint="eastAsia" w:ascii="Times New Roman" w:hAnsi="Times New Roman" w:eastAsia="宋体" w:cs="宋体"/>
          <w:color w:val="auto"/>
          <w:sz w:val="24"/>
          <w:szCs w:val="24"/>
        </w:rPr>
        <w:t>《津澧新城总体规划(2016-2030)》、</w:t>
      </w:r>
      <w:r>
        <w:rPr>
          <w:rFonts w:hint="eastAsia" w:ascii="Times New Roman" w:hAnsi="Times New Roman" w:eastAsia="宋体" w:cs="Times New Roman"/>
          <w:bCs/>
          <w:color w:val="auto"/>
          <w:kern w:val="0"/>
          <w:sz w:val="24"/>
          <w:szCs w:val="24"/>
        </w:rPr>
        <w:t>《中华人民共和国湿地保护法》、《国家级自然公园管理办法（试行）》、</w:t>
      </w:r>
      <w:r>
        <w:rPr>
          <w:rFonts w:hint="eastAsia" w:ascii="Times New Roman" w:hAnsi="Times New Roman" w:eastAsia="宋体" w:cs="宋体"/>
          <w:color w:val="auto"/>
          <w:sz w:val="24"/>
          <w:szCs w:val="24"/>
        </w:rPr>
        <w:t>《挥发性有机物无组织排放控制标准》、《津市高新技术产业开发区产业布局调整规划环境影响报告书》及审查意见等环境保护相关</w:t>
      </w:r>
      <w:r>
        <w:rPr>
          <w:rFonts w:ascii="Times New Roman" w:hAnsi="Times New Roman" w:eastAsia="宋体" w:cs="宋体"/>
          <w:color w:val="auto"/>
          <w:sz w:val="24"/>
          <w:szCs w:val="24"/>
        </w:rPr>
        <w:t>要求</w:t>
      </w:r>
      <w:r>
        <w:rPr>
          <w:rFonts w:hint="eastAsia" w:ascii="Times New Roman" w:hAnsi="Times New Roman" w:eastAsia="宋体" w:cs="宋体"/>
          <w:color w:val="auto"/>
          <w:sz w:val="24"/>
          <w:szCs w:val="24"/>
        </w:rPr>
        <w:t>，符合津市高新技术产业开发区环境准入清单、津市高新技术产业开发区产业定位</w:t>
      </w:r>
      <w:r>
        <w:rPr>
          <w:rFonts w:ascii="Times New Roman" w:hAnsi="Times New Roman" w:eastAsia="宋体" w:cs="宋体"/>
          <w:color w:val="auto"/>
          <w:sz w:val="24"/>
          <w:szCs w:val="24"/>
        </w:rPr>
        <w:t>。</w:t>
      </w:r>
    </w:p>
    <w:p w14:paraId="650DF80B">
      <w:pPr>
        <w:spacing w:line="360" w:lineRule="auto"/>
        <w:ind w:firstLine="482" w:firstLineChars="200"/>
        <w:rPr>
          <w:rFonts w:ascii="Times New Roman" w:hAnsi="Times New Roman" w:eastAsia="宋体" w:cs="宋体"/>
          <w:b/>
          <w:bCs/>
          <w:color w:val="auto"/>
          <w:sz w:val="24"/>
          <w:szCs w:val="24"/>
        </w:rPr>
      </w:pPr>
      <w:r>
        <w:rPr>
          <w:rFonts w:hint="eastAsia" w:ascii="Times New Roman" w:hAnsi="Times New Roman" w:eastAsia="宋体" w:cs="宋体"/>
          <w:b/>
          <w:bCs/>
          <w:color w:val="auto"/>
          <w:sz w:val="24"/>
          <w:szCs w:val="24"/>
        </w:rPr>
        <w:t>3、“三线一单”符合性</w:t>
      </w:r>
    </w:p>
    <w:p w14:paraId="63F19CA1">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snapToGrid w:val="0"/>
          <w:color w:val="auto"/>
          <w:kern w:val="0"/>
          <w:sz w:val="24"/>
          <w:szCs w:val="24"/>
        </w:rPr>
        <w:t>项目建设</w:t>
      </w:r>
      <w:r>
        <w:rPr>
          <w:rFonts w:hint="eastAsia" w:ascii="Times New Roman" w:hAnsi="Times New Roman" w:eastAsia="宋体" w:cs="Times New Roman"/>
          <w:color w:val="auto"/>
          <w:sz w:val="24"/>
          <w:szCs w:val="24"/>
        </w:rPr>
        <w:t>符合生态红线区域保护规划、环境质量底线、</w:t>
      </w:r>
      <w:r>
        <w:rPr>
          <w:rFonts w:hint="eastAsia" w:ascii="Times New Roman" w:hAnsi="Times New Roman" w:eastAsia="宋体" w:cs="Times New Roman"/>
          <w:color w:val="auto"/>
          <w:kern w:val="0"/>
          <w:sz w:val="24"/>
        </w:rPr>
        <w:t>资源利用上线要求，</w:t>
      </w:r>
      <w:r>
        <w:rPr>
          <w:rFonts w:hint="eastAsia" w:ascii="Times New Roman" w:hAnsi="Times New Roman" w:eastAsia="宋体" w:cs="Times New Roman"/>
          <w:color w:val="auto"/>
          <w:sz w:val="24"/>
          <w:szCs w:val="24"/>
        </w:rPr>
        <w:t>符合</w:t>
      </w:r>
      <w:r>
        <w:rPr>
          <w:rFonts w:hint="eastAsia" w:ascii="Times New Roman" w:hAnsi="Times New Roman" w:eastAsia="宋体" w:cs="Times New Roman"/>
          <w:color w:val="auto"/>
          <w:kern w:val="0"/>
          <w:sz w:val="24"/>
        </w:rPr>
        <w:t>《湖南省“三线一单”生态环境管控基本要求暨环境管控单元生态环境准入清单》</w:t>
      </w:r>
      <w:r>
        <w:rPr>
          <w:rFonts w:ascii="Times New Roman" w:hAnsi="Calibri" w:eastAsia="宋体" w:cs="Times New Roman"/>
          <w:color w:val="auto"/>
          <w:kern w:val="0"/>
          <w:sz w:val="24"/>
          <w:szCs w:val="24"/>
        </w:rPr>
        <w:t>文件中对津市高新技术产业开发区管控</w:t>
      </w:r>
      <w:r>
        <w:rPr>
          <w:rFonts w:hint="eastAsia" w:ascii="Times New Roman" w:hAnsi="Times New Roman" w:eastAsia="宋体" w:cs="Times New Roman"/>
          <w:color w:val="auto"/>
          <w:sz w:val="24"/>
          <w:szCs w:val="24"/>
        </w:rPr>
        <w:t>要求。</w:t>
      </w:r>
    </w:p>
    <w:p w14:paraId="4712B623">
      <w:pPr>
        <w:keepNext/>
        <w:keepLines/>
        <w:spacing w:before="156" w:beforeLines="50" w:after="156" w:afterLines="50" w:line="360" w:lineRule="auto"/>
        <w:outlineLvl w:val="2"/>
        <w:rPr>
          <w:rFonts w:ascii="Times New Roman" w:hAnsi="Times New Roman" w:eastAsia="宋体" w:cs="Times New Roman"/>
          <w:b/>
          <w:color w:val="auto"/>
          <w:sz w:val="24"/>
          <w:szCs w:val="24"/>
        </w:rPr>
      </w:pPr>
      <w:bookmarkStart w:id="338" w:name="_Toc7346"/>
      <w:r>
        <w:rPr>
          <w:rFonts w:hint="eastAsia" w:ascii="Times New Roman" w:hAnsi="Times New Roman" w:eastAsia="宋体" w:cs="Times New Roman"/>
          <w:b/>
          <w:color w:val="auto"/>
          <w:sz w:val="24"/>
          <w:szCs w:val="24"/>
        </w:rPr>
        <w:t>11.1.3 污染防治措施</w:t>
      </w:r>
      <w:bookmarkEnd w:id="338"/>
    </w:p>
    <w:p w14:paraId="33E23AE7">
      <w:pPr>
        <w:spacing w:line="360" w:lineRule="auto"/>
        <w:ind w:firstLine="482" w:firstLineChars="200"/>
        <w:rPr>
          <w:rFonts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1、废气</w:t>
      </w:r>
    </w:p>
    <w:p w14:paraId="08FA6FC3">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（1）有组织废气</w:t>
      </w:r>
    </w:p>
    <w:p w14:paraId="0A9E3607">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rPr>
        <w:t>①</w:t>
      </w:r>
      <w:r>
        <w:rPr>
          <w:rFonts w:hint="eastAsia" w:ascii="Times New Roman" w:hAnsi="Times New Roman" w:eastAsia="宋体" w:cs="Times New Roman"/>
          <w:color w:val="auto"/>
          <w:sz w:val="24"/>
          <w:szCs w:val="24"/>
          <w:lang w:val="en-US" w:eastAsia="zh-CN"/>
        </w:rPr>
        <w:t>发酵废气</w:t>
      </w:r>
    </w:p>
    <w:p w14:paraId="6926C607">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val="en-US" w:eastAsia="zh-CN"/>
        </w:rPr>
        <w:t>发酵1车间产生的发酵废气主要污染物为非甲烷总烃、颗粒物、氨气，依托发酵1车间现有碱喷淋设施，</w:t>
      </w:r>
      <w:r>
        <w:rPr>
          <w:rFonts w:hint="eastAsia" w:ascii="Times New Roman" w:hAnsi="Times New Roman" w:eastAsia="宋体" w:cs="Times New Roman"/>
          <w:color w:val="auto"/>
          <w:sz w:val="24"/>
          <w:szCs w:val="24"/>
          <w:highlight w:val="none"/>
          <w:u w:val="none"/>
          <w:lang w:val="en-US" w:eastAsia="zh-CN"/>
        </w:rPr>
        <w:t>处理废气风量为20000m</w:t>
      </w:r>
      <w:r>
        <w:rPr>
          <w:rFonts w:hint="eastAsia" w:ascii="Times New Roman" w:hAnsi="Times New Roman" w:eastAsia="宋体" w:cs="Times New Roman"/>
          <w:color w:val="auto"/>
          <w:sz w:val="24"/>
          <w:szCs w:val="24"/>
          <w:highlight w:val="none"/>
          <w:u w:val="none"/>
          <w:vertAlign w:val="superscript"/>
          <w:lang w:val="en-US" w:eastAsia="zh-CN"/>
        </w:rPr>
        <w:t>3</w:t>
      </w:r>
      <w:r>
        <w:rPr>
          <w:rFonts w:hint="eastAsia" w:ascii="Times New Roman" w:hAnsi="Times New Roman" w:eastAsia="宋体" w:cs="Times New Roman"/>
          <w:color w:val="auto"/>
          <w:sz w:val="24"/>
          <w:szCs w:val="24"/>
          <w:highlight w:val="none"/>
          <w:u w:val="none"/>
          <w:lang w:val="en-US" w:eastAsia="zh-CN"/>
        </w:rPr>
        <w:t>/h，发酵1车间内发酵废气经碱喷淋系统预处理后进入集中式生物除臭处理设施进一步处理达标后排放，集中式生物除臭处理设施设计处理风量65000m</w:t>
      </w:r>
      <w:r>
        <w:rPr>
          <w:rFonts w:hint="eastAsia" w:ascii="Times New Roman" w:hAnsi="Times New Roman" w:eastAsia="宋体" w:cs="Times New Roman"/>
          <w:color w:val="auto"/>
          <w:sz w:val="24"/>
          <w:szCs w:val="24"/>
          <w:highlight w:val="none"/>
          <w:u w:val="none"/>
          <w:vertAlign w:val="superscript"/>
          <w:lang w:val="en-US" w:eastAsia="zh-CN"/>
        </w:rPr>
        <w:t>3</w:t>
      </w:r>
      <w:r>
        <w:rPr>
          <w:rFonts w:hint="eastAsia" w:ascii="Times New Roman" w:hAnsi="Times New Roman" w:eastAsia="宋体" w:cs="Times New Roman"/>
          <w:color w:val="auto"/>
          <w:sz w:val="24"/>
          <w:szCs w:val="24"/>
          <w:highlight w:val="none"/>
          <w:u w:val="none"/>
          <w:lang w:val="en-US" w:eastAsia="zh-CN"/>
        </w:rPr>
        <w:t>/h，尾气经21m高DA001排气筒排放，内径1.2m。</w:t>
      </w:r>
    </w:p>
    <w:p w14:paraId="0F87E71E">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rPr>
        <w:t>②</w:t>
      </w:r>
      <w:r>
        <w:rPr>
          <w:rFonts w:hint="eastAsia" w:ascii="Times New Roman" w:hAnsi="Times New Roman" w:eastAsia="宋体" w:cs="Times New Roman"/>
          <w:color w:val="auto"/>
          <w:sz w:val="24"/>
          <w:szCs w:val="24"/>
          <w:lang w:val="en-US" w:eastAsia="zh-CN"/>
        </w:rPr>
        <w:t>干燥废气</w:t>
      </w:r>
    </w:p>
    <w:p w14:paraId="148AFE6F">
      <w:pPr>
        <w:spacing w:line="360" w:lineRule="auto"/>
        <w:ind w:firstLine="480" w:firstLineChars="200"/>
        <w:rPr>
          <w:rFonts w:hint="eastAsia" w:ascii="Times New Roman" w:hAnsi="Times New Roman" w:eastAsia="宋体" w:cs="Times New Roman"/>
          <w:color w:val="auto"/>
          <w:sz w:val="24"/>
          <w:szCs w:val="24"/>
          <w:highlight w:val="none"/>
          <w:u w:val="none"/>
          <w:lang w:val="en-US" w:eastAsia="zh-CN"/>
        </w:rPr>
      </w:pPr>
      <w:r>
        <w:rPr>
          <w:rFonts w:hint="eastAsia" w:ascii="Times New Roman" w:hAnsi="Times New Roman" w:eastAsia="宋体" w:cs="Times New Roman"/>
          <w:color w:val="auto"/>
          <w:sz w:val="24"/>
          <w:szCs w:val="24"/>
          <w:highlight w:val="none"/>
          <w:u w:val="none"/>
          <w:lang w:val="en-US" w:eastAsia="zh-CN"/>
        </w:rPr>
        <w:t>干燥废气主要污染物为颗粒物，依托现有“碱喷淋+集中式生物除臭”处理设施处理达标后排放，碱喷淋+集中式生物除臭处理设施设计处理风量65000m</w:t>
      </w:r>
      <w:r>
        <w:rPr>
          <w:rFonts w:hint="eastAsia" w:ascii="Times New Roman" w:hAnsi="Times New Roman" w:eastAsia="宋体" w:cs="Times New Roman"/>
          <w:color w:val="auto"/>
          <w:sz w:val="24"/>
          <w:szCs w:val="24"/>
          <w:highlight w:val="none"/>
          <w:u w:val="none"/>
          <w:vertAlign w:val="superscript"/>
          <w:lang w:val="en-US" w:eastAsia="zh-CN"/>
        </w:rPr>
        <w:t>3</w:t>
      </w:r>
      <w:r>
        <w:rPr>
          <w:rFonts w:hint="eastAsia" w:ascii="Times New Roman" w:hAnsi="Times New Roman" w:eastAsia="宋体" w:cs="Times New Roman"/>
          <w:color w:val="auto"/>
          <w:sz w:val="24"/>
          <w:szCs w:val="24"/>
          <w:highlight w:val="none"/>
          <w:u w:val="none"/>
          <w:lang w:val="en-US" w:eastAsia="zh-CN"/>
        </w:rPr>
        <w:t>/h，尾气经21m高DA001排气筒排放，内径1.2m。</w:t>
      </w:r>
    </w:p>
    <w:p w14:paraId="395B8205">
      <w:pPr>
        <w:spacing w:line="360" w:lineRule="auto"/>
        <w:ind w:firstLine="480" w:firstLineChars="200"/>
        <w:rPr>
          <w:rFonts w:hint="eastAsia" w:ascii="Times New Roman" w:hAnsi="Times New Roman" w:eastAsia="宋体" w:cs="Times New Roman"/>
          <w:color w:val="000000"/>
          <w:kern w:val="2"/>
          <w:sz w:val="24"/>
          <w:szCs w:val="24"/>
          <w:u w:val="none" w:color="auto"/>
          <w:vertAlign w:val="baseline"/>
          <w:lang w:val="en-US" w:eastAsia="zh-CN" w:bidi="ar-SA"/>
        </w:rPr>
      </w:pPr>
      <w:r>
        <w:rPr>
          <w:rFonts w:hint="eastAsia" w:ascii="Times New Roman" w:hAnsi="Times New Roman" w:eastAsia="宋体" w:cs="Times New Roman"/>
          <w:color w:val="auto"/>
          <w:sz w:val="24"/>
          <w:szCs w:val="24"/>
          <w:highlight w:val="none"/>
          <w:u w:val="none"/>
          <w:lang w:val="en-US" w:eastAsia="zh-CN"/>
        </w:rPr>
        <w:t>③</w:t>
      </w:r>
      <w:r>
        <w:rPr>
          <w:rFonts w:hint="eastAsia" w:ascii="Times New Roman" w:hAnsi="Times New Roman" w:eastAsia="宋体" w:cs="Times New Roman"/>
          <w:color w:val="000000"/>
          <w:kern w:val="2"/>
          <w:sz w:val="24"/>
          <w:szCs w:val="24"/>
          <w:u w:val="none" w:color="auto"/>
          <w:vertAlign w:val="baseline"/>
          <w:lang w:val="en-US" w:eastAsia="zh-CN" w:bidi="ar-SA"/>
        </w:rPr>
        <w:t>污水处理站废气</w:t>
      </w:r>
    </w:p>
    <w:p w14:paraId="05F6AE03">
      <w:pPr>
        <w:spacing w:line="360" w:lineRule="auto"/>
        <w:ind w:firstLine="480" w:firstLineChars="200"/>
        <w:rPr>
          <w:rFonts w:hint="default" w:ascii="Times New Roman" w:hAnsi="Times New Roman" w:eastAsia="宋体" w:cs="Times New Roman"/>
          <w:color w:val="auto"/>
          <w:sz w:val="24"/>
          <w:szCs w:val="24"/>
          <w:highlight w:val="none"/>
          <w:u w:val="none"/>
          <w:lang w:val="en-US" w:eastAsia="zh-CN"/>
        </w:rPr>
      </w:pPr>
      <w:r>
        <w:rPr>
          <w:rFonts w:hint="eastAsia" w:ascii="Times New Roman" w:hAnsi="Times New Roman" w:eastAsia="宋体" w:cs="Times New Roman"/>
          <w:color w:val="000000"/>
          <w:kern w:val="2"/>
          <w:sz w:val="24"/>
          <w:szCs w:val="24"/>
          <w:u w:val="none" w:color="auto"/>
          <w:vertAlign w:val="baseline"/>
          <w:lang w:val="en-US" w:eastAsia="zh-CN" w:bidi="ar-SA"/>
        </w:rPr>
        <w:t>污水处理站废气</w:t>
      </w:r>
      <w:r>
        <w:rPr>
          <w:rFonts w:hint="eastAsia" w:ascii="Times New Roman" w:hAnsi="Times New Roman" w:eastAsia="宋体" w:cs="Times New Roman"/>
          <w:color w:val="auto"/>
          <w:sz w:val="24"/>
          <w:szCs w:val="24"/>
          <w:highlight w:val="none"/>
          <w:u w:val="none"/>
          <w:lang w:val="en-US" w:eastAsia="zh-CN"/>
        </w:rPr>
        <w:t>主要污染物为氨气、硫化氢、臭气浓度，本项目依托原有废气处理设施，对污水站好氧池、沉淀池、污泥脱水间等产废气区域进行玻璃钢盖板密封或者负压密闭处理，统一收集后由引风机输送到</w:t>
      </w:r>
      <w:r>
        <w:rPr>
          <w:rFonts w:hint="eastAsia" w:ascii="Times New Roman" w:hAnsi="Times New Roman" w:eastAsia="宋体" w:cs="Times New Roman"/>
          <w:color w:val="auto"/>
          <w:sz w:val="24"/>
          <w:szCs w:val="24"/>
          <w:u w:val="none"/>
          <w:lang w:val="en-US" w:eastAsia="zh-CN"/>
        </w:rPr>
        <w:t>碱喷淋塔+水喷淋塔+生物除臭处理设施处理达标后排放，</w:t>
      </w:r>
      <w:r>
        <w:rPr>
          <w:rFonts w:hint="eastAsia" w:ascii="Times New Roman" w:hAnsi="Times New Roman" w:eastAsia="宋体" w:cs="Times New Roman"/>
          <w:color w:val="auto"/>
          <w:sz w:val="24"/>
          <w:szCs w:val="24"/>
          <w:highlight w:val="none"/>
          <w:u w:val="none"/>
          <w:lang w:val="en-US" w:eastAsia="zh-CN"/>
        </w:rPr>
        <w:t>处理废气风量为10000m</w:t>
      </w:r>
      <w:r>
        <w:rPr>
          <w:rFonts w:hint="eastAsia" w:ascii="Times New Roman" w:hAnsi="Times New Roman" w:eastAsia="宋体" w:cs="Times New Roman"/>
          <w:color w:val="auto"/>
          <w:sz w:val="24"/>
          <w:szCs w:val="24"/>
          <w:highlight w:val="none"/>
          <w:u w:val="none"/>
          <w:vertAlign w:val="superscript"/>
          <w:lang w:val="en-US" w:eastAsia="zh-CN"/>
        </w:rPr>
        <w:t>3</w:t>
      </w:r>
      <w:r>
        <w:rPr>
          <w:rFonts w:hint="eastAsia" w:ascii="Times New Roman" w:hAnsi="Times New Roman" w:eastAsia="宋体" w:cs="Times New Roman"/>
          <w:color w:val="auto"/>
          <w:sz w:val="24"/>
          <w:szCs w:val="24"/>
          <w:highlight w:val="none"/>
          <w:u w:val="none"/>
          <w:lang w:val="en-US" w:eastAsia="zh-CN"/>
        </w:rPr>
        <w:t>/h，</w:t>
      </w:r>
      <w:r>
        <w:rPr>
          <w:rFonts w:hint="eastAsia" w:ascii="Times New Roman" w:hAnsi="Times New Roman" w:eastAsia="宋体" w:cs="Times New Roman"/>
          <w:color w:val="auto"/>
          <w:sz w:val="24"/>
          <w:szCs w:val="24"/>
          <w:u w:val="none"/>
          <w:lang w:val="en-US" w:eastAsia="zh-CN"/>
        </w:rPr>
        <w:t>尾气经20m高DA002排气筒排放，内径0.6m。</w:t>
      </w:r>
    </w:p>
    <w:p w14:paraId="1F0D4448">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通过前文工程分析可知，上述废气均能满足对应的排放标准。</w:t>
      </w:r>
    </w:p>
    <w:p w14:paraId="5B0152D3">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（2）无组织废气</w:t>
      </w:r>
    </w:p>
    <w:p w14:paraId="5CD34C3B">
      <w:pPr>
        <w:spacing w:line="360" w:lineRule="auto"/>
        <w:ind w:firstLine="480" w:firstLineChars="200"/>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无组织废气主要来自车间</w:t>
      </w:r>
      <w:r>
        <w:rPr>
          <w:rFonts w:hint="eastAsia" w:ascii="Times New Roman" w:hAnsi="Times New Roman" w:eastAsia="宋体" w:cs="Times New Roman"/>
          <w:color w:val="auto"/>
          <w:kern w:val="0"/>
          <w:sz w:val="24"/>
          <w:szCs w:val="24"/>
          <w:lang w:val="en-US" w:eastAsia="zh-CN"/>
        </w:rPr>
        <w:t>及污水处理站</w:t>
      </w:r>
      <w:r>
        <w:rPr>
          <w:rFonts w:ascii="Times New Roman" w:hAnsi="Times New Roman" w:eastAsia="宋体" w:cs="Times New Roman"/>
          <w:color w:val="auto"/>
          <w:kern w:val="0"/>
          <w:sz w:val="24"/>
          <w:szCs w:val="24"/>
        </w:rPr>
        <w:t>无组织废气。将采取：</w:t>
      </w:r>
      <w:r>
        <w:rPr>
          <w:rFonts w:hint="eastAsia" w:cs="仿宋"/>
          <w:b w:val="0"/>
          <w:bCs w:val="0"/>
          <w:color w:val="auto"/>
          <w:sz w:val="24"/>
          <w:szCs w:val="24"/>
          <w:lang w:val="en-US" w:eastAsia="zh-CN"/>
        </w:rPr>
        <w:t>从投料、中转、发酵、提取、出料整体工艺均已进行封闭，各废气收集管道直接连接入废气产生点进行收集，同时压滤区域进行局部封闭，并设置抽风系统，对产生恶臭进行收集，对污水处理站调节池、好氧池、厌氧池的采取集气罩负压抽风、脱臭处理措施。</w:t>
      </w:r>
      <w:r>
        <w:rPr>
          <w:rFonts w:ascii="Times New Roman" w:hAnsi="Times New Roman" w:eastAsia="宋体" w:cs="Times New Roman"/>
          <w:color w:val="auto"/>
          <w:kern w:val="0"/>
          <w:sz w:val="24"/>
          <w:szCs w:val="24"/>
        </w:rPr>
        <w:t>通过上述措施，以减少无组织逸散。</w:t>
      </w:r>
    </w:p>
    <w:p w14:paraId="31205CA2">
      <w:pPr>
        <w:spacing w:line="360" w:lineRule="auto"/>
        <w:ind w:firstLine="482" w:firstLineChars="200"/>
        <w:rPr>
          <w:rFonts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2、废水</w:t>
      </w:r>
    </w:p>
    <w:p w14:paraId="418E8D97">
      <w:pPr>
        <w:widowControl/>
        <w:spacing w:line="360" w:lineRule="auto"/>
        <w:ind w:firstLine="480" w:firstLineChars="200"/>
        <w:jc w:val="left"/>
        <w:rPr>
          <w:rFonts w:ascii="Times New Roman" w:hAnsi="Times New Roman" w:eastAsia="宋体" w:cs="Times New Roman"/>
          <w:color w:val="auto"/>
          <w:kern w:val="0"/>
          <w:sz w:val="24"/>
          <w:szCs w:val="24"/>
        </w:rPr>
      </w:pPr>
      <w:r>
        <w:rPr>
          <w:rFonts w:hint="eastAsia" w:ascii="Times New Roman" w:hAnsi="Times New Roman" w:eastAsia="宋体" w:cs="Times New Roman"/>
          <w:color w:val="auto"/>
          <w:kern w:val="0"/>
          <w:sz w:val="24"/>
          <w:szCs w:val="24"/>
          <w:lang w:bidi="ar"/>
        </w:rPr>
        <w:t>科益新公司厂区废水采取雨污分流处理方式。</w:t>
      </w:r>
      <w:r>
        <w:rPr>
          <w:rFonts w:ascii="Times New Roman" w:hAnsi="Times New Roman" w:eastAsia="宋体" w:cs="Times New Roman"/>
          <w:color w:val="auto"/>
          <w:sz w:val="24"/>
          <w:szCs w:val="24"/>
        </w:rPr>
        <w:t>初期雨水经厂区雨水沟进入初期雨水池（</w:t>
      </w:r>
      <w:r>
        <w:rPr>
          <w:rFonts w:hint="eastAsia" w:ascii="Times New Roman" w:hAnsi="Times New Roman" w:eastAsia="宋体" w:cs="Times New Roman"/>
          <w:color w:val="auto"/>
          <w:sz w:val="24"/>
          <w:szCs w:val="24"/>
          <w:lang w:val="en-US" w:eastAsia="zh-CN"/>
        </w:rPr>
        <w:t>300</w:t>
      </w:r>
      <w:r>
        <w:rPr>
          <w:rFonts w:hint="eastAsia" w:ascii="Times New Roman" w:hAnsi="Times New Roman" w:eastAsia="宋体" w:cs="Times New Roman"/>
          <w:color w:val="auto"/>
          <w:sz w:val="24"/>
          <w:szCs w:val="24"/>
          <w:lang w:eastAsia="zh-CN"/>
        </w:rPr>
        <w:t>m</w:t>
      </w:r>
      <w:r>
        <w:rPr>
          <w:rFonts w:hint="eastAsia" w:ascii="Times New Roman" w:hAnsi="Times New Roman" w:eastAsia="宋体" w:cs="Times New Roman"/>
          <w:color w:val="auto"/>
          <w:sz w:val="24"/>
          <w:szCs w:val="24"/>
          <w:vertAlign w:val="superscript"/>
          <w:lang w:eastAsia="zh-CN"/>
        </w:rPr>
        <w:t>3</w:t>
      </w:r>
      <w:r>
        <w:rPr>
          <w:rFonts w:ascii="Times New Roman" w:hAnsi="Times New Roman" w:eastAsia="宋体" w:cs="Times New Roman"/>
          <w:color w:val="auto"/>
          <w:sz w:val="24"/>
          <w:szCs w:val="24"/>
        </w:rPr>
        <w:t>），收集的初期雨水进入</w:t>
      </w:r>
      <w:r>
        <w:rPr>
          <w:rFonts w:hint="eastAsia" w:ascii="Times New Roman" w:hAnsi="Times New Roman" w:eastAsia="宋体" w:cs="Times New Roman"/>
          <w:color w:val="auto"/>
          <w:sz w:val="24"/>
          <w:szCs w:val="24"/>
        </w:rPr>
        <w:t>厂区</w:t>
      </w:r>
      <w:r>
        <w:rPr>
          <w:rFonts w:ascii="Times New Roman" w:hAnsi="Times New Roman" w:eastAsia="宋体" w:cs="Times New Roman"/>
          <w:color w:val="auto"/>
          <w:sz w:val="24"/>
          <w:szCs w:val="24"/>
        </w:rPr>
        <w:t>污水处理</w:t>
      </w:r>
      <w:r>
        <w:rPr>
          <w:rFonts w:hint="eastAsia" w:ascii="Times New Roman" w:hAnsi="Times New Roman" w:eastAsia="宋体" w:cs="Times New Roman"/>
          <w:color w:val="auto"/>
          <w:sz w:val="24"/>
          <w:szCs w:val="24"/>
        </w:rPr>
        <w:t>设施</w:t>
      </w:r>
      <w:r>
        <w:rPr>
          <w:rFonts w:ascii="Times New Roman" w:hAnsi="Times New Roman" w:eastAsia="宋体" w:cs="Times New Roman"/>
          <w:color w:val="auto"/>
          <w:sz w:val="24"/>
          <w:szCs w:val="24"/>
        </w:rPr>
        <w:t>处理</w:t>
      </w:r>
      <w:r>
        <w:rPr>
          <w:rFonts w:hint="eastAsia"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生活污水经化粪池处理后进入厂区污水处理站，</w:t>
      </w:r>
      <w:r>
        <w:rPr>
          <w:rFonts w:hint="eastAsia" w:ascii="Times New Roman" w:hAnsi="Times New Roman" w:eastAsia="宋体" w:cs="Times New Roman"/>
          <w:color w:val="auto"/>
          <w:kern w:val="0"/>
          <w:sz w:val="24"/>
          <w:szCs w:val="24"/>
          <w:lang w:bidi="ar"/>
        </w:rPr>
        <w:t>其他废水经收集后直接排入污水处理站，厂内废水经自建污水处理设施处理，</w:t>
      </w:r>
      <w:r>
        <w:rPr>
          <w:rFonts w:hint="eastAsia" w:ascii="Times New Roman" w:hAnsi="Times New Roman" w:eastAsia="宋体" w:cs="Times New Roman"/>
          <w:color w:val="auto"/>
          <w:kern w:val="0"/>
          <w:sz w:val="24"/>
          <w:szCs w:val="24"/>
          <w:lang w:val="en-US" w:eastAsia="zh-CN" w:bidi="ar"/>
        </w:rPr>
        <w:t>处理工艺为</w:t>
      </w:r>
      <w:r>
        <w:rPr>
          <w:rFonts w:hint="eastAsia" w:ascii="Times New Roman" w:hAnsi="Times New Roman" w:eastAsia="宋体" w:cs="Times New Roman"/>
          <w:color w:val="auto"/>
          <w:sz w:val="24"/>
          <w:szCs w:val="24"/>
        </w:rPr>
        <w:t>“物化+厌氧+A/O+气浮”</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rPr>
        <w:t>设计处理能力为</w:t>
      </w:r>
      <w:r>
        <w:rPr>
          <w:rFonts w:hint="eastAsia" w:ascii="Times New Roman" w:hAnsi="Times New Roman" w:eastAsia="宋体" w:cs="Times New Roman"/>
          <w:color w:val="auto"/>
          <w:sz w:val="24"/>
          <w:szCs w:val="24"/>
          <w:lang w:val="en-US" w:eastAsia="zh-CN"/>
        </w:rPr>
        <w:t>800</w:t>
      </w:r>
      <w:r>
        <w:rPr>
          <w:rFonts w:hint="eastAsia" w:ascii="Times New Roman" w:hAnsi="Times New Roman" w:eastAsia="宋体" w:cs="Times New Roman"/>
          <w:color w:val="auto"/>
          <w:sz w:val="24"/>
          <w:szCs w:val="24"/>
          <w:lang w:eastAsia="zh-CN"/>
        </w:rPr>
        <w:t>m</w:t>
      </w:r>
      <w:r>
        <w:rPr>
          <w:rFonts w:hint="eastAsia" w:ascii="Times New Roman" w:hAnsi="Times New Roman" w:eastAsia="宋体" w:cs="Times New Roman"/>
          <w:color w:val="auto"/>
          <w:sz w:val="24"/>
          <w:szCs w:val="24"/>
          <w:vertAlign w:val="superscript"/>
          <w:lang w:eastAsia="zh-CN"/>
        </w:rPr>
        <w:t>3</w:t>
      </w:r>
      <w:r>
        <w:rPr>
          <w:rFonts w:hint="eastAsia" w:ascii="Times New Roman" w:hAnsi="Times New Roman" w:eastAsia="宋体" w:cs="Times New Roman"/>
          <w:color w:val="auto"/>
          <w:sz w:val="24"/>
          <w:szCs w:val="24"/>
        </w:rPr>
        <w:t>/d，</w:t>
      </w:r>
      <w:r>
        <w:rPr>
          <w:rFonts w:hint="eastAsia" w:ascii="Times New Roman" w:hAnsi="Times New Roman" w:eastAsia="宋体" w:cs="Times New Roman"/>
          <w:color w:val="auto"/>
          <w:kern w:val="0"/>
          <w:sz w:val="24"/>
          <w:szCs w:val="24"/>
          <w:lang w:bidi="ar"/>
        </w:rPr>
        <w:t>出水经专管排入园区工业污水处理厂，由园区工业污水处理厂深度处理后排入澧水。</w:t>
      </w:r>
    </w:p>
    <w:p w14:paraId="24FBA789">
      <w:pPr>
        <w:widowControl/>
        <w:spacing w:line="360" w:lineRule="auto"/>
        <w:ind w:firstLine="480" w:firstLineChars="200"/>
        <w:jc w:val="left"/>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项目废水工艺可行性论证参考</w:t>
      </w:r>
      <w:r>
        <w:rPr>
          <w:rFonts w:hint="eastAsia" w:ascii="Times New Roman" w:hAnsi="Times New Roman" w:eastAsia="宋体" w:cs="Times New Roman"/>
          <w:color w:val="auto"/>
          <w:kern w:val="0"/>
          <w:sz w:val="24"/>
          <w:szCs w:val="24"/>
          <w:lang w:val="en-US" w:eastAsia="zh-CN"/>
        </w:rPr>
        <w:t>新合新生物科技</w:t>
      </w:r>
      <w:r>
        <w:rPr>
          <w:rFonts w:ascii="Times New Roman" w:hAnsi="Times New Roman" w:eastAsia="宋体" w:cs="Times New Roman"/>
          <w:color w:val="auto"/>
          <w:kern w:val="0"/>
          <w:sz w:val="24"/>
          <w:szCs w:val="24"/>
        </w:rPr>
        <w:t>公司现有工程的厂区污水站出水数据，</w:t>
      </w:r>
      <w:r>
        <w:rPr>
          <w:rFonts w:hint="eastAsia" w:ascii="Times New Roman" w:hAnsi="Times New Roman" w:eastAsia="宋体" w:cs="Times New Roman"/>
          <w:color w:val="auto"/>
          <w:kern w:val="0"/>
          <w:sz w:val="24"/>
          <w:szCs w:val="24"/>
        </w:rPr>
        <w:t>生产期间排放废水中污染因子均符合</w:t>
      </w:r>
      <w:r>
        <w:rPr>
          <w:rFonts w:hint="eastAsia" w:ascii="Times New Roman" w:hAnsi="Times New Roman" w:eastAsia="宋体" w:cs="Times New Roman"/>
          <w:color w:val="auto"/>
          <w:sz w:val="24"/>
          <w:szCs w:val="24"/>
        </w:rPr>
        <w:t>满足津市工业园污水处理厂水质接纳要求，</w:t>
      </w:r>
      <w:r>
        <w:rPr>
          <w:rFonts w:hint="eastAsia" w:ascii="Times New Roman" w:hAnsi="Times New Roman" w:eastAsia="宋体" w:cs="Times New Roman"/>
          <w:color w:val="auto"/>
          <w:sz w:val="24"/>
          <w:szCs w:val="24"/>
          <w:lang w:val="en-US" w:eastAsia="zh-CN"/>
        </w:rPr>
        <w:t>废水</w:t>
      </w:r>
      <w:r>
        <w:rPr>
          <w:rFonts w:hint="eastAsia" w:ascii="Times New Roman" w:hAnsi="Times New Roman" w:eastAsia="宋体" w:cs="Times New Roman"/>
          <w:color w:val="auto"/>
          <w:sz w:val="24"/>
          <w:szCs w:val="24"/>
        </w:rPr>
        <w:t>排入津市工业园污水处理厂深度处理，尾水达到《城镇污水处理厂污染物排放标准》</w:t>
      </w:r>
      <w:r>
        <w:rPr>
          <w:rFonts w:hint="eastAsia" w:ascii="宋体" w:hAnsi="宋体" w:eastAsia="宋体" w:cs="宋体"/>
          <w:color w:val="auto"/>
          <w:sz w:val="24"/>
          <w:szCs w:val="24"/>
        </w:rPr>
        <w:t>(</w:t>
      </w:r>
      <w:r>
        <w:rPr>
          <w:rFonts w:hint="eastAsia" w:ascii="Times New Roman" w:hAnsi="Times New Roman" w:eastAsia="宋体" w:cs="Times New Roman"/>
          <w:color w:val="auto"/>
          <w:sz w:val="24"/>
          <w:szCs w:val="24"/>
        </w:rPr>
        <w:t>GB18918-2002</w:t>
      </w:r>
      <w:r>
        <w:rPr>
          <w:rFonts w:hint="eastAsia" w:ascii="宋体" w:hAnsi="宋体" w:eastAsia="宋体" w:cs="宋体"/>
          <w:color w:val="auto"/>
          <w:sz w:val="24"/>
          <w:szCs w:val="24"/>
        </w:rPr>
        <w:t>)</w:t>
      </w:r>
      <w:r>
        <w:rPr>
          <w:rFonts w:hint="eastAsia" w:ascii="Times New Roman" w:hAnsi="Times New Roman" w:eastAsia="宋体" w:cs="Times New Roman"/>
          <w:color w:val="auto"/>
          <w:sz w:val="24"/>
          <w:szCs w:val="24"/>
        </w:rPr>
        <w:t>一级A标准后排入澧水。</w:t>
      </w:r>
    </w:p>
    <w:p w14:paraId="6557057D">
      <w:pPr>
        <w:spacing w:line="360" w:lineRule="auto"/>
        <w:ind w:firstLine="480" w:firstLineChars="200"/>
        <w:rPr>
          <w:rFonts w:ascii="Times New Roman" w:hAnsi="Times New Roman" w:eastAsia="宋体" w:cs="宋体"/>
          <w:color w:val="auto"/>
          <w:sz w:val="24"/>
          <w:szCs w:val="24"/>
        </w:rPr>
      </w:pPr>
      <w:r>
        <w:rPr>
          <w:rFonts w:hint="eastAsia" w:ascii="Times New Roman" w:hAnsi="Times New Roman" w:eastAsia="宋体" w:cs="宋体"/>
          <w:color w:val="auto"/>
          <w:sz w:val="24"/>
          <w:szCs w:val="24"/>
        </w:rPr>
        <w:t>当本项目废水处理系统出现故障时，应立停止生产并关闭排水阀门，禁止废水未经处理直接排入津市工业园污水处理厂，废水处理站中废水进入事故池中暂存。待事故解除后，事故池中废水返回废水处理站处理达标后外排至园区水处理厂。</w:t>
      </w:r>
    </w:p>
    <w:p w14:paraId="567A7AA1">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宋体"/>
          <w:color w:val="auto"/>
          <w:sz w:val="24"/>
          <w:szCs w:val="24"/>
        </w:rPr>
        <w:t>地下水污染防治措施按照“源头控制、分区防控、污染监控、应急响应”相结合的原则，从污染物的产生、入渗、扩散、应急响应全方位进行控制。本项目依托的危险废物暂存库、</w:t>
      </w:r>
      <w:r>
        <w:rPr>
          <w:rFonts w:hint="eastAsia" w:ascii="Times New Roman" w:hAnsi="Times New Roman" w:eastAsia="宋体" w:cs="宋体"/>
          <w:color w:val="auto"/>
          <w:sz w:val="24"/>
          <w:szCs w:val="24"/>
          <w:lang w:val="en-US" w:eastAsia="zh-CN"/>
        </w:rPr>
        <w:t>污水处理站</w:t>
      </w:r>
      <w:r>
        <w:rPr>
          <w:rFonts w:hint="eastAsia" w:ascii="Times New Roman" w:hAnsi="Times New Roman" w:eastAsia="宋体" w:cs="宋体"/>
          <w:color w:val="auto"/>
          <w:sz w:val="24"/>
          <w:szCs w:val="24"/>
        </w:rPr>
        <w:t>等设施采取地面硬化、防腐及防渗，明管布置并建立地下水环境影响跟踪监测制度。在采取上述措施前提下，本项目对区域地下水环境影响较小。</w:t>
      </w:r>
    </w:p>
    <w:p w14:paraId="33BF53BF">
      <w:pPr>
        <w:spacing w:line="360" w:lineRule="auto"/>
        <w:ind w:firstLine="482" w:firstLineChars="200"/>
        <w:rPr>
          <w:rFonts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3、固体废物</w:t>
      </w:r>
    </w:p>
    <w:p w14:paraId="4DFC9762">
      <w:pPr>
        <w:spacing w:line="360" w:lineRule="auto"/>
        <w:ind w:firstLine="480" w:firstLineChars="200"/>
        <w:rPr>
          <w:rFonts w:ascii="Times New Roman" w:hAnsi="Times New Roman" w:eastAsia="宋体" w:cs="宋体"/>
          <w:color w:val="auto"/>
          <w:sz w:val="24"/>
          <w:szCs w:val="24"/>
        </w:rPr>
      </w:pPr>
      <w:r>
        <w:rPr>
          <w:rFonts w:hint="eastAsia" w:ascii="Times New Roman" w:hAnsi="Times New Roman" w:eastAsia="宋体" w:cs="宋体"/>
          <w:color w:val="auto"/>
          <w:sz w:val="24"/>
          <w:szCs w:val="24"/>
        </w:rPr>
        <w:t>本项目</w:t>
      </w:r>
      <w:r>
        <w:rPr>
          <w:rFonts w:ascii="Times New Roman" w:hAnsi="Times New Roman" w:eastAsia="宋体" w:cs="宋体"/>
          <w:color w:val="auto"/>
          <w:sz w:val="24"/>
          <w:szCs w:val="24"/>
        </w:rPr>
        <w:t>生产</w:t>
      </w:r>
      <w:r>
        <w:rPr>
          <w:rFonts w:hint="eastAsia" w:ascii="Times New Roman" w:hAnsi="Times New Roman" w:eastAsia="宋体" w:cs="宋体"/>
          <w:color w:val="auto"/>
          <w:sz w:val="24"/>
          <w:szCs w:val="24"/>
        </w:rPr>
        <w:t>过程产生的</w:t>
      </w:r>
      <w:r>
        <w:rPr>
          <w:rFonts w:ascii="Times New Roman" w:hAnsi="Times New Roman" w:eastAsia="宋体" w:cs="宋体"/>
          <w:color w:val="auto"/>
          <w:sz w:val="24"/>
          <w:szCs w:val="24"/>
        </w:rPr>
        <w:t>危险固废</w:t>
      </w:r>
      <w:r>
        <w:rPr>
          <w:rFonts w:hint="eastAsia" w:ascii="Times New Roman" w:hAnsi="Times New Roman" w:eastAsia="宋体" w:cs="宋体"/>
          <w:color w:val="auto"/>
          <w:sz w:val="24"/>
          <w:szCs w:val="24"/>
        </w:rPr>
        <w:t>均</w:t>
      </w:r>
      <w:r>
        <w:rPr>
          <w:rFonts w:ascii="Times New Roman" w:hAnsi="Times New Roman" w:eastAsia="宋体" w:cs="宋体"/>
          <w:color w:val="auto"/>
          <w:sz w:val="24"/>
          <w:szCs w:val="24"/>
        </w:rPr>
        <w:t>送资质单位处置</w:t>
      </w:r>
      <w:r>
        <w:rPr>
          <w:rFonts w:hint="eastAsia" w:ascii="Times New Roman" w:hAnsi="Times New Roman" w:eastAsia="宋体" w:cs="宋体"/>
          <w:color w:val="auto"/>
          <w:sz w:val="24"/>
          <w:szCs w:val="24"/>
        </w:rPr>
        <w:t>，</w:t>
      </w:r>
      <w:r>
        <w:rPr>
          <w:rFonts w:ascii="Times New Roman" w:hAnsi="Times New Roman" w:eastAsia="宋体" w:cs="宋体"/>
          <w:color w:val="auto"/>
          <w:sz w:val="24"/>
          <w:szCs w:val="24"/>
        </w:rPr>
        <w:t>生活垃圾交环卫部门处置。</w:t>
      </w:r>
    </w:p>
    <w:p w14:paraId="6E487200">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宋体"/>
          <w:color w:val="auto"/>
          <w:sz w:val="24"/>
          <w:szCs w:val="24"/>
        </w:rPr>
        <w:t>本项目</w:t>
      </w:r>
      <w:r>
        <w:rPr>
          <w:rFonts w:ascii="Times New Roman" w:hAnsi="Times New Roman" w:eastAsia="宋体" w:cs="宋体"/>
          <w:color w:val="auto"/>
          <w:sz w:val="24"/>
          <w:szCs w:val="24"/>
        </w:rPr>
        <w:t>按照设置一般固废暂存场和危险废物暂存库对固废进行分类暂存，</w:t>
      </w:r>
      <w:r>
        <w:rPr>
          <w:rFonts w:hint="eastAsia" w:ascii="Times New Roman" w:hAnsi="Times New Roman" w:eastAsia="宋体" w:cs="宋体"/>
          <w:color w:val="auto"/>
          <w:sz w:val="24"/>
          <w:szCs w:val="24"/>
        </w:rPr>
        <w:t>依托的</w:t>
      </w:r>
      <w:r>
        <w:rPr>
          <w:rFonts w:ascii="Times New Roman" w:hAnsi="Times New Roman" w:eastAsia="宋体" w:cs="宋体"/>
          <w:color w:val="auto"/>
          <w:sz w:val="24"/>
          <w:szCs w:val="24"/>
        </w:rPr>
        <w:t>固体废物暂存场库</w:t>
      </w:r>
      <w:r>
        <w:rPr>
          <w:rFonts w:hint="eastAsia" w:ascii="Times New Roman" w:hAnsi="Times New Roman" w:eastAsia="宋体" w:cs="宋体"/>
          <w:color w:val="auto"/>
          <w:sz w:val="24"/>
          <w:szCs w:val="24"/>
        </w:rPr>
        <w:t>已</w:t>
      </w:r>
      <w:r>
        <w:rPr>
          <w:rFonts w:ascii="Times New Roman" w:hAnsi="Times New Roman" w:eastAsia="宋体" w:cs="宋体"/>
          <w:color w:val="auto"/>
          <w:sz w:val="24"/>
          <w:szCs w:val="24"/>
        </w:rPr>
        <w:t>分别按照</w:t>
      </w:r>
      <w:r>
        <w:rPr>
          <w:rFonts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rPr>
        <w:t>一般工业固体废物贮存和填埋污染控制标准</w:t>
      </w:r>
      <w:r>
        <w:rPr>
          <w:rFonts w:ascii="Times New Roman" w:hAnsi="Times New Roman" w:eastAsia="宋体" w:cs="Times New Roman"/>
          <w:color w:val="auto"/>
          <w:sz w:val="24"/>
          <w:szCs w:val="24"/>
        </w:rPr>
        <w:t>》（GB18599-20</w:t>
      </w:r>
      <w:r>
        <w:rPr>
          <w:rFonts w:hint="eastAsia" w:ascii="Times New Roman" w:hAnsi="Times New Roman" w:eastAsia="宋体" w:cs="Times New Roman"/>
          <w:color w:val="auto"/>
          <w:sz w:val="24"/>
          <w:szCs w:val="24"/>
        </w:rPr>
        <w:t>20</w:t>
      </w:r>
      <w:r>
        <w:rPr>
          <w:rFonts w:ascii="Times New Roman" w:hAnsi="Times New Roman" w:eastAsia="宋体" w:cs="Times New Roman"/>
          <w:color w:val="auto"/>
          <w:sz w:val="24"/>
          <w:szCs w:val="24"/>
        </w:rPr>
        <w:t>）</w:t>
      </w:r>
      <w:r>
        <w:rPr>
          <w:rFonts w:ascii="Times New Roman" w:hAnsi="Times New Roman" w:eastAsia="宋体" w:cs="宋体"/>
          <w:color w:val="auto"/>
          <w:sz w:val="24"/>
          <w:szCs w:val="24"/>
        </w:rPr>
        <w:t>和《危险废物贮存污染控制标准》</w:t>
      </w:r>
      <w:r>
        <w:rPr>
          <w:rFonts w:hint="eastAsia" w:ascii="Times New Roman" w:hAnsi="Times New Roman" w:eastAsia="宋体" w:cs="宋体"/>
          <w:color w:val="auto"/>
          <w:sz w:val="24"/>
          <w:szCs w:val="24"/>
        </w:rPr>
        <w:t>（</w:t>
      </w:r>
      <w:r>
        <w:rPr>
          <w:rFonts w:ascii="Times New Roman" w:hAnsi="Times New Roman" w:eastAsia="宋体" w:cs="宋体"/>
          <w:color w:val="auto"/>
          <w:sz w:val="24"/>
          <w:szCs w:val="24"/>
        </w:rPr>
        <w:t>GB18597-20</w:t>
      </w:r>
      <w:r>
        <w:rPr>
          <w:rFonts w:hint="eastAsia" w:ascii="Times New Roman" w:hAnsi="Times New Roman" w:eastAsia="宋体" w:cs="宋体"/>
          <w:color w:val="auto"/>
          <w:sz w:val="24"/>
          <w:szCs w:val="24"/>
        </w:rPr>
        <w:t>23）的</w:t>
      </w:r>
      <w:r>
        <w:rPr>
          <w:rFonts w:ascii="Times New Roman" w:hAnsi="Times New Roman" w:eastAsia="宋体" w:cs="宋体"/>
          <w:color w:val="auto"/>
          <w:sz w:val="24"/>
          <w:szCs w:val="24"/>
        </w:rPr>
        <w:t>要求进行建设和管理。</w:t>
      </w:r>
    </w:p>
    <w:p w14:paraId="6C4A5D50">
      <w:pPr>
        <w:spacing w:line="360" w:lineRule="auto"/>
        <w:ind w:firstLine="482" w:firstLineChars="200"/>
        <w:rPr>
          <w:rFonts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rPr>
        <w:t>4、噪声</w:t>
      </w:r>
    </w:p>
    <w:p w14:paraId="7060B6A3">
      <w:pPr>
        <w:widowControl/>
        <w:spacing w:line="360" w:lineRule="auto"/>
        <w:ind w:firstLine="480" w:firstLineChars="200"/>
        <w:jc w:val="left"/>
        <w:rPr>
          <w:rFonts w:ascii="Times New Roman" w:hAnsi="Times New Roman" w:eastAsia="宋体" w:cs="Times New Roman"/>
          <w:color w:val="auto"/>
          <w:kern w:val="0"/>
          <w:sz w:val="24"/>
          <w:szCs w:val="24"/>
        </w:rPr>
      </w:pPr>
      <w:r>
        <w:rPr>
          <w:rFonts w:ascii="Times New Roman" w:hAnsi="Times New Roman" w:eastAsia="宋体" w:cs="Times New Roman"/>
          <w:color w:val="auto"/>
          <w:kern w:val="0"/>
          <w:sz w:val="24"/>
          <w:szCs w:val="24"/>
        </w:rPr>
        <w:t>本项目位于工业园二类工业用地范围内</w:t>
      </w:r>
      <w:r>
        <w:rPr>
          <w:rFonts w:hint="eastAsia" w:ascii="Times New Roman" w:hAnsi="Times New Roman" w:eastAsia="宋体" w:cs="Times New Roman"/>
          <w:color w:val="auto"/>
          <w:kern w:val="0"/>
          <w:sz w:val="24"/>
          <w:szCs w:val="24"/>
          <w:lang w:eastAsia="zh-CN"/>
        </w:rPr>
        <w:t>，</w:t>
      </w:r>
      <w:r>
        <w:rPr>
          <w:rFonts w:ascii="Times New Roman" w:hAnsi="Times New Roman" w:eastAsia="宋体" w:cs="Times New Roman"/>
          <w:color w:val="auto"/>
          <w:kern w:val="0"/>
          <w:sz w:val="24"/>
          <w:szCs w:val="24"/>
        </w:rPr>
        <w:t>项目车间均为半封闭车间，其隔声效果好，生产车间内的生产设备噪声可以得到较好的隔声控制。设备选型为低噪声先进生产设备，大型振动、泵等设备采用基础减震措施，蒸汽放空口设消声装置，循环水冷却塔设于远离外厂界的中间</w:t>
      </w:r>
      <w:r>
        <w:rPr>
          <w:rFonts w:hint="eastAsia" w:ascii="Times New Roman" w:hAnsi="Times New Roman" w:eastAsia="宋体" w:cs="Times New Roman"/>
          <w:color w:val="auto"/>
          <w:kern w:val="0"/>
          <w:sz w:val="24"/>
          <w:szCs w:val="24"/>
          <w:lang w:val="en-US" w:eastAsia="zh-CN"/>
        </w:rPr>
        <w:t>厂区</w:t>
      </w:r>
      <w:r>
        <w:rPr>
          <w:rFonts w:ascii="Times New Roman" w:hAnsi="Times New Roman" w:eastAsia="宋体" w:cs="Times New Roman"/>
          <w:color w:val="auto"/>
          <w:kern w:val="0"/>
          <w:sz w:val="24"/>
          <w:szCs w:val="24"/>
        </w:rPr>
        <w:t>，增加绿化率，可起到一定的吸声降噪作用。且项目四周无声环境敏感目标，项目噪声不会影响区域居民。</w:t>
      </w:r>
    </w:p>
    <w:p w14:paraId="762A0E73">
      <w:pPr>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kern w:val="0"/>
          <w:sz w:val="24"/>
          <w:szCs w:val="24"/>
        </w:rPr>
        <w:t>本项目在采取降噪措施后，厂界噪声可达标排放，技术可行，经济合理。</w:t>
      </w:r>
    </w:p>
    <w:p w14:paraId="46795593">
      <w:pPr>
        <w:keepNext/>
        <w:keepLines/>
        <w:spacing w:before="156" w:beforeLines="50" w:after="156" w:afterLines="50" w:line="360" w:lineRule="auto"/>
        <w:outlineLvl w:val="2"/>
        <w:rPr>
          <w:rFonts w:ascii="Times New Roman" w:hAnsi="Times New Roman" w:eastAsia="宋体" w:cs="Times New Roman"/>
          <w:b/>
          <w:color w:val="auto"/>
          <w:sz w:val="24"/>
          <w:szCs w:val="24"/>
        </w:rPr>
      </w:pPr>
      <w:bookmarkStart w:id="339" w:name="_Toc23253"/>
      <w:r>
        <w:rPr>
          <w:rFonts w:hint="eastAsia" w:ascii="Times New Roman" w:hAnsi="Times New Roman" w:eastAsia="宋体" w:cs="Times New Roman"/>
          <w:b/>
          <w:color w:val="auto"/>
          <w:sz w:val="24"/>
          <w:szCs w:val="24"/>
        </w:rPr>
        <w:t>11.1.4 环境质量现状</w:t>
      </w:r>
      <w:bookmarkEnd w:id="339"/>
    </w:p>
    <w:p w14:paraId="37D4D5B9">
      <w:pPr>
        <w:spacing w:line="360" w:lineRule="auto"/>
        <w:ind w:firstLine="482" w:firstLineChars="200"/>
        <w:rPr>
          <w:rFonts w:ascii="Times New Roman" w:hAnsi="Times New Roman" w:eastAsia="宋体" w:cs="Times New Roman"/>
          <w:b/>
          <w:bCs/>
          <w:color w:val="auto"/>
          <w:kern w:val="0"/>
          <w:sz w:val="24"/>
          <w:szCs w:val="24"/>
        </w:rPr>
      </w:pPr>
      <w:r>
        <w:rPr>
          <w:rFonts w:hint="eastAsia" w:ascii="Times New Roman" w:hAnsi="Times New Roman" w:eastAsia="宋体" w:cs="Times New Roman"/>
          <w:b/>
          <w:bCs/>
          <w:color w:val="auto"/>
          <w:kern w:val="0"/>
          <w:sz w:val="24"/>
          <w:szCs w:val="24"/>
        </w:rPr>
        <w:t>1、环境空气</w:t>
      </w:r>
    </w:p>
    <w:p w14:paraId="3175BB24">
      <w:pPr>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津市市空气自动监测站20</w:t>
      </w:r>
      <w:r>
        <w:rPr>
          <w:rFonts w:hint="eastAsia" w:ascii="Times New Roman" w:hAnsi="Times New Roman" w:eastAsia="宋体" w:cs="Times New Roman"/>
          <w:color w:val="auto"/>
          <w:sz w:val="24"/>
          <w:szCs w:val="24"/>
        </w:rPr>
        <w:t>23</w:t>
      </w:r>
      <w:r>
        <w:rPr>
          <w:rFonts w:ascii="Times New Roman" w:hAnsi="Times New Roman" w:eastAsia="宋体" w:cs="Times New Roman"/>
          <w:color w:val="auto"/>
          <w:sz w:val="24"/>
          <w:szCs w:val="24"/>
        </w:rPr>
        <w:t>年SO</w:t>
      </w:r>
      <w:r>
        <w:rPr>
          <w:rFonts w:ascii="Times New Roman" w:hAnsi="Times New Roman" w:eastAsia="宋体" w:cs="Times New Roman"/>
          <w:color w:val="auto"/>
          <w:sz w:val="24"/>
          <w:szCs w:val="24"/>
          <w:vertAlign w:val="subscript"/>
        </w:rPr>
        <w:t>2</w:t>
      </w:r>
      <w:r>
        <w:rPr>
          <w:rFonts w:ascii="Times New Roman" w:hAnsi="Times New Roman" w:eastAsia="宋体" w:cs="Times New Roman"/>
          <w:color w:val="auto"/>
          <w:sz w:val="24"/>
          <w:szCs w:val="24"/>
        </w:rPr>
        <w:t>、NO</w:t>
      </w:r>
      <w:r>
        <w:rPr>
          <w:rFonts w:ascii="Times New Roman" w:hAnsi="Times New Roman" w:eastAsia="宋体" w:cs="Times New Roman"/>
          <w:color w:val="auto"/>
          <w:sz w:val="24"/>
          <w:szCs w:val="24"/>
          <w:vertAlign w:val="subscript"/>
        </w:rPr>
        <w:t>2</w:t>
      </w:r>
      <w:r>
        <w:rPr>
          <w:rFonts w:ascii="Times New Roman" w:hAnsi="Times New Roman" w:eastAsia="宋体" w:cs="Times New Roman"/>
          <w:color w:val="auto"/>
          <w:sz w:val="24"/>
          <w:szCs w:val="24"/>
        </w:rPr>
        <w:t>、PM</w:t>
      </w:r>
      <w:r>
        <w:rPr>
          <w:rFonts w:ascii="Times New Roman" w:hAnsi="Times New Roman" w:eastAsia="宋体" w:cs="Times New Roman"/>
          <w:color w:val="auto"/>
          <w:sz w:val="24"/>
          <w:szCs w:val="24"/>
          <w:vertAlign w:val="subscript"/>
        </w:rPr>
        <w:t>10</w:t>
      </w:r>
      <w:r>
        <w:rPr>
          <w:rFonts w:ascii="Times New Roman" w:hAnsi="Times New Roman" w:eastAsia="宋体" w:cs="Times New Roman"/>
          <w:color w:val="auto"/>
          <w:sz w:val="24"/>
          <w:szCs w:val="24"/>
        </w:rPr>
        <w:t>、P</w:t>
      </w:r>
      <w:r>
        <w:rPr>
          <w:rFonts w:hint="eastAsia" w:ascii="Times New Roman" w:hAnsi="Times New Roman" w:eastAsia="宋体" w:cs="Times New Roman"/>
          <w:color w:val="auto"/>
          <w:sz w:val="24"/>
          <w:szCs w:val="24"/>
          <w:lang w:eastAsia="zh-CN"/>
        </w:rPr>
        <w:t>m</w:t>
      </w:r>
      <w:r>
        <w:rPr>
          <w:rFonts w:hint="eastAsia" w:ascii="Times New Roman" w:hAnsi="Times New Roman" w:eastAsia="宋体" w:cs="Times New Roman"/>
          <w:color w:val="auto"/>
          <w:sz w:val="24"/>
          <w:szCs w:val="24"/>
          <w:vertAlign w:val="subscript"/>
          <w:lang w:eastAsia="zh-CN"/>
        </w:rPr>
        <w:t>2</w:t>
      </w:r>
      <w:r>
        <w:rPr>
          <w:rFonts w:ascii="Times New Roman" w:hAnsi="Times New Roman" w:eastAsia="宋体" w:cs="Times New Roman"/>
          <w:color w:val="auto"/>
          <w:sz w:val="24"/>
          <w:szCs w:val="24"/>
          <w:vertAlign w:val="subscript"/>
        </w:rPr>
        <w:t>.5</w:t>
      </w:r>
      <w:r>
        <w:rPr>
          <w:rFonts w:ascii="Times New Roman" w:hAnsi="Times New Roman" w:eastAsia="宋体" w:cs="Times New Roman"/>
          <w:color w:val="auto"/>
          <w:sz w:val="24"/>
          <w:szCs w:val="24"/>
        </w:rPr>
        <w:t>年均浓度分别为</w:t>
      </w:r>
      <w:r>
        <w:rPr>
          <w:rFonts w:hint="eastAsia" w:ascii="Times New Roman" w:hAnsi="Times New Roman" w:eastAsia="宋体" w:cs="Times New Roman"/>
          <w:color w:val="auto"/>
          <w:sz w:val="24"/>
          <w:szCs w:val="24"/>
        </w:rPr>
        <w:t>5</w:t>
      </w:r>
      <w:r>
        <w:rPr>
          <w:rFonts w:ascii="Times New Roman" w:hAnsi="Times New Roman" w:eastAsia="宋体" w:cs="Times New Roman"/>
          <w:color w:val="auto"/>
          <w:sz w:val="24"/>
          <w:szCs w:val="24"/>
        </w:rPr>
        <w:t>ug/</w:t>
      </w:r>
      <w:r>
        <w:rPr>
          <w:rFonts w:hint="eastAsia" w:ascii="Times New Roman" w:hAnsi="Times New Roman" w:eastAsia="宋体" w:cs="Times New Roman"/>
          <w:color w:val="auto"/>
          <w:sz w:val="24"/>
          <w:szCs w:val="24"/>
          <w:lang w:eastAsia="zh-CN"/>
        </w:rPr>
        <w:t>m</w:t>
      </w:r>
      <w:r>
        <w:rPr>
          <w:rFonts w:hint="eastAsia" w:ascii="Times New Roman" w:hAnsi="Times New Roman" w:eastAsia="宋体" w:cs="Times New Roman"/>
          <w:color w:val="auto"/>
          <w:sz w:val="24"/>
          <w:szCs w:val="24"/>
          <w:vertAlign w:val="superscript"/>
          <w:lang w:eastAsia="zh-CN"/>
        </w:rPr>
        <w:t>3</w:t>
      </w:r>
      <w:r>
        <w:rPr>
          <w:rFonts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rPr>
        <w:t>10</w:t>
      </w:r>
      <w:r>
        <w:rPr>
          <w:rFonts w:ascii="Times New Roman" w:hAnsi="Times New Roman" w:eastAsia="宋体" w:cs="Times New Roman"/>
          <w:color w:val="auto"/>
          <w:sz w:val="24"/>
          <w:szCs w:val="24"/>
        </w:rPr>
        <w:t>ug/</w:t>
      </w:r>
      <w:r>
        <w:rPr>
          <w:rFonts w:hint="eastAsia" w:ascii="Times New Roman" w:hAnsi="Times New Roman" w:eastAsia="宋体" w:cs="Times New Roman"/>
          <w:color w:val="auto"/>
          <w:sz w:val="24"/>
          <w:szCs w:val="24"/>
          <w:lang w:eastAsia="zh-CN"/>
        </w:rPr>
        <w:t>m</w:t>
      </w:r>
      <w:r>
        <w:rPr>
          <w:rFonts w:hint="eastAsia" w:ascii="Times New Roman" w:hAnsi="Times New Roman" w:eastAsia="宋体" w:cs="Times New Roman"/>
          <w:color w:val="auto"/>
          <w:sz w:val="24"/>
          <w:szCs w:val="24"/>
          <w:vertAlign w:val="superscript"/>
          <w:lang w:eastAsia="zh-CN"/>
        </w:rPr>
        <w:t>3</w:t>
      </w:r>
      <w:r>
        <w:rPr>
          <w:rFonts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rPr>
        <w:t>48</w:t>
      </w:r>
      <w:r>
        <w:rPr>
          <w:rFonts w:ascii="Times New Roman" w:hAnsi="Times New Roman" w:eastAsia="宋体" w:cs="Times New Roman"/>
          <w:color w:val="auto"/>
          <w:sz w:val="24"/>
          <w:szCs w:val="24"/>
        </w:rPr>
        <w:t>ug/</w:t>
      </w:r>
      <w:r>
        <w:rPr>
          <w:rFonts w:hint="eastAsia" w:ascii="Times New Roman" w:hAnsi="Times New Roman" w:eastAsia="宋体" w:cs="Times New Roman"/>
          <w:color w:val="auto"/>
          <w:sz w:val="24"/>
          <w:szCs w:val="24"/>
          <w:lang w:eastAsia="zh-CN"/>
        </w:rPr>
        <w:t>m</w:t>
      </w:r>
      <w:r>
        <w:rPr>
          <w:rFonts w:hint="eastAsia" w:ascii="Times New Roman" w:hAnsi="Times New Roman" w:eastAsia="宋体" w:cs="Times New Roman"/>
          <w:color w:val="auto"/>
          <w:sz w:val="24"/>
          <w:szCs w:val="24"/>
          <w:vertAlign w:val="superscript"/>
          <w:lang w:eastAsia="zh-CN"/>
        </w:rPr>
        <w:t>3</w:t>
      </w:r>
      <w:r>
        <w:rPr>
          <w:rFonts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rPr>
        <w:t>31</w:t>
      </w:r>
      <w:r>
        <w:rPr>
          <w:rFonts w:ascii="Times New Roman" w:hAnsi="Times New Roman" w:eastAsia="宋体" w:cs="Times New Roman"/>
          <w:color w:val="auto"/>
          <w:sz w:val="24"/>
          <w:szCs w:val="24"/>
        </w:rPr>
        <w:t>ug/</w:t>
      </w:r>
      <w:r>
        <w:rPr>
          <w:rFonts w:hint="eastAsia" w:ascii="Times New Roman" w:hAnsi="Times New Roman" w:eastAsia="宋体" w:cs="Times New Roman"/>
          <w:color w:val="auto"/>
          <w:sz w:val="24"/>
          <w:szCs w:val="24"/>
          <w:lang w:eastAsia="zh-CN"/>
        </w:rPr>
        <w:t>m</w:t>
      </w:r>
      <w:r>
        <w:rPr>
          <w:rFonts w:hint="eastAsia" w:ascii="Times New Roman" w:hAnsi="Times New Roman" w:eastAsia="宋体" w:cs="Times New Roman"/>
          <w:color w:val="auto"/>
          <w:sz w:val="24"/>
          <w:szCs w:val="24"/>
          <w:vertAlign w:val="superscript"/>
          <w:lang w:eastAsia="zh-CN"/>
        </w:rPr>
        <w:t>3</w:t>
      </w:r>
      <w:r>
        <w:rPr>
          <w:rFonts w:ascii="Times New Roman" w:hAnsi="Times New Roman" w:eastAsia="宋体" w:cs="Times New Roman"/>
          <w:color w:val="auto"/>
          <w:sz w:val="24"/>
          <w:szCs w:val="24"/>
        </w:rPr>
        <w:t>；CO 24小时平均第9</w:t>
      </w:r>
      <w:r>
        <w:rPr>
          <w:rFonts w:hint="eastAsia" w:ascii="Times New Roman" w:hAnsi="Times New Roman" w:eastAsia="宋体" w:cs="Times New Roman"/>
          <w:color w:val="auto"/>
          <w:sz w:val="24"/>
          <w:szCs w:val="24"/>
        </w:rPr>
        <w:t>5</w:t>
      </w:r>
      <w:r>
        <w:rPr>
          <w:rFonts w:ascii="Times New Roman" w:hAnsi="Times New Roman" w:eastAsia="宋体" w:cs="Times New Roman"/>
          <w:color w:val="auto"/>
          <w:sz w:val="24"/>
          <w:szCs w:val="24"/>
        </w:rPr>
        <w:t>百分位数为</w:t>
      </w:r>
      <w:r>
        <w:rPr>
          <w:rFonts w:hint="eastAsia" w:ascii="Times New Roman" w:hAnsi="Times New Roman" w:eastAsia="宋体" w:cs="Times New Roman"/>
          <w:color w:val="auto"/>
          <w:sz w:val="24"/>
          <w:szCs w:val="24"/>
        </w:rPr>
        <w:t>0.8</w:t>
      </w:r>
      <w:r>
        <w:rPr>
          <w:rFonts w:ascii="Times New Roman" w:hAnsi="Times New Roman" w:eastAsia="宋体" w:cs="Times New Roman"/>
          <w:color w:val="auto"/>
          <w:sz w:val="24"/>
          <w:szCs w:val="24"/>
        </w:rPr>
        <w:t>mg/</w:t>
      </w:r>
      <w:r>
        <w:rPr>
          <w:rFonts w:hint="eastAsia" w:ascii="Times New Roman" w:hAnsi="Times New Roman" w:eastAsia="宋体" w:cs="Times New Roman"/>
          <w:color w:val="auto"/>
          <w:sz w:val="24"/>
          <w:szCs w:val="24"/>
          <w:lang w:eastAsia="zh-CN"/>
        </w:rPr>
        <w:t>m</w:t>
      </w:r>
      <w:r>
        <w:rPr>
          <w:rFonts w:hint="eastAsia" w:ascii="Times New Roman" w:hAnsi="Times New Roman" w:eastAsia="宋体" w:cs="Times New Roman"/>
          <w:color w:val="auto"/>
          <w:sz w:val="24"/>
          <w:szCs w:val="24"/>
          <w:vertAlign w:val="superscript"/>
          <w:lang w:eastAsia="zh-CN"/>
        </w:rPr>
        <w:t>3</w:t>
      </w:r>
      <w:r>
        <w:rPr>
          <w:rFonts w:ascii="Times New Roman" w:hAnsi="Times New Roman" w:eastAsia="宋体" w:cs="Times New Roman"/>
          <w:color w:val="auto"/>
          <w:sz w:val="24"/>
          <w:szCs w:val="24"/>
        </w:rPr>
        <w:t>，O</w:t>
      </w:r>
      <w:r>
        <w:rPr>
          <w:rFonts w:ascii="Times New Roman" w:hAnsi="Times New Roman" w:eastAsia="宋体" w:cs="Times New Roman"/>
          <w:color w:val="auto"/>
          <w:sz w:val="24"/>
          <w:szCs w:val="24"/>
          <w:vertAlign w:val="subscript"/>
        </w:rPr>
        <w:t>3</w:t>
      </w:r>
      <w:r>
        <w:rPr>
          <w:rFonts w:ascii="Times New Roman" w:hAnsi="Times New Roman" w:eastAsia="宋体" w:cs="Times New Roman"/>
          <w:color w:val="auto"/>
          <w:sz w:val="24"/>
          <w:szCs w:val="24"/>
        </w:rPr>
        <w:t>日最大8小时平均第90百分位数为</w:t>
      </w:r>
      <w:r>
        <w:rPr>
          <w:rFonts w:hint="eastAsia" w:ascii="Times New Roman" w:hAnsi="Times New Roman" w:eastAsia="宋体" w:cs="Times New Roman"/>
          <w:color w:val="auto"/>
          <w:sz w:val="24"/>
          <w:szCs w:val="24"/>
        </w:rPr>
        <w:t>136</w:t>
      </w:r>
      <w:r>
        <w:rPr>
          <w:rFonts w:ascii="Times New Roman" w:hAnsi="Times New Roman" w:eastAsia="宋体" w:cs="Times New Roman"/>
          <w:color w:val="auto"/>
          <w:sz w:val="24"/>
          <w:szCs w:val="24"/>
        </w:rPr>
        <w:t>ug/</w:t>
      </w:r>
      <w:r>
        <w:rPr>
          <w:rFonts w:hint="eastAsia" w:ascii="Times New Roman" w:hAnsi="Times New Roman" w:eastAsia="宋体" w:cs="Times New Roman"/>
          <w:color w:val="auto"/>
          <w:sz w:val="24"/>
          <w:szCs w:val="24"/>
          <w:lang w:eastAsia="zh-CN"/>
        </w:rPr>
        <w:t>m</w:t>
      </w:r>
      <w:r>
        <w:rPr>
          <w:rFonts w:hint="eastAsia" w:ascii="Times New Roman" w:hAnsi="Times New Roman" w:eastAsia="宋体" w:cs="Times New Roman"/>
          <w:color w:val="auto"/>
          <w:sz w:val="24"/>
          <w:szCs w:val="24"/>
          <w:vertAlign w:val="superscript"/>
          <w:lang w:eastAsia="zh-CN"/>
        </w:rPr>
        <w:t>3</w:t>
      </w:r>
      <w:r>
        <w:rPr>
          <w:rFonts w:hint="eastAsia" w:ascii="Times New Roman" w:hAnsi="Times New Roman" w:eastAsia="宋体" w:cs="Times New Roman"/>
          <w:color w:val="auto"/>
          <w:sz w:val="24"/>
          <w:szCs w:val="24"/>
        </w:rPr>
        <w:t>，</w:t>
      </w:r>
      <w:r>
        <w:rPr>
          <w:rFonts w:ascii="Times New Roman" w:hAnsi="Times New Roman" w:eastAsia="宋体" w:cs="Times New Roman"/>
          <w:color w:val="auto"/>
          <w:sz w:val="24"/>
          <w:szCs w:val="24"/>
        </w:rPr>
        <w:t>P</w:t>
      </w:r>
      <w:r>
        <w:rPr>
          <w:rFonts w:hint="eastAsia" w:ascii="Times New Roman" w:hAnsi="Times New Roman" w:eastAsia="宋体" w:cs="Times New Roman"/>
          <w:color w:val="auto"/>
          <w:sz w:val="24"/>
          <w:szCs w:val="24"/>
          <w:lang w:eastAsia="zh-CN"/>
        </w:rPr>
        <w:t>m</w:t>
      </w:r>
      <w:r>
        <w:rPr>
          <w:rFonts w:hint="eastAsia" w:ascii="Times New Roman" w:hAnsi="Times New Roman" w:eastAsia="宋体" w:cs="Times New Roman"/>
          <w:color w:val="auto"/>
          <w:sz w:val="24"/>
          <w:szCs w:val="24"/>
          <w:vertAlign w:val="subscript"/>
          <w:lang w:eastAsia="zh-CN"/>
        </w:rPr>
        <w:t>2</w:t>
      </w:r>
      <w:r>
        <w:rPr>
          <w:rFonts w:ascii="Times New Roman" w:hAnsi="Times New Roman" w:eastAsia="宋体" w:cs="Times New Roman"/>
          <w:color w:val="auto"/>
          <w:sz w:val="24"/>
          <w:szCs w:val="24"/>
          <w:vertAlign w:val="subscript"/>
        </w:rPr>
        <w:t>.5</w:t>
      </w:r>
      <w:r>
        <w:rPr>
          <w:rFonts w:hint="eastAsia" w:ascii="Times New Roman" w:hAnsi="Times New Roman" w:eastAsia="宋体" w:cs="Times New Roman"/>
          <w:color w:val="auto"/>
          <w:sz w:val="24"/>
          <w:szCs w:val="24"/>
          <w:vertAlign w:val="subscript"/>
        </w:rPr>
        <w:t xml:space="preserve"> </w:t>
      </w:r>
      <w:r>
        <w:rPr>
          <w:rFonts w:hint="eastAsia" w:ascii="Times New Roman" w:hAnsi="Times New Roman" w:eastAsia="宋体" w:cs="Times New Roman"/>
          <w:color w:val="auto"/>
          <w:sz w:val="24"/>
          <w:szCs w:val="24"/>
        </w:rPr>
        <w:t>24h平均第95百分位数</w:t>
      </w:r>
      <w:r>
        <w:rPr>
          <w:rFonts w:ascii="Times New Roman" w:hAnsi="Times New Roman" w:eastAsia="宋体" w:cs="Times New Roman"/>
          <w:color w:val="auto"/>
          <w:sz w:val="24"/>
          <w:szCs w:val="24"/>
        </w:rPr>
        <w:t>为</w:t>
      </w:r>
      <w:r>
        <w:rPr>
          <w:rFonts w:hint="eastAsia" w:ascii="Times New Roman" w:hAnsi="Times New Roman" w:eastAsia="宋体" w:cs="Times New Roman"/>
          <w:color w:val="auto"/>
          <w:sz w:val="24"/>
          <w:szCs w:val="24"/>
        </w:rPr>
        <w:t>89</w:t>
      </w:r>
      <w:r>
        <w:rPr>
          <w:rFonts w:ascii="Times New Roman" w:hAnsi="Times New Roman" w:eastAsia="宋体" w:cs="Times New Roman"/>
          <w:color w:val="auto"/>
          <w:sz w:val="24"/>
          <w:szCs w:val="24"/>
        </w:rPr>
        <w:t>ug/</w:t>
      </w:r>
      <w:r>
        <w:rPr>
          <w:rFonts w:hint="eastAsia" w:ascii="Times New Roman" w:hAnsi="Times New Roman" w:eastAsia="宋体" w:cs="Times New Roman"/>
          <w:color w:val="auto"/>
          <w:sz w:val="24"/>
          <w:szCs w:val="24"/>
          <w:lang w:eastAsia="zh-CN"/>
        </w:rPr>
        <w:t>m</w:t>
      </w:r>
      <w:r>
        <w:rPr>
          <w:rFonts w:hint="eastAsia" w:ascii="Times New Roman" w:hAnsi="Times New Roman" w:eastAsia="宋体" w:cs="Times New Roman"/>
          <w:color w:val="auto"/>
          <w:sz w:val="24"/>
          <w:szCs w:val="24"/>
          <w:vertAlign w:val="superscript"/>
          <w:lang w:eastAsia="zh-CN"/>
        </w:rPr>
        <w:t>3</w:t>
      </w:r>
      <w:r>
        <w:rPr>
          <w:rFonts w:hint="eastAsia" w:ascii="Times New Roman" w:hAnsi="Times New Roman" w:eastAsia="宋体" w:cs="Times New Roman"/>
          <w:color w:val="auto"/>
          <w:sz w:val="24"/>
          <w:szCs w:val="24"/>
        </w:rPr>
        <w:t>，</w:t>
      </w:r>
      <w:r>
        <w:rPr>
          <w:rFonts w:ascii="Times New Roman" w:hAnsi="Times New Roman" w:eastAsia="宋体" w:cs="Times New Roman"/>
          <w:color w:val="auto"/>
          <w:sz w:val="24"/>
          <w:szCs w:val="24"/>
        </w:rPr>
        <w:t>PM</w:t>
      </w:r>
      <w:r>
        <w:rPr>
          <w:rFonts w:hint="eastAsia" w:ascii="Times New Roman" w:hAnsi="Times New Roman" w:eastAsia="宋体" w:cs="Times New Roman"/>
          <w:color w:val="auto"/>
          <w:sz w:val="24"/>
          <w:szCs w:val="24"/>
          <w:vertAlign w:val="subscript"/>
        </w:rPr>
        <w:t xml:space="preserve">10 </w:t>
      </w:r>
      <w:r>
        <w:rPr>
          <w:rFonts w:hint="eastAsia" w:ascii="Times New Roman" w:hAnsi="Times New Roman" w:eastAsia="宋体" w:cs="Times New Roman"/>
          <w:color w:val="auto"/>
          <w:sz w:val="24"/>
          <w:szCs w:val="24"/>
        </w:rPr>
        <w:t>24h平均第95百分位数</w:t>
      </w:r>
      <w:r>
        <w:rPr>
          <w:rFonts w:ascii="Times New Roman" w:hAnsi="Times New Roman" w:eastAsia="宋体" w:cs="Times New Roman"/>
          <w:color w:val="auto"/>
          <w:sz w:val="24"/>
          <w:szCs w:val="24"/>
        </w:rPr>
        <w:t>为11</w:t>
      </w:r>
      <w:r>
        <w:rPr>
          <w:rFonts w:hint="eastAsia" w:ascii="Times New Roman" w:hAnsi="Times New Roman" w:eastAsia="宋体" w:cs="Times New Roman"/>
          <w:color w:val="auto"/>
          <w:sz w:val="24"/>
          <w:szCs w:val="24"/>
        </w:rPr>
        <w:t>9</w:t>
      </w:r>
      <w:r>
        <w:rPr>
          <w:rFonts w:ascii="Times New Roman" w:hAnsi="Times New Roman" w:eastAsia="宋体" w:cs="Times New Roman"/>
          <w:color w:val="auto"/>
          <w:sz w:val="24"/>
          <w:szCs w:val="24"/>
        </w:rPr>
        <w:t>ug/</w:t>
      </w:r>
      <w:r>
        <w:rPr>
          <w:rFonts w:hint="eastAsia" w:ascii="Times New Roman" w:hAnsi="Times New Roman" w:eastAsia="宋体" w:cs="Times New Roman"/>
          <w:color w:val="auto"/>
          <w:sz w:val="24"/>
          <w:szCs w:val="24"/>
          <w:lang w:eastAsia="zh-CN"/>
        </w:rPr>
        <w:t>m</w:t>
      </w:r>
      <w:r>
        <w:rPr>
          <w:rFonts w:hint="eastAsia" w:ascii="Times New Roman" w:hAnsi="Times New Roman" w:eastAsia="宋体" w:cs="Times New Roman"/>
          <w:color w:val="auto"/>
          <w:sz w:val="24"/>
          <w:szCs w:val="24"/>
          <w:vertAlign w:val="superscript"/>
          <w:lang w:eastAsia="zh-CN"/>
        </w:rPr>
        <w:t>3</w:t>
      </w:r>
      <w:r>
        <w:rPr>
          <w:rFonts w:hint="eastAsia" w:ascii="Times New Roman" w:hAnsi="Times New Roman" w:eastAsia="宋体" w:cs="Times New Roman"/>
          <w:color w:val="auto"/>
          <w:sz w:val="24"/>
          <w:szCs w:val="24"/>
        </w:rPr>
        <w:t>，除</w:t>
      </w:r>
      <w:r>
        <w:rPr>
          <w:rFonts w:ascii="Times New Roman" w:hAnsi="Times New Roman" w:eastAsia="宋体" w:cs="Times New Roman"/>
          <w:color w:val="auto"/>
          <w:sz w:val="24"/>
          <w:szCs w:val="24"/>
        </w:rPr>
        <w:t>P</w:t>
      </w:r>
      <w:r>
        <w:rPr>
          <w:rFonts w:hint="eastAsia" w:ascii="Times New Roman" w:hAnsi="Times New Roman" w:eastAsia="宋体" w:cs="Times New Roman"/>
          <w:color w:val="auto"/>
          <w:sz w:val="24"/>
          <w:szCs w:val="24"/>
          <w:lang w:eastAsia="zh-CN"/>
        </w:rPr>
        <w:t>m</w:t>
      </w:r>
      <w:r>
        <w:rPr>
          <w:rFonts w:hint="eastAsia" w:ascii="Times New Roman" w:hAnsi="Times New Roman" w:eastAsia="宋体" w:cs="Times New Roman"/>
          <w:color w:val="auto"/>
          <w:sz w:val="24"/>
          <w:szCs w:val="24"/>
          <w:vertAlign w:val="subscript"/>
          <w:lang w:eastAsia="zh-CN"/>
        </w:rPr>
        <w:t>2</w:t>
      </w:r>
      <w:r>
        <w:rPr>
          <w:rFonts w:ascii="Times New Roman" w:hAnsi="Times New Roman" w:eastAsia="宋体" w:cs="Times New Roman"/>
          <w:color w:val="auto"/>
          <w:sz w:val="24"/>
          <w:szCs w:val="24"/>
          <w:vertAlign w:val="subscript"/>
        </w:rPr>
        <w:t xml:space="preserve">.5 </w:t>
      </w:r>
      <w:r>
        <w:rPr>
          <w:rFonts w:ascii="Times New Roman" w:hAnsi="Times New Roman" w:eastAsia="宋体" w:cs="Times New Roman"/>
          <w:color w:val="auto"/>
          <w:sz w:val="24"/>
          <w:szCs w:val="24"/>
        </w:rPr>
        <w:t>24h平均第95百分位数</w:t>
      </w:r>
      <w:r>
        <w:rPr>
          <w:rFonts w:hint="eastAsia" w:ascii="Times New Roman" w:hAnsi="Times New Roman" w:eastAsia="宋体" w:cs="Times New Roman"/>
          <w:color w:val="auto"/>
          <w:sz w:val="24"/>
          <w:szCs w:val="24"/>
        </w:rPr>
        <w:t>超标外，其余因子均满足</w:t>
      </w:r>
      <w:r>
        <w:rPr>
          <w:rFonts w:ascii="Times New Roman" w:hAnsi="Times New Roman" w:eastAsia="宋体" w:cs="Times New Roman"/>
          <w:color w:val="auto"/>
          <w:sz w:val="24"/>
          <w:szCs w:val="24"/>
        </w:rPr>
        <w:t>《环境空气质量标准》（GB3095-2012）中二级标准限值。</w:t>
      </w:r>
      <w:r>
        <w:rPr>
          <w:rFonts w:hint="eastAsia" w:ascii="Times New Roman" w:hAnsi="Times New Roman" w:eastAsia="宋体" w:cs="Times New Roman"/>
          <w:color w:val="auto"/>
          <w:sz w:val="24"/>
          <w:szCs w:val="24"/>
        </w:rPr>
        <w:t>因此</w:t>
      </w:r>
      <w:r>
        <w:rPr>
          <w:rFonts w:ascii="Times New Roman" w:hAnsi="Times New Roman" w:eastAsia="宋体" w:cs="Times New Roman"/>
          <w:color w:val="auto"/>
          <w:sz w:val="24"/>
          <w:szCs w:val="24"/>
        </w:rPr>
        <w:t>，项目所在区域为</w:t>
      </w:r>
      <w:r>
        <w:rPr>
          <w:rFonts w:hint="eastAsia" w:ascii="Times New Roman" w:hAnsi="Times New Roman" w:eastAsia="宋体" w:cs="Times New Roman"/>
          <w:color w:val="auto"/>
          <w:sz w:val="24"/>
          <w:szCs w:val="24"/>
        </w:rPr>
        <w:t>环境空气质量不</w:t>
      </w:r>
      <w:r>
        <w:rPr>
          <w:rFonts w:ascii="Times New Roman" w:hAnsi="Times New Roman" w:eastAsia="宋体" w:cs="Times New Roman"/>
          <w:color w:val="auto"/>
          <w:sz w:val="24"/>
          <w:szCs w:val="24"/>
        </w:rPr>
        <w:t>达标区。</w:t>
      </w:r>
    </w:p>
    <w:p w14:paraId="5B9CB212">
      <w:pPr>
        <w:spacing w:line="360" w:lineRule="auto"/>
        <w:ind w:firstLine="480" w:firstLineChars="200"/>
        <w:rPr>
          <w:rFonts w:hint="eastAsia" w:ascii="Times New Roman" w:hAnsi="Times New Roman" w:eastAsia="宋体" w:cs="宋体"/>
          <w:color w:val="auto"/>
          <w:sz w:val="24"/>
          <w:szCs w:val="24"/>
        </w:rPr>
      </w:pPr>
      <w:r>
        <w:rPr>
          <w:rFonts w:ascii="Times New Roman" w:hAnsi="Times New Roman" w:eastAsia="宋体" w:cs="宋体"/>
          <w:color w:val="auto"/>
          <w:sz w:val="24"/>
          <w:szCs w:val="24"/>
        </w:rPr>
        <w:t>牛家老屋一类区监测因子</w:t>
      </w:r>
      <w:r>
        <w:rPr>
          <w:rFonts w:hint="eastAsia" w:ascii="Times New Roman" w:hAnsi="Times New Roman" w:eastAsia="宋体" w:cs="宋体"/>
          <w:color w:val="auto"/>
          <w:sz w:val="24"/>
          <w:szCs w:val="24"/>
          <w:lang w:val="en-US" w:eastAsia="zh-CN"/>
        </w:rPr>
        <w:t>TSP</w:t>
      </w:r>
      <w:r>
        <w:rPr>
          <w:rFonts w:ascii="Times New Roman" w:hAnsi="Times New Roman" w:eastAsia="宋体" w:cs="宋体"/>
          <w:color w:val="auto"/>
          <w:sz w:val="24"/>
          <w:szCs w:val="24"/>
        </w:rPr>
        <w:t>均满足《环境空气质量标准》（GB3095-2012）中的一级标准；氨、硫化氢、监测值浓度均满足《环境影响评价技术导则 大气环境》（HJ2.2-2018）附录D其他污染物空气质量浓度参考限值；</w:t>
      </w:r>
      <w:r>
        <w:rPr>
          <w:rFonts w:hint="eastAsia" w:ascii="Times New Roman" w:hAnsi="Times New Roman" w:eastAsia="宋体" w:cs="宋体"/>
          <w:color w:val="auto"/>
          <w:sz w:val="24"/>
          <w:szCs w:val="24"/>
        </w:rPr>
        <w:t>非甲烷总烃满足《大气污染物综合排放标准详解》中的限值。</w:t>
      </w:r>
    </w:p>
    <w:p w14:paraId="610E6120">
      <w:pPr>
        <w:spacing w:line="360" w:lineRule="auto"/>
        <w:ind w:firstLine="482" w:firstLineChars="200"/>
        <w:rPr>
          <w:rFonts w:ascii="Times New Roman" w:hAnsi="Times New Roman" w:eastAsia="宋体" w:cs="Times New Roman"/>
          <w:b/>
          <w:bCs/>
          <w:color w:val="auto"/>
          <w:kern w:val="0"/>
          <w:sz w:val="24"/>
          <w:szCs w:val="24"/>
        </w:rPr>
      </w:pPr>
      <w:r>
        <w:rPr>
          <w:rFonts w:hint="eastAsia" w:ascii="Times New Roman" w:hAnsi="Times New Roman" w:eastAsia="宋体" w:cs="Times New Roman"/>
          <w:b/>
          <w:bCs/>
          <w:color w:val="auto"/>
          <w:kern w:val="0"/>
          <w:sz w:val="24"/>
          <w:szCs w:val="24"/>
        </w:rPr>
        <w:t>2、地表水环境</w:t>
      </w:r>
    </w:p>
    <w:p w14:paraId="7FB0EB9A">
      <w:pPr>
        <w:spacing w:line="360" w:lineRule="auto"/>
        <w:ind w:firstLine="480" w:firstLineChars="200"/>
        <w:rPr>
          <w:rFonts w:ascii="Times New Roman" w:hAnsi="Times New Roman" w:eastAsia="宋体" w:cs="Times New Roman"/>
          <w:color w:val="auto"/>
          <w:kern w:val="0"/>
          <w:sz w:val="24"/>
          <w:szCs w:val="24"/>
        </w:rPr>
      </w:pPr>
      <w:r>
        <w:rPr>
          <w:rFonts w:hint="eastAsia" w:ascii="Times New Roman" w:hAnsi="Times New Roman" w:eastAsia="宋体" w:cs="宋体"/>
          <w:color w:val="auto"/>
          <w:sz w:val="24"/>
          <w:szCs w:val="24"/>
        </w:rPr>
        <w:t>2023年12月津市段澧水干流水质均能满足《地表水环境质量标准》（GB3838-2002）Ⅲ类水质标准要求，区域地表水环境质量状况良好。</w:t>
      </w:r>
      <w:r>
        <w:rPr>
          <w:rFonts w:hint="eastAsia" w:ascii="Times New Roman" w:hAnsi="Times New Roman" w:eastAsia="宋体" w:cs="Times New Roman"/>
          <w:color w:val="auto"/>
          <w:sz w:val="24"/>
          <w:szCs w:val="24"/>
        </w:rPr>
        <w:t>因此，项目所在水环境控制单元为达标区。</w:t>
      </w:r>
    </w:p>
    <w:p w14:paraId="414B7120">
      <w:pPr>
        <w:spacing w:line="360" w:lineRule="auto"/>
        <w:ind w:firstLine="480" w:firstLineChars="200"/>
        <w:rPr>
          <w:rFonts w:ascii="Times New Roman" w:hAnsi="Times New Roman" w:eastAsia="宋体" w:cs="宋体"/>
          <w:color w:val="auto"/>
          <w:sz w:val="24"/>
          <w:szCs w:val="24"/>
        </w:rPr>
      </w:pPr>
      <w:r>
        <w:rPr>
          <w:rFonts w:hint="eastAsia" w:ascii="Times New Roman" w:hAnsi="Times New Roman" w:eastAsia="宋体" w:cs="宋体"/>
          <w:color w:val="auto"/>
          <w:sz w:val="24"/>
          <w:szCs w:val="24"/>
        </w:rPr>
        <w:t>团湖张家垱、团湖易家垱、胥家湖监测断面的总磷出现超标，为附近居民耕种农作物的污染导致，其余点位各因子均满足《地表水环境质量标准》（GB3838-2002）Ⅲ类水质标准。</w:t>
      </w:r>
    </w:p>
    <w:p w14:paraId="063FADF9">
      <w:pPr>
        <w:spacing w:line="360" w:lineRule="auto"/>
        <w:ind w:firstLine="482" w:firstLineChars="200"/>
        <w:rPr>
          <w:rFonts w:ascii="Times New Roman" w:hAnsi="Times New Roman" w:eastAsia="宋体" w:cs="Times New Roman"/>
          <w:b/>
          <w:bCs/>
          <w:color w:val="auto"/>
          <w:kern w:val="0"/>
          <w:sz w:val="24"/>
          <w:szCs w:val="24"/>
        </w:rPr>
      </w:pPr>
      <w:r>
        <w:rPr>
          <w:rFonts w:hint="eastAsia" w:ascii="Times New Roman" w:hAnsi="Times New Roman" w:eastAsia="宋体" w:cs="Times New Roman"/>
          <w:b/>
          <w:bCs/>
          <w:color w:val="auto"/>
          <w:kern w:val="0"/>
          <w:sz w:val="24"/>
          <w:szCs w:val="24"/>
        </w:rPr>
        <w:t>3、地下水环境</w:t>
      </w:r>
    </w:p>
    <w:p w14:paraId="5401D8A9">
      <w:pPr>
        <w:spacing w:line="360" w:lineRule="auto"/>
        <w:ind w:firstLine="480" w:firstLineChars="200"/>
        <w:rPr>
          <w:rFonts w:ascii="Times New Roman" w:hAnsi="Times New Roman" w:eastAsia="宋体" w:cs="宋体"/>
          <w:color w:val="auto"/>
          <w:sz w:val="24"/>
          <w:szCs w:val="24"/>
        </w:rPr>
      </w:pPr>
      <w:r>
        <w:rPr>
          <w:rFonts w:hint="eastAsia" w:ascii="Times New Roman" w:hAnsi="Times New Roman" w:eastAsia="宋体" w:cs="宋体"/>
          <w:color w:val="auto"/>
          <w:sz w:val="24"/>
          <w:szCs w:val="24"/>
        </w:rPr>
        <w:t>项目区域地下水</w:t>
      </w:r>
      <w:r>
        <w:rPr>
          <w:rFonts w:hint="eastAsia" w:ascii="Times New Roman" w:hAnsi="Times New Roman" w:eastAsia="宋体" w:cs="宋体"/>
          <w:color w:val="auto"/>
          <w:sz w:val="24"/>
          <w:szCs w:val="24"/>
          <w:lang w:val="en-US" w:eastAsia="zh-CN"/>
        </w:rPr>
        <w:t>锰</w:t>
      </w:r>
      <w:r>
        <w:rPr>
          <w:rFonts w:hint="eastAsia" w:ascii="Times New Roman" w:hAnsi="Times New Roman" w:eastAsia="宋体" w:cs="宋体"/>
          <w:color w:val="auto"/>
          <w:sz w:val="24"/>
          <w:szCs w:val="24"/>
        </w:rPr>
        <w:t>存在超标的情况，为区域地下水普遍现象，其余各监测点监测因子均满足《地下水质量标准》（GB/T 14848-2017）中</w:t>
      </w:r>
      <w:r>
        <w:rPr>
          <w:rFonts w:hint="eastAsia" w:ascii="Times New Roman" w:hAnsi="Times New Roman" w:eastAsia="宋体" w:cs="宋体"/>
          <w:color w:val="auto"/>
          <w:sz w:val="24"/>
          <w:szCs w:val="24"/>
        </w:rPr>
        <w:fldChar w:fldCharType="begin"/>
      </w:r>
      <w:r>
        <w:rPr>
          <w:rFonts w:hint="eastAsia" w:ascii="Times New Roman" w:hAnsi="Times New Roman" w:eastAsia="宋体" w:cs="宋体"/>
          <w:color w:val="auto"/>
          <w:sz w:val="24"/>
          <w:szCs w:val="24"/>
        </w:rPr>
        <w:instrText xml:space="preserve"> = 3 \* ROMAN </w:instrText>
      </w:r>
      <w:r>
        <w:rPr>
          <w:rFonts w:hint="eastAsia" w:ascii="Times New Roman" w:hAnsi="Times New Roman" w:eastAsia="宋体" w:cs="宋体"/>
          <w:color w:val="auto"/>
          <w:sz w:val="24"/>
          <w:szCs w:val="24"/>
        </w:rPr>
        <w:fldChar w:fldCharType="separate"/>
      </w:r>
      <w:r>
        <w:rPr>
          <w:rFonts w:hint="eastAsia" w:ascii="Times New Roman" w:hAnsi="Times New Roman" w:eastAsia="宋体" w:cs="宋体"/>
          <w:color w:val="auto"/>
          <w:sz w:val="24"/>
          <w:szCs w:val="24"/>
        </w:rPr>
        <w:t>III</w:t>
      </w:r>
      <w:r>
        <w:rPr>
          <w:rFonts w:hint="eastAsia" w:ascii="Times New Roman" w:hAnsi="Times New Roman" w:eastAsia="宋体" w:cs="宋体"/>
          <w:color w:val="auto"/>
          <w:sz w:val="24"/>
          <w:szCs w:val="24"/>
        </w:rPr>
        <w:fldChar w:fldCharType="end"/>
      </w:r>
      <w:r>
        <w:rPr>
          <w:rFonts w:hint="eastAsia" w:ascii="Times New Roman" w:hAnsi="Times New Roman" w:eastAsia="宋体" w:cs="宋体"/>
          <w:color w:val="auto"/>
          <w:sz w:val="24"/>
          <w:szCs w:val="24"/>
        </w:rPr>
        <w:t>类标准。</w:t>
      </w:r>
    </w:p>
    <w:p w14:paraId="7FD068B5">
      <w:pPr>
        <w:spacing w:line="360" w:lineRule="auto"/>
        <w:ind w:firstLine="482" w:firstLineChars="200"/>
        <w:rPr>
          <w:rFonts w:ascii="Times New Roman" w:hAnsi="Times New Roman" w:eastAsia="宋体" w:cs="Times New Roman"/>
          <w:b/>
          <w:bCs/>
          <w:color w:val="auto"/>
          <w:kern w:val="0"/>
          <w:sz w:val="24"/>
          <w:szCs w:val="24"/>
        </w:rPr>
      </w:pPr>
      <w:r>
        <w:rPr>
          <w:rFonts w:hint="eastAsia" w:ascii="Times New Roman" w:hAnsi="Times New Roman" w:eastAsia="宋体" w:cs="Times New Roman"/>
          <w:b/>
          <w:bCs/>
          <w:color w:val="auto"/>
          <w:kern w:val="0"/>
          <w:sz w:val="24"/>
          <w:szCs w:val="24"/>
          <w:lang w:val="en-US" w:eastAsia="zh-CN"/>
        </w:rPr>
        <w:t>4</w:t>
      </w:r>
      <w:r>
        <w:rPr>
          <w:rFonts w:hint="eastAsia" w:ascii="Times New Roman" w:hAnsi="Times New Roman" w:eastAsia="宋体" w:cs="Times New Roman"/>
          <w:b/>
          <w:bCs/>
          <w:color w:val="auto"/>
          <w:kern w:val="0"/>
          <w:sz w:val="24"/>
          <w:szCs w:val="24"/>
        </w:rPr>
        <w:t>、声环境</w:t>
      </w:r>
    </w:p>
    <w:p w14:paraId="38B6E675">
      <w:pPr>
        <w:spacing w:line="360" w:lineRule="auto"/>
        <w:ind w:firstLine="480" w:firstLineChars="200"/>
        <w:rPr>
          <w:rFonts w:hint="eastAsia" w:ascii="Times New Roman" w:hAnsi="Times New Roman" w:eastAsia="宋体" w:cs="Times New Roman"/>
          <w:color w:val="auto"/>
          <w:sz w:val="24"/>
          <w:szCs w:val="24"/>
        </w:rPr>
      </w:pPr>
      <w:bookmarkStart w:id="340" w:name="_Toc1748"/>
      <w:r>
        <w:rPr>
          <w:rFonts w:hint="eastAsia" w:ascii="Times New Roman" w:hAnsi="Times New Roman" w:eastAsia="宋体" w:cs="Times New Roman"/>
          <w:color w:val="auto"/>
          <w:sz w:val="24"/>
          <w:szCs w:val="24"/>
          <w:lang w:val="en-US" w:eastAsia="zh-CN"/>
        </w:rPr>
        <w:t>北侧、东侧、南侧</w:t>
      </w:r>
      <w:r>
        <w:rPr>
          <w:rFonts w:hint="eastAsia" w:ascii="Times New Roman" w:hAnsi="Times New Roman" w:eastAsia="宋体" w:cs="Times New Roman"/>
          <w:color w:val="auto"/>
          <w:sz w:val="24"/>
          <w:szCs w:val="24"/>
        </w:rPr>
        <w:t>环境监测点昼夜间噪声值均能满足《工业企业厂界环境噪声排放标准》（GB12348-2008）中3类标准，</w:t>
      </w:r>
      <w:r>
        <w:rPr>
          <w:rFonts w:hint="eastAsia" w:ascii="Times New Roman" w:hAnsi="Times New Roman" w:eastAsia="宋体" w:cs="Times New Roman"/>
          <w:color w:val="auto"/>
          <w:sz w:val="24"/>
          <w:szCs w:val="24"/>
          <w:lang w:val="en-US" w:eastAsia="zh-CN"/>
        </w:rPr>
        <w:t>西侧</w:t>
      </w:r>
      <w:r>
        <w:rPr>
          <w:rFonts w:hint="eastAsia" w:ascii="Times New Roman" w:hAnsi="Times New Roman" w:eastAsia="宋体" w:cs="Times New Roman"/>
          <w:color w:val="auto"/>
          <w:sz w:val="24"/>
          <w:szCs w:val="24"/>
        </w:rPr>
        <w:t>环境监测点昼夜间噪声值均能满足《工业企业厂界环境噪声排放标准》（GB12348-2008）中</w:t>
      </w:r>
      <w:r>
        <w:rPr>
          <w:rFonts w:hint="eastAsia" w:ascii="Times New Roman" w:hAnsi="Times New Roman" w:eastAsia="宋体" w:cs="Times New Roman"/>
          <w:color w:val="auto"/>
          <w:sz w:val="24"/>
          <w:szCs w:val="24"/>
          <w:lang w:val="en-US" w:eastAsia="zh-CN"/>
        </w:rPr>
        <w:t>4a</w:t>
      </w:r>
      <w:r>
        <w:rPr>
          <w:rFonts w:hint="eastAsia" w:ascii="Times New Roman" w:hAnsi="Times New Roman" w:eastAsia="宋体" w:cs="Times New Roman"/>
          <w:color w:val="auto"/>
          <w:sz w:val="24"/>
          <w:szCs w:val="24"/>
        </w:rPr>
        <w:t>类标准，表明区域声环境质量能满足工业区环境质量要求。</w:t>
      </w:r>
    </w:p>
    <w:p w14:paraId="3C021CC0">
      <w:pPr>
        <w:keepNext/>
        <w:keepLines/>
        <w:spacing w:before="156" w:beforeLines="50" w:after="156" w:afterLines="50" w:line="360" w:lineRule="auto"/>
        <w:outlineLvl w:val="2"/>
        <w:rPr>
          <w:rFonts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rPr>
        <w:t>11.1.5 环境影响分析</w:t>
      </w:r>
      <w:bookmarkEnd w:id="340"/>
    </w:p>
    <w:p w14:paraId="3815C299">
      <w:pPr>
        <w:spacing w:line="360" w:lineRule="auto"/>
        <w:ind w:firstLine="482" w:firstLineChars="200"/>
        <w:rPr>
          <w:rFonts w:ascii="Times New Roman" w:hAnsi="Times New Roman" w:eastAsia="宋体" w:cs="Times New Roman"/>
          <w:b/>
          <w:bCs/>
          <w:color w:val="auto"/>
          <w:kern w:val="0"/>
          <w:sz w:val="24"/>
          <w:szCs w:val="24"/>
        </w:rPr>
      </w:pPr>
      <w:r>
        <w:rPr>
          <w:rFonts w:hint="eastAsia" w:ascii="Times New Roman" w:hAnsi="Times New Roman" w:eastAsia="宋体" w:cs="Times New Roman"/>
          <w:b/>
          <w:bCs/>
          <w:color w:val="auto"/>
          <w:kern w:val="0"/>
          <w:sz w:val="24"/>
          <w:szCs w:val="24"/>
        </w:rPr>
        <w:t>1、大气环境影响分析</w:t>
      </w:r>
    </w:p>
    <w:p w14:paraId="35D7410C">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本项目所在区域环境质量现状属于</w:t>
      </w:r>
      <w:r>
        <w:rPr>
          <w:rFonts w:hint="eastAsia" w:ascii="Times New Roman" w:hAnsi="Times New Roman" w:eastAsia="宋体" w:cs="Times New Roman"/>
          <w:color w:val="auto"/>
          <w:sz w:val="24"/>
          <w:szCs w:val="24"/>
          <w:lang w:val="en-US" w:eastAsia="zh-CN"/>
        </w:rPr>
        <w:t>不</w:t>
      </w:r>
      <w:r>
        <w:rPr>
          <w:rFonts w:hint="eastAsia" w:ascii="Times New Roman" w:hAnsi="Times New Roman" w:eastAsia="宋体" w:cs="Times New Roman"/>
          <w:color w:val="auto"/>
          <w:sz w:val="24"/>
          <w:szCs w:val="24"/>
        </w:rPr>
        <w:t>达标区，根据《环境影响评价技术导则 大气环境》（HJ2.2-2018）中第10.1.2条，不达标区域的建设项目环境影响评价，当同时满足如下条件时，则认为环境影响可以接受：</w:t>
      </w:r>
    </w:p>
    <w:p w14:paraId="1DE73E8E">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（1）达标规划未包含的新增污染源建设项目，需另有替代源的削减方案；</w:t>
      </w:r>
    </w:p>
    <w:p w14:paraId="4B579538">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（2）新增污染源正常排放下污染物短期浓度贡献值的最大浓度占标率≤100%；</w:t>
      </w:r>
    </w:p>
    <w:p w14:paraId="7A0451B1">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（3）现状污染源正常排放下污染物平均浓度贡献值的最大浓度占标率≤30%；</w:t>
      </w:r>
    </w:p>
    <w:p w14:paraId="12BEF707">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4）项目环境影响符合环境功能区划或满足区域环境质量改善目标。计算的预测范围内年平均质量浓度变化率k≤-20%；对于现状达标的污染物评价，叠加后污染物浓度符合环境质量标准，对于项目排放的主要污染物仅有短期浓度限值的，叠加后的短期浓度符合环境质量标准。</w:t>
      </w:r>
    </w:p>
    <w:p w14:paraId="4317879B">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根据前述计算结果，本项目大气环境影响评价结果如下所示：</w:t>
      </w:r>
    </w:p>
    <w:p w14:paraId="78BA2AC2">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（1）本项目为达标规划未包含的新增污染源建设项目，对于不达标因子P</w:t>
      </w:r>
      <w:r>
        <w:rPr>
          <w:rFonts w:hint="eastAsia" w:ascii="Times New Roman" w:hAnsi="Times New Roman" w:eastAsia="宋体" w:cs="Times New Roman"/>
          <w:color w:val="auto"/>
          <w:sz w:val="24"/>
          <w:szCs w:val="24"/>
          <w:lang w:eastAsia="zh-CN"/>
        </w:rPr>
        <w:t>m</w:t>
      </w:r>
      <w:r>
        <w:rPr>
          <w:rFonts w:hint="eastAsia" w:ascii="Times New Roman" w:hAnsi="Times New Roman" w:eastAsia="宋体" w:cs="Times New Roman"/>
          <w:color w:val="auto"/>
          <w:sz w:val="24"/>
          <w:szCs w:val="24"/>
          <w:vertAlign w:val="subscript"/>
          <w:lang w:eastAsia="zh-CN"/>
        </w:rPr>
        <w:t>2</w:t>
      </w:r>
      <w:r>
        <w:rPr>
          <w:rFonts w:hint="eastAsia" w:ascii="Times New Roman" w:hAnsi="Times New Roman" w:eastAsia="宋体" w:cs="Times New Roman"/>
          <w:color w:val="auto"/>
          <w:sz w:val="24"/>
          <w:szCs w:val="24"/>
          <w:vertAlign w:val="subscript"/>
        </w:rPr>
        <w:t>.5</w:t>
      </w:r>
      <w:r>
        <w:rPr>
          <w:rFonts w:hint="eastAsia" w:ascii="Times New Roman" w:hAnsi="Times New Roman" w:eastAsia="宋体" w:cs="Times New Roman"/>
          <w:color w:val="auto"/>
          <w:sz w:val="24"/>
          <w:szCs w:val="24"/>
        </w:rPr>
        <w:t>存在替代源削减方案；</w:t>
      </w:r>
    </w:p>
    <w:p w14:paraId="1907526F">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（2）新增污染源正常排放下污染物短期浓度贡献值的最大浓度占标率≤100%；</w:t>
      </w:r>
    </w:p>
    <w:p w14:paraId="48F22CD6">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（3）现状污染源正常排放下污染物平均浓度贡献值的最大浓度占标率≤30%；</w:t>
      </w:r>
    </w:p>
    <w:p w14:paraId="0DAEF6A5">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（4）项目所在区为P</w:t>
      </w:r>
      <w:r>
        <w:rPr>
          <w:rFonts w:hint="eastAsia" w:ascii="Times New Roman" w:hAnsi="Times New Roman" w:eastAsia="宋体" w:cs="Times New Roman"/>
          <w:color w:val="auto"/>
          <w:sz w:val="24"/>
          <w:szCs w:val="24"/>
          <w:lang w:eastAsia="zh-CN"/>
        </w:rPr>
        <w:t>m</w:t>
      </w:r>
      <w:r>
        <w:rPr>
          <w:rFonts w:hint="eastAsia" w:ascii="Times New Roman" w:hAnsi="Times New Roman" w:eastAsia="宋体" w:cs="Times New Roman"/>
          <w:color w:val="auto"/>
          <w:sz w:val="24"/>
          <w:szCs w:val="24"/>
          <w:vertAlign w:val="subscript"/>
          <w:lang w:eastAsia="zh-CN"/>
        </w:rPr>
        <w:t>2</w:t>
      </w:r>
      <w:r>
        <w:rPr>
          <w:rFonts w:ascii="Times New Roman" w:hAnsi="Times New Roman" w:eastAsia="宋体" w:cs="Times New Roman"/>
          <w:color w:val="auto"/>
          <w:sz w:val="24"/>
          <w:szCs w:val="24"/>
          <w:vertAlign w:val="subscript"/>
        </w:rPr>
        <w:t>.5</w:t>
      </w:r>
      <w:r>
        <w:rPr>
          <w:rFonts w:hint="eastAsia" w:ascii="Times New Roman" w:hAnsi="Times New Roman" w:eastAsia="宋体" w:cs="Times New Roman"/>
          <w:color w:val="auto"/>
          <w:sz w:val="24"/>
          <w:szCs w:val="24"/>
        </w:rPr>
        <w:t>不达标区，计算的预测范围内P</w:t>
      </w:r>
      <w:r>
        <w:rPr>
          <w:rFonts w:hint="eastAsia" w:ascii="Times New Roman" w:hAnsi="Times New Roman" w:eastAsia="宋体" w:cs="Times New Roman"/>
          <w:color w:val="auto"/>
          <w:sz w:val="24"/>
          <w:szCs w:val="24"/>
          <w:lang w:eastAsia="zh-CN"/>
        </w:rPr>
        <w:t>m</w:t>
      </w:r>
      <w:r>
        <w:rPr>
          <w:rFonts w:hint="eastAsia" w:ascii="Times New Roman" w:hAnsi="Times New Roman" w:eastAsia="宋体" w:cs="Times New Roman"/>
          <w:color w:val="auto"/>
          <w:sz w:val="24"/>
          <w:szCs w:val="24"/>
          <w:vertAlign w:val="subscript"/>
          <w:lang w:eastAsia="zh-CN"/>
        </w:rPr>
        <w:t>2</w:t>
      </w:r>
      <w:r>
        <w:rPr>
          <w:rFonts w:ascii="Times New Roman" w:hAnsi="Times New Roman" w:eastAsia="宋体" w:cs="Times New Roman"/>
          <w:color w:val="auto"/>
          <w:sz w:val="24"/>
          <w:szCs w:val="24"/>
          <w:vertAlign w:val="subscript"/>
        </w:rPr>
        <w:t>.5</w:t>
      </w:r>
      <w:r>
        <w:rPr>
          <w:rFonts w:hint="eastAsia" w:ascii="Times New Roman" w:hAnsi="Times New Roman" w:eastAsia="宋体" w:cs="Times New Roman"/>
          <w:color w:val="auto"/>
          <w:sz w:val="24"/>
          <w:szCs w:val="24"/>
        </w:rPr>
        <w:t>年均质量浓度变化率k</w:t>
      </w:r>
      <w:r>
        <w:rPr>
          <w:rFonts w:ascii="Times New Roman" w:hAnsi="Times New Roman" w:eastAsia="宋体" w:cs="Times New Roman"/>
          <w:color w:val="auto"/>
          <w:sz w:val="24"/>
          <w:szCs w:val="24"/>
        </w:rPr>
        <w:t xml:space="preserve"> =-7</w:t>
      </w:r>
      <w:r>
        <w:rPr>
          <w:rFonts w:hint="eastAsia" w:ascii="Times New Roman" w:hAnsi="Times New Roman" w:eastAsia="宋体" w:cs="Times New Roman"/>
          <w:color w:val="auto"/>
          <w:sz w:val="24"/>
          <w:szCs w:val="24"/>
        </w:rPr>
        <w:t>0.1</w:t>
      </w:r>
      <w:r>
        <w:rPr>
          <w:rFonts w:ascii="Times New Roman" w:hAnsi="Times New Roman" w:eastAsia="宋体" w:cs="Times New Roman"/>
          <w:color w:val="auto"/>
          <w:sz w:val="24"/>
          <w:szCs w:val="24"/>
        </w:rPr>
        <w:t>%&lt;-20%</w:t>
      </w:r>
      <w:r>
        <w:rPr>
          <w:rFonts w:hint="eastAsia" w:ascii="Times New Roman" w:hAnsi="Times New Roman" w:eastAsia="宋体" w:cs="Times New Roman"/>
          <w:color w:val="auto"/>
          <w:sz w:val="24"/>
          <w:szCs w:val="24"/>
        </w:rPr>
        <w:t>，</w:t>
      </w:r>
      <w:r>
        <w:rPr>
          <w:rFonts w:ascii="Times New Roman" w:hAnsi="Times New Roman" w:eastAsia="宋体" w:cs="Times New Roman"/>
          <w:color w:val="auto"/>
          <w:sz w:val="24"/>
          <w:szCs w:val="24"/>
        </w:rPr>
        <w:t>判定项目建设后区域环境质量得到整体改善</w:t>
      </w:r>
      <w:r>
        <w:rPr>
          <w:rFonts w:hint="eastAsia" w:ascii="Times New Roman" w:hAnsi="Times New Roman" w:eastAsia="宋体" w:cs="Times New Roman"/>
          <w:color w:val="auto"/>
          <w:sz w:val="24"/>
          <w:szCs w:val="24"/>
        </w:rPr>
        <w:t>；项目排放的其他污染因子在叠加区域背景浓度后，均满足相应环境质量标准要求。</w:t>
      </w:r>
    </w:p>
    <w:p w14:paraId="0C38D6CF">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综上，根据《环境影响评价技术导则 大气环境》（HJ2.2-2018）的判定要求，环评认为本项目的大气环境影响可以接受。</w:t>
      </w:r>
    </w:p>
    <w:p w14:paraId="7B9585E2">
      <w:pPr>
        <w:spacing w:line="360" w:lineRule="auto"/>
        <w:ind w:firstLine="482" w:firstLineChars="200"/>
        <w:rPr>
          <w:rFonts w:ascii="Times New Roman" w:hAnsi="Times New Roman" w:eastAsia="宋体" w:cs="Times New Roman"/>
          <w:b/>
          <w:bCs/>
          <w:color w:val="auto"/>
          <w:kern w:val="0"/>
          <w:sz w:val="24"/>
          <w:szCs w:val="24"/>
        </w:rPr>
      </w:pPr>
      <w:r>
        <w:rPr>
          <w:rFonts w:hint="eastAsia" w:ascii="Times New Roman" w:hAnsi="Times New Roman" w:eastAsia="宋体" w:cs="Times New Roman"/>
          <w:b/>
          <w:bCs/>
          <w:color w:val="auto"/>
          <w:kern w:val="0"/>
          <w:sz w:val="24"/>
          <w:szCs w:val="24"/>
        </w:rPr>
        <w:t>2、地表水环境影响分析</w:t>
      </w:r>
    </w:p>
    <w:p w14:paraId="323E2244">
      <w:pPr>
        <w:spacing w:line="360" w:lineRule="auto"/>
        <w:ind w:firstLine="480" w:firstLineChars="200"/>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t>根据《环境影响评价技术导则  地表水环境》（HJ2.3-2018），本项目为水污染影响型建设项目，地表水评价等级为三级B，主要评价依托污水处理设施的环境可行性。</w:t>
      </w:r>
    </w:p>
    <w:p w14:paraId="14B56B97">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本项目位于</w:t>
      </w:r>
      <w:r>
        <w:rPr>
          <w:color w:val="auto"/>
          <w:sz w:val="24"/>
        </w:rPr>
        <w:t>常德市津市</w:t>
      </w:r>
      <w:r>
        <w:rPr>
          <w:rFonts w:hint="eastAsia"/>
          <w:color w:val="auto"/>
          <w:sz w:val="24"/>
        </w:rPr>
        <w:t>孟姜女大道与</w:t>
      </w:r>
      <w:r>
        <w:rPr>
          <w:color w:val="auto"/>
          <w:sz w:val="24"/>
        </w:rPr>
        <w:t>鸿祥路</w:t>
      </w:r>
      <w:r>
        <w:rPr>
          <w:rFonts w:hint="eastAsia"/>
          <w:color w:val="auto"/>
          <w:sz w:val="24"/>
        </w:rPr>
        <w:t>交汇处东南角</w:t>
      </w:r>
      <w:r>
        <w:rPr>
          <w:rFonts w:hint="eastAsia" w:ascii="Times New Roman" w:hAnsi="Times New Roman" w:eastAsia="宋体" w:cs="Times New Roman"/>
          <w:color w:val="auto"/>
          <w:sz w:val="24"/>
          <w:szCs w:val="24"/>
        </w:rPr>
        <w:t>，根据现场踏勘，厂区</w:t>
      </w:r>
      <w:r>
        <w:rPr>
          <w:rFonts w:hint="eastAsia" w:ascii="Times New Roman" w:hAnsi="Times New Roman" w:eastAsia="宋体" w:cs="Times New Roman"/>
          <w:color w:val="auto"/>
          <w:sz w:val="24"/>
          <w:szCs w:val="24"/>
          <w:lang w:val="en-US" w:eastAsia="zh-CN"/>
        </w:rPr>
        <w:t>已建成“一企一管”配套污水管网</w:t>
      </w:r>
      <w:r>
        <w:rPr>
          <w:rFonts w:hint="eastAsia" w:ascii="Times New Roman" w:hAnsi="Times New Roman" w:eastAsia="宋体" w:cs="Times New Roman"/>
          <w:color w:val="auto"/>
          <w:sz w:val="24"/>
          <w:szCs w:val="24"/>
        </w:rPr>
        <w:t>，厂区内生产废水可经</w:t>
      </w:r>
      <w:r>
        <w:rPr>
          <w:rFonts w:hint="eastAsia" w:ascii="Times New Roman" w:hAnsi="Times New Roman" w:eastAsia="宋体" w:cs="Times New Roman"/>
          <w:color w:val="auto"/>
          <w:sz w:val="24"/>
          <w:szCs w:val="24"/>
          <w:lang w:val="en-US" w:eastAsia="zh-CN"/>
        </w:rPr>
        <w:t>“一企一管”专管</w:t>
      </w:r>
      <w:r>
        <w:rPr>
          <w:rFonts w:hint="eastAsia" w:ascii="Times New Roman" w:hAnsi="Times New Roman" w:eastAsia="宋体" w:cs="Times New Roman"/>
          <w:color w:val="auto"/>
          <w:sz w:val="24"/>
          <w:szCs w:val="24"/>
        </w:rPr>
        <w:t>进入津市高新区工业污水处理厂处理。</w:t>
      </w:r>
    </w:p>
    <w:p w14:paraId="0EED2E04">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kern w:val="0"/>
          <w:sz w:val="24"/>
          <w:szCs w:val="24"/>
        </w:rPr>
        <w:t>根据现状调查，</w:t>
      </w:r>
      <w:r>
        <w:rPr>
          <w:rFonts w:ascii="Times New Roman" w:hAnsi="Times New Roman" w:eastAsia="宋体" w:cs="Times New Roman"/>
          <w:color w:val="auto"/>
          <w:kern w:val="0"/>
          <w:sz w:val="24"/>
          <w:szCs w:val="24"/>
        </w:rPr>
        <w:t>津市高新区污水处理厂（一期、二期及二期扩容）2021年全年现状进水量高值约为1.3</w:t>
      </w:r>
      <w:r>
        <w:rPr>
          <w:rFonts w:hint="eastAsia" w:ascii="Times New Roman" w:hAnsi="Times New Roman" w:eastAsia="宋体" w:cs="Times New Roman"/>
          <w:color w:val="auto"/>
          <w:kern w:val="0"/>
          <w:sz w:val="24"/>
          <w:szCs w:val="24"/>
        </w:rPr>
        <w:t>73</w:t>
      </w:r>
      <w:r>
        <w:rPr>
          <w:rFonts w:ascii="Times New Roman" w:hAnsi="Times New Roman" w:eastAsia="宋体" w:cs="Times New Roman"/>
          <w:color w:val="auto"/>
          <w:kern w:val="0"/>
          <w:sz w:val="24"/>
          <w:szCs w:val="24"/>
        </w:rPr>
        <w:t>万m³/d，日平均为0.89万m³/d，2022年1~</w:t>
      </w:r>
      <w:r>
        <w:rPr>
          <w:rFonts w:hint="eastAsia" w:ascii="Times New Roman" w:hAnsi="Times New Roman" w:eastAsia="宋体" w:cs="Times New Roman"/>
          <w:color w:val="auto"/>
          <w:kern w:val="0"/>
          <w:sz w:val="24"/>
          <w:szCs w:val="24"/>
        </w:rPr>
        <w:t>12</w:t>
      </w:r>
      <w:r>
        <w:rPr>
          <w:rFonts w:ascii="Times New Roman" w:hAnsi="Times New Roman" w:eastAsia="宋体" w:cs="Times New Roman"/>
          <w:color w:val="auto"/>
          <w:kern w:val="0"/>
          <w:sz w:val="24"/>
          <w:szCs w:val="24"/>
        </w:rPr>
        <w:t>月现状进水量高值约为1.39万m³/d，日平均为1.0万m³/d</w:t>
      </w:r>
      <w:r>
        <w:rPr>
          <w:rFonts w:hint="eastAsia" w:ascii="Times New Roman" w:hAnsi="Times New Roman" w:eastAsia="宋体" w:cs="Times New Roman"/>
          <w:color w:val="auto"/>
          <w:kern w:val="0"/>
          <w:sz w:val="24"/>
          <w:szCs w:val="24"/>
        </w:rPr>
        <w:t>，2023年全年现状进水量高值约为1.24万</w:t>
      </w:r>
      <w:r>
        <w:rPr>
          <w:rFonts w:ascii="Times New Roman" w:hAnsi="Times New Roman" w:eastAsia="宋体" w:cs="Times New Roman"/>
          <w:color w:val="auto"/>
          <w:kern w:val="0"/>
          <w:sz w:val="24"/>
          <w:szCs w:val="24"/>
        </w:rPr>
        <w:t>m³/d，日平均为</w:t>
      </w:r>
      <w:r>
        <w:rPr>
          <w:rFonts w:hint="eastAsia" w:ascii="Times New Roman" w:hAnsi="Times New Roman" w:eastAsia="宋体" w:cs="Times New Roman"/>
          <w:color w:val="auto"/>
          <w:kern w:val="0"/>
          <w:sz w:val="24"/>
          <w:szCs w:val="24"/>
        </w:rPr>
        <w:t>1.16</w:t>
      </w:r>
      <w:r>
        <w:rPr>
          <w:rFonts w:ascii="Times New Roman" w:hAnsi="Times New Roman" w:eastAsia="宋体" w:cs="Times New Roman"/>
          <w:color w:val="auto"/>
          <w:kern w:val="0"/>
          <w:sz w:val="24"/>
          <w:szCs w:val="24"/>
        </w:rPr>
        <w:t>万m³/d。本项目</w:t>
      </w:r>
      <w:r>
        <w:rPr>
          <w:rFonts w:hint="eastAsia" w:ascii="Times New Roman" w:hAnsi="Times New Roman" w:eastAsia="宋体" w:cs="Times New Roman"/>
          <w:color w:val="auto"/>
          <w:kern w:val="0"/>
          <w:sz w:val="24"/>
          <w:szCs w:val="24"/>
        </w:rPr>
        <w:t>全厂达产后，</w:t>
      </w:r>
      <w:r>
        <w:rPr>
          <w:rFonts w:ascii="Times New Roman" w:hAnsi="Times New Roman" w:eastAsia="宋体" w:cs="Times New Roman"/>
          <w:color w:val="auto"/>
          <w:kern w:val="0"/>
          <w:sz w:val="24"/>
          <w:szCs w:val="24"/>
        </w:rPr>
        <w:t>排入津市高新区污水处理厂的废水量约</w:t>
      </w:r>
      <w:r>
        <w:rPr>
          <w:rFonts w:hint="eastAsia" w:ascii="Times New Roman" w:hAnsi="Times New Roman" w:eastAsia="宋体" w:cs="Times New Roman"/>
          <w:color w:val="auto"/>
          <w:kern w:val="0"/>
          <w:sz w:val="24"/>
          <w:szCs w:val="24"/>
          <w:lang w:val="en-US" w:eastAsia="zh-CN"/>
        </w:rPr>
        <w:t>488.84</w:t>
      </w:r>
      <w:r>
        <w:rPr>
          <w:rFonts w:ascii="Times New Roman" w:hAnsi="Times New Roman" w:eastAsia="宋体" w:cs="Times New Roman"/>
          <w:color w:val="auto"/>
          <w:kern w:val="0"/>
          <w:sz w:val="24"/>
          <w:szCs w:val="24"/>
        </w:rPr>
        <w:t>为m³/d，津市高新区污水处理厂（一期、二期及二期扩容）</w:t>
      </w:r>
      <w:r>
        <w:rPr>
          <w:rFonts w:ascii="Times New Roman" w:hAnsi="Times New Roman" w:eastAsia="宋体" w:cs="Times New Roman"/>
          <w:color w:val="auto"/>
          <w:sz w:val="24"/>
          <w:szCs w:val="24"/>
        </w:rPr>
        <w:t>尚有足够余量处理本项目废水。</w:t>
      </w:r>
    </w:p>
    <w:p w14:paraId="3C0AFEBC">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本项目生产废水经自建污水处理站预处理后，项目总排口出水各项污染物浓度均满足污水处理厂进水水质要求，其正常工况下排水不会对津市高新区工业污水处理厂产生冲击。</w:t>
      </w:r>
    </w:p>
    <w:p w14:paraId="51CE65DD">
      <w:pPr>
        <w:spacing w:line="360" w:lineRule="auto"/>
        <w:ind w:firstLine="482" w:firstLineChars="200"/>
        <w:rPr>
          <w:rFonts w:ascii="Times New Roman" w:hAnsi="Times New Roman" w:eastAsia="宋体" w:cs="Times New Roman"/>
          <w:b/>
          <w:bCs/>
          <w:color w:val="auto"/>
          <w:kern w:val="0"/>
          <w:sz w:val="24"/>
          <w:szCs w:val="24"/>
        </w:rPr>
      </w:pPr>
      <w:r>
        <w:rPr>
          <w:rFonts w:hint="eastAsia" w:ascii="Times New Roman" w:hAnsi="Times New Roman" w:eastAsia="宋体" w:cs="Times New Roman"/>
          <w:b/>
          <w:bCs/>
          <w:color w:val="auto"/>
          <w:kern w:val="0"/>
          <w:sz w:val="24"/>
          <w:szCs w:val="24"/>
        </w:rPr>
        <w:t>3、噪声环境影响分析</w:t>
      </w:r>
    </w:p>
    <w:p w14:paraId="7626AEE4">
      <w:pPr>
        <w:spacing w:line="360" w:lineRule="auto"/>
        <w:ind w:firstLine="480" w:firstLineChars="200"/>
        <w:rPr>
          <w:rFonts w:ascii="Times New Roman" w:hAnsi="Times New Roman" w:eastAsia="宋体" w:cs="Times New Roman"/>
          <w:color w:val="auto"/>
          <w:kern w:val="0"/>
          <w:sz w:val="24"/>
          <w:szCs w:val="24"/>
        </w:rPr>
      </w:pPr>
      <w:r>
        <w:rPr>
          <w:rFonts w:ascii="Times New Roman" w:hAnsi="Times New Roman" w:eastAsia="宋体" w:cs="Times New Roman"/>
          <w:color w:val="auto"/>
          <w:sz w:val="24"/>
          <w:szCs w:val="24"/>
        </w:rPr>
        <w:t>根据预测结果可知，项目厂</w:t>
      </w:r>
      <w:r>
        <w:rPr>
          <w:rFonts w:hint="eastAsia" w:ascii="Times New Roman" w:hAnsi="Times New Roman" w:eastAsia="宋体" w:cs="Times New Roman"/>
          <w:color w:val="auto"/>
          <w:sz w:val="24"/>
          <w:szCs w:val="24"/>
        </w:rPr>
        <w:t>区南侧、</w:t>
      </w:r>
      <w:r>
        <w:rPr>
          <w:rFonts w:hint="eastAsia" w:ascii="Times New Roman" w:hAnsi="Times New Roman" w:eastAsia="宋体" w:cs="Times New Roman"/>
          <w:color w:val="auto"/>
          <w:sz w:val="24"/>
          <w:szCs w:val="24"/>
          <w:lang w:val="en-US" w:eastAsia="zh-CN"/>
        </w:rPr>
        <w:t>北</w:t>
      </w:r>
      <w:r>
        <w:rPr>
          <w:rFonts w:hint="eastAsia" w:ascii="Times New Roman" w:hAnsi="Times New Roman" w:eastAsia="宋体" w:cs="Times New Roman"/>
          <w:color w:val="auto"/>
          <w:sz w:val="24"/>
          <w:szCs w:val="24"/>
        </w:rPr>
        <w:t>侧</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东侧</w:t>
      </w:r>
      <w:r>
        <w:rPr>
          <w:rFonts w:hint="eastAsia" w:ascii="Times New Roman" w:hAnsi="Times New Roman" w:eastAsia="宋体" w:cs="Times New Roman"/>
          <w:color w:val="auto"/>
          <w:sz w:val="24"/>
          <w:szCs w:val="24"/>
        </w:rPr>
        <w:t>厂界</w:t>
      </w:r>
      <w:r>
        <w:rPr>
          <w:rFonts w:ascii="Times New Roman" w:hAnsi="Times New Roman" w:eastAsia="宋体" w:cs="Times New Roman"/>
          <w:color w:val="auto"/>
          <w:sz w:val="24"/>
          <w:szCs w:val="24"/>
        </w:rPr>
        <w:t>昼、夜间噪声预测值均符合《工业企业厂界环境噪声排放标准》（GB12348-2008）中3类标准</w:t>
      </w:r>
      <w:r>
        <w:rPr>
          <w:rFonts w:hint="eastAsia" w:ascii="Times New Roman" w:hAnsi="Times New Roman" w:eastAsia="宋体" w:cs="Times New Roman"/>
          <w:color w:val="auto"/>
          <w:sz w:val="24"/>
          <w:szCs w:val="24"/>
        </w:rPr>
        <w:t>；</w:t>
      </w:r>
      <w:r>
        <w:rPr>
          <w:rFonts w:ascii="Times New Roman" w:hAnsi="Times New Roman" w:eastAsia="宋体" w:cs="Times New Roman"/>
          <w:color w:val="auto"/>
          <w:sz w:val="24"/>
          <w:szCs w:val="24"/>
        </w:rPr>
        <w:t>项目厂</w:t>
      </w:r>
      <w:r>
        <w:rPr>
          <w:rFonts w:hint="eastAsia" w:ascii="Times New Roman" w:hAnsi="Times New Roman" w:eastAsia="宋体" w:cs="Times New Roman"/>
          <w:color w:val="auto"/>
          <w:sz w:val="24"/>
          <w:szCs w:val="24"/>
        </w:rPr>
        <w:t>区</w:t>
      </w:r>
      <w:r>
        <w:rPr>
          <w:rFonts w:hint="eastAsia" w:ascii="Times New Roman" w:hAnsi="Times New Roman" w:eastAsia="宋体" w:cs="Times New Roman"/>
          <w:color w:val="auto"/>
          <w:sz w:val="24"/>
          <w:szCs w:val="24"/>
          <w:lang w:val="en-US" w:eastAsia="zh-CN"/>
        </w:rPr>
        <w:t>西</w:t>
      </w:r>
      <w:r>
        <w:rPr>
          <w:rFonts w:hint="eastAsia" w:ascii="Times New Roman" w:hAnsi="Times New Roman" w:eastAsia="宋体" w:cs="Times New Roman"/>
          <w:color w:val="auto"/>
          <w:sz w:val="24"/>
          <w:szCs w:val="24"/>
        </w:rPr>
        <w:t>侧厂界</w:t>
      </w:r>
      <w:r>
        <w:rPr>
          <w:rFonts w:ascii="Times New Roman" w:hAnsi="Times New Roman" w:eastAsia="宋体" w:cs="Times New Roman"/>
          <w:color w:val="auto"/>
          <w:sz w:val="24"/>
          <w:szCs w:val="24"/>
        </w:rPr>
        <w:t>昼、夜间噪声预测值均符合《工业企业厂界环境噪声排放标准》（GB12348-2008）中4类标准</w:t>
      </w:r>
      <w:r>
        <w:rPr>
          <w:rFonts w:hint="eastAsia" w:ascii="Times New Roman" w:hAnsi="Times New Roman" w:eastAsia="宋体" w:cs="Times New Roman"/>
          <w:color w:val="auto"/>
          <w:sz w:val="24"/>
          <w:szCs w:val="24"/>
        </w:rPr>
        <w:t>。</w:t>
      </w:r>
      <w:r>
        <w:rPr>
          <w:rFonts w:ascii="Calibri" w:hAnsi="Calibri" w:eastAsia="宋体" w:cs="Times New Roman"/>
          <w:color w:val="auto"/>
          <w:sz w:val="24"/>
          <w:szCs w:val="24"/>
        </w:rPr>
        <w:t>故可以认为本项目营运期噪声对</w:t>
      </w:r>
      <w:r>
        <w:rPr>
          <w:rFonts w:hint="eastAsia" w:ascii="Calibri" w:hAnsi="Calibri" w:eastAsia="宋体" w:cs="Times New Roman"/>
          <w:color w:val="auto"/>
          <w:sz w:val="24"/>
          <w:szCs w:val="24"/>
        </w:rPr>
        <w:t>项目区域</w:t>
      </w:r>
      <w:r>
        <w:rPr>
          <w:rFonts w:ascii="Calibri" w:hAnsi="Calibri" w:eastAsia="宋体" w:cs="Times New Roman"/>
          <w:color w:val="auto"/>
          <w:sz w:val="24"/>
          <w:szCs w:val="24"/>
        </w:rPr>
        <w:t>的声环境影响很小。</w:t>
      </w:r>
    </w:p>
    <w:p w14:paraId="45105857">
      <w:pPr>
        <w:spacing w:line="360" w:lineRule="auto"/>
        <w:ind w:firstLine="482" w:firstLineChars="200"/>
        <w:rPr>
          <w:rFonts w:ascii="Times New Roman" w:hAnsi="Times New Roman" w:eastAsia="宋体" w:cs="Times New Roman"/>
          <w:b/>
          <w:bCs/>
          <w:color w:val="auto"/>
          <w:kern w:val="0"/>
          <w:sz w:val="24"/>
          <w:szCs w:val="24"/>
        </w:rPr>
      </w:pPr>
      <w:r>
        <w:rPr>
          <w:rFonts w:hint="eastAsia" w:ascii="Times New Roman" w:hAnsi="Times New Roman" w:eastAsia="宋体" w:cs="Times New Roman"/>
          <w:b/>
          <w:bCs/>
          <w:color w:val="auto"/>
          <w:kern w:val="0"/>
          <w:sz w:val="24"/>
          <w:szCs w:val="24"/>
        </w:rPr>
        <w:t>4、固体废物环境影响分析</w:t>
      </w:r>
    </w:p>
    <w:p w14:paraId="7BF12602">
      <w:pPr>
        <w:spacing w:line="360" w:lineRule="auto"/>
        <w:ind w:firstLine="480" w:firstLineChars="200"/>
        <w:rPr>
          <w:rFonts w:hint="eastAsia" w:ascii="Times New Roman" w:hAnsi="Times New Roman" w:eastAsia="宋体" w:cs="Times New Roman"/>
          <w:color w:val="auto"/>
          <w:sz w:val="24"/>
          <w:szCs w:val="24"/>
          <w:lang w:val="en-US" w:eastAsia="zh-CN"/>
        </w:rPr>
      </w:pPr>
      <w:r>
        <w:rPr>
          <w:rFonts w:ascii="Times New Roman" w:hAnsi="Times New Roman" w:eastAsia="宋体" w:cs="Times New Roman"/>
          <w:color w:val="auto"/>
          <w:sz w:val="24"/>
          <w:szCs w:val="24"/>
        </w:rPr>
        <w:t>由工程分析可知，本项目产生的</w:t>
      </w:r>
      <w:r>
        <w:rPr>
          <w:rFonts w:hint="eastAsia" w:ascii="Times New Roman" w:hAnsi="Times New Roman" w:eastAsia="宋体" w:cs="Times New Roman"/>
          <w:color w:val="auto"/>
          <w:sz w:val="24"/>
          <w:szCs w:val="24"/>
        </w:rPr>
        <w:t>危险废物主要为</w:t>
      </w:r>
      <w:r>
        <w:rPr>
          <w:rFonts w:hint="eastAsia" w:ascii="Times New Roman" w:hAnsi="Times New Roman" w:eastAsia="宋体" w:cs="Times New Roman"/>
          <w:color w:val="auto"/>
          <w:sz w:val="24"/>
          <w:szCs w:val="24"/>
          <w:lang w:val="en-US" w:eastAsia="zh-CN"/>
        </w:rPr>
        <w:t>废矿物油，污水站污泥未进行危废鉴定前，按照危险废物经行管理及处置。</w:t>
      </w:r>
    </w:p>
    <w:p w14:paraId="3C6688B6">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厂区内已建成</w:t>
      </w:r>
      <w:r>
        <w:rPr>
          <w:rFonts w:ascii="Times New Roman" w:hAnsi="Times New Roman" w:eastAsia="宋体" w:cs="Times New Roman"/>
          <w:color w:val="auto"/>
          <w:sz w:val="24"/>
          <w:szCs w:val="24"/>
        </w:rPr>
        <w:t>一座危废暂存间</w:t>
      </w:r>
      <w:r>
        <w:rPr>
          <w:rFonts w:hint="eastAsia" w:ascii="Times New Roman" w:hAnsi="Times New Roman" w:eastAsia="宋体" w:cs="Times New Roman"/>
          <w:color w:val="auto"/>
          <w:sz w:val="24"/>
          <w:szCs w:val="24"/>
        </w:rPr>
        <w:t>7</w:t>
      </w:r>
      <w:r>
        <w:rPr>
          <w:rFonts w:ascii="Times New Roman" w:hAnsi="Times New Roman" w:eastAsia="宋体" w:cs="Times New Roman"/>
          <w:color w:val="auto"/>
          <w:sz w:val="24"/>
          <w:szCs w:val="24"/>
        </w:rPr>
        <w:t>0</w:t>
      </w:r>
      <w:r>
        <w:rPr>
          <w:rFonts w:hint="eastAsia" w:ascii="Times New Roman" w:hAnsi="Times New Roman" w:eastAsia="宋体" w:cs="Times New Roman"/>
          <w:color w:val="auto"/>
          <w:sz w:val="24"/>
          <w:szCs w:val="24"/>
          <w:lang w:eastAsia="zh-CN"/>
        </w:rPr>
        <w:t>m</w:t>
      </w:r>
      <w:r>
        <w:rPr>
          <w:rFonts w:hint="eastAsia" w:ascii="Times New Roman" w:hAnsi="Times New Roman" w:eastAsia="宋体" w:cs="Times New Roman"/>
          <w:color w:val="auto"/>
          <w:sz w:val="24"/>
          <w:szCs w:val="24"/>
          <w:vertAlign w:val="superscript"/>
          <w:lang w:eastAsia="zh-CN"/>
        </w:rPr>
        <w:t>2</w:t>
      </w:r>
      <w:r>
        <w:rPr>
          <w:rFonts w:hint="eastAsia" w:ascii="Times New Roman" w:hAnsi="Times New Roman" w:eastAsia="宋体" w:cs="Times New Roman"/>
          <w:color w:val="auto"/>
          <w:sz w:val="24"/>
          <w:szCs w:val="24"/>
        </w:rPr>
        <w:t>，建设单位已按照</w:t>
      </w:r>
      <w:r>
        <w:rPr>
          <w:rFonts w:ascii="Times New Roman" w:hAnsi="Times New Roman" w:eastAsia="宋体" w:cs="Times New Roman"/>
          <w:color w:val="auto"/>
          <w:sz w:val="24"/>
          <w:szCs w:val="24"/>
        </w:rPr>
        <w:t>《危险废物贮存污染控制标准》（GB18597-20</w:t>
      </w:r>
      <w:r>
        <w:rPr>
          <w:rFonts w:hint="eastAsia" w:ascii="Times New Roman" w:hAnsi="Times New Roman" w:eastAsia="宋体" w:cs="Times New Roman"/>
          <w:color w:val="auto"/>
          <w:sz w:val="24"/>
          <w:szCs w:val="24"/>
        </w:rPr>
        <w:t>23</w:t>
      </w:r>
      <w:r>
        <w:rPr>
          <w:rFonts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rPr>
        <w:t>对厂区内危废进行管理。上述危险废物在厂区内危废间暂存后，定期交由有资质单位处置。</w:t>
      </w:r>
    </w:p>
    <w:p w14:paraId="44977320">
      <w:pPr>
        <w:spacing w:line="360" w:lineRule="auto"/>
        <w:ind w:firstLine="480" w:firstLineChars="200"/>
        <w:rPr>
          <w:rFonts w:ascii="Times New Roman" w:hAnsi="Times New Roman" w:eastAsia="宋体" w:cs="Times New Roman"/>
          <w:color w:val="auto"/>
          <w:kern w:val="0"/>
          <w:sz w:val="24"/>
          <w:szCs w:val="24"/>
        </w:rPr>
      </w:pPr>
      <w:r>
        <w:rPr>
          <w:rFonts w:ascii="Times New Roman" w:hAnsi="Times New Roman" w:eastAsia="宋体" w:cs="Times New Roman"/>
          <w:color w:val="auto"/>
          <w:sz w:val="24"/>
          <w:szCs w:val="24"/>
        </w:rPr>
        <w:t>综上，在采取上述措施后，各类固体废物可得到妥善处理处置。</w:t>
      </w:r>
    </w:p>
    <w:p w14:paraId="012877A2">
      <w:pPr>
        <w:spacing w:line="360" w:lineRule="auto"/>
        <w:ind w:firstLine="482" w:firstLineChars="200"/>
        <w:rPr>
          <w:rFonts w:ascii="Times New Roman" w:hAnsi="Times New Roman" w:eastAsia="宋体" w:cs="宋体"/>
          <w:b/>
          <w:bCs/>
          <w:color w:val="auto"/>
          <w:sz w:val="24"/>
          <w:szCs w:val="24"/>
        </w:rPr>
      </w:pPr>
      <w:r>
        <w:rPr>
          <w:rFonts w:hint="eastAsia" w:ascii="Times New Roman" w:hAnsi="Times New Roman" w:eastAsia="宋体" w:cs="宋体"/>
          <w:b/>
          <w:bCs/>
          <w:color w:val="auto"/>
          <w:sz w:val="24"/>
          <w:szCs w:val="24"/>
        </w:rPr>
        <w:t>5、地下水环境影响分析</w:t>
      </w:r>
    </w:p>
    <w:p w14:paraId="08822FA3">
      <w:pPr>
        <w:spacing w:line="360" w:lineRule="auto"/>
        <w:ind w:firstLine="480" w:firstLineChars="200"/>
        <w:rPr>
          <w:rFonts w:ascii="Times New Roman" w:hAnsi="Times New Roman" w:eastAsia="宋体" w:cs="Times New Roman"/>
          <w:color w:val="auto"/>
          <w:sz w:val="24"/>
          <w:szCs w:val="24"/>
        </w:rPr>
      </w:pPr>
      <w:r>
        <w:rPr>
          <w:rFonts w:hint="eastAsia" w:ascii="宋体" w:hAnsi="宋体" w:eastAsia="宋体" w:cs="Times New Roman"/>
          <w:color w:val="auto"/>
          <w:sz w:val="24"/>
          <w:szCs w:val="24"/>
        </w:rPr>
        <w:t>正常工况下，项目产生的废水与固废经收集后均进行了妥善处理，不会直接排入外环境，同时，厂区将进行有效的分区防渗，各污染物存贮建筑物基本不会有污水的渗漏情况发生，从而在源头上减少了污染物进入含水层的渗漏量。另外，本项目将建立完善的风险应急预案、设置合理有效的地下水监测井，加强地下水环境监测。因此，正常工况下，项目对地下水的影响较小。</w:t>
      </w:r>
    </w:p>
    <w:p w14:paraId="056A3305">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本项目非正常状况选取废水处理站发生泄漏为分析对象。</w:t>
      </w:r>
    </w:p>
    <w:p w14:paraId="56340BA3">
      <w:pPr>
        <w:spacing w:line="360" w:lineRule="auto"/>
        <w:ind w:firstLine="480" w:firstLineChars="200"/>
        <w:rPr>
          <w:rFonts w:ascii="Times New Roman" w:hAnsi="Times New Roman" w:eastAsia="宋体" w:cs="Times New Roman"/>
          <w:color w:val="FF0000"/>
          <w:kern w:val="0"/>
          <w:sz w:val="24"/>
          <w:szCs w:val="24"/>
        </w:rPr>
      </w:pPr>
      <w:r>
        <w:rPr>
          <w:rFonts w:hint="eastAsia" w:ascii="Times New Roman" w:hAnsi="Times New Roman" w:eastAsia="宋体" w:cs="Times New Roman"/>
          <w:color w:val="auto"/>
          <w:sz w:val="24"/>
          <w:szCs w:val="24"/>
          <w:lang w:val="en-US" w:eastAsia="zh-CN"/>
        </w:rPr>
        <w:t>类比地下水预测分析，非正常工况下，污水处理站出现破裂情景下，污染物在运移的过程中随着地下水的稀释作用，浓度逐渐降低，随着时间的增长，污染物运移范围随之扩大。第3600d时，COD、氨氮沿地下水流向最大超标距离240m，宽度为40m，该范围已超出了厂界，但未到达区域地表水澧水。</w:t>
      </w:r>
    </w:p>
    <w:p w14:paraId="2C0DCE12">
      <w:pPr>
        <w:keepNext/>
        <w:keepLines/>
        <w:spacing w:before="156" w:beforeLines="50" w:after="156" w:afterLines="50" w:line="360" w:lineRule="auto"/>
        <w:outlineLvl w:val="2"/>
        <w:rPr>
          <w:rFonts w:ascii="Times New Roman" w:hAnsi="Times New Roman" w:eastAsia="宋体" w:cs="Times New Roman"/>
          <w:b/>
          <w:color w:val="auto"/>
          <w:sz w:val="24"/>
          <w:szCs w:val="24"/>
        </w:rPr>
      </w:pPr>
      <w:bookmarkStart w:id="341" w:name="_Toc19859"/>
      <w:r>
        <w:rPr>
          <w:rFonts w:hint="eastAsia" w:ascii="Times New Roman" w:hAnsi="Times New Roman" w:eastAsia="宋体" w:cs="Times New Roman"/>
          <w:b/>
          <w:color w:val="auto"/>
          <w:sz w:val="24"/>
          <w:szCs w:val="24"/>
        </w:rPr>
        <w:t>11.1.6 环境风险及防范措施</w:t>
      </w:r>
      <w:bookmarkEnd w:id="341"/>
    </w:p>
    <w:p w14:paraId="05AB11AC">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拟建项目主要大气环境风险为生产废气事故排放、、火灾和爆炸次生物的释放。建设单位应加强对厂区内废气治理措施的巡查，建立废气治理设施的运行管理台账，按照排污许可证要求，定期开展自行监测，确保污染物达标排放，减少厂区大气污染物事故排放情况；加强对厂区内储罐区、危险化学品储存仓库、危险废物暂存间的日常管理，建立巡查管理，并按照应急预案要求，定期开展突发环境事件应急演练。</w:t>
      </w:r>
    </w:p>
    <w:p w14:paraId="3817192E">
      <w:pPr>
        <w:spacing w:line="360" w:lineRule="auto"/>
        <w:ind w:firstLine="480" w:firstLineChars="200"/>
        <w:rPr>
          <w:rFonts w:ascii="Times New Roman" w:hAnsi="Times New Roman" w:eastAsia="宋体" w:cs="Times New Roman"/>
          <w:color w:val="auto"/>
          <w:kern w:val="0"/>
          <w:sz w:val="24"/>
          <w:szCs w:val="24"/>
        </w:rPr>
      </w:pPr>
      <w:r>
        <w:rPr>
          <w:rFonts w:hint="eastAsia" w:ascii="Times New Roman" w:hAnsi="Times New Roman" w:eastAsia="宋体" w:cs="Times New Roman"/>
          <w:color w:val="auto"/>
          <w:sz w:val="24"/>
          <w:szCs w:val="24"/>
        </w:rPr>
        <w:t>针对项目可能发生的地下水污染，地下水污染防治措施按照“源头控制、分区防治、污染监控、应急响应”相结合的原则，从污染物的产生、入渗、扩散、应急响应全阶段进行控制。</w:t>
      </w:r>
    </w:p>
    <w:p w14:paraId="692DC1A4">
      <w:pPr>
        <w:adjustRightInd w:val="0"/>
        <w:snapToGrid w:val="0"/>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本项目位于</w:t>
      </w:r>
      <w:r>
        <w:rPr>
          <w:rFonts w:hint="eastAsia" w:ascii="宋体" w:hAnsi="宋体" w:eastAsia="宋体" w:cs="宋体"/>
          <w:color w:val="auto"/>
          <w:kern w:val="0"/>
          <w:sz w:val="24"/>
          <w:szCs w:val="24"/>
        </w:rPr>
        <w:t>湖南省津市高新区</w:t>
      </w:r>
      <w:r>
        <w:rPr>
          <w:rFonts w:hint="eastAsia" w:ascii="Times New Roman" w:hAnsi="Times New Roman" w:eastAsia="宋体" w:cs="Times New Roman"/>
          <w:color w:val="auto"/>
          <w:sz w:val="24"/>
          <w:szCs w:val="24"/>
        </w:rPr>
        <w:t>，整体环境不敏感</w:t>
      </w:r>
      <w:r>
        <w:rPr>
          <w:rFonts w:ascii="Calibri" w:hAnsi="Calibri" w:eastAsia="宋体" w:cs="Times New Roman"/>
          <w:color w:val="auto"/>
          <w:sz w:val="24"/>
          <w:szCs w:val="24"/>
        </w:rPr>
        <w:t>，项目应采取</w:t>
      </w:r>
      <w:r>
        <w:rPr>
          <w:rFonts w:hint="eastAsia" w:ascii="Times New Roman" w:hAnsi="Calibri" w:eastAsia="宋体" w:cs="Times New Roman"/>
          <w:color w:val="auto"/>
          <w:sz w:val="24"/>
          <w:szCs w:val="24"/>
        </w:rPr>
        <w:t>积极</w:t>
      </w:r>
      <w:r>
        <w:rPr>
          <w:rFonts w:ascii="Calibri" w:hAnsi="Calibri" w:eastAsia="宋体" w:cs="Times New Roman"/>
          <w:color w:val="auto"/>
          <w:sz w:val="24"/>
          <w:szCs w:val="24"/>
        </w:rPr>
        <w:t>有效的防控措施阻止突发环境事故的发生，从而有效预防安全事故以及带来的次生环境风险响分析，在落实各项环境风险措施的前提下，项目环境风险水平可以接受。</w:t>
      </w:r>
    </w:p>
    <w:p w14:paraId="6374E3B6">
      <w:pPr>
        <w:keepNext/>
        <w:keepLines/>
        <w:spacing w:before="156" w:beforeLines="50" w:after="156" w:afterLines="50" w:line="360" w:lineRule="auto"/>
        <w:outlineLvl w:val="2"/>
        <w:rPr>
          <w:rFonts w:ascii="Times New Roman" w:hAnsi="Times New Roman" w:eastAsia="宋体" w:cs="Times New Roman"/>
          <w:b/>
          <w:color w:val="auto"/>
          <w:sz w:val="24"/>
          <w:szCs w:val="24"/>
        </w:rPr>
      </w:pPr>
      <w:bookmarkStart w:id="342" w:name="_Toc24403"/>
      <w:r>
        <w:rPr>
          <w:rFonts w:hint="eastAsia" w:ascii="Times New Roman" w:hAnsi="Times New Roman" w:eastAsia="宋体" w:cs="Times New Roman"/>
          <w:b/>
          <w:color w:val="auto"/>
          <w:sz w:val="24"/>
          <w:szCs w:val="24"/>
        </w:rPr>
        <w:t>11.1.7 总量控制</w:t>
      </w:r>
      <w:bookmarkEnd w:id="342"/>
    </w:p>
    <w:p w14:paraId="1650A4E5">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本项目建成投运后，全厂新增总量控制指标如下：COD：</w:t>
      </w:r>
      <w:r>
        <w:rPr>
          <w:rFonts w:hint="eastAsia" w:ascii="Times New Roman" w:hAnsi="Times New Roman" w:eastAsia="宋体" w:cs="Times New Roman"/>
          <w:color w:val="auto"/>
          <w:sz w:val="24"/>
          <w:szCs w:val="24"/>
          <w:lang w:val="en-US" w:eastAsia="zh-CN"/>
        </w:rPr>
        <w:t>5.47</w:t>
      </w:r>
      <w:r>
        <w:rPr>
          <w:rFonts w:hint="eastAsia" w:ascii="Times New Roman" w:hAnsi="Times New Roman" w:eastAsia="宋体" w:cs="Times New Roman"/>
          <w:color w:val="auto"/>
          <w:sz w:val="24"/>
          <w:szCs w:val="24"/>
        </w:rPr>
        <w:t>t/a、氨氮：0.</w:t>
      </w:r>
      <w:r>
        <w:rPr>
          <w:rFonts w:hint="eastAsia" w:ascii="Times New Roman" w:hAnsi="Times New Roman" w:eastAsia="宋体" w:cs="Times New Roman"/>
          <w:color w:val="auto"/>
          <w:sz w:val="24"/>
          <w:szCs w:val="24"/>
          <w:lang w:val="en-US" w:eastAsia="zh-CN"/>
        </w:rPr>
        <w:t>87</w:t>
      </w:r>
      <w:r>
        <w:rPr>
          <w:rFonts w:hint="eastAsia" w:ascii="Times New Roman" w:hAnsi="Times New Roman" w:eastAsia="宋体" w:cs="Times New Roman"/>
          <w:color w:val="auto"/>
          <w:sz w:val="24"/>
          <w:szCs w:val="24"/>
        </w:rPr>
        <w:t>t/a、VOCs：</w:t>
      </w:r>
      <w:r>
        <w:rPr>
          <w:rFonts w:hint="eastAsia" w:ascii="Times New Roman" w:hAnsi="Times New Roman" w:eastAsia="宋体" w:cs="Times New Roman"/>
          <w:color w:val="auto"/>
          <w:sz w:val="24"/>
          <w:szCs w:val="24"/>
          <w:lang w:val="en-US" w:eastAsia="zh-CN"/>
        </w:rPr>
        <w:t>1.008</w:t>
      </w:r>
      <w:r>
        <w:rPr>
          <w:rFonts w:hint="eastAsia" w:ascii="Times New Roman" w:hAnsi="Times New Roman" w:eastAsia="宋体" w:cs="Times New Roman"/>
          <w:color w:val="auto"/>
          <w:sz w:val="24"/>
          <w:szCs w:val="24"/>
        </w:rPr>
        <w:t>t/a。厂区内已取得总量指标满足拟建项目需要。</w:t>
      </w:r>
    </w:p>
    <w:p w14:paraId="2ED2AE9F">
      <w:pPr>
        <w:keepNext/>
        <w:keepLines/>
        <w:spacing w:before="156" w:beforeLines="50" w:after="156" w:afterLines="50" w:line="360" w:lineRule="auto"/>
        <w:outlineLvl w:val="2"/>
        <w:rPr>
          <w:rFonts w:ascii="Times New Roman" w:hAnsi="Times New Roman" w:eastAsia="宋体" w:cs="Times New Roman"/>
          <w:b/>
          <w:color w:val="auto"/>
          <w:sz w:val="24"/>
          <w:szCs w:val="24"/>
        </w:rPr>
      </w:pPr>
      <w:bookmarkStart w:id="343" w:name="_Toc25996"/>
      <w:r>
        <w:rPr>
          <w:rFonts w:hint="eastAsia" w:ascii="Times New Roman" w:hAnsi="Times New Roman" w:eastAsia="宋体" w:cs="Times New Roman"/>
          <w:b/>
          <w:color w:val="auto"/>
          <w:sz w:val="24"/>
          <w:szCs w:val="24"/>
        </w:rPr>
        <w:t>11.1.8 公众参与</w:t>
      </w:r>
      <w:bookmarkEnd w:id="343"/>
    </w:p>
    <w:p w14:paraId="2A5FB6BC">
      <w:pPr>
        <w:spacing w:line="360" w:lineRule="auto"/>
        <w:ind w:firstLine="480" w:firstLineChars="200"/>
        <w:rPr>
          <w:rFonts w:ascii="Times New Roman" w:hAnsi="Times New Roman"/>
          <w:color w:val="auto"/>
          <w:sz w:val="24"/>
          <w:szCs w:val="24"/>
          <w:u w:val="none" w:color="auto"/>
        </w:rPr>
      </w:pPr>
      <w:bookmarkStart w:id="344" w:name="_Toc6179"/>
      <w:r>
        <w:rPr>
          <w:rFonts w:hint="eastAsia" w:ascii="Times New Roman" w:hAnsi="Times New Roman"/>
          <w:color w:val="auto"/>
          <w:sz w:val="24"/>
          <w:szCs w:val="24"/>
          <w:u w:val="none" w:color="auto"/>
        </w:rPr>
        <w:t>1、首次环境影响评价信息公开</w:t>
      </w:r>
    </w:p>
    <w:p w14:paraId="146B4949">
      <w:pPr>
        <w:spacing w:line="360" w:lineRule="auto"/>
        <w:ind w:firstLine="480" w:firstLineChars="200"/>
        <w:rPr>
          <w:rFonts w:hint="eastAsia" w:ascii="Times New Roman" w:hAnsi="Times New Roman"/>
          <w:color w:val="auto"/>
          <w:sz w:val="24"/>
          <w:szCs w:val="24"/>
          <w:u w:val="none" w:color="auto"/>
        </w:rPr>
      </w:pPr>
      <w:r>
        <w:rPr>
          <w:rFonts w:hint="eastAsia" w:ascii="Times New Roman" w:hAnsi="Times New Roman"/>
          <w:color w:val="auto"/>
          <w:sz w:val="24"/>
          <w:szCs w:val="24"/>
          <w:u w:val="none" w:color="auto"/>
        </w:rPr>
        <w:t>项目第一次网络公示时间为</w:t>
      </w:r>
      <w:r>
        <w:rPr>
          <w:rFonts w:ascii="Times New Roman" w:hAnsi="Times New Roman"/>
          <w:color w:val="auto"/>
          <w:sz w:val="24"/>
          <w:szCs w:val="24"/>
          <w:u w:val="none" w:color="auto"/>
        </w:rPr>
        <w:t>202</w:t>
      </w:r>
      <w:r>
        <w:rPr>
          <w:rFonts w:hint="eastAsia"/>
          <w:color w:val="auto"/>
          <w:sz w:val="24"/>
          <w:szCs w:val="24"/>
          <w:u w:val="none" w:color="auto"/>
          <w:lang w:val="en-US" w:eastAsia="zh-CN"/>
        </w:rPr>
        <w:t>4</w:t>
      </w:r>
      <w:r>
        <w:rPr>
          <w:rFonts w:ascii="Times New Roman" w:hAnsi="Times New Roman"/>
          <w:color w:val="auto"/>
          <w:sz w:val="24"/>
          <w:szCs w:val="24"/>
          <w:u w:val="none" w:color="auto"/>
        </w:rPr>
        <w:t>年</w:t>
      </w:r>
      <w:r>
        <w:rPr>
          <w:rFonts w:hint="eastAsia" w:ascii="Times New Roman" w:hAnsi="Times New Roman"/>
          <w:color w:val="auto"/>
          <w:sz w:val="24"/>
          <w:szCs w:val="24"/>
          <w:u w:val="none" w:color="auto"/>
          <w:lang w:val="en-US" w:eastAsia="zh-CN"/>
        </w:rPr>
        <w:t>10</w:t>
      </w:r>
      <w:r>
        <w:rPr>
          <w:rFonts w:ascii="Times New Roman" w:hAnsi="Times New Roman"/>
          <w:color w:val="auto"/>
          <w:sz w:val="24"/>
          <w:szCs w:val="24"/>
          <w:u w:val="none" w:color="auto"/>
        </w:rPr>
        <w:t>月</w:t>
      </w:r>
      <w:r>
        <w:rPr>
          <w:rFonts w:hint="eastAsia"/>
          <w:color w:val="auto"/>
          <w:sz w:val="24"/>
          <w:szCs w:val="24"/>
          <w:u w:val="none" w:color="auto"/>
          <w:lang w:val="en-US" w:eastAsia="zh-CN"/>
        </w:rPr>
        <w:t>23</w:t>
      </w:r>
      <w:r>
        <w:rPr>
          <w:rFonts w:ascii="Times New Roman" w:hAnsi="Times New Roman"/>
          <w:color w:val="auto"/>
          <w:sz w:val="24"/>
          <w:szCs w:val="24"/>
          <w:u w:val="none" w:color="auto"/>
        </w:rPr>
        <w:t>日是在确定环境影响评价单位后</w:t>
      </w:r>
      <w:r>
        <w:rPr>
          <w:rFonts w:hint="eastAsia"/>
          <w:color w:val="auto"/>
          <w:sz w:val="24"/>
          <w:szCs w:val="24"/>
          <w:u w:val="none" w:color="auto"/>
          <w:lang w:val="en-US" w:eastAsia="zh-CN"/>
        </w:rPr>
        <w:t>7</w:t>
      </w:r>
      <w:r>
        <w:rPr>
          <w:rFonts w:ascii="Times New Roman" w:hAnsi="Times New Roman"/>
          <w:color w:val="auto"/>
          <w:sz w:val="24"/>
          <w:szCs w:val="24"/>
          <w:u w:val="none" w:color="auto"/>
        </w:rPr>
        <w:t>个工作日进行，满足《环境影响评价公众参与办法》要求的7个工作日的时间节点要求。</w:t>
      </w:r>
      <w:r>
        <w:rPr>
          <w:rFonts w:ascii="Times New Roman" w:hAnsi="Times New Roman"/>
          <w:color w:val="auto"/>
          <w:sz w:val="24"/>
          <w:u w:val="none" w:color="auto"/>
        </w:rPr>
        <w:t>公示网</w:t>
      </w:r>
      <w:r>
        <w:rPr>
          <w:rFonts w:hint="eastAsia" w:ascii="Times New Roman" w:hAnsi="Times New Roman"/>
          <w:color w:val="auto"/>
          <w:sz w:val="24"/>
          <w:u w:val="none" w:color="auto"/>
        </w:rPr>
        <w:t>站</w:t>
      </w:r>
      <w:r>
        <w:rPr>
          <w:rFonts w:hint="eastAsia"/>
          <w:color w:val="auto"/>
          <w:sz w:val="24"/>
          <w:u w:val="none" w:color="auto"/>
          <w:lang w:val="en-US" w:eastAsia="zh-CN"/>
        </w:rPr>
        <w:t>环境影响评价信息公示平台</w:t>
      </w:r>
      <w:r>
        <w:rPr>
          <w:rFonts w:hint="eastAsia" w:ascii="Times New Roman" w:hAnsi="Times New Roman"/>
          <w:color w:val="auto"/>
          <w:sz w:val="24"/>
          <w:u w:val="none" w:color="auto"/>
        </w:rPr>
        <w:t>，网址为：http://www.norchem-pharma.com/news/56794_for_neibutongzhilan_text.htm</w:t>
      </w:r>
      <w:r>
        <w:rPr>
          <w:rFonts w:hint="eastAsia" w:ascii="Times New Roman" w:hAnsi="Times New Roman"/>
          <w:color w:val="auto"/>
          <w:sz w:val="24"/>
          <w:szCs w:val="24"/>
          <w:u w:val="none" w:color="auto"/>
        </w:rPr>
        <w:t>。</w:t>
      </w:r>
    </w:p>
    <w:p w14:paraId="27E796BD">
      <w:pPr>
        <w:spacing w:line="360" w:lineRule="auto"/>
        <w:ind w:firstLine="480" w:firstLineChars="200"/>
        <w:rPr>
          <w:rFonts w:hint="eastAsia" w:ascii="Times New Roman" w:hAnsi="Times New Roman"/>
          <w:color w:val="auto"/>
          <w:sz w:val="24"/>
          <w:szCs w:val="24"/>
          <w:u w:val="none" w:color="auto"/>
        </w:rPr>
      </w:pPr>
      <w:r>
        <w:rPr>
          <w:rFonts w:hint="eastAsia" w:ascii="Times New Roman" w:hAnsi="Times New Roman"/>
          <w:color w:val="auto"/>
          <w:sz w:val="24"/>
          <w:szCs w:val="24"/>
          <w:u w:val="none" w:color="auto"/>
        </w:rPr>
        <w:t>第一次公示内容包括了：设项目名称、选址选线、建设内容等基本情况；建设单位名称和联系方式；环境影响报告书编制单位的名称；公众意见表的网络链接；提交公众意见表的方式和途径。</w:t>
      </w:r>
    </w:p>
    <w:p w14:paraId="0910DC1B">
      <w:pPr>
        <w:keepNext/>
        <w:keepLines/>
        <w:spacing w:before="156" w:beforeLines="50" w:after="156" w:afterLines="50" w:line="360" w:lineRule="auto"/>
        <w:outlineLvl w:val="2"/>
        <w:rPr>
          <w:rFonts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rPr>
        <w:t>11.1.9 结论</w:t>
      </w:r>
      <w:bookmarkEnd w:id="344"/>
    </w:p>
    <w:p w14:paraId="66D89A59">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本项目建设符合国家产业政策，符合津市高新技术产业开发区规划环评及批复的要求，符合“三线一单”的控制要求，项目所在地环境质量现状较好，有一定的环境容量，工程选址合理；项目所采用废气、废水处理措施合理可行、污染防治措施技术经济可行，能保证各种污染物稳定达标排放；三废污染物排放不会改变区域环境功能现状；环境风险在可接受范围内；本项目的投产可取得良好的经济效益，同时可满足环境要求；加强环境管理后，可使项目建设符合国家要求；根据建设单位提供的公众参与说明材料，项目的建设得到了公众的支持，无人持反对意见。综上所述，从环境保护角度论证，本项目建设可行。</w:t>
      </w:r>
    </w:p>
    <w:p w14:paraId="1EA63E6C">
      <w:pPr>
        <w:keepNext/>
        <w:keepLines/>
        <w:spacing w:before="100" w:beforeAutospacing="1" w:after="100" w:afterAutospacing="1" w:line="360" w:lineRule="auto"/>
        <w:outlineLvl w:val="1"/>
        <w:rPr>
          <w:rFonts w:ascii="Times New Roman" w:hAnsi="Times New Roman" w:eastAsia="宋体" w:cs="Times New Roman"/>
          <w:b/>
          <w:bCs/>
          <w:color w:val="auto"/>
          <w:kern w:val="0"/>
          <w:sz w:val="28"/>
          <w:szCs w:val="28"/>
        </w:rPr>
      </w:pPr>
      <w:bookmarkStart w:id="345" w:name="_Toc25378"/>
      <w:bookmarkStart w:id="346" w:name="_Toc20967"/>
      <w:bookmarkStart w:id="347" w:name="_Toc2443"/>
      <w:bookmarkStart w:id="348" w:name="_Toc15313"/>
      <w:r>
        <w:rPr>
          <w:rFonts w:hint="eastAsia" w:ascii="Times New Roman" w:hAnsi="Times New Roman" w:eastAsia="宋体" w:cs="Times New Roman"/>
          <w:b/>
          <w:bCs/>
          <w:color w:val="auto"/>
          <w:kern w:val="0"/>
          <w:sz w:val="28"/>
          <w:szCs w:val="28"/>
        </w:rPr>
        <w:t>11.2 建议</w:t>
      </w:r>
      <w:bookmarkEnd w:id="345"/>
      <w:bookmarkEnd w:id="346"/>
      <w:bookmarkEnd w:id="347"/>
      <w:bookmarkEnd w:id="348"/>
    </w:p>
    <w:p w14:paraId="6AB572E6">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（1）严格执行“三同时”制度，落实环保投资，各项污染防治设施应与主体工程同时设计、同时施工、同时投入运行。</w:t>
      </w:r>
    </w:p>
    <w:p w14:paraId="4E05CE33">
      <w:pPr>
        <w:spacing w:line="360" w:lineRule="auto"/>
        <w:ind w:firstLine="480" w:firstLineChars="200"/>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rPr>
        <w:t>（2）建立和健全环保机构及各项环保规章制度，加强环境监测与环境管理，杜绝污染事故的发生。</w:t>
      </w:r>
    </w:p>
    <w:p w14:paraId="4FC462E7">
      <w:pPr>
        <w:spacing w:line="360" w:lineRule="auto"/>
        <w:ind w:firstLine="480" w:firstLineChars="200"/>
        <w:rPr>
          <w:rFonts w:ascii="Times New Roman" w:hAnsi="Times New Roman" w:eastAsia="宋体" w:cs="Times New Roman"/>
          <w:color w:val="FF0000"/>
          <w:sz w:val="24"/>
          <w:szCs w:val="24"/>
        </w:rPr>
      </w:pPr>
      <w:r>
        <w:rPr>
          <w:rFonts w:hint="eastAsia" w:ascii="Times New Roman" w:hAnsi="Times New Roman" w:eastAsia="宋体" w:cs="Times New Roman"/>
          <w:color w:val="auto"/>
          <w:sz w:val="24"/>
          <w:szCs w:val="24"/>
        </w:rPr>
        <w:t>（3）本评价要求建设单位在运营期间对环保处理设施开展安全风险评估和隐患排查治理，并组织开展安全评价工作，将环保处理设施的安全监管纳入安全评价内容，严格落实安评中的各项安全风险防范措施。</w:t>
      </w:r>
    </w:p>
    <w:p w14:paraId="3C1312BB">
      <w:pPr>
        <w:spacing w:line="360" w:lineRule="auto"/>
        <w:ind w:firstLine="480" w:firstLineChars="200"/>
        <w:rPr>
          <w:rFonts w:ascii="Times New Roman" w:hAnsi="Times New Roman" w:eastAsia="宋体" w:cs="Times New Roman"/>
          <w:color w:val="FF0000"/>
          <w:kern w:val="0"/>
          <w:sz w:val="24"/>
          <w:szCs w:val="24"/>
        </w:rPr>
      </w:pPr>
    </w:p>
    <w:p w14:paraId="42C26F78">
      <w:pPr>
        <w:spacing w:line="360" w:lineRule="auto"/>
        <w:ind w:firstLine="480" w:firstLineChars="200"/>
        <w:rPr>
          <w:rFonts w:ascii="Times New Roman" w:hAnsi="Times New Roman" w:eastAsia="宋体" w:cs="Times New Roman"/>
          <w:color w:val="FF0000"/>
          <w:sz w:val="24"/>
          <w:szCs w:val="24"/>
        </w:rPr>
      </w:pPr>
    </w:p>
    <w:p w14:paraId="383B18C6">
      <w:pPr>
        <w:spacing w:line="360" w:lineRule="auto"/>
        <w:ind w:firstLine="480" w:firstLineChars="200"/>
        <w:rPr>
          <w:rFonts w:ascii="Times New Roman" w:hAnsi="Times New Roman" w:eastAsia="宋体" w:cs="Times New Roman"/>
          <w:color w:val="FF0000"/>
          <w:sz w:val="24"/>
          <w:szCs w:val="24"/>
        </w:rPr>
      </w:pPr>
    </w:p>
    <w:bookmarkEnd w:id="208"/>
    <w:p w14:paraId="4E323706">
      <w:pPr>
        <w:spacing w:line="360" w:lineRule="auto"/>
        <w:ind w:firstLine="480" w:firstLineChars="200"/>
        <w:rPr>
          <w:rFonts w:ascii="Times New Roman" w:hAnsi="Times New Roman" w:eastAsia="宋体" w:cs="Times New Roman"/>
          <w:color w:val="FF0000"/>
          <w:sz w:val="24"/>
          <w:szCs w:val="24"/>
        </w:rPr>
      </w:pPr>
    </w:p>
    <w:sectPr>
      <w:pgSz w:w="11906" w:h="16838"/>
      <w:pgMar w:top="1440" w:right="1800" w:bottom="1440" w:left="1800"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新宋体-18030">
    <w:altName w:val="宋体"/>
    <w:panose1 w:val="00000000000000000000"/>
    <w:charset w:val="00"/>
    <w:family w:val="auto"/>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楷体_GB2312">
    <w:altName w:val="楷体"/>
    <w:panose1 w:val="02010609030101010101"/>
    <w:charset w:val="86"/>
    <w:family w:val="modern"/>
    <w:pitch w:val="default"/>
    <w:sig w:usb0="00000000" w:usb1="00000000" w:usb2="00000000" w:usb3="00000000" w:csb0="00040000" w:csb1="00000000"/>
  </w:font>
  <w:font w:name="CG Times (WN)">
    <w:altName w:val="Times New Roman"/>
    <w:panose1 w:val="00000000000000000000"/>
    <w:charset w:val="00"/>
    <w:family w:val="auto"/>
    <w:pitch w:val="default"/>
    <w:sig w:usb0="00000000" w:usb1="00000000" w:usb2="00000000" w:usb3="00000000" w:csb0="00000001" w:csb1="00000000"/>
  </w:font>
  <w:font w:name="Arial Unicode MS">
    <w:panose1 w:val="020B0604020202020204"/>
    <w:charset w:val="86"/>
    <w:family w:val="swiss"/>
    <w:pitch w:val="default"/>
    <w:sig w:usb0="F7FFAEFF" w:usb1="F9DFFFFF" w:usb2="0000007F" w:usb3="00000000" w:csb0="203F01FF" w:csb1="DFFF0000"/>
  </w:font>
  <w:font w:name="Times">
    <w:altName w:val="Times New Roman"/>
    <w:panose1 w:val="02020603050405020304"/>
    <w:charset w:val="00"/>
    <w:family w:val="roman"/>
    <w:pitch w:val="default"/>
    <w:sig w:usb0="00000000" w:usb1="00000000" w:usb2="00000000" w:usb3="00000000" w:csb0="00000093" w:csb1="00000000"/>
  </w:font>
  <w:font w:name="Arial Black">
    <w:panose1 w:val="020B0A04020102020204"/>
    <w:charset w:val="00"/>
    <w:family w:val="swiss"/>
    <w:pitch w:val="default"/>
    <w:sig w:usb0="A00002AF" w:usb1="400078FB" w:usb2="00000000" w:usb3="00000000" w:csb0="6000009F" w:csb1="DFD70000"/>
  </w:font>
  <w:font w:name="Verdana">
    <w:panose1 w:val="020B0604030504040204"/>
    <w:charset w:val="00"/>
    <w:family w:val="swiss"/>
    <w:pitch w:val="default"/>
    <w:sig w:usb0="A00006FF" w:usb1="4000205B" w:usb2="00000010" w:usb3="00000000" w:csb0="2000019F" w:csb1="00000000"/>
  </w:font>
  <w:font w:name="”“Times New Roman”“">
    <w:altName w:val="宋体"/>
    <w:panose1 w:val="00000000000000000000"/>
    <w:charset w:val="86"/>
    <w:family w:val="roman"/>
    <w:pitch w:val="default"/>
    <w:sig w:usb0="00000000" w:usb1="00000000" w:usb2="00000010" w:usb3="00000000" w:csb0="00040000"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Cambria Math">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FCB6F1">
    <w:pPr>
      <w:pStyle w:val="26"/>
      <w:ind w:firstLine="42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3A544B">
    <w:pPr>
      <w:pStyle w:val="26"/>
      <w:ind w:firstLine="420"/>
      <w:jc w:val="cente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334010" cy="229870"/>
              <wp:effectExtent l="0" t="0" r="1905" b="2540"/>
              <wp:wrapNone/>
              <wp:docPr id="74" name="文本框 108"/>
              <wp:cNvGraphicFramePr/>
              <a:graphic xmlns:a="http://schemas.openxmlformats.org/drawingml/2006/main">
                <a:graphicData uri="http://schemas.microsoft.com/office/word/2010/wordprocessingShape">
                  <wps:wsp>
                    <wps:cNvSpPr txBox="1"/>
                    <wps:spPr>
                      <a:xfrm>
                        <a:off x="0" y="0"/>
                        <a:ext cx="334010" cy="229870"/>
                      </a:xfrm>
                      <a:prstGeom prst="rect">
                        <a:avLst/>
                      </a:prstGeom>
                      <a:noFill/>
                      <a:ln w="6350">
                        <a:noFill/>
                      </a:ln>
                    </wps:spPr>
                    <wps:txbx>
                      <w:txbxContent>
                        <w:p w14:paraId="6C8B3D4D">
                          <w:pPr>
                            <w:pStyle w:val="26"/>
                            <w:ind w:firstLine="420"/>
                            <w:jc w:val="center"/>
                            <w:rPr>
                              <w:rFonts w:ascii="Times New Roman" w:hAnsi="Times New Roman" w:cs="Times New Roman"/>
                              <w:sz w:val="21"/>
                              <w:szCs w:val="21"/>
                            </w:rPr>
                          </w:pPr>
                          <w:r>
                            <w:rPr>
                              <w:rFonts w:ascii="Times New Roman" w:hAnsi="Times New Roman" w:cs="Times New Roman"/>
                              <w:sz w:val="21"/>
                              <w:szCs w:val="21"/>
                            </w:rPr>
                            <w:fldChar w:fldCharType="begin"/>
                          </w:r>
                          <w:r>
                            <w:rPr>
                              <w:rFonts w:ascii="Times New Roman" w:hAnsi="Times New Roman" w:cs="Times New Roman"/>
                              <w:sz w:val="21"/>
                              <w:szCs w:val="21"/>
                            </w:rPr>
                            <w:instrText xml:space="preserve">PAGE   \* MERGEFORMAT</w:instrText>
                          </w:r>
                          <w:r>
                            <w:rPr>
                              <w:rFonts w:ascii="Times New Roman" w:hAnsi="Times New Roman" w:cs="Times New Roman"/>
                              <w:sz w:val="21"/>
                              <w:szCs w:val="21"/>
                            </w:rPr>
                            <w:fldChar w:fldCharType="separate"/>
                          </w:r>
                          <w:r>
                            <w:rPr>
                              <w:rFonts w:ascii="Times New Roman" w:hAnsi="Times New Roman" w:cs="Times New Roman"/>
                              <w:sz w:val="21"/>
                              <w:szCs w:val="21"/>
                              <w:lang w:val="zh-CN"/>
                            </w:rPr>
                            <w:t>2</w:t>
                          </w:r>
                          <w:r>
                            <w:rPr>
                              <w:rFonts w:ascii="Times New Roman" w:hAnsi="Times New Roman" w:cs="Times New Roman"/>
                              <w:sz w:val="21"/>
                              <w:szCs w:val="21"/>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8" o:spid="_x0000_s1026" o:spt="202" type="#_x0000_t202" style="position:absolute;left:0pt;margin-top:0pt;height:18.1pt;width:26.3pt;mso-position-horizontal:center;mso-position-horizontal-relative:margin;mso-wrap-style:none;z-index:251663360;mso-width-relative:page;mso-height-relative:page;" filled="f" stroked="f" coordsize="21600,21600" o:gfxdata="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NF5bdvSAAAAAwEAAA8AAAAAAAAAAQAgAAAAIgAAAGRycy9kb3ducmV2LnhtbFBLAQIU&#10;ABQAAAAIAIdO4kCdlyPCMgIAAFYEAAAOAAAAAAAAAAEAIAAAACEBAABkcnMvZTJvRG9jLnhtbFBL&#10;BQYAAAAABgAGAFkBAADFBQAAAAA=&#10;">
              <v:fill on="f" focussize="0,0"/>
              <v:stroke on="f" weight="0.5pt"/>
              <v:imagedata o:title=""/>
              <o:lock v:ext="edit" aspectratio="f"/>
              <v:textbox inset="0mm,0mm,0mm,0mm" style="mso-fit-shape-to-text:t;">
                <w:txbxContent>
                  <w:p w14:paraId="6C8B3D4D">
                    <w:pPr>
                      <w:pStyle w:val="26"/>
                      <w:ind w:firstLine="420"/>
                      <w:jc w:val="center"/>
                      <w:rPr>
                        <w:rFonts w:ascii="Times New Roman" w:hAnsi="Times New Roman" w:cs="Times New Roman"/>
                        <w:sz w:val="21"/>
                        <w:szCs w:val="21"/>
                      </w:rPr>
                    </w:pPr>
                    <w:r>
                      <w:rPr>
                        <w:rFonts w:ascii="Times New Roman" w:hAnsi="Times New Roman" w:cs="Times New Roman"/>
                        <w:sz w:val="21"/>
                        <w:szCs w:val="21"/>
                      </w:rPr>
                      <w:fldChar w:fldCharType="begin"/>
                    </w:r>
                    <w:r>
                      <w:rPr>
                        <w:rFonts w:ascii="Times New Roman" w:hAnsi="Times New Roman" w:cs="Times New Roman"/>
                        <w:sz w:val="21"/>
                        <w:szCs w:val="21"/>
                      </w:rPr>
                      <w:instrText xml:space="preserve">PAGE   \* MERGEFORMAT</w:instrText>
                    </w:r>
                    <w:r>
                      <w:rPr>
                        <w:rFonts w:ascii="Times New Roman" w:hAnsi="Times New Roman" w:cs="Times New Roman"/>
                        <w:sz w:val="21"/>
                        <w:szCs w:val="21"/>
                      </w:rPr>
                      <w:fldChar w:fldCharType="separate"/>
                    </w:r>
                    <w:r>
                      <w:rPr>
                        <w:rFonts w:ascii="Times New Roman" w:hAnsi="Times New Roman" w:cs="Times New Roman"/>
                        <w:sz w:val="21"/>
                        <w:szCs w:val="21"/>
                        <w:lang w:val="zh-CN"/>
                      </w:rPr>
                      <w:t>2</w:t>
                    </w:r>
                    <w:r>
                      <w:rPr>
                        <w:rFonts w:ascii="Times New Roman" w:hAnsi="Times New Roman" w:cs="Times New Roman"/>
                        <w:sz w:val="21"/>
                        <w:szCs w:val="21"/>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F0826C">
    <w:pPr>
      <w:snapToGrid w:val="0"/>
      <w:ind w:firstLine="360"/>
      <w:rPr>
        <w:kern w:val="0"/>
        <w:sz w:val="18"/>
        <w:szCs w:val="18"/>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343535" cy="196850"/>
              <wp:effectExtent l="0" t="0" r="11430" b="6350"/>
              <wp:wrapNone/>
              <wp:docPr id="906330704" name="文本框 109"/>
              <wp:cNvGraphicFramePr/>
              <a:graphic xmlns:a="http://schemas.openxmlformats.org/drawingml/2006/main">
                <a:graphicData uri="http://schemas.microsoft.com/office/word/2010/wordprocessingShape">
                  <wps:wsp>
                    <wps:cNvSpPr txBox="1"/>
                    <wps:spPr>
                      <a:xfrm>
                        <a:off x="0" y="0"/>
                        <a:ext cx="343535" cy="196850"/>
                      </a:xfrm>
                      <a:prstGeom prst="rect">
                        <a:avLst/>
                      </a:prstGeom>
                      <a:noFill/>
                      <a:ln w="6350">
                        <a:noFill/>
                      </a:ln>
                    </wps:spPr>
                    <wps:txbx>
                      <w:txbxContent>
                        <w:p w14:paraId="1C3DC07B">
                          <w:pPr>
                            <w:pStyle w:val="26"/>
                            <w:ind w:firstLine="480"/>
                          </w:pPr>
                          <w:r>
                            <w:fldChar w:fldCharType="begin"/>
                          </w:r>
                          <w:r>
                            <w:instrText xml:space="preserve"> PAGE  \* MERGEFORMAT </w:instrText>
                          </w:r>
                          <w:r>
                            <w:fldChar w:fldCharType="separate"/>
                          </w:r>
                          <w:r>
                            <w:t>55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9" o:spid="_x0000_s1026" o:spt="202" type="#_x0000_t202" style="position:absolute;left:0pt;margin-top:0pt;height:15.5pt;width:27.05pt;mso-position-horizontal:center;mso-position-horizontal-relative:margin;mso-wrap-style:none;z-index:251664384;mso-width-relative:page;mso-height-relative:page;" filled="f" stroked="f" coordsize="21600,21600" o:gfxdata="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e5H0mdEAAAADAQAADwAAAAAAAAABACAAAAAiAAAAZHJzL2Rvd25yZXYueG1s&#10;UEsBAhQAFAAAAAgAh07iQGsOZ9M4AgAAXQQAAA4AAAAAAAAAAQAgAAAAIAEAAGRycy9lMm9Eb2Mu&#10;eG1sUEsFBgAAAAAGAAYAWQEAAMoFAAAAAA==&#10;">
              <v:fill on="f" focussize="0,0"/>
              <v:stroke on="f" weight="0.5pt"/>
              <v:imagedata o:title=""/>
              <o:lock v:ext="edit" aspectratio="f"/>
              <v:textbox inset="0mm,0mm,0mm,0mm" style="mso-fit-shape-to-text:t;">
                <w:txbxContent>
                  <w:p w14:paraId="1C3DC07B">
                    <w:pPr>
                      <w:pStyle w:val="26"/>
                      <w:ind w:firstLine="480"/>
                    </w:pPr>
                    <w:r>
                      <w:fldChar w:fldCharType="begin"/>
                    </w:r>
                    <w:r>
                      <w:instrText xml:space="preserve"> PAGE  \* MERGEFORMAT </w:instrText>
                    </w:r>
                    <w:r>
                      <w:fldChar w:fldCharType="separate"/>
                    </w:r>
                    <w:r>
                      <w:t>55</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FB50A7">
    <w:pPr>
      <w:snapToGrid w:val="0"/>
      <w:ind w:firstLine="360"/>
      <w:rPr>
        <w:kern w:val="0"/>
        <w:sz w:val="18"/>
        <w:szCs w:val="18"/>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343535" cy="196850"/>
              <wp:effectExtent l="0" t="0" r="11430" b="6350"/>
              <wp:wrapNone/>
              <wp:docPr id="7" name="文本框 109"/>
              <wp:cNvGraphicFramePr/>
              <a:graphic xmlns:a="http://schemas.openxmlformats.org/drawingml/2006/main">
                <a:graphicData uri="http://schemas.microsoft.com/office/word/2010/wordprocessingShape">
                  <wps:wsp>
                    <wps:cNvSpPr txBox="1"/>
                    <wps:spPr>
                      <a:xfrm>
                        <a:off x="0" y="0"/>
                        <a:ext cx="343535" cy="196850"/>
                      </a:xfrm>
                      <a:prstGeom prst="rect">
                        <a:avLst/>
                      </a:prstGeom>
                      <a:noFill/>
                      <a:ln w="6350">
                        <a:noFill/>
                      </a:ln>
                    </wps:spPr>
                    <wps:txbx>
                      <w:txbxContent>
                        <w:p w14:paraId="1ACC0C7D">
                          <w:pPr>
                            <w:pStyle w:val="26"/>
                            <w:ind w:firstLine="480"/>
                          </w:pPr>
                          <w:r>
                            <w:fldChar w:fldCharType="begin"/>
                          </w:r>
                          <w:r>
                            <w:instrText xml:space="preserve"> PAGE  \* MERGEFORMAT </w:instrText>
                          </w:r>
                          <w:r>
                            <w:fldChar w:fldCharType="separate"/>
                          </w:r>
                          <w:r>
                            <w:t>55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9" o:spid="_x0000_s1026" o:spt="202" type="#_x0000_t202" style="position:absolute;left:0pt;margin-top:0pt;height:15.5pt;width:27.05pt;mso-position-horizontal:center;mso-position-horizontal-relative:margin;mso-wrap-style:none;z-index:251662336;mso-width-relative:page;mso-height-relative:page;" filled="f" stroked="f" coordsize="21600,21600" o:gfxdata="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e5H0mdEAAAADAQAADwAAAAAAAAABACAAAAAiAAAAZHJzL2Rvd25yZXYueG1sUEsBAhQA&#10;FAAAAAgAh07iQB8WLAkyAgAAVQQAAA4AAAAAAAAAAQAgAAAAIAEAAGRycy9lMm9Eb2MueG1sUEsF&#10;BgAAAAAGAAYAWQEAAMQFAAAAAA==&#10;">
              <v:fill on="f" focussize="0,0"/>
              <v:stroke on="f" weight="0.5pt"/>
              <v:imagedata o:title=""/>
              <o:lock v:ext="edit" aspectratio="f"/>
              <v:textbox inset="0mm,0mm,0mm,0mm" style="mso-fit-shape-to-text:t;">
                <w:txbxContent>
                  <w:p w14:paraId="1ACC0C7D">
                    <w:pPr>
                      <w:pStyle w:val="26"/>
                      <w:ind w:firstLine="480"/>
                    </w:pPr>
                    <w:r>
                      <w:fldChar w:fldCharType="begin"/>
                    </w:r>
                    <w:r>
                      <w:instrText xml:space="preserve"> PAGE  \* MERGEFORMAT </w:instrText>
                    </w:r>
                    <w:r>
                      <w:fldChar w:fldCharType="separate"/>
                    </w:r>
                    <w:r>
                      <w:t>55</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87BC07">
    <w:pPr>
      <w:snapToGrid w:val="0"/>
      <w:ind w:firstLine="360"/>
      <w:rPr>
        <w:kern w:val="0"/>
        <w:sz w:val="18"/>
        <w:szCs w:val="18"/>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343535" cy="196850"/>
              <wp:effectExtent l="0" t="0" r="0" b="0"/>
              <wp:wrapNone/>
              <wp:docPr id="1283529711" name="文本框 109"/>
              <wp:cNvGraphicFramePr/>
              <a:graphic xmlns:a="http://schemas.openxmlformats.org/drawingml/2006/main">
                <a:graphicData uri="http://schemas.microsoft.com/office/word/2010/wordprocessingShape">
                  <wps:wsp>
                    <wps:cNvSpPr txBox="1"/>
                    <wps:spPr>
                      <a:xfrm>
                        <a:off x="0" y="0"/>
                        <a:ext cx="343535" cy="196850"/>
                      </a:xfrm>
                      <a:prstGeom prst="rect">
                        <a:avLst/>
                      </a:prstGeom>
                      <a:noFill/>
                      <a:ln w="6350">
                        <a:noFill/>
                      </a:ln>
                    </wps:spPr>
                    <wps:txbx>
                      <w:txbxContent>
                        <w:p w14:paraId="0C9D5BDD">
                          <w:pPr>
                            <w:pStyle w:val="26"/>
                            <w:ind w:firstLine="480"/>
                          </w:pPr>
                          <w:r>
                            <w:fldChar w:fldCharType="begin"/>
                          </w:r>
                          <w:r>
                            <w:instrText xml:space="preserve"> PAGE  \* MERGEFORMAT </w:instrText>
                          </w:r>
                          <w:r>
                            <w:fldChar w:fldCharType="separate"/>
                          </w:r>
                          <w:r>
                            <w:t>55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9" o:spid="_x0000_s1026" o:spt="202" type="#_x0000_t202" style="position:absolute;left:0pt;margin-top:0pt;height:15.5pt;width:27.05pt;mso-position-horizontal:center;mso-position-horizontal-relative:margin;mso-wrap-style:none;z-index:251667456;mso-width-relative:page;mso-height-relative:page;" filled="f" stroked="f" coordsize="21600,21600" o:gfxdata="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7kfSZ0QAAAAMBAAAPAAAAAAAAAAEAIAAAACIAAABkcnMvZG93bnJldi54bWxQ&#10;SwECFAAUAAAACACHTuJAtZn5YDcCAABeBAAADgAAAAAAAAABACAAAAAgAQAAZHJzL2Uyb0RvYy54&#10;bWxQSwUGAAAAAAYABgBZAQAAyQUAAAAA&#10;">
              <v:fill on="f" focussize="0,0"/>
              <v:stroke on="f" weight="0.5pt"/>
              <v:imagedata o:title=""/>
              <o:lock v:ext="edit" aspectratio="f"/>
              <v:textbox inset="0mm,0mm,0mm,0mm" style="mso-fit-shape-to-text:t;">
                <w:txbxContent>
                  <w:p w14:paraId="0C9D5BDD">
                    <w:pPr>
                      <w:pStyle w:val="26"/>
                      <w:ind w:firstLine="480"/>
                    </w:pPr>
                    <w:r>
                      <w:fldChar w:fldCharType="begin"/>
                    </w:r>
                    <w:r>
                      <w:instrText xml:space="preserve"> PAGE  \* MERGEFORMAT </w:instrText>
                    </w:r>
                    <w:r>
                      <w:fldChar w:fldCharType="separate"/>
                    </w:r>
                    <w:r>
                      <w:t>55</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ABEBF5">
    <w:pPr>
      <w:snapToGrid w:val="0"/>
      <w:ind w:firstLine="360"/>
      <w:rPr>
        <w:kern w:val="0"/>
        <w:sz w:val="18"/>
        <w:szCs w:val="18"/>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343535" cy="196850"/>
              <wp:effectExtent l="0" t="0" r="0" b="0"/>
              <wp:wrapNone/>
              <wp:docPr id="159" name="文本框 109"/>
              <wp:cNvGraphicFramePr/>
              <a:graphic xmlns:a="http://schemas.openxmlformats.org/drawingml/2006/main">
                <a:graphicData uri="http://schemas.microsoft.com/office/word/2010/wordprocessingShape">
                  <wps:wsp>
                    <wps:cNvSpPr txBox="1"/>
                    <wps:spPr>
                      <a:xfrm>
                        <a:off x="0" y="0"/>
                        <a:ext cx="343535" cy="196850"/>
                      </a:xfrm>
                      <a:prstGeom prst="rect">
                        <a:avLst/>
                      </a:prstGeom>
                      <a:noFill/>
                      <a:ln w="6350">
                        <a:noFill/>
                      </a:ln>
                    </wps:spPr>
                    <wps:txbx>
                      <w:txbxContent>
                        <w:p w14:paraId="3F73D751">
                          <w:pPr>
                            <w:pStyle w:val="26"/>
                            <w:ind w:firstLine="480"/>
                          </w:pPr>
                          <w:r>
                            <w:fldChar w:fldCharType="begin"/>
                          </w:r>
                          <w:r>
                            <w:instrText xml:space="preserve"> PAGE  \* MERGEFORMAT </w:instrText>
                          </w:r>
                          <w:r>
                            <w:fldChar w:fldCharType="separate"/>
                          </w:r>
                          <w:r>
                            <w:t>55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9" o:spid="_x0000_s1026" o:spt="202" type="#_x0000_t202" style="position:absolute;left:0pt;margin-top:0pt;height:15.5pt;width:27.05pt;mso-position-horizontal:center;mso-position-horizontal-relative:margin;mso-wrap-style:none;z-index:251665408;mso-width-relative:page;mso-height-relative:page;" filled="f" stroked="f" coordsize="21600,21600" o:gfxdata="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HuR9JnRAAAAAwEAAA8AAAAAAAAAAQAgAAAAIgAAAGRycy9kb3ducmV2LnhtbFBLAQIU&#10;ABQAAAAIAIdO4kCEfRUGMwIAAFcEAAAOAAAAAAAAAAEAIAAAACABAABkcnMvZTJvRG9jLnhtbFBL&#10;BQYAAAAABgAGAFkBAADFBQAAAAA=&#10;">
              <v:fill on="f" focussize="0,0"/>
              <v:stroke on="f" weight="0.5pt"/>
              <v:imagedata o:title=""/>
              <o:lock v:ext="edit" aspectratio="f"/>
              <v:textbox inset="0mm,0mm,0mm,0mm" style="mso-fit-shape-to-text:t;">
                <w:txbxContent>
                  <w:p w14:paraId="3F73D751">
                    <w:pPr>
                      <w:pStyle w:val="26"/>
                      <w:ind w:firstLine="480"/>
                    </w:pPr>
                    <w:r>
                      <w:fldChar w:fldCharType="begin"/>
                    </w:r>
                    <w:r>
                      <w:instrText xml:space="preserve"> PAGE  \* MERGEFORMAT </w:instrText>
                    </w:r>
                    <w:r>
                      <w:fldChar w:fldCharType="separate"/>
                    </w:r>
                    <w:r>
                      <w:t>55</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42AC10">
    <w:pPr>
      <w:snapToGrid w:val="0"/>
      <w:ind w:firstLine="360"/>
      <w:rPr>
        <w:kern w:val="0"/>
        <w:sz w:val="18"/>
        <w:szCs w:val="18"/>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343535" cy="196850"/>
              <wp:effectExtent l="0" t="0" r="0" b="0"/>
              <wp:wrapNone/>
              <wp:docPr id="1188360000" name="文本框 109"/>
              <wp:cNvGraphicFramePr/>
              <a:graphic xmlns:a="http://schemas.openxmlformats.org/drawingml/2006/main">
                <a:graphicData uri="http://schemas.microsoft.com/office/word/2010/wordprocessingShape">
                  <wps:wsp>
                    <wps:cNvSpPr txBox="1"/>
                    <wps:spPr>
                      <a:xfrm>
                        <a:off x="0" y="0"/>
                        <a:ext cx="343535" cy="196850"/>
                      </a:xfrm>
                      <a:prstGeom prst="rect">
                        <a:avLst/>
                      </a:prstGeom>
                      <a:noFill/>
                      <a:ln w="6350">
                        <a:noFill/>
                      </a:ln>
                    </wps:spPr>
                    <wps:txbx>
                      <w:txbxContent>
                        <w:p w14:paraId="673CF355">
                          <w:pPr>
                            <w:pStyle w:val="26"/>
                            <w:ind w:firstLine="480"/>
                          </w:pPr>
                          <w:r>
                            <w:fldChar w:fldCharType="begin"/>
                          </w:r>
                          <w:r>
                            <w:instrText xml:space="preserve"> PAGE  \* MERGEFORMAT </w:instrText>
                          </w:r>
                          <w:r>
                            <w:fldChar w:fldCharType="separate"/>
                          </w:r>
                          <w:r>
                            <w:t>55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9" o:spid="_x0000_s1026" o:spt="202" type="#_x0000_t202" style="position:absolute;left:0pt;margin-top:0pt;height:15.5pt;width:27.05pt;mso-position-horizontal:center;mso-position-horizontal-relative:margin;mso-wrap-style:none;z-index:251666432;mso-width-relative:page;mso-height-relative:page;" filled="f" stroked="f" coordsize="21600,21600" o:gfxdata="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e5H0mdEAAAADAQAADwAAAAAAAAABACAAAAAiAAAAZHJzL2Rvd25yZXYueG1s&#10;UEsBAhQAFAAAAAgAh07iQF81hN84AgAAXgQAAA4AAAAAAAAAAQAgAAAAIAEAAGRycy9lMm9Eb2Mu&#10;eG1sUEsFBgAAAAAGAAYAWQEAAMoFAAAAAA==&#10;">
              <v:fill on="f" focussize="0,0"/>
              <v:stroke on="f" weight="0.5pt"/>
              <v:imagedata o:title=""/>
              <o:lock v:ext="edit" aspectratio="f"/>
              <v:textbox inset="0mm,0mm,0mm,0mm" style="mso-fit-shape-to-text:t;">
                <w:txbxContent>
                  <w:p w14:paraId="673CF355">
                    <w:pPr>
                      <w:pStyle w:val="26"/>
                      <w:ind w:firstLine="480"/>
                    </w:pPr>
                    <w:r>
                      <w:fldChar w:fldCharType="begin"/>
                    </w:r>
                    <w:r>
                      <w:instrText xml:space="preserve"> PAGE  \* MERGEFORMAT </w:instrText>
                    </w:r>
                    <w:r>
                      <w:fldChar w:fldCharType="separate"/>
                    </w:r>
                    <w:r>
                      <w:t>55</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E91EC8">
    <w:pPr>
      <w:pBdr>
        <w:bottom w:val="none" w:color="auto" w:sz="0" w:space="1"/>
      </w:pBdr>
      <w:snapToGrid w:val="0"/>
      <w:ind w:firstLine="360"/>
      <w:jc w:val="right"/>
      <w:rPr>
        <w:kern w:val="0"/>
        <w:sz w:val="18"/>
        <w:szCs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688E90">
    <w:pPr>
      <w:pBdr>
        <w:bottom w:val="none" w:color="auto" w:sz="0" w:space="1"/>
      </w:pBdr>
      <w:snapToGrid w:val="0"/>
      <w:ind w:firstLine="360"/>
      <w:jc w:val="right"/>
      <w:rPr>
        <w:kern w:val="0"/>
        <w:sz w:val="18"/>
        <w:szCs w:val="1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F2BD0B">
    <w:pPr>
      <w:pStyle w:val="27"/>
      <w:pBdr>
        <w:bottom w:val="none" w:color="auto" w:sz="0" w:space="1"/>
      </w:pBdr>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1173C2">
    <w:pPr>
      <w:pStyle w:val="27"/>
      <w:pBdr>
        <w:bottom w:val="none" w:color="auto" w:sz="0" w:space="1"/>
      </w:pBdr>
      <w:ind w:firstLine="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06D2A4">
    <w:pPr>
      <w:pStyle w:val="27"/>
      <w:pBdr>
        <w:bottom w:val="none" w:color="auto" w:sz="0" w:space="1"/>
      </w:pBdr>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663C0E"/>
    <w:multiLevelType w:val="singleLevel"/>
    <w:tmpl w:val="86663C0E"/>
    <w:lvl w:ilvl="0" w:tentative="0">
      <w:start w:val="2"/>
      <w:numFmt w:val="decimal"/>
      <w:suff w:val="nothing"/>
      <w:lvlText w:val="（%1）"/>
      <w:lvlJc w:val="left"/>
    </w:lvl>
  </w:abstractNum>
  <w:abstractNum w:abstractNumId="1">
    <w:nsid w:val="C7B4A2A3"/>
    <w:multiLevelType w:val="singleLevel"/>
    <w:tmpl w:val="C7B4A2A3"/>
    <w:lvl w:ilvl="0" w:tentative="0">
      <w:start w:val="1"/>
      <w:numFmt w:val="decimal"/>
      <w:suff w:val="nothing"/>
      <w:lvlText w:val="%1、"/>
      <w:lvlJc w:val="left"/>
    </w:lvl>
  </w:abstractNum>
  <w:abstractNum w:abstractNumId="2">
    <w:nsid w:val="19206B8A"/>
    <w:multiLevelType w:val="singleLevel"/>
    <w:tmpl w:val="19206B8A"/>
    <w:lvl w:ilvl="0" w:tentative="0">
      <w:start w:val="1"/>
      <w:numFmt w:val="decimal"/>
      <w:lvlText w:val="%1."/>
      <w:lvlJc w:val="left"/>
      <w:pPr>
        <w:ind w:left="425" w:hanging="425"/>
      </w:pPr>
      <w:rPr>
        <w:rFonts w:hint="default"/>
      </w:rPr>
    </w:lvl>
  </w:abstractNum>
  <w:abstractNum w:abstractNumId="3">
    <w:nsid w:val="192AC462"/>
    <w:multiLevelType w:val="singleLevel"/>
    <w:tmpl w:val="192AC462"/>
    <w:lvl w:ilvl="0" w:tentative="0">
      <w:start w:val="1"/>
      <w:numFmt w:val="chineseCounting"/>
      <w:suff w:val="nothing"/>
      <w:lvlText w:val="（%1）"/>
      <w:lvlJc w:val="left"/>
      <w:rPr>
        <w:rFonts w:hint="eastAsia"/>
      </w:rPr>
    </w:lvl>
  </w:abstractNum>
  <w:abstractNum w:abstractNumId="4">
    <w:nsid w:val="28FF05A0"/>
    <w:multiLevelType w:val="multilevel"/>
    <w:tmpl w:val="28FF05A0"/>
    <w:lvl w:ilvl="0" w:tentative="0">
      <w:start w:val="1"/>
      <w:numFmt w:val="chineseCounting"/>
      <w:pStyle w:val="275"/>
      <w:suff w:val="nothing"/>
      <w:lvlText w:val="第%1章 "/>
      <w:lvlJc w:val="left"/>
      <w:pPr>
        <w:ind w:left="432" w:hanging="432"/>
      </w:pPr>
      <w:rPr>
        <w:rFonts w:hint="eastAsia"/>
      </w:rPr>
    </w:lvl>
    <w:lvl w:ilvl="1" w:tentative="0">
      <w:start w:val="1"/>
      <w:numFmt w:val="decimal"/>
      <w:isLgl/>
      <w:lvlText w:val="%1.%2."/>
      <w:lvlJc w:val="left"/>
      <w:pPr>
        <w:ind w:left="575" w:hanging="575"/>
      </w:pPr>
      <w:rPr>
        <w:rFonts w:hint="eastAsia"/>
      </w:rPr>
    </w:lvl>
    <w:lvl w:ilvl="2" w:tentative="0">
      <w:start w:val="1"/>
      <w:numFmt w:val="decimal"/>
      <w:isLgl/>
      <w:lvlText w:val="%1.%2.%3."/>
      <w:lvlJc w:val="left"/>
      <w:pPr>
        <w:ind w:left="720" w:hanging="720"/>
      </w:pPr>
      <w:rPr>
        <w:rFonts w:hint="eastAsia"/>
      </w:rPr>
    </w:lvl>
    <w:lvl w:ilvl="3" w:tentative="0">
      <w:start w:val="1"/>
      <w:numFmt w:val="decimal"/>
      <w:isLgl/>
      <w:lvlText w:val="%1.%2.%3.%4."/>
      <w:lvlJc w:val="left"/>
      <w:pPr>
        <w:ind w:left="864" w:hanging="864"/>
      </w:pPr>
      <w:rPr>
        <w:rFonts w:hint="eastAsia"/>
      </w:rPr>
    </w:lvl>
    <w:lvl w:ilvl="4" w:tentative="0">
      <w:start w:val="1"/>
      <w:numFmt w:val="decimal"/>
      <w:isLgl/>
      <w:lvlText w:val="%1.%2.%3.%4.%5."/>
      <w:lvlJc w:val="left"/>
      <w:pPr>
        <w:ind w:left="2709" w:hanging="1008"/>
      </w:pPr>
      <w:rPr>
        <w:rFonts w:hint="eastAsia"/>
      </w:rPr>
    </w:lvl>
    <w:lvl w:ilvl="5" w:tentative="0">
      <w:start w:val="1"/>
      <w:numFmt w:val="decimal"/>
      <w:isLgl/>
      <w:lvlText w:val="%1.%2.%3.%4.%5.%6."/>
      <w:lvlJc w:val="left"/>
      <w:pPr>
        <w:ind w:left="1151" w:hanging="1151"/>
      </w:pPr>
      <w:rPr>
        <w:rFonts w:hint="eastAsia"/>
      </w:rPr>
    </w:lvl>
    <w:lvl w:ilvl="6" w:tentative="0">
      <w:start w:val="1"/>
      <w:numFmt w:val="decimal"/>
      <w:isLgl/>
      <w:lvlText w:val="%1.%2.%3.%4.%5.%6.%7."/>
      <w:lvlJc w:val="left"/>
      <w:pPr>
        <w:ind w:left="1296" w:hanging="1296"/>
      </w:pPr>
      <w:rPr>
        <w:rFonts w:hint="eastAsia"/>
      </w:rPr>
    </w:lvl>
    <w:lvl w:ilvl="7" w:tentative="0">
      <w:start w:val="1"/>
      <w:numFmt w:val="decimal"/>
      <w:isLgl/>
      <w:lvlText w:val="%1.%2.%3.%4.%5.%6.%7.%8."/>
      <w:lvlJc w:val="left"/>
      <w:pPr>
        <w:ind w:left="1440" w:hanging="1440"/>
      </w:pPr>
      <w:rPr>
        <w:rFonts w:hint="eastAsia"/>
      </w:rPr>
    </w:lvl>
    <w:lvl w:ilvl="8" w:tentative="0">
      <w:start w:val="1"/>
      <w:numFmt w:val="decimal"/>
      <w:isLgl/>
      <w:lvlText w:val="%1.%2.%3.%4.%5.%6.%7.%8.%9."/>
      <w:lvlJc w:val="left"/>
      <w:pPr>
        <w:ind w:left="1583" w:hanging="1583"/>
      </w:pPr>
      <w:rPr>
        <w:rFonts w:hint="eastAsia"/>
      </w:rPr>
    </w:lvl>
  </w:abstractNum>
  <w:abstractNum w:abstractNumId="5">
    <w:nsid w:val="418D265C"/>
    <w:multiLevelType w:val="singleLevel"/>
    <w:tmpl w:val="418D265C"/>
    <w:lvl w:ilvl="0" w:tentative="0">
      <w:start w:val="5"/>
      <w:numFmt w:val="decimal"/>
      <w:suff w:val="nothing"/>
      <w:lvlText w:val="%1、"/>
      <w:lvlJc w:val="left"/>
    </w:lvl>
  </w:abstractNum>
  <w:abstractNum w:abstractNumId="6">
    <w:nsid w:val="439E9793"/>
    <w:multiLevelType w:val="singleLevel"/>
    <w:tmpl w:val="439E9793"/>
    <w:lvl w:ilvl="0" w:tentative="0">
      <w:start w:val="3"/>
      <w:numFmt w:val="decimal"/>
      <w:suff w:val="nothing"/>
      <w:lvlText w:val="%1、"/>
      <w:lvlJc w:val="left"/>
    </w:lvl>
  </w:abstractNum>
  <w:abstractNum w:abstractNumId="7">
    <w:nsid w:val="5B616CC2"/>
    <w:multiLevelType w:val="singleLevel"/>
    <w:tmpl w:val="5B616CC2"/>
    <w:lvl w:ilvl="0" w:tentative="0">
      <w:start w:val="1"/>
      <w:numFmt w:val="decimal"/>
      <w:lvlText w:val="%1."/>
      <w:lvlJc w:val="left"/>
      <w:pPr>
        <w:ind w:left="425" w:hanging="425"/>
      </w:pPr>
      <w:rPr>
        <w:rFonts w:hint="default"/>
      </w:rPr>
    </w:lvl>
  </w:abstractNum>
  <w:abstractNum w:abstractNumId="8">
    <w:nsid w:val="7AF1D530"/>
    <w:multiLevelType w:val="singleLevel"/>
    <w:tmpl w:val="7AF1D530"/>
    <w:lvl w:ilvl="0" w:tentative="0">
      <w:start w:val="3"/>
      <w:numFmt w:val="decimal"/>
      <w:suff w:val="nothing"/>
      <w:lvlText w:val="（%1）"/>
      <w:lvlJc w:val="left"/>
    </w:lvl>
  </w:abstractNum>
  <w:num w:numId="1">
    <w:abstractNumId w:val="4"/>
  </w:num>
  <w:num w:numId="2">
    <w:abstractNumId w:val="3"/>
  </w:num>
  <w:num w:numId="3">
    <w:abstractNumId w:val="7"/>
  </w:num>
  <w:num w:numId="4">
    <w:abstractNumId w:val="2"/>
  </w:num>
  <w:num w:numId="5">
    <w:abstractNumId w:val="5"/>
  </w:num>
  <w:num w:numId="6">
    <w:abstractNumId w:val="8"/>
  </w:num>
  <w:num w:numId="7">
    <w:abstractNumId w:val="0"/>
  </w:num>
  <w:num w:numId="8">
    <w:abstractNumId w:val="6"/>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WRlMDg2NjgwNDA5MGVmZTQ2MWFlZWFhMWQ2OTkyZTcifQ=="/>
  </w:docVars>
  <w:rsids>
    <w:rsidRoot w:val="00D37AF9"/>
    <w:rsid w:val="00007DF6"/>
    <w:rsid w:val="00010159"/>
    <w:rsid w:val="00021D04"/>
    <w:rsid w:val="00022B20"/>
    <w:rsid w:val="000230D5"/>
    <w:rsid w:val="00023294"/>
    <w:rsid w:val="00036851"/>
    <w:rsid w:val="00043347"/>
    <w:rsid w:val="00043BFF"/>
    <w:rsid w:val="000456F1"/>
    <w:rsid w:val="00051433"/>
    <w:rsid w:val="0005530E"/>
    <w:rsid w:val="00061A3D"/>
    <w:rsid w:val="00070E9B"/>
    <w:rsid w:val="00072E5D"/>
    <w:rsid w:val="00080750"/>
    <w:rsid w:val="000866EC"/>
    <w:rsid w:val="00090D20"/>
    <w:rsid w:val="00094C1D"/>
    <w:rsid w:val="00094C3C"/>
    <w:rsid w:val="00096DA7"/>
    <w:rsid w:val="000A300E"/>
    <w:rsid w:val="000C3A0E"/>
    <w:rsid w:val="000C3C41"/>
    <w:rsid w:val="000C7C92"/>
    <w:rsid w:val="000D1654"/>
    <w:rsid w:val="000D4687"/>
    <w:rsid w:val="000D76C0"/>
    <w:rsid w:val="000E1E96"/>
    <w:rsid w:val="000E4876"/>
    <w:rsid w:val="000E6A3A"/>
    <w:rsid w:val="000F1C96"/>
    <w:rsid w:val="000F561F"/>
    <w:rsid w:val="000F69E2"/>
    <w:rsid w:val="00106813"/>
    <w:rsid w:val="00106FD1"/>
    <w:rsid w:val="00120304"/>
    <w:rsid w:val="001263B7"/>
    <w:rsid w:val="00135D68"/>
    <w:rsid w:val="00144C10"/>
    <w:rsid w:val="001475BA"/>
    <w:rsid w:val="00164127"/>
    <w:rsid w:val="00170309"/>
    <w:rsid w:val="00170C52"/>
    <w:rsid w:val="0017582B"/>
    <w:rsid w:val="00176A5E"/>
    <w:rsid w:val="001806CE"/>
    <w:rsid w:val="00185BF0"/>
    <w:rsid w:val="00186F65"/>
    <w:rsid w:val="00193888"/>
    <w:rsid w:val="001B0E18"/>
    <w:rsid w:val="001B1679"/>
    <w:rsid w:val="001B3E3E"/>
    <w:rsid w:val="001C5F84"/>
    <w:rsid w:val="001D78AD"/>
    <w:rsid w:val="001E10A4"/>
    <w:rsid w:val="001E73E3"/>
    <w:rsid w:val="001F11F9"/>
    <w:rsid w:val="001F4C38"/>
    <w:rsid w:val="001F554D"/>
    <w:rsid w:val="001F6228"/>
    <w:rsid w:val="002000C2"/>
    <w:rsid w:val="00202BA1"/>
    <w:rsid w:val="002038F2"/>
    <w:rsid w:val="00214691"/>
    <w:rsid w:val="00223514"/>
    <w:rsid w:val="00234D2B"/>
    <w:rsid w:val="002355E4"/>
    <w:rsid w:val="002443FA"/>
    <w:rsid w:val="00252202"/>
    <w:rsid w:val="00256125"/>
    <w:rsid w:val="00262DFD"/>
    <w:rsid w:val="00265F4C"/>
    <w:rsid w:val="002662DB"/>
    <w:rsid w:val="00272723"/>
    <w:rsid w:val="002755E8"/>
    <w:rsid w:val="0028715D"/>
    <w:rsid w:val="00292BCD"/>
    <w:rsid w:val="002A253A"/>
    <w:rsid w:val="002A2B7C"/>
    <w:rsid w:val="002A7C10"/>
    <w:rsid w:val="002B2799"/>
    <w:rsid w:val="002B501D"/>
    <w:rsid w:val="002D309A"/>
    <w:rsid w:val="002D5777"/>
    <w:rsid w:val="002E279E"/>
    <w:rsid w:val="002E469C"/>
    <w:rsid w:val="002E6F9A"/>
    <w:rsid w:val="002F538E"/>
    <w:rsid w:val="0030328E"/>
    <w:rsid w:val="003046A0"/>
    <w:rsid w:val="00311057"/>
    <w:rsid w:val="00312B3B"/>
    <w:rsid w:val="00317695"/>
    <w:rsid w:val="00321CB6"/>
    <w:rsid w:val="003221E2"/>
    <w:rsid w:val="00327767"/>
    <w:rsid w:val="003307B6"/>
    <w:rsid w:val="003343B0"/>
    <w:rsid w:val="003421B2"/>
    <w:rsid w:val="0034366B"/>
    <w:rsid w:val="00343E93"/>
    <w:rsid w:val="003474D2"/>
    <w:rsid w:val="00350344"/>
    <w:rsid w:val="00356509"/>
    <w:rsid w:val="003659EA"/>
    <w:rsid w:val="00370BCD"/>
    <w:rsid w:val="003714A1"/>
    <w:rsid w:val="003714B7"/>
    <w:rsid w:val="00377E9F"/>
    <w:rsid w:val="003901A1"/>
    <w:rsid w:val="00392834"/>
    <w:rsid w:val="00394464"/>
    <w:rsid w:val="0039700A"/>
    <w:rsid w:val="003A56EF"/>
    <w:rsid w:val="003B19AD"/>
    <w:rsid w:val="003B4603"/>
    <w:rsid w:val="003C6F80"/>
    <w:rsid w:val="003D18E1"/>
    <w:rsid w:val="003D1B4D"/>
    <w:rsid w:val="003E5A7F"/>
    <w:rsid w:val="003E7ED0"/>
    <w:rsid w:val="003F01FB"/>
    <w:rsid w:val="003F3348"/>
    <w:rsid w:val="003F3823"/>
    <w:rsid w:val="004055EA"/>
    <w:rsid w:val="0041598E"/>
    <w:rsid w:val="004205BD"/>
    <w:rsid w:val="00431838"/>
    <w:rsid w:val="00431F2D"/>
    <w:rsid w:val="004370B2"/>
    <w:rsid w:val="004416C8"/>
    <w:rsid w:val="00451A62"/>
    <w:rsid w:val="0046064C"/>
    <w:rsid w:val="00460F54"/>
    <w:rsid w:val="00473C0E"/>
    <w:rsid w:val="00484A82"/>
    <w:rsid w:val="004A16B9"/>
    <w:rsid w:val="004A1F1E"/>
    <w:rsid w:val="004A21A2"/>
    <w:rsid w:val="004A3F52"/>
    <w:rsid w:val="004A7C51"/>
    <w:rsid w:val="004B3195"/>
    <w:rsid w:val="004B562F"/>
    <w:rsid w:val="004C56E4"/>
    <w:rsid w:val="004D4D45"/>
    <w:rsid w:val="004D77BA"/>
    <w:rsid w:val="004E52E4"/>
    <w:rsid w:val="004F67FA"/>
    <w:rsid w:val="004F6E39"/>
    <w:rsid w:val="0051178C"/>
    <w:rsid w:val="005340D8"/>
    <w:rsid w:val="005415E8"/>
    <w:rsid w:val="005431DD"/>
    <w:rsid w:val="00543DEC"/>
    <w:rsid w:val="00555424"/>
    <w:rsid w:val="00562FE6"/>
    <w:rsid w:val="005650FA"/>
    <w:rsid w:val="00565EB9"/>
    <w:rsid w:val="0056714B"/>
    <w:rsid w:val="00567942"/>
    <w:rsid w:val="00576D9A"/>
    <w:rsid w:val="0057729E"/>
    <w:rsid w:val="00581513"/>
    <w:rsid w:val="00590491"/>
    <w:rsid w:val="00594075"/>
    <w:rsid w:val="005B72DE"/>
    <w:rsid w:val="005C2CED"/>
    <w:rsid w:val="006033FC"/>
    <w:rsid w:val="00603752"/>
    <w:rsid w:val="00606D01"/>
    <w:rsid w:val="00606DF5"/>
    <w:rsid w:val="0061025F"/>
    <w:rsid w:val="00622FD8"/>
    <w:rsid w:val="006271E9"/>
    <w:rsid w:val="00640D00"/>
    <w:rsid w:val="00643086"/>
    <w:rsid w:val="006437E0"/>
    <w:rsid w:val="00646A22"/>
    <w:rsid w:val="00653810"/>
    <w:rsid w:val="0066387B"/>
    <w:rsid w:val="0066504A"/>
    <w:rsid w:val="00666E23"/>
    <w:rsid w:val="006708B7"/>
    <w:rsid w:val="00674EA9"/>
    <w:rsid w:val="00675EA6"/>
    <w:rsid w:val="006915F6"/>
    <w:rsid w:val="00696B75"/>
    <w:rsid w:val="006A116E"/>
    <w:rsid w:val="006A1536"/>
    <w:rsid w:val="006A5CB6"/>
    <w:rsid w:val="006B2625"/>
    <w:rsid w:val="006B2CF4"/>
    <w:rsid w:val="006B4030"/>
    <w:rsid w:val="006C02C7"/>
    <w:rsid w:val="006C06D0"/>
    <w:rsid w:val="006D3B06"/>
    <w:rsid w:val="006D5F34"/>
    <w:rsid w:val="006D639D"/>
    <w:rsid w:val="006E143E"/>
    <w:rsid w:val="006E538E"/>
    <w:rsid w:val="006E5905"/>
    <w:rsid w:val="006F5892"/>
    <w:rsid w:val="00703402"/>
    <w:rsid w:val="00713086"/>
    <w:rsid w:val="00715489"/>
    <w:rsid w:val="007170A0"/>
    <w:rsid w:val="007306C4"/>
    <w:rsid w:val="00742E6E"/>
    <w:rsid w:val="00745959"/>
    <w:rsid w:val="00745CDE"/>
    <w:rsid w:val="007476CB"/>
    <w:rsid w:val="00760A94"/>
    <w:rsid w:val="00771C8A"/>
    <w:rsid w:val="00784E1C"/>
    <w:rsid w:val="007851D4"/>
    <w:rsid w:val="007A7348"/>
    <w:rsid w:val="007A73C8"/>
    <w:rsid w:val="007A7CFE"/>
    <w:rsid w:val="007C04C6"/>
    <w:rsid w:val="007C0E1E"/>
    <w:rsid w:val="007C2AB2"/>
    <w:rsid w:val="007C6D27"/>
    <w:rsid w:val="007C7F00"/>
    <w:rsid w:val="007D123C"/>
    <w:rsid w:val="007D12AE"/>
    <w:rsid w:val="007D605E"/>
    <w:rsid w:val="007E4950"/>
    <w:rsid w:val="007F0C78"/>
    <w:rsid w:val="007F7E10"/>
    <w:rsid w:val="0080012E"/>
    <w:rsid w:val="008124F6"/>
    <w:rsid w:val="00823F07"/>
    <w:rsid w:val="00827D5F"/>
    <w:rsid w:val="008411F4"/>
    <w:rsid w:val="00863E42"/>
    <w:rsid w:val="008775BD"/>
    <w:rsid w:val="00882776"/>
    <w:rsid w:val="008A7D61"/>
    <w:rsid w:val="008B669C"/>
    <w:rsid w:val="008B73FC"/>
    <w:rsid w:val="008D041D"/>
    <w:rsid w:val="008D09BE"/>
    <w:rsid w:val="008D12EA"/>
    <w:rsid w:val="008D4CC0"/>
    <w:rsid w:val="008D6902"/>
    <w:rsid w:val="008E00AF"/>
    <w:rsid w:val="008E3177"/>
    <w:rsid w:val="008E4E11"/>
    <w:rsid w:val="008F0715"/>
    <w:rsid w:val="008F47C5"/>
    <w:rsid w:val="008F5BC9"/>
    <w:rsid w:val="008F7A6D"/>
    <w:rsid w:val="008F7B38"/>
    <w:rsid w:val="00901ACE"/>
    <w:rsid w:val="009040A3"/>
    <w:rsid w:val="0092054A"/>
    <w:rsid w:val="009215E1"/>
    <w:rsid w:val="009218BB"/>
    <w:rsid w:val="009263BA"/>
    <w:rsid w:val="009304C3"/>
    <w:rsid w:val="009327E5"/>
    <w:rsid w:val="00936AAC"/>
    <w:rsid w:val="00937511"/>
    <w:rsid w:val="00946C14"/>
    <w:rsid w:val="0094762D"/>
    <w:rsid w:val="00961ECE"/>
    <w:rsid w:val="00963927"/>
    <w:rsid w:val="009660CE"/>
    <w:rsid w:val="009674FE"/>
    <w:rsid w:val="009745D7"/>
    <w:rsid w:val="00974E44"/>
    <w:rsid w:val="00975450"/>
    <w:rsid w:val="00982C9D"/>
    <w:rsid w:val="009866B1"/>
    <w:rsid w:val="00990B2F"/>
    <w:rsid w:val="0099124B"/>
    <w:rsid w:val="009920CA"/>
    <w:rsid w:val="00994758"/>
    <w:rsid w:val="00994CFE"/>
    <w:rsid w:val="00996EEB"/>
    <w:rsid w:val="009A4CE4"/>
    <w:rsid w:val="009B54FE"/>
    <w:rsid w:val="009C19B2"/>
    <w:rsid w:val="009C2F9D"/>
    <w:rsid w:val="009C3D64"/>
    <w:rsid w:val="009E049D"/>
    <w:rsid w:val="009E4A8E"/>
    <w:rsid w:val="009E789C"/>
    <w:rsid w:val="009F1C76"/>
    <w:rsid w:val="009F690A"/>
    <w:rsid w:val="00A05918"/>
    <w:rsid w:val="00A16830"/>
    <w:rsid w:val="00A17773"/>
    <w:rsid w:val="00A202E5"/>
    <w:rsid w:val="00A31727"/>
    <w:rsid w:val="00A32637"/>
    <w:rsid w:val="00A341CF"/>
    <w:rsid w:val="00A34F8E"/>
    <w:rsid w:val="00A440C8"/>
    <w:rsid w:val="00A4488F"/>
    <w:rsid w:val="00A45255"/>
    <w:rsid w:val="00A62AD5"/>
    <w:rsid w:val="00A72D4F"/>
    <w:rsid w:val="00A76C1C"/>
    <w:rsid w:val="00A86586"/>
    <w:rsid w:val="00A915D7"/>
    <w:rsid w:val="00A93B2B"/>
    <w:rsid w:val="00A96C8E"/>
    <w:rsid w:val="00AB082C"/>
    <w:rsid w:val="00AB3E53"/>
    <w:rsid w:val="00AB5532"/>
    <w:rsid w:val="00AC0697"/>
    <w:rsid w:val="00AC1615"/>
    <w:rsid w:val="00AC48DB"/>
    <w:rsid w:val="00AC6286"/>
    <w:rsid w:val="00AD6405"/>
    <w:rsid w:val="00AE7859"/>
    <w:rsid w:val="00AF35EE"/>
    <w:rsid w:val="00B07424"/>
    <w:rsid w:val="00B108BD"/>
    <w:rsid w:val="00B14570"/>
    <w:rsid w:val="00B16A24"/>
    <w:rsid w:val="00B16DF7"/>
    <w:rsid w:val="00B213BF"/>
    <w:rsid w:val="00B235B5"/>
    <w:rsid w:val="00B30AA8"/>
    <w:rsid w:val="00B30DD4"/>
    <w:rsid w:val="00B3576A"/>
    <w:rsid w:val="00B42A33"/>
    <w:rsid w:val="00B45499"/>
    <w:rsid w:val="00B66A69"/>
    <w:rsid w:val="00B66CA4"/>
    <w:rsid w:val="00B70277"/>
    <w:rsid w:val="00B74752"/>
    <w:rsid w:val="00B7661C"/>
    <w:rsid w:val="00B76BF2"/>
    <w:rsid w:val="00B77148"/>
    <w:rsid w:val="00B92423"/>
    <w:rsid w:val="00BA2EAC"/>
    <w:rsid w:val="00BA5AE9"/>
    <w:rsid w:val="00BA66C2"/>
    <w:rsid w:val="00BB3D6F"/>
    <w:rsid w:val="00BB63F2"/>
    <w:rsid w:val="00BE2730"/>
    <w:rsid w:val="00BE63DD"/>
    <w:rsid w:val="00BF2A04"/>
    <w:rsid w:val="00BF71D8"/>
    <w:rsid w:val="00C002DA"/>
    <w:rsid w:val="00C01180"/>
    <w:rsid w:val="00C03273"/>
    <w:rsid w:val="00C07DCA"/>
    <w:rsid w:val="00C22501"/>
    <w:rsid w:val="00C24D87"/>
    <w:rsid w:val="00C336CE"/>
    <w:rsid w:val="00C3624A"/>
    <w:rsid w:val="00C5042E"/>
    <w:rsid w:val="00C507C0"/>
    <w:rsid w:val="00C50C61"/>
    <w:rsid w:val="00C5381F"/>
    <w:rsid w:val="00C5539D"/>
    <w:rsid w:val="00C678DA"/>
    <w:rsid w:val="00C71FE3"/>
    <w:rsid w:val="00C72E52"/>
    <w:rsid w:val="00C75E36"/>
    <w:rsid w:val="00C837F7"/>
    <w:rsid w:val="00C8441F"/>
    <w:rsid w:val="00C86F85"/>
    <w:rsid w:val="00C93F97"/>
    <w:rsid w:val="00C9431A"/>
    <w:rsid w:val="00C96B95"/>
    <w:rsid w:val="00CC10CC"/>
    <w:rsid w:val="00CC16FF"/>
    <w:rsid w:val="00CC383F"/>
    <w:rsid w:val="00CC3D5E"/>
    <w:rsid w:val="00CC5154"/>
    <w:rsid w:val="00CD6095"/>
    <w:rsid w:val="00CD7426"/>
    <w:rsid w:val="00CE77C5"/>
    <w:rsid w:val="00CF6ABC"/>
    <w:rsid w:val="00D028FD"/>
    <w:rsid w:val="00D11C10"/>
    <w:rsid w:val="00D157FB"/>
    <w:rsid w:val="00D21B25"/>
    <w:rsid w:val="00D307B9"/>
    <w:rsid w:val="00D3466B"/>
    <w:rsid w:val="00D37A05"/>
    <w:rsid w:val="00D37AF9"/>
    <w:rsid w:val="00D44537"/>
    <w:rsid w:val="00D536CD"/>
    <w:rsid w:val="00D55461"/>
    <w:rsid w:val="00D76635"/>
    <w:rsid w:val="00D86718"/>
    <w:rsid w:val="00D94D18"/>
    <w:rsid w:val="00D95FE2"/>
    <w:rsid w:val="00D963EF"/>
    <w:rsid w:val="00DA2704"/>
    <w:rsid w:val="00DA2727"/>
    <w:rsid w:val="00DA52FB"/>
    <w:rsid w:val="00DC1D2E"/>
    <w:rsid w:val="00DD67E0"/>
    <w:rsid w:val="00DE60AC"/>
    <w:rsid w:val="00DE64CB"/>
    <w:rsid w:val="00DE7E26"/>
    <w:rsid w:val="00DF4CAC"/>
    <w:rsid w:val="00DF644F"/>
    <w:rsid w:val="00E21FC5"/>
    <w:rsid w:val="00E2491A"/>
    <w:rsid w:val="00E274DD"/>
    <w:rsid w:val="00E3405E"/>
    <w:rsid w:val="00E34CEB"/>
    <w:rsid w:val="00E53647"/>
    <w:rsid w:val="00E57C28"/>
    <w:rsid w:val="00E60DBC"/>
    <w:rsid w:val="00E61F54"/>
    <w:rsid w:val="00E7035F"/>
    <w:rsid w:val="00E86E38"/>
    <w:rsid w:val="00E92D27"/>
    <w:rsid w:val="00E9349B"/>
    <w:rsid w:val="00EA5665"/>
    <w:rsid w:val="00EB73A6"/>
    <w:rsid w:val="00EC2359"/>
    <w:rsid w:val="00EC3984"/>
    <w:rsid w:val="00EC79C0"/>
    <w:rsid w:val="00ED2BEC"/>
    <w:rsid w:val="00EF056B"/>
    <w:rsid w:val="00F03EBD"/>
    <w:rsid w:val="00F104F5"/>
    <w:rsid w:val="00F118FB"/>
    <w:rsid w:val="00F1688E"/>
    <w:rsid w:val="00F22735"/>
    <w:rsid w:val="00F3204F"/>
    <w:rsid w:val="00F423F9"/>
    <w:rsid w:val="00F511F5"/>
    <w:rsid w:val="00F54AFF"/>
    <w:rsid w:val="00F55E7B"/>
    <w:rsid w:val="00F620CE"/>
    <w:rsid w:val="00F73E74"/>
    <w:rsid w:val="00F776BD"/>
    <w:rsid w:val="00F8323E"/>
    <w:rsid w:val="00FA2703"/>
    <w:rsid w:val="00FA338C"/>
    <w:rsid w:val="00FD0DE4"/>
    <w:rsid w:val="00FD1769"/>
    <w:rsid w:val="00FE29B5"/>
    <w:rsid w:val="00FE423A"/>
    <w:rsid w:val="00FF226D"/>
    <w:rsid w:val="00FF3F7F"/>
    <w:rsid w:val="00FF42C0"/>
    <w:rsid w:val="015652F8"/>
    <w:rsid w:val="016B7C0E"/>
    <w:rsid w:val="02A87D1C"/>
    <w:rsid w:val="06A765D7"/>
    <w:rsid w:val="0788465B"/>
    <w:rsid w:val="082D4487"/>
    <w:rsid w:val="08A45E33"/>
    <w:rsid w:val="08E46020"/>
    <w:rsid w:val="092108C3"/>
    <w:rsid w:val="0AA07F0D"/>
    <w:rsid w:val="0AA74DF8"/>
    <w:rsid w:val="0C441DFB"/>
    <w:rsid w:val="0CC04742"/>
    <w:rsid w:val="0DE94FAB"/>
    <w:rsid w:val="0E4F1D88"/>
    <w:rsid w:val="139D4FEA"/>
    <w:rsid w:val="13F422E9"/>
    <w:rsid w:val="140908D1"/>
    <w:rsid w:val="14EE0193"/>
    <w:rsid w:val="14EF21A2"/>
    <w:rsid w:val="15BB49CE"/>
    <w:rsid w:val="19375EE1"/>
    <w:rsid w:val="19864B80"/>
    <w:rsid w:val="1A8707A2"/>
    <w:rsid w:val="1B34092A"/>
    <w:rsid w:val="1B6859CB"/>
    <w:rsid w:val="1B937848"/>
    <w:rsid w:val="1C027E93"/>
    <w:rsid w:val="1E2F3F10"/>
    <w:rsid w:val="1EB44EF6"/>
    <w:rsid w:val="1FAB0D49"/>
    <w:rsid w:val="1FDB5818"/>
    <w:rsid w:val="21A9646B"/>
    <w:rsid w:val="2376549E"/>
    <w:rsid w:val="26510A8E"/>
    <w:rsid w:val="269F4FFE"/>
    <w:rsid w:val="28CF5F11"/>
    <w:rsid w:val="28FD5160"/>
    <w:rsid w:val="2907564D"/>
    <w:rsid w:val="29B33028"/>
    <w:rsid w:val="2A1B4A63"/>
    <w:rsid w:val="2CCD64E8"/>
    <w:rsid w:val="2DC75416"/>
    <w:rsid w:val="2E1341D4"/>
    <w:rsid w:val="2E2809C5"/>
    <w:rsid w:val="2E516A26"/>
    <w:rsid w:val="2FC84A3E"/>
    <w:rsid w:val="30606D0B"/>
    <w:rsid w:val="31DF6C3A"/>
    <w:rsid w:val="33465EE6"/>
    <w:rsid w:val="337518DA"/>
    <w:rsid w:val="357945E5"/>
    <w:rsid w:val="35D46B3A"/>
    <w:rsid w:val="367D3130"/>
    <w:rsid w:val="37B07132"/>
    <w:rsid w:val="37C96585"/>
    <w:rsid w:val="38C21EC0"/>
    <w:rsid w:val="3ACC2ECF"/>
    <w:rsid w:val="3BCA5499"/>
    <w:rsid w:val="3BD243C9"/>
    <w:rsid w:val="3ED50CA5"/>
    <w:rsid w:val="3F450160"/>
    <w:rsid w:val="409A6309"/>
    <w:rsid w:val="41021D9A"/>
    <w:rsid w:val="414951E0"/>
    <w:rsid w:val="41997DF7"/>
    <w:rsid w:val="424A37D0"/>
    <w:rsid w:val="42AC10E1"/>
    <w:rsid w:val="43EE3110"/>
    <w:rsid w:val="444810D2"/>
    <w:rsid w:val="44B02520"/>
    <w:rsid w:val="44C6795C"/>
    <w:rsid w:val="458617D5"/>
    <w:rsid w:val="470318E3"/>
    <w:rsid w:val="474A5EA7"/>
    <w:rsid w:val="4838211C"/>
    <w:rsid w:val="487D6BBD"/>
    <w:rsid w:val="49E14F29"/>
    <w:rsid w:val="4C50123D"/>
    <w:rsid w:val="4D834C75"/>
    <w:rsid w:val="4E5C7274"/>
    <w:rsid w:val="4E79167E"/>
    <w:rsid w:val="516759A6"/>
    <w:rsid w:val="525420E5"/>
    <w:rsid w:val="53D1600F"/>
    <w:rsid w:val="55A24F5A"/>
    <w:rsid w:val="565371AF"/>
    <w:rsid w:val="56605812"/>
    <w:rsid w:val="57923D07"/>
    <w:rsid w:val="58C148A4"/>
    <w:rsid w:val="5963595B"/>
    <w:rsid w:val="5C1921D9"/>
    <w:rsid w:val="5F593A88"/>
    <w:rsid w:val="5F7D704B"/>
    <w:rsid w:val="5FDF6CBE"/>
    <w:rsid w:val="5FEB4DBB"/>
    <w:rsid w:val="5FFC2665"/>
    <w:rsid w:val="611D535C"/>
    <w:rsid w:val="61572249"/>
    <w:rsid w:val="61DC2F96"/>
    <w:rsid w:val="62045084"/>
    <w:rsid w:val="62371E2E"/>
    <w:rsid w:val="624C4C65"/>
    <w:rsid w:val="625642AF"/>
    <w:rsid w:val="64A31301"/>
    <w:rsid w:val="65D05E1A"/>
    <w:rsid w:val="66FA7E8A"/>
    <w:rsid w:val="67672ABA"/>
    <w:rsid w:val="6790636B"/>
    <w:rsid w:val="68715B33"/>
    <w:rsid w:val="694330B3"/>
    <w:rsid w:val="69BE766D"/>
    <w:rsid w:val="6A8A47B8"/>
    <w:rsid w:val="6ABC136F"/>
    <w:rsid w:val="6B493828"/>
    <w:rsid w:val="6E213E1D"/>
    <w:rsid w:val="70003AAC"/>
    <w:rsid w:val="708C4C32"/>
    <w:rsid w:val="71CA6844"/>
    <w:rsid w:val="74D310C1"/>
    <w:rsid w:val="74D6030F"/>
    <w:rsid w:val="74F0120D"/>
    <w:rsid w:val="75093403"/>
    <w:rsid w:val="76AF33B9"/>
    <w:rsid w:val="774D3334"/>
    <w:rsid w:val="775D1F5A"/>
    <w:rsid w:val="77C667B9"/>
    <w:rsid w:val="77D44509"/>
    <w:rsid w:val="78006D3F"/>
    <w:rsid w:val="78491F62"/>
    <w:rsid w:val="78D4259E"/>
    <w:rsid w:val="7A7F08F4"/>
    <w:rsid w:val="7B024B7C"/>
    <w:rsid w:val="7B2B32CB"/>
    <w:rsid w:val="7C00780B"/>
    <w:rsid w:val="7C5C6CA1"/>
    <w:rsid w:val="7D277F28"/>
    <w:rsid w:val="7DDF6F78"/>
    <w:rsid w:val="7E24468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iPriority="0" w:semiHidden="0" w:name="heading 4"/>
    <w:lsdException w:qFormat="1" w:uiPriority="9" w:semiHidden="0" w:name="heading 5"/>
    <w:lsdException w:qFormat="1" w:unhideWhenUsed="0" w:uiPriority="0" w:semiHidden="0" w:name="heading 6"/>
    <w:lsdException w:qFormat="1" w:unhideWhenUsed="0" w:uiPriority="0" w:semiHidden="0"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99" w:semiHidden="0" w:name="Normal Indent"/>
    <w:lsdException w:uiPriority="99" w:name="footnote text"/>
    <w:lsdException w:qFormat="1" w:unhideWhenUsed="0" w:uiPriority="99" w:semiHidden="0" w:name="annotation text"/>
    <w:lsdException w:qFormat="1" w:uiPriority="0" w:semiHidden="0" w:name="header"/>
    <w:lsdException w:qFormat="1" w:uiPriority="99" w:semiHidden="0" w:name="footer"/>
    <w:lsdException w:uiPriority="99" w:name="index heading"/>
    <w:lsdException w:qFormat="1" w:unhideWhenUsed="0" w:uiPriority="35" w:semiHidden="0" w:name="caption"/>
    <w:lsdException w:qFormat="1" w:unhideWhenUsed="0" w:uiPriority="0" w:semiHidden="0"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0" w:semiHidden="0" w:name="Date"/>
    <w:lsdException w:qFormat="1" w:uiPriority="99" w:semiHidden="0" w:name="Body Text First Indent"/>
    <w:lsdException w:qFormat="1" w:unhideWhenUsed="0" w:uiPriority="0" w:semiHidden="0" w:name="Body Text First Indent 2"/>
    <w:lsdException w:qFormat="1" w:unhideWhenUsed="0" w:uiPriority="0" w:semiHidden="0" w:name="Note Heading"/>
    <w:lsdException w:qFormat="1" w:unhideWhenUsed="0" w:uiPriority="0" w:name="Body Text 2"/>
    <w:lsdException w:uiPriority="99" w:name="Body Text 3"/>
    <w:lsdException w:qFormat="1" w:unhideWhenUsed="0" w:uiPriority="99"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Ascii" w:hAnsiTheme="minorAscii" w:eastAsiaTheme="minorEastAsia" w:cstheme="minorBidi"/>
      <w:kern w:val="2"/>
      <w:sz w:val="21"/>
      <w:szCs w:val="22"/>
      <w:lang w:val="en-US" w:eastAsia="zh-CN" w:bidi="ar-SA"/>
    </w:rPr>
  </w:style>
  <w:style w:type="paragraph" w:styleId="2">
    <w:name w:val="heading 1"/>
    <w:basedOn w:val="1"/>
    <w:next w:val="1"/>
    <w:link w:val="60"/>
    <w:qFormat/>
    <w:uiPriority w:val="9"/>
    <w:pPr>
      <w:keepNext/>
      <w:keepLines/>
      <w:spacing w:before="340" w:after="330" w:line="578" w:lineRule="auto"/>
      <w:jc w:val="center"/>
      <w:outlineLvl w:val="0"/>
    </w:pPr>
    <w:rPr>
      <w:rFonts w:ascii="Calibri" w:hAnsi="Calibri" w:eastAsia="宋体" w:cs="Times New Roman"/>
      <w:b/>
      <w:bCs/>
      <w:kern w:val="44"/>
      <w:sz w:val="32"/>
      <w:szCs w:val="44"/>
    </w:rPr>
  </w:style>
  <w:style w:type="paragraph" w:styleId="3">
    <w:name w:val="heading 2"/>
    <w:basedOn w:val="1"/>
    <w:next w:val="1"/>
    <w:link w:val="54"/>
    <w:qFormat/>
    <w:uiPriority w:val="9"/>
    <w:pPr>
      <w:keepNext/>
      <w:keepLines/>
      <w:spacing w:before="260" w:after="260" w:line="416" w:lineRule="auto"/>
      <w:jc w:val="left"/>
      <w:outlineLvl w:val="1"/>
    </w:pPr>
    <w:rPr>
      <w:rFonts w:ascii="Calibri Light" w:hAnsi="Calibri Light" w:eastAsia="宋体" w:cs="Times New Roman"/>
      <w:b/>
      <w:bCs/>
      <w:sz w:val="28"/>
      <w:szCs w:val="32"/>
    </w:rPr>
  </w:style>
  <w:style w:type="paragraph" w:styleId="4">
    <w:name w:val="heading 3"/>
    <w:basedOn w:val="3"/>
    <w:next w:val="1"/>
    <w:link w:val="61"/>
    <w:qFormat/>
    <w:uiPriority w:val="9"/>
    <w:pPr>
      <w:outlineLvl w:val="2"/>
    </w:pPr>
    <w:rPr>
      <w:rFonts w:ascii="Calibri" w:hAnsi="Calibri"/>
      <w:sz w:val="24"/>
    </w:rPr>
  </w:style>
  <w:style w:type="paragraph" w:styleId="5">
    <w:name w:val="heading 4"/>
    <w:basedOn w:val="1"/>
    <w:next w:val="1"/>
    <w:link w:val="80"/>
    <w:unhideWhenUsed/>
    <w:qFormat/>
    <w:uiPriority w:val="0"/>
    <w:pPr>
      <w:keepNext/>
      <w:keepLines/>
      <w:spacing w:before="280" w:after="290" w:line="376" w:lineRule="auto"/>
      <w:outlineLvl w:val="3"/>
    </w:pPr>
    <w:rPr>
      <w:rFonts w:eastAsia="宋体" w:asciiTheme="majorAscii" w:hAnsiTheme="majorAscii" w:cstheme="majorBidi"/>
      <w:b/>
      <w:bCs/>
      <w:sz w:val="24"/>
      <w:szCs w:val="28"/>
    </w:rPr>
  </w:style>
  <w:style w:type="paragraph" w:styleId="6">
    <w:name w:val="heading 5"/>
    <w:basedOn w:val="1"/>
    <w:next w:val="1"/>
    <w:link w:val="56"/>
    <w:unhideWhenUsed/>
    <w:qFormat/>
    <w:uiPriority w:val="9"/>
    <w:pPr>
      <w:keepNext/>
      <w:keepLines/>
      <w:spacing w:line="240" w:lineRule="auto"/>
      <w:jc w:val="center"/>
      <w:outlineLvl w:val="4"/>
    </w:pPr>
    <w:rPr>
      <w:rFonts w:eastAsia="宋体" w:asciiTheme="minorAscii" w:hAnsiTheme="minorAscii"/>
      <w:b/>
      <w:bCs/>
      <w:sz w:val="22"/>
      <w:szCs w:val="28"/>
    </w:rPr>
  </w:style>
  <w:style w:type="paragraph" w:styleId="7">
    <w:name w:val="heading 6"/>
    <w:basedOn w:val="1"/>
    <w:next w:val="1"/>
    <w:link w:val="91"/>
    <w:qFormat/>
    <w:uiPriority w:val="0"/>
    <w:pPr>
      <w:keepNext/>
      <w:keepLines/>
      <w:widowControl/>
      <w:spacing w:before="240" w:after="64" w:line="480" w:lineRule="exact"/>
      <w:jc w:val="left"/>
      <w:outlineLvl w:val="5"/>
    </w:pPr>
    <w:rPr>
      <w:rFonts w:hint="eastAsia" w:ascii="黑体" w:hAnsi="Times New Roman" w:eastAsia="黑体" w:cs="Times New Roman"/>
      <w:kern w:val="24"/>
      <w:sz w:val="28"/>
      <w:szCs w:val="24"/>
    </w:rPr>
  </w:style>
  <w:style w:type="paragraph" w:styleId="8">
    <w:name w:val="heading 7"/>
    <w:basedOn w:val="1"/>
    <w:next w:val="1"/>
    <w:link w:val="92"/>
    <w:qFormat/>
    <w:uiPriority w:val="0"/>
    <w:pPr>
      <w:keepNext/>
      <w:keepLines/>
      <w:spacing w:before="240" w:after="64" w:line="320" w:lineRule="auto"/>
      <w:outlineLvl w:val="6"/>
    </w:pPr>
    <w:rPr>
      <w:rFonts w:ascii="Calibri" w:hAnsi="Calibri" w:eastAsia="宋体" w:cs="Times New Roman"/>
      <w:b/>
      <w:bCs/>
      <w:sz w:val="24"/>
      <w:szCs w:val="24"/>
    </w:rPr>
  </w:style>
  <w:style w:type="character" w:default="1" w:styleId="44">
    <w:name w:val="Default Paragraph Font"/>
    <w:semiHidden/>
    <w:unhideWhenUsed/>
    <w:qFormat/>
    <w:uiPriority w:val="1"/>
  </w:style>
  <w:style w:type="table" w:default="1" w:styleId="41">
    <w:name w:val="Normal Table"/>
    <w:semiHidden/>
    <w:unhideWhenUsed/>
    <w:qFormat/>
    <w:uiPriority w:val="99"/>
    <w:tblPr>
      <w:tblCellMar>
        <w:top w:w="0" w:type="dxa"/>
        <w:left w:w="108" w:type="dxa"/>
        <w:bottom w:w="0" w:type="dxa"/>
        <w:right w:w="108" w:type="dxa"/>
      </w:tblCellMar>
    </w:tblPr>
  </w:style>
  <w:style w:type="paragraph" w:styleId="9">
    <w:name w:val="toc 7"/>
    <w:basedOn w:val="1"/>
    <w:next w:val="1"/>
    <w:qFormat/>
    <w:uiPriority w:val="39"/>
    <w:pPr>
      <w:ind w:left="2520" w:leftChars="1200"/>
    </w:pPr>
    <w:rPr>
      <w:rFonts w:ascii="Times New Roman" w:hAnsi="Times New Roman" w:eastAsia="宋体" w:cs="Times New Roman"/>
      <w:szCs w:val="24"/>
    </w:rPr>
  </w:style>
  <w:style w:type="paragraph" w:styleId="10">
    <w:name w:val="Note Heading"/>
    <w:basedOn w:val="1"/>
    <w:next w:val="1"/>
    <w:link w:val="93"/>
    <w:qFormat/>
    <w:uiPriority w:val="0"/>
    <w:pPr>
      <w:jc w:val="center"/>
    </w:pPr>
    <w:rPr>
      <w:rFonts w:ascii="Times New Roman" w:hAnsi="Times New Roman" w:eastAsia="宋体" w:cs="Times New Roman"/>
      <w:sz w:val="24"/>
      <w:szCs w:val="20"/>
    </w:rPr>
  </w:style>
  <w:style w:type="paragraph" w:styleId="11">
    <w:name w:val="Normal Indent"/>
    <w:basedOn w:val="1"/>
    <w:link w:val="94"/>
    <w:qFormat/>
    <w:uiPriority w:val="99"/>
    <w:pPr>
      <w:spacing w:line="0" w:lineRule="atLeast"/>
      <w:ind w:firstLine="420"/>
    </w:pPr>
    <w:rPr>
      <w:rFonts w:ascii="Calibri" w:hAnsi="Calibri" w:eastAsia="宋体" w:cs="Times New Roman"/>
      <w:szCs w:val="20"/>
    </w:rPr>
  </w:style>
  <w:style w:type="paragraph" w:styleId="12">
    <w:name w:val="caption"/>
    <w:basedOn w:val="1"/>
    <w:next w:val="1"/>
    <w:qFormat/>
    <w:uiPriority w:val="35"/>
    <w:pPr>
      <w:spacing w:line="360" w:lineRule="auto"/>
      <w:ind w:firstLine="480" w:firstLineChars="200"/>
      <w:jc w:val="center"/>
    </w:pPr>
    <w:rPr>
      <w:rFonts w:ascii="Cambria" w:hAnsi="Cambria" w:eastAsia="宋体" w:cs="Times New Roman"/>
      <w:b/>
      <w:sz w:val="24"/>
      <w:szCs w:val="20"/>
    </w:rPr>
  </w:style>
  <w:style w:type="paragraph" w:styleId="13">
    <w:name w:val="Document Map"/>
    <w:basedOn w:val="1"/>
    <w:link w:val="95"/>
    <w:semiHidden/>
    <w:qFormat/>
    <w:uiPriority w:val="0"/>
    <w:pPr>
      <w:shd w:val="clear" w:color="auto" w:fill="000080"/>
    </w:pPr>
    <w:rPr>
      <w:rFonts w:ascii="Times New Roman" w:hAnsi="Times New Roman" w:eastAsia="宋体" w:cs="Times New Roman"/>
      <w:szCs w:val="24"/>
    </w:rPr>
  </w:style>
  <w:style w:type="paragraph" w:styleId="14">
    <w:name w:val="annotation text"/>
    <w:basedOn w:val="1"/>
    <w:link w:val="96"/>
    <w:qFormat/>
    <w:uiPriority w:val="99"/>
    <w:pPr>
      <w:jc w:val="left"/>
    </w:pPr>
    <w:rPr>
      <w:rFonts w:ascii="Times New Roman" w:hAnsi="Times New Roman" w:eastAsia="宋体" w:cs="Times New Roman"/>
      <w:szCs w:val="24"/>
    </w:rPr>
  </w:style>
  <w:style w:type="paragraph" w:styleId="15">
    <w:name w:val="Body Text"/>
    <w:basedOn w:val="1"/>
    <w:next w:val="1"/>
    <w:link w:val="63"/>
    <w:unhideWhenUsed/>
    <w:qFormat/>
    <w:uiPriority w:val="99"/>
    <w:pPr>
      <w:spacing w:after="120"/>
    </w:pPr>
  </w:style>
  <w:style w:type="paragraph" w:styleId="16">
    <w:name w:val="Body Text Indent"/>
    <w:basedOn w:val="1"/>
    <w:next w:val="17"/>
    <w:link w:val="65"/>
    <w:unhideWhenUsed/>
    <w:qFormat/>
    <w:uiPriority w:val="0"/>
    <w:pPr>
      <w:spacing w:after="120"/>
      <w:ind w:left="420" w:leftChars="200"/>
    </w:pPr>
  </w:style>
  <w:style w:type="paragraph" w:styleId="17">
    <w:name w:val="Body Text First Indent"/>
    <w:basedOn w:val="15"/>
    <w:next w:val="1"/>
    <w:link w:val="64"/>
    <w:unhideWhenUsed/>
    <w:qFormat/>
    <w:uiPriority w:val="99"/>
    <w:pPr>
      <w:ind w:firstLine="420" w:firstLineChars="100"/>
    </w:pPr>
  </w:style>
  <w:style w:type="paragraph" w:styleId="18">
    <w:name w:val="Block Text"/>
    <w:basedOn w:val="1"/>
    <w:qFormat/>
    <w:uiPriority w:val="0"/>
    <w:pPr>
      <w:ind w:left="-359" w:right="-693" w:firstLine="675"/>
    </w:pPr>
    <w:rPr>
      <w:rFonts w:ascii="Times New Roman" w:hAnsi="Times New Roman" w:eastAsia="宋体" w:cs="Times New Roman"/>
      <w:sz w:val="32"/>
      <w:szCs w:val="20"/>
    </w:rPr>
  </w:style>
  <w:style w:type="paragraph" w:styleId="19">
    <w:name w:val="toc 5"/>
    <w:basedOn w:val="1"/>
    <w:next w:val="1"/>
    <w:qFormat/>
    <w:uiPriority w:val="39"/>
    <w:pPr>
      <w:ind w:left="1680" w:leftChars="800"/>
    </w:pPr>
    <w:rPr>
      <w:rFonts w:ascii="Times New Roman" w:hAnsi="Times New Roman" w:eastAsia="宋体" w:cs="Times New Roman"/>
      <w:szCs w:val="24"/>
    </w:rPr>
  </w:style>
  <w:style w:type="paragraph" w:styleId="20">
    <w:name w:val="toc 3"/>
    <w:basedOn w:val="1"/>
    <w:next w:val="1"/>
    <w:qFormat/>
    <w:uiPriority w:val="39"/>
    <w:pPr>
      <w:ind w:left="840" w:leftChars="400"/>
    </w:pPr>
    <w:rPr>
      <w:rFonts w:ascii="Times New Roman" w:hAnsi="Times New Roman" w:eastAsia="宋体" w:cs="Times New Roman"/>
      <w:szCs w:val="24"/>
    </w:rPr>
  </w:style>
  <w:style w:type="paragraph" w:styleId="21">
    <w:name w:val="Plain Text"/>
    <w:basedOn w:val="1"/>
    <w:link w:val="81"/>
    <w:qFormat/>
    <w:uiPriority w:val="0"/>
    <w:pPr>
      <w:spacing w:line="440" w:lineRule="exact"/>
      <w:ind w:firstLine="425"/>
    </w:pPr>
    <w:rPr>
      <w:rFonts w:ascii="宋体" w:hAnsi="Courier New" w:eastAsia="宋体" w:cs="Times New Roman"/>
      <w:sz w:val="28"/>
      <w:szCs w:val="20"/>
    </w:rPr>
  </w:style>
  <w:style w:type="paragraph" w:styleId="22">
    <w:name w:val="toc 8"/>
    <w:basedOn w:val="1"/>
    <w:next w:val="1"/>
    <w:qFormat/>
    <w:uiPriority w:val="39"/>
    <w:pPr>
      <w:ind w:left="2940" w:leftChars="1400"/>
    </w:pPr>
    <w:rPr>
      <w:rFonts w:ascii="Times New Roman" w:hAnsi="Times New Roman" w:eastAsia="宋体" w:cs="Times New Roman"/>
      <w:szCs w:val="24"/>
    </w:rPr>
  </w:style>
  <w:style w:type="paragraph" w:styleId="23">
    <w:name w:val="Date"/>
    <w:basedOn w:val="1"/>
    <w:next w:val="1"/>
    <w:link w:val="97"/>
    <w:qFormat/>
    <w:uiPriority w:val="0"/>
    <w:rPr>
      <w:rFonts w:ascii="宋体" w:hAnsi="Calibri" w:eastAsia="宋体" w:cs="Times New Roman"/>
      <w:sz w:val="28"/>
      <w:szCs w:val="20"/>
    </w:rPr>
  </w:style>
  <w:style w:type="paragraph" w:styleId="24">
    <w:name w:val="Body Text Indent 2"/>
    <w:basedOn w:val="1"/>
    <w:link w:val="98"/>
    <w:qFormat/>
    <w:uiPriority w:val="99"/>
    <w:pPr>
      <w:spacing w:after="120" w:line="480" w:lineRule="auto"/>
      <w:ind w:left="420" w:leftChars="200"/>
    </w:pPr>
    <w:rPr>
      <w:rFonts w:ascii="Calibri" w:hAnsi="Calibri" w:eastAsia="宋体" w:cs="Times New Roman"/>
      <w:szCs w:val="24"/>
    </w:rPr>
  </w:style>
  <w:style w:type="paragraph" w:styleId="25">
    <w:name w:val="Balloon Text"/>
    <w:basedOn w:val="1"/>
    <w:link w:val="99"/>
    <w:qFormat/>
    <w:uiPriority w:val="0"/>
    <w:rPr>
      <w:rFonts w:ascii="Times New Roman" w:hAnsi="Times New Roman" w:eastAsia="宋体" w:cs="Times New Roman"/>
      <w:sz w:val="18"/>
      <w:szCs w:val="18"/>
    </w:rPr>
  </w:style>
  <w:style w:type="paragraph" w:styleId="26">
    <w:name w:val="footer"/>
    <w:basedOn w:val="1"/>
    <w:link w:val="59"/>
    <w:unhideWhenUsed/>
    <w:qFormat/>
    <w:uiPriority w:val="99"/>
    <w:pPr>
      <w:tabs>
        <w:tab w:val="center" w:pos="4153"/>
        <w:tab w:val="right" w:pos="8306"/>
      </w:tabs>
      <w:snapToGrid w:val="0"/>
      <w:jc w:val="left"/>
    </w:pPr>
    <w:rPr>
      <w:sz w:val="18"/>
      <w:szCs w:val="18"/>
    </w:rPr>
  </w:style>
  <w:style w:type="paragraph" w:styleId="27">
    <w:name w:val="header"/>
    <w:basedOn w:val="1"/>
    <w:link w:val="58"/>
    <w:unhideWhenUsed/>
    <w:qFormat/>
    <w:uiPriority w:val="0"/>
    <w:pPr>
      <w:tabs>
        <w:tab w:val="center" w:pos="4153"/>
        <w:tab w:val="right" w:pos="8306"/>
      </w:tabs>
      <w:snapToGrid w:val="0"/>
      <w:jc w:val="center"/>
    </w:pPr>
    <w:rPr>
      <w:sz w:val="18"/>
      <w:szCs w:val="18"/>
    </w:rPr>
  </w:style>
  <w:style w:type="paragraph" w:styleId="28">
    <w:name w:val="toc 1"/>
    <w:basedOn w:val="1"/>
    <w:next w:val="1"/>
    <w:qFormat/>
    <w:uiPriority w:val="39"/>
    <w:pPr>
      <w:tabs>
        <w:tab w:val="right" w:leader="dot" w:pos="8296"/>
      </w:tabs>
    </w:pPr>
    <w:rPr>
      <w:rFonts w:ascii="Times New Roman" w:hAnsi="Times New Roman" w:eastAsia="宋体" w:cs="Times New Roman"/>
      <w:sz w:val="28"/>
      <w:szCs w:val="28"/>
    </w:rPr>
  </w:style>
  <w:style w:type="paragraph" w:styleId="29">
    <w:name w:val="toc 4"/>
    <w:basedOn w:val="1"/>
    <w:next w:val="1"/>
    <w:qFormat/>
    <w:uiPriority w:val="39"/>
    <w:pPr>
      <w:ind w:left="1260" w:leftChars="600"/>
    </w:pPr>
    <w:rPr>
      <w:rFonts w:ascii="Times New Roman" w:hAnsi="Times New Roman" w:eastAsia="宋体" w:cs="Times New Roman"/>
      <w:szCs w:val="24"/>
    </w:rPr>
  </w:style>
  <w:style w:type="paragraph" w:styleId="30">
    <w:name w:val="Subtitle"/>
    <w:basedOn w:val="1"/>
    <w:next w:val="1"/>
    <w:link w:val="100"/>
    <w:qFormat/>
    <w:uiPriority w:val="0"/>
    <w:pPr>
      <w:spacing w:before="240" w:after="60" w:line="312" w:lineRule="auto"/>
      <w:jc w:val="left"/>
      <w:outlineLvl w:val="1"/>
    </w:pPr>
    <w:rPr>
      <w:rFonts w:ascii="Cambria" w:hAnsi="Cambria" w:eastAsia="宋体" w:cs="Times New Roman"/>
      <w:b/>
      <w:bCs/>
      <w:kern w:val="28"/>
      <w:sz w:val="28"/>
      <w:szCs w:val="32"/>
    </w:rPr>
  </w:style>
  <w:style w:type="paragraph" w:styleId="31">
    <w:name w:val="toc 6"/>
    <w:basedOn w:val="1"/>
    <w:next w:val="1"/>
    <w:qFormat/>
    <w:uiPriority w:val="39"/>
    <w:pPr>
      <w:ind w:left="2100" w:leftChars="1000"/>
    </w:pPr>
    <w:rPr>
      <w:rFonts w:ascii="Times New Roman" w:hAnsi="Times New Roman" w:eastAsia="宋体" w:cs="Times New Roman"/>
      <w:szCs w:val="24"/>
    </w:rPr>
  </w:style>
  <w:style w:type="paragraph" w:styleId="32">
    <w:name w:val="Body Text Indent 3"/>
    <w:basedOn w:val="1"/>
    <w:link w:val="101"/>
    <w:qFormat/>
    <w:uiPriority w:val="0"/>
    <w:pPr>
      <w:spacing w:after="120"/>
      <w:ind w:left="420" w:leftChars="200"/>
    </w:pPr>
    <w:rPr>
      <w:rFonts w:ascii="Times New Roman" w:hAnsi="Times New Roman" w:eastAsia="宋体" w:cs="Times New Roman"/>
      <w:sz w:val="16"/>
      <w:szCs w:val="16"/>
    </w:rPr>
  </w:style>
  <w:style w:type="paragraph" w:styleId="33">
    <w:name w:val="table of figures"/>
    <w:basedOn w:val="1"/>
    <w:next w:val="1"/>
    <w:qFormat/>
    <w:uiPriority w:val="0"/>
    <w:pPr>
      <w:ind w:left="200" w:leftChars="200" w:hanging="200" w:hangingChars="200"/>
    </w:pPr>
    <w:rPr>
      <w:rFonts w:ascii="Calibri" w:hAnsi="Calibri" w:eastAsia="宋体" w:cs="Times New Roman"/>
      <w:szCs w:val="24"/>
    </w:rPr>
  </w:style>
  <w:style w:type="paragraph" w:styleId="34">
    <w:name w:val="toc 2"/>
    <w:basedOn w:val="1"/>
    <w:next w:val="1"/>
    <w:qFormat/>
    <w:uiPriority w:val="39"/>
    <w:pPr>
      <w:ind w:left="420" w:leftChars="200"/>
    </w:pPr>
    <w:rPr>
      <w:rFonts w:ascii="Times New Roman" w:hAnsi="Times New Roman" w:eastAsia="宋体" w:cs="Times New Roman"/>
      <w:szCs w:val="24"/>
    </w:rPr>
  </w:style>
  <w:style w:type="paragraph" w:styleId="35">
    <w:name w:val="toc 9"/>
    <w:basedOn w:val="1"/>
    <w:next w:val="1"/>
    <w:qFormat/>
    <w:uiPriority w:val="39"/>
    <w:pPr>
      <w:ind w:left="3360" w:leftChars="1600"/>
    </w:pPr>
    <w:rPr>
      <w:rFonts w:ascii="Times New Roman" w:hAnsi="Times New Roman" w:eastAsia="宋体" w:cs="Times New Roman"/>
      <w:szCs w:val="24"/>
    </w:rPr>
  </w:style>
  <w:style w:type="paragraph" w:styleId="36">
    <w:name w:val="Body Text 2"/>
    <w:basedOn w:val="1"/>
    <w:link w:val="102"/>
    <w:semiHidden/>
    <w:qFormat/>
    <w:uiPriority w:val="0"/>
    <w:pPr>
      <w:spacing w:after="120" w:line="480" w:lineRule="auto"/>
    </w:pPr>
    <w:rPr>
      <w:rFonts w:ascii="Times New Roman" w:hAnsi="Times New Roman" w:eastAsia="宋体" w:cs="Times New Roman"/>
      <w:szCs w:val="24"/>
    </w:rPr>
  </w:style>
  <w:style w:type="paragraph" w:styleId="37">
    <w:name w:val="HTML Preformatted"/>
    <w:basedOn w:val="1"/>
    <w:link w:val="103"/>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eastAsia="宋体" w:cs="Arial"/>
      <w:kern w:val="0"/>
      <w:sz w:val="24"/>
      <w:szCs w:val="24"/>
    </w:rPr>
  </w:style>
  <w:style w:type="paragraph" w:styleId="38">
    <w:name w:val="Normal (Web)"/>
    <w:basedOn w:val="1"/>
    <w:qFormat/>
    <w:uiPriority w:val="99"/>
    <w:pPr>
      <w:widowControl/>
      <w:spacing w:before="100" w:beforeAutospacing="1" w:after="100" w:afterAutospacing="1"/>
      <w:jc w:val="left"/>
    </w:pPr>
    <w:rPr>
      <w:rFonts w:ascii="宋体" w:hAnsi="宋体" w:eastAsia="宋体" w:cs="宋体"/>
      <w:color w:val="000000"/>
      <w:kern w:val="0"/>
      <w:sz w:val="24"/>
      <w:szCs w:val="24"/>
    </w:rPr>
  </w:style>
  <w:style w:type="paragraph" w:styleId="39">
    <w:name w:val="annotation subject"/>
    <w:basedOn w:val="14"/>
    <w:next w:val="14"/>
    <w:link w:val="104"/>
    <w:qFormat/>
    <w:uiPriority w:val="99"/>
    <w:rPr>
      <w:b/>
      <w:bCs/>
    </w:rPr>
  </w:style>
  <w:style w:type="paragraph" w:styleId="40">
    <w:name w:val="Body Text First Indent 2"/>
    <w:basedOn w:val="16"/>
    <w:next w:val="17"/>
    <w:link w:val="66"/>
    <w:qFormat/>
    <w:uiPriority w:val="0"/>
    <w:pPr>
      <w:tabs>
        <w:tab w:val="left" w:pos="4305"/>
      </w:tabs>
      <w:adjustRightInd w:val="0"/>
      <w:snapToGrid w:val="0"/>
      <w:spacing w:after="0"/>
      <w:ind w:left="0" w:leftChars="0" w:firstLine="420"/>
    </w:pPr>
    <w:rPr>
      <w:rFonts w:ascii="宋体" w:hAnsi="宋体" w:eastAsia="宋体" w:cs="Times New Roman"/>
      <w:color w:val="000000"/>
      <w:szCs w:val="24"/>
    </w:rPr>
  </w:style>
  <w:style w:type="table" w:styleId="42">
    <w:name w:val="Table Grid"/>
    <w:basedOn w:val="41"/>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43">
    <w:name w:val="Table Theme"/>
    <w:basedOn w:val="41"/>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5">
    <w:name w:val="Strong"/>
    <w:qFormat/>
    <w:uiPriority w:val="0"/>
    <w:rPr>
      <w:b/>
      <w:bCs/>
    </w:rPr>
  </w:style>
  <w:style w:type="character" w:styleId="46">
    <w:name w:val="page number"/>
    <w:qFormat/>
    <w:uiPriority w:val="0"/>
  </w:style>
  <w:style w:type="character" w:styleId="47">
    <w:name w:val="FollowedHyperlink"/>
    <w:qFormat/>
    <w:uiPriority w:val="0"/>
    <w:rPr>
      <w:color w:val="800080"/>
      <w:u w:val="single"/>
    </w:rPr>
  </w:style>
  <w:style w:type="character" w:styleId="48">
    <w:name w:val="Emphasis"/>
    <w:qFormat/>
    <w:uiPriority w:val="20"/>
    <w:rPr>
      <w:i/>
      <w:iCs/>
    </w:rPr>
  </w:style>
  <w:style w:type="character" w:styleId="49">
    <w:name w:val="Hyperlink"/>
    <w:qFormat/>
    <w:uiPriority w:val="99"/>
    <w:rPr>
      <w:color w:val="0000FF"/>
      <w:u w:val="single"/>
    </w:rPr>
  </w:style>
  <w:style w:type="character" w:styleId="50">
    <w:name w:val="annotation reference"/>
    <w:qFormat/>
    <w:uiPriority w:val="99"/>
    <w:rPr>
      <w:sz w:val="21"/>
      <w:szCs w:val="21"/>
    </w:rPr>
  </w:style>
  <w:style w:type="paragraph" w:customStyle="1" w:styleId="51">
    <w:name w:val="表格标题"/>
    <w:basedOn w:val="1"/>
    <w:link w:val="55"/>
    <w:qFormat/>
    <w:uiPriority w:val="99"/>
    <w:pPr>
      <w:adjustRightInd w:val="0"/>
      <w:snapToGrid w:val="0"/>
      <w:spacing w:line="360" w:lineRule="auto"/>
      <w:jc w:val="center"/>
    </w:pPr>
    <w:rPr>
      <w:rFonts w:ascii="Calibri" w:hAnsi="Calibri" w:eastAsia="宋体" w:cs="Times New Roman"/>
      <w:b/>
      <w:sz w:val="22"/>
      <w:szCs w:val="21"/>
    </w:rPr>
  </w:style>
  <w:style w:type="paragraph" w:customStyle="1" w:styleId="52">
    <w:name w:val="表格"/>
    <w:basedOn w:val="1"/>
    <w:next w:val="1"/>
    <w:autoRedefine/>
    <w:qFormat/>
    <w:uiPriority w:val="0"/>
    <w:pPr>
      <w:jc w:val="center"/>
    </w:pPr>
    <w:rPr>
      <w:rFonts w:ascii="Times New Roman" w:hAnsi="Times New Roman" w:eastAsia="宋体" w:cs="Times New Roman"/>
      <w:color w:val="000000"/>
      <w:szCs w:val="28"/>
    </w:rPr>
  </w:style>
  <w:style w:type="character" w:customStyle="1" w:styleId="53">
    <w:name w:val="表格 Char"/>
    <w:qFormat/>
    <w:uiPriority w:val="0"/>
    <w:rPr>
      <w:rFonts w:eastAsia="仿宋_GB2312"/>
      <w:snapToGrid w:val="0"/>
      <w:sz w:val="24"/>
      <w:lang w:val="en-US" w:eastAsia="zh-CN" w:bidi="ar-SA"/>
    </w:rPr>
  </w:style>
  <w:style w:type="character" w:customStyle="1" w:styleId="54">
    <w:name w:val="标题 2 字符"/>
    <w:basedOn w:val="44"/>
    <w:link w:val="3"/>
    <w:qFormat/>
    <w:uiPriority w:val="9"/>
    <w:rPr>
      <w:rFonts w:ascii="Calibri Light" w:hAnsi="Calibri Light" w:eastAsia="宋体" w:cs="Times New Roman"/>
      <w:b/>
      <w:bCs/>
      <w:sz w:val="28"/>
      <w:szCs w:val="32"/>
    </w:rPr>
  </w:style>
  <w:style w:type="character" w:customStyle="1" w:styleId="55">
    <w:name w:val="表格标题 Char"/>
    <w:link w:val="51"/>
    <w:qFormat/>
    <w:uiPriority w:val="99"/>
    <w:rPr>
      <w:rFonts w:ascii="Calibri" w:hAnsi="Calibri" w:eastAsia="宋体" w:cs="Times New Roman"/>
      <w:b/>
      <w:sz w:val="22"/>
      <w:szCs w:val="21"/>
    </w:rPr>
  </w:style>
  <w:style w:type="character" w:customStyle="1" w:styleId="56">
    <w:name w:val="标题 5 字符"/>
    <w:basedOn w:val="44"/>
    <w:link w:val="6"/>
    <w:qFormat/>
    <w:uiPriority w:val="9"/>
    <w:rPr>
      <w:rFonts w:eastAsia="宋体" w:asciiTheme="minorAscii" w:hAnsiTheme="minorAscii"/>
      <w:b/>
      <w:bCs/>
      <w:sz w:val="22"/>
      <w:szCs w:val="28"/>
    </w:rPr>
  </w:style>
  <w:style w:type="paragraph" w:customStyle="1" w:styleId="57">
    <w:name w:val="xl27"/>
    <w:basedOn w:val="1"/>
    <w:qFormat/>
    <w:uiPriority w:val="0"/>
    <w:pPr>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新宋体-18030" w:hAnsi="新宋体-18030" w:eastAsia="新宋体-18030" w:cs="新宋体-18030"/>
      <w:szCs w:val="24"/>
    </w:rPr>
  </w:style>
  <w:style w:type="character" w:customStyle="1" w:styleId="58">
    <w:name w:val="页眉 字符"/>
    <w:basedOn w:val="44"/>
    <w:link w:val="27"/>
    <w:qFormat/>
    <w:uiPriority w:val="0"/>
    <w:rPr>
      <w:sz w:val="18"/>
      <w:szCs w:val="18"/>
    </w:rPr>
  </w:style>
  <w:style w:type="character" w:customStyle="1" w:styleId="59">
    <w:name w:val="页脚 字符"/>
    <w:basedOn w:val="44"/>
    <w:link w:val="26"/>
    <w:qFormat/>
    <w:uiPriority w:val="99"/>
    <w:rPr>
      <w:sz w:val="18"/>
      <w:szCs w:val="18"/>
    </w:rPr>
  </w:style>
  <w:style w:type="character" w:customStyle="1" w:styleId="60">
    <w:name w:val="标题 1 字符"/>
    <w:basedOn w:val="44"/>
    <w:link w:val="2"/>
    <w:qFormat/>
    <w:uiPriority w:val="9"/>
    <w:rPr>
      <w:rFonts w:ascii="Calibri" w:hAnsi="Calibri" w:eastAsia="宋体" w:cs="Times New Roman"/>
      <w:b/>
      <w:bCs/>
      <w:kern w:val="44"/>
      <w:sz w:val="32"/>
      <w:szCs w:val="44"/>
    </w:rPr>
  </w:style>
  <w:style w:type="character" w:customStyle="1" w:styleId="61">
    <w:name w:val="标题 3 字符"/>
    <w:basedOn w:val="44"/>
    <w:link w:val="4"/>
    <w:qFormat/>
    <w:uiPriority w:val="9"/>
    <w:rPr>
      <w:rFonts w:ascii="Calibri" w:hAnsi="Calibri" w:eastAsia="宋体" w:cs="Times New Roman"/>
      <w:b/>
      <w:bCs/>
      <w:sz w:val="24"/>
      <w:szCs w:val="32"/>
    </w:rPr>
  </w:style>
  <w:style w:type="paragraph" w:customStyle="1" w:styleId="62">
    <w:name w:val="居中正文"/>
    <w:basedOn w:val="17"/>
    <w:qFormat/>
    <w:uiPriority w:val="0"/>
    <w:pPr>
      <w:adjustRightInd w:val="0"/>
      <w:spacing w:before="120" w:after="0" w:line="360" w:lineRule="auto"/>
      <w:ind w:firstLine="0" w:firstLineChars="0"/>
      <w:jc w:val="center"/>
      <w:textAlignment w:val="baseline"/>
    </w:pPr>
    <w:rPr>
      <w:rFonts w:ascii="宋体" w:hAnsi="Calibri" w:eastAsia="宋体" w:cs="Times New Roman"/>
      <w:kern w:val="28"/>
      <w:sz w:val="24"/>
      <w:szCs w:val="20"/>
    </w:rPr>
  </w:style>
  <w:style w:type="character" w:customStyle="1" w:styleId="63">
    <w:name w:val="正文文本 字符"/>
    <w:basedOn w:val="44"/>
    <w:link w:val="15"/>
    <w:qFormat/>
    <w:uiPriority w:val="99"/>
  </w:style>
  <w:style w:type="character" w:customStyle="1" w:styleId="64">
    <w:name w:val="正文文本首行缩进 字符"/>
    <w:basedOn w:val="63"/>
    <w:link w:val="17"/>
    <w:qFormat/>
    <w:uiPriority w:val="99"/>
  </w:style>
  <w:style w:type="character" w:customStyle="1" w:styleId="65">
    <w:name w:val="正文文本缩进 字符"/>
    <w:basedOn w:val="44"/>
    <w:link w:val="16"/>
    <w:qFormat/>
    <w:uiPriority w:val="0"/>
  </w:style>
  <w:style w:type="character" w:customStyle="1" w:styleId="66">
    <w:name w:val="正文文本首行缩进 2 字符"/>
    <w:basedOn w:val="65"/>
    <w:link w:val="40"/>
    <w:qFormat/>
    <w:uiPriority w:val="0"/>
    <w:rPr>
      <w:rFonts w:ascii="宋体" w:hAnsi="宋体" w:eastAsia="宋体" w:cs="Times New Roman"/>
      <w:color w:val="000000"/>
      <w:szCs w:val="24"/>
    </w:rPr>
  </w:style>
  <w:style w:type="paragraph" w:customStyle="1" w:styleId="67">
    <w:name w:val="表格文字33"/>
    <w:basedOn w:val="68"/>
    <w:qFormat/>
    <w:uiPriority w:val="0"/>
    <w:pPr>
      <w:widowControl w:val="0"/>
      <w:adjustRightInd/>
      <w:spacing w:before="0"/>
      <w:textAlignment w:val="auto"/>
    </w:pPr>
    <w:rPr>
      <w:rFonts w:hAnsi="宋体"/>
      <w:color w:val="000000"/>
      <w:kern w:val="2"/>
      <w:sz w:val="21"/>
      <w:szCs w:val="21"/>
    </w:rPr>
  </w:style>
  <w:style w:type="paragraph" w:customStyle="1" w:styleId="68">
    <w:name w:val="表格文字2"/>
    <w:basedOn w:val="69"/>
    <w:link w:val="147"/>
    <w:qFormat/>
    <w:uiPriority w:val="0"/>
    <w:pPr>
      <w:widowControl/>
      <w:adjustRightInd w:val="0"/>
      <w:spacing w:before="60" w:line="240" w:lineRule="auto"/>
      <w:textAlignment w:val="baseline"/>
    </w:pPr>
    <w:rPr>
      <w:kern w:val="0"/>
      <w:sz w:val="24"/>
      <w:szCs w:val="20"/>
    </w:rPr>
  </w:style>
  <w:style w:type="paragraph" w:customStyle="1" w:styleId="69">
    <w:name w:val="表格文字"/>
    <w:basedOn w:val="15"/>
    <w:link w:val="148"/>
    <w:qFormat/>
    <w:uiPriority w:val="0"/>
    <w:pPr>
      <w:spacing w:after="0" w:line="320" w:lineRule="exact"/>
      <w:jc w:val="center"/>
    </w:pPr>
    <w:rPr>
      <w:rFonts w:ascii="宋体" w:hAnsi="Calibri" w:eastAsia="宋体" w:cs="Times New Roman"/>
      <w:szCs w:val="24"/>
    </w:rPr>
  </w:style>
  <w:style w:type="paragraph" w:customStyle="1" w:styleId="70">
    <w:name w:val="表内文字"/>
    <w:basedOn w:val="1"/>
    <w:qFormat/>
    <w:uiPriority w:val="0"/>
    <w:pPr>
      <w:jc w:val="center"/>
    </w:pPr>
    <w:rPr>
      <w:rFonts w:ascii="Calibri" w:hAnsi="Calibri" w:eastAsia="宋体" w:cs="Times New Roman"/>
      <w:szCs w:val="21"/>
    </w:rPr>
  </w:style>
  <w:style w:type="character" w:customStyle="1" w:styleId="71">
    <w:name w:val="font11"/>
    <w:qFormat/>
    <w:uiPriority w:val="0"/>
    <w:rPr>
      <w:rFonts w:hint="default" w:ascii="Times New Roman" w:hAnsi="Times New Roman" w:cs="Times New Roman"/>
      <w:color w:val="000000"/>
      <w:sz w:val="21"/>
      <w:szCs w:val="21"/>
      <w:u w:val="none"/>
    </w:rPr>
  </w:style>
  <w:style w:type="character" w:customStyle="1" w:styleId="72">
    <w:name w:val="font31"/>
    <w:qFormat/>
    <w:uiPriority w:val="99"/>
    <w:rPr>
      <w:rFonts w:hint="eastAsia" w:ascii="宋体" w:hAnsi="宋体" w:eastAsia="宋体" w:cs="宋体"/>
      <w:color w:val="000000"/>
      <w:sz w:val="21"/>
      <w:szCs w:val="21"/>
      <w:u w:val="none"/>
    </w:rPr>
  </w:style>
  <w:style w:type="character" w:customStyle="1" w:styleId="73">
    <w:name w:val="font41"/>
    <w:qFormat/>
    <w:uiPriority w:val="0"/>
    <w:rPr>
      <w:rFonts w:hint="eastAsia" w:ascii="宋体" w:hAnsi="宋体" w:eastAsia="宋体" w:cs="宋体"/>
      <w:color w:val="000000"/>
      <w:sz w:val="21"/>
      <w:szCs w:val="21"/>
      <w:u w:val="none"/>
      <w:vertAlign w:val="subscript"/>
    </w:rPr>
  </w:style>
  <w:style w:type="character" w:customStyle="1" w:styleId="74">
    <w:name w:val="font51"/>
    <w:basedOn w:val="44"/>
    <w:qFormat/>
    <w:uiPriority w:val="0"/>
    <w:rPr>
      <w:rFonts w:hint="default" w:ascii="Times New Roman" w:hAnsi="Times New Roman" w:cs="Times New Roman"/>
      <w:color w:val="000000"/>
      <w:sz w:val="21"/>
      <w:szCs w:val="21"/>
      <w:u w:val="none"/>
      <w:vertAlign w:val="subscript"/>
    </w:rPr>
  </w:style>
  <w:style w:type="character" w:customStyle="1" w:styleId="75">
    <w:name w:val="font61"/>
    <w:basedOn w:val="44"/>
    <w:qFormat/>
    <w:uiPriority w:val="0"/>
    <w:rPr>
      <w:rFonts w:hint="eastAsia" w:ascii="宋体" w:hAnsi="宋体" w:eastAsia="宋体" w:cs="宋体"/>
      <w:color w:val="000000"/>
      <w:sz w:val="22"/>
      <w:szCs w:val="22"/>
      <w:u w:val="none"/>
    </w:rPr>
  </w:style>
  <w:style w:type="paragraph" w:customStyle="1" w:styleId="76">
    <w:name w:val="正文-游"/>
    <w:basedOn w:val="15"/>
    <w:link w:val="77"/>
    <w:qFormat/>
    <w:uiPriority w:val="0"/>
    <w:pPr>
      <w:adjustRightInd w:val="0"/>
      <w:snapToGrid w:val="0"/>
      <w:spacing w:after="0" w:line="480" w:lineRule="exact"/>
      <w:ind w:firstLine="200" w:firstLineChars="200"/>
    </w:pPr>
    <w:rPr>
      <w:rFonts w:ascii="Times New Roman" w:hAnsi="Times New Roman" w:eastAsia="宋体" w:cs="Times New Roman"/>
      <w:bCs/>
      <w:color w:val="953735" w:themeColor="accent2" w:themeShade="BF"/>
      <w:sz w:val="24"/>
      <w:szCs w:val="24"/>
    </w:rPr>
  </w:style>
  <w:style w:type="character" w:customStyle="1" w:styleId="77">
    <w:name w:val="正文-游 字符"/>
    <w:link w:val="76"/>
    <w:qFormat/>
    <w:uiPriority w:val="0"/>
    <w:rPr>
      <w:rFonts w:ascii="Times New Roman" w:hAnsi="Times New Roman" w:eastAsia="宋体" w:cs="Times New Roman"/>
      <w:bCs/>
      <w:color w:val="953735" w:themeColor="accent2" w:themeShade="BF"/>
      <w:sz w:val="24"/>
      <w:szCs w:val="24"/>
    </w:rPr>
  </w:style>
  <w:style w:type="character" w:customStyle="1" w:styleId="78">
    <w:name w:val="表格文字1 Char"/>
    <w:link w:val="79"/>
    <w:qFormat/>
    <w:uiPriority w:val="0"/>
    <w:rPr>
      <w:rFonts w:ascii="宋体" w:hAnsi="宋体" w:eastAsia="宋体"/>
      <w:szCs w:val="21"/>
    </w:rPr>
  </w:style>
  <w:style w:type="paragraph" w:customStyle="1" w:styleId="79">
    <w:name w:val="表格文字1"/>
    <w:basedOn w:val="1"/>
    <w:link w:val="78"/>
    <w:qFormat/>
    <w:uiPriority w:val="0"/>
    <w:pPr>
      <w:adjustRightInd w:val="0"/>
      <w:snapToGrid w:val="0"/>
      <w:jc w:val="center"/>
    </w:pPr>
    <w:rPr>
      <w:rFonts w:ascii="宋体" w:hAnsi="宋体" w:eastAsia="宋体"/>
      <w:szCs w:val="21"/>
    </w:rPr>
  </w:style>
  <w:style w:type="character" w:customStyle="1" w:styleId="80">
    <w:name w:val="标题 4 字符"/>
    <w:basedOn w:val="44"/>
    <w:link w:val="5"/>
    <w:qFormat/>
    <w:uiPriority w:val="0"/>
    <w:rPr>
      <w:rFonts w:eastAsia="宋体" w:asciiTheme="majorAscii" w:hAnsiTheme="majorAscii" w:cstheme="majorBidi"/>
      <w:b/>
      <w:bCs/>
      <w:sz w:val="24"/>
      <w:szCs w:val="28"/>
    </w:rPr>
  </w:style>
  <w:style w:type="character" w:customStyle="1" w:styleId="81">
    <w:name w:val="纯文本 字符"/>
    <w:basedOn w:val="44"/>
    <w:link w:val="21"/>
    <w:qFormat/>
    <w:uiPriority w:val="0"/>
    <w:rPr>
      <w:rFonts w:ascii="宋体" w:hAnsi="Courier New" w:eastAsia="宋体" w:cs="Times New Roman"/>
      <w:sz w:val="28"/>
      <w:szCs w:val="20"/>
    </w:rPr>
  </w:style>
  <w:style w:type="paragraph" w:customStyle="1" w:styleId="82">
    <w:name w:val="标准正文"/>
    <w:basedOn w:val="21"/>
    <w:link w:val="89"/>
    <w:qFormat/>
    <w:uiPriority w:val="0"/>
    <w:pPr>
      <w:spacing w:line="360" w:lineRule="auto"/>
      <w:ind w:firstLine="480" w:firstLineChars="200"/>
    </w:pPr>
    <w:rPr>
      <w:rFonts w:hAnsi="宋体"/>
      <w:sz w:val="24"/>
      <w:szCs w:val="24"/>
    </w:rPr>
  </w:style>
  <w:style w:type="character" w:customStyle="1" w:styleId="83">
    <w:name w:val="font21"/>
    <w:basedOn w:val="44"/>
    <w:qFormat/>
    <w:uiPriority w:val="0"/>
    <w:rPr>
      <w:rFonts w:hint="eastAsia" w:ascii="宋体" w:hAnsi="宋体" w:eastAsia="宋体" w:cs="宋体"/>
      <w:color w:val="000000"/>
      <w:sz w:val="21"/>
      <w:szCs w:val="21"/>
      <w:u w:val="none"/>
    </w:rPr>
  </w:style>
  <w:style w:type="paragraph" w:customStyle="1" w:styleId="84">
    <w:name w:val="三级标题"/>
    <w:basedOn w:val="4"/>
    <w:link w:val="87"/>
    <w:qFormat/>
    <w:uiPriority w:val="0"/>
    <w:pPr>
      <w:spacing w:line="360" w:lineRule="auto"/>
    </w:pPr>
    <w:rPr>
      <w:rFonts w:eastAsia="黑体" w:asciiTheme="minorHAnsi" w:hAnsiTheme="minorHAnsi" w:cstheme="minorBidi"/>
      <w:b w:val="0"/>
      <w:bCs w:val="0"/>
      <w:sz w:val="28"/>
    </w:rPr>
  </w:style>
  <w:style w:type="paragraph" w:customStyle="1" w:styleId="85">
    <w:name w:val="四级标题"/>
    <w:basedOn w:val="5"/>
    <w:link w:val="88"/>
    <w:qFormat/>
    <w:uiPriority w:val="99"/>
    <w:pPr>
      <w:spacing w:before="120" w:after="120" w:line="360" w:lineRule="auto"/>
    </w:pPr>
    <w:rPr>
      <w:rFonts w:hAnsi="Arial" w:eastAsia="黑体" w:cs="Arial" w:asciiTheme="minorHAnsi"/>
      <w:b w:val="0"/>
      <w:sz w:val="24"/>
      <w:szCs w:val="22"/>
    </w:rPr>
  </w:style>
  <w:style w:type="paragraph" w:styleId="86">
    <w:name w:val="List Paragraph"/>
    <w:basedOn w:val="1"/>
    <w:qFormat/>
    <w:uiPriority w:val="34"/>
    <w:pPr>
      <w:ind w:firstLine="420" w:firstLineChars="200"/>
    </w:pPr>
  </w:style>
  <w:style w:type="character" w:customStyle="1" w:styleId="87">
    <w:name w:val="三级标题 Char"/>
    <w:link w:val="84"/>
    <w:qFormat/>
    <w:uiPriority w:val="0"/>
    <w:rPr>
      <w:rFonts w:eastAsia="黑体"/>
      <w:sz w:val="28"/>
      <w:szCs w:val="32"/>
    </w:rPr>
  </w:style>
  <w:style w:type="character" w:customStyle="1" w:styleId="88">
    <w:name w:val="四级标题 Char"/>
    <w:link w:val="85"/>
    <w:qFormat/>
    <w:uiPriority w:val="99"/>
    <w:rPr>
      <w:rFonts w:hAnsi="Arial" w:eastAsia="黑体" w:cs="Arial"/>
      <w:bCs/>
      <w:sz w:val="24"/>
    </w:rPr>
  </w:style>
  <w:style w:type="character" w:customStyle="1" w:styleId="89">
    <w:name w:val="标准正文 Char"/>
    <w:link w:val="82"/>
    <w:qFormat/>
    <w:uiPriority w:val="0"/>
    <w:rPr>
      <w:rFonts w:ascii="宋体" w:hAnsi="宋体" w:eastAsia="宋体" w:cs="Times New Roman"/>
      <w:sz w:val="24"/>
      <w:szCs w:val="24"/>
    </w:rPr>
  </w:style>
  <w:style w:type="character" w:customStyle="1" w:styleId="90">
    <w:name w:val="font01"/>
    <w:basedOn w:val="44"/>
    <w:qFormat/>
    <w:uiPriority w:val="0"/>
    <w:rPr>
      <w:rFonts w:hint="eastAsia" w:ascii="宋体" w:hAnsi="宋体" w:eastAsia="宋体" w:cs="宋体"/>
      <w:color w:val="000000"/>
      <w:sz w:val="22"/>
      <w:szCs w:val="22"/>
      <w:u w:val="none"/>
    </w:rPr>
  </w:style>
  <w:style w:type="character" w:customStyle="1" w:styleId="91">
    <w:name w:val="标题 6 字符"/>
    <w:basedOn w:val="44"/>
    <w:link w:val="7"/>
    <w:qFormat/>
    <w:uiPriority w:val="0"/>
    <w:rPr>
      <w:rFonts w:ascii="黑体" w:hAnsi="Times New Roman" w:eastAsia="黑体" w:cs="Times New Roman"/>
      <w:kern w:val="24"/>
      <w:sz w:val="28"/>
      <w:szCs w:val="24"/>
    </w:rPr>
  </w:style>
  <w:style w:type="character" w:customStyle="1" w:styleId="92">
    <w:name w:val="标题 7 字符"/>
    <w:basedOn w:val="44"/>
    <w:link w:val="8"/>
    <w:qFormat/>
    <w:uiPriority w:val="0"/>
    <w:rPr>
      <w:rFonts w:ascii="Calibri" w:hAnsi="Calibri" w:eastAsia="宋体" w:cs="Times New Roman"/>
      <w:b/>
      <w:bCs/>
      <w:sz w:val="24"/>
      <w:szCs w:val="24"/>
    </w:rPr>
  </w:style>
  <w:style w:type="character" w:customStyle="1" w:styleId="93">
    <w:name w:val="注释标题 字符"/>
    <w:basedOn w:val="44"/>
    <w:link w:val="10"/>
    <w:qFormat/>
    <w:uiPriority w:val="0"/>
    <w:rPr>
      <w:rFonts w:ascii="Times New Roman" w:hAnsi="Times New Roman" w:eastAsia="宋体" w:cs="Times New Roman"/>
      <w:sz w:val="24"/>
      <w:szCs w:val="20"/>
    </w:rPr>
  </w:style>
  <w:style w:type="character" w:customStyle="1" w:styleId="94">
    <w:name w:val="正文缩进 字符"/>
    <w:link w:val="11"/>
    <w:qFormat/>
    <w:uiPriority w:val="99"/>
    <w:rPr>
      <w:rFonts w:ascii="Calibri" w:hAnsi="Calibri" w:eastAsia="宋体" w:cs="Times New Roman"/>
      <w:szCs w:val="20"/>
    </w:rPr>
  </w:style>
  <w:style w:type="character" w:customStyle="1" w:styleId="95">
    <w:name w:val="文档结构图 字符"/>
    <w:basedOn w:val="44"/>
    <w:link w:val="13"/>
    <w:semiHidden/>
    <w:qFormat/>
    <w:uiPriority w:val="0"/>
    <w:rPr>
      <w:rFonts w:ascii="Times New Roman" w:hAnsi="Times New Roman" w:eastAsia="宋体" w:cs="Times New Roman"/>
      <w:szCs w:val="24"/>
      <w:shd w:val="clear" w:color="auto" w:fill="000080"/>
    </w:rPr>
  </w:style>
  <w:style w:type="character" w:customStyle="1" w:styleId="96">
    <w:name w:val="批注文字 字符"/>
    <w:basedOn w:val="44"/>
    <w:link w:val="14"/>
    <w:qFormat/>
    <w:uiPriority w:val="99"/>
    <w:rPr>
      <w:rFonts w:ascii="Times New Roman" w:hAnsi="Times New Roman" w:eastAsia="宋体" w:cs="Times New Roman"/>
      <w:szCs w:val="24"/>
    </w:rPr>
  </w:style>
  <w:style w:type="character" w:customStyle="1" w:styleId="97">
    <w:name w:val="日期 字符"/>
    <w:basedOn w:val="44"/>
    <w:link w:val="23"/>
    <w:qFormat/>
    <w:uiPriority w:val="0"/>
    <w:rPr>
      <w:rFonts w:ascii="宋体" w:hAnsi="Calibri" w:eastAsia="宋体" w:cs="Times New Roman"/>
      <w:sz w:val="28"/>
      <w:szCs w:val="20"/>
    </w:rPr>
  </w:style>
  <w:style w:type="character" w:customStyle="1" w:styleId="98">
    <w:name w:val="正文文本缩进 2 字符"/>
    <w:basedOn w:val="44"/>
    <w:link w:val="24"/>
    <w:qFormat/>
    <w:uiPriority w:val="99"/>
    <w:rPr>
      <w:rFonts w:ascii="Calibri" w:hAnsi="Calibri" w:eastAsia="宋体" w:cs="Times New Roman"/>
      <w:szCs w:val="24"/>
    </w:rPr>
  </w:style>
  <w:style w:type="character" w:customStyle="1" w:styleId="99">
    <w:name w:val="批注框文本 字符"/>
    <w:basedOn w:val="44"/>
    <w:link w:val="25"/>
    <w:qFormat/>
    <w:uiPriority w:val="0"/>
    <w:rPr>
      <w:rFonts w:ascii="Times New Roman" w:hAnsi="Times New Roman" w:eastAsia="宋体" w:cs="Times New Roman"/>
      <w:sz w:val="18"/>
      <w:szCs w:val="18"/>
    </w:rPr>
  </w:style>
  <w:style w:type="character" w:customStyle="1" w:styleId="100">
    <w:name w:val="副标题 字符"/>
    <w:basedOn w:val="44"/>
    <w:link w:val="30"/>
    <w:qFormat/>
    <w:uiPriority w:val="0"/>
    <w:rPr>
      <w:rFonts w:ascii="Cambria" w:hAnsi="Cambria" w:eastAsia="宋体" w:cs="Times New Roman"/>
      <w:b/>
      <w:bCs/>
      <w:kern w:val="28"/>
      <w:sz w:val="28"/>
      <w:szCs w:val="32"/>
    </w:rPr>
  </w:style>
  <w:style w:type="character" w:customStyle="1" w:styleId="101">
    <w:name w:val="正文文本缩进 3 字符"/>
    <w:basedOn w:val="44"/>
    <w:link w:val="32"/>
    <w:qFormat/>
    <w:uiPriority w:val="0"/>
    <w:rPr>
      <w:rFonts w:ascii="Times New Roman" w:hAnsi="Times New Roman" w:eastAsia="宋体" w:cs="Times New Roman"/>
      <w:sz w:val="16"/>
      <w:szCs w:val="16"/>
    </w:rPr>
  </w:style>
  <w:style w:type="character" w:customStyle="1" w:styleId="102">
    <w:name w:val="正文文本 2 字符"/>
    <w:basedOn w:val="44"/>
    <w:link w:val="36"/>
    <w:semiHidden/>
    <w:qFormat/>
    <w:uiPriority w:val="0"/>
    <w:rPr>
      <w:rFonts w:ascii="Times New Roman" w:hAnsi="Times New Roman" w:eastAsia="宋体" w:cs="Times New Roman"/>
      <w:szCs w:val="24"/>
    </w:rPr>
  </w:style>
  <w:style w:type="character" w:customStyle="1" w:styleId="103">
    <w:name w:val="HTML 预设格式 字符"/>
    <w:basedOn w:val="44"/>
    <w:link w:val="37"/>
    <w:qFormat/>
    <w:uiPriority w:val="0"/>
    <w:rPr>
      <w:rFonts w:ascii="Arial" w:hAnsi="Arial" w:eastAsia="宋体" w:cs="Arial"/>
      <w:kern w:val="0"/>
      <w:sz w:val="24"/>
      <w:szCs w:val="24"/>
    </w:rPr>
  </w:style>
  <w:style w:type="character" w:customStyle="1" w:styleId="104">
    <w:name w:val="批注主题 字符"/>
    <w:basedOn w:val="96"/>
    <w:link w:val="39"/>
    <w:qFormat/>
    <w:uiPriority w:val="99"/>
    <w:rPr>
      <w:rFonts w:ascii="Times New Roman" w:hAnsi="Times New Roman" w:eastAsia="宋体" w:cs="Times New Roman"/>
      <w:b/>
      <w:bCs/>
      <w:szCs w:val="24"/>
    </w:rPr>
  </w:style>
  <w:style w:type="character" w:customStyle="1" w:styleId="105">
    <w:name w:val="Char Char13"/>
    <w:qFormat/>
    <w:uiPriority w:val="0"/>
    <w:rPr>
      <w:rFonts w:ascii="Arial" w:hAnsi="Arial" w:eastAsia="黑体"/>
      <w:b/>
      <w:bCs/>
      <w:kern w:val="2"/>
      <w:sz w:val="32"/>
      <w:szCs w:val="32"/>
      <w:lang w:val="en-US" w:eastAsia="zh-CN" w:bidi="ar-SA"/>
    </w:rPr>
  </w:style>
  <w:style w:type="character" w:customStyle="1" w:styleId="106">
    <w:name w:val="纯文本 Char"/>
    <w:qFormat/>
    <w:uiPriority w:val="0"/>
    <w:rPr>
      <w:rFonts w:ascii="Courier New" w:hAnsi="Courier New" w:eastAsia="宋体"/>
      <w:kern w:val="2"/>
      <w:sz w:val="21"/>
      <w:lang w:val="en-US" w:eastAsia="zh-CN" w:bidi="ar-SA"/>
    </w:rPr>
  </w:style>
  <w:style w:type="character" w:customStyle="1" w:styleId="107">
    <w:name w:val="表头 Char"/>
    <w:link w:val="108"/>
    <w:qFormat/>
    <w:uiPriority w:val="0"/>
    <w:rPr>
      <w:rFonts w:ascii="宋体" w:hAnsi="宋体"/>
      <w:b/>
      <w:color w:val="000000"/>
      <w:sz w:val="24"/>
      <w:szCs w:val="24"/>
    </w:rPr>
  </w:style>
  <w:style w:type="paragraph" w:customStyle="1" w:styleId="108">
    <w:name w:val="表头"/>
    <w:next w:val="1"/>
    <w:link w:val="107"/>
    <w:qFormat/>
    <w:uiPriority w:val="0"/>
    <w:pPr>
      <w:widowControl w:val="0"/>
      <w:adjustRightInd w:val="0"/>
      <w:snapToGrid w:val="0"/>
      <w:spacing w:line="360" w:lineRule="auto"/>
      <w:jc w:val="center"/>
    </w:pPr>
    <w:rPr>
      <w:rFonts w:ascii="宋体" w:hAnsi="宋体" w:eastAsiaTheme="minorEastAsia" w:cstheme="minorBidi"/>
      <w:b/>
      <w:color w:val="000000"/>
      <w:kern w:val="2"/>
      <w:sz w:val="24"/>
      <w:szCs w:val="24"/>
      <w:lang w:val="en-US" w:eastAsia="zh-CN" w:bidi="ar-SA"/>
    </w:rPr>
  </w:style>
  <w:style w:type="character" w:customStyle="1" w:styleId="109">
    <w:name w:val="标准正文 字符"/>
    <w:qFormat/>
    <w:uiPriority w:val="0"/>
    <w:rPr>
      <w:rFonts w:ascii="宋体" w:hAnsi="宋体"/>
      <w:kern w:val="2"/>
      <w:sz w:val="24"/>
      <w:szCs w:val="24"/>
    </w:rPr>
  </w:style>
  <w:style w:type="character" w:customStyle="1" w:styleId="110">
    <w:name w:val="正文文字缩进 2 Char Char1"/>
    <w:qFormat/>
    <w:uiPriority w:val="0"/>
    <w:rPr>
      <w:rFonts w:eastAsia="宋体"/>
      <w:kern w:val="2"/>
      <w:sz w:val="21"/>
      <w:szCs w:val="24"/>
      <w:lang w:val="en-US" w:eastAsia="zh-CN" w:bidi="ar-SA"/>
    </w:rPr>
  </w:style>
  <w:style w:type="character" w:customStyle="1" w:styleId="111">
    <w:name w:val="15"/>
    <w:qFormat/>
    <w:uiPriority w:val="0"/>
    <w:rPr>
      <w:rFonts w:hint="default" w:ascii="Times New Roman" w:hAnsi="Times New Roman" w:cs="Times New Roman"/>
      <w:b/>
      <w:bCs/>
    </w:rPr>
  </w:style>
  <w:style w:type="character" w:customStyle="1" w:styleId="112">
    <w:name w:val="Char Char4"/>
    <w:qFormat/>
    <w:uiPriority w:val="0"/>
    <w:rPr>
      <w:rFonts w:ascii="Arial" w:hAnsi="Arial" w:eastAsia="黑体"/>
      <w:b/>
      <w:bCs/>
      <w:kern w:val="2"/>
      <w:sz w:val="32"/>
      <w:szCs w:val="32"/>
      <w:lang w:val="en-US" w:eastAsia="zh-CN" w:bidi="ar-SA"/>
    </w:rPr>
  </w:style>
  <w:style w:type="character" w:customStyle="1" w:styleId="113">
    <w:name w:val="Char Char7"/>
    <w:qFormat/>
    <w:uiPriority w:val="0"/>
    <w:rPr>
      <w:rFonts w:eastAsia="宋体"/>
      <w:kern w:val="2"/>
      <w:sz w:val="21"/>
      <w:szCs w:val="24"/>
      <w:lang w:val="en-US" w:eastAsia="zh-CN" w:bidi="ar-SA"/>
    </w:rPr>
  </w:style>
  <w:style w:type="character" w:customStyle="1" w:styleId="114">
    <w:name w:val="标准正文1 Char"/>
    <w:link w:val="115"/>
    <w:qFormat/>
    <w:uiPriority w:val="0"/>
    <w:rPr>
      <w:sz w:val="24"/>
      <w:szCs w:val="24"/>
    </w:rPr>
  </w:style>
  <w:style w:type="paragraph" w:customStyle="1" w:styleId="115">
    <w:name w:val="标准正文1"/>
    <w:basedOn w:val="1"/>
    <w:link w:val="114"/>
    <w:qFormat/>
    <w:uiPriority w:val="0"/>
    <w:pPr>
      <w:widowControl/>
      <w:spacing w:line="360" w:lineRule="auto"/>
      <w:ind w:firstLine="480" w:firstLineChars="200"/>
      <w:jc w:val="left"/>
    </w:pPr>
    <w:rPr>
      <w:sz w:val="24"/>
      <w:szCs w:val="24"/>
    </w:rPr>
  </w:style>
  <w:style w:type="character" w:customStyle="1" w:styleId="116">
    <w:name w:val="表文 Char"/>
    <w:link w:val="117"/>
    <w:qFormat/>
    <w:locked/>
    <w:uiPriority w:val="0"/>
    <w:rPr>
      <w:rFonts w:eastAsia="宋体"/>
      <w:position w:val="-24"/>
      <w:szCs w:val="21"/>
    </w:rPr>
  </w:style>
  <w:style w:type="paragraph" w:customStyle="1" w:styleId="117">
    <w:name w:val="表文"/>
    <w:basedOn w:val="1"/>
    <w:link w:val="116"/>
    <w:qFormat/>
    <w:uiPriority w:val="0"/>
    <w:pPr>
      <w:tabs>
        <w:tab w:val="left" w:pos="1021"/>
      </w:tabs>
      <w:adjustRightInd w:val="0"/>
      <w:snapToGrid w:val="0"/>
      <w:jc w:val="center"/>
    </w:pPr>
    <w:rPr>
      <w:rFonts w:eastAsia="宋体"/>
      <w:position w:val="-24"/>
      <w:szCs w:val="21"/>
    </w:rPr>
  </w:style>
  <w:style w:type="character" w:customStyle="1" w:styleId="118">
    <w:name w:val="表头文字 Char"/>
    <w:link w:val="119"/>
    <w:qFormat/>
    <w:uiPriority w:val="0"/>
    <w:rPr>
      <w:rFonts w:ascii="Tahoma" w:hAnsi="Tahoma" w:eastAsia="黑体"/>
      <w:sz w:val="24"/>
    </w:rPr>
  </w:style>
  <w:style w:type="paragraph" w:customStyle="1" w:styleId="119">
    <w:name w:val="表头文字"/>
    <w:basedOn w:val="1"/>
    <w:next w:val="17"/>
    <w:link w:val="118"/>
    <w:qFormat/>
    <w:uiPriority w:val="0"/>
    <w:pPr>
      <w:adjustRightInd w:val="0"/>
      <w:snapToGrid w:val="0"/>
      <w:spacing w:before="156" w:beforeLines="50" w:line="360" w:lineRule="auto"/>
      <w:jc w:val="left"/>
      <w:textAlignment w:val="baseline"/>
    </w:pPr>
    <w:rPr>
      <w:rFonts w:ascii="Tahoma" w:hAnsi="Tahoma" w:eastAsia="黑体"/>
      <w:sz w:val="24"/>
    </w:rPr>
  </w:style>
  <w:style w:type="character" w:customStyle="1" w:styleId="120">
    <w:name w:val="e91"/>
    <w:qFormat/>
    <w:uiPriority w:val="0"/>
    <w:rPr>
      <w:rFonts w:hint="default" w:ascii="Arial" w:hAnsi="Arial" w:cs="Arial"/>
      <w:sz w:val="21"/>
      <w:szCs w:val="21"/>
    </w:rPr>
  </w:style>
  <w:style w:type="character" w:customStyle="1" w:styleId="121">
    <w:name w:val="yyp Char"/>
    <w:link w:val="122"/>
    <w:qFormat/>
    <w:uiPriority w:val="0"/>
    <w:rPr>
      <w:rFonts w:eastAsia="宋体"/>
      <w:sz w:val="24"/>
      <w:szCs w:val="24"/>
    </w:rPr>
  </w:style>
  <w:style w:type="paragraph" w:customStyle="1" w:styleId="122">
    <w:name w:val="yyp"/>
    <w:basedOn w:val="17"/>
    <w:link w:val="121"/>
    <w:qFormat/>
    <w:uiPriority w:val="0"/>
    <w:pPr>
      <w:spacing w:after="0" w:line="360" w:lineRule="auto"/>
      <w:ind w:firstLine="480" w:firstLineChars="200"/>
    </w:pPr>
    <w:rPr>
      <w:rFonts w:eastAsia="宋体"/>
      <w:sz w:val="24"/>
      <w:szCs w:val="24"/>
    </w:rPr>
  </w:style>
  <w:style w:type="character" w:customStyle="1" w:styleId="123">
    <w:name w:val="Char Char6"/>
    <w:semiHidden/>
    <w:qFormat/>
    <w:uiPriority w:val="0"/>
    <w:rPr>
      <w:rFonts w:eastAsia="宋体"/>
      <w:kern w:val="2"/>
      <w:sz w:val="21"/>
      <w:szCs w:val="24"/>
      <w:lang w:val="en-US" w:eastAsia="zh-CN" w:bidi="ar-SA"/>
    </w:rPr>
  </w:style>
  <w:style w:type="character" w:customStyle="1" w:styleId="124">
    <w:name w:val="headline-content"/>
    <w:qFormat/>
    <w:uiPriority w:val="0"/>
  </w:style>
  <w:style w:type="character" w:customStyle="1" w:styleId="125">
    <w:name w:val="段落 Char"/>
    <w:link w:val="126"/>
    <w:qFormat/>
    <w:uiPriority w:val="0"/>
    <w:rPr>
      <w:rFonts w:ascii="楷体_GB2312" w:hAnsi="楷体_GB2312" w:eastAsia="楷体_GB2312"/>
      <w:bCs/>
      <w:kern w:val="24"/>
      <w:sz w:val="28"/>
      <w:szCs w:val="28"/>
    </w:rPr>
  </w:style>
  <w:style w:type="paragraph" w:customStyle="1" w:styleId="126">
    <w:name w:val="段落"/>
    <w:basedOn w:val="1"/>
    <w:link w:val="125"/>
    <w:qFormat/>
    <w:uiPriority w:val="0"/>
    <w:pPr>
      <w:spacing w:line="320" w:lineRule="exact"/>
      <w:jc w:val="center"/>
    </w:pPr>
    <w:rPr>
      <w:rFonts w:ascii="楷体_GB2312" w:hAnsi="楷体_GB2312" w:eastAsia="楷体_GB2312"/>
      <w:bCs/>
      <w:kern w:val="24"/>
      <w:sz w:val="28"/>
      <w:szCs w:val="28"/>
    </w:rPr>
  </w:style>
  <w:style w:type="character" w:customStyle="1" w:styleId="127">
    <w:name w:val="headline-content2"/>
    <w:qFormat/>
    <w:uiPriority w:val="0"/>
  </w:style>
  <w:style w:type="character" w:customStyle="1" w:styleId="128">
    <w:name w:val="arr1"/>
    <w:qFormat/>
    <w:uiPriority w:val="0"/>
  </w:style>
  <w:style w:type="character" w:customStyle="1" w:styleId="129">
    <w:name w:val="项目 Char2"/>
    <w:qFormat/>
    <w:uiPriority w:val="0"/>
    <w:rPr>
      <w:rFonts w:ascii="Arial" w:hAnsi="Arial" w:eastAsia="黑体"/>
      <w:b/>
      <w:bCs/>
      <w:kern w:val="2"/>
      <w:sz w:val="32"/>
      <w:szCs w:val="32"/>
      <w:lang w:val="en-US" w:eastAsia="zh-CN" w:bidi="ar-SA"/>
    </w:rPr>
  </w:style>
  <w:style w:type="character" w:customStyle="1" w:styleId="130">
    <w:name w:val="正文文字( 首段缩进两字） Char"/>
    <w:qFormat/>
    <w:uiPriority w:val="0"/>
    <w:rPr>
      <w:rFonts w:ascii="Arial" w:hAnsi="Arial" w:eastAsia="楷体_GB2312"/>
      <w:snapToGrid w:val="0"/>
      <w:sz w:val="24"/>
      <w:szCs w:val="24"/>
      <w:lang w:val="en-US" w:eastAsia="zh-CN" w:bidi="ar-SA"/>
    </w:rPr>
  </w:style>
  <w:style w:type="character" w:customStyle="1" w:styleId="131">
    <w:name w:val="正文退后 Char"/>
    <w:link w:val="132"/>
    <w:qFormat/>
    <w:uiPriority w:val="0"/>
    <w:rPr>
      <w:rFonts w:ascii="Calibri" w:hAnsi="Calibri" w:eastAsia="宋体"/>
      <w:sz w:val="24"/>
    </w:rPr>
  </w:style>
  <w:style w:type="paragraph" w:customStyle="1" w:styleId="132">
    <w:name w:val="正文退后"/>
    <w:basedOn w:val="1"/>
    <w:link w:val="131"/>
    <w:qFormat/>
    <w:uiPriority w:val="0"/>
    <w:pPr>
      <w:spacing w:line="360" w:lineRule="auto"/>
      <w:ind w:firstLine="480" w:firstLineChars="200"/>
    </w:pPr>
    <w:rPr>
      <w:rFonts w:ascii="Calibri" w:hAnsi="Calibri" w:eastAsia="宋体"/>
      <w:sz w:val="24"/>
    </w:rPr>
  </w:style>
  <w:style w:type="character" w:customStyle="1" w:styleId="133">
    <w:name w:val="正文 首行缩进:  2 字符 Char Char1"/>
    <w:link w:val="134"/>
    <w:semiHidden/>
    <w:qFormat/>
    <w:uiPriority w:val="0"/>
    <w:rPr>
      <w:rFonts w:eastAsia="宋体" w:cs="宋体"/>
      <w:kern w:val="44"/>
      <w:sz w:val="24"/>
    </w:rPr>
  </w:style>
  <w:style w:type="paragraph" w:customStyle="1" w:styleId="134">
    <w:name w:val="正文 首行缩进:  2 字符 Char"/>
    <w:basedOn w:val="1"/>
    <w:link w:val="133"/>
    <w:semiHidden/>
    <w:qFormat/>
    <w:uiPriority w:val="0"/>
    <w:pPr>
      <w:spacing w:line="520" w:lineRule="exact"/>
      <w:ind w:firstLine="200" w:firstLineChars="200"/>
    </w:pPr>
    <w:rPr>
      <w:rFonts w:eastAsia="宋体" w:cs="宋体"/>
      <w:kern w:val="44"/>
      <w:sz w:val="24"/>
    </w:rPr>
  </w:style>
  <w:style w:type="character" w:customStyle="1" w:styleId="135">
    <w:name w:val="纯文本 Char1"/>
    <w:qFormat/>
    <w:uiPriority w:val="0"/>
    <w:rPr>
      <w:rFonts w:ascii="Courier New" w:hAnsi="Courier New" w:eastAsia="宋体"/>
      <w:kern w:val="2"/>
      <w:sz w:val="21"/>
      <w:lang w:val="en-US" w:eastAsia="zh-CN" w:bidi="ar-SA"/>
    </w:rPr>
  </w:style>
  <w:style w:type="character" w:customStyle="1" w:styleId="136">
    <w:name w:val="普通文字 Char Char Char Char Char Char Char Char Char1"/>
    <w:qFormat/>
    <w:uiPriority w:val="0"/>
    <w:rPr>
      <w:rFonts w:ascii="宋体" w:hAnsi="Courier New" w:cs="Courier New"/>
      <w:kern w:val="2"/>
      <w:sz w:val="21"/>
      <w:szCs w:val="21"/>
    </w:rPr>
  </w:style>
  <w:style w:type="character" w:customStyle="1" w:styleId="137">
    <w:name w:val="纯文本 Char4"/>
    <w:qFormat/>
    <w:uiPriority w:val="99"/>
    <w:rPr>
      <w:rFonts w:ascii="宋体" w:hAnsi="Courier New"/>
      <w:kern w:val="2"/>
      <w:sz w:val="28"/>
    </w:rPr>
  </w:style>
  <w:style w:type="character" w:customStyle="1" w:styleId="138">
    <w:name w:val="zzsy051"/>
    <w:qFormat/>
    <w:uiPriority w:val="0"/>
    <w:rPr>
      <w:rFonts w:hint="eastAsia" w:ascii="宋体" w:hAnsi="宋体" w:eastAsia="宋体"/>
      <w:b/>
      <w:bCs/>
      <w:color w:val="FF0000"/>
      <w:sz w:val="24"/>
      <w:szCs w:val="24"/>
    </w:rPr>
  </w:style>
  <w:style w:type="character" w:customStyle="1" w:styleId="139">
    <w:name w:val="t_tag"/>
    <w:qFormat/>
    <w:uiPriority w:val="0"/>
  </w:style>
  <w:style w:type="character" w:customStyle="1" w:styleId="140">
    <w:name w:val="表格标题1 Char"/>
    <w:qFormat/>
    <w:uiPriority w:val="0"/>
    <w:rPr>
      <w:b/>
    </w:rPr>
  </w:style>
  <w:style w:type="character" w:customStyle="1" w:styleId="141">
    <w:name w:val="Char Char3"/>
    <w:qFormat/>
    <w:uiPriority w:val="0"/>
    <w:rPr>
      <w:rFonts w:eastAsia="宋体"/>
      <w:b/>
      <w:bCs/>
      <w:kern w:val="2"/>
      <w:sz w:val="32"/>
      <w:szCs w:val="32"/>
      <w:lang w:val="en-US" w:eastAsia="zh-CN" w:bidi="ar-SA"/>
    </w:rPr>
  </w:style>
  <w:style w:type="character" w:customStyle="1" w:styleId="142">
    <w:name w:val="标题 3 Char1"/>
    <w:qFormat/>
    <w:uiPriority w:val="0"/>
    <w:rPr>
      <w:rFonts w:ascii="Arial" w:hAnsi="Arial" w:eastAsia="黑体"/>
      <w:kern w:val="20"/>
      <w:sz w:val="24"/>
      <w:lang w:val="en-US" w:eastAsia="zh-CN" w:bidi="ar-SA"/>
    </w:rPr>
  </w:style>
  <w:style w:type="character" w:customStyle="1" w:styleId="143">
    <w:name w:val="正文文字缩进 2 Char Char"/>
    <w:qFormat/>
    <w:uiPriority w:val="0"/>
    <w:rPr>
      <w:rFonts w:eastAsia="宋体"/>
      <w:kern w:val="2"/>
      <w:sz w:val="21"/>
      <w:szCs w:val="24"/>
      <w:lang w:val="en-US" w:eastAsia="zh-CN" w:bidi="ar-SA"/>
    </w:rPr>
  </w:style>
  <w:style w:type="character" w:customStyle="1" w:styleId="144">
    <w:name w:val="项目 Char"/>
    <w:qFormat/>
    <w:uiPriority w:val="0"/>
    <w:rPr>
      <w:rFonts w:ascii="Arial" w:hAnsi="Arial" w:eastAsia="黑体"/>
      <w:b/>
      <w:bCs/>
      <w:kern w:val="2"/>
      <w:sz w:val="32"/>
      <w:szCs w:val="32"/>
      <w:lang w:val="en-US" w:eastAsia="zh-CN" w:bidi="ar-SA"/>
    </w:rPr>
  </w:style>
  <w:style w:type="character" w:customStyle="1" w:styleId="145">
    <w:name w:val="表格文字222 Char"/>
    <w:link w:val="146"/>
    <w:qFormat/>
    <w:uiPriority w:val="0"/>
    <w:rPr>
      <w:rFonts w:ascii="宋体" w:hAnsi="宋体"/>
      <w:bCs/>
      <w:szCs w:val="21"/>
    </w:rPr>
  </w:style>
  <w:style w:type="paragraph" w:customStyle="1" w:styleId="146">
    <w:name w:val="表格文字222"/>
    <w:basedOn w:val="1"/>
    <w:link w:val="145"/>
    <w:qFormat/>
    <w:uiPriority w:val="0"/>
    <w:pPr>
      <w:snapToGrid w:val="0"/>
      <w:jc w:val="center"/>
    </w:pPr>
    <w:rPr>
      <w:rFonts w:ascii="宋体" w:hAnsi="宋体"/>
      <w:bCs/>
      <w:szCs w:val="21"/>
    </w:rPr>
  </w:style>
  <w:style w:type="character" w:customStyle="1" w:styleId="147">
    <w:name w:val="表格文字2 Char"/>
    <w:link w:val="68"/>
    <w:qFormat/>
    <w:uiPriority w:val="0"/>
    <w:rPr>
      <w:rFonts w:ascii="宋体" w:hAnsi="Calibri" w:eastAsia="宋体" w:cs="Times New Roman"/>
      <w:kern w:val="0"/>
      <w:sz w:val="24"/>
      <w:szCs w:val="20"/>
    </w:rPr>
  </w:style>
  <w:style w:type="character" w:customStyle="1" w:styleId="148">
    <w:name w:val="表格文字 Char"/>
    <w:link w:val="69"/>
    <w:qFormat/>
    <w:locked/>
    <w:uiPriority w:val="0"/>
    <w:rPr>
      <w:rFonts w:ascii="宋体" w:hAnsi="Calibri" w:eastAsia="宋体" w:cs="Times New Roman"/>
      <w:szCs w:val="24"/>
    </w:rPr>
  </w:style>
  <w:style w:type="character" w:customStyle="1" w:styleId="149">
    <w:name w:val="样式 样式 首行缩进:  2 字符 + 首行缩进:  2 字符 Char"/>
    <w:link w:val="150"/>
    <w:qFormat/>
    <w:uiPriority w:val="0"/>
    <w:rPr>
      <w:sz w:val="24"/>
      <w:szCs w:val="24"/>
    </w:rPr>
  </w:style>
  <w:style w:type="paragraph" w:customStyle="1" w:styleId="150">
    <w:name w:val="样式 样式 首行缩进:  2 字符 + 首行缩进:  2 字符"/>
    <w:basedOn w:val="1"/>
    <w:link w:val="149"/>
    <w:qFormat/>
    <w:uiPriority w:val="0"/>
    <w:pPr>
      <w:widowControl/>
      <w:spacing w:line="360" w:lineRule="auto"/>
      <w:ind w:firstLine="480" w:firstLineChars="200"/>
      <w:jc w:val="left"/>
    </w:pPr>
    <w:rPr>
      <w:sz w:val="24"/>
      <w:szCs w:val="24"/>
    </w:rPr>
  </w:style>
  <w:style w:type="character" w:customStyle="1" w:styleId="151">
    <w:name w:val="正文文字 Char Char"/>
    <w:qFormat/>
    <w:uiPriority w:val="0"/>
    <w:rPr>
      <w:rFonts w:eastAsia="宋体"/>
      <w:kern w:val="2"/>
      <w:sz w:val="21"/>
      <w:szCs w:val="24"/>
      <w:lang w:val="en-US" w:eastAsia="zh-CN" w:bidi="ar-SA"/>
    </w:rPr>
  </w:style>
  <w:style w:type="character" w:customStyle="1" w:styleId="152">
    <w:name w:val="报告书正文 Char"/>
    <w:qFormat/>
    <w:uiPriority w:val="0"/>
    <w:rPr>
      <w:kern w:val="2"/>
      <w:sz w:val="24"/>
      <w:szCs w:val="24"/>
    </w:rPr>
  </w:style>
  <w:style w:type="character" w:customStyle="1" w:styleId="153">
    <w:name w:val="h31"/>
    <w:qFormat/>
    <w:uiPriority w:val="0"/>
    <w:rPr>
      <w:sz w:val="21"/>
      <w:szCs w:val="21"/>
    </w:rPr>
  </w:style>
  <w:style w:type="character" w:customStyle="1" w:styleId="154">
    <w:name w:val="表格标题11 Char"/>
    <w:link w:val="155"/>
    <w:qFormat/>
    <w:uiPriority w:val="0"/>
    <w:rPr>
      <w:rFonts w:ascii="Tahoma" w:hAnsi="Tahoma"/>
      <w:b/>
      <w:sz w:val="24"/>
    </w:rPr>
  </w:style>
  <w:style w:type="paragraph" w:customStyle="1" w:styleId="155">
    <w:name w:val="表格标题11"/>
    <w:basedOn w:val="1"/>
    <w:link w:val="154"/>
    <w:qFormat/>
    <w:uiPriority w:val="0"/>
    <w:pPr>
      <w:jc w:val="center"/>
    </w:pPr>
    <w:rPr>
      <w:rFonts w:ascii="Tahoma" w:hAnsi="Tahoma"/>
      <w:b/>
      <w:sz w:val="24"/>
    </w:rPr>
  </w:style>
  <w:style w:type="character" w:customStyle="1" w:styleId="156">
    <w:name w:val="Char Char8"/>
    <w:qFormat/>
    <w:uiPriority w:val="0"/>
    <w:rPr>
      <w:rFonts w:ascii="Arial" w:hAnsi="Arial" w:eastAsia="黑体"/>
      <w:b/>
      <w:bCs/>
      <w:kern w:val="2"/>
      <w:sz w:val="28"/>
      <w:szCs w:val="28"/>
      <w:lang w:val="en-US" w:eastAsia="zh-CN" w:bidi="ar-SA"/>
    </w:rPr>
  </w:style>
  <w:style w:type="character" w:customStyle="1" w:styleId="157">
    <w:name w:val="section_tool_right1"/>
    <w:qFormat/>
    <w:uiPriority w:val="0"/>
  </w:style>
  <w:style w:type="character" w:customStyle="1" w:styleId="158">
    <w:name w:val="text_edit editable-title"/>
    <w:qFormat/>
    <w:uiPriority w:val="0"/>
  </w:style>
  <w:style w:type="character" w:customStyle="1" w:styleId="159">
    <w:name w:val="二级标题2 字符"/>
    <w:link w:val="160"/>
    <w:qFormat/>
    <w:uiPriority w:val="0"/>
    <w:rPr>
      <w:rFonts w:hAnsi="宋体"/>
      <w:b/>
      <w:sz w:val="30"/>
      <w:szCs w:val="30"/>
    </w:rPr>
  </w:style>
  <w:style w:type="paragraph" w:customStyle="1" w:styleId="160">
    <w:name w:val="二级标题2"/>
    <w:basedOn w:val="1"/>
    <w:link w:val="159"/>
    <w:qFormat/>
    <w:uiPriority w:val="0"/>
    <w:pPr>
      <w:spacing w:line="360" w:lineRule="auto"/>
      <w:outlineLvl w:val="1"/>
    </w:pPr>
    <w:rPr>
      <w:rFonts w:hAnsi="宋体"/>
      <w:b/>
      <w:sz w:val="30"/>
      <w:szCs w:val="30"/>
    </w:rPr>
  </w:style>
  <w:style w:type="character" w:customStyle="1" w:styleId="161">
    <w:name w:val="正文01 Char"/>
    <w:link w:val="162"/>
    <w:qFormat/>
    <w:uiPriority w:val="0"/>
    <w:rPr>
      <w:rFonts w:ascii="Arial" w:hAnsi="Arial" w:eastAsia="宋体"/>
      <w:sz w:val="24"/>
    </w:rPr>
  </w:style>
  <w:style w:type="paragraph" w:customStyle="1" w:styleId="162">
    <w:name w:val="正文01"/>
    <w:basedOn w:val="1"/>
    <w:link w:val="161"/>
    <w:qFormat/>
    <w:uiPriority w:val="0"/>
    <w:pPr>
      <w:spacing w:before="60" w:line="460" w:lineRule="exact"/>
      <w:ind w:firstLine="200" w:firstLineChars="200"/>
    </w:pPr>
    <w:rPr>
      <w:rFonts w:ascii="Arial" w:hAnsi="Arial" w:eastAsia="宋体"/>
      <w:sz w:val="24"/>
    </w:rPr>
  </w:style>
  <w:style w:type="character" w:customStyle="1" w:styleId="163">
    <w:name w:val="opt js-edittext"/>
    <w:qFormat/>
    <w:uiPriority w:val="0"/>
  </w:style>
  <w:style w:type="character" w:customStyle="1" w:styleId="164">
    <w:name w:val="sample1"/>
    <w:qFormat/>
    <w:uiPriority w:val="0"/>
    <w:rPr>
      <w:sz w:val="20"/>
      <w:szCs w:val="20"/>
    </w:rPr>
  </w:style>
  <w:style w:type="character" w:customStyle="1" w:styleId="165">
    <w:name w:val="标题 2 Char1"/>
    <w:qFormat/>
    <w:uiPriority w:val="0"/>
    <w:rPr>
      <w:rFonts w:ascii="Arial" w:hAnsi="Arial" w:eastAsia="黑体"/>
      <w:b/>
      <w:bCs/>
      <w:kern w:val="2"/>
      <w:sz w:val="32"/>
      <w:szCs w:val="32"/>
      <w:lang w:val="en-US" w:eastAsia="zh-CN" w:bidi="ar-SA"/>
    </w:rPr>
  </w:style>
  <w:style w:type="character" w:customStyle="1" w:styleId="166">
    <w:name w:val="HJ-正文 Char"/>
    <w:link w:val="167"/>
    <w:qFormat/>
    <w:uiPriority w:val="0"/>
    <w:rPr>
      <w:sz w:val="24"/>
      <w:szCs w:val="24"/>
    </w:rPr>
  </w:style>
  <w:style w:type="paragraph" w:customStyle="1" w:styleId="167">
    <w:name w:val="HJ-正文"/>
    <w:basedOn w:val="1"/>
    <w:link w:val="166"/>
    <w:qFormat/>
    <w:uiPriority w:val="0"/>
    <w:pPr>
      <w:spacing w:line="360" w:lineRule="auto"/>
      <w:ind w:firstLine="480" w:firstLineChars="200"/>
    </w:pPr>
    <w:rPr>
      <w:sz w:val="24"/>
      <w:szCs w:val="24"/>
    </w:rPr>
  </w:style>
  <w:style w:type="character" w:customStyle="1" w:styleId="168">
    <w:name w:val="表文字 Char"/>
    <w:link w:val="169"/>
    <w:qFormat/>
    <w:locked/>
    <w:uiPriority w:val="0"/>
    <w:rPr>
      <w:rFonts w:eastAsia="宋体"/>
      <w:sz w:val="24"/>
    </w:rPr>
  </w:style>
  <w:style w:type="paragraph" w:customStyle="1" w:styleId="169">
    <w:name w:val="表文字"/>
    <w:basedOn w:val="1"/>
    <w:link w:val="168"/>
    <w:qFormat/>
    <w:uiPriority w:val="0"/>
    <w:pPr>
      <w:overflowPunct w:val="0"/>
      <w:autoSpaceDE w:val="0"/>
      <w:autoSpaceDN w:val="0"/>
      <w:adjustRightInd w:val="0"/>
      <w:spacing w:line="240" w:lineRule="atLeast"/>
      <w:jc w:val="center"/>
      <w:textAlignment w:val="baseline"/>
    </w:pPr>
    <w:rPr>
      <w:rFonts w:eastAsia="宋体"/>
      <w:sz w:val="24"/>
    </w:rPr>
  </w:style>
  <w:style w:type="character" w:customStyle="1" w:styleId="170">
    <w:name w:val="标题 2 Char"/>
    <w:qFormat/>
    <w:uiPriority w:val="0"/>
    <w:rPr>
      <w:rFonts w:ascii="黑体" w:hAnsi="黑体" w:eastAsia="黑体"/>
      <w:b/>
      <w:color w:val="000000"/>
      <w:kern w:val="18"/>
      <w:sz w:val="30"/>
      <w:szCs w:val="30"/>
      <w:lang w:val="en-US" w:eastAsia="zh-CN" w:bidi="ar-SA"/>
    </w:rPr>
  </w:style>
  <w:style w:type="character" w:customStyle="1" w:styleId="171">
    <w:name w:val="一级标题 Char"/>
    <w:link w:val="172"/>
    <w:qFormat/>
    <w:uiPriority w:val="0"/>
    <w:rPr>
      <w:rFonts w:eastAsia="宋体"/>
      <w:b/>
      <w:kern w:val="44"/>
      <w:sz w:val="32"/>
      <w:szCs w:val="44"/>
    </w:rPr>
  </w:style>
  <w:style w:type="paragraph" w:customStyle="1" w:styleId="172">
    <w:name w:val="一级标题"/>
    <w:basedOn w:val="2"/>
    <w:link w:val="171"/>
    <w:qFormat/>
    <w:uiPriority w:val="0"/>
    <w:rPr>
      <w:rFonts w:asciiTheme="minorHAnsi" w:hAnsiTheme="minorHAnsi" w:cstheme="minorBidi"/>
      <w:bCs w:val="0"/>
      <w:sz w:val="32"/>
    </w:rPr>
  </w:style>
  <w:style w:type="character" w:customStyle="1" w:styleId="173">
    <w:name w:val="apple-converted-space"/>
    <w:qFormat/>
    <w:uiPriority w:val="0"/>
  </w:style>
  <w:style w:type="character" w:customStyle="1" w:styleId="174">
    <w:name w:val="书籍标题1"/>
    <w:qFormat/>
    <w:uiPriority w:val="0"/>
    <w:rPr>
      <w:b/>
      <w:bCs/>
      <w:smallCaps/>
      <w:spacing w:val="5"/>
    </w:rPr>
  </w:style>
  <w:style w:type="character" w:customStyle="1" w:styleId="175">
    <w:name w:val="Char Char12"/>
    <w:qFormat/>
    <w:uiPriority w:val="0"/>
    <w:rPr>
      <w:rFonts w:eastAsia="宋体"/>
      <w:b/>
      <w:bCs/>
      <w:kern w:val="44"/>
      <w:sz w:val="44"/>
      <w:szCs w:val="44"/>
      <w:lang w:val="en-US" w:eastAsia="zh-CN" w:bidi="ar-SA"/>
    </w:rPr>
  </w:style>
  <w:style w:type="character" w:customStyle="1" w:styleId="176">
    <w:name w:val="头 Char1"/>
    <w:qFormat/>
    <w:uiPriority w:val="0"/>
    <w:rPr>
      <w:rFonts w:eastAsia="宋体"/>
      <w:b/>
      <w:bCs/>
      <w:kern w:val="2"/>
      <w:sz w:val="32"/>
      <w:szCs w:val="32"/>
      <w:lang w:val="en-US" w:eastAsia="zh-CN" w:bidi="ar-SA"/>
    </w:rPr>
  </w:style>
  <w:style w:type="character" w:customStyle="1" w:styleId="177">
    <w:name w:val="apple-style-span"/>
    <w:qFormat/>
    <w:uiPriority w:val="0"/>
  </w:style>
  <w:style w:type="character" w:customStyle="1" w:styleId="178">
    <w:name w:val="啊正文 Char"/>
    <w:link w:val="179"/>
    <w:qFormat/>
    <w:uiPriority w:val="0"/>
    <w:rPr>
      <w:rFonts w:eastAsia="仿宋_GB2312"/>
      <w:sz w:val="28"/>
      <w:szCs w:val="28"/>
    </w:rPr>
  </w:style>
  <w:style w:type="paragraph" w:customStyle="1" w:styleId="179">
    <w:name w:val="啊正文"/>
    <w:basedOn w:val="1"/>
    <w:link w:val="178"/>
    <w:qFormat/>
    <w:uiPriority w:val="0"/>
    <w:pPr>
      <w:spacing w:line="520" w:lineRule="exact"/>
      <w:ind w:firstLine="560"/>
    </w:pPr>
    <w:rPr>
      <w:rFonts w:eastAsia="仿宋_GB2312"/>
      <w:sz w:val="28"/>
      <w:szCs w:val="28"/>
    </w:rPr>
  </w:style>
  <w:style w:type="character" w:customStyle="1" w:styleId="180">
    <w:name w:val="Heading 2 Char"/>
    <w:qFormat/>
    <w:locked/>
    <w:uiPriority w:val="0"/>
    <w:rPr>
      <w:rFonts w:ascii="Arial" w:hAnsi="Arial" w:eastAsia="黑体"/>
      <w:b/>
      <w:bCs/>
      <w:kern w:val="2"/>
      <w:sz w:val="32"/>
      <w:szCs w:val="32"/>
      <w:lang w:val="en-US" w:eastAsia="zh-CN" w:bidi="ar-SA"/>
    </w:rPr>
  </w:style>
  <w:style w:type="character" w:customStyle="1" w:styleId="181">
    <w:name w:val="标准正文 Char Char"/>
    <w:qFormat/>
    <w:uiPriority w:val="0"/>
    <w:rPr>
      <w:rFonts w:ascii="宋体" w:hAnsi="Times New Roman"/>
      <w:sz w:val="24"/>
    </w:rPr>
  </w:style>
  <w:style w:type="character" w:customStyle="1" w:styleId="182">
    <w:name w:val="项目 Char1"/>
    <w:qFormat/>
    <w:uiPriority w:val="0"/>
    <w:rPr>
      <w:rFonts w:ascii="Arial" w:hAnsi="Arial" w:eastAsia="黑体"/>
      <w:b/>
      <w:bCs/>
      <w:kern w:val="2"/>
      <w:sz w:val="32"/>
      <w:szCs w:val="32"/>
      <w:lang w:val="en-US" w:eastAsia="zh-CN" w:bidi="ar-SA"/>
    </w:rPr>
  </w:style>
  <w:style w:type="character" w:customStyle="1" w:styleId="183">
    <w:name w:val="正文缩进 Char2"/>
    <w:qFormat/>
    <w:uiPriority w:val="0"/>
    <w:rPr>
      <w:rFonts w:eastAsia="宋体"/>
      <w:kern w:val="2"/>
      <w:sz w:val="21"/>
      <w:lang w:val="en-US" w:eastAsia="zh-CN" w:bidi="ar-SA"/>
    </w:rPr>
  </w:style>
  <w:style w:type="character" w:customStyle="1" w:styleId="184">
    <w:name w:val="123YJ Char Char"/>
    <w:qFormat/>
    <w:uiPriority w:val="0"/>
    <w:rPr>
      <w:kern w:val="2"/>
      <w:sz w:val="18"/>
      <w:szCs w:val="18"/>
    </w:rPr>
  </w:style>
  <w:style w:type="character" w:customStyle="1" w:styleId="185">
    <w:name w:val="正文缩进 Char Char2"/>
    <w:qFormat/>
    <w:uiPriority w:val="0"/>
    <w:rPr>
      <w:rFonts w:eastAsia="宋体"/>
      <w:kern w:val="2"/>
      <w:sz w:val="24"/>
      <w:lang w:val="en-US" w:eastAsia="zh-CN" w:bidi="ar-SA"/>
    </w:rPr>
  </w:style>
  <w:style w:type="character" w:customStyle="1" w:styleId="186">
    <w:name w:val="keyword"/>
    <w:qFormat/>
    <w:uiPriority w:val="0"/>
  </w:style>
  <w:style w:type="character" w:customStyle="1" w:styleId="187">
    <w:name w:val="二级标题 Char"/>
    <w:link w:val="188"/>
    <w:qFormat/>
    <w:uiPriority w:val="0"/>
    <w:rPr>
      <w:rFonts w:eastAsia="黑体"/>
      <w:bCs/>
      <w:sz w:val="28"/>
      <w:szCs w:val="28"/>
    </w:rPr>
  </w:style>
  <w:style w:type="paragraph" w:customStyle="1" w:styleId="188">
    <w:name w:val="二级标题"/>
    <w:basedOn w:val="3"/>
    <w:link w:val="187"/>
    <w:qFormat/>
    <w:uiPriority w:val="0"/>
    <w:rPr>
      <w:rFonts w:eastAsia="黑体" w:asciiTheme="minorHAnsi" w:hAnsiTheme="minorHAnsi" w:cstheme="minorBidi"/>
      <w:b w:val="0"/>
      <w:sz w:val="28"/>
      <w:szCs w:val="28"/>
    </w:rPr>
  </w:style>
  <w:style w:type="character" w:customStyle="1" w:styleId="189">
    <w:name w:val="纯文本 字符7"/>
    <w:qFormat/>
    <w:uiPriority w:val="99"/>
    <w:rPr>
      <w:rFonts w:ascii="宋体" w:hAnsi="Courier New"/>
      <w:kern w:val="2"/>
      <w:sz w:val="28"/>
    </w:rPr>
  </w:style>
  <w:style w:type="character" w:customStyle="1" w:styleId="190">
    <w:name w:val="t11"/>
    <w:qFormat/>
    <w:uiPriority w:val="0"/>
    <w:rPr>
      <w:b/>
      <w:bCs/>
      <w:sz w:val="24"/>
      <w:szCs w:val="24"/>
      <w:shd w:val="clear" w:color="auto" w:fill="FFFFFF"/>
    </w:rPr>
  </w:style>
  <w:style w:type="paragraph" w:customStyle="1" w:styleId="191">
    <w:name w:val="！正文"/>
    <w:basedOn w:val="1"/>
    <w:semiHidden/>
    <w:qFormat/>
    <w:uiPriority w:val="0"/>
    <w:pPr>
      <w:spacing w:line="360" w:lineRule="auto"/>
      <w:ind w:firstLine="480" w:firstLineChars="200"/>
    </w:pPr>
    <w:rPr>
      <w:rFonts w:ascii="Times New Roman" w:hAnsi="Times New Roman" w:eastAsia="宋体" w:cs="宋体"/>
      <w:sz w:val="24"/>
      <w:szCs w:val="20"/>
    </w:rPr>
  </w:style>
  <w:style w:type="paragraph" w:customStyle="1" w:styleId="192">
    <w:name w:val="p0"/>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93">
    <w:name w:val="reader-word-layer reader-word-s1-17"/>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94">
    <w:name w:val="Char Char Char Char Char Char Char Char Char Char Char1 Char"/>
    <w:basedOn w:val="1"/>
    <w:qFormat/>
    <w:uiPriority w:val="0"/>
    <w:rPr>
      <w:rFonts w:ascii="Times New Roman" w:hAnsi="Times New Roman" w:eastAsia="宋体" w:cs="Times New Roman"/>
      <w:sz w:val="24"/>
      <w:szCs w:val="20"/>
    </w:rPr>
  </w:style>
  <w:style w:type="paragraph" w:customStyle="1" w:styleId="195">
    <w:name w:val="文件名称"/>
    <w:basedOn w:val="1"/>
    <w:next w:val="1"/>
    <w:qFormat/>
    <w:uiPriority w:val="99"/>
    <w:pPr>
      <w:widowControl/>
      <w:spacing w:before="312" w:beforeLines="100"/>
      <w:jc w:val="center"/>
    </w:pPr>
    <w:rPr>
      <w:rFonts w:ascii="黑体" w:hAnsi="宋体" w:eastAsia="黑体" w:cs="宋体"/>
      <w:kern w:val="0"/>
      <w:sz w:val="84"/>
      <w:szCs w:val="84"/>
    </w:rPr>
  </w:style>
  <w:style w:type="paragraph" w:customStyle="1" w:styleId="196">
    <w:name w:val="reader-word-layer reader-word-s1-11"/>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97">
    <w:name w:val="Char1 Char Char Char Char Char Char Char Char Char"/>
    <w:basedOn w:val="1"/>
    <w:qFormat/>
    <w:uiPriority w:val="0"/>
    <w:pPr>
      <w:widowControl/>
      <w:spacing w:before="312" w:beforeLines="100" w:after="160" w:line="240" w:lineRule="exact"/>
      <w:jc w:val="left"/>
    </w:pPr>
    <w:rPr>
      <w:rFonts w:ascii="Times New Roman" w:hAnsi="Times New Roman" w:eastAsia="宋体" w:cs="Times New Roman"/>
      <w:szCs w:val="24"/>
    </w:rPr>
  </w:style>
  <w:style w:type="paragraph" w:customStyle="1" w:styleId="198">
    <w:name w:val="reader-word-layer reader-word-s1-10"/>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99">
    <w:name w:val="列出段落1"/>
    <w:basedOn w:val="1"/>
    <w:qFormat/>
    <w:uiPriority w:val="0"/>
    <w:pPr>
      <w:spacing w:line="360" w:lineRule="auto"/>
      <w:ind w:firstLine="420" w:firstLineChars="200"/>
    </w:pPr>
    <w:rPr>
      <w:rFonts w:ascii="Times New Roman" w:hAnsi="Times New Roman" w:eastAsia="宋体" w:cs="Times New Roman"/>
      <w:sz w:val="24"/>
      <w:szCs w:val="24"/>
    </w:rPr>
  </w:style>
  <w:style w:type="paragraph" w:customStyle="1" w:styleId="200">
    <w:name w:val="表格1"/>
    <w:basedOn w:val="1"/>
    <w:qFormat/>
    <w:uiPriority w:val="0"/>
    <w:pPr>
      <w:adjustRightInd w:val="0"/>
      <w:spacing w:line="360" w:lineRule="atLeast"/>
      <w:jc w:val="center"/>
      <w:textAlignment w:val="baseline"/>
    </w:pPr>
    <w:rPr>
      <w:rFonts w:ascii="CG Times (WN)" w:hAnsi="Times New Roman" w:eastAsia="宋体" w:cs="Times New Roman"/>
      <w:kern w:val="0"/>
      <w:szCs w:val="20"/>
    </w:rPr>
  </w:style>
  <w:style w:type="paragraph" w:customStyle="1" w:styleId="201">
    <w:name w:val="reader-word-layer reader-word-s2-0"/>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02">
    <w:name w:val="reader-word-layer reader-word-s1-9"/>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03">
    <w:name w:val="Char Char28"/>
    <w:basedOn w:val="1"/>
    <w:qFormat/>
    <w:uiPriority w:val="0"/>
    <w:pPr>
      <w:widowControl/>
      <w:adjustRightInd w:val="0"/>
      <w:spacing w:line="360" w:lineRule="atLeast"/>
      <w:jc w:val="left"/>
      <w:textAlignment w:val="baseline"/>
    </w:pPr>
    <w:rPr>
      <w:rFonts w:ascii="Tahoma" w:hAnsi="Tahoma" w:eastAsia="宋体" w:cs="宋体"/>
      <w:kern w:val="0"/>
      <w:sz w:val="24"/>
      <w:szCs w:val="20"/>
    </w:rPr>
  </w:style>
  <w:style w:type="paragraph" w:customStyle="1" w:styleId="204">
    <w:name w:val="表格内格式"/>
    <w:next w:val="1"/>
    <w:qFormat/>
    <w:uiPriority w:val="0"/>
    <w:pPr>
      <w:spacing w:line="360" w:lineRule="exact"/>
      <w:jc w:val="center"/>
    </w:pPr>
    <w:rPr>
      <w:rFonts w:ascii="Times New Roman" w:hAnsi="Times New Roman" w:eastAsia="宋体" w:cs="Times New Roman"/>
      <w:sz w:val="24"/>
      <w:lang w:val="en-US" w:eastAsia="zh-CN" w:bidi="ar-SA"/>
    </w:rPr>
  </w:style>
  <w:style w:type="paragraph" w:customStyle="1" w:styleId="205">
    <w:name w:val="正文 1"/>
    <w:basedOn w:val="1"/>
    <w:qFormat/>
    <w:uiPriority w:val="0"/>
    <w:pPr>
      <w:spacing w:line="460" w:lineRule="exact"/>
      <w:ind w:firstLine="567"/>
    </w:pPr>
    <w:rPr>
      <w:rFonts w:ascii="Times New Roman" w:hAnsi="Times New Roman" w:eastAsia="宋体" w:cs="Times New Roman"/>
      <w:sz w:val="28"/>
      <w:szCs w:val="20"/>
    </w:rPr>
  </w:style>
  <w:style w:type="paragraph" w:customStyle="1" w:styleId="206">
    <w:name w:val="默认段落字体 Para Char"/>
    <w:basedOn w:val="1"/>
    <w:qFormat/>
    <w:uiPriority w:val="0"/>
    <w:rPr>
      <w:rFonts w:ascii="Times New Roman" w:hAnsi="Times New Roman" w:eastAsia="宋体" w:cs="Times New Roman"/>
      <w:sz w:val="24"/>
      <w:szCs w:val="24"/>
    </w:rPr>
  </w:style>
  <w:style w:type="paragraph" w:customStyle="1" w:styleId="207">
    <w:name w:val="Char Char Char Char Char Char Char"/>
    <w:basedOn w:val="1"/>
    <w:next w:val="2"/>
    <w:qFormat/>
    <w:uiPriority w:val="0"/>
    <w:pPr>
      <w:jc w:val="left"/>
    </w:pPr>
    <w:rPr>
      <w:rFonts w:ascii="Times New Roman" w:hAnsi="Times New Roman" w:eastAsia="黑体" w:cs="Times New Roman"/>
      <w:sz w:val="24"/>
      <w:szCs w:val="24"/>
    </w:rPr>
  </w:style>
  <w:style w:type="paragraph" w:customStyle="1" w:styleId="208">
    <w:name w:val="Char Char Char1 Char Char Char Char Char Char Char Char Char Char"/>
    <w:basedOn w:val="1"/>
    <w:qFormat/>
    <w:uiPriority w:val="0"/>
    <w:pPr>
      <w:spacing w:beforeLines="50" w:afterLines="50"/>
      <w:ind w:firstLine="200" w:firstLineChars="200"/>
      <w:jc w:val="center"/>
    </w:pPr>
    <w:rPr>
      <w:rFonts w:ascii="宋体" w:hAnsi="宋体" w:eastAsia="宋体" w:cs="Courier New"/>
      <w:sz w:val="32"/>
      <w:szCs w:val="32"/>
    </w:rPr>
  </w:style>
  <w:style w:type="paragraph" w:customStyle="1" w:styleId="209">
    <w:name w:val="列表段落1"/>
    <w:basedOn w:val="1"/>
    <w:qFormat/>
    <w:uiPriority w:val="0"/>
    <w:pPr>
      <w:ind w:firstLine="420" w:firstLineChars="200"/>
    </w:pPr>
    <w:rPr>
      <w:rFonts w:ascii="Calibri" w:hAnsi="Calibri" w:eastAsia="宋体" w:cs="Times New Roman"/>
    </w:rPr>
  </w:style>
  <w:style w:type="paragraph" w:customStyle="1" w:styleId="210">
    <w:name w:val="xl25"/>
    <w:basedOn w:val="1"/>
    <w:qFormat/>
    <w:uiPriority w:val="0"/>
    <w:pPr>
      <w:widowControl/>
      <w:pBdr>
        <w:left w:val="single" w:color="auto" w:sz="12" w:space="0"/>
      </w:pBdr>
      <w:spacing w:before="100" w:beforeAutospacing="1" w:after="100" w:afterAutospacing="1"/>
      <w:jc w:val="center"/>
    </w:pPr>
    <w:rPr>
      <w:rFonts w:ascii="宋体" w:hAnsi="宋体" w:eastAsia="宋体" w:cs="Times New Roman"/>
      <w:kern w:val="0"/>
      <w:sz w:val="24"/>
      <w:szCs w:val="24"/>
    </w:rPr>
  </w:style>
  <w:style w:type="paragraph" w:customStyle="1" w:styleId="211">
    <w:name w:val="acee正文"/>
    <w:basedOn w:val="1"/>
    <w:qFormat/>
    <w:uiPriority w:val="0"/>
    <w:pPr>
      <w:spacing w:line="480" w:lineRule="exact"/>
      <w:ind w:firstLine="640" w:firstLineChars="200"/>
    </w:pPr>
    <w:rPr>
      <w:rFonts w:ascii="仿宋_GB2312" w:hAnsi="宋体" w:eastAsia="仿宋_GB2312" w:cs="Times New Roman"/>
      <w:sz w:val="32"/>
      <w:szCs w:val="24"/>
    </w:rPr>
  </w:style>
  <w:style w:type="paragraph" w:customStyle="1" w:styleId="212">
    <w:name w:val="Char"/>
    <w:basedOn w:val="1"/>
    <w:qFormat/>
    <w:uiPriority w:val="0"/>
    <w:rPr>
      <w:rFonts w:ascii="Times New Roman" w:hAnsi="Times New Roman" w:eastAsia="宋体" w:cs="Times New Roman"/>
      <w:szCs w:val="24"/>
    </w:rPr>
  </w:style>
  <w:style w:type="paragraph" w:customStyle="1" w:styleId="213">
    <w:name w:val="图表格式"/>
    <w:basedOn w:val="1"/>
    <w:qFormat/>
    <w:uiPriority w:val="0"/>
    <w:rPr>
      <w:rFonts w:ascii="Times New Roman" w:hAnsi="Times New Roman" w:eastAsia="黑体" w:cs="Times New Roman"/>
      <w:sz w:val="24"/>
      <w:szCs w:val="20"/>
    </w:rPr>
  </w:style>
  <w:style w:type="paragraph" w:customStyle="1" w:styleId="214">
    <w:name w:val="常德正文"/>
    <w:basedOn w:val="1"/>
    <w:qFormat/>
    <w:uiPriority w:val="0"/>
    <w:pPr>
      <w:widowControl/>
      <w:spacing w:line="360" w:lineRule="auto"/>
      <w:ind w:firstLine="480" w:firstLineChars="200"/>
      <w:jc w:val="left"/>
    </w:pPr>
    <w:rPr>
      <w:rFonts w:ascii="Times New Roman" w:hAnsi="Times New Roman" w:eastAsia="宋体" w:cs="Times New Roman"/>
      <w:sz w:val="28"/>
      <w:szCs w:val="20"/>
    </w:rPr>
  </w:style>
  <w:style w:type="paragraph" w:customStyle="1" w:styleId="215">
    <w:name w:val="xl39"/>
    <w:basedOn w:val="1"/>
    <w:qFormat/>
    <w:uiPriority w:val="0"/>
    <w:pPr>
      <w:widowControl/>
      <w:pBdr>
        <w:bottom w:val="single" w:color="auto" w:sz="12" w:space="0"/>
      </w:pBdr>
      <w:spacing w:before="100" w:beforeAutospacing="1" w:after="100" w:afterAutospacing="1"/>
      <w:jc w:val="left"/>
    </w:pPr>
    <w:rPr>
      <w:rFonts w:ascii="宋体" w:hAnsi="宋体" w:eastAsia="宋体" w:cs="宋体"/>
      <w:kern w:val="0"/>
      <w:sz w:val="16"/>
      <w:szCs w:val="16"/>
    </w:rPr>
  </w:style>
  <w:style w:type="paragraph" w:customStyle="1" w:styleId="216">
    <w:name w:val="报告正文"/>
    <w:basedOn w:val="1"/>
    <w:qFormat/>
    <w:uiPriority w:val="0"/>
    <w:pPr>
      <w:adjustRightInd w:val="0"/>
      <w:snapToGrid w:val="0"/>
      <w:spacing w:line="360" w:lineRule="auto"/>
      <w:ind w:firstLine="200" w:firstLineChars="200"/>
    </w:pPr>
    <w:rPr>
      <w:rFonts w:ascii="宋体" w:hAnsi="Times New Roman" w:eastAsia="宋体" w:cs="Times New Roman"/>
      <w:sz w:val="24"/>
      <w:szCs w:val="24"/>
    </w:rPr>
  </w:style>
  <w:style w:type="paragraph" w:customStyle="1" w:styleId="217">
    <w:name w:val="reader-word-layer reader-word-s1-16"/>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18">
    <w:name w:val="图"/>
    <w:basedOn w:val="1"/>
    <w:next w:val="7"/>
    <w:qFormat/>
    <w:uiPriority w:val="0"/>
    <w:pPr>
      <w:jc w:val="center"/>
    </w:pPr>
    <w:rPr>
      <w:rFonts w:ascii="Times New Roman" w:hAnsi="Times New Roman" w:eastAsia="仿宋_GB2312" w:cs="Times New Roman"/>
      <w:sz w:val="24"/>
      <w:szCs w:val="24"/>
    </w:rPr>
  </w:style>
  <w:style w:type="paragraph" w:customStyle="1" w:styleId="219">
    <w:name w:val="Default"/>
    <w:basedOn w:val="220"/>
    <w:link w:val="274"/>
    <w:qFormat/>
    <w:uiPriority w:val="99"/>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220">
    <w:name w:val="！正文 Alt+0"/>
    <w:basedOn w:val="1"/>
    <w:qFormat/>
    <w:uiPriority w:val="0"/>
    <w:pPr>
      <w:spacing w:line="360" w:lineRule="auto"/>
      <w:ind w:firstLine="200" w:firstLineChars="200"/>
    </w:pPr>
    <w:rPr>
      <w:rFonts w:ascii="Times New Roman" w:hAnsi="Times New Roman"/>
      <w:sz w:val="28"/>
      <w:szCs w:val="28"/>
    </w:rPr>
  </w:style>
  <w:style w:type="paragraph" w:customStyle="1" w:styleId="221">
    <w:name w:val="xl150"/>
    <w:basedOn w:val="1"/>
    <w:qFormat/>
    <w:uiPriority w:val="99"/>
    <w:pPr>
      <w:widowControl/>
      <w:pBdr>
        <w:bottom w:val="single" w:color="auto" w:sz="8" w:space="0"/>
      </w:pBdr>
      <w:spacing w:before="100" w:beforeAutospacing="1" w:after="100" w:afterAutospacing="1"/>
      <w:jc w:val="left"/>
    </w:pPr>
    <w:rPr>
      <w:rFonts w:ascii="Arial Unicode MS" w:hAnsi="Arial Unicode MS" w:eastAsia="宋体" w:cs="宋体"/>
      <w:kern w:val="0"/>
      <w:sz w:val="16"/>
      <w:szCs w:val="16"/>
    </w:rPr>
  </w:style>
  <w:style w:type="paragraph" w:customStyle="1" w:styleId="222">
    <w:name w:val="Char Char2 Char Char Char Char Char Char"/>
    <w:basedOn w:val="1"/>
    <w:qFormat/>
    <w:uiPriority w:val="0"/>
    <w:pPr>
      <w:spacing w:line="360" w:lineRule="auto"/>
    </w:pPr>
    <w:rPr>
      <w:rFonts w:ascii="宋体" w:hAnsi="宋体" w:eastAsia="宋体" w:cs="Times New Roman"/>
      <w:sz w:val="22"/>
      <w:szCs w:val="24"/>
    </w:rPr>
  </w:style>
  <w:style w:type="paragraph" w:customStyle="1" w:styleId="223">
    <w:name w:val="表格内容"/>
    <w:basedOn w:val="1"/>
    <w:qFormat/>
    <w:uiPriority w:val="0"/>
    <w:pPr>
      <w:overflowPunct w:val="0"/>
      <w:adjustRightInd w:val="0"/>
      <w:spacing w:before="40" w:after="60" w:line="200" w:lineRule="atLeast"/>
      <w:jc w:val="left"/>
      <w:textAlignment w:val="baseline"/>
    </w:pPr>
    <w:rPr>
      <w:rFonts w:ascii="宋体" w:hAnsi="Times New Roman" w:eastAsia="宋体" w:cs="Times New Roman"/>
      <w:kern w:val="0"/>
      <w:sz w:val="24"/>
      <w:szCs w:val="20"/>
    </w:rPr>
  </w:style>
  <w:style w:type="paragraph" w:customStyle="1" w:styleId="224">
    <w:name w:val="Char3"/>
    <w:basedOn w:val="5"/>
    <w:qFormat/>
    <w:uiPriority w:val="0"/>
    <w:pPr>
      <w:widowControl/>
      <w:spacing w:before="120" w:after="120" w:line="360" w:lineRule="auto"/>
      <w:jc w:val="left"/>
    </w:pPr>
    <w:rPr>
      <w:rFonts w:ascii="Times New Roman" w:hAnsi="Times New Roman" w:eastAsia="仿宋_GB2312" w:cs="宋体"/>
      <w:b w:val="0"/>
      <w:kern w:val="0"/>
    </w:rPr>
  </w:style>
  <w:style w:type="paragraph" w:customStyle="1" w:styleId="225">
    <w:name w:val="Table Paragraph"/>
    <w:basedOn w:val="1"/>
    <w:qFormat/>
    <w:uiPriority w:val="1"/>
    <w:rPr>
      <w:rFonts w:ascii="Times New Roman" w:hAnsi="Times New Roman" w:eastAsia="Times New Roman" w:cs="Times New Roman"/>
      <w:szCs w:val="24"/>
    </w:rPr>
  </w:style>
  <w:style w:type="paragraph" w:customStyle="1" w:styleId="226">
    <w:name w:val="正文首行缩进1"/>
    <w:qFormat/>
    <w:uiPriority w:val="0"/>
    <w:pPr>
      <w:widowControl w:val="0"/>
      <w:adjustRightInd w:val="0"/>
      <w:snapToGrid w:val="0"/>
      <w:spacing w:line="360" w:lineRule="auto"/>
      <w:ind w:firstLine="200" w:firstLineChars="200"/>
    </w:pPr>
    <w:rPr>
      <w:rFonts w:ascii="Times New Roman" w:hAnsi="Times New Roman" w:eastAsia="宋体" w:cs="Times New Roman"/>
      <w:snapToGrid w:val="0"/>
      <w:kern w:val="28"/>
      <w:sz w:val="26"/>
      <w:szCs w:val="26"/>
      <w:lang w:val="en-US" w:eastAsia="zh-CN" w:bidi="ar-SA"/>
    </w:rPr>
  </w:style>
  <w:style w:type="paragraph" w:customStyle="1" w:styleId="227">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228">
    <w:name w:val="样式 标题 2二级标题节标题 + (西文) Times New Roman (中文) 宋体 四号 段前: 6 磅 段..."/>
    <w:basedOn w:val="3"/>
    <w:qFormat/>
    <w:uiPriority w:val="99"/>
    <w:pPr>
      <w:adjustRightInd w:val="0"/>
      <w:spacing w:before="0" w:after="0"/>
    </w:pPr>
    <w:rPr>
      <w:rFonts w:ascii="Arial" w:hAnsi="Arial" w:eastAsia="黑体"/>
      <w:bCs w:val="0"/>
    </w:rPr>
  </w:style>
  <w:style w:type="paragraph" w:customStyle="1" w:styleId="229">
    <w:name w:val="Char Char Char1 Char Char Char Char"/>
    <w:basedOn w:val="1"/>
    <w:qFormat/>
    <w:uiPriority w:val="0"/>
    <w:rPr>
      <w:rFonts w:ascii="Times New Roman" w:hAnsi="Times New Roman" w:eastAsia="宋体" w:cs="Times New Roman"/>
      <w:szCs w:val="21"/>
    </w:rPr>
  </w:style>
  <w:style w:type="paragraph" w:customStyle="1" w:styleId="230">
    <w:name w:val="_Style 5"/>
    <w:basedOn w:val="1"/>
    <w:qFormat/>
    <w:uiPriority w:val="0"/>
    <w:rPr>
      <w:rFonts w:ascii="Times New Roman" w:hAnsi="Times New Roman" w:eastAsia="宋体" w:cs="Times New Roman"/>
      <w:szCs w:val="24"/>
    </w:rPr>
  </w:style>
  <w:style w:type="paragraph" w:customStyle="1" w:styleId="231">
    <w:name w:val="reader-word-layer reader-word-s1-1"/>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32">
    <w:name w:val="正文（用）"/>
    <w:basedOn w:val="1"/>
    <w:qFormat/>
    <w:uiPriority w:val="0"/>
    <w:pPr>
      <w:spacing w:line="360" w:lineRule="auto"/>
      <w:ind w:firstLine="480" w:firstLineChars="200"/>
    </w:pPr>
    <w:rPr>
      <w:rFonts w:ascii="宋体" w:hAnsi="宋体" w:eastAsia="宋体" w:cs="宋体"/>
      <w:sz w:val="24"/>
      <w:szCs w:val="20"/>
    </w:rPr>
  </w:style>
  <w:style w:type="paragraph" w:customStyle="1" w:styleId="233">
    <w:name w:val="样式 行距: 固定值 24 磅 首行缩进:  2 字符"/>
    <w:basedOn w:val="1"/>
    <w:qFormat/>
    <w:uiPriority w:val="0"/>
    <w:pPr>
      <w:spacing w:line="480" w:lineRule="exact"/>
      <w:ind w:firstLine="480" w:firstLineChars="200"/>
    </w:pPr>
    <w:rPr>
      <w:rFonts w:ascii="Times New Roman" w:hAnsi="Times New Roman" w:eastAsia="宋体" w:cs="宋体"/>
      <w:sz w:val="24"/>
      <w:szCs w:val="20"/>
    </w:rPr>
  </w:style>
  <w:style w:type="paragraph" w:customStyle="1" w:styleId="234">
    <w:name w:val="lh-表格文字-报告书"/>
    <w:qFormat/>
    <w:uiPriority w:val="0"/>
    <w:pPr>
      <w:jc w:val="center"/>
    </w:pPr>
    <w:rPr>
      <w:rFonts w:ascii="Times New Roman" w:hAnsi="Times New Roman" w:eastAsia="宋体" w:cs="Times New Roman"/>
      <w:snapToGrid w:val="0"/>
      <w:sz w:val="21"/>
      <w:szCs w:val="24"/>
      <w:lang w:val="en-US" w:eastAsia="zh-CN" w:bidi="ar-SA"/>
    </w:rPr>
  </w:style>
  <w:style w:type="paragraph" w:customStyle="1" w:styleId="235">
    <w:name w:val="reader-word-layer reader-word-s1-15"/>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36">
    <w:name w:val="表内文字小21"/>
    <w:basedOn w:val="1"/>
    <w:qFormat/>
    <w:uiPriority w:val="0"/>
    <w:pPr>
      <w:adjustRightInd w:val="0"/>
      <w:snapToGrid w:val="0"/>
      <w:jc w:val="center"/>
    </w:pPr>
    <w:rPr>
      <w:rFonts w:ascii="Times New Roman" w:hAnsi="Times" w:eastAsia="宋体" w:cs="Times New Roman"/>
      <w:bCs/>
      <w:color w:val="000000"/>
      <w:szCs w:val="20"/>
    </w:rPr>
  </w:style>
  <w:style w:type="paragraph" w:customStyle="1" w:styleId="237">
    <w:name w:val="pic-info"/>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38">
    <w:name w:val="_Style 31"/>
    <w:basedOn w:val="1"/>
    <w:qFormat/>
    <w:uiPriority w:val="0"/>
    <w:rPr>
      <w:rFonts w:ascii="Times New Roman" w:hAnsi="Times New Roman" w:eastAsia="宋体" w:cs="Times New Roman"/>
      <w:szCs w:val="24"/>
    </w:rPr>
  </w:style>
  <w:style w:type="paragraph" w:customStyle="1" w:styleId="239">
    <w:name w:val="Char Char Char Char"/>
    <w:basedOn w:val="1"/>
    <w:qFormat/>
    <w:uiPriority w:val="0"/>
    <w:rPr>
      <w:rFonts w:ascii="Times New Roman" w:hAnsi="Times New Roman" w:eastAsia="宋体" w:cs="Times New Roman"/>
      <w:szCs w:val="24"/>
    </w:rPr>
  </w:style>
  <w:style w:type="paragraph" w:customStyle="1" w:styleId="240">
    <w:name w:val="_Style 11"/>
    <w:basedOn w:val="1"/>
    <w:qFormat/>
    <w:uiPriority w:val="0"/>
    <w:pPr>
      <w:spacing w:line="360" w:lineRule="auto"/>
      <w:ind w:firstLine="200" w:firstLineChars="200"/>
    </w:pPr>
    <w:rPr>
      <w:rFonts w:ascii="宋体" w:hAnsi="宋体" w:eastAsia="宋体" w:cs="宋体"/>
      <w:sz w:val="24"/>
      <w:szCs w:val="24"/>
    </w:rPr>
  </w:style>
  <w:style w:type="paragraph" w:customStyle="1" w:styleId="241">
    <w:name w:val="reader-word-layer reader-word-s1-6"/>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42">
    <w:name w:val="Char Char Char1 Char Char Char Char Char Char Char Char Char Char Char Char Char Char Char Char"/>
    <w:basedOn w:val="1"/>
    <w:qFormat/>
    <w:uiPriority w:val="0"/>
    <w:pPr>
      <w:adjustRightInd w:val="0"/>
      <w:spacing w:line="360" w:lineRule="atLeast"/>
      <w:jc w:val="left"/>
      <w:textAlignment w:val="baseline"/>
    </w:pPr>
    <w:rPr>
      <w:rFonts w:ascii="Tahoma" w:hAnsi="Tahoma" w:eastAsia="宋体" w:cs="Times New Roman"/>
      <w:kern w:val="0"/>
      <w:sz w:val="24"/>
      <w:szCs w:val="20"/>
    </w:rPr>
  </w:style>
  <w:style w:type="paragraph" w:customStyle="1" w:styleId="243">
    <w:name w:val="Char Char Char Char Char Char Char Char Char1 Char Char Char Char Char Char Char"/>
    <w:basedOn w:val="13"/>
    <w:qFormat/>
    <w:uiPriority w:val="0"/>
    <w:rPr>
      <w:rFonts w:ascii="宋体"/>
      <w:kern w:val="0"/>
      <w:szCs w:val="20"/>
    </w:rPr>
  </w:style>
  <w:style w:type="paragraph" w:customStyle="1" w:styleId="244">
    <w:name w:val="1"/>
    <w:basedOn w:val="1"/>
    <w:qFormat/>
    <w:uiPriority w:val="0"/>
    <w:pPr>
      <w:adjustRightInd w:val="0"/>
      <w:spacing w:line="360" w:lineRule="atLeast"/>
      <w:jc w:val="left"/>
      <w:textAlignment w:val="baseline"/>
    </w:pPr>
    <w:rPr>
      <w:rFonts w:ascii="Tahoma" w:hAnsi="Tahoma" w:eastAsia="宋体" w:cs="Times New Roman"/>
      <w:kern w:val="0"/>
      <w:sz w:val="24"/>
      <w:szCs w:val="20"/>
    </w:rPr>
  </w:style>
  <w:style w:type="paragraph" w:customStyle="1" w:styleId="245">
    <w:name w:val="样式4"/>
    <w:basedOn w:val="3"/>
    <w:qFormat/>
    <w:uiPriority w:val="0"/>
    <w:pPr>
      <w:tabs>
        <w:tab w:val="left" w:pos="420"/>
        <w:tab w:val="left" w:pos="1080"/>
      </w:tabs>
      <w:ind w:left="1080" w:hanging="720"/>
    </w:pPr>
    <w:rPr>
      <w:rFonts w:ascii="Times New Roman" w:hAnsi="Times New Roman"/>
      <w:color w:val="000000"/>
      <w:sz w:val="24"/>
      <w:szCs w:val="24"/>
    </w:rPr>
  </w:style>
  <w:style w:type="paragraph" w:customStyle="1" w:styleId="246">
    <w:name w:val="样式8"/>
    <w:basedOn w:val="1"/>
    <w:next w:val="1"/>
    <w:qFormat/>
    <w:uiPriority w:val="99"/>
    <w:pPr>
      <w:widowControl/>
      <w:ind w:firstLine="420"/>
      <w:jc w:val="left"/>
    </w:pPr>
    <w:rPr>
      <w:rFonts w:ascii="宋体" w:hAnsi="Arial Black" w:eastAsia="宋体" w:cs="宋体"/>
      <w:kern w:val="0"/>
      <w:sz w:val="24"/>
      <w:szCs w:val="24"/>
    </w:rPr>
  </w:style>
  <w:style w:type="paragraph" w:customStyle="1" w:styleId="247">
    <w:name w:val="reader-word-layer reader-word-s1-18"/>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48">
    <w:name w:val="HJ-表格"/>
    <w:basedOn w:val="1"/>
    <w:link w:val="286"/>
    <w:qFormat/>
    <w:uiPriority w:val="0"/>
    <w:pPr>
      <w:jc w:val="center"/>
    </w:pPr>
    <w:rPr>
      <w:rFonts w:ascii="Calibri" w:hAnsi="Calibri" w:eastAsia="宋体" w:cs="Times New Roman"/>
      <w:b/>
      <w:sz w:val="18"/>
      <w:szCs w:val="24"/>
    </w:rPr>
  </w:style>
  <w:style w:type="paragraph" w:customStyle="1" w:styleId="249">
    <w:name w:val="WPS Plain"/>
    <w:qFormat/>
    <w:uiPriority w:val="0"/>
    <w:rPr>
      <w:rFonts w:ascii="Times New Roman" w:hAnsi="Times New Roman" w:eastAsia="宋体" w:cs="Times New Roman"/>
      <w:sz w:val="21"/>
      <w:szCs w:val="22"/>
      <w:lang w:val="en-US" w:eastAsia="zh-CN" w:bidi="ar-SA"/>
    </w:rPr>
  </w:style>
  <w:style w:type="paragraph" w:customStyle="1" w:styleId="250">
    <w:name w:val="正文(首行缩进)"/>
    <w:basedOn w:val="1"/>
    <w:qFormat/>
    <w:uiPriority w:val="0"/>
    <w:pPr>
      <w:spacing w:line="360" w:lineRule="auto"/>
      <w:ind w:firstLine="510"/>
    </w:pPr>
    <w:rPr>
      <w:rFonts w:ascii="宋体" w:hAnsi="宋体" w:eastAsia="宋体" w:cs="Times New Roman"/>
      <w:snapToGrid w:val="0"/>
      <w:kern w:val="0"/>
      <w:sz w:val="24"/>
      <w:szCs w:val="24"/>
    </w:rPr>
  </w:style>
  <w:style w:type="paragraph" w:customStyle="1" w:styleId="251">
    <w:name w:val="报告题名"/>
    <w:basedOn w:val="1"/>
    <w:qFormat/>
    <w:uiPriority w:val="0"/>
    <w:pPr>
      <w:adjustRightInd w:val="0"/>
      <w:snapToGrid w:val="0"/>
      <w:spacing w:before="468" w:beforeLines="150" w:after="312" w:afterLines="100" w:line="480" w:lineRule="auto"/>
      <w:jc w:val="center"/>
      <w:outlineLvl w:val="0"/>
    </w:pPr>
    <w:rPr>
      <w:rFonts w:ascii="Times New Roman" w:hAnsi="Times New Roman" w:eastAsia="宋体" w:cs="Times New Roman"/>
      <w:b/>
      <w:bCs/>
      <w:sz w:val="52"/>
      <w:szCs w:val="52"/>
    </w:rPr>
  </w:style>
  <w:style w:type="paragraph" w:customStyle="1" w:styleId="252">
    <w:name w:val="标题文字"/>
    <w:next w:val="1"/>
    <w:semiHidden/>
    <w:qFormat/>
    <w:uiPriority w:val="0"/>
    <w:pPr>
      <w:adjustRightInd w:val="0"/>
      <w:snapToGrid w:val="0"/>
      <w:spacing w:before="120" w:beforeLines="50" w:after="120" w:afterLines="50"/>
      <w:jc w:val="center"/>
    </w:pPr>
    <w:rPr>
      <w:rFonts w:ascii="Times New Roman" w:hAnsi="宋体" w:eastAsia="宋体" w:cs="Times New Roman"/>
      <w:b/>
      <w:sz w:val="24"/>
      <w:szCs w:val="24"/>
      <w:lang w:val="en-US" w:eastAsia="zh-CN" w:bidi="ar-SA"/>
    </w:rPr>
  </w:style>
  <w:style w:type="paragraph" w:customStyle="1" w:styleId="253">
    <w:name w:val="Body text|1"/>
    <w:basedOn w:val="1"/>
    <w:qFormat/>
    <w:uiPriority w:val="0"/>
    <w:pPr>
      <w:spacing w:after="330" w:line="480" w:lineRule="auto"/>
      <w:ind w:firstLine="400"/>
    </w:pPr>
    <w:rPr>
      <w:rFonts w:ascii="Times New Roman" w:hAnsi="Times New Roman" w:eastAsia="宋体" w:cs="Times New Roman"/>
      <w:sz w:val="20"/>
      <w:szCs w:val="20"/>
      <w:lang w:val="zh-TW" w:eastAsia="zh-TW" w:bidi="zh-TW"/>
    </w:rPr>
  </w:style>
  <w:style w:type="paragraph" w:customStyle="1" w:styleId="254">
    <w:name w:val="Char Char Char Char Char Char Char1"/>
    <w:basedOn w:val="1"/>
    <w:qFormat/>
    <w:uiPriority w:val="0"/>
    <w:pPr>
      <w:widowControl/>
      <w:spacing w:after="160" w:line="240" w:lineRule="exact"/>
      <w:jc w:val="left"/>
    </w:pPr>
    <w:rPr>
      <w:rFonts w:ascii="Times New Roman" w:hAnsi="Times New Roman" w:eastAsia="宋体" w:cs="Times New Roman"/>
      <w:szCs w:val="24"/>
    </w:rPr>
  </w:style>
  <w:style w:type="paragraph" w:customStyle="1" w:styleId="255">
    <w:name w:val="Char Char Char Char1"/>
    <w:basedOn w:val="1"/>
    <w:qFormat/>
    <w:uiPriority w:val="0"/>
    <w:rPr>
      <w:rFonts w:ascii="Times New Roman" w:hAnsi="Times New Roman" w:eastAsia="宋体" w:cs="Times New Roman"/>
      <w:szCs w:val="24"/>
    </w:rPr>
  </w:style>
  <w:style w:type="paragraph" w:customStyle="1" w:styleId="256">
    <w:name w:val="xl24"/>
    <w:basedOn w:val="1"/>
    <w:qFormat/>
    <w:uiPriority w:val="0"/>
    <w:pPr>
      <w:widowControl/>
      <w:spacing w:before="100" w:beforeAutospacing="1" w:after="100" w:afterAutospacing="1"/>
      <w:jc w:val="center"/>
      <w:textAlignment w:val="bottom"/>
    </w:pPr>
    <w:rPr>
      <w:rFonts w:ascii="Arial Unicode MS" w:hAnsi="Arial Unicode MS" w:eastAsia="Arial Unicode MS" w:cs="Times New Roman"/>
      <w:kern w:val="0"/>
      <w:sz w:val="24"/>
      <w:szCs w:val="20"/>
    </w:rPr>
  </w:style>
  <w:style w:type="paragraph" w:customStyle="1" w:styleId="257">
    <w:name w:val="Char Char Char"/>
    <w:basedOn w:val="1"/>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258">
    <w:name w:val="修订1"/>
    <w:unhideWhenUsed/>
    <w:qFormat/>
    <w:uiPriority w:val="99"/>
    <w:rPr>
      <w:rFonts w:ascii="Times New Roman" w:hAnsi="Times New Roman" w:eastAsia="宋体" w:cs="Times New Roman"/>
      <w:kern w:val="2"/>
      <w:sz w:val="21"/>
      <w:szCs w:val="24"/>
      <w:lang w:val="en-US" w:eastAsia="zh-CN" w:bidi="ar-SA"/>
    </w:rPr>
  </w:style>
  <w:style w:type="paragraph" w:customStyle="1" w:styleId="259">
    <w:name w:val="char"/>
    <w:basedOn w:val="1"/>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260">
    <w:name w:val="reader-word-layer reader-word-s1-34"/>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61">
    <w:name w:val="xl22"/>
    <w:basedOn w:val="1"/>
    <w:qFormat/>
    <w:uiPriority w:val="0"/>
    <w:pPr>
      <w:widowControl/>
      <w:pBdr>
        <w:bottom w:val="single" w:color="auto" w:sz="4" w:space="0"/>
        <w:right w:val="single" w:color="auto" w:sz="4" w:space="0"/>
      </w:pBdr>
      <w:spacing w:before="100" w:after="100"/>
      <w:jc w:val="center"/>
    </w:pPr>
    <w:rPr>
      <w:rFonts w:ascii="宋体" w:hAnsi="宋体" w:eastAsia="宋体" w:cs="Times New Roman"/>
      <w:kern w:val="0"/>
      <w:szCs w:val="20"/>
    </w:rPr>
  </w:style>
  <w:style w:type="paragraph" w:customStyle="1" w:styleId="262">
    <w:name w:val="Char Char Char Char Char Char Char Char Char Char Char1 Char1"/>
    <w:basedOn w:val="1"/>
    <w:qFormat/>
    <w:uiPriority w:val="0"/>
    <w:rPr>
      <w:rFonts w:ascii="Times New Roman" w:hAnsi="Times New Roman" w:eastAsia="宋体" w:cs="Times New Roman"/>
      <w:sz w:val="24"/>
      <w:szCs w:val="20"/>
    </w:rPr>
  </w:style>
  <w:style w:type="table" w:customStyle="1" w:styleId="263">
    <w:name w:val="Table Normal"/>
    <w:unhideWhenUsed/>
    <w:qFormat/>
    <w:uiPriority w:val="2"/>
    <w:pPr>
      <w:widowControl w:val="0"/>
      <w:autoSpaceDE w:val="0"/>
      <w:autoSpaceDN w:val="0"/>
    </w:pPr>
    <w:rPr>
      <w:rFonts w:ascii="Times New Roman" w:hAnsi="Times New Roman" w:eastAsia="宋体" w:cs="Times New Roman"/>
      <w:sz w:val="22"/>
      <w:lang w:eastAsia="en-US"/>
    </w:rPr>
    <w:tblPr>
      <w:tblCellMar>
        <w:top w:w="0" w:type="dxa"/>
        <w:left w:w="0" w:type="dxa"/>
        <w:bottom w:w="0" w:type="dxa"/>
        <w:right w:w="0" w:type="dxa"/>
      </w:tblCellMar>
    </w:tblPr>
  </w:style>
  <w:style w:type="table" w:customStyle="1" w:styleId="264">
    <w:name w:val="yp格式"/>
    <w:qFormat/>
    <w:uiPriority w:val="0"/>
    <w:pPr>
      <w:adjustRightInd w:val="0"/>
      <w:snapToGrid w:val="0"/>
      <w:jc w:val="center"/>
    </w:pPr>
    <w:rPr>
      <w:rFonts w:ascii="Times New Roman" w:hAnsi="Times New Roman" w:eastAsia="宋体" w:cs="Times New Roman"/>
    </w:rPr>
    <w:tblPr>
      <w:tblBorders>
        <w:top w:val="single" w:color="000000" w:sz="12" w:space="0"/>
        <w:bottom w:val="single" w:color="000000" w:sz="12" w:space="0"/>
        <w:insideH w:val="single" w:color="000000" w:sz="6" w:space="0"/>
        <w:insideV w:val="single" w:color="000000" w:sz="6" w:space="0"/>
      </w:tblBorders>
      <w:tblCellMar>
        <w:top w:w="0" w:type="dxa"/>
        <w:left w:w="0" w:type="dxa"/>
        <w:bottom w:w="0" w:type="dxa"/>
        <w:right w:w="0" w:type="dxa"/>
      </w:tblCellMar>
    </w:tblPr>
    <w:tcPr>
      <w:tcMar>
        <w:left w:w="28" w:type="dxa"/>
        <w:right w:w="28" w:type="dxa"/>
      </w:tcMar>
      <w:vAlign w:val="center"/>
    </w:tcPr>
  </w:style>
  <w:style w:type="character" w:customStyle="1" w:styleId="265">
    <w:name w:val="font71"/>
    <w:basedOn w:val="44"/>
    <w:qFormat/>
    <w:uiPriority w:val="0"/>
    <w:rPr>
      <w:rFonts w:hint="default" w:ascii="Times New Roman" w:hAnsi="Times New Roman" w:cs="Times New Roman"/>
      <w:color w:val="FF0000"/>
      <w:sz w:val="21"/>
      <w:szCs w:val="21"/>
      <w:u w:val="none"/>
      <w:vertAlign w:val="subscript"/>
    </w:rPr>
  </w:style>
  <w:style w:type="character" w:customStyle="1" w:styleId="266">
    <w:name w:val="font91"/>
    <w:basedOn w:val="44"/>
    <w:qFormat/>
    <w:uiPriority w:val="0"/>
    <w:rPr>
      <w:rFonts w:hint="default" w:ascii="Times New Roman" w:hAnsi="Times New Roman" w:cs="Times New Roman"/>
      <w:color w:val="000000"/>
      <w:sz w:val="21"/>
      <w:szCs w:val="21"/>
      <w:u w:val="none"/>
      <w:vertAlign w:val="subscript"/>
    </w:rPr>
  </w:style>
  <w:style w:type="paragraph" w:customStyle="1" w:styleId="267">
    <w:name w:val="环评正文"/>
    <w:link w:val="269"/>
    <w:qFormat/>
    <w:uiPriority w:val="0"/>
    <w:pPr>
      <w:widowControl w:val="0"/>
      <w:spacing w:line="360" w:lineRule="auto"/>
      <w:ind w:firstLine="720" w:firstLineChars="200"/>
      <w:jc w:val="both"/>
    </w:pPr>
    <w:rPr>
      <w:rFonts w:ascii="Times New Roman" w:hAnsi="Times New Roman" w:eastAsia="宋体" w:cs="宋体"/>
      <w:kern w:val="2"/>
      <w:sz w:val="24"/>
      <w:szCs w:val="24"/>
      <w:lang w:val="en-US" w:eastAsia="zh-CN" w:bidi="ar-SA"/>
    </w:rPr>
  </w:style>
  <w:style w:type="paragraph" w:customStyle="1" w:styleId="268">
    <w:name w:val="样式 样式 正文首行缩进 2 + 小四1 + 左  0 字符 首行缩进:  2.26 字符"/>
    <w:basedOn w:val="1"/>
    <w:qFormat/>
    <w:uiPriority w:val="0"/>
    <w:pPr>
      <w:adjustRightInd w:val="0"/>
      <w:snapToGrid w:val="0"/>
      <w:spacing w:after="120" w:line="360" w:lineRule="auto"/>
      <w:ind w:firstLine="537" w:firstLineChars="226"/>
    </w:pPr>
    <w:rPr>
      <w:rFonts w:ascii="宋体" w:hAnsi="Times New Roman" w:eastAsia="宋体" w:cs="宋体"/>
      <w:sz w:val="24"/>
      <w:szCs w:val="20"/>
    </w:rPr>
  </w:style>
  <w:style w:type="character" w:customStyle="1" w:styleId="269">
    <w:name w:val="环评正文 Char"/>
    <w:link w:val="267"/>
    <w:qFormat/>
    <w:uiPriority w:val="0"/>
    <w:rPr>
      <w:rFonts w:ascii="Times New Roman" w:hAnsi="Times New Roman" w:eastAsia="宋体" w:cs="宋体"/>
      <w:sz w:val="24"/>
      <w:szCs w:val="24"/>
    </w:rPr>
  </w:style>
  <w:style w:type="paragraph" w:customStyle="1" w:styleId="270">
    <w:name w:val="无间隔1"/>
    <w:qFormat/>
    <w:uiPriority w:val="1"/>
    <w:pPr>
      <w:widowControl w:val="0"/>
      <w:jc w:val="both"/>
    </w:pPr>
    <w:rPr>
      <w:rFonts w:ascii="Calibri" w:hAnsi="Calibri" w:eastAsia="宋体" w:cs="Times New Roman"/>
      <w:kern w:val="2"/>
      <w:sz w:val="21"/>
      <w:szCs w:val="22"/>
      <w:lang w:val="en-US" w:eastAsia="zh-CN" w:bidi="ar-SA"/>
    </w:rPr>
  </w:style>
  <w:style w:type="character" w:customStyle="1" w:styleId="271">
    <w:name w:val="纯文本 字符1"/>
    <w:qFormat/>
    <w:uiPriority w:val="0"/>
    <w:rPr>
      <w:rFonts w:ascii="宋体" w:hAnsi="Courier New" w:eastAsia="宋体" w:cs="Times New Roman"/>
      <w:sz w:val="28"/>
      <w:szCs w:val="20"/>
    </w:rPr>
  </w:style>
  <w:style w:type="table" w:customStyle="1" w:styleId="272">
    <w:name w:val="网格型1"/>
    <w:basedOn w:val="41"/>
    <w:qFormat/>
    <w:uiPriority w:val="59"/>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3">
    <w:name w:val="表格主题1"/>
    <w:basedOn w:val="41"/>
    <w:qFormat/>
    <w:uiPriority w:val="0"/>
    <w:pPr>
      <w:widowControl w:val="0"/>
      <w:jc w:val="both"/>
    </w:pPr>
    <w:rPr>
      <w:rFonts w:hint="eastAsia" w:ascii="等线" w:hAnsi="等线" w:eastAsia="等线" w:cs="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74">
    <w:name w:val="Default Char"/>
    <w:link w:val="219"/>
    <w:qFormat/>
    <w:uiPriority w:val="99"/>
    <w:rPr>
      <w:rFonts w:ascii="Times New Roman" w:hAnsi="Times New Roman" w:eastAsia="宋体" w:cs="Times New Roman"/>
      <w:color w:val="000000"/>
      <w:kern w:val="0"/>
      <w:sz w:val="24"/>
      <w:szCs w:val="24"/>
    </w:rPr>
  </w:style>
  <w:style w:type="paragraph" w:customStyle="1" w:styleId="275">
    <w:name w:val="样式 正文文本缩进 2正文文字缩进 2 + 宋体 小四 行距: 固定值 25 磅"/>
    <w:basedOn w:val="24"/>
    <w:qFormat/>
    <w:uiPriority w:val="0"/>
    <w:pPr>
      <w:widowControl/>
      <w:numPr>
        <w:ilvl w:val="0"/>
        <w:numId w:val="1"/>
      </w:numPr>
      <w:tabs>
        <w:tab w:val="left" w:pos="360"/>
      </w:tabs>
      <w:spacing w:after="0" w:line="500" w:lineRule="exact"/>
      <w:ind w:left="0" w:leftChars="0" w:firstLine="0" w:firstLineChars="200"/>
    </w:pPr>
    <w:rPr>
      <w:rFonts w:ascii="宋体" w:hAnsi="宋体" w:cs="宋体"/>
      <w:kern w:val="10"/>
      <w:sz w:val="24"/>
      <w:szCs w:val="20"/>
    </w:rPr>
  </w:style>
  <w:style w:type="paragraph" w:customStyle="1" w:styleId="276">
    <w:name w:val="表文(G)"/>
    <w:basedOn w:val="1"/>
    <w:semiHidden/>
    <w:qFormat/>
    <w:uiPriority w:val="0"/>
    <w:pPr>
      <w:tabs>
        <w:tab w:val="left" w:pos="1021"/>
      </w:tabs>
      <w:spacing w:line="360" w:lineRule="auto"/>
      <w:ind w:firstLine="480" w:firstLineChars="200"/>
      <w:jc w:val="center"/>
    </w:pPr>
    <w:rPr>
      <w:rFonts w:ascii="Times New Roman" w:hAnsi="宋体" w:eastAsia="宋体" w:cs="Times New Roman"/>
      <w:kern w:val="0"/>
      <w:position w:val="-24"/>
      <w:sz w:val="24"/>
      <w:szCs w:val="21"/>
    </w:rPr>
  </w:style>
  <w:style w:type="paragraph" w:customStyle="1" w:styleId="277">
    <w:name w:val="段落(G)"/>
    <w:basedOn w:val="1"/>
    <w:qFormat/>
    <w:uiPriority w:val="0"/>
    <w:pPr>
      <w:tabs>
        <w:tab w:val="left" w:pos="1320"/>
      </w:tabs>
      <w:spacing w:line="360" w:lineRule="auto"/>
      <w:ind w:firstLine="480" w:firstLineChars="200"/>
    </w:pPr>
    <w:rPr>
      <w:rFonts w:ascii="Arial" w:hAnsi="Arial" w:eastAsia="宋体" w:cs="Times New Roman"/>
      <w:color w:val="000000"/>
      <w:kern w:val="24"/>
      <w:sz w:val="24"/>
      <w:szCs w:val="24"/>
      <w:lang w:val="zh-CN"/>
    </w:rPr>
  </w:style>
  <w:style w:type="paragraph" w:customStyle="1" w:styleId="278">
    <w:name w:val="正文20110920"/>
    <w:basedOn w:val="1"/>
    <w:qFormat/>
    <w:uiPriority w:val="0"/>
    <w:pPr>
      <w:spacing w:line="360" w:lineRule="auto"/>
      <w:ind w:firstLine="480" w:firstLineChars="200"/>
      <w:jc w:val="left"/>
    </w:pPr>
    <w:rPr>
      <w:rFonts w:ascii="Times New Roman" w:hAnsi="Times New Roman" w:eastAsia="宋体" w:cs="宋体"/>
      <w:color w:val="000000"/>
      <w:kern w:val="0"/>
      <w:sz w:val="24"/>
      <w:szCs w:val="24"/>
    </w:rPr>
  </w:style>
  <w:style w:type="paragraph" w:customStyle="1" w:styleId="279">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280">
    <w:name w:val="WPSOffice手动目录 1"/>
    <w:qFormat/>
    <w:uiPriority w:val="0"/>
    <w:rPr>
      <w:rFonts w:ascii="Times New Roman" w:hAnsi="Times New Roman" w:eastAsia="宋体" w:cs="Times New Roman"/>
      <w:lang w:val="en-US" w:eastAsia="zh-CN" w:bidi="ar-SA"/>
    </w:rPr>
  </w:style>
  <w:style w:type="table" w:customStyle="1" w:styleId="281">
    <w:name w:val="yp格式1"/>
    <w:basedOn w:val="41"/>
    <w:qFormat/>
    <w:uiPriority w:val="0"/>
    <w:pPr>
      <w:adjustRightInd w:val="0"/>
      <w:snapToGrid w:val="0"/>
      <w:jc w:val="center"/>
    </w:pPr>
    <w:rPr>
      <w:rFonts w:hint="eastAsia" w:ascii="Times New Roman" w:hAnsi="Times New Roman" w:eastAsia="等线" w:cs="等线"/>
    </w:rPr>
    <w:tblPr>
      <w:tblBorders>
        <w:top w:val="single" w:color="000000" w:sz="12" w:space="0"/>
        <w:bottom w:val="single" w:color="000000" w:sz="12" w:space="0"/>
        <w:insideH w:val="single" w:color="000000" w:sz="6" w:space="0"/>
        <w:insideV w:val="single" w:color="000000" w:sz="6" w:space="0"/>
      </w:tblBorders>
    </w:tblPr>
    <w:tcPr>
      <w:tcMar>
        <w:left w:w="28" w:type="dxa"/>
        <w:right w:w="28" w:type="dxa"/>
      </w:tcMar>
      <w:vAlign w:val="center"/>
    </w:tcPr>
    <w:tblStylePr w:type="firstRow">
      <w:tcPr>
        <w:tcBorders>
          <w:top w:val="single" w:color="000000" w:sz="12" w:space="0"/>
          <w:left w:val="nil"/>
          <w:bottom w:val="single" w:color="000000" w:sz="2" w:space="0"/>
          <w:right w:val="nil"/>
          <w:insideH w:val="nil"/>
          <w:insideV w:val="single" w:sz="2" w:space="0"/>
          <w:tl2br w:val="nil"/>
          <w:tr2bl w:val="nil"/>
        </w:tcBorders>
      </w:tcPr>
    </w:tblStylePr>
  </w:style>
  <w:style w:type="character" w:customStyle="1" w:styleId="282">
    <w:name w:val="16"/>
    <w:qFormat/>
    <w:uiPriority w:val="0"/>
    <w:rPr>
      <w:rFonts w:hint="eastAsia" w:ascii="宋体" w:hAnsi="宋体" w:eastAsia="宋体"/>
      <w:b/>
      <w:bCs/>
      <w:color w:val="000000"/>
      <w:sz w:val="28"/>
      <w:szCs w:val="28"/>
    </w:rPr>
  </w:style>
  <w:style w:type="character" w:customStyle="1" w:styleId="283">
    <w:name w:val="17"/>
    <w:qFormat/>
    <w:uiPriority w:val="0"/>
    <w:rPr>
      <w:rFonts w:hint="eastAsia" w:ascii="黑体" w:hAnsi="宋体" w:eastAsia="黑体"/>
      <w:b/>
      <w:bCs/>
      <w:color w:val="000000"/>
      <w:sz w:val="28"/>
      <w:szCs w:val="28"/>
    </w:rPr>
  </w:style>
  <w:style w:type="paragraph" w:customStyle="1" w:styleId="284">
    <w:name w:val="hj-正文"/>
    <w:basedOn w:val="1"/>
    <w:qFormat/>
    <w:uiPriority w:val="0"/>
    <w:pPr>
      <w:spacing w:line="360" w:lineRule="auto"/>
      <w:ind w:firstLine="480" w:firstLineChars="200"/>
    </w:pPr>
    <w:rPr>
      <w:rFonts w:ascii="Calibri" w:hAnsi="Calibri" w:eastAsia="宋体" w:cs="Times New Roman"/>
      <w:sz w:val="24"/>
      <w:szCs w:val="20"/>
      <w:lang w:val="zh-CN"/>
    </w:rPr>
  </w:style>
  <w:style w:type="table" w:customStyle="1" w:styleId="285">
    <w:name w:val="yeti"/>
    <w:basedOn w:val="41"/>
    <w:qFormat/>
    <w:uiPriority w:val="0"/>
    <w:pPr>
      <w:spacing w:line="360" w:lineRule="exact"/>
      <w:jc w:val="center"/>
    </w:pPr>
    <w:rPr>
      <w:rFonts w:hint="eastAsia" w:ascii="Times New Roman" w:hAnsi="Times New Roman" w:eastAsia="等线" w:cs="等线"/>
    </w:rPr>
    <w:tblPr>
      <w:tblBorders>
        <w:top w:val="single" w:color="auto" w:sz="12" w:space="0"/>
        <w:bottom w:val="single" w:color="auto" w:sz="12" w:space="0"/>
        <w:insideH w:val="single" w:color="auto" w:sz="4" w:space="0"/>
        <w:insideV w:val="single" w:color="auto" w:sz="4" w:space="0"/>
      </w:tblBorders>
    </w:tblPr>
    <w:tcPr>
      <w:vAlign w:val="center"/>
    </w:tcPr>
  </w:style>
  <w:style w:type="character" w:customStyle="1" w:styleId="286">
    <w:name w:val="HJ-表格 Char"/>
    <w:link w:val="248"/>
    <w:qFormat/>
    <w:uiPriority w:val="0"/>
    <w:rPr>
      <w:rFonts w:ascii="Calibri" w:hAnsi="Calibri" w:eastAsia="宋体" w:cs="Times New Roman"/>
      <w:b/>
      <w:sz w:val="18"/>
      <w:szCs w:val="24"/>
    </w:rPr>
  </w:style>
  <w:style w:type="paragraph" w:customStyle="1" w:styleId="287">
    <w:name w:val="TOC 标题1"/>
    <w:basedOn w:val="2"/>
    <w:next w:val="1"/>
    <w:unhideWhenUsed/>
    <w:qFormat/>
    <w:uiPriority w:val="39"/>
    <w:pPr>
      <w:widowControl/>
      <w:spacing w:before="240" w:after="0" w:line="259" w:lineRule="auto"/>
      <w:jc w:val="left"/>
      <w:outlineLvl w:val="9"/>
    </w:pPr>
    <w:rPr>
      <w:rFonts w:ascii="等线 Light" w:hAnsi="等线 Light" w:eastAsia="等线 Light"/>
      <w:b w:val="0"/>
      <w:bCs w:val="0"/>
      <w:color w:val="2F5496"/>
      <w:kern w:val="0"/>
      <w:sz w:val="32"/>
      <w:szCs w:val="32"/>
    </w:rPr>
  </w:style>
  <w:style w:type="character" w:customStyle="1" w:styleId="288">
    <w:name w:val="未处理的提及1"/>
    <w:unhideWhenUsed/>
    <w:qFormat/>
    <w:uiPriority w:val="99"/>
    <w:rPr>
      <w:color w:val="605E5C"/>
      <w:shd w:val="clear" w:color="auto" w:fill="E1DFDD"/>
    </w:rPr>
  </w:style>
  <w:style w:type="paragraph" w:customStyle="1" w:styleId="289">
    <w:name w:val="7表格文字"/>
    <w:basedOn w:val="1"/>
    <w:link w:val="290"/>
    <w:qFormat/>
    <w:uiPriority w:val="0"/>
    <w:pPr>
      <w:spacing w:line="360" w:lineRule="auto"/>
      <w:ind w:firstLine="480" w:firstLineChars="200"/>
      <w:jc w:val="center"/>
    </w:pPr>
    <w:rPr>
      <w:rFonts w:ascii="Times New Roman" w:hAnsi="Times New Roman" w:eastAsia="宋体" w:cs="Times New Roman"/>
      <w:sz w:val="24"/>
      <w:szCs w:val="24"/>
    </w:rPr>
  </w:style>
  <w:style w:type="character" w:customStyle="1" w:styleId="290">
    <w:name w:val="7表格文字 Char"/>
    <w:link w:val="289"/>
    <w:qFormat/>
    <w:uiPriority w:val="0"/>
    <w:rPr>
      <w:rFonts w:ascii="Times New Roman" w:hAnsi="Times New Roman" w:eastAsia="宋体" w:cs="Times New Roman"/>
      <w:sz w:val="24"/>
      <w:szCs w:val="24"/>
    </w:rPr>
  </w:style>
  <w:style w:type="paragraph" w:customStyle="1" w:styleId="291">
    <w:name w:val="TOC 标题11"/>
    <w:basedOn w:val="2"/>
    <w:next w:val="1"/>
    <w:unhideWhenUsed/>
    <w:qFormat/>
    <w:uiPriority w:val="39"/>
    <w:pPr>
      <w:widowControl/>
      <w:spacing w:before="240" w:after="0" w:line="259" w:lineRule="auto"/>
      <w:jc w:val="left"/>
      <w:outlineLvl w:val="9"/>
    </w:pPr>
    <w:rPr>
      <w:rFonts w:ascii="等线 Light" w:hAnsi="等线 Light" w:eastAsia="等线 Light"/>
      <w:b w:val="0"/>
      <w:bCs w:val="0"/>
      <w:color w:val="2F5496"/>
      <w:kern w:val="0"/>
      <w:sz w:val="32"/>
      <w:szCs w:val="32"/>
    </w:rPr>
  </w:style>
  <w:style w:type="character" w:customStyle="1" w:styleId="292">
    <w:name w:val="未处理的提及11"/>
    <w:unhideWhenUsed/>
    <w:qFormat/>
    <w:uiPriority w:val="99"/>
    <w:rPr>
      <w:color w:val="605E5C"/>
      <w:shd w:val="clear" w:color="auto" w:fill="E1DFDD"/>
    </w:rPr>
  </w:style>
  <w:style w:type="paragraph" w:customStyle="1" w:styleId="293">
    <w:name w:val="标题6"/>
    <w:basedOn w:val="7"/>
    <w:next w:val="1"/>
    <w:qFormat/>
    <w:uiPriority w:val="0"/>
    <w:pPr>
      <w:keepNext w:val="0"/>
      <w:keepLines w:val="0"/>
      <w:widowControl w:val="0"/>
      <w:snapToGrid w:val="0"/>
      <w:spacing w:before="0" w:after="0" w:line="360" w:lineRule="auto"/>
      <w:ind w:firstLine="442" w:firstLineChars="200"/>
      <w:jc w:val="center"/>
    </w:pPr>
    <w:rPr>
      <w:rFonts w:hint="default" w:ascii="Times New Roman"/>
      <w:b/>
      <w:bCs/>
      <w:kern w:val="2"/>
      <w:sz w:val="22"/>
    </w:rPr>
  </w:style>
  <w:style w:type="paragraph" w:customStyle="1" w:styleId="294">
    <w:name w:val="TOC 标题2"/>
    <w:basedOn w:val="2"/>
    <w:next w:val="1"/>
    <w:unhideWhenUsed/>
    <w:qFormat/>
    <w:uiPriority w:val="39"/>
    <w:pPr>
      <w:widowControl/>
      <w:spacing w:before="240" w:after="0" w:line="259" w:lineRule="auto"/>
      <w:jc w:val="left"/>
      <w:outlineLvl w:val="9"/>
    </w:pPr>
    <w:rPr>
      <w:rFonts w:ascii="等线 Light" w:hAnsi="等线 Light" w:eastAsia="等线 Light"/>
      <w:b w:val="0"/>
      <w:bCs w:val="0"/>
      <w:color w:val="2F5496"/>
      <w:kern w:val="0"/>
      <w:sz w:val="32"/>
      <w:szCs w:val="32"/>
    </w:rPr>
  </w:style>
  <w:style w:type="character" w:customStyle="1" w:styleId="295">
    <w:name w:val="未处理的提及2"/>
    <w:unhideWhenUsed/>
    <w:qFormat/>
    <w:uiPriority w:val="99"/>
    <w:rPr>
      <w:color w:val="605E5C"/>
      <w:shd w:val="clear" w:color="auto" w:fill="E1DFDD"/>
    </w:rPr>
  </w:style>
  <w:style w:type="paragraph" w:customStyle="1" w:styleId="296">
    <w:name w:val="Table Text"/>
    <w:basedOn w:val="1"/>
    <w:semiHidden/>
    <w:qFormat/>
    <w:uiPriority w:val="0"/>
    <w:pPr>
      <w:spacing w:line="360" w:lineRule="auto"/>
      <w:ind w:firstLine="480" w:firstLineChars="200"/>
    </w:pPr>
    <w:rPr>
      <w:rFonts w:ascii="宋体" w:hAnsi="宋体" w:eastAsia="宋体" w:cs="宋体"/>
      <w:sz w:val="24"/>
      <w:szCs w:val="24"/>
      <w:lang w:eastAsia="en-US"/>
    </w:rPr>
  </w:style>
  <w:style w:type="table" w:customStyle="1" w:styleId="297">
    <w:name w:val="Table Normal1"/>
    <w:unhideWhenUsed/>
    <w:qFormat/>
    <w:uiPriority w:val="0"/>
    <w:rPr>
      <w:rFonts w:ascii="Times New Roman" w:hAnsi="Times New Roman" w:eastAsia="宋体" w:cs="Times New Roman"/>
    </w:rPr>
    <w:tblPr>
      <w:tblCellMar>
        <w:top w:w="0" w:type="dxa"/>
        <w:left w:w="0" w:type="dxa"/>
        <w:bottom w:w="0" w:type="dxa"/>
        <w:right w:w="0" w:type="dxa"/>
      </w:tblCellMar>
    </w:tblPr>
  </w:style>
  <w:style w:type="paragraph" w:customStyle="1" w:styleId="298">
    <w:name w:val="表格标题1"/>
    <w:basedOn w:val="84"/>
    <w:link w:val="299"/>
    <w:qFormat/>
    <w:uiPriority w:val="0"/>
    <w:pPr>
      <w:spacing w:before="0" w:after="0"/>
      <w:ind w:firstLine="482"/>
      <w:jc w:val="center"/>
      <w:outlineLvl w:val="9"/>
    </w:pPr>
    <w:rPr>
      <w:rFonts w:ascii="Times New Roman" w:hAnsi="Times New Roman" w:eastAsia="宋体" w:cs="Times New Roman"/>
      <w:b/>
      <w:kern w:val="0"/>
      <w:sz w:val="24"/>
      <w:szCs w:val="24"/>
    </w:rPr>
  </w:style>
  <w:style w:type="character" w:customStyle="1" w:styleId="299">
    <w:name w:val="表格标题1 字符"/>
    <w:link w:val="298"/>
    <w:qFormat/>
    <w:uiPriority w:val="0"/>
    <w:rPr>
      <w:rFonts w:ascii="Times New Roman" w:hAnsi="Times New Roman" w:eastAsia="宋体" w:cs="Times New Roman"/>
      <w:b/>
      <w:kern w:val="0"/>
      <w:sz w:val="24"/>
      <w:szCs w:val="24"/>
    </w:rPr>
  </w:style>
  <w:style w:type="paragraph" w:customStyle="1" w:styleId="300">
    <w:name w:val="表格文字1111"/>
    <w:qFormat/>
    <w:uiPriority w:val="0"/>
    <w:pPr>
      <w:framePr w:wrap="around" w:vAnchor="margin" w:hAnchor="text" w:yAlign="top"/>
    </w:pPr>
    <w:rPr>
      <w:rFonts w:ascii="Times New Roman" w:hAnsi="Times New Roman" w:eastAsia="宋体" w:cs="Times New Roman"/>
      <w:lang w:val="en-US" w:eastAsia="zh-CN" w:bidi="ar-SA"/>
    </w:rPr>
  </w:style>
  <w:style w:type="paragraph" w:customStyle="1" w:styleId="301">
    <w:name w:val="报告表格"/>
    <w:basedOn w:val="1"/>
    <w:qFormat/>
    <w:uiPriority w:val="99"/>
    <w:pPr>
      <w:autoSpaceDE w:val="0"/>
      <w:autoSpaceDN w:val="0"/>
      <w:adjustRightInd w:val="0"/>
      <w:spacing w:before="40" w:after="40" w:line="360" w:lineRule="auto"/>
      <w:ind w:firstLine="480" w:firstLineChars="200"/>
      <w:jc w:val="center"/>
      <w:textAlignment w:val="bottom"/>
    </w:pPr>
    <w:rPr>
      <w:rFonts w:ascii="宋体" w:hAnsi="宋体" w:eastAsia="宋体" w:cs="宋体"/>
      <w:kern w:val="0"/>
      <w:sz w:val="24"/>
      <w:szCs w:val="20"/>
    </w:rPr>
  </w:style>
  <w:style w:type="paragraph" w:customStyle="1" w:styleId="302">
    <w:name w:val="表格内文字"/>
    <w:basedOn w:val="15"/>
    <w:qFormat/>
    <w:uiPriority w:val="0"/>
    <w:pPr>
      <w:spacing w:line="320" w:lineRule="exact"/>
      <w:ind w:firstLine="480" w:firstLineChars="200"/>
      <w:jc w:val="center"/>
    </w:pPr>
    <w:rPr>
      <w:rFonts w:ascii="Calibri" w:hAnsi="Calibri" w:eastAsia="宋体" w:cs="Times New Roman"/>
      <w:spacing w:val="10"/>
      <w:sz w:val="24"/>
      <w:szCs w:val="24"/>
    </w:rPr>
  </w:style>
  <w:style w:type="character" w:customStyle="1" w:styleId="303">
    <w:name w:val="font112"/>
    <w:qFormat/>
    <w:uiPriority w:val="0"/>
    <w:rPr>
      <w:rFonts w:hint="default" w:ascii="Times New Roman" w:hAnsi="Times New Roman" w:cs="Times New Roman"/>
      <w:b/>
      <w:bCs/>
      <w:color w:val="000000"/>
      <w:sz w:val="21"/>
      <w:szCs w:val="21"/>
      <w:u w:val="none"/>
    </w:rPr>
  </w:style>
  <w:style w:type="table" w:customStyle="1" w:styleId="304">
    <w:name w:val="网格型2"/>
    <w:basedOn w:val="41"/>
    <w:qFormat/>
    <w:uiPriority w:val="59"/>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5">
    <w:name w:val="表格主题2"/>
    <w:basedOn w:val="41"/>
    <w:qFormat/>
    <w:uiPriority w:val="0"/>
    <w:pPr>
      <w:widowControl w:val="0"/>
      <w:jc w:val="both"/>
    </w:pPr>
    <w:rPr>
      <w:rFonts w:hint="eastAsia" w:ascii="等线" w:hAnsi="等线" w:eastAsia="等线" w:cs="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6">
    <w:name w:val="yp格式2"/>
    <w:basedOn w:val="41"/>
    <w:qFormat/>
    <w:uiPriority w:val="0"/>
    <w:pPr>
      <w:adjustRightInd w:val="0"/>
      <w:snapToGrid w:val="0"/>
      <w:jc w:val="center"/>
    </w:pPr>
    <w:rPr>
      <w:rFonts w:hint="eastAsia" w:ascii="Times New Roman" w:hAnsi="Times New Roman" w:eastAsia="等线" w:cs="等线"/>
    </w:rPr>
    <w:tblPr>
      <w:tblBorders>
        <w:top w:val="single" w:color="000000" w:sz="12" w:space="0"/>
        <w:bottom w:val="single" w:color="000000" w:sz="12" w:space="0"/>
        <w:insideH w:val="single" w:color="000000" w:sz="6" w:space="0"/>
        <w:insideV w:val="single" w:color="000000" w:sz="6" w:space="0"/>
      </w:tblBorders>
    </w:tblPr>
    <w:tcPr>
      <w:tcMar>
        <w:left w:w="28" w:type="dxa"/>
        <w:right w:w="28" w:type="dxa"/>
      </w:tcMar>
      <w:vAlign w:val="center"/>
    </w:tcPr>
    <w:tblStylePr w:type="firstRow">
      <w:tcPr>
        <w:tcBorders>
          <w:top w:val="single" w:color="000000" w:sz="12" w:space="0"/>
          <w:left w:val="nil"/>
          <w:bottom w:val="single" w:color="000000" w:sz="2" w:space="0"/>
          <w:right w:val="nil"/>
          <w:insideH w:val="nil"/>
          <w:insideV w:val="single" w:sz="2" w:space="0"/>
          <w:tl2br w:val="nil"/>
          <w:tr2bl w:val="nil"/>
        </w:tcBorders>
      </w:tcPr>
    </w:tblStylePr>
  </w:style>
  <w:style w:type="table" w:customStyle="1" w:styleId="307">
    <w:name w:val="Table Normal2"/>
    <w:unhideWhenUsed/>
    <w:qFormat/>
    <w:uiPriority w:val="0"/>
    <w:rPr>
      <w:rFonts w:ascii="Times New Roman" w:hAnsi="Times New Roman" w:eastAsia="宋体" w:cs="Times New Roman"/>
    </w:rPr>
    <w:tblPr>
      <w:tblCellMar>
        <w:top w:w="0" w:type="dxa"/>
        <w:left w:w="0" w:type="dxa"/>
        <w:bottom w:w="0" w:type="dxa"/>
        <w:right w:w="0" w:type="dxa"/>
      </w:tblCellMar>
    </w:tblPr>
  </w:style>
  <w:style w:type="paragraph" w:customStyle="1" w:styleId="308">
    <w:name w:val="msonormal"/>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309">
    <w:name w:val="font5"/>
    <w:basedOn w:val="1"/>
    <w:qFormat/>
    <w:uiPriority w:val="0"/>
    <w:pPr>
      <w:widowControl/>
      <w:spacing w:before="100" w:beforeAutospacing="1" w:after="100" w:afterAutospacing="1"/>
      <w:jc w:val="left"/>
    </w:pPr>
    <w:rPr>
      <w:rFonts w:ascii="宋体" w:hAnsi="宋体" w:eastAsia="宋体" w:cs="宋体"/>
      <w:color w:val="000000"/>
      <w:kern w:val="0"/>
      <w:sz w:val="22"/>
    </w:rPr>
  </w:style>
  <w:style w:type="paragraph" w:customStyle="1" w:styleId="310">
    <w:name w:val="font6"/>
    <w:basedOn w:val="1"/>
    <w:qFormat/>
    <w:uiPriority w:val="0"/>
    <w:pPr>
      <w:widowControl/>
      <w:spacing w:before="100" w:beforeAutospacing="1" w:after="100" w:afterAutospacing="1"/>
      <w:jc w:val="left"/>
    </w:pPr>
    <w:rPr>
      <w:rFonts w:ascii="Times New Roman" w:hAnsi="Times New Roman" w:eastAsia="宋体" w:cs="Times New Roman"/>
      <w:color w:val="000000"/>
      <w:kern w:val="0"/>
      <w:sz w:val="22"/>
    </w:rPr>
  </w:style>
  <w:style w:type="paragraph" w:customStyle="1" w:styleId="311">
    <w:name w:val="font7"/>
    <w:basedOn w:val="1"/>
    <w:qFormat/>
    <w:uiPriority w:val="0"/>
    <w:pPr>
      <w:widowControl/>
      <w:spacing w:before="100" w:beforeAutospacing="1" w:after="100" w:afterAutospacing="1"/>
      <w:jc w:val="left"/>
    </w:pPr>
    <w:rPr>
      <w:rFonts w:ascii="Times New Roman" w:hAnsi="Times New Roman" w:eastAsia="宋体" w:cs="Times New Roman"/>
      <w:color w:val="000000"/>
      <w:kern w:val="0"/>
      <w:szCs w:val="21"/>
    </w:rPr>
  </w:style>
  <w:style w:type="paragraph" w:customStyle="1" w:styleId="312">
    <w:name w:val="font8"/>
    <w:basedOn w:val="1"/>
    <w:qFormat/>
    <w:uiPriority w:val="0"/>
    <w:pPr>
      <w:widowControl/>
      <w:spacing w:before="100" w:beforeAutospacing="1" w:after="100" w:afterAutospacing="1"/>
      <w:jc w:val="left"/>
    </w:pPr>
    <w:rPr>
      <w:rFonts w:ascii="Calibri" w:hAnsi="Calibri" w:eastAsia="宋体" w:cs="Calibri"/>
      <w:color w:val="000000"/>
      <w:kern w:val="0"/>
      <w:sz w:val="22"/>
    </w:rPr>
  </w:style>
  <w:style w:type="paragraph" w:customStyle="1" w:styleId="313">
    <w:name w:val="font9"/>
    <w:basedOn w:val="1"/>
    <w:qFormat/>
    <w:uiPriority w:val="0"/>
    <w:pPr>
      <w:widowControl/>
      <w:spacing w:before="100" w:beforeAutospacing="1" w:after="100" w:afterAutospacing="1"/>
      <w:jc w:val="left"/>
    </w:pPr>
    <w:rPr>
      <w:rFonts w:ascii="宋体" w:hAnsi="宋体" w:eastAsia="宋体" w:cs="宋体"/>
      <w:color w:val="000000"/>
      <w:kern w:val="0"/>
      <w:szCs w:val="21"/>
    </w:rPr>
  </w:style>
  <w:style w:type="paragraph" w:customStyle="1" w:styleId="314">
    <w:name w:val="font10"/>
    <w:basedOn w:val="1"/>
    <w:qFormat/>
    <w:uiPriority w:val="0"/>
    <w:pPr>
      <w:widowControl/>
      <w:spacing w:before="100" w:beforeAutospacing="1" w:after="100" w:afterAutospacing="1"/>
      <w:jc w:val="left"/>
    </w:pPr>
    <w:rPr>
      <w:rFonts w:ascii="Calibri" w:hAnsi="Calibri" w:eastAsia="宋体" w:cs="Calibri"/>
      <w:color w:val="000000"/>
      <w:kern w:val="0"/>
      <w:sz w:val="22"/>
    </w:rPr>
  </w:style>
  <w:style w:type="paragraph" w:customStyle="1" w:styleId="315">
    <w:name w:val="font12"/>
    <w:basedOn w:val="1"/>
    <w:qFormat/>
    <w:uiPriority w:val="0"/>
    <w:pPr>
      <w:widowControl/>
      <w:spacing w:before="100" w:beforeAutospacing="1" w:after="100" w:afterAutospacing="1"/>
      <w:jc w:val="left"/>
    </w:pPr>
    <w:rPr>
      <w:rFonts w:ascii="Times New Roman" w:hAnsi="Times New Roman" w:eastAsia="宋体" w:cs="Times New Roman"/>
      <w:color w:val="FF0000"/>
      <w:kern w:val="0"/>
      <w:szCs w:val="21"/>
    </w:rPr>
  </w:style>
  <w:style w:type="paragraph" w:customStyle="1" w:styleId="316">
    <w:name w:val="font13"/>
    <w:basedOn w:val="1"/>
    <w:qFormat/>
    <w:uiPriority w:val="0"/>
    <w:pPr>
      <w:widowControl/>
      <w:spacing w:before="100" w:beforeAutospacing="1" w:after="100" w:afterAutospacing="1"/>
      <w:jc w:val="left"/>
    </w:pPr>
    <w:rPr>
      <w:rFonts w:ascii="宋体" w:hAnsi="宋体" w:eastAsia="宋体" w:cs="宋体"/>
      <w:color w:val="FF0000"/>
      <w:kern w:val="0"/>
      <w:szCs w:val="21"/>
    </w:rPr>
  </w:style>
  <w:style w:type="paragraph" w:customStyle="1" w:styleId="317">
    <w:name w:val="font14"/>
    <w:basedOn w:val="1"/>
    <w:qFormat/>
    <w:uiPriority w:val="0"/>
    <w:pPr>
      <w:widowControl/>
      <w:spacing w:before="100" w:beforeAutospacing="1" w:after="100" w:afterAutospacing="1"/>
      <w:jc w:val="left"/>
    </w:pPr>
    <w:rPr>
      <w:rFonts w:ascii="Times New Roman" w:hAnsi="Times New Roman" w:eastAsia="宋体" w:cs="Times New Roman"/>
      <w:color w:val="000000"/>
      <w:kern w:val="0"/>
      <w:szCs w:val="21"/>
    </w:rPr>
  </w:style>
  <w:style w:type="paragraph" w:customStyle="1" w:styleId="318">
    <w:name w:val="font15"/>
    <w:basedOn w:val="1"/>
    <w:qFormat/>
    <w:uiPriority w:val="0"/>
    <w:pPr>
      <w:widowControl/>
      <w:spacing w:before="100" w:beforeAutospacing="1" w:after="100" w:afterAutospacing="1"/>
      <w:jc w:val="left"/>
    </w:pPr>
    <w:rPr>
      <w:rFonts w:ascii="宋体" w:hAnsi="宋体" w:eastAsia="宋体" w:cs="宋体"/>
      <w:color w:val="000000"/>
      <w:kern w:val="0"/>
      <w:sz w:val="18"/>
      <w:szCs w:val="18"/>
    </w:rPr>
  </w:style>
  <w:style w:type="paragraph" w:customStyle="1" w:styleId="319">
    <w:name w:val="font16"/>
    <w:basedOn w:val="1"/>
    <w:qFormat/>
    <w:uiPriority w:val="0"/>
    <w:pPr>
      <w:widowControl/>
      <w:spacing w:before="100" w:beforeAutospacing="1" w:after="100" w:afterAutospacing="1"/>
      <w:jc w:val="left"/>
    </w:pPr>
    <w:rPr>
      <w:rFonts w:ascii="宋体" w:hAnsi="宋体" w:eastAsia="宋体" w:cs="宋体"/>
      <w:color w:val="000000"/>
      <w:kern w:val="0"/>
      <w:szCs w:val="21"/>
    </w:rPr>
  </w:style>
  <w:style w:type="paragraph" w:customStyle="1" w:styleId="320">
    <w:name w:val="font17"/>
    <w:basedOn w:val="1"/>
    <w:qFormat/>
    <w:uiPriority w:val="0"/>
    <w:pPr>
      <w:widowControl/>
      <w:spacing w:before="100" w:beforeAutospacing="1" w:after="100" w:afterAutospacing="1"/>
      <w:jc w:val="left"/>
    </w:pPr>
    <w:rPr>
      <w:rFonts w:ascii="Times New Roman" w:hAnsi="Times New Roman" w:eastAsia="宋体" w:cs="Times New Roman"/>
      <w:kern w:val="0"/>
      <w:szCs w:val="21"/>
    </w:rPr>
  </w:style>
  <w:style w:type="paragraph" w:customStyle="1" w:styleId="321">
    <w:name w:val="font18"/>
    <w:basedOn w:val="1"/>
    <w:qFormat/>
    <w:uiPriority w:val="0"/>
    <w:pPr>
      <w:widowControl/>
      <w:spacing w:before="100" w:beforeAutospacing="1" w:after="100" w:afterAutospacing="1"/>
      <w:jc w:val="left"/>
    </w:pPr>
    <w:rPr>
      <w:rFonts w:ascii="Times New Roman" w:hAnsi="Times New Roman" w:eastAsia="宋体" w:cs="Times New Roman"/>
      <w:kern w:val="0"/>
      <w:szCs w:val="21"/>
    </w:rPr>
  </w:style>
  <w:style w:type="paragraph" w:customStyle="1" w:styleId="322">
    <w:name w:val="font19"/>
    <w:basedOn w:val="1"/>
    <w:qFormat/>
    <w:uiPriority w:val="0"/>
    <w:pPr>
      <w:widowControl/>
      <w:spacing w:before="100" w:beforeAutospacing="1" w:after="100" w:afterAutospacing="1"/>
      <w:jc w:val="left"/>
    </w:pPr>
    <w:rPr>
      <w:rFonts w:ascii="宋体" w:hAnsi="宋体" w:eastAsia="宋体" w:cs="宋体"/>
      <w:kern w:val="0"/>
      <w:szCs w:val="21"/>
    </w:rPr>
  </w:style>
  <w:style w:type="paragraph" w:customStyle="1" w:styleId="323">
    <w:name w:val="font20"/>
    <w:basedOn w:val="1"/>
    <w:qFormat/>
    <w:uiPriority w:val="0"/>
    <w:pPr>
      <w:widowControl/>
      <w:spacing w:before="100" w:beforeAutospacing="1" w:after="100" w:afterAutospacing="1"/>
      <w:jc w:val="left"/>
    </w:pPr>
    <w:rPr>
      <w:rFonts w:ascii="Times New Roman" w:hAnsi="Times New Roman" w:eastAsia="宋体" w:cs="Times New Roman"/>
      <w:color w:val="FF0000"/>
      <w:kern w:val="0"/>
      <w:szCs w:val="21"/>
    </w:rPr>
  </w:style>
  <w:style w:type="paragraph" w:customStyle="1" w:styleId="324">
    <w:name w:val="xl65"/>
    <w:basedOn w:val="1"/>
    <w:qFormat/>
    <w:uiPriority w:val="0"/>
    <w:pPr>
      <w:widowControl/>
      <w:pBdr>
        <w:left w:val="single" w:color="000000" w:sz="12" w:space="0"/>
        <w:right w:val="single" w:color="000000" w:sz="8" w:space="0"/>
      </w:pBdr>
      <w:spacing w:before="100" w:beforeAutospacing="1" w:after="100" w:afterAutospacing="1"/>
      <w:jc w:val="center"/>
      <w:textAlignment w:val="center"/>
    </w:pPr>
    <w:rPr>
      <w:rFonts w:ascii="宋体" w:hAnsi="宋体" w:eastAsia="宋体" w:cs="宋体"/>
      <w:color w:val="000000"/>
      <w:kern w:val="0"/>
      <w:sz w:val="24"/>
      <w:szCs w:val="24"/>
    </w:rPr>
  </w:style>
  <w:style w:type="paragraph" w:customStyle="1" w:styleId="325">
    <w:name w:val="xl66"/>
    <w:basedOn w:val="1"/>
    <w:qFormat/>
    <w:uiPriority w:val="0"/>
    <w:pPr>
      <w:widowControl/>
      <w:pBdr>
        <w:bottom w:val="single" w:color="000000" w:sz="8" w:space="0"/>
        <w:right w:val="single" w:color="000000" w:sz="8" w:space="0"/>
      </w:pBdr>
      <w:spacing w:before="100" w:beforeAutospacing="1" w:after="100" w:afterAutospacing="1"/>
      <w:jc w:val="center"/>
      <w:textAlignment w:val="center"/>
    </w:pPr>
    <w:rPr>
      <w:rFonts w:ascii="Times New Roman" w:hAnsi="Times New Roman" w:eastAsia="宋体" w:cs="Times New Roman"/>
      <w:color w:val="000000"/>
      <w:kern w:val="0"/>
      <w:sz w:val="24"/>
      <w:szCs w:val="24"/>
    </w:rPr>
  </w:style>
  <w:style w:type="paragraph" w:customStyle="1" w:styleId="326">
    <w:name w:val="xl67"/>
    <w:basedOn w:val="1"/>
    <w:qFormat/>
    <w:uiPriority w:val="0"/>
    <w:pPr>
      <w:widowControl/>
      <w:pBdr>
        <w:bottom w:val="single" w:color="000000" w:sz="8" w:space="0"/>
        <w:right w:val="single" w:color="000000" w:sz="8" w:space="0"/>
      </w:pBdr>
      <w:spacing w:before="100" w:beforeAutospacing="1" w:after="100" w:afterAutospacing="1"/>
      <w:jc w:val="center"/>
      <w:textAlignment w:val="center"/>
    </w:pPr>
    <w:rPr>
      <w:rFonts w:ascii="Times New Roman" w:hAnsi="Times New Roman" w:eastAsia="宋体" w:cs="Times New Roman"/>
      <w:color w:val="FF0000"/>
      <w:kern w:val="0"/>
      <w:szCs w:val="21"/>
    </w:rPr>
  </w:style>
  <w:style w:type="paragraph" w:customStyle="1" w:styleId="327">
    <w:name w:val="xl68"/>
    <w:basedOn w:val="1"/>
    <w:qFormat/>
    <w:uiPriority w:val="0"/>
    <w:pPr>
      <w:widowControl/>
      <w:pBdr>
        <w:bottom w:val="single" w:color="000000" w:sz="8" w:space="0"/>
        <w:right w:val="single" w:color="000000" w:sz="8" w:space="0"/>
      </w:pBdr>
      <w:spacing w:before="100" w:beforeAutospacing="1" w:after="100" w:afterAutospacing="1"/>
      <w:jc w:val="center"/>
      <w:textAlignment w:val="center"/>
    </w:pPr>
    <w:rPr>
      <w:rFonts w:ascii="Times New Roman" w:hAnsi="Times New Roman" w:eastAsia="宋体" w:cs="Times New Roman"/>
      <w:color w:val="000000"/>
      <w:kern w:val="0"/>
      <w:szCs w:val="21"/>
    </w:rPr>
  </w:style>
  <w:style w:type="paragraph" w:customStyle="1" w:styleId="328">
    <w:name w:val="xl69"/>
    <w:basedOn w:val="1"/>
    <w:qFormat/>
    <w:uiPriority w:val="0"/>
    <w:pPr>
      <w:widowControl/>
      <w:pBdr>
        <w:bottom w:val="single" w:color="000000" w:sz="8" w:space="0"/>
        <w:right w:val="single" w:color="000000" w:sz="8" w:space="0"/>
      </w:pBdr>
      <w:spacing w:before="100" w:beforeAutospacing="1" w:after="100" w:afterAutospacing="1"/>
      <w:jc w:val="center"/>
      <w:textAlignment w:val="top"/>
    </w:pPr>
    <w:rPr>
      <w:rFonts w:ascii="Times New Roman" w:hAnsi="Times New Roman" w:eastAsia="宋体" w:cs="Times New Roman"/>
      <w:color w:val="000000"/>
      <w:kern w:val="0"/>
      <w:szCs w:val="21"/>
    </w:rPr>
  </w:style>
  <w:style w:type="paragraph" w:customStyle="1" w:styleId="329">
    <w:name w:val="xl70"/>
    <w:basedOn w:val="1"/>
    <w:qFormat/>
    <w:uiPriority w:val="0"/>
    <w:pPr>
      <w:widowControl/>
      <w:pBdr>
        <w:top w:val="single" w:color="000000" w:sz="12" w:space="0"/>
        <w:right w:val="single" w:color="000000" w:sz="8" w:space="0"/>
      </w:pBdr>
      <w:spacing w:before="100" w:beforeAutospacing="1" w:after="100" w:afterAutospacing="1"/>
      <w:jc w:val="center"/>
      <w:textAlignment w:val="center"/>
    </w:pPr>
    <w:rPr>
      <w:rFonts w:ascii="宋体" w:hAnsi="宋体" w:eastAsia="宋体" w:cs="宋体"/>
      <w:color w:val="000000"/>
      <w:kern w:val="0"/>
      <w:sz w:val="24"/>
      <w:szCs w:val="24"/>
    </w:rPr>
  </w:style>
  <w:style w:type="paragraph" w:customStyle="1" w:styleId="330">
    <w:name w:val="xl71"/>
    <w:basedOn w:val="1"/>
    <w:qFormat/>
    <w:uiPriority w:val="0"/>
    <w:pPr>
      <w:widowControl/>
      <w:pBdr>
        <w:right w:val="single" w:color="000000" w:sz="8" w:space="0"/>
      </w:pBdr>
      <w:spacing w:before="100" w:beforeAutospacing="1" w:after="100" w:afterAutospacing="1"/>
      <w:jc w:val="center"/>
      <w:textAlignment w:val="center"/>
    </w:pPr>
    <w:rPr>
      <w:rFonts w:ascii="宋体" w:hAnsi="宋体" w:eastAsia="宋体" w:cs="宋体"/>
      <w:color w:val="000000"/>
      <w:kern w:val="0"/>
      <w:sz w:val="24"/>
      <w:szCs w:val="24"/>
    </w:rPr>
  </w:style>
  <w:style w:type="paragraph" w:customStyle="1" w:styleId="331">
    <w:name w:val="xl72"/>
    <w:basedOn w:val="1"/>
    <w:qFormat/>
    <w:uiPriority w:val="0"/>
    <w:pPr>
      <w:widowControl/>
      <w:pBdr>
        <w:bottom w:val="single" w:color="000000" w:sz="8" w:space="0"/>
        <w:right w:val="single" w:color="000000" w:sz="8" w:space="0"/>
      </w:pBdr>
      <w:spacing w:before="100" w:beforeAutospacing="1" w:after="100" w:afterAutospacing="1"/>
      <w:jc w:val="left"/>
      <w:textAlignment w:val="center"/>
    </w:pPr>
    <w:rPr>
      <w:rFonts w:ascii="宋体" w:hAnsi="宋体" w:eastAsia="宋体" w:cs="宋体"/>
      <w:kern w:val="0"/>
      <w:sz w:val="24"/>
      <w:szCs w:val="24"/>
    </w:rPr>
  </w:style>
  <w:style w:type="paragraph" w:customStyle="1" w:styleId="332">
    <w:name w:val="xl73"/>
    <w:basedOn w:val="1"/>
    <w:qFormat/>
    <w:uiPriority w:val="0"/>
    <w:pPr>
      <w:widowControl/>
      <w:pBdr>
        <w:bottom w:val="single" w:color="000000" w:sz="8" w:space="0"/>
        <w:right w:val="single" w:color="000000" w:sz="8" w:space="0"/>
      </w:pBdr>
      <w:spacing w:before="100" w:beforeAutospacing="1" w:after="100" w:afterAutospacing="1"/>
      <w:jc w:val="center"/>
      <w:textAlignment w:val="center"/>
    </w:pPr>
    <w:rPr>
      <w:rFonts w:ascii="Times New Roman" w:hAnsi="Times New Roman" w:eastAsia="宋体" w:cs="Times New Roman"/>
      <w:color w:val="000000"/>
      <w:kern w:val="0"/>
      <w:szCs w:val="21"/>
    </w:rPr>
  </w:style>
  <w:style w:type="paragraph" w:customStyle="1" w:styleId="333">
    <w:name w:val="xl74"/>
    <w:basedOn w:val="1"/>
    <w:qFormat/>
    <w:uiPriority w:val="0"/>
    <w:pPr>
      <w:widowControl/>
      <w:pBdr>
        <w:bottom w:val="single" w:color="000000" w:sz="8" w:space="0"/>
        <w:right w:val="single" w:color="000000" w:sz="8" w:space="0"/>
      </w:pBdr>
      <w:spacing w:before="100" w:beforeAutospacing="1" w:after="100" w:afterAutospacing="1"/>
      <w:jc w:val="center"/>
      <w:textAlignment w:val="center"/>
    </w:pPr>
    <w:rPr>
      <w:rFonts w:ascii="Times New Roman" w:hAnsi="Times New Roman" w:eastAsia="宋体" w:cs="Times New Roman"/>
      <w:color w:val="000000"/>
      <w:kern w:val="0"/>
      <w:szCs w:val="21"/>
    </w:rPr>
  </w:style>
  <w:style w:type="paragraph" w:customStyle="1" w:styleId="334">
    <w:name w:val="xl75"/>
    <w:basedOn w:val="1"/>
    <w:qFormat/>
    <w:uiPriority w:val="0"/>
    <w:pPr>
      <w:widowControl/>
      <w:pBdr>
        <w:bottom w:val="single" w:color="000000" w:sz="8" w:space="0"/>
        <w:right w:val="single" w:color="000000" w:sz="8" w:space="0"/>
      </w:pBdr>
      <w:spacing w:before="100" w:beforeAutospacing="1" w:after="100" w:afterAutospacing="1"/>
      <w:jc w:val="center"/>
      <w:textAlignment w:val="center"/>
    </w:pPr>
    <w:rPr>
      <w:rFonts w:ascii="Times New Roman" w:hAnsi="Times New Roman" w:eastAsia="宋体" w:cs="Times New Roman"/>
      <w:color w:val="000000"/>
      <w:kern w:val="0"/>
      <w:szCs w:val="21"/>
    </w:rPr>
  </w:style>
  <w:style w:type="paragraph" w:customStyle="1" w:styleId="335">
    <w:name w:val="xl76"/>
    <w:basedOn w:val="1"/>
    <w:qFormat/>
    <w:uiPriority w:val="0"/>
    <w:pPr>
      <w:widowControl/>
      <w:pBdr>
        <w:top w:val="single" w:color="000000" w:sz="8" w:space="0"/>
        <w:left w:val="single" w:color="000000" w:sz="8" w:space="0"/>
        <w:right w:val="single" w:color="000000" w:sz="8" w:space="0"/>
      </w:pBdr>
      <w:spacing w:before="100" w:beforeAutospacing="1" w:after="100" w:afterAutospacing="1"/>
      <w:jc w:val="center"/>
      <w:textAlignment w:val="center"/>
    </w:pPr>
    <w:rPr>
      <w:rFonts w:ascii="Times New Roman" w:hAnsi="Times New Roman" w:eastAsia="宋体" w:cs="Times New Roman"/>
      <w:color w:val="000000"/>
      <w:kern w:val="0"/>
      <w:szCs w:val="21"/>
    </w:rPr>
  </w:style>
  <w:style w:type="paragraph" w:customStyle="1" w:styleId="336">
    <w:name w:val="xl77"/>
    <w:basedOn w:val="1"/>
    <w:qFormat/>
    <w:uiPriority w:val="0"/>
    <w:pPr>
      <w:widowControl/>
      <w:pBdr>
        <w:bottom w:val="single" w:color="000000" w:sz="8" w:space="0"/>
        <w:right w:val="single" w:color="000000" w:sz="8" w:space="0"/>
      </w:pBdr>
      <w:spacing w:before="100" w:beforeAutospacing="1" w:after="100" w:afterAutospacing="1"/>
      <w:jc w:val="center"/>
      <w:textAlignment w:val="center"/>
    </w:pPr>
    <w:rPr>
      <w:rFonts w:ascii="Times New Roman" w:hAnsi="Times New Roman" w:eastAsia="宋体" w:cs="Times New Roman"/>
      <w:color w:val="000000"/>
      <w:kern w:val="0"/>
      <w:szCs w:val="21"/>
    </w:rPr>
  </w:style>
  <w:style w:type="paragraph" w:customStyle="1" w:styleId="337">
    <w:name w:val="xl78"/>
    <w:basedOn w:val="1"/>
    <w:qFormat/>
    <w:uiPriority w:val="0"/>
    <w:pPr>
      <w:widowControl/>
      <w:pBdr>
        <w:bottom w:val="single" w:color="000000" w:sz="8" w:space="0"/>
        <w:right w:val="single" w:color="000000" w:sz="8" w:space="0"/>
      </w:pBdr>
      <w:spacing w:before="100" w:beforeAutospacing="1" w:after="100" w:afterAutospacing="1"/>
      <w:jc w:val="center"/>
      <w:textAlignment w:val="center"/>
    </w:pPr>
    <w:rPr>
      <w:rFonts w:ascii="宋体" w:hAnsi="宋体" w:eastAsia="宋体" w:cs="宋体"/>
      <w:color w:val="000000"/>
      <w:kern w:val="0"/>
      <w:sz w:val="24"/>
      <w:szCs w:val="24"/>
    </w:rPr>
  </w:style>
  <w:style w:type="paragraph" w:customStyle="1" w:styleId="338">
    <w:name w:val="xl79"/>
    <w:basedOn w:val="1"/>
    <w:qFormat/>
    <w:uiPriority w:val="0"/>
    <w:pPr>
      <w:widowControl/>
      <w:pBdr>
        <w:bottom w:val="single" w:color="000000" w:sz="8" w:space="0"/>
        <w:right w:val="single" w:color="000000" w:sz="12" w:space="0"/>
      </w:pBdr>
      <w:spacing w:before="100" w:beforeAutospacing="1" w:after="100" w:afterAutospacing="1"/>
      <w:jc w:val="center"/>
      <w:textAlignment w:val="center"/>
    </w:pPr>
    <w:rPr>
      <w:rFonts w:ascii="Times New Roman" w:hAnsi="Times New Roman" w:eastAsia="宋体" w:cs="Times New Roman"/>
      <w:color w:val="000000"/>
      <w:kern w:val="0"/>
      <w:sz w:val="24"/>
      <w:szCs w:val="24"/>
    </w:rPr>
  </w:style>
  <w:style w:type="paragraph" w:customStyle="1" w:styleId="339">
    <w:name w:val="xl80"/>
    <w:basedOn w:val="1"/>
    <w:qFormat/>
    <w:uiPriority w:val="0"/>
    <w:pPr>
      <w:widowControl/>
      <w:pBdr>
        <w:bottom w:val="single" w:color="000000" w:sz="8" w:space="0"/>
        <w:right w:val="single" w:color="000000" w:sz="8" w:space="0"/>
      </w:pBdr>
      <w:spacing w:before="100" w:beforeAutospacing="1" w:after="100" w:afterAutospacing="1"/>
      <w:jc w:val="center"/>
      <w:textAlignment w:val="center"/>
    </w:pPr>
    <w:rPr>
      <w:rFonts w:ascii="Calibri" w:hAnsi="Calibri" w:eastAsia="宋体" w:cs="Calibri"/>
      <w:color w:val="000000"/>
      <w:kern w:val="0"/>
      <w:sz w:val="24"/>
      <w:szCs w:val="24"/>
    </w:rPr>
  </w:style>
  <w:style w:type="paragraph" w:customStyle="1" w:styleId="340">
    <w:name w:val="xl81"/>
    <w:basedOn w:val="1"/>
    <w:qFormat/>
    <w:uiPriority w:val="0"/>
    <w:pPr>
      <w:widowControl/>
      <w:pBdr>
        <w:bottom w:val="single" w:color="000000" w:sz="8" w:space="0"/>
        <w:right w:val="single" w:color="000000" w:sz="8" w:space="0"/>
      </w:pBdr>
      <w:spacing w:before="100" w:beforeAutospacing="1" w:after="100" w:afterAutospacing="1"/>
      <w:textAlignment w:val="center"/>
    </w:pPr>
    <w:rPr>
      <w:rFonts w:ascii="Times New Roman" w:hAnsi="Times New Roman" w:eastAsia="宋体" w:cs="Times New Roman"/>
      <w:color w:val="000000"/>
      <w:kern w:val="0"/>
      <w:sz w:val="24"/>
      <w:szCs w:val="24"/>
    </w:rPr>
  </w:style>
  <w:style w:type="paragraph" w:customStyle="1" w:styleId="341">
    <w:name w:val="xl82"/>
    <w:basedOn w:val="1"/>
    <w:qFormat/>
    <w:uiPriority w:val="0"/>
    <w:pPr>
      <w:widowControl/>
      <w:pBdr>
        <w:bottom w:val="single" w:color="000000" w:sz="8" w:space="0"/>
        <w:right w:val="single" w:color="000000" w:sz="8" w:space="0"/>
      </w:pBdr>
      <w:spacing w:before="100" w:beforeAutospacing="1" w:after="100" w:afterAutospacing="1"/>
      <w:jc w:val="center"/>
      <w:textAlignment w:val="top"/>
    </w:pPr>
    <w:rPr>
      <w:rFonts w:ascii="Times New Roman" w:hAnsi="Times New Roman" w:eastAsia="宋体" w:cs="Times New Roman"/>
      <w:color w:val="000000"/>
      <w:kern w:val="0"/>
      <w:szCs w:val="21"/>
    </w:rPr>
  </w:style>
  <w:style w:type="paragraph" w:customStyle="1" w:styleId="342">
    <w:name w:val="xl83"/>
    <w:basedOn w:val="1"/>
    <w:qFormat/>
    <w:uiPriority w:val="0"/>
    <w:pPr>
      <w:widowControl/>
      <w:pBdr>
        <w:bottom w:val="single" w:color="000000" w:sz="8" w:space="0"/>
        <w:right w:val="single" w:color="000000" w:sz="8" w:space="0"/>
      </w:pBdr>
      <w:spacing w:before="100" w:beforeAutospacing="1" w:after="100" w:afterAutospacing="1"/>
      <w:jc w:val="center"/>
      <w:textAlignment w:val="center"/>
    </w:pPr>
    <w:rPr>
      <w:rFonts w:ascii="Times New Roman" w:hAnsi="Times New Roman" w:eastAsia="宋体" w:cs="Times New Roman"/>
      <w:color w:val="000000"/>
      <w:kern w:val="0"/>
      <w:sz w:val="24"/>
      <w:szCs w:val="24"/>
    </w:rPr>
  </w:style>
  <w:style w:type="paragraph" w:customStyle="1" w:styleId="343">
    <w:name w:val="xl84"/>
    <w:basedOn w:val="1"/>
    <w:qFormat/>
    <w:uiPriority w:val="0"/>
    <w:pPr>
      <w:widowControl/>
      <w:pBdr>
        <w:bottom w:val="single" w:color="000000" w:sz="8" w:space="0"/>
        <w:right w:val="single" w:color="000000" w:sz="8" w:space="0"/>
      </w:pBdr>
      <w:spacing w:before="100" w:beforeAutospacing="1" w:after="100" w:afterAutospacing="1"/>
      <w:jc w:val="center"/>
      <w:textAlignment w:val="center"/>
    </w:pPr>
    <w:rPr>
      <w:rFonts w:ascii="Times New Roman" w:hAnsi="Times New Roman" w:eastAsia="宋体" w:cs="Times New Roman"/>
      <w:color w:val="000000"/>
      <w:kern w:val="0"/>
      <w:sz w:val="24"/>
      <w:szCs w:val="24"/>
    </w:rPr>
  </w:style>
  <w:style w:type="paragraph" w:customStyle="1" w:styleId="344">
    <w:name w:val="xl85"/>
    <w:basedOn w:val="1"/>
    <w:qFormat/>
    <w:uiPriority w:val="0"/>
    <w:pPr>
      <w:widowControl/>
      <w:pBdr>
        <w:bottom w:val="single" w:color="000000" w:sz="8" w:space="0"/>
        <w:right w:val="single" w:color="000000" w:sz="8" w:space="0"/>
      </w:pBdr>
      <w:spacing w:before="100" w:beforeAutospacing="1" w:after="100" w:afterAutospacing="1"/>
      <w:textAlignment w:val="center"/>
    </w:pPr>
    <w:rPr>
      <w:rFonts w:ascii="宋体" w:hAnsi="宋体" w:eastAsia="宋体" w:cs="宋体"/>
      <w:color w:val="000000"/>
      <w:kern w:val="0"/>
      <w:sz w:val="24"/>
      <w:szCs w:val="24"/>
    </w:rPr>
  </w:style>
  <w:style w:type="paragraph" w:customStyle="1" w:styleId="345">
    <w:name w:val="xl86"/>
    <w:basedOn w:val="1"/>
    <w:qFormat/>
    <w:uiPriority w:val="0"/>
    <w:pPr>
      <w:widowControl/>
      <w:pBdr>
        <w:top w:val="single" w:color="000000" w:sz="12" w:space="0"/>
        <w:left w:val="single" w:color="000000" w:sz="8" w:space="0"/>
        <w:bottom w:val="single" w:color="000000" w:sz="8" w:space="0"/>
      </w:pBdr>
      <w:spacing w:before="100" w:beforeAutospacing="1" w:after="100" w:afterAutospacing="1"/>
      <w:jc w:val="center"/>
      <w:textAlignment w:val="center"/>
    </w:pPr>
    <w:rPr>
      <w:rFonts w:ascii="宋体" w:hAnsi="宋体" w:eastAsia="宋体" w:cs="宋体"/>
      <w:color w:val="000000"/>
      <w:kern w:val="0"/>
      <w:sz w:val="24"/>
      <w:szCs w:val="24"/>
    </w:rPr>
  </w:style>
  <w:style w:type="paragraph" w:customStyle="1" w:styleId="346">
    <w:name w:val="xl87"/>
    <w:basedOn w:val="1"/>
    <w:qFormat/>
    <w:uiPriority w:val="0"/>
    <w:pPr>
      <w:widowControl/>
      <w:pBdr>
        <w:top w:val="single" w:color="000000" w:sz="12" w:space="0"/>
        <w:bottom w:val="single" w:color="000000" w:sz="8" w:space="0"/>
      </w:pBdr>
      <w:spacing w:before="100" w:beforeAutospacing="1" w:after="100" w:afterAutospacing="1"/>
      <w:jc w:val="center"/>
      <w:textAlignment w:val="center"/>
    </w:pPr>
    <w:rPr>
      <w:rFonts w:ascii="宋体" w:hAnsi="宋体" w:eastAsia="宋体" w:cs="宋体"/>
      <w:color w:val="000000"/>
      <w:kern w:val="0"/>
      <w:sz w:val="24"/>
      <w:szCs w:val="24"/>
    </w:rPr>
  </w:style>
  <w:style w:type="paragraph" w:customStyle="1" w:styleId="347">
    <w:name w:val="xl88"/>
    <w:basedOn w:val="1"/>
    <w:qFormat/>
    <w:uiPriority w:val="0"/>
    <w:pPr>
      <w:widowControl/>
      <w:pBdr>
        <w:top w:val="single" w:color="000000" w:sz="12" w:space="0"/>
        <w:bottom w:val="single" w:color="000000" w:sz="8" w:space="0"/>
        <w:right w:val="single" w:color="000000" w:sz="8" w:space="0"/>
      </w:pBdr>
      <w:spacing w:before="100" w:beforeAutospacing="1" w:after="100" w:afterAutospacing="1"/>
      <w:jc w:val="center"/>
      <w:textAlignment w:val="center"/>
    </w:pPr>
    <w:rPr>
      <w:rFonts w:ascii="宋体" w:hAnsi="宋体" w:eastAsia="宋体" w:cs="宋体"/>
      <w:color w:val="000000"/>
      <w:kern w:val="0"/>
      <w:sz w:val="24"/>
      <w:szCs w:val="24"/>
    </w:rPr>
  </w:style>
  <w:style w:type="paragraph" w:customStyle="1" w:styleId="348">
    <w:name w:val="xl89"/>
    <w:basedOn w:val="1"/>
    <w:qFormat/>
    <w:uiPriority w:val="0"/>
    <w:pPr>
      <w:widowControl/>
      <w:pBdr>
        <w:top w:val="single" w:color="000000" w:sz="12" w:space="0"/>
        <w:left w:val="single" w:color="000000" w:sz="12" w:space="0"/>
        <w:right w:val="single" w:color="000000" w:sz="8" w:space="0"/>
      </w:pBdr>
      <w:spacing w:before="100" w:beforeAutospacing="1" w:after="100" w:afterAutospacing="1"/>
      <w:jc w:val="center"/>
      <w:textAlignment w:val="center"/>
    </w:pPr>
    <w:rPr>
      <w:rFonts w:ascii="宋体" w:hAnsi="宋体" w:eastAsia="宋体" w:cs="宋体"/>
      <w:color w:val="000000"/>
      <w:kern w:val="0"/>
      <w:sz w:val="24"/>
      <w:szCs w:val="24"/>
    </w:rPr>
  </w:style>
  <w:style w:type="paragraph" w:customStyle="1" w:styleId="349">
    <w:name w:val="xl90"/>
    <w:basedOn w:val="1"/>
    <w:qFormat/>
    <w:uiPriority w:val="0"/>
    <w:pPr>
      <w:widowControl/>
      <w:pBdr>
        <w:left w:val="single" w:color="000000" w:sz="12" w:space="0"/>
        <w:bottom w:val="single" w:color="000000" w:sz="8" w:space="0"/>
        <w:right w:val="single" w:color="000000" w:sz="8" w:space="0"/>
      </w:pBdr>
      <w:spacing w:before="100" w:beforeAutospacing="1" w:after="100" w:afterAutospacing="1"/>
      <w:jc w:val="center"/>
      <w:textAlignment w:val="center"/>
    </w:pPr>
    <w:rPr>
      <w:rFonts w:ascii="宋体" w:hAnsi="宋体" w:eastAsia="宋体" w:cs="宋体"/>
      <w:color w:val="000000"/>
      <w:kern w:val="0"/>
      <w:sz w:val="24"/>
      <w:szCs w:val="24"/>
    </w:rPr>
  </w:style>
  <w:style w:type="paragraph" w:customStyle="1" w:styleId="350">
    <w:name w:val="xl91"/>
    <w:basedOn w:val="1"/>
    <w:qFormat/>
    <w:uiPriority w:val="0"/>
    <w:pPr>
      <w:widowControl/>
      <w:pBdr>
        <w:top w:val="single" w:color="000000" w:sz="8" w:space="0"/>
        <w:left w:val="single" w:color="000000" w:sz="12" w:space="0"/>
        <w:right w:val="single" w:color="000000" w:sz="8" w:space="0"/>
      </w:pBdr>
      <w:spacing w:before="100" w:beforeAutospacing="1" w:after="100" w:afterAutospacing="1"/>
      <w:jc w:val="center"/>
      <w:textAlignment w:val="center"/>
    </w:pPr>
    <w:rPr>
      <w:rFonts w:ascii="宋体" w:hAnsi="宋体" w:eastAsia="宋体" w:cs="宋体"/>
      <w:color w:val="000000"/>
      <w:kern w:val="0"/>
      <w:sz w:val="24"/>
      <w:szCs w:val="24"/>
    </w:rPr>
  </w:style>
  <w:style w:type="paragraph" w:customStyle="1" w:styleId="351">
    <w:name w:val="xl92"/>
    <w:basedOn w:val="1"/>
    <w:qFormat/>
    <w:uiPriority w:val="0"/>
    <w:pPr>
      <w:widowControl/>
      <w:pBdr>
        <w:top w:val="single" w:color="000000" w:sz="8" w:space="0"/>
        <w:left w:val="single" w:color="000000" w:sz="12" w:space="0"/>
        <w:right w:val="single" w:color="000000" w:sz="8" w:space="0"/>
      </w:pBdr>
      <w:spacing w:before="100" w:beforeAutospacing="1" w:after="100" w:afterAutospacing="1"/>
      <w:jc w:val="center"/>
      <w:textAlignment w:val="center"/>
    </w:pPr>
    <w:rPr>
      <w:rFonts w:ascii="Times New Roman" w:hAnsi="Times New Roman" w:eastAsia="宋体" w:cs="Times New Roman"/>
      <w:color w:val="000000"/>
      <w:kern w:val="0"/>
      <w:sz w:val="24"/>
      <w:szCs w:val="24"/>
    </w:rPr>
  </w:style>
  <w:style w:type="paragraph" w:customStyle="1" w:styleId="352">
    <w:name w:val="xl93"/>
    <w:basedOn w:val="1"/>
    <w:qFormat/>
    <w:uiPriority w:val="0"/>
    <w:pPr>
      <w:widowControl/>
      <w:pBdr>
        <w:left w:val="single" w:color="000000" w:sz="12" w:space="0"/>
        <w:right w:val="single" w:color="000000" w:sz="8" w:space="0"/>
      </w:pBdr>
      <w:spacing w:before="100" w:beforeAutospacing="1" w:after="100" w:afterAutospacing="1"/>
      <w:jc w:val="center"/>
      <w:textAlignment w:val="center"/>
    </w:pPr>
    <w:rPr>
      <w:rFonts w:ascii="Times New Roman" w:hAnsi="Times New Roman" w:eastAsia="宋体" w:cs="Times New Roman"/>
      <w:color w:val="000000"/>
      <w:kern w:val="0"/>
      <w:sz w:val="24"/>
      <w:szCs w:val="24"/>
    </w:rPr>
  </w:style>
  <w:style w:type="paragraph" w:customStyle="1" w:styleId="353">
    <w:name w:val="xl94"/>
    <w:basedOn w:val="1"/>
    <w:qFormat/>
    <w:uiPriority w:val="0"/>
    <w:pPr>
      <w:widowControl/>
      <w:pBdr>
        <w:left w:val="single" w:color="000000" w:sz="12" w:space="0"/>
        <w:bottom w:val="single" w:color="000000" w:sz="8" w:space="0"/>
        <w:right w:val="single" w:color="000000" w:sz="8" w:space="0"/>
      </w:pBdr>
      <w:spacing w:before="100" w:beforeAutospacing="1" w:after="100" w:afterAutospacing="1"/>
      <w:jc w:val="center"/>
      <w:textAlignment w:val="center"/>
    </w:pPr>
    <w:rPr>
      <w:rFonts w:ascii="Times New Roman" w:hAnsi="Times New Roman" w:eastAsia="宋体" w:cs="Times New Roman"/>
      <w:color w:val="000000"/>
      <w:kern w:val="0"/>
      <w:sz w:val="24"/>
      <w:szCs w:val="24"/>
    </w:rPr>
  </w:style>
  <w:style w:type="paragraph" w:customStyle="1" w:styleId="354">
    <w:name w:val="xl95"/>
    <w:basedOn w:val="1"/>
    <w:qFormat/>
    <w:uiPriority w:val="0"/>
    <w:pPr>
      <w:widowControl/>
      <w:pBdr>
        <w:top w:val="single" w:color="000000" w:sz="8" w:space="0"/>
        <w:left w:val="single" w:color="000000" w:sz="12" w:space="0"/>
        <w:right w:val="single" w:color="000000" w:sz="8" w:space="0"/>
      </w:pBdr>
      <w:spacing w:before="100" w:beforeAutospacing="1" w:after="100" w:afterAutospacing="1"/>
      <w:jc w:val="center"/>
      <w:textAlignment w:val="center"/>
    </w:pPr>
    <w:rPr>
      <w:rFonts w:ascii="Times New Roman" w:hAnsi="Times New Roman" w:eastAsia="宋体" w:cs="Times New Roman"/>
      <w:color w:val="000000"/>
      <w:kern w:val="0"/>
      <w:szCs w:val="21"/>
    </w:rPr>
  </w:style>
  <w:style w:type="paragraph" w:customStyle="1" w:styleId="355">
    <w:name w:val="xl96"/>
    <w:basedOn w:val="1"/>
    <w:qFormat/>
    <w:uiPriority w:val="0"/>
    <w:pPr>
      <w:widowControl/>
      <w:pBdr>
        <w:left w:val="single" w:color="000000" w:sz="12" w:space="0"/>
        <w:right w:val="single" w:color="000000" w:sz="8" w:space="0"/>
      </w:pBdr>
      <w:spacing w:before="100" w:beforeAutospacing="1" w:after="100" w:afterAutospacing="1"/>
      <w:jc w:val="center"/>
      <w:textAlignment w:val="center"/>
    </w:pPr>
    <w:rPr>
      <w:rFonts w:ascii="Times New Roman" w:hAnsi="Times New Roman" w:eastAsia="宋体" w:cs="Times New Roman"/>
      <w:color w:val="000000"/>
      <w:kern w:val="0"/>
      <w:szCs w:val="21"/>
    </w:rPr>
  </w:style>
  <w:style w:type="paragraph" w:customStyle="1" w:styleId="356">
    <w:name w:val="xl97"/>
    <w:basedOn w:val="1"/>
    <w:qFormat/>
    <w:uiPriority w:val="0"/>
    <w:pPr>
      <w:widowControl/>
      <w:pBdr>
        <w:left w:val="single" w:color="000000" w:sz="12" w:space="0"/>
        <w:bottom w:val="single" w:color="000000" w:sz="8" w:space="0"/>
        <w:right w:val="single" w:color="000000" w:sz="8" w:space="0"/>
      </w:pBdr>
      <w:spacing w:before="100" w:beforeAutospacing="1" w:after="100" w:afterAutospacing="1"/>
      <w:jc w:val="center"/>
      <w:textAlignment w:val="center"/>
    </w:pPr>
    <w:rPr>
      <w:rFonts w:ascii="Times New Roman" w:hAnsi="Times New Roman" w:eastAsia="宋体" w:cs="Times New Roman"/>
      <w:color w:val="000000"/>
      <w:kern w:val="0"/>
      <w:szCs w:val="21"/>
    </w:rPr>
  </w:style>
  <w:style w:type="paragraph" w:customStyle="1" w:styleId="357">
    <w:name w:val="xl98"/>
    <w:basedOn w:val="1"/>
    <w:qFormat/>
    <w:uiPriority w:val="0"/>
    <w:pPr>
      <w:widowControl/>
      <w:pBdr>
        <w:top w:val="single" w:color="000000" w:sz="8" w:space="0"/>
        <w:left w:val="single" w:color="000000" w:sz="12" w:space="0"/>
        <w:right w:val="single" w:color="000000" w:sz="8" w:space="0"/>
      </w:pBdr>
      <w:spacing w:before="100" w:beforeAutospacing="1" w:after="100" w:afterAutospacing="1"/>
      <w:jc w:val="center"/>
      <w:textAlignment w:val="center"/>
    </w:pPr>
    <w:rPr>
      <w:rFonts w:ascii="宋体" w:hAnsi="宋体" w:eastAsia="宋体" w:cs="宋体"/>
      <w:color w:val="000000"/>
      <w:kern w:val="0"/>
      <w:szCs w:val="21"/>
    </w:rPr>
  </w:style>
  <w:style w:type="paragraph" w:customStyle="1" w:styleId="358">
    <w:name w:val="xl99"/>
    <w:basedOn w:val="1"/>
    <w:qFormat/>
    <w:uiPriority w:val="0"/>
    <w:pPr>
      <w:widowControl/>
      <w:pBdr>
        <w:left w:val="single" w:color="000000" w:sz="12" w:space="0"/>
        <w:right w:val="single" w:color="000000" w:sz="8" w:space="0"/>
      </w:pBdr>
      <w:spacing w:before="100" w:beforeAutospacing="1" w:after="100" w:afterAutospacing="1"/>
      <w:jc w:val="center"/>
      <w:textAlignment w:val="center"/>
    </w:pPr>
    <w:rPr>
      <w:rFonts w:ascii="宋体" w:hAnsi="宋体" w:eastAsia="宋体" w:cs="宋体"/>
      <w:color w:val="000000"/>
      <w:kern w:val="0"/>
      <w:szCs w:val="21"/>
    </w:rPr>
  </w:style>
  <w:style w:type="paragraph" w:customStyle="1" w:styleId="359">
    <w:name w:val="xl100"/>
    <w:basedOn w:val="1"/>
    <w:qFormat/>
    <w:uiPriority w:val="0"/>
    <w:pPr>
      <w:widowControl/>
      <w:pBdr>
        <w:left w:val="single" w:color="000000" w:sz="12" w:space="0"/>
        <w:bottom w:val="single" w:color="000000" w:sz="8" w:space="0"/>
        <w:right w:val="single" w:color="000000" w:sz="8" w:space="0"/>
      </w:pBdr>
      <w:spacing w:before="100" w:beforeAutospacing="1" w:after="100" w:afterAutospacing="1"/>
      <w:jc w:val="center"/>
      <w:textAlignment w:val="center"/>
    </w:pPr>
    <w:rPr>
      <w:rFonts w:ascii="宋体" w:hAnsi="宋体" w:eastAsia="宋体" w:cs="宋体"/>
      <w:color w:val="000000"/>
      <w:kern w:val="0"/>
      <w:szCs w:val="21"/>
    </w:rPr>
  </w:style>
  <w:style w:type="paragraph" w:customStyle="1" w:styleId="360">
    <w:name w:val="xl101"/>
    <w:basedOn w:val="1"/>
    <w:qFormat/>
    <w:uiPriority w:val="0"/>
    <w:pPr>
      <w:widowControl/>
      <w:pBdr>
        <w:top w:val="single" w:color="000000" w:sz="12" w:space="0"/>
        <w:left w:val="single" w:color="000000" w:sz="8" w:space="0"/>
        <w:right w:val="single" w:color="000000" w:sz="8" w:space="0"/>
      </w:pBdr>
      <w:spacing w:before="100" w:beforeAutospacing="1" w:after="100" w:afterAutospacing="1"/>
      <w:jc w:val="center"/>
      <w:textAlignment w:val="center"/>
    </w:pPr>
    <w:rPr>
      <w:rFonts w:ascii="宋体" w:hAnsi="宋体" w:eastAsia="宋体" w:cs="宋体"/>
      <w:color w:val="000000"/>
      <w:kern w:val="0"/>
      <w:sz w:val="24"/>
      <w:szCs w:val="24"/>
    </w:rPr>
  </w:style>
  <w:style w:type="paragraph" w:customStyle="1" w:styleId="361">
    <w:name w:val="xl102"/>
    <w:basedOn w:val="1"/>
    <w:qFormat/>
    <w:uiPriority w:val="0"/>
    <w:pPr>
      <w:widowControl/>
      <w:pBdr>
        <w:left w:val="single" w:color="000000" w:sz="8" w:space="0"/>
        <w:right w:val="single" w:color="000000" w:sz="8" w:space="0"/>
      </w:pBdr>
      <w:spacing w:before="100" w:beforeAutospacing="1" w:after="100" w:afterAutospacing="1"/>
      <w:jc w:val="center"/>
      <w:textAlignment w:val="center"/>
    </w:pPr>
    <w:rPr>
      <w:rFonts w:ascii="宋体" w:hAnsi="宋体" w:eastAsia="宋体" w:cs="宋体"/>
      <w:color w:val="000000"/>
      <w:kern w:val="0"/>
      <w:sz w:val="24"/>
      <w:szCs w:val="24"/>
    </w:rPr>
  </w:style>
  <w:style w:type="paragraph" w:customStyle="1" w:styleId="362">
    <w:name w:val="xl103"/>
    <w:basedOn w:val="1"/>
    <w:qFormat/>
    <w:uiPriority w:val="0"/>
    <w:pPr>
      <w:widowControl/>
      <w:pBdr>
        <w:left w:val="single" w:color="000000" w:sz="8" w:space="0"/>
        <w:bottom w:val="single" w:color="000000" w:sz="8" w:space="0"/>
        <w:right w:val="single" w:color="000000" w:sz="8" w:space="0"/>
      </w:pBdr>
      <w:spacing w:before="100" w:beforeAutospacing="1" w:after="100" w:afterAutospacing="1"/>
      <w:jc w:val="center"/>
      <w:textAlignment w:val="center"/>
    </w:pPr>
    <w:rPr>
      <w:rFonts w:ascii="宋体" w:hAnsi="宋体" w:eastAsia="宋体" w:cs="宋体"/>
      <w:color w:val="000000"/>
      <w:kern w:val="0"/>
      <w:sz w:val="24"/>
      <w:szCs w:val="24"/>
    </w:rPr>
  </w:style>
  <w:style w:type="paragraph" w:customStyle="1" w:styleId="363">
    <w:name w:val="xl104"/>
    <w:basedOn w:val="1"/>
    <w:qFormat/>
    <w:uiPriority w:val="0"/>
    <w:pPr>
      <w:widowControl/>
      <w:pBdr>
        <w:left w:val="single" w:color="000000" w:sz="8" w:space="0"/>
        <w:bottom w:val="single" w:color="000000" w:sz="8" w:space="0"/>
        <w:right w:val="single" w:color="000000" w:sz="8" w:space="0"/>
      </w:pBdr>
      <w:spacing w:before="100" w:beforeAutospacing="1" w:after="100" w:afterAutospacing="1"/>
      <w:jc w:val="center"/>
      <w:textAlignment w:val="center"/>
    </w:pPr>
    <w:rPr>
      <w:rFonts w:ascii="Times New Roman" w:hAnsi="Times New Roman" w:eastAsia="宋体" w:cs="Times New Roman"/>
      <w:color w:val="000000"/>
      <w:kern w:val="0"/>
      <w:szCs w:val="21"/>
    </w:rPr>
  </w:style>
  <w:style w:type="paragraph" w:customStyle="1" w:styleId="364">
    <w:name w:val="xl105"/>
    <w:basedOn w:val="1"/>
    <w:qFormat/>
    <w:uiPriority w:val="0"/>
    <w:pPr>
      <w:widowControl/>
      <w:pBdr>
        <w:top w:val="single" w:color="000000" w:sz="8" w:space="0"/>
        <w:left w:val="single" w:color="000000" w:sz="8" w:space="0"/>
        <w:right w:val="single" w:color="000000" w:sz="8" w:space="0"/>
      </w:pBdr>
      <w:spacing w:before="100" w:beforeAutospacing="1" w:after="100" w:afterAutospacing="1"/>
      <w:jc w:val="center"/>
      <w:textAlignment w:val="center"/>
    </w:pPr>
    <w:rPr>
      <w:rFonts w:ascii="宋体" w:hAnsi="宋体" w:eastAsia="宋体" w:cs="宋体"/>
      <w:color w:val="000000"/>
      <w:kern w:val="0"/>
      <w:sz w:val="24"/>
      <w:szCs w:val="24"/>
    </w:rPr>
  </w:style>
  <w:style w:type="paragraph" w:customStyle="1" w:styleId="365">
    <w:name w:val="xl106"/>
    <w:basedOn w:val="1"/>
    <w:qFormat/>
    <w:uiPriority w:val="0"/>
    <w:pPr>
      <w:widowControl/>
      <w:pBdr>
        <w:top w:val="single" w:color="000000" w:sz="8" w:space="0"/>
        <w:left w:val="single" w:color="000000" w:sz="8" w:space="0"/>
        <w:right w:val="single" w:color="000000" w:sz="8" w:space="0"/>
      </w:pBdr>
      <w:spacing w:before="100" w:beforeAutospacing="1" w:after="100" w:afterAutospacing="1"/>
      <w:jc w:val="center"/>
      <w:textAlignment w:val="center"/>
    </w:pPr>
    <w:rPr>
      <w:rFonts w:ascii="Times New Roman" w:hAnsi="Times New Roman" w:eastAsia="宋体" w:cs="Times New Roman"/>
      <w:color w:val="000000"/>
      <w:kern w:val="0"/>
      <w:sz w:val="24"/>
      <w:szCs w:val="24"/>
    </w:rPr>
  </w:style>
  <w:style w:type="paragraph" w:customStyle="1" w:styleId="366">
    <w:name w:val="xl107"/>
    <w:basedOn w:val="1"/>
    <w:qFormat/>
    <w:uiPriority w:val="0"/>
    <w:pPr>
      <w:widowControl/>
      <w:pBdr>
        <w:left w:val="single" w:color="000000" w:sz="8" w:space="0"/>
        <w:bottom w:val="single" w:color="000000" w:sz="8" w:space="0"/>
        <w:right w:val="single" w:color="000000" w:sz="8" w:space="0"/>
      </w:pBdr>
      <w:spacing w:before="100" w:beforeAutospacing="1" w:after="100" w:afterAutospacing="1"/>
      <w:jc w:val="center"/>
      <w:textAlignment w:val="center"/>
    </w:pPr>
    <w:rPr>
      <w:rFonts w:ascii="Times New Roman" w:hAnsi="Times New Roman" w:eastAsia="宋体" w:cs="Times New Roman"/>
      <w:color w:val="000000"/>
      <w:kern w:val="0"/>
      <w:sz w:val="24"/>
      <w:szCs w:val="24"/>
    </w:rPr>
  </w:style>
  <w:style w:type="paragraph" w:customStyle="1" w:styleId="367">
    <w:name w:val="xl108"/>
    <w:basedOn w:val="1"/>
    <w:qFormat/>
    <w:uiPriority w:val="0"/>
    <w:pPr>
      <w:widowControl/>
      <w:pBdr>
        <w:left w:val="single" w:color="000000" w:sz="8" w:space="0"/>
        <w:right w:val="single" w:color="000000" w:sz="8" w:space="0"/>
      </w:pBdr>
      <w:spacing w:before="100" w:beforeAutospacing="1" w:after="100" w:afterAutospacing="1"/>
      <w:jc w:val="center"/>
      <w:textAlignment w:val="center"/>
    </w:pPr>
    <w:rPr>
      <w:rFonts w:ascii="Times New Roman" w:hAnsi="Times New Roman" w:eastAsia="宋体" w:cs="Times New Roman"/>
      <w:color w:val="000000"/>
      <w:kern w:val="0"/>
      <w:sz w:val="24"/>
      <w:szCs w:val="24"/>
    </w:rPr>
  </w:style>
  <w:style w:type="paragraph" w:customStyle="1" w:styleId="368">
    <w:name w:val="xl109"/>
    <w:basedOn w:val="1"/>
    <w:qFormat/>
    <w:uiPriority w:val="0"/>
    <w:pPr>
      <w:widowControl/>
      <w:pBdr>
        <w:top w:val="single" w:color="000000" w:sz="8" w:space="0"/>
        <w:left w:val="single" w:color="000000" w:sz="8" w:space="0"/>
        <w:right w:val="single" w:color="000000" w:sz="8" w:space="0"/>
      </w:pBdr>
      <w:spacing w:before="100" w:beforeAutospacing="1" w:after="100" w:afterAutospacing="1"/>
      <w:textAlignment w:val="center"/>
    </w:pPr>
    <w:rPr>
      <w:rFonts w:ascii="Times New Roman" w:hAnsi="Times New Roman" w:eastAsia="宋体" w:cs="Times New Roman"/>
      <w:color w:val="000000"/>
      <w:kern w:val="0"/>
      <w:sz w:val="24"/>
      <w:szCs w:val="24"/>
    </w:rPr>
  </w:style>
  <w:style w:type="paragraph" w:customStyle="1" w:styleId="369">
    <w:name w:val="xl110"/>
    <w:basedOn w:val="1"/>
    <w:qFormat/>
    <w:uiPriority w:val="0"/>
    <w:pPr>
      <w:widowControl/>
      <w:pBdr>
        <w:left w:val="single" w:color="000000" w:sz="8" w:space="0"/>
        <w:right w:val="single" w:color="000000" w:sz="8" w:space="0"/>
      </w:pBdr>
      <w:spacing w:before="100" w:beforeAutospacing="1" w:after="100" w:afterAutospacing="1"/>
      <w:textAlignment w:val="center"/>
    </w:pPr>
    <w:rPr>
      <w:rFonts w:ascii="Times New Roman" w:hAnsi="Times New Roman" w:eastAsia="宋体" w:cs="Times New Roman"/>
      <w:color w:val="000000"/>
      <w:kern w:val="0"/>
      <w:sz w:val="24"/>
      <w:szCs w:val="24"/>
    </w:rPr>
  </w:style>
  <w:style w:type="paragraph" w:customStyle="1" w:styleId="370">
    <w:name w:val="xl111"/>
    <w:basedOn w:val="1"/>
    <w:qFormat/>
    <w:uiPriority w:val="0"/>
    <w:pPr>
      <w:widowControl/>
      <w:pBdr>
        <w:left w:val="single" w:color="000000" w:sz="8" w:space="0"/>
        <w:bottom w:val="single" w:color="000000" w:sz="8" w:space="0"/>
        <w:right w:val="single" w:color="000000" w:sz="8" w:space="0"/>
      </w:pBdr>
      <w:spacing w:before="100" w:beforeAutospacing="1" w:after="100" w:afterAutospacing="1"/>
      <w:textAlignment w:val="center"/>
    </w:pPr>
    <w:rPr>
      <w:rFonts w:ascii="Times New Roman" w:hAnsi="Times New Roman" w:eastAsia="宋体" w:cs="Times New Roman"/>
      <w:color w:val="000000"/>
      <w:kern w:val="0"/>
      <w:sz w:val="24"/>
      <w:szCs w:val="24"/>
    </w:rPr>
  </w:style>
  <w:style w:type="paragraph" w:customStyle="1" w:styleId="371">
    <w:name w:val="xl112"/>
    <w:basedOn w:val="1"/>
    <w:qFormat/>
    <w:uiPriority w:val="0"/>
    <w:pPr>
      <w:widowControl/>
      <w:pBdr>
        <w:top w:val="single" w:color="000000" w:sz="8" w:space="0"/>
        <w:left w:val="single" w:color="000000" w:sz="8" w:space="0"/>
        <w:right w:val="single" w:color="000000" w:sz="8" w:space="0"/>
      </w:pBdr>
      <w:spacing w:before="100" w:beforeAutospacing="1" w:after="100" w:afterAutospacing="1"/>
      <w:textAlignment w:val="center"/>
    </w:pPr>
    <w:rPr>
      <w:rFonts w:ascii="宋体" w:hAnsi="宋体" w:eastAsia="宋体" w:cs="宋体"/>
      <w:color w:val="000000"/>
      <w:kern w:val="0"/>
      <w:sz w:val="24"/>
      <w:szCs w:val="24"/>
    </w:rPr>
  </w:style>
  <w:style w:type="paragraph" w:customStyle="1" w:styleId="372">
    <w:name w:val="xl113"/>
    <w:basedOn w:val="1"/>
    <w:qFormat/>
    <w:uiPriority w:val="0"/>
    <w:pPr>
      <w:widowControl/>
      <w:pBdr>
        <w:left w:val="single" w:color="000000" w:sz="8" w:space="0"/>
        <w:right w:val="single" w:color="000000" w:sz="8" w:space="0"/>
      </w:pBdr>
      <w:spacing w:before="100" w:beforeAutospacing="1" w:after="100" w:afterAutospacing="1"/>
      <w:textAlignment w:val="center"/>
    </w:pPr>
    <w:rPr>
      <w:rFonts w:ascii="宋体" w:hAnsi="宋体" w:eastAsia="宋体" w:cs="宋体"/>
      <w:color w:val="000000"/>
      <w:kern w:val="0"/>
      <w:sz w:val="24"/>
      <w:szCs w:val="24"/>
    </w:rPr>
  </w:style>
  <w:style w:type="paragraph" w:customStyle="1" w:styleId="373">
    <w:name w:val="xl114"/>
    <w:basedOn w:val="1"/>
    <w:qFormat/>
    <w:uiPriority w:val="0"/>
    <w:pPr>
      <w:widowControl/>
      <w:pBdr>
        <w:left w:val="single" w:color="000000" w:sz="8" w:space="0"/>
        <w:bottom w:val="single" w:color="000000" w:sz="8" w:space="0"/>
        <w:right w:val="single" w:color="000000" w:sz="8" w:space="0"/>
      </w:pBdr>
      <w:spacing w:before="100" w:beforeAutospacing="1" w:after="100" w:afterAutospacing="1"/>
      <w:textAlignment w:val="center"/>
    </w:pPr>
    <w:rPr>
      <w:rFonts w:ascii="宋体" w:hAnsi="宋体" w:eastAsia="宋体" w:cs="宋体"/>
      <w:color w:val="000000"/>
      <w:kern w:val="0"/>
      <w:sz w:val="24"/>
      <w:szCs w:val="24"/>
    </w:rPr>
  </w:style>
  <w:style w:type="paragraph" w:customStyle="1" w:styleId="374">
    <w:name w:val="xl115"/>
    <w:basedOn w:val="1"/>
    <w:qFormat/>
    <w:uiPriority w:val="0"/>
    <w:pPr>
      <w:widowControl/>
      <w:pBdr>
        <w:top w:val="single" w:color="000000" w:sz="12" w:space="0"/>
        <w:left w:val="single" w:color="000000" w:sz="8" w:space="0"/>
        <w:right w:val="single" w:color="000000" w:sz="12" w:space="0"/>
      </w:pBdr>
      <w:spacing w:before="100" w:beforeAutospacing="1" w:after="100" w:afterAutospacing="1"/>
      <w:jc w:val="center"/>
      <w:textAlignment w:val="center"/>
    </w:pPr>
    <w:rPr>
      <w:rFonts w:ascii="宋体" w:hAnsi="宋体" w:eastAsia="宋体" w:cs="宋体"/>
      <w:color w:val="000000"/>
      <w:kern w:val="0"/>
      <w:sz w:val="24"/>
      <w:szCs w:val="24"/>
    </w:rPr>
  </w:style>
  <w:style w:type="paragraph" w:customStyle="1" w:styleId="375">
    <w:name w:val="xl116"/>
    <w:basedOn w:val="1"/>
    <w:qFormat/>
    <w:uiPriority w:val="0"/>
    <w:pPr>
      <w:widowControl/>
      <w:pBdr>
        <w:left w:val="single" w:color="000000" w:sz="8" w:space="0"/>
        <w:right w:val="single" w:color="000000" w:sz="12" w:space="0"/>
      </w:pBdr>
      <w:spacing w:before="100" w:beforeAutospacing="1" w:after="100" w:afterAutospacing="1"/>
      <w:jc w:val="center"/>
      <w:textAlignment w:val="center"/>
    </w:pPr>
    <w:rPr>
      <w:rFonts w:ascii="宋体" w:hAnsi="宋体" w:eastAsia="宋体" w:cs="宋体"/>
      <w:color w:val="000000"/>
      <w:kern w:val="0"/>
      <w:sz w:val="24"/>
      <w:szCs w:val="24"/>
    </w:rPr>
  </w:style>
  <w:style w:type="paragraph" w:customStyle="1" w:styleId="376">
    <w:name w:val="xl117"/>
    <w:basedOn w:val="1"/>
    <w:qFormat/>
    <w:uiPriority w:val="0"/>
    <w:pPr>
      <w:widowControl/>
      <w:pBdr>
        <w:left w:val="single" w:color="000000" w:sz="8" w:space="0"/>
        <w:bottom w:val="single" w:color="000000" w:sz="8" w:space="0"/>
        <w:right w:val="single" w:color="000000" w:sz="12" w:space="0"/>
      </w:pBdr>
      <w:spacing w:before="100" w:beforeAutospacing="1" w:after="100" w:afterAutospacing="1"/>
      <w:jc w:val="center"/>
      <w:textAlignment w:val="center"/>
    </w:pPr>
    <w:rPr>
      <w:rFonts w:ascii="宋体" w:hAnsi="宋体" w:eastAsia="宋体" w:cs="宋体"/>
      <w:color w:val="000000"/>
      <w:kern w:val="0"/>
      <w:sz w:val="24"/>
      <w:szCs w:val="24"/>
    </w:rPr>
  </w:style>
  <w:style w:type="paragraph" w:customStyle="1" w:styleId="377">
    <w:name w:val="xl11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Cs w:val="21"/>
    </w:rPr>
  </w:style>
  <w:style w:type="paragraph" w:customStyle="1" w:styleId="378">
    <w:name w:val="xl119"/>
    <w:basedOn w:val="1"/>
    <w:qFormat/>
    <w:uiPriority w:val="0"/>
    <w:pPr>
      <w:widowControl/>
      <w:pBdr>
        <w:top w:val="single" w:color="auto" w:sz="8" w:space="0"/>
        <w:left w:val="single" w:color="auto" w:sz="8" w:space="0"/>
        <w:bottom w:val="single" w:color="auto" w:sz="8" w:space="0"/>
        <w:right w:val="single" w:color="auto" w:sz="8" w:space="0"/>
      </w:pBdr>
      <w:spacing w:before="100" w:beforeAutospacing="1" w:after="100" w:afterAutospacing="1"/>
      <w:jc w:val="center"/>
      <w:textAlignment w:val="center"/>
    </w:pPr>
    <w:rPr>
      <w:rFonts w:ascii="Times New Roman" w:hAnsi="Times New Roman" w:eastAsia="宋体" w:cs="Times New Roman"/>
      <w:kern w:val="0"/>
      <w:szCs w:val="21"/>
    </w:rPr>
  </w:style>
  <w:style w:type="paragraph" w:customStyle="1" w:styleId="379">
    <w:name w:val="xl12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Cs w:val="21"/>
    </w:rPr>
  </w:style>
  <w:style w:type="paragraph" w:customStyle="1" w:styleId="380">
    <w:name w:val="xl121"/>
    <w:basedOn w:val="1"/>
    <w:qFormat/>
    <w:uiPriority w:val="0"/>
    <w:pPr>
      <w:widowControl/>
      <w:spacing w:before="100" w:beforeAutospacing="1" w:after="100" w:afterAutospacing="1"/>
      <w:jc w:val="center"/>
      <w:textAlignment w:val="center"/>
    </w:pPr>
    <w:rPr>
      <w:rFonts w:ascii="Times New Roman" w:hAnsi="Times New Roman" w:eastAsia="宋体" w:cs="Times New Roman"/>
      <w:kern w:val="0"/>
      <w:szCs w:val="21"/>
    </w:rPr>
  </w:style>
  <w:style w:type="paragraph" w:customStyle="1" w:styleId="381">
    <w:name w:val="xl12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color w:val="000000"/>
      <w:kern w:val="0"/>
      <w:szCs w:val="21"/>
    </w:rPr>
  </w:style>
  <w:style w:type="paragraph" w:customStyle="1" w:styleId="382">
    <w:name w:val="xl12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Cs w:val="21"/>
    </w:rPr>
  </w:style>
  <w:style w:type="paragraph" w:customStyle="1" w:styleId="383">
    <w:name w:val="xl1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color w:val="FF0000"/>
      <w:kern w:val="0"/>
      <w:szCs w:val="21"/>
    </w:rPr>
  </w:style>
  <w:style w:type="paragraph" w:customStyle="1" w:styleId="384">
    <w:name w:val="xl125"/>
    <w:basedOn w:val="1"/>
    <w:qFormat/>
    <w:uiPriority w:val="0"/>
    <w:pPr>
      <w:widowControl/>
      <w:pBdr>
        <w:left w:val="single" w:color="auto" w:sz="8" w:space="0"/>
        <w:bottom w:val="single" w:color="auto" w:sz="8" w:space="0"/>
        <w:right w:val="single" w:color="auto" w:sz="8" w:space="0"/>
      </w:pBdr>
      <w:spacing w:before="100" w:beforeAutospacing="1" w:after="100" w:afterAutospacing="1"/>
      <w:jc w:val="center"/>
      <w:textAlignment w:val="center"/>
    </w:pPr>
    <w:rPr>
      <w:rFonts w:ascii="Times New Roman" w:hAnsi="Times New Roman" w:eastAsia="宋体" w:cs="Times New Roman"/>
      <w:color w:val="FF0000"/>
      <w:kern w:val="0"/>
      <w:szCs w:val="21"/>
    </w:rPr>
  </w:style>
  <w:style w:type="paragraph" w:customStyle="1" w:styleId="385">
    <w:name w:val="xl1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color w:val="FF0000"/>
      <w:kern w:val="0"/>
      <w:szCs w:val="21"/>
    </w:rPr>
  </w:style>
  <w:style w:type="paragraph" w:customStyle="1" w:styleId="386">
    <w:name w:val="xl127"/>
    <w:basedOn w:val="1"/>
    <w:qFormat/>
    <w:uiPriority w:val="0"/>
    <w:pPr>
      <w:widowControl/>
      <w:spacing w:before="100" w:beforeAutospacing="1" w:after="100" w:afterAutospacing="1"/>
      <w:jc w:val="center"/>
      <w:textAlignment w:val="center"/>
    </w:pPr>
    <w:rPr>
      <w:rFonts w:ascii="Times New Roman" w:hAnsi="Times New Roman" w:eastAsia="宋体" w:cs="Times New Roman"/>
      <w:kern w:val="0"/>
      <w:szCs w:val="21"/>
    </w:rPr>
  </w:style>
  <w:style w:type="paragraph" w:customStyle="1" w:styleId="387">
    <w:name w:val="xl1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Cs w:val="21"/>
    </w:rPr>
  </w:style>
  <w:style w:type="paragraph" w:customStyle="1" w:styleId="388">
    <w:name w:val="xl129"/>
    <w:basedOn w:val="1"/>
    <w:qFormat/>
    <w:uiPriority w:val="0"/>
    <w:pPr>
      <w:widowControl/>
      <w:pBdr>
        <w:top w:val="single" w:color="auto" w:sz="8" w:space="0"/>
        <w:left w:val="single" w:color="auto" w:sz="8" w:space="0"/>
        <w:bottom w:val="single" w:color="auto" w:sz="8" w:space="0"/>
        <w:right w:val="single" w:color="auto" w:sz="8" w:space="0"/>
      </w:pBdr>
      <w:spacing w:before="100" w:beforeAutospacing="1" w:after="100" w:afterAutospacing="1"/>
      <w:jc w:val="center"/>
      <w:textAlignment w:val="center"/>
    </w:pPr>
    <w:rPr>
      <w:rFonts w:ascii="Times New Roman" w:hAnsi="Times New Roman" w:eastAsia="宋体" w:cs="Times New Roman"/>
      <w:color w:val="FF0000"/>
      <w:kern w:val="0"/>
      <w:szCs w:val="21"/>
    </w:rPr>
  </w:style>
  <w:style w:type="paragraph" w:customStyle="1" w:styleId="389">
    <w:name w:val="xl130"/>
    <w:basedOn w:val="1"/>
    <w:qFormat/>
    <w:uiPriority w:val="0"/>
    <w:pPr>
      <w:widowControl/>
      <w:pBdr>
        <w:left w:val="single" w:color="auto" w:sz="8" w:space="0"/>
        <w:bottom w:val="single" w:color="auto" w:sz="8" w:space="0"/>
        <w:right w:val="single" w:color="auto" w:sz="8" w:space="0"/>
      </w:pBdr>
      <w:spacing w:before="100" w:beforeAutospacing="1" w:after="100" w:afterAutospacing="1"/>
      <w:jc w:val="center"/>
      <w:textAlignment w:val="center"/>
    </w:pPr>
    <w:rPr>
      <w:rFonts w:ascii="Times New Roman" w:hAnsi="Times New Roman" w:eastAsia="宋体" w:cs="Times New Roman"/>
      <w:kern w:val="0"/>
      <w:szCs w:val="21"/>
    </w:rPr>
  </w:style>
  <w:style w:type="paragraph" w:customStyle="1" w:styleId="390">
    <w:name w:val="xl1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color w:val="000000"/>
      <w:kern w:val="0"/>
      <w:sz w:val="24"/>
      <w:szCs w:val="24"/>
    </w:rPr>
  </w:style>
  <w:style w:type="paragraph" w:customStyle="1" w:styleId="391">
    <w:name w:val="xl132"/>
    <w:basedOn w:val="1"/>
    <w:qFormat/>
    <w:uiPriority w:val="0"/>
    <w:pPr>
      <w:widowControl/>
      <w:pBdr>
        <w:top w:val="single" w:color="auto" w:sz="4" w:space="0"/>
        <w:left w:val="single" w:color="auto" w:sz="4" w:space="0"/>
        <w:bottom w:val="single" w:color="000000"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Cs w:val="21"/>
    </w:rPr>
  </w:style>
  <w:style w:type="paragraph" w:customStyle="1" w:styleId="392">
    <w:name w:val="xl1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color w:val="000000"/>
      <w:kern w:val="0"/>
      <w:szCs w:val="21"/>
    </w:rPr>
  </w:style>
  <w:style w:type="paragraph" w:customStyle="1" w:styleId="393">
    <w:name w:val="xl1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color w:val="FF0000"/>
      <w:kern w:val="0"/>
      <w:szCs w:val="21"/>
    </w:rPr>
  </w:style>
  <w:style w:type="paragraph" w:customStyle="1" w:styleId="394">
    <w:name w:val="xl1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color w:val="FF0000"/>
      <w:kern w:val="0"/>
      <w:szCs w:val="21"/>
    </w:rPr>
  </w:style>
  <w:style w:type="character" w:customStyle="1" w:styleId="395">
    <w:name w:val="font81"/>
    <w:basedOn w:val="44"/>
    <w:qFormat/>
    <w:uiPriority w:val="0"/>
    <w:rPr>
      <w:rFonts w:hint="eastAsia" w:ascii="宋体" w:hAnsi="宋体" w:eastAsia="宋体" w:cs="宋体"/>
      <w:color w:val="000000"/>
      <w:sz w:val="21"/>
      <w:szCs w:val="21"/>
      <w:u w:val="none"/>
    </w:rPr>
  </w:style>
  <w:style w:type="character" w:customStyle="1" w:styleId="396">
    <w:name w:val="font101"/>
    <w:basedOn w:val="44"/>
    <w:qFormat/>
    <w:uiPriority w:val="0"/>
    <w:rPr>
      <w:rFonts w:hint="default" w:ascii="Times New Roman" w:hAnsi="Times New Roman" w:cs="Times New Roman"/>
      <w:color w:val="FF0000"/>
      <w:sz w:val="21"/>
      <w:szCs w:val="21"/>
      <w:u w:val="none"/>
      <w:vertAlign w:val="subscript"/>
    </w:rPr>
  </w:style>
  <w:style w:type="character" w:customStyle="1" w:styleId="397">
    <w:name w:val="font111"/>
    <w:basedOn w:val="44"/>
    <w:qFormat/>
    <w:uiPriority w:val="0"/>
    <w:rPr>
      <w:rFonts w:hint="eastAsia" w:ascii="宋体" w:hAnsi="宋体" w:eastAsia="宋体" w:cs="宋体"/>
      <w:color w:val="000000"/>
      <w:sz w:val="22"/>
      <w:szCs w:val="22"/>
      <w:u w:val="none"/>
    </w:rPr>
  </w:style>
  <w:style w:type="character" w:customStyle="1" w:styleId="398">
    <w:name w:val="font121"/>
    <w:basedOn w:val="44"/>
    <w:qFormat/>
    <w:uiPriority w:val="0"/>
    <w:rPr>
      <w:rFonts w:hint="default" w:ascii="Times New Roman" w:hAnsi="Times New Roman" w:cs="Times New Roman"/>
      <w:color w:val="000000"/>
      <w:sz w:val="21"/>
      <w:szCs w:val="21"/>
      <w:u w:val="none"/>
      <w:vertAlign w:val="subscript"/>
    </w:rPr>
  </w:style>
  <w:style w:type="character" w:customStyle="1" w:styleId="399">
    <w:name w:val="font132"/>
    <w:basedOn w:val="44"/>
    <w:qFormat/>
    <w:uiPriority w:val="0"/>
    <w:rPr>
      <w:rFonts w:hint="eastAsia" w:ascii="宋体" w:hAnsi="宋体" w:eastAsia="宋体" w:cs="宋体"/>
      <w:color w:val="000000"/>
      <w:sz w:val="21"/>
      <w:szCs w:val="21"/>
      <w:u w:val="none"/>
    </w:rPr>
  </w:style>
  <w:style w:type="character" w:customStyle="1" w:styleId="400">
    <w:name w:val="标题 2 Char1 Char"/>
    <w:qFormat/>
    <w:uiPriority w:val="0"/>
    <w:rPr>
      <w:rFonts w:ascii="Arial" w:hAnsi="Arial" w:eastAsia="黑体"/>
      <w:b/>
      <w:bCs/>
      <w:kern w:val="2"/>
      <w:sz w:val="32"/>
      <w:szCs w:val="3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9" Type="http://schemas.openxmlformats.org/officeDocument/2006/relationships/fontTable" Target="fontTable.xml"/><Relationship Id="rId58" Type="http://schemas.openxmlformats.org/officeDocument/2006/relationships/numbering" Target="numbering.xml"/><Relationship Id="rId57" Type="http://schemas.openxmlformats.org/officeDocument/2006/relationships/customXml" Target="../customXml/item1.xml"/><Relationship Id="rId56" Type="http://schemas.openxmlformats.org/officeDocument/2006/relationships/image" Target="media/image41.png"/><Relationship Id="rId55" Type="http://schemas.openxmlformats.org/officeDocument/2006/relationships/image" Target="media/image40.png"/><Relationship Id="rId54" Type="http://schemas.openxmlformats.org/officeDocument/2006/relationships/image" Target="media/image39.jpeg"/><Relationship Id="rId53" Type="http://schemas.openxmlformats.org/officeDocument/2006/relationships/image" Target="media/image38.jpeg"/><Relationship Id="rId52" Type="http://schemas.openxmlformats.org/officeDocument/2006/relationships/image" Target="media/image37.jpeg"/><Relationship Id="rId51" Type="http://schemas.openxmlformats.org/officeDocument/2006/relationships/image" Target="media/image36.jpeg"/><Relationship Id="rId50" Type="http://schemas.openxmlformats.org/officeDocument/2006/relationships/image" Target="media/image35.jpeg"/><Relationship Id="rId5" Type="http://schemas.openxmlformats.org/officeDocument/2006/relationships/header" Target="header1.xml"/><Relationship Id="rId49" Type="http://schemas.openxmlformats.org/officeDocument/2006/relationships/image" Target="media/image34.jpeg"/><Relationship Id="rId48" Type="http://schemas.openxmlformats.org/officeDocument/2006/relationships/image" Target="media/image33.jpeg"/><Relationship Id="rId47" Type="http://schemas.openxmlformats.org/officeDocument/2006/relationships/image" Target="media/image32.jpeg"/><Relationship Id="rId46" Type="http://schemas.openxmlformats.org/officeDocument/2006/relationships/image" Target="media/image31.png"/><Relationship Id="rId45" Type="http://schemas.openxmlformats.org/officeDocument/2006/relationships/image" Target="media/image30.png"/><Relationship Id="rId44" Type="http://schemas.openxmlformats.org/officeDocument/2006/relationships/image" Target="media/image29.png"/><Relationship Id="rId43" Type="http://schemas.openxmlformats.org/officeDocument/2006/relationships/image" Target="media/image28.png"/><Relationship Id="rId42" Type="http://schemas.openxmlformats.org/officeDocument/2006/relationships/image" Target="media/image27.png"/><Relationship Id="rId41" Type="http://schemas.openxmlformats.org/officeDocument/2006/relationships/image" Target="media/image26.png"/><Relationship Id="rId40" Type="http://schemas.openxmlformats.org/officeDocument/2006/relationships/image" Target="media/image25.png"/><Relationship Id="rId4" Type="http://schemas.openxmlformats.org/officeDocument/2006/relationships/footer" Target="footer2.xml"/><Relationship Id="rId39" Type="http://schemas.openxmlformats.org/officeDocument/2006/relationships/image" Target="media/image24.png"/><Relationship Id="rId38" Type="http://schemas.openxmlformats.org/officeDocument/2006/relationships/image" Target="media/image23.png"/><Relationship Id="rId37" Type="http://schemas.openxmlformats.org/officeDocument/2006/relationships/image" Target="media/image22.png"/><Relationship Id="rId36" Type="http://schemas.openxmlformats.org/officeDocument/2006/relationships/image" Target="media/image21.png"/><Relationship Id="rId35" Type="http://schemas.openxmlformats.org/officeDocument/2006/relationships/image" Target="media/image20.jpeg"/><Relationship Id="rId34" Type="http://schemas.openxmlformats.org/officeDocument/2006/relationships/image" Target="media/image19.jpeg"/><Relationship Id="rId33" Type="http://schemas.openxmlformats.org/officeDocument/2006/relationships/image" Target="media/image18.jpeg"/><Relationship Id="rId32" Type="http://schemas.openxmlformats.org/officeDocument/2006/relationships/image" Target="media/image17.png"/><Relationship Id="rId31" Type="http://schemas.openxmlformats.org/officeDocument/2006/relationships/image" Target="media/image16.png"/><Relationship Id="rId30" Type="http://schemas.openxmlformats.org/officeDocument/2006/relationships/image" Target="media/image15.png"/><Relationship Id="rId3" Type="http://schemas.openxmlformats.org/officeDocument/2006/relationships/footer" Target="footer1.xml"/><Relationship Id="rId29" Type="http://schemas.openxmlformats.org/officeDocument/2006/relationships/image" Target="media/image14.png"/><Relationship Id="rId28" Type="http://schemas.openxmlformats.org/officeDocument/2006/relationships/image" Target="media/image13.jpeg"/><Relationship Id="rId27" Type="http://schemas.openxmlformats.org/officeDocument/2006/relationships/image" Target="media/image12.jpeg"/><Relationship Id="rId26" Type="http://schemas.openxmlformats.org/officeDocument/2006/relationships/image" Target="media/image11.jpeg"/><Relationship Id="rId25" Type="http://schemas.openxmlformats.org/officeDocument/2006/relationships/image" Target="media/image10.jpeg"/><Relationship Id="rId24" Type="http://schemas.openxmlformats.org/officeDocument/2006/relationships/image" Target="media/image9.jpeg"/><Relationship Id="rId23" Type="http://schemas.openxmlformats.org/officeDocument/2006/relationships/image" Target="media/image8.jpeg"/><Relationship Id="rId22" Type="http://schemas.openxmlformats.org/officeDocument/2006/relationships/image" Target="media/image7.jpeg"/><Relationship Id="rId21" Type="http://schemas.openxmlformats.org/officeDocument/2006/relationships/image" Target="media/image6.jpeg"/><Relationship Id="rId20" Type="http://schemas.openxmlformats.org/officeDocument/2006/relationships/image" Target="media/image5.jpeg"/><Relationship Id="rId2" Type="http://schemas.openxmlformats.org/officeDocument/2006/relationships/settings" Target="settings.xml"/><Relationship Id="rId19" Type="http://schemas.openxmlformats.org/officeDocument/2006/relationships/image" Target="media/image4.jpeg"/><Relationship Id="rId18" Type="http://schemas.openxmlformats.org/officeDocument/2006/relationships/image" Target="media/image3.png"/><Relationship Id="rId17" Type="http://schemas.openxmlformats.org/officeDocument/2006/relationships/image" Target="media/image2.wmf"/><Relationship Id="rId16" Type="http://schemas.openxmlformats.org/officeDocument/2006/relationships/image" Target="media/image1.png"/><Relationship Id="rId15" Type="http://schemas.openxmlformats.org/officeDocument/2006/relationships/theme" Target="theme/theme1.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256</Pages>
  <Words>11376</Words>
  <Characters>12124</Characters>
  <Lines>3458</Lines>
  <Paragraphs>973</Paragraphs>
  <TotalTime>0</TotalTime>
  <ScaleCrop>false</ScaleCrop>
  <LinksUpToDate>false</LinksUpToDate>
  <CharactersWithSpaces>12327</CharactersWithSpaces>
  <Application>WPS Office_12.1.0.18912_F1E327BC-269C-435d-A152-05C5408002CA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2024-07-26T00:34:00Z</dcterms:created>
  <dc:creator>世鹏 许</dc:creator>
  <cp:lastModifiedBy>Mrs.lee </cp:lastModifiedBy>
  <cp:lastPrinted>2024-11-22T00:13:00Z</cp:lastPrinted>
  <dcterms:modified xsi:type="dcterms:W3CDTF">2024-11-25T06:58:03Z</dcterms:modified>
  <cp:revision>127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ICV">
    <vt:lpwstr>9D9B71373B8044D6AF0C87B8ED80D5EE_12</vt:lpwstr>
  </property>
</Properties>
</file>